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36.xml" ContentType="application/vnd.openxmlformats-officedocument.wordprocessingml.footer+xml"/>
  <Override PartName="/word/footer137.xml" ContentType="application/vnd.openxmlformats-officedocument.wordprocessingml.footer+xml"/>
  <Override PartName="/word/footer138.xml" ContentType="application/vnd.openxmlformats-officedocument.wordprocessingml.footer+xml"/>
  <Override PartName="/word/footer139.xml" ContentType="application/vnd.openxmlformats-officedocument.wordprocessingml.footer+xml"/>
  <Override PartName="/word/footer14.xml" ContentType="application/vnd.openxmlformats-officedocument.wordprocessingml.footer+xml"/>
  <Override PartName="/word/footer140.xml" ContentType="application/vnd.openxmlformats-officedocument.wordprocessingml.footer+xml"/>
  <Override PartName="/word/footer141.xml" ContentType="application/vnd.openxmlformats-officedocument.wordprocessingml.footer+xml"/>
  <Override PartName="/word/footer142.xml" ContentType="application/vnd.openxmlformats-officedocument.wordprocessingml.footer+xml"/>
  <Override PartName="/word/footer143.xml" ContentType="application/vnd.openxmlformats-officedocument.wordprocessingml.footer+xml"/>
  <Override PartName="/word/footer144.xml" ContentType="application/vnd.openxmlformats-officedocument.wordprocessingml.footer+xml"/>
  <Override PartName="/word/footer145.xml" ContentType="application/vnd.openxmlformats-officedocument.wordprocessingml.footer+xml"/>
  <Override PartName="/word/footer146.xml" ContentType="application/vnd.openxmlformats-officedocument.wordprocessingml.footer+xml"/>
  <Override PartName="/word/footer147.xml" ContentType="application/vnd.openxmlformats-officedocument.wordprocessingml.footer+xml"/>
  <Override PartName="/word/footer148.xml" ContentType="application/vnd.openxmlformats-officedocument.wordprocessingml.footer+xml"/>
  <Override PartName="/word/footer149.xml" ContentType="application/vnd.openxmlformats-officedocument.wordprocessingml.footer+xml"/>
  <Override PartName="/word/footer15.xml" ContentType="application/vnd.openxmlformats-officedocument.wordprocessingml.footer+xml"/>
  <Override PartName="/word/footer150.xml" ContentType="application/vnd.openxmlformats-officedocument.wordprocessingml.footer+xml"/>
  <Override PartName="/word/footer151.xml" ContentType="application/vnd.openxmlformats-officedocument.wordprocessingml.footer+xml"/>
  <Override PartName="/word/footer152.xml" ContentType="application/vnd.openxmlformats-officedocument.wordprocessingml.footer+xml"/>
  <Override PartName="/word/footer153.xml" ContentType="application/vnd.openxmlformats-officedocument.wordprocessingml.footer+xml"/>
  <Override PartName="/word/footer154.xml" ContentType="application/vnd.openxmlformats-officedocument.wordprocessingml.footer+xml"/>
  <Override PartName="/word/footer155.xml" ContentType="application/vnd.openxmlformats-officedocument.wordprocessingml.footer+xml"/>
  <Override PartName="/word/footer156.xml" ContentType="application/vnd.openxmlformats-officedocument.wordprocessingml.footer+xml"/>
  <Override PartName="/word/footer157.xml" ContentType="application/vnd.openxmlformats-officedocument.wordprocessingml.footer+xml"/>
  <Override PartName="/word/footer158.xml" ContentType="application/vnd.openxmlformats-officedocument.wordprocessingml.footer+xml"/>
  <Override PartName="/word/footer159.xml" ContentType="application/vnd.openxmlformats-officedocument.wordprocessingml.footer+xml"/>
  <Override PartName="/word/footer16.xml" ContentType="application/vnd.openxmlformats-officedocument.wordprocessingml.footer+xml"/>
  <Override PartName="/word/footer160.xml" ContentType="application/vnd.openxmlformats-officedocument.wordprocessingml.footer+xml"/>
  <Override PartName="/word/footer161.xml" ContentType="application/vnd.openxmlformats-officedocument.wordprocessingml.footer+xml"/>
  <Override PartName="/word/footer162.xml" ContentType="application/vnd.openxmlformats-officedocument.wordprocessingml.footer+xml"/>
  <Override PartName="/word/footer163.xml" ContentType="application/vnd.openxmlformats-officedocument.wordprocessingml.footer+xml"/>
  <Override PartName="/word/footer164.xml" ContentType="application/vnd.openxmlformats-officedocument.wordprocessingml.footer+xml"/>
  <Override PartName="/word/footer165.xml" ContentType="application/vnd.openxmlformats-officedocument.wordprocessingml.footer+xml"/>
  <Override PartName="/word/footer166.xml" ContentType="application/vnd.openxmlformats-officedocument.wordprocessingml.footer+xml"/>
  <Override PartName="/word/footer167.xml" ContentType="application/vnd.openxmlformats-officedocument.wordprocessingml.footer+xml"/>
  <Override PartName="/word/footer168.xml" ContentType="application/vnd.openxmlformats-officedocument.wordprocessingml.footer+xml"/>
  <Override PartName="/word/footer169.xml" ContentType="application/vnd.openxmlformats-officedocument.wordprocessingml.footer+xml"/>
  <Override PartName="/word/footer17.xml" ContentType="application/vnd.openxmlformats-officedocument.wordprocessingml.footer+xml"/>
  <Override PartName="/word/footer170.xml" ContentType="application/vnd.openxmlformats-officedocument.wordprocessingml.footer+xml"/>
  <Override PartName="/word/footer171.xml" ContentType="application/vnd.openxmlformats-officedocument.wordprocessingml.footer+xml"/>
  <Override PartName="/word/footer172.xml" ContentType="application/vnd.openxmlformats-officedocument.wordprocessingml.footer+xml"/>
  <Override PartName="/word/footer173.xml" ContentType="application/vnd.openxmlformats-officedocument.wordprocessingml.footer+xml"/>
  <Override PartName="/word/footer174.xml" ContentType="application/vnd.openxmlformats-officedocument.wordprocessingml.footer+xml"/>
  <Override PartName="/word/footer175.xml" ContentType="application/vnd.openxmlformats-officedocument.wordprocessingml.footer+xml"/>
  <Override PartName="/word/footer176.xml" ContentType="application/vnd.openxmlformats-officedocument.wordprocessingml.footer+xml"/>
  <Override PartName="/word/footer177.xml" ContentType="application/vnd.openxmlformats-officedocument.wordprocessingml.footer+xml"/>
  <Override PartName="/word/footer178.xml" ContentType="application/vnd.openxmlformats-officedocument.wordprocessingml.footer+xml"/>
  <Override PartName="/word/footer179.xml" ContentType="application/vnd.openxmlformats-officedocument.wordprocessingml.footer+xml"/>
  <Override PartName="/word/footer18.xml" ContentType="application/vnd.openxmlformats-officedocument.wordprocessingml.footer+xml"/>
  <Override PartName="/word/footer180.xml" ContentType="application/vnd.openxmlformats-officedocument.wordprocessingml.footer+xml"/>
  <Override PartName="/word/footer181.xml" ContentType="application/vnd.openxmlformats-officedocument.wordprocessingml.footer+xml"/>
  <Override PartName="/word/footer182.xml" ContentType="application/vnd.openxmlformats-officedocument.wordprocessingml.footer+xml"/>
  <Override PartName="/word/footer183.xml" ContentType="application/vnd.openxmlformats-officedocument.wordprocessingml.footer+xml"/>
  <Override PartName="/word/footer184.xml" ContentType="application/vnd.openxmlformats-officedocument.wordprocessingml.footer+xml"/>
  <Override PartName="/word/footer185.xml" ContentType="application/vnd.openxmlformats-officedocument.wordprocessingml.footer+xml"/>
  <Override PartName="/word/footer186.xml" ContentType="application/vnd.openxmlformats-officedocument.wordprocessingml.footer+xml"/>
  <Override PartName="/word/footer187.xml" ContentType="application/vnd.openxmlformats-officedocument.wordprocessingml.footer+xml"/>
  <Override PartName="/word/footer188.xml" ContentType="application/vnd.openxmlformats-officedocument.wordprocessingml.footer+xml"/>
  <Override PartName="/word/footer189.xml" ContentType="application/vnd.openxmlformats-officedocument.wordprocessingml.footer+xml"/>
  <Override PartName="/word/footer19.xml" ContentType="application/vnd.openxmlformats-officedocument.wordprocessingml.footer+xml"/>
  <Override PartName="/word/footer190.xml" ContentType="application/vnd.openxmlformats-officedocument.wordprocessingml.footer+xml"/>
  <Override PartName="/word/footer191.xml" ContentType="application/vnd.openxmlformats-officedocument.wordprocessingml.footer+xml"/>
  <Override PartName="/word/footer192.xml" ContentType="application/vnd.openxmlformats-officedocument.wordprocessingml.footer+xml"/>
  <Override PartName="/word/footer193.xml" ContentType="application/vnd.openxmlformats-officedocument.wordprocessingml.footer+xml"/>
  <Override PartName="/word/footer194.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36.xml" ContentType="application/vnd.openxmlformats-officedocument.wordprocessingml.header+xml"/>
  <Override PartName="/word/header137.xml" ContentType="application/vnd.openxmlformats-officedocument.wordprocessingml.header+xml"/>
  <Override PartName="/word/header138.xml" ContentType="application/vnd.openxmlformats-officedocument.wordprocessingml.header+xml"/>
  <Override PartName="/word/header139.xml" ContentType="application/vnd.openxmlformats-officedocument.wordprocessingml.header+xml"/>
  <Override PartName="/word/header14.xml" ContentType="application/vnd.openxmlformats-officedocument.wordprocessingml.header+xml"/>
  <Override PartName="/word/header140.xml" ContentType="application/vnd.openxmlformats-officedocument.wordprocessingml.header+xml"/>
  <Override PartName="/word/header141.xml" ContentType="application/vnd.openxmlformats-officedocument.wordprocessingml.header+xml"/>
  <Override PartName="/word/header142.xml" ContentType="application/vnd.openxmlformats-officedocument.wordprocessingml.header+xml"/>
  <Override PartName="/word/header143.xml" ContentType="application/vnd.openxmlformats-officedocument.wordprocessingml.header+xml"/>
  <Override PartName="/word/header144.xml" ContentType="application/vnd.openxmlformats-officedocument.wordprocessingml.header+xml"/>
  <Override PartName="/word/header145.xml" ContentType="application/vnd.openxmlformats-officedocument.wordprocessingml.header+xml"/>
  <Override PartName="/word/header146.xml" ContentType="application/vnd.openxmlformats-officedocument.wordprocessingml.header+xml"/>
  <Override PartName="/word/header147.xml" ContentType="application/vnd.openxmlformats-officedocument.wordprocessingml.header+xml"/>
  <Override PartName="/word/header148.xml" ContentType="application/vnd.openxmlformats-officedocument.wordprocessingml.header+xml"/>
  <Override PartName="/word/header149.xml" ContentType="application/vnd.openxmlformats-officedocument.wordprocessingml.header+xml"/>
  <Override PartName="/word/header15.xml" ContentType="application/vnd.openxmlformats-officedocument.wordprocessingml.header+xml"/>
  <Override PartName="/word/header150.xml" ContentType="application/vnd.openxmlformats-officedocument.wordprocessingml.header+xml"/>
  <Override PartName="/word/header151.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72" w:lineRule="auto"/>
        <w:rPr/>
      </w:pPr>
      <w:r/>
    </w:p>
    <w:p>
      <w:pPr>
        <w:pStyle w:val="BodyText"/>
        <w:spacing w:line="272" w:lineRule="auto"/>
        <w:rPr/>
      </w:pPr>
      <w:r/>
    </w:p>
    <w:p>
      <w:pPr>
        <w:pStyle w:val="BodyText"/>
        <w:spacing w:line="272" w:lineRule="auto"/>
        <w:rPr/>
      </w:pPr>
      <w:r/>
    </w:p>
    <w:p>
      <w:pPr>
        <w:pStyle w:val="BodyText"/>
        <w:spacing w:line="273" w:lineRule="auto"/>
        <w:rPr/>
      </w:pPr>
      <w:r/>
    </w:p>
    <w:p>
      <w:pPr>
        <w:pStyle w:val="BodyText"/>
        <w:spacing w:line="273" w:lineRule="auto"/>
        <w:rPr/>
      </w:pPr>
      <w:r/>
    </w:p>
    <w:p>
      <w:pPr>
        <w:pStyle w:val="BodyText"/>
        <w:spacing w:line="273" w:lineRule="auto"/>
        <w:rPr/>
      </w:pPr>
      <w:r/>
    </w:p>
    <w:p>
      <w:pPr>
        <w:pStyle w:val="BodyText"/>
        <w:spacing w:line="273" w:lineRule="auto"/>
        <w:rPr/>
      </w:pPr>
      <w:r/>
    </w:p>
    <w:p>
      <w:pPr>
        <w:ind w:left="1979"/>
        <w:spacing w:before="140" w:line="219" w:lineRule="auto"/>
        <w:rPr>
          <w:rFonts w:ascii="SimSun" w:hAnsi="SimSun" w:eastAsia="SimSun" w:cs="SimSun"/>
          <w:sz w:val="43"/>
          <w:szCs w:val="43"/>
        </w:rPr>
      </w:pPr>
      <w:r>
        <w:rPr>
          <w:rFonts w:ascii="SimSun" w:hAnsi="SimSun" w:eastAsia="SimSun" w:cs="SimSun"/>
          <w:sz w:val="43"/>
          <w:szCs w:val="43"/>
          <w:b/>
          <w:bCs/>
          <w:spacing w:val="1"/>
        </w:rPr>
        <w:t>绵阳柒鑫食品有限公司</w:t>
      </w:r>
    </w:p>
    <w:p>
      <w:pPr>
        <w:ind w:left="263"/>
        <w:spacing w:before="119" w:line="219" w:lineRule="auto"/>
        <w:outlineLvl w:val="0"/>
        <w:rPr>
          <w:rFonts w:ascii="SimSun" w:hAnsi="SimSun" w:eastAsia="SimSun" w:cs="SimSun"/>
          <w:sz w:val="43"/>
          <w:szCs w:val="43"/>
        </w:rPr>
      </w:pPr>
      <w:r>
        <w:rPr>
          <w:rFonts w:ascii="Times New Roman" w:hAnsi="Times New Roman" w:eastAsia="Times New Roman" w:cs="Times New Roman"/>
          <w:sz w:val="43"/>
          <w:szCs w:val="43"/>
          <w:b/>
          <w:bCs/>
          <w:spacing w:val="4"/>
        </w:rPr>
        <w:t>A</w:t>
      </w:r>
      <w:r>
        <w:rPr>
          <w:rFonts w:ascii="SimSun" w:hAnsi="SimSun" w:eastAsia="SimSun" w:cs="SimSun"/>
          <w:sz w:val="43"/>
          <w:szCs w:val="43"/>
          <w:b/>
          <w:bCs/>
          <w:spacing w:val="4"/>
        </w:rPr>
        <w:t>级生猪、肉牛定点屠宰及食品加工项目</w:t>
      </w:r>
    </w:p>
    <w:p>
      <w:pPr>
        <w:pStyle w:val="BodyText"/>
        <w:spacing w:line="256" w:lineRule="auto"/>
        <w:rPr/>
      </w:pPr>
      <w:r/>
    </w:p>
    <w:p>
      <w:pPr>
        <w:pStyle w:val="BodyText"/>
        <w:spacing w:line="256" w:lineRule="auto"/>
        <w:rPr/>
      </w:pPr>
      <w:r/>
    </w:p>
    <w:p>
      <w:pPr>
        <w:pStyle w:val="BodyText"/>
        <w:spacing w:line="256" w:lineRule="auto"/>
        <w:rPr/>
      </w:pPr>
      <w:r/>
    </w:p>
    <w:p>
      <w:pPr>
        <w:pStyle w:val="BodyText"/>
        <w:spacing w:line="256" w:lineRule="auto"/>
        <w:rPr/>
      </w:pPr>
      <w:r/>
    </w:p>
    <w:p>
      <w:pPr>
        <w:pStyle w:val="BodyText"/>
        <w:spacing w:line="256" w:lineRule="auto"/>
        <w:rPr/>
      </w:pPr>
      <w:r/>
    </w:p>
    <w:p>
      <w:pPr>
        <w:pStyle w:val="BodyText"/>
        <w:spacing w:line="257" w:lineRule="auto"/>
        <w:rPr/>
      </w:pPr>
      <w:r/>
    </w:p>
    <w:p>
      <w:pPr>
        <w:ind w:left="1065"/>
        <w:spacing w:before="276" w:line="218" w:lineRule="auto"/>
        <w:rPr>
          <w:rFonts w:ascii="SimSun" w:hAnsi="SimSun" w:eastAsia="SimSun" w:cs="SimSun"/>
          <w:sz w:val="85"/>
          <w:szCs w:val="85"/>
        </w:rPr>
      </w:pPr>
      <w:r>
        <w:rPr>
          <w:rFonts w:ascii="SimSun" w:hAnsi="SimSun" w:eastAsia="SimSun" w:cs="SimSun"/>
          <w:sz w:val="85"/>
          <w:szCs w:val="85"/>
          <w:b/>
          <w:bCs/>
          <w:spacing w:val="19"/>
        </w:rPr>
        <w:t>环境影响报告书</w:t>
      </w:r>
    </w:p>
    <w:p>
      <w:pPr>
        <w:ind w:left="3503"/>
        <w:spacing w:before="172" w:line="219" w:lineRule="auto"/>
        <w:rPr>
          <w:rFonts w:ascii="SimSun" w:hAnsi="SimSun" w:eastAsia="SimSun" w:cs="SimSun"/>
          <w:sz w:val="32"/>
          <w:szCs w:val="32"/>
        </w:rPr>
      </w:pPr>
      <w:r>
        <w:rPr>
          <w:rFonts w:ascii="SimSun" w:hAnsi="SimSun" w:eastAsia="SimSun" w:cs="SimSun"/>
          <w:sz w:val="32"/>
          <w:szCs w:val="32"/>
          <w:spacing w:val="14"/>
        </w:rPr>
        <w:t>(公示本)</w:t>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ind w:left="1458"/>
        <w:spacing w:before="105" w:line="219" w:lineRule="auto"/>
        <w:rPr>
          <w:rFonts w:ascii="SimSun" w:hAnsi="SimSun" w:eastAsia="SimSun" w:cs="SimSun"/>
          <w:sz w:val="32"/>
          <w:szCs w:val="32"/>
        </w:rPr>
      </w:pPr>
      <w:r>
        <w:drawing>
          <wp:anchor distT="0" distB="0" distL="0" distR="0" simplePos="0" relativeHeight="251658240" behindDoc="0" locked="0" layoutInCell="1" allowOverlap="1">
            <wp:simplePos x="0" y="0"/>
            <wp:positionH relativeFrom="column">
              <wp:posOffset>859441</wp:posOffset>
            </wp:positionH>
            <wp:positionV relativeFrom="paragraph">
              <wp:posOffset>365797</wp:posOffset>
            </wp:positionV>
            <wp:extent cx="3702090" cy="6416"/>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3702090" cy="6416"/>
                    </a:xfrm>
                    <a:prstGeom prst="rect">
                      <a:avLst/>
                    </a:prstGeom>
                  </pic:spPr>
                </pic:pic>
              </a:graphicData>
            </a:graphic>
          </wp:anchor>
        </w:drawing>
      </w:r>
      <w:r>
        <w:rPr>
          <w:rFonts w:ascii="SimSun" w:hAnsi="SimSun" w:eastAsia="SimSun" w:cs="SimSun"/>
          <w:sz w:val="32"/>
          <w:szCs w:val="32"/>
          <w:b/>
          <w:bCs/>
          <w:spacing w:val="-5"/>
        </w:rPr>
        <w:t>建设单位：绵阳柒鑫食品有限公司</w:t>
      </w:r>
    </w:p>
    <w:p>
      <w:pPr>
        <w:ind w:left="1453"/>
        <w:spacing w:before="224" w:line="219" w:lineRule="auto"/>
        <w:rPr>
          <w:rFonts w:ascii="SimSun" w:hAnsi="SimSun" w:eastAsia="SimSun" w:cs="SimSun"/>
          <w:sz w:val="32"/>
          <w:szCs w:val="32"/>
        </w:rPr>
      </w:pPr>
      <w:r>
        <w:rPr>
          <w:rFonts w:ascii="SimSun" w:hAnsi="SimSun" w:eastAsia="SimSun" w:cs="SimSun"/>
          <w:sz w:val="32"/>
          <w:szCs w:val="32"/>
          <w:spacing w:val="-1"/>
        </w:rPr>
        <w:t>编制单位：四川良策环保技术有限公司</w:t>
      </w:r>
    </w:p>
    <w:p>
      <w:pPr>
        <w:pStyle w:val="BodyText"/>
        <w:spacing w:line="246" w:lineRule="auto"/>
        <w:rPr/>
      </w:pPr>
      <w:r/>
    </w:p>
    <w:p>
      <w:pPr>
        <w:pStyle w:val="BodyText"/>
        <w:spacing w:line="247" w:lineRule="auto"/>
        <w:rPr/>
      </w:pPr>
      <w:r/>
    </w:p>
    <w:p>
      <w:pPr>
        <w:ind w:left="3187"/>
        <w:spacing w:before="89" w:line="219" w:lineRule="auto"/>
        <w:rPr>
          <w:rFonts w:ascii="SimSun" w:hAnsi="SimSun" w:eastAsia="SimSun" w:cs="SimSun"/>
          <w:sz w:val="27"/>
          <w:szCs w:val="27"/>
        </w:rPr>
      </w:pPr>
      <w:r>
        <w:rPr>
          <w:rFonts w:ascii="SimSun" w:hAnsi="SimSun" w:eastAsia="SimSun" w:cs="SimSun"/>
          <w:sz w:val="27"/>
          <w:szCs w:val="27"/>
          <w:b/>
          <w:bCs/>
          <w:spacing w:val="5"/>
        </w:rPr>
        <w:t>二○二五年二月</w:t>
      </w:r>
    </w:p>
    <w:p>
      <w:pPr>
        <w:spacing w:line="219" w:lineRule="auto"/>
        <w:sectPr>
          <w:pgSz w:w="11910" w:h="16840"/>
          <w:pgMar w:top="1431" w:right="1786" w:bottom="0" w:left="1786" w:header="0" w:footer="0" w:gutter="0"/>
        </w:sectPr>
        <w:rPr>
          <w:rFonts w:ascii="SimSun" w:hAnsi="SimSun" w:eastAsia="SimSun" w:cs="SimSun"/>
          <w:sz w:val="27"/>
          <w:szCs w:val="27"/>
        </w:rPr>
      </w:pPr>
    </w:p>
    <w:p>
      <w:pPr>
        <w:pStyle w:val="BodyText"/>
        <w:spacing w:line="273" w:lineRule="auto"/>
        <w:rPr/>
      </w:pPr>
      <w:r/>
    </w:p>
    <w:p>
      <w:pPr>
        <w:ind w:left="2340"/>
        <w:spacing w:before="123" w:line="219" w:lineRule="auto"/>
        <w:rPr>
          <w:rFonts w:ascii="SimSun" w:hAnsi="SimSun" w:eastAsia="SimSun" w:cs="SimSun"/>
          <w:sz w:val="38"/>
          <w:szCs w:val="38"/>
        </w:rPr>
      </w:pPr>
      <w:r>
        <w:rPr>
          <w:rFonts w:ascii="SimSun" w:hAnsi="SimSun" w:eastAsia="SimSun" w:cs="SimSun"/>
          <w:sz w:val="38"/>
          <w:szCs w:val="38"/>
          <w:b/>
          <w:bCs/>
          <w:spacing w:val="-2"/>
        </w:rPr>
        <w:t>绵阳柒鑫食品有限公司</w:t>
      </w:r>
    </w:p>
    <w:p>
      <w:pPr>
        <w:ind w:left="1559" w:right="251" w:hanging="1349"/>
        <w:spacing w:before="160" w:line="296" w:lineRule="auto"/>
        <w:rPr>
          <w:rFonts w:ascii="SimSun" w:hAnsi="SimSun" w:eastAsia="SimSun" w:cs="SimSun"/>
          <w:sz w:val="38"/>
          <w:szCs w:val="38"/>
        </w:rPr>
      </w:pPr>
      <w:r>
        <w:rPr>
          <w:rFonts w:ascii="SimSun" w:hAnsi="SimSun" w:eastAsia="SimSun" w:cs="SimSun"/>
          <w:sz w:val="38"/>
          <w:szCs w:val="38"/>
          <w:b/>
          <w:bCs/>
          <w:spacing w:val="-9"/>
        </w:rPr>
        <w:t>关于同意公示《</w:t>
      </w:r>
      <w:r>
        <w:rPr>
          <w:rFonts w:ascii="Times New Roman" w:hAnsi="Times New Roman" w:eastAsia="Times New Roman" w:cs="Times New Roman"/>
          <w:sz w:val="38"/>
          <w:szCs w:val="38"/>
          <w:b/>
          <w:bCs/>
          <w:spacing w:val="-9"/>
        </w:rPr>
        <w:t>A </w:t>
      </w:r>
      <w:r>
        <w:rPr>
          <w:rFonts w:ascii="SimSun" w:hAnsi="SimSun" w:eastAsia="SimSun" w:cs="SimSun"/>
          <w:sz w:val="38"/>
          <w:szCs w:val="38"/>
          <w:b/>
          <w:bCs/>
          <w:spacing w:val="-9"/>
        </w:rPr>
        <w:t>级生猪、肉牛定点屠宰及食品</w:t>
      </w:r>
      <w:r>
        <w:rPr>
          <w:rFonts w:ascii="SimSun" w:hAnsi="SimSun" w:eastAsia="SimSun" w:cs="SimSun"/>
          <w:sz w:val="38"/>
          <w:szCs w:val="38"/>
          <w:spacing w:val="15"/>
        </w:rPr>
        <w:t xml:space="preserve"> </w:t>
      </w:r>
      <w:r>
        <w:rPr>
          <w:rFonts w:ascii="SimSun" w:hAnsi="SimSun" w:eastAsia="SimSun" w:cs="SimSun"/>
          <w:sz w:val="38"/>
          <w:szCs w:val="38"/>
          <w:b/>
          <w:bCs/>
          <w:spacing w:val="-5"/>
        </w:rPr>
        <w:t>加工项目环境影响报告书》的函</w:t>
      </w:r>
    </w:p>
    <w:p>
      <w:pPr>
        <w:pStyle w:val="BodyText"/>
        <w:spacing w:line="301" w:lineRule="auto"/>
        <w:rPr/>
      </w:pPr>
      <w:r/>
    </w:p>
    <w:p>
      <w:pPr>
        <w:pStyle w:val="BodyText"/>
        <w:spacing w:line="302" w:lineRule="auto"/>
        <w:rPr/>
      </w:pPr>
      <w:r/>
    </w:p>
    <w:p>
      <w:pPr>
        <w:ind w:left="205"/>
        <w:spacing w:before="81" w:line="221" w:lineRule="auto"/>
        <w:rPr>
          <w:rFonts w:ascii="SimHei" w:hAnsi="SimHei" w:eastAsia="SimHei" w:cs="SimHei"/>
          <w:sz w:val="25"/>
          <w:szCs w:val="25"/>
        </w:rPr>
      </w:pPr>
      <w:r>
        <w:rPr>
          <w:rFonts w:ascii="SimHei" w:hAnsi="SimHei" w:eastAsia="SimHei" w:cs="SimHei"/>
          <w:sz w:val="25"/>
          <w:szCs w:val="25"/>
          <w:spacing w:val="13"/>
        </w:rPr>
        <w:t>绵阳市生态环境局：</w:t>
      </w:r>
    </w:p>
    <w:p>
      <w:pPr>
        <w:pStyle w:val="BodyText"/>
        <w:ind w:left="205" w:right="245" w:firstLine="590"/>
        <w:spacing w:before="313" w:line="447" w:lineRule="auto"/>
        <w:rPr>
          <w:rFonts w:ascii="SimHei" w:hAnsi="SimHei" w:eastAsia="SimHei" w:cs="SimHei"/>
          <w:sz w:val="25"/>
          <w:szCs w:val="25"/>
        </w:rPr>
      </w:pPr>
      <w:r>
        <w:rPr>
          <w:rFonts w:ascii="SimHei" w:hAnsi="SimHei" w:eastAsia="SimHei" w:cs="SimHei"/>
          <w:sz w:val="25"/>
          <w:szCs w:val="25"/>
          <w:spacing w:val="15"/>
        </w:rPr>
        <w:t>根据《中华人民共和国环境保护法》,《中华人</w:t>
      </w:r>
      <w:r>
        <w:rPr>
          <w:rFonts w:ascii="SimHei" w:hAnsi="SimHei" w:eastAsia="SimHei" w:cs="SimHei"/>
          <w:sz w:val="25"/>
          <w:szCs w:val="25"/>
          <w:spacing w:val="14"/>
        </w:rPr>
        <w:t>民共和国环境影</w:t>
      </w:r>
      <w:r>
        <w:rPr>
          <w:rFonts w:ascii="SimHei" w:hAnsi="SimHei" w:eastAsia="SimHei" w:cs="SimHei"/>
          <w:sz w:val="25"/>
          <w:szCs w:val="25"/>
        </w:rPr>
        <w:t xml:space="preserve"> </w:t>
      </w:r>
      <w:r>
        <w:rPr>
          <w:rFonts w:ascii="SimHei" w:hAnsi="SimHei" w:eastAsia="SimHei" w:cs="SimHei"/>
          <w:sz w:val="25"/>
          <w:szCs w:val="25"/>
          <w:spacing w:val="15"/>
        </w:rPr>
        <w:t>响评价法》及《建设项目环境保护管理条例》(国务院令第682号)、</w:t>
      </w:r>
      <w:r>
        <w:rPr>
          <w:rFonts w:ascii="SimHei" w:hAnsi="SimHei" w:eastAsia="SimHei" w:cs="SimHei"/>
          <w:sz w:val="25"/>
          <w:szCs w:val="25"/>
          <w:spacing w:val="18"/>
        </w:rPr>
        <w:t xml:space="preserve"> </w:t>
      </w:r>
      <w:r>
        <w:rPr>
          <w:rFonts w:ascii="SimHei" w:hAnsi="SimHei" w:eastAsia="SimHei" w:cs="SimHei"/>
          <w:sz w:val="25"/>
          <w:szCs w:val="25"/>
          <w:spacing w:val="11"/>
        </w:rPr>
        <w:t>《建设项目环境影响评价政府信息公开指南(试行)》、《建设项</w:t>
      </w:r>
      <w:r>
        <w:rPr>
          <w:rFonts w:ascii="SimHei" w:hAnsi="SimHei" w:eastAsia="SimHei" w:cs="SimHei"/>
          <w:sz w:val="25"/>
          <w:szCs w:val="25"/>
          <w:spacing w:val="10"/>
        </w:rPr>
        <w:t>目环</w:t>
      </w:r>
      <w:r>
        <w:rPr>
          <w:rFonts w:ascii="SimHei" w:hAnsi="SimHei" w:eastAsia="SimHei" w:cs="SimHei"/>
          <w:sz w:val="25"/>
          <w:szCs w:val="25"/>
        </w:rPr>
        <w:t xml:space="preserve"> </w:t>
      </w:r>
      <w:r>
        <w:rPr>
          <w:rFonts w:ascii="SimHei" w:hAnsi="SimHei" w:eastAsia="SimHei" w:cs="SimHei"/>
          <w:sz w:val="25"/>
          <w:szCs w:val="25"/>
          <w:spacing w:val="12"/>
        </w:rPr>
        <w:t>境影响评价信息公开机制方案》(环发[2015]162号)等法律法规的要</w:t>
      </w:r>
      <w:r>
        <w:rPr>
          <w:rFonts w:ascii="SimHei" w:hAnsi="SimHei" w:eastAsia="SimHei" w:cs="SimHei"/>
          <w:sz w:val="25"/>
          <w:szCs w:val="25"/>
          <w:spacing w:val="3"/>
        </w:rPr>
        <w:t xml:space="preserve"> </w:t>
      </w:r>
      <w:r>
        <w:rPr>
          <w:rFonts w:ascii="SimHei" w:hAnsi="SimHei" w:eastAsia="SimHei" w:cs="SimHei"/>
          <w:sz w:val="25"/>
          <w:szCs w:val="25"/>
          <w:spacing w:val="10"/>
        </w:rPr>
        <w:t>求，我单位同意公示《</w:t>
      </w:r>
      <w:r>
        <w:rPr>
          <w:sz w:val="25"/>
          <w:szCs w:val="25"/>
          <w:spacing w:val="10"/>
        </w:rPr>
        <w:t>A </w:t>
      </w:r>
      <w:r>
        <w:rPr>
          <w:rFonts w:ascii="SimHei" w:hAnsi="SimHei" w:eastAsia="SimHei" w:cs="SimHei"/>
          <w:sz w:val="25"/>
          <w:szCs w:val="25"/>
          <w:spacing w:val="10"/>
        </w:rPr>
        <w:t>级生猪、肉牛定点屠宰及食品加工项目环境</w:t>
      </w:r>
      <w:r>
        <w:rPr>
          <w:rFonts w:ascii="SimHei" w:hAnsi="SimHei" w:eastAsia="SimHei" w:cs="SimHei"/>
          <w:sz w:val="25"/>
          <w:szCs w:val="25"/>
          <w:spacing w:val="2"/>
        </w:rPr>
        <w:t xml:space="preserve"> </w:t>
      </w:r>
      <w:r>
        <w:rPr>
          <w:rFonts w:ascii="SimHei" w:hAnsi="SimHei" w:eastAsia="SimHei" w:cs="SimHei"/>
          <w:sz w:val="25"/>
          <w:szCs w:val="25"/>
          <w:spacing w:val="14"/>
        </w:rPr>
        <w:t>影响报告书》,报告中涉及我公司商业机密的部分建议不予公示，如</w:t>
      </w:r>
      <w:r>
        <w:rPr>
          <w:rFonts w:ascii="SimHei" w:hAnsi="SimHei" w:eastAsia="SimHei" w:cs="SimHei"/>
          <w:sz w:val="25"/>
          <w:szCs w:val="25"/>
          <w:spacing w:val="16"/>
        </w:rPr>
        <w:t xml:space="preserve"> </w:t>
      </w:r>
      <w:r>
        <w:rPr>
          <w:rFonts w:ascii="SimHei" w:hAnsi="SimHei" w:eastAsia="SimHei" w:cs="SimHei"/>
          <w:sz w:val="25"/>
          <w:szCs w:val="25"/>
          <w:spacing w:val="12"/>
        </w:rPr>
        <w:t>第四章环境现状调查与评价、监测报告等资料及相关附图附件。</w:t>
      </w:r>
    </w:p>
    <w:p>
      <w:pPr>
        <w:ind w:left="205" w:right="230" w:firstLine="560"/>
        <w:spacing w:line="446" w:lineRule="auto"/>
        <w:jc w:val="both"/>
        <w:rPr>
          <w:rFonts w:ascii="SimHei" w:hAnsi="SimHei" w:eastAsia="SimHei" w:cs="SimHei"/>
          <w:sz w:val="25"/>
          <w:szCs w:val="25"/>
        </w:rPr>
      </w:pPr>
      <w:r>
        <w:rPr>
          <w:rFonts w:ascii="SimHei" w:hAnsi="SimHei" w:eastAsia="SimHei" w:cs="SimHei"/>
          <w:sz w:val="25"/>
          <w:szCs w:val="25"/>
          <w:spacing w:val="10"/>
        </w:rPr>
        <w:t>我公司同意贵局公开经删减后的《</w:t>
      </w:r>
      <w:r>
        <w:rPr>
          <w:rFonts w:ascii="SimSun" w:hAnsi="SimSun" w:eastAsia="SimSun" w:cs="SimSun"/>
          <w:sz w:val="25"/>
          <w:szCs w:val="25"/>
          <w:spacing w:val="10"/>
        </w:rPr>
        <w:t>A </w:t>
      </w:r>
      <w:r>
        <w:rPr>
          <w:rFonts w:ascii="SimHei" w:hAnsi="SimHei" w:eastAsia="SimHei" w:cs="SimHei"/>
          <w:sz w:val="25"/>
          <w:szCs w:val="25"/>
          <w:spacing w:val="10"/>
        </w:rPr>
        <w:t>级生猪、肉牛定点屠宰及食</w:t>
      </w:r>
      <w:r>
        <w:rPr>
          <w:rFonts w:ascii="SimHei" w:hAnsi="SimHei" w:eastAsia="SimHei" w:cs="SimHei"/>
          <w:sz w:val="25"/>
          <w:szCs w:val="25"/>
        </w:rPr>
        <w:t xml:space="preserve"> </w:t>
      </w:r>
      <w:r>
        <w:rPr>
          <w:rFonts w:ascii="SimHei" w:hAnsi="SimHei" w:eastAsia="SimHei" w:cs="SimHei"/>
          <w:sz w:val="25"/>
          <w:szCs w:val="25"/>
          <w:spacing w:val="17"/>
        </w:rPr>
        <w:t>品加工项目环境影响报告书》,公示的环境影响报告书以《公示本》</w:t>
      </w:r>
      <w:r>
        <w:rPr>
          <w:rFonts w:ascii="SimHei" w:hAnsi="SimHei" w:eastAsia="SimHei" w:cs="SimHei"/>
          <w:sz w:val="25"/>
          <w:szCs w:val="25"/>
          <w:spacing w:val="8"/>
        </w:rPr>
        <w:t xml:space="preserve"> </w:t>
      </w:r>
      <w:r>
        <w:rPr>
          <w:rFonts w:ascii="SimHei" w:hAnsi="SimHei" w:eastAsia="SimHei" w:cs="SimHei"/>
          <w:sz w:val="25"/>
          <w:szCs w:val="25"/>
          <w:spacing w:val="5"/>
        </w:rPr>
        <w:t>为准。</w:t>
      </w:r>
    </w:p>
    <w:p>
      <w:pPr>
        <w:ind w:left="734"/>
        <w:spacing w:before="8" w:line="222" w:lineRule="auto"/>
        <w:rPr>
          <w:rFonts w:ascii="SimHei" w:hAnsi="SimHei" w:eastAsia="SimHei" w:cs="SimHei"/>
          <w:sz w:val="25"/>
          <w:szCs w:val="25"/>
        </w:rPr>
      </w:pPr>
      <w:r>
        <w:rPr>
          <w:rFonts w:ascii="SimHei" w:hAnsi="SimHei" w:eastAsia="SimHei" w:cs="SimHei"/>
          <w:sz w:val="25"/>
          <w:szCs w:val="25"/>
          <w:spacing w:val="13"/>
        </w:rPr>
        <w:t>特此报告。</w:t>
      </w:r>
    </w:p>
    <w:p>
      <w:pPr>
        <w:pStyle w:val="BodyText"/>
        <w:spacing w:line="245" w:lineRule="auto"/>
        <w:rPr/>
      </w:pPr>
      <w:r/>
    </w:p>
    <w:p>
      <w:pPr>
        <w:pStyle w:val="BodyText"/>
        <w:spacing w:line="245" w:lineRule="auto"/>
        <w:rPr/>
      </w:pPr>
      <w:r/>
    </w:p>
    <w:p>
      <w:pPr>
        <w:pStyle w:val="BodyText"/>
        <w:spacing w:line="245" w:lineRule="auto"/>
        <w:rPr/>
      </w:pPr>
      <w:r/>
    </w:p>
    <w:p>
      <w:pPr>
        <w:ind w:left="5434"/>
        <w:spacing w:before="82" w:line="219" w:lineRule="auto"/>
        <w:rPr>
          <w:rFonts w:ascii="SimSun" w:hAnsi="SimSun" w:eastAsia="SimSun" w:cs="SimSun"/>
          <w:sz w:val="25"/>
          <w:szCs w:val="25"/>
        </w:rPr>
      </w:pPr>
      <w:r>
        <w:drawing>
          <wp:anchor distT="0" distB="0" distL="0" distR="0" simplePos="0" relativeHeight="251659264" behindDoc="0" locked="0" layoutInCell="1" allowOverlap="1">
            <wp:simplePos x="0" y="0"/>
            <wp:positionH relativeFrom="column">
              <wp:posOffset>3825855</wp:posOffset>
            </wp:positionH>
            <wp:positionV relativeFrom="paragraph">
              <wp:posOffset>-621230</wp:posOffset>
            </wp:positionV>
            <wp:extent cx="1422435" cy="1485937"/>
            <wp:effectExtent l="0" t="0" r="0" b="0"/>
            <wp:wrapNone/>
            <wp:docPr id="4" name="IM 4"/>
            <wp:cNvGraphicFramePr/>
            <a:graphic>
              <a:graphicData uri="http://schemas.openxmlformats.org/drawingml/2006/picture">
                <pic:pic>
                  <pic:nvPicPr>
                    <pic:cNvPr id="4" name="IM 4"/>
                    <pic:cNvPicPr/>
                  </pic:nvPicPr>
                  <pic:blipFill>
                    <a:blip r:embed="rId2"/>
                    <a:stretch>
                      <a:fillRect/>
                    </a:stretch>
                  </pic:blipFill>
                  <pic:spPr>
                    <a:xfrm rot="0">
                      <a:off x="0" y="0"/>
                      <a:ext cx="1422435" cy="1485937"/>
                    </a:xfrm>
                    <a:prstGeom prst="rect">
                      <a:avLst/>
                    </a:prstGeom>
                  </pic:spPr>
                </pic:pic>
              </a:graphicData>
            </a:graphic>
          </wp:anchor>
        </w:drawing>
      </w:r>
      <w:r>
        <w:rPr>
          <w:rFonts w:ascii="SimSun" w:hAnsi="SimSun" w:eastAsia="SimSun" w:cs="SimSun"/>
          <w:sz w:val="25"/>
          <w:szCs w:val="25"/>
          <w:spacing w:val="9"/>
        </w:rPr>
        <w:t>绵阳柒鑫食品有限公司</w:t>
      </w:r>
    </w:p>
    <w:p>
      <w:pPr>
        <w:pStyle w:val="BodyText"/>
        <w:spacing w:line="280" w:lineRule="auto"/>
        <w:rPr/>
      </w:pPr>
      <w:r/>
    </w:p>
    <w:p>
      <w:pPr>
        <w:ind w:left="5764"/>
        <w:spacing w:before="82" w:line="219" w:lineRule="auto"/>
        <w:rPr>
          <w:rFonts w:ascii="SimSun" w:hAnsi="SimSun" w:eastAsia="SimSun" w:cs="SimSun"/>
          <w:sz w:val="25"/>
          <w:szCs w:val="25"/>
        </w:rPr>
      </w:pPr>
      <w:r>
        <w:rPr>
          <w:rFonts w:ascii="SimSun" w:hAnsi="SimSun" w:eastAsia="SimSun" w:cs="SimSun"/>
          <w:sz w:val="25"/>
          <w:szCs w:val="25"/>
          <w:spacing w:val="37"/>
          <w:w w:val="103"/>
        </w:rPr>
        <w:t>2025年1月17日</w:t>
      </w:r>
    </w:p>
    <w:p>
      <w:pPr>
        <w:spacing w:line="219" w:lineRule="auto"/>
        <w:sectPr>
          <w:pgSz w:w="11900" w:h="18140"/>
          <w:pgMar w:top="1541" w:right="1785" w:bottom="0" w:left="1785" w:header="0" w:footer="0" w:gutter="0"/>
        </w:sectPr>
        <w:rPr>
          <w:rFonts w:ascii="SimSun" w:hAnsi="SimSun" w:eastAsia="SimSun" w:cs="SimSun"/>
          <w:sz w:val="25"/>
          <w:szCs w:val="25"/>
        </w:rPr>
      </w:pPr>
    </w:p>
    <w:p>
      <w:pPr>
        <w:pStyle w:val="BodyText"/>
        <w:spacing w:line="279" w:lineRule="auto"/>
        <w:rPr/>
      </w:pPr>
      <w:r/>
    </w:p>
    <w:p>
      <w:pPr>
        <w:pStyle w:val="BodyText"/>
        <w:spacing w:line="280" w:lineRule="auto"/>
        <w:rPr/>
      </w:pPr>
      <w:r/>
    </w:p>
    <w:sdt>
      <w:sdtPr>
        <w:rPr>
          <w:rFonts w:ascii="SimSun" w:hAnsi="SimSun" w:eastAsia="SimSun" w:cs="SimSun"/>
          <w:sz w:val="23"/>
          <w:szCs w:val="23"/>
        </w:rPr>
        <w:docPartObj>
          <w:docPartGallery w:val="Table of Contents"/>
          <w:docPartUnique/>
        </w:docPartObj>
      </w:sdtPr>
      <w:sdtEndPr>
        <w:rPr>
          <w:rFonts w:ascii="Times New Roman" w:hAnsi="Times New Roman" w:eastAsia="Times New Roman" w:cs="Times New Roman"/>
          <w:sz w:val="23"/>
          <w:szCs w:val="23"/>
        </w:rPr>
      </w:sdtEndPr>
      <w:sdtContent>
        <w:p>
          <w:pPr>
            <w:ind w:left="3783"/>
            <w:spacing w:before="75" w:line="221" w:lineRule="auto"/>
            <w:rPr>
              <w:rFonts w:ascii="SimSun" w:hAnsi="SimSun" w:eastAsia="SimSun" w:cs="SimSun"/>
              <w:sz w:val="23"/>
              <w:szCs w:val="23"/>
            </w:rPr>
          </w:pPr>
          <w:bookmarkStart w:name="bookmark1" w:id="1"/>
          <w:bookmarkEnd w:id="1"/>
          <w:r>
            <w:rPr>
              <w:rFonts w:ascii="SimSun" w:hAnsi="SimSun" w:eastAsia="SimSun" w:cs="SimSun"/>
              <w:sz w:val="23"/>
              <w:szCs w:val="23"/>
              <w:b/>
              <w:bCs/>
              <w:spacing w:val="-29"/>
            </w:rPr>
            <w:t>目</w:t>
          </w:r>
          <w:r>
            <w:rPr>
              <w:rFonts w:ascii="SimSun" w:hAnsi="SimSun" w:eastAsia="SimSun" w:cs="SimSun"/>
              <w:sz w:val="23"/>
              <w:szCs w:val="23"/>
              <w:spacing w:val="56"/>
            </w:rPr>
            <w:t xml:space="preserve">  </w:t>
          </w:r>
          <w:r>
            <w:rPr>
              <w:rFonts w:ascii="SimSun" w:hAnsi="SimSun" w:eastAsia="SimSun" w:cs="SimSun"/>
              <w:sz w:val="23"/>
              <w:szCs w:val="23"/>
              <w:b/>
              <w:bCs/>
              <w:spacing w:val="-29"/>
            </w:rPr>
            <w:t>录</w:t>
          </w:r>
        </w:p>
        <w:p>
          <w:pPr>
            <w:spacing w:before="93" w:line="219" w:lineRule="auto"/>
            <w:tabs>
              <w:tab w:val="right" w:leader="dot" w:pos="8247"/>
            </w:tabs>
            <w:rPr>
              <w:rFonts w:ascii="Times New Roman" w:hAnsi="Times New Roman" w:eastAsia="Times New Roman" w:cs="Times New Roman"/>
              <w:sz w:val="23"/>
              <w:szCs w:val="23"/>
            </w:rPr>
          </w:pPr>
          <w:hyperlink w:history="true" w:anchor="bookmark2">
            <w:r>
              <w:rPr>
                <w:rFonts w:ascii="SimSun" w:hAnsi="SimSun" w:eastAsia="SimSun" w:cs="SimSun"/>
                <w:sz w:val="23"/>
                <w:szCs w:val="23"/>
                <w:spacing w:val="12"/>
              </w:rPr>
              <w:t>第0章概述</w:t>
            </w:r>
            <w:r>
              <w:rPr>
                <w:rFonts w:ascii="SimSun" w:hAnsi="SimSun" w:eastAsia="SimSun" w:cs="SimSun"/>
                <w:sz w:val="23"/>
                <w:szCs w:val="23"/>
                <w:spacing w:val="-91"/>
              </w:rPr>
              <w:t xml:space="preserve"> </w:t>
            </w:r>
            <w:r>
              <w:rPr>
                <w:rFonts w:ascii="SimSun" w:hAnsi="SimSun" w:eastAsia="SimSun" w:cs="SimSun"/>
                <w:sz w:val="23"/>
                <w:szCs w:val="23"/>
              </w:rPr>
              <w:tab/>
            </w:r>
            <w:r>
              <w:rPr>
                <w:rFonts w:ascii="Times New Roman" w:hAnsi="Times New Roman" w:eastAsia="Times New Roman" w:cs="Times New Roman"/>
                <w:sz w:val="23"/>
                <w:szCs w:val="23"/>
              </w:rPr>
              <w:t>1</w:t>
            </w:r>
          </w:hyperlink>
        </w:p>
        <w:p>
          <w:pPr>
            <w:ind w:left="420"/>
            <w:spacing w:before="28" w:line="219" w:lineRule="auto"/>
            <w:tabs>
              <w:tab w:val="right" w:leader="dot" w:pos="8267"/>
            </w:tabs>
            <w:rPr>
              <w:rFonts w:ascii="Times New Roman" w:hAnsi="Times New Roman" w:eastAsia="Times New Roman" w:cs="Times New Roman"/>
              <w:sz w:val="23"/>
              <w:szCs w:val="23"/>
            </w:rPr>
          </w:pPr>
          <w:hyperlink w:history="true" w:anchor="bookmark3">
            <w:r>
              <w:rPr>
                <w:rFonts w:ascii="Times New Roman" w:hAnsi="Times New Roman" w:eastAsia="Times New Roman" w:cs="Times New Roman"/>
                <w:sz w:val="23"/>
                <w:szCs w:val="23"/>
                <w:spacing w:val="11"/>
              </w:rPr>
              <w:t>0.1</w:t>
            </w:r>
            <w:r>
              <w:rPr>
                <w:rFonts w:ascii="SimSun" w:hAnsi="SimSun" w:eastAsia="SimSun" w:cs="SimSun"/>
                <w:sz w:val="23"/>
                <w:szCs w:val="23"/>
                <w:spacing w:val="11"/>
              </w:rPr>
              <w:t>项目由来</w:t>
            </w:r>
            <w:r>
              <w:rPr>
                <w:rFonts w:ascii="SimSun" w:hAnsi="SimSun" w:eastAsia="SimSun" w:cs="SimSun"/>
                <w:sz w:val="23"/>
                <w:szCs w:val="23"/>
                <w:spacing w:val="-91"/>
              </w:rPr>
              <w:t xml:space="preserve"> </w:t>
            </w:r>
            <w:r>
              <w:rPr>
                <w:rFonts w:ascii="SimSun" w:hAnsi="SimSun" w:eastAsia="SimSun" w:cs="SimSun"/>
                <w:sz w:val="23"/>
                <w:szCs w:val="23"/>
              </w:rPr>
              <w:tab/>
            </w:r>
            <w:r>
              <w:rPr>
                <w:rFonts w:ascii="SimSun" w:hAnsi="SimSun" w:eastAsia="SimSun" w:cs="SimSun"/>
                <w:sz w:val="23"/>
                <w:szCs w:val="23"/>
                <w:spacing w:val="-79"/>
              </w:rPr>
              <w:t xml:space="preserve"> </w:t>
            </w:r>
            <w:r>
              <w:rPr>
                <w:rFonts w:ascii="Times New Roman" w:hAnsi="Times New Roman" w:eastAsia="Times New Roman" w:cs="Times New Roman"/>
                <w:sz w:val="23"/>
                <w:szCs w:val="23"/>
              </w:rPr>
              <w:t>1</w:t>
            </w:r>
          </w:hyperlink>
        </w:p>
        <w:p>
          <w:pPr>
            <w:ind w:left="420"/>
            <w:spacing w:before="47" w:line="219" w:lineRule="auto"/>
            <w:tabs>
              <w:tab w:val="right" w:leader="dot" w:pos="8270"/>
            </w:tabs>
            <w:rPr>
              <w:rFonts w:ascii="Times New Roman" w:hAnsi="Times New Roman" w:eastAsia="Times New Roman" w:cs="Times New Roman"/>
              <w:sz w:val="23"/>
              <w:szCs w:val="23"/>
            </w:rPr>
          </w:pPr>
          <w:hyperlink w:history="true" w:anchor="bookmark4">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10"/>
              </w:rPr>
              <w:t xml:space="preserve"> </w:t>
            </w:r>
            <w:r>
              <w:rPr>
                <w:rFonts w:ascii="SimSun" w:hAnsi="SimSun" w:eastAsia="SimSun" w:cs="SimSun"/>
                <w:sz w:val="23"/>
                <w:szCs w:val="23"/>
                <w:spacing w:val="6"/>
              </w:rPr>
              <w:t>建设项目特点</w:t>
            </w:r>
            <w:r>
              <w:rPr>
                <w:rFonts w:ascii="SimSun" w:hAnsi="SimSun" w:eastAsia="SimSun" w:cs="SimSun"/>
                <w:sz w:val="23"/>
                <w:szCs w:val="23"/>
                <w:spacing w:val="-106"/>
              </w:rPr>
              <w:t xml:space="preserve"> </w:t>
            </w:r>
            <w:r>
              <w:rPr>
                <w:rFonts w:ascii="SimSun" w:hAnsi="SimSun" w:eastAsia="SimSun" w:cs="SimSun"/>
                <w:sz w:val="23"/>
                <w:szCs w:val="23"/>
              </w:rPr>
              <w:tab/>
            </w:r>
            <w:r>
              <w:rPr>
                <w:rFonts w:ascii="Times New Roman" w:hAnsi="Times New Roman" w:eastAsia="Times New Roman" w:cs="Times New Roman"/>
                <w:sz w:val="23"/>
                <w:szCs w:val="23"/>
                <w:spacing w:val="1"/>
              </w:rPr>
              <w:t>2</w:t>
            </w:r>
          </w:hyperlink>
        </w:p>
        <w:p>
          <w:pPr>
            <w:ind w:left="420"/>
            <w:spacing w:before="25" w:line="218" w:lineRule="auto"/>
            <w:tabs>
              <w:tab w:val="right" w:leader="dot" w:pos="8294"/>
            </w:tabs>
            <w:rPr>
              <w:rFonts w:ascii="Times New Roman" w:hAnsi="Times New Roman" w:eastAsia="Times New Roman" w:cs="Times New Roman"/>
              <w:sz w:val="23"/>
              <w:szCs w:val="23"/>
            </w:rPr>
          </w:pPr>
          <w:hyperlink w:history="true" w:anchor="bookmark5">
            <w:r>
              <w:rPr>
                <w:rFonts w:ascii="Times New Roman" w:hAnsi="Times New Roman" w:eastAsia="Times New Roman" w:cs="Times New Roman"/>
                <w:sz w:val="23"/>
                <w:szCs w:val="23"/>
                <w:spacing w:val="10"/>
              </w:rPr>
              <w:t>0.3</w:t>
            </w:r>
            <w:r>
              <w:rPr>
                <w:rFonts w:ascii="SimSun" w:hAnsi="SimSun" w:eastAsia="SimSun" w:cs="SimSun"/>
                <w:sz w:val="23"/>
                <w:szCs w:val="23"/>
                <w:spacing w:val="10"/>
              </w:rPr>
              <w:t>环境影响评价的工作过程</w:t>
            </w:r>
            <w:r>
              <w:rPr>
                <w:rFonts w:ascii="SimSun" w:hAnsi="SimSun" w:eastAsia="SimSun" w:cs="SimSun"/>
                <w:sz w:val="23"/>
                <w:szCs w:val="23"/>
                <w:spacing w:val="-94"/>
              </w:rPr>
              <w:t xml:space="preserve"> </w:t>
            </w:r>
            <w:r>
              <w:rPr>
                <w:rFonts w:ascii="SimSun" w:hAnsi="SimSun" w:eastAsia="SimSun" w:cs="SimSun"/>
                <w:sz w:val="23"/>
                <w:szCs w:val="23"/>
              </w:rPr>
              <w:tab/>
            </w:r>
            <w:r>
              <w:rPr>
                <w:rFonts w:ascii="SimSun" w:hAnsi="SimSun" w:eastAsia="SimSun" w:cs="SimSun"/>
                <w:sz w:val="23"/>
                <w:szCs w:val="23"/>
                <w:spacing w:val="-49"/>
              </w:rPr>
              <w:t xml:space="preserve"> </w:t>
            </w:r>
            <w:r>
              <w:rPr>
                <w:rFonts w:ascii="Times New Roman" w:hAnsi="Times New Roman" w:eastAsia="Times New Roman" w:cs="Times New Roman"/>
                <w:sz w:val="23"/>
                <w:szCs w:val="23"/>
                <w:spacing w:val="-4"/>
                <w:w w:val="24"/>
              </w:rPr>
              <w:t>3</w:t>
            </w:r>
          </w:hyperlink>
        </w:p>
        <w:p>
          <w:pPr>
            <w:ind w:left="420"/>
            <w:spacing w:before="51" w:line="220" w:lineRule="auto"/>
            <w:tabs>
              <w:tab w:val="right" w:leader="dot" w:pos="8292"/>
            </w:tabs>
            <w:rPr>
              <w:rFonts w:ascii="Times New Roman" w:hAnsi="Times New Roman" w:eastAsia="Times New Roman" w:cs="Times New Roman"/>
              <w:sz w:val="23"/>
              <w:szCs w:val="23"/>
            </w:rPr>
          </w:pPr>
          <w:hyperlink w:history="true" w:anchor="bookmark6">
            <w:r>
              <w:rPr>
                <w:rFonts w:ascii="Times New Roman" w:hAnsi="Times New Roman" w:eastAsia="Times New Roman" w:cs="Times New Roman"/>
                <w:sz w:val="23"/>
                <w:szCs w:val="23"/>
                <w:spacing w:val="8"/>
              </w:rPr>
              <w:t>0.4</w:t>
            </w:r>
            <w:r>
              <w:rPr>
                <w:rFonts w:ascii="Times New Roman" w:hAnsi="Times New Roman" w:eastAsia="Times New Roman" w:cs="Times New Roman"/>
                <w:sz w:val="23"/>
                <w:szCs w:val="23"/>
                <w:spacing w:val="-15"/>
              </w:rPr>
              <w:t xml:space="preserve"> </w:t>
            </w:r>
            <w:r>
              <w:rPr>
                <w:rFonts w:ascii="SimSun" w:hAnsi="SimSun" w:eastAsia="SimSun" w:cs="SimSun"/>
                <w:sz w:val="23"/>
                <w:szCs w:val="23"/>
                <w:spacing w:val="8"/>
              </w:rPr>
              <w:t>分析判定相关情况</w:t>
            </w:r>
            <w:r>
              <w:rPr>
                <w:rFonts w:ascii="SimSun" w:hAnsi="SimSun" w:eastAsia="SimSun" w:cs="SimSun"/>
                <w:sz w:val="23"/>
                <w:szCs w:val="23"/>
                <w:spacing w:val="-95"/>
              </w:rPr>
              <w:t xml:space="preserve"> </w:t>
            </w:r>
            <w:r>
              <w:rPr>
                <w:rFonts w:ascii="SimSun" w:hAnsi="SimSun" w:eastAsia="SimSun" w:cs="SimSun"/>
                <w:sz w:val="23"/>
                <w:szCs w:val="23"/>
              </w:rPr>
              <w:tab/>
            </w:r>
            <w:r>
              <w:rPr>
                <w:rFonts w:ascii="SimSun" w:hAnsi="SimSun" w:eastAsia="SimSun" w:cs="SimSun"/>
                <w:sz w:val="23"/>
                <w:szCs w:val="23"/>
                <w:spacing w:val="-39"/>
              </w:rPr>
              <w:t xml:space="preserve"> </w:t>
            </w:r>
            <w:r>
              <w:rPr>
                <w:rFonts w:ascii="Times New Roman" w:hAnsi="Times New Roman" w:eastAsia="Times New Roman" w:cs="Times New Roman"/>
                <w:sz w:val="23"/>
                <w:szCs w:val="23"/>
                <w:spacing w:val="-5"/>
                <w:w w:val="24"/>
              </w:rPr>
              <w:t>5</w:t>
            </w:r>
          </w:hyperlink>
        </w:p>
        <w:p>
          <w:pPr>
            <w:ind w:left="420"/>
            <w:spacing w:before="26" w:line="220" w:lineRule="auto"/>
            <w:tabs>
              <w:tab w:val="right" w:leader="dot" w:pos="8265"/>
            </w:tabs>
            <w:rPr>
              <w:rFonts w:ascii="Times New Roman" w:hAnsi="Times New Roman" w:eastAsia="Times New Roman" w:cs="Times New Roman"/>
              <w:sz w:val="23"/>
              <w:szCs w:val="23"/>
            </w:rPr>
          </w:pPr>
          <w:hyperlink w:history="true" w:anchor="bookmark7">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17"/>
              </w:rPr>
              <w:t xml:space="preserve"> </w:t>
            </w:r>
            <w:r>
              <w:rPr>
                <w:rFonts w:ascii="SimSun" w:hAnsi="SimSun" w:eastAsia="SimSun" w:cs="SimSun"/>
                <w:sz w:val="23"/>
                <w:szCs w:val="23"/>
                <w:spacing w:val="6"/>
              </w:rPr>
              <w:t>关注的主要环境问题</w:t>
            </w:r>
            <w:r>
              <w:rPr>
                <w:rFonts w:ascii="SimSun" w:hAnsi="SimSun" w:eastAsia="SimSun" w:cs="SimSun"/>
                <w:sz w:val="23"/>
                <w:szCs w:val="23"/>
                <w:spacing w:val="-96"/>
              </w:rPr>
              <w:t xml:space="preserve"> </w:t>
            </w:r>
            <w:r>
              <w:rPr>
                <w:rFonts w:ascii="SimSun" w:hAnsi="SimSun" w:eastAsia="SimSun" w:cs="SimSun"/>
                <w:sz w:val="23"/>
                <w:szCs w:val="23"/>
              </w:rPr>
              <w:tab/>
            </w:r>
            <w:r>
              <w:rPr>
                <w:rFonts w:ascii="Times New Roman" w:hAnsi="Times New Roman" w:eastAsia="Times New Roman" w:cs="Times New Roman"/>
                <w:sz w:val="23"/>
                <w:szCs w:val="23"/>
              </w:rPr>
              <w:t>7</w:t>
            </w:r>
          </w:hyperlink>
        </w:p>
        <w:p>
          <w:pPr>
            <w:ind w:left="420"/>
            <w:spacing w:before="15" w:line="220" w:lineRule="auto"/>
            <w:tabs>
              <w:tab w:val="right" w:leader="dot" w:pos="8265"/>
            </w:tabs>
            <w:rPr>
              <w:rFonts w:ascii="Times New Roman" w:hAnsi="Times New Roman" w:eastAsia="Times New Roman" w:cs="Times New Roman"/>
              <w:sz w:val="23"/>
              <w:szCs w:val="23"/>
            </w:rPr>
          </w:pPr>
          <w:hyperlink w:history="true" w:anchor="bookmark8">
            <w:r>
              <w:rPr>
                <w:rFonts w:ascii="Times New Roman" w:hAnsi="Times New Roman" w:eastAsia="Times New Roman" w:cs="Times New Roman"/>
                <w:sz w:val="23"/>
                <w:szCs w:val="23"/>
                <w:spacing w:val="-1"/>
              </w:rPr>
              <w:t>0.6</w:t>
            </w:r>
            <w:r>
              <w:rPr>
                <w:rFonts w:ascii="SimSun" w:hAnsi="SimSun" w:eastAsia="SimSun" w:cs="SimSun"/>
                <w:sz w:val="23"/>
                <w:szCs w:val="23"/>
                <w:spacing w:val="-1"/>
              </w:rPr>
              <w:t>环评主要结论</w:t>
            </w:r>
            <w:r>
              <w:rPr>
                <w:rFonts w:ascii="SimSun" w:hAnsi="SimSun" w:eastAsia="SimSun" w:cs="SimSun"/>
                <w:sz w:val="23"/>
                <w:szCs w:val="23"/>
                <w:spacing w:val="-95"/>
              </w:rPr>
              <w:t xml:space="preserve"> </w:t>
            </w:r>
            <w:r>
              <w:rPr>
                <w:rFonts w:ascii="SimSun" w:hAnsi="SimSun" w:eastAsia="SimSun" w:cs="SimSun"/>
                <w:sz w:val="23"/>
                <w:szCs w:val="23"/>
              </w:rPr>
              <w:tab/>
            </w:r>
            <w:r>
              <w:rPr>
                <w:rFonts w:ascii="SimSun" w:hAnsi="SimSun" w:eastAsia="SimSun" w:cs="SimSun"/>
                <w:sz w:val="23"/>
                <w:szCs w:val="23"/>
                <w:spacing w:val="-9"/>
              </w:rPr>
              <w:t xml:space="preserve"> </w:t>
            </w:r>
            <w:r>
              <w:rPr>
                <w:rFonts w:ascii="Times New Roman" w:hAnsi="Times New Roman" w:eastAsia="Times New Roman" w:cs="Times New Roman"/>
                <w:sz w:val="23"/>
                <w:szCs w:val="23"/>
              </w:rPr>
              <w:t>7</w:t>
            </w:r>
          </w:hyperlink>
        </w:p>
        <w:p>
          <w:pPr>
            <w:spacing w:before="54" w:line="219" w:lineRule="auto"/>
            <w:tabs>
              <w:tab w:val="right" w:leader="dot" w:pos="8030"/>
            </w:tabs>
            <w:rPr>
              <w:rFonts w:ascii="SimSun" w:hAnsi="SimSun" w:eastAsia="SimSun" w:cs="SimSun"/>
              <w:sz w:val="23"/>
              <w:szCs w:val="23"/>
            </w:rPr>
          </w:pPr>
          <w:hyperlink w:history="true" w:anchor="bookmark9">
            <w:r>
              <w:rPr>
                <w:rFonts w:ascii="SimSun" w:hAnsi="SimSun" w:eastAsia="SimSun" w:cs="SimSun"/>
                <w:sz w:val="23"/>
                <w:szCs w:val="23"/>
                <w:spacing w:val="-3"/>
              </w:rPr>
              <w:t>第1章总</w:t>
            </w:r>
            <w:r>
              <w:rPr>
                <w:rFonts w:ascii="SimSun" w:hAnsi="SimSun" w:eastAsia="SimSun" w:cs="SimSun"/>
                <w:sz w:val="23"/>
                <w:szCs w:val="23"/>
                <w:spacing w:val="-46"/>
              </w:rPr>
              <w:t xml:space="preserve"> </w:t>
            </w:r>
            <w:r>
              <w:rPr>
                <w:rFonts w:ascii="SimSun" w:hAnsi="SimSun" w:eastAsia="SimSun" w:cs="SimSun"/>
                <w:sz w:val="23"/>
                <w:szCs w:val="23"/>
                <w:spacing w:val="-3"/>
              </w:rPr>
              <w:t>则</w:t>
            </w:r>
            <w:r>
              <w:rPr>
                <w:rFonts w:ascii="SimSun" w:hAnsi="SimSun" w:eastAsia="SimSun" w:cs="SimSun"/>
                <w:sz w:val="23"/>
                <w:szCs w:val="23"/>
              </w:rPr>
              <w:tab/>
            </w:r>
          </w:hyperlink>
        </w:p>
        <w:p>
          <w:pPr>
            <w:ind w:left="420"/>
            <w:spacing w:before="47" w:line="218" w:lineRule="auto"/>
            <w:tabs>
              <w:tab w:val="right" w:leader="dot" w:pos="8255"/>
            </w:tabs>
            <w:rPr>
              <w:rFonts w:ascii="Times New Roman" w:hAnsi="Times New Roman" w:eastAsia="Times New Roman" w:cs="Times New Roman"/>
              <w:sz w:val="23"/>
              <w:szCs w:val="23"/>
            </w:rPr>
          </w:pPr>
          <w:hyperlink w:history="true" w:anchor="bookmark10">
            <w:r>
              <w:rPr>
                <w:rFonts w:ascii="Times New Roman" w:hAnsi="Times New Roman" w:eastAsia="Times New Roman" w:cs="Times New Roman"/>
                <w:sz w:val="23"/>
                <w:szCs w:val="23"/>
                <w:spacing w:val="7"/>
              </w:rPr>
              <w:t>1.1</w:t>
            </w:r>
            <w:r>
              <w:rPr>
                <w:rFonts w:ascii="SimSun" w:hAnsi="SimSun" w:eastAsia="SimSun" w:cs="SimSun"/>
                <w:sz w:val="23"/>
                <w:szCs w:val="23"/>
                <w:spacing w:val="7"/>
              </w:rPr>
              <w:t>评价目的与原则</w:t>
            </w:r>
            <w:r>
              <w:rPr>
                <w:rFonts w:ascii="SimSun" w:hAnsi="SimSun" w:eastAsia="SimSun" w:cs="SimSun"/>
                <w:sz w:val="23"/>
                <w:szCs w:val="23"/>
                <w:spacing w:val="-104"/>
              </w:rPr>
              <w:t xml:space="preserve"> </w:t>
            </w:r>
            <w:r>
              <w:rPr>
                <w:rFonts w:ascii="SimSun" w:hAnsi="SimSun" w:eastAsia="SimSun" w:cs="SimSun"/>
                <w:sz w:val="23"/>
                <w:szCs w:val="23"/>
              </w:rPr>
              <w:tab/>
            </w:r>
            <w:r>
              <w:rPr>
                <w:rFonts w:ascii="Times New Roman" w:hAnsi="Times New Roman" w:eastAsia="Times New Roman" w:cs="Times New Roman"/>
                <w:sz w:val="23"/>
                <w:szCs w:val="23"/>
                <w:spacing w:val="16"/>
              </w:rPr>
              <w:t>9</w:t>
            </w:r>
          </w:hyperlink>
        </w:p>
        <w:p>
          <w:pPr>
            <w:ind w:left="420"/>
            <w:spacing w:before="39" w:line="219" w:lineRule="auto"/>
            <w:tabs>
              <w:tab w:val="right" w:leader="dot" w:pos="8255"/>
            </w:tabs>
            <w:rPr>
              <w:rFonts w:ascii="Times New Roman" w:hAnsi="Times New Roman" w:eastAsia="Times New Roman" w:cs="Times New Roman"/>
              <w:sz w:val="23"/>
              <w:szCs w:val="23"/>
            </w:rPr>
          </w:pPr>
          <w:hyperlink w:history="true" w:anchor="bookmark11">
            <w:r>
              <w:rPr>
                <w:rFonts w:ascii="Times New Roman" w:hAnsi="Times New Roman" w:eastAsia="Times New Roman" w:cs="Times New Roman"/>
                <w:sz w:val="23"/>
                <w:szCs w:val="23"/>
                <w:spacing w:val="5"/>
              </w:rPr>
              <w:t>1.2</w:t>
            </w:r>
            <w:r>
              <w:rPr>
                <w:rFonts w:ascii="SimSun" w:hAnsi="SimSun" w:eastAsia="SimSun" w:cs="SimSun"/>
                <w:sz w:val="23"/>
                <w:szCs w:val="23"/>
                <w:spacing w:val="5"/>
              </w:rPr>
              <w:t>编制依据</w:t>
            </w:r>
            <w:r>
              <w:rPr>
                <w:rFonts w:ascii="SimSun" w:hAnsi="SimSun" w:eastAsia="SimSun" w:cs="SimSun"/>
                <w:sz w:val="23"/>
                <w:szCs w:val="23"/>
                <w:spacing w:val="-99"/>
              </w:rPr>
              <w:t xml:space="preserve"> </w:t>
            </w:r>
            <w:r>
              <w:rPr>
                <w:rFonts w:ascii="SimSun" w:hAnsi="SimSun" w:eastAsia="SimSun" w:cs="SimSun"/>
                <w:sz w:val="23"/>
                <w:szCs w:val="23"/>
              </w:rPr>
              <w:tab/>
            </w:r>
            <w:r>
              <w:rPr>
                <w:rFonts w:ascii="SimSun" w:hAnsi="SimSun" w:eastAsia="SimSun" w:cs="SimSun"/>
                <w:sz w:val="23"/>
                <w:szCs w:val="23"/>
                <w:spacing w:val="-59"/>
              </w:rPr>
              <w:t xml:space="preserve"> </w:t>
            </w:r>
            <w:r>
              <w:rPr>
                <w:rFonts w:ascii="Times New Roman" w:hAnsi="Times New Roman" w:eastAsia="Times New Roman" w:cs="Times New Roman"/>
                <w:sz w:val="23"/>
                <w:szCs w:val="23"/>
              </w:rPr>
              <w:t>9</w:t>
            </w:r>
          </w:hyperlink>
        </w:p>
        <w:p>
          <w:pPr>
            <w:ind w:left="420"/>
            <w:spacing w:before="28" w:line="219" w:lineRule="auto"/>
            <w:tabs>
              <w:tab w:val="right" w:leader="dot" w:pos="8242"/>
            </w:tabs>
            <w:rPr>
              <w:rFonts w:ascii="Times New Roman" w:hAnsi="Times New Roman" w:eastAsia="Times New Roman" w:cs="Times New Roman"/>
              <w:sz w:val="23"/>
              <w:szCs w:val="23"/>
            </w:rPr>
          </w:pPr>
          <w:hyperlink w:history="true" w:anchor="bookmark12">
            <w:r>
              <w:rPr>
                <w:rFonts w:ascii="Times New Roman" w:hAnsi="Times New Roman" w:eastAsia="Times New Roman" w:cs="Times New Roman"/>
                <w:sz w:val="23"/>
                <w:szCs w:val="23"/>
                <w:spacing w:val="1"/>
              </w:rPr>
              <w:t>1.3</w:t>
            </w:r>
            <w:r>
              <w:rPr>
                <w:rFonts w:ascii="SimSun" w:hAnsi="SimSun" w:eastAsia="SimSun" w:cs="SimSun"/>
                <w:sz w:val="23"/>
                <w:szCs w:val="23"/>
                <w:spacing w:val="1"/>
              </w:rPr>
              <w:t>产业政策符合性分析</w:t>
            </w:r>
            <w:r>
              <w:rPr>
                <w:rFonts w:ascii="SimSun" w:hAnsi="SimSun" w:eastAsia="SimSun" w:cs="SimSun"/>
                <w:sz w:val="23"/>
                <w:szCs w:val="23"/>
                <w:spacing w:val="-86"/>
              </w:rPr>
              <w:t xml:space="preserve"> </w:t>
            </w:r>
            <w:r>
              <w:rPr>
                <w:rFonts w:ascii="SimSun" w:hAnsi="SimSun" w:eastAsia="SimSun" w:cs="SimSun"/>
                <w:sz w:val="23"/>
                <w:szCs w:val="23"/>
              </w:rPr>
              <w:tab/>
            </w:r>
            <w:r>
              <w:rPr>
                <w:rFonts w:ascii="Times New Roman" w:hAnsi="Times New Roman" w:eastAsia="Times New Roman" w:cs="Times New Roman"/>
                <w:sz w:val="23"/>
                <w:szCs w:val="23"/>
                <w:spacing w:val="-6"/>
              </w:rPr>
              <w:t>14</w:t>
            </w:r>
          </w:hyperlink>
        </w:p>
        <w:p>
          <w:pPr>
            <w:ind w:left="420"/>
            <w:spacing w:before="38" w:line="219" w:lineRule="auto"/>
            <w:tabs>
              <w:tab w:val="right" w:leader="dot" w:pos="8262"/>
            </w:tabs>
            <w:rPr>
              <w:rFonts w:ascii="Times New Roman" w:hAnsi="Times New Roman" w:eastAsia="Times New Roman" w:cs="Times New Roman"/>
              <w:sz w:val="23"/>
              <w:szCs w:val="23"/>
            </w:rPr>
          </w:pPr>
          <w:hyperlink w:history="true" w:anchor="bookmark13">
            <w:r>
              <w:rPr>
                <w:rFonts w:ascii="Times New Roman" w:hAnsi="Times New Roman" w:eastAsia="Times New Roman" w:cs="Times New Roman"/>
                <w:sz w:val="23"/>
                <w:szCs w:val="23"/>
                <w:spacing w:val="-1"/>
              </w:rPr>
              <w:t>1.4</w:t>
            </w:r>
            <w:r>
              <w:rPr>
                <w:rFonts w:ascii="SimSun" w:hAnsi="SimSun" w:eastAsia="SimSun" w:cs="SimSun"/>
                <w:sz w:val="23"/>
                <w:szCs w:val="23"/>
                <w:spacing w:val="-1"/>
              </w:rPr>
              <w:t>选址规划符合性分析</w:t>
            </w:r>
            <w:r>
              <w:rPr>
                <w:rFonts w:ascii="SimSun" w:hAnsi="SimSun" w:eastAsia="SimSun" w:cs="SimSun"/>
                <w:sz w:val="23"/>
                <w:szCs w:val="23"/>
                <w:spacing w:val="-72"/>
              </w:rPr>
              <w:t xml:space="preserve"> </w:t>
            </w:r>
            <w:r>
              <w:rPr>
                <w:rFonts w:ascii="SimSun" w:hAnsi="SimSun" w:eastAsia="SimSun" w:cs="SimSun"/>
                <w:sz w:val="23"/>
                <w:szCs w:val="23"/>
              </w:rPr>
              <w:tab/>
            </w:r>
            <w:r>
              <w:rPr>
                <w:rFonts w:ascii="Times New Roman" w:hAnsi="Times New Roman" w:eastAsia="Times New Roman" w:cs="Times New Roman"/>
                <w:sz w:val="23"/>
                <w:szCs w:val="23"/>
                <w:spacing w:val="-11"/>
              </w:rPr>
              <w:t>15</w:t>
            </w:r>
          </w:hyperlink>
        </w:p>
        <w:p>
          <w:pPr>
            <w:ind w:left="420"/>
            <w:spacing w:before="37" w:line="219" w:lineRule="auto"/>
            <w:tabs>
              <w:tab w:val="right" w:leader="dot" w:pos="8275"/>
            </w:tabs>
            <w:rPr>
              <w:rFonts w:ascii="Times New Roman" w:hAnsi="Times New Roman" w:eastAsia="Times New Roman" w:cs="Times New Roman"/>
              <w:sz w:val="23"/>
              <w:szCs w:val="23"/>
            </w:rPr>
          </w:pPr>
          <w:hyperlink w:history="true" w:anchor="bookmark14">
            <w:r>
              <w:rPr>
                <w:rFonts w:ascii="Times New Roman" w:hAnsi="Times New Roman" w:eastAsia="Times New Roman" w:cs="Times New Roman"/>
                <w:sz w:val="23"/>
                <w:szCs w:val="23"/>
                <w:spacing w:val="-9"/>
              </w:rPr>
              <w:t>1.5</w:t>
            </w:r>
            <w:r>
              <w:rPr>
                <w:rFonts w:ascii="SimSun" w:hAnsi="SimSun" w:eastAsia="SimSun" w:cs="SimSun"/>
                <w:sz w:val="23"/>
                <w:szCs w:val="23"/>
                <w:spacing w:val="-9"/>
              </w:rPr>
              <w:t>项目“生态环境分区管控”符合性分析</w:t>
            </w:r>
            <w:r>
              <w:rPr>
                <w:rFonts w:ascii="SimSun" w:hAnsi="SimSun" w:eastAsia="SimSun" w:cs="SimSun"/>
                <w:sz w:val="23"/>
                <w:szCs w:val="23"/>
                <w:spacing w:val="-84"/>
              </w:rPr>
              <w:t xml:space="preserve"> </w:t>
            </w:r>
            <w:r>
              <w:rPr>
                <w:rFonts w:ascii="SimSun" w:hAnsi="SimSun" w:eastAsia="SimSun" w:cs="SimSun"/>
                <w:sz w:val="23"/>
                <w:szCs w:val="23"/>
              </w:rPr>
              <w:tab/>
            </w:r>
            <w:r>
              <w:rPr>
                <w:rFonts w:ascii="Times New Roman" w:hAnsi="Times New Roman" w:eastAsia="Times New Roman" w:cs="Times New Roman"/>
                <w:sz w:val="23"/>
                <w:szCs w:val="23"/>
              </w:rPr>
              <w:t>41</w:t>
            </w:r>
          </w:hyperlink>
        </w:p>
        <w:p>
          <w:pPr>
            <w:ind w:left="420"/>
            <w:spacing w:before="37" w:line="220" w:lineRule="auto"/>
            <w:tabs>
              <w:tab w:val="right" w:leader="dot" w:pos="8249"/>
            </w:tabs>
            <w:rPr>
              <w:rFonts w:ascii="Times New Roman" w:hAnsi="Times New Roman" w:eastAsia="Times New Roman" w:cs="Times New Roman"/>
              <w:sz w:val="23"/>
              <w:szCs w:val="23"/>
            </w:rPr>
          </w:pPr>
          <w:hyperlink w:history="true" w:anchor="bookmark15">
            <w:r>
              <w:rPr>
                <w:rFonts w:ascii="Times New Roman" w:hAnsi="Times New Roman" w:eastAsia="Times New Roman" w:cs="Times New Roman"/>
                <w:sz w:val="23"/>
                <w:szCs w:val="23"/>
                <w:spacing w:val="7"/>
              </w:rPr>
              <w:t>1.6</w:t>
            </w:r>
            <w:r>
              <w:rPr>
                <w:rFonts w:ascii="SimSun" w:hAnsi="SimSun" w:eastAsia="SimSun" w:cs="SimSun"/>
                <w:sz w:val="23"/>
                <w:szCs w:val="23"/>
                <w:spacing w:val="7"/>
              </w:rPr>
              <w:t>外环境关系及选址合理性分析</w:t>
            </w:r>
            <w:r>
              <w:rPr>
                <w:rFonts w:ascii="SimSun" w:hAnsi="SimSun" w:eastAsia="SimSun" w:cs="SimSun"/>
                <w:sz w:val="23"/>
                <w:szCs w:val="23"/>
                <w:spacing w:val="-86"/>
              </w:rPr>
              <w:t xml:space="preserve"> </w:t>
            </w:r>
            <w:r>
              <w:rPr>
                <w:rFonts w:ascii="SimSun" w:hAnsi="SimSun" w:eastAsia="SimSun" w:cs="SimSun"/>
                <w:sz w:val="23"/>
                <w:szCs w:val="23"/>
              </w:rPr>
              <w:tab/>
            </w:r>
            <w:r>
              <w:rPr>
                <w:rFonts w:ascii="SimSun" w:hAnsi="SimSun" w:eastAsia="SimSun" w:cs="SimSun"/>
                <w:sz w:val="23"/>
                <w:szCs w:val="23"/>
                <w:spacing w:val="-39"/>
              </w:rPr>
              <w:t xml:space="preserve"> </w:t>
            </w:r>
            <w:r>
              <w:rPr>
                <w:rFonts w:ascii="Times New Roman" w:hAnsi="Times New Roman" w:eastAsia="Times New Roman" w:cs="Times New Roman"/>
                <w:sz w:val="23"/>
                <w:szCs w:val="23"/>
                <w:spacing w:val="-3"/>
              </w:rPr>
              <w:t>58</w:t>
            </w:r>
          </w:hyperlink>
        </w:p>
        <w:p>
          <w:pPr>
            <w:ind w:left="420"/>
            <w:spacing w:before="44" w:line="218" w:lineRule="auto"/>
            <w:tabs>
              <w:tab w:val="right" w:leader="dot" w:pos="8260"/>
            </w:tabs>
            <w:rPr>
              <w:rFonts w:ascii="Times New Roman" w:hAnsi="Times New Roman" w:eastAsia="Times New Roman" w:cs="Times New Roman"/>
              <w:sz w:val="23"/>
              <w:szCs w:val="23"/>
            </w:rPr>
          </w:pPr>
          <w:hyperlink w:history="true" w:anchor="bookmark16">
            <w:r>
              <w:rPr>
                <w:rFonts w:ascii="Times New Roman" w:hAnsi="Times New Roman" w:eastAsia="Times New Roman" w:cs="Times New Roman"/>
                <w:sz w:val="23"/>
                <w:szCs w:val="23"/>
                <w:spacing w:val="6"/>
              </w:rPr>
              <w:t>1.7</w:t>
            </w:r>
            <w:r>
              <w:rPr>
                <w:rFonts w:ascii="SimSun" w:hAnsi="SimSun" w:eastAsia="SimSun" w:cs="SimSun"/>
                <w:sz w:val="23"/>
                <w:szCs w:val="23"/>
                <w:spacing w:val="6"/>
              </w:rPr>
              <w:t>评价因子与标准</w:t>
            </w:r>
            <w:r>
              <w:rPr>
                <w:rFonts w:ascii="SimSun" w:hAnsi="SimSun" w:eastAsia="SimSun" w:cs="SimSun"/>
                <w:sz w:val="23"/>
                <w:szCs w:val="23"/>
                <w:spacing w:val="-94"/>
              </w:rPr>
              <w:t xml:space="preserve"> </w:t>
            </w:r>
            <w:r>
              <w:rPr>
                <w:rFonts w:ascii="SimSun" w:hAnsi="SimSun" w:eastAsia="SimSun" w:cs="SimSun"/>
                <w:sz w:val="23"/>
                <w:szCs w:val="23"/>
              </w:rPr>
              <w:tab/>
            </w:r>
            <w:r>
              <w:rPr>
                <w:rFonts w:ascii="Times New Roman" w:hAnsi="Times New Roman" w:eastAsia="Times New Roman" w:cs="Times New Roman"/>
                <w:sz w:val="23"/>
                <w:szCs w:val="23"/>
                <w:spacing w:val="-2"/>
              </w:rPr>
              <w:t>67</w:t>
            </w:r>
          </w:hyperlink>
        </w:p>
        <w:p>
          <w:pPr>
            <w:ind w:left="420"/>
            <w:spacing w:before="48" w:line="218" w:lineRule="auto"/>
            <w:tabs>
              <w:tab w:val="right" w:leader="dot" w:pos="8270"/>
            </w:tabs>
            <w:rPr>
              <w:rFonts w:ascii="Times New Roman" w:hAnsi="Times New Roman" w:eastAsia="Times New Roman" w:cs="Times New Roman"/>
              <w:sz w:val="23"/>
              <w:szCs w:val="23"/>
            </w:rPr>
          </w:pPr>
          <w:hyperlink w:history="true" w:anchor="bookmark17">
            <w:r>
              <w:rPr>
                <w:rFonts w:ascii="Times New Roman" w:hAnsi="Times New Roman" w:eastAsia="Times New Roman" w:cs="Times New Roman"/>
                <w:sz w:val="23"/>
                <w:szCs w:val="23"/>
                <w:spacing w:val="8"/>
              </w:rPr>
              <w:t>1.8</w:t>
            </w:r>
            <w:r>
              <w:rPr>
                <w:rFonts w:ascii="SimSun" w:hAnsi="SimSun" w:eastAsia="SimSun" w:cs="SimSun"/>
                <w:sz w:val="23"/>
                <w:szCs w:val="23"/>
                <w:spacing w:val="8"/>
              </w:rPr>
              <w:t>评价工作内容与评价重点</w:t>
            </w:r>
            <w:r>
              <w:rPr>
                <w:rFonts w:ascii="SimSun" w:hAnsi="SimSun" w:eastAsia="SimSun" w:cs="SimSun"/>
                <w:sz w:val="23"/>
                <w:szCs w:val="23"/>
                <w:spacing w:val="-106"/>
              </w:rPr>
              <w:t xml:space="preserve"> </w:t>
            </w:r>
            <w:r>
              <w:rPr>
                <w:rFonts w:ascii="SimSun" w:hAnsi="SimSun" w:eastAsia="SimSun" w:cs="SimSun"/>
                <w:sz w:val="23"/>
                <w:szCs w:val="23"/>
              </w:rPr>
              <w:tab/>
            </w:r>
            <w:r>
              <w:rPr>
                <w:rFonts w:ascii="Times New Roman" w:hAnsi="Times New Roman" w:eastAsia="Times New Roman" w:cs="Times New Roman"/>
                <w:sz w:val="23"/>
                <w:szCs w:val="23"/>
                <w:spacing w:val="-1"/>
              </w:rPr>
              <w:t>72</w:t>
            </w:r>
          </w:hyperlink>
        </w:p>
        <w:p>
          <w:pPr>
            <w:ind w:left="420"/>
            <w:spacing w:before="38" w:line="218" w:lineRule="auto"/>
            <w:tabs>
              <w:tab w:val="right" w:leader="dot" w:pos="8280"/>
            </w:tabs>
            <w:rPr>
              <w:rFonts w:ascii="Times New Roman" w:hAnsi="Times New Roman" w:eastAsia="Times New Roman" w:cs="Times New Roman"/>
              <w:sz w:val="23"/>
              <w:szCs w:val="23"/>
            </w:rPr>
          </w:pPr>
          <w:hyperlink w:history="true" w:anchor="bookmark18">
            <w:r>
              <w:rPr>
                <w:rFonts w:ascii="Times New Roman" w:hAnsi="Times New Roman" w:eastAsia="Times New Roman" w:cs="Times New Roman"/>
                <w:sz w:val="23"/>
                <w:szCs w:val="23"/>
                <w:spacing w:val="7"/>
              </w:rPr>
              <w:t>1.9</w:t>
            </w:r>
            <w:r>
              <w:rPr>
                <w:rFonts w:ascii="SimSun" w:hAnsi="SimSun" w:eastAsia="SimSun" w:cs="SimSun"/>
                <w:sz w:val="23"/>
                <w:szCs w:val="23"/>
                <w:spacing w:val="7"/>
              </w:rPr>
              <w:t>评价等级与评价范围</w:t>
            </w:r>
            <w:r>
              <w:rPr>
                <w:rFonts w:ascii="SimSun" w:hAnsi="SimSun" w:eastAsia="SimSun" w:cs="SimSun"/>
                <w:sz w:val="23"/>
                <w:szCs w:val="23"/>
                <w:spacing w:val="-98"/>
              </w:rPr>
              <w:t xml:space="preserve"> </w:t>
            </w:r>
            <w:r>
              <w:rPr>
                <w:rFonts w:ascii="SimSun" w:hAnsi="SimSun" w:eastAsia="SimSun" w:cs="SimSun"/>
                <w:sz w:val="23"/>
                <w:szCs w:val="23"/>
              </w:rPr>
              <w:tab/>
            </w:r>
            <w:r>
              <w:rPr>
                <w:rFonts w:ascii="Times New Roman" w:hAnsi="Times New Roman" w:eastAsia="Times New Roman" w:cs="Times New Roman"/>
                <w:sz w:val="23"/>
                <w:szCs w:val="23"/>
                <w:spacing w:val="-1"/>
              </w:rPr>
              <w:t>73</w:t>
            </w:r>
          </w:hyperlink>
        </w:p>
        <w:p>
          <w:pPr>
            <w:ind w:left="420"/>
            <w:spacing w:before="22" w:line="220" w:lineRule="auto"/>
            <w:tabs>
              <w:tab w:val="right" w:leader="dot" w:pos="8255"/>
            </w:tabs>
            <w:rPr>
              <w:rFonts w:ascii="Times New Roman" w:hAnsi="Times New Roman" w:eastAsia="Times New Roman" w:cs="Times New Roman"/>
              <w:sz w:val="23"/>
              <w:szCs w:val="23"/>
            </w:rPr>
          </w:pPr>
          <w:hyperlink w:history="true" w:anchor="bookmark19">
            <w:r>
              <w:rPr>
                <w:rFonts w:ascii="Times New Roman" w:hAnsi="Times New Roman" w:eastAsia="Times New Roman" w:cs="Times New Roman"/>
                <w:sz w:val="23"/>
                <w:szCs w:val="23"/>
                <w:spacing w:val="5"/>
              </w:rPr>
              <w:t>1.10</w:t>
            </w:r>
            <w:r>
              <w:rPr>
                <w:rFonts w:ascii="Times New Roman" w:hAnsi="Times New Roman" w:eastAsia="Times New Roman" w:cs="Times New Roman"/>
                <w:sz w:val="23"/>
                <w:szCs w:val="23"/>
                <w:spacing w:val="-22"/>
              </w:rPr>
              <w:t xml:space="preserve"> </w:t>
            </w:r>
            <w:r>
              <w:rPr>
                <w:rFonts w:ascii="SimSun" w:hAnsi="SimSun" w:eastAsia="SimSun" w:cs="SimSun"/>
                <w:sz w:val="23"/>
                <w:szCs w:val="23"/>
                <w:spacing w:val="5"/>
              </w:rPr>
              <w:t>污染控制与保护环境的目标</w:t>
            </w:r>
            <w:r>
              <w:rPr>
                <w:rFonts w:ascii="SimSun" w:hAnsi="SimSun" w:eastAsia="SimSun" w:cs="SimSun"/>
                <w:sz w:val="23"/>
                <w:szCs w:val="23"/>
                <w:spacing w:val="-94"/>
              </w:rPr>
              <w:t xml:space="preserve"> </w:t>
            </w:r>
            <w:r>
              <w:rPr>
                <w:rFonts w:ascii="SimSun" w:hAnsi="SimSun" w:eastAsia="SimSun" w:cs="SimSun"/>
                <w:sz w:val="23"/>
                <w:szCs w:val="23"/>
              </w:rPr>
              <w:tab/>
            </w:r>
            <w:r>
              <w:rPr>
                <w:rFonts w:ascii="Times New Roman" w:hAnsi="Times New Roman" w:eastAsia="Times New Roman" w:cs="Times New Roman"/>
                <w:sz w:val="23"/>
                <w:szCs w:val="23"/>
                <w:spacing w:val="-3"/>
              </w:rPr>
              <w:t>80</w:t>
            </w:r>
          </w:hyperlink>
        </w:p>
        <w:p>
          <w:pPr>
            <w:spacing w:before="63" w:line="219" w:lineRule="auto"/>
            <w:tabs>
              <w:tab w:val="right" w:leader="dot" w:pos="8302"/>
            </w:tabs>
            <w:rPr>
              <w:rFonts w:ascii="Times New Roman" w:hAnsi="Times New Roman" w:eastAsia="Times New Roman" w:cs="Times New Roman"/>
              <w:sz w:val="23"/>
              <w:szCs w:val="23"/>
            </w:rPr>
          </w:pPr>
          <w:hyperlink w:history="true" w:anchor="bookmark20">
            <w:r>
              <w:rPr>
                <w:rFonts w:ascii="SimSun" w:hAnsi="SimSun" w:eastAsia="SimSun" w:cs="SimSun"/>
                <w:sz w:val="23"/>
                <w:szCs w:val="23"/>
                <w:spacing w:val="9"/>
              </w:rPr>
              <w:t>第2章现有工程情况</w:t>
            </w:r>
            <w:r>
              <w:rPr>
                <w:rFonts w:ascii="SimSun" w:hAnsi="SimSun" w:eastAsia="SimSun" w:cs="SimSun"/>
                <w:sz w:val="23"/>
                <w:szCs w:val="23"/>
                <w:spacing w:val="-92"/>
              </w:rPr>
              <w:t xml:space="preserve"> </w:t>
            </w:r>
            <w:r>
              <w:rPr>
                <w:rFonts w:ascii="SimSun" w:hAnsi="SimSun" w:eastAsia="SimSun" w:cs="SimSun"/>
                <w:sz w:val="23"/>
                <w:szCs w:val="23"/>
              </w:rPr>
              <w:tab/>
            </w:r>
            <w:r>
              <w:rPr>
                <w:rFonts w:ascii="Times New Roman" w:hAnsi="Times New Roman" w:eastAsia="Times New Roman" w:cs="Times New Roman"/>
                <w:sz w:val="23"/>
                <w:szCs w:val="23"/>
                <w:spacing w:val="-17"/>
                <w:w w:val="78"/>
              </w:rPr>
              <w:t>83</w:t>
            </w:r>
          </w:hyperlink>
        </w:p>
        <w:p>
          <w:pPr>
            <w:ind w:left="420"/>
            <w:spacing w:before="19" w:line="219" w:lineRule="auto"/>
            <w:tabs>
              <w:tab w:val="right" w:leader="dot" w:pos="8265"/>
            </w:tabs>
            <w:rPr>
              <w:rFonts w:ascii="Times New Roman" w:hAnsi="Times New Roman" w:eastAsia="Times New Roman" w:cs="Times New Roman"/>
              <w:sz w:val="23"/>
              <w:szCs w:val="23"/>
            </w:rPr>
          </w:pPr>
          <w:hyperlink w:history="true" w:anchor="bookmark21">
            <w:r>
              <w:rPr>
                <w:rFonts w:ascii="Times New Roman" w:hAnsi="Times New Roman" w:eastAsia="Times New Roman" w:cs="Times New Roman"/>
                <w:sz w:val="23"/>
                <w:szCs w:val="23"/>
                <w:spacing w:val="8"/>
              </w:rPr>
              <w:t>2.1</w:t>
            </w:r>
            <w:r>
              <w:rPr>
                <w:rFonts w:ascii="SimSun" w:hAnsi="SimSun" w:eastAsia="SimSun" w:cs="SimSun"/>
                <w:sz w:val="23"/>
                <w:szCs w:val="23"/>
                <w:spacing w:val="8"/>
              </w:rPr>
              <w:t>现有工程概况</w:t>
            </w:r>
            <w:r>
              <w:rPr>
                <w:rFonts w:ascii="SimSun" w:hAnsi="SimSun" w:eastAsia="SimSun" w:cs="SimSun"/>
                <w:sz w:val="23"/>
                <w:szCs w:val="23"/>
                <w:spacing w:val="-95"/>
              </w:rPr>
              <w:t xml:space="preserve"> </w:t>
            </w:r>
            <w:r>
              <w:rPr>
                <w:rFonts w:ascii="SimSun" w:hAnsi="SimSun" w:eastAsia="SimSun" w:cs="SimSun"/>
                <w:sz w:val="23"/>
                <w:szCs w:val="23"/>
              </w:rPr>
              <w:tab/>
            </w:r>
            <w:r>
              <w:rPr>
                <w:rFonts w:ascii="Times New Roman" w:hAnsi="Times New Roman" w:eastAsia="Times New Roman" w:cs="Times New Roman"/>
                <w:sz w:val="23"/>
                <w:szCs w:val="23"/>
                <w:spacing w:val="-3"/>
              </w:rPr>
              <w:t>83</w:t>
            </w:r>
          </w:hyperlink>
        </w:p>
        <w:p>
          <w:pPr>
            <w:ind w:left="420"/>
            <w:spacing w:before="57" w:line="219" w:lineRule="auto"/>
            <w:tabs>
              <w:tab w:val="right" w:leader="dot" w:pos="8255"/>
            </w:tabs>
            <w:rPr>
              <w:rFonts w:ascii="Times New Roman" w:hAnsi="Times New Roman" w:eastAsia="Times New Roman" w:cs="Times New Roman"/>
              <w:sz w:val="23"/>
              <w:szCs w:val="23"/>
            </w:rPr>
          </w:pPr>
          <w:hyperlink w:history="true" w:anchor="bookmark22">
            <w:r>
              <w:rPr>
                <w:rFonts w:ascii="Times New Roman" w:hAnsi="Times New Roman" w:eastAsia="Times New Roman" w:cs="Times New Roman"/>
                <w:sz w:val="23"/>
                <w:szCs w:val="23"/>
                <w:spacing w:val="8"/>
              </w:rPr>
              <w:t>2.2</w:t>
            </w:r>
            <w:r>
              <w:rPr>
                <w:rFonts w:ascii="Times New Roman" w:hAnsi="Times New Roman" w:eastAsia="Times New Roman" w:cs="Times New Roman"/>
                <w:sz w:val="23"/>
                <w:szCs w:val="23"/>
                <w:spacing w:val="-19"/>
              </w:rPr>
              <w:t xml:space="preserve"> </w:t>
            </w:r>
            <w:r>
              <w:rPr>
                <w:rFonts w:ascii="SimSun" w:hAnsi="SimSun" w:eastAsia="SimSun" w:cs="SimSun"/>
                <w:sz w:val="23"/>
                <w:szCs w:val="23"/>
                <w:spacing w:val="8"/>
              </w:rPr>
              <w:t>现有工程建设内容及规模</w:t>
            </w:r>
            <w:r>
              <w:rPr>
                <w:rFonts w:ascii="SimSun" w:hAnsi="SimSun" w:eastAsia="SimSun" w:cs="SimSun"/>
                <w:sz w:val="23"/>
                <w:szCs w:val="23"/>
                <w:spacing w:val="-94"/>
              </w:rPr>
              <w:t xml:space="preserve"> </w:t>
            </w:r>
            <w:r>
              <w:rPr>
                <w:rFonts w:ascii="SimSun" w:hAnsi="SimSun" w:eastAsia="SimSun" w:cs="SimSun"/>
                <w:sz w:val="23"/>
                <w:szCs w:val="23"/>
              </w:rPr>
              <w:tab/>
            </w:r>
            <w:r>
              <w:rPr>
                <w:rFonts w:ascii="SimSun" w:hAnsi="SimSun" w:eastAsia="SimSun" w:cs="SimSun"/>
                <w:sz w:val="23"/>
                <w:szCs w:val="23"/>
                <w:spacing w:val="-59"/>
              </w:rPr>
              <w:t xml:space="preserve"> </w:t>
            </w:r>
            <w:r>
              <w:rPr>
                <w:rFonts w:ascii="Times New Roman" w:hAnsi="Times New Roman" w:eastAsia="Times New Roman" w:cs="Times New Roman"/>
                <w:sz w:val="23"/>
                <w:szCs w:val="23"/>
                <w:spacing w:val="-4"/>
              </w:rPr>
              <w:t>84</w:t>
            </w:r>
          </w:hyperlink>
        </w:p>
        <w:p>
          <w:pPr>
            <w:ind w:left="420"/>
            <w:spacing w:before="27" w:line="219" w:lineRule="auto"/>
            <w:tabs>
              <w:tab w:val="right" w:leader="dot" w:pos="8265"/>
            </w:tabs>
            <w:rPr>
              <w:rFonts w:ascii="Times New Roman" w:hAnsi="Times New Roman" w:eastAsia="Times New Roman" w:cs="Times New Roman"/>
              <w:sz w:val="23"/>
              <w:szCs w:val="23"/>
            </w:rPr>
          </w:pPr>
          <w:hyperlink w:history="true" w:anchor="bookmark23">
            <w:r>
              <w:rPr>
                <w:rFonts w:ascii="Times New Roman" w:hAnsi="Times New Roman" w:eastAsia="Times New Roman" w:cs="Times New Roman"/>
                <w:sz w:val="23"/>
                <w:szCs w:val="23"/>
                <w:spacing w:val="12"/>
              </w:rPr>
              <w:t>2.3</w:t>
            </w:r>
            <w:r>
              <w:rPr>
                <w:rFonts w:ascii="SimSun" w:hAnsi="SimSun" w:eastAsia="SimSun" w:cs="SimSun"/>
                <w:sz w:val="23"/>
                <w:szCs w:val="23"/>
                <w:spacing w:val="12"/>
              </w:rPr>
              <w:t>现有工程生产工艺</w:t>
            </w:r>
            <w:r>
              <w:rPr>
                <w:rFonts w:ascii="SimSun" w:hAnsi="SimSun" w:eastAsia="SimSun" w:cs="SimSun"/>
                <w:sz w:val="23"/>
                <w:szCs w:val="23"/>
                <w:spacing w:val="-96"/>
              </w:rPr>
              <w:t xml:space="preserve"> </w:t>
            </w:r>
            <w:r>
              <w:rPr>
                <w:rFonts w:ascii="SimSun" w:hAnsi="SimSun" w:eastAsia="SimSun" w:cs="SimSun"/>
                <w:sz w:val="23"/>
                <w:szCs w:val="23"/>
              </w:rPr>
              <w:tab/>
            </w:r>
            <w:r>
              <w:rPr>
                <w:rFonts w:ascii="SimSun" w:hAnsi="SimSun" w:eastAsia="SimSun" w:cs="SimSun"/>
                <w:sz w:val="23"/>
                <w:szCs w:val="23"/>
                <w:spacing w:val="-29"/>
              </w:rPr>
              <w:t xml:space="preserve"> </w:t>
            </w:r>
            <w:r>
              <w:rPr>
                <w:rFonts w:ascii="Times New Roman" w:hAnsi="Times New Roman" w:eastAsia="Times New Roman" w:cs="Times New Roman"/>
                <w:sz w:val="23"/>
                <w:szCs w:val="23"/>
                <w:spacing w:val="-4"/>
              </w:rPr>
              <w:t>85</w:t>
            </w:r>
          </w:hyperlink>
        </w:p>
        <w:p>
          <w:pPr>
            <w:ind w:left="420"/>
            <w:spacing w:before="58" w:line="220" w:lineRule="auto"/>
            <w:tabs>
              <w:tab w:val="right" w:leader="dot" w:pos="8255"/>
            </w:tabs>
            <w:rPr>
              <w:rFonts w:ascii="Times New Roman" w:hAnsi="Times New Roman" w:eastAsia="Times New Roman" w:cs="Times New Roman"/>
              <w:sz w:val="23"/>
              <w:szCs w:val="23"/>
            </w:rPr>
          </w:pPr>
          <w:hyperlink w:history="true" w:anchor="bookmark24">
            <w:r>
              <w:rPr>
                <w:rFonts w:ascii="Times New Roman" w:hAnsi="Times New Roman" w:eastAsia="Times New Roman" w:cs="Times New Roman"/>
                <w:sz w:val="23"/>
                <w:szCs w:val="23"/>
                <w:spacing w:val="7"/>
              </w:rPr>
              <w:t>2.4</w:t>
            </w:r>
            <w:r>
              <w:rPr>
                <w:rFonts w:ascii="Times New Roman" w:hAnsi="Times New Roman" w:eastAsia="Times New Roman" w:cs="Times New Roman"/>
                <w:sz w:val="23"/>
                <w:szCs w:val="23"/>
                <w:spacing w:val="-15"/>
              </w:rPr>
              <w:t xml:space="preserve"> </w:t>
            </w:r>
            <w:r>
              <w:rPr>
                <w:rFonts w:ascii="SimSun" w:hAnsi="SimSun" w:eastAsia="SimSun" w:cs="SimSun"/>
                <w:sz w:val="23"/>
                <w:szCs w:val="23"/>
                <w:spacing w:val="7"/>
              </w:rPr>
              <w:t>现有工程污染物排放情况</w:t>
            </w:r>
            <w:r>
              <w:rPr>
                <w:rFonts w:ascii="SimSun" w:hAnsi="SimSun" w:eastAsia="SimSun" w:cs="SimSun"/>
                <w:sz w:val="23"/>
                <w:szCs w:val="23"/>
                <w:spacing w:val="-94"/>
              </w:rPr>
              <w:t xml:space="preserve"> </w:t>
            </w:r>
            <w:r>
              <w:rPr>
                <w:rFonts w:ascii="SimSun" w:hAnsi="SimSun" w:eastAsia="SimSun" w:cs="SimSun"/>
                <w:sz w:val="23"/>
                <w:szCs w:val="23"/>
              </w:rPr>
              <w:tab/>
            </w:r>
            <w:r>
              <w:rPr>
                <w:rFonts w:ascii="SimSun" w:hAnsi="SimSun" w:eastAsia="SimSun" w:cs="SimSun"/>
                <w:sz w:val="23"/>
                <w:szCs w:val="23"/>
                <w:spacing w:val="-49"/>
              </w:rPr>
              <w:t xml:space="preserve"> </w:t>
            </w:r>
            <w:r>
              <w:rPr>
                <w:rFonts w:ascii="Times New Roman" w:hAnsi="Times New Roman" w:eastAsia="Times New Roman" w:cs="Times New Roman"/>
                <w:sz w:val="23"/>
                <w:szCs w:val="23"/>
                <w:spacing w:val="-4"/>
              </w:rPr>
              <w:t>87</w:t>
            </w:r>
          </w:hyperlink>
        </w:p>
        <w:p>
          <w:pPr>
            <w:ind w:left="420"/>
            <w:spacing w:before="6" w:line="220" w:lineRule="auto"/>
            <w:tabs>
              <w:tab w:val="right" w:leader="dot" w:pos="8270"/>
            </w:tabs>
            <w:rPr>
              <w:rFonts w:ascii="Times New Roman" w:hAnsi="Times New Roman" w:eastAsia="Times New Roman" w:cs="Times New Roman"/>
              <w:sz w:val="23"/>
              <w:szCs w:val="23"/>
            </w:rPr>
          </w:pPr>
          <w:hyperlink w:history="true" w:anchor="bookmark25">
            <w:r>
              <w:rPr>
                <w:rFonts w:ascii="Times New Roman" w:hAnsi="Times New Roman" w:eastAsia="Times New Roman" w:cs="Times New Roman"/>
                <w:sz w:val="23"/>
                <w:szCs w:val="23"/>
                <w:spacing w:val="2"/>
              </w:rPr>
              <w:t>2.5</w:t>
            </w:r>
            <w:r>
              <w:rPr>
                <w:rFonts w:ascii="Times New Roman" w:hAnsi="Times New Roman" w:eastAsia="Times New Roman" w:cs="Times New Roman"/>
                <w:sz w:val="23"/>
                <w:szCs w:val="23"/>
                <w:spacing w:val="-15"/>
              </w:rPr>
              <w:t xml:space="preserve"> </w:t>
            </w:r>
            <w:r>
              <w:rPr>
                <w:rFonts w:ascii="SimSun" w:hAnsi="SimSun" w:eastAsia="SimSun" w:cs="SimSun"/>
                <w:sz w:val="23"/>
                <w:szCs w:val="23"/>
                <w:spacing w:val="2"/>
              </w:rPr>
              <w:t>现有工程污染物排放汇总</w:t>
            </w:r>
            <w:r>
              <w:rPr>
                <w:rFonts w:ascii="SimSun" w:hAnsi="SimSun" w:eastAsia="SimSun" w:cs="SimSun"/>
                <w:sz w:val="23"/>
                <w:szCs w:val="23"/>
              </w:rPr>
              <w:tab/>
            </w:r>
            <w:r>
              <w:rPr>
                <w:rFonts w:ascii="Times New Roman" w:hAnsi="Times New Roman" w:eastAsia="Times New Roman" w:cs="Times New Roman"/>
                <w:sz w:val="23"/>
                <w:szCs w:val="23"/>
                <w:spacing w:val="-2"/>
              </w:rPr>
              <w:t>91</w:t>
            </w:r>
          </w:hyperlink>
        </w:p>
        <w:p>
          <w:pPr>
            <w:ind w:left="420"/>
            <w:spacing w:before="56" w:line="220" w:lineRule="auto"/>
            <w:tabs>
              <w:tab w:val="right" w:leader="dot" w:pos="8260"/>
            </w:tabs>
            <w:rPr>
              <w:rFonts w:ascii="Times New Roman" w:hAnsi="Times New Roman" w:eastAsia="Times New Roman" w:cs="Times New Roman"/>
              <w:sz w:val="23"/>
              <w:szCs w:val="23"/>
            </w:rPr>
          </w:pPr>
          <w:hyperlink w:history="true" w:anchor="bookmark26">
            <w:r>
              <w:rPr>
                <w:rFonts w:ascii="Times New Roman" w:hAnsi="Times New Roman" w:eastAsia="Times New Roman" w:cs="Times New Roman"/>
                <w:sz w:val="23"/>
                <w:szCs w:val="23"/>
                <w:spacing w:val="7"/>
              </w:rPr>
              <w:t>2.6</w:t>
            </w:r>
            <w:r>
              <w:rPr>
                <w:rFonts w:ascii="Times New Roman" w:hAnsi="Times New Roman" w:eastAsia="Times New Roman" w:cs="Times New Roman"/>
                <w:sz w:val="23"/>
                <w:szCs w:val="23"/>
                <w:spacing w:val="-16"/>
              </w:rPr>
              <w:t xml:space="preserve"> </w:t>
            </w:r>
            <w:r>
              <w:rPr>
                <w:rFonts w:ascii="SimSun" w:hAnsi="SimSun" w:eastAsia="SimSun" w:cs="SimSun"/>
                <w:sz w:val="23"/>
                <w:szCs w:val="23"/>
                <w:spacing w:val="7"/>
              </w:rPr>
              <w:t>现有工程监测计划</w:t>
            </w:r>
            <w:r>
              <w:rPr>
                <w:rFonts w:ascii="SimSun" w:hAnsi="SimSun" w:eastAsia="SimSun" w:cs="SimSun"/>
                <w:sz w:val="23"/>
                <w:szCs w:val="23"/>
              </w:rPr>
              <w:tab/>
            </w:r>
            <w:r>
              <w:rPr>
                <w:rFonts w:ascii="SimSun" w:hAnsi="SimSun" w:eastAsia="SimSun" w:cs="SimSun"/>
                <w:sz w:val="23"/>
                <w:szCs w:val="23"/>
                <w:spacing w:val="-9"/>
              </w:rPr>
              <w:t xml:space="preserve"> </w:t>
            </w:r>
            <w:r>
              <w:rPr>
                <w:rFonts w:ascii="Times New Roman" w:hAnsi="Times New Roman" w:eastAsia="Times New Roman" w:cs="Times New Roman"/>
                <w:sz w:val="23"/>
                <w:szCs w:val="23"/>
                <w:spacing w:val="-3"/>
              </w:rPr>
              <w:t>92</w:t>
            </w:r>
          </w:hyperlink>
        </w:p>
        <w:p>
          <w:pPr>
            <w:ind w:left="420"/>
            <w:spacing w:before="26" w:line="220" w:lineRule="auto"/>
            <w:tabs>
              <w:tab w:val="right" w:leader="dot" w:pos="8270"/>
            </w:tabs>
            <w:rPr>
              <w:rFonts w:ascii="Times New Roman" w:hAnsi="Times New Roman" w:eastAsia="Times New Roman" w:cs="Times New Roman"/>
              <w:sz w:val="23"/>
              <w:szCs w:val="23"/>
            </w:rPr>
          </w:pPr>
          <w:hyperlink w:history="true" w:anchor="bookmark27">
            <w:r>
              <w:rPr>
                <w:rFonts w:ascii="Times New Roman" w:hAnsi="Times New Roman" w:eastAsia="Times New Roman" w:cs="Times New Roman"/>
                <w:sz w:val="23"/>
                <w:szCs w:val="23"/>
                <w:spacing w:val="6"/>
              </w:rPr>
              <w:t>2.7</w:t>
            </w:r>
            <w:r>
              <w:rPr>
                <w:rFonts w:ascii="Times New Roman" w:hAnsi="Times New Roman" w:eastAsia="Times New Roman" w:cs="Times New Roman"/>
                <w:sz w:val="23"/>
                <w:szCs w:val="23"/>
                <w:spacing w:val="-7"/>
              </w:rPr>
              <w:t xml:space="preserve"> </w:t>
            </w:r>
            <w:r>
              <w:rPr>
                <w:rFonts w:ascii="SimSun" w:hAnsi="SimSun" w:eastAsia="SimSun" w:cs="SimSun"/>
                <w:sz w:val="23"/>
                <w:szCs w:val="23"/>
                <w:spacing w:val="6"/>
              </w:rPr>
              <w:t>与项目有关的原有环境污染问题</w:t>
            </w:r>
            <w:r>
              <w:rPr>
                <w:rFonts w:ascii="SimSun" w:hAnsi="SimSun" w:eastAsia="SimSun" w:cs="SimSun"/>
                <w:sz w:val="23"/>
                <w:szCs w:val="23"/>
                <w:spacing w:val="-97"/>
              </w:rPr>
              <w:t xml:space="preserve"> </w:t>
            </w:r>
            <w:r>
              <w:rPr>
                <w:rFonts w:ascii="SimSun" w:hAnsi="SimSun" w:eastAsia="SimSun" w:cs="SimSun"/>
                <w:sz w:val="23"/>
                <w:szCs w:val="23"/>
              </w:rPr>
              <w:tab/>
            </w:r>
            <w:r>
              <w:rPr>
                <w:rFonts w:ascii="SimSun" w:hAnsi="SimSun" w:eastAsia="SimSun" w:cs="SimSun"/>
                <w:sz w:val="23"/>
                <w:szCs w:val="23"/>
                <w:spacing w:val="-49"/>
              </w:rPr>
              <w:t xml:space="preserve"> </w:t>
            </w:r>
            <w:r>
              <w:rPr>
                <w:rFonts w:ascii="Times New Roman" w:hAnsi="Times New Roman" w:eastAsia="Times New Roman" w:cs="Times New Roman"/>
                <w:sz w:val="23"/>
                <w:szCs w:val="23"/>
                <w:spacing w:val="-3"/>
              </w:rPr>
              <w:t>92</w:t>
            </w:r>
          </w:hyperlink>
        </w:p>
        <w:p>
          <w:pPr>
            <w:ind w:left="420"/>
            <w:spacing w:before="45" w:line="219" w:lineRule="auto"/>
            <w:tabs>
              <w:tab w:val="right" w:leader="dot" w:pos="8250"/>
            </w:tabs>
            <w:rPr>
              <w:rFonts w:ascii="Times New Roman" w:hAnsi="Times New Roman" w:eastAsia="Times New Roman" w:cs="Times New Roman"/>
              <w:sz w:val="23"/>
              <w:szCs w:val="23"/>
            </w:rPr>
          </w:pPr>
          <w:hyperlink w:history="true" w:anchor="bookmark28">
            <w:r>
              <w:rPr>
                <w:rFonts w:ascii="Times New Roman" w:hAnsi="Times New Roman" w:eastAsia="Times New Roman" w:cs="Times New Roman"/>
                <w:sz w:val="23"/>
                <w:szCs w:val="23"/>
                <w:spacing w:val="4"/>
              </w:rPr>
              <w:t>2.8 </w:t>
            </w:r>
            <w:r>
              <w:rPr>
                <w:rFonts w:ascii="SimSun" w:hAnsi="SimSun" w:eastAsia="SimSun" w:cs="SimSun"/>
                <w:sz w:val="23"/>
                <w:szCs w:val="23"/>
                <w:spacing w:val="4"/>
              </w:rPr>
              <w:t>以新带老措施</w:t>
            </w:r>
            <w:r>
              <w:rPr>
                <w:rFonts w:ascii="SimSun" w:hAnsi="SimSun" w:eastAsia="SimSun" w:cs="SimSun"/>
                <w:sz w:val="23"/>
                <w:szCs w:val="23"/>
                <w:spacing w:val="-92"/>
              </w:rPr>
              <w:t xml:space="preserve"> </w:t>
            </w:r>
            <w:r>
              <w:rPr>
                <w:rFonts w:ascii="SimSun" w:hAnsi="SimSun" w:eastAsia="SimSun" w:cs="SimSun"/>
                <w:sz w:val="23"/>
                <w:szCs w:val="23"/>
              </w:rPr>
              <w:tab/>
            </w:r>
            <w:r>
              <w:rPr>
                <w:rFonts w:ascii="SimSun" w:hAnsi="SimSun" w:eastAsia="SimSun" w:cs="SimSun"/>
                <w:sz w:val="23"/>
                <w:szCs w:val="23"/>
                <w:spacing w:val="-19"/>
              </w:rPr>
              <w:t xml:space="preserve"> </w:t>
            </w:r>
            <w:r>
              <w:rPr>
                <w:rFonts w:ascii="Times New Roman" w:hAnsi="Times New Roman" w:eastAsia="Times New Roman" w:cs="Times New Roman"/>
                <w:sz w:val="23"/>
                <w:szCs w:val="23"/>
                <w:spacing w:val="-3"/>
              </w:rPr>
              <w:t>93</w:t>
            </w:r>
          </w:hyperlink>
        </w:p>
        <w:p>
          <w:pPr>
            <w:ind w:left="420"/>
            <w:spacing w:before="6" w:line="219" w:lineRule="auto"/>
            <w:tabs>
              <w:tab w:val="right" w:leader="dot" w:pos="8270"/>
            </w:tabs>
            <w:rPr>
              <w:rFonts w:ascii="Times New Roman" w:hAnsi="Times New Roman" w:eastAsia="Times New Roman" w:cs="Times New Roman"/>
              <w:sz w:val="23"/>
              <w:szCs w:val="23"/>
            </w:rPr>
          </w:pPr>
          <w:hyperlink w:history="true" w:anchor="bookmark29">
            <w:r>
              <w:rPr>
                <w:rFonts w:ascii="Times New Roman" w:hAnsi="Times New Roman" w:eastAsia="Times New Roman" w:cs="Times New Roman"/>
                <w:sz w:val="23"/>
                <w:szCs w:val="23"/>
                <w:spacing w:val="-15"/>
              </w:rPr>
              <w:t>2.9“</w:t>
            </w:r>
            <w:r>
              <w:rPr>
                <w:rFonts w:ascii="SimSun" w:hAnsi="SimSun" w:eastAsia="SimSun" w:cs="SimSun"/>
                <w:sz w:val="23"/>
                <w:szCs w:val="23"/>
                <w:spacing w:val="-15"/>
              </w:rPr>
              <w:t>三本账”分析</w:t>
            </w:r>
            <w:r>
              <w:rPr>
                <w:rFonts w:ascii="SimSun" w:hAnsi="SimSun" w:eastAsia="SimSun" w:cs="SimSun"/>
                <w:sz w:val="23"/>
                <w:szCs w:val="23"/>
                <w:spacing w:val="-86"/>
              </w:rPr>
              <w:t xml:space="preserve"> </w:t>
            </w:r>
            <w:r>
              <w:rPr>
                <w:rFonts w:ascii="SimSun" w:hAnsi="SimSun" w:eastAsia="SimSun" w:cs="SimSun"/>
                <w:sz w:val="23"/>
                <w:szCs w:val="23"/>
              </w:rPr>
              <w:tab/>
            </w:r>
            <w:r>
              <w:rPr>
                <w:rFonts w:ascii="Times New Roman" w:hAnsi="Times New Roman" w:eastAsia="Times New Roman" w:cs="Times New Roman"/>
                <w:sz w:val="23"/>
                <w:szCs w:val="23"/>
                <w:spacing w:val="8"/>
              </w:rPr>
              <w:t>94</w:t>
            </w:r>
          </w:hyperlink>
        </w:p>
        <w:p>
          <w:pPr>
            <w:ind w:left="3"/>
            <w:spacing w:before="74" w:line="219" w:lineRule="auto"/>
            <w:tabs>
              <w:tab w:val="right" w:leader="dot" w:pos="8295"/>
            </w:tabs>
            <w:rPr>
              <w:rFonts w:ascii="Times New Roman" w:hAnsi="Times New Roman" w:eastAsia="Times New Roman" w:cs="Times New Roman"/>
              <w:sz w:val="23"/>
              <w:szCs w:val="23"/>
            </w:rPr>
          </w:pPr>
          <w:hyperlink w:history="true" w:anchor="bookmark30">
            <w:r>
              <w:rPr>
                <w:rFonts w:ascii="SimSun" w:hAnsi="SimSun" w:eastAsia="SimSun" w:cs="SimSun"/>
                <w:sz w:val="23"/>
                <w:szCs w:val="23"/>
                <w:b/>
                <w:bCs/>
                <w:spacing w:val="6"/>
              </w:rPr>
              <w:t>第3章建设项目概况及工程分析</w:t>
            </w:r>
            <w:r>
              <w:rPr>
                <w:rFonts w:ascii="SimSun" w:hAnsi="SimSun" w:eastAsia="SimSun" w:cs="SimSun"/>
                <w:sz w:val="23"/>
                <w:szCs w:val="23"/>
                <w:spacing w:val="-83"/>
              </w:rPr>
              <w:t xml:space="preserve"> </w:t>
            </w:r>
            <w:r>
              <w:rPr>
                <w:rFonts w:ascii="SimSun" w:hAnsi="SimSun" w:eastAsia="SimSun" w:cs="SimSun"/>
                <w:sz w:val="23"/>
                <w:szCs w:val="23"/>
              </w:rPr>
              <w:tab/>
            </w:r>
            <w:r>
              <w:rPr>
                <w:rFonts w:ascii="SimSun" w:hAnsi="SimSun" w:eastAsia="SimSun" w:cs="SimSun"/>
                <w:sz w:val="23"/>
                <w:szCs w:val="23"/>
                <w:spacing w:val="-55"/>
              </w:rPr>
              <w:t xml:space="preserve"> </w:t>
            </w:r>
            <w:r>
              <w:rPr>
                <w:rFonts w:ascii="Times New Roman" w:hAnsi="Times New Roman" w:eastAsia="Times New Roman" w:cs="Times New Roman"/>
                <w:sz w:val="23"/>
                <w:szCs w:val="23"/>
                <w:b/>
                <w:bCs/>
                <w:spacing w:val="-13"/>
                <w:w w:val="97"/>
              </w:rPr>
              <w:t>96</w:t>
            </w:r>
          </w:hyperlink>
        </w:p>
        <w:p>
          <w:pPr>
            <w:ind w:left="420"/>
            <w:spacing w:before="32" w:line="219" w:lineRule="auto"/>
            <w:tabs>
              <w:tab w:val="right" w:leader="dot" w:pos="8295"/>
            </w:tabs>
            <w:rPr>
              <w:rFonts w:ascii="Times New Roman" w:hAnsi="Times New Roman" w:eastAsia="Times New Roman" w:cs="Times New Roman"/>
              <w:sz w:val="23"/>
              <w:szCs w:val="23"/>
            </w:rPr>
          </w:pPr>
          <w:hyperlink w:history="true" w:anchor="bookmark31">
            <w:r>
              <w:rPr>
                <w:rFonts w:ascii="Times New Roman" w:hAnsi="Times New Roman" w:eastAsia="Times New Roman" w:cs="Times New Roman"/>
                <w:sz w:val="23"/>
                <w:szCs w:val="23"/>
                <w:spacing w:val="10"/>
              </w:rPr>
              <w:t>3.1</w:t>
            </w:r>
            <w:r>
              <w:rPr>
                <w:rFonts w:ascii="SimSun" w:hAnsi="SimSun" w:eastAsia="SimSun" w:cs="SimSun"/>
                <w:sz w:val="23"/>
                <w:szCs w:val="23"/>
                <w:spacing w:val="10"/>
              </w:rPr>
              <w:t>项目概况</w:t>
            </w:r>
            <w:r>
              <w:rPr>
                <w:rFonts w:ascii="SimSun" w:hAnsi="SimSun" w:eastAsia="SimSun" w:cs="SimSun"/>
                <w:sz w:val="23"/>
                <w:szCs w:val="23"/>
                <w:spacing w:val="-94"/>
              </w:rPr>
              <w:t xml:space="preserve"> </w:t>
            </w:r>
            <w:r>
              <w:rPr>
                <w:rFonts w:ascii="SimSun" w:hAnsi="SimSun" w:eastAsia="SimSun" w:cs="SimSun"/>
                <w:sz w:val="23"/>
                <w:szCs w:val="23"/>
              </w:rPr>
              <w:tab/>
            </w:r>
            <w:r>
              <w:rPr>
                <w:rFonts w:ascii="Times New Roman" w:hAnsi="Times New Roman" w:eastAsia="Times New Roman" w:cs="Times New Roman"/>
                <w:sz w:val="23"/>
                <w:szCs w:val="23"/>
                <w:spacing w:val="-17"/>
              </w:rPr>
              <w:t>96</w:t>
            </w:r>
          </w:hyperlink>
        </w:p>
        <w:p>
          <w:pPr>
            <w:ind w:left="420"/>
            <w:spacing w:before="47" w:line="220" w:lineRule="auto"/>
            <w:tabs>
              <w:tab w:val="right" w:leader="dot" w:pos="8250"/>
            </w:tabs>
            <w:rPr>
              <w:rFonts w:ascii="Times New Roman" w:hAnsi="Times New Roman" w:eastAsia="Times New Roman" w:cs="Times New Roman"/>
              <w:sz w:val="23"/>
              <w:szCs w:val="23"/>
            </w:rPr>
          </w:pPr>
          <w:hyperlink w:history="true" w:anchor="bookmark32">
            <w:r>
              <w:rPr>
                <w:rFonts w:ascii="Times New Roman" w:hAnsi="Times New Roman" w:eastAsia="Times New Roman" w:cs="Times New Roman"/>
                <w:sz w:val="23"/>
                <w:szCs w:val="23"/>
                <w:spacing w:val="10"/>
              </w:rPr>
              <w:t>3.2</w:t>
            </w:r>
            <w:r>
              <w:rPr>
                <w:rFonts w:ascii="SimSun" w:hAnsi="SimSun" w:eastAsia="SimSun" w:cs="SimSun"/>
                <w:sz w:val="23"/>
                <w:szCs w:val="23"/>
                <w:spacing w:val="10"/>
              </w:rPr>
              <w:t>项目组成</w:t>
            </w:r>
            <w:r>
              <w:rPr>
                <w:rFonts w:ascii="SimSun" w:hAnsi="SimSun" w:eastAsia="SimSun" w:cs="SimSun"/>
                <w:sz w:val="23"/>
                <w:szCs w:val="23"/>
                <w:spacing w:val="-104"/>
              </w:rPr>
              <w:t xml:space="preserve"> </w:t>
            </w:r>
            <w:r>
              <w:rPr>
                <w:rFonts w:ascii="SimSun" w:hAnsi="SimSun" w:eastAsia="SimSun" w:cs="SimSun"/>
                <w:sz w:val="23"/>
                <w:szCs w:val="23"/>
              </w:rPr>
              <w:tab/>
            </w:r>
            <w:r>
              <w:rPr>
                <w:rFonts w:ascii="Times New Roman" w:hAnsi="Times New Roman" w:eastAsia="Times New Roman" w:cs="Times New Roman"/>
                <w:sz w:val="23"/>
                <w:szCs w:val="23"/>
                <w:spacing w:val="-2"/>
              </w:rPr>
              <w:t>98</w:t>
            </w:r>
          </w:hyperlink>
        </w:p>
        <w:p>
          <w:pPr>
            <w:ind w:left="420"/>
            <w:spacing w:before="14" w:line="219" w:lineRule="auto"/>
            <w:tabs>
              <w:tab w:val="right" w:leader="dot" w:pos="8267"/>
            </w:tabs>
            <w:rPr>
              <w:rFonts w:ascii="Times New Roman" w:hAnsi="Times New Roman" w:eastAsia="Times New Roman" w:cs="Times New Roman"/>
              <w:sz w:val="23"/>
              <w:szCs w:val="23"/>
            </w:rPr>
          </w:pPr>
          <w:hyperlink w:history="true" w:anchor="bookmark33">
            <w:r>
              <w:rPr>
                <w:rFonts w:ascii="Times New Roman" w:hAnsi="Times New Roman" w:eastAsia="Times New Roman" w:cs="Times New Roman"/>
                <w:sz w:val="23"/>
                <w:szCs w:val="23"/>
                <w:spacing w:val="7"/>
              </w:rPr>
              <w:t>3.3</w:t>
            </w:r>
            <w:r>
              <w:rPr>
                <w:rFonts w:ascii="Times New Roman" w:hAnsi="Times New Roman" w:eastAsia="Times New Roman" w:cs="Times New Roman"/>
                <w:sz w:val="23"/>
                <w:szCs w:val="23"/>
                <w:spacing w:val="-11"/>
              </w:rPr>
              <w:t xml:space="preserve"> </w:t>
            </w:r>
            <w:r>
              <w:rPr>
                <w:rFonts w:ascii="SimSun" w:hAnsi="SimSun" w:eastAsia="SimSun" w:cs="SimSun"/>
                <w:sz w:val="23"/>
                <w:szCs w:val="23"/>
                <w:spacing w:val="7"/>
              </w:rPr>
              <w:t>原辅材料及能源消耗</w:t>
            </w:r>
            <w:r>
              <w:rPr>
                <w:rFonts w:ascii="SimSun" w:hAnsi="SimSun" w:eastAsia="SimSun" w:cs="SimSun"/>
                <w:sz w:val="23"/>
                <w:szCs w:val="23"/>
                <w:spacing w:val="-104"/>
              </w:rPr>
              <w:t xml:space="preserve"> </w:t>
            </w:r>
            <w:r>
              <w:rPr>
                <w:rFonts w:ascii="SimSun" w:hAnsi="SimSun" w:eastAsia="SimSun" w:cs="SimSun"/>
                <w:sz w:val="23"/>
                <w:szCs w:val="23"/>
              </w:rPr>
              <w:tab/>
            </w:r>
            <w:r>
              <w:rPr>
                <w:rFonts w:ascii="Times New Roman" w:hAnsi="Times New Roman" w:eastAsia="Times New Roman" w:cs="Times New Roman"/>
                <w:sz w:val="23"/>
                <w:szCs w:val="23"/>
                <w:spacing w:val="-7"/>
              </w:rPr>
              <w:t>103</w:t>
            </w:r>
          </w:hyperlink>
        </w:p>
        <w:p>
          <w:pPr>
            <w:ind w:left="420"/>
            <w:spacing w:before="59" w:line="220" w:lineRule="auto"/>
            <w:tabs>
              <w:tab w:val="right" w:leader="dot" w:pos="8247"/>
            </w:tabs>
            <w:rPr>
              <w:rFonts w:ascii="Times New Roman" w:hAnsi="Times New Roman" w:eastAsia="Times New Roman" w:cs="Times New Roman"/>
              <w:sz w:val="23"/>
              <w:szCs w:val="23"/>
            </w:rPr>
          </w:pPr>
          <w:hyperlink w:history="true" w:anchor="bookmark34">
            <w:r>
              <w:rPr>
                <w:rFonts w:ascii="Times New Roman" w:hAnsi="Times New Roman" w:eastAsia="Times New Roman" w:cs="Times New Roman"/>
                <w:sz w:val="23"/>
                <w:szCs w:val="23"/>
                <w:spacing w:val="8"/>
              </w:rPr>
              <w:t>3.4</w:t>
            </w:r>
            <w:r>
              <w:rPr>
                <w:rFonts w:ascii="SimSun" w:hAnsi="SimSun" w:eastAsia="SimSun" w:cs="SimSun"/>
                <w:sz w:val="23"/>
                <w:szCs w:val="23"/>
                <w:spacing w:val="8"/>
              </w:rPr>
              <w:t>项目主要设备</w:t>
            </w:r>
            <w:r>
              <w:rPr>
                <w:rFonts w:ascii="SimSun" w:hAnsi="SimSun" w:eastAsia="SimSun" w:cs="SimSun"/>
                <w:sz w:val="23"/>
                <w:szCs w:val="23"/>
                <w:spacing w:val="-106"/>
              </w:rPr>
              <w:t xml:space="preserve"> </w:t>
            </w:r>
            <w:r>
              <w:rPr>
                <w:rFonts w:ascii="SimSun" w:hAnsi="SimSun" w:eastAsia="SimSun" w:cs="SimSun"/>
                <w:sz w:val="23"/>
                <w:szCs w:val="23"/>
              </w:rPr>
              <w:tab/>
            </w:r>
            <w:r>
              <w:rPr>
                <w:rFonts w:ascii="SimSun" w:hAnsi="SimSun" w:eastAsia="SimSun" w:cs="SimSun"/>
                <w:sz w:val="23"/>
                <w:szCs w:val="23"/>
                <w:spacing w:val="-79"/>
              </w:rPr>
              <w:t xml:space="preserve"> </w:t>
            </w:r>
            <w:r>
              <w:rPr>
                <w:rFonts w:ascii="Times New Roman" w:hAnsi="Times New Roman" w:eastAsia="Times New Roman" w:cs="Times New Roman"/>
                <w:sz w:val="23"/>
                <w:szCs w:val="23"/>
                <w:spacing w:val="-6"/>
              </w:rPr>
              <w:t>106</w:t>
            </w:r>
          </w:hyperlink>
        </w:p>
        <w:p>
          <w:pPr>
            <w:ind w:left="420"/>
            <w:spacing w:before="36" w:line="220" w:lineRule="auto"/>
            <w:tabs>
              <w:tab w:val="right" w:leader="dot" w:pos="8247"/>
            </w:tabs>
            <w:rPr>
              <w:rFonts w:ascii="Times New Roman" w:hAnsi="Times New Roman" w:eastAsia="Times New Roman" w:cs="Times New Roman"/>
              <w:sz w:val="23"/>
              <w:szCs w:val="23"/>
            </w:rPr>
          </w:pPr>
          <w:hyperlink w:history="true" w:anchor="bookmark35">
            <w:r>
              <w:rPr>
                <w:rFonts w:ascii="Times New Roman" w:hAnsi="Times New Roman" w:eastAsia="Times New Roman" w:cs="Times New Roman"/>
                <w:sz w:val="23"/>
                <w:szCs w:val="23"/>
                <w:spacing w:val="10"/>
              </w:rPr>
              <w:t>3.5</w:t>
            </w:r>
            <w:r>
              <w:rPr>
                <w:rFonts w:ascii="SimSun" w:hAnsi="SimSun" w:eastAsia="SimSun" w:cs="SimSun"/>
                <w:sz w:val="23"/>
                <w:szCs w:val="23"/>
                <w:spacing w:val="10"/>
              </w:rPr>
              <w:t>占地及拆迁安置工程</w:t>
            </w:r>
            <w:r>
              <w:rPr>
                <w:rFonts w:ascii="SimSun" w:hAnsi="SimSun" w:eastAsia="SimSun" w:cs="SimSun"/>
                <w:sz w:val="23"/>
                <w:szCs w:val="23"/>
                <w:spacing w:val="-104"/>
              </w:rPr>
              <w:t xml:space="preserve"> </w:t>
            </w:r>
            <w:r>
              <w:rPr>
                <w:rFonts w:ascii="SimSun" w:hAnsi="SimSun" w:eastAsia="SimSun" w:cs="SimSun"/>
                <w:sz w:val="23"/>
                <w:szCs w:val="23"/>
              </w:rPr>
              <w:tab/>
            </w:r>
            <w:r>
              <w:rPr>
                <w:rFonts w:ascii="Times New Roman" w:hAnsi="Times New Roman" w:eastAsia="Times New Roman" w:cs="Times New Roman"/>
                <w:sz w:val="23"/>
                <w:szCs w:val="23"/>
                <w:spacing w:val="-10"/>
              </w:rPr>
              <w:t>113</w:t>
            </w:r>
          </w:hyperlink>
        </w:p>
        <w:p>
          <w:pPr>
            <w:ind w:left="420"/>
            <w:spacing w:before="6" w:line="220" w:lineRule="auto"/>
            <w:tabs>
              <w:tab w:val="right" w:leader="dot" w:pos="8267"/>
            </w:tabs>
            <w:rPr>
              <w:rFonts w:ascii="Times New Roman" w:hAnsi="Times New Roman" w:eastAsia="Times New Roman" w:cs="Times New Roman"/>
              <w:sz w:val="23"/>
              <w:szCs w:val="23"/>
            </w:rPr>
          </w:pPr>
          <w:hyperlink w:history="true" w:anchor="bookmark36">
            <w:r>
              <w:rPr>
                <w:rFonts w:ascii="Times New Roman" w:hAnsi="Times New Roman" w:eastAsia="Times New Roman" w:cs="Times New Roman"/>
                <w:sz w:val="23"/>
                <w:szCs w:val="23"/>
                <w:spacing w:val="6"/>
              </w:rPr>
              <w:t>3.6</w:t>
            </w:r>
            <w:r>
              <w:rPr>
                <w:rFonts w:ascii="SimSun" w:hAnsi="SimSun" w:eastAsia="SimSun" w:cs="SimSun"/>
                <w:sz w:val="23"/>
                <w:szCs w:val="23"/>
                <w:spacing w:val="6"/>
              </w:rPr>
              <w:t>辅助及公用工程</w:t>
            </w:r>
            <w:r>
              <w:rPr>
                <w:rFonts w:ascii="SimSun" w:hAnsi="SimSun" w:eastAsia="SimSun" w:cs="SimSun"/>
                <w:sz w:val="23"/>
                <w:szCs w:val="23"/>
                <w:spacing w:val="-94"/>
              </w:rPr>
              <w:t xml:space="preserve"> </w:t>
            </w:r>
            <w:r>
              <w:rPr>
                <w:rFonts w:ascii="SimSun" w:hAnsi="SimSun" w:eastAsia="SimSun" w:cs="SimSun"/>
                <w:sz w:val="23"/>
                <w:szCs w:val="23"/>
              </w:rPr>
              <w:tab/>
            </w:r>
            <w:r>
              <w:rPr>
                <w:rFonts w:ascii="SimSun" w:hAnsi="SimSun" w:eastAsia="SimSun" w:cs="SimSun"/>
                <w:sz w:val="23"/>
                <w:szCs w:val="23"/>
                <w:spacing w:val="-59"/>
              </w:rPr>
              <w:t xml:space="preserve"> </w:t>
            </w:r>
            <w:r>
              <w:rPr>
                <w:rFonts w:ascii="Times New Roman" w:hAnsi="Times New Roman" w:eastAsia="Times New Roman" w:cs="Times New Roman"/>
                <w:sz w:val="23"/>
                <w:szCs w:val="23"/>
                <w:spacing w:val="-6"/>
              </w:rPr>
              <w:t>113</w:t>
            </w:r>
          </w:hyperlink>
        </w:p>
        <w:p>
          <w:pPr>
            <w:ind w:left="420"/>
            <w:spacing w:before="34" w:line="219" w:lineRule="auto"/>
            <w:tabs>
              <w:tab w:val="right" w:leader="dot" w:pos="8267"/>
            </w:tabs>
            <w:rPr>
              <w:rFonts w:ascii="Times New Roman" w:hAnsi="Times New Roman" w:eastAsia="Times New Roman" w:cs="Times New Roman"/>
              <w:sz w:val="23"/>
              <w:szCs w:val="23"/>
            </w:rPr>
          </w:pPr>
          <w:hyperlink w:history="true" w:anchor="bookmark37">
            <w:r>
              <w:rPr>
                <w:rFonts w:ascii="Times New Roman" w:hAnsi="Times New Roman" w:eastAsia="Times New Roman" w:cs="Times New Roman"/>
                <w:sz w:val="23"/>
                <w:szCs w:val="23"/>
                <w:spacing w:val="8"/>
              </w:rPr>
              <w:t>3.7</w:t>
            </w:r>
            <w:r>
              <w:rPr>
                <w:rFonts w:ascii="SimSun" w:hAnsi="SimSun" w:eastAsia="SimSun" w:cs="SimSun"/>
                <w:sz w:val="23"/>
                <w:szCs w:val="23"/>
                <w:spacing w:val="8"/>
              </w:rPr>
              <w:t>项目总平面布置合理性</w:t>
            </w:r>
            <w:r>
              <w:rPr>
                <w:rFonts w:ascii="SimSun" w:hAnsi="SimSun" w:eastAsia="SimSun" w:cs="SimSun"/>
                <w:sz w:val="23"/>
                <w:szCs w:val="23"/>
                <w:spacing w:val="-88"/>
              </w:rPr>
              <w:t xml:space="preserve"> </w:t>
            </w:r>
            <w:r>
              <w:rPr>
                <w:rFonts w:ascii="SimSun" w:hAnsi="SimSun" w:eastAsia="SimSun" w:cs="SimSun"/>
                <w:sz w:val="23"/>
                <w:szCs w:val="23"/>
              </w:rPr>
              <w:tab/>
            </w:r>
            <w:r>
              <w:rPr>
                <w:rFonts w:ascii="Times New Roman" w:hAnsi="Times New Roman" w:eastAsia="Times New Roman" w:cs="Times New Roman"/>
                <w:sz w:val="23"/>
                <w:szCs w:val="23"/>
                <w:spacing w:val="-5"/>
              </w:rPr>
              <w:t>122</w:t>
            </w:r>
          </w:hyperlink>
        </w:p>
        <w:p>
          <w:pPr>
            <w:ind w:left="420"/>
            <w:spacing w:before="49" w:line="220" w:lineRule="auto"/>
            <w:tabs>
              <w:tab w:val="right" w:leader="dot" w:pos="8257"/>
            </w:tabs>
            <w:rPr>
              <w:rFonts w:ascii="Times New Roman" w:hAnsi="Times New Roman" w:eastAsia="Times New Roman" w:cs="Times New Roman"/>
              <w:sz w:val="23"/>
              <w:szCs w:val="23"/>
            </w:rPr>
          </w:pPr>
          <w:hyperlink w:history="true" w:anchor="bookmark38">
            <w:r>
              <w:rPr>
                <w:rFonts w:ascii="Times New Roman" w:hAnsi="Times New Roman" w:eastAsia="Times New Roman" w:cs="Times New Roman"/>
                <w:sz w:val="23"/>
                <w:szCs w:val="23"/>
                <w:spacing w:val="-3"/>
              </w:rPr>
              <w:t>3.8</w:t>
            </w:r>
            <w:r>
              <w:rPr>
                <w:rFonts w:ascii="SimSun" w:hAnsi="SimSun" w:eastAsia="SimSun" w:cs="SimSun"/>
                <w:sz w:val="23"/>
                <w:szCs w:val="23"/>
                <w:spacing w:val="-3"/>
              </w:rPr>
              <w:t>运营期工程分析</w:t>
            </w:r>
            <w:r>
              <w:rPr>
                <w:rFonts w:ascii="SimSun" w:hAnsi="SimSun" w:eastAsia="SimSun" w:cs="SimSun"/>
                <w:sz w:val="23"/>
                <w:szCs w:val="23"/>
                <w:spacing w:val="-84"/>
              </w:rPr>
              <w:t xml:space="preserve"> </w:t>
            </w:r>
            <w:r>
              <w:rPr>
                <w:rFonts w:ascii="SimSun" w:hAnsi="SimSun" w:eastAsia="SimSun" w:cs="SimSun"/>
                <w:sz w:val="23"/>
                <w:szCs w:val="23"/>
              </w:rPr>
              <w:tab/>
            </w:r>
            <w:r>
              <w:rPr>
                <w:rFonts w:ascii="Times New Roman" w:hAnsi="Times New Roman" w:eastAsia="Times New Roman" w:cs="Times New Roman"/>
                <w:sz w:val="23"/>
                <w:szCs w:val="23"/>
                <w:spacing w:val="-5"/>
              </w:rPr>
              <w:t>130</w:t>
            </w:r>
          </w:hyperlink>
        </w:p>
        <w:p>
          <w:pPr>
            <w:ind w:left="420"/>
            <w:spacing w:before="56" w:line="219" w:lineRule="auto"/>
            <w:tabs>
              <w:tab w:val="right" w:leader="dot" w:pos="8267"/>
            </w:tabs>
            <w:rPr>
              <w:rFonts w:ascii="Times New Roman" w:hAnsi="Times New Roman" w:eastAsia="Times New Roman" w:cs="Times New Roman"/>
              <w:sz w:val="23"/>
              <w:szCs w:val="23"/>
            </w:rPr>
          </w:pPr>
          <w:hyperlink w:history="true" w:anchor="bookmark39">
            <w:r>
              <w:rPr>
                <w:rFonts w:ascii="Times New Roman" w:hAnsi="Times New Roman" w:eastAsia="Times New Roman" w:cs="Times New Roman"/>
                <w:sz w:val="23"/>
                <w:szCs w:val="23"/>
                <w:spacing w:val="3"/>
              </w:rPr>
              <w:t>3.9</w:t>
            </w:r>
            <w:r>
              <w:rPr>
                <w:rFonts w:ascii="SimSun" w:hAnsi="SimSun" w:eastAsia="SimSun" w:cs="SimSun"/>
                <w:sz w:val="23"/>
                <w:szCs w:val="23"/>
                <w:spacing w:val="3"/>
              </w:rPr>
              <w:t>水平衡</w:t>
            </w:r>
            <w:r>
              <w:rPr>
                <w:rFonts w:ascii="SimSun" w:hAnsi="SimSun" w:eastAsia="SimSun" w:cs="SimSun"/>
                <w:sz w:val="23"/>
                <w:szCs w:val="23"/>
                <w:spacing w:val="-92"/>
              </w:rPr>
              <w:t xml:space="preserve"> </w:t>
            </w:r>
            <w:r>
              <w:rPr>
                <w:rFonts w:ascii="SimSun" w:hAnsi="SimSun" w:eastAsia="SimSun" w:cs="SimSun"/>
                <w:sz w:val="23"/>
                <w:szCs w:val="23"/>
              </w:rPr>
              <w:tab/>
            </w:r>
            <w:r>
              <w:rPr>
                <w:rFonts w:ascii="SimSun" w:hAnsi="SimSun" w:eastAsia="SimSun" w:cs="SimSun"/>
                <w:sz w:val="23"/>
                <w:szCs w:val="23"/>
                <w:spacing w:val="-19"/>
              </w:rPr>
              <w:t xml:space="preserve"> </w:t>
            </w:r>
            <w:r>
              <w:rPr>
                <w:rFonts w:ascii="Times New Roman" w:hAnsi="Times New Roman" w:eastAsia="Times New Roman" w:cs="Times New Roman"/>
                <w:sz w:val="23"/>
                <w:szCs w:val="23"/>
                <w:spacing w:val="-6"/>
              </w:rPr>
              <w:t>138</w:t>
            </w:r>
          </w:hyperlink>
        </w:p>
        <w:p>
          <w:pPr>
            <w:ind w:left="420"/>
            <w:spacing w:before="7" w:line="220" w:lineRule="auto"/>
            <w:tabs>
              <w:tab w:val="right" w:leader="dot" w:pos="8237"/>
            </w:tabs>
            <w:rPr>
              <w:rFonts w:ascii="Times New Roman" w:hAnsi="Times New Roman" w:eastAsia="Times New Roman" w:cs="Times New Roman"/>
              <w:sz w:val="23"/>
              <w:szCs w:val="23"/>
            </w:rPr>
          </w:pPr>
          <w:hyperlink w:history="true" w:anchor="bookmark40">
            <w:r>
              <w:rPr>
                <w:rFonts w:ascii="Times New Roman" w:hAnsi="Times New Roman" w:eastAsia="Times New Roman" w:cs="Times New Roman"/>
                <w:sz w:val="23"/>
                <w:szCs w:val="23"/>
                <w:spacing w:val="6"/>
              </w:rPr>
              <w:t>3.10</w:t>
            </w:r>
            <w:r>
              <w:rPr>
                <w:rFonts w:ascii="Times New Roman" w:hAnsi="Times New Roman" w:eastAsia="Times New Roman" w:cs="Times New Roman"/>
                <w:sz w:val="23"/>
                <w:szCs w:val="23"/>
                <w:spacing w:val="-20"/>
              </w:rPr>
              <w:t xml:space="preserve"> </w:t>
            </w:r>
            <w:r>
              <w:rPr>
                <w:rFonts w:ascii="SimSun" w:hAnsi="SimSun" w:eastAsia="SimSun" w:cs="SimSun"/>
                <w:sz w:val="23"/>
                <w:szCs w:val="23"/>
                <w:spacing w:val="6"/>
              </w:rPr>
              <w:t>物料平衡及蒸汽平衡</w:t>
            </w:r>
            <w:r>
              <w:rPr>
                <w:rFonts w:ascii="SimSun" w:hAnsi="SimSun" w:eastAsia="SimSun" w:cs="SimSun"/>
                <w:sz w:val="23"/>
                <w:szCs w:val="23"/>
                <w:spacing w:val="-95"/>
              </w:rPr>
              <w:t xml:space="preserve"> </w:t>
            </w:r>
            <w:r>
              <w:rPr>
                <w:rFonts w:ascii="SimSun" w:hAnsi="SimSun" w:eastAsia="SimSun" w:cs="SimSun"/>
                <w:sz w:val="23"/>
                <w:szCs w:val="23"/>
              </w:rPr>
              <w:tab/>
            </w:r>
            <w:r>
              <w:rPr>
                <w:rFonts w:ascii="SimSun" w:hAnsi="SimSun" w:eastAsia="SimSun" w:cs="SimSun"/>
                <w:sz w:val="23"/>
                <w:szCs w:val="23"/>
                <w:spacing w:val="-29"/>
              </w:rPr>
              <w:t xml:space="preserve"> </w:t>
            </w:r>
            <w:r>
              <w:rPr>
                <w:rFonts w:ascii="Times New Roman" w:hAnsi="Times New Roman" w:eastAsia="Times New Roman" w:cs="Times New Roman"/>
                <w:sz w:val="23"/>
                <w:szCs w:val="23"/>
                <w:spacing w:val="-6"/>
              </w:rPr>
              <w:t>140</w:t>
            </w:r>
          </w:hyperlink>
        </w:p>
        <w:p>
          <w:pPr>
            <w:ind w:left="420"/>
            <w:spacing w:before="36" w:line="219" w:lineRule="auto"/>
            <w:tabs>
              <w:tab w:val="right" w:leader="dot" w:pos="8137"/>
            </w:tabs>
            <w:rPr>
              <w:rFonts w:ascii="Times New Roman" w:hAnsi="Times New Roman" w:eastAsia="Times New Roman" w:cs="Times New Roman"/>
              <w:sz w:val="23"/>
              <w:szCs w:val="23"/>
            </w:rPr>
          </w:pPr>
          <w:hyperlink w:history="true" w:anchor="bookmark41">
            <w:r>
              <w:rPr>
                <w:rFonts w:ascii="Times New Roman" w:hAnsi="Times New Roman" w:eastAsia="Times New Roman" w:cs="Times New Roman"/>
                <w:sz w:val="23"/>
                <w:szCs w:val="23"/>
                <w:spacing w:val="9"/>
              </w:rPr>
              <w:t>3.11</w:t>
            </w:r>
            <w:r>
              <w:rPr>
                <w:rFonts w:ascii="SimSun" w:hAnsi="SimSun" w:eastAsia="SimSun" w:cs="SimSun"/>
                <w:sz w:val="23"/>
                <w:szCs w:val="23"/>
                <w:spacing w:val="9"/>
              </w:rPr>
              <w:t>污染物产生及治理</w:t>
            </w:r>
            <w:r>
              <w:rPr>
                <w:rFonts w:ascii="SimSun" w:hAnsi="SimSun" w:eastAsia="SimSun" w:cs="SimSun"/>
                <w:sz w:val="23"/>
                <w:szCs w:val="23"/>
                <w:spacing w:val="-87"/>
              </w:rPr>
              <w:t xml:space="preserve"> </w:t>
            </w:r>
            <w:r>
              <w:rPr>
                <w:rFonts w:ascii="SimSun" w:hAnsi="SimSun" w:eastAsia="SimSun" w:cs="SimSun"/>
                <w:sz w:val="23"/>
                <w:szCs w:val="23"/>
              </w:rPr>
              <w:tab/>
            </w:r>
            <w:r>
              <w:rPr>
                <w:rFonts w:ascii="Times New Roman" w:hAnsi="Times New Roman" w:eastAsia="Times New Roman" w:cs="Times New Roman"/>
                <w:sz w:val="23"/>
                <w:szCs w:val="23"/>
                <w:spacing w:val="-10"/>
              </w:rPr>
              <w:t>142</w:t>
            </w:r>
          </w:hyperlink>
        </w:p>
        <w:p>
          <w:pPr>
            <w:ind w:left="3"/>
            <w:spacing w:before="71" w:line="218" w:lineRule="auto"/>
            <w:tabs>
              <w:tab w:val="right" w:leader="dot" w:pos="8259"/>
            </w:tabs>
            <w:rPr>
              <w:rFonts w:ascii="Times New Roman" w:hAnsi="Times New Roman" w:eastAsia="Times New Roman" w:cs="Times New Roman"/>
              <w:sz w:val="23"/>
              <w:szCs w:val="23"/>
            </w:rPr>
          </w:pPr>
          <w:hyperlink w:history="true" w:anchor="bookmark42">
            <w:r>
              <w:rPr>
                <w:rFonts w:ascii="SimSun" w:hAnsi="SimSun" w:eastAsia="SimSun" w:cs="SimSun"/>
                <w:sz w:val="23"/>
                <w:szCs w:val="23"/>
                <w:b/>
                <w:bCs/>
              </w:rPr>
              <w:t>第4章环境现状调查与评价</w:t>
            </w:r>
            <w:r>
              <w:rPr>
                <w:rFonts w:ascii="SimSun" w:hAnsi="SimSun" w:eastAsia="SimSun" w:cs="SimSun"/>
                <w:sz w:val="23"/>
                <w:szCs w:val="23"/>
                <w:spacing w:val="-84"/>
              </w:rPr>
              <w:t xml:space="preserve"> </w:t>
            </w:r>
            <w:r>
              <w:rPr>
                <w:rFonts w:ascii="SimSun" w:hAnsi="SimSun" w:eastAsia="SimSun" w:cs="SimSun"/>
                <w:sz w:val="23"/>
                <w:szCs w:val="23"/>
              </w:rPr>
              <w:tab/>
            </w:r>
            <w:r>
              <w:rPr>
                <w:rFonts w:ascii="Times New Roman" w:hAnsi="Times New Roman" w:eastAsia="Times New Roman" w:cs="Times New Roman"/>
                <w:sz w:val="23"/>
                <w:szCs w:val="23"/>
                <w:b/>
                <w:bCs/>
                <w:spacing w:val="-1"/>
              </w:rPr>
              <w:t>189</w:t>
            </w:r>
          </w:hyperlink>
        </w:p>
      </w:sdtContent>
    </w:sdt>
    <w:p>
      <w:pPr>
        <w:spacing w:line="218" w:lineRule="auto"/>
        <w:sectPr>
          <w:pgSz w:w="11910" w:h="16840"/>
          <w:pgMar w:top="1431" w:right="1786" w:bottom="0" w:left="1779" w:header="0" w:footer="0" w:gutter="0"/>
        </w:sectPr>
        <w:rPr>
          <w:rFonts w:ascii="Times New Roman" w:hAnsi="Times New Roman" w:eastAsia="Times New Roman" w:cs="Times New Roman"/>
          <w:sz w:val="23"/>
          <w:szCs w:val="23"/>
        </w:rPr>
      </w:pPr>
    </w:p>
    <w:sdt>
      <w:sdtPr>
        <w:rPr>
          <w:rFonts w:ascii="Times New Roman" w:hAnsi="Times New Roman" w:eastAsia="Times New Roman" w:cs="Times New Roman"/>
          <w:sz w:val="23"/>
          <w:szCs w:val="23"/>
        </w:rPr>
        <w:docPartObj>
          <w:docPartGallery w:val="Table of Contents"/>
          <w:docPartUnique/>
        </w:docPartObj>
      </w:sdtPr>
      <w:sdtEndPr>
        <w:rPr>
          <w:rFonts w:ascii="Times New Roman" w:hAnsi="Times New Roman" w:eastAsia="Times New Roman" w:cs="Times New Roman"/>
          <w:sz w:val="23"/>
          <w:szCs w:val="23"/>
        </w:rPr>
      </w:sdtEndPr>
      <w:sdtContent>
        <w:p>
          <w:pPr>
            <w:ind w:left="416"/>
            <w:spacing w:before="68" w:line="219" w:lineRule="auto"/>
            <w:tabs>
              <w:tab w:val="right" w:leader="dot" w:pos="8234"/>
            </w:tabs>
            <w:rPr>
              <w:rFonts w:ascii="Times New Roman" w:hAnsi="Times New Roman" w:eastAsia="Times New Roman" w:cs="Times New Roman"/>
              <w:sz w:val="23"/>
              <w:szCs w:val="23"/>
            </w:rPr>
          </w:pPr>
          <w:hyperlink w:history="true" w:anchor="bookmark43">
            <w:r>
              <w:rPr>
                <w:rFonts w:ascii="Times New Roman" w:hAnsi="Times New Roman" w:eastAsia="Times New Roman" w:cs="Times New Roman"/>
                <w:sz w:val="23"/>
                <w:szCs w:val="23"/>
                <w:spacing w:val="11"/>
              </w:rPr>
              <w:t>4.1</w:t>
            </w:r>
            <w:r>
              <w:rPr>
                <w:rFonts w:ascii="SimSun" w:hAnsi="SimSun" w:eastAsia="SimSun" w:cs="SimSun"/>
                <w:sz w:val="23"/>
                <w:szCs w:val="23"/>
                <w:spacing w:val="11"/>
              </w:rPr>
              <w:t>自然环境概况</w:t>
            </w:r>
            <w:r>
              <w:rPr>
                <w:rFonts w:ascii="SimSun" w:hAnsi="SimSun" w:eastAsia="SimSun" w:cs="SimSun"/>
                <w:sz w:val="23"/>
                <w:szCs w:val="23"/>
                <w:spacing w:val="-93"/>
              </w:rPr>
              <w:t xml:space="preserve"> </w:t>
            </w:r>
            <w:r>
              <w:rPr>
                <w:rFonts w:ascii="SimSun" w:hAnsi="SimSun" w:eastAsia="SimSun" w:cs="SimSun"/>
                <w:sz w:val="23"/>
                <w:szCs w:val="23"/>
              </w:rPr>
              <w:tab/>
            </w:r>
            <w:r>
              <w:rPr>
                <w:rFonts w:ascii="Times New Roman" w:hAnsi="Times New Roman" w:eastAsia="Times New Roman" w:cs="Times New Roman"/>
                <w:sz w:val="23"/>
                <w:szCs w:val="23"/>
                <w:spacing w:val="-9"/>
              </w:rPr>
              <w:t>189</w:t>
            </w:r>
          </w:hyperlink>
        </w:p>
        <w:p>
          <w:pPr>
            <w:ind w:left="416"/>
            <w:spacing w:before="44" w:line="218" w:lineRule="auto"/>
            <w:tabs>
              <w:tab w:val="right" w:leader="dot" w:pos="8234"/>
            </w:tabs>
            <w:rPr>
              <w:rFonts w:ascii="Times New Roman" w:hAnsi="Times New Roman" w:eastAsia="Times New Roman" w:cs="Times New Roman"/>
              <w:sz w:val="23"/>
              <w:szCs w:val="23"/>
            </w:rPr>
          </w:pPr>
          <w:hyperlink w:history="true" w:anchor="bookmark44">
            <w:r>
              <w:rPr>
                <w:rFonts w:ascii="Times New Roman" w:hAnsi="Times New Roman" w:eastAsia="Times New Roman" w:cs="Times New Roman"/>
                <w:sz w:val="23"/>
                <w:szCs w:val="23"/>
                <w:spacing w:val="7"/>
              </w:rPr>
              <w:t>4.2</w:t>
            </w:r>
            <w:r>
              <w:rPr>
                <w:rFonts w:ascii="SimSun" w:hAnsi="SimSun" w:eastAsia="SimSun" w:cs="SimSun"/>
                <w:sz w:val="23"/>
                <w:szCs w:val="23"/>
                <w:spacing w:val="7"/>
              </w:rPr>
              <w:t>环境质量现状评价</w:t>
            </w:r>
            <w:r>
              <w:rPr>
                <w:rFonts w:ascii="SimSun" w:hAnsi="SimSun" w:eastAsia="SimSun" w:cs="SimSun"/>
                <w:sz w:val="23"/>
                <w:szCs w:val="23"/>
                <w:spacing w:val="-91"/>
              </w:rPr>
              <w:t xml:space="preserve"> </w:t>
            </w:r>
            <w:r>
              <w:rPr>
                <w:rFonts w:ascii="SimSun" w:hAnsi="SimSun" w:eastAsia="SimSun" w:cs="SimSun"/>
                <w:sz w:val="23"/>
                <w:szCs w:val="23"/>
              </w:rPr>
              <w:tab/>
            </w:r>
            <w:r>
              <w:rPr>
                <w:rFonts w:ascii="Times New Roman" w:hAnsi="Times New Roman" w:eastAsia="Times New Roman" w:cs="Times New Roman"/>
                <w:sz w:val="23"/>
                <w:szCs w:val="23"/>
                <w:spacing w:val="-5"/>
              </w:rPr>
              <w:t>194</w:t>
            </w:r>
          </w:hyperlink>
        </w:p>
        <w:p>
          <w:pPr>
            <w:spacing w:before="45" w:line="218" w:lineRule="auto"/>
            <w:tabs>
              <w:tab w:val="right" w:leader="dot" w:pos="8255"/>
            </w:tabs>
            <w:rPr>
              <w:rFonts w:ascii="Times New Roman" w:hAnsi="Times New Roman" w:eastAsia="Times New Roman" w:cs="Times New Roman"/>
              <w:sz w:val="23"/>
              <w:szCs w:val="23"/>
            </w:rPr>
          </w:pPr>
          <w:hyperlink w:history="true" w:anchor="bookmark45">
            <w:r>
              <w:rPr>
                <w:rFonts w:ascii="SimSun" w:hAnsi="SimSun" w:eastAsia="SimSun" w:cs="SimSun"/>
                <w:sz w:val="23"/>
                <w:szCs w:val="23"/>
                <w:b/>
                <w:bCs/>
                <w:spacing w:val="6"/>
              </w:rPr>
              <w:t>第5章环境影响预测与评价</w:t>
            </w:r>
            <w:r>
              <w:rPr>
                <w:rFonts w:ascii="SimSun" w:hAnsi="SimSun" w:eastAsia="SimSun" w:cs="SimSun"/>
                <w:sz w:val="23"/>
                <w:szCs w:val="23"/>
                <w:spacing w:val="-86"/>
              </w:rPr>
              <w:t xml:space="preserve"> </w:t>
            </w:r>
            <w:r>
              <w:rPr>
                <w:rFonts w:ascii="SimSun" w:hAnsi="SimSun" w:eastAsia="SimSun" w:cs="SimSun"/>
                <w:sz w:val="23"/>
                <w:szCs w:val="23"/>
              </w:rPr>
              <w:tab/>
            </w:r>
            <w:r>
              <w:rPr>
                <w:rFonts w:ascii="SimSun" w:hAnsi="SimSun" w:eastAsia="SimSun" w:cs="SimSun"/>
                <w:sz w:val="23"/>
                <w:szCs w:val="23"/>
                <w:spacing w:val="-14"/>
              </w:rPr>
              <w:t xml:space="preserve"> </w:t>
            </w:r>
            <w:r>
              <w:rPr>
                <w:rFonts w:ascii="Times New Roman" w:hAnsi="Times New Roman" w:eastAsia="Times New Roman" w:cs="Times New Roman"/>
                <w:sz w:val="23"/>
                <w:szCs w:val="23"/>
                <w:b/>
                <w:bCs/>
                <w:spacing w:val="-2"/>
              </w:rPr>
              <w:t>210</w:t>
            </w:r>
          </w:hyperlink>
        </w:p>
        <w:p>
          <w:pPr>
            <w:ind w:left="416"/>
            <w:spacing w:before="34" w:line="220" w:lineRule="auto"/>
            <w:tabs>
              <w:tab w:val="right" w:leader="dot" w:pos="8235"/>
            </w:tabs>
            <w:rPr>
              <w:rFonts w:ascii="Times New Roman" w:hAnsi="Times New Roman" w:eastAsia="Times New Roman" w:cs="Times New Roman"/>
              <w:sz w:val="23"/>
              <w:szCs w:val="23"/>
            </w:rPr>
          </w:pPr>
          <w:hyperlink w:history="true" w:anchor="bookmark46">
            <w:r>
              <w:rPr>
                <w:rFonts w:ascii="Times New Roman" w:hAnsi="Times New Roman" w:eastAsia="Times New Roman" w:cs="Times New Roman"/>
                <w:sz w:val="23"/>
                <w:szCs w:val="23"/>
                <w:spacing w:val="1"/>
              </w:rPr>
              <w:t>5.1</w:t>
            </w:r>
            <w:r>
              <w:rPr>
                <w:rFonts w:ascii="SimSun" w:hAnsi="SimSun" w:eastAsia="SimSun" w:cs="SimSun"/>
                <w:sz w:val="23"/>
                <w:szCs w:val="23"/>
                <w:spacing w:val="1"/>
              </w:rPr>
              <w:t>施工期环境影响分析</w:t>
            </w:r>
            <w:r>
              <w:rPr>
                <w:rFonts w:ascii="SimSun" w:hAnsi="SimSun" w:eastAsia="SimSun" w:cs="SimSun"/>
                <w:sz w:val="23"/>
                <w:szCs w:val="23"/>
                <w:spacing w:val="-86"/>
              </w:rPr>
              <w:t xml:space="preserve"> </w:t>
            </w:r>
            <w:r>
              <w:rPr>
                <w:rFonts w:ascii="SimSun" w:hAnsi="SimSun" w:eastAsia="SimSun" w:cs="SimSun"/>
                <w:sz w:val="23"/>
                <w:szCs w:val="23"/>
              </w:rPr>
              <w:tab/>
            </w:r>
            <w:r>
              <w:rPr>
                <w:rFonts w:ascii="SimSun" w:hAnsi="SimSun" w:eastAsia="SimSun" w:cs="SimSun"/>
                <w:sz w:val="23"/>
                <w:szCs w:val="23"/>
                <w:spacing w:val="-68"/>
              </w:rPr>
              <w:t xml:space="preserve"> </w:t>
            </w:r>
            <w:r>
              <w:rPr>
                <w:rFonts w:ascii="Times New Roman" w:hAnsi="Times New Roman" w:eastAsia="Times New Roman" w:cs="Times New Roman"/>
                <w:sz w:val="23"/>
                <w:szCs w:val="23"/>
                <w:spacing w:val="-2"/>
              </w:rPr>
              <w:t>210</w:t>
            </w:r>
          </w:hyperlink>
        </w:p>
        <w:p>
          <w:pPr>
            <w:ind w:left="416"/>
            <w:spacing w:before="35" w:line="220" w:lineRule="auto"/>
            <w:tabs>
              <w:tab w:val="right" w:leader="dot" w:pos="8140"/>
            </w:tabs>
            <w:rPr>
              <w:rFonts w:ascii="Times New Roman" w:hAnsi="Times New Roman" w:eastAsia="Times New Roman" w:cs="Times New Roman"/>
              <w:sz w:val="23"/>
              <w:szCs w:val="23"/>
            </w:rPr>
          </w:pPr>
          <w:hyperlink w:history="true" w:anchor="bookmark47">
            <w:r>
              <w:rPr>
                <w:rFonts w:ascii="Times New Roman" w:hAnsi="Times New Roman" w:eastAsia="Times New Roman" w:cs="Times New Roman"/>
                <w:sz w:val="23"/>
                <w:szCs w:val="23"/>
              </w:rPr>
              <w:t>5.2</w:t>
            </w:r>
            <w:r>
              <w:rPr>
                <w:rFonts w:ascii="SimSun" w:hAnsi="SimSun" w:eastAsia="SimSun" w:cs="SimSun"/>
                <w:sz w:val="23"/>
                <w:szCs w:val="23"/>
              </w:rPr>
              <w:t>运营期环境影响分析</w:t>
            </w:r>
            <w:r>
              <w:rPr>
                <w:rFonts w:ascii="SimSun" w:hAnsi="SimSun" w:eastAsia="SimSun" w:cs="SimSun"/>
                <w:sz w:val="23"/>
                <w:szCs w:val="23"/>
                <w:spacing w:val="-74"/>
              </w:rPr>
              <w:t xml:space="preserve"> </w:t>
            </w:r>
            <w:r>
              <w:rPr>
                <w:rFonts w:ascii="SimSun" w:hAnsi="SimSun" w:eastAsia="SimSun" w:cs="SimSun"/>
                <w:sz w:val="23"/>
                <w:szCs w:val="23"/>
              </w:rPr>
              <w:tab/>
            </w:r>
            <w:r>
              <w:rPr>
                <w:rFonts w:ascii="SimSun" w:hAnsi="SimSun" w:eastAsia="SimSun" w:cs="SimSun"/>
                <w:sz w:val="23"/>
                <w:szCs w:val="23"/>
                <w:spacing w:val="-49"/>
              </w:rPr>
              <w:t xml:space="preserve"> </w:t>
            </w:r>
            <w:r>
              <w:rPr>
                <w:rFonts w:ascii="Times New Roman" w:hAnsi="Times New Roman" w:eastAsia="Times New Roman" w:cs="Times New Roman"/>
                <w:sz w:val="23"/>
                <w:szCs w:val="23"/>
                <w:spacing w:val="-2"/>
              </w:rPr>
              <w:t>21</w:t>
            </w:r>
          </w:hyperlink>
        </w:p>
        <w:p>
          <w:pPr>
            <w:spacing w:before="31" w:line="219" w:lineRule="auto"/>
            <w:tabs>
              <w:tab w:val="right" w:leader="dot" w:pos="8225"/>
            </w:tabs>
            <w:rPr>
              <w:rFonts w:ascii="Times New Roman" w:hAnsi="Times New Roman" w:eastAsia="Times New Roman" w:cs="Times New Roman"/>
              <w:sz w:val="23"/>
              <w:szCs w:val="23"/>
            </w:rPr>
          </w:pPr>
          <w:hyperlink w:history="true" w:anchor="bookmark48">
            <w:r>
              <w:rPr>
                <w:rFonts w:ascii="SimSun" w:hAnsi="SimSun" w:eastAsia="SimSun" w:cs="SimSun"/>
                <w:sz w:val="23"/>
                <w:szCs w:val="23"/>
                <w:b/>
                <w:bCs/>
                <w:spacing w:val="8"/>
              </w:rPr>
              <w:t>第6章环境风险分析</w:t>
            </w:r>
            <w:r>
              <w:rPr>
                <w:rFonts w:ascii="SimSun" w:hAnsi="SimSun" w:eastAsia="SimSun" w:cs="SimSun"/>
                <w:sz w:val="23"/>
                <w:szCs w:val="23"/>
                <w:spacing w:val="-88"/>
              </w:rPr>
              <w:t xml:space="preserve"> </w:t>
            </w:r>
            <w:r>
              <w:rPr>
                <w:rFonts w:ascii="SimSun" w:hAnsi="SimSun" w:eastAsia="SimSun" w:cs="SimSun"/>
                <w:sz w:val="23"/>
                <w:szCs w:val="23"/>
              </w:rPr>
              <w:tab/>
            </w:r>
            <w:r>
              <w:rPr>
                <w:rFonts w:ascii="SimSun" w:hAnsi="SimSun" w:eastAsia="SimSun" w:cs="SimSun"/>
                <w:sz w:val="23"/>
                <w:szCs w:val="23"/>
                <w:spacing w:val="-34"/>
              </w:rPr>
              <w:t xml:space="preserve"> </w:t>
            </w:r>
            <w:r>
              <w:rPr>
                <w:rFonts w:ascii="Times New Roman" w:hAnsi="Times New Roman" w:eastAsia="Times New Roman" w:cs="Times New Roman"/>
                <w:sz w:val="23"/>
                <w:szCs w:val="23"/>
                <w:b/>
                <w:bCs/>
                <w:spacing w:val="-2"/>
              </w:rPr>
              <w:t>268</w:t>
            </w:r>
          </w:hyperlink>
        </w:p>
        <w:p>
          <w:pPr>
            <w:ind w:left="416"/>
            <w:spacing w:before="62" w:line="220" w:lineRule="auto"/>
            <w:tabs>
              <w:tab w:val="right" w:leader="dot" w:pos="8235"/>
            </w:tabs>
            <w:rPr>
              <w:rFonts w:ascii="Times New Roman" w:hAnsi="Times New Roman" w:eastAsia="Times New Roman" w:cs="Times New Roman"/>
              <w:sz w:val="23"/>
              <w:szCs w:val="23"/>
            </w:rPr>
          </w:pPr>
          <w:hyperlink w:history="true" w:anchor="bookmark49">
            <w:r>
              <w:rPr>
                <w:rFonts w:ascii="Times New Roman" w:hAnsi="Times New Roman" w:eastAsia="Times New Roman" w:cs="Times New Roman"/>
                <w:sz w:val="23"/>
                <w:szCs w:val="23"/>
                <w:spacing w:val="12"/>
              </w:rPr>
              <w:t>6.1</w:t>
            </w:r>
            <w:r>
              <w:rPr>
                <w:rFonts w:ascii="SimSun" w:hAnsi="SimSun" w:eastAsia="SimSun" w:cs="SimSun"/>
                <w:sz w:val="23"/>
                <w:szCs w:val="23"/>
                <w:spacing w:val="12"/>
              </w:rPr>
              <w:t>综述</w:t>
            </w:r>
            <w:r>
              <w:rPr>
                <w:rFonts w:ascii="SimSun" w:hAnsi="SimSun" w:eastAsia="SimSun" w:cs="SimSun"/>
                <w:sz w:val="23"/>
                <w:szCs w:val="23"/>
                <w:spacing w:val="-104"/>
              </w:rPr>
              <w:t xml:space="preserve"> </w:t>
            </w:r>
            <w:r>
              <w:rPr>
                <w:rFonts w:ascii="SimSun" w:hAnsi="SimSun" w:eastAsia="SimSun" w:cs="SimSun"/>
                <w:sz w:val="23"/>
                <w:szCs w:val="23"/>
              </w:rPr>
              <w:tab/>
            </w:r>
            <w:r>
              <w:rPr>
                <w:rFonts w:ascii="Times New Roman" w:hAnsi="Times New Roman" w:eastAsia="Times New Roman" w:cs="Times New Roman"/>
                <w:sz w:val="23"/>
                <w:szCs w:val="23"/>
                <w:spacing w:val="3"/>
              </w:rPr>
              <w:t>268</w:t>
            </w:r>
          </w:hyperlink>
        </w:p>
        <w:p>
          <w:pPr>
            <w:ind w:left="416"/>
            <w:spacing w:before="33" w:line="218" w:lineRule="auto"/>
            <w:tabs>
              <w:tab w:val="right" w:leader="dot" w:pos="8235"/>
            </w:tabs>
            <w:rPr>
              <w:rFonts w:ascii="Times New Roman" w:hAnsi="Times New Roman" w:eastAsia="Times New Roman" w:cs="Times New Roman"/>
              <w:sz w:val="23"/>
              <w:szCs w:val="23"/>
            </w:rPr>
          </w:pPr>
          <w:hyperlink w:history="true" w:anchor="bookmark50">
            <w:r>
              <w:rPr>
                <w:rFonts w:ascii="Times New Roman" w:hAnsi="Times New Roman" w:eastAsia="Times New Roman" w:cs="Times New Roman"/>
                <w:sz w:val="23"/>
                <w:szCs w:val="23"/>
                <w:spacing w:val="8"/>
              </w:rPr>
              <w:t>6.2</w:t>
            </w:r>
            <w:r>
              <w:rPr>
                <w:rFonts w:ascii="SimSun" w:hAnsi="SimSun" w:eastAsia="SimSun" w:cs="SimSun"/>
                <w:sz w:val="23"/>
                <w:szCs w:val="23"/>
                <w:spacing w:val="8"/>
              </w:rPr>
              <w:t>评价依据</w:t>
            </w:r>
            <w:r>
              <w:rPr>
                <w:rFonts w:ascii="SimSun" w:hAnsi="SimSun" w:eastAsia="SimSun" w:cs="SimSun"/>
                <w:sz w:val="23"/>
                <w:szCs w:val="23"/>
                <w:spacing w:val="-99"/>
              </w:rPr>
              <w:t xml:space="preserve"> </w:t>
            </w:r>
            <w:r>
              <w:rPr>
                <w:rFonts w:ascii="SimSun" w:hAnsi="SimSun" w:eastAsia="SimSun" w:cs="SimSun"/>
                <w:sz w:val="23"/>
                <w:szCs w:val="23"/>
              </w:rPr>
              <w:tab/>
            </w:r>
            <w:r>
              <w:rPr>
                <w:rFonts w:ascii="Times New Roman" w:hAnsi="Times New Roman" w:eastAsia="Times New Roman" w:cs="Times New Roman"/>
                <w:sz w:val="23"/>
                <w:szCs w:val="23"/>
                <w:spacing w:val="3"/>
              </w:rPr>
              <w:t>269</w:t>
            </w:r>
          </w:hyperlink>
        </w:p>
        <w:p>
          <w:pPr>
            <w:ind w:left="416"/>
            <w:spacing w:before="41" w:line="219" w:lineRule="auto"/>
            <w:tabs>
              <w:tab w:val="right" w:leader="dot" w:pos="8235"/>
            </w:tabs>
            <w:rPr>
              <w:rFonts w:ascii="Times New Roman" w:hAnsi="Times New Roman" w:eastAsia="Times New Roman" w:cs="Times New Roman"/>
              <w:sz w:val="23"/>
              <w:szCs w:val="23"/>
            </w:rPr>
          </w:pPr>
          <w:hyperlink w:history="true" w:anchor="bookmark51">
            <w:r>
              <w:rPr>
                <w:rFonts w:ascii="Times New Roman" w:hAnsi="Times New Roman" w:eastAsia="Times New Roman" w:cs="Times New Roman"/>
                <w:sz w:val="23"/>
                <w:szCs w:val="23"/>
                <w:spacing w:val="5"/>
              </w:rPr>
              <w:t>6.3</w:t>
            </w:r>
            <w:r>
              <w:rPr>
                <w:rFonts w:ascii="Times New Roman" w:hAnsi="Times New Roman" w:eastAsia="Times New Roman" w:cs="Times New Roman"/>
                <w:sz w:val="23"/>
                <w:szCs w:val="23"/>
                <w:spacing w:val="-13"/>
              </w:rPr>
              <w:t xml:space="preserve"> </w:t>
            </w:r>
            <w:r>
              <w:rPr>
                <w:rFonts w:ascii="SimSun" w:hAnsi="SimSun" w:eastAsia="SimSun" w:cs="SimSun"/>
                <w:sz w:val="23"/>
                <w:szCs w:val="23"/>
                <w:spacing w:val="5"/>
              </w:rPr>
              <w:t>环境敏感目标</w:t>
            </w:r>
            <w:r>
              <w:rPr>
                <w:rFonts w:ascii="SimSun" w:hAnsi="SimSun" w:eastAsia="SimSun" w:cs="SimSun"/>
                <w:sz w:val="23"/>
                <w:szCs w:val="23"/>
                <w:spacing w:val="-94"/>
              </w:rPr>
              <w:t xml:space="preserve"> </w:t>
            </w:r>
            <w:r>
              <w:rPr>
                <w:rFonts w:ascii="SimSun" w:hAnsi="SimSun" w:eastAsia="SimSun" w:cs="SimSun"/>
                <w:sz w:val="23"/>
                <w:szCs w:val="23"/>
              </w:rPr>
              <w:tab/>
            </w:r>
            <w:r>
              <w:rPr>
                <w:rFonts w:ascii="Times New Roman" w:hAnsi="Times New Roman" w:eastAsia="Times New Roman" w:cs="Times New Roman"/>
                <w:sz w:val="23"/>
                <w:szCs w:val="23"/>
                <w:spacing w:val="-1"/>
              </w:rPr>
              <w:t>274</w:t>
            </w:r>
          </w:hyperlink>
        </w:p>
        <w:p>
          <w:pPr>
            <w:ind w:left="416"/>
            <w:spacing w:before="28" w:line="220" w:lineRule="auto"/>
            <w:tabs>
              <w:tab w:val="right" w:leader="dot" w:pos="8235"/>
            </w:tabs>
            <w:rPr>
              <w:rFonts w:ascii="Times New Roman" w:hAnsi="Times New Roman" w:eastAsia="Times New Roman" w:cs="Times New Roman"/>
              <w:sz w:val="23"/>
              <w:szCs w:val="23"/>
            </w:rPr>
          </w:pPr>
          <w:hyperlink w:history="true" w:anchor="bookmark52">
            <w:r>
              <w:rPr>
                <w:rFonts w:ascii="Times New Roman" w:hAnsi="Times New Roman" w:eastAsia="Times New Roman" w:cs="Times New Roman"/>
                <w:sz w:val="23"/>
                <w:szCs w:val="23"/>
                <w:spacing w:val="-3"/>
              </w:rPr>
              <w:t>6.4</w:t>
            </w:r>
            <w:r>
              <w:rPr>
                <w:rFonts w:ascii="Times New Roman" w:hAnsi="Times New Roman" w:eastAsia="Times New Roman" w:cs="Times New Roman"/>
                <w:sz w:val="23"/>
                <w:szCs w:val="23"/>
                <w:spacing w:val="-8"/>
              </w:rPr>
              <w:t xml:space="preserve"> </w:t>
            </w:r>
            <w:r>
              <w:rPr>
                <w:rFonts w:ascii="SimSun" w:hAnsi="SimSun" w:eastAsia="SimSun" w:cs="SimSun"/>
                <w:sz w:val="23"/>
                <w:szCs w:val="23"/>
                <w:spacing w:val="-3"/>
              </w:rPr>
              <w:t>环境风险识别</w:t>
            </w:r>
            <w:r>
              <w:rPr>
                <w:rFonts w:ascii="SimSun" w:hAnsi="SimSun" w:eastAsia="SimSun" w:cs="SimSun"/>
                <w:sz w:val="23"/>
                <w:szCs w:val="23"/>
                <w:spacing w:val="-96"/>
              </w:rPr>
              <w:t xml:space="preserve"> </w:t>
            </w:r>
            <w:r>
              <w:rPr>
                <w:rFonts w:ascii="SimSun" w:hAnsi="SimSun" w:eastAsia="SimSun" w:cs="SimSun"/>
                <w:sz w:val="23"/>
                <w:szCs w:val="23"/>
              </w:rPr>
              <w:tab/>
            </w:r>
            <w:r>
              <w:rPr>
                <w:rFonts w:ascii="SimSun" w:hAnsi="SimSun" w:eastAsia="SimSun" w:cs="SimSun"/>
                <w:sz w:val="23"/>
                <w:szCs w:val="23"/>
                <w:spacing w:val="-68"/>
              </w:rPr>
              <w:t xml:space="preserve"> </w:t>
            </w:r>
            <w:r>
              <w:rPr>
                <w:rFonts w:ascii="Times New Roman" w:hAnsi="Times New Roman" w:eastAsia="Times New Roman" w:cs="Times New Roman"/>
                <w:sz w:val="23"/>
                <w:szCs w:val="23"/>
                <w:spacing w:val="-2"/>
              </w:rPr>
              <w:t>275</w:t>
            </w:r>
          </w:hyperlink>
        </w:p>
        <w:p>
          <w:pPr>
            <w:ind w:left="416"/>
            <w:spacing w:before="56" w:line="220" w:lineRule="auto"/>
            <w:tabs>
              <w:tab w:val="right" w:leader="dot" w:pos="8235"/>
            </w:tabs>
            <w:rPr>
              <w:rFonts w:ascii="Times New Roman" w:hAnsi="Times New Roman" w:eastAsia="Times New Roman" w:cs="Times New Roman"/>
              <w:sz w:val="23"/>
              <w:szCs w:val="23"/>
            </w:rPr>
          </w:pPr>
          <w:hyperlink w:history="true" w:anchor="bookmark53">
            <w:r>
              <w:rPr>
                <w:rFonts w:ascii="Times New Roman" w:hAnsi="Times New Roman" w:eastAsia="Times New Roman" w:cs="Times New Roman"/>
                <w:sz w:val="23"/>
                <w:szCs w:val="23"/>
                <w:spacing w:val="-3"/>
              </w:rPr>
              <w:t>6.5</w:t>
            </w:r>
            <w:r>
              <w:rPr>
                <w:rFonts w:ascii="Times New Roman" w:hAnsi="Times New Roman" w:eastAsia="Times New Roman" w:cs="Times New Roman"/>
                <w:sz w:val="23"/>
                <w:szCs w:val="23"/>
                <w:spacing w:val="-8"/>
              </w:rPr>
              <w:t xml:space="preserve"> </w:t>
            </w:r>
            <w:r>
              <w:rPr>
                <w:rFonts w:ascii="SimSun" w:hAnsi="SimSun" w:eastAsia="SimSun" w:cs="SimSun"/>
                <w:sz w:val="23"/>
                <w:szCs w:val="23"/>
                <w:spacing w:val="-3"/>
              </w:rPr>
              <w:t>环境风险分析</w:t>
            </w:r>
            <w:r>
              <w:rPr>
                <w:rFonts w:ascii="SimSun" w:hAnsi="SimSun" w:eastAsia="SimSun" w:cs="SimSun"/>
                <w:sz w:val="23"/>
                <w:szCs w:val="23"/>
                <w:spacing w:val="-106"/>
              </w:rPr>
              <w:t xml:space="preserve"> </w:t>
            </w:r>
            <w:r>
              <w:rPr>
                <w:rFonts w:ascii="SimSun" w:hAnsi="SimSun" w:eastAsia="SimSun" w:cs="SimSun"/>
                <w:sz w:val="23"/>
                <w:szCs w:val="23"/>
              </w:rPr>
              <w:tab/>
            </w:r>
            <w:r>
              <w:rPr>
                <w:rFonts w:ascii="SimSun" w:hAnsi="SimSun" w:eastAsia="SimSun" w:cs="SimSun"/>
                <w:sz w:val="23"/>
                <w:szCs w:val="23"/>
                <w:spacing w:val="-58"/>
              </w:rPr>
              <w:t xml:space="preserve"> </w:t>
            </w:r>
            <w:r>
              <w:rPr>
                <w:rFonts w:ascii="Times New Roman" w:hAnsi="Times New Roman" w:eastAsia="Times New Roman" w:cs="Times New Roman"/>
                <w:sz w:val="23"/>
                <w:szCs w:val="23"/>
                <w:spacing w:val="-2"/>
              </w:rPr>
              <w:t>277</w:t>
            </w:r>
          </w:hyperlink>
        </w:p>
        <w:p>
          <w:pPr>
            <w:ind w:left="416"/>
            <w:spacing w:before="26" w:line="220" w:lineRule="auto"/>
            <w:tabs>
              <w:tab w:val="right" w:leader="dot" w:pos="8235"/>
            </w:tabs>
            <w:rPr>
              <w:rFonts w:ascii="Times New Roman" w:hAnsi="Times New Roman" w:eastAsia="Times New Roman" w:cs="Times New Roman"/>
              <w:sz w:val="23"/>
              <w:szCs w:val="23"/>
            </w:rPr>
          </w:pPr>
          <w:hyperlink w:history="true" w:anchor="bookmark54">
            <w:r>
              <w:rPr>
                <w:rFonts w:ascii="Times New Roman" w:hAnsi="Times New Roman" w:eastAsia="Times New Roman" w:cs="Times New Roman"/>
                <w:sz w:val="23"/>
                <w:szCs w:val="23"/>
                <w:spacing w:val="8"/>
              </w:rPr>
              <w:t>6.6</w:t>
            </w:r>
            <w:r>
              <w:rPr>
                <w:rFonts w:ascii="Times New Roman" w:hAnsi="Times New Roman" w:eastAsia="Times New Roman" w:cs="Times New Roman"/>
                <w:sz w:val="23"/>
                <w:szCs w:val="23"/>
                <w:spacing w:val="-14"/>
              </w:rPr>
              <w:t xml:space="preserve"> </w:t>
            </w:r>
            <w:r>
              <w:rPr>
                <w:rFonts w:ascii="SimSun" w:hAnsi="SimSun" w:eastAsia="SimSun" w:cs="SimSun"/>
                <w:sz w:val="23"/>
                <w:szCs w:val="23"/>
                <w:spacing w:val="8"/>
              </w:rPr>
              <w:t>环境风险防范措施及应急要求</w:t>
            </w:r>
            <w:r>
              <w:rPr>
                <w:rFonts w:ascii="SimSun" w:hAnsi="SimSun" w:eastAsia="SimSun" w:cs="SimSun"/>
                <w:sz w:val="23"/>
                <w:szCs w:val="23"/>
                <w:spacing w:val="-106"/>
              </w:rPr>
              <w:t xml:space="preserve"> </w:t>
            </w:r>
            <w:r>
              <w:rPr>
                <w:rFonts w:ascii="SimSun" w:hAnsi="SimSun" w:eastAsia="SimSun" w:cs="SimSun"/>
                <w:sz w:val="23"/>
                <w:szCs w:val="23"/>
              </w:rPr>
              <w:tab/>
            </w:r>
            <w:r>
              <w:rPr>
                <w:rFonts w:ascii="Times New Roman" w:hAnsi="Times New Roman" w:eastAsia="Times New Roman" w:cs="Times New Roman"/>
                <w:sz w:val="23"/>
                <w:szCs w:val="23"/>
              </w:rPr>
              <w:t>280</w:t>
            </w:r>
          </w:hyperlink>
        </w:p>
        <w:p>
          <w:pPr>
            <w:ind w:left="416"/>
            <w:spacing w:before="35" w:line="220" w:lineRule="auto"/>
            <w:tabs>
              <w:tab w:val="right" w:leader="dot" w:pos="8235"/>
            </w:tabs>
            <w:rPr>
              <w:rFonts w:ascii="Times New Roman" w:hAnsi="Times New Roman" w:eastAsia="Times New Roman" w:cs="Times New Roman"/>
              <w:sz w:val="23"/>
              <w:szCs w:val="23"/>
            </w:rPr>
          </w:pPr>
          <w:hyperlink w:history="true" w:anchor="bookmark55">
            <w:r>
              <w:rPr>
                <w:rFonts w:ascii="Times New Roman" w:hAnsi="Times New Roman" w:eastAsia="Times New Roman" w:cs="Times New Roman"/>
                <w:sz w:val="23"/>
                <w:szCs w:val="23"/>
                <w:spacing w:val="-3"/>
              </w:rPr>
              <w:t>6.7</w:t>
            </w:r>
            <w:r>
              <w:rPr>
                <w:rFonts w:ascii="Times New Roman" w:hAnsi="Times New Roman" w:eastAsia="Times New Roman" w:cs="Times New Roman"/>
                <w:sz w:val="23"/>
                <w:szCs w:val="23"/>
                <w:spacing w:val="-19"/>
              </w:rPr>
              <w:t xml:space="preserve"> </w:t>
            </w:r>
            <w:r>
              <w:rPr>
                <w:rFonts w:ascii="SimSun" w:hAnsi="SimSun" w:eastAsia="SimSun" w:cs="SimSun"/>
                <w:sz w:val="23"/>
                <w:szCs w:val="23"/>
                <w:spacing w:val="-3"/>
              </w:rPr>
              <w:t>风险分析结论</w:t>
            </w:r>
            <w:r>
              <w:rPr>
                <w:rFonts w:ascii="SimSun" w:hAnsi="SimSun" w:eastAsia="SimSun" w:cs="SimSun"/>
                <w:sz w:val="23"/>
                <w:szCs w:val="23"/>
                <w:spacing w:val="-95"/>
              </w:rPr>
              <w:t xml:space="preserve"> </w:t>
            </w:r>
            <w:r>
              <w:rPr>
                <w:rFonts w:ascii="SimSun" w:hAnsi="SimSun" w:eastAsia="SimSun" w:cs="SimSun"/>
                <w:sz w:val="23"/>
                <w:szCs w:val="23"/>
              </w:rPr>
              <w:tab/>
            </w:r>
            <w:r>
              <w:rPr>
                <w:rFonts w:ascii="SimSun" w:hAnsi="SimSun" w:eastAsia="SimSun" w:cs="SimSun"/>
                <w:sz w:val="23"/>
                <w:szCs w:val="23"/>
                <w:spacing w:val="-58"/>
              </w:rPr>
              <w:t xml:space="preserve"> </w:t>
            </w:r>
            <w:r>
              <w:rPr>
                <w:rFonts w:ascii="Times New Roman" w:hAnsi="Times New Roman" w:eastAsia="Times New Roman" w:cs="Times New Roman"/>
                <w:sz w:val="23"/>
                <w:szCs w:val="23"/>
                <w:spacing w:val="-2"/>
              </w:rPr>
              <w:t>288</w:t>
            </w:r>
          </w:hyperlink>
        </w:p>
        <w:p>
          <w:pPr>
            <w:spacing w:before="31" w:line="219" w:lineRule="auto"/>
            <w:tabs>
              <w:tab w:val="right" w:leader="dot" w:pos="8245"/>
            </w:tabs>
            <w:rPr>
              <w:rFonts w:ascii="Times New Roman" w:hAnsi="Times New Roman" w:eastAsia="Times New Roman" w:cs="Times New Roman"/>
              <w:sz w:val="23"/>
              <w:szCs w:val="23"/>
            </w:rPr>
          </w:pPr>
          <w:hyperlink w:history="true" w:anchor="bookmark56">
            <w:r>
              <w:rPr>
                <w:rFonts w:ascii="SimSun" w:hAnsi="SimSun" w:eastAsia="SimSun" w:cs="SimSun"/>
                <w:sz w:val="23"/>
                <w:szCs w:val="23"/>
                <w:b/>
                <w:bCs/>
                <w:spacing w:val="7"/>
              </w:rPr>
              <w:t>第7章环境保护措施及其经济、技术论证</w:t>
            </w:r>
            <w:r>
              <w:rPr>
                <w:rFonts w:ascii="SimSun" w:hAnsi="SimSun" w:eastAsia="SimSun" w:cs="SimSun"/>
                <w:sz w:val="23"/>
                <w:szCs w:val="23"/>
                <w:spacing w:val="-84"/>
              </w:rPr>
              <w:t xml:space="preserve"> </w:t>
            </w:r>
            <w:r>
              <w:rPr>
                <w:rFonts w:ascii="SimSun" w:hAnsi="SimSun" w:eastAsia="SimSun" w:cs="SimSun"/>
                <w:sz w:val="23"/>
                <w:szCs w:val="23"/>
              </w:rPr>
              <w:tab/>
            </w:r>
            <w:r>
              <w:rPr>
                <w:rFonts w:ascii="Times New Roman" w:hAnsi="Times New Roman" w:eastAsia="Times New Roman" w:cs="Times New Roman"/>
                <w:sz w:val="23"/>
                <w:szCs w:val="23"/>
                <w:b/>
                <w:bCs/>
                <w:spacing w:val="4"/>
              </w:rPr>
              <w:t>290</w:t>
            </w:r>
          </w:hyperlink>
        </w:p>
        <w:p>
          <w:pPr>
            <w:ind w:left="416"/>
            <w:spacing w:before="43" w:line="220" w:lineRule="auto"/>
            <w:tabs>
              <w:tab w:val="right" w:leader="dot" w:pos="8235"/>
            </w:tabs>
            <w:rPr>
              <w:rFonts w:ascii="Times New Roman" w:hAnsi="Times New Roman" w:eastAsia="Times New Roman" w:cs="Times New Roman"/>
              <w:sz w:val="23"/>
              <w:szCs w:val="23"/>
            </w:rPr>
          </w:pPr>
          <w:hyperlink w:history="true" w:anchor="bookmark57">
            <w:r>
              <w:rPr>
                <w:rFonts w:ascii="Times New Roman" w:hAnsi="Times New Roman" w:eastAsia="Times New Roman" w:cs="Times New Roman"/>
                <w:sz w:val="23"/>
                <w:szCs w:val="23"/>
                <w:spacing w:val="10"/>
              </w:rPr>
              <w:t>7.1</w:t>
            </w:r>
            <w:r>
              <w:rPr>
                <w:rFonts w:ascii="SimSun" w:hAnsi="SimSun" w:eastAsia="SimSun" w:cs="SimSun"/>
                <w:sz w:val="23"/>
                <w:szCs w:val="23"/>
                <w:spacing w:val="10"/>
              </w:rPr>
              <w:t>施工期环境保护措施及其可行性论证</w:t>
            </w:r>
            <w:r>
              <w:rPr>
                <w:rFonts w:ascii="SimSun" w:hAnsi="SimSun" w:eastAsia="SimSun" w:cs="SimSun"/>
                <w:sz w:val="23"/>
                <w:szCs w:val="23"/>
                <w:spacing w:val="-94"/>
              </w:rPr>
              <w:t xml:space="preserve"> </w:t>
            </w:r>
            <w:r>
              <w:rPr>
                <w:rFonts w:ascii="SimSun" w:hAnsi="SimSun" w:eastAsia="SimSun" w:cs="SimSun"/>
                <w:sz w:val="23"/>
                <w:szCs w:val="23"/>
              </w:rPr>
              <w:tab/>
            </w:r>
            <w:r>
              <w:rPr>
                <w:rFonts w:ascii="SimSun" w:hAnsi="SimSun" w:eastAsia="SimSun" w:cs="SimSun"/>
                <w:sz w:val="23"/>
                <w:szCs w:val="23"/>
                <w:spacing w:val="-7"/>
              </w:rPr>
              <w:t xml:space="preserve"> </w:t>
            </w:r>
            <w:r>
              <w:rPr>
                <w:rFonts w:ascii="Times New Roman" w:hAnsi="Times New Roman" w:eastAsia="Times New Roman" w:cs="Times New Roman"/>
                <w:sz w:val="23"/>
                <w:szCs w:val="23"/>
                <w:spacing w:val="-2"/>
              </w:rPr>
              <w:t>290</w:t>
            </w:r>
          </w:hyperlink>
        </w:p>
        <w:p>
          <w:pPr>
            <w:ind w:left="416"/>
            <w:spacing w:before="16" w:line="220" w:lineRule="auto"/>
            <w:tabs>
              <w:tab w:val="right" w:leader="dot" w:pos="8245"/>
            </w:tabs>
            <w:rPr>
              <w:rFonts w:ascii="Times New Roman" w:hAnsi="Times New Roman" w:eastAsia="Times New Roman" w:cs="Times New Roman"/>
              <w:sz w:val="23"/>
              <w:szCs w:val="23"/>
            </w:rPr>
          </w:pPr>
          <w:hyperlink w:history="true" w:anchor="bookmark58">
            <w:r>
              <w:rPr>
                <w:rFonts w:ascii="Times New Roman" w:hAnsi="Times New Roman" w:eastAsia="Times New Roman" w:cs="Times New Roman"/>
                <w:sz w:val="23"/>
                <w:szCs w:val="23"/>
                <w:spacing w:val="9"/>
              </w:rPr>
              <w:t>7.2</w:t>
            </w:r>
            <w:r>
              <w:rPr>
                <w:rFonts w:ascii="SimSun" w:hAnsi="SimSun" w:eastAsia="SimSun" w:cs="SimSun"/>
                <w:sz w:val="23"/>
                <w:szCs w:val="23"/>
                <w:spacing w:val="9"/>
              </w:rPr>
              <w:t>运营期环境保护措施及其可行性论证</w:t>
            </w:r>
            <w:r>
              <w:rPr>
                <w:rFonts w:ascii="SimSun" w:hAnsi="SimSun" w:eastAsia="SimSun" w:cs="SimSun"/>
                <w:sz w:val="23"/>
                <w:szCs w:val="23"/>
                <w:spacing w:val="-85"/>
              </w:rPr>
              <w:t xml:space="preserve"> </w:t>
            </w:r>
            <w:r>
              <w:rPr>
                <w:rFonts w:ascii="SimSun" w:hAnsi="SimSun" w:eastAsia="SimSun" w:cs="SimSun"/>
                <w:sz w:val="23"/>
                <w:szCs w:val="23"/>
              </w:rPr>
              <w:tab/>
            </w:r>
            <w:r>
              <w:rPr>
                <w:rFonts w:ascii="Times New Roman" w:hAnsi="Times New Roman" w:eastAsia="Times New Roman" w:cs="Times New Roman"/>
                <w:sz w:val="23"/>
                <w:szCs w:val="23"/>
              </w:rPr>
              <w:t>292</w:t>
            </w:r>
          </w:hyperlink>
        </w:p>
        <w:p>
          <w:pPr>
            <w:ind w:left="416"/>
            <w:spacing w:before="25" w:line="220" w:lineRule="auto"/>
            <w:tabs>
              <w:tab w:val="right" w:leader="dot" w:pos="8252"/>
            </w:tabs>
            <w:rPr>
              <w:rFonts w:ascii="Times New Roman" w:hAnsi="Times New Roman" w:eastAsia="Times New Roman" w:cs="Times New Roman"/>
              <w:sz w:val="23"/>
              <w:szCs w:val="23"/>
            </w:rPr>
          </w:pPr>
          <w:hyperlink w:history="true" w:anchor="bookmark59">
            <w:r>
              <w:rPr>
                <w:rFonts w:ascii="Times New Roman" w:hAnsi="Times New Roman" w:eastAsia="Times New Roman" w:cs="Times New Roman"/>
                <w:sz w:val="23"/>
                <w:szCs w:val="23"/>
                <w:spacing w:val="-4"/>
              </w:rPr>
              <w:t>7.3</w:t>
            </w:r>
            <w:r>
              <w:rPr>
                <w:rFonts w:ascii="SimSun" w:hAnsi="SimSun" w:eastAsia="SimSun" w:cs="SimSun"/>
                <w:sz w:val="23"/>
                <w:szCs w:val="23"/>
                <w:spacing w:val="-4"/>
              </w:rPr>
              <w:t>环保投资</w:t>
            </w:r>
            <w:r>
              <w:rPr>
                <w:rFonts w:ascii="SimSun" w:hAnsi="SimSun" w:eastAsia="SimSun" w:cs="SimSun"/>
                <w:sz w:val="23"/>
                <w:szCs w:val="23"/>
                <w:spacing w:val="-106"/>
              </w:rPr>
              <w:t xml:space="preserve"> </w:t>
            </w:r>
            <w:r>
              <w:rPr>
                <w:rFonts w:ascii="SimSun" w:hAnsi="SimSun" w:eastAsia="SimSun" w:cs="SimSun"/>
                <w:sz w:val="23"/>
                <w:szCs w:val="23"/>
              </w:rPr>
              <w:tab/>
            </w:r>
            <w:r>
              <w:rPr>
                <w:rFonts w:ascii="Times New Roman" w:hAnsi="Times New Roman" w:eastAsia="Times New Roman" w:cs="Times New Roman"/>
                <w:sz w:val="23"/>
                <w:szCs w:val="23"/>
                <w:spacing w:val="-2"/>
              </w:rPr>
              <w:t>319</w:t>
            </w:r>
          </w:hyperlink>
        </w:p>
        <w:p>
          <w:pPr>
            <w:spacing w:before="81" w:line="219" w:lineRule="auto"/>
            <w:tabs>
              <w:tab w:val="right" w:leader="dot" w:pos="8285"/>
            </w:tabs>
            <w:rPr>
              <w:rFonts w:ascii="Times New Roman" w:hAnsi="Times New Roman" w:eastAsia="Times New Roman" w:cs="Times New Roman"/>
              <w:sz w:val="23"/>
              <w:szCs w:val="23"/>
            </w:rPr>
          </w:pPr>
          <w:hyperlink w:history="true" w:anchor="bookmark60">
            <w:r>
              <w:rPr>
                <w:rFonts w:ascii="SimSun" w:hAnsi="SimSun" w:eastAsia="SimSun" w:cs="SimSun"/>
                <w:sz w:val="23"/>
                <w:szCs w:val="23"/>
                <w:b/>
                <w:bCs/>
                <w:spacing w:val="8"/>
              </w:rPr>
              <w:t>第8章环境影响经济损益分析</w:t>
            </w:r>
            <w:r>
              <w:rPr>
                <w:rFonts w:ascii="SimSun" w:hAnsi="SimSun" w:eastAsia="SimSun" w:cs="SimSun"/>
                <w:sz w:val="23"/>
                <w:szCs w:val="23"/>
                <w:spacing w:val="-90"/>
              </w:rPr>
              <w:t xml:space="preserve"> </w:t>
            </w:r>
            <w:r>
              <w:rPr>
                <w:rFonts w:ascii="SimSun" w:hAnsi="SimSun" w:eastAsia="SimSun" w:cs="SimSun"/>
                <w:sz w:val="23"/>
                <w:szCs w:val="23"/>
              </w:rPr>
              <w:tab/>
            </w:r>
            <w:r>
              <w:rPr>
                <w:rFonts w:ascii="Times New Roman" w:hAnsi="Times New Roman" w:eastAsia="Times New Roman" w:cs="Times New Roman"/>
                <w:sz w:val="23"/>
                <w:szCs w:val="23"/>
                <w:b/>
                <w:bCs/>
                <w:spacing w:val="-9"/>
                <w:w w:val="97"/>
              </w:rPr>
              <w:t>322</w:t>
            </w:r>
          </w:hyperlink>
        </w:p>
        <w:p>
          <w:pPr>
            <w:ind w:left="416"/>
            <w:spacing w:before="13" w:line="220" w:lineRule="auto"/>
            <w:tabs>
              <w:tab w:val="right" w:leader="dot" w:pos="8252"/>
            </w:tabs>
            <w:rPr>
              <w:rFonts w:ascii="Times New Roman" w:hAnsi="Times New Roman" w:eastAsia="Times New Roman" w:cs="Times New Roman"/>
              <w:sz w:val="23"/>
              <w:szCs w:val="23"/>
            </w:rPr>
          </w:pPr>
          <w:hyperlink w:history="true" w:anchor="bookmark61">
            <w:r>
              <w:rPr>
                <w:rFonts w:ascii="Times New Roman" w:hAnsi="Times New Roman" w:eastAsia="Times New Roman" w:cs="Times New Roman"/>
                <w:sz w:val="23"/>
                <w:szCs w:val="23"/>
                <w:spacing w:val="-1"/>
              </w:rPr>
              <w:t>8.1</w:t>
            </w:r>
            <w:r>
              <w:rPr>
                <w:rFonts w:ascii="SimSun" w:hAnsi="SimSun" w:eastAsia="SimSun" w:cs="SimSun"/>
                <w:sz w:val="23"/>
                <w:szCs w:val="23"/>
                <w:spacing w:val="-1"/>
              </w:rPr>
              <w:t>环保投资分析</w:t>
            </w:r>
            <w:r>
              <w:rPr>
                <w:rFonts w:ascii="SimSun" w:hAnsi="SimSun" w:eastAsia="SimSun" w:cs="SimSun"/>
                <w:sz w:val="23"/>
                <w:szCs w:val="23"/>
                <w:spacing w:val="-85"/>
              </w:rPr>
              <w:t xml:space="preserve"> </w:t>
            </w:r>
            <w:r>
              <w:rPr>
                <w:rFonts w:ascii="SimSun" w:hAnsi="SimSun" w:eastAsia="SimSun" w:cs="SimSun"/>
                <w:sz w:val="23"/>
                <w:szCs w:val="23"/>
              </w:rPr>
              <w:tab/>
            </w:r>
            <w:r>
              <w:rPr>
                <w:rFonts w:ascii="SimSun" w:hAnsi="SimSun" w:eastAsia="SimSun" w:cs="SimSun"/>
                <w:sz w:val="23"/>
                <w:szCs w:val="23"/>
                <w:spacing w:val="-28"/>
              </w:rPr>
              <w:t xml:space="preserve"> </w:t>
            </w:r>
            <w:r>
              <w:rPr>
                <w:rFonts w:ascii="Times New Roman" w:hAnsi="Times New Roman" w:eastAsia="Times New Roman" w:cs="Times New Roman"/>
                <w:sz w:val="23"/>
                <w:szCs w:val="23"/>
                <w:spacing w:val="-3"/>
              </w:rPr>
              <w:t>322</w:t>
            </w:r>
          </w:hyperlink>
        </w:p>
        <w:p>
          <w:pPr>
            <w:ind w:left="416"/>
            <w:spacing w:before="15" w:line="220" w:lineRule="auto"/>
            <w:tabs>
              <w:tab w:val="right" w:leader="dot" w:pos="8262"/>
            </w:tabs>
            <w:rPr>
              <w:rFonts w:ascii="Times New Roman" w:hAnsi="Times New Roman" w:eastAsia="Times New Roman" w:cs="Times New Roman"/>
              <w:sz w:val="23"/>
              <w:szCs w:val="23"/>
            </w:rPr>
          </w:pPr>
          <w:hyperlink w:history="true" w:anchor="bookmark62">
            <w:r>
              <w:rPr>
                <w:rFonts w:ascii="Times New Roman" w:hAnsi="Times New Roman" w:eastAsia="Times New Roman" w:cs="Times New Roman"/>
                <w:sz w:val="23"/>
                <w:szCs w:val="23"/>
                <w:spacing w:val="-3"/>
              </w:rPr>
              <w:t>8.2</w:t>
            </w:r>
            <w:r>
              <w:rPr>
                <w:rFonts w:ascii="SimSun" w:hAnsi="SimSun" w:eastAsia="SimSun" w:cs="SimSun"/>
                <w:sz w:val="23"/>
                <w:szCs w:val="23"/>
                <w:spacing w:val="-3"/>
              </w:rPr>
              <w:t>环境效益分析</w:t>
            </w:r>
            <w:r>
              <w:rPr>
                <w:rFonts w:ascii="SimSun" w:hAnsi="SimSun" w:eastAsia="SimSun" w:cs="SimSun"/>
                <w:sz w:val="23"/>
                <w:szCs w:val="23"/>
                <w:spacing w:val="-87"/>
              </w:rPr>
              <w:t xml:space="preserve"> </w:t>
            </w:r>
            <w:r>
              <w:rPr>
                <w:rFonts w:ascii="SimSun" w:hAnsi="SimSun" w:eastAsia="SimSun" w:cs="SimSun"/>
                <w:sz w:val="23"/>
                <w:szCs w:val="23"/>
              </w:rPr>
              <w:tab/>
            </w:r>
            <w:r>
              <w:rPr>
                <w:rFonts w:ascii="Times New Roman" w:hAnsi="Times New Roman" w:eastAsia="Times New Roman" w:cs="Times New Roman"/>
                <w:sz w:val="23"/>
                <w:szCs w:val="23"/>
                <w:spacing w:val="-1"/>
              </w:rPr>
              <w:t>322</w:t>
            </w:r>
          </w:hyperlink>
        </w:p>
        <w:p>
          <w:pPr>
            <w:ind w:left="416"/>
            <w:spacing w:before="46" w:line="220" w:lineRule="auto"/>
            <w:tabs>
              <w:tab w:val="right" w:leader="dot" w:pos="8262"/>
            </w:tabs>
            <w:rPr>
              <w:rFonts w:ascii="Times New Roman" w:hAnsi="Times New Roman" w:eastAsia="Times New Roman" w:cs="Times New Roman"/>
              <w:sz w:val="23"/>
              <w:szCs w:val="23"/>
            </w:rPr>
          </w:pPr>
          <w:hyperlink w:history="true" w:anchor="bookmark63">
            <w:r>
              <w:rPr>
                <w:rFonts w:ascii="Times New Roman" w:hAnsi="Times New Roman" w:eastAsia="Times New Roman" w:cs="Times New Roman"/>
                <w:sz w:val="23"/>
                <w:szCs w:val="23"/>
                <w:spacing w:val="6"/>
              </w:rPr>
              <w:t>8.3</w:t>
            </w:r>
            <w:r>
              <w:rPr>
                <w:rFonts w:ascii="SimSun" w:hAnsi="SimSun" w:eastAsia="SimSun" w:cs="SimSun"/>
                <w:sz w:val="23"/>
                <w:szCs w:val="23"/>
                <w:spacing w:val="6"/>
              </w:rPr>
              <w:t>经济效益分析</w:t>
            </w:r>
            <w:r>
              <w:rPr>
                <w:rFonts w:ascii="SimSun" w:hAnsi="SimSun" w:eastAsia="SimSun" w:cs="SimSun"/>
                <w:sz w:val="23"/>
                <w:szCs w:val="23"/>
                <w:spacing w:val="-88"/>
              </w:rPr>
              <w:t xml:space="preserve"> </w:t>
            </w:r>
            <w:r>
              <w:rPr>
                <w:rFonts w:ascii="SimSun" w:hAnsi="SimSun" w:eastAsia="SimSun" w:cs="SimSun"/>
                <w:sz w:val="23"/>
                <w:szCs w:val="23"/>
              </w:rPr>
              <w:tab/>
            </w:r>
            <w:r>
              <w:rPr>
                <w:rFonts w:ascii="SimSun" w:hAnsi="SimSun" w:eastAsia="SimSun" w:cs="SimSun"/>
                <w:sz w:val="23"/>
                <w:szCs w:val="23"/>
                <w:spacing w:val="-77"/>
              </w:rPr>
              <w:t xml:space="preserve"> </w:t>
            </w:r>
            <w:r>
              <w:rPr>
                <w:rFonts w:ascii="Times New Roman" w:hAnsi="Times New Roman" w:eastAsia="Times New Roman" w:cs="Times New Roman"/>
                <w:sz w:val="23"/>
                <w:szCs w:val="23"/>
                <w:spacing w:val="-3"/>
              </w:rPr>
              <w:t>322</w:t>
            </w:r>
          </w:hyperlink>
        </w:p>
        <w:p>
          <w:pPr>
            <w:ind w:left="416"/>
            <w:spacing w:before="44" w:line="219" w:lineRule="auto"/>
            <w:tabs>
              <w:tab w:val="right" w:leader="dot" w:pos="8262"/>
            </w:tabs>
            <w:rPr>
              <w:rFonts w:ascii="Times New Roman" w:hAnsi="Times New Roman" w:eastAsia="Times New Roman" w:cs="Times New Roman"/>
              <w:sz w:val="23"/>
              <w:szCs w:val="23"/>
            </w:rPr>
          </w:pPr>
          <w:hyperlink w:history="true" w:anchor="bookmark64">
            <w:r>
              <w:rPr>
                <w:rFonts w:ascii="Times New Roman" w:hAnsi="Times New Roman" w:eastAsia="Times New Roman" w:cs="Times New Roman"/>
                <w:sz w:val="23"/>
                <w:szCs w:val="23"/>
                <w:spacing w:val="6"/>
              </w:rPr>
              <w:t>8.4</w:t>
            </w:r>
            <w:r>
              <w:rPr>
                <w:rFonts w:ascii="SimSun" w:hAnsi="SimSun" w:eastAsia="SimSun" w:cs="SimSun"/>
                <w:sz w:val="23"/>
                <w:szCs w:val="23"/>
                <w:spacing w:val="6"/>
              </w:rPr>
              <w:t>社会效益分析</w:t>
            </w:r>
            <w:r>
              <w:rPr>
                <w:rFonts w:ascii="SimSun" w:hAnsi="SimSun" w:eastAsia="SimSun" w:cs="SimSun"/>
                <w:sz w:val="23"/>
                <w:szCs w:val="23"/>
                <w:spacing w:val="-88"/>
              </w:rPr>
              <w:t xml:space="preserve"> </w:t>
            </w:r>
            <w:r>
              <w:rPr>
                <w:rFonts w:ascii="SimSun" w:hAnsi="SimSun" w:eastAsia="SimSun" w:cs="SimSun"/>
                <w:sz w:val="23"/>
                <w:szCs w:val="23"/>
              </w:rPr>
              <w:tab/>
            </w:r>
            <w:r>
              <w:rPr>
                <w:rFonts w:ascii="SimSun" w:hAnsi="SimSun" w:eastAsia="SimSun" w:cs="SimSun"/>
                <w:sz w:val="23"/>
                <w:szCs w:val="23"/>
                <w:spacing w:val="-77"/>
              </w:rPr>
              <w:t xml:space="preserve"> </w:t>
            </w:r>
            <w:r>
              <w:rPr>
                <w:rFonts w:ascii="Times New Roman" w:hAnsi="Times New Roman" w:eastAsia="Times New Roman" w:cs="Times New Roman"/>
                <w:sz w:val="23"/>
                <w:szCs w:val="23"/>
                <w:spacing w:val="-3"/>
              </w:rPr>
              <w:t>322</w:t>
            </w:r>
          </w:hyperlink>
        </w:p>
        <w:p>
          <w:pPr>
            <w:ind w:left="416"/>
            <w:spacing w:before="69" w:line="220" w:lineRule="auto"/>
            <w:tabs>
              <w:tab w:val="right" w:leader="dot" w:pos="8292"/>
            </w:tabs>
            <w:rPr>
              <w:rFonts w:ascii="Times New Roman" w:hAnsi="Times New Roman" w:eastAsia="Times New Roman" w:cs="Times New Roman"/>
              <w:sz w:val="23"/>
              <w:szCs w:val="23"/>
            </w:rPr>
          </w:pPr>
          <w:hyperlink w:history="true" w:anchor="bookmark65">
            <w:r>
              <w:rPr>
                <w:rFonts w:ascii="Times New Roman" w:hAnsi="Times New Roman" w:eastAsia="Times New Roman" w:cs="Times New Roman"/>
                <w:sz w:val="23"/>
                <w:szCs w:val="23"/>
                <w:spacing w:val="9"/>
              </w:rPr>
              <w:t>8.5</w:t>
            </w:r>
            <w:r>
              <w:rPr>
                <w:rFonts w:ascii="SimSun" w:hAnsi="SimSun" w:eastAsia="SimSun" w:cs="SimSun"/>
                <w:sz w:val="23"/>
                <w:szCs w:val="23"/>
                <w:spacing w:val="9"/>
              </w:rPr>
              <w:t>综合效益分析</w:t>
            </w:r>
            <w:r>
              <w:rPr>
                <w:rFonts w:ascii="SimSun" w:hAnsi="SimSun" w:eastAsia="SimSun" w:cs="SimSun"/>
                <w:sz w:val="23"/>
                <w:szCs w:val="23"/>
                <w:spacing w:val="-95"/>
              </w:rPr>
              <w:t xml:space="preserve"> </w:t>
            </w:r>
            <w:r>
              <w:rPr>
                <w:rFonts w:ascii="SimSun" w:hAnsi="SimSun" w:eastAsia="SimSun" w:cs="SimSun"/>
                <w:sz w:val="23"/>
                <w:szCs w:val="23"/>
              </w:rPr>
              <w:tab/>
            </w:r>
            <w:r>
              <w:rPr>
                <w:rFonts w:ascii="SimSun" w:hAnsi="SimSun" w:eastAsia="SimSun" w:cs="SimSun"/>
                <w:sz w:val="23"/>
                <w:szCs w:val="23"/>
                <w:spacing w:val="-8"/>
              </w:rPr>
              <w:t xml:space="preserve"> </w:t>
            </w:r>
            <w:r>
              <w:rPr>
                <w:rFonts w:ascii="Times New Roman" w:hAnsi="Times New Roman" w:eastAsia="Times New Roman" w:cs="Times New Roman"/>
                <w:sz w:val="23"/>
                <w:szCs w:val="23"/>
                <w:spacing w:val="-16"/>
              </w:rPr>
              <w:t>323</w:t>
            </w:r>
          </w:hyperlink>
        </w:p>
        <w:p>
          <w:pPr>
            <w:ind w:left="416"/>
            <w:spacing w:before="6" w:line="220" w:lineRule="auto"/>
            <w:tabs>
              <w:tab w:val="right" w:leader="dot" w:pos="8262"/>
            </w:tabs>
            <w:rPr>
              <w:rFonts w:ascii="Times New Roman" w:hAnsi="Times New Roman" w:eastAsia="Times New Roman" w:cs="Times New Roman"/>
              <w:sz w:val="23"/>
              <w:szCs w:val="23"/>
            </w:rPr>
          </w:pPr>
          <w:hyperlink w:history="true" w:anchor="bookmark66">
            <w:r>
              <w:rPr>
                <w:rFonts w:ascii="Times New Roman" w:hAnsi="Times New Roman" w:eastAsia="Times New Roman" w:cs="Times New Roman"/>
                <w:sz w:val="23"/>
                <w:szCs w:val="23"/>
                <w:spacing w:val="7"/>
              </w:rPr>
              <w:t>8.6</w:t>
            </w:r>
            <w:r>
              <w:rPr>
                <w:rFonts w:ascii="SimSun" w:hAnsi="SimSun" w:eastAsia="SimSun" w:cs="SimSun"/>
                <w:sz w:val="23"/>
                <w:szCs w:val="23"/>
                <w:spacing w:val="7"/>
              </w:rPr>
              <w:t>总量控制</w:t>
            </w:r>
            <w:r>
              <w:rPr>
                <w:rFonts w:ascii="SimSun" w:hAnsi="SimSun" w:eastAsia="SimSun" w:cs="SimSun"/>
                <w:sz w:val="23"/>
                <w:szCs w:val="23"/>
                <w:spacing w:val="-103"/>
              </w:rPr>
              <w:t xml:space="preserve"> </w:t>
            </w:r>
            <w:r>
              <w:rPr>
                <w:rFonts w:ascii="SimSun" w:hAnsi="SimSun" w:eastAsia="SimSun" w:cs="SimSun"/>
                <w:sz w:val="23"/>
                <w:szCs w:val="23"/>
              </w:rPr>
              <w:tab/>
            </w:r>
            <w:r>
              <w:rPr>
                <w:rFonts w:ascii="SimSun" w:hAnsi="SimSun" w:eastAsia="SimSun" w:cs="SimSun"/>
                <w:sz w:val="23"/>
                <w:szCs w:val="23"/>
                <w:spacing w:val="-57"/>
              </w:rPr>
              <w:t xml:space="preserve"> </w:t>
            </w:r>
            <w:r>
              <w:rPr>
                <w:rFonts w:ascii="Times New Roman" w:hAnsi="Times New Roman" w:eastAsia="Times New Roman" w:cs="Times New Roman"/>
                <w:sz w:val="23"/>
                <w:szCs w:val="23"/>
                <w:spacing w:val="-3"/>
              </w:rPr>
              <w:t>323</w:t>
            </w:r>
          </w:hyperlink>
        </w:p>
        <w:p>
          <w:pPr>
            <w:spacing w:before="61" w:line="219" w:lineRule="auto"/>
            <w:tabs>
              <w:tab w:val="right" w:leader="dot" w:pos="8282"/>
            </w:tabs>
            <w:rPr>
              <w:rFonts w:ascii="Times New Roman" w:hAnsi="Times New Roman" w:eastAsia="Times New Roman" w:cs="Times New Roman"/>
              <w:sz w:val="23"/>
              <w:szCs w:val="23"/>
            </w:rPr>
          </w:pPr>
          <w:hyperlink w:history="true" w:anchor="bookmark67">
            <w:r>
              <w:rPr>
                <w:rFonts w:ascii="SimSun" w:hAnsi="SimSun" w:eastAsia="SimSun" w:cs="SimSun"/>
                <w:sz w:val="23"/>
                <w:szCs w:val="23"/>
                <w:b/>
                <w:bCs/>
                <w:spacing w:val="6"/>
              </w:rPr>
              <w:t>第9章环境管理与环境监测</w:t>
            </w:r>
            <w:r>
              <w:rPr>
                <w:rFonts w:ascii="SimSun" w:hAnsi="SimSun" w:eastAsia="SimSun" w:cs="SimSun"/>
                <w:sz w:val="23"/>
                <w:szCs w:val="23"/>
                <w:spacing w:val="-96"/>
              </w:rPr>
              <w:t xml:space="preserve"> </w:t>
            </w:r>
            <w:r>
              <w:rPr>
                <w:rFonts w:ascii="SimSun" w:hAnsi="SimSun" w:eastAsia="SimSun" w:cs="SimSun"/>
                <w:sz w:val="23"/>
                <w:szCs w:val="23"/>
              </w:rPr>
              <w:tab/>
            </w:r>
            <w:r>
              <w:rPr>
                <w:rFonts w:ascii="Times New Roman" w:hAnsi="Times New Roman" w:eastAsia="Times New Roman" w:cs="Times New Roman"/>
                <w:sz w:val="23"/>
                <w:szCs w:val="23"/>
                <w:b/>
                <w:bCs/>
                <w:spacing w:val="-10"/>
                <w:w w:val="95"/>
              </w:rPr>
              <w:t>326</w:t>
            </w:r>
          </w:hyperlink>
        </w:p>
        <w:p>
          <w:pPr>
            <w:ind w:left="416"/>
            <w:spacing w:before="42" w:line="219" w:lineRule="auto"/>
            <w:tabs>
              <w:tab w:val="right" w:leader="dot" w:pos="8232"/>
            </w:tabs>
            <w:rPr>
              <w:rFonts w:ascii="Times New Roman" w:hAnsi="Times New Roman" w:eastAsia="Times New Roman" w:cs="Times New Roman"/>
              <w:sz w:val="23"/>
              <w:szCs w:val="23"/>
            </w:rPr>
          </w:pPr>
          <w:hyperlink w:history="true" w:anchor="bookmark68">
            <w:r>
              <w:rPr>
                <w:rFonts w:ascii="Times New Roman" w:hAnsi="Times New Roman" w:eastAsia="Times New Roman" w:cs="Times New Roman"/>
                <w:sz w:val="23"/>
                <w:szCs w:val="23"/>
                <w:spacing w:val="6"/>
              </w:rPr>
              <w:t>9.1</w:t>
            </w:r>
            <w:r>
              <w:rPr>
                <w:rFonts w:ascii="Times New Roman" w:hAnsi="Times New Roman" w:eastAsia="Times New Roman" w:cs="Times New Roman"/>
                <w:sz w:val="23"/>
                <w:szCs w:val="23"/>
                <w:spacing w:val="-20"/>
              </w:rPr>
              <w:t xml:space="preserve"> </w:t>
            </w:r>
            <w:r>
              <w:rPr>
                <w:rFonts w:ascii="SimSun" w:hAnsi="SimSun" w:eastAsia="SimSun" w:cs="SimSun"/>
                <w:sz w:val="23"/>
                <w:szCs w:val="23"/>
                <w:spacing w:val="6"/>
              </w:rPr>
              <w:t>环境管理要求</w:t>
            </w:r>
            <w:r>
              <w:rPr>
                <w:rFonts w:ascii="SimSun" w:hAnsi="SimSun" w:eastAsia="SimSun" w:cs="SimSun"/>
                <w:sz w:val="23"/>
                <w:szCs w:val="23"/>
                <w:spacing w:val="-96"/>
              </w:rPr>
              <w:t xml:space="preserve"> </w:t>
            </w:r>
            <w:r>
              <w:rPr>
                <w:rFonts w:ascii="SimSun" w:hAnsi="SimSun" w:eastAsia="SimSun" w:cs="SimSun"/>
                <w:sz w:val="23"/>
                <w:szCs w:val="23"/>
              </w:rPr>
              <w:tab/>
            </w:r>
            <w:r>
              <w:rPr>
                <w:rFonts w:ascii="Times New Roman" w:hAnsi="Times New Roman" w:eastAsia="Times New Roman" w:cs="Times New Roman"/>
                <w:sz w:val="23"/>
                <w:szCs w:val="23"/>
                <w:spacing w:val="-2"/>
              </w:rPr>
              <w:t>326</w:t>
            </w:r>
          </w:hyperlink>
        </w:p>
        <w:p>
          <w:pPr>
            <w:ind w:left="416"/>
            <w:spacing w:before="8" w:line="220" w:lineRule="auto"/>
            <w:tabs>
              <w:tab w:val="right" w:leader="dot" w:pos="8167"/>
            </w:tabs>
            <w:rPr>
              <w:rFonts w:ascii="Times New Roman" w:hAnsi="Times New Roman" w:eastAsia="Times New Roman" w:cs="Times New Roman"/>
              <w:sz w:val="23"/>
              <w:szCs w:val="23"/>
            </w:rPr>
          </w:pPr>
          <w:hyperlink w:history="true" w:anchor="bookmark69">
            <w:r>
              <w:rPr>
                <w:rFonts w:ascii="Times New Roman" w:hAnsi="Times New Roman" w:eastAsia="Times New Roman" w:cs="Times New Roman"/>
                <w:sz w:val="23"/>
                <w:szCs w:val="23"/>
                <w:spacing w:val="7"/>
              </w:rPr>
              <w:t>9.2</w:t>
            </w:r>
            <w:r>
              <w:rPr>
                <w:rFonts w:ascii="SimSun" w:hAnsi="SimSun" w:eastAsia="SimSun" w:cs="SimSun"/>
                <w:sz w:val="23"/>
                <w:szCs w:val="23"/>
                <w:spacing w:val="7"/>
              </w:rPr>
              <w:t>环境监测</w:t>
            </w:r>
            <w:r>
              <w:rPr>
                <w:rFonts w:ascii="SimSun" w:hAnsi="SimSun" w:eastAsia="SimSun" w:cs="SimSun"/>
                <w:sz w:val="23"/>
                <w:szCs w:val="23"/>
                <w:spacing w:val="-103"/>
              </w:rPr>
              <w:t xml:space="preserve"> </w:t>
            </w:r>
            <w:r>
              <w:rPr>
                <w:rFonts w:ascii="SimSun" w:hAnsi="SimSun" w:eastAsia="SimSun" w:cs="SimSun"/>
                <w:sz w:val="23"/>
                <w:szCs w:val="23"/>
              </w:rPr>
              <w:tab/>
            </w:r>
            <w:r>
              <w:rPr>
                <w:rFonts w:ascii="SimSun" w:hAnsi="SimSun" w:eastAsia="SimSun" w:cs="SimSun"/>
                <w:sz w:val="23"/>
                <w:szCs w:val="23"/>
                <w:spacing w:val="-38"/>
              </w:rPr>
              <w:t xml:space="preserve"> </w:t>
            </w:r>
            <w:r>
              <w:rPr>
                <w:rFonts w:ascii="Times New Roman" w:hAnsi="Times New Roman" w:eastAsia="Times New Roman" w:cs="Times New Roman"/>
                <w:sz w:val="23"/>
                <w:szCs w:val="23"/>
                <w:spacing w:val="-3"/>
              </w:rPr>
              <w:t>31</w:t>
            </w:r>
          </w:hyperlink>
        </w:p>
        <w:p>
          <w:pPr>
            <w:ind w:left="416"/>
            <w:spacing w:before="55" w:line="219" w:lineRule="auto"/>
            <w:tabs>
              <w:tab w:val="right" w:leader="dot" w:pos="8137"/>
            </w:tabs>
            <w:rPr>
              <w:rFonts w:ascii="Times New Roman" w:hAnsi="Times New Roman" w:eastAsia="Times New Roman" w:cs="Times New Roman"/>
              <w:sz w:val="23"/>
              <w:szCs w:val="23"/>
            </w:rPr>
          </w:pPr>
          <w:hyperlink w:history="true" w:anchor="bookmark70">
            <w:r>
              <w:rPr>
                <w:rFonts w:ascii="Times New Roman" w:hAnsi="Times New Roman" w:eastAsia="Times New Roman" w:cs="Times New Roman"/>
                <w:sz w:val="23"/>
                <w:szCs w:val="23"/>
                <w:spacing w:val="8"/>
              </w:rPr>
              <w:t>9.3</w:t>
            </w:r>
            <w:r>
              <w:rPr>
                <w:rFonts w:ascii="Times New Roman" w:hAnsi="Times New Roman" w:eastAsia="Times New Roman" w:cs="Times New Roman"/>
                <w:sz w:val="23"/>
                <w:szCs w:val="23"/>
                <w:spacing w:val="-25"/>
              </w:rPr>
              <w:t xml:space="preserve"> </w:t>
            </w:r>
            <w:r>
              <w:rPr>
                <w:rFonts w:ascii="SimSun" w:hAnsi="SimSun" w:eastAsia="SimSun" w:cs="SimSun"/>
                <w:sz w:val="23"/>
                <w:szCs w:val="23"/>
                <w:spacing w:val="8"/>
              </w:rPr>
              <w:t>竣工环境保护验收</w:t>
            </w:r>
            <w:r>
              <w:rPr>
                <w:rFonts w:ascii="SimSun" w:hAnsi="SimSun" w:eastAsia="SimSun" w:cs="SimSun"/>
                <w:sz w:val="23"/>
                <w:szCs w:val="23"/>
                <w:spacing w:val="-104"/>
              </w:rPr>
              <w:t xml:space="preserve"> </w:t>
            </w:r>
            <w:r>
              <w:rPr>
                <w:rFonts w:ascii="SimSun" w:hAnsi="SimSun" w:eastAsia="SimSun" w:cs="SimSun"/>
                <w:sz w:val="23"/>
                <w:szCs w:val="23"/>
              </w:rPr>
              <w:tab/>
            </w:r>
            <w:r>
              <w:rPr>
                <w:rFonts w:ascii="Times New Roman" w:hAnsi="Times New Roman" w:eastAsia="Times New Roman" w:cs="Times New Roman"/>
                <w:sz w:val="23"/>
                <w:szCs w:val="23"/>
                <w:spacing w:val="-2"/>
              </w:rPr>
              <w:t>33</w:t>
            </w:r>
          </w:hyperlink>
        </w:p>
        <w:p>
          <w:pPr>
            <w:spacing w:before="52" w:line="219" w:lineRule="auto"/>
            <w:tabs>
              <w:tab w:val="right" w:leader="dot" w:pos="8237"/>
            </w:tabs>
            <w:rPr>
              <w:rFonts w:ascii="Times New Roman" w:hAnsi="Times New Roman" w:eastAsia="Times New Roman" w:cs="Times New Roman"/>
              <w:sz w:val="23"/>
              <w:szCs w:val="23"/>
            </w:rPr>
          </w:pPr>
          <w:hyperlink w:history="true" w:anchor="bookmark71">
            <w:r>
              <w:rPr>
                <w:rFonts w:ascii="SimSun" w:hAnsi="SimSun" w:eastAsia="SimSun" w:cs="SimSun"/>
                <w:sz w:val="23"/>
                <w:szCs w:val="23"/>
                <w:b/>
                <w:bCs/>
                <w:spacing w:val="8"/>
              </w:rPr>
              <w:t>第10章结论及建议</w:t>
            </w:r>
            <w:r>
              <w:rPr>
                <w:rFonts w:ascii="SimSun" w:hAnsi="SimSun" w:eastAsia="SimSun" w:cs="SimSun"/>
                <w:sz w:val="23"/>
                <w:szCs w:val="23"/>
                <w:spacing w:val="-93"/>
              </w:rPr>
              <w:t xml:space="preserve"> </w:t>
            </w:r>
            <w:r>
              <w:rPr>
                <w:rFonts w:ascii="SimSun" w:hAnsi="SimSun" w:eastAsia="SimSun" w:cs="SimSun"/>
                <w:sz w:val="23"/>
                <w:szCs w:val="23"/>
              </w:rPr>
              <w:tab/>
            </w:r>
            <w:r>
              <w:rPr>
                <w:rFonts w:ascii="SimSun" w:hAnsi="SimSun" w:eastAsia="SimSun" w:cs="SimSun"/>
                <w:sz w:val="23"/>
                <w:szCs w:val="23"/>
                <w:spacing w:val="-8"/>
              </w:rPr>
              <w:t xml:space="preserve"> </w:t>
            </w:r>
            <w:r>
              <w:rPr>
                <w:rFonts w:ascii="Times New Roman" w:hAnsi="Times New Roman" w:eastAsia="Times New Roman" w:cs="Times New Roman"/>
                <w:sz w:val="23"/>
                <w:szCs w:val="23"/>
                <w:spacing w:val="-3"/>
              </w:rPr>
              <w:t>39</w:t>
            </w:r>
          </w:hyperlink>
        </w:p>
        <w:p>
          <w:pPr>
            <w:ind w:left="416"/>
            <w:spacing w:before="43" w:line="221" w:lineRule="auto"/>
            <w:tabs>
              <w:tab w:val="right" w:leader="dot" w:pos="8117"/>
            </w:tabs>
            <w:rPr>
              <w:rFonts w:ascii="Times New Roman" w:hAnsi="Times New Roman" w:eastAsia="Times New Roman" w:cs="Times New Roman"/>
              <w:sz w:val="23"/>
              <w:szCs w:val="23"/>
            </w:rPr>
          </w:pPr>
          <w:hyperlink w:history="true" w:anchor="bookmark72">
            <w:r>
              <w:rPr>
                <w:rFonts w:ascii="Times New Roman" w:hAnsi="Times New Roman" w:eastAsia="Times New Roman" w:cs="Times New Roman"/>
                <w:sz w:val="23"/>
                <w:szCs w:val="23"/>
                <w:spacing w:val="3"/>
              </w:rPr>
              <w:t>10.1</w:t>
            </w:r>
            <w:r>
              <w:rPr>
                <w:rFonts w:ascii="SimSun" w:hAnsi="SimSun" w:eastAsia="SimSun" w:cs="SimSun"/>
                <w:sz w:val="23"/>
                <w:szCs w:val="23"/>
                <w:spacing w:val="3"/>
              </w:rPr>
              <w:t>结论</w:t>
            </w:r>
            <w:r>
              <w:rPr>
                <w:rFonts w:ascii="SimSun" w:hAnsi="SimSun" w:eastAsia="SimSun" w:cs="SimSun"/>
                <w:sz w:val="23"/>
                <w:szCs w:val="23"/>
                <w:spacing w:val="-96"/>
              </w:rPr>
              <w:t xml:space="preserve"> </w:t>
            </w:r>
            <w:r>
              <w:rPr>
                <w:rFonts w:ascii="SimSun" w:hAnsi="SimSun" w:eastAsia="SimSun" w:cs="SimSun"/>
                <w:sz w:val="23"/>
                <w:szCs w:val="23"/>
              </w:rPr>
              <w:tab/>
            </w:r>
            <w:r>
              <w:rPr>
                <w:rFonts w:ascii="Times New Roman" w:hAnsi="Times New Roman" w:eastAsia="Times New Roman" w:cs="Times New Roman"/>
                <w:sz w:val="23"/>
                <w:szCs w:val="23"/>
                <w:spacing w:val="-2"/>
              </w:rPr>
              <w:t>39</w:t>
            </w:r>
          </w:hyperlink>
        </w:p>
        <w:p>
          <w:pPr>
            <w:ind w:left="416"/>
            <w:spacing w:before="24" w:line="220" w:lineRule="auto"/>
            <w:tabs>
              <w:tab w:val="right" w:leader="dot" w:pos="8252"/>
            </w:tabs>
            <w:rPr>
              <w:rFonts w:ascii="Times New Roman" w:hAnsi="Times New Roman" w:eastAsia="Times New Roman" w:cs="Times New Roman"/>
              <w:sz w:val="23"/>
              <w:szCs w:val="23"/>
            </w:rPr>
          </w:pPr>
          <w:hyperlink w:history="true" w:anchor="bookmark73">
            <w:r>
              <w:rPr>
                <w:rFonts w:ascii="Times New Roman" w:hAnsi="Times New Roman" w:eastAsia="Times New Roman" w:cs="Times New Roman"/>
                <w:sz w:val="23"/>
                <w:szCs w:val="23"/>
                <w:spacing w:val="7"/>
              </w:rPr>
              <w:t>10.2</w:t>
            </w:r>
            <w:r>
              <w:rPr>
                <w:rFonts w:ascii="SimSun" w:hAnsi="SimSun" w:eastAsia="SimSun" w:cs="SimSun"/>
                <w:sz w:val="23"/>
                <w:szCs w:val="23"/>
                <w:spacing w:val="7"/>
              </w:rPr>
              <w:t>环评要求及建议</w:t>
            </w:r>
            <w:r>
              <w:rPr>
                <w:rFonts w:ascii="SimSun" w:hAnsi="SimSun" w:eastAsia="SimSun" w:cs="SimSun"/>
                <w:sz w:val="23"/>
                <w:szCs w:val="23"/>
                <w:spacing w:val="-96"/>
              </w:rPr>
              <w:t xml:space="preserve"> </w:t>
            </w:r>
            <w:r>
              <w:rPr>
                <w:rFonts w:ascii="SimSun" w:hAnsi="SimSun" w:eastAsia="SimSun" w:cs="SimSun"/>
                <w:sz w:val="23"/>
                <w:szCs w:val="23"/>
              </w:rPr>
              <w:tab/>
            </w:r>
            <w:r>
              <w:rPr>
                <w:rFonts w:ascii="Times New Roman" w:hAnsi="Times New Roman" w:eastAsia="Times New Roman" w:cs="Times New Roman"/>
                <w:sz w:val="23"/>
                <w:szCs w:val="23"/>
                <w:spacing w:val="-1"/>
              </w:rPr>
              <w:t>345</w:t>
            </w:r>
          </w:hyperlink>
        </w:p>
      </w:sdtContent>
    </w:sdt>
    <w:p>
      <w:pPr>
        <w:pStyle w:val="BodyText"/>
        <w:spacing w:line="323" w:lineRule="auto"/>
        <w:rPr/>
      </w:pPr>
      <w:r/>
    </w:p>
    <w:p>
      <w:pPr>
        <w:ind w:left="20"/>
        <w:spacing w:before="76" w:line="219" w:lineRule="auto"/>
        <w:rPr>
          <w:rFonts w:ascii="SimSun" w:hAnsi="SimSun" w:eastAsia="SimSun" w:cs="SimSun"/>
          <w:sz w:val="23"/>
          <w:szCs w:val="23"/>
        </w:rPr>
      </w:pPr>
      <w:r>
        <w:rPr>
          <w:rFonts w:ascii="SimSun" w:hAnsi="SimSun" w:eastAsia="SimSun" w:cs="SimSun"/>
          <w:sz w:val="23"/>
          <w:szCs w:val="23"/>
          <w:b/>
          <w:bCs/>
          <w:spacing w:val="-10"/>
        </w:rPr>
        <w:t>附表：</w:t>
      </w:r>
    </w:p>
    <w:p>
      <w:pPr>
        <w:ind w:left="496"/>
        <w:spacing w:before="230" w:line="218" w:lineRule="auto"/>
        <w:rPr>
          <w:rFonts w:ascii="SimSun" w:hAnsi="SimSun" w:eastAsia="SimSun" w:cs="SimSun"/>
          <w:sz w:val="23"/>
          <w:szCs w:val="23"/>
        </w:rPr>
      </w:pPr>
      <w:r>
        <w:rPr>
          <w:rFonts w:ascii="SimSun" w:hAnsi="SimSun" w:eastAsia="SimSun" w:cs="SimSun"/>
          <w:sz w:val="23"/>
          <w:szCs w:val="23"/>
          <w:spacing w:val="9"/>
        </w:rPr>
        <w:t>附表1建设项目大气环境影响评价自查表</w:t>
      </w:r>
    </w:p>
    <w:p>
      <w:pPr>
        <w:ind w:left="496"/>
        <w:spacing w:before="198" w:line="218" w:lineRule="auto"/>
        <w:rPr>
          <w:rFonts w:ascii="SimSun" w:hAnsi="SimSun" w:eastAsia="SimSun" w:cs="SimSun"/>
          <w:sz w:val="23"/>
          <w:szCs w:val="23"/>
        </w:rPr>
      </w:pPr>
      <w:r>
        <w:rPr>
          <w:rFonts w:ascii="SimSun" w:hAnsi="SimSun" w:eastAsia="SimSun" w:cs="SimSun"/>
          <w:sz w:val="23"/>
          <w:szCs w:val="23"/>
          <w:spacing w:val="9"/>
        </w:rPr>
        <w:t>附表2建设项目地表水环境影响评价自查表</w:t>
      </w:r>
    </w:p>
    <w:p>
      <w:pPr>
        <w:ind w:left="496"/>
        <w:spacing w:before="159" w:line="218" w:lineRule="auto"/>
        <w:rPr>
          <w:rFonts w:ascii="SimSun" w:hAnsi="SimSun" w:eastAsia="SimSun" w:cs="SimSun"/>
          <w:sz w:val="23"/>
          <w:szCs w:val="23"/>
        </w:rPr>
      </w:pPr>
      <w:r>
        <w:rPr>
          <w:rFonts w:ascii="SimSun" w:hAnsi="SimSun" w:eastAsia="SimSun" w:cs="SimSun"/>
          <w:sz w:val="23"/>
          <w:szCs w:val="23"/>
          <w:spacing w:val="9"/>
        </w:rPr>
        <w:t>附表3环境风险评价自查表</w:t>
      </w:r>
    </w:p>
    <w:p>
      <w:pPr>
        <w:ind w:left="496"/>
        <w:spacing w:before="219" w:line="219" w:lineRule="auto"/>
        <w:rPr>
          <w:rFonts w:ascii="SimSun" w:hAnsi="SimSun" w:eastAsia="SimSun" w:cs="SimSun"/>
          <w:sz w:val="23"/>
          <w:szCs w:val="23"/>
        </w:rPr>
      </w:pPr>
      <w:r>
        <w:rPr>
          <w:rFonts w:ascii="SimSun" w:hAnsi="SimSun" w:eastAsia="SimSun" w:cs="SimSun"/>
          <w:sz w:val="23"/>
          <w:szCs w:val="23"/>
          <w:spacing w:val="9"/>
        </w:rPr>
        <w:t>附表4土壤环境影响自查表</w:t>
      </w:r>
    </w:p>
    <w:p>
      <w:pPr>
        <w:ind w:left="496"/>
        <w:spacing w:before="167" w:line="219" w:lineRule="auto"/>
        <w:rPr>
          <w:rFonts w:ascii="SimSun" w:hAnsi="SimSun" w:eastAsia="SimSun" w:cs="SimSun"/>
          <w:sz w:val="23"/>
          <w:szCs w:val="23"/>
        </w:rPr>
      </w:pPr>
      <w:r>
        <w:rPr>
          <w:rFonts w:ascii="SimSun" w:hAnsi="SimSun" w:eastAsia="SimSun" w:cs="SimSun"/>
          <w:sz w:val="23"/>
          <w:szCs w:val="23"/>
          <w:spacing w:val="9"/>
        </w:rPr>
        <w:t>附表5生态环境影响自查表</w:t>
      </w:r>
    </w:p>
    <w:p>
      <w:pPr>
        <w:ind w:left="496"/>
        <w:spacing w:before="217" w:line="219" w:lineRule="auto"/>
        <w:rPr>
          <w:rFonts w:ascii="SimSun" w:hAnsi="SimSun" w:eastAsia="SimSun" w:cs="SimSun"/>
          <w:sz w:val="23"/>
          <w:szCs w:val="23"/>
        </w:rPr>
      </w:pPr>
      <w:r>
        <w:rPr>
          <w:rFonts w:ascii="SimSun" w:hAnsi="SimSun" w:eastAsia="SimSun" w:cs="SimSun"/>
          <w:sz w:val="23"/>
          <w:szCs w:val="23"/>
          <w:spacing w:val="9"/>
        </w:rPr>
        <w:t>附表6建设项目环评审批基础信息表</w:t>
      </w:r>
    </w:p>
    <w:p>
      <w:pPr>
        <w:spacing w:line="219" w:lineRule="auto"/>
        <w:sectPr>
          <w:pgSz w:w="11910" w:h="16840"/>
          <w:pgMar w:top="1431" w:right="1786" w:bottom="0" w:left="1783" w:header="0" w:footer="0" w:gutter="0"/>
        </w:sectPr>
        <w:rPr>
          <w:rFonts w:ascii="SimSun" w:hAnsi="SimSun" w:eastAsia="SimSun" w:cs="SimSun"/>
          <w:sz w:val="23"/>
          <w:szCs w:val="23"/>
        </w:rPr>
      </w:pPr>
    </w:p>
    <w:p>
      <w:pPr>
        <w:ind w:left="16"/>
        <w:spacing w:before="92" w:line="219" w:lineRule="auto"/>
        <w:rPr>
          <w:rFonts w:ascii="SimSun" w:hAnsi="SimSun" w:eastAsia="SimSun" w:cs="SimSun"/>
          <w:sz w:val="19"/>
          <w:szCs w:val="19"/>
        </w:rPr>
      </w:pPr>
      <w:bookmarkStart w:name="bookmark74" w:id="2"/>
      <w:bookmarkEnd w:id="2"/>
      <w:r>
        <w:rPr>
          <w:rFonts w:ascii="SimSun" w:hAnsi="SimSun" w:eastAsia="SimSun" w:cs="SimSun"/>
          <w:sz w:val="19"/>
          <w:szCs w:val="19"/>
          <w:b/>
          <w:bCs/>
          <w:spacing w:val="-19"/>
        </w:rPr>
        <w:t>附</w:t>
      </w:r>
      <w:r>
        <w:rPr>
          <w:rFonts w:ascii="SimSun" w:hAnsi="SimSun" w:eastAsia="SimSun" w:cs="SimSun"/>
          <w:sz w:val="19"/>
          <w:szCs w:val="19"/>
        </w:rPr>
        <w:t xml:space="preserve"> </w:t>
      </w:r>
      <w:r>
        <w:rPr>
          <w:rFonts w:ascii="SimSun" w:hAnsi="SimSun" w:eastAsia="SimSun" w:cs="SimSun"/>
          <w:sz w:val="19"/>
          <w:szCs w:val="19"/>
          <w:b/>
          <w:bCs/>
          <w:spacing w:val="-19"/>
        </w:rPr>
        <w:t>图</w:t>
      </w:r>
      <w:r>
        <w:rPr>
          <w:rFonts w:ascii="SimSun" w:hAnsi="SimSun" w:eastAsia="SimSun" w:cs="SimSun"/>
          <w:sz w:val="19"/>
          <w:szCs w:val="19"/>
          <w:spacing w:val="-27"/>
        </w:rPr>
        <w:t xml:space="preserve"> </w:t>
      </w:r>
      <w:r>
        <w:rPr>
          <w:rFonts w:ascii="SimSun" w:hAnsi="SimSun" w:eastAsia="SimSun" w:cs="SimSun"/>
          <w:sz w:val="19"/>
          <w:szCs w:val="19"/>
          <w:b/>
          <w:bCs/>
          <w:spacing w:val="-19"/>
        </w:rPr>
        <w:t>：</w:t>
      </w:r>
    </w:p>
    <w:p>
      <w:pPr>
        <w:ind w:left="483"/>
        <w:spacing w:before="219" w:line="219" w:lineRule="auto"/>
        <w:rPr>
          <w:rFonts w:ascii="SimSun" w:hAnsi="SimSun" w:eastAsia="SimSun" w:cs="SimSun"/>
          <w:sz w:val="24"/>
          <w:szCs w:val="24"/>
        </w:rPr>
      </w:pPr>
      <w:r>
        <w:rPr>
          <w:rFonts w:ascii="SimSun" w:hAnsi="SimSun" w:eastAsia="SimSun" w:cs="SimSun"/>
          <w:sz w:val="24"/>
          <w:szCs w:val="24"/>
        </w:rPr>
        <w:t>附图1项目地理位置图</w:t>
      </w:r>
    </w:p>
    <w:p>
      <w:pPr>
        <w:ind w:left="483"/>
        <w:spacing w:before="185" w:line="219" w:lineRule="auto"/>
        <w:rPr>
          <w:rFonts w:ascii="SimSun" w:hAnsi="SimSun" w:eastAsia="SimSun" w:cs="SimSun"/>
          <w:sz w:val="24"/>
          <w:szCs w:val="24"/>
        </w:rPr>
      </w:pPr>
      <w:r>
        <w:rPr>
          <w:rFonts w:ascii="SimSun" w:hAnsi="SimSun" w:eastAsia="SimSun" w:cs="SimSun"/>
          <w:sz w:val="24"/>
          <w:szCs w:val="24"/>
          <w:spacing w:val="-3"/>
        </w:rPr>
        <w:t>附图2-1安州区河西片区控制性详细规划图</w:t>
      </w:r>
    </w:p>
    <w:p>
      <w:pPr>
        <w:ind w:left="483"/>
        <w:spacing w:before="165" w:line="219" w:lineRule="auto"/>
        <w:rPr>
          <w:rFonts w:ascii="SimSun" w:hAnsi="SimSun" w:eastAsia="SimSun" w:cs="SimSun"/>
          <w:sz w:val="24"/>
          <w:szCs w:val="24"/>
        </w:rPr>
      </w:pPr>
      <w:r>
        <w:rPr>
          <w:rFonts w:ascii="SimSun" w:hAnsi="SimSun" w:eastAsia="SimSun" w:cs="SimSun"/>
          <w:sz w:val="24"/>
          <w:szCs w:val="24"/>
          <w:spacing w:val="-3"/>
        </w:rPr>
        <w:t>附图2-2安县城市总体规划图</w:t>
      </w:r>
    </w:p>
    <w:p>
      <w:pPr>
        <w:ind w:left="483"/>
        <w:spacing w:before="175" w:line="219" w:lineRule="auto"/>
        <w:rPr>
          <w:rFonts w:ascii="SimSun" w:hAnsi="SimSun" w:eastAsia="SimSun" w:cs="SimSun"/>
          <w:sz w:val="24"/>
          <w:szCs w:val="24"/>
        </w:rPr>
      </w:pPr>
      <w:r>
        <w:rPr>
          <w:rFonts w:ascii="SimSun" w:hAnsi="SimSun" w:eastAsia="SimSun" w:cs="SimSun"/>
          <w:sz w:val="24"/>
          <w:szCs w:val="24"/>
          <w:spacing w:val="-4"/>
        </w:rPr>
        <w:t>附图3-1项目环境保护目标示意图</w:t>
      </w:r>
    </w:p>
    <w:p>
      <w:pPr>
        <w:ind w:left="483"/>
        <w:spacing w:before="175" w:line="219" w:lineRule="auto"/>
        <w:rPr>
          <w:rFonts w:ascii="SimSun" w:hAnsi="SimSun" w:eastAsia="SimSun" w:cs="SimSun"/>
          <w:sz w:val="24"/>
          <w:szCs w:val="24"/>
        </w:rPr>
      </w:pPr>
      <w:r>
        <w:rPr>
          <w:rFonts w:ascii="SimSun" w:hAnsi="SimSun" w:eastAsia="SimSun" w:cs="SimSun"/>
          <w:sz w:val="24"/>
          <w:szCs w:val="24"/>
          <w:spacing w:val="-4"/>
        </w:rPr>
        <w:t>附图3-2项目外环境关系示意图</w:t>
      </w:r>
    </w:p>
    <w:p>
      <w:pPr>
        <w:ind w:left="483"/>
        <w:spacing w:before="174" w:line="218" w:lineRule="auto"/>
        <w:rPr>
          <w:rFonts w:ascii="SimSun" w:hAnsi="SimSun" w:eastAsia="SimSun" w:cs="SimSun"/>
          <w:sz w:val="24"/>
          <w:szCs w:val="24"/>
        </w:rPr>
      </w:pPr>
      <w:r>
        <w:rPr>
          <w:rFonts w:ascii="SimSun" w:hAnsi="SimSun" w:eastAsia="SimSun" w:cs="SimSun"/>
          <w:sz w:val="24"/>
          <w:szCs w:val="24"/>
        </w:rPr>
        <w:t>附图4项目各要素评价范围图</w:t>
      </w:r>
    </w:p>
    <w:p>
      <w:pPr>
        <w:ind w:left="483"/>
        <w:spacing w:before="177" w:line="219" w:lineRule="auto"/>
        <w:rPr>
          <w:rFonts w:ascii="SimSun" w:hAnsi="SimSun" w:eastAsia="SimSun" w:cs="SimSun"/>
          <w:sz w:val="24"/>
          <w:szCs w:val="24"/>
        </w:rPr>
      </w:pPr>
      <w:r>
        <w:rPr>
          <w:rFonts w:ascii="SimSun" w:hAnsi="SimSun" w:eastAsia="SimSun" w:cs="SimSun"/>
          <w:sz w:val="24"/>
          <w:szCs w:val="24"/>
          <w:spacing w:val="-4"/>
        </w:rPr>
        <w:t>附图5-1原项目平面布置图</w:t>
      </w:r>
    </w:p>
    <w:p>
      <w:pPr>
        <w:ind w:left="483"/>
        <w:spacing w:before="175" w:line="219" w:lineRule="auto"/>
        <w:rPr>
          <w:rFonts w:ascii="SimSun" w:hAnsi="SimSun" w:eastAsia="SimSun" w:cs="SimSun"/>
          <w:sz w:val="24"/>
          <w:szCs w:val="24"/>
        </w:rPr>
      </w:pPr>
      <w:r>
        <w:rPr>
          <w:rFonts w:ascii="SimSun" w:hAnsi="SimSun" w:eastAsia="SimSun" w:cs="SimSun"/>
          <w:sz w:val="24"/>
          <w:szCs w:val="24"/>
          <w:spacing w:val="-4"/>
        </w:rPr>
        <w:t>附图5-2项目平面布置图</w:t>
      </w:r>
    </w:p>
    <w:p>
      <w:pPr>
        <w:ind w:left="483"/>
        <w:spacing w:before="216" w:line="219" w:lineRule="auto"/>
        <w:rPr>
          <w:rFonts w:ascii="SimSun" w:hAnsi="SimSun" w:eastAsia="SimSun" w:cs="SimSun"/>
          <w:sz w:val="24"/>
          <w:szCs w:val="24"/>
        </w:rPr>
      </w:pPr>
      <w:r>
        <w:rPr>
          <w:rFonts w:ascii="SimSun" w:hAnsi="SimSun" w:eastAsia="SimSun" w:cs="SimSun"/>
          <w:sz w:val="24"/>
          <w:szCs w:val="24"/>
          <w:spacing w:val="-2"/>
        </w:rPr>
        <w:t>附图5-3项目生猪车间2楼平面布置图</w:t>
      </w:r>
    </w:p>
    <w:p>
      <w:pPr>
        <w:ind w:left="483"/>
        <w:spacing w:before="165" w:line="219" w:lineRule="auto"/>
        <w:rPr>
          <w:rFonts w:ascii="SimSun" w:hAnsi="SimSun" w:eastAsia="SimSun" w:cs="SimSun"/>
          <w:sz w:val="24"/>
          <w:szCs w:val="24"/>
        </w:rPr>
      </w:pPr>
      <w:r>
        <w:rPr>
          <w:rFonts w:ascii="SimSun" w:hAnsi="SimSun" w:eastAsia="SimSun" w:cs="SimSun"/>
          <w:sz w:val="24"/>
          <w:szCs w:val="24"/>
          <w:spacing w:val="-5"/>
        </w:rPr>
        <w:t>附图6-1项目噪声平面布置图</w:t>
      </w:r>
    </w:p>
    <w:p>
      <w:pPr>
        <w:ind w:left="483"/>
        <w:spacing w:before="205" w:line="219" w:lineRule="auto"/>
        <w:rPr>
          <w:rFonts w:ascii="SimSun" w:hAnsi="SimSun" w:eastAsia="SimSun" w:cs="SimSun"/>
          <w:sz w:val="24"/>
          <w:szCs w:val="24"/>
        </w:rPr>
      </w:pPr>
      <w:r>
        <w:rPr>
          <w:rFonts w:ascii="SimSun" w:hAnsi="SimSun" w:eastAsia="SimSun" w:cs="SimSun"/>
          <w:sz w:val="24"/>
          <w:szCs w:val="24"/>
          <w:spacing w:val="-2"/>
        </w:rPr>
        <w:t>附图6-2项目生猪车间2楼噪声平面布置图</w:t>
      </w:r>
    </w:p>
    <w:p>
      <w:pPr>
        <w:ind w:left="483"/>
        <w:spacing w:before="176" w:line="219" w:lineRule="auto"/>
        <w:rPr>
          <w:rFonts w:ascii="SimSun" w:hAnsi="SimSun" w:eastAsia="SimSun" w:cs="SimSun"/>
          <w:sz w:val="24"/>
          <w:szCs w:val="24"/>
        </w:rPr>
      </w:pPr>
      <w:r>
        <w:rPr>
          <w:rFonts w:ascii="SimSun" w:hAnsi="SimSun" w:eastAsia="SimSun" w:cs="SimSun"/>
          <w:sz w:val="24"/>
          <w:szCs w:val="24"/>
        </w:rPr>
        <w:t>附图7项目环保设施平面布置图</w:t>
      </w:r>
    </w:p>
    <w:p>
      <w:pPr>
        <w:ind w:left="483"/>
        <w:spacing w:before="175" w:line="219" w:lineRule="auto"/>
        <w:rPr>
          <w:rFonts w:ascii="SimSun" w:hAnsi="SimSun" w:eastAsia="SimSun" w:cs="SimSun"/>
          <w:sz w:val="24"/>
          <w:szCs w:val="24"/>
        </w:rPr>
      </w:pPr>
      <w:r>
        <w:rPr>
          <w:rFonts w:ascii="SimSun" w:hAnsi="SimSun" w:eastAsia="SimSun" w:cs="SimSun"/>
          <w:sz w:val="24"/>
          <w:szCs w:val="24"/>
          <w:spacing w:val="-3"/>
        </w:rPr>
        <w:t>附图8-1原项目卫生防护距离包络线图</w:t>
      </w:r>
    </w:p>
    <w:p>
      <w:pPr>
        <w:ind w:left="483"/>
        <w:spacing w:before="175" w:line="219" w:lineRule="auto"/>
        <w:rPr>
          <w:rFonts w:ascii="SimSun" w:hAnsi="SimSun" w:eastAsia="SimSun" w:cs="SimSun"/>
          <w:sz w:val="24"/>
          <w:szCs w:val="24"/>
        </w:rPr>
      </w:pPr>
      <w:r>
        <w:rPr>
          <w:rFonts w:ascii="SimSun" w:hAnsi="SimSun" w:eastAsia="SimSun" w:cs="SimSun"/>
          <w:sz w:val="24"/>
          <w:szCs w:val="24"/>
          <w:spacing w:val="-2"/>
        </w:rPr>
        <w:t>附图8-2项目卫生防护距离包络线图</w:t>
      </w:r>
    </w:p>
    <w:p>
      <w:pPr>
        <w:ind w:left="483"/>
        <w:spacing w:before="176" w:line="219" w:lineRule="auto"/>
        <w:rPr>
          <w:rFonts w:ascii="SimSun" w:hAnsi="SimSun" w:eastAsia="SimSun" w:cs="SimSun"/>
          <w:sz w:val="24"/>
          <w:szCs w:val="24"/>
        </w:rPr>
      </w:pPr>
      <w:r>
        <w:rPr>
          <w:rFonts w:ascii="SimSun" w:hAnsi="SimSun" w:eastAsia="SimSun" w:cs="SimSun"/>
          <w:sz w:val="24"/>
          <w:szCs w:val="24"/>
          <w:spacing w:val="-4"/>
        </w:rPr>
        <w:t>附图9-1项目分区防渗图</w:t>
      </w:r>
    </w:p>
    <w:p>
      <w:pPr>
        <w:ind w:left="483"/>
        <w:spacing w:before="205" w:line="219" w:lineRule="auto"/>
        <w:rPr>
          <w:rFonts w:ascii="SimSun" w:hAnsi="SimSun" w:eastAsia="SimSun" w:cs="SimSun"/>
          <w:sz w:val="24"/>
          <w:szCs w:val="24"/>
        </w:rPr>
      </w:pPr>
      <w:r>
        <w:rPr>
          <w:rFonts w:ascii="SimSun" w:hAnsi="SimSun" w:eastAsia="SimSun" w:cs="SimSun"/>
          <w:sz w:val="24"/>
          <w:szCs w:val="24"/>
          <w:spacing w:val="-4"/>
        </w:rPr>
        <w:t>附图9-2项目生猪车间2楼分区防渗</w:t>
      </w:r>
    </w:p>
    <w:p>
      <w:pPr>
        <w:ind w:left="483"/>
        <w:spacing w:before="195" w:line="219" w:lineRule="auto"/>
        <w:rPr>
          <w:rFonts w:ascii="SimSun" w:hAnsi="SimSun" w:eastAsia="SimSun" w:cs="SimSun"/>
          <w:sz w:val="24"/>
          <w:szCs w:val="24"/>
        </w:rPr>
      </w:pPr>
      <w:r>
        <w:rPr>
          <w:rFonts w:ascii="SimSun" w:hAnsi="SimSun" w:eastAsia="SimSun" w:cs="SimSun"/>
          <w:sz w:val="24"/>
          <w:szCs w:val="24"/>
        </w:rPr>
        <w:t>附图10项目雨污管网图</w:t>
      </w:r>
    </w:p>
    <w:p>
      <w:pPr>
        <w:ind w:left="483"/>
        <w:spacing w:before="186" w:line="219" w:lineRule="auto"/>
        <w:rPr>
          <w:rFonts w:ascii="SimSun" w:hAnsi="SimSun" w:eastAsia="SimSun" w:cs="SimSun"/>
          <w:sz w:val="24"/>
          <w:szCs w:val="24"/>
        </w:rPr>
      </w:pPr>
      <w:r>
        <w:rPr>
          <w:rFonts w:ascii="SimSun" w:hAnsi="SimSun" w:eastAsia="SimSun" w:cs="SimSun"/>
          <w:sz w:val="24"/>
          <w:szCs w:val="24"/>
          <w:spacing w:val="-4"/>
        </w:rPr>
        <w:t>附图11-1项目噪声监测点位布点图</w:t>
      </w:r>
    </w:p>
    <w:p>
      <w:pPr>
        <w:ind w:left="483" w:right="2862"/>
        <w:spacing w:before="185" w:line="354" w:lineRule="auto"/>
        <w:rPr>
          <w:rFonts w:ascii="SimSun" w:hAnsi="SimSun" w:eastAsia="SimSun" w:cs="SimSun"/>
          <w:sz w:val="24"/>
          <w:szCs w:val="24"/>
        </w:rPr>
      </w:pPr>
      <w:r>
        <w:rPr>
          <w:rFonts w:ascii="SimSun" w:hAnsi="SimSun" w:eastAsia="SimSun" w:cs="SimSun"/>
          <w:sz w:val="24"/>
          <w:szCs w:val="24"/>
          <w:spacing w:val="-3"/>
        </w:rPr>
        <w:t>附图11-2项目环境空气、地下水监测点位布点图</w:t>
      </w:r>
      <w:r>
        <w:rPr>
          <w:rFonts w:ascii="SimSun" w:hAnsi="SimSun" w:eastAsia="SimSun" w:cs="SimSun"/>
          <w:sz w:val="24"/>
          <w:szCs w:val="24"/>
          <w:spacing w:val="18"/>
        </w:rPr>
        <w:t xml:space="preserve"> </w:t>
      </w:r>
      <w:r>
        <w:rPr>
          <w:rFonts w:ascii="SimSun" w:hAnsi="SimSun" w:eastAsia="SimSun" w:cs="SimSun"/>
          <w:sz w:val="24"/>
          <w:szCs w:val="24"/>
        </w:rPr>
        <w:t>附图12绵阳市生态保护红线图</w:t>
      </w:r>
    </w:p>
    <w:p>
      <w:pPr>
        <w:ind w:left="483"/>
        <w:spacing w:before="1" w:line="218" w:lineRule="auto"/>
        <w:rPr>
          <w:rFonts w:ascii="SimSun" w:hAnsi="SimSun" w:eastAsia="SimSun" w:cs="SimSun"/>
          <w:sz w:val="24"/>
          <w:szCs w:val="24"/>
        </w:rPr>
      </w:pPr>
      <w:r>
        <w:rPr>
          <w:rFonts w:ascii="SimSun" w:hAnsi="SimSun" w:eastAsia="SimSun" w:cs="SimSun"/>
          <w:sz w:val="24"/>
          <w:szCs w:val="24"/>
        </w:rPr>
        <w:t>附图13绵阳市环境管控单元图</w:t>
      </w:r>
    </w:p>
    <w:p>
      <w:pPr>
        <w:ind w:left="483"/>
        <w:spacing w:before="175" w:line="219" w:lineRule="auto"/>
        <w:rPr>
          <w:rFonts w:ascii="SimSun" w:hAnsi="SimSun" w:eastAsia="SimSun" w:cs="SimSun"/>
          <w:sz w:val="24"/>
          <w:szCs w:val="24"/>
        </w:rPr>
      </w:pPr>
      <w:r>
        <w:rPr>
          <w:rFonts w:ascii="SimSun" w:hAnsi="SimSun" w:eastAsia="SimSun" w:cs="SimSun"/>
          <w:sz w:val="24"/>
          <w:szCs w:val="24"/>
        </w:rPr>
        <w:t>附图14项目所在地水系图</w:t>
      </w:r>
    </w:p>
    <w:p>
      <w:pPr>
        <w:ind w:left="483"/>
        <w:spacing w:before="175" w:line="219" w:lineRule="auto"/>
        <w:rPr>
          <w:rFonts w:ascii="SimSun" w:hAnsi="SimSun" w:eastAsia="SimSun" w:cs="SimSun"/>
          <w:sz w:val="24"/>
          <w:szCs w:val="24"/>
        </w:rPr>
      </w:pPr>
      <w:r>
        <w:rPr>
          <w:rFonts w:ascii="SimSun" w:hAnsi="SimSun" w:eastAsia="SimSun" w:cs="SimSun"/>
          <w:sz w:val="24"/>
          <w:szCs w:val="24"/>
        </w:rPr>
        <w:t>附图15项目区域水文地质图</w:t>
      </w:r>
    </w:p>
    <w:p>
      <w:pPr>
        <w:ind w:left="483" w:right="2092"/>
        <w:spacing w:before="197" w:line="346" w:lineRule="auto"/>
        <w:rPr>
          <w:rFonts w:ascii="SimSun" w:hAnsi="SimSun" w:eastAsia="SimSun" w:cs="SimSun"/>
          <w:sz w:val="24"/>
          <w:szCs w:val="24"/>
        </w:rPr>
      </w:pPr>
      <w:r>
        <w:rPr>
          <w:rFonts w:ascii="SimSun" w:hAnsi="SimSun" w:eastAsia="SimSun" w:cs="SimSun"/>
          <w:sz w:val="24"/>
          <w:szCs w:val="24"/>
        </w:rPr>
        <w:t>附图16环境空气、地下水现状情况应用点位相对位置图 </w:t>
      </w:r>
      <w:r>
        <w:rPr>
          <w:rFonts w:ascii="SimSun" w:hAnsi="SimSun" w:eastAsia="SimSun" w:cs="SimSun"/>
          <w:sz w:val="24"/>
          <w:szCs w:val="24"/>
        </w:rPr>
        <w:t>附图17项目与饮用水水源位置关系图</w:t>
      </w:r>
    </w:p>
    <w:p>
      <w:pPr>
        <w:ind w:left="483"/>
        <w:spacing w:line="218" w:lineRule="auto"/>
        <w:rPr>
          <w:rFonts w:ascii="SimSun" w:hAnsi="SimSun" w:eastAsia="SimSun" w:cs="SimSun"/>
          <w:sz w:val="24"/>
          <w:szCs w:val="24"/>
        </w:rPr>
      </w:pPr>
      <w:r>
        <w:rPr>
          <w:rFonts w:ascii="SimSun" w:hAnsi="SimSun" w:eastAsia="SimSun" w:cs="SimSun"/>
          <w:sz w:val="24"/>
          <w:szCs w:val="24"/>
        </w:rPr>
        <w:t>附图18项目生猪、肉牛运输路线图</w:t>
      </w:r>
    </w:p>
    <w:p>
      <w:pPr>
        <w:ind w:left="6"/>
        <w:spacing w:before="241" w:line="219" w:lineRule="auto"/>
        <w:rPr>
          <w:rFonts w:ascii="SimSun" w:hAnsi="SimSun" w:eastAsia="SimSun" w:cs="SimSun"/>
          <w:sz w:val="19"/>
          <w:szCs w:val="19"/>
        </w:rPr>
      </w:pPr>
      <w:r>
        <w:rPr>
          <w:rFonts w:ascii="SimSun" w:hAnsi="SimSun" w:eastAsia="SimSun" w:cs="SimSun"/>
          <w:sz w:val="19"/>
          <w:szCs w:val="19"/>
          <w:b/>
          <w:bCs/>
          <w:spacing w:val="-12"/>
        </w:rPr>
        <w:t>附</w:t>
      </w:r>
      <w:r>
        <w:rPr>
          <w:rFonts w:ascii="SimSun" w:hAnsi="SimSun" w:eastAsia="SimSun" w:cs="SimSun"/>
          <w:sz w:val="19"/>
          <w:szCs w:val="19"/>
          <w:spacing w:val="-16"/>
        </w:rPr>
        <w:t xml:space="preserve"> </w:t>
      </w:r>
      <w:r>
        <w:rPr>
          <w:rFonts w:ascii="SimSun" w:hAnsi="SimSun" w:eastAsia="SimSun" w:cs="SimSun"/>
          <w:sz w:val="19"/>
          <w:szCs w:val="19"/>
          <w:b/>
          <w:bCs/>
          <w:spacing w:val="-12"/>
        </w:rPr>
        <w:t>件</w:t>
      </w:r>
      <w:r>
        <w:rPr>
          <w:rFonts w:ascii="SimSun" w:hAnsi="SimSun" w:eastAsia="SimSun" w:cs="SimSun"/>
          <w:sz w:val="19"/>
          <w:szCs w:val="19"/>
          <w:spacing w:val="-22"/>
        </w:rPr>
        <w:t xml:space="preserve"> </w:t>
      </w:r>
      <w:r>
        <w:rPr>
          <w:rFonts w:ascii="SimSun" w:hAnsi="SimSun" w:eastAsia="SimSun" w:cs="SimSun"/>
          <w:sz w:val="19"/>
          <w:szCs w:val="19"/>
          <w:b/>
          <w:bCs/>
          <w:spacing w:val="-12"/>
        </w:rPr>
        <w:t>：</w:t>
      </w:r>
    </w:p>
    <w:p>
      <w:pPr>
        <w:ind w:left="483"/>
        <w:spacing w:before="219" w:line="219" w:lineRule="auto"/>
        <w:rPr>
          <w:rFonts w:ascii="SimSun" w:hAnsi="SimSun" w:eastAsia="SimSun" w:cs="SimSun"/>
          <w:sz w:val="24"/>
          <w:szCs w:val="24"/>
        </w:rPr>
      </w:pPr>
      <w:r>
        <w:rPr>
          <w:rFonts w:ascii="SimSun" w:hAnsi="SimSun" w:eastAsia="SimSun" w:cs="SimSun"/>
          <w:sz w:val="24"/>
          <w:szCs w:val="24"/>
          <w:spacing w:val="-1"/>
        </w:rPr>
        <w:t>附件1委托书</w:t>
      </w:r>
    </w:p>
    <w:p>
      <w:pPr>
        <w:ind w:left="483"/>
        <w:spacing w:before="186" w:line="219" w:lineRule="auto"/>
        <w:rPr>
          <w:rFonts w:ascii="SimSun" w:hAnsi="SimSun" w:eastAsia="SimSun" w:cs="SimSun"/>
          <w:sz w:val="24"/>
          <w:szCs w:val="24"/>
        </w:rPr>
      </w:pPr>
      <w:r>
        <w:rPr>
          <w:rFonts w:ascii="SimSun" w:hAnsi="SimSun" w:eastAsia="SimSun" w:cs="SimSun"/>
          <w:sz w:val="24"/>
          <w:szCs w:val="24"/>
          <w:spacing w:val="-1"/>
        </w:rPr>
        <w:t>附件2承诺书</w:t>
      </w:r>
    </w:p>
    <w:p>
      <w:pPr>
        <w:spacing w:line="219" w:lineRule="auto"/>
        <w:sectPr>
          <w:pgSz w:w="11910" w:h="16840"/>
          <w:pgMar w:top="1431" w:right="1786" w:bottom="0" w:left="1786" w:header="0" w:footer="0" w:gutter="0"/>
        </w:sectPr>
        <w:rPr>
          <w:rFonts w:ascii="SimSun" w:hAnsi="SimSun" w:eastAsia="SimSun" w:cs="SimSun"/>
          <w:sz w:val="24"/>
          <w:szCs w:val="24"/>
        </w:rPr>
      </w:pPr>
    </w:p>
    <w:p>
      <w:pPr>
        <w:ind w:left="493"/>
        <w:spacing w:before="47" w:line="219" w:lineRule="auto"/>
        <w:rPr>
          <w:rFonts w:ascii="SimSun" w:hAnsi="SimSun" w:eastAsia="SimSun" w:cs="SimSun"/>
          <w:sz w:val="24"/>
          <w:szCs w:val="24"/>
        </w:rPr>
      </w:pPr>
      <w:r>
        <w:rPr>
          <w:rFonts w:ascii="SimSun" w:hAnsi="SimSun" w:eastAsia="SimSun" w:cs="SimSun"/>
          <w:sz w:val="24"/>
          <w:szCs w:val="24"/>
          <w:spacing w:val="-2"/>
        </w:rPr>
        <w:t>附件3四川省固定资产投资项目备案表</w:t>
      </w:r>
    </w:p>
    <w:p>
      <w:pPr>
        <w:ind w:left="493"/>
        <w:spacing w:before="185" w:line="219" w:lineRule="auto"/>
        <w:rPr>
          <w:rFonts w:ascii="SimSun" w:hAnsi="SimSun" w:eastAsia="SimSun" w:cs="SimSun"/>
          <w:sz w:val="24"/>
          <w:szCs w:val="24"/>
        </w:rPr>
      </w:pPr>
      <w:r>
        <w:rPr>
          <w:rFonts w:ascii="SimSun" w:hAnsi="SimSun" w:eastAsia="SimSun" w:cs="SimSun"/>
          <w:sz w:val="24"/>
          <w:szCs w:val="24"/>
          <w:spacing w:val="-1"/>
        </w:rPr>
        <w:t>附件4营业执照</w:t>
      </w:r>
    </w:p>
    <w:p>
      <w:pPr>
        <w:ind w:left="493"/>
        <w:spacing w:before="185" w:line="219" w:lineRule="auto"/>
        <w:rPr>
          <w:rFonts w:ascii="SimSun" w:hAnsi="SimSun" w:eastAsia="SimSun" w:cs="SimSun"/>
          <w:sz w:val="24"/>
          <w:szCs w:val="24"/>
        </w:rPr>
      </w:pPr>
      <w:r>
        <w:rPr>
          <w:rFonts w:ascii="SimSun" w:hAnsi="SimSun" w:eastAsia="SimSun" w:cs="SimSun"/>
          <w:sz w:val="24"/>
          <w:szCs w:val="24"/>
          <w:spacing w:val="-3"/>
        </w:rPr>
        <w:t>附件5本项目不动产权证书</w:t>
      </w:r>
    </w:p>
    <w:p>
      <w:pPr>
        <w:ind w:left="493"/>
        <w:spacing w:before="185" w:line="219" w:lineRule="auto"/>
        <w:rPr>
          <w:rFonts w:ascii="SimSun" w:hAnsi="SimSun" w:eastAsia="SimSun" w:cs="SimSun"/>
          <w:sz w:val="24"/>
          <w:szCs w:val="24"/>
        </w:rPr>
      </w:pPr>
      <w:r>
        <w:rPr>
          <w:rFonts w:ascii="SimSun" w:hAnsi="SimSun" w:eastAsia="SimSun" w:cs="SimSun"/>
          <w:sz w:val="24"/>
          <w:szCs w:val="24"/>
          <w:spacing w:val="-3"/>
        </w:rPr>
        <w:t>附件6本项目废水排放请示</w:t>
      </w:r>
    </w:p>
    <w:p>
      <w:pPr>
        <w:ind w:left="13" w:right="71" w:firstLine="480"/>
        <w:spacing w:before="175" w:line="354" w:lineRule="auto"/>
        <w:rPr>
          <w:rFonts w:ascii="SimSun" w:hAnsi="SimSun" w:eastAsia="SimSun" w:cs="SimSun"/>
          <w:sz w:val="24"/>
          <w:szCs w:val="24"/>
        </w:rPr>
      </w:pPr>
      <w:r>
        <w:rPr>
          <w:rFonts w:ascii="SimSun" w:hAnsi="SimSun" w:eastAsia="SimSun" w:cs="SimSun"/>
          <w:sz w:val="24"/>
          <w:szCs w:val="24"/>
          <w:spacing w:val="-1"/>
        </w:rPr>
        <w:t>附件7《四川省生态环境厅关于四川绵阳安州工业园区规划环境影响跟踪评</w:t>
      </w:r>
      <w:r>
        <w:rPr>
          <w:rFonts w:ascii="SimSun" w:hAnsi="SimSun" w:eastAsia="SimSun" w:cs="SimSun"/>
          <w:sz w:val="24"/>
          <w:szCs w:val="24"/>
          <w:spacing w:val="3"/>
        </w:rPr>
        <w:t xml:space="preserve"> </w:t>
      </w:r>
      <w:r>
        <w:rPr>
          <w:rFonts w:ascii="SimSun" w:hAnsi="SimSun" w:eastAsia="SimSun" w:cs="SimSun"/>
          <w:sz w:val="24"/>
          <w:szCs w:val="24"/>
          <w:spacing w:val="6"/>
        </w:rPr>
        <w:t>价工作意见的函》(川环建函〔2019〕55号)</w:t>
      </w:r>
    </w:p>
    <w:p>
      <w:pPr>
        <w:ind w:left="493"/>
        <w:spacing w:line="218" w:lineRule="auto"/>
        <w:rPr>
          <w:rFonts w:ascii="SimSun" w:hAnsi="SimSun" w:eastAsia="SimSun" w:cs="SimSun"/>
          <w:sz w:val="24"/>
          <w:szCs w:val="24"/>
        </w:rPr>
      </w:pPr>
      <w:r>
        <w:rPr>
          <w:rFonts w:ascii="SimSun" w:hAnsi="SimSun" w:eastAsia="SimSun" w:cs="SimSun"/>
          <w:sz w:val="24"/>
          <w:szCs w:val="24"/>
          <w:spacing w:val="-3"/>
        </w:rPr>
        <w:t>附件8原项目不动产权证书</w:t>
      </w:r>
    </w:p>
    <w:p>
      <w:pPr>
        <w:ind w:left="493"/>
        <w:spacing w:before="185" w:line="219" w:lineRule="auto"/>
        <w:rPr>
          <w:rFonts w:ascii="SimSun" w:hAnsi="SimSun" w:eastAsia="SimSun" w:cs="SimSun"/>
          <w:sz w:val="24"/>
          <w:szCs w:val="24"/>
        </w:rPr>
      </w:pPr>
      <w:r>
        <w:rPr>
          <w:rFonts w:ascii="SimSun" w:hAnsi="SimSun" w:eastAsia="SimSun" w:cs="SimSun"/>
          <w:sz w:val="24"/>
          <w:szCs w:val="24"/>
          <w:spacing w:val="-5"/>
        </w:rPr>
        <w:t>附件9原项目A</w:t>
      </w:r>
      <w:r>
        <w:rPr>
          <w:rFonts w:ascii="SimSun" w:hAnsi="SimSun" w:eastAsia="SimSun" w:cs="SimSun"/>
          <w:sz w:val="24"/>
          <w:szCs w:val="24"/>
          <w:spacing w:val="-28"/>
        </w:rPr>
        <w:t xml:space="preserve"> </w:t>
      </w:r>
      <w:r>
        <w:rPr>
          <w:rFonts w:ascii="SimSun" w:hAnsi="SimSun" w:eastAsia="SimSun" w:cs="SimSun"/>
          <w:sz w:val="24"/>
          <w:szCs w:val="24"/>
          <w:spacing w:val="-5"/>
        </w:rPr>
        <w:t>级生猪定点屠宰证</w:t>
      </w:r>
    </w:p>
    <w:p>
      <w:pPr>
        <w:ind w:left="493"/>
        <w:spacing w:before="186" w:line="219" w:lineRule="auto"/>
        <w:rPr>
          <w:rFonts w:ascii="SimSun" w:hAnsi="SimSun" w:eastAsia="SimSun" w:cs="SimSun"/>
          <w:sz w:val="24"/>
          <w:szCs w:val="24"/>
        </w:rPr>
      </w:pPr>
      <w:r>
        <w:rPr>
          <w:rFonts w:ascii="SimSun" w:hAnsi="SimSun" w:eastAsia="SimSun" w:cs="SimSun"/>
          <w:sz w:val="24"/>
          <w:szCs w:val="24"/>
          <w:spacing w:val="-2"/>
        </w:rPr>
        <w:t>附件10原项目猪只销售合同</w:t>
      </w:r>
    </w:p>
    <w:p>
      <w:pPr>
        <w:ind w:left="493"/>
        <w:spacing w:before="185" w:line="219" w:lineRule="auto"/>
        <w:rPr>
          <w:rFonts w:ascii="SimSun" w:hAnsi="SimSun" w:eastAsia="SimSun" w:cs="SimSun"/>
          <w:sz w:val="24"/>
          <w:szCs w:val="24"/>
        </w:rPr>
      </w:pPr>
      <w:r>
        <w:rPr>
          <w:rFonts w:ascii="SimSun" w:hAnsi="SimSun" w:eastAsia="SimSun" w:cs="SimSun"/>
          <w:sz w:val="24"/>
          <w:szCs w:val="24"/>
          <w:spacing w:val="-2"/>
        </w:rPr>
        <w:t>附件11原项目粪污消纳协议书</w:t>
      </w:r>
    </w:p>
    <w:p>
      <w:pPr>
        <w:ind w:left="493"/>
        <w:spacing w:before="185" w:line="219" w:lineRule="auto"/>
        <w:rPr>
          <w:rFonts w:ascii="SimSun" w:hAnsi="SimSun" w:eastAsia="SimSun" w:cs="SimSun"/>
          <w:sz w:val="24"/>
          <w:szCs w:val="24"/>
        </w:rPr>
      </w:pPr>
      <w:r>
        <w:rPr>
          <w:rFonts w:ascii="SimSun" w:hAnsi="SimSun" w:eastAsia="SimSun" w:cs="SimSun"/>
          <w:sz w:val="24"/>
          <w:szCs w:val="24"/>
          <w:spacing w:val="-2"/>
        </w:rPr>
        <w:t>附件12原项目病死畜禽无害化处理委托协议书</w:t>
      </w:r>
    </w:p>
    <w:p>
      <w:pPr>
        <w:ind w:left="493"/>
        <w:spacing w:before="186" w:line="219" w:lineRule="auto"/>
        <w:rPr>
          <w:rFonts w:ascii="SimSun" w:hAnsi="SimSun" w:eastAsia="SimSun" w:cs="SimSun"/>
          <w:sz w:val="24"/>
          <w:szCs w:val="24"/>
        </w:rPr>
      </w:pPr>
      <w:r>
        <w:rPr>
          <w:rFonts w:ascii="SimSun" w:hAnsi="SimSun" w:eastAsia="SimSun" w:cs="SimSun"/>
          <w:sz w:val="24"/>
          <w:szCs w:val="24"/>
          <w:spacing w:val="-3"/>
        </w:rPr>
        <w:t>附件13原项目环评批复</w:t>
      </w:r>
    </w:p>
    <w:p>
      <w:pPr>
        <w:ind w:left="493"/>
        <w:spacing w:before="185" w:line="219" w:lineRule="auto"/>
        <w:rPr>
          <w:rFonts w:ascii="SimSun" w:hAnsi="SimSun" w:eastAsia="SimSun" w:cs="SimSun"/>
          <w:sz w:val="24"/>
          <w:szCs w:val="24"/>
        </w:rPr>
      </w:pPr>
      <w:r>
        <w:rPr>
          <w:rFonts w:ascii="SimSun" w:hAnsi="SimSun" w:eastAsia="SimSun" w:cs="SimSun"/>
          <w:sz w:val="24"/>
          <w:szCs w:val="24"/>
          <w:spacing w:val="-3"/>
        </w:rPr>
        <w:t>附件14原项目排污许可证</w:t>
      </w:r>
    </w:p>
    <w:p>
      <w:pPr>
        <w:ind w:left="493"/>
        <w:spacing w:before="185" w:line="219" w:lineRule="auto"/>
        <w:rPr>
          <w:rFonts w:ascii="SimSun" w:hAnsi="SimSun" w:eastAsia="SimSun" w:cs="SimSun"/>
          <w:sz w:val="24"/>
          <w:szCs w:val="24"/>
        </w:rPr>
      </w:pPr>
      <w:r>
        <w:rPr>
          <w:rFonts w:ascii="SimSun" w:hAnsi="SimSun" w:eastAsia="SimSun" w:cs="SimSun"/>
          <w:sz w:val="24"/>
          <w:szCs w:val="24"/>
          <w:spacing w:val="-2"/>
        </w:rPr>
        <w:t>附件15原项目验收专家意见</w:t>
      </w:r>
    </w:p>
    <w:p>
      <w:pPr>
        <w:ind w:left="493"/>
        <w:spacing w:before="185" w:line="218" w:lineRule="auto"/>
        <w:rPr>
          <w:rFonts w:ascii="SimSun" w:hAnsi="SimSun" w:eastAsia="SimSun" w:cs="SimSun"/>
          <w:sz w:val="24"/>
          <w:szCs w:val="24"/>
        </w:rPr>
      </w:pPr>
      <w:r>
        <w:rPr>
          <w:rFonts w:ascii="SimSun" w:hAnsi="SimSun" w:eastAsia="SimSun" w:cs="SimSun"/>
          <w:sz w:val="24"/>
          <w:szCs w:val="24"/>
          <w:spacing w:val="-3"/>
        </w:rPr>
        <w:t>附件16原项目监测报告</w:t>
      </w:r>
    </w:p>
    <w:p>
      <w:pPr>
        <w:ind w:left="493"/>
        <w:spacing w:before="176" w:line="218" w:lineRule="auto"/>
        <w:rPr>
          <w:rFonts w:ascii="SimSun" w:hAnsi="SimSun" w:eastAsia="SimSun" w:cs="SimSun"/>
          <w:sz w:val="24"/>
          <w:szCs w:val="24"/>
        </w:rPr>
      </w:pPr>
      <w:r>
        <w:rPr>
          <w:rFonts w:ascii="SimSun" w:hAnsi="SimSun" w:eastAsia="SimSun" w:cs="SimSun"/>
          <w:sz w:val="24"/>
          <w:szCs w:val="24"/>
          <w:spacing w:val="-1"/>
        </w:rPr>
        <w:t>附件17本项目环境空气、噪声、地下水现状</w:t>
      </w:r>
      <w:r>
        <w:rPr>
          <w:rFonts w:ascii="SimSun" w:hAnsi="SimSun" w:eastAsia="SimSun" w:cs="SimSun"/>
          <w:sz w:val="24"/>
          <w:szCs w:val="24"/>
          <w:spacing w:val="-2"/>
        </w:rPr>
        <w:t>监测报告</w:t>
      </w:r>
    </w:p>
    <w:p>
      <w:pPr>
        <w:ind w:left="493"/>
        <w:spacing w:before="177" w:line="218" w:lineRule="auto"/>
        <w:rPr>
          <w:rFonts w:ascii="SimSun" w:hAnsi="SimSun" w:eastAsia="SimSun" w:cs="SimSun"/>
          <w:sz w:val="24"/>
          <w:szCs w:val="24"/>
        </w:rPr>
      </w:pPr>
      <w:r>
        <w:rPr>
          <w:rFonts w:ascii="SimSun" w:hAnsi="SimSun" w:eastAsia="SimSun" w:cs="SimSun"/>
          <w:sz w:val="24"/>
          <w:szCs w:val="24"/>
          <w:spacing w:val="-2"/>
        </w:rPr>
        <w:t>附件18本项目引用环境质量现状检测报告</w:t>
      </w:r>
    </w:p>
    <w:p>
      <w:pPr>
        <w:ind w:left="493"/>
        <w:spacing w:before="187" w:line="219" w:lineRule="auto"/>
        <w:rPr>
          <w:rFonts w:ascii="SimSun" w:hAnsi="SimSun" w:eastAsia="SimSun" w:cs="SimSun"/>
          <w:sz w:val="24"/>
          <w:szCs w:val="24"/>
        </w:rPr>
      </w:pPr>
      <w:r>
        <w:rPr>
          <w:rFonts w:ascii="SimSun" w:hAnsi="SimSun" w:eastAsia="SimSun" w:cs="SimSun"/>
          <w:sz w:val="24"/>
          <w:szCs w:val="24"/>
          <w:spacing w:val="-1"/>
        </w:rPr>
        <w:t>附件19关于绵阳柒鑫食品有限公司无环保投诉情况的</w:t>
      </w:r>
      <w:r>
        <w:rPr>
          <w:rFonts w:ascii="SimSun" w:hAnsi="SimSun" w:eastAsia="SimSun" w:cs="SimSun"/>
          <w:sz w:val="24"/>
          <w:szCs w:val="24"/>
          <w:spacing w:val="-2"/>
        </w:rPr>
        <w:t>说明</w:t>
      </w:r>
    </w:p>
    <w:p>
      <w:pPr>
        <w:ind w:left="493"/>
        <w:spacing w:before="186" w:line="219" w:lineRule="auto"/>
        <w:rPr>
          <w:rFonts w:ascii="SimSun" w:hAnsi="SimSun" w:eastAsia="SimSun" w:cs="SimSun"/>
          <w:sz w:val="24"/>
          <w:szCs w:val="24"/>
        </w:rPr>
      </w:pPr>
      <w:r>
        <w:rPr>
          <w:rFonts w:ascii="SimSun" w:hAnsi="SimSun" w:eastAsia="SimSun" w:cs="SimSun"/>
          <w:sz w:val="24"/>
          <w:szCs w:val="24"/>
          <w:spacing w:val="-2"/>
        </w:rPr>
        <w:t>附件20关于四川好巴蜀食品科技有限公司情况说明</w:t>
      </w:r>
    </w:p>
    <w:p>
      <w:pPr>
        <w:ind w:left="493"/>
        <w:spacing w:before="185" w:line="219" w:lineRule="auto"/>
        <w:rPr>
          <w:rFonts w:ascii="SimSun" w:hAnsi="SimSun" w:eastAsia="SimSun" w:cs="SimSun"/>
          <w:sz w:val="24"/>
          <w:szCs w:val="24"/>
        </w:rPr>
      </w:pPr>
      <w:r>
        <w:rPr>
          <w:rFonts w:ascii="SimSun" w:hAnsi="SimSun" w:eastAsia="SimSun" w:cs="SimSun"/>
          <w:sz w:val="24"/>
          <w:szCs w:val="24"/>
          <w:spacing w:val="-1"/>
        </w:rPr>
        <w:t>附件21绵阳市安州区气象局绘制花芗镇近三年风</w:t>
      </w:r>
      <w:r>
        <w:rPr>
          <w:rFonts w:ascii="SimSun" w:hAnsi="SimSun" w:eastAsia="SimSun" w:cs="SimSun"/>
          <w:sz w:val="24"/>
          <w:szCs w:val="24"/>
          <w:spacing w:val="-2"/>
        </w:rPr>
        <w:t>玫瑰图</w:t>
      </w:r>
    </w:p>
    <w:p>
      <w:pPr>
        <w:ind w:left="493"/>
        <w:spacing w:before="185" w:line="218" w:lineRule="auto"/>
        <w:rPr>
          <w:rFonts w:ascii="SimSun" w:hAnsi="SimSun" w:eastAsia="SimSun" w:cs="SimSun"/>
          <w:sz w:val="24"/>
          <w:szCs w:val="24"/>
        </w:rPr>
      </w:pPr>
      <w:r>
        <w:rPr>
          <w:rFonts w:ascii="SimSun" w:hAnsi="SimSun" w:eastAsia="SimSun" w:cs="SimSun"/>
          <w:sz w:val="24"/>
          <w:szCs w:val="24"/>
          <w:spacing w:val="-1"/>
        </w:rPr>
        <w:t>附件22生猪待宰圈舍、屠宰车间废气源强类比检</w:t>
      </w:r>
      <w:r>
        <w:rPr>
          <w:rFonts w:ascii="SimSun" w:hAnsi="SimSun" w:eastAsia="SimSun" w:cs="SimSun"/>
          <w:sz w:val="24"/>
          <w:szCs w:val="24"/>
          <w:spacing w:val="-2"/>
        </w:rPr>
        <w:t>测报告</w:t>
      </w:r>
    </w:p>
    <w:p>
      <w:pPr>
        <w:ind w:left="493"/>
        <w:spacing w:before="156" w:line="218" w:lineRule="auto"/>
        <w:rPr>
          <w:rFonts w:ascii="SimSun" w:hAnsi="SimSun" w:eastAsia="SimSun" w:cs="SimSun"/>
          <w:sz w:val="24"/>
          <w:szCs w:val="24"/>
        </w:rPr>
      </w:pPr>
      <w:r>
        <w:rPr>
          <w:rFonts w:ascii="SimSun" w:hAnsi="SimSun" w:eastAsia="SimSun" w:cs="SimSun"/>
          <w:sz w:val="24"/>
          <w:szCs w:val="24"/>
          <w:spacing w:val="-1"/>
        </w:rPr>
        <w:t>附件23肉牛待宰圈舍、屠宰车间废气及废水水质源强类比检测报告</w:t>
      </w:r>
    </w:p>
    <w:p>
      <w:pPr>
        <w:spacing w:line="218" w:lineRule="auto"/>
        <w:sectPr>
          <w:pgSz w:w="11910" w:h="16840"/>
          <w:pgMar w:top="1430" w:right="1786" w:bottom="0" w:left="1786" w:header="0" w:footer="0" w:gutter="0"/>
        </w:sectPr>
        <w:rPr>
          <w:rFonts w:ascii="SimSun" w:hAnsi="SimSun" w:eastAsia="SimSun" w:cs="SimSun"/>
          <w:sz w:val="24"/>
          <w:szCs w:val="24"/>
        </w:rPr>
      </w:pPr>
    </w:p>
    <w:p>
      <w:pPr>
        <w:ind w:left="3474"/>
        <w:spacing w:before="284" w:line="221" w:lineRule="auto"/>
        <w:outlineLvl w:val="0"/>
        <w:rPr>
          <w:rFonts w:ascii="SimHei" w:hAnsi="SimHei" w:eastAsia="SimHei" w:cs="SimHei"/>
          <w:sz w:val="30"/>
          <w:szCs w:val="30"/>
        </w:rPr>
      </w:pPr>
      <w:bookmarkStart w:name="bookmark75" w:id="3"/>
      <w:bookmarkEnd w:id="3"/>
      <w:bookmarkStart w:name="bookmark2" w:id="4"/>
      <w:bookmarkEnd w:id="4"/>
      <w:r>
        <w:rPr>
          <w:rFonts w:ascii="SimHei" w:hAnsi="SimHei" w:eastAsia="SimHei" w:cs="SimHei"/>
          <w:sz w:val="30"/>
          <w:szCs w:val="30"/>
          <w:b/>
          <w:bCs/>
          <w:spacing w:val="-5"/>
        </w:rPr>
        <w:t>第0章概述</w:t>
      </w:r>
    </w:p>
    <w:p>
      <w:pPr>
        <w:ind w:left="3"/>
        <w:spacing w:before="270" w:line="222" w:lineRule="auto"/>
        <w:outlineLvl w:val="1"/>
        <w:rPr>
          <w:rFonts w:ascii="SimHei" w:hAnsi="SimHei" w:eastAsia="SimHei" w:cs="SimHei"/>
          <w:sz w:val="24"/>
          <w:szCs w:val="24"/>
        </w:rPr>
      </w:pPr>
      <w:bookmarkStart w:name="bookmark3" w:id="5"/>
      <w:bookmarkEnd w:id="5"/>
      <w:r>
        <w:rPr>
          <w:rFonts w:ascii="SimHei" w:hAnsi="SimHei" w:eastAsia="SimHei" w:cs="SimHei"/>
          <w:sz w:val="24"/>
          <w:szCs w:val="24"/>
          <w:b/>
          <w:bCs/>
          <w:spacing w:val="17"/>
        </w:rPr>
        <w:t>0.1项目由来</w:t>
      </w:r>
    </w:p>
    <w:p>
      <w:pPr>
        <w:ind w:right="29" w:firstLine="470"/>
        <w:spacing w:before="205" w:line="360" w:lineRule="auto"/>
        <w:jc w:val="both"/>
        <w:rPr>
          <w:rFonts w:ascii="SimSun" w:hAnsi="SimSun" w:eastAsia="SimSun" w:cs="SimSun"/>
          <w:sz w:val="24"/>
          <w:szCs w:val="24"/>
        </w:rPr>
      </w:pPr>
      <w:r>
        <w:rPr>
          <w:rFonts w:ascii="SimSun" w:hAnsi="SimSun" w:eastAsia="SimSun" w:cs="SimSun"/>
          <w:sz w:val="24"/>
          <w:szCs w:val="24"/>
          <w:spacing w:val="1"/>
        </w:rPr>
        <w:t>2020年5月，四川省农业农村厅印发《关于扎实做好生猪屠宰企业资格复核</w:t>
      </w:r>
      <w:r>
        <w:rPr>
          <w:rFonts w:ascii="SimSun" w:hAnsi="SimSun" w:eastAsia="SimSun" w:cs="SimSun"/>
          <w:sz w:val="24"/>
          <w:szCs w:val="24"/>
          <w:spacing w:val="8"/>
        </w:rPr>
        <w:t xml:space="preserve"> </w:t>
      </w:r>
      <w:r>
        <w:rPr>
          <w:rFonts w:ascii="SimSun" w:hAnsi="SimSun" w:eastAsia="SimSun" w:cs="SimSun"/>
          <w:sz w:val="24"/>
          <w:szCs w:val="24"/>
          <w:spacing w:val="9"/>
        </w:rPr>
        <w:t>问题整改工作的函》(川农函〔2020〕407号),要求绵阳市等市州要大力推进</w:t>
      </w:r>
      <w:r>
        <w:rPr>
          <w:rFonts w:ascii="SimSun" w:hAnsi="SimSun" w:eastAsia="SimSun" w:cs="SimSun"/>
          <w:sz w:val="24"/>
          <w:szCs w:val="24"/>
          <w:spacing w:val="16"/>
        </w:rPr>
        <w:t xml:space="preserve"> </w:t>
      </w:r>
      <w:r>
        <w:rPr>
          <w:rFonts w:ascii="SimSun" w:hAnsi="SimSun" w:eastAsia="SimSun" w:cs="SimSun"/>
          <w:sz w:val="24"/>
          <w:szCs w:val="24"/>
          <w:spacing w:val="11"/>
        </w:rPr>
        <w:t>小型屠宰场点整合撤并，兼并重组。绵阳柒鑫食品有限公司积极响</w:t>
      </w:r>
      <w:r>
        <w:rPr>
          <w:rFonts w:ascii="SimSun" w:hAnsi="SimSun" w:eastAsia="SimSun" w:cs="SimSun"/>
          <w:sz w:val="24"/>
          <w:szCs w:val="24"/>
          <w:spacing w:val="10"/>
        </w:rPr>
        <w:t>应国家政</w:t>
      </w:r>
      <w:r>
        <w:rPr>
          <w:rFonts w:ascii="SimSun" w:hAnsi="SimSun" w:eastAsia="SimSun" w:cs="SimSun"/>
          <w:sz w:val="24"/>
          <w:szCs w:val="24"/>
        </w:rPr>
        <w:t xml:space="preserve"> </w:t>
      </w:r>
      <w:r>
        <w:rPr>
          <w:rFonts w:ascii="SimSun" w:hAnsi="SimSun" w:eastAsia="SimSun" w:cs="SimSun"/>
          <w:sz w:val="24"/>
          <w:szCs w:val="24"/>
          <w:spacing w:val="3"/>
        </w:rPr>
        <w:t>策，淘汰落后屠宰产能，推动绵阳市生猪屠宰产业转型升级，在原项目基础上</w:t>
      </w:r>
      <w:r>
        <w:rPr>
          <w:rFonts w:ascii="SimSun" w:hAnsi="SimSun" w:eastAsia="SimSun" w:cs="SimSun"/>
          <w:sz w:val="24"/>
          <w:szCs w:val="24"/>
          <w:spacing w:val="17"/>
        </w:rPr>
        <w:t xml:space="preserve"> </w:t>
      </w:r>
      <w:r>
        <w:rPr>
          <w:rFonts w:ascii="SimSun" w:hAnsi="SimSun" w:eastAsia="SimSun" w:cs="SimSun"/>
          <w:sz w:val="24"/>
          <w:szCs w:val="24"/>
          <w:spacing w:val="6"/>
        </w:rPr>
        <w:t>拟实施</w:t>
      </w:r>
      <w:r>
        <w:rPr>
          <w:rFonts w:ascii="SimSun" w:hAnsi="SimSun" w:eastAsia="SimSun" w:cs="SimSun"/>
          <w:sz w:val="24"/>
          <w:szCs w:val="24"/>
          <w:spacing w:val="-53"/>
        </w:rPr>
        <w:t xml:space="preserve"> </w:t>
      </w:r>
      <w:r>
        <w:rPr>
          <w:rFonts w:ascii="Times New Roman" w:hAnsi="Times New Roman" w:eastAsia="Times New Roman" w:cs="Times New Roman"/>
          <w:sz w:val="24"/>
          <w:szCs w:val="24"/>
          <w:spacing w:val="6"/>
        </w:rPr>
        <w:t>“A</w:t>
      </w:r>
      <w:r>
        <w:rPr>
          <w:rFonts w:ascii="Times New Roman" w:hAnsi="Times New Roman" w:eastAsia="Times New Roman" w:cs="Times New Roman"/>
          <w:sz w:val="24"/>
          <w:szCs w:val="24"/>
          <w:spacing w:val="18"/>
        </w:rPr>
        <w:t xml:space="preserve"> </w:t>
      </w:r>
      <w:r>
        <w:rPr>
          <w:rFonts w:ascii="SimSun" w:hAnsi="SimSun" w:eastAsia="SimSun" w:cs="SimSun"/>
          <w:sz w:val="24"/>
          <w:szCs w:val="24"/>
          <w:spacing w:val="6"/>
        </w:rPr>
        <w:t>级生猪、肉牛定点屠宰及食品加工项目”(以下简称：本项目)。</w:t>
      </w:r>
    </w:p>
    <w:p>
      <w:pPr>
        <w:ind w:right="66" w:firstLine="490"/>
        <w:spacing w:before="3" w:line="344" w:lineRule="auto"/>
        <w:rPr>
          <w:rFonts w:ascii="SimSun" w:hAnsi="SimSun" w:eastAsia="SimSun" w:cs="SimSun"/>
          <w:sz w:val="24"/>
          <w:szCs w:val="24"/>
        </w:rPr>
      </w:pPr>
      <w:r>
        <w:rPr>
          <w:rFonts w:ascii="SimSun" w:hAnsi="SimSun" w:eastAsia="SimSun" w:cs="SimSun"/>
          <w:sz w:val="24"/>
          <w:szCs w:val="24"/>
        </w:rPr>
        <w:t>绵阳柒鑫食品有限公司位于四川省四川绵阳安</w:t>
      </w:r>
      <w:r>
        <w:rPr>
          <w:rFonts w:ascii="SimSun" w:hAnsi="SimSun" w:eastAsia="SimSun" w:cs="SimSun"/>
          <w:sz w:val="24"/>
          <w:szCs w:val="24"/>
          <w:spacing w:val="-1"/>
        </w:rPr>
        <w:t>州工业园区，成立于2016年1</w:t>
      </w:r>
      <w:r>
        <w:rPr>
          <w:rFonts w:ascii="SimSun" w:hAnsi="SimSun" w:eastAsia="SimSun" w:cs="SimSun"/>
          <w:sz w:val="24"/>
          <w:szCs w:val="24"/>
        </w:rPr>
        <w:t xml:space="preserve"> </w:t>
      </w:r>
      <w:r>
        <w:rPr>
          <w:rFonts w:ascii="SimSun" w:hAnsi="SimSun" w:eastAsia="SimSun" w:cs="SimSun"/>
          <w:sz w:val="24"/>
          <w:szCs w:val="24"/>
          <w:spacing w:val="-1"/>
        </w:rPr>
        <w:t>月14日，主要从事畜禽屠宰、食品加工及销售等业务，于2019年5月31日取得A</w:t>
      </w:r>
      <w:r>
        <w:rPr>
          <w:rFonts w:ascii="SimSun" w:hAnsi="SimSun" w:eastAsia="SimSun" w:cs="SimSun"/>
          <w:sz w:val="24"/>
          <w:szCs w:val="24"/>
          <w:spacing w:val="3"/>
        </w:rPr>
        <w:t xml:space="preserve">  </w:t>
      </w:r>
      <w:r>
        <w:rPr>
          <w:rFonts w:ascii="SimSun" w:hAnsi="SimSun" w:eastAsia="SimSun" w:cs="SimSun"/>
          <w:sz w:val="24"/>
          <w:szCs w:val="24"/>
          <w:spacing w:val="1"/>
        </w:rPr>
        <w:t>级生猪定点屠宰证(定点屠宰代码： </w:t>
      </w:r>
      <w:r>
        <w:rPr>
          <w:rFonts w:ascii="Times New Roman" w:hAnsi="Times New Roman" w:eastAsia="Times New Roman" w:cs="Times New Roman"/>
          <w:sz w:val="24"/>
          <w:szCs w:val="24"/>
          <w:spacing w:val="1"/>
        </w:rPr>
        <w:t>A29030601),     </w:t>
      </w:r>
      <w:r>
        <w:rPr>
          <w:rFonts w:ascii="SimSun" w:hAnsi="SimSun" w:eastAsia="SimSun" w:cs="SimSun"/>
          <w:sz w:val="24"/>
          <w:szCs w:val="24"/>
          <w:spacing w:val="1"/>
        </w:rPr>
        <w:t>现有工程已</w:t>
      </w:r>
      <w:r>
        <w:rPr>
          <w:rFonts w:ascii="SimSun" w:hAnsi="SimSun" w:eastAsia="SimSun" w:cs="SimSun"/>
          <w:sz w:val="24"/>
          <w:szCs w:val="24"/>
        </w:rPr>
        <w:t>投产运行多</w:t>
      </w:r>
    </w:p>
    <w:p>
      <w:pPr>
        <w:ind w:right="72"/>
        <w:spacing w:before="39" w:line="353" w:lineRule="auto"/>
        <w:rPr>
          <w:rFonts w:ascii="SimSun" w:hAnsi="SimSun" w:eastAsia="SimSun" w:cs="SimSun"/>
          <w:sz w:val="24"/>
          <w:szCs w:val="24"/>
        </w:rPr>
      </w:pPr>
      <w:r>
        <w:rPr>
          <w:rFonts w:ascii="SimSun" w:hAnsi="SimSun" w:eastAsia="SimSun" w:cs="SimSun"/>
          <w:sz w:val="24"/>
          <w:szCs w:val="24"/>
        </w:rPr>
        <w:t>年，随着安州区城镇化的建设与发展，人口逐渐增</w:t>
      </w:r>
      <w:r>
        <w:rPr>
          <w:rFonts w:ascii="SimSun" w:hAnsi="SimSun" w:eastAsia="SimSun" w:cs="SimSun"/>
          <w:sz w:val="24"/>
          <w:szCs w:val="24"/>
          <w:spacing w:val="-1"/>
        </w:rPr>
        <w:t>加，根据绵阳市安州区人民</w:t>
      </w:r>
      <w:r>
        <w:rPr>
          <w:rFonts w:ascii="SimSun" w:hAnsi="SimSun" w:eastAsia="SimSun" w:cs="SimSun"/>
          <w:sz w:val="24"/>
          <w:szCs w:val="24"/>
        </w:rPr>
        <w:t xml:space="preserve">  </w:t>
      </w:r>
      <w:r>
        <w:rPr>
          <w:rFonts w:ascii="SimSun" w:hAnsi="SimSun" w:eastAsia="SimSun" w:cs="SimSun"/>
          <w:sz w:val="24"/>
          <w:szCs w:val="24"/>
          <w:spacing w:val="4"/>
        </w:rPr>
        <w:t>政府--绵阳市安州区情简介(2024年)“安州区，原为安县，是四</w:t>
      </w:r>
      <w:r>
        <w:rPr>
          <w:rFonts w:ascii="SimSun" w:hAnsi="SimSun" w:eastAsia="SimSun" w:cs="SimSun"/>
          <w:sz w:val="24"/>
          <w:szCs w:val="24"/>
          <w:spacing w:val="3"/>
        </w:rPr>
        <w:t>川省绵阳市</w:t>
      </w:r>
      <w:r>
        <w:rPr>
          <w:rFonts w:ascii="SimSun" w:hAnsi="SimSun" w:eastAsia="SimSun" w:cs="SimSun"/>
          <w:sz w:val="24"/>
          <w:szCs w:val="24"/>
        </w:rPr>
        <w:t xml:space="preserve">  </w:t>
      </w:r>
      <w:r>
        <w:rPr>
          <w:rFonts w:ascii="FangSong" w:hAnsi="FangSong" w:eastAsia="FangSong" w:cs="FangSong"/>
          <w:sz w:val="24"/>
          <w:szCs w:val="24"/>
          <w:spacing w:val="-1"/>
        </w:rPr>
        <w:t>主城区之一，面积1181.14平方公里，辖10个乡镇118个行政村35个社区，总人</w:t>
      </w:r>
      <w:r>
        <w:rPr>
          <w:rFonts w:ascii="FangSong" w:hAnsi="FangSong" w:eastAsia="FangSong" w:cs="FangSong"/>
          <w:sz w:val="24"/>
          <w:szCs w:val="24"/>
          <w:spacing w:val="8"/>
        </w:rPr>
        <w:t xml:space="preserve">  </w:t>
      </w:r>
      <w:r>
        <w:rPr>
          <w:rFonts w:ascii="SimSun" w:hAnsi="SimSun" w:eastAsia="SimSun" w:cs="SimSun"/>
          <w:sz w:val="24"/>
          <w:szCs w:val="24"/>
          <w:spacing w:val="1"/>
        </w:rPr>
        <w:t>口45.6万人”,安州区总人口为45.</w:t>
      </w:r>
      <w:r>
        <w:rPr>
          <w:rFonts w:ascii="SimSun" w:hAnsi="SimSun" w:eastAsia="SimSun" w:cs="SimSun"/>
          <w:sz w:val="24"/>
          <w:szCs w:val="24"/>
        </w:rPr>
        <w:t>6万人。据《2024年四川省生猪产业数据分  </w:t>
      </w:r>
      <w:r>
        <w:rPr>
          <w:rFonts w:ascii="SimSun" w:hAnsi="SimSun" w:eastAsia="SimSun" w:cs="SimSun"/>
          <w:sz w:val="24"/>
          <w:szCs w:val="24"/>
          <w:spacing w:val="-1"/>
        </w:rPr>
        <w:t>析报告》统计，2023年四川人均猪肉消费量为40</w:t>
      </w:r>
      <w:r>
        <w:rPr>
          <w:rFonts w:ascii="SimSun" w:hAnsi="SimSun" w:eastAsia="SimSun" w:cs="SimSun"/>
          <w:sz w:val="24"/>
          <w:szCs w:val="24"/>
          <w:spacing w:val="-2"/>
        </w:rPr>
        <w:t>.4</w:t>
      </w:r>
      <w:r>
        <w:rPr>
          <w:rFonts w:ascii="Times New Roman" w:hAnsi="Times New Roman" w:eastAsia="Times New Roman" w:cs="Times New Roman"/>
          <w:sz w:val="24"/>
          <w:szCs w:val="24"/>
          <w:spacing w:val="-2"/>
        </w:rPr>
        <w:t>kg/a,   </w:t>
      </w:r>
      <w:r>
        <w:rPr>
          <w:rFonts w:ascii="SimSun" w:hAnsi="SimSun" w:eastAsia="SimSun" w:cs="SimSun"/>
          <w:sz w:val="24"/>
          <w:szCs w:val="24"/>
          <w:spacing w:val="-2"/>
        </w:rPr>
        <w:t>由此估算，届时安州区</w:t>
      </w:r>
      <w:r>
        <w:rPr>
          <w:rFonts w:ascii="SimSun" w:hAnsi="SimSun" w:eastAsia="SimSun" w:cs="SimSun"/>
          <w:sz w:val="24"/>
          <w:szCs w:val="24"/>
        </w:rPr>
        <w:t xml:space="preserve"> </w:t>
      </w:r>
      <w:r>
        <w:rPr>
          <w:rFonts w:ascii="SimSun" w:hAnsi="SimSun" w:eastAsia="SimSun" w:cs="SimSun"/>
          <w:sz w:val="24"/>
          <w:szCs w:val="24"/>
          <w:spacing w:val="-5"/>
        </w:rPr>
        <w:t>年消费猪肉18422.4吨。原项目生猪屠宰规模为7.8万头/年，以人工屠宰为</w:t>
      </w:r>
      <w:r>
        <w:rPr>
          <w:rFonts w:ascii="SimSun" w:hAnsi="SimSun" w:eastAsia="SimSun" w:cs="SimSun"/>
          <w:sz w:val="24"/>
          <w:szCs w:val="24"/>
          <w:spacing w:val="-6"/>
        </w:rPr>
        <w:t>主，</w:t>
      </w:r>
    </w:p>
    <w:p>
      <w:pPr>
        <w:ind w:right="72"/>
        <w:spacing w:before="2" w:line="354" w:lineRule="auto"/>
        <w:rPr>
          <w:rFonts w:ascii="FangSong" w:hAnsi="FangSong" w:eastAsia="FangSong" w:cs="FangSong"/>
          <w:sz w:val="24"/>
          <w:szCs w:val="24"/>
        </w:rPr>
      </w:pPr>
      <w:r>
        <w:rPr>
          <w:rFonts w:ascii="SimSun" w:hAnsi="SimSun" w:eastAsia="SimSun" w:cs="SimSun"/>
          <w:sz w:val="24"/>
          <w:szCs w:val="24"/>
        </w:rPr>
        <w:t>猪肉产品年产量仅达6000吨，屠宰能力落后，难以满</w:t>
      </w:r>
      <w:r>
        <w:rPr>
          <w:rFonts w:ascii="SimSun" w:hAnsi="SimSun" w:eastAsia="SimSun" w:cs="SimSun"/>
          <w:sz w:val="24"/>
          <w:szCs w:val="24"/>
          <w:spacing w:val="-1"/>
        </w:rPr>
        <w:t>足区内的用肉需求，同时</w:t>
      </w:r>
      <w:r>
        <w:rPr>
          <w:rFonts w:ascii="SimSun" w:hAnsi="SimSun" w:eastAsia="SimSun" w:cs="SimSun"/>
          <w:sz w:val="24"/>
          <w:szCs w:val="24"/>
        </w:rPr>
        <w:t xml:space="preserve">  </w:t>
      </w:r>
      <w:r>
        <w:rPr>
          <w:rFonts w:ascii="SimSun" w:hAnsi="SimSun" w:eastAsia="SimSun" w:cs="SimSun"/>
          <w:sz w:val="24"/>
          <w:szCs w:val="24"/>
        </w:rPr>
        <w:t>根据绵阳市农业农村局2024年6月27日发布的《绵阳市</w:t>
      </w:r>
      <w:r>
        <w:rPr>
          <w:rFonts w:ascii="SimSun" w:hAnsi="SimSun" w:eastAsia="SimSun" w:cs="SimSun"/>
          <w:sz w:val="24"/>
          <w:szCs w:val="24"/>
          <w:spacing w:val="-1"/>
        </w:rPr>
        <w:t>加大力度提升牛羊家禽生</w:t>
      </w:r>
      <w:r>
        <w:rPr>
          <w:rFonts w:ascii="SimSun" w:hAnsi="SimSun" w:eastAsia="SimSun" w:cs="SimSun"/>
          <w:sz w:val="24"/>
          <w:szCs w:val="24"/>
        </w:rPr>
        <w:t xml:space="preserve"> </w:t>
      </w:r>
      <w:r>
        <w:rPr>
          <w:rFonts w:ascii="SimSun" w:hAnsi="SimSun" w:eastAsia="SimSun" w:cs="SimSun"/>
          <w:sz w:val="24"/>
          <w:szCs w:val="24"/>
          <w:spacing w:val="7"/>
        </w:rPr>
        <w:t>产工作方案》(绵农发〔2024〕83号)中第二点存在的问</w:t>
      </w:r>
      <w:r>
        <w:rPr>
          <w:rFonts w:ascii="SimSun" w:hAnsi="SimSun" w:eastAsia="SimSun" w:cs="SimSun"/>
          <w:sz w:val="24"/>
          <w:szCs w:val="24"/>
          <w:spacing w:val="6"/>
        </w:rPr>
        <w:t>题中指出“牛羊肉禽</w:t>
      </w:r>
      <w:r>
        <w:rPr>
          <w:rFonts w:ascii="SimSun" w:hAnsi="SimSun" w:eastAsia="SimSun" w:cs="SimSun"/>
          <w:sz w:val="24"/>
          <w:szCs w:val="24"/>
        </w:rPr>
        <w:t xml:space="preserve"> </w:t>
      </w:r>
      <w:r>
        <w:rPr>
          <w:rFonts w:ascii="FangSong" w:hAnsi="FangSong" w:eastAsia="FangSong" w:cs="FangSong"/>
          <w:sz w:val="24"/>
          <w:szCs w:val="24"/>
          <w:spacing w:val="-1"/>
        </w:rPr>
        <w:t>一直以鲜销为主，少量进入传统粗加工行业，产品加工链短，精深加工基本空</w:t>
      </w:r>
      <w:r>
        <w:rPr>
          <w:rFonts w:ascii="FangSong" w:hAnsi="FangSong" w:eastAsia="FangSong" w:cs="FangSong"/>
          <w:sz w:val="24"/>
          <w:szCs w:val="24"/>
          <w:spacing w:val="6"/>
        </w:rPr>
        <w:t xml:space="preserve">  </w:t>
      </w:r>
      <w:r>
        <w:rPr>
          <w:rFonts w:ascii="FangSong" w:hAnsi="FangSong" w:eastAsia="FangSong" w:cs="FangSong"/>
          <w:sz w:val="24"/>
          <w:szCs w:val="24"/>
          <w:spacing w:val="-2"/>
        </w:rPr>
        <w:t>白”、“牛羊家禽也未实现定点屠宰，统计途径不多导致全市牛羊家禽发展情</w:t>
      </w:r>
      <w:r>
        <w:rPr>
          <w:rFonts w:ascii="FangSong" w:hAnsi="FangSong" w:eastAsia="FangSong" w:cs="FangSong"/>
          <w:sz w:val="24"/>
          <w:szCs w:val="24"/>
          <w:spacing w:val="7"/>
        </w:rPr>
        <w:t xml:space="preserve">  </w:t>
      </w:r>
      <w:r>
        <w:rPr>
          <w:rFonts w:ascii="FangSong" w:hAnsi="FangSong" w:eastAsia="FangSong" w:cs="FangSong"/>
          <w:sz w:val="24"/>
          <w:szCs w:val="24"/>
          <w:spacing w:val="3"/>
        </w:rPr>
        <w:t>况掌握不充分、不及时”,第四点工作举措中表明“推进产业补链延</w:t>
      </w:r>
    </w:p>
    <w:p>
      <w:pPr>
        <w:spacing w:before="106" w:line="221" w:lineRule="auto"/>
        <w:rPr>
          <w:rFonts w:ascii="FangSong" w:hAnsi="FangSong" w:eastAsia="FangSong" w:cs="FangSong"/>
          <w:sz w:val="24"/>
          <w:szCs w:val="24"/>
        </w:rPr>
      </w:pPr>
      <w:r>
        <w:rPr>
          <w:rFonts w:ascii="FangSong" w:hAnsi="FangSong" w:eastAsia="FangSong" w:cs="FangSong"/>
          <w:sz w:val="24"/>
          <w:szCs w:val="24"/>
          <w:spacing w:val="-1"/>
        </w:rPr>
        <w:t>链。.......建设智能化标准化的牛羊家禽屠宰加工厂，完善冷链物流配送体</w:t>
      </w:r>
    </w:p>
    <w:p>
      <w:pPr>
        <w:spacing w:before="173" w:line="222" w:lineRule="auto"/>
        <w:rPr>
          <w:rFonts w:ascii="FangSong" w:hAnsi="FangSong" w:eastAsia="FangSong" w:cs="FangSong"/>
          <w:sz w:val="24"/>
          <w:szCs w:val="24"/>
        </w:rPr>
      </w:pPr>
      <w:r>
        <w:rPr>
          <w:rFonts w:ascii="FangSong" w:hAnsi="FangSong" w:eastAsia="FangSong" w:cs="FangSong"/>
          <w:sz w:val="24"/>
          <w:szCs w:val="24"/>
          <w:spacing w:val="-1"/>
        </w:rPr>
        <w:t>系，全面提升肉牛肉羊相关产品的商品化处理能力，开发牛羊家</w:t>
      </w:r>
      <w:r>
        <w:rPr>
          <w:rFonts w:ascii="FangSong" w:hAnsi="FangSong" w:eastAsia="FangSong" w:cs="FangSong"/>
          <w:sz w:val="24"/>
          <w:szCs w:val="24"/>
          <w:spacing w:val="-2"/>
        </w:rPr>
        <w:t>禽系列产品，</w:t>
      </w:r>
    </w:p>
    <w:p>
      <w:pPr>
        <w:ind w:right="167"/>
        <w:spacing w:before="168" w:line="363" w:lineRule="auto"/>
        <w:rPr>
          <w:rFonts w:ascii="SimSun" w:hAnsi="SimSun" w:eastAsia="SimSun" w:cs="SimSun"/>
          <w:sz w:val="24"/>
          <w:szCs w:val="24"/>
        </w:rPr>
      </w:pPr>
      <w:r>
        <w:rPr>
          <w:rFonts w:ascii="FangSong" w:hAnsi="FangSong" w:eastAsia="FangSong" w:cs="FangSong"/>
          <w:sz w:val="24"/>
          <w:szCs w:val="24"/>
        </w:rPr>
        <w:t>延长下游产业链，促进上游生产端稳定发展。”因此，本项目拟对原有厂房进</w:t>
      </w:r>
      <w:r>
        <w:rPr>
          <w:rFonts w:ascii="FangSong" w:hAnsi="FangSong" w:eastAsia="FangSong" w:cs="FangSong"/>
          <w:sz w:val="24"/>
          <w:szCs w:val="24"/>
          <w:spacing w:val="15"/>
        </w:rPr>
        <w:t xml:space="preserve"> </w:t>
      </w:r>
      <w:r>
        <w:rPr>
          <w:rFonts w:ascii="FangSong" w:hAnsi="FangSong" w:eastAsia="FangSong" w:cs="FangSong"/>
          <w:sz w:val="24"/>
          <w:szCs w:val="24"/>
          <w:spacing w:val="-1"/>
        </w:rPr>
        <w:t>行改扩建，将原有厂房改建成肉牛待宰间、屠宰间，预计建成后年屠宰肉牛规</w:t>
      </w:r>
      <w:r>
        <w:rPr>
          <w:rFonts w:ascii="FangSong" w:hAnsi="FangSong" w:eastAsia="FangSong" w:cs="FangSong"/>
          <w:sz w:val="24"/>
          <w:szCs w:val="24"/>
          <w:spacing w:val="15"/>
        </w:rPr>
        <w:t xml:space="preserve"> </w:t>
      </w:r>
      <w:r>
        <w:rPr>
          <w:rFonts w:ascii="SimSun" w:hAnsi="SimSun" w:eastAsia="SimSun" w:cs="SimSun"/>
          <w:sz w:val="24"/>
          <w:szCs w:val="24"/>
        </w:rPr>
        <w:t>模达到4万头，同时在紧挨原有厂房东北侧新购置土地，规划用地面积为</w:t>
      </w:r>
    </w:p>
    <w:p>
      <w:pPr>
        <w:ind w:right="61"/>
        <w:spacing w:line="364" w:lineRule="auto"/>
        <w:rPr>
          <w:rFonts w:ascii="SimSun" w:hAnsi="SimSun" w:eastAsia="SimSun" w:cs="SimSun"/>
          <w:sz w:val="24"/>
          <w:szCs w:val="24"/>
        </w:rPr>
      </w:pPr>
      <w:r>
        <w:rPr>
          <w:rFonts w:ascii="SimSun" w:hAnsi="SimSun" w:eastAsia="SimSun" w:cs="SimSun"/>
          <w:sz w:val="24"/>
          <w:szCs w:val="24"/>
          <w:spacing w:val="-1"/>
        </w:rPr>
        <w:t>6670.12平方米，建筑总面积约为8</w:t>
      </w:r>
      <w:r>
        <w:rPr>
          <w:rFonts w:ascii="SimSun" w:hAnsi="SimSun" w:eastAsia="SimSun" w:cs="SimSun"/>
          <w:sz w:val="24"/>
          <w:szCs w:val="24"/>
          <w:spacing w:val="-2"/>
        </w:rPr>
        <w:t>500平方米，在新购置土地上修建屠宰间、交</w:t>
      </w:r>
      <w:r>
        <w:rPr>
          <w:rFonts w:ascii="SimSun" w:hAnsi="SimSun" w:eastAsia="SimSun" w:cs="SimSun"/>
          <w:sz w:val="24"/>
          <w:szCs w:val="24"/>
        </w:rPr>
        <w:t xml:space="preserve"> </w:t>
      </w:r>
      <w:r>
        <w:rPr>
          <w:rFonts w:ascii="SimSun" w:hAnsi="SimSun" w:eastAsia="SimSun" w:cs="SimSun"/>
          <w:sz w:val="24"/>
          <w:szCs w:val="24"/>
          <w:spacing w:val="-3"/>
        </w:rPr>
        <w:t>易区、污水处理站等相关配套设施，预计建成后生猪屠宰规模由7</w:t>
      </w:r>
      <w:r>
        <w:rPr>
          <w:rFonts w:ascii="SimSun" w:hAnsi="SimSun" w:eastAsia="SimSun" w:cs="SimSun"/>
          <w:sz w:val="24"/>
          <w:szCs w:val="24"/>
          <w:spacing w:val="-4"/>
        </w:rPr>
        <w:t>.8万头/年提升</w:t>
      </w:r>
    </w:p>
    <w:p>
      <w:pPr>
        <w:spacing w:line="364" w:lineRule="auto"/>
        <w:sectPr>
          <w:headerReference w:type="default" r:id="rId3"/>
          <w:footerReference w:type="default" r:id="rId4"/>
          <w:pgSz w:w="11910" w:h="16840"/>
          <w:pgMar w:top="1210" w:right="1786" w:bottom="1031" w:left="1779" w:header="902" w:footer="770" w:gutter="0"/>
        </w:sectPr>
        <w:rPr>
          <w:rFonts w:ascii="SimSun" w:hAnsi="SimSun" w:eastAsia="SimSun" w:cs="SimSun"/>
          <w:sz w:val="24"/>
          <w:szCs w:val="24"/>
        </w:rPr>
      </w:pPr>
    </w:p>
    <w:p>
      <w:pPr>
        <w:ind w:right="119"/>
        <w:spacing w:before="276" w:line="376" w:lineRule="auto"/>
        <w:jc w:val="both"/>
        <w:rPr>
          <w:rFonts w:ascii="SimSun" w:hAnsi="SimSun" w:eastAsia="SimSun" w:cs="SimSun"/>
          <w:sz w:val="23"/>
          <w:szCs w:val="23"/>
        </w:rPr>
      </w:pPr>
      <w:r>
        <w:rPr>
          <w:rFonts w:ascii="SimSun" w:hAnsi="SimSun" w:eastAsia="SimSun" w:cs="SimSun"/>
          <w:sz w:val="23"/>
          <w:szCs w:val="23"/>
          <w:spacing w:val="8"/>
        </w:rPr>
        <w:t>至40万头/年，生猪、肉牛产品主要供应安州区居民及附近食品加工厂。本项目</w:t>
      </w:r>
      <w:r>
        <w:rPr>
          <w:rFonts w:ascii="SimSun" w:hAnsi="SimSun" w:eastAsia="SimSun" w:cs="SimSun"/>
          <w:sz w:val="23"/>
          <w:szCs w:val="23"/>
        </w:rPr>
        <w:t xml:space="preserve"> </w:t>
      </w:r>
      <w:r>
        <w:rPr>
          <w:rFonts w:ascii="SimSun" w:hAnsi="SimSun" w:eastAsia="SimSun" w:cs="SimSun"/>
          <w:sz w:val="23"/>
          <w:szCs w:val="23"/>
          <w:spacing w:val="9"/>
        </w:rPr>
        <w:t>建成后，将为当地人员提供就业机会，并为安州区民生保障和社会发展提供有</w:t>
      </w:r>
      <w:r>
        <w:rPr>
          <w:rFonts w:ascii="SimSun" w:hAnsi="SimSun" w:eastAsia="SimSun" w:cs="SimSun"/>
          <w:sz w:val="23"/>
          <w:szCs w:val="23"/>
          <w:spacing w:val="14"/>
        </w:rPr>
        <w:t xml:space="preserve"> </w:t>
      </w:r>
      <w:r>
        <w:rPr>
          <w:rFonts w:ascii="SimSun" w:hAnsi="SimSun" w:eastAsia="SimSun" w:cs="SimSun"/>
          <w:sz w:val="23"/>
          <w:szCs w:val="23"/>
          <w:spacing w:val="10"/>
        </w:rPr>
        <w:t>力支持，还可以有力推动我市畜牧产业高质量</w:t>
      </w:r>
      <w:r>
        <w:rPr>
          <w:rFonts w:ascii="SimSun" w:hAnsi="SimSun" w:eastAsia="SimSun" w:cs="SimSun"/>
          <w:sz w:val="23"/>
          <w:szCs w:val="23"/>
          <w:spacing w:val="9"/>
        </w:rPr>
        <w:t>发展和屠宰产业转型升级，有利</w:t>
      </w:r>
      <w:r>
        <w:rPr>
          <w:rFonts w:ascii="SimSun" w:hAnsi="SimSun" w:eastAsia="SimSun" w:cs="SimSun"/>
          <w:sz w:val="23"/>
          <w:szCs w:val="23"/>
        </w:rPr>
        <w:t xml:space="preserve"> </w:t>
      </w:r>
      <w:r>
        <w:rPr>
          <w:rFonts w:ascii="SimSun" w:hAnsi="SimSun" w:eastAsia="SimSun" w:cs="SimSun"/>
          <w:sz w:val="23"/>
          <w:szCs w:val="23"/>
          <w:spacing w:val="9"/>
        </w:rPr>
        <w:t>于促进就业保障民生，促进社会经济发展，有利于维护食品安全，有利于保障</w:t>
      </w:r>
      <w:r>
        <w:rPr>
          <w:rFonts w:ascii="SimSun" w:hAnsi="SimSun" w:eastAsia="SimSun" w:cs="SimSun"/>
          <w:sz w:val="23"/>
          <w:szCs w:val="23"/>
          <w:spacing w:val="12"/>
        </w:rPr>
        <w:t xml:space="preserve"> </w:t>
      </w:r>
      <w:r>
        <w:rPr>
          <w:rFonts w:ascii="SimSun" w:hAnsi="SimSun" w:eastAsia="SimSun" w:cs="SimSun"/>
          <w:sz w:val="23"/>
          <w:szCs w:val="23"/>
          <w:spacing w:val="5"/>
        </w:rPr>
        <w:t>公共卫生安全。</w:t>
      </w:r>
    </w:p>
    <w:p>
      <w:pPr>
        <w:ind w:right="189" w:firstLine="470"/>
        <w:spacing w:before="2" w:line="368" w:lineRule="auto"/>
        <w:jc w:val="both"/>
        <w:rPr>
          <w:rFonts w:ascii="SimSun" w:hAnsi="SimSun" w:eastAsia="SimSun" w:cs="SimSun"/>
          <w:sz w:val="23"/>
          <w:szCs w:val="23"/>
        </w:rPr>
      </w:pPr>
      <w:r>
        <w:rPr>
          <w:rFonts w:ascii="SimSun" w:hAnsi="SimSun" w:eastAsia="SimSun" w:cs="SimSun"/>
          <w:sz w:val="23"/>
          <w:szCs w:val="23"/>
          <w:spacing w:val="9"/>
        </w:rPr>
        <w:t>建设单位已于2024年12月20日取得安州区发展和改革局出具的《四川</w:t>
      </w:r>
      <w:r>
        <w:rPr>
          <w:rFonts w:ascii="SimSun" w:hAnsi="SimSun" w:eastAsia="SimSun" w:cs="SimSun"/>
          <w:sz w:val="23"/>
          <w:szCs w:val="23"/>
          <w:spacing w:val="8"/>
        </w:rPr>
        <w:t>省固</w:t>
      </w:r>
      <w:r>
        <w:rPr>
          <w:rFonts w:ascii="SimSun" w:hAnsi="SimSun" w:eastAsia="SimSun" w:cs="SimSun"/>
          <w:sz w:val="23"/>
          <w:szCs w:val="23"/>
        </w:rPr>
        <w:t xml:space="preserve"> </w:t>
      </w:r>
      <w:r>
        <w:rPr>
          <w:rFonts w:ascii="SimSun" w:hAnsi="SimSun" w:eastAsia="SimSun" w:cs="SimSun"/>
          <w:sz w:val="23"/>
          <w:szCs w:val="23"/>
          <w:spacing w:val="5"/>
        </w:rPr>
        <w:t>定资产投资备案表》(备案号：川投资备【2412-510724-04-01-7</w:t>
      </w:r>
      <w:r>
        <w:rPr>
          <w:rFonts w:ascii="SimSun" w:hAnsi="SimSun" w:eastAsia="SimSun" w:cs="SimSun"/>
          <w:sz w:val="23"/>
          <w:szCs w:val="23"/>
          <w:spacing w:val="4"/>
        </w:rPr>
        <w:t>45145】</w:t>
      </w:r>
      <w:r>
        <w:rPr>
          <w:rFonts w:ascii="SimSun" w:hAnsi="SimSun" w:eastAsia="SimSun" w:cs="SimSun"/>
          <w:sz w:val="23"/>
          <w:szCs w:val="23"/>
        </w:rPr>
        <w:t>FGQB</w:t>
      </w:r>
      <w:r>
        <w:rPr>
          <w:rFonts w:ascii="SimSun" w:hAnsi="SimSun" w:eastAsia="SimSun" w:cs="SimSun"/>
          <w:sz w:val="23"/>
          <w:szCs w:val="23"/>
          <w:spacing w:val="4"/>
        </w:rPr>
        <w:t>-</w:t>
      </w:r>
      <w:r>
        <w:rPr>
          <w:rFonts w:ascii="SimSun" w:hAnsi="SimSun" w:eastAsia="SimSun" w:cs="SimSun"/>
          <w:sz w:val="23"/>
          <w:szCs w:val="23"/>
        </w:rPr>
        <w:t xml:space="preserve">  </w:t>
      </w:r>
      <w:r>
        <w:rPr>
          <w:rFonts w:ascii="SimSun" w:hAnsi="SimSun" w:eastAsia="SimSun" w:cs="SimSun"/>
          <w:sz w:val="23"/>
          <w:szCs w:val="23"/>
          <w:spacing w:val="22"/>
        </w:rPr>
        <w:t>2160号),同意项目备案。</w:t>
      </w:r>
    </w:p>
    <w:p>
      <w:pPr>
        <w:ind w:right="16" w:firstLine="470"/>
        <w:spacing w:before="34" w:line="369" w:lineRule="auto"/>
        <w:jc w:val="both"/>
        <w:rPr>
          <w:rFonts w:ascii="SimSun" w:hAnsi="SimSun" w:eastAsia="SimSun" w:cs="SimSun"/>
          <w:sz w:val="23"/>
          <w:szCs w:val="23"/>
        </w:rPr>
      </w:pPr>
      <w:r>
        <w:rPr>
          <w:rFonts w:ascii="SimSun" w:hAnsi="SimSun" w:eastAsia="SimSun" w:cs="SimSun"/>
          <w:sz w:val="23"/>
          <w:szCs w:val="23"/>
          <w:spacing w:val="21"/>
        </w:rPr>
        <w:t>根据《中华人民共和国环境保护法》、《中华人民共和国环境影响评价</w:t>
      </w:r>
      <w:r>
        <w:rPr>
          <w:rFonts w:ascii="SimSun" w:hAnsi="SimSun" w:eastAsia="SimSun" w:cs="SimSun"/>
          <w:sz w:val="23"/>
          <w:szCs w:val="23"/>
          <w:spacing w:val="17"/>
        </w:rPr>
        <w:t xml:space="preserve"> </w:t>
      </w:r>
      <w:r>
        <w:rPr>
          <w:rFonts w:ascii="SimSun" w:hAnsi="SimSun" w:eastAsia="SimSun" w:cs="SimSun"/>
          <w:sz w:val="23"/>
          <w:szCs w:val="23"/>
          <w:spacing w:val="7"/>
        </w:rPr>
        <w:t>法》和国务院令第682号，本项目应开展环境影响评价工作。 </w:t>
      </w:r>
      <w:r>
        <w:rPr>
          <w:rFonts w:ascii="SimSun" w:hAnsi="SimSun" w:eastAsia="SimSun" w:cs="SimSun"/>
          <w:sz w:val="23"/>
          <w:szCs w:val="23"/>
          <w:spacing w:val="6"/>
        </w:rPr>
        <w:t>本项目属于《国民</w:t>
      </w:r>
      <w:r>
        <w:rPr>
          <w:rFonts w:ascii="SimSun" w:hAnsi="SimSun" w:eastAsia="SimSun" w:cs="SimSun"/>
          <w:sz w:val="23"/>
          <w:szCs w:val="23"/>
        </w:rPr>
        <w:t xml:space="preserve"> </w:t>
      </w:r>
      <w:r>
        <w:rPr>
          <w:rFonts w:ascii="SimSun" w:hAnsi="SimSun" w:eastAsia="SimSun" w:cs="SimSun"/>
          <w:sz w:val="23"/>
          <w:szCs w:val="23"/>
          <w:spacing w:val="6"/>
        </w:rPr>
        <w:t>经济行业分类》</w:t>
      </w:r>
      <w:r>
        <w:rPr>
          <w:rFonts w:ascii="SimSun" w:hAnsi="SimSun" w:eastAsia="SimSun" w:cs="SimSun"/>
          <w:sz w:val="23"/>
          <w:szCs w:val="23"/>
          <w:spacing w:val="75"/>
        </w:rPr>
        <w:t xml:space="preserve"> </w:t>
      </w:r>
      <w:r>
        <w:rPr>
          <w:rFonts w:ascii="SimSun" w:hAnsi="SimSun" w:eastAsia="SimSun" w:cs="SimSun"/>
          <w:sz w:val="23"/>
          <w:szCs w:val="23"/>
          <w:spacing w:val="6"/>
        </w:rPr>
        <w:t>(</w:t>
      </w:r>
      <w:r>
        <w:rPr>
          <w:rFonts w:ascii="SimSun" w:hAnsi="SimSun" w:eastAsia="SimSun" w:cs="SimSun"/>
          <w:sz w:val="23"/>
          <w:szCs w:val="23"/>
        </w:rPr>
        <w:t>GB</w:t>
      </w:r>
      <w:r>
        <w:rPr>
          <w:rFonts w:ascii="SimSun" w:hAnsi="SimSun" w:eastAsia="SimSun" w:cs="SimSun"/>
          <w:sz w:val="23"/>
          <w:szCs w:val="23"/>
          <w:spacing w:val="6"/>
        </w:rPr>
        <w:t>/T4754-2017)</w:t>
      </w:r>
      <w:r>
        <w:rPr>
          <w:rFonts w:ascii="SimSun" w:hAnsi="SimSun" w:eastAsia="SimSun" w:cs="SimSun"/>
          <w:sz w:val="23"/>
          <w:szCs w:val="23"/>
          <w:spacing w:val="36"/>
        </w:rPr>
        <w:t xml:space="preserve">   </w:t>
      </w:r>
      <w:r>
        <w:rPr>
          <w:rFonts w:ascii="SimSun" w:hAnsi="SimSun" w:eastAsia="SimSun" w:cs="SimSun"/>
          <w:sz w:val="23"/>
          <w:szCs w:val="23"/>
          <w:spacing w:val="6"/>
        </w:rPr>
        <w:t>(按第1号修改单修</w:t>
      </w:r>
      <w:r>
        <w:rPr>
          <w:rFonts w:ascii="SimSun" w:hAnsi="SimSun" w:eastAsia="SimSun" w:cs="SimSun"/>
          <w:sz w:val="23"/>
          <w:szCs w:val="23"/>
          <w:spacing w:val="5"/>
        </w:rPr>
        <w:t>订)中的C135</w:t>
      </w:r>
      <w:r>
        <w:rPr>
          <w:rFonts w:ascii="SimSun" w:hAnsi="SimSun" w:eastAsia="SimSun" w:cs="SimSun"/>
          <w:sz w:val="23"/>
          <w:szCs w:val="23"/>
          <w:spacing w:val="-26"/>
        </w:rPr>
        <w:t xml:space="preserve"> </w:t>
      </w:r>
      <w:r>
        <w:rPr>
          <w:rFonts w:ascii="SimSun" w:hAnsi="SimSun" w:eastAsia="SimSun" w:cs="SimSun"/>
          <w:sz w:val="23"/>
          <w:szCs w:val="23"/>
          <w:spacing w:val="5"/>
        </w:rPr>
        <w:t>类“屠宰</w:t>
      </w:r>
      <w:r>
        <w:rPr>
          <w:rFonts w:ascii="SimSun" w:hAnsi="SimSun" w:eastAsia="SimSun" w:cs="SimSun"/>
          <w:sz w:val="23"/>
          <w:szCs w:val="23"/>
        </w:rPr>
        <w:t xml:space="preserve"> </w:t>
      </w:r>
      <w:r>
        <w:rPr>
          <w:rFonts w:ascii="SimSun" w:hAnsi="SimSun" w:eastAsia="SimSun" w:cs="SimSun"/>
          <w:sz w:val="23"/>
          <w:szCs w:val="23"/>
          <w:spacing w:val="14"/>
        </w:rPr>
        <w:t>及肉类加工”建设项目，属于国家生态环境部《建设项目环境影响评价分类管</w:t>
      </w:r>
      <w:r>
        <w:rPr>
          <w:rFonts w:ascii="SimSun" w:hAnsi="SimSun" w:eastAsia="SimSun" w:cs="SimSun"/>
          <w:sz w:val="23"/>
          <w:szCs w:val="23"/>
          <w:spacing w:val="5"/>
        </w:rPr>
        <w:t xml:space="preserve"> </w:t>
      </w:r>
      <w:r>
        <w:rPr>
          <w:rFonts w:ascii="SimSun" w:hAnsi="SimSun" w:eastAsia="SimSun" w:cs="SimSun"/>
          <w:sz w:val="23"/>
          <w:szCs w:val="23"/>
          <w:spacing w:val="15"/>
        </w:rPr>
        <w:t>理名录(2021版)》中“十、农副食品加工业-18屠宰及肉类加工13</w:t>
      </w:r>
      <w:r>
        <w:rPr>
          <w:rFonts w:ascii="SimSun" w:hAnsi="SimSun" w:eastAsia="SimSun" w:cs="SimSun"/>
          <w:sz w:val="23"/>
          <w:szCs w:val="23"/>
          <w:spacing w:val="14"/>
        </w:rPr>
        <w:t>5-屠宰生猪</w:t>
      </w:r>
      <w:r>
        <w:rPr>
          <w:rFonts w:ascii="SimSun" w:hAnsi="SimSun" w:eastAsia="SimSun" w:cs="SimSun"/>
          <w:sz w:val="23"/>
          <w:szCs w:val="23"/>
        </w:rPr>
        <w:t xml:space="preserve"> </w:t>
      </w:r>
      <w:r>
        <w:rPr>
          <w:rFonts w:ascii="SimSun" w:hAnsi="SimSun" w:eastAsia="SimSun" w:cs="SimSun"/>
          <w:sz w:val="23"/>
          <w:szCs w:val="23"/>
          <w:spacing w:val="9"/>
        </w:rPr>
        <w:t>10万头、肉牛1万头、肉羊15万只、禽类1000万只及以上”的项目，应编制环境</w:t>
      </w:r>
      <w:r>
        <w:rPr>
          <w:rFonts w:ascii="SimSun" w:hAnsi="SimSun" w:eastAsia="SimSun" w:cs="SimSun"/>
          <w:sz w:val="23"/>
          <w:szCs w:val="23"/>
          <w:spacing w:val="12"/>
        </w:rPr>
        <w:t xml:space="preserve"> </w:t>
      </w:r>
      <w:r>
        <w:rPr>
          <w:rFonts w:ascii="SimSun" w:hAnsi="SimSun" w:eastAsia="SimSun" w:cs="SimSun"/>
          <w:sz w:val="23"/>
          <w:szCs w:val="23"/>
          <w:spacing w:val="11"/>
        </w:rPr>
        <w:t>影响报告书。</w:t>
      </w:r>
      <w:r>
        <w:rPr>
          <w:rFonts w:ascii="SimSun" w:hAnsi="SimSun" w:eastAsia="SimSun" w:cs="SimSun"/>
          <w:sz w:val="23"/>
          <w:szCs w:val="23"/>
          <w:spacing w:val="-2"/>
        </w:rPr>
        <w:t xml:space="preserve"> </w:t>
      </w:r>
      <w:r>
        <w:rPr>
          <w:rFonts w:ascii="SimSun" w:hAnsi="SimSun" w:eastAsia="SimSun" w:cs="SimSun"/>
          <w:sz w:val="23"/>
          <w:szCs w:val="23"/>
          <w:spacing w:val="11"/>
        </w:rPr>
        <w:t>为此，绵阳柒鑫食品有限公司委托我公司承担本项目的环境影响</w:t>
      </w:r>
      <w:r>
        <w:rPr>
          <w:rFonts w:ascii="SimSun" w:hAnsi="SimSun" w:eastAsia="SimSun" w:cs="SimSun"/>
          <w:sz w:val="23"/>
          <w:szCs w:val="23"/>
        </w:rPr>
        <w:t xml:space="preserve"> </w:t>
      </w:r>
      <w:r>
        <w:rPr>
          <w:rFonts w:ascii="SimSun" w:hAnsi="SimSun" w:eastAsia="SimSun" w:cs="SimSun"/>
          <w:sz w:val="23"/>
          <w:szCs w:val="23"/>
          <w:spacing w:val="13"/>
        </w:rPr>
        <w:t>评价工作，我公司接受委托后，立即开展了详细现场踏勘、资料收集工作，现</w:t>
      </w:r>
      <w:r>
        <w:rPr>
          <w:rFonts w:ascii="SimSun" w:hAnsi="SimSun" w:eastAsia="SimSun" w:cs="SimSun"/>
          <w:sz w:val="23"/>
          <w:szCs w:val="23"/>
          <w:spacing w:val="6"/>
        </w:rPr>
        <w:t xml:space="preserve"> </w:t>
      </w:r>
      <w:r>
        <w:rPr>
          <w:rFonts w:ascii="SimSun" w:hAnsi="SimSun" w:eastAsia="SimSun" w:cs="SimSun"/>
          <w:sz w:val="23"/>
          <w:szCs w:val="23"/>
          <w:spacing w:val="16"/>
        </w:rPr>
        <w:t>根据《环境影响评价技术导则》等有关技术规范编制完成了《</w:t>
      </w:r>
      <w:r>
        <w:rPr>
          <w:rFonts w:ascii="Times New Roman" w:hAnsi="Times New Roman" w:eastAsia="Times New Roman" w:cs="Times New Roman"/>
          <w:sz w:val="23"/>
          <w:szCs w:val="23"/>
          <w:spacing w:val="16"/>
        </w:rPr>
        <w:t>A</w:t>
      </w:r>
      <w:r>
        <w:rPr>
          <w:rFonts w:ascii="SimSun" w:hAnsi="SimSun" w:eastAsia="SimSun" w:cs="SimSun"/>
          <w:sz w:val="23"/>
          <w:szCs w:val="23"/>
          <w:spacing w:val="16"/>
        </w:rPr>
        <w:t>级生猪、肉牛</w:t>
      </w:r>
      <w:r>
        <w:rPr>
          <w:rFonts w:ascii="SimSun" w:hAnsi="SimSun" w:eastAsia="SimSun" w:cs="SimSun"/>
          <w:sz w:val="23"/>
          <w:szCs w:val="23"/>
          <w:spacing w:val="2"/>
        </w:rPr>
        <w:t xml:space="preserve"> </w:t>
      </w:r>
      <w:r>
        <w:rPr>
          <w:rFonts w:ascii="SimSun" w:hAnsi="SimSun" w:eastAsia="SimSun" w:cs="SimSun"/>
          <w:sz w:val="23"/>
          <w:szCs w:val="23"/>
          <w:spacing w:val="13"/>
        </w:rPr>
        <w:t>定点屠宰及食品加工项目环境影响报告书》,呈报生态环境主管部门审查。</w:t>
      </w:r>
    </w:p>
    <w:p>
      <w:pPr>
        <w:spacing w:before="88" w:line="222" w:lineRule="auto"/>
        <w:outlineLvl w:val="1"/>
        <w:rPr>
          <w:rFonts w:ascii="SimHei" w:hAnsi="SimHei" w:eastAsia="SimHei" w:cs="SimHei"/>
          <w:sz w:val="27"/>
          <w:szCs w:val="27"/>
        </w:rPr>
      </w:pPr>
      <w:bookmarkStart w:name="bookmark4" w:id="6"/>
      <w:bookmarkEnd w:id="6"/>
      <w:r>
        <w:rPr>
          <w:rFonts w:ascii="Times New Roman" w:hAnsi="Times New Roman" w:eastAsia="Times New Roman" w:cs="Times New Roman"/>
          <w:sz w:val="27"/>
          <w:szCs w:val="27"/>
          <w:spacing w:val="-1"/>
        </w:rPr>
        <w:t>0</w:t>
      </w:r>
      <w:r>
        <w:rPr>
          <w:rFonts w:ascii="SimHei" w:hAnsi="SimHei" w:eastAsia="SimHei" w:cs="SimHei"/>
          <w:sz w:val="27"/>
          <w:szCs w:val="27"/>
          <w:b/>
          <w:bCs/>
          <w:spacing w:val="-1"/>
        </w:rPr>
        <w:t>.2建设项目特点</w:t>
      </w:r>
    </w:p>
    <w:p>
      <w:pPr>
        <w:ind w:left="470"/>
        <w:spacing w:before="207" w:line="219" w:lineRule="auto"/>
        <w:rPr>
          <w:rFonts w:ascii="SimSun" w:hAnsi="SimSun" w:eastAsia="SimSun" w:cs="SimSun"/>
          <w:sz w:val="23"/>
          <w:szCs w:val="23"/>
        </w:rPr>
      </w:pPr>
      <w:r>
        <w:rPr>
          <w:rFonts w:ascii="SimSun" w:hAnsi="SimSun" w:eastAsia="SimSun" w:cs="SimSun"/>
          <w:sz w:val="23"/>
          <w:szCs w:val="23"/>
          <w:spacing w:val="7"/>
        </w:rPr>
        <w:t>本项目主要特点如下：</w:t>
      </w:r>
    </w:p>
    <w:p>
      <w:pPr>
        <w:ind w:right="41" w:firstLine="470"/>
        <w:spacing w:before="188" w:line="319" w:lineRule="auto"/>
        <w:rPr>
          <w:rFonts w:ascii="SimSun" w:hAnsi="SimSun" w:eastAsia="SimSun" w:cs="SimSun"/>
          <w:sz w:val="23"/>
          <w:szCs w:val="23"/>
        </w:rPr>
      </w:pPr>
      <w:r>
        <w:rPr>
          <w:rFonts w:ascii="SimSun" w:hAnsi="SimSun" w:eastAsia="SimSun" w:cs="SimSun"/>
          <w:sz w:val="23"/>
          <w:szCs w:val="23"/>
          <w:spacing w:val="10"/>
        </w:rPr>
        <w:t>1、本项目选址于四川绵阳安州工业园区，不属于园区主导产业，不属于园</w:t>
      </w:r>
      <w:r>
        <w:rPr>
          <w:rFonts w:ascii="SimSun" w:hAnsi="SimSun" w:eastAsia="SimSun" w:cs="SimSun"/>
          <w:sz w:val="23"/>
          <w:szCs w:val="23"/>
          <w:spacing w:val="4"/>
        </w:rPr>
        <w:t xml:space="preserve"> </w:t>
      </w:r>
      <w:r>
        <w:rPr>
          <w:rFonts w:ascii="SimSun" w:hAnsi="SimSun" w:eastAsia="SimSun" w:cs="SimSun"/>
          <w:sz w:val="23"/>
          <w:szCs w:val="23"/>
          <w:spacing w:val="14"/>
        </w:rPr>
        <w:t>区禁止类、限制类项目，为允许类；区域内覆盖污水管网、配套污水处理厂为</w:t>
      </w:r>
      <w:r>
        <w:rPr>
          <w:rFonts w:ascii="SimSun" w:hAnsi="SimSun" w:eastAsia="SimSun" w:cs="SimSun"/>
          <w:sz w:val="23"/>
          <w:szCs w:val="23"/>
          <w:spacing w:val="4"/>
        </w:rPr>
        <w:t xml:space="preserve"> </w:t>
      </w:r>
      <w:r>
        <w:rPr>
          <w:rFonts w:ascii="SimSun" w:hAnsi="SimSun" w:eastAsia="SimSun" w:cs="SimSun"/>
          <w:sz w:val="23"/>
          <w:szCs w:val="23"/>
          <w:spacing w:val="6"/>
        </w:rPr>
        <w:t>安州区第三污水处理厂。</w:t>
      </w:r>
    </w:p>
    <w:p>
      <w:pPr>
        <w:ind w:right="41" w:firstLine="470"/>
        <w:spacing w:before="161" w:line="309" w:lineRule="auto"/>
        <w:rPr>
          <w:rFonts w:ascii="SimSun" w:hAnsi="SimSun" w:eastAsia="SimSun" w:cs="SimSun"/>
          <w:sz w:val="23"/>
          <w:szCs w:val="23"/>
        </w:rPr>
      </w:pPr>
      <w:r>
        <w:rPr>
          <w:rFonts w:ascii="Times New Roman" w:hAnsi="Times New Roman" w:eastAsia="Times New Roman" w:cs="Times New Roman"/>
          <w:sz w:val="23"/>
          <w:szCs w:val="23"/>
          <w:spacing w:val="5"/>
        </w:rPr>
        <w:t>2</w:t>
      </w:r>
      <w:r>
        <w:rPr>
          <w:rFonts w:ascii="Times New Roman" w:hAnsi="Times New Roman" w:eastAsia="Times New Roman" w:cs="Times New Roman"/>
          <w:sz w:val="23"/>
          <w:szCs w:val="23"/>
          <w:spacing w:val="-23"/>
        </w:rPr>
        <w:t xml:space="preserve"> </w:t>
      </w:r>
      <w:r>
        <w:rPr>
          <w:rFonts w:ascii="SimSun" w:hAnsi="SimSun" w:eastAsia="SimSun" w:cs="SimSun"/>
          <w:sz w:val="23"/>
          <w:szCs w:val="23"/>
          <w:spacing w:val="5"/>
        </w:rPr>
        <w:t>、本项目占地面积13340.12</w:t>
      </w:r>
      <w:r>
        <w:rPr>
          <w:rFonts w:ascii="Times New Roman" w:hAnsi="Times New Roman" w:eastAsia="Times New Roman" w:cs="Times New Roman"/>
          <w:sz w:val="23"/>
          <w:szCs w:val="23"/>
          <w:spacing w:val="5"/>
        </w:rPr>
        <w:t>m²  </w:t>
      </w:r>
      <w:r>
        <w:rPr>
          <w:rFonts w:ascii="SimSun" w:hAnsi="SimSun" w:eastAsia="SimSun" w:cs="SimSun"/>
          <w:sz w:val="23"/>
          <w:szCs w:val="23"/>
          <w:spacing w:val="5"/>
        </w:rPr>
        <w:t>(原项目6670</w:t>
      </w:r>
      <w:r>
        <w:rPr>
          <w:rFonts w:ascii="Times New Roman" w:hAnsi="Times New Roman" w:eastAsia="Times New Roman" w:cs="Times New Roman"/>
          <w:sz w:val="23"/>
          <w:szCs w:val="23"/>
          <w:spacing w:val="5"/>
        </w:rPr>
        <w:t>m²</w:t>
      </w:r>
      <w:r>
        <w:rPr>
          <w:rFonts w:ascii="Times New Roman" w:hAnsi="Times New Roman" w:eastAsia="Times New Roman" w:cs="Times New Roman"/>
          <w:sz w:val="23"/>
          <w:szCs w:val="23"/>
          <w:spacing w:val="-33"/>
        </w:rPr>
        <w:t xml:space="preserve"> </w:t>
      </w:r>
      <w:r>
        <w:rPr>
          <w:rFonts w:ascii="SimSun" w:hAnsi="SimSun" w:eastAsia="SimSun" w:cs="SimSun"/>
          <w:sz w:val="23"/>
          <w:szCs w:val="23"/>
          <w:spacing w:val="5"/>
        </w:rPr>
        <w:t>、新增6670.12</w:t>
      </w:r>
      <w:r>
        <w:rPr>
          <w:rFonts w:ascii="Times New Roman" w:hAnsi="Times New Roman" w:eastAsia="Times New Roman" w:cs="Times New Roman"/>
          <w:sz w:val="23"/>
          <w:szCs w:val="23"/>
          <w:spacing w:val="5"/>
        </w:rPr>
        <w:t>m²),      </w:t>
      </w:r>
      <w:r>
        <w:rPr>
          <w:rFonts w:ascii="SimSun" w:hAnsi="SimSun" w:eastAsia="SimSun" w:cs="SimSun"/>
          <w:sz w:val="23"/>
          <w:szCs w:val="23"/>
          <w:spacing w:val="5"/>
        </w:rPr>
        <w:t>均</w:t>
      </w:r>
      <w:r>
        <w:rPr>
          <w:rFonts w:ascii="SimSun" w:hAnsi="SimSun" w:eastAsia="SimSun" w:cs="SimSun"/>
          <w:sz w:val="23"/>
          <w:szCs w:val="23"/>
          <w:spacing w:val="-41"/>
        </w:rPr>
        <w:t xml:space="preserve"> </w:t>
      </w:r>
      <w:r>
        <w:rPr>
          <w:rFonts w:ascii="SimSun" w:hAnsi="SimSun" w:eastAsia="SimSun" w:cs="SimSun"/>
          <w:sz w:val="23"/>
          <w:szCs w:val="23"/>
          <w:spacing w:val="5"/>
        </w:rPr>
        <w:t>为</w:t>
      </w:r>
      <w:r>
        <w:rPr>
          <w:rFonts w:ascii="SimSun" w:hAnsi="SimSun" w:eastAsia="SimSun" w:cs="SimSun"/>
          <w:sz w:val="23"/>
          <w:szCs w:val="23"/>
        </w:rPr>
        <w:t xml:space="preserve"> </w:t>
      </w:r>
      <w:r>
        <w:rPr>
          <w:rFonts w:ascii="SimSun" w:hAnsi="SimSun" w:eastAsia="SimSun" w:cs="SimSun"/>
          <w:sz w:val="23"/>
          <w:szCs w:val="23"/>
          <w:spacing w:val="7"/>
        </w:rPr>
        <w:t>工业用地，占地范围内不涉及拆迁工程。</w:t>
      </w:r>
    </w:p>
    <w:p>
      <w:pPr>
        <w:ind w:right="64" w:firstLine="470"/>
        <w:spacing w:before="218" w:line="339" w:lineRule="auto"/>
        <w:rPr>
          <w:rFonts w:ascii="SimSun" w:hAnsi="SimSun" w:eastAsia="SimSun" w:cs="SimSun"/>
          <w:sz w:val="23"/>
          <w:szCs w:val="23"/>
        </w:rPr>
      </w:pPr>
      <w:r>
        <w:rPr>
          <w:rFonts w:ascii="SimSun" w:hAnsi="SimSun" w:eastAsia="SimSun" w:cs="SimSun"/>
          <w:sz w:val="23"/>
          <w:szCs w:val="23"/>
          <w:spacing w:val="9"/>
        </w:rPr>
        <w:t>3、本项目为改扩建项目，建设内容为：对原有厂房进行改扩建，将原有厂</w:t>
      </w:r>
      <w:r>
        <w:rPr>
          <w:rFonts w:ascii="SimSun" w:hAnsi="SimSun" w:eastAsia="SimSun" w:cs="SimSun"/>
          <w:sz w:val="23"/>
          <w:szCs w:val="23"/>
          <w:spacing w:val="10"/>
        </w:rPr>
        <w:t xml:space="preserve"> </w:t>
      </w:r>
      <w:r>
        <w:rPr>
          <w:rFonts w:ascii="SimSun" w:hAnsi="SimSun" w:eastAsia="SimSun" w:cs="SimSun"/>
          <w:sz w:val="23"/>
          <w:szCs w:val="23"/>
          <w:spacing w:val="12"/>
        </w:rPr>
        <w:t>房改建成肉牛待宰间、屠宰间，预计建成后年屠宰肉牛规模达到4万头，同时</w:t>
      </w:r>
      <w:r>
        <w:rPr>
          <w:rFonts w:ascii="SimSun" w:hAnsi="SimSun" w:eastAsia="SimSun" w:cs="SimSun"/>
          <w:sz w:val="23"/>
          <w:szCs w:val="23"/>
          <w:spacing w:val="4"/>
        </w:rPr>
        <w:t xml:space="preserve">  </w:t>
      </w:r>
      <w:r>
        <w:rPr>
          <w:rFonts w:ascii="SimSun" w:hAnsi="SimSun" w:eastAsia="SimSun" w:cs="SimSun"/>
          <w:sz w:val="23"/>
          <w:szCs w:val="23"/>
          <w:spacing w:val="10"/>
        </w:rPr>
        <w:t>在紧挨原有厂房东北侧新购置土地，规划用地面积为6670.12平方米，建筑总</w:t>
      </w:r>
      <w:r>
        <w:rPr>
          <w:rFonts w:ascii="SimSun" w:hAnsi="SimSun" w:eastAsia="SimSun" w:cs="SimSun"/>
          <w:sz w:val="23"/>
          <w:szCs w:val="23"/>
          <w:spacing w:val="1"/>
        </w:rPr>
        <w:t xml:space="preserve">  </w:t>
      </w:r>
      <w:r>
        <w:rPr>
          <w:rFonts w:ascii="SimSun" w:hAnsi="SimSun" w:eastAsia="SimSun" w:cs="SimSun"/>
          <w:sz w:val="23"/>
          <w:szCs w:val="23"/>
          <w:spacing w:val="13"/>
        </w:rPr>
        <w:t>面积约为8500平方米，在新购置土地上修建屠宰间、交</w:t>
      </w:r>
      <w:r>
        <w:rPr>
          <w:rFonts w:ascii="SimSun" w:hAnsi="SimSun" w:eastAsia="SimSun" w:cs="SimSun"/>
          <w:sz w:val="23"/>
          <w:szCs w:val="23"/>
          <w:spacing w:val="12"/>
        </w:rPr>
        <w:t>易区、污水处理站等相</w:t>
      </w:r>
      <w:r>
        <w:rPr>
          <w:rFonts w:ascii="SimSun" w:hAnsi="SimSun" w:eastAsia="SimSun" w:cs="SimSun"/>
          <w:sz w:val="23"/>
          <w:szCs w:val="23"/>
        </w:rPr>
        <w:t xml:space="preserve"> </w:t>
      </w:r>
      <w:r>
        <w:rPr>
          <w:rFonts w:ascii="SimSun" w:hAnsi="SimSun" w:eastAsia="SimSun" w:cs="SimSun"/>
          <w:sz w:val="23"/>
          <w:szCs w:val="23"/>
          <w:spacing w:val="9"/>
        </w:rPr>
        <w:t>关配套设施，预计建成后生猪屠宰规模由7.8万头/年提升至40万头/年。</w:t>
      </w:r>
    </w:p>
    <w:p>
      <w:pPr>
        <w:spacing w:line="339" w:lineRule="auto"/>
        <w:sectPr>
          <w:headerReference w:type="default" r:id="rId5"/>
          <w:footerReference w:type="default" r:id="rId6"/>
          <w:pgSz w:w="11910" w:h="16840"/>
          <w:pgMar w:top="1219" w:right="1786" w:bottom="977" w:left="1779" w:header="865" w:footer="753" w:gutter="0"/>
        </w:sectPr>
        <w:rPr>
          <w:rFonts w:ascii="SimSun" w:hAnsi="SimSun" w:eastAsia="SimSun" w:cs="SimSun"/>
          <w:sz w:val="23"/>
          <w:szCs w:val="23"/>
        </w:rPr>
      </w:pPr>
    </w:p>
    <w:p>
      <w:pPr>
        <w:ind w:left="120" w:right="54" w:firstLine="360"/>
        <w:spacing w:before="266" w:line="287" w:lineRule="auto"/>
        <w:rPr>
          <w:rFonts w:ascii="SimSun" w:hAnsi="SimSun" w:eastAsia="SimSun" w:cs="SimSun"/>
          <w:sz w:val="24"/>
          <w:szCs w:val="24"/>
        </w:rPr>
      </w:pPr>
      <w:bookmarkStart w:name="bookmark76" w:id="7"/>
      <w:bookmarkEnd w:id="7"/>
      <w:r>
        <w:rPr>
          <w:rFonts w:ascii="SimSun" w:hAnsi="SimSun" w:eastAsia="SimSun" w:cs="SimSun"/>
          <w:sz w:val="24"/>
          <w:szCs w:val="24"/>
          <w:spacing w:val="7"/>
        </w:rPr>
        <w:t>4、本项目为生猪、肉牛屠宰场，因市场需求分为淡季(4月~10月)、旺季</w:t>
      </w:r>
      <w:r>
        <w:rPr>
          <w:rFonts w:ascii="SimSun" w:hAnsi="SimSun" w:eastAsia="SimSun" w:cs="SimSun"/>
          <w:sz w:val="24"/>
          <w:szCs w:val="24"/>
          <w:spacing w:val="13"/>
        </w:rPr>
        <w:t xml:space="preserve"> </w:t>
      </w:r>
      <w:r>
        <w:rPr>
          <w:rFonts w:ascii="SimSun" w:hAnsi="SimSun" w:eastAsia="SimSun" w:cs="SimSun"/>
          <w:sz w:val="24"/>
          <w:szCs w:val="24"/>
          <w:spacing w:val="13"/>
        </w:rPr>
        <w:t>(11月~3月)。</w:t>
      </w:r>
    </w:p>
    <w:p>
      <w:pPr>
        <w:ind w:left="480"/>
        <w:spacing w:before="193" w:line="219" w:lineRule="auto"/>
        <w:rPr>
          <w:rFonts w:ascii="SimSun" w:hAnsi="SimSun" w:eastAsia="SimSun" w:cs="SimSun"/>
          <w:sz w:val="24"/>
          <w:szCs w:val="24"/>
        </w:rPr>
      </w:pPr>
      <w:r>
        <w:rPr>
          <w:rFonts w:ascii="SimSun" w:hAnsi="SimSun" w:eastAsia="SimSun" w:cs="SimSun"/>
          <w:sz w:val="24"/>
          <w:szCs w:val="24"/>
          <w:spacing w:val="-2"/>
        </w:rPr>
        <w:t>5、本项目运营期主要污染物为废水、废气、固废。</w:t>
      </w:r>
    </w:p>
    <w:p>
      <w:pPr>
        <w:ind w:right="46" w:firstLine="480"/>
        <w:spacing w:before="183" w:line="350" w:lineRule="auto"/>
        <w:rPr>
          <w:rFonts w:ascii="Times New Roman" w:hAnsi="Times New Roman" w:eastAsia="Times New Roman" w:cs="Times New Roman"/>
          <w:sz w:val="24"/>
          <w:szCs w:val="24"/>
        </w:rPr>
      </w:pPr>
      <w:r>
        <w:rPr>
          <w:rFonts w:ascii="SimSun" w:hAnsi="SimSun" w:eastAsia="SimSun" w:cs="SimSun"/>
          <w:sz w:val="24"/>
          <w:szCs w:val="24"/>
          <w:spacing w:val="12"/>
        </w:rPr>
        <w:t>废水：餐饮废水经隔油池处理后，与生活污水一同经预处理池处理达到</w:t>
      </w:r>
      <w:r>
        <w:rPr>
          <w:rFonts w:ascii="SimSun" w:hAnsi="SimSun" w:eastAsia="SimSun" w:cs="SimSun"/>
          <w:sz w:val="24"/>
          <w:szCs w:val="24"/>
          <w:spacing w:val="13"/>
        </w:rPr>
        <w:t xml:space="preserve"> </w:t>
      </w:r>
      <w:r>
        <w:rPr>
          <w:rFonts w:ascii="SimSun" w:hAnsi="SimSun" w:eastAsia="SimSun" w:cs="SimSun"/>
          <w:sz w:val="24"/>
          <w:szCs w:val="24"/>
          <w:spacing w:val="3"/>
        </w:rPr>
        <w:t>《污水综合排放标准》</w:t>
      </w:r>
      <w:r>
        <w:rPr>
          <w:rFonts w:ascii="SimSun" w:hAnsi="SimSun" w:eastAsia="SimSun" w:cs="SimSun"/>
          <w:sz w:val="24"/>
          <w:szCs w:val="24"/>
          <w:spacing w:val="84"/>
        </w:rPr>
        <w:t xml:space="preserve"> </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3"/>
        </w:rPr>
        <w:t>8978-1996)   </w:t>
      </w:r>
      <w:r>
        <w:rPr>
          <w:rFonts w:ascii="SimSun" w:hAnsi="SimSun" w:eastAsia="SimSun" w:cs="SimSun"/>
          <w:sz w:val="24"/>
          <w:szCs w:val="24"/>
          <w:spacing w:val="3"/>
        </w:rPr>
        <w:t>三级标准；生产废水经自建污水处理</w:t>
      </w:r>
      <w:r>
        <w:rPr>
          <w:rFonts w:ascii="SimSun" w:hAnsi="SimSun" w:eastAsia="SimSun" w:cs="SimSun"/>
          <w:sz w:val="24"/>
          <w:szCs w:val="24"/>
        </w:rPr>
        <w:t xml:space="preserve"> </w:t>
      </w:r>
      <w:r>
        <w:rPr>
          <w:rFonts w:ascii="SimSun" w:hAnsi="SimSun" w:eastAsia="SimSun" w:cs="SimSun"/>
          <w:sz w:val="24"/>
          <w:szCs w:val="24"/>
          <w:spacing w:val="2"/>
        </w:rPr>
        <w:t>站处理达到《肉类加工工业水污染物排放标</w:t>
      </w:r>
      <w:r>
        <w:rPr>
          <w:rFonts w:ascii="SimSun" w:hAnsi="SimSun" w:eastAsia="SimSun" w:cs="SimSun"/>
          <w:sz w:val="24"/>
          <w:szCs w:val="24"/>
          <w:spacing w:val="1"/>
        </w:rPr>
        <w:t>准》</w:t>
      </w:r>
      <w:r>
        <w:rPr>
          <w:rFonts w:ascii="SimSun" w:hAnsi="SimSun" w:eastAsia="SimSun" w:cs="SimSun"/>
          <w:sz w:val="24"/>
          <w:szCs w:val="24"/>
          <w:spacing w:val="80"/>
        </w:rPr>
        <w:t xml:space="preserve"> </w:t>
      </w:r>
      <w:r>
        <w:rPr>
          <w:rFonts w:ascii="SimSun" w:hAnsi="SimSun" w:eastAsia="SimSun" w:cs="SimSun"/>
          <w:sz w:val="24"/>
          <w:szCs w:val="24"/>
          <w:spacing w:val="1"/>
        </w:rPr>
        <w:t>(</w:t>
      </w:r>
      <w:r>
        <w:rPr>
          <w:rFonts w:ascii="SimSun" w:hAnsi="SimSun" w:eastAsia="SimSun" w:cs="SimSun"/>
          <w:sz w:val="24"/>
          <w:szCs w:val="24"/>
        </w:rPr>
        <w:t>GB</w:t>
      </w:r>
      <w:r>
        <w:rPr>
          <w:rFonts w:ascii="SimSun" w:hAnsi="SimSun" w:eastAsia="SimSun" w:cs="SimSun"/>
          <w:sz w:val="24"/>
          <w:szCs w:val="24"/>
          <w:spacing w:val="1"/>
        </w:rPr>
        <w:t>13457-92)  表3中三级标</w:t>
      </w:r>
      <w:r>
        <w:rPr>
          <w:rFonts w:ascii="SimSun" w:hAnsi="SimSun" w:eastAsia="SimSun" w:cs="SimSun"/>
          <w:sz w:val="24"/>
          <w:szCs w:val="24"/>
        </w:rPr>
        <w:t xml:space="preserve"> </w:t>
      </w:r>
      <w:r>
        <w:rPr>
          <w:rFonts w:ascii="SimSun" w:hAnsi="SimSun" w:eastAsia="SimSun" w:cs="SimSun"/>
          <w:sz w:val="24"/>
          <w:szCs w:val="24"/>
          <w:spacing w:val="4"/>
        </w:rPr>
        <w:t>准后，与生活污水一同经厂区总排口排至园区污水管网，经管网引至安州区第</w:t>
      </w:r>
      <w:r>
        <w:rPr>
          <w:rFonts w:ascii="SimSun" w:hAnsi="SimSun" w:eastAsia="SimSun" w:cs="SimSun"/>
          <w:sz w:val="24"/>
          <w:szCs w:val="24"/>
          <w:spacing w:val="8"/>
        </w:rPr>
        <w:t xml:space="preserve"> </w:t>
      </w:r>
      <w:r>
        <w:rPr>
          <w:rFonts w:ascii="SimSun" w:hAnsi="SimSun" w:eastAsia="SimSun" w:cs="SimSun"/>
          <w:sz w:val="24"/>
          <w:szCs w:val="24"/>
        </w:rPr>
        <w:t>三污水处理厂处理，</w:t>
      </w:r>
      <w:r>
        <w:rPr>
          <w:rFonts w:ascii="Times New Roman" w:hAnsi="Times New Roman" w:eastAsia="Times New Roman" w:cs="Times New Roman"/>
          <w:sz w:val="24"/>
          <w:szCs w:val="24"/>
        </w:rPr>
        <w:t>CODcr</w:t>
      </w:r>
      <w:r>
        <w:rPr>
          <w:rFonts w:ascii="Times New Roman" w:hAnsi="Times New Roman" w:eastAsia="Times New Roman" w:cs="Times New Roman"/>
          <w:sz w:val="24"/>
          <w:szCs w:val="24"/>
          <w:spacing w:val="-20"/>
        </w:rPr>
        <w:t xml:space="preserve"> </w:t>
      </w:r>
      <w:r>
        <w:rPr>
          <w:rFonts w:ascii="SimSun" w:hAnsi="SimSun" w:eastAsia="SimSun" w:cs="SimSun"/>
          <w:sz w:val="24"/>
          <w:szCs w:val="24"/>
        </w:rPr>
        <w:t>、</w:t>
      </w:r>
      <w:r>
        <w:rPr>
          <w:rFonts w:ascii="Times New Roman" w:hAnsi="Times New Roman" w:eastAsia="Times New Roman" w:cs="Times New Roman"/>
          <w:sz w:val="24"/>
          <w:szCs w:val="24"/>
        </w:rPr>
        <w:t>BOD₅</w:t>
      </w:r>
      <w:r>
        <w:rPr>
          <w:rFonts w:ascii="Times New Roman" w:hAnsi="Times New Roman" w:eastAsia="Times New Roman" w:cs="Times New Roman"/>
          <w:sz w:val="24"/>
          <w:szCs w:val="24"/>
          <w:spacing w:val="-34"/>
        </w:rPr>
        <w:t xml:space="preserve"> </w:t>
      </w:r>
      <w:r>
        <w:rPr>
          <w:rFonts w:ascii="SimSun" w:hAnsi="SimSun" w:eastAsia="SimSun" w:cs="SimSun"/>
          <w:sz w:val="24"/>
          <w:szCs w:val="24"/>
        </w:rPr>
        <w:t>、氨氮、总氮指标达到《四川省岷江、沱江 </w:t>
      </w:r>
      <w:r>
        <w:rPr>
          <w:rFonts w:ascii="SimSun" w:hAnsi="SimSun" w:eastAsia="SimSun" w:cs="SimSun"/>
          <w:sz w:val="24"/>
          <w:szCs w:val="24"/>
          <w:spacing w:val="3"/>
        </w:rPr>
        <w:t>流域水污染物排放标准》</w:t>
      </w:r>
      <w:r>
        <w:rPr>
          <w:rFonts w:ascii="SimSun" w:hAnsi="SimSun" w:eastAsia="SimSun" w:cs="SimSun"/>
          <w:sz w:val="24"/>
          <w:szCs w:val="24"/>
          <w:spacing w:val="88"/>
        </w:rPr>
        <w:t xml:space="preserve"> </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DB</w:t>
      </w:r>
      <w:r>
        <w:rPr>
          <w:rFonts w:ascii="Times New Roman" w:hAnsi="Times New Roman" w:eastAsia="Times New Roman" w:cs="Times New Roman"/>
          <w:sz w:val="24"/>
          <w:szCs w:val="24"/>
          <w:spacing w:val="3"/>
        </w:rPr>
        <w:t>51/2311-2016)    </w:t>
      </w:r>
      <w:r>
        <w:rPr>
          <w:rFonts w:ascii="SimSun" w:hAnsi="SimSun" w:eastAsia="SimSun" w:cs="SimSun"/>
          <w:sz w:val="24"/>
          <w:szCs w:val="24"/>
          <w:spacing w:val="3"/>
        </w:rPr>
        <w:t>表1中工业园区集中式污水处理</w:t>
      </w:r>
      <w:r>
        <w:rPr>
          <w:rFonts w:ascii="SimSun" w:hAnsi="SimSun" w:eastAsia="SimSun" w:cs="SimSun"/>
          <w:sz w:val="24"/>
          <w:szCs w:val="24"/>
        </w:rPr>
        <w:t xml:space="preserve"> </w:t>
      </w:r>
      <w:r>
        <w:rPr>
          <w:rFonts w:ascii="SimSun" w:hAnsi="SimSun" w:eastAsia="SimSun" w:cs="SimSun"/>
          <w:sz w:val="24"/>
          <w:szCs w:val="24"/>
          <w:spacing w:val="2"/>
        </w:rPr>
        <w:t>厂排放标准限值，总磷指标达到《地表水环境质量标准》</w:t>
      </w:r>
      <w:r>
        <w:rPr>
          <w:rFonts w:ascii="SimSun" w:hAnsi="SimSun" w:eastAsia="SimSun" w:cs="SimSun"/>
          <w:sz w:val="24"/>
          <w:szCs w:val="24"/>
          <w:spacing w:val="94"/>
        </w:rPr>
        <w:t xml:space="preserve"> </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2"/>
        </w:rPr>
        <w:t>3838-2002)Ⅲ</w:t>
      </w:r>
    </w:p>
    <w:p>
      <w:pPr>
        <w:ind w:left="9" w:right="140"/>
        <w:spacing w:before="10" w:line="366" w:lineRule="auto"/>
        <w:rPr>
          <w:rFonts w:ascii="SimSun" w:hAnsi="SimSun" w:eastAsia="SimSun" w:cs="SimSun"/>
          <w:sz w:val="24"/>
          <w:szCs w:val="24"/>
        </w:rPr>
      </w:pPr>
      <w:r>
        <w:rPr>
          <w:rFonts w:ascii="SimSun" w:hAnsi="SimSun" w:eastAsia="SimSun" w:cs="SimSun"/>
          <w:sz w:val="24"/>
          <w:szCs w:val="24"/>
          <w:spacing w:val="5"/>
        </w:rPr>
        <w:t>类水质标准，其余指标达到《城镇污水处理厂污染物排放标准》</w:t>
      </w:r>
      <w:r>
        <w:rPr>
          <w:rFonts w:ascii="SimSun" w:hAnsi="SimSun" w:eastAsia="SimSun" w:cs="SimSun"/>
          <w:sz w:val="24"/>
          <w:szCs w:val="24"/>
          <w:spacing w:val="93"/>
        </w:rPr>
        <w:t xml:space="preserve"> </w:t>
      </w:r>
      <w:r>
        <w:rPr>
          <w:rFonts w:ascii="Times New Roman" w:hAnsi="Times New Roman" w:eastAsia="Times New Roman" w:cs="Times New Roman"/>
          <w:sz w:val="24"/>
          <w:szCs w:val="24"/>
          <w:spacing w:val="5"/>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5"/>
        </w:rPr>
        <w:t>18918-</w:t>
      </w:r>
      <w:r>
        <w:rPr>
          <w:rFonts w:ascii="Times New Roman" w:hAnsi="Times New Roman" w:eastAsia="Times New Roman" w:cs="Times New Roman"/>
          <w:sz w:val="24"/>
          <w:szCs w:val="24"/>
        </w:rPr>
        <w:t xml:space="preserve"> </w:t>
      </w:r>
      <w:r>
        <w:rPr>
          <w:rFonts w:ascii="SimSun" w:hAnsi="SimSun" w:eastAsia="SimSun" w:cs="SimSun"/>
          <w:sz w:val="24"/>
          <w:szCs w:val="24"/>
          <w:spacing w:val="5"/>
        </w:rPr>
        <w:t>2002)一级</w:t>
      </w:r>
      <w:r>
        <w:rPr>
          <w:rFonts w:ascii="Times New Roman" w:hAnsi="Times New Roman" w:eastAsia="Times New Roman" w:cs="Times New Roman"/>
          <w:sz w:val="24"/>
          <w:szCs w:val="24"/>
          <w:spacing w:val="5"/>
        </w:rPr>
        <w:t>A</w:t>
      </w:r>
      <w:r>
        <w:rPr>
          <w:rFonts w:ascii="SimSun" w:hAnsi="SimSun" w:eastAsia="SimSun" w:cs="SimSun"/>
          <w:sz w:val="24"/>
          <w:szCs w:val="24"/>
          <w:spacing w:val="5"/>
        </w:rPr>
        <w:t>标准后，排入涪江。</w:t>
      </w:r>
    </w:p>
    <w:p>
      <w:pPr>
        <w:ind w:left="9" w:right="42" w:firstLine="473"/>
        <w:spacing w:before="57" w:line="354" w:lineRule="auto"/>
        <w:tabs>
          <w:tab w:val="left" w:pos="120"/>
        </w:tabs>
        <w:jc w:val="both"/>
        <w:rPr>
          <w:rFonts w:ascii="SimSun" w:hAnsi="SimSun" w:eastAsia="SimSun" w:cs="SimSun"/>
          <w:sz w:val="24"/>
          <w:szCs w:val="24"/>
        </w:rPr>
      </w:pPr>
      <w:r>
        <w:rPr>
          <w:rFonts w:ascii="SimSun" w:hAnsi="SimSun" w:eastAsia="SimSun" w:cs="SimSun"/>
          <w:sz w:val="24"/>
          <w:szCs w:val="24"/>
          <w:b/>
          <w:bCs/>
          <w:spacing w:val="1"/>
        </w:rPr>
        <w:t>废气：</w:t>
      </w:r>
      <w:r>
        <w:rPr>
          <w:rFonts w:ascii="SimSun" w:hAnsi="SimSun" w:eastAsia="SimSun" w:cs="SimSun"/>
          <w:sz w:val="24"/>
          <w:szCs w:val="24"/>
          <w:spacing w:val="1"/>
        </w:rPr>
        <w:t>生猪待宰圈舍恶臭经负压密闭抽风系统引入“喷淋+</w:t>
      </w:r>
      <w:r>
        <w:rPr>
          <w:rFonts w:ascii="Times New Roman" w:hAnsi="Times New Roman" w:eastAsia="Times New Roman" w:cs="Times New Roman"/>
          <w:sz w:val="24"/>
          <w:szCs w:val="24"/>
        </w:rPr>
        <w:t>UV</w:t>
      </w:r>
      <w:r>
        <w:rPr>
          <w:rFonts w:ascii="SimSun" w:hAnsi="SimSun" w:eastAsia="SimSun" w:cs="SimSun"/>
          <w:sz w:val="24"/>
          <w:szCs w:val="24"/>
        </w:rPr>
        <w:t>光解+活性炭 </w:t>
      </w:r>
      <w:r>
        <w:rPr>
          <w:rFonts w:ascii="SimSun" w:hAnsi="SimSun" w:eastAsia="SimSun" w:cs="SimSun"/>
          <w:sz w:val="24"/>
          <w:szCs w:val="24"/>
          <w:spacing w:val="2"/>
        </w:rPr>
        <w:t>吸附装置</w:t>
      </w:r>
      <w:r>
        <w:rPr>
          <w:rFonts w:ascii="SimSun" w:hAnsi="SimSun" w:eastAsia="SimSun" w:cs="SimSun"/>
          <w:sz w:val="24"/>
          <w:szCs w:val="24"/>
          <w:spacing w:val="-29"/>
        </w:rPr>
        <w:t xml:space="preserve"> </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TA</w:t>
      </w:r>
      <w:r>
        <w:rPr>
          <w:rFonts w:ascii="Times New Roman" w:hAnsi="Times New Roman" w:eastAsia="Times New Roman" w:cs="Times New Roman"/>
          <w:sz w:val="24"/>
          <w:szCs w:val="24"/>
          <w:spacing w:val="2"/>
        </w:rPr>
        <w:t>001)”      </w:t>
      </w:r>
      <w:r>
        <w:rPr>
          <w:rFonts w:ascii="SimSun" w:hAnsi="SimSun" w:eastAsia="SimSun" w:cs="SimSun"/>
          <w:sz w:val="24"/>
          <w:szCs w:val="24"/>
          <w:spacing w:val="2"/>
        </w:rPr>
        <w:t>处理后，通过1根15</w:t>
      </w:r>
      <w:r>
        <w:rPr>
          <w:rFonts w:ascii="Times New Roman" w:hAnsi="Times New Roman" w:eastAsia="Times New Roman" w:cs="Times New Roman"/>
          <w:sz w:val="24"/>
          <w:szCs w:val="24"/>
          <w:spacing w:val="2"/>
        </w:rPr>
        <w:t>m</w:t>
      </w:r>
      <w:r>
        <w:rPr>
          <w:rFonts w:ascii="SimSun" w:hAnsi="SimSun" w:eastAsia="SimSun" w:cs="SimSun"/>
          <w:sz w:val="24"/>
          <w:szCs w:val="24"/>
          <w:spacing w:val="2"/>
        </w:rPr>
        <w:t>高排气筒 </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2"/>
        </w:rPr>
        <w:t>001)</w:t>
      </w:r>
      <w:r>
        <w:rPr>
          <w:rFonts w:ascii="Times New Roman" w:hAnsi="Times New Roman" w:eastAsia="Times New Roman" w:cs="Times New Roman"/>
          <w:sz w:val="24"/>
          <w:szCs w:val="24"/>
          <w:spacing w:val="17"/>
          <w:w w:val="101"/>
        </w:rPr>
        <w:t xml:space="preserve">   </w:t>
      </w:r>
      <w:r>
        <w:rPr>
          <w:rFonts w:ascii="SimSun" w:hAnsi="SimSun" w:eastAsia="SimSun" w:cs="SimSun"/>
          <w:sz w:val="24"/>
          <w:szCs w:val="24"/>
          <w:spacing w:val="2"/>
        </w:rPr>
        <w:t>达标排放；生</w:t>
      </w:r>
      <w:r>
        <w:rPr>
          <w:rFonts w:ascii="SimSun" w:hAnsi="SimSun" w:eastAsia="SimSun" w:cs="SimSun"/>
          <w:sz w:val="24"/>
          <w:szCs w:val="24"/>
          <w:spacing w:val="1"/>
        </w:rPr>
        <w:t xml:space="preserve"> </w:t>
      </w:r>
      <w:r>
        <w:rPr>
          <w:rFonts w:ascii="SimSun" w:hAnsi="SimSun" w:eastAsia="SimSun" w:cs="SimSun"/>
          <w:sz w:val="24"/>
          <w:szCs w:val="24"/>
          <w:spacing w:val="16"/>
        </w:rPr>
        <w:t>猪屠宰车间恶臭经负压密闭抽风系统引入“喷</w:t>
      </w:r>
      <w:r>
        <w:rPr>
          <w:rFonts w:ascii="SimSun" w:hAnsi="SimSun" w:eastAsia="SimSun" w:cs="SimSun"/>
          <w:sz w:val="24"/>
          <w:szCs w:val="24"/>
          <w:spacing w:val="15"/>
        </w:rPr>
        <w:t>淋+</w:t>
      </w:r>
      <w:r>
        <w:rPr>
          <w:rFonts w:ascii="Times New Roman" w:hAnsi="Times New Roman" w:eastAsia="Times New Roman" w:cs="Times New Roman"/>
          <w:sz w:val="24"/>
          <w:szCs w:val="24"/>
        </w:rPr>
        <w:t>UV</w:t>
      </w:r>
      <w:r>
        <w:rPr>
          <w:rFonts w:ascii="SimSun" w:hAnsi="SimSun" w:eastAsia="SimSun" w:cs="SimSun"/>
          <w:sz w:val="24"/>
          <w:szCs w:val="24"/>
          <w:spacing w:val="15"/>
        </w:rPr>
        <w:t>光解+活性炭吸附装置</w:t>
      </w:r>
      <w:r>
        <w:rPr>
          <w:rFonts w:ascii="SimSun" w:hAnsi="SimSun" w:eastAsia="SimSun" w:cs="SimSun"/>
          <w:sz w:val="24"/>
          <w:szCs w:val="24"/>
        </w:rPr>
        <w:t xml:space="preserve"> </w:t>
      </w:r>
      <w:r>
        <w:rPr>
          <w:rFonts w:ascii="Times New Roman" w:hAnsi="Times New Roman" w:eastAsia="Times New Roman" w:cs="Times New Roman"/>
          <w:sz w:val="24"/>
          <w:szCs w:val="24"/>
        </w:rPr>
        <w:tab/>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TA</w:t>
      </w:r>
      <w:r>
        <w:rPr>
          <w:rFonts w:ascii="Times New Roman" w:hAnsi="Times New Roman" w:eastAsia="Times New Roman" w:cs="Times New Roman"/>
          <w:sz w:val="24"/>
          <w:szCs w:val="24"/>
          <w:spacing w:val="3"/>
        </w:rPr>
        <w:t>002)”     </w:t>
      </w:r>
      <w:r>
        <w:rPr>
          <w:rFonts w:ascii="SimSun" w:hAnsi="SimSun" w:eastAsia="SimSun" w:cs="SimSun"/>
          <w:sz w:val="24"/>
          <w:szCs w:val="24"/>
          <w:spacing w:val="3"/>
        </w:rPr>
        <w:t>处理后，通过1根15</w:t>
      </w:r>
      <w:r>
        <w:rPr>
          <w:rFonts w:ascii="Times New Roman" w:hAnsi="Times New Roman" w:eastAsia="Times New Roman" w:cs="Times New Roman"/>
          <w:sz w:val="24"/>
          <w:szCs w:val="24"/>
          <w:spacing w:val="3"/>
        </w:rPr>
        <w:t>m</w:t>
      </w:r>
      <w:r>
        <w:rPr>
          <w:rFonts w:ascii="SimSun" w:hAnsi="SimSun" w:eastAsia="SimSun" w:cs="SimSun"/>
          <w:sz w:val="24"/>
          <w:szCs w:val="24"/>
          <w:spacing w:val="3"/>
        </w:rPr>
        <w:t>高排气筒</w:t>
      </w:r>
      <w:r>
        <w:rPr>
          <w:rFonts w:ascii="SimSun" w:hAnsi="SimSun" w:eastAsia="SimSun" w:cs="SimSun"/>
          <w:sz w:val="24"/>
          <w:szCs w:val="24"/>
          <w:spacing w:val="-22"/>
        </w:rPr>
        <w:t xml:space="preserve"> </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3"/>
        </w:rPr>
        <w:t>002)    </w:t>
      </w:r>
      <w:r>
        <w:rPr>
          <w:rFonts w:ascii="SimSun" w:hAnsi="SimSun" w:eastAsia="SimSun" w:cs="SimSun"/>
          <w:sz w:val="24"/>
          <w:szCs w:val="24"/>
          <w:spacing w:val="3"/>
        </w:rPr>
        <w:t>达标排放；肉牛待宰圈</w:t>
      </w:r>
      <w:r>
        <w:rPr>
          <w:rFonts w:ascii="SimSun" w:hAnsi="SimSun" w:eastAsia="SimSun" w:cs="SimSun"/>
          <w:sz w:val="24"/>
          <w:szCs w:val="24"/>
        </w:rPr>
        <w:t xml:space="preserve"> </w:t>
      </w:r>
      <w:r>
        <w:rPr>
          <w:rFonts w:ascii="SimSun" w:hAnsi="SimSun" w:eastAsia="SimSun" w:cs="SimSun"/>
          <w:sz w:val="24"/>
          <w:szCs w:val="24"/>
          <w:spacing w:val="7"/>
        </w:rPr>
        <w:t>舍、屠宰车间恶臭经负压密闭抽风系统引入“喷淋+</w:t>
      </w:r>
      <w:r>
        <w:rPr>
          <w:rFonts w:ascii="SimSun" w:hAnsi="SimSun" w:eastAsia="SimSun" w:cs="SimSun"/>
          <w:sz w:val="24"/>
          <w:szCs w:val="24"/>
        </w:rPr>
        <w:t>UV</w:t>
      </w:r>
      <w:r>
        <w:rPr>
          <w:rFonts w:ascii="SimSun" w:hAnsi="SimSun" w:eastAsia="SimSun" w:cs="SimSun"/>
          <w:sz w:val="24"/>
          <w:szCs w:val="24"/>
          <w:spacing w:val="7"/>
        </w:rPr>
        <w:t xml:space="preserve"> 光解+活性炭吸附装置</w:t>
      </w:r>
      <w:r>
        <w:rPr>
          <w:rFonts w:ascii="SimSun" w:hAnsi="SimSun" w:eastAsia="SimSun" w:cs="SimSun"/>
          <w:sz w:val="24"/>
          <w:szCs w:val="24"/>
          <w:spacing w:val="9"/>
        </w:rPr>
        <w:t xml:space="preserve"> </w:t>
      </w:r>
      <w:r>
        <w:rPr>
          <w:rFonts w:ascii="Times New Roman" w:hAnsi="Times New Roman" w:eastAsia="Times New Roman" w:cs="Times New Roman"/>
          <w:sz w:val="24"/>
          <w:szCs w:val="24"/>
        </w:rPr>
        <w:tab/>
      </w:r>
      <w:r>
        <w:rPr>
          <w:rFonts w:ascii="Times New Roman" w:hAnsi="Times New Roman" w:eastAsia="Times New Roman" w:cs="Times New Roman"/>
          <w:sz w:val="24"/>
          <w:szCs w:val="24"/>
          <w:spacing w:val="4"/>
        </w:rPr>
        <w:t>(</w:t>
      </w:r>
      <w:r>
        <w:rPr>
          <w:rFonts w:ascii="Times New Roman" w:hAnsi="Times New Roman" w:eastAsia="Times New Roman" w:cs="Times New Roman"/>
          <w:sz w:val="24"/>
          <w:szCs w:val="24"/>
        </w:rPr>
        <w:t>TA</w:t>
      </w:r>
      <w:r>
        <w:rPr>
          <w:rFonts w:ascii="Times New Roman" w:hAnsi="Times New Roman" w:eastAsia="Times New Roman" w:cs="Times New Roman"/>
          <w:sz w:val="24"/>
          <w:szCs w:val="24"/>
          <w:spacing w:val="4"/>
        </w:rPr>
        <w:t>003)”     </w:t>
      </w:r>
      <w:r>
        <w:rPr>
          <w:rFonts w:ascii="SimSun" w:hAnsi="SimSun" w:eastAsia="SimSun" w:cs="SimSun"/>
          <w:sz w:val="24"/>
          <w:szCs w:val="24"/>
          <w:spacing w:val="4"/>
        </w:rPr>
        <w:t>处理后，通过1根15</w:t>
      </w:r>
      <w:r>
        <w:rPr>
          <w:rFonts w:ascii="Times New Roman" w:hAnsi="Times New Roman" w:eastAsia="Times New Roman" w:cs="Times New Roman"/>
          <w:sz w:val="24"/>
          <w:szCs w:val="24"/>
          <w:spacing w:val="4"/>
        </w:rPr>
        <w:t>m</w:t>
      </w:r>
      <w:r>
        <w:rPr>
          <w:rFonts w:ascii="SimSun" w:hAnsi="SimSun" w:eastAsia="SimSun" w:cs="SimSun"/>
          <w:sz w:val="24"/>
          <w:szCs w:val="24"/>
          <w:spacing w:val="3"/>
        </w:rPr>
        <w:t>高排气筒</w:t>
      </w:r>
      <w:r>
        <w:rPr>
          <w:rFonts w:ascii="SimSun" w:hAnsi="SimSun" w:eastAsia="SimSun" w:cs="SimSun"/>
          <w:sz w:val="24"/>
          <w:szCs w:val="24"/>
          <w:spacing w:val="-35"/>
        </w:rPr>
        <w:t xml:space="preserve"> </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3"/>
        </w:rPr>
        <w:t>003)    </w:t>
      </w:r>
      <w:r>
        <w:rPr>
          <w:rFonts w:ascii="SimSun" w:hAnsi="SimSun" w:eastAsia="SimSun" w:cs="SimSun"/>
          <w:sz w:val="24"/>
          <w:szCs w:val="24"/>
          <w:spacing w:val="3"/>
        </w:rPr>
        <w:t>达标排放；污水处理站</w:t>
      </w:r>
      <w:r>
        <w:rPr>
          <w:rFonts w:ascii="SimSun" w:hAnsi="SimSun" w:eastAsia="SimSun" w:cs="SimSun"/>
          <w:sz w:val="24"/>
          <w:szCs w:val="24"/>
        </w:rPr>
        <w:t xml:space="preserve"> </w:t>
      </w:r>
      <w:r>
        <w:rPr>
          <w:rFonts w:ascii="SimSun" w:hAnsi="SimSun" w:eastAsia="SimSun" w:cs="SimSun"/>
          <w:sz w:val="24"/>
          <w:szCs w:val="24"/>
          <w:spacing w:val="4"/>
        </w:rPr>
        <w:t>恶臭气体通过加盖收集，并对各单元分别采取负压抽风系统，设置“喷淋+</w:t>
      </w:r>
      <w:r>
        <w:rPr>
          <w:rFonts w:ascii="Times New Roman" w:hAnsi="Times New Roman" w:eastAsia="Times New Roman" w:cs="Times New Roman"/>
          <w:sz w:val="24"/>
          <w:szCs w:val="24"/>
        </w:rPr>
        <w:t>UV</w:t>
      </w:r>
      <w:r>
        <w:rPr>
          <w:rFonts w:ascii="Times New Roman" w:hAnsi="Times New Roman" w:eastAsia="Times New Roman" w:cs="Times New Roman"/>
          <w:sz w:val="24"/>
          <w:szCs w:val="24"/>
          <w:spacing w:val="5"/>
        </w:rPr>
        <w:t xml:space="preserve"> </w:t>
      </w:r>
      <w:r>
        <w:rPr>
          <w:rFonts w:ascii="SimSun" w:hAnsi="SimSun" w:eastAsia="SimSun" w:cs="SimSun"/>
          <w:sz w:val="24"/>
          <w:szCs w:val="24"/>
          <w:spacing w:val="-1"/>
        </w:rPr>
        <w:t>光解+活性炭吸附装置</w:t>
      </w:r>
      <w:r>
        <w:rPr>
          <w:rFonts w:ascii="SimSun" w:hAnsi="SimSun" w:eastAsia="SimSun" w:cs="SimSun"/>
          <w:sz w:val="24"/>
          <w:szCs w:val="24"/>
          <w:spacing w:val="-24"/>
        </w:rPr>
        <w:t xml:space="preserve"> </w:t>
      </w:r>
      <w:r>
        <w:rPr>
          <w:rFonts w:ascii="Times New Roman" w:hAnsi="Times New Roman" w:eastAsia="Times New Roman" w:cs="Times New Roman"/>
          <w:sz w:val="24"/>
          <w:szCs w:val="24"/>
          <w:spacing w:val="-1"/>
        </w:rPr>
        <w:t>(TA004)”      </w:t>
      </w:r>
      <w:r>
        <w:rPr>
          <w:rFonts w:ascii="SimSun" w:hAnsi="SimSun" w:eastAsia="SimSun" w:cs="SimSun"/>
          <w:sz w:val="24"/>
          <w:szCs w:val="24"/>
          <w:spacing w:val="-1"/>
        </w:rPr>
        <w:t>处理后，通过1根15</w:t>
      </w:r>
      <w:r>
        <w:rPr>
          <w:rFonts w:ascii="Times New Roman" w:hAnsi="Times New Roman" w:eastAsia="Times New Roman" w:cs="Times New Roman"/>
          <w:sz w:val="24"/>
          <w:szCs w:val="24"/>
          <w:spacing w:val="-1"/>
        </w:rPr>
        <w:t>m</w:t>
      </w:r>
      <w:r>
        <w:rPr>
          <w:rFonts w:ascii="SimSun" w:hAnsi="SimSun" w:eastAsia="SimSun" w:cs="SimSun"/>
          <w:sz w:val="24"/>
          <w:szCs w:val="24"/>
          <w:spacing w:val="-1"/>
        </w:rPr>
        <w:t>高排气筒</w:t>
      </w:r>
      <w:r>
        <w:rPr>
          <w:rFonts w:ascii="SimSun" w:hAnsi="SimSun" w:eastAsia="SimSun" w:cs="SimSun"/>
          <w:sz w:val="24"/>
          <w:szCs w:val="24"/>
          <w:spacing w:val="-24"/>
        </w:rPr>
        <w:t xml:space="preserve"> </w:t>
      </w:r>
      <w:r>
        <w:rPr>
          <w:rFonts w:ascii="Times New Roman" w:hAnsi="Times New Roman" w:eastAsia="Times New Roman" w:cs="Times New Roman"/>
          <w:sz w:val="24"/>
          <w:szCs w:val="24"/>
          <w:spacing w:val="-1"/>
        </w:rPr>
        <w:t>(DA004)    </w:t>
      </w:r>
      <w:r>
        <w:rPr>
          <w:rFonts w:ascii="SimSun" w:hAnsi="SimSun" w:eastAsia="SimSun" w:cs="SimSun"/>
          <w:sz w:val="24"/>
          <w:szCs w:val="24"/>
          <w:spacing w:val="-1"/>
        </w:rPr>
        <w:t>达</w:t>
      </w:r>
      <w:r>
        <w:rPr>
          <w:rFonts w:ascii="SimSun" w:hAnsi="SimSun" w:eastAsia="SimSun" w:cs="SimSun"/>
          <w:sz w:val="24"/>
          <w:szCs w:val="24"/>
        </w:rPr>
        <w:t xml:space="preserve"> </w:t>
      </w:r>
      <w:r>
        <w:rPr>
          <w:rFonts w:ascii="SimSun" w:hAnsi="SimSun" w:eastAsia="SimSun" w:cs="SimSun"/>
          <w:sz w:val="24"/>
          <w:szCs w:val="24"/>
          <w:spacing w:val="2"/>
        </w:rPr>
        <w:t>标排放；蒸汽发生器燃烧废气：采用低氮燃烧技术处理后，通过1根18</w:t>
      </w:r>
      <w:r>
        <w:rPr>
          <w:rFonts w:ascii="Times New Roman" w:hAnsi="Times New Roman" w:eastAsia="Times New Roman" w:cs="Times New Roman"/>
          <w:sz w:val="24"/>
          <w:szCs w:val="24"/>
          <w:spacing w:val="1"/>
        </w:rPr>
        <w:t>m</w:t>
      </w:r>
      <w:r>
        <w:rPr>
          <w:rFonts w:ascii="SimSun" w:hAnsi="SimSun" w:eastAsia="SimSun" w:cs="SimSun"/>
          <w:sz w:val="24"/>
          <w:szCs w:val="24"/>
          <w:spacing w:val="1"/>
        </w:rPr>
        <w:t>高排气</w:t>
      </w:r>
      <w:r>
        <w:rPr>
          <w:rFonts w:ascii="SimSun" w:hAnsi="SimSun" w:eastAsia="SimSun" w:cs="SimSun"/>
          <w:sz w:val="24"/>
          <w:szCs w:val="24"/>
        </w:rPr>
        <w:t xml:space="preserve"> </w:t>
      </w:r>
      <w:r>
        <w:rPr>
          <w:rFonts w:ascii="SimSun" w:hAnsi="SimSun" w:eastAsia="SimSun" w:cs="SimSun"/>
          <w:sz w:val="24"/>
          <w:szCs w:val="24"/>
          <w:spacing w:val="5"/>
        </w:rPr>
        <w:t>筒 </w:t>
      </w:r>
      <w:r>
        <w:rPr>
          <w:rFonts w:ascii="Times New Roman" w:hAnsi="Times New Roman" w:eastAsia="Times New Roman" w:cs="Times New Roman"/>
          <w:sz w:val="24"/>
          <w:szCs w:val="24"/>
          <w:spacing w:val="5"/>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5"/>
        </w:rPr>
        <w:t>005)   </w:t>
      </w:r>
      <w:r>
        <w:rPr>
          <w:rFonts w:ascii="SimSun" w:hAnsi="SimSun" w:eastAsia="SimSun" w:cs="SimSun"/>
          <w:sz w:val="24"/>
          <w:szCs w:val="24"/>
          <w:spacing w:val="5"/>
        </w:rPr>
        <w:t>达标排放；污水处理站沼</w:t>
      </w:r>
      <w:r>
        <w:rPr>
          <w:rFonts w:ascii="SimSun" w:hAnsi="SimSun" w:eastAsia="SimSun" w:cs="SimSun"/>
          <w:sz w:val="24"/>
          <w:szCs w:val="24"/>
          <w:spacing w:val="4"/>
        </w:rPr>
        <w:t>气经净化处理后用作食堂燃料或火炬点</w:t>
      </w:r>
      <w:r>
        <w:rPr>
          <w:rFonts w:ascii="SimSun" w:hAnsi="SimSun" w:eastAsia="SimSun" w:cs="SimSun"/>
          <w:sz w:val="24"/>
          <w:szCs w:val="24"/>
        </w:rPr>
        <w:t xml:space="preserve"> </w:t>
      </w:r>
      <w:r>
        <w:rPr>
          <w:rFonts w:ascii="SimSun" w:hAnsi="SimSun" w:eastAsia="SimSun" w:cs="SimSun"/>
          <w:sz w:val="24"/>
          <w:szCs w:val="24"/>
          <w:spacing w:val="9"/>
        </w:rPr>
        <w:t>燃排至大气环境；食堂油烟经油烟净化器处理后引至楼顶</w:t>
      </w:r>
      <w:r>
        <w:rPr>
          <w:rFonts w:ascii="SimSun" w:hAnsi="SimSun" w:eastAsia="SimSun" w:cs="SimSun"/>
          <w:sz w:val="24"/>
          <w:szCs w:val="24"/>
          <w:spacing w:val="-31"/>
        </w:rPr>
        <w:t xml:space="preserve"> </w:t>
      </w:r>
      <w:r>
        <w:rPr>
          <w:rFonts w:ascii="SimSun" w:hAnsi="SimSun" w:eastAsia="SimSun" w:cs="SimSun"/>
          <w:sz w:val="24"/>
          <w:szCs w:val="24"/>
          <w:spacing w:val="9"/>
        </w:rPr>
        <w:t>(</w:t>
      </w:r>
      <w:r>
        <w:rPr>
          <w:rFonts w:ascii="SimSun" w:hAnsi="SimSun" w:eastAsia="SimSun" w:cs="SimSun"/>
          <w:sz w:val="24"/>
          <w:szCs w:val="24"/>
        </w:rPr>
        <w:t>DA</w:t>
      </w:r>
      <w:r>
        <w:rPr>
          <w:rFonts w:ascii="SimSun" w:hAnsi="SimSun" w:eastAsia="SimSun" w:cs="SimSun"/>
          <w:sz w:val="24"/>
          <w:szCs w:val="24"/>
          <w:spacing w:val="9"/>
        </w:rPr>
        <w:t>006)</w:t>
      </w:r>
      <w:r>
        <w:rPr>
          <w:rFonts w:ascii="SimSun" w:hAnsi="SimSun" w:eastAsia="SimSun" w:cs="SimSun"/>
          <w:sz w:val="24"/>
          <w:szCs w:val="24"/>
          <w:spacing w:val="51"/>
        </w:rPr>
        <w:t xml:space="preserve">  </w:t>
      </w:r>
      <w:r>
        <w:rPr>
          <w:rFonts w:ascii="SimSun" w:hAnsi="SimSun" w:eastAsia="SimSun" w:cs="SimSun"/>
          <w:sz w:val="24"/>
          <w:szCs w:val="24"/>
          <w:spacing w:val="9"/>
        </w:rPr>
        <w:t>达标排</w:t>
      </w:r>
      <w:r>
        <w:rPr>
          <w:rFonts w:ascii="SimSun" w:hAnsi="SimSun" w:eastAsia="SimSun" w:cs="SimSun"/>
          <w:sz w:val="24"/>
          <w:szCs w:val="24"/>
        </w:rPr>
        <w:t xml:space="preserve"> </w:t>
      </w:r>
      <w:r>
        <w:rPr>
          <w:rFonts w:ascii="SimSun" w:hAnsi="SimSun" w:eastAsia="SimSun" w:cs="SimSun"/>
          <w:sz w:val="24"/>
          <w:szCs w:val="24"/>
          <w:spacing w:val="4"/>
        </w:rPr>
        <w:t>放；备用柴油发电机烟气经设备自带废气处理设施处理后引至屋顶排放</w:t>
      </w:r>
      <w:r>
        <w:rPr>
          <w:rFonts w:ascii="SimSun" w:hAnsi="SimSun" w:eastAsia="SimSun" w:cs="SimSun"/>
          <w:sz w:val="24"/>
          <w:szCs w:val="24"/>
          <w:spacing w:val="3"/>
        </w:rPr>
        <w:t>。同时</w:t>
      </w:r>
      <w:r>
        <w:rPr>
          <w:rFonts w:ascii="SimSun" w:hAnsi="SimSun" w:eastAsia="SimSun" w:cs="SimSun"/>
          <w:sz w:val="24"/>
          <w:szCs w:val="24"/>
        </w:rPr>
        <w:t xml:space="preserve"> </w:t>
      </w:r>
      <w:r>
        <w:rPr>
          <w:rFonts w:ascii="SimSun" w:hAnsi="SimSun" w:eastAsia="SimSun" w:cs="SimSun"/>
          <w:sz w:val="24"/>
          <w:szCs w:val="24"/>
          <w:spacing w:val="4"/>
        </w:rPr>
        <w:t>以生猪待宰圈舍、屠宰车间及肉牛待宰圈舍、屠宰车间和污水</w:t>
      </w:r>
      <w:r>
        <w:rPr>
          <w:rFonts w:ascii="SimSun" w:hAnsi="SimSun" w:eastAsia="SimSun" w:cs="SimSun"/>
          <w:sz w:val="24"/>
          <w:szCs w:val="24"/>
          <w:spacing w:val="3"/>
        </w:rPr>
        <w:t>处理站边界为起</w:t>
      </w:r>
      <w:r>
        <w:rPr>
          <w:rFonts w:ascii="SimSun" w:hAnsi="SimSun" w:eastAsia="SimSun" w:cs="SimSun"/>
          <w:sz w:val="24"/>
          <w:szCs w:val="24"/>
        </w:rPr>
        <w:t xml:space="preserve"> </w:t>
      </w:r>
      <w:r>
        <w:rPr>
          <w:rFonts w:ascii="SimSun" w:hAnsi="SimSun" w:eastAsia="SimSun" w:cs="SimSun"/>
          <w:sz w:val="24"/>
          <w:szCs w:val="24"/>
          <w:spacing w:val="-4"/>
        </w:rPr>
        <w:t>点，分别设置50</w:t>
      </w:r>
      <w:r>
        <w:rPr>
          <w:rFonts w:ascii="Times New Roman" w:hAnsi="Times New Roman" w:eastAsia="Times New Roman" w:cs="Times New Roman"/>
          <w:sz w:val="24"/>
          <w:szCs w:val="24"/>
          <w:spacing w:val="-4"/>
        </w:rPr>
        <w:t>m</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4"/>
        </w:rPr>
        <w:t>、</w:t>
      </w:r>
      <w:r>
        <w:rPr>
          <w:rFonts w:ascii="Times New Roman" w:hAnsi="Times New Roman" w:eastAsia="Times New Roman" w:cs="Times New Roman"/>
          <w:sz w:val="24"/>
          <w:szCs w:val="24"/>
          <w:spacing w:val="-4"/>
        </w:rPr>
        <w:t>50m</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4"/>
        </w:rPr>
        <w:t>、</w:t>
      </w:r>
      <w:r>
        <w:rPr>
          <w:rFonts w:ascii="Times New Roman" w:hAnsi="Times New Roman" w:eastAsia="Times New Roman" w:cs="Times New Roman"/>
          <w:sz w:val="24"/>
          <w:szCs w:val="24"/>
          <w:spacing w:val="-4"/>
        </w:rPr>
        <w:t>50m</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4"/>
        </w:rPr>
        <w:t>、</w:t>
      </w:r>
      <w:r>
        <w:rPr>
          <w:rFonts w:ascii="Times New Roman" w:hAnsi="Times New Roman" w:eastAsia="Times New Roman" w:cs="Times New Roman"/>
          <w:sz w:val="24"/>
          <w:szCs w:val="24"/>
          <w:spacing w:val="-4"/>
        </w:rPr>
        <w:t>50m</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4"/>
        </w:rPr>
        <w:t>、</w:t>
      </w:r>
      <w:r>
        <w:rPr>
          <w:rFonts w:ascii="Times New Roman" w:hAnsi="Times New Roman" w:eastAsia="Times New Roman" w:cs="Times New Roman"/>
          <w:sz w:val="24"/>
          <w:szCs w:val="24"/>
          <w:spacing w:val="-4"/>
        </w:rPr>
        <w:t>100m</w:t>
      </w:r>
      <w:r>
        <w:rPr>
          <w:rFonts w:ascii="SimSun" w:hAnsi="SimSun" w:eastAsia="SimSun" w:cs="SimSun"/>
          <w:sz w:val="24"/>
          <w:szCs w:val="24"/>
          <w:spacing w:val="-4"/>
        </w:rPr>
        <w:t>的卫生防护距离。</w:t>
      </w:r>
    </w:p>
    <w:p>
      <w:pPr>
        <w:ind w:left="483"/>
        <w:spacing w:before="103" w:line="219" w:lineRule="auto"/>
        <w:rPr>
          <w:rFonts w:ascii="SimSun" w:hAnsi="SimSun" w:eastAsia="SimSun" w:cs="SimSun"/>
          <w:sz w:val="24"/>
          <w:szCs w:val="24"/>
        </w:rPr>
      </w:pPr>
      <w:r>
        <w:rPr>
          <w:rFonts w:ascii="SimSun" w:hAnsi="SimSun" w:eastAsia="SimSun" w:cs="SimSun"/>
          <w:sz w:val="24"/>
          <w:szCs w:val="24"/>
          <w:b/>
          <w:bCs/>
          <w:spacing w:val="-2"/>
        </w:rPr>
        <w:t>固废：</w:t>
      </w:r>
      <w:r>
        <w:rPr>
          <w:rFonts w:ascii="SimSun" w:hAnsi="SimSun" w:eastAsia="SimSun" w:cs="SimSun"/>
          <w:sz w:val="24"/>
          <w:szCs w:val="24"/>
          <w:spacing w:val="-2"/>
        </w:rPr>
        <w:t>均交由有资质单位进行无害化处置，项目内不进行处置。</w:t>
      </w:r>
    </w:p>
    <w:p>
      <w:pPr>
        <w:ind w:left="13"/>
        <w:spacing w:before="164" w:line="222" w:lineRule="auto"/>
        <w:outlineLvl w:val="1"/>
        <w:rPr>
          <w:rFonts w:ascii="SimHei" w:hAnsi="SimHei" w:eastAsia="SimHei" w:cs="SimHei"/>
          <w:sz w:val="28"/>
          <w:szCs w:val="28"/>
        </w:rPr>
      </w:pPr>
      <w:bookmarkStart w:name="bookmark5" w:id="8"/>
      <w:bookmarkEnd w:id="8"/>
      <w:r>
        <w:rPr>
          <w:rFonts w:ascii="SimHei" w:hAnsi="SimHei" w:eastAsia="SimHei" w:cs="SimHei"/>
          <w:sz w:val="28"/>
          <w:szCs w:val="28"/>
          <w:b/>
          <w:bCs/>
          <w:spacing w:val="-9"/>
        </w:rPr>
        <w:t>0.3环境影响评价的工作过程</w:t>
      </w:r>
    </w:p>
    <w:p>
      <w:pPr>
        <w:ind w:left="9" w:right="52" w:firstLine="470"/>
        <w:spacing w:before="217" w:line="347" w:lineRule="auto"/>
        <w:rPr>
          <w:rFonts w:ascii="SimSun" w:hAnsi="SimSun" w:eastAsia="SimSun" w:cs="SimSun"/>
          <w:sz w:val="24"/>
          <w:szCs w:val="24"/>
        </w:rPr>
      </w:pPr>
      <w:r>
        <w:rPr>
          <w:rFonts w:ascii="SimSun" w:hAnsi="SimSun" w:eastAsia="SimSun" w:cs="SimSun"/>
          <w:sz w:val="24"/>
          <w:szCs w:val="24"/>
          <w:spacing w:val="12"/>
        </w:rPr>
        <w:t>根据《中华人民共和国环境影响评价法》、《建设项目环境保护管理条</w:t>
      </w:r>
      <w:r>
        <w:rPr>
          <w:rFonts w:ascii="SimSun" w:hAnsi="SimSun" w:eastAsia="SimSun" w:cs="SimSun"/>
          <w:sz w:val="24"/>
          <w:szCs w:val="24"/>
          <w:spacing w:val="7"/>
        </w:rPr>
        <w:t xml:space="preserve"> </w:t>
      </w:r>
      <w:r>
        <w:rPr>
          <w:rFonts w:ascii="SimSun" w:hAnsi="SimSun" w:eastAsia="SimSun" w:cs="SimSun"/>
          <w:sz w:val="24"/>
          <w:szCs w:val="24"/>
          <w:spacing w:val="4"/>
        </w:rPr>
        <w:t>例》、《建设项目环境影响评价分类管理名录》等国家关于实</w:t>
      </w:r>
      <w:r>
        <w:rPr>
          <w:rFonts w:ascii="SimSun" w:hAnsi="SimSun" w:eastAsia="SimSun" w:cs="SimSun"/>
          <w:sz w:val="24"/>
          <w:szCs w:val="24"/>
          <w:spacing w:val="3"/>
        </w:rPr>
        <w:t>行建设项目环境</w:t>
      </w:r>
    </w:p>
    <w:p>
      <w:pPr>
        <w:spacing w:line="347" w:lineRule="auto"/>
        <w:sectPr>
          <w:headerReference w:type="default" r:id="rId7"/>
          <w:footerReference w:type="default" r:id="rId8"/>
          <w:pgSz w:w="11910" w:h="16840"/>
          <w:pgMar w:top="1222" w:right="1786" w:bottom="987" w:left="1769" w:header="853" w:footer="753" w:gutter="0"/>
        </w:sectPr>
        <w:rPr>
          <w:rFonts w:ascii="SimSun" w:hAnsi="SimSun" w:eastAsia="SimSun" w:cs="SimSun"/>
          <w:sz w:val="24"/>
          <w:szCs w:val="24"/>
        </w:rPr>
      </w:pPr>
    </w:p>
    <w:p>
      <w:pPr>
        <w:ind w:right="22"/>
        <w:spacing w:before="269" w:line="377" w:lineRule="auto"/>
        <w:jc w:val="both"/>
        <w:rPr>
          <w:rFonts w:ascii="SimSun" w:hAnsi="SimSun" w:eastAsia="SimSun" w:cs="SimSun"/>
          <w:sz w:val="23"/>
          <w:szCs w:val="23"/>
        </w:rPr>
      </w:pPr>
      <w:r>
        <w:rPr>
          <w:rFonts w:ascii="SimSun" w:hAnsi="SimSun" w:eastAsia="SimSun" w:cs="SimSun"/>
          <w:sz w:val="23"/>
          <w:szCs w:val="23"/>
          <w:spacing w:val="13"/>
        </w:rPr>
        <w:t>影响评价制度和管理要求，2024年12月，绵阳柒鑫食品有限公司委托我公</w:t>
      </w:r>
      <w:r>
        <w:rPr>
          <w:rFonts w:ascii="SimSun" w:hAnsi="SimSun" w:eastAsia="SimSun" w:cs="SimSun"/>
          <w:sz w:val="23"/>
          <w:szCs w:val="23"/>
          <w:spacing w:val="12"/>
        </w:rPr>
        <w:t>司承</w:t>
      </w:r>
      <w:r>
        <w:rPr>
          <w:rFonts w:ascii="SimSun" w:hAnsi="SimSun" w:eastAsia="SimSun" w:cs="SimSun"/>
          <w:sz w:val="23"/>
          <w:szCs w:val="23"/>
        </w:rPr>
        <w:t xml:space="preserve"> </w:t>
      </w:r>
      <w:r>
        <w:rPr>
          <w:rFonts w:ascii="SimSun" w:hAnsi="SimSun" w:eastAsia="SimSun" w:cs="SimSun"/>
          <w:sz w:val="23"/>
          <w:szCs w:val="23"/>
          <w:spacing w:val="15"/>
        </w:rPr>
        <w:t>担该公司</w:t>
      </w:r>
      <w:r>
        <w:rPr>
          <w:rFonts w:ascii="SimSun" w:hAnsi="SimSun" w:eastAsia="SimSun" w:cs="SimSun"/>
          <w:sz w:val="23"/>
          <w:szCs w:val="23"/>
          <w:spacing w:val="-24"/>
        </w:rPr>
        <w:t xml:space="preserve"> </w:t>
      </w:r>
      <w:r>
        <w:rPr>
          <w:rFonts w:ascii="Times New Roman" w:hAnsi="Times New Roman" w:eastAsia="Times New Roman" w:cs="Times New Roman"/>
          <w:sz w:val="23"/>
          <w:szCs w:val="23"/>
          <w:spacing w:val="15"/>
        </w:rPr>
        <w:t>“A</w:t>
      </w:r>
      <w:r>
        <w:rPr>
          <w:rFonts w:ascii="Times New Roman" w:hAnsi="Times New Roman" w:eastAsia="Times New Roman" w:cs="Times New Roman"/>
          <w:sz w:val="23"/>
          <w:szCs w:val="23"/>
          <w:spacing w:val="32"/>
          <w:w w:val="101"/>
        </w:rPr>
        <w:t xml:space="preserve"> </w:t>
      </w:r>
      <w:r>
        <w:rPr>
          <w:rFonts w:ascii="SimSun" w:hAnsi="SimSun" w:eastAsia="SimSun" w:cs="SimSun"/>
          <w:sz w:val="23"/>
          <w:szCs w:val="23"/>
          <w:spacing w:val="15"/>
        </w:rPr>
        <w:t>级生猪、肉牛定点屠宰及食品加工项目”环境影响评价工作。本</w:t>
      </w:r>
      <w:r>
        <w:rPr>
          <w:rFonts w:ascii="SimSun" w:hAnsi="SimSun" w:eastAsia="SimSun" w:cs="SimSun"/>
          <w:sz w:val="23"/>
          <w:szCs w:val="23"/>
        </w:rPr>
        <w:t xml:space="preserve"> </w:t>
      </w:r>
      <w:r>
        <w:rPr>
          <w:rFonts w:ascii="SimSun" w:hAnsi="SimSun" w:eastAsia="SimSun" w:cs="SimSun"/>
          <w:sz w:val="23"/>
          <w:szCs w:val="23"/>
          <w:spacing w:val="6"/>
        </w:rPr>
        <w:t>次环评主要分为以下几个阶段：</w:t>
      </w:r>
    </w:p>
    <w:p>
      <w:pPr>
        <w:ind w:right="35" w:firstLine="490"/>
        <w:spacing w:before="5" w:line="369" w:lineRule="auto"/>
        <w:jc w:val="both"/>
        <w:rPr>
          <w:rFonts w:ascii="SimSun" w:hAnsi="SimSun" w:eastAsia="SimSun" w:cs="SimSun"/>
          <w:sz w:val="23"/>
          <w:szCs w:val="23"/>
        </w:rPr>
      </w:pPr>
      <w:r>
        <w:rPr>
          <w:rFonts w:ascii="SimSun" w:hAnsi="SimSun" w:eastAsia="SimSun" w:cs="SimSun"/>
          <w:sz w:val="23"/>
          <w:szCs w:val="23"/>
          <w:spacing w:val="14"/>
        </w:rPr>
        <w:t>第一阶段：评价单位接受项目环境影响评价委托后，根据建设单位提供的</w:t>
      </w:r>
      <w:r>
        <w:rPr>
          <w:rFonts w:ascii="SimSun" w:hAnsi="SimSun" w:eastAsia="SimSun" w:cs="SimSun"/>
          <w:sz w:val="23"/>
          <w:szCs w:val="23"/>
          <w:spacing w:val="8"/>
        </w:rPr>
        <w:t xml:space="preserve"> </w:t>
      </w:r>
      <w:r>
        <w:rPr>
          <w:rFonts w:ascii="SimSun" w:hAnsi="SimSun" w:eastAsia="SimSun" w:cs="SimSun"/>
          <w:sz w:val="23"/>
          <w:szCs w:val="23"/>
          <w:spacing w:val="21"/>
        </w:rPr>
        <w:t>建设方案(设备、原辅材料、平面布局及污染治理等)等有关资料，先确定项</w:t>
      </w:r>
      <w:r>
        <w:rPr>
          <w:rFonts w:ascii="SimSun" w:hAnsi="SimSun" w:eastAsia="SimSun" w:cs="SimSun"/>
          <w:sz w:val="23"/>
          <w:szCs w:val="23"/>
        </w:rPr>
        <w:t xml:space="preserve"> </w:t>
      </w:r>
      <w:r>
        <w:rPr>
          <w:rFonts w:ascii="SimSun" w:hAnsi="SimSun" w:eastAsia="SimSun" w:cs="SimSun"/>
          <w:sz w:val="23"/>
          <w:szCs w:val="23"/>
          <w:spacing w:val="13"/>
        </w:rPr>
        <w:t>目是否符合国家和地方有关法规、政策及相关规</w:t>
      </w:r>
      <w:r>
        <w:rPr>
          <w:rFonts w:ascii="SimSun" w:hAnsi="SimSun" w:eastAsia="SimSun" w:cs="SimSun"/>
          <w:sz w:val="23"/>
          <w:szCs w:val="23"/>
          <w:spacing w:val="12"/>
        </w:rPr>
        <w:t>划，判定项目的环境影响评价</w:t>
      </w:r>
      <w:r>
        <w:rPr>
          <w:rFonts w:ascii="SimSun" w:hAnsi="SimSun" w:eastAsia="SimSun" w:cs="SimSun"/>
          <w:sz w:val="23"/>
          <w:szCs w:val="23"/>
        </w:rPr>
        <w:t xml:space="preserve"> </w:t>
      </w:r>
      <w:r>
        <w:rPr>
          <w:rFonts w:ascii="SimSun" w:hAnsi="SimSun" w:eastAsia="SimSun" w:cs="SimSun"/>
          <w:sz w:val="23"/>
          <w:szCs w:val="23"/>
          <w:spacing w:val="14"/>
        </w:rPr>
        <w:t>类型，进行环评第一次公示；根据建设单位提供的关于本项目的资料，进行初</w:t>
      </w:r>
      <w:r>
        <w:rPr>
          <w:rFonts w:ascii="SimSun" w:hAnsi="SimSun" w:eastAsia="SimSun" w:cs="SimSun"/>
          <w:sz w:val="23"/>
          <w:szCs w:val="23"/>
          <w:spacing w:val="5"/>
        </w:rPr>
        <w:t xml:space="preserve"> </w:t>
      </w:r>
      <w:r>
        <w:rPr>
          <w:rFonts w:ascii="SimSun" w:hAnsi="SimSun" w:eastAsia="SimSun" w:cs="SimSun"/>
          <w:sz w:val="23"/>
          <w:szCs w:val="23"/>
          <w:spacing w:val="14"/>
        </w:rPr>
        <w:t>步的工程分析，识别环境影响因素、筛选评价因子，明确评价重点、环境保护</w:t>
      </w:r>
      <w:r>
        <w:rPr>
          <w:rFonts w:ascii="SimSun" w:hAnsi="SimSun" w:eastAsia="SimSun" w:cs="SimSun"/>
          <w:sz w:val="23"/>
          <w:szCs w:val="23"/>
          <w:spacing w:val="10"/>
        </w:rPr>
        <w:t xml:space="preserve"> </w:t>
      </w:r>
      <w:r>
        <w:rPr>
          <w:rFonts w:ascii="SimSun" w:hAnsi="SimSun" w:eastAsia="SimSun" w:cs="SimSun"/>
          <w:sz w:val="23"/>
          <w:szCs w:val="23"/>
          <w:spacing w:val="6"/>
        </w:rPr>
        <w:t>目标，确定评价工作等级、评价范围和标准。</w:t>
      </w:r>
    </w:p>
    <w:p>
      <w:pPr>
        <w:ind w:right="42" w:firstLine="490"/>
        <w:spacing w:before="37" w:line="370" w:lineRule="auto"/>
        <w:jc w:val="both"/>
        <w:rPr>
          <w:rFonts w:ascii="SimSun" w:hAnsi="SimSun" w:eastAsia="SimSun" w:cs="SimSun"/>
          <w:sz w:val="23"/>
          <w:szCs w:val="23"/>
        </w:rPr>
      </w:pPr>
      <w:r>
        <w:rPr>
          <w:rFonts w:ascii="SimSun" w:hAnsi="SimSun" w:eastAsia="SimSun" w:cs="SimSun"/>
          <w:sz w:val="23"/>
          <w:szCs w:val="23"/>
          <w:spacing w:val="14"/>
        </w:rPr>
        <w:t>第二阶段：进行评价范围内的环境状况调查、监测与评价，了解环境现状</w:t>
      </w:r>
      <w:r>
        <w:rPr>
          <w:rFonts w:ascii="SimSun" w:hAnsi="SimSun" w:eastAsia="SimSun" w:cs="SimSun"/>
          <w:sz w:val="23"/>
          <w:szCs w:val="23"/>
        </w:rPr>
        <w:t xml:space="preserve"> </w:t>
      </w:r>
      <w:r>
        <w:rPr>
          <w:rFonts w:ascii="SimSun" w:hAnsi="SimSun" w:eastAsia="SimSun" w:cs="SimSun"/>
          <w:sz w:val="23"/>
          <w:szCs w:val="23"/>
          <w:spacing w:val="14"/>
        </w:rPr>
        <w:t>情况，进行详细的工程分析，确定各污染因素污染源强，然后进行各环境要素</w:t>
      </w:r>
      <w:r>
        <w:rPr>
          <w:rFonts w:ascii="SimSun" w:hAnsi="SimSun" w:eastAsia="SimSun" w:cs="SimSun"/>
          <w:sz w:val="23"/>
          <w:szCs w:val="23"/>
          <w:spacing w:val="4"/>
        </w:rPr>
        <w:t xml:space="preserve"> </w:t>
      </w:r>
      <w:r>
        <w:rPr>
          <w:rFonts w:ascii="SimSun" w:hAnsi="SimSun" w:eastAsia="SimSun" w:cs="SimSun"/>
          <w:sz w:val="23"/>
          <w:szCs w:val="23"/>
          <w:spacing w:val="7"/>
        </w:rPr>
        <w:t>影响预测与评价、各专题环境影响分析与评价。</w:t>
      </w:r>
    </w:p>
    <w:p>
      <w:pPr>
        <w:ind w:right="39" w:firstLine="490"/>
        <w:spacing w:before="37" w:line="369" w:lineRule="auto"/>
        <w:jc w:val="both"/>
        <w:rPr>
          <w:rFonts w:ascii="SimSun" w:hAnsi="SimSun" w:eastAsia="SimSun" w:cs="SimSun"/>
          <w:sz w:val="23"/>
          <w:szCs w:val="23"/>
        </w:rPr>
      </w:pPr>
      <w:r>
        <w:rPr>
          <w:rFonts w:ascii="SimSun" w:hAnsi="SimSun" w:eastAsia="SimSun" w:cs="SimSun"/>
          <w:sz w:val="23"/>
          <w:szCs w:val="23"/>
          <w:spacing w:val="14"/>
        </w:rPr>
        <w:t>第三阶段：对项目拟采取环保措施进行技术经济论证，给出项目环境可行</w:t>
      </w:r>
      <w:r>
        <w:rPr>
          <w:rFonts w:ascii="SimSun" w:hAnsi="SimSun" w:eastAsia="SimSun" w:cs="SimSun"/>
          <w:sz w:val="23"/>
          <w:szCs w:val="23"/>
          <w:spacing w:val="2"/>
        </w:rPr>
        <w:t xml:space="preserve"> </w:t>
      </w:r>
      <w:r>
        <w:rPr>
          <w:rFonts w:ascii="SimSun" w:hAnsi="SimSun" w:eastAsia="SimSun" w:cs="SimSun"/>
          <w:sz w:val="23"/>
          <w:szCs w:val="23"/>
          <w:spacing w:val="14"/>
        </w:rPr>
        <w:t>结论。在本项目环评报告成果基本完成时，进行第二次环评信息公告，建设单</w:t>
      </w:r>
      <w:r>
        <w:rPr>
          <w:rFonts w:ascii="SimSun" w:hAnsi="SimSun" w:eastAsia="SimSun" w:cs="SimSun"/>
          <w:sz w:val="23"/>
          <w:szCs w:val="23"/>
          <w:spacing w:val="2"/>
        </w:rPr>
        <w:t xml:space="preserve"> </w:t>
      </w:r>
      <w:r>
        <w:rPr>
          <w:rFonts w:ascii="SimSun" w:hAnsi="SimSun" w:eastAsia="SimSun" w:cs="SimSun"/>
          <w:sz w:val="23"/>
          <w:szCs w:val="23"/>
          <w:spacing w:val="14"/>
        </w:rPr>
        <w:t>位向周边居民、企业发放公众调查表，广泛征询利益相关者对本项目建设的看</w:t>
      </w:r>
      <w:r>
        <w:rPr>
          <w:rFonts w:ascii="SimSun" w:hAnsi="SimSun" w:eastAsia="SimSun" w:cs="SimSun"/>
          <w:sz w:val="23"/>
          <w:szCs w:val="23"/>
          <w:spacing w:val="3"/>
        </w:rPr>
        <w:t xml:space="preserve"> </w:t>
      </w:r>
      <w:r>
        <w:rPr>
          <w:rFonts w:ascii="SimSun" w:hAnsi="SimSun" w:eastAsia="SimSun" w:cs="SimSun"/>
          <w:sz w:val="23"/>
          <w:szCs w:val="23"/>
          <w:spacing w:val="14"/>
        </w:rPr>
        <w:t>法和建议。并在此基础上按照《环境影响评价技术导则》和有关环保法律法规</w:t>
      </w:r>
      <w:r>
        <w:rPr>
          <w:rFonts w:ascii="SimSun" w:hAnsi="SimSun" w:eastAsia="SimSun" w:cs="SimSun"/>
          <w:sz w:val="23"/>
          <w:szCs w:val="23"/>
          <w:spacing w:val="2"/>
        </w:rPr>
        <w:t xml:space="preserve"> </w:t>
      </w:r>
      <w:r>
        <w:rPr>
          <w:rFonts w:ascii="SimSun" w:hAnsi="SimSun" w:eastAsia="SimSun" w:cs="SimSun"/>
          <w:sz w:val="23"/>
          <w:szCs w:val="23"/>
          <w:spacing w:val="16"/>
        </w:rPr>
        <w:t>的要求以及专家审查意见编制完成了《</w:t>
      </w:r>
      <w:r>
        <w:rPr>
          <w:rFonts w:ascii="Times New Roman" w:hAnsi="Times New Roman" w:eastAsia="Times New Roman" w:cs="Times New Roman"/>
          <w:sz w:val="23"/>
          <w:szCs w:val="23"/>
          <w:spacing w:val="16"/>
        </w:rPr>
        <w:t>A</w:t>
      </w:r>
      <w:r>
        <w:rPr>
          <w:rFonts w:ascii="SimSun" w:hAnsi="SimSun" w:eastAsia="SimSun" w:cs="SimSun"/>
          <w:sz w:val="23"/>
          <w:szCs w:val="23"/>
          <w:spacing w:val="16"/>
        </w:rPr>
        <w:t>级生猪、肉牛定点屠宰及食品加工项</w:t>
      </w:r>
      <w:r>
        <w:rPr>
          <w:rFonts w:ascii="SimSun" w:hAnsi="SimSun" w:eastAsia="SimSun" w:cs="SimSun"/>
          <w:sz w:val="23"/>
          <w:szCs w:val="23"/>
          <w:spacing w:val="3"/>
        </w:rPr>
        <w:t xml:space="preserve"> </w:t>
      </w:r>
      <w:r>
        <w:rPr>
          <w:rFonts w:ascii="SimSun" w:hAnsi="SimSun" w:eastAsia="SimSun" w:cs="SimSun"/>
          <w:sz w:val="23"/>
          <w:szCs w:val="23"/>
          <w:spacing w:val="12"/>
        </w:rPr>
        <w:t>目环境影响报告书》,以供建设单位上报生态环境主管部门审查。</w:t>
      </w:r>
    </w:p>
    <w:p>
      <w:pPr>
        <w:ind w:left="490"/>
        <w:spacing w:line="218" w:lineRule="auto"/>
        <w:rPr>
          <w:rFonts w:ascii="SimSun" w:hAnsi="SimSun" w:eastAsia="SimSun" w:cs="SimSun"/>
          <w:sz w:val="23"/>
          <w:szCs w:val="23"/>
        </w:rPr>
      </w:pPr>
      <w:r>
        <w:rPr>
          <w:rFonts w:ascii="SimSun" w:hAnsi="SimSun" w:eastAsia="SimSun" w:cs="SimSun"/>
          <w:sz w:val="23"/>
          <w:szCs w:val="23"/>
          <w:spacing w:val="1"/>
        </w:rPr>
        <w:t>具体评价工作程序详见图0.3-1。</w:t>
      </w:r>
    </w:p>
    <w:p>
      <w:pPr>
        <w:spacing w:line="218" w:lineRule="auto"/>
        <w:sectPr>
          <w:headerReference w:type="default" r:id="rId5"/>
          <w:footerReference w:type="default" r:id="rId9"/>
          <w:pgSz w:w="11910" w:h="16840"/>
          <w:pgMar w:top="1219" w:right="1786" w:bottom="987" w:left="1779" w:header="865" w:footer="687" w:gutter="0"/>
        </w:sectPr>
        <w:rPr>
          <w:rFonts w:ascii="SimSun" w:hAnsi="SimSun" w:eastAsia="SimSun" w:cs="SimSun"/>
          <w:sz w:val="23"/>
          <w:szCs w:val="23"/>
        </w:rPr>
      </w:pPr>
    </w:p>
    <w:p>
      <w:pPr>
        <w:spacing w:before="84"/>
        <w:rPr/>
      </w:pPr>
      <w:r/>
    </w:p>
    <w:tbl>
      <w:tblPr>
        <w:tblStyle w:val="TableNormal"/>
        <w:tblW w:w="8270" w:type="dxa"/>
        <w:tblInd w:w="25"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157"/>
        <w:gridCol w:w="2314"/>
        <w:gridCol w:w="3799"/>
      </w:tblGrid>
      <w:tr>
        <w:trPr>
          <w:trHeight w:val="4112" w:hRule="atLeast"/>
        </w:trPr>
        <w:tc>
          <w:tcPr>
            <w:tcW w:w="2157" w:type="dxa"/>
            <w:vAlign w:val="top"/>
            <w:textDirection w:val="tbRlV"/>
            <w:tcBorders>
              <w:bottom w:val="single" w:color="000000" w:sz="8" w:space="0"/>
              <w:left w:val="single" w:color="000000" w:sz="4" w:space="0"/>
              <w:top w:val="single" w:color="000000" w:sz="6" w:space="0"/>
            </w:tcBorders>
          </w:tcPr>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1728"/>
              <w:spacing w:before="43" w:line="201" w:lineRule="auto"/>
              <w:rPr>
                <w:sz w:val="13"/>
                <w:szCs w:val="13"/>
              </w:rPr>
            </w:pPr>
            <w:r>
              <w:rPr>
                <w:sz w:val="13"/>
                <w:szCs w:val="13"/>
                <w:spacing w:val="1"/>
              </w:rPr>
              <w:t>第 一</w:t>
            </w:r>
            <w:r>
              <w:rPr>
                <w:sz w:val="13"/>
                <w:szCs w:val="13"/>
                <w:spacing w:val="5"/>
              </w:rPr>
              <w:t xml:space="preserve"> </w:t>
            </w:r>
            <w:r>
              <w:rPr>
                <w:sz w:val="13"/>
                <w:szCs w:val="13"/>
                <w:spacing w:val="1"/>
              </w:rPr>
              <w:t>阶</w:t>
            </w:r>
            <w:r>
              <w:rPr>
                <w:sz w:val="13"/>
                <w:szCs w:val="13"/>
                <w:spacing w:val="5"/>
              </w:rPr>
              <w:t xml:space="preserve"> </w:t>
            </w:r>
            <w:r>
              <w:rPr>
                <w:sz w:val="13"/>
                <w:szCs w:val="13"/>
                <w:spacing w:val="1"/>
              </w:rPr>
              <w:t>段</w:t>
            </w:r>
          </w:p>
        </w:tc>
        <w:tc>
          <w:tcPr>
            <w:tcW w:w="6113" w:type="dxa"/>
            <w:vAlign w:val="top"/>
            <w:gridSpan w:val="2"/>
            <w:tcBorders>
              <w:bottom w:val="single" w:color="000000" w:sz="8" w:space="0"/>
              <w:right w:val="single" w:color="000000" w:sz="4" w:space="0"/>
              <w:top w:val="single" w:color="000000" w:sz="6" w:space="0"/>
            </w:tcBorders>
          </w:tcPr>
          <w:p>
            <w:pPr>
              <w:spacing w:line="319" w:lineRule="auto"/>
              <w:rPr>
                <w:rFonts w:ascii="Arial"/>
                <w:sz w:val="21"/>
              </w:rPr>
            </w:pPr>
            <w:r/>
          </w:p>
          <w:p>
            <w:pPr>
              <w:spacing w:line="319" w:lineRule="auto"/>
              <w:rPr>
                <w:rFonts w:ascii="Arial"/>
                <w:sz w:val="21"/>
              </w:rPr>
            </w:pPr>
            <w:r/>
          </w:p>
          <w:p>
            <w:pPr>
              <w:pStyle w:val="TableText"/>
              <w:ind w:left="598"/>
              <w:spacing w:before="58" w:line="218" w:lineRule="auto"/>
              <w:rPr/>
            </w:pPr>
            <w:r>
              <w:drawing>
                <wp:anchor distT="0" distB="0" distL="0" distR="0" simplePos="0" relativeHeight="251668480" behindDoc="1" locked="0" layoutInCell="1" allowOverlap="1">
                  <wp:simplePos x="0" y="0"/>
                  <wp:positionH relativeFrom="column">
                    <wp:posOffset>-1271</wp:posOffset>
                  </wp:positionH>
                  <wp:positionV relativeFrom="paragraph">
                    <wp:posOffset>-137907</wp:posOffset>
                  </wp:positionV>
                  <wp:extent cx="2724213" cy="4908591"/>
                  <wp:effectExtent l="0" t="0" r="0" b="0"/>
                  <wp:wrapNone/>
                  <wp:docPr id="6" name="IM 6"/>
                  <wp:cNvGraphicFramePr/>
                  <a:graphic>
                    <a:graphicData uri="http://schemas.openxmlformats.org/drawingml/2006/picture">
                      <pic:pic>
                        <pic:nvPicPr>
                          <pic:cNvPr id="6" name="IM 6"/>
                          <pic:cNvPicPr/>
                        </pic:nvPicPr>
                        <pic:blipFill>
                          <a:blip r:embed="rId12"/>
                          <a:stretch>
                            <a:fillRect/>
                          </a:stretch>
                        </pic:blipFill>
                        <pic:spPr>
                          <a:xfrm rot="0">
                            <a:off x="0" y="0"/>
                            <a:ext cx="2724213" cy="4908591"/>
                          </a:xfrm>
                          <a:prstGeom prst="rect">
                            <a:avLst/>
                          </a:prstGeom>
                        </pic:spPr>
                      </pic:pic>
                    </a:graphicData>
                  </a:graphic>
                </wp:anchor>
              </w:drawing>
            </w:r>
            <w:r>
              <w:rPr>
                <w:spacing w:val="-6"/>
              </w:rPr>
              <w:t>依据相关规定确定环境影响评价文件类型</w:t>
            </w:r>
          </w:p>
          <w:p>
            <w:pPr>
              <w:spacing w:line="408" w:lineRule="auto"/>
              <w:rPr>
                <w:rFonts w:ascii="Arial"/>
                <w:sz w:val="21"/>
              </w:rPr>
            </w:pPr>
            <w:r/>
          </w:p>
          <w:p>
            <w:pPr>
              <w:pStyle w:val="TableText"/>
              <w:ind w:left="797" w:right="2582"/>
              <w:spacing w:before="58" w:line="238" w:lineRule="auto"/>
              <w:rPr/>
            </w:pPr>
            <w:r>
              <w:rPr>
                <w:spacing w:val="-4"/>
              </w:rPr>
              <w:t>1研究相关技术文件和其他有关文件</w:t>
            </w:r>
            <w:r>
              <w:rPr/>
              <w:t xml:space="preserve"> </w:t>
            </w:r>
            <w:r>
              <w:rPr>
                <w:spacing w:val="1"/>
              </w:rPr>
              <w:t>2进行初步工程分析</w:t>
            </w:r>
          </w:p>
          <w:p>
            <w:pPr>
              <w:pStyle w:val="TableText"/>
              <w:ind w:left="797"/>
              <w:spacing w:before="25" w:line="219" w:lineRule="auto"/>
              <w:rPr/>
            </w:pPr>
            <w:r>
              <w:rPr>
                <w:spacing w:val="-1"/>
              </w:rPr>
              <w:t>3开展初步的环境现状调查</w:t>
            </w:r>
          </w:p>
          <w:p>
            <w:pPr>
              <w:spacing w:line="334" w:lineRule="auto"/>
              <w:rPr>
                <w:rFonts w:ascii="Arial"/>
                <w:sz w:val="21"/>
              </w:rPr>
            </w:pPr>
            <w:r/>
          </w:p>
          <w:p>
            <w:pPr>
              <w:pStyle w:val="TableText"/>
              <w:ind w:left="758"/>
              <w:spacing w:before="59" w:line="218" w:lineRule="auto"/>
              <w:rPr/>
            </w:pPr>
            <w:r>
              <w:rPr>
                <w:spacing w:val="-3"/>
              </w:rPr>
              <w:t>1环境影响识别和评价因子筛选</w:t>
            </w:r>
          </w:p>
          <w:p>
            <w:pPr>
              <w:pStyle w:val="TableText"/>
              <w:ind w:left="758"/>
              <w:spacing w:before="47" w:line="218" w:lineRule="auto"/>
              <w:rPr/>
            </w:pPr>
            <w:r>
              <w:rPr>
                <w:spacing w:val="-3"/>
              </w:rPr>
              <w:t>2明确评价重点和环境保护目标</w:t>
            </w:r>
          </w:p>
          <w:p>
            <w:pPr>
              <w:pStyle w:val="TableText"/>
              <w:ind w:left="758"/>
              <w:spacing w:before="57" w:line="218" w:lineRule="auto"/>
              <w:rPr/>
            </w:pPr>
            <w:r>
              <w:rPr>
                <w:spacing w:val="-3"/>
              </w:rPr>
              <w:t>3确定工作等级、评价范围和评价标准</w:t>
            </w:r>
          </w:p>
          <w:p>
            <w:pPr>
              <w:spacing w:line="348" w:lineRule="auto"/>
              <w:rPr>
                <w:rFonts w:ascii="Arial"/>
                <w:sz w:val="21"/>
              </w:rPr>
            </w:pPr>
            <w:r/>
          </w:p>
          <w:p>
            <w:pPr>
              <w:pStyle w:val="TableText"/>
              <w:ind w:left="1698"/>
              <w:spacing w:before="60" w:line="220" w:lineRule="auto"/>
              <w:rPr/>
            </w:pPr>
            <w:r>
              <w:rPr>
                <w:spacing w:val="-2"/>
              </w:rPr>
              <w:t>制定工作方案</w:t>
            </w:r>
          </w:p>
        </w:tc>
      </w:tr>
      <w:tr>
        <w:trPr>
          <w:trHeight w:val="1165" w:hRule="atLeast"/>
        </w:trPr>
        <w:tc>
          <w:tcPr>
            <w:tcW w:w="2157" w:type="dxa"/>
            <w:vAlign w:val="top"/>
            <w:vMerge w:val="restart"/>
            <w:textDirection w:val="tbRlV"/>
            <w:tcBorders>
              <w:bottom w:val="nil"/>
              <w:top w:val="single" w:color="000000" w:sz="8" w:space="0"/>
              <w:left w:val="single" w:color="000000" w:sz="4" w:space="0"/>
            </w:tcBorders>
          </w:tcPr>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736"/>
              <w:spacing w:before="43" w:line="201" w:lineRule="auto"/>
              <w:rPr>
                <w:sz w:val="13"/>
                <w:szCs w:val="13"/>
              </w:rPr>
            </w:pPr>
            <w:r>
              <w:rPr>
                <w:sz w:val="13"/>
                <w:szCs w:val="13"/>
              </w:rPr>
              <w:t>第 二 阶 段</w:t>
            </w:r>
          </w:p>
        </w:tc>
        <w:tc>
          <w:tcPr>
            <w:tcW w:w="2314" w:type="dxa"/>
            <w:vAlign w:val="top"/>
            <w:tcBorders>
              <w:top w:val="single" w:color="000000" w:sz="8" w:space="0"/>
            </w:tcBorders>
          </w:tcPr>
          <w:p>
            <w:pPr>
              <w:spacing w:line="319" w:lineRule="auto"/>
              <w:rPr>
                <w:rFonts w:ascii="Arial"/>
                <w:sz w:val="21"/>
              </w:rPr>
            </w:pPr>
            <w:r/>
          </w:p>
          <w:p>
            <w:pPr>
              <w:pStyle w:val="TableText"/>
              <w:ind w:left="308"/>
              <w:spacing w:before="59" w:line="219" w:lineRule="auto"/>
              <w:rPr/>
            </w:pPr>
            <w:r>
              <w:rPr>
                <w:spacing w:val="-1"/>
              </w:rPr>
              <w:t>环境现状调查</w:t>
            </w:r>
          </w:p>
          <w:p>
            <w:pPr>
              <w:pStyle w:val="TableText"/>
              <w:ind w:left="388"/>
              <w:spacing w:before="124" w:line="218" w:lineRule="auto"/>
              <w:rPr/>
            </w:pPr>
            <w:r>
              <w:rPr>
                <w:spacing w:val="-2"/>
              </w:rPr>
              <w:t>监测与评价</w:t>
            </w:r>
          </w:p>
        </w:tc>
        <w:tc>
          <w:tcPr>
            <w:tcW w:w="3799" w:type="dxa"/>
            <w:vAlign w:val="top"/>
            <w:tcBorders>
              <w:top w:val="single" w:color="000000" w:sz="8" w:space="0"/>
              <w:right w:val="single" w:color="000000" w:sz="4" w:space="0"/>
            </w:tcBorders>
          </w:tcPr>
          <w:p>
            <w:pPr>
              <w:spacing w:line="300" w:lineRule="auto"/>
              <w:rPr>
                <w:rFonts w:ascii="Arial"/>
                <w:sz w:val="21"/>
              </w:rPr>
            </w:pPr>
            <w:r/>
          </w:p>
          <w:p>
            <w:pPr>
              <w:pStyle w:val="TableText"/>
              <w:ind w:left="944"/>
              <w:spacing w:before="58" w:line="220" w:lineRule="auto"/>
              <w:rPr/>
            </w:pPr>
            <w:r>
              <w:rPr>
                <w:spacing w:val="-2"/>
              </w:rPr>
              <w:t>建设项目</w:t>
            </w:r>
          </w:p>
          <w:p>
            <w:pPr>
              <w:pStyle w:val="TableText"/>
              <w:ind w:left="933"/>
              <w:spacing w:before="15" w:line="220" w:lineRule="auto"/>
              <w:rPr/>
            </w:pPr>
            <w:r>
              <w:rPr>
                <w:spacing w:val="-2"/>
              </w:rPr>
              <w:t>工程分析</w:t>
            </w:r>
          </w:p>
        </w:tc>
      </w:tr>
      <w:tr>
        <w:trPr>
          <w:trHeight w:val="983" w:hRule="atLeast"/>
        </w:trPr>
        <w:tc>
          <w:tcPr>
            <w:tcW w:w="2157" w:type="dxa"/>
            <w:vAlign w:val="top"/>
            <w:vMerge w:val="continue"/>
            <w:textDirection w:val="tbRlV"/>
            <w:tcBorders>
              <w:bottom w:val="single" w:color="000000" w:sz="8" w:space="0"/>
              <w:top w:val="nil"/>
              <w:left w:val="single" w:color="000000" w:sz="4" w:space="0"/>
            </w:tcBorders>
          </w:tcPr>
          <w:p>
            <w:pPr>
              <w:rPr>
                <w:rFonts w:ascii="Arial"/>
                <w:sz w:val="21"/>
              </w:rPr>
            </w:pPr>
            <w:r/>
          </w:p>
        </w:tc>
        <w:tc>
          <w:tcPr>
            <w:tcW w:w="6113" w:type="dxa"/>
            <w:vAlign w:val="top"/>
            <w:gridSpan w:val="2"/>
            <w:tcBorders>
              <w:bottom w:val="single" w:color="000000" w:sz="8" w:space="0"/>
              <w:right w:val="single" w:color="000000" w:sz="4" w:space="0"/>
            </w:tcBorders>
          </w:tcPr>
          <w:p>
            <w:pPr>
              <w:pStyle w:val="TableText"/>
              <w:ind w:left="888" w:right="2642" w:firstLine="20"/>
              <w:spacing w:before="274" w:line="247" w:lineRule="auto"/>
              <w:rPr/>
            </w:pPr>
            <w:r>
              <w:rPr>
                <w:spacing w:val="-4"/>
              </w:rPr>
              <w:t>1各环境要素环境影响预测与评价</w:t>
            </w:r>
            <w:r>
              <w:rPr>
                <w:spacing w:val="6"/>
              </w:rPr>
              <w:t xml:space="preserve"> </w:t>
            </w:r>
            <w:r>
              <w:rPr>
                <w:spacing w:val="-1"/>
              </w:rPr>
              <w:t>2各专题环境影响分析与评价</w:t>
            </w:r>
          </w:p>
        </w:tc>
      </w:tr>
      <w:tr>
        <w:trPr>
          <w:trHeight w:val="2029" w:hRule="atLeast"/>
        </w:trPr>
        <w:tc>
          <w:tcPr>
            <w:tcW w:w="2157" w:type="dxa"/>
            <w:vAlign w:val="top"/>
            <w:textDirection w:val="tbRlV"/>
            <w:tcBorders>
              <w:top w:val="single" w:color="000000" w:sz="8" w:space="0"/>
              <w:left w:val="single" w:color="000000" w:sz="4" w:space="0"/>
              <w:bottom w:val="single" w:color="000000" w:sz="2" w:space="0"/>
            </w:tcBorders>
          </w:tcPr>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628"/>
              <w:spacing w:before="43" w:line="201" w:lineRule="auto"/>
              <w:rPr>
                <w:sz w:val="13"/>
                <w:szCs w:val="13"/>
              </w:rPr>
            </w:pPr>
            <w:r>
              <w:rPr>
                <w:sz w:val="13"/>
                <w:szCs w:val="13"/>
              </w:rPr>
              <w:t>第 三 阶 段</w:t>
            </w:r>
          </w:p>
        </w:tc>
        <w:tc>
          <w:tcPr>
            <w:tcW w:w="6113" w:type="dxa"/>
            <w:vAlign w:val="top"/>
            <w:gridSpan w:val="2"/>
            <w:tcBorders>
              <w:top w:val="single" w:color="000000" w:sz="8" w:space="0"/>
              <w:right w:val="single" w:color="000000" w:sz="4" w:space="0"/>
              <w:bottom w:val="single" w:color="000000" w:sz="2" w:space="0"/>
            </w:tcBorders>
          </w:tcPr>
          <w:p>
            <w:pPr>
              <w:pStyle w:val="TableText"/>
              <w:ind w:left="688" w:right="2332"/>
              <w:spacing w:before="282" w:line="249" w:lineRule="auto"/>
              <w:rPr/>
            </w:pPr>
            <w:r>
              <w:rPr>
                <w:spacing w:val="-4"/>
              </w:rPr>
              <w:t>1提出环境保护措施，进行技术经济论证</w:t>
            </w:r>
            <w:r>
              <w:rPr>
                <w:spacing w:val="8"/>
              </w:rPr>
              <w:t xml:space="preserve"> </w:t>
            </w:r>
            <w:r>
              <w:rPr>
                <w:spacing w:val="-1"/>
              </w:rPr>
              <w:t>2给出污染物排放清单</w:t>
            </w:r>
          </w:p>
          <w:p>
            <w:pPr>
              <w:pStyle w:val="TableText"/>
              <w:ind w:left="688"/>
              <w:spacing w:before="2" w:line="218" w:lineRule="auto"/>
              <w:rPr/>
            </w:pPr>
            <w:r>
              <w:rPr>
                <w:spacing w:val="-2"/>
              </w:rPr>
              <w:t>3给出建设项目环境影响评价结论</w:t>
            </w:r>
          </w:p>
          <w:p>
            <w:pPr>
              <w:spacing w:line="426" w:lineRule="auto"/>
              <w:rPr>
                <w:rFonts w:ascii="Arial"/>
                <w:sz w:val="21"/>
              </w:rPr>
            </w:pPr>
            <w:r/>
          </w:p>
          <w:p>
            <w:pPr>
              <w:pStyle w:val="TableText"/>
              <w:ind w:left="1188"/>
              <w:spacing w:before="58" w:line="218" w:lineRule="auto"/>
              <w:rPr/>
            </w:pPr>
            <w:r>
              <w:rPr>
                <w:spacing w:val="5"/>
              </w:rPr>
              <w:t>编制环境影响报告书(表)</w:t>
            </w:r>
          </w:p>
        </w:tc>
      </w:tr>
    </w:tbl>
    <w:p>
      <w:pPr>
        <w:ind w:left="2243"/>
        <w:spacing w:before="74" w:line="218" w:lineRule="auto"/>
        <w:rPr>
          <w:rFonts w:ascii="SimSun" w:hAnsi="SimSun" w:eastAsia="SimSun" w:cs="SimSun"/>
          <w:sz w:val="24"/>
          <w:szCs w:val="24"/>
        </w:rPr>
      </w:pPr>
      <w:r>
        <w:rPr>
          <w:rFonts w:ascii="SimSun" w:hAnsi="SimSun" w:eastAsia="SimSun" w:cs="SimSun"/>
          <w:sz w:val="24"/>
          <w:szCs w:val="24"/>
          <w:b/>
          <w:bCs/>
          <w:spacing w:val="-8"/>
        </w:rPr>
        <w:t>图0.3-1建设项目环境影响评价工作流程图</w:t>
      </w:r>
    </w:p>
    <w:p>
      <w:pPr>
        <w:ind w:left="3"/>
        <w:spacing w:before="258" w:line="222" w:lineRule="auto"/>
        <w:outlineLvl w:val="1"/>
        <w:rPr>
          <w:rFonts w:ascii="SimHei" w:hAnsi="SimHei" w:eastAsia="SimHei" w:cs="SimHei"/>
          <w:sz w:val="24"/>
          <w:szCs w:val="24"/>
        </w:rPr>
      </w:pPr>
      <w:bookmarkStart w:name="bookmark6" w:id="9"/>
      <w:bookmarkEnd w:id="9"/>
      <w:r>
        <w:rPr>
          <w:rFonts w:ascii="SimHei" w:hAnsi="SimHei" w:eastAsia="SimHei" w:cs="SimHei"/>
          <w:sz w:val="24"/>
          <w:szCs w:val="24"/>
          <w:b/>
          <w:bCs/>
          <w:spacing w:val="21"/>
        </w:rPr>
        <w:t>0</w:t>
      </w:r>
      <w:r>
        <w:rPr>
          <w:rFonts w:ascii="SimHei" w:hAnsi="SimHei" w:eastAsia="SimHei" w:cs="SimHei"/>
          <w:sz w:val="24"/>
          <w:szCs w:val="24"/>
          <w:spacing w:val="-68"/>
        </w:rPr>
        <w:t xml:space="preserve"> </w:t>
      </w:r>
      <w:r>
        <w:rPr>
          <w:rFonts w:ascii="SimHei" w:hAnsi="SimHei" w:eastAsia="SimHei" w:cs="SimHei"/>
          <w:sz w:val="24"/>
          <w:szCs w:val="24"/>
          <w:b/>
          <w:bCs/>
          <w:spacing w:val="21"/>
        </w:rPr>
        <w:t>.4分析判定相关情况</w:t>
      </w:r>
    </w:p>
    <w:p>
      <w:pPr>
        <w:ind w:right="194" w:firstLine="480"/>
        <w:spacing w:before="195" w:line="371" w:lineRule="auto"/>
        <w:rPr>
          <w:rFonts w:ascii="SimSun" w:hAnsi="SimSun" w:eastAsia="SimSun" w:cs="SimSun"/>
          <w:sz w:val="24"/>
          <w:szCs w:val="24"/>
        </w:rPr>
      </w:pPr>
      <w:r>
        <w:rPr>
          <w:rFonts w:ascii="SimSun" w:hAnsi="SimSun" w:eastAsia="SimSun" w:cs="SimSun"/>
          <w:sz w:val="24"/>
          <w:szCs w:val="24"/>
        </w:rPr>
        <w:t>我公司在接受委托后，首先通过现场踏勘及</w:t>
      </w:r>
      <w:r>
        <w:rPr>
          <w:rFonts w:ascii="SimSun" w:hAnsi="SimSun" w:eastAsia="SimSun" w:cs="SimSun"/>
          <w:sz w:val="24"/>
          <w:szCs w:val="24"/>
          <w:spacing w:val="-1"/>
        </w:rPr>
        <w:t>相关资料收集，对项目所在地</w:t>
      </w:r>
      <w:r>
        <w:rPr>
          <w:rFonts w:ascii="SimSun" w:hAnsi="SimSun" w:eastAsia="SimSun" w:cs="SimSun"/>
          <w:sz w:val="24"/>
          <w:szCs w:val="24"/>
        </w:rPr>
        <w:t xml:space="preserve"> </w:t>
      </w:r>
      <w:r>
        <w:rPr>
          <w:rFonts w:ascii="SimSun" w:hAnsi="SimSun" w:eastAsia="SimSun" w:cs="SimSun"/>
          <w:sz w:val="24"/>
          <w:szCs w:val="24"/>
          <w:spacing w:val="-3"/>
        </w:rPr>
        <w:t>各相关规划等合理性进行初步判定。</w:t>
      </w:r>
    </w:p>
    <w:p>
      <w:pPr>
        <w:spacing w:before="39" w:line="222" w:lineRule="auto"/>
        <w:rPr>
          <w:rFonts w:ascii="SimHei" w:hAnsi="SimHei" w:eastAsia="SimHei" w:cs="SimHei"/>
          <w:sz w:val="24"/>
          <w:szCs w:val="24"/>
        </w:rPr>
      </w:pPr>
      <w:r>
        <w:rPr>
          <w:rFonts w:ascii="Times New Roman" w:hAnsi="Times New Roman" w:eastAsia="Times New Roman" w:cs="Times New Roman"/>
          <w:sz w:val="24"/>
          <w:szCs w:val="24"/>
          <w:spacing w:val="23"/>
        </w:rPr>
        <w:t>0.4.1 </w:t>
      </w:r>
      <w:r>
        <w:rPr>
          <w:rFonts w:ascii="SimHei" w:hAnsi="SimHei" w:eastAsia="SimHei" w:cs="SimHei"/>
          <w:sz w:val="24"/>
          <w:szCs w:val="24"/>
          <w:b/>
          <w:bCs/>
          <w:spacing w:val="23"/>
        </w:rPr>
        <w:t>产业政策符合性判定</w:t>
      </w:r>
    </w:p>
    <w:p>
      <w:pPr>
        <w:ind w:right="52" w:firstLine="480"/>
        <w:spacing w:before="195" w:line="344" w:lineRule="auto"/>
        <w:rPr>
          <w:rFonts w:ascii="SimSun" w:hAnsi="SimSun" w:eastAsia="SimSun" w:cs="SimSun"/>
          <w:sz w:val="24"/>
          <w:szCs w:val="24"/>
        </w:rPr>
      </w:pPr>
      <w:r>
        <w:rPr>
          <w:rFonts w:ascii="SimSun" w:hAnsi="SimSun" w:eastAsia="SimSun" w:cs="SimSun"/>
          <w:sz w:val="24"/>
          <w:szCs w:val="24"/>
          <w:spacing w:val="-3"/>
        </w:rPr>
        <w:t>本项目为屠宰加工项目，原项目生猪屠宰规模7.8万头/年，改扩</w:t>
      </w:r>
      <w:r>
        <w:rPr>
          <w:rFonts w:ascii="SimSun" w:hAnsi="SimSun" w:eastAsia="SimSun" w:cs="SimSun"/>
          <w:sz w:val="24"/>
          <w:szCs w:val="24"/>
          <w:spacing w:val="-4"/>
        </w:rPr>
        <w:t>建完成后全</w:t>
      </w:r>
      <w:r>
        <w:rPr>
          <w:rFonts w:ascii="SimSun" w:hAnsi="SimSun" w:eastAsia="SimSun" w:cs="SimSun"/>
          <w:sz w:val="24"/>
          <w:szCs w:val="24"/>
        </w:rPr>
        <w:t xml:space="preserve"> </w:t>
      </w:r>
      <w:r>
        <w:rPr>
          <w:rFonts w:ascii="SimSun" w:hAnsi="SimSun" w:eastAsia="SimSun" w:cs="SimSun"/>
          <w:sz w:val="24"/>
          <w:szCs w:val="24"/>
          <w:spacing w:val="-3"/>
        </w:rPr>
        <w:t>厂规模为屠宰加工生猪40万头/年、肉牛4万头/年，根据《国民经济行业分类》</w:t>
      </w:r>
    </w:p>
    <w:p>
      <w:pPr>
        <w:ind w:left="110"/>
        <w:spacing w:line="212" w:lineRule="auto"/>
        <w:rPr>
          <w:rFonts w:ascii="SimSun" w:hAnsi="SimSun" w:eastAsia="SimSun" w:cs="SimSun"/>
          <w:sz w:val="24"/>
          <w:szCs w:val="24"/>
        </w:rPr>
      </w:pPr>
      <w:r>
        <w:rPr>
          <w:rFonts w:ascii="Times New Roman" w:hAnsi="Times New Roman" w:eastAsia="Times New Roman" w:cs="Times New Roman"/>
          <w:sz w:val="24"/>
          <w:szCs w:val="24"/>
          <w:spacing w:val="6"/>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6"/>
        </w:rPr>
        <w:t>/T4754-2017)     </w:t>
      </w:r>
      <w:r>
        <w:rPr>
          <w:rFonts w:ascii="SimSun" w:hAnsi="SimSun" w:eastAsia="SimSun" w:cs="SimSun"/>
          <w:sz w:val="24"/>
          <w:szCs w:val="24"/>
          <w:spacing w:val="6"/>
        </w:rPr>
        <w:t>(按第1号修改单修订),项目属于</w:t>
      </w:r>
      <w:r>
        <w:rPr>
          <w:rFonts w:ascii="SimSun" w:hAnsi="SimSun" w:eastAsia="SimSun" w:cs="SimSun"/>
          <w:sz w:val="24"/>
          <w:szCs w:val="24"/>
          <w:spacing w:val="-42"/>
        </w:rPr>
        <w:t xml:space="preserve"> </w:t>
      </w:r>
      <w:r>
        <w:rPr>
          <w:rFonts w:ascii="Times New Roman" w:hAnsi="Times New Roman" w:eastAsia="Times New Roman" w:cs="Times New Roman"/>
          <w:sz w:val="24"/>
          <w:szCs w:val="24"/>
          <w:spacing w:val="6"/>
        </w:rPr>
        <w:t>“C1351</w:t>
      </w:r>
      <w:r>
        <w:rPr>
          <w:rFonts w:ascii="Times New Roman" w:hAnsi="Times New Roman" w:eastAsia="Times New Roman" w:cs="Times New Roman"/>
          <w:sz w:val="24"/>
          <w:szCs w:val="24"/>
          <w:spacing w:val="-19"/>
        </w:rPr>
        <w:t xml:space="preserve"> </w:t>
      </w:r>
      <w:r>
        <w:rPr>
          <w:rFonts w:ascii="SimSun" w:hAnsi="SimSun" w:eastAsia="SimSun" w:cs="SimSun"/>
          <w:sz w:val="24"/>
          <w:szCs w:val="24"/>
          <w:spacing w:val="6"/>
        </w:rPr>
        <w:t>牲畜屠宰”。</w:t>
      </w:r>
    </w:p>
    <w:p>
      <w:pPr>
        <w:ind w:right="74"/>
        <w:spacing w:before="211" w:line="381" w:lineRule="auto"/>
        <w:rPr>
          <w:rFonts w:ascii="SimSun" w:hAnsi="SimSun" w:eastAsia="SimSun" w:cs="SimSun"/>
          <w:sz w:val="18"/>
          <w:szCs w:val="18"/>
        </w:rPr>
      </w:pPr>
      <w:r>
        <w:rPr>
          <w:rFonts w:ascii="SimSun" w:hAnsi="SimSun" w:eastAsia="SimSun" w:cs="SimSun"/>
          <w:sz w:val="24"/>
          <w:szCs w:val="24"/>
          <w:spacing w:val="6"/>
        </w:rPr>
        <w:t>根据国家发展和改革委员会令第7号《产业结构调整指导目录(2024年本)》的</w:t>
      </w:r>
      <w:r>
        <w:rPr>
          <w:rFonts w:ascii="SimSun" w:hAnsi="SimSun" w:eastAsia="SimSun" w:cs="SimSun"/>
          <w:sz w:val="24"/>
          <w:szCs w:val="24"/>
          <w:spacing w:val="5"/>
        </w:rPr>
        <w:t xml:space="preserve"> </w:t>
      </w:r>
      <w:r>
        <w:rPr>
          <w:rFonts w:ascii="SimSun" w:hAnsi="SimSun" w:eastAsia="SimSun" w:cs="SimSun"/>
          <w:sz w:val="24"/>
          <w:szCs w:val="24"/>
        </w:rPr>
        <w:t>有关规定，不属于鼓励类、限制类和淘汰类，且符</w:t>
      </w:r>
      <w:r>
        <w:rPr>
          <w:rFonts w:ascii="SimSun" w:hAnsi="SimSun" w:eastAsia="SimSun" w:cs="SimSun"/>
          <w:sz w:val="24"/>
          <w:szCs w:val="24"/>
          <w:spacing w:val="-1"/>
        </w:rPr>
        <w:t>合国家有关法律、法规和政</w:t>
      </w:r>
      <w:r>
        <w:rPr>
          <w:rFonts w:ascii="SimSun" w:hAnsi="SimSun" w:eastAsia="SimSun" w:cs="SimSun"/>
          <w:sz w:val="24"/>
          <w:szCs w:val="24"/>
        </w:rPr>
        <w:t xml:space="preserve">  </w:t>
      </w:r>
      <w:r>
        <w:rPr>
          <w:rFonts w:ascii="SimSun" w:hAnsi="SimSun" w:eastAsia="SimSun" w:cs="SimSun"/>
          <w:sz w:val="18"/>
          <w:szCs w:val="18"/>
          <w:spacing w:val="-11"/>
        </w:rPr>
        <w:t>策</w:t>
      </w:r>
      <w:r>
        <w:rPr>
          <w:rFonts w:ascii="SimSun" w:hAnsi="SimSun" w:eastAsia="SimSun" w:cs="SimSun"/>
          <w:sz w:val="18"/>
          <w:szCs w:val="18"/>
          <w:spacing w:val="-5"/>
        </w:rPr>
        <w:t xml:space="preserve"> </w:t>
      </w:r>
      <w:r>
        <w:rPr>
          <w:rFonts w:ascii="SimSun" w:hAnsi="SimSun" w:eastAsia="SimSun" w:cs="SimSun"/>
          <w:sz w:val="18"/>
          <w:szCs w:val="18"/>
          <w:spacing w:val="-11"/>
        </w:rPr>
        <w:t>规 定 的 ，</w:t>
      </w:r>
      <w:r>
        <w:rPr>
          <w:rFonts w:ascii="SimSun" w:hAnsi="SimSun" w:eastAsia="SimSun" w:cs="SimSun"/>
          <w:sz w:val="18"/>
          <w:szCs w:val="18"/>
          <w:spacing w:val="-16"/>
        </w:rPr>
        <w:t xml:space="preserve"> </w:t>
      </w:r>
      <w:r>
        <w:rPr>
          <w:rFonts w:ascii="SimSun" w:hAnsi="SimSun" w:eastAsia="SimSun" w:cs="SimSun"/>
          <w:sz w:val="18"/>
          <w:szCs w:val="18"/>
          <w:spacing w:val="-11"/>
        </w:rPr>
        <w:t>为 允</w:t>
      </w:r>
      <w:r>
        <w:rPr>
          <w:rFonts w:ascii="SimSun" w:hAnsi="SimSun" w:eastAsia="SimSun" w:cs="SimSun"/>
          <w:sz w:val="18"/>
          <w:szCs w:val="18"/>
          <w:spacing w:val="-17"/>
        </w:rPr>
        <w:t xml:space="preserve"> </w:t>
      </w:r>
      <w:r>
        <w:rPr>
          <w:rFonts w:ascii="SimSun" w:hAnsi="SimSun" w:eastAsia="SimSun" w:cs="SimSun"/>
          <w:sz w:val="18"/>
          <w:szCs w:val="18"/>
          <w:spacing w:val="-11"/>
        </w:rPr>
        <w:t>许</w:t>
      </w:r>
      <w:r>
        <w:rPr>
          <w:rFonts w:ascii="SimSun" w:hAnsi="SimSun" w:eastAsia="SimSun" w:cs="SimSun"/>
          <w:sz w:val="18"/>
          <w:szCs w:val="18"/>
          <w:spacing w:val="-18"/>
        </w:rPr>
        <w:t xml:space="preserve"> </w:t>
      </w:r>
      <w:r>
        <w:rPr>
          <w:rFonts w:ascii="SimSun" w:hAnsi="SimSun" w:eastAsia="SimSun" w:cs="SimSun"/>
          <w:sz w:val="18"/>
          <w:szCs w:val="18"/>
          <w:spacing w:val="-11"/>
        </w:rPr>
        <w:t>类</w:t>
      </w:r>
      <w:r>
        <w:rPr>
          <w:rFonts w:ascii="SimSun" w:hAnsi="SimSun" w:eastAsia="SimSun" w:cs="SimSun"/>
          <w:sz w:val="18"/>
          <w:szCs w:val="18"/>
          <w:spacing w:val="-25"/>
        </w:rPr>
        <w:t xml:space="preserve"> </w:t>
      </w:r>
      <w:r>
        <w:rPr>
          <w:rFonts w:ascii="SimSun" w:hAnsi="SimSun" w:eastAsia="SimSun" w:cs="SimSun"/>
          <w:sz w:val="18"/>
          <w:szCs w:val="18"/>
          <w:spacing w:val="-11"/>
        </w:rPr>
        <w:t>。</w:t>
      </w:r>
    </w:p>
    <w:p>
      <w:pPr>
        <w:spacing w:line="381" w:lineRule="auto"/>
        <w:sectPr>
          <w:headerReference w:type="default" r:id="rId10"/>
          <w:footerReference w:type="default" r:id="rId11"/>
          <w:pgSz w:w="11910" w:h="16840"/>
          <w:pgMar w:top="1204" w:right="1786" w:bottom="974" w:left="1779" w:header="927" w:footer="741" w:gutter="0"/>
        </w:sectPr>
        <w:rPr>
          <w:rFonts w:ascii="SimSun" w:hAnsi="SimSun" w:eastAsia="SimSun" w:cs="SimSun"/>
          <w:sz w:val="18"/>
          <w:szCs w:val="18"/>
        </w:rPr>
      </w:pPr>
    </w:p>
    <w:p>
      <w:pPr>
        <w:ind w:right="214" w:firstLine="480"/>
        <w:spacing w:before="277" w:line="378" w:lineRule="auto"/>
        <w:rPr>
          <w:rFonts w:ascii="SimSun" w:hAnsi="SimSun" w:eastAsia="SimSun" w:cs="SimSun"/>
          <w:sz w:val="23"/>
          <w:szCs w:val="23"/>
        </w:rPr>
      </w:pPr>
      <w:r>
        <w:rPr>
          <w:rFonts w:ascii="SimSun" w:hAnsi="SimSun" w:eastAsia="SimSun" w:cs="SimSun"/>
          <w:sz w:val="23"/>
          <w:szCs w:val="23"/>
          <w:spacing w:val="20"/>
        </w:rPr>
        <w:t>对照《产业发展与转移指导目录》(2018年本),本项目不属</w:t>
      </w:r>
      <w:r>
        <w:rPr>
          <w:rFonts w:ascii="SimSun" w:hAnsi="SimSun" w:eastAsia="SimSun" w:cs="SimSun"/>
          <w:sz w:val="23"/>
          <w:szCs w:val="23"/>
          <w:spacing w:val="19"/>
        </w:rPr>
        <w:t>于“第二</w:t>
      </w:r>
      <w:r>
        <w:rPr>
          <w:rFonts w:ascii="SimSun" w:hAnsi="SimSun" w:eastAsia="SimSun" w:cs="SimSun"/>
          <w:sz w:val="23"/>
          <w:szCs w:val="23"/>
        </w:rPr>
        <w:t xml:space="preserve">  </w:t>
      </w:r>
      <w:r>
        <w:rPr>
          <w:rFonts w:ascii="SimSun" w:hAnsi="SimSun" w:eastAsia="SimSun" w:cs="SimSun"/>
          <w:sz w:val="23"/>
          <w:szCs w:val="23"/>
          <w:spacing w:val="9"/>
        </w:rPr>
        <w:t>章”“第三节西部地区引导优化调整的产业”“四川省”中“引导逐步调整退</w:t>
      </w:r>
      <w:r>
        <w:rPr>
          <w:rFonts w:ascii="SimSun" w:hAnsi="SimSun" w:eastAsia="SimSun" w:cs="SimSun"/>
          <w:sz w:val="23"/>
          <w:szCs w:val="23"/>
          <w:spacing w:val="2"/>
        </w:rPr>
        <w:t xml:space="preserve"> </w:t>
      </w:r>
      <w:r>
        <w:rPr>
          <w:rFonts w:ascii="SimSun" w:hAnsi="SimSun" w:eastAsia="SimSun" w:cs="SimSun"/>
          <w:sz w:val="23"/>
          <w:szCs w:val="23"/>
          <w:spacing w:val="5"/>
        </w:rPr>
        <w:t>出的产业”及“引导不再承接的产业”。</w:t>
      </w:r>
    </w:p>
    <w:p>
      <w:pPr>
        <w:ind w:left="120" w:right="183" w:firstLine="360"/>
        <w:spacing w:line="371" w:lineRule="auto"/>
        <w:rPr>
          <w:rFonts w:ascii="SimSun" w:hAnsi="SimSun" w:eastAsia="SimSun" w:cs="SimSun"/>
          <w:sz w:val="23"/>
          <w:szCs w:val="23"/>
        </w:rPr>
      </w:pPr>
      <w:r>
        <w:rPr>
          <w:rFonts w:ascii="SimSun" w:hAnsi="SimSun" w:eastAsia="SimSun" w:cs="SimSun"/>
          <w:sz w:val="23"/>
          <w:szCs w:val="23"/>
          <w:spacing w:val="10"/>
        </w:rPr>
        <w:t>建设单位获得许可或检疫后方开始建设运营，不属于《市场准入负面</w:t>
      </w:r>
      <w:r>
        <w:rPr>
          <w:rFonts w:ascii="SimSun" w:hAnsi="SimSun" w:eastAsia="SimSun" w:cs="SimSun"/>
          <w:sz w:val="23"/>
          <w:szCs w:val="23"/>
          <w:spacing w:val="9"/>
        </w:rPr>
        <w:t>清单</w:t>
      </w:r>
      <w:r>
        <w:rPr>
          <w:rFonts w:ascii="SimSun" w:hAnsi="SimSun" w:eastAsia="SimSun" w:cs="SimSun"/>
          <w:sz w:val="23"/>
          <w:szCs w:val="23"/>
        </w:rPr>
        <w:t xml:space="preserve"> </w:t>
      </w:r>
      <w:r>
        <w:rPr>
          <w:rFonts w:ascii="SimSun" w:hAnsi="SimSun" w:eastAsia="SimSun" w:cs="SimSun"/>
          <w:sz w:val="23"/>
          <w:szCs w:val="23"/>
          <w:spacing w:val="13"/>
        </w:rPr>
        <w:t>(2022年版)》禁止范畴。</w:t>
      </w:r>
    </w:p>
    <w:p>
      <w:pPr>
        <w:ind w:left="5" w:right="180" w:firstLine="475"/>
        <w:spacing w:before="3" w:line="386" w:lineRule="auto"/>
        <w:rPr>
          <w:rFonts w:ascii="SimSun" w:hAnsi="SimSun" w:eastAsia="SimSun" w:cs="SimSun"/>
          <w:sz w:val="23"/>
          <w:szCs w:val="23"/>
        </w:rPr>
      </w:pPr>
      <w:r>
        <w:rPr>
          <w:rFonts w:ascii="SimSun" w:hAnsi="SimSun" w:eastAsia="SimSun" w:cs="SimSun"/>
          <w:sz w:val="23"/>
          <w:szCs w:val="23"/>
          <w:spacing w:val="6"/>
        </w:rPr>
        <w:t>本项目生猪屠宰规模为40万头/年、肉牛屠宰规模为4万头/年，用地</w:t>
      </w:r>
      <w:r>
        <w:rPr>
          <w:rFonts w:ascii="SimSun" w:hAnsi="SimSun" w:eastAsia="SimSun" w:cs="SimSun"/>
          <w:sz w:val="23"/>
          <w:szCs w:val="23"/>
          <w:spacing w:val="5"/>
        </w:rPr>
        <w:t>不属于</w:t>
      </w:r>
      <w:r>
        <w:rPr>
          <w:rFonts w:ascii="SimSun" w:hAnsi="SimSun" w:eastAsia="SimSun" w:cs="SimSun"/>
          <w:sz w:val="23"/>
          <w:szCs w:val="23"/>
        </w:rPr>
        <w:t xml:space="preserve"> </w:t>
      </w:r>
      <w:r>
        <w:rPr>
          <w:rFonts w:ascii="SimSun" w:hAnsi="SimSun" w:eastAsia="SimSun" w:cs="SimSun"/>
          <w:sz w:val="23"/>
          <w:szCs w:val="23"/>
          <w:spacing w:val="19"/>
        </w:rPr>
        <w:t>《自然资源要素支撑产业高质量发展指导目录(2024年本)》(自然资发</w:t>
      </w:r>
    </w:p>
    <w:p>
      <w:pPr>
        <w:spacing w:line="219" w:lineRule="auto"/>
        <w:rPr>
          <w:rFonts w:ascii="SimSun" w:hAnsi="SimSun" w:eastAsia="SimSun" w:cs="SimSun"/>
          <w:sz w:val="23"/>
          <w:szCs w:val="23"/>
        </w:rPr>
      </w:pPr>
      <w:r>
        <w:rPr>
          <w:rFonts w:ascii="SimSun" w:hAnsi="SimSun" w:eastAsia="SimSun" w:cs="SimSun"/>
          <w:sz w:val="23"/>
          <w:szCs w:val="23"/>
          <w:spacing w:val="8"/>
        </w:rPr>
        <w:t>[2024]273号)中限制类和禁止类的项目。</w:t>
      </w:r>
    </w:p>
    <w:p>
      <w:pPr>
        <w:ind w:right="51" w:firstLine="480"/>
        <w:spacing w:before="176" w:line="361" w:lineRule="auto"/>
        <w:rPr>
          <w:rFonts w:ascii="SimSun" w:hAnsi="SimSun" w:eastAsia="SimSun" w:cs="SimSun"/>
          <w:sz w:val="23"/>
          <w:szCs w:val="23"/>
        </w:rPr>
      </w:pPr>
      <w:r>
        <w:rPr>
          <w:rFonts w:ascii="SimSun" w:hAnsi="SimSun" w:eastAsia="SimSun" w:cs="SimSun"/>
          <w:sz w:val="23"/>
          <w:szCs w:val="23"/>
          <w:spacing w:val="12"/>
        </w:rPr>
        <w:t>同时，本项目于2024年12月20日在安州区发展和改革局进行了备案，备案</w:t>
      </w:r>
      <w:r>
        <w:rPr>
          <w:rFonts w:ascii="SimSun" w:hAnsi="SimSun" w:eastAsia="SimSun" w:cs="SimSun"/>
          <w:sz w:val="23"/>
          <w:szCs w:val="23"/>
          <w:spacing w:val="18"/>
        </w:rPr>
        <w:t xml:space="preserve"> </w:t>
      </w:r>
      <w:r>
        <w:rPr>
          <w:rFonts w:ascii="SimSun" w:hAnsi="SimSun" w:eastAsia="SimSun" w:cs="SimSun"/>
          <w:sz w:val="23"/>
          <w:szCs w:val="23"/>
        </w:rPr>
        <w:t>号为：川投资备【2412-510724-04-01-745145】</w:t>
      </w:r>
      <w:r>
        <w:rPr>
          <w:rFonts w:ascii="Times New Roman" w:hAnsi="Times New Roman" w:eastAsia="Times New Roman" w:cs="Times New Roman"/>
          <w:sz w:val="23"/>
          <w:szCs w:val="23"/>
        </w:rPr>
        <w:t>FGQ</w:t>
      </w:r>
      <w:r>
        <w:rPr>
          <w:rFonts w:ascii="Times New Roman" w:hAnsi="Times New Roman" w:eastAsia="Times New Roman" w:cs="Times New Roman"/>
          <w:sz w:val="23"/>
          <w:szCs w:val="23"/>
          <w:spacing w:val="-1"/>
        </w:rPr>
        <w:t>B-2160</w:t>
      </w:r>
      <w:r>
        <w:rPr>
          <w:rFonts w:ascii="Times New Roman" w:hAnsi="Times New Roman" w:eastAsia="Times New Roman" w:cs="Times New Roman"/>
          <w:sz w:val="23"/>
          <w:szCs w:val="23"/>
          <w:spacing w:val="26"/>
          <w:w w:val="101"/>
        </w:rPr>
        <w:t xml:space="preserve"> </w:t>
      </w:r>
      <w:r>
        <w:rPr>
          <w:rFonts w:ascii="SimSun" w:hAnsi="SimSun" w:eastAsia="SimSun" w:cs="SimSun"/>
          <w:sz w:val="23"/>
          <w:szCs w:val="23"/>
          <w:spacing w:val="-1"/>
        </w:rPr>
        <w:t>号。</w:t>
      </w:r>
    </w:p>
    <w:p>
      <w:pPr>
        <w:ind w:left="480"/>
        <w:spacing w:before="19" w:line="219" w:lineRule="auto"/>
        <w:rPr>
          <w:rFonts w:ascii="SimSun" w:hAnsi="SimSun" w:eastAsia="SimSun" w:cs="SimSun"/>
          <w:sz w:val="23"/>
          <w:szCs w:val="23"/>
        </w:rPr>
      </w:pPr>
      <w:r>
        <w:rPr>
          <w:rFonts w:ascii="SimSun" w:hAnsi="SimSun" w:eastAsia="SimSun" w:cs="SimSun"/>
          <w:sz w:val="23"/>
          <w:szCs w:val="23"/>
          <w:spacing w:val="7"/>
        </w:rPr>
        <w:t>因此，本项目的建设符合国家现行产业政策。</w:t>
      </w:r>
    </w:p>
    <w:p>
      <w:pPr>
        <w:ind w:left="3"/>
        <w:spacing w:before="194" w:line="222" w:lineRule="auto"/>
        <w:rPr>
          <w:rFonts w:ascii="SimHei" w:hAnsi="SimHei" w:eastAsia="SimHei" w:cs="SimHei"/>
          <w:sz w:val="27"/>
          <w:szCs w:val="27"/>
        </w:rPr>
      </w:pPr>
      <w:r>
        <w:rPr>
          <w:rFonts w:ascii="SimHei" w:hAnsi="SimHei" w:eastAsia="SimHei" w:cs="SimHei"/>
          <w:sz w:val="27"/>
          <w:szCs w:val="27"/>
          <w:b/>
          <w:bCs/>
          <w:spacing w:val="-6"/>
        </w:rPr>
        <w:t>0.4.2相关规划符合性判定</w:t>
      </w:r>
    </w:p>
    <w:p>
      <w:pPr>
        <w:ind w:right="103" w:firstLine="480"/>
        <w:spacing w:before="231" w:line="375" w:lineRule="auto"/>
        <w:rPr>
          <w:rFonts w:ascii="SimSun" w:hAnsi="SimSun" w:eastAsia="SimSun" w:cs="SimSun"/>
          <w:sz w:val="23"/>
          <w:szCs w:val="23"/>
        </w:rPr>
      </w:pPr>
      <w:r>
        <w:rPr>
          <w:rFonts w:ascii="SimSun" w:hAnsi="SimSun" w:eastAsia="SimSun" w:cs="SimSun"/>
          <w:sz w:val="23"/>
          <w:szCs w:val="23"/>
          <w:spacing w:val="14"/>
        </w:rPr>
        <w:t>本项目建设与《四川省国土空间规划(2021-2035年)》、</w:t>
      </w:r>
      <w:r>
        <w:rPr>
          <w:rFonts w:ascii="SimSun" w:hAnsi="SimSun" w:eastAsia="SimSun" w:cs="SimSun"/>
          <w:sz w:val="23"/>
          <w:szCs w:val="23"/>
          <w:spacing w:val="13"/>
        </w:rPr>
        <w:t>《生猪屠宰管理</w:t>
      </w:r>
      <w:r>
        <w:rPr>
          <w:rFonts w:ascii="SimSun" w:hAnsi="SimSun" w:eastAsia="SimSun" w:cs="SimSun"/>
          <w:sz w:val="23"/>
          <w:szCs w:val="23"/>
        </w:rPr>
        <w:t xml:space="preserve"> </w:t>
      </w:r>
      <w:r>
        <w:rPr>
          <w:rFonts w:ascii="SimSun" w:hAnsi="SimSun" w:eastAsia="SimSun" w:cs="SimSun"/>
          <w:sz w:val="23"/>
          <w:szCs w:val="23"/>
          <w:spacing w:val="18"/>
        </w:rPr>
        <w:t>条例》(中华人民共和国国务院令第742号)、《</w:t>
      </w:r>
      <w:r>
        <w:rPr>
          <w:rFonts w:ascii="SimSun" w:hAnsi="SimSun" w:eastAsia="SimSun" w:cs="SimSun"/>
          <w:sz w:val="23"/>
          <w:szCs w:val="23"/>
          <w:spacing w:val="17"/>
        </w:rPr>
        <w:t>食品安全国家标准食品生产</w:t>
      </w:r>
      <w:r>
        <w:rPr>
          <w:rFonts w:ascii="SimSun" w:hAnsi="SimSun" w:eastAsia="SimSun" w:cs="SimSun"/>
          <w:sz w:val="23"/>
          <w:szCs w:val="23"/>
        </w:rPr>
        <w:t xml:space="preserve">  </w:t>
      </w:r>
      <w:r>
        <w:rPr>
          <w:rFonts w:ascii="SimSun" w:hAnsi="SimSun" w:eastAsia="SimSun" w:cs="SimSun"/>
          <w:sz w:val="23"/>
          <w:szCs w:val="23"/>
          <w:spacing w:val="5"/>
        </w:rPr>
        <w:t>通用卫生规范》</w:t>
      </w:r>
      <w:r>
        <w:rPr>
          <w:rFonts w:ascii="SimSun" w:hAnsi="SimSun" w:eastAsia="SimSun" w:cs="SimSun"/>
          <w:sz w:val="23"/>
          <w:szCs w:val="23"/>
          <w:spacing w:val="75"/>
        </w:rPr>
        <w:t xml:space="preserve"> </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5"/>
        </w:rPr>
        <w:t>14881-2013)</w:t>
      </w:r>
      <w:r>
        <w:rPr>
          <w:rFonts w:ascii="SimSun" w:hAnsi="SimSun" w:eastAsia="SimSun" w:cs="SimSun"/>
          <w:sz w:val="23"/>
          <w:szCs w:val="23"/>
          <w:spacing w:val="5"/>
        </w:rPr>
        <w:t>、《</w:t>
      </w:r>
      <w:r>
        <w:rPr>
          <w:rFonts w:ascii="SimSun" w:hAnsi="SimSun" w:eastAsia="SimSun" w:cs="SimSun"/>
          <w:sz w:val="23"/>
          <w:szCs w:val="23"/>
          <w:spacing w:val="39"/>
        </w:rPr>
        <w:t xml:space="preserve">  </w:t>
      </w:r>
      <w:r>
        <w:rPr>
          <w:rFonts w:ascii="SimSun" w:hAnsi="SimSun" w:eastAsia="SimSun" w:cs="SimSun"/>
          <w:sz w:val="23"/>
          <w:szCs w:val="23"/>
          <w:spacing w:val="5"/>
        </w:rPr>
        <w:t>食品安</w:t>
      </w:r>
      <w:r>
        <w:rPr>
          <w:rFonts w:ascii="SimSun" w:hAnsi="SimSun" w:eastAsia="SimSun" w:cs="SimSun"/>
          <w:sz w:val="23"/>
          <w:szCs w:val="23"/>
          <w:spacing w:val="4"/>
        </w:rPr>
        <w:t>全国家标准畜禽屠宰加工卫生规</w:t>
      </w:r>
      <w:r>
        <w:rPr>
          <w:rFonts w:ascii="SimSun" w:hAnsi="SimSun" w:eastAsia="SimSun" w:cs="SimSun"/>
          <w:sz w:val="23"/>
          <w:szCs w:val="23"/>
        </w:rPr>
        <w:t xml:space="preserve"> </w:t>
      </w:r>
      <w:r>
        <w:rPr>
          <w:rFonts w:ascii="SimSun" w:hAnsi="SimSun" w:eastAsia="SimSun" w:cs="SimSun"/>
          <w:sz w:val="23"/>
          <w:szCs w:val="23"/>
          <w:spacing w:val="10"/>
        </w:rPr>
        <w:t>范</w:t>
      </w:r>
      <w:r>
        <w:rPr>
          <w:rFonts w:ascii="SimSun" w:hAnsi="SimSun" w:eastAsia="SimSun" w:cs="SimSun"/>
          <w:sz w:val="23"/>
          <w:szCs w:val="23"/>
          <w:spacing w:val="-26"/>
        </w:rPr>
        <w:t xml:space="preserve"> </w:t>
      </w:r>
      <w:r>
        <w:rPr>
          <w:rFonts w:ascii="SimSun" w:hAnsi="SimSun" w:eastAsia="SimSun" w:cs="SimSun"/>
          <w:sz w:val="23"/>
          <w:szCs w:val="23"/>
          <w:spacing w:val="10"/>
        </w:rPr>
        <w:t>》</w:t>
      </w:r>
      <w:r>
        <w:rPr>
          <w:rFonts w:ascii="SimSun" w:hAnsi="SimSun" w:eastAsia="SimSun" w:cs="SimSun"/>
          <w:sz w:val="23"/>
          <w:szCs w:val="23"/>
          <w:spacing w:val="-49"/>
        </w:rPr>
        <w:t xml:space="preserve"> </w:t>
      </w:r>
      <w:r>
        <w:rPr>
          <w:rFonts w:ascii="Times New Roman" w:hAnsi="Times New Roman" w:eastAsia="Times New Roman" w:cs="Times New Roman"/>
          <w:sz w:val="23"/>
          <w:szCs w:val="23"/>
          <w:spacing w:val="10"/>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10"/>
        </w:rPr>
        <w:t>12694-2016)</w:t>
      </w:r>
      <w:r>
        <w:rPr>
          <w:rFonts w:ascii="SimSun" w:hAnsi="SimSun" w:eastAsia="SimSun" w:cs="SimSun"/>
          <w:sz w:val="23"/>
          <w:szCs w:val="23"/>
          <w:spacing w:val="10"/>
        </w:rPr>
        <w:t>、《</w:t>
      </w:r>
      <w:r>
        <w:rPr>
          <w:rFonts w:ascii="SimSun" w:hAnsi="SimSun" w:eastAsia="SimSun" w:cs="SimSun"/>
          <w:sz w:val="23"/>
          <w:szCs w:val="23"/>
          <w:spacing w:val="39"/>
        </w:rPr>
        <w:t xml:space="preserve">  </w:t>
      </w:r>
      <w:r>
        <w:rPr>
          <w:rFonts w:ascii="SimSun" w:hAnsi="SimSun" w:eastAsia="SimSun" w:cs="SimSun"/>
          <w:sz w:val="23"/>
          <w:szCs w:val="23"/>
          <w:spacing w:val="10"/>
        </w:rPr>
        <w:t>动物防疫条件审查办法》(2022年第8号)、《四</w:t>
      </w:r>
      <w:r>
        <w:rPr>
          <w:rFonts w:ascii="SimSun" w:hAnsi="SimSun" w:eastAsia="SimSun" w:cs="SimSun"/>
          <w:sz w:val="23"/>
          <w:szCs w:val="23"/>
        </w:rPr>
        <w:t xml:space="preserve">  </w:t>
      </w:r>
      <w:r>
        <w:rPr>
          <w:rFonts w:ascii="SimSun" w:hAnsi="SimSun" w:eastAsia="SimSun" w:cs="SimSun"/>
          <w:sz w:val="23"/>
          <w:szCs w:val="23"/>
          <w:spacing w:val="15"/>
        </w:rPr>
        <w:t>川省生猪屠宰管理办法》(四川省人民政府令第111号发布及第244号修订</w:t>
      </w:r>
      <w:r>
        <w:rPr>
          <w:rFonts w:ascii="SimSun" w:hAnsi="SimSun" w:eastAsia="SimSun" w:cs="SimSun"/>
          <w:sz w:val="23"/>
          <w:szCs w:val="23"/>
          <w:spacing w:val="14"/>
        </w:rPr>
        <w:t>)、</w:t>
      </w:r>
    </w:p>
    <w:p>
      <w:pPr>
        <w:ind w:right="133" w:firstLine="5"/>
        <w:spacing w:before="14" w:line="378" w:lineRule="auto"/>
        <w:rPr>
          <w:rFonts w:ascii="SimSun" w:hAnsi="SimSun" w:eastAsia="SimSun" w:cs="SimSun"/>
          <w:sz w:val="23"/>
          <w:szCs w:val="23"/>
        </w:rPr>
      </w:pPr>
      <w:r>
        <w:rPr>
          <w:rFonts w:ascii="SimSun" w:hAnsi="SimSun" w:eastAsia="SimSun" w:cs="SimSun"/>
          <w:sz w:val="23"/>
          <w:szCs w:val="23"/>
          <w:spacing w:val="13"/>
        </w:rPr>
        <w:t>《四川省生猪屠宰行业发展规划》(川农规[2023]3号)、《长江经济带生态环</w:t>
      </w:r>
      <w:r>
        <w:rPr>
          <w:rFonts w:ascii="SimSun" w:hAnsi="SimSun" w:eastAsia="SimSun" w:cs="SimSun"/>
          <w:sz w:val="23"/>
          <w:szCs w:val="23"/>
          <w:spacing w:val="5"/>
        </w:rPr>
        <w:t xml:space="preserve"> </w:t>
      </w:r>
      <w:r>
        <w:rPr>
          <w:rFonts w:ascii="SimSun" w:hAnsi="SimSun" w:eastAsia="SimSun" w:cs="SimSun"/>
          <w:sz w:val="23"/>
          <w:szCs w:val="23"/>
          <w:spacing w:val="13"/>
        </w:rPr>
        <w:t>境保护规划》(环规财[2017]88号)、《</w:t>
      </w:r>
      <w:r>
        <w:rPr>
          <w:rFonts w:ascii="SimSun" w:hAnsi="SimSun" w:eastAsia="SimSun" w:cs="SimSun"/>
          <w:sz w:val="23"/>
          <w:szCs w:val="23"/>
          <w:spacing w:val="12"/>
        </w:rPr>
        <w:t>四川省、重庆市长江经济带发展负面</w:t>
      </w:r>
      <w:r>
        <w:rPr>
          <w:rFonts w:ascii="SimSun" w:hAnsi="SimSun" w:eastAsia="SimSun" w:cs="SimSun"/>
          <w:sz w:val="23"/>
          <w:szCs w:val="23"/>
        </w:rPr>
        <w:t xml:space="preserve">  </w:t>
      </w:r>
      <w:r>
        <w:rPr>
          <w:rFonts w:ascii="SimSun" w:hAnsi="SimSun" w:eastAsia="SimSun" w:cs="SimSun"/>
          <w:sz w:val="23"/>
          <w:szCs w:val="23"/>
          <w:spacing w:val="18"/>
        </w:rPr>
        <w:t>清单实施细则(试行，2022年版)》(川长江办[2022]1</w:t>
      </w:r>
      <w:r>
        <w:rPr>
          <w:rFonts w:ascii="SimSun" w:hAnsi="SimSun" w:eastAsia="SimSun" w:cs="SimSun"/>
          <w:sz w:val="23"/>
          <w:szCs w:val="23"/>
          <w:spacing w:val="17"/>
        </w:rPr>
        <w:t>7号)、《长江经济带</w:t>
      </w:r>
      <w:r>
        <w:rPr>
          <w:rFonts w:ascii="SimSun" w:hAnsi="SimSun" w:eastAsia="SimSun" w:cs="SimSun"/>
          <w:sz w:val="23"/>
          <w:szCs w:val="23"/>
        </w:rPr>
        <w:t xml:space="preserve">  </w:t>
      </w:r>
      <w:r>
        <w:rPr>
          <w:rFonts w:ascii="SimSun" w:hAnsi="SimSun" w:eastAsia="SimSun" w:cs="SimSun"/>
          <w:sz w:val="23"/>
          <w:szCs w:val="23"/>
          <w:spacing w:val="18"/>
        </w:rPr>
        <w:t>发展负面清单指南(试行，2022年版)》(长江办[2022]</w:t>
      </w:r>
      <w:r>
        <w:rPr>
          <w:rFonts w:ascii="SimSun" w:hAnsi="SimSun" w:eastAsia="SimSun" w:cs="SimSun"/>
          <w:sz w:val="23"/>
          <w:szCs w:val="23"/>
          <w:spacing w:val="17"/>
        </w:rPr>
        <w:t>7号)等相符。</w:t>
      </w:r>
    </w:p>
    <w:p>
      <w:pPr>
        <w:ind w:left="3"/>
        <w:spacing w:before="20" w:line="221" w:lineRule="auto"/>
        <w:rPr>
          <w:rFonts w:ascii="SimHei" w:hAnsi="SimHei" w:eastAsia="SimHei" w:cs="SimHei"/>
          <w:sz w:val="23"/>
          <w:szCs w:val="23"/>
        </w:rPr>
      </w:pPr>
      <w:r>
        <w:rPr>
          <w:rFonts w:ascii="SimHei" w:hAnsi="SimHei" w:eastAsia="SimHei" w:cs="SimHei"/>
          <w:sz w:val="23"/>
          <w:szCs w:val="23"/>
          <w:b/>
          <w:bCs/>
          <w:spacing w:val="22"/>
        </w:rPr>
        <w:t>0.4.3评价类型判定</w:t>
      </w:r>
    </w:p>
    <w:p>
      <w:pPr>
        <w:ind w:left="480"/>
        <w:spacing w:before="218" w:line="218" w:lineRule="auto"/>
        <w:rPr>
          <w:rFonts w:ascii="SimSun" w:hAnsi="SimSun" w:eastAsia="SimSun" w:cs="SimSun"/>
          <w:sz w:val="23"/>
          <w:szCs w:val="23"/>
        </w:rPr>
      </w:pPr>
      <w:r>
        <w:rPr>
          <w:rFonts w:ascii="SimSun" w:hAnsi="SimSun" w:eastAsia="SimSun" w:cs="SimSun"/>
          <w:sz w:val="23"/>
          <w:szCs w:val="23"/>
          <w:spacing w:val="9"/>
        </w:rPr>
        <w:t>根据《中华人民共和国环境保护法》、《中华人民共和国环境影响评价</w:t>
      </w:r>
    </w:p>
    <w:p>
      <w:pPr>
        <w:ind w:right="213"/>
        <w:spacing w:before="177" w:line="362" w:lineRule="auto"/>
        <w:rPr>
          <w:rFonts w:ascii="SimSun" w:hAnsi="SimSun" w:eastAsia="SimSun" w:cs="SimSun"/>
          <w:sz w:val="23"/>
          <w:szCs w:val="23"/>
        </w:rPr>
      </w:pPr>
      <w:r>
        <w:rPr>
          <w:rFonts w:ascii="SimSun" w:hAnsi="SimSun" w:eastAsia="SimSun" w:cs="SimSun"/>
          <w:sz w:val="23"/>
          <w:szCs w:val="23"/>
          <w:spacing w:val="9"/>
        </w:rPr>
        <w:t>法》和《建设项目环境保护管理条例》等规定，项目建设应开展环境影响评价</w:t>
      </w:r>
      <w:r>
        <w:rPr>
          <w:rFonts w:ascii="SimSun" w:hAnsi="SimSun" w:eastAsia="SimSun" w:cs="SimSun"/>
          <w:sz w:val="23"/>
          <w:szCs w:val="23"/>
          <w:spacing w:val="3"/>
        </w:rPr>
        <w:t xml:space="preserve"> </w:t>
      </w:r>
      <w:r>
        <w:rPr>
          <w:rFonts w:ascii="SimSun" w:hAnsi="SimSun" w:eastAsia="SimSun" w:cs="SimSun"/>
          <w:sz w:val="23"/>
          <w:szCs w:val="23"/>
          <w:spacing w:val="16"/>
        </w:rPr>
        <w:t>工作。根据《建设项目环境影响评价分类管理名录》(2021年版)的有关规</w:t>
      </w:r>
    </w:p>
    <w:p>
      <w:pPr>
        <w:ind w:right="74"/>
        <w:spacing w:before="3" w:line="361" w:lineRule="auto"/>
        <w:rPr>
          <w:rFonts w:ascii="SimSun" w:hAnsi="SimSun" w:eastAsia="SimSun" w:cs="SimSun"/>
          <w:sz w:val="23"/>
          <w:szCs w:val="23"/>
        </w:rPr>
      </w:pPr>
      <w:r>
        <w:rPr>
          <w:rFonts w:ascii="SimSun" w:hAnsi="SimSun" w:eastAsia="SimSun" w:cs="SimSun"/>
          <w:sz w:val="23"/>
          <w:szCs w:val="23"/>
          <w:spacing w:val="9"/>
        </w:rPr>
        <w:t>定，本项目属于名录中“十、农副食品加工，18、屠宰及肉类加工</w:t>
      </w:r>
      <w:r>
        <w:rPr>
          <w:rFonts w:ascii="SimSun" w:hAnsi="SimSun" w:eastAsia="SimSun" w:cs="SimSun"/>
          <w:sz w:val="23"/>
          <w:szCs w:val="23"/>
          <w:spacing w:val="8"/>
        </w:rPr>
        <w:t>”中的“屠</w:t>
      </w:r>
      <w:r>
        <w:rPr>
          <w:rFonts w:ascii="SimSun" w:hAnsi="SimSun" w:eastAsia="SimSun" w:cs="SimSun"/>
          <w:sz w:val="23"/>
          <w:szCs w:val="23"/>
        </w:rPr>
        <w:t xml:space="preserve">  </w:t>
      </w:r>
      <w:r>
        <w:rPr>
          <w:rFonts w:ascii="SimSun" w:hAnsi="SimSun" w:eastAsia="SimSun" w:cs="SimSun"/>
          <w:sz w:val="23"/>
          <w:szCs w:val="23"/>
          <w:spacing w:val="9"/>
        </w:rPr>
        <w:t>宰生猪10万头、肉牛1万头、肉羊15万只</w:t>
      </w:r>
      <w:r>
        <w:rPr>
          <w:rFonts w:ascii="SimSun" w:hAnsi="SimSun" w:eastAsia="SimSun" w:cs="SimSun"/>
          <w:sz w:val="23"/>
          <w:szCs w:val="23"/>
          <w:spacing w:val="8"/>
        </w:rPr>
        <w:t>、禽类1000万只及以上的”项目，因此</w:t>
      </w:r>
      <w:r>
        <w:rPr>
          <w:rFonts w:ascii="SimSun" w:hAnsi="SimSun" w:eastAsia="SimSun" w:cs="SimSun"/>
          <w:sz w:val="23"/>
          <w:szCs w:val="23"/>
        </w:rPr>
        <w:t xml:space="preserve"> </w:t>
      </w:r>
      <w:r>
        <w:rPr>
          <w:rFonts w:ascii="SimSun" w:hAnsi="SimSun" w:eastAsia="SimSun" w:cs="SimSun"/>
          <w:sz w:val="23"/>
          <w:szCs w:val="23"/>
          <w:spacing w:val="6"/>
        </w:rPr>
        <w:t>项目需编制环境影响报告书。</w:t>
      </w:r>
    </w:p>
    <w:p>
      <w:pPr>
        <w:spacing w:before="105" w:line="222" w:lineRule="auto"/>
        <w:rPr>
          <w:rFonts w:ascii="SimHei" w:hAnsi="SimHei" w:eastAsia="SimHei" w:cs="SimHei"/>
          <w:sz w:val="27"/>
          <w:szCs w:val="27"/>
        </w:rPr>
      </w:pPr>
      <w:r>
        <w:rPr>
          <w:rFonts w:ascii="Times New Roman" w:hAnsi="Times New Roman" w:eastAsia="Times New Roman" w:cs="Times New Roman"/>
          <w:sz w:val="27"/>
          <w:szCs w:val="27"/>
          <w:spacing w:val="5"/>
        </w:rPr>
        <w:t>0.4.</w:t>
      </w:r>
      <w:r>
        <w:rPr>
          <w:rFonts w:ascii="SimHei" w:hAnsi="SimHei" w:eastAsia="SimHei" w:cs="SimHei"/>
          <w:sz w:val="27"/>
          <w:szCs w:val="27"/>
          <w:b/>
          <w:bCs/>
          <w:spacing w:val="5"/>
        </w:rPr>
        <w:t>4生态环境分区管控符合性判定</w:t>
      </w:r>
    </w:p>
    <w:p>
      <w:pPr>
        <w:spacing w:line="222" w:lineRule="auto"/>
        <w:sectPr>
          <w:headerReference w:type="default" r:id="rId13"/>
          <w:footerReference w:type="default" r:id="rId14"/>
          <w:pgSz w:w="11910" w:h="16840"/>
          <w:pgMar w:top="1219" w:right="1786" w:bottom="980" w:left="1779" w:header="865" w:footer="755" w:gutter="0"/>
        </w:sectPr>
        <w:rPr>
          <w:rFonts w:ascii="SimHei" w:hAnsi="SimHei" w:eastAsia="SimHei" w:cs="SimHei"/>
          <w:sz w:val="27"/>
          <w:szCs w:val="27"/>
        </w:rPr>
      </w:pPr>
    </w:p>
    <w:p>
      <w:pPr>
        <w:ind w:right="169" w:firstLine="475"/>
        <w:spacing w:before="270" w:line="377" w:lineRule="auto"/>
        <w:rPr>
          <w:rFonts w:ascii="SimSun" w:hAnsi="SimSun" w:eastAsia="SimSun" w:cs="SimSun"/>
          <w:sz w:val="23"/>
          <w:szCs w:val="23"/>
        </w:rPr>
      </w:pPr>
      <w:r>
        <w:rPr>
          <w:rFonts w:ascii="SimSun" w:hAnsi="SimSun" w:eastAsia="SimSun" w:cs="SimSun"/>
          <w:sz w:val="23"/>
          <w:szCs w:val="23"/>
          <w:spacing w:val="10"/>
        </w:rPr>
        <w:t>本项目位于四川绵阳安州工业园区，项目选址不在划定</w:t>
      </w:r>
      <w:r>
        <w:rPr>
          <w:rFonts w:ascii="SimSun" w:hAnsi="SimSun" w:eastAsia="SimSun" w:cs="SimSun"/>
          <w:sz w:val="23"/>
          <w:szCs w:val="23"/>
          <w:spacing w:val="9"/>
        </w:rPr>
        <w:t>的生态保护红线范</w:t>
      </w:r>
      <w:r>
        <w:rPr>
          <w:rFonts w:ascii="SimSun" w:hAnsi="SimSun" w:eastAsia="SimSun" w:cs="SimSun"/>
          <w:sz w:val="23"/>
          <w:szCs w:val="23"/>
        </w:rPr>
        <w:t xml:space="preserve"> </w:t>
      </w:r>
      <w:r>
        <w:rPr>
          <w:rFonts w:ascii="SimSun" w:hAnsi="SimSun" w:eastAsia="SimSun" w:cs="SimSun"/>
          <w:sz w:val="23"/>
          <w:szCs w:val="23"/>
          <w:spacing w:val="9"/>
        </w:rPr>
        <w:t>围内，项目建设符合四川省生态保护红线方案的相关要求；项目用地不占用基</w:t>
      </w:r>
      <w:r>
        <w:rPr>
          <w:rFonts w:ascii="SimSun" w:hAnsi="SimSun" w:eastAsia="SimSun" w:cs="SimSun"/>
          <w:sz w:val="23"/>
          <w:szCs w:val="23"/>
          <w:spacing w:val="18"/>
        </w:rPr>
        <w:t xml:space="preserve"> </w:t>
      </w:r>
      <w:r>
        <w:rPr>
          <w:rFonts w:ascii="SimSun" w:hAnsi="SimSun" w:eastAsia="SimSun" w:cs="SimSun"/>
          <w:sz w:val="23"/>
          <w:szCs w:val="23"/>
          <w:spacing w:val="10"/>
        </w:rPr>
        <w:t>本农田，不涉及土地资源利用上线；项目需要的</w:t>
      </w:r>
      <w:r>
        <w:rPr>
          <w:rFonts w:ascii="SimSun" w:hAnsi="SimSun" w:eastAsia="SimSun" w:cs="SimSun"/>
          <w:sz w:val="23"/>
          <w:szCs w:val="23"/>
          <w:spacing w:val="9"/>
        </w:rPr>
        <w:t>原辅材料量较小，均在当地市</w:t>
      </w:r>
      <w:r>
        <w:rPr>
          <w:rFonts w:ascii="SimSun" w:hAnsi="SimSun" w:eastAsia="SimSun" w:cs="SimSun"/>
          <w:sz w:val="23"/>
          <w:szCs w:val="23"/>
        </w:rPr>
        <w:t xml:space="preserve"> </w:t>
      </w:r>
      <w:r>
        <w:rPr>
          <w:rFonts w:ascii="SimSun" w:hAnsi="SimSun" w:eastAsia="SimSun" w:cs="SimSun"/>
          <w:sz w:val="23"/>
          <w:szCs w:val="23"/>
          <w:spacing w:val="10"/>
        </w:rPr>
        <w:t>场购买；项目对当地的资源需求量很少，未涉及资源利用上线。本项目不属于</w:t>
      </w:r>
      <w:r>
        <w:rPr>
          <w:rFonts w:ascii="SimSun" w:hAnsi="SimSun" w:eastAsia="SimSun" w:cs="SimSun"/>
          <w:sz w:val="23"/>
          <w:szCs w:val="23"/>
          <w:spacing w:val="17"/>
        </w:rPr>
        <w:t xml:space="preserve"> </w:t>
      </w:r>
      <w:r>
        <w:rPr>
          <w:rFonts w:ascii="SimSun" w:hAnsi="SimSun" w:eastAsia="SimSun" w:cs="SimSun"/>
          <w:sz w:val="23"/>
          <w:szCs w:val="23"/>
          <w:spacing w:val="16"/>
        </w:rPr>
        <w:t>《四川省、重庆市长江经济带发展负面清单实施细则(试行，2022年版)》</w:t>
      </w:r>
    </w:p>
    <w:p>
      <w:pPr>
        <w:ind w:left="4" w:right="262" w:firstLine="120"/>
        <w:spacing w:before="1" w:line="373" w:lineRule="auto"/>
        <w:rPr>
          <w:rFonts w:ascii="SimSun" w:hAnsi="SimSun" w:eastAsia="SimSun" w:cs="SimSun"/>
          <w:sz w:val="23"/>
          <w:szCs w:val="23"/>
        </w:rPr>
      </w:pPr>
      <w:r>
        <w:rPr>
          <w:rFonts w:ascii="SimSun" w:hAnsi="SimSun" w:eastAsia="SimSun" w:cs="SimSun"/>
          <w:sz w:val="23"/>
          <w:szCs w:val="23"/>
          <w:spacing w:val="10"/>
        </w:rPr>
        <w:t>(川长江办[2022]17号)其中的限制类和禁止类，本</w:t>
      </w:r>
      <w:r>
        <w:rPr>
          <w:rFonts w:ascii="SimSun" w:hAnsi="SimSun" w:eastAsia="SimSun" w:cs="SimSun"/>
          <w:sz w:val="23"/>
          <w:szCs w:val="23"/>
          <w:spacing w:val="9"/>
        </w:rPr>
        <w:t>项目所在地不属于国家重</w:t>
      </w:r>
      <w:r>
        <w:rPr>
          <w:rFonts w:ascii="SimSun" w:hAnsi="SimSun" w:eastAsia="SimSun" w:cs="SimSun"/>
          <w:sz w:val="23"/>
          <w:szCs w:val="23"/>
        </w:rPr>
        <w:t xml:space="preserve"> </w:t>
      </w:r>
      <w:r>
        <w:rPr>
          <w:rFonts w:ascii="SimSun" w:hAnsi="SimSun" w:eastAsia="SimSun" w:cs="SimSun"/>
          <w:sz w:val="23"/>
          <w:szCs w:val="23"/>
          <w:spacing w:val="8"/>
        </w:rPr>
        <w:t>点生态功能区，不在环境准入负面清单内。</w:t>
      </w:r>
    </w:p>
    <w:p>
      <w:pPr>
        <w:ind w:left="4" w:right="147" w:firstLine="470"/>
        <w:spacing w:before="3" w:line="374" w:lineRule="auto"/>
        <w:rPr>
          <w:rFonts w:ascii="SimSun" w:hAnsi="SimSun" w:eastAsia="SimSun" w:cs="SimSun"/>
          <w:sz w:val="23"/>
          <w:szCs w:val="23"/>
        </w:rPr>
      </w:pPr>
      <w:r>
        <w:rPr>
          <w:rFonts w:ascii="SimSun" w:hAnsi="SimSun" w:eastAsia="SimSun" w:cs="SimSun"/>
          <w:sz w:val="23"/>
          <w:szCs w:val="23"/>
          <w:spacing w:val="9"/>
        </w:rPr>
        <w:t>因此，项目不在生态保护红线内、未超出环境质量底线及资源利用上线、</w:t>
      </w:r>
      <w:r>
        <w:rPr>
          <w:rFonts w:ascii="SimSun" w:hAnsi="SimSun" w:eastAsia="SimSun" w:cs="SimSun"/>
          <w:sz w:val="23"/>
          <w:szCs w:val="23"/>
          <w:spacing w:val="15"/>
        </w:rPr>
        <w:t xml:space="preserve"> </w:t>
      </w:r>
      <w:r>
        <w:rPr>
          <w:rFonts w:ascii="SimSun" w:hAnsi="SimSun" w:eastAsia="SimSun" w:cs="SimSun"/>
          <w:sz w:val="23"/>
          <w:szCs w:val="23"/>
          <w:spacing w:val="10"/>
        </w:rPr>
        <w:t>未列入环境准入负面清单。本项目的建设与生态环境部发布的《关于以改善环 </w:t>
      </w:r>
      <w:r>
        <w:rPr>
          <w:rFonts w:ascii="SimSun" w:hAnsi="SimSun" w:eastAsia="SimSun" w:cs="SimSun"/>
          <w:sz w:val="23"/>
          <w:szCs w:val="23"/>
          <w:spacing w:val="13"/>
        </w:rPr>
        <w:t>境质量为核心加强环境影响评价管理的通知》(</w:t>
      </w:r>
      <w:r>
        <w:rPr>
          <w:rFonts w:ascii="SimSun" w:hAnsi="SimSun" w:eastAsia="SimSun" w:cs="SimSun"/>
          <w:sz w:val="23"/>
          <w:szCs w:val="23"/>
          <w:spacing w:val="12"/>
        </w:rPr>
        <w:t>环环评[2016]150号)中“三线</w:t>
      </w:r>
      <w:r>
        <w:rPr>
          <w:rFonts w:ascii="SimSun" w:hAnsi="SimSun" w:eastAsia="SimSun" w:cs="SimSun"/>
          <w:sz w:val="23"/>
          <w:szCs w:val="23"/>
        </w:rPr>
        <w:t xml:space="preserve"> </w:t>
      </w:r>
      <w:r>
        <w:rPr>
          <w:rFonts w:ascii="SimSun" w:hAnsi="SimSun" w:eastAsia="SimSun" w:cs="SimSun"/>
          <w:sz w:val="23"/>
          <w:szCs w:val="23"/>
          <w:spacing w:val="7"/>
        </w:rPr>
        <w:t>一单”的要求相符。</w:t>
      </w:r>
    </w:p>
    <w:p>
      <w:pPr>
        <w:ind w:left="8"/>
        <w:spacing w:line="221" w:lineRule="auto"/>
        <w:outlineLvl w:val="1"/>
        <w:rPr>
          <w:rFonts w:ascii="SimHei" w:hAnsi="SimHei" w:eastAsia="SimHei" w:cs="SimHei"/>
          <w:sz w:val="27"/>
          <w:szCs w:val="27"/>
        </w:rPr>
      </w:pPr>
      <w:bookmarkStart w:name="bookmark7" w:id="10"/>
      <w:bookmarkEnd w:id="10"/>
      <w:r>
        <w:rPr>
          <w:rFonts w:ascii="SimHei" w:hAnsi="SimHei" w:eastAsia="SimHei" w:cs="SimHei"/>
          <w:sz w:val="27"/>
          <w:szCs w:val="27"/>
          <w:b/>
          <w:bCs/>
          <w:spacing w:val="-2"/>
        </w:rPr>
        <w:t>0.5关注的主要环境问题</w:t>
      </w:r>
    </w:p>
    <w:p>
      <w:pPr>
        <w:ind w:left="4" w:right="48" w:firstLine="470"/>
        <w:spacing w:before="218" w:line="371" w:lineRule="auto"/>
        <w:jc w:val="both"/>
        <w:rPr>
          <w:rFonts w:ascii="SimSun" w:hAnsi="SimSun" w:eastAsia="SimSun" w:cs="SimSun"/>
          <w:sz w:val="23"/>
          <w:szCs w:val="23"/>
        </w:rPr>
      </w:pPr>
      <w:r>
        <w:rPr>
          <w:rFonts w:ascii="SimSun" w:hAnsi="SimSun" w:eastAsia="SimSun" w:cs="SimSun"/>
          <w:sz w:val="23"/>
          <w:szCs w:val="23"/>
          <w:spacing w:val="14"/>
        </w:rPr>
        <w:t>根据本项目的特点和环境条件，本次评价关注的主要环境问题为项目运营</w:t>
      </w:r>
      <w:r>
        <w:rPr>
          <w:rFonts w:ascii="SimSun" w:hAnsi="SimSun" w:eastAsia="SimSun" w:cs="SimSun"/>
          <w:sz w:val="23"/>
          <w:szCs w:val="23"/>
          <w:spacing w:val="16"/>
        </w:rPr>
        <w:t xml:space="preserve"> </w:t>
      </w:r>
      <w:r>
        <w:rPr>
          <w:rFonts w:ascii="SimSun" w:hAnsi="SimSun" w:eastAsia="SimSun" w:cs="SimSun"/>
          <w:sz w:val="23"/>
          <w:szCs w:val="23"/>
          <w:spacing w:val="21"/>
        </w:rPr>
        <w:t>后废水、废气等污染物排放以及固体废物处置对区域环境及敏感点的影响程</w:t>
      </w:r>
      <w:r>
        <w:rPr>
          <w:rFonts w:ascii="SimSun" w:hAnsi="SimSun" w:eastAsia="SimSun" w:cs="SimSun"/>
          <w:sz w:val="23"/>
          <w:szCs w:val="23"/>
          <w:spacing w:val="4"/>
        </w:rPr>
        <w:t xml:space="preserve"> </w:t>
      </w:r>
      <w:r>
        <w:rPr>
          <w:rFonts w:ascii="SimSun" w:hAnsi="SimSun" w:eastAsia="SimSun" w:cs="SimSun"/>
          <w:sz w:val="23"/>
          <w:szCs w:val="23"/>
          <w:spacing w:val="14"/>
        </w:rPr>
        <w:t>度，分析项目选址是否合理，同时论证项目拟采取的环保设施和</w:t>
      </w:r>
      <w:r>
        <w:rPr>
          <w:rFonts w:ascii="SimSun" w:hAnsi="SimSun" w:eastAsia="SimSun" w:cs="SimSun"/>
          <w:sz w:val="23"/>
          <w:szCs w:val="23"/>
          <w:spacing w:val="13"/>
        </w:rPr>
        <w:t>污染防治措施</w:t>
      </w:r>
      <w:r>
        <w:rPr>
          <w:rFonts w:ascii="SimSun" w:hAnsi="SimSun" w:eastAsia="SimSun" w:cs="SimSun"/>
          <w:sz w:val="23"/>
          <w:szCs w:val="23"/>
        </w:rPr>
        <w:t xml:space="preserve"> </w:t>
      </w:r>
      <w:r>
        <w:rPr>
          <w:rFonts w:ascii="SimSun" w:hAnsi="SimSun" w:eastAsia="SimSun" w:cs="SimSun"/>
          <w:sz w:val="23"/>
          <w:szCs w:val="23"/>
          <w:spacing w:val="7"/>
        </w:rPr>
        <w:t>的可行性和可靠性。</w:t>
      </w:r>
    </w:p>
    <w:p>
      <w:pPr>
        <w:ind w:left="4" w:right="53" w:firstLine="470"/>
        <w:spacing w:before="12" w:line="325" w:lineRule="auto"/>
        <w:rPr>
          <w:rFonts w:ascii="SimSun" w:hAnsi="SimSun" w:eastAsia="SimSun" w:cs="SimSun"/>
          <w:sz w:val="23"/>
          <w:szCs w:val="23"/>
        </w:rPr>
      </w:pPr>
      <w:r>
        <w:rPr>
          <w:rFonts w:ascii="SimSun" w:hAnsi="SimSun" w:eastAsia="SimSun" w:cs="SimSun"/>
          <w:sz w:val="23"/>
          <w:szCs w:val="23"/>
          <w:spacing w:val="9"/>
        </w:rPr>
        <w:t>1、施工期主要环境问题为：施工扬尘、施工噪声、施工人员生活污水和施</w:t>
      </w:r>
      <w:r>
        <w:rPr>
          <w:rFonts w:ascii="SimSun" w:hAnsi="SimSun" w:eastAsia="SimSun" w:cs="SimSun"/>
          <w:sz w:val="23"/>
          <w:szCs w:val="23"/>
          <w:spacing w:val="17"/>
        </w:rPr>
        <w:t xml:space="preserve"> </w:t>
      </w:r>
      <w:r>
        <w:rPr>
          <w:rFonts w:ascii="SimSun" w:hAnsi="SimSun" w:eastAsia="SimSun" w:cs="SimSun"/>
          <w:sz w:val="23"/>
          <w:szCs w:val="23"/>
          <w:spacing w:val="20"/>
        </w:rPr>
        <w:t>工废水、固体废物(废土石、生活垃圾等)对周边环境的影响以及工程建设对</w:t>
      </w:r>
      <w:r>
        <w:rPr>
          <w:rFonts w:ascii="SimSun" w:hAnsi="SimSun" w:eastAsia="SimSun" w:cs="SimSun"/>
          <w:sz w:val="23"/>
          <w:szCs w:val="23"/>
          <w:spacing w:val="18"/>
        </w:rPr>
        <w:t xml:space="preserve"> </w:t>
      </w:r>
      <w:r>
        <w:rPr>
          <w:rFonts w:ascii="SimSun" w:hAnsi="SimSun" w:eastAsia="SimSun" w:cs="SimSun"/>
          <w:sz w:val="23"/>
          <w:szCs w:val="23"/>
          <w:spacing w:val="5"/>
        </w:rPr>
        <w:t>生态环境的影响。</w:t>
      </w:r>
    </w:p>
    <w:p>
      <w:pPr>
        <w:ind w:left="4" w:right="68" w:firstLine="470"/>
        <w:spacing w:before="186" w:line="298" w:lineRule="auto"/>
        <w:rPr>
          <w:rFonts w:ascii="SimSun" w:hAnsi="SimSun" w:eastAsia="SimSun" w:cs="SimSun"/>
          <w:sz w:val="23"/>
          <w:szCs w:val="23"/>
        </w:rPr>
      </w:pPr>
      <w:r>
        <w:rPr>
          <w:rFonts w:ascii="SimSun" w:hAnsi="SimSun" w:eastAsia="SimSun" w:cs="SimSun"/>
          <w:sz w:val="23"/>
          <w:szCs w:val="23"/>
          <w:spacing w:val="10"/>
        </w:rPr>
        <w:t>2、运营期主要环境问题：屠宰场产生的恶臭气体、屠宰废水、屠宰废物、</w:t>
      </w:r>
      <w:r>
        <w:rPr>
          <w:rFonts w:ascii="SimSun" w:hAnsi="SimSun" w:eastAsia="SimSun" w:cs="SimSun"/>
          <w:sz w:val="23"/>
          <w:szCs w:val="23"/>
        </w:rPr>
        <w:t xml:space="preserve"> </w:t>
      </w:r>
      <w:r>
        <w:rPr>
          <w:rFonts w:ascii="SimSun" w:hAnsi="SimSun" w:eastAsia="SimSun" w:cs="SimSun"/>
          <w:sz w:val="23"/>
          <w:szCs w:val="23"/>
          <w:spacing w:val="6"/>
        </w:rPr>
        <w:t>员工生活污水、生活垃圾等影响。</w:t>
      </w:r>
    </w:p>
    <w:p>
      <w:pPr>
        <w:ind w:left="4" w:right="41" w:firstLine="470"/>
        <w:spacing w:before="186" w:line="330" w:lineRule="auto"/>
        <w:rPr>
          <w:rFonts w:ascii="SimSun" w:hAnsi="SimSun" w:eastAsia="SimSun" w:cs="SimSun"/>
          <w:sz w:val="23"/>
          <w:szCs w:val="23"/>
        </w:rPr>
      </w:pPr>
      <w:r>
        <w:rPr>
          <w:rFonts w:ascii="SimSun" w:hAnsi="SimSun" w:eastAsia="SimSun" w:cs="SimSun"/>
          <w:sz w:val="23"/>
          <w:szCs w:val="23"/>
          <w:spacing w:val="10"/>
        </w:rPr>
        <w:t>3、本报告主要关注项目选址是否合理，是否符合国家产业政策、总平面布</w:t>
      </w:r>
      <w:r>
        <w:rPr>
          <w:rFonts w:ascii="SimSun" w:hAnsi="SimSun" w:eastAsia="SimSun" w:cs="SimSun"/>
          <w:sz w:val="23"/>
          <w:szCs w:val="23"/>
          <w:spacing w:val="15"/>
        </w:rPr>
        <w:t xml:space="preserve"> </w:t>
      </w:r>
      <w:r>
        <w:rPr>
          <w:rFonts w:ascii="SimSun" w:hAnsi="SimSun" w:eastAsia="SimSun" w:cs="SimSun"/>
          <w:sz w:val="23"/>
          <w:szCs w:val="23"/>
          <w:spacing w:val="14"/>
        </w:rPr>
        <w:t>置的合理性、屠宰场的各项污染防治措施可行性，明确环境影响的程度和范围</w:t>
      </w:r>
      <w:r>
        <w:rPr>
          <w:rFonts w:ascii="SimSun" w:hAnsi="SimSun" w:eastAsia="SimSun" w:cs="SimSun"/>
          <w:sz w:val="23"/>
          <w:szCs w:val="23"/>
          <w:spacing w:val="4"/>
        </w:rPr>
        <w:t xml:space="preserve"> </w:t>
      </w:r>
      <w:r>
        <w:rPr>
          <w:rFonts w:ascii="SimSun" w:hAnsi="SimSun" w:eastAsia="SimSun" w:cs="SimSun"/>
          <w:sz w:val="23"/>
          <w:szCs w:val="23"/>
          <w:spacing w:val="8"/>
        </w:rPr>
        <w:t>及污染防治措施经济技术可行性等。</w:t>
      </w:r>
    </w:p>
    <w:p>
      <w:pPr>
        <w:ind w:left="8"/>
        <w:spacing w:before="233" w:line="222" w:lineRule="auto"/>
        <w:outlineLvl w:val="1"/>
        <w:rPr>
          <w:rFonts w:ascii="SimHei" w:hAnsi="SimHei" w:eastAsia="SimHei" w:cs="SimHei"/>
          <w:sz w:val="23"/>
          <w:szCs w:val="23"/>
        </w:rPr>
      </w:pPr>
      <w:bookmarkStart w:name="bookmark8" w:id="11"/>
      <w:bookmarkEnd w:id="11"/>
      <w:r>
        <w:rPr>
          <w:rFonts w:ascii="SimHei" w:hAnsi="SimHei" w:eastAsia="SimHei" w:cs="SimHei"/>
          <w:sz w:val="23"/>
          <w:szCs w:val="23"/>
          <w:b/>
          <w:bCs/>
          <w:spacing w:val="19"/>
        </w:rPr>
        <w:t>0</w:t>
      </w:r>
      <w:r>
        <w:rPr>
          <w:rFonts w:ascii="SimHei" w:hAnsi="SimHei" w:eastAsia="SimHei" w:cs="SimHei"/>
          <w:sz w:val="23"/>
          <w:szCs w:val="23"/>
          <w:spacing w:val="-59"/>
        </w:rPr>
        <w:t xml:space="preserve"> </w:t>
      </w:r>
      <w:r>
        <w:rPr>
          <w:rFonts w:ascii="SimHei" w:hAnsi="SimHei" w:eastAsia="SimHei" w:cs="SimHei"/>
          <w:sz w:val="23"/>
          <w:szCs w:val="23"/>
          <w:b/>
          <w:bCs/>
          <w:spacing w:val="19"/>
        </w:rPr>
        <w:t>.</w:t>
      </w:r>
      <w:r>
        <w:rPr>
          <w:rFonts w:ascii="SimHei" w:hAnsi="SimHei" w:eastAsia="SimHei" w:cs="SimHei"/>
          <w:sz w:val="23"/>
          <w:szCs w:val="23"/>
          <w:spacing w:val="-69"/>
        </w:rPr>
        <w:t xml:space="preserve"> </w:t>
      </w:r>
      <w:r>
        <w:rPr>
          <w:rFonts w:ascii="SimHei" w:hAnsi="SimHei" w:eastAsia="SimHei" w:cs="SimHei"/>
          <w:sz w:val="23"/>
          <w:szCs w:val="23"/>
          <w:b/>
          <w:bCs/>
          <w:spacing w:val="19"/>
        </w:rPr>
        <w:t>6环评主要结论</w:t>
      </w:r>
    </w:p>
    <w:p>
      <w:pPr>
        <w:ind w:left="4" w:right="32" w:firstLine="470"/>
        <w:spacing w:before="219" w:line="362" w:lineRule="auto"/>
        <w:jc w:val="both"/>
        <w:rPr>
          <w:rFonts w:ascii="SimSun" w:hAnsi="SimSun" w:eastAsia="SimSun" w:cs="SimSun"/>
          <w:sz w:val="23"/>
          <w:szCs w:val="23"/>
        </w:rPr>
      </w:pPr>
      <w:r>
        <w:rPr>
          <w:rFonts w:ascii="SimSun" w:hAnsi="SimSun" w:eastAsia="SimSun" w:cs="SimSun"/>
          <w:sz w:val="23"/>
          <w:szCs w:val="23"/>
          <w:spacing w:val="15"/>
        </w:rPr>
        <w:t>项目建设符合国家现行产业政策，满足相关规划要求；项目选址</w:t>
      </w:r>
      <w:r>
        <w:rPr>
          <w:rFonts w:ascii="SimSun" w:hAnsi="SimSun" w:eastAsia="SimSun" w:cs="SimSun"/>
          <w:sz w:val="23"/>
          <w:szCs w:val="23"/>
          <w:spacing w:val="14"/>
        </w:rPr>
        <w:t>合理，周</w:t>
      </w:r>
      <w:r>
        <w:rPr>
          <w:rFonts w:ascii="SimSun" w:hAnsi="SimSun" w:eastAsia="SimSun" w:cs="SimSun"/>
          <w:sz w:val="23"/>
          <w:szCs w:val="23"/>
        </w:rPr>
        <w:t xml:space="preserve"> </w:t>
      </w:r>
      <w:r>
        <w:rPr>
          <w:rFonts w:ascii="SimSun" w:hAnsi="SimSun" w:eastAsia="SimSun" w:cs="SimSun"/>
          <w:sz w:val="23"/>
          <w:szCs w:val="23"/>
          <w:spacing w:val="14"/>
        </w:rPr>
        <w:t>边无明显环境制约因素；项目总体平面布置合理；项目运营过程中尽管</w:t>
      </w:r>
      <w:r>
        <w:rPr>
          <w:rFonts w:ascii="SimSun" w:hAnsi="SimSun" w:eastAsia="SimSun" w:cs="SimSun"/>
          <w:sz w:val="23"/>
          <w:szCs w:val="23"/>
          <w:spacing w:val="13"/>
        </w:rPr>
        <w:t>其生产</w:t>
      </w:r>
      <w:r>
        <w:rPr>
          <w:rFonts w:ascii="SimSun" w:hAnsi="SimSun" w:eastAsia="SimSun" w:cs="SimSun"/>
          <w:sz w:val="23"/>
          <w:szCs w:val="23"/>
        </w:rPr>
        <w:t xml:space="preserve"> </w:t>
      </w:r>
      <w:r>
        <w:rPr>
          <w:rFonts w:ascii="SimSun" w:hAnsi="SimSun" w:eastAsia="SimSun" w:cs="SimSun"/>
          <w:sz w:val="23"/>
          <w:szCs w:val="23"/>
          <w:spacing w:val="14"/>
        </w:rPr>
        <w:t>不可避免产生一定量的废水、废气、噪声和固体废物，但拟采取的</w:t>
      </w:r>
      <w:r>
        <w:rPr>
          <w:rFonts w:ascii="SimSun" w:hAnsi="SimSun" w:eastAsia="SimSun" w:cs="SimSun"/>
          <w:sz w:val="23"/>
          <w:szCs w:val="23"/>
          <w:spacing w:val="13"/>
        </w:rPr>
        <w:t>污染防治措</w:t>
      </w:r>
      <w:r>
        <w:rPr>
          <w:rFonts w:ascii="SimSun" w:hAnsi="SimSun" w:eastAsia="SimSun" w:cs="SimSun"/>
          <w:sz w:val="23"/>
          <w:szCs w:val="23"/>
        </w:rPr>
        <w:t xml:space="preserve"> </w:t>
      </w:r>
      <w:r>
        <w:rPr>
          <w:rFonts w:ascii="SimSun" w:hAnsi="SimSun" w:eastAsia="SimSun" w:cs="SimSun"/>
          <w:sz w:val="23"/>
          <w:szCs w:val="23"/>
          <w:spacing w:val="14"/>
        </w:rPr>
        <w:t>施技术经济可行，可使各类污染物达标排放，满足总量控制要求，项目的实施</w:t>
      </w:r>
    </w:p>
    <w:p>
      <w:pPr>
        <w:spacing w:line="362" w:lineRule="auto"/>
        <w:sectPr>
          <w:headerReference w:type="default" r:id="rId15"/>
          <w:footerReference w:type="default" r:id="rId16"/>
          <w:pgSz w:w="11910" w:h="16840"/>
          <w:pgMar w:top="1219" w:right="1786" w:bottom="977" w:left="1774" w:header="865" w:footer="756" w:gutter="0"/>
        </w:sectPr>
        <w:rPr>
          <w:rFonts w:ascii="SimSun" w:hAnsi="SimSun" w:eastAsia="SimSun" w:cs="SimSun"/>
          <w:sz w:val="23"/>
          <w:szCs w:val="23"/>
        </w:rPr>
      </w:pPr>
    </w:p>
    <w:p>
      <w:pPr>
        <w:spacing w:before="269" w:line="219" w:lineRule="auto"/>
        <w:outlineLvl w:val="0"/>
        <w:rPr>
          <w:rFonts w:ascii="SimSun" w:hAnsi="SimSun" w:eastAsia="SimSun" w:cs="SimSun"/>
          <w:sz w:val="24"/>
          <w:szCs w:val="24"/>
        </w:rPr>
      </w:pPr>
      <w:bookmarkStart w:name="bookmark77" w:id="12"/>
      <w:bookmarkEnd w:id="12"/>
      <w:bookmarkStart w:name="bookmark9" w:id="13"/>
      <w:bookmarkEnd w:id="13"/>
      <w:r>
        <w:rPr>
          <w:rFonts w:ascii="SimSun" w:hAnsi="SimSun" w:eastAsia="SimSun" w:cs="SimSun"/>
          <w:sz w:val="24"/>
          <w:szCs w:val="24"/>
          <w:spacing w:val="4"/>
        </w:rPr>
        <w:t>对周围环境产生的影响很小；项目风险防范措施可靠有效，认真落实环境风险</w:t>
      </w:r>
    </w:p>
    <w:p>
      <w:pPr>
        <w:spacing w:before="185" w:line="362" w:lineRule="auto"/>
        <w:jc w:val="both"/>
        <w:rPr>
          <w:rFonts w:ascii="SimSun" w:hAnsi="SimSun" w:eastAsia="SimSun" w:cs="SimSun"/>
          <w:sz w:val="24"/>
          <w:szCs w:val="24"/>
        </w:rPr>
      </w:pPr>
      <w:r>
        <w:rPr>
          <w:rFonts w:ascii="SimSun" w:hAnsi="SimSun" w:eastAsia="SimSun" w:cs="SimSun"/>
          <w:sz w:val="24"/>
          <w:szCs w:val="24"/>
          <w:spacing w:val="11"/>
        </w:rPr>
        <w:t>防范措施后，项目环境风险为可接受水平，从环境风险角度分析项目是可行</w:t>
      </w:r>
      <w:r>
        <w:rPr>
          <w:rFonts w:ascii="SimSun" w:hAnsi="SimSun" w:eastAsia="SimSun" w:cs="SimSun"/>
          <w:sz w:val="24"/>
          <w:szCs w:val="24"/>
          <w:spacing w:val="9"/>
        </w:rPr>
        <w:t xml:space="preserve">  </w:t>
      </w:r>
      <w:r>
        <w:rPr>
          <w:rFonts w:ascii="SimSun" w:hAnsi="SimSun" w:eastAsia="SimSun" w:cs="SimSun"/>
          <w:sz w:val="24"/>
          <w:szCs w:val="24"/>
          <w:spacing w:val="8"/>
        </w:rPr>
        <w:t>的；项目建设得到了公众的广泛认同和支持；建设单位在严格</w:t>
      </w:r>
      <w:r>
        <w:rPr>
          <w:rFonts w:ascii="SimSun" w:hAnsi="SimSun" w:eastAsia="SimSun" w:cs="SimSun"/>
          <w:sz w:val="24"/>
          <w:szCs w:val="24"/>
          <w:spacing w:val="7"/>
        </w:rPr>
        <w:t>执行“三同时”</w:t>
      </w:r>
      <w:r>
        <w:rPr>
          <w:rFonts w:ascii="SimSun" w:hAnsi="SimSun" w:eastAsia="SimSun" w:cs="SimSun"/>
          <w:sz w:val="24"/>
          <w:szCs w:val="24"/>
        </w:rPr>
        <w:t xml:space="preserve"> </w:t>
      </w:r>
      <w:r>
        <w:rPr>
          <w:rFonts w:ascii="SimSun" w:hAnsi="SimSun" w:eastAsia="SimSun" w:cs="SimSun"/>
          <w:sz w:val="24"/>
          <w:szCs w:val="24"/>
          <w:spacing w:val="4"/>
        </w:rPr>
        <w:t>制度、全面落实本评价提出的各项污染防治措施和风险防范措施的前提下，认</w:t>
      </w:r>
      <w:r>
        <w:rPr>
          <w:rFonts w:ascii="SimSun" w:hAnsi="SimSun" w:eastAsia="SimSun" w:cs="SimSun"/>
          <w:sz w:val="24"/>
          <w:szCs w:val="24"/>
          <w:spacing w:val="2"/>
        </w:rPr>
        <w:t xml:space="preserve">  </w:t>
      </w:r>
      <w:r>
        <w:rPr>
          <w:rFonts w:ascii="SimSun" w:hAnsi="SimSun" w:eastAsia="SimSun" w:cs="SimSun"/>
          <w:sz w:val="24"/>
          <w:szCs w:val="24"/>
          <w:spacing w:val="5"/>
        </w:rPr>
        <w:t>真加强管理后，能够确保污染物达标排放，项</w:t>
      </w:r>
      <w:r>
        <w:rPr>
          <w:rFonts w:ascii="SimSun" w:hAnsi="SimSun" w:eastAsia="SimSun" w:cs="SimSun"/>
          <w:sz w:val="24"/>
          <w:szCs w:val="24"/>
          <w:spacing w:val="4"/>
        </w:rPr>
        <w:t>目的建设不会改变当地的环境质</w:t>
      </w:r>
      <w:r>
        <w:rPr>
          <w:rFonts w:ascii="SimSun" w:hAnsi="SimSun" w:eastAsia="SimSun" w:cs="SimSun"/>
          <w:sz w:val="24"/>
          <w:szCs w:val="24"/>
        </w:rPr>
        <w:t xml:space="preserve">  </w:t>
      </w:r>
      <w:r>
        <w:rPr>
          <w:rFonts w:ascii="SimSun" w:hAnsi="SimSun" w:eastAsia="SimSun" w:cs="SimSun"/>
          <w:sz w:val="24"/>
          <w:szCs w:val="24"/>
        </w:rPr>
        <w:t>量及生态环境现状。因此，从环境保护的角度分</w:t>
      </w:r>
      <w:r>
        <w:rPr>
          <w:rFonts w:ascii="SimSun" w:hAnsi="SimSun" w:eastAsia="SimSun" w:cs="SimSun"/>
          <w:sz w:val="24"/>
          <w:szCs w:val="24"/>
          <w:spacing w:val="-1"/>
        </w:rPr>
        <w:t>析，本项目的建设可行。</w:t>
      </w:r>
    </w:p>
    <w:p>
      <w:pPr>
        <w:spacing w:line="362" w:lineRule="auto"/>
        <w:sectPr>
          <w:headerReference w:type="default" r:id="rId17"/>
          <w:footerReference w:type="default" r:id="rId18"/>
          <w:pgSz w:w="11910" w:h="16840"/>
          <w:pgMar w:top="1210" w:right="1703" w:bottom="992" w:left="1779" w:header="902" w:footer="733" w:gutter="0"/>
        </w:sectPr>
        <w:rPr>
          <w:rFonts w:ascii="SimSun" w:hAnsi="SimSun" w:eastAsia="SimSun" w:cs="SimSun"/>
          <w:sz w:val="24"/>
          <w:szCs w:val="24"/>
        </w:rPr>
      </w:pPr>
    </w:p>
    <w:p>
      <w:pPr>
        <w:pStyle w:val="BodyText"/>
        <w:spacing w:line="267" w:lineRule="auto"/>
        <w:rPr/>
      </w:pPr>
      <w:r/>
    </w:p>
    <w:p>
      <w:pPr>
        <w:ind w:left="3494"/>
        <w:spacing w:before="98" w:line="222" w:lineRule="auto"/>
        <w:outlineLvl w:val="0"/>
        <w:rPr>
          <w:rFonts w:ascii="SimHei" w:hAnsi="SimHei" w:eastAsia="SimHei" w:cs="SimHei"/>
          <w:sz w:val="30"/>
          <w:szCs w:val="30"/>
        </w:rPr>
      </w:pPr>
      <w:bookmarkStart w:name="bookmark78" w:id="14"/>
      <w:bookmarkEnd w:id="14"/>
      <w:bookmarkStart w:name="bookmark9" w:id="15"/>
      <w:bookmarkEnd w:id="15"/>
      <w:r>
        <w:rPr>
          <w:rFonts w:ascii="SimHei" w:hAnsi="SimHei" w:eastAsia="SimHei" w:cs="SimHei"/>
          <w:sz w:val="30"/>
          <w:szCs w:val="30"/>
          <w:b/>
          <w:bCs/>
          <w:spacing w:val="-5"/>
        </w:rPr>
        <w:t>第1章总则</w:t>
      </w:r>
    </w:p>
    <w:p>
      <w:pPr>
        <w:ind w:left="3"/>
        <w:spacing w:before="258" w:line="222" w:lineRule="auto"/>
        <w:outlineLvl w:val="1"/>
        <w:rPr>
          <w:rFonts w:ascii="SimHei" w:hAnsi="SimHei" w:eastAsia="SimHei" w:cs="SimHei"/>
          <w:sz w:val="26"/>
          <w:szCs w:val="26"/>
        </w:rPr>
      </w:pPr>
      <w:bookmarkStart w:name="bookmark10" w:id="16"/>
      <w:bookmarkEnd w:id="16"/>
      <w:r>
        <w:rPr>
          <w:rFonts w:ascii="SimHei" w:hAnsi="SimHei" w:eastAsia="SimHei" w:cs="SimHei"/>
          <w:sz w:val="26"/>
          <w:szCs w:val="26"/>
          <w:b/>
          <w:bCs/>
          <w:spacing w:val="6"/>
        </w:rPr>
        <w:t>1.1评价目的与原则</w:t>
      </w:r>
    </w:p>
    <w:p>
      <w:pPr>
        <w:spacing w:before="257" w:line="222" w:lineRule="auto"/>
        <w:rPr>
          <w:rFonts w:ascii="SimHei" w:hAnsi="SimHei" w:eastAsia="SimHei" w:cs="SimHei"/>
          <w:sz w:val="26"/>
          <w:szCs w:val="26"/>
        </w:rPr>
      </w:pPr>
      <w:r>
        <w:rPr>
          <w:rFonts w:ascii="Times New Roman" w:hAnsi="Times New Roman" w:eastAsia="Times New Roman" w:cs="Times New Roman"/>
          <w:sz w:val="26"/>
          <w:szCs w:val="26"/>
          <w:spacing w:val="-6"/>
        </w:rPr>
        <w:t>1</w:t>
      </w:r>
      <w:r>
        <w:rPr>
          <w:rFonts w:ascii="SimHei" w:hAnsi="SimHei" w:eastAsia="SimHei" w:cs="SimHei"/>
          <w:sz w:val="26"/>
          <w:szCs w:val="26"/>
          <w:b/>
          <w:bCs/>
          <w:spacing w:val="-6"/>
        </w:rPr>
        <w:t>.1.1评价目的</w:t>
      </w:r>
    </w:p>
    <w:p>
      <w:pPr>
        <w:ind w:right="3" w:firstLine="480"/>
        <w:spacing w:before="270" w:line="369" w:lineRule="auto"/>
        <w:rPr>
          <w:rFonts w:ascii="SimSun" w:hAnsi="SimSun" w:eastAsia="SimSun" w:cs="SimSun"/>
          <w:sz w:val="23"/>
          <w:szCs w:val="23"/>
        </w:rPr>
      </w:pPr>
      <w:r>
        <w:rPr>
          <w:rFonts w:ascii="SimSun" w:hAnsi="SimSun" w:eastAsia="SimSun" w:cs="SimSun"/>
          <w:sz w:val="23"/>
          <w:szCs w:val="23"/>
          <w:spacing w:val="10"/>
        </w:rPr>
        <w:t>环境影响评价作为建设项目环境保护管理的一项制度，根本目的是</w:t>
      </w:r>
      <w:r>
        <w:rPr>
          <w:rFonts w:ascii="SimSun" w:hAnsi="SimSun" w:eastAsia="SimSun" w:cs="SimSun"/>
          <w:sz w:val="23"/>
          <w:szCs w:val="23"/>
          <w:spacing w:val="9"/>
        </w:rPr>
        <w:t>贯彻“保</w:t>
      </w:r>
      <w:r>
        <w:rPr>
          <w:rFonts w:ascii="SimSun" w:hAnsi="SimSun" w:eastAsia="SimSun" w:cs="SimSun"/>
          <w:sz w:val="23"/>
          <w:szCs w:val="23"/>
        </w:rPr>
        <w:t xml:space="preserve"> </w:t>
      </w:r>
      <w:r>
        <w:rPr>
          <w:rFonts w:ascii="SimSun" w:hAnsi="SimSun" w:eastAsia="SimSun" w:cs="SimSun"/>
          <w:sz w:val="23"/>
          <w:szCs w:val="23"/>
          <w:spacing w:val="10"/>
        </w:rPr>
        <w:t>护环境”的基本国策，认真执行“预防为主，防治结合”的环境管理方针。根据</w:t>
      </w:r>
      <w:r>
        <w:rPr>
          <w:rFonts w:ascii="SimSun" w:hAnsi="SimSun" w:eastAsia="SimSun" w:cs="SimSun"/>
          <w:sz w:val="23"/>
          <w:szCs w:val="23"/>
          <w:spacing w:val="2"/>
        </w:rPr>
        <w:t xml:space="preserve"> </w:t>
      </w:r>
      <w:r>
        <w:rPr>
          <w:rFonts w:ascii="SimSun" w:hAnsi="SimSun" w:eastAsia="SimSun" w:cs="SimSun"/>
          <w:sz w:val="23"/>
          <w:szCs w:val="23"/>
          <w:spacing w:val="9"/>
        </w:rPr>
        <w:t>《中华人民共和国环境保护法》及《中华人民共和国环境影响评价法》的规定，</w:t>
      </w:r>
      <w:r>
        <w:rPr>
          <w:rFonts w:ascii="SimSun" w:hAnsi="SimSun" w:eastAsia="SimSun" w:cs="SimSun"/>
          <w:sz w:val="23"/>
          <w:szCs w:val="23"/>
          <w:spacing w:val="18"/>
        </w:rPr>
        <w:t xml:space="preserve"> </w:t>
      </w:r>
      <w:r>
        <w:rPr>
          <w:rFonts w:ascii="SimSun" w:hAnsi="SimSun" w:eastAsia="SimSun" w:cs="SimSun"/>
          <w:sz w:val="23"/>
          <w:szCs w:val="23"/>
          <w:spacing w:val="4"/>
        </w:rPr>
        <w:t>为加强建设项目环境保护管理，严格控制新的污染，保护和改</w:t>
      </w:r>
      <w:r>
        <w:rPr>
          <w:rFonts w:ascii="SimSun" w:hAnsi="SimSun" w:eastAsia="SimSun" w:cs="SimSun"/>
          <w:sz w:val="23"/>
          <w:szCs w:val="23"/>
          <w:spacing w:val="3"/>
        </w:rPr>
        <w:t>善环境，</w:t>
      </w:r>
      <w:r>
        <w:rPr>
          <w:rFonts w:ascii="SimSun" w:hAnsi="SimSun" w:eastAsia="SimSun" w:cs="SimSun"/>
          <w:sz w:val="23"/>
          <w:szCs w:val="23"/>
          <w:spacing w:val="74"/>
        </w:rPr>
        <w:t xml:space="preserve"> </w:t>
      </w:r>
      <w:r>
        <w:rPr>
          <w:rFonts w:ascii="SimSun" w:hAnsi="SimSun" w:eastAsia="SimSun" w:cs="SimSun"/>
          <w:sz w:val="23"/>
          <w:szCs w:val="23"/>
          <w:spacing w:val="3"/>
        </w:rPr>
        <w:t>一切新</w:t>
      </w:r>
    </w:p>
    <w:p>
      <w:pPr>
        <w:spacing w:before="1" w:line="217" w:lineRule="auto"/>
        <w:rPr>
          <w:rFonts w:ascii="SimSun" w:hAnsi="SimSun" w:eastAsia="SimSun" w:cs="SimSun"/>
          <w:sz w:val="23"/>
          <w:szCs w:val="23"/>
        </w:rPr>
      </w:pPr>
      <w:r>
        <w:rPr>
          <w:rFonts w:ascii="SimSun" w:hAnsi="SimSun" w:eastAsia="SimSun" w:cs="SimSun"/>
          <w:sz w:val="23"/>
          <w:szCs w:val="23"/>
          <w:spacing w:val="7"/>
        </w:rPr>
        <w:t>建、扩建和技改工程必须编制环境影响报告。</w:t>
      </w:r>
    </w:p>
    <w:p>
      <w:pPr>
        <w:ind w:right="6" w:firstLine="480"/>
        <w:spacing w:before="209" w:line="378" w:lineRule="auto"/>
        <w:jc w:val="both"/>
        <w:rPr>
          <w:rFonts w:ascii="SimSun" w:hAnsi="SimSun" w:eastAsia="SimSun" w:cs="SimSun"/>
          <w:sz w:val="23"/>
          <w:szCs w:val="23"/>
        </w:rPr>
      </w:pPr>
      <w:r>
        <w:rPr>
          <w:rFonts w:ascii="SimSun" w:hAnsi="SimSun" w:eastAsia="SimSun" w:cs="SimSun"/>
          <w:sz w:val="23"/>
          <w:szCs w:val="23"/>
          <w:spacing w:val="10"/>
        </w:rPr>
        <w:t>本项目评价目的是通过对项目选址、建设规模和工艺流程分析，确定项</w:t>
      </w:r>
      <w:r>
        <w:rPr>
          <w:rFonts w:ascii="SimSun" w:hAnsi="SimSun" w:eastAsia="SimSun" w:cs="SimSun"/>
          <w:sz w:val="23"/>
          <w:szCs w:val="23"/>
          <w:spacing w:val="9"/>
        </w:rPr>
        <w:t>目建</w:t>
      </w:r>
      <w:r>
        <w:rPr>
          <w:rFonts w:ascii="SimSun" w:hAnsi="SimSun" w:eastAsia="SimSun" w:cs="SimSun"/>
          <w:sz w:val="23"/>
          <w:szCs w:val="23"/>
        </w:rPr>
        <w:t xml:space="preserve"> </w:t>
      </w:r>
      <w:r>
        <w:rPr>
          <w:rFonts w:ascii="SimSun" w:hAnsi="SimSun" w:eastAsia="SimSun" w:cs="SimSun"/>
          <w:sz w:val="23"/>
          <w:szCs w:val="23"/>
          <w:spacing w:val="10"/>
        </w:rPr>
        <w:t>设和营运对外环境存在的影响因子及污染物排放量，根据项目所在地的环境</w:t>
      </w:r>
      <w:r>
        <w:rPr>
          <w:rFonts w:ascii="SimSun" w:hAnsi="SimSun" w:eastAsia="SimSun" w:cs="SimSun"/>
          <w:sz w:val="23"/>
          <w:szCs w:val="23"/>
          <w:spacing w:val="9"/>
        </w:rPr>
        <w:t>质量</w:t>
      </w:r>
      <w:r>
        <w:rPr>
          <w:rFonts w:ascii="SimSun" w:hAnsi="SimSun" w:eastAsia="SimSun" w:cs="SimSun"/>
          <w:sz w:val="23"/>
          <w:szCs w:val="23"/>
        </w:rPr>
        <w:t xml:space="preserve"> </w:t>
      </w:r>
      <w:r>
        <w:rPr>
          <w:rFonts w:ascii="SimSun" w:hAnsi="SimSun" w:eastAsia="SimSun" w:cs="SimSun"/>
          <w:sz w:val="23"/>
          <w:szCs w:val="23"/>
          <w:spacing w:val="10"/>
        </w:rPr>
        <w:t>现状调查和工程产污特性，对项目所在地区的环境影响进行预测分析与评价</w:t>
      </w:r>
      <w:r>
        <w:rPr>
          <w:rFonts w:ascii="SimSun" w:hAnsi="SimSun" w:eastAsia="SimSun" w:cs="SimSun"/>
          <w:sz w:val="23"/>
          <w:szCs w:val="23"/>
          <w:spacing w:val="9"/>
        </w:rPr>
        <w:t>，对</w:t>
      </w:r>
      <w:r>
        <w:rPr>
          <w:rFonts w:ascii="SimSun" w:hAnsi="SimSun" w:eastAsia="SimSun" w:cs="SimSun"/>
          <w:sz w:val="23"/>
          <w:szCs w:val="23"/>
        </w:rPr>
        <w:t xml:space="preserve"> </w:t>
      </w:r>
      <w:r>
        <w:rPr>
          <w:rFonts w:ascii="SimSun" w:hAnsi="SimSun" w:eastAsia="SimSun" w:cs="SimSun"/>
          <w:sz w:val="23"/>
          <w:szCs w:val="23"/>
          <w:spacing w:val="10"/>
        </w:rPr>
        <w:t>项目在环境保护角度是否可行和工程拟采取</w:t>
      </w:r>
      <w:r>
        <w:rPr>
          <w:rFonts w:ascii="SimSun" w:hAnsi="SimSun" w:eastAsia="SimSun" w:cs="SimSun"/>
          <w:sz w:val="23"/>
          <w:szCs w:val="23"/>
          <w:spacing w:val="9"/>
        </w:rPr>
        <w:t>的各项环保措施进行经济技术论证，</w:t>
      </w:r>
      <w:r>
        <w:rPr>
          <w:rFonts w:ascii="SimSun" w:hAnsi="SimSun" w:eastAsia="SimSun" w:cs="SimSun"/>
          <w:sz w:val="23"/>
          <w:szCs w:val="23"/>
        </w:rPr>
        <w:t xml:space="preserve"> </w:t>
      </w:r>
      <w:r>
        <w:rPr>
          <w:rFonts w:ascii="SimSun" w:hAnsi="SimSun" w:eastAsia="SimSun" w:cs="SimSun"/>
          <w:sz w:val="23"/>
          <w:szCs w:val="23"/>
          <w:spacing w:val="10"/>
        </w:rPr>
        <w:t>为项目的工程设计、可靠实施及生态环境主</w:t>
      </w:r>
      <w:r>
        <w:rPr>
          <w:rFonts w:ascii="SimSun" w:hAnsi="SimSun" w:eastAsia="SimSun" w:cs="SimSun"/>
          <w:sz w:val="23"/>
          <w:szCs w:val="23"/>
          <w:spacing w:val="9"/>
        </w:rPr>
        <w:t>管部门的决策和管理提供科学依据。</w:t>
      </w:r>
    </w:p>
    <w:p>
      <w:pPr>
        <w:ind w:left="3"/>
        <w:spacing w:before="71" w:line="222" w:lineRule="auto"/>
        <w:rPr>
          <w:rFonts w:ascii="SimHei" w:hAnsi="SimHei" w:eastAsia="SimHei" w:cs="SimHei"/>
          <w:sz w:val="23"/>
          <w:szCs w:val="23"/>
        </w:rPr>
      </w:pPr>
      <w:r>
        <w:rPr>
          <w:rFonts w:ascii="SimHei" w:hAnsi="SimHei" w:eastAsia="SimHei" w:cs="SimHei"/>
          <w:sz w:val="23"/>
          <w:szCs w:val="23"/>
          <w:b/>
          <w:bCs/>
          <w:spacing w:val="15"/>
        </w:rPr>
        <w:t>1.1.2评价原则</w:t>
      </w:r>
    </w:p>
    <w:p>
      <w:pPr>
        <w:ind w:left="480"/>
        <w:spacing w:before="266" w:line="218" w:lineRule="auto"/>
        <w:rPr>
          <w:rFonts w:ascii="SimSun" w:hAnsi="SimSun" w:eastAsia="SimSun" w:cs="SimSun"/>
          <w:sz w:val="23"/>
          <w:szCs w:val="23"/>
        </w:rPr>
      </w:pPr>
      <w:r>
        <w:rPr>
          <w:rFonts w:ascii="SimSun" w:hAnsi="SimSun" w:eastAsia="SimSun" w:cs="SimSun"/>
          <w:sz w:val="23"/>
          <w:szCs w:val="23"/>
          <w:spacing w:val="9"/>
        </w:rPr>
        <w:t>突出环境影响评价的源头预防作用，坚持保护和改善环境质量。</w:t>
      </w:r>
    </w:p>
    <w:p>
      <w:pPr>
        <w:ind w:left="610"/>
        <w:spacing w:before="179" w:line="218" w:lineRule="auto"/>
        <w:rPr>
          <w:rFonts w:ascii="SimSun" w:hAnsi="SimSun" w:eastAsia="SimSun" w:cs="SimSun"/>
          <w:sz w:val="23"/>
          <w:szCs w:val="23"/>
        </w:rPr>
      </w:pPr>
      <w:r>
        <w:rPr>
          <w:rFonts w:ascii="SimSun" w:hAnsi="SimSun" w:eastAsia="SimSun" w:cs="SimSun"/>
          <w:sz w:val="23"/>
          <w:szCs w:val="23"/>
          <w:spacing w:val="24"/>
        </w:rPr>
        <w:t>(1)依法评价</w:t>
      </w:r>
    </w:p>
    <w:p>
      <w:pPr>
        <w:ind w:right="7" w:firstLine="480"/>
        <w:spacing w:before="201" w:line="371" w:lineRule="auto"/>
        <w:rPr>
          <w:rFonts w:ascii="SimSun" w:hAnsi="SimSun" w:eastAsia="SimSun" w:cs="SimSun"/>
          <w:sz w:val="23"/>
          <w:szCs w:val="23"/>
        </w:rPr>
      </w:pPr>
      <w:r>
        <w:rPr>
          <w:rFonts w:ascii="SimSun" w:hAnsi="SimSun" w:eastAsia="SimSun" w:cs="SimSun"/>
          <w:sz w:val="23"/>
          <w:szCs w:val="23"/>
          <w:spacing w:val="17"/>
        </w:rPr>
        <w:t>贯彻执行我国环境保护相关法律法规、标准、政策和规划等，优化项目建</w:t>
      </w:r>
      <w:r>
        <w:rPr>
          <w:rFonts w:ascii="SimSun" w:hAnsi="SimSun" w:eastAsia="SimSun" w:cs="SimSun"/>
          <w:sz w:val="23"/>
          <w:szCs w:val="23"/>
          <w:spacing w:val="14"/>
        </w:rPr>
        <w:t xml:space="preserve"> </w:t>
      </w:r>
      <w:r>
        <w:rPr>
          <w:rFonts w:ascii="SimSun" w:hAnsi="SimSun" w:eastAsia="SimSun" w:cs="SimSun"/>
          <w:sz w:val="23"/>
          <w:szCs w:val="23"/>
          <w:spacing w:val="6"/>
        </w:rPr>
        <w:t>设，服务环境管理。</w:t>
      </w:r>
    </w:p>
    <w:p>
      <w:pPr>
        <w:ind w:left="610"/>
        <w:spacing w:before="13" w:line="218" w:lineRule="auto"/>
        <w:rPr>
          <w:rFonts w:ascii="SimSun" w:hAnsi="SimSun" w:eastAsia="SimSun" w:cs="SimSun"/>
          <w:sz w:val="23"/>
          <w:szCs w:val="23"/>
        </w:rPr>
      </w:pPr>
      <w:r>
        <w:rPr>
          <w:rFonts w:ascii="SimSun" w:hAnsi="SimSun" w:eastAsia="SimSun" w:cs="SimSun"/>
          <w:sz w:val="23"/>
          <w:szCs w:val="23"/>
          <w:spacing w:val="24"/>
        </w:rPr>
        <w:t>(2)科学评价</w:t>
      </w:r>
    </w:p>
    <w:p>
      <w:pPr>
        <w:ind w:left="480"/>
        <w:spacing w:before="208" w:line="218" w:lineRule="auto"/>
        <w:rPr>
          <w:rFonts w:ascii="SimSun" w:hAnsi="SimSun" w:eastAsia="SimSun" w:cs="SimSun"/>
          <w:sz w:val="23"/>
          <w:szCs w:val="23"/>
        </w:rPr>
      </w:pPr>
      <w:r>
        <w:rPr>
          <w:rFonts w:ascii="SimSun" w:hAnsi="SimSun" w:eastAsia="SimSun" w:cs="SimSun"/>
          <w:sz w:val="23"/>
          <w:szCs w:val="23"/>
          <w:spacing w:val="9"/>
        </w:rPr>
        <w:t>规范环境影响评价方法，科学分析项目建设对环境质量的影响。</w:t>
      </w:r>
    </w:p>
    <w:p>
      <w:pPr>
        <w:ind w:left="610"/>
        <w:spacing w:before="184" w:line="222" w:lineRule="auto"/>
        <w:rPr>
          <w:rFonts w:ascii="SimSun" w:hAnsi="SimSun" w:eastAsia="SimSun" w:cs="SimSun"/>
          <w:sz w:val="23"/>
          <w:szCs w:val="23"/>
        </w:rPr>
      </w:pPr>
      <w:r>
        <w:rPr>
          <w:rFonts w:ascii="SimSun" w:hAnsi="SimSun" w:eastAsia="SimSun" w:cs="SimSun"/>
          <w:sz w:val="23"/>
          <w:szCs w:val="23"/>
          <w:spacing w:val="26"/>
        </w:rPr>
        <w:t>(3)突出重点</w:t>
      </w:r>
    </w:p>
    <w:p>
      <w:pPr>
        <w:ind w:firstLine="480"/>
        <w:spacing w:before="192" w:line="361" w:lineRule="auto"/>
        <w:rPr>
          <w:rFonts w:ascii="SimSun" w:hAnsi="SimSun" w:eastAsia="SimSun" w:cs="SimSun"/>
          <w:sz w:val="23"/>
          <w:szCs w:val="23"/>
        </w:rPr>
      </w:pPr>
      <w:r>
        <w:rPr>
          <w:rFonts w:ascii="SimSun" w:hAnsi="SimSun" w:eastAsia="SimSun" w:cs="SimSun"/>
          <w:sz w:val="23"/>
          <w:szCs w:val="23"/>
          <w:spacing w:val="10"/>
        </w:rPr>
        <w:t>根据项目工程内容及其特点，明确与环境要素间的作用效应关系，根据规划</w:t>
      </w:r>
      <w:r>
        <w:rPr>
          <w:rFonts w:ascii="SimSun" w:hAnsi="SimSun" w:eastAsia="SimSun" w:cs="SimSun"/>
          <w:sz w:val="23"/>
          <w:szCs w:val="23"/>
          <w:spacing w:val="5"/>
        </w:rPr>
        <w:t xml:space="preserve"> </w:t>
      </w:r>
      <w:r>
        <w:rPr>
          <w:rFonts w:ascii="SimSun" w:hAnsi="SimSun" w:eastAsia="SimSun" w:cs="SimSun"/>
          <w:sz w:val="23"/>
          <w:szCs w:val="23"/>
          <w:spacing w:val="10"/>
        </w:rPr>
        <w:t>环境影响评价结论和审查意见，充分利用符合时效的数据资料及成果，对建设项</w:t>
      </w:r>
      <w:r>
        <w:rPr>
          <w:rFonts w:ascii="SimSun" w:hAnsi="SimSun" w:eastAsia="SimSun" w:cs="SimSun"/>
          <w:sz w:val="23"/>
          <w:szCs w:val="23"/>
          <w:spacing w:val="3"/>
        </w:rPr>
        <w:t xml:space="preserve"> </w:t>
      </w:r>
      <w:r>
        <w:rPr>
          <w:rFonts w:ascii="SimSun" w:hAnsi="SimSun" w:eastAsia="SimSun" w:cs="SimSun"/>
          <w:sz w:val="23"/>
          <w:szCs w:val="23"/>
          <w:spacing w:val="6"/>
        </w:rPr>
        <w:t>目主要环境影响予以重点分析和评价。</w:t>
      </w:r>
    </w:p>
    <w:p>
      <w:pPr>
        <w:ind w:left="3"/>
        <w:spacing w:before="34" w:line="221" w:lineRule="auto"/>
        <w:outlineLvl w:val="1"/>
        <w:rPr>
          <w:rFonts w:ascii="SimHei" w:hAnsi="SimHei" w:eastAsia="SimHei" w:cs="SimHei"/>
          <w:sz w:val="26"/>
          <w:szCs w:val="26"/>
        </w:rPr>
      </w:pPr>
      <w:bookmarkStart w:name="bookmark11" w:id="17"/>
      <w:bookmarkEnd w:id="17"/>
      <w:r>
        <w:rPr>
          <w:rFonts w:ascii="SimHei" w:hAnsi="SimHei" w:eastAsia="SimHei" w:cs="SimHei"/>
          <w:sz w:val="26"/>
          <w:szCs w:val="26"/>
          <w:b/>
          <w:bCs/>
        </w:rPr>
        <w:t>1.2编制依据</w:t>
      </w:r>
    </w:p>
    <w:p>
      <w:pPr>
        <w:ind w:left="3"/>
        <w:spacing w:before="280" w:line="222" w:lineRule="auto"/>
        <w:rPr>
          <w:rFonts w:ascii="SimHei" w:hAnsi="SimHei" w:eastAsia="SimHei" w:cs="SimHei"/>
          <w:sz w:val="26"/>
          <w:szCs w:val="26"/>
        </w:rPr>
      </w:pPr>
      <w:r>
        <w:rPr>
          <w:rFonts w:ascii="SimHei" w:hAnsi="SimHei" w:eastAsia="SimHei" w:cs="SimHei"/>
          <w:sz w:val="26"/>
          <w:szCs w:val="26"/>
          <w:b/>
          <w:bCs/>
          <w:spacing w:val="6"/>
        </w:rPr>
        <w:t>1.2.1国家法律、法规、规章及规范性文件</w:t>
      </w:r>
    </w:p>
    <w:p>
      <w:pPr>
        <w:ind w:right="124" w:firstLine="480"/>
        <w:spacing w:before="278" w:line="357" w:lineRule="auto"/>
        <w:rPr>
          <w:rFonts w:ascii="SimSun" w:hAnsi="SimSun" w:eastAsia="SimSun" w:cs="SimSun"/>
          <w:sz w:val="23"/>
          <w:szCs w:val="23"/>
        </w:rPr>
      </w:pPr>
      <w:r>
        <w:rPr>
          <w:rFonts w:ascii="SimSun" w:hAnsi="SimSun" w:eastAsia="SimSun" w:cs="SimSun"/>
          <w:sz w:val="23"/>
          <w:szCs w:val="23"/>
          <w:spacing w:val="19"/>
        </w:rPr>
        <w:t>1、《中华人民共和国环境保护法(2014年修订本)》,中华人民共和国主</w:t>
      </w:r>
      <w:r>
        <w:rPr>
          <w:rFonts w:ascii="SimSun" w:hAnsi="SimSun" w:eastAsia="SimSun" w:cs="SimSun"/>
          <w:sz w:val="23"/>
          <w:szCs w:val="23"/>
          <w:spacing w:val="6"/>
        </w:rPr>
        <w:t xml:space="preserve"> </w:t>
      </w:r>
      <w:r>
        <w:rPr>
          <w:rFonts w:ascii="SimSun" w:hAnsi="SimSun" w:eastAsia="SimSun" w:cs="SimSun"/>
          <w:sz w:val="23"/>
          <w:szCs w:val="23"/>
          <w:spacing w:val="5"/>
        </w:rPr>
        <w:t>席令第九号，2015年1月1日起施行；</w:t>
      </w:r>
    </w:p>
    <w:p>
      <w:pPr>
        <w:spacing w:line="357" w:lineRule="auto"/>
        <w:sectPr>
          <w:headerReference w:type="default" r:id="rId19"/>
          <w:footerReference w:type="default" r:id="rId20"/>
          <w:pgSz w:w="11910" w:h="16840"/>
          <w:pgMar w:top="1219" w:right="1723" w:bottom="1017" w:left="1779" w:header="865" w:footer="719" w:gutter="0"/>
        </w:sectPr>
        <w:rPr>
          <w:rFonts w:ascii="SimSun" w:hAnsi="SimSun" w:eastAsia="SimSun" w:cs="SimSun"/>
          <w:sz w:val="23"/>
          <w:szCs w:val="23"/>
        </w:rPr>
      </w:pPr>
    </w:p>
    <w:p>
      <w:pPr>
        <w:ind w:right="44" w:firstLine="470"/>
        <w:spacing w:before="276" w:line="373" w:lineRule="auto"/>
        <w:rPr>
          <w:rFonts w:ascii="SimSun" w:hAnsi="SimSun" w:eastAsia="SimSun" w:cs="SimSun"/>
          <w:sz w:val="23"/>
          <w:szCs w:val="23"/>
        </w:rPr>
      </w:pPr>
      <w:r>
        <w:rPr>
          <w:rFonts w:ascii="SimSun" w:hAnsi="SimSun" w:eastAsia="SimSun" w:cs="SimSun"/>
          <w:sz w:val="23"/>
          <w:szCs w:val="23"/>
          <w:spacing w:val="20"/>
        </w:rPr>
        <w:t>2、《中华人民共和国环境影响评价法(2018年修正本)》,中华人</w:t>
      </w:r>
      <w:r>
        <w:rPr>
          <w:rFonts w:ascii="SimSun" w:hAnsi="SimSun" w:eastAsia="SimSun" w:cs="SimSun"/>
          <w:sz w:val="23"/>
          <w:szCs w:val="23"/>
          <w:spacing w:val="19"/>
        </w:rPr>
        <w:t>民共和</w:t>
      </w:r>
      <w:r>
        <w:rPr>
          <w:rFonts w:ascii="SimSun" w:hAnsi="SimSun" w:eastAsia="SimSun" w:cs="SimSun"/>
          <w:sz w:val="23"/>
          <w:szCs w:val="23"/>
        </w:rPr>
        <w:t xml:space="preserve"> </w:t>
      </w:r>
      <w:r>
        <w:rPr>
          <w:rFonts w:ascii="SimSun" w:hAnsi="SimSun" w:eastAsia="SimSun" w:cs="SimSun"/>
          <w:sz w:val="23"/>
          <w:szCs w:val="23"/>
          <w:spacing w:val="6"/>
        </w:rPr>
        <w:t>国主席令第二十四号，2018年12月2</w:t>
      </w:r>
      <w:r>
        <w:rPr>
          <w:rFonts w:ascii="SimSun" w:hAnsi="SimSun" w:eastAsia="SimSun" w:cs="SimSun"/>
          <w:sz w:val="23"/>
          <w:szCs w:val="23"/>
          <w:spacing w:val="5"/>
        </w:rPr>
        <w:t>9日起施行；</w:t>
      </w:r>
    </w:p>
    <w:p>
      <w:pPr>
        <w:ind w:right="53" w:firstLine="470"/>
        <w:spacing w:before="10" w:line="365" w:lineRule="auto"/>
        <w:rPr>
          <w:rFonts w:ascii="SimSun" w:hAnsi="SimSun" w:eastAsia="SimSun" w:cs="SimSun"/>
          <w:sz w:val="23"/>
          <w:szCs w:val="23"/>
        </w:rPr>
      </w:pPr>
      <w:r>
        <w:rPr>
          <w:rFonts w:ascii="SimSun" w:hAnsi="SimSun" w:eastAsia="SimSun" w:cs="SimSun"/>
          <w:sz w:val="23"/>
          <w:szCs w:val="23"/>
          <w:spacing w:val="18"/>
        </w:rPr>
        <w:t>3、《中华人民共和国水污染防治法(2017年修正本)》,2018年1月1日起</w:t>
      </w:r>
      <w:r>
        <w:rPr>
          <w:rFonts w:ascii="SimSun" w:hAnsi="SimSun" w:eastAsia="SimSun" w:cs="SimSun"/>
          <w:sz w:val="23"/>
          <w:szCs w:val="23"/>
          <w:spacing w:val="5"/>
        </w:rPr>
        <w:t xml:space="preserve"> </w:t>
      </w:r>
      <w:r>
        <w:rPr>
          <w:rFonts w:ascii="SimSun" w:hAnsi="SimSun" w:eastAsia="SimSun" w:cs="SimSun"/>
          <w:sz w:val="23"/>
          <w:szCs w:val="23"/>
          <w:spacing w:val="1"/>
        </w:rPr>
        <w:t>施行；</w:t>
      </w:r>
    </w:p>
    <w:p>
      <w:pPr>
        <w:ind w:right="31" w:firstLine="470"/>
        <w:spacing w:line="377" w:lineRule="auto"/>
        <w:rPr>
          <w:rFonts w:ascii="SimSun" w:hAnsi="SimSun" w:eastAsia="SimSun" w:cs="SimSun"/>
          <w:sz w:val="23"/>
          <w:szCs w:val="23"/>
        </w:rPr>
      </w:pPr>
      <w:r>
        <w:rPr>
          <w:rFonts w:ascii="SimSun" w:hAnsi="SimSun" w:eastAsia="SimSun" w:cs="SimSun"/>
          <w:sz w:val="23"/>
          <w:szCs w:val="23"/>
          <w:spacing w:val="18"/>
        </w:rPr>
        <w:t>4、《中华人民共和国大气污染防治法(2018年修正本)》,2018年10月26</w:t>
      </w:r>
      <w:r>
        <w:rPr>
          <w:rFonts w:ascii="SimSun" w:hAnsi="SimSun" w:eastAsia="SimSun" w:cs="SimSun"/>
          <w:sz w:val="23"/>
          <w:szCs w:val="23"/>
          <w:spacing w:val="8"/>
        </w:rPr>
        <w:t xml:space="preserve"> </w:t>
      </w:r>
      <w:r>
        <w:rPr>
          <w:rFonts w:ascii="SimSun" w:hAnsi="SimSun" w:eastAsia="SimSun" w:cs="SimSun"/>
          <w:sz w:val="23"/>
          <w:szCs w:val="23"/>
          <w:spacing w:val="-3"/>
        </w:rPr>
        <w:t>日起施行；</w:t>
      </w:r>
    </w:p>
    <w:p>
      <w:pPr>
        <w:ind w:right="44" w:firstLine="470"/>
        <w:spacing w:line="299" w:lineRule="auto"/>
        <w:rPr>
          <w:rFonts w:ascii="SimSun" w:hAnsi="SimSun" w:eastAsia="SimSun" w:cs="SimSun"/>
          <w:sz w:val="23"/>
          <w:szCs w:val="23"/>
        </w:rPr>
      </w:pPr>
      <w:r>
        <w:rPr>
          <w:rFonts w:ascii="SimSun" w:hAnsi="SimSun" w:eastAsia="SimSun" w:cs="SimSun"/>
          <w:sz w:val="23"/>
          <w:szCs w:val="23"/>
          <w:spacing w:val="20"/>
        </w:rPr>
        <w:t>5、《中华人民共和国噪声污染防治法(2021年修正本)》,中华人民</w:t>
      </w:r>
      <w:r>
        <w:rPr>
          <w:rFonts w:ascii="SimSun" w:hAnsi="SimSun" w:eastAsia="SimSun" w:cs="SimSun"/>
          <w:sz w:val="23"/>
          <w:szCs w:val="23"/>
          <w:spacing w:val="19"/>
        </w:rPr>
        <w:t>共和</w:t>
      </w:r>
      <w:r>
        <w:rPr>
          <w:rFonts w:ascii="SimSun" w:hAnsi="SimSun" w:eastAsia="SimSun" w:cs="SimSun"/>
          <w:sz w:val="23"/>
          <w:szCs w:val="23"/>
        </w:rPr>
        <w:t xml:space="preserve"> </w:t>
      </w:r>
      <w:r>
        <w:rPr>
          <w:rFonts w:ascii="SimSun" w:hAnsi="SimSun" w:eastAsia="SimSun" w:cs="SimSun"/>
          <w:sz w:val="23"/>
          <w:szCs w:val="23"/>
          <w:spacing w:val="5"/>
        </w:rPr>
        <w:t>国主席令第一O 四号，2022年6月5日起施行；</w:t>
      </w:r>
    </w:p>
    <w:p>
      <w:pPr>
        <w:ind w:right="52" w:firstLine="470"/>
        <w:spacing w:before="184" w:line="304" w:lineRule="auto"/>
        <w:rPr>
          <w:rFonts w:ascii="SimSun" w:hAnsi="SimSun" w:eastAsia="SimSun" w:cs="SimSun"/>
          <w:sz w:val="23"/>
          <w:szCs w:val="23"/>
        </w:rPr>
      </w:pPr>
      <w:r>
        <w:rPr>
          <w:rFonts w:ascii="SimSun" w:hAnsi="SimSun" w:eastAsia="SimSun" w:cs="SimSun"/>
          <w:sz w:val="23"/>
          <w:szCs w:val="23"/>
          <w:spacing w:val="14"/>
        </w:rPr>
        <w:t>6、《中华人民共和国固体废物污染环境防治法》,中华人民共和国</w:t>
      </w:r>
      <w:r>
        <w:rPr>
          <w:rFonts w:ascii="SimSun" w:hAnsi="SimSun" w:eastAsia="SimSun" w:cs="SimSun"/>
          <w:sz w:val="23"/>
          <w:szCs w:val="23"/>
          <w:spacing w:val="13"/>
        </w:rPr>
        <w:t>主席令</w:t>
      </w:r>
      <w:r>
        <w:rPr>
          <w:rFonts w:ascii="SimSun" w:hAnsi="SimSun" w:eastAsia="SimSun" w:cs="SimSun"/>
          <w:sz w:val="23"/>
          <w:szCs w:val="23"/>
        </w:rPr>
        <w:t xml:space="preserve"> </w:t>
      </w:r>
      <w:r>
        <w:rPr>
          <w:rFonts w:ascii="SimSun" w:hAnsi="SimSun" w:eastAsia="SimSun" w:cs="SimSun"/>
          <w:sz w:val="23"/>
          <w:szCs w:val="23"/>
          <w:spacing w:val="6"/>
        </w:rPr>
        <w:t>第四十三号，2020年9月1日起施行；</w:t>
      </w:r>
    </w:p>
    <w:p>
      <w:pPr>
        <w:ind w:right="78" w:firstLine="470"/>
        <w:spacing w:before="182" w:line="304" w:lineRule="auto"/>
        <w:rPr>
          <w:rFonts w:ascii="SimSun" w:hAnsi="SimSun" w:eastAsia="SimSun" w:cs="SimSun"/>
          <w:sz w:val="23"/>
          <w:szCs w:val="23"/>
        </w:rPr>
      </w:pPr>
      <w:r>
        <w:rPr>
          <w:rFonts w:ascii="SimSun" w:hAnsi="SimSun" w:eastAsia="SimSun" w:cs="SimSun"/>
          <w:sz w:val="23"/>
          <w:szCs w:val="23"/>
          <w:spacing w:val="13"/>
        </w:rPr>
        <w:t>7、《中华人民共和国土壤污染防治法》,中华人民共和国主席令第八号，</w:t>
      </w:r>
      <w:r>
        <w:rPr>
          <w:rFonts w:ascii="SimSun" w:hAnsi="SimSun" w:eastAsia="SimSun" w:cs="SimSun"/>
          <w:sz w:val="23"/>
          <w:szCs w:val="23"/>
          <w:spacing w:val="4"/>
        </w:rPr>
        <w:t xml:space="preserve"> </w:t>
      </w:r>
      <w:r>
        <w:rPr>
          <w:rFonts w:ascii="SimSun" w:hAnsi="SimSun" w:eastAsia="SimSun" w:cs="SimSun"/>
          <w:sz w:val="23"/>
          <w:szCs w:val="23"/>
          <w:spacing w:val="3"/>
        </w:rPr>
        <w:t>2019年1月1日起施行；</w:t>
      </w:r>
    </w:p>
    <w:p>
      <w:pPr>
        <w:ind w:right="78" w:firstLine="470"/>
        <w:spacing w:before="193" w:line="292" w:lineRule="auto"/>
        <w:rPr>
          <w:rFonts w:ascii="SimSun" w:hAnsi="SimSun" w:eastAsia="SimSun" w:cs="SimSun"/>
          <w:sz w:val="23"/>
          <w:szCs w:val="23"/>
        </w:rPr>
      </w:pPr>
      <w:r>
        <w:rPr>
          <w:rFonts w:ascii="SimSun" w:hAnsi="SimSun" w:eastAsia="SimSun" w:cs="SimSun"/>
          <w:sz w:val="23"/>
          <w:szCs w:val="23"/>
          <w:spacing w:val="13"/>
        </w:rPr>
        <w:t>8、《中华人民共和国水土保持法》,中华人民共和国主席令第三十九号，</w:t>
      </w:r>
      <w:r>
        <w:rPr>
          <w:rFonts w:ascii="SimSun" w:hAnsi="SimSun" w:eastAsia="SimSun" w:cs="SimSun"/>
          <w:sz w:val="23"/>
          <w:szCs w:val="23"/>
          <w:spacing w:val="4"/>
        </w:rPr>
        <w:t xml:space="preserve"> </w:t>
      </w:r>
      <w:r>
        <w:rPr>
          <w:rFonts w:ascii="SimSun" w:hAnsi="SimSun" w:eastAsia="SimSun" w:cs="SimSun"/>
          <w:sz w:val="23"/>
          <w:szCs w:val="23"/>
          <w:spacing w:val="3"/>
        </w:rPr>
        <w:t>2011年3月1日起施行；</w:t>
      </w:r>
    </w:p>
    <w:p>
      <w:pPr>
        <w:ind w:right="48" w:firstLine="470"/>
        <w:spacing w:before="204" w:line="304" w:lineRule="auto"/>
        <w:rPr>
          <w:rFonts w:ascii="SimSun" w:hAnsi="SimSun" w:eastAsia="SimSun" w:cs="SimSun"/>
          <w:sz w:val="23"/>
          <w:szCs w:val="23"/>
        </w:rPr>
      </w:pPr>
      <w:r>
        <w:rPr>
          <w:rFonts w:ascii="SimSun" w:hAnsi="SimSun" w:eastAsia="SimSun" w:cs="SimSun"/>
          <w:sz w:val="23"/>
          <w:szCs w:val="23"/>
          <w:spacing w:val="13"/>
        </w:rPr>
        <w:t>9、《中华人民共和国水法》,中华人民共</w:t>
      </w:r>
      <w:r>
        <w:rPr>
          <w:rFonts w:ascii="SimSun" w:hAnsi="SimSun" w:eastAsia="SimSun" w:cs="SimSun"/>
          <w:sz w:val="23"/>
          <w:szCs w:val="23"/>
          <w:spacing w:val="12"/>
        </w:rPr>
        <w:t>和国主席令第48号，2016年7月2</w:t>
      </w:r>
      <w:r>
        <w:rPr>
          <w:rFonts w:ascii="SimSun" w:hAnsi="SimSun" w:eastAsia="SimSun" w:cs="SimSun"/>
          <w:sz w:val="23"/>
          <w:szCs w:val="23"/>
        </w:rPr>
        <w:t xml:space="preserve"> </w:t>
      </w:r>
      <w:r>
        <w:rPr>
          <w:rFonts w:ascii="SimSun" w:hAnsi="SimSun" w:eastAsia="SimSun" w:cs="SimSun"/>
          <w:sz w:val="23"/>
          <w:szCs w:val="23"/>
          <w:spacing w:val="-3"/>
        </w:rPr>
        <w:t>日起施行；</w:t>
      </w:r>
    </w:p>
    <w:p>
      <w:pPr>
        <w:ind w:right="60" w:firstLine="470"/>
        <w:spacing w:before="172" w:line="295" w:lineRule="auto"/>
        <w:rPr>
          <w:rFonts w:ascii="SimSun" w:hAnsi="SimSun" w:eastAsia="SimSun" w:cs="SimSun"/>
          <w:sz w:val="23"/>
          <w:szCs w:val="23"/>
        </w:rPr>
      </w:pPr>
      <w:r>
        <w:rPr>
          <w:rFonts w:ascii="SimSun" w:hAnsi="SimSun" w:eastAsia="SimSun" w:cs="SimSun"/>
          <w:sz w:val="23"/>
          <w:szCs w:val="23"/>
          <w:spacing w:val="23"/>
        </w:rPr>
        <w:t>10、《中华人民共和国动物防疫法(2021年修订版)》</w:t>
      </w:r>
      <w:r>
        <w:rPr>
          <w:rFonts w:ascii="SimSun" w:hAnsi="SimSun" w:eastAsia="SimSun" w:cs="SimSun"/>
          <w:sz w:val="23"/>
          <w:szCs w:val="23"/>
          <w:spacing w:val="22"/>
        </w:rPr>
        <w:t>,中华人民共和国</w:t>
      </w:r>
      <w:r>
        <w:rPr>
          <w:rFonts w:ascii="SimSun" w:hAnsi="SimSun" w:eastAsia="SimSun" w:cs="SimSun"/>
          <w:sz w:val="23"/>
          <w:szCs w:val="23"/>
        </w:rPr>
        <w:t xml:space="preserve"> </w:t>
      </w:r>
      <w:r>
        <w:rPr>
          <w:rFonts w:ascii="SimSun" w:hAnsi="SimSun" w:eastAsia="SimSun" w:cs="SimSun"/>
          <w:sz w:val="23"/>
          <w:szCs w:val="23"/>
          <w:spacing w:val="6"/>
        </w:rPr>
        <w:t>主席令第六十九号，自2021年5月1日</w:t>
      </w:r>
      <w:r>
        <w:rPr>
          <w:rFonts w:ascii="SimSun" w:hAnsi="SimSun" w:eastAsia="SimSun" w:cs="SimSun"/>
          <w:sz w:val="23"/>
          <w:szCs w:val="23"/>
          <w:spacing w:val="5"/>
        </w:rPr>
        <w:t>起施行；</w:t>
      </w:r>
    </w:p>
    <w:p>
      <w:pPr>
        <w:ind w:left="470"/>
        <w:spacing w:before="225" w:line="216" w:lineRule="auto"/>
        <w:rPr>
          <w:rFonts w:ascii="SimSun" w:hAnsi="SimSun" w:eastAsia="SimSun" w:cs="SimSun"/>
          <w:sz w:val="23"/>
          <w:szCs w:val="23"/>
        </w:rPr>
      </w:pPr>
      <w:r>
        <w:rPr>
          <w:rFonts w:ascii="SimSun" w:hAnsi="SimSun" w:eastAsia="SimSun" w:cs="SimSun"/>
          <w:sz w:val="23"/>
          <w:szCs w:val="23"/>
          <w:spacing w:val="15"/>
        </w:rPr>
        <w:t>11、《中华人民共和国畜牧法(2022年修订)》,2023年3月1日起施行；</w:t>
      </w:r>
    </w:p>
    <w:p>
      <w:pPr>
        <w:ind w:right="53" w:firstLine="470"/>
        <w:spacing w:before="161" w:line="303" w:lineRule="auto"/>
        <w:rPr>
          <w:rFonts w:ascii="SimSun" w:hAnsi="SimSun" w:eastAsia="SimSun" w:cs="SimSun"/>
          <w:sz w:val="23"/>
          <w:szCs w:val="23"/>
        </w:rPr>
      </w:pPr>
      <w:r>
        <w:rPr>
          <w:rFonts w:ascii="SimSun" w:hAnsi="SimSun" w:eastAsia="SimSun" w:cs="SimSun"/>
          <w:sz w:val="23"/>
          <w:szCs w:val="23"/>
          <w:spacing w:val="23"/>
        </w:rPr>
        <w:t>12、《中华人民共和国清洁生产促进法(2012年修正本)》,中华人</w:t>
      </w:r>
      <w:r>
        <w:rPr>
          <w:rFonts w:ascii="SimSun" w:hAnsi="SimSun" w:eastAsia="SimSun" w:cs="SimSun"/>
          <w:sz w:val="23"/>
          <w:szCs w:val="23"/>
          <w:spacing w:val="22"/>
        </w:rPr>
        <w:t>民共</w:t>
      </w:r>
      <w:r>
        <w:rPr>
          <w:rFonts w:ascii="SimSun" w:hAnsi="SimSun" w:eastAsia="SimSun" w:cs="SimSun"/>
          <w:sz w:val="23"/>
          <w:szCs w:val="23"/>
        </w:rPr>
        <w:t xml:space="preserve"> </w:t>
      </w:r>
      <w:r>
        <w:rPr>
          <w:rFonts w:ascii="SimSun" w:hAnsi="SimSun" w:eastAsia="SimSun" w:cs="SimSun"/>
          <w:sz w:val="23"/>
          <w:szCs w:val="23"/>
          <w:spacing w:val="6"/>
        </w:rPr>
        <w:t>和国主席令第54号，2012年7月1日</w:t>
      </w:r>
      <w:r>
        <w:rPr>
          <w:rFonts w:ascii="SimSun" w:hAnsi="SimSun" w:eastAsia="SimSun" w:cs="SimSun"/>
          <w:sz w:val="23"/>
          <w:szCs w:val="23"/>
          <w:spacing w:val="5"/>
        </w:rPr>
        <w:t>起施行；</w:t>
      </w:r>
    </w:p>
    <w:p>
      <w:pPr>
        <w:ind w:right="57" w:firstLine="470"/>
        <w:spacing w:before="176" w:line="304" w:lineRule="auto"/>
        <w:rPr>
          <w:rFonts w:ascii="SimSun" w:hAnsi="SimSun" w:eastAsia="SimSun" w:cs="SimSun"/>
          <w:sz w:val="23"/>
          <w:szCs w:val="23"/>
        </w:rPr>
      </w:pPr>
      <w:r>
        <w:rPr>
          <w:rFonts w:ascii="SimSun" w:hAnsi="SimSun" w:eastAsia="SimSun" w:cs="SimSun"/>
          <w:sz w:val="23"/>
          <w:szCs w:val="23"/>
          <w:spacing w:val="21"/>
        </w:rPr>
        <w:t>13、《中华人民共和国循环经济促进法(2018年修正本)》,2018年10月</w:t>
      </w:r>
      <w:r>
        <w:rPr>
          <w:rFonts w:ascii="SimSun" w:hAnsi="SimSun" w:eastAsia="SimSun" w:cs="SimSun"/>
          <w:sz w:val="23"/>
          <w:szCs w:val="23"/>
          <w:spacing w:val="2"/>
        </w:rPr>
        <w:t xml:space="preserve"> </w:t>
      </w:r>
      <w:r>
        <w:rPr>
          <w:rFonts w:ascii="SimSun" w:hAnsi="SimSun" w:eastAsia="SimSun" w:cs="SimSun"/>
          <w:sz w:val="23"/>
          <w:szCs w:val="23"/>
          <w:spacing w:val="3"/>
        </w:rPr>
        <w:t>26日起施行；</w:t>
      </w:r>
    </w:p>
    <w:p>
      <w:pPr>
        <w:ind w:right="98" w:firstLine="470"/>
        <w:spacing w:before="190" w:line="300" w:lineRule="auto"/>
        <w:rPr>
          <w:rFonts w:ascii="SimSun" w:hAnsi="SimSun" w:eastAsia="SimSun" w:cs="SimSun"/>
          <w:sz w:val="23"/>
          <w:szCs w:val="23"/>
        </w:rPr>
      </w:pPr>
      <w:r>
        <w:rPr>
          <w:rFonts w:ascii="SimSun" w:hAnsi="SimSun" w:eastAsia="SimSun" w:cs="SimSun"/>
          <w:sz w:val="23"/>
          <w:szCs w:val="23"/>
          <w:spacing w:val="12"/>
        </w:rPr>
        <w:t>14、《建设项目环境保护管理条例》,中华人民共和国国务院令</w:t>
      </w:r>
      <w:r>
        <w:rPr>
          <w:rFonts w:ascii="SimSun" w:hAnsi="SimSun" w:eastAsia="SimSun" w:cs="SimSun"/>
          <w:sz w:val="23"/>
          <w:szCs w:val="23"/>
          <w:spacing w:val="11"/>
        </w:rPr>
        <w:t>第683号，</w:t>
      </w:r>
      <w:r>
        <w:rPr>
          <w:rFonts w:ascii="SimSun" w:hAnsi="SimSun" w:eastAsia="SimSun" w:cs="SimSun"/>
          <w:sz w:val="23"/>
          <w:szCs w:val="23"/>
        </w:rPr>
        <w:t xml:space="preserve"> </w:t>
      </w:r>
      <w:r>
        <w:rPr>
          <w:rFonts w:ascii="SimSun" w:hAnsi="SimSun" w:eastAsia="SimSun" w:cs="SimSun"/>
          <w:sz w:val="23"/>
          <w:szCs w:val="23"/>
          <w:spacing w:val="3"/>
        </w:rPr>
        <w:t>2017年10月1日起施行；</w:t>
      </w:r>
    </w:p>
    <w:p>
      <w:pPr>
        <w:ind w:right="73" w:firstLine="470"/>
        <w:spacing w:before="194" w:line="283" w:lineRule="auto"/>
        <w:rPr>
          <w:rFonts w:ascii="SimSun" w:hAnsi="SimSun" w:eastAsia="SimSun" w:cs="SimSun"/>
          <w:sz w:val="23"/>
          <w:szCs w:val="23"/>
        </w:rPr>
      </w:pPr>
      <w:r>
        <w:rPr>
          <w:rFonts w:ascii="SimSun" w:hAnsi="SimSun" w:eastAsia="SimSun" w:cs="SimSun"/>
          <w:sz w:val="23"/>
          <w:szCs w:val="23"/>
          <w:spacing w:val="22"/>
        </w:rPr>
        <w:t>15、《建设项目环境影响评价分类管理名录》(2021年版),中华人民共</w:t>
      </w:r>
      <w:r>
        <w:rPr>
          <w:rFonts w:ascii="SimSun" w:hAnsi="SimSun" w:eastAsia="SimSun" w:cs="SimSun"/>
          <w:sz w:val="23"/>
          <w:szCs w:val="23"/>
          <w:spacing w:val="13"/>
        </w:rPr>
        <w:t xml:space="preserve"> </w:t>
      </w:r>
      <w:r>
        <w:rPr>
          <w:rFonts w:ascii="SimSun" w:hAnsi="SimSun" w:eastAsia="SimSun" w:cs="SimSun"/>
          <w:sz w:val="23"/>
          <w:szCs w:val="23"/>
          <w:spacing w:val="6"/>
        </w:rPr>
        <w:t>和国生态环境部令第16号，2021年1月1日起施行；</w:t>
      </w:r>
    </w:p>
    <w:p>
      <w:pPr>
        <w:ind w:right="49" w:firstLine="470"/>
        <w:spacing w:before="234" w:line="320" w:lineRule="auto"/>
        <w:rPr>
          <w:rFonts w:ascii="SimSun" w:hAnsi="SimSun" w:eastAsia="SimSun" w:cs="SimSun"/>
          <w:sz w:val="23"/>
          <w:szCs w:val="23"/>
        </w:rPr>
      </w:pPr>
      <w:r>
        <w:rPr>
          <w:rFonts w:ascii="SimSun" w:hAnsi="SimSun" w:eastAsia="SimSun" w:cs="SimSun"/>
          <w:sz w:val="23"/>
          <w:szCs w:val="23"/>
          <w:spacing w:val="21"/>
        </w:rPr>
        <w:t>16、《国家危险废物名录(2025年版</w:t>
      </w:r>
      <w:r>
        <w:rPr>
          <w:rFonts w:ascii="SimSun" w:hAnsi="SimSun" w:eastAsia="SimSun" w:cs="SimSun"/>
          <w:sz w:val="23"/>
          <w:szCs w:val="23"/>
          <w:spacing w:val="20"/>
        </w:rPr>
        <w:t>)》,2024年11月26日生态环境部、</w:t>
      </w:r>
      <w:r>
        <w:rPr>
          <w:rFonts w:ascii="SimSun" w:hAnsi="SimSun" w:eastAsia="SimSun" w:cs="SimSun"/>
          <w:sz w:val="23"/>
          <w:szCs w:val="23"/>
        </w:rPr>
        <w:t xml:space="preserve"> </w:t>
      </w:r>
      <w:r>
        <w:rPr>
          <w:rFonts w:ascii="SimSun" w:hAnsi="SimSun" w:eastAsia="SimSun" w:cs="SimSun"/>
          <w:sz w:val="23"/>
          <w:szCs w:val="23"/>
          <w:spacing w:val="13"/>
        </w:rPr>
        <w:t>国家发展和改革委员会、公安部、交通运输部、国家卫生健康委员会令第36号</w:t>
      </w:r>
      <w:r>
        <w:rPr>
          <w:rFonts w:ascii="SimSun" w:hAnsi="SimSun" w:eastAsia="SimSun" w:cs="SimSun"/>
          <w:sz w:val="23"/>
          <w:szCs w:val="23"/>
          <w:spacing w:val="18"/>
        </w:rPr>
        <w:t xml:space="preserve"> </w:t>
      </w:r>
      <w:r>
        <w:rPr>
          <w:rFonts w:ascii="SimSun" w:hAnsi="SimSun" w:eastAsia="SimSun" w:cs="SimSun"/>
          <w:sz w:val="23"/>
          <w:szCs w:val="23"/>
          <w:spacing w:val="4"/>
        </w:rPr>
        <w:t>公布，自2025年1月1日起施行；</w:t>
      </w:r>
    </w:p>
    <w:p>
      <w:pPr>
        <w:spacing w:line="320" w:lineRule="auto"/>
        <w:sectPr>
          <w:headerReference w:type="default" r:id="rId13"/>
          <w:footerReference w:type="default" r:id="rId21"/>
          <w:pgSz w:w="11910" w:h="16840"/>
          <w:pgMar w:top="1219" w:right="1786" w:bottom="1020" w:left="1779" w:header="865" w:footer="795" w:gutter="0"/>
        </w:sectPr>
        <w:rPr>
          <w:rFonts w:ascii="SimSun" w:hAnsi="SimSun" w:eastAsia="SimSun" w:cs="SimSun"/>
          <w:sz w:val="23"/>
          <w:szCs w:val="23"/>
        </w:rPr>
      </w:pPr>
    </w:p>
    <w:p>
      <w:pPr>
        <w:ind w:right="43" w:firstLine="470"/>
        <w:spacing w:before="286" w:line="381" w:lineRule="auto"/>
        <w:rPr>
          <w:rFonts w:ascii="SimSun" w:hAnsi="SimSun" w:eastAsia="SimSun" w:cs="SimSun"/>
          <w:sz w:val="23"/>
          <w:szCs w:val="23"/>
        </w:rPr>
      </w:pPr>
      <w:r>
        <w:rPr>
          <w:rFonts w:ascii="SimSun" w:hAnsi="SimSun" w:eastAsia="SimSun" w:cs="SimSun"/>
          <w:sz w:val="23"/>
          <w:szCs w:val="23"/>
          <w:spacing w:val="25"/>
        </w:rPr>
        <w:t>17、《关于进一步加强环境影响评价管理防范环境风险的通知》,环发</w:t>
      </w:r>
      <w:r>
        <w:rPr>
          <w:rFonts w:ascii="SimSun" w:hAnsi="SimSun" w:eastAsia="SimSun" w:cs="SimSun"/>
          <w:sz w:val="23"/>
          <w:szCs w:val="23"/>
          <w:spacing w:val="13"/>
        </w:rPr>
        <w:t xml:space="preserve"> </w:t>
      </w:r>
      <w:r>
        <w:rPr>
          <w:rFonts w:ascii="SimSun" w:hAnsi="SimSun" w:eastAsia="SimSun" w:cs="SimSun"/>
          <w:sz w:val="23"/>
          <w:szCs w:val="23"/>
          <w:spacing w:val="2"/>
        </w:rPr>
        <w:t>[2012]77号，2012年7月3日起施</w:t>
      </w:r>
      <w:r>
        <w:rPr>
          <w:rFonts w:ascii="SimSun" w:hAnsi="SimSun" w:eastAsia="SimSun" w:cs="SimSun"/>
          <w:sz w:val="23"/>
          <w:szCs w:val="23"/>
          <w:spacing w:val="1"/>
        </w:rPr>
        <w:t>行；</w:t>
      </w:r>
    </w:p>
    <w:p>
      <w:pPr>
        <w:ind w:right="45" w:firstLine="470"/>
        <w:spacing w:before="1" w:line="287" w:lineRule="auto"/>
        <w:rPr>
          <w:rFonts w:ascii="SimSun" w:hAnsi="SimSun" w:eastAsia="SimSun" w:cs="SimSun"/>
          <w:sz w:val="23"/>
          <w:szCs w:val="23"/>
        </w:rPr>
      </w:pPr>
      <w:r>
        <w:rPr>
          <w:rFonts w:ascii="SimSun" w:hAnsi="SimSun" w:eastAsia="SimSun" w:cs="SimSun"/>
          <w:sz w:val="23"/>
          <w:szCs w:val="23"/>
          <w:spacing w:val="21"/>
        </w:rPr>
        <w:t>18、《环境影响评价公众参与办法》,中华人民共和国生态环境部令第4</w:t>
      </w:r>
      <w:r>
        <w:rPr>
          <w:rFonts w:ascii="SimSun" w:hAnsi="SimSun" w:eastAsia="SimSun" w:cs="SimSun"/>
          <w:sz w:val="23"/>
          <w:szCs w:val="23"/>
          <w:spacing w:val="3"/>
        </w:rPr>
        <w:t xml:space="preserve"> </w:t>
      </w:r>
      <w:r>
        <w:rPr>
          <w:rFonts w:ascii="SimSun" w:hAnsi="SimSun" w:eastAsia="SimSun" w:cs="SimSun"/>
          <w:sz w:val="23"/>
          <w:szCs w:val="23"/>
          <w:spacing w:val="4"/>
        </w:rPr>
        <w:t>号，2019年1月1日起施行；</w:t>
      </w:r>
    </w:p>
    <w:p>
      <w:pPr>
        <w:ind w:left="470"/>
        <w:spacing w:before="213" w:line="216" w:lineRule="auto"/>
        <w:rPr>
          <w:rFonts w:ascii="SimSun" w:hAnsi="SimSun" w:eastAsia="SimSun" w:cs="SimSun"/>
          <w:sz w:val="23"/>
          <w:szCs w:val="23"/>
        </w:rPr>
      </w:pPr>
      <w:r>
        <w:rPr>
          <w:rFonts w:ascii="SimSun" w:hAnsi="SimSun" w:eastAsia="SimSun" w:cs="SimSun"/>
          <w:sz w:val="23"/>
          <w:szCs w:val="23"/>
          <w:spacing w:val="33"/>
        </w:rPr>
        <w:t>19、《关于切实加强风险防范严格环境影响评价管理的通知》,环发</w:t>
      </w:r>
    </w:p>
    <w:p>
      <w:pPr>
        <w:spacing w:before="204" w:line="219" w:lineRule="auto"/>
        <w:rPr>
          <w:rFonts w:ascii="SimSun" w:hAnsi="SimSun" w:eastAsia="SimSun" w:cs="SimSun"/>
          <w:sz w:val="23"/>
          <w:szCs w:val="23"/>
        </w:rPr>
      </w:pPr>
      <w:r>
        <w:rPr>
          <w:rFonts w:ascii="SimSun" w:hAnsi="SimSun" w:eastAsia="SimSun" w:cs="SimSun"/>
          <w:sz w:val="23"/>
          <w:szCs w:val="23"/>
          <w:spacing w:val="2"/>
        </w:rPr>
        <w:t>[2012]98号，2012年8月7日起施</w:t>
      </w:r>
      <w:r>
        <w:rPr>
          <w:rFonts w:ascii="SimSun" w:hAnsi="SimSun" w:eastAsia="SimSun" w:cs="SimSun"/>
          <w:sz w:val="23"/>
          <w:szCs w:val="23"/>
          <w:spacing w:val="1"/>
        </w:rPr>
        <w:t>行；</w:t>
      </w:r>
    </w:p>
    <w:p>
      <w:pPr>
        <w:ind w:right="41" w:firstLine="470"/>
        <w:spacing w:before="174" w:line="373" w:lineRule="auto"/>
        <w:rPr>
          <w:rFonts w:ascii="SimSun" w:hAnsi="SimSun" w:eastAsia="SimSun" w:cs="SimSun"/>
          <w:sz w:val="23"/>
          <w:szCs w:val="23"/>
        </w:rPr>
      </w:pPr>
      <w:r>
        <w:rPr>
          <w:rFonts w:ascii="SimSun" w:hAnsi="SimSun" w:eastAsia="SimSun" w:cs="SimSun"/>
          <w:sz w:val="23"/>
          <w:szCs w:val="23"/>
          <w:spacing w:val="18"/>
        </w:rPr>
        <w:t>20、《关于以改善环境质量为核心加强环境影响评价</w:t>
      </w:r>
      <w:r>
        <w:rPr>
          <w:rFonts w:ascii="SimSun" w:hAnsi="SimSun" w:eastAsia="SimSun" w:cs="SimSun"/>
          <w:sz w:val="23"/>
          <w:szCs w:val="23"/>
          <w:spacing w:val="17"/>
        </w:rPr>
        <w:t>管理的通知》,环环</w:t>
      </w:r>
      <w:r>
        <w:rPr>
          <w:rFonts w:ascii="SimSun" w:hAnsi="SimSun" w:eastAsia="SimSun" w:cs="SimSun"/>
          <w:sz w:val="23"/>
          <w:szCs w:val="23"/>
        </w:rPr>
        <w:t xml:space="preserve"> </w:t>
      </w:r>
      <w:r>
        <w:rPr>
          <w:rFonts w:ascii="SimSun" w:hAnsi="SimSun" w:eastAsia="SimSun" w:cs="SimSun"/>
          <w:sz w:val="23"/>
          <w:szCs w:val="23"/>
          <w:spacing w:val="-1"/>
        </w:rPr>
        <w:t>评[2016]150号。</w:t>
      </w:r>
    </w:p>
    <w:p>
      <w:pPr>
        <w:ind w:right="40" w:firstLine="470"/>
        <w:spacing w:before="2" w:line="295" w:lineRule="auto"/>
        <w:rPr>
          <w:rFonts w:ascii="SimSun" w:hAnsi="SimSun" w:eastAsia="SimSun" w:cs="SimSun"/>
          <w:sz w:val="23"/>
          <w:szCs w:val="23"/>
        </w:rPr>
      </w:pPr>
      <w:r>
        <w:rPr>
          <w:rFonts w:ascii="SimSun" w:hAnsi="SimSun" w:eastAsia="SimSun" w:cs="SimSun"/>
          <w:sz w:val="23"/>
          <w:szCs w:val="23"/>
          <w:spacing w:val="13"/>
        </w:rPr>
        <w:t>21、《动物防疫条件审查办法》,中华人民共和国农业农村部令2022年第8</w:t>
      </w:r>
      <w:r>
        <w:rPr>
          <w:rFonts w:ascii="SimSun" w:hAnsi="SimSun" w:eastAsia="SimSun" w:cs="SimSun"/>
          <w:sz w:val="23"/>
          <w:szCs w:val="23"/>
          <w:spacing w:val="4"/>
        </w:rPr>
        <w:t xml:space="preserve"> </w:t>
      </w:r>
      <w:r>
        <w:rPr>
          <w:rFonts w:ascii="SimSun" w:hAnsi="SimSun" w:eastAsia="SimSun" w:cs="SimSun"/>
          <w:sz w:val="23"/>
          <w:szCs w:val="23"/>
          <w:spacing w:val="3"/>
        </w:rPr>
        <w:t>号，2022年12月1日起施行；</w:t>
      </w:r>
    </w:p>
    <w:p>
      <w:pPr>
        <w:ind w:left="470"/>
        <w:spacing w:before="227" w:line="219" w:lineRule="auto"/>
        <w:rPr>
          <w:rFonts w:ascii="SimSun" w:hAnsi="SimSun" w:eastAsia="SimSun" w:cs="SimSun"/>
          <w:sz w:val="23"/>
          <w:szCs w:val="23"/>
        </w:rPr>
      </w:pPr>
      <w:r>
        <w:rPr>
          <w:rFonts w:ascii="SimSun" w:hAnsi="SimSun" w:eastAsia="SimSun" w:cs="SimSun"/>
          <w:sz w:val="23"/>
          <w:szCs w:val="23"/>
          <w:spacing w:val="13"/>
        </w:rPr>
        <w:t>22、《关于印发大气污染防治行动计划的通知》(国发[2013]37号);</w:t>
      </w:r>
    </w:p>
    <w:p>
      <w:pPr>
        <w:ind w:left="470"/>
        <w:spacing w:before="187" w:line="219" w:lineRule="auto"/>
        <w:rPr>
          <w:rFonts w:ascii="SimSun" w:hAnsi="SimSun" w:eastAsia="SimSun" w:cs="SimSun"/>
          <w:sz w:val="23"/>
          <w:szCs w:val="23"/>
        </w:rPr>
      </w:pPr>
      <w:r>
        <w:rPr>
          <w:rFonts w:ascii="SimSun" w:hAnsi="SimSun" w:eastAsia="SimSun" w:cs="SimSun"/>
          <w:sz w:val="23"/>
          <w:szCs w:val="23"/>
          <w:spacing w:val="13"/>
        </w:rPr>
        <w:t>23、《关于印发水污染防治行动计划的通知》(国发[2015]17号);</w:t>
      </w:r>
    </w:p>
    <w:p>
      <w:pPr>
        <w:ind w:left="470"/>
        <w:spacing w:before="207" w:line="219" w:lineRule="auto"/>
        <w:rPr>
          <w:rFonts w:ascii="SimSun" w:hAnsi="SimSun" w:eastAsia="SimSun" w:cs="SimSun"/>
          <w:sz w:val="23"/>
          <w:szCs w:val="23"/>
        </w:rPr>
      </w:pPr>
      <w:r>
        <w:rPr>
          <w:rFonts w:ascii="SimSun" w:hAnsi="SimSun" w:eastAsia="SimSun" w:cs="SimSun"/>
          <w:sz w:val="23"/>
          <w:szCs w:val="23"/>
          <w:spacing w:val="13"/>
        </w:rPr>
        <w:t>24、《关于印发土壤污染防治行动计划的通知》(国发[2016]31号);</w:t>
      </w:r>
    </w:p>
    <w:p>
      <w:pPr>
        <w:ind w:left="130" w:right="38" w:firstLine="340"/>
        <w:spacing w:before="178" w:line="298" w:lineRule="auto"/>
        <w:rPr>
          <w:rFonts w:ascii="SimSun" w:hAnsi="SimSun" w:eastAsia="SimSun" w:cs="SimSun"/>
          <w:sz w:val="23"/>
          <w:szCs w:val="23"/>
        </w:rPr>
      </w:pPr>
      <w:r>
        <w:rPr>
          <w:rFonts w:ascii="Times New Roman" w:hAnsi="Times New Roman" w:eastAsia="Times New Roman" w:cs="Times New Roman"/>
          <w:sz w:val="23"/>
          <w:szCs w:val="23"/>
          <w:spacing w:val="22"/>
        </w:rPr>
        <w:t>25</w:t>
      </w:r>
      <w:r>
        <w:rPr>
          <w:rFonts w:ascii="SimSun" w:hAnsi="SimSun" w:eastAsia="SimSun" w:cs="SimSun"/>
          <w:sz w:val="23"/>
          <w:szCs w:val="23"/>
          <w:spacing w:val="22"/>
        </w:rPr>
        <w:t>、《国务院办公厅关于印发控制污染物排放许可制实施方案的通知》</w:t>
      </w:r>
      <w:r>
        <w:rPr>
          <w:rFonts w:ascii="SimSun" w:hAnsi="SimSun" w:eastAsia="SimSun" w:cs="SimSun"/>
          <w:sz w:val="23"/>
          <w:szCs w:val="23"/>
        </w:rPr>
        <w:t xml:space="preserve"> </w:t>
      </w:r>
      <w:r>
        <w:rPr>
          <w:rFonts w:ascii="SimSun" w:hAnsi="SimSun" w:eastAsia="SimSun" w:cs="SimSun"/>
          <w:sz w:val="23"/>
          <w:szCs w:val="23"/>
          <w:spacing w:val="10"/>
        </w:rPr>
        <w:t>(国办发[2016]81号);</w:t>
      </w:r>
    </w:p>
    <w:p>
      <w:pPr>
        <w:ind w:right="18" w:firstLine="470"/>
        <w:spacing w:before="177" w:line="307" w:lineRule="auto"/>
        <w:rPr>
          <w:rFonts w:ascii="SimSun" w:hAnsi="SimSun" w:eastAsia="SimSun" w:cs="SimSun"/>
          <w:sz w:val="23"/>
          <w:szCs w:val="23"/>
        </w:rPr>
      </w:pPr>
      <w:r>
        <w:rPr>
          <w:rFonts w:ascii="SimSun" w:hAnsi="SimSun" w:eastAsia="SimSun" w:cs="SimSun"/>
          <w:sz w:val="23"/>
          <w:szCs w:val="23"/>
          <w:spacing w:val="14"/>
        </w:rPr>
        <w:t>26、《关于印发&lt;建设项目主要污染物排放总量指标审核及管理暂行办法&gt;</w:t>
      </w:r>
      <w:r>
        <w:rPr>
          <w:rFonts w:ascii="SimSun" w:hAnsi="SimSun" w:eastAsia="SimSun" w:cs="SimSun"/>
          <w:sz w:val="23"/>
          <w:szCs w:val="23"/>
          <w:spacing w:val="17"/>
        </w:rPr>
        <w:t xml:space="preserve"> </w:t>
      </w:r>
      <w:r>
        <w:rPr>
          <w:rFonts w:ascii="SimSun" w:hAnsi="SimSun" w:eastAsia="SimSun" w:cs="SimSun"/>
          <w:sz w:val="23"/>
          <w:szCs w:val="23"/>
          <w:spacing w:val="15"/>
        </w:rPr>
        <w:t>的通知》(环发[2014]197号);</w:t>
      </w:r>
    </w:p>
    <w:p>
      <w:pPr>
        <w:ind w:right="38" w:firstLine="470"/>
        <w:spacing w:before="173" w:line="303" w:lineRule="auto"/>
        <w:rPr>
          <w:rFonts w:ascii="SimSun" w:hAnsi="SimSun" w:eastAsia="SimSun" w:cs="SimSun"/>
          <w:sz w:val="23"/>
          <w:szCs w:val="23"/>
        </w:rPr>
      </w:pPr>
      <w:r>
        <w:rPr>
          <w:rFonts w:ascii="SimSun" w:hAnsi="SimSun" w:eastAsia="SimSun" w:cs="SimSun"/>
          <w:sz w:val="23"/>
          <w:szCs w:val="23"/>
          <w:spacing w:val="14"/>
        </w:rPr>
        <w:t>27、《关于加强规划环境影响评价与建设项目环境影响评价联动工作的意</w:t>
      </w:r>
      <w:r>
        <w:rPr>
          <w:rFonts w:ascii="SimSun" w:hAnsi="SimSun" w:eastAsia="SimSun" w:cs="SimSun"/>
          <w:sz w:val="23"/>
          <w:szCs w:val="23"/>
          <w:spacing w:val="12"/>
        </w:rPr>
        <w:t xml:space="preserve"> </w:t>
      </w:r>
      <w:r>
        <w:rPr>
          <w:rFonts w:ascii="SimSun" w:hAnsi="SimSun" w:eastAsia="SimSun" w:cs="SimSun"/>
          <w:sz w:val="23"/>
          <w:szCs w:val="23"/>
          <w:spacing w:val="16"/>
        </w:rPr>
        <w:t>见》(环发[2015]178号);</w:t>
      </w:r>
    </w:p>
    <w:p>
      <w:pPr>
        <w:ind w:left="110" w:right="38" w:firstLine="360"/>
        <w:spacing w:before="175" w:line="303" w:lineRule="auto"/>
        <w:rPr>
          <w:rFonts w:ascii="SimSun" w:hAnsi="SimSun" w:eastAsia="SimSun" w:cs="SimSun"/>
          <w:sz w:val="23"/>
          <w:szCs w:val="23"/>
        </w:rPr>
      </w:pPr>
      <w:r>
        <w:rPr>
          <w:rFonts w:ascii="SimSun" w:hAnsi="SimSun" w:eastAsia="SimSun" w:cs="SimSun"/>
          <w:sz w:val="23"/>
          <w:szCs w:val="23"/>
          <w:spacing w:val="22"/>
        </w:rPr>
        <w:t>28、《关于做好环境影响评价制度与排污许可制衔接相关工作的通知》</w:t>
      </w:r>
      <w:r>
        <w:rPr>
          <w:rFonts w:ascii="SimSun" w:hAnsi="SimSun" w:eastAsia="SimSun" w:cs="SimSun"/>
          <w:sz w:val="23"/>
          <w:szCs w:val="23"/>
        </w:rPr>
        <w:t xml:space="preserve"> </w:t>
      </w:r>
      <w:r>
        <w:rPr>
          <w:rFonts w:ascii="SimSun" w:hAnsi="SimSun" w:eastAsia="SimSun" w:cs="SimSun"/>
          <w:sz w:val="23"/>
          <w:szCs w:val="23"/>
          <w:spacing w:val="10"/>
        </w:rPr>
        <w:t>(环办环评[2017]84号);</w:t>
      </w:r>
    </w:p>
    <w:p>
      <w:pPr>
        <w:spacing w:before="233" w:line="219" w:lineRule="auto"/>
        <w:rPr>
          <w:rFonts w:ascii="SimSun" w:hAnsi="SimSun" w:eastAsia="SimSun" w:cs="SimSun"/>
          <w:sz w:val="27"/>
          <w:szCs w:val="27"/>
        </w:rPr>
      </w:pPr>
      <w:r>
        <w:rPr>
          <w:rFonts w:ascii="Times New Roman" w:hAnsi="Times New Roman" w:eastAsia="Times New Roman" w:cs="Times New Roman"/>
          <w:sz w:val="27"/>
          <w:szCs w:val="27"/>
          <w:spacing w:val="-3"/>
        </w:rPr>
        <w:t>1</w:t>
      </w:r>
      <w:r>
        <w:rPr>
          <w:rFonts w:ascii="SimSun" w:hAnsi="SimSun" w:eastAsia="SimSun" w:cs="SimSun"/>
          <w:sz w:val="27"/>
          <w:szCs w:val="27"/>
          <w:b/>
          <w:bCs/>
          <w:spacing w:val="-3"/>
        </w:rPr>
        <w:t>.2.2地方法律、法规、规章及规范性文件</w:t>
      </w:r>
    </w:p>
    <w:p>
      <w:pPr>
        <w:ind w:left="470"/>
        <w:spacing w:before="260" w:line="216" w:lineRule="auto"/>
        <w:rPr>
          <w:rFonts w:ascii="SimSun" w:hAnsi="SimSun" w:eastAsia="SimSun" w:cs="SimSun"/>
          <w:sz w:val="23"/>
          <w:szCs w:val="23"/>
        </w:rPr>
      </w:pPr>
      <w:r>
        <w:rPr>
          <w:rFonts w:ascii="SimSun" w:hAnsi="SimSun" w:eastAsia="SimSun" w:cs="SimSun"/>
          <w:sz w:val="23"/>
          <w:szCs w:val="23"/>
          <w:spacing w:val="17"/>
        </w:rPr>
        <w:t>1、《四川省环境保护条例(2017年修订本)》,2018年1月1</w:t>
      </w:r>
      <w:r>
        <w:rPr>
          <w:rFonts w:ascii="SimSun" w:hAnsi="SimSun" w:eastAsia="SimSun" w:cs="SimSun"/>
          <w:sz w:val="23"/>
          <w:szCs w:val="23"/>
          <w:spacing w:val="16"/>
        </w:rPr>
        <w:t>日起施行；</w:t>
      </w:r>
    </w:p>
    <w:p>
      <w:pPr>
        <w:ind w:left="470"/>
        <w:spacing w:before="201" w:line="216" w:lineRule="auto"/>
        <w:rPr>
          <w:rFonts w:ascii="SimSun" w:hAnsi="SimSun" w:eastAsia="SimSun" w:cs="SimSun"/>
          <w:sz w:val="23"/>
          <w:szCs w:val="23"/>
        </w:rPr>
      </w:pPr>
      <w:r>
        <w:rPr>
          <w:rFonts w:ascii="SimSun" w:hAnsi="SimSun" w:eastAsia="SimSun" w:cs="SimSun"/>
          <w:sz w:val="23"/>
          <w:szCs w:val="23"/>
          <w:spacing w:val="14"/>
        </w:rPr>
        <w:t>2、《四川省人民政府关于印发四川省生态保护红线方案的通知》,川府发</w:t>
      </w:r>
    </w:p>
    <w:p>
      <w:pPr>
        <w:spacing w:before="215" w:line="219" w:lineRule="auto"/>
        <w:rPr>
          <w:rFonts w:ascii="SimSun" w:hAnsi="SimSun" w:eastAsia="SimSun" w:cs="SimSun"/>
          <w:sz w:val="23"/>
          <w:szCs w:val="23"/>
        </w:rPr>
      </w:pPr>
      <w:r>
        <w:rPr>
          <w:rFonts w:ascii="SimSun" w:hAnsi="SimSun" w:eastAsia="SimSun" w:cs="SimSun"/>
          <w:sz w:val="23"/>
          <w:szCs w:val="23"/>
          <w:spacing w:val="2"/>
        </w:rPr>
        <w:t>[2018]24号，2018年7月20日起施行；</w:t>
      </w:r>
    </w:p>
    <w:p>
      <w:pPr>
        <w:ind w:right="39" w:firstLine="470"/>
        <w:spacing w:before="166" w:line="373" w:lineRule="auto"/>
        <w:rPr>
          <w:rFonts w:ascii="SimSun" w:hAnsi="SimSun" w:eastAsia="SimSun" w:cs="SimSun"/>
          <w:sz w:val="23"/>
          <w:szCs w:val="23"/>
        </w:rPr>
      </w:pPr>
      <w:r>
        <w:rPr>
          <w:rFonts w:ascii="SimSun" w:hAnsi="SimSun" w:eastAsia="SimSun" w:cs="SimSun"/>
          <w:sz w:val="23"/>
          <w:szCs w:val="23"/>
          <w:spacing w:val="14"/>
        </w:rPr>
        <w:t>3、《绵阳市人民政府办公室关于加强生态环境分区管控的通知》(绵府办</w:t>
      </w:r>
      <w:r>
        <w:rPr>
          <w:rFonts w:ascii="SimSun" w:hAnsi="SimSun" w:eastAsia="SimSun" w:cs="SimSun"/>
          <w:sz w:val="23"/>
          <w:szCs w:val="23"/>
          <w:spacing w:val="10"/>
        </w:rPr>
        <w:t xml:space="preserve"> </w:t>
      </w:r>
      <w:r>
        <w:rPr>
          <w:rFonts w:ascii="SimSun" w:hAnsi="SimSun" w:eastAsia="SimSun" w:cs="SimSun"/>
          <w:sz w:val="23"/>
          <w:szCs w:val="23"/>
          <w:spacing w:val="6"/>
        </w:rPr>
        <w:t>函[2024]42号);</w:t>
      </w:r>
    </w:p>
    <w:p>
      <w:pPr>
        <w:ind w:right="43" w:firstLine="470"/>
        <w:spacing w:before="2" w:line="387" w:lineRule="auto"/>
        <w:rPr>
          <w:rFonts w:ascii="SimSun" w:hAnsi="SimSun" w:eastAsia="SimSun" w:cs="SimSun"/>
          <w:sz w:val="23"/>
          <w:szCs w:val="23"/>
        </w:rPr>
      </w:pPr>
      <w:r>
        <w:rPr>
          <w:rFonts w:ascii="SimSun" w:hAnsi="SimSun" w:eastAsia="SimSun" w:cs="SimSun"/>
          <w:sz w:val="23"/>
          <w:szCs w:val="23"/>
          <w:spacing w:val="11"/>
        </w:rPr>
        <w:t>4、《绵阳市人民政府办公室关于印发绵阳市现代农</w:t>
      </w:r>
      <w:r>
        <w:rPr>
          <w:rFonts w:ascii="SimSun" w:hAnsi="SimSun" w:eastAsia="SimSun" w:cs="SimSun"/>
          <w:sz w:val="23"/>
          <w:szCs w:val="23"/>
          <w:spacing w:val="10"/>
        </w:rPr>
        <w:t>业六大重点产业发展规</w:t>
      </w:r>
      <w:r>
        <w:rPr>
          <w:rFonts w:ascii="SimSun" w:hAnsi="SimSun" w:eastAsia="SimSun" w:cs="SimSun"/>
          <w:sz w:val="23"/>
          <w:szCs w:val="23"/>
        </w:rPr>
        <w:t xml:space="preserve"> </w:t>
      </w:r>
      <w:r>
        <w:rPr>
          <w:rFonts w:ascii="SimSun" w:hAnsi="SimSun" w:eastAsia="SimSun" w:cs="SimSun"/>
          <w:sz w:val="23"/>
          <w:szCs w:val="23"/>
          <w:spacing w:val="21"/>
        </w:rPr>
        <w:t>划(2017-2020年)和绵阳市现代</w:t>
      </w:r>
      <w:r>
        <w:rPr>
          <w:rFonts w:ascii="SimSun" w:hAnsi="SimSun" w:eastAsia="SimSun" w:cs="SimSun"/>
          <w:sz w:val="23"/>
          <w:szCs w:val="23"/>
          <w:spacing w:val="20"/>
        </w:rPr>
        <w:t>农业十大主导产品行动方案(2017-2020年)</w:t>
      </w:r>
    </w:p>
    <w:p>
      <w:pPr>
        <w:spacing w:line="387" w:lineRule="auto"/>
        <w:sectPr>
          <w:headerReference w:type="default" r:id="rId5"/>
          <w:footerReference w:type="default" r:id="rId22"/>
          <w:pgSz w:w="11910" w:h="16840"/>
          <w:pgMar w:top="1219" w:right="1786" w:bottom="1017" w:left="1779" w:header="865" w:footer="793" w:gutter="0"/>
        </w:sectPr>
        <w:rPr>
          <w:rFonts w:ascii="SimSun" w:hAnsi="SimSun" w:eastAsia="SimSun" w:cs="SimSun"/>
          <w:sz w:val="23"/>
          <w:szCs w:val="23"/>
        </w:rPr>
      </w:pPr>
    </w:p>
    <w:p>
      <w:pPr>
        <w:ind w:left="3"/>
        <w:spacing w:before="299" w:line="216" w:lineRule="auto"/>
        <w:rPr>
          <w:rFonts w:ascii="SimSun" w:hAnsi="SimSun" w:eastAsia="SimSun" w:cs="SimSun"/>
          <w:sz w:val="24"/>
          <w:szCs w:val="24"/>
        </w:rPr>
      </w:pPr>
      <w:r>
        <w:rPr>
          <w:rFonts w:ascii="SimSun" w:hAnsi="SimSun" w:eastAsia="SimSun" w:cs="SimSun"/>
          <w:sz w:val="24"/>
          <w:szCs w:val="24"/>
          <w:spacing w:val="7"/>
        </w:rPr>
        <w:t>的通知》(绵府办函[2017]156号),2017年</w:t>
      </w:r>
      <w:r>
        <w:rPr>
          <w:rFonts w:ascii="SimSun" w:hAnsi="SimSun" w:eastAsia="SimSun" w:cs="SimSun"/>
          <w:sz w:val="24"/>
          <w:szCs w:val="24"/>
          <w:spacing w:val="6"/>
        </w:rPr>
        <w:t>11月7日；</w:t>
      </w:r>
    </w:p>
    <w:p>
      <w:pPr>
        <w:ind w:left="463"/>
        <w:spacing w:before="162" w:line="219" w:lineRule="auto"/>
        <w:rPr>
          <w:rFonts w:ascii="SimSun" w:hAnsi="SimSun" w:eastAsia="SimSun" w:cs="SimSun"/>
          <w:sz w:val="24"/>
          <w:szCs w:val="24"/>
        </w:rPr>
      </w:pPr>
      <w:r>
        <w:rPr>
          <w:rFonts w:ascii="SimSun" w:hAnsi="SimSun" w:eastAsia="SimSun" w:cs="SimSun"/>
          <w:sz w:val="24"/>
          <w:szCs w:val="24"/>
          <w:spacing w:val="11"/>
        </w:rPr>
        <w:t>5、《四川省生猪屠宰管理办法》(2010年修订);</w:t>
      </w:r>
    </w:p>
    <w:p>
      <w:pPr>
        <w:ind w:right="38"/>
        <w:spacing w:before="193" w:line="219" w:lineRule="auto"/>
        <w:jc w:val="right"/>
        <w:rPr>
          <w:rFonts w:ascii="SimSun" w:hAnsi="SimSun" w:eastAsia="SimSun" w:cs="SimSun"/>
          <w:sz w:val="24"/>
          <w:szCs w:val="24"/>
        </w:rPr>
      </w:pPr>
      <w:r>
        <w:rPr>
          <w:rFonts w:ascii="SimSun" w:hAnsi="SimSun" w:eastAsia="SimSun" w:cs="SimSun"/>
          <w:sz w:val="24"/>
          <w:szCs w:val="24"/>
          <w:spacing w:val="28"/>
        </w:rPr>
        <w:t>6、《四川省人民政府关于印发&lt;四川省用水定额&gt;的通知》(川府函</w:t>
      </w:r>
    </w:p>
    <w:p>
      <w:pPr>
        <w:ind w:left="3"/>
        <w:spacing w:before="208" w:line="221" w:lineRule="auto"/>
        <w:rPr>
          <w:rFonts w:ascii="SimSun" w:hAnsi="SimSun" w:eastAsia="SimSun" w:cs="SimSun"/>
          <w:sz w:val="24"/>
          <w:szCs w:val="24"/>
        </w:rPr>
      </w:pPr>
      <w:r>
        <w:rPr>
          <w:rFonts w:ascii="SimSun" w:hAnsi="SimSun" w:eastAsia="SimSun" w:cs="SimSun"/>
          <w:sz w:val="24"/>
          <w:szCs w:val="24"/>
          <w:spacing w:val="10"/>
        </w:rPr>
        <w:t>[2021]8号);</w:t>
      </w:r>
    </w:p>
    <w:p>
      <w:pPr>
        <w:ind w:left="3" w:right="53" w:firstLine="460"/>
        <w:spacing w:before="139" w:line="362" w:lineRule="auto"/>
        <w:rPr>
          <w:rFonts w:ascii="SimSun" w:hAnsi="SimSun" w:eastAsia="SimSun" w:cs="SimSun"/>
          <w:sz w:val="24"/>
          <w:szCs w:val="24"/>
        </w:rPr>
      </w:pPr>
      <w:r>
        <w:rPr>
          <w:rFonts w:ascii="SimSun" w:hAnsi="SimSun" w:eastAsia="SimSun" w:cs="SimSun"/>
          <w:sz w:val="24"/>
          <w:szCs w:val="24"/>
          <w:spacing w:val="8"/>
        </w:rPr>
        <w:t>7、绵阳市人民政府办公室《关于建立病死畜禽集中无害化处理机制的通</w:t>
      </w:r>
      <w:r>
        <w:rPr>
          <w:rFonts w:ascii="SimSun" w:hAnsi="SimSun" w:eastAsia="SimSun" w:cs="SimSun"/>
          <w:sz w:val="24"/>
          <w:szCs w:val="24"/>
          <w:spacing w:val="2"/>
        </w:rPr>
        <w:t xml:space="preserve"> </w:t>
      </w:r>
      <w:r>
        <w:rPr>
          <w:rFonts w:ascii="SimSun" w:hAnsi="SimSun" w:eastAsia="SimSun" w:cs="SimSun"/>
          <w:sz w:val="24"/>
          <w:szCs w:val="24"/>
          <w:spacing w:val="13"/>
        </w:rPr>
        <w:t>知》(绵府办发[2018]42号);</w:t>
      </w:r>
    </w:p>
    <w:p>
      <w:pPr>
        <w:ind w:left="3" w:right="43" w:firstLine="460"/>
        <w:spacing w:line="298" w:lineRule="auto"/>
        <w:rPr>
          <w:rFonts w:ascii="SimSun" w:hAnsi="SimSun" w:eastAsia="SimSun" w:cs="SimSun"/>
          <w:sz w:val="24"/>
          <w:szCs w:val="24"/>
        </w:rPr>
      </w:pPr>
      <w:r>
        <w:rPr>
          <w:rFonts w:ascii="SimSun" w:hAnsi="SimSun" w:eastAsia="SimSun" w:cs="SimSun"/>
          <w:sz w:val="24"/>
          <w:szCs w:val="24"/>
          <w:spacing w:val="4"/>
        </w:rPr>
        <w:t>8、《四川省环境保护厅办公室关于贯彻落实&lt;建设项目主要污染物排放总</w:t>
      </w:r>
      <w:r>
        <w:rPr>
          <w:rFonts w:ascii="SimSun" w:hAnsi="SimSun" w:eastAsia="SimSun" w:cs="SimSun"/>
          <w:sz w:val="24"/>
          <w:szCs w:val="24"/>
          <w:spacing w:val="17"/>
        </w:rPr>
        <w:t xml:space="preserve"> </w:t>
      </w:r>
      <w:r>
        <w:rPr>
          <w:rFonts w:ascii="SimSun" w:hAnsi="SimSun" w:eastAsia="SimSun" w:cs="SimSun"/>
          <w:sz w:val="24"/>
          <w:szCs w:val="24"/>
          <w:spacing w:val="7"/>
        </w:rPr>
        <w:t>量指标审核及管理暂行办法&gt;的通知》(川环办发[20</w:t>
      </w:r>
      <w:r>
        <w:rPr>
          <w:rFonts w:ascii="SimSun" w:hAnsi="SimSun" w:eastAsia="SimSun" w:cs="SimSun"/>
          <w:sz w:val="24"/>
          <w:szCs w:val="24"/>
          <w:spacing w:val="6"/>
        </w:rPr>
        <w:t>15]333号);</w:t>
      </w:r>
    </w:p>
    <w:p>
      <w:pPr>
        <w:ind w:left="463"/>
        <w:spacing w:before="194" w:line="219" w:lineRule="auto"/>
        <w:rPr>
          <w:rFonts w:ascii="SimSun" w:hAnsi="SimSun" w:eastAsia="SimSun" w:cs="SimSun"/>
          <w:sz w:val="24"/>
          <w:szCs w:val="24"/>
        </w:rPr>
      </w:pPr>
      <w:r>
        <w:rPr>
          <w:rFonts w:ascii="SimSun" w:hAnsi="SimSun" w:eastAsia="SimSun" w:cs="SimSun"/>
          <w:sz w:val="24"/>
          <w:szCs w:val="24"/>
          <w:spacing w:val="-1"/>
        </w:rPr>
        <w:t>9、《四川省“十四五”环境保护规划》(川府发[2</w:t>
      </w:r>
      <w:r>
        <w:rPr>
          <w:rFonts w:ascii="SimSun" w:hAnsi="SimSun" w:eastAsia="SimSun" w:cs="SimSun"/>
          <w:sz w:val="24"/>
          <w:szCs w:val="24"/>
          <w:spacing w:val="-2"/>
        </w:rPr>
        <w:t>022]2号);</w:t>
      </w:r>
    </w:p>
    <w:p>
      <w:pPr>
        <w:ind w:left="463"/>
        <w:spacing w:before="165" w:line="219" w:lineRule="auto"/>
        <w:rPr>
          <w:rFonts w:ascii="SimSun" w:hAnsi="SimSun" w:eastAsia="SimSun" w:cs="SimSun"/>
          <w:sz w:val="24"/>
          <w:szCs w:val="24"/>
        </w:rPr>
      </w:pPr>
      <w:r>
        <w:rPr>
          <w:rFonts w:ascii="SimSun" w:hAnsi="SimSun" w:eastAsia="SimSun" w:cs="SimSun"/>
          <w:sz w:val="24"/>
          <w:szCs w:val="24"/>
          <w:spacing w:val="11"/>
        </w:rPr>
        <w:t>10、《绵阳市突发事件总体应急预案(试行)》(绵府发[2021]22号);</w:t>
      </w:r>
    </w:p>
    <w:p>
      <w:pPr>
        <w:ind w:left="463"/>
        <w:spacing w:before="196" w:line="219" w:lineRule="auto"/>
        <w:rPr>
          <w:rFonts w:ascii="SimSun" w:hAnsi="SimSun" w:eastAsia="SimSun" w:cs="SimSun"/>
          <w:sz w:val="24"/>
          <w:szCs w:val="24"/>
        </w:rPr>
      </w:pPr>
      <w:r>
        <w:rPr>
          <w:rFonts w:ascii="SimSun" w:hAnsi="SimSun" w:eastAsia="SimSun" w:cs="SimSun"/>
          <w:sz w:val="24"/>
          <w:szCs w:val="24"/>
          <w:spacing w:val="4"/>
        </w:rPr>
        <w:t>11、《绵阳市突发生态环境事件应急预案》</w:t>
      </w:r>
      <w:r>
        <w:rPr>
          <w:rFonts w:ascii="SimSun" w:hAnsi="SimSun" w:eastAsia="SimSun" w:cs="SimSun"/>
          <w:sz w:val="24"/>
          <w:szCs w:val="24"/>
          <w:spacing w:val="3"/>
        </w:rPr>
        <w:t>(绵府办发[2022]49号)。</w:t>
      </w:r>
    </w:p>
    <w:p>
      <w:pPr>
        <w:ind w:left="46"/>
        <w:spacing w:before="231" w:line="222" w:lineRule="auto"/>
        <w:rPr>
          <w:rFonts w:ascii="SimHei" w:hAnsi="SimHei" w:eastAsia="SimHei" w:cs="SimHei"/>
          <w:sz w:val="24"/>
          <w:szCs w:val="24"/>
        </w:rPr>
      </w:pPr>
      <w:r>
        <w:rPr>
          <w:rFonts w:ascii="SimHei" w:hAnsi="SimHei" w:eastAsia="SimHei" w:cs="SimHei"/>
          <w:sz w:val="24"/>
          <w:szCs w:val="24"/>
          <w:b/>
          <w:bCs/>
          <w:spacing w:val="19"/>
        </w:rPr>
        <w:t>1.2.3产业政策及行业相关规范</w:t>
      </w:r>
    </w:p>
    <w:p>
      <w:pPr>
        <w:ind w:left="463"/>
        <w:spacing w:before="255" w:line="219" w:lineRule="auto"/>
        <w:rPr>
          <w:rFonts w:ascii="SimSun" w:hAnsi="SimSun" w:eastAsia="SimSun" w:cs="SimSun"/>
          <w:sz w:val="24"/>
          <w:szCs w:val="24"/>
        </w:rPr>
      </w:pPr>
      <w:r>
        <w:rPr>
          <w:rFonts w:ascii="SimSun" w:hAnsi="SimSun" w:eastAsia="SimSun" w:cs="SimSun"/>
          <w:sz w:val="24"/>
          <w:szCs w:val="24"/>
          <w:spacing w:val="11"/>
        </w:rPr>
        <w:t>1、《产业结构调整指导目录(2024年本)》;</w:t>
      </w:r>
    </w:p>
    <w:p>
      <w:pPr>
        <w:ind w:left="463"/>
        <w:spacing w:before="177" w:line="219" w:lineRule="auto"/>
        <w:rPr>
          <w:rFonts w:ascii="SimSun" w:hAnsi="SimSun" w:eastAsia="SimSun" w:cs="SimSun"/>
          <w:sz w:val="24"/>
          <w:szCs w:val="24"/>
        </w:rPr>
      </w:pPr>
      <w:r>
        <w:rPr>
          <w:rFonts w:ascii="SimSun" w:hAnsi="SimSun" w:eastAsia="SimSun" w:cs="SimSun"/>
          <w:sz w:val="24"/>
          <w:szCs w:val="24"/>
          <w:spacing w:val="13"/>
        </w:rPr>
        <w:t>2、《市场准入负面清单(2022年版)》;</w:t>
      </w:r>
    </w:p>
    <w:p>
      <w:pPr>
        <w:ind w:left="463"/>
        <w:spacing w:before="184" w:line="219" w:lineRule="auto"/>
        <w:rPr>
          <w:rFonts w:ascii="SimSun" w:hAnsi="SimSun" w:eastAsia="SimSun" w:cs="SimSun"/>
          <w:sz w:val="24"/>
          <w:szCs w:val="24"/>
        </w:rPr>
      </w:pPr>
      <w:r>
        <w:rPr>
          <w:rFonts w:ascii="SimSun" w:hAnsi="SimSun" w:eastAsia="SimSun" w:cs="SimSun"/>
          <w:sz w:val="24"/>
          <w:szCs w:val="24"/>
          <w:spacing w:val="12"/>
        </w:rPr>
        <w:t>3、《产业发展与转移指导目录》(2018年本);</w:t>
      </w:r>
    </w:p>
    <w:p>
      <w:pPr>
        <w:ind w:left="463"/>
        <w:spacing w:before="190" w:line="212" w:lineRule="auto"/>
        <w:rPr>
          <w:rFonts w:ascii="Times New Roman" w:hAnsi="Times New Roman" w:eastAsia="Times New Roman" w:cs="Times New Roman"/>
          <w:sz w:val="24"/>
          <w:szCs w:val="24"/>
        </w:rPr>
      </w:pPr>
      <w:r>
        <w:rPr>
          <w:rFonts w:ascii="SimSun" w:hAnsi="SimSun" w:eastAsia="SimSun" w:cs="SimSun"/>
          <w:sz w:val="24"/>
          <w:szCs w:val="24"/>
          <w:spacing w:val="-1"/>
        </w:rPr>
        <w:t>4、《食品安全国家标准食品生产通用卫生规范》</w:t>
      </w:r>
      <w:r>
        <w:rPr>
          <w:rFonts w:ascii="SimSun" w:hAnsi="SimSun" w:eastAsia="SimSun" w:cs="SimSun"/>
          <w:sz w:val="24"/>
          <w:szCs w:val="24"/>
          <w:spacing w:val="80"/>
        </w:rPr>
        <w:t xml:space="preserve"> </w:t>
      </w:r>
      <w:r>
        <w:rPr>
          <w:rFonts w:ascii="Times New Roman" w:hAnsi="Times New Roman" w:eastAsia="Times New Roman" w:cs="Times New Roman"/>
          <w:sz w:val="24"/>
          <w:szCs w:val="24"/>
          <w:spacing w:val="-1"/>
        </w:rPr>
        <w:t>(GB14881-2</w:t>
      </w:r>
      <w:r>
        <w:rPr>
          <w:rFonts w:ascii="Times New Roman" w:hAnsi="Times New Roman" w:eastAsia="Times New Roman" w:cs="Times New Roman"/>
          <w:sz w:val="24"/>
          <w:szCs w:val="24"/>
          <w:spacing w:val="-2"/>
        </w:rPr>
        <w:t>013);</w:t>
      </w:r>
    </w:p>
    <w:p>
      <w:pPr>
        <w:ind w:left="463"/>
        <w:spacing w:before="211" w:line="219" w:lineRule="auto"/>
        <w:rPr>
          <w:rFonts w:ascii="SimSun" w:hAnsi="SimSun" w:eastAsia="SimSun" w:cs="SimSun"/>
          <w:sz w:val="24"/>
          <w:szCs w:val="24"/>
        </w:rPr>
      </w:pPr>
      <w:r>
        <w:rPr>
          <w:rFonts w:ascii="SimSun" w:hAnsi="SimSun" w:eastAsia="SimSun" w:cs="SimSun"/>
          <w:sz w:val="24"/>
          <w:szCs w:val="24"/>
          <w:spacing w:val="-2"/>
        </w:rPr>
        <w:t>5、《食品安全国家标准畜禽屠宰加工卫生规范》</w:t>
      </w:r>
      <w:r>
        <w:rPr>
          <w:rFonts w:ascii="SimSun" w:hAnsi="SimSun" w:eastAsia="SimSun" w:cs="SimSun"/>
          <w:sz w:val="24"/>
          <w:szCs w:val="24"/>
          <w:spacing w:val="80"/>
        </w:rPr>
        <w:t xml:space="preserve"> </w:t>
      </w:r>
      <w:r>
        <w:rPr>
          <w:rFonts w:ascii="SimSun" w:hAnsi="SimSun" w:eastAsia="SimSun" w:cs="SimSun"/>
          <w:sz w:val="24"/>
          <w:szCs w:val="24"/>
          <w:spacing w:val="-2"/>
        </w:rPr>
        <w:t>(GB126</w:t>
      </w:r>
      <w:r>
        <w:rPr>
          <w:rFonts w:ascii="SimSun" w:hAnsi="SimSun" w:eastAsia="SimSun" w:cs="SimSun"/>
          <w:sz w:val="24"/>
          <w:szCs w:val="24"/>
          <w:spacing w:val="-3"/>
        </w:rPr>
        <w:t>94-2016);</w:t>
      </w:r>
    </w:p>
    <w:p>
      <w:pPr>
        <w:ind w:left="463"/>
        <w:spacing w:before="166" w:line="219" w:lineRule="auto"/>
        <w:rPr>
          <w:rFonts w:ascii="SimSun" w:hAnsi="SimSun" w:eastAsia="SimSun" w:cs="SimSun"/>
          <w:sz w:val="24"/>
          <w:szCs w:val="24"/>
        </w:rPr>
      </w:pPr>
      <w:r>
        <w:rPr>
          <w:rFonts w:ascii="SimSun" w:hAnsi="SimSun" w:eastAsia="SimSun" w:cs="SimSun"/>
          <w:sz w:val="24"/>
          <w:szCs w:val="24"/>
          <w:spacing w:val="-2"/>
        </w:rPr>
        <w:t>6、《畜类屠宰加工通用技术条件》 (GB/T17237-2</w:t>
      </w:r>
      <w:r>
        <w:rPr>
          <w:rFonts w:ascii="SimSun" w:hAnsi="SimSun" w:eastAsia="SimSun" w:cs="SimSun"/>
          <w:sz w:val="24"/>
          <w:szCs w:val="24"/>
          <w:spacing w:val="-3"/>
        </w:rPr>
        <w:t>008);</w:t>
      </w:r>
    </w:p>
    <w:p>
      <w:pPr>
        <w:ind w:left="463"/>
        <w:spacing w:before="185" w:line="219" w:lineRule="auto"/>
        <w:rPr>
          <w:rFonts w:ascii="SimSun" w:hAnsi="SimSun" w:eastAsia="SimSun" w:cs="SimSun"/>
          <w:sz w:val="24"/>
          <w:szCs w:val="24"/>
        </w:rPr>
      </w:pPr>
      <w:r>
        <w:rPr>
          <w:rFonts w:ascii="SimSun" w:hAnsi="SimSun" w:eastAsia="SimSun" w:cs="SimSun"/>
          <w:sz w:val="24"/>
          <w:szCs w:val="24"/>
          <w:spacing w:val="-2"/>
        </w:rPr>
        <w:t>7、《猪屠宰与分割车间设计规范》 (GB50317-2009);</w:t>
      </w:r>
    </w:p>
    <w:p>
      <w:pPr>
        <w:ind w:left="463"/>
        <w:spacing w:before="173" w:line="218" w:lineRule="auto"/>
        <w:rPr>
          <w:rFonts w:ascii="SimSun" w:hAnsi="SimSun" w:eastAsia="SimSun" w:cs="SimSun"/>
          <w:sz w:val="24"/>
          <w:szCs w:val="24"/>
        </w:rPr>
      </w:pPr>
      <w:r>
        <w:rPr>
          <w:rFonts w:ascii="SimSun" w:hAnsi="SimSun" w:eastAsia="SimSun" w:cs="SimSun"/>
          <w:sz w:val="24"/>
          <w:szCs w:val="24"/>
          <w:spacing w:val="-2"/>
        </w:rPr>
        <w:t>8、《屠宰与肉类加工废水治理工程技术规范》 (HJ2004-2010);</w:t>
      </w:r>
    </w:p>
    <w:p>
      <w:pPr>
        <w:ind w:left="942" w:right="145" w:hanging="479"/>
        <w:spacing w:before="198" w:line="282" w:lineRule="auto"/>
        <w:rPr>
          <w:rFonts w:ascii="Times New Roman" w:hAnsi="Times New Roman" w:eastAsia="Times New Roman" w:cs="Times New Roman"/>
          <w:sz w:val="24"/>
          <w:szCs w:val="24"/>
        </w:rPr>
      </w:pPr>
      <w:r>
        <w:rPr>
          <w:rFonts w:ascii="SimSun" w:hAnsi="SimSun" w:eastAsia="SimSun" w:cs="SimSun"/>
          <w:sz w:val="24"/>
          <w:szCs w:val="24"/>
          <w:spacing w:val="-2"/>
        </w:rPr>
        <w:t>9、《大气有害物质无组织排放卫生防护距离推导技术导则》 (GB/T39499-</w:t>
      </w:r>
      <w:r>
        <w:rPr>
          <w:rFonts w:ascii="SimSun" w:hAnsi="SimSun" w:eastAsia="SimSun" w:cs="SimSun"/>
          <w:sz w:val="24"/>
          <w:szCs w:val="24"/>
          <w:spacing w:val="5"/>
        </w:rPr>
        <w:t xml:space="preserve"> </w:t>
      </w:r>
      <w:r>
        <w:rPr>
          <w:rFonts w:ascii="Times New Roman" w:hAnsi="Times New Roman" w:eastAsia="Times New Roman" w:cs="Times New Roman"/>
          <w:sz w:val="24"/>
          <w:szCs w:val="24"/>
          <w:spacing w:val="-1"/>
        </w:rPr>
        <w:t>2020);</w:t>
      </w:r>
    </w:p>
    <w:p>
      <w:pPr>
        <w:ind w:left="463"/>
        <w:spacing w:before="250" w:line="219" w:lineRule="auto"/>
        <w:rPr>
          <w:rFonts w:ascii="SimSun" w:hAnsi="SimSun" w:eastAsia="SimSun" w:cs="SimSun"/>
          <w:sz w:val="24"/>
          <w:szCs w:val="24"/>
        </w:rPr>
      </w:pPr>
      <w:r>
        <w:rPr>
          <w:rFonts w:ascii="SimSun" w:hAnsi="SimSun" w:eastAsia="SimSun" w:cs="SimSun"/>
          <w:sz w:val="24"/>
          <w:szCs w:val="24"/>
          <w:spacing w:val="-2"/>
        </w:rPr>
        <w:t>10、《畜禽屠宰良好操作规范生猪》</w:t>
      </w:r>
      <w:r>
        <w:rPr>
          <w:rFonts w:ascii="SimSun" w:hAnsi="SimSun" w:eastAsia="SimSun" w:cs="SimSun"/>
          <w:sz w:val="24"/>
          <w:szCs w:val="24"/>
          <w:spacing w:val="-15"/>
        </w:rPr>
        <w:t xml:space="preserve"> </w:t>
      </w:r>
      <w:r>
        <w:rPr>
          <w:rFonts w:ascii="SimSun" w:hAnsi="SimSun" w:eastAsia="SimSun" w:cs="SimSun"/>
          <w:sz w:val="24"/>
          <w:szCs w:val="24"/>
          <w:spacing w:val="-2"/>
        </w:rPr>
        <w:t>(GB/T19479-2019);</w:t>
      </w:r>
    </w:p>
    <w:p>
      <w:pPr>
        <w:ind w:left="463"/>
        <w:spacing w:before="165" w:line="219" w:lineRule="auto"/>
        <w:rPr>
          <w:rFonts w:ascii="SimSun" w:hAnsi="SimSun" w:eastAsia="SimSun" w:cs="SimSun"/>
          <w:sz w:val="24"/>
          <w:szCs w:val="24"/>
        </w:rPr>
      </w:pPr>
      <w:r>
        <w:rPr>
          <w:rFonts w:ascii="SimSun" w:hAnsi="SimSun" w:eastAsia="SimSun" w:cs="SimSun"/>
          <w:sz w:val="24"/>
          <w:szCs w:val="24"/>
          <w:spacing w:val="-3"/>
        </w:rPr>
        <w:t>11、《畜禽粪便安全使用准则》</w:t>
      </w:r>
      <w:r>
        <w:rPr>
          <w:rFonts w:ascii="SimSun" w:hAnsi="SimSun" w:eastAsia="SimSun" w:cs="SimSun"/>
          <w:sz w:val="24"/>
          <w:szCs w:val="24"/>
          <w:spacing w:val="-30"/>
        </w:rPr>
        <w:t xml:space="preserve"> </w:t>
      </w:r>
      <w:r>
        <w:rPr>
          <w:rFonts w:ascii="SimSun" w:hAnsi="SimSun" w:eastAsia="SimSun" w:cs="SimSun"/>
          <w:sz w:val="24"/>
          <w:szCs w:val="24"/>
          <w:spacing w:val="-3"/>
        </w:rPr>
        <w:t>(NY/T1334-2007);</w:t>
      </w:r>
    </w:p>
    <w:p>
      <w:pPr>
        <w:ind w:left="463"/>
        <w:spacing w:before="205" w:line="219" w:lineRule="auto"/>
        <w:rPr>
          <w:rFonts w:ascii="SimSun" w:hAnsi="SimSun" w:eastAsia="SimSun" w:cs="SimSun"/>
          <w:sz w:val="24"/>
          <w:szCs w:val="24"/>
        </w:rPr>
      </w:pPr>
      <w:r>
        <w:rPr>
          <w:rFonts w:ascii="SimSun" w:hAnsi="SimSun" w:eastAsia="SimSun" w:cs="SimSun"/>
          <w:sz w:val="24"/>
          <w:szCs w:val="24"/>
          <w:spacing w:val="6"/>
        </w:rPr>
        <w:t>12、《病死及病害动物无害化处理技术规范》(农医发[201</w:t>
      </w:r>
      <w:r>
        <w:rPr>
          <w:rFonts w:ascii="SimSun" w:hAnsi="SimSun" w:eastAsia="SimSun" w:cs="SimSun"/>
          <w:sz w:val="24"/>
          <w:szCs w:val="24"/>
          <w:spacing w:val="5"/>
        </w:rPr>
        <w:t>7]25号);</w:t>
      </w:r>
    </w:p>
    <w:p>
      <w:pPr>
        <w:ind w:left="463"/>
        <w:spacing w:before="174" w:line="219" w:lineRule="auto"/>
        <w:rPr>
          <w:rFonts w:ascii="SimSun" w:hAnsi="SimSun" w:eastAsia="SimSun" w:cs="SimSun"/>
          <w:sz w:val="24"/>
          <w:szCs w:val="24"/>
        </w:rPr>
      </w:pPr>
      <w:r>
        <w:rPr>
          <w:rFonts w:ascii="SimSun" w:hAnsi="SimSun" w:eastAsia="SimSun" w:cs="SimSun"/>
          <w:sz w:val="24"/>
          <w:szCs w:val="24"/>
          <w:spacing w:val="11"/>
        </w:rPr>
        <w:t>13、《生猪屠宰管理条例》(中华人民共和国国务院令第742号);</w:t>
      </w:r>
    </w:p>
    <w:p>
      <w:pPr>
        <w:ind w:left="463"/>
        <w:spacing w:before="187" w:line="219" w:lineRule="auto"/>
        <w:rPr>
          <w:rFonts w:ascii="SimSun" w:hAnsi="SimSun" w:eastAsia="SimSun" w:cs="SimSun"/>
          <w:sz w:val="24"/>
          <w:szCs w:val="24"/>
        </w:rPr>
      </w:pPr>
      <w:r>
        <w:rPr>
          <w:rFonts w:ascii="SimSun" w:hAnsi="SimSun" w:eastAsia="SimSun" w:cs="SimSun"/>
          <w:sz w:val="24"/>
          <w:szCs w:val="24"/>
          <w:spacing w:val="-2"/>
        </w:rPr>
        <w:t>14、《畜禽屠宰良好操作规范生猪》</w:t>
      </w:r>
      <w:r>
        <w:rPr>
          <w:rFonts w:ascii="SimSun" w:hAnsi="SimSun" w:eastAsia="SimSun" w:cs="SimSun"/>
          <w:sz w:val="24"/>
          <w:szCs w:val="24"/>
          <w:spacing w:val="45"/>
        </w:rPr>
        <w:t xml:space="preserve"> </w:t>
      </w:r>
      <w:r>
        <w:rPr>
          <w:rFonts w:ascii="SimSun" w:hAnsi="SimSun" w:eastAsia="SimSun" w:cs="SimSun"/>
          <w:sz w:val="24"/>
          <w:szCs w:val="24"/>
          <w:spacing w:val="-2"/>
        </w:rPr>
        <w:t>(GB/T19479-2019);</w:t>
      </w:r>
    </w:p>
    <w:p>
      <w:pPr>
        <w:ind w:left="463"/>
        <w:spacing w:before="145" w:line="219" w:lineRule="auto"/>
        <w:rPr>
          <w:rFonts w:ascii="SimSun" w:hAnsi="SimSun" w:eastAsia="SimSun" w:cs="SimSun"/>
          <w:sz w:val="24"/>
          <w:szCs w:val="24"/>
        </w:rPr>
      </w:pPr>
      <w:r>
        <w:rPr>
          <w:rFonts w:ascii="SimSun" w:hAnsi="SimSun" w:eastAsia="SimSun" w:cs="SimSun"/>
          <w:sz w:val="24"/>
          <w:szCs w:val="24"/>
          <w:spacing w:val="-1"/>
        </w:rPr>
        <w:t>15、《畜禽屠宰操作规程生猪》 (GB/T17236-2019);</w:t>
      </w:r>
    </w:p>
    <w:p>
      <w:pPr>
        <w:ind w:left="463"/>
        <w:spacing w:before="236" w:line="219" w:lineRule="auto"/>
        <w:rPr>
          <w:rFonts w:ascii="SimSun" w:hAnsi="SimSun" w:eastAsia="SimSun" w:cs="SimSun"/>
          <w:sz w:val="24"/>
          <w:szCs w:val="24"/>
        </w:rPr>
      </w:pPr>
      <w:r>
        <w:rPr>
          <w:rFonts w:ascii="SimSun" w:hAnsi="SimSun" w:eastAsia="SimSun" w:cs="SimSun"/>
          <w:sz w:val="24"/>
          <w:szCs w:val="24"/>
          <w:spacing w:val="7"/>
        </w:rPr>
        <w:t>16、《生猪屠宰检疫规程》(农牧发[2023]16号);</w:t>
      </w:r>
    </w:p>
    <w:p>
      <w:pPr>
        <w:spacing w:line="219" w:lineRule="auto"/>
        <w:sectPr>
          <w:headerReference w:type="default" r:id="rId23"/>
          <w:footerReference w:type="default" r:id="rId24"/>
          <w:pgSz w:w="11910" w:h="16840"/>
          <w:pgMar w:top="1207" w:right="1786" w:bottom="990" w:left="1786" w:header="915" w:footer="804" w:gutter="0"/>
        </w:sectPr>
        <w:rPr>
          <w:rFonts w:ascii="SimSun" w:hAnsi="SimSun" w:eastAsia="SimSun" w:cs="SimSun"/>
          <w:sz w:val="24"/>
          <w:szCs w:val="24"/>
        </w:rPr>
      </w:pPr>
    </w:p>
    <w:p>
      <w:pPr>
        <w:ind w:left="463"/>
        <w:spacing w:before="274" w:line="212" w:lineRule="auto"/>
        <w:rPr>
          <w:rFonts w:ascii="Times New Roman" w:hAnsi="Times New Roman" w:eastAsia="Times New Roman" w:cs="Times New Roman"/>
          <w:sz w:val="23"/>
          <w:szCs w:val="23"/>
        </w:rPr>
      </w:pPr>
      <w:r>
        <w:rPr>
          <w:rFonts w:ascii="SimSun" w:hAnsi="SimSun" w:eastAsia="SimSun" w:cs="SimSun"/>
          <w:sz w:val="23"/>
          <w:szCs w:val="23"/>
          <w:spacing w:val="3"/>
        </w:rPr>
        <w:t>17、《屠宰及肉类加工业污染防治可行技术指南》</w:t>
      </w:r>
      <w:r>
        <w:rPr>
          <w:rFonts w:ascii="SimSun" w:hAnsi="SimSun" w:eastAsia="SimSun" w:cs="SimSun"/>
          <w:sz w:val="23"/>
          <w:szCs w:val="23"/>
          <w:spacing w:val="79"/>
        </w:rPr>
        <w:t xml:space="preserve"> </w:t>
      </w:r>
      <w:r>
        <w:rPr>
          <w:rFonts w:ascii="Times New Roman" w:hAnsi="Times New Roman" w:eastAsia="Times New Roman" w:cs="Times New Roman"/>
          <w:sz w:val="23"/>
          <w:szCs w:val="23"/>
          <w:spacing w:val="3"/>
        </w:rPr>
        <w:t>(</w:t>
      </w:r>
      <w:r>
        <w:rPr>
          <w:rFonts w:ascii="Times New Roman" w:hAnsi="Times New Roman" w:eastAsia="Times New Roman" w:cs="Times New Roman"/>
          <w:sz w:val="23"/>
          <w:szCs w:val="23"/>
        </w:rPr>
        <w:t>HJ</w:t>
      </w:r>
      <w:r>
        <w:rPr>
          <w:rFonts w:ascii="Times New Roman" w:hAnsi="Times New Roman" w:eastAsia="Times New Roman" w:cs="Times New Roman"/>
          <w:sz w:val="23"/>
          <w:szCs w:val="23"/>
          <w:spacing w:val="3"/>
        </w:rPr>
        <w:t>1285-2023);</w:t>
      </w:r>
    </w:p>
    <w:p>
      <w:pPr>
        <w:ind w:left="463"/>
        <w:spacing w:before="205" w:line="212" w:lineRule="auto"/>
        <w:rPr>
          <w:rFonts w:ascii="Times New Roman" w:hAnsi="Times New Roman" w:eastAsia="Times New Roman" w:cs="Times New Roman"/>
          <w:sz w:val="23"/>
          <w:szCs w:val="23"/>
        </w:rPr>
      </w:pPr>
      <w:r>
        <w:rPr>
          <w:rFonts w:ascii="SimSun" w:hAnsi="SimSun" w:eastAsia="SimSun" w:cs="SimSun"/>
          <w:sz w:val="23"/>
          <w:szCs w:val="23"/>
          <w:spacing w:val="3"/>
        </w:rPr>
        <w:t>18、《病害动物和病害动物产品生物安全处理规程》</w:t>
      </w:r>
      <w:r>
        <w:rPr>
          <w:rFonts w:ascii="SimSun" w:hAnsi="SimSun" w:eastAsia="SimSun" w:cs="SimSun"/>
          <w:sz w:val="23"/>
          <w:szCs w:val="23"/>
          <w:spacing w:val="83"/>
        </w:rPr>
        <w:t xml:space="preserve"> </w:t>
      </w:r>
      <w:r>
        <w:rPr>
          <w:rFonts w:ascii="Times New Roman" w:hAnsi="Times New Roman" w:eastAsia="Times New Roman" w:cs="Times New Roman"/>
          <w:sz w:val="23"/>
          <w:szCs w:val="23"/>
          <w:spacing w:val="3"/>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3"/>
        </w:rPr>
        <w:t>16548-2006);</w:t>
      </w:r>
    </w:p>
    <w:p>
      <w:pPr>
        <w:ind w:left="463"/>
        <w:spacing w:before="195" w:line="212" w:lineRule="auto"/>
        <w:rPr>
          <w:rFonts w:ascii="Times New Roman" w:hAnsi="Times New Roman" w:eastAsia="Times New Roman" w:cs="Times New Roman"/>
          <w:sz w:val="23"/>
          <w:szCs w:val="23"/>
        </w:rPr>
      </w:pPr>
      <w:r>
        <w:rPr>
          <w:rFonts w:ascii="SimSun" w:hAnsi="SimSun" w:eastAsia="SimSun" w:cs="SimSun"/>
          <w:sz w:val="23"/>
          <w:szCs w:val="23"/>
          <w:spacing w:val="9"/>
        </w:rPr>
        <w:t>19、《生猪定点屠宰厂(场)资质等级要求》</w:t>
      </w:r>
      <w:r>
        <w:rPr>
          <w:rFonts w:ascii="SimSun" w:hAnsi="SimSun" w:eastAsia="SimSun" w:cs="SimSun"/>
          <w:sz w:val="23"/>
          <w:szCs w:val="23"/>
          <w:spacing w:val="84"/>
        </w:rPr>
        <w:t xml:space="preserve"> </w:t>
      </w:r>
      <w:r>
        <w:rPr>
          <w:rFonts w:ascii="Times New Roman" w:hAnsi="Times New Roman" w:eastAsia="Times New Roman" w:cs="Times New Roman"/>
          <w:sz w:val="23"/>
          <w:szCs w:val="23"/>
          <w:spacing w:val="9"/>
        </w:rPr>
        <w:t>(</w:t>
      </w:r>
      <w:r>
        <w:rPr>
          <w:rFonts w:ascii="Times New Roman" w:hAnsi="Times New Roman" w:eastAsia="Times New Roman" w:cs="Times New Roman"/>
          <w:sz w:val="23"/>
          <w:szCs w:val="23"/>
        </w:rPr>
        <w:t>NY</w:t>
      </w:r>
      <w:r>
        <w:rPr>
          <w:rFonts w:ascii="Times New Roman" w:hAnsi="Times New Roman" w:eastAsia="Times New Roman" w:cs="Times New Roman"/>
          <w:sz w:val="23"/>
          <w:szCs w:val="23"/>
          <w:spacing w:val="9"/>
        </w:rPr>
        <w:t>/T      3348-2018);</w:t>
      </w:r>
    </w:p>
    <w:p>
      <w:pPr>
        <w:ind w:left="463"/>
        <w:spacing w:before="252" w:line="219" w:lineRule="auto"/>
        <w:rPr>
          <w:rFonts w:ascii="SimSun" w:hAnsi="SimSun" w:eastAsia="SimSun" w:cs="SimSun"/>
          <w:sz w:val="23"/>
          <w:szCs w:val="23"/>
        </w:rPr>
      </w:pPr>
      <w:r>
        <w:rPr>
          <w:rFonts w:ascii="SimSun" w:hAnsi="SimSun" w:eastAsia="SimSun" w:cs="SimSun"/>
          <w:sz w:val="23"/>
          <w:szCs w:val="23"/>
          <w:spacing w:val="14"/>
        </w:rPr>
        <w:t>20、《四川省生猪屠宰行业发展规划》(川农规[2023]3号);</w:t>
      </w:r>
    </w:p>
    <w:p>
      <w:pPr>
        <w:ind w:left="3" w:right="49" w:firstLine="460"/>
        <w:spacing w:before="157" w:line="306" w:lineRule="auto"/>
        <w:rPr>
          <w:rFonts w:ascii="SimSun" w:hAnsi="SimSun" w:eastAsia="SimSun" w:cs="SimSun"/>
          <w:sz w:val="23"/>
          <w:szCs w:val="23"/>
        </w:rPr>
      </w:pPr>
      <w:r>
        <w:rPr>
          <w:rFonts w:ascii="SimSun" w:hAnsi="SimSun" w:eastAsia="SimSun" w:cs="SimSun"/>
          <w:sz w:val="23"/>
          <w:szCs w:val="23"/>
          <w:spacing w:val="18"/>
        </w:rPr>
        <w:t>21、《四川省生猪定点屠宰厂(场)和小型屠宰场点设置规划(2010-2015</w:t>
      </w:r>
      <w:r>
        <w:rPr>
          <w:rFonts w:ascii="SimSun" w:hAnsi="SimSun" w:eastAsia="SimSun" w:cs="SimSun"/>
          <w:sz w:val="23"/>
          <w:szCs w:val="23"/>
          <w:spacing w:val="9"/>
        </w:rPr>
        <w:t xml:space="preserve"> </w:t>
      </w:r>
      <w:r>
        <w:rPr>
          <w:rFonts w:ascii="SimSun" w:hAnsi="SimSun" w:eastAsia="SimSun" w:cs="SimSun"/>
          <w:sz w:val="23"/>
          <w:szCs w:val="23"/>
          <w:spacing w:val="23"/>
        </w:rPr>
        <w:t>年)》(川办发[2011]9号);</w:t>
      </w:r>
    </w:p>
    <w:p>
      <w:pPr>
        <w:ind w:left="3" w:right="49" w:firstLine="460"/>
        <w:spacing w:before="176" w:line="302" w:lineRule="auto"/>
        <w:rPr>
          <w:rFonts w:ascii="SimSun" w:hAnsi="SimSun" w:eastAsia="SimSun" w:cs="SimSun"/>
          <w:sz w:val="23"/>
          <w:szCs w:val="23"/>
        </w:rPr>
      </w:pPr>
      <w:r>
        <w:rPr>
          <w:rFonts w:ascii="SimSun" w:hAnsi="SimSun" w:eastAsia="SimSun" w:cs="SimSun"/>
          <w:sz w:val="23"/>
          <w:szCs w:val="23"/>
          <w:spacing w:val="18"/>
        </w:rPr>
        <w:t>22、《绵阳市生猪定点屠宰厂(场)和小型屠宰场点设置规划(2010-2015</w:t>
      </w:r>
      <w:r>
        <w:rPr>
          <w:rFonts w:ascii="SimSun" w:hAnsi="SimSun" w:eastAsia="SimSun" w:cs="SimSun"/>
          <w:sz w:val="23"/>
          <w:szCs w:val="23"/>
          <w:spacing w:val="9"/>
        </w:rPr>
        <w:t xml:space="preserve"> </w:t>
      </w:r>
      <w:r>
        <w:rPr>
          <w:rFonts w:ascii="SimSun" w:hAnsi="SimSun" w:eastAsia="SimSun" w:cs="SimSun"/>
          <w:sz w:val="23"/>
          <w:szCs w:val="23"/>
          <w:spacing w:val="18"/>
        </w:rPr>
        <w:t>年)》(绵府办函[2011]202号)。</w:t>
      </w:r>
    </w:p>
    <w:p>
      <w:pPr>
        <w:ind w:left="3"/>
        <w:spacing w:before="235" w:line="222" w:lineRule="auto"/>
        <w:rPr>
          <w:rFonts w:ascii="SimHei" w:hAnsi="SimHei" w:eastAsia="SimHei" w:cs="SimHei"/>
          <w:sz w:val="27"/>
          <w:szCs w:val="27"/>
        </w:rPr>
      </w:pPr>
      <w:r>
        <w:rPr>
          <w:rFonts w:ascii="Times New Roman" w:hAnsi="Times New Roman" w:eastAsia="Times New Roman" w:cs="Times New Roman"/>
          <w:sz w:val="27"/>
          <w:szCs w:val="27"/>
          <w:spacing w:val="-7"/>
        </w:rPr>
        <w:t>1</w:t>
      </w:r>
      <w:r>
        <w:rPr>
          <w:rFonts w:ascii="SimHei" w:hAnsi="SimHei" w:eastAsia="SimHei" w:cs="SimHei"/>
          <w:sz w:val="27"/>
          <w:szCs w:val="27"/>
          <w:b/>
          <w:bCs/>
          <w:spacing w:val="-7"/>
        </w:rPr>
        <w:t>.2.4环境影响评价技术规范</w:t>
      </w:r>
    </w:p>
    <w:p>
      <w:pPr>
        <w:ind w:left="463"/>
        <w:spacing w:before="233" w:line="212" w:lineRule="auto"/>
        <w:rPr>
          <w:rFonts w:ascii="Times New Roman" w:hAnsi="Times New Roman" w:eastAsia="Times New Roman" w:cs="Times New Roman"/>
          <w:sz w:val="23"/>
          <w:szCs w:val="23"/>
        </w:rPr>
      </w:pPr>
      <w:r>
        <w:rPr>
          <w:rFonts w:ascii="SimSun" w:hAnsi="SimSun" w:eastAsia="SimSun" w:cs="SimSun"/>
          <w:sz w:val="23"/>
          <w:szCs w:val="23"/>
          <w:spacing w:val="5"/>
        </w:rPr>
        <w:t>1、《建设项目环境影响评价技术导则总纲》</w:t>
      </w:r>
      <w:r>
        <w:rPr>
          <w:rFonts w:ascii="SimSun" w:hAnsi="SimSun" w:eastAsia="SimSun" w:cs="SimSun"/>
          <w:sz w:val="23"/>
          <w:szCs w:val="23"/>
          <w:spacing w:val="75"/>
        </w:rPr>
        <w:t xml:space="preserve"> </w:t>
      </w:r>
      <w:r>
        <w:rPr>
          <w:rFonts w:ascii="Times New Roman" w:hAnsi="Times New Roman" w:eastAsia="Times New Roman" w:cs="Times New Roman"/>
          <w:sz w:val="23"/>
          <w:szCs w:val="23"/>
          <w:spacing w:val="4"/>
        </w:rPr>
        <w:t>(</w:t>
      </w:r>
      <w:r>
        <w:rPr>
          <w:rFonts w:ascii="Times New Roman" w:hAnsi="Times New Roman" w:eastAsia="Times New Roman" w:cs="Times New Roman"/>
          <w:sz w:val="23"/>
          <w:szCs w:val="23"/>
        </w:rPr>
        <w:t>HJ</w:t>
      </w:r>
      <w:r>
        <w:rPr>
          <w:rFonts w:ascii="Times New Roman" w:hAnsi="Times New Roman" w:eastAsia="Times New Roman" w:cs="Times New Roman"/>
          <w:sz w:val="23"/>
          <w:szCs w:val="23"/>
          <w:spacing w:val="4"/>
        </w:rPr>
        <w:t>2.1-2016);</w:t>
      </w:r>
    </w:p>
    <w:p>
      <w:pPr>
        <w:ind w:left="463"/>
        <w:spacing w:before="206" w:line="212" w:lineRule="auto"/>
        <w:rPr>
          <w:rFonts w:ascii="Times New Roman" w:hAnsi="Times New Roman" w:eastAsia="Times New Roman" w:cs="Times New Roman"/>
          <w:sz w:val="23"/>
          <w:szCs w:val="23"/>
        </w:rPr>
      </w:pPr>
      <w:r>
        <w:rPr>
          <w:rFonts w:ascii="SimSun" w:hAnsi="SimSun" w:eastAsia="SimSun" w:cs="SimSun"/>
          <w:sz w:val="23"/>
          <w:szCs w:val="23"/>
          <w:spacing w:val="4"/>
        </w:rPr>
        <w:t>2、《环境影响评价技术导则大气环境》</w:t>
      </w:r>
      <w:r>
        <w:rPr>
          <w:rFonts w:ascii="SimSun" w:hAnsi="SimSun" w:eastAsia="SimSun" w:cs="SimSun"/>
          <w:sz w:val="23"/>
          <w:szCs w:val="23"/>
          <w:spacing w:val="103"/>
        </w:rPr>
        <w:t xml:space="preserve"> </w:t>
      </w:r>
      <w:r>
        <w:rPr>
          <w:rFonts w:ascii="Times New Roman" w:hAnsi="Times New Roman" w:eastAsia="Times New Roman" w:cs="Times New Roman"/>
          <w:sz w:val="23"/>
          <w:szCs w:val="23"/>
          <w:spacing w:val="4"/>
        </w:rPr>
        <w:t>(</w:t>
      </w:r>
      <w:r>
        <w:rPr>
          <w:rFonts w:ascii="Times New Roman" w:hAnsi="Times New Roman" w:eastAsia="Times New Roman" w:cs="Times New Roman"/>
          <w:sz w:val="23"/>
          <w:szCs w:val="23"/>
        </w:rPr>
        <w:t>HJ</w:t>
      </w:r>
      <w:r>
        <w:rPr>
          <w:rFonts w:ascii="Times New Roman" w:hAnsi="Times New Roman" w:eastAsia="Times New Roman" w:cs="Times New Roman"/>
          <w:sz w:val="23"/>
          <w:szCs w:val="23"/>
          <w:spacing w:val="4"/>
        </w:rPr>
        <w:t>2.2-2018);</w:t>
      </w:r>
    </w:p>
    <w:p>
      <w:pPr>
        <w:ind w:left="463"/>
        <w:spacing w:before="196" w:line="212" w:lineRule="auto"/>
        <w:rPr>
          <w:rFonts w:ascii="Times New Roman" w:hAnsi="Times New Roman" w:eastAsia="Times New Roman" w:cs="Times New Roman"/>
          <w:sz w:val="23"/>
          <w:szCs w:val="23"/>
        </w:rPr>
      </w:pPr>
      <w:r>
        <w:rPr>
          <w:rFonts w:ascii="SimSun" w:hAnsi="SimSun" w:eastAsia="SimSun" w:cs="SimSun"/>
          <w:sz w:val="23"/>
          <w:szCs w:val="23"/>
          <w:spacing w:val="5"/>
        </w:rPr>
        <w:t>3、《环境影响评价技术导则地表水环境》</w:t>
      </w:r>
      <w:r>
        <w:rPr>
          <w:rFonts w:ascii="SimSun" w:hAnsi="SimSun" w:eastAsia="SimSun" w:cs="SimSun"/>
          <w:sz w:val="23"/>
          <w:szCs w:val="23"/>
          <w:spacing w:val="75"/>
        </w:rPr>
        <w:t xml:space="preserve"> </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HJ</w:t>
      </w:r>
      <w:r>
        <w:rPr>
          <w:rFonts w:ascii="Times New Roman" w:hAnsi="Times New Roman" w:eastAsia="Times New Roman" w:cs="Times New Roman"/>
          <w:sz w:val="23"/>
          <w:szCs w:val="23"/>
          <w:spacing w:val="5"/>
        </w:rPr>
        <w:t>2.3-</w:t>
      </w:r>
      <w:r>
        <w:rPr>
          <w:rFonts w:ascii="Times New Roman" w:hAnsi="Times New Roman" w:eastAsia="Times New Roman" w:cs="Times New Roman"/>
          <w:sz w:val="23"/>
          <w:szCs w:val="23"/>
          <w:spacing w:val="4"/>
        </w:rPr>
        <w:t>2018);</w:t>
      </w:r>
    </w:p>
    <w:p>
      <w:pPr>
        <w:ind w:left="463"/>
        <w:spacing w:before="195" w:line="212" w:lineRule="auto"/>
        <w:rPr>
          <w:rFonts w:ascii="Times New Roman" w:hAnsi="Times New Roman" w:eastAsia="Times New Roman" w:cs="Times New Roman"/>
          <w:sz w:val="23"/>
          <w:szCs w:val="23"/>
        </w:rPr>
      </w:pPr>
      <w:r>
        <w:rPr>
          <w:rFonts w:ascii="SimSun" w:hAnsi="SimSun" w:eastAsia="SimSun" w:cs="SimSun"/>
          <w:sz w:val="23"/>
          <w:szCs w:val="23"/>
          <w:spacing w:val="5"/>
        </w:rPr>
        <w:t>4、《环境影响评价技术导则地下水环境》</w:t>
      </w:r>
      <w:r>
        <w:rPr>
          <w:rFonts w:ascii="SimSun" w:hAnsi="SimSun" w:eastAsia="SimSun" w:cs="SimSun"/>
          <w:sz w:val="23"/>
          <w:szCs w:val="23"/>
          <w:spacing w:val="85"/>
        </w:rPr>
        <w:t xml:space="preserve"> </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HJ</w:t>
      </w:r>
      <w:r>
        <w:rPr>
          <w:rFonts w:ascii="Times New Roman" w:hAnsi="Times New Roman" w:eastAsia="Times New Roman" w:cs="Times New Roman"/>
          <w:sz w:val="23"/>
          <w:szCs w:val="23"/>
          <w:spacing w:val="5"/>
        </w:rPr>
        <w:t>610-</w:t>
      </w:r>
      <w:r>
        <w:rPr>
          <w:rFonts w:ascii="Times New Roman" w:hAnsi="Times New Roman" w:eastAsia="Times New Roman" w:cs="Times New Roman"/>
          <w:sz w:val="23"/>
          <w:szCs w:val="23"/>
          <w:spacing w:val="4"/>
        </w:rPr>
        <w:t>2016);</w:t>
      </w:r>
    </w:p>
    <w:p>
      <w:pPr>
        <w:ind w:left="463"/>
        <w:spacing w:before="196" w:line="212" w:lineRule="auto"/>
        <w:rPr>
          <w:rFonts w:ascii="Times New Roman" w:hAnsi="Times New Roman" w:eastAsia="Times New Roman" w:cs="Times New Roman"/>
          <w:sz w:val="23"/>
          <w:szCs w:val="23"/>
        </w:rPr>
      </w:pPr>
      <w:r>
        <w:rPr>
          <w:rFonts w:ascii="SimSun" w:hAnsi="SimSun" w:eastAsia="SimSun" w:cs="SimSun"/>
          <w:sz w:val="23"/>
          <w:szCs w:val="23"/>
          <w:spacing w:val="5"/>
        </w:rPr>
        <w:t>5、《环境影响评价技术导则声环境》</w:t>
      </w:r>
      <w:r>
        <w:rPr>
          <w:rFonts w:ascii="SimSun" w:hAnsi="SimSun" w:eastAsia="SimSun" w:cs="SimSun"/>
          <w:sz w:val="23"/>
          <w:szCs w:val="23"/>
          <w:spacing w:val="75"/>
        </w:rPr>
        <w:t xml:space="preserve"> </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HJ</w:t>
      </w:r>
      <w:r>
        <w:rPr>
          <w:rFonts w:ascii="Times New Roman" w:hAnsi="Times New Roman" w:eastAsia="Times New Roman" w:cs="Times New Roman"/>
          <w:sz w:val="23"/>
          <w:szCs w:val="23"/>
          <w:spacing w:val="5"/>
        </w:rPr>
        <w:t>2.4-</w:t>
      </w:r>
      <w:r>
        <w:rPr>
          <w:rFonts w:ascii="Times New Roman" w:hAnsi="Times New Roman" w:eastAsia="Times New Roman" w:cs="Times New Roman"/>
          <w:sz w:val="23"/>
          <w:szCs w:val="23"/>
          <w:spacing w:val="4"/>
        </w:rPr>
        <w:t>2021);</w:t>
      </w:r>
    </w:p>
    <w:p>
      <w:pPr>
        <w:ind w:left="463"/>
        <w:spacing w:before="226" w:line="212" w:lineRule="auto"/>
        <w:rPr>
          <w:rFonts w:ascii="Times New Roman" w:hAnsi="Times New Roman" w:eastAsia="Times New Roman" w:cs="Times New Roman"/>
          <w:sz w:val="23"/>
          <w:szCs w:val="23"/>
        </w:rPr>
      </w:pPr>
      <w:r>
        <w:rPr>
          <w:rFonts w:ascii="SimSun" w:hAnsi="SimSun" w:eastAsia="SimSun" w:cs="SimSun"/>
          <w:sz w:val="23"/>
          <w:szCs w:val="23"/>
          <w:spacing w:val="5"/>
        </w:rPr>
        <w:t>6、《环境影响评价技术导则生态影响》</w:t>
      </w:r>
      <w:r>
        <w:rPr>
          <w:rFonts w:ascii="SimSun" w:hAnsi="SimSun" w:eastAsia="SimSun" w:cs="SimSun"/>
          <w:sz w:val="23"/>
          <w:szCs w:val="23"/>
          <w:spacing w:val="85"/>
        </w:rPr>
        <w:t xml:space="preserve"> </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HJ</w:t>
      </w:r>
      <w:r>
        <w:rPr>
          <w:rFonts w:ascii="Times New Roman" w:hAnsi="Times New Roman" w:eastAsia="Times New Roman" w:cs="Times New Roman"/>
          <w:sz w:val="23"/>
          <w:szCs w:val="23"/>
          <w:spacing w:val="5"/>
        </w:rPr>
        <w:t>19-</w:t>
      </w:r>
      <w:r>
        <w:rPr>
          <w:rFonts w:ascii="Times New Roman" w:hAnsi="Times New Roman" w:eastAsia="Times New Roman" w:cs="Times New Roman"/>
          <w:sz w:val="23"/>
          <w:szCs w:val="23"/>
          <w:spacing w:val="4"/>
        </w:rPr>
        <w:t>2022);</w:t>
      </w:r>
    </w:p>
    <w:p>
      <w:pPr>
        <w:ind w:left="463"/>
        <w:spacing w:before="166" w:line="212" w:lineRule="auto"/>
        <w:rPr>
          <w:rFonts w:ascii="Times New Roman" w:hAnsi="Times New Roman" w:eastAsia="Times New Roman" w:cs="Times New Roman"/>
          <w:sz w:val="23"/>
          <w:szCs w:val="23"/>
        </w:rPr>
      </w:pPr>
      <w:r>
        <w:rPr>
          <w:rFonts w:ascii="SimSun" w:hAnsi="SimSun" w:eastAsia="SimSun" w:cs="SimSun"/>
          <w:sz w:val="23"/>
          <w:szCs w:val="23"/>
          <w:spacing w:val="2"/>
        </w:rPr>
        <w:t>7、《建设项目环境风险评价技术导则》</w:t>
      </w:r>
      <w:r>
        <w:rPr>
          <w:rFonts w:ascii="SimSun" w:hAnsi="SimSun" w:eastAsia="SimSun" w:cs="SimSun"/>
          <w:sz w:val="23"/>
          <w:szCs w:val="23"/>
          <w:spacing w:val="81"/>
        </w:rPr>
        <w:t xml:space="preserve"> </w:t>
      </w:r>
      <w:r>
        <w:rPr>
          <w:rFonts w:ascii="Times New Roman" w:hAnsi="Times New Roman" w:eastAsia="Times New Roman" w:cs="Times New Roman"/>
          <w:sz w:val="23"/>
          <w:szCs w:val="23"/>
          <w:spacing w:val="2"/>
        </w:rPr>
        <w:t>(</w:t>
      </w:r>
      <w:r>
        <w:rPr>
          <w:rFonts w:ascii="Times New Roman" w:hAnsi="Times New Roman" w:eastAsia="Times New Roman" w:cs="Times New Roman"/>
          <w:sz w:val="23"/>
          <w:szCs w:val="23"/>
        </w:rPr>
        <w:t>HJ</w:t>
      </w:r>
      <w:r>
        <w:rPr>
          <w:rFonts w:ascii="Times New Roman" w:hAnsi="Times New Roman" w:eastAsia="Times New Roman" w:cs="Times New Roman"/>
          <w:sz w:val="23"/>
          <w:szCs w:val="23"/>
          <w:spacing w:val="2"/>
        </w:rPr>
        <w:t>169-2018);</w:t>
      </w:r>
    </w:p>
    <w:p>
      <w:pPr>
        <w:ind w:left="463"/>
        <w:spacing w:before="236" w:line="212" w:lineRule="auto"/>
        <w:rPr>
          <w:rFonts w:ascii="Times New Roman" w:hAnsi="Times New Roman" w:eastAsia="Times New Roman" w:cs="Times New Roman"/>
          <w:sz w:val="23"/>
          <w:szCs w:val="23"/>
        </w:rPr>
      </w:pPr>
      <w:r>
        <w:rPr>
          <w:rFonts w:ascii="SimSun" w:hAnsi="SimSun" w:eastAsia="SimSun" w:cs="SimSun"/>
          <w:sz w:val="23"/>
          <w:szCs w:val="23"/>
          <w:spacing w:val="12"/>
        </w:rPr>
        <w:t>8、《环境影响评价技术导则土壤环境(试行)》</w:t>
      </w:r>
      <w:r>
        <w:rPr>
          <w:rFonts w:ascii="SimSun" w:hAnsi="SimSun" w:eastAsia="SimSun" w:cs="SimSun"/>
          <w:sz w:val="23"/>
          <w:szCs w:val="23"/>
          <w:spacing w:val="93"/>
        </w:rPr>
        <w:t xml:space="preserve"> </w:t>
      </w:r>
      <w:r>
        <w:rPr>
          <w:rFonts w:ascii="Times New Roman" w:hAnsi="Times New Roman" w:eastAsia="Times New Roman" w:cs="Times New Roman"/>
          <w:sz w:val="23"/>
          <w:szCs w:val="23"/>
          <w:spacing w:val="12"/>
        </w:rPr>
        <w:t>(</w:t>
      </w:r>
      <w:r>
        <w:rPr>
          <w:rFonts w:ascii="Times New Roman" w:hAnsi="Times New Roman" w:eastAsia="Times New Roman" w:cs="Times New Roman"/>
          <w:sz w:val="23"/>
          <w:szCs w:val="23"/>
        </w:rPr>
        <w:t>HJ</w:t>
      </w:r>
      <w:r>
        <w:rPr>
          <w:rFonts w:ascii="Times New Roman" w:hAnsi="Times New Roman" w:eastAsia="Times New Roman" w:cs="Times New Roman"/>
          <w:sz w:val="23"/>
          <w:szCs w:val="23"/>
          <w:spacing w:val="12"/>
        </w:rPr>
        <w:t>964-2018);</w:t>
      </w:r>
    </w:p>
    <w:p>
      <w:pPr>
        <w:ind w:left="463"/>
        <w:spacing w:before="196" w:line="212" w:lineRule="auto"/>
        <w:rPr>
          <w:rFonts w:ascii="Times New Roman" w:hAnsi="Times New Roman" w:eastAsia="Times New Roman" w:cs="Times New Roman"/>
          <w:sz w:val="23"/>
          <w:szCs w:val="23"/>
        </w:rPr>
      </w:pPr>
      <w:r>
        <w:rPr>
          <w:rFonts w:ascii="SimSun" w:hAnsi="SimSun" w:eastAsia="SimSun" w:cs="SimSun"/>
          <w:sz w:val="23"/>
          <w:szCs w:val="23"/>
          <w:spacing w:val="1"/>
        </w:rPr>
        <w:t>9、《水土保持综合治理技术规范》</w:t>
      </w:r>
      <w:r>
        <w:rPr>
          <w:rFonts w:ascii="SimSun" w:hAnsi="SimSun" w:eastAsia="SimSun" w:cs="SimSun"/>
          <w:sz w:val="23"/>
          <w:szCs w:val="23"/>
          <w:spacing w:val="103"/>
        </w:rPr>
        <w:t xml:space="preserve"> </w:t>
      </w:r>
      <w:r>
        <w:rPr>
          <w:rFonts w:ascii="Times New Roman" w:hAnsi="Times New Roman" w:eastAsia="Times New Roman" w:cs="Times New Roman"/>
          <w:sz w:val="23"/>
          <w:szCs w:val="23"/>
          <w:spacing w:val="1"/>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1"/>
        </w:rPr>
        <w:t>/T16453.1~6-2008);</w:t>
      </w:r>
    </w:p>
    <w:p>
      <w:pPr>
        <w:ind w:left="463"/>
        <w:spacing w:before="186" w:line="212" w:lineRule="auto"/>
        <w:rPr>
          <w:rFonts w:ascii="Times New Roman" w:hAnsi="Times New Roman" w:eastAsia="Times New Roman" w:cs="Times New Roman"/>
          <w:sz w:val="23"/>
          <w:szCs w:val="23"/>
        </w:rPr>
      </w:pPr>
      <w:r>
        <w:rPr>
          <w:rFonts w:ascii="SimSun" w:hAnsi="SimSun" w:eastAsia="SimSun" w:cs="SimSun"/>
          <w:sz w:val="23"/>
          <w:szCs w:val="23"/>
        </w:rPr>
        <w:t>10、《固体废物鉴别标准通则》</w:t>
      </w:r>
      <w:r>
        <w:rPr>
          <w:rFonts w:ascii="SimSun" w:hAnsi="SimSun" w:eastAsia="SimSun" w:cs="SimSun"/>
          <w:sz w:val="23"/>
          <w:szCs w:val="23"/>
          <w:spacing w:val="94"/>
        </w:rPr>
        <w:t xml:space="preserve"> </w:t>
      </w:r>
      <w:r>
        <w:rPr>
          <w:rFonts w:ascii="Times New Roman" w:hAnsi="Times New Roman" w:eastAsia="Times New Roman" w:cs="Times New Roman"/>
          <w:sz w:val="23"/>
          <w:szCs w:val="23"/>
        </w:rPr>
        <w:t>(GB34330-2017);</w:t>
      </w:r>
    </w:p>
    <w:p>
      <w:pPr>
        <w:ind w:left="463"/>
        <w:spacing w:before="226" w:line="212" w:lineRule="auto"/>
        <w:rPr>
          <w:rFonts w:ascii="Times New Roman" w:hAnsi="Times New Roman" w:eastAsia="Times New Roman" w:cs="Times New Roman"/>
          <w:sz w:val="23"/>
          <w:szCs w:val="23"/>
        </w:rPr>
      </w:pPr>
      <w:r>
        <w:rPr>
          <w:rFonts w:ascii="SimSun" w:hAnsi="SimSun" w:eastAsia="SimSun" w:cs="SimSun"/>
          <w:sz w:val="23"/>
          <w:szCs w:val="23"/>
          <w:spacing w:val="2"/>
        </w:rPr>
        <w:t>11、《一般工业固体废物贮存和填埋污染控制标准》</w:t>
      </w:r>
      <w:r>
        <w:rPr>
          <w:rFonts w:ascii="SimSun" w:hAnsi="SimSun" w:eastAsia="SimSun" w:cs="SimSun"/>
          <w:sz w:val="23"/>
          <w:szCs w:val="23"/>
          <w:spacing w:val="90"/>
        </w:rPr>
        <w:t xml:space="preserve"> </w:t>
      </w:r>
      <w:r>
        <w:rPr>
          <w:rFonts w:ascii="Times New Roman" w:hAnsi="Times New Roman" w:eastAsia="Times New Roman" w:cs="Times New Roman"/>
          <w:sz w:val="23"/>
          <w:szCs w:val="23"/>
          <w:spacing w:val="2"/>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2"/>
        </w:rPr>
        <w:t>18599-2020);</w:t>
      </w:r>
    </w:p>
    <w:p>
      <w:pPr>
        <w:ind w:left="463"/>
        <w:spacing w:before="206" w:line="212" w:lineRule="auto"/>
        <w:rPr>
          <w:rFonts w:ascii="Times New Roman" w:hAnsi="Times New Roman" w:eastAsia="Times New Roman" w:cs="Times New Roman"/>
          <w:sz w:val="23"/>
          <w:szCs w:val="23"/>
        </w:rPr>
      </w:pPr>
      <w:r>
        <w:rPr>
          <w:rFonts w:ascii="SimSun" w:hAnsi="SimSun" w:eastAsia="SimSun" w:cs="SimSun"/>
          <w:sz w:val="23"/>
          <w:szCs w:val="23"/>
          <w:spacing w:val="2"/>
        </w:rPr>
        <w:t>12、《危险废物贮存污染控制标准》</w:t>
      </w:r>
      <w:r>
        <w:rPr>
          <w:rFonts w:ascii="SimSun" w:hAnsi="SimSun" w:eastAsia="SimSun" w:cs="SimSun"/>
          <w:sz w:val="23"/>
          <w:szCs w:val="23"/>
          <w:spacing w:val="75"/>
        </w:rPr>
        <w:t xml:space="preserve"> </w:t>
      </w:r>
      <w:r>
        <w:rPr>
          <w:rFonts w:ascii="Times New Roman" w:hAnsi="Times New Roman" w:eastAsia="Times New Roman" w:cs="Times New Roman"/>
          <w:sz w:val="23"/>
          <w:szCs w:val="23"/>
          <w:spacing w:val="2"/>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2"/>
        </w:rPr>
        <w:t>1</w:t>
      </w:r>
      <w:r>
        <w:rPr>
          <w:rFonts w:ascii="Times New Roman" w:hAnsi="Times New Roman" w:eastAsia="Times New Roman" w:cs="Times New Roman"/>
          <w:sz w:val="23"/>
          <w:szCs w:val="23"/>
          <w:spacing w:val="1"/>
        </w:rPr>
        <w:t>8597-2023);</w:t>
      </w:r>
    </w:p>
    <w:p>
      <w:pPr>
        <w:ind w:left="3" w:right="49" w:firstLine="460"/>
        <w:spacing w:before="218" w:line="294" w:lineRule="auto"/>
        <w:rPr>
          <w:rFonts w:ascii="SimSun" w:hAnsi="SimSun" w:eastAsia="SimSun" w:cs="SimSun"/>
          <w:sz w:val="23"/>
          <w:szCs w:val="23"/>
        </w:rPr>
      </w:pPr>
      <w:r>
        <w:rPr>
          <w:rFonts w:ascii="SimSun" w:hAnsi="SimSun" w:eastAsia="SimSun" w:cs="SimSun"/>
          <w:sz w:val="23"/>
          <w:szCs w:val="23"/>
          <w:spacing w:val="14"/>
        </w:rPr>
        <w:t>13、原环境保护部《关于发布&lt;建设项目危</w:t>
      </w:r>
      <w:r>
        <w:rPr>
          <w:rFonts w:ascii="SimSun" w:hAnsi="SimSun" w:eastAsia="SimSun" w:cs="SimSun"/>
          <w:sz w:val="23"/>
          <w:szCs w:val="23"/>
          <w:spacing w:val="13"/>
        </w:rPr>
        <w:t>险废物环境影响评价指南&gt;的公</w:t>
      </w:r>
      <w:r>
        <w:rPr>
          <w:rFonts w:ascii="SimSun" w:hAnsi="SimSun" w:eastAsia="SimSun" w:cs="SimSun"/>
          <w:sz w:val="23"/>
          <w:szCs w:val="23"/>
        </w:rPr>
        <w:t xml:space="preserve"> </w:t>
      </w:r>
      <w:r>
        <w:rPr>
          <w:rFonts w:ascii="SimSun" w:hAnsi="SimSun" w:eastAsia="SimSun" w:cs="SimSun"/>
          <w:sz w:val="23"/>
          <w:szCs w:val="23"/>
          <w:spacing w:val="35"/>
        </w:rPr>
        <w:t>告》(公告2017年第43号);</w:t>
      </w:r>
    </w:p>
    <w:p>
      <w:pPr>
        <w:ind w:left="463"/>
        <w:spacing w:before="219" w:line="218" w:lineRule="auto"/>
        <w:rPr>
          <w:rFonts w:ascii="SimSun" w:hAnsi="SimSun" w:eastAsia="SimSun" w:cs="SimSun"/>
          <w:sz w:val="23"/>
          <w:szCs w:val="23"/>
        </w:rPr>
      </w:pPr>
      <w:r>
        <w:rPr>
          <w:rFonts w:ascii="SimSun" w:hAnsi="SimSun" w:eastAsia="SimSun" w:cs="SimSun"/>
          <w:sz w:val="23"/>
          <w:szCs w:val="23"/>
        </w:rPr>
        <w:t>14、《污染源源强核算技术指南准则》</w:t>
      </w:r>
      <w:r>
        <w:rPr>
          <w:rFonts w:ascii="SimSun" w:hAnsi="SimSun" w:eastAsia="SimSun" w:cs="SimSun"/>
          <w:sz w:val="23"/>
          <w:szCs w:val="23"/>
          <w:spacing w:val="84"/>
        </w:rPr>
        <w:t xml:space="preserve"> </w:t>
      </w:r>
      <w:r>
        <w:rPr>
          <w:rFonts w:ascii="SimSun" w:hAnsi="SimSun" w:eastAsia="SimSun" w:cs="SimSun"/>
          <w:sz w:val="23"/>
          <w:szCs w:val="23"/>
        </w:rPr>
        <w:t>(HJ884-2018);</w:t>
      </w:r>
    </w:p>
    <w:p>
      <w:pPr>
        <w:ind w:left="463"/>
        <w:spacing w:before="148" w:line="218" w:lineRule="auto"/>
        <w:rPr>
          <w:rFonts w:ascii="SimSun" w:hAnsi="SimSun" w:eastAsia="SimSun" w:cs="SimSun"/>
          <w:sz w:val="23"/>
          <w:szCs w:val="23"/>
        </w:rPr>
      </w:pPr>
      <w:r>
        <w:rPr>
          <w:rFonts w:ascii="SimSun" w:hAnsi="SimSun" w:eastAsia="SimSun" w:cs="SimSun"/>
          <w:sz w:val="23"/>
          <w:szCs w:val="23"/>
          <w:spacing w:val="3"/>
        </w:rPr>
        <w:t>15、《排污许可证申请与核发技术规范总则》</w:t>
      </w:r>
      <w:r>
        <w:rPr>
          <w:rFonts w:ascii="SimSun" w:hAnsi="SimSun" w:eastAsia="SimSun" w:cs="SimSun"/>
          <w:sz w:val="23"/>
          <w:szCs w:val="23"/>
          <w:spacing w:val="68"/>
        </w:rPr>
        <w:t xml:space="preserve"> </w:t>
      </w:r>
      <w:r>
        <w:rPr>
          <w:rFonts w:ascii="SimSun" w:hAnsi="SimSun" w:eastAsia="SimSun" w:cs="SimSun"/>
          <w:sz w:val="23"/>
          <w:szCs w:val="23"/>
          <w:spacing w:val="3"/>
        </w:rPr>
        <w:t>(</w:t>
      </w:r>
      <w:r>
        <w:rPr>
          <w:rFonts w:ascii="SimSun" w:hAnsi="SimSun" w:eastAsia="SimSun" w:cs="SimSun"/>
          <w:sz w:val="23"/>
          <w:szCs w:val="23"/>
        </w:rPr>
        <w:t>HJ</w:t>
      </w:r>
      <w:r>
        <w:rPr>
          <w:rFonts w:ascii="SimSun" w:hAnsi="SimSun" w:eastAsia="SimSun" w:cs="SimSun"/>
          <w:sz w:val="23"/>
          <w:szCs w:val="23"/>
          <w:spacing w:val="3"/>
        </w:rPr>
        <w:t>942-2018);</w:t>
      </w:r>
    </w:p>
    <w:p>
      <w:pPr>
        <w:ind w:left="3" w:right="51" w:firstLine="460"/>
        <w:spacing w:before="220" w:line="281" w:lineRule="auto"/>
        <w:rPr>
          <w:rFonts w:ascii="SimSun" w:hAnsi="SimSun" w:eastAsia="SimSun" w:cs="SimSun"/>
          <w:sz w:val="23"/>
          <w:szCs w:val="23"/>
        </w:rPr>
      </w:pPr>
      <w:r>
        <w:rPr>
          <w:rFonts w:ascii="SimSun" w:hAnsi="SimSun" w:eastAsia="SimSun" w:cs="SimSun"/>
          <w:sz w:val="23"/>
          <w:szCs w:val="23"/>
          <w:spacing w:val="14"/>
        </w:rPr>
        <w:t>16、《排污许可证申请与核发技术规范农副食品加工工业屠宰及肉类加工</w:t>
      </w:r>
      <w:r>
        <w:rPr>
          <w:rFonts w:ascii="SimSun" w:hAnsi="SimSun" w:eastAsia="SimSun" w:cs="SimSun"/>
          <w:sz w:val="23"/>
          <w:szCs w:val="23"/>
        </w:rPr>
        <w:t xml:space="preserve"> </w:t>
      </w:r>
      <w:r>
        <w:rPr>
          <w:rFonts w:ascii="SimSun" w:hAnsi="SimSun" w:eastAsia="SimSun" w:cs="SimSun"/>
          <w:sz w:val="23"/>
          <w:szCs w:val="23"/>
          <w:spacing w:val="-2"/>
        </w:rPr>
        <w:t>工业》 (HJ860.3-2018);</w:t>
      </w:r>
    </w:p>
    <w:p>
      <w:pPr>
        <w:ind w:left="3" w:right="51" w:firstLine="460"/>
        <w:spacing w:before="241" w:line="298" w:lineRule="auto"/>
        <w:rPr>
          <w:rFonts w:ascii="SimSun" w:hAnsi="SimSun" w:eastAsia="SimSun" w:cs="SimSun"/>
          <w:sz w:val="23"/>
          <w:szCs w:val="23"/>
        </w:rPr>
      </w:pPr>
      <w:r>
        <w:rPr>
          <w:rFonts w:ascii="SimSun" w:hAnsi="SimSun" w:eastAsia="SimSun" w:cs="SimSun"/>
          <w:sz w:val="23"/>
          <w:szCs w:val="23"/>
          <w:spacing w:val="13"/>
        </w:rPr>
        <w:t>17、《排放源统计调查产排污核算方法和系数手册-135屠宰及肉类加工行</w:t>
      </w:r>
      <w:r>
        <w:rPr>
          <w:rFonts w:ascii="SimSun" w:hAnsi="SimSun" w:eastAsia="SimSun" w:cs="SimSun"/>
          <w:sz w:val="23"/>
          <w:szCs w:val="23"/>
          <w:spacing w:val="5"/>
        </w:rPr>
        <w:t xml:space="preserve"> </w:t>
      </w:r>
      <w:r>
        <w:rPr>
          <w:rFonts w:ascii="SimSun" w:hAnsi="SimSun" w:eastAsia="SimSun" w:cs="SimSun"/>
          <w:sz w:val="23"/>
          <w:szCs w:val="23"/>
          <w:spacing w:val="9"/>
        </w:rPr>
        <w:t>业系数手册》。</w:t>
      </w:r>
    </w:p>
    <w:p>
      <w:pPr>
        <w:spacing w:line="298" w:lineRule="auto"/>
        <w:sectPr>
          <w:headerReference w:type="default" r:id="rId25"/>
          <w:footerReference w:type="default" r:id="rId26"/>
          <w:pgSz w:w="11910" w:h="16840"/>
          <w:pgMar w:top="1219" w:right="1786" w:bottom="1057" w:left="1786" w:header="865" w:footer="759" w:gutter="0"/>
        </w:sectPr>
        <w:rPr>
          <w:rFonts w:ascii="SimSun" w:hAnsi="SimSun" w:eastAsia="SimSun" w:cs="SimSun"/>
          <w:sz w:val="23"/>
          <w:szCs w:val="23"/>
        </w:rPr>
      </w:pPr>
    </w:p>
    <w:p>
      <w:pPr>
        <w:pStyle w:val="BodyText"/>
        <w:spacing w:line="257" w:lineRule="auto"/>
        <w:rPr/>
      </w:pPr>
      <w:r/>
    </w:p>
    <w:p>
      <w:pPr>
        <w:ind w:left="94"/>
        <w:spacing w:before="78" w:line="222" w:lineRule="auto"/>
        <w:rPr>
          <w:rFonts w:ascii="SimHei" w:hAnsi="SimHei" w:eastAsia="SimHei" w:cs="SimHei"/>
          <w:sz w:val="24"/>
          <w:szCs w:val="24"/>
        </w:rPr>
      </w:pPr>
      <w:r>
        <w:rPr>
          <w:rFonts w:ascii="Times New Roman" w:hAnsi="Times New Roman" w:eastAsia="Times New Roman" w:cs="Times New Roman"/>
          <w:sz w:val="24"/>
          <w:szCs w:val="24"/>
          <w:spacing w:val="17"/>
        </w:rPr>
        <w:t>1</w:t>
      </w:r>
      <w:r>
        <w:rPr>
          <w:rFonts w:ascii="SimHei" w:hAnsi="SimHei" w:eastAsia="SimHei" w:cs="SimHei"/>
          <w:sz w:val="24"/>
          <w:szCs w:val="24"/>
          <w:b/>
          <w:bCs/>
          <w:spacing w:val="17"/>
        </w:rPr>
        <w:t>.2.5建设项目相关资料</w:t>
      </w:r>
    </w:p>
    <w:p>
      <w:pPr>
        <w:ind w:left="555"/>
        <w:spacing w:before="234" w:line="218" w:lineRule="auto"/>
        <w:rPr>
          <w:rFonts w:ascii="SimSun" w:hAnsi="SimSun" w:eastAsia="SimSun" w:cs="SimSun"/>
          <w:sz w:val="24"/>
          <w:szCs w:val="24"/>
        </w:rPr>
      </w:pPr>
      <w:r>
        <w:rPr>
          <w:rFonts w:ascii="SimSun" w:hAnsi="SimSun" w:eastAsia="SimSun" w:cs="SimSun"/>
          <w:sz w:val="24"/>
          <w:szCs w:val="24"/>
          <w:spacing w:val="-5"/>
        </w:rPr>
        <w:t>1、建设项目环境影响评价委托书；</w:t>
      </w:r>
    </w:p>
    <w:p>
      <w:pPr>
        <w:ind w:left="64" w:right="133" w:firstLine="490"/>
        <w:spacing w:before="186" w:line="296" w:lineRule="auto"/>
        <w:rPr>
          <w:rFonts w:ascii="SimSun" w:hAnsi="SimSun" w:eastAsia="SimSun" w:cs="SimSun"/>
          <w:sz w:val="24"/>
          <w:szCs w:val="24"/>
        </w:rPr>
      </w:pPr>
      <w:r>
        <w:rPr>
          <w:rFonts w:ascii="SimSun" w:hAnsi="SimSun" w:eastAsia="SimSun" w:cs="SimSun"/>
          <w:sz w:val="24"/>
          <w:szCs w:val="24"/>
          <w:spacing w:val="12"/>
        </w:rPr>
        <w:t>2、安州区发展和改革局《四川省固定资产投资项目备案表》(川投资备</w:t>
      </w:r>
      <w:r>
        <w:rPr>
          <w:rFonts w:ascii="SimSun" w:hAnsi="SimSun" w:eastAsia="SimSun" w:cs="SimSun"/>
          <w:sz w:val="24"/>
          <w:szCs w:val="24"/>
          <w:spacing w:val="6"/>
        </w:rPr>
        <w:t xml:space="preserve"> </w:t>
      </w:r>
      <w:r>
        <w:rPr>
          <w:rFonts w:ascii="SimSun" w:hAnsi="SimSun" w:eastAsia="SimSun" w:cs="SimSun"/>
          <w:sz w:val="24"/>
          <w:szCs w:val="24"/>
          <w:spacing w:val="4"/>
        </w:rPr>
        <w:t>【2412-510724-04-01-745145】</w:t>
      </w:r>
      <w:r>
        <w:rPr>
          <w:rFonts w:ascii="SimSun" w:hAnsi="SimSun" w:eastAsia="SimSun" w:cs="SimSun"/>
          <w:sz w:val="24"/>
          <w:szCs w:val="24"/>
        </w:rPr>
        <w:t>FGQB</w:t>
      </w:r>
      <w:r>
        <w:rPr>
          <w:rFonts w:ascii="SimSun" w:hAnsi="SimSun" w:eastAsia="SimSun" w:cs="SimSun"/>
          <w:sz w:val="24"/>
          <w:szCs w:val="24"/>
          <w:spacing w:val="4"/>
        </w:rPr>
        <w:t>-2160号),2024年12月20日；</w:t>
      </w:r>
    </w:p>
    <w:p>
      <w:pPr>
        <w:ind w:left="555"/>
        <w:spacing w:before="170" w:line="219" w:lineRule="auto"/>
        <w:rPr>
          <w:rFonts w:ascii="SimSun" w:hAnsi="SimSun" w:eastAsia="SimSun" w:cs="SimSun"/>
          <w:sz w:val="24"/>
          <w:szCs w:val="24"/>
        </w:rPr>
      </w:pPr>
      <w:r>
        <w:rPr>
          <w:rFonts w:ascii="SimSun" w:hAnsi="SimSun" w:eastAsia="SimSun" w:cs="SimSun"/>
          <w:sz w:val="24"/>
          <w:szCs w:val="24"/>
          <w:spacing w:val="-2"/>
        </w:rPr>
        <w:t>3、建设单位提供的关于本项目的其他资料。</w:t>
      </w:r>
    </w:p>
    <w:p>
      <w:pPr>
        <w:ind w:left="98"/>
        <w:spacing w:before="222" w:line="222" w:lineRule="auto"/>
        <w:outlineLvl w:val="1"/>
        <w:rPr>
          <w:rFonts w:ascii="SimHei" w:hAnsi="SimHei" w:eastAsia="SimHei" w:cs="SimHei"/>
          <w:sz w:val="24"/>
          <w:szCs w:val="24"/>
        </w:rPr>
      </w:pPr>
      <w:bookmarkStart w:name="bookmark12" w:id="18"/>
      <w:bookmarkEnd w:id="18"/>
      <w:r>
        <w:rPr>
          <w:rFonts w:ascii="SimHei" w:hAnsi="SimHei" w:eastAsia="SimHei" w:cs="SimHei"/>
          <w:sz w:val="24"/>
          <w:szCs w:val="24"/>
          <w:b/>
          <w:bCs/>
          <w:spacing w:val="20"/>
        </w:rPr>
        <w:t>1</w:t>
      </w:r>
      <w:r>
        <w:rPr>
          <w:rFonts w:ascii="SimHei" w:hAnsi="SimHei" w:eastAsia="SimHei" w:cs="SimHei"/>
          <w:sz w:val="24"/>
          <w:szCs w:val="24"/>
          <w:spacing w:val="-69"/>
        </w:rPr>
        <w:t xml:space="preserve"> </w:t>
      </w:r>
      <w:r>
        <w:rPr>
          <w:rFonts w:ascii="SimHei" w:hAnsi="SimHei" w:eastAsia="SimHei" w:cs="SimHei"/>
          <w:sz w:val="24"/>
          <w:szCs w:val="24"/>
          <w:b/>
          <w:bCs/>
          <w:spacing w:val="20"/>
        </w:rPr>
        <w:t>.3产业政策符合性分析</w:t>
      </w:r>
    </w:p>
    <w:p>
      <w:pPr>
        <w:ind w:left="64" w:right="112" w:firstLine="490"/>
        <w:spacing w:before="226" w:line="354" w:lineRule="auto"/>
        <w:jc w:val="both"/>
        <w:rPr>
          <w:rFonts w:ascii="SimSun" w:hAnsi="SimSun" w:eastAsia="SimSun" w:cs="SimSun"/>
          <w:sz w:val="24"/>
          <w:szCs w:val="24"/>
        </w:rPr>
      </w:pPr>
      <w:r>
        <w:rPr>
          <w:rFonts w:ascii="SimSun" w:hAnsi="SimSun" w:eastAsia="SimSun" w:cs="SimSun"/>
          <w:sz w:val="24"/>
          <w:szCs w:val="24"/>
          <w:spacing w:val="5"/>
        </w:rPr>
        <w:t>本项目为生猪、肉牛屠宰加工项目，对原有的生猪机</w:t>
      </w:r>
      <w:r>
        <w:rPr>
          <w:rFonts w:ascii="SimSun" w:hAnsi="SimSun" w:eastAsia="SimSun" w:cs="SimSun"/>
          <w:sz w:val="24"/>
          <w:szCs w:val="24"/>
          <w:spacing w:val="4"/>
        </w:rPr>
        <w:t>械化屠宰生产线进行</w:t>
      </w:r>
      <w:r>
        <w:rPr>
          <w:rFonts w:ascii="SimSun" w:hAnsi="SimSun" w:eastAsia="SimSun" w:cs="SimSun"/>
          <w:sz w:val="24"/>
          <w:szCs w:val="24"/>
        </w:rPr>
        <w:t xml:space="preserve"> </w:t>
      </w:r>
      <w:r>
        <w:rPr>
          <w:rFonts w:ascii="SimSun" w:hAnsi="SimSun" w:eastAsia="SimSun" w:cs="SimSun"/>
          <w:sz w:val="24"/>
          <w:szCs w:val="24"/>
          <w:spacing w:val="5"/>
        </w:rPr>
        <w:t>改扩建，并新增两条肉牛机械化屠宰生产线，建成后对生猪</w:t>
      </w:r>
      <w:r>
        <w:rPr>
          <w:rFonts w:ascii="SimSun" w:hAnsi="SimSun" w:eastAsia="SimSun" w:cs="SimSun"/>
          <w:sz w:val="24"/>
          <w:szCs w:val="24"/>
          <w:spacing w:val="4"/>
        </w:rPr>
        <w:t>、肉牛进行宰杀及</w:t>
      </w:r>
      <w:r>
        <w:rPr>
          <w:rFonts w:ascii="SimSun" w:hAnsi="SimSun" w:eastAsia="SimSun" w:cs="SimSun"/>
          <w:sz w:val="24"/>
          <w:szCs w:val="24"/>
        </w:rPr>
        <w:t xml:space="preserve"> </w:t>
      </w:r>
      <w:r>
        <w:rPr>
          <w:rFonts w:ascii="SimSun" w:hAnsi="SimSun" w:eastAsia="SimSun" w:cs="SimSun"/>
          <w:sz w:val="24"/>
          <w:szCs w:val="24"/>
          <w:spacing w:val="10"/>
        </w:rPr>
        <w:t>规范管理，符合国务院742号令《生猪屠宰管理条例》(2021年8月1日);根据</w:t>
      </w:r>
      <w:r>
        <w:rPr>
          <w:rFonts w:ascii="SimSun" w:hAnsi="SimSun" w:eastAsia="SimSun" w:cs="SimSun"/>
          <w:sz w:val="24"/>
          <w:szCs w:val="24"/>
          <w:spacing w:val="13"/>
        </w:rPr>
        <w:t xml:space="preserve"> </w:t>
      </w:r>
      <w:r>
        <w:rPr>
          <w:rFonts w:ascii="SimSun" w:hAnsi="SimSun" w:eastAsia="SimSun" w:cs="SimSun"/>
          <w:sz w:val="24"/>
          <w:szCs w:val="24"/>
          <w:spacing w:val="8"/>
        </w:rPr>
        <w:t>《国民经济行业分类》 </w:t>
      </w:r>
      <w:r>
        <w:rPr>
          <w:rFonts w:ascii="Times New Roman" w:hAnsi="Times New Roman" w:eastAsia="Times New Roman" w:cs="Times New Roman"/>
          <w:sz w:val="24"/>
          <w:szCs w:val="24"/>
          <w:spacing w:val="8"/>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8"/>
        </w:rPr>
        <w:t>/T4754-20</w:t>
      </w:r>
      <w:r>
        <w:rPr>
          <w:rFonts w:ascii="Times New Roman" w:hAnsi="Times New Roman" w:eastAsia="Times New Roman" w:cs="Times New Roman"/>
          <w:sz w:val="24"/>
          <w:szCs w:val="24"/>
          <w:spacing w:val="7"/>
        </w:rPr>
        <w:t>17)      </w:t>
      </w:r>
      <w:r>
        <w:rPr>
          <w:rFonts w:ascii="SimSun" w:hAnsi="SimSun" w:eastAsia="SimSun" w:cs="SimSun"/>
          <w:sz w:val="24"/>
          <w:szCs w:val="24"/>
          <w:spacing w:val="7"/>
        </w:rPr>
        <w:t>(按第1号修改单修订),本项目属</w:t>
      </w:r>
      <w:r>
        <w:rPr>
          <w:rFonts w:ascii="SimSun" w:hAnsi="SimSun" w:eastAsia="SimSun" w:cs="SimSun"/>
          <w:sz w:val="24"/>
          <w:szCs w:val="24"/>
        </w:rPr>
        <w:t xml:space="preserve"> </w:t>
      </w:r>
      <w:r>
        <w:rPr>
          <w:rFonts w:ascii="SimSun" w:hAnsi="SimSun" w:eastAsia="SimSun" w:cs="SimSun"/>
          <w:sz w:val="24"/>
          <w:szCs w:val="24"/>
          <w:spacing w:val="5"/>
        </w:rPr>
        <w:t>于“C1351</w:t>
      </w:r>
      <w:r>
        <w:rPr>
          <w:rFonts w:ascii="SimSun" w:hAnsi="SimSun" w:eastAsia="SimSun" w:cs="SimSun"/>
          <w:sz w:val="24"/>
          <w:szCs w:val="24"/>
          <w:spacing w:val="-21"/>
        </w:rPr>
        <w:t xml:space="preserve"> </w:t>
      </w:r>
      <w:r>
        <w:rPr>
          <w:rFonts w:ascii="SimSun" w:hAnsi="SimSun" w:eastAsia="SimSun" w:cs="SimSun"/>
          <w:sz w:val="24"/>
          <w:szCs w:val="24"/>
          <w:spacing w:val="5"/>
        </w:rPr>
        <w:t>牲畜屠宰”;根据国家发展和改革委员会令第7号《产业结构调整指</w:t>
      </w:r>
      <w:r>
        <w:rPr>
          <w:rFonts w:ascii="SimSun" w:hAnsi="SimSun" w:eastAsia="SimSun" w:cs="SimSun"/>
          <w:sz w:val="24"/>
          <w:szCs w:val="24"/>
        </w:rPr>
        <w:t xml:space="preserve"> </w:t>
      </w:r>
      <w:r>
        <w:rPr>
          <w:rFonts w:ascii="SimSun" w:hAnsi="SimSun" w:eastAsia="SimSun" w:cs="SimSun"/>
          <w:sz w:val="24"/>
          <w:szCs w:val="24"/>
          <w:spacing w:val="11"/>
        </w:rPr>
        <w:t>导目录(2024年本)》的有关规定，“不属于鼓励类、限制类及淘汰类，且符</w:t>
      </w:r>
      <w:r>
        <w:rPr>
          <w:rFonts w:ascii="SimSun" w:hAnsi="SimSun" w:eastAsia="SimSun" w:cs="SimSun"/>
          <w:sz w:val="24"/>
          <w:szCs w:val="24"/>
          <w:spacing w:val="2"/>
        </w:rPr>
        <w:t xml:space="preserve"> </w:t>
      </w:r>
      <w:r>
        <w:rPr>
          <w:rFonts w:ascii="SimSun" w:hAnsi="SimSun" w:eastAsia="SimSun" w:cs="SimSun"/>
          <w:sz w:val="24"/>
          <w:szCs w:val="24"/>
          <w:spacing w:val="8"/>
        </w:rPr>
        <w:t>合国家有关法律、法规和政策规定的为允许类”,结合本项目屠宰规模，本项</w:t>
      </w:r>
      <w:r>
        <w:rPr>
          <w:rFonts w:ascii="SimSun" w:hAnsi="SimSun" w:eastAsia="SimSun" w:cs="SimSun"/>
          <w:sz w:val="24"/>
          <w:szCs w:val="24"/>
          <w:spacing w:val="11"/>
        </w:rPr>
        <w:t xml:space="preserve"> </w:t>
      </w:r>
      <w:r>
        <w:rPr>
          <w:rFonts w:ascii="SimSun" w:hAnsi="SimSun" w:eastAsia="SimSun" w:cs="SimSun"/>
          <w:sz w:val="24"/>
          <w:szCs w:val="24"/>
          <w:spacing w:val="15"/>
        </w:rPr>
        <w:t>目为允许类；对照《产业发展与转移指导目</w:t>
      </w:r>
      <w:r>
        <w:rPr>
          <w:rFonts w:ascii="SimSun" w:hAnsi="SimSun" w:eastAsia="SimSun" w:cs="SimSun"/>
          <w:sz w:val="24"/>
          <w:szCs w:val="24"/>
          <w:spacing w:val="14"/>
        </w:rPr>
        <w:t>录》(2018年本),本项目不属于</w:t>
      </w:r>
      <w:r>
        <w:rPr>
          <w:rFonts w:ascii="SimSun" w:hAnsi="SimSun" w:eastAsia="SimSun" w:cs="SimSun"/>
          <w:sz w:val="24"/>
          <w:szCs w:val="24"/>
        </w:rPr>
        <w:t xml:space="preserve"> </w:t>
      </w:r>
      <w:r>
        <w:rPr>
          <w:rFonts w:ascii="SimSun" w:hAnsi="SimSun" w:eastAsia="SimSun" w:cs="SimSun"/>
          <w:sz w:val="24"/>
          <w:szCs w:val="24"/>
          <w:spacing w:val="5"/>
        </w:rPr>
        <w:t>“第二章”“第三节西部地区引导优化调整的产业”“四川省”中“引导逐步</w:t>
      </w:r>
      <w:r>
        <w:rPr>
          <w:rFonts w:ascii="SimSun" w:hAnsi="SimSun" w:eastAsia="SimSun" w:cs="SimSun"/>
          <w:sz w:val="24"/>
          <w:szCs w:val="24"/>
          <w:spacing w:val="11"/>
        </w:rPr>
        <w:t xml:space="preserve"> </w:t>
      </w:r>
      <w:r>
        <w:rPr>
          <w:rFonts w:ascii="SimSun" w:hAnsi="SimSun" w:eastAsia="SimSun" w:cs="SimSun"/>
          <w:sz w:val="24"/>
          <w:szCs w:val="24"/>
          <w:spacing w:val="8"/>
        </w:rPr>
        <w:t>调整退出的产业”及“引导不再承接的产业”;建设单位获得许可后方开始建</w:t>
      </w:r>
      <w:r>
        <w:rPr>
          <w:rFonts w:ascii="SimSun" w:hAnsi="SimSun" w:eastAsia="SimSun" w:cs="SimSun"/>
          <w:sz w:val="24"/>
          <w:szCs w:val="24"/>
          <w:spacing w:val="7"/>
        </w:rPr>
        <w:t xml:space="preserve"> </w:t>
      </w:r>
      <w:r>
        <w:rPr>
          <w:rFonts w:ascii="SimSun" w:hAnsi="SimSun" w:eastAsia="SimSun" w:cs="SimSun"/>
          <w:sz w:val="24"/>
          <w:szCs w:val="24"/>
          <w:spacing w:val="11"/>
        </w:rPr>
        <w:t>设运营，不属于《市场准入负面清单(2022年版)》禁止范畴；本项目生猪屠</w:t>
      </w:r>
      <w:r>
        <w:rPr>
          <w:rFonts w:ascii="SimSun" w:hAnsi="SimSun" w:eastAsia="SimSun" w:cs="SimSun"/>
          <w:sz w:val="24"/>
          <w:szCs w:val="24"/>
          <w:spacing w:val="5"/>
        </w:rPr>
        <w:t xml:space="preserve"> </w:t>
      </w:r>
      <w:r>
        <w:rPr>
          <w:rFonts w:ascii="SimSun" w:hAnsi="SimSun" w:eastAsia="SimSun" w:cs="SimSun"/>
          <w:sz w:val="24"/>
          <w:szCs w:val="24"/>
          <w:spacing w:val="1"/>
        </w:rPr>
        <w:t>宰规模为40万头/年，肉牛屠宰规模为4万头/年，用地不属于《自然资源要素支</w:t>
      </w:r>
      <w:r>
        <w:rPr>
          <w:rFonts w:ascii="SimSun" w:hAnsi="SimSun" w:eastAsia="SimSun" w:cs="SimSun"/>
          <w:sz w:val="24"/>
          <w:szCs w:val="24"/>
          <w:spacing w:val="5"/>
        </w:rPr>
        <w:t xml:space="preserve"> </w:t>
      </w:r>
      <w:r>
        <w:rPr>
          <w:rFonts w:ascii="SimSun" w:hAnsi="SimSun" w:eastAsia="SimSun" w:cs="SimSun"/>
          <w:sz w:val="24"/>
          <w:szCs w:val="24"/>
          <w:spacing w:val="13"/>
        </w:rPr>
        <w:t>撑产业高质量发展指导目录(2024年本)》(自然资发</w:t>
      </w:r>
      <w:r>
        <w:rPr>
          <w:rFonts w:ascii="SimSun" w:hAnsi="SimSun" w:eastAsia="SimSun" w:cs="SimSun"/>
          <w:sz w:val="24"/>
          <w:szCs w:val="24"/>
          <w:spacing w:val="12"/>
        </w:rPr>
        <w:t>[2024]273号)中限制类</w:t>
      </w:r>
      <w:r>
        <w:rPr>
          <w:rFonts w:ascii="SimSun" w:hAnsi="SimSun" w:eastAsia="SimSun" w:cs="SimSun"/>
          <w:sz w:val="24"/>
          <w:szCs w:val="24"/>
        </w:rPr>
        <w:t xml:space="preserve"> </w:t>
      </w:r>
      <w:r>
        <w:rPr>
          <w:rFonts w:ascii="SimSun" w:hAnsi="SimSun" w:eastAsia="SimSun" w:cs="SimSun"/>
          <w:sz w:val="24"/>
          <w:szCs w:val="24"/>
          <w:spacing w:val="2"/>
        </w:rPr>
        <w:t>和禁止类的项目。</w:t>
      </w:r>
    </w:p>
    <w:p>
      <w:pPr>
        <w:ind w:left="94" w:right="184" w:firstLine="460"/>
        <w:spacing w:before="97" w:line="345" w:lineRule="auto"/>
        <w:rPr>
          <w:rFonts w:ascii="SimSun" w:hAnsi="SimSun" w:eastAsia="SimSun" w:cs="SimSun"/>
          <w:sz w:val="24"/>
          <w:szCs w:val="24"/>
        </w:rPr>
      </w:pPr>
      <w:r>
        <w:rPr>
          <w:rFonts w:ascii="SimSun" w:hAnsi="SimSun" w:eastAsia="SimSun" w:cs="SimSun"/>
          <w:sz w:val="24"/>
          <w:szCs w:val="24"/>
          <w:spacing w:val="10"/>
        </w:rPr>
        <w:t>同时，建设单位于2024年12月20日在安州区</w:t>
      </w:r>
      <w:r>
        <w:rPr>
          <w:rFonts w:ascii="SimSun" w:hAnsi="SimSun" w:eastAsia="SimSun" w:cs="SimSun"/>
          <w:sz w:val="24"/>
          <w:szCs w:val="24"/>
          <w:spacing w:val="9"/>
        </w:rPr>
        <w:t>发展和改革局进行了备案，</w:t>
      </w:r>
      <w:r>
        <w:rPr>
          <w:rFonts w:ascii="SimSun" w:hAnsi="SimSun" w:eastAsia="SimSun" w:cs="SimSun"/>
          <w:sz w:val="24"/>
          <w:szCs w:val="24"/>
        </w:rPr>
        <w:t xml:space="preserve"> </w:t>
      </w:r>
      <w:r>
        <w:rPr>
          <w:rFonts w:ascii="SimSun" w:hAnsi="SimSun" w:eastAsia="SimSun" w:cs="SimSun"/>
          <w:sz w:val="24"/>
          <w:szCs w:val="24"/>
          <w:spacing w:val="-4"/>
        </w:rPr>
        <w:t>备案号为：川投资备【2412-510724-0</w:t>
      </w:r>
      <w:r>
        <w:rPr>
          <w:rFonts w:ascii="SimSun" w:hAnsi="SimSun" w:eastAsia="SimSun" w:cs="SimSun"/>
          <w:sz w:val="24"/>
          <w:szCs w:val="24"/>
          <w:spacing w:val="-5"/>
        </w:rPr>
        <w:t>4-01-745145】</w:t>
      </w:r>
      <w:r>
        <w:rPr>
          <w:rFonts w:ascii="Times New Roman" w:hAnsi="Times New Roman" w:eastAsia="Times New Roman" w:cs="Times New Roman"/>
          <w:sz w:val="24"/>
          <w:szCs w:val="24"/>
          <w:spacing w:val="-5"/>
        </w:rPr>
        <w:t>FGQB-2160 </w:t>
      </w:r>
      <w:r>
        <w:rPr>
          <w:rFonts w:ascii="SimSun" w:hAnsi="SimSun" w:eastAsia="SimSun" w:cs="SimSun"/>
          <w:sz w:val="24"/>
          <w:szCs w:val="24"/>
          <w:spacing w:val="-5"/>
        </w:rPr>
        <w:t>号。</w:t>
      </w:r>
    </w:p>
    <w:p>
      <w:pPr>
        <w:ind w:left="94" w:right="131" w:firstLine="460"/>
        <w:spacing w:before="19" w:line="356" w:lineRule="auto"/>
        <w:jc w:val="both"/>
        <w:rPr>
          <w:rFonts w:ascii="SimSun" w:hAnsi="SimSun" w:eastAsia="SimSun" w:cs="SimSun"/>
          <w:sz w:val="24"/>
          <w:szCs w:val="24"/>
        </w:rPr>
      </w:pPr>
      <w:r>
        <w:rPr>
          <w:rFonts w:ascii="SimSun" w:hAnsi="SimSun" w:eastAsia="SimSun" w:cs="SimSun"/>
          <w:sz w:val="24"/>
          <w:szCs w:val="24"/>
          <w:spacing w:val="2"/>
        </w:rPr>
        <w:t>本项目所使用的制冷剂为</w:t>
      </w:r>
      <w:r>
        <w:rPr>
          <w:rFonts w:ascii="Times New Roman" w:hAnsi="Times New Roman" w:eastAsia="Times New Roman" w:cs="Times New Roman"/>
          <w:sz w:val="24"/>
          <w:szCs w:val="24"/>
          <w:spacing w:val="2"/>
        </w:rPr>
        <w:t>R507,   </w:t>
      </w:r>
      <w:r>
        <w:rPr>
          <w:rFonts w:ascii="SimSun" w:hAnsi="SimSun" w:eastAsia="SimSun" w:cs="SimSun"/>
          <w:sz w:val="24"/>
          <w:szCs w:val="24"/>
          <w:spacing w:val="2"/>
        </w:rPr>
        <w:t>为新型的环保制冷剂，不在《蒙特利尔议</w:t>
      </w:r>
      <w:r>
        <w:rPr>
          <w:rFonts w:ascii="SimSun" w:hAnsi="SimSun" w:eastAsia="SimSun" w:cs="SimSun"/>
          <w:sz w:val="24"/>
          <w:szCs w:val="24"/>
          <w:spacing w:val="16"/>
        </w:rPr>
        <w:t xml:space="preserve"> </w:t>
      </w:r>
      <w:r>
        <w:rPr>
          <w:rFonts w:ascii="SimSun" w:hAnsi="SimSun" w:eastAsia="SimSun" w:cs="SimSun"/>
          <w:sz w:val="24"/>
          <w:szCs w:val="24"/>
          <w:spacing w:val="4"/>
        </w:rPr>
        <w:t>定书》中，没有规定其使用期限，且该类制冷剂不属于原环境保护部</w:t>
      </w:r>
      <w:r>
        <w:rPr>
          <w:rFonts w:ascii="SimSun" w:hAnsi="SimSun" w:eastAsia="SimSun" w:cs="SimSun"/>
          <w:sz w:val="24"/>
          <w:szCs w:val="24"/>
          <w:spacing w:val="3"/>
        </w:rPr>
        <w:t>办公厅文</w:t>
      </w:r>
      <w:r>
        <w:rPr>
          <w:rFonts w:ascii="SimSun" w:hAnsi="SimSun" w:eastAsia="SimSun" w:cs="SimSun"/>
          <w:sz w:val="24"/>
          <w:szCs w:val="24"/>
        </w:rPr>
        <w:t xml:space="preserve"> </w:t>
      </w:r>
      <w:r>
        <w:rPr>
          <w:rFonts w:ascii="SimSun" w:hAnsi="SimSun" w:eastAsia="SimSun" w:cs="SimSun"/>
          <w:sz w:val="24"/>
          <w:szCs w:val="24"/>
          <w:spacing w:val="5"/>
        </w:rPr>
        <w:t>件《关于严格控制新建使用含氢氯氟烃生产设施的通知》(环办[2009]121号)</w:t>
      </w:r>
      <w:r>
        <w:rPr>
          <w:rFonts w:ascii="SimSun" w:hAnsi="SimSun" w:eastAsia="SimSun" w:cs="SimSun"/>
          <w:sz w:val="24"/>
          <w:szCs w:val="24"/>
          <w:spacing w:val="16"/>
        </w:rPr>
        <w:t xml:space="preserve"> </w:t>
      </w:r>
      <w:r>
        <w:rPr>
          <w:rFonts w:ascii="SimSun" w:hAnsi="SimSun" w:eastAsia="SimSun" w:cs="SimSun"/>
          <w:sz w:val="24"/>
          <w:szCs w:val="24"/>
          <w:spacing w:val="-2"/>
        </w:rPr>
        <w:t>中禁止新建的使用含氢氯氟烃的生产设施。</w:t>
      </w:r>
    </w:p>
    <w:p>
      <w:pPr>
        <w:ind w:left="2578"/>
        <w:spacing w:before="1" w:line="214" w:lineRule="auto"/>
        <w:rPr>
          <w:rFonts w:ascii="SimSun" w:hAnsi="SimSun" w:eastAsia="SimSun" w:cs="SimSun"/>
          <w:sz w:val="24"/>
          <w:szCs w:val="24"/>
        </w:rPr>
      </w:pPr>
      <w:r>
        <w:rPr>
          <w:rFonts w:ascii="SimSun" w:hAnsi="SimSun" w:eastAsia="SimSun" w:cs="SimSun"/>
          <w:sz w:val="24"/>
          <w:szCs w:val="24"/>
          <w:b/>
          <w:bCs/>
          <w:spacing w:val="-4"/>
        </w:rPr>
        <w:t>表1.3-1项目产业政策符合性分析</w:t>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45"/>
        <w:gridCol w:w="1588"/>
        <w:gridCol w:w="3745"/>
        <w:gridCol w:w="2187"/>
        <w:gridCol w:w="644"/>
      </w:tblGrid>
      <w:tr>
        <w:trPr>
          <w:trHeight w:val="560" w:hRule="atLeast"/>
        </w:trPr>
        <w:tc>
          <w:tcPr>
            <w:shd w:val="clear" w:fill="BDBDBD"/>
            <w:tcW w:w="345" w:type="dxa"/>
            <w:vAlign w:val="top"/>
            <w:textDirection w:val="tbRlV"/>
          </w:tcPr>
          <w:p>
            <w:pPr>
              <w:pStyle w:val="TableText"/>
              <w:ind w:left="1"/>
              <w:spacing w:before="82" w:line="199" w:lineRule="auto"/>
              <w:rPr>
                <w:sz w:val="21"/>
                <w:szCs w:val="21"/>
              </w:rPr>
            </w:pPr>
            <w:r>
              <w:rPr>
                <w:sz w:val="21"/>
                <w:szCs w:val="21"/>
                <w:b/>
                <w:bCs/>
                <w:spacing w:val="-3"/>
              </w:rPr>
              <w:t>序</w:t>
            </w:r>
            <w:r>
              <w:rPr>
                <w:sz w:val="21"/>
                <w:szCs w:val="21"/>
                <w:spacing w:val="12"/>
              </w:rPr>
              <w:t xml:space="preserve"> </w:t>
            </w:r>
            <w:r>
              <w:rPr>
                <w:sz w:val="21"/>
                <w:szCs w:val="21"/>
                <w:b/>
                <w:bCs/>
                <w:spacing w:val="-3"/>
              </w:rPr>
              <w:t>号</w:t>
            </w:r>
          </w:p>
        </w:tc>
        <w:tc>
          <w:tcPr>
            <w:shd w:val="clear" w:fill="BDBDBD"/>
            <w:tcW w:w="1588" w:type="dxa"/>
            <w:vAlign w:val="top"/>
          </w:tcPr>
          <w:p>
            <w:pPr>
              <w:pStyle w:val="TableText"/>
              <w:ind w:left="562"/>
              <w:spacing w:before="180" w:line="219" w:lineRule="auto"/>
              <w:rPr>
                <w:sz w:val="21"/>
                <w:szCs w:val="21"/>
              </w:rPr>
            </w:pPr>
            <w:r>
              <w:rPr>
                <w:sz w:val="21"/>
                <w:szCs w:val="21"/>
                <w:b/>
                <w:bCs/>
                <w:spacing w:val="-5"/>
              </w:rPr>
              <w:t>文件</w:t>
            </w:r>
          </w:p>
        </w:tc>
        <w:tc>
          <w:tcPr>
            <w:shd w:val="clear" w:fill="BDBDBD"/>
            <w:tcW w:w="3745" w:type="dxa"/>
            <w:vAlign w:val="top"/>
          </w:tcPr>
          <w:p>
            <w:pPr>
              <w:pStyle w:val="TableText"/>
              <w:ind w:left="1654"/>
              <w:spacing w:before="181" w:line="221" w:lineRule="auto"/>
              <w:rPr>
                <w:sz w:val="21"/>
                <w:szCs w:val="21"/>
              </w:rPr>
            </w:pPr>
            <w:r>
              <w:rPr>
                <w:sz w:val="21"/>
                <w:szCs w:val="21"/>
                <w:b/>
                <w:bCs/>
                <w:spacing w:val="-5"/>
              </w:rPr>
              <w:t>要求</w:t>
            </w:r>
          </w:p>
        </w:tc>
        <w:tc>
          <w:tcPr>
            <w:shd w:val="clear" w:fill="BDBDBD"/>
            <w:tcW w:w="2187" w:type="dxa"/>
            <w:vAlign w:val="top"/>
          </w:tcPr>
          <w:p>
            <w:pPr>
              <w:pStyle w:val="TableText"/>
              <w:ind w:left="779"/>
              <w:spacing w:before="179" w:line="219" w:lineRule="auto"/>
              <w:rPr>
                <w:sz w:val="21"/>
                <w:szCs w:val="21"/>
              </w:rPr>
            </w:pPr>
            <w:r>
              <w:rPr>
                <w:sz w:val="21"/>
                <w:szCs w:val="21"/>
                <w:b/>
                <w:bCs/>
                <w:spacing w:val="9"/>
              </w:rPr>
              <w:t>本项目</w:t>
            </w:r>
          </w:p>
        </w:tc>
        <w:tc>
          <w:tcPr>
            <w:shd w:val="clear" w:fill="BDBDBD"/>
            <w:tcW w:w="644" w:type="dxa"/>
            <w:vAlign w:val="top"/>
          </w:tcPr>
          <w:p>
            <w:pPr>
              <w:pStyle w:val="TableText"/>
              <w:ind w:left="91" w:hanging="68"/>
              <w:spacing w:before="10" w:line="237" w:lineRule="auto"/>
              <w:rPr>
                <w:sz w:val="21"/>
                <w:szCs w:val="21"/>
              </w:rPr>
            </w:pPr>
            <w:r>
              <w:rPr>
                <w:sz w:val="21"/>
                <w:szCs w:val="21"/>
                <w:b/>
                <w:bCs/>
                <w:spacing w:val="-9"/>
              </w:rPr>
              <w:t>符合性</w:t>
            </w:r>
            <w:r>
              <w:rPr>
                <w:sz w:val="21"/>
                <w:szCs w:val="21"/>
              </w:rPr>
              <w:t xml:space="preserve"> </w:t>
            </w:r>
            <w:r>
              <w:rPr>
                <w:sz w:val="21"/>
                <w:szCs w:val="21"/>
                <w:b/>
                <w:bCs/>
                <w:spacing w:val="-7"/>
              </w:rPr>
              <w:t>分析</w:t>
            </w:r>
          </w:p>
        </w:tc>
      </w:tr>
      <w:tr>
        <w:trPr>
          <w:trHeight w:val="540" w:hRule="atLeast"/>
        </w:trPr>
        <w:tc>
          <w:tcPr>
            <w:tcW w:w="345" w:type="dxa"/>
            <w:vAlign w:val="top"/>
          </w:tcPr>
          <w:p>
            <w:pPr>
              <w:pStyle w:val="TableText"/>
              <w:ind w:left="104"/>
              <w:spacing w:before="194" w:line="241" w:lineRule="auto"/>
              <w:rPr>
                <w:sz w:val="21"/>
                <w:szCs w:val="21"/>
              </w:rPr>
            </w:pPr>
            <w:r>
              <w:rPr>
                <w:sz w:val="21"/>
                <w:szCs w:val="21"/>
                <w:color w:val="505050"/>
              </w:rPr>
              <w:t>1</w:t>
            </w:r>
          </w:p>
        </w:tc>
        <w:tc>
          <w:tcPr>
            <w:tcW w:w="1588" w:type="dxa"/>
            <w:vAlign w:val="top"/>
          </w:tcPr>
          <w:p>
            <w:pPr>
              <w:pStyle w:val="TableText"/>
              <w:ind w:left="88"/>
              <w:spacing w:before="170" w:line="219" w:lineRule="auto"/>
              <w:rPr>
                <w:sz w:val="21"/>
                <w:szCs w:val="21"/>
              </w:rPr>
            </w:pPr>
            <w:r>
              <w:rPr>
                <w:sz w:val="21"/>
                <w:szCs w:val="21"/>
                <w:b/>
                <w:bCs/>
                <w:spacing w:val="-5"/>
              </w:rPr>
              <w:t>《产业结构调整</w:t>
            </w:r>
          </w:p>
        </w:tc>
        <w:tc>
          <w:tcPr>
            <w:tcW w:w="3745" w:type="dxa"/>
            <w:vAlign w:val="top"/>
          </w:tcPr>
          <w:p>
            <w:pPr>
              <w:pStyle w:val="TableText"/>
              <w:ind w:left="25" w:right="22" w:firstLine="59"/>
              <w:spacing w:before="29" w:line="220" w:lineRule="auto"/>
              <w:rPr>
                <w:sz w:val="21"/>
                <w:szCs w:val="21"/>
              </w:rPr>
            </w:pPr>
            <w:r>
              <w:rPr>
                <w:sz w:val="21"/>
                <w:szCs w:val="21"/>
                <w:b/>
                <w:bCs/>
                <w:spacing w:val="-2"/>
              </w:rPr>
              <w:t>限制类：十二、轻工24、年屠宰生猪15</w:t>
            </w:r>
            <w:r>
              <w:rPr>
                <w:sz w:val="21"/>
                <w:szCs w:val="21"/>
                <w:spacing w:val="2"/>
              </w:rPr>
              <w:t xml:space="preserve"> </w:t>
            </w:r>
            <w:r>
              <w:rPr>
                <w:sz w:val="21"/>
                <w:szCs w:val="21"/>
                <w:b/>
                <w:bCs/>
                <w:spacing w:val="-2"/>
              </w:rPr>
              <w:t>万头及以下、肉牛1万头及以下、肉羊15</w:t>
            </w:r>
          </w:p>
        </w:tc>
        <w:tc>
          <w:tcPr>
            <w:tcW w:w="2187" w:type="dxa"/>
            <w:vAlign w:val="top"/>
          </w:tcPr>
          <w:p>
            <w:pPr>
              <w:pStyle w:val="TableText"/>
              <w:ind w:left="19" w:firstLine="19"/>
              <w:spacing w:before="29" w:line="220" w:lineRule="auto"/>
              <w:rPr>
                <w:sz w:val="21"/>
                <w:szCs w:val="21"/>
              </w:rPr>
            </w:pPr>
            <w:r>
              <w:rPr>
                <w:sz w:val="21"/>
                <w:szCs w:val="21"/>
                <w:b/>
                <w:bCs/>
                <w:spacing w:val="-4"/>
              </w:rPr>
              <w:t>本项目生猪屠宰能力为</w:t>
            </w:r>
            <w:r>
              <w:rPr>
                <w:sz w:val="21"/>
                <w:szCs w:val="21"/>
              </w:rPr>
              <w:t xml:space="preserve"> </w:t>
            </w:r>
            <w:r>
              <w:rPr>
                <w:sz w:val="21"/>
                <w:szCs w:val="21"/>
                <w:b/>
                <w:bCs/>
                <w:spacing w:val="-7"/>
              </w:rPr>
              <w:t>40万头/年，肉牛屠宰能</w:t>
            </w:r>
          </w:p>
        </w:tc>
        <w:tc>
          <w:tcPr>
            <w:tcW w:w="644" w:type="dxa"/>
            <w:vAlign w:val="top"/>
          </w:tcPr>
          <w:p>
            <w:pPr>
              <w:pStyle w:val="TableText"/>
              <w:ind w:left="112"/>
              <w:spacing w:before="170" w:line="219" w:lineRule="auto"/>
              <w:rPr>
                <w:sz w:val="21"/>
                <w:szCs w:val="21"/>
              </w:rPr>
            </w:pPr>
            <w:r>
              <w:rPr>
                <w:sz w:val="21"/>
                <w:szCs w:val="21"/>
                <w:b/>
                <w:bCs/>
                <w:spacing w:val="-5"/>
              </w:rPr>
              <w:t>符合</w:t>
            </w:r>
          </w:p>
        </w:tc>
      </w:tr>
    </w:tbl>
    <w:p>
      <w:pPr>
        <w:pStyle w:val="BodyText"/>
        <w:rPr/>
      </w:pPr>
      <w:r/>
    </w:p>
    <w:p>
      <w:pPr>
        <w:sectPr>
          <w:headerReference w:type="default" r:id="rId27"/>
          <w:footerReference w:type="default" r:id="rId28"/>
          <w:pgSz w:w="11910" w:h="16840"/>
          <w:pgMar w:top="1207" w:right="1705" w:bottom="990" w:left="1685" w:header="915" w:footer="804" w:gutter="0"/>
        </w:sectPr>
        <w:rPr/>
      </w:pPr>
    </w:p>
    <w:p>
      <w:pPr>
        <w:spacing w:before="26"/>
        <w:rPr/>
      </w:pPr>
      <w:r/>
    </w:p>
    <w:tbl>
      <w:tblPr>
        <w:tblStyle w:val="TableNormal"/>
        <w:tblW w:w="8518"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45"/>
        <w:gridCol w:w="1588"/>
        <w:gridCol w:w="3746"/>
        <w:gridCol w:w="2197"/>
        <w:gridCol w:w="642"/>
      </w:tblGrid>
      <w:tr>
        <w:trPr>
          <w:trHeight w:val="564" w:hRule="atLeast"/>
        </w:trPr>
        <w:tc>
          <w:tcPr>
            <w:shd w:val="clear" w:fill="BDBDBD"/>
            <w:tcW w:w="345" w:type="dxa"/>
            <w:vAlign w:val="top"/>
            <w:textDirection w:val="tbRlV"/>
          </w:tcPr>
          <w:p>
            <w:pPr>
              <w:pStyle w:val="TableText"/>
              <w:ind w:left="1"/>
              <w:spacing w:before="82" w:line="199" w:lineRule="auto"/>
              <w:rPr>
                <w:sz w:val="21"/>
                <w:szCs w:val="21"/>
              </w:rPr>
            </w:pPr>
            <w:bookmarkStart w:name="bookmark79" w:id="19"/>
            <w:bookmarkEnd w:id="19"/>
            <w:r>
              <w:rPr>
                <w:sz w:val="21"/>
                <w:szCs w:val="21"/>
                <w:b/>
                <w:bCs/>
                <w:spacing w:val="-3"/>
              </w:rPr>
              <w:t>序</w:t>
            </w:r>
            <w:r>
              <w:rPr>
                <w:sz w:val="21"/>
                <w:szCs w:val="21"/>
                <w:spacing w:val="12"/>
              </w:rPr>
              <w:t xml:space="preserve"> </w:t>
            </w:r>
            <w:r>
              <w:rPr>
                <w:sz w:val="21"/>
                <w:szCs w:val="21"/>
                <w:b/>
                <w:bCs/>
                <w:spacing w:val="-3"/>
              </w:rPr>
              <w:t>号</w:t>
            </w:r>
          </w:p>
        </w:tc>
        <w:tc>
          <w:tcPr>
            <w:shd w:val="clear" w:fill="BDBDBD"/>
            <w:tcW w:w="1588" w:type="dxa"/>
            <w:vAlign w:val="top"/>
          </w:tcPr>
          <w:p>
            <w:pPr>
              <w:pStyle w:val="TableText"/>
              <w:ind w:left="572"/>
              <w:spacing w:before="180" w:line="219" w:lineRule="auto"/>
              <w:rPr>
                <w:sz w:val="21"/>
                <w:szCs w:val="21"/>
              </w:rPr>
            </w:pPr>
            <w:r>
              <w:rPr>
                <w:sz w:val="21"/>
                <w:szCs w:val="21"/>
                <w:b/>
                <w:bCs/>
                <w:spacing w:val="-5"/>
              </w:rPr>
              <w:t>文件</w:t>
            </w:r>
          </w:p>
        </w:tc>
        <w:tc>
          <w:tcPr>
            <w:shd w:val="clear" w:fill="BDBDBD"/>
            <w:tcW w:w="3746" w:type="dxa"/>
            <w:vAlign w:val="top"/>
          </w:tcPr>
          <w:p>
            <w:pPr>
              <w:pStyle w:val="TableText"/>
              <w:ind w:left="1635"/>
              <w:spacing w:before="181" w:line="221" w:lineRule="auto"/>
              <w:rPr>
                <w:sz w:val="21"/>
                <w:szCs w:val="21"/>
              </w:rPr>
            </w:pPr>
            <w:r>
              <w:rPr>
                <w:sz w:val="21"/>
                <w:szCs w:val="21"/>
                <w:b/>
                <w:bCs/>
                <w:spacing w:val="-5"/>
              </w:rPr>
              <w:t>要求</w:t>
            </w:r>
          </w:p>
        </w:tc>
        <w:tc>
          <w:tcPr>
            <w:shd w:val="clear" w:fill="BDBDBD"/>
            <w:tcW w:w="2197" w:type="dxa"/>
            <w:vAlign w:val="top"/>
          </w:tcPr>
          <w:p>
            <w:pPr>
              <w:pStyle w:val="TableText"/>
              <w:ind w:left="758"/>
              <w:spacing w:before="179" w:line="219" w:lineRule="auto"/>
              <w:rPr>
                <w:sz w:val="21"/>
                <w:szCs w:val="21"/>
              </w:rPr>
            </w:pPr>
            <w:r>
              <w:rPr>
                <w:sz w:val="21"/>
                <w:szCs w:val="21"/>
                <w:b/>
                <w:bCs/>
                <w:spacing w:val="9"/>
              </w:rPr>
              <w:t>本项目</w:t>
            </w:r>
          </w:p>
        </w:tc>
        <w:tc>
          <w:tcPr>
            <w:shd w:val="clear" w:fill="BDBDBD"/>
            <w:tcW w:w="642" w:type="dxa"/>
            <w:vAlign w:val="top"/>
          </w:tcPr>
          <w:p>
            <w:pPr>
              <w:pStyle w:val="TableText"/>
              <w:ind w:left="100" w:hanging="78"/>
              <w:spacing w:before="19" w:line="235" w:lineRule="auto"/>
              <w:rPr>
                <w:sz w:val="21"/>
                <w:szCs w:val="21"/>
              </w:rPr>
            </w:pPr>
            <w:r>
              <w:rPr>
                <w:sz w:val="21"/>
                <w:szCs w:val="21"/>
                <w:b/>
                <w:bCs/>
                <w:spacing w:val="-9"/>
              </w:rPr>
              <w:t>符合性</w:t>
            </w:r>
            <w:r>
              <w:rPr>
                <w:sz w:val="21"/>
                <w:szCs w:val="21"/>
              </w:rPr>
              <w:t xml:space="preserve"> </w:t>
            </w:r>
            <w:r>
              <w:rPr>
                <w:sz w:val="21"/>
                <w:szCs w:val="21"/>
                <w:b/>
                <w:bCs/>
                <w:spacing w:val="-7"/>
              </w:rPr>
              <w:t>分析</w:t>
            </w:r>
          </w:p>
        </w:tc>
      </w:tr>
      <w:tr>
        <w:trPr>
          <w:trHeight w:val="530" w:hRule="atLeast"/>
        </w:trPr>
        <w:tc>
          <w:tcPr>
            <w:tcW w:w="345" w:type="dxa"/>
            <w:vAlign w:val="top"/>
            <w:vMerge w:val="restart"/>
            <w:tcBorders>
              <w:bottom w:val="nil"/>
            </w:tcBorders>
          </w:tcPr>
          <w:p>
            <w:pPr>
              <w:rPr>
                <w:rFonts w:ascii="Arial"/>
                <w:sz w:val="21"/>
              </w:rPr>
            </w:pPr>
            <w:r/>
          </w:p>
        </w:tc>
        <w:tc>
          <w:tcPr>
            <w:tcW w:w="1588" w:type="dxa"/>
            <w:vAlign w:val="top"/>
            <w:vMerge w:val="restart"/>
            <w:tcBorders>
              <w:bottom w:val="nil"/>
            </w:tcBorders>
          </w:tcPr>
          <w:p>
            <w:pPr>
              <w:pStyle w:val="TableText"/>
              <w:ind w:left="399" w:right="123" w:hanging="300"/>
              <w:spacing w:before="41" w:line="228" w:lineRule="auto"/>
              <w:rPr>
                <w:sz w:val="21"/>
                <w:szCs w:val="21"/>
              </w:rPr>
            </w:pPr>
            <w:r>
              <w:rPr>
                <w:sz w:val="21"/>
                <w:szCs w:val="21"/>
                <w:spacing w:val="-2"/>
              </w:rPr>
              <w:t>指导目录(2024</w:t>
            </w:r>
            <w:r>
              <w:rPr>
                <w:sz w:val="21"/>
                <w:szCs w:val="21"/>
                <w:spacing w:val="6"/>
              </w:rPr>
              <w:t xml:space="preserve"> </w:t>
            </w:r>
            <w:r>
              <w:rPr>
                <w:sz w:val="21"/>
                <w:szCs w:val="21"/>
                <w:spacing w:val="-7"/>
              </w:rPr>
              <w:t>年</w:t>
            </w:r>
            <w:r>
              <w:rPr>
                <w:sz w:val="21"/>
                <w:szCs w:val="21"/>
                <w:spacing w:val="-47"/>
              </w:rPr>
              <w:t xml:space="preserve"> </w:t>
            </w:r>
            <w:r>
              <w:rPr>
                <w:sz w:val="21"/>
                <w:szCs w:val="21"/>
                <w:spacing w:val="-7"/>
              </w:rPr>
              <w:t>本</w:t>
            </w:r>
            <w:r>
              <w:rPr>
                <w:sz w:val="21"/>
                <w:szCs w:val="21"/>
                <w:spacing w:val="-47"/>
              </w:rPr>
              <w:t xml:space="preserve"> </w:t>
            </w:r>
            <w:r>
              <w:rPr>
                <w:sz w:val="21"/>
                <w:szCs w:val="21"/>
                <w:spacing w:val="-7"/>
              </w:rPr>
              <w:t>)</w:t>
            </w:r>
            <w:r>
              <w:rPr>
                <w:sz w:val="21"/>
                <w:szCs w:val="21"/>
                <w:spacing w:val="-37"/>
              </w:rPr>
              <w:t xml:space="preserve"> </w:t>
            </w:r>
            <w:r>
              <w:rPr>
                <w:sz w:val="21"/>
                <w:szCs w:val="21"/>
                <w:spacing w:val="-7"/>
              </w:rPr>
              <w:t>》</w:t>
            </w:r>
          </w:p>
        </w:tc>
        <w:tc>
          <w:tcPr>
            <w:tcW w:w="3746" w:type="dxa"/>
            <w:vAlign w:val="top"/>
          </w:tcPr>
          <w:p>
            <w:pPr>
              <w:pStyle w:val="TableText"/>
              <w:ind w:left="12" w:right="143"/>
              <w:spacing w:before="39" w:line="211" w:lineRule="auto"/>
              <w:rPr>
                <w:sz w:val="21"/>
                <w:szCs w:val="21"/>
              </w:rPr>
            </w:pPr>
            <w:r>
              <w:rPr>
                <w:sz w:val="21"/>
                <w:szCs w:val="21"/>
              </w:rPr>
              <w:t>万只及以下、活禽1000万只及以下的屠</w:t>
            </w:r>
            <w:r>
              <w:rPr>
                <w:sz w:val="21"/>
                <w:szCs w:val="21"/>
                <w:spacing w:val="9"/>
              </w:rPr>
              <w:t xml:space="preserve"> </w:t>
            </w:r>
            <w:r>
              <w:rPr>
                <w:sz w:val="21"/>
                <w:szCs w:val="21"/>
                <w:spacing w:val="3"/>
              </w:rPr>
              <w:t>宰建设项目(少数民族地区除外)</w:t>
            </w:r>
          </w:p>
        </w:tc>
        <w:tc>
          <w:tcPr>
            <w:tcW w:w="2197" w:type="dxa"/>
            <w:vAlign w:val="top"/>
          </w:tcPr>
          <w:p>
            <w:pPr>
              <w:pStyle w:val="TableText"/>
              <w:ind w:left="16" w:right="58"/>
              <w:spacing w:before="39" w:line="211" w:lineRule="auto"/>
              <w:rPr>
                <w:sz w:val="21"/>
                <w:szCs w:val="21"/>
              </w:rPr>
            </w:pPr>
            <w:r>
              <w:rPr>
                <w:sz w:val="21"/>
                <w:szCs w:val="21"/>
                <w:spacing w:val="1"/>
              </w:rPr>
              <w:t>力为4万头/年，不属于</w:t>
            </w:r>
            <w:r>
              <w:rPr>
                <w:sz w:val="21"/>
                <w:szCs w:val="21"/>
              </w:rPr>
              <w:t xml:space="preserve"> </w:t>
            </w:r>
            <w:r>
              <w:rPr>
                <w:sz w:val="21"/>
                <w:szCs w:val="21"/>
                <w:spacing w:val="-1"/>
              </w:rPr>
              <w:t>限制类。</w:t>
            </w:r>
          </w:p>
        </w:tc>
        <w:tc>
          <w:tcPr>
            <w:tcW w:w="642" w:type="dxa"/>
            <w:vAlign w:val="top"/>
            <w:vMerge w:val="restart"/>
            <w:tcBorders>
              <w:bottom w:val="nil"/>
            </w:tcBorders>
          </w:tcPr>
          <w:p>
            <w:pPr>
              <w:rPr>
                <w:rFonts w:ascii="Arial"/>
                <w:sz w:val="21"/>
              </w:rPr>
            </w:pPr>
            <w:r/>
          </w:p>
        </w:tc>
      </w:tr>
      <w:tr>
        <w:trPr>
          <w:trHeight w:val="819" w:hRule="atLeast"/>
        </w:trPr>
        <w:tc>
          <w:tcPr>
            <w:tcW w:w="345" w:type="dxa"/>
            <w:vAlign w:val="top"/>
            <w:vMerge w:val="continue"/>
            <w:tcBorders>
              <w:top w:val="nil"/>
            </w:tcBorders>
          </w:tcPr>
          <w:p>
            <w:pPr>
              <w:rPr>
                <w:rFonts w:ascii="Arial"/>
                <w:sz w:val="21"/>
              </w:rPr>
            </w:pPr>
            <w:r/>
          </w:p>
        </w:tc>
        <w:tc>
          <w:tcPr>
            <w:tcW w:w="1588" w:type="dxa"/>
            <w:vAlign w:val="top"/>
            <w:vMerge w:val="continue"/>
            <w:tcBorders>
              <w:top w:val="nil"/>
            </w:tcBorders>
          </w:tcPr>
          <w:p>
            <w:pPr>
              <w:rPr>
                <w:rFonts w:ascii="Arial"/>
                <w:sz w:val="21"/>
              </w:rPr>
            </w:pPr>
            <w:r/>
          </w:p>
        </w:tc>
        <w:tc>
          <w:tcPr>
            <w:tcW w:w="3746" w:type="dxa"/>
            <w:vAlign w:val="top"/>
          </w:tcPr>
          <w:p>
            <w:pPr>
              <w:pStyle w:val="TableText"/>
              <w:ind w:left="15"/>
              <w:spacing w:before="36" w:line="219" w:lineRule="auto"/>
              <w:rPr>
                <w:sz w:val="21"/>
                <w:szCs w:val="21"/>
              </w:rPr>
            </w:pPr>
            <w:r>
              <w:rPr>
                <w:sz w:val="21"/>
                <w:szCs w:val="21"/>
                <w:b/>
                <w:bCs/>
                <w:spacing w:val="-11"/>
              </w:rPr>
              <w:t>淘</w:t>
            </w:r>
            <w:r>
              <w:rPr>
                <w:sz w:val="21"/>
                <w:szCs w:val="21"/>
                <w:spacing w:val="-34"/>
              </w:rPr>
              <w:t xml:space="preserve"> </w:t>
            </w:r>
            <w:r>
              <w:rPr>
                <w:sz w:val="21"/>
                <w:szCs w:val="21"/>
                <w:b/>
                <w:bCs/>
                <w:spacing w:val="-11"/>
              </w:rPr>
              <w:t>汰</w:t>
            </w:r>
            <w:r>
              <w:rPr>
                <w:sz w:val="21"/>
                <w:szCs w:val="21"/>
                <w:spacing w:val="-45"/>
              </w:rPr>
              <w:t xml:space="preserve"> </w:t>
            </w:r>
            <w:r>
              <w:rPr>
                <w:sz w:val="21"/>
                <w:szCs w:val="21"/>
                <w:b/>
                <w:bCs/>
                <w:spacing w:val="-11"/>
              </w:rPr>
              <w:t>类</w:t>
            </w:r>
            <w:r>
              <w:rPr>
                <w:sz w:val="21"/>
                <w:szCs w:val="21"/>
                <w:spacing w:val="-52"/>
              </w:rPr>
              <w:t xml:space="preserve"> </w:t>
            </w:r>
            <w:r>
              <w:rPr>
                <w:sz w:val="21"/>
                <w:szCs w:val="21"/>
                <w:b/>
                <w:bCs/>
                <w:spacing w:val="-11"/>
              </w:rPr>
              <w:t>：</w:t>
            </w:r>
            <w:r>
              <w:rPr>
                <w:sz w:val="21"/>
                <w:szCs w:val="21"/>
                <w:spacing w:val="-11"/>
              </w:rPr>
              <w:t>(十二)轻工28、桥式劈半</w:t>
            </w:r>
          </w:p>
          <w:p>
            <w:pPr>
              <w:pStyle w:val="TableText"/>
              <w:ind w:left="12"/>
              <w:spacing w:before="32" w:line="219" w:lineRule="auto"/>
              <w:rPr>
                <w:sz w:val="21"/>
                <w:szCs w:val="21"/>
              </w:rPr>
            </w:pPr>
            <w:r>
              <w:rPr>
                <w:sz w:val="21"/>
                <w:szCs w:val="21"/>
                <w:spacing w:val="6"/>
              </w:rPr>
              <w:t>锯、敞式生猪烫毛机等生猪屠宰设备；</w:t>
            </w:r>
          </w:p>
          <w:p>
            <w:pPr>
              <w:pStyle w:val="TableText"/>
              <w:ind w:left="12"/>
              <w:spacing w:before="11" w:line="202" w:lineRule="auto"/>
              <w:rPr>
                <w:sz w:val="21"/>
                <w:szCs w:val="21"/>
              </w:rPr>
            </w:pPr>
            <w:r>
              <w:rPr>
                <w:sz w:val="21"/>
                <w:szCs w:val="21"/>
              </w:rPr>
              <w:t>29、猪、牛、羊、禽手工屠宰工艺</w:t>
            </w:r>
          </w:p>
        </w:tc>
        <w:tc>
          <w:tcPr>
            <w:tcW w:w="2197" w:type="dxa"/>
            <w:vAlign w:val="top"/>
          </w:tcPr>
          <w:p>
            <w:pPr>
              <w:pStyle w:val="TableText"/>
              <w:ind w:left="16" w:right="54"/>
              <w:spacing w:before="38" w:line="238" w:lineRule="auto"/>
              <w:rPr>
                <w:sz w:val="21"/>
                <w:szCs w:val="21"/>
              </w:rPr>
            </w:pPr>
            <w:r>
              <w:rPr>
                <w:sz w:val="21"/>
                <w:szCs w:val="21"/>
                <w:spacing w:val="1"/>
              </w:rPr>
              <w:t>本项目采用机械化屠宰</w:t>
            </w:r>
            <w:r>
              <w:rPr>
                <w:sz w:val="21"/>
                <w:szCs w:val="21"/>
                <w:spacing w:val="5"/>
              </w:rPr>
              <w:t xml:space="preserve"> </w:t>
            </w:r>
            <w:r>
              <w:rPr>
                <w:sz w:val="21"/>
                <w:szCs w:val="21"/>
                <w:spacing w:val="1"/>
              </w:rPr>
              <w:t>生产线，不属于淘汰</w:t>
            </w:r>
          </w:p>
          <w:p>
            <w:pPr>
              <w:pStyle w:val="TableText"/>
              <w:ind w:left="16"/>
              <w:spacing w:line="201" w:lineRule="auto"/>
              <w:rPr>
                <w:sz w:val="21"/>
                <w:szCs w:val="21"/>
              </w:rPr>
            </w:pPr>
            <w:r>
              <w:rPr>
                <w:sz w:val="21"/>
                <w:szCs w:val="21"/>
                <w:spacing w:val="-2"/>
              </w:rPr>
              <w:t>类。</w:t>
            </w:r>
          </w:p>
        </w:tc>
        <w:tc>
          <w:tcPr>
            <w:tcW w:w="642" w:type="dxa"/>
            <w:vAlign w:val="top"/>
            <w:vMerge w:val="continue"/>
            <w:tcBorders>
              <w:top w:val="nil"/>
            </w:tcBorders>
          </w:tcPr>
          <w:p>
            <w:pPr>
              <w:rPr>
                <w:rFonts w:ascii="Arial"/>
                <w:sz w:val="21"/>
              </w:rPr>
            </w:pPr>
            <w:r/>
          </w:p>
        </w:tc>
      </w:tr>
      <w:tr>
        <w:trPr>
          <w:trHeight w:val="3816" w:hRule="atLeast"/>
        </w:trPr>
        <w:tc>
          <w:tcPr>
            <w:tcW w:w="345"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104"/>
              <w:spacing w:before="68" w:line="241" w:lineRule="auto"/>
              <w:rPr>
                <w:sz w:val="21"/>
                <w:szCs w:val="21"/>
              </w:rPr>
            </w:pPr>
            <w:r>
              <w:rPr>
                <w:sz w:val="21"/>
                <w:szCs w:val="21"/>
              </w:rPr>
              <w:t>2</w:t>
            </w:r>
          </w:p>
        </w:tc>
        <w:tc>
          <w:tcPr>
            <w:tcW w:w="1588"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pStyle w:val="TableText"/>
              <w:spacing w:before="68" w:line="219" w:lineRule="auto"/>
              <w:rPr>
                <w:sz w:val="21"/>
                <w:szCs w:val="21"/>
              </w:rPr>
            </w:pPr>
            <w:r>
              <w:rPr>
                <w:sz w:val="21"/>
                <w:szCs w:val="21"/>
                <w:spacing w:val="-3"/>
              </w:rPr>
              <w:t>《产业发展与转</w:t>
            </w:r>
          </w:p>
          <w:p>
            <w:pPr>
              <w:pStyle w:val="TableText"/>
              <w:ind w:left="200"/>
              <w:spacing w:before="21" w:line="221" w:lineRule="auto"/>
              <w:rPr>
                <w:sz w:val="21"/>
                <w:szCs w:val="21"/>
              </w:rPr>
            </w:pPr>
            <w:r>
              <w:rPr>
                <w:sz w:val="21"/>
                <w:szCs w:val="21"/>
              </w:rPr>
              <w:t>移指导目录》</w:t>
            </w:r>
          </w:p>
          <w:p>
            <w:pPr>
              <w:pStyle w:val="TableText"/>
              <w:ind w:left="260"/>
              <w:spacing w:before="16" w:line="219" w:lineRule="auto"/>
              <w:rPr>
                <w:sz w:val="21"/>
                <w:szCs w:val="21"/>
              </w:rPr>
            </w:pPr>
            <w:r>
              <w:rPr>
                <w:sz w:val="21"/>
                <w:szCs w:val="21"/>
                <w:spacing w:val="5"/>
              </w:rPr>
              <w:t>(2018年本)</w:t>
            </w:r>
          </w:p>
        </w:tc>
        <w:tc>
          <w:tcPr>
            <w:tcW w:w="3746" w:type="dxa"/>
            <w:vAlign w:val="top"/>
          </w:tcPr>
          <w:p>
            <w:pPr>
              <w:pStyle w:val="TableText"/>
              <w:ind w:left="15"/>
              <w:spacing w:before="37" w:line="219" w:lineRule="auto"/>
              <w:rPr>
                <w:sz w:val="21"/>
                <w:szCs w:val="21"/>
              </w:rPr>
            </w:pPr>
            <w:r>
              <w:rPr>
                <w:sz w:val="21"/>
                <w:szCs w:val="21"/>
                <w:b/>
                <w:bCs/>
                <w:spacing w:val="-4"/>
              </w:rPr>
              <w:t>引导逐步调整退出的产业：</w:t>
            </w:r>
          </w:p>
          <w:p>
            <w:pPr>
              <w:pStyle w:val="TableText"/>
              <w:ind w:left="12"/>
              <w:spacing w:before="14" w:line="220" w:lineRule="auto"/>
              <w:rPr>
                <w:sz w:val="21"/>
                <w:szCs w:val="21"/>
              </w:rPr>
            </w:pPr>
            <w:r>
              <w:rPr>
                <w:sz w:val="21"/>
                <w:szCs w:val="21"/>
                <w:spacing w:val="-1"/>
              </w:rPr>
              <w:t>一、纺织</w:t>
            </w:r>
          </w:p>
          <w:p>
            <w:pPr>
              <w:pStyle w:val="TableText"/>
              <w:ind w:left="12"/>
              <w:spacing w:before="39" w:line="219" w:lineRule="auto"/>
              <w:rPr>
                <w:sz w:val="21"/>
                <w:szCs w:val="21"/>
              </w:rPr>
            </w:pPr>
            <w:r>
              <w:rPr>
                <w:sz w:val="21"/>
                <w:szCs w:val="21"/>
                <w:spacing w:val="5"/>
              </w:rPr>
              <w:t>.印染(成都市)</w:t>
            </w:r>
          </w:p>
          <w:p>
            <w:pPr>
              <w:pStyle w:val="TableText"/>
              <w:ind w:left="12"/>
              <w:spacing w:before="1" w:line="220" w:lineRule="auto"/>
              <w:rPr>
                <w:sz w:val="21"/>
                <w:szCs w:val="21"/>
              </w:rPr>
            </w:pPr>
            <w:r>
              <w:rPr>
                <w:sz w:val="21"/>
                <w:szCs w:val="21"/>
                <w:spacing w:val="3"/>
              </w:rPr>
              <w:t>二、有色金属</w:t>
            </w:r>
          </w:p>
          <w:p>
            <w:pPr>
              <w:pStyle w:val="TableText"/>
              <w:ind w:left="12"/>
              <w:spacing w:before="39" w:line="219" w:lineRule="auto"/>
              <w:rPr>
                <w:sz w:val="21"/>
                <w:szCs w:val="21"/>
              </w:rPr>
            </w:pPr>
            <w:r>
              <w:rPr>
                <w:sz w:val="21"/>
                <w:szCs w:val="21"/>
                <w:spacing w:val="4"/>
              </w:rPr>
              <w:t>1.铅锌冶炼(绵阳市)</w:t>
            </w:r>
          </w:p>
          <w:p>
            <w:pPr>
              <w:pStyle w:val="TableText"/>
              <w:ind w:left="12"/>
              <w:spacing w:before="19" w:line="213" w:lineRule="auto"/>
              <w:rPr>
                <w:sz w:val="21"/>
                <w:szCs w:val="21"/>
              </w:rPr>
            </w:pPr>
            <w:r>
              <w:rPr>
                <w:sz w:val="21"/>
                <w:szCs w:val="21"/>
                <w:spacing w:val="3"/>
              </w:rPr>
              <w:t>2.铝冶炼(阿坝州、乐山市)</w:t>
            </w:r>
          </w:p>
          <w:p>
            <w:pPr>
              <w:pStyle w:val="TableText"/>
              <w:ind w:left="12"/>
              <w:spacing w:before="1" w:line="220" w:lineRule="auto"/>
              <w:rPr>
                <w:sz w:val="21"/>
                <w:szCs w:val="21"/>
              </w:rPr>
            </w:pPr>
            <w:r>
              <w:rPr>
                <w:sz w:val="21"/>
                <w:szCs w:val="21"/>
                <w:spacing w:val="-2"/>
              </w:rPr>
              <w:t>三、钢铁</w:t>
            </w:r>
          </w:p>
          <w:p>
            <w:pPr>
              <w:pStyle w:val="TableText"/>
              <w:ind w:left="12"/>
              <w:spacing w:before="48" w:line="219" w:lineRule="auto"/>
              <w:rPr>
                <w:sz w:val="21"/>
                <w:szCs w:val="21"/>
              </w:rPr>
            </w:pPr>
            <w:r>
              <w:rPr>
                <w:sz w:val="21"/>
                <w:szCs w:val="21"/>
                <w:spacing w:val="3"/>
              </w:rPr>
              <w:t>1.铁合金冶炼(成都市)</w:t>
            </w:r>
          </w:p>
          <w:p>
            <w:pPr>
              <w:pStyle w:val="TableText"/>
              <w:ind w:left="15" w:right="528" w:hanging="3"/>
              <w:spacing w:before="9" w:line="232" w:lineRule="auto"/>
              <w:rPr>
                <w:sz w:val="21"/>
                <w:szCs w:val="21"/>
              </w:rPr>
            </w:pPr>
            <w:r>
              <w:rPr>
                <w:sz w:val="21"/>
                <w:szCs w:val="21"/>
                <w:spacing w:val="2"/>
              </w:rPr>
              <w:t>2.铁矿采选(阿坝州茂县、松潘县)</w:t>
            </w:r>
            <w:r>
              <w:rPr>
                <w:sz w:val="21"/>
                <w:szCs w:val="21"/>
                <w:spacing w:val="10"/>
              </w:rPr>
              <w:t xml:space="preserve"> </w:t>
            </w:r>
            <w:r>
              <w:rPr>
                <w:sz w:val="21"/>
                <w:szCs w:val="21"/>
                <w:b/>
                <w:bCs/>
                <w:spacing w:val="-4"/>
              </w:rPr>
              <w:t>引导不再承接的产业：</w:t>
            </w:r>
          </w:p>
          <w:p>
            <w:pPr>
              <w:pStyle w:val="TableText"/>
              <w:ind w:left="12"/>
              <w:spacing w:before="22" w:line="219" w:lineRule="auto"/>
              <w:rPr>
                <w:sz w:val="21"/>
                <w:szCs w:val="21"/>
              </w:rPr>
            </w:pPr>
            <w:r>
              <w:rPr>
                <w:sz w:val="21"/>
                <w:szCs w:val="21"/>
                <w:spacing w:val="-5"/>
              </w:rPr>
              <w:t>一、建材</w:t>
            </w:r>
          </w:p>
          <w:p>
            <w:pPr>
              <w:pStyle w:val="TableText"/>
              <w:ind w:left="12"/>
              <w:spacing w:before="43" w:line="219" w:lineRule="auto"/>
              <w:rPr>
                <w:sz w:val="21"/>
                <w:szCs w:val="21"/>
              </w:rPr>
            </w:pPr>
            <w:r>
              <w:rPr>
                <w:sz w:val="21"/>
                <w:szCs w:val="21"/>
                <w:spacing w:val="1"/>
              </w:rPr>
              <w:t>1.水泥熟料</w:t>
            </w:r>
          </w:p>
          <w:p>
            <w:pPr>
              <w:pStyle w:val="TableText"/>
              <w:ind w:left="12"/>
              <w:spacing w:before="20" w:line="218" w:lineRule="auto"/>
              <w:rPr>
                <w:sz w:val="21"/>
                <w:szCs w:val="21"/>
              </w:rPr>
            </w:pPr>
            <w:r>
              <w:rPr>
                <w:sz w:val="21"/>
                <w:szCs w:val="21"/>
                <w:spacing w:val="2"/>
              </w:rPr>
              <w:t>2.普通平板玻璃制造(成都市、德阳市、</w:t>
            </w:r>
            <w:r>
              <w:rPr>
                <w:sz w:val="21"/>
                <w:szCs w:val="21"/>
                <w:spacing w:val="9"/>
              </w:rPr>
              <w:t xml:space="preserve"> </w:t>
            </w:r>
            <w:r>
              <w:rPr>
                <w:sz w:val="21"/>
                <w:szCs w:val="21"/>
                <w:spacing w:val="7"/>
              </w:rPr>
              <w:t>绵阳市)</w:t>
            </w:r>
          </w:p>
        </w:tc>
        <w:tc>
          <w:tcPr>
            <w:tcW w:w="2197" w:type="dxa"/>
            <w:vAlign w:val="top"/>
          </w:tcPr>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16"/>
              <w:spacing w:before="69" w:line="219" w:lineRule="auto"/>
              <w:rPr>
                <w:sz w:val="21"/>
                <w:szCs w:val="21"/>
              </w:rPr>
            </w:pPr>
            <w:r>
              <w:rPr>
                <w:sz w:val="21"/>
                <w:szCs w:val="21"/>
                <w:spacing w:val="1"/>
              </w:rPr>
              <w:t>本项目为屠宰加工项</w:t>
            </w:r>
          </w:p>
          <w:p>
            <w:pPr>
              <w:pStyle w:val="TableText"/>
              <w:ind w:left="16"/>
              <w:spacing w:before="22" w:line="243" w:lineRule="auto"/>
              <w:rPr>
                <w:sz w:val="21"/>
                <w:szCs w:val="21"/>
              </w:rPr>
            </w:pPr>
            <w:r>
              <w:rPr>
                <w:sz w:val="21"/>
                <w:szCs w:val="21"/>
                <w:spacing w:val="-21"/>
              </w:rPr>
              <w:t>目，未列入到“引导逐步</w:t>
            </w:r>
            <w:r>
              <w:rPr>
                <w:sz w:val="21"/>
                <w:szCs w:val="21"/>
                <w:spacing w:val="9"/>
              </w:rPr>
              <w:t xml:space="preserve"> </w:t>
            </w:r>
            <w:r>
              <w:rPr>
                <w:sz w:val="21"/>
                <w:szCs w:val="21"/>
                <w:spacing w:val="-18"/>
              </w:rPr>
              <w:t>调整退出的产业”和“引</w:t>
            </w:r>
            <w:r>
              <w:rPr>
                <w:sz w:val="21"/>
                <w:szCs w:val="21"/>
              </w:rPr>
              <w:t xml:space="preserve"> </w:t>
            </w:r>
            <w:r>
              <w:rPr>
                <w:sz w:val="21"/>
                <w:szCs w:val="21"/>
                <w:spacing w:val="-13"/>
              </w:rPr>
              <w:t>导不再承接的产业”中。</w:t>
            </w:r>
          </w:p>
        </w:tc>
        <w:tc>
          <w:tcPr>
            <w:tcW w:w="642" w:type="dxa"/>
            <w:vAlign w:val="top"/>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98"/>
              <w:spacing w:before="69" w:line="219" w:lineRule="auto"/>
              <w:rPr>
                <w:sz w:val="21"/>
                <w:szCs w:val="21"/>
              </w:rPr>
            </w:pPr>
            <w:r>
              <w:rPr>
                <w:sz w:val="21"/>
                <w:szCs w:val="21"/>
                <w:spacing w:val="-3"/>
              </w:rPr>
              <w:t>符合</w:t>
            </w:r>
          </w:p>
        </w:tc>
      </w:tr>
      <w:tr>
        <w:trPr>
          <w:trHeight w:val="819" w:hRule="atLeast"/>
        </w:trPr>
        <w:tc>
          <w:tcPr>
            <w:tcW w:w="345" w:type="dxa"/>
            <w:vAlign w:val="top"/>
            <w:textDirection w:val="tbRlV"/>
          </w:tcPr>
          <w:p>
            <w:pPr>
              <w:pStyle w:val="TableText"/>
              <w:ind w:left="268"/>
              <w:spacing w:before="135" w:line="144" w:lineRule="exact"/>
              <w:rPr>
                <w:sz w:val="21"/>
                <w:szCs w:val="21"/>
              </w:rPr>
            </w:pPr>
            <w:r>
              <w:rPr>
                <w:sz w:val="21"/>
                <w:szCs w:val="21"/>
                <w:spacing w:val="51"/>
                <w:w w:val="125"/>
                <w:position w:val="-3"/>
              </w:rPr>
              <w:t>3</w:t>
            </w:r>
          </w:p>
        </w:tc>
        <w:tc>
          <w:tcPr>
            <w:tcW w:w="1588" w:type="dxa"/>
            <w:vAlign w:val="top"/>
          </w:tcPr>
          <w:p>
            <w:pPr>
              <w:pStyle w:val="TableText"/>
              <w:spacing w:before="34" w:line="219" w:lineRule="auto"/>
              <w:rPr>
                <w:sz w:val="21"/>
                <w:szCs w:val="21"/>
              </w:rPr>
            </w:pPr>
            <w:r>
              <w:rPr>
                <w:sz w:val="21"/>
                <w:szCs w:val="21"/>
                <w:spacing w:val="-3"/>
              </w:rPr>
              <w:t>《市场准入负面</w:t>
            </w:r>
          </w:p>
          <w:p>
            <w:pPr>
              <w:pStyle w:val="TableText"/>
              <w:ind w:left="200"/>
              <w:spacing w:before="20" w:line="219" w:lineRule="auto"/>
              <w:rPr>
                <w:sz w:val="21"/>
                <w:szCs w:val="21"/>
              </w:rPr>
            </w:pPr>
            <w:r>
              <w:rPr>
                <w:sz w:val="21"/>
                <w:szCs w:val="21"/>
                <w:spacing w:val="1"/>
              </w:rPr>
              <w:t>清单(2022年</w:t>
            </w:r>
          </w:p>
          <w:p>
            <w:pPr>
              <w:pStyle w:val="TableText"/>
              <w:ind w:left="569"/>
              <w:spacing w:before="11" w:line="214" w:lineRule="auto"/>
              <w:rPr>
                <w:sz w:val="21"/>
                <w:szCs w:val="21"/>
              </w:rPr>
            </w:pPr>
            <w:r>
              <w:rPr>
                <w:sz w:val="21"/>
                <w:szCs w:val="21"/>
                <w:spacing w:val="-4"/>
              </w:rPr>
              <w:t>版)》</w:t>
            </w:r>
          </w:p>
        </w:tc>
        <w:tc>
          <w:tcPr>
            <w:tcW w:w="3746" w:type="dxa"/>
            <w:vAlign w:val="top"/>
          </w:tcPr>
          <w:p>
            <w:pPr>
              <w:pStyle w:val="TableText"/>
              <w:ind w:left="12" w:right="351"/>
              <w:spacing w:before="165" w:line="248" w:lineRule="auto"/>
              <w:rPr>
                <w:sz w:val="21"/>
                <w:szCs w:val="21"/>
              </w:rPr>
            </w:pPr>
            <w:r>
              <w:rPr>
                <w:sz w:val="21"/>
                <w:szCs w:val="21"/>
              </w:rPr>
              <w:t>未获得许可或检疫，不得从事动物饲</w:t>
            </w:r>
            <w:r>
              <w:rPr>
                <w:sz w:val="21"/>
                <w:szCs w:val="21"/>
                <w:spacing w:val="11"/>
              </w:rPr>
              <w:t xml:space="preserve"> </w:t>
            </w:r>
            <w:r>
              <w:rPr>
                <w:sz w:val="21"/>
                <w:szCs w:val="21"/>
                <w:spacing w:val="-1"/>
              </w:rPr>
              <w:t>养、屠宰和经营。</w:t>
            </w:r>
          </w:p>
        </w:tc>
        <w:tc>
          <w:tcPr>
            <w:tcW w:w="2197" w:type="dxa"/>
            <w:vAlign w:val="top"/>
          </w:tcPr>
          <w:p>
            <w:pPr>
              <w:pStyle w:val="TableText"/>
              <w:ind w:left="155" w:right="61" w:hanging="119"/>
              <w:spacing w:before="173" w:line="241" w:lineRule="auto"/>
              <w:rPr>
                <w:sz w:val="21"/>
                <w:szCs w:val="21"/>
              </w:rPr>
            </w:pPr>
            <w:r>
              <w:rPr>
                <w:sz w:val="21"/>
                <w:szCs w:val="21"/>
                <w:spacing w:val="-2"/>
              </w:rPr>
              <w:t>建设单位获得许可或检</w:t>
            </w:r>
            <w:r>
              <w:rPr>
                <w:sz w:val="21"/>
                <w:szCs w:val="21"/>
                <w:spacing w:val="8"/>
              </w:rPr>
              <w:t xml:space="preserve"> </w:t>
            </w:r>
            <w:r>
              <w:rPr>
                <w:sz w:val="21"/>
                <w:szCs w:val="21"/>
                <w:spacing w:val="1"/>
              </w:rPr>
              <w:t>疫后方开始建设运营</w:t>
            </w:r>
          </w:p>
        </w:tc>
        <w:tc>
          <w:tcPr>
            <w:tcW w:w="642" w:type="dxa"/>
            <w:vAlign w:val="top"/>
          </w:tcPr>
          <w:p>
            <w:pPr>
              <w:spacing w:line="245" w:lineRule="auto"/>
              <w:rPr>
                <w:rFonts w:ascii="Arial"/>
                <w:sz w:val="21"/>
              </w:rPr>
            </w:pPr>
            <w:r/>
          </w:p>
          <w:p>
            <w:pPr>
              <w:pStyle w:val="TableText"/>
              <w:ind w:left="98"/>
              <w:spacing w:before="68" w:line="219" w:lineRule="auto"/>
              <w:rPr>
                <w:sz w:val="21"/>
                <w:szCs w:val="21"/>
              </w:rPr>
            </w:pPr>
            <w:r>
              <w:rPr>
                <w:sz w:val="21"/>
                <w:szCs w:val="21"/>
                <w:spacing w:val="-3"/>
              </w:rPr>
              <w:t>符合</w:t>
            </w:r>
          </w:p>
        </w:tc>
      </w:tr>
      <w:tr>
        <w:trPr>
          <w:trHeight w:val="2452" w:hRule="atLeast"/>
        </w:trPr>
        <w:tc>
          <w:tcPr>
            <w:tcW w:w="345" w:type="dxa"/>
            <w:vAlign w:val="top"/>
          </w:tcPr>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104"/>
              <w:spacing w:before="68" w:line="241" w:lineRule="auto"/>
              <w:rPr>
                <w:sz w:val="21"/>
                <w:szCs w:val="21"/>
              </w:rPr>
            </w:pPr>
            <w:r>
              <w:rPr>
                <w:sz w:val="21"/>
                <w:szCs w:val="21"/>
              </w:rPr>
              <w:t>4</w:t>
            </w:r>
          </w:p>
        </w:tc>
        <w:tc>
          <w:tcPr>
            <w:tcW w:w="1588" w:type="dxa"/>
            <w:vAlign w:val="top"/>
          </w:tcPr>
          <w:p>
            <w:pPr>
              <w:spacing w:line="321" w:lineRule="auto"/>
              <w:rPr>
                <w:rFonts w:ascii="Arial"/>
                <w:sz w:val="21"/>
              </w:rPr>
            </w:pPr>
            <w:r/>
          </w:p>
          <w:p>
            <w:pPr>
              <w:spacing w:line="322" w:lineRule="auto"/>
              <w:rPr>
                <w:rFonts w:ascii="Arial"/>
                <w:sz w:val="21"/>
              </w:rPr>
            </w:pPr>
            <w:r/>
          </w:p>
          <w:p>
            <w:pPr>
              <w:pStyle w:val="TableText"/>
              <w:spacing w:before="68" w:line="219" w:lineRule="auto"/>
              <w:rPr>
                <w:sz w:val="21"/>
                <w:szCs w:val="21"/>
              </w:rPr>
            </w:pPr>
            <w:r>
              <w:rPr>
                <w:sz w:val="21"/>
                <w:szCs w:val="21"/>
                <w:spacing w:val="-3"/>
              </w:rPr>
              <w:t>《自然资源要素</w:t>
            </w:r>
          </w:p>
          <w:p>
            <w:pPr>
              <w:pStyle w:val="TableText"/>
              <w:ind w:left="49"/>
              <w:spacing w:before="10" w:line="219" w:lineRule="auto"/>
              <w:rPr>
                <w:sz w:val="21"/>
                <w:szCs w:val="21"/>
              </w:rPr>
            </w:pPr>
            <w:r>
              <w:rPr>
                <w:sz w:val="21"/>
                <w:szCs w:val="21"/>
                <w:spacing w:val="-2"/>
              </w:rPr>
              <w:t>支撑产业高质量</w:t>
            </w:r>
          </w:p>
          <w:p>
            <w:pPr>
              <w:pStyle w:val="TableText"/>
              <w:ind w:left="149"/>
              <w:spacing w:before="41" w:line="220" w:lineRule="auto"/>
              <w:rPr>
                <w:sz w:val="21"/>
                <w:szCs w:val="21"/>
              </w:rPr>
            </w:pPr>
            <w:r>
              <w:rPr>
                <w:sz w:val="21"/>
                <w:szCs w:val="21"/>
                <w:spacing w:val="1"/>
              </w:rPr>
              <w:t>发展指导目录</w:t>
            </w:r>
          </w:p>
          <w:p>
            <w:pPr>
              <w:pStyle w:val="TableText"/>
              <w:ind w:left="200"/>
              <w:spacing w:before="27" w:line="219" w:lineRule="auto"/>
              <w:rPr>
                <w:sz w:val="21"/>
                <w:szCs w:val="21"/>
              </w:rPr>
            </w:pPr>
            <w:r>
              <w:rPr>
                <w:sz w:val="21"/>
                <w:szCs w:val="21"/>
              </w:rPr>
              <w:t>(2024年本)》</w:t>
            </w:r>
          </w:p>
        </w:tc>
        <w:tc>
          <w:tcPr>
            <w:tcW w:w="3746" w:type="dxa"/>
            <w:vAlign w:val="top"/>
          </w:tcPr>
          <w:p>
            <w:pPr>
              <w:pStyle w:val="TableText"/>
              <w:ind w:left="12" w:right="268"/>
              <w:spacing w:before="36" w:line="237" w:lineRule="auto"/>
              <w:rPr>
                <w:sz w:val="21"/>
                <w:szCs w:val="21"/>
              </w:rPr>
            </w:pPr>
            <w:r>
              <w:rPr>
                <w:sz w:val="21"/>
                <w:szCs w:val="21"/>
                <w:spacing w:val="-1"/>
              </w:rPr>
              <w:t>列入《产业结构调整指导目录(2024年</w:t>
            </w:r>
            <w:r>
              <w:rPr>
                <w:sz w:val="21"/>
                <w:szCs w:val="21"/>
                <w:spacing w:val="5"/>
              </w:rPr>
              <w:t xml:space="preserve"> </w:t>
            </w:r>
            <w:r>
              <w:rPr>
                <w:sz w:val="21"/>
                <w:szCs w:val="21"/>
                <w:spacing w:val="-1"/>
              </w:rPr>
              <w:t>本)》限制类的项目，允许企业在一定</w:t>
            </w:r>
            <w:r>
              <w:rPr>
                <w:sz w:val="21"/>
                <w:szCs w:val="21"/>
                <w:spacing w:val="6"/>
              </w:rPr>
              <w:t xml:space="preserve"> </w:t>
            </w:r>
            <w:r>
              <w:rPr>
                <w:sz w:val="21"/>
                <w:szCs w:val="21"/>
              </w:rPr>
              <w:t>期限内按照《产业结构调整指导目录</w:t>
            </w:r>
          </w:p>
          <w:p>
            <w:pPr>
              <w:pStyle w:val="TableText"/>
              <w:ind w:left="12"/>
              <w:spacing w:line="218" w:lineRule="auto"/>
              <w:rPr>
                <w:sz w:val="21"/>
                <w:szCs w:val="21"/>
              </w:rPr>
            </w:pPr>
            <w:r>
              <w:rPr>
                <w:sz w:val="21"/>
                <w:szCs w:val="21"/>
              </w:rPr>
              <w:t>(2024年本)》规定的产能条件或要求</w:t>
            </w:r>
          </w:p>
          <w:p>
            <w:pPr>
              <w:pStyle w:val="TableText"/>
              <w:ind w:left="12" w:right="137"/>
              <w:spacing w:before="41" w:line="230" w:lineRule="auto"/>
              <w:rPr>
                <w:sz w:val="21"/>
                <w:szCs w:val="21"/>
              </w:rPr>
            </w:pPr>
            <w:r>
              <w:rPr>
                <w:sz w:val="21"/>
                <w:szCs w:val="21"/>
              </w:rPr>
              <w:t>采取措施改造升级；列入《产业结构调</w:t>
            </w:r>
            <w:r>
              <w:rPr>
                <w:sz w:val="21"/>
                <w:szCs w:val="21"/>
                <w:spacing w:val="15"/>
              </w:rPr>
              <w:t xml:space="preserve"> </w:t>
            </w:r>
            <w:r>
              <w:rPr>
                <w:sz w:val="21"/>
                <w:szCs w:val="21"/>
                <w:spacing w:val="-1"/>
              </w:rPr>
              <w:t>整指导目录(2024年本)》限制类的新</w:t>
            </w:r>
          </w:p>
          <w:p>
            <w:pPr>
              <w:pStyle w:val="TableText"/>
              <w:ind w:left="12" w:right="144"/>
              <w:spacing w:before="15" w:line="225" w:lineRule="auto"/>
              <w:rPr>
                <w:sz w:val="21"/>
                <w:szCs w:val="21"/>
              </w:rPr>
            </w:pPr>
            <w:r>
              <w:rPr>
                <w:sz w:val="21"/>
                <w:szCs w:val="21"/>
              </w:rPr>
              <w:t>建项目和淘汰类项目，直接纳入本目录</w:t>
            </w:r>
            <w:r>
              <w:rPr>
                <w:sz w:val="21"/>
                <w:szCs w:val="21"/>
                <w:spacing w:val="8"/>
              </w:rPr>
              <w:t xml:space="preserve"> </w:t>
            </w:r>
            <w:r>
              <w:rPr>
                <w:sz w:val="21"/>
                <w:szCs w:val="21"/>
                <w:spacing w:val="-1"/>
              </w:rPr>
              <w:t>禁止类，自然资源、投资管理和林草主</w:t>
            </w:r>
            <w:r>
              <w:rPr>
                <w:sz w:val="21"/>
                <w:szCs w:val="21"/>
                <w:spacing w:val="7"/>
              </w:rPr>
              <w:t xml:space="preserve"> </w:t>
            </w:r>
            <w:r>
              <w:rPr>
                <w:sz w:val="21"/>
                <w:szCs w:val="21"/>
                <w:spacing w:val="-1"/>
              </w:rPr>
              <w:t>管部门一律不得办理相关手续。</w:t>
            </w:r>
          </w:p>
        </w:tc>
        <w:tc>
          <w:tcPr>
            <w:tcW w:w="2197" w:type="dxa"/>
            <w:vAlign w:val="top"/>
          </w:tcPr>
          <w:p>
            <w:pPr>
              <w:spacing w:line="373" w:lineRule="auto"/>
              <w:rPr>
                <w:rFonts w:ascii="Arial"/>
                <w:sz w:val="21"/>
              </w:rPr>
            </w:pPr>
            <w:r/>
          </w:p>
          <w:p>
            <w:pPr>
              <w:pStyle w:val="TableText"/>
              <w:ind w:left="16"/>
              <w:spacing w:before="68"/>
              <w:rPr>
                <w:sz w:val="21"/>
                <w:szCs w:val="21"/>
              </w:rPr>
            </w:pPr>
            <w:r>
              <w:rPr>
                <w:sz w:val="21"/>
                <w:szCs w:val="21"/>
                <w:spacing w:val="-4"/>
              </w:rPr>
              <w:t>本项目生猪屠宰能力为</w:t>
            </w:r>
            <w:r>
              <w:rPr>
                <w:sz w:val="21"/>
                <w:szCs w:val="21"/>
                <w:spacing w:val="2"/>
              </w:rPr>
              <w:t xml:space="preserve">  </w:t>
            </w:r>
            <w:r>
              <w:rPr>
                <w:sz w:val="21"/>
                <w:szCs w:val="21"/>
                <w:spacing w:val="-3"/>
              </w:rPr>
              <w:t>40万头/年，肉牛屠宰能</w:t>
            </w:r>
            <w:r>
              <w:rPr>
                <w:sz w:val="21"/>
                <w:szCs w:val="21"/>
              </w:rPr>
              <w:t xml:space="preserve"> </w:t>
            </w:r>
            <w:r>
              <w:rPr>
                <w:sz w:val="21"/>
                <w:szCs w:val="21"/>
                <w:spacing w:val="-2"/>
              </w:rPr>
              <w:t>力为4万头/年，属于允</w:t>
            </w:r>
            <w:r>
              <w:rPr>
                <w:sz w:val="21"/>
                <w:szCs w:val="21"/>
                <w:spacing w:val="8"/>
              </w:rPr>
              <w:t xml:space="preserve"> </w:t>
            </w:r>
            <w:r>
              <w:rPr>
                <w:sz w:val="21"/>
                <w:szCs w:val="21"/>
                <w:spacing w:val="-2"/>
              </w:rPr>
              <w:t>许类，不属于目录中限</w:t>
            </w:r>
            <w:r>
              <w:rPr>
                <w:sz w:val="21"/>
                <w:szCs w:val="21"/>
                <w:spacing w:val="2"/>
              </w:rPr>
              <w:t xml:space="preserve">  </w:t>
            </w:r>
            <w:r>
              <w:rPr>
                <w:sz w:val="21"/>
                <w:szCs w:val="21"/>
                <w:spacing w:val="-1"/>
              </w:rPr>
              <w:t>制类、禁止类用地项</w:t>
            </w:r>
          </w:p>
          <w:p>
            <w:pPr>
              <w:pStyle w:val="TableText"/>
              <w:ind w:left="16"/>
              <w:spacing w:line="222" w:lineRule="auto"/>
              <w:rPr>
                <w:sz w:val="21"/>
                <w:szCs w:val="21"/>
              </w:rPr>
            </w:pPr>
            <w:r>
              <w:rPr>
                <w:sz w:val="21"/>
                <w:szCs w:val="21"/>
                <w:spacing w:val="-25"/>
              </w:rPr>
              <w:t>目</w:t>
            </w:r>
            <w:r>
              <w:rPr>
                <w:sz w:val="21"/>
                <w:szCs w:val="21"/>
                <w:spacing w:val="-31"/>
              </w:rPr>
              <w:t xml:space="preserve"> </w:t>
            </w:r>
            <w:r>
              <w:rPr>
                <w:sz w:val="21"/>
                <w:szCs w:val="21"/>
                <w:spacing w:val="-25"/>
              </w:rPr>
              <w:t>。</w:t>
            </w:r>
          </w:p>
        </w:tc>
        <w:tc>
          <w:tcPr>
            <w:tcW w:w="642" w:type="dxa"/>
            <w:vAlign w:val="top"/>
          </w:tcPr>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98"/>
              <w:spacing w:before="68" w:line="219" w:lineRule="auto"/>
              <w:rPr>
                <w:sz w:val="21"/>
                <w:szCs w:val="21"/>
              </w:rPr>
            </w:pPr>
            <w:r>
              <w:rPr>
                <w:sz w:val="21"/>
                <w:szCs w:val="21"/>
                <w:spacing w:val="-3"/>
              </w:rPr>
              <w:t>符合</w:t>
            </w:r>
          </w:p>
        </w:tc>
      </w:tr>
    </w:tbl>
    <w:p>
      <w:pPr>
        <w:ind w:left="615"/>
        <w:spacing w:before="72" w:line="219" w:lineRule="auto"/>
        <w:rPr>
          <w:rFonts w:ascii="SimSun" w:hAnsi="SimSun" w:eastAsia="SimSun" w:cs="SimSun"/>
          <w:sz w:val="23"/>
          <w:szCs w:val="23"/>
        </w:rPr>
      </w:pPr>
      <w:r>
        <w:rPr>
          <w:rFonts w:ascii="SimSun" w:hAnsi="SimSun" w:eastAsia="SimSun" w:cs="SimSun"/>
          <w:sz w:val="23"/>
          <w:szCs w:val="23"/>
          <w:spacing w:val="-1"/>
        </w:rPr>
        <w:t>综上所述，本项目的建设符合国家现行产业政策。</w:t>
      </w:r>
    </w:p>
    <w:p>
      <w:pPr>
        <w:ind w:left="108"/>
        <w:spacing w:before="244" w:line="222" w:lineRule="auto"/>
        <w:outlineLvl w:val="1"/>
        <w:rPr>
          <w:rFonts w:ascii="SimHei" w:hAnsi="SimHei" w:eastAsia="SimHei" w:cs="SimHei"/>
          <w:sz w:val="25"/>
          <w:szCs w:val="25"/>
        </w:rPr>
      </w:pPr>
      <w:bookmarkStart w:name="bookmark13" w:id="20"/>
      <w:bookmarkEnd w:id="20"/>
      <w:r>
        <w:rPr>
          <w:rFonts w:ascii="SimHei" w:hAnsi="SimHei" w:eastAsia="SimHei" w:cs="SimHei"/>
          <w:sz w:val="25"/>
          <w:szCs w:val="25"/>
          <w:b/>
          <w:bCs/>
          <w:spacing w:val="15"/>
        </w:rPr>
        <w:t>1.4选址规划符合性分析</w:t>
      </w:r>
    </w:p>
    <w:p>
      <w:pPr>
        <w:ind w:left="104"/>
        <w:spacing w:before="249" w:line="222" w:lineRule="auto"/>
        <w:rPr>
          <w:rFonts w:ascii="SimHei" w:hAnsi="SimHei" w:eastAsia="SimHei" w:cs="SimHei"/>
          <w:sz w:val="25"/>
          <w:szCs w:val="25"/>
        </w:rPr>
      </w:pPr>
      <w:r>
        <w:rPr>
          <w:rFonts w:ascii="Times New Roman" w:hAnsi="Times New Roman" w:eastAsia="Times New Roman" w:cs="Times New Roman"/>
          <w:sz w:val="25"/>
          <w:szCs w:val="25"/>
          <w:spacing w:val="18"/>
        </w:rPr>
        <w:t>1</w:t>
      </w:r>
      <w:r>
        <w:rPr>
          <w:rFonts w:ascii="SimHei" w:hAnsi="SimHei" w:eastAsia="SimHei" w:cs="SimHei"/>
          <w:sz w:val="25"/>
          <w:szCs w:val="25"/>
          <w:b/>
          <w:bCs/>
          <w:spacing w:val="18"/>
        </w:rPr>
        <w:t>.4.1与四川省主体功能区划和生态功能区划的符合性分析</w:t>
      </w:r>
    </w:p>
    <w:p>
      <w:pPr>
        <w:ind w:left="708"/>
        <w:spacing w:before="172" w:line="221" w:lineRule="auto"/>
        <w:rPr>
          <w:rFonts w:ascii="SimSun" w:hAnsi="SimSun" w:eastAsia="SimSun" w:cs="SimSun"/>
          <w:sz w:val="25"/>
          <w:szCs w:val="25"/>
        </w:rPr>
      </w:pPr>
      <w:r>
        <w:rPr>
          <w:rFonts w:ascii="SimSun" w:hAnsi="SimSun" w:eastAsia="SimSun" w:cs="SimSun"/>
          <w:sz w:val="25"/>
          <w:szCs w:val="25"/>
          <w:b/>
          <w:bCs/>
          <w:spacing w:val="3"/>
        </w:rPr>
        <w:t>(1)主体功能区划</w:t>
      </w:r>
    </w:p>
    <w:p>
      <w:pPr>
        <w:ind w:left="104" w:right="117" w:firstLine="480"/>
        <w:spacing w:before="149" w:line="348" w:lineRule="auto"/>
        <w:jc w:val="both"/>
        <w:rPr>
          <w:rFonts w:ascii="SimSun" w:hAnsi="SimSun" w:eastAsia="SimSun" w:cs="SimSun"/>
          <w:sz w:val="25"/>
          <w:szCs w:val="25"/>
        </w:rPr>
      </w:pPr>
      <w:r>
        <w:rPr>
          <w:rFonts w:ascii="SimSun" w:hAnsi="SimSun" w:eastAsia="SimSun" w:cs="SimSun"/>
          <w:sz w:val="25"/>
          <w:szCs w:val="25"/>
          <w:spacing w:val="-5"/>
        </w:rPr>
        <w:t>本项目位于四川绵阳安州工业园区内，根据《四川省国土空间</w:t>
      </w:r>
      <w:r>
        <w:rPr>
          <w:rFonts w:ascii="SimSun" w:hAnsi="SimSun" w:eastAsia="SimSun" w:cs="SimSun"/>
          <w:sz w:val="25"/>
          <w:szCs w:val="25"/>
          <w:spacing w:val="-6"/>
        </w:rPr>
        <w:t>规划(2021-</w:t>
      </w:r>
      <w:r>
        <w:rPr>
          <w:rFonts w:ascii="SimSun" w:hAnsi="SimSun" w:eastAsia="SimSun" w:cs="SimSun"/>
          <w:sz w:val="25"/>
          <w:szCs w:val="25"/>
        </w:rPr>
        <w:t xml:space="preserve"> </w:t>
      </w:r>
      <w:r>
        <w:rPr>
          <w:rFonts w:ascii="SimSun" w:hAnsi="SimSun" w:eastAsia="SimSun" w:cs="SimSun"/>
          <w:sz w:val="25"/>
          <w:szCs w:val="25"/>
          <w:spacing w:val="3"/>
        </w:rPr>
        <w:t>2035年)》(川府发[2024]8号)中“第三节”“优化省域主体功能区布局”,</w:t>
      </w:r>
      <w:r>
        <w:rPr>
          <w:rFonts w:ascii="SimSun" w:hAnsi="SimSun" w:eastAsia="SimSun" w:cs="SimSun"/>
          <w:sz w:val="25"/>
          <w:szCs w:val="25"/>
          <w:spacing w:val="11"/>
        </w:rPr>
        <w:t xml:space="preserve"> </w:t>
      </w:r>
      <w:r>
        <w:rPr>
          <w:rFonts w:ascii="SimSun" w:hAnsi="SimSun" w:eastAsia="SimSun" w:cs="SimSun"/>
          <w:sz w:val="25"/>
          <w:szCs w:val="25"/>
          <w:spacing w:val="-6"/>
        </w:rPr>
        <w:t>深入实施主体功能区战略，完善和落实主体功能区制度。因地制宜细化主体功</w:t>
      </w:r>
      <w:r>
        <w:rPr>
          <w:rFonts w:ascii="SimSun" w:hAnsi="SimSun" w:eastAsia="SimSun" w:cs="SimSun"/>
          <w:sz w:val="25"/>
          <w:szCs w:val="25"/>
          <w:spacing w:val="9"/>
        </w:rPr>
        <w:t xml:space="preserve"> </w:t>
      </w:r>
      <w:r>
        <w:rPr>
          <w:rFonts w:ascii="SimSun" w:hAnsi="SimSun" w:eastAsia="SimSun" w:cs="SimSun"/>
          <w:sz w:val="25"/>
          <w:szCs w:val="25"/>
          <w:spacing w:val="-6"/>
        </w:rPr>
        <w:t>能分区，合理优化调整县级行政区主体功能定位，加强多宜性空间保护与发展</w:t>
      </w:r>
      <w:r>
        <w:rPr>
          <w:rFonts w:ascii="SimSun" w:hAnsi="SimSun" w:eastAsia="SimSun" w:cs="SimSun"/>
          <w:sz w:val="25"/>
          <w:szCs w:val="25"/>
          <w:spacing w:val="6"/>
        </w:rPr>
        <w:t xml:space="preserve"> </w:t>
      </w:r>
      <w:r>
        <w:rPr>
          <w:rFonts w:ascii="SimSun" w:hAnsi="SimSun" w:eastAsia="SimSun" w:cs="SimSun"/>
          <w:sz w:val="25"/>
          <w:szCs w:val="25"/>
          <w:spacing w:val="-6"/>
        </w:rPr>
        <w:t>的统筹协调。巩固农产品主产区格局。将位于成都平原、安宁河谷、川南和川</w:t>
      </w:r>
      <w:r>
        <w:rPr>
          <w:rFonts w:ascii="SimSun" w:hAnsi="SimSun" w:eastAsia="SimSun" w:cs="SimSun"/>
          <w:sz w:val="25"/>
          <w:szCs w:val="25"/>
          <w:spacing w:val="1"/>
        </w:rPr>
        <w:t xml:space="preserve"> </w:t>
      </w:r>
      <w:r>
        <w:rPr>
          <w:rFonts w:ascii="SimSun" w:hAnsi="SimSun" w:eastAsia="SimSun" w:cs="SimSun"/>
          <w:sz w:val="25"/>
          <w:szCs w:val="25"/>
          <w:spacing w:val="-6"/>
        </w:rPr>
        <w:t>东北地区，农业生产适宜条件良好、优质耕地分布密集的32个县确定为国家级</w:t>
      </w:r>
    </w:p>
    <w:p>
      <w:pPr>
        <w:spacing w:line="348" w:lineRule="auto"/>
        <w:sectPr>
          <w:headerReference w:type="default" r:id="rId29"/>
          <w:footerReference w:type="default" r:id="rId30"/>
          <w:pgSz w:w="11910" w:h="16840"/>
          <w:pgMar w:top="1167" w:right="1706" w:bottom="1023" w:left="1675" w:header="874" w:footer="776" w:gutter="0"/>
        </w:sectPr>
        <w:rPr>
          <w:rFonts w:ascii="SimSun" w:hAnsi="SimSun" w:eastAsia="SimSun" w:cs="SimSun"/>
          <w:sz w:val="25"/>
          <w:szCs w:val="25"/>
        </w:rPr>
      </w:pPr>
    </w:p>
    <w:p>
      <w:pPr>
        <w:ind w:right="43"/>
        <w:spacing w:before="277" w:line="375" w:lineRule="auto"/>
        <w:jc w:val="both"/>
        <w:rPr>
          <w:rFonts w:ascii="SimSun" w:hAnsi="SimSun" w:eastAsia="SimSun" w:cs="SimSun"/>
          <w:sz w:val="23"/>
          <w:szCs w:val="23"/>
        </w:rPr>
      </w:pPr>
      <w:r>
        <w:rPr>
          <w:rFonts w:ascii="SimSun" w:hAnsi="SimSun" w:eastAsia="SimSun" w:cs="SimSun"/>
          <w:sz w:val="23"/>
          <w:szCs w:val="23"/>
          <w:spacing w:val="13"/>
        </w:rPr>
        <w:t>农产品主产区。同时根据水土匹配关系，将位于川东北山地、盆地西缘、攀西</w:t>
      </w:r>
      <w:r>
        <w:rPr>
          <w:rFonts w:ascii="SimSun" w:hAnsi="SimSun" w:eastAsia="SimSun" w:cs="SimSun"/>
          <w:sz w:val="23"/>
          <w:szCs w:val="23"/>
          <w:spacing w:val="15"/>
        </w:rPr>
        <w:t xml:space="preserve"> </w:t>
      </w:r>
      <w:r>
        <w:rPr>
          <w:rFonts w:ascii="SimSun" w:hAnsi="SimSun" w:eastAsia="SimSun" w:cs="SimSun"/>
          <w:sz w:val="23"/>
          <w:szCs w:val="23"/>
          <w:spacing w:val="21"/>
        </w:rPr>
        <w:t>山地和川西高原区域的部分县(市、区)确定为农牧业生产协同区</w:t>
      </w:r>
      <w:r>
        <w:rPr>
          <w:rFonts w:ascii="SimSun" w:hAnsi="SimSun" w:eastAsia="SimSun" w:cs="SimSun"/>
          <w:sz w:val="23"/>
          <w:szCs w:val="23"/>
          <w:spacing w:val="20"/>
        </w:rPr>
        <w:t>，推动有条</w:t>
      </w:r>
      <w:r>
        <w:rPr>
          <w:rFonts w:ascii="SimSun" w:hAnsi="SimSun" w:eastAsia="SimSun" w:cs="SimSun"/>
          <w:sz w:val="23"/>
          <w:szCs w:val="23"/>
        </w:rPr>
        <w:t xml:space="preserve"> </w:t>
      </w:r>
      <w:r>
        <w:rPr>
          <w:rFonts w:ascii="SimSun" w:hAnsi="SimSun" w:eastAsia="SimSun" w:cs="SimSun"/>
          <w:sz w:val="23"/>
          <w:szCs w:val="23"/>
          <w:spacing w:val="14"/>
        </w:rPr>
        <w:t>件的其他主体功能区协调承载部分农牧生产功能，增强全省多元化农产品供给</w:t>
      </w:r>
      <w:r>
        <w:rPr>
          <w:rFonts w:ascii="SimSun" w:hAnsi="SimSun" w:eastAsia="SimSun" w:cs="SimSun"/>
          <w:sz w:val="23"/>
          <w:szCs w:val="23"/>
          <w:spacing w:val="2"/>
        </w:rPr>
        <w:t xml:space="preserve"> </w:t>
      </w:r>
      <w:r>
        <w:rPr>
          <w:rFonts w:ascii="SimSun" w:hAnsi="SimSun" w:eastAsia="SimSun" w:cs="SimSun"/>
          <w:sz w:val="23"/>
          <w:szCs w:val="23"/>
          <w:spacing w:val="-8"/>
        </w:rPr>
        <w:t>能力</w:t>
      </w:r>
      <w:r>
        <w:rPr>
          <w:rFonts w:ascii="SimSun" w:hAnsi="SimSun" w:eastAsia="SimSun" w:cs="SimSun"/>
          <w:sz w:val="23"/>
          <w:szCs w:val="23"/>
          <w:spacing w:val="-60"/>
        </w:rPr>
        <w:t xml:space="preserve"> </w:t>
      </w:r>
      <w:r>
        <w:rPr>
          <w:rFonts w:ascii="SimSun" w:hAnsi="SimSun" w:eastAsia="SimSun" w:cs="SimSun"/>
          <w:sz w:val="23"/>
          <w:szCs w:val="23"/>
          <w:spacing w:val="-8"/>
        </w:rPr>
        <w:t>…</w:t>
      </w:r>
      <w:r>
        <w:rPr>
          <w:rFonts w:ascii="SimSun" w:hAnsi="SimSun" w:eastAsia="SimSun" w:cs="SimSun"/>
          <w:sz w:val="23"/>
          <w:szCs w:val="23"/>
          <w:spacing w:val="-62"/>
        </w:rPr>
        <w:t xml:space="preserve"> </w:t>
      </w:r>
      <w:r>
        <w:rPr>
          <w:rFonts w:ascii="SimSun" w:hAnsi="SimSun" w:eastAsia="SimSun" w:cs="SimSun"/>
          <w:sz w:val="23"/>
          <w:szCs w:val="23"/>
          <w:spacing w:val="-8"/>
        </w:rPr>
        <w:t>…</w:t>
      </w:r>
      <w:r>
        <w:rPr>
          <w:rFonts w:ascii="SimSun" w:hAnsi="SimSun" w:eastAsia="SimSun" w:cs="SimSun"/>
          <w:sz w:val="23"/>
          <w:szCs w:val="23"/>
          <w:spacing w:val="-86"/>
        </w:rPr>
        <w:t xml:space="preserve"> </w:t>
      </w:r>
      <w:r>
        <w:rPr>
          <w:rFonts w:ascii="SimSun" w:hAnsi="SimSun" w:eastAsia="SimSun" w:cs="SimSun"/>
          <w:sz w:val="23"/>
          <w:szCs w:val="23"/>
          <w:spacing w:val="-8"/>
        </w:rPr>
        <w:t>。</w:t>
      </w:r>
    </w:p>
    <w:p>
      <w:pPr>
        <w:ind w:right="41" w:firstLine="490"/>
        <w:spacing w:before="1" w:line="376" w:lineRule="auto"/>
        <w:rPr>
          <w:rFonts w:ascii="SimSun" w:hAnsi="SimSun" w:eastAsia="SimSun" w:cs="SimSun"/>
          <w:sz w:val="23"/>
          <w:szCs w:val="23"/>
        </w:rPr>
      </w:pPr>
      <w:r>
        <w:rPr>
          <w:rFonts w:ascii="SimSun" w:hAnsi="SimSun" w:eastAsia="SimSun" w:cs="SimSun"/>
          <w:sz w:val="23"/>
          <w:szCs w:val="23"/>
          <w:spacing w:val="18"/>
        </w:rPr>
        <w:t>本项目为</w:t>
      </w:r>
      <w:r>
        <w:rPr>
          <w:rFonts w:ascii="SimSun" w:hAnsi="SimSun" w:eastAsia="SimSun" w:cs="SimSun"/>
          <w:sz w:val="23"/>
          <w:szCs w:val="23"/>
          <w:spacing w:val="-47"/>
        </w:rPr>
        <w:t xml:space="preserve"> </w:t>
      </w:r>
      <w:r>
        <w:rPr>
          <w:rFonts w:ascii="Times New Roman" w:hAnsi="Times New Roman" w:eastAsia="Times New Roman" w:cs="Times New Roman"/>
          <w:sz w:val="23"/>
          <w:szCs w:val="23"/>
          <w:spacing w:val="18"/>
        </w:rPr>
        <w:t>“C1351</w:t>
      </w:r>
      <w:r>
        <w:rPr>
          <w:rFonts w:ascii="Times New Roman" w:hAnsi="Times New Roman" w:eastAsia="Times New Roman" w:cs="Times New Roman"/>
          <w:sz w:val="23"/>
          <w:szCs w:val="23"/>
          <w:spacing w:val="35"/>
          <w:w w:val="101"/>
        </w:rPr>
        <w:t xml:space="preserve"> </w:t>
      </w:r>
      <w:r>
        <w:rPr>
          <w:rFonts w:ascii="SimSun" w:hAnsi="SimSun" w:eastAsia="SimSun" w:cs="SimSun"/>
          <w:sz w:val="23"/>
          <w:szCs w:val="23"/>
          <w:spacing w:val="18"/>
        </w:rPr>
        <w:t>牲畜屠宰”,属于农副食品加工，符合该区域主</w:t>
      </w:r>
      <w:r>
        <w:rPr>
          <w:rFonts w:ascii="SimSun" w:hAnsi="SimSun" w:eastAsia="SimSun" w:cs="SimSun"/>
          <w:sz w:val="23"/>
          <w:szCs w:val="23"/>
          <w:spacing w:val="17"/>
        </w:rPr>
        <w:t>体功能</w:t>
      </w:r>
      <w:r>
        <w:rPr>
          <w:rFonts w:ascii="SimSun" w:hAnsi="SimSun" w:eastAsia="SimSun" w:cs="SimSun"/>
          <w:sz w:val="23"/>
          <w:szCs w:val="23"/>
        </w:rPr>
        <w:t xml:space="preserve"> </w:t>
      </w:r>
      <w:r>
        <w:rPr>
          <w:rFonts w:ascii="SimSun" w:hAnsi="SimSun" w:eastAsia="SimSun" w:cs="SimSun"/>
          <w:sz w:val="23"/>
          <w:szCs w:val="23"/>
          <w:spacing w:val="13"/>
        </w:rPr>
        <w:t>定位，因此本项目的建设与《四川省国土空间规划(2021-2035年)》相符。</w:t>
      </w:r>
    </w:p>
    <w:p>
      <w:pPr>
        <w:ind w:left="110"/>
        <w:spacing w:before="1" w:line="235" w:lineRule="auto"/>
        <w:rPr>
          <w:rFonts w:ascii="SimHei" w:hAnsi="SimHei" w:eastAsia="SimHei" w:cs="SimHei"/>
          <w:sz w:val="25"/>
          <w:szCs w:val="25"/>
        </w:rPr>
      </w:pPr>
      <w:r>
        <w:rPr>
          <w:rFonts w:ascii="SimSun" w:hAnsi="SimSun" w:eastAsia="SimSun" w:cs="SimSun"/>
          <w:sz w:val="16"/>
          <w:szCs w:val="16"/>
          <w:spacing w:val="-5"/>
          <w:position w:val="11"/>
        </w:rPr>
        <w:t>四川省国土空间规划(2021</w:t>
      </w:r>
      <w:r>
        <w:rPr>
          <w:rFonts w:ascii="SimSun" w:hAnsi="SimSun" w:eastAsia="SimSun" w:cs="SimSun"/>
          <w:sz w:val="16"/>
          <w:szCs w:val="16"/>
          <w:spacing w:val="-5"/>
          <w:position w:val="3"/>
        </w:rPr>
        <w:t>—</w:t>
      </w:r>
      <w:r>
        <w:rPr>
          <w:rFonts w:ascii="SimHei" w:hAnsi="SimHei" w:eastAsia="SimHei" w:cs="SimHei"/>
          <w:sz w:val="25"/>
          <w:szCs w:val="25"/>
          <w:b/>
          <w:bCs/>
          <w:spacing w:val="-39"/>
          <w:w w:val="79"/>
          <w:position w:val="3"/>
        </w:rPr>
        <w:t>国</w:t>
      </w:r>
      <w:r>
        <w:rPr>
          <w:rFonts w:ascii="SimSun" w:hAnsi="SimSun" w:eastAsia="SimSun" w:cs="SimSun"/>
          <w:sz w:val="16"/>
          <w:szCs w:val="16"/>
          <w:b/>
          <w:bCs/>
          <w:spacing w:val="-5"/>
          <w:w w:val="36"/>
          <w:position w:val="3"/>
        </w:rPr>
        <w:t>203</w:t>
      </w:r>
      <w:r>
        <w:rPr>
          <w:rFonts w:ascii="SimHei" w:hAnsi="SimHei" w:eastAsia="SimHei" w:cs="SimHei"/>
          <w:sz w:val="25"/>
          <w:szCs w:val="25"/>
          <w:b/>
          <w:bCs/>
          <w:spacing w:val="-9"/>
          <w:position w:val="1"/>
        </w:rPr>
        <w:t>家</w:t>
      </w:r>
      <w:r>
        <w:rPr>
          <w:rFonts w:ascii="SimSun" w:hAnsi="SimSun" w:eastAsia="SimSun" w:cs="SimSun"/>
          <w:sz w:val="16"/>
          <w:szCs w:val="16"/>
          <w:b/>
          <w:bCs/>
          <w:spacing w:val="-3"/>
          <w:w w:val="25"/>
          <w:position w:val="1"/>
        </w:rPr>
        <w:t>5年</w:t>
      </w:r>
      <w:r>
        <w:rPr>
          <w:rFonts w:ascii="SimSun" w:hAnsi="SimSun" w:eastAsia="SimSun" w:cs="SimSun"/>
          <w:sz w:val="16"/>
          <w:szCs w:val="16"/>
          <w:b/>
          <w:bCs/>
          <w:spacing w:val="-3"/>
          <w:w w:val="25"/>
          <w:position w:val="11"/>
        </w:rPr>
        <w:t>)</w:t>
      </w:r>
      <w:r>
        <w:rPr>
          <w:rFonts w:ascii="SimHei" w:hAnsi="SimHei" w:eastAsia="SimHei" w:cs="SimHei"/>
          <w:sz w:val="25"/>
          <w:szCs w:val="25"/>
          <w:b/>
          <w:bCs/>
          <w:spacing w:val="-15"/>
          <w:position w:val="-6"/>
        </w:rPr>
        <w:t>级</w:t>
      </w:r>
      <w:r>
        <w:rPr>
          <w:rFonts w:ascii="SimHei" w:hAnsi="SimHei" w:eastAsia="SimHei" w:cs="SimHei"/>
          <w:sz w:val="25"/>
          <w:szCs w:val="25"/>
          <w:spacing w:val="-39"/>
          <w:position w:val="-6"/>
        </w:rPr>
        <w:t xml:space="preserve"> </w:t>
      </w:r>
      <w:r>
        <w:rPr>
          <w:rFonts w:ascii="SimHei" w:hAnsi="SimHei" w:eastAsia="SimHei" w:cs="SimHei"/>
          <w:sz w:val="25"/>
          <w:szCs w:val="25"/>
          <w:b/>
          <w:bCs/>
          <w:spacing w:val="-15"/>
          <w:position w:val="-6"/>
        </w:rPr>
        <w:t>和</w:t>
      </w:r>
      <w:r>
        <w:rPr>
          <w:rFonts w:ascii="SimHei" w:hAnsi="SimHei" w:eastAsia="SimHei" w:cs="SimHei"/>
          <w:sz w:val="25"/>
          <w:szCs w:val="25"/>
          <w:spacing w:val="-45"/>
          <w:position w:val="-6"/>
        </w:rPr>
        <w:t xml:space="preserve"> </w:t>
      </w:r>
      <w:r>
        <w:rPr>
          <w:rFonts w:ascii="SimHei" w:hAnsi="SimHei" w:eastAsia="SimHei" w:cs="SimHei"/>
          <w:sz w:val="25"/>
          <w:szCs w:val="25"/>
          <w:b/>
          <w:bCs/>
          <w:spacing w:val="-15"/>
          <w:position w:val="-6"/>
        </w:rPr>
        <w:t>省</w:t>
      </w:r>
      <w:r>
        <w:rPr>
          <w:rFonts w:ascii="SimHei" w:hAnsi="SimHei" w:eastAsia="SimHei" w:cs="SimHei"/>
          <w:sz w:val="25"/>
          <w:szCs w:val="25"/>
          <w:spacing w:val="-44"/>
          <w:position w:val="-6"/>
        </w:rPr>
        <w:t xml:space="preserve"> </w:t>
      </w:r>
      <w:r>
        <w:rPr>
          <w:rFonts w:ascii="SimHei" w:hAnsi="SimHei" w:eastAsia="SimHei" w:cs="SimHei"/>
          <w:sz w:val="25"/>
          <w:szCs w:val="25"/>
          <w:b/>
          <w:bCs/>
          <w:spacing w:val="-15"/>
          <w:position w:val="-6"/>
        </w:rPr>
        <w:t>级</w:t>
      </w:r>
      <w:r>
        <w:rPr>
          <w:rFonts w:ascii="SimHei" w:hAnsi="SimHei" w:eastAsia="SimHei" w:cs="SimHei"/>
          <w:sz w:val="25"/>
          <w:szCs w:val="25"/>
          <w:spacing w:val="-43"/>
          <w:position w:val="-6"/>
        </w:rPr>
        <w:t xml:space="preserve"> </w:t>
      </w:r>
      <w:r>
        <w:rPr>
          <w:rFonts w:ascii="SimHei" w:hAnsi="SimHei" w:eastAsia="SimHei" w:cs="SimHei"/>
          <w:sz w:val="25"/>
          <w:szCs w:val="25"/>
          <w:b/>
          <w:bCs/>
          <w:spacing w:val="-15"/>
          <w:position w:val="-6"/>
        </w:rPr>
        <w:t>主</w:t>
      </w:r>
      <w:r>
        <w:rPr>
          <w:rFonts w:ascii="SimHei" w:hAnsi="SimHei" w:eastAsia="SimHei" w:cs="SimHei"/>
          <w:sz w:val="25"/>
          <w:szCs w:val="25"/>
          <w:spacing w:val="-48"/>
          <w:position w:val="-6"/>
        </w:rPr>
        <w:t xml:space="preserve"> </w:t>
      </w:r>
      <w:r>
        <w:rPr>
          <w:rFonts w:ascii="SimHei" w:hAnsi="SimHei" w:eastAsia="SimHei" w:cs="SimHei"/>
          <w:sz w:val="25"/>
          <w:szCs w:val="25"/>
          <w:b/>
          <w:bCs/>
          <w:spacing w:val="-15"/>
          <w:position w:val="-6"/>
        </w:rPr>
        <w:t>体</w:t>
      </w:r>
      <w:r>
        <w:rPr>
          <w:rFonts w:ascii="SimHei" w:hAnsi="SimHei" w:eastAsia="SimHei" w:cs="SimHei"/>
          <w:sz w:val="25"/>
          <w:szCs w:val="25"/>
          <w:spacing w:val="-45"/>
          <w:position w:val="-6"/>
        </w:rPr>
        <w:t xml:space="preserve"> </w:t>
      </w:r>
      <w:r>
        <w:rPr>
          <w:rFonts w:ascii="SimHei" w:hAnsi="SimHei" w:eastAsia="SimHei" w:cs="SimHei"/>
          <w:sz w:val="25"/>
          <w:szCs w:val="25"/>
          <w:b/>
          <w:bCs/>
          <w:spacing w:val="-15"/>
          <w:position w:val="-6"/>
        </w:rPr>
        <w:t>功</w:t>
      </w:r>
      <w:r>
        <w:rPr>
          <w:rFonts w:ascii="SimHei" w:hAnsi="SimHei" w:eastAsia="SimHei" w:cs="SimHei"/>
          <w:sz w:val="25"/>
          <w:szCs w:val="25"/>
          <w:spacing w:val="-38"/>
          <w:position w:val="-6"/>
        </w:rPr>
        <w:t xml:space="preserve"> </w:t>
      </w:r>
      <w:r>
        <w:rPr>
          <w:rFonts w:ascii="SimHei" w:hAnsi="SimHei" w:eastAsia="SimHei" w:cs="SimHei"/>
          <w:sz w:val="25"/>
          <w:szCs w:val="25"/>
          <w:b/>
          <w:bCs/>
          <w:spacing w:val="-15"/>
          <w:position w:val="-6"/>
        </w:rPr>
        <w:t>能</w:t>
      </w:r>
      <w:r>
        <w:rPr>
          <w:rFonts w:ascii="SimHei" w:hAnsi="SimHei" w:eastAsia="SimHei" w:cs="SimHei"/>
          <w:sz w:val="25"/>
          <w:szCs w:val="25"/>
          <w:spacing w:val="-32"/>
          <w:position w:val="-6"/>
        </w:rPr>
        <w:t xml:space="preserve"> </w:t>
      </w:r>
      <w:r>
        <w:rPr>
          <w:rFonts w:ascii="SimHei" w:hAnsi="SimHei" w:eastAsia="SimHei" w:cs="SimHei"/>
          <w:sz w:val="25"/>
          <w:szCs w:val="25"/>
          <w:b/>
          <w:bCs/>
          <w:spacing w:val="-15"/>
          <w:position w:val="-6"/>
        </w:rPr>
        <w:t>区</w:t>
      </w:r>
      <w:r>
        <w:rPr>
          <w:rFonts w:ascii="SimHei" w:hAnsi="SimHei" w:eastAsia="SimHei" w:cs="SimHei"/>
          <w:sz w:val="25"/>
          <w:szCs w:val="25"/>
          <w:spacing w:val="-41"/>
          <w:position w:val="-6"/>
        </w:rPr>
        <w:t xml:space="preserve"> </w:t>
      </w:r>
      <w:r>
        <w:rPr>
          <w:rFonts w:ascii="SimHei" w:hAnsi="SimHei" w:eastAsia="SimHei" w:cs="SimHei"/>
          <w:sz w:val="25"/>
          <w:szCs w:val="25"/>
          <w:b/>
          <w:bCs/>
          <w:spacing w:val="-15"/>
          <w:position w:val="-6"/>
        </w:rPr>
        <w:t>分</w:t>
      </w:r>
      <w:r>
        <w:rPr>
          <w:rFonts w:ascii="SimHei" w:hAnsi="SimHei" w:eastAsia="SimHei" w:cs="SimHei"/>
          <w:sz w:val="25"/>
          <w:szCs w:val="25"/>
          <w:spacing w:val="-49"/>
          <w:position w:val="-6"/>
        </w:rPr>
        <w:t xml:space="preserve"> </w:t>
      </w:r>
      <w:r>
        <w:rPr>
          <w:rFonts w:ascii="SimHei" w:hAnsi="SimHei" w:eastAsia="SimHei" w:cs="SimHei"/>
          <w:sz w:val="25"/>
          <w:szCs w:val="25"/>
          <w:b/>
          <w:bCs/>
          <w:spacing w:val="-15"/>
          <w:position w:val="-6"/>
        </w:rPr>
        <w:t>布</w:t>
      </w:r>
      <w:r>
        <w:rPr>
          <w:rFonts w:ascii="SimHei" w:hAnsi="SimHei" w:eastAsia="SimHei" w:cs="SimHei"/>
          <w:sz w:val="25"/>
          <w:szCs w:val="25"/>
          <w:spacing w:val="-32"/>
          <w:position w:val="-6"/>
        </w:rPr>
        <w:t xml:space="preserve"> </w:t>
      </w:r>
      <w:r>
        <w:rPr>
          <w:rFonts w:ascii="SimHei" w:hAnsi="SimHei" w:eastAsia="SimHei" w:cs="SimHei"/>
          <w:sz w:val="25"/>
          <w:szCs w:val="25"/>
          <w:b/>
          <w:bCs/>
          <w:spacing w:val="-15"/>
          <w:position w:val="-6"/>
        </w:rPr>
        <w:t>图</w:t>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ind w:left="190"/>
        <w:spacing w:before="39" w:line="223" w:lineRule="auto"/>
        <w:rPr>
          <w:rFonts w:ascii="SimHei" w:hAnsi="SimHei" w:eastAsia="SimHei" w:cs="SimHei"/>
          <w:sz w:val="12"/>
          <w:szCs w:val="12"/>
        </w:rPr>
      </w:pPr>
      <w:r>
        <w:drawing>
          <wp:anchor distT="0" distB="0" distL="0" distR="0" simplePos="0" relativeHeight="251680768" behindDoc="0" locked="0" layoutInCell="1" allowOverlap="1">
            <wp:simplePos x="0" y="0"/>
            <wp:positionH relativeFrom="column">
              <wp:posOffset>19058</wp:posOffset>
            </wp:positionH>
            <wp:positionV relativeFrom="paragraph">
              <wp:posOffset>-3286354</wp:posOffset>
            </wp:positionV>
            <wp:extent cx="5219727" cy="3333667"/>
            <wp:effectExtent l="0" t="0" r="0" b="0"/>
            <wp:wrapNone/>
            <wp:docPr id="8" name="IM 8"/>
            <wp:cNvGraphicFramePr/>
            <a:graphic>
              <a:graphicData uri="http://schemas.openxmlformats.org/drawingml/2006/picture">
                <pic:pic>
                  <pic:nvPicPr>
                    <pic:cNvPr id="8" name="IM 8"/>
                    <pic:cNvPicPr/>
                  </pic:nvPicPr>
                  <pic:blipFill>
                    <a:blip r:embed="rId32"/>
                    <a:stretch>
                      <a:fillRect/>
                    </a:stretch>
                  </pic:blipFill>
                  <pic:spPr>
                    <a:xfrm rot="0">
                      <a:off x="0" y="0"/>
                      <a:ext cx="5219727" cy="3333667"/>
                    </a:xfrm>
                    <a:prstGeom prst="rect">
                      <a:avLst/>
                    </a:prstGeom>
                  </pic:spPr>
                </pic:pic>
              </a:graphicData>
            </a:graphic>
          </wp:anchor>
        </w:drawing>
      </w:r>
      <w:r>
        <w:rPr>
          <w:rFonts w:ascii="SimSun" w:hAnsi="SimSun" w:eastAsia="SimSun" w:cs="SimSun"/>
          <w:sz w:val="12"/>
          <w:szCs w:val="12"/>
          <w:spacing w:val="-2"/>
        </w:rPr>
        <w:t>C</w:t>
      </w:r>
      <w:r>
        <w:rPr>
          <w:rFonts w:ascii="SimSun" w:hAnsi="SimSun" w:eastAsia="SimSun" w:cs="SimSun"/>
          <w:sz w:val="12"/>
          <w:szCs w:val="12"/>
          <w:spacing w:val="14"/>
        </w:rPr>
        <w:t xml:space="preserve"> </w:t>
      </w:r>
      <w:r>
        <w:rPr>
          <w:rFonts w:ascii="SimHei" w:hAnsi="SimHei" w:eastAsia="SimHei" w:cs="SimHei"/>
          <w:sz w:val="12"/>
          <w:szCs w:val="12"/>
          <w:spacing w:val="-2"/>
        </w:rPr>
        <w:t>二=年八</w:t>
      </w:r>
    </w:p>
    <w:p>
      <w:pPr>
        <w:ind w:left="2133"/>
        <w:spacing w:before="74" w:line="219" w:lineRule="auto"/>
        <w:rPr>
          <w:rFonts w:ascii="SimSun" w:hAnsi="SimSun" w:eastAsia="SimSun" w:cs="SimSun"/>
          <w:sz w:val="23"/>
          <w:szCs w:val="23"/>
        </w:rPr>
      </w:pPr>
      <w:r>
        <w:rPr>
          <w:rFonts w:ascii="SimSun" w:hAnsi="SimSun" w:eastAsia="SimSun" w:cs="SimSun"/>
          <w:sz w:val="23"/>
          <w:szCs w:val="23"/>
          <w:b/>
          <w:bCs/>
        </w:rPr>
        <w:t>图1.4-1国家级和省级主体功能区分布图</w:t>
      </w:r>
    </w:p>
    <w:p>
      <w:pPr>
        <w:ind w:left="623"/>
        <w:spacing w:before="181" w:line="221" w:lineRule="auto"/>
        <w:rPr>
          <w:rFonts w:ascii="SimSun" w:hAnsi="SimSun" w:eastAsia="SimSun" w:cs="SimSun"/>
          <w:sz w:val="25"/>
          <w:szCs w:val="25"/>
        </w:rPr>
      </w:pPr>
      <w:r>
        <w:rPr>
          <w:rFonts w:ascii="SimSun" w:hAnsi="SimSun" w:eastAsia="SimSun" w:cs="SimSun"/>
          <w:sz w:val="25"/>
          <w:szCs w:val="25"/>
          <w:b/>
          <w:bCs/>
          <w:spacing w:val="-4"/>
        </w:rPr>
        <w:t>(2</w:t>
      </w:r>
      <w:r>
        <w:rPr>
          <w:rFonts w:ascii="SimSun" w:hAnsi="SimSun" w:eastAsia="SimSun" w:cs="SimSun"/>
          <w:sz w:val="25"/>
          <w:szCs w:val="25"/>
          <w:spacing w:val="-68"/>
        </w:rPr>
        <w:t xml:space="preserve"> </w:t>
      </w:r>
      <w:r>
        <w:rPr>
          <w:rFonts w:ascii="SimSun" w:hAnsi="SimSun" w:eastAsia="SimSun" w:cs="SimSun"/>
          <w:sz w:val="25"/>
          <w:szCs w:val="25"/>
          <w:b/>
          <w:bCs/>
          <w:spacing w:val="-4"/>
        </w:rPr>
        <w:t>)生态功能区划</w:t>
      </w:r>
    </w:p>
    <w:p>
      <w:pPr>
        <w:ind w:right="110" w:firstLine="480"/>
        <w:spacing w:before="209" w:line="371" w:lineRule="auto"/>
        <w:rPr>
          <w:rFonts w:ascii="SimSun" w:hAnsi="SimSun" w:eastAsia="SimSun" w:cs="SimSun"/>
          <w:sz w:val="23"/>
          <w:szCs w:val="23"/>
        </w:rPr>
      </w:pPr>
      <w:r>
        <w:rPr>
          <w:rFonts w:ascii="SimSun" w:hAnsi="SimSun" w:eastAsia="SimSun" w:cs="SimSun"/>
          <w:sz w:val="23"/>
          <w:szCs w:val="23"/>
          <w:spacing w:val="22"/>
        </w:rPr>
        <w:t>根据《四川省生态功能区划》,四川省划分了一级区(生态区)4个，二</w:t>
      </w:r>
      <w:r>
        <w:rPr>
          <w:rFonts w:ascii="SimSun" w:hAnsi="SimSun" w:eastAsia="SimSun" w:cs="SimSun"/>
          <w:sz w:val="23"/>
          <w:szCs w:val="23"/>
          <w:spacing w:val="3"/>
        </w:rPr>
        <w:t xml:space="preserve">  </w:t>
      </w:r>
      <w:r>
        <w:rPr>
          <w:rFonts w:ascii="SimSun" w:hAnsi="SimSun" w:eastAsia="SimSun" w:cs="SimSun"/>
          <w:sz w:val="23"/>
          <w:szCs w:val="23"/>
          <w:spacing w:val="24"/>
        </w:rPr>
        <w:t>级区(生态亚区)13个，三级区(生态功能区)36个。本项目所在的绵阳市安</w:t>
      </w:r>
      <w:r>
        <w:rPr>
          <w:rFonts w:ascii="SimSun" w:hAnsi="SimSun" w:eastAsia="SimSun" w:cs="SimSun"/>
          <w:sz w:val="23"/>
          <w:szCs w:val="23"/>
          <w:spacing w:val="8"/>
        </w:rPr>
        <w:t xml:space="preserve"> </w:t>
      </w:r>
      <w:r>
        <w:rPr>
          <w:rFonts w:ascii="SimSun" w:hAnsi="SimSun" w:eastAsia="SimSun" w:cs="SimSun"/>
          <w:sz w:val="23"/>
          <w:szCs w:val="23"/>
          <w:spacing w:val="9"/>
        </w:rPr>
        <w:t>州区所属的级区为</w:t>
      </w:r>
      <w:r>
        <w:rPr>
          <w:rFonts w:ascii="Times New Roman" w:hAnsi="Times New Roman" w:eastAsia="Times New Roman" w:cs="Times New Roman"/>
          <w:sz w:val="23"/>
          <w:szCs w:val="23"/>
          <w:spacing w:val="9"/>
        </w:rPr>
        <w:t>I</w:t>
      </w:r>
      <w:r>
        <w:rPr>
          <w:rFonts w:ascii="SimSun" w:hAnsi="SimSun" w:eastAsia="SimSun" w:cs="SimSun"/>
          <w:sz w:val="23"/>
          <w:szCs w:val="23"/>
          <w:spacing w:val="9"/>
        </w:rPr>
        <w:t>级四川盆地亚热带湿润气候生</w:t>
      </w:r>
      <w:r>
        <w:rPr>
          <w:rFonts w:ascii="SimSun" w:hAnsi="SimSun" w:eastAsia="SimSun" w:cs="SimSun"/>
          <w:sz w:val="23"/>
          <w:szCs w:val="23"/>
          <w:spacing w:val="8"/>
        </w:rPr>
        <w:t>态区，</w:t>
      </w:r>
      <w:r>
        <w:rPr>
          <w:rFonts w:ascii="Times New Roman" w:hAnsi="Times New Roman" w:eastAsia="Times New Roman" w:cs="Times New Roman"/>
          <w:sz w:val="23"/>
          <w:szCs w:val="23"/>
          <w:spacing w:val="8"/>
        </w:rPr>
        <w:t>I-1</w:t>
      </w:r>
      <w:r>
        <w:rPr>
          <w:rFonts w:ascii="Times New Roman" w:hAnsi="Times New Roman" w:eastAsia="Times New Roman" w:cs="Times New Roman"/>
          <w:sz w:val="23"/>
          <w:szCs w:val="23"/>
          <w:spacing w:val="20"/>
        </w:rPr>
        <w:t xml:space="preserve"> </w:t>
      </w:r>
      <w:r>
        <w:rPr>
          <w:rFonts w:ascii="SimSun" w:hAnsi="SimSun" w:eastAsia="SimSun" w:cs="SimSun"/>
          <w:sz w:val="23"/>
          <w:szCs w:val="23"/>
          <w:spacing w:val="8"/>
        </w:rPr>
        <w:t>成都平原城市与农</w:t>
      </w:r>
      <w:r>
        <w:rPr>
          <w:rFonts w:ascii="SimSun" w:hAnsi="SimSun" w:eastAsia="SimSun" w:cs="SimSun"/>
          <w:sz w:val="23"/>
          <w:szCs w:val="23"/>
        </w:rPr>
        <w:t xml:space="preserve">  </w:t>
      </w:r>
      <w:r>
        <w:rPr>
          <w:rFonts w:ascii="SimSun" w:hAnsi="SimSun" w:eastAsia="SimSun" w:cs="SimSun"/>
          <w:sz w:val="23"/>
          <w:szCs w:val="23"/>
          <w:spacing w:val="2"/>
        </w:rPr>
        <w:t>业生态亚区，</w:t>
      </w:r>
      <w:r>
        <w:rPr>
          <w:rFonts w:ascii="SimSun" w:hAnsi="SimSun" w:eastAsia="SimSun" w:cs="SimSun"/>
          <w:sz w:val="23"/>
          <w:szCs w:val="23"/>
          <w:spacing w:val="-54"/>
        </w:rPr>
        <w:t xml:space="preserve"> </w:t>
      </w:r>
      <w:r>
        <w:rPr>
          <w:rFonts w:ascii="Times New Roman" w:hAnsi="Times New Roman" w:eastAsia="Times New Roman" w:cs="Times New Roman"/>
          <w:sz w:val="23"/>
          <w:szCs w:val="23"/>
          <w:spacing w:val="2"/>
        </w:rPr>
        <w:t>I-1-1</w:t>
      </w:r>
      <w:r>
        <w:rPr>
          <w:rFonts w:ascii="Times New Roman" w:hAnsi="Times New Roman" w:eastAsia="Times New Roman" w:cs="Times New Roman"/>
          <w:sz w:val="23"/>
          <w:szCs w:val="23"/>
          <w:spacing w:val="18"/>
          <w:w w:val="101"/>
        </w:rPr>
        <w:t xml:space="preserve"> </w:t>
      </w:r>
      <w:r>
        <w:rPr>
          <w:rFonts w:ascii="SimSun" w:hAnsi="SimSun" w:eastAsia="SimSun" w:cs="SimSun"/>
          <w:sz w:val="23"/>
          <w:szCs w:val="23"/>
          <w:spacing w:val="2"/>
        </w:rPr>
        <w:t>平原北部城市-农业生态功能区。</w:t>
      </w:r>
    </w:p>
    <w:p>
      <w:pPr>
        <w:spacing w:line="371" w:lineRule="auto"/>
        <w:sectPr>
          <w:headerReference w:type="default" r:id="rId5"/>
          <w:footerReference w:type="default" r:id="rId31"/>
          <w:pgSz w:w="11910" w:h="16840"/>
          <w:pgMar w:top="1219" w:right="1786" w:bottom="1057" w:left="1779" w:header="865" w:footer="759" w:gutter="0"/>
        </w:sectPr>
        <w:rPr>
          <w:rFonts w:ascii="SimSun" w:hAnsi="SimSun" w:eastAsia="SimSun" w:cs="SimSun"/>
          <w:sz w:val="23"/>
          <w:szCs w:val="23"/>
        </w:rPr>
      </w:pPr>
    </w:p>
    <w:p>
      <w:pPr>
        <w:ind w:firstLine="50"/>
        <w:spacing w:before="209" w:line="6700" w:lineRule="exact"/>
        <w:rPr/>
      </w:pPr>
      <w:r>
        <w:rPr>
          <w:position w:val="-133"/>
        </w:rPr>
        <w:drawing>
          <wp:inline distT="0" distB="0" distL="0" distR="0">
            <wp:extent cx="5187963" cy="4254475"/>
            <wp:effectExtent l="0" t="0" r="0" b="0"/>
            <wp:docPr id="10" name="IM 10"/>
            <wp:cNvGraphicFramePr/>
            <a:graphic>
              <a:graphicData uri="http://schemas.openxmlformats.org/drawingml/2006/picture">
                <pic:pic>
                  <pic:nvPicPr>
                    <pic:cNvPr id="10" name="IM 10"/>
                    <pic:cNvPicPr/>
                  </pic:nvPicPr>
                  <pic:blipFill>
                    <a:blip r:embed="rId35"/>
                    <a:stretch>
                      <a:fillRect/>
                    </a:stretch>
                  </pic:blipFill>
                  <pic:spPr>
                    <a:xfrm rot="0">
                      <a:off x="0" y="0"/>
                      <a:ext cx="5187963" cy="4254475"/>
                    </a:xfrm>
                    <a:prstGeom prst="rect">
                      <a:avLst/>
                    </a:prstGeom>
                  </pic:spPr>
                </pic:pic>
              </a:graphicData>
            </a:graphic>
          </wp:inline>
        </w:drawing>
      </w:r>
    </w:p>
    <w:p>
      <w:pPr>
        <w:ind w:left="2603"/>
        <w:spacing w:before="85" w:line="219" w:lineRule="auto"/>
        <w:rPr>
          <w:rFonts w:ascii="SimSun" w:hAnsi="SimSun" w:eastAsia="SimSun" w:cs="SimSun"/>
          <w:sz w:val="21"/>
          <w:szCs w:val="21"/>
        </w:rPr>
      </w:pPr>
      <w:r>
        <w:rPr>
          <w:rFonts w:ascii="SimSun" w:hAnsi="SimSun" w:eastAsia="SimSun" w:cs="SimSun"/>
          <w:sz w:val="21"/>
          <w:szCs w:val="21"/>
          <w:b/>
          <w:bCs/>
          <w:spacing w:val="16"/>
        </w:rPr>
        <w:t>图1.4-2四川省生态功能区划图</w:t>
      </w:r>
    </w:p>
    <w:p>
      <w:pPr>
        <w:ind w:left="480"/>
        <w:spacing w:before="193" w:line="219" w:lineRule="auto"/>
        <w:rPr>
          <w:rFonts w:ascii="SimSun" w:hAnsi="SimSun" w:eastAsia="SimSun" w:cs="SimSun"/>
          <w:sz w:val="25"/>
          <w:szCs w:val="25"/>
        </w:rPr>
      </w:pPr>
      <w:r>
        <w:rPr>
          <w:rFonts w:ascii="SimSun" w:hAnsi="SimSun" w:eastAsia="SimSun" w:cs="SimSun"/>
          <w:sz w:val="25"/>
          <w:szCs w:val="25"/>
          <w:spacing w:val="-10"/>
        </w:rPr>
        <w:t>主要生态特征：地貌以冲积平坝和洪积冲积扇平坝为主，有少量浅丘分</w:t>
      </w:r>
    </w:p>
    <w:p>
      <w:pPr>
        <w:ind w:right="90"/>
        <w:spacing w:before="161" w:line="342" w:lineRule="auto"/>
        <w:rPr>
          <w:rFonts w:ascii="SimSun" w:hAnsi="SimSun" w:eastAsia="SimSun" w:cs="SimSun"/>
          <w:sz w:val="25"/>
          <w:szCs w:val="25"/>
        </w:rPr>
      </w:pPr>
      <w:r>
        <w:rPr>
          <w:rFonts w:ascii="SimSun" w:hAnsi="SimSun" w:eastAsia="SimSun" w:cs="SimSun"/>
          <w:sz w:val="25"/>
          <w:szCs w:val="25"/>
          <w:spacing w:val="-3"/>
        </w:rPr>
        <w:t>布。年均气温16℃左右，≥10℃的活动积温4880~5213℃,年均降水953～1280</w:t>
      </w:r>
      <w:r>
        <w:rPr>
          <w:rFonts w:ascii="SimSun" w:hAnsi="SimSun" w:eastAsia="SimSun" w:cs="SimSun"/>
          <w:sz w:val="25"/>
          <w:szCs w:val="25"/>
          <w:spacing w:val="8"/>
        </w:rPr>
        <w:t xml:space="preserve"> </w:t>
      </w:r>
      <w:r>
        <w:rPr>
          <w:rFonts w:ascii="SimSun" w:hAnsi="SimSun" w:eastAsia="SimSun" w:cs="SimSun"/>
          <w:sz w:val="25"/>
          <w:szCs w:val="25"/>
          <w:spacing w:val="-10"/>
        </w:rPr>
        <w:t>毫米。区内河流主要为涪江水系和沱江水系。本区地带性植</w:t>
      </w:r>
      <w:r>
        <w:rPr>
          <w:rFonts w:ascii="SimSun" w:hAnsi="SimSun" w:eastAsia="SimSun" w:cs="SimSun"/>
          <w:sz w:val="25"/>
          <w:szCs w:val="25"/>
          <w:spacing w:val="-11"/>
        </w:rPr>
        <w:t>被类型为亚热带常</w:t>
      </w:r>
      <w:r>
        <w:rPr>
          <w:rFonts w:ascii="SimSun" w:hAnsi="SimSun" w:eastAsia="SimSun" w:cs="SimSun"/>
          <w:sz w:val="25"/>
          <w:szCs w:val="25"/>
        </w:rPr>
        <w:t xml:space="preserve"> </w:t>
      </w:r>
      <w:r>
        <w:rPr>
          <w:rFonts w:ascii="SimSun" w:hAnsi="SimSun" w:eastAsia="SimSun" w:cs="SimSun"/>
          <w:sz w:val="25"/>
          <w:szCs w:val="25"/>
          <w:spacing w:val="-10"/>
        </w:rPr>
        <w:t>绿阔叶林，因受人为因素影响，天然林已基本上被人工林所取代。</w:t>
      </w:r>
    </w:p>
    <w:p>
      <w:pPr>
        <w:ind w:right="188" w:firstLine="480"/>
        <w:spacing w:before="24" w:line="367" w:lineRule="auto"/>
        <w:rPr>
          <w:rFonts w:ascii="SimSun" w:hAnsi="SimSun" w:eastAsia="SimSun" w:cs="SimSun"/>
          <w:sz w:val="21"/>
          <w:szCs w:val="21"/>
        </w:rPr>
      </w:pPr>
      <w:r>
        <w:rPr>
          <w:rFonts w:ascii="SimSun" w:hAnsi="SimSun" w:eastAsia="SimSun" w:cs="SimSun"/>
          <w:sz w:val="25"/>
          <w:szCs w:val="25"/>
          <w:spacing w:val="-10"/>
        </w:rPr>
        <w:t>主要生态问题：人口密度较大，人为活动影响强烈，干旱洪</w:t>
      </w:r>
      <w:r>
        <w:rPr>
          <w:rFonts w:ascii="SimSun" w:hAnsi="SimSun" w:eastAsia="SimSun" w:cs="SimSun"/>
          <w:sz w:val="25"/>
          <w:szCs w:val="25"/>
          <w:spacing w:val="-11"/>
        </w:rPr>
        <w:t>涝灾害频繁。</w:t>
      </w:r>
      <w:r>
        <w:rPr>
          <w:rFonts w:ascii="SimSun" w:hAnsi="SimSun" w:eastAsia="SimSun" w:cs="SimSun"/>
          <w:sz w:val="25"/>
          <w:szCs w:val="25"/>
        </w:rPr>
        <w:t xml:space="preserve"> </w:t>
      </w:r>
      <w:r>
        <w:rPr>
          <w:rFonts w:ascii="SimSun" w:hAnsi="SimSun" w:eastAsia="SimSun" w:cs="SimSun"/>
          <w:sz w:val="21"/>
          <w:szCs w:val="21"/>
          <w:spacing w:val="26"/>
        </w:rPr>
        <w:t>工业污染、城镇污染、农村面源污染较为突出。</w:t>
      </w:r>
    </w:p>
    <w:p>
      <w:pPr>
        <w:ind w:right="194" w:firstLine="480"/>
        <w:spacing w:before="16" w:line="382" w:lineRule="auto"/>
        <w:rPr>
          <w:rFonts w:ascii="SimSun" w:hAnsi="SimSun" w:eastAsia="SimSun" w:cs="SimSun"/>
          <w:sz w:val="21"/>
          <w:szCs w:val="21"/>
        </w:rPr>
      </w:pPr>
      <w:r>
        <w:rPr>
          <w:rFonts w:ascii="SimSun" w:hAnsi="SimSun" w:eastAsia="SimSun" w:cs="SimSun"/>
          <w:sz w:val="25"/>
          <w:szCs w:val="25"/>
          <w:spacing w:val="-10"/>
        </w:rPr>
        <w:t>生态环境敏感性：土壤侵蚀中度敏感，生境轻</w:t>
      </w:r>
      <w:r>
        <w:rPr>
          <w:rFonts w:ascii="SimSun" w:hAnsi="SimSun" w:eastAsia="SimSun" w:cs="SimSun"/>
          <w:sz w:val="25"/>
          <w:szCs w:val="25"/>
          <w:spacing w:val="-11"/>
        </w:rPr>
        <w:t>度敏感，水环境污染高度敏</w:t>
      </w:r>
      <w:r>
        <w:rPr>
          <w:rFonts w:ascii="SimSun" w:hAnsi="SimSun" w:eastAsia="SimSun" w:cs="SimSun"/>
          <w:sz w:val="25"/>
          <w:szCs w:val="25"/>
        </w:rPr>
        <w:t xml:space="preserve"> </w:t>
      </w:r>
      <w:r>
        <w:rPr>
          <w:rFonts w:ascii="SimSun" w:hAnsi="SimSun" w:eastAsia="SimSun" w:cs="SimSun"/>
          <w:sz w:val="21"/>
          <w:szCs w:val="21"/>
          <w:spacing w:val="24"/>
        </w:rPr>
        <w:t>感，酸雨轻度敏感。</w:t>
      </w:r>
    </w:p>
    <w:p>
      <w:pPr>
        <w:ind w:left="480"/>
        <w:spacing w:before="15" w:line="219" w:lineRule="auto"/>
        <w:rPr>
          <w:rFonts w:ascii="SimSun" w:hAnsi="SimSun" w:eastAsia="SimSun" w:cs="SimSun"/>
          <w:sz w:val="21"/>
          <w:szCs w:val="21"/>
        </w:rPr>
      </w:pPr>
      <w:r>
        <w:rPr>
          <w:rFonts w:ascii="SimSun" w:hAnsi="SimSun" w:eastAsia="SimSun" w:cs="SimSun"/>
          <w:sz w:val="21"/>
          <w:szCs w:val="21"/>
          <w:spacing w:val="27"/>
        </w:rPr>
        <w:t>主要生态服务功能：人居保障功能，农产品提</w:t>
      </w:r>
      <w:r>
        <w:rPr>
          <w:rFonts w:ascii="SimSun" w:hAnsi="SimSun" w:eastAsia="SimSun" w:cs="SimSun"/>
          <w:sz w:val="21"/>
          <w:szCs w:val="21"/>
          <w:spacing w:val="26"/>
        </w:rPr>
        <w:t>供功能。</w:t>
      </w:r>
    </w:p>
    <w:p>
      <w:pPr>
        <w:ind w:right="190" w:firstLine="480"/>
        <w:spacing w:before="173" w:line="356" w:lineRule="auto"/>
        <w:jc w:val="both"/>
        <w:rPr>
          <w:rFonts w:ascii="SimSun" w:hAnsi="SimSun" w:eastAsia="SimSun" w:cs="SimSun"/>
          <w:sz w:val="21"/>
          <w:szCs w:val="21"/>
        </w:rPr>
      </w:pPr>
      <w:r>
        <w:rPr>
          <w:rFonts w:ascii="SimSun" w:hAnsi="SimSun" w:eastAsia="SimSun" w:cs="SimSun"/>
          <w:sz w:val="25"/>
          <w:szCs w:val="25"/>
          <w:spacing w:val="-10"/>
        </w:rPr>
        <w:t>生态保护与发展方向：发挥区域中心城市辐射作</w:t>
      </w:r>
      <w:r>
        <w:rPr>
          <w:rFonts w:ascii="SimSun" w:hAnsi="SimSun" w:eastAsia="SimSun" w:cs="SimSun"/>
          <w:sz w:val="25"/>
          <w:szCs w:val="25"/>
          <w:spacing w:val="-11"/>
        </w:rPr>
        <w:t>用，优化人居环境。以高</w:t>
      </w:r>
      <w:r>
        <w:rPr>
          <w:rFonts w:ascii="SimSun" w:hAnsi="SimSun" w:eastAsia="SimSun" w:cs="SimSun"/>
          <w:sz w:val="25"/>
          <w:szCs w:val="25"/>
        </w:rPr>
        <w:t xml:space="preserve"> </w:t>
      </w:r>
      <w:r>
        <w:rPr>
          <w:rFonts w:ascii="SimSun" w:hAnsi="SimSun" w:eastAsia="SimSun" w:cs="SimSun"/>
          <w:sz w:val="25"/>
          <w:szCs w:val="25"/>
          <w:spacing w:val="-10"/>
        </w:rPr>
        <w:t>新技术产业为主导，促进产业结构优化升级，建设电</w:t>
      </w:r>
      <w:r>
        <w:rPr>
          <w:rFonts w:ascii="SimSun" w:hAnsi="SimSun" w:eastAsia="SimSun" w:cs="SimSun"/>
          <w:sz w:val="25"/>
          <w:szCs w:val="25"/>
          <w:spacing w:val="-11"/>
        </w:rPr>
        <w:t>子、重型机械装备工业基</w:t>
      </w:r>
      <w:r>
        <w:rPr>
          <w:rFonts w:ascii="SimSun" w:hAnsi="SimSun" w:eastAsia="SimSun" w:cs="SimSun"/>
          <w:sz w:val="25"/>
          <w:szCs w:val="25"/>
        </w:rPr>
        <w:t xml:space="preserve"> </w:t>
      </w:r>
      <w:r>
        <w:rPr>
          <w:rFonts w:ascii="SimSun" w:hAnsi="SimSun" w:eastAsia="SimSun" w:cs="SimSun"/>
          <w:sz w:val="25"/>
          <w:szCs w:val="25"/>
          <w:spacing w:val="-10"/>
        </w:rPr>
        <w:t>地。以小流域建设为重点，保护耕地，提高农田生态</w:t>
      </w:r>
      <w:r>
        <w:rPr>
          <w:rFonts w:ascii="SimSun" w:hAnsi="SimSun" w:eastAsia="SimSun" w:cs="SimSun"/>
          <w:sz w:val="25"/>
          <w:szCs w:val="25"/>
          <w:spacing w:val="-11"/>
        </w:rPr>
        <w:t>系统的自身调节能力。改</w:t>
      </w:r>
      <w:r>
        <w:rPr>
          <w:rFonts w:ascii="SimSun" w:hAnsi="SimSun" w:eastAsia="SimSun" w:cs="SimSun"/>
          <w:sz w:val="25"/>
          <w:szCs w:val="25"/>
        </w:rPr>
        <w:t xml:space="preserve"> </w:t>
      </w:r>
      <w:r>
        <w:rPr>
          <w:rFonts w:ascii="SimSun" w:hAnsi="SimSun" w:eastAsia="SimSun" w:cs="SimSun"/>
          <w:sz w:val="25"/>
          <w:szCs w:val="25"/>
          <w:spacing w:val="-10"/>
        </w:rPr>
        <w:t>善农村能源结构，因地制宜发展沼气等清洁能源。防治工业</w:t>
      </w:r>
      <w:r>
        <w:rPr>
          <w:rFonts w:ascii="SimSun" w:hAnsi="SimSun" w:eastAsia="SimSun" w:cs="SimSun"/>
          <w:sz w:val="25"/>
          <w:szCs w:val="25"/>
          <w:spacing w:val="-11"/>
        </w:rPr>
        <w:t>污染、城镇污染及</w:t>
      </w:r>
      <w:r>
        <w:rPr>
          <w:rFonts w:ascii="SimSun" w:hAnsi="SimSun" w:eastAsia="SimSun" w:cs="SimSun"/>
          <w:sz w:val="25"/>
          <w:szCs w:val="25"/>
        </w:rPr>
        <w:t xml:space="preserve"> </w:t>
      </w:r>
      <w:r>
        <w:rPr>
          <w:rFonts w:ascii="SimSun" w:hAnsi="SimSun" w:eastAsia="SimSun" w:cs="SimSun"/>
          <w:sz w:val="21"/>
          <w:szCs w:val="21"/>
          <w:spacing w:val="27"/>
        </w:rPr>
        <w:t>农村面源污染；防治水环境污染，保障饮用水安全。</w:t>
      </w:r>
    </w:p>
    <w:p>
      <w:pPr>
        <w:spacing w:line="356" w:lineRule="auto"/>
        <w:sectPr>
          <w:headerReference w:type="default" r:id="rId33"/>
          <w:footerReference w:type="default" r:id="rId34"/>
          <w:pgSz w:w="11910" w:h="16840"/>
          <w:pgMar w:top="1170" w:right="1786" w:bottom="1040" w:left="1779" w:header="847" w:footer="767" w:gutter="0"/>
        </w:sectPr>
        <w:rPr>
          <w:rFonts w:ascii="SimSun" w:hAnsi="SimSun" w:eastAsia="SimSun" w:cs="SimSun"/>
          <w:sz w:val="21"/>
          <w:szCs w:val="21"/>
        </w:rPr>
      </w:pPr>
    </w:p>
    <w:p>
      <w:pPr>
        <w:ind w:left="94" w:right="265" w:firstLine="490"/>
        <w:spacing w:before="276" w:line="380" w:lineRule="auto"/>
        <w:jc w:val="both"/>
        <w:rPr>
          <w:rFonts w:ascii="SimSun" w:hAnsi="SimSun" w:eastAsia="SimSun" w:cs="SimSun"/>
          <w:sz w:val="23"/>
          <w:szCs w:val="23"/>
        </w:rPr>
      </w:pPr>
      <w:r>
        <w:rPr>
          <w:rFonts w:ascii="SimSun" w:hAnsi="SimSun" w:eastAsia="SimSun" w:cs="SimSun"/>
          <w:sz w:val="23"/>
          <w:szCs w:val="23"/>
          <w:spacing w:val="13"/>
        </w:rPr>
        <w:t>本项目为</w:t>
      </w:r>
      <w:r>
        <w:rPr>
          <w:rFonts w:ascii="SimSun" w:hAnsi="SimSun" w:eastAsia="SimSun" w:cs="SimSun"/>
          <w:sz w:val="23"/>
          <w:szCs w:val="23"/>
          <w:spacing w:val="-47"/>
        </w:rPr>
        <w:t xml:space="preserve"> </w:t>
      </w:r>
      <w:r>
        <w:rPr>
          <w:rFonts w:ascii="Times New Roman" w:hAnsi="Times New Roman" w:eastAsia="Times New Roman" w:cs="Times New Roman"/>
          <w:sz w:val="23"/>
          <w:szCs w:val="23"/>
          <w:spacing w:val="13"/>
        </w:rPr>
        <w:t>“C1351</w:t>
      </w:r>
      <w:r>
        <w:rPr>
          <w:rFonts w:ascii="Times New Roman" w:hAnsi="Times New Roman" w:eastAsia="Times New Roman" w:cs="Times New Roman"/>
          <w:sz w:val="23"/>
          <w:szCs w:val="23"/>
          <w:spacing w:val="55"/>
          <w:w w:val="101"/>
        </w:rPr>
        <w:t xml:space="preserve"> </w:t>
      </w:r>
      <w:r>
        <w:rPr>
          <w:rFonts w:ascii="SimSun" w:hAnsi="SimSun" w:eastAsia="SimSun" w:cs="SimSun"/>
          <w:sz w:val="23"/>
          <w:szCs w:val="23"/>
          <w:spacing w:val="13"/>
        </w:rPr>
        <w:t>牲畜屠宰”,属于农副食品加工，项目对</w:t>
      </w:r>
      <w:r>
        <w:rPr>
          <w:rFonts w:ascii="SimSun" w:hAnsi="SimSun" w:eastAsia="SimSun" w:cs="SimSun"/>
          <w:sz w:val="23"/>
          <w:szCs w:val="23"/>
          <w:spacing w:val="12"/>
        </w:rPr>
        <w:t>废水、废气进</w:t>
      </w:r>
      <w:r>
        <w:rPr>
          <w:rFonts w:ascii="SimSun" w:hAnsi="SimSun" w:eastAsia="SimSun" w:cs="SimSun"/>
          <w:sz w:val="23"/>
          <w:szCs w:val="23"/>
        </w:rPr>
        <w:t xml:space="preserve"> </w:t>
      </w:r>
      <w:r>
        <w:rPr>
          <w:rFonts w:ascii="SimSun" w:hAnsi="SimSun" w:eastAsia="SimSun" w:cs="SimSun"/>
          <w:sz w:val="23"/>
          <w:szCs w:val="23"/>
          <w:spacing w:val="10"/>
        </w:rPr>
        <w:t>行收集处理，对大气和地表水环境影响较小，符合农业生态功能区生态保</w:t>
      </w:r>
      <w:r>
        <w:rPr>
          <w:rFonts w:ascii="SimSun" w:hAnsi="SimSun" w:eastAsia="SimSun" w:cs="SimSun"/>
          <w:sz w:val="23"/>
          <w:szCs w:val="23"/>
          <w:spacing w:val="9"/>
        </w:rPr>
        <w:t>护与</w:t>
      </w:r>
      <w:r>
        <w:rPr>
          <w:rFonts w:ascii="SimSun" w:hAnsi="SimSun" w:eastAsia="SimSun" w:cs="SimSun"/>
          <w:sz w:val="23"/>
          <w:szCs w:val="23"/>
        </w:rPr>
        <w:t xml:space="preserve"> </w:t>
      </w:r>
      <w:r>
        <w:rPr>
          <w:rFonts w:ascii="SimSun" w:hAnsi="SimSun" w:eastAsia="SimSun" w:cs="SimSun"/>
          <w:sz w:val="23"/>
          <w:szCs w:val="23"/>
          <w:spacing w:val="9"/>
        </w:rPr>
        <w:t>发展方向。因此本项目建设与《四川省生态功能区划》基本相符合。</w:t>
      </w:r>
    </w:p>
    <w:p>
      <w:pPr>
        <w:ind w:left="94"/>
        <w:spacing w:line="221" w:lineRule="auto"/>
        <w:rPr>
          <w:rFonts w:ascii="SimHei" w:hAnsi="SimHei" w:eastAsia="SimHei" w:cs="SimHei"/>
          <w:sz w:val="27"/>
          <w:szCs w:val="27"/>
        </w:rPr>
      </w:pPr>
      <w:r>
        <w:rPr>
          <w:rFonts w:ascii="Times New Roman" w:hAnsi="Times New Roman" w:eastAsia="Times New Roman" w:cs="Times New Roman"/>
          <w:sz w:val="27"/>
          <w:szCs w:val="27"/>
          <w:spacing w:val="-3"/>
        </w:rPr>
        <w:t>1</w:t>
      </w:r>
      <w:r>
        <w:rPr>
          <w:rFonts w:ascii="SimHei" w:hAnsi="SimHei" w:eastAsia="SimHei" w:cs="SimHei"/>
          <w:sz w:val="27"/>
          <w:szCs w:val="27"/>
          <w:b/>
          <w:bCs/>
          <w:spacing w:val="-3"/>
        </w:rPr>
        <w:t>.4.2与园区规划及规划环评符合性分析</w:t>
      </w:r>
    </w:p>
    <w:p>
      <w:pPr>
        <w:ind w:left="94" w:right="162" w:firstLine="490"/>
        <w:spacing w:before="219" w:line="369" w:lineRule="auto"/>
        <w:rPr>
          <w:rFonts w:ascii="SimSun" w:hAnsi="SimSun" w:eastAsia="SimSun" w:cs="SimSun"/>
          <w:sz w:val="23"/>
          <w:szCs w:val="23"/>
        </w:rPr>
      </w:pPr>
      <w:r>
        <w:rPr>
          <w:rFonts w:ascii="SimSun" w:hAnsi="SimSun" w:eastAsia="SimSun" w:cs="SimSun"/>
          <w:sz w:val="23"/>
          <w:szCs w:val="23"/>
          <w:spacing w:val="10"/>
        </w:rPr>
        <w:t>本项目位于四川绵阳安州工业园区内。四川绵阳安州工业园区为原四川安</w:t>
      </w:r>
      <w:r>
        <w:rPr>
          <w:rFonts w:ascii="SimSun" w:hAnsi="SimSun" w:eastAsia="SimSun" w:cs="SimSun"/>
          <w:sz w:val="23"/>
          <w:szCs w:val="23"/>
          <w:spacing w:val="2"/>
        </w:rPr>
        <w:t xml:space="preserve"> </w:t>
      </w:r>
      <w:r>
        <w:rPr>
          <w:rFonts w:ascii="SimSun" w:hAnsi="SimSun" w:eastAsia="SimSun" w:cs="SimSun"/>
          <w:sz w:val="23"/>
          <w:szCs w:val="23"/>
          <w:spacing w:val="12"/>
        </w:rPr>
        <w:t>县工业园区，于2010年经四川省人民政府批准设立(川府函[20</w:t>
      </w:r>
      <w:r>
        <w:rPr>
          <w:rFonts w:ascii="SimSun" w:hAnsi="SimSun" w:eastAsia="SimSun" w:cs="SimSun"/>
          <w:sz w:val="23"/>
          <w:szCs w:val="23"/>
          <w:spacing w:val="11"/>
        </w:rPr>
        <w:t>10]149号)。根</w:t>
      </w:r>
      <w:r>
        <w:rPr>
          <w:rFonts w:ascii="SimSun" w:hAnsi="SimSun" w:eastAsia="SimSun" w:cs="SimSun"/>
          <w:sz w:val="23"/>
          <w:szCs w:val="23"/>
        </w:rPr>
        <w:t xml:space="preserve"> </w:t>
      </w:r>
      <w:r>
        <w:rPr>
          <w:rFonts w:ascii="SimSun" w:hAnsi="SimSun" w:eastAsia="SimSun" w:cs="SimSun"/>
          <w:sz w:val="23"/>
          <w:szCs w:val="23"/>
          <w:spacing w:val="13"/>
        </w:rPr>
        <w:t>据《四川安县工业园发展规划环境影响报告书》,四川安县工业园规划产业定</w:t>
      </w:r>
      <w:r>
        <w:rPr>
          <w:rFonts w:ascii="SimSun" w:hAnsi="SimSun" w:eastAsia="SimSun" w:cs="SimSun"/>
          <w:sz w:val="23"/>
          <w:szCs w:val="23"/>
          <w:spacing w:val="3"/>
        </w:rPr>
        <w:t xml:space="preserve">  </w:t>
      </w:r>
      <w:r>
        <w:rPr>
          <w:rFonts w:ascii="SimSun" w:hAnsi="SimSun" w:eastAsia="SimSun" w:cs="SimSun"/>
          <w:sz w:val="23"/>
          <w:szCs w:val="23"/>
          <w:spacing w:val="10"/>
        </w:rPr>
        <w:t>位为以汽车配件产业园为主，以电子信息产业园、医药</w:t>
      </w:r>
      <w:r>
        <w:rPr>
          <w:rFonts w:ascii="SimSun" w:hAnsi="SimSun" w:eastAsia="SimSun" w:cs="SimSun"/>
          <w:sz w:val="23"/>
          <w:szCs w:val="23"/>
          <w:spacing w:val="9"/>
        </w:rPr>
        <w:t>食品产业园、综合配套</w:t>
      </w:r>
      <w:r>
        <w:rPr>
          <w:rFonts w:ascii="SimSun" w:hAnsi="SimSun" w:eastAsia="SimSun" w:cs="SimSun"/>
          <w:sz w:val="23"/>
          <w:szCs w:val="23"/>
        </w:rPr>
        <w:t xml:space="preserve">  </w:t>
      </w:r>
      <w:r>
        <w:rPr>
          <w:rFonts w:ascii="SimSun" w:hAnsi="SimSun" w:eastAsia="SimSun" w:cs="SimSun"/>
          <w:sz w:val="23"/>
          <w:szCs w:val="23"/>
          <w:spacing w:val="9"/>
        </w:rPr>
        <w:t>区为辅的综合性生态产业园，于2010年2月2</w:t>
      </w:r>
      <w:r>
        <w:rPr>
          <w:rFonts w:ascii="SimSun" w:hAnsi="SimSun" w:eastAsia="SimSun" w:cs="SimSun"/>
          <w:sz w:val="23"/>
          <w:szCs w:val="23"/>
          <w:spacing w:val="8"/>
        </w:rPr>
        <w:t>4日取得了原四川省环境保护厅出具</w:t>
      </w:r>
      <w:r>
        <w:rPr>
          <w:rFonts w:ascii="SimSun" w:hAnsi="SimSun" w:eastAsia="SimSun" w:cs="SimSun"/>
          <w:sz w:val="23"/>
          <w:szCs w:val="23"/>
        </w:rPr>
        <w:t xml:space="preserve"> </w:t>
      </w:r>
      <w:r>
        <w:rPr>
          <w:rFonts w:ascii="SimSun" w:hAnsi="SimSun" w:eastAsia="SimSun" w:cs="SimSun"/>
          <w:sz w:val="23"/>
          <w:szCs w:val="23"/>
          <w:spacing w:val="9"/>
        </w:rPr>
        <w:t>的《关于印发&lt;四川安县工业园区发展规划环境影响报告书审查意见&gt;的函》</w:t>
      </w:r>
    </w:p>
    <w:p>
      <w:pPr>
        <w:ind w:left="94" w:right="169" w:firstLine="130"/>
        <w:spacing w:before="5" w:line="368" w:lineRule="auto"/>
        <w:rPr>
          <w:rFonts w:ascii="SimSun" w:hAnsi="SimSun" w:eastAsia="SimSun" w:cs="SimSun"/>
          <w:sz w:val="23"/>
          <w:szCs w:val="23"/>
        </w:rPr>
      </w:pPr>
      <w:r>
        <w:rPr>
          <w:rFonts w:ascii="SimSun" w:hAnsi="SimSun" w:eastAsia="SimSun" w:cs="SimSun"/>
          <w:sz w:val="23"/>
          <w:szCs w:val="23"/>
          <w:spacing w:val="16"/>
        </w:rPr>
        <w:t>(川环函[2010]140号)。四川绵阳</w:t>
      </w:r>
      <w:r>
        <w:rPr>
          <w:rFonts w:ascii="SimSun" w:hAnsi="SimSun" w:eastAsia="SimSun" w:cs="SimSun"/>
          <w:sz w:val="23"/>
          <w:szCs w:val="23"/>
          <w:spacing w:val="15"/>
        </w:rPr>
        <w:t>安州工业园区是中国(绵阳)科技城的重要</w:t>
      </w:r>
      <w:r>
        <w:rPr>
          <w:rFonts w:ascii="SimSun" w:hAnsi="SimSun" w:eastAsia="SimSun" w:cs="SimSun"/>
          <w:sz w:val="23"/>
          <w:szCs w:val="23"/>
        </w:rPr>
        <w:t xml:space="preserve"> </w:t>
      </w:r>
      <w:r>
        <w:rPr>
          <w:rFonts w:ascii="SimSun" w:hAnsi="SimSun" w:eastAsia="SimSun" w:cs="SimSun"/>
          <w:sz w:val="23"/>
          <w:szCs w:val="23"/>
          <w:spacing w:val="9"/>
        </w:rPr>
        <w:t>组成部分，是绵阳市、安州区工业发展的核心区域和</w:t>
      </w:r>
      <w:r>
        <w:rPr>
          <w:rFonts w:ascii="SimSun" w:hAnsi="SimSun" w:eastAsia="SimSun" w:cs="SimSun"/>
          <w:sz w:val="23"/>
          <w:szCs w:val="23"/>
          <w:spacing w:val="8"/>
        </w:rPr>
        <w:t>经济增长区。2016年4月，</w:t>
      </w:r>
      <w:r>
        <w:rPr>
          <w:rFonts w:ascii="SimSun" w:hAnsi="SimSun" w:eastAsia="SimSun" w:cs="SimSun"/>
          <w:sz w:val="23"/>
          <w:szCs w:val="23"/>
        </w:rPr>
        <w:t xml:space="preserve"> </w:t>
      </w:r>
      <w:r>
        <w:rPr>
          <w:rFonts w:ascii="SimSun" w:hAnsi="SimSun" w:eastAsia="SimSun" w:cs="SimSun"/>
          <w:sz w:val="23"/>
          <w:szCs w:val="23"/>
          <w:spacing w:val="13"/>
        </w:rPr>
        <w:t>四川省人民政府作出了《关于同意撤销安县设立绵阳市安州区的批复》(川府</w:t>
      </w:r>
      <w:r>
        <w:rPr>
          <w:rFonts w:ascii="SimSun" w:hAnsi="SimSun" w:eastAsia="SimSun" w:cs="SimSun"/>
          <w:sz w:val="23"/>
          <w:szCs w:val="23"/>
        </w:rPr>
        <w:t xml:space="preserve">  </w:t>
      </w:r>
      <w:r>
        <w:rPr>
          <w:rFonts w:ascii="SimSun" w:hAnsi="SimSun" w:eastAsia="SimSun" w:cs="SimSun"/>
          <w:sz w:val="23"/>
          <w:szCs w:val="23"/>
          <w:spacing w:val="4"/>
        </w:rPr>
        <w:t>函[2016]78号)。2017年7月四川省人民政府以</w:t>
      </w:r>
      <w:r>
        <w:rPr>
          <w:rFonts w:ascii="Times New Roman" w:hAnsi="Times New Roman" w:eastAsia="Times New Roman" w:cs="Times New Roman"/>
          <w:sz w:val="23"/>
          <w:szCs w:val="23"/>
          <w:spacing w:val="4"/>
        </w:rPr>
        <w:t>B(2017)2259-1      </w:t>
      </w:r>
      <w:r>
        <w:rPr>
          <w:rFonts w:ascii="SimSun" w:hAnsi="SimSun" w:eastAsia="SimSun" w:cs="SimSun"/>
          <w:sz w:val="23"/>
          <w:szCs w:val="23"/>
          <w:spacing w:val="4"/>
        </w:rPr>
        <w:t>号文同意“四川</w:t>
      </w:r>
      <w:r>
        <w:rPr>
          <w:rFonts w:ascii="SimSun" w:hAnsi="SimSun" w:eastAsia="SimSun" w:cs="SimSun"/>
          <w:sz w:val="23"/>
          <w:szCs w:val="23"/>
        </w:rPr>
        <w:t xml:space="preserve"> </w:t>
      </w:r>
      <w:r>
        <w:rPr>
          <w:rFonts w:ascii="SimSun" w:hAnsi="SimSun" w:eastAsia="SimSun" w:cs="SimSun"/>
          <w:sz w:val="23"/>
          <w:szCs w:val="23"/>
          <w:spacing w:val="-1"/>
        </w:rPr>
        <w:t>安县工业园区”更名“四川绵阳安州工业园区”。2</w:t>
      </w:r>
      <w:r>
        <w:rPr>
          <w:rFonts w:ascii="SimSun" w:hAnsi="SimSun" w:eastAsia="SimSun" w:cs="SimSun"/>
          <w:sz w:val="23"/>
          <w:szCs w:val="23"/>
          <w:spacing w:val="-2"/>
        </w:rPr>
        <w:t>019年5月24日，四川省生态环</w:t>
      </w:r>
      <w:r>
        <w:rPr>
          <w:rFonts w:ascii="SimSun" w:hAnsi="SimSun" w:eastAsia="SimSun" w:cs="SimSun"/>
          <w:sz w:val="23"/>
          <w:szCs w:val="23"/>
        </w:rPr>
        <w:t xml:space="preserve">  </w:t>
      </w:r>
      <w:r>
        <w:rPr>
          <w:rFonts w:ascii="SimSun" w:hAnsi="SimSun" w:eastAsia="SimSun" w:cs="SimSun"/>
          <w:sz w:val="23"/>
          <w:szCs w:val="23"/>
          <w:spacing w:val="10"/>
        </w:rPr>
        <w:t>境厅出具了《关于四川绵阳安州工业园区规划环境影响跟踪</w:t>
      </w:r>
      <w:r>
        <w:rPr>
          <w:rFonts w:ascii="SimSun" w:hAnsi="SimSun" w:eastAsia="SimSun" w:cs="SimSun"/>
          <w:sz w:val="23"/>
          <w:szCs w:val="23"/>
          <w:spacing w:val="9"/>
        </w:rPr>
        <w:t>评价意见的函》</w:t>
      </w:r>
    </w:p>
    <w:p>
      <w:pPr>
        <w:ind w:left="94" w:right="107" w:firstLine="130"/>
        <w:spacing w:before="5" w:line="369" w:lineRule="auto"/>
        <w:rPr>
          <w:rFonts w:ascii="SimSun" w:hAnsi="SimSun" w:eastAsia="SimSun" w:cs="SimSun"/>
          <w:sz w:val="23"/>
          <w:szCs w:val="23"/>
        </w:rPr>
      </w:pPr>
      <w:r>
        <w:rPr>
          <w:rFonts w:ascii="SimSun" w:hAnsi="SimSun" w:eastAsia="SimSun" w:cs="SimSun"/>
          <w:sz w:val="23"/>
          <w:szCs w:val="23"/>
          <w:spacing w:val="6"/>
        </w:rPr>
        <w:t>(川环建函[2019]55号)”。2021年7月23日，四川绵阳安州工业</w:t>
      </w:r>
      <w:r>
        <w:rPr>
          <w:rFonts w:ascii="SimSun" w:hAnsi="SimSun" w:eastAsia="SimSun" w:cs="SimSun"/>
          <w:sz w:val="23"/>
          <w:szCs w:val="23"/>
          <w:spacing w:val="5"/>
        </w:rPr>
        <w:t>园区取得了四川</w:t>
      </w:r>
      <w:r>
        <w:rPr>
          <w:rFonts w:ascii="SimSun" w:hAnsi="SimSun" w:eastAsia="SimSun" w:cs="SimSun"/>
          <w:sz w:val="23"/>
          <w:szCs w:val="23"/>
        </w:rPr>
        <w:t xml:space="preserve"> </w:t>
      </w:r>
      <w:r>
        <w:rPr>
          <w:rFonts w:ascii="SimSun" w:hAnsi="SimSun" w:eastAsia="SimSun" w:cs="SimSun"/>
          <w:sz w:val="23"/>
          <w:szCs w:val="23"/>
          <w:spacing w:val="9"/>
        </w:rPr>
        <w:t>省人民政府出具的《关于认定四川绵阳安州工业园区为省级高新技术产业园区</w:t>
      </w:r>
      <w:r>
        <w:rPr>
          <w:rFonts w:ascii="SimSun" w:hAnsi="SimSun" w:eastAsia="SimSun" w:cs="SimSun"/>
          <w:sz w:val="23"/>
          <w:szCs w:val="23"/>
          <w:spacing w:val="6"/>
        </w:rPr>
        <w:t xml:space="preserve">  </w:t>
      </w:r>
      <w:r>
        <w:rPr>
          <w:rFonts w:ascii="SimSun" w:hAnsi="SimSun" w:eastAsia="SimSun" w:cs="SimSun"/>
          <w:sz w:val="23"/>
          <w:szCs w:val="23"/>
          <w:spacing w:val="15"/>
        </w:rPr>
        <w:t>的批复》(川府函[2021]146号):同意将四川绵阳安州工业园区</w:t>
      </w:r>
      <w:r>
        <w:rPr>
          <w:rFonts w:ascii="SimSun" w:hAnsi="SimSun" w:eastAsia="SimSun" w:cs="SimSun"/>
          <w:sz w:val="23"/>
          <w:szCs w:val="23"/>
          <w:spacing w:val="14"/>
        </w:rPr>
        <w:t>认定为省级高</w:t>
      </w:r>
      <w:r>
        <w:rPr>
          <w:rFonts w:ascii="SimSun" w:hAnsi="SimSun" w:eastAsia="SimSun" w:cs="SimSun"/>
          <w:sz w:val="23"/>
          <w:szCs w:val="23"/>
        </w:rPr>
        <w:t xml:space="preserve">  </w:t>
      </w:r>
      <w:r>
        <w:rPr>
          <w:rFonts w:ascii="SimSun" w:hAnsi="SimSun" w:eastAsia="SimSun" w:cs="SimSun"/>
          <w:sz w:val="23"/>
          <w:szCs w:val="23"/>
          <w:spacing w:val="10"/>
        </w:rPr>
        <w:t>新技术产业园区，名称为四川绵阳安州高新技术产业</w:t>
      </w:r>
      <w:r>
        <w:rPr>
          <w:rFonts w:ascii="SimSun" w:hAnsi="SimSun" w:eastAsia="SimSun" w:cs="SimSun"/>
          <w:sz w:val="23"/>
          <w:szCs w:val="23"/>
          <w:spacing w:val="9"/>
        </w:rPr>
        <w:t>园区，以先进制造、电子</w:t>
      </w:r>
    </w:p>
    <w:p>
      <w:pPr>
        <w:ind w:left="94" w:right="251"/>
        <w:spacing w:line="404" w:lineRule="auto"/>
        <w:rPr>
          <w:rFonts w:ascii="SimSun" w:hAnsi="SimSun" w:eastAsia="SimSun" w:cs="SimSun"/>
          <w:sz w:val="23"/>
          <w:szCs w:val="23"/>
        </w:rPr>
      </w:pPr>
      <w:r>
        <w:rPr>
          <w:rFonts w:ascii="SimSun" w:hAnsi="SimSun" w:eastAsia="SimSun" w:cs="SimSun"/>
          <w:sz w:val="23"/>
          <w:szCs w:val="23"/>
          <w:spacing w:val="10"/>
        </w:rPr>
        <w:t>信息、生物医药为主导产业，区域范围为国务院有关部门公布的开发区审核公</w:t>
      </w:r>
      <w:r>
        <w:rPr>
          <w:rFonts w:ascii="SimSun" w:hAnsi="SimSun" w:eastAsia="SimSun" w:cs="SimSun"/>
          <w:sz w:val="23"/>
          <w:szCs w:val="23"/>
          <w:spacing w:val="12"/>
        </w:rPr>
        <w:t xml:space="preserve"> </w:t>
      </w:r>
      <w:r>
        <w:rPr>
          <w:rFonts w:ascii="SimSun" w:hAnsi="SimSun" w:eastAsia="SimSun" w:cs="SimSun"/>
          <w:sz w:val="23"/>
          <w:szCs w:val="23"/>
          <w:spacing w:val="6"/>
        </w:rPr>
        <w:t>告确定的四至范围。</w:t>
      </w:r>
    </w:p>
    <w:p>
      <w:pPr>
        <w:ind w:left="688"/>
        <w:spacing w:before="1" w:line="218" w:lineRule="auto"/>
        <w:rPr>
          <w:rFonts w:ascii="SimSun" w:hAnsi="SimSun" w:eastAsia="SimSun" w:cs="SimSun"/>
          <w:sz w:val="23"/>
          <w:szCs w:val="23"/>
        </w:rPr>
      </w:pPr>
      <w:r>
        <w:rPr>
          <w:rFonts w:ascii="SimSun" w:hAnsi="SimSun" w:eastAsia="SimSun" w:cs="SimSun"/>
          <w:sz w:val="23"/>
          <w:szCs w:val="23"/>
          <w:b/>
          <w:bCs/>
          <w:spacing w:val="8"/>
        </w:rPr>
        <w:t>1、与《四川绵阳安州工业园区发展规划》符合性分析</w:t>
      </w:r>
    </w:p>
    <w:p>
      <w:pPr>
        <w:ind w:left="94" w:right="124" w:firstLine="490"/>
        <w:spacing w:before="218" w:line="357" w:lineRule="auto"/>
        <w:rPr>
          <w:rFonts w:ascii="SimSun" w:hAnsi="SimSun" w:eastAsia="SimSun" w:cs="SimSun"/>
          <w:sz w:val="23"/>
          <w:szCs w:val="23"/>
        </w:rPr>
      </w:pPr>
      <w:r>
        <w:rPr>
          <w:rFonts w:ascii="SimSun" w:hAnsi="SimSun" w:eastAsia="SimSun" w:cs="SimSun"/>
          <w:sz w:val="23"/>
          <w:szCs w:val="23"/>
          <w:spacing w:val="18"/>
        </w:rPr>
        <w:t>根据《四川绵阳安州工业园区发展规划》,本</w:t>
      </w:r>
      <w:r>
        <w:rPr>
          <w:rFonts w:ascii="SimSun" w:hAnsi="SimSun" w:eastAsia="SimSun" w:cs="SimSun"/>
          <w:sz w:val="23"/>
          <w:szCs w:val="23"/>
          <w:spacing w:val="17"/>
        </w:rPr>
        <w:t>项目与园区规划符合性分析</w:t>
      </w:r>
      <w:r>
        <w:rPr>
          <w:rFonts w:ascii="SimSun" w:hAnsi="SimSun" w:eastAsia="SimSun" w:cs="SimSun"/>
          <w:sz w:val="23"/>
          <w:szCs w:val="23"/>
        </w:rPr>
        <w:t xml:space="preserve"> </w:t>
      </w:r>
      <w:r>
        <w:rPr>
          <w:rFonts w:ascii="SimSun" w:hAnsi="SimSun" w:eastAsia="SimSun" w:cs="SimSun"/>
          <w:sz w:val="23"/>
          <w:szCs w:val="23"/>
          <w:spacing w:val="6"/>
        </w:rPr>
        <w:t>见下表。</w:t>
      </w:r>
    </w:p>
    <w:p>
      <w:pPr>
        <w:ind w:left="698"/>
        <w:spacing w:before="1" w:line="218" w:lineRule="auto"/>
        <w:rPr>
          <w:rFonts w:ascii="SimSun" w:hAnsi="SimSun" w:eastAsia="SimSun" w:cs="SimSun"/>
          <w:sz w:val="24"/>
          <w:szCs w:val="24"/>
        </w:rPr>
      </w:pPr>
      <w:r>
        <w:rPr>
          <w:rFonts w:ascii="SimSun" w:hAnsi="SimSun" w:eastAsia="SimSun" w:cs="SimSun"/>
          <w:sz w:val="24"/>
          <w:szCs w:val="24"/>
          <w:b/>
          <w:bCs/>
          <w:spacing w:val="-3"/>
        </w:rPr>
        <w:t>表1.4-1本项目与《四川绵阳安州工业园区发展规划》符合性分析一览表</w:t>
      </w:r>
    </w:p>
    <w:p>
      <w:pPr>
        <w:spacing w:line="16" w:lineRule="exact"/>
        <w:rPr/>
      </w:pPr>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24"/>
        <w:gridCol w:w="829"/>
        <w:gridCol w:w="4445"/>
        <w:gridCol w:w="2077"/>
        <w:gridCol w:w="734"/>
      </w:tblGrid>
      <w:tr>
        <w:trPr>
          <w:trHeight w:val="283" w:hRule="atLeast"/>
        </w:trPr>
        <w:tc>
          <w:tcPr>
            <w:shd w:val="clear" w:fill="BEBEBE"/>
            <w:tcW w:w="424" w:type="dxa"/>
            <w:vAlign w:val="top"/>
          </w:tcPr>
          <w:p>
            <w:pPr>
              <w:pStyle w:val="TableText"/>
              <w:spacing w:before="42" w:line="203" w:lineRule="auto"/>
              <w:jc w:val="right"/>
              <w:rPr>
                <w:sz w:val="21"/>
                <w:szCs w:val="21"/>
              </w:rPr>
            </w:pPr>
            <w:r>
              <w:rPr>
                <w:sz w:val="21"/>
                <w:szCs w:val="21"/>
                <w:b/>
                <w:bCs/>
                <w:spacing w:val="-16"/>
              </w:rPr>
              <w:t>序</w:t>
            </w:r>
            <w:r>
              <w:rPr>
                <w:sz w:val="21"/>
                <w:szCs w:val="21"/>
                <w:b/>
                <w:bCs/>
                <w:spacing w:val="-14"/>
              </w:rPr>
              <w:t>号</w:t>
            </w:r>
          </w:p>
        </w:tc>
        <w:tc>
          <w:tcPr>
            <w:shd w:val="clear" w:fill="BEBEBE"/>
            <w:tcW w:w="5274" w:type="dxa"/>
            <w:vAlign w:val="top"/>
            <w:gridSpan w:val="2"/>
          </w:tcPr>
          <w:p>
            <w:pPr>
              <w:pStyle w:val="TableText"/>
              <w:ind w:left="2203"/>
              <w:spacing w:before="39" w:line="205" w:lineRule="auto"/>
              <w:rPr>
                <w:sz w:val="21"/>
                <w:szCs w:val="21"/>
              </w:rPr>
            </w:pPr>
            <w:r>
              <w:rPr>
                <w:sz w:val="21"/>
                <w:szCs w:val="21"/>
                <w:b/>
                <w:bCs/>
                <w:spacing w:val="-4"/>
              </w:rPr>
              <w:t>规划内容</w:t>
            </w:r>
          </w:p>
        </w:tc>
        <w:tc>
          <w:tcPr>
            <w:shd w:val="clear" w:fill="BEBEBE"/>
            <w:tcW w:w="2077" w:type="dxa"/>
            <w:vAlign w:val="top"/>
          </w:tcPr>
          <w:p>
            <w:pPr>
              <w:pStyle w:val="TableText"/>
              <w:ind w:left="699"/>
              <w:spacing w:before="39" w:line="205" w:lineRule="auto"/>
              <w:rPr>
                <w:sz w:val="21"/>
                <w:szCs w:val="21"/>
              </w:rPr>
            </w:pPr>
            <w:r>
              <w:rPr>
                <w:sz w:val="21"/>
                <w:szCs w:val="21"/>
                <w:b/>
                <w:bCs/>
                <w:spacing w:val="9"/>
              </w:rPr>
              <w:t>本项目</w:t>
            </w:r>
          </w:p>
        </w:tc>
        <w:tc>
          <w:tcPr>
            <w:shd w:val="clear" w:fill="BEBEBE"/>
            <w:tcW w:w="734" w:type="dxa"/>
            <w:vAlign w:val="top"/>
          </w:tcPr>
          <w:p>
            <w:pPr>
              <w:pStyle w:val="TableText"/>
              <w:ind w:left="52"/>
              <w:spacing w:before="39" w:line="205" w:lineRule="auto"/>
              <w:rPr>
                <w:sz w:val="21"/>
                <w:szCs w:val="21"/>
              </w:rPr>
            </w:pPr>
            <w:r>
              <w:rPr>
                <w:sz w:val="21"/>
                <w:szCs w:val="21"/>
                <w:b/>
                <w:bCs/>
                <w:spacing w:val="-5"/>
              </w:rPr>
              <w:t>符合性</w:t>
            </w:r>
          </w:p>
        </w:tc>
      </w:tr>
      <w:tr>
        <w:trPr>
          <w:trHeight w:val="1356" w:hRule="atLeast"/>
        </w:trPr>
        <w:tc>
          <w:tcPr>
            <w:tcW w:w="424" w:type="dxa"/>
            <w:vAlign w:val="top"/>
            <w:textDirection w:val="tbRlV"/>
          </w:tcPr>
          <w:p>
            <w:pPr>
              <w:pStyle w:val="TableText"/>
              <w:ind w:left="532"/>
              <w:spacing w:before="182" w:line="126" w:lineRule="exact"/>
              <w:rPr>
                <w:sz w:val="21"/>
                <w:szCs w:val="21"/>
              </w:rPr>
            </w:pPr>
            <w:r>
              <w:rPr>
                <w:sz w:val="21"/>
                <w:szCs w:val="21"/>
                <w:b/>
                <w:bCs/>
                <w:color w:val="505050"/>
                <w:spacing w:val="47"/>
                <w:w w:val="125"/>
                <w:position w:val="-3"/>
              </w:rPr>
              <w:t>1</w:t>
            </w:r>
          </w:p>
        </w:tc>
        <w:tc>
          <w:tcPr>
            <w:tcW w:w="829" w:type="dxa"/>
            <w:vAlign w:val="top"/>
          </w:tcPr>
          <w:p>
            <w:pPr>
              <w:spacing w:line="362" w:lineRule="auto"/>
              <w:rPr>
                <w:rFonts w:ascii="Arial"/>
                <w:sz w:val="21"/>
              </w:rPr>
            </w:pPr>
            <w:r/>
          </w:p>
          <w:p>
            <w:pPr>
              <w:pStyle w:val="TableText"/>
              <w:ind w:left="90"/>
              <w:spacing w:before="69" w:line="221" w:lineRule="auto"/>
              <w:rPr>
                <w:sz w:val="21"/>
                <w:szCs w:val="21"/>
              </w:rPr>
            </w:pPr>
            <w:r>
              <w:rPr>
                <w:sz w:val="21"/>
                <w:szCs w:val="21"/>
                <w:spacing w:val="4"/>
              </w:rPr>
              <w:t>规划范</w:t>
            </w:r>
          </w:p>
          <w:p>
            <w:pPr>
              <w:pStyle w:val="TableText"/>
              <w:ind w:left="90"/>
              <w:spacing w:before="25" w:line="219" w:lineRule="auto"/>
              <w:rPr>
                <w:sz w:val="21"/>
                <w:szCs w:val="21"/>
              </w:rPr>
            </w:pPr>
            <w:r>
              <w:rPr>
                <w:sz w:val="21"/>
                <w:szCs w:val="21"/>
                <w:spacing w:val="3"/>
              </w:rPr>
              <w:t>围规模</w:t>
            </w:r>
          </w:p>
        </w:tc>
        <w:tc>
          <w:tcPr>
            <w:tcW w:w="4445" w:type="dxa"/>
            <w:vAlign w:val="top"/>
          </w:tcPr>
          <w:p>
            <w:pPr>
              <w:pStyle w:val="TableText"/>
              <w:ind w:left="115" w:right="117"/>
              <w:spacing w:before="27" w:line="237" w:lineRule="auto"/>
              <w:rPr>
                <w:sz w:val="21"/>
                <w:szCs w:val="21"/>
              </w:rPr>
            </w:pPr>
            <w:r>
              <w:rPr>
                <w:sz w:val="21"/>
                <w:szCs w:val="21"/>
                <w:b/>
                <w:bCs/>
                <w:spacing w:val="-3"/>
              </w:rPr>
              <w:t>四川绵阳安州工业园区位于安州区花芗镇和界</w:t>
            </w:r>
            <w:r>
              <w:rPr>
                <w:sz w:val="21"/>
                <w:szCs w:val="21"/>
                <w:spacing w:val="17"/>
              </w:rPr>
              <w:t xml:space="preserve"> </w:t>
            </w:r>
            <w:r>
              <w:rPr>
                <w:sz w:val="21"/>
                <w:szCs w:val="21"/>
                <w:b/>
                <w:bCs/>
                <w:spacing w:val="-3"/>
              </w:rPr>
              <w:t>牌镇，规划区范围：北至花菱镇雍峙村与黄土</w:t>
            </w:r>
          </w:p>
          <w:p>
            <w:pPr>
              <w:pStyle w:val="TableText"/>
              <w:ind w:left="115" w:right="128"/>
              <w:spacing w:before="2" w:line="239" w:lineRule="auto"/>
              <w:rPr>
                <w:sz w:val="21"/>
                <w:szCs w:val="21"/>
              </w:rPr>
            </w:pPr>
            <w:r>
              <w:rPr>
                <w:sz w:val="21"/>
                <w:szCs w:val="21"/>
                <w:b/>
                <w:bCs/>
                <w:spacing w:val="-3"/>
              </w:rPr>
              <w:t>镇长征村交界；南至界牌镇石安村与永兴双土</w:t>
            </w:r>
            <w:r>
              <w:rPr>
                <w:sz w:val="21"/>
                <w:szCs w:val="21"/>
                <w:spacing w:val="6"/>
              </w:rPr>
              <w:t xml:space="preserve"> </w:t>
            </w:r>
            <w:r>
              <w:rPr>
                <w:sz w:val="21"/>
                <w:szCs w:val="21"/>
                <w:b/>
                <w:bCs/>
                <w:spacing w:val="-3"/>
              </w:rPr>
              <w:t>地交界；东至辽宁大道；西至雍持、前进、西</w:t>
            </w:r>
          </w:p>
          <w:p>
            <w:pPr>
              <w:pStyle w:val="TableText"/>
              <w:ind w:left="115"/>
              <w:spacing w:before="13" w:line="193" w:lineRule="auto"/>
              <w:rPr>
                <w:sz w:val="21"/>
                <w:szCs w:val="21"/>
              </w:rPr>
            </w:pPr>
            <w:r>
              <w:rPr>
                <w:sz w:val="21"/>
                <w:szCs w:val="21"/>
                <w:b/>
                <w:bCs/>
                <w:spacing w:val="2"/>
              </w:rPr>
              <w:t>岩、永丰、金凤竹林。石安山脚路，辖雍屿、</w:t>
            </w:r>
          </w:p>
        </w:tc>
        <w:tc>
          <w:tcPr>
            <w:tcW w:w="2077" w:type="dxa"/>
            <w:vAlign w:val="top"/>
          </w:tcPr>
          <w:p>
            <w:pPr>
              <w:pStyle w:val="TableText"/>
              <w:ind w:left="10" w:right="168"/>
              <w:spacing w:before="164" w:line="242" w:lineRule="auto"/>
              <w:jc w:val="both"/>
              <w:rPr>
                <w:sz w:val="21"/>
                <w:szCs w:val="21"/>
              </w:rPr>
            </w:pPr>
            <w:r>
              <w:rPr>
                <w:sz w:val="21"/>
                <w:szCs w:val="21"/>
                <w:b/>
                <w:bCs/>
                <w:spacing w:val="-4"/>
              </w:rPr>
              <w:t>本项目位于四川省绵</w:t>
            </w:r>
            <w:r>
              <w:rPr>
                <w:sz w:val="21"/>
                <w:szCs w:val="21"/>
                <w:spacing w:val="6"/>
              </w:rPr>
              <w:t xml:space="preserve"> </w:t>
            </w:r>
            <w:r>
              <w:rPr>
                <w:sz w:val="21"/>
                <w:szCs w:val="21"/>
                <w:b/>
                <w:bCs/>
                <w:spacing w:val="-3"/>
              </w:rPr>
              <w:t>阳市安州区科兴路，</w:t>
            </w:r>
            <w:r>
              <w:rPr>
                <w:sz w:val="21"/>
                <w:szCs w:val="21"/>
                <w:spacing w:val="5"/>
              </w:rPr>
              <w:t xml:space="preserve"> </w:t>
            </w:r>
            <w:r>
              <w:rPr>
                <w:sz w:val="21"/>
                <w:szCs w:val="21"/>
                <w:b/>
                <w:bCs/>
                <w:spacing w:val="-4"/>
              </w:rPr>
              <w:t>属于四川绵阳安州工</w:t>
            </w:r>
            <w:r>
              <w:rPr>
                <w:sz w:val="21"/>
                <w:szCs w:val="21"/>
                <w:spacing w:val="5"/>
              </w:rPr>
              <w:t xml:space="preserve"> </w:t>
            </w:r>
            <w:r>
              <w:rPr>
                <w:sz w:val="21"/>
                <w:szCs w:val="21"/>
                <w:b/>
                <w:bCs/>
                <w:spacing w:val="-3"/>
              </w:rPr>
              <w:t>业园区范围内。</w:t>
            </w:r>
          </w:p>
        </w:tc>
        <w:tc>
          <w:tcPr>
            <w:tcW w:w="734" w:type="dxa"/>
            <w:vAlign w:val="top"/>
          </w:tcPr>
          <w:p>
            <w:pPr>
              <w:spacing w:line="254" w:lineRule="auto"/>
              <w:rPr>
                <w:rFonts w:ascii="Arial"/>
                <w:sz w:val="21"/>
              </w:rPr>
            </w:pPr>
            <w:r/>
          </w:p>
          <w:p>
            <w:pPr>
              <w:spacing w:line="255" w:lineRule="auto"/>
              <w:rPr>
                <w:rFonts w:ascii="Arial"/>
                <w:sz w:val="21"/>
              </w:rPr>
            </w:pPr>
            <w:r/>
          </w:p>
          <w:p>
            <w:pPr>
              <w:pStyle w:val="TableText"/>
              <w:ind w:left="149"/>
              <w:spacing w:before="68" w:line="219" w:lineRule="auto"/>
              <w:rPr>
                <w:sz w:val="21"/>
                <w:szCs w:val="21"/>
              </w:rPr>
            </w:pPr>
            <w:r>
              <w:rPr>
                <w:sz w:val="21"/>
                <w:szCs w:val="21"/>
                <w:spacing w:val="-3"/>
              </w:rPr>
              <w:t>符合</w:t>
            </w:r>
          </w:p>
        </w:tc>
      </w:tr>
    </w:tbl>
    <w:p>
      <w:pPr>
        <w:pStyle w:val="BodyText"/>
        <w:rPr/>
      </w:pPr>
      <w:r/>
    </w:p>
    <w:p>
      <w:pPr>
        <w:sectPr>
          <w:headerReference w:type="default" r:id="rId36"/>
          <w:footerReference w:type="default" r:id="rId37"/>
          <w:pgSz w:w="11910" w:h="16840"/>
          <w:pgMar w:top="1219" w:right="1705" w:bottom="1018" w:left="1685" w:header="865" w:footer="720" w:gutter="0"/>
        </w:sectPr>
        <w:rPr/>
      </w:pPr>
    </w:p>
    <w:p>
      <w:pPr>
        <w:spacing w:line="237" w:lineRule="exact"/>
        <w:rPr/>
      </w:pPr>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34"/>
        <w:gridCol w:w="819"/>
        <w:gridCol w:w="4435"/>
        <w:gridCol w:w="2087"/>
        <w:gridCol w:w="734"/>
      </w:tblGrid>
      <w:tr>
        <w:trPr>
          <w:trHeight w:val="544" w:hRule="atLeast"/>
        </w:trPr>
        <w:tc>
          <w:tcPr>
            <w:tcW w:w="434" w:type="dxa"/>
            <w:vAlign w:val="top"/>
          </w:tcPr>
          <w:p>
            <w:pPr>
              <w:rPr>
                <w:rFonts w:ascii="Arial"/>
                <w:sz w:val="21"/>
              </w:rPr>
            </w:pPr>
            <w:r/>
          </w:p>
        </w:tc>
        <w:tc>
          <w:tcPr>
            <w:tcW w:w="819" w:type="dxa"/>
            <w:vAlign w:val="top"/>
          </w:tcPr>
          <w:p>
            <w:pPr>
              <w:rPr>
                <w:rFonts w:ascii="Arial"/>
                <w:sz w:val="21"/>
              </w:rPr>
            </w:pPr>
            <w:r/>
          </w:p>
        </w:tc>
        <w:tc>
          <w:tcPr>
            <w:tcW w:w="4435" w:type="dxa"/>
            <w:vAlign w:val="top"/>
          </w:tcPr>
          <w:p>
            <w:pPr>
              <w:pStyle w:val="TableText"/>
              <w:ind w:left="11" w:right="414"/>
              <w:spacing w:before="24" w:line="224" w:lineRule="auto"/>
              <w:rPr>
                <w:sz w:val="21"/>
                <w:szCs w:val="21"/>
              </w:rPr>
            </w:pPr>
            <w:r>
              <w:rPr>
                <w:sz w:val="21"/>
                <w:szCs w:val="21"/>
              </w:rPr>
              <w:t>前进、西岩、永丰、金凤、竹林，石安七个</w:t>
            </w:r>
            <w:r>
              <w:rPr>
                <w:sz w:val="21"/>
                <w:szCs w:val="21"/>
                <w:spacing w:val="7"/>
              </w:rPr>
              <w:t xml:space="preserve"> </w:t>
            </w:r>
            <w:r>
              <w:rPr>
                <w:sz w:val="21"/>
                <w:szCs w:val="21"/>
              </w:rPr>
              <w:t>村。规划面积7.48平方公里。</w:t>
            </w:r>
          </w:p>
        </w:tc>
        <w:tc>
          <w:tcPr>
            <w:tcW w:w="2087" w:type="dxa"/>
            <w:vAlign w:val="top"/>
          </w:tcPr>
          <w:p>
            <w:pPr>
              <w:rPr>
                <w:rFonts w:ascii="Arial"/>
                <w:sz w:val="21"/>
              </w:rPr>
            </w:pPr>
            <w:r/>
          </w:p>
        </w:tc>
        <w:tc>
          <w:tcPr>
            <w:tcW w:w="734" w:type="dxa"/>
            <w:vAlign w:val="top"/>
          </w:tcPr>
          <w:p>
            <w:pPr>
              <w:rPr>
                <w:rFonts w:ascii="Arial"/>
                <w:sz w:val="21"/>
              </w:rPr>
            </w:pPr>
            <w:r/>
          </w:p>
        </w:tc>
      </w:tr>
      <w:tr>
        <w:trPr>
          <w:trHeight w:val="819" w:hRule="atLeast"/>
        </w:trPr>
        <w:tc>
          <w:tcPr>
            <w:tcW w:w="434" w:type="dxa"/>
            <w:vAlign w:val="top"/>
          </w:tcPr>
          <w:p>
            <w:pPr>
              <w:spacing w:line="260" w:lineRule="auto"/>
              <w:rPr>
                <w:rFonts w:ascii="Arial"/>
                <w:sz w:val="21"/>
              </w:rPr>
            </w:pPr>
            <w:r/>
          </w:p>
          <w:p>
            <w:pPr>
              <w:pStyle w:val="TableText"/>
              <w:ind w:left="154"/>
              <w:spacing w:before="68" w:line="241" w:lineRule="auto"/>
              <w:rPr>
                <w:sz w:val="21"/>
                <w:szCs w:val="21"/>
              </w:rPr>
            </w:pPr>
            <w:r>
              <w:rPr>
                <w:sz w:val="21"/>
                <w:szCs w:val="21"/>
              </w:rPr>
              <w:t>2</w:t>
            </w:r>
          </w:p>
        </w:tc>
        <w:tc>
          <w:tcPr>
            <w:tcW w:w="819" w:type="dxa"/>
            <w:vAlign w:val="top"/>
          </w:tcPr>
          <w:p>
            <w:pPr>
              <w:pStyle w:val="TableText"/>
              <w:ind w:left="80" w:right="84"/>
              <w:spacing w:before="170"/>
              <w:rPr>
                <w:sz w:val="21"/>
                <w:szCs w:val="21"/>
              </w:rPr>
            </w:pPr>
            <w:r>
              <w:rPr>
                <w:sz w:val="21"/>
                <w:szCs w:val="21"/>
                <w:spacing w:val="4"/>
              </w:rPr>
              <w:t>规划产</w:t>
            </w:r>
            <w:r>
              <w:rPr>
                <w:sz w:val="21"/>
                <w:szCs w:val="21"/>
              </w:rPr>
              <w:t xml:space="preserve"> </w:t>
            </w:r>
            <w:r>
              <w:rPr>
                <w:sz w:val="21"/>
                <w:szCs w:val="21"/>
                <w:spacing w:val="-2"/>
              </w:rPr>
              <w:t>业定位</w:t>
            </w:r>
          </w:p>
        </w:tc>
        <w:tc>
          <w:tcPr>
            <w:tcW w:w="4435" w:type="dxa"/>
            <w:vAlign w:val="top"/>
          </w:tcPr>
          <w:p>
            <w:pPr>
              <w:pStyle w:val="TableText"/>
              <w:ind w:left="11" w:right="194"/>
              <w:spacing w:before="30" w:line="228" w:lineRule="auto"/>
              <w:jc w:val="both"/>
              <w:rPr>
                <w:sz w:val="21"/>
                <w:szCs w:val="21"/>
              </w:rPr>
            </w:pPr>
            <w:r>
              <w:rPr>
                <w:sz w:val="21"/>
                <w:szCs w:val="21"/>
              </w:rPr>
              <w:t>以汽车配件产业园区为主，以电子信息产业园</w:t>
            </w:r>
            <w:r>
              <w:rPr>
                <w:sz w:val="21"/>
                <w:szCs w:val="21"/>
                <w:spacing w:val="18"/>
              </w:rPr>
              <w:t xml:space="preserve"> </w:t>
            </w:r>
            <w:r>
              <w:rPr>
                <w:sz w:val="21"/>
                <w:szCs w:val="21"/>
              </w:rPr>
              <w:t>区、医药制造产业园区、综合配套区为辅的综</w:t>
            </w:r>
            <w:r>
              <w:rPr>
                <w:sz w:val="21"/>
                <w:szCs w:val="21"/>
                <w:spacing w:val="7"/>
              </w:rPr>
              <w:t xml:space="preserve"> </w:t>
            </w:r>
            <w:r>
              <w:rPr>
                <w:sz w:val="21"/>
                <w:szCs w:val="21"/>
              </w:rPr>
              <w:t>合性生态产业园。</w:t>
            </w:r>
          </w:p>
        </w:tc>
        <w:tc>
          <w:tcPr>
            <w:tcW w:w="2087" w:type="dxa"/>
            <w:vAlign w:val="top"/>
            <w:vMerge w:val="restart"/>
            <w:tcBorders>
              <w:bottom w:val="nil"/>
            </w:tcBorders>
          </w:tcPr>
          <w:p>
            <w:pPr>
              <w:spacing w:line="259" w:lineRule="auto"/>
              <w:rPr>
                <w:rFonts w:ascii="Arial"/>
                <w:sz w:val="21"/>
              </w:rPr>
            </w:pPr>
            <w:r/>
          </w:p>
          <w:p>
            <w:pPr>
              <w:spacing w:line="260" w:lineRule="auto"/>
              <w:rPr>
                <w:rFonts w:ascii="Arial"/>
                <w:sz w:val="21"/>
              </w:rPr>
            </w:pPr>
            <w:r/>
          </w:p>
          <w:p>
            <w:pPr>
              <w:pStyle w:val="TableText"/>
              <w:ind w:left="17" w:right="157"/>
              <w:spacing w:before="68" w:line="238" w:lineRule="auto"/>
              <w:rPr>
                <w:sz w:val="21"/>
                <w:szCs w:val="21"/>
              </w:rPr>
            </w:pPr>
            <w:r>
              <w:rPr>
                <w:sz w:val="21"/>
                <w:szCs w:val="21"/>
                <w:spacing w:val="-1"/>
              </w:rPr>
              <w:t>本项目为“C1351牲</w:t>
            </w:r>
            <w:r>
              <w:rPr>
                <w:sz w:val="21"/>
                <w:szCs w:val="21"/>
              </w:rPr>
              <w:t xml:space="preserve">  </w:t>
            </w:r>
            <w:r>
              <w:rPr>
                <w:sz w:val="21"/>
                <w:szCs w:val="21"/>
                <w:spacing w:val="1"/>
              </w:rPr>
              <w:t>畜屠宰”,不属于园  </w:t>
            </w:r>
            <w:r>
              <w:rPr>
                <w:sz w:val="21"/>
                <w:szCs w:val="21"/>
                <w:spacing w:val="1"/>
              </w:rPr>
              <w:t>区主导产业，不属于</w:t>
            </w:r>
            <w:r>
              <w:rPr>
                <w:sz w:val="21"/>
                <w:szCs w:val="21"/>
                <w:spacing w:val="2"/>
              </w:rPr>
              <w:t xml:space="preserve"> </w:t>
            </w:r>
            <w:r>
              <w:rPr>
                <w:sz w:val="21"/>
                <w:szCs w:val="21"/>
              </w:rPr>
              <w:t>园区禁止类、限制类</w:t>
            </w:r>
            <w:r>
              <w:rPr>
                <w:sz w:val="21"/>
                <w:szCs w:val="21"/>
                <w:spacing w:val="7"/>
              </w:rPr>
              <w:t xml:space="preserve"> </w:t>
            </w:r>
            <w:r>
              <w:rPr>
                <w:sz w:val="21"/>
                <w:szCs w:val="21"/>
                <w:spacing w:val="-1"/>
              </w:rPr>
              <w:t>项目，为允许类。</w:t>
            </w:r>
          </w:p>
        </w:tc>
        <w:tc>
          <w:tcPr>
            <w:tcW w:w="734" w:type="dxa"/>
            <w:vAlign w:val="top"/>
            <w:vMerge w:val="restart"/>
            <w:tcBorders>
              <w:bottom w:val="nil"/>
            </w:tcBorders>
          </w:tcPr>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7" w:lineRule="auto"/>
              <w:rPr>
                <w:rFonts w:ascii="Arial"/>
                <w:sz w:val="21"/>
              </w:rPr>
            </w:pPr>
            <w:r/>
          </w:p>
          <w:p>
            <w:pPr>
              <w:pStyle w:val="TableText"/>
              <w:ind w:left="149"/>
              <w:spacing w:before="68" w:line="219" w:lineRule="auto"/>
              <w:rPr>
                <w:sz w:val="21"/>
                <w:szCs w:val="21"/>
              </w:rPr>
            </w:pPr>
            <w:r>
              <w:rPr>
                <w:sz w:val="21"/>
                <w:szCs w:val="21"/>
                <w:spacing w:val="-3"/>
              </w:rPr>
              <w:t>符合</w:t>
            </w:r>
          </w:p>
        </w:tc>
      </w:tr>
      <w:tr>
        <w:trPr>
          <w:trHeight w:val="1079" w:hRule="atLeast"/>
        </w:trPr>
        <w:tc>
          <w:tcPr>
            <w:tcW w:w="434" w:type="dxa"/>
            <w:vAlign w:val="top"/>
          </w:tcPr>
          <w:p>
            <w:pPr>
              <w:spacing w:line="390" w:lineRule="auto"/>
              <w:rPr>
                <w:rFonts w:ascii="Arial"/>
                <w:sz w:val="21"/>
              </w:rPr>
            </w:pPr>
            <w:r/>
          </w:p>
          <w:p>
            <w:pPr>
              <w:pStyle w:val="TableText"/>
              <w:ind w:left="154"/>
              <w:spacing w:before="68"/>
              <w:rPr>
                <w:sz w:val="21"/>
                <w:szCs w:val="21"/>
              </w:rPr>
            </w:pPr>
            <w:r>
              <w:rPr>
                <w:sz w:val="21"/>
                <w:szCs w:val="21"/>
              </w:rPr>
              <w:t>3</w:t>
            </w:r>
          </w:p>
        </w:tc>
        <w:tc>
          <w:tcPr>
            <w:tcW w:w="819" w:type="dxa"/>
            <w:vAlign w:val="top"/>
          </w:tcPr>
          <w:p>
            <w:pPr>
              <w:pStyle w:val="TableText"/>
              <w:ind w:left="80" w:right="86"/>
              <w:spacing w:before="31" w:line="230" w:lineRule="auto"/>
              <w:rPr>
                <w:sz w:val="21"/>
                <w:szCs w:val="21"/>
              </w:rPr>
            </w:pPr>
            <w:r>
              <w:rPr>
                <w:sz w:val="21"/>
                <w:szCs w:val="21"/>
                <w:spacing w:val="-4"/>
              </w:rPr>
              <w:t>规划经</w:t>
            </w:r>
            <w:r>
              <w:rPr>
                <w:sz w:val="21"/>
                <w:szCs w:val="21"/>
                <w:spacing w:val="1"/>
              </w:rPr>
              <w:t xml:space="preserve"> </w:t>
            </w:r>
            <w:r>
              <w:rPr>
                <w:sz w:val="21"/>
                <w:szCs w:val="21"/>
                <w:spacing w:val="3"/>
              </w:rPr>
              <w:t>济发展</w:t>
            </w:r>
          </w:p>
          <w:p>
            <w:pPr>
              <w:pStyle w:val="TableText"/>
              <w:ind w:left="279" w:right="84" w:hanging="199"/>
              <w:spacing w:before="16" w:line="211" w:lineRule="auto"/>
              <w:rPr>
                <w:sz w:val="21"/>
                <w:szCs w:val="21"/>
              </w:rPr>
            </w:pPr>
            <w:r>
              <w:rPr>
                <w:sz w:val="21"/>
                <w:szCs w:val="21"/>
                <w:spacing w:val="4"/>
              </w:rPr>
              <w:t>目标指</w:t>
            </w:r>
            <w:r>
              <w:rPr>
                <w:sz w:val="21"/>
                <w:szCs w:val="21"/>
              </w:rPr>
              <w:t xml:space="preserve"> </w:t>
            </w:r>
            <w:r>
              <w:rPr>
                <w:sz w:val="21"/>
                <w:szCs w:val="21"/>
              </w:rPr>
              <w:t>标</w:t>
            </w:r>
          </w:p>
        </w:tc>
        <w:tc>
          <w:tcPr>
            <w:tcW w:w="4435" w:type="dxa"/>
            <w:vAlign w:val="top"/>
          </w:tcPr>
          <w:p>
            <w:pPr>
              <w:pStyle w:val="TableText"/>
              <w:ind w:left="11" w:right="203"/>
              <w:spacing w:before="31" w:line="228" w:lineRule="auto"/>
              <w:jc w:val="both"/>
              <w:rPr>
                <w:sz w:val="21"/>
                <w:szCs w:val="21"/>
              </w:rPr>
            </w:pPr>
            <w:r>
              <w:rPr>
                <w:sz w:val="21"/>
                <w:szCs w:val="21"/>
              </w:rPr>
              <w:t>到2020年，预计工业园区完成投资22亿元，全</w:t>
            </w:r>
            <w:r>
              <w:rPr>
                <w:sz w:val="21"/>
                <w:szCs w:val="21"/>
                <w:spacing w:val="8"/>
              </w:rPr>
              <w:t xml:space="preserve"> </w:t>
            </w:r>
            <w:r>
              <w:rPr>
                <w:sz w:val="21"/>
                <w:szCs w:val="21"/>
                <w:spacing w:val="-1"/>
              </w:rPr>
              <w:t>面完成7.48平方公里的基础设施和配套设施建</w:t>
            </w:r>
            <w:r>
              <w:rPr>
                <w:sz w:val="21"/>
                <w:szCs w:val="21"/>
                <w:spacing w:val="11"/>
              </w:rPr>
              <w:t xml:space="preserve"> </w:t>
            </w:r>
            <w:r>
              <w:rPr>
                <w:sz w:val="21"/>
                <w:szCs w:val="21"/>
              </w:rPr>
              <w:t>设，形成功能齐备、布局合理、环境优美的新</w:t>
            </w:r>
            <w:r>
              <w:rPr>
                <w:sz w:val="21"/>
                <w:szCs w:val="21"/>
                <w:spacing w:val="7"/>
              </w:rPr>
              <w:t xml:space="preserve"> </w:t>
            </w:r>
            <w:r>
              <w:rPr>
                <w:sz w:val="21"/>
                <w:szCs w:val="21"/>
              </w:rPr>
              <w:t>兴工业基地。</w:t>
            </w:r>
          </w:p>
        </w:tc>
        <w:tc>
          <w:tcPr>
            <w:tcW w:w="2087" w:type="dxa"/>
            <w:vAlign w:val="top"/>
            <w:vMerge w:val="continue"/>
            <w:tcBorders>
              <w:top w:val="nil"/>
              <w:bottom w:val="nil"/>
            </w:tcBorders>
          </w:tcPr>
          <w:p>
            <w:pPr>
              <w:rPr>
                <w:rFonts w:ascii="Arial"/>
                <w:sz w:val="21"/>
              </w:rPr>
            </w:pPr>
            <w:r/>
          </w:p>
        </w:tc>
        <w:tc>
          <w:tcPr>
            <w:tcW w:w="734" w:type="dxa"/>
            <w:vAlign w:val="top"/>
            <w:vMerge w:val="continue"/>
            <w:tcBorders>
              <w:top w:val="nil"/>
              <w:bottom w:val="nil"/>
            </w:tcBorders>
          </w:tcPr>
          <w:p>
            <w:pPr>
              <w:rPr>
                <w:rFonts w:ascii="Arial"/>
                <w:sz w:val="21"/>
              </w:rPr>
            </w:pPr>
            <w:r/>
          </w:p>
        </w:tc>
      </w:tr>
      <w:tr>
        <w:trPr>
          <w:trHeight w:val="559" w:hRule="atLeast"/>
        </w:trPr>
        <w:tc>
          <w:tcPr>
            <w:tcW w:w="434" w:type="dxa"/>
            <w:vAlign w:val="top"/>
          </w:tcPr>
          <w:p>
            <w:pPr>
              <w:pStyle w:val="TableText"/>
              <w:ind w:left="154"/>
              <w:spacing w:before="202" w:line="241" w:lineRule="auto"/>
              <w:rPr>
                <w:sz w:val="21"/>
                <w:szCs w:val="21"/>
              </w:rPr>
            </w:pPr>
            <w:r>
              <w:rPr>
                <w:sz w:val="21"/>
                <w:szCs w:val="21"/>
              </w:rPr>
              <w:t>4</w:t>
            </w:r>
          </w:p>
        </w:tc>
        <w:tc>
          <w:tcPr>
            <w:tcW w:w="819" w:type="dxa"/>
            <w:vAlign w:val="top"/>
          </w:tcPr>
          <w:p>
            <w:pPr>
              <w:pStyle w:val="TableText"/>
              <w:ind w:left="80"/>
              <w:spacing w:before="21" w:line="219" w:lineRule="auto"/>
              <w:rPr>
                <w:sz w:val="21"/>
                <w:szCs w:val="21"/>
              </w:rPr>
            </w:pPr>
            <w:r>
              <w:rPr>
                <w:sz w:val="21"/>
                <w:szCs w:val="21"/>
                <w:spacing w:val="4"/>
              </w:rPr>
              <w:t>规划产</w:t>
            </w:r>
          </w:p>
          <w:p>
            <w:pPr>
              <w:pStyle w:val="TableText"/>
              <w:ind w:left="80"/>
              <w:spacing w:before="40" w:line="209" w:lineRule="auto"/>
              <w:rPr>
                <w:sz w:val="21"/>
                <w:szCs w:val="21"/>
              </w:rPr>
            </w:pPr>
            <w:r>
              <w:rPr>
                <w:sz w:val="21"/>
                <w:szCs w:val="21"/>
                <w:spacing w:val="6"/>
              </w:rPr>
              <w:t>业布局</w:t>
            </w:r>
          </w:p>
        </w:tc>
        <w:tc>
          <w:tcPr>
            <w:tcW w:w="4435" w:type="dxa"/>
            <w:vAlign w:val="top"/>
          </w:tcPr>
          <w:p>
            <w:pPr>
              <w:pStyle w:val="TableText"/>
              <w:ind w:left="11" w:right="221"/>
              <w:spacing w:before="41" w:line="223" w:lineRule="auto"/>
              <w:rPr>
                <w:sz w:val="21"/>
                <w:szCs w:val="21"/>
              </w:rPr>
            </w:pPr>
            <w:r>
              <w:rPr>
                <w:sz w:val="21"/>
                <w:szCs w:val="21"/>
                <w:spacing w:val="-1"/>
              </w:rPr>
              <w:t>汽车配件产业园区，电子信息产业园区、医药</w:t>
            </w:r>
            <w:r>
              <w:rPr>
                <w:sz w:val="21"/>
                <w:szCs w:val="21"/>
                <w:spacing w:val="10"/>
              </w:rPr>
              <w:t xml:space="preserve"> </w:t>
            </w:r>
            <w:r>
              <w:rPr>
                <w:sz w:val="21"/>
                <w:szCs w:val="21"/>
              </w:rPr>
              <w:t>制造产业园区、综合配套区。</w:t>
            </w:r>
          </w:p>
        </w:tc>
        <w:tc>
          <w:tcPr>
            <w:tcW w:w="2087" w:type="dxa"/>
            <w:vAlign w:val="top"/>
            <w:vMerge w:val="continue"/>
            <w:tcBorders>
              <w:top w:val="nil"/>
            </w:tcBorders>
          </w:tcPr>
          <w:p>
            <w:pPr>
              <w:rPr>
                <w:rFonts w:ascii="Arial"/>
                <w:sz w:val="21"/>
              </w:rPr>
            </w:pPr>
            <w:r/>
          </w:p>
        </w:tc>
        <w:tc>
          <w:tcPr>
            <w:tcW w:w="734" w:type="dxa"/>
            <w:vAlign w:val="top"/>
            <w:vMerge w:val="continue"/>
            <w:tcBorders>
              <w:top w:val="nil"/>
            </w:tcBorders>
          </w:tcPr>
          <w:p>
            <w:pPr>
              <w:rPr>
                <w:rFonts w:ascii="Arial"/>
                <w:sz w:val="21"/>
              </w:rPr>
            </w:pPr>
            <w:r/>
          </w:p>
        </w:tc>
      </w:tr>
      <w:tr>
        <w:trPr>
          <w:trHeight w:val="3245" w:hRule="atLeast"/>
        </w:trPr>
        <w:tc>
          <w:tcPr>
            <w:tcW w:w="434"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TableText"/>
              <w:ind w:left="154"/>
              <w:spacing w:before="69"/>
              <w:rPr>
                <w:sz w:val="21"/>
                <w:szCs w:val="21"/>
              </w:rPr>
            </w:pPr>
            <w:r>
              <w:rPr>
                <w:sz w:val="21"/>
                <w:szCs w:val="21"/>
              </w:rPr>
              <w:t>5</w:t>
            </w:r>
          </w:p>
        </w:tc>
        <w:tc>
          <w:tcPr>
            <w:tcW w:w="819"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80"/>
              <w:spacing w:before="68" w:line="221" w:lineRule="auto"/>
              <w:rPr>
                <w:sz w:val="21"/>
                <w:szCs w:val="21"/>
              </w:rPr>
            </w:pPr>
            <w:r>
              <w:rPr>
                <w:sz w:val="21"/>
                <w:szCs w:val="21"/>
                <w:spacing w:val="8"/>
              </w:rPr>
              <w:t>规划用</w:t>
            </w:r>
          </w:p>
          <w:p>
            <w:pPr>
              <w:pStyle w:val="TableText"/>
              <w:ind w:left="80"/>
              <w:spacing w:before="25" w:line="219" w:lineRule="auto"/>
              <w:rPr>
                <w:sz w:val="21"/>
                <w:szCs w:val="21"/>
              </w:rPr>
            </w:pPr>
            <w:r>
              <w:rPr>
                <w:sz w:val="21"/>
                <w:szCs w:val="21"/>
                <w:spacing w:val="6"/>
              </w:rPr>
              <w:t>地布局</w:t>
            </w:r>
          </w:p>
        </w:tc>
        <w:tc>
          <w:tcPr>
            <w:tcW w:w="4435" w:type="dxa"/>
            <w:vAlign w:val="top"/>
          </w:tcPr>
          <w:p>
            <w:pPr>
              <w:pStyle w:val="TableText"/>
              <w:ind w:left="11"/>
              <w:spacing w:before="19" w:line="232" w:lineRule="auto"/>
              <w:rPr>
                <w:sz w:val="21"/>
                <w:szCs w:val="21"/>
              </w:rPr>
            </w:pPr>
            <w:r>
              <w:rPr>
                <w:sz w:val="21"/>
                <w:szCs w:val="21"/>
              </w:rPr>
              <w:t>①工业：工业用地规模为443.44公顷，占规划总</w:t>
            </w:r>
            <w:r>
              <w:rPr>
                <w:sz w:val="21"/>
                <w:szCs w:val="21"/>
                <w:spacing w:val="2"/>
              </w:rPr>
              <w:t xml:space="preserve"> </w:t>
            </w:r>
            <w:r>
              <w:rPr>
                <w:sz w:val="21"/>
                <w:szCs w:val="21"/>
              </w:rPr>
              <w:t>面积的59.32%;②仓储用地：规划用地总面积</w:t>
            </w:r>
          </w:p>
          <w:p>
            <w:pPr>
              <w:pStyle w:val="TableText"/>
              <w:ind w:left="11" w:right="94"/>
              <w:spacing w:before="31" w:line="228" w:lineRule="auto"/>
              <w:rPr>
                <w:sz w:val="21"/>
                <w:szCs w:val="21"/>
              </w:rPr>
            </w:pPr>
            <w:r>
              <w:rPr>
                <w:sz w:val="21"/>
                <w:szCs w:val="21"/>
                <w:spacing w:val="-1"/>
              </w:rPr>
              <w:t>为92.97公顷，占规划总面积的12.44%;③道路</w:t>
            </w:r>
            <w:r>
              <w:rPr>
                <w:sz w:val="21"/>
                <w:szCs w:val="21"/>
                <w:spacing w:val="7"/>
              </w:rPr>
              <w:t xml:space="preserve">  </w:t>
            </w:r>
            <w:r>
              <w:rPr>
                <w:sz w:val="21"/>
                <w:szCs w:val="21"/>
              </w:rPr>
              <w:t>广场用地：规划用地总面积为78.95公顷，占规</w:t>
            </w:r>
            <w:r>
              <w:rPr>
                <w:sz w:val="21"/>
                <w:szCs w:val="21"/>
                <w:spacing w:val="12"/>
              </w:rPr>
              <w:t xml:space="preserve"> </w:t>
            </w:r>
            <w:r>
              <w:rPr>
                <w:sz w:val="21"/>
                <w:szCs w:val="21"/>
              </w:rPr>
              <w:t>划总面积的10.56%;④市政设施用地：规划物</w:t>
            </w:r>
          </w:p>
          <w:p>
            <w:pPr>
              <w:pStyle w:val="TableText"/>
              <w:ind w:left="11"/>
              <w:spacing w:before="26" w:line="220" w:lineRule="auto"/>
              <w:rPr>
                <w:sz w:val="21"/>
                <w:szCs w:val="21"/>
              </w:rPr>
            </w:pPr>
            <w:r>
              <w:rPr>
                <w:sz w:val="21"/>
                <w:szCs w:val="21"/>
                <w:spacing w:val="2"/>
              </w:rPr>
              <w:t>流仓储用地5.21项，占规划建设用地的0.7%;</w:t>
            </w:r>
          </w:p>
          <w:p>
            <w:pPr>
              <w:pStyle w:val="TableText"/>
              <w:ind w:left="11" w:right="296"/>
              <w:spacing w:before="35" w:line="232" w:lineRule="auto"/>
              <w:rPr>
                <w:sz w:val="21"/>
                <w:szCs w:val="21"/>
              </w:rPr>
            </w:pPr>
            <w:r>
              <w:rPr>
                <w:sz w:val="21"/>
                <w:szCs w:val="21"/>
                <w:spacing w:val="1"/>
              </w:rPr>
              <w:t>⑤绿地：面积共66.08公顷，占规划总面</w:t>
            </w:r>
            <w:r>
              <w:rPr>
                <w:sz w:val="21"/>
                <w:szCs w:val="21"/>
              </w:rPr>
              <w:t>积的 </w:t>
            </w:r>
            <w:r>
              <w:rPr>
                <w:sz w:val="21"/>
                <w:szCs w:val="21"/>
                <w:spacing w:val="-1"/>
              </w:rPr>
              <w:t>8.84%;⑥对外交通用地：规划用地总面积为</w:t>
            </w:r>
          </w:p>
          <w:p>
            <w:pPr>
              <w:pStyle w:val="TableText"/>
              <w:ind w:left="11"/>
              <w:spacing w:before="13" w:line="217" w:lineRule="auto"/>
              <w:rPr>
                <w:sz w:val="21"/>
                <w:szCs w:val="21"/>
              </w:rPr>
            </w:pPr>
            <w:r>
              <w:rPr>
                <w:sz w:val="21"/>
                <w:szCs w:val="21"/>
                <w:spacing w:val="1"/>
              </w:rPr>
              <w:t>26.93公顷，占规划总面积的3.6%;⑦居住用</w:t>
            </w:r>
          </w:p>
          <w:p>
            <w:pPr>
              <w:pStyle w:val="TableText"/>
              <w:ind w:left="11" w:right="94"/>
              <w:spacing w:before="17" w:line="223" w:lineRule="auto"/>
              <w:rPr>
                <w:sz w:val="21"/>
                <w:szCs w:val="21"/>
              </w:rPr>
            </w:pPr>
            <w:r>
              <w:rPr>
                <w:sz w:val="21"/>
                <w:szCs w:val="21"/>
              </w:rPr>
              <w:t>地：规划用地总面积为21.12公顷，占规划总面</w:t>
            </w:r>
            <w:r>
              <w:rPr>
                <w:sz w:val="21"/>
                <w:szCs w:val="21"/>
                <w:spacing w:val="12"/>
              </w:rPr>
              <w:t xml:space="preserve"> </w:t>
            </w:r>
            <w:r>
              <w:rPr>
                <w:sz w:val="21"/>
                <w:szCs w:val="21"/>
              </w:rPr>
              <w:t>积的2.83%;⑧公共设施用地：规划用地总面积</w:t>
            </w:r>
            <w:r>
              <w:rPr>
                <w:sz w:val="21"/>
                <w:szCs w:val="21"/>
                <w:spacing w:val="6"/>
              </w:rPr>
              <w:t xml:space="preserve">  </w:t>
            </w:r>
            <w:r>
              <w:rPr>
                <w:sz w:val="21"/>
                <w:szCs w:val="21"/>
              </w:rPr>
              <w:t>为12.82公顷，占规划总面积的1.72%。</w:t>
            </w:r>
          </w:p>
        </w:tc>
        <w:tc>
          <w:tcPr>
            <w:tcW w:w="2087" w:type="dxa"/>
            <w:vAlign w:val="top"/>
          </w:tcPr>
          <w:p>
            <w:pPr>
              <w:spacing w:line="294" w:lineRule="auto"/>
              <w:rPr>
                <w:rFonts w:ascii="Arial"/>
                <w:sz w:val="21"/>
              </w:rPr>
            </w:pPr>
            <w:r/>
          </w:p>
          <w:p>
            <w:pPr>
              <w:spacing w:line="294" w:lineRule="auto"/>
              <w:rPr>
                <w:rFonts w:ascii="Arial"/>
                <w:sz w:val="21"/>
              </w:rPr>
            </w:pPr>
            <w:r/>
          </w:p>
          <w:p>
            <w:pPr>
              <w:spacing w:line="294" w:lineRule="auto"/>
              <w:rPr>
                <w:rFonts w:ascii="Arial"/>
                <w:sz w:val="21"/>
              </w:rPr>
            </w:pPr>
            <w:r/>
          </w:p>
          <w:p>
            <w:pPr>
              <w:spacing w:line="294" w:lineRule="auto"/>
              <w:rPr>
                <w:rFonts w:ascii="Arial"/>
                <w:sz w:val="21"/>
              </w:rPr>
            </w:pPr>
            <w:r/>
          </w:p>
          <w:p>
            <w:pPr>
              <w:pStyle w:val="TableText"/>
              <w:ind w:left="17" w:right="154"/>
              <w:spacing w:before="68" w:line="239" w:lineRule="auto"/>
              <w:jc w:val="both"/>
              <w:rPr>
                <w:sz w:val="21"/>
                <w:szCs w:val="21"/>
              </w:rPr>
            </w:pPr>
            <w:r>
              <w:rPr>
                <w:sz w:val="21"/>
                <w:szCs w:val="21"/>
                <w:spacing w:val="1"/>
              </w:rPr>
              <w:t>本项目用地性质为工 </w:t>
            </w:r>
            <w:r>
              <w:rPr>
                <w:sz w:val="21"/>
                <w:szCs w:val="21"/>
                <w:spacing w:val="1"/>
              </w:rPr>
              <w:t>业用地，与园区规划</w:t>
            </w:r>
            <w:r>
              <w:rPr>
                <w:sz w:val="21"/>
                <w:szCs w:val="21"/>
                <w:spacing w:val="5"/>
              </w:rPr>
              <w:t xml:space="preserve"> </w:t>
            </w:r>
            <w:r>
              <w:rPr>
                <w:sz w:val="21"/>
                <w:szCs w:val="21"/>
                <w:spacing w:val="-2"/>
              </w:rPr>
              <w:t>相符。</w:t>
            </w:r>
          </w:p>
        </w:tc>
        <w:tc>
          <w:tcPr>
            <w:tcW w:w="734" w:type="dxa"/>
            <w:vAlign w:val="top"/>
          </w:tcPr>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149"/>
              <w:spacing w:before="68" w:line="219" w:lineRule="auto"/>
              <w:rPr>
                <w:sz w:val="21"/>
                <w:szCs w:val="21"/>
              </w:rPr>
            </w:pPr>
            <w:r>
              <w:rPr>
                <w:sz w:val="21"/>
                <w:szCs w:val="21"/>
                <w:spacing w:val="-3"/>
              </w:rPr>
              <w:t>符合</w:t>
            </w:r>
          </w:p>
        </w:tc>
      </w:tr>
      <w:tr>
        <w:trPr>
          <w:trHeight w:val="564" w:hRule="atLeast"/>
        </w:trPr>
        <w:tc>
          <w:tcPr>
            <w:tcW w:w="434" w:type="dxa"/>
            <w:vAlign w:val="top"/>
          </w:tcPr>
          <w:p>
            <w:pPr>
              <w:pStyle w:val="TableText"/>
              <w:ind w:left="154"/>
              <w:spacing w:before="208"/>
              <w:rPr>
                <w:sz w:val="21"/>
                <w:szCs w:val="21"/>
              </w:rPr>
            </w:pPr>
            <w:r>
              <w:rPr>
                <w:sz w:val="21"/>
                <w:szCs w:val="21"/>
              </w:rPr>
              <w:t>6</w:t>
            </w:r>
          </w:p>
        </w:tc>
        <w:tc>
          <w:tcPr>
            <w:tcW w:w="819" w:type="dxa"/>
            <w:vAlign w:val="top"/>
          </w:tcPr>
          <w:p>
            <w:pPr>
              <w:pStyle w:val="TableText"/>
              <w:ind w:left="190"/>
              <w:spacing w:before="48" w:line="212" w:lineRule="auto"/>
              <w:rPr>
                <w:sz w:val="21"/>
                <w:szCs w:val="21"/>
              </w:rPr>
            </w:pPr>
            <w:r>
              <w:rPr>
                <w:sz w:val="21"/>
                <w:szCs w:val="21"/>
                <w:color w:val="606060"/>
                <w:spacing w:val="4"/>
              </w:rPr>
              <w:t>能源</w:t>
            </w:r>
          </w:p>
          <w:p>
            <w:pPr>
              <w:pStyle w:val="TableText"/>
              <w:ind w:left="190"/>
              <w:spacing w:line="221" w:lineRule="auto"/>
              <w:rPr>
                <w:sz w:val="21"/>
                <w:szCs w:val="21"/>
              </w:rPr>
            </w:pPr>
            <w:r>
              <w:rPr>
                <w:sz w:val="21"/>
                <w:szCs w:val="21"/>
                <w:spacing w:val="7"/>
              </w:rPr>
              <w:t>规划</w:t>
            </w:r>
          </w:p>
        </w:tc>
        <w:tc>
          <w:tcPr>
            <w:tcW w:w="4435" w:type="dxa"/>
            <w:vAlign w:val="top"/>
          </w:tcPr>
          <w:p>
            <w:pPr>
              <w:pStyle w:val="TableText"/>
              <w:ind w:left="11"/>
              <w:spacing w:before="188" w:line="220" w:lineRule="auto"/>
              <w:rPr>
                <w:sz w:val="21"/>
                <w:szCs w:val="21"/>
              </w:rPr>
            </w:pPr>
            <w:r>
              <w:rPr>
                <w:sz w:val="21"/>
                <w:szCs w:val="21"/>
              </w:rPr>
              <w:t>规划区域能源以天然气、电为主。</w:t>
            </w:r>
          </w:p>
        </w:tc>
        <w:tc>
          <w:tcPr>
            <w:tcW w:w="2087" w:type="dxa"/>
            <w:vAlign w:val="top"/>
          </w:tcPr>
          <w:p>
            <w:pPr>
              <w:pStyle w:val="TableText"/>
              <w:ind w:left="17" w:right="179"/>
              <w:spacing w:before="55" w:line="219" w:lineRule="auto"/>
              <w:rPr>
                <w:sz w:val="21"/>
                <w:szCs w:val="21"/>
              </w:rPr>
            </w:pPr>
            <w:r>
              <w:rPr>
                <w:sz w:val="21"/>
                <w:szCs w:val="21"/>
                <w:spacing w:val="-2"/>
              </w:rPr>
              <w:t>本项目所用能源为天</w:t>
            </w:r>
            <w:r>
              <w:rPr>
                <w:sz w:val="21"/>
                <w:szCs w:val="21"/>
                <w:spacing w:val="7"/>
              </w:rPr>
              <w:t xml:space="preserve"> </w:t>
            </w:r>
            <w:r>
              <w:rPr>
                <w:sz w:val="21"/>
                <w:szCs w:val="21"/>
                <w:spacing w:val="-1"/>
              </w:rPr>
              <w:t>然气、电。</w:t>
            </w:r>
          </w:p>
        </w:tc>
        <w:tc>
          <w:tcPr>
            <w:tcW w:w="734" w:type="dxa"/>
            <w:vAlign w:val="top"/>
          </w:tcPr>
          <w:p>
            <w:pPr>
              <w:pStyle w:val="TableText"/>
              <w:ind w:left="149"/>
              <w:spacing w:before="187" w:line="219" w:lineRule="auto"/>
              <w:rPr>
                <w:sz w:val="21"/>
                <w:szCs w:val="21"/>
              </w:rPr>
            </w:pPr>
            <w:r>
              <w:rPr>
                <w:sz w:val="21"/>
                <w:szCs w:val="21"/>
                <w:spacing w:val="-3"/>
              </w:rPr>
              <w:t>符合</w:t>
            </w:r>
          </w:p>
        </w:tc>
      </w:tr>
    </w:tbl>
    <w:p>
      <w:pPr>
        <w:ind w:left="114" w:right="280" w:firstLine="480"/>
        <w:spacing w:before="53" w:line="391" w:lineRule="auto"/>
        <w:jc w:val="both"/>
        <w:rPr>
          <w:rFonts w:ascii="SimSun" w:hAnsi="SimSun" w:eastAsia="SimSun" w:cs="SimSun"/>
          <w:sz w:val="19"/>
          <w:szCs w:val="19"/>
        </w:rPr>
      </w:pPr>
      <w:r>
        <w:rPr>
          <w:rFonts w:ascii="SimSun" w:hAnsi="SimSun" w:eastAsia="SimSun" w:cs="SimSun"/>
          <w:sz w:val="24"/>
          <w:szCs w:val="24"/>
        </w:rPr>
        <w:t>本项目位于四川绵阳安州工业园区范围内，属于生猪、肉牛屠宰加工项</w:t>
      </w:r>
      <w:r>
        <w:rPr>
          <w:rFonts w:ascii="SimSun" w:hAnsi="SimSun" w:eastAsia="SimSun" w:cs="SimSun"/>
          <w:sz w:val="24"/>
          <w:szCs w:val="24"/>
          <w:spacing w:val="6"/>
        </w:rPr>
        <w:t xml:space="preserve">  </w:t>
      </w:r>
      <w:r>
        <w:rPr>
          <w:rFonts w:ascii="SimSun" w:hAnsi="SimSun" w:eastAsia="SimSun" w:cs="SimSun"/>
          <w:sz w:val="23"/>
          <w:szCs w:val="23"/>
          <w:spacing w:val="9"/>
        </w:rPr>
        <w:t>目，符合园区准入条件，项目的建设符合《四川绵阳安州工业园区发展规划》</w:t>
      </w:r>
      <w:r>
        <w:rPr>
          <w:rFonts w:ascii="SimSun" w:hAnsi="SimSun" w:eastAsia="SimSun" w:cs="SimSun"/>
          <w:sz w:val="23"/>
          <w:szCs w:val="23"/>
          <w:spacing w:val="7"/>
        </w:rPr>
        <w:t xml:space="preserve"> </w:t>
      </w:r>
      <w:r>
        <w:rPr>
          <w:rFonts w:ascii="SimSun" w:hAnsi="SimSun" w:eastAsia="SimSun" w:cs="SimSun"/>
          <w:sz w:val="19"/>
          <w:szCs w:val="19"/>
          <w:spacing w:val="-6"/>
        </w:rPr>
        <w:t>要</w:t>
      </w:r>
      <w:r>
        <w:rPr>
          <w:rFonts w:ascii="SimSun" w:hAnsi="SimSun" w:eastAsia="SimSun" w:cs="SimSun"/>
          <w:sz w:val="19"/>
          <w:szCs w:val="19"/>
          <w:spacing w:val="-11"/>
        </w:rPr>
        <w:t xml:space="preserve"> </w:t>
      </w:r>
      <w:r>
        <w:rPr>
          <w:rFonts w:ascii="SimSun" w:hAnsi="SimSun" w:eastAsia="SimSun" w:cs="SimSun"/>
          <w:sz w:val="19"/>
          <w:szCs w:val="19"/>
          <w:spacing w:val="-6"/>
        </w:rPr>
        <w:t>求</w:t>
      </w:r>
      <w:r>
        <w:rPr>
          <w:rFonts w:ascii="SimSun" w:hAnsi="SimSun" w:eastAsia="SimSun" w:cs="SimSun"/>
          <w:sz w:val="19"/>
          <w:szCs w:val="19"/>
          <w:spacing w:val="-20"/>
        </w:rPr>
        <w:t xml:space="preserve"> </w:t>
      </w:r>
      <w:r>
        <w:rPr>
          <w:rFonts w:ascii="SimSun" w:hAnsi="SimSun" w:eastAsia="SimSun" w:cs="SimSun"/>
          <w:sz w:val="19"/>
          <w:szCs w:val="19"/>
          <w:spacing w:val="-6"/>
        </w:rPr>
        <w:t>。</w:t>
      </w:r>
    </w:p>
    <w:p>
      <w:pPr>
        <w:ind w:left="698"/>
        <w:spacing w:line="219" w:lineRule="auto"/>
        <w:rPr>
          <w:rFonts w:ascii="SimSun" w:hAnsi="SimSun" w:eastAsia="SimSun" w:cs="SimSun"/>
          <w:sz w:val="23"/>
          <w:szCs w:val="23"/>
        </w:rPr>
      </w:pPr>
      <w:r>
        <w:rPr>
          <w:rFonts w:ascii="SimSun" w:hAnsi="SimSun" w:eastAsia="SimSun" w:cs="SimSun"/>
          <w:sz w:val="23"/>
          <w:szCs w:val="23"/>
          <w:b/>
          <w:bCs/>
          <w:spacing w:val="7"/>
        </w:rPr>
        <w:t>2、规划环评及审查意见符合性分析</w:t>
      </w:r>
    </w:p>
    <w:p>
      <w:pPr>
        <w:ind w:left="605"/>
        <w:spacing w:before="218" w:line="219" w:lineRule="auto"/>
        <w:rPr>
          <w:rFonts w:ascii="SimSun" w:hAnsi="SimSun" w:eastAsia="SimSun" w:cs="SimSun"/>
          <w:sz w:val="23"/>
          <w:szCs w:val="23"/>
        </w:rPr>
      </w:pPr>
      <w:r>
        <w:rPr>
          <w:rFonts w:ascii="SimSun" w:hAnsi="SimSun" w:eastAsia="SimSun" w:cs="SimSun"/>
          <w:sz w:val="23"/>
          <w:szCs w:val="23"/>
          <w:spacing w:val="8"/>
        </w:rPr>
        <w:t>本项目与园区规划环评及审查意见符合性见下表。</w:t>
      </w:r>
    </w:p>
    <w:p>
      <w:pPr>
        <w:ind w:left="1628"/>
        <w:spacing w:before="165" w:line="214" w:lineRule="auto"/>
        <w:rPr>
          <w:rFonts w:ascii="SimSun" w:hAnsi="SimSun" w:eastAsia="SimSun" w:cs="SimSun"/>
          <w:sz w:val="24"/>
          <w:szCs w:val="24"/>
        </w:rPr>
      </w:pPr>
      <w:r>
        <w:rPr>
          <w:rFonts w:ascii="SimSun" w:hAnsi="SimSun" w:eastAsia="SimSun" w:cs="SimSun"/>
          <w:sz w:val="24"/>
          <w:szCs w:val="24"/>
          <w:b/>
          <w:bCs/>
          <w:spacing w:val="-3"/>
        </w:rPr>
        <w:t>表1.4-2项目与园区规划环评及审查意见符合性分析</w:t>
      </w:r>
    </w:p>
    <w:tbl>
      <w:tblPr>
        <w:tblStyle w:val="TableNormal"/>
        <w:tblW w:w="8509" w:type="dxa"/>
        <w:tblInd w:w="1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44"/>
        <w:gridCol w:w="3226"/>
        <w:gridCol w:w="4005"/>
        <w:gridCol w:w="734"/>
      </w:tblGrid>
      <w:tr>
        <w:trPr>
          <w:trHeight w:val="284" w:hRule="atLeast"/>
        </w:trPr>
        <w:tc>
          <w:tcPr>
            <w:shd w:val="clear" w:fill="BEBEBE"/>
            <w:tcW w:w="544" w:type="dxa"/>
            <w:vAlign w:val="top"/>
          </w:tcPr>
          <w:p>
            <w:pPr>
              <w:pStyle w:val="TableText"/>
              <w:ind w:left="58"/>
              <w:spacing w:before="40" w:line="205" w:lineRule="auto"/>
              <w:rPr>
                <w:sz w:val="21"/>
                <w:szCs w:val="21"/>
              </w:rPr>
            </w:pPr>
            <w:r>
              <w:rPr>
                <w:sz w:val="21"/>
                <w:szCs w:val="21"/>
                <w:b/>
                <w:bCs/>
                <w:spacing w:val="14"/>
              </w:rPr>
              <w:t>项目</w:t>
            </w:r>
          </w:p>
        </w:tc>
        <w:tc>
          <w:tcPr>
            <w:shd w:val="clear" w:fill="BEBEBE"/>
            <w:tcW w:w="3226" w:type="dxa"/>
            <w:vAlign w:val="top"/>
          </w:tcPr>
          <w:p>
            <w:pPr>
              <w:pStyle w:val="TableText"/>
              <w:ind w:left="133"/>
              <w:spacing w:before="40" w:line="205" w:lineRule="auto"/>
              <w:rPr>
                <w:sz w:val="21"/>
                <w:szCs w:val="21"/>
              </w:rPr>
            </w:pPr>
            <w:r>
              <w:rPr>
                <w:sz w:val="21"/>
                <w:szCs w:val="21"/>
                <w:b/>
                <w:bCs/>
                <w:spacing w:val="-3"/>
              </w:rPr>
              <w:t>规划、规划环评及环评批复要求</w:t>
            </w:r>
          </w:p>
        </w:tc>
        <w:tc>
          <w:tcPr>
            <w:shd w:val="clear" w:fill="BEBEBE"/>
            <w:tcW w:w="4005" w:type="dxa"/>
            <w:vAlign w:val="top"/>
          </w:tcPr>
          <w:p>
            <w:pPr>
              <w:pStyle w:val="TableText"/>
              <w:ind w:left="1477"/>
              <w:spacing w:before="39" w:line="206" w:lineRule="auto"/>
              <w:rPr>
                <w:sz w:val="21"/>
                <w:szCs w:val="21"/>
              </w:rPr>
            </w:pPr>
            <w:r>
              <w:rPr>
                <w:sz w:val="21"/>
                <w:szCs w:val="21"/>
                <w:b/>
                <w:bCs/>
                <w:spacing w:val="-4"/>
              </w:rPr>
              <w:t>本项目情况</w:t>
            </w:r>
          </w:p>
        </w:tc>
        <w:tc>
          <w:tcPr>
            <w:shd w:val="clear" w:fill="BEBEBE"/>
            <w:tcW w:w="734" w:type="dxa"/>
            <w:vAlign w:val="top"/>
          </w:tcPr>
          <w:p>
            <w:pPr>
              <w:pStyle w:val="TableText"/>
              <w:ind w:left="52"/>
              <w:spacing w:before="40" w:line="205" w:lineRule="auto"/>
              <w:rPr>
                <w:sz w:val="21"/>
                <w:szCs w:val="21"/>
              </w:rPr>
            </w:pPr>
            <w:r>
              <w:rPr>
                <w:sz w:val="21"/>
                <w:szCs w:val="21"/>
                <w:b/>
                <w:bCs/>
                <w:spacing w:val="-5"/>
              </w:rPr>
              <w:t>符合性</w:t>
            </w:r>
          </w:p>
        </w:tc>
      </w:tr>
      <w:tr>
        <w:trPr>
          <w:trHeight w:val="1087" w:hRule="atLeast"/>
        </w:trPr>
        <w:tc>
          <w:tcPr>
            <w:tcW w:w="544" w:type="dxa"/>
            <w:vAlign w:val="top"/>
          </w:tcPr>
          <w:p>
            <w:pPr>
              <w:pStyle w:val="TableText"/>
              <w:ind w:left="55"/>
              <w:spacing w:before="269" w:line="219" w:lineRule="auto"/>
              <w:rPr>
                <w:sz w:val="21"/>
                <w:szCs w:val="21"/>
              </w:rPr>
            </w:pPr>
            <w:r>
              <w:rPr>
                <w:sz w:val="21"/>
                <w:szCs w:val="21"/>
                <w:spacing w:val="-3"/>
              </w:rPr>
              <w:t>产业</w:t>
            </w:r>
          </w:p>
          <w:p>
            <w:pPr>
              <w:pStyle w:val="TableText"/>
              <w:ind w:left="55"/>
              <w:spacing w:before="41" w:line="220" w:lineRule="auto"/>
              <w:rPr>
                <w:sz w:val="21"/>
                <w:szCs w:val="21"/>
              </w:rPr>
            </w:pPr>
            <w:r>
              <w:rPr>
                <w:sz w:val="21"/>
                <w:szCs w:val="21"/>
                <w:spacing w:val="4"/>
              </w:rPr>
              <w:t>定位</w:t>
            </w:r>
          </w:p>
        </w:tc>
        <w:tc>
          <w:tcPr>
            <w:tcW w:w="3226" w:type="dxa"/>
            <w:vAlign w:val="top"/>
          </w:tcPr>
          <w:p>
            <w:pPr>
              <w:pStyle w:val="TableText"/>
              <w:ind w:left="11" w:right="25" w:firstLine="20"/>
              <w:spacing w:before="38" w:line="238" w:lineRule="auto"/>
              <w:rPr>
                <w:sz w:val="21"/>
                <w:szCs w:val="21"/>
              </w:rPr>
            </w:pPr>
            <w:r>
              <w:rPr>
                <w:sz w:val="21"/>
                <w:szCs w:val="21"/>
              </w:rPr>
              <w:t>以汽车配件产业园区为主，以电子</w:t>
            </w:r>
            <w:r>
              <w:rPr>
                <w:sz w:val="21"/>
                <w:szCs w:val="21"/>
                <w:spacing w:val="8"/>
              </w:rPr>
              <w:t xml:space="preserve"> </w:t>
            </w:r>
            <w:r>
              <w:rPr>
                <w:sz w:val="21"/>
                <w:szCs w:val="21"/>
                <w:spacing w:val="1"/>
              </w:rPr>
              <w:t>信息产业园区、医药制造产业园</w:t>
            </w:r>
          </w:p>
          <w:p>
            <w:pPr>
              <w:pStyle w:val="TableText"/>
              <w:ind w:left="11" w:right="24" w:firstLine="20"/>
              <w:spacing w:line="218" w:lineRule="auto"/>
              <w:rPr>
                <w:sz w:val="21"/>
                <w:szCs w:val="21"/>
              </w:rPr>
            </w:pPr>
            <w:r>
              <w:rPr>
                <w:sz w:val="21"/>
                <w:szCs w:val="21"/>
              </w:rPr>
              <w:t>区、综合配套区为辅的综合性生态</w:t>
            </w:r>
            <w:r>
              <w:rPr>
                <w:sz w:val="21"/>
                <w:szCs w:val="21"/>
                <w:spacing w:val="9"/>
              </w:rPr>
              <w:t xml:space="preserve"> </w:t>
            </w:r>
            <w:r>
              <w:rPr>
                <w:sz w:val="21"/>
                <w:szCs w:val="21"/>
                <w:spacing w:val="-1"/>
              </w:rPr>
              <w:t>产业园。</w:t>
            </w:r>
          </w:p>
        </w:tc>
        <w:tc>
          <w:tcPr>
            <w:tcW w:w="4005" w:type="dxa"/>
            <w:vAlign w:val="top"/>
          </w:tcPr>
          <w:p>
            <w:pPr>
              <w:pStyle w:val="TableText"/>
              <w:ind w:left="4" w:right="219"/>
              <w:spacing w:before="306" w:line="242" w:lineRule="auto"/>
              <w:rPr>
                <w:sz w:val="21"/>
                <w:szCs w:val="21"/>
              </w:rPr>
            </w:pPr>
            <w:r>
              <w:rPr>
                <w:sz w:val="21"/>
                <w:szCs w:val="21"/>
                <w:spacing w:val="-1"/>
              </w:rPr>
              <w:t>本项目为“C1351牲畜屠宰”,属于园区综</w:t>
            </w:r>
            <w:r>
              <w:rPr>
                <w:sz w:val="21"/>
                <w:szCs w:val="21"/>
                <w:spacing w:val="10"/>
              </w:rPr>
              <w:t xml:space="preserve"> </w:t>
            </w:r>
            <w:r>
              <w:rPr>
                <w:sz w:val="21"/>
                <w:szCs w:val="21"/>
                <w:spacing w:val="-1"/>
              </w:rPr>
              <w:t>合配套项目，符合园区定位。</w:t>
            </w:r>
          </w:p>
        </w:tc>
        <w:tc>
          <w:tcPr>
            <w:tcW w:w="734" w:type="dxa"/>
            <w:vAlign w:val="top"/>
          </w:tcPr>
          <w:p>
            <w:pPr>
              <w:spacing w:line="369" w:lineRule="auto"/>
              <w:rPr>
                <w:rFonts w:ascii="Arial"/>
                <w:sz w:val="21"/>
              </w:rPr>
            </w:pPr>
            <w:r/>
          </w:p>
          <w:p>
            <w:pPr>
              <w:pStyle w:val="TableText"/>
              <w:ind w:left="149"/>
              <w:spacing w:before="68" w:line="219" w:lineRule="auto"/>
              <w:rPr>
                <w:sz w:val="21"/>
                <w:szCs w:val="21"/>
              </w:rPr>
            </w:pPr>
            <w:r>
              <w:rPr>
                <w:sz w:val="21"/>
                <w:szCs w:val="21"/>
                <w:spacing w:val="-3"/>
              </w:rPr>
              <w:t>符合</w:t>
            </w:r>
          </w:p>
        </w:tc>
      </w:tr>
      <w:tr>
        <w:trPr>
          <w:trHeight w:val="2729" w:hRule="atLeast"/>
        </w:trPr>
        <w:tc>
          <w:tcPr>
            <w:tcW w:w="544"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55"/>
              <w:spacing w:before="68" w:line="220" w:lineRule="auto"/>
              <w:rPr>
                <w:sz w:val="21"/>
                <w:szCs w:val="21"/>
              </w:rPr>
            </w:pPr>
            <w:r>
              <w:rPr>
                <w:sz w:val="21"/>
                <w:szCs w:val="21"/>
                <w:spacing w:val="-3"/>
              </w:rPr>
              <w:t>行业</w:t>
            </w:r>
          </w:p>
          <w:p>
            <w:pPr>
              <w:pStyle w:val="TableText"/>
              <w:ind w:left="55"/>
              <w:spacing w:before="20" w:line="221" w:lineRule="auto"/>
              <w:rPr>
                <w:sz w:val="21"/>
                <w:szCs w:val="21"/>
              </w:rPr>
            </w:pPr>
            <w:r>
              <w:rPr>
                <w:sz w:val="21"/>
                <w:szCs w:val="21"/>
                <w:spacing w:val="-3"/>
              </w:rPr>
              <w:t>准入</w:t>
            </w:r>
          </w:p>
        </w:tc>
        <w:tc>
          <w:tcPr>
            <w:tcW w:w="3226" w:type="dxa"/>
            <w:vAlign w:val="top"/>
          </w:tcPr>
          <w:p>
            <w:pPr>
              <w:pStyle w:val="TableText"/>
              <w:ind w:left="14"/>
              <w:spacing w:before="39" w:line="219" w:lineRule="auto"/>
              <w:rPr>
                <w:sz w:val="21"/>
                <w:szCs w:val="21"/>
              </w:rPr>
            </w:pPr>
            <w:r>
              <w:rPr>
                <w:sz w:val="21"/>
                <w:szCs w:val="21"/>
                <w:b/>
                <w:bCs/>
                <w:spacing w:val="-2"/>
              </w:rPr>
              <w:t>鼓励发展产业：</w:t>
            </w:r>
            <w:r>
              <w:rPr>
                <w:sz w:val="21"/>
                <w:szCs w:val="21"/>
                <w:spacing w:val="-2"/>
              </w:rPr>
              <w:t>汽车配件产业</w:t>
            </w:r>
          </w:p>
          <w:p>
            <w:pPr>
              <w:pStyle w:val="TableText"/>
              <w:ind w:left="21" w:right="84" w:firstLine="59"/>
              <w:spacing w:before="22" w:line="231" w:lineRule="auto"/>
              <w:rPr>
                <w:sz w:val="21"/>
                <w:szCs w:val="21"/>
              </w:rPr>
            </w:pPr>
            <w:r>
              <w:rPr>
                <w:sz w:val="21"/>
                <w:szCs w:val="21"/>
              </w:rPr>
              <w:t>(涉及金属表面处理的，须做好整</w:t>
            </w:r>
            <w:r>
              <w:rPr>
                <w:sz w:val="21"/>
                <w:szCs w:val="21"/>
                <w:spacing w:val="4"/>
              </w:rPr>
              <w:t xml:space="preserve"> </w:t>
            </w:r>
            <w:r>
              <w:rPr>
                <w:sz w:val="21"/>
                <w:szCs w:val="21"/>
                <w:spacing w:val="-1"/>
              </w:rPr>
              <w:t>体生产车间及外沿50米范围内地</w:t>
            </w:r>
          </w:p>
          <w:p>
            <w:pPr>
              <w:pStyle w:val="TableText"/>
              <w:ind w:left="11" w:right="21" w:firstLine="20"/>
              <w:spacing w:before="14" w:line="246" w:lineRule="auto"/>
              <w:rPr>
                <w:sz w:val="21"/>
                <w:szCs w:val="21"/>
              </w:rPr>
            </w:pPr>
            <w:r>
              <w:rPr>
                <w:sz w:val="21"/>
                <w:szCs w:val="21"/>
              </w:rPr>
              <w:t>面的整体防渗并清洁生产达到一级</w:t>
            </w:r>
            <w:r>
              <w:rPr>
                <w:sz w:val="21"/>
                <w:szCs w:val="21"/>
                <w:spacing w:val="12"/>
              </w:rPr>
              <w:t xml:space="preserve"> </w:t>
            </w:r>
            <w:r>
              <w:rPr>
                <w:sz w:val="21"/>
                <w:szCs w:val="21"/>
                <w:spacing w:val="1"/>
              </w:rPr>
              <w:t>水平)、电子信息产业园区(限制</w:t>
            </w:r>
          </w:p>
          <w:p>
            <w:pPr>
              <w:pStyle w:val="TableText"/>
              <w:ind w:left="11" w:right="25" w:firstLine="20"/>
              <w:spacing w:line="231" w:lineRule="auto"/>
              <w:rPr>
                <w:sz w:val="21"/>
                <w:szCs w:val="21"/>
              </w:rPr>
            </w:pPr>
            <w:r>
              <w:rPr>
                <w:sz w:val="21"/>
                <w:szCs w:val="21"/>
              </w:rPr>
              <w:t>印刷电路板制造前端耗水、耗能大</w:t>
            </w:r>
            <w:r>
              <w:rPr>
                <w:sz w:val="21"/>
                <w:szCs w:val="21"/>
                <w:spacing w:val="8"/>
              </w:rPr>
              <w:t xml:space="preserve"> </w:t>
            </w:r>
            <w:r>
              <w:rPr>
                <w:sz w:val="21"/>
                <w:szCs w:val="21"/>
              </w:rPr>
              <w:t>的工艺)、医药制造产业(限制化</w:t>
            </w:r>
          </w:p>
          <w:p>
            <w:pPr>
              <w:pStyle w:val="TableText"/>
              <w:ind w:left="80" w:right="16" w:hanging="49"/>
              <w:spacing w:before="7" w:line="227" w:lineRule="auto"/>
              <w:rPr>
                <w:sz w:val="21"/>
                <w:szCs w:val="21"/>
              </w:rPr>
            </w:pPr>
            <w:r>
              <w:rPr>
                <w:sz w:val="21"/>
                <w:szCs w:val="21"/>
                <w:spacing w:val="1"/>
              </w:rPr>
              <w:t>学合成原料药、生物发酵原料药以</w:t>
            </w:r>
            <w:r>
              <w:rPr>
                <w:sz w:val="21"/>
                <w:szCs w:val="21"/>
                <w:spacing w:val="2"/>
              </w:rPr>
              <w:t xml:space="preserve"> </w:t>
            </w:r>
            <w:r>
              <w:rPr>
                <w:sz w:val="21"/>
                <w:szCs w:val="21"/>
                <w:spacing w:val="-1"/>
              </w:rPr>
              <w:t>及涉及提取、萃取工艺的)、新材</w:t>
            </w:r>
            <w:r>
              <w:rPr>
                <w:sz w:val="21"/>
                <w:szCs w:val="21"/>
                <w:spacing w:val="6"/>
              </w:rPr>
              <w:t xml:space="preserve"> </w:t>
            </w:r>
            <w:r>
              <w:rPr>
                <w:sz w:val="21"/>
                <w:szCs w:val="21"/>
                <w:spacing w:val="-1"/>
              </w:rPr>
              <w:t>料(限制原料合成企业、轮胎制造</w:t>
            </w:r>
          </w:p>
        </w:tc>
        <w:tc>
          <w:tcPr>
            <w:tcW w:w="4005" w:type="dxa"/>
            <w:vAlign w:val="top"/>
          </w:tcPr>
          <w:p>
            <w:pPr>
              <w:spacing w:line="323" w:lineRule="auto"/>
              <w:rPr>
                <w:rFonts w:ascii="Arial"/>
                <w:sz w:val="21"/>
              </w:rPr>
            </w:pPr>
            <w:r/>
          </w:p>
          <w:p>
            <w:pPr>
              <w:spacing w:line="323" w:lineRule="auto"/>
              <w:rPr>
                <w:rFonts w:ascii="Arial"/>
                <w:sz w:val="21"/>
              </w:rPr>
            </w:pPr>
            <w:r/>
          </w:p>
          <w:p>
            <w:pPr>
              <w:pStyle w:val="TableText"/>
              <w:ind w:left="4" w:right="191"/>
              <w:spacing w:before="68" w:line="239" w:lineRule="auto"/>
              <w:jc w:val="both"/>
              <w:rPr>
                <w:sz w:val="21"/>
                <w:szCs w:val="21"/>
              </w:rPr>
            </w:pPr>
            <w:r>
              <w:rPr>
                <w:sz w:val="21"/>
                <w:szCs w:val="21"/>
              </w:rPr>
              <w:t>本项目为“C1351牲畜屠宰”,不属于园区</w:t>
            </w:r>
            <w:r>
              <w:rPr>
                <w:sz w:val="21"/>
                <w:szCs w:val="21"/>
                <w:spacing w:val="17"/>
              </w:rPr>
              <w:t xml:space="preserve"> </w:t>
            </w:r>
            <w:r>
              <w:rPr>
                <w:sz w:val="21"/>
                <w:szCs w:val="21"/>
              </w:rPr>
              <w:t>主导产业，不属于园区鼓励、禁止发展产</w:t>
            </w:r>
            <w:r>
              <w:rPr>
                <w:sz w:val="21"/>
                <w:szCs w:val="21"/>
                <w:spacing w:val="11"/>
              </w:rPr>
              <w:t xml:space="preserve"> </w:t>
            </w:r>
            <w:r>
              <w:rPr>
                <w:sz w:val="21"/>
                <w:szCs w:val="21"/>
              </w:rPr>
              <w:t>业，为符合国家现行产业政策和相关规定</w:t>
            </w:r>
            <w:r>
              <w:rPr>
                <w:sz w:val="21"/>
                <w:szCs w:val="21"/>
                <w:spacing w:val="12"/>
              </w:rPr>
              <w:t xml:space="preserve"> </w:t>
            </w:r>
            <w:r>
              <w:rPr>
                <w:sz w:val="21"/>
                <w:szCs w:val="21"/>
                <w:spacing w:val="-1"/>
              </w:rPr>
              <w:t>要求、选址与周围环境相容，满足清洁生</w:t>
            </w:r>
            <w:r>
              <w:rPr>
                <w:sz w:val="21"/>
                <w:szCs w:val="21"/>
                <w:spacing w:val="7"/>
              </w:rPr>
              <w:t xml:space="preserve"> </w:t>
            </w:r>
            <w:r>
              <w:rPr>
                <w:sz w:val="21"/>
                <w:szCs w:val="21"/>
                <w:spacing w:val="-1"/>
              </w:rPr>
              <w:t>产，遵循循环经济的允许类项目。</w:t>
            </w:r>
          </w:p>
        </w:tc>
        <w:tc>
          <w:tcPr>
            <w:tcW w:w="734" w:type="dxa"/>
            <w:vAlign w:val="top"/>
          </w:tcPr>
          <w:p>
            <w:pPr>
              <w:spacing w:line="296" w:lineRule="auto"/>
              <w:rPr>
                <w:rFonts w:ascii="Arial"/>
                <w:sz w:val="21"/>
              </w:rPr>
            </w:pPr>
            <w:r/>
          </w:p>
          <w:p>
            <w:pPr>
              <w:spacing w:line="297" w:lineRule="auto"/>
              <w:rPr>
                <w:rFonts w:ascii="Arial"/>
                <w:sz w:val="21"/>
              </w:rPr>
            </w:pPr>
            <w:r/>
          </w:p>
          <w:p>
            <w:pPr>
              <w:spacing w:line="297" w:lineRule="auto"/>
              <w:rPr>
                <w:rFonts w:ascii="Arial"/>
                <w:sz w:val="21"/>
              </w:rPr>
            </w:pPr>
            <w:r/>
          </w:p>
          <w:p>
            <w:pPr>
              <w:spacing w:line="297" w:lineRule="auto"/>
              <w:rPr>
                <w:rFonts w:ascii="Arial"/>
                <w:sz w:val="21"/>
              </w:rPr>
            </w:pPr>
            <w:r/>
          </w:p>
          <w:p>
            <w:pPr>
              <w:pStyle w:val="TableText"/>
              <w:ind w:left="149"/>
              <w:spacing w:before="68" w:line="219" w:lineRule="auto"/>
              <w:rPr>
                <w:sz w:val="21"/>
                <w:szCs w:val="21"/>
              </w:rPr>
            </w:pPr>
            <w:r>
              <w:rPr>
                <w:sz w:val="21"/>
                <w:szCs w:val="21"/>
                <w:spacing w:val="-3"/>
              </w:rPr>
              <w:t>符合</w:t>
            </w:r>
          </w:p>
        </w:tc>
      </w:tr>
    </w:tbl>
    <w:p>
      <w:pPr>
        <w:pStyle w:val="BodyText"/>
        <w:rPr/>
      </w:pPr>
      <w:r/>
    </w:p>
    <w:p>
      <w:pPr>
        <w:sectPr>
          <w:headerReference w:type="default" r:id="rId38"/>
          <w:footerReference w:type="default" r:id="rId39"/>
          <w:pgSz w:w="11910" w:h="16840"/>
          <w:pgMar w:top="1207" w:right="1705" w:bottom="1023" w:left="1675" w:header="915" w:footer="776" w:gutter="0"/>
        </w:sectPr>
        <w:rPr/>
      </w:pPr>
    </w:p>
    <w:p>
      <w:pPr>
        <w:spacing w:before="13"/>
        <w:rPr/>
      </w:pPr>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54"/>
        <w:gridCol w:w="3246"/>
        <w:gridCol w:w="3975"/>
        <w:gridCol w:w="724"/>
      </w:tblGrid>
      <w:tr>
        <w:trPr>
          <w:trHeight w:val="275" w:hRule="atLeast"/>
        </w:trPr>
        <w:tc>
          <w:tcPr>
            <w:shd w:val="clear" w:fill="BEBEBE"/>
            <w:tcW w:w="554" w:type="dxa"/>
            <w:vAlign w:val="top"/>
          </w:tcPr>
          <w:p>
            <w:pPr>
              <w:pStyle w:val="TableText"/>
              <w:ind w:left="57"/>
              <w:spacing w:before="30" w:line="206" w:lineRule="auto"/>
              <w:rPr>
                <w:sz w:val="21"/>
                <w:szCs w:val="21"/>
              </w:rPr>
            </w:pPr>
            <w:r>
              <w:rPr>
                <w:sz w:val="21"/>
                <w:szCs w:val="21"/>
                <w:b/>
                <w:bCs/>
                <w:spacing w:val="14"/>
              </w:rPr>
              <w:t>项目</w:t>
            </w:r>
          </w:p>
        </w:tc>
        <w:tc>
          <w:tcPr>
            <w:shd w:val="clear" w:fill="BEBEBE"/>
            <w:tcW w:w="3246" w:type="dxa"/>
            <w:vAlign w:val="top"/>
          </w:tcPr>
          <w:p>
            <w:pPr>
              <w:pStyle w:val="TableText"/>
              <w:ind w:left="133"/>
              <w:spacing w:before="30" w:line="206" w:lineRule="auto"/>
              <w:rPr>
                <w:sz w:val="21"/>
                <w:szCs w:val="21"/>
              </w:rPr>
            </w:pPr>
            <w:r>
              <w:rPr>
                <w:sz w:val="21"/>
                <w:szCs w:val="21"/>
                <w:b/>
                <w:bCs/>
                <w:spacing w:val="-3"/>
              </w:rPr>
              <w:t>规划、规划环评及环评批复要求</w:t>
            </w:r>
          </w:p>
        </w:tc>
        <w:tc>
          <w:tcPr>
            <w:shd w:val="clear" w:fill="BEBEBE"/>
            <w:tcW w:w="3975" w:type="dxa"/>
            <w:vAlign w:val="top"/>
          </w:tcPr>
          <w:p>
            <w:pPr>
              <w:pStyle w:val="TableText"/>
              <w:ind w:left="1477"/>
              <w:spacing w:before="29" w:line="207" w:lineRule="auto"/>
              <w:rPr>
                <w:sz w:val="21"/>
                <w:szCs w:val="21"/>
              </w:rPr>
            </w:pPr>
            <w:r>
              <w:rPr>
                <w:sz w:val="21"/>
                <w:szCs w:val="21"/>
                <w:b/>
                <w:bCs/>
                <w:spacing w:val="-4"/>
              </w:rPr>
              <w:t>本项目情况</w:t>
            </w:r>
          </w:p>
        </w:tc>
        <w:tc>
          <w:tcPr>
            <w:shd w:val="clear" w:fill="BEBEBE"/>
            <w:tcW w:w="724" w:type="dxa"/>
            <w:vAlign w:val="top"/>
          </w:tcPr>
          <w:p>
            <w:pPr>
              <w:pStyle w:val="TableText"/>
              <w:ind w:left="42"/>
              <w:spacing w:before="30" w:line="206" w:lineRule="auto"/>
              <w:rPr>
                <w:sz w:val="21"/>
                <w:szCs w:val="21"/>
              </w:rPr>
            </w:pPr>
            <w:r>
              <w:rPr>
                <w:sz w:val="21"/>
                <w:szCs w:val="21"/>
                <w:b/>
                <w:bCs/>
                <w:spacing w:val="-5"/>
              </w:rPr>
              <w:t>符合性</w:t>
            </w:r>
          </w:p>
        </w:tc>
      </w:tr>
      <w:tr>
        <w:trPr>
          <w:trHeight w:val="280" w:hRule="atLeast"/>
        </w:trPr>
        <w:tc>
          <w:tcPr>
            <w:tcW w:w="554" w:type="dxa"/>
            <w:vAlign w:val="top"/>
            <w:vMerge w:val="restart"/>
            <w:tcBorders>
              <w:bottom w:val="nil"/>
            </w:tcBorders>
          </w:tcPr>
          <w:p>
            <w:pPr>
              <w:rPr>
                <w:rFonts w:ascii="Arial"/>
                <w:sz w:val="21"/>
              </w:rPr>
            </w:pPr>
            <w:r/>
          </w:p>
        </w:tc>
        <w:tc>
          <w:tcPr>
            <w:tcW w:w="3246" w:type="dxa"/>
            <w:vAlign w:val="top"/>
          </w:tcPr>
          <w:p>
            <w:pPr>
              <w:pStyle w:val="TableText"/>
              <w:ind w:left="1"/>
              <w:spacing w:before="41" w:line="201" w:lineRule="auto"/>
              <w:rPr>
                <w:sz w:val="21"/>
                <w:szCs w:val="21"/>
              </w:rPr>
            </w:pPr>
            <w:r>
              <w:rPr>
                <w:sz w:val="21"/>
                <w:szCs w:val="21"/>
                <w:color w:val="405080"/>
                <w:spacing w:val="-1"/>
              </w:rPr>
              <w:t>业)。</w:t>
            </w:r>
          </w:p>
        </w:tc>
        <w:tc>
          <w:tcPr>
            <w:tcW w:w="3975" w:type="dxa"/>
            <w:vAlign w:val="top"/>
            <w:vMerge w:val="restart"/>
            <w:tcBorders>
              <w:bottom w:val="nil"/>
            </w:tcBorders>
          </w:tcPr>
          <w:p>
            <w:pPr>
              <w:rPr>
                <w:rFonts w:ascii="Arial"/>
                <w:sz w:val="21"/>
              </w:rPr>
            </w:pPr>
            <w:r/>
          </w:p>
        </w:tc>
        <w:tc>
          <w:tcPr>
            <w:tcW w:w="724" w:type="dxa"/>
            <w:vAlign w:val="top"/>
            <w:vMerge w:val="restart"/>
            <w:tcBorders>
              <w:bottom w:val="nil"/>
            </w:tcBorders>
          </w:tcPr>
          <w:p>
            <w:pPr>
              <w:rPr>
                <w:rFonts w:ascii="Arial"/>
                <w:sz w:val="21"/>
              </w:rPr>
            </w:pPr>
            <w:r/>
          </w:p>
        </w:tc>
      </w:tr>
      <w:tr>
        <w:trPr>
          <w:trHeight w:val="2448" w:hRule="atLeast"/>
        </w:trPr>
        <w:tc>
          <w:tcPr>
            <w:tcW w:w="554" w:type="dxa"/>
            <w:vAlign w:val="top"/>
            <w:vMerge w:val="continue"/>
            <w:tcBorders>
              <w:top w:val="nil"/>
              <w:bottom w:val="nil"/>
            </w:tcBorders>
          </w:tcPr>
          <w:p>
            <w:pPr>
              <w:rPr>
                <w:rFonts w:ascii="Arial"/>
                <w:sz w:val="21"/>
              </w:rPr>
            </w:pPr>
            <w:r/>
          </w:p>
        </w:tc>
        <w:tc>
          <w:tcPr>
            <w:tcW w:w="3246" w:type="dxa"/>
            <w:vAlign w:val="top"/>
          </w:tcPr>
          <w:p>
            <w:pPr>
              <w:pStyle w:val="TableText"/>
              <w:ind w:left="4"/>
              <w:spacing w:before="25" w:line="219" w:lineRule="auto"/>
              <w:rPr>
                <w:sz w:val="21"/>
                <w:szCs w:val="21"/>
              </w:rPr>
            </w:pPr>
            <w:r>
              <w:rPr>
                <w:sz w:val="21"/>
                <w:szCs w:val="21"/>
                <w:b/>
                <w:bCs/>
                <w:spacing w:val="-4"/>
              </w:rPr>
              <w:t>禁止发展产业：</w:t>
            </w:r>
          </w:p>
          <w:p>
            <w:pPr>
              <w:pStyle w:val="TableText"/>
              <w:ind w:left="1"/>
              <w:spacing w:before="33" w:line="233" w:lineRule="auto"/>
              <w:rPr>
                <w:sz w:val="21"/>
                <w:szCs w:val="21"/>
              </w:rPr>
            </w:pPr>
            <w:r>
              <w:rPr>
                <w:sz w:val="21"/>
                <w:szCs w:val="21"/>
                <w:spacing w:val="-1"/>
              </w:rPr>
              <w:t>1、不符合国家现行产业政策和技</w:t>
            </w:r>
            <w:r>
              <w:rPr>
                <w:sz w:val="21"/>
                <w:szCs w:val="21"/>
              </w:rPr>
              <w:t xml:space="preserve">   </w:t>
            </w:r>
            <w:r>
              <w:rPr>
                <w:sz w:val="21"/>
                <w:szCs w:val="21"/>
                <w:spacing w:val="5"/>
              </w:rPr>
              <w:t>术落后不能执行清洁生产的企业；</w:t>
            </w:r>
          </w:p>
          <w:p>
            <w:pPr>
              <w:pStyle w:val="TableText"/>
              <w:ind w:left="1"/>
              <w:spacing w:before="21" w:line="234" w:lineRule="auto"/>
              <w:rPr>
                <w:sz w:val="21"/>
                <w:szCs w:val="21"/>
              </w:rPr>
            </w:pPr>
            <w:r>
              <w:rPr>
                <w:sz w:val="21"/>
                <w:szCs w:val="21"/>
                <w:spacing w:val="-2"/>
              </w:rPr>
              <w:t>2、有色金属冶炼加工工业、黑色</w:t>
            </w:r>
            <w:r>
              <w:rPr>
                <w:sz w:val="21"/>
                <w:szCs w:val="21"/>
              </w:rPr>
              <w:t xml:space="preserve">   </w:t>
            </w:r>
            <w:r>
              <w:rPr>
                <w:sz w:val="21"/>
                <w:szCs w:val="21"/>
                <w:spacing w:val="5"/>
              </w:rPr>
              <w:t>金属冶炼加工业等污染严重企业；</w:t>
            </w:r>
            <w:r>
              <w:rPr>
                <w:sz w:val="21"/>
                <w:szCs w:val="21"/>
                <w:spacing w:val="8"/>
              </w:rPr>
              <w:t xml:space="preserve"> </w:t>
            </w:r>
            <w:r>
              <w:rPr>
                <w:sz w:val="21"/>
                <w:szCs w:val="21"/>
                <w:spacing w:val="5"/>
              </w:rPr>
              <w:t>工业水重复利用率小于80%、</w:t>
            </w:r>
          </w:p>
          <w:p>
            <w:pPr>
              <w:pStyle w:val="TableText"/>
              <w:ind w:left="1" w:right="406"/>
              <w:spacing w:before="12" w:line="225" w:lineRule="auto"/>
              <w:rPr>
                <w:sz w:val="21"/>
                <w:szCs w:val="21"/>
              </w:rPr>
            </w:pPr>
            <w:r>
              <w:rPr>
                <w:sz w:val="21"/>
                <w:szCs w:val="21"/>
                <w:spacing w:val="-1"/>
              </w:rPr>
              <w:t>COD排放强度大于1.5kg/万元工</w:t>
            </w:r>
            <w:r>
              <w:rPr>
                <w:sz w:val="21"/>
                <w:szCs w:val="21"/>
                <w:spacing w:val="10"/>
              </w:rPr>
              <w:t xml:space="preserve"> </w:t>
            </w:r>
            <w:r>
              <w:rPr>
                <w:sz w:val="21"/>
                <w:szCs w:val="21"/>
                <w:spacing w:val="-1"/>
              </w:rPr>
              <w:t>业增加值，氨氮排放强度大于</w:t>
            </w:r>
            <w:r>
              <w:rPr>
                <w:sz w:val="21"/>
                <w:szCs w:val="21"/>
                <w:spacing w:val="2"/>
              </w:rPr>
              <w:t xml:space="preserve">  </w:t>
            </w:r>
            <w:r>
              <w:rPr>
                <w:sz w:val="21"/>
                <w:szCs w:val="21"/>
              </w:rPr>
              <w:t>0.12kg/万元工业增加值。</w:t>
            </w:r>
          </w:p>
        </w:tc>
        <w:tc>
          <w:tcPr>
            <w:tcW w:w="3975" w:type="dxa"/>
            <w:vAlign w:val="top"/>
            <w:vMerge w:val="continue"/>
            <w:tcBorders>
              <w:top w:val="nil"/>
              <w:bottom w:val="nil"/>
            </w:tcBorders>
          </w:tcPr>
          <w:p>
            <w:pPr>
              <w:rPr>
                <w:rFonts w:ascii="Arial"/>
                <w:sz w:val="21"/>
              </w:rPr>
            </w:pPr>
            <w:r/>
          </w:p>
        </w:tc>
        <w:tc>
          <w:tcPr>
            <w:tcW w:w="724" w:type="dxa"/>
            <w:vAlign w:val="top"/>
            <w:vMerge w:val="continue"/>
            <w:tcBorders>
              <w:top w:val="nil"/>
              <w:bottom w:val="nil"/>
            </w:tcBorders>
          </w:tcPr>
          <w:p>
            <w:pPr>
              <w:rPr>
                <w:rFonts w:ascii="Arial"/>
                <w:sz w:val="21"/>
              </w:rPr>
            </w:pPr>
            <w:r/>
          </w:p>
        </w:tc>
      </w:tr>
      <w:tr>
        <w:trPr>
          <w:trHeight w:val="1369" w:hRule="atLeast"/>
        </w:trPr>
        <w:tc>
          <w:tcPr>
            <w:tcW w:w="554" w:type="dxa"/>
            <w:vAlign w:val="top"/>
            <w:vMerge w:val="continue"/>
            <w:tcBorders>
              <w:top w:val="nil"/>
            </w:tcBorders>
          </w:tcPr>
          <w:p>
            <w:pPr>
              <w:rPr>
                <w:rFonts w:ascii="Arial"/>
                <w:sz w:val="21"/>
              </w:rPr>
            </w:pPr>
            <w:r/>
          </w:p>
        </w:tc>
        <w:tc>
          <w:tcPr>
            <w:tcW w:w="3246" w:type="dxa"/>
            <w:vAlign w:val="top"/>
          </w:tcPr>
          <w:p>
            <w:pPr>
              <w:pStyle w:val="TableText"/>
              <w:ind w:left="4"/>
              <w:spacing w:before="27" w:line="219" w:lineRule="auto"/>
              <w:rPr>
                <w:sz w:val="21"/>
                <w:szCs w:val="21"/>
              </w:rPr>
            </w:pPr>
            <w:r>
              <w:rPr>
                <w:sz w:val="21"/>
                <w:szCs w:val="21"/>
                <w:b/>
                <w:bCs/>
                <w:spacing w:val="-1"/>
              </w:rPr>
              <w:t>允许发展产业：</w:t>
            </w:r>
            <w:r>
              <w:rPr>
                <w:sz w:val="21"/>
                <w:szCs w:val="21"/>
                <w:spacing w:val="-1"/>
              </w:rPr>
              <w:t>除上述禁止、鼓</w:t>
            </w:r>
          </w:p>
          <w:p>
            <w:pPr>
              <w:pStyle w:val="TableText"/>
              <w:ind w:left="1" w:right="40" w:firstLine="20"/>
              <w:spacing w:before="35" w:line="230" w:lineRule="auto"/>
              <w:rPr>
                <w:sz w:val="21"/>
                <w:szCs w:val="21"/>
              </w:rPr>
            </w:pPr>
            <w:r>
              <w:rPr>
                <w:sz w:val="21"/>
                <w:szCs w:val="21"/>
              </w:rPr>
              <w:t>励及限制类以外，符合国家现行产</w:t>
            </w:r>
            <w:r>
              <w:rPr>
                <w:sz w:val="21"/>
                <w:szCs w:val="21"/>
                <w:spacing w:val="12"/>
              </w:rPr>
              <w:t xml:space="preserve"> </w:t>
            </w:r>
            <w:r>
              <w:rPr>
                <w:sz w:val="21"/>
                <w:szCs w:val="21"/>
                <w:spacing w:val="2"/>
              </w:rPr>
              <w:t>业政策和相关规定要求、选址与周</w:t>
            </w:r>
            <w:r>
              <w:rPr>
                <w:sz w:val="21"/>
                <w:szCs w:val="21"/>
                <w:spacing w:val="13"/>
              </w:rPr>
              <w:t xml:space="preserve"> </w:t>
            </w:r>
            <w:r>
              <w:rPr>
                <w:sz w:val="21"/>
                <w:szCs w:val="21"/>
                <w:spacing w:val="2"/>
              </w:rPr>
              <w:t>围环境相容，满足清洁生产，遵循</w:t>
            </w:r>
            <w:r>
              <w:rPr>
                <w:sz w:val="21"/>
                <w:szCs w:val="21"/>
                <w:spacing w:val="7"/>
              </w:rPr>
              <w:t xml:space="preserve"> </w:t>
            </w:r>
            <w:r>
              <w:rPr>
                <w:sz w:val="21"/>
                <w:szCs w:val="21"/>
                <w:spacing w:val="-1"/>
              </w:rPr>
              <w:t>循环经济的项目。</w:t>
            </w:r>
          </w:p>
        </w:tc>
        <w:tc>
          <w:tcPr>
            <w:tcW w:w="3975" w:type="dxa"/>
            <w:vAlign w:val="top"/>
            <w:vMerge w:val="continue"/>
            <w:tcBorders>
              <w:top w:val="nil"/>
            </w:tcBorders>
          </w:tcPr>
          <w:p>
            <w:pPr>
              <w:rPr>
                <w:rFonts w:ascii="Arial"/>
                <w:sz w:val="21"/>
              </w:rPr>
            </w:pPr>
            <w:r/>
          </w:p>
        </w:tc>
        <w:tc>
          <w:tcPr>
            <w:tcW w:w="724" w:type="dxa"/>
            <w:vAlign w:val="top"/>
            <w:vMerge w:val="continue"/>
            <w:tcBorders>
              <w:top w:val="nil"/>
            </w:tcBorders>
          </w:tcPr>
          <w:p>
            <w:pPr>
              <w:rPr>
                <w:rFonts w:ascii="Arial"/>
                <w:sz w:val="21"/>
              </w:rPr>
            </w:pPr>
            <w:r/>
          </w:p>
        </w:tc>
      </w:tr>
      <w:tr>
        <w:trPr>
          <w:trHeight w:val="1898" w:hRule="atLeast"/>
        </w:trPr>
        <w:tc>
          <w:tcPr>
            <w:tcW w:w="554" w:type="dxa"/>
            <w:vAlign w:val="top"/>
          </w:tcPr>
          <w:p>
            <w:pPr>
              <w:spacing w:line="362" w:lineRule="auto"/>
              <w:rPr>
                <w:rFonts w:ascii="Arial"/>
                <w:sz w:val="21"/>
              </w:rPr>
            </w:pPr>
            <w:r/>
          </w:p>
          <w:p>
            <w:pPr>
              <w:pStyle w:val="TableText"/>
              <w:ind w:left="54" w:right="77"/>
              <w:spacing w:before="68" w:line="228" w:lineRule="auto"/>
              <w:rPr>
                <w:sz w:val="21"/>
                <w:szCs w:val="21"/>
              </w:rPr>
            </w:pPr>
            <w:r>
              <w:rPr>
                <w:sz w:val="21"/>
                <w:szCs w:val="21"/>
                <w:spacing w:val="-5"/>
              </w:rPr>
              <w:t>环境</w:t>
            </w:r>
            <w:r>
              <w:rPr>
                <w:sz w:val="21"/>
                <w:szCs w:val="21"/>
              </w:rPr>
              <w:t xml:space="preserve"> </w:t>
            </w:r>
            <w:r>
              <w:rPr>
                <w:sz w:val="21"/>
                <w:szCs w:val="21"/>
                <w:spacing w:val="-5"/>
              </w:rPr>
              <w:t>准入</w:t>
            </w:r>
          </w:p>
          <w:p>
            <w:pPr>
              <w:pStyle w:val="TableText"/>
              <w:ind w:left="54" w:right="77" w:hanging="20"/>
              <w:spacing w:line="249" w:lineRule="auto"/>
              <w:rPr>
                <w:sz w:val="21"/>
                <w:szCs w:val="21"/>
              </w:rPr>
            </w:pPr>
            <w:r>
              <w:rPr>
                <w:sz w:val="21"/>
                <w:szCs w:val="21"/>
                <w:spacing w:val="4"/>
              </w:rPr>
              <w:t>负面</w:t>
            </w:r>
            <w:r>
              <w:rPr>
                <w:sz w:val="21"/>
                <w:szCs w:val="21"/>
              </w:rPr>
              <w:t xml:space="preserve"> </w:t>
            </w:r>
            <w:r>
              <w:rPr>
                <w:sz w:val="21"/>
                <w:szCs w:val="21"/>
                <w:spacing w:val="-5"/>
              </w:rPr>
              <w:t>清单</w:t>
            </w:r>
          </w:p>
        </w:tc>
        <w:tc>
          <w:tcPr>
            <w:tcW w:w="3246" w:type="dxa"/>
            <w:vAlign w:val="top"/>
          </w:tcPr>
          <w:p>
            <w:pPr>
              <w:pStyle w:val="TableText"/>
              <w:ind w:left="1" w:right="56" w:firstLine="20"/>
              <w:spacing w:before="20" w:line="241" w:lineRule="auto"/>
              <w:rPr>
                <w:sz w:val="21"/>
                <w:szCs w:val="21"/>
              </w:rPr>
            </w:pPr>
            <w:r>
              <w:rPr>
                <w:sz w:val="21"/>
                <w:szCs w:val="21"/>
                <w:spacing w:val="-1"/>
              </w:rPr>
              <w:t>有色金属冶炼加工、黑色金属冶炼</w:t>
            </w:r>
            <w:r>
              <w:rPr>
                <w:sz w:val="21"/>
                <w:szCs w:val="21"/>
                <w:spacing w:val="4"/>
              </w:rPr>
              <w:t xml:space="preserve"> </w:t>
            </w:r>
            <w:r>
              <w:rPr>
                <w:sz w:val="21"/>
                <w:szCs w:val="21"/>
              </w:rPr>
              <w:t>加工企业；含有印刷电路板制造工 </w:t>
            </w:r>
            <w:r>
              <w:rPr>
                <w:sz w:val="21"/>
                <w:szCs w:val="21"/>
                <w:spacing w:val="1"/>
              </w:rPr>
              <w:t>艺的电子信息生产企业；含化学合</w:t>
            </w:r>
            <w:r>
              <w:rPr>
                <w:sz w:val="21"/>
                <w:szCs w:val="21"/>
                <w:spacing w:val="12"/>
              </w:rPr>
              <w:t xml:space="preserve"> </w:t>
            </w:r>
            <w:r>
              <w:rPr>
                <w:sz w:val="21"/>
                <w:szCs w:val="21"/>
              </w:rPr>
              <w:t>成原料药、生物发酵原料药以及涉</w:t>
            </w:r>
            <w:r>
              <w:rPr>
                <w:sz w:val="21"/>
                <w:szCs w:val="21"/>
                <w:spacing w:val="9"/>
              </w:rPr>
              <w:t xml:space="preserve"> </w:t>
            </w:r>
            <w:r>
              <w:rPr>
                <w:sz w:val="21"/>
                <w:szCs w:val="21"/>
                <w:spacing w:val="-1"/>
              </w:rPr>
              <w:t>及提取、萃取工艺的医药制造企</w:t>
            </w:r>
          </w:p>
          <w:p>
            <w:pPr>
              <w:pStyle w:val="TableText"/>
              <w:ind w:left="1" w:right="82" w:firstLine="10"/>
              <w:spacing w:before="1" w:line="218" w:lineRule="auto"/>
              <w:rPr>
                <w:sz w:val="21"/>
                <w:szCs w:val="21"/>
              </w:rPr>
            </w:pPr>
            <w:r>
              <w:rPr>
                <w:sz w:val="21"/>
                <w:szCs w:val="21"/>
                <w:spacing w:val="-1"/>
              </w:rPr>
              <w:t>业；含化学合成工艺的新材料制造</w:t>
            </w:r>
            <w:r>
              <w:rPr>
                <w:sz w:val="21"/>
                <w:szCs w:val="21"/>
                <w:spacing w:val="6"/>
              </w:rPr>
              <w:t xml:space="preserve"> </w:t>
            </w:r>
            <w:r>
              <w:rPr>
                <w:sz w:val="21"/>
                <w:szCs w:val="21"/>
                <w:spacing w:val="-1"/>
              </w:rPr>
              <w:t>企业；轮胎制造企业。</w:t>
            </w:r>
          </w:p>
        </w:tc>
        <w:tc>
          <w:tcPr>
            <w:tcW w:w="3975" w:type="dxa"/>
            <w:vAlign w:val="top"/>
          </w:tcPr>
          <w:p>
            <w:pPr>
              <w:spacing w:line="303" w:lineRule="auto"/>
              <w:rPr>
                <w:rFonts w:ascii="Arial"/>
                <w:sz w:val="21"/>
              </w:rPr>
            </w:pPr>
            <w:r/>
          </w:p>
          <w:p>
            <w:pPr>
              <w:spacing w:line="304" w:lineRule="auto"/>
              <w:rPr>
                <w:rFonts w:ascii="Arial"/>
                <w:sz w:val="21"/>
              </w:rPr>
            </w:pPr>
            <w:r/>
          </w:p>
          <w:p>
            <w:pPr>
              <w:pStyle w:val="TableText"/>
              <w:ind w:left="15" w:right="179"/>
              <w:spacing w:before="68" w:line="277" w:lineRule="auto"/>
              <w:rPr>
                <w:sz w:val="21"/>
                <w:szCs w:val="21"/>
              </w:rPr>
            </w:pPr>
            <w:r>
              <w:rPr>
                <w:sz w:val="21"/>
                <w:szCs w:val="21"/>
                <w:spacing w:val="-1"/>
              </w:rPr>
              <w:t>本项目“C1351牲畜屠宰”,不在园区环境</w:t>
            </w:r>
            <w:r>
              <w:rPr>
                <w:sz w:val="21"/>
                <w:szCs w:val="21"/>
                <w:spacing w:val="10"/>
              </w:rPr>
              <w:t xml:space="preserve"> </w:t>
            </w:r>
            <w:r>
              <w:rPr>
                <w:sz w:val="21"/>
                <w:szCs w:val="21"/>
                <w:spacing w:val="-1"/>
              </w:rPr>
              <w:t>准入负面清单之列。</w:t>
            </w:r>
          </w:p>
        </w:tc>
        <w:tc>
          <w:tcPr>
            <w:tcW w:w="724" w:type="dxa"/>
            <w:vAlign w:val="top"/>
          </w:tcPr>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pStyle w:val="TableText"/>
              <w:ind w:left="149"/>
              <w:spacing w:before="68" w:line="219" w:lineRule="auto"/>
              <w:rPr>
                <w:sz w:val="21"/>
                <w:szCs w:val="21"/>
              </w:rPr>
            </w:pPr>
            <w:r>
              <w:rPr>
                <w:sz w:val="21"/>
                <w:szCs w:val="21"/>
                <w:spacing w:val="-3"/>
              </w:rPr>
              <w:t>符合</w:t>
            </w:r>
          </w:p>
        </w:tc>
      </w:tr>
      <w:tr>
        <w:trPr>
          <w:trHeight w:val="1359" w:hRule="atLeast"/>
        </w:trPr>
        <w:tc>
          <w:tcPr>
            <w:tcW w:w="554" w:type="dxa"/>
            <w:vAlign w:val="top"/>
          </w:tcPr>
          <w:p>
            <w:pPr>
              <w:pStyle w:val="TableText"/>
              <w:ind w:left="54" w:right="56"/>
              <w:spacing w:before="285" w:line="248" w:lineRule="auto"/>
              <w:jc w:val="both"/>
              <w:rPr>
                <w:sz w:val="21"/>
                <w:szCs w:val="21"/>
              </w:rPr>
            </w:pPr>
            <w:r>
              <w:rPr>
                <w:sz w:val="21"/>
                <w:szCs w:val="21"/>
                <w:spacing w:val="-5"/>
              </w:rPr>
              <w:t>清洁</w:t>
            </w:r>
            <w:r>
              <w:rPr>
                <w:sz w:val="21"/>
                <w:szCs w:val="21"/>
              </w:rPr>
              <w:t xml:space="preserve"> </w:t>
            </w:r>
            <w:r>
              <w:rPr>
                <w:sz w:val="21"/>
                <w:szCs w:val="21"/>
                <w:spacing w:val="6"/>
              </w:rPr>
              <w:t>生产</w:t>
            </w:r>
            <w:r>
              <w:rPr>
                <w:sz w:val="21"/>
                <w:szCs w:val="21"/>
              </w:rPr>
              <w:t xml:space="preserve"> </w:t>
            </w:r>
            <w:r>
              <w:rPr>
                <w:sz w:val="21"/>
                <w:szCs w:val="21"/>
                <w:spacing w:val="-3"/>
              </w:rPr>
              <w:t>要求</w:t>
            </w:r>
          </w:p>
        </w:tc>
        <w:tc>
          <w:tcPr>
            <w:tcW w:w="3246" w:type="dxa"/>
            <w:vAlign w:val="top"/>
          </w:tcPr>
          <w:p>
            <w:pPr>
              <w:pStyle w:val="TableText"/>
              <w:ind w:left="1" w:right="65"/>
              <w:spacing w:before="40" w:line="230" w:lineRule="auto"/>
              <w:jc w:val="both"/>
              <w:rPr>
                <w:sz w:val="21"/>
                <w:szCs w:val="21"/>
              </w:rPr>
            </w:pPr>
            <w:r>
              <w:rPr>
                <w:sz w:val="21"/>
                <w:szCs w:val="21"/>
                <w:spacing w:val="-1"/>
              </w:rPr>
              <w:t>入驻企业必须采用国际、国内先进</w:t>
            </w:r>
            <w:r>
              <w:rPr>
                <w:sz w:val="21"/>
                <w:szCs w:val="21"/>
                <w:spacing w:val="6"/>
              </w:rPr>
              <w:t xml:space="preserve"> </w:t>
            </w:r>
            <w:r>
              <w:rPr>
                <w:sz w:val="21"/>
                <w:szCs w:val="21"/>
                <w:spacing w:val="-1"/>
              </w:rPr>
              <w:t>水平的生产工艺、设备及污染治理</w:t>
            </w:r>
            <w:r>
              <w:rPr>
                <w:sz w:val="21"/>
                <w:szCs w:val="21"/>
                <w:spacing w:val="13"/>
              </w:rPr>
              <w:t xml:space="preserve"> </w:t>
            </w:r>
            <w:r>
              <w:rPr>
                <w:sz w:val="21"/>
                <w:szCs w:val="21"/>
                <w:spacing w:val="-1"/>
              </w:rPr>
              <w:t>技术，能耗、物耗、水耗等均应达</w:t>
            </w:r>
            <w:r>
              <w:rPr>
                <w:sz w:val="21"/>
                <w:szCs w:val="21"/>
                <w:spacing w:val="4"/>
              </w:rPr>
              <w:t xml:space="preserve"> </w:t>
            </w:r>
            <w:r>
              <w:rPr>
                <w:sz w:val="21"/>
                <w:szCs w:val="21"/>
                <w:spacing w:val="1"/>
              </w:rPr>
              <w:t>到相应行业的清洁生产水平二级或</w:t>
            </w:r>
            <w:r>
              <w:rPr>
                <w:sz w:val="21"/>
                <w:szCs w:val="21"/>
                <w:spacing w:val="3"/>
              </w:rPr>
              <w:t xml:space="preserve"> </w:t>
            </w:r>
            <w:r>
              <w:rPr>
                <w:sz w:val="21"/>
                <w:szCs w:val="21"/>
                <w:spacing w:val="-1"/>
              </w:rPr>
              <w:t>国内先进水平。</w:t>
            </w:r>
          </w:p>
        </w:tc>
        <w:tc>
          <w:tcPr>
            <w:tcW w:w="3975" w:type="dxa"/>
            <w:vAlign w:val="top"/>
          </w:tcPr>
          <w:p>
            <w:pPr>
              <w:spacing w:line="353" w:lineRule="auto"/>
              <w:rPr>
                <w:rFonts w:ascii="Arial"/>
                <w:sz w:val="21"/>
              </w:rPr>
            </w:pPr>
            <w:r/>
          </w:p>
          <w:p>
            <w:pPr>
              <w:pStyle w:val="TableText"/>
              <w:ind w:left="15" w:right="141"/>
              <w:spacing w:before="68" w:line="266" w:lineRule="auto"/>
              <w:rPr>
                <w:sz w:val="21"/>
                <w:szCs w:val="21"/>
              </w:rPr>
            </w:pPr>
            <w:r>
              <w:rPr>
                <w:sz w:val="21"/>
                <w:szCs w:val="21"/>
                <w:spacing w:val="1"/>
              </w:rPr>
              <w:t>本项目采用工艺、设备均为国内同行业内</w:t>
            </w:r>
            <w:r>
              <w:rPr>
                <w:sz w:val="21"/>
                <w:szCs w:val="21"/>
                <w:spacing w:val="9"/>
              </w:rPr>
              <w:t xml:space="preserve"> </w:t>
            </w:r>
            <w:r>
              <w:rPr>
                <w:sz w:val="21"/>
                <w:szCs w:val="21"/>
                <w:spacing w:val="-1"/>
              </w:rPr>
              <w:t>先进水准。</w:t>
            </w:r>
          </w:p>
        </w:tc>
        <w:tc>
          <w:tcPr>
            <w:tcW w:w="724" w:type="dxa"/>
            <w:vAlign w:val="top"/>
          </w:tcPr>
          <w:p>
            <w:pPr>
              <w:spacing w:line="256" w:lineRule="auto"/>
              <w:rPr>
                <w:rFonts w:ascii="Arial"/>
                <w:sz w:val="21"/>
              </w:rPr>
            </w:pPr>
            <w:r/>
          </w:p>
          <w:p>
            <w:pPr>
              <w:spacing w:line="256" w:lineRule="auto"/>
              <w:rPr>
                <w:rFonts w:ascii="Arial"/>
                <w:sz w:val="21"/>
              </w:rPr>
            </w:pPr>
            <w:r/>
          </w:p>
          <w:p>
            <w:pPr>
              <w:pStyle w:val="TableText"/>
              <w:ind w:left="149"/>
              <w:spacing w:before="68" w:line="219" w:lineRule="auto"/>
              <w:rPr>
                <w:sz w:val="21"/>
                <w:szCs w:val="21"/>
              </w:rPr>
            </w:pPr>
            <w:r>
              <w:rPr>
                <w:sz w:val="21"/>
                <w:szCs w:val="21"/>
                <w:spacing w:val="-3"/>
              </w:rPr>
              <w:t>符合</w:t>
            </w:r>
          </w:p>
        </w:tc>
      </w:tr>
      <w:tr>
        <w:trPr>
          <w:trHeight w:val="6051" w:hRule="atLeast"/>
        </w:trPr>
        <w:tc>
          <w:tcPr>
            <w:tcW w:w="554" w:type="dxa"/>
            <w:vAlign w:val="top"/>
          </w:tcPr>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pStyle w:val="TableText"/>
              <w:ind w:left="54" w:right="50"/>
              <w:spacing w:before="69" w:line="237" w:lineRule="auto"/>
              <w:rPr>
                <w:sz w:val="21"/>
                <w:szCs w:val="21"/>
              </w:rPr>
            </w:pPr>
            <w:r>
              <w:rPr>
                <w:sz w:val="21"/>
                <w:szCs w:val="21"/>
                <w:spacing w:val="-5"/>
              </w:rPr>
              <w:t>环境</w:t>
            </w:r>
            <w:r>
              <w:rPr>
                <w:sz w:val="21"/>
                <w:szCs w:val="21"/>
              </w:rPr>
              <w:t xml:space="preserve"> </w:t>
            </w:r>
            <w:r>
              <w:rPr>
                <w:sz w:val="21"/>
                <w:szCs w:val="21"/>
                <w:spacing w:val="9"/>
              </w:rPr>
              <w:t>制约</w:t>
            </w:r>
          </w:p>
          <w:p>
            <w:pPr>
              <w:pStyle w:val="TableText"/>
              <w:ind w:left="54"/>
              <w:spacing w:line="219" w:lineRule="auto"/>
              <w:rPr>
                <w:sz w:val="21"/>
                <w:szCs w:val="21"/>
              </w:rPr>
            </w:pPr>
            <w:r>
              <w:rPr>
                <w:sz w:val="21"/>
                <w:szCs w:val="21"/>
                <w:spacing w:val="4"/>
              </w:rPr>
              <w:t>因素</w:t>
            </w:r>
          </w:p>
          <w:p>
            <w:pPr>
              <w:pStyle w:val="TableText"/>
              <w:ind w:left="54"/>
              <w:spacing w:before="31" w:line="220" w:lineRule="auto"/>
              <w:rPr>
                <w:sz w:val="21"/>
                <w:szCs w:val="21"/>
              </w:rPr>
            </w:pPr>
            <w:r>
              <w:rPr>
                <w:sz w:val="21"/>
                <w:szCs w:val="21"/>
                <w:spacing w:val="-2"/>
              </w:rPr>
              <w:t>及解</w:t>
            </w:r>
          </w:p>
          <w:p>
            <w:pPr>
              <w:pStyle w:val="TableText"/>
              <w:ind w:left="54"/>
              <w:spacing w:before="9" w:line="219" w:lineRule="auto"/>
              <w:rPr>
                <w:sz w:val="21"/>
                <w:szCs w:val="21"/>
              </w:rPr>
            </w:pPr>
            <w:r>
              <w:rPr>
                <w:sz w:val="21"/>
                <w:szCs w:val="21"/>
                <w:spacing w:val="4"/>
              </w:rPr>
              <w:t>决对</w:t>
            </w:r>
          </w:p>
          <w:p>
            <w:pPr>
              <w:pStyle w:val="TableText"/>
              <w:ind w:left="164"/>
              <w:spacing w:before="41" w:line="220" w:lineRule="auto"/>
              <w:rPr>
                <w:sz w:val="21"/>
                <w:szCs w:val="21"/>
              </w:rPr>
            </w:pPr>
            <w:r>
              <w:rPr>
                <w:sz w:val="21"/>
                <w:szCs w:val="21"/>
              </w:rPr>
              <w:t>策</w:t>
            </w:r>
          </w:p>
        </w:tc>
        <w:tc>
          <w:tcPr>
            <w:tcW w:w="3246"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1" w:right="57"/>
              <w:spacing w:before="68" w:line="239" w:lineRule="auto"/>
              <w:rPr>
                <w:sz w:val="21"/>
                <w:szCs w:val="21"/>
              </w:rPr>
            </w:pPr>
            <w:r>
              <w:rPr>
                <w:sz w:val="21"/>
                <w:szCs w:val="21"/>
              </w:rPr>
              <w:t>1、园区范围内现有部分工业企业  </w:t>
            </w:r>
            <w:r>
              <w:rPr>
                <w:sz w:val="21"/>
                <w:szCs w:val="21"/>
                <w:spacing w:val="1"/>
              </w:rPr>
              <w:t>与安置区及学校混杂，园区边界与</w:t>
            </w:r>
            <w:r>
              <w:rPr>
                <w:sz w:val="21"/>
                <w:szCs w:val="21"/>
                <w:spacing w:val="11"/>
              </w:rPr>
              <w:t xml:space="preserve"> </w:t>
            </w:r>
            <w:r>
              <w:rPr>
                <w:sz w:val="21"/>
                <w:szCs w:val="21"/>
              </w:rPr>
              <w:t>城镇建成区紧邻，对规划实施构成 </w:t>
            </w:r>
            <w:r>
              <w:rPr>
                <w:sz w:val="21"/>
                <w:szCs w:val="21"/>
                <w:spacing w:val="-1"/>
              </w:rPr>
              <w:t>一定环境制约。</w:t>
            </w:r>
          </w:p>
          <w:p>
            <w:pPr>
              <w:pStyle w:val="TableText"/>
              <w:ind w:left="1" w:right="52" w:firstLine="10"/>
              <w:spacing w:before="14" w:line="236" w:lineRule="auto"/>
              <w:rPr>
                <w:sz w:val="21"/>
                <w:szCs w:val="21"/>
              </w:rPr>
            </w:pPr>
            <w:r>
              <w:rPr>
                <w:sz w:val="21"/>
                <w:szCs w:val="21"/>
                <w:spacing w:val="-1"/>
              </w:rPr>
              <w:t>解决对策：①加强对环境敏感目标</w:t>
            </w:r>
            <w:r>
              <w:rPr>
                <w:sz w:val="21"/>
                <w:szCs w:val="21"/>
                <w:spacing w:val="6"/>
              </w:rPr>
              <w:t xml:space="preserve"> </w:t>
            </w:r>
            <w:r>
              <w:rPr>
                <w:sz w:val="21"/>
                <w:szCs w:val="21"/>
                <w:spacing w:val="1"/>
              </w:rPr>
              <w:t>周边企业的环境管控，强化噪声及</w:t>
            </w:r>
            <w:r>
              <w:rPr>
                <w:sz w:val="21"/>
                <w:szCs w:val="21"/>
                <w:spacing w:val="5"/>
              </w:rPr>
              <w:t xml:space="preserve"> </w:t>
            </w:r>
            <w:r>
              <w:rPr>
                <w:sz w:val="21"/>
                <w:szCs w:val="21"/>
              </w:rPr>
              <w:t>有机废气治理措施，确保各项污染 </w:t>
            </w:r>
            <w:r>
              <w:rPr>
                <w:sz w:val="21"/>
                <w:szCs w:val="21"/>
                <w:spacing w:val="-1"/>
              </w:rPr>
              <w:t>物达标排放。②针对拟入驻企业，</w:t>
            </w:r>
            <w:r>
              <w:rPr>
                <w:sz w:val="21"/>
                <w:szCs w:val="21"/>
                <w:spacing w:val="8"/>
              </w:rPr>
              <w:t xml:space="preserve"> </w:t>
            </w:r>
            <w:r>
              <w:rPr>
                <w:sz w:val="21"/>
                <w:szCs w:val="21"/>
                <w:spacing w:val="2"/>
              </w:rPr>
              <w:t>应在选址和平面布局等方面进行充</w:t>
            </w:r>
            <w:r>
              <w:rPr>
                <w:sz w:val="21"/>
                <w:szCs w:val="21"/>
                <w:spacing w:val="1"/>
              </w:rPr>
              <w:t xml:space="preserve"> </w:t>
            </w:r>
            <w:r>
              <w:rPr>
                <w:sz w:val="21"/>
                <w:szCs w:val="21"/>
              </w:rPr>
              <w:t>分论证，确保人居环境质量不降</w:t>
            </w:r>
          </w:p>
          <w:p>
            <w:pPr>
              <w:pStyle w:val="TableText"/>
              <w:ind w:left="1"/>
              <w:spacing w:line="220" w:lineRule="auto"/>
              <w:rPr>
                <w:sz w:val="21"/>
                <w:szCs w:val="21"/>
              </w:rPr>
            </w:pPr>
            <w:r>
              <w:rPr>
                <w:sz w:val="21"/>
                <w:szCs w:val="21"/>
                <w:spacing w:val="-2"/>
              </w:rPr>
              <w:t>低。</w:t>
            </w:r>
          </w:p>
        </w:tc>
        <w:tc>
          <w:tcPr>
            <w:tcW w:w="3975" w:type="dxa"/>
            <w:vAlign w:val="top"/>
          </w:tcPr>
          <w:p>
            <w:pPr>
              <w:pStyle w:val="TableText"/>
              <w:ind w:left="15" w:right="157"/>
              <w:spacing w:before="13" w:line="246" w:lineRule="auto"/>
              <w:rPr>
                <w:sz w:val="21"/>
                <w:szCs w:val="21"/>
              </w:rPr>
            </w:pPr>
            <w:r>
              <w:rPr>
                <w:sz w:val="21"/>
                <w:szCs w:val="21"/>
              </w:rPr>
              <w:t>本项目为改扩建项目，运营期通过设置双</w:t>
            </w:r>
            <w:r>
              <w:rPr>
                <w:sz w:val="21"/>
                <w:szCs w:val="21"/>
                <w:spacing w:val="11"/>
              </w:rPr>
              <w:t xml:space="preserve"> </w:t>
            </w:r>
            <w:r>
              <w:rPr>
                <w:sz w:val="21"/>
                <w:szCs w:val="21"/>
                <w:spacing w:val="-1"/>
              </w:rPr>
              <w:t>开门封闭车间减小废气无组织排放，生猪</w:t>
            </w:r>
            <w:r>
              <w:rPr>
                <w:sz w:val="21"/>
                <w:szCs w:val="21"/>
                <w:spacing w:val="7"/>
              </w:rPr>
              <w:t xml:space="preserve"> </w:t>
            </w:r>
            <w:r>
              <w:rPr>
                <w:sz w:val="21"/>
                <w:szCs w:val="21"/>
                <w:spacing w:val="-1"/>
              </w:rPr>
              <w:t>待宰圈舍恶臭经负压密闭抽风系统引入</w:t>
            </w:r>
          </w:p>
          <w:p>
            <w:pPr>
              <w:pStyle w:val="TableText"/>
              <w:spacing w:before="1" w:line="217" w:lineRule="auto"/>
              <w:rPr>
                <w:sz w:val="21"/>
                <w:szCs w:val="21"/>
              </w:rPr>
            </w:pPr>
            <w:r>
              <w:rPr>
                <w:sz w:val="21"/>
                <w:szCs w:val="21"/>
                <w:spacing w:val="1"/>
              </w:rPr>
              <w:t>“喷淋+</w:t>
            </w:r>
            <w:r>
              <w:rPr>
                <w:sz w:val="21"/>
                <w:szCs w:val="21"/>
              </w:rPr>
              <w:t>UV</w:t>
            </w:r>
            <w:r>
              <w:rPr>
                <w:sz w:val="21"/>
                <w:szCs w:val="21"/>
                <w:spacing w:val="1"/>
              </w:rPr>
              <w:t>光解+活性炭吸附装置</w:t>
            </w:r>
          </w:p>
          <w:p>
            <w:pPr>
              <w:pStyle w:val="TableText"/>
              <w:ind w:left="15"/>
              <w:spacing w:before="14" w:line="219" w:lineRule="auto"/>
              <w:rPr>
                <w:sz w:val="21"/>
                <w:szCs w:val="21"/>
              </w:rPr>
            </w:pPr>
            <w:r>
              <w:rPr>
                <w:sz w:val="21"/>
                <w:szCs w:val="21"/>
              </w:rPr>
              <w:t>(TA001)”处理后，通过1根15m高排</w:t>
            </w:r>
          </w:p>
          <w:p>
            <w:pPr>
              <w:pStyle w:val="TableText"/>
              <w:ind w:left="15" w:right="284"/>
              <w:spacing w:before="51"/>
              <w:rPr>
                <w:sz w:val="21"/>
                <w:szCs w:val="21"/>
              </w:rPr>
            </w:pPr>
            <w:r>
              <w:rPr>
                <w:sz w:val="21"/>
                <w:szCs w:val="21"/>
              </w:rPr>
              <w:t>气筒(DA001)达标排放；生猪屠宰车间</w:t>
            </w:r>
            <w:r>
              <w:rPr>
                <w:sz w:val="21"/>
                <w:szCs w:val="21"/>
                <w:spacing w:val="7"/>
              </w:rPr>
              <w:t xml:space="preserve">  </w:t>
            </w:r>
            <w:r>
              <w:rPr>
                <w:sz w:val="21"/>
                <w:szCs w:val="21"/>
                <w:spacing w:val="-1"/>
              </w:rPr>
              <w:t>恶臭经负压密闭抽风系统引入“喷淋+UV</w:t>
            </w:r>
            <w:r>
              <w:rPr>
                <w:sz w:val="21"/>
                <w:szCs w:val="21"/>
                <w:spacing w:val="8"/>
              </w:rPr>
              <w:t xml:space="preserve"> </w:t>
            </w:r>
            <w:r>
              <w:rPr>
                <w:sz w:val="21"/>
                <w:szCs w:val="21"/>
                <w:spacing w:val="-1"/>
              </w:rPr>
              <w:t>光解+活性炭吸附装置(TA002)”处理</w:t>
            </w:r>
          </w:p>
          <w:p>
            <w:pPr>
              <w:pStyle w:val="TableText"/>
              <w:ind w:left="15"/>
              <w:spacing w:line="219" w:lineRule="auto"/>
              <w:rPr>
                <w:sz w:val="21"/>
                <w:szCs w:val="21"/>
              </w:rPr>
            </w:pPr>
            <w:r>
              <w:rPr>
                <w:sz w:val="21"/>
                <w:szCs w:val="21"/>
                <w:spacing w:val="-1"/>
              </w:rPr>
              <w:t>后，通过1根15m高排气筒(DA002)达</w:t>
            </w:r>
          </w:p>
          <w:p>
            <w:pPr>
              <w:pStyle w:val="TableText"/>
              <w:ind w:left="15" w:right="179"/>
              <w:spacing w:before="21" w:line="237" w:lineRule="auto"/>
              <w:rPr>
                <w:sz w:val="21"/>
                <w:szCs w:val="21"/>
              </w:rPr>
            </w:pPr>
            <w:r>
              <w:rPr>
                <w:sz w:val="21"/>
                <w:szCs w:val="21"/>
                <w:spacing w:val="-1"/>
              </w:rPr>
              <w:t>标排放；肉牛待宰圈舍、屠宰车间恶臭经</w:t>
            </w:r>
            <w:r>
              <w:rPr>
                <w:sz w:val="21"/>
                <w:szCs w:val="21"/>
                <w:spacing w:val="7"/>
              </w:rPr>
              <w:t xml:space="preserve"> </w:t>
            </w:r>
            <w:r>
              <w:rPr>
                <w:sz w:val="21"/>
                <w:szCs w:val="21"/>
              </w:rPr>
              <w:t>负压密闭抽风系统引入“喷淋+UV光解+</w:t>
            </w:r>
          </w:p>
          <w:p>
            <w:pPr>
              <w:pStyle w:val="TableText"/>
              <w:ind w:left="15"/>
              <w:spacing w:before="8" w:line="219" w:lineRule="auto"/>
              <w:rPr>
                <w:sz w:val="21"/>
                <w:szCs w:val="21"/>
              </w:rPr>
            </w:pPr>
            <w:r>
              <w:rPr>
                <w:sz w:val="21"/>
                <w:szCs w:val="21"/>
                <w:spacing w:val="-1"/>
              </w:rPr>
              <w:t>活性炭吸附装置(TA003)”处理后，通</w:t>
            </w:r>
          </w:p>
          <w:p>
            <w:pPr>
              <w:pStyle w:val="TableText"/>
              <w:ind w:right="162" w:firstLine="102"/>
              <w:spacing w:before="14" w:line="243" w:lineRule="auto"/>
              <w:rPr>
                <w:sz w:val="21"/>
                <w:szCs w:val="21"/>
              </w:rPr>
            </w:pPr>
            <w:r>
              <w:rPr>
                <w:sz w:val="21"/>
                <w:szCs w:val="21"/>
                <w:spacing w:val="29"/>
              </w:rPr>
              <w:t>过1根15m高排气筒(</w:t>
            </w:r>
            <w:r>
              <w:rPr>
                <w:sz w:val="21"/>
                <w:szCs w:val="21"/>
              </w:rPr>
              <w:t>DA</w:t>
            </w:r>
            <w:r>
              <w:rPr>
                <w:sz w:val="21"/>
                <w:szCs w:val="21"/>
                <w:spacing w:val="29"/>
              </w:rPr>
              <w:t>003)达标排</w:t>
            </w:r>
            <w:r>
              <w:rPr>
                <w:sz w:val="21"/>
                <w:szCs w:val="21"/>
                <w:spacing w:val="7"/>
              </w:rPr>
              <w:t xml:space="preserve">  </w:t>
            </w:r>
            <w:r>
              <w:rPr>
                <w:sz w:val="21"/>
                <w:szCs w:val="21"/>
              </w:rPr>
              <w:t>放；污水处理站恶臭气体通过加盖收集，</w:t>
            </w:r>
            <w:r>
              <w:rPr>
                <w:sz w:val="21"/>
                <w:szCs w:val="21"/>
                <w:spacing w:val="11"/>
              </w:rPr>
              <w:t xml:space="preserve"> </w:t>
            </w:r>
            <w:r>
              <w:rPr>
                <w:sz w:val="21"/>
                <w:szCs w:val="21"/>
                <w:spacing w:val="1"/>
              </w:rPr>
              <w:t>并对各单元分别采取负压抽风系统，设置</w:t>
            </w:r>
            <w:r>
              <w:rPr>
                <w:sz w:val="21"/>
                <w:szCs w:val="21"/>
                <w:spacing w:val="3"/>
              </w:rPr>
              <w:t xml:space="preserve"> </w:t>
            </w:r>
            <w:r>
              <w:rPr>
                <w:sz w:val="21"/>
                <w:szCs w:val="21"/>
                <w:spacing w:val="2"/>
              </w:rPr>
              <w:t>“喷淋+</w:t>
            </w:r>
            <w:r>
              <w:rPr>
                <w:sz w:val="21"/>
                <w:szCs w:val="21"/>
              </w:rPr>
              <w:t>UV</w:t>
            </w:r>
            <w:r>
              <w:rPr>
                <w:sz w:val="21"/>
                <w:szCs w:val="21"/>
                <w:spacing w:val="2"/>
              </w:rPr>
              <w:t>光解+活性炭吸附装置</w:t>
            </w:r>
          </w:p>
          <w:p>
            <w:pPr>
              <w:pStyle w:val="TableText"/>
              <w:ind w:left="15"/>
              <w:spacing w:before="3" w:line="219" w:lineRule="auto"/>
              <w:rPr>
                <w:sz w:val="21"/>
                <w:szCs w:val="21"/>
              </w:rPr>
            </w:pPr>
            <w:r>
              <w:rPr>
                <w:sz w:val="21"/>
                <w:szCs w:val="21"/>
              </w:rPr>
              <w:t>(TA004)”处理后，通过1根15m高排</w:t>
            </w:r>
          </w:p>
          <w:p>
            <w:pPr>
              <w:pStyle w:val="TableText"/>
              <w:ind w:left="15"/>
              <w:spacing w:before="31" w:line="219" w:lineRule="auto"/>
              <w:rPr>
                <w:sz w:val="21"/>
                <w:szCs w:val="21"/>
              </w:rPr>
            </w:pPr>
            <w:r>
              <w:rPr>
                <w:sz w:val="21"/>
                <w:szCs w:val="21"/>
                <w:spacing w:val="-1"/>
              </w:rPr>
              <w:t>气筒(DA004)达标排放；蒸汽发生器燃</w:t>
            </w:r>
          </w:p>
          <w:p>
            <w:pPr>
              <w:pStyle w:val="TableText"/>
              <w:ind w:left="15" w:right="177"/>
              <w:spacing w:before="21" w:line="246" w:lineRule="auto"/>
              <w:rPr>
                <w:sz w:val="21"/>
                <w:szCs w:val="21"/>
              </w:rPr>
            </w:pPr>
            <w:r>
              <w:rPr>
                <w:sz w:val="21"/>
                <w:szCs w:val="21"/>
                <w:spacing w:val="-1"/>
              </w:rPr>
              <w:t>烧废气：采用低氮燃烧技术处理后，通过</w:t>
            </w:r>
            <w:r>
              <w:rPr>
                <w:sz w:val="21"/>
                <w:szCs w:val="21"/>
                <w:spacing w:val="9"/>
              </w:rPr>
              <w:t xml:space="preserve"> </w:t>
            </w:r>
            <w:r>
              <w:rPr>
                <w:sz w:val="21"/>
                <w:szCs w:val="21"/>
                <w:spacing w:val="5"/>
              </w:rPr>
              <w:t>1根18m高排气筒(</w:t>
            </w:r>
            <w:r>
              <w:rPr>
                <w:sz w:val="21"/>
                <w:szCs w:val="21"/>
              </w:rPr>
              <w:t>DA</w:t>
            </w:r>
            <w:r>
              <w:rPr>
                <w:sz w:val="21"/>
                <w:szCs w:val="21"/>
                <w:spacing w:val="5"/>
              </w:rPr>
              <w:t>005)达标排放；</w:t>
            </w:r>
          </w:p>
          <w:p>
            <w:pPr>
              <w:pStyle w:val="TableText"/>
              <w:ind w:left="15" w:right="178"/>
              <w:spacing w:before="1" w:line="222" w:lineRule="auto"/>
              <w:rPr>
                <w:sz w:val="21"/>
                <w:szCs w:val="21"/>
              </w:rPr>
            </w:pPr>
            <w:r>
              <w:rPr>
                <w:sz w:val="21"/>
                <w:szCs w:val="21"/>
                <w:spacing w:val="-1"/>
              </w:rPr>
              <w:t>污水处理站沼气经净化处理后用作食堂燃</w:t>
            </w:r>
            <w:r>
              <w:rPr>
                <w:sz w:val="21"/>
                <w:szCs w:val="21"/>
                <w:spacing w:val="7"/>
              </w:rPr>
              <w:t xml:space="preserve"> </w:t>
            </w:r>
            <w:r>
              <w:rPr>
                <w:sz w:val="21"/>
                <w:szCs w:val="21"/>
                <w:spacing w:val="-1"/>
              </w:rPr>
              <w:t>料或火炬点燃排至大气环境；食堂油烟经</w:t>
            </w:r>
          </w:p>
        </w:tc>
        <w:tc>
          <w:tcPr>
            <w:tcW w:w="724" w:type="dxa"/>
            <w:vAlign w:val="top"/>
          </w:tcPr>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pStyle w:val="TableText"/>
              <w:ind w:left="149"/>
              <w:spacing w:before="68" w:line="219" w:lineRule="auto"/>
              <w:rPr>
                <w:sz w:val="21"/>
                <w:szCs w:val="21"/>
              </w:rPr>
            </w:pPr>
            <w:r>
              <w:rPr>
                <w:sz w:val="21"/>
                <w:szCs w:val="21"/>
                <w:spacing w:val="-3"/>
              </w:rPr>
              <w:t>符合</w:t>
            </w:r>
          </w:p>
        </w:tc>
      </w:tr>
    </w:tbl>
    <w:p>
      <w:pPr>
        <w:pStyle w:val="BodyText"/>
        <w:rPr/>
      </w:pPr>
      <w:r/>
    </w:p>
    <w:p>
      <w:pPr>
        <w:sectPr>
          <w:headerReference w:type="default" r:id="rId40"/>
          <w:footerReference w:type="default" r:id="rId41"/>
          <w:pgSz w:w="11910" w:h="16840"/>
          <w:pgMar w:top="1160" w:right="1685" w:bottom="981" w:left="1715" w:header="852" w:footer="722" w:gutter="0"/>
        </w:sectPr>
        <w:rPr/>
      </w:pPr>
    </w:p>
    <w:p>
      <w:pPr>
        <w:spacing w:before="3"/>
        <w:rPr/>
      </w:pPr>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54"/>
        <w:gridCol w:w="3226"/>
        <w:gridCol w:w="3995"/>
        <w:gridCol w:w="724"/>
      </w:tblGrid>
      <w:tr>
        <w:trPr>
          <w:trHeight w:val="295" w:hRule="atLeast"/>
        </w:trPr>
        <w:tc>
          <w:tcPr>
            <w:shd w:val="clear" w:fill="BEBEBE"/>
            <w:tcW w:w="554" w:type="dxa"/>
            <w:vAlign w:val="top"/>
          </w:tcPr>
          <w:p>
            <w:pPr>
              <w:pStyle w:val="TableText"/>
              <w:ind w:left="18"/>
              <w:spacing w:before="41" w:line="214" w:lineRule="auto"/>
              <w:rPr>
                <w:sz w:val="21"/>
                <w:szCs w:val="21"/>
              </w:rPr>
            </w:pPr>
            <w:r>
              <w:rPr>
                <w:sz w:val="21"/>
                <w:szCs w:val="21"/>
                <w:b/>
                <w:bCs/>
                <w:spacing w:val="14"/>
              </w:rPr>
              <w:t>项目</w:t>
            </w:r>
          </w:p>
        </w:tc>
        <w:tc>
          <w:tcPr>
            <w:shd w:val="clear" w:fill="BEBEBE"/>
            <w:tcW w:w="3226" w:type="dxa"/>
            <w:vAlign w:val="top"/>
          </w:tcPr>
          <w:p>
            <w:pPr>
              <w:pStyle w:val="TableText"/>
              <w:ind w:left="133"/>
              <w:spacing w:before="41" w:line="214" w:lineRule="auto"/>
              <w:rPr>
                <w:sz w:val="21"/>
                <w:szCs w:val="21"/>
              </w:rPr>
            </w:pPr>
            <w:r>
              <w:rPr>
                <w:sz w:val="21"/>
                <w:szCs w:val="21"/>
                <w:b/>
                <w:bCs/>
                <w:spacing w:val="-3"/>
              </w:rPr>
              <w:t>规划、规划环评及环评批复要求</w:t>
            </w:r>
          </w:p>
        </w:tc>
        <w:tc>
          <w:tcPr>
            <w:shd w:val="clear" w:fill="BEBEBE"/>
            <w:tcW w:w="3995" w:type="dxa"/>
            <w:vAlign w:val="top"/>
          </w:tcPr>
          <w:p>
            <w:pPr>
              <w:pStyle w:val="TableText"/>
              <w:ind w:left="1457"/>
              <w:spacing w:before="39" w:line="216" w:lineRule="auto"/>
              <w:rPr>
                <w:sz w:val="21"/>
                <w:szCs w:val="21"/>
              </w:rPr>
            </w:pPr>
            <w:r>
              <w:rPr>
                <w:sz w:val="21"/>
                <w:szCs w:val="21"/>
                <w:b/>
                <w:bCs/>
                <w:spacing w:val="-4"/>
              </w:rPr>
              <w:t>本项目情况</w:t>
            </w:r>
          </w:p>
        </w:tc>
        <w:tc>
          <w:tcPr>
            <w:shd w:val="clear" w:fill="BEBEBE"/>
            <w:tcW w:w="724" w:type="dxa"/>
            <w:vAlign w:val="top"/>
          </w:tcPr>
          <w:p>
            <w:pPr>
              <w:pStyle w:val="TableText"/>
              <w:ind w:left="42"/>
              <w:spacing w:before="40" w:line="215" w:lineRule="auto"/>
              <w:rPr>
                <w:sz w:val="21"/>
                <w:szCs w:val="21"/>
              </w:rPr>
            </w:pPr>
            <w:r>
              <w:rPr>
                <w:sz w:val="21"/>
                <w:szCs w:val="21"/>
                <w:b/>
                <w:bCs/>
                <w:spacing w:val="-5"/>
              </w:rPr>
              <w:t>符合性</w:t>
            </w:r>
          </w:p>
        </w:tc>
      </w:tr>
      <w:tr>
        <w:trPr>
          <w:trHeight w:val="4617" w:hRule="atLeast"/>
        </w:trPr>
        <w:tc>
          <w:tcPr>
            <w:tcW w:w="554" w:type="dxa"/>
            <w:vAlign w:val="top"/>
            <w:vMerge w:val="restart"/>
            <w:tcBorders>
              <w:bottom w:val="nil"/>
            </w:tcBorders>
          </w:tcPr>
          <w:p>
            <w:pPr>
              <w:rPr>
                <w:rFonts w:ascii="Arial"/>
                <w:sz w:val="21"/>
              </w:rPr>
            </w:pPr>
            <w:r/>
          </w:p>
        </w:tc>
        <w:tc>
          <w:tcPr>
            <w:tcW w:w="3226" w:type="dxa"/>
            <w:vAlign w:val="top"/>
          </w:tcPr>
          <w:p>
            <w:pPr>
              <w:rPr>
                <w:rFonts w:ascii="Arial"/>
                <w:sz w:val="21"/>
              </w:rPr>
            </w:pPr>
            <w:r/>
          </w:p>
        </w:tc>
        <w:tc>
          <w:tcPr>
            <w:tcW w:w="3995" w:type="dxa"/>
            <w:vAlign w:val="top"/>
          </w:tcPr>
          <w:p>
            <w:pPr>
              <w:pStyle w:val="TableText"/>
              <w:ind w:left="5"/>
              <w:spacing w:before="28" w:line="219" w:lineRule="auto"/>
              <w:rPr>
                <w:sz w:val="21"/>
                <w:szCs w:val="21"/>
              </w:rPr>
            </w:pPr>
            <w:r>
              <w:rPr>
                <w:sz w:val="21"/>
                <w:szCs w:val="21"/>
              </w:rPr>
              <w:t>油烟净化器处理后引至楼顶(DA006)达</w:t>
            </w:r>
          </w:p>
          <w:p>
            <w:pPr>
              <w:pStyle w:val="TableText"/>
              <w:ind w:left="5" w:right="94"/>
              <w:spacing w:before="26"/>
              <w:rPr>
                <w:sz w:val="21"/>
                <w:szCs w:val="21"/>
              </w:rPr>
            </w:pPr>
            <w:r>
              <w:rPr>
                <w:sz w:val="21"/>
                <w:szCs w:val="21"/>
              </w:rPr>
              <w:t>标排放；噪声通过采取隔声、减振、消声</w:t>
            </w:r>
            <w:r>
              <w:rPr>
                <w:sz w:val="21"/>
                <w:szCs w:val="21"/>
                <w:spacing w:val="6"/>
              </w:rPr>
              <w:t xml:space="preserve">  </w:t>
            </w:r>
            <w:r>
              <w:rPr>
                <w:sz w:val="21"/>
                <w:szCs w:val="21"/>
                <w:spacing w:val="-1"/>
              </w:rPr>
              <w:t>等治理措施，加强管理、合理布局、绿化</w:t>
            </w:r>
            <w:r>
              <w:rPr>
                <w:sz w:val="21"/>
                <w:szCs w:val="21"/>
                <w:spacing w:val="3"/>
              </w:rPr>
              <w:t xml:space="preserve">  </w:t>
            </w:r>
            <w:r>
              <w:rPr>
                <w:sz w:val="21"/>
                <w:szCs w:val="21"/>
              </w:rPr>
              <w:t>隔声后，再经厂界距离衰减，厂界四周噪</w:t>
            </w:r>
            <w:r>
              <w:rPr>
                <w:sz w:val="21"/>
                <w:szCs w:val="21"/>
                <w:spacing w:val="5"/>
              </w:rPr>
              <w:t xml:space="preserve">  </w:t>
            </w:r>
            <w:r>
              <w:rPr>
                <w:sz w:val="21"/>
                <w:szCs w:val="21"/>
                <w:spacing w:val="5"/>
              </w:rPr>
              <w:t>声达标排放，经采取以上措施后，废气、</w:t>
            </w:r>
            <w:r>
              <w:rPr>
                <w:sz w:val="21"/>
                <w:szCs w:val="21"/>
                <w:spacing w:val="14"/>
              </w:rPr>
              <w:t xml:space="preserve"> </w:t>
            </w:r>
            <w:r>
              <w:rPr>
                <w:sz w:val="21"/>
                <w:szCs w:val="21"/>
                <w:spacing w:val="1"/>
              </w:rPr>
              <w:t>噪声均能达标排放。本项目位于四川绵阳</w:t>
            </w:r>
            <w:r>
              <w:rPr>
                <w:sz w:val="21"/>
                <w:szCs w:val="21"/>
                <w:spacing w:val="3"/>
              </w:rPr>
              <w:t xml:space="preserve"> </w:t>
            </w:r>
            <w:r>
              <w:rPr>
                <w:sz w:val="21"/>
                <w:szCs w:val="21"/>
              </w:rPr>
              <w:t>安州工业园区内，周边主要以工业企业为</w:t>
            </w:r>
            <w:r>
              <w:rPr>
                <w:sz w:val="21"/>
                <w:szCs w:val="21"/>
                <w:spacing w:val="4"/>
              </w:rPr>
              <w:t xml:space="preserve">  </w:t>
            </w:r>
            <w:r>
              <w:rPr>
                <w:sz w:val="21"/>
                <w:szCs w:val="21"/>
              </w:rPr>
              <w:t>主，最近环境敏感目标为东侧180m处安</w:t>
            </w:r>
          </w:p>
          <w:p>
            <w:pPr>
              <w:pStyle w:val="TableText"/>
              <w:ind w:left="5"/>
              <w:spacing w:before="2" w:line="219" w:lineRule="auto"/>
              <w:rPr>
                <w:sz w:val="21"/>
                <w:szCs w:val="21"/>
              </w:rPr>
            </w:pPr>
            <w:r>
              <w:rPr>
                <w:sz w:val="21"/>
                <w:szCs w:val="21"/>
                <w:spacing w:val="-1"/>
              </w:rPr>
              <w:t>州区高级职业中学以及北侧500m处前进</w:t>
            </w:r>
          </w:p>
          <w:p>
            <w:pPr>
              <w:pStyle w:val="TableText"/>
              <w:ind w:left="5" w:right="209"/>
              <w:spacing w:before="21" w:line="236" w:lineRule="auto"/>
              <w:rPr>
                <w:sz w:val="21"/>
                <w:szCs w:val="21"/>
              </w:rPr>
            </w:pPr>
            <w:r>
              <w:rPr>
                <w:sz w:val="21"/>
                <w:szCs w:val="21"/>
                <w:spacing w:val="-1"/>
              </w:rPr>
              <w:t>村，根据绵阳市安州区气象局绘制花芗镇</w:t>
            </w:r>
            <w:r>
              <w:rPr>
                <w:sz w:val="21"/>
                <w:szCs w:val="21"/>
                <w:spacing w:val="7"/>
              </w:rPr>
              <w:t xml:space="preserve"> </w:t>
            </w:r>
            <w:r>
              <w:rPr>
                <w:sz w:val="21"/>
                <w:szCs w:val="21"/>
                <w:spacing w:val="-1"/>
              </w:rPr>
              <w:t>近三年夏季风玫瑰图以及近三年风玫瑰</w:t>
            </w:r>
          </w:p>
          <w:p>
            <w:pPr>
              <w:pStyle w:val="TableText"/>
              <w:ind w:left="5"/>
              <w:spacing w:line="216" w:lineRule="auto"/>
              <w:rPr>
                <w:sz w:val="21"/>
                <w:szCs w:val="21"/>
              </w:rPr>
            </w:pPr>
            <w:r>
              <w:rPr>
                <w:sz w:val="21"/>
                <w:szCs w:val="21"/>
                <w:spacing w:val="4"/>
              </w:rPr>
              <w:t>图，风向最大频率均为</w:t>
            </w:r>
            <w:r>
              <w:rPr>
                <w:sz w:val="21"/>
                <w:szCs w:val="21"/>
              </w:rPr>
              <w:t>NNW</w:t>
            </w:r>
            <w:r>
              <w:rPr>
                <w:sz w:val="21"/>
                <w:szCs w:val="21"/>
                <w:spacing w:val="4"/>
              </w:rPr>
              <w:t>(见附件),</w:t>
            </w:r>
          </w:p>
          <w:p>
            <w:pPr>
              <w:pStyle w:val="TableText"/>
              <w:ind w:left="5" w:right="185"/>
              <w:spacing w:before="37" w:line="231" w:lineRule="auto"/>
              <w:rPr>
                <w:sz w:val="21"/>
                <w:szCs w:val="21"/>
              </w:rPr>
            </w:pPr>
            <w:r>
              <w:rPr>
                <w:sz w:val="21"/>
                <w:szCs w:val="21"/>
              </w:rPr>
              <w:t>本项目位于城市居住区风向最大频率的侧</w:t>
            </w:r>
            <w:r>
              <w:rPr>
                <w:sz w:val="21"/>
                <w:szCs w:val="21"/>
                <w:spacing w:val="13"/>
              </w:rPr>
              <w:t xml:space="preserve"> </w:t>
            </w:r>
            <w:r>
              <w:rPr>
                <w:sz w:val="21"/>
                <w:szCs w:val="21"/>
                <w:spacing w:val="6"/>
              </w:rPr>
              <w:t>风向，同时，污水处理站以及</w:t>
            </w:r>
            <w:r>
              <w:rPr>
                <w:sz w:val="21"/>
                <w:szCs w:val="21"/>
              </w:rPr>
              <w:t>DA</w:t>
            </w:r>
            <w:r>
              <w:rPr>
                <w:sz w:val="21"/>
                <w:szCs w:val="21"/>
                <w:spacing w:val="6"/>
              </w:rPr>
              <w:t>001、</w:t>
            </w:r>
          </w:p>
          <w:p>
            <w:pPr>
              <w:pStyle w:val="TableText"/>
              <w:ind w:left="5"/>
              <w:spacing w:before="25" w:line="219" w:lineRule="auto"/>
              <w:rPr>
                <w:sz w:val="21"/>
                <w:szCs w:val="21"/>
              </w:rPr>
            </w:pPr>
            <w:r>
              <w:rPr>
                <w:sz w:val="21"/>
                <w:szCs w:val="21"/>
              </w:rPr>
              <w:t>DA002、DA003、DA004排气筒均设置在</w:t>
            </w:r>
          </w:p>
          <w:p>
            <w:pPr>
              <w:pStyle w:val="TableText"/>
              <w:ind w:left="5" w:right="210"/>
              <w:spacing w:before="10" w:line="215" w:lineRule="auto"/>
              <w:rPr>
                <w:sz w:val="21"/>
                <w:szCs w:val="21"/>
              </w:rPr>
            </w:pPr>
            <w:r>
              <w:rPr>
                <w:sz w:val="21"/>
                <w:szCs w:val="21"/>
                <w:spacing w:val="-1"/>
              </w:rPr>
              <w:t>厂区内西北侧，远离厂区外东侧、北侧敏</w:t>
            </w:r>
            <w:r>
              <w:rPr>
                <w:sz w:val="21"/>
                <w:szCs w:val="21"/>
                <w:spacing w:val="6"/>
              </w:rPr>
              <w:t xml:space="preserve"> </w:t>
            </w:r>
            <w:r>
              <w:rPr>
                <w:sz w:val="21"/>
                <w:szCs w:val="21"/>
              </w:rPr>
              <w:t>感目标，对外环境影响较小。</w:t>
            </w:r>
          </w:p>
        </w:tc>
        <w:tc>
          <w:tcPr>
            <w:tcW w:w="724" w:type="dxa"/>
            <w:vAlign w:val="top"/>
          </w:tcPr>
          <w:p>
            <w:pPr>
              <w:rPr>
                <w:rFonts w:ascii="Arial"/>
                <w:sz w:val="21"/>
              </w:rPr>
            </w:pPr>
            <w:r/>
          </w:p>
        </w:tc>
      </w:tr>
      <w:tr>
        <w:trPr>
          <w:trHeight w:val="3547" w:hRule="atLeast"/>
        </w:trPr>
        <w:tc>
          <w:tcPr>
            <w:tcW w:w="554" w:type="dxa"/>
            <w:vAlign w:val="top"/>
            <w:vMerge w:val="continue"/>
            <w:tcBorders>
              <w:top w:val="nil"/>
              <w:bottom w:val="nil"/>
            </w:tcBorders>
          </w:tcPr>
          <w:p>
            <w:pPr>
              <w:rPr>
                <w:rFonts w:ascii="Arial"/>
                <w:sz w:val="21"/>
              </w:rPr>
            </w:pPr>
            <w:r/>
          </w:p>
        </w:tc>
        <w:tc>
          <w:tcPr>
            <w:tcW w:w="3226" w:type="dxa"/>
            <w:vAlign w:val="top"/>
          </w:tcPr>
          <w:p>
            <w:pPr>
              <w:pStyle w:val="TableText"/>
              <w:ind w:left="11"/>
              <w:spacing w:before="40" w:line="219" w:lineRule="auto"/>
              <w:rPr>
                <w:sz w:val="21"/>
                <w:szCs w:val="21"/>
              </w:rPr>
            </w:pPr>
            <w:r>
              <w:rPr>
                <w:sz w:val="21"/>
                <w:szCs w:val="21"/>
                <w:spacing w:val="-1"/>
              </w:rPr>
              <w:t>2、园区依托的界牌(清溪)污水</w:t>
            </w:r>
          </w:p>
          <w:p>
            <w:pPr>
              <w:pStyle w:val="TableText"/>
              <w:ind w:left="11" w:right="9" w:firstLine="20"/>
              <w:spacing w:before="31" w:line="233" w:lineRule="auto"/>
              <w:rPr>
                <w:sz w:val="21"/>
                <w:szCs w:val="21"/>
              </w:rPr>
            </w:pPr>
            <w:r>
              <w:rPr>
                <w:sz w:val="21"/>
                <w:szCs w:val="21"/>
                <w:spacing w:val="1"/>
              </w:rPr>
              <w:t>处理厂排口位于安昌河永兴镇饮用</w:t>
            </w:r>
            <w:r>
              <w:rPr>
                <w:sz w:val="21"/>
                <w:szCs w:val="21"/>
                <w:spacing w:val="9"/>
              </w:rPr>
              <w:t xml:space="preserve"> </w:t>
            </w:r>
            <w:r>
              <w:rPr>
                <w:sz w:val="21"/>
                <w:szCs w:val="21"/>
                <w:spacing w:val="-1"/>
              </w:rPr>
              <w:t>水源准保护区范围内，界牌(清</w:t>
            </w:r>
          </w:p>
          <w:p>
            <w:pPr>
              <w:pStyle w:val="TableText"/>
              <w:ind w:left="11" w:right="77" w:firstLine="69"/>
              <w:spacing w:before="1" w:line="246" w:lineRule="auto"/>
              <w:rPr>
                <w:sz w:val="21"/>
                <w:szCs w:val="21"/>
              </w:rPr>
            </w:pPr>
            <w:r>
              <w:rPr>
                <w:sz w:val="21"/>
                <w:szCs w:val="21"/>
              </w:rPr>
              <w:t>溪)污水处理厂实际规模已达到原</w:t>
            </w:r>
            <w:r>
              <w:rPr>
                <w:sz w:val="21"/>
                <w:szCs w:val="21"/>
                <w:spacing w:val="11"/>
              </w:rPr>
              <w:t xml:space="preserve"> </w:t>
            </w:r>
            <w:r>
              <w:rPr>
                <w:sz w:val="21"/>
                <w:szCs w:val="21"/>
                <w:spacing w:val="-1"/>
              </w:rPr>
              <w:t>规划环评审查意见要求的控制上</w:t>
            </w:r>
          </w:p>
          <w:p>
            <w:pPr>
              <w:pStyle w:val="TableText"/>
              <w:ind w:left="11"/>
              <w:spacing w:line="220" w:lineRule="auto"/>
              <w:rPr>
                <w:sz w:val="21"/>
                <w:szCs w:val="21"/>
              </w:rPr>
            </w:pPr>
            <w:r>
              <w:rPr>
                <w:sz w:val="21"/>
                <w:szCs w:val="21"/>
                <w:spacing w:val="-1"/>
              </w:rPr>
              <w:t>限，对园区后期发展形成制约。</w:t>
            </w:r>
          </w:p>
          <w:p>
            <w:pPr>
              <w:pStyle w:val="TableText"/>
              <w:ind w:left="11"/>
              <w:spacing w:before="6" w:line="217" w:lineRule="auto"/>
              <w:rPr>
                <w:sz w:val="21"/>
                <w:szCs w:val="21"/>
              </w:rPr>
            </w:pPr>
            <w:r>
              <w:rPr>
                <w:sz w:val="21"/>
                <w:szCs w:val="21"/>
                <w:spacing w:val="-1"/>
              </w:rPr>
              <w:t>解决对策：①加快界牌(清溪)污</w:t>
            </w:r>
          </w:p>
          <w:p>
            <w:pPr>
              <w:pStyle w:val="TableText"/>
              <w:ind w:left="11" w:right="24" w:firstLine="20"/>
              <w:spacing w:before="37" w:line="238" w:lineRule="auto"/>
              <w:rPr>
                <w:sz w:val="21"/>
                <w:szCs w:val="21"/>
              </w:rPr>
            </w:pPr>
            <w:r>
              <w:rPr>
                <w:sz w:val="21"/>
                <w:szCs w:val="21"/>
              </w:rPr>
              <w:t>水处理厂排口迁建至涪江的工程实</w:t>
            </w:r>
            <w:r>
              <w:rPr>
                <w:sz w:val="21"/>
                <w:szCs w:val="21"/>
                <w:spacing w:val="9"/>
              </w:rPr>
              <w:t xml:space="preserve"> </w:t>
            </w:r>
            <w:r>
              <w:rPr>
                <w:sz w:val="21"/>
                <w:szCs w:val="21"/>
              </w:rPr>
              <w:t>施进度。②在排口迁建前，园区不</w:t>
            </w:r>
            <w:r>
              <w:rPr>
                <w:sz w:val="21"/>
                <w:szCs w:val="21"/>
                <w:spacing w:val="11"/>
              </w:rPr>
              <w:t xml:space="preserve"> </w:t>
            </w:r>
            <w:r>
              <w:rPr>
                <w:sz w:val="21"/>
                <w:szCs w:val="21"/>
              </w:rPr>
              <w:t>得新增废水排放总量。在排口迁建</w:t>
            </w:r>
            <w:r>
              <w:rPr>
                <w:sz w:val="21"/>
                <w:szCs w:val="21"/>
                <w:spacing w:val="9"/>
              </w:rPr>
              <w:t xml:space="preserve"> </w:t>
            </w:r>
            <w:r>
              <w:rPr>
                <w:sz w:val="21"/>
                <w:szCs w:val="21"/>
              </w:rPr>
              <w:t>后，加快界牌(清溪)污水处理厂</w:t>
            </w:r>
          </w:p>
          <w:p>
            <w:pPr>
              <w:pStyle w:val="TableText"/>
              <w:ind w:left="11" w:right="20" w:firstLine="20"/>
              <w:spacing w:before="5" w:line="218" w:lineRule="auto"/>
              <w:rPr>
                <w:sz w:val="21"/>
                <w:szCs w:val="21"/>
              </w:rPr>
            </w:pPr>
            <w:r>
              <w:rPr>
                <w:sz w:val="21"/>
                <w:szCs w:val="21"/>
              </w:rPr>
              <w:t>技改扩容工程，确保园区污水得到</w:t>
            </w:r>
            <w:r>
              <w:rPr>
                <w:sz w:val="21"/>
                <w:szCs w:val="21"/>
                <w:spacing w:val="13"/>
              </w:rPr>
              <w:t xml:space="preserve"> </w:t>
            </w:r>
            <w:r>
              <w:rPr>
                <w:sz w:val="21"/>
                <w:szCs w:val="21"/>
                <w:spacing w:val="-1"/>
              </w:rPr>
              <w:t>有效可靠处理。</w:t>
            </w:r>
          </w:p>
        </w:tc>
        <w:tc>
          <w:tcPr>
            <w:tcW w:w="3995" w:type="dxa"/>
            <w:vAlign w:val="top"/>
          </w:tcPr>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pStyle w:val="TableText"/>
              <w:ind w:left="5" w:right="176"/>
              <w:spacing w:before="68" w:line="234" w:lineRule="auto"/>
              <w:rPr>
                <w:sz w:val="21"/>
                <w:szCs w:val="21"/>
              </w:rPr>
            </w:pPr>
            <w:r>
              <w:rPr>
                <w:sz w:val="21"/>
                <w:szCs w:val="21"/>
                <w:spacing w:val="1"/>
              </w:rPr>
              <w:t>本项目废水外排至园区污水管网，经安州</w:t>
            </w:r>
            <w:r>
              <w:rPr>
                <w:sz w:val="21"/>
                <w:szCs w:val="21"/>
                <w:spacing w:val="4"/>
              </w:rPr>
              <w:t xml:space="preserve"> </w:t>
            </w:r>
            <w:r>
              <w:rPr>
                <w:sz w:val="21"/>
                <w:szCs w:val="21"/>
              </w:rPr>
              <w:t>区第三污水处理厂处理达标后，排放至涪</w:t>
            </w:r>
            <w:r>
              <w:rPr>
                <w:sz w:val="21"/>
                <w:szCs w:val="21"/>
                <w:spacing w:val="7"/>
              </w:rPr>
              <w:t xml:space="preserve"> </w:t>
            </w:r>
            <w:r>
              <w:rPr>
                <w:sz w:val="21"/>
                <w:szCs w:val="21"/>
                <w:spacing w:val="-1"/>
              </w:rPr>
              <w:t>江(排口已迁建完成)。本项目废水污染</w:t>
            </w:r>
          </w:p>
          <w:p>
            <w:pPr>
              <w:pStyle w:val="TableText"/>
              <w:ind w:left="5" w:right="187"/>
              <w:spacing w:before="1" w:line="248" w:lineRule="auto"/>
              <w:rPr>
                <w:sz w:val="21"/>
                <w:szCs w:val="21"/>
              </w:rPr>
            </w:pPr>
            <w:r>
              <w:rPr>
                <w:sz w:val="21"/>
                <w:szCs w:val="21"/>
              </w:rPr>
              <w:t>物排放总量已纳入安州区第三污水处理厂</w:t>
            </w:r>
            <w:r>
              <w:rPr>
                <w:sz w:val="21"/>
                <w:szCs w:val="21"/>
                <w:spacing w:val="11"/>
              </w:rPr>
              <w:t xml:space="preserve"> </w:t>
            </w:r>
            <w:r>
              <w:rPr>
                <w:sz w:val="21"/>
                <w:szCs w:val="21"/>
                <w:spacing w:val="1"/>
              </w:rPr>
              <w:t>总量。</w:t>
            </w:r>
          </w:p>
        </w:tc>
        <w:tc>
          <w:tcPr>
            <w:tcW w:w="724" w:type="dxa"/>
            <w:vAlign w:val="top"/>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ind w:left="149"/>
              <w:spacing w:before="68" w:line="219" w:lineRule="auto"/>
              <w:rPr>
                <w:sz w:val="21"/>
                <w:szCs w:val="21"/>
              </w:rPr>
            </w:pPr>
            <w:r>
              <w:rPr>
                <w:sz w:val="21"/>
                <w:szCs w:val="21"/>
                <w:spacing w:val="-3"/>
              </w:rPr>
              <w:t>符合</w:t>
            </w:r>
          </w:p>
        </w:tc>
      </w:tr>
      <w:tr>
        <w:trPr>
          <w:trHeight w:val="5201" w:hRule="atLeast"/>
        </w:trPr>
        <w:tc>
          <w:tcPr>
            <w:tcW w:w="554" w:type="dxa"/>
            <w:vAlign w:val="top"/>
            <w:vMerge w:val="continue"/>
            <w:tcBorders>
              <w:top w:val="nil"/>
            </w:tcBorders>
          </w:tcPr>
          <w:p>
            <w:pPr>
              <w:rPr>
                <w:rFonts w:ascii="Arial"/>
                <w:sz w:val="21"/>
              </w:rPr>
            </w:pPr>
            <w:r/>
          </w:p>
        </w:tc>
        <w:tc>
          <w:tcPr>
            <w:tcW w:w="3226" w:type="dxa"/>
            <w:vAlign w:val="top"/>
          </w:tcPr>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pStyle w:val="TableText"/>
              <w:ind w:left="11" w:right="382"/>
              <w:spacing w:before="68" w:line="221" w:lineRule="auto"/>
              <w:rPr>
                <w:sz w:val="21"/>
                <w:szCs w:val="21"/>
              </w:rPr>
            </w:pPr>
            <w:r>
              <w:rPr>
                <w:sz w:val="21"/>
                <w:szCs w:val="21"/>
                <w:spacing w:val="-1"/>
              </w:rPr>
              <w:t>3、区域环境空气PM10和PM25年</w:t>
            </w:r>
            <w:r>
              <w:rPr>
                <w:sz w:val="21"/>
                <w:szCs w:val="21"/>
                <w:spacing w:val="4"/>
              </w:rPr>
              <w:t xml:space="preserve"> </w:t>
            </w:r>
            <w:r>
              <w:rPr>
                <w:sz w:val="21"/>
                <w:szCs w:val="21"/>
                <w:spacing w:val="6"/>
              </w:rPr>
              <w:t>均值超标， </w:t>
            </w:r>
            <w:r>
              <w:rPr>
                <w:sz w:val="21"/>
                <w:szCs w:val="21"/>
              </w:rPr>
              <w:t>NO</w:t>
            </w:r>
            <w:r>
              <w:rPr>
                <w:rFonts w:ascii="Calibri" w:hAnsi="Calibri" w:eastAsia="Calibri" w:cs="Calibri"/>
                <w:sz w:val="21"/>
                <w:szCs w:val="21"/>
                <w:spacing w:val="6"/>
              </w:rPr>
              <w:t>₂</w:t>
            </w:r>
            <w:r>
              <w:rPr>
                <w:sz w:val="21"/>
                <w:szCs w:val="21"/>
                <w:spacing w:val="6"/>
              </w:rPr>
              <w:t>和O</w:t>
            </w:r>
            <w:r>
              <w:rPr>
                <w:rFonts w:ascii="Calibri" w:hAnsi="Calibri" w:eastAsia="Calibri" w:cs="Calibri"/>
                <w:sz w:val="21"/>
                <w:szCs w:val="21"/>
                <w:spacing w:val="6"/>
              </w:rPr>
              <w:t>₃</w:t>
            </w:r>
            <w:r>
              <w:rPr>
                <w:sz w:val="21"/>
                <w:szCs w:val="21"/>
                <w:spacing w:val="6"/>
              </w:rPr>
              <w:t>呈上升趋</w:t>
            </w:r>
          </w:p>
          <w:p>
            <w:pPr>
              <w:pStyle w:val="TableText"/>
              <w:ind w:left="11" w:right="127" w:firstLine="119"/>
              <w:spacing w:before="27" w:line="236" w:lineRule="auto"/>
              <w:rPr>
                <w:sz w:val="21"/>
                <w:szCs w:val="21"/>
              </w:rPr>
            </w:pPr>
            <w:r>
              <w:rPr>
                <w:sz w:val="21"/>
                <w:szCs w:val="21"/>
                <w:spacing w:val="1"/>
              </w:rPr>
              <w:t>势，对规划实施构成一定环境制</w:t>
            </w:r>
            <w:r>
              <w:rPr>
                <w:sz w:val="21"/>
                <w:szCs w:val="21"/>
                <w:spacing w:val="2"/>
              </w:rPr>
              <w:t xml:space="preserve"> </w:t>
            </w:r>
            <w:r>
              <w:rPr>
                <w:sz w:val="21"/>
                <w:szCs w:val="21"/>
                <w:spacing w:val="-2"/>
              </w:rPr>
              <w:t>约。</w:t>
            </w:r>
          </w:p>
          <w:p>
            <w:pPr>
              <w:pStyle w:val="TableText"/>
              <w:ind w:left="11" w:right="24" w:firstLine="20"/>
              <w:spacing w:before="3" w:line="239" w:lineRule="auto"/>
              <w:rPr>
                <w:sz w:val="21"/>
                <w:szCs w:val="21"/>
              </w:rPr>
            </w:pPr>
            <w:r>
              <w:rPr>
                <w:sz w:val="21"/>
                <w:szCs w:val="21"/>
                <w:spacing w:val="-1"/>
              </w:rPr>
              <w:t>解决对策：①严格环境准入，强化</w:t>
            </w:r>
            <w:r>
              <w:rPr>
                <w:sz w:val="21"/>
                <w:szCs w:val="21"/>
                <w:spacing w:val="6"/>
              </w:rPr>
              <w:t xml:space="preserve"> </w:t>
            </w:r>
            <w:r>
              <w:rPr>
                <w:sz w:val="21"/>
                <w:szCs w:val="21"/>
              </w:rPr>
              <w:t>源头管理。②按照区域大气污染防</w:t>
            </w:r>
            <w:r>
              <w:rPr>
                <w:sz w:val="21"/>
                <w:szCs w:val="21"/>
                <w:spacing w:val="11"/>
              </w:rPr>
              <w:t xml:space="preserve"> </w:t>
            </w:r>
            <w:r>
              <w:rPr>
                <w:sz w:val="21"/>
                <w:szCs w:val="21"/>
                <w:spacing w:val="1"/>
              </w:rPr>
              <w:t>治相关要求，尽快完成现有企业挥</w:t>
            </w:r>
            <w:r>
              <w:rPr>
                <w:sz w:val="21"/>
                <w:szCs w:val="21"/>
                <w:spacing w:val="13"/>
              </w:rPr>
              <w:t xml:space="preserve"> </w:t>
            </w:r>
            <w:r>
              <w:rPr>
                <w:sz w:val="21"/>
                <w:szCs w:val="21"/>
                <w:spacing w:val="2"/>
              </w:rPr>
              <w:t>发性有机污染物治理整改措施，强</w:t>
            </w:r>
            <w:r>
              <w:rPr>
                <w:sz w:val="21"/>
                <w:szCs w:val="21"/>
              </w:rPr>
              <w:t xml:space="preserve"> </w:t>
            </w:r>
            <w:r>
              <w:rPr>
                <w:sz w:val="21"/>
                <w:szCs w:val="21"/>
              </w:rPr>
              <w:t>化无组织废气排放等环境管理措</w:t>
            </w:r>
          </w:p>
          <w:p>
            <w:pPr>
              <w:pStyle w:val="TableText"/>
              <w:ind w:left="31" w:right="262" w:hanging="10"/>
              <w:spacing w:before="2" w:line="239" w:lineRule="auto"/>
              <w:rPr>
                <w:sz w:val="21"/>
                <w:szCs w:val="21"/>
              </w:rPr>
            </w:pPr>
            <w:r>
              <w:rPr>
                <w:sz w:val="21"/>
                <w:szCs w:val="21"/>
                <w:spacing w:val="-1"/>
              </w:rPr>
              <w:t>施，落实区域大气污染物减排工</w:t>
            </w:r>
            <w:r>
              <w:rPr>
                <w:sz w:val="21"/>
                <w:szCs w:val="21"/>
                <w:spacing w:val="5"/>
              </w:rPr>
              <w:t xml:space="preserve"> </w:t>
            </w:r>
            <w:r>
              <w:rPr>
                <w:sz w:val="21"/>
                <w:szCs w:val="21"/>
                <w:spacing w:val="-2"/>
              </w:rPr>
              <w:t>作。</w:t>
            </w:r>
          </w:p>
        </w:tc>
        <w:tc>
          <w:tcPr>
            <w:tcW w:w="3995" w:type="dxa"/>
            <w:vAlign w:val="top"/>
          </w:tcPr>
          <w:p>
            <w:pPr>
              <w:pStyle w:val="TableText"/>
              <w:ind w:left="5" w:right="209"/>
              <w:spacing w:before="33"/>
              <w:rPr>
                <w:sz w:val="21"/>
                <w:szCs w:val="21"/>
              </w:rPr>
            </w:pPr>
            <w:r>
              <w:rPr>
                <w:sz w:val="21"/>
                <w:szCs w:val="21"/>
                <w:spacing w:val="-1"/>
              </w:rPr>
              <w:t>本项目强化了废气收集及处理措施，通过</w:t>
            </w:r>
            <w:r>
              <w:rPr>
                <w:sz w:val="21"/>
                <w:szCs w:val="21"/>
                <w:spacing w:val="7"/>
              </w:rPr>
              <w:t xml:space="preserve"> </w:t>
            </w:r>
            <w:r>
              <w:rPr>
                <w:sz w:val="21"/>
                <w:szCs w:val="21"/>
                <w:spacing w:val="-1"/>
              </w:rPr>
              <w:t>设置双开门封闭车间减小废气无组织排</w:t>
            </w:r>
          </w:p>
          <w:p>
            <w:pPr>
              <w:pStyle w:val="TableText"/>
              <w:ind w:left="5" w:right="180"/>
              <w:spacing w:before="3" w:line="229" w:lineRule="auto"/>
              <w:rPr>
                <w:sz w:val="21"/>
                <w:szCs w:val="21"/>
              </w:rPr>
            </w:pPr>
            <w:r>
              <w:rPr>
                <w:sz w:val="21"/>
                <w:szCs w:val="21"/>
                <w:spacing w:val="1"/>
              </w:rPr>
              <w:t>放，生猪待宰圈舍恶臭经负压密闭抽风系</w:t>
            </w:r>
            <w:r>
              <w:rPr>
                <w:sz w:val="21"/>
                <w:szCs w:val="21"/>
              </w:rPr>
              <w:t xml:space="preserve"> </w:t>
            </w:r>
            <w:r>
              <w:rPr>
                <w:sz w:val="21"/>
                <w:szCs w:val="21"/>
              </w:rPr>
              <w:t>统引入“喷淋+UV光解+活性炭吸附装置</w:t>
            </w:r>
          </w:p>
          <w:p>
            <w:pPr>
              <w:pStyle w:val="TableText"/>
              <w:ind w:left="5"/>
              <w:spacing w:before="40" w:line="219" w:lineRule="auto"/>
              <w:rPr>
                <w:sz w:val="21"/>
                <w:szCs w:val="21"/>
              </w:rPr>
            </w:pPr>
            <w:r>
              <w:rPr>
                <w:sz w:val="21"/>
                <w:szCs w:val="21"/>
              </w:rPr>
              <w:t>(TA001)”处理后，通过1根15m高排</w:t>
            </w:r>
          </w:p>
          <w:p>
            <w:pPr>
              <w:pStyle w:val="TableText"/>
              <w:ind w:left="5" w:right="314"/>
              <w:spacing w:before="1"/>
              <w:rPr>
                <w:sz w:val="21"/>
                <w:szCs w:val="21"/>
              </w:rPr>
            </w:pPr>
            <w:r>
              <w:rPr>
                <w:sz w:val="21"/>
                <w:szCs w:val="21"/>
                <w:spacing w:val="1"/>
              </w:rPr>
              <w:t>气筒(</w:t>
            </w:r>
            <w:r>
              <w:rPr>
                <w:sz w:val="21"/>
                <w:szCs w:val="21"/>
              </w:rPr>
              <w:t>DA</w:t>
            </w:r>
            <w:r>
              <w:rPr>
                <w:sz w:val="21"/>
                <w:szCs w:val="21"/>
                <w:spacing w:val="1"/>
              </w:rPr>
              <w:t>001)达标排放；生猪屠宰车间</w:t>
            </w:r>
            <w:r>
              <w:rPr>
                <w:sz w:val="21"/>
                <w:szCs w:val="21"/>
                <w:spacing w:val="3"/>
              </w:rPr>
              <w:t xml:space="preserve">  </w:t>
            </w:r>
            <w:r>
              <w:rPr>
                <w:sz w:val="21"/>
                <w:szCs w:val="21"/>
                <w:spacing w:val="-1"/>
              </w:rPr>
              <w:t>恶臭经负压密闭抽风系统引入“喷淋+UV</w:t>
            </w:r>
            <w:r>
              <w:rPr>
                <w:sz w:val="21"/>
                <w:szCs w:val="21"/>
                <w:spacing w:val="8"/>
              </w:rPr>
              <w:t xml:space="preserve"> </w:t>
            </w:r>
            <w:r>
              <w:rPr>
                <w:sz w:val="21"/>
                <w:szCs w:val="21"/>
                <w:spacing w:val="-1"/>
              </w:rPr>
              <w:t>光解+活性炭吸附装置(TA002)”处理</w:t>
            </w:r>
          </w:p>
          <w:p>
            <w:pPr>
              <w:pStyle w:val="TableText"/>
              <w:ind w:left="45"/>
              <w:spacing w:line="219" w:lineRule="auto"/>
              <w:rPr>
                <w:sz w:val="21"/>
                <w:szCs w:val="21"/>
              </w:rPr>
            </w:pPr>
            <w:r>
              <w:rPr>
                <w:sz w:val="21"/>
                <w:szCs w:val="21"/>
                <w:spacing w:val="-1"/>
              </w:rPr>
              <w:t>后，通过1根15m高排气筒(DA002)达</w:t>
            </w:r>
          </w:p>
          <w:p>
            <w:pPr>
              <w:pStyle w:val="TableText"/>
              <w:ind w:left="5" w:right="209"/>
              <w:spacing w:before="31" w:line="237" w:lineRule="auto"/>
              <w:rPr>
                <w:sz w:val="21"/>
                <w:szCs w:val="21"/>
              </w:rPr>
            </w:pPr>
            <w:r>
              <w:rPr>
                <w:sz w:val="21"/>
                <w:szCs w:val="21"/>
                <w:spacing w:val="-1"/>
              </w:rPr>
              <w:t>标排放；肉牛待宰圈舍、屠宰车间恶臭经</w:t>
            </w:r>
            <w:r>
              <w:rPr>
                <w:sz w:val="21"/>
                <w:szCs w:val="21"/>
                <w:spacing w:val="7"/>
              </w:rPr>
              <w:t xml:space="preserve"> </w:t>
            </w:r>
            <w:r>
              <w:rPr>
                <w:sz w:val="21"/>
                <w:szCs w:val="21"/>
              </w:rPr>
              <w:t>负压密闭抽风系统引入“喷淋+UV光解+</w:t>
            </w:r>
          </w:p>
          <w:p>
            <w:pPr>
              <w:pStyle w:val="TableText"/>
              <w:ind w:left="5"/>
              <w:spacing w:line="218" w:lineRule="auto"/>
              <w:rPr>
                <w:sz w:val="21"/>
                <w:szCs w:val="21"/>
              </w:rPr>
            </w:pPr>
            <w:r>
              <w:rPr>
                <w:sz w:val="21"/>
                <w:szCs w:val="21"/>
              </w:rPr>
              <w:t>活性炭吸附装置(TA003)”处理后，通</w:t>
            </w:r>
          </w:p>
          <w:p>
            <w:pPr>
              <w:pStyle w:val="TableText"/>
              <w:ind w:right="192" w:firstLine="102"/>
              <w:spacing w:before="34" w:line="237" w:lineRule="auto"/>
              <w:rPr>
                <w:sz w:val="21"/>
                <w:szCs w:val="21"/>
              </w:rPr>
            </w:pPr>
            <w:r>
              <w:rPr>
                <w:sz w:val="21"/>
                <w:szCs w:val="21"/>
                <w:spacing w:val="28"/>
              </w:rPr>
              <w:t>过1根15m高排气筒(</w:t>
            </w:r>
            <w:r>
              <w:rPr>
                <w:sz w:val="21"/>
                <w:szCs w:val="21"/>
              </w:rPr>
              <w:t>DA</w:t>
            </w:r>
            <w:r>
              <w:rPr>
                <w:sz w:val="21"/>
                <w:szCs w:val="21"/>
                <w:spacing w:val="28"/>
              </w:rPr>
              <w:t>003)达标排</w:t>
            </w:r>
            <w:r>
              <w:rPr>
                <w:sz w:val="21"/>
                <w:szCs w:val="21"/>
                <w:spacing w:val="2"/>
              </w:rPr>
              <w:t xml:space="preserve">  </w:t>
            </w:r>
            <w:r>
              <w:rPr>
                <w:sz w:val="21"/>
                <w:szCs w:val="21"/>
              </w:rPr>
              <w:t>放；污水处理站恶臭气体通过加盖收集，</w:t>
            </w:r>
            <w:r>
              <w:rPr>
                <w:sz w:val="21"/>
                <w:szCs w:val="21"/>
                <w:spacing w:val="11"/>
              </w:rPr>
              <w:t xml:space="preserve"> </w:t>
            </w:r>
            <w:r>
              <w:rPr>
                <w:sz w:val="21"/>
                <w:szCs w:val="21"/>
              </w:rPr>
              <w:t>并对各单元分别采取负压抽风系统，设置</w:t>
            </w:r>
            <w:r>
              <w:rPr>
                <w:sz w:val="21"/>
                <w:szCs w:val="21"/>
                <w:spacing w:val="11"/>
              </w:rPr>
              <w:t xml:space="preserve"> </w:t>
            </w:r>
            <w:r>
              <w:rPr>
                <w:sz w:val="21"/>
                <w:szCs w:val="21"/>
                <w:spacing w:val="2"/>
              </w:rPr>
              <w:t>“喷淋+</w:t>
            </w:r>
            <w:r>
              <w:rPr>
                <w:sz w:val="21"/>
                <w:szCs w:val="21"/>
              </w:rPr>
              <w:t>UV</w:t>
            </w:r>
            <w:r>
              <w:rPr>
                <w:sz w:val="21"/>
                <w:szCs w:val="21"/>
                <w:spacing w:val="2"/>
              </w:rPr>
              <w:t>光解+活性炭吸附装置</w:t>
            </w:r>
          </w:p>
          <w:p>
            <w:pPr>
              <w:pStyle w:val="TableText"/>
              <w:ind w:left="5"/>
              <w:spacing w:line="219" w:lineRule="auto"/>
              <w:rPr>
                <w:sz w:val="21"/>
                <w:szCs w:val="21"/>
              </w:rPr>
            </w:pPr>
            <w:r>
              <w:rPr>
                <w:sz w:val="21"/>
                <w:szCs w:val="21"/>
              </w:rPr>
              <w:t>(TA004)”处理后，通过1根15m高排</w:t>
            </w:r>
          </w:p>
          <w:p>
            <w:pPr>
              <w:pStyle w:val="TableText"/>
              <w:ind w:left="5"/>
              <w:spacing w:before="42" w:line="219" w:lineRule="auto"/>
              <w:rPr>
                <w:sz w:val="21"/>
                <w:szCs w:val="21"/>
              </w:rPr>
            </w:pPr>
            <w:r>
              <w:rPr>
                <w:sz w:val="21"/>
                <w:szCs w:val="21"/>
              </w:rPr>
              <w:t>气筒(DA004)达标排放；蒸汽发生器燃</w:t>
            </w:r>
          </w:p>
          <w:p>
            <w:pPr>
              <w:pStyle w:val="TableText"/>
              <w:ind w:left="5"/>
              <w:spacing w:before="10" w:line="217" w:lineRule="auto"/>
              <w:rPr>
                <w:sz w:val="21"/>
                <w:szCs w:val="21"/>
              </w:rPr>
            </w:pPr>
            <w:r>
              <w:rPr>
                <w:sz w:val="21"/>
                <w:szCs w:val="21"/>
                <w:spacing w:val="-1"/>
              </w:rPr>
              <w:t>烧废气：采用低氮燃烧技术处理后，通过</w:t>
            </w:r>
          </w:p>
        </w:tc>
        <w:tc>
          <w:tcPr>
            <w:tcW w:w="724"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pStyle w:val="TableText"/>
              <w:ind w:left="149"/>
              <w:spacing w:before="68" w:line="219" w:lineRule="auto"/>
              <w:rPr>
                <w:sz w:val="21"/>
                <w:szCs w:val="21"/>
              </w:rPr>
            </w:pPr>
            <w:r>
              <w:rPr>
                <w:sz w:val="21"/>
                <w:szCs w:val="21"/>
                <w:spacing w:val="-3"/>
              </w:rPr>
              <w:t>符合</w:t>
            </w:r>
          </w:p>
        </w:tc>
      </w:tr>
    </w:tbl>
    <w:p>
      <w:pPr>
        <w:pStyle w:val="BodyText"/>
        <w:rPr/>
      </w:pPr>
      <w:r/>
    </w:p>
    <w:p>
      <w:pPr>
        <w:sectPr>
          <w:headerReference w:type="default" r:id="rId42"/>
          <w:footerReference w:type="default" r:id="rId43"/>
          <w:pgSz w:w="11910" w:h="16840"/>
          <w:pgMar w:top="1210" w:right="1725" w:bottom="991" w:left="1675" w:header="902" w:footer="730" w:gutter="0"/>
        </w:sectPr>
        <w:rPr/>
      </w:pPr>
    </w:p>
    <w:p>
      <w:pPr>
        <w:spacing w:line="227" w:lineRule="exact"/>
        <w:rPr/>
      </w:pPr>
      <w:r/>
    </w:p>
    <w:tbl>
      <w:tblPr>
        <w:tblStyle w:val="TableNormal"/>
        <w:tblW w:w="85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54"/>
        <w:gridCol w:w="3236"/>
        <w:gridCol w:w="3995"/>
        <w:gridCol w:w="744"/>
      </w:tblGrid>
      <w:tr>
        <w:trPr>
          <w:trHeight w:val="283" w:hRule="atLeast"/>
        </w:trPr>
        <w:tc>
          <w:tcPr>
            <w:shd w:val="clear" w:fill="BEBEBE"/>
            <w:tcW w:w="554" w:type="dxa"/>
            <w:vAlign w:val="top"/>
          </w:tcPr>
          <w:p>
            <w:pPr>
              <w:pStyle w:val="TableText"/>
              <w:ind w:left="18"/>
              <w:spacing w:before="40" w:line="204" w:lineRule="auto"/>
              <w:rPr>
                <w:sz w:val="21"/>
                <w:szCs w:val="21"/>
              </w:rPr>
            </w:pPr>
            <w:r>
              <w:rPr>
                <w:sz w:val="21"/>
                <w:szCs w:val="21"/>
                <w:b/>
                <w:bCs/>
                <w:spacing w:val="14"/>
              </w:rPr>
              <w:t>项目</w:t>
            </w:r>
          </w:p>
        </w:tc>
        <w:tc>
          <w:tcPr>
            <w:shd w:val="clear" w:fill="BEBEBE"/>
            <w:tcW w:w="3236" w:type="dxa"/>
            <w:vAlign w:val="top"/>
          </w:tcPr>
          <w:p>
            <w:pPr>
              <w:pStyle w:val="TableText"/>
              <w:ind w:left="133"/>
              <w:spacing w:before="40" w:line="204" w:lineRule="auto"/>
              <w:rPr>
                <w:sz w:val="21"/>
                <w:szCs w:val="21"/>
              </w:rPr>
            </w:pPr>
            <w:r>
              <w:rPr>
                <w:sz w:val="21"/>
                <w:szCs w:val="21"/>
                <w:b/>
                <w:bCs/>
                <w:spacing w:val="-3"/>
              </w:rPr>
              <w:t>规划、规划环评及环评批复要求</w:t>
            </w:r>
          </w:p>
        </w:tc>
        <w:tc>
          <w:tcPr>
            <w:shd w:val="clear" w:fill="BEBEBE"/>
            <w:tcW w:w="3995" w:type="dxa"/>
            <w:vAlign w:val="top"/>
          </w:tcPr>
          <w:p>
            <w:pPr>
              <w:pStyle w:val="TableText"/>
              <w:ind w:left="1457"/>
              <w:spacing w:before="39" w:line="205" w:lineRule="auto"/>
              <w:rPr>
                <w:sz w:val="21"/>
                <w:szCs w:val="21"/>
              </w:rPr>
            </w:pPr>
            <w:r>
              <w:rPr>
                <w:sz w:val="21"/>
                <w:szCs w:val="21"/>
                <w:b/>
                <w:bCs/>
                <w:spacing w:val="-4"/>
              </w:rPr>
              <w:t>本项目情况</w:t>
            </w:r>
          </w:p>
        </w:tc>
        <w:tc>
          <w:tcPr>
            <w:shd w:val="clear" w:fill="BEBEBE"/>
            <w:tcW w:w="744" w:type="dxa"/>
            <w:vAlign w:val="top"/>
          </w:tcPr>
          <w:p>
            <w:pPr>
              <w:pStyle w:val="TableText"/>
              <w:ind w:left="42"/>
              <w:spacing w:before="40" w:line="204" w:lineRule="auto"/>
              <w:rPr>
                <w:sz w:val="21"/>
                <w:szCs w:val="21"/>
              </w:rPr>
            </w:pPr>
            <w:r>
              <w:rPr>
                <w:sz w:val="21"/>
                <w:szCs w:val="21"/>
                <w:b/>
                <w:bCs/>
                <w:spacing w:val="-5"/>
              </w:rPr>
              <w:t>符合性</w:t>
            </w:r>
          </w:p>
        </w:tc>
      </w:tr>
      <w:tr>
        <w:trPr>
          <w:trHeight w:val="1376" w:hRule="atLeast"/>
        </w:trPr>
        <w:tc>
          <w:tcPr>
            <w:tcW w:w="554" w:type="dxa"/>
            <w:vAlign w:val="top"/>
          </w:tcPr>
          <w:p>
            <w:pPr>
              <w:rPr>
                <w:rFonts w:ascii="Arial"/>
                <w:sz w:val="21"/>
              </w:rPr>
            </w:pPr>
            <w:r/>
          </w:p>
        </w:tc>
        <w:tc>
          <w:tcPr>
            <w:tcW w:w="3236" w:type="dxa"/>
            <w:vAlign w:val="top"/>
          </w:tcPr>
          <w:p>
            <w:pPr>
              <w:rPr>
                <w:rFonts w:ascii="Arial"/>
                <w:sz w:val="21"/>
              </w:rPr>
            </w:pPr>
            <w:r/>
          </w:p>
        </w:tc>
        <w:tc>
          <w:tcPr>
            <w:tcW w:w="3995" w:type="dxa"/>
            <w:vAlign w:val="top"/>
          </w:tcPr>
          <w:p>
            <w:pPr>
              <w:pStyle w:val="TableText"/>
              <w:ind w:left="18"/>
              <w:spacing w:before="27" w:line="219" w:lineRule="auto"/>
              <w:rPr>
                <w:sz w:val="21"/>
                <w:szCs w:val="21"/>
              </w:rPr>
            </w:pPr>
            <w:r>
              <w:rPr>
                <w:sz w:val="21"/>
                <w:szCs w:val="21"/>
                <w:b/>
                <w:bCs/>
                <w:spacing w:val="2"/>
              </w:rPr>
              <w:t>1根18m高排气筒(</w:t>
            </w:r>
            <w:r>
              <w:rPr>
                <w:sz w:val="21"/>
                <w:szCs w:val="21"/>
                <w:b/>
                <w:bCs/>
              </w:rPr>
              <w:t>DA</w:t>
            </w:r>
            <w:r>
              <w:rPr>
                <w:sz w:val="21"/>
                <w:szCs w:val="21"/>
                <w:b/>
                <w:bCs/>
                <w:spacing w:val="2"/>
              </w:rPr>
              <w:t>005)达标排放；</w:t>
            </w:r>
          </w:p>
          <w:p>
            <w:pPr>
              <w:pStyle w:val="TableText"/>
              <w:ind w:left="18" w:right="195"/>
              <w:spacing w:before="39" w:line="239" w:lineRule="auto"/>
              <w:rPr>
                <w:sz w:val="21"/>
                <w:szCs w:val="21"/>
              </w:rPr>
            </w:pPr>
            <w:r>
              <w:rPr>
                <w:sz w:val="21"/>
                <w:szCs w:val="21"/>
                <w:b/>
                <w:bCs/>
                <w:spacing w:val="-3"/>
              </w:rPr>
              <w:t>污水处理站沼气经净化处理后用作食堂燃</w:t>
            </w:r>
            <w:r>
              <w:rPr>
                <w:sz w:val="21"/>
                <w:szCs w:val="21"/>
                <w:spacing w:val="3"/>
              </w:rPr>
              <w:t xml:space="preserve"> </w:t>
            </w:r>
            <w:r>
              <w:rPr>
                <w:sz w:val="21"/>
                <w:szCs w:val="21"/>
                <w:b/>
                <w:bCs/>
                <w:spacing w:val="-3"/>
              </w:rPr>
              <w:t>料或火炬点燃排至大气环境；食堂油烟经</w:t>
            </w:r>
            <w:r>
              <w:rPr>
                <w:sz w:val="21"/>
                <w:szCs w:val="21"/>
                <w:spacing w:val="5"/>
              </w:rPr>
              <w:t xml:space="preserve"> </w:t>
            </w:r>
            <w:r>
              <w:rPr>
                <w:sz w:val="21"/>
                <w:szCs w:val="21"/>
                <w:b/>
                <w:bCs/>
                <w:spacing w:val="-3"/>
              </w:rPr>
              <w:t>油烟净化器处理后引至楼顶(DA006)达</w:t>
            </w:r>
          </w:p>
          <w:p>
            <w:pPr>
              <w:pStyle w:val="TableText"/>
              <w:ind w:left="18"/>
              <w:spacing w:before="6" w:line="200" w:lineRule="auto"/>
              <w:rPr>
                <w:sz w:val="21"/>
                <w:szCs w:val="21"/>
              </w:rPr>
            </w:pPr>
            <w:r>
              <w:rPr>
                <w:sz w:val="21"/>
                <w:szCs w:val="21"/>
                <w:b/>
                <w:bCs/>
                <w:spacing w:val="-5"/>
              </w:rPr>
              <w:t>标排放。</w:t>
            </w:r>
          </w:p>
        </w:tc>
        <w:tc>
          <w:tcPr>
            <w:tcW w:w="744" w:type="dxa"/>
            <w:vAlign w:val="top"/>
          </w:tcPr>
          <w:p>
            <w:pPr>
              <w:rPr>
                <w:rFonts w:ascii="Arial"/>
                <w:sz w:val="21"/>
              </w:rPr>
            </w:pPr>
            <w:r/>
          </w:p>
        </w:tc>
      </w:tr>
    </w:tbl>
    <w:p>
      <w:pPr>
        <w:ind w:left="605"/>
        <w:spacing w:before="51" w:line="216" w:lineRule="auto"/>
        <w:rPr>
          <w:rFonts w:ascii="SimSun" w:hAnsi="SimSun" w:eastAsia="SimSun" w:cs="SimSun"/>
          <w:sz w:val="24"/>
          <w:szCs w:val="24"/>
        </w:rPr>
      </w:pPr>
      <w:r>
        <w:rPr>
          <w:rFonts w:ascii="SimSun" w:hAnsi="SimSun" w:eastAsia="SimSun" w:cs="SimSun"/>
          <w:sz w:val="24"/>
          <w:szCs w:val="24"/>
        </w:rPr>
        <w:t>本项目位于四川绵阳安州工业园区内，属于“C13</w:t>
      </w:r>
      <w:r>
        <w:rPr>
          <w:rFonts w:ascii="SimSun" w:hAnsi="SimSun" w:eastAsia="SimSun" w:cs="SimSun"/>
          <w:sz w:val="24"/>
          <w:szCs w:val="24"/>
          <w:spacing w:val="-1"/>
        </w:rPr>
        <w:t>51牲畜屠宰”,主要从</w:t>
      </w:r>
    </w:p>
    <w:p>
      <w:pPr>
        <w:ind w:left="124" w:right="218"/>
        <w:spacing w:before="210" w:line="353" w:lineRule="auto"/>
        <w:rPr>
          <w:rFonts w:ascii="SimSun" w:hAnsi="SimSun" w:eastAsia="SimSun" w:cs="SimSun"/>
          <w:sz w:val="24"/>
          <w:szCs w:val="24"/>
        </w:rPr>
      </w:pPr>
      <w:r>
        <w:rPr>
          <w:rFonts w:ascii="SimSun" w:hAnsi="SimSun" w:eastAsia="SimSun" w:cs="SimSun"/>
          <w:sz w:val="24"/>
          <w:szCs w:val="24"/>
        </w:rPr>
        <w:t>事生猪及肉牛屠宰、分割，不在园区环境准入负面清</w:t>
      </w:r>
      <w:r>
        <w:rPr>
          <w:rFonts w:ascii="SimSun" w:hAnsi="SimSun" w:eastAsia="SimSun" w:cs="SimSun"/>
          <w:sz w:val="24"/>
          <w:szCs w:val="24"/>
          <w:spacing w:val="-1"/>
        </w:rPr>
        <w:t>单内，为园区允许类引入</w:t>
      </w:r>
      <w:r>
        <w:rPr>
          <w:rFonts w:ascii="SimSun" w:hAnsi="SimSun" w:eastAsia="SimSun" w:cs="SimSun"/>
          <w:sz w:val="24"/>
          <w:szCs w:val="24"/>
        </w:rPr>
        <w:t xml:space="preserve"> </w:t>
      </w:r>
      <w:r>
        <w:rPr>
          <w:rFonts w:ascii="SimSun" w:hAnsi="SimSun" w:eastAsia="SimSun" w:cs="SimSun"/>
          <w:sz w:val="24"/>
          <w:szCs w:val="24"/>
          <w:spacing w:val="1"/>
        </w:rPr>
        <w:t>产业，项目运营期拟采取有效措施减缓对区域环境质量的影响。因此，本项目 </w:t>
      </w:r>
      <w:r>
        <w:rPr>
          <w:rFonts w:ascii="SimSun" w:hAnsi="SimSun" w:eastAsia="SimSun" w:cs="SimSun"/>
          <w:sz w:val="24"/>
          <w:szCs w:val="24"/>
          <w:spacing w:val="-4"/>
        </w:rPr>
        <w:t>与园区规划环评及审查意见相符。</w:t>
      </w:r>
    </w:p>
    <w:p>
      <w:pPr>
        <w:ind w:left="688"/>
        <w:spacing w:before="1" w:line="217" w:lineRule="auto"/>
        <w:rPr>
          <w:rFonts w:ascii="SimSun" w:hAnsi="SimSun" w:eastAsia="SimSun" w:cs="SimSun"/>
          <w:sz w:val="24"/>
          <w:szCs w:val="24"/>
        </w:rPr>
      </w:pPr>
      <w:r>
        <w:rPr>
          <w:rFonts w:ascii="SimSun" w:hAnsi="SimSun" w:eastAsia="SimSun" w:cs="SimSun"/>
          <w:sz w:val="24"/>
          <w:szCs w:val="24"/>
          <w:b/>
          <w:bCs/>
          <w:spacing w:val="-1"/>
        </w:rPr>
        <w:t>3、四川绵阳安州工业园区规划环境影响跟踪评价符合性分析</w:t>
      </w:r>
    </w:p>
    <w:p>
      <w:pPr>
        <w:ind w:left="605"/>
        <w:spacing w:before="210" w:line="218" w:lineRule="auto"/>
        <w:rPr>
          <w:rFonts w:ascii="SimSun" w:hAnsi="SimSun" w:eastAsia="SimSun" w:cs="SimSun"/>
          <w:sz w:val="24"/>
          <w:szCs w:val="24"/>
        </w:rPr>
      </w:pPr>
      <w:r>
        <w:rPr>
          <w:rFonts w:ascii="SimSun" w:hAnsi="SimSun" w:eastAsia="SimSun" w:cs="SimSun"/>
          <w:sz w:val="24"/>
          <w:szCs w:val="24"/>
        </w:rPr>
        <w:t>本项目与四川绵阳安州工业园区规划环境影响</w:t>
      </w:r>
      <w:r>
        <w:rPr>
          <w:rFonts w:ascii="SimSun" w:hAnsi="SimSun" w:eastAsia="SimSun" w:cs="SimSun"/>
          <w:sz w:val="24"/>
          <w:szCs w:val="24"/>
          <w:spacing w:val="-1"/>
        </w:rPr>
        <w:t>跟踪评价符合性见下表。</w:t>
      </w:r>
    </w:p>
    <w:p>
      <w:pPr>
        <w:ind w:left="538"/>
        <w:spacing w:before="143" w:line="218" w:lineRule="auto"/>
        <w:rPr>
          <w:rFonts w:ascii="SimSun" w:hAnsi="SimSun" w:eastAsia="SimSun" w:cs="SimSun"/>
          <w:sz w:val="24"/>
          <w:szCs w:val="24"/>
        </w:rPr>
      </w:pPr>
      <w:r>
        <w:rPr>
          <w:rFonts w:ascii="SimSun" w:hAnsi="SimSun" w:eastAsia="SimSun" w:cs="SimSun"/>
          <w:sz w:val="24"/>
          <w:szCs w:val="24"/>
          <w:b/>
          <w:bCs/>
          <w:spacing w:val="-3"/>
        </w:rPr>
        <w:t>表1.4-3项目与四川绵阳安州工业园区规划环境影响跟踪评价符合性分析</w:t>
      </w:r>
    </w:p>
    <w:p>
      <w:pPr>
        <w:spacing w:line="75" w:lineRule="auto"/>
        <w:rPr>
          <w:rFonts w:ascii="Arial"/>
          <w:sz w:val="2"/>
        </w:rPr>
      </w:pPr>
      <w:r>
        <w:rPr>
          <w:rFonts w:ascii="Arial"/>
          <w:sz w:val="2"/>
        </w:rPr>
      </w:r>
    </w:p>
    <w:tbl>
      <w:tblPr>
        <w:tblStyle w:val="TableNormal"/>
        <w:tblW w:w="8509" w:type="dxa"/>
        <w:tblInd w:w="1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74"/>
        <w:gridCol w:w="3226"/>
        <w:gridCol w:w="3915"/>
        <w:gridCol w:w="694"/>
      </w:tblGrid>
      <w:tr>
        <w:trPr>
          <w:trHeight w:val="554" w:hRule="atLeast"/>
        </w:trPr>
        <w:tc>
          <w:tcPr>
            <w:shd w:val="clear" w:fill="BEBEBE"/>
            <w:tcW w:w="3900" w:type="dxa"/>
            <w:vAlign w:val="top"/>
            <w:gridSpan w:val="2"/>
          </w:tcPr>
          <w:p>
            <w:pPr>
              <w:pStyle w:val="TableText"/>
              <w:ind w:left="1527" w:right="47" w:hanging="1469"/>
              <w:spacing w:before="29" w:line="226" w:lineRule="auto"/>
              <w:rPr>
                <w:sz w:val="21"/>
                <w:szCs w:val="21"/>
              </w:rPr>
            </w:pPr>
            <w:r>
              <w:rPr>
                <w:sz w:val="21"/>
                <w:szCs w:val="21"/>
                <w:b/>
                <w:bCs/>
                <w:spacing w:val="-2"/>
              </w:rPr>
              <w:t>四川绵阳安州工业园区规划环境影响跟踪</w:t>
            </w:r>
            <w:r>
              <w:rPr>
                <w:sz w:val="21"/>
                <w:szCs w:val="21"/>
              </w:rPr>
              <w:t xml:space="preserve"> </w:t>
            </w:r>
            <w:r>
              <w:rPr>
                <w:sz w:val="21"/>
                <w:szCs w:val="21"/>
                <w:b/>
                <w:bCs/>
                <w:spacing w:val="-4"/>
              </w:rPr>
              <w:t>评价要求</w:t>
            </w:r>
          </w:p>
        </w:tc>
        <w:tc>
          <w:tcPr>
            <w:shd w:val="clear" w:fill="BEBEBE"/>
            <w:tcW w:w="3915" w:type="dxa"/>
            <w:vAlign w:val="top"/>
          </w:tcPr>
          <w:p>
            <w:pPr>
              <w:pStyle w:val="TableText"/>
              <w:ind w:left="1427"/>
              <w:spacing w:before="169" w:line="219" w:lineRule="auto"/>
              <w:rPr>
                <w:sz w:val="21"/>
                <w:szCs w:val="21"/>
              </w:rPr>
            </w:pPr>
            <w:r>
              <w:rPr>
                <w:sz w:val="21"/>
                <w:szCs w:val="21"/>
                <w:b/>
                <w:bCs/>
                <w:spacing w:val="-4"/>
              </w:rPr>
              <w:t>本项目情况</w:t>
            </w:r>
          </w:p>
        </w:tc>
        <w:tc>
          <w:tcPr>
            <w:shd w:val="clear" w:fill="BEBEBE"/>
            <w:tcW w:w="694" w:type="dxa"/>
            <w:vAlign w:val="top"/>
          </w:tcPr>
          <w:p>
            <w:pPr>
              <w:pStyle w:val="TableText"/>
              <w:ind w:left="33"/>
              <w:spacing w:before="170" w:line="219" w:lineRule="auto"/>
              <w:rPr>
                <w:sz w:val="21"/>
                <w:szCs w:val="21"/>
              </w:rPr>
            </w:pPr>
            <w:r>
              <w:rPr>
                <w:sz w:val="21"/>
                <w:szCs w:val="21"/>
                <w:b/>
                <w:bCs/>
                <w:spacing w:val="-5"/>
              </w:rPr>
              <w:t>符合性</w:t>
            </w:r>
          </w:p>
        </w:tc>
      </w:tr>
      <w:tr>
        <w:trPr>
          <w:trHeight w:val="8436" w:hRule="atLeast"/>
        </w:trPr>
        <w:tc>
          <w:tcPr>
            <w:tcW w:w="674" w:type="dxa"/>
            <w:vAlign w:val="top"/>
          </w:tcPr>
          <w:p>
            <w:pPr>
              <w:spacing w:line="256"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pStyle w:val="TableText"/>
              <w:ind w:left="15" w:right="3"/>
              <w:spacing w:before="69" w:line="237" w:lineRule="auto"/>
              <w:rPr>
                <w:sz w:val="21"/>
                <w:szCs w:val="21"/>
              </w:rPr>
            </w:pPr>
            <w:r>
              <w:rPr>
                <w:sz w:val="21"/>
                <w:szCs w:val="21"/>
                <w:spacing w:val="2"/>
              </w:rPr>
              <w:t>7.3后</w:t>
            </w:r>
            <w:r>
              <w:rPr>
                <w:sz w:val="21"/>
                <w:szCs w:val="21"/>
              </w:rPr>
              <w:t xml:space="preserve">  </w:t>
            </w:r>
            <w:r>
              <w:rPr>
                <w:sz w:val="21"/>
                <w:szCs w:val="21"/>
                <w:spacing w:val="5"/>
              </w:rPr>
              <w:t>续规划</w:t>
            </w:r>
          </w:p>
          <w:p>
            <w:pPr>
              <w:pStyle w:val="TableText"/>
              <w:ind w:left="15"/>
              <w:spacing w:line="220" w:lineRule="auto"/>
              <w:rPr>
                <w:sz w:val="21"/>
                <w:szCs w:val="21"/>
              </w:rPr>
            </w:pPr>
            <w:r>
              <w:rPr>
                <w:sz w:val="21"/>
                <w:szCs w:val="21"/>
                <w:spacing w:val="5"/>
              </w:rPr>
              <w:t>实施的</w:t>
            </w:r>
          </w:p>
          <w:p>
            <w:pPr>
              <w:pStyle w:val="TableText"/>
              <w:ind w:left="15"/>
              <w:spacing w:before="21" w:line="221" w:lineRule="auto"/>
              <w:rPr>
                <w:sz w:val="21"/>
                <w:szCs w:val="21"/>
              </w:rPr>
            </w:pPr>
            <w:r>
              <w:rPr>
                <w:sz w:val="21"/>
                <w:szCs w:val="21"/>
                <w:spacing w:val="3"/>
              </w:rPr>
              <w:t>主要环</w:t>
            </w:r>
          </w:p>
          <w:p>
            <w:pPr>
              <w:pStyle w:val="TableText"/>
              <w:spacing w:before="26" w:line="220" w:lineRule="auto"/>
              <w:jc w:val="right"/>
              <w:rPr>
                <w:sz w:val="21"/>
                <w:szCs w:val="21"/>
              </w:rPr>
            </w:pPr>
            <w:r>
              <w:rPr>
                <w:sz w:val="21"/>
                <w:szCs w:val="21"/>
                <w:spacing w:val="6"/>
              </w:rPr>
              <w:t>境制约</w:t>
            </w:r>
          </w:p>
          <w:p>
            <w:pPr>
              <w:pStyle w:val="TableText"/>
              <w:ind w:left="15"/>
              <w:spacing w:before="19" w:line="219" w:lineRule="auto"/>
              <w:rPr>
                <w:sz w:val="21"/>
                <w:szCs w:val="21"/>
              </w:rPr>
            </w:pPr>
            <w:r>
              <w:rPr>
                <w:sz w:val="21"/>
                <w:szCs w:val="21"/>
                <w:spacing w:val="3"/>
              </w:rPr>
              <w:t>因素及</w:t>
            </w:r>
          </w:p>
          <w:p>
            <w:pPr>
              <w:pStyle w:val="TableText"/>
              <w:ind w:left="15" w:right="1"/>
              <w:spacing w:before="19" w:line="241" w:lineRule="auto"/>
              <w:rPr>
                <w:sz w:val="21"/>
                <w:szCs w:val="21"/>
              </w:rPr>
            </w:pPr>
            <w:r>
              <w:rPr>
                <w:sz w:val="21"/>
                <w:szCs w:val="21"/>
                <w:spacing w:val="5"/>
              </w:rPr>
              <w:t>优化调</w:t>
            </w:r>
            <w:r>
              <w:rPr>
                <w:sz w:val="21"/>
                <w:szCs w:val="21"/>
                <w:spacing w:val="1"/>
              </w:rPr>
              <w:t xml:space="preserve"> </w:t>
            </w:r>
            <w:r>
              <w:rPr>
                <w:sz w:val="21"/>
                <w:szCs w:val="21"/>
                <w:spacing w:val="-3"/>
              </w:rPr>
              <w:t>整建议</w:t>
            </w:r>
          </w:p>
        </w:tc>
        <w:tc>
          <w:tcPr>
            <w:tcW w:w="3226" w:type="dxa"/>
            <w:vAlign w:val="top"/>
          </w:tcPr>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13" w:right="40"/>
              <w:spacing w:before="68" w:line="239" w:lineRule="auto"/>
              <w:rPr>
                <w:sz w:val="21"/>
                <w:szCs w:val="21"/>
              </w:rPr>
            </w:pPr>
            <w:r>
              <w:rPr>
                <w:sz w:val="21"/>
                <w:szCs w:val="21"/>
                <w:b/>
                <w:bCs/>
                <w:spacing w:val="-4"/>
              </w:rPr>
              <w:t>3、园区范围内现有部分工业企业</w:t>
            </w:r>
            <w:r>
              <w:rPr>
                <w:sz w:val="21"/>
                <w:szCs w:val="21"/>
                <w:spacing w:val="6"/>
              </w:rPr>
              <w:t xml:space="preserve">  </w:t>
            </w:r>
            <w:r>
              <w:rPr>
                <w:sz w:val="21"/>
                <w:szCs w:val="21"/>
                <w:b/>
                <w:bCs/>
                <w:spacing w:val="-2"/>
              </w:rPr>
              <w:t>与安置区及学校混杂，园区边界与</w:t>
            </w:r>
            <w:r>
              <w:rPr>
                <w:sz w:val="21"/>
                <w:szCs w:val="21"/>
                <w:spacing w:val="7"/>
              </w:rPr>
              <w:t xml:space="preserve"> </w:t>
            </w:r>
            <w:r>
              <w:rPr>
                <w:sz w:val="21"/>
                <w:szCs w:val="21"/>
                <w:b/>
                <w:bCs/>
                <w:spacing w:val="-3"/>
              </w:rPr>
              <w:t>城镇建成区紧邻，对规划实施构成</w:t>
            </w:r>
            <w:r>
              <w:rPr>
                <w:sz w:val="21"/>
                <w:szCs w:val="21"/>
                <w:spacing w:val="2"/>
              </w:rPr>
              <w:t xml:space="preserve"> </w:t>
            </w:r>
            <w:r>
              <w:rPr>
                <w:sz w:val="21"/>
                <w:szCs w:val="21"/>
                <w:b/>
                <w:bCs/>
                <w:spacing w:val="-4"/>
              </w:rPr>
              <w:t>一定环境制约。</w:t>
            </w:r>
          </w:p>
          <w:p>
            <w:pPr>
              <w:pStyle w:val="TableText"/>
              <w:ind w:left="13"/>
              <w:spacing w:before="3" w:line="219" w:lineRule="auto"/>
              <w:rPr>
                <w:sz w:val="21"/>
                <w:szCs w:val="21"/>
              </w:rPr>
            </w:pPr>
            <w:r>
              <w:rPr>
                <w:sz w:val="21"/>
                <w:szCs w:val="21"/>
                <w:b/>
                <w:bCs/>
                <w:spacing w:val="-3"/>
              </w:rPr>
              <w:t>优化调整建议：(1)加强对环境</w:t>
            </w:r>
          </w:p>
          <w:p>
            <w:pPr>
              <w:pStyle w:val="TableText"/>
              <w:ind w:left="13" w:right="61"/>
              <w:spacing w:before="31" w:line="239" w:lineRule="auto"/>
              <w:rPr>
                <w:sz w:val="21"/>
                <w:szCs w:val="21"/>
              </w:rPr>
            </w:pPr>
            <w:r>
              <w:rPr>
                <w:sz w:val="21"/>
                <w:szCs w:val="21"/>
                <w:b/>
                <w:bCs/>
                <w:spacing w:val="-3"/>
              </w:rPr>
              <w:t>敏感目标周边企业的环境管控，强</w:t>
            </w:r>
            <w:r>
              <w:rPr>
                <w:sz w:val="21"/>
                <w:szCs w:val="21"/>
                <w:spacing w:val="1"/>
              </w:rPr>
              <w:t xml:space="preserve"> </w:t>
            </w:r>
            <w:r>
              <w:rPr>
                <w:sz w:val="21"/>
                <w:szCs w:val="21"/>
                <w:b/>
                <w:bCs/>
                <w:spacing w:val="-3"/>
              </w:rPr>
              <w:t>化噪声及有机废气治理措施，确保</w:t>
            </w:r>
            <w:r>
              <w:rPr>
                <w:sz w:val="21"/>
                <w:szCs w:val="21"/>
                <w:spacing w:val="1"/>
              </w:rPr>
              <w:t xml:space="preserve"> </w:t>
            </w:r>
            <w:r>
              <w:rPr>
                <w:sz w:val="21"/>
                <w:szCs w:val="21"/>
                <w:b/>
                <w:bCs/>
                <w:spacing w:val="-3"/>
              </w:rPr>
              <w:t>各项污染物达标排放。(2)针对</w:t>
            </w:r>
          </w:p>
          <w:p>
            <w:pPr>
              <w:pStyle w:val="TableText"/>
              <w:ind w:left="13" w:right="38"/>
              <w:spacing w:before="4" w:line="243" w:lineRule="auto"/>
              <w:rPr>
                <w:sz w:val="21"/>
                <w:szCs w:val="21"/>
              </w:rPr>
            </w:pPr>
            <w:r>
              <w:rPr>
                <w:sz w:val="21"/>
                <w:szCs w:val="21"/>
                <w:b/>
                <w:bCs/>
                <w:spacing w:val="-2"/>
              </w:rPr>
              <w:t>拟入驻企业，应在选址及平面布局</w:t>
            </w:r>
            <w:r>
              <w:rPr>
                <w:sz w:val="21"/>
                <w:szCs w:val="21"/>
                <w:spacing w:val="9"/>
              </w:rPr>
              <w:t xml:space="preserve"> </w:t>
            </w:r>
            <w:r>
              <w:rPr>
                <w:sz w:val="21"/>
                <w:szCs w:val="21"/>
                <w:b/>
                <w:bCs/>
                <w:spacing w:val="-3"/>
              </w:rPr>
              <w:t>等方面进行充分论证，确保人居环</w:t>
            </w:r>
            <w:r>
              <w:rPr>
                <w:sz w:val="21"/>
                <w:szCs w:val="21"/>
                <w:spacing w:val="1"/>
              </w:rPr>
              <w:t xml:space="preserve"> </w:t>
            </w:r>
            <w:r>
              <w:rPr>
                <w:sz w:val="21"/>
                <w:szCs w:val="21"/>
                <w:b/>
                <w:bCs/>
                <w:spacing w:val="-4"/>
              </w:rPr>
              <w:t>境质量不降低。</w:t>
            </w:r>
          </w:p>
        </w:tc>
        <w:tc>
          <w:tcPr>
            <w:tcW w:w="3915" w:type="dxa"/>
            <w:vAlign w:val="top"/>
          </w:tcPr>
          <w:p>
            <w:pPr>
              <w:pStyle w:val="TableText"/>
              <w:ind w:left="17" w:right="116"/>
              <w:spacing w:before="35" w:line="243" w:lineRule="auto"/>
              <w:rPr>
                <w:sz w:val="21"/>
                <w:szCs w:val="21"/>
              </w:rPr>
            </w:pPr>
            <w:r>
              <w:rPr>
                <w:sz w:val="21"/>
                <w:szCs w:val="21"/>
                <w:b/>
                <w:bCs/>
                <w:spacing w:val="-3"/>
              </w:rPr>
              <w:t>本项目为改扩建项目，运营期通过设置双</w:t>
            </w:r>
            <w:r>
              <w:rPr>
                <w:sz w:val="21"/>
                <w:szCs w:val="21"/>
                <w:spacing w:val="4"/>
              </w:rPr>
              <w:t xml:space="preserve"> </w:t>
            </w:r>
            <w:r>
              <w:rPr>
                <w:sz w:val="21"/>
                <w:szCs w:val="21"/>
                <w:b/>
                <w:bCs/>
                <w:spacing w:val="-3"/>
              </w:rPr>
              <w:t>开门封闭车间减小废气无组织排放，生猪</w:t>
            </w:r>
            <w:r>
              <w:rPr>
                <w:sz w:val="21"/>
                <w:szCs w:val="21"/>
                <w:spacing w:val="4"/>
              </w:rPr>
              <w:t xml:space="preserve"> </w:t>
            </w:r>
            <w:r>
              <w:rPr>
                <w:sz w:val="21"/>
                <w:szCs w:val="21"/>
                <w:b/>
                <w:bCs/>
                <w:spacing w:val="-3"/>
              </w:rPr>
              <w:t>待宰圈舍恶臭经负压密闭抽风系统引入</w:t>
            </w:r>
          </w:p>
          <w:p>
            <w:pPr>
              <w:pStyle w:val="TableText"/>
              <w:spacing w:before="1" w:line="217" w:lineRule="auto"/>
              <w:rPr>
                <w:sz w:val="21"/>
                <w:szCs w:val="21"/>
              </w:rPr>
            </w:pPr>
            <w:r>
              <w:rPr>
                <w:sz w:val="21"/>
                <w:szCs w:val="21"/>
                <w:b/>
                <w:bCs/>
                <w:spacing w:val="-1"/>
              </w:rPr>
              <w:t>“喷淋+UV光解+活性炭吸附装置</w:t>
            </w:r>
          </w:p>
          <w:p>
            <w:pPr>
              <w:pStyle w:val="TableText"/>
              <w:ind w:left="67"/>
              <w:spacing w:before="14" w:line="219" w:lineRule="auto"/>
              <w:rPr>
                <w:sz w:val="21"/>
                <w:szCs w:val="21"/>
              </w:rPr>
            </w:pPr>
            <w:r>
              <w:rPr>
                <w:sz w:val="21"/>
                <w:szCs w:val="21"/>
                <w:b/>
                <w:bCs/>
                <w:spacing w:val="-3"/>
              </w:rPr>
              <w:t>(TA001)”处理后，通过1根15m高排</w:t>
            </w:r>
          </w:p>
          <w:p>
            <w:pPr>
              <w:pStyle w:val="TableText"/>
              <w:ind w:left="17"/>
              <w:spacing w:before="39" w:line="219" w:lineRule="auto"/>
              <w:rPr>
                <w:sz w:val="21"/>
                <w:szCs w:val="21"/>
              </w:rPr>
            </w:pPr>
            <w:r>
              <w:rPr>
                <w:sz w:val="21"/>
                <w:szCs w:val="21"/>
                <w:b/>
                <w:bCs/>
                <w:spacing w:val="-3"/>
              </w:rPr>
              <w:t>气筒(DA001)达标排放；生猪屠宰车间</w:t>
            </w:r>
          </w:p>
          <w:p>
            <w:pPr>
              <w:pStyle w:val="TableText"/>
              <w:ind w:left="17" w:right="221"/>
              <w:spacing w:line="242" w:lineRule="auto"/>
              <w:rPr>
                <w:sz w:val="21"/>
                <w:szCs w:val="21"/>
              </w:rPr>
            </w:pPr>
            <w:r>
              <w:rPr>
                <w:sz w:val="21"/>
                <w:szCs w:val="21"/>
                <w:b/>
                <w:bCs/>
                <w:spacing w:val="-3"/>
              </w:rPr>
              <w:t>恶臭经负压密闭抽风系统引入“喷淋+UV</w:t>
            </w:r>
            <w:r>
              <w:rPr>
                <w:sz w:val="21"/>
                <w:szCs w:val="21"/>
                <w:spacing w:val="5"/>
              </w:rPr>
              <w:t xml:space="preserve"> </w:t>
            </w:r>
            <w:r>
              <w:rPr>
                <w:sz w:val="21"/>
                <w:szCs w:val="21"/>
                <w:b/>
                <w:bCs/>
                <w:spacing w:val="-3"/>
              </w:rPr>
              <w:t>光解+活性炭吸附装置(TA002)”处理</w:t>
            </w:r>
          </w:p>
          <w:p>
            <w:pPr>
              <w:pStyle w:val="TableText"/>
              <w:ind w:left="17"/>
              <w:spacing w:before="1" w:line="219" w:lineRule="auto"/>
              <w:rPr>
                <w:sz w:val="21"/>
                <w:szCs w:val="21"/>
              </w:rPr>
            </w:pPr>
            <w:r>
              <w:rPr>
                <w:sz w:val="21"/>
                <w:szCs w:val="21"/>
                <w:b/>
                <w:bCs/>
                <w:spacing w:val="-3"/>
              </w:rPr>
              <w:t>后，通过1根15m高排气筒(DA002)达</w:t>
            </w:r>
          </w:p>
          <w:p>
            <w:pPr>
              <w:pStyle w:val="TableText"/>
              <w:ind w:left="17" w:right="116"/>
              <w:spacing w:before="20" w:line="237" w:lineRule="auto"/>
              <w:rPr>
                <w:sz w:val="21"/>
                <w:szCs w:val="21"/>
              </w:rPr>
            </w:pPr>
            <w:r>
              <w:rPr>
                <w:sz w:val="21"/>
                <w:szCs w:val="21"/>
                <w:b/>
                <w:bCs/>
                <w:spacing w:val="-3"/>
              </w:rPr>
              <w:t>标排放；肉牛待宰圈舍、屠宰车间恶臭经</w:t>
            </w:r>
            <w:r>
              <w:rPr>
                <w:sz w:val="21"/>
                <w:szCs w:val="21"/>
                <w:spacing w:val="4"/>
              </w:rPr>
              <w:t xml:space="preserve"> </w:t>
            </w:r>
            <w:r>
              <w:rPr>
                <w:sz w:val="21"/>
                <w:szCs w:val="21"/>
                <w:b/>
                <w:bCs/>
                <w:spacing w:val="-4"/>
              </w:rPr>
              <w:t>负压密闭抽风系统引入“喷淋+UV光解+</w:t>
            </w:r>
          </w:p>
          <w:p>
            <w:pPr>
              <w:pStyle w:val="TableText"/>
              <w:ind w:left="17" w:right="433"/>
              <w:spacing w:before="1" w:line="246" w:lineRule="auto"/>
              <w:rPr>
                <w:sz w:val="21"/>
                <w:szCs w:val="21"/>
              </w:rPr>
            </w:pPr>
            <w:r>
              <w:rPr>
                <w:sz w:val="21"/>
                <w:szCs w:val="21"/>
                <w:b/>
                <w:bCs/>
                <w:spacing w:val="-3"/>
              </w:rPr>
              <w:t>活性炭吸附装置(TA003)”处理后，通</w:t>
            </w:r>
            <w:r>
              <w:rPr>
                <w:sz w:val="21"/>
                <w:szCs w:val="21"/>
                <w:spacing w:val="3"/>
              </w:rPr>
              <w:t xml:space="preserve"> </w:t>
            </w:r>
            <w:r>
              <w:rPr>
                <w:sz w:val="21"/>
                <w:szCs w:val="21"/>
                <w:b/>
                <w:bCs/>
                <w:spacing w:val="-3"/>
              </w:rPr>
              <w:t>过1根15m高排气筒(DA003)达标排</w:t>
            </w:r>
          </w:p>
          <w:p>
            <w:pPr>
              <w:pStyle w:val="TableText"/>
              <w:ind w:right="117" w:firstLine="102"/>
              <w:spacing w:before="2" w:line="234" w:lineRule="auto"/>
              <w:rPr>
                <w:sz w:val="21"/>
                <w:szCs w:val="21"/>
              </w:rPr>
            </w:pPr>
            <w:r>
              <w:rPr>
                <w:sz w:val="21"/>
                <w:szCs w:val="21"/>
                <w:b/>
                <w:bCs/>
                <w:spacing w:val="-8"/>
              </w:rPr>
              <w:t>放；污水处理站恶臭气体通过加盖收集，</w:t>
            </w:r>
            <w:r>
              <w:rPr>
                <w:sz w:val="21"/>
                <w:szCs w:val="21"/>
                <w:spacing w:val="7"/>
              </w:rPr>
              <w:t xml:space="preserve"> </w:t>
            </w:r>
            <w:r>
              <w:rPr>
                <w:sz w:val="21"/>
                <w:szCs w:val="21"/>
                <w:b/>
                <w:bCs/>
                <w:spacing w:val="-2"/>
              </w:rPr>
              <w:t>并对各单元分别采取负压抽风系统，设置</w:t>
            </w:r>
            <w:r>
              <w:rPr>
                <w:sz w:val="21"/>
                <w:szCs w:val="21"/>
              </w:rPr>
              <w:t xml:space="preserve"> </w:t>
            </w:r>
            <w:r>
              <w:rPr>
                <w:sz w:val="21"/>
                <w:szCs w:val="21"/>
                <w:b/>
                <w:bCs/>
              </w:rPr>
              <w:t>“喷淋+UV光解+活性炭吸附装置</w:t>
            </w:r>
          </w:p>
          <w:p>
            <w:pPr>
              <w:pStyle w:val="TableText"/>
              <w:ind w:left="97"/>
              <w:spacing w:line="219" w:lineRule="auto"/>
              <w:rPr>
                <w:sz w:val="21"/>
                <w:szCs w:val="21"/>
              </w:rPr>
            </w:pPr>
            <w:r>
              <w:rPr>
                <w:sz w:val="21"/>
                <w:szCs w:val="21"/>
                <w:b/>
                <w:bCs/>
                <w:spacing w:val="-3"/>
              </w:rPr>
              <w:t>(TA004)”处理后，通过1根15m高排</w:t>
            </w:r>
          </w:p>
          <w:p>
            <w:pPr>
              <w:pStyle w:val="TableText"/>
              <w:ind w:left="17"/>
              <w:spacing w:before="41" w:line="219" w:lineRule="auto"/>
              <w:rPr>
                <w:sz w:val="21"/>
                <w:szCs w:val="21"/>
              </w:rPr>
            </w:pPr>
            <w:r>
              <w:rPr>
                <w:sz w:val="21"/>
                <w:szCs w:val="21"/>
                <w:b/>
                <w:bCs/>
                <w:spacing w:val="-3"/>
              </w:rPr>
              <w:t>气筒(DA004)达标排放；蒸汽发生器燃</w:t>
            </w:r>
          </w:p>
          <w:p>
            <w:pPr>
              <w:pStyle w:val="TableText"/>
              <w:ind w:left="17" w:right="114"/>
              <w:spacing w:before="9" w:line="238" w:lineRule="auto"/>
              <w:rPr>
                <w:sz w:val="21"/>
                <w:szCs w:val="21"/>
              </w:rPr>
            </w:pPr>
            <w:r>
              <w:rPr>
                <w:sz w:val="21"/>
                <w:szCs w:val="21"/>
                <w:b/>
                <w:bCs/>
                <w:spacing w:val="-3"/>
              </w:rPr>
              <w:t>烧废气：采用低氮燃烧技术处理后，通过</w:t>
            </w:r>
            <w:r>
              <w:rPr>
                <w:sz w:val="21"/>
                <w:szCs w:val="21"/>
                <w:spacing w:val="5"/>
              </w:rPr>
              <w:t xml:space="preserve"> </w:t>
            </w:r>
            <w:r>
              <w:rPr>
                <w:sz w:val="21"/>
                <w:szCs w:val="21"/>
                <w:b/>
                <w:bCs/>
                <w:spacing w:val="2"/>
              </w:rPr>
              <w:t>1根18m高排气筒(</w:t>
            </w:r>
            <w:r>
              <w:rPr>
                <w:sz w:val="21"/>
                <w:szCs w:val="21"/>
                <w:b/>
                <w:bCs/>
              </w:rPr>
              <w:t>DA</w:t>
            </w:r>
            <w:r>
              <w:rPr>
                <w:sz w:val="21"/>
                <w:szCs w:val="21"/>
                <w:b/>
                <w:bCs/>
                <w:spacing w:val="2"/>
              </w:rPr>
              <w:t>005)达标排放；</w:t>
            </w:r>
          </w:p>
          <w:p>
            <w:pPr>
              <w:pStyle w:val="TableText"/>
              <w:ind w:left="17" w:right="115"/>
              <w:spacing w:line="243" w:lineRule="auto"/>
              <w:rPr>
                <w:sz w:val="21"/>
                <w:szCs w:val="21"/>
              </w:rPr>
            </w:pPr>
            <w:r>
              <w:rPr>
                <w:sz w:val="21"/>
                <w:szCs w:val="21"/>
                <w:b/>
                <w:bCs/>
                <w:spacing w:val="-3"/>
              </w:rPr>
              <w:t>污水处理站沼气经净化处理后用作食堂燃</w:t>
            </w:r>
            <w:r>
              <w:rPr>
                <w:sz w:val="21"/>
                <w:szCs w:val="21"/>
                <w:spacing w:val="3"/>
              </w:rPr>
              <w:t xml:space="preserve"> </w:t>
            </w:r>
            <w:r>
              <w:rPr>
                <w:sz w:val="21"/>
                <w:szCs w:val="21"/>
                <w:b/>
                <w:bCs/>
                <w:spacing w:val="-3"/>
              </w:rPr>
              <w:t>料或火炬点燃排至大气环境；食堂油烟经</w:t>
            </w:r>
            <w:r>
              <w:rPr>
                <w:sz w:val="21"/>
                <w:szCs w:val="21"/>
                <w:spacing w:val="5"/>
              </w:rPr>
              <w:t xml:space="preserve"> </w:t>
            </w:r>
            <w:r>
              <w:rPr>
                <w:sz w:val="21"/>
                <w:szCs w:val="21"/>
                <w:b/>
                <w:bCs/>
                <w:spacing w:val="-3"/>
              </w:rPr>
              <w:t>油烟净化器处理后引至楼顶(DA006)达</w:t>
            </w:r>
          </w:p>
          <w:p>
            <w:pPr>
              <w:pStyle w:val="TableText"/>
              <w:ind w:left="17" w:right="8"/>
              <w:spacing w:before="3" w:line="237" w:lineRule="auto"/>
              <w:rPr>
                <w:sz w:val="21"/>
                <w:szCs w:val="21"/>
              </w:rPr>
            </w:pPr>
            <w:r>
              <w:rPr>
                <w:sz w:val="21"/>
                <w:szCs w:val="21"/>
                <w:b/>
                <w:bCs/>
                <w:spacing w:val="-3"/>
              </w:rPr>
              <w:t>标排放；噪声通过采取隔声、减振、消声</w:t>
            </w:r>
            <w:r>
              <w:rPr>
                <w:sz w:val="21"/>
                <w:szCs w:val="21"/>
                <w:spacing w:val="2"/>
              </w:rPr>
              <w:t xml:space="preserve">  </w:t>
            </w:r>
            <w:r>
              <w:rPr>
                <w:sz w:val="21"/>
                <w:szCs w:val="21"/>
                <w:b/>
                <w:bCs/>
                <w:spacing w:val="-3"/>
              </w:rPr>
              <w:t>等治理措施，加强管理、合理布局、绿化</w:t>
            </w:r>
            <w:r>
              <w:rPr>
                <w:sz w:val="21"/>
                <w:szCs w:val="21"/>
                <w:spacing w:val="1"/>
              </w:rPr>
              <w:t xml:space="preserve">  </w:t>
            </w:r>
            <w:r>
              <w:rPr>
                <w:sz w:val="21"/>
                <w:szCs w:val="21"/>
                <w:b/>
                <w:bCs/>
                <w:spacing w:val="-2"/>
              </w:rPr>
              <w:t>隔声后，再经厂界距离衰减，厂界四周噪</w:t>
            </w:r>
            <w:r>
              <w:rPr>
                <w:sz w:val="21"/>
                <w:szCs w:val="21"/>
              </w:rPr>
              <w:t xml:space="preserve">  </w:t>
            </w:r>
            <w:r>
              <w:rPr>
                <w:sz w:val="21"/>
                <w:szCs w:val="21"/>
                <w:b/>
                <w:bCs/>
                <w:spacing w:val="3"/>
              </w:rPr>
              <w:t>声达标排放，经采取以上措施后，废气、</w:t>
            </w:r>
            <w:r>
              <w:rPr>
                <w:sz w:val="21"/>
                <w:szCs w:val="21"/>
                <w:spacing w:val="4"/>
              </w:rPr>
              <w:t xml:space="preserve"> </w:t>
            </w:r>
            <w:r>
              <w:rPr>
                <w:sz w:val="21"/>
                <w:szCs w:val="21"/>
                <w:b/>
                <w:bCs/>
                <w:spacing w:val="-2"/>
              </w:rPr>
              <w:t>噪声均能达标排放。本项目位于四川绵阳</w:t>
            </w:r>
            <w:r>
              <w:rPr>
                <w:sz w:val="21"/>
                <w:szCs w:val="21"/>
                <w:spacing w:val="6"/>
              </w:rPr>
              <w:t xml:space="preserve">  </w:t>
            </w:r>
            <w:r>
              <w:rPr>
                <w:sz w:val="21"/>
                <w:szCs w:val="21"/>
                <w:b/>
                <w:bCs/>
                <w:spacing w:val="-3"/>
              </w:rPr>
              <w:t>安州工业园区内，周边主要以工业企业为</w:t>
            </w:r>
            <w:r>
              <w:rPr>
                <w:sz w:val="21"/>
                <w:szCs w:val="21"/>
              </w:rPr>
              <w:t xml:space="preserve">  </w:t>
            </w:r>
            <w:r>
              <w:rPr>
                <w:sz w:val="21"/>
                <w:szCs w:val="21"/>
                <w:b/>
                <w:bCs/>
                <w:spacing w:val="-3"/>
              </w:rPr>
              <w:t>主，最近环境敏感目标为东侧180m处安</w:t>
            </w:r>
          </w:p>
          <w:p>
            <w:pPr>
              <w:pStyle w:val="TableText"/>
              <w:ind w:left="17"/>
              <w:spacing w:line="202" w:lineRule="auto"/>
              <w:rPr>
                <w:sz w:val="21"/>
                <w:szCs w:val="21"/>
              </w:rPr>
            </w:pPr>
            <w:r>
              <w:rPr>
                <w:sz w:val="21"/>
                <w:szCs w:val="21"/>
                <w:b/>
                <w:bCs/>
                <w:spacing w:val="-3"/>
              </w:rPr>
              <w:t>州区高级职业中学以及北侧500m处前进</w:t>
            </w:r>
          </w:p>
        </w:tc>
        <w:tc>
          <w:tcPr>
            <w:tcW w:w="694"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129"/>
              <w:spacing w:before="68" w:line="219" w:lineRule="auto"/>
              <w:rPr>
                <w:sz w:val="21"/>
                <w:szCs w:val="21"/>
              </w:rPr>
            </w:pPr>
            <w:r>
              <w:rPr>
                <w:sz w:val="21"/>
                <w:szCs w:val="21"/>
                <w:spacing w:val="-3"/>
              </w:rPr>
              <w:t>符合</w:t>
            </w:r>
          </w:p>
        </w:tc>
      </w:tr>
    </w:tbl>
    <w:p>
      <w:pPr>
        <w:pStyle w:val="BodyText"/>
        <w:rPr/>
      </w:pPr>
      <w:r/>
    </w:p>
    <w:p>
      <w:pPr>
        <w:sectPr>
          <w:headerReference w:type="default" r:id="rId44"/>
          <w:footerReference w:type="default" r:id="rId45"/>
          <w:pgSz w:w="11910" w:h="16840"/>
          <w:pgMar w:top="1207" w:right="1705" w:bottom="983" w:left="1665" w:header="915" w:footer="738" w:gutter="0"/>
        </w:sectPr>
        <w:rPr/>
      </w:pPr>
    </w:p>
    <w:p>
      <w:pPr>
        <w:spacing w:before="36"/>
        <w:rPr/>
      </w:pPr>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64"/>
        <w:gridCol w:w="469"/>
        <w:gridCol w:w="2777"/>
        <w:gridCol w:w="3915"/>
        <w:gridCol w:w="684"/>
      </w:tblGrid>
      <w:tr>
        <w:trPr>
          <w:trHeight w:val="545" w:hRule="atLeast"/>
        </w:trPr>
        <w:tc>
          <w:tcPr>
            <w:shd w:val="clear" w:fill="BEBEBE"/>
            <w:tcW w:w="3910" w:type="dxa"/>
            <w:vAlign w:val="top"/>
            <w:gridSpan w:val="3"/>
          </w:tcPr>
          <w:p>
            <w:pPr>
              <w:pStyle w:val="TableText"/>
              <w:ind w:left="1527" w:right="57" w:hanging="1469"/>
              <w:spacing w:before="39" w:line="218" w:lineRule="auto"/>
              <w:rPr>
                <w:sz w:val="21"/>
                <w:szCs w:val="21"/>
              </w:rPr>
            </w:pPr>
            <w:r>
              <w:rPr>
                <w:sz w:val="21"/>
                <w:szCs w:val="21"/>
                <w:b/>
                <w:bCs/>
                <w:spacing w:val="-2"/>
              </w:rPr>
              <w:t>四川绵阳安州工业园区规划环境影响跟踪</w:t>
            </w:r>
            <w:r>
              <w:rPr>
                <w:sz w:val="21"/>
                <w:szCs w:val="21"/>
              </w:rPr>
              <w:t xml:space="preserve"> </w:t>
            </w:r>
            <w:r>
              <w:rPr>
                <w:sz w:val="21"/>
                <w:szCs w:val="21"/>
                <w:b/>
                <w:bCs/>
                <w:spacing w:val="-4"/>
              </w:rPr>
              <w:t>评价要求</w:t>
            </w:r>
          </w:p>
        </w:tc>
        <w:tc>
          <w:tcPr>
            <w:shd w:val="clear" w:fill="BEBEBE"/>
            <w:tcW w:w="3915" w:type="dxa"/>
            <w:vAlign w:val="top"/>
          </w:tcPr>
          <w:p>
            <w:pPr>
              <w:pStyle w:val="TableText"/>
              <w:ind w:left="1417"/>
              <w:spacing w:before="169" w:line="219" w:lineRule="auto"/>
              <w:rPr>
                <w:sz w:val="21"/>
                <w:szCs w:val="21"/>
              </w:rPr>
            </w:pPr>
            <w:r>
              <w:rPr>
                <w:sz w:val="21"/>
                <w:szCs w:val="21"/>
                <w:b/>
                <w:bCs/>
                <w:spacing w:val="-4"/>
              </w:rPr>
              <w:t>本项目情况</w:t>
            </w:r>
          </w:p>
        </w:tc>
        <w:tc>
          <w:tcPr>
            <w:shd w:val="clear" w:fill="BEBEBE"/>
            <w:tcW w:w="684" w:type="dxa"/>
            <w:vAlign w:val="top"/>
          </w:tcPr>
          <w:p>
            <w:pPr>
              <w:pStyle w:val="TableText"/>
              <w:ind w:left="23"/>
              <w:spacing w:before="170" w:line="219" w:lineRule="auto"/>
              <w:rPr>
                <w:sz w:val="21"/>
                <w:szCs w:val="21"/>
              </w:rPr>
            </w:pPr>
            <w:r>
              <w:rPr>
                <w:sz w:val="21"/>
                <w:szCs w:val="21"/>
                <w:b/>
                <w:bCs/>
                <w:spacing w:val="-5"/>
              </w:rPr>
              <w:t>符合性</w:t>
            </w:r>
          </w:p>
        </w:tc>
      </w:tr>
      <w:tr>
        <w:trPr>
          <w:trHeight w:val="2168" w:hRule="atLeast"/>
        </w:trPr>
        <w:tc>
          <w:tcPr>
            <w:tcW w:w="664" w:type="dxa"/>
            <w:vAlign w:val="top"/>
          </w:tcPr>
          <w:p>
            <w:pPr>
              <w:rPr>
                <w:rFonts w:ascii="Arial"/>
                <w:sz w:val="21"/>
              </w:rPr>
            </w:pPr>
            <w:r/>
          </w:p>
        </w:tc>
        <w:tc>
          <w:tcPr>
            <w:tcW w:w="3246" w:type="dxa"/>
            <w:vAlign w:val="top"/>
            <w:gridSpan w:val="2"/>
          </w:tcPr>
          <w:p>
            <w:pPr>
              <w:rPr>
                <w:rFonts w:ascii="Arial"/>
                <w:sz w:val="21"/>
              </w:rPr>
            </w:pPr>
            <w:r/>
          </w:p>
        </w:tc>
        <w:tc>
          <w:tcPr>
            <w:tcW w:w="3915" w:type="dxa"/>
            <w:vAlign w:val="top"/>
          </w:tcPr>
          <w:p>
            <w:pPr>
              <w:pStyle w:val="TableText"/>
              <w:ind w:left="14" w:right="119"/>
              <w:spacing w:before="48" w:line="236" w:lineRule="auto"/>
              <w:rPr>
                <w:sz w:val="21"/>
                <w:szCs w:val="21"/>
              </w:rPr>
            </w:pPr>
            <w:r>
              <w:rPr>
                <w:sz w:val="21"/>
                <w:szCs w:val="21"/>
                <w:spacing w:val="-1"/>
              </w:rPr>
              <w:t>村，根据绵阳市安州区气象局绘制花芗镇</w:t>
            </w:r>
            <w:r>
              <w:rPr>
                <w:sz w:val="21"/>
                <w:szCs w:val="21"/>
                <w:spacing w:val="7"/>
              </w:rPr>
              <w:t xml:space="preserve"> </w:t>
            </w:r>
            <w:r>
              <w:rPr>
                <w:sz w:val="21"/>
                <w:szCs w:val="21"/>
                <w:spacing w:val="-1"/>
              </w:rPr>
              <w:t>近三年夏季风玫瑰图以及近三年风玫瑰</w:t>
            </w:r>
          </w:p>
          <w:p>
            <w:pPr>
              <w:pStyle w:val="TableText"/>
              <w:ind w:left="14"/>
              <w:spacing w:line="216" w:lineRule="auto"/>
              <w:rPr>
                <w:sz w:val="21"/>
                <w:szCs w:val="21"/>
              </w:rPr>
            </w:pPr>
            <w:r>
              <w:rPr>
                <w:sz w:val="21"/>
                <w:szCs w:val="21"/>
                <w:spacing w:val="4"/>
              </w:rPr>
              <w:t>图，风向最大频率均为</w:t>
            </w:r>
            <w:r>
              <w:rPr>
                <w:sz w:val="21"/>
                <w:szCs w:val="21"/>
              </w:rPr>
              <w:t>NNW</w:t>
            </w:r>
            <w:r>
              <w:rPr>
                <w:sz w:val="21"/>
                <w:szCs w:val="21"/>
                <w:spacing w:val="4"/>
              </w:rPr>
              <w:t>(见附件),</w:t>
            </w:r>
          </w:p>
          <w:p>
            <w:pPr>
              <w:pStyle w:val="TableText"/>
              <w:ind w:left="14" w:right="95"/>
              <w:spacing w:before="27" w:line="246" w:lineRule="auto"/>
              <w:rPr>
                <w:sz w:val="21"/>
                <w:szCs w:val="21"/>
              </w:rPr>
            </w:pPr>
            <w:r>
              <w:rPr>
                <w:sz w:val="21"/>
                <w:szCs w:val="21"/>
              </w:rPr>
              <w:t>本项目位于城市居住区风向最大频率的侧</w:t>
            </w:r>
            <w:r>
              <w:rPr>
                <w:sz w:val="21"/>
                <w:szCs w:val="21"/>
                <w:spacing w:val="13"/>
              </w:rPr>
              <w:t xml:space="preserve"> </w:t>
            </w:r>
            <w:r>
              <w:rPr>
                <w:sz w:val="21"/>
                <w:szCs w:val="21"/>
                <w:spacing w:val="5"/>
              </w:rPr>
              <w:t>风向，同时，污水处理站以及</w:t>
            </w:r>
            <w:r>
              <w:rPr>
                <w:sz w:val="21"/>
                <w:szCs w:val="21"/>
              </w:rPr>
              <w:t>DA</w:t>
            </w:r>
            <w:r>
              <w:rPr>
                <w:sz w:val="21"/>
                <w:szCs w:val="21"/>
                <w:spacing w:val="5"/>
              </w:rPr>
              <w:t>001、</w:t>
            </w:r>
          </w:p>
          <w:p>
            <w:pPr>
              <w:pStyle w:val="TableText"/>
              <w:ind w:left="14"/>
              <w:spacing w:line="219" w:lineRule="auto"/>
              <w:rPr>
                <w:sz w:val="21"/>
                <w:szCs w:val="21"/>
              </w:rPr>
            </w:pPr>
            <w:r>
              <w:rPr>
                <w:sz w:val="21"/>
                <w:szCs w:val="21"/>
              </w:rPr>
              <w:t>DA002、DA003、DA004排气</w:t>
            </w:r>
            <w:r>
              <w:rPr>
                <w:sz w:val="21"/>
                <w:szCs w:val="21"/>
                <w:spacing w:val="-1"/>
              </w:rPr>
              <w:t>筒均设置在</w:t>
            </w:r>
          </w:p>
          <w:p>
            <w:pPr>
              <w:pStyle w:val="TableText"/>
              <w:ind w:left="14" w:right="120"/>
              <w:spacing w:before="9" w:line="211" w:lineRule="auto"/>
              <w:rPr>
                <w:sz w:val="21"/>
                <w:szCs w:val="21"/>
              </w:rPr>
            </w:pPr>
            <w:r>
              <w:rPr>
                <w:sz w:val="21"/>
                <w:szCs w:val="21"/>
                <w:spacing w:val="-1"/>
              </w:rPr>
              <w:t>厂区内西北侧，远离厂区外东侧、北侧敏</w:t>
            </w:r>
            <w:r>
              <w:rPr>
                <w:sz w:val="21"/>
                <w:szCs w:val="21"/>
                <w:spacing w:val="6"/>
              </w:rPr>
              <w:t xml:space="preserve"> </w:t>
            </w:r>
            <w:r>
              <w:rPr>
                <w:sz w:val="21"/>
                <w:szCs w:val="21"/>
                <w:spacing w:val="-1"/>
              </w:rPr>
              <w:t>感目标，对外环境影响较小。</w:t>
            </w:r>
          </w:p>
        </w:tc>
        <w:tc>
          <w:tcPr>
            <w:tcW w:w="684" w:type="dxa"/>
            <w:vAlign w:val="top"/>
          </w:tcPr>
          <w:p>
            <w:pPr>
              <w:rPr>
                <w:rFonts w:ascii="Arial"/>
                <w:sz w:val="21"/>
              </w:rPr>
            </w:pPr>
            <w:r/>
          </w:p>
        </w:tc>
      </w:tr>
      <w:tr>
        <w:trPr>
          <w:trHeight w:val="2468" w:hRule="atLeast"/>
        </w:trPr>
        <w:tc>
          <w:tcPr>
            <w:tcW w:w="664" w:type="dxa"/>
            <w:vAlign w:val="top"/>
            <w:vMerge w:val="restart"/>
            <w:tcBorders>
              <w:bottom w:val="nil"/>
            </w:tcBorders>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15"/>
              <w:spacing w:before="68"/>
              <w:rPr>
                <w:sz w:val="21"/>
                <w:szCs w:val="21"/>
              </w:rPr>
            </w:pPr>
            <w:r>
              <w:rPr>
                <w:sz w:val="21"/>
                <w:szCs w:val="21"/>
                <w:spacing w:val="1"/>
              </w:rPr>
              <w:t>7.4后</w:t>
            </w:r>
            <w:r>
              <w:rPr>
                <w:sz w:val="21"/>
                <w:szCs w:val="21"/>
              </w:rPr>
              <w:t xml:space="preserve">  </w:t>
            </w:r>
            <w:r>
              <w:rPr>
                <w:sz w:val="21"/>
                <w:szCs w:val="21"/>
                <w:spacing w:val="2"/>
              </w:rPr>
              <w:t>续规划</w:t>
            </w:r>
          </w:p>
          <w:p>
            <w:pPr>
              <w:pStyle w:val="TableText"/>
              <w:spacing w:before="4" w:line="220" w:lineRule="auto"/>
              <w:jc w:val="right"/>
              <w:rPr>
                <w:sz w:val="21"/>
                <w:szCs w:val="21"/>
              </w:rPr>
            </w:pPr>
            <w:r>
              <w:rPr>
                <w:sz w:val="21"/>
                <w:szCs w:val="21"/>
                <w:spacing w:val="2"/>
              </w:rPr>
              <w:t>实施过</w:t>
            </w:r>
          </w:p>
          <w:p>
            <w:pPr>
              <w:pStyle w:val="TableText"/>
              <w:ind w:left="15"/>
              <w:spacing w:before="9" w:line="243" w:lineRule="auto"/>
              <w:jc w:val="both"/>
              <w:rPr>
                <w:sz w:val="21"/>
                <w:szCs w:val="21"/>
              </w:rPr>
            </w:pPr>
            <w:r>
              <w:rPr>
                <w:sz w:val="21"/>
                <w:szCs w:val="21"/>
                <w:spacing w:val="2"/>
              </w:rPr>
              <w:t>程中的</w:t>
            </w:r>
            <w:r>
              <w:rPr>
                <w:sz w:val="21"/>
                <w:szCs w:val="21"/>
                <w:spacing w:val="1"/>
              </w:rPr>
              <w:t xml:space="preserve"> </w:t>
            </w:r>
            <w:r>
              <w:rPr>
                <w:sz w:val="21"/>
                <w:szCs w:val="21"/>
                <w:spacing w:val="-6"/>
              </w:rPr>
              <w:t>环保对</w:t>
            </w:r>
            <w:r>
              <w:rPr>
                <w:sz w:val="21"/>
                <w:szCs w:val="21"/>
                <w:spacing w:val="1"/>
              </w:rPr>
              <w:t xml:space="preserve"> </w:t>
            </w:r>
            <w:r>
              <w:rPr>
                <w:sz w:val="21"/>
                <w:szCs w:val="21"/>
                <w:spacing w:val="1"/>
              </w:rPr>
              <w:t>策与减</w:t>
            </w:r>
          </w:p>
          <w:p>
            <w:pPr>
              <w:pStyle w:val="TableText"/>
              <w:spacing w:line="219" w:lineRule="auto"/>
              <w:jc w:val="right"/>
              <w:rPr>
                <w:sz w:val="21"/>
                <w:szCs w:val="21"/>
              </w:rPr>
            </w:pPr>
            <w:r>
              <w:rPr>
                <w:sz w:val="21"/>
                <w:szCs w:val="21"/>
                <w:spacing w:val="2"/>
              </w:rPr>
              <w:t>缓措施</w:t>
            </w:r>
          </w:p>
        </w:tc>
        <w:tc>
          <w:tcPr>
            <w:tcW w:w="469" w:type="dxa"/>
            <w:vAlign w:val="top"/>
            <w:vMerge w:val="restart"/>
            <w:tcBorders>
              <w:bottom w:val="nil"/>
            </w:tcBorders>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10"/>
              <w:spacing w:before="69" w:line="232" w:lineRule="auto"/>
              <w:jc w:val="both"/>
              <w:rPr>
                <w:sz w:val="21"/>
                <w:szCs w:val="21"/>
              </w:rPr>
            </w:pPr>
            <w:r>
              <w:rPr>
                <w:sz w:val="21"/>
                <w:szCs w:val="21"/>
                <w:spacing w:val="-17"/>
              </w:rPr>
              <w:t>7.</w:t>
            </w:r>
            <w:r>
              <w:rPr>
                <w:sz w:val="21"/>
                <w:szCs w:val="21"/>
                <w:spacing w:val="-16"/>
              </w:rPr>
              <w:t>4.</w:t>
            </w:r>
            <w:r>
              <w:rPr>
                <w:sz w:val="21"/>
                <w:szCs w:val="21"/>
                <w:spacing w:val="-14"/>
              </w:rPr>
              <w:t>3</w:t>
            </w:r>
            <w:r>
              <w:rPr>
                <w:sz w:val="21"/>
                <w:szCs w:val="21"/>
                <w:spacing w:val="2"/>
              </w:rPr>
              <w:t xml:space="preserve"> </w:t>
            </w:r>
            <w:r>
              <w:rPr>
                <w:sz w:val="21"/>
                <w:szCs w:val="21"/>
                <w:spacing w:val="5"/>
              </w:rPr>
              <w:t>大气</w:t>
            </w:r>
            <w:r>
              <w:rPr>
                <w:sz w:val="21"/>
                <w:szCs w:val="21"/>
              </w:rPr>
              <w:t xml:space="preserve"> </w:t>
            </w:r>
            <w:r>
              <w:rPr>
                <w:sz w:val="21"/>
                <w:szCs w:val="21"/>
                <w:spacing w:val="-6"/>
              </w:rPr>
              <w:t>环境</w:t>
            </w:r>
            <w:r>
              <w:rPr>
                <w:sz w:val="21"/>
                <w:szCs w:val="21"/>
              </w:rPr>
              <w:t xml:space="preserve"> </w:t>
            </w:r>
            <w:r>
              <w:rPr>
                <w:sz w:val="21"/>
                <w:szCs w:val="21"/>
                <w:spacing w:val="6"/>
              </w:rPr>
              <w:t>保护</w:t>
            </w:r>
            <w:r>
              <w:rPr>
                <w:sz w:val="21"/>
                <w:szCs w:val="21"/>
              </w:rPr>
              <w:t xml:space="preserve"> </w:t>
            </w:r>
            <w:r>
              <w:rPr>
                <w:sz w:val="21"/>
                <w:szCs w:val="21"/>
                <w:spacing w:val="-6"/>
              </w:rPr>
              <w:t>对策</w:t>
            </w:r>
            <w:r>
              <w:rPr>
                <w:sz w:val="21"/>
                <w:szCs w:val="21"/>
              </w:rPr>
              <w:t xml:space="preserve"> </w:t>
            </w:r>
            <w:r>
              <w:rPr>
                <w:sz w:val="21"/>
                <w:szCs w:val="21"/>
                <w:spacing w:val="3"/>
              </w:rPr>
              <w:t>与减</w:t>
            </w:r>
            <w:r>
              <w:rPr>
                <w:sz w:val="21"/>
                <w:szCs w:val="21"/>
              </w:rPr>
              <w:t xml:space="preserve"> </w:t>
            </w:r>
            <w:r>
              <w:rPr>
                <w:sz w:val="21"/>
                <w:szCs w:val="21"/>
                <w:spacing w:val="4"/>
              </w:rPr>
              <w:t>缓措</w:t>
            </w:r>
            <w:r>
              <w:rPr>
                <w:sz w:val="21"/>
                <w:szCs w:val="21"/>
              </w:rPr>
              <w:t xml:space="preserve"> </w:t>
            </w:r>
            <w:r>
              <w:rPr>
                <w:sz w:val="21"/>
                <w:szCs w:val="21"/>
              </w:rPr>
              <w:t>施</w:t>
            </w:r>
          </w:p>
        </w:tc>
        <w:tc>
          <w:tcPr>
            <w:tcW w:w="2777" w:type="dxa"/>
            <w:vAlign w:val="top"/>
          </w:tcPr>
          <w:p>
            <w:pPr>
              <w:pStyle w:val="TableText"/>
              <w:ind w:left="12" w:right="122"/>
              <w:spacing w:before="50" w:line="211" w:lineRule="auto"/>
              <w:rPr>
                <w:sz w:val="21"/>
                <w:szCs w:val="21"/>
              </w:rPr>
            </w:pPr>
            <w:r>
              <w:rPr>
                <w:sz w:val="21"/>
                <w:szCs w:val="21"/>
              </w:rPr>
              <w:t>1、严格环境准入、强化源头</w:t>
            </w:r>
            <w:r>
              <w:rPr>
                <w:sz w:val="21"/>
                <w:szCs w:val="21"/>
                <w:spacing w:val="6"/>
              </w:rPr>
              <w:t xml:space="preserve"> </w:t>
            </w:r>
            <w:r>
              <w:rPr>
                <w:sz w:val="21"/>
                <w:szCs w:val="21"/>
                <w:spacing w:val="3"/>
              </w:rPr>
              <w:t>管理</w:t>
            </w:r>
          </w:p>
          <w:p>
            <w:pPr>
              <w:pStyle w:val="TableText"/>
              <w:ind w:left="12"/>
              <w:spacing w:before="56" w:line="235" w:lineRule="auto"/>
              <w:rPr>
                <w:sz w:val="21"/>
                <w:szCs w:val="21"/>
              </w:rPr>
            </w:pPr>
            <w:r>
              <w:rPr>
                <w:sz w:val="21"/>
                <w:szCs w:val="21"/>
                <w:spacing w:val="-1"/>
              </w:rPr>
              <w:t>园区禁止引入“两高一资”建</w:t>
            </w:r>
            <w:r>
              <w:rPr>
                <w:sz w:val="21"/>
                <w:szCs w:val="21"/>
                <w:spacing w:val="6"/>
              </w:rPr>
              <w:t xml:space="preserve"> </w:t>
            </w:r>
            <w:r>
              <w:rPr>
                <w:sz w:val="21"/>
                <w:szCs w:val="21"/>
                <w:spacing w:val="-1"/>
              </w:rPr>
              <w:t>设项目。把污染物排放总量作</w:t>
            </w:r>
            <w:r>
              <w:rPr>
                <w:sz w:val="21"/>
                <w:szCs w:val="21"/>
                <w:spacing w:val="10"/>
              </w:rPr>
              <w:t xml:space="preserve"> </w:t>
            </w:r>
            <w:r>
              <w:rPr>
                <w:sz w:val="21"/>
                <w:szCs w:val="21"/>
                <w:spacing w:val="-1"/>
              </w:rPr>
              <w:t>为环评审批的前置条件，改扩</w:t>
            </w:r>
            <w:r>
              <w:rPr>
                <w:sz w:val="21"/>
                <w:szCs w:val="21"/>
                <w:spacing w:val="6"/>
              </w:rPr>
              <w:t xml:space="preserve"> </w:t>
            </w:r>
            <w:r>
              <w:rPr>
                <w:sz w:val="21"/>
                <w:szCs w:val="21"/>
              </w:rPr>
              <w:t>建项目实行污染物排放减量替</w:t>
            </w:r>
            <w:r>
              <w:rPr>
                <w:sz w:val="21"/>
                <w:szCs w:val="21"/>
                <w:spacing w:val="1"/>
              </w:rPr>
              <w:t xml:space="preserve"> </w:t>
            </w:r>
            <w:r>
              <w:rPr>
                <w:sz w:val="21"/>
                <w:szCs w:val="21"/>
                <w:spacing w:val="1"/>
              </w:rPr>
              <w:t>代，实现增产减污。新建项目</w:t>
            </w:r>
            <w:r>
              <w:rPr>
                <w:sz w:val="21"/>
                <w:szCs w:val="21"/>
                <w:spacing w:val="10"/>
              </w:rPr>
              <w:t xml:space="preserve"> </w:t>
            </w:r>
            <w:r>
              <w:rPr>
                <w:sz w:val="21"/>
                <w:szCs w:val="21"/>
                <w:spacing w:val="-3"/>
              </w:rPr>
              <w:t>必须配套建设先进的污染治理</w:t>
            </w:r>
            <w:r>
              <w:rPr>
                <w:sz w:val="21"/>
                <w:szCs w:val="21"/>
                <w:spacing w:val="11"/>
              </w:rPr>
              <w:t xml:space="preserve"> </w:t>
            </w:r>
            <w:r>
              <w:rPr>
                <w:sz w:val="21"/>
                <w:szCs w:val="21"/>
                <w:spacing w:val="-2"/>
              </w:rPr>
              <w:t>设施，满足排放标准要求。</w:t>
            </w:r>
          </w:p>
        </w:tc>
        <w:tc>
          <w:tcPr>
            <w:tcW w:w="3915" w:type="dxa"/>
            <w:vAlign w:val="top"/>
          </w:tcPr>
          <w:p>
            <w:pPr>
              <w:spacing w:line="387" w:lineRule="auto"/>
              <w:rPr>
                <w:rFonts w:ascii="Arial"/>
                <w:sz w:val="21"/>
              </w:rPr>
            </w:pPr>
            <w:r/>
          </w:p>
          <w:p>
            <w:pPr>
              <w:pStyle w:val="TableText"/>
              <w:ind w:left="14"/>
              <w:spacing w:before="68" w:line="216" w:lineRule="auto"/>
              <w:rPr>
                <w:sz w:val="21"/>
                <w:szCs w:val="21"/>
              </w:rPr>
            </w:pPr>
            <w:r>
              <w:rPr>
                <w:sz w:val="21"/>
                <w:szCs w:val="21"/>
              </w:rPr>
              <w:t>本项目为“C1351牲畜屠宰”,属于园区</w:t>
            </w:r>
          </w:p>
          <w:p>
            <w:pPr>
              <w:pStyle w:val="TableText"/>
              <w:ind w:left="14" w:right="97"/>
              <w:spacing w:before="48" w:line="238" w:lineRule="auto"/>
              <w:rPr>
                <w:sz w:val="21"/>
                <w:szCs w:val="21"/>
              </w:rPr>
            </w:pPr>
            <w:r>
              <w:rPr>
                <w:sz w:val="21"/>
                <w:szCs w:val="21"/>
              </w:rPr>
              <w:t>综合配套项目，不属于“两高一资”建设</w:t>
            </w:r>
            <w:r>
              <w:rPr>
                <w:sz w:val="21"/>
                <w:szCs w:val="21"/>
                <w:spacing w:val="9"/>
              </w:rPr>
              <w:t xml:space="preserve"> </w:t>
            </w:r>
            <w:r>
              <w:rPr>
                <w:sz w:val="21"/>
                <w:szCs w:val="21"/>
                <w:spacing w:val="-1"/>
              </w:rPr>
              <w:t>项目；在原项目基础上进行为改扩建，位</w:t>
            </w:r>
            <w:r>
              <w:rPr>
                <w:sz w:val="21"/>
                <w:szCs w:val="21"/>
                <w:spacing w:val="5"/>
              </w:rPr>
              <w:t xml:space="preserve"> </w:t>
            </w:r>
            <w:r>
              <w:rPr>
                <w:sz w:val="21"/>
                <w:szCs w:val="21"/>
              </w:rPr>
              <w:t>于环境质量不达标区域，企业已向绵阳市</w:t>
            </w:r>
            <w:r>
              <w:rPr>
                <w:sz w:val="21"/>
                <w:szCs w:val="21"/>
                <w:spacing w:val="11"/>
              </w:rPr>
              <w:t xml:space="preserve"> </w:t>
            </w:r>
            <w:r>
              <w:rPr>
                <w:sz w:val="21"/>
                <w:szCs w:val="21"/>
                <w:spacing w:val="-1"/>
              </w:rPr>
              <w:t>生态环境局申请总量控制指标，实行2倍</w:t>
            </w:r>
            <w:r>
              <w:rPr>
                <w:sz w:val="21"/>
                <w:szCs w:val="21"/>
                <w:spacing w:val="3"/>
              </w:rPr>
              <w:t xml:space="preserve">  </w:t>
            </w:r>
            <w:r>
              <w:rPr>
                <w:sz w:val="21"/>
                <w:szCs w:val="21"/>
                <w:spacing w:val="-1"/>
              </w:rPr>
              <w:t>减量替代。</w:t>
            </w:r>
          </w:p>
        </w:tc>
        <w:tc>
          <w:tcPr>
            <w:tcW w:w="684" w:type="dxa"/>
            <w:vAlign w:val="top"/>
          </w:tcPr>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pStyle w:val="TableText"/>
              <w:ind w:left="179"/>
              <w:spacing w:before="68" w:line="219" w:lineRule="auto"/>
              <w:rPr>
                <w:sz w:val="21"/>
                <w:szCs w:val="21"/>
              </w:rPr>
            </w:pPr>
            <w:r>
              <w:rPr>
                <w:sz w:val="21"/>
                <w:szCs w:val="21"/>
                <w:spacing w:val="-3"/>
              </w:rPr>
              <w:t>符合</w:t>
            </w:r>
          </w:p>
        </w:tc>
      </w:tr>
      <w:tr>
        <w:trPr>
          <w:trHeight w:val="7894" w:hRule="atLeast"/>
        </w:trPr>
        <w:tc>
          <w:tcPr>
            <w:tcW w:w="664" w:type="dxa"/>
            <w:vAlign w:val="top"/>
            <w:vMerge w:val="continue"/>
            <w:tcBorders>
              <w:top w:val="nil"/>
              <w:bottom w:val="nil"/>
            </w:tcBorders>
          </w:tcPr>
          <w:p>
            <w:pPr>
              <w:rPr>
                <w:rFonts w:ascii="Arial"/>
                <w:sz w:val="21"/>
              </w:rPr>
            </w:pPr>
            <w:r/>
          </w:p>
        </w:tc>
        <w:tc>
          <w:tcPr>
            <w:tcW w:w="469" w:type="dxa"/>
            <w:vAlign w:val="top"/>
            <w:vMerge w:val="continue"/>
            <w:tcBorders>
              <w:top w:val="nil"/>
              <w:bottom w:val="nil"/>
            </w:tcBorders>
          </w:tcPr>
          <w:p>
            <w:pPr>
              <w:rPr>
                <w:rFonts w:ascii="Arial"/>
                <w:sz w:val="21"/>
              </w:rPr>
            </w:pPr>
            <w:r/>
          </w:p>
        </w:tc>
        <w:tc>
          <w:tcPr>
            <w:tcW w:w="2777" w:type="dxa"/>
            <w:vAlign w:val="top"/>
          </w:tcPr>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pStyle w:val="TableText"/>
              <w:ind w:left="12"/>
              <w:spacing w:before="69" w:line="220" w:lineRule="auto"/>
              <w:rPr>
                <w:sz w:val="21"/>
                <w:szCs w:val="21"/>
              </w:rPr>
            </w:pPr>
            <w:r>
              <w:rPr>
                <w:sz w:val="21"/>
                <w:szCs w:val="21"/>
                <w:spacing w:val="1"/>
              </w:rPr>
              <w:t>2、强化企业污染防治</w:t>
            </w:r>
          </w:p>
          <w:p>
            <w:pPr>
              <w:pStyle w:val="TableText"/>
              <w:ind w:left="12" w:right="15"/>
              <w:spacing w:before="18" w:line="232" w:lineRule="auto"/>
              <w:rPr>
                <w:sz w:val="21"/>
                <w:szCs w:val="21"/>
              </w:rPr>
            </w:pPr>
            <w:r>
              <w:rPr>
                <w:sz w:val="21"/>
                <w:szCs w:val="21"/>
              </w:rPr>
              <w:t>引进企业必须采取先进、可靠</w:t>
            </w:r>
            <w:r>
              <w:rPr>
                <w:sz w:val="21"/>
                <w:szCs w:val="21"/>
                <w:spacing w:val="8"/>
              </w:rPr>
              <w:t xml:space="preserve"> </w:t>
            </w:r>
            <w:r>
              <w:rPr>
                <w:sz w:val="21"/>
                <w:szCs w:val="21"/>
              </w:rPr>
              <w:t>治理措施，确保废气达标排</w:t>
            </w:r>
          </w:p>
          <w:p>
            <w:pPr>
              <w:pStyle w:val="TableText"/>
              <w:ind w:left="12" w:right="14"/>
              <w:spacing w:before="14" w:line="238" w:lineRule="auto"/>
              <w:rPr>
                <w:sz w:val="21"/>
                <w:szCs w:val="21"/>
              </w:rPr>
            </w:pPr>
            <w:r>
              <w:rPr>
                <w:sz w:val="21"/>
                <w:szCs w:val="21"/>
                <w:spacing w:val="-1"/>
              </w:rPr>
              <w:t>放。各企业均需落实项目环评</w:t>
            </w:r>
            <w:r>
              <w:rPr>
                <w:sz w:val="21"/>
                <w:szCs w:val="21"/>
                <w:spacing w:val="3"/>
              </w:rPr>
              <w:t xml:space="preserve"> </w:t>
            </w:r>
            <w:r>
              <w:rPr>
                <w:sz w:val="21"/>
                <w:szCs w:val="21"/>
                <w:spacing w:val="-1"/>
              </w:rPr>
              <w:t>提出的具体的环境保护防护距</w:t>
            </w:r>
            <w:r>
              <w:rPr>
                <w:sz w:val="21"/>
                <w:szCs w:val="21"/>
                <w:spacing w:val="2"/>
              </w:rPr>
              <w:t xml:space="preserve"> </w:t>
            </w:r>
            <w:r>
              <w:rPr>
                <w:sz w:val="21"/>
                <w:szCs w:val="21"/>
              </w:rPr>
              <w:t>离和大气防护距离。积极推行</w:t>
            </w:r>
            <w:r>
              <w:rPr>
                <w:sz w:val="21"/>
                <w:szCs w:val="21"/>
                <w:spacing w:val="9"/>
              </w:rPr>
              <w:t xml:space="preserve"> </w:t>
            </w:r>
            <w:r>
              <w:rPr>
                <w:sz w:val="21"/>
                <w:szCs w:val="21"/>
                <w:spacing w:val="-1"/>
              </w:rPr>
              <w:t>清洁能源，新建企业禁止直接</w:t>
            </w:r>
            <w:r>
              <w:rPr>
                <w:sz w:val="21"/>
                <w:szCs w:val="21"/>
                <w:spacing w:val="3"/>
              </w:rPr>
              <w:t xml:space="preserve"> </w:t>
            </w:r>
            <w:r>
              <w:rPr>
                <w:sz w:val="21"/>
                <w:szCs w:val="21"/>
                <w:spacing w:val="-2"/>
              </w:rPr>
              <w:t>燃煤。</w:t>
            </w:r>
          </w:p>
        </w:tc>
        <w:tc>
          <w:tcPr>
            <w:tcW w:w="3915" w:type="dxa"/>
            <w:vAlign w:val="top"/>
          </w:tcPr>
          <w:p>
            <w:pPr>
              <w:pStyle w:val="TableText"/>
              <w:ind w:left="14" w:right="101"/>
              <w:spacing w:before="43" w:line="237" w:lineRule="auto"/>
              <w:rPr>
                <w:sz w:val="21"/>
                <w:szCs w:val="21"/>
              </w:rPr>
            </w:pPr>
            <w:r>
              <w:rPr>
                <w:sz w:val="21"/>
                <w:szCs w:val="21"/>
                <w:spacing w:val="-1"/>
              </w:rPr>
              <w:t>本项目运营期通过设置双开门封闭车间减</w:t>
            </w:r>
            <w:r>
              <w:rPr>
                <w:sz w:val="21"/>
                <w:szCs w:val="21"/>
                <w:spacing w:val="7"/>
              </w:rPr>
              <w:t xml:space="preserve"> </w:t>
            </w:r>
            <w:r>
              <w:rPr>
                <w:sz w:val="21"/>
                <w:szCs w:val="21"/>
              </w:rPr>
              <w:t>小废气无组织排放，生猪待宰圈舍恶臭经</w:t>
            </w:r>
            <w:r>
              <w:rPr>
                <w:sz w:val="21"/>
                <w:szCs w:val="21"/>
                <w:spacing w:val="7"/>
              </w:rPr>
              <w:t xml:space="preserve"> </w:t>
            </w:r>
            <w:r>
              <w:rPr>
                <w:sz w:val="21"/>
                <w:szCs w:val="21"/>
              </w:rPr>
              <w:t>负压密闭抽风系统引入“喷淋+UV光解+</w:t>
            </w:r>
          </w:p>
          <w:p>
            <w:pPr>
              <w:pStyle w:val="TableText"/>
              <w:ind w:left="14"/>
              <w:spacing w:line="218" w:lineRule="auto"/>
              <w:rPr>
                <w:sz w:val="21"/>
                <w:szCs w:val="21"/>
              </w:rPr>
            </w:pPr>
            <w:r>
              <w:rPr>
                <w:sz w:val="21"/>
                <w:szCs w:val="21"/>
                <w:spacing w:val="-1"/>
              </w:rPr>
              <w:t>活性炭吸附装置(TA001)”处理后，通</w:t>
            </w:r>
          </w:p>
          <w:p>
            <w:pPr>
              <w:pStyle w:val="TableText"/>
              <w:ind w:left="14" w:right="90"/>
              <w:spacing w:before="22" w:line="242" w:lineRule="auto"/>
              <w:rPr>
                <w:sz w:val="21"/>
                <w:szCs w:val="21"/>
              </w:rPr>
            </w:pPr>
            <w:r>
              <w:rPr>
                <w:sz w:val="21"/>
                <w:szCs w:val="21"/>
                <w:spacing w:val="32"/>
              </w:rPr>
              <w:t>过1根15m高排气筒(</w:t>
            </w:r>
            <w:r>
              <w:rPr>
                <w:sz w:val="21"/>
                <w:szCs w:val="21"/>
              </w:rPr>
              <w:t>DA</w:t>
            </w:r>
            <w:r>
              <w:rPr>
                <w:sz w:val="21"/>
                <w:szCs w:val="21"/>
                <w:spacing w:val="32"/>
              </w:rPr>
              <w:t>001)达标排</w:t>
            </w:r>
            <w:r>
              <w:rPr>
                <w:sz w:val="21"/>
                <w:szCs w:val="21"/>
                <w:spacing w:val="3"/>
              </w:rPr>
              <w:t xml:space="preserve">  </w:t>
            </w:r>
            <w:r>
              <w:rPr>
                <w:sz w:val="21"/>
                <w:szCs w:val="21"/>
                <w:spacing w:val="1"/>
              </w:rPr>
              <w:t>放；生猪屠宰车间恶臭经负压密闭抽风系</w:t>
            </w:r>
            <w:r>
              <w:rPr>
                <w:sz w:val="21"/>
                <w:szCs w:val="21"/>
              </w:rPr>
              <w:t xml:space="preserve"> </w:t>
            </w:r>
            <w:r>
              <w:rPr>
                <w:sz w:val="21"/>
                <w:szCs w:val="21"/>
              </w:rPr>
              <w:t>统引入“喷淋+UV光解+活性炭吸附装置</w:t>
            </w:r>
          </w:p>
          <w:p>
            <w:pPr>
              <w:pStyle w:val="TableText"/>
              <w:ind w:left="14"/>
              <w:spacing w:before="4" w:line="219" w:lineRule="auto"/>
              <w:rPr>
                <w:sz w:val="21"/>
                <w:szCs w:val="21"/>
              </w:rPr>
            </w:pPr>
            <w:r>
              <w:rPr>
                <w:sz w:val="21"/>
                <w:szCs w:val="21"/>
              </w:rPr>
              <w:t>(TA002)”处理后，通过1根15m高排</w:t>
            </w:r>
          </w:p>
          <w:p>
            <w:pPr>
              <w:pStyle w:val="TableText"/>
              <w:ind w:left="14"/>
              <w:spacing w:before="10" w:line="219" w:lineRule="auto"/>
              <w:rPr>
                <w:sz w:val="21"/>
                <w:szCs w:val="21"/>
              </w:rPr>
            </w:pPr>
            <w:r>
              <w:rPr>
                <w:sz w:val="21"/>
                <w:szCs w:val="21"/>
              </w:rPr>
              <w:t>气筒(DA002)达标排放；肉牛待宰圈</w:t>
            </w:r>
          </w:p>
          <w:p>
            <w:pPr>
              <w:pStyle w:val="TableText"/>
              <w:ind w:left="14" w:right="73"/>
              <w:spacing w:before="39" w:line="229" w:lineRule="auto"/>
              <w:rPr>
                <w:sz w:val="21"/>
                <w:szCs w:val="21"/>
              </w:rPr>
            </w:pPr>
            <w:r>
              <w:rPr>
                <w:sz w:val="21"/>
                <w:szCs w:val="21"/>
                <w:spacing w:val="2"/>
              </w:rPr>
              <w:t>舍、屠宰车间恶臭经负压密闭抽风系统引</w:t>
            </w:r>
            <w:r>
              <w:rPr>
                <w:sz w:val="21"/>
                <w:szCs w:val="21"/>
              </w:rPr>
              <w:t xml:space="preserve"> </w:t>
            </w:r>
            <w:r>
              <w:rPr>
                <w:sz w:val="21"/>
                <w:szCs w:val="21"/>
                <w:spacing w:val="-1"/>
              </w:rPr>
              <w:t>入“喷淋+UV光解+活性炭吸附装置</w:t>
            </w:r>
          </w:p>
          <w:p>
            <w:pPr>
              <w:pStyle w:val="TableText"/>
              <w:ind w:left="14"/>
              <w:spacing w:before="21" w:line="219" w:lineRule="auto"/>
              <w:rPr>
                <w:sz w:val="21"/>
                <w:szCs w:val="21"/>
              </w:rPr>
            </w:pPr>
            <w:r>
              <w:rPr>
                <w:sz w:val="21"/>
                <w:szCs w:val="21"/>
              </w:rPr>
              <w:t>(TA003)”处理后，通过1根15m高排</w:t>
            </w:r>
          </w:p>
          <w:p>
            <w:pPr>
              <w:pStyle w:val="TableText"/>
              <w:ind w:left="14"/>
              <w:spacing w:before="10" w:line="219" w:lineRule="auto"/>
              <w:rPr>
                <w:sz w:val="21"/>
                <w:szCs w:val="21"/>
              </w:rPr>
            </w:pPr>
            <w:r>
              <w:rPr>
                <w:sz w:val="21"/>
                <w:szCs w:val="21"/>
                <w:spacing w:val="-1"/>
              </w:rPr>
              <w:t>气筒(DA003)达标排放；污水处理站恶</w:t>
            </w:r>
          </w:p>
          <w:p>
            <w:pPr>
              <w:pStyle w:val="TableText"/>
              <w:ind w:left="14" w:right="118"/>
              <w:spacing w:before="21" w:line="237" w:lineRule="auto"/>
              <w:rPr>
                <w:sz w:val="21"/>
                <w:szCs w:val="21"/>
              </w:rPr>
            </w:pPr>
            <w:r>
              <w:rPr>
                <w:sz w:val="21"/>
                <w:szCs w:val="21"/>
                <w:spacing w:val="-1"/>
              </w:rPr>
              <w:t>臭气体通过加盖收集，并对各单元分别采</w:t>
            </w:r>
            <w:r>
              <w:rPr>
                <w:sz w:val="21"/>
                <w:szCs w:val="21"/>
                <w:spacing w:val="8"/>
              </w:rPr>
              <w:t xml:space="preserve"> </w:t>
            </w:r>
            <w:r>
              <w:rPr>
                <w:sz w:val="21"/>
                <w:szCs w:val="21"/>
                <w:spacing w:val="-1"/>
              </w:rPr>
              <w:t>取负压抽风系统，设置“喷淋+UV光解+</w:t>
            </w:r>
          </w:p>
          <w:p>
            <w:pPr>
              <w:pStyle w:val="TableText"/>
              <w:ind w:left="14" w:right="436"/>
              <w:spacing w:before="2" w:line="241" w:lineRule="auto"/>
              <w:rPr>
                <w:sz w:val="21"/>
                <w:szCs w:val="21"/>
              </w:rPr>
            </w:pPr>
            <w:r>
              <w:rPr>
                <w:sz w:val="21"/>
                <w:szCs w:val="21"/>
                <w:spacing w:val="-1"/>
              </w:rPr>
              <w:t>活性炭吸附装置(TA004)”处理后，通</w:t>
            </w:r>
            <w:r>
              <w:rPr>
                <w:sz w:val="21"/>
                <w:szCs w:val="21"/>
                <w:spacing w:val="7"/>
              </w:rPr>
              <w:t xml:space="preserve"> </w:t>
            </w:r>
            <w:r>
              <w:rPr>
                <w:sz w:val="21"/>
                <w:szCs w:val="21"/>
                <w:spacing w:val="-1"/>
              </w:rPr>
              <w:t>过1根15m高排气筒(DA004)达标排</w:t>
            </w:r>
          </w:p>
          <w:p>
            <w:pPr>
              <w:pStyle w:val="TableText"/>
              <w:ind w:left="14" w:right="118"/>
              <w:spacing w:before="2" w:line="239" w:lineRule="auto"/>
              <w:rPr>
                <w:sz w:val="21"/>
                <w:szCs w:val="21"/>
              </w:rPr>
            </w:pPr>
            <w:r>
              <w:rPr>
                <w:sz w:val="21"/>
                <w:szCs w:val="21"/>
                <w:spacing w:val="-1"/>
              </w:rPr>
              <w:t>放；蒸汽发生器燃烧废气：采用低氮燃烧</w:t>
            </w:r>
            <w:r>
              <w:rPr>
                <w:sz w:val="21"/>
                <w:szCs w:val="21"/>
                <w:spacing w:val="8"/>
              </w:rPr>
              <w:t xml:space="preserve"> </w:t>
            </w:r>
            <w:r>
              <w:rPr>
                <w:sz w:val="21"/>
                <w:szCs w:val="21"/>
              </w:rPr>
              <w:t>技术处理后，通过1根18m高排气筒</w:t>
            </w:r>
          </w:p>
          <w:p>
            <w:pPr>
              <w:pStyle w:val="TableText"/>
              <w:ind w:left="54"/>
              <w:spacing w:before="15" w:line="219" w:lineRule="auto"/>
              <w:rPr>
                <w:sz w:val="21"/>
                <w:szCs w:val="21"/>
              </w:rPr>
            </w:pPr>
            <w:r>
              <w:rPr>
                <w:sz w:val="21"/>
                <w:szCs w:val="21"/>
              </w:rPr>
              <w:t>(DA005)达标排放；污水处理站沼气经</w:t>
            </w:r>
          </w:p>
          <w:p>
            <w:pPr>
              <w:pStyle w:val="TableText"/>
              <w:ind w:left="14" w:right="94"/>
              <w:spacing w:before="10" w:line="239" w:lineRule="auto"/>
              <w:rPr>
                <w:sz w:val="21"/>
                <w:szCs w:val="21"/>
              </w:rPr>
            </w:pPr>
            <w:r>
              <w:rPr>
                <w:sz w:val="21"/>
                <w:szCs w:val="21"/>
              </w:rPr>
              <w:t>净化处理后用作食堂燃料或火炬点燃排至</w:t>
            </w:r>
            <w:r>
              <w:rPr>
                <w:sz w:val="21"/>
                <w:szCs w:val="21"/>
                <w:spacing w:val="9"/>
              </w:rPr>
              <w:t xml:space="preserve"> </w:t>
            </w:r>
            <w:r>
              <w:rPr>
                <w:sz w:val="21"/>
                <w:szCs w:val="21"/>
              </w:rPr>
              <w:t>大气环境；食堂油烟经油烟净化器处理后</w:t>
            </w:r>
            <w:r>
              <w:rPr>
                <w:sz w:val="21"/>
                <w:szCs w:val="21"/>
                <w:spacing w:val="14"/>
              </w:rPr>
              <w:t xml:space="preserve"> </w:t>
            </w:r>
            <w:r>
              <w:rPr>
                <w:sz w:val="21"/>
                <w:szCs w:val="21"/>
              </w:rPr>
              <w:t>引至楼顶(DA006)达标排放。项目以生</w:t>
            </w:r>
          </w:p>
          <w:p>
            <w:pPr>
              <w:pStyle w:val="TableText"/>
              <w:ind w:left="14" w:right="114"/>
              <w:spacing w:before="16" w:line="239" w:lineRule="auto"/>
              <w:rPr>
                <w:sz w:val="21"/>
                <w:szCs w:val="21"/>
              </w:rPr>
            </w:pPr>
            <w:r>
              <w:rPr>
                <w:sz w:val="21"/>
                <w:szCs w:val="21"/>
                <w:spacing w:val="1"/>
              </w:rPr>
              <w:t>猪待宰圈舍、屠宰车间以及肉牛待宰圈  </w:t>
            </w:r>
            <w:r>
              <w:rPr>
                <w:sz w:val="21"/>
                <w:szCs w:val="21"/>
                <w:spacing w:val="-1"/>
              </w:rPr>
              <w:t>舍、屠宰车间和污水处理站边界为起点，</w:t>
            </w:r>
            <w:r>
              <w:rPr>
                <w:sz w:val="21"/>
                <w:szCs w:val="21"/>
                <w:spacing w:val="12"/>
              </w:rPr>
              <w:t xml:space="preserve"> </w:t>
            </w:r>
            <w:r>
              <w:rPr>
                <w:sz w:val="21"/>
                <w:szCs w:val="21"/>
                <w:spacing w:val="-1"/>
              </w:rPr>
              <w:t>分别设置50m、50m、50m、50m、100m</w:t>
            </w:r>
          </w:p>
          <w:p>
            <w:pPr>
              <w:pStyle w:val="TableText"/>
              <w:ind w:left="14" w:right="99"/>
              <w:spacing w:before="4" w:line="220" w:lineRule="auto"/>
              <w:rPr>
                <w:sz w:val="21"/>
                <w:szCs w:val="21"/>
              </w:rPr>
            </w:pPr>
            <w:r>
              <w:rPr>
                <w:sz w:val="21"/>
                <w:szCs w:val="21"/>
              </w:rPr>
              <w:t>的卫生防护距离，卫生防护距离范围内无</w:t>
            </w:r>
            <w:r>
              <w:rPr>
                <w:sz w:val="21"/>
                <w:szCs w:val="21"/>
                <w:spacing w:val="7"/>
              </w:rPr>
              <w:t xml:space="preserve"> </w:t>
            </w:r>
            <w:r>
              <w:rPr>
                <w:sz w:val="21"/>
                <w:szCs w:val="21"/>
              </w:rPr>
              <w:t>居民等环境保护目标。项目使用电、天然</w:t>
            </w:r>
            <w:r>
              <w:rPr>
                <w:sz w:val="21"/>
                <w:szCs w:val="21"/>
                <w:spacing w:val="9"/>
              </w:rPr>
              <w:t xml:space="preserve"> </w:t>
            </w:r>
            <w:r>
              <w:rPr>
                <w:sz w:val="21"/>
                <w:szCs w:val="21"/>
                <w:spacing w:val="-1"/>
              </w:rPr>
              <w:t>气等清洁能源。</w:t>
            </w:r>
          </w:p>
        </w:tc>
        <w:tc>
          <w:tcPr>
            <w:tcW w:w="684"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179"/>
              <w:spacing w:before="68" w:line="219" w:lineRule="auto"/>
              <w:rPr>
                <w:sz w:val="21"/>
                <w:szCs w:val="21"/>
              </w:rPr>
            </w:pPr>
            <w:r>
              <w:rPr>
                <w:sz w:val="21"/>
                <w:szCs w:val="21"/>
                <w:spacing w:val="-3"/>
              </w:rPr>
              <w:t>符合</w:t>
            </w:r>
          </w:p>
        </w:tc>
      </w:tr>
      <w:tr>
        <w:trPr>
          <w:trHeight w:val="565" w:hRule="atLeast"/>
        </w:trPr>
        <w:tc>
          <w:tcPr>
            <w:tcW w:w="664" w:type="dxa"/>
            <w:vAlign w:val="top"/>
            <w:vMerge w:val="continue"/>
            <w:tcBorders>
              <w:top w:val="nil"/>
            </w:tcBorders>
          </w:tcPr>
          <w:p>
            <w:pPr>
              <w:rPr>
                <w:rFonts w:ascii="Arial"/>
                <w:sz w:val="21"/>
              </w:rPr>
            </w:pPr>
            <w:r/>
          </w:p>
        </w:tc>
        <w:tc>
          <w:tcPr>
            <w:tcW w:w="469" w:type="dxa"/>
            <w:vAlign w:val="top"/>
            <w:vMerge w:val="continue"/>
            <w:tcBorders>
              <w:top w:val="nil"/>
            </w:tcBorders>
          </w:tcPr>
          <w:p>
            <w:pPr>
              <w:rPr>
                <w:rFonts w:ascii="Arial"/>
                <w:sz w:val="21"/>
              </w:rPr>
            </w:pPr>
            <w:r/>
          </w:p>
        </w:tc>
        <w:tc>
          <w:tcPr>
            <w:tcW w:w="2777" w:type="dxa"/>
            <w:vAlign w:val="top"/>
          </w:tcPr>
          <w:p>
            <w:pPr>
              <w:pStyle w:val="TableText"/>
              <w:ind w:left="12"/>
              <w:spacing w:before="37" w:line="219" w:lineRule="auto"/>
              <w:rPr>
                <w:sz w:val="21"/>
                <w:szCs w:val="21"/>
              </w:rPr>
            </w:pPr>
            <w:r>
              <w:rPr>
                <w:sz w:val="21"/>
                <w:szCs w:val="21"/>
                <w:spacing w:val="1"/>
              </w:rPr>
              <w:t>3、优化工业布局</w:t>
            </w:r>
          </w:p>
          <w:p>
            <w:pPr>
              <w:pStyle w:val="TableText"/>
              <w:ind w:left="12"/>
              <w:spacing w:before="21" w:line="217" w:lineRule="auto"/>
              <w:rPr>
                <w:sz w:val="21"/>
                <w:szCs w:val="21"/>
              </w:rPr>
            </w:pPr>
            <w:r>
              <w:rPr>
                <w:sz w:val="21"/>
                <w:szCs w:val="21"/>
                <w:spacing w:val="-1"/>
              </w:rPr>
              <w:t>对后续新引入的污染类企业，</w:t>
            </w:r>
          </w:p>
        </w:tc>
        <w:tc>
          <w:tcPr>
            <w:tcW w:w="3915" w:type="dxa"/>
            <w:vAlign w:val="top"/>
          </w:tcPr>
          <w:p>
            <w:pPr>
              <w:pStyle w:val="TableText"/>
              <w:ind w:left="14" w:right="85"/>
              <w:spacing w:before="38" w:line="227" w:lineRule="auto"/>
              <w:rPr>
                <w:sz w:val="21"/>
                <w:szCs w:val="21"/>
              </w:rPr>
            </w:pPr>
            <w:r>
              <w:rPr>
                <w:sz w:val="21"/>
                <w:szCs w:val="21"/>
                <w:spacing w:val="1"/>
              </w:rPr>
              <w:t>本项目位于四川绵阳安州工业园区内，周</w:t>
            </w:r>
            <w:r>
              <w:rPr>
                <w:sz w:val="21"/>
                <w:szCs w:val="21"/>
                <w:spacing w:val="5"/>
              </w:rPr>
              <w:t xml:space="preserve"> </w:t>
            </w:r>
            <w:r>
              <w:rPr>
                <w:sz w:val="21"/>
                <w:szCs w:val="21"/>
                <w:spacing w:val="-1"/>
              </w:rPr>
              <w:t>边主要以食品加工企业为主，最近环境敏</w:t>
            </w:r>
          </w:p>
        </w:tc>
        <w:tc>
          <w:tcPr>
            <w:tcW w:w="684" w:type="dxa"/>
            <w:vAlign w:val="top"/>
          </w:tcPr>
          <w:p>
            <w:pPr>
              <w:pStyle w:val="TableText"/>
              <w:ind w:left="179"/>
              <w:spacing w:before="188" w:line="219" w:lineRule="auto"/>
              <w:rPr>
                <w:sz w:val="21"/>
                <w:szCs w:val="21"/>
              </w:rPr>
            </w:pPr>
            <w:r>
              <w:rPr>
                <w:sz w:val="21"/>
                <w:szCs w:val="21"/>
                <w:spacing w:val="-3"/>
              </w:rPr>
              <w:t>符合</w:t>
            </w:r>
          </w:p>
        </w:tc>
      </w:tr>
    </w:tbl>
    <w:p>
      <w:pPr>
        <w:pStyle w:val="BodyText"/>
        <w:rPr/>
      </w:pPr>
      <w:r/>
    </w:p>
    <w:p>
      <w:pPr>
        <w:sectPr>
          <w:headerReference w:type="default" r:id="rId46"/>
          <w:footerReference w:type="default" r:id="rId47"/>
          <w:pgSz w:w="11910" w:h="16840"/>
          <w:pgMar w:top="1167" w:right="1725" w:bottom="983" w:left="1665" w:header="874" w:footer="736" w:gutter="0"/>
        </w:sectPr>
        <w:rPr/>
      </w:pPr>
    </w:p>
    <w:p>
      <w:pPr>
        <w:spacing w:before="36"/>
        <w:rPr/>
      </w:pPr>
      <w:r/>
    </w:p>
    <w:tbl>
      <w:tblPr>
        <w:tblStyle w:val="TableNormal"/>
        <w:tblW w:w="8519" w:type="dxa"/>
        <w:tblInd w:w="14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74"/>
        <w:gridCol w:w="459"/>
        <w:gridCol w:w="2777"/>
        <w:gridCol w:w="3905"/>
        <w:gridCol w:w="704"/>
      </w:tblGrid>
      <w:tr>
        <w:trPr>
          <w:trHeight w:val="554" w:hRule="atLeast"/>
        </w:trPr>
        <w:tc>
          <w:tcPr>
            <w:shd w:val="clear" w:fill="BEBEBE"/>
            <w:tcW w:w="3910" w:type="dxa"/>
            <w:vAlign w:val="top"/>
            <w:gridSpan w:val="3"/>
          </w:tcPr>
          <w:p>
            <w:pPr>
              <w:pStyle w:val="TableText"/>
              <w:ind w:left="1527" w:right="57" w:hanging="1469"/>
              <w:spacing w:before="38" w:line="222" w:lineRule="auto"/>
              <w:rPr>
                <w:sz w:val="21"/>
                <w:szCs w:val="21"/>
              </w:rPr>
            </w:pPr>
            <w:r>
              <w:rPr>
                <w:sz w:val="21"/>
                <w:szCs w:val="21"/>
                <w:b/>
                <w:bCs/>
                <w:spacing w:val="-2"/>
              </w:rPr>
              <w:t>四川绵阳安州工业园区规划环境影响跟踪</w:t>
            </w:r>
            <w:r>
              <w:rPr>
                <w:sz w:val="21"/>
                <w:szCs w:val="21"/>
              </w:rPr>
              <w:t xml:space="preserve"> </w:t>
            </w:r>
            <w:r>
              <w:rPr>
                <w:sz w:val="21"/>
                <w:szCs w:val="21"/>
                <w:b/>
                <w:bCs/>
                <w:spacing w:val="-4"/>
              </w:rPr>
              <w:t>评价要求</w:t>
            </w:r>
          </w:p>
        </w:tc>
        <w:tc>
          <w:tcPr>
            <w:shd w:val="clear" w:fill="BEBEBE"/>
            <w:tcW w:w="3905" w:type="dxa"/>
            <w:vAlign w:val="top"/>
          </w:tcPr>
          <w:p>
            <w:pPr>
              <w:pStyle w:val="TableText"/>
              <w:ind w:left="1417"/>
              <w:spacing w:before="169" w:line="219" w:lineRule="auto"/>
              <w:rPr>
                <w:sz w:val="21"/>
                <w:szCs w:val="21"/>
              </w:rPr>
            </w:pPr>
            <w:r>
              <w:rPr>
                <w:sz w:val="21"/>
                <w:szCs w:val="21"/>
                <w:b/>
                <w:bCs/>
                <w:spacing w:val="-4"/>
              </w:rPr>
              <w:t>本项目情况</w:t>
            </w:r>
          </w:p>
        </w:tc>
        <w:tc>
          <w:tcPr>
            <w:shd w:val="clear" w:fill="BEBEBE"/>
            <w:tcW w:w="704" w:type="dxa"/>
            <w:vAlign w:val="top"/>
          </w:tcPr>
          <w:p>
            <w:pPr>
              <w:pStyle w:val="TableText"/>
              <w:ind w:left="43"/>
              <w:spacing w:before="170" w:line="219" w:lineRule="auto"/>
              <w:rPr>
                <w:sz w:val="21"/>
                <w:szCs w:val="21"/>
              </w:rPr>
            </w:pPr>
            <w:r>
              <w:rPr>
                <w:sz w:val="21"/>
                <w:szCs w:val="21"/>
                <w:b/>
                <w:bCs/>
                <w:spacing w:val="-5"/>
              </w:rPr>
              <w:t>符合性</w:t>
            </w:r>
          </w:p>
        </w:tc>
      </w:tr>
      <w:tr>
        <w:trPr>
          <w:trHeight w:val="4356" w:hRule="atLeast"/>
        </w:trPr>
        <w:tc>
          <w:tcPr>
            <w:tcW w:w="674" w:type="dxa"/>
            <w:vAlign w:val="top"/>
          </w:tcPr>
          <w:p>
            <w:pPr>
              <w:rPr>
                <w:rFonts w:ascii="Arial"/>
                <w:sz w:val="21"/>
              </w:rPr>
            </w:pPr>
            <w:r/>
          </w:p>
        </w:tc>
        <w:tc>
          <w:tcPr>
            <w:tcW w:w="459" w:type="dxa"/>
            <w:vAlign w:val="top"/>
          </w:tcPr>
          <w:p>
            <w:pPr>
              <w:rPr>
                <w:rFonts w:ascii="Arial"/>
                <w:sz w:val="21"/>
              </w:rPr>
            </w:pPr>
            <w:r/>
          </w:p>
        </w:tc>
        <w:tc>
          <w:tcPr>
            <w:tcW w:w="2777" w:type="dxa"/>
            <w:vAlign w:val="top"/>
          </w:tcPr>
          <w:p>
            <w:pPr>
              <w:pStyle w:val="TableText"/>
              <w:ind w:left="15" w:right="30"/>
              <w:spacing w:before="28" w:line="238" w:lineRule="auto"/>
              <w:rPr>
                <w:sz w:val="21"/>
                <w:szCs w:val="21"/>
              </w:rPr>
            </w:pPr>
            <w:r>
              <w:rPr>
                <w:sz w:val="21"/>
                <w:szCs w:val="21"/>
                <w:b/>
                <w:bCs/>
                <w:spacing w:val="-3"/>
              </w:rPr>
              <w:t>严把产业门槛，加强选址合理</w:t>
            </w:r>
            <w:r>
              <w:rPr>
                <w:sz w:val="21"/>
                <w:szCs w:val="21"/>
              </w:rPr>
              <w:t xml:space="preserve"> </w:t>
            </w:r>
            <w:r>
              <w:rPr>
                <w:sz w:val="21"/>
                <w:szCs w:val="21"/>
                <w:b/>
                <w:bCs/>
                <w:spacing w:val="-4"/>
              </w:rPr>
              <w:t>性论证，企业选址须充分考虑</w:t>
            </w:r>
            <w:r>
              <w:rPr>
                <w:sz w:val="21"/>
                <w:szCs w:val="21"/>
                <w:spacing w:val="11"/>
              </w:rPr>
              <w:t xml:space="preserve"> </w:t>
            </w:r>
            <w:r>
              <w:rPr>
                <w:sz w:val="21"/>
                <w:szCs w:val="21"/>
                <w:b/>
                <w:bCs/>
                <w:spacing w:val="-4"/>
              </w:rPr>
              <w:t>企业类型，污染特征及外环境</w:t>
            </w:r>
            <w:r>
              <w:rPr>
                <w:sz w:val="21"/>
                <w:szCs w:val="21"/>
                <w:spacing w:val="10"/>
              </w:rPr>
              <w:t xml:space="preserve"> </w:t>
            </w:r>
            <w:r>
              <w:rPr>
                <w:sz w:val="21"/>
                <w:szCs w:val="21"/>
                <w:b/>
                <w:bCs/>
                <w:spacing w:val="-2"/>
              </w:rPr>
              <w:t>因素，避免企业形成交叉污</w:t>
            </w:r>
          </w:p>
          <w:p>
            <w:pPr>
              <w:pStyle w:val="TableText"/>
              <w:ind w:left="15"/>
              <w:spacing w:before="6" w:line="220" w:lineRule="auto"/>
              <w:rPr>
                <w:sz w:val="21"/>
                <w:szCs w:val="21"/>
              </w:rPr>
            </w:pPr>
            <w:r>
              <w:rPr>
                <w:sz w:val="21"/>
                <w:szCs w:val="21"/>
                <w:b/>
                <w:bCs/>
                <w:spacing w:val="-4"/>
              </w:rPr>
              <w:t>染，必要时设置卫生防护距</w:t>
            </w:r>
          </w:p>
          <w:p>
            <w:pPr>
              <w:pStyle w:val="TableText"/>
              <w:ind w:left="64" w:hanging="49"/>
              <w:spacing w:before="9" w:line="248" w:lineRule="auto"/>
              <w:rPr>
                <w:sz w:val="21"/>
                <w:szCs w:val="21"/>
              </w:rPr>
            </w:pPr>
            <w:r>
              <w:rPr>
                <w:sz w:val="21"/>
                <w:szCs w:val="21"/>
                <w:b/>
                <w:bCs/>
                <w:spacing w:val="-6"/>
              </w:rPr>
              <w:t>离，并且在园区生产空间与生</w:t>
            </w:r>
            <w:r>
              <w:rPr>
                <w:sz w:val="21"/>
                <w:szCs w:val="21"/>
                <w:spacing w:val="10"/>
              </w:rPr>
              <w:t xml:space="preserve"> </w:t>
            </w:r>
            <w:r>
              <w:rPr>
                <w:sz w:val="21"/>
                <w:szCs w:val="21"/>
                <w:b/>
                <w:bCs/>
                <w:spacing w:val="-5"/>
              </w:rPr>
              <w:t>活空间之间设置隔离绿化带。</w:t>
            </w:r>
          </w:p>
        </w:tc>
        <w:tc>
          <w:tcPr>
            <w:tcW w:w="3905" w:type="dxa"/>
            <w:vAlign w:val="top"/>
          </w:tcPr>
          <w:p>
            <w:pPr>
              <w:pStyle w:val="TableText"/>
              <w:ind w:left="14"/>
              <w:spacing w:before="28" w:line="219" w:lineRule="auto"/>
              <w:rPr>
                <w:sz w:val="21"/>
                <w:szCs w:val="21"/>
              </w:rPr>
            </w:pPr>
            <w:r>
              <w:rPr>
                <w:sz w:val="21"/>
                <w:szCs w:val="21"/>
                <w:spacing w:val="1"/>
              </w:rPr>
              <w:t>感目标为东侧180m处安州区高级职业中</w:t>
            </w:r>
          </w:p>
          <w:p>
            <w:pPr>
              <w:pStyle w:val="TableText"/>
              <w:ind w:left="14"/>
              <w:spacing w:before="30" w:line="219" w:lineRule="auto"/>
              <w:rPr>
                <w:sz w:val="21"/>
                <w:szCs w:val="21"/>
              </w:rPr>
            </w:pPr>
            <w:r>
              <w:rPr>
                <w:sz w:val="21"/>
                <w:szCs w:val="21"/>
              </w:rPr>
              <w:t>学以及北侧500m处前进村，根据绵阳市</w:t>
            </w:r>
          </w:p>
          <w:p>
            <w:pPr>
              <w:pStyle w:val="TableText"/>
              <w:ind w:left="14" w:right="91"/>
              <w:spacing w:before="9" w:line="238" w:lineRule="auto"/>
              <w:rPr>
                <w:sz w:val="21"/>
                <w:szCs w:val="21"/>
              </w:rPr>
            </w:pPr>
            <w:r>
              <w:rPr>
                <w:sz w:val="21"/>
                <w:szCs w:val="21"/>
              </w:rPr>
              <w:t>安州区气象局绘制花芗镇近三年夏季风玫</w:t>
            </w:r>
            <w:r>
              <w:rPr>
                <w:sz w:val="21"/>
                <w:szCs w:val="21"/>
                <w:spacing w:val="7"/>
              </w:rPr>
              <w:t xml:space="preserve"> </w:t>
            </w:r>
            <w:r>
              <w:rPr>
                <w:sz w:val="21"/>
                <w:szCs w:val="21"/>
                <w:spacing w:val="-1"/>
              </w:rPr>
              <w:t>瑰图以及近三年风玫瑰图，风向最大频率</w:t>
            </w:r>
            <w:r>
              <w:rPr>
                <w:sz w:val="21"/>
                <w:szCs w:val="21"/>
                <w:spacing w:val="7"/>
              </w:rPr>
              <w:t xml:space="preserve"> </w:t>
            </w:r>
            <w:r>
              <w:rPr>
                <w:sz w:val="21"/>
                <w:szCs w:val="21"/>
              </w:rPr>
              <w:t>均为NNW(见附件),本项目位于城市居</w:t>
            </w:r>
          </w:p>
          <w:p>
            <w:pPr>
              <w:pStyle w:val="TableText"/>
              <w:ind w:left="14" w:right="107"/>
              <w:spacing w:before="1" w:line="241" w:lineRule="auto"/>
              <w:rPr>
                <w:sz w:val="21"/>
                <w:szCs w:val="21"/>
              </w:rPr>
            </w:pPr>
            <w:r>
              <w:rPr>
                <w:sz w:val="21"/>
                <w:szCs w:val="21"/>
                <w:spacing w:val="-1"/>
              </w:rPr>
              <w:t>住区风向最大频率的侧风向，同时，污水</w:t>
            </w:r>
            <w:r>
              <w:rPr>
                <w:sz w:val="21"/>
                <w:szCs w:val="21"/>
                <w:spacing w:val="9"/>
              </w:rPr>
              <w:t xml:space="preserve"> </w:t>
            </w:r>
            <w:r>
              <w:rPr>
                <w:sz w:val="21"/>
                <w:szCs w:val="21"/>
                <w:spacing w:val="5"/>
              </w:rPr>
              <w:t>处理站以及</w:t>
            </w:r>
            <w:r>
              <w:rPr>
                <w:sz w:val="21"/>
                <w:szCs w:val="21"/>
              </w:rPr>
              <w:t>DA</w:t>
            </w:r>
            <w:r>
              <w:rPr>
                <w:sz w:val="21"/>
                <w:szCs w:val="21"/>
                <w:spacing w:val="5"/>
              </w:rPr>
              <w:t>001、</w:t>
            </w:r>
            <w:r>
              <w:rPr>
                <w:sz w:val="21"/>
                <w:szCs w:val="21"/>
              </w:rPr>
              <w:t>DA</w:t>
            </w:r>
            <w:r>
              <w:rPr>
                <w:sz w:val="21"/>
                <w:szCs w:val="21"/>
                <w:spacing w:val="5"/>
              </w:rPr>
              <w:t>002、</w:t>
            </w:r>
            <w:r>
              <w:rPr>
                <w:sz w:val="21"/>
                <w:szCs w:val="21"/>
              </w:rPr>
              <w:t>DA</w:t>
            </w:r>
            <w:r>
              <w:rPr>
                <w:sz w:val="21"/>
                <w:szCs w:val="21"/>
                <w:spacing w:val="5"/>
              </w:rPr>
              <w:t>003、</w:t>
            </w:r>
          </w:p>
          <w:p>
            <w:pPr>
              <w:pStyle w:val="TableText"/>
              <w:ind w:left="14" w:right="90"/>
              <w:spacing w:before="5" w:line="241" w:lineRule="auto"/>
              <w:rPr>
                <w:sz w:val="21"/>
                <w:szCs w:val="21"/>
              </w:rPr>
            </w:pPr>
            <w:r>
              <w:rPr>
                <w:sz w:val="21"/>
                <w:szCs w:val="21"/>
                <w:spacing w:val="-1"/>
              </w:rPr>
              <w:t>DA004排气筒均设置在厂区内西北侧，远</w:t>
            </w:r>
            <w:r>
              <w:rPr>
                <w:sz w:val="21"/>
                <w:szCs w:val="21"/>
                <w:spacing w:val="7"/>
              </w:rPr>
              <w:t xml:space="preserve">  </w:t>
            </w:r>
            <w:r>
              <w:rPr>
                <w:sz w:val="21"/>
                <w:szCs w:val="21"/>
              </w:rPr>
              <w:t>离厂区外东侧、北侧敏感目标，对外环境</w:t>
            </w:r>
            <w:r>
              <w:rPr>
                <w:sz w:val="21"/>
                <w:szCs w:val="21"/>
                <w:spacing w:val="8"/>
              </w:rPr>
              <w:t xml:space="preserve"> </w:t>
            </w:r>
            <w:r>
              <w:rPr>
                <w:sz w:val="21"/>
                <w:szCs w:val="21"/>
                <w:spacing w:val="-1"/>
              </w:rPr>
              <w:t>影响较小。项目以生猪待宰圈舍、屠宰车</w:t>
            </w:r>
            <w:r>
              <w:rPr>
                <w:sz w:val="21"/>
                <w:szCs w:val="21"/>
                <w:spacing w:val="8"/>
              </w:rPr>
              <w:t xml:space="preserve"> </w:t>
            </w:r>
            <w:r>
              <w:rPr>
                <w:sz w:val="21"/>
                <w:szCs w:val="21"/>
              </w:rPr>
              <w:t>间以及肉牛待宰圈舍、屠宰车间和污水</w:t>
            </w:r>
          </w:p>
          <w:p>
            <w:pPr>
              <w:pStyle w:val="TableText"/>
              <w:ind w:left="14" w:right="525"/>
              <w:spacing w:before="2" w:line="236" w:lineRule="auto"/>
              <w:rPr>
                <w:sz w:val="21"/>
                <w:szCs w:val="21"/>
              </w:rPr>
            </w:pPr>
            <w:r>
              <w:rPr>
                <w:sz w:val="21"/>
                <w:szCs w:val="21"/>
                <w:spacing w:val="5"/>
              </w:rPr>
              <w:t>处理站边界为起点，分别设置50m、</w:t>
            </w:r>
            <w:r>
              <w:rPr>
                <w:sz w:val="21"/>
                <w:szCs w:val="21"/>
                <w:spacing w:val="13"/>
              </w:rPr>
              <w:t xml:space="preserve"> </w:t>
            </w:r>
            <w:r>
              <w:rPr>
                <w:sz w:val="21"/>
                <w:szCs w:val="21"/>
                <w:spacing w:val="-1"/>
              </w:rPr>
              <w:t>50m、50m、50m、100m的卫生防护距</w:t>
            </w:r>
          </w:p>
          <w:p>
            <w:pPr>
              <w:pStyle w:val="TableText"/>
              <w:ind w:left="14" w:right="79"/>
              <w:spacing w:before="2" w:line="227" w:lineRule="auto"/>
              <w:rPr>
                <w:sz w:val="21"/>
                <w:szCs w:val="21"/>
              </w:rPr>
            </w:pPr>
            <w:r>
              <w:rPr>
                <w:sz w:val="21"/>
                <w:szCs w:val="21"/>
                <w:spacing w:val="-1"/>
              </w:rPr>
              <w:t>离，卫生防护距离范围内无居民等环境保</w:t>
            </w:r>
            <w:r>
              <w:rPr>
                <w:sz w:val="21"/>
                <w:szCs w:val="21"/>
                <w:spacing w:val="5"/>
              </w:rPr>
              <w:t xml:space="preserve"> </w:t>
            </w:r>
            <w:r>
              <w:rPr>
                <w:sz w:val="21"/>
                <w:szCs w:val="21"/>
                <w:spacing w:val="1"/>
              </w:rPr>
              <w:t>护目标，并且在厂区四周与生活空间之间 </w:t>
            </w:r>
            <w:r>
              <w:rPr>
                <w:sz w:val="21"/>
                <w:szCs w:val="21"/>
                <w:spacing w:val="-1"/>
              </w:rPr>
              <w:t>设置隔离绿化带。</w:t>
            </w:r>
          </w:p>
        </w:tc>
        <w:tc>
          <w:tcPr>
            <w:tcW w:w="704" w:type="dxa"/>
            <w:vAlign w:val="top"/>
          </w:tcPr>
          <w:p>
            <w:pPr>
              <w:rPr>
                <w:rFonts w:ascii="Arial"/>
                <w:sz w:val="21"/>
              </w:rPr>
            </w:pPr>
            <w:r/>
          </w:p>
        </w:tc>
      </w:tr>
    </w:tbl>
    <w:p>
      <w:pPr>
        <w:ind w:left="244" w:right="635" w:firstLine="500"/>
        <w:spacing w:before="61" w:line="374" w:lineRule="auto"/>
        <w:jc w:val="both"/>
        <w:rPr>
          <w:rFonts w:ascii="SimSun" w:hAnsi="SimSun" w:eastAsia="SimSun" w:cs="SimSun"/>
          <w:sz w:val="24"/>
          <w:szCs w:val="24"/>
        </w:rPr>
      </w:pPr>
      <w:r>
        <w:rPr>
          <w:rFonts w:ascii="SimSun" w:hAnsi="SimSun" w:eastAsia="SimSun" w:cs="SimSun"/>
          <w:sz w:val="24"/>
          <w:szCs w:val="24"/>
        </w:rPr>
        <w:t>本项目位于四川绵阳安州工业园区内，属于“C1</w:t>
      </w:r>
      <w:r>
        <w:rPr>
          <w:rFonts w:ascii="SimSun" w:hAnsi="SimSun" w:eastAsia="SimSun" w:cs="SimSun"/>
          <w:sz w:val="24"/>
          <w:szCs w:val="24"/>
          <w:spacing w:val="-1"/>
        </w:rPr>
        <w:t>351牲畜屠宰”,主要从</w:t>
      </w:r>
      <w:r>
        <w:rPr>
          <w:rFonts w:ascii="SimSun" w:hAnsi="SimSun" w:eastAsia="SimSun" w:cs="SimSun"/>
          <w:sz w:val="24"/>
          <w:szCs w:val="24"/>
        </w:rPr>
        <w:t xml:space="preserve"> </w:t>
      </w:r>
      <w:r>
        <w:rPr>
          <w:rFonts w:ascii="SimSun" w:hAnsi="SimSun" w:eastAsia="SimSun" w:cs="SimSun"/>
          <w:sz w:val="24"/>
          <w:szCs w:val="24"/>
        </w:rPr>
        <w:t>事生猪及肉牛屠宰、分割，运营期拟采取有效措施</w:t>
      </w:r>
      <w:r>
        <w:rPr>
          <w:rFonts w:ascii="SimSun" w:hAnsi="SimSun" w:eastAsia="SimSun" w:cs="SimSun"/>
          <w:sz w:val="24"/>
          <w:szCs w:val="24"/>
          <w:spacing w:val="-1"/>
        </w:rPr>
        <w:t>减缓对区域环境质量的影</w:t>
      </w:r>
      <w:r>
        <w:rPr>
          <w:rFonts w:ascii="SimSun" w:hAnsi="SimSun" w:eastAsia="SimSun" w:cs="SimSun"/>
          <w:sz w:val="24"/>
          <w:szCs w:val="24"/>
        </w:rPr>
        <w:t xml:space="preserve"> </w:t>
      </w:r>
      <w:r>
        <w:rPr>
          <w:rFonts w:ascii="SimSun" w:hAnsi="SimSun" w:eastAsia="SimSun" w:cs="SimSun"/>
          <w:sz w:val="24"/>
          <w:szCs w:val="24"/>
        </w:rPr>
        <w:t>响。因此，本项目满足四川绵阳安州工业园区规划</w:t>
      </w:r>
      <w:r>
        <w:rPr>
          <w:rFonts w:ascii="SimSun" w:hAnsi="SimSun" w:eastAsia="SimSun" w:cs="SimSun"/>
          <w:sz w:val="24"/>
          <w:szCs w:val="24"/>
          <w:spacing w:val="-1"/>
        </w:rPr>
        <w:t>环境影响跟踪评价要求。</w:t>
      </w:r>
    </w:p>
    <w:p>
      <w:pPr>
        <w:ind w:left="244"/>
        <w:spacing w:line="221" w:lineRule="auto"/>
        <w:rPr>
          <w:rFonts w:ascii="SimHei" w:hAnsi="SimHei" w:eastAsia="SimHei" w:cs="SimHei"/>
          <w:sz w:val="24"/>
          <w:szCs w:val="24"/>
        </w:rPr>
      </w:pPr>
      <w:r>
        <w:rPr>
          <w:rFonts w:ascii="Times New Roman" w:hAnsi="Times New Roman" w:eastAsia="Times New Roman" w:cs="Times New Roman"/>
          <w:sz w:val="24"/>
          <w:szCs w:val="24"/>
          <w:spacing w:val="24"/>
        </w:rPr>
        <w:t>1.</w:t>
      </w:r>
      <w:r>
        <w:rPr>
          <w:rFonts w:ascii="SimHei" w:hAnsi="SimHei" w:eastAsia="SimHei" w:cs="SimHei"/>
          <w:sz w:val="24"/>
          <w:szCs w:val="24"/>
          <w:b/>
          <w:bCs/>
          <w:spacing w:val="24"/>
        </w:rPr>
        <w:t>4</w:t>
      </w:r>
      <w:r>
        <w:rPr>
          <w:rFonts w:ascii="SimHei" w:hAnsi="SimHei" w:eastAsia="SimHei" w:cs="SimHei"/>
          <w:sz w:val="24"/>
          <w:szCs w:val="24"/>
          <w:spacing w:val="-51"/>
        </w:rPr>
        <w:t xml:space="preserve"> </w:t>
      </w:r>
      <w:r>
        <w:rPr>
          <w:rFonts w:ascii="SimHei" w:hAnsi="SimHei" w:eastAsia="SimHei" w:cs="SimHei"/>
          <w:sz w:val="24"/>
          <w:szCs w:val="24"/>
          <w:b/>
          <w:bCs/>
          <w:spacing w:val="24"/>
        </w:rPr>
        <w:t>.3与行业相关管理及规范符合性分析</w:t>
      </w:r>
    </w:p>
    <w:p>
      <w:pPr>
        <w:ind w:left="248" w:right="379" w:firstLine="490"/>
        <w:spacing w:before="201" w:line="358" w:lineRule="auto"/>
        <w:rPr>
          <w:rFonts w:ascii="SimSun" w:hAnsi="SimSun" w:eastAsia="SimSun" w:cs="SimSun"/>
          <w:sz w:val="24"/>
          <w:szCs w:val="24"/>
        </w:rPr>
      </w:pPr>
      <w:r>
        <w:rPr>
          <w:rFonts w:ascii="SimSun" w:hAnsi="SimSun" w:eastAsia="SimSun" w:cs="SimSun"/>
          <w:sz w:val="24"/>
          <w:szCs w:val="24"/>
          <w:b/>
          <w:bCs/>
          <w:spacing w:val="5"/>
        </w:rPr>
        <w:t>1、与《生猪屠宰管理条例》(中华人民共和国国务院令第742</w:t>
      </w:r>
      <w:r>
        <w:rPr>
          <w:rFonts w:ascii="SimSun" w:hAnsi="SimSun" w:eastAsia="SimSun" w:cs="SimSun"/>
          <w:sz w:val="24"/>
          <w:szCs w:val="24"/>
          <w:b/>
          <w:bCs/>
          <w:spacing w:val="4"/>
        </w:rPr>
        <w:t>号)符合性</w:t>
      </w:r>
      <w:r>
        <w:rPr>
          <w:rFonts w:ascii="SimSun" w:hAnsi="SimSun" w:eastAsia="SimSun" w:cs="SimSun"/>
          <w:sz w:val="24"/>
          <w:szCs w:val="24"/>
        </w:rPr>
        <w:t xml:space="preserve"> </w:t>
      </w:r>
      <w:r>
        <w:rPr>
          <w:rFonts w:ascii="SimSun" w:hAnsi="SimSun" w:eastAsia="SimSun" w:cs="SimSun"/>
          <w:sz w:val="24"/>
          <w:szCs w:val="24"/>
          <w:b/>
          <w:bCs/>
          <w:spacing w:val="4"/>
        </w:rPr>
        <w:t>分析</w:t>
      </w:r>
    </w:p>
    <w:p>
      <w:pPr>
        <w:ind w:left="244" w:right="244" w:firstLine="500"/>
        <w:spacing w:before="4" w:line="360" w:lineRule="auto"/>
        <w:rPr>
          <w:rFonts w:ascii="SimSun" w:hAnsi="SimSun" w:eastAsia="SimSun" w:cs="SimSun"/>
          <w:sz w:val="24"/>
          <w:szCs w:val="24"/>
        </w:rPr>
      </w:pPr>
      <w:r>
        <w:rPr>
          <w:rFonts w:ascii="SimSun" w:hAnsi="SimSun" w:eastAsia="SimSun" w:cs="SimSun"/>
          <w:sz w:val="24"/>
          <w:szCs w:val="24"/>
          <w:spacing w:val="4"/>
        </w:rPr>
        <w:t>为了加强生猪屠宰管理，保证生猪产品质量安全，保障人民身体健康，制</w:t>
      </w:r>
      <w:r>
        <w:rPr>
          <w:rFonts w:ascii="SimSun" w:hAnsi="SimSun" w:eastAsia="SimSun" w:cs="SimSun"/>
          <w:sz w:val="24"/>
          <w:szCs w:val="24"/>
          <w:spacing w:val="11"/>
        </w:rPr>
        <w:t xml:space="preserve"> </w:t>
      </w:r>
      <w:r>
        <w:rPr>
          <w:rFonts w:ascii="SimSun" w:hAnsi="SimSun" w:eastAsia="SimSun" w:cs="SimSun"/>
          <w:sz w:val="24"/>
          <w:szCs w:val="24"/>
          <w:spacing w:val="-3"/>
        </w:rPr>
        <w:t>定本条例，2021年8月1日施行修订版。</w:t>
      </w:r>
    </w:p>
    <w:p>
      <w:pPr>
        <w:ind w:left="2008"/>
        <w:spacing w:before="1" w:line="214" w:lineRule="auto"/>
        <w:rPr>
          <w:rFonts w:ascii="SimSun" w:hAnsi="SimSun" w:eastAsia="SimSun" w:cs="SimSun"/>
          <w:sz w:val="24"/>
          <w:szCs w:val="24"/>
        </w:rPr>
      </w:pPr>
      <w:r>
        <w:rPr>
          <w:rFonts w:ascii="SimSun" w:hAnsi="SimSun" w:eastAsia="SimSun" w:cs="SimSun"/>
          <w:sz w:val="24"/>
          <w:szCs w:val="24"/>
          <w:b/>
          <w:bCs/>
          <w:spacing w:val="-3"/>
        </w:rPr>
        <w:t>表1.4-4本项目与《生猪屠宰管理条例》符合性分析</w:t>
      </w:r>
    </w:p>
    <w:tbl>
      <w:tblPr>
        <w:tblStyle w:val="TableNormal"/>
        <w:tblW w:w="880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74"/>
        <w:gridCol w:w="4135"/>
        <w:gridCol w:w="3077"/>
        <w:gridCol w:w="714"/>
      </w:tblGrid>
      <w:tr>
        <w:trPr>
          <w:trHeight w:val="295" w:hRule="atLeast"/>
        </w:trPr>
        <w:tc>
          <w:tcPr>
            <w:shd w:val="clear" w:fill="BDBDBD"/>
            <w:tcW w:w="5009" w:type="dxa"/>
            <w:vAlign w:val="top"/>
            <w:gridSpan w:val="2"/>
          </w:tcPr>
          <w:p>
            <w:pPr>
              <w:pStyle w:val="TableText"/>
              <w:ind w:left="1243"/>
              <w:spacing w:before="40" w:line="215" w:lineRule="auto"/>
              <w:rPr>
                <w:sz w:val="21"/>
                <w:szCs w:val="21"/>
              </w:rPr>
            </w:pPr>
            <w:r>
              <w:rPr>
                <w:sz w:val="21"/>
                <w:szCs w:val="21"/>
                <w:b/>
                <w:bCs/>
                <w:spacing w:val="-4"/>
              </w:rPr>
              <w:t>《生猪屠宰管理条例》要求</w:t>
            </w:r>
          </w:p>
        </w:tc>
        <w:tc>
          <w:tcPr>
            <w:shd w:val="clear" w:fill="BDBDBD"/>
            <w:tcW w:w="3077" w:type="dxa"/>
            <w:vAlign w:val="top"/>
          </w:tcPr>
          <w:p>
            <w:pPr>
              <w:pStyle w:val="TableText"/>
              <w:ind w:left="999"/>
              <w:spacing w:before="39" w:line="216" w:lineRule="auto"/>
              <w:rPr>
                <w:sz w:val="21"/>
                <w:szCs w:val="21"/>
              </w:rPr>
            </w:pPr>
            <w:r>
              <w:rPr>
                <w:sz w:val="21"/>
                <w:szCs w:val="21"/>
                <w:b/>
                <w:bCs/>
                <w:spacing w:val="-4"/>
              </w:rPr>
              <w:t>本项目情况</w:t>
            </w:r>
          </w:p>
        </w:tc>
        <w:tc>
          <w:tcPr>
            <w:shd w:val="clear" w:fill="BDBDBD"/>
            <w:tcW w:w="714" w:type="dxa"/>
            <w:vAlign w:val="top"/>
          </w:tcPr>
          <w:p>
            <w:pPr>
              <w:pStyle w:val="TableText"/>
              <w:ind w:left="42"/>
              <w:spacing w:before="40" w:line="215" w:lineRule="auto"/>
              <w:rPr>
                <w:sz w:val="21"/>
                <w:szCs w:val="21"/>
              </w:rPr>
            </w:pPr>
            <w:r>
              <w:rPr>
                <w:sz w:val="21"/>
                <w:szCs w:val="21"/>
                <w:b/>
                <w:bCs/>
                <w:spacing w:val="-5"/>
              </w:rPr>
              <w:t>符合性</w:t>
            </w:r>
          </w:p>
        </w:tc>
      </w:tr>
      <w:tr>
        <w:trPr>
          <w:trHeight w:val="539" w:hRule="atLeast"/>
        </w:trPr>
        <w:tc>
          <w:tcPr>
            <w:tcW w:w="874" w:type="dxa"/>
            <w:vAlign w:val="top"/>
            <w:vMerge w:val="restart"/>
            <w:tcBorders>
              <w:bottom w:val="nil"/>
            </w:tcBorders>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pStyle w:val="TableText"/>
              <w:ind w:left="5"/>
              <w:spacing w:before="69" w:line="219" w:lineRule="auto"/>
              <w:rPr>
                <w:sz w:val="21"/>
                <w:szCs w:val="21"/>
              </w:rPr>
            </w:pPr>
            <w:r>
              <w:rPr>
                <w:sz w:val="21"/>
                <w:szCs w:val="21"/>
                <w:spacing w:val="-3"/>
              </w:rPr>
              <w:t>第十一条</w:t>
            </w:r>
          </w:p>
          <w:p>
            <w:pPr>
              <w:pStyle w:val="TableText"/>
              <w:spacing w:before="21" w:line="220" w:lineRule="auto"/>
              <w:jc w:val="right"/>
              <w:rPr>
                <w:sz w:val="21"/>
                <w:szCs w:val="21"/>
              </w:rPr>
            </w:pPr>
            <w:r>
              <w:rPr>
                <w:sz w:val="21"/>
                <w:szCs w:val="21"/>
                <w:spacing w:val="4"/>
              </w:rPr>
              <w:t>生猪定点</w:t>
            </w:r>
          </w:p>
          <w:p>
            <w:pPr>
              <w:pStyle w:val="TableText"/>
              <w:ind w:left="115"/>
              <w:spacing w:before="9" w:line="219" w:lineRule="auto"/>
              <w:rPr>
                <w:sz w:val="21"/>
                <w:szCs w:val="21"/>
              </w:rPr>
            </w:pPr>
            <w:r>
              <w:rPr>
                <w:sz w:val="21"/>
                <w:szCs w:val="21"/>
                <w:spacing w:val="4"/>
              </w:rPr>
              <w:t>屠宰厂</w:t>
            </w:r>
          </w:p>
          <w:p>
            <w:pPr>
              <w:pStyle w:val="TableText"/>
              <w:ind w:left="115"/>
              <w:spacing w:before="31" w:line="220" w:lineRule="auto"/>
              <w:rPr>
                <w:sz w:val="21"/>
                <w:szCs w:val="21"/>
              </w:rPr>
            </w:pPr>
            <w:r>
              <w:rPr>
                <w:sz w:val="21"/>
                <w:szCs w:val="21"/>
                <w:spacing w:val="2"/>
              </w:rPr>
              <w:t>(场)应</w:t>
            </w:r>
          </w:p>
          <w:p>
            <w:pPr>
              <w:pStyle w:val="TableText"/>
              <w:ind w:left="5"/>
              <w:spacing w:before="30" w:line="221" w:lineRule="auto"/>
              <w:rPr>
                <w:sz w:val="21"/>
                <w:szCs w:val="21"/>
              </w:rPr>
            </w:pPr>
            <w:r>
              <w:rPr>
                <w:sz w:val="21"/>
                <w:szCs w:val="21"/>
                <w:spacing w:val="4"/>
              </w:rPr>
              <w:t>当具备的</w:t>
            </w:r>
          </w:p>
          <w:p>
            <w:pPr>
              <w:pStyle w:val="TableText"/>
              <w:ind w:left="214"/>
              <w:spacing w:before="7" w:line="219" w:lineRule="auto"/>
              <w:rPr>
                <w:sz w:val="21"/>
                <w:szCs w:val="21"/>
              </w:rPr>
            </w:pPr>
            <w:r>
              <w:rPr>
                <w:sz w:val="21"/>
                <w:szCs w:val="21"/>
                <w:spacing w:val="-3"/>
              </w:rPr>
              <w:t>条件</w:t>
            </w:r>
          </w:p>
        </w:tc>
        <w:tc>
          <w:tcPr>
            <w:tcW w:w="4135" w:type="dxa"/>
            <w:vAlign w:val="top"/>
          </w:tcPr>
          <w:p>
            <w:pPr>
              <w:pStyle w:val="TableText"/>
              <w:ind w:left="11" w:right="251" w:firstLine="70"/>
              <w:spacing w:before="19" w:line="224" w:lineRule="auto"/>
              <w:rPr>
                <w:sz w:val="21"/>
                <w:szCs w:val="21"/>
              </w:rPr>
            </w:pPr>
            <w:r>
              <w:rPr>
                <w:sz w:val="21"/>
                <w:szCs w:val="21"/>
              </w:rPr>
              <w:t>(一)有与屠宰规模相适应、水质符合国家</w:t>
            </w:r>
            <w:r>
              <w:rPr>
                <w:sz w:val="21"/>
                <w:szCs w:val="21"/>
                <w:spacing w:val="11"/>
              </w:rPr>
              <w:t xml:space="preserve"> </w:t>
            </w:r>
            <w:r>
              <w:rPr>
                <w:sz w:val="21"/>
                <w:szCs w:val="21"/>
                <w:spacing w:val="10"/>
              </w:rPr>
              <w:t>规定标准的水源条件；</w:t>
            </w:r>
          </w:p>
        </w:tc>
        <w:tc>
          <w:tcPr>
            <w:tcW w:w="3077" w:type="dxa"/>
            <w:vAlign w:val="top"/>
          </w:tcPr>
          <w:p>
            <w:pPr>
              <w:pStyle w:val="TableText"/>
              <w:ind w:left="16" w:right="119"/>
              <w:spacing w:before="17" w:line="225" w:lineRule="auto"/>
              <w:rPr>
                <w:sz w:val="21"/>
                <w:szCs w:val="21"/>
              </w:rPr>
            </w:pPr>
            <w:r>
              <w:rPr>
                <w:sz w:val="21"/>
                <w:szCs w:val="21"/>
                <w:spacing w:val="-1"/>
              </w:rPr>
              <w:t>本项目采用市政用水，水质符合</w:t>
            </w:r>
            <w:r>
              <w:rPr>
                <w:sz w:val="21"/>
                <w:szCs w:val="21"/>
                <w:spacing w:val="3"/>
              </w:rPr>
              <w:t xml:space="preserve"> </w:t>
            </w:r>
            <w:r>
              <w:rPr>
                <w:sz w:val="21"/>
                <w:szCs w:val="21"/>
                <w:spacing w:val="-1"/>
              </w:rPr>
              <w:t>国家规定标准的水源条件。</w:t>
            </w:r>
          </w:p>
        </w:tc>
        <w:tc>
          <w:tcPr>
            <w:tcW w:w="714" w:type="dxa"/>
            <w:vAlign w:val="top"/>
            <w:vMerge w:val="restart"/>
            <w:tcBorders>
              <w:bottom w:val="nil"/>
            </w:tcBorders>
          </w:tcPr>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139"/>
              <w:spacing w:before="69" w:line="219" w:lineRule="auto"/>
              <w:rPr>
                <w:sz w:val="21"/>
                <w:szCs w:val="21"/>
              </w:rPr>
            </w:pPr>
            <w:r>
              <w:rPr>
                <w:sz w:val="21"/>
                <w:szCs w:val="21"/>
                <w:spacing w:val="-3"/>
              </w:rPr>
              <w:t>符合</w:t>
            </w:r>
          </w:p>
        </w:tc>
      </w:tr>
      <w:tr>
        <w:trPr>
          <w:trHeight w:val="818" w:hRule="atLeast"/>
        </w:trPr>
        <w:tc>
          <w:tcPr>
            <w:tcW w:w="874" w:type="dxa"/>
            <w:vAlign w:val="top"/>
            <w:vMerge w:val="continue"/>
            <w:tcBorders>
              <w:top w:val="nil"/>
              <w:bottom w:val="nil"/>
            </w:tcBorders>
          </w:tcPr>
          <w:p>
            <w:pPr>
              <w:rPr>
                <w:rFonts w:ascii="Arial"/>
                <w:sz w:val="21"/>
              </w:rPr>
            </w:pPr>
            <w:r/>
          </w:p>
        </w:tc>
        <w:tc>
          <w:tcPr>
            <w:tcW w:w="4135" w:type="dxa"/>
            <w:vAlign w:val="top"/>
          </w:tcPr>
          <w:p>
            <w:pPr>
              <w:pStyle w:val="TableText"/>
              <w:ind w:left="11" w:right="115" w:firstLine="70"/>
              <w:spacing w:before="29" w:line="228" w:lineRule="auto"/>
              <w:rPr>
                <w:sz w:val="21"/>
                <w:szCs w:val="21"/>
              </w:rPr>
            </w:pPr>
            <w:r>
              <w:rPr>
                <w:sz w:val="21"/>
                <w:szCs w:val="21"/>
              </w:rPr>
              <w:t>(二)有符合国家规定要求的待宰间、屠宰</w:t>
            </w:r>
            <w:r>
              <w:rPr>
                <w:sz w:val="21"/>
                <w:szCs w:val="21"/>
                <w:spacing w:val="7"/>
              </w:rPr>
              <w:t xml:space="preserve">  </w:t>
            </w:r>
            <w:r>
              <w:rPr>
                <w:sz w:val="21"/>
                <w:szCs w:val="21"/>
              </w:rPr>
              <w:t>间、急宰间、检验室以及生猪屠宰设备和运</w:t>
            </w:r>
            <w:r>
              <w:rPr>
                <w:sz w:val="21"/>
                <w:szCs w:val="21"/>
                <w:spacing w:val="7"/>
              </w:rPr>
              <w:t xml:space="preserve"> </w:t>
            </w:r>
            <w:r>
              <w:rPr>
                <w:sz w:val="21"/>
                <w:szCs w:val="21"/>
                <w:spacing w:val="24"/>
              </w:rPr>
              <w:t>载工具</w:t>
            </w:r>
            <w:r>
              <w:rPr>
                <w:sz w:val="21"/>
                <w:szCs w:val="21"/>
                <w:spacing w:val="-48"/>
              </w:rPr>
              <w:t xml:space="preserve"> </w:t>
            </w:r>
            <w:r>
              <w:rPr>
                <w:sz w:val="21"/>
                <w:szCs w:val="21"/>
                <w:spacing w:val="24"/>
              </w:rPr>
              <w:t>；</w:t>
            </w:r>
          </w:p>
        </w:tc>
        <w:tc>
          <w:tcPr>
            <w:tcW w:w="3077" w:type="dxa"/>
            <w:vAlign w:val="top"/>
          </w:tcPr>
          <w:p>
            <w:pPr>
              <w:pStyle w:val="TableText"/>
              <w:ind w:left="16" w:right="94"/>
              <w:spacing w:before="29" w:line="228" w:lineRule="auto"/>
              <w:jc w:val="both"/>
              <w:rPr>
                <w:sz w:val="21"/>
                <w:szCs w:val="21"/>
              </w:rPr>
            </w:pPr>
            <w:r>
              <w:rPr>
                <w:sz w:val="21"/>
                <w:szCs w:val="21"/>
                <w:spacing w:val="1"/>
              </w:rPr>
              <w:t>按要求设置待宰间、屠宰间急宰 </w:t>
            </w:r>
            <w:r>
              <w:rPr>
                <w:sz w:val="21"/>
                <w:szCs w:val="21"/>
              </w:rPr>
              <w:t>间、检验室及生猪屠宰设备和运</w:t>
            </w:r>
            <w:r>
              <w:rPr>
                <w:sz w:val="21"/>
                <w:szCs w:val="21"/>
                <w:spacing w:val="7"/>
              </w:rPr>
              <w:t xml:space="preserve"> </w:t>
            </w:r>
            <w:r>
              <w:rPr>
                <w:sz w:val="21"/>
                <w:szCs w:val="21"/>
                <w:spacing w:val="-2"/>
              </w:rPr>
              <w:t>载工。</w:t>
            </w:r>
          </w:p>
        </w:tc>
        <w:tc>
          <w:tcPr>
            <w:tcW w:w="714" w:type="dxa"/>
            <w:vAlign w:val="top"/>
            <w:vMerge w:val="continue"/>
            <w:tcBorders>
              <w:top w:val="nil"/>
              <w:bottom w:val="nil"/>
            </w:tcBorders>
          </w:tcPr>
          <w:p>
            <w:pPr>
              <w:rPr>
                <w:rFonts w:ascii="Arial"/>
                <w:sz w:val="21"/>
              </w:rPr>
            </w:pPr>
            <w:r/>
          </w:p>
        </w:tc>
      </w:tr>
      <w:tr>
        <w:trPr>
          <w:trHeight w:val="539" w:hRule="atLeast"/>
        </w:trPr>
        <w:tc>
          <w:tcPr>
            <w:tcW w:w="874" w:type="dxa"/>
            <w:vAlign w:val="top"/>
            <w:vMerge w:val="continue"/>
            <w:tcBorders>
              <w:top w:val="nil"/>
              <w:bottom w:val="nil"/>
            </w:tcBorders>
          </w:tcPr>
          <w:p>
            <w:pPr>
              <w:rPr>
                <w:rFonts w:ascii="Arial"/>
                <w:sz w:val="21"/>
              </w:rPr>
            </w:pPr>
            <w:r/>
          </w:p>
        </w:tc>
        <w:tc>
          <w:tcPr>
            <w:tcW w:w="4135" w:type="dxa"/>
            <w:vAlign w:val="top"/>
          </w:tcPr>
          <w:p>
            <w:pPr>
              <w:pStyle w:val="TableText"/>
              <w:ind w:left="11" w:right="535"/>
              <w:spacing w:before="30" w:line="219" w:lineRule="auto"/>
              <w:rPr>
                <w:sz w:val="21"/>
                <w:szCs w:val="21"/>
              </w:rPr>
            </w:pPr>
            <w:r>
              <w:rPr>
                <w:sz w:val="21"/>
                <w:szCs w:val="21"/>
              </w:rPr>
              <w:t>(三)有依法取得健康证明的屠宰技术人</w:t>
            </w:r>
            <w:r>
              <w:rPr>
                <w:sz w:val="21"/>
                <w:szCs w:val="21"/>
                <w:spacing w:val="7"/>
              </w:rPr>
              <w:t xml:space="preserve"> </w:t>
            </w:r>
            <w:r>
              <w:rPr>
                <w:sz w:val="21"/>
                <w:szCs w:val="21"/>
                <w:spacing w:val="-9"/>
              </w:rPr>
              <w:t>员</w:t>
            </w:r>
            <w:r>
              <w:rPr>
                <w:sz w:val="21"/>
                <w:szCs w:val="21"/>
                <w:spacing w:val="66"/>
              </w:rPr>
              <w:t xml:space="preserve"> </w:t>
            </w:r>
            <w:r>
              <w:rPr>
                <w:sz w:val="21"/>
                <w:szCs w:val="21"/>
                <w:spacing w:val="-9"/>
              </w:rPr>
              <w:t>；</w:t>
            </w:r>
          </w:p>
        </w:tc>
        <w:tc>
          <w:tcPr>
            <w:tcW w:w="3077" w:type="dxa"/>
            <w:vAlign w:val="top"/>
          </w:tcPr>
          <w:p>
            <w:pPr>
              <w:pStyle w:val="TableText"/>
              <w:ind w:left="476"/>
              <w:spacing w:before="170" w:line="219" w:lineRule="auto"/>
              <w:rPr>
                <w:sz w:val="21"/>
                <w:szCs w:val="21"/>
              </w:rPr>
            </w:pPr>
            <w:r>
              <w:rPr>
                <w:sz w:val="21"/>
                <w:szCs w:val="21"/>
                <w:spacing w:val="2"/>
              </w:rPr>
              <w:t>要求员工提供健康证明</w:t>
            </w:r>
          </w:p>
        </w:tc>
        <w:tc>
          <w:tcPr>
            <w:tcW w:w="714" w:type="dxa"/>
            <w:vAlign w:val="top"/>
            <w:vMerge w:val="continue"/>
            <w:tcBorders>
              <w:top w:val="nil"/>
              <w:bottom w:val="nil"/>
            </w:tcBorders>
          </w:tcPr>
          <w:p>
            <w:pPr>
              <w:rPr>
                <w:rFonts w:ascii="Arial"/>
                <w:sz w:val="21"/>
              </w:rPr>
            </w:pPr>
            <w:r/>
          </w:p>
        </w:tc>
      </w:tr>
      <w:tr>
        <w:trPr>
          <w:trHeight w:val="279" w:hRule="atLeast"/>
        </w:trPr>
        <w:tc>
          <w:tcPr>
            <w:tcW w:w="874" w:type="dxa"/>
            <w:vAlign w:val="top"/>
            <w:vMerge w:val="continue"/>
            <w:tcBorders>
              <w:top w:val="nil"/>
              <w:bottom w:val="nil"/>
            </w:tcBorders>
          </w:tcPr>
          <w:p>
            <w:pPr>
              <w:rPr>
                <w:rFonts w:ascii="Arial"/>
                <w:sz w:val="21"/>
              </w:rPr>
            </w:pPr>
            <w:r/>
          </w:p>
        </w:tc>
        <w:tc>
          <w:tcPr>
            <w:tcW w:w="4135" w:type="dxa"/>
            <w:vAlign w:val="top"/>
          </w:tcPr>
          <w:p>
            <w:pPr>
              <w:pStyle w:val="TableText"/>
              <w:ind w:left="11"/>
              <w:spacing w:before="42" w:line="199" w:lineRule="auto"/>
              <w:rPr>
                <w:sz w:val="21"/>
                <w:szCs w:val="21"/>
              </w:rPr>
            </w:pPr>
            <w:r>
              <w:rPr>
                <w:sz w:val="21"/>
                <w:szCs w:val="21"/>
                <w:spacing w:val="5"/>
              </w:rPr>
              <w:t>(四)有经考核合格的兽医卫生检验人员；</w:t>
            </w:r>
          </w:p>
        </w:tc>
        <w:tc>
          <w:tcPr>
            <w:tcW w:w="3077" w:type="dxa"/>
            <w:vAlign w:val="top"/>
          </w:tcPr>
          <w:p>
            <w:pPr>
              <w:pStyle w:val="TableText"/>
              <w:ind w:left="176"/>
              <w:spacing w:before="42" w:line="199" w:lineRule="auto"/>
              <w:rPr>
                <w:sz w:val="21"/>
                <w:szCs w:val="21"/>
              </w:rPr>
            </w:pPr>
            <w:r>
              <w:rPr>
                <w:sz w:val="21"/>
                <w:szCs w:val="21"/>
                <w:spacing w:val="2"/>
              </w:rPr>
              <w:t>配备考核合格的兽医卫检人员</w:t>
            </w:r>
          </w:p>
        </w:tc>
        <w:tc>
          <w:tcPr>
            <w:tcW w:w="714" w:type="dxa"/>
            <w:vAlign w:val="top"/>
            <w:vMerge w:val="continue"/>
            <w:tcBorders>
              <w:top w:val="nil"/>
              <w:bottom w:val="nil"/>
            </w:tcBorders>
          </w:tcPr>
          <w:p>
            <w:pPr>
              <w:rPr>
                <w:rFonts w:ascii="Arial"/>
                <w:sz w:val="21"/>
              </w:rPr>
            </w:pPr>
            <w:r/>
          </w:p>
        </w:tc>
      </w:tr>
      <w:tr>
        <w:trPr>
          <w:trHeight w:val="808" w:hRule="atLeast"/>
        </w:trPr>
        <w:tc>
          <w:tcPr>
            <w:tcW w:w="874" w:type="dxa"/>
            <w:vAlign w:val="top"/>
            <w:vMerge w:val="continue"/>
            <w:tcBorders>
              <w:top w:val="nil"/>
              <w:bottom w:val="nil"/>
            </w:tcBorders>
          </w:tcPr>
          <w:p>
            <w:pPr>
              <w:rPr>
                <w:rFonts w:ascii="Arial"/>
                <w:sz w:val="21"/>
              </w:rPr>
            </w:pPr>
            <w:r/>
          </w:p>
        </w:tc>
        <w:tc>
          <w:tcPr>
            <w:tcW w:w="4135" w:type="dxa"/>
            <w:vAlign w:val="top"/>
          </w:tcPr>
          <w:p>
            <w:pPr>
              <w:pStyle w:val="TableText"/>
              <w:ind w:left="11" w:right="133" w:firstLine="50"/>
              <w:spacing w:before="43" w:line="221" w:lineRule="auto"/>
              <w:rPr>
                <w:sz w:val="21"/>
                <w:szCs w:val="21"/>
              </w:rPr>
            </w:pPr>
            <w:r>
              <w:rPr>
                <w:sz w:val="21"/>
                <w:szCs w:val="21"/>
                <w:spacing w:val="1"/>
              </w:rPr>
              <w:t>(五)有符合国家规定要求的检验设备、消</w:t>
            </w:r>
            <w:r>
              <w:rPr>
                <w:sz w:val="21"/>
                <w:szCs w:val="21"/>
              </w:rPr>
              <w:t xml:space="preserve">  </w:t>
            </w:r>
            <w:r>
              <w:rPr>
                <w:sz w:val="21"/>
                <w:szCs w:val="21"/>
                <w:spacing w:val="-1"/>
              </w:rPr>
              <w:t>毒设施以及符合环境保护要求的污染防治设</w:t>
            </w:r>
            <w:r>
              <w:rPr>
                <w:sz w:val="21"/>
                <w:szCs w:val="21"/>
                <w:spacing w:val="8"/>
              </w:rPr>
              <w:t xml:space="preserve"> </w:t>
            </w:r>
            <w:r>
              <w:rPr>
                <w:sz w:val="21"/>
                <w:szCs w:val="21"/>
                <w:spacing w:val="-4"/>
              </w:rPr>
              <w:t>施</w:t>
            </w:r>
            <w:r>
              <w:rPr>
                <w:sz w:val="21"/>
                <w:szCs w:val="21"/>
                <w:spacing w:val="56"/>
              </w:rPr>
              <w:t xml:space="preserve"> </w:t>
            </w:r>
            <w:r>
              <w:rPr>
                <w:sz w:val="21"/>
                <w:szCs w:val="21"/>
                <w:spacing w:val="-4"/>
              </w:rPr>
              <w:t>；</w:t>
            </w:r>
          </w:p>
        </w:tc>
        <w:tc>
          <w:tcPr>
            <w:tcW w:w="3077" w:type="dxa"/>
            <w:vAlign w:val="top"/>
          </w:tcPr>
          <w:p>
            <w:pPr>
              <w:pStyle w:val="TableText"/>
              <w:ind w:left="16" w:right="95"/>
              <w:spacing w:before="43" w:line="221" w:lineRule="auto"/>
              <w:jc w:val="both"/>
              <w:rPr>
                <w:sz w:val="21"/>
                <w:szCs w:val="21"/>
              </w:rPr>
            </w:pPr>
            <w:r>
              <w:rPr>
                <w:sz w:val="21"/>
                <w:szCs w:val="21"/>
                <w:spacing w:val="-1"/>
              </w:rPr>
              <w:t>配备符合国家规定要求的检验设</w:t>
            </w:r>
            <w:r>
              <w:rPr>
                <w:sz w:val="21"/>
                <w:szCs w:val="21"/>
                <w:spacing w:val="4"/>
              </w:rPr>
              <w:t xml:space="preserve"> </w:t>
            </w:r>
            <w:r>
              <w:rPr>
                <w:sz w:val="21"/>
                <w:szCs w:val="21"/>
                <w:spacing w:val="1"/>
              </w:rPr>
              <w:t>备、消毒设施以及符合环境保护</w:t>
            </w:r>
            <w:r>
              <w:rPr>
                <w:sz w:val="21"/>
                <w:szCs w:val="21"/>
              </w:rPr>
              <w:t xml:space="preserve"> </w:t>
            </w:r>
            <w:r>
              <w:rPr>
                <w:sz w:val="21"/>
                <w:szCs w:val="21"/>
                <w:spacing w:val="-1"/>
              </w:rPr>
              <w:t>要求的污染防治设施。</w:t>
            </w:r>
          </w:p>
        </w:tc>
        <w:tc>
          <w:tcPr>
            <w:tcW w:w="714" w:type="dxa"/>
            <w:vAlign w:val="top"/>
            <w:vMerge w:val="continue"/>
            <w:tcBorders>
              <w:top w:val="nil"/>
              <w:bottom w:val="nil"/>
            </w:tcBorders>
          </w:tcPr>
          <w:p>
            <w:pPr>
              <w:rPr>
                <w:rFonts w:ascii="Arial"/>
                <w:sz w:val="21"/>
              </w:rPr>
            </w:pPr>
            <w:r/>
          </w:p>
        </w:tc>
      </w:tr>
      <w:tr>
        <w:trPr>
          <w:trHeight w:val="539" w:hRule="atLeast"/>
        </w:trPr>
        <w:tc>
          <w:tcPr>
            <w:tcW w:w="874" w:type="dxa"/>
            <w:vAlign w:val="top"/>
            <w:vMerge w:val="continue"/>
            <w:tcBorders>
              <w:top w:val="nil"/>
              <w:bottom w:val="nil"/>
            </w:tcBorders>
          </w:tcPr>
          <w:p>
            <w:pPr>
              <w:rPr>
                <w:rFonts w:ascii="Arial"/>
                <w:sz w:val="21"/>
              </w:rPr>
            </w:pPr>
            <w:r/>
          </w:p>
        </w:tc>
        <w:tc>
          <w:tcPr>
            <w:tcW w:w="4135" w:type="dxa"/>
            <w:vAlign w:val="top"/>
          </w:tcPr>
          <w:p>
            <w:pPr>
              <w:pStyle w:val="TableText"/>
              <w:ind w:left="11" w:right="324"/>
              <w:spacing w:before="35" w:line="217" w:lineRule="auto"/>
              <w:rPr>
                <w:sz w:val="21"/>
                <w:szCs w:val="21"/>
              </w:rPr>
            </w:pPr>
            <w:r>
              <w:rPr>
                <w:sz w:val="21"/>
                <w:szCs w:val="21"/>
              </w:rPr>
              <w:t>(六)有病害生猪及生猪产品无害化处理设</w:t>
            </w:r>
            <w:r>
              <w:rPr>
                <w:sz w:val="21"/>
                <w:szCs w:val="21"/>
                <w:spacing w:val="8"/>
              </w:rPr>
              <w:t xml:space="preserve"> </w:t>
            </w:r>
            <w:r>
              <w:rPr>
                <w:sz w:val="21"/>
                <w:szCs w:val="21"/>
                <w:spacing w:val="8"/>
              </w:rPr>
              <w:t>施或者无害化处理委托协议；</w:t>
            </w:r>
          </w:p>
        </w:tc>
        <w:tc>
          <w:tcPr>
            <w:tcW w:w="3077" w:type="dxa"/>
            <w:vAlign w:val="top"/>
          </w:tcPr>
          <w:p>
            <w:pPr>
              <w:pStyle w:val="TableText"/>
              <w:ind w:left="16" w:right="119"/>
              <w:spacing w:before="35" w:line="217" w:lineRule="auto"/>
              <w:rPr>
                <w:sz w:val="21"/>
                <w:szCs w:val="21"/>
              </w:rPr>
            </w:pPr>
            <w:r>
              <w:rPr>
                <w:sz w:val="21"/>
                <w:szCs w:val="21"/>
                <w:spacing w:val="-1"/>
              </w:rPr>
              <w:t>本项目病害生猪及生猪产品已签</w:t>
            </w:r>
            <w:r>
              <w:rPr>
                <w:sz w:val="21"/>
                <w:szCs w:val="21"/>
                <w:spacing w:val="3"/>
              </w:rPr>
              <w:t xml:space="preserve"> </w:t>
            </w:r>
            <w:r>
              <w:rPr>
                <w:sz w:val="21"/>
                <w:szCs w:val="21"/>
                <w:spacing w:val="1"/>
              </w:rPr>
              <w:t>订无害化处置协议</w:t>
            </w:r>
          </w:p>
        </w:tc>
        <w:tc>
          <w:tcPr>
            <w:tcW w:w="714" w:type="dxa"/>
            <w:vAlign w:val="top"/>
            <w:vMerge w:val="continue"/>
            <w:tcBorders>
              <w:top w:val="nil"/>
              <w:bottom w:val="nil"/>
            </w:tcBorders>
          </w:tcPr>
          <w:p>
            <w:pPr>
              <w:rPr>
                <w:rFonts w:ascii="Arial"/>
                <w:sz w:val="21"/>
              </w:rPr>
            </w:pPr>
            <w:r/>
          </w:p>
        </w:tc>
      </w:tr>
      <w:tr>
        <w:trPr>
          <w:trHeight w:val="279" w:hRule="atLeast"/>
        </w:trPr>
        <w:tc>
          <w:tcPr>
            <w:tcW w:w="874" w:type="dxa"/>
            <w:vAlign w:val="top"/>
            <w:vMerge w:val="continue"/>
            <w:tcBorders>
              <w:top w:val="nil"/>
            </w:tcBorders>
          </w:tcPr>
          <w:p>
            <w:pPr>
              <w:rPr>
                <w:rFonts w:ascii="Arial"/>
                <w:sz w:val="21"/>
              </w:rPr>
            </w:pPr>
            <w:r/>
          </w:p>
        </w:tc>
        <w:tc>
          <w:tcPr>
            <w:tcW w:w="4135" w:type="dxa"/>
            <w:vAlign w:val="top"/>
          </w:tcPr>
          <w:p>
            <w:pPr>
              <w:pStyle w:val="TableText"/>
              <w:ind w:left="11"/>
              <w:spacing w:before="46" w:line="196" w:lineRule="auto"/>
              <w:rPr>
                <w:sz w:val="21"/>
                <w:szCs w:val="21"/>
              </w:rPr>
            </w:pPr>
            <w:r>
              <w:rPr>
                <w:sz w:val="21"/>
                <w:szCs w:val="21"/>
              </w:rPr>
              <w:t>(七)依法取得动物防疫条件合格证</w:t>
            </w:r>
          </w:p>
        </w:tc>
        <w:tc>
          <w:tcPr>
            <w:tcW w:w="3077" w:type="dxa"/>
            <w:vAlign w:val="top"/>
          </w:tcPr>
          <w:p>
            <w:pPr>
              <w:pStyle w:val="TableText"/>
              <w:ind w:left="56"/>
              <w:spacing w:before="46" w:line="196" w:lineRule="auto"/>
              <w:rPr>
                <w:sz w:val="21"/>
                <w:szCs w:val="21"/>
              </w:rPr>
            </w:pPr>
            <w:r>
              <w:rPr>
                <w:sz w:val="21"/>
                <w:szCs w:val="21"/>
                <w:spacing w:val="-1"/>
              </w:rPr>
              <w:t>按要求办理动物防疫条件合格证</w:t>
            </w:r>
          </w:p>
        </w:tc>
        <w:tc>
          <w:tcPr>
            <w:tcW w:w="714" w:type="dxa"/>
            <w:vAlign w:val="top"/>
            <w:vMerge w:val="continue"/>
            <w:tcBorders>
              <w:top w:val="nil"/>
            </w:tcBorders>
          </w:tcPr>
          <w:p>
            <w:pPr>
              <w:rPr>
                <w:rFonts w:ascii="Arial"/>
                <w:sz w:val="21"/>
              </w:rPr>
            </w:pPr>
            <w:r/>
          </w:p>
        </w:tc>
      </w:tr>
      <w:tr>
        <w:trPr>
          <w:trHeight w:val="544" w:hRule="atLeast"/>
        </w:trPr>
        <w:tc>
          <w:tcPr>
            <w:tcW w:w="874" w:type="dxa"/>
            <w:vAlign w:val="top"/>
          </w:tcPr>
          <w:p>
            <w:pPr>
              <w:pStyle w:val="TableText"/>
              <w:ind w:left="5"/>
              <w:spacing w:before="177" w:line="219" w:lineRule="auto"/>
              <w:rPr>
                <w:sz w:val="21"/>
                <w:szCs w:val="21"/>
              </w:rPr>
            </w:pPr>
            <w:r>
              <w:rPr>
                <w:sz w:val="21"/>
                <w:szCs w:val="21"/>
                <w:spacing w:val="-2"/>
              </w:rPr>
              <w:t>第十二条</w:t>
            </w:r>
          </w:p>
        </w:tc>
        <w:tc>
          <w:tcPr>
            <w:tcW w:w="4135" w:type="dxa"/>
            <w:vAlign w:val="top"/>
          </w:tcPr>
          <w:p>
            <w:pPr>
              <w:pStyle w:val="TableText"/>
              <w:ind w:left="11" w:right="132"/>
              <w:spacing w:before="47" w:line="214" w:lineRule="auto"/>
              <w:rPr>
                <w:sz w:val="21"/>
                <w:szCs w:val="21"/>
              </w:rPr>
            </w:pPr>
            <w:r>
              <w:rPr>
                <w:sz w:val="21"/>
                <w:szCs w:val="21"/>
              </w:rPr>
              <w:t>生猪定点屠宰厂(场)屠宰的生猪，应当依</w:t>
            </w:r>
            <w:r>
              <w:rPr>
                <w:sz w:val="21"/>
                <w:szCs w:val="21"/>
                <w:spacing w:val="5"/>
              </w:rPr>
              <w:t xml:space="preserve">  </w:t>
            </w:r>
            <w:r>
              <w:rPr>
                <w:sz w:val="21"/>
                <w:szCs w:val="21"/>
                <w:spacing w:val="-1"/>
              </w:rPr>
              <w:t>法经动物卫生监督机构检疫合格，并附有检</w:t>
            </w:r>
          </w:p>
        </w:tc>
        <w:tc>
          <w:tcPr>
            <w:tcW w:w="3077" w:type="dxa"/>
            <w:vAlign w:val="top"/>
          </w:tcPr>
          <w:p>
            <w:pPr>
              <w:pStyle w:val="TableText"/>
              <w:ind w:left="76"/>
              <w:spacing w:before="176" w:line="219" w:lineRule="auto"/>
              <w:rPr>
                <w:sz w:val="21"/>
                <w:szCs w:val="21"/>
              </w:rPr>
            </w:pPr>
            <w:r>
              <w:rPr>
                <w:sz w:val="21"/>
                <w:szCs w:val="21"/>
                <w:spacing w:val="1"/>
              </w:rPr>
              <w:t>本项目进场生猪应提供检疫证明</w:t>
            </w:r>
          </w:p>
        </w:tc>
        <w:tc>
          <w:tcPr>
            <w:tcW w:w="714" w:type="dxa"/>
            <w:vAlign w:val="top"/>
          </w:tcPr>
          <w:p>
            <w:pPr>
              <w:pStyle w:val="TableText"/>
              <w:ind w:left="139"/>
              <w:spacing w:before="177" w:line="219" w:lineRule="auto"/>
              <w:rPr>
                <w:sz w:val="21"/>
                <w:szCs w:val="21"/>
              </w:rPr>
            </w:pPr>
            <w:r>
              <w:rPr>
                <w:sz w:val="21"/>
                <w:szCs w:val="21"/>
                <w:spacing w:val="-3"/>
              </w:rPr>
              <w:t>符合</w:t>
            </w:r>
          </w:p>
        </w:tc>
      </w:tr>
    </w:tbl>
    <w:p>
      <w:pPr>
        <w:pStyle w:val="BodyText"/>
        <w:rPr/>
      </w:pPr>
      <w:r/>
    </w:p>
    <w:p>
      <w:pPr>
        <w:sectPr>
          <w:headerReference w:type="default" r:id="rId48"/>
          <w:footerReference w:type="default" r:id="rId49"/>
          <w:pgSz w:w="11910" w:h="16840"/>
          <w:pgMar w:top="1167" w:right="1564" w:bottom="983" w:left="1534" w:header="874" w:footer="735" w:gutter="0"/>
        </w:sectPr>
        <w:rPr/>
      </w:pPr>
    </w:p>
    <w:p>
      <w:pPr>
        <w:spacing w:line="224" w:lineRule="exact"/>
        <w:rPr/>
      </w:pPr>
      <w:r/>
    </w:p>
    <w:tbl>
      <w:tblPr>
        <w:tblStyle w:val="TableNormal"/>
        <w:tblW w:w="8810" w:type="dxa"/>
        <w:tblInd w:w="94"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84"/>
        <w:gridCol w:w="4135"/>
        <w:gridCol w:w="3067"/>
        <w:gridCol w:w="724"/>
      </w:tblGrid>
      <w:tr>
        <w:trPr>
          <w:trHeight w:val="285" w:hRule="atLeast"/>
        </w:trPr>
        <w:tc>
          <w:tcPr>
            <w:shd w:val="clear" w:fill="BDBDBD"/>
            <w:tcW w:w="5019" w:type="dxa"/>
            <w:vAlign w:val="top"/>
            <w:gridSpan w:val="2"/>
          </w:tcPr>
          <w:p>
            <w:pPr>
              <w:pStyle w:val="TableText"/>
              <w:ind w:left="1253"/>
              <w:spacing w:before="40" w:line="206" w:lineRule="auto"/>
              <w:rPr>
                <w:sz w:val="21"/>
                <w:szCs w:val="21"/>
              </w:rPr>
            </w:pPr>
            <w:bookmarkStart w:name="bookmark80" w:id="21"/>
            <w:bookmarkEnd w:id="21"/>
            <w:r>
              <w:rPr>
                <w:sz w:val="21"/>
                <w:szCs w:val="21"/>
                <w:b/>
                <w:bCs/>
                <w:spacing w:val="-4"/>
              </w:rPr>
              <w:t>《生猪屠宰管理条例》要求</w:t>
            </w:r>
          </w:p>
        </w:tc>
        <w:tc>
          <w:tcPr>
            <w:shd w:val="clear" w:fill="BDBDBD"/>
            <w:tcW w:w="3067" w:type="dxa"/>
            <w:vAlign w:val="top"/>
          </w:tcPr>
          <w:p>
            <w:pPr>
              <w:pStyle w:val="TableText"/>
              <w:ind w:left="1009"/>
              <w:spacing w:before="39" w:line="207" w:lineRule="auto"/>
              <w:rPr>
                <w:sz w:val="21"/>
                <w:szCs w:val="21"/>
              </w:rPr>
            </w:pPr>
            <w:r>
              <w:rPr>
                <w:sz w:val="21"/>
                <w:szCs w:val="21"/>
                <w:b/>
                <w:bCs/>
                <w:spacing w:val="-4"/>
              </w:rPr>
              <w:t>本项目情况</w:t>
            </w:r>
          </w:p>
        </w:tc>
        <w:tc>
          <w:tcPr>
            <w:shd w:val="clear" w:fill="BDBDBD"/>
            <w:tcW w:w="724" w:type="dxa"/>
            <w:vAlign w:val="top"/>
          </w:tcPr>
          <w:p>
            <w:pPr>
              <w:pStyle w:val="TableText"/>
              <w:ind w:left="42"/>
              <w:spacing w:before="40" w:line="206" w:lineRule="auto"/>
              <w:rPr>
                <w:sz w:val="21"/>
                <w:szCs w:val="21"/>
              </w:rPr>
            </w:pPr>
            <w:r>
              <w:rPr>
                <w:sz w:val="21"/>
                <w:szCs w:val="21"/>
                <w:b/>
                <w:bCs/>
                <w:spacing w:val="-5"/>
              </w:rPr>
              <w:t>符合性</w:t>
            </w:r>
          </w:p>
        </w:tc>
      </w:tr>
      <w:tr>
        <w:trPr>
          <w:trHeight w:val="280" w:hRule="atLeast"/>
        </w:trPr>
        <w:tc>
          <w:tcPr>
            <w:tcW w:w="884" w:type="dxa"/>
            <w:vAlign w:val="top"/>
          </w:tcPr>
          <w:p>
            <w:pPr>
              <w:rPr>
                <w:rFonts w:ascii="Arial"/>
                <w:sz w:val="21"/>
              </w:rPr>
            </w:pPr>
            <w:r/>
          </w:p>
        </w:tc>
        <w:tc>
          <w:tcPr>
            <w:tcW w:w="4135" w:type="dxa"/>
            <w:vAlign w:val="top"/>
          </w:tcPr>
          <w:p>
            <w:pPr>
              <w:pStyle w:val="TableText"/>
              <w:ind w:left="11"/>
              <w:spacing w:before="37" w:line="204" w:lineRule="auto"/>
              <w:rPr>
                <w:sz w:val="21"/>
                <w:szCs w:val="21"/>
              </w:rPr>
            </w:pPr>
            <w:r>
              <w:rPr>
                <w:sz w:val="21"/>
                <w:szCs w:val="21"/>
                <w:color w:val="505050"/>
                <w:spacing w:val="-1"/>
              </w:rPr>
              <w:t>疫证明。</w:t>
            </w:r>
          </w:p>
        </w:tc>
        <w:tc>
          <w:tcPr>
            <w:tcW w:w="3067" w:type="dxa"/>
            <w:vAlign w:val="top"/>
          </w:tcPr>
          <w:p>
            <w:pPr>
              <w:rPr>
                <w:rFonts w:ascii="Arial"/>
                <w:sz w:val="21"/>
              </w:rPr>
            </w:pPr>
            <w:r/>
          </w:p>
        </w:tc>
        <w:tc>
          <w:tcPr>
            <w:tcW w:w="724" w:type="dxa"/>
            <w:vAlign w:val="top"/>
          </w:tcPr>
          <w:p>
            <w:pPr>
              <w:rPr>
                <w:rFonts w:ascii="Arial"/>
                <w:sz w:val="21"/>
              </w:rPr>
            </w:pPr>
            <w:r/>
          </w:p>
        </w:tc>
      </w:tr>
      <w:tr>
        <w:trPr>
          <w:trHeight w:val="530" w:hRule="atLeast"/>
        </w:trPr>
        <w:tc>
          <w:tcPr>
            <w:tcW w:w="884" w:type="dxa"/>
            <w:vAlign w:val="top"/>
          </w:tcPr>
          <w:p>
            <w:pPr>
              <w:pStyle w:val="TableText"/>
              <w:ind w:left="15"/>
              <w:spacing w:before="158" w:line="219" w:lineRule="auto"/>
              <w:rPr>
                <w:sz w:val="21"/>
                <w:szCs w:val="21"/>
              </w:rPr>
            </w:pPr>
            <w:r>
              <w:rPr>
                <w:sz w:val="21"/>
                <w:szCs w:val="21"/>
                <w:spacing w:val="-2"/>
              </w:rPr>
              <w:t>第十三条</w:t>
            </w:r>
          </w:p>
        </w:tc>
        <w:tc>
          <w:tcPr>
            <w:tcW w:w="4135" w:type="dxa"/>
            <w:vAlign w:val="top"/>
          </w:tcPr>
          <w:p>
            <w:pPr>
              <w:pStyle w:val="TableText"/>
              <w:ind w:left="11" w:right="531"/>
              <w:spacing w:before="28" w:line="216" w:lineRule="auto"/>
              <w:rPr>
                <w:sz w:val="21"/>
                <w:szCs w:val="21"/>
              </w:rPr>
            </w:pPr>
            <w:r>
              <w:rPr>
                <w:sz w:val="21"/>
                <w:szCs w:val="21"/>
              </w:rPr>
              <w:t>生猪定点屠宰厂(场)应当建立生猪进厂</w:t>
            </w:r>
            <w:r>
              <w:rPr>
                <w:sz w:val="21"/>
                <w:szCs w:val="21"/>
                <w:spacing w:val="11"/>
              </w:rPr>
              <w:t xml:space="preserve"> </w:t>
            </w:r>
            <w:r>
              <w:rPr>
                <w:sz w:val="21"/>
                <w:szCs w:val="21"/>
                <w:spacing w:val="-1"/>
              </w:rPr>
              <w:t>(场)查验登记制度。</w:t>
            </w:r>
          </w:p>
        </w:tc>
        <w:tc>
          <w:tcPr>
            <w:tcW w:w="3067" w:type="dxa"/>
            <w:vAlign w:val="top"/>
          </w:tcPr>
          <w:p>
            <w:pPr>
              <w:pStyle w:val="TableText"/>
              <w:ind w:left="166"/>
              <w:spacing w:before="157" w:line="219" w:lineRule="auto"/>
              <w:rPr>
                <w:sz w:val="21"/>
                <w:szCs w:val="21"/>
              </w:rPr>
            </w:pPr>
            <w:r>
              <w:rPr>
                <w:sz w:val="21"/>
                <w:szCs w:val="21"/>
              </w:rPr>
              <w:t>本项目配备进场查验登记制度</w:t>
            </w:r>
          </w:p>
        </w:tc>
        <w:tc>
          <w:tcPr>
            <w:tcW w:w="724" w:type="dxa"/>
            <w:vAlign w:val="top"/>
          </w:tcPr>
          <w:p>
            <w:pPr>
              <w:pStyle w:val="TableText"/>
              <w:ind w:left="149"/>
              <w:spacing w:before="158" w:line="219" w:lineRule="auto"/>
              <w:rPr>
                <w:sz w:val="21"/>
                <w:szCs w:val="21"/>
              </w:rPr>
            </w:pPr>
            <w:r>
              <w:rPr>
                <w:sz w:val="21"/>
                <w:szCs w:val="21"/>
                <w:spacing w:val="-3"/>
              </w:rPr>
              <w:t>符合</w:t>
            </w:r>
          </w:p>
        </w:tc>
      </w:tr>
      <w:tr>
        <w:trPr>
          <w:trHeight w:val="1628" w:hRule="atLeast"/>
        </w:trPr>
        <w:tc>
          <w:tcPr>
            <w:tcW w:w="884" w:type="dxa"/>
            <w:vAlign w:val="top"/>
          </w:tcPr>
          <w:p>
            <w:pPr>
              <w:spacing w:line="318" w:lineRule="auto"/>
              <w:rPr>
                <w:rFonts w:ascii="Arial"/>
                <w:sz w:val="21"/>
              </w:rPr>
            </w:pPr>
            <w:r/>
          </w:p>
          <w:p>
            <w:pPr>
              <w:spacing w:line="318" w:lineRule="auto"/>
              <w:rPr>
                <w:rFonts w:ascii="Arial"/>
                <w:sz w:val="21"/>
              </w:rPr>
            </w:pPr>
            <w:r/>
          </w:p>
          <w:p>
            <w:pPr>
              <w:pStyle w:val="TableText"/>
              <w:ind w:left="15"/>
              <w:spacing w:before="68" w:line="219" w:lineRule="auto"/>
              <w:rPr>
                <w:sz w:val="21"/>
                <w:szCs w:val="21"/>
              </w:rPr>
            </w:pPr>
            <w:r>
              <w:rPr>
                <w:sz w:val="21"/>
                <w:szCs w:val="21"/>
                <w:spacing w:val="-2"/>
              </w:rPr>
              <w:t>第十四条</w:t>
            </w:r>
          </w:p>
        </w:tc>
        <w:tc>
          <w:tcPr>
            <w:tcW w:w="4135" w:type="dxa"/>
            <w:vAlign w:val="top"/>
          </w:tcPr>
          <w:p>
            <w:pPr>
              <w:pStyle w:val="TableText"/>
              <w:ind w:left="11"/>
              <w:spacing w:before="38" w:line="219" w:lineRule="auto"/>
              <w:rPr>
                <w:sz w:val="21"/>
                <w:szCs w:val="21"/>
              </w:rPr>
            </w:pPr>
            <w:r>
              <w:rPr>
                <w:sz w:val="21"/>
                <w:szCs w:val="21"/>
              </w:rPr>
              <w:t>生猪定点屠宰厂(场)屠宰生猪，应当遵守</w:t>
            </w:r>
          </w:p>
          <w:p>
            <w:pPr>
              <w:pStyle w:val="TableText"/>
              <w:ind w:left="11" w:right="107"/>
              <w:spacing w:before="27" w:line="229" w:lineRule="auto"/>
              <w:rPr>
                <w:sz w:val="21"/>
                <w:szCs w:val="21"/>
              </w:rPr>
            </w:pPr>
            <w:r>
              <w:rPr>
                <w:sz w:val="21"/>
                <w:szCs w:val="21"/>
              </w:rPr>
              <w:t>国家规定的操作规程、技术要求和生猪屠宰</w:t>
            </w:r>
            <w:r>
              <w:rPr>
                <w:sz w:val="21"/>
                <w:szCs w:val="21"/>
                <w:spacing w:val="15"/>
              </w:rPr>
              <w:t xml:space="preserve"> </w:t>
            </w:r>
            <w:r>
              <w:rPr>
                <w:sz w:val="21"/>
                <w:szCs w:val="21"/>
                <w:spacing w:val="-1"/>
              </w:rPr>
              <w:t>质量管理规范，并严格执行消毒技术规范。</w:t>
            </w:r>
            <w:r>
              <w:rPr>
                <w:sz w:val="21"/>
                <w:szCs w:val="21"/>
                <w:spacing w:val="13"/>
              </w:rPr>
              <w:t xml:space="preserve"> </w:t>
            </w:r>
            <w:r>
              <w:rPr>
                <w:sz w:val="21"/>
                <w:szCs w:val="21"/>
              </w:rPr>
              <w:t>发生动物疫情时，应当按照国务院农业农村</w:t>
            </w:r>
            <w:r>
              <w:rPr>
                <w:sz w:val="21"/>
                <w:szCs w:val="21"/>
                <w:spacing w:val="8"/>
              </w:rPr>
              <w:t xml:space="preserve"> </w:t>
            </w:r>
            <w:r>
              <w:rPr>
                <w:sz w:val="21"/>
                <w:szCs w:val="21"/>
                <w:spacing w:val="-1"/>
              </w:rPr>
              <w:t>主管部门的规定，开展动物疫病检测，做好</w:t>
            </w:r>
            <w:r>
              <w:rPr>
                <w:sz w:val="21"/>
                <w:szCs w:val="21"/>
                <w:spacing w:val="8"/>
              </w:rPr>
              <w:t xml:space="preserve"> </w:t>
            </w:r>
            <w:r>
              <w:rPr>
                <w:sz w:val="21"/>
                <w:szCs w:val="21"/>
                <w:spacing w:val="-1"/>
              </w:rPr>
              <w:t>动物疫情排查和报告。</w:t>
            </w:r>
          </w:p>
        </w:tc>
        <w:tc>
          <w:tcPr>
            <w:tcW w:w="3067" w:type="dxa"/>
            <w:vAlign w:val="top"/>
          </w:tcPr>
          <w:p>
            <w:pPr>
              <w:spacing w:line="248" w:lineRule="auto"/>
              <w:rPr>
                <w:rFonts w:ascii="Arial"/>
                <w:sz w:val="21"/>
              </w:rPr>
            </w:pPr>
            <w:r/>
          </w:p>
          <w:p>
            <w:pPr>
              <w:pStyle w:val="TableText"/>
              <w:ind w:left="16" w:right="49" w:firstLine="40"/>
              <w:spacing w:before="68" w:line="236" w:lineRule="auto"/>
              <w:jc w:val="both"/>
              <w:rPr>
                <w:sz w:val="21"/>
                <w:szCs w:val="21"/>
              </w:rPr>
            </w:pPr>
            <w:r>
              <w:rPr>
                <w:sz w:val="21"/>
                <w:szCs w:val="21"/>
              </w:rPr>
              <w:t>本项目生猪屠宰按照生猪屠宰及</w:t>
            </w:r>
            <w:r>
              <w:rPr>
                <w:sz w:val="21"/>
                <w:szCs w:val="21"/>
                <w:spacing w:val="10"/>
              </w:rPr>
              <w:t xml:space="preserve"> </w:t>
            </w:r>
            <w:r>
              <w:rPr>
                <w:sz w:val="21"/>
                <w:szCs w:val="21"/>
                <w:spacing w:val="2"/>
              </w:rPr>
              <w:t>检疫规程操作，并严格执行消毒 </w:t>
            </w:r>
            <w:r>
              <w:rPr>
                <w:sz w:val="21"/>
                <w:szCs w:val="21"/>
                <w:spacing w:val="3"/>
              </w:rPr>
              <w:t>技术规范。发生动物疫情后，按</w:t>
            </w:r>
            <w:r>
              <w:rPr>
                <w:sz w:val="21"/>
                <w:szCs w:val="21"/>
                <w:spacing w:val="8"/>
              </w:rPr>
              <w:t xml:space="preserve"> </w:t>
            </w:r>
            <w:r>
              <w:rPr>
                <w:sz w:val="21"/>
                <w:szCs w:val="21"/>
                <w:spacing w:val="-1"/>
              </w:rPr>
              <w:t>照相关要求处置。</w:t>
            </w:r>
          </w:p>
        </w:tc>
        <w:tc>
          <w:tcPr>
            <w:tcW w:w="724" w:type="dxa"/>
            <w:vAlign w:val="top"/>
          </w:tcPr>
          <w:p>
            <w:pPr>
              <w:spacing w:line="318" w:lineRule="auto"/>
              <w:rPr>
                <w:rFonts w:ascii="Arial"/>
                <w:sz w:val="21"/>
              </w:rPr>
            </w:pPr>
            <w:r/>
          </w:p>
          <w:p>
            <w:pPr>
              <w:spacing w:line="318" w:lineRule="auto"/>
              <w:rPr>
                <w:rFonts w:ascii="Arial"/>
                <w:sz w:val="21"/>
              </w:rPr>
            </w:pPr>
            <w:r/>
          </w:p>
          <w:p>
            <w:pPr>
              <w:pStyle w:val="TableText"/>
              <w:ind w:left="149"/>
              <w:spacing w:before="68" w:line="219" w:lineRule="auto"/>
              <w:rPr>
                <w:sz w:val="21"/>
                <w:szCs w:val="21"/>
              </w:rPr>
            </w:pPr>
            <w:r>
              <w:rPr>
                <w:sz w:val="21"/>
                <w:szCs w:val="21"/>
                <w:spacing w:val="-3"/>
              </w:rPr>
              <w:t>符合</w:t>
            </w:r>
          </w:p>
        </w:tc>
      </w:tr>
      <w:tr>
        <w:trPr>
          <w:trHeight w:val="1368" w:hRule="atLeast"/>
        </w:trPr>
        <w:tc>
          <w:tcPr>
            <w:tcW w:w="884" w:type="dxa"/>
            <w:vAlign w:val="top"/>
          </w:tcPr>
          <w:p>
            <w:pPr>
              <w:spacing w:line="254" w:lineRule="auto"/>
              <w:rPr>
                <w:rFonts w:ascii="Arial"/>
                <w:sz w:val="21"/>
              </w:rPr>
            </w:pPr>
            <w:r/>
          </w:p>
          <w:p>
            <w:pPr>
              <w:spacing w:line="255" w:lineRule="auto"/>
              <w:rPr>
                <w:rFonts w:ascii="Arial"/>
                <w:sz w:val="21"/>
              </w:rPr>
            </w:pPr>
            <w:r/>
          </w:p>
          <w:p>
            <w:pPr>
              <w:pStyle w:val="TableText"/>
              <w:ind w:left="15"/>
              <w:spacing w:before="68" w:line="219" w:lineRule="auto"/>
              <w:rPr>
                <w:sz w:val="21"/>
                <w:szCs w:val="21"/>
              </w:rPr>
            </w:pPr>
            <w:r>
              <w:rPr>
                <w:sz w:val="21"/>
                <w:szCs w:val="21"/>
                <w:spacing w:val="-2"/>
              </w:rPr>
              <w:t>第十五条</w:t>
            </w:r>
          </w:p>
        </w:tc>
        <w:tc>
          <w:tcPr>
            <w:tcW w:w="4135" w:type="dxa"/>
            <w:vAlign w:val="top"/>
          </w:tcPr>
          <w:p>
            <w:pPr>
              <w:pStyle w:val="TableText"/>
              <w:ind w:left="11"/>
              <w:spacing w:before="40" w:line="219" w:lineRule="auto"/>
              <w:rPr>
                <w:sz w:val="21"/>
                <w:szCs w:val="21"/>
              </w:rPr>
            </w:pPr>
            <w:r>
              <w:rPr>
                <w:sz w:val="21"/>
                <w:szCs w:val="21"/>
                <w:spacing w:val="1"/>
              </w:rPr>
              <w:t>生猪定点屠宰厂(场)应当建立严格的肉品</w:t>
            </w:r>
          </w:p>
          <w:p>
            <w:pPr>
              <w:pStyle w:val="TableText"/>
              <w:ind w:left="11" w:right="105"/>
              <w:spacing w:before="30" w:line="228" w:lineRule="auto"/>
              <w:rPr>
                <w:sz w:val="21"/>
                <w:szCs w:val="21"/>
              </w:rPr>
            </w:pPr>
            <w:r>
              <w:rPr>
                <w:sz w:val="21"/>
                <w:szCs w:val="21"/>
              </w:rPr>
              <w:t>品质检验管理制度。肉品品质检验应当遵守</w:t>
            </w:r>
            <w:r>
              <w:rPr>
                <w:sz w:val="21"/>
                <w:szCs w:val="21"/>
                <w:spacing w:val="14"/>
              </w:rPr>
              <w:t xml:space="preserve"> </w:t>
            </w:r>
            <w:r>
              <w:rPr>
                <w:sz w:val="21"/>
                <w:szCs w:val="21"/>
              </w:rPr>
              <w:t>生猪屠宰肉品品质检验规程，与生猪屠宰同</w:t>
            </w:r>
            <w:r>
              <w:rPr>
                <w:sz w:val="21"/>
                <w:szCs w:val="21"/>
                <w:spacing w:val="17"/>
              </w:rPr>
              <w:t xml:space="preserve"> </w:t>
            </w:r>
            <w:r>
              <w:rPr>
                <w:sz w:val="21"/>
                <w:szCs w:val="21"/>
              </w:rPr>
              <w:t>步进行，并如实记录检验结果。检验结果记</w:t>
            </w:r>
            <w:r>
              <w:rPr>
                <w:sz w:val="21"/>
                <w:szCs w:val="21"/>
                <w:spacing w:val="8"/>
              </w:rPr>
              <w:t xml:space="preserve"> </w:t>
            </w:r>
            <w:r>
              <w:rPr>
                <w:sz w:val="21"/>
                <w:szCs w:val="21"/>
                <w:spacing w:val="-1"/>
              </w:rPr>
              <w:t>录保存期限不得少于2年。</w:t>
            </w:r>
          </w:p>
        </w:tc>
        <w:tc>
          <w:tcPr>
            <w:tcW w:w="3067" w:type="dxa"/>
            <w:vAlign w:val="top"/>
          </w:tcPr>
          <w:p>
            <w:pPr>
              <w:spacing w:line="380" w:lineRule="auto"/>
              <w:rPr>
                <w:rFonts w:ascii="Arial"/>
                <w:sz w:val="21"/>
              </w:rPr>
            </w:pPr>
            <w:r/>
          </w:p>
          <w:p>
            <w:pPr>
              <w:pStyle w:val="TableText"/>
              <w:ind w:left="1215" w:right="49" w:hanging="1159"/>
              <w:spacing w:before="69"/>
              <w:rPr>
                <w:sz w:val="21"/>
                <w:szCs w:val="21"/>
              </w:rPr>
            </w:pPr>
            <w:r>
              <w:rPr>
                <w:sz w:val="21"/>
                <w:szCs w:val="21"/>
              </w:rPr>
              <w:t>项目设置严格的肉品品质检验管</w:t>
            </w:r>
            <w:r>
              <w:rPr>
                <w:sz w:val="21"/>
                <w:szCs w:val="21"/>
                <w:spacing w:val="10"/>
              </w:rPr>
              <w:t xml:space="preserve"> </w:t>
            </w:r>
            <w:r>
              <w:rPr>
                <w:sz w:val="21"/>
                <w:szCs w:val="21"/>
                <w:spacing w:val="4"/>
              </w:rPr>
              <w:t>理制度</w:t>
            </w:r>
          </w:p>
        </w:tc>
        <w:tc>
          <w:tcPr>
            <w:tcW w:w="724" w:type="dxa"/>
            <w:vAlign w:val="top"/>
          </w:tcPr>
          <w:p>
            <w:pPr>
              <w:spacing w:line="254" w:lineRule="auto"/>
              <w:rPr>
                <w:rFonts w:ascii="Arial"/>
                <w:sz w:val="21"/>
              </w:rPr>
            </w:pPr>
            <w:r/>
          </w:p>
          <w:p>
            <w:pPr>
              <w:spacing w:line="255" w:lineRule="auto"/>
              <w:rPr>
                <w:rFonts w:ascii="Arial"/>
                <w:sz w:val="21"/>
              </w:rPr>
            </w:pPr>
            <w:r/>
          </w:p>
          <w:p>
            <w:pPr>
              <w:pStyle w:val="TableText"/>
              <w:ind w:left="149"/>
              <w:spacing w:before="68" w:line="219" w:lineRule="auto"/>
              <w:rPr>
                <w:sz w:val="21"/>
                <w:szCs w:val="21"/>
              </w:rPr>
            </w:pPr>
            <w:r>
              <w:rPr>
                <w:sz w:val="21"/>
                <w:szCs w:val="21"/>
                <w:spacing w:val="-3"/>
              </w:rPr>
              <w:t>符合</w:t>
            </w:r>
          </w:p>
        </w:tc>
      </w:tr>
      <w:tr>
        <w:trPr>
          <w:trHeight w:val="1918" w:hRule="atLeast"/>
        </w:trPr>
        <w:tc>
          <w:tcPr>
            <w:tcW w:w="884" w:type="dxa"/>
            <w:vAlign w:val="top"/>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15"/>
              <w:spacing w:before="68" w:line="219" w:lineRule="auto"/>
              <w:rPr>
                <w:sz w:val="21"/>
                <w:szCs w:val="21"/>
              </w:rPr>
            </w:pPr>
            <w:r>
              <w:rPr>
                <w:sz w:val="21"/>
                <w:szCs w:val="21"/>
                <w:spacing w:val="-2"/>
              </w:rPr>
              <w:t>第十七条</w:t>
            </w:r>
          </w:p>
        </w:tc>
        <w:tc>
          <w:tcPr>
            <w:tcW w:w="4135" w:type="dxa"/>
            <w:vAlign w:val="top"/>
          </w:tcPr>
          <w:p>
            <w:pPr>
              <w:pStyle w:val="TableText"/>
              <w:ind w:left="11" w:right="308"/>
              <w:spacing w:before="31" w:line="242" w:lineRule="auto"/>
              <w:rPr>
                <w:sz w:val="21"/>
                <w:szCs w:val="21"/>
              </w:rPr>
            </w:pPr>
            <w:r>
              <w:rPr>
                <w:sz w:val="21"/>
                <w:szCs w:val="21"/>
                <w:spacing w:val="1"/>
              </w:rPr>
              <w:t>生猪定点屠宰厂(场)应当建立生猪产品出</w:t>
            </w:r>
            <w:r>
              <w:rPr>
                <w:sz w:val="21"/>
                <w:szCs w:val="21"/>
                <w:spacing w:val="5"/>
              </w:rPr>
              <w:t xml:space="preserve"> </w:t>
            </w:r>
            <w:r>
              <w:rPr>
                <w:sz w:val="21"/>
                <w:szCs w:val="21"/>
              </w:rPr>
              <w:t>厂(场)记录制度，如实记录出厂(场)生</w:t>
            </w:r>
          </w:p>
          <w:p>
            <w:pPr>
              <w:pStyle w:val="TableText"/>
              <w:ind w:left="11" w:right="18"/>
              <w:spacing w:before="1" w:line="245" w:lineRule="auto"/>
              <w:rPr>
                <w:sz w:val="21"/>
                <w:szCs w:val="21"/>
              </w:rPr>
            </w:pPr>
            <w:r>
              <w:rPr>
                <w:sz w:val="21"/>
                <w:szCs w:val="21"/>
                <w:spacing w:val="5"/>
              </w:rPr>
              <w:t>猪产品的名称、规格、数量、检疫证明号、</w:t>
            </w:r>
            <w:r>
              <w:rPr>
                <w:sz w:val="21"/>
                <w:szCs w:val="21"/>
                <w:spacing w:val="9"/>
              </w:rPr>
              <w:t xml:space="preserve"> </w:t>
            </w:r>
            <w:r>
              <w:rPr>
                <w:sz w:val="21"/>
                <w:szCs w:val="21"/>
              </w:rPr>
              <w:t>肉品品质检验合格证号、屠宰日期、出厂</w:t>
            </w:r>
          </w:p>
          <w:p>
            <w:pPr>
              <w:pStyle w:val="TableText"/>
              <w:ind w:left="11" w:right="136" w:firstLine="70"/>
              <w:spacing w:before="1" w:line="224" w:lineRule="auto"/>
              <w:rPr>
                <w:sz w:val="21"/>
                <w:szCs w:val="21"/>
              </w:rPr>
            </w:pPr>
            <w:r>
              <w:rPr>
                <w:sz w:val="21"/>
                <w:szCs w:val="21"/>
              </w:rPr>
              <w:t>(场)日期以及购货者名称、地址、联系方</w:t>
            </w:r>
            <w:r>
              <w:rPr>
                <w:sz w:val="21"/>
                <w:szCs w:val="21"/>
                <w:spacing w:val="3"/>
              </w:rPr>
              <w:t xml:space="preserve">  </w:t>
            </w:r>
            <w:r>
              <w:rPr>
                <w:sz w:val="21"/>
                <w:szCs w:val="21"/>
                <w:spacing w:val="-1"/>
              </w:rPr>
              <w:t>式等内容，并保存相关凭证。记录、凭证保</w:t>
            </w:r>
            <w:r>
              <w:rPr>
                <w:sz w:val="21"/>
                <w:szCs w:val="21"/>
                <w:spacing w:val="5"/>
              </w:rPr>
              <w:t xml:space="preserve"> </w:t>
            </w:r>
            <w:r>
              <w:rPr>
                <w:sz w:val="21"/>
                <w:szCs w:val="21"/>
                <w:spacing w:val="-1"/>
              </w:rPr>
              <w:t>存期限不得少于2年。</w:t>
            </w:r>
          </w:p>
        </w:tc>
        <w:tc>
          <w:tcPr>
            <w:tcW w:w="3067" w:type="dxa"/>
            <w:vAlign w:val="top"/>
          </w:tcPr>
          <w:p>
            <w:pPr>
              <w:spacing w:line="320" w:lineRule="auto"/>
              <w:rPr>
                <w:rFonts w:ascii="Arial"/>
                <w:sz w:val="21"/>
              </w:rPr>
            </w:pPr>
            <w:r/>
          </w:p>
          <w:p>
            <w:pPr>
              <w:spacing w:line="320" w:lineRule="auto"/>
              <w:rPr>
                <w:rFonts w:ascii="Arial"/>
                <w:sz w:val="21"/>
              </w:rPr>
            </w:pPr>
            <w:r/>
          </w:p>
          <w:p>
            <w:pPr>
              <w:pStyle w:val="TableText"/>
              <w:ind w:left="1215" w:right="151" w:hanging="1049"/>
              <w:spacing w:before="69" w:line="249" w:lineRule="auto"/>
              <w:rPr>
                <w:sz w:val="21"/>
                <w:szCs w:val="21"/>
              </w:rPr>
            </w:pPr>
            <w:r>
              <w:rPr>
                <w:sz w:val="21"/>
                <w:szCs w:val="21"/>
              </w:rPr>
              <w:t>项目设置生猪产品出厂(场)记</w:t>
            </w:r>
            <w:r>
              <w:rPr>
                <w:sz w:val="21"/>
                <w:szCs w:val="21"/>
                <w:spacing w:val="8"/>
              </w:rPr>
              <w:t xml:space="preserve"> </w:t>
            </w:r>
            <w:r>
              <w:rPr>
                <w:sz w:val="21"/>
                <w:szCs w:val="21"/>
                <w:spacing w:val="4"/>
              </w:rPr>
              <w:t>录制度</w:t>
            </w:r>
          </w:p>
        </w:tc>
        <w:tc>
          <w:tcPr>
            <w:tcW w:w="724" w:type="dxa"/>
            <w:vAlign w:val="top"/>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149"/>
              <w:spacing w:before="68" w:line="219" w:lineRule="auto"/>
              <w:rPr>
                <w:sz w:val="21"/>
                <w:szCs w:val="21"/>
              </w:rPr>
            </w:pPr>
            <w:r>
              <w:rPr>
                <w:sz w:val="21"/>
                <w:szCs w:val="21"/>
                <w:spacing w:val="-3"/>
              </w:rPr>
              <w:t>符合</w:t>
            </w:r>
          </w:p>
        </w:tc>
      </w:tr>
      <w:tr>
        <w:trPr>
          <w:trHeight w:val="2437" w:hRule="atLeast"/>
        </w:trPr>
        <w:tc>
          <w:tcPr>
            <w:tcW w:w="884" w:type="dxa"/>
            <w:vAlign w:val="top"/>
          </w:tcPr>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15"/>
              <w:spacing w:before="68" w:line="219" w:lineRule="auto"/>
              <w:rPr>
                <w:sz w:val="21"/>
                <w:szCs w:val="21"/>
              </w:rPr>
            </w:pPr>
            <w:r>
              <w:rPr>
                <w:sz w:val="21"/>
                <w:szCs w:val="21"/>
                <w:spacing w:val="-2"/>
              </w:rPr>
              <w:t>第十八条</w:t>
            </w:r>
          </w:p>
        </w:tc>
        <w:tc>
          <w:tcPr>
            <w:tcW w:w="4135" w:type="dxa"/>
            <w:vAlign w:val="top"/>
          </w:tcPr>
          <w:p>
            <w:pPr>
              <w:pStyle w:val="TableText"/>
              <w:ind w:left="11"/>
              <w:spacing w:before="34" w:line="219" w:lineRule="auto"/>
              <w:rPr>
                <w:sz w:val="21"/>
                <w:szCs w:val="21"/>
              </w:rPr>
            </w:pPr>
            <w:r>
              <w:rPr>
                <w:sz w:val="21"/>
                <w:szCs w:val="21"/>
                <w:spacing w:val="1"/>
              </w:rPr>
              <w:t>生猪定点屠宰厂(场)对其生产的生猪产品</w:t>
            </w:r>
          </w:p>
          <w:p>
            <w:pPr>
              <w:pStyle w:val="TableText"/>
              <w:ind w:left="11" w:right="52"/>
              <w:spacing w:before="28" w:line="239" w:lineRule="auto"/>
              <w:rPr>
                <w:sz w:val="21"/>
                <w:szCs w:val="21"/>
              </w:rPr>
            </w:pPr>
            <w:r>
              <w:rPr>
                <w:sz w:val="21"/>
                <w:szCs w:val="21"/>
                <w:spacing w:val="-1"/>
              </w:rPr>
              <w:t>质量安全负责，发现其生产的生猪产品不符</w:t>
            </w:r>
            <w:r>
              <w:rPr>
                <w:sz w:val="21"/>
                <w:szCs w:val="21"/>
                <w:spacing w:val="8"/>
              </w:rPr>
              <w:t xml:space="preserve"> </w:t>
            </w:r>
            <w:r>
              <w:rPr>
                <w:sz w:val="21"/>
                <w:szCs w:val="21"/>
                <w:spacing w:val="-1"/>
              </w:rPr>
              <w:t>合食品安全标准、有证据证明可能危害人体</w:t>
            </w:r>
            <w:r>
              <w:rPr>
                <w:sz w:val="21"/>
                <w:szCs w:val="21"/>
                <w:spacing w:val="8"/>
              </w:rPr>
              <w:t xml:space="preserve"> </w:t>
            </w:r>
            <w:r>
              <w:rPr>
                <w:sz w:val="21"/>
                <w:szCs w:val="21"/>
                <w:spacing w:val="-1"/>
              </w:rPr>
              <w:t>健康、染疫或者疑似染疫的，应当立即停止</w:t>
            </w:r>
            <w:r>
              <w:rPr>
                <w:sz w:val="21"/>
                <w:szCs w:val="21"/>
                <w:spacing w:val="9"/>
              </w:rPr>
              <w:t xml:space="preserve"> </w:t>
            </w:r>
            <w:r>
              <w:rPr>
                <w:sz w:val="21"/>
                <w:szCs w:val="21"/>
                <w:spacing w:val="3"/>
              </w:rPr>
              <w:t>屠宰，报告农业农村主管部门，通知销售者</w:t>
            </w:r>
            <w:r>
              <w:rPr>
                <w:sz w:val="21"/>
                <w:szCs w:val="21"/>
                <w:spacing w:val="13"/>
              </w:rPr>
              <w:t xml:space="preserve"> </w:t>
            </w:r>
            <w:r>
              <w:rPr>
                <w:sz w:val="21"/>
                <w:szCs w:val="21"/>
                <w:spacing w:val="-1"/>
              </w:rPr>
              <w:t>或者委托人，召回已经销售的生猪产品，并</w:t>
            </w:r>
            <w:r>
              <w:rPr>
                <w:sz w:val="21"/>
                <w:szCs w:val="21"/>
                <w:spacing w:val="7"/>
              </w:rPr>
              <w:t xml:space="preserve"> </w:t>
            </w:r>
            <w:r>
              <w:rPr>
                <w:sz w:val="21"/>
                <w:szCs w:val="21"/>
                <w:spacing w:val="-1"/>
              </w:rPr>
              <w:t>记录通知和召回情况。生猪定点屠宰厂</w:t>
            </w:r>
          </w:p>
          <w:p>
            <w:pPr>
              <w:pStyle w:val="TableText"/>
              <w:ind w:left="11" w:right="265" w:firstLine="60"/>
              <w:spacing w:line="212" w:lineRule="auto"/>
              <w:rPr>
                <w:sz w:val="21"/>
                <w:szCs w:val="21"/>
              </w:rPr>
            </w:pPr>
            <w:r>
              <w:rPr>
                <w:sz w:val="21"/>
                <w:szCs w:val="21"/>
              </w:rPr>
              <w:t>(场)应当对召回的生猪产品采取无害化处</w:t>
            </w:r>
            <w:r>
              <w:rPr>
                <w:sz w:val="21"/>
                <w:szCs w:val="21"/>
                <w:spacing w:val="7"/>
              </w:rPr>
              <w:t xml:space="preserve"> </w:t>
            </w:r>
            <w:r>
              <w:rPr>
                <w:sz w:val="21"/>
                <w:szCs w:val="21"/>
                <w:spacing w:val="-1"/>
              </w:rPr>
              <w:t>理等措施，防止其再次流入市场。</w:t>
            </w:r>
          </w:p>
        </w:tc>
        <w:tc>
          <w:tcPr>
            <w:tcW w:w="3067" w:type="dxa"/>
            <w:vAlign w:val="top"/>
          </w:tcPr>
          <w:p>
            <w:pPr>
              <w:pStyle w:val="TableText"/>
              <w:ind w:left="16" w:right="37" w:firstLine="40"/>
              <w:spacing w:before="31" w:line="234" w:lineRule="auto"/>
              <w:jc w:val="both"/>
              <w:rPr>
                <w:sz w:val="21"/>
                <w:szCs w:val="21"/>
              </w:rPr>
            </w:pPr>
            <w:r>
              <w:rPr>
                <w:sz w:val="21"/>
                <w:szCs w:val="21"/>
                <w:spacing w:val="-1"/>
              </w:rPr>
              <w:t>生产的生猪产品不符合食品安全</w:t>
            </w:r>
            <w:r>
              <w:rPr>
                <w:sz w:val="21"/>
                <w:szCs w:val="21"/>
                <w:spacing w:val="3"/>
              </w:rPr>
              <w:t xml:space="preserve"> </w:t>
            </w:r>
            <w:r>
              <w:rPr>
                <w:sz w:val="21"/>
                <w:szCs w:val="21"/>
                <w:spacing w:val="2"/>
              </w:rPr>
              <w:t>标准、有证据证明可能危害人体</w:t>
            </w:r>
            <w:r>
              <w:rPr>
                <w:sz w:val="21"/>
                <w:szCs w:val="21"/>
                <w:spacing w:val="1"/>
              </w:rPr>
              <w:t xml:space="preserve"> </w:t>
            </w:r>
            <w:r>
              <w:rPr>
                <w:sz w:val="21"/>
                <w:szCs w:val="21"/>
                <w:spacing w:val="2"/>
              </w:rPr>
              <w:t>健康、染疫或者疑似染疫的，应 </w:t>
            </w:r>
            <w:r>
              <w:rPr>
                <w:sz w:val="21"/>
                <w:szCs w:val="21"/>
                <w:spacing w:val="3"/>
              </w:rPr>
              <w:t>当立即停止屠宰，报告农业农村</w:t>
            </w:r>
            <w:r>
              <w:rPr>
                <w:sz w:val="21"/>
                <w:szCs w:val="21"/>
                <w:spacing w:val="6"/>
              </w:rPr>
              <w:t xml:space="preserve"> </w:t>
            </w:r>
            <w:r>
              <w:rPr>
                <w:sz w:val="21"/>
                <w:szCs w:val="21"/>
                <w:spacing w:val="2"/>
              </w:rPr>
              <w:t>主管部门，通知销售者或者委托</w:t>
            </w:r>
            <w:r>
              <w:rPr>
                <w:sz w:val="21"/>
                <w:szCs w:val="21"/>
                <w:spacing w:val="1"/>
              </w:rPr>
              <w:t xml:space="preserve"> </w:t>
            </w:r>
            <w:r>
              <w:rPr>
                <w:sz w:val="21"/>
                <w:szCs w:val="21"/>
                <w:spacing w:val="-1"/>
              </w:rPr>
              <w:t>人，召回已经销售的生猪产品，</w:t>
            </w:r>
            <w:r>
              <w:rPr>
                <w:sz w:val="21"/>
                <w:szCs w:val="21"/>
                <w:spacing w:val="8"/>
              </w:rPr>
              <w:t xml:space="preserve"> </w:t>
            </w:r>
            <w:r>
              <w:rPr>
                <w:sz w:val="21"/>
                <w:szCs w:val="21"/>
                <w:spacing w:val="4"/>
              </w:rPr>
              <w:t>并记录通知和召回情况。对召回</w:t>
            </w:r>
            <w:r>
              <w:rPr>
                <w:sz w:val="21"/>
                <w:szCs w:val="21"/>
                <w:spacing w:val="5"/>
              </w:rPr>
              <w:t xml:space="preserve"> </w:t>
            </w:r>
            <w:r>
              <w:rPr>
                <w:sz w:val="21"/>
                <w:szCs w:val="21"/>
                <w:spacing w:val="3"/>
              </w:rPr>
              <w:t>的生猪产品采取无害化处理等措</w:t>
            </w:r>
            <w:r>
              <w:rPr>
                <w:sz w:val="21"/>
                <w:szCs w:val="21"/>
                <w:spacing w:val="8"/>
              </w:rPr>
              <w:t xml:space="preserve"> </w:t>
            </w:r>
            <w:r>
              <w:rPr>
                <w:sz w:val="21"/>
                <w:szCs w:val="21"/>
                <w:spacing w:val="-1"/>
              </w:rPr>
              <w:t>施，防止其再次流入市场。</w:t>
            </w:r>
          </w:p>
        </w:tc>
        <w:tc>
          <w:tcPr>
            <w:tcW w:w="724" w:type="dxa"/>
            <w:vAlign w:val="top"/>
          </w:tcPr>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149"/>
              <w:spacing w:before="68" w:line="219" w:lineRule="auto"/>
              <w:rPr>
                <w:sz w:val="21"/>
                <w:szCs w:val="21"/>
              </w:rPr>
            </w:pPr>
            <w:r>
              <w:rPr>
                <w:sz w:val="21"/>
                <w:szCs w:val="21"/>
                <w:spacing w:val="-3"/>
              </w:rPr>
              <w:t>符合</w:t>
            </w:r>
          </w:p>
        </w:tc>
      </w:tr>
      <w:tr>
        <w:trPr>
          <w:trHeight w:val="824" w:hRule="atLeast"/>
        </w:trPr>
        <w:tc>
          <w:tcPr>
            <w:tcW w:w="884" w:type="dxa"/>
            <w:vAlign w:val="top"/>
          </w:tcPr>
          <w:p>
            <w:pPr>
              <w:pStyle w:val="TableText"/>
              <w:ind w:left="325" w:right="237" w:hanging="310"/>
              <w:spacing w:before="176"/>
              <w:rPr>
                <w:sz w:val="21"/>
                <w:szCs w:val="21"/>
              </w:rPr>
            </w:pPr>
            <w:r>
              <w:rPr>
                <w:sz w:val="21"/>
                <w:szCs w:val="21"/>
                <w:spacing w:val="-3"/>
              </w:rPr>
              <w:t>第二十</w:t>
            </w:r>
            <w:r>
              <w:rPr>
                <w:sz w:val="21"/>
                <w:szCs w:val="21"/>
              </w:rPr>
              <w:t xml:space="preserve"> </w:t>
            </w:r>
            <w:r>
              <w:rPr>
                <w:sz w:val="21"/>
                <w:szCs w:val="21"/>
              </w:rPr>
              <w:t>条</w:t>
            </w:r>
          </w:p>
        </w:tc>
        <w:tc>
          <w:tcPr>
            <w:tcW w:w="4135" w:type="dxa"/>
            <w:vAlign w:val="top"/>
          </w:tcPr>
          <w:p>
            <w:pPr>
              <w:pStyle w:val="TableText"/>
              <w:ind w:left="11"/>
              <w:spacing w:before="47" w:line="219" w:lineRule="auto"/>
              <w:rPr>
                <w:sz w:val="21"/>
                <w:szCs w:val="21"/>
              </w:rPr>
            </w:pPr>
            <w:r>
              <w:rPr>
                <w:sz w:val="21"/>
                <w:szCs w:val="21"/>
              </w:rPr>
              <w:t>生猪定点屠宰厂(场)对未能及时出厂</w:t>
            </w:r>
          </w:p>
          <w:p>
            <w:pPr>
              <w:pStyle w:val="TableText"/>
              <w:ind w:left="11" w:right="264" w:firstLine="60"/>
              <w:spacing w:before="18" w:line="219" w:lineRule="auto"/>
              <w:rPr>
                <w:sz w:val="21"/>
                <w:szCs w:val="21"/>
              </w:rPr>
            </w:pPr>
            <w:r>
              <w:rPr>
                <w:sz w:val="21"/>
                <w:szCs w:val="21"/>
              </w:rPr>
              <w:t>(场)的生猪产品，应当采取冷冻或者冷藏</w:t>
            </w:r>
            <w:r>
              <w:rPr>
                <w:sz w:val="21"/>
                <w:szCs w:val="21"/>
                <w:spacing w:val="8"/>
              </w:rPr>
              <w:t xml:space="preserve"> </w:t>
            </w:r>
            <w:r>
              <w:rPr>
                <w:sz w:val="21"/>
                <w:szCs w:val="21"/>
                <w:spacing w:val="-1"/>
              </w:rPr>
              <w:t>等必要措施予以储存。</w:t>
            </w:r>
          </w:p>
        </w:tc>
        <w:tc>
          <w:tcPr>
            <w:tcW w:w="3067" w:type="dxa"/>
            <w:vAlign w:val="top"/>
          </w:tcPr>
          <w:p>
            <w:pPr>
              <w:pStyle w:val="TableText"/>
              <w:ind w:left="16" w:right="49" w:firstLine="40"/>
              <w:spacing w:before="186"/>
              <w:rPr>
                <w:sz w:val="21"/>
                <w:szCs w:val="21"/>
              </w:rPr>
            </w:pPr>
            <w:r>
              <w:rPr>
                <w:sz w:val="21"/>
                <w:szCs w:val="21"/>
              </w:rPr>
              <w:t>本项目配备冷藏和冷冻库，对不</w:t>
            </w:r>
            <w:r>
              <w:rPr>
                <w:sz w:val="21"/>
                <w:szCs w:val="21"/>
                <w:spacing w:val="10"/>
              </w:rPr>
              <w:t xml:space="preserve"> </w:t>
            </w:r>
            <w:r>
              <w:rPr>
                <w:sz w:val="21"/>
                <w:szCs w:val="21"/>
                <w:spacing w:val="-1"/>
              </w:rPr>
              <w:t>能及时外售产品进行储存。</w:t>
            </w:r>
          </w:p>
        </w:tc>
        <w:tc>
          <w:tcPr>
            <w:tcW w:w="724" w:type="dxa"/>
            <w:vAlign w:val="top"/>
          </w:tcPr>
          <w:p>
            <w:pPr>
              <w:spacing w:line="248" w:lineRule="auto"/>
              <w:rPr>
                <w:rFonts w:ascii="Arial"/>
                <w:sz w:val="21"/>
              </w:rPr>
            </w:pPr>
            <w:r/>
          </w:p>
          <w:p>
            <w:pPr>
              <w:pStyle w:val="TableText"/>
              <w:ind w:left="149"/>
              <w:spacing w:before="68" w:line="219" w:lineRule="auto"/>
              <w:rPr>
                <w:sz w:val="21"/>
                <w:szCs w:val="21"/>
              </w:rPr>
            </w:pPr>
            <w:r>
              <w:rPr>
                <w:sz w:val="21"/>
                <w:szCs w:val="21"/>
                <w:spacing w:val="-3"/>
              </w:rPr>
              <w:t>符合</w:t>
            </w:r>
          </w:p>
        </w:tc>
      </w:tr>
    </w:tbl>
    <w:p>
      <w:pPr>
        <w:ind w:left="344" w:right="350" w:firstLine="520"/>
        <w:spacing w:before="84" w:line="356" w:lineRule="auto"/>
        <w:rPr>
          <w:rFonts w:ascii="SimSun" w:hAnsi="SimSun" w:eastAsia="SimSun" w:cs="SimSun"/>
          <w:sz w:val="24"/>
          <w:szCs w:val="24"/>
        </w:rPr>
      </w:pPr>
      <w:r>
        <w:rPr>
          <w:rFonts w:ascii="SimSun" w:hAnsi="SimSun" w:eastAsia="SimSun" w:cs="SimSun"/>
          <w:sz w:val="24"/>
          <w:szCs w:val="24"/>
          <w:spacing w:val="11"/>
        </w:rPr>
        <w:t>因此，本项目与《生猪屠宰管理条例》(中华人民共</w:t>
      </w:r>
      <w:r>
        <w:rPr>
          <w:rFonts w:ascii="SimSun" w:hAnsi="SimSun" w:eastAsia="SimSun" w:cs="SimSun"/>
          <w:sz w:val="24"/>
          <w:szCs w:val="24"/>
          <w:spacing w:val="10"/>
        </w:rPr>
        <w:t>和国国务院令第742</w:t>
      </w:r>
      <w:r>
        <w:rPr>
          <w:rFonts w:ascii="SimSun" w:hAnsi="SimSun" w:eastAsia="SimSun" w:cs="SimSun"/>
          <w:sz w:val="24"/>
          <w:szCs w:val="24"/>
        </w:rPr>
        <w:t xml:space="preserve"> </w:t>
      </w:r>
      <w:r>
        <w:rPr>
          <w:rFonts w:ascii="SimSun" w:hAnsi="SimSun" w:eastAsia="SimSun" w:cs="SimSun"/>
          <w:sz w:val="24"/>
          <w:szCs w:val="24"/>
          <w:spacing w:val="12"/>
        </w:rPr>
        <w:t>号)要求相符。</w:t>
      </w:r>
    </w:p>
    <w:p>
      <w:pPr>
        <w:ind w:left="348" w:right="352" w:firstLine="480"/>
        <w:spacing w:line="350" w:lineRule="auto"/>
        <w:rPr>
          <w:rFonts w:ascii="SimSun" w:hAnsi="SimSun" w:eastAsia="SimSun" w:cs="SimSun"/>
          <w:sz w:val="24"/>
          <w:szCs w:val="24"/>
        </w:rPr>
      </w:pPr>
      <w:r>
        <w:rPr>
          <w:rFonts w:ascii="SimSun" w:hAnsi="SimSun" w:eastAsia="SimSun" w:cs="SimSun"/>
          <w:sz w:val="24"/>
          <w:szCs w:val="24"/>
          <w:b/>
          <w:bCs/>
          <w:spacing w:val="5"/>
        </w:rPr>
        <w:t>2、与《四川省生猪屠宰管理办法》(四川省人民政府令第111号发布及第</w:t>
      </w:r>
      <w:r>
        <w:rPr>
          <w:rFonts w:ascii="SimSun" w:hAnsi="SimSun" w:eastAsia="SimSun" w:cs="SimSun"/>
          <w:sz w:val="24"/>
          <w:szCs w:val="24"/>
          <w:spacing w:val="12"/>
        </w:rPr>
        <w:t xml:space="preserve"> </w:t>
      </w:r>
      <w:r>
        <w:rPr>
          <w:rFonts w:ascii="SimSun" w:hAnsi="SimSun" w:eastAsia="SimSun" w:cs="SimSun"/>
          <w:sz w:val="24"/>
          <w:szCs w:val="24"/>
          <w:b/>
          <w:bCs/>
          <w:spacing w:val="11"/>
        </w:rPr>
        <w:t>244号修订)符合性分析</w:t>
      </w:r>
    </w:p>
    <w:p>
      <w:pPr>
        <w:ind w:left="1728"/>
        <w:spacing w:line="218" w:lineRule="auto"/>
        <w:rPr>
          <w:rFonts w:ascii="SimSun" w:hAnsi="SimSun" w:eastAsia="SimSun" w:cs="SimSun"/>
          <w:sz w:val="24"/>
          <w:szCs w:val="24"/>
        </w:rPr>
      </w:pPr>
      <w:r>
        <w:rPr>
          <w:rFonts w:ascii="SimSun" w:hAnsi="SimSun" w:eastAsia="SimSun" w:cs="SimSun"/>
          <w:sz w:val="24"/>
          <w:szCs w:val="24"/>
          <w:b/>
          <w:bCs/>
          <w:spacing w:val="-3"/>
        </w:rPr>
        <w:t>表1.4-5本项目与《四川省生猪屠宰管理办法》符合性分析</w:t>
      </w:r>
    </w:p>
    <w:p>
      <w:pPr>
        <w:spacing w:line="15" w:lineRule="exact"/>
        <w:rPr/>
      </w:pPr>
      <w:r/>
    </w:p>
    <w:tbl>
      <w:tblPr>
        <w:tblStyle w:val="TableNormal"/>
        <w:tblW w:w="89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934"/>
        <w:gridCol w:w="3965"/>
        <w:gridCol w:w="3386"/>
        <w:gridCol w:w="714"/>
      </w:tblGrid>
      <w:tr>
        <w:trPr>
          <w:trHeight w:val="283" w:hRule="atLeast"/>
        </w:trPr>
        <w:tc>
          <w:tcPr>
            <w:shd w:val="clear" w:fill="BDBDBD"/>
            <w:tcW w:w="4899" w:type="dxa"/>
            <w:vAlign w:val="top"/>
            <w:gridSpan w:val="2"/>
          </w:tcPr>
          <w:p>
            <w:pPr>
              <w:pStyle w:val="TableText"/>
              <w:ind w:left="882"/>
              <w:spacing w:before="39" w:line="205" w:lineRule="auto"/>
              <w:rPr>
                <w:sz w:val="21"/>
                <w:szCs w:val="21"/>
              </w:rPr>
            </w:pPr>
            <w:r>
              <w:rPr>
                <w:sz w:val="21"/>
                <w:szCs w:val="21"/>
                <w:b/>
                <w:bCs/>
                <w:spacing w:val="-4"/>
              </w:rPr>
              <w:t>《四川省生猪屠宰管理办法》要求</w:t>
            </w:r>
          </w:p>
        </w:tc>
        <w:tc>
          <w:tcPr>
            <w:shd w:val="clear" w:fill="BDBDBD"/>
            <w:tcW w:w="3386" w:type="dxa"/>
            <w:vAlign w:val="top"/>
          </w:tcPr>
          <w:p>
            <w:pPr>
              <w:pStyle w:val="TableText"/>
              <w:ind w:left="1168"/>
              <w:spacing w:before="39" w:line="205" w:lineRule="auto"/>
              <w:rPr>
                <w:sz w:val="21"/>
                <w:szCs w:val="21"/>
              </w:rPr>
            </w:pPr>
            <w:r>
              <w:rPr>
                <w:sz w:val="21"/>
                <w:szCs w:val="21"/>
                <w:b/>
                <w:bCs/>
                <w:spacing w:val="-4"/>
              </w:rPr>
              <w:t>本项目情况</w:t>
            </w:r>
          </w:p>
        </w:tc>
        <w:tc>
          <w:tcPr>
            <w:shd w:val="clear" w:fill="BDBDBD"/>
            <w:tcW w:w="714" w:type="dxa"/>
            <w:vAlign w:val="top"/>
          </w:tcPr>
          <w:p>
            <w:pPr>
              <w:pStyle w:val="TableText"/>
              <w:ind w:left="42"/>
              <w:spacing w:before="39" w:line="205" w:lineRule="auto"/>
              <w:rPr>
                <w:sz w:val="21"/>
                <w:szCs w:val="21"/>
              </w:rPr>
            </w:pPr>
            <w:r>
              <w:rPr>
                <w:sz w:val="21"/>
                <w:szCs w:val="21"/>
                <w:b/>
                <w:bCs/>
                <w:spacing w:val="-5"/>
              </w:rPr>
              <w:t>符合性</w:t>
            </w:r>
          </w:p>
        </w:tc>
      </w:tr>
      <w:tr>
        <w:trPr>
          <w:trHeight w:val="1906" w:hRule="atLeast"/>
        </w:trPr>
        <w:tc>
          <w:tcPr>
            <w:tcW w:w="934"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144"/>
              <w:spacing w:before="69" w:line="219" w:lineRule="auto"/>
              <w:rPr>
                <w:sz w:val="21"/>
                <w:szCs w:val="21"/>
              </w:rPr>
            </w:pPr>
            <w:r>
              <w:rPr>
                <w:sz w:val="21"/>
                <w:szCs w:val="21"/>
                <w:spacing w:val="-2"/>
              </w:rPr>
              <w:t>第八条</w:t>
            </w:r>
          </w:p>
        </w:tc>
        <w:tc>
          <w:tcPr>
            <w:tcW w:w="3965" w:type="dxa"/>
            <w:vAlign w:val="top"/>
          </w:tcPr>
          <w:p>
            <w:pPr>
              <w:pStyle w:val="TableText"/>
              <w:ind w:left="13"/>
              <w:spacing w:before="167" w:line="219" w:lineRule="auto"/>
              <w:rPr>
                <w:sz w:val="21"/>
                <w:szCs w:val="21"/>
              </w:rPr>
            </w:pPr>
            <w:r>
              <w:rPr>
                <w:sz w:val="21"/>
                <w:szCs w:val="21"/>
                <w:b/>
                <w:bCs/>
                <w:spacing w:val="-3"/>
              </w:rPr>
              <w:t>生猪定点屠宰厂(场)和小型生猪屠宰场</w:t>
            </w:r>
          </w:p>
          <w:p>
            <w:pPr>
              <w:pStyle w:val="TableText"/>
              <w:ind w:left="13" w:right="62"/>
              <w:spacing w:before="31" w:line="234" w:lineRule="auto"/>
              <w:rPr>
                <w:sz w:val="21"/>
                <w:szCs w:val="21"/>
              </w:rPr>
            </w:pPr>
            <w:r>
              <w:rPr>
                <w:sz w:val="21"/>
                <w:szCs w:val="21"/>
                <w:b/>
                <w:bCs/>
                <w:spacing w:val="3"/>
              </w:rPr>
              <w:t>点的选址，应当符合国家和省环境保护、</w:t>
            </w:r>
            <w:r>
              <w:rPr>
                <w:sz w:val="21"/>
                <w:szCs w:val="21"/>
                <w:spacing w:val="4"/>
              </w:rPr>
              <w:t xml:space="preserve"> </w:t>
            </w:r>
            <w:r>
              <w:rPr>
                <w:sz w:val="21"/>
                <w:szCs w:val="21"/>
                <w:b/>
                <w:bCs/>
                <w:spacing w:val="-3"/>
              </w:rPr>
              <w:t>食品卫生、动物防疫、土地利用等方面的</w:t>
            </w:r>
            <w:r>
              <w:rPr>
                <w:sz w:val="21"/>
                <w:szCs w:val="21"/>
                <w:spacing w:val="2"/>
              </w:rPr>
              <w:t xml:space="preserve">  </w:t>
            </w:r>
            <w:r>
              <w:rPr>
                <w:sz w:val="21"/>
                <w:szCs w:val="21"/>
                <w:b/>
                <w:bCs/>
                <w:spacing w:val="-3"/>
              </w:rPr>
              <w:t>要求，远离医院、幼儿园、学校、敬老</w:t>
            </w:r>
          </w:p>
          <w:p>
            <w:pPr>
              <w:pStyle w:val="TableText"/>
              <w:ind w:left="13" w:right="146"/>
              <w:spacing w:before="2" w:line="239" w:lineRule="auto"/>
              <w:rPr>
                <w:sz w:val="21"/>
                <w:szCs w:val="21"/>
              </w:rPr>
            </w:pPr>
            <w:r>
              <w:rPr>
                <w:sz w:val="21"/>
                <w:szCs w:val="21"/>
                <w:b/>
                <w:bCs/>
                <w:spacing w:val="-2"/>
              </w:rPr>
              <w:t>院、社会福利机构、居民集中住宅区及畜</w:t>
            </w:r>
            <w:r>
              <w:rPr>
                <w:sz w:val="21"/>
                <w:szCs w:val="21"/>
                <w:spacing w:val="9"/>
              </w:rPr>
              <w:t xml:space="preserve"> </w:t>
            </w:r>
            <w:r>
              <w:rPr>
                <w:sz w:val="21"/>
                <w:szCs w:val="21"/>
                <w:b/>
                <w:bCs/>
                <w:spacing w:val="-4"/>
              </w:rPr>
              <w:t>禽养殖场等场所。</w:t>
            </w:r>
          </w:p>
        </w:tc>
        <w:tc>
          <w:tcPr>
            <w:tcW w:w="3386" w:type="dxa"/>
            <w:vAlign w:val="top"/>
          </w:tcPr>
          <w:p>
            <w:pPr>
              <w:pStyle w:val="TableText"/>
              <w:ind w:left="19" w:right="71" w:firstLine="39"/>
              <w:spacing w:before="26" w:line="242" w:lineRule="auto"/>
              <w:rPr>
                <w:sz w:val="21"/>
                <w:szCs w:val="21"/>
              </w:rPr>
            </w:pPr>
            <w:r>
              <w:rPr>
                <w:sz w:val="21"/>
                <w:szCs w:val="21"/>
                <w:b/>
                <w:bCs/>
                <w:spacing w:val="-3"/>
              </w:rPr>
              <w:t>本项目为“C1351牲畜屠宰”改扩建</w:t>
            </w:r>
            <w:r>
              <w:rPr>
                <w:sz w:val="21"/>
                <w:szCs w:val="21"/>
                <w:spacing w:val="4"/>
              </w:rPr>
              <w:t xml:space="preserve"> </w:t>
            </w:r>
            <w:r>
              <w:rPr>
                <w:sz w:val="21"/>
                <w:szCs w:val="21"/>
                <w:b/>
                <w:bCs/>
                <w:spacing w:val="-3"/>
              </w:rPr>
              <w:t>项目，屠宰生猪40万头/年，肉牛4</w:t>
            </w:r>
          </w:p>
          <w:p>
            <w:pPr>
              <w:pStyle w:val="TableText"/>
              <w:ind w:left="19" w:right="46" w:firstLine="39"/>
              <w:spacing w:before="1" w:line="226" w:lineRule="auto"/>
              <w:rPr>
                <w:sz w:val="21"/>
                <w:szCs w:val="21"/>
              </w:rPr>
            </w:pPr>
            <w:r>
              <w:rPr>
                <w:sz w:val="21"/>
                <w:szCs w:val="21"/>
                <w:b/>
                <w:bCs/>
                <w:spacing w:val="-2"/>
              </w:rPr>
              <w:t>万头/年，属于生猪、肉牛定点屠宰</w:t>
            </w:r>
            <w:r>
              <w:rPr>
                <w:sz w:val="21"/>
                <w:szCs w:val="21"/>
                <w:spacing w:val="10"/>
              </w:rPr>
              <w:t xml:space="preserve"> </w:t>
            </w:r>
            <w:r>
              <w:rPr>
                <w:sz w:val="21"/>
                <w:szCs w:val="21"/>
                <w:b/>
                <w:bCs/>
                <w:spacing w:val="-3"/>
              </w:rPr>
              <w:t>厂(场),本项目选址符合国家和省</w:t>
            </w:r>
          </w:p>
          <w:p>
            <w:pPr>
              <w:pStyle w:val="TableText"/>
              <w:ind w:left="9" w:right="14"/>
              <w:spacing w:before="25" w:line="228" w:lineRule="auto"/>
              <w:rPr>
                <w:sz w:val="21"/>
                <w:szCs w:val="21"/>
              </w:rPr>
            </w:pPr>
            <w:r>
              <w:rPr>
                <w:sz w:val="21"/>
                <w:szCs w:val="21"/>
                <w:b/>
                <w:bCs/>
                <w:spacing w:val="-3"/>
              </w:rPr>
              <w:t>环境保护、食品卫生、动物防疫、土</w:t>
            </w:r>
            <w:r>
              <w:rPr>
                <w:sz w:val="21"/>
                <w:szCs w:val="21"/>
                <w:spacing w:val="3"/>
              </w:rPr>
              <w:t xml:space="preserve"> </w:t>
            </w:r>
            <w:r>
              <w:rPr>
                <w:sz w:val="21"/>
                <w:szCs w:val="21"/>
                <w:b/>
                <w:bCs/>
                <w:spacing w:val="-3"/>
              </w:rPr>
              <w:t>地利用等方面的要求，周边主要以工</w:t>
            </w:r>
            <w:r>
              <w:rPr>
                <w:sz w:val="21"/>
                <w:szCs w:val="21"/>
                <w:spacing w:val="3"/>
              </w:rPr>
              <w:t xml:space="preserve"> </w:t>
            </w:r>
            <w:r>
              <w:rPr>
                <w:sz w:val="21"/>
                <w:szCs w:val="21"/>
                <w:b/>
                <w:bCs/>
                <w:spacing w:val="-3"/>
              </w:rPr>
              <w:t>业企业为主，距项目所在地最近的环</w:t>
            </w:r>
          </w:p>
        </w:tc>
        <w:tc>
          <w:tcPr>
            <w:tcW w:w="714"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140"/>
              <w:spacing w:before="69" w:line="219" w:lineRule="auto"/>
              <w:rPr>
                <w:sz w:val="21"/>
                <w:szCs w:val="21"/>
              </w:rPr>
            </w:pPr>
            <w:r>
              <w:rPr>
                <w:sz w:val="21"/>
                <w:szCs w:val="21"/>
                <w:spacing w:val="-3"/>
              </w:rPr>
              <w:t>符合</w:t>
            </w:r>
          </w:p>
        </w:tc>
      </w:tr>
    </w:tbl>
    <w:p>
      <w:pPr>
        <w:pStyle w:val="BodyText"/>
        <w:rPr/>
      </w:pPr>
      <w:r/>
    </w:p>
    <w:p>
      <w:pPr>
        <w:sectPr>
          <w:headerReference w:type="default" r:id="rId50"/>
          <w:footerReference w:type="default" r:id="rId51"/>
          <w:pgSz w:w="11910" w:h="16840"/>
          <w:pgMar w:top="1210" w:right="1465" w:bottom="991" w:left="1435" w:header="902" w:footer="732" w:gutter="0"/>
        </w:sectPr>
        <w:rPr/>
      </w:pPr>
    </w:p>
    <w:p>
      <w:pPr>
        <w:spacing w:line="224" w:lineRule="exact"/>
        <w:rPr/>
      </w:pPr>
      <w:r/>
    </w:p>
    <w:tbl>
      <w:tblPr>
        <w:tblStyle w:val="TableNormal"/>
        <w:tblW w:w="899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944"/>
        <w:gridCol w:w="3956"/>
        <w:gridCol w:w="3376"/>
        <w:gridCol w:w="714"/>
      </w:tblGrid>
      <w:tr>
        <w:trPr>
          <w:trHeight w:val="275" w:hRule="atLeast"/>
        </w:trPr>
        <w:tc>
          <w:tcPr>
            <w:shd w:val="clear" w:fill="BDBDBD"/>
            <w:tcW w:w="4900" w:type="dxa"/>
            <w:vAlign w:val="top"/>
            <w:gridSpan w:val="2"/>
          </w:tcPr>
          <w:p>
            <w:pPr>
              <w:pStyle w:val="TableText"/>
              <w:ind w:left="882"/>
              <w:spacing w:before="30" w:line="206" w:lineRule="auto"/>
              <w:rPr>
                <w:sz w:val="21"/>
                <w:szCs w:val="21"/>
              </w:rPr>
            </w:pPr>
            <w:r>
              <w:rPr>
                <w:sz w:val="21"/>
                <w:szCs w:val="21"/>
                <w:b/>
                <w:bCs/>
                <w:spacing w:val="-4"/>
              </w:rPr>
              <w:t>《四川省生猪屠宰管理办法》要求</w:t>
            </w:r>
          </w:p>
        </w:tc>
        <w:tc>
          <w:tcPr>
            <w:shd w:val="clear" w:fill="BDBDBD"/>
            <w:tcW w:w="3376" w:type="dxa"/>
            <w:vAlign w:val="top"/>
          </w:tcPr>
          <w:p>
            <w:pPr>
              <w:pStyle w:val="TableText"/>
              <w:ind w:left="1147"/>
              <w:spacing w:before="29" w:line="207" w:lineRule="auto"/>
              <w:rPr>
                <w:sz w:val="21"/>
                <w:szCs w:val="21"/>
              </w:rPr>
            </w:pPr>
            <w:r>
              <w:rPr>
                <w:sz w:val="21"/>
                <w:szCs w:val="21"/>
                <w:b/>
                <w:bCs/>
                <w:spacing w:val="-4"/>
              </w:rPr>
              <w:t>本项目情况</w:t>
            </w:r>
          </w:p>
        </w:tc>
        <w:tc>
          <w:tcPr>
            <w:shd w:val="clear" w:fill="BDBDBD"/>
            <w:tcW w:w="714" w:type="dxa"/>
            <w:vAlign w:val="top"/>
          </w:tcPr>
          <w:p>
            <w:pPr>
              <w:pStyle w:val="TableText"/>
              <w:ind w:left="41"/>
              <w:spacing w:before="30" w:line="206" w:lineRule="auto"/>
              <w:rPr>
                <w:sz w:val="21"/>
                <w:szCs w:val="21"/>
              </w:rPr>
            </w:pPr>
            <w:r>
              <w:rPr>
                <w:sz w:val="21"/>
                <w:szCs w:val="21"/>
                <w:b/>
                <w:bCs/>
                <w:spacing w:val="-5"/>
              </w:rPr>
              <w:t>符合性</w:t>
            </w:r>
          </w:p>
        </w:tc>
      </w:tr>
      <w:tr>
        <w:trPr>
          <w:trHeight w:val="2448" w:hRule="atLeast"/>
        </w:trPr>
        <w:tc>
          <w:tcPr>
            <w:tcW w:w="944" w:type="dxa"/>
            <w:vAlign w:val="top"/>
            <w:vMerge w:val="restart"/>
            <w:tcBorders>
              <w:bottom w:val="nil"/>
            </w:tcBorders>
          </w:tcPr>
          <w:p>
            <w:pPr>
              <w:rPr>
                <w:rFonts w:ascii="Arial"/>
                <w:sz w:val="21"/>
              </w:rPr>
            </w:pPr>
            <w:r/>
          </w:p>
        </w:tc>
        <w:tc>
          <w:tcPr>
            <w:tcW w:w="3956" w:type="dxa"/>
            <w:vAlign w:val="top"/>
          </w:tcPr>
          <w:p>
            <w:pPr>
              <w:rPr>
                <w:rFonts w:ascii="Arial"/>
                <w:sz w:val="21"/>
              </w:rPr>
            </w:pPr>
            <w:r/>
          </w:p>
        </w:tc>
        <w:tc>
          <w:tcPr>
            <w:tcW w:w="3376" w:type="dxa"/>
            <w:vAlign w:val="top"/>
          </w:tcPr>
          <w:p>
            <w:pPr>
              <w:pStyle w:val="TableText"/>
              <w:ind w:left="15"/>
              <w:spacing w:before="47" w:line="219" w:lineRule="auto"/>
              <w:rPr>
                <w:sz w:val="21"/>
                <w:szCs w:val="21"/>
              </w:rPr>
            </w:pPr>
            <w:r>
              <w:rPr>
                <w:sz w:val="21"/>
                <w:szCs w:val="21"/>
                <w:spacing w:val="1"/>
              </w:rPr>
              <w:t>境敏感目标为东侧约180m处安州区</w:t>
            </w:r>
          </w:p>
          <w:p>
            <w:pPr>
              <w:pStyle w:val="TableText"/>
              <w:ind w:left="15"/>
              <w:spacing w:before="32" w:line="219" w:lineRule="auto"/>
              <w:rPr>
                <w:sz w:val="21"/>
                <w:szCs w:val="21"/>
              </w:rPr>
            </w:pPr>
            <w:r>
              <w:rPr>
                <w:sz w:val="21"/>
                <w:szCs w:val="21"/>
              </w:rPr>
              <w:t>高级职业中学以及北侧约500m处前</w:t>
            </w:r>
          </w:p>
          <w:p>
            <w:pPr>
              <w:pStyle w:val="TableText"/>
              <w:ind w:left="15"/>
              <w:spacing w:before="9" w:line="219" w:lineRule="auto"/>
              <w:rPr>
                <w:sz w:val="21"/>
                <w:szCs w:val="21"/>
              </w:rPr>
            </w:pPr>
            <w:r>
              <w:rPr>
                <w:sz w:val="21"/>
                <w:szCs w:val="21"/>
                <w:spacing w:val="1"/>
              </w:rPr>
              <w:t>进村，最近的卫生院为东南侧约</w:t>
            </w:r>
          </w:p>
          <w:p>
            <w:pPr>
              <w:pStyle w:val="TableText"/>
              <w:ind w:left="15"/>
              <w:spacing w:before="32" w:line="219" w:lineRule="auto"/>
              <w:rPr>
                <w:sz w:val="21"/>
                <w:szCs w:val="21"/>
              </w:rPr>
            </w:pPr>
            <w:r>
              <w:rPr>
                <w:sz w:val="21"/>
                <w:szCs w:val="21"/>
              </w:rPr>
              <w:t>660m处花芗镇前进卫生室，最近的</w:t>
            </w:r>
          </w:p>
          <w:p>
            <w:pPr>
              <w:pStyle w:val="TableText"/>
              <w:ind w:left="15"/>
              <w:spacing w:before="10" w:line="219" w:lineRule="auto"/>
              <w:rPr>
                <w:sz w:val="21"/>
                <w:szCs w:val="21"/>
              </w:rPr>
            </w:pPr>
            <w:r>
              <w:rPr>
                <w:sz w:val="21"/>
                <w:szCs w:val="21"/>
                <w:spacing w:val="-2"/>
              </w:rPr>
              <w:t>医院为东北侧约912m处绵阳市四O</w:t>
            </w:r>
          </w:p>
          <w:p>
            <w:pPr>
              <w:pStyle w:val="TableText"/>
              <w:ind w:left="15"/>
              <w:spacing w:before="32" w:line="226" w:lineRule="auto"/>
              <w:rPr>
                <w:sz w:val="21"/>
                <w:szCs w:val="21"/>
              </w:rPr>
            </w:pPr>
            <w:r>
              <w:rPr>
                <w:sz w:val="21"/>
                <w:szCs w:val="21"/>
                <w:spacing w:val="-1"/>
              </w:rPr>
              <w:t>四医院医联体医院，项目四至范围内</w:t>
            </w:r>
            <w:r>
              <w:rPr>
                <w:sz w:val="21"/>
                <w:szCs w:val="21"/>
                <w:spacing w:val="5"/>
              </w:rPr>
              <w:t xml:space="preserve"> </w:t>
            </w:r>
            <w:r>
              <w:rPr>
                <w:sz w:val="21"/>
                <w:szCs w:val="21"/>
                <w:spacing w:val="-3"/>
              </w:rPr>
              <w:t>无医院、幼儿园、学校、敬老院、社</w:t>
            </w:r>
            <w:r>
              <w:rPr>
                <w:sz w:val="21"/>
                <w:szCs w:val="21"/>
              </w:rPr>
              <w:t xml:space="preserve"> </w:t>
            </w:r>
            <w:r>
              <w:rPr>
                <w:sz w:val="21"/>
                <w:szCs w:val="21"/>
                <w:spacing w:val="-3"/>
              </w:rPr>
              <w:t>会福利机构、居民集中住宅区及畜禽</w:t>
            </w:r>
            <w:r>
              <w:rPr>
                <w:sz w:val="21"/>
                <w:szCs w:val="21"/>
                <w:spacing w:val="2"/>
              </w:rPr>
              <w:t xml:space="preserve"> </w:t>
            </w:r>
            <w:r>
              <w:rPr>
                <w:sz w:val="21"/>
                <w:szCs w:val="21"/>
                <w:spacing w:val="-3"/>
              </w:rPr>
              <w:t>养殖场等场所。</w:t>
            </w:r>
          </w:p>
        </w:tc>
        <w:tc>
          <w:tcPr>
            <w:tcW w:w="714" w:type="dxa"/>
            <w:vAlign w:val="top"/>
          </w:tcPr>
          <w:p>
            <w:pPr>
              <w:rPr>
                <w:rFonts w:ascii="Arial"/>
                <w:sz w:val="21"/>
              </w:rPr>
            </w:pPr>
            <w:r/>
          </w:p>
        </w:tc>
      </w:tr>
      <w:tr>
        <w:trPr>
          <w:trHeight w:val="829" w:hRule="atLeast"/>
        </w:trPr>
        <w:tc>
          <w:tcPr>
            <w:tcW w:w="944" w:type="dxa"/>
            <w:vAlign w:val="top"/>
            <w:vMerge w:val="continue"/>
            <w:tcBorders>
              <w:top w:val="nil"/>
            </w:tcBorders>
          </w:tcPr>
          <w:p>
            <w:pPr>
              <w:rPr>
                <w:rFonts w:ascii="Arial"/>
                <w:sz w:val="21"/>
              </w:rPr>
            </w:pPr>
            <w:r/>
          </w:p>
        </w:tc>
        <w:tc>
          <w:tcPr>
            <w:tcW w:w="3956" w:type="dxa"/>
            <w:vAlign w:val="top"/>
          </w:tcPr>
          <w:p>
            <w:pPr>
              <w:pStyle w:val="TableText"/>
              <w:ind w:left="70" w:right="103"/>
              <w:spacing w:before="40" w:line="228" w:lineRule="auto"/>
              <w:rPr>
                <w:sz w:val="21"/>
                <w:szCs w:val="21"/>
              </w:rPr>
            </w:pPr>
            <w:r>
              <w:rPr>
                <w:sz w:val="21"/>
                <w:szCs w:val="21"/>
                <w:spacing w:val="-1"/>
              </w:rPr>
              <w:t>禁止在饮用水源保护区、自然保护区等法</w:t>
            </w:r>
            <w:r>
              <w:rPr>
                <w:sz w:val="21"/>
                <w:szCs w:val="21"/>
                <w:spacing w:val="8"/>
              </w:rPr>
              <w:t xml:space="preserve"> </w:t>
            </w:r>
            <w:r>
              <w:rPr>
                <w:sz w:val="21"/>
                <w:szCs w:val="21"/>
                <w:spacing w:val="2"/>
              </w:rPr>
              <w:t>定保护区域内设置生猪定点屠宰厂(场)</w:t>
            </w:r>
            <w:r>
              <w:rPr>
                <w:sz w:val="21"/>
                <w:szCs w:val="21"/>
                <w:spacing w:val="4"/>
              </w:rPr>
              <w:t xml:space="preserve">  </w:t>
            </w:r>
            <w:r>
              <w:rPr>
                <w:sz w:val="21"/>
                <w:szCs w:val="21"/>
                <w:spacing w:val="-1"/>
              </w:rPr>
              <w:t>和小型生猪屠宰场点。</w:t>
            </w:r>
          </w:p>
        </w:tc>
        <w:tc>
          <w:tcPr>
            <w:tcW w:w="3376" w:type="dxa"/>
            <w:vAlign w:val="top"/>
          </w:tcPr>
          <w:p>
            <w:pPr>
              <w:pStyle w:val="TableText"/>
              <w:ind w:left="15"/>
              <w:spacing w:before="179" w:line="249" w:lineRule="auto"/>
              <w:rPr>
                <w:sz w:val="21"/>
                <w:szCs w:val="21"/>
              </w:rPr>
            </w:pPr>
            <w:r>
              <w:rPr>
                <w:sz w:val="21"/>
                <w:szCs w:val="21"/>
                <w:spacing w:val="-1"/>
              </w:rPr>
              <w:t>本项目选址不在饮用水源保护区、自</w:t>
            </w:r>
            <w:r>
              <w:rPr>
                <w:sz w:val="21"/>
                <w:szCs w:val="21"/>
                <w:spacing w:val="5"/>
              </w:rPr>
              <w:t xml:space="preserve"> </w:t>
            </w:r>
            <w:r>
              <w:rPr>
                <w:sz w:val="21"/>
                <w:szCs w:val="21"/>
                <w:spacing w:val="-3"/>
              </w:rPr>
              <w:t>然保护区等法定保护区域内。</w:t>
            </w:r>
          </w:p>
        </w:tc>
        <w:tc>
          <w:tcPr>
            <w:tcW w:w="714" w:type="dxa"/>
            <w:vAlign w:val="top"/>
          </w:tcPr>
          <w:p>
            <w:pPr>
              <w:spacing w:line="241" w:lineRule="auto"/>
              <w:rPr>
                <w:rFonts w:ascii="Arial"/>
                <w:sz w:val="21"/>
              </w:rPr>
            </w:pPr>
            <w:r/>
          </w:p>
          <w:p>
            <w:pPr>
              <w:pStyle w:val="TableText"/>
              <w:ind w:left="139"/>
              <w:spacing w:before="68" w:line="219" w:lineRule="auto"/>
              <w:rPr>
                <w:sz w:val="21"/>
                <w:szCs w:val="21"/>
              </w:rPr>
            </w:pPr>
            <w:r>
              <w:rPr>
                <w:sz w:val="21"/>
                <w:szCs w:val="21"/>
                <w:spacing w:val="-3"/>
              </w:rPr>
              <w:t>符合</w:t>
            </w:r>
          </w:p>
        </w:tc>
      </w:tr>
      <w:tr>
        <w:trPr>
          <w:trHeight w:val="819" w:hRule="atLeast"/>
        </w:trPr>
        <w:tc>
          <w:tcPr>
            <w:tcW w:w="944" w:type="dxa"/>
            <w:vAlign w:val="top"/>
            <w:vMerge w:val="restart"/>
            <w:tcBorders>
              <w:bottom w:val="nil"/>
            </w:tcBorders>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45"/>
              <w:spacing w:before="68" w:line="219" w:lineRule="auto"/>
              <w:rPr>
                <w:sz w:val="21"/>
                <w:szCs w:val="21"/>
              </w:rPr>
            </w:pPr>
            <w:r>
              <w:rPr>
                <w:sz w:val="21"/>
                <w:szCs w:val="21"/>
                <w:spacing w:val="-2"/>
              </w:rPr>
              <w:t>第九条生</w:t>
            </w:r>
          </w:p>
          <w:p>
            <w:pPr>
              <w:pStyle w:val="TableText"/>
              <w:ind w:left="45"/>
              <w:spacing w:before="21" w:line="220" w:lineRule="auto"/>
              <w:rPr>
                <w:sz w:val="21"/>
                <w:szCs w:val="21"/>
              </w:rPr>
            </w:pPr>
            <w:r>
              <w:rPr>
                <w:sz w:val="21"/>
                <w:szCs w:val="21"/>
                <w:spacing w:val="-2"/>
              </w:rPr>
              <w:t>猪定点屠</w:t>
            </w:r>
          </w:p>
          <w:p>
            <w:pPr>
              <w:pStyle w:val="TableText"/>
              <w:ind w:left="254"/>
              <w:spacing w:before="19" w:line="219" w:lineRule="auto"/>
              <w:rPr>
                <w:sz w:val="21"/>
                <w:szCs w:val="21"/>
              </w:rPr>
            </w:pPr>
            <w:r>
              <w:rPr>
                <w:sz w:val="21"/>
                <w:szCs w:val="21"/>
                <w:spacing w:val="6"/>
              </w:rPr>
              <w:t>宰厂</w:t>
            </w:r>
          </w:p>
          <w:p>
            <w:pPr>
              <w:pStyle w:val="TableText"/>
              <w:ind w:left="84"/>
              <w:spacing w:before="31" w:line="220" w:lineRule="auto"/>
              <w:rPr>
                <w:sz w:val="21"/>
                <w:szCs w:val="21"/>
              </w:rPr>
            </w:pPr>
            <w:r>
              <w:rPr>
                <w:sz w:val="21"/>
                <w:szCs w:val="21"/>
                <w:spacing w:val="-16"/>
              </w:rPr>
              <w:t>(</w:t>
            </w:r>
            <w:r>
              <w:rPr>
                <w:sz w:val="21"/>
                <w:szCs w:val="21"/>
                <w:spacing w:val="-35"/>
              </w:rPr>
              <w:t xml:space="preserve"> </w:t>
            </w:r>
            <w:r>
              <w:rPr>
                <w:sz w:val="21"/>
                <w:szCs w:val="21"/>
                <w:spacing w:val="-16"/>
              </w:rPr>
              <w:t>场</w:t>
            </w:r>
            <w:r>
              <w:rPr>
                <w:sz w:val="21"/>
                <w:szCs w:val="21"/>
                <w:spacing w:val="-35"/>
              </w:rPr>
              <w:t xml:space="preserve"> </w:t>
            </w:r>
            <w:r>
              <w:rPr>
                <w:sz w:val="21"/>
                <w:szCs w:val="21"/>
                <w:spacing w:val="-16"/>
              </w:rPr>
              <w:t>)</w:t>
            </w:r>
            <w:r>
              <w:rPr>
                <w:sz w:val="21"/>
                <w:szCs w:val="21"/>
                <w:spacing w:val="-35"/>
              </w:rPr>
              <w:t xml:space="preserve"> </w:t>
            </w:r>
            <w:r>
              <w:rPr>
                <w:sz w:val="21"/>
                <w:szCs w:val="21"/>
                <w:spacing w:val="-16"/>
              </w:rPr>
              <w:t>应</w:t>
            </w:r>
          </w:p>
          <w:p>
            <w:pPr>
              <w:pStyle w:val="TableText"/>
              <w:ind w:left="45"/>
              <w:spacing w:before="20" w:line="221" w:lineRule="auto"/>
              <w:rPr>
                <w:sz w:val="21"/>
                <w:szCs w:val="21"/>
              </w:rPr>
            </w:pPr>
            <w:r>
              <w:rPr>
                <w:sz w:val="21"/>
                <w:szCs w:val="21"/>
                <w:spacing w:val="4"/>
              </w:rPr>
              <w:t>当具备的</w:t>
            </w:r>
          </w:p>
          <w:p>
            <w:pPr>
              <w:pStyle w:val="TableText"/>
              <w:ind w:left="254"/>
              <w:spacing w:before="7" w:line="219" w:lineRule="auto"/>
              <w:rPr>
                <w:sz w:val="21"/>
                <w:szCs w:val="21"/>
              </w:rPr>
            </w:pPr>
            <w:r>
              <w:rPr>
                <w:sz w:val="21"/>
                <w:szCs w:val="21"/>
                <w:spacing w:val="-3"/>
              </w:rPr>
              <w:t>条件</w:t>
            </w:r>
          </w:p>
        </w:tc>
        <w:tc>
          <w:tcPr>
            <w:tcW w:w="3956" w:type="dxa"/>
            <w:vAlign w:val="top"/>
          </w:tcPr>
          <w:p>
            <w:pPr>
              <w:pStyle w:val="TableText"/>
              <w:ind w:left="70" w:right="309"/>
              <w:spacing w:before="41" w:line="238" w:lineRule="auto"/>
              <w:rPr>
                <w:sz w:val="21"/>
                <w:szCs w:val="21"/>
              </w:rPr>
            </w:pPr>
            <w:r>
              <w:rPr>
                <w:sz w:val="21"/>
                <w:szCs w:val="21"/>
                <w:spacing w:val="-1"/>
              </w:rPr>
              <w:t>(一)有与屠宰规模相适应的充足水源，</w:t>
            </w:r>
            <w:r>
              <w:rPr>
                <w:sz w:val="21"/>
                <w:szCs w:val="21"/>
                <w:spacing w:val="12"/>
              </w:rPr>
              <w:t xml:space="preserve"> </w:t>
            </w:r>
            <w:r>
              <w:rPr>
                <w:sz w:val="21"/>
                <w:szCs w:val="21"/>
                <w:spacing w:val="-1"/>
              </w:rPr>
              <w:t>水质符合国家规定的生活饮用水卫生标</w:t>
            </w:r>
          </w:p>
          <w:p>
            <w:pPr>
              <w:pStyle w:val="TableText"/>
              <w:ind w:left="70"/>
              <w:spacing w:line="198" w:lineRule="auto"/>
              <w:rPr>
                <w:sz w:val="21"/>
                <w:szCs w:val="21"/>
              </w:rPr>
            </w:pPr>
            <w:r>
              <w:rPr>
                <w:sz w:val="21"/>
                <w:szCs w:val="21"/>
                <w:color w:val="504040"/>
                <w:spacing w:val="-5"/>
              </w:rPr>
              <w:t>准</w:t>
            </w:r>
            <w:r>
              <w:rPr>
                <w:sz w:val="21"/>
                <w:szCs w:val="21"/>
                <w:color w:val="504040"/>
                <w:spacing w:val="58"/>
              </w:rPr>
              <w:t xml:space="preserve"> </w:t>
            </w:r>
            <w:r>
              <w:rPr>
                <w:sz w:val="21"/>
                <w:szCs w:val="21"/>
                <w:color w:val="504040"/>
                <w:spacing w:val="-5"/>
              </w:rPr>
              <w:t>；</w:t>
            </w:r>
          </w:p>
        </w:tc>
        <w:tc>
          <w:tcPr>
            <w:tcW w:w="3376" w:type="dxa"/>
            <w:vAlign w:val="top"/>
          </w:tcPr>
          <w:p>
            <w:pPr>
              <w:pStyle w:val="TableText"/>
              <w:ind w:left="15"/>
              <w:spacing w:before="181" w:line="231" w:lineRule="auto"/>
              <w:rPr>
                <w:sz w:val="21"/>
                <w:szCs w:val="21"/>
              </w:rPr>
            </w:pPr>
            <w:r>
              <w:rPr>
                <w:sz w:val="21"/>
                <w:szCs w:val="21"/>
                <w:spacing w:val="-1"/>
              </w:rPr>
              <w:t>本项目采用市政用水，水质符合国家</w:t>
            </w:r>
            <w:r>
              <w:rPr>
                <w:sz w:val="21"/>
                <w:szCs w:val="21"/>
                <w:spacing w:val="5"/>
              </w:rPr>
              <w:t xml:space="preserve"> </w:t>
            </w:r>
            <w:r>
              <w:rPr>
                <w:sz w:val="21"/>
                <w:szCs w:val="21"/>
                <w:spacing w:val="-2"/>
              </w:rPr>
              <w:t>规定标准的水源条件。</w:t>
            </w:r>
          </w:p>
        </w:tc>
        <w:tc>
          <w:tcPr>
            <w:tcW w:w="714" w:type="dxa"/>
            <w:vAlign w:val="top"/>
          </w:tcPr>
          <w:p>
            <w:pPr>
              <w:spacing w:line="242" w:lineRule="auto"/>
              <w:rPr>
                <w:rFonts w:ascii="Arial"/>
                <w:sz w:val="21"/>
              </w:rPr>
            </w:pPr>
            <w:r/>
          </w:p>
          <w:p>
            <w:pPr>
              <w:pStyle w:val="TableText"/>
              <w:ind w:left="139"/>
              <w:spacing w:before="68" w:line="219" w:lineRule="auto"/>
              <w:rPr>
                <w:sz w:val="21"/>
                <w:szCs w:val="21"/>
              </w:rPr>
            </w:pPr>
            <w:r>
              <w:rPr>
                <w:sz w:val="21"/>
                <w:szCs w:val="21"/>
                <w:spacing w:val="-3"/>
              </w:rPr>
              <w:t>符合</w:t>
            </w:r>
          </w:p>
        </w:tc>
      </w:tr>
      <w:tr>
        <w:trPr>
          <w:trHeight w:val="1619" w:hRule="atLeast"/>
        </w:trPr>
        <w:tc>
          <w:tcPr>
            <w:tcW w:w="944" w:type="dxa"/>
            <w:vAlign w:val="top"/>
            <w:vMerge w:val="continue"/>
            <w:tcBorders>
              <w:top w:val="nil"/>
              <w:bottom w:val="nil"/>
            </w:tcBorders>
          </w:tcPr>
          <w:p>
            <w:pPr>
              <w:rPr>
                <w:rFonts w:ascii="Arial"/>
                <w:sz w:val="21"/>
              </w:rPr>
            </w:pPr>
            <w:r/>
          </w:p>
        </w:tc>
        <w:tc>
          <w:tcPr>
            <w:tcW w:w="3956" w:type="dxa"/>
            <w:vAlign w:val="top"/>
          </w:tcPr>
          <w:p>
            <w:pPr>
              <w:pStyle w:val="TableText"/>
              <w:ind w:left="80"/>
              <w:spacing w:before="172" w:line="219" w:lineRule="auto"/>
              <w:rPr>
                <w:sz w:val="21"/>
                <w:szCs w:val="21"/>
              </w:rPr>
            </w:pPr>
            <w:r>
              <w:rPr>
                <w:sz w:val="21"/>
                <w:szCs w:val="21"/>
              </w:rPr>
              <w:t>(二)设有待宰间、屠宰间、急宰间、隔</w:t>
            </w:r>
          </w:p>
          <w:p>
            <w:pPr>
              <w:pStyle w:val="TableText"/>
              <w:ind w:left="70" w:right="74"/>
              <w:spacing w:before="40" w:line="233" w:lineRule="auto"/>
              <w:rPr>
                <w:sz w:val="21"/>
                <w:szCs w:val="21"/>
              </w:rPr>
            </w:pPr>
            <w:r>
              <w:rPr>
                <w:sz w:val="21"/>
                <w:szCs w:val="21"/>
              </w:rPr>
              <w:t>离间，建筑要求和工艺设置符合国家标准</w:t>
            </w:r>
            <w:r>
              <w:rPr>
                <w:sz w:val="21"/>
                <w:szCs w:val="21"/>
                <w:spacing w:val="8"/>
              </w:rPr>
              <w:t xml:space="preserve"> </w:t>
            </w:r>
            <w:r>
              <w:rPr>
                <w:sz w:val="21"/>
                <w:szCs w:val="21"/>
                <w:spacing w:val="-1"/>
              </w:rPr>
              <w:t>及卫生防疫规定，光照充足、通风良好，</w:t>
            </w:r>
            <w:r>
              <w:rPr>
                <w:sz w:val="21"/>
                <w:szCs w:val="21"/>
                <w:spacing w:val="11"/>
              </w:rPr>
              <w:t xml:space="preserve"> </w:t>
            </w:r>
            <w:r>
              <w:rPr>
                <w:sz w:val="21"/>
                <w:szCs w:val="21"/>
                <w:spacing w:val="1"/>
              </w:rPr>
              <w:t>建筑和布局符合国家生猪屠宰与分割车间 </w:t>
            </w:r>
            <w:r>
              <w:rPr>
                <w:sz w:val="21"/>
                <w:szCs w:val="21"/>
                <w:spacing w:val="13"/>
              </w:rPr>
              <w:t>设计规范的规定；</w:t>
            </w:r>
          </w:p>
        </w:tc>
        <w:tc>
          <w:tcPr>
            <w:tcW w:w="3376" w:type="dxa"/>
            <w:vAlign w:val="top"/>
          </w:tcPr>
          <w:p>
            <w:pPr>
              <w:pStyle w:val="TableText"/>
              <w:ind w:left="15"/>
              <w:spacing w:before="31" w:line="219" w:lineRule="auto"/>
              <w:rPr>
                <w:sz w:val="21"/>
                <w:szCs w:val="21"/>
              </w:rPr>
            </w:pPr>
            <w:r>
              <w:rPr>
                <w:sz w:val="21"/>
                <w:szCs w:val="21"/>
                <w:spacing w:val="1"/>
              </w:rPr>
              <w:t>本项目设有待宰间、屠宰间、急宰</w:t>
            </w:r>
          </w:p>
          <w:p>
            <w:pPr>
              <w:pStyle w:val="TableText"/>
              <w:ind w:left="15"/>
              <w:spacing w:before="33" w:line="235" w:lineRule="auto"/>
              <w:rPr>
                <w:sz w:val="21"/>
                <w:szCs w:val="21"/>
              </w:rPr>
            </w:pPr>
            <w:r>
              <w:rPr>
                <w:sz w:val="21"/>
                <w:szCs w:val="21"/>
                <w:spacing w:val="-2"/>
              </w:rPr>
              <w:t>间、隔离间，且建筑要求和工艺设置</w:t>
            </w:r>
            <w:r>
              <w:rPr>
                <w:sz w:val="21"/>
                <w:szCs w:val="21"/>
                <w:spacing w:val="7"/>
              </w:rPr>
              <w:t xml:space="preserve"> </w:t>
            </w:r>
            <w:r>
              <w:rPr>
                <w:sz w:val="21"/>
                <w:szCs w:val="21"/>
                <w:spacing w:val="-1"/>
              </w:rPr>
              <w:t>符合国家标准及卫生防疫规定，光照</w:t>
            </w:r>
            <w:r>
              <w:rPr>
                <w:sz w:val="21"/>
                <w:szCs w:val="21"/>
                <w:spacing w:val="1"/>
              </w:rPr>
              <w:t xml:space="preserve"> </w:t>
            </w:r>
            <w:r>
              <w:rPr>
                <w:sz w:val="21"/>
                <w:szCs w:val="21"/>
                <w:spacing w:val="-1"/>
              </w:rPr>
              <w:t>充足、通风良好，建筑和布局符合国</w:t>
            </w:r>
            <w:r>
              <w:rPr>
                <w:sz w:val="21"/>
                <w:szCs w:val="21"/>
                <w:spacing w:val="5"/>
              </w:rPr>
              <w:t xml:space="preserve"> </w:t>
            </w:r>
            <w:r>
              <w:rPr>
                <w:sz w:val="21"/>
                <w:szCs w:val="21"/>
                <w:spacing w:val="-3"/>
              </w:rPr>
              <w:t>家生猪屠宰与分割车间设计规范的规</w:t>
            </w:r>
          </w:p>
          <w:p>
            <w:pPr>
              <w:pStyle w:val="TableText"/>
              <w:ind w:left="15"/>
              <w:spacing w:line="198" w:lineRule="auto"/>
              <w:rPr>
                <w:sz w:val="21"/>
                <w:szCs w:val="21"/>
              </w:rPr>
            </w:pPr>
            <w:r>
              <w:rPr>
                <w:sz w:val="21"/>
                <w:szCs w:val="21"/>
                <w:color w:val="304040"/>
                <w:spacing w:val="-2"/>
              </w:rPr>
              <w:t>定。</w:t>
            </w:r>
          </w:p>
        </w:tc>
        <w:tc>
          <w:tcPr>
            <w:tcW w:w="714" w:type="dxa"/>
            <w:vAlign w:val="top"/>
          </w:tcPr>
          <w:p>
            <w:pPr>
              <w:spacing w:line="320" w:lineRule="auto"/>
              <w:rPr>
                <w:rFonts w:ascii="Arial"/>
                <w:sz w:val="21"/>
              </w:rPr>
            </w:pPr>
            <w:r/>
          </w:p>
          <w:p>
            <w:pPr>
              <w:spacing w:line="320" w:lineRule="auto"/>
              <w:rPr>
                <w:rFonts w:ascii="Arial"/>
                <w:sz w:val="21"/>
              </w:rPr>
            </w:pPr>
            <w:r/>
          </w:p>
          <w:p>
            <w:pPr>
              <w:pStyle w:val="TableText"/>
              <w:ind w:left="139"/>
              <w:spacing w:before="68" w:line="219" w:lineRule="auto"/>
              <w:rPr>
                <w:sz w:val="21"/>
                <w:szCs w:val="21"/>
              </w:rPr>
            </w:pPr>
            <w:r>
              <w:rPr>
                <w:sz w:val="21"/>
                <w:szCs w:val="21"/>
                <w:spacing w:val="-3"/>
              </w:rPr>
              <w:t>符合</w:t>
            </w:r>
          </w:p>
        </w:tc>
      </w:tr>
      <w:tr>
        <w:trPr>
          <w:trHeight w:val="829" w:hRule="atLeast"/>
        </w:trPr>
        <w:tc>
          <w:tcPr>
            <w:tcW w:w="944" w:type="dxa"/>
            <w:vAlign w:val="top"/>
            <w:vMerge w:val="continue"/>
            <w:tcBorders>
              <w:top w:val="nil"/>
              <w:bottom w:val="nil"/>
            </w:tcBorders>
          </w:tcPr>
          <w:p>
            <w:pPr>
              <w:rPr>
                <w:rFonts w:ascii="Arial"/>
                <w:sz w:val="21"/>
              </w:rPr>
            </w:pPr>
            <w:r/>
          </w:p>
        </w:tc>
        <w:tc>
          <w:tcPr>
            <w:tcW w:w="3956" w:type="dxa"/>
            <w:vAlign w:val="top"/>
          </w:tcPr>
          <w:p>
            <w:pPr>
              <w:pStyle w:val="TableText"/>
              <w:ind w:left="70" w:right="292"/>
              <w:spacing w:before="42" w:line="242" w:lineRule="auto"/>
              <w:rPr>
                <w:sz w:val="21"/>
                <w:szCs w:val="21"/>
              </w:rPr>
            </w:pPr>
            <w:r>
              <w:rPr>
                <w:sz w:val="21"/>
                <w:szCs w:val="21"/>
              </w:rPr>
              <w:t>(三)配备与屠宰规模相适应并取得县级</w:t>
            </w:r>
            <w:r>
              <w:rPr>
                <w:sz w:val="21"/>
                <w:szCs w:val="21"/>
                <w:spacing w:val="11"/>
              </w:rPr>
              <w:t xml:space="preserve"> </w:t>
            </w:r>
            <w:r>
              <w:rPr>
                <w:sz w:val="21"/>
                <w:szCs w:val="21"/>
                <w:spacing w:val="1"/>
              </w:rPr>
              <w:t>以上医疗机构开</w:t>
            </w:r>
          </w:p>
          <w:p>
            <w:pPr>
              <w:pStyle w:val="TableText"/>
              <w:ind w:left="70"/>
              <w:spacing w:line="198" w:lineRule="auto"/>
              <w:rPr>
                <w:sz w:val="21"/>
                <w:szCs w:val="21"/>
              </w:rPr>
            </w:pPr>
            <w:r>
              <w:rPr>
                <w:sz w:val="21"/>
                <w:szCs w:val="21"/>
                <w:spacing w:val="8"/>
              </w:rPr>
              <w:t>具健康证明的屠宰技术人员；</w:t>
            </w:r>
          </w:p>
        </w:tc>
        <w:tc>
          <w:tcPr>
            <w:tcW w:w="3376" w:type="dxa"/>
            <w:vAlign w:val="top"/>
          </w:tcPr>
          <w:p>
            <w:pPr>
              <w:pStyle w:val="TableText"/>
              <w:ind w:left="15"/>
              <w:spacing w:before="44" w:line="227" w:lineRule="auto"/>
              <w:jc w:val="both"/>
              <w:rPr>
                <w:sz w:val="21"/>
                <w:szCs w:val="21"/>
              </w:rPr>
            </w:pPr>
            <w:r>
              <w:rPr>
                <w:sz w:val="21"/>
                <w:szCs w:val="21"/>
                <w:spacing w:val="-3"/>
              </w:rPr>
              <w:t>配备与屠宰规模相适应技术人员，要</w:t>
            </w:r>
            <w:r>
              <w:rPr>
                <w:sz w:val="21"/>
                <w:szCs w:val="21"/>
                <w:spacing w:val="13"/>
              </w:rPr>
              <w:t xml:space="preserve"> </w:t>
            </w:r>
            <w:r>
              <w:rPr>
                <w:sz w:val="21"/>
                <w:szCs w:val="21"/>
                <w:spacing w:val="-1"/>
              </w:rPr>
              <w:t>求员工提供县级以上医疗机构开具的</w:t>
            </w:r>
            <w:r>
              <w:rPr>
                <w:sz w:val="21"/>
                <w:szCs w:val="21"/>
                <w:spacing w:val="5"/>
              </w:rPr>
              <w:t xml:space="preserve"> </w:t>
            </w:r>
            <w:r>
              <w:rPr>
                <w:sz w:val="21"/>
                <w:szCs w:val="21"/>
                <w:spacing w:val="-2"/>
              </w:rPr>
              <w:t>健康证。</w:t>
            </w:r>
          </w:p>
        </w:tc>
        <w:tc>
          <w:tcPr>
            <w:tcW w:w="714" w:type="dxa"/>
            <w:vAlign w:val="top"/>
          </w:tcPr>
          <w:p>
            <w:pPr>
              <w:spacing w:line="244" w:lineRule="auto"/>
              <w:rPr>
                <w:rFonts w:ascii="Arial"/>
                <w:sz w:val="21"/>
              </w:rPr>
            </w:pPr>
            <w:r/>
          </w:p>
          <w:p>
            <w:pPr>
              <w:pStyle w:val="TableText"/>
              <w:ind w:left="139"/>
              <w:spacing w:before="68" w:line="219" w:lineRule="auto"/>
              <w:rPr>
                <w:sz w:val="21"/>
                <w:szCs w:val="21"/>
              </w:rPr>
            </w:pPr>
            <w:r>
              <w:rPr>
                <w:sz w:val="21"/>
                <w:szCs w:val="21"/>
                <w:spacing w:val="-3"/>
              </w:rPr>
              <w:t>符合</w:t>
            </w:r>
          </w:p>
        </w:tc>
      </w:tr>
      <w:tr>
        <w:trPr>
          <w:trHeight w:val="819" w:hRule="atLeast"/>
        </w:trPr>
        <w:tc>
          <w:tcPr>
            <w:tcW w:w="944" w:type="dxa"/>
            <w:vAlign w:val="top"/>
            <w:vMerge w:val="continue"/>
            <w:tcBorders>
              <w:top w:val="nil"/>
              <w:bottom w:val="nil"/>
            </w:tcBorders>
          </w:tcPr>
          <w:p>
            <w:pPr>
              <w:rPr>
                <w:rFonts w:ascii="Arial"/>
                <w:sz w:val="21"/>
              </w:rPr>
            </w:pPr>
            <w:r/>
          </w:p>
        </w:tc>
        <w:tc>
          <w:tcPr>
            <w:tcW w:w="3956" w:type="dxa"/>
            <w:vAlign w:val="top"/>
          </w:tcPr>
          <w:p>
            <w:pPr>
              <w:pStyle w:val="TableText"/>
              <w:ind w:left="70"/>
              <w:spacing w:before="184" w:line="219" w:lineRule="auto"/>
              <w:rPr>
                <w:sz w:val="21"/>
                <w:szCs w:val="21"/>
              </w:rPr>
            </w:pPr>
            <w:r>
              <w:rPr>
                <w:sz w:val="21"/>
                <w:szCs w:val="21"/>
              </w:rPr>
              <w:t>(四)配备与屠宰规模相适应并经省商务</w:t>
            </w:r>
          </w:p>
          <w:p>
            <w:pPr>
              <w:pStyle w:val="TableText"/>
              <w:spacing w:before="10" w:line="219" w:lineRule="auto"/>
              <w:jc w:val="right"/>
              <w:rPr>
                <w:sz w:val="21"/>
                <w:szCs w:val="21"/>
              </w:rPr>
            </w:pPr>
            <w:r>
              <w:rPr>
                <w:sz w:val="21"/>
                <w:szCs w:val="21"/>
                <w:spacing w:val="5"/>
              </w:rPr>
              <w:t>主管部门考核合格的肉品品质检验人员；</w:t>
            </w:r>
          </w:p>
        </w:tc>
        <w:tc>
          <w:tcPr>
            <w:tcW w:w="3376" w:type="dxa"/>
            <w:vAlign w:val="top"/>
          </w:tcPr>
          <w:p>
            <w:pPr>
              <w:pStyle w:val="TableText"/>
              <w:ind w:left="15"/>
              <w:spacing w:before="44" w:line="219" w:lineRule="auto"/>
              <w:rPr>
                <w:sz w:val="21"/>
                <w:szCs w:val="21"/>
              </w:rPr>
            </w:pPr>
            <w:r>
              <w:rPr>
                <w:sz w:val="21"/>
                <w:szCs w:val="21"/>
                <w:spacing w:val="-1"/>
              </w:rPr>
              <w:t>配备与屠宰规模相适应品质检验人</w:t>
            </w:r>
          </w:p>
          <w:p>
            <w:pPr>
              <w:pStyle w:val="TableText"/>
              <w:ind w:left="15"/>
              <w:spacing w:before="19" w:line="218" w:lineRule="auto"/>
              <w:rPr>
                <w:sz w:val="21"/>
                <w:szCs w:val="21"/>
              </w:rPr>
            </w:pPr>
            <w:r>
              <w:rPr>
                <w:sz w:val="21"/>
                <w:szCs w:val="21"/>
                <w:spacing w:val="-1"/>
              </w:rPr>
              <w:t>员，要求员工提供省商务主管部门开</w:t>
            </w:r>
            <w:r>
              <w:rPr>
                <w:sz w:val="21"/>
                <w:szCs w:val="21"/>
                <w:spacing w:val="5"/>
              </w:rPr>
              <w:t xml:space="preserve"> </w:t>
            </w:r>
            <w:r>
              <w:rPr>
                <w:sz w:val="21"/>
                <w:szCs w:val="21"/>
                <w:spacing w:val="-2"/>
              </w:rPr>
              <w:t>具的肉品品质检验合格证。</w:t>
            </w:r>
          </w:p>
        </w:tc>
        <w:tc>
          <w:tcPr>
            <w:tcW w:w="714" w:type="dxa"/>
            <w:vAlign w:val="top"/>
          </w:tcPr>
          <w:p>
            <w:pPr>
              <w:spacing w:line="245" w:lineRule="auto"/>
              <w:rPr>
                <w:rFonts w:ascii="Arial"/>
                <w:sz w:val="21"/>
              </w:rPr>
            </w:pPr>
            <w:r/>
          </w:p>
          <w:p>
            <w:pPr>
              <w:pStyle w:val="TableText"/>
              <w:ind w:left="139"/>
              <w:spacing w:before="68" w:line="219" w:lineRule="auto"/>
              <w:rPr>
                <w:sz w:val="21"/>
                <w:szCs w:val="21"/>
              </w:rPr>
            </w:pPr>
            <w:r>
              <w:rPr>
                <w:sz w:val="21"/>
                <w:szCs w:val="21"/>
                <w:spacing w:val="-3"/>
              </w:rPr>
              <w:t>符合</w:t>
            </w:r>
          </w:p>
        </w:tc>
      </w:tr>
      <w:tr>
        <w:trPr>
          <w:trHeight w:val="820" w:hRule="atLeast"/>
        </w:trPr>
        <w:tc>
          <w:tcPr>
            <w:tcW w:w="944" w:type="dxa"/>
            <w:vAlign w:val="top"/>
            <w:vMerge w:val="continue"/>
            <w:tcBorders>
              <w:top w:val="nil"/>
              <w:bottom w:val="nil"/>
            </w:tcBorders>
          </w:tcPr>
          <w:p>
            <w:pPr>
              <w:rPr>
                <w:rFonts w:ascii="Arial"/>
                <w:sz w:val="21"/>
              </w:rPr>
            </w:pPr>
            <w:r/>
          </w:p>
        </w:tc>
        <w:tc>
          <w:tcPr>
            <w:tcW w:w="3956" w:type="dxa"/>
            <w:vAlign w:val="top"/>
          </w:tcPr>
          <w:p>
            <w:pPr>
              <w:pStyle w:val="TableText"/>
              <w:ind w:left="70"/>
              <w:spacing w:before="185" w:line="219" w:lineRule="auto"/>
              <w:rPr>
                <w:sz w:val="21"/>
                <w:szCs w:val="21"/>
              </w:rPr>
            </w:pPr>
            <w:r>
              <w:rPr>
                <w:sz w:val="21"/>
                <w:szCs w:val="21"/>
              </w:rPr>
              <w:t>(五)配备符合生猪屠宰技术标准和国家</w:t>
            </w:r>
          </w:p>
          <w:p>
            <w:pPr>
              <w:pStyle w:val="TableText"/>
              <w:spacing w:line="219" w:lineRule="auto"/>
              <w:jc w:val="right"/>
              <w:rPr>
                <w:sz w:val="21"/>
                <w:szCs w:val="21"/>
              </w:rPr>
            </w:pPr>
            <w:r>
              <w:rPr>
                <w:sz w:val="21"/>
                <w:szCs w:val="21"/>
                <w:spacing w:val="5"/>
              </w:rPr>
              <w:t>规定要求的检验设备、消毒设施和药品；</w:t>
            </w:r>
          </w:p>
        </w:tc>
        <w:tc>
          <w:tcPr>
            <w:tcW w:w="3376" w:type="dxa"/>
            <w:vAlign w:val="top"/>
          </w:tcPr>
          <w:p>
            <w:pPr>
              <w:pStyle w:val="TableText"/>
              <w:ind w:left="15"/>
              <w:spacing w:before="35" w:line="235" w:lineRule="auto"/>
              <w:rPr>
                <w:sz w:val="21"/>
                <w:szCs w:val="21"/>
              </w:rPr>
            </w:pPr>
            <w:r>
              <w:rPr>
                <w:sz w:val="21"/>
                <w:szCs w:val="21"/>
                <w:spacing w:val="-1"/>
              </w:rPr>
              <w:t>配备符合生猪屠宰技术标准和国家规</w:t>
            </w:r>
            <w:r>
              <w:rPr>
                <w:sz w:val="21"/>
                <w:szCs w:val="21"/>
                <w:spacing w:val="5"/>
              </w:rPr>
              <w:t xml:space="preserve"> </w:t>
            </w:r>
            <w:r>
              <w:rPr>
                <w:sz w:val="21"/>
                <w:szCs w:val="21"/>
              </w:rPr>
              <w:t>定要求的检验设备、消毒设施和药</w:t>
            </w:r>
          </w:p>
          <w:p>
            <w:pPr>
              <w:pStyle w:val="TableText"/>
              <w:ind w:left="15"/>
              <w:spacing w:line="210" w:lineRule="auto"/>
              <w:rPr>
                <w:sz w:val="21"/>
                <w:szCs w:val="21"/>
              </w:rPr>
            </w:pPr>
            <w:r>
              <w:rPr>
                <w:sz w:val="21"/>
                <w:szCs w:val="21"/>
                <w:spacing w:val="-13"/>
              </w:rPr>
              <w:t>品</w:t>
            </w:r>
            <w:r>
              <w:rPr>
                <w:sz w:val="21"/>
                <w:szCs w:val="21"/>
                <w:spacing w:val="-55"/>
              </w:rPr>
              <w:t xml:space="preserve"> </w:t>
            </w:r>
            <w:r>
              <w:rPr>
                <w:sz w:val="21"/>
                <w:szCs w:val="21"/>
                <w:spacing w:val="-13"/>
              </w:rPr>
              <w:t>。</w:t>
            </w:r>
          </w:p>
        </w:tc>
        <w:tc>
          <w:tcPr>
            <w:tcW w:w="714" w:type="dxa"/>
            <w:vAlign w:val="top"/>
          </w:tcPr>
          <w:p>
            <w:pPr>
              <w:spacing w:line="246" w:lineRule="auto"/>
              <w:rPr>
                <w:rFonts w:ascii="Arial"/>
                <w:sz w:val="21"/>
              </w:rPr>
            </w:pPr>
            <w:r/>
          </w:p>
          <w:p>
            <w:pPr>
              <w:pStyle w:val="TableText"/>
              <w:ind w:left="139"/>
              <w:spacing w:before="68" w:line="219" w:lineRule="auto"/>
              <w:rPr>
                <w:sz w:val="21"/>
                <w:szCs w:val="21"/>
              </w:rPr>
            </w:pPr>
            <w:r>
              <w:rPr>
                <w:sz w:val="21"/>
                <w:szCs w:val="21"/>
                <w:spacing w:val="-3"/>
              </w:rPr>
              <w:t>符合</w:t>
            </w:r>
          </w:p>
        </w:tc>
      </w:tr>
      <w:tr>
        <w:trPr>
          <w:trHeight w:val="540" w:hRule="atLeast"/>
        </w:trPr>
        <w:tc>
          <w:tcPr>
            <w:tcW w:w="944" w:type="dxa"/>
            <w:vAlign w:val="top"/>
            <w:vMerge w:val="continue"/>
            <w:tcBorders>
              <w:top w:val="nil"/>
              <w:bottom w:val="nil"/>
            </w:tcBorders>
          </w:tcPr>
          <w:p>
            <w:pPr>
              <w:rPr>
                <w:rFonts w:ascii="Arial"/>
                <w:sz w:val="21"/>
              </w:rPr>
            </w:pPr>
            <w:r/>
          </w:p>
        </w:tc>
        <w:tc>
          <w:tcPr>
            <w:tcW w:w="3956" w:type="dxa"/>
            <w:vAlign w:val="top"/>
          </w:tcPr>
          <w:p>
            <w:pPr>
              <w:pStyle w:val="TableText"/>
              <w:ind w:left="70" w:right="286"/>
              <w:spacing w:before="24" w:line="222" w:lineRule="auto"/>
              <w:rPr>
                <w:sz w:val="21"/>
                <w:szCs w:val="21"/>
              </w:rPr>
            </w:pPr>
            <w:r>
              <w:rPr>
                <w:sz w:val="21"/>
                <w:szCs w:val="21"/>
                <w:spacing w:val="1"/>
              </w:rPr>
              <w:t>(六)配备符合环境保护要求的污染防治</w:t>
            </w:r>
            <w:r>
              <w:rPr>
                <w:sz w:val="21"/>
                <w:szCs w:val="21"/>
              </w:rPr>
              <w:t xml:space="preserve"> </w:t>
            </w:r>
            <w:r>
              <w:rPr>
                <w:sz w:val="21"/>
                <w:szCs w:val="21"/>
                <w:spacing w:val="-7"/>
              </w:rPr>
              <w:t>设</w:t>
            </w:r>
            <w:r>
              <w:rPr>
                <w:sz w:val="21"/>
                <w:szCs w:val="21"/>
                <w:spacing w:val="-14"/>
              </w:rPr>
              <w:t xml:space="preserve"> </w:t>
            </w:r>
            <w:r>
              <w:rPr>
                <w:sz w:val="21"/>
                <w:szCs w:val="21"/>
                <w:spacing w:val="-7"/>
              </w:rPr>
              <w:t>施</w:t>
            </w:r>
            <w:r>
              <w:rPr>
                <w:sz w:val="21"/>
                <w:szCs w:val="21"/>
                <w:spacing w:val="-22"/>
              </w:rPr>
              <w:t xml:space="preserve"> </w:t>
            </w:r>
            <w:r>
              <w:rPr>
                <w:sz w:val="21"/>
                <w:szCs w:val="21"/>
                <w:spacing w:val="-7"/>
              </w:rPr>
              <w:t>；</w:t>
            </w:r>
          </w:p>
        </w:tc>
        <w:tc>
          <w:tcPr>
            <w:tcW w:w="3376" w:type="dxa"/>
            <w:vAlign w:val="top"/>
          </w:tcPr>
          <w:p>
            <w:pPr>
              <w:pStyle w:val="TableText"/>
              <w:ind w:left="15"/>
              <w:spacing w:before="24" w:line="222" w:lineRule="auto"/>
              <w:rPr>
                <w:sz w:val="21"/>
                <w:szCs w:val="21"/>
              </w:rPr>
            </w:pPr>
            <w:r>
              <w:rPr>
                <w:sz w:val="21"/>
                <w:szCs w:val="21"/>
                <w:spacing w:val="-1"/>
              </w:rPr>
              <w:t>配备符合环境保护要求的污染防治设</w:t>
            </w:r>
            <w:r>
              <w:rPr>
                <w:sz w:val="21"/>
                <w:szCs w:val="21"/>
                <w:spacing w:val="5"/>
              </w:rPr>
              <w:t xml:space="preserve"> </w:t>
            </w:r>
            <w:r>
              <w:rPr>
                <w:sz w:val="21"/>
                <w:szCs w:val="21"/>
                <w:spacing w:val="-2"/>
              </w:rPr>
              <w:t>施。</w:t>
            </w:r>
          </w:p>
        </w:tc>
        <w:tc>
          <w:tcPr>
            <w:tcW w:w="714" w:type="dxa"/>
            <w:vAlign w:val="top"/>
          </w:tcPr>
          <w:p>
            <w:pPr>
              <w:pStyle w:val="TableText"/>
              <w:ind w:left="139"/>
              <w:spacing w:before="175" w:line="219" w:lineRule="auto"/>
              <w:rPr>
                <w:sz w:val="21"/>
                <w:szCs w:val="21"/>
              </w:rPr>
            </w:pPr>
            <w:r>
              <w:rPr>
                <w:sz w:val="21"/>
                <w:szCs w:val="21"/>
                <w:spacing w:val="-3"/>
              </w:rPr>
              <w:t>符合</w:t>
            </w:r>
          </w:p>
        </w:tc>
      </w:tr>
      <w:tr>
        <w:trPr>
          <w:trHeight w:val="550" w:hRule="atLeast"/>
        </w:trPr>
        <w:tc>
          <w:tcPr>
            <w:tcW w:w="944" w:type="dxa"/>
            <w:vAlign w:val="top"/>
            <w:vMerge w:val="continue"/>
            <w:tcBorders>
              <w:top w:val="nil"/>
              <w:bottom w:val="nil"/>
            </w:tcBorders>
          </w:tcPr>
          <w:p>
            <w:pPr>
              <w:rPr>
                <w:rFonts w:ascii="Arial"/>
                <w:sz w:val="21"/>
              </w:rPr>
            </w:pPr>
            <w:r/>
          </w:p>
        </w:tc>
        <w:tc>
          <w:tcPr>
            <w:tcW w:w="3956" w:type="dxa"/>
            <w:vAlign w:val="top"/>
          </w:tcPr>
          <w:p>
            <w:pPr>
              <w:pStyle w:val="TableText"/>
              <w:ind w:left="70" w:right="291"/>
              <w:spacing w:before="25" w:line="226" w:lineRule="auto"/>
              <w:rPr>
                <w:sz w:val="21"/>
                <w:szCs w:val="21"/>
              </w:rPr>
            </w:pPr>
            <w:r>
              <w:rPr>
                <w:sz w:val="21"/>
                <w:szCs w:val="21"/>
              </w:rPr>
              <w:t>(七)配备符合病害生猪及生猪产品无害</w:t>
            </w:r>
            <w:r>
              <w:rPr>
                <w:sz w:val="21"/>
                <w:szCs w:val="21"/>
                <w:spacing w:val="13"/>
              </w:rPr>
              <w:t xml:space="preserve"> </w:t>
            </w:r>
            <w:r>
              <w:rPr>
                <w:sz w:val="21"/>
                <w:szCs w:val="21"/>
                <w:spacing w:val="9"/>
              </w:rPr>
              <w:t>化处理标准的设施设备；</w:t>
            </w:r>
          </w:p>
        </w:tc>
        <w:tc>
          <w:tcPr>
            <w:tcW w:w="3376" w:type="dxa"/>
            <w:vAlign w:val="top"/>
          </w:tcPr>
          <w:p>
            <w:pPr>
              <w:pStyle w:val="TableText"/>
              <w:ind w:left="15"/>
              <w:spacing w:before="23" w:line="227" w:lineRule="auto"/>
              <w:rPr>
                <w:sz w:val="21"/>
                <w:szCs w:val="21"/>
              </w:rPr>
            </w:pPr>
            <w:r>
              <w:rPr>
                <w:sz w:val="21"/>
                <w:szCs w:val="21"/>
                <w:spacing w:val="-1"/>
              </w:rPr>
              <w:t>本项目病害生猪及生猪产品已签订无</w:t>
            </w:r>
            <w:r>
              <w:rPr>
                <w:sz w:val="21"/>
                <w:szCs w:val="21"/>
                <w:spacing w:val="5"/>
              </w:rPr>
              <w:t xml:space="preserve"> </w:t>
            </w:r>
            <w:r>
              <w:rPr>
                <w:sz w:val="21"/>
                <w:szCs w:val="21"/>
                <w:spacing w:val="-1"/>
              </w:rPr>
              <w:t>害化处置协议。</w:t>
            </w:r>
          </w:p>
        </w:tc>
        <w:tc>
          <w:tcPr>
            <w:tcW w:w="714" w:type="dxa"/>
            <w:vAlign w:val="top"/>
          </w:tcPr>
          <w:p>
            <w:pPr>
              <w:pStyle w:val="TableText"/>
              <w:ind w:left="139"/>
              <w:spacing w:before="175" w:line="219" w:lineRule="auto"/>
              <w:rPr>
                <w:sz w:val="21"/>
                <w:szCs w:val="21"/>
              </w:rPr>
            </w:pPr>
            <w:r>
              <w:rPr>
                <w:sz w:val="21"/>
                <w:szCs w:val="21"/>
                <w:spacing w:val="-3"/>
              </w:rPr>
              <w:t>符合</w:t>
            </w:r>
          </w:p>
        </w:tc>
      </w:tr>
      <w:tr>
        <w:trPr>
          <w:trHeight w:val="270" w:hRule="atLeast"/>
        </w:trPr>
        <w:tc>
          <w:tcPr>
            <w:tcW w:w="944" w:type="dxa"/>
            <w:vAlign w:val="top"/>
            <w:vMerge w:val="continue"/>
            <w:tcBorders>
              <w:top w:val="nil"/>
            </w:tcBorders>
          </w:tcPr>
          <w:p>
            <w:pPr>
              <w:rPr>
                <w:rFonts w:ascii="Arial"/>
                <w:sz w:val="21"/>
              </w:rPr>
            </w:pPr>
            <w:r/>
          </w:p>
        </w:tc>
        <w:tc>
          <w:tcPr>
            <w:tcW w:w="3956" w:type="dxa"/>
            <w:vAlign w:val="top"/>
          </w:tcPr>
          <w:p>
            <w:pPr>
              <w:pStyle w:val="TableText"/>
              <w:ind w:left="70"/>
              <w:spacing w:before="34" w:line="198" w:lineRule="auto"/>
              <w:rPr>
                <w:sz w:val="21"/>
                <w:szCs w:val="21"/>
              </w:rPr>
            </w:pPr>
            <w:r>
              <w:rPr>
                <w:sz w:val="21"/>
                <w:szCs w:val="21"/>
                <w:spacing w:val="-1"/>
              </w:rPr>
              <w:t>(八)依法取得动物防疫条件合格证。</w:t>
            </w:r>
          </w:p>
        </w:tc>
        <w:tc>
          <w:tcPr>
            <w:tcW w:w="3376" w:type="dxa"/>
            <w:vAlign w:val="top"/>
          </w:tcPr>
          <w:p>
            <w:pPr>
              <w:pStyle w:val="TableText"/>
              <w:ind w:left="204"/>
              <w:spacing w:before="35" w:line="197" w:lineRule="auto"/>
              <w:rPr>
                <w:sz w:val="21"/>
                <w:szCs w:val="21"/>
              </w:rPr>
            </w:pPr>
            <w:r>
              <w:rPr>
                <w:sz w:val="21"/>
                <w:szCs w:val="21"/>
                <w:spacing w:val="-1"/>
              </w:rPr>
              <w:t>按要求办理动物防疫条件合格证</w:t>
            </w:r>
          </w:p>
        </w:tc>
        <w:tc>
          <w:tcPr>
            <w:tcW w:w="714" w:type="dxa"/>
            <w:vAlign w:val="top"/>
          </w:tcPr>
          <w:p>
            <w:pPr>
              <w:pStyle w:val="TableText"/>
              <w:ind w:left="139"/>
              <w:spacing w:before="35" w:line="197" w:lineRule="auto"/>
              <w:rPr>
                <w:sz w:val="21"/>
                <w:szCs w:val="21"/>
              </w:rPr>
            </w:pPr>
            <w:r>
              <w:rPr>
                <w:sz w:val="21"/>
                <w:szCs w:val="21"/>
                <w:spacing w:val="-3"/>
              </w:rPr>
              <w:t>符合</w:t>
            </w:r>
          </w:p>
        </w:tc>
      </w:tr>
      <w:tr>
        <w:trPr>
          <w:trHeight w:val="819" w:hRule="atLeast"/>
        </w:trPr>
        <w:tc>
          <w:tcPr>
            <w:tcW w:w="944" w:type="dxa"/>
            <w:vAlign w:val="top"/>
          </w:tcPr>
          <w:p>
            <w:pPr>
              <w:spacing w:line="246" w:lineRule="auto"/>
              <w:rPr>
                <w:rFonts w:ascii="Arial"/>
                <w:sz w:val="21"/>
              </w:rPr>
            </w:pPr>
            <w:r/>
          </w:p>
          <w:p>
            <w:pPr>
              <w:pStyle w:val="TableText"/>
              <w:ind w:left="45"/>
              <w:spacing w:before="68" w:line="219" w:lineRule="auto"/>
              <w:rPr>
                <w:sz w:val="21"/>
                <w:szCs w:val="21"/>
              </w:rPr>
            </w:pPr>
            <w:r>
              <w:rPr>
                <w:sz w:val="21"/>
                <w:szCs w:val="21"/>
                <w:spacing w:val="-2"/>
              </w:rPr>
              <w:t>第十六条</w:t>
            </w:r>
          </w:p>
        </w:tc>
        <w:tc>
          <w:tcPr>
            <w:tcW w:w="3956" w:type="dxa"/>
            <w:vAlign w:val="top"/>
          </w:tcPr>
          <w:p>
            <w:pPr>
              <w:pStyle w:val="TableText"/>
              <w:ind w:left="70"/>
              <w:spacing w:before="35" w:line="219" w:lineRule="auto"/>
              <w:rPr>
                <w:sz w:val="21"/>
                <w:szCs w:val="21"/>
              </w:rPr>
            </w:pPr>
            <w:r>
              <w:rPr>
                <w:sz w:val="21"/>
                <w:szCs w:val="21"/>
              </w:rPr>
              <w:t>生猪定点屠宰厂(场)和小型生猪屠宰场</w:t>
            </w:r>
          </w:p>
          <w:p>
            <w:pPr>
              <w:pStyle w:val="TableText"/>
              <w:ind w:left="70" w:right="86"/>
              <w:spacing w:before="30" w:line="217" w:lineRule="auto"/>
              <w:rPr>
                <w:sz w:val="21"/>
                <w:szCs w:val="21"/>
              </w:rPr>
            </w:pPr>
            <w:r>
              <w:rPr>
                <w:sz w:val="21"/>
                <w:szCs w:val="21"/>
              </w:rPr>
              <w:t>点屠宰的生猪应当依法经动物卫生监督机</w:t>
            </w:r>
            <w:r>
              <w:rPr>
                <w:sz w:val="21"/>
                <w:szCs w:val="21"/>
                <w:spacing w:val="7"/>
              </w:rPr>
              <w:t xml:space="preserve"> </w:t>
            </w:r>
            <w:r>
              <w:rPr>
                <w:sz w:val="21"/>
                <w:szCs w:val="21"/>
                <w:spacing w:val="-1"/>
              </w:rPr>
              <w:t>构检疫合格并附有检疫证明。</w:t>
            </w:r>
          </w:p>
        </w:tc>
        <w:tc>
          <w:tcPr>
            <w:tcW w:w="3376" w:type="dxa"/>
            <w:vAlign w:val="top"/>
          </w:tcPr>
          <w:p>
            <w:pPr>
              <w:spacing w:line="244" w:lineRule="auto"/>
              <w:rPr>
                <w:rFonts w:ascii="Arial"/>
                <w:sz w:val="21"/>
              </w:rPr>
            </w:pPr>
            <w:r/>
          </w:p>
          <w:p>
            <w:pPr>
              <w:pStyle w:val="TableText"/>
              <w:ind w:left="224"/>
              <w:spacing w:before="68" w:line="219" w:lineRule="auto"/>
              <w:rPr>
                <w:sz w:val="21"/>
                <w:szCs w:val="21"/>
              </w:rPr>
            </w:pPr>
            <w:r>
              <w:rPr>
                <w:sz w:val="21"/>
                <w:szCs w:val="21"/>
                <w:spacing w:val="1"/>
              </w:rPr>
              <w:t>本项目进场生猪应提供检疫证明</w:t>
            </w:r>
          </w:p>
        </w:tc>
        <w:tc>
          <w:tcPr>
            <w:tcW w:w="714" w:type="dxa"/>
            <w:vAlign w:val="top"/>
          </w:tcPr>
          <w:p>
            <w:pPr>
              <w:spacing w:line="246" w:lineRule="auto"/>
              <w:rPr>
                <w:rFonts w:ascii="Arial"/>
                <w:sz w:val="21"/>
              </w:rPr>
            </w:pPr>
            <w:r/>
          </w:p>
          <w:p>
            <w:pPr>
              <w:pStyle w:val="TableText"/>
              <w:ind w:left="139"/>
              <w:spacing w:before="68" w:line="219" w:lineRule="auto"/>
              <w:rPr>
                <w:sz w:val="21"/>
                <w:szCs w:val="21"/>
              </w:rPr>
            </w:pPr>
            <w:r>
              <w:rPr>
                <w:sz w:val="21"/>
                <w:szCs w:val="21"/>
                <w:spacing w:val="-3"/>
              </w:rPr>
              <w:t>符合</w:t>
            </w:r>
          </w:p>
        </w:tc>
      </w:tr>
      <w:tr>
        <w:trPr>
          <w:trHeight w:val="789" w:hRule="atLeast"/>
        </w:trPr>
        <w:tc>
          <w:tcPr>
            <w:tcW w:w="944" w:type="dxa"/>
            <w:vAlign w:val="top"/>
          </w:tcPr>
          <w:p>
            <w:pPr>
              <w:pStyle w:val="TableText"/>
              <w:ind w:left="45"/>
              <w:spacing w:before="296" w:line="219" w:lineRule="auto"/>
              <w:rPr>
                <w:sz w:val="21"/>
                <w:szCs w:val="21"/>
              </w:rPr>
            </w:pPr>
            <w:r>
              <w:rPr>
                <w:sz w:val="21"/>
                <w:szCs w:val="21"/>
                <w:spacing w:val="-2"/>
              </w:rPr>
              <w:t>第十七条</w:t>
            </w:r>
          </w:p>
        </w:tc>
        <w:tc>
          <w:tcPr>
            <w:tcW w:w="3956" w:type="dxa"/>
            <w:vAlign w:val="top"/>
          </w:tcPr>
          <w:p>
            <w:pPr>
              <w:pStyle w:val="TableText"/>
              <w:ind w:left="70"/>
              <w:spacing w:before="36" w:line="219" w:lineRule="auto"/>
              <w:rPr>
                <w:sz w:val="21"/>
                <w:szCs w:val="21"/>
              </w:rPr>
            </w:pPr>
            <w:r>
              <w:rPr>
                <w:sz w:val="21"/>
                <w:szCs w:val="21"/>
              </w:rPr>
              <w:t>生猪定点屠宰厂(场)和小型生猪屠宰场</w:t>
            </w:r>
          </w:p>
          <w:p>
            <w:pPr>
              <w:pStyle w:val="TableText"/>
              <w:ind w:left="70" w:right="84"/>
              <w:spacing w:before="19" w:line="208" w:lineRule="auto"/>
              <w:rPr>
                <w:sz w:val="21"/>
                <w:szCs w:val="21"/>
              </w:rPr>
            </w:pPr>
            <w:r>
              <w:rPr>
                <w:sz w:val="21"/>
                <w:szCs w:val="21"/>
              </w:rPr>
              <w:t>点应当按照国家规定的操作规程和技术要</w:t>
            </w:r>
            <w:r>
              <w:rPr>
                <w:sz w:val="21"/>
                <w:szCs w:val="21"/>
                <w:spacing w:val="9"/>
              </w:rPr>
              <w:t xml:space="preserve"> </w:t>
            </w:r>
            <w:r>
              <w:rPr>
                <w:sz w:val="21"/>
                <w:szCs w:val="21"/>
                <w:spacing w:val="-1"/>
              </w:rPr>
              <w:t>求屠宰生猪。</w:t>
            </w:r>
          </w:p>
        </w:tc>
        <w:tc>
          <w:tcPr>
            <w:tcW w:w="3376" w:type="dxa"/>
            <w:vAlign w:val="top"/>
          </w:tcPr>
          <w:p>
            <w:pPr>
              <w:pStyle w:val="TableText"/>
              <w:ind w:left="15"/>
              <w:spacing w:before="35" w:line="231" w:lineRule="auto"/>
              <w:rPr>
                <w:sz w:val="21"/>
                <w:szCs w:val="21"/>
              </w:rPr>
            </w:pPr>
            <w:r>
              <w:rPr>
                <w:sz w:val="21"/>
                <w:szCs w:val="21"/>
                <w:spacing w:val="-1"/>
              </w:rPr>
              <w:t>本项目生猪屠宰按照生猪屠宰及检疫</w:t>
            </w:r>
            <w:r>
              <w:rPr>
                <w:sz w:val="21"/>
                <w:szCs w:val="21"/>
                <w:spacing w:val="5"/>
              </w:rPr>
              <w:t xml:space="preserve"> </w:t>
            </w:r>
            <w:r>
              <w:rPr>
                <w:sz w:val="21"/>
                <w:szCs w:val="21"/>
                <w:spacing w:val="-1"/>
              </w:rPr>
              <w:t>规程操作，并严格执行消毒技术规</w:t>
            </w:r>
          </w:p>
          <w:p>
            <w:pPr>
              <w:pStyle w:val="TableText"/>
              <w:ind w:left="15"/>
              <w:spacing w:line="191" w:lineRule="auto"/>
              <w:rPr>
                <w:sz w:val="21"/>
                <w:szCs w:val="21"/>
              </w:rPr>
            </w:pPr>
            <w:r>
              <w:rPr>
                <w:sz w:val="21"/>
                <w:szCs w:val="21"/>
                <w:spacing w:val="-2"/>
              </w:rPr>
              <w:t>范。</w:t>
            </w:r>
          </w:p>
        </w:tc>
        <w:tc>
          <w:tcPr>
            <w:tcW w:w="714" w:type="dxa"/>
            <w:vAlign w:val="top"/>
          </w:tcPr>
          <w:p>
            <w:pPr>
              <w:pStyle w:val="TableText"/>
              <w:ind w:left="139"/>
              <w:spacing w:before="296" w:line="219" w:lineRule="auto"/>
              <w:rPr>
                <w:sz w:val="21"/>
                <w:szCs w:val="21"/>
              </w:rPr>
            </w:pPr>
            <w:r>
              <w:rPr>
                <w:sz w:val="21"/>
                <w:szCs w:val="21"/>
                <w:spacing w:val="-3"/>
              </w:rPr>
              <w:t>符合</w:t>
            </w:r>
          </w:p>
        </w:tc>
      </w:tr>
      <w:tr>
        <w:trPr>
          <w:trHeight w:val="819" w:hRule="atLeast"/>
        </w:trPr>
        <w:tc>
          <w:tcPr>
            <w:tcW w:w="944" w:type="dxa"/>
            <w:vAlign w:val="top"/>
          </w:tcPr>
          <w:p>
            <w:pPr>
              <w:spacing w:line="248" w:lineRule="auto"/>
              <w:rPr>
                <w:rFonts w:ascii="Arial"/>
                <w:sz w:val="21"/>
              </w:rPr>
            </w:pPr>
            <w:r/>
          </w:p>
          <w:p>
            <w:pPr>
              <w:pStyle w:val="TableText"/>
              <w:ind w:left="45"/>
              <w:spacing w:before="68" w:line="219" w:lineRule="auto"/>
              <w:rPr>
                <w:sz w:val="21"/>
                <w:szCs w:val="21"/>
              </w:rPr>
            </w:pPr>
            <w:r>
              <w:rPr>
                <w:sz w:val="21"/>
                <w:szCs w:val="21"/>
                <w:spacing w:val="-2"/>
              </w:rPr>
              <w:t>第十九条</w:t>
            </w:r>
          </w:p>
        </w:tc>
        <w:tc>
          <w:tcPr>
            <w:tcW w:w="3956" w:type="dxa"/>
            <w:vAlign w:val="top"/>
          </w:tcPr>
          <w:p>
            <w:pPr>
              <w:pStyle w:val="TableText"/>
              <w:ind w:left="70"/>
              <w:spacing w:before="57" w:line="219" w:lineRule="auto"/>
              <w:rPr>
                <w:sz w:val="21"/>
                <w:szCs w:val="21"/>
              </w:rPr>
            </w:pPr>
            <w:r>
              <w:rPr>
                <w:sz w:val="21"/>
                <w:szCs w:val="21"/>
              </w:rPr>
              <w:t>生猪定点屠宰厂(场)和小型生猪屠宰场</w:t>
            </w:r>
          </w:p>
          <w:p>
            <w:pPr>
              <w:pStyle w:val="TableText"/>
              <w:ind w:left="70" w:right="75"/>
              <w:spacing w:before="31" w:line="207" w:lineRule="auto"/>
              <w:rPr>
                <w:sz w:val="21"/>
                <w:szCs w:val="21"/>
              </w:rPr>
            </w:pPr>
            <w:r>
              <w:rPr>
                <w:sz w:val="21"/>
                <w:szCs w:val="21"/>
                <w:spacing w:val="1"/>
              </w:rPr>
              <w:t>点对检验发现的病害生猪及生猪产品应当</w:t>
            </w:r>
            <w:r>
              <w:rPr>
                <w:sz w:val="21"/>
                <w:szCs w:val="21"/>
              </w:rPr>
              <w:t xml:space="preserve"> </w:t>
            </w:r>
            <w:r>
              <w:rPr>
                <w:sz w:val="21"/>
                <w:szCs w:val="21"/>
                <w:spacing w:val="-1"/>
              </w:rPr>
              <w:t>按照国家有关规定进行无害化处理。</w:t>
            </w:r>
          </w:p>
        </w:tc>
        <w:tc>
          <w:tcPr>
            <w:tcW w:w="3376" w:type="dxa"/>
            <w:vAlign w:val="top"/>
          </w:tcPr>
          <w:p>
            <w:pPr>
              <w:pStyle w:val="TableText"/>
              <w:ind w:left="15"/>
              <w:spacing w:before="197" w:line="241" w:lineRule="auto"/>
              <w:rPr>
                <w:sz w:val="21"/>
                <w:szCs w:val="21"/>
              </w:rPr>
            </w:pPr>
            <w:r>
              <w:rPr>
                <w:sz w:val="21"/>
                <w:szCs w:val="21"/>
                <w:spacing w:val="-1"/>
              </w:rPr>
              <w:t>本项目对病害生猪及生猪产品，按照</w:t>
            </w:r>
            <w:r>
              <w:rPr>
                <w:sz w:val="21"/>
                <w:szCs w:val="21"/>
                <w:spacing w:val="5"/>
              </w:rPr>
              <w:t xml:space="preserve"> </w:t>
            </w:r>
            <w:r>
              <w:rPr>
                <w:sz w:val="21"/>
                <w:szCs w:val="21"/>
                <w:spacing w:val="-2"/>
              </w:rPr>
              <w:t>国家有关规定进行无害化处理。</w:t>
            </w:r>
          </w:p>
        </w:tc>
        <w:tc>
          <w:tcPr>
            <w:tcW w:w="714" w:type="dxa"/>
            <w:vAlign w:val="top"/>
          </w:tcPr>
          <w:p>
            <w:pPr>
              <w:spacing w:line="248" w:lineRule="auto"/>
              <w:rPr>
                <w:rFonts w:ascii="Arial"/>
                <w:sz w:val="21"/>
              </w:rPr>
            </w:pPr>
            <w:r/>
          </w:p>
          <w:p>
            <w:pPr>
              <w:pStyle w:val="TableText"/>
              <w:ind w:left="139"/>
              <w:spacing w:before="68" w:line="219" w:lineRule="auto"/>
              <w:rPr>
                <w:sz w:val="21"/>
                <w:szCs w:val="21"/>
              </w:rPr>
            </w:pPr>
            <w:r>
              <w:rPr>
                <w:sz w:val="21"/>
                <w:szCs w:val="21"/>
                <w:spacing w:val="-3"/>
              </w:rPr>
              <w:t>符合</w:t>
            </w:r>
          </w:p>
        </w:tc>
      </w:tr>
      <w:tr>
        <w:trPr>
          <w:trHeight w:val="1104" w:hRule="atLeast"/>
        </w:trPr>
        <w:tc>
          <w:tcPr>
            <w:tcW w:w="944" w:type="dxa"/>
            <w:vAlign w:val="top"/>
          </w:tcPr>
          <w:p>
            <w:pPr>
              <w:spacing w:line="388" w:lineRule="auto"/>
              <w:rPr>
                <w:rFonts w:ascii="Arial"/>
                <w:sz w:val="21"/>
              </w:rPr>
            </w:pPr>
            <w:r/>
          </w:p>
          <w:p>
            <w:pPr>
              <w:pStyle w:val="TableText"/>
              <w:ind w:left="45"/>
              <w:spacing w:before="68" w:line="219" w:lineRule="auto"/>
              <w:rPr>
                <w:sz w:val="21"/>
                <w:szCs w:val="21"/>
              </w:rPr>
            </w:pPr>
            <w:r>
              <w:rPr>
                <w:sz w:val="21"/>
                <w:szCs w:val="21"/>
                <w:spacing w:val="-2"/>
              </w:rPr>
              <w:t>第二十条</w:t>
            </w:r>
          </w:p>
        </w:tc>
        <w:tc>
          <w:tcPr>
            <w:tcW w:w="3956" w:type="dxa"/>
            <w:vAlign w:val="top"/>
          </w:tcPr>
          <w:p>
            <w:pPr>
              <w:pStyle w:val="TableText"/>
              <w:ind w:left="70"/>
              <w:spacing w:before="58" w:line="219" w:lineRule="auto"/>
              <w:rPr>
                <w:sz w:val="21"/>
                <w:szCs w:val="21"/>
              </w:rPr>
            </w:pPr>
            <w:r>
              <w:rPr>
                <w:sz w:val="21"/>
                <w:szCs w:val="21"/>
              </w:rPr>
              <w:t>生猪定点屠宰厂(场)和小型生猪屠宰场</w:t>
            </w:r>
          </w:p>
          <w:p>
            <w:pPr>
              <w:pStyle w:val="TableText"/>
              <w:ind w:left="70" w:right="102"/>
              <w:spacing w:before="21" w:line="224" w:lineRule="auto"/>
              <w:rPr>
                <w:sz w:val="21"/>
                <w:szCs w:val="21"/>
              </w:rPr>
            </w:pPr>
            <w:r>
              <w:rPr>
                <w:sz w:val="21"/>
                <w:szCs w:val="21"/>
                <w:spacing w:val="1"/>
              </w:rPr>
              <w:t>点应当建立严格的肉品品质检验管理制</w:t>
            </w:r>
            <w:r>
              <w:rPr>
                <w:sz w:val="21"/>
                <w:szCs w:val="21"/>
              </w:rPr>
              <w:t xml:space="preserve">  </w:t>
            </w:r>
            <w:r>
              <w:rPr>
                <w:sz w:val="21"/>
                <w:szCs w:val="21"/>
                <w:spacing w:val="-1"/>
              </w:rPr>
              <w:t>度，按照国家规定的肉品品质检验规程进</w:t>
            </w:r>
            <w:r>
              <w:rPr>
                <w:sz w:val="21"/>
                <w:szCs w:val="21"/>
                <w:spacing w:val="9"/>
              </w:rPr>
              <w:t xml:space="preserve"> </w:t>
            </w:r>
            <w:r>
              <w:rPr>
                <w:sz w:val="21"/>
                <w:szCs w:val="21"/>
                <w:spacing w:val="-1"/>
              </w:rPr>
              <w:t>行检验。</w:t>
            </w:r>
          </w:p>
        </w:tc>
        <w:tc>
          <w:tcPr>
            <w:tcW w:w="3376" w:type="dxa"/>
            <w:vAlign w:val="top"/>
          </w:tcPr>
          <w:p>
            <w:pPr>
              <w:pStyle w:val="TableText"/>
              <w:ind w:left="15"/>
              <w:spacing w:before="207" w:line="239" w:lineRule="auto"/>
              <w:jc w:val="both"/>
              <w:rPr>
                <w:sz w:val="21"/>
                <w:szCs w:val="21"/>
              </w:rPr>
            </w:pPr>
            <w:r>
              <w:rPr>
                <w:sz w:val="21"/>
                <w:szCs w:val="21"/>
                <w:spacing w:val="-1"/>
              </w:rPr>
              <w:t>本项目设置严格的肉品品质检验管理</w:t>
            </w:r>
            <w:r>
              <w:rPr>
                <w:sz w:val="21"/>
                <w:szCs w:val="21"/>
                <w:spacing w:val="5"/>
              </w:rPr>
              <w:t xml:space="preserve"> </w:t>
            </w:r>
            <w:r>
              <w:rPr>
                <w:sz w:val="21"/>
                <w:szCs w:val="21"/>
                <w:spacing w:val="-1"/>
              </w:rPr>
              <w:t>制度，按照国家规定的肉品品质检验</w:t>
            </w:r>
            <w:r>
              <w:rPr>
                <w:sz w:val="21"/>
                <w:szCs w:val="21"/>
                <w:spacing w:val="5"/>
              </w:rPr>
              <w:t xml:space="preserve"> </w:t>
            </w:r>
            <w:r>
              <w:rPr>
                <w:sz w:val="21"/>
                <w:szCs w:val="21"/>
                <w:spacing w:val="-1"/>
              </w:rPr>
              <w:t>规程进行检验。</w:t>
            </w:r>
          </w:p>
        </w:tc>
        <w:tc>
          <w:tcPr>
            <w:tcW w:w="714" w:type="dxa"/>
            <w:vAlign w:val="top"/>
          </w:tcPr>
          <w:p>
            <w:pPr>
              <w:spacing w:line="388" w:lineRule="auto"/>
              <w:rPr>
                <w:rFonts w:ascii="Arial"/>
                <w:sz w:val="21"/>
              </w:rPr>
            </w:pPr>
            <w:r/>
          </w:p>
          <w:p>
            <w:pPr>
              <w:pStyle w:val="TableText"/>
              <w:ind w:left="139"/>
              <w:spacing w:before="68" w:line="219" w:lineRule="auto"/>
              <w:rPr>
                <w:sz w:val="21"/>
                <w:szCs w:val="21"/>
              </w:rPr>
            </w:pPr>
            <w:r>
              <w:rPr>
                <w:sz w:val="21"/>
                <w:szCs w:val="21"/>
                <w:spacing w:val="-3"/>
              </w:rPr>
              <w:t>符合</w:t>
            </w:r>
          </w:p>
        </w:tc>
      </w:tr>
    </w:tbl>
    <w:p>
      <w:pPr>
        <w:ind w:left="845"/>
        <w:spacing w:before="63" w:line="219" w:lineRule="auto"/>
        <w:rPr>
          <w:rFonts w:ascii="SimSun" w:hAnsi="SimSun" w:eastAsia="SimSun" w:cs="SimSun"/>
          <w:sz w:val="24"/>
          <w:szCs w:val="24"/>
        </w:rPr>
      </w:pPr>
      <w:r>
        <w:rPr>
          <w:rFonts w:ascii="SimSun" w:hAnsi="SimSun" w:eastAsia="SimSun" w:cs="SimSun"/>
          <w:sz w:val="24"/>
          <w:szCs w:val="24"/>
        </w:rPr>
        <w:t>因此，本项目与《四川省生猪屠宰管理办法》(四川省人民政府令第111号</w:t>
      </w:r>
    </w:p>
    <w:p>
      <w:pPr>
        <w:spacing w:line="219" w:lineRule="auto"/>
        <w:sectPr>
          <w:headerReference w:type="default" r:id="rId52"/>
          <w:footerReference w:type="default" r:id="rId53"/>
          <w:pgSz w:w="11910" w:h="16840"/>
          <w:pgMar w:top="1210" w:right="1484" w:bottom="991" w:left="1425" w:header="902" w:footer="732" w:gutter="0"/>
        </w:sectPr>
        <w:rPr>
          <w:rFonts w:ascii="SimSun" w:hAnsi="SimSun" w:eastAsia="SimSun" w:cs="SimSun"/>
          <w:sz w:val="24"/>
          <w:szCs w:val="24"/>
        </w:rPr>
      </w:pPr>
    </w:p>
    <w:p>
      <w:pPr>
        <w:ind w:left="234"/>
        <w:spacing w:before="301" w:line="219" w:lineRule="auto"/>
        <w:rPr>
          <w:rFonts w:ascii="SimSun" w:hAnsi="SimSun" w:eastAsia="SimSun" w:cs="SimSun"/>
          <w:sz w:val="24"/>
          <w:szCs w:val="24"/>
        </w:rPr>
      </w:pPr>
      <w:r>
        <w:rPr>
          <w:rFonts w:ascii="SimSun" w:hAnsi="SimSun" w:eastAsia="SimSun" w:cs="SimSun"/>
          <w:sz w:val="24"/>
          <w:szCs w:val="24"/>
          <w:spacing w:val="6"/>
        </w:rPr>
        <w:t>发布及第244号修订)要求相符。</w:t>
      </w:r>
    </w:p>
    <w:p>
      <w:pPr>
        <w:ind w:left="698"/>
        <w:spacing w:before="163" w:line="219" w:lineRule="auto"/>
        <w:rPr>
          <w:rFonts w:ascii="SimSun" w:hAnsi="SimSun" w:eastAsia="SimSun" w:cs="SimSun"/>
          <w:sz w:val="24"/>
          <w:szCs w:val="24"/>
        </w:rPr>
      </w:pPr>
      <w:bookmarkStart w:name="bookmark81" w:id="22"/>
      <w:bookmarkEnd w:id="22"/>
      <w:r>
        <w:rPr>
          <w:rFonts w:ascii="SimSun" w:hAnsi="SimSun" w:eastAsia="SimSun" w:cs="SimSun"/>
          <w:sz w:val="24"/>
          <w:szCs w:val="24"/>
          <w:b/>
          <w:bCs/>
          <w:spacing w:val="4"/>
        </w:rPr>
        <w:t>3、与《四川省生猪屠宰行业发展规划》(川农规[2023]3号)符合性分析</w:t>
      </w:r>
    </w:p>
    <w:p>
      <w:pPr>
        <w:ind w:left="1108"/>
        <w:spacing w:before="143" w:line="219" w:lineRule="auto"/>
        <w:rPr>
          <w:rFonts w:ascii="SimSun" w:hAnsi="SimSun" w:eastAsia="SimSun" w:cs="SimSun"/>
          <w:sz w:val="24"/>
          <w:szCs w:val="24"/>
        </w:rPr>
      </w:pPr>
      <w:r>
        <w:rPr>
          <w:rFonts w:ascii="SimSun" w:hAnsi="SimSun" w:eastAsia="SimSun" w:cs="SimSun"/>
          <w:sz w:val="24"/>
          <w:szCs w:val="24"/>
          <w:b/>
          <w:bCs/>
          <w:spacing w:val="-3"/>
        </w:rPr>
        <w:t>表1.4-6本项目与《四川省生猪屠宰行业发展规划》符合性分析</w:t>
      </w:r>
    </w:p>
    <w:p>
      <w:pPr>
        <w:spacing w:line="25" w:lineRule="exact"/>
        <w:rPr/>
      </w:pPr>
      <w:r/>
    </w:p>
    <w:tbl>
      <w:tblPr>
        <w:tblStyle w:val="TableNormal"/>
        <w:tblW w:w="872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84"/>
        <w:gridCol w:w="639"/>
        <w:gridCol w:w="3596"/>
        <w:gridCol w:w="2847"/>
        <w:gridCol w:w="754"/>
      </w:tblGrid>
      <w:tr>
        <w:trPr>
          <w:trHeight w:val="275" w:hRule="atLeast"/>
        </w:trPr>
        <w:tc>
          <w:tcPr>
            <w:shd w:val="clear" w:fill="BDBDBD"/>
            <w:tcW w:w="884" w:type="dxa"/>
            <w:vAlign w:val="top"/>
          </w:tcPr>
          <w:p>
            <w:pPr>
              <w:pStyle w:val="TableText"/>
              <w:ind w:left="227"/>
              <w:spacing w:before="30" w:line="206" w:lineRule="auto"/>
              <w:rPr>
                <w:sz w:val="21"/>
                <w:szCs w:val="21"/>
              </w:rPr>
            </w:pPr>
            <w:r>
              <w:rPr>
                <w:sz w:val="21"/>
                <w:szCs w:val="21"/>
                <w:b/>
                <w:bCs/>
                <w:spacing w:val="-5"/>
              </w:rPr>
              <w:t>文件</w:t>
            </w:r>
          </w:p>
        </w:tc>
        <w:tc>
          <w:tcPr>
            <w:shd w:val="clear" w:fill="BDBDBD"/>
            <w:tcW w:w="4235" w:type="dxa"/>
            <w:vAlign w:val="top"/>
            <w:gridSpan w:val="2"/>
          </w:tcPr>
          <w:p>
            <w:pPr>
              <w:pStyle w:val="TableText"/>
              <w:ind w:left="1684"/>
              <w:spacing w:before="30" w:line="206" w:lineRule="auto"/>
              <w:rPr>
                <w:sz w:val="21"/>
                <w:szCs w:val="21"/>
              </w:rPr>
            </w:pPr>
            <w:r>
              <w:rPr>
                <w:sz w:val="21"/>
                <w:szCs w:val="21"/>
                <w:b/>
                <w:bCs/>
                <w:spacing w:val="-4"/>
              </w:rPr>
              <w:t>相关规定</w:t>
            </w:r>
          </w:p>
        </w:tc>
        <w:tc>
          <w:tcPr>
            <w:shd w:val="clear" w:fill="BDBDBD"/>
            <w:tcW w:w="2847" w:type="dxa"/>
            <w:vAlign w:val="top"/>
          </w:tcPr>
          <w:p>
            <w:pPr>
              <w:pStyle w:val="TableText"/>
              <w:ind w:left="1078"/>
              <w:spacing w:before="29" w:line="207" w:lineRule="auto"/>
              <w:rPr>
                <w:sz w:val="21"/>
                <w:szCs w:val="21"/>
              </w:rPr>
            </w:pPr>
            <w:r>
              <w:rPr>
                <w:sz w:val="21"/>
                <w:szCs w:val="21"/>
                <w:b/>
                <w:bCs/>
                <w:spacing w:val="9"/>
              </w:rPr>
              <w:t>本项目</w:t>
            </w:r>
          </w:p>
        </w:tc>
        <w:tc>
          <w:tcPr>
            <w:shd w:val="clear" w:fill="BDBDBD"/>
            <w:tcW w:w="754" w:type="dxa"/>
            <w:vAlign w:val="top"/>
          </w:tcPr>
          <w:p>
            <w:pPr>
              <w:pStyle w:val="TableText"/>
              <w:ind w:left="62"/>
              <w:spacing w:before="30" w:line="206" w:lineRule="auto"/>
              <w:rPr>
                <w:sz w:val="21"/>
                <w:szCs w:val="21"/>
              </w:rPr>
            </w:pPr>
            <w:r>
              <w:rPr>
                <w:sz w:val="21"/>
                <w:szCs w:val="21"/>
                <w:b/>
                <w:bCs/>
                <w:spacing w:val="-5"/>
              </w:rPr>
              <w:t>符合性</w:t>
            </w:r>
          </w:p>
        </w:tc>
      </w:tr>
      <w:tr>
        <w:trPr>
          <w:trHeight w:val="6804" w:hRule="atLeast"/>
        </w:trPr>
        <w:tc>
          <w:tcPr>
            <w:tcW w:w="884" w:type="dxa"/>
            <w:vAlign w:val="top"/>
            <w:vMerge w:val="restart"/>
            <w:tcBorders>
              <w:bottom w:val="nil"/>
            </w:tcBorders>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51" w:right="2" w:hanging="52"/>
              <w:spacing w:before="69" w:line="242" w:lineRule="auto"/>
              <w:rPr>
                <w:sz w:val="21"/>
                <w:szCs w:val="21"/>
              </w:rPr>
            </w:pPr>
            <w:r>
              <w:rPr>
                <w:sz w:val="21"/>
                <w:szCs w:val="21"/>
                <w:spacing w:val="-11"/>
              </w:rPr>
              <w:t>《四川省</w:t>
            </w:r>
            <w:r>
              <w:rPr>
                <w:sz w:val="21"/>
                <w:szCs w:val="21"/>
                <w:spacing w:val="1"/>
              </w:rPr>
              <w:t xml:space="preserve"> </w:t>
            </w:r>
            <w:r>
              <w:rPr>
                <w:sz w:val="21"/>
                <w:szCs w:val="21"/>
                <w:spacing w:val="-6"/>
              </w:rPr>
              <w:t>生猪屠宰</w:t>
            </w:r>
          </w:p>
          <w:p>
            <w:pPr>
              <w:pStyle w:val="TableText"/>
              <w:ind w:left="15"/>
              <w:spacing w:line="220" w:lineRule="auto"/>
              <w:rPr>
                <w:sz w:val="21"/>
                <w:szCs w:val="21"/>
              </w:rPr>
            </w:pPr>
            <w:r>
              <w:rPr>
                <w:sz w:val="21"/>
                <w:szCs w:val="21"/>
                <w:spacing w:val="2"/>
              </w:rPr>
              <w:t>行业发展</w:t>
            </w:r>
          </w:p>
          <w:p>
            <w:pPr>
              <w:pStyle w:val="TableText"/>
              <w:ind w:left="165"/>
              <w:spacing w:before="31" w:line="221" w:lineRule="auto"/>
              <w:rPr>
                <w:sz w:val="21"/>
                <w:szCs w:val="21"/>
              </w:rPr>
            </w:pPr>
            <w:r>
              <w:rPr>
                <w:sz w:val="21"/>
                <w:szCs w:val="21"/>
                <w:spacing w:val="1"/>
              </w:rPr>
              <w:t>规划》</w:t>
            </w:r>
          </w:p>
          <w:p>
            <w:pPr>
              <w:pStyle w:val="TableText"/>
              <w:ind w:left="65"/>
              <w:spacing w:before="16" w:line="219" w:lineRule="auto"/>
              <w:rPr>
                <w:sz w:val="21"/>
                <w:szCs w:val="21"/>
              </w:rPr>
            </w:pPr>
            <w:r>
              <w:rPr>
                <w:sz w:val="21"/>
                <w:szCs w:val="21"/>
              </w:rPr>
              <w:t>(川农规</w:t>
            </w:r>
          </w:p>
          <w:p>
            <w:pPr>
              <w:pStyle w:val="TableText"/>
              <w:ind w:left="65"/>
              <w:spacing w:before="25" w:line="199" w:lineRule="auto"/>
              <w:rPr>
                <w:sz w:val="21"/>
                <w:szCs w:val="21"/>
              </w:rPr>
            </w:pPr>
            <w:r>
              <w:rPr>
                <w:sz w:val="21"/>
                <w:szCs w:val="21"/>
                <w:spacing w:val="-6"/>
              </w:rPr>
              <w:t>[2023]3</w:t>
            </w:r>
          </w:p>
          <w:p>
            <w:pPr>
              <w:pStyle w:val="TableText"/>
              <w:ind w:left="224"/>
              <w:spacing w:line="220" w:lineRule="auto"/>
              <w:rPr>
                <w:sz w:val="21"/>
                <w:szCs w:val="21"/>
              </w:rPr>
            </w:pPr>
            <w:r>
              <w:rPr>
                <w:sz w:val="21"/>
                <w:szCs w:val="21"/>
                <w:spacing w:val="-7"/>
              </w:rPr>
              <w:t>号</w:t>
            </w:r>
            <w:r>
              <w:rPr>
                <w:sz w:val="21"/>
                <w:szCs w:val="21"/>
                <w:spacing w:val="-42"/>
              </w:rPr>
              <w:t xml:space="preserve"> </w:t>
            </w:r>
            <w:r>
              <w:rPr>
                <w:sz w:val="21"/>
                <w:szCs w:val="21"/>
                <w:spacing w:val="-7"/>
              </w:rPr>
              <w:t>)</w:t>
            </w:r>
          </w:p>
        </w:tc>
        <w:tc>
          <w:tcPr>
            <w:tcW w:w="639"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pStyle w:val="TableText"/>
              <w:ind w:left="81" w:right="2" w:firstLine="20"/>
              <w:spacing w:before="69" w:line="224" w:lineRule="auto"/>
              <w:jc w:val="both"/>
              <w:rPr>
                <w:sz w:val="21"/>
                <w:szCs w:val="21"/>
              </w:rPr>
            </w:pPr>
            <w:r>
              <w:rPr>
                <w:sz w:val="21"/>
                <w:szCs w:val="21"/>
                <w:spacing w:val="-30"/>
              </w:rPr>
              <w:t>四</w:t>
            </w:r>
            <w:r>
              <w:rPr>
                <w:sz w:val="21"/>
                <w:szCs w:val="21"/>
                <w:spacing w:val="58"/>
              </w:rPr>
              <w:t xml:space="preserve"> </w:t>
            </w:r>
            <w:r>
              <w:rPr>
                <w:sz w:val="21"/>
                <w:szCs w:val="21"/>
                <w:spacing w:val="-30"/>
              </w:rPr>
              <w:t>、</w:t>
            </w:r>
            <w:r>
              <w:rPr>
                <w:sz w:val="21"/>
                <w:szCs w:val="21"/>
              </w:rPr>
              <w:t xml:space="preserve"> </w:t>
            </w:r>
            <w:r>
              <w:rPr>
                <w:sz w:val="21"/>
                <w:szCs w:val="21"/>
                <w:spacing w:val="7"/>
              </w:rPr>
              <w:t>规划</w:t>
            </w:r>
            <w:r>
              <w:rPr>
                <w:sz w:val="21"/>
                <w:szCs w:val="21"/>
              </w:rPr>
              <w:t xml:space="preserve">  </w:t>
            </w:r>
            <w:r>
              <w:rPr>
                <w:sz w:val="21"/>
                <w:szCs w:val="21"/>
                <w:spacing w:val="19"/>
              </w:rPr>
              <w:t>布局</w:t>
            </w:r>
          </w:p>
        </w:tc>
        <w:tc>
          <w:tcPr>
            <w:tcW w:w="3596" w:type="dxa"/>
            <w:vAlign w:val="top"/>
          </w:tcPr>
          <w:p>
            <w:pPr>
              <w:pStyle w:val="TableText"/>
              <w:ind w:left="12"/>
              <w:spacing w:before="29" w:line="221" w:lineRule="auto"/>
              <w:rPr>
                <w:sz w:val="21"/>
                <w:szCs w:val="21"/>
              </w:rPr>
            </w:pPr>
            <w:r>
              <w:rPr>
                <w:sz w:val="21"/>
                <w:szCs w:val="21"/>
                <w:spacing w:val="1"/>
              </w:rPr>
              <w:t>(二)设置要求</w:t>
            </w:r>
          </w:p>
          <w:p>
            <w:pPr>
              <w:pStyle w:val="TableText"/>
              <w:ind w:left="12"/>
              <w:spacing w:before="27" w:line="237" w:lineRule="auto"/>
              <w:rPr>
                <w:sz w:val="21"/>
                <w:szCs w:val="21"/>
              </w:rPr>
            </w:pPr>
            <w:r>
              <w:rPr>
                <w:sz w:val="21"/>
                <w:szCs w:val="21"/>
              </w:rPr>
              <w:t>以农业农村部批准备案屠宰企业数量为</w:t>
            </w:r>
            <w:r>
              <w:rPr>
                <w:sz w:val="21"/>
                <w:szCs w:val="21"/>
                <w:spacing w:val="2"/>
              </w:rPr>
              <w:t xml:space="preserve"> </w:t>
            </w:r>
            <w:r>
              <w:rPr>
                <w:sz w:val="21"/>
                <w:szCs w:val="21"/>
              </w:rPr>
              <w:t>基数，各县(市、区)只减不增，确因</w:t>
            </w:r>
          </w:p>
          <w:p>
            <w:pPr>
              <w:pStyle w:val="TableText"/>
              <w:ind w:left="12"/>
              <w:spacing w:line="218" w:lineRule="auto"/>
              <w:rPr>
                <w:sz w:val="21"/>
                <w:szCs w:val="21"/>
              </w:rPr>
            </w:pPr>
            <w:r>
              <w:rPr>
                <w:sz w:val="21"/>
                <w:szCs w:val="21"/>
                <w:spacing w:val="-1"/>
              </w:rPr>
              <w:t>特殊情况需要新增的，由市(州)人民</w:t>
            </w:r>
          </w:p>
          <w:p>
            <w:pPr>
              <w:pStyle w:val="TableText"/>
              <w:ind w:left="12"/>
              <w:spacing w:before="30" w:line="219" w:lineRule="auto"/>
              <w:rPr>
                <w:sz w:val="21"/>
                <w:szCs w:val="21"/>
              </w:rPr>
            </w:pPr>
            <w:r>
              <w:rPr>
                <w:sz w:val="21"/>
                <w:szCs w:val="21"/>
                <w:spacing w:val="-1"/>
              </w:rPr>
              <w:t>政府在辖区总数不增的情况下统筹考</w:t>
            </w:r>
          </w:p>
          <w:p>
            <w:pPr>
              <w:pStyle w:val="TableText"/>
              <w:ind w:left="12" w:right="12"/>
              <w:spacing w:before="32" w:line="231" w:lineRule="auto"/>
              <w:rPr>
                <w:sz w:val="21"/>
                <w:szCs w:val="21"/>
              </w:rPr>
            </w:pPr>
            <w:r>
              <w:rPr>
                <w:sz w:val="21"/>
                <w:szCs w:val="21"/>
                <w:spacing w:val="-1"/>
              </w:rPr>
              <w:t>虑。到2027年底，以县为单位，生猪屠</w:t>
            </w:r>
            <w:r>
              <w:rPr>
                <w:sz w:val="21"/>
                <w:szCs w:val="21"/>
                <w:spacing w:val="9"/>
              </w:rPr>
              <w:t xml:space="preserve"> </w:t>
            </w:r>
            <w:r>
              <w:rPr>
                <w:sz w:val="21"/>
                <w:szCs w:val="21"/>
              </w:rPr>
              <w:t>宰企业数超过10个(含10个)的，压减</w:t>
            </w:r>
          </w:p>
          <w:p>
            <w:pPr>
              <w:pStyle w:val="TableText"/>
              <w:ind w:left="12"/>
              <w:spacing w:before="4" w:line="239" w:lineRule="auto"/>
              <w:rPr>
                <w:sz w:val="21"/>
                <w:szCs w:val="21"/>
              </w:rPr>
            </w:pPr>
            <w:r>
              <w:rPr>
                <w:sz w:val="21"/>
                <w:szCs w:val="21"/>
                <w:spacing w:val="-1"/>
              </w:rPr>
              <w:t>到10个以内；生猪屠宰企业数在5-10个</w:t>
            </w:r>
            <w:r>
              <w:rPr>
                <w:sz w:val="21"/>
                <w:szCs w:val="21"/>
                <w:spacing w:val="17"/>
              </w:rPr>
              <w:t xml:space="preserve"> </w:t>
            </w:r>
            <w:r>
              <w:rPr>
                <w:sz w:val="21"/>
                <w:szCs w:val="21"/>
              </w:rPr>
              <w:t>且常年出栏生猪少于50万头的，压减到</w:t>
            </w:r>
            <w:r>
              <w:rPr>
                <w:sz w:val="21"/>
                <w:szCs w:val="21"/>
                <w:spacing w:val="2"/>
              </w:rPr>
              <w:t xml:space="preserve"> </w:t>
            </w:r>
            <w:r>
              <w:rPr>
                <w:sz w:val="21"/>
                <w:szCs w:val="21"/>
                <w:spacing w:val="-1"/>
              </w:rPr>
              <w:t>5个以内。</w:t>
            </w:r>
          </w:p>
          <w:p>
            <w:pPr>
              <w:pStyle w:val="TableText"/>
              <w:ind w:left="12"/>
              <w:spacing w:before="5" w:line="239" w:lineRule="auto"/>
              <w:rPr>
                <w:sz w:val="21"/>
                <w:szCs w:val="21"/>
              </w:rPr>
            </w:pPr>
            <w:r>
              <w:rPr>
                <w:sz w:val="21"/>
                <w:szCs w:val="21"/>
                <w:spacing w:val="-2"/>
              </w:rPr>
              <w:t>从严压减小型屠宰场点，除边远和交通</w:t>
            </w:r>
            <w:r>
              <w:rPr>
                <w:sz w:val="21"/>
                <w:szCs w:val="21"/>
                <w:spacing w:val="3"/>
              </w:rPr>
              <w:t xml:space="preserve"> </w:t>
            </w:r>
            <w:r>
              <w:rPr>
                <w:sz w:val="21"/>
                <w:szCs w:val="21"/>
                <w:spacing w:val="-2"/>
              </w:rPr>
              <w:t>不便的农村地区确因保供需要外，其他</w:t>
            </w:r>
            <w:r>
              <w:rPr>
                <w:sz w:val="21"/>
                <w:szCs w:val="21"/>
                <w:spacing w:val="2"/>
              </w:rPr>
              <w:t xml:space="preserve"> </w:t>
            </w:r>
            <w:r>
              <w:rPr>
                <w:sz w:val="21"/>
                <w:szCs w:val="21"/>
                <w:spacing w:val="-1"/>
              </w:rPr>
              <w:t>地区不再新增小型屠宰场点，已有的小</w:t>
            </w:r>
            <w:r>
              <w:rPr>
                <w:sz w:val="21"/>
                <w:szCs w:val="21"/>
                <w:spacing w:val="14"/>
              </w:rPr>
              <w:t xml:space="preserve"> </w:t>
            </w:r>
            <w:r>
              <w:rPr>
                <w:sz w:val="21"/>
                <w:szCs w:val="21"/>
              </w:rPr>
              <w:t>型屠宰场点应根据交通条件、配送体系 </w:t>
            </w:r>
            <w:r>
              <w:rPr>
                <w:sz w:val="21"/>
                <w:szCs w:val="21"/>
                <w:spacing w:val="-1"/>
              </w:rPr>
              <w:t>等实际情况，在保障市场供给的前提下</w:t>
            </w:r>
            <w:r>
              <w:rPr>
                <w:sz w:val="21"/>
                <w:szCs w:val="21"/>
                <w:spacing w:val="11"/>
              </w:rPr>
              <w:t xml:space="preserve"> </w:t>
            </w:r>
            <w:r>
              <w:rPr>
                <w:sz w:val="21"/>
                <w:szCs w:val="21"/>
              </w:rPr>
              <w:t>逐步退出。鼓励发展冷链化定点配送网 </w:t>
            </w:r>
            <w:r>
              <w:rPr>
                <w:sz w:val="21"/>
                <w:szCs w:val="21"/>
              </w:rPr>
              <w:t>点，通过配送保障农村乡镇或居民集中</w:t>
            </w:r>
            <w:r>
              <w:rPr>
                <w:sz w:val="21"/>
                <w:szCs w:val="21"/>
                <w:spacing w:val="2"/>
              </w:rPr>
              <w:t xml:space="preserve"> </w:t>
            </w:r>
            <w:r>
              <w:rPr>
                <w:sz w:val="21"/>
                <w:szCs w:val="21"/>
                <w:spacing w:val="-2"/>
              </w:rPr>
              <w:t>居住地的肉品供给。</w:t>
            </w:r>
          </w:p>
          <w:p>
            <w:pPr>
              <w:pStyle w:val="TableText"/>
              <w:ind w:left="12"/>
              <w:spacing w:before="3" w:line="239" w:lineRule="auto"/>
              <w:rPr>
                <w:sz w:val="21"/>
                <w:szCs w:val="21"/>
              </w:rPr>
            </w:pPr>
            <w:r>
              <w:rPr>
                <w:sz w:val="21"/>
                <w:szCs w:val="21"/>
              </w:rPr>
              <w:t>对同一地市范围内年出栏生猪50万头以</w:t>
            </w:r>
            <w:r>
              <w:rPr>
                <w:sz w:val="21"/>
                <w:szCs w:val="21"/>
                <w:spacing w:val="2"/>
              </w:rPr>
              <w:t xml:space="preserve"> </w:t>
            </w:r>
            <w:r>
              <w:rPr>
                <w:sz w:val="21"/>
                <w:szCs w:val="21"/>
                <w:spacing w:val="-2"/>
              </w:rPr>
              <w:t>上的大型生猪养殖企业申办现代化生猪</w:t>
            </w:r>
            <w:r>
              <w:rPr>
                <w:sz w:val="21"/>
                <w:szCs w:val="21"/>
                <w:spacing w:val="8"/>
              </w:rPr>
              <w:t xml:space="preserve"> </w:t>
            </w:r>
            <w:r>
              <w:rPr>
                <w:sz w:val="21"/>
                <w:szCs w:val="21"/>
              </w:rPr>
              <w:t>屠宰、加工、冷链配送一体化企业，以</w:t>
            </w:r>
            <w:r>
              <w:rPr>
                <w:sz w:val="21"/>
                <w:szCs w:val="21"/>
                <w:spacing w:val="2"/>
              </w:rPr>
              <w:t xml:space="preserve"> </w:t>
            </w:r>
            <w:r>
              <w:rPr>
                <w:sz w:val="21"/>
                <w:szCs w:val="21"/>
                <w:spacing w:val="-2"/>
              </w:rPr>
              <w:t>及新建设计年屠宰生猪100万头以上的</w:t>
            </w:r>
            <w:r>
              <w:rPr>
                <w:sz w:val="21"/>
                <w:szCs w:val="21"/>
                <w:spacing w:val="6"/>
              </w:rPr>
              <w:t xml:space="preserve">  </w:t>
            </w:r>
            <w:r>
              <w:rPr>
                <w:sz w:val="21"/>
                <w:szCs w:val="21"/>
                <w:spacing w:val="-2"/>
              </w:rPr>
              <w:t>标准化屠宰企业，予以鼓励支持。尚无</w:t>
            </w:r>
            <w:r>
              <w:rPr>
                <w:sz w:val="21"/>
                <w:szCs w:val="21"/>
                <w:spacing w:val="9"/>
              </w:rPr>
              <w:t xml:space="preserve"> </w:t>
            </w:r>
            <w:r>
              <w:rPr>
                <w:sz w:val="21"/>
                <w:szCs w:val="21"/>
                <w:spacing w:val="-2"/>
              </w:rPr>
              <w:t>生猪屠宰企业的县(市、区),确因保</w:t>
            </w:r>
          </w:p>
          <w:p>
            <w:pPr>
              <w:pStyle w:val="TableText"/>
              <w:ind w:left="12"/>
              <w:spacing w:before="1" w:line="198" w:lineRule="auto"/>
              <w:rPr>
                <w:sz w:val="21"/>
                <w:szCs w:val="21"/>
              </w:rPr>
            </w:pPr>
            <w:r>
              <w:rPr>
                <w:sz w:val="21"/>
                <w:szCs w:val="21"/>
              </w:rPr>
              <w:t>供需要，原则上可增设1个屠宰企业。</w:t>
            </w:r>
          </w:p>
        </w:tc>
        <w:tc>
          <w:tcPr>
            <w:tcW w:w="2847" w:type="dxa"/>
            <w:vAlign w:val="top"/>
          </w:tcPr>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ind w:left="15" w:right="39" w:firstLine="40"/>
              <w:spacing w:before="68" w:line="239" w:lineRule="auto"/>
              <w:rPr>
                <w:sz w:val="21"/>
                <w:szCs w:val="21"/>
              </w:rPr>
            </w:pPr>
            <w:r>
              <w:rPr>
                <w:sz w:val="21"/>
                <w:szCs w:val="21"/>
              </w:rPr>
              <w:t>绵阳柒鑫食品有限公司于2019</w:t>
            </w:r>
            <w:r>
              <w:rPr>
                <w:sz w:val="21"/>
                <w:szCs w:val="21"/>
                <w:spacing w:val="10"/>
              </w:rPr>
              <w:t xml:space="preserve"> </w:t>
            </w:r>
            <w:r>
              <w:rPr>
                <w:sz w:val="21"/>
                <w:szCs w:val="21"/>
                <w:spacing w:val="-1"/>
              </w:rPr>
              <w:t>年5月31日取得了由绵阳市人</w:t>
            </w:r>
            <w:r>
              <w:rPr>
                <w:sz w:val="21"/>
                <w:szCs w:val="21"/>
                <w:spacing w:val="1"/>
              </w:rPr>
              <w:t xml:space="preserve">  </w:t>
            </w:r>
            <w:r>
              <w:rPr>
                <w:sz w:val="21"/>
                <w:szCs w:val="21"/>
                <w:spacing w:val="1"/>
              </w:rPr>
              <w:t>民政府颁发的《生猪定点屠宰</w:t>
            </w:r>
            <w:r>
              <w:rPr>
                <w:sz w:val="21"/>
                <w:szCs w:val="21"/>
                <w:spacing w:val="2"/>
              </w:rPr>
              <w:t xml:space="preserve"> </w:t>
            </w:r>
            <w:r>
              <w:rPr>
                <w:sz w:val="21"/>
                <w:szCs w:val="21"/>
              </w:rPr>
              <w:t>证》(定点屠宰代码：</w:t>
            </w:r>
          </w:p>
          <w:p>
            <w:pPr>
              <w:pStyle w:val="TableText"/>
              <w:ind w:left="15"/>
              <w:spacing w:line="216" w:lineRule="auto"/>
              <w:rPr>
                <w:sz w:val="21"/>
                <w:szCs w:val="21"/>
              </w:rPr>
            </w:pPr>
            <w:r>
              <w:rPr>
                <w:sz w:val="21"/>
                <w:szCs w:val="21"/>
                <w:spacing w:val="-1"/>
              </w:rPr>
              <w:t>A29030601),本项目为改扩</w:t>
            </w:r>
          </w:p>
          <w:p>
            <w:pPr>
              <w:pStyle w:val="TableText"/>
              <w:ind w:left="15"/>
              <w:spacing w:before="49" w:line="235" w:lineRule="auto"/>
              <w:rPr>
                <w:sz w:val="21"/>
                <w:szCs w:val="21"/>
              </w:rPr>
            </w:pPr>
            <w:r>
              <w:rPr>
                <w:sz w:val="21"/>
                <w:szCs w:val="21"/>
                <w:spacing w:val="-2"/>
              </w:rPr>
              <w:t>建项目，建成后生猪屠宰规模</w:t>
            </w:r>
            <w:r>
              <w:rPr>
                <w:sz w:val="21"/>
                <w:szCs w:val="21"/>
                <w:spacing w:val="3"/>
              </w:rPr>
              <w:t xml:space="preserve">  </w:t>
            </w:r>
            <w:r>
              <w:rPr>
                <w:sz w:val="21"/>
                <w:szCs w:val="21"/>
              </w:rPr>
              <w:t>由7.8万头/年提升至屠宰生猪  </w:t>
            </w:r>
            <w:r>
              <w:rPr>
                <w:sz w:val="21"/>
                <w:szCs w:val="21"/>
                <w:spacing w:val="-1"/>
              </w:rPr>
              <w:t>40万头/年，肉牛4万头/年，不</w:t>
            </w:r>
            <w:r>
              <w:rPr>
                <w:sz w:val="21"/>
                <w:szCs w:val="21"/>
                <w:spacing w:val="1"/>
              </w:rPr>
              <w:t xml:space="preserve"> </w:t>
            </w:r>
            <w:r>
              <w:rPr>
                <w:sz w:val="21"/>
                <w:szCs w:val="21"/>
                <w:spacing w:val="-1"/>
              </w:rPr>
              <w:t>新增生猪屠宰企业数量。</w:t>
            </w:r>
          </w:p>
        </w:tc>
        <w:tc>
          <w:tcPr>
            <w:tcW w:w="754" w:type="dxa"/>
            <w:vAlign w:val="top"/>
          </w:tcPr>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59"/>
              <w:spacing w:before="69" w:line="219" w:lineRule="auto"/>
              <w:rPr>
                <w:sz w:val="21"/>
                <w:szCs w:val="21"/>
              </w:rPr>
            </w:pPr>
            <w:r>
              <w:rPr>
                <w:sz w:val="21"/>
                <w:szCs w:val="21"/>
                <w:spacing w:val="-3"/>
              </w:rPr>
              <w:t>符合</w:t>
            </w:r>
          </w:p>
        </w:tc>
      </w:tr>
      <w:tr>
        <w:trPr>
          <w:trHeight w:val="2438" w:hRule="atLeast"/>
        </w:trPr>
        <w:tc>
          <w:tcPr>
            <w:tcW w:w="884" w:type="dxa"/>
            <w:vAlign w:val="top"/>
            <w:vMerge w:val="continue"/>
            <w:tcBorders>
              <w:top w:val="nil"/>
              <w:bottom w:val="nil"/>
            </w:tcBorders>
          </w:tcPr>
          <w:p>
            <w:pPr>
              <w:rPr>
                <w:rFonts w:ascii="Arial"/>
                <w:sz w:val="21"/>
              </w:rPr>
            </w:pPr>
            <w:r/>
          </w:p>
        </w:tc>
        <w:tc>
          <w:tcPr>
            <w:tcW w:w="639" w:type="dxa"/>
            <w:vAlign w:val="top"/>
            <w:vMerge w:val="restart"/>
            <w:tcBorders>
              <w:bottom w:val="nil"/>
            </w:tcBorders>
          </w:tcPr>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11"/>
              <w:spacing w:before="68" w:line="212" w:lineRule="auto"/>
              <w:rPr>
                <w:sz w:val="21"/>
                <w:szCs w:val="21"/>
              </w:rPr>
            </w:pPr>
            <w:r>
              <w:rPr>
                <w:sz w:val="21"/>
                <w:szCs w:val="21"/>
                <w:spacing w:val="-6"/>
              </w:rPr>
              <w:t>五</w:t>
            </w:r>
            <w:r>
              <w:rPr>
                <w:sz w:val="21"/>
                <w:szCs w:val="21"/>
                <w:spacing w:val="41"/>
              </w:rPr>
              <w:t xml:space="preserve"> </w:t>
            </w:r>
            <w:r>
              <w:rPr>
                <w:sz w:val="21"/>
                <w:szCs w:val="21"/>
                <w:spacing w:val="-6"/>
              </w:rPr>
              <w:t>、</w:t>
            </w:r>
          </w:p>
          <w:p>
            <w:pPr>
              <w:pStyle w:val="TableText"/>
              <w:ind w:left="11"/>
              <w:spacing w:line="222" w:lineRule="auto"/>
              <w:rPr>
                <w:sz w:val="21"/>
                <w:szCs w:val="21"/>
              </w:rPr>
            </w:pPr>
            <w:r>
              <w:rPr>
                <w:sz w:val="21"/>
                <w:szCs w:val="21"/>
                <w:spacing w:val="5"/>
              </w:rPr>
              <w:t>主要</w:t>
            </w:r>
          </w:p>
          <w:p>
            <w:pPr>
              <w:pStyle w:val="TableText"/>
              <w:ind w:left="11"/>
              <w:spacing w:before="24" w:line="219" w:lineRule="auto"/>
              <w:rPr>
                <w:sz w:val="21"/>
                <w:szCs w:val="21"/>
              </w:rPr>
            </w:pPr>
            <w:r>
              <w:rPr>
                <w:sz w:val="21"/>
                <w:szCs w:val="21"/>
                <w:spacing w:val="-2"/>
              </w:rPr>
              <w:t>任务</w:t>
            </w:r>
          </w:p>
        </w:tc>
        <w:tc>
          <w:tcPr>
            <w:tcW w:w="3596" w:type="dxa"/>
            <w:vAlign w:val="top"/>
          </w:tcPr>
          <w:p>
            <w:pPr>
              <w:pStyle w:val="TableText"/>
              <w:ind w:left="12"/>
              <w:spacing w:before="44" w:line="219" w:lineRule="auto"/>
              <w:rPr>
                <w:sz w:val="21"/>
                <w:szCs w:val="21"/>
              </w:rPr>
            </w:pPr>
            <w:r>
              <w:rPr>
                <w:sz w:val="21"/>
                <w:szCs w:val="21"/>
                <w:spacing w:val="1"/>
              </w:rPr>
              <w:t>(一)严格把好准入关口。严格按照</w:t>
            </w:r>
          </w:p>
          <w:p>
            <w:pPr>
              <w:pStyle w:val="TableText"/>
              <w:ind w:left="34" w:hanging="34"/>
              <w:spacing w:before="9"/>
              <w:rPr>
                <w:sz w:val="21"/>
                <w:szCs w:val="21"/>
              </w:rPr>
            </w:pPr>
            <w:r>
              <w:rPr>
                <w:sz w:val="21"/>
                <w:szCs w:val="21"/>
                <w:spacing w:val="-3"/>
              </w:rPr>
              <w:t>《生猪屠宰管理条例》规定，把好屠宰</w:t>
            </w:r>
            <w:r>
              <w:rPr>
                <w:sz w:val="21"/>
                <w:szCs w:val="21"/>
                <w:spacing w:val="3"/>
              </w:rPr>
              <w:t xml:space="preserve"> </w:t>
            </w:r>
            <w:r>
              <w:rPr>
                <w:sz w:val="21"/>
                <w:szCs w:val="21"/>
                <w:spacing w:val="-2"/>
              </w:rPr>
              <w:t>企业设立准入关口，不符合规定条件的</w:t>
            </w:r>
            <w:r>
              <w:rPr>
                <w:sz w:val="21"/>
                <w:szCs w:val="21"/>
                <w:spacing w:val="7"/>
              </w:rPr>
              <w:t xml:space="preserve"> </w:t>
            </w:r>
            <w:r>
              <w:rPr>
                <w:sz w:val="21"/>
                <w:szCs w:val="21"/>
                <w:spacing w:val="-2"/>
              </w:rPr>
              <w:t>一律不予审批新建。各地在办理生猪定</w:t>
            </w:r>
            <w:r>
              <w:rPr>
                <w:sz w:val="21"/>
                <w:szCs w:val="21"/>
                <w:spacing w:val="14"/>
              </w:rPr>
              <w:t xml:space="preserve"> </w:t>
            </w:r>
            <w:r>
              <w:rPr>
                <w:sz w:val="21"/>
                <w:szCs w:val="21"/>
                <w:spacing w:val="-2"/>
              </w:rPr>
              <w:t>点屠宰企业新建、改建、迁建、扩建项</w:t>
            </w:r>
            <w:r>
              <w:rPr>
                <w:sz w:val="21"/>
                <w:szCs w:val="21"/>
                <w:spacing w:val="3"/>
              </w:rPr>
              <w:t xml:space="preserve"> </w:t>
            </w:r>
            <w:r>
              <w:rPr>
                <w:sz w:val="21"/>
                <w:szCs w:val="21"/>
                <w:spacing w:val="-2"/>
              </w:rPr>
              <w:t>目审核时，要严格执行行业发展规划和</w:t>
            </w:r>
            <w:r>
              <w:rPr>
                <w:sz w:val="21"/>
                <w:szCs w:val="21"/>
                <w:spacing w:val="7"/>
              </w:rPr>
              <w:t xml:space="preserve"> </w:t>
            </w:r>
            <w:r>
              <w:rPr>
                <w:sz w:val="21"/>
                <w:szCs w:val="21"/>
                <w:spacing w:val="-2"/>
              </w:rPr>
              <w:t>国家产业政策要求，新建、改建、迁</w:t>
            </w:r>
          </w:p>
          <w:p>
            <w:pPr>
              <w:pStyle w:val="TableText"/>
              <w:ind w:left="12"/>
              <w:spacing w:before="13" w:line="208" w:lineRule="auto"/>
              <w:rPr>
                <w:sz w:val="21"/>
                <w:szCs w:val="21"/>
              </w:rPr>
            </w:pPr>
            <w:r>
              <w:rPr>
                <w:sz w:val="21"/>
                <w:szCs w:val="21"/>
              </w:rPr>
              <w:t>建、扩建企业在建设过程中，严格执行</w:t>
            </w:r>
            <w:r>
              <w:rPr>
                <w:sz w:val="21"/>
                <w:szCs w:val="21"/>
                <w:spacing w:val="2"/>
              </w:rPr>
              <w:t xml:space="preserve"> </w:t>
            </w:r>
            <w:r>
              <w:rPr>
                <w:sz w:val="21"/>
                <w:szCs w:val="21"/>
                <w:spacing w:val="-1"/>
              </w:rPr>
              <w:t>安全、消防、环保等有关法律法规。</w:t>
            </w:r>
          </w:p>
        </w:tc>
        <w:tc>
          <w:tcPr>
            <w:tcW w:w="2847" w:type="dxa"/>
            <w:vAlign w:val="top"/>
          </w:tcPr>
          <w:p>
            <w:pPr>
              <w:spacing w:line="381" w:lineRule="auto"/>
              <w:rPr>
                <w:rFonts w:ascii="Arial"/>
                <w:sz w:val="21"/>
              </w:rPr>
            </w:pPr>
            <w:r/>
          </w:p>
          <w:p>
            <w:pPr>
              <w:pStyle w:val="TableText"/>
              <w:ind w:left="15"/>
              <w:spacing w:before="68" w:line="239" w:lineRule="auto"/>
              <w:rPr>
                <w:sz w:val="21"/>
                <w:szCs w:val="21"/>
              </w:rPr>
            </w:pPr>
            <w:r>
              <w:rPr>
                <w:sz w:val="21"/>
                <w:szCs w:val="21"/>
              </w:rPr>
              <w:t>本项目为改扩建项目，建成后</w:t>
            </w:r>
            <w:r>
              <w:rPr>
                <w:sz w:val="21"/>
                <w:szCs w:val="21"/>
                <w:spacing w:val="10"/>
              </w:rPr>
              <w:t xml:space="preserve"> </w:t>
            </w:r>
            <w:r>
              <w:rPr>
                <w:sz w:val="21"/>
                <w:szCs w:val="21"/>
                <w:spacing w:val="-1"/>
              </w:rPr>
              <w:t>生猪屠宰规模由7.8万头/年提</w:t>
            </w:r>
            <w:r>
              <w:rPr>
                <w:sz w:val="21"/>
                <w:szCs w:val="21"/>
              </w:rPr>
              <w:t xml:space="preserve">  </w:t>
            </w:r>
            <w:r>
              <w:rPr>
                <w:sz w:val="21"/>
                <w:szCs w:val="21"/>
                <w:spacing w:val="-1"/>
              </w:rPr>
              <w:t>升至屠宰生猪40万头/年，肉牛</w:t>
            </w:r>
            <w:r>
              <w:rPr>
                <w:sz w:val="21"/>
                <w:szCs w:val="21"/>
              </w:rPr>
              <w:t xml:space="preserve"> </w:t>
            </w:r>
            <w:r>
              <w:rPr>
                <w:sz w:val="21"/>
                <w:szCs w:val="21"/>
                <w:spacing w:val="-1"/>
              </w:rPr>
              <w:t>4万头/年，企业在建设过程</w:t>
            </w:r>
          </w:p>
          <w:p>
            <w:pPr>
              <w:pStyle w:val="TableText"/>
              <w:ind w:left="15"/>
              <w:spacing w:before="4" w:line="231" w:lineRule="auto"/>
              <w:rPr>
                <w:sz w:val="21"/>
                <w:szCs w:val="21"/>
              </w:rPr>
            </w:pPr>
            <w:r>
              <w:rPr>
                <w:sz w:val="21"/>
                <w:szCs w:val="21"/>
                <w:spacing w:val="7"/>
              </w:rPr>
              <w:t>中，将严格执行安全、消防、</w:t>
            </w:r>
            <w:r>
              <w:rPr>
                <w:sz w:val="21"/>
                <w:szCs w:val="21"/>
              </w:rPr>
              <w:t xml:space="preserve"> </w:t>
            </w:r>
            <w:r>
              <w:rPr>
                <w:sz w:val="21"/>
                <w:szCs w:val="21"/>
                <w:spacing w:val="-2"/>
              </w:rPr>
              <w:t>环保等有关法律法规。</w:t>
            </w:r>
          </w:p>
        </w:tc>
        <w:tc>
          <w:tcPr>
            <w:tcW w:w="754" w:type="dxa"/>
            <w:vAlign w:val="top"/>
          </w:tcPr>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159"/>
              <w:spacing w:before="68" w:line="219" w:lineRule="auto"/>
              <w:rPr>
                <w:sz w:val="21"/>
                <w:szCs w:val="21"/>
              </w:rPr>
            </w:pPr>
            <w:r>
              <w:rPr>
                <w:sz w:val="21"/>
                <w:szCs w:val="21"/>
                <w:spacing w:val="-3"/>
              </w:rPr>
              <w:t>符合</w:t>
            </w:r>
          </w:p>
        </w:tc>
      </w:tr>
      <w:tr>
        <w:trPr>
          <w:trHeight w:val="3013" w:hRule="atLeast"/>
        </w:trPr>
        <w:tc>
          <w:tcPr>
            <w:tcW w:w="884" w:type="dxa"/>
            <w:vAlign w:val="top"/>
            <w:vMerge w:val="continue"/>
            <w:tcBorders>
              <w:top w:val="nil"/>
            </w:tcBorders>
          </w:tcPr>
          <w:p>
            <w:pPr>
              <w:rPr>
                <w:rFonts w:ascii="Arial"/>
                <w:sz w:val="21"/>
              </w:rPr>
            </w:pPr>
            <w:r/>
          </w:p>
        </w:tc>
        <w:tc>
          <w:tcPr>
            <w:tcW w:w="639" w:type="dxa"/>
            <w:vAlign w:val="top"/>
            <w:vMerge w:val="continue"/>
            <w:tcBorders>
              <w:top w:val="nil"/>
            </w:tcBorders>
          </w:tcPr>
          <w:p>
            <w:pPr>
              <w:rPr>
                <w:rFonts w:ascii="Arial"/>
                <w:sz w:val="21"/>
              </w:rPr>
            </w:pPr>
            <w:r/>
          </w:p>
        </w:tc>
        <w:tc>
          <w:tcPr>
            <w:tcW w:w="3596" w:type="dxa"/>
            <w:vAlign w:val="top"/>
          </w:tcPr>
          <w:p>
            <w:pPr>
              <w:pStyle w:val="TableText"/>
              <w:ind w:left="12" w:firstLine="69"/>
              <w:spacing w:before="58"/>
              <w:rPr>
                <w:sz w:val="21"/>
                <w:szCs w:val="21"/>
              </w:rPr>
            </w:pPr>
            <w:r>
              <w:rPr>
                <w:sz w:val="21"/>
                <w:szCs w:val="21"/>
                <w:spacing w:val="-1"/>
              </w:rPr>
              <w:t>(二)持续压减企业数量。认真贯彻落</w:t>
            </w:r>
            <w:r>
              <w:rPr>
                <w:sz w:val="21"/>
                <w:szCs w:val="21"/>
                <w:spacing w:val="5"/>
              </w:rPr>
              <w:t xml:space="preserve">  </w:t>
            </w:r>
            <w:r>
              <w:rPr>
                <w:sz w:val="21"/>
                <w:szCs w:val="21"/>
                <w:spacing w:val="-1"/>
              </w:rPr>
              <w:t>实生猪屠宰质量管理规范，持续开展屠</w:t>
            </w:r>
            <w:r>
              <w:rPr>
                <w:sz w:val="21"/>
                <w:szCs w:val="21"/>
                <w:spacing w:val="11"/>
              </w:rPr>
              <w:t xml:space="preserve"> </w:t>
            </w:r>
            <w:r>
              <w:rPr>
                <w:sz w:val="21"/>
                <w:szCs w:val="21"/>
                <w:spacing w:val="-1"/>
              </w:rPr>
              <w:t>宰企业清理整顿，依法关停不符合设立</w:t>
            </w:r>
            <w:r>
              <w:rPr>
                <w:sz w:val="21"/>
                <w:szCs w:val="21"/>
                <w:spacing w:val="9"/>
              </w:rPr>
              <w:t xml:space="preserve"> </w:t>
            </w:r>
            <w:r>
              <w:rPr>
                <w:sz w:val="21"/>
                <w:szCs w:val="21"/>
              </w:rPr>
              <w:t>条件的生猪屠宰企业，取消其生猪定点</w:t>
            </w:r>
            <w:r>
              <w:rPr>
                <w:sz w:val="21"/>
                <w:szCs w:val="21"/>
                <w:spacing w:val="2"/>
              </w:rPr>
              <w:t xml:space="preserve"> </w:t>
            </w:r>
            <w:r>
              <w:rPr>
                <w:sz w:val="21"/>
                <w:szCs w:val="21"/>
                <w:spacing w:val="-2"/>
              </w:rPr>
              <w:t>屠宰资格。积极引导小型屠宰场点整</w:t>
            </w:r>
          </w:p>
          <w:p>
            <w:pPr>
              <w:pStyle w:val="TableText"/>
              <w:ind w:left="12"/>
              <w:spacing w:before="2" w:line="231" w:lineRule="auto"/>
              <w:rPr>
                <w:sz w:val="21"/>
                <w:szCs w:val="21"/>
              </w:rPr>
            </w:pPr>
            <w:r>
              <w:rPr>
                <w:sz w:val="21"/>
                <w:szCs w:val="21"/>
              </w:rPr>
              <w:t>合、重组和转型升级改造，提升质量安</w:t>
            </w:r>
            <w:r>
              <w:rPr>
                <w:sz w:val="21"/>
                <w:szCs w:val="21"/>
                <w:spacing w:val="2"/>
              </w:rPr>
              <w:t xml:space="preserve"> </w:t>
            </w:r>
            <w:r>
              <w:rPr>
                <w:sz w:val="21"/>
                <w:szCs w:val="21"/>
                <w:spacing w:val="-1"/>
              </w:rPr>
              <w:t>全水平。对小型屠宰场点，要“淘汰一</w:t>
            </w:r>
            <w:r>
              <w:rPr>
                <w:sz w:val="21"/>
                <w:szCs w:val="21"/>
              </w:rPr>
              <w:t xml:space="preserve"> </w:t>
            </w:r>
            <w:r>
              <w:rPr>
                <w:sz w:val="21"/>
                <w:szCs w:val="21"/>
              </w:rPr>
              <w:t>批、转型一批、升级一批”,改变我省</w:t>
            </w:r>
            <w:r>
              <w:rPr>
                <w:sz w:val="21"/>
                <w:szCs w:val="21"/>
                <w:spacing w:val="2"/>
              </w:rPr>
              <w:t xml:space="preserve">  </w:t>
            </w:r>
            <w:r>
              <w:rPr>
                <w:sz w:val="21"/>
                <w:szCs w:val="21"/>
                <w:spacing w:val="-1"/>
              </w:rPr>
              <w:t>小型屠宰场点“多小散乱差”的现状。</w:t>
            </w:r>
            <w:r>
              <w:rPr>
                <w:sz w:val="21"/>
                <w:szCs w:val="21"/>
                <w:spacing w:val="2"/>
              </w:rPr>
              <w:t xml:space="preserve"> </w:t>
            </w:r>
            <w:r>
              <w:rPr>
                <w:sz w:val="21"/>
                <w:szCs w:val="21"/>
                <w:spacing w:val="-1"/>
              </w:rPr>
              <w:t>对不符合小型屠宰场点设置规定的，逐</w:t>
            </w:r>
            <w:r>
              <w:rPr>
                <w:sz w:val="21"/>
                <w:szCs w:val="21"/>
              </w:rPr>
              <w:t xml:space="preserve"> </w:t>
            </w:r>
            <w:r>
              <w:rPr>
                <w:sz w:val="21"/>
                <w:szCs w:val="21"/>
              </w:rPr>
              <w:t>步清理撤并。支持小型屠宰点与大型屠</w:t>
            </w:r>
          </w:p>
        </w:tc>
        <w:tc>
          <w:tcPr>
            <w:tcW w:w="2847" w:type="dxa"/>
            <w:vAlign w:val="top"/>
          </w:tcPr>
          <w:p>
            <w:pPr>
              <w:spacing w:line="256" w:lineRule="auto"/>
              <w:rPr>
                <w:rFonts w:ascii="Arial"/>
                <w:sz w:val="21"/>
              </w:rPr>
            </w:pPr>
            <w:r/>
          </w:p>
          <w:p>
            <w:pPr>
              <w:pStyle w:val="TableText"/>
              <w:ind w:left="15" w:right="74"/>
              <w:spacing w:before="69" w:line="241" w:lineRule="auto"/>
              <w:rPr>
                <w:sz w:val="21"/>
                <w:szCs w:val="21"/>
              </w:rPr>
            </w:pPr>
            <w:r>
              <w:rPr>
                <w:sz w:val="21"/>
                <w:szCs w:val="21"/>
              </w:rPr>
              <w:t>绵阳柒鑫食品有限公司于2019</w:t>
            </w:r>
            <w:r>
              <w:rPr>
                <w:sz w:val="21"/>
                <w:szCs w:val="21"/>
                <w:spacing w:val="10"/>
              </w:rPr>
              <w:t xml:space="preserve"> </w:t>
            </w:r>
            <w:r>
              <w:rPr>
                <w:sz w:val="21"/>
                <w:szCs w:val="21"/>
                <w:spacing w:val="-1"/>
              </w:rPr>
              <w:t>年5月31日取得了由绵阳市人</w:t>
            </w:r>
            <w:r>
              <w:rPr>
                <w:sz w:val="21"/>
                <w:szCs w:val="21"/>
                <w:spacing w:val="1"/>
              </w:rPr>
              <w:t xml:space="preserve">  </w:t>
            </w:r>
            <w:r>
              <w:rPr>
                <w:sz w:val="21"/>
                <w:szCs w:val="21"/>
                <w:spacing w:val="1"/>
              </w:rPr>
              <w:t>民政府颁发的《生猪定点屠宰</w:t>
            </w:r>
            <w:r>
              <w:rPr>
                <w:sz w:val="21"/>
                <w:szCs w:val="21"/>
                <w:spacing w:val="2"/>
              </w:rPr>
              <w:t xml:space="preserve"> </w:t>
            </w:r>
            <w:r>
              <w:rPr>
                <w:sz w:val="21"/>
                <w:szCs w:val="21"/>
              </w:rPr>
              <w:t>证》(定点屠宰代码：</w:t>
            </w:r>
          </w:p>
          <w:p>
            <w:pPr>
              <w:pStyle w:val="TableText"/>
              <w:ind w:left="15"/>
              <w:spacing w:line="216" w:lineRule="auto"/>
              <w:rPr>
                <w:sz w:val="21"/>
                <w:szCs w:val="21"/>
              </w:rPr>
            </w:pPr>
            <w:r>
              <w:rPr>
                <w:sz w:val="21"/>
                <w:szCs w:val="21"/>
                <w:spacing w:val="-1"/>
              </w:rPr>
              <w:t>A29030601),本项目为改扩</w:t>
            </w:r>
          </w:p>
          <w:p>
            <w:pPr>
              <w:pStyle w:val="TableText"/>
              <w:ind w:left="15"/>
              <w:spacing w:before="18" w:line="241" w:lineRule="auto"/>
              <w:rPr>
                <w:sz w:val="21"/>
                <w:szCs w:val="21"/>
              </w:rPr>
            </w:pPr>
            <w:r>
              <w:rPr>
                <w:sz w:val="21"/>
                <w:szCs w:val="21"/>
                <w:spacing w:val="-2"/>
              </w:rPr>
              <w:t>建项目，建成后生猪屠宰规模</w:t>
            </w:r>
            <w:r>
              <w:rPr>
                <w:sz w:val="21"/>
                <w:szCs w:val="21"/>
                <w:spacing w:val="3"/>
              </w:rPr>
              <w:t xml:space="preserve">  </w:t>
            </w:r>
            <w:r>
              <w:rPr>
                <w:sz w:val="21"/>
                <w:szCs w:val="21"/>
              </w:rPr>
              <w:t>由7.8万头/年提升至屠宰生猪  </w:t>
            </w:r>
            <w:r>
              <w:rPr>
                <w:sz w:val="21"/>
                <w:szCs w:val="21"/>
                <w:spacing w:val="-1"/>
              </w:rPr>
              <w:t>40万头/年，肉牛4万头/年，不</w:t>
            </w:r>
            <w:r>
              <w:rPr>
                <w:sz w:val="21"/>
                <w:szCs w:val="21"/>
                <w:spacing w:val="1"/>
              </w:rPr>
              <w:t xml:space="preserve"> </w:t>
            </w:r>
            <w:r>
              <w:rPr>
                <w:sz w:val="21"/>
                <w:szCs w:val="21"/>
                <w:spacing w:val="-1"/>
              </w:rPr>
              <w:t>新增生猪屠宰企业数量。</w:t>
            </w:r>
          </w:p>
        </w:tc>
        <w:tc>
          <w:tcPr>
            <w:tcW w:w="754" w:type="dxa"/>
            <w:vAlign w:val="top"/>
          </w:tcPr>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ind w:left="159"/>
              <w:spacing w:before="68" w:line="219" w:lineRule="auto"/>
              <w:rPr>
                <w:sz w:val="21"/>
                <w:szCs w:val="21"/>
              </w:rPr>
            </w:pPr>
            <w:r>
              <w:rPr>
                <w:sz w:val="21"/>
                <w:szCs w:val="21"/>
                <w:spacing w:val="-3"/>
              </w:rPr>
              <w:t>符合</w:t>
            </w:r>
          </w:p>
        </w:tc>
      </w:tr>
    </w:tbl>
    <w:p>
      <w:pPr>
        <w:pStyle w:val="BodyText"/>
        <w:rPr/>
      </w:pPr>
      <w:r/>
    </w:p>
    <w:p>
      <w:pPr>
        <w:sectPr>
          <w:headerReference w:type="default" r:id="rId54"/>
          <w:footerReference w:type="default" r:id="rId55"/>
          <w:pgSz w:w="11910" w:h="16840"/>
          <w:pgMar w:top="1207" w:right="1614" w:bottom="983" w:left="1564" w:header="915" w:footer="736" w:gutter="0"/>
        </w:sectPr>
        <w:rPr/>
      </w:pPr>
    </w:p>
    <w:p>
      <w:pPr>
        <w:spacing w:before="36"/>
        <w:rPr/>
      </w:pPr>
      <w:r/>
    </w:p>
    <w:tbl>
      <w:tblPr>
        <w:tblStyle w:val="TableNormal"/>
        <w:tblW w:w="87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84"/>
        <w:gridCol w:w="629"/>
        <w:gridCol w:w="3616"/>
        <w:gridCol w:w="2807"/>
        <w:gridCol w:w="774"/>
      </w:tblGrid>
      <w:tr>
        <w:trPr>
          <w:trHeight w:val="265" w:hRule="atLeast"/>
        </w:trPr>
        <w:tc>
          <w:tcPr>
            <w:shd w:val="clear" w:fill="BDBDBD"/>
            <w:tcW w:w="884" w:type="dxa"/>
            <w:vAlign w:val="top"/>
          </w:tcPr>
          <w:p>
            <w:pPr>
              <w:pStyle w:val="TableText"/>
              <w:ind w:left="207"/>
              <w:spacing w:before="30" w:line="197" w:lineRule="auto"/>
              <w:rPr>
                <w:sz w:val="21"/>
                <w:szCs w:val="21"/>
              </w:rPr>
            </w:pPr>
            <w:r>
              <w:rPr>
                <w:sz w:val="21"/>
                <w:szCs w:val="21"/>
                <w:b/>
                <w:bCs/>
                <w:spacing w:val="-5"/>
              </w:rPr>
              <w:t>文件</w:t>
            </w:r>
          </w:p>
        </w:tc>
        <w:tc>
          <w:tcPr>
            <w:shd w:val="clear" w:fill="BDBDBD"/>
            <w:tcW w:w="4245" w:type="dxa"/>
            <w:vAlign w:val="top"/>
            <w:gridSpan w:val="2"/>
          </w:tcPr>
          <w:p>
            <w:pPr>
              <w:pStyle w:val="TableText"/>
              <w:ind w:left="1684"/>
              <w:spacing w:before="30" w:line="197" w:lineRule="auto"/>
              <w:rPr>
                <w:sz w:val="21"/>
                <w:szCs w:val="21"/>
              </w:rPr>
            </w:pPr>
            <w:r>
              <w:rPr>
                <w:sz w:val="21"/>
                <w:szCs w:val="21"/>
                <w:b/>
                <w:bCs/>
                <w:spacing w:val="-4"/>
              </w:rPr>
              <w:t>相关规定</w:t>
            </w:r>
          </w:p>
        </w:tc>
        <w:tc>
          <w:tcPr>
            <w:shd w:val="clear" w:fill="BDBDBD"/>
            <w:tcW w:w="2807" w:type="dxa"/>
            <w:vAlign w:val="top"/>
          </w:tcPr>
          <w:p>
            <w:pPr>
              <w:pStyle w:val="TableText"/>
              <w:ind w:left="1078"/>
              <w:spacing w:before="29" w:line="198" w:lineRule="auto"/>
              <w:rPr>
                <w:sz w:val="21"/>
                <w:szCs w:val="21"/>
              </w:rPr>
            </w:pPr>
            <w:r>
              <w:rPr>
                <w:sz w:val="21"/>
                <w:szCs w:val="21"/>
                <w:b/>
                <w:bCs/>
                <w:spacing w:val="9"/>
              </w:rPr>
              <w:t>本项目</w:t>
            </w:r>
          </w:p>
        </w:tc>
        <w:tc>
          <w:tcPr>
            <w:shd w:val="clear" w:fill="BDBDBD"/>
            <w:tcW w:w="774" w:type="dxa"/>
            <w:vAlign w:val="top"/>
          </w:tcPr>
          <w:p>
            <w:pPr>
              <w:pStyle w:val="TableText"/>
              <w:ind w:left="72"/>
              <w:spacing w:before="30" w:line="197" w:lineRule="auto"/>
              <w:rPr>
                <w:sz w:val="21"/>
                <w:szCs w:val="21"/>
              </w:rPr>
            </w:pPr>
            <w:r>
              <w:rPr>
                <w:sz w:val="21"/>
                <w:szCs w:val="21"/>
                <w:b/>
                <w:bCs/>
                <w:spacing w:val="-5"/>
              </w:rPr>
              <w:t>符合性</w:t>
            </w:r>
          </w:p>
        </w:tc>
      </w:tr>
      <w:tr>
        <w:trPr>
          <w:trHeight w:val="539" w:hRule="atLeast"/>
        </w:trPr>
        <w:tc>
          <w:tcPr>
            <w:tcW w:w="884" w:type="dxa"/>
            <w:vAlign w:val="top"/>
            <w:vMerge w:val="restart"/>
            <w:tcBorders>
              <w:bottom w:val="nil"/>
            </w:tcBorders>
          </w:tcPr>
          <w:p>
            <w:pPr>
              <w:rPr>
                <w:rFonts w:ascii="Arial"/>
                <w:sz w:val="21"/>
              </w:rPr>
            </w:pPr>
            <w:r/>
          </w:p>
        </w:tc>
        <w:tc>
          <w:tcPr>
            <w:tcW w:w="629" w:type="dxa"/>
            <w:vAlign w:val="top"/>
            <w:vMerge w:val="restart"/>
            <w:tcBorders>
              <w:bottom w:val="nil"/>
            </w:tcBorders>
          </w:tcPr>
          <w:p>
            <w:pPr>
              <w:rPr>
                <w:rFonts w:ascii="Arial"/>
                <w:sz w:val="21"/>
              </w:rPr>
            </w:pPr>
            <w:r/>
          </w:p>
        </w:tc>
        <w:tc>
          <w:tcPr>
            <w:tcW w:w="3616" w:type="dxa"/>
            <w:vAlign w:val="top"/>
          </w:tcPr>
          <w:p>
            <w:pPr>
              <w:pStyle w:val="TableText"/>
              <w:ind w:left="12" w:right="12"/>
              <w:spacing w:before="37" w:line="216" w:lineRule="auto"/>
              <w:rPr>
                <w:sz w:val="21"/>
                <w:szCs w:val="21"/>
              </w:rPr>
            </w:pPr>
            <w:r>
              <w:rPr>
                <w:sz w:val="21"/>
                <w:szCs w:val="21"/>
              </w:rPr>
              <w:t>宰企业对接，引导小型屠宰点转型开展</w:t>
            </w:r>
            <w:r>
              <w:rPr>
                <w:sz w:val="21"/>
                <w:szCs w:val="21"/>
                <w:spacing w:val="10"/>
              </w:rPr>
              <w:t xml:space="preserve"> </w:t>
            </w:r>
            <w:r>
              <w:rPr>
                <w:sz w:val="21"/>
                <w:szCs w:val="21"/>
                <w:spacing w:val="-1"/>
              </w:rPr>
              <w:t>肉品配送流通服务。</w:t>
            </w:r>
          </w:p>
        </w:tc>
        <w:tc>
          <w:tcPr>
            <w:tcW w:w="2807" w:type="dxa"/>
            <w:vAlign w:val="top"/>
          </w:tcPr>
          <w:p>
            <w:pPr>
              <w:rPr>
                <w:rFonts w:ascii="Arial"/>
                <w:sz w:val="21"/>
              </w:rPr>
            </w:pPr>
            <w:r/>
          </w:p>
        </w:tc>
        <w:tc>
          <w:tcPr>
            <w:tcW w:w="774" w:type="dxa"/>
            <w:vAlign w:val="top"/>
          </w:tcPr>
          <w:p>
            <w:pPr>
              <w:rPr>
                <w:rFonts w:ascii="Arial"/>
                <w:sz w:val="21"/>
              </w:rPr>
            </w:pPr>
            <w:r/>
          </w:p>
        </w:tc>
      </w:tr>
      <w:tr>
        <w:trPr>
          <w:trHeight w:val="4646" w:hRule="atLeast"/>
        </w:trPr>
        <w:tc>
          <w:tcPr>
            <w:tcW w:w="884" w:type="dxa"/>
            <w:vAlign w:val="top"/>
            <w:vMerge w:val="continue"/>
            <w:tcBorders>
              <w:top w:val="nil"/>
              <w:bottom w:val="nil"/>
            </w:tcBorders>
          </w:tcPr>
          <w:p>
            <w:pPr>
              <w:rPr>
                <w:rFonts w:ascii="Arial"/>
                <w:sz w:val="21"/>
              </w:rPr>
            </w:pPr>
            <w:r/>
          </w:p>
        </w:tc>
        <w:tc>
          <w:tcPr>
            <w:tcW w:w="629" w:type="dxa"/>
            <w:vAlign w:val="top"/>
            <w:vMerge w:val="continue"/>
            <w:tcBorders>
              <w:top w:val="nil"/>
              <w:bottom w:val="nil"/>
            </w:tcBorders>
          </w:tcPr>
          <w:p>
            <w:pPr>
              <w:rPr>
                <w:rFonts w:ascii="Arial"/>
                <w:sz w:val="21"/>
              </w:rPr>
            </w:pPr>
            <w:r/>
          </w:p>
        </w:tc>
        <w:tc>
          <w:tcPr>
            <w:tcW w:w="3616" w:type="dxa"/>
            <w:vAlign w:val="top"/>
          </w:tcPr>
          <w:p>
            <w:pPr>
              <w:pStyle w:val="TableText"/>
              <w:ind w:left="71"/>
              <w:spacing w:before="59" w:line="219" w:lineRule="auto"/>
              <w:rPr>
                <w:sz w:val="21"/>
                <w:szCs w:val="21"/>
              </w:rPr>
            </w:pPr>
            <w:r>
              <w:rPr>
                <w:sz w:val="21"/>
                <w:szCs w:val="21"/>
              </w:rPr>
              <w:t>(三)大力推行标准化建设。开展生猪</w:t>
            </w:r>
          </w:p>
          <w:p>
            <w:pPr>
              <w:pStyle w:val="TableText"/>
              <w:ind w:left="12" w:right="6"/>
              <w:spacing w:before="14"/>
              <w:rPr>
                <w:sz w:val="21"/>
                <w:szCs w:val="21"/>
              </w:rPr>
            </w:pPr>
            <w:r>
              <w:rPr>
                <w:sz w:val="21"/>
                <w:szCs w:val="21"/>
                <w:spacing w:val="-1"/>
              </w:rPr>
              <w:t>屠宰标准化示范创建，实施生猪屠宰企</w:t>
            </w:r>
            <w:r>
              <w:rPr>
                <w:sz w:val="21"/>
                <w:szCs w:val="21"/>
                <w:spacing w:val="6"/>
              </w:rPr>
              <w:t xml:space="preserve"> </w:t>
            </w:r>
            <w:r>
              <w:rPr>
                <w:sz w:val="21"/>
                <w:szCs w:val="21"/>
                <w:spacing w:val="-1"/>
              </w:rPr>
              <w:t>业分级管理。鼓励、引导、支持生猪屠</w:t>
            </w:r>
            <w:r>
              <w:rPr>
                <w:sz w:val="21"/>
                <w:szCs w:val="21"/>
                <w:spacing w:val="8"/>
              </w:rPr>
              <w:t xml:space="preserve"> </w:t>
            </w:r>
            <w:r>
              <w:rPr>
                <w:sz w:val="21"/>
                <w:szCs w:val="21"/>
              </w:rPr>
              <w:t>宰企业改善生产和技术条件，加强质量</w:t>
            </w:r>
            <w:r>
              <w:rPr>
                <w:sz w:val="21"/>
                <w:szCs w:val="21"/>
                <w:spacing w:val="7"/>
              </w:rPr>
              <w:t xml:space="preserve"> </w:t>
            </w:r>
            <w:r>
              <w:rPr>
                <w:sz w:val="21"/>
                <w:szCs w:val="21"/>
                <w:spacing w:val="-1"/>
              </w:rPr>
              <w:t>安全全过程管理。大力推进以质量管理</w:t>
            </w:r>
            <w:r>
              <w:rPr>
                <w:sz w:val="21"/>
                <w:szCs w:val="21"/>
                <w:spacing w:val="3"/>
              </w:rPr>
              <w:t xml:space="preserve"> </w:t>
            </w:r>
            <w:r>
              <w:rPr>
                <w:sz w:val="21"/>
                <w:szCs w:val="21"/>
                <w:spacing w:val="-1"/>
              </w:rPr>
              <w:t>制度化、厂区环境整洁化、设施设备标</w:t>
            </w:r>
            <w:r>
              <w:rPr>
                <w:sz w:val="21"/>
                <w:szCs w:val="21"/>
                <w:spacing w:val="6"/>
              </w:rPr>
              <w:t xml:space="preserve"> </w:t>
            </w:r>
            <w:r>
              <w:rPr>
                <w:sz w:val="21"/>
                <w:szCs w:val="21"/>
              </w:rPr>
              <w:t>准化、生产经营规范化、检测检验科学</w:t>
            </w:r>
            <w:r>
              <w:rPr>
                <w:sz w:val="21"/>
                <w:szCs w:val="21"/>
                <w:spacing w:val="10"/>
              </w:rPr>
              <w:t xml:space="preserve"> </w:t>
            </w:r>
            <w:r>
              <w:rPr>
                <w:sz w:val="21"/>
                <w:szCs w:val="21"/>
                <w:spacing w:val="-1"/>
              </w:rPr>
              <w:t>化、排放处理无害化为主要内容的生猪</w:t>
            </w:r>
            <w:r>
              <w:rPr>
                <w:sz w:val="21"/>
                <w:szCs w:val="21"/>
                <w:spacing w:val="6"/>
              </w:rPr>
              <w:t xml:space="preserve"> </w:t>
            </w:r>
            <w:r>
              <w:rPr>
                <w:sz w:val="21"/>
                <w:szCs w:val="21"/>
                <w:spacing w:val="-1"/>
              </w:rPr>
              <w:t>屠宰企业标准化建设。生猪屠宰企业应</w:t>
            </w:r>
            <w:r>
              <w:rPr>
                <w:sz w:val="21"/>
                <w:szCs w:val="21"/>
                <w:spacing w:val="6"/>
              </w:rPr>
              <w:t xml:space="preserve"> </w:t>
            </w:r>
            <w:r>
              <w:rPr>
                <w:sz w:val="21"/>
                <w:szCs w:val="21"/>
              </w:rPr>
              <w:t>当配备与屠宰能力相适应的专职兽医卫</w:t>
            </w:r>
            <w:r>
              <w:rPr>
                <w:sz w:val="21"/>
                <w:szCs w:val="21"/>
                <w:spacing w:val="8"/>
              </w:rPr>
              <w:t xml:space="preserve"> </w:t>
            </w:r>
            <w:r>
              <w:rPr>
                <w:sz w:val="21"/>
                <w:szCs w:val="21"/>
                <w:spacing w:val="-1"/>
              </w:rPr>
              <w:t>生检验人员，配备符合国家要求的检验</w:t>
            </w:r>
            <w:r>
              <w:rPr>
                <w:sz w:val="21"/>
                <w:szCs w:val="21"/>
                <w:spacing w:val="6"/>
              </w:rPr>
              <w:t xml:space="preserve"> </w:t>
            </w:r>
            <w:r>
              <w:rPr>
                <w:sz w:val="21"/>
                <w:szCs w:val="21"/>
                <w:spacing w:val="1"/>
              </w:rPr>
              <w:t>设备。鼓励屠宰企业建设标准化预冷和</w:t>
            </w:r>
            <w:r>
              <w:rPr>
                <w:sz w:val="21"/>
                <w:szCs w:val="21"/>
              </w:rPr>
              <w:t xml:space="preserve"> </w:t>
            </w:r>
            <w:r>
              <w:rPr>
                <w:sz w:val="21"/>
                <w:szCs w:val="21"/>
                <w:spacing w:val="-1"/>
              </w:rPr>
              <w:t>低温分割加工车间、配套冷库等设施，</w:t>
            </w:r>
          </w:p>
          <w:p>
            <w:pPr>
              <w:pStyle w:val="TableText"/>
              <w:ind w:left="12"/>
              <w:spacing w:before="3" w:line="227" w:lineRule="auto"/>
              <w:rPr>
                <w:sz w:val="21"/>
                <w:szCs w:val="21"/>
              </w:rPr>
            </w:pPr>
            <w:r>
              <w:rPr>
                <w:sz w:val="21"/>
                <w:szCs w:val="21"/>
                <w:spacing w:val="-11"/>
              </w:rPr>
              <w:t>配置冷链运输设备，加快构建“集中屠</w:t>
            </w:r>
            <w:r>
              <w:rPr>
                <w:sz w:val="21"/>
                <w:szCs w:val="21"/>
                <w:spacing w:val="1"/>
              </w:rPr>
              <w:t xml:space="preserve">   </w:t>
            </w:r>
            <w:r>
              <w:rPr>
                <w:sz w:val="21"/>
                <w:szCs w:val="21"/>
                <w:spacing w:val="1"/>
              </w:rPr>
              <w:t>宰、品牌经营、冷链流通、冷鲜上市”</w:t>
            </w:r>
            <w:r>
              <w:rPr>
                <w:sz w:val="21"/>
                <w:szCs w:val="21"/>
                <w:spacing w:val="5"/>
              </w:rPr>
              <w:t xml:space="preserve"> </w:t>
            </w:r>
            <w:r>
              <w:rPr>
                <w:sz w:val="21"/>
                <w:szCs w:val="21"/>
                <w:spacing w:val="-10"/>
              </w:rPr>
              <w:t>的猪肉供应链，逐步提高冷鲜肉在肉类</w:t>
            </w:r>
            <w:r>
              <w:rPr>
                <w:sz w:val="21"/>
                <w:szCs w:val="21"/>
                <w:spacing w:val="2"/>
              </w:rPr>
              <w:t xml:space="preserve">  </w:t>
            </w:r>
            <w:r>
              <w:rPr>
                <w:sz w:val="21"/>
                <w:szCs w:val="21"/>
                <w:spacing w:val="-9"/>
              </w:rPr>
              <w:t>消费中的比重。</w:t>
            </w:r>
          </w:p>
        </w:tc>
        <w:tc>
          <w:tcPr>
            <w:tcW w:w="2807" w:type="dxa"/>
            <w:vAlign w:val="top"/>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pStyle w:val="TableText"/>
              <w:ind w:left="16"/>
              <w:spacing w:before="69" w:line="239" w:lineRule="auto"/>
              <w:jc w:val="both"/>
              <w:rPr>
                <w:sz w:val="21"/>
                <w:szCs w:val="21"/>
              </w:rPr>
            </w:pPr>
            <w:r>
              <w:rPr>
                <w:sz w:val="21"/>
                <w:szCs w:val="21"/>
              </w:rPr>
              <w:t>本项目为改扩建项目，建成后</w:t>
            </w:r>
            <w:r>
              <w:rPr>
                <w:sz w:val="21"/>
                <w:szCs w:val="21"/>
                <w:spacing w:val="3"/>
              </w:rPr>
              <w:t xml:space="preserve"> </w:t>
            </w:r>
            <w:r>
              <w:rPr>
                <w:sz w:val="21"/>
                <w:szCs w:val="21"/>
                <w:spacing w:val="-2"/>
              </w:rPr>
              <w:t>生猪屠宰规模由7.8万头/年提</w:t>
            </w:r>
            <w:r>
              <w:rPr>
                <w:sz w:val="21"/>
                <w:szCs w:val="21"/>
                <w:spacing w:val="8"/>
              </w:rPr>
              <w:t xml:space="preserve"> </w:t>
            </w:r>
            <w:r>
              <w:rPr>
                <w:sz w:val="21"/>
                <w:szCs w:val="21"/>
                <w:spacing w:val="-4"/>
              </w:rPr>
              <w:t>升至屠宰生猪40万头/年，肉牛</w:t>
            </w:r>
            <w:r>
              <w:rPr>
                <w:sz w:val="21"/>
                <w:szCs w:val="21"/>
                <w:spacing w:val="4"/>
              </w:rPr>
              <w:t xml:space="preserve"> </w:t>
            </w:r>
            <w:r>
              <w:rPr>
                <w:sz w:val="21"/>
                <w:szCs w:val="21"/>
                <w:spacing w:val="-2"/>
              </w:rPr>
              <w:t>4万头/年，企业配备与屠宰能</w:t>
            </w:r>
            <w:r>
              <w:rPr>
                <w:sz w:val="21"/>
                <w:szCs w:val="21"/>
                <w:spacing w:val="8"/>
              </w:rPr>
              <w:t xml:space="preserve"> </w:t>
            </w:r>
            <w:r>
              <w:rPr>
                <w:sz w:val="21"/>
                <w:szCs w:val="21"/>
                <w:spacing w:val="-1"/>
              </w:rPr>
              <w:t>力相适应的专职兽医卫生检验</w:t>
            </w:r>
            <w:r>
              <w:rPr>
                <w:sz w:val="21"/>
                <w:szCs w:val="21"/>
                <w:spacing w:val="10"/>
              </w:rPr>
              <w:t xml:space="preserve"> </w:t>
            </w:r>
            <w:r>
              <w:rPr>
                <w:sz w:val="21"/>
                <w:szCs w:val="21"/>
                <w:spacing w:val="-2"/>
              </w:rPr>
              <w:t>人员，配备符合国家要求的检</w:t>
            </w:r>
            <w:r>
              <w:rPr>
                <w:sz w:val="21"/>
                <w:szCs w:val="21"/>
                <w:spacing w:val="4"/>
              </w:rPr>
              <w:t xml:space="preserve"> </w:t>
            </w:r>
            <w:r>
              <w:rPr>
                <w:sz w:val="21"/>
                <w:szCs w:val="21"/>
              </w:rPr>
              <w:t>验设备，建设标准化预冷和低</w:t>
            </w:r>
            <w:r>
              <w:rPr>
                <w:sz w:val="21"/>
                <w:szCs w:val="21"/>
                <w:spacing w:val="1"/>
              </w:rPr>
              <w:t xml:space="preserve"> </w:t>
            </w:r>
            <w:r>
              <w:rPr>
                <w:sz w:val="21"/>
                <w:szCs w:val="21"/>
                <w:spacing w:val="-2"/>
              </w:rPr>
              <w:t>温分割加工车间、配套冷库等</w:t>
            </w:r>
            <w:r>
              <w:rPr>
                <w:sz w:val="21"/>
                <w:szCs w:val="21"/>
                <w:spacing w:val="4"/>
              </w:rPr>
              <w:t xml:space="preserve"> </w:t>
            </w:r>
            <w:r>
              <w:rPr>
                <w:sz w:val="21"/>
                <w:szCs w:val="21"/>
                <w:spacing w:val="-2"/>
              </w:rPr>
              <w:t>设施，配置冷链运输设备。</w:t>
            </w:r>
          </w:p>
        </w:tc>
        <w:tc>
          <w:tcPr>
            <w:tcW w:w="774" w:type="dxa"/>
            <w:vAlign w:val="top"/>
          </w:tcPr>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168"/>
              <w:spacing w:before="68" w:line="219" w:lineRule="auto"/>
              <w:rPr>
                <w:sz w:val="21"/>
                <w:szCs w:val="21"/>
              </w:rPr>
            </w:pPr>
            <w:r>
              <w:rPr>
                <w:sz w:val="21"/>
                <w:szCs w:val="21"/>
                <w:spacing w:val="-3"/>
              </w:rPr>
              <w:t>符合</w:t>
            </w:r>
          </w:p>
        </w:tc>
      </w:tr>
      <w:tr>
        <w:trPr>
          <w:trHeight w:val="4337" w:hRule="atLeast"/>
        </w:trPr>
        <w:tc>
          <w:tcPr>
            <w:tcW w:w="884" w:type="dxa"/>
            <w:vAlign w:val="top"/>
            <w:vMerge w:val="continue"/>
            <w:tcBorders>
              <w:top w:val="nil"/>
              <w:bottom w:val="nil"/>
            </w:tcBorders>
          </w:tcPr>
          <w:p>
            <w:pPr>
              <w:rPr>
                <w:rFonts w:ascii="Arial"/>
                <w:sz w:val="21"/>
              </w:rPr>
            </w:pPr>
            <w:r/>
          </w:p>
        </w:tc>
        <w:tc>
          <w:tcPr>
            <w:tcW w:w="629" w:type="dxa"/>
            <w:vAlign w:val="top"/>
            <w:vMerge w:val="continue"/>
            <w:tcBorders>
              <w:top w:val="nil"/>
            </w:tcBorders>
          </w:tcPr>
          <w:p>
            <w:pPr>
              <w:rPr>
                <w:rFonts w:ascii="Arial"/>
                <w:sz w:val="21"/>
              </w:rPr>
            </w:pPr>
            <w:r/>
          </w:p>
        </w:tc>
        <w:tc>
          <w:tcPr>
            <w:tcW w:w="3616" w:type="dxa"/>
            <w:vAlign w:val="top"/>
          </w:tcPr>
          <w:p>
            <w:pPr>
              <w:pStyle w:val="TableText"/>
              <w:ind w:left="12" w:right="13" w:firstLine="69"/>
              <w:spacing w:before="37" w:line="238" w:lineRule="auto"/>
              <w:rPr>
                <w:sz w:val="21"/>
                <w:szCs w:val="21"/>
              </w:rPr>
            </w:pPr>
            <w:r>
              <w:rPr>
                <w:sz w:val="21"/>
                <w:szCs w:val="21"/>
              </w:rPr>
              <w:t>(四)全面落实企业主体责任。全面落</w:t>
            </w:r>
            <w:r>
              <w:rPr>
                <w:sz w:val="21"/>
                <w:szCs w:val="21"/>
                <w:spacing w:val="4"/>
              </w:rPr>
              <w:t xml:space="preserve">  </w:t>
            </w:r>
            <w:r>
              <w:rPr>
                <w:sz w:val="21"/>
                <w:szCs w:val="21"/>
              </w:rPr>
              <w:t>实生猪屠宰企业的肉品质量安全、动物</w:t>
            </w:r>
            <w:r>
              <w:rPr>
                <w:sz w:val="21"/>
                <w:szCs w:val="21"/>
                <w:spacing w:val="9"/>
              </w:rPr>
              <w:t xml:space="preserve"> </w:t>
            </w:r>
            <w:r>
              <w:rPr>
                <w:sz w:val="21"/>
                <w:szCs w:val="21"/>
              </w:rPr>
              <w:t>防疫、安全生产和生态环境保护等主体</w:t>
            </w:r>
            <w:r>
              <w:rPr>
                <w:sz w:val="21"/>
                <w:szCs w:val="21"/>
                <w:spacing w:val="7"/>
              </w:rPr>
              <w:t xml:space="preserve"> </w:t>
            </w:r>
            <w:r>
              <w:rPr>
                <w:sz w:val="21"/>
                <w:szCs w:val="21"/>
              </w:rPr>
              <w:t>责任。配备与屠宰规模相适应，满足检</w:t>
            </w:r>
            <w:r>
              <w:rPr>
                <w:sz w:val="21"/>
                <w:szCs w:val="21"/>
                <w:spacing w:val="7"/>
              </w:rPr>
              <w:t xml:space="preserve"> </w:t>
            </w:r>
            <w:r>
              <w:rPr>
                <w:sz w:val="21"/>
                <w:szCs w:val="21"/>
                <w:spacing w:val="-1"/>
              </w:rPr>
              <w:t>验检疫、质量安全监控等保障安全要求</w:t>
            </w:r>
            <w:r>
              <w:rPr>
                <w:sz w:val="21"/>
                <w:szCs w:val="21"/>
                <w:spacing w:val="8"/>
              </w:rPr>
              <w:t xml:space="preserve"> </w:t>
            </w:r>
            <w:r>
              <w:rPr>
                <w:sz w:val="21"/>
                <w:szCs w:val="21"/>
              </w:rPr>
              <w:t>的设施设备和检验人员。严格遵守生猪</w:t>
            </w:r>
            <w:r>
              <w:rPr>
                <w:sz w:val="21"/>
                <w:szCs w:val="21"/>
                <w:spacing w:val="7"/>
              </w:rPr>
              <w:t xml:space="preserve"> </w:t>
            </w:r>
            <w:r>
              <w:rPr>
                <w:sz w:val="21"/>
                <w:szCs w:val="21"/>
                <w:spacing w:val="-1"/>
              </w:rPr>
              <w:t>屠宰质量管理规范，建立健全从畜禽进</w:t>
            </w:r>
            <w:r>
              <w:rPr>
                <w:sz w:val="21"/>
                <w:szCs w:val="21"/>
                <w:spacing w:val="6"/>
              </w:rPr>
              <w:t xml:space="preserve"> </w:t>
            </w:r>
            <w:r>
              <w:rPr>
                <w:sz w:val="21"/>
                <w:szCs w:val="21"/>
              </w:rPr>
              <w:t>厂(场)查验到产品出厂(场)、问题</w:t>
            </w:r>
          </w:p>
          <w:p>
            <w:pPr>
              <w:pStyle w:val="TableText"/>
              <w:ind w:left="12" w:right="9"/>
              <w:spacing w:before="3" w:line="233" w:lineRule="auto"/>
              <w:rPr>
                <w:sz w:val="21"/>
                <w:szCs w:val="21"/>
              </w:rPr>
            </w:pPr>
            <w:r>
              <w:rPr>
                <w:sz w:val="21"/>
                <w:szCs w:val="21"/>
                <w:spacing w:val="-1"/>
              </w:rPr>
              <w:t>产品召回等全过程质量安全管理制度。</w:t>
            </w:r>
            <w:r>
              <w:rPr>
                <w:sz w:val="21"/>
                <w:szCs w:val="21"/>
                <w:spacing w:val="10"/>
              </w:rPr>
              <w:t xml:space="preserve"> </w:t>
            </w:r>
            <w:r>
              <w:rPr>
                <w:sz w:val="21"/>
                <w:szCs w:val="21"/>
              </w:rPr>
              <w:t>严格按照国家有关规定，开展动物疫病</w:t>
            </w:r>
            <w:r>
              <w:rPr>
                <w:sz w:val="21"/>
                <w:szCs w:val="21"/>
                <w:spacing w:val="13"/>
              </w:rPr>
              <w:t xml:space="preserve"> </w:t>
            </w:r>
            <w:r>
              <w:rPr>
                <w:sz w:val="21"/>
                <w:szCs w:val="21"/>
                <w:spacing w:val="-1"/>
              </w:rPr>
              <w:t>检测，做好动物疫情排查和报告等。大</w:t>
            </w:r>
            <w:r>
              <w:rPr>
                <w:sz w:val="21"/>
                <w:szCs w:val="21"/>
                <w:spacing w:val="7"/>
              </w:rPr>
              <w:t xml:space="preserve"> </w:t>
            </w:r>
            <w:r>
              <w:rPr>
                <w:sz w:val="21"/>
                <w:szCs w:val="21"/>
              </w:rPr>
              <w:t>力推进猪肉产品追溯体系建设，鼓励无</w:t>
            </w:r>
            <w:r>
              <w:rPr>
                <w:sz w:val="21"/>
                <w:szCs w:val="21"/>
                <w:spacing w:val="7"/>
              </w:rPr>
              <w:t xml:space="preserve"> </w:t>
            </w:r>
            <w:r>
              <w:rPr>
                <w:sz w:val="21"/>
                <w:szCs w:val="21"/>
              </w:rPr>
              <w:t>纸化出具肉品品质检验合格证，溯源信</w:t>
            </w:r>
            <w:r>
              <w:rPr>
                <w:sz w:val="21"/>
                <w:szCs w:val="21"/>
                <w:spacing w:val="13"/>
              </w:rPr>
              <w:t xml:space="preserve"> </w:t>
            </w:r>
            <w:r>
              <w:rPr>
                <w:sz w:val="21"/>
                <w:szCs w:val="21"/>
              </w:rPr>
              <w:t>息接入全省统一的食品溯源公共服务平</w:t>
            </w:r>
            <w:r>
              <w:rPr>
                <w:sz w:val="21"/>
                <w:szCs w:val="21"/>
                <w:spacing w:val="8"/>
              </w:rPr>
              <w:t xml:space="preserve"> </w:t>
            </w:r>
            <w:r>
              <w:rPr>
                <w:sz w:val="21"/>
                <w:szCs w:val="21"/>
              </w:rPr>
              <w:t>台，实现数据归集、共享，切实做到来</w:t>
            </w:r>
            <w:r>
              <w:rPr>
                <w:sz w:val="21"/>
                <w:szCs w:val="21"/>
                <w:spacing w:val="8"/>
              </w:rPr>
              <w:t xml:space="preserve"> </w:t>
            </w:r>
            <w:r>
              <w:rPr>
                <w:sz w:val="21"/>
                <w:szCs w:val="21"/>
                <w:spacing w:val="-1"/>
              </w:rPr>
              <w:t>源可溯、去向可查、责任可追究。</w:t>
            </w:r>
          </w:p>
        </w:tc>
        <w:tc>
          <w:tcPr>
            <w:tcW w:w="2807" w:type="dxa"/>
            <w:vAlign w:val="top"/>
          </w:tcPr>
          <w:p>
            <w:pPr>
              <w:spacing w:line="323" w:lineRule="auto"/>
              <w:rPr>
                <w:rFonts w:ascii="Arial"/>
                <w:sz w:val="21"/>
              </w:rPr>
            </w:pPr>
            <w:r/>
          </w:p>
          <w:p>
            <w:pPr>
              <w:spacing w:line="323" w:lineRule="auto"/>
              <w:rPr>
                <w:rFonts w:ascii="Arial"/>
                <w:sz w:val="21"/>
              </w:rPr>
            </w:pPr>
            <w:r/>
          </w:p>
          <w:p>
            <w:pPr>
              <w:pStyle w:val="TableText"/>
              <w:ind w:left="16"/>
              <w:spacing w:before="68" w:line="239" w:lineRule="auto"/>
              <w:jc w:val="both"/>
              <w:rPr>
                <w:sz w:val="21"/>
                <w:szCs w:val="21"/>
              </w:rPr>
            </w:pPr>
            <w:r>
              <w:rPr>
                <w:sz w:val="21"/>
                <w:szCs w:val="21"/>
                <w:spacing w:val="-3"/>
              </w:rPr>
              <w:t>本项目为改扩建项目，建成后</w:t>
            </w:r>
            <w:r>
              <w:rPr>
                <w:sz w:val="21"/>
                <w:szCs w:val="21"/>
              </w:rPr>
              <w:t xml:space="preserve">  </w:t>
            </w:r>
            <w:r>
              <w:rPr>
                <w:sz w:val="21"/>
                <w:szCs w:val="21"/>
                <w:spacing w:val="-5"/>
              </w:rPr>
              <w:t>生猪屠宰规模由7.8万头/年提</w:t>
            </w:r>
            <w:r>
              <w:rPr>
                <w:sz w:val="21"/>
                <w:szCs w:val="21"/>
                <w:spacing w:val="6"/>
              </w:rPr>
              <w:t xml:space="preserve">  </w:t>
            </w:r>
            <w:r>
              <w:rPr>
                <w:sz w:val="21"/>
                <w:szCs w:val="21"/>
                <w:spacing w:val="-7"/>
              </w:rPr>
              <w:t>升至屠宰生猪40万头/年，肉牛</w:t>
            </w:r>
            <w:r>
              <w:rPr>
                <w:sz w:val="21"/>
                <w:szCs w:val="21"/>
                <w:spacing w:val="7"/>
              </w:rPr>
              <w:t xml:space="preserve"> </w:t>
            </w:r>
            <w:r>
              <w:rPr>
                <w:sz w:val="21"/>
                <w:szCs w:val="21"/>
                <w:spacing w:val="-3"/>
              </w:rPr>
              <w:t>4万头/年，配备与屠宰规模相</w:t>
            </w:r>
            <w:r>
              <w:rPr>
                <w:sz w:val="21"/>
                <w:szCs w:val="21"/>
                <w:spacing w:val="2"/>
              </w:rPr>
              <w:t xml:space="preserve">  </w:t>
            </w:r>
            <w:r>
              <w:rPr>
                <w:sz w:val="21"/>
                <w:szCs w:val="21"/>
                <w:spacing w:val="-4"/>
              </w:rPr>
              <w:t>适应，满足检验检疫、质量安</w:t>
            </w:r>
            <w:r>
              <w:rPr>
                <w:sz w:val="21"/>
                <w:szCs w:val="21"/>
                <w:spacing w:val="5"/>
              </w:rPr>
              <w:t xml:space="preserve">  </w:t>
            </w:r>
            <w:r>
              <w:rPr>
                <w:sz w:val="21"/>
                <w:szCs w:val="21"/>
                <w:spacing w:val="-5"/>
              </w:rPr>
              <w:t>全监控等保障安全要求的设施</w:t>
            </w:r>
            <w:r>
              <w:rPr>
                <w:sz w:val="21"/>
                <w:szCs w:val="21"/>
                <w:spacing w:val="1"/>
              </w:rPr>
              <w:t xml:space="preserve">  </w:t>
            </w:r>
            <w:r>
              <w:rPr>
                <w:sz w:val="21"/>
                <w:szCs w:val="21"/>
                <w:spacing w:val="-3"/>
              </w:rPr>
              <w:t>设备和检验人员；严格按照国</w:t>
            </w:r>
            <w:r>
              <w:rPr>
                <w:sz w:val="21"/>
                <w:szCs w:val="21"/>
                <w:spacing w:val="6"/>
              </w:rPr>
              <w:t xml:space="preserve"> </w:t>
            </w:r>
            <w:r>
              <w:rPr>
                <w:sz w:val="21"/>
                <w:szCs w:val="21"/>
                <w:spacing w:val="-5"/>
              </w:rPr>
              <w:t>家有关规定，开展动物疫病检</w:t>
            </w:r>
            <w:r>
              <w:rPr>
                <w:sz w:val="21"/>
                <w:szCs w:val="21"/>
                <w:spacing w:val="1"/>
              </w:rPr>
              <w:t xml:space="preserve">  </w:t>
            </w:r>
            <w:r>
              <w:rPr>
                <w:sz w:val="21"/>
                <w:szCs w:val="21"/>
                <w:spacing w:val="-3"/>
              </w:rPr>
              <w:t>测，做好动物疫情排查和报告</w:t>
            </w:r>
            <w:r>
              <w:rPr>
                <w:sz w:val="21"/>
                <w:szCs w:val="21"/>
              </w:rPr>
              <w:t xml:space="preserve">  </w:t>
            </w:r>
            <w:r>
              <w:rPr>
                <w:sz w:val="21"/>
                <w:szCs w:val="21"/>
                <w:spacing w:val="3"/>
              </w:rPr>
              <w:t>等；建设猪肉产品来源可溯、</w:t>
            </w:r>
            <w:r>
              <w:rPr>
                <w:sz w:val="21"/>
                <w:szCs w:val="21"/>
                <w:spacing w:val="10"/>
              </w:rPr>
              <w:t xml:space="preserve"> </w:t>
            </w:r>
            <w:r>
              <w:rPr>
                <w:sz w:val="21"/>
                <w:szCs w:val="21"/>
                <w:spacing w:val="-4"/>
              </w:rPr>
              <w:t>去向可查、责任可追究体系。</w:t>
            </w:r>
          </w:p>
        </w:tc>
        <w:tc>
          <w:tcPr>
            <w:tcW w:w="774"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pStyle w:val="TableText"/>
              <w:ind w:left="168"/>
              <w:spacing w:before="68" w:line="219" w:lineRule="auto"/>
              <w:rPr>
                <w:sz w:val="21"/>
                <w:szCs w:val="21"/>
              </w:rPr>
            </w:pPr>
            <w:r>
              <w:rPr>
                <w:sz w:val="21"/>
                <w:szCs w:val="21"/>
                <w:spacing w:val="-3"/>
              </w:rPr>
              <w:t>符合</w:t>
            </w:r>
          </w:p>
        </w:tc>
      </w:tr>
      <w:tr>
        <w:trPr>
          <w:trHeight w:val="1919" w:hRule="atLeast"/>
        </w:trPr>
        <w:tc>
          <w:tcPr>
            <w:tcW w:w="884" w:type="dxa"/>
            <w:vAlign w:val="top"/>
            <w:vMerge w:val="continue"/>
            <w:tcBorders>
              <w:top w:val="nil"/>
              <w:bottom w:val="nil"/>
            </w:tcBorders>
          </w:tcPr>
          <w:p>
            <w:pPr>
              <w:rPr>
                <w:rFonts w:ascii="Arial"/>
                <w:sz w:val="21"/>
              </w:rPr>
            </w:pPr>
            <w:r/>
          </w:p>
        </w:tc>
        <w:tc>
          <w:tcPr>
            <w:tcW w:w="629" w:type="dxa"/>
            <w:vAlign w:val="top"/>
            <w:vMerge w:val="restart"/>
            <w:tcBorders>
              <w:bottom w:val="nil"/>
            </w:tcBorders>
          </w:tcPr>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11"/>
              <w:spacing w:before="68" w:line="232" w:lineRule="auto"/>
              <w:rPr>
                <w:sz w:val="21"/>
                <w:szCs w:val="21"/>
              </w:rPr>
            </w:pPr>
            <w:r>
              <w:rPr>
                <w:sz w:val="21"/>
                <w:szCs w:val="21"/>
                <w:spacing w:val="-8"/>
              </w:rPr>
              <w:t>七、环</w:t>
            </w:r>
            <w:r>
              <w:rPr>
                <w:sz w:val="21"/>
                <w:szCs w:val="21"/>
              </w:rPr>
              <w:t xml:space="preserve"> </w:t>
            </w:r>
            <w:r>
              <w:rPr>
                <w:sz w:val="21"/>
                <w:szCs w:val="21"/>
                <w:spacing w:val="-5"/>
              </w:rPr>
              <w:t>境影</w:t>
            </w:r>
          </w:p>
          <w:p>
            <w:pPr>
              <w:pStyle w:val="TableText"/>
              <w:ind w:left="11" w:right="178"/>
              <w:spacing w:before="1" w:line="248" w:lineRule="auto"/>
              <w:rPr>
                <w:sz w:val="21"/>
                <w:szCs w:val="21"/>
              </w:rPr>
            </w:pPr>
            <w:r>
              <w:rPr>
                <w:sz w:val="21"/>
                <w:szCs w:val="21"/>
                <w:spacing w:val="4"/>
              </w:rPr>
              <w:t>响分</w:t>
            </w:r>
            <w:r>
              <w:rPr>
                <w:sz w:val="21"/>
                <w:szCs w:val="21"/>
              </w:rPr>
              <w:t xml:space="preserve"> </w:t>
            </w:r>
            <w:r>
              <w:rPr>
                <w:sz w:val="21"/>
                <w:szCs w:val="21"/>
              </w:rPr>
              <w:t>析</w:t>
            </w:r>
          </w:p>
        </w:tc>
        <w:tc>
          <w:tcPr>
            <w:tcW w:w="3616" w:type="dxa"/>
            <w:vAlign w:val="top"/>
          </w:tcPr>
          <w:p>
            <w:pPr>
              <w:spacing w:line="256" w:lineRule="auto"/>
              <w:rPr>
                <w:rFonts w:ascii="Arial"/>
                <w:sz w:val="21"/>
              </w:rPr>
            </w:pPr>
            <w:r/>
          </w:p>
          <w:p>
            <w:pPr>
              <w:pStyle w:val="TableText"/>
              <w:ind w:left="12" w:right="12" w:firstLine="49"/>
              <w:spacing w:before="68" w:line="239" w:lineRule="auto"/>
              <w:rPr>
                <w:sz w:val="21"/>
                <w:szCs w:val="21"/>
              </w:rPr>
            </w:pPr>
            <w:r>
              <w:rPr>
                <w:sz w:val="21"/>
                <w:szCs w:val="21"/>
              </w:rPr>
              <w:t>(一)规范环境影响评价。新建、改扩</w:t>
            </w:r>
            <w:r>
              <w:rPr>
                <w:sz w:val="21"/>
                <w:szCs w:val="21"/>
                <w:spacing w:val="4"/>
              </w:rPr>
              <w:t xml:space="preserve">  </w:t>
            </w:r>
            <w:r>
              <w:rPr>
                <w:sz w:val="21"/>
                <w:szCs w:val="21"/>
                <w:spacing w:val="-1"/>
              </w:rPr>
              <w:t>建屠宰场应进行环境影响评价，环境影</w:t>
            </w:r>
            <w:r>
              <w:rPr>
                <w:sz w:val="21"/>
                <w:szCs w:val="21"/>
                <w:spacing w:val="5"/>
              </w:rPr>
              <w:t xml:space="preserve"> </w:t>
            </w:r>
            <w:r>
              <w:rPr>
                <w:sz w:val="21"/>
                <w:szCs w:val="21"/>
              </w:rPr>
              <w:t>响评价文件未依法经审批部门审查或者</w:t>
            </w:r>
            <w:r>
              <w:rPr>
                <w:sz w:val="21"/>
                <w:szCs w:val="21"/>
                <w:spacing w:val="8"/>
              </w:rPr>
              <w:t xml:space="preserve"> </w:t>
            </w:r>
            <w:r>
              <w:rPr>
                <w:sz w:val="21"/>
                <w:szCs w:val="21"/>
              </w:rPr>
              <w:t>审查后未予批准的，建设单位不得开工</w:t>
            </w:r>
            <w:r>
              <w:rPr>
                <w:sz w:val="21"/>
                <w:szCs w:val="21"/>
                <w:spacing w:val="10"/>
              </w:rPr>
              <w:t xml:space="preserve"> </w:t>
            </w:r>
            <w:r>
              <w:rPr>
                <w:sz w:val="21"/>
                <w:szCs w:val="21"/>
                <w:spacing w:val="-2"/>
              </w:rPr>
              <w:t>建设。</w:t>
            </w:r>
          </w:p>
        </w:tc>
        <w:tc>
          <w:tcPr>
            <w:tcW w:w="2807" w:type="dxa"/>
            <w:vAlign w:val="top"/>
          </w:tcPr>
          <w:p>
            <w:pPr>
              <w:pStyle w:val="TableText"/>
              <w:ind w:left="16" w:right="34"/>
              <w:spacing w:before="55" w:line="237" w:lineRule="auto"/>
              <w:rPr>
                <w:sz w:val="21"/>
                <w:szCs w:val="21"/>
              </w:rPr>
            </w:pPr>
            <w:r>
              <w:rPr>
                <w:sz w:val="21"/>
                <w:szCs w:val="21"/>
              </w:rPr>
              <w:t>绵阳柒鑫食品有限公司于2019</w:t>
            </w:r>
            <w:r>
              <w:rPr>
                <w:sz w:val="21"/>
                <w:szCs w:val="21"/>
                <w:spacing w:val="10"/>
              </w:rPr>
              <w:t xml:space="preserve"> </w:t>
            </w:r>
            <w:r>
              <w:rPr>
                <w:sz w:val="21"/>
                <w:szCs w:val="21"/>
                <w:spacing w:val="-1"/>
              </w:rPr>
              <w:t>年5月31日取得了由绵阳市人</w:t>
            </w:r>
            <w:r>
              <w:rPr>
                <w:sz w:val="21"/>
                <w:szCs w:val="21"/>
                <w:spacing w:val="1"/>
              </w:rPr>
              <w:t xml:space="preserve">  </w:t>
            </w:r>
            <w:r>
              <w:rPr>
                <w:sz w:val="21"/>
                <w:szCs w:val="21"/>
                <w:spacing w:val="1"/>
              </w:rPr>
              <w:t>民政府颁发的《生猪定点屠宰</w:t>
            </w:r>
            <w:r>
              <w:rPr>
                <w:sz w:val="21"/>
                <w:szCs w:val="21"/>
                <w:spacing w:val="2"/>
              </w:rPr>
              <w:t xml:space="preserve"> </w:t>
            </w:r>
            <w:r>
              <w:rPr>
                <w:sz w:val="21"/>
                <w:szCs w:val="21"/>
              </w:rPr>
              <w:t>证》(定点屠宰代码：</w:t>
            </w:r>
          </w:p>
          <w:p>
            <w:pPr>
              <w:pStyle w:val="TableText"/>
              <w:ind w:left="16"/>
              <w:spacing w:line="216" w:lineRule="auto"/>
              <w:rPr>
                <w:sz w:val="21"/>
                <w:szCs w:val="21"/>
              </w:rPr>
            </w:pPr>
            <w:r>
              <w:rPr>
                <w:sz w:val="21"/>
                <w:szCs w:val="21"/>
                <w:spacing w:val="-1"/>
              </w:rPr>
              <w:t>A29030601),本项目为改扩</w:t>
            </w:r>
          </w:p>
          <w:p>
            <w:pPr>
              <w:pStyle w:val="TableText"/>
              <w:ind w:left="16" w:right="61"/>
              <w:spacing w:before="26" w:line="221" w:lineRule="auto"/>
              <w:rPr>
                <w:sz w:val="21"/>
                <w:szCs w:val="21"/>
              </w:rPr>
            </w:pPr>
            <w:r>
              <w:rPr>
                <w:sz w:val="21"/>
                <w:szCs w:val="21"/>
                <w:spacing w:val="-1"/>
              </w:rPr>
              <w:t>建项目，正在进行环境影响评</w:t>
            </w:r>
            <w:r>
              <w:rPr>
                <w:sz w:val="21"/>
                <w:szCs w:val="21"/>
                <w:spacing w:val="1"/>
              </w:rPr>
              <w:t xml:space="preserve"> </w:t>
            </w:r>
            <w:r>
              <w:rPr>
                <w:sz w:val="21"/>
                <w:szCs w:val="21"/>
                <w:spacing w:val="-1"/>
              </w:rPr>
              <w:t>价工作，未开工建设。</w:t>
            </w:r>
          </w:p>
        </w:tc>
        <w:tc>
          <w:tcPr>
            <w:tcW w:w="774" w:type="dxa"/>
            <w:vAlign w:val="top"/>
          </w:tcPr>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pStyle w:val="TableText"/>
              <w:ind w:left="168"/>
              <w:spacing w:before="68" w:line="219" w:lineRule="auto"/>
              <w:rPr>
                <w:sz w:val="21"/>
                <w:szCs w:val="21"/>
              </w:rPr>
            </w:pPr>
            <w:r>
              <w:rPr>
                <w:sz w:val="21"/>
                <w:szCs w:val="21"/>
                <w:spacing w:val="-3"/>
              </w:rPr>
              <w:t>符合</w:t>
            </w:r>
          </w:p>
        </w:tc>
      </w:tr>
      <w:tr>
        <w:trPr>
          <w:trHeight w:val="1924" w:hRule="atLeast"/>
        </w:trPr>
        <w:tc>
          <w:tcPr>
            <w:tcW w:w="884" w:type="dxa"/>
            <w:vAlign w:val="top"/>
            <w:vMerge w:val="continue"/>
            <w:tcBorders>
              <w:top w:val="nil"/>
            </w:tcBorders>
          </w:tcPr>
          <w:p>
            <w:pPr>
              <w:rPr>
                <w:rFonts w:ascii="Arial"/>
                <w:sz w:val="21"/>
              </w:rPr>
            </w:pPr>
            <w:r/>
          </w:p>
        </w:tc>
        <w:tc>
          <w:tcPr>
            <w:tcW w:w="629" w:type="dxa"/>
            <w:vAlign w:val="top"/>
            <w:vMerge w:val="continue"/>
            <w:tcBorders>
              <w:top w:val="nil"/>
            </w:tcBorders>
          </w:tcPr>
          <w:p>
            <w:pPr>
              <w:rPr>
                <w:rFonts w:ascii="Arial"/>
                <w:sz w:val="21"/>
              </w:rPr>
            </w:pPr>
            <w:r/>
          </w:p>
        </w:tc>
        <w:tc>
          <w:tcPr>
            <w:tcW w:w="3616" w:type="dxa"/>
            <w:vAlign w:val="top"/>
          </w:tcPr>
          <w:p>
            <w:pPr>
              <w:pStyle w:val="TableText"/>
              <w:ind w:left="12" w:right="2" w:firstLine="79"/>
              <w:spacing w:before="34" w:line="236" w:lineRule="auto"/>
              <w:rPr>
                <w:sz w:val="21"/>
                <w:szCs w:val="21"/>
              </w:rPr>
            </w:pPr>
            <w:r>
              <w:rPr>
                <w:sz w:val="21"/>
                <w:szCs w:val="21"/>
              </w:rPr>
              <w:t>(二)不利环境影响分析。生猪屠宰产</w:t>
            </w:r>
            <w:r>
              <w:rPr>
                <w:sz w:val="21"/>
                <w:szCs w:val="21"/>
                <w:spacing w:val="6"/>
              </w:rPr>
              <w:t xml:space="preserve">  </w:t>
            </w:r>
            <w:r>
              <w:rPr>
                <w:sz w:val="21"/>
                <w:szCs w:val="21"/>
              </w:rPr>
              <w:t>生的主要污染为屠宰企业建设、改造期</w:t>
            </w:r>
            <w:r>
              <w:rPr>
                <w:sz w:val="21"/>
                <w:szCs w:val="21"/>
                <w:spacing w:val="12"/>
              </w:rPr>
              <w:t xml:space="preserve"> </w:t>
            </w:r>
            <w:r>
              <w:rPr>
                <w:sz w:val="21"/>
                <w:szCs w:val="21"/>
              </w:rPr>
              <w:t>间施工污染和从事经营活动期间运营污</w:t>
            </w:r>
            <w:r>
              <w:rPr>
                <w:sz w:val="21"/>
                <w:szCs w:val="21"/>
                <w:spacing w:val="9"/>
              </w:rPr>
              <w:t xml:space="preserve"> </w:t>
            </w:r>
            <w:r>
              <w:rPr>
                <w:sz w:val="21"/>
                <w:szCs w:val="21"/>
              </w:rPr>
              <w:t>染。施工污染包括扬尘、施工机械及交</w:t>
            </w:r>
            <w:r>
              <w:rPr>
                <w:sz w:val="21"/>
                <w:szCs w:val="21"/>
                <w:spacing w:val="7"/>
              </w:rPr>
              <w:t xml:space="preserve"> </w:t>
            </w:r>
            <w:r>
              <w:rPr>
                <w:sz w:val="21"/>
                <w:szCs w:val="21"/>
                <w:spacing w:val="1"/>
              </w:rPr>
              <w:t>通产生的施工噪声、施工废水、施工固</w:t>
            </w:r>
            <w:r>
              <w:rPr>
                <w:sz w:val="21"/>
                <w:szCs w:val="21"/>
                <w:spacing w:val="3"/>
              </w:rPr>
              <w:t xml:space="preserve"> </w:t>
            </w:r>
            <w:r>
              <w:rPr>
                <w:sz w:val="21"/>
                <w:szCs w:val="21"/>
              </w:rPr>
              <w:t>体废弃物，属于短期阶段性污染。运营</w:t>
            </w:r>
            <w:r>
              <w:rPr>
                <w:sz w:val="21"/>
                <w:szCs w:val="21"/>
                <w:spacing w:val="12"/>
              </w:rPr>
              <w:t xml:space="preserve"> </w:t>
            </w:r>
            <w:r>
              <w:rPr>
                <w:sz w:val="21"/>
                <w:szCs w:val="21"/>
                <w:spacing w:val="-1"/>
              </w:rPr>
              <w:t>污染是指生猪屠宰加工过程中产生的大</w:t>
            </w:r>
          </w:p>
        </w:tc>
        <w:tc>
          <w:tcPr>
            <w:tcW w:w="2807" w:type="dxa"/>
            <w:vAlign w:val="top"/>
          </w:tcPr>
          <w:p>
            <w:pPr>
              <w:pStyle w:val="TableText"/>
              <w:ind w:left="16"/>
              <w:spacing w:before="50" w:line="234" w:lineRule="auto"/>
              <w:jc w:val="both"/>
              <w:rPr>
                <w:sz w:val="21"/>
                <w:szCs w:val="21"/>
              </w:rPr>
            </w:pPr>
            <w:r>
              <w:rPr>
                <w:sz w:val="21"/>
                <w:szCs w:val="21"/>
                <w:spacing w:val="-3"/>
              </w:rPr>
              <w:t>本项目为改扩建项目，施工期</w:t>
            </w:r>
            <w:r>
              <w:rPr>
                <w:sz w:val="21"/>
                <w:szCs w:val="21"/>
              </w:rPr>
              <w:t xml:space="preserve">  </w:t>
            </w:r>
            <w:r>
              <w:rPr>
                <w:sz w:val="21"/>
                <w:szCs w:val="21"/>
                <w:spacing w:val="-5"/>
              </w:rPr>
              <w:t>经采取环评要求治理措施后可</w:t>
            </w:r>
            <w:r>
              <w:rPr>
                <w:sz w:val="21"/>
                <w:szCs w:val="21"/>
                <w:spacing w:val="1"/>
              </w:rPr>
              <w:t xml:space="preserve">  </w:t>
            </w:r>
            <w:r>
              <w:rPr>
                <w:sz w:val="21"/>
                <w:szCs w:val="21"/>
                <w:spacing w:val="3"/>
              </w:rPr>
              <w:t>使其对环境的影响降至最低；</w:t>
            </w:r>
            <w:r>
              <w:rPr>
                <w:sz w:val="21"/>
                <w:szCs w:val="21"/>
                <w:spacing w:val="10"/>
              </w:rPr>
              <w:t xml:space="preserve"> </w:t>
            </w:r>
            <w:r>
              <w:rPr>
                <w:sz w:val="21"/>
                <w:szCs w:val="21"/>
                <w:spacing w:val="-4"/>
              </w:rPr>
              <w:t>运营期经采取环评要求治理措</w:t>
            </w:r>
            <w:r>
              <w:rPr>
                <w:sz w:val="21"/>
                <w:szCs w:val="21"/>
              </w:rPr>
              <w:t xml:space="preserve">  </w:t>
            </w:r>
            <w:r>
              <w:rPr>
                <w:sz w:val="21"/>
                <w:szCs w:val="21"/>
                <w:spacing w:val="-3"/>
              </w:rPr>
              <w:t>施后不会改变区域环境质量与</w:t>
            </w:r>
            <w:r>
              <w:rPr>
                <w:sz w:val="21"/>
                <w:szCs w:val="21"/>
                <w:spacing w:val="1"/>
              </w:rPr>
              <w:t xml:space="preserve">  </w:t>
            </w:r>
            <w:r>
              <w:rPr>
                <w:sz w:val="21"/>
                <w:szCs w:val="21"/>
                <w:spacing w:val="-5"/>
              </w:rPr>
              <w:t>环境功能的要求，环境影响较</w:t>
            </w:r>
            <w:r>
              <w:rPr>
                <w:sz w:val="21"/>
                <w:szCs w:val="21"/>
                <w:spacing w:val="1"/>
              </w:rPr>
              <w:t xml:space="preserve">  </w:t>
            </w:r>
            <w:r>
              <w:rPr>
                <w:sz w:val="21"/>
                <w:szCs w:val="21"/>
                <w:spacing w:val="-4"/>
              </w:rPr>
              <w:t>小，符合建设项目所在地环境</w:t>
            </w:r>
          </w:p>
        </w:tc>
        <w:tc>
          <w:tcPr>
            <w:tcW w:w="774" w:type="dxa"/>
            <w:vAlign w:val="top"/>
          </w:tcPr>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168"/>
              <w:spacing w:before="68" w:line="219" w:lineRule="auto"/>
              <w:rPr>
                <w:sz w:val="21"/>
                <w:szCs w:val="21"/>
              </w:rPr>
            </w:pPr>
            <w:r>
              <w:rPr>
                <w:sz w:val="21"/>
                <w:szCs w:val="21"/>
                <w:spacing w:val="-3"/>
              </w:rPr>
              <w:t>符合</w:t>
            </w:r>
          </w:p>
        </w:tc>
      </w:tr>
    </w:tbl>
    <w:p>
      <w:pPr>
        <w:pStyle w:val="BodyText"/>
        <w:rPr/>
      </w:pPr>
      <w:r/>
    </w:p>
    <w:p>
      <w:pPr>
        <w:sectPr>
          <w:headerReference w:type="default" r:id="rId56"/>
          <w:footerReference w:type="default" r:id="rId57"/>
          <w:pgSz w:w="11910" w:h="16840"/>
          <w:pgMar w:top="1167" w:right="1614" w:bottom="983" w:left="1574" w:header="874" w:footer="736" w:gutter="0"/>
        </w:sectPr>
        <w:rPr/>
      </w:pPr>
    </w:p>
    <w:p>
      <w:pPr>
        <w:spacing w:line="228" w:lineRule="exact"/>
        <w:rPr/>
      </w:pPr>
      <w:r/>
    </w:p>
    <w:tbl>
      <w:tblPr>
        <w:tblStyle w:val="TableNormal"/>
        <w:tblW w:w="87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84"/>
        <w:gridCol w:w="629"/>
        <w:gridCol w:w="3606"/>
        <w:gridCol w:w="2837"/>
        <w:gridCol w:w="754"/>
      </w:tblGrid>
      <w:tr>
        <w:trPr>
          <w:trHeight w:val="275" w:hRule="atLeast"/>
        </w:trPr>
        <w:tc>
          <w:tcPr>
            <w:shd w:val="clear" w:fill="BDBDBD"/>
            <w:tcW w:w="884" w:type="dxa"/>
            <w:vAlign w:val="top"/>
          </w:tcPr>
          <w:p>
            <w:pPr>
              <w:pStyle w:val="TableText"/>
              <w:ind w:left="207"/>
              <w:spacing w:before="30" w:line="206" w:lineRule="auto"/>
              <w:rPr>
                <w:sz w:val="21"/>
                <w:szCs w:val="21"/>
              </w:rPr>
            </w:pPr>
            <w:r>
              <w:rPr>
                <w:sz w:val="21"/>
                <w:szCs w:val="21"/>
                <w:b/>
                <w:bCs/>
                <w:spacing w:val="-5"/>
              </w:rPr>
              <w:t>文件</w:t>
            </w:r>
          </w:p>
        </w:tc>
        <w:tc>
          <w:tcPr>
            <w:shd w:val="clear" w:fill="BDBDBD"/>
            <w:tcW w:w="4235" w:type="dxa"/>
            <w:vAlign w:val="top"/>
            <w:gridSpan w:val="2"/>
          </w:tcPr>
          <w:p>
            <w:pPr>
              <w:pStyle w:val="TableText"/>
              <w:ind w:left="1674"/>
              <w:spacing w:before="31" w:line="205" w:lineRule="auto"/>
              <w:rPr>
                <w:sz w:val="21"/>
                <w:szCs w:val="21"/>
              </w:rPr>
            </w:pPr>
            <w:r>
              <w:rPr>
                <w:sz w:val="21"/>
                <w:szCs w:val="21"/>
                <w:b/>
                <w:bCs/>
                <w:spacing w:val="-4"/>
              </w:rPr>
              <w:t>相关规定</w:t>
            </w:r>
          </w:p>
        </w:tc>
        <w:tc>
          <w:tcPr>
            <w:shd w:val="clear" w:fill="BDBDBD"/>
            <w:tcW w:w="2837" w:type="dxa"/>
            <w:vAlign w:val="top"/>
          </w:tcPr>
          <w:p>
            <w:pPr>
              <w:pStyle w:val="TableText"/>
              <w:ind w:left="1078"/>
              <w:spacing w:before="29" w:line="207" w:lineRule="auto"/>
              <w:rPr>
                <w:sz w:val="21"/>
                <w:szCs w:val="21"/>
              </w:rPr>
            </w:pPr>
            <w:r>
              <w:rPr>
                <w:sz w:val="21"/>
                <w:szCs w:val="21"/>
                <w:b/>
                <w:bCs/>
                <w:spacing w:val="9"/>
              </w:rPr>
              <w:t>本项目</w:t>
            </w:r>
          </w:p>
        </w:tc>
        <w:tc>
          <w:tcPr>
            <w:shd w:val="clear" w:fill="BDBDBD"/>
            <w:tcW w:w="754" w:type="dxa"/>
            <w:vAlign w:val="top"/>
          </w:tcPr>
          <w:p>
            <w:pPr>
              <w:pStyle w:val="TableText"/>
              <w:ind w:left="62"/>
              <w:spacing w:before="30" w:line="206" w:lineRule="auto"/>
              <w:rPr>
                <w:sz w:val="21"/>
                <w:szCs w:val="21"/>
              </w:rPr>
            </w:pPr>
            <w:r>
              <w:rPr>
                <w:sz w:val="21"/>
                <w:szCs w:val="21"/>
                <w:b/>
                <w:bCs/>
                <w:spacing w:val="-5"/>
              </w:rPr>
              <w:t>符合性</w:t>
            </w:r>
          </w:p>
        </w:tc>
      </w:tr>
      <w:tr>
        <w:trPr>
          <w:trHeight w:val="809" w:hRule="atLeast"/>
        </w:trPr>
        <w:tc>
          <w:tcPr>
            <w:tcW w:w="884" w:type="dxa"/>
            <w:vAlign w:val="top"/>
            <w:vMerge w:val="restart"/>
            <w:tcBorders>
              <w:bottom w:val="nil"/>
            </w:tcBorders>
          </w:tcPr>
          <w:p>
            <w:pPr>
              <w:rPr>
                <w:rFonts w:ascii="Arial"/>
                <w:sz w:val="21"/>
              </w:rPr>
            </w:pPr>
            <w:r/>
          </w:p>
        </w:tc>
        <w:tc>
          <w:tcPr>
            <w:tcW w:w="629" w:type="dxa"/>
            <w:vAlign w:val="top"/>
            <w:vMerge w:val="restart"/>
            <w:tcBorders>
              <w:bottom w:val="nil"/>
            </w:tcBorders>
          </w:tcPr>
          <w:p>
            <w:pPr>
              <w:rPr>
                <w:rFonts w:ascii="Arial"/>
                <w:sz w:val="21"/>
              </w:rPr>
            </w:pPr>
            <w:r/>
          </w:p>
        </w:tc>
        <w:tc>
          <w:tcPr>
            <w:tcW w:w="3606" w:type="dxa"/>
            <w:vAlign w:val="top"/>
          </w:tcPr>
          <w:p>
            <w:pPr>
              <w:pStyle w:val="TableText"/>
              <w:ind w:left="12"/>
              <w:spacing w:before="27" w:line="226" w:lineRule="auto"/>
              <w:jc w:val="both"/>
              <w:rPr>
                <w:sz w:val="21"/>
                <w:szCs w:val="21"/>
              </w:rPr>
            </w:pPr>
            <w:r>
              <w:rPr>
                <w:sz w:val="21"/>
                <w:szCs w:val="21"/>
                <w:spacing w:val="-1"/>
              </w:rPr>
              <w:t>气环境、水环境、声环境、固体废弃物</w:t>
            </w:r>
            <w:r>
              <w:rPr>
                <w:sz w:val="21"/>
                <w:szCs w:val="21"/>
                <w:spacing w:val="4"/>
              </w:rPr>
              <w:t xml:space="preserve"> </w:t>
            </w:r>
            <w:r>
              <w:rPr>
                <w:sz w:val="21"/>
                <w:szCs w:val="21"/>
              </w:rPr>
              <w:t>污染。上述污染因素会对项目实施地的</w:t>
            </w:r>
            <w:r>
              <w:rPr>
                <w:sz w:val="21"/>
                <w:szCs w:val="21"/>
                <w:spacing w:val="12"/>
              </w:rPr>
              <w:t xml:space="preserve"> </w:t>
            </w:r>
            <w:r>
              <w:rPr>
                <w:sz w:val="21"/>
                <w:szCs w:val="21"/>
                <w:spacing w:val="-1"/>
              </w:rPr>
              <w:t>水质、土壤、空气产生局部影响。</w:t>
            </w:r>
          </w:p>
        </w:tc>
        <w:tc>
          <w:tcPr>
            <w:tcW w:w="2837" w:type="dxa"/>
            <w:vAlign w:val="top"/>
          </w:tcPr>
          <w:p>
            <w:pPr>
              <w:pStyle w:val="TableText"/>
              <w:ind w:left="15" w:right="280"/>
              <w:spacing w:before="39" w:line="232" w:lineRule="auto"/>
              <w:rPr>
                <w:sz w:val="21"/>
                <w:szCs w:val="21"/>
              </w:rPr>
            </w:pPr>
            <w:r>
              <w:rPr>
                <w:sz w:val="21"/>
                <w:szCs w:val="21"/>
              </w:rPr>
              <w:t>功能区划确定的环境质量要</w:t>
            </w:r>
            <w:r>
              <w:rPr>
                <w:sz w:val="21"/>
                <w:szCs w:val="21"/>
                <w:spacing w:val="9"/>
              </w:rPr>
              <w:t xml:space="preserve"> </w:t>
            </w:r>
            <w:r>
              <w:rPr>
                <w:sz w:val="21"/>
                <w:szCs w:val="21"/>
                <w:spacing w:val="-2"/>
              </w:rPr>
              <w:t>求。</w:t>
            </w:r>
          </w:p>
        </w:tc>
        <w:tc>
          <w:tcPr>
            <w:tcW w:w="754" w:type="dxa"/>
            <w:vAlign w:val="top"/>
          </w:tcPr>
          <w:p>
            <w:pPr>
              <w:rPr>
                <w:rFonts w:ascii="Arial"/>
                <w:sz w:val="21"/>
              </w:rPr>
            </w:pPr>
            <w:r/>
          </w:p>
        </w:tc>
      </w:tr>
      <w:tr>
        <w:trPr>
          <w:trHeight w:val="5996" w:hRule="atLeast"/>
        </w:trPr>
        <w:tc>
          <w:tcPr>
            <w:tcW w:w="884" w:type="dxa"/>
            <w:vAlign w:val="top"/>
            <w:vMerge w:val="continue"/>
            <w:tcBorders>
              <w:top w:val="nil"/>
            </w:tcBorders>
          </w:tcPr>
          <w:p>
            <w:pPr>
              <w:rPr>
                <w:rFonts w:ascii="Arial"/>
                <w:sz w:val="21"/>
              </w:rPr>
            </w:pPr>
            <w:r/>
          </w:p>
        </w:tc>
        <w:tc>
          <w:tcPr>
            <w:tcW w:w="629" w:type="dxa"/>
            <w:vAlign w:val="top"/>
            <w:vMerge w:val="continue"/>
            <w:tcBorders>
              <w:top w:val="nil"/>
            </w:tcBorders>
          </w:tcPr>
          <w:p>
            <w:pPr>
              <w:rPr>
                <w:rFonts w:ascii="Arial"/>
                <w:sz w:val="21"/>
              </w:rPr>
            </w:pPr>
            <w:r/>
          </w:p>
        </w:tc>
        <w:tc>
          <w:tcPr>
            <w:tcW w:w="3606" w:type="dxa"/>
            <w:vAlign w:val="top"/>
          </w:tcPr>
          <w:p>
            <w:pPr>
              <w:pStyle w:val="TableText"/>
              <w:ind w:left="12" w:right="142" w:firstLine="69"/>
              <w:spacing w:before="39" w:line="237" w:lineRule="auto"/>
              <w:rPr>
                <w:sz w:val="21"/>
                <w:szCs w:val="21"/>
              </w:rPr>
            </w:pPr>
            <w:r>
              <w:rPr>
                <w:sz w:val="21"/>
                <w:szCs w:val="21"/>
              </w:rPr>
              <w:t>(三)消除环境影响措施。本着规划先</w:t>
            </w:r>
            <w:r>
              <w:rPr>
                <w:sz w:val="21"/>
                <w:szCs w:val="21"/>
                <w:spacing w:val="10"/>
              </w:rPr>
              <w:t xml:space="preserve"> </w:t>
            </w:r>
            <w:r>
              <w:rPr>
                <w:sz w:val="21"/>
                <w:szCs w:val="21"/>
              </w:rPr>
              <w:t>行原则，市(州)根据行政区域实际编</w:t>
            </w:r>
          </w:p>
          <w:p>
            <w:pPr>
              <w:pStyle w:val="TableText"/>
              <w:ind w:left="12"/>
              <w:spacing w:before="15" w:line="237" w:lineRule="auto"/>
              <w:rPr>
                <w:sz w:val="21"/>
                <w:szCs w:val="21"/>
              </w:rPr>
            </w:pPr>
            <w:r>
              <w:rPr>
                <w:sz w:val="21"/>
                <w:szCs w:val="21"/>
              </w:rPr>
              <w:t>制产业规划或实施方案，细化项目布局</w:t>
            </w:r>
            <w:r>
              <w:rPr>
                <w:sz w:val="21"/>
                <w:szCs w:val="21"/>
                <w:spacing w:val="8"/>
              </w:rPr>
              <w:t xml:space="preserve"> </w:t>
            </w:r>
            <w:r>
              <w:rPr>
                <w:sz w:val="21"/>
                <w:szCs w:val="21"/>
                <w:spacing w:val="-2"/>
              </w:rPr>
              <w:t>和规模，根据“三线一单”生态环境分</w:t>
            </w:r>
            <w:r>
              <w:rPr>
                <w:sz w:val="21"/>
                <w:szCs w:val="21"/>
                <w:spacing w:val="14"/>
              </w:rPr>
              <w:t xml:space="preserve"> </w:t>
            </w:r>
            <w:r>
              <w:rPr>
                <w:sz w:val="21"/>
                <w:szCs w:val="21"/>
              </w:rPr>
              <w:t>区管控和环境承载能力，优化产业布局</w:t>
            </w:r>
            <w:r>
              <w:rPr>
                <w:sz w:val="21"/>
                <w:szCs w:val="21"/>
                <w:spacing w:val="8"/>
              </w:rPr>
              <w:t xml:space="preserve"> </w:t>
            </w:r>
            <w:r>
              <w:rPr>
                <w:sz w:val="21"/>
                <w:szCs w:val="21"/>
                <w:spacing w:val="-2"/>
              </w:rPr>
              <w:t>及规模，严格执行建设项目环境影响评</w:t>
            </w:r>
            <w:r>
              <w:rPr>
                <w:sz w:val="21"/>
                <w:szCs w:val="21"/>
                <w:spacing w:val="15"/>
              </w:rPr>
              <w:t xml:space="preserve"> </w:t>
            </w:r>
            <w:r>
              <w:rPr>
                <w:sz w:val="21"/>
                <w:szCs w:val="21"/>
              </w:rPr>
              <w:t>价制度。对于影响范围涉及环境敏感区</w:t>
            </w:r>
            <w:r>
              <w:rPr>
                <w:sz w:val="21"/>
                <w:szCs w:val="21"/>
                <w:spacing w:val="7"/>
              </w:rPr>
              <w:t xml:space="preserve"> </w:t>
            </w:r>
            <w:r>
              <w:rPr>
                <w:sz w:val="21"/>
                <w:szCs w:val="21"/>
              </w:rPr>
              <w:t>的建设项目，应当对环境敏感区的影响</w:t>
            </w:r>
            <w:r>
              <w:rPr>
                <w:sz w:val="21"/>
                <w:szCs w:val="21"/>
                <w:spacing w:val="6"/>
              </w:rPr>
              <w:t xml:space="preserve"> </w:t>
            </w:r>
            <w:r>
              <w:rPr>
                <w:sz w:val="21"/>
                <w:szCs w:val="21"/>
              </w:rPr>
              <w:t>做重点分析，提出对生态环境不利影响</w:t>
            </w:r>
            <w:r>
              <w:rPr>
                <w:sz w:val="21"/>
                <w:szCs w:val="21"/>
                <w:spacing w:val="6"/>
              </w:rPr>
              <w:t xml:space="preserve"> </w:t>
            </w:r>
            <w:r>
              <w:rPr>
                <w:sz w:val="21"/>
                <w:szCs w:val="21"/>
              </w:rPr>
              <w:t>的减缓和控制措施。落实《畜禽屠宰操 </w:t>
            </w:r>
            <w:r>
              <w:rPr>
                <w:sz w:val="21"/>
                <w:szCs w:val="21"/>
                <w:spacing w:val="-2"/>
              </w:rPr>
              <w:t>作规程生猪》,加强通风、定期清洗地</w:t>
            </w:r>
            <w:r>
              <w:rPr>
                <w:sz w:val="21"/>
                <w:szCs w:val="21"/>
                <w:spacing w:val="7"/>
              </w:rPr>
              <w:t xml:space="preserve">  </w:t>
            </w:r>
            <w:r>
              <w:rPr>
                <w:sz w:val="21"/>
                <w:szCs w:val="21"/>
                <w:spacing w:val="-2"/>
              </w:rPr>
              <w:t>面、消毒除臭，消除大气环境污染。严</w:t>
            </w:r>
            <w:r>
              <w:rPr>
                <w:sz w:val="21"/>
                <w:szCs w:val="21"/>
                <w:spacing w:val="14"/>
              </w:rPr>
              <w:t xml:space="preserve"> </w:t>
            </w:r>
            <w:r>
              <w:rPr>
                <w:sz w:val="21"/>
                <w:szCs w:val="21"/>
                <w:spacing w:val="-2"/>
              </w:rPr>
              <w:t>格执行《肉类加工工业水污染物排放标</w:t>
            </w:r>
            <w:r>
              <w:rPr>
                <w:sz w:val="21"/>
                <w:szCs w:val="21"/>
                <w:spacing w:val="15"/>
              </w:rPr>
              <w:t xml:space="preserve"> </w:t>
            </w:r>
            <w:r>
              <w:rPr>
                <w:sz w:val="21"/>
                <w:szCs w:val="21"/>
                <w:spacing w:val="-2"/>
              </w:rPr>
              <w:t>准》,生产车间采取防渗措施，污水集</w:t>
            </w:r>
            <w:r>
              <w:rPr>
                <w:sz w:val="21"/>
                <w:szCs w:val="21"/>
                <w:spacing w:val="6"/>
              </w:rPr>
              <w:t xml:space="preserve">  </w:t>
            </w:r>
            <w:r>
              <w:rPr>
                <w:sz w:val="21"/>
                <w:szCs w:val="21"/>
                <w:spacing w:val="-1"/>
              </w:rPr>
              <w:t>中处理、达标排放，降低水环境污染。</w:t>
            </w:r>
            <w:r>
              <w:rPr>
                <w:sz w:val="21"/>
                <w:szCs w:val="21"/>
                <w:spacing w:val="1"/>
              </w:rPr>
              <w:t xml:space="preserve"> </w:t>
            </w:r>
            <w:r>
              <w:rPr>
                <w:sz w:val="21"/>
                <w:szCs w:val="21"/>
                <w:spacing w:val="-2"/>
              </w:rPr>
              <w:t>对宰前检疫不合格生猪、待宰产生的粪</w:t>
            </w:r>
            <w:r>
              <w:rPr>
                <w:sz w:val="21"/>
                <w:szCs w:val="21"/>
                <w:spacing w:val="15"/>
              </w:rPr>
              <w:t xml:space="preserve"> </w:t>
            </w:r>
            <w:r>
              <w:rPr>
                <w:sz w:val="21"/>
                <w:szCs w:val="21"/>
              </w:rPr>
              <w:t>污，及宰中产生的三腺等不可食用物质</w:t>
            </w:r>
            <w:r>
              <w:rPr>
                <w:sz w:val="21"/>
                <w:szCs w:val="21"/>
                <w:spacing w:val="12"/>
              </w:rPr>
              <w:t xml:space="preserve"> </w:t>
            </w:r>
            <w:r>
              <w:rPr>
                <w:sz w:val="21"/>
                <w:szCs w:val="21"/>
                <w:spacing w:val="-2"/>
              </w:rPr>
              <w:t>严格进行无害化处理，降低固体废弃物</w:t>
            </w:r>
            <w:r>
              <w:rPr>
                <w:sz w:val="21"/>
                <w:szCs w:val="21"/>
                <w:spacing w:val="14"/>
              </w:rPr>
              <w:t xml:space="preserve"> </w:t>
            </w:r>
            <w:r>
              <w:rPr>
                <w:sz w:val="21"/>
                <w:szCs w:val="21"/>
                <w:spacing w:val="-2"/>
              </w:rPr>
              <w:t>污染。严格执行《猪屠宰与分割车间设</w:t>
            </w:r>
            <w:r>
              <w:rPr>
                <w:sz w:val="21"/>
                <w:szCs w:val="21"/>
                <w:spacing w:val="13"/>
              </w:rPr>
              <w:t xml:space="preserve"> </w:t>
            </w:r>
            <w:r>
              <w:rPr>
                <w:sz w:val="21"/>
                <w:szCs w:val="21"/>
                <w:spacing w:val="5"/>
              </w:rPr>
              <w:t>计规范》,采取提高屠宰厂区绿化率、</w:t>
            </w:r>
            <w:r>
              <w:rPr>
                <w:sz w:val="21"/>
                <w:szCs w:val="21"/>
                <w:spacing w:val="4"/>
              </w:rPr>
              <w:t xml:space="preserve"> </w:t>
            </w:r>
            <w:r>
              <w:rPr>
                <w:sz w:val="21"/>
                <w:szCs w:val="21"/>
                <w:spacing w:val="-2"/>
              </w:rPr>
              <w:t>使用降噪建材、加强车间密闭性等方法</w:t>
            </w:r>
            <w:r>
              <w:rPr>
                <w:sz w:val="21"/>
                <w:szCs w:val="21"/>
                <w:spacing w:val="14"/>
              </w:rPr>
              <w:t xml:space="preserve"> </w:t>
            </w:r>
            <w:r>
              <w:rPr>
                <w:sz w:val="21"/>
                <w:szCs w:val="21"/>
                <w:spacing w:val="-2"/>
              </w:rPr>
              <w:t>降低噪声污染。</w:t>
            </w:r>
          </w:p>
        </w:tc>
        <w:tc>
          <w:tcPr>
            <w:tcW w:w="2837" w:type="dxa"/>
            <w:vAlign w:val="top"/>
          </w:tcPr>
          <w:p>
            <w:pPr>
              <w:spacing w:line="251" w:lineRule="auto"/>
              <w:rPr>
                <w:rFonts w:ascii="Arial"/>
                <w:sz w:val="21"/>
              </w:rPr>
            </w:pPr>
            <w:r/>
          </w:p>
          <w:p>
            <w:pPr>
              <w:pStyle w:val="TableText"/>
              <w:ind w:left="15"/>
              <w:spacing w:before="68" w:line="237" w:lineRule="auto"/>
              <w:rPr>
                <w:sz w:val="21"/>
                <w:szCs w:val="21"/>
              </w:rPr>
            </w:pPr>
            <w:r>
              <w:rPr>
                <w:sz w:val="21"/>
                <w:szCs w:val="21"/>
              </w:rPr>
              <w:t>本项目为改扩建项目，建成后 </w:t>
            </w:r>
            <w:r>
              <w:rPr>
                <w:sz w:val="21"/>
                <w:szCs w:val="21"/>
                <w:spacing w:val="-2"/>
              </w:rPr>
              <w:t>生猪屠宰规模由7.8万头/年提</w:t>
            </w:r>
            <w:r>
              <w:rPr>
                <w:sz w:val="21"/>
                <w:szCs w:val="21"/>
                <w:spacing w:val="2"/>
              </w:rPr>
              <w:t xml:space="preserve">  </w:t>
            </w:r>
            <w:r>
              <w:rPr>
                <w:sz w:val="21"/>
                <w:szCs w:val="21"/>
                <w:spacing w:val="-2"/>
              </w:rPr>
              <w:t>升至屠宰生猪40万头/年，肉牛</w:t>
            </w:r>
            <w:r>
              <w:rPr>
                <w:sz w:val="21"/>
                <w:szCs w:val="21"/>
                <w:spacing w:val="5"/>
              </w:rPr>
              <w:t xml:space="preserve"> </w:t>
            </w:r>
            <w:r>
              <w:rPr>
                <w:sz w:val="21"/>
                <w:szCs w:val="21"/>
                <w:spacing w:val="-2"/>
              </w:rPr>
              <w:t>4万头/年，将严格落实《畜禽</w:t>
            </w:r>
            <w:r>
              <w:rPr>
                <w:sz w:val="21"/>
                <w:szCs w:val="21"/>
                <w:spacing w:val="3"/>
              </w:rPr>
              <w:t xml:space="preserve">  </w:t>
            </w:r>
            <w:r>
              <w:rPr>
                <w:sz w:val="21"/>
                <w:szCs w:val="21"/>
                <w:spacing w:val="-2"/>
              </w:rPr>
              <w:t>屠宰操作规程生猪》,加强通</w:t>
            </w:r>
          </w:p>
          <w:p>
            <w:pPr>
              <w:pStyle w:val="TableText"/>
              <w:ind w:left="15"/>
              <w:spacing w:line="219" w:lineRule="auto"/>
              <w:rPr>
                <w:sz w:val="21"/>
                <w:szCs w:val="21"/>
              </w:rPr>
            </w:pPr>
            <w:r>
              <w:rPr>
                <w:sz w:val="21"/>
                <w:szCs w:val="21"/>
                <w:spacing w:val="-1"/>
              </w:rPr>
              <w:t>风、定期清洗地面、消毒除</w:t>
            </w:r>
          </w:p>
          <w:p>
            <w:pPr>
              <w:pStyle w:val="TableText"/>
              <w:ind w:left="15"/>
              <w:spacing w:before="12" w:line="243" w:lineRule="auto"/>
              <w:rPr>
                <w:sz w:val="21"/>
                <w:szCs w:val="21"/>
              </w:rPr>
            </w:pPr>
            <w:r>
              <w:rPr>
                <w:sz w:val="21"/>
                <w:szCs w:val="21"/>
                <w:spacing w:val="-3"/>
              </w:rPr>
              <w:t>臭，消除大气环境污染；严格</w:t>
            </w:r>
            <w:r>
              <w:rPr>
                <w:sz w:val="21"/>
                <w:szCs w:val="21"/>
                <w:spacing w:val="3"/>
              </w:rPr>
              <w:t xml:space="preserve">  </w:t>
            </w:r>
            <w:r>
              <w:rPr>
                <w:sz w:val="21"/>
                <w:szCs w:val="21"/>
                <w:spacing w:val="-3"/>
              </w:rPr>
              <w:t>执行《肉类加工工业水污染物</w:t>
            </w:r>
            <w:r>
              <w:rPr>
                <w:sz w:val="21"/>
                <w:szCs w:val="21"/>
                <w:spacing w:val="3"/>
              </w:rPr>
              <w:t xml:space="preserve">  </w:t>
            </w:r>
            <w:r>
              <w:rPr>
                <w:sz w:val="21"/>
                <w:szCs w:val="21"/>
                <w:spacing w:val="-3"/>
              </w:rPr>
              <w:t>排放标准》,生产车间采取防</w:t>
            </w:r>
            <w:r>
              <w:rPr>
                <w:sz w:val="21"/>
                <w:szCs w:val="21"/>
                <w:spacing w:val="2"/>
              </w:rPr>
              <w:t xml:space="preserve">   </w:t>
            </w:r>
            <w:r>
              <w:rPr>
                <w:sz w:val="21"/>
                <w:szCs w:val="21"/>
                <w:spacing w:val="-3"/>
              </w:rPr>
              <w:t>渗措施，污水集中处理、达标</w:t>
            </w:r>
            <w:r>
              <w:rPr>
                <w:sz w:val="21"/>
                <w:szCs w:val="21"/>
                <w:spacing w:val="2"/>
              </w:rPr>
              <w:t xml:space="preserve">  </w:t>
            </w:r>
            <w:r>
              <w:rPr>
                <w:sz w:val="21"/>
                <w:szCs w:val="21"/>
                <w:spacing w:val="-1"/>
              </w:rPr>
              <w:t>排放，降低水环境污染；对宰</w:t>
            </w:r>
            <w:r>
              <w:rPr>
                <w:sz w:val="21"/>
                <w:szCs w:val="21"/>
                <w:spacing w:val="2"/>
              </w:rPr>
              <w:t xml:space="preserve">  </w:t>
            </w:r>
            <w:r>
              <w:rPr>
                <w:sz w:val="21"/>
                <w:szCs w:val="21"/>
                <w:spacing w:val="-2"/>
              </w:rPr>
              <w:t>前检疫不合格生猪、待宰产生</w:t>
            </w:r>
            <w:r>
              <w:rPr>
                <w:sz w:val="21"/>
                <w:szCs w:val="21"/>
                <w:spacing w:val="5"/>
              </w:rPr>
              <w:t xml:space="preserve">  </w:t>
            </w:r>
            <w:r>
              <w:rPr>
                <w:sz w:val="21"/>
                <w:szCs w:val="21"/>
                <w:spacing w:val="-2"/>
              </w:rPr>
              <w:t>的粪污，及宰中产生的三腺等</w:t>
            </w:r>
            <w:r>
              <w:rPr>
                <w:sz w:val="21"/>
                <w:szCs w:val="21"/>
                <w:spacing w:val="5"/>
              </w:rPr>
              <w:t xml:space="preserve">  </w:t>
            </w:r>
            <w:r>
              <w:rPr>
                <w:sz w:val="21"/>
                <w:szCs w:val="21"/>
                <w:spacing w:val="-2"/>
              </w:rPr>
              <w:t>不可食用物质严格进行无害化</w:t>
            </w:r>
            <w:r>
              <w:rPr>
                <w:sz w:val="21"/>
                <w:szCs w:val="21"/>
                <w:spacing w:val="5"/>
              </w:rPr>
              <w:t xml:space="preserve">  </w:t>
            </w:r>
            <w:r>
              <w:rPr>
                <w:sz w:val="21"/>
                <w:szCs w:val="21"/>
                <w:spacing w:val="6"/>
              </w:rPr>
              <w:t>处理，降低固体废弃物污染；</w:t>
            </w:r>
            <w:r>
              <w:rPr>
                <w:sz w:val="21"/>
                <w:szCs w:val="21"/>
                <w:spacing w:val="2"/>
              </w:rPr>
              <w:t xml:space="preserve"> </w:t>
            </w:r>
            <w:r>
              <w:rPr>
                <w:sz w:val="21"/>
                <w:szCs w:val="21"/>
                <w:spacing w:val="-1"/>
              </w:rPr>
              <w:t>严格执行《猪屠宰与分割车间</w:t>
            </w:r>
            <w:r>
              <w:rPr>
                <w:sz w:val="21"/>
                <w:szCs w:val="21"/>
                <w:spacing w:val="9"/>
              </w:rPr>
              <w:t xml:space="preserve"> </w:t>
            </w:r>
            <w:r>
              <w:rPr>
                <w:sz w:val="21"/>
                <w:szCs w:val="21"/>
                <w:spacing w:val="-3"/>
              </w:rPr>
              <w:t>设计规范》,采取提高屠宰厂</w:t>
            </w:r>
            <w:r>
              <w:rPr>
                <w:sz w:val="21"/>
                <w:szCs w:val="21"/>
                <w:spacing w:val="1"/>
              </w:rPr>
              <w:t xml:space="preserve">   </w:t>
            </w:r>
            <w:r>
              <w:rPr>
                <w:sz w:val="21"/>
                <w:szCs w:val="21"/>
                <w:spacing w:val="-1"/>
              </w:rPr>
              <w:t>区绿化率、使用降噪建材、加</w:t>
            </w:r>
            <w:r>
              <w:rPr>
                <w:sz w:val="21"/>
                <w:szCs w:val="21"/>
                <w:spacing w:val="2"/>
              </w:rPr>
              <w:t xml:space="preserve">  </w:t>
            </w:r>
            <w:r>
              <w:rPr>
                <w:sz w:val="21"/>
                <w:szCs w:val="21"/>
                <w:spacing w:val="-1"/>
              </w:rPr>
              <w:t>强车间密闭性等方法降低噪声</w:t>
            </w:r>
            <w:r>
              <w:rPr>
                <w:sz w:val="21"/>
                <w:szCs w:val="21"/>
                <w:spacing w:val="1"/>
              </w:rPr>
              <w:t xml:space="preserve">  </w:t>
            </w:r>
            <w:r>
              <w:rPr>
                <w:sz w:val="21"/>
                <w:szCs w:val="21"/>
                <w:spacing w:val="-3"/>
              </w:rPr>
              <w:t>污染。</w:t>
            </w:r>
          </w:p>
        </w:tc>
        <w:tc>
          <w:tcPr>
            <w:tcW w:w="754" w:type="dxa"/>
            <w:vAlign w:val="top"/>
          </w:tcPr>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159"/>
              <w:spacing w:before="68" w:line="219" w:lineRule="auto"/>
              <w:rPr>
                <w:sz w:val="21"/>
                <w:szCs w:val="21"/>
              </w:rPr>
            </w:pPr>
            <w:r>
              <w:rPr>
                <w:sz w:val="21"/>
                <w:szCs w:val="21"/>
                <w:spacing w:val="-3"/>
              </w:rPr>
              <w:t>符合</w:t>
            </w:r>
          </w:p>
        </w:tc>
      </w:tr>
    </w:tbl>
    <w:p>
      <w:pPr>
        <w:ind w:left="224" w:right="117" w:firstLine="480"/>
        <w:spacing w:before="54" w:line="376" w:lineRule="auto"/>
        <w:rPr>
          <w:rFonts w:ascii="SimSun" w:hAnsi="SimSun" w:eastAsia="SimSun" w:cs="SimSun"/>
          <w:sz w:val="22"/>
          <w:szCs w:val="22"/>
        </w:rPr>
      </w:pPr>
      <w:r>
        <w:rPr>
          <w:rFonts w:ascii="SimSun" w:hAnsi="SimSun" w:eastAsia="SimSun" w:cs="SimSun"/>
          <w:sz w:val="25"/>
          <w:szCs w:val="25"/>
          <w:spacing w:val="1"/>
        </w:rPr>
        <w:t>因此，本项目与《四川省生猪屠宰行业发展规划</w:t>
      </w:r>
      <w:r>
        <w:rPr>
          <w:rFonts w:ascii="SimSun" w:hAnsi="SimSun" w:eastAsia="SimSun" w:cs="SimSun"/>
          <w:sz w:val="25"/>
          <w:szCs w:val="25"/>
        </w:rPr>
        <w:t>》(川农规[2023]3号)中 </w:t>
      </w:r>
      <w:r>
        <w:rPr>
          <w:rFonts w:ascii="SimSun" w:hAnsi="SimSun" w:eastAsia="SimSun" w:cs="SimSun"/>
          <w:sz w:val="22"/>
          <w:szCs w:val="22"/>
          <w:spacing w:val="14"/>
        </w:rPr>
        <w:t>相关要求相符。</w:t>
      </w:r>
    </w:p>
    <w:p>
      <w:pPr>
        <w:ind w:left="198" w:right="199" w:firstLine="480"/>
        <w:spacing w:before="2" w:line="363" w:lineRule="auto"/>
        <w:jc w:val="both"/>
        <w:rPr>
          <w:rFonts w:ascii="SimSun" w:hAnsi="SimSun" w:eastAsia="SimSun" w:cs="SimSun"/>
          <w:sz w:val="22"/>
          <w:szCs w:val="22"/>
        </w:rPr>
      </w:pPr>
      <w:r>
        <w:rPr>
          <w:rFonts w:ascii="SimSun" w:hAnsi="SimSun" w:eastAsia="SimSun" w:cs="SimSun"/>
          <w:sz w:val="26"/>
          <w:szCs w:val="26"/>
          <w:b/>
          <w:bCs/>
          <w:spacing w:val="2"/>
        </w:rPr>
        <w:t>4、与《四川省生猪定点屠宰厂(场)和小型屠宰场点设置规划(2010-</w:t>
      </w:r>
      <w:r>
        <w:rPr>
          <w:rFonts w:ascii="SimSun" w:hAnsi="SimSun" w:eastAsia="SimSun" w:cs="SimSun"/>
          <w:sz w:val="26"/>
          <w:szCs w:val="26"/>
          <w:spacing w:val="10"/>
        </w:rPr>
        <w:t xml:space="preserve"> </w:t>
      </w:r>
      <w:r>
        <w:rPr>
          <w:rFonts w:ascii="SimSun" w:hAnsi="SimSun" w:eastAsia="SimSun" w:cs="SimSun"/>
          <w:sz w:val="22"/>
          <w:szCs w:val="22"/>
          <w:b/>
          <w:bCs/>
          <w:spacing w:val="36"/>
        </w:rPr>
        <w:t>2015年)》(川办发[2011]9号</w:t>
      </w:r>
      <w:r>
        <w:rPr>
          <w:rFonts w:ascii="SimSun" w:hAnsi="SimSun" w:eastAsia="SimSun" w:cs="SimSun"/>
          <w:sz w:val="22"/>
          <w:szCs w:val="22"/>
          <w:b/>
          <w:bCs/>
          <w:spacing w:val="35"/>
        </w:rPr>
        <w:t>)、《绵阳市生猪定点屠宰厂(场)和小型屠</w:t>
      </w:r>
      <w:r>
        <w:rPr>
          <w:rFonts w:ascii="SimSun" w:hAnsi="SimSun" w:eastAsia="SimSun" w:cs="SimSun"/>
          <w:sz w:val="22"/>
          <w:szCs w:val="22"/>
        </w:rPr>
        <w:t xml:space="preserve">  </w:t>
      </w:r>
      <w:r>
        <w:rPr>
          <w:rFonts w:ascii="SimSun" w:hAnsi="SimSun" w:eastAsia="SimSun" w:cs="SimSun"/>
          <w:sz w:val="22"/>
          <w:szCs w:val="22"/>
          <w:b/>
          <w:bCs/>
          <w:spacing w:val="24"/>
        </w:rPr>
        <w:t>宰场点设置规划(2010-2015年)》(绵府办函[2011]202</w:t>
      </w:r>
      <w:r>
        <w:rPr>
          <w:rFonts w:ascii="SimSun" w:hAnsi="SimSun" w:eastAsia="SimSun" w:cs="SimSun"/>
          <w:sz w:val="22"/>
          <w:szCs w:val="22"/>
          <w:b/>
          <w:bCs/>
          <w:spacing w:val="23"/>
        </w:rPr>
        <w:t>号)符合性分析</w:t>
      </w:r>
    </w:p>
    <w:p>
      <w:pPr>
        <w:ind w:left="348"/>
        <w:spacing w:line="205" w:lineRule="auto"/>
        <w:rPr>
          <w:rFonts w:ascii="SimSun" w:hAnsi="SimSun" w:eastAsia="SimSun" w:cs="SimSun"/>
          <w:sz w:val="26"/>
          <w:szCs w:val="26"/>
        </w:rPr>
      </w:pPr>
      <w:r>
        <w:rPr>
          <w:rFonts w:ascii="SimSun" w:hAnsi="SimSun" w:eastAsia="SimSun" w:cs="SimSun"/>
          <w:sz w:val="26"/>
          <w:szCs w:val="26"/>
          <w:b/>
          <w:bCs/>
          <w:spacing w:val="-3"/>
        </w:rPr>
        <w:t>表1.4-7本项目与(川办发[20119号)、(绵府办函[2011]202号)符合性分析</w:t>
      </w:r>
    </w:p>
    <w:tbl>
      <w:tblPr>
        <w:tblStyle w:val="TableNormal"/>
        <w:tblW w:w="87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94"/>
        <w:gridCol w:w="769"/>
        <w:gridCol w:w="2937"/>
        <w:gridCol w:w="3226"/>
        <w:gridCol w:w="684"/>
      </w:tblGrid>
      <w:tr>
        <w:trPr>
          <w:trHeight w:val="284" w:hRule="atLeast"/>
        </w:trPr>
        <w:tc>
          <w:tcPr>
            <w:shd w:val="clear" w:fill="BDBDBD"/>
            <w:tcW w:w="1094" w:type="dxa"/>
            <w:vAlign w:val="top"/>
          </w:tcPr>
          <w:p>
            <w:pPr>
              <w:pStyle w:val="TableText"/>
              <w:ind w:left="328"/>
              <w:spacing w:before="40" w:line="205" w:lineRule="auto"/>
              <w:rPr>
                <w:sz w:val="21"/>
                <w:szCs w:val="21"/>
              </w:rPr>
            </w:pPr>
            <w:r>
              <w:rPr>
                <w:sz w:val="21"/>
                <w:szCs w:val="21"/>
                <w:b/>
                <w:bCs/>
                <w:spacing w:val="-5"/>
              </w:rPr>
              <w:t>文件</w:t>
            </w:r>
          </w:p>
        </w:tc>
        <w:tc>
          <w:tcPr>
            <w:shd w:val="clear" w:fill="BDBDBD"/>
            <w:tcW w:w="3706" w:type="dxa"/>
            <w:vAlign w:val="top"/>
            <w:gridSpan w:val="2"/>
          </w:tcPr>
          <w:p>
            <w:pPr>
              <w:pStyle w:val="TableText"/>
              <w:ind w:left="1414"/>
              <w:spacing w:before="40" w:line="205" w:lineRule="auto"/>
              <w:rPr>
                <w:sz w:val="21"/>
                <w:szCs w:val="21"/>
              </w:rPr>
            </w:pPr>
            <w:r>
              <w:rPr>
                <w:sz w:val="21"/>
                <w:szCs w:val="21"/>
                <w:b/>
                <w:bCs/>
                <w:spacing w:val="-4"/>
              </w:rPr>
              <w:t>相关规定</w:t>
            </w:r>
          </w:p>
        </w:tc>
        <w:tc>
          <w:tcPr>
            <w:shd w:val="clear" w:fill="BDBDBD"/>
            <w:tcW w:w="3226" w:type="dxa"/>
            <w:vAlign w:val="top"/>
          </w:tcPr>
          <w:p>
            <w:pPr>
              <w:pStyle w:val="TableText"/>
              <w:ind w:left="1278"/>
              <w:spacing w:before="39" w:line="206" w:lineRule="auto"/>
              <w:rPr>
                <w:sz w:val="21"/>
                <w:szCs w:val="21"/>
              </w:rPr>
            </w:pPr>
            <w:r>
              <w:rPr>
                <w:sz w:val="21"/>
                <w:szCs w:val="21"/>
                <w:b/>
                <w:bCs/>
                <w:spacing w:val="9"/>
              </w:rPr>
              <w:t>本项目</w:t>
            </w:r>
          </w:p>
        </w:tc>
        <w:tc>
          <w:tcPr>
            <w:shd w:val="clear" w:fill="BDBDBD"/>
            <w:tcW w:w="684" w:type="dxa"/>
            <w:vAlign w:val="top"/>
          </w:tcPr>
          <w:p>
            <w:pPr>
              <w:pStyle w:val="TableText"/>
              <w:ind w:left="21"/>
              <w:spacing w:before="40" w:line="205" w:lineRule="auto"/>
              <w:rPr>
                <w:sz w:val="21"/>
                <w:szCs w:val="21"/>
              </w:rPr>
            </w:pPr>
            <w:r>
              <w:rPr>
                <w:sz w:val="21"/>
                <w:szCs w:val="21"/>
                <w:b/>
                <w:bCs/>
                <w:spacing w:val="-5"/>
              </w:rPr>
              <w:t>符合性</w:t>
            </w:r>
          </w:p>
        </w:tc>
      </w:tr>
      <w:tr>
        <w:trPr>
          <w:trHeight w:val="3536" w:hRule="atLeast"/>
        </w:trPr>
        <w:tc>
          <w:tcPr>
            <w:tcW w:w="1094" w:type="dxa"/>
            <w:vAlign w:val="top"/>
          </w:tcPr>
          <w:p>
            <w:pPr>
              <w:spacing w:line="257" w:lineRule="auto"/>
              <w:rPr>
                <w:rFonts w:ascii="Arial"/>
                <w:sz w:val="21"/>
              </w:rPr>
            </w:pPr>
            <w:r/>
          </w:p>
          <w:p>
            <w:pPr>
              <w:pStyle w:val="TableText"/>
              <w:ind w:left="53" w:right="24" w:hanging="53"/>
              <w:spacing w:before="68" w:line="239" w:lineRule="auto"/>
              <w:rPr>
                <w:sz w:val="21"/>
                <w:szCs w:val="21"/>
              </w:rPr>
            </w:pPr>
            <w:r>
              <w:rPr>
                <w:sz w:val="21"/>
                <w:szCs w:val="21"/>
                <w:b/>
                <w:bCs/>
                <w:spacing w:val="-13"/>
              </w:rPr>
              <w:t>《四川省生</w:t>
            </w:r>
            <w:r>
              <w:rPr>
                <w:sz w:val="21"/>
                <w:szCs w:val="21"/>
              </w:rPr>
              <w:t xml:space="preserve"> </w:t>
            </w:r>
            <w:r>
              <w:rPr>
                <w:sz w:val="21"/>
                <w:szCs w:val="21"/>
                <w:b/>
                <w:bCs/>
                <w:spacing w:val="-11"/>
              </w:rPr>
              <w:t>猪定点屠宰</w:t>
            </w:r>
          </w:p>
          <w:p>
            <w:pPr>
              <w:pStyle w:val="TableText"/>
              <w:ind w:left="18"/>
              <w:spacing w:before="6" w:line="220" w:lineRule="auto"/>
              <w:rPr>
                <w:sz w:val="21"/>
                <w:szCs w:val="21"/>
              </w:rPr>
            </w:pPr>
            <w:r>
              <w:rPr>
                <w:sz w:val="21"/>
                <w:szCs w:val="21"/>
                <w:b/>
                <w:bCs/>
                <w:spacing w:val="-15"/>
              </w:rPr>
              <w:t>厂</w:t>
            </w:r>
            <w:r>
              <w:rPr>
                <w:sz w:val="21"/>
                <w:szCs w:val="21"/>
                <w:spacing w:val="-15"/>
              </w:rPr>
              <w:t xml:space="preserve"> </w:t>
            </w:r>
            <w:r>
              <w:rPr>
                <w:sz w:val="21"/>
                <w:szCs w:val="21"/>
                <w:b/>
                <w:bCs/>
                <w:spacing w:val="-15"/>
              </w:rPr>
              <w:t>(</w:t>
            </w:r>
            <w:r>
              <w:rPr>
                <w:sz w:val="21"/>
                <w:szCs w:val="21"/>
                <w:spacing w:val="-41"/>
              </w:rPr>
              <w:t xml:space="preserve"> </w:t>
            </w:r>
            <w:r>
              <w:rPr>
                <w:sz w:val="21"/>
                <w:szCs w:val="21"/>
                <w:b/>
                <w:bCs/>
                <w:spacing w:val="-15"/>
              </w:rPr>
              <w:t>场</w:t>
            </w:r>
            <w:r>
              <w:rPr>
                <w:sz w:val="21"/>
                <w:szCs w:val="21"/>
                <w:spacing w:val="-41"/>
              </w:rPr>
              <w:t xml:space="preserve"> </w:t>
            </w:r>
            <w:r>
              <w:rPr>
                <w:sz w:val="21"/>
                <w:szCs w:val="21"/>
                <w:b/>
                <w:bCs/>
                <w:spacing w:val="-15"/>
              </w:rPr>
              <w:t>)</w:t>
            </w:r>
            <w:r>
              <w:rPr>
                <w:sz w:val="21"/>
                <w:szCs w:val="21"/>
                <w:spacing w:val="-40"/>
              </w:rPr>
              <w:t xml:space="preserve"> </w:t>
            </w:r>
            <w:r>
              <w:rPr>
                <w:sz w:val="21"/>
                <w:szCs w:val="21"/>
                <w:b/>
                <w:bCs/>
                <w:spacing w:val="-15"/>
              </w:rPr>
              <w:t>和</w:t>
            </w:r>
          </w:p>
          <w:p>
            <w:pPr>
              <w:pStyle w:val="TableText"/>
              <w:ind w:left="18"/>
              <w:spacing w:before="19" w:line="219" w:lineRule="auto"/>
              <w:rPr>
                <w:sz w:val="21"/>
                <w:szCs w:val="21"/>
              </w:rPr>
            </w:pPr>
            <w:r>
              <w:rPr>
                <w:sz w:val="21"/>
                <w:szCs w:val="21"/>
                <w:b/>
                <w:bCs/>
                <w:spacing w:val="-1"/>
              </w:rPr>
              <w:t>小型屠宰场</w:t>
            </w:r>
          </w:p>
          <w:p>
            <w:pPr>
              <w:pStyle w:val="TableText"/>
              <w:ind w:left="227" w:right="6" w:hanging="209"/>
              <w:spacing w:before="32" w:line="242" w:lineRule="auto"/>
              <w:rPr>
                <w:sz w:val="21"/>
                <w:szCs w:val="21"/>
              </w:rPr>
            </w:pPr>
            <w:r>
              <w:rPr>
                <w:sz w:val="21"/>
                <w:szCs w:val="21"/>
                <w:b/>
                <w:bCs/>
                <w:spacing w:val="-1"/>
              </w:rPr>
              <w:t>点设置规划</w:t>
            </w:r>
            <w:r>
              <w:rPr>
                <w:sz w:val="21"/>
                <w:szCs w:val="21"/>
                <w:spacing w:val="2"/>
              </w:rPr>
              <w:t xml:space="preserve"> </w:t>
            </w:r>
            <w:r>
              <w:rPr>
                <w:sz w:val="21"/>
                <w:szCs w:val="21"/>
                <w:b/>
                <w:bCs/>
                <w:spacing w:val="-9"/>
              </w:rPr>
              <w:t>(2010-</w:t>
            </w:r>
          </w:p>
          <w:p>
            <w:pPr>
              <w:pStyle w:val="TableText"/>
              <w:ind w:left="328"/>
              <w:spacing w:before="9" w:line="191" w:lineRule="auto"/>
              <w:rPr>
                <w:sz w:val="21"/>
                <w:szCs w:val="21"/>
              </w:rPr>
            </w:pPr>
            <w:r>
              <w:rPr>
                <w:sz w:val="21"/>
                <w:szCs w:val="21"/>
                <w:b/>
                <w:bCs/>
                <w:spacing w:val="-5"/>
              </w:rPr>
              <w:t>2015</w:t>
            </w:r>
          </w:p>
          <w:p>
            <w:pPr>
              <w:pStyle w:val="TableText"/>
              <w:ind w:left="328" w:right="7" w:hanging="310"/>
              <w:spacing w:before="2" w:line="230" w:lineRule="auto"/>
              <w:rPr>
                <w:sz w:val="21"/>
                <w:szCs w:val="21"/>
              </w:rPr>
            </w:pPr>
            <w:r>
              <w:rPr>
                <w:sz w:val="21"/>
                <w:szCs w:val="21"/>
                <w:b/>
                <w:bCs/>
                <w:spacing w:val="-22"/>
              </w:rPr>
              <w:t>年</w:t>
            </w:r>
            <w:r>
              <w:rPr>
                <w:sz w:val="21"/>
                <w:szCs w:val="21"/>
                <w:spacing w:val="-38"/>
              </w:rPr>
              <w:t xml:space="preserve"> </w:t>
            </w:r>
            <w:r>
              <w:rPr>
                <w:sz w:val="21"/>
                <w:szCs w:val="21"/>
                <w:b/>
                <w:bCs/>
                <w:spacing w:val="-22"/>
              </w:rPr>
              <w:t>)</w:t>
            </w:r>
            <w:r>
              <w:rPr>
                <w:sz w:val="21"/>
                <w:szCs w:val="21"/>
                <w:spacing w:val="-29"/>
              </w:rPr>
              <w:t xml:space="preserve"> </w:t>
            </w:r>
            <w:r>
              <w:rPr>
                <w:sz w:val="21"/>
                <w:szCs w:val="21"/>
                <w:b/>
                <w:bCs/>
                <w:spacing w:val="-22"/>
              </w:rPr>
              <w:t>》</w:t>
            </w:r>
            <w:r>
              <w:rPr>
                <w:sz w:val="21"/>
                <w:szCs w:val="21"/>
                <w:spacing w:val="-3"/>
              </w:rPr>
              <w:t xml:space="preserve"> </w:t>
            </w:r>
            <w:r>
              <w:rPr>
                <w:sz w:val="21"/>
                <w:szCs w:val="21"/>
                <w:b/>
                <w:bCs/>
                <w:spacing w:val="-22"/>
              </w:rPr>
              <w:t>(</w:t>
            </w:r>
            <w:r>
              <w:rPr>
                <w:sz w:val="21"/>
                <w:szCs w:val="21"/>
                <w:spacing w:val="-34"/>
              </w:rPr>
              <w:t xml:space="preserve"> </w:t>
            </w:r>
            <w:r>
              <w:rPr>
                <w:sz w:val="21"/>
                <w:szCs w:val="21"/>
                <w:b/>
                <w:bCs/>
                <w:spacing w:val="-22"/>
              </w:rPr>
              <w:t>川</w:t>
            </w:r>
            <w:r>
              <w:rPr>
                <w:sz w:val="21"/>
                <w:szCs w:val="21"/>
              </w:rPr>
              <w:t xml:space="preserve"> </w:t>
            </w:r>
            <w:r>
              <w:rPr>
                <w:sz w:val="21"/>
                <w:szCs w:val="21"/>
                <w:b/>
                <w:bCs/>
                <w:spacing w:val="-6"/>
              </w:rPr>
              <w:t>办发</w:t>
            </w:r>
          </w:p>
          <w:p>
            <w:pPr>
              <w:pStyle w:val="TableText"/>
              <w:ind w:left="168"/>
              <w:spacing w:before="21" w:line="207" w:lineRule="auto"/>
              <w:rPr>
                <w:sz w:val="21"/>
                <w:szCs w:val="21"/>
              </w:rPr>
            </w:pPr>
            <w:r>
              <w:rPr>
                <w:sz w:val="21"/>
                <w:szCs w:val="21"/>
                <w:b/>
                <w:bCs/>
                <w:spacing w:val="-8"/>
              </w:rPr>
              <w:t>[2011]9</w:t>
            </w:r>
          </w:p>
          <w:p>
            <w:pPr>
              <w:pStyle w:val="TableText"/>
              <w:ind w:left="378"/>
              <w:spacing w:before="1" w:line="220" w:lineRule="auto"/>
              <w:rPr>
                <w:sz w:val="21"/>
                <w:szCs w:val="21"/>
              </w:rPr>
            </w:pPr>
            <w:r>
              <w:rPr>
                <w:sz w:val="21"/>
                <w:szCs w:val="21"/>
                <w:b/>
                <w:bCs/>
                <w:spacing w:val="-9"/>
              </w:rPr>
              <w:t>号</w:t>
            </w:r>
            <w:r>
              <w:rPr>
                <w:sz w:val="21"/>
                <w:szCs w:val="21"/>
                <w:spacing w:val="-38"/>
              </w:rPr>
              <w:t xml:space="preserve"> </w:t>
            </w:r>
            <w:r>
              <w:rPr>
                <w:sz w:val="21"/>
                <w:szCs w:val="21"/>
                <w:b/>
                <w:bCs/>
                <w:spacing w:val="-9"/>
              </w:rPr>
              <w:t>)</w:t>
            </w:r>
          </w:p>
        </w:tc>
        <w:tc>
          <w:tcPr>
            <w:tcW w:w="769"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pStyle w:val="TableText"/>
              <w:ind w:left="61"/>
              <w:spacing w:before="68" w:line="221" w:lineRule="auto"/>
              <w:rPr>
                <w:sz w:val="21"/>
                <w:szCs w:val="21"/>
              </w:rPr>
            </w:pPr>
            <w:r>
              <w:rPr>
                <w:sz w:val="21"/>
                <w:szCs w:val="21"/>
                <w:spacing w:val="3"/>
              </w:rPr>
              <w:t>五、设</w:t>
            </w:r>
          </w:p>
          <w:p>
            <w:pPr>
              <w:pStyle w:val="TableText"/>
              <w:ind w:left="61"/>
              <w:spacing w:before="8" w:line="221" w:lineRule="auto"/>
              <w:rPr>
                <w:sz w:val="21"/>
                <w:szCs w:val="21"/>
              </w:rPr>
            </w:pPr>
            <w:r>
              <w:rPr>
                <w:sz w:val="21"/>
                <w:szCs w:val="21"/>
                <w:spacing w:val="-2"/>
              </w:rPr>
              <w:t>置要求</w:t>
            </w:r>
          </w:p>
        </w:tc>
        <w:tc>
          <w:tcPr>
            <w:tcW w:w="2937" w:type="dxa"/>
            <w:vAlign w:val="top"/>
          </w:tcPr>
          <w:p>
            <w:pPr>
              <w:pStyle w:val="TableText"/>
              <w:ind w:left="105"/>
              <w:spacing w:before="36" w:line="219" w:lineRule="auto"/>
              <w:rPr>
                <w:sz w:val="21"/>
                <w:szCs w:val="21"/>
              </w:rPr>
            </w:pPr>
            <w:r>
              <w:rPr>
                <w:sz w:val="21"/>
                <w:szCs w:val="21"/>
                <w:b/>
                <w:bCs/>
                <w:spacing w:val="-2"/>
              </w:rPr>
              <w:t>(一)严格控制定点屠宰厂</w:t>
            </w:r>
          </w:p>
          <w:p>
            <w:pPr>
              <w:pStyle w:val="TableText"/>
              <w:ind w:left="14"/>
              <w:spacing w:before="10" w:line="219" w:lineRule="auto"/>
              <w:rPr>
                <w:sz w:val="21"/>
                <w:szCs w:val="21"/>
              </w:rPr>
            </w:pPr>
            <w:r>
              <w:rPr>
                <w:sz w:val="21"/>
                <w:szCs w:val="21"/>
                <w:b/>
                <w:bCs/>
                <w:spacing w:val="-2"/>
              </w:rPr>
              <w:t>(场)数量。到2015年各市</w:t>
            </w:r>
          </w:p>
          <w:p>
            <w:pPr>
              <w:pStyle w:val="TableText"/>
              <w:ind w:left="14" w:right="299" w:firstLine="80"/>
              <w:spacing w:before="30" w:line="231" w:lineRule="auto"/>
              <w:rPr>
                <w:sz w:val="21"/>
                <w:szCs w:val="21"/>
              </w:rPr>
            </w:pPr>
            <w:r>
              <w:rPr>
                <w:sz w:val="21"/>
                <w:szCs w:val="21"/>
                <w:b/>
                <w:bCs/>
                <w:spacing w:val="-2"/>
              </w:rPr>
              <w:t>(州)政府所在地主城区原则</w:t>
            </w:r>
            <w:r>
              <w:rPr>
                <w:sz w:val="21"/>
                <w:szCs w:val="21"/>
                <w:spacing w:val="9"/>
              </w:rPr>
              <w:t xml:space="preserve"> </w:t>
            </w:r>
            <w:r>
              <w:rPr>
                <w:sz w:val="21"/>
                <w:szCs w:val="21"/>
                <w:b/>
                <w:bCs/>
              </w:rPr>
              <w:t>上要少于2个；县(市、区)</w:t>
            </w:r>
          </w:p>
          <w:p>
            <w:pPr>
              <w:pStyle w:val="TableText"/>
              <w:ind w:left="14"/>
              <w:spacing w:before="13" w:line="219" w:lineRule="auto"/>
              <w:rPr>
                <w:sz w:val="21"/>
                <w:szCs w:val="21"/>
              </w:rPr>
            </w:pPr>
            <w:r>
              <w:rPr>
                <w:sz w:val="21"/>
                <w:szCs w:val="21"/>
                <w:b/>
                <w:bCs/>
                <w:spacing w:val="-3"/>
              </w:rPr>
              <w:t>政府所在地原则上设置1个，</w:t>
            </w:r>
          </w:p>
          <w:p>
            <w:pPr>
              <w:pStyle w:val="TableText"/>
              <w:ind w:left="14" w:right="198"/>
              <w:spacing w:before="22" w:line="246" w:lineRule="auto"/>
              <w:rPr>
                <w:sz w:val="21"/>
                <w:szCs w:val="21"/>
              </w:rPr>
            </w:pPr>
            <w:r>
              <w:rPr>
                <w:sz w:val="21"/>
                <w:szCs w:val="21"/>
                <w:b/>
                <w:bCs/>
                <w:spacing w:val="-4"/>
              </w:rPr>
              <w:t>能保证市场供应的地方可不再</w:t>
            </w:r>
            <w:r>
              <w:rPr>
                <w:sz w:val="21"/>
                <w:szCs w:val="21"/>
                <w:spacing w:val="5"/>
              </w:rPr>
              <w:t xml:space="preserve"> </w:t>
            </w:r>
            <w:r>
              <w:rPr>
                <w:sz w:val="21"/>
                <w:szCs w:val="21"/>
                <w:b/>
                <w:bCs/>
                <w:spacing w:val="-4"/>
              </w:rPr>
              <w:t>设屠宰厂(场)。边远和交通</w:t>
            </w:r>
          </w:p>
          <w:p>
            <w:pPr>
              <w:pStyle w:val="TableText"/>
              <w:ind w:left="14" w:right="178"/>
              <w:spacing w:before="2" w:line="238" w:lineRule="auto"/>
              <w:rPr>
                <w:sz w:val="21"/>
                <w:szCs w:val="21"/>
              </w:rPr>
            </w:pPr>
            <w:r>
              <w:rPr>
                <w:sz w:val="21"/>
                <w:szCs w:val="21"/>
                <w:b/>
                <w:bCs/>
                <w:spacing w:val="-4"/>
              </w:rPr>
              <w:t>不便的农村地区和少数民族地</w:t>
            </w:r>
            <w:r>
              <w:rPr>
                <w:sz w:val="21"/>
                <w:szCs w:val="21"/>
                <w:spacing w:val="10"/>
              </w:rPr>
              <w:t xml:space="preserve"> </w:t>
            </w:r>
            <w:r>
              <w:rPr>
                <w:sz w:val="21"/>
                <w:szCs w:val="21"/>
                <w:b/>
                <w:bCs/>
                <w:spacing w:val="-2"/>
              </w:rPr>
              <w:t>区设置小型生猪屠宰场点的数</w:t>
            </w:r>
            <w:r>
              <w:rPr>
                <w:sz w:val="21"/>
                <w:szCs w:val="21"/>
              </w:rPr>
              <w:t xml:space="preserve"> </w:t>
            </w:r>
            <w:r>
              <w:rPr>
                <w:sz w:val="21"/>
                <w:szCs w:val="21"/>
                <w:b/>
                <w:bCs/>
                <w:spacing w:val="-3"/>
              </w:rPr>
              <w:t>量由各市(州)政府按照《规</w:t>
            </w:r>
          </w:p>
          <w:p>
            <w:pPr>
              <w:pStyle w:val="TableText"/>
              <w:ind w:left="14" w:right="189"/>
              <w:spacing w:before="6" w:line="231" w:lineRule="auto"/>
              <w:rPr>
                <w:sz w:val="21"/>
                <w:szCs w:val="21"/>
              </w:rPr>
            </w:pPr>
            <w:r>
              <w:rPr>
                <w:sz w:val="21"/>
                <w:szCs w:val="21"/>
                <w:b/>
                <w:bCs/>
                <w:spacing w:val="-3"/>
              </w:rPr>
              <w:t>划》、《办法》和本规划压缩</w:t>
            </w:r>
            <w:r>
              <w:rPr>
                <w:sz w:val="21"/>
                <w:szCs w:val="21"/>
                <w:spacing w:val="1"/>
              </w:rPr>
              <w:t xml:space="preserve"> </w:t>
            </w:r>
            <w:r>
              <w:rPr>
                <w:sz w:val="21"/>
                <w:szCs w:val="21"/>
                <w:b/>
                <w:bCs/>
                <w:spacing w:val="-4"/>
              </w:rPr>
              <w:t>总量的目标要求，在严格监</w:t>
            </w:r>
          </w:p>
          <w:p>
            <w:pPr>
              <w:pStyle w:val="TableText"/>
              <w:ind w:left="14"/>
              <w:spacing w:before="5" w:line="202" w:lineRule="auto"/>
              <w:rPr>
                <w:sz w:val="21"/>
                <w:szCs w:val="21"/>
              </w:rPr>
            </w:pPr>
            <w:r>
              <w:rPr>
                <w:sz w:val="21"/>
                <w:szCs w:val="21"/>
                <w:b/>
                <w:bCs/>
                <w:spacing w:val="-4"/>
              </w:rPr>
              <w:t>管，严把基本卫生和质量安全</w:t>
            </w:r>
          </w:p>
        </w:tc>
        <w:tc>
          <w:tcPr>
            <w:tcW w:w="3226" w:type="dxa"/>
            <w:vAlign w:val="top"/>
          </w:tcPr>
          <w:p>
            <w:pPr>
              <w:spacing w:line="317" w:lineRule="auto"/>
              <w:rPr>
                <w:rFonts w:ascii="Arial"/>
                <w:sz w:val="21"/>
              </w:rPr>
            </w:pPr>
            <w:r/>
          </w:p>
          <w:p>
            <w:pPr>
              <w:spacing w:line="318" w:lineRule="auto"/>
              <w:rPr>
                <w:rFonts w:ascii="Arial"/>
                <w:sz w:val="21"/>
              </w:rPr>
            </w:pPr>
            <w:r/>
          </w:p>
          <w:p>
            <w:pPr>
              <w:pStyle w:val="TableText"/>
              <w:ind w:left="17" w:right="164"/>
              <w:spacing w:before="68" w:line="237" w:lineRule="auto"/>
              <w:rPr>
                <w:sz w:val="21"/>
                <w:szCs w:val="21"/>
              </w:rPr>
            </w:pPr>
            <w:r>
              <w:rPr>
                <w:sz w:val="21"/>
                <w:szCs w:val="21"/>
                <w:b/>
                <w:bCs/>
                <w:spacing w:val="-3"/>
              </w:rPr>
              <w:t>绵阳柒鑫食品有限公司于2019年5</w:t>
            </w:r>
            <w:r>
              <w:rPr>
                <w:sz w:val="21"/>
                <w:szCs w:val="21"/>
              </w:rPr>
              <w:t xml:space="preserve"> </w:t>
            </w:r>
            <w:r>
              <w:rPr>
                <w:sz w:val="21"/>
                <w:szCs w:val="21"/>
                <w:b/>
                <w:bCs/>
                <w:spacing w:val="-4"/>
              </w:rPr>
              <w:t>月31日取得了由绵阳市人民政府</w:t>
            </w:r>
          </w:p>
          <w:p>
            <w:pPr>
              <w:pStyle w:val="TableText"/>
              <w:ind w:left="17" w:right="161"/>
              <w:spacing w:line="246" w:lineRule="auto"/>
              <w:rPr>
                <w:sz w:val="21"/>
                <w:szCs w:val="21"/>
              </w:rPr>
            </w:pPr>
            <w:r>
              <w:rPr>
                <w:sz w:val="21"/>
                <w:szCs w:val="21"/>
                <w:b/>
                <w:bCs/>
                <w:spacing w:val="-3"/>
              </w:rPr>
              <w:t>颁发的《生猪定点屠宰证》(定点</w:t>
            </w:r>
            <w:r>
              <w:rPr>
                <w:sz w:val="21"/>
                <w:szCs w:val="21"/>
                <w:spacing w:val="2"/>
              </w:rPr>
              <w:t xml:space="preserve"> </w:t>
            </w:r>
            <w:r>
              <w:rPr>
                <w:sz w:val="21"/>
                <w:szCs w:val="21"/>
                <w:b/>
                <w:bCs/>
                <w:spacing w:val="-1"/>
              </w:rPr>
              <w:t>屠宰代码：A29030601),本项目</w:t>
            </w:r>
          </w:p>
          <w:p>
            <w:pPr>
              <w:pStyle w:val="TableText"/>
              <w:ind w:left="17" w:right="55"/>
              <w:spacing w:before="1" w:line="238" w:lineRule="auto"/>
              <w:rPr>
                <w:sz w:val="21"/>
                <w:szCs w:val="21"/>
              </w:rPr>
            </w:pPr>
            <w:r>
              <w:rPr>
                <w:sz w:val="21"/>
                <w:szCs w:val="21"/>
                <w:b/>
                <w:bCs/>
                <w:spacing w:val="-3"/>
              </w:rPr>
              <w:t>为改扩建项目，建成后生猪屠宰规</w:t>
            </w:r>
            <w:r>
              <w:rPr>
                <w:sz w:val="21"/>
                <w:szCs w:val="21"/>
              </w:rPr>
              <w:t xml:space="preserve"> </w:t>
            </w:r>
            <w:r>
              <w:rPr>
                <w:sz w:val="21"/>
                <w:szCs w:val="21"/>
                <w:b/>
                <w:bCs/>
                <w:spacing w:val="-3"/>
              </w:rPr>
              <w:t>模由7.8万头/年提升至屠宰生猪40</w:t>
            </w:r>
            <w:r>
              <w:rPr>
                <w:sz w:val="21"/>
                <w:szCs w:val="21"/>
                <w:spacing w:val="5"/>
              </w:rPr>
              <w:t xml:space="preserve"> </w:t>
            </w:r>
            <w:r>
              <w:rPr>
                <w:sz w:val="21"/>
                <w:szCs w:val="21"/>
                <w:b/>
                <w:bCs/>
                <w:spacing w:val="-4"/>
              </w:rPr>
              <w:t>万头/年，肉牛4万头/年，不新增</w:t>
            </w:r>
            <w:r>
              <w:rPr>
                <w:sz w:val="21"/>
                <w:szCs w:val="21"/>
                <w:spacing w:val="7"/>
              </w:rPr>
              <w:t xml:space="preserve">  </w:t>
            </w:r>
            <w:r>
              <w:rPr>
                <w:sz w:val="21"/>
                <w:szCs w:val="21"/>
                <w:b/>
                <w:bCs/>
                <w:spacing w:val="-4"/>
              </w:rPr>
              <w:t>生猪屠宰企业数量。</w:t>
            </w:r>
          </w:p>
        </w:tc>
        <w:tc>
          <w:tcPr>
            <w:tcW w:w="684" w:type="dxa"/>
            <w:vAlign w:val="top"/>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pStyle w:val="TableText"/>
              <w:ind w:left="129"/>
              <w:spacing w:before="68" w:line="219" w:lineRule="auto"/>
              <w:rPr>
                <w:sz w:val="21"/>
                <w:szCs w:val="21"/>
              </w:rPr>
            </w:pPr>
            <w:r>
              <w:rPr>
                <w:sz w:val="21"/>
                <w:szCs w:val="21"/>
                <w:spacing w:val="-3"/>
              </w:rPr>
              <w:t>符合</w:t>
            </w:r>
          </w:p>
        </w:tc>
      </w:tr>
    </w:tbl>
    <w:p>
      <w:pPr>
        <w:pStyle w:val="BodyText"/>
        <w:rPr/>
      </w:pPr>
      <w:r/>
    </w:p>
    <w:p>
      <w:pPr>
        <w:sectPr>
          <w:headerReference w:type="default" r:id="rId58"/>
          <w:footerReference w:type="default" r:id="rId59"/>
          <w:pgSz w:w="11910" w:h="16840"/>
          <w:pgMar w:top="1216" w:right="1614" w:bottom="1008" w:left="1574" w:header="877" w:footer="723" w:gutter="0"/>
        </w:sectPr>
        <w:rPr/>
      </w:pPr>
    </w:p>
    <w:p>
      <w:pPr>
        <w:spacing w:line="217" w:lineRule="exact"/>
        <w:rPr/>
      </w:pPr>
      <w:r/>
    </w:p>
    <w:tbl>
      <w:tblPr>
        <w:tblStyle w:val="TableNormal"/>
        <w:tblW w:w="87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104"/>
        <w:gridCol w:w="769"/>
        <w:gridCol w:w="2917"/>
        <w:gridCol w:w="3226"/>
        <w:gridCol w:w="694"/>
      </w:tblGrid>
      <w:tr>
        <w:trPr>
          <w:trHeight w:val="295" w:hRule="atLeast"/>
        </w:trPr>
        <w:tc>
          <w:tcPr>
            <w:shd w:val="clear" w:fill="BDBDBD"/>
            <w:tcW w:w="1104" w:type="dxa"/>
            <w:vAlign w:val="top"/>
          </w:tcPr>
          <w:p>
            <w:pPr>
              <w:pStyle w:val="TableText"/>
              <w:ind w:left="338"/>
              <w:spacing w:before="40" w:line="215" w:lineRule="auto"/>
              <w:rPr>
                <w:sz w:val="21"/>
                <w:szCs w:val="21"/>
              </w:rPr>
            </w:pPr>
            <w:r>
              <w:rPr>
                <w:sz w:val="21"/>
                <w:szCs w:val="21"/>
                <w:b/>
                <w:bCs/>
                <w:spacing w:val="-5"/>
              </w:rPr>
              <w:t>文件</w:t>
            </w:r>
          </w:p>
        </w:tc>
        <w:tc>
          <w:tcPr>
            <w:shd w:val="clear" w:fill="BDBDBD"/>
            <w:tcW w:w="3686" w:type="dxa"/>
            <w:vAlign w:val="top"/>
            <w:gridSpan w:val="2"/>
          </w:tcPr>
          <w:p>
            <w:pPr>
              <w:pStyle w:val="TableText"/>
              <w:ind w:left="1404"/>
              <w:spacing w:before="41" w:line="214" w:lineRule="auto"/>
              <w:rPr>
                <w:sz w:val="21"/>
                <w:szCs w:val="21"/>
              </w:rPr>
            </w:pPr>
            <w:r>
              <w:rPr>
                <w:sz w:val="21"/>
                <w:szCs w:val="21"/>
                <w:b/>
                <w:bCs/>
                <w:spacing w:val="-4"/>
              </w:rPr>
              <w:t>相关规定</w:t>
            </w:r>
          </w:p>
        </w:tc>
        <w:tc>
          <w:tcPr>
            <w:shd w:val="clear" w:fill="BDBDBD"/>
            <w:tcW w:w="3226" w:type="dxa"/>
            <w:vAlign w:val="top"/>
          </w:tcPr>
          <w:p>
            <w:pPr>
              <w:pStyle w:val="TableText"/>
              <w:ind w:left="1288"/>
              <w:spacing w:before="39" w:line="216" w:lineRule="auto"/>
              <w:rPr>
                <w:sz w:val="21"/>
                <w:szCs w:val="21"/>
              </w:rPr>
            </w:pPr>
            <w:r>
              <w:rPr>
                <w:sz w:val="21"/>
                <w:szCs w:val="21"/>
                <w:b/>
                <w:bCs/>
                <w:spacing w:val="9"/>
              </w:rPr>
              <w:t>本项目</w:t>
            </w:r>
          </w:p>
        </w:tc>
        <w:tc>
          <w:tcPr>
            <w:shd w:val="clear" w:fill="BDBDBD"/>
            <w:tcW w:w="694" w:type="dxa"/>
            <w:vAlign w:val="top"/>
          </w:tcPr>
          <w:p>
            <w:pPr>
              <w:pStyle w:val="TableText"/>
              <w:ind w:left="31"/>
              <w:spacing w:before="40" w:line="215" w:lineRule="auto"/>
              <w:rPr>
                <w:sz w:val="21"/>
                <w:szCs w:val="21"/>
              </w:rPr>
            </w:pPr>
            <w:r>
              <w:rPr>
                <w:sz w:val="21"/>
                <w:szCs w:val="21"/>
                <w:b/>
                <w:bCs/>
                <w:spacing w:val="-5"/>
              </w:rPr>
              <w:t>符合性</w:t>
            </w:r>
          </w:p>
        </w:tc>
      </w:tr>
      <w:tr>
        <w:trPr>
          <w:trHeight w:val="540" w:hRule="atLeast"/>
        </w:trPr>
        <w:tc>
          <w:tcPr>
            <w:tcW w:w="1104" w:type="dxa"/>
            <w:vAlign w:val="top"/>
            <w:vMerge w:val="restart"/>
            <w:tcBorders>
              <w:bottom w:val="nil"/>
            </w:tcBorders>
          </w:tcPr>
          <w:p>
            <w:pPr>
              <w:rPr>
                <w:rFonts w:ascii="Arial"/>
                <w:sz w:val="21"/>
              </w:rPr>
            </w:pPr>
            <w:r/>
          </w:p>
        </w:tc>
        <w:tc>
          <w:tcPr>
            <w:tcW w:w="769" w:type="dxa"/>
            <w:vAlign w:val="top"/>
            <w:vMerge w:val="restart"/>
            <w:tcBorders>
              <w:bottom w:val="nil"/>
            </w:tcBorders>
          </w:tcPr>
          <w:p>
            <w:pPr>
              <w:rPr>
                <w:rFonts w:ascii="Arial"/>
                <w:sz w:val="21"/>
              </w:rPr>
            </w:pPr>
            <w:r/>
          </w:p>
        </w:tc>
        <w:tc>
          <w:tcPr>
            <w:tcW w:w="2917" w:type="dxa"/>
            <w:vAlign w:val="top"/>
          </w:tcPr>
          <w:p>
            <w:pPr>
              <w:pStyle w:val="TableText"/>
              <w:ind w:left="11" w:right="174"/>
              <w:spacing w:before="27" w:line="221" w:lineRule="auto"/>
              <w:rPr>
                <w:sz w:val="21"/>
                <w:szCs w:val="21"/>
              </w:rPr>
            </w:pPr>
            <w:r>
              <w:rPr>
                <w:sz w:val="21"/>
                <w:szCs w:val="21"/>
                <w:spacing w:val="-1"/>
              </w:rPr>
              <w:t>生产、检疫条件的前提下，根</w:t>
            </w:r>
            <w:r>
              <w:rPr>
                <w:sz w:val="21"/>
                <w:szCs w:val="21"/>
                <w:spacing w:val="2"/>
              </w:rPr>
              <w:t xml:space="preserve"> </w:t>
            </w:r>
            <w:r>
              <w:rPr>
                <w:sz w:val="21"/>
                <w:szCs w:val="21"/>
                <w:spacing w:val="-1"/>
              </w:rPr>
              <w:t>据当地实际核定。</w:t>
            </w:r>
          </w:p>
        </w:tc>
        <w:tc>
          <w:tcPr>
            <w:tcW w:w="3226" w:type="dxa"/>
            <w:vAlign w:val="top"/>
            <w:vMerge w:val="restart"/>
            <w:tcBorders>
              <w:bottom w:val="nil"/>
            </w:tcBorders>
          </w:tcPr>
          <w:p>
            <w:pPr>
              <w:rPr>
                <w:rFonts w:ascii="Arial"/>
                <w:sz w:val="21"/>
              </w:rPr>
            </w:pPr>
            <w:r/>
          </w:p>
        </w:tc>
        <w:tc>
          <w:tcPr>
            <w:tcW w:w="694" w:type="dxa"/>
            <w:vAlign w:val="top"/>
            <w:vMerge w:val="restart"/>
            <w:tcBorders>
              <w:bottom w:val="nil"/>
            </w:tcBorders>
          </w:tcPr>
          <w:p>
            <w:pPr>
              <w:rPr>
                <w:rFonts w:ascii="Arial"/>
                <w:sz w:val="21"/>
              </w:rPr>
            </w:pPr>
            <w:r/>
          </w:p>
        </w:tc>
      </w:tr>
      <w:tr>
        <w:trPr>
          <w:trHeight w:val="1089" w:hRule="atLeast"/>
        </w:trPr>
        <w:tc>
          <w:tcPr>
            <w:tcW w:w="1104"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2917" w:type="dxa"/>
            <w:vAlign w:val="top"/>
          </w:tcPr>
          <w:p>
            <w:pPr>
              <w:pStyle w:val="TableText"/>
              <w:ind w:left="11" w:right="293" w:firstLine="70"/>
              <w:spacing w:before="46" w:line="227" w:lineRule="auto"/>
              <w:jc w:val="both"/>
              <w:rPr>
                <w:sz w:val="21"/>
                <w:szCs w:val="21"/>
              </w:rPr>
            </w:pPr>
            <w:r>
              <w:rPr>
                <w:sz w:val="21"/>
                <w:szCs w:val="21"/>
              </w:rPr>
              <w:t>(二)设区的市在中心城区及</w:t>
            </w:r>
            <w:r>
              <w:rPr>
                <w:sz w:val="21"/>
                <w:szCs w:val="21"/>
                <w:spacing w:val="10"/>
              </w:rPr>
              <w:t xml:space="preserve"> </w:t>
            </w:r>
            <w:r>
              <w:rPr>
                <w:sz w:val="21"/>
                <w:szCs w:val="21"/>
                <w:spacing w:val="-1"/>
              </w:rPr>
              <w:t>各县(市)城区内原则上不再</w:t>
            </w:r>
            <w:r>
              <w:rPr>
                <w:sz w:val="21"/>
                <w:szCs w:val="21"/>
              </w:rPr>
              <w:t xml:space="preserve">  </w:t>
            </w:r>
            <w:r>
              <w:rPr>
                <w:sz w:val="21"/>
                <w:szCs w:val="21"/>
                <w:spacing w:val="3"/>
              </w:rPr>
              <w:t>新设置生猪定点屠宰厂(场)</w:t>
            </w:r>
            <w:r>
              <w:rPr>
                <w:sz w:val="21"/>
                <w:szCs w:val="21"/>
                <w:spacing w:val="5"/>
              </w:rPr>
              <w:t xml:space="preserve"> </w:t>
            </w:r>
            <w:r>
              <w:rPr>
                <w:sz w:val="21"/>
                <w:szCs w:val="21"/>
                <w:spacing w:val="-1"/>
              </w:rPr>
              <w:t>和小型生猪屠宰场点。</w:t>
            </w:r>
          </w:p>
        </w:tc>
        <w:tc>
          <w:tcPr>
            <w:tcW w:w="3226" w:type="dxa"/>
            <w:vAlign w:val="top"/>
            <w:vMerge w:val="continue"/>
            <w:tcBorders>
              <w:top w:val="nil"/>
            </w:tcBorders>
          </w:tcPr>
          <w:p>
            <w:pPr>
              <w:rPr>
                <w:rFonts w:ascii="Arial"/>
                <w:sz w:val="21"/>
              </w:rPr>
            </w:pPr>
            <w:r/>
          </w:p>
        </w:tc>
        <w:tc>
          <w:tcPr>
            <w:tcW w:w="694" w:type="dxa"/>
            <w:vAlign w:val="top"/>
            <w:vMerge w:val="continue"/>
            <w:tcBorders>
              <w:top w:val="nil"/>
            </w:tcBorders>
          </w:tcPr>
          <w:p>
            <w:pPr>
              <w:rPr>
                <w:rFonts w:ascii="Arial"/>
                <w:sz w:val="21"/>
              </w:rPr>
            </w:pPr>
            <w:r/>
          </w:p>
        </w:tc>
      </w:tr>
      <w:tr>
        <w:trPr>
          <w:trHeight w:val="819" w:hRule="atLeast"/>
        </w:trPr>
        <w:tc>
          <w:tcPr>
            <w:tcW w:w="1104"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2917" w:type="dxa"/>
            <w:vAlign w:val="top"/>
          </w:tcPr>
          <w:p>
            <w:pPr>
              <w:pStyle w:val="TableText"/>
              <w:ind w:left="11"/>
              <w:spacing w:before="39" w:line="219" w:lineRule="auto"/>
              <w:rPr>
                <w:sz w:val="21"/>
                <w:szCs w:val="21"/>
              </w:rPr>
            </w:pPr>
            <w:r>
              <w:rPr>
                <w:sz w:val="21"/>
                <w:szCs w:val="21"/>
                <w:spacing w:val="3"/>
              </w:rPr>
              <w:t>(三)生猪定点屠宰厂(场)</w:t>
            </w:r>
          </w:p>
          <w:p>
            <w:pPr>
              <w:pStyle w:val="TableText"/>
              <w:ind w:left="11" w:right="173"/>
              <w:spacing w:before="10" w:line="224" w:lineRule="auto"/>
              <w:rPr>
                <w:sz w:val="21"/>
                <w:szCs w:val="21"/>
              </w:rPr>
            </w:pPr>
            <w:r>
              <w:rPr>
                <w:sz w:val="21"/>
                <w:szCs w:val="21"/>
                <w:spacing w:val="-1"/>
              </w:rPr>
              <w:t>应达到机械化、半机械化同步</w:t>
            </w:r>
            <w:r>
              <w:rPr>
                <w:sz w:val="21"/>
                <w:szCs w:val="21"/>
                <w:spacing w:val="3"/>
              </w:rPr>
              <w:t xml:space="preserve"> </w:t>
            </w:r>
            <w:r>
              <w:rPr>
                <w:sz w:val="21"/>
                <w:szCs w:val="21"/>
                <w:spacing w:val="-1"/>
              </w:rPr>
              <w:t>检验生产线的加工能力。</w:t>
            </w:r>
          </w:p>
        </w:tc>
        <w:tc>
          <w:tcPr>
            <w:tcW w:w="3226" w:type="dxa"/>
            <w:vAlign w:val="top"/>
          </w:tcPr>
          <w:p>
            <w:pPr>
              <w:pStyle w:val="TableText"/>
              <w:ind w:left="14" w:right="60"/>
              <w:spacing w:before="168"/>
              <w:rPr>
                <w:sz w:val="21"/>
                <w:szCs w:val="21"/>
              </w:rPr>
            </w:pPr>
            <w:r>
              <w:rPr>
                <w:sz w:val="21"/>
                <w:szCs w:val="21"/>
                <w:spacing w:val="-1"/>
              </w:rPr>
              <w:t>本项目使用机械化、半机械化同步</w:t>
            </w:r>
            <w:r>
              <w:rPr>
                <w:sz w:val="21"/>
                <w:szCs w:val="21"/>
                <w:spacing w:val="4"/>
              </w:rPr>
              <w:t xml:space="preserve"> </w:t>
            </w:r>
            <w:r>
              <w:rPr>
                <w:sz w:val="21"/>
                <w:szCs w:val="21"/>
                <w:spacing w:val="-1"/>
              </w:rPr>
              <w:t>检验生产线设备。</w:t>
            </w:r>
          </w:p>
        </w:tc>
        <w:tc>
          <w:tcPr>
            <w:tcW w:w="694" w:type="dxa"/>
            <w:vAlign w:val="top"/>
          </w:tcPr>
          <w:p>
            <w:pPr>
              <w:pStyle w:val="TableText"/>
              <w:ind w:left="129"/>
              <w:spacing w:before="309" w:line="219" w:lineRule="auto"/>
              <w:rPr>
                <w:sz w:val="21"/>
                <w:szCs w:val="21"/>
              </w:rPr>
            </w:pPr>
            <w:r>
              <w:rPr>
                <w:sz w:val="21"/>
                <w:szCs w:val="21"/>
                <w:spacing w:val="-3"/>
              </w:rPr>
              <w:t>符合</w:t>
            </w:r>
          </w:p>
        </w:tc>
      </w:tr>
      <w:tr>
        <w:trPr>
          <w:trHeight w:val="2168" w:hRule="atLeast"/>
        </w:trPr>
        <w:tc>
          <w:tcPr>
            <w:tcW w:w="1104"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2917" w:type="dxa"/>
            <w:vAlign w:val="top"/>
          </w:tcPr>
          <w:p>
            <w:pPr>
              <w:pStyle w:val="TableText"/>
              <w:ind w:left="11" w:right="152" w:firstLine="80"/>
              <w:spacing w:before="39" w:line="234" w:lineRule="auto"/>
              <w:rPr>
                <w:sz w:val="21"/>
                <w:szCs w:val="21"/>
              </w:rPr>
            </w:pPr>
            <w:r>
              <w:rPr>
                <w:sz w:val="21"/>
                <w:szCs w:val="21"/>
              </w:rPr>
              <w:t>(四)严格规划约束。各地新</w:t>
            </w:r>
            <w:r>
              <w:rPr>
                <w:sz w:val="21"/>
                <w:szCs w:val="21"/>
                <w:spacing w:val="4"/>
              </w:rPr>
              <w:t xml:space="preserve">  </w:t>
            </w:r>
            <w:r>
              <w:rPr>
                <w:sz w:val="21"/>
                <w:szCs w:val="21"/>
              </w:rPr>
              <w:t>建和迁建、改扩建生猪屠宰厂</w:t>
            </w:r>
            <w:r>
              <w:rPr>
                <w:sz w:val="21"/>
                <w:szCs w:val="21"/>
                <w:spacing w:val="11"/>
              </w:rPr>
              <w:t xml:space="preserve"> </w:t>
            </w:r>
            <w:r>
              <w:rPr>
                <w:sz w:val="21"/>
                <w:szCs w:val="21"/>
                <w:spacing w:val="3"/>
              </w:rPr>
              <w:t>(场、点)应按省、市(州)</w:t>
            </w:r>
          </w:p>
          <w:p>
            <w:pPr>
              <w:pStyle w:val="TableText"/>
              <w:ind w:left="11" w:right="152"/>
              <w:spacing w:before="12" w:line="233" w:lineRule="auto"/>
              <w:rPr>
                <w:sz w:val="21"/>
                <w:szCs w:val="21"/>
              </w:rPr>
            </w:pPr>
            <w:r>
              <w:rPr>
                <w:sz w:val="21"/>
                <w:szCs w:val="21"/>
              </w:rPr>
              <w:t>规划要求与本地区压缩屠宰厂</w:t>
            </w:r>
            <w:r>
              <w:rPr>
                <w:sz w:val="21"/>
                <w:szCs w:val="21"/>
                <w:spacing w:val="11"/>
              </w:rPr>
              <w:t xml:space="preserve"> </w:t>
            </w:r>
            <w:r>
              <w:rPr>
                <w:sz w:val="21"/>
                <w:szCs w:val="21"/>
                <w:spacing w:val="6"/>
              </w:rPr>
              <w:t>(场、点)数量相结合，没有</w:t>
            </w:r>
            <w:r>
              <w:rPr>
                <w:sz w:val="21"/>
                <w:szCs w:val="21"/>
                <w:spacing w:val="5"/>
              </w:rPr>
              <w:t xml:space="preserve">  </w:t>
            </w:r>
            <w:r>
              <w:rPr>
                <w:sz w:val="21"/>
                <w:szCs w:val="21"/>
              </w:rPr>
              <w:t>实现压缩数量的不得审批新建</w:t>
            </w:r>
            <w:r>
              <w:rPr>
                <w:sz w:val="21"/>
                <w:szCs w:val="21"/>
                <w:spacing w:val="8"/>
              </w:rPr>
              <w:t xml:space="preserve"> </w:t>
            </w:r>
            <w:r>
              <w:rPr>
                <w:sz w:val="21"/>
                <w:szCs w:val="21"/>
                <w:spacing w:val="1"/>
              </w:rPr>
              <w:t>定点屠宰厂(场)和小型屠宰</w:t>
            </w:r>
          </w:p>
          <w:p>
            <w:pPr>
              <w:pStyle w:val="TableText"/>
              <w:ind w:left="11"/>
              <w:spacing w:before="1" w:line="216" w:lineRule="auto"/>
              <w:rPr>
                <w:sz w:val="21"/>
                <w:szCs w:val="21"/>
              </w:rPr>
            </w:pPr>
            <w:r>
              <w:rPr>
                <w:sz w:val="21"/>
                <w:szCs w:val="21"/>
                <w:spacing w:val="-2"/>
              </w:rPr>
              <w:t>场点。</w:t>
            </w:r>
          </w:p>
        </w:tc>
        <w:tc>
          <w:tcPr>
            <w:tcW w:w="3226" w:type="dxa"/>
            <w:vAlign w:val="top"/>
          </w:tcPr>
          <w:p>
            <w:pPr>
              <w:pStyle w:val="TableText"/>
              <w:ind w:left="14" w:right="167"/>
              <w:spacing w:before="29" w:line="242" w:lineRule="auto"/>
              <w:rPr>
                <w:sz w:val="21"/>
                <w:szCs w:val="21"/>
              </w:rPr>
            </w:pPr>
            <w:r>
              <w:rPr>
                <w:sz w:val="21"/>
                <w:szCs w:val="21"/>
                <w:spacing w:val="-1"/>
              </w:rPr>
              <w:t>绵阳柒鑫食品有限公司于2019年5</w:t>
            </w:r>
            <w:r>
              <w:rPr>
                <w:sz w:val="21"/>
                <w:szCs w:val="21"/>
                <w:spacing w:val="4"/>
              </w:rPr>
              <w:t xml:space="preserve"> </w:t>
            </w:r>
            <w:r>
              <w:rPr>
                <w:sz w:val="21"/>
                <w:szCs w:val="21"/>
              </w:rPr>
              <w:t>月31日取得了由绵阳市人民政府</w:t>
            </w:r>
          </w:p>
          <w:p>
            <w:pPr>
              <w:pStyle w:val="TableText"/>
              <w:ind w:left="14" w:right="142"/>
              <w:spacing w:line="235" w:lineRule="auto"/>
              <w:rPr>
                <w:sz w:val="21"/>
                <w:szCs w:val="21"/>
              </w:rPr>
            </w:pPr>
            <w:r>
              <w:rPr>
                <w:sz w:val="21"/>
                <w:szCs w:val="21"/>
              </w:rPr>
              <w:t>颁发的《生猪定点屠宰证》(定点</w:t>
            </w:r>
            <w:r>
              <w:rPr>
                <w:sz w:val="21"/>
                <w:szCs w:val="21"/>
                <w:spacing w:val="12"/>
              </w:rPr>
              <w:t xml:space="preserve"> </w:t>
            </w:r>
            <w:r>
              <w:rPr>
                <w:sz w:val="21"/>
                <w:szCs w:val="21"/>
                <w:spacing w:val="1"/>
              </w:rPr>
              <w:t>屠宰代码：A29030601),本项目</w:t>
            </w:r>
          </w:p>
          <w:p>
            <w:pPr>
              <w:pStyle w:val="TableText"/>
              <w:ind w:left="14" w:right="58"/>
              <w:spacing w:before="14" w:line="226" w:lineRule="auto"/>
              <w:rPr>
                <w:sz w:val="21"/>
                <w:szCs w:val="21"/>
              </w:rPr>
            </w:pPr>
            <w:r>
              <w:rPr>
                <w:sz w:val="21"/>
                <w:szCs w:val="21"/>
                <w:spacing w:val="-1"/>
              </w:rPr>
              <w:t>为改扩建项目，建成后生猪屠宰规</w:t>
            </w:r>
            <w:r>
              <w:rPr>
                <w:sz w:val="21"/>
                <w:szCs w:val="21"/>
                <w:spacing w:val="3"/>
              </w:rPr>
              <w:t xml:space="preserve"> </w:t>
            </w:r>
            <w:r>
              <w:rPr>
                <w:sz w:val="21"/>
                <w:szCs w:val="21"/>
                <w:spacing w:val="-1"/>
              </w:rPr>
              <w:t>模由7.8万头/年提升至屠宰生猪40</w:t>
            </w:r>
            <w:r>
              <w:rPr>
                <w:sz w:val="21"/>
                <w:szCs w:val="21"/>
                <w:spacing w:val="9"/>
              </w:rPr>
              <w:t xml:space="preserve"> </w:t>
            </w:r>
            <w:r>
              <w:rPr>
                <w:sz w:val="21"/>
                <w:szCs w:val="21"/>
              </w:rPr>
              <w:t>万头/年，肉牛4万头/年，不新增</w:t>
            </w:r>
            <w:r>
              <w:rPr>
                <w:sz w:val="21"/>
                <w:szCs w:val="21"/>
                <w:spacing w:val="5"/>
              </w:rPr>
              <w:t xml:space="preserve">  </w:t>
            </w:r>
            <w:r>
              <w:rPr>
                <w:sz w:val="21"/>
                <w:szCs w:val="21"/>
                <w:spacing w:val="-1"/>
              </w:rPr>
              <w:t>生猪屠宰企业数量。</w:t>
            </w:r>
          </w:p>
        </w:tc>
        <w:tc>
          <w:tcPr>
            <w:tcW w:w="694" w:type="dxa"/>
            <w:vAlign w:val="top"/>
          </w:tcPr>
          <w:p>
            <w:pPr>
              <w:spacing w:line="302" w:lineRule="auto"/>
              <w:rPr>
                <w:rFonts w:ascii="Arial"/>
                <w:sz w:val="21"/>
              </w:rPr>
            </w:pPr>
            <w:r/>
          </w:p>
          <w:p>
            <w:pPr>
              <w:spacing w:line="302" w:lineRule="auto"/>
              <w:rPr>
                <w:rFonts w:ascii="Arial"/>
                <w:sz w:val="21"/>
              </w:rPr>
            </w:pPr>
            <w:r/>
          </w:p>
          <w:p>
            <w:pPr>
              <w:spacing w:line="302" w:lineRule="auto"/>
              <w:rPr>
                <w:rFonts w:ascii="Arial"/>
                <w:sz w:val="21"/>
              </w:rPr>
            </w:pPr>
            <w:r/>
          </w:p>
          <w:p>
            <w:pPr>
              <w:pStyle w:val="TableText"/>
              <w:ind w:left="129"/>
              <w:spacing w:before="69" w:line="219" w:lineRule="auto"/>
              <w:rPr>
                <w:sz w:val="21"/>
                <w:szCs w:val="21"/>
              </w:rPr>
            </w:pPr>
            <w:r>
              <w:rPr>
                <w:sz w:val="21"/>
                <w:szCs w:val="21"/>
                <w:spacing w:val="-3"/>
              </w:rPr>
              <w:t>符合</w:t>
            </w:r>
          </w:p>
        </w:tc>
      </w:tr>
      <w:tr>
        <w:trPr>
          <w:trHeight w:val="2718" w:hRule="atLeast"/>
        </w:trPr>
        <w:tc>
          <w:tcPr>
            <w:tcW w:w="1104"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2917" w:type="dxa"/>
            <w:vAlign w:val="top"/>
          </w:tcPr>
          <w:p>
            <w:pPr>
              <w:pStyle w:val="TableText"/>
              <w:ind w:left="11" w:right="276" w:firstLine="80"/>
              <w:spacing w:before="181" w:line="237" w:lineRule="auto"/>
              <w:rPr>
                <w:sz w:val="21"/>
                <w:szCs w:val="21"/>
              </w:rPr>
            </w:pPr>
            <w:r>
              <w:rPr>
                <w:sz w:val="21"/>
                <w:szCs w:val="21"/>
                <w:spacing w:val="1"/>
              </w:rPr>
              <w:t>(五)新建或改扩建生猪定点</w:t>
            </w:r>
            <w:r>
              <w:rPr>
                <w:sz w:val="21"/>
                <w:szCs w:val="21"/>
                <w:spacing w:val="4"/>
              </w:rPr>
              <w:t xml:space="preserve"> </w:t>
            </w:r>
            <w:r>
              <w:rPr>
                <w:sz w:val="21"/>
                <w:szCs w:val="21"/>
                <w:spacing w:val="1"/>
              </w:rPr>
              <w:t>屠宰厂(场)和小型屠宰场点</w:t>
            </w:r>
          </w:p>
          <w:p>
            <w:pPr>
              <w:pStyle w:val="TableText"/>
              <w:ind w:left="11" w:right="129"/>
              <w:spacing w:before="6" w:line="239" w:lineRule="auto"/>
              <w:rPr>
                <w:sz w:val="21"/>
                <w:szCs w:val="21"/>
              </w:rPr>
            </w:pPr>
            <w:r>
              <w:rPr>
                <w:sz w:val="21"/>
                <w:szCs w:val="21"/>
                <w:spacing w:val="-1"/>
              </w:rPr>
              <w:t>应依法开展环境影响评价，并</w:t>
            </w:r>
            <w:r>
              <w:rPr>
                <w:sz w:val="21"/>
                <w:szCs w:val="21"/>
                <w:spacing w:val="3"/>
              </w:rPr>
              <w:t xml:space="preserve"> </w:t>
            </w:r>
            <w:r>
              <w:rPr>
                <w:sz w:val="21"/>
                <w:szCs w:val="21"/>
                <w:spacing w:val="1"/>
              </w:rPr>
              <w:t>不得在下列区域设置定点屠宰</w:t>
            </w:r>
            <w:r>
              <w:rPr>
                <w:sz w:val="21"/>
                <w:szCs w:val="21"/>
                <w:spacing w:val="2"/>
              </w:rPr>
              <w:t xml:space="preserve"> </w:t>
            </w:r>
            <w:r>
              <w:rPr>
                <w:sz w:val="21"/>
                <w:szCs w:val="21"/>
                <w:spacing w:val="2"/>
              </w:rPr>
              <w:t>企业：饮用水水源保护区、自</w:t>
            </w:r>
            <w:r>
              <w:rPr>
                <w:sz w:val="21"/>
                <w:szCs w:val="21"/>
                <w:spacing w:val="8"/>
              </w:rPr>
              <w:t xml:space="preserve"> </w:t>
            </w:r>
            <w:r>
              <w:rPr>
                <w:sz w:val="21"/>
                <w:szCs w:val="21"/>
                <w:spacing w:val="-1"/>
              </w:rPr>
              <w:t>然保护区、人口密集区以及其</w:t>
            </w:r>
            <w:r>
              <w:rPr>
                <w:sz w:val="21"/>
                <w:szCs w:val="21"/>
                <w:spacing w:val="2"/>
              </w:rPr>
              <w:t xml:space="preserve"> </w:t>
            </w:r>
            <w:r>
              <w:rPr>
                <w:sz w:val="21"/>
                <w:szCs w:val="21"/>
                <w:spacing w:val="1"/>
              </w:rPr>
              <w:t>他需要特殊保护的区域，大气</w:t>
            </w:r>
            <w:r>
              <w:rPr>
                <w:sz w:val="21"/>
                <w:szCs w:val="21"/>
              </w:rPr>
              <w:t xml:space="preserve"> </w:t>
            </w:r>
            <w:r>
              <w:rPr>
                <w:sz w:val="21"/>
                <w:szCs w:val="21"/>
                <w:spacing w:val="1"/>
              </w:rPr>
              <w:t>污染严重区以及其他需要重点</w:t>
            </w:r>
            <w:r>
              <w:rPr>
                <w:sz w:val="21"/>
                <w:szCs w:val="21"/>
                <w:spacing w:val="4"/>
              </w:rPr>
              <w:t xml:space="preserve"> </w:t>
            </w:r>
            <w:r>
              <w:rPr>
                <w:sz w:val="21"/>
                <w:szCs w:val="21"/>
                <w:spacing w:val="-1"/>
              </w:rPr>
              <w:t>回避的区域。</w:t>
            </w:r>
          </w:p>
        </w:tc>
        <w:tc>
          <w:tcPr>
            <w:tcW w:w="3226" w:type="dxa"/>
            <w:vAlign w:val="top"/>
          </w:tcPr>
          <w:p>
            <w:pPr>
              <w:pStyle w:val="TableText"/>
              <w:ind w:left="14" w:right="34"/>
              <w:spacing w:before="46" w:line="234" w:lineRule="auto"/>
              <w:jc w:val="both"/>
              <w:rPr>
                <w:sz w:val="21"/>
                <w:szCs w:val="21"/>
              </w:rPr>
            </w:pPr>
            <w:r>
              <w:rPr>
                <w:sz w:val="21"/>
                <w:szCs w:val="21"/>
                <w:spacing w:val="-1"/>
              </w:rPr>
              <w:t>本项目为改扩建项目，正在开展环</w:t>
            </w:r>
            <w:r>
              <w:rPr>
                <w:sz w:val="21"/>
                <w:szCs w:val="21"/>
                <w:spacing w:val="4"/>
              </w:rPr>
              <w:t xml:space="preserve"> </w:t>
            </w:r>
            <w:r>
              <w:rPr>
                <w:sz w:val="21"/>
                <w:szCs w:val="21"/>
                <w:spacing w:val="-1"/>
              </w:rPr>
              <w:t>境影响评价工作，本项目不涉及饮</w:t>
            </w:r>
            <w:r>
              <w:rPr>
                <w:sz w:val="21"/>
                <w:szCs w:val="21"/>
                <w:spacing w:val="4"/>
              </w:rPr>
              <w:t xml:space="preserve"> </w:t>
            </w:r>
            <w:r>
              <w:rPr>
                <w:sz w:val="21"/>
                <w:szCs w:val="21"/>
                <w:spacing w:val="-1"/>
              </w:rPr>
              <w:t>用水水源保护区、自然保护区、人</w:t>
            </w:r>
            <w:r>
              <w:rPr>
                <w:sz w:val="21"/>
                <w:szCs w:val="21"/>
                <w:spacing w:val="4"/>
              </w:rPr>
              <w:t xml:space="preserve"> </w:t>
            </w:r>
            <w:r>
              <w:rPr>
                <w:sz w:val="21"/>
                <w:szCs w:val="21"/>
                <w:spacing w:val="1"/>
              </w:rPr>
              <w:t>口密集区以及其他需要特殊保护的</w:t>
            </w:r>
            <w:r>
              <w:rPr>
                <w:sz w:val="21"/>
                <w:szCs w:val="21"/>
              </w:rPr>
              <w:t xml:space="preserve"> </w:t>
            </w:r>
            <w:r>
              <w:rPr>
                <w:sz w:val="21"/>
                <w:szCs w:val="21"/>
                <w:spacing w:val="-1"/>
              </w:rPr>
              <w:t>区域，周边主要以工业企业为主，</w:t>
            </w:r>
            <w:r>
              <w:rPr>
                <w:sz w:val="21"/>
                <w:szCs w:val="21"/>
                <w:spacing w:val="8"/>
              </w:rPr>
              <w:t xml:space="preserve"> </w:t>
            </w:r>
            <w:r>
              <w:rPr>
                <w:sz w:val="21"/>
                <w:szCs w:val="21"/>
              </w:rPr>
              <w:t>经采取措施后均能达标排放，根据</w:t>
            </w:r>
            <w:r>
              <w:rPr>
                <w:sz w:val="21"/>
                <w:szCs w:val="21"/>
                <w:spacing w:val="11"/>
              </w:rPr>
              <w:t xml:space="preserve"> </w:t>
            </w:r>
            <w:r>
              <w:rPr>
                <w:sz w:val="21"/>
                <w:szCs w:val="21"/>
              </w:rPr>
              <w:t>现场监测，项目所在区域环境空气</w:t>
            </w:r>
            <w:r>
              <w:rPr>
                <w:sz w:val="21"/>
                <w:szCs w:val="21"/>
                <w:spacing w:val="12"/>
              </w:rPr>
              <w:t xml:space="preserve"> </w:t>
            </w:r>
            <w:r>
              <w:rPr>
                <w:sz w:val="21"/>
                <w:szCs w:val="21"/>
              </w:rPr>
              <w:t>质量良好，有一定的环境容量，不</w:t>
            </w:r>
            <w:r>
              <w:rPr>
                <w:sz w:val="21"/>
                <w:szCs w:val="21"/>
                <w:spacing w:val="10"/>
              </w:rPr>
              <w:t xml:space="preserve"> </w:t>
            </w:r>
            <w:r>
              <w:rPr>
                <w:sz w:val="21"/>
                <w:szCs w:val="21"/>
              </w:rPr>
              <w:t>属于大气污染严重区以及其他需要</w:t>
            </w:r>
            <w:r>
              <w:rPr>
                <w:sz w:val="21"/>
                <w:szCs w:val="21"/>
                <w:spacing w:val="9"/>
              </w:rPr>
              <w:t xml:space="preserve"> </w:t>
            </w:r>
            <w:r>
              <w:rPr>
                <w:sz w:val="21"/>
                <w:szCs w:val="21"/>
                <w:spacing w:val="-1"/>
              </w:rPr>
              <w:t>重点回避的区域。</w:t>
            </w:r>
          </w:p>
        </w:tc>
        <w:tc>
          <w:tcPr>
            <w:tcW w:w="694" w:type="dxa"/>
            <w:vAlign w:val="top"/>
          </w:tcPr>
          <w:p>
            <w:pPr>
              <w:spacing w:line="296" w:lineRule="auto"/>
              <w:rPr>
                <w:rFonts w:ascii="Arial"/>
                <w:sz w:val="21"/>
              </w:rPr>
            </w:pPr>
            <w:r/>
          </w:p>
          <w:p>
            <w:pPr>
              <w:spacing w:line="297" w:lineRule="auto"/>
              <w:rPr>
                <w:rFonts w:ascii="Arial"/>
                <w:sz w:val="21"/>
              </w:rPr>
            </w:pPr>
            <w:r/>
          </w:p>
          <w:p>
            <w:pPr>
              <w:spacing w:line="297" w:lineRule="auto"/>
              <w:rPr>
                <w:rFonts w:ascii="Arial"/>
                <w:sz w:val="21"/>
              </w:rPr>
            </w:pPr>
            <w:r/>
          </w:p>
          <w:p>
            <w:pPr>
              <w:spacing w:line="297" w:lineRule="auto"/>
              <w:rPr>
                <w:rFonts w:ascii="Arial"/>
                <w:sz w:val="21"/>
              </w:rPr>
            </w:pPr>
            <w:r/>
          </w:p>
          <w:p>
            <w:pPr>
              <w:pStyle w:val="TableText"/>
              <w:ind w:left="129"/>
              <w:spacing w:before="68" w:line="219" w:lineRule="auto"/>
              <w:rPr>
                <w:sz w:val="21"/>
                <w:szCs w:val="21"/>
              </w:rPr>
            </w:pPr>
            <w:r>
              <w:rPr>
                <w:sz w:val="21"/>
                <w:szCs w:val="21"/>
                <w:spacing w:val="-3"/>
              </w:rPr>
              <w:t>符合</w:t>
            </w:r>
          </w:p>
        </w:tc>
      </w:tr>
      <w:tr>
        <w:trPr>
          <w:trHeight w:val="819" w:hRule="atLeast"/>
        </w:trPr>
        <w:tc>
          <w:tcPr>
            <w:tcW w:w="1104" w:type="dxa"/>
            <w:vAlign w:val="top"/>
            <w:vMerge w:val="continue"/>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917" w:type="dxa"/>
            <w:vAlign w:val="top"/>
          </w:tcPr>
          <w:p>
            <w:pPr>
              <w:pStyle w:val="TableText"/>
              <w:ind w:left="11" w:right="384"/>
              <w:spacing w:before="54" w:line="221" w:lineRule="auto"/>
              <w:rPr>
                <w:sz w:val="21"/>
                <w:szCs w:val="21"/>
              </w:rPr>
            </w:pPr>
            <w:r>
              <w:rPr>
                <w:sz w:val="21"/>
                <w:szCs w:val="21"/>
                <w:spacing w:val="3"/>
              </w:rPr>
              <w:t>(六)生猪定点屠宰厂(场)  </w:t>
            </w:r>
            <w:r>
              <w:rPr>
                <w:sz w:val="21"/>
                <w:szCs w:val="21"/>
                <w:spacing w:val="-1"/>
              </w:rPr>
              <w:t>要严格按照国家标准建设改</w:t>
            </w:r>
            <w:r>
              <w:rPr>
                <w:sz w:val="21"/>
                <w:szCs w:val="21"/>
                <w:spacing w:val="1"/>
              </w:rPr>
              <w:t xml:space="preserve"> </w:t>
            </w:r>
            <w:r>
              <w:rPr>
                <w:sz w:val="21"/>
                <w:szCs w:val="21"/>
                <w:spacing w:val="-2"/>
              </w:rPr>
              <w:t>造。</w:t>
            </w:r>
          </w:p>
        </w:tc>
        <w:tc>
          <w:tcPr>
            <w:tcW w:w="3226" w:type="dxa"/>
            <w:vAlign w:val="top"/>
          </w:tcPr>
          <w:p>
            <w:pPr>
              <w:pStyle w:val="TableText"/>
              <w:ind w:left="14" w:right="270"/>
              <w:spacing w:before="182" w:line="258" w:lineRule="auto"/>
              <w:rPr>
                <w:sz w:val="21"/>
                <w:szCs w:val="21"/>
              </w:rPr>
            </w:pPr>
            <w:r>
              <w:rPr>
                <w:sz w:val="21"/>
                <w:szCs w:val="21"/>
                <w:spacing w:val="-1"/>
              </w:rPr>
              <w:t>本项目生猪定点屠宰厂(场)严格</w:t>
            </w:r>
            <w:r>
              <w:rPr>
                <w:sz w:val="21"/>
                <w:szCs w:val="21"/>
                <w:spacing w:val="4"/>
              </w:rPr>
              <w:t xml:space="preserve"> </w:t>
            </w:r>
            <w:r>
              <w:rPr>
                <w:sz w:val="21"/>
                <w:szCs w:val="21"/>
                <w:spacing w:val="-1"/>
              </w:rPr>
              <w:t>按照国家标准建设改造。</w:t>
            </w:r>
          </w:p>
        </w:tc>
        <w:tc>
          <w:tcPr>
            <w:tcW w:w="694" w:type="dxa"/>
            <w:vAlign w:val="top"/>
          </w:tcPr>
          <w:p>
            <w:pPr>
              <w:spacing w:line="245" w:lineRule="auto"/>
              <w:rPr>
                <w:rFonts w:ascii="Arial"/>
                <w:sz w:val="21"/>
              </w:rPr>
            </w:pPr>
            <w:r/>
          </w:p>
          <w:p>
            <w:pPr>
              <w:pStyle w:val="TableText"/>
              <w:ind w:left="129"/>
              <w:spacing w:before="68" w:line="219" w:lineRule="auto"/>
              <w:rPr>
                <w:sz w:val="21"/>
                <w:szCs w:val="21"/>
              </w:rPr>
            </w:pPr>
            <w:r>
              <w:rPr>
                <w:sz w:val="21"/>
                <w:szCs w:val="21"/>
                <w:spacing w:val="-3"/>
              </w:rPr>
              <w:t>符合</w:t>
            </w:r>
          </w:p>
        </w:tc>
      </w:tr>
      <w:tr>
        <w:trPr>
          <w:trHeight w:val="3267" w:hRule="atLeast"/>
        </w:trPr>
        <w:tc>
          <w:tcPr>
            <w:tcW w:w="1104" w:type="dxa"/>
            <w:vAlign w:val="top"/>
            <w:vMerge w:val="restart"/>
            <w:tcBorders>
              <w:bottom w:val="nil"/>
            </w:tcBorders>
          </w:tcPr>
          <w:p>
            <w:pPr>
              <w:spacing w:line="277" w:lineRule="auto"/>
              <w:rPr>
                <w:rFonts w:ascii="Arial"/>
                <w:sz w:val="21"/>
              </w:rPr>
            </w:pPr>
            <w:r/>
          </w:p>
          <w:p>
            <w:pPr>
              <w:spacing w:line="277" w:lineRule="auto"/>
              <w:rPr>
                <w:rFonts w:ascii="Arial"/>
                <w:sz w:val="21"/>
              </w:rPr>
            </w:pPr>
            <w:r/>
          </w:p>
          <w:p>
            <w:pPr>
              <w:spacing w:line="278" w:lineRule="auto"/>
              <w:rPr>
                <w:rFonts w:ascii="Arial"/>
                <w:sz w:val="21"/>
              </w:rPr>
            </w:pPr>
            <w:r/>
          </w:p>
          <w:p>
            <w:pPr>
              <w:spacing w:line="278" w:lineRule="auto"/>
              <w:rPr>
                <w:rFonts w:ascii="Arial"/>
                <w:sz w:val="21"/>
              </w:rPr>
            </w:pPr>
            <w:r/>
          </w:p>
          <w:p>
            <w:pPr>
              <w:pStyle w:val="TableText"/>
              <w:spacing w:before="68" w:line="219" w:lineRule="auto"/>
              <w:rPr>
                <w:sz w:val="21"/>
                <w:szCs w:val="21"/>
              </w:rPr>
            </w:pPr>
            <w:r>
              <w:rPr>
                <w:sz w:val="21"/>
                <w:szCs w:val="21"/>
                <w:spacing w:val="-6"/>
              </w:rPr>
              <w:t>《绵阳市生</w:t>
            </w:r>
          </w:p>
          <w:p>
            <w:pPr>
              <w:pStyle w:val="TableText"/>
              <w:ind w:left="15"/>
              <w:spacing w:before="10" w:line="219" w:lineRule="auto"/>
              <w:rPr>
                <w:sz w:val="21"/>
                <w:szCs w:val="21"/>
              </w:rPr>
            </w:pPr>
            <w:r>
              <w:rPr>
                <w:sz w:val="21"/>
                <w:szCs w:val="21"/>
                <w:spacing w:val="3"/>
              </w:rPr>
              <w:t>猪定点屠宰</w:t>
            </w:r>
          </w:p>
          <w:p>
            <w:pPr>
              <w:pStyle w:val="TableText"/>
              <w:ind w:right="2"/>
              <w:spacing w:before="31" w:line="220" w:lineRule="auto"/>
              <w:jc w:val="right"/>
              <w:rPr>
                <w:sz w:val="21"/>
                <w:szCs w:val="21"/>
              </w:rPr>
            </w:pPr>
            <w:r>
              <w:rPr>
                <w:sz w:val="21"/>
                <w:szCs w:val="21"/>
                <w:spacing w:val="-13"/>
              </w:rPr>
              <w:t>厂 (</w:t>
            </w:r>
            <w:r>
              <w:rPr>
                <w:sz w:val="21"/>
                <w:szCs w:val="21"/>
                <w:spacing w:val="-39"/>
              </w:rPr>
              <w:t xml:space="preserve"> </w:t>
            </w:r>
            <w:r>
              <w:rPr>
                <w:sz w:val="21"/>
                <w:szCs w:val="21"/>
                <w:spacing w:val="-13"/>
              </w:rPr>
              <w:t>场</w:t>
            </w:r>
            <w:r>
              <w:rPr>
                <w:sz w:val="21"/>
                <w:szCs w:val="21"/>
                <w:spacing w:val="-39"/>
              </w:rPr>
              <w:t xml:space="preserve"> </w:t>
            </w:r>
            <w:r>
              <w:rPr>
                <w:sz w:val="21"/>
                <w:szCs w:val="21"/>
                <w:spacing w:val="-13"/>
              </w:rPr>
              <w:t>)</w:t>
            </w:r>
            <w:r>
              <w:rPr>
                <w:sz w:val="21"/>
                <w:szCs w:val="21"/>
                <w:spacing w:val="-39"/>
              </w:rPr>
              <w:t xml:space="preserve"> </w:t>
            </w:r>
            <w:r>
              <w:rPr>
                <w:sz w:val="21"/>
                <w:szCs w:val="21"/>
                <w:spacing w:val="-13"/>
              </w:rPr>
              <w:t>和</w:t>
            </w:r>
          </w:p>
          <w:p>
            <w:pPr>
              <w:pStyle w:val="TableText"/>
              <w:ind w:left="15"/>
              <w:spacing w:before="19" w:line="219" w:lineRule="auto"/>
              <w:rPr>
                <w:sz w:val="21"/>
                <w:szCs w:val="21"/>
              </w:rPr>
            </w:pPr>
            <w:r>
              <w:rPr>
                <w:sz w:val="21"/>
                <w:szCs w:val="21"/>
                <w:spacing w:val="2"/>
              </w:rPr>
              <w:t>小型屠宰场</w:t>
            </w:r>
          </w:p>
          <w:p>
            <w:pPr>
              <w:pStyle w:val="TableText"/>
              <w:ind w:left="15"/>
              <w:spacing w:before="32" w:line="221" w:lineRule="auto"/>
              <w:rPr>
                <w:sz w:val="21"/>
                <w:szCs w:val="21"/>
              </w:rPr>
            </w:pPr>
            <w:r>
              <w:rPr>
                <w:sz w:val="21"/>
                <w:szCs w:val="21"/>
                <w:spacing w:val="3"/>
              </w:rPr>
              <w:t>点设置规划</w:t>
            </w:r>
          </w:p>
          <w:p>
            <w:pPr>
              <w:pStyle w:val="TableText"/>
              <w:ind w:left="224"/>
              <w:spacing w:before="41" w:line="222" w:lineRule="auto"/>
              <w:rPr>
                <w:sz w:val="21"/>
                <w:szCs w:val="21"/>
              </w:rPr>
            </w:pPr>
            <w:r>
              <w:rPr>
                <w:sz w:val="21"/>
                <w:szCs w:val="21"/>
                <w:spacing w:val="-7"/>
              </w:rPr>
              <w:t>(2010-</w:t>
            </w:r>
          </w:p>
          <w:p>
            <w:pPr>
              <w:pStyle w:val="TableText"/>
              <w:ind w:left="335"/>
              <w:spacing w:before="25" w:line="184" w:lineRule="auto"/>
              <w:rPr>
                <w:sz w:val="21"/>
                <w:szCs w:val="21"/>
              </w:rPr>
            </w:pPr>
            <w:r>
              <w:rPr>
                <w:sz w:val="21"/>
                <w:szCs w:val="21"/>
                <w:spacing w:val="-3"/>
              </w:rPr>
              <w:t>2015</w:t>
            </w:r>
          </w:p>
          <w:p>
            <w:pPr>
              <w:pStyle w:val="TableText"/>
              <w:ind w:left="222" w:hanging="207"/>
              <w:spacing w:before="1" w:line="238" w:lineRule="auto"/>
              <w:rPr>
                <w:sz w:val="21"/>
                <w:szCs w:val="21"/>
              </w:rPr>
            </w:pPr>
            <w:r>
              <w:rPr>
                <w:sz w:val="21"/>
                <w:szCs w:val="21"/>
                <w:spacing w:val="-23"/>
              </w:rPr>
              <w:t>年</w:t>
            </w:r>
            <w:r>
              <w:rPr>
                <w:sz w:val="21"/>
                <w:szCs w:val="21"/>
                <w:spacing w:val="-31"/>
              </w:rPr>
              <w:t xml:space="preserve"> </w:t>
            </w:r>
            <w:r>
              <w:rPr>
                <w:sz w:val="21"/>
                <w:szCs w:val="21"/>
                <w:spacing w:val="-23"/>
              </w:rPr>
              <w:t>)</w:t>
            </w:r>
            <w:r>
              <w:rPr>
                <w:sz w:val="21"/>
                <w:szCs w:val="21"/>
                <w:spacing w:val="-21"/>
              </w:rPr>
              <w:t xml:space="preserve"> </w:t>
            </w:r>
            <w:r>
              <w:rPr>
                <w:sz w:val="21"/>
                <w:szCs w:val="21"/>
                <w:spacing w:val="-23"/>
              </w:rPr>
              <w:t>》</w:t>
            </w:r>
            <w:r>
              <w:rPr>
                <w:sz w:val="21"/>
                <w:szCs w:val="21"/>
                <w:spacing w:val="3"/>
              </w:rPr>
              <w:t xml:space="preserve"> </w:t>
            </w:r>
            <w:r>
              <w:rPr>
                <w:sz w:val="21"/>
                <w:szCs w:val="21"/>
                <w:spacing w:val="-22"/>
              </w:rPr>
              <w:t>(</w:t>
            </w:r>
            <w:r>
              <w:rPr>
                <w:sz w:val="21"/>
                <w:szCs w:val="21"/>
                <w:spacing w:val="-29"/>
              </w:rPr>
              <w:t xml:space="preserve"> </w:t>
            </w:r>
            <w:r>
              <w:rPr>
                <w:sz w:val="21"/>
                <w:szCs w:val="21"/>
                <w:spacing w:val="-14"/>
              </w:rPr>
              <w:t>绵</w:t>
            </w:r>
            <w:r>
              <w:rPr>
                <w:sz w:val="21"/>
                <w:szCs w:val="21"/>
              </w:rPr>
              <w:t xml:space="preserve"> </w:t>
            </w:r>
            <w:r>
              <w:rPr>
                <w:sz w:val="21"/>
                <w:szCs w:val="21"/>
                <w:spacing w:val="4"/>
              </w:rPr>
              <w:t>府办函</w:t>
            </w:r>
          </w:p>
          <w:p>
            <w:pPr>
              <w:pStyle w:val="TableText"/>
              <w:ind w:left="314" w:right="124" w:hanging="249"/>
              <w:spacing w:before="2" w:line="210" w:lineRule="auto"/>
              <w:rPr>
                <w:sz w:val="21"/>
                <w:szCs w:val="21"/>
              </w:rPr>
            </w:pPr>
            <w:r>
              <w:rPr>
                <w:sz w:val="21"/>
                <w:szCs w:val="21"/>
                <w:spacing w:val="-5"/>
              </w:rPr>
              <w:t>[2011]202</w:t>
            </w:r>
            <w:r>
              <w:rPr>
                <w:sz w:val="21"/>
                <w:szCs w:val="21"/>
                <w:spacing w:val="3"/>
              </w:rPr>
              <w:t xml:space="preserve"> </w:t>
            </w:r>
            <w:r>
              <w:rPr>
                <w:sz w:val="21"/>
                <w:szCs w:val="21"/>
                <w:spacing w:val="-7"/>
              </w:rPr>
              <w:t>号</w:t>
            </w:r>
            <w:r>
              <w:rPr>
                <w:sz w:val="21"/>
                <w:szCs w:val="21"/>
                <w:spacing w:val="-42"/>
              </w:rPr>
              <w:t xml:space="preserve"> </w:t>
            </w:r>
            <w:r>
              <w:rPr>
                <w:sz w:val="21"/>
                <w:szCs w:val="21"/>
                <w:spacing w:val="-7"/>
              </w:rPr>
              <w:t>)</w:t>
            </w:r>
          </w:p>
        </w:tc>
        <w:tc>
          <w:tcPr>
            <w:tcW w:w="769" w:type="dxa"/>
            <w:vAlign w:val="top"/>
            <w:vMerge w:val="restart"/>
            <w:tcBorders>
              <w:bottom w:val="nil"/>
            </w:tcBorders>
          </w:tcPr>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pStyle w:val="TableText"/>
              <w:ind w:left="61" w:right="68" w:firstLine="99"/>
              <w:spacing w:before="68" w:line="238" w:lineRule="auto"/>
              <w:jc w:val="both"/>
              <w:rPr>
                <w:sz w:val="21"/>
                <w:szCs w:val="21"/>
              </w:rPr>
            </w:pPr>
            <w:r>
              <w:rPr>
                <w:sz w:val="21"/>
                <w:szCs w:val="21"/>
                <w:spacing w:val="15"/>
              </w:rPr>
              <w:t>(二)</w:t>
            </w:r>
            <w:r>
              <w:rPr>
                <w:sz w:val="21"/>
                <w:szCs w:val="21"/>
              </w:rPr>
              <w:t xml:space="preserve"> </w:t>
            </w:r>
            <w:r>
              <w:rPr>
                <w:sz w:val="21"/>
                <w:szCs w:val="21"/>
                <w:spacing w:val="-1"/>
              </w:rPr>
              <w:t>、设置</w:t>
            </w:r>
            <w:r>
              <w:rPr>
                <w:sz w:val="21"/>
                <w:szCs w:val="21"/>
                <w:spacing w:val="1"/>
              </w:rPr>
              <w:t xml:space="preserve"> </w:t>
            </w:r>
            <w:r>
              <w:rPr>
                <w:sz w:val="21"/>
                <w:szCs w:val="21"/>
                <w:spacing w:val="45"/>
              </w:rPr>
              <w:t>要求</w:t>
            </w:r>
          </w:p>
        </w:tc>
        <w:tc>
          <w:tcPr>
            <w:tcW w:w="2917" w:type="dxa"/>
            <w:vAlign w:val="top"/>
          </w:tcPr>
          <w:p>
            <w:pPr>
              <w:pStyle w:val="TableText"/>
              <w:ind w:left="11" w:right="60"/>
              <w:spacing w:before="49" w:line="235" w:lineRule="auto"/>
              <w:rPr>
                <w:sz w:val="21"/>
                <w:szCs w:val="21"/>
              </w:rPr>
            </w:pPr>
            <w:r>
              <w:rPr>
                <w:sz w:val="21"/>
                <w:szCs w:val="21"/>
                <w:spacing w:val="2"/>
              </w:rPr>
              <w:t>1、严格控制定点屠宰厂(场)</w:t>
            </w:r>
            <w:r>
              <w:rPr>
                <w:sz w:val="21"/>
                <w:szCs w:val="21"/>
                <w:spacing w:val="6"/>
              </w:rPr>
              <w:t xml:space="preserve">  </w:t>
            </w:r>
            <w:r>
              <w:rPr>
                <w:sz w:val="21"/>
                <w:szCs w:val="21"/>
                <w:spacing w:val="-1"/>
              </w:rPr>
              <w:t>数量。到2015年，除北川新县</w:t>
            </w:r>
            <w:r>
              <w:rPr>
                <w:sz w:val="21"/>
                <w:szCs w:val="21"/>
                <w:spacing w:val="2"/>
              </w:rPr>
              <w:t xml:space="preserve">  </w:t>
            </w:r>
            <w:r>
              <w:rPr>
                <w:sz w:val="21"/>
                <w:szCs w:val="21"/>
                <w:spacing w:val="-1"/>
              </w:rPr>
              <w:t>城外，其余县市区原则上不再</w:t>
            </w:r>
            <w:r>
              <w:rPr>
                <w:sz w:val="21"/>
                <w:szCs w:val="21"/>
                <w:spacing w:val="1"/>
              </w:rPr>
              <w:t xml:space="preserve">  </w:t>
            </w:r>
            <w:r>
              <w:rPr>
                <w:sz w:val="21"/>
                <w:szCs w:val="21"/>
                <w:spacing w:val="3"/>
              </w:rPr>
              <w:t>新设置生猪定点屠宰厂(场)</w:t>
            </w:r>
            <w:r>
              <w:rPr>
                <w:sz w:val="21"/>
                <w:szCs w:val="21"/>
                <w:spacing w:val="1"/>
              </w:rPr>
              <w:t xml:space="preserve">   </w:t>
            </w:r>
            <w:r>
              <w:rPr>
                <w:sz w:val="21"/>
                <w:szCs w:val="21"/>
                <w:spacing w:val="8"/>
              </w:rPr>
              <w:t>和小型生猪屠宰场点。边远、</w:t>
            </w:r>
            <w:r>
              <w:rPr>
                <w:sz w:val="21"/>
                <w:szCs w:val="21"/>
              </w:rPr>
              <w:t xml:space="preserve"> </w:t>
            </w:r>
            <w:r>
              <w:rPr>
                <w:sz w:val="21"/>
                <w:szCs w:val="21"/>
              </w:rPr>
              <w:t>交通不便的农村地区和少数民</w:t>
            </w:r>
            <w:r>
              <w:rPr>
                <w:sz w:val="21"/>
                <w:szCs w:val="21"/>
                <w:spacing w:val="5"/>
              </w:rPr>
              <w:t xml:space="preserve">  </w:t>
            </w:r>
            <w:r>
              <w:rPr>
                <w:sz w:val="21"/>
                <w:szCs w:val="21"/>
                <w:spacing w:val="1"/>
              </w:rPr>
              <w:t>族地区设置小型生猪屠宰场点</w:t>
            </w:r>
            <w:r>
              <w:rPr>
                <w:sz w:val="21"/>
                <w:szCs w:val="21"/>
                <w:spacing w:val="2"/>
              </w:rPr>
              <w:t xml:space="preserve">  </w:t>
            </w:r>
            <w:r>
              <w:rPr>
                <w:sz w:val="21"/>
                <w:szCs w:val="21"/>
              </w:rPr>
              <w:t>的数量，按照本规划压缩总量</w:t>
            </w:r>
            <w:r>
              <w:rPr>
                <w:sz w:val="21"/>
                <w:szCs w:val="21"/>
                <w:spacing w:val="3"/>
              </w:rPr>
              <w:t xml:space="preserve">  </w:t>
            </w:r>
            <w:r>
              <w:rPr>
                <w:sz w:val="21"/>
                <w:szCs w:val="21"/>
              </w:rPr>
              <w:t>的目标要求，在严格监管，严</w:t>
            </w:r>
            <w:r>
              <w:rPr>
                <w:sz w:val="21"/>
                <w:szCs w:val="21"/>
                <w:spacing w:val="4"/>
              </w:rPr>
              <w:t xml:space="preserve">  </w:t>
            </w:r>
            <w:r>
              <w:rPr>
                <w:sz w:val="21"/>
                <w:szCs w:val="21"/>
                <w:spacing w:val="-1"/>
              </w:rPr>
              <w:t>把基本卫生和质量安全生产条</w:t>
            </w:r>
            <w:r>
              <w:rPr>
                <w:sz w:val="21"/>
                <w:szCs w:val="21"/>
                <w:spacing w:val="1"/>
              </w:rPr>
              <w:t xml:space="preserve">  </w:t>
            </w:r>
            <w:r>
              <w:rPr>
                <w:sz w:val="21"/>
                <w:szCs w:val="21"/>
                <w:spacing w:val="1"/>
              </w:rPr>
              <w:t>件、检疫条件的前提下，由当</w:t>
            </w:r>
            <w:r>
              <w:rPr>
                <w:sz w:val="21"/>
                <w:szCs w:val="21"/>
                <w:spacing w:val="2"/>
              </w:rPr>
              <w:t xml:space="preserve">  </w:t>
            </w:r>
            <w:r>
              <w:rPr>
                <w:sz w:val="21"/>
                <w:szCs w:val="21"/>
                <w:spacing w:val="-1"/>
              </w:rPr>
              <w:t>地政府自行核定。</w:t>
            </w:r>
          </w:p>
        </w:tc>
        <w:tc>
          <w:tcPr>
            <w:tcW w:w="3226" w:type="dxa"/>
            <w:vAlign w:val="top"/>
            <w:vMerge w:val="restart"/>
            <w:tcBorders>
              <w:bottom w:val="nil"/>
            </w:tcBorders>
          </w:tcPr>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14" w:right="167"/>
              <w:spacing w:before="68" w:line="230" w:lineRule="auto"/>
              <w:rPr>
                <w:sz w:val="21"/>
                <w:szCs w:val="21"/>
              </w:rPr>
            </w:pPr>
            <w:r>
              <w:rPr>
                <w:sz w:val="21"/>
                <w:szCs w:val="21"/>
                <w:spacing w:val="-1"/>
              </w:rPr>
              <w:t>绵阳柒鑫食品有限公司于2019年5</w:t>
            </w:r>
            <w:r>
              <w:rPr>
                <w:sz w:val="21"/>
                <w:szCs w:val="21"/>
                <w:spacing w:val="4"/>
              </w:rPr>
              <w:t xml:space="preserve"> </w:t>
            </w:r>
            <w:r>
              <w:rPr>
                <w:sz w:val="21"/>
                <w:szCs w:val="21"/>
              </w:rPr>
              <w:t>月31日取得了由绵阳市人民政府</w:t>
            </w:r>
          </w:p>
          <w:p>
            <w:pPr>
              <w:pStyle w:val="TableText"/>
              <w:ind w:left="14" w:right="142"/>
              <w:spacing w:before="17" w:line="235" w:lineRule="auto"/>
              <w:rPr>
                <w:sz w:val="21"/>
                <w:szCs w:val="21"/>
              </w:rPr>
            </w:pPr>
            <w:r>
              <w:rPr>
                <w:sz w:val="21"/>
                <w:szCs w:val="21"/>
              </w:rPr>
              <w:t>颁发的《生猪定点屠宰证》(定点</w:t>
            </w:r>
            <w:r>
              <w:rPr>
                <w:sz w:val="21"/>
                <w:szCs w:val="21"/>
                <w:spacing w:val="12"/>
              </w:rPr>
              <w:t xml:space="preserve"> </w:t>
            </w:r>
            <w:r>
              <w:rPr>
                <w:sz w:val="21"/>
                <w:szCs w:val="21"/>
                <w:spacing w:val="1"/>
              </w:rPr>
              <w:t>屠宰代码：A29030601),本项目</w:t>
            </w:r>
          </w:p>
          <w:p>
            <w:pPr>
              <w:pStyle w:val="TableText"/>
              <w:ind w:left="14" w:right="58"/>
              <w:spacing w:before="6" w:line="241" w:lineRule="auto"/>
              <w:rPr>
                <w:sz w:val="21"/>
                <w:szCs w:val="21"/>
              </w:rPr>
            </w:pPr>
            <w:r>
              <w:rPr>
                <w:sz w:val="21"/>
                <w:szCs w:val="21"/>
                <w:spacing w:val="-1"/>
              </w:rPr>
              <w:t>为改扩建项目，建成后生猪屠宰规</w:t>
            </w:r>
            <w:r>
              <w:rPr>
                <w:sz w:val="21"/>
                <w:szCs w:val="21"/>
                <w:spacing w:val="3"/>
              </w:rPr>
              <w:t xml:space="preserve"> </w:t>
            </w:r>
            <w:r>
              <w:rPr>
                <w:sz w:val="21"/>
                <w:szCs w:val="21"/>
                <w:spacing w:val="-1"/>
              </w:rPr>
              <w:t>模由7.8万头/年提升至屠宰生猪40</w:t>
            </w:r>
            <w:r>
              <w:rPr>
                <w:sz w:val="21"/>
                <w:szCs w:val="21"/>
                <w:spacing w:val="9"/>
              </w:rPr>
              <w:t xml:space="preserve"> </w:t>
            </w:r>
            <w:r>
              <w:rPr>
                <w:sz w:val="21"/>
                <w:szCs w:val="21"/>
              </w:rPr>
              <w:t>万头/年，肉牛4万头/年，不新增</w:t>
            </w:r>
            <w:r>
              <w:rPr>
                <w:sz w:val="21"/>
                <w:szCs w:val="21"/>
                <w:spacing w:val="5"/>
              </w:rPr>
              <w:t xml:space="preserve">  </w:t>
            </w:r>
            <w:r>
              <w:rPr>
                <w:sz w:val="21"/>
                <w:szCs w:val="21"/>
                <w:spacing w:val="-1"/>
              </w:rPr>
              <w:t>生猪屠宰企业数量。</w:t>
            </w:r>
          </w:p>
        </w:tc>
        <w:tc>
          <w:tcPr>
            <w:tcW w:w="694" w:type="dxa"/>
            <w:vAlign w:val="top"/>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129"/>
              <w:spacing w:before="68" w:line="219" w:lineRule="auto"/>
              <w:rPr>
                <w:sz w:val="21"/>
                <w:szCs w:val="21"/>
              </w:rPr>
            </w:pPr>
            <w:r>
              <w:rPr>
                <w:sz w:val="21"/>
                <w:szCs w:val="21"/>
                <w:spacing w:val="-3"/>
              </w:rPr>
              <w:t>符合</w:t>
            </w:r>
          </w:p>
        </w:tc>
      </w:tr>
      <w:tr>
        <w:trPr>
          <w:trHeight w:val="1924" w:hRule="atLeast"/>
        </w:trPr>
        <w:tc>
          <w:tcPr>
            <w:tcW w:w="1104" w:type="dxa"/>
            <w:vAlign w:val="top"/>
            <w:vMerge w:val="continue"/>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917" w:type="dxa"/>
            <w:vAlign w:val="top"/>
          </w:tcPr>
          <w:p>
            <w:pPr>
              <w:pStyle w:val="TableText"/>
              <w:ind w:left="11" w:right="70"/>
              <w:spacing w:before="48" w:line="235" w:lineRule="auto"/>
              <w:rPr>
                <w:sz w:val="21"/>
                <w:szCs w:val="21"/>
              </w:rPr>
            </w:pPr>
            <w:r>
              <w:rPr>
                <w:sz w:val="21"/>
                <w:szCs w:val="21"/>
                <w:spacing w:val="-1"/>
              </w:rPr>
              <w:t>2、新建和迁建、改扩建生猪屠</w:t>
            </w:r>
            <w:r>
              <w:rPr>
                <w:sz w:val="21"/>
                <w:szCs w:val="21"/>
                <w:spacing w:val="2"/>
              </w:rPr>
              <w:t xml:space="preserve"> </w:t>
            </w:r>
            <w:r>
              <w:rPr>
                <w:sz w:val="21"/>
                <w:szCs w:val="21"/>
              </w:rPr>
              <w:t>宰厂(场、点),应按本规划</w:t>
            </w:r>
          </w:p>
          <w:p>
            <w:pPr>
              <w:pStyle w:val="TableText"/>
              <w:ind w:left="11"/>
              <w:spacing w:before="3" w:line="219" w:lineRule="auto"/>
              <w:rPr>
                <w:sz w:val="21"/>
                <w:szCs w:val="21"/>
              </w:rPr>
            </w:pPr>
            <w:r>
              <w:rPr>
                <w:sz w:val="21"/>
                <w:szCs w:val="21"/>
                <w:spacing w:val="1"/>
              </w:rPr>
              <w:t>要求，与本地区压缩屠宰厂</w:t>
            </w:r>
          </w:p>
          <w:p>
            <w:pPr>
              <w:pStyle w:val="TableText"/>
              <w:ind w:left="11" w:right="155" w:firstLine="90"/>
              <w:spacing w:before="42" w:line="237" w:lineRule="auto"/>
              <w:rPr>
                <w:sz w:val="21"/>
                <w:szCs w:val="21"/>
              </w:rPr>
            </w:pPr>
            <w:r>
              <w:rPr>
                <w:sz w:val="21"/>
                <w:szCs w:val="21"/>
              </w:rPr>
              <w:t>(场、点)数量相结合，没有</w:t>
            </w:r>
            <w:r>
              <w:rPr>
                <w:sz w:val="21"/>
                <w:szCs w:val="21"/>
                <w:spacing w:val="4"/>
              </w:rPr>
              <w:t xml:space="preserve">  </w:t>
            </w:r>
            <w:r>
              <w:rPr>
                <w:sz w:val="21"/>
                <w:szCs w:val="21"/>
              </w:rPr>
              <w:t>实现压缩数量的，不得审批新</w:t>
            </w:r>
            <w:r>
              <w:rPr>
                <w:sz w:val="21"/>
                <w:szCs w:val="21"/>
                <w:spacing w:val="8"/>
              </w:rPr>
              <w:t xml:space="preserve"> </w:t>
            </w:r>
            <w:r>
              <w:rPr>
                <w:sz w:val="21"/>
                <w:szCs w:val="21"/>
              </w:rPr>
              <w:t>建定点屠宰厂(场)和小型屠</w:t>
            </w:r>
          </w:p>
          <w:p>
            <w:pPr>
              <w:pStyle w:val="TableText"/>
              <w:ind w:left="11"/>
              <w:spacing w:before="1" w:line="198" w:lineRule="auto"/>
              <w:rPr>
                <w:sz w:val="21"/>
                <w:szCs w:val="21"/>
              </w:rPr>
            </w:pPr>
            <w:r>
              <w:rPr>
                <w:sz w:val="21"/>
                <w:szCs w:val="21"/>
                <w:spacing w:val="1"/>
              </w:rPr>
              <w:t>宰场点。原则上，凡现有屠宰</w:t>
            </w:r>
          </w:p>
        </w:tc>
        <w:tc>
          <w:tcPr>
            <w:tcW w:w="3226" w:type="dxa"/>
            <w:vAlign w:val="top"/>
            <w:vMerge w:val="continue"/>
            <w:tcBorders>
              <w:top w:val="nil"/>
            </w:tcBorders>
          </w:tcPr>
          <w:p>
            <w:pPr>
              <w:rPr>
                <w:rFonts w:ascii="Arial"/>
                <w:sz w:val="21"/>
              </w:rPr>
            </w:pPr>
            <w:r/>
          </w:p>
        </w:tc>
        <w:tc>
          <w:tcPr>
            <w:tcW w:w="694" w:type="dxa"/>
            <w:vAlign w:val="top"/>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129"/>
              <w:spacing w:before="68" w:line="219" w:lineRule="auto"/>
              <w:rPr>
                <w:sz w:val="21"/>
                <w:szCs w:val="21"/>
              </w:rPr>
            </w:pPr>
            <w:r>
              <w:rPr>
                <w:sz w:val="21"/>
                <w:szCs w:val="21"/>
                <w:spacing w:val="-3"/>
              </w:rPr>
              <w:t>符合</w:t>
            </w:r>
          </w:p>
        </w:tc>
      </w:tr>
    </w:tbl>
    <w:p>
      <w:pPr>
        <w:pStyle w:val="BodyText"/>
        <w:rPr/>
      </w:pPr>
      <w:r/>
    </w:p>
    <w:p>
      <w:pPr>
        <w:sectPr>
          <w:headerReference w:type="default" r:id="rId60"/>
          <w:footerReference w:type="default" r:id="rId61"/>
          <w:pgSz w:w="11910" w:h="16840"/>
          <w:pgMar w:top="1207" w:right="1604" w:bottom="983" w:left="1584" w:header="915" w:footer="736" w:gutter="0"/>
        </w:sectPr>
        <w:rPr/>
      </w:pPr>
    </w:p>
    <w:p>
      <w:pPr>
        <w:spacing w:line="224" w:lineRule="exact"/>
        <w:rPr/>
      </w:pPr>
      <w:r/>
    </w:p>
    <w:tbl>
      <w:tblPr>
        <w:tblStyle w:val="TableNormal"/>
        <w:tblW w:w="8710" w:type="dxa"/>
        <w:tblInd w:w="104"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94"/>
        <w:gridCol w:w="769"/>
        <w:gridCol w:w="2937"/>
        <w:gridCol w:w="3226"/>
        <w:gridCol w:w="684"/>
      </w:tblGrid>
      <w:tr>
        <w:trPr>
          <w:trHeight w:val="295" w:hRule="atLeast"/>
        </w:trPr>
        <w:tc>
          <w:tcPr>
            <w:shd w:val="clear" w:fill="BDBDBD"/>
            <w:tcW w:w="1094" w:type="dxa"/>
            <w:vAlign w:val="top"/>
          </w:tcPr>
          <w:p>
            <w:pPr>
              <w:pStyle w:val="TableText"/>
              <w:ind w:left="318"/>
              <w:spacing w:before="40" w:line="215" w:lineRule="auto"/>
              <w:rPr>
                <w:sz w:val="21"/>
                <w:szCs w:val="21"/>
              </w:rPr>
            </w:pPr>
            <w:r>
              <w:rPr>
                <w:sz w:val="21"/>
                <w:szCs w:val="21"/>
                <w:b/>
                <w:bCs/>
                <w:spacing w:val="-5"/>
              </w:rPr>
              <w:t>文件</w:t>
            </w:r>
          </w:p>
        </w:tc>
        <w:tc>
          <w:tcPr>
            <w:shd w:val="clear" w:fill="BDBDBD"/>
            <w:tcW w:w="3706" w:type="dxa"/>
            <w:vAlign w:val="top"/>
            <w:gridSpan w:val="2"/>
          </w:tcPr>
          <w:p>
            <w:pPr>
              <w:pStyle w:val="TableText"/>
              <w:ind w:left="1414"/>
              <w:spacing w:before="41" w:line="214" w:lineRule="auto"/>
              <w:rPr>
                <w:sz w:val="21"/>
                <w:szCs w:val="21"/>
              </w:rPr>
            </w:pPr>
            <w:r>
              <w:rPr>
                <w:sz w:val="21"/>
                <w:szCs w:val="21"/>
                <w:b/>
                <w:bCs/>
                <w:spacing w:val="-4"/>
              </w:rPr>
              <w:t>相关规定</w:t>
            </w:r>
          </w:p>
        </w:tc>
        <w:tc>
          <w:tcPr>
            <w:shd w:val="clear" w:fill="BDBDBD"/>
            <w:tcW w:w="3226" w:type="dxa"/>
            <w:vAlign w:val="top"/>
          </w:tcPr>
          <w:p>
            <w:pPr>
              <w:pStyle w:val="TableText"/>
              <w:ind w:left="1288"/>
              <w:spacing w:before="39" w:line="216" w:lineRule="auto"/>
              <w:rPr>
                <w:sz w:val="21"/>
                <w:szCs w:val="21"/>
              </w:rPr>
            </w:pPr>
            <w:r>
              <w:rPr>
                <w:sz w:val="21"/>
                <w:szCs w:val="21"/>
                <w:b/>
                <w:bCs/>
                <w:spacing w:val="9"/>
              </w:rPr>
              <w:t>本项目</w:t>
            </w:r>
          </w:p>
        </w:tc>
        <w:tc>
          <w:tcPr>
            <w:shd w:val="clear" w:fill="BDBDBD"/>
            <w:tcW w:w="684" w:type="dxa"/>
            <w:vAlign w:val="top"/>
          </w:tcPr>
          <w:p>
            <w:pPr>
              <w:pStyle w:val="TableText"/>
              <w:ind w:left="21"/>
              <w:spacing w:before="40" w:line="215" w:lineRule="auto"/>
              <w:rPr>
                <w:sz w:val="21"/>
                <w:szCs w:val="21"/>
              </w:rPr>
            </w:pPr>
            <w:r>
              <w:rPr>
                <w:sz w:val="21"/>
                <w:szCs w:val="21"/>
                <w:b/>
                <w:bCs/>
                <w:spacing w:val="-5"/>
              </w:rPr>
              <w:t>符合性</w:t>
            </w:r>
          </w:p>
        </w:tc>
      </w:tr>
      <w:tr>
        <w:trPr>
          <w:trHeight w:val="1627" w:hRule="atLeast"/>
        </w:trPr>
        <w:tc>
          <w:tcPr>
            <w:tcW w:w="1094" w:type="dxa"/>
            <w:vAlign w:val="top"/>
            <w:vMerge w:val="restart"/>
            <w:tcBorders>
              <w:bottom w:val="nil"/>
            </w:tcBorders>
          </w:tcPr>
          <w:p>
            <w:pPr>
              <w:rPr>
                <w:rFonts w:ascii="Arial"/>
                <w:sz w:val="21"/>
              </w:rPr>
            </w:pPr>
            <w:r/>
          </w:p>
        </w:tc>
        <w:tc>
          <w:tcPr>
            <w:tcW w:w="769" w:type="dxa"/>
            <w:vAlign w:val="top"/>
            <w:vMerge w:val="restart"/>
            <w:tcBorders>
              <w:bottom w:val="nil"/>
            </w:tcBorders>
          </w:tcPr>
          <w:p>
            <w:pPr>
              <w:rPr>
                <w:rFonts w:ascii="Arial"/>
                <w:sz w:val="21"/>
              </w:rPr>
            </w:pPr>
            <w:r/>
          </w:p>
        </w:tc>
        <w:tc>
          <w:tcPr>
            <w:tcW w:w="2937" w:type="dxa"/>
            <w:vAlign w:val="top"/>
          </w:tcPr>
          <w:p>
            <w:pPr>
              <w:pStyle w:val="TableText"/>
              <w:ind w:left="11"/>
              <w:spacing w:before="18" w:line="219" w:lineRule="auto"/>
              <w:rPr>
                <w:sz w:val="21"/>
                <w:szCs w:val="21"/>
              </w:rPr>
            </w:pPr>
            <w:r>
              <w:rPr>
                <w:sz w:val="21"/>
                <w:szCs w:val="21"/>
                <w:spacing w:val="-1"/>
              </w:rPr>
              <w:t>厂(场)升级改造(包括改</w:t>
            </w:r>
          </w:p>
          <w:p>
            <w:pPr>
              <w:pStyle w:val="TableText"/>
              <w:ind w:left="11" w:right="276"/>
              <w:spacing w:before="41" w:line="230" w:lineRule="auto"/>
              <w:rPr>
                <w:sz w:val="21"/>
                <w:szCs w:val="21"/>
              </w:rPr>
            </w:pPr>
            <w:r>
              <w:rPr>
                <w:sz w:val="21"/>
                <w:szCs w:val="21"/>
                <w:spacing w:val="-1"/>
              </w:rPr>
              <w:t>建、扩建、迁建)为A级达标</w:t>
            </w:r>
            <w:r>
              <w:rPr>
                <w:sz w:val="21"/>
                <w:szCs w:val="21"/>
              </w:rPr>
              <w:t xml:space="preserve">  </w:t>
            </w:r>
            <w:r>
              <w:rPr>
                <w:sz w:val="21"/>
                <w:szCs w:val="21"/>
                <w:spacing w:val="1"/>
              </w:rPr>
              <w:t>企业，当地政府须压缩3个以</w:t>
            </w:r>
            <w:r>
              <w:rPr>
                <w:sz w:val="21"/>
                <w:szCs w:val="21"/>
              </w:rPr>
              <w:t xml:space="preserve"> </w:t>
            </w:r>
            <w:r>
              <w:rPr>
                <w:sz w:val="21"/>
                <w:szCs w:val="21"/>
                <w:spacing w:val="-1"/>
              </w:rPr>
              <w:t>上小型屠宰场；凡新建A级屠</w:t>
            </w:r>
            <w:r>
              <w:rPr>
                <w:sz w:val="21"/>
                <w:szCs w:val="21"/>
                <w:spacing w:val="2"/>
              </w:rPr>
              <w:t xml:space="preserve"> </w:t>
            </w:r>
            <w:r>
              <w:rPr>
                <w:sz w:val="21"/>
                <w:szCs w:val="21"/>
                <w:spacing w:val="1"/>
              </w:rPr>
              <w:t>宰厂，当地政府要压缩5个以</w:t>
            </w:r>
            <w:r>
              <w:rPr>
                <w:sz w:val="21"/>
                <w:szCs w:val="21"/>
              </w:rPr>
              <w:t xml:space="preserve"> </w:t>
            </w:r>
            <w:r>
              <w:rPr>
                <w:sz w:val="21"/>
                <w:szCs w:val="21"/>
                <w:spacing w:val="-1"/>
              </w:rPr>
              <w:t>上小型屠宰场。</w:t>
            </w:r>
          </w:p>
        </w:tc>
        <w:tc>
          <w:tcPr>
            <w:tcW w:w="3226" w:type="dxa"/>
            <w:vAlign w:val="top"/>
          </w:tcPr>
          <w:p>
            <w:pPr>
              <w:rPr>
                <w:rFonts w:ascii="Arial"/>
                <w:sz w:val="21"/>
              </w:rPr>
            </w:pPr>
            <w:r/>
          </w:p>
        </w:tc>
        <w:tc>
          <w:tcPr>
            <w:tcW w:w="684" w:type="dxa"/>
            <w:vAlign w:val="top"/>
          </w:tcPr>
          <w:p>
            <w:pPr>
              <w:rPr>
                <w:rFonts w:ascii="Arial"/>
                <w:sz w:val="21"/>
              </w:rPr>
            </w:pPr>
            <w:r/>
          </w:p>
        </w:tc>
      </w:tr>
      <w:tr>
        <w:trPr>
          <w:trHeight w:val="2716" w:hRule="atLeast"/>
        </w:trPr>
        <w:tc>
          <w:tcPr>
            <w:tcW w:w="1094"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2937" w:type="dxa"/>
            <w:vAlign w:val="top"/>
          </w:tcPr>
          <w:p>
            <w:pPr>
              <w:pStyle w:val="TableText"/>
              <w:ind w:left="11" w:right="68"/>
              <w:spacing w:before="181" w:line="221" w:lineRule="auto"/>
              <w:rPr>
                <w:sz w:val="21"/>
                <w:szCs w:val="21"/>
              </w:rPr>
            </w:pPr>
            <w:r>
              <w:rPr>
                <w:sz w:val="21"/>
                <w:szCs w:val="21"/>
              </w:rPr>
              <w:t>3、新建或改扩建生猪定点屠宰</w:t>
            </w:r>
            <w:r>
              <w:rPr>
                <w:sz w:val="21"/>
                <w:szCs w:val="21"/>
                <w:spacing w:val="10"/>
              </w:rPr>
              <w:t xml:space="preserve"> </w:t>
            </w:r>
            <w:r>
              <w:rPr>
                <w:sz w:val="21"/>
                <w:szCs w:val="21"/>
              </w:rPr>
              <w:t>厂(场)和小型屠宰场点要依</w:t>
            </w:r>
          </w:p>
          <w:p>
            <w:pPr>
              <w:pStyle w:val="TableText"/>
              <w:ind w:left="11" w:right="173"/>
              <w:spacing w:before="34" w:line="234" w:lineRule="auto"/>
              <w:rPr>
                <w:sz w:val="21"/>
                <w:szCs w:val="21"/>
              </w:rPr>
            </w:pPr>
            <w:r>
              <w:rPr>
                <w:sz w:val="21"/>
                <w:szCs w:val="21"/>
              </w:rPr>
              <w:t>法开展环境影响评价，不得在</w:t>
            </w:r>
            <w:r>
              <w:rPr>
                <w:sz w:val="21"/>
                <w:szCs w:val="21"/>
                <w:spacing w:val="10"/>
              </w:rPr>
              <w:t xml:space="preserve"> </w:t>
            </w:r>
            <w:r>
              <w:rPr>
                <w:sz w:val="21"/>
                <w:szCs w:val="21"/>
                <w:spacing w:val="-1"/>
              </w:rPr>
              <w:t>下列区域设置定点屠宰企业：</w:t>
            </w:r>
          </w:p>
          <w:p>
            <w:pPr>
              <w:pStyle w:val="TableText"/>
              <w:ind w:left="11" w:right="168"/>
              <w:spacing w:before="2" w:line="238" w:lineRule="auto"/>
              <w:jc w:val="both"/>
              <w:rPr>
                <w:sz w:val="21"/>
                <w:szCs w:val="21"/>
              </w:rPr>
            </w:pPr>
            <w:r>
              <w:rPr>
                <w:sz w:val="21"/>
                <w:szCs w:val="21"/>
                <w:spacing w:val="1"/>
              </w:rPr>
              <w:t>饮用水水源保护区、自然保护 </w:t>
            </w:r>
            <w:r>
              <w:rPr>
                <w:sz w:val="21"/>
                <w:szCs w:val="21"/>
              </w:rPr>
              <w:t>区、人口密集区以及其他需要</w:t>
            </w:r>
            <w:r>
              <w:rPr>
                <w:sz w:val="21"/>
                <w:szCs w:val="21"/>
                <w:spacing w:val="9"/>
              </w:rPr>
              <w:t xml:space="preserve"> </w:t>
            </w:r>
            <w:r>
              <w:rPr>
                <w:sz w:val="21"/>
                <w:szCs w:val="21"/>
                <w:spacing w:val="-1"/>
              </w:rPr>
              <w:t>特殊保护的区域，大气污染严</w:t>
            </w:r>
            <w:r>
              <w:rPr>
                <w:sz w:val="21"/>
                <w:szCs w:val="21"/>
                <w:spacing w:val="3"/>
              </w:rPr>
              <w:t xml:space="preserve"> </w:t>
            </w:r>
            <w:r>
              <w:rPr>
                <w:sz w:val="21"/>
                <w:szCs w:val="21"/>
                <w:spacing w:val="1"/>
              </w:rPr>
              <w:t>重区以及其他需要重点回避的</w:t>
            </w:r>
            <w:r>
              <w:rPr>
                <w:sz w:val="21"/>
                <w:szCs w:val="21"/>
                <w:spacing w:val="2"/>
              </w:rPr>
              <w:t xml:space="preserve"> </w:t>
            </w:r>
            <w:r>
              <w:rPr>
                <w:sz w:val="21"/>
                <w:szCs w:val="21"/>
                <w:spacing w:val="-2"/>
              </w:rPr>
              <w:t>区域。</w:t>
            </w:r>
          </w:p>
        </w:tc>
        <w:tc>
          <w:tcPr>
            <w:tcW w:w="3226" w:type="dxa"/>
            <w:vAlign w:val="top"/>
          </w:tcPr>
          <w:p>
            <w:pPr>
              <w:pStyle w:val="TableText"/>
              <w:ind w:left="14" w:right="34"/>
              <w:spacing w:before="53" w:line="234" w:lineRule="auto"/>
              <w:rPr>
                <w:sz w:val="21"/>
                <w:szCs w:val="21"/>
              </w:rPr>
            </w:pPr>
            <w:r>
              <w:rPr>
                <w:sz w:val="21"/>
                <w:szCs w:val="21"/>
                <w:spacing w:val="-1"/>
              </w:rPr>
              <w:t>本项目为改扩建项目，正在开展环</w:t>
            </w:r>
            <w:r>
              <w:rPr>
                <w:sz w:val="21"/>
                <w:szCs w:val="21"/>
                <w:spacing w:val="4"/>
              </w:rPr>
              <w:t xml:space="preserve"> </w:t>
            </w:r>
            <w:r>
              <w:rPr>
                <w:sz w:val="21"/>
                <w:szCs w:val="21"/>
                <w:spacing w:val="-1"/>
              </w:rPr>
              <w:t>境影响评价工作，本项目不涉及饮</w:t>
            </w:r>
            <w:r>
              <w:rPr>
                <w:sz w:val="21"/>
                <w:szCs w:val="21"/>
                <w:spacing w:val="4"/>
              </w:rPr>
              <w:t xml:space="preserve"> </w:t>
            </w:r>
            <w:r>
              <w:rPr>
                <w:sz w:val="21"/>
                <w:szCs w:val="21"/>
                <w:spacing w:val="-1"/>
              </w:rPr>
              <w:t>用水水源保护区、自然保护区、人</w:t>
            </w:r>
            <w:r>
              <w:rPr>
                <w:sz w:val="21"/>
                <w:szCs w:val="21"/>
                <w:spacing w:val="4"/>
              </w:rPr>
              <w:t xml:space="preserve"> </w:t>
            </w:r>
            <w:r>
              <w:rPr>
                <w:sz w:val="21"/>
                <w:szCs w:val="21"/>
                <w:spacing w:val="1"/>
              </w:rPr>
              <w:t>口密集区以及其他需要特殊保护的</w:t>
            </w:r>
            <w:r>
              <w:rPr>
                <w:sz w:val="21"/>
                <w:szCs w:val="21"/>
              </w:rPr>
              <w:t xml:space="preserve"> </w:t>
            </w:r>
            <w:r>
              <w:rPr>
                <w:sz w:val="21"/>
                <w:szCs w:val="21"/>
                <w:spacing w:val="-1"/>
              </w:rPr>
              <w:t>区域，周边主要以工业企业为主，</w:t>
            </w:r>
            <w:r>
              <w:rPr>
                <w:sz w:val="21"/>
                <w:szCs w:val="21"/>
                <w:spacing w:val="8"/>
              </w:rPr>
              <w:t xml:space="preserve"> </w:t>
            </w:r>
            <w:r>
              <w:rPr>
                <w:sz w:val="21"/>
                <w:szCs w:val="21"/>
                <w:spacing w:val="-1"/>
              </w:rPr>
              <w:t>各企业经采取措施后均能达标排</w:t>
            </w:r>
          </w:p>
          <w:p>
            <w:pPr>
              <w:pStyle w:val="TableText"/>
              <w:ind w:left="14" w:right="39"/>
              <w:spacing w:before="22" w:line="227" w:lineRule="auto"/>
              <w:rPr>
                <w:sz w:val="21"/>
                <w:szCs w:val="21"/>
              </w:rPr>
            </w:pPr>
            <w:r>
              <w:rPr>
                <w:sz w:val="21"/>
                <w:szCs w:val="21"/>
                <w:spacing w:val="-1"/>
              </w:rPr>
              <w:t>放，根据现场监测，项目所在区域</w:t>
            </w:r>
            <w:r>
              <w:rPr>
                <w:sz w:val="21"/>
                <w:szCs w:val="21"/>
                <w:spacing w:val="5"/>
              </w:rPr>
              <w:t xml:space="preserve"> </w:t>
            </w:r>
            <w:r>
              <w:rPr>
                <w:sz w:val="21"/>
                <w:szCs w:val="21"/>
                <w:spacing w:val="-1"/>
              </w:rPr>
              <w:t>环境空气质量良好，有一定的环境</w:t>
            </w:r>
            <w:r>
              <w:rPr>
                <w:sz w:val="21"/>
                <w:szCs w:val="21"/>
                <w:spacing w:val="5"/>
              </w:rPr>
              <w:t xml:space="preserve"> </w:t>
            </w:r>
            <w:r>
              <w:rPr>
                <w:sz w:val="21"/>
                <w:szCs w:val="21"/>
              </w:rPr>
              <w:t>容量，不属于大气污染严重区以及</w:t>
            </w:r>
            <w:r>
              <w:rPr>
                <w:sz w:val="21"/>
                <w:szCs w:val="21"/>
                <w:spacing w:val="10"/>
              </w:rPr>
              <w:t xml:space="preserve"> </w:t>
            </w:r>
            <w:r>
              <w:rPr>
                <w:sz w:val="21"/>
                <w:szCs w:val="21"/>
                <w:spacing w:val="-1"/>
              </w:rPr>
              <w:t>其他需要重点回避的区域。</w:t>
            </w:r>
          </w:p>
        </w:tc>
        <w:tc>
          <w:tcPr>
            <w:tcW w:w="684" w:type="dxa"/>
            <w:vAlign w:val="top"/>
          </w:tcPr>
          <w:p>
            <w:pPr>
              <w:spacing w:line="296" w:lineRule="auto"/>
              <w:rPr>
                <w:rFonts w:ascii="Arial"/>
                <w:sz w:val="21"/>
              </w:rPr>
            </w:pPr>
            <w:r/>
          </w:p>
          <w:p>
            <w:pPr>
              <w:spacing w:line="296" w:lineRule="auto"/>
              <w:rPr>
                <w:rFonts w:ascii="Arial"/>
                <w:sz w:val="21"/>
              </w:rPr>
            </w:pPr>
            <w:r/>
          </w:p>
          <w:p>
            <w:pPr>
              <w:spacing w:line="297" w:lineRule="auto"/>
              <w:rPr>
                <w:rFonts w:ascii="Arial"/>
                <w:sz w:val="21"/>
              </w:rPr>
            </w:pPr>
            <w:r/>
          </w:p>
          <w:p>
            <w:pPr>
              <w:spacing w:line="297" w:lineRule="auto"/>
              <w:rPr>
                <w:rFonts w:ascii="Arial"/>
                <w:sz w:val="21"/>
              </w:rPr>
            </w:pPr>
            <w:r/>
          </w:p>
          <w:p>
            <w:pPr>
              <w:pStyle w:val="TableText"/>
              <w:ind w:left="129"/>
              <w:spacing w:before="68" w:line="219" w:lineRule="auto"/>
              <w:rPr>
                <w:sz w:val="21"/>
                <w:szCs w:val="21"/>
              </w:rPr>
            </w:pPr>
            <w:r>
              <w:rPr>
                <w:sz w:val="21"/>
                <w:szCs w:val="21"/>
                <w:spacing w:val="-3"/>
              </w:rPr>
              <w:t>符合</w:t>
            </w:r>
          </w:p>
        </w:tc>
      </w:tr>
      <w:tr>
        <w:trPr>
          <w:trHeight w:val="2461" w:hRule="atLeast"/>
        </w:trPr>
        <w:tc>
          <w:tcPr>
            <w:tcW w:w="1094" w:type="dxa"/>
            <w:vAlign w:val="top"/>
            <w:vMerge w:val="continue"/>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937" w:type="dxa"/>
            <w:vAlign w:val="top"/>
          </w:tcPr>
          <w:p>
            <w:pPr>
              <w:pStyle w:val="TableText"/>
              <w:ind w:left="11" w:right="167"/>
              <w:spacing w:before="37"/>
              <w:rPr>
                <w:sz w:val="21"/>
                <w:szCs w:val="21"/>
              </w:rPr>
            </w:pPr>
            <w:r>
              <w:rPr>
                <w:sz w:val="21"/>
                <w:szCs w:val="21"/>
                <w:spacing w:val="-1"/>
              </w:rPr>
              <w:t>4、生猪定点屠宰厂(场)要严</w:t>
            </w:r>
            <w:r>
              <w:rPr>
                <w:sz w:val="21"/>
                <w:szCs w:val="21"/>
                <w:spacing w:val="2"/>
              </w:rPr>
              <w:t xml:space="preserve">  </w:t>
            </w:r>
            <w:r>
              <w:rPr>
                <w:sz w:val="21"/>
                <w:szCs w:val="21"/>
                <w:spacing w:val="1"/>
              </w:rPr>
              <w:t>格按照国家标准建设改造，原</w:t>
            </w:r>
            <w:r>
              <w:rPr>
                <w:sz w:val="21"/>
                <w:szCs w:val="21"/>
                <w:spacing w:val="3"/>
              </w:rPr>
              <w:t xml:space="preserve"> </w:t>
            </w:r>
            <w:r>
              <w:rPr>
                <w:sz w:val="21"/>
                <w:szCs w:val="21"/>
                <w:spacing w:val="-1"/>
              </w:rPr>
              <w:t>则上应达到A级资质要求；各</w:t>
            </w:r>
            <w:r>
              <w:rPr>
                <w:sz w:val="21"/>
                <w:szCs w:val="21"/>
              </w:rPr>
              <w:t xml:space="preserve">  </w:t>
            </w:r>
            <w:r>
              <w:rPr>
                <w:sz w:val="21"/>
                <w:szCs w:val="21"/>
                <w:spacing w:val="1"/>
              </w:rPr>
              <w:t>县市区政府所在地的生猪屠宰</w:t>
            </w:r>
            <w:r>
              <w:rPr>
                <w:sz w:val="21"/>
                <w:szCs w:val="21"/>
                <w:spacing w:val="2"/>
              </w:rPr>
              <w:t xml:space="preserve"> </w:t>
            </w:r>
            <w:r>
              <w:rPr>
                <w:sz w:val="21"/>
                <w:szCs w:val="21"/>
              </w:rPr>
              <w:t>厂(场)要力争达到A级资</w:t>
            </w:r>
          </w:p>
          <w:p>
            <w:pPr>
              <w:pStyle w:val="TableText"/>
              <w:ind w:left="11"/>
              <w:spacing w:before="3" w:line="219" w:lineRule="auto"/>
              <w:rPr>
                <w:sz w:val="21"/>
                <w:szCs w:val="21"/>
              </w:rPr>
            </w:pPr>
            <w:r>
              <w:rPr>
                <w:sz w:val="21"/>
                <w:szCs w:val="21"/>
                <w:spacing w:val="1"/>
              </w:rPr>
              <w:t>质；各乡镇现有生猪屠宰厂</w:t>
            </w:r>
          </w:p>
          <w:p>
            <w:pPr>
              <w:pStyle w:val="TableText"/>
              <w:ind w:left="11" w:right="191" w:firstLine="90"/>
              <w:spacing w:before="21" w:line="227" w:lineRule="auto"/>
              <w:rPr>
                <w:sz w:val="21"/>
                <w:szCs w:val="21"/>
              </w:rPr>
            </w:pPr>
            <w:r>
              <w:rPr>
                <w:sz w:val="21"/>
                <w:szCs w:val="21"/>
              </w:rPr>
              <w:t>(场)应按照小型屠宰点标准</w:t>
            </w:r>
            <w:r>
              <w:rPr>
                <w:sz w:val="21"/>
                <w:szCs w:val="21"/>
                <w:spacing w:val="4"/>
              </w:rPr>
              <w:t xml:space="preserve">  </w:t>
            </w:r>
            <w:r>
              <w:rPr>
                <w:sz w:val="21"/>
                <w:szCs w:val="21"/>
                <w:spacing w:val="-1"/>
              </w:rPr>
              <w:t>进行改造建设；村社和街道办</w:t>
            </w:r>
            <w:r>
              <w:rPr>
                <w:sz w:val="21"/>
                <w:szCs w:val="21"/>
                <w:spacing w:val="5"/>
              </w:rPr>
              <w:t xml:space="preserve"> </w:t>
            </w:r>
            <w:r>
              <w:rPr>
                <w:sz w:val="21"/>
                <w:szCs w:val="21"/>
                <w:spacing w:val="-1"/>
              </w:rPr>
              <w:t>屠宰场点全部予以关停。</w:t>
            </w:r>
          </w:p>
        </w:tc>
        <w:tc>
          <w:tcPr>
            <w:tcW w:w="3226" w:type="dxa"/>
            <w:vAlign w:val="top"/>
          </w:tcPr>
          <w:p>
            <w:pPr>
              <w:spacing w:line="255" w:lineRule="auto"/>
              <w:rPr>
                <w:rFonts w:ascii="Arial"/>
                <w:sz w:val="21"/>
              </w:rPr>
            </w:pPr>
            <w:r/>
          </w:p>
          <w:p>
            <w:pPr>
              <w:pStyle w:val="TableText"/>
              <w:ind w:left="14" w:right="167"/>
              <w:spacing w:before="68" w:line="230" w:lineRule="auto"/>
              <w:rPr>
                <w:sz w:val="21"/>
                <w:szCs w:val="21"/>
              </w:rPr>
            </w:pPr>
            <w:r>
              <w:rPr>
                <w:sz w:val="21"/>
                <w:szCs w:val="21"/>
                <w:spacing w:val="-1"/>
              </w:rPr>
              <w:t>绵阳柒鑫食品有限公司于2019年5</w:t>
            </w:r>
            <w:r>
              <w:rPr>
                <w:sz w:val="21"/>
                <w:szCs w:val="21"/>
                <w:spacing w:val="4"/>
              </w:rPr>
              <w:t xml:space="preserve"> </w:t>
            </w:r>
            <w:r>
              <w:rPr>
                <w:sz w:val="21"/>
                <w:szCs w:val="21"/>
              </w:rPr>
              <w:t>月31日取得了由绵阳市人民政府</w:t>
            </w:r>
          </w:p>
          <w:p>
            <w:pPr>
              <w:pStyle w:val="TableText"/>
              <w:ind w:left="14" w:right="142"/>
              <w:spacing w:before="6" w:line="242" w:lineRule="auto"/>
              <w:rPr>
                <w:sz w:val="21"/>
                <w:szCs w:val="21"/>
              </w:rPr>
            </w:pPr>
            <w:r>
              <w:rPr>
                <w:sz w:val="21"/>
                <w:szCs w:val="21"/>
              </w:rPr>
              <w:t>颁发的《生猪定点屠宰证》(定点</w:t>
            </w:r>
            <w:r>
              <w:rPr>
                <w:sz w:val="21"/>
                <w:szCs w:val="21"/>
                <w:spacing w:val="12"/>
              </w:rPr>
              <w:t xml:space="preserve"> </w:t>
            </w:r>
            <w:r>
              <w:rPr>
                <w:sz w:val="21"/>
                <w:szCs w:val="21"/>
                <w:spacing w:val="1"/>
              </w:rPr>
              <w:t>屠宰代码：A29030601),本项目</w:t>
            </w:r>
          </w:p>
          <w:p>
            <w:pPr>
              <w:pStyle w:val="TableText"/>
              <w:ind w:left="14" w:right="58"/>
              <w:spacing w:before="2" w:line="238" w:lineRule="auto"/>
              <w:rPr>
                <w:sz w:val="21"/>
                <w:szCs w:val="21"/>
              </w:rPr>
            </w:pPr>
            <w:r>
              <w:rPr>
                <w:sz w:val="21"/>
                <w:szCs w:val="21"/>
                <w:spacing w:val="-1"/>
              </w:rPr>
              <w:t>为改扩建项目，建成后生猪屠宰规</w:t>
            </w:r>
            <w:r>
              <w:rPr>
                <w:sz w:val="21"/>
                <w:szCs w:val="21"/>
                <w:spacing w:val="3"/>
              </w:rPr>
              <w:t xml:space="preserve"> </w:t>
            </w:r>
            <w:r>
              <w:rPr>
                <w:sz w:val="21"/>
                <w:szCs w:val="21"/>
                <w:spacing w:val="-1"/>
              </w:rPr>
              <w:t>模由7.8万头/年提升至屠宰生猪40</w:t>
            </w:r>
            <w:r>
              <w:rPr>
                <w:sz w:val="21"/>
                <w:szCs w:val="21"/>
                <w:spacing w:val="9"/>
              </w:rPr>
              <w:t xml:space="preserve"> </w:t>
            </w:r>
            <w:r>
              <w:rPr>
                <w:sz w:val="21"/>
                <w:szCs w:val="21"/>
                <w:spacing w:val="-1"/>
              </w:rPr>
              <w:t>万头/年，肉牛4万头/年。</w:t>
            </w:r>
          </w:p>
        </w:tc>
        <w:tc>
          <w:tcPr>
            <w:tcW w:w="684" w:type="dxa"/>
            <w:vAlign w:val="top"/>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pStyle w:val="TableText"/>
              <w:ind w:left="129"/>
              <w:spacing w:before="68" w:line="219" w:lineRule="auto"/>
              <w:rPr>
                <w:sz w:val="21"/>
                <w:szCs w:val="21"/>
              </w:rPr>
            </w:pPr>
            <w:r>
              <w:rPr>
                <w:sz w:val="21"/>
                <w:szCs w:val="21"/>
                <w:spacing w:val="-3"/>
              </w:rPr>
              <w:t>符合</w:t>
            </w:r>
          </w:p>
        </w:tc>
      </w:tr>
    </w:tbl>
    <w:p>
      <w:pPr>
        <w:ind w:left="328" w:right="346" w:firstLine="470"/>
        <w:spacing w:before="50" w:line="330" w:lineRule="auto"/>
        <w:rPr>
          <w:rFonts w:ascii="SimSun" w:hAnsi="SimSun" w:eastAsia="SimSun" w:cs="SimSun"/>
          <w:sz w:val="25"/>
          <w:szCs w:val="25"/>
        </w:rPr>
      </w:pPr>
      <w:r>
        <w:rPr>
          <w:rFonts w:ascii="SimSun" w:hAnsi="SimSun" w:eastAsia="SimSun" w:cs="SimSun"/>
          <w:sz w:val="26"/>
          <w:szCs w:val="26"/>
          <w:b/>
          <w:bCs/>
          <w:spacing w:val="-3"/>
        </w:rPr>
        <w:t>5、与《生猪定点屠宰厂(场)资质等级要求》(SB/T10396-20</w:t>
      </w:r>
      <w:r>
        <w:rPr>
          <w:rFonts w:ascii="SimSun" w:hAnsi="SimSun" w:eastAsia="SimSun" w:cs="SimSun"/>
          <w:sz w:val="26"/>
          <w:szCs w:val="26"/>
          <w:b/>
          <w:bCs/>
          <w:spacing w:val="-4"/>
        </w:rPr>
        <w:t>11)中“A</w:t>
      </w:r>
      <w:r>
        <w:rPr>
          <w:rFonts w:ascii="SimSun" w:hAnsi="SimSun" w:eastAsia="SimSun" w:cs="SimSun"/>
          <w:sz w:val="26"/>
          <w:szCs w:val="26"/>
        </w:rPr>
        <w:t xml:space="preserve"> </w:t>
      </w:r>
      <w:r>
        <w:rPr>
          <w:rFonts w:ascii="SimSun" w:hAnsi="SimSun" w:eastAsia="SimSun" w:cs="SimSun"/>
          <w:sz w:val="25"/>
          <w:szCs w:val="25"/>
          <w:b/>
          <w:bCs/>
          <w:spacing w:val="-1"/>
        </w:rPr>
        <w:t>生猪定点屠宰厂(场)资质等级要求”符合性分析</w:t>
      </w:r>
    </w:p>
    <w:p>
      <w:pPr>
        <w:ind w:left="1008"/>
        <w:spacing w:before="17" w:line="219" w:lineRule="auto"/>
        <w:rPr>
          <w:rFonts w:ascii="SimSun" w:hAnsi="SimSun" w:eastAsia="SimSun" w:cs="SimSun"/>
          <w:sz w:val="25"/>
          <w:szCs w:val="25"/>
        </w:rPr>
      </w:pPr>
      <w:r>
        <w:rPr>
          <w:rFonts w:ascii="SimSun" w:hAnsi="SimSun" w:eastAsia="SimSun" w:cs="SimSun"/>
          <w:sz w:val="25"/>
          <w:szCs w:val="25"/>
          <w:b/>
          <w:bCs/>
          <w:spacing w:val="-3"/>
        </w:rPr>
        <w:t>表1.4-8本项目与A生猪定点屠宰厂(场)资质等级要求符合性分析</w:t>
      </w:r>
    </w:p>
    <w:p>
      <w:pPr>
        <w:spacing w:line="35" w:lineRule="auto"/>
        <w:rPr>
          <w:rFonts w:ascii="Arial"/>
          <w:sz w:val="2"/>
        </w:rPr>
      </w:pPr>
      <w:r>
        <w:rPr>
          <w:rFonts w:ascii="Arial"/>
          <w:sz w:val="2"/>
        </w:rPr>
      </w:r>
    </w:p>
    <w:tbl>
      <w:tblPr>
        <w:tblStyle w:val="TableNormal"/>
        <w:tblW w:w="89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63"/>
        <w:gridCol w:w="799"/>
        <w:gridCol w:w="3007"/>
        <w:gridCol w:w="3126"/>
        <w:gridCol w:w="724"/>
      </w:tblGrid>
      <w:tr>
        <w:trPr>
          <w:trHeight w:val="275" w:hRule="atLeast"/>
        </w:trPr>
        <w:tc>
          <w:tcPr>
            <w:shd w:val="clear" w:fill="BDBDBD"/>
            <w:tcW w:w="1263" w:type="dxa"/>
            <w:vAlign w:val="top"/>
          </w:tcPr>
          <w:p>
            <w:pPr>
              <w:pStyle w:val="TableText"/>
              <w:ind w:left="417"/>
              <w:spacing w:before="30" w:line="206" w:lineRule="auto"/>
              <w:rPr>
                <w:sz w:val="21"/>
                <w:szCs w:val="21"/>
              </w:rPr>
            </w:pPr>
            <w:r>
              <w:rPr>
                <w:sz w:val="21"/>
                <w:szCs w:val="21"/>
                <w:b/>
                <w:bCs/>
                <w:spacing w:val="-5"/>
              </w:rPr>
              <w:t>文件</w:t>
            </w:r>
          </w:p>
        </w:tc>
        <w:tc>
          <w:tcPr>
            <w:shd w:val="clear" w:fill="BDBDBD"/>
            <w:tcW w:w="3806" w:type="dxa"/>
            <w:vAlign w:val="top"/>
            <w:gridSpan w:val="2"/>
          </w:tcPr>
          <w:p>
            <w:pPr>
              <w:pStyle w:val="TableText"/>
              <w:ind w:left="1454"/>
              <w:spacing w:before="31" w:line="205" w:lineRule="auto"/>
              <w:rPr>
                <w:sz w:val="21"/>
                <w:szCs w:val="21"/>
              </w:rPr>
            </w:pPr>
            <w:r>
              <w:rPr>
                <w:sz w:val="21"/>
                <w:szCs w:val="21"/>
                <w:b/>
                <w:bCs/>
                <w:spacing w:val="-4"/>
              </w:rPr>
              <w:t>相关规定</w:t>
            </w:r>
          </w:p>
        </w:tc>
        <w:tc>
          <w:tcPr>
            <w:shd w:val="clear" w:fill="BDBDBD"/>
            <w:tcW w:w="3126" w:type="dxa"/>
            <w:vAlign w:val="top"/>
          </w:tcPr>
          <w:p>
            <w:pPr>
              <w:pStyle w:val="TableText"/>
              <w:ind w:left="1218"/>
              <w:spacing w:before="29" w:line="207" w:lineRule="auto"/>
              <w:rPr>
                <w:sz w:val="21"/>
                <w:szCs w:val="21"/>
              </w:rPr>
            </w:pPr>
            <w:r>
              <w:rPr>
                <w:sz w:val="21"/>
                <w:szCs w:val="21"/>
                <w:b/>
                <w:bCs/>
                <w:spacing w:val="9"/>
              </w:rPr>
              <w:t>本项目</w:t>
            </w:r>
          </w:p>
        </w:tc>
        <w:tc>
          <w:tcPr>
            <w:shd w:val="clear" w:fill="BDBDBD"/>
            <w:tcW w:w="724" w:type="dxa"/>
            <w:vAlign w:val="top"/>
          </w:tcPr>
          <w:p>
            <w:pPr>
              <w:pStyle w:val="TableText"/>
              <w:ind w:left="42"/>
              <w:spacing w:before="30" w:line="206" w:lineRule="auto"/>
              <w:rPr>
                <w:sz w:val="21"/>
                <w:szCs w:val="21"/>
              </w:rPr>
            </w:pPr>
            <w:r>
              <w:rPr>
                <w:sz w:val="21"/>
                <w:szCs w:val="21"/>
                <w:b/>
                <w:bCs/>
                <w:spacing w:val="-5"/>
              </w:rPr>
              <w:t>符合性</w:t>
            </w:r>
          </w:p>
        </w:tc>
      </w:tr>
      <w:tr>
        <w:trPr>
          <w:trHeight w:val="5165" w:hRule="atLeast"/>
        </w:trPr>
        <w:tc>
          <w:tcPr>
            <w:tcW w:w="1263"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42"/>
              <w:spacing w:before="68" w:line="220" w:lineRule="auto"/>
              <w:rPr>
                <w:sz w:val="21"/>
                <w:szCs w:val="21"/>
              </w:rPr>
            </w:pPr>
            <w:r>
              <w:rPr>
                <w:sz w:val="21"/>
                <w:szCs w:val="21"/>
                <w:b/>
                <w:bCs/>
                <w:spacing w:val="-3"/>
              </w:rPr>
              <w:t>《生猪定点</w:t>
            </w:r>
          </w:p>
          <w:p>
            <w:pPr>
              <w:pStyle w:val="TableText"/>
              <w:ind w:left="307"/>
              <w:spacing w:before="19" w:line="219" w:lineRule="auto"/>
              <w:rPr>
                <w:sz w:val="21"/>
                <w:szCs w:val="21"/>
              </w:rPr>
            </w:pPr>
            <w:r>
              <w:rPr>
                <w:sz w:val="21"/>
                <w:szCs w:val="21"/>
                <w:b/>
                <w:bCs/>
                <w:spacing w:val="-5"/>
              </w:rPr>
              <w:t>屠宰厂</w:t>
            </w:r>
          </w:p>
          <w:p>
            <w:pPr>
              <w:pStyle w:val="TableText"/>
              <w:ind w:left="207"/>
              <w:spacing w:before="21" w:line="220" w:lineRule="auto"/>
              <w:rPr>
                <w:sz w:val="21"/>
                <w:szCs w:val="21"/>
              </w:rPr>
            </w:pPr>
            <w:r>
              <w:rPr>
                <w:sz w:val="21"/>
                <w:szCs w:val="21"/>
                <w:b/>
                <w:bCs/>
                <w:spacing w:val="1"/>
              </w:rPr>
              <w:t>(场)资质</w:t>
            </w:r>
          </w:p>
          <w:p>
            <w:pPr>
              <w:pStyle w:val="TableText"/>
              <w:ind w:left="147"/>
              <w:spacing w:before="19" w:line="219" w:lineRule="auto"/>
              <w:rPr>
                <w:sz w:val="21"/>
                <w:szCs w:val="21"/>
              </w:rPr>
            </w:pPr>
            <w:r>
              <w:rPr>
                <w:sz w:val="21"/>
                <w:szCs w:val="21"/>
                <w:b/>
                <w:bCs/>
                <w:spacing w:val="-6"/>
              </w:rPr>
              <w:t>等级要求》</w:t>
            </w:r>
          </w:p>
          <w:p>
            <w:pPr>
              <w:pStyle w:val="TableText"/>
              <w:ind w:left="47"/>
              <w:spacing w:before="34" w:line="222" w:lineRule="auto"/>
              <w:rPr>
                <w:sz w:val="21"/>
                <w:szCs w:val="21"/>
              </w:rPr>
            </w:pPr>
            <w:r>
              <w:rPr>
                <w:sz w:val="21"/>
                <w:szCs w:val="21"/>
                <w:b/>
                <w:bCs/>
                <w:spacing w:val="-6"/>
              </w:rPr>
              <w:t>(SB/T10396-</w:t>
            </w:r>
          </w:p>
          <w:p>
            <w:pPr>
              <w:pStyle w:val="TableText"/>
              <w:ind w:left="357"/>
              <w:spacing w:before="47" w:line="222" w:lineRule="auto"/>
              <w:rPr>
                <w:sz w:val="21"/>
                <w:szCs w:val="21"/>
              </w:rPr>
            </w:pPr>
            <w:r>
              <w:rPr>
                <w:sz w:val="21"/>
                <w:szCs w:val="21"/>
                <w:b/>
                <w:bCs/>
                <w:spacing w:val="-4"/>
              </w:rPr>
              <w:t>2011)</w:t>
            </w:r>
          </w:p>
        </w:tc>
        <w:tc>
          <w:tcPr>
            <w:tcW w:w="799"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121"/>
              <w:spacing w:before="68" w:line="220" w:lineRule="auto"/>
              <w:rPr>
                <w:sz w:val="21"/>
                <w:szCs w:val="21"/>
              </w:rPr>
            </w:pPr>
            <w:r>
              <w:rPr>
                <w:sz w:val="21"/>
                <w:szCs w:val="21"/>
                <w:spacing w:val="-1"/>
              </w:rPr>
              <w:t>A生猪</w:t>
            </w:r>
          </w:p>
          <w:p>
            <w:pPr>
              <w:pStyle w:val="TableText"/>
              <w:ind w:left="71"/>
              <w:spacing w:before="29" w:line="220" w:lineRule="auto"/>
              <w:rPr>
                <w:sz w:val="21"/>
                <w:szCs w:val="21"/>
              </w:rPr>
            </w:pPr>
            <w:r>
              <w:rPr>
                <w:sz w:val="21"/>
                <w:szCs w:val="21"/>
                <w:spacing w:val="3"/>
              </w:rPr>
              <w:t>定点屠</w:t>
            </w:r>
          </w:p>
          <w:p>
            <w:pPr>
              <w:pStyle w:val="TableText"/>
              <w:ind w:left="181"/>
              <w:spacing w:before="19" w:line="219" w:lineRule="auto"/>
              <w:rPr>
                <w:sz w:val="21"/>
                <w:szCs w:val="21"/>
              </w:rPr>
            </w:pPr>
            <w:r>
              <w:rPr>
                <w:sz w:val="21"/>
                <w:szCs w:val="21"/>
                <w:spacing w:val="6"/>
              </w:rPr>
              <w:t>宰厂</w:t>
            </w:r>
          </w:p>
          <w:p>
            <w:pPr>
              <w:pStyle w:val="TableText"/>
              <w:ind w:left="181"/>
              <w:spacing w:before="21" w:line="220" w:lineRule="auto"/>
              <w:rPr>
                <w:sz w:val="21"/>
                <w:szCs w:val="21"/>
              </w:rPr>
            </w:pPr>
            <w:r>
              <w:rPr>
                <w:sz w:val="21"/>
                <w:szCs w:val="21"/>
                <w:spacing w:val="15"/>
              </w:rPr>
              <w:t>(场)</w:t>
            </w:r>
          </w:p>
          <w:p>
            <w:pPr>
              <w:pStyle w:val="TableText"/>
              <w:ind w:left="71"/>
              <w:spacing w:before="29" w:line="219" w:lineRule="auto"/>
              <w:rPr>
                <w:sz w:val="21"/>
                <w:szCs w:val="21"/>
              </w:rPr>
            </w:pPr>
            <w:r>
              <w:rPr>
                <w:sz w:val="21"/>
                <w:szCs w:val="21"/>
                <w:spacing w:val="3"/>
              </w:rPr>
              <w:t>资质等</w:t>
            </w:r>
          </w:p>
          <w:p>
            <w:pPr>
              <w:pStyle w:val="TableText"/>
              <w:ind w:left="71"/>
              <w:spacing w:before="22" w:line="221" w:lineRule="auto"/>
              <w:rPr>
                <w:sz w:val="21"/>
                <w:szCs w:val="21"/>
              </w:rPr>
            </w:pPr>
            <w:r>
              <w:rPr>
                <w:sz w:val="21"/>
                <w:szCs w:val="21"/>
                <w:spacing w:val="3"/>
              </w:rPr>
              <w:t>级要求</w:t>
            </w:r>
          </w:p>
        </w:tc>
        <w:tc>
          <w:tcPr>
            <w:tcW w:w="3007" w:type="dxa"/>
            <w:vAlign w:val="top"/>
          </w:tcPr>
          <w:p>
            <w:pPr>
              <w:pStyle w:val="TableText"/>
              <w:ind w:left="15"/>
              <w:spacing w:before="154" w:line="219" w:lineRule="auto"/>
              <w:rPr>
                <w:sz w:val="21"/>
                <w:szCs w:val="21"/>
              </w:rPr>
            </w:pPr>
            <w:r>
              <w:rPr>
                <w:sz w:val="21"/>
                <w:szCs w:val="21"/>
                <w:b/>
                <w:bCs/>
                <w:spacing w:val="-3"/>
              </w:rPr>
              <w:t>4.1基本要求</w:t>
            </w:r>
          </w:p>
          <w:p>
            <w:pPr>
              <w:pStyle w:val="TableText"/>
              <w:ind w:left="15"/>
              <w:spacing w:before="31" w:line="220" w:lineRule="auto"/>
              <w:rPr>
                <w:sz w:val="21"/>
                <w:szCs w:val="21"/>
              </w:rPr>
            </w:pPr>
            <w:r>
              <w:rPr>
                <w:sz w:val="21"/>
                <w:szCs w:val="21"/>
                <w:b/>
                <w:bCs/>
                <w:spacing w:val="-6"/>
              </w:rPr>
              <w:t>4.1.1生猪屠宰设计规模应达到30</w:t>
            </w:r>
            <w:r>
              <w:rPr>
                <w:sz w:val="21"/>
                <w:szCs w:val="21"/>
                <w:spacing w:val="3"/>
              </w:rPr>
              <w:t xml:space="preserve"> </w:t>
            </w:r>
            <w:r>
              <w:rPr>
                <w:sz w:val="21"/>
                <w:szCs w:val="21"/>
                <w:b/>
                <w:bCs/>
                <w:spacing w:val="-4"/>
              </w:rPr>
              <w:t>头/h以上。</w:t>
            </w:r>
          </w:p>
          <w:p>
            <w:pPr>
              <w:pStyle w:val="TableText"/>
              <w:ind w:left="15" w:right="53"/>
              <w:spacing w:before="58" w:line="226" w:lineRule="auto"/>
              <w:rPr>
                <w:sz w:val="21"/>
                <w:szCs w:val="21"/>
              </w:rPr>
            </w:pPr>
            <w:r>
              <w:rPr>
                <w:sz w:val="21"/>
                <w:szCs w:val="21"/>
                <w:b/>
                <w:bCs/>
                <w:spacing w:val="-3"/>
              </w:rPr>
              <w:t>4.1.2依法取得生猪定点屠宰证</w:t>
            </w:r>
            <w:r>
              <w:rPr>
                <w:sz w:val="21"/>
                <w:szCs w:val="21"/>
                <w:spacing w:val="2"/>
              </w:rPr>
              <w:t xml:space="preserve">  </w:t>
            </w:r>
            <w:r>
              <w:rPr>
                <w:sz w:val="21"/>
                <w:szCs w:val="21"/>
                <w:b/>
                <w:bCs/>
                <w:spacing w:val="-4"/>
              </w:rPr>
              <w:t>书、工商营业执照、动物防疫条</w:t>
            </w:r>
            <w:r>
              <w:rPr>
                <w:sz w:val="21"/>
                <w:szCs w:val="21"/>
                <w:spacing w:val="11"/>
              </w:rPr>
              <w:t xml:space="preserve"> </w:t>
            </w:r>
            <w:r>
              <w:rPr>
                <w:sz w:val="21"/>
                <w:szCs w:val="21"/>
                <w:b/>
                <w:bCs/>
                <w:spacing w:val="-4"/>
              </w:rPr>
              <w:t>件合格证、排污许可证。</w:t>
            </w:r>
          </w:p>
          <w:p>
            <w:pPr>
              <w:pStyle w:val="TableText"/>
              <w:ind w:left="15"/>
              <w:spacing w:before="30" w:line="235" w:lineRule="auto"/>
              <w:rPr>
                <w:sz w:val="21"/>
                <w:szCs w:val="21"/>
              </w:rPr>
            </w:pPr>
            <w:r>
              <w:rPr>
                <w:sz w:val="21"/>
                <w:szCs w:val="21"/>
                <w:b/>
                <w:bCs/>
                <w:spacing w:val="-6"/>
              </w:rPr>
              <w:t>4.1.3厂区不应兼营、生产、存放</w:t>
            </w:r>
            <w:r>
              <w:rPr>
                <w:sz w:val="21"/>
                <w:szCs w:val="21"/>
              </w:rPr>
              <w:t xml:space="preserve"> </w:t>
            </w:r>
            <w:r>
              <w:rPr>
                <w:sz w:val="21"/>
                <w:szCs w:val="21"/>
                <w:b/>
                <w:bCs/>
                <w:spacing w:val="-3"/>
              </w:rPr>
              <w:t>有碍肉品安全的产品；不应在生</w:t>
            </w:r>
            <w:r>
              <w:rPr>
                <w:sz w:val="21"/>
                <w:szCs w:val="21"/>
              </w:rPr>
              <w:t xml:space="preserve"> </w:t>
            </w:r>
            <w:r>
              <w:rPr>
                <w:sz w:val="21"/>
                <w:szCs w:val="21"/>
                <w:b/>
                <w:bCs/>
                <w:spacing w:val="-2"/>
              </w:rPr>
              <w:t>猪屠宰车间内屠宰其他种类的畜</w:t>
            </w:r>
            <w:r>
              <w:rPr>
                <w:sz w:val="21"/>
                <w:szCs w:val="21"/>
                <w:spacing w:val="9"/>
              </w:rPr>
              <w:t xml:space="preserve"> </w:t>
            </w:r>
            <w:r>
              <w:rPr>
                <w:sz w:val="21"/>
                <w:szCs w:val="21"/>
                <w:b/>
                <w:bCs/>
                <w:spacing w:val="-5"/>
              </w:rPr>
              <w:t>禽。</w:t>
            </w:r>
          </w:p>
          <w:p>
            <w:pPr>
              <w:pStyle w:val="TableText"/>
              <w:ind w:left="15"/>
              <w:spacing w:before="22" w:line="237" w:lineRule="auto"/>
              <w:rPr>
                <w:sz w:val="21"/>
                <w:szCs w:val="21"/>
              </w:rPr>
            </w:pPr>
            <w:r>
              <w:rPr>
                <w:sz w:val="21"/>
                <w:szCs w:val="21"/>
                <w:b/>
                <w:bCs/>
                <w:spacing w:val="-6"/>
              </w:rPr>
              <w:t>4.1.4应配备与屠宰加工规模相适</w:t>
            </w:r>
            <w:r>
              <w:rPr>
                <w:sz w:val="21"/>
                <w:szCs w:val="21"/>
              </w:rPr>
              <w:t xml:space="preserve"> </w:t>
            </w:r>
            <w:r>
              <w:rPr>
                <w:sz w:val="21"/>
                <w:szCs w:val="21"/>
                <w:b/>
                <w:bCs/>
                <w:spacing w:val="-3"/>
              </w:rPr>
              <w:t>应的，经培训考核合格、依法取</w:t>
            </w:r>
            <w:r>
              <w:rPr>
                <w:sz w:val="21"/>
                <w:szCs w:val="21"/>
              </w:rPr>
              <w:t xml:space="preserve"> </w:t>
            </w:r>
            <w:r>
              <w:rPr>
                <w:sz w:val="21"/>
                <w:szCs w:val="21"/>
                <w:b/>
                <w:bCs/>
                <w:spacing w:val="-3"/>
              </w:rPr>
              <w:t>得健康合格证明的屠宰技术工人</w:t>
            </w:r>
            <w:r>
              <w:rPr>
                <w:sz w:val="21"/>
                <w:szCs w:val="21"/>
              </w:rPr>
              <w:t xml:space="preserve"> </w:t>
            </w:r>
            <w:r>
              <w:rPr>
                <w:sz w:val="21"/>
                <w:szCs w:val="21"/>
                <w:b/>
                <w:bCs/>
                <w:spacing w:val="-3"/>
              </w:rPr>
              <w:t>和7名以上具备中专以上或同等</w:t>
            </w:r>
            <w:r>
              <w:rPr>
                <w:sz w:val="21"/>
                <w:szCs w:val="21"/>
              </w:rPr>
              <w:t xml:space="preserve">  </w:t>
            </w:r>
            <w:r>
              <w:rPr>
                <w:sz w:val="21"/>
                <w:szCs w:val="21"/>
                <w:b/>
                <w:bCs/>
                <w:spacing w:val="-4"/>
              </w:rPr>
              <w:t>专业水平的肉品品质检验人员。</w:t>
            </w:r>
          </w:p>
          <w:p>
            <w:pPr>
              <w:pStyle w:val="TableText"/>
              <w:ind w:left="15" w:right="38"/>
              <w:spacing w:before="31" w:line="228" w:lineRule="auto"/>
              <w:rPr>
                <w:sz w:val="21"/>
                <w:szCs w:val="21"/>
              </w:rPr>
            </w:pPr>
            <w:r>
              <w:rPr>
                <w:sz w:val="21"/>
                <w:szCs w:val="21"/>
                <w:b/>
                <w:bCs/>
                <w:spacing w:val="-3"/>
              </w:rPr>
              <w:t>4.1.5进厂(场)屠宰的生猪，应</w:t>
            </w:r>
            <w:r>
              <w:rPr>
                <w:sz w:val="21"/>
                <w:szCs w:val="21"/>
                <w:spacing w:val="2"/>
              </w:rPr>
              <w:t xml:space="preserve">  </w:t>
            </w:r>
            <w:r>
              <w:rPr>
                <w:sz w:val="21"/>
                <w:szCs w:val="21"/>
                <w:b/>
                <w:bCs/>
                <w:spacing w:val="-3"/>
              </w:rPr>
              <w:t>当持有生猪产地动物卫生监督机</w:t>
            </w:r>
            <w:r>
              <w:rPr>
                <w:sz w:val="21"/>
                <w:szCs w:val="21"/>
                <w:spacing w:val="12"/>
              </w:rPr>
              <w:t xml:space="preserve"> </w:t>
            </w:r>
            <w:r>
              <w:rPr>
                <w:sz w:val="21"/>
                <w:szCs w:val="21"/>
                <w:b/>
                <w:bCs/>
                <w:spacing w:val="-4"/>
              </w:rPr>
              <w:t>构出具的检疫合格证明。</w:t>
            </w:r>
          </w:p>
        </w:tc>
        <w:tc>
          <w:tcPr>
            <w:tcW w:w="3126" w:type="dxa"/>
            <w:vAlign w:val="top"/>
          </w:tcPr>
          <w:p>
            <w:pPr>
              <w:pStyle w:val="TableText"/>
              <w:ind w:left="18" w:right="166"/>
              <w:spacing w:before="24" w:line="239" w:lineRule="auto"/>
              <w:rPr>
                <w:sz w:val="21"/>
                <w:szCs w:val="21"/>
              </w:rPr>
            </w:pPr>
            <w:r>
              <w:rPr>
                <w:sz w:val="21"/>
                <w:szCs w:val="21"/>
                <w:b/>
                <w:bCs/>
                <w:spacing w:val="-3"/>
              </w:rPr>
              <w:t>本项目建成后，生猪淡季屠宰量</w:t>
            </w:r>
            <w:r>
              <w:rPr>
                <w:sz w:val="21"/>
                <w:szCs w:val="21"/>
                <w:spacing w:val="1"/>
              </w:rPr>
              <w:t xml:space="preserve"> </w:t>
            </w:r>
            <w:r>
              <w:rPr>
                <w:sz w:val="21"/>
                <w:szCs w:val="21"/>
                <w:b/>
                <w:bCs/>
                <w:spacing w:val="-3"/>
              </w:rPr>
              <w:t>为125头/h、旺季屠宰量为180头</w:t>
            </w:r>
            <w:r>
              <w:rPr>
                <w:sz w:val="21"/>
                <w:szCs w:val="21"/>
                <w:spacing w:val="2"/>
              </w:rPr>
              <w:t xml:space="preserve"> </w:t>
            </w:r>
            <w:r>
              <w:rPr>
                <w:sz w:val="21"/>
                <w:szCs w:val="21"/>
                <w:b/>
                <w:bCs/>
                <w:spacing w:val="-3"/>
              </w:rPr>
              <w:t>h;绵阳柒鑫食品有限公司于</w:t>
            </w:r>
          </w:p>
          <w:p>
            <w:pPr>
              <w:pStyle w:val="TableText"/>
              <w:ind w:left="18" w:right="146"/>
              <w:spacing w:before="3" w:line="239" w:lineRule="auto"/>
              <w:rPr>
                <w:sz w:val="21"/>
                <w:szCs w:val="21"/>
              </w:rPr>
            </w:pPr>
            <w:r>
              <w:rPr>
                <w:sz w:val="21"/>
                <w:szCs w:val="21"/>
                <w:b/>
                <w:bCs/>
                <w:spacing w:val="-3"/>
              </w:rPr>
              <w:t>2019年5月31日取得了由绵阳市</w:t>
            </w:r>
            <w:r>
              <w:rPr>
                <w:sz w:val="21"/>
                <w:szCs w:val="21"/>
              </w:rPr>
              <w:t xml:space="preserve">  </w:t>
            </w:r>
            <w:r>
              <w:rPr>
                <w:sz w:val="21"/>
                <w:szCs w:val="21"/>
                <w:b/>
                <w:bCs/>
                <w:spacing w:val="-2"/>
              </w:rPr>
              <w:t>人民政府颁发的《生猪定点屠宰</w:t>
            </w:r>
            <w:r>
              <w:rPr>
                <w:sz w:val="21"/>
                <w:szCs w:val="21"/>
                <w:spacing w:val="6"/>
              </w:rPr>
              <w:t xml:space="preserve"> </w:t>
            </w:r>
            <w:r>
              <w:rPr>
                <w:sz w:val="21"/>
                <w:szCs w:val="21"/>
                <w:b/>
                <w:bCs/>
                <w:spacing w:val="-3"/>
              </w:rPr>
              <w:t>证》(定点屠宰代码：</w:t>
            </w:r>
          </w:p>
          <w:p>
            <w:pPr>
              <w:pStyle w:val="TableText"/>
              <w:ind w:left="18"/>
              <w:spacing w:before="5" w:line="219" w:lineRule="auto"/>
              <w:rPr>
                <w:sz w:val="21"/>
                <w:szCs w:val="21"/>
              </w:rPr>
            </w:pPr>
            <w:r>
              <w:rPr>
                <w:sz w:val="21"/>
                <w:szCs w:val="21"/>
                <w:b/>
                <w:bCs/>
                <w:spacing w:val="-3"/>
              </w:rPr>
              <w:t>A29030601)以及、工商营业执</w:t>
            </w:r>
          </w:p>
          <w:p>
            <w:pPr>
              <w:pStyle w:val="TableText"/>
              <w:ind w:left="18" w:right="60"/>
              <w:spacing w:before="7" w:line="241" w:lineRule="auto"/>
              <w:rPr>
                <w:sz w:val="21"/>
                <w:szCs w:val="21"/>
              </w:rPr>
            </w:pPr>
            <w:r>
              <w:rPr>
                <w:sz w:val="21"/>
                <w:szCs w:val="21"/>
                <w:b/>
                <w:bCs/>
                <w:spacing w:val="-4"/>
              </w:rPr>
              <w:t>照、动物防疫条件合格证、排污</w:t>
            </w:r>
            <w:r>
              <w:rPr>
                <w:sz w:val="21"/>
                <w:szCs w:val="21"/>
                <w:spacing w:val="4"/>
              </w:rPr>
              <w:t xml:space="preserve">  </w:t>
            </w:r>
            <w:r>
              <w:rPr>
                <w:sz w:val="21"/>
                <w:szCs w:val="21"/>
                <w:b/>
                <w:bCs/>
                <w:spacing w:val="-3"/>
              </w:rPr>
              <w:t>许可证；厂区不兼营、生产、存</w:t>
            </w:r>
            <w:r>
              <w:rPr>
                <w:sz w:val="21"/>
                <w:szCs w:val="21"/>
              </w:rPr>
              <w:t xml:space="preserve">  </w:t>
            </w:r>
            <w:r>
              <w:rPr>
                <w:sz w:val="21"/>
                <w:szCs w:val="21"/>
                <w:b/>
                <w:bCs/>
                <w:spacing w:val="-3"/>
              </w:rPr>
              <w:t>放有碍肉品安全的产品；不在生</w:t>
            </w:r>
            <w:r>
              <w:rPr>
                <w:sz w:val="21"/>
                <w:szCs w:val="21"/>
              </w:rPr>
              <w:t xml:space="preserve">  </w:t>
            </w:r>
            <w:r>
              <w:rPr>
                <w:sz w:val="21"/>
                <w:szCs w:val="21"/>
                <w:b/>
                <w:bCs/>
                <w:spacing w:val="-2"/>
              </w:rPr>
              <w:t>猪屠宰车间内屠宰其他种类的畜</w:t>
            </w:r>
            <w:r>
              <w:rPr>
                <w:sz w:val="21"/>
                <w:szCs w:val="21"/>
                <w:spacing w:val="5"/>
              </w:rPr>
              <w:t xml:space="preserve">  </w:t>
            </w:r>
            <w:r>
              <w:rPr>
                <w:sz w:val="21"/>
                <w:szCs w:val="21"/>
                <w:b/>
                <w:bCs/>
                <w:spacing w:val="-3"/>
              </w:rPr>
              <w:t>禽；配备与屠宰加工规模相适应</w:t>
            </w:r>
            <w:r>
              <w:rPr>
                <w:sz w:val="21"/>
                <w:szCs w:val="21"/>
              </w:rPr>
              <w:t xml:space="preserve">  </w:t>
            </w:r>
            <w:r>
              <w:rPr>
                <w:sz w:val="21"/>
                <w:szCs w:val="21"/>
                <w:b/>
                <w:bCs/>
                <w:spacing w:val="-3"/>
              </w:rPr>
              <w:t>的，经培训考核合格、依法取得</w:t>
            </w:r>
            <w:r>
              <w:rPr>
                <w:sz w:val="21"/>
                <w:szCs w:val="21"/>
                <w:spacing w:val="6"/>
              </w:rPr>
              <w:t xml:space="preserve">  </w:t>
            </w:r>
            <w:r>
              <w:rPr>
                <w:sz w:val="21"/>
                <w:szCs w:val="21"/>
                <w:b/>
                <w:bCs/>
                <w:spacing w:val="-3"/>
              </w:rPr>
              <w:t>健康合格证明的屠宰技术工人和7</w:t>
            </w:r>
            <w:r>
              <w:rPr>
                <w:sz w:val="21"/>
                <w:szCs w:val="21"/>
                <w:spacing w:val="2"/>
              </w:rPr>
              <w:t xml:space="preserve"> </w:t>
            </w:r>
            <w:r>
              <w:rPr>
                <w:sz w:val="21"/>
                <w:szCs w:val="21"/>
                <w:b/>
                <w:bCs/>
                <w:spacing w:val="-3"/>
              </w:rPr>
              <w:t>名以上具备中专以上或同等专业</w:t>
            </w:r>
            <w:r>
              <w:rPr>
                <w:sz w:val="21"/>
                <w:szCs w:val="21"/>
              </w:rPr>
              <w:t xml:space="preserve">  </w:t>
            </w:r>
            <w:r>
              <w:rPr>
                <w:sz w:val="21"/>
                <w:szCs w:val="21"/>
                <w:b/>
                <w:bCs/>
                <w:spacing w:val="-3"/>
              </w:rPr>
              <w:t>水平的肉品品质检验人员；进厂</w:t>
            </w:r>
            <w:r>
              <w:rPr>
                <w:sz w:val="21"/>
                <w:szCs w:val="21"/>
              </w:rPr>
              <w:t xml:space="preserve">  </w:t>
            </w:r>
            <w:r>
              <w:rPr>
                <w:sz w:val="21"/>
                <w:szCs w:val="21"/>
                <w:b/>
                <w:bCs/>
                <w:spacing w:val="-2"/>
              </w:rPr>
              <w:t>(场)屠宰的生猪，持有生猪产</w:t>
            </w:r>
          </w:p>
          <w:p>
            <w:pPr>
              <w:pStyle w:val="TableText"/>
              <w:ind w:left="18" w:right="165"/>
              <w:spacing w:before="3" w:line="215" w:lineRule="auto"/>
              <w:rPr>
                <w:sz w:val="21"/>
                <w:szCs w:val="21"/>
              </w:rPr>
            </w:pPr>
            <w:r>
              <w:rPr>
                <w:sz w:val="21"/>
                <w:szCs w:val="21"/>
                <w:b/>
                <w:bCs/>
                <w:spacing w:val="-3"/>
              </w:rPr>
              <w:t>地动物卫生监督机构出具的检疫</w:t>
            </w:r>
            <w:r>
              <w:rPr>
                <w:sz w:val="21"/>
                <w:szCs w:val="21"/>
                <w:spacing w:val="1"/>
              </w:rPr>
              <w:t xml:space="preserve"> </w:t>
            </w:r>
            <w:r>
              <w:rPr>
                <w:sz w:val="21"/>
                <w:szCs w:val="21"/>
                <w:b/>
                <w:bCs/>
                <w:spacing w:val="-4"/>
              </w:rPr>
              <w:t>合格证明。</w:t>
            </w:r>
          </w:p>
        </w:tc>
        <w:tc>
          <w:tcPr>
            <w:tcW w:w="724" w:type="dxa"/>
            <w:vAlign w:val="top"/>
          </w:tcPr>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7" w:lineRule="auto"/>
              <w:rPr>
                <w:rFonts w:ascii="Arial"/>
                <w:sz w:val="21"/>
              </w:rPr>
            </w:pPr>
            <w:r/>
          </w:p>
          <w:p>
            <w:pPr>
              <w:pStyle w:val="TableText"/>
              <w:ind w:left="149"/>
              <w:spacing w:before="69" w:line="219" w:lineRule="auto"/>
              <w:rPr>
                <w:sz w:val="21"/>
                <w:szCs w:val="21"/>
              </w:rPr>
            </w:pPr>
            <w:r>
              <w:rPr>
                <w:sz w:val="21"/>
                <w:szCs w:val="21"/>
                <w:spacing w:val="-3"/>
              </w:rPr>
              <w:t>符合</w:t>
            </w:r>
          </w:p>
        </w:tc>
      </w:tr>
    </w:tbl>
    <w:p>
      <w:pPr>
        <w:pStyle w:val="BodyText"/>
        <w:rPr/>
      </w:pPr>
      <w:r/>
    </w:p>
    <w:p>
      <w:pPr>
        <w:sectPr>
          <w:headerReference w:type="default" r:id="rId62"/>
          <w:footerReference w:type="default" r:id="rId63"/>
          <w:pgSz w:w="11910" w:h="16840"/>
          <w:pgMar w:top="1210" w:right="1504" w:bottom="991" w:left="1475" w:header="902" w:footer="732" w:gutter="0"/>
        </w:sectPr>
        <w:rPr/>
      </w:pPr>
    </w:p>
    <w:p>
      <w:pPr>
        <w:spacing w:before="6"/>
        <w:rPr/>
      </w:pPr>
      <w:r/>
    </w:p>
    <w:tbl>
      <w:tblPr>
        <w:tblStyle w:val="TableNormal"/>
        <w:tblW w:w="894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74"/>
        <w:gridCol w:w="799"/>
        <w:gridCol w:w="3027"/>
        <w:gridCol w:w="3116"/>
        <w:gridCol w:w="724"/>
      </w:tblGrid>
      <w:tr>
        <w:trPr>
          <w:trHeight w:val="284" w:hRule="atLeast"/>
        </w:trPr>
        <w:tc>
          <w:tcPr>
            <w:shd w:val="clear" w:fill="BDBDBD"/>
            <w:tcW w:w="1274" w:type="dxa"/>
            <w:vAlign w:val="top"/>
          </w:tcPr>
          <w:p>
            <w:pPr>
              <w:pStyle w:val="TableText"/>
              <w:ind w:left="397"/>
              <w:spacing w:before="40" w:line="205" w:lineRule="auto"/>
              <w:rPr>
                <w:sz w:val="21"/>
                <w:szCs w:val="21"/>
              </w:rPr>
            </w:pPr>
            <w:r>
              <w:rPr>
                <w:sz w:val="21"/>
                <w:szCs w:val="21"/>
                <w:b/>
                <w:bCs/>
                <w:spacing w:val="-5"/>
              </w:rPr>
              <w:t>文件</w:t>
            </w:r>
          </w:p>
        </w:tc>
        <w:tc>
          <w:tcPr>
            <w:shd w:val="clear" w:fill="BDBDBD"/>
            <w:tcW w:w="3826" w:type="dxa"/>
            <w:vAlign w:val="top"/>
            <w:gridSpan w:val="2"/>
          </w:tcPr>
          <w:p>
            <w:pPr>
              <w:pStyle w:val="TableText"/>
              <w:ind w:left="1473"/>
              <w:spacing w:before="40" w:line="205" w:lineRule="auto"/>
              <w:rPr>
                <w:sz w:val="21"/>
                <w:szCs w:val="21"/>
              </w:rPr>
            </w:pPr>
            <w:r>
              <w:rPr>
                <w:sz w:val="21"/>
                <w:szCs w:val="21"/>
                <w:b/>
                <w:bCs/>
                <w:spacing w:val="-4"/>
              </w:rPr>
              <w:t>相关规定</w:t>
            </w:r>
          </w:p>
        </w:tc>
        <w:tc>
          <w:tcPr>
            <w:shd w:val="clear" w:fill="BDBDBD"/>
            <w:tcW w:w="3116" w:type="dxa"/>
            <w:vAlign w:val="top"/>
          </w:tcPr>
          <w:p>
            <w:pPr>
              <w:pStyle w:val="TableText"/>
              <w:ind w:left="1227"/>
              <w:spacing w:before="39" w:line="206" w:lineRule="auto"/>
              <w:rPr>
                <w:sz w:val="21"/>
                <w:szCs w:val="21"/>
              </w:rPr>
            </w:pPr>
            <w:r>
              <w:rPr>
                <w:sz w:val="21"/>
                <w:szCs w:val="21"/>
                <w:b/>
                <w:bCs/>
                <w:spacing w:val="9"/>
              </w:rPr>
              <w:t>本项目</w:t>
            </w:r>
          </w:p>
        </w:tc>
        <w:tc>
          <w:tcPr>
            <w:shd w:val="clear" w:fill="BDBDBD"/>
            <w:tcW w:w="724" w:type="dxa"/>
            <w:vAlign w:val="top"/>
          </w:tcPr>
          <w:p>
            <w:pPr>
              <w:pStyle w:val="TableText"/>
              <w:ind w:left="41"/>
              <w:spacing w:before="40" w:line="205" w:lineRule="auto"/>
              <w:rPr>
                <w:sz w:val="21"/>
                <w:szCs w:val="21"/>
              </w:rPr>
            </w:pPr>
            <w:r>
              <w:rPr>
                <w:sz w:val="21"/>
                <w:szCs w:val="21"/>
                <w:b/>
                <w:bCs/>
                <w:spacing w:val="-5"/>
              </w:rPr>
              <w:t>符合性</w:t>
            </w:r>
          </w:p>
        </w:tc>
      </w:tr>
      <w:tr>
        <w:trPr>
          <w:trHeight w:val="9213" w:hRule="atLeast"/>
        </w:trPr>
        <w:tc>
          <w:tcPr>
            <w:tcW w:w="1274" w:type="dxa"/>
            <w:vAlign w:val="top"/>
            <w:vMerge w:val="restart"/>
            <w:tcBorders>
              <w:bottom w:val="nil"/>
            </w:tcBorders>
          </w:tcPr>
          <w:p>
            <w:pPr>
              <w:rPr>
                <w:rFonts w:ascii="Arial"/>
                <w:sz w:val="21"/>
              </w:rPr>
            </w:pPr>
            <w:r/>
          </w:p>
        </w:tc>
        <w:tc>
          <w:tcPr>
            <w:tcW w:w="799" w:type="dxa"/>
            <w:vAlign w:val="top"/>
            <w:vMerge w:val="restart"/>
            <w:tcBorders>
              <w:bottom w:val="nil"/>
            </w:tcBorders>
          </w:tcPr>
          <w:p>
            <w:pPr>
              <w:rPr>
                <w:rFonts w:ascii="Arial"/>
                <w:sz w:val="21"/>
              </w:rPr>
            </w:pPr>
            <w:r/>
          </w:p>
        </w:tc>
        <w:tc>
          <w:tcPr>
            <w:tcW w:w="3027" w:type="dxa"/>
            <w:vAlign w:val="top"/>
          </w:tcPr>
          <w:p>
            <w:pPr>
              <w:pStyle w:val="TableText"/>
              <w:ind w:left="11"/>
              <w:spacing w:before="300" w:line="220" w:lineRule="auto"/>
              <w:rPr>
                <w:sz w:val="21"/>
                <w:szCs w:val="21"/>
              </w:rPr>
            </w:pPr>
            <w:r>
              <w:rPr>
                <w:sz w:val="21"/>
                <w:szCs w:val="21"/>
                <w:spacing w:val="-1"/>
              </w:rPr>
              <w:t>4.2建设和环境</w:t>
            </w:r>
          </w:p>
          <w:p>
            <w:pPr>
              <w:pStyle w:val="TableText"/>
              <w:ind w:left="11"/>
              <w:spacing w:before="29" w:line="219" w:lineRule="auto"/>
              <w:rPr>
                <w:sz w:val="21"/>
                <w:szCs w:val="21"/>
              </w:rPr>
            </w:pPr>
            <w:r>
              <w:rPr>
                <w:sz w:val="21"/>
                <w:szCs w:val="21"/>
                <w:spacing w:val="-1"/>
              </w:rPr>
              <w:t>4.2.1厂区建设</w:t>
            </w:r>
          </w:p>
          <w:p>
            <w:pPr>
              <w:pStyle w:val="TableText"/>
              <w:ind w:left="11"/>
              <w:spacing w:before="1" w:line="237" w:lineRule="auto"/>
              <w:rPr>
                <w:sz w:val="21"/>
                <w:szCs w:val="21"/>
              </w:rPr>
            </w:pPr>
            <w:r>
              <w:rPr>
                <w:sz w:val="21"/>
                <w:szCs w:val="21"/>
                <w:spacing w:val="-3"/>
              </w:rPr>
              <w:t>4.2.1.1屠宰与分割车间所在厂址</w:t>
            </w:r>
            <w:r>
              <w:rPr>
                <w:sz w:val="21"/>
                <w:szCs w:val="21"/>
                <w:spacing w:val="13"/>
              </w:rPr>
              <w:t xml:space="preserve"> </w:t>
            </w:r>
            <w:r>
              <w:rPr>
                <w:sz w:val="21"/>
                <w:szCs w:val="21"/>
                <w:spacing w:val="-1"/>
              </w:rPr>
              <w:t>应远离供水水源地和自来水取水</w:t>
            </w:r>
            <w:r>
              <w:rPr>
                <w:sz w:val="21"/>
                <w:szCs w:val="21"/>
              </w:rPr>
              <w:t xml:space="preserve"> </w:t>
            </w:r>
            <w:r>
              <w:rPr>
                <w:sz w:val="21"/>
                <w:szCs w:val="21"/>
              </w:rPr>
              <w:t>口，其附近应有城市污水排放管</w:t>
            </w:r>
            <w:r>
              <w:rPr>
                <w:sz w:val="21"/>
                <w:szCs w:val="21"/>
                <w:spacing w:val="5"/>
              </w:rPr>
              <w:t xml:space="preserve"> </w:t>
            </w:r>
            <w:r>
              <w:rPr>
                <w:sz w:val="21"/>
                <w:szCs w:val="21"/>
                <w:spacing w:val="-1"/>
              </w:rPr>
              <w:t>网或允许排入的最终受纳水体。</w:t>
            </w:r>
          </w:p>
          <w:p>
            <w:pPr>
              <w:pStyle w:val="TableText"/>
              <w:ind w:left="11"/>
              <w:spacing w:before="9" w:line="234" w:lineRule="auto"/>
              <w:rPr>
                <w:sz w:val="21"/>
                <w:szCs w:val="21"/>
              </w:rPr>
            </w:pPr>
            <w:r>
              <w:rPr>
                <w:sz w:val="21"/>
                <w:szCs w:val="21"/>
                <w:spacing w:val="-5"/>
              </w:rPr>
              <w:t>4.2.1.2厂址周围应有良好的环境</w:t>
            </w:r>
            <w:r>
              <w:rPr>
                <w:sz w:val="21"/>
                <w:szCs w:val="21"/>
                <w:spacing w:val="13"/>
              </w:rPr>
              <w:t xml:space="preserve"> </w:t>
            </w:r>
            <w:r>
              <w:rPr>
                <w:sz w:val="21"/>
                <w:szCs w:val="21"/>
                <w:spacing w:val="-2"/>
              </w:rPr>
              <w:t>卫生条件。厂区应远离受污染的</w:t>
            </w:r>
            <w:r>
              <w:rPr>
                <w:sz w:val="21"/>
                <w:szCs w:val="21"/>
                <w:spacing w:val="2"/>
              </w:rPr>
              <w:t xml:space="preserve">  </w:t>
            </w:r>
            <w:r>
              <w:rPr>
                <w:sz w:val="21"/>
                <w:szCs w:val="21"/>
                <w:spacing w:val="4"/>
              </w:rPr>
              <w:t>水体，并应避开产生有害气体、</w:t>
            </w:r>
            <w:r>
              <w:rPr>
                <w:sz w:val="21"/>
                <w:szCs w:val="21"/>
                <w:spacing w:val="8"/>
              </w:rPr>
              <w:t xml:space="preserve"> </w:t>
            </w:r>
            <w:r>
              <w:rPr>
                <w:sz w:val="21"/>
                <w:szCs w:val="21"/>
                <w:spacing w:val="-4"/>
              </w:rPr>
              <w:t>烟雾、粉尘等污染源的工业企业</w:t>
            </w:r>
            <w:r>
              <w:rPr>
                <w:sz w:val="21"/>
                <w:szCs w:val="21"/>
                <w:spacing w:val="3"/>
              </w:rPr>
              <w:t xml:space="preserve">  </w:t>
            </w:r>
            <w:r>
              <w:rPr>
                <w:sz w:val="21"/>
                <w:szCs w:val="21"/>
                <w:spacing w:val="-2"/>
              </w:rPr>
              <w:t>或其他产生污染源的地区或场</w:t>
            </w:r>
          </w:p>
          <w:p>
            <w:pPr>
              <w:pStyle w:val="TableText"/>
              <w:ind w:left="11" w:right="39"/>
              <w:spacing w:before="30" w:line="224" w:lineRule="auto"/>
              <w:rPr>
                <w:sz w:val="21"/>
                <w:szCs w:val="21"/>
              </w:rPr>
            </w:pPr>
            <w:r>
              <w:rPr>
                <w:sz w:val="21"/>
                <w:szCs w:val="21"/>
                <w:spacing w:val="1"/>
              </w:rPr>
              <w:t>所。厂址远离水源保护区和饮用</w:t>
            </w:r>
            <w:r>
              <w:rPr>
                <w:sz w:val="21"/>
                <w:szCs w:val="21"/>
                <w:spacing w:val="10"/>
              </w:rPr>
              <w:t xml:space="preserve"> </w:t>
            </w:r>
            <w:r>
              <w:rPr>
                <w:sz w:val="21"/>
                <w:szCs w:val="21"/>
                <w:spacing w:val="-1"/>
              </w:rPr>
              <w:t>水取水口。</w:t>
            </w:r>
          </w:p>
          <w:p>
            <w:pPr>
              <w:pStyle w:val="TableText"/>
              <w:ind w:left="11" w:right="387"/>
              <w:spacing w:before="30" w:line="229" w:lineRule="auto"/>
              <w:rPr>
                <w:sz w:val="21"/>
                <w:szCs w:val="21"/>
              </w:rPr>
            </w:pPr>
            <w:r>
              <w:rPr>
                <w:sz w:val="21"/>
                <w:szCs w:val="21"/>
                <w:spacing w:val="-1"/>
              </w:rPr>
              <w:t>4.2.1.3生产用水水质应符合</w:t>
            </w:r>
            <w:r>
              <w:rPr>
                <w:sz w:val="21"/>
                <w:szCs w:val="21"/>
                <w:spacing w:val="7"/>
              </w:rPr>
              <w:t xml:space="preserve"> </w:t>
            </w:r>
            <w:r>
              <w:rPr>
                <w:sz w:val="21"/>
                <w:szCs w:val="21"/>
                <w:spacing w:val="-1"/>
              </w:rPr>
              <w:t>GB5749规定的要求。</w:t>
            </w:r>
          </w:p>
          <w:p>
            <w:pPr>
              <w:pStyle w:val="TableText"/>
              <w:ind w:left="11"/>
              <w:spacing w:before="17" w:line="234" w:lineRule="auto"/>
              <w:rPr>
                <w:sz w:val="21"/>
                <w:szCs w:val="21"/>
              </w:rPr>
            </w:pPr>
            <w:r>
              <w:rPr>
                <w:sz w:val="21"/>
                <w:szCs w:val="21"/>
                <w:spacing w:val="-5"/>
              </w:rPr>
              <w:t>4.2.1.4厂区应划分为生产区和非</w:t>
            </w:r>
            <w:r>
              <w:rPr>
                <w:sz w:val="21"/>
                <w:szCs w:val="21"/>
                <w:spacing w:val="13"/>
              </w:rPr>
              <w:t xml:space="preserve"> </w:t>
            </w:r>
            <w:r>
              <w:rPr>
                <w:sz w:val="21"/>
                <w:szCs w:val="21"/>
                <w:spacing w:val="-4"/>
              </w:rPr>
              <w:t>生产区。生产区应单独设置生猪</w:t>
            </w:r>
            <w:r>
              <w:rPr>
                <w:sz w:val="21"/>
                <w:szCs w:val="21"/>
                <w:spacing w:val="3"/>
              </w:rPr>
              <w:t xml:space="preserve">  </w:t>
            </w:r>
            <w:r>
              <w:rPr>
                <w:sz w:val="21"/>
                <w:szCs w:val="21"/>
                <w:spacing w:val="-1"/>
              </w:rPr>
              <w:t>与废弃物的出入口，产品和人员</w:t>
            </w:r>
            <w:r>
              <w:rPr>
                <w:sz w:val="21"/>
                <w:szCs w:val="21"/>
                <w:spacing w:val="2"/>
              </w:rPr>
              <w:t xml:space="preserve"> </w:t>
            </w:r>
            <w:r>
              <w:rPr>
                <w:sz w:val="21"/>
                <w:szCs w:val="21"/>
                <w:spacing w:val="4"/>
              </w:rPr>
              <w:t>出人口应另设，且产品与生猪、</w:t>
            </w:r>
            <w:r>
              <w:rPr>
                <w:sz w:val="21"/>
                <w:szCs w:val="21"/>
                <w:spacing w:val="8"/>
              </w:rPr>
              <w:t xml:space="preserve"> </w:t>
            </w:r>
            <w:r>
              <w:rPr>
                <w:sz w:val="21"/>
                <w:szCs w:val="21"/>
                <w:spacing w:val="-4"/>
              </w:rPr>
              <w:t>废弃物在厂内不得共用一个通</w:t>
            </w:r>
          </w:p>
          <w:p>
            <w:pPr>
              <w:pStyle w:val="TableText"/>
              <w:ind w:left="11"/>
              <w:spacing w:before="18" w:line="226" w:lineRule="auto"/>
              <w:rPr>
                <w:sz w:val="21"/>
                <w:szCs w:val="21"/>
              </w:rPr>
            </w:pPr>
            <w:r>
              <w:rPr>
                <w:sz w:val="21"/>
                <w:szCs w:val="21"/>
                <w:spacing w:val="-2"/>
              </w:rPr>
              <w:t>道。</w:t>
            </w:r>
          </w:p>
          <w:p>
            <w:pPr>
              <w:pStyle w:val="TableText"/>
              <w:ind w:left="11"/>
              <w:spacing w:before="16" w:line="235" w:lineRule="auto"/>
              <w:rPr>
                <w:sz w:val="21"/>
                <w:szCs w:val="21"/>
              </w:rPr>
            </w:pPr>
            <w:r>
              <w:rPr>
                <w:sz w:val="21"/>
                <w:szCs w:val="21"/>
                <w:spacing w:val="-3"/>
              </w:rPr>
              <w:t>4.2.1.5生产区各车间的布局与设</w:t>
            </w:r>
            <w:r>
              <w:rPr>
                <w:sz w:val="21"/>
                <w:szCs w:val="21"/>
                <w:spacing w:val="13"/>
              </w:rPr>
              <w:t xml:space="preserve"> </w:t>
            </w:r>
            <w:r>
              <w:rPr>
                <w:sz w:val="21"/>
                <w:szCs w:val="21"/>
                <w:spacing w:val="-1"/>
              </w:rPr>
              <w:t>施应满足生产工艺流程和卫生要</w:t>
            </w:r>
            <w:r>
              <w:rPr>
                <w:sz w:val="21"/>
                <w:szCs w:val="21"/>
                <w:spacing w:val="1"/>
              </w:rPr>
              <w:t xml:space="preserve"> </w:t>
            </w:r>
            <w:r>
              <w:rPr>
                <w:sz w:val="21"/>
                <w:szCs w:val="21"/>
                <w:spacing w:val="-2"/>
              </w:rPr>
              <w:t>求。厂内清洁区与非清洁区应严</w:t>
            </w:r>
            <w:r>
              <w:rPr>
                <w:sz w:val="21"/>
                <w:szCs w:val="21"/>
                <w:spacing w:val="12"/>
              </w:rPr>
              <w:t xml:space="preserve"> </w:t>
            </w:r>
            <w:r>
              <w:rPr>
                <w:sz w:val="21"/>
                <w:szCs w:val="21"/>
                <w:spacing w:val="-2"/>
              </w:rPr>
              <w:t>格分开。</w:t>
            </w:r>
          </w:p>
          <w:p>
            <w:pPr>
              <w:pStyle w:val="TableText"/>
              <w:ind w:left="11"/>
              <w:spacing w:before="32" w:line="231" w:lineRule="auto"/>
              <w:rPr>
                <w:sz w:val="21"/>
                <w:szCs w:val="21"/>
              </w:rPr>
            </w:pPr>
            <w:r>
              <w:rPr>
                <w:sz w:val="21"/>
                <w:szCs w:val="21"/>
                <w:spacing w:val="-3"/>
              </w:rPr>
              <w:t>4.2.1.6屠宰清洁区与分割车间不</w:t>
            </w:r>
            <w:r>
              <w:rPr>
                <w:sz w:val="21"/>
                <w:szCs w:val="21"/>
                <w:spacing w:val="13"/>
              </w:rPr>
              <w:t xml:space="preserve"> </w:t>
            </w:r>
            <w:r>
              <w:rPr>
                <w:sz w:val="21"/>
                <w:szCs w:val="21"/>
                <w:spacing w:val="-2"/>
              </w:rPr>
              <w:t>应设置在无害化处理间、废弃物</w:t>
            </w:r>
            <w:r>
              <w:rPr>
                <w:sz w:val="21"/>
                <w:szCs w:val="21"/>
                <w:spacing w:val="12"/>
              </w:rPr>
              <w:t xml:space="preserve"> </w:t>
            </w:r>
            <w:r>
              <w:rPr>
                <w:sz w:val="21"/>
                <w:szCs w:val="21"/>
              </w:rPr>
              <w:t>集存场所、污水处理站、锅炉</w:t>
            </w:r>
          </w:p>
          <w:p>
            <w:pPr>
              <w:pStyle w:val="TableText"/>
              <w:ind w:left="11"/>
              <w:spacing w:before="31" w:line="219" w:lineRule="auto"/>
              <w:rPr>
                <w:sz w:val="21"/>
                <w:szCs w:val="21"/>
              </w:rPr>
            </w:pPr>
            <w:r>
              <w:rPr>
                <w:sz w:val="21"/>
                <w:szCs w:val="21"/>
                <w:spacing w:val="-1"/>
              </w:rPr>
              <w:t>房、煤场等建(构)筑物及场所</w:t>
            </w:r>
          </w:p>
          <w:p>
            <w:pPr>
              <w:pStyle w:val="TableText"/>
              <w:ind w:left="11" w:right="53"/>
              <w:spacing w:before="21" w:line="231" w:lineRule="auto"/>
              <w:rPr>
                <w:sz w:val="21"/>
                <w:szCs w:val="21"/>
              </w:rPr>
            </w:pPr>
            <w:r>
              <w:rPr>
                <w:sz w:val="21"/>
                <w:szCs w:val="21"/>
              </w:rPr>
              <w:t>的主导风向的下风侧，其间距应</w:t>
            </w:r>
            <w:r>
              <w:rPr>
                <w:sz w:val="21"/>
                <w:szCs w:val="21"/>
                <w:spacing w:val="7"/>
              </w:rPr>
              <w:t xml:space="preserve"> </w:t>
            </w:r>
            <w:r>
              <w:rPr>
                <w:sz w:val="21"/>
                <w:szCs w:val="21"/>
              </w:rPr>
              <w:t>符合环保、食品卫生以及建筑防</w:t>
            </w:r>
            <w:r>
              <w:rPr>
                <w:sz w:val="21"/>
                <w:szCs w:val="21"/>
                <w:spacing w:val="10"/>
              </w:rPr>
              <w:t xml:space="preserve"> </w:t>
            </w:r>
            <w:r>
              <w:rPr>
                <w:sz w:val="21"/>
                <w:szCs w:val="21"/>
                <w:spacing w:val="-1"/>
              </w:rPr>
              <w:t>火等方面的要求。</w:t>
            </w:r>
          </w:p>
        </w:tc>
        <w:tc>
          <w:tcPr>
            <w:tcW w:w="3116" w:type="dxa"/>
            <w:vAlign w:val="top"/>
          </w:tcPr>
          <w:p>
            <w:pPr>
              <w:pStyle w:val="TableText"/>
              <w:ind w:left="14" w:right="115"/>
              <w:spacing w:before="38" w:line="234" w:lineRule="auto"/>
              <w:rPr>
                <w:sz w:val="21"/>
                <w:szCs w:val="21"/>
              </w:rPr>
            </w:pPr>
            <w:r>
              <w:rPr>
                <w:sz w:val="21"/>
                <w:szCs w:val="21"/>
                <w:spacing w:val="2"/>
              </w:rPr>
              <w:t>本项目厂址远离供水水源地和自</w:t>
            </w:r>
            <w:r>
              <w:rPr>
                <w:sz w:val="21"/>
                <w:szCs w:val="21"/>
                <w:spacing w:val="6"/>
              </w:rPr>
              <w:t xml:space="preserve"> </w:t>
            </w:r>
            <w:r>
              <w:rPr>
                <w:sz w:val="21"/>
                <w:szCs w:val="21"/>
                <w:spacing w:val="-1"/>
              </w:rPr>
              <w:t>来水取水口，废水外排至园区污</w:t>
            </w:r>
            <w:r>
              <w:rPr>
                <w:sz w:val="21"/>
                <w:szCs w:val="21"/>
                <w:spacing w:val="3"/>
              </w:rPr>
              <w:t xml:space="preserve"> </w:t>
            </w:r>
            <w:r>
              <w:rPr>
                <w:sz w:val="21"/>
                <w:szCs w:val="21"/>
                <w:spacing w:val="-1"/>
              </w:rPr>
              <w:t>水管网，经安州区第三污水处理</w:t>
            </w:r>
            <w:r>
              <w:rPr>
                <w:sz w:val="21"/>
                <w:szCs w:val="21"/>
                <w:spacing w:val="2"/>
              </w:rPr>
              <w:t xml:space="preserve"> </w:t>
            </w:r>
            <w:r>
              <w:rPr>
                <w:sz w:val="21"/>
                <w:szCs w:val="21"/>
                <w:spacing w:val="-1"/>
              </w:rPr>
              <w:t>厂处理达标后，排放至涪江(排</w:t>
            </w:r>
            <w:r>
              <w:rPr>
                <w:sz w:val="21"/>
                <w:szCs w:val="21"/>
                <w:spacing w:val="1"/>
              </w:rPr>
              <w:t xml:space="preserve">  </w:t>
            </w:r>
            <w:r>
              <w:rPr>
                <w:sz w:val="21"/>
                <w:szCs w:val="21"/>
              </w:rPr>
              <w:t>口已迁建完成);厂址周围以食</w:t>
            </w:r>
          </w:p>
          <w:p>
            <w:pPr>
              <w:pStyle w:val="TableText"/>
              <w:ind w:left="14" w:right="134"/>
              <w:rPr>
                <w:sz w:val="21"/>
                <w:szCs w:val="21"/>
              </w:rPr>
            </w:pPr>
            <w:r>
              <w:rPr>
                <w:sz w:val="21"/>
                <w:szCs w:val="21"/>
                <w:spacing w:val="1"/>
              </w:rPr>
              <w:t>品、医药企业为主，具备良好的 </w:t>
            </w:r>
            <w:r>
              <w:rPr>
                <w:sz w:val="21"/>
                <w:szCs w:val="21"/>
              </w:rPr>
              <w:t>环境卫生条件；根据调查，本项</w:t>
            </w:r>
            <w:r>
              <w:rPr>
                <w:sz w:val="21"/>
                <w:szCs w:val="21"/>
                <w:spacing w:val="12"/>
              </w:rPr>
              <w:t xml:space="preserve"> </w:t>
            </w:r>
            <w:r>
              <w:rPr>
                <w:sz w:val="21"/>
                <w:szCs w:val="21"/>
                <w:spacing w:val="1"/>
              </w:rPr>
              <w:t>目位于安州区工业园内，南侧</w:t>
            </w:r>
          </w:p>
          <w:p>
            <w:pPr>
              <w:pStyle w:val="TableText"/>
              <w:ind w:left="14"/>
              <w:spacing w:line="219" w:lineRule="auto"/>
              <w:rPr>
                <w:sz w:val="21"/>
                <w:szCs w:val="21"/>
              </w:rPr>
            </w:pPr>
            <w:r>
              <w:rPr>
                <w:sz w:val="21"/>
                <w:szCs w:val="21"/>
                <w:spacing w:val="1"/>
              </w:rPr>
              <w:t>70m为四川昂川制药有限公司</w:t>
            </w:r>
          </w:p>
          <w:p>
            <w:pPr>
              <w:pStyle w:val="TableText"/>
              <w:ind w:left="14"/>
              <w:spacing w:before="17" w:line="216" w:lineRule="auto"/>
              <w:rPr>
                <w:sz w:val="21"/>
                <w:szCs w:val="21"/>
              </w:rPr>
            </w:pPr>
            <w:r>
              <w:rPr>
                <w:sz w:val="21"/>
                <w:szCs w:val="21"/>
                <w:spacing w:val="4"/>
              </w:rPr>
              <w:t>(兽药、饲料、添加剂生产),</w:t>
            </w:r>
          </w:p>
          <w:p>
            <w:pPr>
              <w:pStyle w:val="TableText"/>
              <w:ind w:left="14" w:right="249"/>
              <w:spacing w:before="36" w:line="227" w:lineRule="auto"/>
              <w:rPr>
                <w:sz w:val="21"/>
                <w:szCs w:val="21"/>
              </w:rPr>
            </w:pPr>
            <w:r>
              <w:rPr>
                <w:sz w:val="21"/>
                <w:szCs w:val="21"/>
              </w:rPr>
              <w:t>东南侧70m为绵阳辉达粮油有限</w:t>
            </w:r>
            <w:r>
              <w:rPr>
                <w:sz w:val="21"/>
                <w:szCs w:val="21"/>
                <w:spacing w:val="5"/>
              </w:rPr>
              <w:t xml:space="preserve"> </w:t>
            </w:r>
            <w:r>
              <w:rPr>
                <w:sz w:val="21"/>
                <w:szCs w:val="21"/>
              </w:rPr>
              <w:t>公司(食用油加工),都设有</w:t>
            </w:r>
          </w:p>
          <w:p>
            <w:pPr>
              <w:pStyle w:val="TableText"/>
              <w:ind w:left="14" w:right="137"/>
              <w:spacing w:before="3" w:line="239" w:lineRule="auto"/>
              <w:rPr>
                <w:sz w:val="21"/>
                <w:szCs w:val="21"/>
              </w:rPr>
            </w:pPr>
            <w:r>
              <w:rPr>
                <w:sz w:val="21"/>
                <w:szCs w:val="21"/>
                <w:spacing w:val="-1"/>
              </w:rPr>
              <w:t>50m的卫生防护距离，本项目不</w:t>
            </w:r>
            <w:r>
              <w:rPr>
                <w:sz w:val="21"/>
                <w:szCs w:val="21"/>
              </w:rPr>
              <w:t xml:space="preserve">  </w:t>
            </w:r>
            <w:r>
              <w:rPr>
                <w:sz w:val="21"/>
                <w:szCs w:val="21"/>
                <w:spacing w:val="-1"/>
              </w:rPr>
              <w:t>在两企业卫生防护距离范围内。</w:t>
            </w:r>
            <w:r>
              <w:rPr>
                <w:sz w:val="21"/>
                <w:szCs w:val="21"/>
                <w:spacing w:val="7"/>
              </w:rPr>
              <w:t xml:space="preserve"> </w:t>
            </w:r>
            <w:r>
              <w:rPr>
                <w:sz w:val="21"/>
                <w:szCs w:val="21"/>
                <w:spacing w:val="-1"/>
              </w:rPr>
              <w:t>根据现场监测，项目所在区域环</w:t>
            </w:r>
            <w:r>
              <w:rPr>
                <w:sz w:val="21"/>
                <w:szCs w:val="21"/>
                <w:spacing w:val="4"/>
              </w:rPr>
              <w:t xml:space="preserve"> </w:t>
            </w:r>
            <w:r>
              <w:rPr>
                <w:sz w:val="21"/>
                <w:szCs w:val="21"/>
              </w:rPr>
              <w:t>境空气质量良好，无对食品有显</w:t>
            </w:r>
            <w:r>
              <w:rPr>
                <w:sz w:val="21"/>
                <w:szCs w:val="21"/>
                <w:spacing w:val="12"/>
              </w:rPr>
              <w:t xml:space="preserve"> </w:t>
            </w:r>
            <w:r>
              <w:rPr>
                <w:sz w:val="21"/>
                <w:szCs w:val="21"/>
              </w:rPr>
              <w:t>著污染的区域，本项目所在区域</w:t>
            </w:r>
            <w:r>
              <w:rPr>
                <w:sz w:val="21"/>
                <w:szCs w:val="21"/>
                <w:spacing w:val="7"/>
              </w:rPr>
              <w:t xml:space="preserve"> </w:t>
            </w:r>
            <w:r>
              <w:rPr>
                <w:sz w:val="21"/>
                <w:szCs w:val="21"/>
                <w:spacing w:val="-1"/>
              </w:rPr>
              <w:t>属于可以通过采取措施加以改</w:t>
            </w:r>
          </w:p>
          <w:p>
            <w:pPr>
              <w:pStyle w:val="TableText"/>
              <w:ind w:left="14" w:right="137"/>
              <w:spacing w:before="4" w:line="239" w:lineRule="auto"/>
              <w:rPr>
                <w:sz w:val="21"/>
                <w:szCs w:val="21"/>
              </w:rPr>
            </w:pPr>
            <w:r>
              <w:rPr>
                <w:sz w:val="21"/>
                <w:szCs w:val="21"/>
                <w:spacing w:val="-1"/>
              </w:rPr>
              <w:t>善、有效清除污染源的区域；本</w:t>
            </w:r>
            <w:r>
              <w:rPr>
                <w:sz w:val="21"/>
                <w:szCs w:val="21"/>
                <w:spacing w:val="3"/>
              </w:rPr>
              <w:t xml:space="preserve"> </w:t>
            </w:r>
            <w:r>
              <w:rPr>
                <w:sz w:val="21"/>
                <w:szCs w:val="21"/>
                <w:spacing w:val="-1"/>
              </w:rPr>
              <w:t>项目厂址周围供水为市政供应，</w:t>
            </w:r>
            <w:r>
              <w:rPr>
                <w:sz w:val="21"/>
                <w:szCs w:val="21"/>
                <w:spacing w:val="7"/>
              </w:rPr>
              <w:t xml:space="preserve"> </w:t>
            </w:r>
            <w:r>
              <w:rPr>
                <w:sz w:val="21"/>
                <w:szCs w:val="21"/>
              </w:rPr>
              <w:t>生产用水水质应符合GB5749规定</w:t>
            </w:r>
            <w:r>
              <w:rPr>
                <w:sz w:val="21"/>
                <w:szCs w:val="21"/>
                <w:spacing w:val="12"/>
              </w:rPr>
              <w:t xml:space="preserve"> </w:t>
            </w:r>
            <w:r>
              <w:rPr>
                <w:sz w:val="21"/>
                <w:szCs w:val="21"/>
              </w:rPr>
              <w:t>的要求；厂区划为生产区和非生</w:t>
            </w:r>
            <w:r>
              <w:rPr>
                <w:sz w:val="21"/>
                <w:szCs w:val="21"/>
                <w:spacing w:val="8"/>
              </w:rPr>
              <w:t xml:space="preserve"> </w:t>
            </w:r>
            <w:r>
              <w:rPr>
                <w:sz w:val="21"/>
                <w:szCs w:val="21"/>
                <w:spacing w:val="-1"/>
              </w:rPr>
              <w:t>产区，生产区单独设置生猪与废</w:t>
            </w:r>
            <w:r>
              <w:rPr>
                <w:sz w:val="21"/>
                <w:szCs w:val="21"/>
                <w:spacing w:val="4"/>
              </w:rPr>
              <w:t xml:space="preserve"> </w:t>
            </w:r>
            <w:r>
              <w:rPr>
                <w:sz w:val="21"/>
                <w:szCs w:val="21"/>
              </w:rPr>
              <w:t>弃物的出入口，产品和人员出人</w:t>
            </w:r>
            <w:r>
              <w:rPr>
                <w:sz w:val="21"/>
                <w:szCs w:val="21"/>
                <w:spacing w:val="7"/>
              </w:rPr>
              <w:t xml:space="preserve"> </w:t>
            </w:r>
            <w:r>
              <w:rPr>
                <w:sz w:val="21"/>
                <w:szCs w:val="21"/>
              </w:rPr>
              <w:t>口应另设，且产品与生猪、废弃</w:t>
            </w:r>
            <w:r>
              <w:rPr>
                <w:sz w:val="21"/>
                <w:szCs w:val="21"/>
                <w:spacing w:val="9"/>
              </w:rPr>
              <w:t xml:space="preserve"> </w:t>
            </w:r>
            <w:r>
              <w:rPr>
                <w:sz w:val="21"/>
                <w:szCs w:val="21"/>
              </w:rPr>
              <w:t>物在厂内不共用一个通道；生产</w:t>
            </w:r>
            <w:r>
              <w:rPr>
                <w:sz w:val="21"/>
                <w:szCs w:val="21"/>
                <w:spacing w:val="12"/>
              </w:rPr>
              <w:t xml:space="preserve"> </w:t>
            </w:r>
            <w:r>
              <w:rPr>
                <w:sz w:val="21"/>
                <w:szCs w:val="21"/>
              </w:rPr>
              <w:t>区各车间的布局与设施满足生产</w:t>
            </w:r>
            <w:r>
              <w:rPr>
                <w:sz w:val="21"/>
                <w:szCs w:val="21"/>
                <w:spacing w:val="11"/>
              </w:rPr>
              <w:t xml:space="preserve"> </w:t>
            </w:r>
            <w:r>
              <w:rPr>
                <w:sz w:val="21"/>
                <w:szCs w:val="21"/>
                <w:spacing w:val="-1"/>
              </w:rPr>
              <w:t>工艺流程和卫生要求；屠宰清洁</w:t>
            </w:r>
            <w:r>
              <w:rPr>
                <w:sz w:val="21"/>
                <w:szCs w:val="21"/>
                <w:spacing w:val="2"/>
              </w:rPr>
              <w:t xml:space="preserve"> </w:t>
            </w:r>
            <w:r>
              <w:rPr>
                <w:sz w:val="21"/>
                <w:szCs w:val="21"/>
              </w:rPr>
              <w:t>区与分割车间不设置在无害化处</w:t>
            </w:r>
            <w:r>
              <w:rPr>
                <w:sz w:val="21"/>
                <w:szCs w:val="21"/>
                <w:spacing w:val="8"/>
              </w:rPr>
              <w:t xml:space="preserve"> </w:t>
            </w:r>
            <w:r>
              <w:rPr>
                <w:sz w:val="21"/>
                <w:szCs w:val="21"/>
                <w:spacing w:val="-1"/>
              </w:rPr>
              <w:t>理间、废弃物集存场所、污水处</w:t>
            </w:r>
            <w:r>
              <w:rPr>
                <w:sz w:val="21"/>
                <w:szCs w:val="21"/>
                <w:spacing w:val="2"/>
              </w:rPr>
              <w:t xml:space="preserve"> </w:t>
            </w:r>
            <w:r>
              <w:rPr>
                <w:sz w:val="21"/>
                <w:szCs w:val="21"/>
                <w:spacing w:val="3"/>
              </w:rPr>
              <w:t>理站、锅炉房、煤场等建(构)</w:t>
            </w:r>
            <w:r>
              <w:rPr>
                <w:sz w:val="21"/>
                <w:szCs w:val="21"/>
                <w:spacing w:val="1"/>
              </w:rPr>
              <w:t xml:space="preserve">  </w:t>
            </w:r>
            <w:r>
              <w:rPr>
                <w:sz w:val="21"/>
                <w:szCs w:val="21"/>
                <w:spacing w:val="-1"/>
              </w:rPr>
              <w:t>筑物及场所的主导风向的下风</w:t>
            </w:r>
          </w:p>
          <w:p>
            <w:pPr>
              <w:pStyle w:val="TableText"/>
              <w:ind w:left="14" w:right="157"/>
              <w:spacing w:before="1" w:line="221" w:lineRule="auto"/>
              <w:rPr>
                <w:sz w:val="21"/>
                <w:szCs w:val="21"/>
              </w:rPr>
            </w:pPr>
            <w:r>
              <w:rPr>
                <w:sz w:val="21"/>
                <w:szCs w:val="21"/>
                <w:spacing w:val="-1"/>
              </w:rPr>
              <w:t>侧，其间距符合环保、食品卫生</w:t>
            </w:r>
            <w:r>
              <w:rPr>
                <w:sz w:val="21"/>
                <w:szCs w:val="21"/>
                <w:spacing w:val="6"/>
              </w:rPr>
              <w:t xml:space="preserve"> </w:t>
            </w:r>
            <w:r>
              <w:rPr>
                <w:sz w:val="21"/>
                <w:szCs w:val="21"/>
                <w:spacing w:val="-1"/>
              </w:rPr>
              <w:t>以及建筑防火等方面的要求。</w:t>
            </w:r>
          </w:p>
        </w:tc>
        <w:tc>
          <w:tcPr>
            <w:tcW w:w="724"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148"/>
              <w:spacing w:before="68" w:line="219" w:lineRule="auto"/>
              <w:rPr>
                <w:sz w:val="21"/>
                <w:szCs w:val="21"/>
              </w:rPr>
            </w:pPr>
            <w:r>
              <w:rPr>
                <w:sz w:val="21"/>
                <w:szCs w:val="21"/>
                <w:spacing w:val="-3"/>
              </w:rPr>
              <w:t>符合</w:t>
            </w:r>
          </w:p>
        </w:tc>
      </w:tr>
      <w:tr>
        <w:trPr>
          <w:trHeight w:val="4162" w:hRule="atLeast"/>
        </w:trPr>
        <w:tc>
          <w:tcPr>
            <w:tcW w:w="1274" w:type="dxa"/>
            <w:vAlign w:val="top"/>
            <w:vMerge w:val="continue"/>
            <w:tcBorders>
              <w:top w:val="nil"/>
            </w:tcBorders>
          </w:tcPr>
          <w:p>
            <w:pPr>
              <w:rPr>
                <w:rFonts w:ascii="Arial"/>
                <w:sz w:val="21"/>
              </w:rPr>
            </w:pPr>
            <w:r/>
          </w:p>
        </w:tc>
        <w:tc>
          <w:tcPr>
            <w:tcW w:w="799" w:type="dxa"/>
            <w:vAlign w:val="top"/>
            <w:vMerge w:val="continue"/>
            <w:tcBorders>
              <w:top w:val="nil"/>
            </w:tcBorders>
          </w:tcPr>
          <w:p>
            <w:pPr>
              <w:rPr>
                <w:rFonts w:ascii="Arial"/>
                <w:sz w:val="21"/>
              </w:rPr>
            </w:pPr>
            <w:r/>
          </w:p>
        </w:tc>
        <w:tc>
          <w:tcPr>
            <w:tcW w:w="3027" w:type="dxa"/>
            <w:vAlign w:val="top"/>
          </w:tcPr>
          <w:p>
            <w:pPr>
              <w:pStyle w:val="TableText"/>
              <w:ind w:left="11"/>
              <w:spacing w:before="47" w:line="220" w:lineRule="auto"/>
              <w:rPr>
                <w:sz w:val="21"/>
                <w:szCs w:val="21"/>
              </w:rPr>
            </w:pPr>
            <w:r>
              <w:rPr>
                <w:sz w:val="21"/>
                <w:szCs w:val="21"/>
                <w:spacing w:val="-1"/>
              </w:rPr>
              <w:t>4.2.2环境卫生</w:t>
            </w:r>
          </w:p>
          <w:p>
            <w:pPr>
              <w:pStyle w:val="TableText"/>
              <w:ind w:left="11"/>
              <w:spacing w:before="18" w:line="237" w:lineRule="auto"/>
              <w:rPr>
                <w:sz w:val="21"/>
                <w:szCs w:val="21"/>
              </w:rPr>
            </w:pPr>
            <w:r>
              <w:rPr>
                <w:sz w:val="21"/>
                <w:szCs w:val="21"/>
                <w:spacing w:val="-3"/>
              </w:rPr>
              <w:t>4.2.2.1厂区应有围墙，路面、场</w:t>
            </w:r>
            <w:r>
              <w:rPr>
                <w:sz w:val="21"/>
                <w:szCs w:val="21"/>
                <w:spacing w:val="13"/>
              </w:rPr>
              <w:t xml:space="preserve"> </w:t>
            </w:r>
            <w:r>
              <w:rPr>
                <w:sz w:val="21"/>
                <w:szCs w:val="21"/>
                <w:spacing w:val="-2"/>
              </w:rPr>
              <w:t>地应平整、无积水。主要道路及</w:t>
            </w:r>
            <w:r>
              <w:rPr>
                <w:sz w:val="21"/>
                <w:szCs w:val="21"/>
                <w:spacing w:val="11"/>
              </w:rPr>
              <w:t xml:space="preserve"> </w:t>
            </w:r>
            <w:r>
              <w:rPr>
                <w:sz w:val="21"/>
                <w:szCs w:val="21"/>
                <w:spacing w:val="-1"/>
              </w:rPr>
              <w:t>场地应采用混凝土或沥青铺设。</w:t>
            </w:r>
          </w:p>
          <w:p>
            <w:pPr>
              <w:pStyle w:val="TableText"/>
              <w:ind w:left="11" w:right="280"/>
              <w:spacing w:before="31" w:line="233" w:lineRule="auto"/>
              <w:rPr>
                <w:sz w:val="21"/>
                <w:szCs w:val="21"/>
              </w:rPr>
            </w:pPr>
            <w:r>
              <w:rPr>
                <w:sz w:val="21"/>
                <w:szCs w:val="21"/>
                <w:spacing w:val="1"/>
              </w:rPr>
              <w:t>4.2.2.2厂区内建(构)筑物周 </w:t>
            </w:r>
            <w:r>
              <w:rPr>
                <w:sz w:val="21"/>
                <w:szCs w:val="21"/>
                <w:spacing w:val="-1"/>
              </w:rPr>
              <w:t>围、道路的两侧空地应绿化。</w:t>
            </w:r>
          </w:p>
          <w:p>
            <w:pPr>
              <w:pStyle w:val="TableText"/>
              <w:ind w:left="11" w:right="597"/>
              <w:spacing w:before="11" w:line="233" w:lineRule="auto"/>
              <w:rPr>
                <w:sz w:val="21"/>
                <w:szCs w:val="21"/>
              </w:rPr>
            </w:pPr>
            <w:r>
              <w:rPr>
                <w:sz w:val="21"/>
                <w:szCs w:val="21"/>
                <w:spacing w:val="-1"/>
              </w:rPr>
              <w:t>4.2.2.3污染物排放应满足</w:t>
            </w:r>
            <w:r>
              <w:rPr>
                <w:sz w:val="21"/>
                <w:szCs w:val="21"/>
                <w:spacing w:val="6"/>
              </w:rPr>
              <w:t xml:space="preserve"> </w:t>
            </w:r>
            <w:r>
              <w:rPr>
                <w:sz w:val="21"/>
                <w:szCs w:val="21"/>
                <w:spacing w:val="-1"/>
              </w:rPr>
              <w:t>GB13457的规定。</w:t>
            </w:r>
          </w:p>
          <w:p>
            <w:pPr>
              <w:pStyle w:val="TableText"/>
              <w:ind w:left="11"/>
              <w:spacing w:before="29" w:line="234" w:lineRule="auto"/>
              <w:rPr>
                <w:sz w:val="21"/>
                <w:szCs w:val="21"/>
              </w:rPr>
            </w:pPr>
            <w:r>
              <w:rPr>
                <w:sz w:val="21"/>
                <w:szCs w:val="21"/>
                <w:spacing w:val="-3"/>
              </w:rPr>
              <w:t>4.2.2.4厂内应在远离屠宰与分割</w:t>
            </w:r>
            <w:r>
              <w:rPr>
                <w:sz w:val="21"/>
                <w:szCs w:val="21"/>
                <w:spacing w:val="13"/>
              </w:rPr>
              <w:t xml:space="preserve"> </w:t>
            </w:r>
            <w:r>
              <w:rPr>
                <w:sz w:val="21"/>
                <w:szCs w:val="21"/>
              </w:rPr>
              <w:t>车间的非清洁区内设有畜粪、废 </w:t>
            </w:r>
            <w:r>
              <w:rPr>
                <w:sz w:val="21"/>
                <w:szCs w:val="21"/>
                <w:spacing w:val="-2"/>
              </w:rPr>
              <w:t>弃物等的暂时集存场所，其地</w:t>
            </w:r>
          </w:p>
          <w:p>
            <w:pPr>
              <w:pStyle w:val="TableText"/>
              <w:ind w:left="11"/>
              <w:spacing w:before="30" w:line="219" w:lineRule="auto"/>
              <w:rPr>
                <w:sz w:val="21"/>
                <w:szCs w:val="21"/>
              </w:rPr>
            </w:pPr>
            <w:r>
              <w:rPr>
                <w:sz w:val="21"/>
                <w:szCs w:val="21"/>
                <w:spacing w:val="1"/>
              </w:rPr>
              <w:t>面、围墙或池壁应便于冲洗消</w:t>
            </w:r>
          </w:p>
          <w:p>
            <w:pPr>
              <w:pStyle w:val="TableText"/>
              <w:ind w:left="11" w:right="52"/>
              <w:spacing w:before="32" w:line="230" w:lineRule="auto"/>
              <w:rPr>
                <w:sz w:val="21"/>
                <w:szCs w:val="21"/>
              </w:rPr>
            </w:pPr>
            <w:r>
              <w:rPr>
                <w:sz w:val="21"/>
                <w:szCs w:val="21"/>
                <w:spacing w:val="-1"/>
              </w:rPr>
              <w:t>毒。运送废弃物的车辆应密闭，</w:t>
            </w:r>
            <w:r>
              <w:rPr>
                <w:sz w:val="21"/>
                <w:szCs w:val="21"/>
                <w:spacing w:val="8"/>
              </w:rPr>
              <w:t xml:space="preserve"> </w:t>
            </w:r>
            <w:r>
              <w:rPr>
                <w:sz w:val="21"/>
                <w:szCs w:val="21"/>
              </w:rPr>
              <w:t>并应配备清洗消毒设施及存放场</w:t>
            </w:r>
            <w:r>
              <w:rPr>
                <w:sz w:val="21"/>
                <w:szCs w:val="21"/>
                <w:spacing w:val="12"/>
              </w:rPr>
              <w:t xml:space="preserve"> </w:t>
            </w:r>
            <w:r>
              <w:rPr>
                <w:sz w:val="21"/>
                <w:szCs w:val="21"/>
                <w:spacing w:val="-2"/>
              </w:rPr>
              <w:t>所。</w:t>
            </w:r>
          </w:p>
        </w:tc>
        <w:tc>
          <w:tcPr>
            <w:tcW w:w="3116" w:type="dxa"/>
            <w:vAlign w:val="top"/>
          </w:tcPr>
          <w:p>
            <w:pPr>
              <w:spacing w:line="393" w:lineRule="auto"/>
              <w:rPr>
                <w:rFonts w:ascii="Arial"/>
                <w:sz w:val="21"/>
              </w:rPr>
            </w:pPr>
            <w:r/>
          </w:p>
          <w:p>
            <w:pPr>
              <w:pStyle w:val="TableText"/>
              <w:ind w:left="14" w:right="45"/>
              <w:spacing w:before="68" w:line="236" w:lineRule="auto"/>
              <w:rPr>
                <w:sz w:val="21"/>
                <w:szCs w:val="21"/>
              </w:rPr>
            </w:pPr>
            <w:r>
              <w:rPr>
                <w:sz w:val="21"/>
                <w:szCs w:val="21"/>
                <w:spacing w:val="7"/>
              </w:rPr>
              <w:t>本项目厂区内设有围墙，路面、</w:t>
            </w:r>
            <w:r>
              <w:rPr>
                <w:sz w:val="21"/>
                <w:szCs w:val="21"/>
                <w:spacing w:val="6"/>
              </w:rPr>
              <w:t xml:space="preserve"> </w:t>
            </w:r>
            <w:r>
              <w:rPr>
                <w:sz w:val="21"/>
                <w:szCs w:val="21"/>
                <w:spacing w:val="-1"/>
              </w:rPr>
              <w:t>场地平整、无积水。主要道路及</w:t>
            </w:r>
            <w:r>
              <w:rPr>
                <w:sz w:val="21"/>
                <w:szCs w:val="21"/>
                <w:spacing w:val="2"/>
              </w:rPr>
              <w:t xml:space="preserve">  </w:t>
            </w:r>
            <w:r>
              <w:rPr>
                <w:sz w:val="21"/>
                <w:szCs w:val="21"/>
                <w:spacing w:val="-1"/>
              </w:rPr>
              <w:t>场地采用混凝土或沥青铺设；厂</w:t>
            </w:r>
            <w:r>
              <w:rPr>
                <w:sz w:val="21"/>
                <w:szCs w:val="21"/>
                <w:spacing w:val="2"/>
              </w:rPr>
              <w:t xml:space="preserve">  </w:t>
            </w:r>
            <w:r>
              <w:rPr>
                <w:sz w:val="21"/>
                <w:szCs w:val="21"/>
                <w:spacing w:val="1"/>
              </w:rPr>
              <w:t>区内建(构)筑物周围、道路的</w:t>
            </w:r>
          </w:p>
          <w:p>
            <w:pPr>
              <w:pStyle w:val="TableText"/>
              <w:ind w:left="14" w:right="45"/>
              <w:spacing w:before="12" w:line="245" w:lineRule="auto"/>
              <w:rPr>
                <w:sz w:val="21"/>
                <w:szCs w:val="21"/>
              </w:rPr>
            </w:pPr>
            <w:r>
              <w:rPr>
                <w:sz w:val="21"/>
                <w:szCs w:val="21"/>
                <w:spacing w:val="-1"/>
              </w:rPr>
              <w:t>两侧空地设置绿化；本项目污染</w:t>
            </w:r>
            <w:r>
              <w:rPr>
                <w:sz w:val="21"/>
                <w:szCs w:val="21"/>
                <w:spacing w:val="1"/>
              </w:rPr>
              <w:t xml:space="preserve">  </w:t>
            </w:r>
            <w:r>
              <w:rPr>
                <w:sz w:val="21"/>
                <w:szCs w:val="21"/>
                <w:spacing w:val="1"/>
              </w:rPr>
              <w:t>物经治理后排放满足</w:t>
            </w:r>
            <w:r>
              <w:rPr>
                <w:sz w:val="21"/>
                <w:szCs w:val="21"/>
              </w:rPr>
              <w:t>GB</w:t>
            </w:r>
            <w:r>
              <w:rPr>
                <w:sz w:val="21"/>
                <w:szCs w:val="21"/>
                <w:spacing w:val="1"/>
              </w:rPr>
              <w:t>13457中</w:t>
            </w:r>
            <w:r>
              <w:rPr>
                <w:sz w:val="21"/>
                <w:szCs w:val="21"/>
              </w:rPr>
              <w:t xml:space="preserve">   </w:t>
            </w:r>
            <w:r>
              <w:rPr>
                <w:sz w:val="21"/>
                <w:szCs w:val="21"/>
                <w:spacing w:val="-1"/>
              </w:rPr>
              <w:t>相关规定；厂内在远离屠宰与分</w:t>
            </w:r>
            <w:r>
              <w:rPr>
                <w:sz w:val="21"/>
                <w:szCs w:val="21"/>
                <w:spacing w:val="2"/>
              </w:rPr>
              <w:t xml:space="preserve">  </w:t>
            </w:r>
            <w:r>
              <w:rPr>
                <w:sz w:val="21"/>
                <w:szCs w:val="21"/>
                <w:spacing w:val="7"/>
              </w:rPr>
              <w:t>割车间的非清洁区内设有畜粪、</w:t>
            </w:r>
            <w:r>
              <w:rPr>
                <w:sz w:val="21"/>
                <w:szCs w:val="21"/>
                <w:spacing w:val="6"/>
              </w:rPr>
              <w:t xml:space="preserve"> </w:t>
            </w:r>
            <w:r>
              <w:rPr>
                <w:sz w:val="21"/>
                <w:szCs w:val="21"/>
                <w:spacing w:val="-1"/>
              </w:rPr>
              <w:t>废弃物等的暂时集存场所，其地</w:t>
            </w:r>
            <w:r>
              <w:rPr>
                <w:sz w:val="21"/>
                <w:szCs w:val="21"/>
                <w:spacing w:val="2"/>
              </w:rPr>
              <w:t xml:space="preserve">  </w:t>
            </w:r>
            <w:r>
              <w:rPr>
                <w:sz w:val="21"/>
                <w:szCs w:val="21"/>
                <w:spacing w:val="-1"/>
              </w:rPr>
              <w:t>面、围墙或池壁便于冲洗消毒。</w:t>
            </w:r>
            <w:r>
              <w:rPr>
                <w:sz w:val="21"/>
                <w:szCs w:val="21"/>
                <w:spacing w:val="3"/>
              </w:rPr>
              <w:t xml:space="preserve">  </w:t>
            </w:r>
            <w:r>
              <w:rPr>
                <w:sz w:val="21"/>
                <w:szCs w:val="21"/>
                <w:spacing w:val="-1"/>
              </w:rPr>
              <w:t>运送废弃物的车辆应密闭，并配</w:t>
            </w:r>
            <w:r>
              <w:rPr>
                <w:sz w:val="21"/>
                <w:szCs w:val="21"/>
                <w:spacing w:val="2"/>
              </w:rPr>
              <w:t xml:space="preserve">  </w:t>
            </w:r>
            <w:r>
              <w:rPr>
                <w:sz w:val="21"/>
                <w:szCs w:val="21"/>
                <w:spacing w:val="-1"/>
              </w:rPr>
              <w:t>备清洗消毒设施及存放场所。</w:t>
            </w:r>
          </w:p>
        </w:tc>
        <w:tc>
          <w:tcPr>
            <w:tcW w:w="724" w:type="dxa"/>
            <w:vAlign w:val="top"/>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pStyle w:val="TableText"/>
              <w:ind w:left="148"/>
              <w:spacing w:before="68" w:line="219" w:lineRule="auto"/>
              <w:rPr>
                <w:sz w:val="21"/>
                <w:szCs w:val="21"/>
              </w:rPr>
            </w:pPr>
            <w:r>
              <w:rPr>
                <w:sz w:val="21"/>
                <w:szCs w:val="21"/>
                <w:spacing w:val="-3"/>
              </w:rPr>
              <w:t>符合</w:t>
            </w:r>
          </w:p>
        </w:tc>
      </w:tr>
    </w:tbl>
    <w:p>
      <w:pPr>
        <w:pStyle w:val="BodyText"/>
        <w:rPr/>
      </w:pPr>
      <w:r/>
    </w:p>
    <w:p>
      <w:pPr>
        <w:sectPr>
          <w:headerReference w:type="default" r:id="rId64"/>
          <w:footerReference w:type="default" r:id="rId65"/>
          <w:pgSz w:w="11910" w:h="16840"/>
          <w:pgMar w:top="1147" w:right="1504" w:bottom="1003" w:left="1455" w:header="855" w:footer="756" w:gutter="0"/>
        </w:sectPr>
        <w:rPr/>
      </w:pPr>
    </w:p>
    <w:p>
      <w:pPr>
        <w:spacing w:line="234" w:lineRule="exact"/>
        <w:rPr/>
      </w:pPr>
      <w:r/>
    </w:p>
    <w:tbl>
      <w:tblPr>
        <w:tblStyle w:val="TableNormal"/>
        <w:tblW w:w="888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63"/>
        <w:gridCol w:w="779"/>
        <w:gridCol w:w="3017"/>
        <w:gridCol w:w="3116"/>
        <w:gridCol w:w="714"/>
      </w:tblGrid>
      <w:tr>
        <w:trPr>
          <w:trHeight w:val="265" w:hRule="atLeast"/>
        </w:trPr>
        <w:tc>
          <w:tcPr>
            <w:shd w:val="clear" w:fill="BDBDBD"/>
            <w:tcW w:w="1263" w:type="dxa"/>
            <w:vAlign w:val="top"/>
          </w:tcPr>
          <w:p>
            <w:pPr>
              <w:pStyle w:val="TableText"/>
              <w:ind w:left="387"/>
              <w:spacing w:before="30" w:line="197" w:lineRule="auto"/>
              <w:rPr>
                <w:sz w:val="21"/>
                <w:szCs w:val="21"/>
              </w:rPr>
            </w:pPr>
            <w:bookmarkStart w:name="bookmark82" w:id="23"/>
            <w:bookmarkEnd w:id="23"/>
            <w:r>
              <w:rPr>
                <w:sz w:val="21"/>
                <w:szCs w:val="21"/>
                <w:b/>
                <w:bCs/>
                <w:spacing w:val="-5"/>
              </w:rPr>
              <w:t>文件</w:t>
            </w:r>
          </w:p>
        </w:tc>
        <w:tc>
          <w:tcPr>
            <w:shd w:val="clear" w:fill="BDBDBD"/>
            <w:tcW w:w="3796" w:type="dxa"/>
            <w:vAlign w:val="top"/>
            <w:gridSpan w:val="2"/>
          </w:tcPr>
          <w:p>
            <w:pPr>
              <w:pStyle w:val="TableText"/>
              <w:ind w:left="1454"/>
              <w:spacing w:before="30" w:line="197" w:lineRule="auto"/>
              <w:rPr>
                <w:sz w:val="21"/>
                <w:szCs w:val="21"/>
              </w:rPr>
            </w:pPr>
            <w:r>
              <w:rPr>
                <w:sz w:val="21"/>
                <w:szCs w:val="21"/>
                <w:b/>
                <w:bCs/>
                <w:spacing w:val="-4"/>
              </w:rPr>
              <w:t>相关规定</w:t>
            </w:r>
          </w:p>
        </w:tc>
        <w:tc>
          <w:tcPr>
            <w:shd w:val="clear" w:fill="BDBDBD"/>
            <w:tcW w:w="3116" w:type="dxa"/>
            <w:vAlign w:val="top"/>
          </w:tcPr>
          <w:p>
            <w:pPr>
              <w:pStyle w:val="TableText"/>
              <w:ind w:left="1218"/>
              <w:spacing w:before="29" w:line="198" w:lineRule="auto"/>
              <w:rPr>
                <w:sz w:val="21"/>
                <w:szCs w:val="21"/>
              </w:rPr>
            </w:pPr>
            <w:r>
              <w:rPr>
                <w:sz w:val="21"/>
                <w:szCs w:val="21"/>
                <w:b/>
                <w:bCs/>
                <w:spacing w:val="9"/>
              </w:rPr>
              <w:t>本项目</w:t>
            </w:r>
          </w:p>
        </w:tc>
        <w:tc>
          <w:tcPr>
            <w:shd w:val="clear" w:fill="BDBDBD"/>
            <w:tcW w:w="714" w:type="dxa"/>
            <w:vAlign w:val="top"/>
          </w:tcPr>
          <w:p>
            <w:pPr>
              <w:pStyle w:val="TableText"/>
              <w:ind w:left="42"/>
              <w:spacing w:before="30" w:line="197" w:lineRule="auto"/>
              <w:rPr>
                <w:sz w:val="21"/>
                <w:szCs w:val="21"/>
              </w:rPr>
            </w:pPr>
            <w:r>
              <w:rPr>
                <w:sz w:val="21"/>
                <w:szCs w:val="21"/>
                <w:b/>
                <w:bCs/>
                <w:spacing w:val="-5"/>
              </w:rPr>
              <w:t>符合性</w:t>
            </w:r>
          </w:p>
        </w:tc>
      </w:tr>
      <w:tr>
        <w:trPr>
          <w:trHeight w:val="10092" w:hRule="atLeast"/>
        </w:trPr>
        <w:tc>
          <w:tcPr>
            <w:tcW w:w="1263" w:type="dxa"/>
            <w:vAlign w:val="top"/>
            <w:vMerge w:val="restart"/>
            <w:tcBorders>
              <w:bottom w:val="nil"/>
            </w:tcBorders>
          </w:tcPr>
          <w:p>
            <w:pPr>
              <w:rPr>
                <w:rFonts w:ascii="Arial"/>
                <w:sz w:val="21"/>
              </w:rPr>
            </w:pPr>
            <w:r/>
          </w:p>
        </w:tc>
        <w:tc>
          <w:tcPr>
            <w:tcW w:w="779" w:type="dxa"/>
            <w:vAlign w:val="top"/>
            <w:vMerge w:val="restart"/>
            <w:tcBorders>
              <w:bottom w:val="nil"/>
            </w:tcBorders>
          </w:tcPr>
          <w:p>
            <w:pPr>
              <w:rPr>
                <w:rFonts w:ascii="Arial"/>
                <w:sz w:val="21"/>
              </w:rPr>
            </w:pPr>
            <w:r/>
          </w:p>
        </w:tc>
        <w:tc>
          <w:tcPr>
            <w:tcW w:w="3017" w:type="dxa"/>
            <w:vAlign w:val="top"/>
          </w:tcPr>
          <w:p>
            <w:pPr>
              <w:pStyle w:val="TableText"/>
              <w:ind w:left="12"/>
              <w:spacing w:before="29" w:line="221" w:lineRule="auto"/>
              <w:rPr>
                <w:sz w:val="21"/>
                <w:szCs w:val="21"/>
              </w:rPr>
            </w:pPr>
            <w:r>
              <w:rPr>
                <w:sz w:val="21"/>
                <w:szCs w:val="21"/>
                <w:spacing w:val="-1"/>
              </w:rPr>
              <w:t>4.3设施和设备</w:t>
            </w:r>
          </w:p>
          <w:p>
            <w:pPr>
              <w:pStyle w:val="TableText"/>
              <w:ind w:left="12"/>
              <w:spacing w:before="18" w:line="221" w:lineRule="auto"/>
              <w:rPr>
                <w:sz w:val="21"/>
                <w:szCs w:val="21"/>
              </w:rPr>
            </w:pPr>
            <w:r>
              <w:rPr>
                <w:sz w:val="21"/>
                <w:szCs w:val="21"/>
              </w:rPr>
              <w:t>4.3.1设施</w:t>
            </w:r>
          </w:p>
          <w:p>
            <w:pPr>
              <w:pStyle w:val="TableText"/>
              <w:ind w:left="12"/>
              <w:spacing w:before="35" w:line="237" w:lineRule="auto"/>
              <w:jc w:val="both"/>
              <w:rPr>
                <w:sz w:val="21"/>
                <w:szCs w:val="21"/>
              </w:rPr>
            </w:pPr>
            <w:r>
              <w:rPr>
                <w:sz w:val="21"/>
                <w:szCs w:val="21"/>
                <w:spacing w:val="-3"/>
              </w:rPr>
              <w:t>4.3.1.1生猪接收区应设有车辆清</w:t>
            </w:r>
            <w:r>
              <w:rPr>
                <w:sz w:val="21"/>
                <w:szCs w:val="21"/>
                <w:spacing w:val="2"/>
              </w:rPr>
              <w:t xml:space="preserve"> </w:t>
            </w:r>
            <w:r>
              <w:rPr>
                <w:sz w:val="21"/>
                <w:szCs w:val="21"/>
                <w:spacing w:val="-1"/>
              </w:rPr>
              <w:t>洗，消毒设施和卸猪站台、赶猪</w:t>
            </w:r>
            <w:r>
              <w:rPr>
                <w:sz w:val="21"/>
                <w:szCs w:val="21"/>
              </w:rPr>
              <w:t xml:space="preserve"> </w:t>
            </w:r>
            <w:r>
              <w:rPr>
                <w:sz w:val="21"/>
                <w:szCs w:val="21"/>
                <w:spacing w:val="-1"/>
              </w:rPr>
              <w:t>道等设施。生猪进厂的入口处应</w:t>
            </w:r>
            <w:r>
              <w:rPr>
                <w:sz w:val="21"/>
                <w:szCs w:val="21"/>
              </w:rPr>
              <w:t xml:space="preserve"> </w:t>
            </w:r>
            <w:r>
              <w:rPr>
                <w:sz w:val="21"/>
                <w:szCs w:val="21"/>
              </w:rPr>
              <w:t>设置与门同宽、长不少于</w:t>
            </w:r>
          </w:p>
          <w:p>
            <w:pPr>
              <w:pStyle w:val="TableText"/>
              <w:ind w:left="12" w:right="381"/>
              <w:spacing w:line="243" w:lineRule="auto"/>
              <w:rPr>
                <w:sz w:val="21"/>
                <w:szCs w:val="21"/>
              </w:rPr>
            </w:pPr>
            <w:r>
              <w:rPr>
                <w:sz w:val="21"/>
                <w:szCs w:val="21"/>
                <w:spacing w:val="-1"/>
              </w:rPr>
              <w:t>3.00m、深0.10m~0.15m,且能</w:t>
            </w:r>
            <w:r>
              <w:rPr>
                <w:sz w:val="21"/>
                <w:szCs w:val="21"/>
                <w:spacing w:val="7"/>
              </w:rPr>
              <w:t xml:space="preserve"> </w:t>
            </w:r>
            <w:r>
              <w:rPr>
                <w:sz w:val="21"/>
                <w:szCs w:val="21"/>
                <w:spacing w:val="-1"/>
              </w:rPr>
              <w:t>排放消毒液的车轮消毒池。</w:t>
            </w:r>
          </w:p>
          <w:p>
            <w:pPr>
              <w:pStyle w:val="TableText"/>
              <w:ind w:left="12"/>
              <w:spacing w:before="1" w:line="234" w:lineRule="auto"/>
              <w:rPr>
                <w:sz w:val="21"/>
                <w:szCs w:val="21"/>
              </w:rPr>
            </w:pPr>
            <w:r>
              <w:rPr>
                <w:sz w:val="21"/>
                <w:szCs w:val="21"/>
                <w:spacing w:val="-3"/>
              </w:rPr>
              <w:t>4.3.1.2生猪屠宰应有待宰间、隔</w:t>
            </w:r>
            <w:r>
              <w:rPr>
                <w:sz w:val="21"/>
                <w:szCs w:val="21"/>
                <w:spacing w:val="2"/>
              </w:rPr>
              <w:t xml:space="preserve"> </w:t>
            </w:r>
            <w:r>
              <w:rPr>
                <w:sz w:val="21"/>
                <w:szCs w:val="21"/>
                <w:spacing w:val="-1"/>
              </w:rPr>
              <w:t>离间、屠宰间、急宰间、无害化</w:t>
            </w:r>
            <w:r>
              <w:rPr>
                <w:sz w:val="21"/>
                <w:szCs w:val="21"/>
                <w:spacing w:val="10"/>
              </w:rPr>
              <w:t xml:space="preserve"> </w:t>
            </w:r>
            <w:r>
              <w:rPr>
                <w:sz w:val="21"/>
                <w:szCs w:val="21"/>
                <w:spacing w:val="-2"/>
              </w:rPr>
              <w:t>处理间、检验检疫工作室。</w:t>
            </w:r>
          </w:p>
          <w:p>
            <w:pPr>
              <w:pStyle w:val="TableText"/>
              <w:ind w:left="12" w:right="376"/>
              <w:spacing w:before="21" w:line="231" w:lineRule="auto"/>
              <w:rPr>
                <w:sz w:val="21"/>
                <w:szCs w:val="21"/>
              </w:rPr>
            </w:pPr>
            <w:r>
              <w:rPr>
                <w:sz w:val="21"/>
                <w:szCs w:val="21"/>
                <w:spacing w:val="-1"/>
              </w:rPr>
              <w:t>4.3.1.3待宰间建筑面积应在</w:t>
            </w:r>
            <w:r>
              <w:rPr>
                <w:sz w:val="21"/>
                <w:szCs w:val="21"/>
                <w:spacing w:val="7"/>
              </w:rPr>
              <w:t xml:space="preserve"> </w:t>
            </w:r>
            <w:r>
              <w:rPr>
                <w:sz w:val="21"/>
                <w:szCs w:val="21"/>
                <w:spacing w:val="12"/>
              </w:rPr>
              <w:t>250m²以上。</w:t>
            </w:r>
          </w:p>
          <w:p>
            <w:pPr>
              <w:pStyle w:val="TableText"/>
              <w:ind w:left="12"/>
              <w:spacing w:before="15" w:line="220" w:lineRule="auto"/>
              <w:rPr>
                <w:sz w:val="21"/>
                <w:szCs w:val="21"/>
              </w:rPr>
            </w:pPr>
            <w:r>
              <w:rPr>
                <w:sz w:val="21"/>
                <w:szCs w:val="21"/>
                <w:spacing w:val="-1"/>
              </w:rPr>
              <w:t>4.3.1.4隔离间的面积不应少于</w:t>
            </w:r>
          </w:p>
          <w:p>
            <w:pPr>
              <w:pStyle w:val="TableText"/>
              <w:ind w:left="12"/>
              <w:spacing w:before="50" w:line="219" w:lineRule="auto"/>
              <w:rPr>
                <w:sz w:val="21"/>
                <w:szCs w:val="21"/>
              </w:rPr>
            </w:pPr>
            <w:r>
              <w:rPr>
                <w:sz w:val="21"/>
                <w:szCs w:val="21"/>
                <w:spacing w:val="-5"/>
              </w:rPr>
              <w:t>5.00m²。</w:t>
            </w:r>
          </w:p>
          <w:p>
            <w:pPr>
              <w:pStyle w:val="TableText"/>
              <w:ind w:left="12"/>
              <w:spacing w:line="228" w:lineRule="auto"/>
              <w:rPr>
                <w:sz w:val="21"/>
                <w:szCs w:val="21"/>
              </w:rPr>
            </w:pPr>
            <w:r>
              <w:rPr>
                <w:sz w:val="21"/>
                <w:szCs w:val="21"/>
                <w:spacing w:val="-3"/>
              </w:rPr>
              <w:t>4.3.1.5屠宰车间应有赶猪通道、</w:t>
            </w:r>
            <w:r>
              <w:rPr>
                <w:sz w:val="21"/>
                <w:szCs w:val="21"/>
                <w:spacing w:val="2"/>
              </w:rPr>
              <w:t xml:space="preserve"> </w:t>
            </w:r>
            <w:r>
              <w:rPr>
                <w:sz w:val="21"/>
                <w:szCs w:val="21"/>
                <w:spacing w:val="-4"/>
              </w:rPr>
              <w:t>刺杀放血间、烫毛脱毛(剥皮)</w:t>
            </w:r>
          </w:p>
          <w:p>
            <w:pPr>
              <w:pStyle w:val="TableText"/>
              <w:ind w:left="12" w:right="252"/>
              <w:spacing w:before="22" w:line="228" w:lineRule="auto"/>
              <w:rPr>
                <w:sz w:val="21"/>
                <w:szCs w:val="21"/>
              </w:rPr>
            </w:pPr>
            <w:r>
              <w:rPr>
                <w:sz w:val="21"/>
                <w:szCs w:val="21"/>
              </w:rPr>
              <w:t>间、胴体加工间、副产品加工</w:t>
            </w:r>
            <w:r>
              <w:rPr>
                <w:sz w:val="21"/>
                <w:szCs w:val="21"/>
                <w:spacing w:val="10"/>
              </w:rPr>
              <w:t xml:space="preserve"> </w:t>
            </w:r>
            <w:r>
              <w:rPr>
                <w:sz w:val="21"/>
                <w:szCs w:val="21"/>
                <w:spacing w:val="-1"/>
              </w:rPr>
              <w:t>间、寄生虫检疫室等。</w:t>
            </w:r>
          </w:p>
          <w:p>
            <w:pPr>
              <w:pStyle w:val="TableText"/>
              <w:ind w:left="12" w:right="59"/>
              <w:spacing w:before="31" w:line="228" w:lineRule="auto"/>
              <w:rPr>
                <w:sz w:val="21"/>
                <w:szCs w:val="21"/>
              </w:rPr>
            </w:pPr>
            <w:r>
              <w:rPr>
                <w:sz w:val="21"/>
                <w:szCs w:val="21"/>
                <w:spacing w:val="-1"/>
              </w:rPr>
              <w:t>4.3.1.6屠宰车间建筑面积应在</w:t>
            </w:r>
            <w:r>
              <w:rPr>
                <w:sz w:val="21"/>
                <w:szCs w:val="21"/>
                <w:spacing w:val="4"/>
              </w:rPr>
              <w:t xml:space="preserve">  </w:t>
            </w:r>
            <w:r>
              <w:rPr>
                <w:sz w:val="21"/>
                <w:szCs w:val="21"/>
                <w:spacing w:val="5"/>
              </w:rPr>
              <w:t>420m²以上，净高不宜低于5m。</w:t>
            </w:r>
          </w:p>
          <w:p>
            <w:pPr>
              <w:pStyle w:val="TableText"/>
              <w:ind w:left="12"/>
              <w:spacing w:before="22" w:line="235" w:lineRule="auto"/>
              <w:rPr>
                <w:sz w:val="21"/>
                <w:szCs w:val="21"/>
              </w:rPr>
            </w:pPr>
            <w:r>
              <w:rPr>
                <w:sz w:val="21"/>
                <w:szCs w:val="21"/>
                <w:spacing w:val="-3"/>
              </w:rPr>
              <w:t>4.3.1.7急宰间宜设在待宰间的隔</w:t>
            </w:r>
            <w:r>
              <w:rPr>
                <w:sz w:val="21"/>
                <w:szCs w:val="21"/>
                <w:spacing w:val="2"/>
              </w:rPr>
              <w:t xml:space="preserve"> </w:t>
            </w:r>
            <w:r>
              <w:rPr>
                <w:sz w:val="21"/>
                <w:szCs w:val="21"/>
                <w:spacing w:val="-1"/>
              </w:rPr>
              <w:t>离间附近。急宰间如与无害化处</w:t>
            </w:r>
            <w:r>
              <w:rPr>
                <w:sz w:val="21"/>
                <w:szCs w:val="21"/>
                <w:spacing w:val="10"/>
              </w:rPr>
              <w:t xml:space="preserve"> </w:t>
            </w:r>
            <w:r>
              <w:rPr>
                <w:sz w:val="21"/>
                <w:szCs w:val="21"/>
              </w:rPr>
              <w:t>理间合建在一起时，中间应设隔</w:t>
            </w:r>
            <w:r>
              <w:rPr>
                <w:sz w:val="21"/>
                <w:szCs w:val="21"/>
                <w:spacing w:val="3"/>
              </w:rPr>
              <w:t xml:space="preserve"> </w:t>
            </w:r>
            <w:r>
              <w:rPr>
                <w:sz w:val="21"/>
                <w:szCs w:val="21"/>
                <w:spacing w:val="-2"/>
              </w:rPr>
              <w:t>墙。</w:t>
            </w:r>
          </w:p>
          <w:p>
            <w:pPr>
              <w:pStyle w:val="TableText"/>
              <w:ind w:left="12"/>
              <w:spacing w:before="30" w:line="234" w:lineRule="auto"/>
              <w:rPr>
                <w:sz w:val="21"/>
                <w:szCs w:val="21"/>
              </w:rPr>
            </w:pPr>
            <w:r>
              <w:rPr>
                <w:sz w:val="21"/>
                <w:szCs w:val="21"/>
                <w:spacing w:val="-3"/>
              </w:rPr>
              <w:t>4.3.1.8急宰间、无害化处理间的</w:t>
            </w:r>
            <w:r>
              <w:rPr>
                <w:sz w:val="21"/>
                <w:szCs w:val="21"/>
                <w:spacing w:val="2"/>
              </w:rPr>
              <w:t xml:space="preserve"> </w:t>
            </w:r>
            <w:r>
              <w:rPr>
                <w:sz w:val="21"/>
                <w:szCs w:val="21"/>
                <w:spacing w:val="-1"/>
              </w:rPr>
              <w:t>出入口处应设置便于手推车出入</w:t>
            </w:r>
            <w:r>
              <w:rPr>
                <w:sz w:val="21"/>
                <w:szCs w:val="21"/>
                <w:spacing w:val="10"/>
              </w:rPr>
              <w:t xml:space="preserve"> </w:t>
            </w:r>
            <w:r>
              <w:rPr>
                <w:sz w:val="21"/>
                <w:szCs w:val="21"/>
                <w:spacing w:val="-2"/>
              </w:rPr>
              <w:t>的消毒池。</w:t>
            </w:r>
          </w:p>
          <w:p>
            <w:pPr>
              <w:pStyle w:val="TableText"/>
              <w:ind w:left="12"/>
              <w:spacing w:before="11" w:line="235" w:lineRule="auto"/>
              <w:rPr>
                <w:sz w:val="21"/>
                <w:szCs w:val="21"/>
              </w:rPr>
            </w:pPr>
            <w:r>
              <w:rPr>
                <w:sz w:val="21"/>
                <w:szCs w:val="21"/>
                <w:spacing w:val="-3"/>
              </w:rPr>
              <w:t>4.3.1.9屠宰间、急宰间、无害化</w:t>
            </w:r>
            <w:r>
              <w:rPr>
                <w:sz w:val="21"/>
                <w:szCs w:val="21"/>
                <w:spacing w:val="2"/>
              </w:rPr>
              <w:t xml:space="preserve"> </w:t>
            </w:r>
            <w:r>
              <w:rPr>
                <w:sz w:val="21"/>
                <w:szCs w:val="21"/>
              </w:rPr>
              <w:t>处理间、卫生间内应设置与生产</w:t>
            </w:r>
            <w:r>
              <w:rPr>
                <w:sz w:val="21"/>
                <w:szCs w:val="21"/>
                <w:spacing w:val="7"/>
              </w:rPr>
              <w:t xml:space="preserve"> </w:t>
            </w:r>
            <w:r>
              <w:rPr>
                <w:sz w:val="21"/>
                <w:szCs w:val="21"/>
                <w:spacing w:val="1"/>
              </w:rPr>
              <w:t>能力相适应的非手动式洗手，消</w:t>
            </w:r>
            <w:r>
              <w:rPr>
                <w:sz w:val="21"/>
                <w:szCs w:val="21"/>
              </w:rPr>
              <w:t xml:space="preserve"> </w:t>
            </w:r>
            <w:r>
              <w:rPr>
                <w:sz w:val="21"/>
                <w:szCs w:val="21"/>
                <w:spacing w:val="-2"/>
              </w:rPr>
              <w:t>毒设施。</w:t>
            </w:r>
          </w:p>
          <w:p>
            <w:pPr>
              <w:pStyle w:val="TableText"/>
              <w:ind w:left="12" w:right="41"/>
              <w:spacing w:before="42" w:line="229" w:lineRule="auto"/>
              <w:rPr>
                <w:sz w:val="21"/>
                <w:szCs w:val="21"/>
              </w:rPr>
            </w:pPr>
            <w:r>
              <w:rPr>
                <w:sz w:val="21"/>
                <w:szCs w:val="21"/>
                <w:spacing w:val="-1"/>
              </w:rPr>
              <w:t>4.3.1.10在屠宰、急宰、无害化</w:t>
            </w:r>
            <w:r>
              <w:rPr>
                <w:sz w:val="21"/>
                <w:szCs w:val="21"/>
                <w:spacing w:val="9"/>
              </w:rPr>
              <w:t xml:space="preserve"> </w:t>
            </w:r>
            <w:r>
              <w:rPr>
                <w:sz w:val="21"/>
                <w:szCs w:val="21"/>
              </w:rPr>
              <w:t>处理等场所，应配备带有82℃热</w:t>
            </w:r>
            <w:r>
              <w:rPr>
                <w:sz w:val="21"/>
                <w:szCs w:val="21"/>
                <w:spacing w:val="11"/>
              </w:rPr>
              <w:t xml:space="preserve"> </w:t>
            </w:r>
            <w:r>
              <w:rPr>
                <w:sz w:val="21"/>
                <w:szCs w:val="21"/>
                <w:spacing w:val="-1"/>
              </w:rPr>
              <w:t>水的供应设施或具有同等消毒效</w:t>
            </w:r>
            <w:r>
              <w:rPr>
                <w:sz w:val="21"/>
                <w:szCs w:val="21"/>
                <w:spacing w:val="2"/>
              </w:rPr>
              <w:t xml:space="preserve"> </w:t>
            </w:r>
            <w:r>
              <w:rPr>
                <w:sz w:val="21"/>
                <w:szCs w:val="21"/>
              </w:rPr>
              <w:t>果条件的工具和设备清洗消毒装</w:t>
            </w:r>
            <w:r>
              <w:rPr>
                <w:sz w:val="21"/>
                <w:szCs w:val="21"/>
                <w:spacing w:val="8"/>
              </w:rPr>
              <w:t xml:space="preserve"> </w:t>
            </w:r>
            <w:r>
              <w:rPr>
                <w:sz w:val="21"/>
                <w:szCs w:val="21"/>
                <w:spacing w:val="-2"/>
              </w:rPr>
              <w:t>置。</w:t>
            </w:r>
          </w:p>
        </w:tc>
        <w:tc>
          <w:tcPr>
            <w:tcW w:w="3116" w:type="dxa"/>
            <w:vAlign w:val="top"/>
          </w:tcPr>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7" w:lineRule="auto"/>
              <w:rPr>
                <w:rFonts w:ascii="Arial"/>
                <w:sz w:val="21"/>
              </w:rPr>
            </w:pPr>
            <w:r/>
          </w:p>
          <w:p>
            <w:pPr>
              <w:spacing w:line="267" w:lineRule="auto"/>
              <w:rPr>
                <w:rFonts w:ascii="Arial"/>
                <w:sz w:val="21"/>
              </w:rPr>
            </w:pPr>
            <w:r/>
          </w:p>
          <w:p>
            <w:pPr>
              <w:pStyle w:val="TableText"/>
              <w:ind w:left="15"/>
              <w:spacing w:before="69" w:line="239" w:lineRule="auto"/>
              <w:rPr>
                <w:sz w:val="21"/>
                <w:szCs w:val="21"/>
              </w:rPr>
            </w:pPr>
            <w:r>
              <w:rPr>
                <w:sz w:val="21"/>
                <w:szCs w:val="21"/>
                <w:spacing w:val="-5"/>
              </w:rPr>
              <w:t>本项目生猪接收区应设有车辆清</w:t>
            </w:r>
            <w:r>
              <w:rPr>
                <w:sz w:val="21"/>
                <w:szCs w:val="21"/>
                <w:spacing w:val="2"/>
              </w:rPr>
              <w:t xml:space="preserve">   </w:t>
            </w:r>
            <w:r>
              <w:rPr>
                <w:sz w:val="21"/>
                <w:szCs w:val="21"/>
                <w:spacing w:val="-5"/>
              </w:rPr>
              <w:t>洗，消毒设施和卸猪站台、赶猪</w:t>
            </w:r>
            <w:r>
              <w:rPr>
                <w:sz w:val="21"/>
                <w:szCs w:val="21"/>
                <w:spacing w:val="3"/>
              </w:rPr>
              <w:t xml:space="preserve">   </w:t>
            </w:r>
            <w:r>
              <w:rPr>
                <w:sz w:val="21"/>
                <w:szCs w:val="21"/>
                <w:spacing w:val="-5"/>
              </w:rPr>
              <w:t>道等设施。生猪进厂的入口处应</w:t>
            </w:r>
            <w:r>
              <w:rPr>
                <w:sz w:val="21"/>
                <w:szCs w:val="21"/>
                <w:spacing w:val="3"/>
              </w:rPr>
              <w:t xml:space="preserve">   </w:t>
            </w:r>
            <w:r>
              <w:rPr>
                <w:sz w:val="21"/>
                <w:szCs w:val="21"/>
                <w:spacing w:val="2"/>
              </w:rPr>
              <w:t>设置与门同宽、长不少于3.00m、</w:t>
            </w:r>
            <w:r>
              <w:rPr>
                <w:sz w:val="21"/>
                <w:szCs w:val="21"/>
                <w:spacing w:val="10"/>
              </w:rPr>
              <w:t xml:space="preserve"> </w:t>
            </w:r>
            <w:r>
              <w:rPr>
                <w:sz w:val="21"/>
                <w:szCs w:val="21"/>
                <w:spacing w:val="-3"/>
              </w:rPr>
              <w:t>深0.10m~0.15m,且能排放消毒</w:t>
            </w:r>
          </w:p>
          <w:p>
            <w:pPr>
              <w:pStyle w:val="TableText"/>
              <w:ind w:left="15" w:right="138"/>
              <w:spacing w:before="9" w:line="231" w:lineRule="auto"/>
              <w:rPr>
                <w:sz w:val="21"/>
                <w:szCs w:val="21"/>
              </w:rPr>
            </w:pPr>
            <w:r>
              <w:rPr>
                <w:sz w:val="21"/>
                <w:szCs w:val="21"/>
              </w:rPr>
              <w:t>液的车轮消毒池；生猪屠宰有待</w:t>
            </w:r>
            <w:r>
              <w:rPr>
                <w:sz w:val="21"/>
                <w:szCs w:val="21"/>
                <w:spacing w:val="10"/>
              </w:rPr>
              <w:t xml:space="preserve"> </w:t>
            </w:r>
            <w:r>
              <w:rPr>
                <w:sz w:val="21"/>
                <w:szCs w:val="21"/>
                <w:spacing w:val="1"/>
              </w:rPr>
              <w:t>宰间、隔离间、屠宰间、急宰</w:t>
            </w:r>
          </w:p>
          <w:p>
            <w:pPr>
              <w:pStyle w:val="TableText"/>
              <w:ind w:left="15" w:right="138"/>
              <w:spacing w:before="4"/>
              <w:rPr>
                <w:sz w:val="21"/>
                <w:szCs w:val="21"/>
              </w:rPr>
            </w:pPr>
            <w:r>
              <w:rPr>
                <w:sz w:val="21"/>
                <w:szCs w:val="21"/>
              </w:rPr>
              <w:t>间、无害化处理间、检验检疫工</w:t>
            </w:r>
            <w:r>
              <w:rPr>
                <w:sz w:val="21"/>
                <w:szCs w:val="21"/>
                <w:spacing w:val="10"/>
              </w:rPr>
              <w:t xml:space="preserve"> </w:t>
            </w:r>
            <w:r>
              <w:rPr>
                <w:sz w:val="21"/>
                <w:szCs w:val="21"/>
                <w:spacing w:val="-1"/>
              </w:rPr>
              <w:t>作室；生猪待宰间建筑面积为</w:t>
            </w:r>
          </w:p>
          <w:p>
            <w:pPr>
              <w:pStyle w:val="TableText"/>
              <w:ind w:left="15"/>
              <w:spacing w:before="16" w:line="220" w:lineRule="auto"/>
              <w:rPr>
                <w:sz w:val="21"/>
                <w:szCs w:val="21"/>
              </w:rPr>
            </w:pPr>
            <w:r>
              <w:rPr>
                <w:sz w:val="21"/>
                <w:szCs w:val="21"/>
                <w:spacing w:val="7"/>
              </w:rPr>
              <w:t>1152m²;隔离间的面积不少于</w:t>
            </w:r>
          </w:p>
          <w:p>
            <w:pPr>
              <w:pStyle w:val="TableText"/>
              <w:ind w:left="15"/>
              <w:spacing w:before="9" w:line="219" w:lineRule="auto"/>
              <w:rPr>
                <w:sz w:val="21"/>
                <w:szCs w:val="21"/>
              </w:rPr>
            </w:pPr>
            <w:r>
              <w:rPr>
                <w:sz w:val="21"/>
                <w:szCs w:val="21"/>
                <w:spacing w:val="7"/>
              </w:rPr>
              <w:t>5.00m²;屠宰车间设置赶猪通</w:t>
            </w:r>
          </w:p>
          <w:p>
            <w:pPr>
              <w:pStyle w:val="TableText"/>
              <w:ind w:left="15"/>
              <w:spacing w:before="30" w:line="219" w:lineRule="auto"/>
              <w:rPr>
                <w:sz w:val="21"/>
                <w:szCs w:val="21"/>
              </w:rPr>
            </w:pPr>
            <w:r>
              <w:rPr>
                <w:sz w:val="21"/>
                <w:szCs w:val="21"/>
                <w:spacing w:val="-1"/>
              </w:rPr>
              <w:t>道、刺杀放血间、烫毛脱毛(剥</w:t>
            </w:r>
          </w:p>
          <w:p>
            <w:pPr>
              <w:pStyle w:val="TableText"/>
              <w:ind w:left="15"/>
              <w:spacing w:before="10" w:line="219" w:lineRule="auto"/>
              <w:rPr>
                <w:sz w:val="21"/>
                <w:szCs w:val="21"/>
              </w:rPr>
            </w:pPr>
            <w:r>
              <w:rPr>
                <w:sz w:val="21"/>
                <w:szCs w:val="21"/>
              </w:rPr>
              <w:t>皮)间、胴体加工间、副产品加</w:t>
            </w:r>
          </w:p>
          <w:p>
            <w:pPr>
              <w:pStyle w:val="TableText"/>
              <w:ind w:left="15" w:right="40"/>
              <w:spacing w:before="31"/>
              <w:rPr>
                <w:sz w:val="21"/>
                <w:szCs w:val="21"/>
              </w:rPr>
            </w:pPr>
            <w:r>
              <w:rPr>
                <w:sz w:val="21"/>
                <w:szCs w:val="21"/>
              </w:rPr>
              <w:t>工间、寄生虫检疫室等；生猪屠</w:t>
            </w:r>
            <w:r>
              <w:rPr>
                <w:sz w:val="21"/>
                <w:szCs w:val="21"/>
                <w:spacing w:val="4"/>
              </w:rPr>
              <w:t xml:space="preserve">  </w:t>
            </w:r>
            <w:r>
              <w:rPr>
                <w:sz w:val="21"/>
                <w:szCs w:val="21"/>
                <w:spacing w:val="5"/>
              </w:rPr>
              <w:t>宰车间建筑面积为1663.44m²,净</w:t>
            </w:r>
            <w:r>
              <w:rPr>
                <w:sz w:val="21"/>
                <w:szCs w:val="21"/>
                <w:spacing w:val="13"/>
              </w:rPr>
              <w:t xml:space="preserve"> </w:t>
            </w:r>
            <w:r>
              <w:rPr>
                <w:sz w:val="21"/>
                <w:szCs w:val="21"/>
                <w:spacing w:val="-1"/>
              </w:rPr>
              <w:t>高7.5m;急宰间为单独房间，设</w:t>
            </w:r>
          </w:p>
          <w:p>
            <w:pPr>
              <w:pStyle w:val="TableText"/>
              <w:ind w:left="15"/>
              <w:spacing w:line="218" w:lineRule="auto"/>
              <w:rPr>
                <w:sz w:val="21"/>
                <w:szCs w:val="21"/>
              </w:rPr>
            </w:pPr>
            <w:r>
              <w:rPr>
                <w:sz w:val="21"/>
                <w:szCs w:val="21"/>
                <w:spacing w:val="1"/>
              </w:rPr>
              <w:t>在待宰间的隔离间附近；急宰</w:t>
            </w:r>
          </w:p>
          <w:p>
            <w:pPr>
              <w:pStyle w:val="TableText"/>
              <w:ind w:left="15" w:right="45"/>
              <w:spacing w:before="21" w:line="239" w:lineRule="auto"/>
              <w:rPr>
                <w:sz w:val="21"/>
                <w:szCs w:val="21"/>
              </w:rPr>
            </w:pPr>
            <w:r>
              <w:rPr>
                <w:sz w:val="21"/>
                <w:szCs w:val="21"/>
              </w:rPr>
              <w:t>间、无害化处理间的出入口处设</w:t>
            </w:r>
            <w:r>
              <w:rPr>
                <w:sz w:val="21"/>
                <w:szCs w:val="21"/>
                <w:spacing w:val="4"/>
              </w:rPr>
              <w:t xml:space="preserve">  </w:t>
            </w:r>
            <w:r>
              <w:rPr>
                <w:sz w:val="21"/>
                <w:szCs w:val="21"/>
                <w:spacing w:val="-1"/>
              </w:rPr>
              <w:t>置便于手推车出入的消毒池；屠</w:t>
            </w:r>
            <w:r>
              <w:rPr>
                <w:sz w:val="21"/>
                <w:szCs w:val="21"/>
                <w:spacing w:val="3"/>
              </w:rPr>
              <w:t xml:space="preserve">  </w:t>
            </w:r>
            <w:r>
              <w:rPr>
                <w:sz w:val="21"/>
                <w:szCs w:val="21"/>
                <w:spacing w:val="7"/>
              </w:rPr>
              <w:t>宰间、急宰间、无害化处理间、</w:t>
            </w:r>
            <w:r>
              <w:rPr>
                <w:sz w:val="21"/>
                <w:szCs w:val="21"/>
                <w:spacing w:val="5"/>
              </w:rPr>
              <w:t xml:space="preserve"> </w:t>
            </w:r>
            <w:r>
              <w:rPr>
                <w:sz w:val="21"/>
                <w:szCs w:val="21"/>
                <w:spacing w:val="-1"/>
              </w:rPr>
              <w:t>卫生间内应设置与生产能力相适</w:t>
            </w:r>
            <w:r>
              <w:rPr>
                <w:sz w:val="21"/>
                <w:szCs w:val="21"/>
                <w:spacing w:val="1"/>
              </w:rPr>
              <w:t xml:space="preserve">  </w:t>
            </w:r>
            <w:r>
              <w:rPr>
                <w:sz w:val="21"/>
                <w:szCs w:val="21"/>
                <w:spacing w:val="7"/>
              </w:rPr>
              <w:t>应的非手动式洗手，消毒设施；</w:t>
            </w:r>
            <w:r>
              <w:rPr>
                <w:sz w:val="21"/>
                <w:szCs w:val="21"/>
                <w:spacing w:val="5"/>
              </w:rPr>
              <w:t xml:space="preserve"> </w:t>
            </w:r>
            <w:r>
              <w:rPr>
                <w:sz w:val="21"/>
                <w:szCs w:val="21"/>
                <w:spacing w:val="1"/>
              </w:rPr>
              <w:t>屠宰、急宰、无害化处理等场</w:t>
            </w:r>
          </w:p>
          <w:p>
            <w:pPr>
              <w:pStyle w:val="TableText"/>
              <w:ind w:left="15" w:right="121"/>
              <w:spacing w:before="4" w:line="241" w:lineRule="auto"/>
              <w:rPr>
                <w:sz w:val="21"/>
                <w:szCs w:val="21"/>
              </w:rPr>
            </w:pPr>
            <w:r>
              <w:rPr>
                <w:sz w:val="21"/>
                <w:szCs w:val="21"/>
                <w:spacing w:val="1"/>
              </w:rPr>
              <w:t>所，配备蒸汽发生器，带有82℃</w:t>
            </w:r>
            <w:r>
              <w:rPr>
                <w:sz w:val="21"/>
                <w:szCs w:val="21"/>
                <w:spacing w:val="12"/>
              </w:rPr>
              <w:t xml:space="preserve"> </w:t>
            </w:r>
            <w:r>
              <w:rPr>
                <w:sz w:val="21"/>
                <w:szCs w:val="21"/>
              </w:rPr>
              <w:t>热水的供应设施或具有同等消毒</w:t>
            </w:r>
            <w:r>
              <w:rPr>
                <w:sz w:val="21"/>
                <w:szCs w:val="21"/>
                <w:spacing w:val="10"/>
              </w:rPr>
              <w:t xml:space="preserve"> </w:t>
            </w:r>
            <w:r>
              <w:rPr>
                <w:sz w:val="21"/>
                <w:szCs w:val="21"/>
              </w:rPr>
              <w:t>效果条件的工具和设备清洗消毒</w:t>
            </w:r>
            <w:r>
              <w:rPr>
                <w:sz w:val="21"/>
                <w:szCs w:val="21"/>
                <w:spacing w:val="10"/>
              </w:rPr>
              <w:t xml:space="preserve"> </w:t>
            </w:r>
            <w:r>
              <w:rPr>
                <w:sz w:val="21"/>
                <w:szCs w:val="21"/>
                <w:spacing w:val="-2"/>
              </w:rPr>
              <w:t>装置。</w:t>
            </w:r>
          </w:p>
        </w:tc>
        <w:tc>
          <w:tcPr>
            <w:tcW w:w="714"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139"/>
              <w:spacing w:before="68" w:line="219" w:lineRule="auto"/>
              <w:rPr>
                <w:sz w:val="21"/>
                <w:szCs w:val="21"/>
              </w:rPr>
            </w:pPr>
            <w:r>
              <w:rPr>
                <w:sz w:val="21"/>
                <w:szCs w:val="21"/>
                <w:spacing w:val="-3"/>
              </w:rPr>
              <w:t>符合</w:t>
            </w:r>
          </w:p>
        </w:tc>
      </w:tr>
      <w:tr>
        <w:trPr>
          <w:trHeight w:val="2438" w:hRule="atLeast"/>
        </w:trPr>
        <w:tc>
          <w:tcPr>
            <w:tcW w:w="1263" w:type="dxa"/>
            <w:vAlign w:val="top"/>
            <w:vMerge w:val="continue"/>
            <w:tcBorders>
              <w:top w:val="nil"/>
              <w:bottom w:val="nil"/>
            </w:tcBorders>
          </w:tcPr>
          <w:p>
            <w:pPr>
              <w:rPr>
                <w:rFonts w:ascii="Arial"/>
                <w:sz w:val="21"/>
              </w:rPr>
            </w:pPr>
            <w:r/>
          </w:p>
        </w:tc>
        <w:tc>
          <w:tcPr>
            <w:tcW w:w="779" w:type="dxa"/>
            <w:vAlign w:val="top"/>
            <w:vMerge w:val="continue"/>
            <w:tcBorders>
              <w:top w:val="nil"/>
              <w:bottom w:val="nil"/>
            </w:tcBorders>
          </w:tcPr>
          <w:p>
            <w:pPr>
              <w:rPr>
                <w:rFonts w:ascii="Arial"/>
                <w:sz w:val="21"/>
              </w:rPr>
            </w:pPr>
            <w:r/>
          </w:p>
        </w:tc>
        <w:tc>
          <w:tcPr>
            <w:tcW w:w="3017" w:type="dxa"/>
            <w:vAlign w:val="top"/>
          </w:tcPr>
          <w:p>
            <w:pPr>
              <w:pStyle w:val="TableText"/>
              <w:ind w:left="12"/>
              <w:spacing w:before="27" w:line="221" w:lineRule="auto"/>
              <w:rPr>
                <w:sz w:val="21"/>
                <w:szCs w:val="21"/>
              </w:rPr>
            </w:pPr>
            <w:r>
              <w:rPr>
                <w:sz w:val="21"/>
                <w:szCs w:val="21"/>
                <w:spacing w:val="-1"/>
              </w:rPr>
              <w:t>4.3.2设备</w:t>
            </w:r>
          </w:p>
          <w:p>
            <w:pPr>
              <w:pStyle w:val="TableText"/>
              <w:ind w:left="12"/>
              <w:spacing w:before="39" w:line="231" w:lineRule="auto"/>
              <w:rPr>
                <w:sz w:val="21"/>
                <w:szCs w:val="21"/>
              </w:rPr>
            </w:pPr>
            <w:r>
              <w:rPr>
                <w:sz w:val="21"/>
                <w:szCs w:val="21"/>
                <w:spacing w:val="-3"/>
              </w:rPr>
              <w:t>4.3.2.1应配备猪屠体清洗装置、</w:t>
            </w:r>
            <w:r>
              <w:rPr>
                <w:sz w:val="21"/>
                <w:szCs w:val="21"/>
                <w:spacing w:val="2"/>
              </w:rPr>
              <w:t xml:space="preserve"> </w:t>
            </w:r>
            <w:r>
              <w:rPr>
                <w:sz w:val="21"/>
                <w:szCs w:val="21"/>
              </w:rPr>
              <w:t>致昏器、悬挂输送机、浸烫池、</w:t>
            </w:r>
            <w:r>
              <w:rPr>
                <w:sz w:val="21"/>
                <w:szCs w:val="21"/>
                <w:spacing w:val="8"/>
              </w:rPr>
              <w:t xml:space="preserve"> </w:t>
            </w:r>
            <w:r>
              <w:rPr>
                <w:sz w:val="21"/>
                <w:szCs w:val="21"/>
                <w:spacing w:val="-7"/>
              </w:rPr>
              <w:t>脱毛机(或剥皮机)、劈半机</w:t>
            </w:r>
          </w:p>
          <w:p>
            <w:pPr>
              <w:pStyle w:val="TableText"/>
              <w:ind w:left="12"/>
              <w:spacing w:line="219" w:lineRule="auto"/>
              <w:rPr>
                <w:sz w:val="21"/>
                <w:szCs w:val="21"/>
              </w:rPr>
            </w:pPr>
            <w:r>
              <w:rPr>
                <w:sz w:val="21"/>
                <w:szCs w:val="21"/>
                <w:spacing w:val="-2"/>
              </w:rPr>
              <w:t>等。</w:t>
            </w:r>
          </w:p>
          <w:p>
            <w:pPr>
              <w:pStyle w:val="TableText"/>
              <w:ind w:left="12"/>
              <w:spacing w:before="41" w:line="239" w:lineRule="auto"/>
              <w:rPr>
                <w:sz w:val="21"/>
                <w:szCs w:val="21"/>
              </w:rPr>
            </w:pPr>
            <w:r>
              <w:rPr>
                <w:sz w:val="21"/>
                <w:szCs w:val="21"/>
                <w:spacing w:val="-3"/>
              </w:rPr>
              <w:t>4.3.2.2应有病猪或不合格肉品专</w:t>
            </w:r>
            <w:r>
              <w:rPr>
                <w:sz w:val="21"/>
                <w:szCs w:val="21"/>
                <w:spacing w:val="2"/>
              </w:rPr>
              <w:t xml:space="preserve"> </w:t>
            </w:r>
            <w:r>
              <w:rPr>
                <w:sz w:val="21"/>
                <w:szCs w:val="21"/>
              </w:rPr>
              <w:t>用轨道及密闭不漏水的专用容</w:t>
            </w:r>
          </w:p>
          <w:p>
            <w:pPr>
              <w:pStyle w:val="TableText"/>
              <w:ind w:left="12" w:right="142"/>
              <w:spacing w:before="4" w:line="212" w:lineRule="auto"/>
              <w:rPr>
                <w:sz w:val="21"/>
                <w:szCs w:val="21"/>
              </w:rPr>
            </w:pPr>
            <w:r>
              <w:rPr>
                <w:sz w:val="21"/>
                <w:szCs w:val="21"/>
                <w:spacing w:val="1"/>
              </w:rPr>
              <w:t>器，运输工具和符合</w:t>
            </w:r>
            <w:r>
              <w:rPr>
                <w:sz w:val="21"/>
                <w:szCs w:val="21"/>
              </w:rPr>
              <w:t>SB</w:t>
            </w:r>
            <w:r>
              <w:rPr>
                <w:sz w:val="21"/>
                <w:szCs w:val="21"/>
                <w:spacing w:val="1"/>
              </w:rPr>
              <w:t>/T10571</w:t>
            </w:r>
            <w:r>
              <w:rPr>
                <w:sz w:val="21"/>
                <w:szCs w:val="21"/>
              </w:rPr>
              <w:t xml:space="preserve"> </w:t>
            </w:r>
            <w:r>
              <w:rPr>
                <w:sz w:val="21"/>
                <w:szCs w:val="21"/>
                <w:spacing w:val="-1"/>
              </w:rPr>
              <w:t>规定的病害畜禽焚烧设备。</w:t>
            </w:r>
          </w:p>
        </w:tc>
        <w:tc>
          <w:tcPr>
            <w:tcW w:w="3116" w:type="dxa"/>
            <w:vAlign w:val="top"/>
          </w:tcPr>
          <w:p>
            <w:pPr>
              <w:pStyle w:val="TableText"/>
              <w:ind w:left="15" w:right="158"/>
              <w:spacing w:before="166"/>
              <w:rPr>
                <w:sz w:val="21"/>
                <w:szCs w:val="21"/>
              </w:rPr>
            </w:pPr>
            <w:r>
              <w:rPr>
                <w:sz w:val="21"/>
                <w:szCs w:val="21"/>
                <w:spacing w:val="-1"/>
              </w:rPr>
              <w:t>本项目生猪屠宰配备猪屠体清洗</w:t>
            </w:r>
            <w:r>
              <w:rPr>
                <w:sz w:val="21"/>
                <w:szCs w:val="21"/>
                <w:spacing w:val="3"/>
              </w:rPr>
              <w:t xml:space="preserve"> </w:t>
            </w:r>
            <w:r>
              <w:rPr>
                <w:sz w:val="21"/>
                <w:szCs w:val="21"/>
                <w:spacing w:val="-1"/>
              </w:rPr>
              <w:t>装置、致昏器、悬挂输送机、浸</w:t>
            </w:r>
            <w:r>
              <w:rPr>
                <w:sz w:val="21"/>
                <w:szCs w:val="21"/>
                <w:spacing w:val="4"/>
              </w:rPr>
              <w:t xml:space="preserve"> </w:t>
            </w:r>
            <w:r>
              <w:rPr>
                <w:sz w:val="21"/>
                <w:szCs w:val="21"/>
              </w:rPr>
              <w:t>烫池、脱毛机(或剥皮机)、劈</w:t>
            </w:r>
          </w:p>
          <w:p>
            <w:pPr>
              <w:pStyle w:val="TableText"/>
              <w:ind w:left="15" w:right="127"/>
              <w:spacing w:before="1" w:line="238" w:lineRule="auto"/>
              <w:rPr>
                <w:sz w:val="21"/>
                <w:szCs w:val="21"/>
              </w:rPr>
            </w:pPr>
            <w:r>
              <w:rPr>
                <w:sz w:val="21"/>
                <w:szCs w:val="21"/>
                <w:spacing w:val="1"/>
              </w:rPr>
              <w:t>半机等；设有病猪或不合格肉品</w:t>
            </w:r>
            <w:r>
              <w:rPr>
                <w:sz w:val="21"/>
                <w:szCs w:val="21"/>
                <w:spacing w:val="6"/>
              </w:rPr>
              <w:t xml:space="preserve"> </w:t>
            </w:r>
            <w:r>
              <w:rPr>
                <w:sz w:val="21"/>
                <w:szCs w:val="21"/>
                <w:spacing w:val="-1"/>
              </w:rPr>
              <w:t>专用轨道及密闭不漏水的专用容</w:t>
            </w:r>
            <w:r>
              <w:rPr>
                <w:sz w:val="21"/>
                <w:szCs w:val="21"/>
                <w:spacing w:val="3"/>
              </w:rPr>
              <w:t xml:space="preserve"> </w:t>
            </w:r>
            <w:r>
              <w:rPr>
                <w:sz w:val="21"/>
                <w:szCs w:val="21"/>
                <w:spacing w:val="1"/>
              </w:rPr>
              <w:t>器，病猪或不合格肉品委托三台</w:t>
            </w:r>
            <w:r>
              <w:rPr>
                <w:sz w:val="21"/>
                <w:szCs w:val="21"/>
                <w:spacing w:val="7"/>
              </w:rPr>
              <w:t xml:space="preserve"> </w:t>
            </w:r>
            <w:r>
              <w:rPr>
                <w:sz w:val="21"/>
                <w:szCs w:val="21"/>
                <w:spacing w:val="-1"/>
              </w:rPr>
              <w:t>县盛德祥生物科技有限公司处</w:t>
            </w:r>
          </w:p>
          <w:p>
            <w:pPr>
              <w:pStyle w:val="TableText"/>
              <w:ind w:left="15"/>
              <w:spacing w:before="13" w:line="225" w:lineRule="auto"/>
              <w:rPr>
                <w:sz w:val="21"/>
                <w:szCs w:val="21"/>
              </w:rPr>
            </w:pPr>
            <w:r>
              <w:rPr>
                <w:sz w:val="21"/>
                <w:szCs w:val="21"/>
                <w:spacing w:val="-2"/>
              </w:rPr>
              <w:t>置。</w:t>
            </w:r>
          </w:p>
        </w:tc>
        <w:tc>
          <w:tcPr>
            <w:tcW w:w="714" w:type="dxa"/>
            <w:vAlign w:val="top"/>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139"/>
              <w:spacing w:before="68" w:line="219" w:lineRule="auto"/>
              <w:rPr>
                <w:sz w:val="21"/>
                <w:szCs w:val="21"/>
              </w:rPr>
            </w:pPr>
            <w:r>
              <w:rPr>
                <w:sz w:val="21"/>
                <w:szCs w:val="21"/>
                <w:spacing w:val="-3"/>
              </w:rPr>
              <w:t>符合</w:t>
            </w:r>
          </w:p>
        </w:tc>
      </w:tr>
      <w:tr>
        <w:trPr>
          <w:trHeight w:val="814" w:hRule="atLeast"/>
        </w:trPr>
        <w:tc>
          <w:tcPr>
            <w:tcW w:w="1263" w:type="dxa"/>
            <w:vAlign w:val="top"/>
            <w:vMerge w:val="continue"/>
            <w:tcBorders>
              <w:top w:val="nil"/>
            </w:tcBorders>
          </w:tcPr>
          <w:p>
            <w:pPr>
              <w:rPr>
                <w:rFonts w:ascii="Arial"/>
                <w:sz w:val="21"/>
              </w:rPr>
            </w:pPr>
            <w:r/>
          </w:p>
        </w:tc>
        <w:tc>
          <w:tcPr>
            <w:tcW w:w="779" w:type="dxa"/>
            <w:vAlign w:val="top"/>
            <w:vMerge w:val="continue"/>
            <w:tcBorders>
              <w:top w:val="nil"/>
            </w:tcBorders>
          </w:tcPr>
          <w:p>
            <w:pPr>
              <w:rPr>
                <w:rFonts w:ascii="Arial"/>
                <w:sz w:val="21"/>
              </w:rPr>
            </w:pPr>
            <w:r/>
          </w:p>
        </w:tc>
        <w:tc>
          <w:tcPr>
            <w:tcW w:w="3017" w:type="dxa"/>
            <w:vAlign w:val="top"/>
          </w:tcPr>
          <w:p>
            <w:pPr>
              <w:pStyle w:val="TableText"/>
              <w:ind w:left="12"/>
              <w:spacing w:before="48" w:line="219" w:lineRule="auto"/>
              <w:rPr>
                <w:sz w:val="21"/>
                <w:szCs w:val="21"/>
              </w:rPr>
            </w:pPr>
            <w:r>
              <w:rPr>
                <w:sz w:val="21"/>
                <w:szCs w:val="21"/>
                <w:spacing w:val="-2"/>
              </w:rPr>
              <w:t>4.4屠宰工艺</w:t>
            </w:r>
          </w:p>
          <w:p>
            <w:pPr>
              <w:pStyle w:val="TableText"/>
              <w:ind w:left="12"/>
              <w:spacing w:before="30" w:line="209" w:lineRule="auto"/>
              <w:rPr>
                <w:sz w:val="21"/>
                <w:szCs w:val="21"/>
              </w:rPr>
            </w:pPr>
            <w:r>
              <w:rPr>
                <w:sz w:val="21"/>
                <w:szCs w:val="21"/>
                <w:spacing w:val="-10"/>
              </w:rPr>
              <w:t>4.</w:t>
            </w:r>
            <w:r>
              <w:rPr>
                <w:sz w:val="21"/>
                <w:szCs w:val="21"/>
                <w:spacing w:val="-9"/>
              </w:rPr>
              <w:t>4.1生产工艺和操作规程应符合</w:t>
            </w:r>
            <w:r>
              <w:rPr>
                <w:sz w:val="21"/>
                <w:szCs w:val="21"/>
                <w:spacing w:val="-7"/>
              </w:rPr>
              <w:t>k</w:t>
            </w:r>
            <w:r>
              <w:rPr>
                <w:sz w:val="21"/>
                <w:szCs w:val="21"/>
                <w:spacing w:val="5"/>
              </w:rPr>
              <w:t xml:space="preserve"> </w:t>
            </w:r>
            <w:r>
              <w:rPr>
                <w:sz w:val="21"/>
                <w:szCs w:val="21"/>
                <w:spacing w:val="-1"/>
              </w:rPr>
              <w:t>GB/T17236的规定。</w:t>
            </w:r>
          </w:p>
        </w:tc>
        <w:tc>
          <w:tcPr>
            <w:tcW w:w="3116" w:type="dxa"/>
            <w:vAlign w:val="top"/>
          </w:tcPr>
          <w:p>
            <w:pPr>
              <w:pStyle w:val="TableText"/>
              <w:ind w:left="15" w:right="45"/>
              <w:spacing w:before="46" w:line="222" w:lineRule="auto"/>
              <w:rPr>
                <w:sz w:val="21"/>
                <w:szCs w:val="21"/>
              </w:rPr>
            </w:pPr>
            <w:r>
              <w:rPr>
                <w:sz w:val="21"/>
                <w:szCs w:val="21"/>
                <w:spacing w:val="-1"/>
              </w:rPr>
              <w:t>本项目生产工艺和操作规程符合</w:t>
            </w:r>
            <w:r>
              <w:rPr>
                <w:sz w:val="21"/>
                <w:szCs w:val="21"/>
                <w:spacing w:val="1"/>
              </w:rPr>
              <w:t xml:space="preserve">  </w:t>
            </w:r>
            <w:r>
              <w:rPr>
                <w:sz w:val="21"/>
                <w:szCs w:val="21"/>
                <w:spacing w:val="-1"/>
              </w:rPr>
              <w:t>GB/T17236的规定；工艺流程为</w:t>
            </w:r>
            <w:r>
              <w:rPr>
                <w:sz w:val="21"/>
                <w:szCs w:val="21"/>
                <w:spacing w:val="3"/>
              </w:rPr>
              <w:t xml:space="preserve">   </w:t>
            </w:r>
            <w:r>
              <w:rPr>
                <w:sz w:val="21"/>
                <w:szCs w:val="21"/>
                <w:spacing w:val="7"/>
              </w:rPr>
              <w:t>生猪验收、静养、喷淋、致昏、</w:t>
            </w:r>
          </w:p>
        </w:tc>
        <w:tc>
          <w:tcPr>
            <w:tcW w:w="714" w:type="dxa"/>
            <w:vAlign w:val="top"/>
          </w:tcPr>
          <w:p>
            <w:pPr>
              <w:pStyle w:val="TableText"/>
              <w:ind w:left="139"/>
              <w:spacing w:before="308" w:line="219" w:lineRule="auto"/>
              <w:rPr>
                <w:sz w:val="21"/>
                <w:szCs w:val="21"/>
              </w:rPr>
            </w:pPr>
            <w:r>
              <w:rPr>
                <w:sz w:val="21"/>
                <w:szCs w:val="21"/>
                <w:spacing w:val="-3"/>
              </w:rPr>
              <w:t>符合</w:t>
            </w:r>
          </w:p>
        </w:tc>
      </w:tr>
    </w:tbl>
    <w:p>
      <w:pPr>
        <w:pStyle w:val="BodyText"/>
        <w:rPr/>
      </w:pPr>
      <w:r/>
    </w:p>
    <w:p>
      <w:pPr>
        <w:sectPr>
          <w:headerReference w:type="default" r:id="rId66"/>
          <w:footerReference w:type="default" r:id="rId67"/>
          <w:pgSz w:w="11910" w:h="16840"/>
          <w:pgMar w:top="1210" w:right="1534" w:bottom="991" w:left="1475" w:header="902" w:footer="732" w:gutter="0"/>
        </w:sectPr>
        <w:rPr/>
      </w:pPr>
    </w:p>
    <w:p>
      <w:pPr>
        <w:spacing w:line="237" w:lineRule="exact"/>
        <w:rPr/>
      </w:pPr>
      <w:r/>
    </w:p>
    <w:tbl>
      <w:tblPr>
        <w:tblStyle w:val="TableNormal"/>
        <w:tblW w:w="88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73"/>
        <w:gridCol w:w="799"/>
        <w:gridCol w:w="3007"/>
        <w:gridCol w:w="3116"/>
        <w:gridCol w:w="704"/>
      </w:tblGrid>
      <w:tr>
        <w:trPr>
          <w:trHeight w:val="275" w:hRule="atLeast"/>
        </w:trPr>
        <w:tc>
          <w:tcPr>
            <w:shd w:val="clear" w:fill="BDBDBD"/>
            <w:tcW w:w="1273" w:type="dxa"/>
            <w:vAlign w:val="top"/>
          </w:tcPr>
          <w:p>
            <w:pPr>
              <w:pStyle w:val="TableText"/>
              <w:ind w:left="407"/>
              <w:spacing w:before="30" w:line="206" w:lineRule="auto"/>
              <w:rPr>
                <w:sz w:val="21"/>
                <w:szCs w:val="21"/>
              </w:rPr>
            </w:pPr>
            <w:r>
              <w:rPr>
                <w:sz w:val="21"/>
                <w:szCs w:val="21"/>
                <w:b/>
                <w:bCs/>
                <w:spacing w:val="-5"/>
              </w:rPr>
              <w:t>文件</w:t>
            </w:r>
          </w:p>
        </w:tc>
        <w:tc>
          <w:tcPr>
            <w:shd w:val="clear" w:fill="BDBDBD"/>
            <w:tcW w:w="3806" w:type="dxa"/>
            <w:vAlign w:val="top"/>
            <w:gridSpan w:val="2"/>
          </w:tcPr>
          <w:p>
            <w:pPr>
              <w:pStyle w:val="TableText"/>
              <w:ind w:left="1464"/>
              <w:spacing w:before="30" w:line="206" w:lineRule="auto"/>
              <w:rPr>
                <w:sz w:val="21"/>
                <w:szCs w:val="21"/>
              </w:rPr>
            </w:pPr>
            <w:r>
              <w:rPr>
                <w:sz w:val="21"/>
                <w:szCs w:val="21"/>
                <w:b/>
                <w:bCs/>
                <w:spacing w:val="-4"/>
              </w:rPr>
              <w:t>相关规定</w:t>
            </w:r>
          </w:p>
        </w:tc>
        <w:tc>
          <w:tcPr>
            <w:shd w:val="clear" w:fill="BDBDBD"/>
            <w:tcW w:w="3116" w:type="dxa"/>
            <w:vAlign w:val="top"/>
          </w:tcPr>
          <w:p>
            <w:pPr>
              <w:pStyle w:val="TableText"/>
              <w:ind w:left="1238"/>
              <w:spacing w:before="29" w:line="207" w:lineRule="auto"/>
              <w:rPr>
                <w:sz w:val="21"/>
                <w:szCs w:val="21"/>
              </w:rPr>
            </w:pPr>
            <w:r>
              <w:rPr>
                <w:sz w:val="21"/>
                <w:szCs w:val="21"/>
                <w:b/>
                <w:bCs/>
                <w:spacing w:val="9"/>
              </w:rPr>
              <w:t>本项目</w:t>
            </w:r>
          </w:p>
        </w:tc>
        <w:tc>
          <w:tcPr>
            <w:shd w:val="clear" w:fill="BDBDBD"/>
            <w:tcW w:w="704" w:type="dxa"/>
            <w:vAlign w:val="top"/>
          </w:tcPr>
          <w:p>
            <w:pPr>
              <w:pStyle w:val="TableText"/>
              <w:ind w:left="32"/>
              <w:spacing w:before="30" w:line="206" w:lineRule="auto"/>
              <w:rPr>
                <w:sz w:val="21"/>
                <w:szCs w:val="21"/>
              </w:rPr>
            </w:pPr>
            <w:r>
              <w:rPr>
                <w:sz w:val="21"/>
                <w:szCs w:val="21"/>
                <w:b/>
                <w:bCs/>
                <w:spacing w:val="-5"/>
              </w:rPr>
              <w:t>符合性</w:t>
            </w:r>
          </w:p>
        </w:tc>
      </w:tr>
      <w:tr>
        <w:trPr>
          <w:trHeight w:val="2688" w:hRule="atLeast"/>
        </w:trPr>
        <w:tc>
          <w:tcPr>
            <w:tcW w:w="1273" w:type="dxa"/>
            <w:vAlign w:val="top"/>
            <w:vMerge w:val="restart"/>
            <w:tcBorders>
              <w:bottom w:val="nil"/>
            </w:tcBorders>
          </w:tcPr>
          <w:p>
            <w:pPr>
              <w:rPr>
                <w:rFonts w:ascii="Arial"/>
                <w:sz w:val="21"/>
              </w:rPr>
            </w:pPr>
            <w:r/>
          </w:p>
        </w:tc>
        <w:tc>
          <w:tcPr>
            <w:tcW w:w="799" w:type="dxa"/>
            <w:vAlign w:val="top"/>
            <w:vMerge w:val="restart"/>
            <w:tcBorders>
              <w:bottom w:val="nil"/>
            </w:tcBorders>
          </w:tcPr>
          <w:p>
            <w:pPr>
              <w:rPr>
                <w:rFonts w:ascii="Arial"/>
                <w:sz w:val="21"/>
              </w:rPr>
            </w:pPr>
            <w:r/>
          </w:p>
        </w:tc>
        <w:tc>
          <w:tcPr>
            <w:tcW w:w="3007" w:type="dxa"/>
            <w:vAlign w:val="top"/>
          </w:tcPr>
          <w:p>
            <w:pPr>
              <w:pStyle w:val="TableText"/>
              <w:ind w:left="12"/>
              <w:spacing w:before="26" w:line="239" w:lineRule="auto"/>
              <w:rPr>
                <w:sz w:val="21"/>
                <w:szCs w:val="21"/>
              </w:rPr>
            </w:pPr>
            <w:r>
              <w:rPr>
                <w:sz w:val="21"/>
                <w:szCs w:val="21"/>
                <w:spacing w:val="-4"/>
              </w:rPr>
              <w:t>4.4.2工艺流程应为生猪验收、静</w:t>
            </w:r>
            <w:r>
              <w:rPr>
                <w:sz w:val="21"/>
                <w:szCs w:val="21"/>
                <w:spacing w:val="6"/>
              </w:rPr>
              <w:t xml:space="preserve"> </w:t>
            </w:r>
            <w:r>
              <w:rPr>
                <w:sz w:val="21"/>
                <w:szCs w:val="21"/>
                <w:spacing w:val="-1"/>
              </w:rPr>
              <w:t>养、喷淋、致昏、刺杀放血、浸</w:t>
            </w:r>
            <w:r>
              <w:rPr>
                <w:sz w:val="21"/>
                <w:szCs w:val="21"/>
              </w:rPr>
              <w:t xml:space="preserve"> </w:t>
            </w:r>
            <w:r>
              <w:rPr>
                <w:sz w:val="21"/>
                <w:szCs w:val="21"/>
              </w:rPr>
              <w:t>烫脱毛(或剥皮)、预干燥、编</w:t>
            </w:r>
          </w:p>
          <w:p>
            <w:pPr>
              <w:pStyle w:val="TableText"/>
              <w:ind w:left="12" w:right="34"/>
              <w:spacing w:before="4" w:line="232" w:lineRule="auto"/>
              <w:rPr>
                <w:sz w:val="21"/>
                <w:szCs w:val="21"/>
              </w:rPr>
            </w:pPr>
            <w:r>
              <w:rPr>
                <w:sz w:val="21"/>
                <w:szCs w:val="21"/>
              </w:rPr>
              <w:t>号、燎毛、清洗抛光、雕圈、开</w:t>
            </w:r>
            <w:r>
              <w:rPr>
                <w:sz w:val="21"/>
                <w:szCs w:val="21"/>
                <w:spacing w:val="8"/>
              </w:rPr>
              <w:t xml:space="preserve"> </w:t>
            </w:r>
            <w:r>
              <w:rPr>
                <w:sz w:val="21"/>
                <w:szCs w:val="21"/>
                <w:spacing w:val="-1"/>
              </w:rPr>
              <w:t>膛、取内脏、去头、去蹄尾、劈</w:t>
            </w:r>
            <w:r>
              <w:rPr>
                <w:sz w:val="21"/>
                <w:szCs w:val="21"/>
                <w:spacing w:val="5"/>
              </w:rPr>
              <w:t xml:space="preserve"> </w:t>
            </w:r>
            <w:r>
              <w:rPr>
                <w:sz w:val="21"/>
                <w:szCs w:val="21"/>
              </w:rPr>
              <w:t>(锯)半、摘三腺、修整、分</w:t>
            </w:r>
          </w:p>
          <w:p>
            <w:pPr>
              <w:pStyle w:val="TableText"/>
              <w:ind w:left="12"/>
              <w:spacing w:line="219" w:lineRule="auto"/>
              <w:rPr>
                <w:sz w:val="21"/>
                <w:szCs w:val="21"/>
              </w:rPr>
            </w:pPr>
            <w:r>
              <w:rPr>
                <w:sz w:val="21"/>
                <w:szCs w:val="21"/>
                <w:spacing w:val="-1"/>
              </w:rPr>
              <w:t>级、整理副产品等。</w:t>
            </w:r>
          </w:p>
          <w:p>
            <w:pPr>
              <w:pStyle w:val="TableText"/>
              <w:ind w:left="12"/>
              <w:spacing w:before="80" w:line="208" w:lineRule="auto"/>
              <w:rPr>
                <w:sz w:val="21"/>
                <w:szCs w:val="21"/>
              </w:rPr>
            </w:pPr>
            <w:r>
              <w:rPr>
                <w:sz w:val="21"/>
                <w:szCs w:val="21"/>
                <w:spacing w:val="-4"/>
              </w:rPr>
              <w:t>4.4.3从放血到摘取内脏，不应超</w:t>
            </w:r>
            <w:r>
              <w:rPr>
                <w:sz w:val="21"/>
                <w:szCs w:val="21"/>
                <w:spacing w:val="6"/>
              </w:rPr>
              <w:t xml:space="preserve"> </w:t>
            </w:r>
            <w:r>
              <w:rPr>
                <w:sz w:val="21"/>
                <w:szCs w:val="21"/>
                <w:spacing w:val="-1"/>
              </w:rPr>
              <w:t>过30min。全部屠宰过程应不超</w:t>
            </w:r>
            <w:r>
              <w:rPr>
                <w:sz w:val="21"/>
                <w:szCs w:val="21"/>
              </w:rPr>
              <w:t xml:space="preserve">  </w:t>
            </w:r>
            <w:r>
              <w:rPr>
                <w:sz w:val="21"/>
                <w:szCs w:val="21"/>
                <w:spacing w:val="-1"/>
              </w:rPr>
              <w:t>过45min。</w:t>
            </w:r>
          </w:p>
        </w:tc>
        <w:tc>
          <w:tcPr>
            <w:tcW w:w="3116" w:type="dxa"/>
            <w:vAlign w:val="top"/>
          </w:tcPr>
          <w:p>
            <w:pPr>
              <w:pStyle w:val="TableText"/>
              <w:ind w:left="15"/>
              <w:spacing w:before="38" w:line="219" w:lineRule="auto"/>
              <w:rPr>
                <w:sz w:val="21"/>
                <w:szCs w:val="21"/>
              </w:rPr>
            </w:pPr>
            <w:r>
              <w:rPr>
                <w:sz w:val="21"/>
                <w:szCs w:val="21"/>
                <w:spacing w:val="-1"/>
              </w:rPr>
              <w:t>刺杀放血、浸烫脱毛(或剥</w:t>
            </w:r>
          </w:p>
          <w:p>
            <w:pPr>
              <w:pStyle w:val="TableText"/>
              <w:ind w:left="15" w:right="45"/>
              <w:spacing w:line="239" w:lineRule="auto"/>
              <w:rPr>
                <w:sz w:val="21"/>
                <w:szCs w:val="21"/>
              </w:rPr>
            </w:pPr>
            <w:r>
              <w:rPr>
                <w:sz w:val="21"/>
                <w:szCs w:val="21"/>
                <w:spacing w:val="-1"/>
              </w:rPr>
              <w:t>皮)、预干燥、编号、燎毛、清</w:t>
            </w:r>
            <w:r>
              <w:rPr>
                <w:sz w:val="21"/>
                <w:szCs w:val="21"/>
              </w:rPr>
              <w:t xml:space="preserve">   </w:t>
            </w:r>
            <w:r>
              <w:rPr>
                <w:sz w:val="21"/>
                <w:szCs w:val="21"/>
                <w:spacing w:val="7"/>
              </w:rPr>
              <w:t>洗抛光、雕圈、开膛、取内脏、</w:t>
            </w:r>
            <w:r>
              <w:rPr>
                <w:sz w:val="21"/>
                <w:szCs w:val="21"/>
                <w:spacing w:val="5"/>
              </w:rPr>
              <w:t xml:space="preserve"> </w:t>
            </w:r>
            <w:r>
              <w:rPr>
                <w:sz w:val="21"/>
                <w:szCs w:val="21"/>
                <w:spacing w:val="1"/>
              </w:rPr>
              <w:t>去头、去蹄尾、劈(锯)半、摘</w:t>
            </w:r>
          </w:p>
          <w:p>
            <w:pPr>
              <w:pStyle w:val="TableText"/>
              <w:ind w:left="15" w:right="128"/>
              <w:spacing w:before="4" w:line="231" w:lineRule="auto"/>
              <w:rPr>
                <w:sz w:val="21"/>
                <w:szCs w:val="21"/>
              </w:rPr>
            </w:pPr>
            <w:r>
              <w:rPr>
                <w:sz w:val="21"/>
                <w:szCs w:val="21"/>
                <w:spacing w:val="1"/>
              </w:rPr>
              <w:t>三腺、修整、分级、整理副产品</w:t>
            </w:r>
            <w:r>
              <w:rPr>
                <w:sz w:val="21"/>
                <w:szCs w:val="21"/>
                <w:spacing w:val="6"/>
              </w:rPr>
              <w:t xml:space="preserve"> </w:t>
            </w:r>
            <w:r>
              <w:rPr>
                <w:sz w:val="21"/>
                <w:szCs w:val="21"/>
                <w:spacing w:val="-1"/>
              </w:rPr>
              <w:t>等；从放血到摘取内脏，不应超</w:t>
            </w:r>
          </w:p>
          <w:p>
            <w:pPr>
              <w:pStyle w:val="TableText"/>
              <w:ind w:left="15" w:right="159"/>
              <w:spacing w:before="2" w:line="322" w:lineRule="auto"/>
              <w:rPr>
                <w:sz w:val="21"/>
                <w:szCs w:val="21"/>
              </w:rPr>
            </w:pPr>
            <w:r>
              <w:rPr>
                <w:sz w:val="21"/>
                <w:szCs w:val="21"/>
                <w:spacing w:val="-1"/>
              </w:rPr>
              <w:t>过30min,全部屠宰过程应不超过</w:t>
            </w:r>
            <w:r>
              <w:rPr>
                <w:sz w:val="21"/>
                <w:szCs w:val="21"/>
                <w:spacing w:val="6"/>
              </w:rPr>
              <w:t xml:space="preserve"> </w:t>
            </w:r>
            <w:r>
              <w:rPr>
                <w:sz w:val="21"/>
                <w:szCs w:val="21"/>
                <w:spacing w:val="-5"/>
              </w:rPr>
              <w:t>45min。</w:t>
            </w:r>
          </w:p>
        </w:tc>
        <w:tc>
          <w:tcPr>
            <w:tcW w:w="704" w:type="dxa"/>
            <w:vAlign w:val="top"/>
          </w:tcPr>
          <w:p>
            <w:pPr>
              <w:rPr>
                <w:rFonts w:ascii="Arial"/>
                <w:sz w:val="21"/>
              </w:rPr>
            </w:pPr>
            <w:r/>
          </w:p>
        </w:tc>
      </w:tr>
      <w:tr>
        <w:trPr>
          <w:trHeight w:val="4876" w:hRule="atLeast"/>
        </w:trPr>
        <w:tc>
          <w:tcPr>
            <w:tcW w:w="1273" w:type="dxa"/>
            <w:vAlign w:val="top"/>
            <w:vMerge w:val="continue"/>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3007" w:type="dxa"/>
            <w:vAlign w:val="top"/>
          </w:tcPr>
          <w:p>
            <w:pPr>
              <w:pStyle w:val="TableText"/>
              <w:ind w:left="12"/>
              <w:spacing w:before="40" w:line="219" w:lineRule="auto"/>
              <w:rPr>
                <w:sz w:val="21"/>
                <w:szCs w:val="21"/>
              </w:rPr>
            </w:pPr>
            <w:r>
              <w:rPr>
                <w:sz w:val="21"/>
                <w:szCs w:val="21"/>
                <w:spacing w:val="-1"/>
              </w:rPr>
              <w:t>4.5检验检疫</w:t>
            </w:r>
          </w:p>
          <w:p>
            <w:pPr>
              <w:pStyle w:val="TableText"/>
              <w:ind w:left="12"/>
              <w:spacing w:before="20" w:line="229" w:lineRule="auto"/>
              <w:rPr>
                <w:sz w:val="21"/>
                <w:szCs w:val="21"/>
              </w:rPr>
            </w:pPr>
            <w:r>
              <w:rPr>
                <w:sz w:val="21"/>
                <w:szCs w:val="21"/>
                <w:spacing w:val="-4"/>
              </w:rPr>
              <w:t>4.5.1生猪宰前、宰后检验，应符</w:t>
            </w:r>
            <w:r>
              <w:rPr>
                <w:sz w:val="21"/>
                <w:szCs w:val="21"/>
                <w:spacing w:val="6"/>
              </w:rPr>
              <w:t xml:space="preserve"> </w:t>
            </w:r>
            <w:r>
              <w:rPr>
                <w:sz w:val="21"/>
                <w:szCs w:val="21"/>
                <w:spacing w:val="-1"/>
              </w:rPr>
              <w:t>合GB/T17996的规定。</w:t>
            </w:r>
          </w:p>
          <w:p>
            <w:pPr>
              <w:pStyle w:val="TableText"/>
              <w:ind w:left="12"/>
              <w:spacing w:before="19" w:line="233" w:lineRule="auto"/>
              <w:rPr>
                <w:sz w:val="21"/>
                <w:szCs w:val="21"/>
              </w:rPr>
            </w:pPr>
            <w:r>
              <w:rPr>
                <w:sz w:val="21"/>
                <w:szCs w:val="21"/>
                <w:spacing w:val="-4"/>
              </w:rPr>
              <w:t>4.5.2生猪宰前、宰后检疫，应符</w:t>
            </w:r>
            <w:r>
              <w:rPr>
                <w:sz w:val="21"/>
                <w:szCs w:val="21"/>
                <w:spacing w:val="6"/>
              </w:rPr>
              <w:t xml:space="preserve"> </w:t>
            </w:r>
            <w:r>
              <w:rPr>
                <w:sz w:val="21"/>
                <w:szCs w:val="21"/>
                <w:spacing w:val="-1"/>
              </w:rPr>
              <w:t>合NY/T909的规定。</w:t>
            </w:r>
          </w:p>
          <w:p>
            <w:pPr>
              <w:pStyle w:val="TableText"/>
              <w:ind w:left="12"/>
              <w:spacing w:before="29" w:line="224" w:lineRule="auto"/>
              <w:rPr>
                <w:sz w:val="21"/>
                <w:szCs w:val="21"/>
              </w:rPr>
            </w:pPr>
            <w:r>
              <w:rPr>
                <w:sz w:val="21"/>
                <w:szCs w:val="21"/>
                <w:spacing w:val="-4"/>
              </w:rPr>
              <w:t>4.5.3宰后检验应采用与胴体统一</w:t>
            </w:r>
            <w:r>
              <w:rPr>
                <w:sz w:val="21"/>
                <w:szCs w:val="21"/>
                <w:spacing w:val="6"/>
              </w:rPr>
              <w:t xml:space="preserve"> </w:t>
            </w:r>
            <w:r>
              <w:rPr>
                <w:sz w:val="21"/>
                <w:szCs w:val="21"/>
                <w:spacing w:val="-1"/>
              </w:rPr>
              <w:t>对照编号方法进行。</w:t>
            </w:r>
          </w:p>
          <w:p>
            <w:pPr>
              <w:pStyle w:val="TableText"/>
              <w:ind w:left="12"/>
              <w:spacing w:before="10" w:line="233" w:lineRule="auto"/>
              <w:rPr>
                <w:sz w:val="21"/>
                <w:szCs w:val="21"/>
              </w:rPr>
            </w:pPr>
            <w:r>
              <w:rPr>
                <w:sz w:val="21"/>
                <w:szCs w:val="21"/>
                <w:spacing w:val="-4"/>
              </w:rPr>
              <w:t>4.5.4经肉品品质检验合格的片猪</w:t>
            </w:r>
            <w:r>
              <w:rPr>
                <w:sz w:val="21"/>
                <w:szCs w:val="21"/>
                <w:spacing w:val="6"/>
              </w:rPr>
              <w:t xml:space="preserve"> </w:t>
            </w:r>
            <w:r>
              <w:rPr>
                <w:sz w:val="21"/>
                <w:szCs w:val="21"/>
              </w:rPr>
              <w:t>肉，应当加盖肉品品质检验合格</w:t>
            </w:r>
            <w:r>
              <w:rPr>
                <w:sz w:val="21"/>
                <w:szCs w:val="21"/>
                <w:spacing w:val="3"/>
              </w:rPr>
              <w:t xml:space="preserve"> </w:t>
            </w:r>
            <w:r>
              <w:rPr>
                <w:sz w:val="21"/>
                <w:szCs w:val="21"/>
                <w:spacing w:val="-1"/>
              </w:rPr>
              <w:t>验讫章，并附具《肉品品质检验</w:t>
            </w:r>
            <w:r>
              <w:rPr>
                <w:sz w:val="21"/>
                <w:szCs w:val="21"/>
              </w:rPr>
              <w:t xml:space="preserve"> </w:t>
            </w:r>
            <w:r>
              <w:rPr>
                <w:sz w:val="21"/>
                <w:szCs w:val="21"/>
                <w:spacing w:val="-1"/>
              </w:rPr>
              <w:t>合格证》后方可出厂(场)。</w:t>
            </w:r>
          </w:p>
          <w:p>
            <w:pPr>
              <w:pStyle w:val="TableText"/>
              <w:ind w:left="12"/>
              <w:spacing w:before="41" w:line="231" w:lineRule="auto"/>
              <w:rPr>
                <w:sz w:val="21"/>
                <w:szCs w:val="21"/>
              </w:rPr>
            </w:pPr>
            <w:r>
              <w:rPr>
                <w:sz w:val="21"/>
                <w:szCs w:val="21"/>
                <w:spacing w:val="-4"/>
              </w:rPr>
              <w:t>4.5.5检验后一般性疾病肉品的处</w:t>
            </w:r>
            <w:r>
              <w:rPr>
                <w:sz w:val="21"/>
                <w:szCs w:val="21"/>
                <w:spacing w:val="6"/>
              </w:rPr>
              <w:t xml:space="preserve"> </w:t>
            </w:r>
            <w:r>
              <w:rPr>
                <w:sz w:val="21"/>
                <w:szCs w:val="21"/>
                <w:spacing w:val="-1"/>
              </w:rPr>
              <w:t>理应按GB/T17996的规定；其他</w:t>
            </w:r>
            <w:r>
              <w:rPr>
                <w:sz w:val="21"/>
                <w:szCs w:val="21"/>
              </w:rPr>
              <w:t xml:space="preserve">  </w:t>
            </w:r>
            <w:r>
              <w:rPr>
                <w:sz w:val="21"/>
                <w:szCs w:val="21"/>
                <w:spacing w:val="-1"/>
              </w:rPr>
              <w:t>病害猪(肉)处理应符合</w:t>
            </w:r>
          </w:p>
          <w:p>
            <w:pPr>
              <w:pStyle w:val="TableText"/>
              <w:ind w:left="12"/>
              <w:spacing w:before="32" w:line="220" w:lineRule="auto"/>
              <w:rPr>
                <w:sz w:val="21"/>
                <w:szCs w:val="21"/>
              </w:rPr>
            </w:pPr>
            <w:r>
              <w:rPr>
                <w:sz w:val="21"/>
                <w:szCs w:val="21"/>
                <w:spacing w:val="-1"/>
              </w:rPr>
              <w:t>GB16548的规定。</w:t>
            </w:r>
          </w:p>
          <w:p>
            <w:pPr>
              <w:pStyle w:val="TableText"/>
              <w:ind w:left="12" w:right="51"/>
              <w:spacing w:before="10" w:line="221" w:lineRule="auto"/>
              <w:rPr>
                <w:sz w:val="21"/>
                <w:szCs w:val="21"/>
              </w:rPr>
            </w:pPr>
            <w:r>
              <w:rPr>
                <w:sz w:val="21"/>
                <w:szCs w:val="21"/>
                <w:spacing w:val="-1"/>
              </w:rPr>
              <w:t>4.5.6应有克伦特罗、莱克多巴</w:t>
            </w:r>
            <w:r>
              <w:rPr>
                <w:sz w:val="21"/>
                <w:szCs w:val="21"/>
                <w:spacing w:val="3"/>
              </w:rPr>
              <w:t xml:space="preserve">  </w:t>
            </w:r>
            <w:r>
              <w:rPr>
                <w:sz w:val="21"/>
                <w:szCs w:val="21"/>
                <w:spacing w:val="-1"/>
              </w:rPr>
              <w:t>胺、沙丁胺醇等有毒有害物质及</w:t>
            </w:r>
            <w:r>
              <w:rPr>
                <w:sz w:val="21"/>
                <w:szCs w:val="21"/>
                <w:spacing w:val="5"/>
              </w:rPr>
              <w:t xml:space="preserve"> </w:t>
            </w:r>
            <w:r>
              <w:rPr>
                <w:sz w:val="21"/>
                <w:szCs w:val="21"/>
                <w:spacing w:val="-1"/>
              </w:rPr>
              <w:t>水分的快速检测能力。</w:t>
            </w:r>
          </w:p>
        </w:tc>
        <w:tc>
          <w:tcPr>
            <w:tcW w:w="3116" w:type="dxa"/>
            <w:vAlign w:val="top"/>
          </w:tcPr>
          <w:p>
            <w:pPr>
              <w:spacing w:line="318" w:lineRule="auto"/>
              <w:rPr>
                <w:rFonts w:ascii="Arial"/>
                <w:sz w:val="21"/>
              </w:rPr>
            </w:pPr>
            <w:r/>
          </w:p>
          <w:p>
            <w:pPr>
              <w:spacing w:line="319" w:lineRule="auto"/>
              <w:rPr>
                <w:rFonts w:ascii="Arial"/>
                <w:sz w:val="21"/>
              </w:rPr>
            </w:pPr>
            <w:r/>
          </w:p>
          <w:p>
            <w:pPr>
              <w:pStyle w:val="TableText"/>
              <w:ind w:left="15" w:right="159"/>
              <w:spacing w:before="68" w:line="233" w:lineRule="auto"/>
              <w:rPr>
                <w:sz w:val="21"/>
                <w:szCs w:val="21"/>
              </w:rPr>
            </w:pPr>
            <w:r>
              <w:rPr>
                <w:sz w:val="21"/>
                <w:szCs w:val="21"/>
                <w:spacing w:val="-1"/>
              </w:rPr>
              <w:t>本项目生猪宰前、宰后检验，符</w:t>
            </w:r>
            <w:r>
              <w:rPr>
                <w:sz w:val="21"/>
                <w:szCs w:val="21"/>
                <w:spacing w:val="3"/>
              </w:rPr>
              <w:t xml:space="preserve"> </w:t>
            </w:r>
            <w:r>
              <w:rPr>
                <w:sz w:val="21"/>
                <w:szCs w:val="21"/>
                <w:spacing w:val="-1"/>
              </w:rPr>
              <w:t>合GB/T17996、NY/T909的规</w:t>
            </w:r>
          </w:p>
          <w:p>
            <w:pPr>
              <w:pStyle w:val="TableText"/>
              <w:ind w:left="15" w:right="126"/>
              <w:spacing w:before="1" w:line="239" w:lineRule="auto"/>
              <w:rPr>
                <w:sz w:val="21"/>
                <w:szCs w:val="21"/>
              </w:rPr>
            </w:pPr>
            <w:r>
              <w:rPr>
                <w:sz w:val="21"/>
                <w:szCs w:val="21"/>
              </w:rPr>
              <w:t>定；宰后检验采用与胴体统一对</w:t>
            </w:r>
            <w:r>
              <w:rPr>
                <w:sz w:val="21"/>
                <w:szCs w:val="21"/>
                <w:spacing w:val="8"/>
              </w:rPr>
              <w:t xml:space="preserve"> </w:t>
            </w:r>
            <w:r>
              <w:rPr>
                <w:sz w:val="21"/>
                <w:szCs w:val="21"/>
              </w:rPr>
              <w:t>照编号方法进行；经肉品品质检</w:t>
            </w:r>
            <w:r>
              <w:rPr>
                <w:sz w:val="21"/>
                <w:szCs w:val="21"/>
                <w:spacing w:val="7"/>
              </w:rPr>
              <w:t xml:space="preserve"> </w:t>
            </w:r>
            <w:r>
              <w:rPr>
                <w:sz w:val="21"/>
                <w:szCs w:val="21"/>
                <w:spacing w:val="1"/>
              </w:rPr>
              <w:t>验合格的片猪肉，加盖肉品品质</w:t>
            </w:r>
            <w:r>
              <w:rPr>
                <w:sz w:val="21"/>
                <w:szCs w:val="21"/>
                <w:spacing w:val="8"/>
              </w:rPr>
              <w:t xml:space="preserve"> </w:t>
            </w:r>
            <w:r>
              <w:rPr>
                <w:sz w:val="21"/>
                <w:szCs w:val="21"/>
                <w:spacing w:val="1"/>
              </w:rPr>
              <w:t>检验合格验讫章，并附具《肉品</w:t>
            </w:r>
            <w:r>
              <w:rPr>
                <w:sz w:val="21"/>
                <w:szCs w:val="21"/>
                <w:spacing w:val="6"/>
              </w:rPr>
              <w:t xml:space="preserve"> </w:t>
            </w:r>
            <w:r>
              <w:rPr>
                <w:sz w:val="21"/>
                <w:szCs w:val="21"/>
              </w:rPr>
              <w:t>品质检验合格证》后方可出厂</w:t>
            </w:r>
          </w:p>
          <w:p>
            <w:pPr>
              <w:pStyle w:val="TableText"/>
              <w:ind w:left="15"/>
              <w:spacing w:line="219" w:lineRule="auto"/>
              <w:rPr>
                <w:sz w:val="21"/>
                <w:szCs w:val="21"/>
              </w:rPr>
            </w:pPr>
            <w:r>
              <w:rPr>
                <w:sz w:val="21"/>
                <w:szCs w:val="21"/>
                <w:spacing w:val="1"/>
              </w:rPr>
              <w:t>(场);检验后一般性疾病肉品</w:t>
            </w:r>
          </w:p>
          <w:p>
            <w:pPr>
              <w:pStyle w:val="TableText"/>
              <w:ind w:left="15" w:right="251"/>
              <w:spacing w:before="21" w:line="239" w:lineRule="auto"/>
              <w:rPr>
                <w:sz w:val="21"/>
                <w:szCs w:val="21"/>
              </w:rPr>
            </w:pPr>
            <w:r>
              <w:rPr>
                <w:sz w:val="21"/>
                <w:szCs w:val="21"/>
              </w:rPr>
              <w:t>的处理按GB/T17996的规定；其</w:t>
            </w:r>
            <w:r>
              <w:rPr>
                <w:sz w:val="21"/>
                <w:szCs w:val="21"/>
                <w:spacing w:val="2"/>
              </w:rPr>
              <w:t xml:space="preserve"> </w:t>
            </w:r>
            <w:r>
              <w:rPr>
                <w:sz w:val="21"/>
                <w:szCs w:val="21"/>
                <w:spacing w:val="-1"/>
              </w:rPr>
              <w:t>他病害猪(肉)处理应符合</w:t>
            </w:r>
          </w:p>
          <w:p>
            <w:pPr>
              <w:pStyle w:val="TableText"/>
              <w:ind w:left="15" w:right="139"/>
              <w:spacing w:before="6" w:line="234" w:lineRule="auto"/>
              <w:rPr>
                <w:sz w:val="21"/>
                <w:szCs w:val="21"/>
              </w:rPr>
            </w:pPr>
            <w:r>
              <w:rPr>
                <w:sz w:val="21"/>
                <w:szCs w:val="21"/>
              </w:rPr>
              <w:t>GB</w:t>
            </w:r>
            <w:r>
              <w:rPr>
                <w:sz w:val="21"/>
                <w:szCs w:val="21"/>
                <w:spacing w:val="6"/>
              </w:rPr>
              <w:t>16548的规定；有克伦特罗、</w:t>
            </w:r>
            <w:r>
              <w:rPr>
                <w:sz w:val="21"/>
                <w:szCs w:val="21"/>
                <w:spacing w:val="8"/>
              </w:rPr>
              <w:t xml:space="preserve"> </w:t>
            </w:r>
            <w:r>
              <w:rPr>
                <w:sz w:val="21"/>
                <w:szCs w:val="21"/>
              </w:rPr>
              <w:t>莱克多巴胺、沙丁胺醇等有毒有</w:t>
            </w:r>
            <w:r>
              <w:rPr>
                <w:sz w:val="21"/>
                <w:szCs w:val="21"/>
                <w:spacing w:val="9"/>
              </w:rPr>
              <w:t xml:space="preserve"> </w:t>
            </w:r>
            <w:r>
              <w:rPr>
                <w:sz w:val="21"/>
                <w:szCs w:val="21"/>
                <w:spacing w:val="-1"/>
              </w:rPr>
              <w:t>害物质及水分的快速检测能力。</w:t>
            </w:r>
          </w:p>
        </w:tc>
        <w:tc>
          <w:tcPr>
            <w:tcW w:w="704" w:type="dxa"/>
            <w:vAlign w:val="top"/>
          </w:tcPr>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139"/>
              <w:spacing w:before="68" w:line="219" w:lineRule="auto"/>
              <w:rPr>
                <w:sz w:val="21"/>
                <w:szCs w:val="21"/>
              </w:rPr>
            </w:pPr>
            <w:r>
              <w:rPr>
                <w:sz w:val="21"/>
                <w:szCs w:val="21"/>
                <w:spacing w:val="-3"/>
              </w:rPr>
              <w:t>符合</w:t>
            </w:r>
          </w:p>
        </w:tc>
      </w:tr>
      <w:tr>
        <w:trPr>
          <w:trHeight w:val="5811" w:hRule="atLeast"/>
        </w:trPr>
        <w:tc>
          <w:tcPr>
            <w:tcW w:w="1273" w:type="dxa"/>
            <w:vAlign w:val="top"/>
            <w:vMerge w:val="continue"/>
            <w:tcBorders>
              <w:top w:val="nil"/>
            </w:tcBorders>
          </w:tcPr>
          <w:p>
            <w:pPr>
              <w:rPr>
                <w:rFonts w:ascii="Arial"/>
                <w:sz w:val="21"/>
              </w:rPr>
            </w:pPr>
            <w:r/>
          </w:p>
        </w:tc>
        <w:tc>
          <w:tcPr>
            <w:tcW w:w="799" w:type="dxa"/>
            <w:vAlign w:val="top"/>
            <w:vMerge w:val="continue"/>
            <w:tcBorders>
              <w:top w:val="nil"/>
            </w:tcBorders>
          </w:tcPr>
          <w:p>
            <w:pPr>
              <w:rPr>
                <w:rFonts w:ascii="Arial"/>
                <w:sz w:val="21"/>
              </w:rPr>
            </w:pPr>
            <w:r/>
          </w:p>
        </w:tc>
        <w:tc>
          <w:tcPr>
            <w:tcW w:w="3007" w:type="dxa"/>
            <w:vAlign w:val="top"/>
          </w:tcPr>
          <w:p>
            <w:pPr>
              <w:pStyle w:val="TableText"/>
              <w:ind w:left="12"/>
              <w:spacing w:before="55" w:line="220" w:lineRule="auto"/>
              <w:rPr>
                <w:sz w:val="21"/>
                <w:szCs w:val="21"/>
              </w:rPr>
            </w:pPr>
            <w:r>
              <w:rPr>
                <w:sz w:val="21"/>
                <w:szCs w:val="21"/>
                <w:spacing w:val="1"/>
              </w:rPr>
              <w:t>4.6质量控制</w:t>
            </w:r>
          </w:p>
          <w:p>
            <w:pPr>
              <w:pStyle w:val="TableText"/>
              <w:ind w:left="12"/>
              <w:spacing w:before="9" w:line="228" w:lineRule="auto"/>
              <w:rPr>
                <w:sz w:val="21"/>
                <w:szCs w:val="21"/>
              </w:rPr>
            </w:pPr>
            <w:r>
              <w:rPr>
                <w:sz w:val="21"/>
                <w:szCs w:val="21"/>
                <w:spacing w:val="-4"/>
              </w:rPr>
              <w:t>4.6.1应设有相对独立的质量管理</w:t>
            </w:r>
            <w:r>
              <w:rPr>
                <w:sz w:val="21"/>
                <w:szCs w:val="21"/>
                <w:spacing w:val="6"/>
              </w:rPr>
              <w:t xml:space="preserve"> </w:t>
            </w:r>
            <w:r>
              <w:rPr>
                <w:sz w:val="21"/>
                <w:szCs w:val="21"/>
                <w:spacing w:val="-2"/>
              </w:rPr>
              <w:t>部门。</w:t>
            </w:r>
          </w:p>
          <w:p>
            <w:pPr>
              <w:pStyle w:val="TableText"/>
              <w:ind w:left="12"/>
              <w:spacing w:before="80" w:line="215" w:lineRule="auto"/>
              <w:rPr>
                <w:sz w:val="21"/>
                <w:szCs w:val="21"/>
              </w:rPr>
            </w:pPr>
            <w:r>
              <w:rPr>
                <w:sz w:val="21"/>
                <w:szCs w:val="21"/>
                <w:spacing w:val="-4"/>
              </w:rPr>
              <w:t>4.6.2建立完善的生猪产品质量安</w:t>
            </w:r>
            <w:r>
              <w:rPr>
                <w:sz w:val="21"/>
                <w:szCs w:val="21"/>
                <w:spacing w:val="6"/>
              </w:rPr>
              <w:t xml:space="preserve"> </w:t>
            </w:r>
            <w:r>
              <w:rPr>
                <w:sz w:val="21"/>
                <w:szCs w:val="21"/>
                <w:spacing w:val="-1"/>
              </w:rPr>
              <w:t>全管理制度和记录。</w:t>
            </w:r>
          </w:p>
          <w:p>
            <w:pPr>
              <w:pStyle w:val="TableText"/>
              <w:ind w:left="12" w:right="156"/>
              <w:spacing w:before="21" w:line="228" w:lineRule="auto"/>
              <w:rPr>
                <w:sz w:val="21"/>
                <w:szCs w:val="21"/>
              </w:rPr>
            </w:pPr>
            <w:r>
              <w:rPr>
                <w:sz w:val="21"/>
                <w:szCs w:val="21"/>
                <w:spacing w:val="-1"/>
              </w:rPr>
              <w:t>4.6.2.1应建立生猪进厂(场)检</w:t>
            </w:r>
            <w:r>
              <w:rPr>
                <w:sz w:val="21"/>
                <w:szCs w:val="21"/>
                <w:spacing w:val="9"/>
              </w:rPr>
              <w:t xml:space="preserve"> </w:t>
            </w:r>
            <w:r>
              <w:rPr>
                <w:sz w:val="21"/>
                <w:szCs w:val="21"/>
                <w:spacing w:val="1"/>
              </w:rPr>
              <w:t>查登记制度、生猪屠宰管理制</w:t>
            </w:r>
          </w:p>
          <w:p>
            <w:pPr>
              <w:pStyle w:val="TableText"/>
              <w:ind w:left="12" w:right="20"/>
              <w:spacing w:before="21" w:line="237" w:lineRule="auto"/>
              <w:rPr>
                <w:sz w:val="21"/>
                <w:szCs w:val="21"/>
              </w:rPr>
            </w:pPr>
            <w:r>
              <w:rPr>
                <w:sz w:val="21"/>
                <w:szCs w:val="21"/>
                <w:spacing w:val="1"/>
              </w:rPr>
              <w:t>度、肉品品质检验管理制度、质</w:t>
            </w:r>
            <w:r>
              <w:rPr>
                <w:sz w:val="21"/>
                <w:szCs w:val="21"/>
                <w:spacing w:val="8"/>
              </w:rPr>
              <w:t xml:space="preserve"> </w:t>
            </w:r>
            <w:r>
              <w:rPr>
                <w:sz w:val="21"/>
                <w:szCs w:val="21"/>
                <w:spacing w:val="1"/>
              </w:rPr>
              <w:t>量追溯管理制度、缺陷产品召回</w:t>
            </w:r>
            <w:r>
              <w:rPr>
                <w:sz w:val="21"/>
                <w:szCs w:val="21"/>
                <w:spacing w:val="7"/>
              </w:rPr>
              <w:t xml:space="preserve"> </w:t>
            </w:r>
            <w:r>
              <w:rPr>
                <w:sz w:val="21"/>
                <w:szCs w:val="21"/>
                <w:spacing w:val="-1"/>
              </w:rPr>
              <w:t>管理制度、信息报送制度。</w:t>
            </w:r>
          </w:p>
          <w:p>
            <w:pPr>
              <w:pStyle w:val="TableText"/>
              <w:ind w:left="12"/>
              <w:spacing w:before="21" w:line="237" w:lineRule="auto"/>
              <w:rPr>
                <w:sz w:val="21"/>
                <w:szCs w:val="21"/>
              </w:rPr>
            </w:pPr>
            <w:r>
              <w:rPr>
                <w:sz w:val="21"/>
                <w:szCs w:val="21"/>
                <w:spacing w:val="-4"/>
              </w:rPr>
              <w:t>4.6.2.2应建立宰前检验记录、生</w:t>
            </w:r>
            <w:r>
              <w:rPr>
                <w:sz w:val="21"/>
                <w:szCs w:val="21"/>
                <w:spacing w:val="10"/>
              </w:rPr>
              <w:t xml:space="preserve"> </w:t>
            </w:r>
            <w:r>
              <w:rPr>
                <w:sz w:val="21"/>
                <w:szCs w:val="21"/>
              </w:rPr>
              <w:t>猪送宰交接记录、生产记录、宰</w:t>
            </w:r>
            <w:r>
              <w:rPr>
                <w:sz w:val="21"/>
                <w:szCs w:val="21"/>
                <w:spacing w:val="9"/>
              </w:rPr>
              <w:t xml:space="preserve"> </w:t>
            </w:r>
            <w:r>
              <w:rPr>
                <w:sz w:val="21"/>
                <w:szCs w:val="21"/>
                <w:spacing w:val="1"/>
              </w:rPr>
              <w:t>后检验结果记录、产品销售台</w:t>
            </w:r>
          </w:p>
          <w:p>
            <w:pPr>
              <w:pStyle w:val="TableText"/>
              <w:ind w:left="12" w:right="29"/>
              <w:spacing w:before="30" w:line="225" w:lineRule="auto"/>
              <w:rPr>
                <w:sz w:val="21"/>
                <w:szCs w:val="21"/>
              </w:rPr>
            </w:pPr>
            <w:r>
              <w:rPr>
                <w:sz w:val="21"/>
                <w:szCs w:val="21"/>
                <w:spacing w:val="1"/>
              </w:rPr>
              <w:t>账、上岗人员资格培训记录、病</w:t>
            </w:r>
            <w:r>
              <w:rPr>
                <w:sz w:val="21"/>
                <w:szCs w:val="21"/>
              </w:rPr>
              <w:t xml:space="preserve"> </w:t>
            </w:r>
            <w:r>
              <w:rPr>
                <w:sz w:val="21"/>
                <w:szCs w:val="21"/>
              </w:rPr>
              <w:t>害猪(肉)处理通知单、病害猪</w:t>
            </w:r>
          </w:p>
          <w:p>
            <w:pPr>
              <w:pStyle w:val="TableText"/>
              <w:ind w:left="12"/>
              <w:spacing w:before="30" w:line="220" w:lineRule="auto"/>
              <w:rPr>
                <w:sz w:val="21"/>
                <w:szCs w:val="21"/>
              </w:rPr>
            </w:pPr>
            <w:r>
              <w:rPr>
                <w:sz w:val="21"/>
                <w:szCs w:val="21"/>
                <w:spacing w:val="-1"/>
              </w:rPr>
              <w:t>(肉)无害化处理记录。</w:t>
            </w:r>
          </w:p>
          <w:p>
            <w:pPr>
              <w:pStyle w:val="TableText"/>
              <w:ind w:left="12"/>
              <w:spacing w:before="19" w:line="219" w:lineRule="auto"/>
              <w:rPr>
                <w:sz w:val="21"/>
                <w:szCs w:val="21"/>
              </w:rPr>
            </w:pPr>
            <w:r>
              <w:rPr>
                <w:sz w:val="21"/>
                <w:szCs w:val="21"/>
              </w:rPr>
              <w:t>4.6.2.3记录保存两年以上。</w:t>
            </w:r>
          </w:p>
          <w:p>
            <w:pPr>
              <w:pStyle w:val="TableText"/>
              <w:ind w:left="12"/>
              <w:spacing w:before="41" w:line="237" w:lineRule="auto"/>
              <w:rPr>
                <w:sz w:val="21"/>
                <w:szCs w:val="21"/>
              </w:rPr>
            </w:pPr>
            <w:r>
              <w:rPr>
                <w:sz w:val="21"/>
                <w:szCs w:val="21"/>
                <w:spacing w:val="-4"/>
              </w:rPr>
              <w:t>4.6.3应在屠宰车间显著位置明示</w:t>
            </w:r>
            <w:r>
              <w:rPr>
                <w:sz w:val="21"/>
                <w:szCs w:val="21"/>
                <w:spacing w:val="6"/>
              </w:rPr>
              <w:t xml:space="preserve"> </w:t>
            </w:r>
            <w:r>
              <w:rPr>
                <w:sz w:val="21"/>
                <w:szCs w:val="21"/>
                <w:spacing w:val="1"/>
              </w:rPr>
              <w:t>生猪屠宰操作工艺流程图和肉品 </w:t>
            </w:r>
            <w:r>
              <w:rPr>
                <w:sz w:val="21"/>
                <w:szCs w:val="21"/>
                <w:spacing w:val="-1"/>
              </w:rPr>
              <w:t>品质检验工序位置图。</w:t>
            </w:r>
          </w:p>
          <w:p>
            <w:pPr>
              <w:pStyle w:val="TableText"/>
              <w:ind w:left="12"/>
              <w:spacing w:before="31" w:line="199" w:lineRule="auto"/>
              <w:rPr>
                <w:sz w:val="21"/>
                <w:szCs w:val="21"/>
              </w:rPr>
            </w:pPr>
            <w:r>
              <w:rPr>
                <w:sz w:val="21"/>
                <w:szCs w:val="21"/>
              </w:rPr>
              <w:t>4.6.4不合格产品应做标记。</w:t>
            </w:r>
          </w:p>
        </w:tc>
        <w:tc>
          <w:tcPr>
            <w:tcW w:w="3116" w:type="dxa"/>
            <w:vAlign w:val="top"/>
          </w:tcPr>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pStyle w:val="TableText"/>
              <w:ind w:left="15" w:right="159"/>
              <w:spacing w:before="68" w:line="222" w:lineRule="auto"/>
              <w:rPr>
                <w:sz w:val="21"/>
                <w:szCs w:val="21"/>
              </w:rPr>
            </w:pPr>
            <w:r>
              <w:rPr>
                <w:sz w:val="21"/>
                <w:szCs w:val="21"/>
                <w:spacing w:val="-1"/>
              </w:rPr>
              <w:t>本项目设有相对独立的质量管理</w:t>
            </w:r>
            <w:r>
              <w:rPr>
                <w:sz w:val="21"/>
                <w:szCs w:val="21"/>
                <w:spacing w:val="3"/>
              </w:rPr>
              <w:t xml:space="preserve"> </w:t>
            </w:r>
            <w:r>
              <w:rPr>
                <w:sz w:val="21"/>
                <w:szCs w:val="21"/>
              </w:rPr>
              <w:t>部门；建立生猪进厂(场)检查</w:t>
            </w:r>
          </w:p>
          <w:p>
            <w:pPr>
              <w:pStyle w:val="TableText"/>
              <w:ind w:left="15" w:right="44"/>
              <w:spacing w:before="23" w:line="242" w:lineRule="auto"/>
              <w:rPr>
                <w:sz w:val="21"/>
                <w:szCs w:val="21"/>
              </w:rPr>
            </w:pPr>
            <w:r>
              <w:rPr>
                <w:sz w:val="21"/>
                <w:szCs w:val="21"/>
                <w:spacing w:val="7"/>
              </w:rPr>
              <w:t>登记制度、生猪屠宰管理制度、</w:t>
            </w:r>
            <w:r>
              <w:rPr>
                <w:sz w:val="21"/>
                <w:szCs w:val="21"/>
                <w:spacing w:val="6"/>
              </w:rPr>
              <w:t xml:space="preserve"> </w:t>
            </w:r>
            <w:r>
              <w:rPr>
                <w:sz w:val="21"/>
                <w:szCs w:val="21"/>
              </w:rPr>
              <w:t>肉品品质检验管理制度、质量追</w:t>
            </w:r>
            <w:r>
              <w:rPr>
                <w:sz w:val="21"/>
                <w:szCs w:val="21"/>
                <w:spacing w:val="4"/>
              </w:rPr>
              <w:t xml:space="preserve">  </w:t>
            </w:r>
            <w:r>
              <w:rPr>
                <w:sz w:val="21"/>
                <w:szCs w:val="21"/>
                <w:spacing w:val="-1"/>
              </w:rPr>
              <w:t>溯管理制度、缺陷产品召回管理</w:t>
            </w:r>
            <w:r>
              <w:rPr>
                <w:sz w:val="21"/>
                <w:szCs w:val="21"/>
                <w:spacing w:val="1"/>
              </w:rPr>
              <w:t xml:space="preserve">  </w:t>
            </w:r>
            <w:r>
              <w:rPr>
                <w:sz w:val="21"/>
                <w:szCs w:val="21"/>
                <w:spacing w:val="-1"/>
              </w:rPr>
              <w:t>制度、信息报送制度；建立宰前</w:t>
            </w:r>
            <w:r>
              <w:rPr>
                <w:sz w:val="21"/>
                <w:szCs w:val="21"/>
                <w:spacing w:val="1"/>
              </w:rPr>
              <w:t xml:space="preserve">  </w:t>
            </w:r>
            <w:r>
              <w:rPr>
                <w:sz w:val="21"/>
                <w:szCs w:val="21"/>
                <w:spacing w:val="7"/>
              </w:rPr>
              <w:t>检验记录、生猪送宰交接记录、</w:t>
            </w:r>
            <w:r>
              <w:rPr>
                <w:sz w:val="21"/>
                <w:szCs w:val="21"/>
                <w:spacing w:val="5"/>
              </w:rPr>
              <w:t xml:space="preserve"> </w:t>
            </w:r>
            <w:r>
              <w:rPr>
                <w:sz w:val="21"/>
                <w:szCs w:val="21"/>
                <w:spacing w:val="7"/>
              </w:rPr>
              <w:t>生产记录、宰后检验结果记录、</w:t>
            </w:r>
            <w:r>
              <w:rPr>
                <w:sz w:val="21"/>
                <w:szCs w:val="21"/>
                <w:spacing w:val="6"/>
              </w:rPr>
              <w:t xml:space="preserve"> </w:t>
            </w:r>
            <w:r>
              <w:rPr>
                <w:sz w:val="21"/>
                <w:szCs w:val="21"/>
                <w:spacing w:val="-1"/>
              </w:rPr>
              <w:t>产品销售台账、上岗人员资格培</w:t>
            </w:r>
            <w:r>
              <w:rPr>
                <w:sz w:val="21"/>
                <w:szCs w:val="21"/>
                <w:spacing w:val="2"/>
              </w:rPr>
              <w:t xml:space="preserve">  </w:t>
            </w:r>
            <w:r>
              <w:rPr>
                <w:sz w:val="21"/>
                <w:szCs w:val="21"/>
                <w:spacing w:val="1"/>
              </w:rPr>
              <w:t>训记录、病害猪(肉)处理通知</w:t>
            </w:r>
          </w:p>
          <w:p>
            <w:pPr>
              <w:pStyle w:val="TableText"/>
              <w:ind w:left="15"/>
              <w:spacing w:line="220" w:lineRule="auto"/>
              <w:rPr>
                <w:sz w:val="21"/>
                <w:szCs w:val="21"/>
              </w:rPr>
            </w:pPr>
            <w:r>
              <w:rPr>
                <w:sz w:val="21"/>
                <w:szCs w:val="21"/>
                <w:spacing w:val="-1"/>
              </w:rPr>
              <w:t>单、病害猪(肉)无害化处理记</w:t>
            </w:r>
          </w:p>
          <w:p>
            <w:pPr>
              <w:pStyle w:val="TableText"/>
              <w:ind w:left="15" w:right="133"/>
              <w:spacing w:before="19" w:line="247" w:lineRule="auto"/>
              <w:rPr>
                <w:sz w:val="21"/>
                <w:szCs w:val="21"/>
              </w:rPr>
            </w:pPr>
            <w:r>
              <w:rPr>
                <w:sz w:val="21"/>
                <w:szCs w:val="21"/>
                <w:spacing w:val="1"/>
              </w:rPr>
              <w:t>录；记录保存两年以上；在屠宰 </w:t>
            </w:r>
            <w:r>
              <w:rPr>
                <w:sz w:val="21"/>
                <w:szCs w:val="21"/>
              </w:rPr>
              <w:t>车间显著位置明示生猪屠宰操作</w:t>
            </w:r>
            <w:r>
              <w:rPr>
                <w:sz w:val="21"/>
                <w:szCs w:val="21"/>
                <w:spacing w:val="12"/>
              </w:rPr>
              <w:t xml:space="preserve"> </w:t>
            </w:r>
            <w:r>
              <w:rPr>
                <w:sz w:val="21"/>
                <w:szCs w:val="21"/>
              </w:rPr>
              <w:t>工艺流程图和肉品品质检验工序</w:t>
            </w:r>
            <w:r>
              <w:rPr>
                <w:sz w:val="21"/>
                <w:szCs w:val="21"/>
                <w:spacing w:val="11"/>
              </w:rPr>
              <w:t xml:space="preserve"> </w:t>
            </w:r>
            <w:r>
              <w:rPr>
                <w:sz w:val="21"/>
                <w:szCs w:val="21"/>
                <w:spacing w:val="-1"/>
              </w:rPr>
              <w:t>位置图；不合格产品做标记。</w:t>
            </w:r>
          </w:p>
        </w:tc>
        <w:tc>
          <w:tcPr>
            <w:tcW w:w="704" w:type="dxa"/>
            <w:vAlign w:val="top"/>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139"/>
              <w:spacing w:before="69" w:line="219" w:lineRule="auto"/>
              <w:rPr>
                <w:sz w:val="21"/>
                <w:szCs w:val="21"/>
              </w:rPr>
            </w:pPr>
            <w:r>
              <w:rPr>
                <w:sz w:val="21"/>
                <w:szCs w:val="21"/>
                <w:spacing w:val="-3"/>
              </w:rPr>
              <w:t>符合</w:t>
            </w:r>
          </w:p>
        </w:tc>
      </w:tr>
    </w:tbl>
    <w:p>
      <w:pPr>
        <w:pStyle w:val="BodyText"/>
        <w:rPr/>
      </w:pPr>
      <w:r/>
    </w:p>
    <w:p>
      <w:pPr>
        <w:sectPr>
          <w:headerReference w:type="default" r:id="rId68"/>
          <w:footerReference w:type="default" r:id="rId69"/>
          <w:pgSz w:w="11910" w:h="16840"/>
          <w:pgMar w:top="1147" w:right="1534" w:bottom="972" w:left="1465" w:header="855" w:footer="786" w:gutter="0"/>
        </w:sectPr>
        <w:rPr/>
      </w:pPr>
    </w:p>
    <w:p>
      <w:pPr>
        <w:spacing w:before="23"/>
        <w:rPr/>
      </w:pPr>
      <w:r/>
    </w:p>
    <w:tbl>
      <w:tblPr>
        <w:tblStyle w:val="TableNormal"/>
        <w:tblW w:w="8910" w:type="dxa"/>
        <w:tblInd w:w="84"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84"/>
        <w:gridCol w:w="809"/>
        <w:gridCol w:w="3017"/>
        <w:gridCol w:w="3096"/>
        <w:gridCol w:w="704"/>
      </w:tblGrid>
      <w:tr>
        <w:trPr>
          <w:trHeight w:val="284" w:hRule="atLeast"/>
        </w:trPr>
        <w:tc>
          <w:tcPr>
            <w:shd w:val="clear" w:fill="BDBDBD"/>
            <w:tcW w:w="1284" w:type="dxa"/>
            <w:vAlign w:val="top"/>
          </w:tcPr>
          <w:p>
            <w:pPr>
              <w:pStyle w:val="TableText"/>
              <w:ind w:left="408"/>
              <w:spacing w:before="20" w:line="187" w:lineRule="auto"/>
              <w:rPr>
                <w:sz w:val="25"/>
                <w:szCs w:val="25"/>
              </w:rPr>
            </w:pPr>
            <w:bookmarkStart w:name="bookmark83" w:id="24"/>
            <w:bookmarkEnd w:id="24"/>
            <w:r>
              <w:rPr>
                <w:sz w:val="25"/>
                <w:szCs w:val="25"/>
                <w:b/>
                <w:bCs/>
                <w:spacing w:val="-6"/>
              </w:rPr>
              <w:t>文件</w:t>
            </w:r>
          </w:p>
        </w:tc>
        <w:tc>
          <w:tcPr>
            <w:shd w:val="clear" w:fill="BDBDBD"/>
            <w:tcW w:w="3826" w:type="dxa"/>
            <w:vAlign w:val="top"/>
            <w:gridSpan w:val="2"/>
          </w:tcPr>
          <w:p>
            <w:pPr>
              <w:pStyle w:val="TableText"/>
              <w:ind w:left="1473"/>
              <w:spacing w:before="41" w:line="215" w:lineRule="auto"/>
              <w:rPr>
                <w:sz w:val="20"/>
                <w:szCs w:val="20"/>
              </w:rPr>
            </w:pPr>
            <w:r>
              <w:rPr>
                <w:sz w:val="20"/>
                <w:szCs w:val="20"/>
                <w:b/>
                <w:bCs/>
                <w:spacing w:val="-4"/>
              </w:rPr>
              <w:t>相关规定</w:t>
            </w:r>
          </w:p>
        </w:tc>
        <w:tc>
          <w:tcPr>
            <w:shd w:val="clear" w:fill="BDBDBD"/>
            <w:tcW w:w="3096" w:type="dxa"/>
            <w:vAlign w:val="top"/>
          </w:tcPr>
          <w:p>
            <w:pPr>
              <w:pStyle w:val="TableText"/>
              <w:ind w:left="1217"/>
              <w:spacing w:before="40" w:line="216" w:lineRule="auto"/>
              <w:rPr>
                <w:sz w:val="20"/>
                <w:szCs w:val="20"/>
              </w:rPr>
            </w:pPr>
            <w:r>
              <w:rPr>
                <w:sz w:val="20"/>
                <w:szCs w:val="20"/>
                <w:b/>
                <w:bCs/>
                <w:spacing w:val="8"/>
              </w:rPr>
              <w:t>本项目</w:t>
            </w:r>
          </w:p>
        </w:tc>
        <w:tc>
          <w:tcPr>
            <w:shd w:val="clear" w:fill="BDBDBD"/>
            <w:tcW w:w="704" w:type="dxa"/>
            <w:vAlign w:val="top"/>
          </w:tcPr>
          <w:p>
            <w:pPr>
              <w:pStyle w:val="TableText"/>
              <w:ind w:left="51"/>
              <w:spacing w:before="40" w:line="216" w:lineRule="auto"/>
              <w:rPr>
                <w:sz w:val="20"/>
                <w:szCs w:val="20"/>
              </w:rPr>
            </w:pPr>
            <w:r>
              <w:rPr>
                <w:sz w:val="20"/>
                <w:szCs w:val="20"/>
                <w:b/>
                <w:bCs/>
                <w:spacing w:val="-5"/>
              </w:rPr>
              <w:t>符合性</w:t>
            </w:r>
          </w:p>
        </w:tc>
      </w:tr>
      <w:tr>
        <w:trPr>
          <w:trHeight w:val="1625" w:hRule="atLeast"/>
        </w:trPr>
        <w:tc>
          <w:tcPr>
            <w:tcW w:w="1284" w:type="dxa"/>
            <w:vAlign w:val="top"/>
            <w:vMerge w:val="restart"/>
            <w:tcBorders>
              <w:bottom w:val="nil"/>
            </w:tcBorders>
          </w:tcPr>
          <w:p>
            <w:pPr>
              <w:rPr>
                <w:rFonts w:ascii="Arial"/>
                <w:sz w:val="21"/>
              </w:rPr>
            </w:pPr>
            <w:r/>
          </w:p>
        </w:tc>
        <w:tc>
          <w:tcPr>
            <w:tcW w:w="809" w:type="dxa"/>
            <w:vAlign w:val="top"/>
            <w:vMerge w:val="restart"/>
            <w:tcBorders>
              <w:bottom w:val="nil"/>
            </w:tcBorders>
          </w:tcPr>
          <w:p>
            <w:pPr>
              <w:rPr>
                <w:rFonts w:ascii="Arial"/>
                <w:sz w:val="21"/>
              </w:rPr>
            </w:pPr>
            <w:r/>
          </w:p>
        </w:tc>
        <w:tc>
          <w:tcPr>
            <w:tcW w:w="3017" w:type="dxa"/>
            <w:vAlign w:val="top"/>
          </w:tcPr>
          <w:p>
            <w:pPr>
              <w:pStyle w:val="TableText"/>
              <w:ind w:left="12"/>
              <w:spacing w:before="19" w:line="219" w:lineRule="auto"/>
              <w:rPr>
                <w:sz w:val="20"/>
                <w:szCs w:val="20"/>
              </w:rPr>
            </w:pPr>
            <w:r>
              <w:rPr>
                <w:sz w:val="20"/>
                <w:szCs w:val="20"/>
                <w:spacing w:val="-1"/>
              </w:rPr>
              <w:t>4.7产品质量</w:t>
            </w:r>
          </w:p>
          <w:p>
            <w:pPr>
              <w:pStyle w:val="TableText"/>
              <w:ind w:left="12" w:right="901"/>
              <w:spacing w:before="41"/>
              <w:rPr>
                <w:sz w:val="20"/>
                <w:szCs w:val="20"/>
              </w:rPr>
            </w:pPr>
            <w:r>
              <w:rPr>
                <w:sz w:val="20"/>
                <w:szCs w:val="20"/>
                <w:spacing w:val="-1"/>
              </w:rPr>
              <w:t>4.7.1片猪肉质量应符合</w:t>
            </w:r>
            <w:r>
              <w:rPr>
                <w:sz w:val="20"/>
                <w:szCs w:val="20"/>
                <w:spacing w:val="4"/>
              </w:rPr>
              <w:t xml:space="preserve"> </w:t>
            </w:r>
            <w:r>
              <w:rPr>
                <w:sz w:val="20"/>
                <w:szCs w:val="20"/>
              </w:rPr>
              <w:t>GB9959.1的规定。</w:t>
            </w:r>
          </w:p>
          <w:p>
            <w:pPr>
              <w:pStyle w:val="TableText"/>
              <w:ind w:left="12" w:right="203"/>
              <w:spacing w:before="39" w:line="233" w:lineRule="auto"/>
              <w:rPr>
                <w:sz w:val="20"/>
                <w:szCs w:val="20"/>
              </w:rPr>
            </w:pPr>
            <w:r>
              <w:rPr>
                <w:sz w:val="20"/>
                <w:szCs w:val="20"/>
              </w:rPr>
              <w:t>4.7.2产品每年应按GB9959.1的</w:t>
            </w:r>
            <w:r>
              <w:rPr>
                <w:sz w:val="20"/>
                <w:szCs w:val="20"/>
                <w:spacing w:val="14"/>
              </w:rPr>
              <w:t xml:space="preserve"> </w:t>
            </w:r>
            <w:r>
              <w:rPr>
                <w:sz w:val="20"/>
                <w:szCs w:val="20"/>
                <w:spacing w:val="-1"/>
              </w:rPr>
              <w:t>质量指标要求，委托有资质的检</w:t>
            </w:r>
            <w:r>
              <w:rPr>
                <w:sz w:val="20"/>
                <w:szCs w:val="20"/>
                <w:spacing w:val="4"/>
              </w:rPr>
              <w:t xml:space="preserve"> </w:t>
            </w:r>
            <w:r>
              <w:rPr>
                <w:sz w:val="20"/>
                <w:szCs w:val="20"/>
              </w:rPr>
              <w:t>验机构进行一次以上的检测。</w:t>
            </w:r>
          </w:p>
        </w:tc>
        <w:tc>
          <w:tcPr>
            <w:tcW w:w="3096" w:type="dxa"/>
            <w:vAlign w:val="top"/>
          </w:tcPr>
          <w:p>
            <w:pPr>
              <w:pStyle w:val="TableText"/>
              <w:ind w:left="14" w:right="250"/>
              <w:spacing w:before="299" w:line="253" w:lineRule="auto"/>
              <w:jc w:val="both"/>
              <w:rPr>
                <w:sz w:val="20"/>
                <w:szCs w:val="20"/>
              </w:rPr>
            </w:pPr>
            <w:r>
              <w:rPr>
                <w:sz w:val="20"/>
                <w:szCs w:val="20"/>
                <w:spacing w:val="1"/>
              </w:rPr>
              <w:t>本项目片猪肉质量符合</w:t>
            </w:r>
            <w:r>
              <w:rPr>
                <w:sz w:val="20"/>
                <w:szCs w:val="20"/>
              </w:rPr>
              <w:t>GB</w:t>
            </w:r>
            <w:r>
              <w:rPr>
                <w:sz w:val="20"/>
                <w:szCs w:val="20"/>
                <w:spacing w:val="1"/>
              </w:rPr>
              <w:t>9959.1</w:t>
            </w:r>
            <w:r>
              <w:rPr>
                <w:sz w:val="20"/>
                <w:szCs w:val="20"/>
                <w:spacing w:val="3"/>
              </w:rPr>
              <w:t xml:space="preserve"> </w:t>
            </w:r>
            <w:r>
              <w:rPr>
                <w:sz w:val="20"/>
                <w:szCs w:val="20"/>
                <w:spacing w:val="1"/>
              </w:rPr>
              <w:t>的规定；产品每年应按</w:t>
            </w:r>
            <w:r>
              <w:rPr>
                <w:sz w:val="20"/>
                <w:szCs w:val="20"/>
              </w:rPr>
              <w:t>GB</w:t>
            </w:r>
            <w:r>
              <w:rPr>
                <w:sz w:val="20"/>
                <w:szCs w:val="20"/>
                <w:spacing w:val="1"/>
              </w:rPr>
              <w:t>9959.1</w:t>
            </w:r>
            <w:r>
              <w:rPr>
                <w:sz w:val="20"/>
                <w:szCs w:val="20"/>
                <w:spacing w:val="3"/>
              </w:rPr>
              <w:t xml:space="preserve"> </w:t>
            </w:r>
            <w:r>
              <w:rPr>
                <w:sz w:val="20"/>
                <w:szCs w:val="20"/>
                <w:spacing w:val="1"/>
              </w:rPr>
              <w:t>的质量指标要求，委托有资质的</w:t>
            </w:r>
            <w:r>
              <w:rPr>
                <w:sz w:val="20"/>
                <w:szCs w:val="20"/>
              </w:rPr>
              <w:t xml:space="preserve"> </w:t>
            </w:r>
            <w:r>
              <w:rPr>
                <w:sz w:val="20"/>
                <w:szCs w:val="20"/>
              </w:rPr>
              <w:t>检验机构进行一次以上的检测。</w:t>
            </w:r>
          </w:p>
        </w:tc>
        <w:tc>
          <w:tcPr>
            <w:tcW w:w="704" w:type="dxa"/>
            <w:vAlign w:val="top"/>
          </w:tcPr>
          <w:p>
            <w:pPr>
              <w:spacing w:line="325" w:lineRule="auto"/>
              <w:rPr>
                <w:rFonts w:ascii="Arial"/>
                <w:sz w:val="21"/>
              </w:rPr>
            </w:pPr>
            <w:r/>
          </w:p>
          <w:p>
            <w:pPr>
              <w:spacing w:line="325" w:lineRule="auto"/>
              <w:rPr>
                <w:rFonts w:ascii="Arial"/>
                <w:sz w:val="21"/>
              </w:rPr>
            </w:pPr>
            <w:r/>
          </w:p>
          <w:p>
            <w:pPr>
              <w:pStyle w:val="TableText"/>
              <w:ind w:left="149"/>
              <w:spacing w:before="65" w:line="219" w:lineRule="auto"/>
              <w:rPr>
                <w:sz w:val="20"/>
                <w:szCs w:val="20"/>
              </w:rPr>
            </w:pPr>
            <w:r>
              <w:rPr>
                <w:sz w:val="20"/>
                <w:szCs w:val="20"/>
                <w:spacing w:val="-3"/>
              </w:rPr>
              <w:t>符合</w:t>
            </w:r>
          </w:p>
        </w:tc>
      </w:tr>
      <w:tr>
        <w:trPr>
          <w:trHeight w:val="1910" w:hRule="atLeast"/>
        </w:trPr>
        <w:tc>
          <w:tcPr>
            <w:tcW w:w="1284" w:type="dxa"/>
            <w:vAlign w:val="top"/>
            <w:vMerge w:val="continue"/>
            <w:tcBorders>
              <w:top w:val="nil"/>
            </w:tcBorders>
          </w:tcPr>
          <w:p>
            <w:pPr>
              <w:rPr>
                <w:rFonts w:ascii="Arial"/>
                <w:sz w:val="21"/>
              </w:rPr>
            </w:pPr>
            <w:r/>
          </w:p>
        </w:tc>
        <w:tc>
          <w:tcPr>
            <w:tcW w:w="809" w:type="dxa"/>
            <w:vAlign w:val="top"/>
            <w:vMerge w:val="continue"/>
            <w:tcBorders>
              <w:top w:val="nil"/>
            </w:tcBorders>
          </w:tcPr>
          <w:p>
            <w:pPr>
              <w:rPr>
                <w:rFonts w:ascii="Arial"/>
                <w:sz w:val="21"/>
              </w:rPr>
            </w:pPr>
            <w:r/>
          </w:p>
        </w:tc>
        <w:tc>
          <w:tcPr>
            <w:tcW w:w="3017" w:type="dxa"/>
            <w:vAlign w:val="top"/>
          </w:tcPr>
          <w:p>
            <w:pPr>
              <w:pStyle w:val="TableText"/>
              <w:ind w:left="12"/>
              <w:spacing w:before="44" w:line="219" w:lineRule="auto"/>
              <w:rPr>
                <w:sz w:val="20"/>
                <w:szCs w:val="20"/>
              </w:rPr>
            </w:pPr>
            <w:r>
              <w:rPr>
                <w:sz w:val="20"/>
                <w:szCs w:val="20"/>
                <w:spacing w:val="-2"/>
              </w:rPr>
              <w:t>4.8产品运输</w:t>
            </w:r>
          </w:p>
          <w:p>
            <w:pPr>
              <w:pStyle w:val="TableText"/>
              <w:ind w:left="12" w:right="75"/>
              <w:spacing w:before="32" w:line="244" w:lineRule="auto"/>
              <w:rPr>
                <w:sz w:val="20"/>
                <w:szCs w:val="20"/>
              </w:rPr>
            </w:pPr>
            <w:r>
              <w:rPr>
                <w:sz w:val="20"/>
                <w:szCs w:val="20"/>
                <w:spacing w:val="1"/>
              </w:rPr>
              <w:t>4.8.1生猪和生猪产品的运输应当</w:t>
            </w:r>
            <w:r>
              <w:rPr>
                <w:sz w:val="20"/>
                <w:szCs w:val="20"/>
              </w:rPr>
              <w:t xml:space="preserve"> </w:t>
            </w:r>
            <w:r>
              <w:rPr>
                <w:sz w:val="20"/>
                <w:szCs w:val="20"/>
                <w:spacing w:val="-1"/>
              </w:rPr>
              <w:t>使用不同的运载工具，运输片猪</w:t>
            </w:r>
            <w:r>
              <w:rPr>
                <w:sz w:val="20"/>
                <w:szCs w:val="20"/>
                <w:spacing w:val="2"/>
              </w:rPr>
              <w:t xml:space="preserve">  </w:t>
            </w:r>
            <w:r>
              <w:rPr>
                <w:sz w:val="20"/>
                <w:szCs w:val="20"/>
              </w:rPr>
              <w:t>肉应当使用封闭和设有吊挂设施</w:t>
            </w:r>
            <w:r>
              <w:rPr>
                <w:sz w:val="20"/>
                <w:szCs w:val="20"/>
                <w:spacing w:val="4"/>
              </w:rPr>
              <w:t xml:space="preserve">  </w:t>
            </w:r>
            <w:r>
              <w:rPr>
                <w:sz w:val="20"/>
                <w:szCs w:val="20"/>
                <w:spacing w:val="-1"/>
              </w:rPr>
              <w:t>的专用车辆，不得敞运。</w:t>
            </w:r>
          </w:p>
          <w:p>
            <w:pPr>
              <w:pStyle w:val="TableText"/>
              <w:ind w:left="12" w:right="101"/>
              <w:spacing w:before="42" w:line="224" w:lineRule="auto"/>
              <w:rPr>
                <w:sz w:val="20"/>
                <w:szCs w:val="20"/>
              </w:rPr>
            </w:pPr>
            <w:r>
              <w:rPr>
                <w:sz w:val="20"/>
                <w:szCs w:val="20"/>
                <w:spacing w:val="-1"/>
              </w:rPr>
              <w:t>4.8.2鲜猪肉在常温条件下运输时</w:t>
            </w:r>
            <w:r>
              <w:rPr>
                <w:sz w:val="20"/>
                <w:szCs w:val="20"/>
                <w:spacing w:val="8"/>
              </w:rPr>
              <w:t xml:space="preserve"> </w:t>
            </w:r>
            <w:r>
              <w:rPr>
                <w:sz w:val="20"/>
                <w:szCs w:val="20"/>
                <w:spacing w:val="-1"/>
              </w:rPr>
              <w:t>间不得超过4h。</w:t>
            </w:r>
          </w:p>
        </w:tc>
        <w:tc>
          <w:tcPr>
            <w:tcW w:w="3096" w:type="dxa"/>
            <w:vAlign w:val="top"/>
          </w:tcPr>
          <w:p>
            <w:pPr>
              <w:pStyle w:val="TableText"/>
              <w:ind w:left="14" w:right="251"/>
              <w:spacing w:before="172" w:line="245" w:lineRule="auto"/>
              <w:jc w:val="both"/>
              <w:rPr>
                <w:sz w:val="20"/>
                <w:szCs w:val="20"/>
              </w:rPr>
            </w:pPr>
            <w:r>
              <w:rPr>
                <w:sz w:val="20"/>
                <w:szCs w:val="20"/>
                <w:spacing w:val="-1"/>
              </w:rPr>
              <w:t>本项目生猪和生猪产品的运输使</w:t>
            </w:r>
            <w:r>
              <w:rPr>
                <w:sz w:val="20"/>
                <w:szCs w:val="20"/>
                <w:spacing w:val="4"/>
              </w:rPr>
              <w:t xml:space="preserve"> </w:t>
            </w:r>
            <w:r>
              <w:rPr>
                <w:sz w:val="20"/>
                <w:szCs w:val="20"/>
                <w:spacing w:val="1"/>
              </w:rPr>
              <w:t>用不同的运载工具，运输片猪肉</w:t>
            </w:r>
            <w:r>
              <w:rPr>
                <w:sz w:val="20"/>
                <w:szCs w:val="20"/>
                <w:spacing w:val="4"/>
              </w:rPr>
              <w:t xml:space="preserve"> </w:t>
            </w:r>
            <w:r>
              <w:rPr>
                <w:sz w:val="20"/>
                <w:szCs w:val="20"/>
                <w:spacing w:val="1"/>
              </w:rPr>
              <w:t>应当使用封闭和设有吊挂设施的</w:t>
            </w:r>
            <w:r>
              <w:rPr>
                <w:sz w:val="20"/>
                <w:szCs w:val="20"/>
              </w:rPr>
              <w:t xml:space="preserve"> </w:t>
            </w:r>
            <w:r>
              <w:rPr>
                <w:sz w:val="20"/>
                <w:szCs w:val="20"/>
                <w:spacing w:val="-1"/>
              </w:rPr>
              <w:t>专用车辆，不得敞运；鲜猪肉在</w:t>
            </w:r>
          </w:p>
          <w:p>
            <w:pPr>
              <w:pStyle w:val="TableText"/>
              <w:ind w:left="14" w:right="463"/>
              <w:spacing w:line="307" w:lineRule="auto"/>
              <w:rPr>
                <w:sz w:val="20"/>
                <w:szCs w:val="20"/>
              </w:rPr>
            </w:pPr>
            <w:r>
              <w:rPr>
                <w:sz w:val="20"/>
                <w:szCs w:val="20"/>
              </w:rPr>
              <w:t>常温条件下运输时间不得超过</w:t>
            </w:r>
            <w:r>
              <w:rPr>
                <w:sz w:val="20"/>
                <w:szCs w:val="20"/>
                <w:spacing w:val="6"/>
              </w:rPr>
              <w:t xml:space="preserve"> </w:t>
            </w:r>
            <w:r>
              <w:rPr>
                <w:sz w:val="20"/>
                <w:szCs w:val="20"/>
                <w:spacing w:val="-7"/>
              </w:rPr>
              <w:t>4h。</w:t>
            </w:r>
          </w:p>
        </w:tc>
        <w:tc>
          <w:tcPr>
            <w:tcW w:w="704" w:type="dxa"/>
            <w:vAlign w:val="top"/>
          </w:tcPr>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149"/>
              <w:spacing w:before="65" w:line="219" w:lineRule="auto"/>
              <w:rPr>
                <w:sz w:val="20"/>
                <w:szCs w:val="20"/>
              </w:rPr>
            </w:pPr>
            <w:r>
              <w:rPr>
                <w:sz w:val="20"/>
                <w:szCs w:val="20"/>
                <w:spacing w:val="-3"/>
              </w:rPr>
              <w:t>符合</w:t>
            </w:r>
          </w:p>
        </w:tc>
      </w:tr>
    </w:tbl>
    <w:p>
      <w:pPr>
        <w:ind w:left="364" w:right="115" w:firstLine="529"/>
        <w:spacing w:before="44" w:line="344" w:lineRule="auto"/>
        <w:rPr>
          <w:rFonts w:ascii="SimSun" w:hAnsi="SimSun" w:eastAsia="SimSun" w:cs="SimSun"/>
          <w:sz w:val="25"/>
          <w:szCs w:val="25"/>
        </w:rPr>
      </w:pPr>
      <w:r>
        <w:rPr>
          <w:rFonts w:ascii="SimSun" w:hAnsi="SimSun" w:eastAsia="SimSun" w:cs="SimSun"/>
          <w:sz w:val="26"/>
          <w:szCs w:val="26"/>
        </w:rPr>
        <w:t>因此，本项目与《四川省生猪定点屠宰厂(场)和小型屠宰场点设置规划</w:t>
      </w:r>
      <w:r>
        <w:rPr>
          <w:rFonts w:ascii="SimSun" w:hAnsi="SimSun" w:eastAsia="SimSun" w:cs="SimSun"/>
          <w:sz w:val="26"/>
          <w:szCs w:val="26"/>
          <w:spacing w:val="18"/>
        </w:rPr>
        <w:t xml:space="preserve"> </w:t>
      </w:r>
      <w:r>
        <w:rPr>
          <w:rFonts w:ascii="SimSun" w:hAnsi="SimSun" w:eastAsia="SimSun" w:cs="SimSun"/>
          <w:sz w:val="25"/>
          <w:szCs w:val="25"/>
          <w:spacing w:val="4"/>
        </w:rPr>
        <w:t>(2010-2015年)》(川办发[2011]9号)、《绵阳市生猪定点屠宰厂(场</w:t>
      </w:r>
      <w:r>
        <w:rPr>
          <w:rFonts w:ascii="SimSun" w:hAnsi="SimSun" w:eastAsia="SimSun" w:cs="SimSun"/>
          <w:sz w:val="25"/>
          <w:szCs w:val="25"/>
          <w:spacing w:val="3"/>
        </w:rPr>
        <w:t>)和小</w:t>
      </w:r>
    </w:p>
    <w:p>
      <w:pPr>
        <w:ind w:left="364" w:right="452"/>
        <w:spacing w:line="327" w:lineRule="auto"/>
        <w:rPr>
          <w:rFonts w:ascii="SimSun" w:hAnsi="SimSun" w:eastAsia="SimSun" w:cs="SimSun"/>
          <w:sz w:val="25"/>
          <w:szCs w:val="25"/>
        </w:rPr>
      </w:pPr>
      <w:r>
        <w:rPr>
          <w:rFonts w:ascii="SimSun" w:hAnsi="SimSun" w:eastAsia="SimSun" w:cs="SimSun"/>
          <w:sz w:val="25"/>
          <w:szCs w:val="25"/>
          <w:spacing w:val="1"/>
        </w:rPr>
        <w:t>型屠宰场点设置规划(2010-2015年)</w:t>
      </w:r>
      <w:r>
        <w:rPr>
          <w:rFonts w:ascii="SimSun" w:hAnsi="SimSun" w:eastAsia="SimSun" w:cs="SimSun"/>
          <w:sz w:val="25"/>
          <w:szCs w:val="25"/>
        </w:rPr>
        <w:t>》(绵府办函[2011]202号)、《生猪定点 </w:t>
      </w:r>
      <w:r>
        <w:rPr>
          <w:rFonts w:ascii="SimSun" w:hAnsi="SimSun" w:eastAsia="SimSun" w:cs="SimSun"/>
          <w:sz w:val="25"/>
          <w:szCs w:val="25"/>
          <w:spacing w:val="-2"/>
        </w:rPr>
        <w:t>屠宰厂(场)资质等级要求》</w:t>
      </w:r>
      <w:r>
        <w:rPr>
          <w:rFonts w:ascii="SimSun" w:hAnsi="SimSun" w:eastAsia="SimSun" w:cs="SimSun"/>
          <w:sz w:val="25"/>
          <w:szCs w:val="25"/>
          <w:spacing w:val="73"/>
        </w:rPr>
        <w:t xml:space="preserve"> </w:t>
      </w:r>
      <w:r>
        <w:rPr>
          <w:rFonts w:ascii="Times New Roman" w:hAnsi="Times New Roman" w:eastAsia="Times New Roman" w:cs="Times New Roman"/>
          <w:sz w:val="25"/>
          <w:szCs w:val="25"/>
          <w:spacing w:val="-2"/>
        </w:rPr>
        <w:t>(SB/T10396-2011)  </w:t>
      </w:r>
      <w:r>
        <w:rPr>
          <w:rFonts w:ascii="SimSun" w:hAnsi="SimSun" w:eastAsia="SimSun" w:cs="SimSun"/>
          <w:sz w:val="25"/>
          <w:szCs w:val="25"/>
          <w:spacing w:val="-2"/>
        </w:rPr>
        <w:t>中相关要求相符。</w:t>
      </w:r>
    </w:p>
    <w:p>
      <w:pPr>
        <w:ind w:left="878"/>
        <w:spacing w:before="39" w:line="219" w:lineRule="auto"/>
        <w:rPr>
          <w:rFonts w:ascii="SimSun" w:hAnsi="SimSun" w:eastAsia="SimSun" w:cs="SimSun"/>
          <w:sz w:val="25"/>
          <w:szCs w:val="25"/>
        </w:rPr>
      </w:pPr>
      <w:r>
        <w:rPr>
          <w:rFonts w:ascii="SimSun" w:hAnsi="SimSun" w:eastAsia="SimSun" w:cs="SimSun"/>
          <w:sz w:val="25"/>
          <w:szCs w:val="25"/>
          <w:b/>
          <w:bCs/>
          <w:spacing w:val="-13"/>
        </w:rPr>
        <w:t>综上所述，本项目符合相关行业政策及管理要求。</w:t>
      </w:r>
    </w:p>
    <w:p>
      <w:pPr>
        <w:ind w:left="364"/>
        <w:spacing w:before="202" w:line="221" w:lineRule="auto"/>
        <w:rPr>
          <w:rFonts w:ascii="SimHei" w:hAnsi="SimHei" w:eastAsia="SimHei" w:cs="SimHei"/>
          <w:sz w:val="25"/>
          <w:szCs w:val="25"/>
        </w:rPr>
      </w:pPr>
      <w:r>
        <w:rPr>
          <w:rFonts w:ascii="Times New Roman" w:hAnsi="Times New Roman" w:eastAsia="Times New Roman" w:cs="Times New Roman"/>
          <w:sz w:val="25"/>
          <w:szCs w:val="25"/>
          <w:spacing w:val="18"/>
        </w:rPr>
        <w:t>1.</w:t>
      </w:r>
      <w:r>
        <w:rPr>
          <w:rFonts w:ascii="SimHei" w:hAnsi="SimHei" w:eastAsia="SimHei" w:cs="SimHei"/>
          <w:sz w:val="25"/>
          <w:szCs w:val="25"/>
          <w:b/>
          <w:bCs/>
          <w:spacing w:val="18"/>
        </w:rPr>
        <w:t>4.4与长江流域相关文件的符合性分析</w:t>
      </w:r>
    </w:p>
    <w:p>
      <w:pPr>
        <w:ind w:left="894"/>
        <w:spacing w:before="215" w:line="219" w:lineRule="auto"/>
        <w:rPr>
          <w:rFonts w:ascii="SimSun" w:hAnsi="SimSun" w:eastAsia="SimSun" w:cs="SimSun"/>
          <w:sz w:val="25"/>
          <w:szCs w:val="25"/>
        </w:rPr>
      </w:pPr>
      <w:r>
        <w:rPr>
          <w:rFonts w:ascii="SimSun" w:hAnsi="SimSun" w:eastAsia="SimSun" w:cs="SimSun"/>
          <w:sz w:val="25"/>
          <w:szCs w:val="25"/>
          <w:spacing w:val="-11"/>
        </w:rPr>
        <w:t>本项目与长江流域相关文件符合性分析如下。</w:t>
      </w:r>
    </w:p>
    <w:p>
      <w:pPr>
        <w:ind w:left="2518"/>
        <w:spacing w:before="151" w:line="219" w:lineRule="auto"/>
        <w:rPr>
          <w:rFonts w:ascii="SimSun" w:hAnsi="SimSun" w:eastAsia="SimSun" w:cs="SimSun"/>
          <w:sz w:val="24"/>
          <w:szCs w:val="24"/>
        </w:rPr>
      </w:pPr>
      <w:r>
        <w:rPr>
          <w:rFonts w:ascii="SimSun" w:hAnsi="SimSun" w:eastAsia="SimSun" w:cs="SimSun"/>
          <w:sz w:val="24"/>
          <w:szCs w:val="24"/>
          <w:b/>
          <w:bCs/>
          <w:spacing w:val="-3"/>
        </w:rPr>
        <w:t>表1.4-9项目与长江流域相关文件符合性分析</w:t>
      </w:r>
    </w:p>
    <w:p>
      <w:pPr>
        <w:spacing w:line="24" w:lineRule="exact"/>
        <w:rPr/>
      </w:pPr>
      <w:r/>
    </w:p>
    <w:tbl>
      <w:tblPr>
        <w:tblStyle w:val="TableNormal"/>
        <w:tblW w:w="90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153"/>
        <w:gridCol w:w="4445"/>
        <w:gridCol w:w="2817"/>
        <w:gridCol w:w="664"/>
      </w:tblGrid>
      <w:tr>
        <w:trPr>
          <w:trHeight w:val="284" w:hRule="atLeast"/>
        </w:trPr>
        <w:tc>
          <w:tcPr>
            <w:shd w:val="clear" w:fill="BDBDBD"/>
            <w:tcW w:w="1153" w:type="dxa"/>
            <w:vAlign w:val="top"/>
          </w:tcPr>
          <w:p>
            <w:pPr>
              <w:pStyle w:val="TableText"/>
              <w:ind w:left="357"/>
              <w:spacing w:before="40" w:line="205" w:lineRule="auto"/>
              <w:rPr>
                <w:sz w:val="21"/>
                <w:szCs w:val="21"/>
              </w:rPr>
            </w:pPr>
            <w:r>
              <w:rPr>
                <w:sz w:val="21"/>
                <w:szCs w:val="21"/>
                <w:b/>
                <w:bCs/>
                <w:spacing w:val="-5"/>
              </w:rPr>
              <w:t>文件</w:t>
            </w:r>
          </w:p>
        </w:tc>
        <w:tc>
          <w:tcPr>
            <w:shd w:val="clear" w:fill="BDBDBD"/>
            <w:tcW w:w="4445" w:type="dxa"/>
            <w:vAlign w:val="top"/>
          </w:tcPr>
          <w:p>
            <w:pPr>
              <w:pStyle w:val="TableText"/>
              <w:ind w:left="1804"/>
              <w:spacing w:before="40" w:line="205" w:lineRule="auto"/>
              <w:rPr>
                <w:sz w:val="21"/>
                <w:szCs w:val="21"/>
              </w:rPr>
            </w:pPr>
            <w:r>
              <w:rPr>
                <w:sz w:val="21"/>
                <w:szCs w:val="21"/>
                <w:b/>
                <w:bCs/>
                <w:spacing w:val="-6"/>
              </w:rPr>
              <w:t>负面清单</w:t>
            </w:r>
          </w:p>
        </w:tc>
        <w:tc>
          <w:tcPr>
            <w:shd w:val="clear" w:fill="BDBDBD"/>
            <w:tcW w:w="2817" w:type="dxa"/>
            <w:vAlign w:val="top"/>
          </w:tcPr>
          <w:p>
            <w:pPr>
              <w:pStyle w:val="TableText"/>
              <w:ind w:left="1089"/>
              <w:spacing w:before="39" w:line="206" w:lineRule="auto"/>
              <w:rPr>
                <w:sz w:val="21"/>
                <w:szCs w:val="21"/>
              </w:rPr>
            </w:pPr>
            <w:r>
              <w:rPr>
                <w:sz w:val="21"/>
                <w:szCs w:val="21"/>
                <w:b/>
                <w:bCs/>
                <w:spacing w:val="9"/>
              </w:rPr>
              <w:t>本项目</w:t>
            </w:r>
          </w:p>
        </w:tc>
        <w:tc>
          <w:tcPr>
            <w:shd w:val="clear" w:fill="BDBDBD"/>
            <w:tcW w:w="664" w:type="dxa"/>
            <w:vAlign w:val="top"/>
          </w:tcPr>
          <w:p>
            <w:pPr>
              <w:pStyle w:val="TableText"/>
              <w:ind w:left="13"/>
              <w:spacing w:before="40" w:line="205" w:lineRule="auto"/>
              <w:rPr>
                <w:sz w:val="21"/>
                <w:szCs w:val="21"/>
              </w:rPr>
            </w:pPr>
            <w:r>
              <w:rPr>
                <w:sz w:val="21"/>
                <w:szCs w:val="21"/>
                <w:b/>
                <w:bCs/>
                <w:spacing w:val="-5"/>
              </w:rPr>
              <w:t>符合性</w:t>
            </w:r>
          </w:p>
        </w:tc>
      </w:tr>
      <w:tr>
        <w:trPr>
          <w:trHeight w:val="809" w:hRule="atLeast"/>
        </w:trPr>
        <w:tc>
          <w:tcPr>
            <w:tcW w:w="1153" w:type="dxa"/>
            <w:vAlign w:val="top"/>
            <w:vMerge w:val="restart"/>
            <w:tcBorders>
              <w:bottom w:val="nil"/>
            </w:tcBorders>
          </w:tcPr>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54" w:right="38" w:hanging="54"/>
              <w:spacing w:before="68" w:line="237" w:lineRule="auto"/>
              <w:rPr>
                <w:sz w:val="21"/>
                <w:szCs w:val="21"/>
              </w:rPr>
            </w:pPr>
            <w:r>
              <w:rPr>
                <w:sz w:val="21"/>
                <w:szCs w:val="21"/>
                <w:spacing w:val="-6"/>
              </w:rPr>
              <w:t>《长江经济</w:t>
            </w:r>
            <w:r>
              <w:rPr>
                <w:sz w:val="21"/>
                <w:szCs w:val="21"/>
              </w:rPr>
              <w:t xml:space="preserve"> </w:t>
            </w:r>
            <w:r>
              <w:rPr>
                <w:sz w:val="21"/>
                <w:szCs w:val="21"/>
                <w:spacing w:val="-1"/>
              </w:rPr>
              <w:t>带生态环境</w:t>
            </w:r>
          </w:p>
          <w:p>
            <w:pPr>
              <w:pStyle w:val="TableText"/>
              <w:ind w:left="194" w:right="15" w:hanging="100"/>
              <w:spacing w:line="248" w:lineRule="auto"/>
              <w:rPr>
                <w:sz w:val="21"/>
                <w:szCs w:val="21"/>
              </w:rPr>
            </w:pPr>
            <w:r>
              <w:rPr>
                <w:sz w:val="21"/>
                <w:szCs w:val="21"/>
                <w:spacing w:val="-4"/>
              </w:rPr>
              <w:t>保护规划》</w:t>
            </w:r>
            <w:r>
              <w:rPr>
                <w:sz w:val="21"/>
                <w:szCs w:val="21"/>
                <w:spacing w:val="1"/>
              </w:rPr>
              <w:t xml:space="preserve"> </w:t>
            </w:r>
            <w:r>
              <w:rPr>
                <w:sz w:val="21"/>
                <w:szCs w:val="21"/>
                <w:spacing w:val="3"/>
              </w:rPr>
              <w:t>(环规财</w:t>
            </w:r>
          </w:p>
          <w:p>
            <w:pPr>
              <w:pStyle w:val="TableText"/>
              <w:ind w:left="144"/>
              <w:spacing w:line="198" w:lineRule="auto"/>
              <w:rPr>
                <w:sz w:val="21"/>
                <w:szCs w:val="21"/>
              </w:rPr>
            </w:pPr>
            <w:r>
              <w:rPr>
                <w:sz w:val="21"/>
                <w:szCs w:val="21"/>
                <w:spacing w:val="-5"/>
              </w:rPr>
              <w:t>[2017]88</w:t>
            </w:r>
          </w:p>
          <w:p>
            <w:pPr>
              <w:pStyle w:val="TableText"/>
              <w:ind w:left="354"/>
              <w:spacing w:line="220" w:lineRule="auto"/>
              <w:rPr>
                <w:sz w:val="21"/>
                <w:szCs w:val="21"/>
              </w:rPr>
            </w:pPr>
            <w:r>
              <w:rPr>
                <w:sz w:val="21"/>
                <w:szCs w:val="21"/>
                <w:spacing w:val="-7"/>
              </w:rPr>
              <w:t>号</w:t>
            </w:r>
            <w:r>
              <w:rPr>
                <w:sz w:val="21"/>
                <w:szCs w:val="21"/>
                <w:spacing w:val="-42"/>
              </w:rPr>
              <w:t xml:space="preserve"> </w:t>
            </w:r>
            <w:r>
              <w:rPr>
                <w:sz w:val="21"/>
                <w:szCs w:val="21"/>
                <w:spacing w:val="-7"/>
              </w:rPr>
              <w:t>)</w:t>
            </w:r>
          </w:p>
        </w:tc>
        <w:tc>
          <w:tcPr>
            <w:tcW w:w="4445" w:type="dxa"/>
            <w:vAlign w:val="top"/>
          </w:tcPr>
          <w:p>
            <w:pPr>
              <w:pStyle w:val="TableText"/>
              <w:ind w:left="11" w:right="21"/>
              <w:spacing w:before="160"/>
              <w:rPr>
                <w:sz w:val="21"/>
                <w:szCs w:val="21"/>
              </w:rPr>
            </w:pPr>
            <w:r>
              <w:rPr>
                <w:sz w:val="21"/>
                <w:szCs w:val="21"/>
                <w:spacing w:val="-1"/>
              </w:rPr>
              <w:t>加强高耗水行业用水定额管理，严格控制高耗水</w:t>
            </w:r>
            <w:r>
              <w:rPr>
                <w:sz w:val="21"/>
                <w:szCs w:val="21"/>
                <w:spacing w:val="11"/>
              </w:rPr>
              <w:t xml:space="preserve"> </w:t>
            </w:r>
            <w:r>
              <w:rPr>
                <w:sz w:val="21"/>
                <w:szCs w:val="21"/>
                <w:spacing w:val="-1"/>
              </w:rPr>
              <w:t>项目建设。</w:t>
            </w:r>
          </w:p>
        </w:tc>
        <w:tc>
          <w:tcPr>
            <w:tcW w:w="2817" w:type="dxa"/>
            <w:vAlign w:val="top"/>
          </w:tcPr>
          <w:p>
            <w:pPr>
              <w:pStyle w:val="TableText"/>
              <w:ind w:left="16" w:right="27" w:firstLine="20"/>
              <w:spacing w:before="27" w:line="226" w:lineRule="auto"/>
              <w:jc w:val="both"/>
              <w:rPr>
                <w:sz w:val="21"/>
                <w:szCs w:val="21"/>
              </w:rPr>
            </w:pPr>
            <w:r>
              <w:rPr>
                <w:sz w:val="21"/>
                <w:szCs w:val="21"/>
                <w:spacing w:val="-1"/>
              </w:rPr>
              <w:t>本项目生产过程中主要用水为</w:t>
            </w:r>
            <w:r>
              <w:rPr>
                <w:sz w:val="21"/>
                <w:szCs w:val="21"/>
                <w:spacing w:val="2"/>
              </w:rPr>
              <w:t xml:space="preserve"> </w:t>
            </w:r>
            <w:r>
              <w:rPr>
                <w:sz w:val="21"/>
                <w:szCs w:val="21"/>
                <w:spacing w:val="2"/>
              </w:rPr>
              <w:t>生活用水、生产用水，不属于</w:t>
            </w:r>
            <w:r>
              <w:rPr>
                <w:sz w:val="21"/>
                <w:szCs w:val="21"/>
                <w:spacing w:val="5"/>
              </w:rPr>
              <w:t xml:space="preserve"> </w:t>
            </w:r>
            <w:r>
              <w:rPr>
                <w:sz w:val="21"/>
                <w:szCs w:val="21"/>
                <w:spacing w:val="-1"/>
              </w:rPr>
              <w:t>高耗水行业。</w:t>
            </w:r>
          </w:p>
        </w:tc>
        <w:tc>
          <w:tcPr>
            <w:tcW w:w="664" w:type="dxa"/>
            <w:vAlign w:val="top"/>
          </w:tcPr>
          <w:p>
            <w:pPr>
              <w:pStyle w:val="TableText"/>
              <w:ind w:left="119"/>
              <w:spacing w:before="299" w:line="219" w:lineRule="auto"/>
              <w:rPr>
                <w:sz w:val="21"/>
                <w:szCs w:val="21"/>
              </w:rPr>
            </w:pPr>
            <w:r>
              <w:rPr>
                <w:sz w:val="21"/>
                <w:szCs w:val="21"/>
                <w:spacing w:val="-3"/>
              </w:rPr>
              <w:t>符合</w:t>
            </w:r>
          </w:p>
        </w:tc>
      </w:tr>
      <w:tr>
        <w:trPr>
          <w:trHeight w:val="1907" w:hRule="atLeast"/>
        </w:trPr>
        <w:tc>
          <w:tcPr>
            <w:tcW w:w="1153" w:type="dxa"/>
            <w:vAlign w:val="top"/>
            <w:vMerge w:val="continue"/>
            <w:tcBorders>
              <w:top w:val="nil"/>
              <w:bottom w:val="nil"/>
            </w:tcBorders>
          </w:tcPr>
          <w:p>
            <w:pPr>
              <w:rPr>
                <w:rFonts w:ascii="Arial"/>
                <w:sz w:val="21"/>
              </w:rPr>
            </w:pPr>
            <w:r/>
          </w:p>
        </w:tc>
        <w:tc>
          <w:tcPr>
            <w:tcW w:w="4445" w:type="dxa"/>
            <w:vAlign w:val="top"/>
          </w:tcPr>
          <w:p>
            <w:pPr>
              <w:pStyle w:val="TableText"/>
              <w:ind w:left="11"/>
              <w:spacing w:before="33" w:line="234" w:lineRule="auto"/>
              <w:jc w:val="both"/>
              <w:rPr>
                <w:sz w:val="21"/>
                <w:szCs w:val="21"/>
              </w:rPr>
            </w:pPr>
            <w:r>
              <w:rPr>
                <w:sz w:val="21"/>
                <w:szCs w:val="21"/>
                <w:spacing w:val="-1"/>
              </w:rPr>
              <w:t>划定生态保护红线。基于长江经济带生态整体性</w:t>
            </w:r>
            <w:r>
              <w:rPr>
                <w:sz w:val="21"/>
                <w:szCs w:val="21"/>
                <w:spacing w:val="9"/>
              </w:rPr>
              <w:t xml:space="preserve"> </w:t>
            </w:r>
            <w:r>
              <w:rPr>
                <w:sz w:val="21"/>
                <w:szCs w:val="21"/>
              </w:rPr>
              <w:t>和上中下游生态服务功能定位差异性，开展科学</w:t>
            </w:r>
            <w:r>
              <w:rPr>
                <w:sz w:val="21"/>
                <w:szCs w:val="21"/>
                <w:spacing w:val="7"/>
              </w:rPr>
              <w:t xml:space="preserve"> </w:t>
            </w:r>
            <w:r>
              <w:rPr>
                <w:sz w:val="21"/>
                <w:szCs w:val="21"/>
                <w:spacing w:val="-1"/>
              </w:rPr>
              <w:t>评估，识别水源涵养、生物多样性维护、水土保</w:t>
            </w:r>
            <w:r>
              <w:rPr>
                <w:sz w:val="21"/>
                <w:szCs w:val="21"/>
                <w:spacing w:val="9"/>
              </w:rPr>
              <w:t xml:space="preserve"> </w:t>
            </w:r>
            <w:r>
              <w:rPr>
                <w:sz w:val="21"/>
                <w:szCs w:val="21"/>
                <w:spacing w:val="-1"/>
              </w:rPr>
              <w:t>持、防风固沙等生态功能重要区域和生态环境敏</w:t>
            </w:r>
            <w:r>
              <w:rPr>
                <w:sz w:val="21"/>
                <w:szCs w:val="21"/>
                <w:spacing w:val="5"/>
              </w:rPr>
              <w:t xml:space="preserve"> </w:t>
            </w:r>
            <w:r>
              <w:rPr>
                <w:sz w:val="21"/>
                <w:szCs w:val="21"/>
              </w:rPr>
              <w:t>感脆弱区域，划入生态保护红线，涵盖所有国家</w:t>
            </w:r>
            <w:r>
              <w:rPr>
                <w:sz w:val="21"/>
                <w:szCs w:val="21"/>
                <w:spacing w:val="8"/>
              </w:rPr>
              <w:t xml:space="preserve"> </w:t>
            </w:r>
            <w:r>
              <w:rPr>
                <w:sz w:val="21"/>
                <w:szCs w:val="21"/>
              </w:rPr>
              <w:t>级、省级禁止开发区域，以及有必要严格保护的</w:t>
            </w:r>
            <w:r>
              <w:rPr>
                <w:sz w:val="21"/>
                <w:szCs w:val="21"/>
                <w:spacing w:val="12"/>
              </w:rPr>
              <w:t xml:space="preserve"> </w:t>
            </w:r>
            <w:r>
              <w:rPr>
                <w:sz w:val="21"/>
                <w:szCs w:val="21"/>
                <w:spacing w:val="-1"/>
              </w:rPr>
              <w:t>其他各类保护地等。</w:t>
            </w:r>
          </w:p>
        </w:tc>
        <w:tc>
          <w:tcPr>
            <w:tcW w:w="2817" w:type="dxa"/>
            <w:vAlign w:val="top"/>
          </w:tcPr>
          <w:p>
            <w:pPr>
              <w:spacing w:line="323" w:lineRule="auto"/>
              <w:rPr>
                <w:rFonts w:ascii="Arial"/>
                <w:sz w:val="21"/>
              </w:rPr>
            </w:pPr>
            <w:r/>
          </w:p>
          <w:p>
            <w:pPr>
              <w:spacing w:line="324" w:lineRule="auto"/>
              <w:rPr>
                <w:rFonts w:ascii="Arial"/>
                <w:sz w:val="21"/>
              </w:rPr>
            </w:pPr>
            <w:r/>
          </w:p>
          <w:p>
            <w:pPr>
              <w:pStyle w:val="TableText"/>
              <w:ind w:left="1295" w:right="20" w:hanging="1259"/>
              <w:spacing w:before="68" w:line="249" w:lineRule="auto"/>
              <w:rPr>
                <w:sz w:val="21"/>
                <w:szCs w:val="21"/>
              </w:rPr>
            </w:pPr>
            <w:r>
              <w:rPr>
                <w:sz w:val="21"/>
                <w:szCs w:val="21"/>
                <w:spacing w:val="1"/>
              </w:rPr>
              <w:t>本项目不在生态保护红线范围</w:t>
            </w:r>
            <w:r>
              <w:rPr>
                <w:sz w:val="21"/>
                <w:szCs w:val="21"/>
                <w:spacing w:val="5"/>
              </w:rPr>
              <w:t xml:space="preserve"> </w:t>
            </w:r>
            <w:r>
              <w:rPr>
                <w:sz w:val="21"/>
                <w:szCs w:val="21"/>
              </w:rPr>
              <w:t>内</w:t>
            </w:r>
          </w:p>
        </w:tc>
        <w:tc>
          <w:tcPr>
            <w:tcW w:w="664"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119"/>
              <w:spacing w:before="68" w:line="219" w:lineRule="auto"/>
              <w:rPr>
                <w:sz w:val="21"/>
                <w:szCs w:val="21"/>
              </w:rPr>
            </w:pPr>
            <w:r>
              <w:rPr>
                <w:sz w:val="21"/>
                <w:szCs w:val="21"/>
                <w:spacing w:val="-3"/>
              </w:rPr>
              <w:t>符合</w:t>
            </w:r>
          </w:p>
        </w:tc>
      </w:tr>
      <w:tr>
        <w:trPr>
          <w:trHeight w:val="1637" w:hRule="atLeast"/>
        </w:trPr>
        <w:tc>
          <w:tcPr>
            <w:tcW w:w="1153" w:type="dxa"/>
            <w:vAlign w:val="top"/>
            <w:vMerge w:val="continue"/>
            <w:tcBorders>
              <w:top w:val="nil"/>
              <w:bottom w:val="nil"/>
            </w:tcBorders>
          </w:tcPr>
          <w:p>
            <w:pPr>
              <w:rPr>
                <w:rFonts w:ascii="Arial"/>
                <w:sz w:val="21"/>
              </w:rPr>
            </w:pPr>
            <w:r/>
          </w:p>
        </w:tc>
        <w:tc>
          <w:tcPr>
            <w:tcW w:w="4445" w:type="dxa"/>
            <w:vAlign w:val="top"/>
          </w:tcPr>
          <w:p>
            <w:pPr>
              <w:pStyle w:val="TableText"/>
              <w:ind w:left="11"/>
              <w:spacing w:before="34" w:line="239" w:lineRule="auto"/>
              <w:rPr>
                <w:sz w:val="21"/>
                <w:szCs w:val="21"/>
              </w:rPr>
            </w:pPr>
            <w:r>
              <w:rPr>
                <w:sz w:val="21"/>
                <w:szCs w:val="21"/>
              </w:rPr>
              <w:t>严守生态保护红线。要将生态保护红线作为空间</w:t>
            </w:r>
            <w:r>
              <w:rPr>
                <w:sz w:val="21"/>
                <w:szCs w:val="21"/>
                <w:spacing w:val="12"/>
              </w:rPr>
              <w:t xml:space="preserve"> </w:t>
            </w:r>
            <w:r>
              <w:rPr>
                <w:sz w:val="21"/>
                <w:szCs w:val="21"/>
              </w:rPr>
              <w:t>规划编制的重要基础，相关规划要符合生态保护</w:t>
            </w:r>
            <w:r>
              <w:rPr>
                <w:sz w:val="21"/>
                <w:szCs w:val="21"/>
                <w:spacing w:val="7"/>
              </w:rPr>
              <w:t xml:space="preserve"> </w:t>
            </w:r>
            <w:r>
              <w:rPr>
                <w:sz w:val="21"/>
                <w:szCs w:val="21"/>
                <w:spacing w:val="-1"/>
              </w:rPr>
              <w:t>红线空间管控要求，不符合的要及时进行调整。</w:t>
            </w:r>
            <w:r>
              <w:rPr>
                <w:sz w:val="21"/>
                <w:szCs w:val="21"/>
                <w:spacing w:val="7"/>
              </w:rPr>
              <w:t xml:space="preserve"> </w:t>
            </w:r>
            <w:r>
              <w:rPr>
                <w:sz w:val="21"/>
                <w:szCs w:val="21"/>
              </w:rPr>
              <w:t>生态保护红线原则上按禁止开发区域的要求进行</w:t>
            </w:r>
            <w:r>
              <w:rPr>
                <w:sz w:val="21"/>
                <w:szCs w:val="21"/>
                <w:spacing w:val="2"/>
              </w:rPr>
              <w:t xml:space="preserve"> </w:t>
            </w:r>
            <w:r>
              <w:rPr>
                <w:sz w:val="21"/>
                <w:szCs w:val="21"/>
              </w:rPr>
              <w:t>管理，严禁不符合主体功能定位的各类开发活</w:t>
            </w:r>
          </w:p>
          <w:p>
            <w:pPr>
              <w:pStyle w:val="TableText"/>
              <w:ind w:left="11"/>
              <w:spacing w:line="205" w:lineRule="auto"/>
              <w:rPr>
                <w:sz w:val="21"/>
                <w:szCs w:val="21"/>
              </w:rPr>
            </w:pPr>
            <w:r>
              <w:rPr>
                <w:sz w:val="21"/>
                <w:szCs w:val="21"/>
                <w:spacing w:val="-1"/>
              </w:rPr>
              <w:t>动，严禁任意改变用途。</w:t>
            </w:r>
          </w:p>
        </w:tc>
        <w:tc>
          <w:tcPr>
            <w:tcW w:w="2817" w:type="dxa"/>
            <w:vAlign w:val="top"/>
          </w:tcPr>
          <w:p>
            <w:pPr>
              <w:spacing w:line="250" w:lineRule="auto"/>
              <w:rPr>
                <w:rFonts w:ascii="Arial"/>
                <w:sz w:val="21"/>
              </w:rPr>
            </w:pPr>
            <w:r/>
          </w:p>
          <w:p>
            <w:pPr>
              <w:spacing w:line="250" w:lineRule="auto"/>
              <w:rPr>
                <w:rFonts w:ascii="Arial"/>
                <w:sz w:val="21"/>
              </w:rPr>
            </w:pPr>
            <w:r/>
          </w:p>
          <w:p>
            <w:pPr>
              <w:pStyle w:val="TableText"/>
              <w:ind w:left="1295" w:right="20" w:hanging="1259"/>
              <w:spacing w:before="69" w:line="249" w:lineRule="auto"/>
              <w:rPr>
                <w:sz w:val="21"/>
                <w:szCs w:val="21"/>
              </w:rPr>
            </w:pPr>
            <w:r>
              <w:rPr>
                <w:sz w:val="21"/>
                <w:szCs w:val="21"/>
                <w:spacing w:val="1"/>
              </w:rPr>
              <w:t>本项目不在生态保护红线范围</w:t>
            </w:r>
            <w:r>
              <w:rPr>
                <w:sz w:val="21"/>
                <w:szCs w:val="21"/>
                <w:spacing w:val="5"/>
              </w:rPr>
              <w:t xml:space="preserve"> </w:t>
            </w:r>
            <w:r>
              <w:rPr>
                <w:sz w:val="21"/>
                <w:szCs w:val="21"/>
              </w:rPr>
              <w:t>内</w:t>
            </w:r>
          </w:p>
        </w:tc>
        <w:tc>
          <w:tcPr>
            <w:tcW w:w="664" w:type="dxa"/>
            <w:vAlign w:val="top"/>
          </w:tcPr>
          <w:p>
            <w:pPr>
              <w:spacing w:line="325" w:lineRule="auto"/>
              <w:rPr>
                <w:rFonts w:ascii="Arial"/>
                <w:sz w:val="21"/>
              </w:rPr>
            </w:pPr>
            <w:r/>
          </w:p>
          <w:p>
            <w:pPr>
              <w:spacing w:line="326" w:lineRule="auto"/>
              <w:rPr>
                <w:rFonts w:ascii="Arial"/>
                <w:sz w:val="21"/>
              </w:rPr>
            </w:pPr>
            <w:r/>
          </w:p>
          <w:p>
            <w:pPr>
              <w:pStyle w:val="TableText"/>
              <w:ind w:left="119"/>
              <w:spacing w:before="68" w:line="219" w:lineRule="auto"/>
              <w:rPr>
                <w:sz w:val="21"/>
                <w:szCs w:val="21"/>
              </w:rPr>
            </w:pPr>
            <w:r>
              <w:rPr>
                <w:sz w:val="21"/>
                <w:szCs w:val="21"/>
                <w:spacing w:val="-3"/>
              </w:rPr>
              <w:t>符合</w:t>
            </w:r>
          </w:p>
        </w:tc>
      </w:tr>
      <w:tr>
        <w:trPr>
          <w:trHeight w:val="1388" w:hRule="atLeast"/>
        </w:trPr>
        <w:tc>
          <w:tcPr>
            <w:tcW w:w="1153" w:type="dxa"/>
            <w:vAlign w:val="top"/>
            <w:vMerge w:val="continue"/>
            <w:tcBorders>
              <w:top w:val="nil"/>
            </w:tcBorders>
          </w:tcPr>
          <w:p>
            <w:pPr>
              <w:rPr>
                <w:rFonts w:ascii="Arial"/>
                <w:sz w:val="21"/>
              </w:rPr>
            </w:pPr>
            <w:r/>
          </w:p>
        </w:tc>
        <w:tc>
          <w:tcPr>
            <w:tcW w:w="4445" w:type="dxa"/>
            <w:vAlign w:val="top"/>
          </w:tcPr>
          <w:p>
            <w:pPr>
              <w:spacing w:line="254" w:lineRule="auto"/>
              <w:rPr>
                <w:rFonts w:ascii="Arial"/>
                <w:sz w:val="21"/>
              </w:rPr>
            </w:pPr>
            <w:r/>
          </w:p>
          <w:p>
            <w:pPr>
              <w:pStyle w:val="TableText"/>
              <w:ind w:left="11"/>
              <w:spacing w:before="69"/>
              <w:rPr>
                <w:sz w:val="21"/>
                <w:szCs w:val="21"/>
              </w:rPr>
            </w:pPr>
            <w:r>
              <w:rPr>
                <w:sz w:val="21"/>
                <w:szCs w:val="21"/>
                <w:spacing w:val="-1"/>
              </w:rPr>
              <w:t>严禁在干流及主要支流岸线1公里范围内布局新</w:t>
            </w:r>
            <w:r>
              <w:rPr>
                <w:sz w:val="21"/>
                <w:szCs w:val="21"/>
                <w:spacing w:val="1"/>
              </w:rPr>
              <w:t xml:space="preserve">  </w:t>
            </w:r>
            <w:r>
              <w:rPr>
                <w:sz w:val="21"/>
                <w:szCs w:val="21"/>
              </w:rPr>
              <w:t>建重化工园区，严控在中上游沿岸地区新建石油</w:t>
            </w:r>
            <w:r>
              <w:rPr>
                <w:sz w:val="21"/>
                <w:szCs w:val="21"/>
                <w:spacing w:val="12"/>
              </w:rPr>
              <w:t xml:space="preserve"> </w:t>
            </w:r>
            <w:r>
              <w:rPr>
                <w:sz w:val="21"/>
                <w:szCs w:val="21"/>
                <w:spacing w:val="-1"/>
              </w:rPr>
              <w:t>化工和煤化工项目。</w:t>
            </w:r>
          </w:p>
        </w:tc>
        <w:tc>
          <w:tcPr>
            <w:tcW w:w="2817" w:type="dxa"/>
            <w:vAlign w:val="top"/>
          </w:tcPr>
          <w:p>
            <w:pPr>
              <w:pStyle w:val="TableText"/>
              <w:ind w:left="36"/>
              <w:spacing w:before="25" w:line="219" w:lineRule="auto"/>
              <w:rPr>
                <w:sz w:val="21"/>
                <w:szCs w:val="21"/>
              </w:rPr>
            </w:pPr>
            <w:r>
              <w:rPr>
                <w:sz w:val="21"/>
                <w:szCs w:val="21"/>
                <w:spacing w:val="-1"/>
              </w:rPr>
              <w:t>本项目位于四川绵阳安州工业</w:t>
            </w:r>
          </w:p>
          <w:p>
            <w:pPr>
              <w:pStyle w:val="TableText"/>
              <w:ind w:left="87"/>
              <w:spacing w:before="32" w:line="219" w:lineRule="auto"/>
              <w:rPr>
                <w:sz w:val="21"/>
                <w:szCs w:val="21"/>
              </w:rPr>
            </w:pPr>
            <w:r>
              <w:rPr>
                <w:sz w:val="21"/>
                <w:szCs w:val="21"/>
                <w:spacing w:val="1"/>
              </w:rPr>
              <w:t>园区内，属于“C1351牲畜屠</w:t>
            </w:r>
          </w:p>
          <w:p>
            <w:pPr>
              <w:pStyle w:val="TableText"/>
              <w:ind w:left="146"/>
              <w:spacing w:before="30" w:line="219" w:lineRule="auto"/>
              <w:rPr>
                <w:sz w:val="21"/>
                <w:szCs w:val="21"/>
              </w:rPr>
            </w:pPr>
            <w:r>
              <w:rPr>
                <w:sz w:val="21"/>
                <w:szCs w:val="21"/>
                <w:spacing w:val="1"/>
              </w:rPr>
              <w:t>宰”行业，不属于重化工园</w:t>
            </w:r>
          </w:p>
          <w:p>
            <w:pPr>
              <w:pStyle w:val="TableText"/>
              <w:spacing w:before="31" w:line="220" w:lineRule="auto"/>
              <w:jc w:val="right"/>
              <w:rPr>
                <w:sz w:val="21"/>
                <w:szCs w:val="21"/>
              </w:rPr>
            </w:pPr>
            <w:r>
              <w:rPr>
                <w:sz w:val="21"/>
                <w:szCs w:val="21"/>
                <w:spacing w:val="-1"/>
              </w:rPr>
              <w:t>区、石油化工及煤化工项目，</w:t>
            </w:r>
          </w:p>
          <w:p>
            <w:pPr>
              <w:pStyle w:val="TableText"/>
              <w:ind w:left="146"/>
              <w:spacing w:before="19" w:line="212" w:lineRule="auto"/>
              <w:rPr>
                <w:sz w:val="21"/>
                <w:szCs w:val="21"/>
              </w:rPr>
            </w:pPr>
            <w:r>
              <w:rPr>
                <w:sz w:val="21"/>
                <w:szCs w:val="21"/>
                <w:spacing w:val="-1"/>
              </w:rPr>
              <w:t>东北侧距离安昌河约3000m。</w:t>
            </w:r>
          </w:p>
        </w:tc>
        <w:tc>
          <w:tcPr>
            <w:tcW w:w="664" w:type="dxa"/>
            <w:vAlign w:val="top"/>
          </w:tcPr>
          <w:p>
            <w:pPr>
              <w:spacing w:line="262" w:lineRule="auto"/>
              <w:rPr>
                <w:rFonts w:ascii="Arial"/>
                <w:sz w:val="21"/>
              </w:rPr>
            </w:pPr>
            <w:r/>
          </w:p>
          <w:p>
            <w:pPr>
              <w:spacing w:line="263" w:lineRule="auto"/>
              <w:rPr>
                <w:rFonts w:ascii="Arial"/>
                <w:sz w:val="21"/>
              </w:rPr>
            </w:pPr>
            <w:r/>
          </w:p>
          <w:p>
            <w:pPr>
              <w:pStyle w:val="TableText"/>
              <w:ind w:left="119"/>
              <w:spacing w:before="68" w:line="219" w:lineRule="auto"/>
              <w:rPr>
                <w:sz w:val="21"/>
                <w:szCs w:val="21"/>
              </w:rPr>
            </w:pPr>
            <w:r>
              <w:rPr>
                <w:sz w:val="21"/>
                <w:szCs w:val="21"/>
                <w:spacing w:val="-3"/>
              </w:rPr>
              <w:t>符合</w:t>
            </w:r>
          </w:p>
        </w:tc>
      </w:tr>
      <w:tr>
        <w:trPr>
          <w:trHeight w:val="284" w:hRule="atLeast"/>
        </w:trPr>
        <w:tc>
          <w:tcPr>
            <w:tcW w:w="1153" w:type="dxa"/>
            <w:vAlign w:val="top"/>
          </w:tcPr>
          <w:p>
            <w:pPr>
              <w:pStyle w:val="TableText"/>
              <w:spacing w:before="48" w:line="198" w:lineRule="auto"/>
              <w:rPr>
                <w:sz w:val="21"/>
                <w:szCs w:val="21"/>
              </w:rPr>
            </w:pPr>
            <w:r>
              <w:rPr>
                <w:sz w:val="21"/>
                <w:szCs w:val="21"/>
                <w:color w:val="807060"/>
                <w:spacing w:val="17"/>
              </w:rPr>
              <w:t>《四川省、</w:t>
            </w:r>
          </w:p>
        </w:tc>
        <w:tc>
          <w:tcPr>
            <w:tcW w:w="4445" w:type="dxa"/>
            <w:vAlign w:val="top"/>
          </w:tcPr>
          <w:p>
            <w:pPr>
              <w:pStyle w:val="TableText"/>
              <w:spacing w:before="48" w:line="198" w:lineRule="auto"/>
              <w:jc w:val="right"/>
              <w:rPr>
                <w:sz w:val="21"/>
                <w:szCs w:val="21"/>
              </w:rPr>
            </w:pPr>
            <w:r>
              <w:rPr>
                <w:sz w:val="21"/>
                <w:szCs w:val="21"/>
              </w:rPr>
              <w:t>禁止新建、改建和扩建不符合《全国内河航道与</w:t>
            </w:r>
          </w:p>
        </w:tc>
        <w:tc>
          <w:tcPr>
            <w:tcW w:w="2817" w:type="dxa"/>
            <w:vAlign w:val="top"/>
          </w:tcPr>
          <w:p>
            <w:pPr>
              <w:pStyle w:val="TableText"/>
              <w:spacing w:before="47" w:line="199" w:lineRule="auto"/>
              <w:jc w:val="right"/>
              <w:rPr>
                <w:sz w:val="21"/>
                <w:szCs w:val="21"/>
              </w:rPr>
            </w:pPr>
            <w:r>
              <w:rPr>
                <w:sz w:val="21"/>
                <w:szCs w:val="21"/>
                <w:spacing w:val="3"/>
              </w:rPr>
              <w:t>本项目不属于码头和港口项目</w:t>
            </w:r>
          </w:p>
        </w:tc>
        <w:tc>
          <w:tcPr>
            <w:tcW w:w="664" w:type="dxa"/>
            <w:vAlign w:val="top"/>
          </w:tcPr>
          <w:p>
            <w:pPr>
              <w:pStyle w:val="TableText"/>
              <w:ind w:left="119"/>
              <w:spacing w:before="48" w:line="198" w:lineRule="auto"/>
              <w:rPr>
                <w:sz w:val="21"/>
                <w:szCs w:val="21"/>
              </w:rPr>
            </w:pPr>
            <w:r>
              <w:rPr>
                <w:sz w:val="21"/>
                <w:szCs w:val="21"/>
                <w:spacing w:val="-3"/>
              </w:rPr>
              <w:t>符合</w:t>
            </w:r>
          </w:p>
        </w:tc>
      </w:tr>
    </w:tbl>
    <w:p>
      <w:pPr>
        <w:pStyle w:val="BodyText"/>
        <w:rPr/>
      </w:pPr>
      <w:r/>
    </w:p>
    <w:p>
      <w:pPr>
        <w:sectPr>
          <w:headerReference w:type="default" r:id="rId70"/>
          <w:footerReference w:type="default" r:id="rId71"/>
          <w:pgSz w:w="11910" w:h="16840"/>
          <w:pgMar w:top="1170" w:right="1395" w:bottom="976" w:left="1425" w:header="862" w:footer="755" w:gutter="0"/>
        </w:sectPr>
        <w:rPr/>
      </w:pPr>
    </w:p>
    <w:p>
      <w:pPr>
        <w:spacing w:line="224" w:lineRule="exact"/>
        <w:rPr/>
      </w:pPr>
      <w:r/>
    </w:p>
    <w:tbl>
      <w:tblPr>
        <w:tblStyle w:val="TableNormal"/>
        <w:tblW w:w="905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133"/>
        <w:gridCol w:w="4425"/>
        <w:gridCol w:w="2847"/>
        <w:gridCol w:w="654"/>
      </w:tblGrid>
      <w:tr>
        <w:trPr>
          <w:trHeight w:val="275" w:hRule="atLeast"/>
        </w:trPr>
        <w:tc>
          <w:tcPr>
            <w:shd w:val="clear" w:fill="BDBDBD"/>
            <w:tcW w:w="1133" w:type="dxa"/>
            <w:vAlign w:val="top"/>
          </w:tcPr>
          <w:p>
            <w:pPr>
              <w:pStyle w:val="TableText"/>
              <w:ind w:left="348"/>
              <w:spacing w:before="30" w:line="206" w:lineRule="auto"/>
              <w:rPr>
                <w:sz w:val="21"/>
                <w:szCs w:val="21"/>
              </w:rPr>
            </w:pPr>
            <w:r>
              <w:rPr>
                <w:sz w:val="21"/>
                <w:szCs w:val="21"/>
                <w:b/>
                <w:bCs/>
                <w:spacing w:val="-5"/>
              </w:rPr>
              <w:t>文件</w:t>
            </w:r>
          </w:p>
        </w:tc>
        <w:tc>
          <w:tcPr>
            <w:shd w:val="clear" w:fill="BDBDBD"/>
            <w:tcW w:w="4425" w:type="dxa"/>
            <w:vAlign w:val="top"/>
          </w:tcPr>
          <w:p>
            <w:pPr>
              <w:pStyle w:val="TableText"/>
              <w:ind w:left="1784"/>
              <w:spacing w:before="30" w:line="206" w:lineRule="auto"/>
              <w:rPr>
                <w:sz w:val="21"/>
                <w:szCs w:val="21"/>
              </w:rPr>
            </w:pPr>
            <w:r>
              <w:rPr>
                <w:sz w:val="21"/>
                <w:szCs w:val="21"/>
                <w:b/>
                <w:bCs/>
                <w:spacing w:val="-6"/>
              </w:rPr>
              <w:t>负面清单</w:t>
            </w:r>
          </w:p>
        </w:tc>
        <w:tc>
          <w:tcPr>
            <w:shd w:val="clear" w:fill="BDBDBD"/>
            <w:tcW w:w="2847" w:type="dxa"/>
            <w:vAlign w:val="top"/>
          </w:tcPr>
          <w:p>
            <w:pPr>
              <w:pStyle w:val="TableText"/>
              <w:ind w:left="1109"/>
              <w:spacing w:before="29" w:line="207" w:lineRule="auto"/>
              <w:rPr>
                <w:sz w:val="21"/>
                <w:szCs w:val="21"/>
              </w:rPr>
            </w:pPr>
            <w:r>
              <w:rPr>
                <w:sz w:val="21"/>
                <w:szCs w:val="21"/>
                <w:b/>
                <w:bCs/>
                <w:spacing w:val="9"/>
              </w:rPr>
              <w:t>本项目</w:t>
            </w:r>
          </w:p>
        </w:tc>
        <w:tc>
          <w:tcPr>
            <w:shd w:val="clear" w:fill="BDBDBD"/>
            <w:tcW w:w="654" w:type="dxa"/>
            <w:vAlign w:val="top"/>
          </w:tcPr>
          <w:p>
            <w:pPr>
              <w:pStyle w:val="TableText"/>
              <w:spacing w:before="30" w:line="206" w:lineRule="auto"/>
              <w:jc w:val="right"/>
              <w:rPr>
                <w:sz w:val="21"/>
                <w:szCs w:val="21"/>
              </w:rPr>
            </w:pPr>
            <w:r>
              <w:rPr>
                <w:sz w:val="21"/>
                <w:szCs w:val="21"/>
                <w:b/>
                <w:bCs/>
                <w:spacing w:val="-6"/>
              </w:rPr>
              <w:t>符合性</w:t>
            </w:r>
          </w:p>
        </w:tc>
      </w:tr>
      <w:tr>
        <w:trPr>
          <w:trHeight w:val="1089" w:hRule="atLeast"/>
        </w:trPr>
        <w:tc>
          <w:tcPr>
            <w:tcW w:w="1133" w:type="dxa"/>
            <w:vAlign w:val="top"/>
            <w:vMerge w:val="restart"/>
            <w:tcBorders>
              <w:bottom w:val="nil"/>
            </w:tcBorders>
          </w:tcPr>
          <w:p>
            <w:pPr>
              <w:pStyle w:val="TableText"/>
              <w:ind w:left="35" w:right="26"/>
              <w:spacing w:before="49" w:line="237" w:lineRule="auto"/>
              <w:rPr>
                <w:sz w:val="21"/>
                <w:szCs w:val="21"/>
              </w:rPr>
            </w:pPr>
            <w:r>
              <w:rPr>
                <w:sz w:val="21"/>
                <w:szCs w:val="21"/>
                <w:spacing w:val="-2"/>
              </w:rPr>
              <w:t>重庆市长江</w:t>
            </w:r>
            <w:r>
              <w:rPr>
                <w:sz w:val="21"/>
                <w:szCs w:val="21"/>
              </w:rPr>
              <w:t xml:space="preserve"> </w:t>
            </w:r>
            <w:r>
              <w:rPr>
                <w:sz w:val="21"/>
                <w:szCs w:val="21"/>
                <w:spacing w:val="2"/>
              </w:rPr>
              <w:t>经济带发展</w:t>
            </w:r>
          </w:p>
          <w:p>
            <w:pPr>
              <w:pStyle w:val="TableText"/>
              <w:ind w:left="5" w:firstLine="29"/>
              <w:spacing w:before="1" w:line="237" w:lineRule="auto"/>
              <w:rPr>
                <w:sz w:val="21"/>
                <w:szCs w:val="21"/>
              </w:rPr>
            </w:pPr>
            <w:r>
              <w:rPr>
                <w:sz w:val="21"/>
                <w:szCs w:val="21"/>
              </w:rPr>
              <w:t>负面清单实</w:t>
            </w:r>
            <w:r>
              <w:rPr>
                <w:sz w:val="21"/>
                <w:szCs w:val="21"/>
                <w:spacing w:val="3"/>
              </w:rPr>
              <w:t xml:space="preserve"> </w:t>
            </w:r>
            <w:r>
              <w:rPr>
                <w:sz w:val="21"/>
                <w:szCs w:val="21"/>
                <w:spacing w:val="13"/>
              </w:rPr>
              <w:t>施细则(试</w:t>
            </w:r>
            <w:r>
              <w:rPr>
                <w:sz w:val="21"/>
                <w:szCs w:val="21"/>
              </w:rPr>
              <w:t xml:space="preserve">  </w:t>
            </w:r>
            <w:r>
              <w:rPr>
                <w:sz w:val="21"/>
                <w:szCs w:val="21"/>
                <w:spacing w:val="4"/>
              </w:rPr>
              <w:t>行，2022年</w:t>
            </w:r>
            <w:r>
              <w:rPr>
                <w:sz w:val="21"/>
                <w:szCs w:val="21"/>
                <w:spacing w:val="3"/>
              </w:rPr>
              <w:t xml:space="preserve"> </w:t>
            </w:r>
            <w:r>
              <w:rPr>
                <w:sz w:val="21"/>
                <w:szCs w:val="21"/>
                <w:spacing w:val="-19"/>
              </w:rPr>
              <w:t>版</w:t>
            </w:r>
            <w:r>
              <w:rPr>
                <w:sz w:val="21"/>
                <w:szCs w:val="21"/>
                <w:spacing w:val="-23"/>
              </w:rPr>
              <w:t xml:space="preserve"> </w:t>
            </w:r>
            <w:r>
              <w:rPr>
                <w:sz w:val="21"/>
                <w:szCs w:val="21"/>
                <w:spacing w:val="-19"/>
              </w:rPr>
              <w:t>) 》</w:t>
            </w:r>
            <w:r>
              <w:rPr>
                <w:sz w:val="21"/>
                <w:szCs w:val="21"/>
                <w:spacing w:val="12"/>
              </w:rPr>
              <w:t xml:space="preserve"> </w:t>
            </w:r>
            <w:r>
              <w:rPr>
                <w:sz w:val="21"/>
                <w:szCs w:val="21"/>
                <w:spacing w:val="-19"/>
              </w:rPr>
              <w:t>( 川</w:t>
            </w:r>
          </w:p>
          <w:p>
            <w:pPr>
              <w:pStyle w:val="TableText"/>
              <w:ind w:left="134" w:right="189" w:firstLine="110"/>
              <w:spacing w:before="1" w:line="224" w:lineRule="auto"/>
              <w:rPr>
                <w:sz w:val="21"/>
                <w:szCs w:val="21"/>
              </w:rPr>
            </w:pPr>
            <w:r>
              <w:rPr>
                <w:sz w:val="21"/>
                <w:szCs w:val="21"/>
                <w:spacing w:val="4"/>
              </w:rPr>
              <w:t>长江办</w:t>
            </w:r>
            <w:r>
              <w:rPr>
                <w:sz w:val="21"/>
                <w:szCs w:val="21"/>
              </w:rPr>
              <w:t xml:space="preserve"> </w:t>
            </w:r>
            <w:r>
              <w:rPr>
                <w:sz w:val="21"/>
                <w:szCs w:val="21"/>
                <w:spacing w:val="-6"/>
              </w:rPr>
              <w:t>[2022]17</w:t>
            </w:r>
          </w:p>
          <w:p>
            <w:pPr>
              <w:pStyle w:val="TableText"/>
              <w:ind w:left="335"/>
              <w:spacing w:line="220" w:lineRule="auto"/>
              <w:rPr>
                <w:sz w:val="21"/>
                <w:szCs w:val="21"/>
              </w:rPr>
            </w:pPr>
            <w:r>
              <w:rPr>
                <w:sz w:val="21"/>
                <w:szCs w:val="21"/>
                <w:spacing w:val="-7"/>
              </w:rPr>
              <w:t>号</w:t>
            </w:r>
            <w:r>
              <w:rPr>
                <w:sz w:val="21"/>
                <w:szCs w:val="21"/>
                <w:spacing w:val="-42"/>
              </w:rPr>
              <w:t xml:space="preserve"> </w:t>
            </w:r>
            <w:r>
              <w:rPr>
                <w:sz w:val="21"/>
                <w:szCs w:val="21"/>
                <w:spacing w:val="-7"/>
              </w:rPr>
              <w:t>)</w:t>
            </w:r>
          </w:p>
        </w:tc>
        <w:tc>
          <w:tcPr>
            <w:tcW w:w="4425" w:type="dxa"/>
            <w:vAlign w:val="top"/>
          </w:tcPr>
          <w:p>
            <w:pPr>
              <w:pStyle w:val="TableText"/>
              <w:ind w:left="51" w:hanging="39"/>
              <w:spacing w:before="46" w:line="227" w:lineRule="auto"/>
              <w:rPr>
                <w:sz w:val="21"/>
                <w:szCs w:val="21"/>
              </w:rPr>
            </w:pPr>
            <w:r>
              <w:rPr>
                <w:sz w:val="21"/>
                <w:szCs w:val="21"/>
                <w:spacing w:val="-2"/>
              </w:rPr>
              <w:t>港口布局规划》等全国港口规划，以及《四川省</w:t>
            </w:r>
            <w:r>
              <w:rPr>
                <w:sz w:val="21"/>
                <w:szCs w:val="21"/>
                <w:spacing w:val="17"/>
              </w:rPr>
              <w:t xml:space="preserve"> </w:t>
            </w:r>
            <w:r>
              <w:rPr>
                <w:sz w:val="21"/>
                <w:szCs w:val="21"/>
                <w:spacing w:val="-9"/>
              </w:rPr>
              <w:t>内河水运发展规划》、《泸州—宜宾—乐山港口</w:t>
            </w:r>
            <w:r>
              <w:rPr>
                <w:sz w:val="21"/>
                <w:szCs w:val="21"/>
                <w:spacing w:val="8"/>
              </w:rPr>
              <w:t xml:space="preserve">  </w:t>
            </w:r>
            <w:r>
              <w:rPr>
                <w:sz w:val="21"/>
                <w:szCs w:val="21"/>
              </w:rPr>
              <w:t>群布局规划》《重庆港总体规划(2035年)》等  </w:t>
            </w:r>
            <w:r>
              <w:rPr>
                <w:sz w:val="21"/>
                <w:szCs w:val="21"/>
                <w:spacing w:val="-3"/>
              </w:rPr>
              <w:t>省级港口布局规划及港口总体规划的码头项目。</w:t>
            </w:r>
          </w:p>
        </w:tc>
        <w:tc>
          <w:tcPr>
            <w:tcW w:w="2847" w:type="dxa"/>
            <w:vAlign w:val="top"/>
          </w:tcPr>
          <w:p>
            <w:pPr>
              <w:rPr>
                <w:rFonts w:ascii="Arial"/>
                <w:sz w:val="21"/>
              </w:rPr>
            </w:pPr>
            <w:r/>
          </w:p>
        </w:tc>
        <w:tc>
          <w:tcPr>
            <w:tcW w:w="654" w:type="dxa"/>
            <w:vAlign w:val="top"/>
          </w:tcPr>
          <w:p>
            <w:pPr>
              <w:rPr>
                <w:rFonts w:ascii="Arial"/>
                <w:sz w:val="21"/>
              </w:rPr>
            </w:pPr>
            <w:r/>
          </w:p>
        </w:tc>
      </w:tr>
      <w:tr>
        <w:trPr>
          <w:trHeight w:val="1099" w:hRule="atLeast"/>
        </w:trPr>
        <w:tc>
          <w:tcPr>
            <w:tcW w:w="1133" w:type="dxa"/>
            <w:vAlign w:val="top"/>
            <w:vMerge w:val="continue"/>
            <w:tcBorders>
              <w:top w:val="nil"/>
              <w:bottom w:val="nil"/>
            </w:tcBorders>
          </w:tcPr>
          <w:p>
            <w:pPr>
              <w:rPr>
                <w:rFonts w:ascii="Arial"/>
                <w:sz w:val="21"/>
              </w:rPr>
            </w:pPr>
            <w:r/>
          </w:p>
        </w:tc>
        <w:tc>
          <w:tcPr>
            <w:tcW w:w="4425" w:type="dxa"/>
            <w:vAlign w:val="top"/>
          </w:tcPr>
          <w:p>
            <w:pPr>
              <w:pStyle w:val="TableText"/>
              <w:ind w:left="12" w:right="1"/>
              <w:spacing w:before="28" w:line="245" w:lineRule="auto"/>
              <w:rPr>
                <w:sz w:val="21"/>
                <w:szCs w:val="21"/>
              </w:rPr>
            </w:pPr>
            <w:r>
              <w:rPr>
                <w:sz w:val="21"/>
                <w:szCs w:val="21"/>
                <w:spacing w:val="-1"/>
              </w:rPr>
              <w:t>禁止新建、改建和扩建不符合《长江干线过江通</w:t>
            </w:r>
            <w:r>
              <w:rPr>
                <w:sz w:val="21"/>
                <w:szCs w:val="21"/>
                <w:spacing w:val="11"/>
              </w:rPr>
              <w:t xml:space="preserve"> </w:t>
            </w:r>
            <w:r>
              <w:rPr>
                <w:sz w:val="21"/>
                <w:szCs w:val="21"/>
                <w:spacing w:val="-1"/>
              </w:rPr>
              <w:t>道布局规划(2020-2035年)》的过长江通道项</w:t>
            </w:r>
          </w:p>
          <w:p>
            <w:pPr>
              <w:pStyle w:val="TableText"/>
              <w:ind w:left="12" w:right="153" w:firstLine="139"/>
              <w:spacing w:line="221" w:lineRule="auto"/>
              <w:rPr>
                <w:sz w:val="21"/>
                <w:szCs w:val="21"/>
              </w:rPr>
            </w:pPr>
            <w:r>
              <w:rPr>
                <w:sz w:val="21"/>
                <w:szCs w:val="21"/>
              </w:rPr>
              <w:t>目(含桥梁、隧道),国家发展改革委同意过长</w:t>
            </w:r>
            <w:r>
              <w:rPr>
                <w:sz w:val="21"/>
                <w:szCs w:val="21"/>
                <w:spacing w:val="13"/>
              </w:rPr>
              <w:t xml:space="preserve"> </w:t>
            </w:r>
            <w:r>
              <w:rPr>
                <w:sz w:val="21"/>
                <w:szCs w:val="21"/>
                <w:spacing w:val="-1"/>
              </w:rPr>
              <w:t>江通道线位调整的除外。</w:t>
            </w:r>
          </w:p>
        </w:tc>
        <w:tc>
          <w:tcPr>
            <w:tcW w:w="2847" w:type="dxa"/>
            <w:vAlign w:val="top"/>
          </w:tcPr>
          <w:p>
            <w:pPr>
              <w:spacing w:line="377" w:lineRule="auto"/>
              <w:rPr>
                <w:rFonts w:ascii="Arial"/>
                <w:sz w:val="21"/>
              </w:rPr>
            </w:pPr>
            <w:r/>
          </w:p>
          <w:p>
            <w:pPr>
              <w:pStyle w:val="TableText"/>
              <w:ind w:left="157"/>
              <w:spacing w:before="69" w:line="219" w:lineRule="auto"/>
              <w:rPr>
                <w:sz w:val="21"/>
                <w:szCs w:val="21"/>
              </w:rPr>
            </w:pPr>
            <w:r>
              <w:rPr>
                <w:sz w:val="21"/>
                <w:szCs w:val="21"/>
                <w:spacing w:val="3"/>
              </w:rPr>
              <w:t>本项目不属于过江通道项目</w:t>
            </w:r>
          </w:p>
        </w:tc>
        <w:tc>
          <w:tcPr>
            <w:tcW w:w="654" w:type="dxa"/>
            <w:vAlign w:val="top"/>
          </w:tcPr>
          <w:p>
            <w:pPr>
              <w:spacing w:line="379" w:lineRule="auto"/>
              <w:rPr>
                <w:rFonts w:ascii="Arial"/>
                <w:sz w:val="21"/>
              </w:rPr>
            </w:pPr>
            <w:r/>
          </w:p>
          <w:p>
            <w:pPr>
              <w:pStyle w:val="TableText"/>
              <w:ind w:left="109"/>
              <w:spacing w:before="68" w:line="219" w:lineRule="auto"/>
              <w:rPr>
                <w:sz w:val="21"/>
                <w:szCs w:val="21"/>
              </w:rPr>
            </w:pPr>
            <w:r>
              <w:rPr>
                <w:sz w:val="21"/>
                <w:szCs w:val="21"/>
                <w:spacing w:val="-3"/>
              </w:rPr>
              <w:t>符合</w:t>
            </w:r>
          </w:p>
        </w:tc>
      </w:tr>
      <w:tr>
        <w:trPr>
          <w:trHeight w:val="1089" w:hRule="atLeast"/>
        </w:trPr>
        <w:tc>
          <w:tcPr>
            <w:tcW w:w="1133" w:type="dxa"/>
            <w:vAlign w:val="top"/>
            <w:vMerge w:val="continue"/>
            <w:tcBorders>
              <w:top w:val="nil"/>
              <w:bottom w:val="nil"/>
            </w:tcBorders>
          </w:tcPr>
          <w:p>
            <w:pPr>
              <w:rPr>
                <w:rFonts w:ascii="Arial"/>
                <w:sz w:val="21"/>
              </w:rPr>
            </w:pPr>
            <w:r/>
          </w:p>
        </w:tc>
        <w:tc>
          <w:tcPr>
            <w:tcW w:w="4425" w:type="dxa"/>
            <w:vAlign w:val="top"/>
          </w:tcPr>
          <w:p>
            <w:pPr>
              <w:pStyle w:val="TableText"/>
              <w:ind w:left="12"/>
              <w:spacing w:before="50" w:line="226" w:lineRule="auto"/>
              <w:jc w:val="both"/>
              <w:rPr>
                <w:sz w:val="21"/>
                <w:szCs w:val="21"/>
              </w:rPr>
            </w:pPr>
            <w:r>
              <w:rPr>
                <w:sz w:val="21"/>
                <w:szCs w:val="21"/>
                <w:spacing w:val="-2"/>
              </w:rPr>
              <w:t>禁止在自然保护区核心区、缓冲区的岸线和河段</w:t>
            </w:r>
            <w:r>
              <w:rPr>
                <w:sz w:val="21"/>
                <w:szCs w:val="21"/>
                <w:spacing w:val="10"/>
              </w:rPr>
              <w:t xml:space="preserve"> </w:t>
            </w:r>
            <w:r>
              <w:rPr>
                <w:sz w:val="21"/>
                <w:szCs w:val="21"/>
                <w:spacing w:val="-1"/>
              </w:rPr>
              <w:t>范围内投资建设旅游和生产经营项目。自然保护</w:t>
            </w:r>
            <w:r>
              <w:rPr>
                <w:sz w:val="21"/>
                <w:szCs w:val="21"/>
                <w:spacing w:val="12"/>
              </w:rPr>
              <w:t xml:space="preserve"> </w:t>
            </w:r>
            <w:r>
              <w:rPr>
                <w:sz w:val="21"/>
                <w:szCs w:val="21"/>
                <w:spacing w:val="-1"/>
              </w:rPr>
              <w:t>区的内部未分区的，依照本实施细则核心区和缓</w:t>
            </w:r>
            <w:r>
              <w:rPr>
                <w:sz w:val="21"/>
                <w:szCs w:val="21"/>
                <w:spacing w:val="5"/>
              </w:rPr>
              <w:t xml:space="preserve"> </w:t>
            </w:r>
            <w:r>
              <w:rPr>
                <w:sz w:val="21"/>
                <w:szCs w:val="21"/>
                <w:spacing w:val="-2"/>
              </w:rPr>
              <w:t>冲区的规定管控。</w:t>
            </w:r>
          </w:p>
        </w:tc>
        <w:tc>
          <w:tcPr>
            <w:tcW w:w="2847" w:type="dxa"/>
            <w:vAlign w:val="top"/>
          </w:tcPr>
          <w:p>
            <w:pPr>
              <w:spacing w:line="370" w:lineRule="auto"/>
              <w:rPr>
                <w:rFonts w:ascii="Arial"/>
                <w:sz w:val="21"/>
              </w:rPr>
            </w:pPr>
            <w:r/>
          </w:p>
          <w:p>
            <w:pPr>
              <w:pStyle w:val="TableText"/>
              <w:ind w:left="157"/>
              <w:spacing w:before="69" w:line="220" w:lineRule="auto"/>
              <w:rPr>
                <w:sz w:val="21"/>
                <w:szCs w:val="21"/>
              </w:rPr>
            </w:pPr>
            <w:r>
              <w:rPr>
                <w:sz w:val="21"/>
                <w:szCs w:val="21"/>
                <w:spacing w:val="1"/>
              </w:rPr>
              <w:t>项目选址不涉及自然保护区</w:t>
            </w:r>
          </w:p>
        </w:tc>
        <w:tc>
          <w:tcPr>
            <w:tcW w:w="654" w:type="dxa"/>
            <w:vAlign w:val="top"/>
          </w:tcPr>
          <w:p>
            <w:pPr>
              <w:spacing w:line="370" w:lineRule="auto"/>
              <w:rPr>
                <w:rFonts w:ascii="Arial"/>
                <w:sz w:val="21"/>
              </w:rPr>
            </w:pPr>
            <w:r/>
          </w:p>
          <w:p>
            <w:pPr>
              <w:pStyle w:val="TableText"/>
              <w:ind w:left="109"/>
              <w:spacing w:before="68" w:line="219" w:lineRule="auto"/>
              <w:rPr>
                <w:sz w:val="21"/>
                <w:szCs w:val="21"/>
              </w:rPr>
            </w:pPr>
            <w:r>
              <w:rPr>
                <w:sz w:val="21"/>
                <w:szCs w:val="21"/>
                <w:spacing w:val="-3"/>
              </w:rPr>
              <w:t>符合</w:t>
            </w:r>
          </w:p>
        </w:tc>
      </w:tr>
      <w:tr>
        <w:trPr>
          <w:trHeight w:val="1070" w:hRule="atLeast"/>
        </w:trPr>
        <w:tc>
          <w:tcPr>
            <w:tcW w:w="1133" w:type="dxa"/>
            <w:vAlign w:val="top"/>
            <w:vMerge w:val="continue"/>
            <w:tcBorders>
              <w:top w:val="nil"/>
              <w:bottom w:val="nil"/>
            </w:tcBorders>
          </w:tcPr>
          <w:p>
            <w:pPr>
              <w:rPr>
                <w:rFonts w:ascii="Arial"/>
                <w:sz w:val="21"/>
              </w:rPr>
            </w:pPr>
            <w:r/>
          </w:p>
        </w:tc>
        <w:tc>
          <w:tcPr>
            <w:tcW w:w="4425" w:type="dxa"/>
            <w:vAlign w:val="top"/>
          </w:tcPr>
          <w:p>
            <w:pPr>
              <w:pStyle w:val="TableText"/>
              <w:ind w:left="12"/>
              <w:spacing w:before="31" w:line="226" w:lineRule="auto"/>
              <w:jc w:val="both"/>
              <w:rPr>
                <w:sz w:val="21"/>
                <w:szCs w:val="21"/>
              </w:rPr>
            </w:pPr>
            <w:r>
              <w:rPr>
                <w:sz w:val="21"/>
                <w:szCs w:val="21"/>
                <w:spacing w:val="-2"/>
              </w:rPr>
              <w:t>禁止违反风景名胜区规划，在风景名胜区内设立</w:t>
            </w:r>
            <w:r>
              <w:rPr>
                <w:sz w:val="21"/>
                <w:szCs w:val="21"/>
                <w:spacing w:val="11"/>
              </w:rPr>
              <w:t xml:space="preserve"> </w:t>
            </w:r>
            <w:r>
              <w:rPr>
                <w:sz w:val="21"/>
                <w:szCs w:val="21"/>
                <w:spacing w:val="-1"/>
              </w:rPr>
              <w:t>各类开发区。禁止在风景名胜区核心景区的岸线</w:t>
            </w:r>
            <w:r>
              <w:rPr>
                <w:sz w:val="21"/>
                <w:szCs w:val="21"/>
                <w:spacing w:val="12"/>
              </w:rPr>
              <w:t xml:space="preserve"> </w:t>
            </w:r>
            <w:r>
              <w:rPr>
                <w:sz w:val="21"/>
                <w:szCs w:val="21"/>
                <w:spacing w:val="-2"/>
              </w:rPr>
              <w:t>和河段范围内建设宾馆、招待所、培训中心、疗</w:t>
            </w:r>
            <w:r>
              <w:rPr>
                <w:sz w:val="21"/>
                <w:szCs w:val="21"/>
                <w:spacing w:val="10"/>
              </w:rPr>
              <w:t xml:space="preserve"> </w:t>
            </w:r>
            <w:r>
              <w:rPr>
                <w:sz w:val="21"/>
                <w:szCs w:val="21"/>
                <w:spacing w:val="-2"/>
              </w:rPr>
              <w:t>养院以及与风景名胜区资源保护无关的项目。</w:t>
            </w:r>
          </w:p>
        </w:tc>
        <w:tc>
          <w:tcPr>
            <w:tcW w:w="2847" w:type="dxa"/>
            <w:vAlign w:val="top"/>
          </w:tcPr>
          <w:p>
            <w:pPr>
              <w:spacing w:line="361" w:lineRule="auto"/>
              <w:rPr>
                <w:rFonts w:ascii="Arial"/>
                <w:sz w:val="21"/>
              </w:rPr>
            </w:pPr>
            <w:r/>
          </w:p>
          <w:p>
            <w:pPr>
              <w:pStyle w:val="TableText"/>
              <w:ind w:left="157"/>
              <w:spacing w:before="68" w:line="219" w:lineRule="auto"/>
              <w:rPr>
                <w:sz w:val="21"/>
                <w:szCs w:val="21"/>
              </w:rPr>
            </w:pPr>
            <w:r>
              <w:rPr>
                <w:sz w:val="21"/>
                <w:szCs w:val="21"/>
                <w:spacing w:val="1"/>
              </w:rPr>
              <w:t>项目选址不涉及风景名胜区</w:t>
            </w:r>
          </w:p>
        </w:tc>
        <w:tc>
          <w:tcPr>
            <w:tcW w:w="654" w:type="dxa"/>
            <w:vAlign w:val="top"/>
          </w:tcPr>
          <w:p>
            <w:pPr>
              <w:spacing w:line="361" w:lineRule="auto"/>
              <w:rPr>
                <w:rFonts w:ascii="Arial"/>
                <w:sz w:val="21"/>
              </w:rPr>
            </w:pPr>
            <w:r/>
          </w:p>
          <w:p>
            <w:pPr>
              <w:pStyle w:val="TableText"/>
              <w:ind w:left="109"/>
              <w:spacing w:before="68" w:line="219" w:lineRule="auto"/>
              <w:rPr>
                <w:sz w:val="21"/>
                <w:szCs w:val="21"/>
              </w:rPr>
            </w:pPr>
            <w:r>
              <w:rPr>
                <w:sz w:val="21"/>
                <w:szCs w:val="21"/>
                <w:spacing w:val="-3"/>
              </w:rPr>
              <w:t>符合</w:t>
            </w:r>
          </w:p>
        </w:tc>
      </w:tr>
      <w:tr>
        <w:trPr>
          <w:trHeight w:val="819" w:hRule="atLeast"/>
        </w:trPr>
        <w:tc>
          <w:tcPr>
            <w:tcW w:w="1133" w:type="dxa"/>
            <w:vAlign w:val="top"/>
            <w:vMerge w:val="continue"/>
            <w:tcBorders>
              <w:top w:val="nil"/>
              <w:bottom w:val="nil"/>
            </w:tcBorders>
          </w:tcPr>
          <w:p>
            <w:pPr>
              <w:rPr>
                <w:rFonts w:ascii="Arial"/>
                <w:sz w:val="21"/>
              </w:rPr>
            </w:pPr>
            <w:r/>
          </w:p>
        </w:tc>
        <w:tc>
          <w:tcPr>
            <w:tcW w:w="4425" w:type="dxa"/>
            <w:vAlign w:val="top"/>
          </w:tcPr>
          <w:p>
            <w:pPr>
              <w:pStyle w:val="TableText"/>
              <w:ind w:left="12"/>
              <w:spacing w:before="51" w:line="222" w:lineRule="auto"/>
              <w:jc w:val="both"/>
              <w:rPr>
                <w:sz w:val="21"/>
                <w:szCs w:val="21"/>
              </w:rPr>
            </w:pPr>
            <w:r>
              <w:rPr>
                <w:sz w:val="21"/>
                <w:szCs w:val="21"/>
                <w:spacing w:val="-1"/>
              </w:rPr>
              <w:t>禁止在饮用水水源准保护区的岸线和河段范围内</w:t>
            </w:r>
            <w:r>
              <w:rPr>
                <w:sz w:val="21"/>
                <w:szCs w:val="21"/>
                <w:spacing w:val="12"/>
              </w:rPr>
              <w:t xml:space="preserve"> </w:t>
            </w:r>
            <w:r>
              <w:rPr>
                <w:sz w:val="21"/>
                <w:szCs w:val="21"/>
                <w:spacing w:val="-3"/>
              </w:rPr>
              <w:t>新建、扩建对水体污染严重的建设项目，禁止改</w:t>
            </w:r>
            <w:r>
              <w:rPr>
                <w:sz w:val="21"/>
                <w:szCs w:val="21"/>
                <w:spacing w:val="17"/>
              </w:rPr>
              <w:t xml:space="preserve"> </w:t>
            </w:r>
            <w:r>
              <w:rPr>
                <w:sz w:val="21"/>
                <w:szCs w:val="21"/>
                <w:spacing w:val="-2"/>
              </w:rPr>
              <w:t>建增加排污量的建设项目。</w:t>
            </w:r>
          </w:p>
        </w:tc>
        <w:tc>
          <w:tcPr>
            <w:tcW w:w="2847" w:type="dxa"/>
            <w:vAlign w:val="top"/>
            <w:vMerge w:val="restart"/>
            <w:tcBorders>
              <w:bottom w:val="nil"/>
            </w:tcBorders>
          </w:tcPr>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366" w:right="34" w:hanging="310"/>
              <w:spacing w:before="68" w:line="248" w:lineRule="auto"/>
              <w:rPr>
                <w:sz w:val="21"/>
                <w:szCs w:val="21"/>
              </w:rPr>
            </w:pPr>
            <w:r>
              <w:rPr>
                <w:sz w:val="21"/>
                <w:szCs w:val="21"/>
                <w:spacing w:val="1"/>
              </w:rPr>
              <w:t>项目选址不在饮用水水源保护 </w:t>
            </w:r>
            <w:r>
              <w:rPr>
                <w:sz w:val="21"/>
                <w:szCs w:val="21"/>
                <w:spacing w:val="2"/>
              </w:rPr>
              <w:t>区的岸线和河段范围内</w:t>
            </w:r>
          </w:p>
        </w:tc>
        <w:tc>
          <w:tcPr>
            <w:tcW w:w="654" w:type="dxa"/>
            <w:vAlign w:val="top"/>
          </w:tcPr>
          <w:p>
            <w:pPr>
              <w:spacing w:line="242" w:lineRule="auto"/>
              <w:rPr>
                <w:rFonts w:ascii="Arial"/>
                <w:sz w:val="21"/>
              </w:rPr>
            </w:pPr>
            <w:r/>
          </w:p>
          <w:p>
            <w:pPr>
              <w:pStyle w:val="TableText"/>
              <w:ind w:left="109"/>
              <w:spacing w:before="68" w:line="219" w:lineRule="auto"/>
              <w:rPr>
                <w:sz w:val="21"/>
                <w:szCs w:val="21"/>
              </w:rPr>
            </w:pPr>
            <w:r>
              <w:rPr>
                <w:sz w:val="21"/>
                <w:szCs w:val="21"/>
                <w:spacing w:val="-3"/>
              </w:rPr>
              <w:t>符合</w:t>
            </w:r>
          </w:p>
        </w:tc>
      </w:tr>
      <w:tr>
        <w:trPr>
          <w:trHeight w:val="1099" w:hRule="atLeast"/>
        </w:trPr>
        <w:tc>
          <w:tcPr>
            <w:tcW w:w="1133" w:type="dxa"/>
            <w:vAlign w:val="top"/>
            <w:vMerge w:val="continue"/>
            <w:tcBorders>
              <w:top w:val="nil"/>
              <w:bottom w:val="nil"/>
            </w:tcBorders>
          </w:tcPr>
          <w:p>
            <w:pPr>
              <w:rPr>
                <w:rFonts w:ascii="Arial"/>
                <w:sz w:val="21"/>
              </w:rPr>
            </w:pPr>
            <w:r/>
          </w:p>
        </w:tc>
        <w:tc>
          <w:tcPr>
            <w:tcW w:w="4425" w:type="dxa"/>
            <w:vAlign w:val="top"/>
          </w:tcPr>
          <w:p>
            <w:pPr>
              <w:pStyle w:val="TableText"/>
              <w:ind w:left="12" w:right="1"/>
              <w:spacing w:before="53" w:line="237" w:lineRule="auto"/>
              <w:rPr>
                <w:sz w:val="21"/>
                <w:szCs w:val="21"/>
              </w:rPr>
            </w:pPr>
            <w:r>
              <w:rPr>
                <w:sz w:val="21"/>
                <w:szCs w:val="21"/>
                <w:spacing w:val="-1"/>
              </w:rPr>
              <w:t>饮用水水源二级保护区的岸线和河段范围内，除</w:t>
            </w:r>
            <w:r>
              <w:rPr>
                <w:sz w:val="21"/>
                <w:szCs w:val="21"/>
                <w:spacing w:val="11"/>
              </w:rPr>
              <w:t xml:space="preserve"> </w:t>
            </w:r>
            <w:r>
              <w:rPr>
                <w:sz w:val="21"/>
                <w:szCs w:val="21"/>
                <w:spacing w:val="-1"/>
              </w:rPr>
              <w:t>应遵守准保护区规定外，禁止新建、改建、扩建</w:t>
            </w:r>
            <w:r>
              <w:rPr>
                <w:sz w:val="21"/>
                <w:szCs w:val="21"/>
                <w:spacing w:val="11"/>
              </w:rPr>
              <w:t xml:space="preserve"> </w:t>
            </w:r>
            <w:r>
              <w:rPr>
                <w:sz w:val="21"/>
                <w:szCs w:val="21"/>
                <w:spacing w:val="-1"/>
              </w:rPr>
              <w:t>排放污染物的投资建设项目；禁止从事采石</w:t>
            </w:r>
          </w:p>
          <w:p>
            <w:pPr>
              <w:pStyle w:val="TableText"/>
              <w:ind w:left="61"/>
              <w:spacing w:line="199" w:lineRule="auto"/>
              <w:rPr>
                <w:sz w:val="21"/>
                <w:szCs w:val="21"/>
              </w:rPr>
            </w:pPr>
            <w:r>
              <w:rPr>
                <w:sz w:val="21"/>
                <w:szCs w:val="21"/>
                <w:spacing w:val="-1"/>
              </w:rPr>
              <w:t>(砂)、对水体有污染的水产养殖等活动。</w:t>
            </w:r>
          </w:p>
        </w:tc>
        <w:tc>
          <w:tcPr>
            <w:tcW w:w="2847" w:type="dxa"/>
            <w:vAlign w:val="top"/>
            <w:vMerge w:val="continue"/>
            <w:tcBorders>
              <w:top w:val="nil"/>
              <w:bottom w:val="nil"/>
            </w:tcBorders>
          </w:tcPr>
          <w:p>
            <w:pPr>
              <w:rPr>
                <w:rFonts w:ascii="Arial"/>
                <w:sz w:val="21"/>
              </w:rPr>
            </w:pPr>
            <w:r/>
          </w:p>
        </w:tc>
        <w:tc>
          <w:tcPr>
            <w:tcW w:w="654" w:type="dxa"/>
            <w:vAlign w:val="top"/>
          </w:tcPr>
          <w:p>
            <w:pPr>
              <w:spacing w:line="382" w:lineRule="auto"/>
              <w:rPr>
                <w:rFonts w:ascii="Arial"/>
                <w:sz w:val="21"/>
              </w:rPr>
            </w:pPr>
            <w:r/>
          </w:p>
          <w:p>
            <w:pPr>
              <w:pStyle w:val="TableText"/>
              <w:ind w:left="109"/>
              <w:spacing w:before="68" w:line="219" w:lineRule="auto"/>
              <w:rPr>
                <w:sz w:val="21"/>
                <w:szCs w:val="21"/>
              </w:rPr>
            </w:pPr>
            <w:r>
              <w:rPr>
                <w:sz w:val="21"/>
                <w:szCs w:val="21"/>
                <w:spacing w:val="-3"/>
              </w:rPr>
              <w:t>符合</w:t>
            </w:r>
          </w:p>
        </w:tc>
      </w:tr>
      <w:tr>
        <w:trPr>
          <w:trHeight w:val="1369" w:hRule="atLeast"/>
        </w:trPr>
        <w:tc>
          <w:tcPr>
            <w:tcW w:w="1133" w:type="dxa"/>
            <w:vAlign w:val="top"/>
            <w:vMerge w:val="continue"/>
            <w:tcBorders>
              <w:top w:val="nil"/>
              <w:bottom w:val="nil"/>
            </w:tcBorders>
          </w:tcPr>
          <w:p>
            <w:pPr>
              <w:rPr>
                <w:rFonts w:ascii="Arial"/>
                <w:sz w:val="21"/>
              </w:rPr>
            </w:pPr>
            <w:r/>
          </w:p>
        </w:tc>
        <w:tc>
          <w:tcPr>
            <w:tcW w:w="4425" w:type="dxa"/>
            <w:vAlign w:val="top"/>
          </w:tcPr>
          <w:p>
            <w:pPr>
              <w:pStyle w:val="TableText"/>
              <w:ind w:left="12"/>
              <w:spacing w:before="50" w:line="230" w:lineRule="auto"/>
              <w:jc w:val="both"/>
              <w:rPr>
                <w:sz w:val="21"/>
                <w:szCs w:val="21"/>
              </w:rPr>
            </w:pPr>
            <w:r>
              <w:rPr>
                <w:sz w:val="21"/>
                <w:szCs w:val="21"/>
                <w:spacing w:val="-1"/>
              </w:rPr>
              <w:t>饮用水水源一级保护区的岸线和河段范围内，除</w:t>
            </w:r>
            <w:r>
              <w:rPr>
                <w:sz w:val="21"/>
                <w:szCs w:val="21"/>
                <w:spacing w:val="11"/>
              </w:rPr>
              <w:t xml:space="preserve"> </w:t>
            </w:r>
            <w:r>
              <w:rPr>
                <w:sz w:val="21"/>
                <w:szCs w:val="21"/>
                <w:spacing w:val="-1"/>
              </w:rPr>
              <w:t>应遵守二级保护区规定外，禁止新建、改建、扩</w:t>
            </w:r>
            <w:r>
              <w:rPr>
                <w:sz w:val="21"/>
                <w:szCs w:val="21"/>
                <w:spacing w:val="11"/>
              </w:rPr>
              <w:t xml:space="preserve"> </w:t>
            </w:r>
            <w:r>
              <w:rPr>
                <w:sz w:val="21"/>
                <w:szCs w:val="21"/>
                <w:spacing w:val="5"/>
              </w:rPr>
              <w:t>建与供(取)水设施和保护水源无关的项目，以</w:t>
            </w:r>
            <w:r>
              <w:rPr>
                <w:sz w:val="21"/>
                <w:szCs w:val="21"/>
                <w:spacing w:val="1"/>
              </w:rPr>
              <w:t xml:space="preserve">  </w:t>
            </w:r>
            <w:r>
              <w:rPr>
                <w:sz w:val="21"/>
                <w:szCs w:val="21"/>
                <w:spacing w:val="-1"/>
              </w:rPr>
              <w:t>及网箱养殖、畜禽养殖、旅游等可能污染饮用水</w:t>
            </w:r>
            <w:r>
              <w:rPr>
                <w:sz w:val="21"/>
                <w:szCs w:val="21"/>
                <w:spacing w:val="12"/>
              </w:rPr>
              <w:t xml:space="preserve"> </w:t>
            </w:r>
            <w:r>
              <w:rPr>
                <w:sz w:val="21"/>
                <w:szCs w:val="21"/>
                <w:spacing w:val="-1"/>
              </w:rPr>
              <w:t>水体的投资建设项目。</w:t>
            </w:r>
          </w:p>
        </w:tc>
        <w:tc>
          <w:tcPr>
            <w:tcW w:w="2847" w:type="dxa"/>
            <w:vAlign w:val="top"/>
            <w:vMerge w:val="continue"/>
            <w:tcBorders>
              <w:top w:val="nil"/>
            </w:tcBorders>
          </w:tcPr>
          <w:p>
            <w:pPr>
              <w:rPr>
                <w:rFonts w:ascii="Arial"/>
                <w:sz w:val="21"/>
              </w:rPr>
            </w:pPr>
            <w:r/>
          </w:p>
        </w:tc>
        <w:tc>
          <w:tcPr>
            <w:tcW w:w="654" w:type="dxa"/>
            <w:vAlign w:val="top"/>
          </w:tcPr>
          <w:p>
            <w:pPr>
              <w:spacing w:line="256" w:lineRule="auto"/>
              <w:rPr>
                <w:rFonts w:ascii="Arial"/>
                <w:sz w:val="21"/>
              </w:rPr>
            </w:pPr>
            <w:r/>
          </w:p>
          <w:p>
            <w:pPr>
              <w:spacing w:line="256" w:lineRule="auto"/>
              <w:rPr>
                <w:rFonts w:ascii="Arial"/>
                <w:sz w:val="21"/>
              </w:rPr>
            </w:pPr>
            <w:r/>
          </w:p>
          <w:p>
            <w:pPr>
              <w:pStyle w:val="TableText"/>
              <w:ind w:left="109"/>
              <w:spacing w:before="68" w:line="219" w:lineRule="auto"/>
              <w:rPr>
                <w:sz w:val="21"/>
                <w:szCs w:val="21"/>
              </w:rPr>
            </w:pPr>
            <w:r>
              <w:rPr>
                <w:sz w:val="21"/>
                <w:szCs w:val="21"/>
                <w:spacing w:val="-3"/>
              </w:rPr>
              <w:t>符合</w:t>
            </w:r>
          </w:p>
        </w:tc>
      </w:tr>
      <w:tr>
        <w:trPr>
          <w:trHeight w:val="819" w:hRule="atLeast"/>
        </w:trPr>
        <w:tc>
          <w:tcPr>
            <w:tcW w:w="1133" w:type="dxa"/>
            <w:vAlign w:val="top"/>
            <w:vMerge w:val="continue"/>
            <w:tcBorders>
              <w:top w:val="nil"/>
              <w:bottom w:val="nil"/>
            </w:tcBorders>
          </w:tcPr>
          <w:p>
            <w:pPr>
              <w:rPr>
                <w:rFonts w:ascii="Arial"/>
                <w:sz w:val="21"/>
              </w:rPr>
            </w:pPr>
            <w:r/>
          </w:p>
        </w:tc>
        <w:tc>
          <w:tcPr>
            <w:tcW w:w="4425" w:type="dxa"/>
            <w:vAlign w:val="top"/>
          </w:tcPr>
          <w:p>
            <w:pPr>
              <w:pStyle w:val="TableText"/>
              <w:ind w:left="12"/>
              <w:spacing w:before="34" w:line="227" w:lineRule="auto"/>
              <w:jc w:val="both"/>
              <w:rPr>
                <w:sz w:val="21"/>
                <w:szCs w:val="21"/>
              </w:rPr>
            </w:pPr>
            <w:r>
              <w:rPr>
                <w:sz w:val="21"/>
                <w:szCs w:val="21"/>
                <w:spacing w:val="-2"/>
              </w:rPr>
              <w:t>禁止在水产种质资源保护区岸线和河段范围内新</w:t>
            </w:r>
            <w:r>
              <w:rPr>
                <w:sz w:val="21"/>
                <w:szCs w:val="21"/>
                <w:spacing w:val="12"/>
              </w:rPr>
              <w:t xml:space="preserve"> </w:t>
            </w:r>
            <w:r>
              <w:rPr>
                <w:sz w:val="21"/>
                <w:szCs w:val="21"/>
                <w:spacing w:val="-1"/>
              </w:rPr>
              <w:t>建围湖造田、围湖造地或挖沙采石等投资建设项</w:t>
            </w:r>
            <w:r>
              <w:rPr>
                <w:sz w:val="21"/>
                <w:szCs w:val="21"/>
                <w:spacing w:val="12"/>
              </w:rPr>
              <w:t xml:space="preserve"> </w:t>
            </w:r>
            <w:r>
              <w:rPr>
                <w:sz w:val="21"/>
                <w:szCs w:val="21"/>
                <w:spacing w:val="-25"/>
              </w:rPr>
              <w:t>目</w:t>
            </w:r>
            <w:r>
              <w:rPr>
                <w:sz w:val="21"/>
                <w:szCs w:val="21"/>
                <w:spacing w:val="-32"/>
              </w:rPr>
              <w:t xml:space="preserve"> </w:t>
            </w:r>
            <w:r>
              <w:rPr>
                <w:sz w:val="21"/>
                <w:szCs w:val="21"/>
                <w:spacing w:val="-25"/>
              </w:rPr>
              <w:t>。</w:t>
            </w:r>
          </w:p>
        </w:tc>
        <w:tc>
          <w:tcPr>
            <w:tcW w:w="2847" w:type="dxa"/>
            <w:vAlign w:val="top"/>
          </w:tcPr>
          <w:p>
            <w:pPr>
              <w:pStyle w:val="TableText"/>
              <w:ind w:left="575" w:right="61" w:hanging="519"/>
              <w:spacing w:before="185" w:line="229" w:lineRule="auto"/>
              <w:rPr>
                <w:sz w:val="21"/>
                <w:szCs w:val="21"/>
              </w:rPr>
            </w:pPr>
            <w:r>
              <w:rPr>
                <w:sz w:val="21"/>
                <w:szCs w:val="21"/>
                <w:spacing w:val="-1"/>
              </w:rPr>
              <w:t>项目不涉及围湖造田、围湖造</w:t>
            </w:r>
            <w:r>
              <w:rPr>
                <w:sz w:val="21"/>
                <w:szCs w:val="21"/>
              </w:rPr>
              <w:t xml:space="preserve"> </w:t>
            </w:r>
            <w:r>
              <w:rPr>
                <w:sz w:val="21"/>
                <w:szCs w:val="21"/>
                <w:spacing w:val="1"/>
              </w:rPr>
              <w:t>地、挖沙采石活动</w:t>
            </w:r>
          </w:p>
        </w:tc>
        <w:tc>
          <w:tcPr>
            <w:tcW w:w="654" w:type="dxa"/>
            <w:vAlign w:val="top"/>
          </w:tcPr>
          <w:p>
            <w:pPr>
              <w:spacing w:line="245" w:lineRule="auto"/>
              <w:rPr>
                <w:rFonts w:ascii="Arial"/>
                <w:sz w:val="21"/>
              </w:rPr>
            </w:pPr>
            <w:r/>
          </w:p>
          <w:p>
            <w:pPr>
              <w:pStyle w:val="TableText"/>
              <w:ind w:left="109"/>
              <w:spacing w:before="68" w:line="219" w:lineRule="auto"/>
              <w:rPr>
                <w:sz w:val="21"/>
                <w:szCs w:val="21"/>
              </w:rPr>
            </w:pPr>
            <w:r>
              <w:rPr>
                <w:sz w:val="21"/>
                <w:szCs w:val="21"/>
                <w:spacing w:val="-3"/>
              </w:rPr>
              <w:t>符合</w:t>
            </w:r>
          </w:p>
        </w:tc>
      </w:tr>
      <w:tr>
        <w:trPr>
          <w:trHeight w:val="1899" w:hRule="atLeast"/>
        </w:trPr>
        <w:tc>
          <w:tcPr>
            <w:tcW w:w="1133" w:type="dxa"/>
            <w:vAlign w:val="top"/>
            <w:vMerge w:val="continue"/>
            <w:tcBorders>
              <w:top w:val="nil"/>
              <w:bottom w:val="nil"/>
            </w:tcBorders>
          </w:tcPr>
          <w:p>
            <w:pPr>
              <w:rPr>
                <w:rFonts w:ascii="Arial"/>
                <w:sz w:val="21"/>
              </w:rPr>
            </w:pPr>
            <w:r/>
          </w:p>
        </w:tc>
        <w:tc>
          <w:tcPr>
            <w:tcW w:w="4425" w:type="dxa"/>
            <w:vAlign w:val="top"/>
          </w:tcPr>
          <w:p>
            <w:pPr>
              <w:pStyle w:val="TableText"/>
              <w:ind w:left="12"/>
              <w:spacing w:before="35" w:line="219" w:lineRule="auto"/>
              <w:rPr>
                <w:sz w:val="21"/>
                <w:szCs w:val="21"/>
              </w:rPr>
            </w:pPr>
            <w:r>
              <w:rPr>
                <w:sz w:val="21"/>
                <w:szCs w:val="21"/>
                <w:spacing w:val="-1"/>
              </w:rPr>
              <w:t>禁止在国家湿地公园的岸线和河段范围内开</w:t>
            </w:r>
          </w:p>
          <w:p>
            <w:pPr>
              <w:pStyle w:val="TableText"/>
              <w:ind w:left="22"/>
              <w:spacing w:before="19" w:line="219" w:lineRule="auto"/>
              <w:rPr>
                <w:sz w:val="21"/>
                <w:szCs w:val="21"/>
              </w:rPr>
            </w:pPr>
            <w:r>
              <w:rPr>
                <w:sz w:val="21"/>
                <w:szCs w:val="21"/>
                <w:spacing w:val="-1"/>
              </w:rPr>
              <w:t>(围)垦、填埋或者排干湿地，截断湿地水源，</w:t>
            </w:r>
          </w:p>
          <w:p>
            <w:pPr>
              <w:pStyle w:val="TableText"/>
              <w:ind w:left="12" w:firstLine="89"/>
              <w:spacing w:before="21" w:line="231" w:lineRule="auto"/>
              <w:rPr>
                <w:sz w:val="21"/>
                <w:szCs w:val="21"/>
              </w:rPr>
            </w:pPr>
            <w:r>
              <w:rPr>
                <w:sz w:val="21"/>
                <w:szCs w:val="21"/>
                <w:spacing w:val="-2"/>
              </w:rPr>
              <w:t>挖沙、采矿，倾倒有毒有害物质、废弃物、垃</w:t>
            </w:r>
            <w:r>
              <w:rPr>
                <w:sz w:val="21"/>
                <w:szCs w:val="21"/>
                <w:spacing w:val="7"/>
              </w:rPr>
              <w:t xml:space="preserve">  </w:t>
            </w:r>
            <w:r>
              <w:rPr>
                <w:sz w:val="21"/>
                <w:szCs w:val="21"/>
                <w:spacing w:val="-2"/>
              </w:rPr>
              <w:t>圾，从事房地产、度假村、高尔夫球场、风力发</w:t>
            </w:r>
            <w:r>
              <w:rPr>
                <w:sz w:val="21"/>
                <w:szCs w:val="21"/>
                <w:spacing w:val="15"/>
              </w:rPr>
              <w:t xml:space="preserve"> </w:t>
            </w:r>
            <w:r>
              <w:rPr>
                <w:sz w:val="21"/>
                <w:szCs w:val="21"/>
                <w:spacing w:val="-1"/>
              </w:rPr>
              <w:t>电、光伏发电等任何不符合主体功能定位的建设</w:t>
            </w:r>
            <w:r>
              <w:rPr>
                <w:sz w:val="21"/>
                <w:szCs w:val="21"/>
                <w:spacing w:val="12"/>
              </w:rPr>
              <w:t xml:space="preserve"> </w:t>
            </w:r>
            <w:r>
              <w:rPr>
                <w:sz w:val="21"/>
                <w:szCs w:val="21"/>
                <w:spacing w:val="-2"/>
              </w:rPr>
              <w:t>项目和开发活动，破坏野生动物栖息地和迁徙通</w:t>
            </w:r>
            <w:r>
              <w:rPr>
                <w:sz w:val="21"/>
                <w:szCs w:val="21"/>
                <w:spacing w:val="12"/>
              </w:rPr>
              <w:t xml:space="preserve"> </w:t>
            </w:r>
            <w:r>
              <w:rPr>
                <w:sz w:val="21"/>
                <w:szCs w:val="21"/>
                <w:spacing w:val="-2"/>
              </w:rPr>
              <w:t>道、鱼类洄游通道。</w:t>
            </w:r>
          </w:p>
        </w:tc>
        <w:tc>
          <w:tcPr>
            <w:tcW w:w="2847" w:type="dxa"/>
            <w:vAlign w:val="top"/>
          </w:tcPr>
          <w:p>
            <w:pPr>
              <w:spacing w:line="322" w:lineRule="auto"/>
              <w:rPr>
                <w:rFonts w:ascii="Arial"/>
                <w:sz w:val="21"/>
              </w:rPr>
            </w:pPr>
            <w:r/>
          </w:p>
          <w:p>
            <w:pPr>
              <w:spacing w:line="322" w:lineRule="auto"/>
              <w:rPr>
                <w:rFonts w:ascii="Arial"/>
                <w:sz w:val="21"/>
              </w:rPr>
            </w:pPr>
            <w:r/>
          </w:p>
          <w:p>
            <w:pPr>
              <w:pStyle w:val="TableText"/>
              <w:ind w:left="996" w:right="61" w:hanging="940"/>
              <w:spacing w:before="69" w:line="247" w:lineRule="auto"/>
              <w:rPr>
                <w:sz w:val="21"/>
                <w:szCs w:val="21"/>
              </w:rPr>
            </w:pPr>
            <w:r>
              <w:rPr>
                <w:sz w:val="21"/>
                <w:szCs w:val="21"/>
                <w:spacing w:val="-1"/>
              </w:rPr>
              <w:t>项目选址不在国家湿地公园保</w:t>
            </w:r>
            <w:r>
              <w:rPr>
                <w:sz w:val="21"/>
                <w:szCs w:val="21"/>
              </w:rPr>
              <w:t xml:space="preserve"> </w:t>
            </w:r>
            <w:r>
              <w:rPr>
                <w:sz w:val="21"/>
                <w:szCs w:val="21"/>
                <w:spacing w:val="7"/>
              </w:rPr>
              <w:t>护范围内</w:t>
            </w:r>
          </w:p>
        </w:tc>
        <w:tc>
          <w:tcPr>
            <w:tcW w:w="654" w:type="dxa"/>
            <w:vAlign w:val="top"/>
          </w:tcPr>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109"/>
              <w:spacing w:before="68" w:line="219" w:lineRule="auto"/>
              <w:rPr>
                <w:sz w:val="21"/>
                <w:szCs w:val="21"/>
              </w:rPr>
            </w:pPr>
            <w:r>
              <w:rPr>
                <w:sz w:val="21"/>
                <w:szCs w:val="21"/>
                <w:spacing w:val="-3"/>
              </w:rPr>
              <w:t>符合</w:t>
            </w:r>
          </w:p>
        </w:tc>
      </w:tr>
      <w:tr>
        <w:trPr>
          <w:trHeight w:val="1619" w:hRule="atLeast"/>
        </w:trPr>
        <w:tc>
          <w:tcPr>
            <w:tcW w:w="1133" w:type="dxa"/>
            <w:vAlign w:val="top"/>
            <w:vMerge w:val="continue"/>
            <w:tcBorders>
              <w:top w:val="nil"/>
              <w:bottom w:val="nil"/>
            </w:tcBorders>
          </w:tcPr>
          <w:p>
            <w:pPr>
              <w:rPr>
                <w:rFonts w:ascii="Arial"/>
                <w:sz w:val="21"/>
              </w:rPr>
            </w:pPr>
            <w:r/>
          </w:p>
        </w:tc>
        <w:tc>
          <w:tcPr>
            <w:tcW w:w="4425" w:type="dxa"/>
            <w:vAlign w:val="top"/>
          </w:tcPr>
          <w:p>
            <w:pPr>
              <w:pStyle w:val="TableText"/>
              <w:ind w:firstLine="64"/>
              <w:spacing w:before="46" w:line="229" w:lineRule="auto"/>
              <w:jc w:val="both"/>
              <w:rPr>
                <w:sz w:val="21"/>
                <w:szCs w:val="21"/>
              </w:rPr>
            </w:pPr>
            <w:r>
              <w:rPr>
                <w:sz w:val="21"/>
                <w:szCs w:val="21"/>
                <w:spacing w:val="-4"/>
              </w:rPr>
              <w:t>禁止违法利用、占用长江流域河湖岸线。禁止在</w:t>
            </w:r>
            <w:r>
              <w:rPr>
                <w:sz w:val="21"/>
                <w:szCs w:val="21"/>
                <w:spacing w:val="3"/>
              </w:rPr>
              <w:t xml:space="preserve"> </w:t>
            </w:r>
            <w:r>
              <w:rPr>
                <w:sz w:val="21"/>
                <w:szCs w:val="21"/>
                <w:spacing w:val="-5"/>
              </w:rPr>
              <w:t>《长江岸线保护和开发利用总体规划》划定的岸</w:t>
            </w:r>
            <w:r>
              <w:rPr>
                <w:sz w:val="21"/>
                <w:szCs w:val="21"/>
                <w:spacing w:val="4"/>
              </w:rPr>
              <w:t xml:space="preserve">  </w:t>
            </w:r>
            <w:r>
              <w:rPr>
                <w:sz w:val="21"/>
                <w:szCs w:val="21"/>
              </w:rPr>
              <w:t>线保护区和岸线保留区内投资建设除事关公共安</w:t>
            </w:r>
            <w:r>
              <w:rPr>
                <w:sz w:val="21"/>
                <w:szCs w:val="21"/>
                <w:spacing w:val="3"/>
              </w:rPr>
              <w:t xml:space="preserve"> </w:t>
            </w:r>
            <w:r>
              <w:rPr>
                <w:sz w:val="21"/>
                <w:szCs w:val="21"/>
                <w:spacing w:val="-1"/>
              </w:rPr>
              <w:t>全及公众利益的防洪护岸、河道治理、供水、生</w:t>
            </w:r>
            <w:r>
              <w:rPr>
                <w:sz w:val="21"/>
                <w:szCs w:val="21"/>
                <w:spacing w:val="4"/>
              </w:rPr>
              <w:t xml:space="preserve"> </w:t>
            </w:r>
            <w:r>
              <w:rPr>
                <w:sz w:val="21"/>
                <w:szCs w:val="21"/>
              </w:rPr>
              <w:t>态环境保护、航道整治、国家重要基础设施以外</w:t>
            </w:r>
            <w:r>
              <w:rPr>
                <w:sz w:val="21"/>
                <w:szCs w:val="21"/>
                <w:spacing w:val="3"/>
              </w:rPr>
              <w:t xml:space="preserve"> </w:t>
            </w:r>
            <w:r>
              <w:rPr>
                <w:sz w:val="21"/>
                <w:szCs w:val="21"/>
                <w:spacing w:val="11"/>
              </w:rPr>
              <w:t>的项目。</w:t>
            </w:r>
          </w:p>
        </w:tc>
        <w:tc>
          <w:tcPr>
            <w:tcW w:w="2847" w:type="dxa"/>
            <w:vAlign w:val="top"/>
          </w:tcPr>
          <w:p>
            <w:pPr>
              <w:spacing w:line="263" w:lineRule="auto"/>
              <w:rPr>
                <w:rFonts w:ascii="Arial"/>
                <w:sz w:val="21"/>
              </w:rPr>
            </w:pPr>
            <w:r/>
          </w:p>
          <w:p>
            <w:pPr>
              <w:spacing w:line="263" w:lineRule="auto"/>
              <w:rPr>
                <w:rFonts w:ascii="Arial"/>
                <w:sz w:val="21"/>
              </w:rPr>
            </w:pPr>
            <w:r/>
          </w:p>
          <w:p>
            <w:pPr>
              <w:pStyle w:val="TableText"/>
              <w:ind w:left="1315" w:right="32" w:hanging="1259"/>
              <w:spacing w:before="68" w:line="221" w:lineRule="auto"/>
              <w:rPr>
                <w:sz w:val="21"/>
                <w:szCs w:val="21"/>
              </w:rPr>
            </w:pPr>
            <w:r>
              <w:rPr>
                <w:sz w:val="21"/>
                <w:szCs w:val="21"/>
                <w:spacing w:val="1"/>
              </w:rPr>
              <w:t>项目选址不在长江岸线保护区</w:t>
            </w:r>
            <w:r>
              <w:rPr>
                <w:sz w:val="21"/>
                <w:szCs w:val="21"/>
                <w:spacing w:val="3"/>
              </w:rPr>
              <w:t xml:space="preserve"> </w:t>
            </w:r>
            <w:r>
              <w:rPr>
                <w:sz w:val="21"/>
                <w:szCs w:val="21"/>
              </w:rPr>
              <w:t>内</w:t>
            </w:r>
          </w:p>
        </w:tc>
        <w:tc>
          <w:tcPr>
            <w:tcW w:w="654" w:type="dxa"/>
            <w:vAlign w:val="top"/>
          </w:tcPr>
          <w:p>
            <w:pPr>
              <w:spacing w:line="322" w:lineRule="auto"/>
              <w:rPr>
                <w:rFonts w:ascii="Arial"/>
                <w:sz w:val="21"/>
              </w:rPr>
            </w:pPr>
            <w:r/>
          </w:p>
          <w:p>
            <w:pPr>
              <w:spacing w:line="322" w:lineRule="auto"/>
              <w:rPr>
                <w:rFonts w:ascii="Arial"/>
                <w:sz w:val="21"/>
              </w:rPr>
            </w:pPr>
            <w:r/>
          </w:p>
          <w:p>
            <w:pPr>
              <w:pStyle w:val="TableText"/>
              <w:ind w:left="109"/>
              <w:spacing w:before="68" w:line="219" w:lineRule="auto"/>
              <w:rPr>
                <w:sz w:val="21"/>
                <w:szCs w:val="21"/>
              </w:rPr>
            </w:pPr>
            <w:r>
              <w:rPr>
                <w:sz w:val="21"/>
                <w:szCs w:val="21"/>
                <w:spacing w:val="-3"/>
              </w:rPr>
              <w:t>符合</w:t>
            </w:r>
          </w:p>
        </w:tc>
      </w:tr>
      <w:tr>
        <w:trPr>
          <w:trHeight w:val="819" w:hRule="atLeast"/>
        </w:trPr>
        <w:tc>
          <w:tcPr>
            <w:tcW w:w="1133" w:type="dxa"/>
            <w:vAlign w:val="top"/>
            <w:vMerge w:val="continue"/>
            <w:tcBorders>
              <w:top w:val="nil"/>
              <w:bottom w:val="nil"/>
            </w:tcBorders>
          </w:tcPr>
          <w:p>
            <w:pPr>
              <w:rPr>
                <w:rFonts w:ascii="Arial"/>
                <w:sz w:val="21"/>
              </w:rPr>
            </w:pPr>
            <w:r/>
          </w:p>
        </w:tc>
        <w:tc>
          <w:tcPr>
            <w:tcW w:w="4425" w:type="dxa"/>
            <w:vAlign w:val="top"/>
          </w:tcPr>
          <w:p>
            <w:pPr>
              <w:pStyle w:val="TableText"/>
              <w:ind w:left="12"/>
              <w:spacing w:before="48" w:line="223" w:lineRule="auto"/>
              <w:jc w:val="both"/>
              <w:rPr>
                <w:sz w:val="21"/>
                <w:szCs w:val="21"/>
              </w:rPr>
            </w:pPr>
            <w:r>
              <w:rPr>
                <w:sz w:val="21"/>
                <w:szCs w:val="21"/>
                <w:spacing w:val="-1"/>
              </w:rPr>
              <w:t>禁止在《全国重要江河湖泊水功能区划》划定的</w:t>
            </w:r>
            <w:r>
              <w:rPr>
                <w:sz w:val="21"/>
                <w:szCs w:val="21"/>
                <w:spacing w:val="12"/>
              </w:rPr>
              <w:t xml:space="preserve"> </w:t>
            </w:r>
            <w:r>
              <w:rPr>
                <w:sz w:val="21"/>
                <w:szCs w:val="21"/>
                <w:spacing w:val="-2"/>
              </w:rPr>
              <w:t>河段保护区、保留区内投资建设不利于水资源及</w:t>
            </w:r>
            <w:r>
              <w:rPr>
                <w:sz w:val="21"/>
                <w:szCs w:val="21"/>
                <w:spacing w:val="10"/>
              </w:rPr>
              <w:t xml:space="preserve"> </w:t>
            </w:r>
            <w:r>
              <w:rPr>
                <w:sz w:val="21"/>
                <w:szCs w:val="21"/>
                <w:spacing w:val="-2"/>
              </w:rPr>
              <w:t>自然生态保护的项目。</w:t>
            </w:r>
          </w:p>
        </w:tc>
        <w:tc>
          <w:tcPr>
            <w:tcW w:w="2847" w:type="dxa"/>
            <w:vAlign w:val="top"/>
          </w:tcPr>
          <w:p>
            <w:pPr>
              <w:pStyle w:val="TableText"/>
              <w:ind w:left="56"/>
              <w:spacing w:before="48" w:line="220" w:lineRule="auto"/>
              <w:rPr>
                <w:sz w:val="21"/>
                <w:szCs w:val="21"/>
              </w:rPr>
            </w:pPr>
            <w:r>
              <w:rPr>
                <w:sz w:val="21"/>
                <w:szCs w:val="21"/>
              </w:rPr>
              <w:t>项目选址不在《全国重要江河</w:t>
            </w:r>
          </w:p>
          <w:p>
            <w:pPr>
              <w:pStyle w:val="TableText"/>
              <w:ind w:left="56"/>
              <w:spacing w:before="19" w:line="219" w:lineRule="auto"/>
              <w:rPr>
                <w:sz w:val="21"/>
                <w:szCs w:val="21"/>
              </w:rPr>
            </w:pPr>
            <w:r>
              <w:rPr>
                <w:sz w:val="21"/>
                <w:szCs w:val="21"/>
                <w:spacing w:val="-1"/>
              </w:rPr>
              <w:t>湖泊水功能区划》保护区、保</w:t>
            </w:r>
          </w:p>
          <w:p>
            <w:pPr>
              <w:pStyle w:val="TableText"/>
              <w:ind w:left="1207"/>
              <w:spacing w:line="212" w:lineRule="auto"/>
              <w:rPr>
                <w:sz w:val="21"/>
                <w:szCs w:val="21"/>
              </w:rPr>
            </w:pPr>
            <w:r>
              <w:rPr>
                <w:sz w:val="21"/>
                <w:szCs w:val="21"/>
                <w:spacing w:val="9"/>
              </w:rPr>
              <w:t>留区</w:t>
            </w:r>
          </w:p>
        </w:tc>
        <w:tc>
          <w:tcPr>
            <w:tcW w:w="654" w:type="dxa"/>
            <w:vAlign w:val="top"/>
          </w:tcPr>
          <w:p>
            <w:pPr>
              <w:spacing w:line="248" w:lineRule="auto"/>
              <w:rPr>
                <w:rFonts w:ascii="Arial"/>
                <w:sz w:val="21"/>
              </w:rPr>
            </w:pPr>
            <w:r/>
          </w:p>
          <w:p>
            <w:pPr>
              <w:pStyle w:val="TableText"/>
              <w:ind w:left="109"/>
              <w:spacing w:before="68" w:line="219" w:lineRule="auto"/>
              <w:rPr>
                <w:sz w:val="21"/>
                <w:szCs w:val="21"/>
              </w:rPr>
            </w:pPr>
            <w:r>
              <w:rPr>
                <w:sz w:val="21"/>
                <w:szCs w:val="21"/>
                <w:spacing w:val="-3"/>
              </w:rPr>
              <w:t>符合</w:t>
            </w:r>
          </w:p>
        </w:tc>
      </w:tr>
      <w:tr>
        <w:trPr>
          <w:trHeight w:val="575" w:hRule="atLeast"/>
        </w:trPr>
        <w:tc>
          <w:tcPr>
            <w:tcW w:w="1133" w:type="dxa"/>
            <w:vAlign w:val="top"/>
            <w:vMerge w:val="continue"/>
            <w:tcBorders>
              <w:top w:val="nil"/>
            </w:tcBorders>
          </w:tcPr>
          <w:p>
            <w:pPr>
              <w:rPr>
                <w:rFonts w:ascii="Arial"/>
                <w:sz w:val="21"/>
              </w:rPr>
            </w:pPr>
            <w:r/>
          </w:p>
        </w:tc>
        <w:tc>
          <w:tcPr>
            <w:tcW w:w="4425" w:type="dxa"/>
            <w:vAlign w:val="top"/>
          </w:tcPr>
          <w:p>
            <w:pPr>
              <w:pStyle w:val="TableText"/>
              <w:ind w:left="12" w:right="1"/>
              <w:spacing w:before="57" w:line="223" w:lineRule="auto"/>
              <w:rPr>
                <w:sz w:val="21"/>
                <w:szCs w:val="21"/>
              </w:rPr>
            </w:pPr>
            <w:r>
              <w:rPr>
                <w:sz w:val="21"/>
                <w:szCs w:val="21"/>
                <w:spacing w:val="-1"/>
              </w:rPr>
              <w:t>禁止在长江流域江河、湖泊新设、改设或者扩大</w:t>
            </w:r>
            <w:r>
              <w:rPr>
                <w:sz w:val="21"/>
                <w:szCs w:val="21"/>
                <w:spacing w:val="11"/>
              </w:rPr>
              <w:t xml:space="preserve"> </w:t>
            </w:r>
            <w:r>
              <w:rPr>
                <w:sz w:val="21"/>
                <w:szCs w:val="21"/>
                <w:spacing w:val="-1"/>
              </w:rPr>
              <w:t>排污口，经有管辖权的生态环境主管部门或者长</w:t>
            </w:r>
          </w:p>
        </w:tc>
        <w:tc>
          <w:tcPr>
            <w:tcW w:w="2847" w:type="dxa"/>
            <w:vAlign w:val="top"/>
          </w:tcPr>
          <w:p>
            <w:pPr>
              <w:pStyle w:val="TableText"/>
              <w:ind w:left="996" w:right="40" w:hanging="940"/>
              <w:spacing w:before="57" w:line="223" w:lineRule="auto"/>
              <w:rPr>
                <w:sz w:val="21"/>
                <w:szCs w:val="21"/>
              </w:rPr>
            </w:pPr>
            <w:r>
              <w:rPr>
                <w:sz w:val="21"/>
                <w:szCs w:val="21"/>
              </w:rPr>
              <w:t>项目不涉及新设、改设或者扩</w:t>
            </w:r>
            <w:r>
              <w:rPr>
                <w:sz w:val="21"/>
                <w:szCs w:val="21"/>
                <w:spacing w:val="8"/>
              </w:rPr>
              <w:t xml:space="preserve"> </w:t>
            </w:r>
            <w:r>
              <w:rPr>
                <w:sz w:val="21"/>
                <w:szCs w:val="21"/>
                <w:spacing w:val="7"/>
              </w:rPr>
              <w:t>大排污口</w:t>
            </w:r>
          </w:p>
        </w:tc>
        <w:tc>
          <w:tcPr>
            <w:tcW w:w="654" w:type="dxa"/>
            <w:vAlign w:val="top"/>
          </w:tcPr>
          <w:p>
            <w:pPr>
              <w:pStyle w:val="TableText"/>
              <w:ind w:left="109"/>
              <w:spacing w:before="188" w:line="219" w:lineRule="auto"/>
              <w:rPr>
                <w:sz w:val="21"/>
                <w:szCs w:val="21"/>
              </w:rPr>
            </w:pPr>
            <w:r>
              <w:rPr>
                <w:sz w:val="21"/>
                <w:szCs w:val="21"/>
                <w:spacing w:val="-3"/>
              </w:rPr>
              <w:t>符合</w:t>
            </w:r>
          </w:p>
        </w:tc>
      </w:tr>
    </w:tbl>
    <w:p>
      <w:pPr>
        <w:pStyle w:val="BodyText"/>
        <w:rPr/>
      </w:pPr>
      <w:r/>
    </w:p>
    <w:p>
      <w:pPr>
        <w:sectPr>
          <w:headerReference w:type="default" r:id="rId72"/>
          <w:footerReference w:type="default" r:id="rId73"/>
          <w:pgSz w:w="11910" w:h="16840"/>
          <w:pgMar w:top="1210" w:right="1455" w:bottom="991" w:left="1385" w:header="902" w:footer="732" w:gutter="0"/>
        </w:sectPr>
        <w:rPr/>
      </w:pPr>
    </w:p>
    <w:p>
      <w:pPr>
        <w:spacing w:before="23"/>
        <w:rPr/>
      </w:pPr>
      <w:r/>
    </w:p>
    <w:tbl>
      <w:tblPr>
        <w:tblStyle w:val="TableNormal"/>
        <w:tblW w:w="908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153"/>
        <w:gridCol w:w="4455"/>
        <w:gridCol w:w="2817"/>
        <w:gridCol w:w="664"/>
      </w:tblGrid>
      <w:tr>
        <w:trPr>
          <w:trHeight w:val="265" w:hRule="atLeast"/>
        </w:trPr>
        <w:tc>
          <w:tcPr>
            <w:shd w:val="clear" w:fill="BDBDBD"/>
            <w:tcW w:w="1153" w:type="dxa"/>
            <w:vAlign w:val="top"/>
          </w:tcPr>
          <w:p>
            <w:pPr>
              <w:pStyle w:val="TableText"/>
              <w:ind w:left="357"/>
              <w:spacing w:before="30" w:line="197" w:lineRule="auto"/>
              <w:rPr>
                <w:sz w:val="21"/>
                <w:szCs w:val="21"/>
              </w:rPr>
            </w:pPr>
            <w:r>
              <w:rPr>
                <w:sz w:val="21"/>
                <w:szCs w:val="21"/>
                <w:b/>
                <w:bCs/>
                <w:spacing w:val="-5"/>
              </w:rPr>
              <w:t>文件</w:t>
            </w:r>
          </w:p>
        </w:tc>
        <w:tc>
          <w:tcPr>
            <w:shd w:val="clear" w:fill="BDBDBD"/>
            <w:tcW w:w="4455" w:type="dxa"/>
            <w:vAlign w:val="top"/>
          </w:tcPr>
          <w:p>
            <w:pPr>
              <w:pStyle w:val="TableText"/>
              <w:ind w:left="1804"/>
              <w:spacing w:before="30" w:line="197" w:lineRule="auto"/>
              <w:rPr>
                <w:sz w:val="21"/>
                <w:szCs w:val="21"/>
              </w:rPr>
            </w:pPr>
            <w:r>
              <w:rPr>
                <w:sz w:val="21"/>
                <w:szCs w:val="21"/>
                <w:b/>
                <w:bCs/>
                <w:spacing w:val="-6"/>
              </w:rPr>
              <w:t>负面清单</w:t>
            </w:r>
          </w:p>
        </w:tc>
        <w:tc>
          <w:tcPr>
            <w:shd w:val="clear" w:fill="BDBDBD"/>
            <w:tcW w:w="2817" w:type="dxa"/>
            <w:vAlign w:val="top"/>
          </w:tcPr>
          <w:p>
            <w:pPr>
              <w:pStyle w:val="TableText"/>
              <w:ind w:left="1109"/>
              <w:spacing w:before="29" w:line="198" w:lineRule="auto"/>
              <w:rPr>
                <w:sz w:val="21"/>
                <w:szCs w:val="21"/>
              </w:rPr>
            </w:pPr>
            <w:r>
              <w:rPr>
                <w:sz w:val="21"/>
                <w:szCs w:val="21"/>
                <w:b/>
                <w:bCs/>
                <w:spacing w:val="9"/>
              </w:rPr>
              <w:t>本项目</w:t>
            </w:r>
          </w:p>
        </w:tc>
        <w:tc>
          <w:tcPr>
            <w:shd w:val="clear" w:fill="BDBDBD"/>
            <w:tcW w:w="664" w:type="dxa"/>
            <w:vAlign w:val="top"/>
          </w:tcPr>
          <w:p>
            <w:pPr>
              <w:pStyle w:val="TableText"/>
              <w:ind w:left="13"/>
              <w:spacing w:before="30" w:line="197" w:lineRule="auto"/>
              <w:rPr>
                <w:sz w:val="21"/>
                <w:szCs w:val="21"/>
              </w:rPr>
            </w:pPr>
            <w:r>
              <w:rPr>
                <w:sz w:val="21"/>
                <w:szCs w:val="21"/>
                <w:b/>
                <w:bCs/>
                <w:spacing w:val="-5"/>
              </w:rPr>
              <w:t>符合性</w:t>
            </w:r>
          </w:p>
        </w:tc>
      </w:tr>
      <w:tr>
        <w:trPr>
          <w:trHeight w:val="290" w:hRule="atLeast"/>
        </w:trPr>
        <w:tc>
          <w:tcPr>
            <w:tcW w:w="1153" w:type="dxa"/>
            <w:vAlign w:val="top"/>
            <w:vMerge w:val="restart"/>
            <w:tcBorders>
              <w:bottom w:val="nil"/>
            </w:tcBorders>
          </w:tcPr>
          <w:p>
            <w:pPr>
              <w:rPr>
                <w:rFonts w:ascii="Arial"/>
                <w:sz w:val="21"/>
              </w:rPr>
            </w:pPr>
            <w:r/>
          </w:p>
        </w:tc>
        <w:tc>
          <w:tcPr>
            <w:tcW w:w="4455" w:type="dxa"/>
            <w:vAlign w:val="top"/>
          </w:tcPr>
          <w:p>
            <w:pPr>
              <w:pStyle w:val="TableText"/>
              <w:ind w:left="12"/>
              <w:spacing w:before="37" w:line="213" w:lineRule="auto"/>
              <w:rPr>
                <w:sz w:val="21"/>
                <w:szCs w:val="21"/>
              </w:rPr>
            </w:pPr>
            <w:r>
              <w:rPr>
                <w:sz w:val="21"/>
                <w:szCs w:val="21"/>
                <w:spacing w:val="-1"/>
              </w:rPr>
              <w:t>江流域生态环境监督管理机构同意的除外。</w:t>
            </w:r>
          </w:p>
        </w:tc>
        <w:tc>
          <w:tcPr>
            <w:tcW w:w="2817" w:type="dxa"/>
            <w:vAlign w:val="top"/>
          </w:tcPr>
          <w:p>
            <w:pPr>
              <w:rPr>
                <w:rFonts w:ascii="Arial"/>
                <w:sz w:val="21"/>
              </w:rPr>
            </w:pPr>
            <w:r/>
          </w:p>
        </w:tc>
        <w:tc>
          <w:tcPr>
            <w:tcW w:w="664" w:type="dxa"/>
            <w:vAlign w:val="top"/>
          </w:tcPr>
          <w:p>
            <w:pPr>
              <w:rPr>
                <w:rFonts w:ascii="Arial"/>
                <w:sz w:val="21"/>
              </w:rPr>
            </w:pPr>
            <w:r/>
          </w:p>
        </w:tc>
      </w:tr>
      <w:tr>
        <w:trPr>
          <w:trHeight w:val="799" w:hRule="atLeast"/>
        </w:trPr>
        <w:tc>
          <w:tcPr>
            <w:tcW w:w="1153" w:type="dxa"/>
            <w:vAlign w:val="top"/>
            <w:vMerge w:val="continue"/>
            <w:tcBorders>
              <w:top w:val="nil"/>
              <w:bottom w:val="nil"/>
            </w:tcBorders>
          </w:tcPr>
          <w:p>
            <w:pPr>
              <w:rPr>
                <w:rFonts w:ascii="Arial"/>
                <w:sz w:val="21"/>
              </w:rPr>
            </w:pPr>
            <w:r/>
          </w:p>
        </w:tc>
        <w:tc>
          <w:tcPr>
            <w:tcW w:w="4455" w:type="dxa"/>
            <w:vAlign w:val="top"/>
          </w:tcPr>
          <w:p>
            <w:pPr>
              <w:pStyle w:val="TableText"/>
              <w:ind w:left="12" w:right="31"/>
              <w:spacing w:before="28" w:line="223" w:lineRule="auto"/>
              <w:jc w:val="both"/>
              <w:rPr>
                <w:sz w:val="21"/>
                <w:szCs w:val="21"/>
              </w:rPr>
            </w:pPr>
            <w:r>
              <w:rPr>
                <w:sz w:val="21"/>
                <w:szCs w:val="21"/>
                <w:spacing w:val="-1"/>
              </w:rPr>
              <w:t>禁止在长江、大渡河、岷江、赤水河、沱江、嘉</w:t>
            </w:r>
            <w:r>
              <w:rPr>
                <w:sz w:val="21"/>
                <w:szCs w:val="21"/>
                <w:spacing w:val="11"/>
              </w:rPr>
              <w:t xml:space="preserve"> </w:t>
            </w:r>
            <w:r>
              <w:rPr>
                <w:sz w:val="21"/>
                <w:szCs w:val="21"/>
              </w:rPr>
              <w:t>陵江、乌江、汉江和51个(四川省45个、重庆市</w:t>
            </w:r>
            <w:r>
              <w:rPr>
                <w:sz w:val="21"/>
                <w:szCs w:val="21"/>
                <w:spacing w:val="3"/>
              </w:rPr>
              <w:t xml:space="preserve">  </w:t>
            </w:r>
            <w:r>
              <w:rPr>
                <w:sz w:val="21"/>
                <w:szCs w:val="21"/>
                <w:spacing w:val="-1"/>
              </w:rPr>
              <w:t>6个)水生生物保护区开展生产性捕捞。</w:t>
            </w:r>
          </w:p>
        </w:tc>
        <w:tc>
          <w:tcPr>
            <w:tcW w:w="2817" w:type="dxa"/>
            <w:vAlign w:val="top"/>
          </w:tcPr>
          <w:p>
            <w:pPr>
              <w:pStyle w:val="TableText"/>
              <w:ind w:left="16"/>
              <w:spacing w:before="167"/>
              <w:rPr>
                <w:sz w:val="21"/>
                <w:szCs w:val="21"/>
              </w:rPr>
            </w:pPr>
            <w:r>
              <w:rPr>
                <w:sz w:val="21"/>
                <w:szCs w:val="21"/>
                <w:spacing w:val="11"/>
              </w:rPr>
              <w:t>本项目为“C1351牲畜屠宰”</w:t>
            </w:r>
            <w:r>
              <w:rPr>
                <w:sz w:val="21"/>
                <w:szCs w:val="21"/>
              </w:rPr>
              <w:t xml:space="preserve"> </w:t>
            </w:r>
            <w:r>
              <w:rPr>
                <w:sz w:val="21"/>
                <w:szCs w:val="21"/>
                <w:spacing w:val="-3"/>
              </w:rPr>
              <w:t>行业，不涉及生产性捕捞。</w:t>
            </w:r>
          </w:p>
        </w:tc>
        <w:tc>
          <w:tcPr>
            <w:tcW w:w="664" w:type="dxa"/>
            <w:vAlign w:val="top"/>
          </w:tcPr>
          <w:p>
            <w:pPr>
              <w:pStyle w:val="TableText"/>
              <w:ind w:left="119"/>
              <w:spacing w:before="298" w:line="219" w:lineRule="auto"/>
              <w:rPr>
                <w:sz w:val="21"/>
                <w:szCs w:val="21"/>
              </w:rPr>
            </w:pPr>
            <w:r>
              <w:rPr>
                <w:sz w:val="21"/>
                <w:szCs w:val="21"/>
                <w:spacing w:val="-3"/>
              </w:rPr>
              <w:t>符合</w:t>
            </w:r>
          </w:p>
        </w:tc>
      </w:tr>
      <w:tr>
        <w:trPr>
          <w:trHeight w:val="550" w:hRule="atLeast"/>
        </w:trPr>
        <w:tc>
          <w:tcPr>
            <w:tcW w:w="1153" w:type="dxa"/>
            <w:vAlign w:val="top"/>
            <w:vMerge w:val="continue"/>
            <w:tcBorders>
              <w:top w:val="nil"/>
              <w:bottom w:val="nil"/>
            </w:tcBorders>
          </w:tcPr>
          <w:p>
            <w:pPr>
              <w:rPr>
                <w:rFonts w:ascii="Arial"/>
                <w:sz w:val="21"/>
              </w:rPr>
            </w:pPr>
            <w:r/>
          </w:p>
        </w:tc>
        <w:tc>
          <w:tcPr>
            <w:tcW w:w="4455" w:type="dxa"/>
            <w:vAlign w:val="top"/>
          </w:tcPr>
          <w:p>
            <w:pPr>
              <w:pStyle w:val="TableText"/>
              <w:ind w:left="12"/>
              <w:spacing w:before="39" w:line="220" w:lineRule="auto"/>
              <w:rPr>
                <w:sz w:val="21"/>
                <w:szCs w:val="21"/>
              </w:rPr>
            </w:pPr>
            <w:r>
              <w:rPr>
                <w:sz w:val="21"/>
                <w:szCs w:val="21"/>
                <w:spacing w:val="1"/>
              </w:rPr>
              <w:t>禁止在长江干支流、重要湖泊岸线一公里范围内</w:t>
            </w:r>
            <w:r>
              <w:rPr>
                <w:sz w:val="21"/>
                <w:szCs w:val="21"/>
              </w:rPr>
              <w:t xml:space="preserve"> </w:t>
            </w:r>
            <w:r>
              <w:rPr>
                <w:sz w:val="21"/>
                <w:szCs w:val="21"/>
                <w:spacing w:val="-1"/>
              </w:rPr>
              <w:t>新建、扩建化工园区和化工项目。</w:t>
            </w:r>
          </w:p>
        </w:tc>
        <w:tc>
          <w:tcPr>
            <w:tcW w:w="2817" w:type="dxa"/>
            <w:vAlign w:val="top"/>
            <w:vMerge w:val="restart"/>
            <w:tcBorders>
              <w:bottom w:val="nil"/>
            </w:tcBorders>
          </w:tcPr>
          <w:p>
            <w:pPr>
              <w:pStyle w:val="TableText"/>
              <w:ind w:left="16"/>
              <w:spacing w:before="189" w:line="219" w:lineRule="auto"/>
              <w:rPr>
                <w:sz w:val="21"/>
                <w:szCs w:val="21"/>
              </w:rPr>
            </w:pPr>
            <w:r>
              <w:rPr>
                <w:sz w:val="21"/>
                <w:szCs w:val="21"/>
                <w:spacing w:val="1"/>
              </w:rPr>
              <w:t>项目东北侧距离安昌河约</w:t>
            </w:r>
          </w:p>
          <w:p>
            <w:pPr>
              <w:pStyle w:val="TableText"/>
              <w:ind w:left="16"/>
              <w:spacing w:before="17" w:line="216" w:lineRule="auto"/>
              <w:rPr>
                <w:sz w:val="21"/>
                <w:szCs w:val="21"/>
              </w:rPr>
            </w:pPr>
            <w:r>
              <w:rPr>
                <w:sz w:val="21"/>
                <w:szCs w:val="21"/>
              </w:rPr>
              <w:t>3000m,安昌河属于长江主要</w:t>
            </w:r>
          </w:p>
          <w:p>
            <w:pPr>
              <w:pStyle w:val="TableText"/>
              <w:ind w:left="16" w:right="41"/>
              <w:spacing w:before="16" w:line="234" w:lineRule="auto"/>
              <w:rPr>
                <w:sz w:val="21"/>
                <w:szCs w:val="21"/>
              </w:rPr>
            </w:pPr>
            <w:r>
              <w:rPr>
                <w:sz w:val="21"/>
                <w:szCs w:val="21"/>
                <w:spacing w:val="1"/>
              </w:rPr>
              <w:t>支流涪江的支流，本项目不属</w:t>
            </w:r>
            <w:r>
              <w:rPr>
                <w:sz w:val="21"/>
                <w:szCs w:val="21"/>
                <w:spacing w:val="4"/>
              </w:rPr>
              <w:t xml:space="preserve"> </w:t>
            </w:r>
            <w:r>
              <w:rPr>
                <w:sz w:val="21"/>
                <w:szCs w:val="21"/>
              </w:rPr>
              <w:t>于化工项目及尾矿库、冶炼渣</w:t>
            </w:r>
            <w:r>
              <w:rPr>
                <w:sz w:val="21"/>
                <w:szCs w:val="21"/>
                <w:spacing w:val="8"/>
              </w:rPr>
              <w:t xml:space="preserve"> </w:t>
            </w:r>
            <w:r>
              <w:rPr>
                <w:sz w:val="21"/>
                <w:szCs w:val="21"/>
                <w:spacing w:val="-1"/>
              </w:rPr>
              <w:t>库、磷石膏库项目。</w:t>
            </w:r>
          </w:p>
        </w:tc>
        <w:tc>
          <w:tcPr>
            <w:tcW w:w="664" w:type="dxa"/>
            <w:vAlign w:val="top"/>
          </w:tcPr>
          <w:p>
            <w:pPr>
              <w:pStyle w:val="TableText"/>
              <w:ind w:left="119"/>
              <w:spacing w:before="169" w:line="219" w:lineRule="auto"/>
              <w:rPr>
                <w:sz w:val="21"/>
                <w:szCs w:val="21"/>
              </w:rPr>
            </w:pPr>
            <w:r>
              <w:rPr>
                <w:sz w:val="21"/>
                <w:szCs w:val="21"/>
                <w:spacing w:val="-3"/>
              </w:rPr>
              <w:t>符合</w:t>
            </w:r>
          </w:p>
        </w:tc>
      </w:tr>
      <w:tr>
        <w:trPr>
          <w:trHeight w:val="1069" w:hRule="atLeast"/>
        </w:trPr>
        <w:tc>
          <w:tcPr>
            <w:tcW w:w="1153" w:type="dxa"/>
            <w:vAlign w:val="top"/>
            <w:vMerge w:val="continue"/>
            <w:tcBorders>
              <w:top w:val="nil"/>
              <w:bottom w:val="nil"/>
            </w:tcBorders>
          </w:tcPr>
          <w:p>
            <w:pPr>
              <w:rPr>
                <w:rFonts w:ascii="Arial"/>
                <w:sz w:val="21"/>
              </w:rPr>
            </w:pPr>
            <w:r/>
          </w:p>
        </w:tc>
        <w:tc>
          <w:tcPr>
            <w:tcW w:w="4455" w:type="dxa"/>
            <w:vAlign w:val="top"/>
          </w:tcPr>
          <w:p>
            <w:pPr>
              <w:pStyle w:val="TableText"/>
              <w:ind w:left="12" w:right="8"/>
              <w:spacing w:before="30" w:line="226" w:lineRule="auto"/>
              <w:jc w:val="both"/>
              <w:rPr>
                <w:sz w:val="21"/>
                <w:szCs w:val="21"/>
              </w:rPr>
            </w:pPr>
            <w:r>
              <w:rPr>
                <w:sz w:val="21"/>
                <w:szCs w:val="21"/>
              </w:rPr>
              <w:t>禁止在长江干流岸线三公里范围内和重要支流岸</w:t>
            </w:r>
            <w:r>
              <w:rPr>
                <w:sz w:val="21"/>
                <w:szCs w:val="21"/>
                <w:spacing w:val="13"/>
              </w:rPr>
              <w:t xml:space="preserve"> </w:t>
            </w:r>
            <w:r>
              <w:rPr>
                <w:sz w:val="21"/>
                <w:szCs w:val="21"/>
                <w:spacing w:val="-1"/>
              </w:rPr>
              <w:t>线一公里范围内新建、改建、扩建尾矿库、冶炼</w:t>
            </w:r>
            <w:r>
              <w:rPr>
                <w:sz w:val="21"/>
                <w:szCs w:val="21"/>
                <w:spacing w:val="9"/>
              </w:rPr>
              <w:t xml:space="preserve"> </w:t>
            </w:r>
            <w:r>
              <w:rPr>
                <w:sz w:val="21"/>
                <w:szCs w:val="21"/>
                <w:spacing w:val="-1"/>
              </w:rPr>
              <w:t>渣库、磷石膏库，以提升安全、生态环境保护水</w:t>
            </w:r>
            <w:r>
              <w:rPr>
                <w:sz w:val="21"/>
                <w:szCs w:val="21"/>
                <w:spacing w:val="11"/>
              </w:rPr>
              <w:t xml:space="preserve"> </w:t>
            </w:r>
            <w:r>
              <w:rPr>
                <w:sz w:val="21"/>
                <w:szCs w:val="21"/>
                <w:spacing w:val="-1"/>
              </w:rPr>
              <w:t>平为目的的改建除外。</w:t>
            </w:r>
          </w:p>
        </w:tc>
        <w:tc>
          <w:tcPr>
            <w:tcW w:w="2817" w:type="dxa"/>
            <w:vAlign w:val="top"/>
            <w:vMerge w:val="continue"/>
            <w:tcBorders>
              <w:top w:val="nil"/>
            </w:tcBorders>
          </w:tcPr>
          <w:p>
            <w:pPr>
              <w:rPr>
                <w:rFonts w:ascii="Arial"/>
                <w:sz w:val="21"/>
              </w:rPr>
            </w:pPr>
            <w:r/>
          </w:p>
        </w:tc>
        <w:tc>
          <w:tcPr>
            <w:tcW w:w="664" w:type="dxa"/>
            <w:vAlign w:val="top"/>
          </w:tcPr>
          <w:p>
            <w:pPr>
              <w:spacing w:line="359" w:lineRule="auto"/>
              <w:rPr>
                <w:rFonts w:ascii="Arial"/>
                <w:sz w:val="21"/>
              </w:rPr>
            </w:pPr>
            <w:r/>
          </w:p>
          <w:p>
            <w:pPr>
              <w:pStyle w:val="TableText"/>
              <w:ind w:left="119"/>
              <w:spacing w:before="68" w:line="219" w:lineRule="auto"/>
              <w:rPr>
                <w:sz w:val="21"/>
                <w:szCs w:val="21"/>
              </w:rPr>
            </w:pPr>
            <w:r>
              <w:rPr>
                <w:sz w:val="21"/>
                <w:szCs w:val="21"/>
                <w:spacing w:val="-3"/>
              </w:rPr>
              <w:t>符合</w:t>
            </w:r>
          </w:p>
        </w:tc>
      </w:tr>
      <w:tr>
        <w:trPr>
          <w:trHeight w:val="1089" w:hRule="atLeast"/>
        </w:trPr>
        <w:tc>
          <w:tcPr>
            <w:tcW w:w="1153" w:type="dxa"/>
            <w:vAlign w:val="top"/>
            <w:vMerge w:val="continue"/>
            <w:tcBorders>
              <w:top w:val="nil"/>
              <w:bottom w:val="nil"/>
            </w:tcBorders>
          </w:tcPr>
          <w:p>
            <w:pPr>
              <w:rPr>
                <w:rFonts w:ascii="Arial"/>
                <w:sz w:val="21"/>
              </w:rPr>
            </w:pPr>
            <w:r/>
          </w:p>
        </w:tc>
        <w:tc>
          <w:tcPr>
            <w:tcW w:w="4455" w:type="dxa"/>
            <w:vAlign w:val="top"/>
          </w:tcPr>
          <w:p>
            <w:pPr>
              <w:pStyle w:val="TableText"/>
              <w:ind w:left="12" w:right="5"/>
              <w:spacing w:before="169" w:line="242" w:lineRule="auto"/>
              <w:rPr>
                <w:sz w:val="21"/>
                <w:szCs w:val="21"/>
              </w:rPr>
            </w:pPr>
            <w:r>
              <w:rPr>
                <w:sz w:val="21"/>
                <w:szCs w:val="21"/>
              </w:rPr>
              <w:t>禁止在生态保护红线区域、永久基本农田集中区</w:t>
            </w:r>
            <w:r>
              <w:rPr>
                <w:sz w:val="21"/>
                <w:szCs w:val="21"/>
                <w:spacing w:val="16"/>
              </w:rPr>
              <w:t xml:space="preserve"> </w:t>
            </w:r>
            <w:r>
              <w:rPr>
                <w:sz w:val="21"/>
                <w:szCs w:val="21"/>
                <w:spacing w:val="-1"/>
              </w:rPr>
              <w:t>域和其他需要特别保护的区域内选址建设尾矿</w:t>
            </w:r>
          </w:p>
          <w:p>
            <w:pPr>
              <w:pStyle w:val="TableText"/>
              <w:ind w:left="12"/>
              <w:spacing w:line="218" w:lineRule="auto"/>
              <w:rPr>
                <w:sz w:val="21"/>
                <w:szCs w:val="21"/>
              </w:rPr>
            </w:pPr>
            <w:r>
              <w:rPr>
                <w:sz w:val="21"/>
                <w:szCs w:val="21"/>
                <w:spacing w:val="-1"/>
              </w:rPr>
              <w:t>库、冶炼渣库、磷石膏库。</w:t>
            </w:r>
          </w:p>
        </w:tc>
        <w:tc>
          <w:tcPr>
            <w:tcW w:w="2817" w:type="dxa"/>
            <w:vAlign w:val="top"/>
          </w:tcPr>
          <w:p>
            <w:pPr>
              <w:pStyle w:val="TableText"/>
              <w:ind w:left="16"/>
              <w:spacing w:before="31" w:line="220" w:lineRule="auto"/>
              <w:rPr>
                <w:sz w:val="21"/>
                <w:szCs w:val="21"/>
              </w:rPr>
            </w:pPr>
            <w:r>
              <w:rPr>
                <w:sz w:val="21"/>
                <w:szCs w:val="21"/>
                <w:spacing w:val="1"/>
              </w:rPr>
              <w:t>项目不涉及生态保护红线区</w:t>
            </w:r>
          </w:p>
          <w:p>
            <w:pPr>
              <w:pStyle w:val="TableText"/>
              <w:ind w:left="16" w:right="50"/>
              <w:spacing w:before="29" w:line="225" w:lineRule="auto"/>
              <w:rPr>
                <w:sz w:val="21"/>
                <w:szCs w:val="21"/>
              </w:rPr>
            </w:pPr>
            <w:r>
              <w:rPr>
                <w:sz w:val="21"/>
                <w:szCs w:val="21"/>
                <w:spacing w:val="-1"/>
              </w:rPr>
              <w:t>域、永久基本农田集中区域，</w:t>
            </w:r>
            <w:r>
              <w:rPr>
                <w:sz w:val="21"/>
                <w:szCs w:val="21"/>
                <w:spacing w:val="7"/>
              </w:rPr>
              <w:t xml:space="preserve"> </w:t>
            </w:r>
            <w:r>
              <w:rPr>
                <w:sz w:val="21"/>
                <w:szCs w:val="21"/>
              </w:rPr>
              <w:t>不属于尾矿库、冶炼渣库、磷</w:t>
            </w:r>
            <w:r>
              <w:rPr>
                <w:sz w:val="21"/>
                <w:szCs w:val="21"/>
                <w:spacing w:val="8"/>
              </w:rPr>
              <w:t xml:space="preserve"> </w:t>
            </w:r>
            <w:r>
              <w:rPr>
                <w:sz w:val="21"/>
                <w:szCs w:val="21"/>
                <w:spacing w:val="-1"/>
              </w:rPr>
              <w:t>石膏库项目。</w:t>
            </w:r>
          </w:p>
        </w:tc>
        <w:tc>
          <w:tcPr>
            <w:tcW w:w="664" w:type="dxa"/>
            <w:vAlign w:val="top"/>
          </w:tcPr>
          <w:p>
            <w:pPr>
              <w:spacing w:line="370" w:lineRule="auto"/>
              <w:rPr>
                <w:rFonts w:ascii="Arial"/>
                <w:sz w:val="21"/>
              </w:rPr>
            </w:pPr>
            <w:r/>
          </w:p>
          <w:p>
            <w:pPr>
              <w:pStyle w:val="TableText"/>
              <w:ind w:left="119"/>
              <w:spacing w:before="68" w:line="219" w:lineRule="auto"/>
              <w:rPr>
                <w:sz w:val="21"/>
                <w:szCs w:val="21"/>
              </w:rPr>
            </w:pPr>
            <w:r>
              <w:rPr>
                <w:sz w:val="21"/>
                <w:szCs w:val="21"/>
                <w:spacing w:val="-3"/>
              </w:rPr>
              <w:t>符合</w:t>
            </w:r>
          </w:p>
        </w:tc>
      </w:tr>
      <w:tr>
        <w:trPr>
          <w:trHeight w:val="1079" w:hRule="atLeast"/>
        </w:trPr>
        <w:tc>
          <w:tcPr>
            <w:tcW w:w="1153" w:type="dxa"/>
            <w:vAlign w:val="top"/>
            <w:vMerge w:val="continue"/>
            <w:tcBorders>
              <w:top w:val="nil"/>
              <w:bottom w:val="nil"/>
            </w:tcBorders>
          </w:tcPr>
          <w:p>
            <w:pPr>
              <w:rPr>
                <w:rFonts w:ascii="Arial"/>
                <w:sz w:val="21"/>
              </w:rPr>
            </w:pPr>
            <w:r/>
          </w:p>
        </w:tc>
        <w:tc>
          <w:tcPr>
            <w:tcW w:w="4455" w:type="dxa"/>
            <w:vAlign w:val="top"/>
          </w:tcPr>
          <w:p>
            <w:pPr>
              <w:pStyle w:val="TableText"/>
              <w:ind w:left="12" w:right="220"/>
              <w:spacing w:before="182" w:line="241" w:lineRule="auto"/>
              <w:jc w:val="both"/>
              <w:rPr>
                <w:sz w:val="21"/>
                <w:szCs w:val="21"/>
              </w:rPr>
            </w:pPr>
            <w:r>
              <w:rPr>
                <w:sz w:val="21"/>
                <w:szCs w:val="21"/>
                <w:spacing w:val="-1"/>
              </w:rPr>
              <w:t>禁止在合规园区外新建、扩建钢铁、石化、化</w:t>
            </w:r>
            <w:r>
              <w:rPr>
                <w:sz w:val="21"/>
                <w:szCs w:val="21"/>
                <w:spacing w:val="10"/>
              </w:rPr>
              <w:t xml:space="preserve"> </w:t>
            </w:r>
            <w:r>
              <w:rPr>
                <w:sz w:val="21"/>
                <w:szCs w:val="21"/>
              </w:rPr>
              <w:t>工、焦化、建材、有色、制浆造纸等高污染项</w:t>
            </w:r>
            <w:r>
              <w:rPr>
                <w:sz w:val="21"/>
                <w:szCs w:val="21"/>
                <w:spacing w:val="11"/>
              </w:rPr>
              <w:t xml:space="preserve"> </w:t>
            </w:r>
            <w:r>
              <w:rPr>
                <w:sz w:val="21"/>
                <w:szCs w:val="21"/>
                <w:spacing w:val="-25"/>
              </w:rPr>
              <w:t>目</w:t>
            </w:r>
            <w:r>
              <w:rPr>
                <w:sz w:val="21"/>
                <w:szCs w:val="21"/>
                <w:spacing w:val="-31"/>
              </w:rPr>
              <w:t xml:space="preserve"> </w:t>
            </w:r>
            <w:r>
              <w:rPr>
                <w:sz w:val="21"/>
                <w:szCs w:val="21"/>
                <w:spacing w:val="-25"/>
              </w:rPr>
              <w:t>。</w:t>
            </w:r>
          </w:p>
        </w:tc>
        <w:tc>
          <w:tcPr>
            <w:tcW w:w="2817" w:type="dxa"/>
            <w:vAlign w:val="top"/>
          </w:tcPr>
          <w:p>
            <w:pPr>
              <w:pStyle w:val="TableText"/>
              <w:ind w:left="16" w:right="41"/>
              <w:spacing w:before="40" w:line="226" w:lineRule="auto"/>
              <w:jc w:val="both"/>
              <w:rPr>
                <w:sz w:val="21"/>
                <w:szCs w:val="21"/>
              </w:rPr>
            </w:pPr>
            <w:r>
              <w:rPr>
                <w:sz w:val="21"/>
                <w:szCs w:val="21"/>
                <w:spacing w:val="1"/>
              </w:rPr>
              <w:t>项目位于四川绵阳安州工业园</w:t>
            </w:r>
            <w:r>
              <w:rPr>
                <w:sz w:val="21"/>
                <w:szCs w:val="21"/>
                <w:spacing w:val="4"/>
              </w:rPr>
              <w:t xml:space="preserve"> </w:t>
            </w:r>
            <w:r>
              <w:rPr>
                <w:sz w:val="21"/>
                <w:szCs w:val="21"/>
              </w:rPr>
              <w:t>区内，不属于钢铁、石化、化</w:t>
            </w:r>
            <w:r>
              <w:rPr>
                <w:sz w:val="21"/>
                <w:szCs w:val="21"/>
                <w:spacing w:val="8"/>
              </w:rPr>
              <w:t xml:space="preserve"> </w:t>
            </w:r>
            <w:r>
              <w:rPr>
                <w:sz w:val="21"/>
                <w:szCs w:val="21"/>
                <w:spacing w:val="-1"/>
              </w:rPr>
              <w:t>工、焦化、建材、有色、制浆</w:t>
            </w:r>
            <w:r>
              <w:rPr>
                <w:sz w:val="21"/>
                <w:szCs w:val="21"/>
                <w:spacing w:val="1"/>
              </w:rPr>
              <w:t xml:space="preserve"> </w:t>
            </w:r>
            <w:r>
              <w:rPr>
                <w:sz w:val="21"/>
                <w:szCs w:val="21"/>
                <w:spacing w:val="-1"/>
              </w:rPr>
              <w:t>造纸等高污染项目。</w:t>
            </w:r>
          </w:p>
        </w:tc>
        <w:tc>
          <w:tcPr>
            <w:tcW w:w="664" w:type="dxa"/>
            <w:vAlign w:val="top"/>
          </w:tcPr>
          <w:p>
            <w:pPr>
              <w:spacing w:line="371" w:lineRule="auto"/>
              <w:rPr>
                <w:rFonts w:ascii="Arial"/>
                <w:sz w:val="21"/>
              </w:rPr>
            </w:pPr>
            <w:r/>
          </w:p>
          <w:p>
            <w:pPr>
              <w:pStyle w:val="TableText"/>
              <w:ind w:left="119"/>
              <w:spacing w:before="68" w:line="219" w:lineRule="auto"/>
              <w:rPr>
                <w:sz w:val="21"/>
                <w:szCs w:val="21"/>
              </w:rPr>
            </w:pPr>
            <w:r>
              <w:rPr>
                <w:sz w:val="21"/>
                <w:szCs w:val="21"/>
                <w:spacing w:val="-3"/>
              </w:rPr>
              <w:t>符合</w:t>
            </w:r>
          </w:p>
        </w:tc>
      </w:tr>
      <w:tr>
        <w:trPr>
          <w:trHeight w:val="1909" w:hRule="atLeast"/>
        </w:trPr>
        <w:tc>
          <w:tcPr>
            <w:tcW w:w="1153" w:type="dxa"/>
            <w:vAlign w:val="top"/>
            <w:vMerge w:val="continue"/>
            <w:tcBorders>
              <w:top w:val="nil"/>
              <w:bottom w:val="nil"/>
            </w:tcBorders>
          </w:tcPr>
          <w:p>
            <w:pPr>
              <w:rPr>
                <w:rFonts w:ascii="Arial"/>
                <w:sz w:val="21"/>
              </w:rPr>
            </w:pPr>
            <w:r/>
          </w:p>
        </w:tc>
        <w:tc>
          <w:tcPr>
            <w:tcW w:w="4455" w:type="dxa"/>
            <w:vAlign w:val="top"/>
          </w:tcPr>
          <w:p>
            <w:pPr>
              <w:pStyle w:val="TableText"/>
              <w:ind w:left="12" w:right="31"/>
              <w:spacing w:before="43"/>
              <w:rPr>
                <w:sz w:val="21"/>
                <w:szCs w:val="21"/>
              </w:rPr>
            </w:pPr>
            <w:r>
              <w:rPr>
                <w:sz w:val="21"/>
                <w:szCs w:val="21"/>
                <w:spacing w:val="-1"/>
              </w:rPr>
              <w:t>禁止新建、扩建不符合国家石化、现代煤化工等</w:t>
            </w:r>
            <w:r>
              <w:rPr>
                <w:sz w:val="21"/>
                <w:szCs w:val="21"/>
                <w:spacing w:val="11"/>
              </w:rPr>
              <w:t xml:space="preserve"> </w:t>
            </w:r>
            <w:r>
              <w:rPr>
                <w:sz w:val="21"/>
                <w:szCs w:val="21"/>
                <w:spacing w:val="1"/>
              </w:rPr>
              <w:t>产业布局规划的项目。(一)严格控制新增炼油</w:t>
            </w:r>
            <w:r>
              <w:rPr>
                <w:sz w:val="21"/>
                <w:szCs w:val="21"/>
              </w:rPr>
              <w:t xml:space="preserve">  </w:t>
            </w:r>
            <w:r>
              <w:rPr>
                <w:sz w:val="21"/>
                <w:szCs w:val="21"/>
                <w:spacing w:val="-1"/>
              </w:rPr>
              <w:t>项目，未列入《石化产业规划布局方案(修订</w:t>
            </w:r>
          </w:p>
          <w:p>
            <w:pPr>
              <w:pStyle w:val="TableText"/>
              <w:ind w:left="12"/>
              <w:spacing w:line="219" w:lineRule="auto"/>
              <w:rPr>
                <w:sz w:val="21"/>
                <w:szCs w:val="21"/>
              </w:rPr>
            </w:pPr>
            <w:r>
              <w:rPr>
                <w:sz w:val="21"/>
                <w:szCs w:val="21"/>
                <w:spacing w:val="-1"/>
              </w:rPr>
              <w:t>版)》的新增炼油产能一律不得建设。(二)新</w:t>
            </w:r>
          </w:p>
          <w:p>
            <w:pPr>
              <w:pStyle w:val="TableText"/>
              <w:ind w:left="12" w:right="33"/>
              <w:spacing w:before="19" w:line="225" w:lineRule="auto"/>
              <w:rPr>
                <w:sz w:val="21"/>
                <w:szCs w:val="21"/>
              </w:rPr>
            </w:pPr>
            <w:r>
              <w:rPr>
                <w:sz w:val="21"/>
                <w:szCs w:val="21"/>
                <w:spacing w:val="-1"/>
              </w:rPr>
              <w:t>建煤制烯烃、煤制芳烃项目必须列入《现代煤化</w:t>
            </w:r>
            <w:r>
              <w:rPr>
                <w:sz w:val="21"/>
                <w:szCs w:val="21"/>
                <w:spacing w:val="9"/>
              </w:rPr>
              <w:t xml:space="preserve"> </w:t>
            </w:r>
            <w:r>
              <w:rPr>
                <w:sz w:val="21"/>
                <w:szCs w:val="21"/>
                <w:spacing w:val="-1"/>
              </w:rPr>
              <w:t>工产业创新发展布局方案》,必须符合《现代煤</w:t>
            </w:r>
            <w:r>
              <w:rPr>
                <w:sz w:val="21"/>
                <w:szCs w:val="21"/>
                <w:spacing w:val="4"/>
              </w:rPr>
              <w:t xml:space="preserve">  </w:t>
            </w:r>
            <w:r>
              <w:rPr>
                <w:sz w:val="21"/>
                <w:szCs w:val="21"/>
                <w:spacing w:val="-1"/>
              </w:rPr>
              <w:t>化工建设项目环境准入条件(试行)》要求。</w:t>
            </w:r>
          </w:p>
        </w:tc>
        <w:tc>
          <w:tcPr>
            <w:tcW w:w="2817" w:type="dxa"/>
            <w:vAlign w:val="top"/>
          </w:tcPr>
          <w:p>
            <w:pPr>
              <w:spacing w:line="381" w:lineRule="auto"/>
              <w:rPr>
                <w:rFonts w:ascii="Arial"/>
                <w:sz w:val="21"/>
              </w:rPr>
            </w:pPr>
            <w:r/>
          </w:p>
          <w:p>
            <w:pPr>
              <w:pStyle w:val="TableText"/>
              <w:ind w:left="16"/>
              <w:spacing w:before="68" w:line="239" w:lineRule="auto"/>
              <w:rPr>
                <w:sz w:val="21"/>
                <w:szCs w:val="21"/>
              </w:rPr>
            </w:pPr>
            <w:r>
              <w:rPr>
                <w:sz w:val="21"/>
                <w:szCs w:val="21"/>
                <w:spacing w:val="-4"/>
              </w:rPr>
              <w:t>项目为“C1351牲畜屠宰”行</w:t>
            </w:r>
            <w:r>
              <w:rPr>
                <w:sz w:val="21"/>
                <w:szCs w:val="21"/>
                <w:spacing w:val="1"/>
              </w:rPr>
              <w:t xml:space="preserve">   </w:t>
            </w:r>
            <w:r>
              <w:rPr>
                <w:sz w:val="21"/>
                <w:szCs w:val="21"/>
                <w:spacing w:val="4"/>
              </w:rPr>
              <w:t>业，不属于不符合国家石化、</w:t>
            </w:r>
            <w:r>
              <w:rPr>
                <w:sz w:val="21"/>
                <w:szCs w:val="21"/>
                <w:spacing w:val="7"/>
              </w:rPr>
              <w:t xml:space="preserve"> </w:t>
            </w:r>
            <w:r>
              <w:rPr>
                <w:sz w:val="21"/>
                <w:szCs w:val="21"/>
                <w:spacing w:val="-3"/>
              </w:rPr>
              <w:t>现代煤化工等产业布局规划的</w:t>
            </w:r>
            <w:r>
              <w:rPr>
                <w:sz w:val="21"/>
                <w:szCs w:val="21"/>
                <w:spacing w:val="5"/>
              </w:rPr>
              <w:t xml:space="preserve">  </w:t>
            </w:r>
            <w:r>
              <w:rPr>
                <w:sz w:val="21"/>
                <w:szCs w:val="21"/>
                <w:spacing w:val="-3"/>
              </w:rPr>
              <w:t>项目。</w:t>
            </w:r>
          </w:p>
        </w:tc>
        <w:tc>
          <w:tcPr>
            <w:tcW w:w="664" w:type="dxa"/>
            <w:vAlign w:val="top"/>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19"/>
              <w:spacing w:before="69" w:line="219" w:lineRule="auto"/>
              <w:rPr>
                <w:sz w:val="21"/>
                <w:szCs w:val="21"/>
              </w:rPr>
            </w:pPr>
            <w:r>
              <w:rPr>
                <w:sz w:val="21"/>
                <w:szCs w:val="21"/>
                <w:spacing w:val="-3"/>
              </w:rPr>
              <w:t>符合</w:t>
            </w:r>
          </w:p>
        </w:tc>
      </w:tr>
      <w:tr>
        <w:trPr>
          <w:trHeight w:val="1369" w:hRule="atLeast"/>
        </w:trPr>
        <w:tc>
          <w:tcPr>
            <w:tcW w:w="1153" w:type="dxa"/>
            <w:vAlign w:val="top"/>
            <w:vMerge w:val="continue"/>
            <w:tcBorders>
              <w:top w:val="nil"/>
              <w:bottom w:val="nil"/>
            </w:tcBorders>
          </w:tcPr>
          <w:p>
            <w:pPr>
              <w:rPr>
                <w:rFonts w:ascii="Arial"/>
                <w:sz w:val="21"/>
              </w:rPr>
            </w:pPr>
            <w:r/>
          </w:p>
        </w:tc>
        <w:tc>
          <w:tcPr>
            <w:tcW w:w="4455" w:type="dxa"/>
            <w:vAlign w:val="top"/>
          </w:tcPr>
          <w:p>
            <w:pPr>
              <w:pStyle w:val="TableText"/>
              <w:ind w:left="12"/>
              <w:spacing w:before="50" w:line="230" w:lineRule="auto"/>
              <w:jc w:val="both"/>
              <w:rPr>
                <w:sz w:val="21"/>
                <w:szCs w:val="21"/>
              </w:rPr>
            </w:pPr>
            <w:r>
              <w:rPr>
                <w:sz w:val="21"/>
                <w:szCs w:val="21"/>
              </w:rPr>
              <w:t>禁止新建、扩建法律法规和相关政策明令禁止的</w:t>
            </w:r>
            <w:r>
              <w:rPr>
                <w:sz w:val="21"/>
                <w:szCs w:val="21"/>
                <w:spacing w:val="15"/>
              </w:rPr>
              <w:t xml:space="preserve"> </w:t>
            </w:r>
            <w:r>
              <w:rPr>
                <w:sz w:val="21"/>
                <w:szCs w:val="21"/>
                <w:spacing w:val="1"/>
              </w:rPr>
              <w:t>落后产能项目。对《产业结构调整指导目录》中</w:t>
            </w:r>
            <w:r>
              <w:rPr>
                <w:sz w:val="21"/>
                <w:szCs w:val="21"/>
              </w:rPr>
              <w:t xml:space="preserve"> </w:t>
            </w:r>
            <w:r>
              <w:rPr>
                <w:sz w:val="21"/>
                <w:szCs w:val="21"/>
                <w:spacing w:val="-1"/>
              </w:rPr>
              <w:t>淘汰类项目，禁止投资；限制类的新建项目，禁</w:t>
            </w:r>
            <w:r>
              <w:rPr>
                <w:sz w:val="21"/>
                <w:szCs w:val="21"/>
                <w:spacing w:val="10"/>
              </w:rPr>
              <w:t xml:space="preserve"> </w:t>
            </w:r>
            <w:r>
              <w:rPr>
                <w:sz w:val="21"/>
                <w:szCs w:val="21"/>
                <w:spacing w:val="-1"/>
              </w:rPr>
              <w:t>止投资，对属于限制类的现有生产能力，允许企</w:t>
            </w:r>
            <w:r>
              <w:rPr>
                <w:sz w:val="21"/>
                <w:szCs w:val="21"/>
                <w:spacing w:val="10"/>
              </w:rPr>
              <w:t xml:space="preserve"> </w:t>
            </w:r>
            <w:r>
              <w:rPr>
                <w:sz w:val="21"/>
                <w:szCs w:val="21"/>
                <w:spacing w:val="-1"/>
              </w:rPr>
              <w:t>业在一定期限内采取措施改造升级。</w:t>
            </w:r>
          </w:p>
        </w:tc>
        <w:tc>
          <w:tcPr>
            <w:tcW w:w="2817" w:type="dxa"/>
            <w:vAlign w:val="top"/>
          </w:tcPr>
          <w:p>
            <w:pPr>
              <w:spacing w:line="252" w:lineRule="auto"/>
              <w:rPr>
                <w:rFonts w:ascii="Arial"/>
                <w:sz w:val="21"/>
              </w:rPr>
            </w:pPr>
            <w:r/>
          </w:p>
          <w:p>
            <w:pPr>
              <w:pStyle w:val="TableText"/>
              <w:ind w:left="16" w:right="46"/>
              <w:spacing w:before="69" w:line="239" w:lineRule="auto"/>
              <w:rPr>
                <w:sz w:val="21"/>
                <w:szCs w:val="21"/>
              </w:rPr>
            </w:pPr>
            <w:r>
              <w:rPr>
                <w:sz w:val="21"/>
                <w:szCs w:val="21"/>
                <w:spacing w:val="1"/>
              </w:rPr>
              <w:t>项目为扩建，属于《产业结构</w:t>
            </w:r>
            <w:r>
              <w:rPr>
                <w:sz w:val="21"/>
                <w:szCs w:val="21"/>
              </w:rPr>
              <w:t xml:space="preserve"> </w:t>
            </w:r>
            <w:r>
              <w:rPr>
                <w:sz w:val="21"/>
                <w:szCs w:val="21"/>
                <w:spacing w:val="3"/>
              </w:rPr>
              <w:t>调整指导目录》(2024年本)</w:t>
            </w:r>
            <w:r>
              <w:rPr>
                <w:sz w:val="21"/>
                <w:szCs w:val="21"/>
              </w:rPr>
              <w:t xml:space="preserve">  </w:t>
            </w:r>
            <w:r>
              <w:rPr>
                <w:sz w:val="21"/>
                <w:szCs w:val="21"/>
                <w:spacing w:val="-1"/>
              </w:rPr>
              <w:t>中允许类项目。</w:t>
            </w:r>
          </w:p>
        </w:tc>
        <w:tc>
          <w:tcPr>
            <w:tcW w:w="664" w:type="dxa"/>
            <w:vAlign w:val="top"/>
          </w:tcPr>
          <w:p>
            <w:pPr>
              <w:spacing w:line="256" w:lineRule="auto"/>
              <w:rPr>
                <w:rFonts w:ascii="Arial"/>
                <w:sz w:val="21"/>
              </w:rPr>
            </w:pPr>
            <w:r/>
          </w:p>
          <w:p>
            <w:pPr>
              <w:spacing w:line="256" w:lineRule="auto"/>
              <w:rPr>
                <w:rFonts w:ascii="Arial"/>
                <w:sz w:val="21"/>
              </w:rPr>
            </w:pPr>
            <w:r/>
          </w:p>
          <w:p>
            <w:pPr>
              <w:pStyle w:val="TableText"/>
              <w:ind w:left="119"/>
              <w:spacing w:before="68" w:line="219" w:lineRule="auto"/>
              <w:rPr>
                <w:sz w:val="21"/>
                <w:szCs w:val="21"/>
              </w:rPr>
            </w:pPr>
            <w:r>
              <w:rPr>
                <w:sz w:val="21"/>
                <w:szCs w:val="21"/>
                <w:spacing w:val="-3"/>
              </w:rPr>
              <w:t>符合</w:t>
            </w:r>
          </w:p>
        </w:tc>
      </w:tr>
      <w:tr>
        <w:trPr>
          <w:trHeight w:val="1079" w:hRule="atLeast"/>
        </w:trPr>
        <w:tc>
          <w:tcPr>
            <w:tcW w:w="1153" w:type="dxa"/>
            <w:vAlign w:val="top"/>
            <w:vMerge w:val="continue"/>
            <w:tcBorders>
              <w:top w:val="nil"/>
              <w:bottom w:val="nil"/>
            </w:tcBorders>
          </w:tcPr>
          <w:p>
            <w:pPr>
              <w:rPr>
                <w:rFonts w:ascii="Arial"/>
                <w:sz w:val="21"/>
              </w:rPr>
            </w:pPr>
            <w:r/>
          </w:p>
        </w:tc>
        <w:tc>
          <w:tcPr>
            <w:tcW w:w="4455" w:type="dxa"/>
            <w:vAlign w:val="top"/>
          </w:tcPr>
          <w:p>
            <w:pPr>
              <w:pStyle w:val="TableText"/>
              <w:ind w:left="12" w:right="31"/>
              <w:spacing w:before="54" w:line="223" w:lineRule="auto"/>
              <w:rPr>
                <w:sz w:val="21"/>
                <w:szCs w:val="21"/>
              </w:rPr>
            </w:pPr>
            <w:r>
              <w:rPr>
                <w:sz w:val="21"/>
                <w:szCs w:val="21"/>
                <w:spacing w:val="-1"/>
              </w:rPr>
              <w:t>禁止新建、扩建不符合国家产能置换要求的严重</w:t>
            </w:r>
            <w:r>
              <w:rPr>
                <w:sz w:val="21"/>
                <w:szCs w:val="21"/>
                <w:spacing w:val="11"/>
              </w:rPr>
              <w:t xml:space="preserve"> </w:t>
            </w:r>
            <w:r>
              <w:rPr>
                <w:sz w:val="21"/>
                <w:szCs w:val="21"/>
                <w:spacing w:val="-1"/>
              </w:rPr>
              <w:t>过剩产能行业的项目。对于不符合国家产能置换</w:t>
            </w:r>
            <w:r>
              <w:rPr>
                <w:sz w:val="21"/>
                <w:szCs w:val="21"/>
                <w:spacing w:val="10"/>
              </w:rPr>
              <w:t xml:space="preserve"> </w:t>
            </w:r>
            <w:r>
              <w:rPr>
                <w:sz w:val="21"/>
                <w:szCs w:val="21"/>
                <w:spacing w:val="1"/>
              </w:rPr>
              <w:t>要求的严重过剩产能行业，不得以其他任何名</w:t>
            </w:r>
            <w:r>
              <w:rPr>
                <w:sz w:val="21"/>
                <w:szCs w:val="21"/>
                <w:spacing w:val="3"/>
              </w:rPr>
              <w:t xml:space="preserve">  </w:t>
            </w:r>
            <w:r>
              <w:rPr>
                <w:sz w:val="21"/>
                <w:szCs w:val="21"/>
                <w:spacing w:val="-1"/>
              </w:rPr>
              <w:t>义、任何方式备案新增产能项目。</w:t>
            </w:r>
          </w:p>
        </w:tc>
        <w:tc>
          <w:tcPr>
            <w:tcW w:w="2817" w:type="dxa"/>
            <w:vAlign w:val="top"/>
          </w:tcPr>
          <w:p>
            <w:pPr>
              <w:pStyle w:val="TableText"/>
              <w:ind w:left="16" w:right="176"/>
              <w:spacing w:before="172" w:line="246" w:lineRule="auto"/>
              <w:jc w:val="both"/>
              <w:rPr>
                <w:sz w:val="21"/>
                <w:szCs w:val="21"/>
              </w:rPr>
            </w:pPr>
            <w:r>
              <w:rPr>
                <w:sz w:val="21"/>
                <w:szCs w:val="21"/>
                <w:spacing w:val="-1"/>
              </w:rPr>
              <w:t>项目为“C1351牲畜屠宰”行</w:t>
            </w:r>
            <w:r>
              <w:rPr>
                <w:sz w:val="21"/>
                <w:szCs w:val="21"/>
                <w:spacing w:val="2"/>
              </w:rPr>
              <w:t xml:space="preserve"> </w:t>
            </w:r>
            <w:r>
              <w:rPr>
                <w:sz w:val="21"/>
                <w:szCs w:val="21"/>
                <w:spacing w:val="1"/>
              </w:rPr>
              <w:t>业，未列入国家产能过剩项</w:t>
            </w:r>
            <w:r>
              <w:rPr>
                <w:sz w:val="21"/>
                <w:szCs w:val="21"/>
              </w:rPr>
              <w:t xml:space="preserve"> </w:t>
            </w:r>
            <w:r>
              <w:rPr>
                <w:sz w:val="21"/>
                <w:szCs w:val="21"/>
                <w:spacing w:val="-25"/>
              </w:rPr>
              <w:t>目</w:t>
            </w:r>
            <w:r>
              <w:rPr>
                <w:sz w:val="21"/>
                <w:szCs w:val="21"/>
                <w:spacing w:val="-31"/>
              </w:rPr>
              <w:t xml:space="preserve"> </w:t>
            </w:r>
            <w:r>
              <w:rPr>
                <w:sz w:val="21"/>
                <w:szCs w:val="21"/>
                <w:spacing w:val="-25"/>
              </w:rPr>
              <w:t>。</w:t>
            </w:r>
          </w:p>
        </w:tc>
        <w:tc>
          <w:tcPr>
            <w:tcW w:w="664" w:type="dxa"/>
            <w:vAlign w:val="top"/>
          </w:tcPr>
          <w:p>
            <w:pPr>
              <w:spacing w:line="374" w:lineRule="auto"/>
              <w:rPr>
                <w:rFonts w:ascii="Arial"/>
                <w:sz w:val="21"/>
              </w:rPr>
            </w:pPr>
            <w:r/>
          </w:p>
          <w:p>
            <w:pPr>
              <w:pStyle w:val="TableText"/>
              <w:ind w:left="119"/>
              <w:spacing w:before="68" w:line="219" w:lineRule="auto"/>
              <w:rPr>
                <w:sz w:val="21"/>
                <w:szCs w:val="21"/>
              </w:rPr>
            </w:pPr>
            <w:r>
              <w:rPr>
                <w:sz w:val="21"/>
                <w:szCs w:val="21"/>
                <w:spacing w:val="-3"/>
              </w:rPr>
              <w:t>符合</w:t>
            </w:r>
          </w:p>
        </w:tc>
      </w:tr>
      <w:tr>
        <w:trPr>
          <w:trHeight w:val="2468" w:hRule="atLeast"/>
        </w:trPr>
        <w:tc>
          <w:tcPr>
            <w:tcW w:w="1153" w:type="dxa"/>
            <w:vAlign w:val="top"/>
            <w:vMerge w:val="continue"/>
            <w:tcBorders>
              <w:top w:val="nil"/>
              <w:bottom w:val="nil"/>
            </w:tcBorders>
          </w:tcPr>
          <w:p>
            <w:pPr>
              <w:rPr>
                <w:rFonts w:ascii="Arial"/>
                <w:sz w:val="21"/>
              </w:rPr>
            </w:pPr>
            <w:r/>
          </w:p>
        </w:tc>
        <w:tc>
          <w:tcPr>
            <w:tcW w:w="4455" w:type="dxa"/>
            <w:vAlign w:val="top"/>
          </w:tcPr>
          <w:p>
            <w:pPr>
              <w:pStyle w:val="TableText"/>
              <w:ind w:left="12" w:right="104"/>
              <w:spacing w:before="56" w:line="239" w:lineRule="auto"/>
              <w:rPr>
                <w:sz w:val="21"/>
                <w:szCs w:val="21"/>
              </w:rPr>
            </w:pPr>
            <w:r>
              <w:rPr>
                <w:sz w:val="21"/>
                <w:szCs w:val="21"/>
                <w:spacing w:val="1"/>
              </w:rPr>
              <w:t>禁止建设以下燃油汽车投资项目(不在中国境内 </w:t>
            </w:r>
            <w:r>
              <w:rPr>
                <w:sz w:val="21"/>
                <w:szCs w:val="21"/>
                <w:spacing w:val="-1"/>
              </w:rPr>
              <w:t>销售产品的投资项目除外):(一)新建独立燃</w:t>
            </w:r>
          </w:p>
          <w:p>
            <w:pPr>
              <w:pStyle w:val="TableText"/>
              <w:ind w:left="12" w:right="114"/>
              <w:spacing w:before="7" w:line="238" w:lineRule="auto"/>
              <w:rPr>
                <w:sz w:val="21"/>
                <w:szCs w:val="21"/>
              </w:rPr>
            </w:pPr>
            <w:r>
              <w:rPr>
                <w:sz w:val="21"/>
                <w:szCs w:val="21"/>
              </w:rPr>
              <w:t>油汽车企业；(二)现有汽车企业跨乘用车、商</w:t>
            </w:r>
            <w:r>
              <w:rPr>
                <w:sz w:val="21"/>
                <w:szCs w:val="21"/>
                <w:spacing w:val="6"/>
              </w:rPr>
              <w:t xml:space="preserve">  </w:t>
            </w:r>
            <w:r>
              <w:rPr>
                <w:sz w:val="21"/>
                <w:szCs w:val="21"/>
                <w:spacing w:val="-1"/>
              </w:rPr>
              <w:t>用车类别建设燃油汽车生产能力；(三)外省现</w:t>
            </w:r>
            <w:r>
              <w:rPr>
                <w:sz w:val="21"/>
                <w:szCs w:val="21"/>
                <w:spacing w:val="5"/>
              </w:rPr>
              <w:t xml:space="preserve">  </w:t>
            </w:r>
            <w:r>
              <w:rPr>
                <w:sz w:val="21"/>
                <w:szCs w:val="21"/>
              </w:rPr>
              <w:t>有燃油汽车企业整体搬迁至本省(列入国家级区</w:t>
            </w:r>
            <w:r>
              <w:rPr>
                <w:sz w:val="21"/>
                <w:szCs w:val="21"/>
                <w:spacing w:val="11"/>
              </w:rPr>
              <w:t xml:space="preserve"> </w:t>
            </w:r>
            <w:r>
              <w:rPr>
                <w:sz w:val="21"/>
                <w:szCs w:val="21"/>
                <w:spacing w:val="-1"/>
              </w:rPr>
              <w:t>域发展规划或不改变企业股权结构的项目除</w:t>
            </w:r>
          </w:p>
          <w:p>
            <w:pPr>
              <w:pStyle w:val="TableText"/>
              <w:ind w:left="12"/>
              <w:spacing w:before="5" w:line="219" w:lineRule="auto"/>
              <w:rPr>
                <w:sz w:val="21"/>
                <w:szCs w:val="21"/>
              </w:rPr>
            </w:pPr>
            <w:r>
              <w:rPr>
                <w:sz w:val="21"/>
                <w:szCs w:val="21"/>
              </w:rPr>
              <w:t>外);(四)对行业管理部门特别公示的燃油汽</w:t>
            </w:r>
          </w:p>
          <w:p>
            <w:pPr>
              <w:pStyle w:val="TableText"/>
              <w:ind w:left="12" w:right="137"/>
              <w:spacing w:before="21" w:line="216" w:lineRule="auto"/>
              <w:rPr>
                <w:sz w:val="21"/>
                <w:szCs w:val="21"/>
              </w:rPr>
            </w:pPr>
            <w:r>
              <w:rPr>
                <w:sz w:val="21"/>
                <w:szCs w:val="21"/>
                <w:spacing w:val="-1"/>
              </w:rPr>
              <w:t>车企业进行投资(企业原有股东投资或将该企业</w:t>
            </w:r>
            <w:r>
              <w:rPr>
                <w:sz w:val="21"/>
                <w:szCs w:val="21"/>
                <w:spacing w:val="10"/>
              </w:rPr>
              <w:t xml:space="preserve"> </w:t>
            </w:r>
            <w:r>
              <w:rPr>
                <w:sz w:val="21"/>
                <w:szCs w:val="21"/>
                <w:spacing w:val="-1"/>
              </w:rPr>
              <w:t>转为非独立法人的投资项目除外)。</w:t>
            </w:r>
          </w:p>
        </w:tc>
        <w:tc>
          <w:tcPr>
            <w:tcW w:w="2817" w:type="dxa"/>
            <w:vAlign w:val="top"/>
          </w:tcPr>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16" w:right="176"/>
              <w:spacing w:before="68" w:line="224" w:lineRule="auto"/>
              <w:jc w:val="both"/>
              <w:rPr>
                <w:sz w:val="21"/>
                <w:szCs w:val="21"/>
              </w:rPr>
            </w:pPr>
            <w:r>
              <w:rPr>
                <w:sz w:val="21"/>
                <w:szCs w:val="21"/>
                <w:spacing w:val="-1"/>
              </w:rPr>
              <w:t>项目为“C1351牲畜屠宰”行</w:t>
            </w:r>
            <w:r>
              <w:rPr>
                <w:sz w:val="21"/>
                <w:szCs w:val="21"/>
                <w:spacing w:val="2"/>
              </w:rPr>
              <w:t xml:space="preserve"> </w:t>
            </w:r>
            <w:r>
              <w:rPr>
                <w:sz w:val="21"/>
                <w:szCs w:val="21"/>
                <w:spacing w:val="1"/>
              </w:rPr>
              <w:t>业，不属于燃油汽车投资项</w:t>
            </w:r>
            <w:r>
              <w:rPr>
                <w:sz w:val="21"/>
                <w:szCs w:val="21"/>
              </w:rPr>
              <w:t xml:space="preserve"> </w:t>
            </w:r>
            <w:r>
              <w:rPr>
                <w:sz w:val="21"/>
                <w:szCs w:val="21"/>
                <w:spacing w:val="-25"/>
              </w:rPr>
              <w:t>目</w:t>
            </w:r>
            <w:r>
              <w:rPr>
                <w:sz w:val="21"/>
                <w:szCs w:val="21"/>
                <w:spacing w:val="-31"/>
              </w:rPr>
              <w:t xml:space="preserve"> </w:t>
            </w:r>
            <w:r>
              <w:rPr>
                <w:sz w:val="21"/>
                <w:szCs w:val="21"/>
                <w:spacing w:val="-25"/>
              </w:rPr>
              <w:t>。</w:t>
            </w:r>
          </w:p>
        </w:tc>
        <w:tc>
          <w:tcPr>
            <w:tcW w:w="664" w:type="dxa"/>
            <w:vAlign w:val="top"/>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pStyle w:val="TableText"/>
              <w:ind w:left="119"/>
              <w:spacing w:before="68" w:line="219" w:lineRule="auto"/>
              <w:rPr>
                <w:sz w:val="21"/>
                <w:szCs w:val="21"/>
              </w:rPr>
            </w:pPr>
            <w:r>
              <w:rPr>
                <w:sz w:val="21"/>
                <w:szCs w:val="21"/>
                <w:spacing w:val="-3"/>
              </w:rPr>
              <w:t>符合</w:t>
            </w:r>
          </w:p>
        </w:tc>
      </w:tr>
      <w:tr>
        <w:trPr>
          <w:trHeight w:val="560" w:hRule="atLeast"/>
        </w:trPr>
        <w:tc>
          <w:tcPr>
            <w:tcW w:w="1153" w:type="dxa"/>
            <w:vAlign w:val="top"/>
            <w:vMerge w:val="continue"/>
            <w:tcBorders>
              <w:top w:val="nil"/>
            </w:tcBorders>
          </w:tcPr>
          <w:p>
            <w:pPr>
              <w:rPr>
                <w:rFonts w:ascii="Arial"/>
                <w:sz w:val="21"/>
              </w:rPr>
            </w:pPr>
            <w:r/>
          </w:p>
        </w:tc>
        <w:tc>
          <w:tcPr>
            <w:tcW w:w="4455" w:type="dxa"/>
            <w:vAlign w:val="top"/>
          </w:tcPr>
          <w:p>
            <w:pPr>
              <w:pStyle w:val="TableText"/>
              <w:ind w:left="12"/>
              <w:spacing w:before="47" w:line="221" w:lineRule="auto"/>
              <w:rPr>
                <w:sz w:val="21"/>
                <w:szCs w:val="21"/>
              </w:rPr>
            </w:pPr>
            <w:r>
              <w:rPr>
                <w:sz w:val="21"/>
                <w:szCs w:val="21"/>
                <w:spacing w:val="1"/>
              </w:rPr>
              <w:t>禁止新建、扩建不符合要求的高耗能、高排放、</w:t>
            </w:r>
            <w:r>
              <w:rPr>
                <w:sz w:val="21"/>
                <w:szCs w:val="21"/>
              </w:rPr>
              <w:t xml:space="preserve"> </w:t>
            </w:r>
            <w:r>
              <w:rPr>
                <w:sz w:val="21"/>
                <w:szCs w:val="21"/>
                <w:spacing w:val="-4"/>
              </w:rPr>
              <w:t>低水平项目。</w:t>
            </w:r>
          </w:p>
        </w:tc>
        <w:tc>
          <w:tcPr>
            <w:tcW w:w="2817" w:type="dxa"/>
            <w:vAlign w:val="top"/>
          </w:tcPr>
          <w:p>
            <w:pPr>
              <w:pStyle w:val="TableText"/>
              <w:ind w:left="862" w:hanging="846"/>
              <w:spacing w:before="47" w:line="221" w:lineRule="auto"/>
              <w:rPr>
                <w:sz w:val="21"/>
                <w:szCs w:val="21"/>
              </w:rPr>
            </w:pPr>
            <w:r>
              <w:rPr>
                <w:sz w:val="21"/>
                <w:szCs w:val="21"/>
                <w:spacing w:val="4"/>
              </w:rPr>
              <w:t>项目不属于高耗能、高排放、</w:t>
            </w:r>
            <w:r>
              <w:rPr>
                <w:sz w:val="21"/>
                <w:szCs w:val="21"/>
                <w:spacing w:val="7"/>
              </w:rPr>
              <w:t xml:space="preserve"> </w:t>
            </w:r>
            <w:r>
              <w:rPr>
                <w:sz w:val="21"/>
                <w:szCs w:val="21"/>
                <w:spacing w:val="4"/>
              </w:rPr>
              <w:t>低水平项目</w:t>
            </w:r>
          </w:p>
        </w:tc>
        <w:tc>
          <w:tcPr>
            <w:tcW w:w="664" w:type="dxa"/>
            <w:vAlign w:val="top"/>
          </w:tcPr>
          <w:p>
            <w:pPr>
              <w:pStyle w:val="TableText"/>
              <w:ind w:left="119"/>
              <w:spacing w:before="187" w:line="219" w:lineRule="auto"/>
              <w:rPr>
                <w:sz w:val="21"/>
                <w:szCs w:val="21"/>
              </w:rPr>
            </w:pPr>
            <w:r>
              <w:rPr>
                <w:sz w:val="21"/>
                <w:szCs w:val="21"/>
                <w:spacing w:val="-3"/>
              </w:rPr>
              <w:t>符合</w:t>
            </w:r>
          </w:p>
        </w:tc>
      </w:tr>
      <w:tr>
        <w:trPr>
          <w:trHeight w:val="1124" w:hRule="atLeast"/>
        </w:trPr>
        <w:tc>
          <w:tcPr>
            <w:tcW w:w="1153" w:type="dxa"/>
            <w:vAlign w:val="top"/>
          </w:tcPr>
          <w:p>
            <w:pPr>
              <w:pStyle w:val="TableText"/>
              <w:spacing w:before="178" w:line="220" w:lineRule="auto"/>
              <w:rPr>
                <w:sz w:val="21"/>
                <w:szCs w:val="21"/>
              </w:rPr>
            </w:pPr>
            <w:r>
              <w:rPr>
                <w:sz w:val="21"/>
                <w:szCs w:val="21"/>
                <w:spacing w:val="-5"/>
              </w:rPr>
              <w:t>《中华人民</w:t>
            </w:r>
          </w:p>
          <w:p>
            <w:pPr>
              <w:pStyle w:val="TableText"/>
              <w:ind w:left="45"/>
              <w:spacing w:before="39" w:line="219" w:lineRule="auto"/>
              <w:rPr>
                <w:sz w:val="21"/>
                <w:szCs w:val="21"/>
              </w:rPr>
            </w:pPr>
            <w:r>
              <w:rPr>
                <w:sz w:val="21"/>
                <w:szCs w:val="21"/>
                <w:spacing w:val="-2"/>
              </w:rPr>
              <w:t>共和国长江</w:t>
            </w:r>
          </w:p>
          <w:p>
            <w:pPr>
              <w:pStyle w:val="TableText"/>
              <w:ind w:left="194"/>
              <w:spacing w:before="1" w:line="220" w:lineRule="auto"/>
              <w:rPr>
                <w:sz w:val="21"/>
                <w:szCs w:val="21"/>
              </w:rPr>
            </w:pPr>
            <w:r>
              <w:rPr>
                <w:sz w:val="21"/>
                <w:szCs w:val="21"/>
                <w:spacing w:val="1"/>
              </w:rPr>
              <w:t>保护法》</w:t>
            </w:r>
          </w:p>
        </w:tc>
        <w:tc>
          <w:tcPr>
            <w:tcW w:w="4455" w:type="dxa"/>
            <w:vAlign w:val="top"/>
          </w:tcPr>
          <w:p>
            <w:pPr>
              <w:pStyle w:val="TableText"/>
              <w:ind w:left="12"/>
              <w:spacing w:before="35" w:line="237" w:lineRule="auto"/>
              <w:jc w:val="both"/>
              <w:rPr>
                <w:sz w:val="21"/>
                <w:szCs w:val="21"/>
              </w:rPr>
            </w:pPr>
            <w:r>
              <w:rPr>
                <w:sz w:val="21"/>
                <w:szCs w:val="21"/>
                <w:spacing w:val="-9"/>
              </w:rPr>
              <w:t>第二十条禁止占用永久基本农田，国家重大战略本</w:t>
            </w:r>
            <w:r>
              <w:rPr>
                <w:sz w:val="21"/>
                <w:szCs w:val="21"/>
                <w:spacing w:val="9"/>
              </w:rPr>
              <w:t xml:space="preserve"> </w:t>
            </w:r>
            <w:r>
              <w:rPr>
                <w:sz w:val="21"/>
                <w:szCs w:val="21"/>
              </w:rPr>
              <w:t>资源勘查、生态保护修复和环境治理、重大基础</w:t>
            </w:r>
            <w:r>
              <w:rPr>
                <w:sz w:val="21"/>
                <w:szCs w:val="21"/>
                <w:spacing w:val="4"/>
              </w:rPr>
              <w:t xml:space="preserve"> </w:t>
            </w:r>
            <w:r>
              <w:rPr>
                <w:sz w:val="21"/>
                <w:szCs w:val="21"/>
              </w:rPr>
              <w:t>设施、军事国防以及农牧民基本生产生活等必要</w:t>
            </w:r>
            <w:r>
              <w:rPr>
                <w:sz w:val="21"/>
                <w:szCs w:val="21"/>
                <w:spacing w:val="3"/>
              </w:rPr>
              <w:t xml:space="preserve"> </w:t>
            </w:r>
            <w:r>
              <w:rPr>
                <w:sz w:val="21"/>
                <w:szCs w:val="21"/>
              </w:rPr>
              <w:t>的民生项目(包括深度贫困地区、集中连片特困</w:t>
            </w:r>
          </w:p>
        </w:tc>
        <w:tc>
          <w:tcPr>
            <w:tcW w:w="2817" w:type="dxa"/>
            <w:vAlign w:val="top"/>
          </w:tcPr>
          <w:p>
            <w:pPr>
              <w:pStyle w:val="TableText"/>
              <w:ind w:left="16" w:right="35" w:firstLine="50"/>
              <w:spacing w:before="49" w:line="234" w:lineRule="auto"/>
              <w:rPr>
                <w:sz w:val="21"/>
                <w:szCs w:val="21"/>
              </w:rPr>
            </w:pPr>
            <w:r>
              <w:rPr>
                <w:sz w:val="21"/>
                <w:szCs w:val="21"/>
                <w:spacing w:val="1"/>
              </w:rPr>
              <w:t>项目为改扩建项目，位于四</w:t>
            </w:r>
            <w:r>
              <w:rPr>
                <w:sz w:val="21"/>
                <w:szCs w:val="21"/>
                <w:spacing w:val="4"/>
              </w:rPr>
              <w:t xml:space="preserve">  </w:t>
            </w:r>
            <w:r>
              <w:rPr>
                <w:sz w:val="21"/>
                <w:szCs w:val="21"/>
                <w:spacing w:val="1"/>
              </w:rPr>
              <w:t>川绵阳安州工业园区内，新增</w:t>
            </w:r>
            <w:r>
              <w:rPr>
                <w:sz w:val="21"/>
                <w:szCs w:val="21"/>
                <w:spacing w:val="3"/>
              </w:rPr>
              <w:t xml:space="preserve"> </w:t>
            </w:r>
            <w:r>
              <w:rPr>
                <w:sz w:val="21"/>
                <w:szCs w:val="21"/>
                <w:spacing w:val="1"/>
              </w:rPr>
              <w:t>用地于2020年11月13日取得由</w:t>
            </w:r>
            <w:r>
              <w:rPr>
                <w:sz w:val="21"/>
                <w:szCs w:val="21"/>
                <w:spacing w:val="6"/>
              </w:rPr>
              <w:t xml:space="preserve"> </w:t>
            </w:r>
            <w:r>
              <w:rPr>
                <w:sz w:val="21"/>
                <w:szCs w:val="21"/>
              </w:rPr>
              <w:t>绵阳市安州区自然资源局颁发</w:t>
            </w:r>
          </w:p>
        </w:tc>
        <w:tc>
          <w:tcPr>
            <w:tcW w:w="664" w:type="dxa"/>
            <w:vAlign w:val="top"/>
          </w:tcPr>
          <w:p>
            <w:pPr>
              <w:spacing w:line="397" w:lineRule="auto"/>
              <w:rPr>
                <w:rFonts w:ascii="Arial"/>
                <w:sz w:val="21"/>
              </w:rPr>
            </w:pPr>
            <w:r/>
          </w:p>
          <w:p>
            <w:pPr>
              <w:pStyle w:val="TableText"/>
              <w:ind w:left="119"/>
              <w:spacing w:before="68" w:line="219" w:lineRule="auto"/>
              <w:rPr>
                <w:sz w:val="21"/>
                <w:szCs w:val="21"/>
              </w:rPr>
            </w:pPr>
            <w:r>
              <w:rPr>
                <w:sz w:val="21"/>
                <w:szCs w:val="21"/>
                <w:spacing w:val="-3"/>
              </w:rPr>
              <w:t>符合</w:t>
            </w:r>
          </w:p>
        </w:tc>
      </w:tr>
    </w:tbl>
    <w:p>
      <w:pPr>
        <w:pStyle w:val="BodyText"/>
        <w:rPr/>
      </w:pPr>
      <w:r/>
    </w:p>
    <w:p>
      <w:pPr>
        <w:sectPr>
          <w:headerReference w:type="default" r:id="rId74"/>
          <w:footerReference w:type="default" r:id="rId75"/>
          <w:pgSz w:w="11910" w:h="16840"/>
          <w:pgMar w:top="1180" w:right="1415" w:bottom="971" w:left="1395" w:header="872" w:footer="712" w:gutter="0"/>
        </w:sectPr>
        <w:rPr/>
      </w:pPr>
    </w:p>
    <w:p>
      <w:pPr>
        <w:spacing w:before="13"/>
        <w:rPr/>
      </w:pPr>
      <w:r/>
    </w:p>
    <w:tbl>
      <w:tblPr>
        <w:tblStyle w:val="TableNormal"/>
        <w:tblW w:w="90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153"/>
        <w:gridCol w:w="4455"/>
        <w:gridCol w:w="2807"/>
        <w:gridCol w:w="664"/>
      </w:tblGrid>
      <w:tr>
        <w:trPr>
          <w:trHeight w:val="275" w:hRule="atLeast"/>
        </w:trPr>
        <w:tc>
          <w:tcPr>
            <w:shd w:val="clear" w:fill="BDBDBD"/>
            <w:tcW w:w="1153" w:type="dxa"/>
            <w:vAlign w:val="top"/>
          </w:tcPr>
          <w:p>
            <w:pPr>
              <w:pStyle w:val="TableText"/>
              <w:ind w:left="357"/>
              <w:spacing w:before="30" w:line="206" w:lineRule="auto"/>
              <w:rPr>
                <w:sz w:val="21"/>
                <w:szCs w:val="21"/>
              </w:rPr>
            </w:pPr>
            <w:r>
              <w:rPr>
                <w:sz w:val="21"/>
                <w:szCs w:val="21"/>
                <w:b/>
                <w:bCs/>
                <w:spacing w:val="-5"/>
              </w:rPr>
              <w:t>文件</w:t>
            </w:r>
          </w:p>
        </w:tc>
        <w:tc>
          <w:tcPr>
            <w:shd w:val="clear" w:fill="BDBDBD"/>
            <w:tcW w:w="4455" w:type="dxa"/>
            <w:vAlign w:val="top"/>
          </w:tcPr>
          <w:p>
            <w:pPr>
              <w:pStyle w:val="TableText"/>
              <w:ind w:left="1815"/>
              <w:spacing w:before="30" w:line="206" w:lineRule="auto"/>
              <w:rPr>
                <w:sz w:val="21"/>
                <w:szCs w:val="21"/>
              </w:rPr>
            </w:pPr>
            <w:r>
              <w:rPr>
                <w:sz w:val="21"/>
                <w:szCs w:val="21"/>
                <w:b/>
                <w:bCs/>
                <w:spacing w:val="-6"/>
              </w:rPr>
              <w:t>负面清单</w:t>
            </w:r>
          </w:p>
        </w:tc>
        <w:tc>
          <w:tcPr>
            <w:shd w:val="clear" w:fill="BDBDBD"/>
            <w:tcW w:w="2807" w:type="dxa"/>
            <w:vAlign w:val="top"/>
          </w:tcPr>
          <w:p>
            <w:pPr>
              <w:pStyle w:val="TableText"/>
              <w:ind w:left="1069"/>
              <w:spacing w:before="29" w:line="207" w:lineRule="auto"/>
              <w:rPr>
                <w:sz w:val="21"/>
                <w:szCs w:val="21"/>
              </w:rPr>
            </w:pPr>
            <w:r>
              <w:rPr>
                <w:sz w:val="21"/>
                <w:szCs w:val="21"/>
                <w:b/>
                <w:bCs/>
                <w:spacing w:val="9"/>
              </w:rPr>
              <w:t>本项目</w:t>
            </w:r>
          </w:p>
        </w:tc>
        <w:tc>
          <w:tcPr>
            <w:shd w:val="clear" w:fill="BDBDBD"/>
            <w:tcW w:w="664" w:type="dxa"/>
            <w:vAlign w:val="top"/>
          </w:tcPr>
          <w:p>
            <w:pPr>
              <w:pStyle w:val="TableText"/>
              <w:ind w:left="13"/>
              <w:spacing w:before="30" w:line="206" w:lineRule="auto"/>
              <w:rPr>
                <w:sz w:val="21"/>
                <w:szCs w:val="21"/>
              </w:rPr>
            </w:pPr>
            <w:r>
              <w:rPr>
                <w:sz w:val="21"/>
                <w:szCs w:val="21"/>
                <w:b/>
                <w:bCs/>
                <w:spacing w:val="-5"/>
              </w:rPr>
              <w:t>符合性</w:t>
            </w:r>
          </w:p>
        </w:tc>
      </w:tr>
      <w:tr>
        <w:trPr>
          <w:trHeight w:val="1079" w:hRule="atLeast"/>
        </w:trPr>
        <w:tc>
          <w:tcPr>
            <w:tcW w:w="1153" w:type="dxa"/>
            <w:vAlign w:val="top"/>
            <w:vMerge w:val="restart"/>
            <w:tcBorders>
              <w:bottom w:val="nil"/>
            </w:tcBorders>
          </w:tcPr>
          <w:p>
            <w:pPr>
              <w:rPr>
                <w:rFonts w:ascii="Arial"/>
                <w:sz w:val="21"/>
              </w:rPr>
            </w:pPr>
            <w:r/>
          </w:p>
        </w:tc>
        <w:tc>
          <w:tcPr>
            <w:tcW w:w="4455" w:type="dxa"/>
            <w:vAlign w:val="top"/>
          </w:tcPr>
          <w:p>
            <w:pPr>
              <w:pStyle w:val="TableText"/>
              <w:ind w:left="11" w:right="31"/>
              <w:spacing w:before="29" w:line="235" w:lineRule="auto"/>
              <w:rPr>
                <w:sz w:val="21"/>
                <w:szCs w:val="21"/>
              </w:rPr>
            </w:pPr>
            <w:r>
              <w:rPr>
                <w:sz w:val="21"/>
                <w:szCs w:val="21"/>
                <w:spacing w:val="-1"/>
              </w:rPr>
              <w:t>地区、国家扶贫开发工作重点县省级以下基础设</w:t>
            </w:r>
            <w:r>
              <w:rPr>
                <w:sz w:val="21"/>
                <w:szCs w:val="21"/>
                <w:spacing w:val="11"/>
              </w:rPr>
              <w:t xml:space="preserve"> </w:t>
            </w:r>
            <w:r>
              <w:rPr>
                <w:sz w:val="21"/>
                <w:szCs w:val="21"/>
                <w:spacing w:val="-1"/>
              </w:rPr>
              <w:t>施、易地扶贫搬迁、民生发展等建设项目),选</w:t>
            </w:r>
          </w:p>
          <w:p>
            <w:pPr>
              <w:pStyle w:val="TableText"/>
              <w:ind w:left="11" w:right="32"/>
              <w:spacing w:before="4" w:line="220" w:lineRule="auto"/>
              <w:rPr>
                <w:sz w:val="21"/>
                <w:szCs w:val="21"/>
              </w:rPr>
            </w:pPr>
            <w:r>
              <w:rPr>
                <w:sz w:val="21"/>
                <w:szCs w:val="21"/>
                <w:spacing w:val="-1"/>
              </w:rPr>
              <w:t>址确实难以避让永久基本农田的，按程序严格论</w:t>
            </w:r>
            <w:r>
              <w:rPr>
                <w:sz w:val="21"/>
                <w:szCs w:val="21"/>
                <w:spacing w:val="10"/>
              </w:rPr>
              <w:t xml:space="preserve"> </w:t>
            </w:r>
            <w:r>
              <w:rPr>
                <w:sz w:val="21"/>
                <w:szCs w:val="21"/>
                <w:spacing w:val="-1"/>
              </w:rPr>
              <w:t>证后依法依规报批。</w:t>
            </w:r>
          </w:p>
        </w:tc>
        <w:tc>
          <w:tcPr>
            <w:tcW w:w="2807" w:type="dxa"/>
            <w:vAlign w:val="top"/>
          </w:tcPr>
          <w:p>
            <w:pPr>
              <w:pStyle w:val="TableText"/>
              <w:ind w:left="16" w:right="265"/>
              <w:spacing w:before="27" w:line="229" w:lineRule="auto"/>
              <w:jc w:val="both"/>
              <w:rPr>
                <w:sz w:val="21"/>
                <w:szCs w:val="21"/>
              </w:rPr>
            </w:pPr>
            <w:r>
              <w:rPr>
                <w:sz w:val="21"/>
                <w:szCs w:val="21"/>
                <w:spacing w:val="2"/>
              </w:rPr>
              <w:t>的不动产权证书(川(2020)</w:t>
            </w:r>
            <w:r>
              <w:rPr>
                <w:sz w:val="21"/>
                <w:szCs w:val="21"/>
                <w:spacing w:val="9"/>
              </w:rPr>
              <w:t xml:space="preserve"> </w:t>
            </w:r>
            <w:r>
              <w:rPr>
                <w:sz w:val="21"/>
                <w:szCs w:val="21"/>
              </w:rPr>
              <w:t>安州区不动产权第0004103</w:t>
            </w:r>
            <w:r>
              <w:rPr>
                <w:sz w:val="21"/>
                <w:szCs w:val="21"/>
                <w:spacing w:val="3"/>
              </w:rPr>
              <w:t xml:space="preserve">  </w:t>
            </w:r>
            <w:r>
              <w:rPr>
                <w:sz w:val="21"/>
                <w:szCs w:val="21"/>
                <w:spacing w:val="-1"/>
              </w:rPr>
              <w:t>号),占地为二类工业用地，</w:t>
            </w:r>
            <w:r>
              <w:rPr>
                <w:sz w:val="21"/>
                <w:szCs w:val="21"/>
                <w:spacing w:val="6"/>
              </w:rPr>
              <w:t xml:space="preserve"> </w:t>
            </w:r>
            <w:r>
              <w:rPr>
                <w:sz w:val="21"/>
                <w:szCs w:val="21"/>
                <w:spacing w:val="-1"/>
              </w:rPr>
              <w:t>不涉及基本农田。</w:t>
            </w:r>
          </w:p>
        </w:tc>
        <w:tc>
          <w:tcPr>
            <w:tcW w:w="664" w:type="dxa"/>
            <w:vAlign w:val="top"/>
          </w:tcPr>
          <w:p>
            <w:pPr>
              <w:rPr>
                <w:rFonts w:ascii="Arial"/>
                <w:sz w:val="21"/>
              </w:rPr>
            </w:pPr>
            <w:r/>
          </w:p>
        </w:tc>
      </w:tr>
      <w:tr>
        <w:trPr>
          <w:trHeight w:val="1628" w:hRule="atLeast"/>
        </w:trPr>
        <w:tc>
          <w:tcPr>
            <w:tcW w:w="1153" w:type="dxa"/>
            <w:vAlign w:val="top"/>
            <w:vMerge w:val="continue"/>
            <w:tcBorders>
              <w:top w:val="nil"/>
              <w:bottom w:val="nil"/>
            </w:tcBorders>
          </w:tcPr>
          <w:p>
            <w:pPr>
              <w:rPr>
                <w:rFonts w:ascii="Arial"/>
                <w:sz w:val="21"/>
              </w:rPr>
            </w:pPr>
            <w:r/>
          </w:p>
        </w:tc>
        <w:tc>
          <w:tcPr>
            <w:tcW w:w="4455" w:type="dxa"/>
            <w:vAlign w:val="top"/>
          </w:tcPr>
          <w:p>
            <w:pPr>
              <w:pStyle w:val="TableText"/>
              <w:ind w:left="11"/>
              <w:spacing w:before="39" w:line="242" w:lineRule="auto"/>
              <w:rPr>
                <w:sz w:val="21"/>
                <w:szCs w:val="21"/>
              </w:rPr>
            </w:pPr>
            <w:r>
              <w:rPr>
                <w:sz w:val="21"/>
                <w:szCs w:val="21"/>
                <w:spacing w:val="1"/>
              </w:rPr>
              <w:t>第二十二条禁止在合规园区外新建、扩建钢铁、 </w:t>
            </w:r>
            <w:r>
              <w:rPr>
                <w:sz w:val="21"/>
                <w:szCs w:val="21"/>
              </w:rPr>
              <w:t>石化、化工、焦化、建材、有色等高污染项目。 </w:t>
            </w:r>
            <w:r>
              <w:rPr>
                <w:sz w:val="21"/>
                <w:szCs w:val="21"/>
                <w:spacing w:val="-5"/>
              </w:rPr>
              <w:t>合规园区指列入《中国开发区审核公告目录</w:t>
            </w:r>
          </w:p>
          <w:p>
            <w:pPr>
              <w:pStyle w:val="TableText"/>
              <w:ind w:left="31"/>
              <w:spacing w:before="2" w:line="212" w:lineRule="auto"/>
              <w:rPr>
                <w:sz w:val="21"/>
                <w:szCs w:val="21"/>
              </w:rPr>
            </w:pPr>
            <w:r>
              <w:rPr>
                <w:sz w:val="21"/>
                <w:szCs w:val="21"/>
              </w:rPr>
              <w:t>(2018年版)》或是由省级人民政府批准设立的</w:t>
            </w:r>
          </w:p>
          <w:p>
            <w:pPr>
              <w:pStyle w:val="TableText"/>
              <w:ind w:left="11"/>
              <w:spacing w:before="1" w:line="223" w:lineRule="auto"/>
              <w:rPr>
                <w:sz w:val="21"/>
                <w:szCs w:val="21"/>
              </w:rPr>
            </w:pPr>
            <w:r>
              <w:rPr>
                <w:sz w:val="21"/>
                <w:szCs w:val="21"/>
                <w:spacing w:val="1"/>
              </w:rPr>
              <w:t>园区。高污染项目应严格按照《环境保护综合名 </w:t>
            </w:r>
            <w:r>
              <w:rPr>
                <w:sz w:val="21"/>
                <w:szCs w:val="21"/>
                <w:spacing w:val="-1"/>
              </w:rPr>
              <w:t>录(2017年版)》“高污染”产品名录执行。</w:t>
            </w:r>
          </w:p>
        </w:tc>
        <w:tc>
          <w:tcPr>
            <w:tcW w:w="2807" w:type="dxa"/>
            <w:vAlign w:val="top"/>
          </w:tcPr>
          <w:p>
            <w:pPr>
              <w:pStyle w:val="TableText"/>
              <w:ind w:left="16" w:right="59"/>
              <w:spacing w:before="308"/>
              <w:rPr>
                <w:sz w:val="21"/>
                <w:szCs w:val="21"/>
              </w:rPr>
            </w:pPr>
            <w:r>
              <w:rPr>
                <w:sz w:val="21"/>
                <w:szCs w:val="21"/>
                <w:spacing w:val="-1"/>
              </w:rPr>
              <w:t>本项目位于四川绵阳安州工业</w:t>
            </w:r>
            <w:r>
              <w:rPr>
                <w:sz w:val="21"/>
                <w:szCs w:val="21"/>
                <w:spacing w:val="2"/>
              </w:rPr>
              <w:t xml:space="preserve"> </w:t>
            </w:r>
            <w:r>
              <w:rPr>
                <w:sz w:val="21"/>
                <w:szCs w:val="21"/>
                <w:spacing w:val="1"/>
              </w:rPr>
              <w:t>园区内，该园区属于合规园</w:t>
            </w:r>
          </w:p>
          <w:p>
            <w:pPr>
              <w:pStyle w:val="TableText"/>
              <w:ind w:left="16" w:right="37"/>
              <w:spacing w:before="3" w:line="227" w:lineRule="auto"/>
              <w:rPr>
                <w:sz w:val="21"/>
                <w:szCs w:val="21"/>
              </w:rPr>
            </w:pPr>
            <w:r>
              <w:rPr>
                <w:sz w:val="21"/>
                <w:szCs w:val="21"/>
              </w:rPr>
              <w:t>区，且本项目不属于高污染项</w:t>
            </w:r>
            <w:r>
              <w:rPr>
                <w:sz w:val="21"/>
                <w:szCs w:val="21"/>
                <w:spacing w:val="11"/>
              </w:rPr>
              <w:t xml:space="preserve"> </w:t>
            </w:r>
            <w:r>
              <w:rPr>
                <w:sz w:val="21"/>
                <w:szCs w:val="21"/>
                <w:spacing w:val="-25"/>
              </w:rPr>
              <w:t>目</w:t>
            </w:r>
            <w:r>
              <w:rPr>
                <w:sz w:val="21"/>
                <w:szCs w:val="21"/>
                <w:spacing w:val="-31"/>
              </w:rPr>
              <w:t xml:space="preserve"> </w:t>
            </w:r>
            <w:r>
              <w:rPr>
                <w:sz w:val="21"/>
                <w:szCs w:val="21"/>
                <w:spacing w:val="-25"/>
              </w:rPr>
              <w:t>。</w:t>
            </w:r>
          </w:p>
        </w:tc>
        <w:tc>
          <w:tcPr>
            <w:tcW w:w="664" w:type="dxa"/>
            <w:vAlign w:val="top"/>
          </w:tcPr>
          <w:p>
            <w:pPr>
              <w:spacing w:line="318" w:lineRule="auto"/>
              <w:rPr>
                <w:rFonts w:ascii="Arial"/>
                <w:sz w:val="21"/>
              </w:rPr>
            </w:pPr>
            <w:r/>
          </w:p>
          <w:p>
            <w:pPr>
              <w:spacing w:line="319" w:lineRule="auto"/>
              <w:rPr>
                <w:rFonts w:ascii="Arial"/>
                <w:sz w:val="21"/>
              </w:rPr>
            </w:pPr>
            <w:r/>
          </w:p>
          <w:p>
            <w:pPr>
              <w:pStyle w:val="TableText"/>
              <w:ind w:left="119"/>
              <w:spacing w:before="68" w:line="219" w:lineRule="auto"/>
              <w:rPr>
                <w:sz w:val="21"/>
                <w:szCs w:val="21"/>
              </w:rPr>
            </w:pPr>
            <w:r>
              <w:rPr>
                <w:sz w:val="21"/>
                <w:szCs w:val="21"/>
                <w:spacing w:val="-3"/>
              </w:rPr>
              <w:t>符合</w:t>
            </w:r>
          </w:p>
        </w:tc>
      </w:tr>
      <w:tr>
        <w:trPr>
          <w:trHeight w:val="1349" w:hRule="atLeast"/>
        </w:trPr>
        <w:tc>
          <w:tcPr>
            <w:tcW w:w="1153" w:type="dxa"/>
            <w:vAlign w:val="top"/>
            <w:vMerge w:val="continue"/>
            <w:tcBorders>
              <w:top w:val="nil"/>
              <w:bottom w:val="nil"/>
            </w:tcBorders>
          </w:tcPr>
          <w:p>
            <w:pPr>
              <w:rPr>
                <w:rFonts w:ascii="Arial"/>
                <w:sz w:val="21"/>
              </w:rPr>
            </w:pPr>
            <w:r/>
          </w:p>
        </w:tc>
        <w:tc>
          <w:tcPr>
            <w:tcW w:w="4455" w:type="dxa"/>
            <w:vAlign w:val="top"/>
          </w:tcPr>
          <w:p>
            <w:pPr>
              <w:pStyle w:val="TableText"/>
              <w:ind w:left="11" w:right="9"/>
              <w:spacing w:before="42" w:line="228" w:lineRule="auto"/>
              <w:jc w:val="both"/>
              <w:rPr>
                <w:sz w:val="21"/>
                <w:szCs w:val="21"/>
              </w:rPr>
            </w:pPr>
            <w:r>
              <w:rPr>
                <w:sz w:val="21"/>
                <w:szCs w:val="21"/>
                <w:spacing w:val="-1"/>
              </w:rPr>
              <w:t>第二十五条禁止新建、扩建法律法规和相关政策</w:t>
            </w:r>
            <w:r>
              <w:rPr>
                <w:sz w:val="21"/>
                <w:szCs w:val="21"/>
                <w:spacing w:val="11"/>
              </w:rPr>
              <w:t xml:space="preserve"> </w:t>
            </w:r>
            <w:r>
              <w:rPr>
                <w:sz w:val="21"/>
                <w:szCs w:val="21"/>
              </w:rPr>
              <w:t>明令禁止的落后产能项目。对《产业结构调整指</w:t>
            </w:r>
            <w:r>
              <w:rPr>
                <w:sz w:val="21"/>
                <w:szCs w:val="21"/>
                <w:spacing w:val="13"/>
              </w:rPr>
              <w:t xml:space="preserve"> </w:t>
            </w:r>
            <w:r>
              <w:rPr>
                <w:sz w:val="21"/>
                <w:szCs w:val="21"/>
              </w:rPr>
              <w:t>导目录》中淘汰类项目，禁止投资；限制类的新</w:t>
            </w:r>
            <w:r>
              <w:rPr>
                <w:sz w:val="21"/>
                <w:szCs w:val="21"/>
                <w:spacing w:val="7"/>
              </w:rPr>
              <w:t xml:space="preserve"> </w:t>
            </w:r>
            <w:r>
              <w:rPr>
                <w:sz w:val="21"/>
                <w:szCs w:val="21"/>
              </w:rPr>
              <w:t>建项目，禁止投资，对属于限制类的现有生产能</w:t>
            </w:r>
            <w:r>
              <w:rPr>
                <w:sz w:val="21"/>
                <w:szCs w:val="21"/>
                <w:spacing w:val="9"/>
              </w:rPr>
              <w:t xml:space="preserve"> </w:t>
            </w:r>
            <w:r>
              <w:rPr>
                <w:sz w:val="21"/>
                <w:szCs w:val="21"/>
                <w:spacing w:val="-1"/>
              </w:rPr>
              <w:t>力，允许企业在一定期限内采取措施改造升级。</w:t>
            </w:r>
          </w:p>
        </w:tc>
        <w:tc>
          <w:tcPr>
            <w:tcW w:w="2807" w:type="dxa"/>
            <w:vAlign w:val="top"/>
          </w:tcPr>
          <w:p>
            <w:pPr>
              <w:pStyle w:val="TableText"/>
              <w:ind w:left="16" w:right="36"/>
              <w:spacing w:before="31" w:line="246" w:lineRule="auto"/>
              <w:rPr>
                <w:sz w:val="21"/>
                <w:szCs w:val="21"/>
              </w:rPr>
            </w:pPr>
            <w:r>
              <w:rPr>
                <w:sz w:val="21"/>
                <w:szCs w:val="21"/>
                <w:spacing w:val="1"/>
              </w:rPr>
              <w:t>项目不属于《产业结构调整指</w:t>
            </w:r>
            <w:r>
              <w:rPr>
                <w:sz w:val="21"/>
                <w:szCs w:val="21"/>
              </w:rPr>
              <w:t xml:space="preserve"> </w:t>
            </w:r>
            <w:r>
              <w:rPr>
                <w:sz w:val="21"/>
                <w:szCs w:val="21"/>
              </w:rPr>
              <w:t>导目录》(2024年本)中鼓励</w:t>
            </w:r>
          </w:p>
          <w:p>
            <w:pPr>
              <w:pStyle w:val="TableText"/>
              <w:ind w:left="16" w:right="37"/>
              <w:spacing w:before="2" w:line="221" w:lineRule="auto"/>
              <w:rPr>
                <w:sz w:val="21"/>
                <w:szCs w:val="21"/>
              </w:rPr>
            </w:pPr>
            <w:r>
              <w:rPr>
                <w:sz w:val="21"/>
                <w:szCs w:val="21"/>
              </w:rPr>
              <w:t>类、限制类和淘汰类，属于允</w:t>
            </w:r>
            <w:r>
              <w:rPr>
                <w:sz w:val="21"/>
                <w:szCs w:val="21"/>
                <w:spacing w:val="11"/>
              </w:rPr>
              <w:t xml:space="preserve"> </w:t>
            </w:r>
            <w:r>
              <w:rPr>
                <w:sz w:val="21"/>
                <w:szCs w:val="21"/>
                <w:spacing w:val="-1"/>
              </w:rPr>
              <w:t>许类行业，符合国家产业政</w:t>
            </w:r>
          </w:p>
          <w:p>
            <w:pPr>
              <w:pStyle w:val="TableText"/>
              <w:ind w:left="16"/>
              <w:spacing w:before="16" w:line="199" w:lineRule="auto"/>
              <w:rPr>
                <w:sz w:val="21"/>
                <w:szCs w:val="21"/>
              </w:rPr>
            </w:pPr>
            <w:r>
              <w:rPr>
                <w:sz w:val="21"/>
                <w:szCs w:val="21"/>
                <w:spacing w:val="-2"/>
              </w:rPr>
              <w:t>策。</w:t>
            </w:r>
          </w:p>
        </w:tc>
        <w:tc>
          <w:tcPr>
            <w:tcW w:w="664" w:type="dxa"/>
            <w:vAlign w:val="top"/>
          </w:tcPr>
          <w:p>
            <w:pPr>
              <w:spacing w:line="250" w:lineRule="auto"/>
              <w:rPr>
                <w:rFonts w:ascii="Arial"/>
                <w:sz w:val="21"/>
              </w:rPr>
            </w:pPr>
            <w:r/>
          </w:p>
          <w:p>
            <w:pPr>
              <w:spacing w:line="250" w:lineRule="auto"/>
              <w:rPr>
                <w:rFonts w:ascii="Arial"/>
                <w:sz w:val="21"/>
              </w:rPr>
            </w:pPr>
            <w:r/>
          </w:p>
          <w:p>
            <w:pPr>
              <w:pStyle w:val="TableText"/>
              <w:ind w:left="119"/>
              <w:spacing w:before="68" w:line="219" w:lineRule="auto"/>
              <w:rPr>
                <w:sz w:val="21"/>
                <w:szCs w:val="21"/>
              </w:rPr>
            </w:pPr>
            <w:r>
              <w:rPr>
                <w:sz w:val="21"/>
                <w:szCs w:val="21"/>
                <w:spacing w:val="-3"/>
              </w:rPr>
              <w:t>符合</w:t>
            </w:r>
          </w:p>
        </w:tc>
      </w:tr>
      <w:tr>
        <w:trPr>
          <w:trHeight w:val="1079" w:hRule="atLeast"/>
        </w:trPr>
        <w:tc>
          <w:tcPr>
            <w:tcW w:w="1153" w:type="dxa"/>
            <w:vAlign w:val="top"/>
            <w:vMerge w:val="continue"/>
            <w:tcBorders>
              <w:top w:val="nil"/>
            </w:tcBorders>
          </w:tcPr>
          <w:p>
            <w:pPr>
              <w:rPr>
                <w:rFonts w:ascii="Arial"/>
                <w:sz w:val="21"/>
              </w:rPr>
            </w:pPr>
            <w:r/>
          </w:p>
        </w:tc>
        <w:tc>
          <w:tcPr>
            <w:tcW w:w="4455" w:type="dxa"/>
            <w:vAlign w:val="top"/>
          </w:tcPr>
          <w:p>
            <w:pPr>
              <w:pStyle w:val="TableText"/>
              <w:ind w:left="11" w:right="1"/>
              <w:spacing w:before="54" w:line="223" w:lineRule="auto"/>
              <w:jc w:val="both"/>
              <w:rPr>
                <w:sz w:val="21"/>
                <w:szCs w:val="21"/>
              </w:rPr>
            </w:pPr>
            <w:r>
              <w:rPr>
                <w:sz w:val="21"/>
                <w:szCs w:val="21"/>
                <w:spacing w:val="-1"/>
              </w:rPr>
              <w:t>第二十六条禁止新建、扩建不符合国家产能置换</w:t>
            </w:r>
            <w:r>
              <w:rPr>
                <w:sz w:val="21"/>
                <w:szCs w:val="21"/>
                <w:spacing w:val="11"/>
              </w:rPr>
              <w:t xml:space="preserve"> </w:t>
            </w:r>
            <w:r>
              <w:rPr>
                <w:sz w:val="21"/>
                <w:szCs w:val="21"/>
                <w:spacing w:val="1"/>
              </w:rPr>
              <w:t>要求的严重过剩产能行业的项目。对于不符合国</w:t>
            </w:r>
            <w:r>
              <w:rPr>
                <w:sz w:val="21"/>
                <w:szCs w:val="21"/>
              </w:rPr>
              <w:t xml:space="preserve"> </w:t>
            </w:r>
            <w:r>
              <w:rPr>
                <w:sz w:val="21"/>
                <w:szCs w:val="21"/>
                <w:spacing w:val="-1"/>
              </w:rPr>
              <w:t>家产能置换要求的严重过剩产能行业，不得以其</w:t>
            </w:r>
            <w:r>
              <w:rPr>
                <w:sz w:val="21"/>
                <w:szCs w:val="21"/>
                <w:spacing w:val="10"/>
              </w:rPr>
              <w:t xml:space="preserve"> </w:t>
            </w:r>
            <w:r>
              <w:rPr>
                <w:sz w:val="21"/>
                <w:szCs w:val="21"/>
                <w:spacing w:val="-1"/>
              </w:rPr>
              <w:t>他任何名义、任何方式备案新增产能项目。</w:t>
            </w:r>
          </w:p>
        </w:tc>
        <w:tc>
          <w:tcPr>
            <w:tcW w:w="2807" w:type="dxa"/>
            <w:vAlign w:val="top"/>
          </w:tcPr>
          <w:p>
            <w:pPr>
              <w:pStyle w:val="TableText"/>
              <w:ind w:left="16" w:right="166"/>
              <w:spacing w:before="180" w:line="246" w:lineRule="auto"/>
              <w:jc w:val="both"/>
              <w:rPr>
                <w:sz w:val="21"/>
                <w:szCs w:val="21"/>
              </w:rPr>
            </w:pPr>
            <w:r>
              <w:rPr>
                <w:sz w:val="21"/>
                <w:szCs w:val="21"/>
                <w:spacing w:val="-1"/>
              </w:rPr>
              <w:t>项目为“C1351牲畜屠宰”项</w:t>
            </w:r>
            <w:r>
              <w:rPr>
                <w:sz w:val="21"/>
                <w:szCs w:val="21"/>
                <w:spacing w:val="2"/>
              </w:rPr>
              <w:t xml:space="preserve"> </w:t>
            </w:r>
            <w:r>
              <w:rPr>
                <w:sz w:val="21"/>
                <w:szCs w:val="21"/>
                <w:spacing w:val="1"/>
              </w:rPr>
              <w:t>目，未列入国家产能过剩项</w:t>
            </w:r>
            <w:r>
              <w:rPr>
                <w:sz w:val="21"/>
                <w:szCs w:val="21"/>
              </w:rPr>
              <w:t xml:space="preserve"> </w:t>
            </w:r>
            <w:r>
              <w:rPr>
                <w:sz w:val="21"/>
                <w:szCs w:val="21"/>
                <w:spacing w:val="-25"/>
              </w:rPr>
              <w:t>目</w:t>
            </w:r>
            <w:r>
              <w:rPr>
                <w:sz w:val="21"/>
                <w:szCs w:val="21"/>
                <w:spacing w:val="-31"/>
              </w:rPr>
              <w:t xml:space="preserve"> </w:t>
            </w:r>
            <w:r>
              <w:rPr>
                <w:sz w:val="21"/>
                <w:szCs w:val="21"/>
                <w:spacing w:val="-25"/>
              </w:rPr>
              <w:t>。</w:t>
            </w:r>
          </w:p>
        </w:tc>
        <w:tc>
          <w:tcPr>
            <w:tcW w:w="664" w:type="dxa"/>
            <w:vAlign w:val="top"/>
          </w:tcPr>
          <w:p>
            <w:pPr>
              <w:spacing w:line="372" w:lineRule="auto"/>
              <w:rPr>
                <w:rFonts w:ascii="Arial"/>
                <w:sz w:val="21"/>
              </w:rPr>
            </w:pPr>
            <w:r/>
          </w:p>
          <w:p>
            <w:pPr>
              <w:pStyle w:val="TableText"/>
              <w:ind w:left="119"/>
              <w:spacing w:before="68" w:line="219" w:lineRule="auto"/>
              <w:rPr>
                <w:sz w:val="21"/>
                <w:szCs w:val="21"/>
              </w:rPr>
            </w:pPr>
            <w:r>
              <w:rPr>
                <w:sz w:val="21"/>
                <w:szCs w:val="21"/>
                <w:spacing w:val="-3"/>
              </w:rPr>
              <w:t>符合</w:t>
            </w:r>
          </w:p>
        </w:tc>
      </w:tr>
      <w:tr>
        <w:trPr>
          <w:trHeight w:val="3018" w:hRule="atLeast"/>
        </w:trPr>
        <w:tc>
          <w:tcPr>
            <w:tcW w:w="1153" w:type="dxa"/>
            <w:vAlign w:val="top"/>
            <w:vMerge w:val="restart"/>
            <w:tcBorders>
              <w:bottom w:val="nil"/>
            </w:tcBorders>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54" w:right="38" w:hanging="54"/>
              <w:spacing w:before="68" w:line="238" w:lineRule="auto"/>
              <w:rPr>
                <w:sz w:val="21"/>
                <w:szCs w:val="21"/>
              </w:rPr>
            </w:pPr>
            <w:r>
              <w:rPr>
                <w:sz w:val="21"/>
                <w:szCs w:val="21"/>
                <w:spacing w:val="-6"/>
              </w:rPr>
              <w:t>《四川省嘉</w:t>
            </w:r>
            <w:r>
              <w:rPr>
                <w:sz w:val="21"/>
                <w:szCs w:val="21"/>
              </w:rPr>
              <w:t xml:space="preserve"> </w:t>
            </w:r>
            <w:r>
              <w:rPr>
                <w:sz w:val="21"/>
                <w:szCs w:val="21"/>
              </w:rPr>
              <w:t>陵江流域生</w:t>
            </w:r>
          </w:p>
          <w:p>
            <w:pPr>
              <w:pStyle w:val="TableText"/>
              <w:ind w:left="45"/>
              <w:spacing w:line="220" w:lineRule="auto"/>
              <w:rPr>
                <w:sz w:val="21"/>
                <w:szCs w:val="21"/>
              </w:rPr>
            </w:pPr>
            <w:r>
              <w:rPr>
                <w:sz w:val="21"/>
                <w:szCs w:val="21"/>
                <w:spacing w:val="3"/>
              </w:rPr>
              <w:t>态环境保护</w:t>
            </w:r>
          </w:p>
          <w:p>
            <w:pPr>
              <w:pStyle w:val="TableText"/>
              <w:ind w:left="305"/>
              <w:spacing w:before="29" w:line="219" w:lineRule="auto"/>
              <w:rPr>
                <w:sz w:val="21"/>
                <w:szCs w:val="21"/>
              </w:rPr>
            </w:pPr>
            <w:r>
              <w:rPr>
                <w:sz w:val="21"/>
                <w:szCs w:val="21"/>
                <w:spacing w:val="-5"/>
              </w:rPr>
              <w:t>条例》</w:t>
            </w:r>
          </w:p>
        </w:tc>
        <w:tc>
          <w:tcPr>
            <w:tcW w:w="4455" w:type="dxa"/>
            <w:vAlign w:val="top"/>
          </w:tcPr>
          <w:p>
            <w:pPr>
              <w:pStyle w:val="TableText"/>
              <w:ind w:left="11" w:right="31"/>
              <w:spacing w:before="52" w:line="232" w:lineRule="auto"/>
              <w:rPr>
                <w:sz w:val="21"/>
                <w:szCs w:val="21"/>
              </w:rPr>
            </w:pPr>
            <w:r>
              <w:rPr>
                <w:sz w:val="21"/>
                <w:szCs w:val="21"/>
                <w:spacing w:val="-1"/>
              </w:rPr>
              <w:t>第十九条嘉陵江流域实行重点水污染物排放总量</w:t>
            </w:r>
            <w:r>
              <w:rPr>
                <w:sz w:val="21"/>
                <w:szCs w:val="21"/>
                <w:spacing w:val="11"/>
              </w:rPr>
              <w:t xml:space="preserve"> </w:t>
            </w:r>
            <w:r>
              <w:rPr>
                <w:sz w:val="21"/>
                <w:szCs w:val="21"/>
                <w:spacing w:val="-1"/>
              </w:rPr>
              <w:t>控制制度。</w:t>
            </w:r>
          </w:p>
          <w:p>
            <w:pPr>
              <w:pStyle w:val="TableText"/>
              <w:ind w:left="11" w:right="5"/>
              <w:spacing w:before="11" w:line="236" w:lineRule="auto"/>
              <w:rPr>
                <w:sz w:val="21"/>
                <w:szCs w:val="21"/>
              </w:rPr>
            </w:pPr>
            <w:r>
              <w:rPr>
                <w:sz w:val="21"/>
                <w:szCs w:val="21"/>
                <w:spacing w:val="-1"/>
              </w:rPr>
              <w:t>对可能超过重点水污染物排放总量控制指标或者</w:t>
            </w:r>
            <w:r>
              <w:rPr>
                <w:sz w:val="21"/>
                <w:szCs w:val="21"/>
                <w:spacing w:val="12"/>
              </w:rPr>
              <w:t xml:space="preserve"> </w:t>
            </w:r>
            <w:r>
              <w:rPr>
                <w:sz w:val="21"/>
                <w:szCs w:val="21"/>
              </w:rPr>
              <w:t>未完成水污染防治年度目标的区域，省人民政府</w:t>
            </w:r>
            <w:r>
              <w:rPr>
                <w:sz w:val="21"/>
                <w:szCs w:val="21"/>
                <w:spacing w:val="8"/>
              </w:rPr>
              <w:t xml:space="preserve"> </w:t>
            </w:r>
            <w:r>
              <w:rPr>
                <w:sz w:val="21"/>
                <w:szCs w:val="21"/>
                <w:spacing w:val="-1"/>
              </w:rPr>
              <w:t>生态环境主管部门应当约谈该地区人民政府的分</w:t>
            </w:r>
            <w:r>
              <w:rPr>
                <w:sz w:val="21"/>
                <w:szCs w:val="21"/>
                <w:spacing w:val="10"/>
              </w:rPr>
              <w:t xml:space="preserve"> </w:t>
            </w:r>
            <w:r>
              <w:rPr>
                <w:sz w:val="21"/>
                <w:szCs w:val="21"/>
              </w:rPr>
              <w:t>管负责人。对超过重点水污染物排放总量控制指</w:t>
            </w:r>
            <w:r>
              <w:rPr>
                <w:sz w:val="21"/>
                <w:szCs w:val="21"/>
                <w:spacing w:val="12"/>
              </w:rPr>
              <w:t xml:space="preserve"> </w:t>
            </w:r>
            <w:r>
              <w:rPr>
                <w:sz w:val="21"/>
                <w:szCs w:val="21"/>
                <w:spacing w:val="-1"/>
              </w:rPr>
              <w:t>标或者未完成水环境质量改善目标的区域，省人</w:t>
            </w:r>
            <w:r>
              <w:rPr>
                <w:sz w:val="21"/>
                <w:szCs w:val="21"/>
                <w:spacing w:val="10"/>
              </w:rPr>
              <w:t xml:space="preserve"> </w:t>
            </w:r>
            <w:r>
              <w:rPr>
                <w:sz w:val="21"/>
                <w:szCs w:val="21"/>
              </w:rPr>
              <w:t>民政府生态环境主管部门应当会同有关部门约谈</w:t>
            </w:r>
            <w:r>
              <w:rPr>
                <w:sz w:val="21"/>
                <w:szCs w:val="21"/>
                <w:spacing w:val="7"/>
              </w:rPr>
              <w:t xml:space="preserve"> </w:t>
            </w:r>
            <w:r>
              <w:rPr>
                <w:sz w:val="21"/>
                <w:szCs w:val="21"/>
              </w:rPr>
              <w:t>该地区人民政府的主要负责人，并暂停审批新增</w:t>
            </w:r>
            <w:r>
              <w:rPr>
                <w:sz w:val="21"/>
                <w:szCs w:val="21"/>
                <w:spacing w:val="16"/>
              </w:rPr>
              <w:t xml:space="preserve"> </w:t>
            </w:r>
            <w:r>
              <w:rPr>
                <w:sz w:val="21"/>
                <w:szCs w:val="21"/>
                <w:spacing w:val="-1"/>
              </w:rPr>
              <w:t>重点水污染物排放总量的建设项目的环境影响评</w:t>
            </w:r>
            <w:r>
              <w:rPr>
                <w:sz w:val="21"/>
                <w:szCs w:val="21"/>
                <w:spacing w:val="10"/>
              </w:rPr>
              <w:t xml:space="preserve"> </w:t>
            </w:r>
            <w:r>
              <w:rPr>
                <w:sz w:val="21"/>
                <w:szCs w:val="21"/>
                <w:spacing w:val="-1"/>
              </w:rPr>
              <w:t>价文件。约谈情况应当向社会公开。</w:t>
            </w:r>
          </w:p>
        </w:tc>
        <w:tc>
          <w:tcPr>
            <w:tcW w:w="2807" w:type="dxa"/>
            <w:vAlign w:val="top"/>
          </w:tcPr>
          <w:p>
            <w:pPr>
              <w:spacing w:line="330" w:lineRule="auto"/>
              <w:rPr>
                <w:rFonts w:ascii="Arial"/>
                <w:sz w:val="21"/>
              </w:rPr>
            </w:pPr>
            <w:r/>
          </w:p>
          <w:p>
            <w:pPr>
              <w:spacing w:line="331" w:lineRule="auto"/>
              <w:rPr>
                <w:rFonts w:ascii="Arial"/>
                <w:sz w:val="21"/>
              </w:rPr>
            </w:pPr>
            <w:r/>
          </w:p>
          <w:p>
            <w:pPr>
              <w:pStyle w:val="TableText"/>
              <w:ind w:left="16" w:right="59"/>
              <w:spacing w:before="68" w:line="246" w:lineRule="auto"/>
              <w:rPr>
                <w:sz w:val="21"/>
                <w:szCs w:val="21"/>
              </w:rPr>
            </w:pPr>
            <w:r>
              <w:rPr>
                <w:sz w:val="21"/>
                <w:szCs w:val="21"/>
                <w:spacing w:val="-1"/>
              </w:rPr>
              <w:t>本项目废水经安州区第三污水</w:t>
            </w:r>
            <w:r>
              <w:rPr>
                <w:sz w:val="21"/>
                <w:szCs w:val="21"/>
                <w:spacing w:val="2"/>
              </w:rPr>
              <w:t xml:space="preserve"> </w:t>
            </w:r>
            <w:r>
              <w:rPr>
                <w:sz w:val="21"/>
                <w:szCs w:val="21"/>
              </w:rPr>
              <w:t>处理厂处理达标后外排至涪</w:t>
            </w:r>
          </w:p>
          <w:p>
            <w:pPr>
              <w:pStyle w:val="TableText"/>
              <w:ind w:left="16" w:right="55"/>
              <w:spacing w:before="4" w:line="235" w:lineRule="auto"/>
              <w:rPr>
                <w:sz w:val="21"/>
                <w:szCs w:val="21"/>
              </w:rPr>
            </w:pPr>
            <w:r>
              <w:rPr>
                <w:sz w:val="21"/>
                <w:szCs w:val="21"/>
                <w:spacing w:val="-1"/>
              </w:rPr>
              <w:t>江，不直接排入地表水体，水</w:t>
            </w:r>
            <w:r>
              <w:rPr>
                <w:sz w:val="21"/>
                <w:szCs w:val="21"/>
                <w:spacing w:val="2"/>
              </w:rPr>
              <w:t xml:space="preserve"> </w:t>
            </w:r>
            <w:r>
              <w:rPr>
                <w:sz w:val="21"/>
                <w:szCs w:val="21"/>
                <w:spacing w:val="-1"/>
              </w:rPr>
              <w:t>污染物纳入污水处理厂总量，</w:t>
            </w:r>
            <w:r>
              <w:rPr>
                <w:sz w:val="21"/>
                <w:szCs w:val="21"/>
                <w:spacing w:val="6"/>
              </w:rPr>
              <w:t xml:space="preserve"> </w:t>
            </w:r>
            <w:r>
              <w:rPr>
                <w:sz w:val="21"/>
                <w:szCs w:val="21"/>
                <w:spacing w:val="-1"/>
              </w:rPr>
              <w:t>本项目不再单独设置废水总量</w:t>
            </w:r>
            <w:r>
              <w:rPr>
                <w:sz w:val="21"/>
                <w:szCs w:val="21"/>
                <w:spacing w:val="2"/>
              </w:rPr>
              <w:t xml:space="preserve"> </w:t>
            </w:r>
            <w:r>
              <w:rPr>
                <w:sz w:val="21"/>
                <w:szCs w:val="21"/>
                <w:spacing w:val="-1"/>
              </w:rPr>
              <w:t>控制指标。</w:t>
            </w:r>
          </w:p>
        </w:tc>
        <w:tc>
          <w:tcPr>
            <w:tcW w:w="664" w:type="dxa"/>
            <w:vAlign w:val="top"/>
          </w:tcPr>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119"/>
              <w:spacing w:before="68" w:line="219" w:lineRule="auto"/>
              <w:rPr>
                <w:sz w:val="21"/>
                <w:szCs w:val="21"/>
              </w:rPr>
            </w:pPr>
            <w:r>
              <w:rPr>
                <w:sz w:val="21"/>
                <w:szCs w:val="21"/>
                <w:spacing w:val="-3"/>
              </w:rPr>
              <w:t>符合</w:t>
            </w:r>
          </w:p>
        </w:tc>
      </w:tr>
      <w:tr>
        <w:trPr>
          <w:trHeight w:val="4097" w:hRule="atLeast"/>
        </w:trPr>
        <w:tc>
          <w:tcPr>
            <w:tcW w:w="1153" w:type="dxa"/>
            <w:vAlign w:val="top"/>
            <w:vMerge w:val="continue"/>
            <w:tcBorders>
              <w:top w:val="nil"/>
            </w:tcBorders>
          </w:tcPr>
          <w:p>
            <w:pPr>
              <w:rPr>
                <w:rFonts w:ascii="Arial"/>
                <w:sz w:val="21"/>
              </w:rPr>
            </w:pPr>
            <w:r/>
          </w:p>
        </w:tc>
        <w:tc>
          <w:tcPr>
            <w:tcW w:w="4455" w:type="dxa"/>
            <w:vAlign w:val="top"/>
          </w:tcPr>
          <w:p>
            <w:pPr>
              <w:spacing w:line="306" w:lineRule="auto"/>
              <w:rPr>
                <w:rFonts w:ascii="Arial"/>
                <w:sz w:val="21"/>
              </w:rPr>
            </w:pPr>
            <w:r/>
          </w:p>
          <w:p>
            <w:pPr>
              <w:spacing w:line="307" w:lineRule="auto"/>
              <w:rPr>
                <w:rFonts w:ascii="Arial"/>
                <w:sz w:val="21"/>
              </w:rPr>
            </w:pPr>
            <w:r/>
          </w:p>
          <w:p>
            <w:pPr>
              <w:spacing w:line="307" w:lineRule="auto"/>
              <w:rPr>
                <w:rFonts w:ascii="Arial"/>
                <w:sz w:val="21"/>
              </w:rPr>
            </w:pPr>
            <w:r/>
          </w:p>
          <w:p>
            <w:pPr>
              <w:pStyle w:val="TableText"/>
              <w:ind w:left="11"/>
              <w:spacing w:before="68" w:line="242" w:lineRule="auto"/>
              <w:jc w:val="both"/>
              <w:rPr>
                <w:sz w:val="21"/>
                <w:szCs w:val="21"/>
              </w:rPr>
            </w:pPr>
            <w:r>
              <w:rPr>
                <w:sz w:val="21"/>
                <w:szCs w:val="21"/>
              </w:rPr>
              <w:t>第二十一条排污单位排放污染物不得超过国家和</w:t>
            </w:r>
            <w:r>
              <w:rPr>
                <w:sz w:val="21"/>
                <w:szCs w:val="21"/>
                <w:spacing w:val="15"/>
              </w:rPr>
              <w:t xml:space="preserve"> </w:t>
            </w:r>
            <w:r>
              <w:rPr>
                <w:sz w:val="21"/>
                <w:szCs w:val="21"/>
                <w:spacing w:val="-1"/>
              </w:rPr>
              <w:t>省污染物排放标准，不得超过重点水污染物排放</w:t>
            </w:r>
            <w:r>
              <w:rPr>
                <w:sz w:val="21"/>
                <w:szCs w:val="21"/>
                <w:spacing w:val="7"/>
              </w:rPr>
              <w:t xml:space="preserve"> </w:t>
            </w:r>
            <w:r>
              <w:rPr>
                <w:sz w:val="21"/>
                <w:szCs w:val="21"/>
              </w:rPr>
              <w:t>总量控制指标。按照国家规定实行排污许可管理</w:t>
            </w:r>
            <w:r>
              <w:rPr>
                <w:sz w:val="21"/>
                <w:szCs w:val="21"/>
                <w:spacing w:val="5"/>
              </w:rPr>
              <w:t xml:space="preserve"> </w:t>
            </w:r>
            <w:r>
              <w:rPr>
                <w:sz w:val="21"/>
                <w:szCs w:val="21"/>
                <w:spacing w:val="1"/>
              </w:rPr>
              <w:t>的企业事业单位和其他生产经营者，应当依法向</w:t>
            </w:r>
            <w:r>
              <w:rPr>
                <w:sz w:val="21"/>
                <w:szCs w:val="21"/>
              </w:rPr>
              <w:t xml:space="preserve"> </w:t>
            </w:r>
            <w:r>
              <w:rPr>
                <w:sz w:val="21"/>
                <w:szCs w:val="21"/>
                <w:spacing w:val="1"/>
              </w:rPr>
              <w:t>设区的市级以上地方人民政府生态环境主管部门 </w:t>
            </w:r>
            <w:r>
              <w:rPr>
                <w:sz w:val="21"/>
                <w:szCs w:val="21"/>
              </w:rPr>
              <w:t>申请取得排污许可证，按照排污许可证的规定排</w:t>
            </w:r>
            <w:r>
              <w:rPr>
                <w:sz w:val="21"/>
                <w:szCs w:val="21"/>
                <w:spacing w:val="6"/>
              </w:rPr>
              <w:t xml:space="preserve"> </w:t>
            </w:r>
            <w:r>
              <w:rPr>
                <w:sz w:val="21"/>
                <w:szCs w:val="21"/>
                <w:spacing w:val="-1"/>
              </w:rPr>
              <w:t>放污染物；禁止未取得排污许可证或者违反排污</w:t>
            </w:r>
            <w:r>
              <w:rPr>
                <w:sz w:val="21"/>
                <w:szCs w:val="21"/>
                <w:spacing w:val="11"/>
              </w:rPr>
              <w:t xml:space="preserve"> </w:t>
            </w:r>
            <w:r>
              <w:rPr>
                <w:sz w:val="21"/>
                <w:szCs w:val="21"/>
                <w:spacing w:val="-1"/>
              </w:rPr>
              <w:t>许可证的规定排放污染物。</w:t>
            </w:r>
          </w:p>
        </w:tc>
        <w:tc>
          <w:tcPr>
            <w:tcW w:w="2807" w:type="dxa"/>
            <w:vAlign w:val="top"/>
          </w:tcPr>
          <w:p>
            <w:pPr>
              <w:pStyle w:val="TableText"/>
              <w:ind w:left="16" w:right="58"/>
              <w:spacing w:before="34" w:line="242" w:lineRule="auto"/>
              <w:rPr>
                <w:sz w:val="21"/>
                <w:szCs w:val="21"/>
              </w:rPr>
            </w:pPr>
            <w:r>
              <w:rPr>
                <w:sz w:val="21"/>
                <w:szCs w:val="21"/>
                <w:spacing w:val="-1"/>
              </w:rPr>
              <w:t>本项目餐饮废水经隔油池处理</w:t>
            </w:r>
            <w:r>
              <w:rPr>
                <w:sz w:val="21"/>
                <w:szCs w:val="21"/>
                <w:spacing w:val="2"/>
              </w:rPr>
              <w:t xml:space="preserve"> </w:t>
            </w:r>
            <w:r>
              <w:rPr>
                <w:sz w:val="21"/>
                <w:szCs w:val="21"/>
                <w:spacing w:val="-1"/>
              </w:rPr>
              <w:t>后，与生活污水一同经预处理</w:t>
            </w:r>
            <w:r>
              <w:rPr>
                <w:sz w:val="21"/>
                <w:szCs w:val="21"/>
                <w:spacing w:val="2"/>
              </w:rPr>
              <w:t xml:space="preserve"> </w:t>
            </w:r>
            <w:r>
              <w:rPr>
                <w:sz w:val="21"/>
                <w:szCs w:val="21"/>
                <w:spacing w:val="-1"/>
              </w:rPr>
              <w:t>池处理达到《污水综合排放标</w:t>
            </w:r>
            <w:r>
              <w:rPr>
                <w:sz w:val="21"/>
                <w:szCs w:val="21"/>
                <w:spacing w:val="3"/>
              </w:rPr>
              <w:t xml:space="preserve"> </w:t>
            </w:r>
            <w:r>
              <w:rPr>
                <w:sz w:val="21"/>
                <w:szCs w:val="21"/>
                <w:spacing w:val="-1"/>
              </w:rPr>
              <w:t>准》(GB8978-1996)三级标</w:t>
            </w:r>
          </w:p>
          <w:p>
            <w:pPr>
              <w:pStyle w:val="TableText"/>
              <w:ind w:left="16" w:right="59"/>
              <w:spacing w:before="2" w:line="239" w:lineRule="auto"/>
              <w:rPr>
                <w:sz w:val="21"/>
                <w:szCs w:val="21"/>
              </w:rPr>
            </w:pPr>
            <w:r>
              <w:rPr>
                <w:sz w:val="21"/>
                <w:szCs w:val="21"/>
                <w:spacing w:val="-1"/>
              </w:rPr>
              <w:t>准；生产废水经自建污水处理</w:t>
            </w:r>
            <w:r>
              <w:rPr>
                <w:sz w:val="21"/>
                <w:szCs w:val="21"/>
                <w:spacing w:val="2"/>
              </w:rPr>
              <w:t xml:space="preserve"> </w:t>
            </w:r>
            <w:r>
              <w:rPr>
                <w:sz w:val="21"/>
                <w:szCs w:val="21"/>
                <w:spacing w:val="-1"/>
              </w:rPr>
              <w:t>站处理达到《肉类加工工业水</w:t>
            </w:r>
            <w:r>
              <w:rPr>
                <w:sz w:val="21"/>
                <w:szCs w:val="21"/>
                <w:spacing w:val="2"/>
              </w:rPr>
              <w:t xml:space="preserve"> </w:t>
            </w:r>
            <w:r>
              <w:rPr>
                <w:sz w:val="21"/>
                <w:szCs w:val="21"/>
                <w:spacing w:val="-1"/>
              </w:rPr>
              <w:t>污染物排放标准》(GB13457-</w:t>
            </w:r>
            <w:r>
              <w:rPr>
                <w:sz w:val="21"/>
                <w:szCs w:val="21"/>
                <w:spacing w:val="3"/>
              </w:rPr>
              <w:t xml:space="preserve">  </w:t>
            </w:r>
            <w:r>
              <w:rPr>
                <w:sz w:val="21"/>
                <w:szCs w:val="21"/>
                <w:spacing w:val="-1"/>
              </w:rPr>
              <w:t>92)表3中三级标准；废气应</w:t>
            </w:r>
          </w:p>
          <w:p>
            <w:pPr>
              <w:pStyle w:val="TableText"/>
              <w:ind w:left="26" w:right="66" w:hanging="10"/>
              <w:spacing w:before="1" w:line="237" w:lineRule="auto"/>
              <w:rPr>
                <w:sz w:val="21"/>
                <w:szCs w:val="21"/>
              </w:rPr>
            </w:pPr>
            <w:r>
              <w:rPr>
                <w:sz w:val="21"/>
                <w:szCs w:val="21"/>
                <w:spacing w:val="-2"/>
              </w:rPr>
              <w:t>满足《恶臭污染物排放标准》</w:t>
            </w:r>
            <w:r>
              <w:rPr>
                <w:sz w:val="21"/>
                <w:szCs w:val="21"/>
                <w:spacing w:val="8"/>
              </w:rPr>
              <w:t xml:space="preserve"> </w:t>
            </w:r>
            <w:r>
              <w:rPr>
                <w:sz w:val="21"/>
                <w:szCs w:val="21"/>
                <w:spacing w:val="1"/>
              </w:rPr>
              <w:t>(</w:t>
            </w:r>
            <w:r>
              <w:rPr>
                <w:sz w:val="21"/>
                <w:szCs w:val="21"/>
              </w:rPr>
              <w:t>GB</w:t>
            </w:r>
            <w:r>
              <w:rPr>
                <w:sz w:val="21"/>
                <w:szCs w:val="21"/>
                <w:spacing w:val="1"/>
              </w:rPr>
              <w:t>14554-93);《饮食业油</w:t>
            </w:r>
          </w:p>
          <w:p>
            <w:pPr>
              <w:pStyle w:val="TableText"/>
              <w:ind w:left="16"/>
              <w:spacing w:line="220" w:lineRule="auto"/>
              <w:rPr>
                <w:sz w:val="21"/>
                <w:szCs w:val="21"/>
              </w:rPr>
            </w:pPr>
            <w:r>
              <w:rPr>
                <w:sz w:val="21"/>
                <w:szCs w:val="21"/>
                <w:spacing w:val="-1"/>
              </w:rPr>
              <w:t>烟排放标准》(试行)(GB18</w:t>
            </w:r>
          </w:p>
          <w:p>
            <w:pPr>
              <w:pStyle w:val="TableText"/>
              <w:ind w:left="16" w:right="34"/>
              <w:spacing w:before="28" w:line="229" w:lineRule="auto"/>
              <w:rPr>
                <w:sz w:val="21"/>
                <w:szCs w:val="21"/>
              </w:rPr>
            </w:pPr>
            <w:r>
              <w:rPr>
                <w:sz w:val="21"/>
                <w:szCs w:val="21"/>
                <w:spacing w:val="-1"/>
              </w:rPr>
              <w:t>483-2001)等标准中标准限值</w:t>
            </w:r>
            <w:r>
              <w:rPr>
                <w:sz w:val="21"/>
                <w:szCs w:val="21"/>
                <w:spacing w:val="4"/>
              </w:rPr>
              <w:t xml:space="preserve">  </w:t>
            </w:r>
            <w:r>
              <w:rPr>
                <w:sz w:val="21"/>
                <w:szCs w:val="21"/>
                <w:spacing w:val="1"/>
              </w:rPr>
              <w:t>要求。环评要求，项目建成后 </w:t>
            </w:r>
            <w:r>
              <w:rPr>
                <w:sz w:val="21"/>
                <w:szCs w:val="21"/>
              </w:rPr>
              <w:t>企业应按照排污许可管理要求</w:t>
            </w:r>
            <w:r>
              <w:rPr>
                <w:sz w:val="21"/>
                <w:szCs w:val="21"/>
                <w:spacing w:val="8"/>
              </w:rPr>
              <w:t xml:space="preserve"> </w:t>
            </w:r>
            <w:r>
              <w:rPr>
                <w:sz w:val="21"/>
                <w:szCs w:val="21"/>
                <w:spacing w:val="-1"/>
              </w:rPr>
              <w:t>进行排污许可申请。</w:t>
            </w:r>
          </w:p>
        </w:tc>
        <w:tc>
          <w:tcPr>
            <w:tcW w:w="664" w:type="dxa"/>
            <w:vAlign w:val="top"/>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119"/>
              <w:spacing w:before="68" w:line="219" w:lineRule="auto"/>
              <w:rPr>
                <w:sz w:val="21"/>
                <w:szCs w:val="21"/>
              </w:rPr>
            </w:pPr>
            <w:r>
              <w:rPr>
                <w:sz w:val="21"/>
                <w:szCs w:val="21"/>
                <w:spacing w:val="-3"/>
              </w:rPr>
              <w:t>符合</w:t>
            </w:r>
          </w:p>
        </w:tc>
      </w:tr>
      <w:tr>
        <w:trPr>
          <w:trHeight w:val="1124" w:hRule="atLeast"/>
        </w:trPr>
        <w:tc>
          <w:tcPr>
            <w:tcW w:w="1153" w:type="dxa"/>
            <w:vAlign w:val="top"/>
          </w:tcPr>
          <w:p>
            <w:pPr>
              <w:pStyle w:val="TableText"/>
              <w:ind w:left="54" w:right="38" w:hanging="54"/>
              <w:spacing w:before="178" w:line="248" w:lineRule="auto"/>
              <w:jc w:val="both"/>
              <w:rPr>
                <w:sz w:val="21"/>
                <w:szCs w:val="21"/>
              </w:rPr>
            </w:pPr>
            <w:r>
              <w:rPr>
                <w:sz w:val="21"/>
                <w:szCs w:val="21"/>
                <w:spacing w:val="-6"/>
              </w:rPr>
              <w:t>《长江经济</w:t>
            </w:r>
            <w:r>
              <w:rPr>
                <w:sz w:val="21"/>
                <w:szCs w:val="21"/>
              </w:rPr>
              <w:t xml:space="preserve"> </w:t>
            </w:r>
            <w:r>
              <w:rPr>
                <w:sz w:val="21"/>
                <w:szCs w:val="21"/>
                <w:spacing w:val="-1"/>
              </w:rPr>
              <w:t>带发展负面</w:t>
            </w:r>
            <w:r>
              <w:rPr>
                <w:sz w:val="21"/>
                <w:szCs w:val="21"/>
                <w:spacing w:val="3"/>
              </w:rPr>
              <w:t xml:space="preserve"> </w:t>
            </w:r>
            <w:r>
              <w:rPr>
                <w:sz w:val="21"/>
                <w:szCs w:val="21"/>
                <w:spacing w:val="20"/>
              </w:rPr>
              <w:t>清单指南</w:t>
            </w:r>
          </w:p>
        </w:tc>
        <w:tc>
          <w:tcPr>
            <w:tcW w:w="4455" w:type="dxa"/>
            <w:vAlign w:val="top"/>
          </w:tcPr>
          <w:p>
            <w:pPr>
              <w:pStyle w:val="TableText"/>
              <w:ind w:left="11"/>
              <w:spacing w:before="49" w:line="234" w:lineRule="auto"/>
              <w:jc w:val="both"/>
              <w:rPr>
                <w:sz w:val="21"/>
                <w:szCs w:val="21"/>
              </w:rPr>
            </w:pPr>
            <w:r>
              <w:rPr>
                <w:sz w:val="21"/>
                <w:szCs w:val="21"/>
              </w:rPr>
              <w:t>2.禁止在自然保护区核心区、缓冲区的岸</w:t>
            </w:r>
            <w:r>
              <w:rPr>
                <w:sz w:val="21"/>
                <w:szCs w:val="21"/>
                <w:spacing w:val="-1"/>
              </w:rPr>
              <w:t>线和河</w:t>
            </w:r>
            <w:r>
              <w:rPr>
                <w:sz w:val="21"/>
                <w:szCs w:val="21"/>
              </w:rPr>
              <w:t xml:space="preserve"> </w:t>
            </w:r>
            <w:r>
              <w:rPr>
                <w:sz w:val="21"/>
                <w:szCs w:val="21"/>
                <w:spacing w:val="-9"/>
              </w:rPr>
              <w:t>段范围内投资建设旅游和生产经营项目。禁止在护</w:t>
            </w:r>
            <w:r>
              <w:rPr>
                <w:sz w:val="21"/>
                <w:szCs w:val="21"/>
                <w:spacing w:val="10"/>
              </w:rPr>
              <w:t xml:space="preserve"> </w:t>
            </w:r>
            <w:r>
              <w:rPr>
                <w:sz w:val="21"/>
                <w:szCs w:val="21"/>
                <w:spacing w:val="-1"/>
              </w:rPr>
              <w:t>风景名胜区核心景区的岸线和河段范围内投资建</w:t>
            </w:r>
            <w:r>
              <w:rPr>
                <w:sz w:val="21"/>
                <w:szCs w:val="21"/>
              </w:rPr>
              <w:t xml:space="preserve"> </w:t>
            </w:r>
            <w:r>
              <w:rPr>
                <w:sz w:val="21"/>
                <w:szCs w:val="21"/>
                <w:spacing w:val="-1"/>
              </w:rPr>
              <w:t>设与风景名胜资源保护无关的项目。</w:t>
            </w:r>
          </w:p>
        </w:tc>
        <w:tc>
          <w:tcPr>
            <w:tcW w:w="2807" w:type="dxa"/>
            <w:vAlign w:val="top"/>
          </w:tcPr>
          <w:p>
            <w:pPr>
              <w:pStyle w:val="TableText"/>
              <w:ind w:left="16" w:right="33"/>
              <w:spacing w:before="49" w:line="234" w:lineRule="auto"/>
              <w:rPr>
                <w:sz w:val="21"/>
                <w:szCs w:val="21"/>
              </w:rPr>
            </w:pPr>
            <w:r>
              <w:rPr>
                <w:sz w:val="21"/>
                <w:szCs w:val="21"/>
                <w:spacing w:val="-1"/>
              </w:rPr>
              <w:t>本项目所在区域不涉及自然保</w:t>
            </w:r>
            <w:r>
              <w:rPr>
                <w:sz w:val="21"/>
                <w:szCs w:val="21"/>
                <w:spacing w:val="2"/>
              </w:rPr>
              <w:t xml:space="preserve"> </w:t>
            </w:r>
            <w:r>
              <w:rPr>
                <w:sz w:val="21"/>
                <w:szCs w:val="21"/>
                <w:spacing w:val="6"/>
              </w:rPr>
              <w:t>区核心区、缓冲区的岸线和</w:t>
            </w:r>
            <w:r>
              <w:rPr>
                <w:sz w:val="21"/>
                <w:szCs w:val="21"/>
                <w:spacing w:val="2"/>
              </w:rPr>
              <w:t xml:space="preserve">  </w:t>
            </w:r>
            <w:r>
              <w:rPr>
                <w:sz w:val="21"/>
                <w:szCs w:val="21"/>
                <w:spacing w:val="1"/>
              </w:rPr>
              <w:t>河段、风景名胜区核心景区的</w:t>
            </w:r>
            <w:r>
              <w:rPr>
                <w:sz w:val="21"/>
                <w:szCs w:val="21"/>
                <w:spacing w:val="2"/>
              </w:rPr>
              <w:t xml:space="preserve"> </w:t>
            </w:r>
            <w:r>
              <w:rPr>
                <w:sz w:val="21"/>
                <w:szCs w:val="21"/>
                <w:spacing w:val="-1"/>
              </w:rPr>
              <w:t>岸线和河段。</w:t>
            </w:r>
          </w:p>
        </w:tc>
        <w:tc>
          <w:tcPr>
            <w:tcW w:w="664" w:type="dxa"/>
            <w:vAlign w:val="top"/>
          </w:tcPr>
          <w:p>
            <w:pPr>
              <w:spacing w:line="398" w:lineRule="auto"/>
              <w:rPr>
                <w:rFonts w:ascii="Arial"/>
                <w:sz w:val="21"/>
              </w:rPr>
            </w:pPr>
            <w:r/>
          </w:p>
          <w:p>
            <w:pPr>
              <w:pStyle w:val="TableText"/>
              <w:ind w:left="119"/>
              <w:spacing w:before="68" w:line="219" w:lineRule="auto"/>
              <w:rPr>
                <w:sz w:val="21"/>
                <w:szCs w:val="21"/>
              </w:rPr>
            </w:pPr>
            <w:r>
              <w:rPr>
                <w:sz w:val="21"/>
                <w:szCs w:val="21"/>
                <w:spacing w:val="-3"/>
              </w:rPr>
              <w:t>符合</w:t>
            </w:r>
          </w:p>
        </w:tc>
      </w:tr>
    </w:tbl>
    <w:p>
      <w:pPr>
        <w:pStyle w:val="BodyText"/>
        <w:rPr/>
      </w:pPr>
      <w:r/>
    </w:p>
    <w:p>
      <w:pPr>
        <w:sectPr>
          <w:headerReference w:type="default" r:id="rId76"/>
          <w:footerReference w:type="default" r:id="rId77"/>
          <w:pgSz w:w="11910" w:h="16840"/>
          <w:pgMar w:top="1160" w:right="1415" w:bottom="976" w:left="1405" w:header="852" w:footer="755" w:gutter="0"/>
        </w:sectPr>
        <w:rPr/>
      </w:pPr>
    </w:p>
    <w:p>
      <w:pPr>
        <w:spacing w:line="227" w:lineRule="exact"/>
        <w:rPr/>
      </w:pPr>
      <w:r/>
    </w:p>
    <w:tbl>
      <w:tblPr>
        <w:tblStyle w:val="TableNormal"/>
        <w:tblW w:w="90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143"/>
        <w:gridCol w:w="4435"/>
        <w:gridCol w:w="2837"/>
        <w:gridCol w:w="664"/>
      </w:tblGrid>
      <w:tr>
        <w:trPr>
          <w:trHeight w:val="285" w:hRule="atLeast"/>
        </w:trPr>
        <w:tc>
          <w:tcPr>
            <w:shd w:val="clear" w:fill="BDBDBD"/>
            <w:tcW w:w="1143" w:type="dxa"/>
            <w:vAlign w:val="top"/>
          </w:tcPr>
          <w:p>
            <w:pPr>
              <w:pStyle w:val="TableText"/>
              <w:ind w:left="358"/>
              <w:spacing w:before="40" w:line="206" w:lineRule="auto"/>
              <w:rPr>
                <w:sz w:val="21"/>
                <w:szCs w:val="21"/>
              </w:rPr>
            </w:pPr>
            <w:r>
              <w:rPr>
                <w:sz w:val="21"/>
                <w:szCs w:val="21"/>
                <w:b/>
                <w:bCs/>
                <w:spacing w:val="-5"/>
              </w:rPr>
              <w:t>文件</w:t>
            </w:r>
          </w:p>
        </w:tc>
        <w:tc>
          <w:tcPr>
            <w:shd w:val="clear" w:fill="BDBDBD"/>
            <w:tcW w:w="4435" w:type="dxa"/>
            <w:vAlign w:val="top"/>
          </w:tcPr>
          <w:p>
            <w:pPr>
              <w:pStyle w:val="TableText"/>
              <w:ind w:left="1784"/>
              <w:spacing w:before="40" w:line="206" w:lineRule="auto"/>
              <w:rPr>
                <w:sz w:val="21"/>
                <w:szCs w:val="21"/>
              </w:rPr>
            </w:pPr>
            <w:r>
              <w:rPr>
                <w:sz w:val="21"/>
                <w:szCs w:val="21"/>
                <w:b/>
                <w:bCs/>
                <w:spacing w:val="-6"/>
              </w:rPr>
              <w:t>负面清单</w:t>
            </w:r>
          </w:p>
        </w:tc>
        <w:tc>
          <w:tcPr>
            <w:shd w:val="clear" w:fill="BDBDBD"/>
            <w:tcW w:w="2837" w:type="dxa"/>
            <w:vAlign w:val="top"/>
          </w:tcPr>
          <w:p>
            <w:pPr>
              <w:pStyle w:val="TableText"/>
              <w:ind w:left="1089"/>
              <w:spacing w:before="39" w:line="207" w:lineRule="auto"/>
              <w:rPr>
                <w:sz w:val="21"/>
                <w:szCs w:val="21"/>
              </w:rPr>
            </w:pPr>
            <w:r>
              <w:rPr>
                <w:sz w:val="21"/>
                <w:szCs w:val="21"/>
                <w:b/>
                <w:bCs/>
                <w:spacing w:val="9"/>
              </w:rPr>
              <w:t>本项目</w:t>
            </w:r>
          </w:p>
        </w:tc>
        <w:tc>
          <w:tcPr>
            <w:shd w:val="clear" w:fill="BDBDBD"/>
            <w:tcW w:w="664" w:type="dxa"/>
            <w:vAlign w:val="top"/>
          </w:tcPr>
          <w:p>
            <w:pPr>
              <w:pStyle w:val="TableText"/>
              <w:ind w:left="13"/>
              <w:spacing w:before="40" w:line="206" w:lineRule="auto"/>
              <w:rPr>
                <w:sz w:val="21"/>
                <w:szCs w:val="21"/>
              </w:rPr>
            </w:pPr>
            <w:r>
              <w:rPr>
                <w:sz w:val="21"/>
                <w:szCs w:val="21"/>
                <w:b/>
                <w:bCs/>
                <w:spacing w:val="-5"/>
              </w:rPr>
              <w:t>符合性</w:t>
            </w:r>
          </w:p>
        </w:tc>
      </w:tr>
      <w:tr>
        <w:trPr>
          <w:trHeight w:val="2177" w:hRule="atLeast"/>
        </w:trPr>
        <w:tc>
          <w:tcPr>
            <w:tcW w:w="1143" w:type="dxa"/>
            <w:vAlign w:val="top"/>
            <w:vMerge w:val="restart"/>
            <w:tcBorders>
              <w:bottom w:val="nil"/>
            </w:tcBorders>
          </w:tcPr>
          <w:p>
            <w:pPr>
              <w:pStyle w:val="TableText"/>
              <w:ind w:left="244"/>
              <w:spacing w:before="39" w:line="220" w:lineRule="auto"/>
              <w:rPr>
                <w:sz w:val="21"/>
                <w:szCs w:val="21"/>
              </w:rPr>
            </w:pPr>
            <w:r>
              <w:rPr>
                <w:sz w:val="21"/>
                <w:szCs w:val="21"/>
              </w:rPr>
              <w:t>(试行，</w:t>
            </w:r>
          </w:p>
          <w:p>
            <w:pPr>
              <w:pStyle w:val="TableText"/>
              <w:ind w:left="244"/>
              <w:spacing w:before="19" w:line="219" w:lineRule="auto"/>
              <w:rPr>
                <w:sz w:val="21"/>
                <w:szCs w:val="21"/>
              </w:rPr>
            </w:pPr>
            <w:r>
              <w:rPr>
                <w:sz w:val="21"/>
                <w:szCs w:val="21"/>
                <w:spacing w:val="-2"/>
              </w:rPr>
              <w:t>2022年</w:t>
            </w:r>
          </w:p>
          <w:p>
            <w:pPr>
              <w:pStyle w:val="TableText"/>
              <w:spacing w:before="21" w:line="220" w:lineRule="auto"/>
              <w:jc w:val="right"/>
              <w:rPr>
                <w:sz w:val="21"/>
                <w:szCs w:val="21"/>
              </w:rPr>
            </w:pPr>
            <w:r>
              <w:rPr>
                <w:sz w:val="21"/>
                <w:szCs w:val="21"/>
                <w:spacing w:val="-21"/>
              </w:rPr>
              <w:t>版</w:t>
            </w:r>
            <w:r>
              <w:rPr>
                <w:sz w:val="21"/>
                <w:szCs w:val="21"/>
                <w:spacing w:val="-20"/>
              </w:rPr>
              <w:t xml:space="preserve"> </w:t>
            </w:r>
            <w:r>
              <w:rPr>
                <w:sz w:val="21"/>
                <w:szCs w:val="21"/>
                <w:spacing w:val="-21"/>
              </w:rPr>
              <w:t>) 》</w:t>
            </w:r>
            <w:r>
              <w:rPr>
                <w:sz w:val="21"/>
                <w:szCs w:val="21"/>
                <w:spacing w:val="13"/>
              </w:rPr>
              <w:t xml:space="preserve"> </w:t>
            </w:r>
            <w:r>
              <w:rPr>
                <w:sz w:val="21"/>
                <w:szCs w:val="21"/>
                <w:spacing w:val="-20"/>
              </w:rPr>
              <w:t>(</w:t>
            </w:r>
            <w:r>
              <w:rPr>
                <w:sz w:val="21"/>
                <w:szCs w:val="21"/>
                <w:spacing w:val="-23"/>
              </w:rPr>
              <w:t xml:space="preserve"> </w:t>
            </w:r>
            <w:r>
              <w:rPr>
                <w:sz w:val="21"/>
                <w:szCs w:val="21"/>
                <w:spacing w:val="-10"/>
              </w:rPr>
              <w:t>长</w:t>
            </w:r>
          </w:p>
          <w:p>
            <w:pPr>
              <w:pStyle w:val="TableText"/>
              <w:spacing w:before="29" w:line="212" w:lineRule="auto"/>
              <w:jc w:val="right"/>
              <w:rPr>
                <w:sz w:val="21"/>
                <w:szCs w:val="21"/>
              </w:rPr>
            </w:pPr>
            <w:r>
              <w:rPr>
                <w:sz w:val="21"/>
                <w:szCs w:val="21"/>
                <w:spacing w:val="-5"/>
              </w:rPr>
              <w:t>江办[2022]7</w:t>
            </w:r>
          </w:p>
          <w:p>
            <w:pPr>
              <w:pStyle w:val="TableText"/>
              <w:ind w:left="404"/>
              <w:spacing w:line="220" w:lineRule="auto"/>
              <w:rPr>
                <w:sz w:val="21"/>
                <w:szCs w:val="21"/>
              </w:rPr>
            </w:pPr>
            <w:r>
              <w:rPr>
                <w:sz w:val="21"/>
                <w:szCs w:val="21"/>
                <w:spacing w:val="-7"/>
              </w:rPr>
              <w:t>号</w:t>
            </w:r>
            <w:r>
              <w:rPr>
                <w:sz w:val="21"/>
                <w:szCs w:val="21"/>
                <w:spacing w:val="-42"/>
              </w:rPr>
              <w:t xml:space="preserve"> </w:t>
            </w:r>
            <w:r>
              <w:rPr>
                <w:sz w:val="21"/>
                <w:szCs w:val="21"/>
                <w:spacing w:val="-7"/>
              </w:rPr>
              <w:t>)</w:t>
            </w:r>
          </w:p>
        </w:tc>
        <w:tc>
          <w:tcPr>
            <w:tcW w:w="4435" w:type="dxa"/>
            <w:vAlign w:val="top"/>
          </w:tcPr>
          <w:p>
            <w:pPr>
              <w:pStyle w:val="TableText"/>
              <w:ind w:left="12"/>
              <w:spacing w:before="28" w:line="235" w:lineRule="auto"/>
              <w:jc w:val="both"/>
              <w:rPr>
                <w:sz w:val="21"/>
                <w:szCs w:val="21"/>
              </w:rPr>
            </w:pPr>
            <w:r>
              <w:rPr>
                <w:sz w:val="21"/>
                <w:szCs w:val="21"/>
                <w:spacing w:val="-1"/>
              </w:rPr>
              <w:t>5.禁止违法利用、占用长江流域河湖岸线。禁止</w:t>
            </w:r>
            <w:r>
              <w:rPr>
                <w:sz w:val="21"/>
                <w:szCs w:val="21"/>
                <w:spacing w:val="17"/>
              </w:rPr>
              <w:t xml:space="preserve"> </w:t>
            </w:r>
            <w:r>
              <w:rPr>
                <w:sz w:val="21"/>
                <w:szCs w:val="21"/>
              </w:rPr>
              <w:t>在《长江岸线保护和开发利用总体规划》划定的</w:t>
            </w:r>
            <w:r>
              <w:rPr>
                <w:sz w:val="21"/>
                <w:szCs w:val="21"/>
                <w:spacing w:val="1"/>
              </w:rPr>
              <w:t xml:space="preserve"> </w:t>
            </w:r>
            <w:r>
              <w:rPr>
                <w:sz w:val="21"/>
                <w:szCs w:val="21"/>
                <w:spacing w:val="-1"/>
              </w:rPr>
              <w:t>岸线保护区和保留区内投资建设除事关公共</w:t>
            </w:r>
            <w:r>
              <w:rPr>
                <w:sz w:val="21"/>
                <w:szCs w:val="21"/>
                <w:spacing w:val="-2"/>
              </w:rPr>
              <w:t>安全</w:t>
            </w:r>
            <w:r>
              <w:rPr>
                <w:sz w:val="21"/>
                <w:szCs w:val="21"/>
              </w:rPr>
              <w:t xml:space="preserve"> </w:t>
            </w:r>
            <w:r>
              <w:rPr>
                <w:sz w:val="21"/>
                <w:szCs w:val="21"/>
                <w:spacing w:val="-1"/>
              </w:rPr>
              <w:t>及公众利益的防洪护岸、河道治理、供水、生态</w:t>
            </w:r>
            <w:r>
              <w:rPr>
                <w:sz w:val="21"/>
                <w:szCs w:val="21"/>
              </w:rPr>
              <w:t xml:space="preserve"> </w:t>
            </w:r>
            <w:r>
              <w:rPr>
                <w:sz w:val="21"/>
                <w:szCs w:val="21"/>
              </w:rPr>
              <w:t>环境保护、航道整治、国家重要基础设施以外的</w:t>
            </w:r>
            <w:r>
              <w:rPr>
                <w:sz w:val="21"/>
                <w:szCs w:val="21"/>
                <w:spacing w:val="1"/>
              </w:rPr>
              <w:t xml:space="preserve"> </w:t>
            </w:r>
            <w:r>
              <w:rPr>
                <w:sz w:val="21"/>
                <w:szCs w:val="21"/>
              </w:rPr>
              <w:t>项目。禁止在《全国重要江河湖泊水功能区划》 </w:t>
            </w:r>
            <w:r>
              <w:rPr>
                <w:sz w:val="21"/>
                <w:szCs w:val="21"/>
                <w:spacing w:val="-1"/>
              </w:rPr>
              <w:t>划定的河段及湖泊保护区、保留区内投资建设不</w:t>
            </w:r>
            <w:r>
              <w:rPr>
                <w:sz w:val="21"/>
                <w:szCs w:val="21"/>
              </w:rPr>
              <w:t xml:space="preserve"> </w:t>
            </w:r>
            <w:r>
              <w:rPr>
                <w:sz w:val="21"/>
                <w:szCs w:val="21"/>
                <w:spacing w:val="-1"/>
              </w:rPr>
              <w:t>利于水资源及自然生态保护的项目。</w:t>
            </w:r>
          </w:p>
        </w:tc>
        <w:tc>
          <w:tcPr>
            <w:tcW w:w="2837" w:type="dxa"/>
            <w:vAlign w:val="top"/>
          </w:tcPr>
          <w:p>
            <w:pPr>
              <w:spacing w:line="258" w:lineRule="auto"/>
              <w:rPr>
                <w:rFonts w:ascii="Arial"/>
                <w:sz w:val="21"/>
              </w:rPr>
            </w:pPr>
            <w:r/>
          </w:p>
          <w:p>
            <w:pPr>
              <w:spacing w:line="258" w:lineRule="auto"/>
              <w:rPr>
                <w:rFonts w:ascii="Arial"/>
                <w:sz w:val="21"/>
              </w:rPr>
            </w:pPr>
            <w:r/>
          </w:p>
          <w:p>
            <w:pPr>
              <w:pStyle w:val="TableText"/>
              <w:ind w:left="16" w:right="65"/>
              <w:spacing w:before="68" w:line="242" w:lineRule="auto"/>
              <w:jc w:val="both"/>
              <w:rPr>
                <w:sz w:val="21"/>
                <w:szCs w:val="21"/>
              </w:rPr>
            </w:pPr>
            <w:r>
              <w:rPr>
                <w:sz w:val="21"/>
                <w:szCs w:val="21"/>
                <w:spacing w:val="-1"/>
              </w:rPr>
              <w:t>本项目位于四川绵阳安州工业</w:t>
            </w:r>
            <w:r>
              <w:rPr>
                <w:sz w:val="21"/>
                <w:szCs w:val="21"/>
                <w:spacing w:val="2"/>
              </w:rPr>
              <w:t xml:space="preserve"> </w:t>
            </w:r>
            <w:r>
              <w:rPr>
                <w:sz w:val="21"/>
                <w:szCs w:val="21"/>
                <w:spacing w:val="1"/>
              </w:rPr>
              <w:t>园区内，项目选址不在长江岸</w:t>
            </w:r>
            <w:r>
              <w:rPr>
                <w:sz w:val="21"/>
                <w:szCs w:val="21"/>
              </w:rPr>
              <w:t xml:space="preserve"> </w:t>
            </w:r>
            <w:r>
              <w:rPr>
                <w:sz w:val="21"/>
                <w:szCs w:val="21"/>
                <w:spacing w:val="-1"/>
              </w:rPr>
              <w:t>线保护区内利用、占用长江流</w:t>
            </w:r>
            <w:r>
              <w:rPr>
                <w:sz w:val="21"/>
                <w:szCs w:val="21"/>
                <w:spacing w:val="1"/>
              </w:rPr>
              <w:t xml:space="preserve"> </w:t>
            </w:r>
            <w:r>
              <w:rPr>
                <w:sz w:val="21"/>
                <w:szCs w:val="21"/>
                <w:spacing w:val="-1"/>
              </w:rPr>
              <w:t>域河湖岸线。</w:t>
            </w:r>
          </w:p>
        </w:tc>
        <w:tc>
          <w:tcPr>
            <w:tcW w:w="664" w:type="dxa"/>
            <w:vAlign w:val="top"/>
          </w:tcPr>
          <w:p>
            <w:pPr>
              <w:spacing w:line="304" w:lineRule="auto"/>
              <w:rPr>
                <w:rFonts w:ascii="Arial"/>
                <w:sz w:val="21"/>
              </w:rPr>
            </w:pPr>
            <w:r/>
          </w:p>
          <w:p>
            <w:pPr>
              <w:spacing w:line="305" w:lineRule="auto"/>
              <w:rPr>
                <w:rFonts w:ascii="Arial"/>
                <w:sz w:val="21"/>
              </w:rPr>
            </w:pPr>
            <w:r/>
          </w:p>
          <w:p>
            <w:pPr>
              <w:spacing w:line="305" w:lineRule="auto"/>
              <w:rPr>
                <w:rFonts w:ascii="Arial"/>
                <w:sz w:val="21"/>
              </w:rPr>
            </w:pPr>
            <w:r/>
          </w:p>
          <w:p>
            <w:pPr>
              <w:pStyle w:val="TableText"/>
              <w:ind w:left="119"/>
              <w:spacing w:before="69" w:line="219" w:lineRule="auto"/>
              <w:rPr>
                <w:sz w:val="21"/>
                <w:szCs w:val="21"/>
              </w:rPr>
            </w:pPr>
            <w:r>
              <w:rPr>
                <w:sz w:val="21"/>
                <w:szCs w:val="21"/>
                <w:spacing w:val="-3"/>
              </w:rPr>
              <w:t>符合</w:t>
            </w:r>
          </w:p>
        </w:tc>
      </w:tr>
      <w:tr>
        <w:trPr>
          <w:trHeight w:val="549" w:hRule="atLeast"/>
        </w:trPr>
        <w:tc>
          <w:tcPr>
            <w:tcW w:w="1143" w:type="dxa"/>
            <w:vAlign w:val="top"/>
            <w:vMerge w:val="continue"/>
            <w:tcBorders>
              <w:top w:val="nil"/>
              <w:bottom w:val="nil"/>
            </w:tcBorders>
          </w:tcPr>
          <w:p>
            <w:pPr>
              <w:rPr>
                <w:rFonts w:ascii="Arial"/>
                <w:sz w:val="21"/>
              </w:rPr>
            </w:pPr>
            <w:r/>
          </w:p>
        </w:tc>
        <w:tc>
          <w:tcPr>
            <w:tcW w:w="4435" w:type="dxa"/>
            <w:vAlign w:val="top"/>
          </w:tcPr>
          <w:p>
            <w:pPr>
              <w:pStyle w:val="TableText"/>
              <w:ind w:left="12" w:right="12"/>
              <w:spacing w:before="49" w:line="215" w:lineRule="auto"/>
              <w:rPr>
                <w:sz w:val="21"/>
                <w:szCs w:val="21"/>
              </w:rPr>
            </w:pPr>
            <w:r>
              <w:rPr>
                <w:sz w:val="21"/>
                <w:szCs w:val="21"/>
                <w:spacing w:val="-1"/>
              </w:rPr>
              <w:t>6.禁止未经许可在长江干支流及湖泊新设、改设</w:t>
            </w:r>
            <w:r>
              <w:rPr>
                <w:sz w:val="21"/>
                <w:szCs w:val="21"/>
                <w:spacing w:val="11"/>
              </w:rPr>
              <w:t xml:space="preserve"> </w:t>
            </w:r>
            <w:r>
              <w:rPr>
                <w:sz w:val="21"/>
                <w:szCs w:val="21"/>
                <w:spacing w:val="-1"/>
              </w:rPr>
              <w:t>或扩大排污口。</w:t>
            </w:r>
          </w:p>
        </w:tc>
        <w:tc>
          <w:tcPr>
            <w:tcW w:w="2837" w:type="dxa"/>
            <w:vAlign w:val="top"/>
          </w:tcPr>
          <w:p>
            <w:pPr>
              <w:pStyle w:val="TableText"/>
              <w:ind w:left="16" w:right="70"/>
              <w:spacing w:before="52" w:line="214" w:lineRule="auto"/>
              <w:rPr>
                <w:sz w:val="21"/>
                <w:szCs w:val="21"/>
              </w:rPr>
            </w:pPr>
            <w:r>
              <w:rPr>
                <w:sz w:val="21"/>
                <w:szCs w:val="21"/>
              </w:rPr>
              <w:t>项目不涉及新设、改设或者扩</w:t>
            </w:r>
            <w:r>
              <w:rPr>
                <w:sz w:val="21"/>
                <w:szCs w:val="21"/>
                <w:spacing w:val="8"/>
              </w:rPr>
              <w:t xml:space="preserve"> </w:t>
            </w:r>
            <w:r>
              <w:rPr>
                <w:sz w:val="21"/>
                <w:szCs w:val="21"/>
                <w:spacing w:val="7"/>
              </w:rPr>
              <w:t>大排污口</w:t>
            </w:r>
          </w:p>
        </w:tc>
        <w:tc>
          <w:tcPr>
            <w:tcW w:w="664" w:type="dxa"/>
            <w:vAlign w:val="top"/>
          </w:tcPr>
          <w:p>
            <w:pPr>
              <w:pStyle w:val="TableText"/>
              <w:ind w:left="119"/>
              <w:spacing w:before="171" w:line="219" w:lineRule="auto"/>
              <w:rPr>
                <w:sz w:val="21"/>
                <w:szCs w:val="21"/>
              </w:rPr>
            </w:pPr>
            <w:r>
              <w:rPr>
                <w:sz w:val="21"/>
                <w:szCs w:val="21"/>
                <w:spacing w:val="-3"/>
              </w:rPr>
              <w:t>符合</w:t>
            </w:r>
          </w:p>
        </w:tc>
      </w:tr>
      <w:tr>
        <w:trPr>
          <w:trHeight w:val="1628" w:hRule="atLeast"/>
        </w:trPr>
        <w:tc>
          <w:tcPr>
            <w:tcW w:w="1143" w:type="dxa"/>
            <w:vAlign w:val="top"/>
            <w:vMerge w:val="continue"/>
            <w:tcBorders>
              <w:top w:val="nil"/>
              <w:bottom w:val="nil"/>
            </w:tcBorders>
          </w:tcPr>
          <w:p>
            <w:pPr>
              <w:rPr>
                <w:rFonts w:ascii="Arial"/>
                <w:sz w:val="21"/>
              </w:rPr>
            </w:pPr>
            <w:r/>
          </w:p>
        </w:tc>
        <w:tc>
          <w:tcPr>
            <w:tcW w:w="4435" w:type="dxa"/>
            <w:vAlign w:val="top"/>
          </w:tcPr>
          <w:p>
            <w:pPr>
              <w:pStyle w:val="TableText"/>
              <w:ind w:left="12"/>
              <w:spacing w:before="41" w:line="231" w:lineRule="auto"/>
              <w:jc w:val="both"/>
              <w:rPr>
                <w:sz w:val="21"/>
                <w:szCs w:val="21"/>
              </w:rPr>
            </w:pPr>
            <w:r>
              <w:rPr>
                <w:sz w:val="21"/>
                <w:szCs w:val="21"/>
              </w:rPr>
              <w:t>8.禁止在长江干支流、重要湖泊岸线一公里范围</w:t>
            </w:r>
            <w:r>
              <w:rPr>
                <w:sz w:val="21"/>
                <w:szCs w:val="21"/>
                <w:spacing w:val="1"/>
              </w:rPr>
              <w:t xml:space="preserve"> </w:t>
            </w:r>
            <w:r>
              <w:rPr>
                <w:sz w:val="21"/>
                <w:szCs w:val="21"/>
                <w:spacing w:val="-1"/>
              </w:rPr>
              <w:t>内新建、扩建化工园区和化工项目。禁止在长江</w:t>
            </w:r>
            <w:r>
              <w:rPr>
                <w:sz w:val="21"/>
                <w:szCs w:val="21"/>
                <w:spacing w:val="11"/>
              </w:rPr>
              <w:t xml:space="preserve"> </w:t>
            </w:r>
            <w:r>
              <w:rPr>
                <w:sz w:val="21"/>
                <w:szCs w:val="21"/>
                <w:spacing w:val="-2"/>
              </w:rPr>
              <w:t>干流岸线三公里范围内和重要支流岸线一公里范</w:t>
            </w:r>
            <w:r>
              <w:rPr>
                <w:sz w:val="21"/>
                <w:szCs w:val="21"/>
                <w:spacing w:val="17"/>
              </w:rPr>
              <w:t xml:space="preserve"> </w:t>
            </w:r>
            <w:r>
              <w:rPr>
                <w:sz w:val="21"/>
                <w:szCs w:val="21"/>
                <w:spacing w:val="-1"/>
              </w:rPr>
              <w:t>围内新建、改建、扩建尾矿库、冶炼渣库和磷石</w:t>
            </w:r>
            <w:r>
              <w:rPr>
                <w:sz w:val="21"/>
                <w:szCs w:val="21"/>
                <w:spacing w:val="13"/>
              </w:rPr>
              <w:t xml:space="preserve"> </w:t>
            </w:r>
            <w:r>
              <w:rPr>
                <w:sz w:val="21"/>
                <w:szCs w:val="21"/>
              </w:rPr>
              <w:t>膏库，以提升安全、生态环境保护水平为目</w:t>
            </w:r>
            <w:r>
              <w:rPr>
                <w:sz w:val="21"/>
                <w:szCs w:val="21"/>
                <w:spacing w:val="-1"/>
              </w:rPr>
              <w:t>的的</w:t>
            </w:r>
            <w:r>
              <w:rPr>
                <w:sz w:val="21"/>
                <w:szCs w:val="21"/>
              </w:rPr>
              <w:t xml:space="preserve"> </w:t>
            </w:r>
            <w:r>
              <w:rPr>
                <w:sz w:val="21"/>
                <w:szCs w:val="21"/>
                <w:spacing w:val="-2"/>
              </w:rPr>
              <w:t>改建除外。</w:t>
            </w:r>
          </w:p>
        </w:tc>
        <w:tc>
          <w:tcPr>
            <w:tcW w:w="2837" w:type="dxa"/>
            <w:vAlign w:val="top"/>
          </w:tcPr>
          <w:p>
            <w:pPr>
              <w:pStyle w:val="TableText"/>
              <w:ind w:left="16"/>
              <w:spacing w:before="162" w:line="219" w:lineRule="auto"/>
              <w:rPr>
                <w:sz w:val="21"/>
                <w:szCs w:val="21"/>
              </w:rPr>
            </w:pPr>
            <w:r>
              <w:rPr>
                <w:sz w:val="21"/>
                <w:szCs w:val="21"/>
                <w:spacing w:val="1"/>
              </w:rPr>
              <w:t>项目东北侧距安昌河约</w:t>
            </w:r>
          </w:p>
          <w:p>
            <w:pPr>
              <w:pStyle w:val="TableText"/>
              <w:ind w:left="16"/>
              <w:spacing w:before="17" w:line="216" w:lineRule="auto"/>
              <w:rPr>
                <w:sz w:val="21"/>
                <w:szCs w:val="21"/>
              </w:rPr>
            </w:pPr>
            <w:r>
              <w:rPr>
                <w:sz w:val="21"/>
                <w:szCs w:val="21"/>
              </w:rPr>
              <w:t>3000m,属于长江主要支流涪</w:t>
            </w:r>
          </w:p>
          <w:p>
            <w:pPr>
              <w:pStyle w:val="TableText"/>
              <w:ind w:left="16" w:right="68"/>
              <w:spacing w:before="36" w:line="243" w:lineRule="auto"/>
              <w:rPr>
                <w:sz w:val="21"/>
                <w:szCs w:val="21"/>
              </w:rPr>
            </w:pPr>
            <w:r>
              <w:rPr>
                <w:sz w:val="21"/>
                <w:szCs w:val="21"/>
              </w:rPr>
              <w:t>江的支流，本项目不属于化工</w:t>
            </w:r>
            <w:r>
              <w:rPr>
                <w:sz w:val="21"/>
                <w:szCs w:val="21"/>
                <w:spacing w:val="10"/>
              </w:rPr>
              <w:t xml:space="preserve"> </w:t>
            </w:r>
            <w:r>
              <w:rPr>
                <w:sz w:val="21"/>
                <w:szCs w:val="21"/>
              </w:rPr>
              <w:t>项目及尾矿库、冶炼渣库、磷</w:t>
            </w:r>
            <w:r>
              <w:rPr>
                <w:sz w:val="21"/>
                <w:szCs w:val="21"/>
                <w:spacing w:val="8"/>
              </w:rPr>
              <w:t xml:space="preserve"> </w:t>
            </w:r>
            <w:r>
              <w:rPr>
                <w:sz w:val="21"/>
                <w:szCs w:val="21"/>
                <w:spacing w:val="-1"/>
              </w:rPr>
              <w:t>石膏库项目。</w:t>
            </w:r>
          </w:p>
        </w:tc>
        <w:tc>
          <w:tcPr>
            <w:tcW w:w="664" w:type="dxa"/>
            <w:vAlign w:val="top"/>
          </w:tcPr>
          <w:p>
            <w:pPr>
              <w:spacing w:line="320" w:lineRule="auto"/>
              <w:rPr>
                <w:rFonts w:ascii="Arial"/>
                <w:sz w:val="21"/>
              </w:rPr>
            </w:pPr>
            <w:r/>
          </w:p>
          <w:p>
            <w:pPr>
              <w:spacing w:line="320" w:lineRule="auto"/>
              <w:rPr>
                <w:rFonts w:ascii="Arial"/>
                <w:sz w:val="21"/>
              </w:rPr>
            </w:pPr>
            <w:r/>
          </w:p>
          <w:p>
            <w:pPr>
              <w:pStyle w:val="TableText"/>
              <w:ind w:left="119"/>
              <w:spacing w:before="68" w:line="219" w:lineRule="auto"/>
              <w:rPr>
                <w:sz w:val="21"/>
                <w:szCs w:val="21"/>
              </w:rPr>
            </w:pPr>
            <w:r>
              <w:rPr>
                <w:sz w:val="21"/>
                <w:szCs w:val="21"/>
                <w:spacing w:val="-3"/>
              </w:rPr>
              <w:t>符合</w:t>
            </w:r>
          </w:p>
        </w:tc>
      </w:tr>
      <w:tr>
        <w:trPr>
          <w:trHeight w:val="1088" w:hRule="atLeast"/>
        </w:trPr>
        <w:tc>
          <w:tcPr>
            <w:tcW w:w="1143" w:type="dxa"/>
            <w:vAlign w:val="top"/>
            <w:vMerge w:val="continue"/>
            <w:tcBorders>
              <w:top w:val="nil"/>
              <w:bottom w:val="nil"/>
            </w:tcBorders>
          </w:tcPr>
          <w:p>
            <w:pPr>
              <w:rPr>
                <w:rFonts w:ascii="Arial"/>
                <w:sz w:val="21"/>
              </w:rPr>
            </w:pPr>
            <w:r/>
          </w:p>
        </w:tc>
        <w:tc>
          <w:tcPr>
            <w:tcW w:w="4435" w:type="dxa"/>
            <w:vAlign w:val="top"/>
          </w:tcPr>
          <w:p>
            <w:pPr>
              <w:pStyle w:val="TableText"/>
              <w:ind w:left="12" w:right="11"/>
              <w:spacing w:before="183" w:line="237" w:lineRule="auto"/>
              <w:rPr>
                <w:sz w:val="21"/>
                <w:szCs w:val="21"/>
              </w:rPr>
            </w:pPr>
            <w:r>
              <w:rPr>
                <w:sz w:val="21"/>
                <w:szCs w:val="21"/>
                <w:spacing w:val="-1"/>
              </w:rPr>
              <w:t>9.禁止在合规园区外新建、扩建钢铁、石化、化</w:t>
            </w:r>
            <w:r>
              <w:rPr>
                <w:sz w:val="21"/>
                <w:szCs w:val="21"/>
                <w:spacing w:val="11"/>
              </w:rPr>
              <w:t xml:space="preserve"> </w:t>
            </w:r>
            <w:r>
              <w:rPr>
                <w:sz w:val="21"/>
                <w:szCs w:val="21"/>
              </w:rPr>
              <w:t>工、焦化、建材、有色、制浆造纸等高污染项</w:t>
            </w:r>
            <w:r>
              <w:rPr>
                <w:sz w:val="21"/>
                <w:szCs w:val="21"/>
                <w:spacing w:val="5"/>
              </w:rPr>
              <w:t xml:space="preserve">  </w:t>
            </w:r>
            <w:r>
              <w:rPr>
                <w:sz w:val="21"/>
                <w:szCs w:val="21"/>
                <w:spacing w:val="-25"/>
              </w:rPr>
              <w:t>目</w:t>
            </w:r>
            <w:r>
              <w:rPr>
                <w:sz w:val="21"/>
                <w:szCs w:val="21"/>
                <w:spacing w:val="-31"/>
              </w:rPr>
              <w:t xml:space="preserve"> </w:t>
            </w:r>
            <w:r>
              <w:rPr>
                <w:sz w:val="21"/>
                <w:szCs w:val="21"/>
                <w:spacing w:val="-25"/>
              </w:rPr>
              <w:t>。</w:t>
            </w:r>
          </w:p>
        </w:tc>
        <w:tc>
          <w:tcPr>
            <w:tcW w:w="2837" w:type="dxa"/>
            <w:vAlign w:val="top"/>
          </w:tcPr>
          <w:p>
            <w:pPr>
              <w:pStyle w:val="TableText"/>
              <w:ind w:left="16" w:right="61"/>
              <w:spacing w:before="45" w:line="227" w:lineRule="auto"/>
              <w:jc w:val="both"/>
              <w:rPr>
                <w:sz w:val="21"/>
                <w:szCs w:val="21"/>
              </w:rPr>
            </w:pPr>
            <w:r>
              <w:rPr>
                <w:sz w:val="21"/>
                <w:szCs w:val="21"/>
                <w:spacing w:val="1"/>
              </w:rPr>
              <w:t>项目位于四川绵阳安州工业园</w:t>
            </w:r>
            <w:r>
              <w:rPr>
                <w:sz w:val="21"/>
                <w:szCs w:val="21"/>
                <w:spacing w:val="4"/>
              </w:rPr>
              <w:t xml:space="preserve"> </w:t>
            </w:r>
            <w:r>
              <w:rPr>
                <w:sz w:val="21"/>
                <w:szCs w:val="21"/>
              </w:rPr>
              <w:t>区内，不属于钢铁、石化、化</w:t>
            </w:r>
            <w:r>
              <w:rPr>
                <w:sz w:val="21"/>
                <w:szCs w:val="21"/>
                <w:spacing w:val="8"/>
              </w:rPr>
              <w:t xml:space="preserve"> </w:t>
            </w:r>
            <w:r>
              <w:rPr>
                <w:sz w:val="21"/>
                <w:szCs w:val="21"/>
                <w:spacing w:val="-1"/>
              </w:rPr>
              <w:t>工、焦化、建材、有色、制浆</w:t>
            </w:r>
            <w:r>
              <w:rPr>
                <w:sz w:val="21"/>
                <w:szCs w:val="21"/>
                <w:spacing w:val="1"/>
              </w:rPr>
              <w:t xml:space="preserve"> </w:t>
            </w:r>
            <w:r>
              <w:rPr>
                <w:sz w:val="21"/>
                <w:szCs w:val="21"/>
                <w:spacing w:val="-1"/>
              </w:rPr>
              <w:t>造纸等高污染项目。</w:t>
            </w:r>
          </w:p>
        </w:tc>
        <w:tc>
          <w:tcPr>
            <w:tcW w:w="664" w:type="dxa"/>
            <w:vAlign w:val="top"/>
          </w:tcPr>
          <w:p>
            <w:pPr>
              <w:spacing w:line="374" w:lineRule="auto"/>
              <w:rPr>
                <w:rFonts w:ascii="Arial"/>
                <w:sz w:val="21"/>
              </w:rPr>
            </w:pPr>
            <w:r/>
          </w:p>
          <w:p>
            <w:pPr>
              <w:pStyle w:val="TableText"/>
              <w:ind w:left="119"/>
              <w:spacing w:before="68" w:line="219" w:lineRule="auto"/>
              <w:rPr>
                <w:sz w:val="21"/>
                <w:szCs w:val="21"/>
              </w:rPr>
            </w:pPr>
            <w:r>
              <w:rPr>
                <w:sz w:val="21"/>
                <w:szCs w:val="21"/>
                <w:spacing w:val="-3"/>
              </w:rPr>
              <w:t>符合</w:t>
            </w:r>
          </w:p>
        </w:tc>
      </w:tr>
      <w:tr>
        <w:trPr>
          <w:trHeight w:val="1913" w:hRule="atLeast"/>
        </w:trPr>
        <w:tc>
          <w:tcPr>
            <w:tcW w:w="1143" w:type="dxa"/>
            <w:vAlign w:val="top"/>
            <w:vMerge w:val="continue"/>
            <w:tcBorders>
              <w:top w:val="nil"/>
            </w:tcBorders>
          </w:tcPr>
          <w:p>
            <w:pPr>
              <w:rPr>
                <w:rFonts w:ascii="Arial"/>
                <w:sz w:val="21"/>
              </w:rPr>
            </w:pPr>
            <w:r/>
          </w:p>
        </w:tc>
        <w:tc>
          <w:tcPr>
            <w:tcW w:w="4435" w:type="dxa"/>
            <w:vAlign w:val="top"/>
          </w:tcPr>
          <w:p>
            <w:pPr>
              <w:spacing w:line="383" w:lineRule="auto"/>
              <w:rPr>
                <w:rFonts w:ascii="Arial"/>
                <w:sz w:val="21"/>
              </w:rPr>
            </w:pPr>
            <w:r/>
          </w:p>
          <w:p>
            <w:pPr>
              <w:pStyle w:val="TableText"/>
              <w:ind w:left="12"/>
              <w:spacing w:before="68" w:line="242" w:lineRule="auto"/>
              <w:rPr>
                <w:sz w:val="21"/>
                <w:szCs w:val="21"/>
              </w:rPr>
            </w:pPr>
            <w:r>
              <w:rPr>
                <w:sz w:val="21"/>
                <w:szCs w:val="21"/>
                <w:spacing w:val="-1"/>
              </w:rPr>
              <w:t>11.禁止新建、扩建法律法规和相关政策明令禁</w:t>
            </w:r>
            <w:r>
              <w:rPr>
                <w:sz w:val="21"/>
                <w:szCs w:val="21"/>
                <w:spacing w:val="8"/>
              </w:rPr>
              <w:t xml:space="preserve">  </w:t>
            </w:r>
            <w:r>
              <w:rPr>
                <w:sz w:val="21"/>
                <w:szCs w:val="21"/>
              </w:rPr>
              <w:t>止的落后产能项目。禁止新建、扩建不符合国家</w:t>
            </w:r>
            <w:r>
              <w:rPr>
                <w:sz w:val="21"/>
                <w:szCs w:val="21"/>
                <w:spacing w:val="1"/>
              </w:rPr>
              <w:t xml:space="preserve"> </w:t>
            </w:r>
            <w:r>
              <w:rPr>
                <w:sz w:val="21"/>
                <w:szCs w:val="21"/>
                <w:spacing w:val="-1"/>
              </w:rPr>
              <w:t>产能置换要求的严重过剩产能行业的项目。禁止</w:t>
            </w:r>
            <w:r>
              <w:rPr>
                <w:sz w:val="21"/>
                <w:szCs w:val="21"/>
                <w:spacing w:val="2"/>
              </w:rPr>
              <w:t xml:space="preserve"> </w:t>
            </w:r>
            <w:r>
              <w:rPr>
                <w:sz w:val="21"/>
                <w:szCs w:val="21"/>
                <w:spacing w:val="-1"/>
              </w:rPr>
              <w:t>新建、扩建不符合要求的高耗能高排放项目。</w:t>
            </w:r>
          </w:p>
        </w:tc>
        <w:tc>
          <w:tcPr>
            <w:tcW w:w="2837" w:type="dxa"/>
            <w:vAlign w:val="top"/>
          </w:tcPr>
          <w:p>
            <w:pPr>
              <w:pStyle w:val="TableText"/>
              <w:ind w:left="16" w:right="66"/>
              <w:spacing w:before="55" w:line="230" w:lineRule="auto"/>
              <w:rPr>
                <w:sz w:val="21"/>
                <w:szCs w:val="21"/>
              </w:rPr>
            </w:pPr>
            <w:r>
              <w:rPr>
                <w:sz w:val="21"/>
                <w:szCs w:val="21"/>
                <w:spacing w:val="1"/>
              </w:rPr>
              <w:t>项目不属于《产业结构调整指</w:t>
            </w:r>
            <w:r>
              <w:rPr>
                <w:sz w:val="21"/>
                <w:szCs w:val="21"/>
              </w:rPr>
              <w:t xml:space="preserve"> </w:t>
            </w:r>
            <w:r>
              <w:rPr>
                <w:sz w:val="21"/>
                <w:szCs w:val="21"/>
              </w:rPr>
              <w:t>导目录》(2024年本)中鼓励</w:t>
            </w:r>
          </w:p>
          <w:p>
            <w:pPr>
              <w:pStyle w:val="TableText"/>
              <w:ind w:left="16" w:right="67"/>
              <w:spacing w:before="6" w:line="238" w:lineRule="auto"/>
              <w:rPr>
                <w:sz w:val="21"/>
                <w:szCs w:val="21"/>
              </w:rPr>
            </w:pPr>
            <w:r>
              <w:rPr>
                <w:sz w:val="21"/>
                <w:szCs w:val="21"/>
              </w:rPr>
              <w:t>类、限制类和淘汰类，属于允</w:t>
            </w:r>
            <w:r>
              <w:rPr>
                <w:sz w:val="21"/>
                <w:szCs w:val="21"/>
                <w:spacing w:val="11"/>
              </w:rPr>
              <w:t xml:space="preserve"> </w:t>
            </w:r>
            <w:r>
              <w:rPr>
                <w:sz w:val="21"/>
                <w:szCs w:val="21"/>
                <w:spacing w:val="-1"/>
              </w:rPr>
              <w:t>许类行业，符合国家产业政</w:t>
            </w:r>
          </w:p>
          <w:p>
            <w:pPr>
              <w:pStyle w:val="TableText"/>
              <w:ind w:left="16"/>
              <w:spacing w:line="220" w:lineRule="auto"/>
              <w:rPr>
                <w:sz w:val="21"/>
                <w:szCs w:val="21"/>
              </w:rPr>
            </w:pPr>
            <w:r>
              <w:rPr>
                <w:sz w:val="21"/>
                <w:szCs w:val="21"/>
                <w:spacing w:val="-1"/>
              </w:rPr>
              <w:t>策。项目为“C1351牲畜屠</w:t>
            </w:r>
          </w:p>
          <w:p>
            <w:pPr>
              <w:pStyle w:val="TableText"/>
              <w:ind w:left="16" w:right="71"/>
              <w:spacing w:before="29" w:line="218" w:lineRule="auto"/>
              <w:rPr>
                <w:sz w:val="21"/>
                <w:szCs w:val="21"/>
              </w:rPr>
            </w:pPr>
            <w:r>
              <w:rPr>
                <w:sz w:val="21"/>
                <w:szCs w:val="21"/>
              </w:rPr>
              <w:t>宰”项目，未列入国家产能过</w:t>
            </w:r>
            <w:r>
              <w:rPr>
                <w:sz w:val="21"/>
                <w:szCs w:val="21"/>
                <w:spacing w:val="7"/>
              </w:rPr>
              <w:t xml:space="preserve"> </w:t>
            </w:r>
            <w:r>
              <w:rPr>
                <w:sz w:val="21"/>
                <w:szCs w:val="21"/>
                <w:spacing w:val="-1"/>
              </w:rPr>
              <w:t>剩项目。</w:t>
            </w:r>
          </w:p>
        </w:tc>
        <w:tc>
          <w:tcPr>
            <w:tcW w:w="664"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119"/>
              <w:spacing w:before="69" w:line="219" w:lineRule="auto"/>
              <w:rPr>
                <w:sz w:val="21"/>
                <w:szCs w:val="21"/>
              </w:rPr>
            </w:pPr>
            <w:r>
              <w:rPr>
                <w:sz w:val="21"/>
                <w:szCs w:val="21"/>
                <w:spacing w:val="-3"/>
              </w:rPr>
              <w:t>符合</w:t>
            </w:r>
          </w:p>
        </w:tc>
      </w:tr>
    </w:tbl>
    <w:p>
      <w:pPr>
        <w:ind w:left="885"/>
        <w:spacing w:before="63" w:line="219" w:lineRule="auto"/>
        <w:rPr>
          <w:rFonts w:ascii="SimSun" w:hAnsi="SimSun" w:eastAsia="SimSun" w:cs="SimSun"/>
          <w:sz w:val="24"/>
          <w:szCs w:val="24"/>
        </w:rPr>
      </w:pPr>
      <w:r>
        <w:rPr>
          <w:rFonts w:ascii="SimSun" w:hAnsi="SimSun" w:eastAsia="SimSun" w:cs="SimSun"/>
          <w:sz w:val="24"/>
          <w:szCs w:val="24"/>
        </w:rPr>
        <w:t>综上，本项目的建设符合《长江经济带生态环境保护规划》(环规财</w:t>
      </w:r>
    </w:p>
    <w:p>
      <w:pPr>
        <w:ind w:left="394" w:right="654"/>
        <w:spacing w:before="196" w:line="326" w:lineRule="auto"/>
        <w:tabs>
          <w:tab w:val="left" w:pos="514"/>
        </w:tabs>
        <w:rPr>
          <w:rFonts w:ascii="SimSun" w:hAnsi="SimSun" w:eastAsia="SimSun" w:cs="SimSun"/>
          <w:sz w:val="24"/>
          <w:szCs w:val="24"/>
        </w:rPr>
      </w:pPr>
      <w:r>
        <w:rPr>
          <w:rFonts w:ascii="SimSun" w:hAnsi="SimSun" w:eastAsia="SimSun" w:cs="SimSun"/>
          <w:sz w:val="24"/>
          <w:szCs w:val="24"/>
          <w:spacing w:val="3"/>
        </w:rPr>
        <w:t>[2017]88号)、《四川省、重庆市长江经济带发展负面清单实施细则(试行，</w:t>
      </w:r>
      <w:r>
        <w:rPr>
          <w:rFonts w:ascii="SimSun" w:hAnsi="SimSun" w:eastAsia="SimSun" w:cs="SimSun"/>
          <w:sz w:val="24"/>
          <w:szCs w:val="24"/>
          <w:spacing w:val="5"/>
        </w:rPr>
        <w:t xml:space="preserve"> </w:t>
      </w:r>
      <w:r>
        <w:rPr>
          <w:rFonts w:ascii="SimSun" w:hAnsi="SimSun" w:eastAsia="SimSun" w:cs="SimSun"/>
          <w:sz w:val="24"/>
          <w:szCs w:val="24"/>
          <w:spacing w:val="7"/>
        </w:rPr>
        <w:t>2022年版)》(川长江办[2022]17号)、《中华人民共和国长江保护法》、</w:t>
      </w:r>
      <w:r>
        <w:rPr>
          <w:rFonts w:ascii="SimSun" w:hAnsi="SimSun" w:eastAsia="SimSun" w:cs="SimSun"/>
          <w:sz w:val="24"/>
          <w:szCs w:val="24"/>
          <w:spacing w:val="2"/>
        </w:rPr>
        <w:t xml:space="preserve">  </w:t>
      </w:r>
      <w:r>
        <w:rPr>
          <w:rFonts w:ascii="SimSun" w:hAnsi="SimSun" w:eastAsia="SimSun" w:cs="SimSun"/>
          <w:sz w:val="24"/>
          <w:szCs w:val="24"/>
          <w:spacing w:val="-1"/>
        </w:rPr>
        <w:t>《四川省嘉陵江流域生态环境保护条例》、《长江经济带发展负面清单指南</w:t>
      </w:r>
      <w:r>
        <w:rPr>
          <w:rFonts w:ascii="SimSun" w:hAnsi="SimSun" w:eastAsia="SimSun" w:cs="SimSun"/>
          <w:sz w:val="24"/>
          <w:szCs w:val="24"/>
          <w:spacing w:val="4"/>
        </w:rPr>
        <w:t xml:space="preserve">  </w:t>
      </w:r>
      <w:r>
        <w:rPr>
          <w:rFonts w:ascii="SimSun" w:hAnsi="SimSun" w:eastAsia="SimSun" w:cs="SimSun"/>
          <w:sz w:val="24"/>
          <w:szCs w:val="24"/>
        </w:rPr>
        <w:tab/>
      </w:r>
      <w:r>
        <w:rPr>
          <w:rFonts w:ascii="SimSun" w:hAnsi="SimSun" w:eastAsia="SimSun" w:cs="SimSun"/>
          <w:sz w:val="24"/>
          <w:szCs w:val="24"/>
          <w:spacing w:val="9"/>
        </w:rPr>
        <w:t>(试行，2022年版)》(长江办[20</w:t>
      </w:r>
      <w:r>
        <w:rPr>
          <w:rFonts w:ascii="SimSun" w:hAnsi="SimSun" w:eastAsia="SimSun" w:cs="SimSun"/>
          <w:sz w:val="24"/>
          <w:szCs w:val="24"/>
          <w:spacing w:val="8"/>
        </w:rPr>
        <w:t>22]7号)相关要求。</w:t>
      </w:r>
    </w:p>
    <w:p>
      <w:pPr>
        <w:ind w:left="394"/>
        <w:spacing w:before="229" w:line="221" w:lineRule="auto"/>
        <w:rPr>
          <w:rFonts w:ascii="SimHei" w:hAnsi="SimHei" w:eastAsia="SimHei" w:cs="SimHei"/>
          <w:sz w:val="24"/>
          <w:szCs w:val="24"/>
        </w:rPr>
      </w:pPr>
      <w:r>
        <w:rPr>
          <w:rFonts w:ascii="Times New Roman" w:hAnsi="Times New Roman" w:eastAsia="Times New Roman" w:cs="Times New Roman"/>
          <w:sz w:val="24"/>
          <w:szCs w:val="24"/>
          <w:spacing w:val="24"/>
        </w:rPr>
        <w:t>1.4</w:t>
      </w:r>
      <w:r>
        <w:rPr>
          <w:rFonts w:ascii="Times New Roman" w:hAnsi="Times New Roman" w:eastAsia="Times New Roman" w:cs="Times New Roman"/>
          <w:sz w:val="24"/>
          <w:szCs w:val="24"/>
          <w:spacing w:val="5"/>
        </w:rPr>
        <w:t xml:space="preserve"> </w:t>
      </w:r>
      <w:r>
        <w:rPr>
          <w:rFonts w:ascii="SimHei" w:hAnsi="SimHei" w:eastAsia="SimHei" w:cs="SimHei"/>
          <w:sz w:val="24"/>
          <w:szCs w:val="24"/>
          <w:b/>
          <w:bCs/>
          <w:spacing w:val="24"/>
        </w:rPr>
        <w:t>.5与水污染防治行动计划的符合性分析</w:t>
      </w:r>
    </w:p>
    <w:p>
      <w:pPr>
        <w:ind w:left="394" w:right="351" w:firstLine="600"/>
        <w:spacing w:before="194" w:line="335" w:lineRule="auto"/>
        <w:rPr>
          <w:rFonts w:ascii="SimSun" w:hAnsi="SimSun" w:eastAsia="SimSun" w:cs="SimSun"/>
          <w:sz w:val="24"/>
          <w:szCs w:val="24"/>
        </w:rPr>
      </w:pPr>
      <w:r>
        <w:rPr>
          <w:rFonts w:ascii="SimSun" w:hAnsi="SimSun" w:eastAsia="SimSun" w:cs="SimSun"/>
          <w:sz w:val="24"/>
          <w:szCs w:val="24"/>
          <w:spacing w:val="11"/>
        </w:rPr>
        <w:t>(1)《关于印发水污染防治行动计划的通知》(国发[2015]17号)中第一</w:t>
      </w:r>
      <w:r>
        <w:rPr>
          <w:rFonts w:ascii="SimSun" w:hAnsi="SimSun" w:eastAsia="SimSun" w:cs="SimSun"/>
          <w:sz w:val="24"/>
          <w:szCs w:val="24"/>
          <w:spacing w:val="15"/>
        </w:rPr>
        <w:t xml:space="preserve"> </w:t>
      </w:r>
      <w:r>
        <w:rPr>
          <w:rFonts w:ascii="SimSun" w:hAnsi="SimSun" w:eastAsia="SimSun" w:cs="SimSun"/>
          <w:sz w:val="24"/>
          <w:szCs w:val="24"/>
          <w:spacing w:val="3"/>
        </w:rPr>
        <w:t>条“全面控制污染物排放”第一款：狠抓工业污染防治，取缔“十小”企业。</w:t>
      </w:r>
      <w:r>
        <w:rPr>
          <w:rFonts w:ascii="SimSun" w:hAnsi="SimSun" w:eastAsia="SimSun" w:cs="SimSun"/>
          <w:sz w:val="24"/>
          <w:szCs w:val="24"/>
          <w:spacing w:val="17"/>
        </w:rPr>
        <w:t xml:space="preserve"> </w:t>
      </w:r>
      <w:r>
        <w:rPr>
          <w:rFonts w:ascii="SimSun" w:hAnsi="SimSun" w:eastAsia="SimSun" w:cs="SimSun"/>
          <w:sz w:val="24"/>
          <w:szCs w:val="24"/>
          <w:spacing w:val="4"/>
        </w:rPr>
        <w:t>全面排查装备水平低、环保设施差的小型工业企业。2016年底前，</w:t>
      </w:r>
      <w:r>
        <w:rPr>
          <w:rFonts w:ascii="SimSun" w:hAnsi="SimSun" w:eastAsia="SimSun" w:cs="SimSun"/>
          <w:sz w:val="24"/>
          <w:szCs w:val="24"/>
          <w:spacing w:val="3"/>
        </w:rPr>
        <w:t>按照水污染</w:t>
      </w:r>
      <w:r>
        <w:rPr>
          <w:rFonts w:ascii="SimSun" w:hAnsi="SimSun" w:eastAsia="SimSun" w:cs="SimSun"/>
          <w:sz w:val="24"/>
          <w:szCs w:val="24"/>
        </w:rPr>
        <w:t xml:space="preserve"> </w:t>
      </w:r>
      <w:r>
        <w:rPr>
          <w:rFonts w:ascii="SimSun" w:hAnsi="SimSun" w:eastAsia="SimSun" w:cs="SimSun"/>
          <w:sz w:val="24"/>
          <w:szCs w:val="24"/>
          <w:spacing w:val="3"/>
        </w:rPr>
        <w:t>防治法律法规要求，全部取缔不符合国家产业政策的小型造纸、制革、印染、</w:t>
      </w:r>
      <w:r>
        <w:rPr>
          <w:rFonts w:ascii="SimSun" w:hAnsi="SimSun" w:eastAsia="SimSun" w:cs="SimSun"/>
          <w:sz w:val="24"/>
          <w:szCs w:val="24"/>
          <w:spacing w:val="17"/>
        </w:rPr>
        <w:t xml:space="preserve"> </w:t>
      </w:r>
      <w:r>
        <w:rPr>
          <w:rFonts w:ascii="SimSun" w:hAnsi="SimSun" w:eastAsia="SimSun" w:cs="SimSun"/>
          <w:sz w:val="24"/>
          <w:szCs w:val="24"/>
          <w:spacing w:val="3"/>
        </w:rPr>
        <w:t>染料、炼焦、炼硫、炼砷、炼油、电镀、农药等严重污染水环境的生产项目。</w:t>
      </w:r>
      <w:r>
        <w:rPr>
          <w:rFonts w:ascii="SimSun" w:hAnsi="SimSun" w:eastAsia="SimSun" w:cs="SimSun"/>
          <w:sz w:val="24"/>
          <w:szCs w:val="24"/>
          <w:spacing w:val="17"/>
        </w:rPr>
        <w:t xml:space="preserve"> </w:t>
      </w:r>
      <w:r>
        <w:rPr>
          <w:rFonts w:ascii="SimSun" w:hAnsi="SimSun" w:eastAsia="SimSun" w:cs="SimSun"/>
          <w:sz w:val="24"/>
          <w:szCs w:val="24"/>
          <w:spacing w:val="4"/>
        </w:rPr>
        <w:t>集中治理工业集聚区水污染。强化经济技术开发区、高新技术产业开发区、出</w:t>
      </w:r>
      <w:r>
        <w:rPr>
          <w:rFonts w:ascii="SimSun" w:hAnsi="SimSun" w:eastAsia="SimSun" w:cs="SimSun"/>
          <w:sz w:val="24"/>
          <w:szCs w:val="24"/>
          <w:spacing w:val="2"/>
        </w:rPr>
        <w:t xml:space="preserve"> </w:t>
      </w:r>
      <w:r>
        <w:rPr>
          <w:rFonts w:ascii="SimSun" w:hAnsi="SimSun" w:eastAsia="SimSun" w:cs="SimSun"/>
          <w:sz w:val="24"/>
          <w:szCs w:val="24"/>
          <w:spacing w:val="3"/>
        </w:rPr>
        <w:t>口加工区等工业集聚区污染治理。集聚区内工业废水必须经预处理达到集中处</w:t>
      </w:r>
    </w:p>
    <w:p>
      <w:pPr>
        <w:spacing w:line="335" w:lineRule="auto"/>
        <w:sectPr>
          <w:headerReference w:type="default" r:id="rId78"/>
          <w:footerReference w:type="default" r:id="rId79"/>
          <w:pgSz w:w="11910" w:h="16840"/>
          <w:pgMar w:top="1207" w:right="1435" w:bottom="983" w:left="1385" w:header="915" w:footer="736" w:gutter="0"/>
        </w:sectPr>
        <w:rPr>
          <w:rFonts w:ascii="SimSun" w:hAnsi="SimSun" w:eastAsia="SimSun" w:cs="SimSun"/>
          <w:sz w:val="24"/>
          <w:szCs w:val="24"/>
        </w:rPr>
      </w:pPr>
    </w:p>
    <w:p>
      <w:pPr>
        <w:ind w:left="29" w:right="43"/>
        <w:spacing w:before="256" w:line="364" w:lineRule="auto"/>
        <w:rPr>
          <w:rFonts w:ascii="SimSun" w:hAnsi="SimSun" w:eastAsia="SimSun" w:cs="SimSun"/>
          <w:sz w:val="24"/>
          <w:szCs w:val="24"/>
        </w:rPr>
      </w:pPr>
      <w:r>
        <w:rPr>
          <w:rFonts w:ascii="SimSun" w:hAnsi="SimSun" w:eastAsia="SimSun" w:cs="SimSun"/>
          <w:sz w:val="24"/>
          <w:szCs w:val="24"/>
          <w:spacing w:val="4"/>
        </w:rPr>
        <w:t>理要求，方可进入污水集中处理设施。新建、升级工业集聚区应同步规划、建</w:t>
      </w:r>
      <w:r>
        <w:rPr>
          <w:rFonts w:ascii="SimSun" w:hAnsi="SimSun" w:eastAsia="SimSun" w:cs="SimSun"/>
          <w:sz w:val="24"/>
          <w:szCs w:val="24"/>
          <w:spacing w:val="3"/>
        </w:rPr>
        <w:t xml:space="preserve"> </w:t>
      </w:r>
      <w:r>
        <w:rPr>
          <w:rFonts w:ascii="SimSun" w:hAnsi="SimSun" w:eastAsia="SimSun" w:cs="SimSun"/>
          <w:sz w:val="24"/>
          <w:szCs w:val="24"/>
          <w:spacing w:val="-3"/>
        </w:rPr>
        <w:t>设污水、垃圾集中处理等污染治理设施。</w:t>
      </w:r>
    </w:p>
    <w:p>
      <w:pPr>
        <w:ind w:left="29" w:right="39" w:firstLine="600"/>
        <w:spacing w:before="5" w:line="320" w:lineRule="auto"/>
        <w:rPr>
          <w:rFonts w:ascii="SimSun" w:hAnsi="SimSun" w:eastAsia="SimSun" w:cs="SimSun"/>
          <w:sz w:val="24"/>
          <w:szCs w:val="24"/>
        </w:rPr>
      </w:pPr>
      <w:r>
        <w:rPr>
          <w:rFonts w:ascii="SimSun" w:hAnsi="SimSun" w:eastAsia="SimSun" w:cs="SimSun"/>
          <w:sz w:val="24"/>
          <w:szCs w:val="24"/>
          <w:spacing w:val="16"/>
        </w:rPr>
        <w:t>(2)《四川省人民政府办公厅关于印发&lt;四川省</w:t>
      </w:r>
      <w:r>
        <w:rPr>
          <w:rFonts w:ascii="SimSun" w:hAnsi="SimSun" w:eastAsia="SimSun" w:cs="SimSun"/>
          <w:sz w:val="24"/>
          <w:szCs w:val="24"/>
          <w:spacing w:val="15"/>
        </w:rPr>
        <w:t>环境污染防治“三大战</w:t>
      </w:r>
      <w:r>
        <w:rPr>
          <w:rFonts w:ascii="SimSun" w:hAnsi="SimSun" w:eastAsia="SimSun" w:cs="SimSun"/>
          <w:sz w:val="24"/>
          <w:szCs w:val="24"/>
        </w:rPr>
        <w:t xml:space="preserve"> </w:t>
      </w:r>
      <w:r>
        <w:rPr>
          <w:rFonts w:ascii="SimSun" w:hAnsi="SimSun" w:eastAsia="SimSun" w:cs="SimSun"/>
          <w:sz w:val="24"/>
          <w:szCs w:val="24"/>
          <w:spacing w:val="11"/>
        </w:rPr>
        <w:t>役”实施方案&gt;的通知》,重点任务(二)水污染防治：“实施严</w:t>
      </w:r>
      <w:r>
        <w:rPr>
          <w:rFonts w:ascii="SimSun" w:hAnsi="SimSun" w:eastAsia="SimSun" w:cs="SimSun"/>
          <w:sz w:val="24"/>
          <w:szCs w:val="24"/>
          <w:spacing w:val="10"/>
        </w:rPr>
        <w:t>重污染河流综</w:t>
      </w:r>
      <w:r>
        <w:rPr>
          <w:rFonts w:ascii="SimSun" w:hAnsi="SimSun" w:eastAsia="SimSun" w:cs="SimSun"/>
          <w:sz w:val="24"/>
          <w:szCs w:val="24"/>
        </w:rPr>
        <w:t xml:space="preserve"> </w:t>
      </w:r>
      <w:r>
        <w:rPr>
          <w:rFonts w:ascii="SimSun" w:hAnsi="SimSun" w:eastAsia="SimSun" w:cs="SimSun"/>
          <w:sz w:val="24"/>
          <w:szCs w:val="24"/>
          <w:spacing w:val="4"/>
        </w:rPr>
        <w:t>合整治行动。围绕环境问题突出的29个国家优先控制单元，重拳出击岷江、沱</w:t>
      </w:r>
      <w:r>
        <w:rPr>
          <w:rFonts w:ascii="SimSun" w:hAnsi="SimSun" w:eastAsia="SimSun" w:cs="SimSun"/>
          <w:sz w:val="24"/>
          <w:szCs w:val="24"/>
        </w:rPr>
        <w:t xml:space="preserve"> </w:t>
      </w:r>
      <w:r>
        <w:rPr>
          <w:rFonts w:ascii="SimSun" w:hAnsi="SimSun" w:eastAsia="SimSun" w:cs="SimSun"/>
          <w:sz w:val="24"/>
          <w:szCs w:val="24"/>
        </w:rPr>
        <w:t>江和嘉陵江重点污染流域，打好24条污染严重小河</w:t>
      </w:r>
      <w:r>
        <w:rPr>
          <w:rFonts w:ascii="SimSun" w:hAnsi="SimSun" w:eastAsia="SimSun" w:cs="SimSun"/>
          <w:sz w:val="24"/>
          <w:szCs w:val="24"/>
          <w:spacing w:val="-1"/>
        </w:rPr>
        <w:t>流域综合整治攻坚战役。</w:t>
      </w:r>
    </w:p>
    <w:p>
      <w:pPr>
        <w:ind w:left="29" w:right="34" w:firstLine="600"/>
        <w:spacing w:before="206" w:line="327" w:lineRule="auto"/>
        <w:rPr>
          <w:rFonts w:ascii="SimSun" w:hAnsi="SimSun" w:eastAsia="SimSun" w:cs="SimSun"/>
          <w:sz w:val="24"/>
          <w:szCs w:val="24"/>
        </w:rPr>
      </w:pPr>
      <w:r>
        <w:rPr>
          <w:rFonts w:ascii="SimSun" w:hAnsi="SimSun" w:eastAsia="SimSun" w:cs="SimSun"/>
          <w:sz w:val="24"/>
          <w:szCs w:val="24"/>
          <w:spacing w:val="4"/>
        </w:rPr>
        <w:t>(3)《四川省人民政府关于印发四川省打赢蓝天保卫战等九个实施方案的</w:t>
      </w:r>
      <w:r>
        <w:rPr>
          <w:rFonts w:ascii="SimSun" w:hAnsi="SimSun" w:eastAsia="SimSun" w:cs="SimSun"/>
          <w:sz w:val="24"/>
          <w:szCs w:val="24"/>
          <w:spacing w:val="15"/>
        </w:rPr>
        <w:t xml:space="preserve"> </w:t>
      </w:r>
      <w:r>
        <w:rPr>
          <w:rFonts w:ascii="SimSun" w:hAnsi="SimSun" w:eastAsia="SimSun" w:cs="SimSun"/>
          <w:sz w:val="24"/>
          <w:szCs w:val="24"/>
          <w:spacing w:val="7"/>
        </w:rPr>
        <w:t>通知》(川府发[2019]4号)中四川省打赢碧水保卫战实施方案：“</w:t>
      </w:r>
      <w:r>
        <w:rPr>
          <w:rFonts w:ascii="SimSun" w:hAnsi="SimSun" w:eastAsia="SimSun" w:cs="SimSun"/>
          <w:sz w:val="24"/>
          <w:szCs w:val="24"/>
          <w:spacing w:val="6"/>
        </w:rPr>
        <w:t>加大总磷污</w:t>
      </w:r>
      <w:r>
        <w:rPr>
          <w:rFonts w:ascii="SimSun" w:hAnsi="SimSun" w:eastAsia="SimSun" w:cs="SimSun"/>
          <w:sz w:val="24"/>
          <w:szCs w:val="24"/>
        </w:rPr>
        <w:t xml:space="preserve"> </w:t>
      </w:r>
      <w:r>
        <w:rPr>
          <w:rFonts w:ascii="SimSun" w:hAnsi="SimSun" w:eastAsia="SimSun" w:cs="SimSun"/>
          <w:sz w:val="24"/>
          <w:szCs w:val="24"/>
          <w:spacing w:val="4"/>
        </w:rPr>
        <w:t>染防治。对工业循环用水大户和涉磷企业进行全</w:t>
      </w:r>
      <w:r>
        <w:rPr>
          <w:rFonts w:ascii="SimSun" w:hAnsi="SimSun" w:eastAsia="SimSun" w:cs="SimSun"/>
          <w:sz w:val="24"/>
          <w:szCs w:val="24"/>
          <w:spacing w:val="3"/>
        </w:rPr>
        <w:t>面排查，建立总磷污染源数据</w:t>
      </w:r>
      <w:r>
        <w:rPr>
          <w:rFonts w:ascii="SimSun" w:hAnsi="SimSun" w:eastAsia="SimSun" w:cs="SimSun"/>
          <w:sz w:val="24"/>
          <w:szCs w:val="24"/>
        </w:rPr>
        <w:t xml:space="preserve"> </w:t>
      </w:r>
      <w:r>
        <w:rPr>
          <w:rFonts w:ascii="SimSun" w:hAnsi="SimSun" w:eastAsia="SimSun" w:cs="SimSun"/>
          <w:sz w:val="24"/>
          <w:szCs w:val="24"/>
          <w:spacing w:val="4"/>
        </w:rPr>
        <w:t>库，实施循环水非磷配方药品替代改造，强化工业循环用水监管和总磷排放控</w:t>
      </w:r>
      <w:r>
        <w:rPr>
          <w:rFonts w:ascii="SimSun" w:hAnsi="SimSun" w:eastAsia="SimSun" w:cs="SimSun"/>
          <w:sz w:val="24"/>
          <w:szCs w:val="24"/>
          <w:spacing w:val="3"/>
        </w:rPr>
        <w:t xml:space="preserve"> </w:t>
      </w:r>
      <w:r>
        <w:rPr>
          <w:rFonts w:ascii="SimSun" w:hAnsi="SimSun" w:eastAsia="SimSun" w:cs="SimSun"/>
          <w:sz w:val="24"/>
          <w:szCs w:val="24"/>
          <w:spacing w:val="16"/>
        </w:rPr>
        <w:t>制</w:t>
      </w:r>
      <w:r>
        <w:rPr>
          <w:rFonts w:ascii="SimSun" w:hAnsi="SimSun" w:eastAsia="SimSun" w:cs="SimSun"/>
          <w:sz w:val="24"/>
          <w:szCs w:val="24"/>
          <w:spacing w:val="-83"/>
        </w:rPr>
        <w:t xml:space="preserve"> </w:t>
      </w:r>
      <w:r>
        <w:rPr>
          <w:rFonts w:ascii="SimSun" w:hAnsi="SimSun" w:eastAsia="SimSun" w:cs="SimSun"/>
          <w:sz w:val="24"/>
          <w:szCs w:val="24"/>
          <w:spacing w:val="16"/>
        </w:rPr>
        <w:t>……</w:t>
      </w:r>
      <w:r>
        <w:rPr>
          <w:rFonts w:ascii="SimSun" w:hAnsi="SimSun" w:eastAsia="SimSun" w:cs="SimSun"/>
          <w:sz w:val="24"/>
          <w:szCs w:val="24"/>
          <w:spacing w:val="-76"/>
        </w:rPr>
        <w:t xml:space="preserve"> </w:t>
      </w:r>
      <w:r>
        <w:rPr>
          <w:rFonts w:ascii="SimSun" w:hAnsi="SimSun" w:eastAsia="SimSun" w:cs="SimSun"/>
          <w:sz w:val="24"/>
          <w:szCs w:val="24"/>
          <w:spacing w:val="16"/>
        </w:rPr>
        <w:t>”</w:t>
      </w:r>
    </w:p>
    <w:p>
      <w:pPr>
        <w:ind w:left="29" w:right="20" w:firstLine="490"/>
        <w:spacing w:before="197" w:line="356" w:lineRule="auto"/>
        <w:rPr>
          <w:rFonts w:ascii="Times New Roman" w:hAnsi="Times New Roman" w:eastAsia="Times New Roman" w:cs="Times New Roman"/>
          <w:sz w:val="24"/>
          <w:szCs w:val="24"/>
        </w:rPr>
      </w:pPr>
      <w:r>
        <w:rPr>
          <w:rFonts w:ascii="SimSun" w:hAnsi="SimSun" w:eastAsia="SimSun" w:cs="SimSun"/>
          <w:sz w:val="24"/>
          <w:szCs w:val="24"/>
          <w:spacing w:val="-1"/>
        </w:rPr>
        <w:t>项目位于四川绵阳安州工业园区内，为“C1351</w:t>
      </w:r>
      <w:r>
        <w:rPr>
          <w:rFonts w:ascii="SimSun" w:hAnsi="SimSun" w:eastAsia="SimSun" w:cs="SimSun"/>
          <w:sz w:val="24"/>
          <w:szCs w:val="24"/>
          <w:spacing w:val="-53"/>
        </w:rPr>
        <w:t xml:space="preserve"> </w:t>
      </w:r>
      <w:r>
        <w:rPr>
          <w:rFonts w:ascii="SimSun" w:hAnsi="SimSun" w:eastAsia="SimSun" w:cs="SimSun"/>
          <w:sz w:val="24"/>
          <w:szCs w:val="24"/>
          <w:spacing w:val="-1"/>
        </w:rPr>
        <w:t>牲畜屠宰”项目，不属于不</w:t>
      </w:r>
      <w:r>
        <w:rPr>
          <w:rFonts w:ascii="SimSun" w:hAnsi="SimSun" w:eastAsia="SimSun" w:cs="SimSun"/>
          <w:sz w:val="24"/>
          <w:szCs w:val="24"/>
        </w:rPr>
        <w:t xml:space="preserve"> </w:t>
      </w:r>
      <w:r>
        <w:rPr>
          <w:rFonts w:ascii="SimSun" w:hAnsi="SimSun" w:eastAsia="SimSun" w:cs="SimSun"/>
          <w:sz w:val="24"/>
          <w:szCs w:val="24"/>
          <w:spacing w:val="11"/>
        </w:rPr>
        <w:t>符合国家产业政策的小型造纸、制革、印染、染料、炼焦、炼硫、</w:t>
      </w:r>
      <w:r>
        <w:rPr>
          <w:rFonts w:ascii="SimSun" w:hAnsi="SimSun" w:eastAsia="SimSun" w:cs="SimSun"/>
          <w:sz w:val="24"/>
          <w:szCs w:val="24"/>
          <w:spacing w:val="10"/>
        </w:rPr>
        <w:t>炼砷、炼</w:t>
      </w:r>
      <w:r>
        <w:rPr>
          <w:rFonts w:ascii="SimSun" w:hAnsi="SimSun" w:eastAsia="SimSun" w:cs="SimSun"/>
          <w:sz w:val="24"/>
          <w:szCs w:val="24"/>
        </w:rPr>
        <w:t xml:space="preserve"> </w:t>
      </w:r>
      <w:r>
        <w:rPr>
          <w:rFonts w:ascii="SimSun" w:hAnsi="SimSun" w:eastAsia="SimSun" w:cs="SimSun"/>
          <w:sz w:val="24"/>
          <w:szCs w:val="24"/>
          <w:spacing w:val="-3"/>
        </w:rPr>
        <w:t>油、电镀、农药等严重污染水环境的生产项目，不属于“十小”企业；不属于涉</w:t>
      </w:r>
      <w:r>
        <w:rPr>
          <w:rFonts w:ascii="SimSun" w:hAnsi="SimSun" w:eastAsia="SimSun" w:cs="SimSun"/>
          <w:sz w:val="24"/>
          <w:szCs w:val="24"/>
          <w:spacing w:val="4"/>
        </w:rPr>
        <w:t xml:space="preserve"> </w:t>
      </w:r>
      <w:r>
        <w:rPr>
          <w:rFonts w:ascii="SimSun" w:hAnsi="SimSun" w:eastAsia="SimSun" w:cs="SimSun"/>
          <w:sz w:val="24"/>
          <w:szCs w:val="24"/>
          <w:spacing w:val="4"/>
        </w:rPr>
        <w:t>磷企业；本项目餐饮废水经隔油池处理后，与生活污水一同经预处理池处理达</w:t>
      </w:r>
      <w:r>
        <w:rPr>
          <w:rFonts w:ascii="SimSun" w:hAnsi="SimSun" w:eastAsia="SimSun" w:cs="SimSun"/>
          <w:sz w:val="24"/>
          <w:szCs w:val="24"/>
          <w:spacing w:val="2"/>
        </w:rPr>
        <w:t xml:space="preserve"> </w:t>
      </w:r>
      <w:r>
        <w:rPr>
          <w:rFonts w:ascii="SimSun" w:hAnsi="SimSun" w:eastAsia="SimSun" w:cs="SimSun"/>
          <w:sz w:val="24"/>
          <w:szCs w:val="24"/>
          <w:spacing w:val="3"/>
        </w:rPr>
        <w:t>到《污水综合排放标准》</w:t>
      </w:r>
      <w:r>
        <w:rPr>
          <w:rFonts w:ascii="SimSun" w:hAnsi="SimSun" w:eastAsia="SimSun" w:cs="SimSun"/>
          <w:sz w:val="24"/>
          <w:szCs w:val="24"/>
          <w:spacing w:val="80"/>
        </w:rPr>
        <w:t xml:space="preserve"> </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3"/>
        </w:rPr>
        <w:t>8978-1996)</w:t>
      </w:r>
      <w:r>
        <w:rPr>
          <w:rFonts w:ascii="Times New Roman" w:hAnsi="Times New Roman" w:eastAsia="Times New Roman" w:cs="Times New Roman"/>
          <w:sz w:val="24"/>
          <w:szCs w:val="24"/>
          <w:spacing w:val="19"/>
        </w:rPr>
        <w:t xml:space="preserve">   </w:t>
      </w:r>
      <w:r>
        <w:rPr>
          <w:rFonts w:ascii="SimSun" w:hAnsi="SimSun" w:eastAsia="SimSun" w:cs="SimSun"/>
          <w:sz w:val="24"/>
          <w:szCs w:val="24"/>
          <w:spacing w:val="3"/>
        </w:rPr>
        <w:t>三级标准；生产废水经自建污</w:t>
      </w:r>
      <w:r>
        <w:rPr>
          <w:rFonts w:ascii="SimSun" w:hAnsi="SimSun" w:eastAsia="SimSun" w:cs="SimSun"/>
          <w:sz w:val="24"/>
          <w:szCs w:val="24"/>
          <w:spacing w:val="2"/>
        </w:rPr>
        <w:t>水处</w:t>
      </w:r>
      <w:r>
        <w:rPr>
          <w:rFonts w:ascii="SimSun" w:hAnsi="SimSun" w:eastAsia="SimSun" w:cs="SimSun"/>
          <w:sz w:val="24"/>
          <w:szCs w:val="24"/>
        </w:rPr>
        <w:t xml:space="preserve"> </w:t>
      </w:r>
      <w:r>
        <w:rPr>
          <w:rFonts w:ascii="SimSun" w:hAnsi="SimSun" w:eastAsia="SimSun" w:cs="SimSun"/>
          <w:sz w:val="24"/>
          <w:szCs w:val="24"/>
          <w:spacing w:val="2"/>
        </w:rPr>
        <w:t>理站处理达到《肉类加工工业水污染物排放标准》</w:t>
      </w:r>
      <w:r>
        <w:rPr>
          <w:rFonts w:ascii="SimSun" w:hAnsi="SimSun" w:eastAsia="SimSun" w:cs="SimSun"/>
          <w:sz w:val="24"/>
          <w:szCs w:val="24"/>
          <w:spacing w:val="80"/>
        </w:rPr>
        <w:t xml:space="preserve"> </w:t>
      </w:r>
      <w:r>
        <w:rPr>
          <w:rFonts w:ascii="SimSun" w:hAnsi="SimSun" w:eastAsia="SimSun" w:cs="SimSun"/>
          <w:sz w:val="24"/>
          <w:szCs w:val="24"/>
          <w:spacing w:val="2"/>
        </w:rPr>
        <w:t>(</w:t>
      </w:r>
      <w:r>
        <w:rPr>
          <w:rFonts w:ascii="SimSun" w:hAnsi="SimSun" w:eastAsia="SimSun" w:cs="SimSun"/>
          <w:sz w:val="24"/>
          <w:szCs w:val="24"/>
        </w:rPr>
        <w:t>GB</w:t>
      </w:r>
      <w:r>
        <w:rPr>
          <w:rFonts w:ascii="SimSun" w:hAnsi="SimSun" w:eastAsia="SimSun" w:cs="SimSun"/>
          <w:sz w:val="24"/>
          <w:szCs w:val="24"/>
          <w:spacing w:val="2"/>
        </w:rPr>
        <w:t>13</w:t>
      </w:r>
      <w:r>
        <w:rPr>
          <w:rFonts w:ascii="SimSun" w:hAnsi="SimSun" w:eastAsia="SimSun" w:cs="SimSun"/>
          <w:sz w:val="24"/>
          <w:szCs w:val="24"/>
          <w:spacing w:val="1"/>
        </w:rPr>
        <w:t>457-92)</w:t>
      </w:r>
      <w:r>
        <w:rPr>
          <w:rFonts w:ascii="SimSun" w:hAnsi="SimSun" w:eastAsia="SimSun" w:cs="SimSun"/>
          <w:sz w:val="24"/>
          <w:szCs w:val="24"/>
        </w:rPr>
        <w:t xml:space="preserve">  </w:t>
      </w:r>
      <w:r>
        <w:rPr>
          <w:rFonts w:ascii="SimSun" w:hAnsi="SimSun" w:eastAsia="SimSun" w:cs="SimSun"/>
          <w:sz w:val="24"/>
          <w:szCs w:val="24"/>
          <w:spacing w:val="1"/>
        </w:rPr>
        <w:t>表3中三级 </w:t>
      </w:r>
      <w:r>
        <w:rPr>
          <w:rFonts w:ascii="SimSun" w:hAnsi="SimSun" w:eastAsia="SimSun" w:cs="SimSun"/>
          <w:sz w:val="24"/>
          <w:szCs w:val="24"/>
          <w:spacing w:val="4"/>
        </w:rPr>
        <w:t>标准后，与生活污水一同经厂区总排口排至园区污水管网，经管网引至安州区</w:t>
      </w:r>
      <w:r>
        <w:rPr>
          <w:rFonts w:ascii="SimSun" w:hAnsi="SimSun" w:eastAsia="SimSun" w:cs="SimSun"/>
          <w:sz w:val="24"/>
          <w:szCs w:val="24"/>
          <w:spacing w:val="13"/>
        </w:rPr>
        <w:t xml:space="preserve"> </w:t>
      </w:r>
      <w:r>
        <w:rPr>
          <w:rFonts w:ascii="SimSun" w:hAnsi="SimSun" w:eastAsia="SimSun" w:cs="SimSun"/>
          <w:sz w:val="24"/>
          <w:szCs w:val="24"/>
        </w:rPr>
        <w:t>第三污水处理厂处理，</w:t>
      </w:r>
      <w:r>
        <w:rPr>
          <w:rFonts w:ascii="Times New Roman" w:hAnsi="Times New Roman" w:eastAsia="Times New Roman" w:cs="Times New Roman"/>
          <w:sz w:val="24"/>
          <w:szCs w:val="24"/>
        </w:rPr>
        <w:t>CODcr</w:t>
      </w:r>
      <w:r>
        <w:rPr>
          <w:rFonts w:ascii="Times New Roman" w:hAnsi="Times New Roman" w:eastAsia="Times New Roman" w:cs="Times New Roman"/>
          <w:sz w:val="24"/>
          <w:szCs w:val="24"/>
          <w:spacing w:val="-18"/>
        </w:rPr>
        <w:t xml:space="preserve"> </w:t>
      </w:r>
      <w:r>
        <w:rPr>
          <w:rFonts w:ascii="SimSun" w:hAnsi="SimSun" w:eastAsia="SimSun" w:cs="SimSun"/>
          <w:sz w:val="24"/>
          <w:szCs w:val="24"/>
        </w:rPr>
        <w:t>、</w:t>
      </w:r>
      <w:r>
        <w:rPr>
          <w:rFonts w:ascii="Times New Roman" w:hAnsi="Times New Roman" w:eastAsia="Times New Roman" w:cs="Times New Roman"/>
          <w:sz w:val="24"/>
          <w:szCs w:val="24"/>
        </w:rPr>
        <w:t>BOD₅</w:t>
      </w:r>
      <w:r>
        <w:rPr>
          <w:rFonts w:ascii="Times New Roman" w:hAnsi="Times New Roman" w:eastAsia="Times New Roman" w:cs="Times New Roman"/>
          <w:sz w:val="24"/>
          <w:szCs w:val="24"/>
          <w:spacing w:val="-34"/>
        </w:rPr>
        <w:t xml:space="preserve"> </w:t>
      </w:r>
      <w:r>
        <w:rPr>
          <w:rFonts w:ascii="SimSun" w:hAnsi="SimSun" w:eastAsia="SimSun" w:cs="SimSun"/>
          <w:sz w:val="24"/>
          <w:szCs w:val="24"/>
        </w:rPr>
        <w:t>、氨氮、总氮指标达到《四川省岷江、沱 </w:t>
      </w:r>
      <w:r>
        <w:rPr>
          <w:rFonts w:ascii="SimSun" w:hAnsi="SimSun" w:eastAsia="SimSun" w:cs="SimSun"/>
          <w:sz w:val="24"/>
          <w:szCs w:val="24"/>
        </w:rPr>
        <w:t>江流域水污染物排放标准》 </w:t>
      </w:r>
      <w:r>
        <w:rPr>
          <w:rFonts w:ascii="Times New Roman" w:hAnsi="Times New Roman" w:eastAsia="Times New Roman" w:cs="Times New Roman"/>
          <w:sz w:val="24"/>
          <w:szCs w:val="24"/>
        </w:rPr>
        <w:t>(DB51/2311-2016)   </w:t>
      </w:r>
      <w:r>
        <w:rPr>
          <w:rFonts w:ascii="SimSun" w:hAnsi="SimSun" w:eastAsia="SimSun" w:cs="SimSun"/>
          <w:sz w:val="24"/>
          <w:szCs w:val="24"/>
        </w:rPr>
        <w:t>表1中工业园区集中式污水处理 </w:t>
      </w:r>
      <w:r>
        <w:rPr>
          <w:rFonts w:ascii="SimSun" w:hAnsi="SimSun" w:eastAsia="SimSun" w:cs="SimSun"/>
          <w:sz w:val="24"/>
          <w:szCs w:val="24"/>
          <w:spacing w:val="2"/>
        </w:rPr>
        <w:t>厂排放标准限值，总磷指标达到《地表水环境质量标准》</w:t>
      </w:r>
      <w:r>
        <w:rPr>
          <w:rFonts w:ascii="SimSun" w:hAnsi="SimSun" w:eastAsia="SimSun" w:cs="SimSun"/>
          <w:sz w:val="24"/>
          <w:szCs w:val="24"/>
          <w:spacing w:val="84"/>
        </w:rPr>
        <w:t xml:space="preserve"> </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2"/>
        </w:rPr>
        <w:t>3838-2002)Ⅲ</w:t>
      </w:r>
    </w:p>
    <w:p>
      <w:pPr>
        <w:ind w:left="29"/>
        <w:spacing w:line="212" w:lineRule="auto"/>
        <w:rPr>
          <w:rFonts w:ascii="Times New Roman" w:hAnsi="Times New Roman" w:eastAsia="Times New Roman" w:cs="Times New Roman"/>
          <w:sz w:val="24"/>
          <w:szCs w:val="24"/>
        </w:rPr>
      </w:pPr>
      <w:r>
        <w:rPr>
          <w:rFonts w:ascii="SimSun" w:hAnsi="SimSun" w:eastAsia="SimSun" w:cs="SimSun"/>
          <w:sz w:val="24"/>
          <w:szCs w:val="24"/>
          <w:spacing w:val="6"/>
        </w:rPr>
        <w:t>类水质标准，其余指标达到《城镇污水处理厂污染物</w:t>
      </w:r>
      <w:r>
        <w:rPr>
          <w:rFonts w:ascii="SimSun" w:hAnsi="SimSun" w:eastAsia="SimSun" w:cs="SimSun"/>
          <w:sz w:val="24"/>
          <w:szCs w:val="24"/>
          <w:spacing w:val="5"/>
        </w:rPr>
        <w:t>排放标准》</w:t>
      </w:r>
      <w:r>
        <w:rPr>
          <w:rFonts w:ascii="SimSun" w:hAnsi="SimSun" w:eastAsia="SimSun" w:cs="SimSun"/>
          <w:sz w:val="24"/>
          <w:szCs w:val="24"/>
          <w:spacing w:val="80"/>
        </w:rPr>
        <w:t xml:space="preserve"> </w:t>
      </w:r>
      <w:r>
        <w:rPr>
          <w:rFonts w:ascii="Times New Roman" w:hAnsi="Times New Roman" w:eastAsia="Times New Roman" w:cs="Times New Roman"/>
          <w:sz w:val="24"/>
          <w:szCs w:val="24"/>
          <w:spacing w:val="5"/>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5"/>
        </w:rPr>
        <w:t>18918-</w:t>
      </w:r>
    </w:p>
    <w:p>
      <w:pPr>
        <w:ind w:left="29" w:right="40"/>
        <w:spacing w:before="209" w:line="288" w:lineRule="auto"/>
        <w:rPr>
          <w:rFonts w:ascii="SimSun" w:hAnsi="SimSun" w:eastAsia="SimSun" w:cs="SimSun"/>
          <w:sz w:val="24"/>
          <w:szCs w:val="24"/>
        </w:rPr>
      </w:pPr>
      <w:r>
        <w:rPr>
          <w:rFonts w:ascii="SimSun" w:hAnsi="SimSun" w:eastAsia="SimSun" w:cs="SimSun"/>
          <w:sz w:val="24"/>
          <w:szCs w:val="24"/>
          <w:spacing w:val="9"/>
        </w:rPr>
        <w:t>2002)一级</w:t>
      </w:r>
      <w:r>
        <w:rPr>
          <w:rFonts w:ascii="Times New Roman" w:hAnsi="Times New Roman" w:eastAsia="Times New Roman" w:cs="Times New Roman"/>
          <w:sz w:val="24"/>
          <w:szCs w:val="24"/>
          <w:spacing w:val="9"/>
        </w:rPr>
        <w:t>A</w:t>
      </w:r>
      <w:r>
        <w:rPr>
          <w:rFonts w:ascii="SimSun" w:hAnsi="SimSun" w:eastAsia="SimSun" w:cs="SimSun"/>
          <w:sz w:val="24"/>
          <w:szCs w:val="24"/>
          <w:spacing w:val="9"/>
        </w:rPr>
        <w:t>标准后，排入涪江。因此，本项目水污染治理措施符合水污染防</w:t>
      </w:r>
      <w:r>
        <w:rPr>
          <w:rFonts w:ascii="SimSun" w:hAnsi="SimSun" w:eastAsia="SimSun" w:cs="SimSun"/>
          <w:sz w:val="24"/>
          <w:szCs w:val="24"/>
          <w:spacing w:val="4"/>
        </w:rPr>
        <w:t xml:space="preserve"> </w:t>
      </w:r>
      <w:r>
        <w:rPr>
          <w:rFonts w:ascii="SimSun" w:hAnsi="SimSun" w:eastAsia="SimSun" w:cs="SimSun"/>
          <w:sz w:val="24"/>
          <w:szCs w:val="24"/>
          <w:spacing w:val="-5"/>
        </w:rPr>
        <w:t>治行动计划相关要求。</w:t>
      </w:r>
    </w:p>
    <w:p>
      <w:pPr>
        <w:ind w:left="29"/>
        <w:spacing w:before="229" w:line="221" w:lineRule="auto"/>
        <w:rPr>
          <w:rFonts w:ascii="SimHei" w:hAnsi="SimHei" w:eastAsia="SimHei" w:cs="SimHei"/>
          <w:sz w:val="27"/>
          <w:szCs w:val="27"/>
        </w:rPr>
      </w:pPr>
      <w:r>
        <w:rPr>
          <w:rFonts w:ascii="Times New Roman" w:hAnsi="Times New Roman" w:eastAsia="Times New Roman" w:cs="Times New Roman"/>
          <w:sz w:val="27"/>
          <w:szCs w:val="27"/>
        </w:rPr>
        <w:t>1.</w:t>
      </w:r>
      <w:r>
        <w:rPr>
          <w:rFonts w:ascii="SimHei" w:hAnsi="SimHei" w:eastAsia="SimHei" w:cs="SimHei"/>
          <w:sz w:val="27"/>
          <w:szCs w:val="27"/>
          <w:b/>
          <w:bCs/>
        </w:rPr>
        <w:t>4.6土壤污染防治行动计划符合性</w:t>
      </w:r>
    </w:p>
    <w:p>
      <w:pPr>
        <w:ind w:right="40" w:firstLine="509"/>
        <w:spacing w:before="209" w:line="355" w:lineRule="auto"/>
        <w:jc w:val="both"/>
        <w:rPr>
          <w:rFonts w:ascii="SimSun" w:hAnsi="SimSun" w:eastAsia="SimSun" w:cs="SimSun"/>
          <w:sz w:val="24"/>
          <w:szCs w:val="24"/>
        </w:rPr>
      </w:pPr>
      <w:r>
        <w:rPr>
          <w:rFonts w:ascii="SimSun" w:hAnsi="SimSun" w:eastAsia="SimSun" w:cs="SimSun"/>
          <w:sz w:val="24"/>
          <w:szCs w:val="24"/>
          <w:spacing w:val="10"/>
        </w:rPr>
        <w:t>《国务院关于印发土壤污染防治行动计划的通知》(国发[2016]31号)中</w:t>
      </w:r>
      <w:r>
        <w:rPr>
          <w:rFonts w:ascii="SimSun" w:hAnsi="SimSun" w:eastAsia="SimSun" w:cs="SimSun"/>
          <w:sz w:val="24"/>
          <w:szCs w:val="24"/>
          <w:spacing w:val="9"/>
        </w:rPr>
        <w:t xml:space="preserve"> </w:t>
      </w:r>
      <w:r>
        <w:rPr>
          <w:rFonts w:ascii="SimSun" w:hAnsi="SimSun" w:eastAsia="SimSun" w:cs="SimSun"/>
          <w:sz w:val="24"/>
          <w:szCs w:val="24"/>
          <w:spacing w:val="12"/>
        </w:rPr>
        <w:t>“二、推进土壤污染防治立法，建立健全法规标准体系”中“(六)全面强化</w:t>
      </w:r>
      <w:r>
        <w:rPr>
          <w:rFonts w:ascii="SimSun" w:hAnsi="SimSun" w:eastAsia="SimSun" w:cs="SimSun"/>
          <w:sz w:val="24"/>
          <w:szCs w:val="24"/>
          <w:spacing w:val="1"/>
        </w:rPr>
        <w:t xml:space="preserve"> </w:t>
      </w:r>
      <w:r>
        <w:rPr>
          <w:rFonts w:ascii="SimSun" w:hAnsi="SimSun" w:eastAsia="SimSun" w:cs="SimSun"/>
          <w:sz w:val="24"/>
          <w:szCs w:val="24"/>
          <w:spacing w:val="8"/>
        </w:rPr>
        <w:t>监管执法，明确监管重点”:重点监测土壤中镉、汞、砷、铅、铬等重金属和</w:t>
      </w:r>
      <w:r>
        <w:rPr>
          <w:rFonts w:ascii="SimSun" w:hAnsi="SimSun" w:eastAsia="SimSun" w:cs="SimSun"/>
          <w:sz w:val="24"/>
          <w:szCs w:val="24"/>
          <w:spacing w:val="6"/>
        </w:rPr>
        <w:t xml:space="preserve"> </w:t>
      </w:r>
      <w:r>
        <w:rPr>
          <w:rFonts w:ascii="SimSun" w:hAnsi="SimSun" w:eastAsia="SimSun" w:cs="SimSun"/>
          <w:sz w:val="24"/>
          <w:szCs w:val="24"/>
          <w:spacing w:val="5"/>
        </w:rPr>
        <w:t>多环芳烃、石油烃等有机污染物……。“三、实施</w:t>
      </w:r>
      <w:r>
        <w:rPr>
          <w:rFonts w:ascii="SimSun" w:hAnsi="SimSun" w:eastAsia="SimSun" w:cs="SimSun"/>
          <w:sz w:val="24"/>
          <w:szCs w:val="24"/>
          <w:spacing w:val="4"/>
        </w:rPr>
        <w:t>农用地分类管理，保障农业</w:t>
      </w:r>
      <w:r>
        <w:rPr>
          <w:rFonts w:ascii="SimSun" w:hAnsi="SimSun" w:eastAsia="SimSun" w:cs="SimSun"/>
          <w:sz w:val="24"/>
          <w:szCs w:val="24"/>
        </w:rPr>
        <w:t xml:space="preserve"> </w:t>
      </w:r>
      <w:r>
        <w:rPr>
          <w:rFonts w:ascii="SimSun" w:hAnsi="SimSun" w:eastAsia="SimSun" w:cs="SimSun"/>
          <w:sz w:val="24"/>
          <w:szCs w:val="24"/>
          <w:spacing w:val="16"/>
        </w:rPr>
        <w:t>生产环境安全”中“(八)切实加大保护力度，防</w:t>
      </w:r>
      <w:r>
        <w:rPr>
          <w:rFonts w:ascii="SimSun" w:hAnsi="SimSun" w:eastAsia="SimSun" w:cs="SimSun"/>
          <w:sz w:val="24"/>
          <w:szCs w:val="24"/>
          <w:spacing w:val="15"/>
        </w:rPr>
        <w:t>控企业污染”:严格控制在</w:t>
      </w:r>
    </w:p>
    <w:p>
      <w:pPr>
        <w:spacing w:line="355" w:lineRule="auto"/>
        <w:sectPr>
          <w:headerReference w:type="default" r:id="rId80"/>
          <w:footerReference w:type="default" r:id="rId81"/>
          <w:pgSz w:w="11910" w:h="16840"/>
          <w:pgMar w:top="1222" w:right="1786" w:bottom="1026" w:left="1749" w:header="853" w:footer="714" w:gutter="0"/>
        </w:sectPr>
        <w:rPr>
          <w:rFonts w:ascii="SimSun" w:hAnsi="SimSun" w:eastAsia="SimSun" w:cs="SimSun"/>
          <w:sz w:val="24"/>
          <w:szCs w:val="24"/>
        </w:rPr>
      </w:pPr>
    </w:p>
    <w:p>
      <w:pPr>
        <w:ind w:left="24" w:right="24"/>
        <w:spacing w:before="289" w:line="370" w:lineRule="auto"/>
        <w:rPr>
          <w:rFonts w:ascii="SimSun" w:hAnsi="SimSun" w:eastAsia="SimSun" w:cs="SimSun"/>
          <w:sz w:val="23"/>
          <w:szCs w:val="23"/>
        </w:rPr>
      </w:pPr>
      <w:r>
        <w:rPr>
          <w:rFonts w:ascii="SimSun" w:hAnsi="SimSun" w:eastAsia="SimSun" w:cs="SimSun"/>
          <w:sz w:val="23"/>
          <w:szCs w:val="23"/>
          <w:spacing w:val="13"/>
        </w:rPr>
        <w:t>优先保护类耕地集中区域新建有色金属冶炼、石油加工、化工、焦化、电镀、</w:t>
      </w:r>
      <w:r>
        <w:rPr>
          <w:rFonts w:ascii="SimSun" w:hAnsi="SimSun" w:eastAsia="SimSun" w:cs="SimSun"/>
          <w:sz w:val="23"/>
          <w:szCs w:val="23"/>
          <w:spacing w:val="11"/>
        </w:rPr>
        <w:t xml:space="preserve"> </w:t>
      </w:r>
      <w:r>
        <w:rPr>
          <w:rFonts w:ascii="SimSun" w:hAnsi="SimSun" w:eastAsia="SimSun" w:cs="SimSun"/>
          <w:sz w:val="23"/>
          <w:szCs w:val="23"/>
          <w:spacing w:val="14"/>
        </w:rPr>
        <w:t>制革等行业企业，现有相关行业企业要采用新技术、新工艺，加快提标升级改</w:t>
      </w:r>
      <w:r>
        <w:rPr>
          <w:rFonts w:ascii="SimSun" w:hAnsi="SimSun" w:eastAsia="SimSun" w:cs="SimSun"/>
          <w:sz w:val="23"/>
          <w:szCs w:val="23"/>
          <w:spacing w:val="2"/>
        </w:rPr>
        <w:t xml:space="preserve"> </w:t>
      </w:r>
      <w:r>
        <w:rPr>
          <w:rFonts w:ascii="SimSun" w:hAnsi="SimSun" w:eastAsia="SimSun" w:cs="SimSun"/>
          <w:sz w:val="23"/>
          <w:szCs w:val="23"/>
          <w:spacing w:val="16"/>
        </w:rPr>
        <w:t>造步伐。“</w:t>
      </w:r>
      <w:r>
        <w:rPr>
          <w:rFonts w:ascii="SimSun" w:hAnsi="SimSun" w:eastAsia="SimSun" w:cs="SimSun"/>
          <w:sz w:val="23"/>
          <w:szCs w:val="23"/>
          <w:spacing w:val="-82"/>
        </w:rPr>
        <w:t xml:space="preserve"> </w:t>
      </w:r>
      <w:r>
        <w:rPr>
          <w:rFonts w:ascii="SimSun" w:hAnsi="SimSun" w:eastAsia="SimSun" w:cs="SimSun"/>
          <w:sz w:val="23"/>
          <w:szCs w:val="23"/>
          <w:b/>
          <w:bCs/>
          <w:spacing w:val="16"/>
        </w:rPr>
        <w:t>五</w:t>
      </w:r>
      <w:r>
        <w:rPr>
          <w:rFonts w:ascii="SimSun" w:hAnsi="SimSun" w:eastAsia="SimSun" w:cs="SimSun"/>
          <w:sz w:val="23"/>
          <w:szCs w:val="23"/>
          <w:spacing w:val="-31"/>
        </w:rPr>
        <w:t xml:space="preserve"> </w:t>
      </w:r>
      <w:r>
        <w:rPr>
          <w:rFonts w:ascii="SimSun" w:hAnsi="SimSun" w:eastAsia="SimSun" w:cs="SimSun"/>
          <w:sz w:val="23"/>
          <w:szCs w:val="23"/>
          <w:b/>
          <w:bCs/>
          <w:spacing w:val="16"/>
        </w:rPr>
        <w:t>、</w:t>
      </w:r>
      <w:r>
        <w:rPr>
          <w:rFonts w:ascii="SimSun" w:hAnsi="SimSun" w:eastAsia="SimSun" w:cs="SimSun"/>
          <w:sz w:val="23"/>
          <w:szCs w:val="23"/>
          <w:b/>
          <w:bCs/>
          <w:u w:val="single" w:color="auto"/>
          <w:spacing w:val="16"/>
        </w:rPr>
        <w:t>强化未污染土壤保护，严控新增土壤污染</w:t>
      </w:r>
      <w:r>
        <w:rPr>
          <w:rFonts w:ascii="SimSun" w:hAnsi="SimSun" w:eastAsia="SimSun" w:cs="SimSun"/>
          <w:sz w:val="23"/>
          <w:szCs w:val="23"/>
          <w:b/>
          <w:bCs/>
          <w:spacing w:val="16"/>
        </w:rPr>
        <w:t>”</w:t>
      </w:r>
      <w:r>
        <w:rPr>
          <w:rFonts w:ascii="SimSun" w:hAnsi="SimSun" w:eastAsia="SimSun" w:cs="SimSun"/>
          <w:sz w:val="23"/>
          <w:szCs w:val="23"/>
          <w:spacing w:val="16"/>
        </w:rPr>
        <w:t>中“(十六)防范</w:t>
      </w:r>
      <w:r>
        <w:rPr>
          <w:rFonts w:ascii="SimSun" w:hAnsi="SimSun" w:eastAsia="SimSun" w:cs="SimSun"/>
          <w:sz w:val="23"/>
          <w:szCs w:val="23"/>
        </w:rPr>
        <w:t xml:space="preserve"> </w:t>
      </w:r>
      <w:r>
        <w:rPr>
          <w:rFonts w:ascii="SimSun" w:hAnsi="SimSun" w:eastAsia="SimSun" w:cs="SimSun"/>
          <w:sz w:val="23"/>
          <w:szCs w:val="23"/>
          <w:spacing w:val="17"/>
        </w:rPr>
        <w:t>建设用地新增污染”:排放重点污染物的建设项目，在</w:t>
      </w:r>
      <w:r>
        <w:rPr>
          <w:rFonts w:ascii="SimSun" w:hAnsi="SimSun" w:eastAsia="SimSun" w:cs="SimSun"/>
          <w:sz w:val="23"/>
          <w:szCs w:val="23"/>
          <w:spacing w:val="16"/>
        </w:rPr>
        <w:t>开展环境影响评价时，</w:t>
      </w:r>
      <w:r>
        <w:rPr>
          <w:rFonts w:ascii="SimSun" w:hAnsi="SimSun" w:eastAsia="SimSun" w:cs="SimSun"/>
          <w:sz w:val="23"/>
          <w:szCs w:val="23"/>
        </w:rPr>
        <w:t xml:space="preserve"> </w:t>
      </w:r>
      <w:r>
        <w:rPr>
          <w:rFonts w:ascii="SimSun" w:hAnsi="SimSun" w:eastAsia="SimSun" w:cs="SimSun"/>
          <w:sz w:val="23"/>
          <w:szCs w:val="23"/>
          <w:spacing w:val="14"/>
        </w:rPr>
        <w:t>要增加对土壤环境影响的评价内容，并提出防范土壤污</w:t>
      </w:r>
      <w:r>
        <w:rPr>
          <w:rFonts w:ascii="SimSun" w:hAnsi="SimSun" w:eastAsia="SimSun" w:cs="SimSun"/>
          <w:sz w:val="23"/>
          <w:szCs w:val="23"/>
          <w:spacing w:val="13"/>
        </w:rPr>
        <w:t>染的具体措施“六、加</w:t>
      </w:r>
      <w:r>
        <w:rPr>
          <w:rFonts w:ascii="SimSun" w:hAnsi="SimSun" w:eastAsia="SimSun" w:cs="SimSun"/>
          <w:sz w:val="23"/>
          <w:szCs w:val="23"/>
        </w:rPr>
        <w:t xml:space="preserve"> </w:t>
      </w:r>
      <w:r>
        <w:rPr>
          <w:rFonts w:ascii="SimSun" w:hAnsi="SimSun" w:eastAsia="SimSun" w:cs="SimSun"/>
          <w:sz w:val="23"/>
          <w:szCs w:val="23"/>
          <w:spacing w:val="28"/>
        </w:rPr>
        <w:t>强污染源监管，做好土壤污染预防工作”中“(十八)加强工业废物处理处</w:t>
      </w:r>
      <w:r>
        <w:rPr>
          <w:rFonts w:ascii="SimSun" w:hAnsi="SimSun" w:eastAsia="SimSun" w:cs="SimSun"/>
          <w:sz w:val="23"/>
          <w:szCs w:val="23"/>
          <w:spacing w:val="14"/>
        </w:rPr>
        <w:t xml:space="preserve"> </w:t>
      </w:r>
      <w:r>
        <w:rPr>
          <w:rFonts w:ascii="SimSun" w:hAnsi="SimSun" w:eastAsia="SimSun" w:cs="SimSun"/>
          <w:sz w:val="23"/>
          <w:szCs w:val="23"/>
          <w:spacing w:val="17"/>
        </w:rPr>
        <w:t>置”:全面整治尾矿、煤研石、工业副产石膏、粉煤灰、赤泥、冶炼渣、电石 </w:t>
      </w:r>
      <w:r>
        <w:rPr>
          <w:rFonts w:ascii="SimSun" w:hAnsi="SimSun" w:eastAsia="SimSun" w:cs="SimSun"/>
          <w:sz w:val="23"/>
          <w:szCs w:val="23"/>
          <w:spacing w:val="14"/>
        </w:rPr>
        <w:t>渣、铬渣、砷渣以及脱硫、脱硝、除尘产生固体废物的堆存场所，完</w:t>
      </w:r>
      <w:r>
        <w:rPr>
          <w:rFonts w:ascii="SimSun" w:hAnsi="SimSun" w:eastAsia="SimSun" w:cs="SimSun"/>
          <w:sz w:val="23"/>
          <w:szCs w:val="23"/>
          <w:b/>
          <w:bCs/>
          <w:u w:val="single" w:color="auto"/>
          <w:spacing w:val="14"/>
        </w:rPr>
        <w:t>善</w:t>
      </w:r>
      <w:r>
        <w:rPr>
          <w:rFonts w:ascii="SimSun" w:hAnsi="SimSun" w:eastAsia="SimSun" w:cs="SimSun"/>
          <w:sz w:val="23"/>
          <w:szCs w:val="23"/>
          <w:u w:val="single" w:color="auto"/>
          <w:spacing w:val="14"/>
        </w:rPr>
        <w:t xml:space="preserve"> </w:t>
      </w:r>
      <w:r>
        <w:rPr>
          <w:rFonts w:ascii="SimSun" w:hAnsi="SimSun" w:eastAsia="SimSun" w:cs="SimSun"/>
          <w:sz w:val="23"/>
          <w:szCs w:val="23"/>
          <w:b/>
          <w:bCs/>
          <w:u w:val="single" w:color="auto"/>
          <w:spacing w:val="14"/>
        </w:rPr>
        <w:t>防</w:t>
      </w:r>
      <w:r>
        <w:rPr>
          <w:rFonts w:ascii="SimSun" w:hAnsi="SimSun" w:eastAsia="SimSun" w:cs="SimSun"/>
          <w:sz w:val="23"/>
          <w:szCs w:val="23"/>
          <w:u w:val="single" w:color="auto"/>
          <w:spacing w:val="14"/>
        </w:rPr>
        <w:t xml:space="preserve"> </w:t>
      </w:r>
      <w:r>
        <w:rPr>
          <w:rFonts w:ascii="SimSun" w:hAnsi="SimSun" w:eastAsia="SimSun" w:cs="SimSun"/>
          <w:sz w:val="23"/>
          <w:szCs w:val="23"/>
          <w:b/>
          <w:bCs/>
          <w:u w:val="single" w:color="auto"/>
          <w:spacing w:val="14"/>
        </w:rPr>
        <w:t>扬</w:t>
      </w:r>
      <w:r>
        <w:rPr>
          <w:rFonts w:ascii="SimSun" w:hAnsi="SimSun" w:eastAsia="SimSun" w:cs="SimSun"/>
          <w:sz w:val="23"/>
          <w:szCs w:val="23"/>
          <w:spacing w:val="1"/>
        </w:rPr>
        <w:t xml:space="preserve"> </w:t>
      </w:r>
      <w:r>
        <w:rPr>
          <w:rFonts w:ascii="SimSun" w:hAnsi="SimSun" w:eastAsia="SimSun" w:cs="SimSun"/>
          <w:sz w:val="23"/>
          <w:szCs w:val="23"/>
          <w:b/>
          <w:bCs/>
          <w:u w:val="single" w:color="auto"/>
          <w:spacing w:val="12"/>
        </w:rPr>
        <w:t>散、防流失、防渗漏等设施，制定整治方案并有序实施</w:t>
      </w:r>
      <w:r>
        <w:rPr>
          <w:rFonts w:ascii="SimSun" w:hAnsi="SimSun" w:eastAsia="SimSun" w:cs="SimSun"/>
          <w:sz w:val="23"/>
          <w:szCs w:val="23"/>
          <w:b/>
          <w:bCs/>
          <w:spacing w:val="12"/>
        </w:rPr>
        <w:t>。</w:t>
      </w:r>
      <w:r>
        <w:rPr>
          <w:rFonts w:ascii="SimSun" w:hAnsi="SimSun" w:eastAsia="SimSun" w:cs="SimSun"/>
          <w:sz w:val="23"/>
          <w:szCs w:val="23"/>
          <w:spacing w:val="12"/>
        </w:rPr>
        <w:t>加强工业固体废物综</w:t>
      </w:r>
      <w:r>
        <w:rPr>
          <w:rFonts w:ascii="SimSun" w:hAnsi="SimSun" w:eastAsia="SimSun" w:cs="SimSun"/>
          <w:sz w:val="23"/>
          <w:szCs w:val="23"/>
          <w:spacing w:val="10"/>
        </w:rPr>
        <w:t xml:space="preserve"> </w:t>
      </w:r>
      <w:r>
        <w:rPr>
          <w:rFonts w:ascii="SimSun" w:hAnsi="SimSun" w:eastAsia="SimSun" w:cs="SimSun"/>
          <w:sz w:val="23"/>
          <w:szCs w:val="23"/>
          <w:spacing w:val="6"/>
        </w:rPr>
        <w:t>合利用。</w:t>
      </w:r>
    </w:p>
    <w:p>
      <w:pPr>
        <w:ind w:left="28" w:right="46" w:firstLine="470"/>
        <w:spacing w:before="38" w:line="371" w:lineRule="auto"/>
        <w:jc w:val="both"/>
        <w:rPr>
          <w:rFonts w:ascii="SimSun" w:hAnsi="SimSun" w:eastAsia="SimSun" w:cs="SimSun"/>
          <w:sz w:val="23"/>
          <w:szCs w:val="23"/>
        </w:rPr>
      </w:pPr>
      <w:r>
        <w:rPr>
          <w:rFonts w:ascii="SimSun" w:hAnsi="SimSun" w:eastAsia="SimSun" w:cs="SimSun"/>
          <w:sz w:val="23"/>
          <w:szCs w:val="23"/>
          <w:b/>
          <w:bCs/>
          <w:spacing w:val="10"/>
        </w:rPr>
        <w:t>项目不涉及土壤重点污染物的排放，对地下水和土壤采取分区防渗措施，</w:t>
      </w:r>
      <w:r>
        <w:rPr>
          <w:rFonts w:ascii="SimSun" w:hAnsi="SimSun" w:eastAsia="SimSun" w:cs="SimSun"/>
          <w:sz w:val="23"/>
          <w:szCs w:val="23"/>
        </w:rPr>
        <w:t xml:space="preserve">  </w:t>
      </w:r>
      <w:r>
        <w:rPr>
          <w:rFonts w:ascii="SimSun" w:hAnsi="SimSun" w:eastAsia="SimSun" w:cs="SimSun"/>
          <w:sz w:val="23"/>
          <w:szCs w:val="23"/>
          <w:b/>
          <w:bCs/>
          <w:spacing w:val="11"/>
        </w:rPr>
        <w:t>落实环境风险防范措施、制定风险应急预案。因此，本项目污染治理措施符合</w:t>
      </w:r>
      <w:r>
        <w:rPr>
          <w:rFonts w:ascii="SimSun" w:hAnsi="SimSun" w:eastAsia="SimSun" w:cs="SimSun"/>
          <w:sz w:val="23"/>
          <w:szCs w:val="23"/>
          <w:spacing w:val="16"/>
        </w:rPr>
        <w:t xml:space="preserve"> </w:t>
      </w:r>
      <w:r>
        <w:rPr>
          <w:rFonts w:ascii="SimSun" w:hAnsi="SimSun" w:eastAsia="SimSun" w:cs="SimSun"/>
          <w:sz w:val="23"/>
          <w:szCs w:val="23"/>
          <w:b/>
          <w:bCs/>
          <w:spacing w:val="4"/>
        </w:rPr>
        <w:t>土壤污染防治行动计划相关要求。</w:t>
      </w:r>
    </w:p>
    <w:p>
      <w:pPr>
        <w:ind w:left="28"/>
        <w:spacing w:before="91" w:line="222" w:lineRule="auto"/>
        <w:outlineLvl w:val="1"/>
        <w:rPr>
          <w:rFonts w:ascii="SimHei" w:hAnsi="SimHei" w:eastAsia="SimHei" w:cs="SimHei"/>
          <w:sz w:val="23"/>
          <w:szCs w:val="23"/>
        </w:rPr>
      </w:pPr>
      <w:bookmarkStart w:name="bookmark14" w:id="25"/>
      <w:bookmarkEnd w:id="25"/>
      <w:r>
        <w:rPr>
          <w:rFonts w:ascii="SimHei" w:hAnsi="SimHei" w:eastAsia="SimHei" w:cs="SimHei"/>
          <w:sz w:val="23"/>
          <w:szCs w:val="23"/>
          <w:b/>
          <w:bCs/>
          <w:spacing w:val="22"/>
        </w:rPr>
        <w:t>1.5项目“生态环境分区管控”符合性分析</w:t>
      </w:r>
    </w:p>
    <w:p>
      <w:pPr>
        <w:ind w:right="83" w:firstLine="495"/>
        <w:spacing w:before="192" w:line="374" w:lineRule="auto"/>
        <w:rPr>
          <w:rFonts w:ascii="SimSun" w:hAnsi="SimSun" w:eastAsia="SimSun" w:cs="SimSun"/>
          <w:sz w:val="23"/>
          <w:szCs w:val="23"/>
        </w:rPr>
      </w:pPr>
      <w:r>
        <w:rPr>
          <w:rFonts w:ascii="SimSun" w:hAnsi="SimSun" w:eastAsia="SimSun" w:cs="SimSun"/>
          <w:sz w:val="23"/>
          <w:szCs w:val="23"/>
          <w:spacing w:val="9"/>
        </w:rPr>
        <w:t>根据《关于以改善环境质量为核心加强环境影响评价管理的通知》(环环评</w:t>
      </w:r>
      <w:r>
        <w:rPr>
          <w:rFonts w:ascii="SimSun" w:hAnsi="SimSun" w:eastAsia="SimSun" w:cs="SimSun"/>
          <w:sz w:val="23"/>
          <w:szCs w:val="23"/>
          <w:spacing w:val="16"/>
        </w:rPr>
        <w:t xml:space="preserve"> </w:t>
      </w:r>
      <w:r>
        <w:rPr>
          <w:rFonts w:ascii="SimSun" w:hAnsi="SimSun" w:eastAsia="SimSun" w:cs="SimSun"/>
          <w:sz w:val="23"/>
          <w:szCs w:val="23"/>
          <w:spacing w:val="10"/>
        </w:rPr>
        <w:t>[2016]150号),环境影响评价需要落实“生态保护红线、环境质量底线、资源</w:t>
      </w:r>
      <w:r>
        <w:rPr>
          <w:rFonts w:ascii="SimSun" w:hAnsi="SimSun" w:eastAsia="SimSun" w:cs="SimSun"/>
          <w:sz w:val="23"/>
          <w:szCs w:val="23"/>
          <w:spacing w:val="4"/>
        </w:rPr>
        <w:t xml:space="preserve">  </w:t>
      </w:r>
      <w:r>
        <w:rPr>
          <w:rFonts w:ascii="SimSun" w:hAnsi="SimSun" w:eastAsia="SimSun" w:cs="SimSun"/>
          <w:sz w:val="23"/>
          <w:szCs w:val="23"/>
          <w:spacing w:val="13"/>
        </w:rPr>
        <w:t>利用上线和环境准入负面清单”(简称“三线一单”)约束。本项</w:t>
      </w:r>
      <w:r>
        <w:rPr>
          <w:rFonts w:ascii="SimSun" w:hAnsi="SimSun" w:eastAsia="SimSun" w:cs="SimSun"/>
          <w:sz w:val="23"/>
          <w:szCs w:val="23"/>
          <w:spacing w:val="12"/>
        </w:rPr>
        <w:t>目位于四川绵</w:t>
      </w:r>
      <w:r>
        <w:rPr>
          <w:rFonts w:ascii="SimSun" w:hAnsi="SimSun" w:eastAsia="SimSun" w:cs="SimSun"/>
          <w:sz w:val="23"/>
          <w:szCs w:val="23"/>
        </w:rPr>
        <w:t xml:space="preserve"> </w:t>
      </w:r>
      <w:r>
        <w:rPr>
          <w:rFonts w:ascii="SimSun" w:hAnsi="SimSun" w:eastAsia="SimSun" w:cs="SimSun"/>
          <w:sz w:val="23"/>
          <w:szCs w:val="23"/>
          <w:spacing w:val="6"/>
        </w:rPr>
        <w:t>阳安州工业园内，根据《四川省生态环境厅办公室关于印发&lt;产业园区规划环评</w:t>
      </w:r>
      <w:r>
        <w:rPr>
          <w:rFonts w:ascii="SimSun" w:hAnsi="SimSun" w:eastAsia="SimSun" w:cs="SimSun"/>
          <w:sz w:val="23"/>
          <w:szCs w:val="23"/>
          <w:spacing w:val="3"/>
        </w:rPr>
        <w:t xml:space="preserve">  </w:t>
      </w:r>
      <w:r>
        <w:rPr>
          <w:rFonts w:ascii="SimSun" w:hAnsi="SimSun" w:eastAsia="SimSun" w:cs="SimSun"/>
          <w:sz w:val="23"/>
          <w:szCs w:val="23"/>
          <w:spacing w:val="6"/>
        </w:rPr>
        <w:t>“三线一单”符合性分析技术要点(试行)&gt;和&lt;项目环评“三线一单”符合性分析</w:t>
      </w:r>
      <w:r>
        <w:rPr>
          <w:rFonts w:ascii="SimSun" w:hAnsi="SimSun" w:eastAsia="SimSun" w:cs="SimSun"/>
          <w:sz w:val="23"/>
          <w:szCs w:val="23"/>
          <w:spacing w:val="11"/>
        </w:rPr>
        <w:t xml:space="preserve"> </w:t>
      </w:r>
      <w:r>
        <w:rPr>
          <w:rFonts w:ascii="SimSun" w:hAnsi="SimSun" w:eastAsia="SimSun" w:cs="SimSun"/>
          <w:sz w:val="23"/>
          <w:szCs w:val="23"/>
          <w:spacing w:val="19"/>
        </w:rPr>
        <w:t>技术要点(试行)&gt;的通知》(川环办函[2021]469号),本项目需明确环境管控</w:t>
      </w:r>
      <w:r>
        <w:rPr>
          <w:rFonts w:ascii="SimSun" w:hAnsi="SimSun" w:eastAsia="SimSun" w:cs="SimSun"/>
          <w:sz w:val="23"/>
          <w:szCs w:val="23"/>
          <w:spacing w:val="9"/>
        </w:rPr>
        <w:t xml:space="preserve"> </w:t>
      </w:r>
      <w:r>
        <w:rPr>
          <w:rFonts w:ascii="SimSun" w:hAnsi="SimSun" w:eastAsia="SimSun" w:cs="SimSun"/>
          <w:sz w:val="23"/>
          <w:szCs w:val="23"/>
          <w:spacing w:val="5"/>
        </w:rPr>
        <w:t>单元，开展与生态环境准入清单符合性分析，具</w:t>
      </w:r>
      <w:r>
        <w:rPr>
          <w:rFonts w:ascii="SimSun" w:hAnsi="SimSun" w:eastAsia="SimSun" w:cs="SimSun"/>
          <w:sz w:val="23"/>
          <w:szCs w:val="23"/>
          <w:spacing w:val="4"/>
        </w:rPr>
        <w:t>体分析如下：</w:t>
      </w:r>
    </w:p>
    <w:p>
      <w:pPr>
        <w:ind w:left="24"/>
        <w:spacing w:before="1" w:line="220" w:lineRule="auto"/>
        <w:rPr>
          <w:rFonts w:ascii="SimHei" w:hAnsi="SimHei" w:eastAsia="SimHei" w:cs="SimHei"/>
          <w:sz w:val="27"/>
          <w:szCs w:val="27"/>
        </w:rPr>
      </w:pPr>
      <w:r>
        <w:rPr>
          <w:rFonts w:ascii="Times New Roman" w:hAnsi="Times New Roman" w:eastAsia="Times New Roman" w:cs="Times New Roman"/>
          <w:sz w:val="27"/>
          <w:szCs w:val="27"/>
          <w:spacing w:val="2"/>
        </w:rPr>
        <w:t>1.</w:t>
      </w:r>
      <w:r>
        <w:rPr>
          <w:rFonts w:ascii="SimHei" w:hAnsi="SimHei" w:eastAsia="SimHei" w:cs="SimHei"/>
          <w:sz w:val="27"/>
          <w:szCs w:val="27"/>
          <w:b/>
          <w:bCs/>
          <w:spacing w:val="2"/>
        </w:rPr>
        <w:t>5.1生态空间类别</w:t>
      </w:r>
    </w:p>
    <w:p>
      <w:pPr>
        <w:ind w:left="24" w:right="121" w:firstLine="470"/>
        <w:spacing w:before="227" w:line="366" w:lineRule="auto"/>
        <w:rPr>
          <w:rFonts w:ascii="SimSun" w:hAnsi="SimSun" w:eastAsia="SimSun" w:cs="SimSun"/>
          <w:sz w:val="23"/>
          <w:szCs w:val="23"/>
        </w:rPr>
      </w:pPr>
      <w:r>
        <w:rPr>
          <w:rFonts w:ascii="SimSun" w:hAnsi="SimSun" w:eastAsia="SimSun" w:cs="SimSun"/>
          <w:sz w:val="23"/>
          <w:szCs w:val="23"/>
          <w:spacing w:val="12"/>
        </w:rPr>
        <w:t>经查询“四川政务服务网-生态环境分区管控数据分析系统”,</w:t>
      </w:r>
      <w:r>
        <w:rPr>
          <w:rFonts w:ascii="SimSun" w:hAnsi="SimSun" w:eastAsia="SimSun" w:cs="SimSun"/>
          <w:sz w:val="23"/>
          <w:szCs w:val="23"/>
          <w:spacing w:val="11"/>
        </w:rPr>
        <w:t>本项目不在</w:t>
      </w:r>
      <w:r>
        <w:rPr>
          <w:rFonts w:ascii="SimSun" w:hAnsi="SimSun" w:eastAsia="SimSun" w:cs="SimSun"/>
          <w:sz w:val="23"/>
          <w:szCs w:val="23"/>
        </w:rPr>
        <w:t xml:space="preserve"> </w:t>
      </w:r>
      <w:r>
        <w:rPr>
          <w:rFonts w:ascii="SimSun" w:hAnsi="SimSun" w:eastAsia="SimSun" w:cs="SimSun"/>
          <w:sz w:val="23"/>
          <w:szCs w:val="23"/>
          <w:spacing w:val="7"/>
        </w:rPr>
        <w:t>生态保护红线和一般生态空间范围内。区位关系如图：</w:t>
      </w:r>
    </w:p>
    <w:p>
      <w:pPr>
        <w:spacing w:line="366" w:lineRule="auto"/>
        <w:sectPr>
          <w:headerReference w:type="default" r:id="rId82"/>
          <w:footerReference w:type="default" r:id="rId83"/>
          <w:pgSz w:w="11910" w:h="16840"/>
          <w:pgMar w:top="1219" w:right="1786" w:bottom="1017" w:left="1754" w:header="865" w:footer="717" w:gutter="0"/>
        </w:sectPr>
        <w:rPr>
          <w:rFonts w:ascii="SimSun" w:hAnsi="SimSun" w:eastAsia="SimSun" w:cs="SimSun"/>
          <w:sz w:val="23"/>
          <w:szCs w:val="23"/>
        </w:rPr>
      </w:pPr>
    </w:p>
    <w:p>
      <w:pPr>
        <w:pStyle w:val="BodyText"/>
        <w:spacing w:before="139" w:line="3896" w:lineRule="exact"/>
        <w:rPr/>
      </w:pPr>
      <w:r>
        <w:rPr>
          <w:position w:val="-77"/>
        </w:rPr>
        <w:pict>
          <v:group id="_x0000_s2" style="mso-position-vertical-relative:line;mso-position-horizontal-relative:char;width:423pt;height:194.85pt;" filled="false" stroked="false" coordsize="8460,3897" coordorigin="0,0">
            <v:shape id="_x0000_s4" style="position:absolute;left:0;top:0;width:8460;height:3670;" filled="false" stroked="false" type="#_x0000_t75">
              <v:imagedata o:title="" r:id="rId86"/>
            </v:shape>
            <v:shape id="_x0000_s6" style="position:absolute;left:119;top:212;width:7805;height:3703;" filled="false" stroked="false" type="#_x0000_t202">
              <v:fill on="false"/>
              <v:stroke on="false"/>
              <v:path/>
              <v:imagedata o:title=""/>
              <o:lock v:ext="edit" aspectratio="false"/>
              <v:textbox inset="0mm,0mm,0mm,0mm">
                <w:txbxContent>
                  <w:p>
                    <w:pPr>
                      <w:ind w:left="180" w:right="7172" w:hanging="160"/>
                      <w:spacing w:before="20" w:line="318" w:lineRule="auto"/>
                      <w:rPr>
                        <w:rFonts w:ascii="SimHei" w:hAnsi="SimHei" w:eastAsia="SimHei" w:cs="SimHei"/>
                        <w:sz w:val="7"/>
                        <w:szCs w:val="7"/>
                      </w:rPr>
                    </w:pPr>
                    <w:r>
                      <w:rPr>
                        <w:rFonts w:ascii="SimHei" w:hAnsi="SimHei" w:eastAsia="SimHei" w:cs="SimHei"/>
                        <w:sz w:val="7"/>
                        <w:szCs w:val="7"/>
                        <w:color w:val="2060D0"/>
                        <w:spacing w:val="-6"/>
                      </w:rPr>
                      <w:t>◎</w:t>
                    </w:r>
                    <w:r>
                      <w:rPr>
                        <w:rFonts w:ascii="SimHei" w:hAnsi="SimHei" w:eastAsia="SimHei" w:cs="SimHei"/>
                        <w:sz w:val="7"/>
                        <w:szCs w:val="7"/>
                        <w:color w:val="2060D0"/>
                        <w:spacing w:val="-6"/>
                      </w:rPr>
                      <w:t xml:space="preserve"> </w:t>
                    </w:r>
                    <w:r>
                      <w:rPr>
                        <w:rFonts w:ascii="SimHei" w:hAnsi="SimHei" w:eastAsia="SimHei" w:cs="SimHei"/>
                        <w:sz w:val="7"/>
                        <w:szCs w:val="7"/>
                        <w:spacing w:val="-6"/>
                      </w:rPr>
                      <w:t>环境综合曾控单元</w:t>
                    </w:r>
                    <w:r>
                      <w:rPr>
                        <w:rFonts w:ascii="SimHei" w:hAnsi="SimHei" w:eastAsia="SimHei" w:cs="SimHei"/>
                        <w:sz w:val="7"/>
                        <w:szCs w:val="7"/>
                        <w:spacing w:val="7"/>
                      </w:rPr>
                      <w:t xml:space="preserve"> </w:t>
                    </w:r>
                    <w:r>
                      <w:rPr>
                        <w:rFonts w:ascii="SimHei" w:hAnsi="SimHei" w:eastAsia="SimHei" w:cs="SimHei"/>
                        <w:sz w:val="7"/>
                        <w:szCs w:val="7"/>
                        <w:spacing w:val="-4"/>
                      </w:rPr>
                      <w:t>优先保护单元</w:t>
                    </w:r>
                  </w:p>
                  <w:p>
                    <w:pPr>
                      <w:ind w:left="180"/>
                      <w:spacing w:before="39" w:line="223" w:lineRule="auto"/>
                      <w:rPr>
                        <w:rFonts w:ascii="SimHei" w:hAnsi="SimHei" w:eastAsia="SimHei" w:cs="SimHei"/>
                        <w:sz w:val="7"/>
                        <w:szCs w:val="7"/>
                      </w:rPr>
                    </w:pPr>
                    <w:r>
                      <w:rPr>
                        <w:rFonts w:ascii="SimHei" w:hAnsi="SimHei" w:eastAsia="SimHei" w:cs="SimHei"/>
                        <w:sz w:val="7"/>
                        <w:szCs w:val="7"/>
                        <w:spacing w:val="-4"/>
                      </w:rPr>
                      <w:t>重虑管控单元</w:t>
                    </w:r>
                  </w:p>
                  <w:p>
                    <w:pPr>
                      <w:ind w:left="259" w:right="7023"/>
                      <w:spacing w:before="75" w:line="395" w:lineRule="auto"/>
                      <w:rPr>
                        <w:rFonts w:ascii="SimSun" w:hAnsi="SimSun" w:eastAsia="SimSun" w:cs="SimSun"/>
                        <w:sz w:val="7"/>
                        <w:szCs w:val="7"/>
                      </w:rPr>
                    </w:pPr>
                    <w:r>
                      <w:rPr>
                        <w:rFonts w:ascii="SimHei" w:hAnsi="SimHei" w:eastAsia="SimHei" w:cs="SimHei"/>
                        <w:sz w:val="7"/>
                        <w:szCs w:val="7"/>
                        <w:spacing w:val="-5"/>
                      </w:rPr>
                      <w:t>工业重归薯性单地</w:t>
                    </w:r>
                    <w:r>
                      <w:rPr>
                        <w:rFonts w:ascii="SimHei" w:hAnsi="SimHei" w:eastAsia="SimHei" w:cs="SimHei"/>
                        <w:sz w:val="7"/>
                        <w:szCs w:val="7"/>
                        <w:spacing w:val="1"/>
                      </w:rPr>
                      <w:t xml:space="preserve"> </w:t>
                    </w:r>
                    <w:r>
                      <w:rPr>
                        <w:rFonts w:ascii="SimSun" w:hAnsi="SimSun" w:eastAsia="SimSun" w:cs="SimSun"/>
                        <w:sz w:val="7"/>
                        <w:szCs w:val="7"/>
                        <w:spacing w:val="-5"/>
                      </w:rPr>
                      <w:t>地城重师繁控单元</w:t>
                    </w:r>
                  </w:p>
                  <w:p>
                    <w:pPr>
                      <w:ind w:left="180" w:right="7022" w:firstLine="79"/>
                      <w:spacing w:line="369" w:lineRule="auto"/>
                      <w:rPr>
                        <w:rFonts w:ascii="SimHei" w:hAnsi="SimHei" w:eastAsia="SimHei" w:cs="SimHei"/>
                        <w:sz w:val="7"/>
                        <w:szCs w:val="7"/>
                      </w:rPr>
                    </w:pPr>
                    <w:r>
                      <w:rPr>
                        <w:rFonts w:ascii="SimHei" w:hAnsi="SimHei" w:eastAsia="SimHei" w:cs="SimHei"/>
                        <w:sz w:val="7"/>
                        <w:szCs w:val="7"/>
                        <w:spacing w:val="-5"/>
                      </w:rPr>
                      <w:t>要麻监点管控单元</w:t>
                    </w:r>
                    <w:r>
                      <w:rPr>
                        <w:rFonts w:ascii="SimHei" w:hAnsi="SimHei" w:eastAsia="SimHei" w:cs="SimHei"/>
                        <w:sz w:val="7"/>
                        <w:szCs w:val="7"/>
                        <w:spacing w:val="2"/>
                      </w:rPr>
                      <w:t xml:space="preserve"> </w:t>
                    </w:r>
                    <w:r>
                      <w:rPr>
                        <w:rFonts w:ascii="SimHei" w:hAnsi="SimHei" w:eastAsia="SimHei" w:cs="SimHei"/>
                        <w:sz w:val="7"/>
                        <w:szCs w:val="7"/>
                        <w:spacing w:val="-4"/>
                      </w:rPr>
                      <w:t>一般露控地元</w:t>
                    </w:r>
                  </w:p>
                  <w:p>
                    <w:pPr>
                      <w:ind w:left="110"/>
                      <w:spacing w:before="61" w:line="227" w:lineRule="auto"/>
                      <w:rPr>
                        <w:rFonts w:ascii="SimHei" w:hAnsi="SimHei" w:eastAsia="SimHei" w:cs="SimHei"/>
                        <w:sz w:val="7"/>
                        <w:szCs w:val="7"/>
                      </w:rPr>
                    </w:pPr>
                    <w:r>
                      <w:rPr>
                        <w:rFonts w:ascii="SimHei" w:hAnsi="SimHei" w:eastAsia="SimHei" w:cs="SimHei"/>
                        <w:sz w:val="7"/>
                        <w:szCs w:val="7"/>
                        <w:spacing w:val="-3"/>
                      </w:rPr>
                      <w:t>生</w:t>
                    </w:r>
                    <w:r>
                      <w:rPr>
                        <w:rFonts w:ascii="SimHei" w:hAnsi="SimHei" w:eastAsia="SimHei" w:cs="SimHei"/>
                        <w:sz w:val="7"/>
                        <w:szCs w:val="7"/>
                        <w:spacing w:val="11"/>
                        <w:w w:val="102"/>
                      </w:rPr>
                      <w:t xml:space="preserve">  </w:t>
                    </w:r>
                    <w:r>
                      <w:rPr>
                        <w:rFonts w:ascii="SimHei" w:hAnsi="SimHei" w:eastAsia="SimHei" w:cs="SimHei"/>
                        <w:sz w:val="7"/>
                        <w:szCs w:val="7"/>
                        <w:spacing w:val="-3"/>
                      </w:rPr>
                      <w:t>空</w:t>
                    </w:r>
                    <w:r>
                      <w:rPr>
                        <w:rFonts w:ascii="SimHei" w:hAnsi="SimHei" w:eastAsia="SimHei" w:cs="SimHei"/>
                        <w:sz w:val="7"/>
                        <w:szCs w:val="7"/>
                        <w:spacing w:val="12"/>
                        <w:w w:val="102"/>
                      </w:rPr>
                      <w:t xml:space="preserve">  </w:t>
                    </w:r>
                    <w:r>
                      <w:rPr>
                        <w:rFonts w:ascii="SimHei" w:hAnsi="SimHei" w:eastAsia="SimHei" w:cs="SimHei"/>
                        <w:sz w:val="7"/>
                        <w:szCs w:val="7"/>
                        <w:spacing w:val="-3"/>
                      </w:rPr>
                      <w:t>区</w:t>
                    </w:r>
                  </w:p>
                  <w:p>
                    <w:pPr>
                      <w:ind w:left="180"/>
                      <w:spacing w:before="34" w:line="224" w:lineRule="auto"/>
                      <w:rPr>
                        <w:rFonts w:ascii="SimSun" w:hAnsi="SimSun" w:eastAsia="SimSun" w:cs="SimSun"/>
                        <w:sz w:val="9"/>
                        <w:szCs w:val="9"/>
                      </w:rPr>
                    </w:pPr>
                    <w:r>
                      <w:rPr>
                        <w:rFonts w:ascii="SimHei" w:hAnsi="SimHei" w:eastAsia="SimHei" w:cs="SimHei"/>
                        <w:sz w:val="9"/>
                        <w:szCs w:val="9"/>
                        <w:color w:val="3070C0"/>
                        <w:spacing w:val="-1"/>
                      </w:rPr>
                      <w:t>生态保</w:t>
                    </w:r>
                    <w:r>
                      <w:rPr>
                        <w:rFonts w:ascii="SimSun" w:hAnsi="SimSun" w:eastAsia="SimSun" w:cs="SimSun"/>
                        <w:sz w:val="9"/>
                        <w:szCs w:val="9"/>
                        <w:color w:val="3070C0"/>
                        <w:spacing w:val="-1"/>
                      </w:rPr>
                      <w:t>I</w:t>
                    </w:r>
                  </w:p>
                  <w:p>
                    <w:pPr>
                      <w:ind w:left="180"/>
                      <w:spacing w:before="69" w:line="221" w:lineRule="auto"/>
                      <w:rPr>
                        <w:rFonts w:ascii="SimSun" w:hAnsi="SimSun" w:eastAsia="SimSun" w:cs="SimSun"/>
                        <w:sz w:val="7"/>
                        <w:szCs w:val="7"/>
                      </w:rPr>
                    </w:pPr>
                    <w:r>
                      <w:rPr>
                        <w:rFonts w:ascii="SimSun" w:hAnsi="SimSun" w:eastAsia="SimSun" w:cs="SimSun"/>
                        <w:sz w:val="7"/>
                        <w:szCs w:val="7"/>
                        <w:color w:val="3070A0"/>
                        <w:spacing w:val="-1"/>
                      </w:rPr>
                      <w:t>一酸生态空网</w:t>
                    </w:r>
                  </w:p>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ind w:left="7060"/>
                      <w:spacing w:before="23" w:line="222" w:lineRule="auto"/>
                      <w:rPr>
                        <w:rFonts w:ascii="SimHei" w:hAnsi="SimHei" w:eastAsia="SimHei" w:cs="SimHei"/>
                        <w:sz w:val="7"/>
                        <w:szCs w:val="7"/>
                      </w:rPr>
                    </w:pPr>
                    <w:r>
                      <w:rPr>
                        <w:rFonts w:ascii="SimHei" w:hAnsi="SimHei" w:eastAsia="SimHei" w:cs="SimHei"/>
                        <w:sz w:val="7"/>
                        <w:szCs w:val="7"/>
                        <w:spacing w:val="-6"/>
                      </w:rPr>
                      <w:t>生志空问分布</w:t>
                    </w:r>
                  </w:p>
                  <w:p>
                    <w:pPr>
                      <w:ind w:left="7060"/>
                      <w:spacing w:before="45" w:line="222" w:lineRule="auto"/>
                      <w:rPr>
                        <w:rFonts w:ascii="SimHei" w:hAnsi="SimHei" w:eastAsia="SimHei" w:cs="SimHei"/>
                        <w:sz w:val="7"/>
                        <w:szCs w:val="7"/>
                      </w:rPr>
                    </w:pPr>
                    <w:r>
                      <w:rPr>
                        <w:rFonts w:ascii="SimHei" w:hAnsi="SimHei" w:eastAsia="SimHei" w:cs="SimHei"/>
                        <w:sz w:val="7"/>
                        <w:szCs w:val="7"/>
                        <w:color w:val="502020"/>
                        <w:spacing w:val="-1"/>
                      </w:rPr>
                      <w:t>■</w:t>
                    </w:r>
                    <w:r>
                      <w:rPr>
                        <w:rFonts w:ascii="SimHei" w:hAnsi="SimHei" w:eastAsia="SimHei" w:cs="SimHei"/>
                        <w:sz w:val="7"/>
                        <w:szCs w:val="7"/>
                        <w:spacing w:val="-1"/>
                      </w:rPr>
                      <w:t>生志保护江城/4524)</w:t>
                    </w:r>
                  </w:p>
                  <w:p>
                    <w:pPr>
                      <w:ind w:left="7060"/>
                      <w:spacing w:before="66" w:line="221" w:lineRule="auto"/>
                      <w:rPr>
                        <w:rFonts w:ascii="SimHei" w:hAnsi="SimHei" w:eastAsia="SimHei" w:cs="SimHei"/>
                        <w:sz w:val="7"/>
                        <w:szCs w:val="7"/>
                      </w:rPr>
                    </w:pPr>
                    <w:r>
                      <w:rPr>
                        <w:rFonts w:ascii="SimHei" w:hAnsi="SimHei" w:eastAsia="SimHei" w:cs="SimHei"/>
                        <w:sz w:val="7"/>
                        <w:szCs w:val="7"/>
                        <w:spacing w:val="-3"/>
                      </w:rPr>
                      <w:t>■</w:t>
                    </w:r>
                    <w:r>
                      <w:rPr>
                        <w:rFonts w:ascii="SimHei" w:hAnsi="SimHei" w:eastAsia="SimHei" w:cs="SimHei"/>
                        <w:sz w:val="7"/>
                        <w:szCs w:val="7"/>
                        <w:spacing w:val="-2"/>
                      </w:rPr>
                      <w:t xml:space="preserve"> </w:t>
                    </w:r>
                    <w:r>
                      <w:rPr>
                        <w:rFonts w:ascii="SimHei" w:hAnsi="SimHei" w:eastAsia="SimHei" w:cs="SimHei"/>
                        <w:sz w:val="7"/>
                        <w:szCs w:val="7"/>
                        <w:spacing w:val="-3"/>
                      </w:rPr>
                      <w:t>一般生步空网(10974)</w:t>
                    </w:r>
                  </w:p>
                  <w:p>
                    <w:pPr>
                      <w:ind w:left="1873"/>
                      <w:spacing w:before="121" w:line="219" w:lineRule="auto"/>
                      <w:rPr>
                        <w:rFonts w:ascii="SimSun" w:hAnsi="SimSun" w:eastAsia="SimSun" w:cs="SimSun"/>
                        <w:sz w:val="25"/>
                        <w:szCs w:val="25"/>
                      </w:rPr>
                    </w:pPr>
                    <w:r>
                      <w:rPr>
                        <w:rFonts w:ascii="SimSun" w:hAnsi="SimSun" w:eastAsia="SimSun" w:cs="SimSun"/>
                        <w:sz w:val="25"/>
                        <w:szCs w:val="25"/>
                        <w:b/>
                        <w:bCs/>
                        <w:spacing w:val="-11"/>
                      </w:rPr>
                      <w:t>图1.5-1项目与绵阳市生态空间分区关系图</w:t>
                    </w:r>
                  </w:p>
                </w:txbxContent>
              </v:textbox>
            </v:shape>
            <v:shape id="_x0000_s8" style="position:absolute;left:3957;top:793;width:1196;height:350;" filled="false" stroked="false" type="#_x0000_t202">
              <v:fill on="false"/>
              <v:stroke on="false"/>
              <v:path/>
              <v:imagedata o:title=""/>
              <o:lock v:ext="edit" aspectratio="false"/>
              <v:textbox inset="0mm,0mm,0mm,0mm">
                <w:txbxContent>
                  <w:p>
                    <w:pPr>
                      <w:spacing w:before="20" w:line="214" w:lineRule="auto"/>
                      <w:jc w:val="right"/>
                      <w:rPr>
                        <w:rFonts w:ascii="SimSun" w:hAnsi="SimSun" w:eastAsia="SimSun" w:cs="SimSun"/>
                        <w:sz w:val="32"/>
                        <w:szCs w:val="32"/>
                      </w:rPr>
                    </w:pPr>
                    <w:r>
                      <w:rPr>
                        <w:rFonts w:ascii="SimSun" w:hAnsi="SimSun" w:eastAsia="SimSun" w:cs="SimSun"/>
                        <w:sz w:val="32"/>
                        <w:szCs w:val="32"/>
                        <w:i/>
                        <w:iCs/>
                        <w:color w:val="E02020"/>
                        <w:spacing w:val="-36"/>
                        <w:w w:val="99"/>
                      </w:rPr>
                      <w:t>的所</w:t>
                    </w:r>
                    <w:r>
                      <w:rPr>
                        <w:rFonts w:ascii="SimSun" w:hAnsi="SimSun" w:eastAsia="SimSun" w:cs="SimSun"/>
                        <w:sz w:val="32"/>
                        <w:szCs w:val="32"/>
                        <w:i/>
                        <w:iCs/>
                        <w:color w:val="E02020"/>
                        <w:spacing w:val="-35"/>
                        <w:w w:val="99"/>
                      </w:rPr>
                      <w:t>在</w:t>
                    </w:r>
                    <w:r>
                      <w:rPr>
                        <w:rFonts w:ascii="SimSun" w:hAnsi="SimSun" w:eastAsia="SimSun" w:cs="SimSun"/>
                        <w:sz w:val="32"/>
                        <w:szCs w:val="32"/>
                        <w:i/>
                        <w:iCs/>
                        <w:color w:val="E02020"/>
                        <w:spacing w:val="-13"/>
                        <w:w w:val="99"/>
                      </w:rPr>
                      <w:t>地</w:t>
                    </w:r>
                  </w:p>
                </w:txbxContent>
              </v:textbox>
            </v:shape>
          </v:group>
        </w:pict>
      </w:r>
    </w:p>
    <w:p>
      <w:pPr>
        <w:ind w:left="53"/>
        <w:spacing w:before="298" w:line="221" w:lineRule="auto"/>
        <w:rPr>
          <w:rFonts w:ascii="SimHei" w:hAnsi="SimHei" w:eastAsia="SimHei" w:cs="SimHei"/>
          <w:sz w:val="25"/>
          <w:szCs w:val="25"/>
        </w:rPr>
      </w:pPr>
      <w:r>
        <w:rPr>
          <w:rFonts w:ascii="SimHei" w:hAnsi="SimHei" w:eastAsia="SimHei" w:cs="SimHei"/>
          <w:sz w:val="25"/>
          <w:szCs w:val="25"/>
          <w:b/>
          <w:bCs/>
          <w:spacing w:val="12"/>
        </w:rPr>
        <w:t>1.5.2环境管控单元类别</w:t>
      </w:r>
    </w:p>
    <w:p>
      <w:pPr>
        <w:ind w:left="49" w:right="105" w:firstLine="470"/>
        <w:spacing w:before="183" w:line="342" w:lineRule="auto"/>
        <w:jc w:val="both"/>
        <w:rPr>
          <w:rFonts w:ascii="SimSun" w:hAnsi="SimSun" w:eastAsia="SimSun" w:cs="SimSun"/>
          <w:sz w:val="25"/>
          <w:szCs w:val="25"/>
        </w:rPr>
      </w:pPr>
      <w:r>
        <w:rPr>
          <w:rFonts w:ascii="SimSun" w:hAnsi="SimSun" w:eastAsia="SimSun" w:cs="SimSun"/>
          <w:sz w:val="25"/>
          <w:szCs w:val="25"/>
          <w:spacing w:val="-5"/>
        </w:rPr>
        <w:t>经查询“四川政务服务网-生态环境分区管控数据分析系统”,本项目</w:t>
      </w:r>
      <w:r>
        <w:rPr>
          <w:rFonts w:ascii="SimSun" w:hAnsi="SimSun" w:eastAsia="SimSun" w:cs="SimSun"/>
          <w:sz w:val="25"/>
          <w:szCs w:val="25"/>
          <w:spacing w:val="-6"/>
        </w:rPr>
        <w:t>位于</w:t>
      </w:r>
      <w:r>
        <w:rPr>
          <w:rFonts w:ascii="SimSun" w:hAnsi="SimSun" w:eastAsia="SimSun" w:cs="SimSun"/>
          <w:sz w:val="25"/>
          <w:szCs w:val="25"/>
        </w:rPr>
        <w:t xml:space="preserve"> </w:t>
      </w:r>
      <w:r>
        <w:rPr>
          <w:rFonts w:ascii="SimSun" w:hAnsi="SimSun" w:eastAsia="SimSun" w:cs="SimSun"/>
          <w:sz w:val="25"/>
          <w:szCs w:val="25"/>
          <w:spacing w:val="-6"/>
        </w:rPr>
        <w:t>四川绵阳安州工业园区内，管控单元名称：四川绵阳安州工业园区，管控单元</w:t>
      </w:r>
      <w:r>
        <w:rPr>
          <w:rFonts w:ascii="SimSun" w:hAnsi="SimSun" w:eastAsia="SimSun" w:cs="SimSun"/>
          <w:sz w:val="25"/>
          <w:szCs w:val="25"/>
          <w:spacing w:val="3"/>
        </w:rPr>
        <w:t xml:space="preserve"> </w:t>
      </w:r>
      <w:r>
        <w:rPr>
          <w:rFonts w:ascii="SimSun" w:hAnsi="SimSun" w:eastAsia="SimSun" w:cs="SimSun"/>
          <w:sz w:val="25"/>
          <w:szCs w:val="25"/>
          <w:spacing w:val="-2"/>
        </w:rPr>
        <w:t>编码：</w:t>
      </w:r>
      <w:r>
        <w:rPr>
          <w:rFonts w:ascii="Times New Roman" w:hAnsi="Times New Roman" w:eastAsia="Times New Roman" w:cs="Times New Roman"/>
          <w:sz w:val="25"/>
          <w:szCs w:val="25"/>
          <w:spacing w:val="-2"/>
        </w:rPr>
        <w:t>ZH51070520003,  </w:t>
      </w:r>
      <w:r>
        <w:rPr>
          <w:rFonts w:ascii="SimSun" w:hAnsi="SimSun" w:eastAsia="SimSun" w:cs="SimSun"/>
          <w:sz w:val="25"/>
          <w:szCs w:val="25"/>
          <w:spacing w:val="-2"/>
        </w:rPr>
        <w:t>管控分类：重点管控单元，要</w:t>
      </w:r>
      <w:r>
        <w:rPr>
          <w:rFonts w:ascii="SimSun" w:hAnsi="SimSun" w:eastAsia="SimSun" w:cs="SimSun"/>
          <w:sz w:val="25"/>
          <w:szCs w:val="25"/>
          <w:spacing w:val="-3"/>
        </w:rPr>
        <w:t>素细类：工业重点管控</w:t>
      </w:r>
    </w:p>
    <w:p>
      <w:pPr>
        <w:ind w:left="49"/>
        <w:spacing w:before="24" w:line="220" w:lineRule="auto"/>
        <w:rPr>
          <w:rFonts w:ascii="SimSun" w:hAnsi="SimSun" w:eastAsia="SimSun" w:cs="SimSun"/>
          <w:sz w:val="25"/>
          <w:szCs w:val="25"/>
        </w:rPr>
      </w:pPr>
      <w:r>
        <w:rPr>
          <w:rFonts w:ascii="SimSun" w:hAnsi="SimSun" w:eastAsia="SimSun" w:cs="SimSun"/>
          <w:sz w:val="25"/>
          <w:szCs w:val="25"/>
          <w:spacing w:val="-11"/>
        </w:rPr>
        <w:t>单元。查询结果如下：</w:t>
      </w:r>
    </w:p>
    <w:p>
      <w:pPr>
        <w:ind w:firstLine="179"/>
        <w:spacing w:before="31" w:line="3357" w:lineRule="exact"/>
        <w:rPr/>
      </w:pPr>
      <w:r>
        <w:rPr>
          <w:position w:val="-67"/>
        </w:rPr>
        <w:drawing>
          <wp:inline distT="0" distB="0" distL="0" distR="0">
            <wp:extent cx="5099024" cy="2131953"/>
            <wp:effectExtent l="0" t="0" r="0" b="0"/>
            <wp:docPr id="12" name="IM 12"/>
            <wp:cNvGraphicFramePr/>
            <a:graphic>
              <a:graphicData uri="http://schemas.openxmlformats.org/drawingml/2006/picture">
                <pic:pic>
                  <pic:nvPicPr>
                    <pic:cNvPr id="12" name="IM 12"/>
                    <pic:cNvPicPr/>
                  </pic:nvPicPr>
                  <pic:blipFill>
                    <a:blip r:embed="rId87"/>
                    <a:stretch>
                      <a:fillRect/>
                    </a:stretch>
                  </pic:blipFill>
                  <pic:spPr>
                    <a:xfrm rot="0">
                      <a:off x="0" y="0"/>
                      <a:ext cx="5099024" cy="2131953"/>
                    </a:xfrm>
                    <a:prstGeom prst="rect">
                      <a:avLst/>
                    </a:prstGeom>
                  </pic:spPr>
                </pic:pic>
              </a:graphicData>
            </a:graphic>
          </wp:inline>
        </w:drawing>
      </w:r>
    </w:p>
    <w:p>
      <w:pPr>
        <w:ind w:left="1753"/>
        <w:spacing w:before="1" w:line="218" w:lineRule="auto"/>
        <w:rPr>
          <w:rFonts w:ascii="SimHei" w:hAnsi="SimHei" w:eastAsia="SimHei" w:cs="SimHei"/>
          <w:sz w:val="25"/>
          <w:szCs w:val="25"/>
        </w:rPr>
      </w:pPr>
      <w:r>
        <w:rPr>
          <w:rFonts w:ascii="SimHei" w:hAnsi="SimHei" w:eastAsia="SimHei" w:cs="SimHei"/>
          <w:sz w:val="25"/>
          <w:szCs w:val="25"/>
          <w:b/>
          <w:bCs/>
          <w:spacing w:val="-11"/>
        </w:rPr>
        <w:t>图1.5-2项目与绵阳市环境综合管控单元关系图</w:t>
      </w:r>
    </w:p>
    <w:p>
      <w:pPr>
        <w:ind w:left="52" w:right="563" w:hanging="3"/>
        <w:spacing w:before="181" w:line="404" w:lineRule="auto"/>
        <w:rPr>
          <w:rFonts w:ascii="SimHei" w:hAnsi="SimHei" w:eastAsia="SimHei" w:cs="SimHei"/>
          <w:sz w:val="25"/>
          <w:szCs w:val="25"/>
        </w:rPr>
      </w:pPr>
      <w:r>
        <w:rPr>
          <w:rFonts w:ascii="Times New Roman" w:hAnsi="Times New Roman" w:eastAsia="Times New Roman" w:cs="Times New Roman"/>
          <w:sz w:val="25"/>
          <w:szCs w:val="25"/>
          <w:spacing w:val="23"/>
        </w:rPr>
        <w:t>1.</w:t>
      </w:r>
      <w:r>
        <w:rPr>
          <w:rFonts w:ascii="SimHei" w:hAnsi="SimHei" w:eastAsia="SimHei" w:cs="SimHei"/>
          <w:sz w:val="25"/>
          <w:szCs w:val="25"/>
          <w:b/>
          <w:bCs/>
          <w:spacing w:val="23"/>
        </w:rPr>
        <w:t>5.3与《绵阳市人民政府办公室关于加强生态环</w:t>
      </w:r>
      <w:r>
        <w:rPr>
          <w:rFonts w:ascii="SimHei" w:hAnsi="SimHei" w:eastAsia="SimHei" w:cs="SimHei"/>
          <w:sz w:val="25"/>
          <w:szCs w:val="25"/>
          <w:b/>
          <w:bCs/>
          <w:spacing w:val="22"/>
        </w:rPr>
        <w:t>境分区管控的通</w:t>
      </w:r>
      <w:r>
        <w:rPr>
          <w:rFonts w:ascii="SimHei" w:hAnsi="SimHei" w:eastAsia="SimHei" w:cs="SimHei"/>
          <w:sz w:val="25"/>
          <w:szCs w:val="25"/>
        </w:rPr>
        <w:t xml:space="preserve"> </w:t>
      </w:r>
      <w:r>
        <w:rPr>
          <w:rFonts w:ascii="SimHei" w:hAnsi="SimHei" w:eastAsia="SimHei" w:cs="SimHei"/>
          <w:sz w:val="25"/>
          <w:szCs w:val="25"/>
          <w:b/>
          <w:bCs/>
          <w:spacing w:val="30"/>
        </w:rPr>
        <w:t>知》(绵府办函[2024]42号)符合性分析</w:t>
      </w:r>
    </w:p>
    <w:p>
      <w:pPr>
        <w:ind w:left="49" w:right="105" w:firstLine="470"/>
        <w:spacing w:before="3" w:line="339" w:lineRule="auto"/>
        <w:jc w:val="both"/>
        <w:rPr>
          <w:rFonts w:ascii="SimSun" w:hAnsi="SimSun" w:eastAsia="SimSun" w:cs="SimSun"/>
          <w:sz w:val="25"/>
          <w:szCs w:val="25"/>
        </w:rPr>
      </w:pPr>
      <w:r>
        <w:rPr>
          <w:rFonts w:ascii="SimSun" w:hAnsi="SimSun" w:eastAsia="SimSun" w:cs="SimSun"/>
          <w:sz w:val="25"/>
          <w:szCs w:val="25"/>
          <w:spacing w:val="-9"/>
        </w:rPr>
        <w:t>根据《绵阳市人民政府办公室关于加强生态环境分区管控的通知》(绵府办</w:t>
      </w:r>
      <w:r>
        <w:rPr>
          <w:rFonts w:ascii="SimSun" w:hAnsi="SimSun" w:eastAsia="SimSun" w:cs="SimSun"/>
          <w:sz w:val="25"/>
          <w:szCs w:val="25"/>
          <w:spacing w:val="5"/>
        </w:rPr>
        <w:t xml:space="preserve"> </w:t>
      </w:r>
      <w:r>
        <w:rPr>
          <w:rFonts w:ascii="SimSun" w:hAnsi="SimSun" w:eastAsia="SimSun" w:cs="SimSun"/>
          <w:sz w:val="25"/>
          <w:szCs w:val="25"/>
          <w:spacing w:val="-5"/>
        </w:rPr>
        <w:t>函[2024]42号),将全市行政区域从生态环境保护角度划分为优先保护、</w:t>
      </w:r>
      <w:r>
        <w:rPr>
          <w:rFonts w:ascii="SimSun" w:hAnsi="SimSun" w:eastAsia="SimSun" w:cs="SimSun"/>
          <w:sz w:val="25"/>
          <w:szCs w:val="25"/>
          <w:spacing w:val="-6"/>
        </w:rPr>
        <w:t>重点管</w:t>
      </w:r>
      <w:r>
        <w:rPr>
          <w:rFonts w:ascii="SimSun" w:hAnsi="SimSun" w:eastAsia="SimSun" w:cs="SimSun"/>
          <w:sz w:val="25"/>
          <w:szCs w:val="25"/>
        </w:rPr>
        <w:t xml:space="preserve"> </w:t>
      </w:r>
      <w:r>
        <w:rPr>
          <w:rFonts w:ascii="SimSun" w:hAnsi="SimSun" w:eastAsia="SimSun" w:cs="SimSun"/>
          <w:sz w:val="25"/>
          <w:szCs w:val="25"/>
          <w:spacing w:val="-10"/>
        </w:rPr>
        <w:t>控和一般管控三类环境管控单元，共70个环境管控单元。</w:t>
      </w:r>
    </w:p>
    <w:p>
      <w:pPr>
        <w:ind w:left="519"/>
        <w:spacing w:before="1" w:line="218" w:lineRule="auto"/>
        <w:rPr>
          <w:rFonts w:ascii="SimSun" w:hAnsi="SimSun" w:eastAsia="SimSun" w:cs="SimSun"/>
          <w:sz w:val="25"/>
          <w:szCs w:val="25"/>
        </w:rPr>
      </w:pPr>
      <w:r>
        <w:rPr>
          <w:rFonts w:ascii="SimSun" w:hAnsi="SimSun" w:eastAsia="SimSun" w:cs="SimSun"/>
          <w:sz w:val="25"/>
          <w:szCs w:val="25"/>
          <w:spacing w:val="-15"/>
        </w:rPr>
        <w:t>本项目与绵阳市生态环境管控要求符合性分析见下表。</w:t>
      </w:r>
    </w:p>
    <w:p>
      <w:pPr>
        <w:spacing w:line="218" w:lineRule="auto"/>
        <w:sectPr>
          <w:headerReference w:type="default" r:id="rId84"/>
          <w:footerReference w:type="default" r:id="rId85"/>
          <w:pgSz w:w="11910" w:h="16840"/>
          <w:pgMar w:top="1210" w:right="1720" w:bottom="957" w:left="1730" w:header="902" w:footer="761" w:gutter="0"/>
        </w:sectPr>
        <w:rPr>
          <w:rFonts w:ascii="SimSun" w:hAnsi="SimSun" w:eastAsia="SimSun" w:cs="SimSun"/>
          <w:sz w:val="25"/>
          <w:szCs w:val="25"/>
        </w:rPr>
      </w:pPr>
    </w:p>
    <w:p>
      <w:pPr>
        <w:ind w:left="2768"/>
        <w:spacing w:before="256" w:line="219" w:lineRule="auto"/>
        <w:rPr>
          <w:rFonts w:ascii="SimSun" w:hAnsi="SimSun" w:eastAsia="SimSun" w:cs="SimSun"/>
          <w:sz w:val="23"/>
          <w:szCs w:val="23"/>
        </w:rPr>
      </w:pPr>
      <w:r>
        <w:rPr>
          <w:rFonts w:ascii="SimSun" w:hAnsi="SimSun" w:eastAsia="SimSun" w:cs="SimSun"/>
          <w:sz w:val="23"/>
          <w:szCs w:val="23"/>
          <w:b/>
          <w:bCs/>
          <w:spacing w:val="-3"/>
        </w:rPr>
        <w:t>表1.5-1项目与管控要求符合性</w:t>
      </w:r>
    </w:p>
    <w:p>
      <w:pPr>
        <w:spacing w:line="15" w:lineRule="exact"/>
        <w:rPr/>
      </w:pPr>
      <w:r/>
    </w:p>
    <w:tbl>
      <w:tblPr>
        <w:tblStyle w:val="TableNormal"/>
        <w:tblW w:w="87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964"/>
        <w:gridCol w:w="4385"/>
        <w:gridCol w:w="3361"/>
      </w:tblGrid>
      <w:tr>
        <w:trPr>
          <w:trHeight w:val="265" w:hRule="atLeast"/>
        </w:trPr>
        <w:tc>
          <w:tcPr>
            <w:shd w:val="clear" w:fill="BDBDBD"/>
            <w:tcW w:w="8710" w:type="dxa"/>
            <w:vAlign w:val="top"/>
            <w:gridSpan w:val="3"/>
          </w:tcPr>
          <w:p>
            <w:pPr>
              <w:pStyle w:val="TableText"/>
              <w:ind w:left="3418"/>
              <w:spacing w:before="29" w:line="198" w:lineRule="auto"/>
              <w:rPr>
                <w:sz w:val="21"/>
                <w:szCs w:val="21"/>
              </w:rPr>
            </w:pPr>
            <w:r>
              <w:rPr>
                <w:sz w:val="21"/>
                <w:szCs w:val="21"/>
                <w:b/>
                <w:bCs/>
                <w:spacing w:val="-3"/>
              </w:rPr>
              <w:t>绵府办函[2024]42号</w:t>
            </w:r>
          </w:p>
        </w:tc>
      </w:tr>
      <w:tr>
        <w:trPr>
          <w:trHeight w:val="549" w:hRule="atLeast"/>
        </w:trPr>
        <w:tc>
          <w:tcPr>
            <w:shd w:val="clear" w:fill="BDBDBD"/>
            <w:tcW w:w="964" w:type="dxa"/>
            <w:vAlign w:val="top"/>
          </w:tcPr>
          <w:p>
            <w:pPr>
              <w:pStyle w:val="TableText"/>
              <w:ind w:left="58"/>
              <w:spacing w:before="45" w:line="219" w:lineRule="auto"/>
              <w:rPr>
                <w:sz w:val="21"/>
                <w:szCs w:val="21"/>
              </w:rPr>
            </w:pPr>
            <w:r>
              <w:rPr>
                <w:sz w:val="21"/>
                <w:szCs w:val="21"/>
                <w:b/>
                <w:bCs/>
                <w:spacing w:val="-4"/>
              </w:rPr>
              <w:t>环境管控</w:t>
            </w:r>
          </w:p>
          <w:p>
            <w:pPr>
              <w:pStyle w:val="TableText"/>
              <w:ind w:left="58"/>
              <w:spacing w:before="10" w:line="205" w:lineRule="auto"/>
              <w:rPr>
                <w:sz w:val="21"/>
                <w:szCs w:val="21"/>
              </w:rPr>
            </w:pPr>
            <w:r>
              <w:rPr>
                <w:sz w:val="21"/>
                <w:szCs w:val="21"/>
                <w:b/>
                <w:bCs/>
                <w:spacing w:val="-5"/>
              </w:rPr>
              <w:t>单元类型</w:t>
            </w:r>
          </w:p>
        </w:tc>
        <w:tc>
          <w:tcPr>
            <w:shd w:val="clear" w:fill="BDBDBD"/>
            <w:tcW w:w="4385" w:type="dxa"/>
            <w:vAlign w:val="top"/>
          </w:tcPr>
          <w:p>
            <w:pPr>
              <w:pStyle w:val="TableText"/>
              <w:ind w:left="1143"/>
              <w:spacing w:before="165" w:line="219" w:lineRule="auto"/>
              <w:rPr>
                <w:sz w:val="21"/>
                <w:szCs w:val="21"/>
              </w:rPr>
            </w:pPr>
            <w:r>
              <w:rPr>
                <w:sz w:val="21"/>
                <w:szCs w:val="21"/>
                <w:b/>
                <w:bCs/>
                <w:spacing w:val="-4"/>
              </w:rPr>
              <w:t>总体生态环境管控要求</w:t>
            </w:r>
          </w:p>
        </w:tc>
        <w:tc>
          <w:tcPr>
            <w:shd w:val="clear" w:fill="BDBDBD"/>
            <w:tcW w:w="3361" w:type="dxa"/>
            <w:vAlign w:val="top"/>
          </w:tcPr>
          <w:p>
            <w:pPr>
              <w:pStyle w:val="TableText"/>
              <w:ind w:left="1149"/>
              <w:spacing w:before="164" w:line="219" w:lineRule="auto"/>
              <w:rPr>
                <w:sz w:val="21"/>
                <w:szCs w:val="21"/>
              </w:rPr>
            </w:pPr>
            <w:r>
              <w:rPr>
                <w:sz w:val="21"/>
                <w:szCs w:val="21"/>
                <w:b/>
                <w:bCs/>
                <w:spacing w:val="-4"/>
              </w:rPr>
              <w:t>本项目情况</w:t>
            </w:r>
          </w:p>
        </w:tc>
      </w:tr>
      <w:tr>
        <w:trPr>
          <w:trHeight w:val="1359" w:hRule="atLeast"/>
        </w:trPr>
        <w:tc>
          <w:tcPr>
            <w:tcW w:w="964" w:type="dxa"/>
            <w:vAlign w:val="top"/>
          </w:tcPr>
          <w:p>
            <w:pPr>
              <w:spacing w:line="378" w:lineRule="auto"/>
              <w:rPr>
                <w:rFonts w:ascii="Arial"/>
                <w:sz w:val="21"/>
              </w:rPr>
            </w:pPr>
            <w:r/>
          </w:p>
          <w:p>
            <w:pPr>
              <w:pStyle w:val="TableText"/>
              <w:ind w:left="264" w:right="43" w:hanging="209"/>
              <w:spacing w:before="68" w:line="232" w:lineRule="auto"/>
              <w:rPr>
                <w:sz w:val="21"/>
                <w:szCs w:val="21"/>
              </w:rPr>
            </w:pPr>
            <w:r>
              <w:rPr>
                <w:sz w:val="21"/>
                <w:szCs w:val="21"/>
                <w:spacing w:val="3"/>
              </w:rPr>
              <w:t>优先保护</w:t>
            </w:r>
            <w:r>
              <w:rPr>
                <w:sz w:val="21"/>
                <w:szCs w:val="21"/>
                <w:spacing w:val="2"/>
              </w:rPr>
              <w:t xml:space="preserve"> </w:t>
            </w:r>
            <w:r>
              <w:rPr>
                <w:sz w:val="21"/>
                <w:szCs w:val="21"/>
                <w:spacing w:val="-3"/>
              </w:rPr>
              <w:t>单元</w:t>
            </w:r>
          </w:p>
        </w:tc>
        <w:tc>
          <w:tcPr>
            <w:tcW w:w="4385" w:type="dxa"/>
            <w:vAlign w:val="top"/>
          </w:tcPr>
          <w:p>
            <w:pPr>
              <w:pStyle w:val="TableText"/>
              <w:ind w:left="11"/>
              <w:spacing w:before="40" w:line="230" w:lineRule="auto"/>
              <w:rPr>
                <w:sz w:val="21"/>
                <w:szCs w:val="21"/>
              </w:rPr>
            </w:pPr>
            <w:r>
              <w:rPr>
                <w:sz w:val="21"/>
                <w:szCs w:val="21"/>
                <w:spacing w:val="-4"/>
              </w:rPr>
              <w:t>以生态环境保护为主的区域，全市划分优先保护</w:t>
            </w:r>
            <w:r>
              <w:rPr>
                <w:sz w:val="21"/>
                <w:szCs w:val="21"/>
                <w:spacing w:val="10"/>
              </w:rPr>
              <w:t xml:space="preserve"> </w:t>
            </w:r>
            <w:r>
              <w:rPr>
                <w:sz w:val="21"/>
                <w:szCs w:val="21"/>
                <w:spacing w:val="-2"/>
              </w:rPr>
              <w:t>单元20个，主要包括生态保护红线、自然保护</w:t>
            </w:r>
            <w:r>
              <w:rPr>
                <w:sz w:val="21"/>
                <w:szCs w:val="21"/>
                <w:spacing w:val="8"/>
              </w:rPr>
              <w:t xml:space="preserve">  </w:t>
            </w:r>
            <w:r>
              <w:rPr>
                <w:sz w:val="21"/>
                <w:szCs w:val="21"/>
                <w:spacing w:val="-4"/>
              </w:rPr>
              <w:t>地、饮用水水源保护区等，应以生态环境保护优</w:t>
            </w:r>
            <w:r>
              <w:rPr>
                <w:sz w:val="21"/>
                <w:szCs w:val="21"/>
                <w:spacing w:val="1"/>
              </w:rPr>
              <w:t xml:space="preserve"> </w:t>
            </w:r>
            <w:r>
              <w:rPr>
                <w:sz w:val="21"/>
                <w:szCs w:val="21"/>
                <w:spacing w:val="-4"/>
              </w:rPr>
              <w:t>先为原则，严格执行相关法律、法规要求，严守</w:t>
            </w:r>
            <w:r>
              <w:rPr>
                <w:sz w:val="21"/>
                <w:szCs w:val="21"/>
                <w:spacing w:val="7"/>
              </w:rPr>
              <w:t xml:space="preserve"> </w:t>
            </w:r>
            <w:r>
              <w:rPr>
                <w:sz w:val="21"/>
                <w:szCs w:val="21"/>
                <w:spacing w:val="-3"/>
              </w:rPr>
              <w:t>生态环境质量底线，确保生态环境功能不降低。</w:t>
            </w:r>
          </w:p>
        </w:tc>
        <w:tc>
          <w:tcPr>
            <w:tcW w:w="3361" w:type="dxa"/>
            <w:vAlign w:val="top"/>
            <w:vMerge w:val="restart"/>
            <w:tcBorders>
              <w:bottom w:val="nil"/>
            </w:tcBorders>
          </w:tcPr>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ind w:left="15" w:right="160"/>
              <w:spacing w:before="68" w:line="241" w:lineRule="auto"/>
              <w:rPr>
                <w:sz w:val="21"/>
                <w:szCs w:val="21"/>
              </w:rPr>
            </w:pPr>
            <w:r>
              <w:rPr>
                <w:sz w:val="21"/>
                <w:szCs w:val="21"/>
                <w:spacing w:val="-1"/>
              </w:rPr>
              <w:t>根据四川政务服务网“生态环境分</w:t>
            </w:r>
            <w:r>
              <w:rPr>
                <w:sz w:val="21"/>
                <w:szCs w:val="21"/>
                <w:spacing w:val="5"/>
              </w:rPr>
              <w:t xml:space="preserve"> </w:t>
            </w:r>
            <w:r>
              <w:rPr>
                <w:sz w:val="21"/>
                <w:szCs w:val="21"/>
                <w:spacing w:val="-1"/>
              </w:rPr>
              <w:t>区管控数据分析系统”查询可知，</w:t>
            </w:r>
            <w:r>
              <w:rPr>
                <w:sz w:val="21"/>
                <w:szCs w:val="21"/>
                <w:spacing w:val="8"/>
              </w:rPr>
              <w:t xml:space="preserve"> </w:t>
            </w:r>
            <w:r>
              <w:rPr>
                <w:sz w:val="21"/>
                <w:szCs w:val="21"/>
                <w:spacing w:val="1"/>
              </w:rPr>
              <w:t>项目地所属管控单元名称为：四川</w:t>
            </w:r>
            <w:r>
              <w:rPr>
                <w:sz w:val="21"/>
                <w:szCs w:val="21"/>
                <w:spacing w:val="8"/>
              </w:rPr>
              <w:t xml:space="preserve"> </w:t>
            </w:r>
            <w:r>
              <w:rPr>
                <w:sz w:val="21"/>
                <w:szCs w:val="21"/>
                <w:spacing w:val="1"/>
              </w:rPr>
              <w:t>绵阳安州工业园区，管控单元编</w:t>
            </w:r>
          </w:p>
          <w:p>
            <w:pPr>
              <w:pStyle w:val="TableText"/>
              <w:ind w:left="15" w:right="165"/>
              <w:spacing w:before="2" w:line="239" w:lineRule="auto"/>
              <w:rPr>
                <w:sz w:val="21"/>
                <w:szCs w:val="21"/>
              </w:rPr>
            </w:pPr>
            <w:r>
              <w:rPr>
                <w:sz w:val="21"/>
                <w:szCs w:val="21"/>
              </w:rPr>
              <w:t>码：ZH51070520003,属于工业重点</w:t>
            </w:r>
            <w:r>
              <w:rPr>
                <w:sz w:val="21"/>
                <w:szCs w:val="21"/>
                <w:spacing w:val="18"/>
              </w:rPr>
              <w:t xml:space="preserve"> </w:t>
            </w:r>
            <w:r>
              <w:rPr>
                <w:sz w:val="21"/>
                <w:szCs w:val="21"/>
              </w:rPr>
              <w:t>管控单元。项目位于环境质量不达</w:t>
            </w:r>
            <w:r>
              <w:rPr>
                <w:sz w:val="21"/>
                <w:szCs w:val="21"/>
                <w:spacing w:val="7"/>
              </w:rPr>
              <w:t xml:space="preserve"> </w:t>
            </w:r>
            <w:r>
              <w:rPr>
                <w:sz w:val="21"/>
                <w:szCs w:val="21"/>
                <w:spacing w:val="-1"/>
              </w:rPr>
              <w:t>标区域，企业已向绵阳市生态环境</w:t>
            </w:r>
            <w:r>
              <w:rPr>
                <w:sz w:val="21"/>
                <w:szCs w:val="21"/>
                <w:spacing w:val="4"/>
              </w:rPr>
              <w:t xml:space="preserve"> </w:t>
            </w:r>
            <w:r>
              <w:rPr>
                <w:sz w:val="21"/>
                <w:szCs w:val="21"/>
                <w:spacing w:val="-1"/>
              </w:rPr>
              <w:t>局申请总量控制指标。</w:t>
            </w:r>
          </w:p>
        </w:tc>
      </w:tr>
      <w:tr>
        <w:trPr>
          <w:trHeight w:val="1898" w:hRule="atLeast"/>
        </w:trPr>
        <w:tc>
          <w:tcPr>
            <w:tcW w:w="964" w:type="dxa"/>
            <w:vAlign w:val="top"/>
          </w:tcPr>
          <w:p>
            <w:pPr>
              <w:spacing w:line="324" w:lineRule="auto"/>
              <w:rPr>
                <w:rFonts w:ascii="Arial"/>
                <w:sz w:val="21"/>
              </w:rPr>
            </w:pPr>
            <w:r/>
          </w:p>
          <w:p>
            <w:pPr>
              <w:spacing w:line="324" w:lineRule="auto"/>
              <w:rPr>
                <w:rFonts w:ascii="Arial"/>
                <w:sz w:val="21"/>
              </w:rPr>
            </w:pPr>
            <w:r/>
          </w:p>
          <w:p>
            <w:pPr>
              <w:pStyle w:val="TableText"/>
              <w:ind w:left="55"/>
              <w:spacing w:before="68" w:line="219" w:lineRule="auto"/>
              <w:rPr>
                <w:sz w:val="21"/>
                <w:szCs w:val="21"/>
              </w:rPr>
            </w:pPr>
            <w:r>
              <w:rPr>
                <w:sz w:val="21"/>
                <w:szCs w:val="21"/>
                <w:spacing w:val="-2"/>
              </w:rPr>
              <w:t>重点管控</w:t>
            </w:r>
          </w:p>
          <w:p>
            <w:pPr>
              <w:pStyle w:val="TableText"/>
              <w:ind w:left="264"/>
              <w:spacing w:before="1" w:line="220" w:lineRule="auto"/>
              <w:rPr>
                <w:sz w:val="21"/>
                <w:szCs w:val="21"/>
              </w:rPr>
            </w:pPr>
            <w:r>
              <w:rPr>
                <w:sz w:val="21"/>
                <w:szCs w:val="21"/>
                <w:spacing w:val="-3"/>
              </w:rPr>
              <w:t>单元</w:t>
            </w:r>
          </w:p>
        </w:tc>
        <w:tc>
          <w:tcPr>
            <w:tcW w:w="4385" w:type="dxa"/>
            <w:vAlign w:val="top"/>
          </w:tcPr>
          <w:p>
            <w:pPr>
              <w:pStyle w:val="TableText"/>
              <w:ind w:left="11"/>
              <w:spacing w:before="48" w:line="231" w:lineRule="auto"/>
              <w:rPr>
                <w:sz w:val="21"/>
                <w:szCs w:val="21"/>
              </w:rPr>
            </w:pPr>
            <w:r>
              <w:rPr>
                <w:sz w:val="21"/>
                <w:szCs w:val="21"/>
                <w:spacing w:val="-4"/>
              </w:rPr>
              <w:t>涉及水、大气、土壤等资源环境要素重点管控的</w:t>
            </w:r>
            <w:r>
              <w:rPr>
                <w:sz w:val="21"/>
                <w:szCs w:val="21"/>
                <w:spacing w:val="8"/>
              </w:rPr>
              <w:t xml:space="preserve"> </w:t>
            </w:r>
            <w:r>
              <w:rPr>
                <w:sz w:val="21"/>
                <w:szCs w:val="21"/>
                <w:spacing w:val="-2"/>
              </w:rPr>
              <w:t>区域，全市划分重点管控单元43个，主要包括</w:t>
            </w:r>
            <w:r>
              <w:rPr>
                <w:sz w:val="21"/>
                <w:szCs w:val="21"/>
                <w:spacing w:val="3"/>
              </w:rPr>
              <w:t xml:space="preserve">   </w:t>
            </w:r>
            <w:r>
              <w:rPr>
                <w:sz w:val="21"/>
                <w:szCs w:val="21"/>
                <w:spacing w:val="-2"/>
              </w:rPr>
              <w:t>人口密集的城镇规划区和产业集聚的工业园区</w:t>
            </w:r>
            <w:r>
              <w:rPr>
                <w:sz w:val="21"/>
                <w:szCs w:val="21"/>
                <w:spacing w:val="8"/>
              </w:rPr>
              <w:t xml:space="preserve">  </w:t>
            </w:r>
            <w:r>
              <w:rPr>
                <w:sz w:val="21"/>
                <w:szCs w:val="21"/>
                <w:spacing w:val="1"/>
              </w:rPr>
              <w:t>(工业集聚区)等，不断提升资源利用效率，有</w:t>
            </w:r>
            <w:r>
              <w:rPr>
                <w:sz w:val="21"/>
                <w:szCs w:val="21"/>
                <w:spacing w:val="9"/>
              </w:rPr>
              <w:t xml:space="preserve">  </w:t>
            </w:r>
            <w:r>
              <w:rPr>
                <w:sz w:val="21"/>
                <w:szCs w:val="21"/>
                <w:spacing w:val="-3"/>
              </w:rPr>
              <w:t>针对性地加强污染物排放控制和环境风险防控，</w:t>
            </w:r>
            <w:r>
              <w:rPr>
                <w:sz w:val="21"/>
                <w:szCs w:val="21"/>
                <w:spacing w:val="15"/>
              </w:rPr>
              <w:t xml:space="preserve"> </w:t>
            </w:r>
            <w:r>
              <w:rPr>
                <w:sz w:val="21"/>
                <w:szCs w:val="21"/>
                <w:spacing w:val="-4"/>
              </w:rPr>
              <w:t>解决生态环境质量不达标、生态环境风险突出等</w:t>
            </w:r>
            <w:r>
              <w:rPr>
                <w:sz w:val="21"/>
                <w:szCs w:val="21"/>
                <w:spacing w:val="1"/>
              </w:rPr>
              <w:t xml:space="preserve"> </w:t>
            </w:r>
            <w:r>
              <w:rPr>
                <w:sz w:val="21"/>
                <w:szCs w:val="21"/>
                <w:spacing w:val="-3"/>
              </w:rPr>
              <w:t>问题，制定差别化的生态环境准入要求。</w:t>
            </w:r>
          </w:p>
        </w:tc>
        <w:tc>
          <w:tcPr>
            <w:tcW w:w="3361" w:type="dxa"/>
            <w:vAlign w:val="top"/>
            <w:vMerge w:val="continue"/>
            <w:tcBorders>
              <w:top w:val="nil"/>
              <w:bottom w:val="nil"/>
            </w:tcBorders>
          </w:tcPr>
          <w:p>
            <w:pPr>
              <w:rPr>
                <w:rFonts w:ascii="Arial"/>
                <w:sz w:val="21"/>
              </w:rPr>
            </w:pPr>
            <w:r/>
          </w:p>
        </w:tc>
      </w:tr>
      <w:tr>
        <w:trPr>
          <w:trHeight w:val="1089" w:hRule="atLeast"/>
        </w:trPr>
        <w:tc>
          <w:tcPr>
            <w:tcW w:w="964" w:type="dxa"/>
            <w:vAlign w:val="top"/>
          </w:tcPr>
          <w:p>
            <w:pPr>
              <w:spacing w:line="253" w:lineRule="auto"/>
              <w:rPr>
                <w:rFonts w:ascii="Arial"/>
                <w:sz w:val="21"/>
              </w:rPr>
            </w:pPr>
            <w:r/>
          </w:p>
          <w:p>
            <w:pPr>
              <w:pStyle w:val="TableText"/>
              <w:ind w:left="55"/>
              <w:spacing w:before="68" w:line="219" w:lineRule="auto"/>
              <w:rPr>
                <w:sz w:val="21"/>
                <w:szCs w:val="21"/>
              </w:rPr>
            </w:pPr>
            <w:r>
              <w:rPr>
                <w:sz w:val="21"/>
                <w:szCs w:val="21"/>
                <w:spacing w:val="2"/>
              </w:rPr>
              <w:t>一般管控</w:t>
            </w:r>
          </w:p>
          <w:p>
            <w:pPr>
              <w:pStyle w:val="TableText"/>
              <w:ind w:left="264"/>
              <w:spacing w:before="1" w:line="220" w:lineRule="auto"/>
              <w:rPr>
                <w:sz w:val="21"/>
                <w:szCs w:val="21"/>
              </w:rPr>
            </w:pPr>
            <w:r>
              <w:rPr>
                <w:sz w:val="21"/>
                <w:szCs w:val="21"/>
                <w:spacing w:val="-3"/>
              </w:rPr>
              <w:t>单元</w:t>
            </w:r>
          </w:p>
        </w:tc>
        <w:tc>
          <w:tcPr>
            <w:tcW w:w="4385" w:type="dxa"/>
            <w:vAlign w:val="top"/>
          </w:tcPr>
          <w:p>
            <w:pPr>
              <w:pStyle w:val="TableText"/>
              <w:ind w:left="11"/>
              <w:spacing w:before="41" w:line="228" w:lineRule="auto"/>
              <w:rPr>
                <w:sz w:val="21"/>
                <w:szCs w:val="21"/>
              </w:rPr>
            </w:pPr>
            <w:r>
              <w:rPr>
                <w:sz w:val="21"/>
                <w:szCs w:val="21"/>
              </w:rPr>
              <w:t>除优先保护单元和重点管控单元之外的其他区</w:t>
            </w:r>
            <w:r>
              <w:rPr>
                <w:sz w:val="21"/>
                <w:szCs w:val="21"/>
                <w:spacing w:val="5"/>
              </w:rPr>
              <w:t xml:space="preserve">  </w:t>
            </w:r>
            <w:r>
              <w:rPr>
                <w:sz w:val="21"/>
                <w:szCs w:val="21"/>
                <w:spacing w:val="-1"/>
              </w:rPr>
              <w:t>域，全市共划分一般管控单元7个。执行区域生</w:t>
            </w:r>
            <w:r>
              <w:rPr>
                <w:sz w:val="21"/>
                <w:szCs w:val="21"/>
                <w:spacing w:val="5"/>
              </w:rPr>
              <w:t xml:space="preserve"> </w:t>
            </w:r>
            <w:r>
              <w:rPr>
                <w:sz w:val="21"/>
                <w:szCs w:val="21"/>
                <w:spacing w:val="-3"/>
              </w:rPr>
              <w:t>态环境保护的基本要求，重点加强农业、生活等</w:t>
            </w:r>
            <w:r>
              <w:rPr>
                <w:sz w:val="21"/>
                <w:szCs w:val="21"/>
                <w:spacing w:val="15"/>
              </w:rPr>
              <w:t xml:space="preserve"> </w:t>
            </w:r>
            <w:r>
              <w:rPr>
                <w:sz w:val="21"/>
                <w:szCs w:val="21"/>
                <w:spacing w:val="-1"/>
              </w:rPr>
              <w:t>领域污染治理。</w:t>
            </w:r>
          </w:p>
        </w:tc>
        <w:tc>
          <w:tcPr>
            <w:tcW w:w="3361" w:type="dxa"/>
            <w:vAlign w:val="top"/>
            <w:vMerge w:val="continue"/>
            <w:tcBorders>
              <w:top w:val="nil"/>
            </w:tcBorders>
          </w:tcPr>
          <w:p>
            <w:pPr>
              <w:rPr>
                <w:rFonts w:ascii="Arial"/>
                <w:sz w:val="21"/>
              </w:rPr>
            </w:pPr>
            <w:r/>
          </w:p>
        </w:tc>
      </w:tr>
      <w:tr>
        <w:trPr>
          <w:trHeight w:val="3537" w:hRule="atLeast"/>
        </w:trPr>
        <w:tc>
          <w:tcPr>
            <w:tcW w:w="964" w:type="dxa"/>
            <w:vAlign w:val="top"/>
          </w:tcPr>
          <w:p>
            <w:pPr>
              <w:spacing w:line="299" w:lineRule="auto"/>
              <w:rPr>
                <w:rFonts w:ascii="Arial"/>
                <w:sz w:val="21"/>
              </w:rPr>
            </w:pPr>
            <w:r/>
          </w:p>
          <w:p>
            <w:pPr>
              <w:spacing w:line="299" w:lineRule="auto"/>
              <w:rPr>
                <w:rFonts w:ascii="Arial"/>
                <w:sz w:val="21"/>
              </w:rPr>
            </w:pPr>
            <w:r/>
          </w:p>
          <w:p>
            <w:pPr>
              <w:spacing w:line="300" w:lineRule="auto"/>
              <w:rPr>
                <w:rFonts w:ascii="Arial"/>
                <w:sz w:val="21"/>
              </w:rPr>
            </w:pPr>
            <w:r/>
          </w:p>
          <w:p>
            <w:pPr>
              <w:spacing w:line="300" w:lineRule="auto"/>
              <w:rPr>
                <w:rFonts w:ascii="Arial"/>
                <w:sz w:val="21"/>
              </w:rPr>
            </w:pPr>
            <w:r/>
          </w:p>
          <w:p>
            <w:pPr>
              <w:pStyle w:val="TableText"/>
              <w:ind w:left="55"/>
              <w:spacing w:before="68" w:line="219" w:lineRule="auto"/>
              <w:rPr>
                <w:sz w:val="21"/>
                <w:szCs w:val="21"/>
              </w:rPr>
            </w:pPr>
            <w:r>
              <w:rPr>
                <w:sz w:val="21"/>
                <w:szCs w:val="21"/>
                <w:spacing w:val="4"/>
              </w:rPr>
              <w:t>绵阳市总</w:t>
            </w:r>
          </w:p>
          <w:p>
            <w:pPr>
              <w:pStyle w:val="TableText"/>
              <w:ind w:left="55"/>
              <w:spacing w:before="21" w:line="221" w:lineRule="auto"/>
              <w:rPr>
                <w:sz w:val="21"/>
                <w:szCs w:val="21"/>
              </w:rPr>
            </w:pPr>
            <w:r>
              <w:rPr>
                <w:sz w:val="21"/>
                <w:szCs w:val="21"/>
                <w:spacing w:val="-2"/>
              </w:rPr>
              <w:t>体生态环</w:t>
            </w:r>
          </w:p>
          <w:p>
            <w:pPr>
              <w:pStyle w:val="TableText"/>
              <w:ind w:left="55"/>
              <w:spacing w:before="17" w:line="219" w:lineRule="auto"/>
              <w:rPr>
                <w:sz w:val="21"/>
                <w:szCs w:val="21"/>
              </w:rPr>
            </w:pPr>
            <w:r>
              <w:rPr>
                <w:sz w:val="21"/>
                <w:szCs w:val="21"/>
                <w:spacing w:val="-2"/>
              </w:rPr>
              <w:t>境管控要</w:t>
            </w:r>
          </w:p>
          <w:p>
            <w:pPr>
              <w:pStyle w:val="TableText"/>
              <w:ind w:left="365"/>
              <w:spacing w:before="31" w:line="221" w:lineRule="auto"/>
              <w:rPr>
                <w:sz w:val="21"/>
                <w:szCs w:val="21"/>
              </w:rPr>
            </w:pPr>
            <w:r>
              <w:rPr>
                <w:sz w:val="21"/>
                <w:szCs w:val="21"/>
              </w:rPr>
              <w:t>求</w:t>
            </w:r>
          </w:p>
        </w:tc>
        <w:tc>
          <w:tcPr>
            <w:tcW w:w="4385" w:type="dxa"/>
            <w:vAlign w:val="top"/>
          </w:tcPr>
          <w:p>
            <w:pPr>
              <w:pStyle w:val="TableText"/>
              <w:ind w:left="11" w:right="145" w:firstLine="69"/>
              <w:spacing w:before="52" w:line="234" w:lineRule="auto"/>
              <w:rPr>
                <w:sz w:val="21"/>
                <w:szCs w:val="21"/>
              </w:rPr>
            </w:pPr>
            <w:r>
              <w:rPr>
                <w:sz w:val="21"/>
                <w:szCs w:val="21"/>
              </w:rPr>
              <w:t>(1)电子信息行业引入严格执行其行业资源环</w:t>
            </w:r>
            <w:r>
              <w:rPr>
                <w:sz w:val="21"/>
                <w:szCs w:val="21"/>
                <w:spacing w:val="4"/>
              </w:rPr>
              <w:t xml:space="preserve"> </w:t>
            </w:r>
            <w:r>
              <w:rPr>
                <w:sz w:val="21"/>
                <w:szCs w:val="21"/>
              </w:rPr>
              <w:t>境绩效指标准入要求。统筹城区发展与园区的</w:t>
            </w:r>
            <w:r>
              <w:rPr>
                <w:sz w:val="21"/>
                <w:szCs w:val="21"/>
                <w:spacing w:val="15"/>
              </w:rPr>
              <w:t xml:space="preserve"> </w:t>
            </w:r>
            <w:r>
              <w:rPr>
                <w:sz w:val="21"/>
                <w:szCs w:val="21"/>
              </w:rPr>
              <w:t>关系，优化园区布局，严控城市上风向引入大</w:t>
            </w:r>
            <w:r>
              <w:rPr>
                <w:sz w:val="21"/>
                <w:szCs w:val="21"/>
                <w:spacing w:val="8"/>
              </w:rPr>
              <w:t xml:space="preserve"> </w:t>
            </w:r>
            <w:r>
              <w:rPr>
                <w:sz w:val="21"/>
                <w:szCs w:val="21"/>
              </w:rPr>
              <w:t>气污染物排放量大的企业，推进城区以及布局</w:t>
            </w:r>
            <w:r>
              <w:rPr>
                <w:sz w:val="21"/>
                <w:szCs w:val="21"/>
                <w:spacing w:val="17"/>
              </w:rPr>
              <w:t xml:space="preserve"> </w:t>
            </w:r>
            <w:r>
              <w:rPr>
                <w:sz w:val="21"/>
                <w:szCs w:val="21"/>
                <w:spacing w:val="-1"/>
              </w:rPr>
              <w:t>不合理的高污染、高能耗企业退城入园。</w:t>
            </w:r>
          </w:p>
          <w:p>
            <w:pPr>
              <w:pStyle w:val="TableText"/>
              <w:ind w:left="11"/>
              <w:spacing w:before="40" w:line="219" w:lineRule="auto"/>
              <w:rPr>
                <w:sz w:val="21"/>
                <w:szCs w:val="21"/>
              </w:rPr>
            </w:pPr>
            <w:r>
              <w:rPr>
                <w:sz w:val="21"/>
                <w:szCs w:val="21"/>
                <w:spacing w:val="5"/>
              </w:rPr>
              <w:t>(2)新建、改建、扩建增加重点重金属(</w:t>
            </w:r>
            <w:r>
              <w:rPr>
                <w:sz w:val="21"/>
                <w:szCs w:val="21"/>
                <w:spacing w:val="4"/>
              </w:rPr>
              <w:t>汞、</w:t>
            </w:r>
          </w:p>
          <w:p>
            <w:pPr>
              <w:pStyle w:val="TableText"/>
              <w:ind w:left="11" w:right="275"/>
              <w:spacing w:before="11" w:line="228" w:lineRule="auto"/>
              <w:rPr>
                <w:sz w:val="21"/>
                <w:szCs w:val="21"/>
              </w:rPr>
            </w:pPr>
            <w:r>
              <w:rPr>
                <w:sz w:val="21"/>
                <w:szCs w:val="21"/>
                <w:spacing w:val="-1"/>
              </w:rPr>
              <w:t>镉、铬、铅、砷)污染物排放的建设项目需满</w:t>
            </w:r>
            <w:r>
              <w:rPr>
                <w:sz w:val="21"/>
                <w:szCs w:val="21"/>
                <w:spacing w:val="12"/>
              </w:rPr>
              <w:t xml:space="preserve"> </w:t>
            </w:r>
            <w:r>
              <w:rPr>
                <w:sz w:val="21"/>
                <w:szCs w:val="21"/>
              </w:rPr>
              <w:t>足区域重点重金属总量管控要求，对电子信</w:t>
            </w:r>
          </w:p>
          <w:p>
            <w:pPr>
              <w:pStyle w:val="TableText"/>
              <w:ind w:left="11" w:right="154"/>
              <w:spacing w:before="21" w:line="228" w:lineRule="auto"/>
              <w:rPr>
                <w:sz w:val="21"/>
                <w:szCs w:val="21"/>
              </w:rPr>
            </w:pPr>
            <w:r>
              <w:rPr>
                <w:sz w:val="21"/>
                <w:szCs w:val="21"/>
              </w:rPr>
              <w:t>息、化工等涉重企业重点重金属执行严格的准</w:t>
            </w:r>
            <w:r>
              <w:rPr>
                <w:sz w:val="21"/>
                <w:szCs w:val="21"/>
                <w:spacing w:val="8"/>
              </w:rPr>
              <w:t xml:space="preserve"> </w:t>
            </w:r>
            <w:r>
              <w:rPr>
                <w:sz w:val="21"/>
                <w:szCs w:val="21"/>
                <w:spacing w:val="-1"/>
              </w:rPr>
              <w:t>入条件，严控环境风险。</w:t>
            </w:r>
          </w:p>
          <w:p>
            <w:pPr>
              <w:pStyle w:val="TableText"/>
              <w:ind w:left="11" w:right="151" w:firstLine="59"/>
              <w:spacing w:before="29" w:line="221" w:lineRule="auto"/>
              <w:rPr>
                <w:sz w:val="21"/>
                <w:szCs w:val="21"/>
              </w:rPr>
            </w:pPr>
            <w:r>
              <w:rPr>
                <w:sz w:val="21"/>
                <w:szCs w:val="21"/>
              </w:rPr>
              <w:t>(3)严格控制高污染、高能耗项目；严格执行</w:t>
            </w:r>
            <w:r>
              <w:rPr>
                <w:sz w:val="21"/>
                <w:szCs w:val="21"/>
                <w:spacing w:val="4"/>
              </w:rPr>
              <w:t xml:space="preserve"> </w:t>
            </w:r>
            <w:r>
              <w:rPr>
                <w:sz w:val="21"/>
                <w:szCs w:val="21"/>
              </w:rPr>
              <w:t>能源消费总量和强度双控制度，严格执行煤炭</w:t>
            </w:r>
            <w:r>
              <w:rPr>
                <w:sz w:val="21"/>
                <w:szCs w:val="21"/>
                <w:spacing w:val="11"/>
              </w:rPr>
              <w:t xml:space="preserve"> </w:t>
            </w:r>
            <w:r>
              <w:rPr>
                <w:sz w:val="21"/>
                <w:szCs w:val="21"/>
                <w:spacing w:val="-1"/>
              </w:rPr>
              <w:t>消费总量控制要求。</w:t>
            </w:r>
          </w:p>
        </w:tc>
        <w:tc>
          <w:tcPr>
            <w:tcW w:w="3361" w:type="dxa"/>
            <w:vAlign w:val="top"/>
          </w:tcPr>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pStyle w:val="TableText"/>
              <w:ind w:left="15" w:right="79"/>
              <w:spacing w:before="69" w:line="239" w:lineRule="auto"/>
              <w:rPr>
                <w:sz w:val="21"/>
                <w:szCs w:val="21"/>
              </w:rPr>
            </w:pPr>
            <w:r>
              <w:rPr>
                <w:sz w:val="21"/>
                <w:szCs w:val="21"/>
              </w:rPr>
              <w:t>本项目为“C1351牲畜屠宰”项目， </w:t>
            </w:r>
            <w:r>
              <w:rPr>
                <w:sz w:val="21"/>
                <w:szCs w:val="21"/>
                <w:spacing w:val="-1"/>
              </w:rPr>
              <w:t>位于四川绵阳安州工业园区内，不</w:t>
            </w:r>
            <w:r>
              <w:rPr>
                <w:sz w:val="21"/>
                <w:szCs w:val="21"/>
                <w:spacing w:val="2"/>
              </w:rPr>
              <w:t xml:space="preserve">  </w:t>
            </w:r>
            <w:r>
              <w:rPr>
                <w:sz w:val="21"/>
                <w:szCs w:val="21"/>
                <w:spacing w:val="-1"/>
              </w:rPr>
              <w:t>在绵阳市城区主导风向的上风向，</w:t>
            </w:r>
            <w:r>
              <w:rPr>
                <w:sz w:val="21"/>
                <w:szCs w:val="21"/>
                <w:spacing w:val="4"/>
              </w:rPr>
              <w:t xml:space="preserve">  </w:t>
            </w:r>
            <w:r>
              <w:rPr>
                <w:sz w:val="21"/>
                <w:szCs w:val="21"/>
                <w:spacing w:val="-1"/>
              </w:rPr>
              <w:t>污染物经治理后对环境影响较小，</w:t>
            </w:r>
            <w:r>
              <w:rPr>
                <w:sz w:val="21"/>
                <w:szCs w:val="21"/>
                <w:spacing w:val="4"/>
              </w:rPr>
              <w:t xml:space="preserve">  </w:t>
            </w:r>
            <w:r>
              <w:rPr>
                <w:sz w:val="21"/>
                <w:szCs w:val="21"/>
              </w:rPr>
              <w:t>不属于高污染、高能耗、涉重企</w:t>
            </w:r>
          </w:p>
          <w:p>
            <w:pPr>
              <w:pStyle w:val="TableText"/>
              <w:ind w:left="15" w:right="192"/>
              <w:spacing w:before="1" w:line="250" w:lineRule="auto"/>
              <w:rPr>
                <w:sz w:val="21"/>
                <w:szCs w:val="21"/>
              </w:rPr>
            </w:pPr>
            <w:r>
              <w:rPr>
                <w:sz w:val="21"/>
                <w:szCs w:val="21"/>
                <w:spacing w:val="-1"/>
              </w:rPr>
              <w:t>业，符合绵阳市总体生态环境管控</w:t>
            </w:r>
            <w:r>
              <w:rPr>
                <w:sz w:val="21"/>
                <w:szCs w:val="21"/>
                <w:spacing w:val="6"/>
              </w:rPr>
              <w:t xml:space="preserve"> </w:t>
            </w:r>
            <w:r>
              <w:rPr>
                <w:sz w:val="21"/>
                <w:szCs w:val="21"/>
                <w:spacing w:val="-2"/>
              </w:rPr>
              <w:t>要求。</w:t>
            </w:r>
          </w:p>
        </w:tc>
      </w:tr>
      <w:tr>
        <w:trPr>
          <w:trHeight w:val="4102" w:hRule="atLeast"/>
        </w:trPr>
        <w:tc>
          <w:tcPr>
            <w:tcW w:w="964" w:type="dxa"/>
            <w:vAlign w:val="top"/>
          </w:tcPr>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155"/>
              <w:spacing w:before="68" w:line="219" w:lineRule="auto"/>
              <w:rPr>
                <w:sz w:val="21"/>
                <w:szCs w:val="21"/>
              </w:rPr>
            </w:pPr>
            <w:r>
              <w:rPr>
                <w:sz w:val="21"/>
                <w:szCs w:val="21"/>
                <w:spacing w:val="5"/>
              </w:rPr>
              <w:t>安州区</w:t>
            </w:r>
          </w:p>
        </w:tc>
        <w:tc>
          <w:tcPr>
            <w:tcW w:w="4385" w:type="dxa"/>
            <w:vAlign w:val="top"/>
          </w:tcPr>
          <w:p>
            <w:pPr>
              <w:pStyle w:val="TableText"/>
              <w:ind w:left="11" w:right="180" w:firstLine="79"/>
              <w:spacing w:before="67" w:line="223" w:lineRule="auto"/>
              <w:rPr>
                <w:sz w:val="21"/>
                <w:szCs w:val="21"/>
              </w:rPr>
            </w:pPr>
            <w:r>
              <w:rPr>
                <w:sz w:val="21"/>
                <w:szCs w:val="21"/>
              </w:rPr>
              <w:t>(1)优化产业结构，推动磷化工行业转型升级</w:t>
            </w:r>
            <w:r>
              <w:rPr>
                <w:sz w:val="21"/>
                <w:szCs w:val="21"/>
                <w:spacing w:val="7"/>
              </w:rPr>
              <w:t xml:space="preserve"> </w:t>
            </w:r>
            <w:r>
              <w:rPr>
                <w:sz w:val="21"/>
                <w:szCs w:val="21"/>
                <w:spacing w:val="-1"/>
              </w:rPr>
              <w:t>改造，加强磷石膏堆场综合整治。</w:t>
            </w:r>
          </w:p>
          <w:p>
            <w:pPr>
              <w:pStyle w:val="TableText"/>
              <w:ind w:left="11" w:right="154" w:firstLine="79"/>
              <w:spacing w:before="29" w:line="233" w:lineRule="auto"/>
              <w:rPr>
                <w:sz w:val="21"/>
                <w:szCs w:val="21"/>
              </w:rPr>
            </w:pPr>
            <w:r>
              <w:rPr>
                <w:sz w:val="21"/>
                <w:szCs w:val="21"/>
              </w:rPr>
              <w:t>(2)加强安昌河、凯江流域综合治理，加快推</w:t>
            </w:r>
            <w:r>
              <w:rPr>
                <w:sz w:val="21"/>
                <w:szCs w:val="21"/>
                <w:spacing w:val="3"/>
              </w:rPr>
              <w:t xml:space="preserve"> </w:t>
            </w:r>
            <w:r>
              <w:rPr>
                <w:sz w:val="21"/>
                <w:szCs w:val="21"/>
                <w:spacing w:val="-1"/>
              </w:rPr>
              <w:t>进干河子生态环境修复工程；严控干河子流域</w:t>
            </w:r>
            <w:r>
              <w:rPr>
                <w:sz w:val="21"/>
                <w:szCs w:val="21"/>
                <w:spacing w:val="12"/>
              </w:rPr>
              <w:t xml:space="preserve"> </w:t>
            </w:r>
            <w:r>
              <w:rPr>
                <w:sz w:val="21"/>
                <w:szCs w:val="21"/>
              </w:rPr>
              <w:t>总磷排放量；推进城镇污水管网全覆盖，提高</w:t>
            </w:r>
            <w:r>
              <w:rPr>
                <w:sz w:val="21"/>
                <w:szCs w:val="21"/>
                <w:spacing w:val="7"/>
              </w:rPr>
              <w:t xml:space="preserve"> </w:t>
            </w:r>
            <w:r>
              <w:rPr>
                <w:sz w:val="21"/>
                <w:szCs w:val="21"/>
                <w:spacing w:val="-1"/>
              </w:rPr>
              <w:t>农村生活污水收集处理率。</w:t>
            </w:r>
          </w:p>
          <w:p>
            <w:pPr>
              <w:pStyle w:val="TableText"/>
              <w:ind w:left="11" w:right="147" w:firstLine="59"/>
              <w:spacing w:before="24" w:line="239" w:lineRule="auto"/>
              <w:rPr>
                <w:sz w:val="21"/>
                <w:szCs w:val="21"/>
              </w:rPr>
            </w:pPr>
            <w:r>
              <w:rPr>
                <w:sz w:val="21"/>
                <w:szCs w:val="21"/>
              </w:rPr>
              <w:t>(3)加强区域大气污染治理，推动磷化工等重</w:t>
            </w:r>
            <w:r>
              <w:rPr>
                <w:sz w:val="21"/>
                <w:szCs w:val="21"/>
                <w:spacing w:val="3"/>
              </w:rPr>
              <w:t xml:space="preserve"> </w:t>
            </w:r>
            <w:r>
              <w:rPr>
                <w:sz w:val="21"/>
                <w:szCs w:val="21"/>
              </w:rPr>
              <w:t>点行业深度治理改造。推进绿色矿山建设，加</w:t>
            </w:r>
            <w:r>
              <w:rPr>
                <w:sz w:val="21"/>
                <w:szCs w:val="21"/>
                <w:spacing w:val="15"/>
              </w:rPr>
              <w:t xml:space="preserve"> </w:t>
            </w:r>
            <w:r>
              <w:rPr>
                <w:sz w:val="21"/>
                <w:szCs w:val="21"/>
              </w:rPr>
              <w:t>大矿山植被恢复和地质环境综合治理，强化历</w:t>
            </w:r>
            <w:r>
              <w:rPr>
                <w:sz w:val="21"/>
                <w:szCs w:val="21"/>
                <w:spacing w:val="12"/>
              </w:rPr>
              <w:t xml:space="preserve"> </w:t>
            </w:r>
            <w:r>
              <w:rPr>
                <w:sz w:val="21"/>
                <w:szCs w:val="21"/>
                <w:spacing w:val="-1"/>
              </w:rPr>
              <w:t>史遗留矿山地质环境恢复和综合治理。</w:t>
            </w:r>
          </w:p>
          <w:p>
            <w:pPr>
              <w:pStyle w:val="TableText"/>
              <w:ind w:left="11" w:right="138" w:firstLine="39"/>
              <w:spacing w:before="11" w:line="234" w:lineRule="auto"/>
              <w:rPr>
                <w:sz w:val="21"/>
                <w:szCs w:val="21"/>
              </w:rPr>
            </w:pPr>
            <w:r>
              <w:rPr>
                <w:sz w:val="21"/>
                <w:szCs w:val="21"/>
              </w:rPr>
              <w:t>(4)加强土壤重金属污染防控，严格工业企业  </w:t>
            </w:r>
            <w:r>
              <w:rPr>
                <w:sz w:val="21"/>
                <w:szCs w:val="21"/>
                <w:spacing w:val="1"/>
              </w:rPr>
              <w:t>地下水和土壤污染防治，严控化肥、农药使用</w:t>
            </w:r>
            <w:r>
              <w:rPr>
                <w:sz w:val="21"/>
                <w:szCs w:val="21"/>
                <w:spacing w:val="4"/>
              </w:rPr>
              <w:t xml:space="preserve"> </w:t>
            </w:r>
            <w:r>
              <w:rPr>
                <w:sz w:val="21"/>
                <w:szCs w:val="21"/>
              </w:rPr>
              <w:t>量，积极推广畜禽清洁养殖和畜禽粪污无害</w:t>
            </w:r>
          </w:p>
          <w:p>
            <w:pPr>
              <w:pStyle w:val="TableText"/>
              <w:ind w:left="11" w:right="145"/>
              <w:spacing w:before="10" w:line="218" w:lineRule="auto"/>
              <w:rPr>
                <w:sz w:val="21"/>
                <w:szCs w:val="21"/>
              </w:rPr>
            </w:pPr>
            <w:r>
              <w:rPr>
                <w:sz w:val="21"/>
                <w:szCs w:val="21"/>
              </w:rPr>
              <w:t>化、资源化利用技术，强化农用地土壤重金属</w:t>
            </w:r>
            <w:r>
              <w:rPr>
                <w:sz w:val="21"/>
                <w:szCs w:val="21"/>
                <w:spacing w:val="16"/>
              </w:rPr>
              <w:t xml:space="preserve"> </w:t>
            </w:r>
            <w:r>
              <w:rPr>
                <w:sz w:val="21"/>
                <w:szCs w:val="21"/>
                <w:spacing w:val="-1"/>
              </w:rPr>
              <w:t>污染防治。</w:t>
            </w:r>
          </w:p>
        </w:tc>
        <w:tc>
          <w:tcPr>
            <w:tcW w:w="3361" w:type="dxa"/>
            <w:vAlign w:val="top"/>
          </w:tcPr>
          <w:p>
            <w:pPr>
              <w:pStyle w:val="TableText"/>
              <w:ind w:left="15" w:right="79"/>
              <w:spacing w:before="67" w:line="234" w:lineRule="auto"/>
              <w:rPr>
                <w:sz w:val="21"/>
                <w:szCs w:val="21"/>
              </w:rPr>
            </w:pPr>
            <w:r>
              <w:rPr>
                <w:sz w:val="21"/>
                <w:szCs w:val="21"/>
              </w:rPr>
              <w:t>本项目为“C1351牲畜屠宰”项目， </w:t>
            </w:r>
            <w:r>
              <w:rPr>
                <w:sz w:val="21"/>
                <w:szCs w:val="21"/>
              </w:rPr>
              <w:t>不属于磷化工行业；距离安昌河最</w:t>
            </w:r>
            <w:r>
              <w:rPr>
                <w:sz w:val="21"/>
                <w:szCs w:val="21"/>
                <w:spacing w:val="4"/>
              </w:rPr>
              <w:t xml:space="preserve">  </w:t>
            </w:r>
            <w:r>
              <w:rPr>
                <w:sz w:val="21"/>
                <w:szCs w:val="21"/>
                <w:spacing w:val="-1"/>
              </w:rPr>
              <w:t>近距离为3000m,项目所在地污水</w:t>
            </w:r>
          </w:p>
          <w:p>
            <w:pPr>
              <w:pStyle w:val="TableText"/>
              <w:ind w:left="15" w:right="144"/>
              <w:spacing w:before="5"/>
              <w:rPr>
                <w:sz w:val="21"/>
                <w:szCs w:val="21"/>
              </w:rPr>
            </w:pPr>
            <w:r>
              <w:rPr>
                <w:sz w:val="21"/>
                <w:szCs w:val="21"/>
              </w:rPr>
              <w:t>管网已覆盖，已接通至安州区第三</w:t>
            </w:r>
            <w:r>
              <w:rPr>
                <w:sz w:val="21"/>
                <w:szCs w:val="21"/>
                <w:spacing w:val="7"/>
              </w:rPr>
              <w:t xml:space="preserve"> </w:t>
            </w:r>
            <w:r>
              <w:rPr>
                <w:sz w:val="21"/>
                <w:szCs w:val="21"/>
                <w:spacing w:val="1"/>
              </w:rPr>
              <w:t>污水处理厂；不属于磷化工等重点</w:t>
            </w:r>
            <w:r>
              <w:rPr>
                <w:sz w:val="21"/>
                <w:szCs w:val="21"/>
                <w:spacing w:val="2"/>
              </w:rPr>
              <w:t xml:space="preserve"> </w:t>
            </w:r>
            <w:r>
              <w:rPr>
                <w:sz w:val="21"/>
                <w:szCs w:val="21"/>
                <w:spacing w:val="2"/>
              </w:rPr>
              <w:t>行业，不属于矿山建设项目，项目</w:t>
            </w:r>
            <w:r>
              <w:rPr>
                <w:sz w:val="21"/>
                <w:szCs w:val="21"/>
                <w:spacing w:val="9"/>
              </w:rPr>
              <w:t xml:space="preserve"> </w:t>
            </w:r>
            <w:r>
              <w:rPr>
                <w:sz w:val="21"/>
                <w:szCs w:val="21"/>
                <w:spacing w:val="-1"/>
              </w:rPr>
              <w:t>各类废气处理设施均完善，废气排</w:t>
            </w:r>
            <w:r>
              <w:rPr>
                <w:sz w:val="21"/>
                <w:szCs w:val="21"/>
                <w:spacing w:val="3"/>
              </w:rPr>
              <w:t xml:space="preserve"> </w:t>
            </w:r>
            <w:r>
              <w:rPr>
                <w:sz w:val="21"/>
                <w:szCs w:val="21"/>
                <w:spacing w:val="-1"/>
              </w:rPr>
              <w:t>放均能达到相应标准；不涉及化</w:t>
            </w:r>
          </w:p>
          <w:p>
            <w:pPr>
              <w:pStyle w:val="TableText"/>
              <w:ind w:left="15" w:right="171"/>
              <w:spacing w:before="1" w:line="237" w:lineRule="auto"/>
              <w:rPr>
                <w:sz w:val="21"/>
                <w:szCs w:val="21"/>
              </w:rPr>
            </w:pPr>
            <w:r>
              <w:rPr>
                <w:sz w:val="21"/>
                <w:szCs w:val="21"/>
              </w:rPr>
              <w:t>肥、农药、农用地使用，对可能产</w:t>
            </w:r>
            <w:r>
              <w:rPr>
                <w:sz w:val="21"/>
                <w:szCs w:val="21"/>
                <w:spacing w:val="12"/>
              </w:rPr>
              <w:t xml:space="preserve"> </w:t>
            </w:r>
            <w:r>
              <w:rPr>
                <w:sz w:val="21"/>
                <w:szCs w:val="21"/>
              </w:rPr>
              <w:t>生地下水、土壤影响的各项途径均</w:t>
            </w:r>
            <w:r>
              <w:rPr>
                <w:sz w:val="21"/>
                <w:szCs w:val="21"/>
                <w:spacing w:val="12"/>
              </w:rPr>
              <w:t xml:space="preserve"> </w:t>
            </w:r>
            <w:r>
              <w:rPr>
                <w:sz w:val="21"/>
                <w:szCs w:val="21"/>
                <w:spacing w:val="-1"/>
              </w:rPr>
              <w:t>进行有效预防，全厂进行分区防</w:t>
            </w:r>
          </w:p>
          <w:p>
            <w:pPr>
              <w:pStyle w:val="TableText"/>
              <w:ind w:left="15"/>
              <w:spacing w:line="219" w:lineRule="auto"/>
              <w:rPr>
                <w:sz w:val="21"/>
                <w:szCs w:val="21"/>
              </w:rPr>
            </w:pPr>
            <w:r>
              <w:rPr>
                <w:sz w:val="21"/>
                <w:szCs w:val="21"/>
                <w:spacing w:val="-1"/>
              </w:rPr>
              <w:t>渗，在确保各项防渗措施得以落</w:t>
            </w:r>
          </w:p>
          <w:p>
            <w:pPr>
              <w:pStyle w:val="TableText"/>
              <w:ind w:left="15" w:right="175"/>
              <w:spacing w:before="28" w:line="225" w:lineRule="auto"/>
              <w:rPr>
                <w:sz w:val="21"/>
                <w:szCs w:val="21"/>
              </w:rPr>
            </w:pPr>
            <w:r>
              <w:rPr>
                <w:sz w:val="21"/>
                <w:szCs w:val="21"/>
              </w:rPr>
              <w:t>实，并加强环境管理的前提下，本</w:t>
            </w:r>
            <w:r>
              <w:rPr>
                <w:sz w:val="21"/>
                <w:szCs w:val="21"/>
                <w:spacing w:val="9"/>
              </w:rPr>
              <w:t xml:space="preserve"> </w:t>
            </w:r>
            <w:r>
              <w:rPr>
                <w:sz w:val="21"/>
                <w:szCs w:val="21"/>
              </w:rPr>
              <w:t>项目对区域地下水、土壤环境产生</w:t>
            </w:r>
            <w:r>
              <w:rPr>
                <w:sz w:val="21"/>
                <w:szCs w:val="21"/>
                <w:spacing w:val="9"/>
              </w:rPr>
              <w:t xml:space="preserve"> </w:t>
            </w:r>
            <w:r>
              <w:rPr>
                <w:sz w:val="21"/>
                <w:szCs w:val="21"/>
                <w:spacing w:val="-1"/>
              </w:rPr>
              <w:t>的影响较小。</w:t>
            </w:r>
          </w:p>
        </w:tc>
      </w:tr>
    </w:tbl>
    <w:p>
      <w:pPr>
        <w:ind w:left="715"/>
        <w:spacing w:before="73" w:line="219" w:lineRule="auto"/>
        <w:rPr>
          <w:rFonts w:ascii="SimSun" w:hAnsi="SimSun" w:eastAsia="SimSun" w:cs="SimSun"/>
          <w:sz w:val="23"/>
          <w:szCs w:val="23"/>
        </w:rPr>
      </w:pPr>
      <w:r>
        <w:rPr>
          <w:rFonts w:ascii="SimSun" w:hAnsi="SimSun" w:eastAsia="SimSun" w:cs="SimSun"/>
          <w:sz w:val="23"/>
          <w:szCs w:val="23"/>
          <w:spacing w:val="-1"/>
        </w:rPr>
        <w:t>绵阳市生态环境管控单元分布图如下。</w:t>
      </w:r>
    </w:p>
    <w:p>
      <w:pPr>
        <w:spacing w:line="219" w:lineRule="auto"/>
        <w:sectPr>
          <w:headerReference w:type="default" r:id="rId88"/>
          <w:footerReference w:type="default" r:id="rId89"/>
          <w:pgSz w:w="11910" w:h="16840"/>
          <w:pgMar w:top="1210" w:right="1625" w:bottom="991" w:left="1564" w:header="902" w:footer="732" w:gutter="0"/>
        </w:sectPr>
        <w:rPr>
          <w:rFonts w:ascii="SimSun" w:hAnsi="SimSun" w:eastAsia="SimSun" w:cs="SimSun"/>
          <w:sz w:val="23"/>
          <w:szCs w:val="23"/>
        </w:rPr>
      </w:pPr>
    </w:p>
    <w:p>
      <w:pPr>
        <w:ind w:firstLine="513"/>
        <w:spacing w:before="229" w:line="5070" w:lineRule="exact"/>
        <w:rPr/>
      </w:pPr>
      <w:r>
        <w:rPr>
          <w:position w:val="-101"/>
        </w:rPr>
        <w:drawing>
          <wp:inline distT="0" distB="0" distL="0" distR="0">
            <wp:extent cx="4591027" cy="3219354"/>
            <wp:effectExtent l="0" t="0" r="0" b="0"/>
            <wp:docPr id="14" name="IM 14"/>
            <wp:cNvGraphicFramePr/>
            <a:graphic>
              <a:graphicData uri="http://schemas.openxmlformats.org/drawingml/2006/picture">
                <pic:pic>
                  <pic:nvPicPr>
                    <pic:cNvPr id="14" name="IM 14"/>
                    <pic:cNvPicPr/>
                  </pic:nvPicPr>
                  <pic:blipFill>
                    <a:blip r:embed="rId92"/>
                    <a:stretch>
                      <a:fillRect/>
                    </a:stretch>
                  </pic:blipFill>
                  <pic:spPr>
                    <a:xfrm rot="0">
                      <a:off x="0" y="0"/>
                      <a:ext cx="4591027" cy="3219354"/>
                    </a:xfrm>
                    <a:prstGeom prst="rect">
                      <a:avLst/>
                    </a:prstGeom>
                  </pic:spPr>
                </pic:pic>
              </a:graphicData>
            </a:graphic>
          </wp:inline>
        </w:drawing>
      </w:r>
    </w:p>
    <w:p>
      <w:pPr>
        <w:ind w:left="2056"/>
        <w:spacing w:before="5" w:line="219" w:lineRule="auto"/>
        <w:rPr>
          <w:rFonts w:ascii="SimSun" w:hAnsi="SimSun" w:eastAsia="SimSun" w:cs="SimSun"/>
          <w:sz w:val="24"/>
          <w:szCs w:val="24"/>
        </w:rPr>
      </w:pPr>
      <w:r>
        <w:rPr>
          <w:rFonts w:ascii="SimSun" w:hAnsi="SimSun" w:eastAsia="SimSun" w:cs="SimSun"/>
          <w:sz w:val="24"/>
          <w:szCs w:val="24"/>
          <w:b/>
          <w:bCs/>
          <w:spacing w:val="-2"/>
        </w:rPr>
        <w:t>图1.5-3绵阳市生态环境管控单元分布图</w:t>
      </w:r>
    </w:p>
    <w:p>
      <w:pPr>
        <w:ind w:left="43"/>
        <w:spacing w:before="87" w:line="219" w:lineRule="auto"/>
        <w:rPr>
          <w:rFonts w:ascii="SimSun" w:hAnsi="SimSun" w:eastAsia="SimSun" w:cs="SimSun"/>
          <w:sz w:val="27"/>
          <w:szCs w:val="27"/>
        </w:rPr>
      </w:pPr>
      <w:r>
        <w:rPr>
          <w:rFonts w:ascii="Times New Roman" w:hAnsi="Times New Roman" w:eastAsia="Times New Roman" w:cs="Times New Roman"/>
          <w:sz w:val="27"/>
          <w:szCs w:val="27"/>
          <w:spacing w:val="2"/>
        </w:rPr>
        <w:t>1.5</w:t>
      </w:r>
      <w:r>
        <w:rPr>
          <w:rFonts w:ascii="SimSun" w:hAnsi="SimSun" w:eastAsia="SimSun" w:cs="SimSun"/>
          <w:sz w:val="27"/>
          <w:szCs w:val="27"/>
          <w:b/>
          <w:bCs/>
          <w:spacing w:val="2"/>
        </w:rPr>
        <w:t>.4与生态环境准入清单符合性分析</w:t>
      </w:r>
    </w:p>
    <w:p>
      <w:pPr>
        <w:ind w:left="3" w:right="93" w:firstLine="480"/>
        <w:spacing w:before="179" w:line="339" w:lineRule="auto"/>
        <w:jc w:val="both"/>
        <w:rPr>
          <w:rFonts w:ascii="SimSun" w:hAnsi="SimSun" w:eastAsia="SimSun" w:cs="SimSun"/>
          <w:sz w:val="24"/>
          <w:szCs w:val="24"/>
        </w:rPr>
      </w:pPr>
      <w:r>
        <w:rPr>
          <w:rFonts w:ascii="SimSun" w:hAnsi="SimSun" w:eastAsia="SimSun" w:cs="SimSun"/>
          <w:sz w:val="24"/>
          <w:szCs w:val="24"/>
          <w:spacing w:val="2"/>
        </w:rPr>
        <w:t>绵阳柒鑫食品有限公司</w:t>
      </w:r>
      <w:r>
        <w:rPr>
          <w:rFonts w:ascii="Times New Roman" w:hAnsi="Times New Roman" w:eastAsia="Times New Roman" w:cs="Times New Roman"/>
          <w:sz w:val="24"/>
          <w:szCs w:val="24"/>
          <w:spacing w:val="2"/>
        </w:rPr>
        <w:t>A</w:t>
      </w:r>
      <w:r>
        <w:rPr>
          <w:rFonts w:ascii="Times New Roman" w:hAnsi="Times New Roman" w:eastAsia="Times New Roman" w:cs="Times New Roman"/>
          <w:sz w:val="24"/>
          <w:szCs w:val="24"/>
          <w:spacing w:val="-12"/>
        </w:rPr>
        <w:t xml:space="preserve"> </w:t>
      </w:r>
      <w:r>
        <w:rPr>
          <w:rFonts w:ascii="SimSun" w:hAnsi="SimSun" w:eastAsia="SimSun" w:cs="SimSun"/>
          <w:sz w:val="24"/>
          <w:szCs w:val="24"/>
          <w:spacing w:val="2"/>
        </w:rPr>
        <w:t>级生猪、肉牛定点屠宰</w:t>
      </w:r>
      <w:r>
        <w:rPr>
          <w:rFonts w:ascii="SimSun" w:hAnsi="SimSun" w:eastAsia="SimSun" w:cs="SimSun"/>
          <w:sz w:val="24"/>
          <w:szCs w:val="24"/>
          <w:spacing w:val="1"/>
        </w:rPr>
        <w:t>及食品加工项目位于绵阳</w:t>
      </w:r>
      <w:r>
        <w:rPr>
          <w:rFonts w:ascii="SimSun" w:hAnsi="SimSun" w:eastAsia="SimSun" w:cs="SimSun"/>
          <w:sz w:val="24"/>
          <w:szCs w:val="24"/>
        </w:rPr>
        <w:t xml:space="preserve"> </w:t>
      </w:r>
      <w:r>
        <w:rPr>
          <w:rFonts w:ascii="SimSun" w:hAnsi="SimSun" w:eastAsia="SimSun" w:cs="SimSun"/>
          <w:sz w:val="24"/>
          <w:szCs w:val="24"/>
          <w:spacing w:val="-1"/>
        </w:rPr>
        <w:t>安州区安州工业园区，中心坐标：东经104.536812°,北纬31.539123°,经查询</w:t>
      </w:r>
      <w:r>
        <w:rPr>
          <w:rFonts w:ascii="SimSun" w:hAnsi="SimSun" w:eastAsia="SimSun" w:cs="SimSun"/>
          <w:sz w:val="24"/>
          <w:szCs w:val="24"/>
          <w:spacing w:val="3"/>
        </w:rPr>
        <w:t xml:space="preserve"> </w:t>
      </w:r>
      <w:r>
        <w:rPr>
          <w:rFonts w:ascii="SimSun" w:hAnsi="SimSun" w:eastAsia="SimSun" w:cs="SimSun"/>
          <w:sz w:val="24"/>
          <w:szCs w:val="24"/>
          <w:spacing w:val="3"/>
        </w:rPr>
        <w:t>四川政务服务网“生态环境分区管控符合性分析</w:t>
      </w:r>
      <w:r>
        <w:rPr>
          <w:rFonts w:ascii="SimSun" w:hAnsi="SimSun" w:eastAsia="SimSun" w:cs="SimSun"/>
          <w:sz w:val="24"/>
          <w:szCs w:val="24"/>
          <w:spacing w:val="2"/>
        </w:rPr>
        <w:t>”在线系统，项目共涉及6个</w:t>
      </w:r>
      <w:r>
        <w:rPr>
          <w:rFonts w:ascii="SimSun" w:hAnsi="SimSun" w:eastAsia="SimSun" w:cs="SimSun"/>
          <w:sz w:val="24"/>
          <w:szCs w:val="24"/>
        </w:rPr>
        <w:t xml:space="preserve">  </w:t>
      </w:r>
      <w:r>
        <w:rPr>
          <w:rFonts w:ascii="SimSun" w:hAnsi="SimSun" w:eastAsia="SimSun" w:cs="SimSun"/>
          <w:sz w:val="24"/>
          <w:szCs w:val="24"/>
          <w:spacing w:val="-5"/>
        </w:rPr>
        <w:t>管控单元，查询结果如下图所示：</w:t>
      </w:r>
    </w:p>
    <w:p>
      <w:pPr>
        <w:ind w:firstLine="543"/>
        <w:spacing w:line="860" w:lineRule="exact"/>
        <w:rPr/>
      </w:pPr>
      <w:r>
        <w:rPr>
          <w:position w:val="-17"/>
        </w:rPr>
        <w:drawing>
          <wp:inline distT="0" distB="0" distL="0" distR="0">
            <wp:extent cx="4565692" cy="546112"/>
            <wp:effectExtent l="0" t="0" r="0" b="0"/>
            <wp:docPr id="16" name="IM 16"/>
            <wp:cNvGraphicFramePr/>
            <a:graphic>
              <a:graphicData uri="http://schemas.openxmlformats.org/drawingml/2006/picture">
                <pic:pic>
                  <pic:nvPicPr>
                    <pic:cNvPr id="16" name="IM 16"/>
                    <pic:cNvPicPr/>
                  </pic:nvPicPr>
                  <pic:blipFill>
                    <a:blip r:embed="rId93"/>
                    <a:stretch>
                      <a:fillRect/>
                    </a:stretch>
                  </pic:blipFill>
                  <pic:spPr>
                    <a:xfrm rot="0">
                      <a:off x="0" y="0"/>
                      <a:ext cx="4565692" cy="546112"/>
                    </a:xfrm>
                    <a:prstGeom prst="rect">
                      <a:avLst/>
                    </a:prstGeom>
                  </pic:spPr>
                </pic:pic>
              </a:graphicData>
            </a:graphic>
          </wp:inline>
        </w:drawing>
      </w:r>
    </w:p>
    <w:p>
      <w:pPr>
        <w:spacing w:before="49"/>
        <w:rPr/>
      </w:pPr>
      <w:r/>
    </w:p>
    <w:p>
      <w:pPr>
        <w:sectPr>
          <w:headerReference w:type="default" r:id="rId90"/>
          <w:footerReference w:type="default" r:id="rId91"/>
          <w:pgSz w:w="11910" w:h="16840"/>
          <w:pgMar w:top="1170" w:right="1786" w:bottom="991" w:left="1786" w:header="862" w:footer="730" w:gutter="0"/>
          <w:cols w:equalWidth="0" w:num="1">
            <w:col w:w="8337" w:space="0"/>
          </w:cols>
        </w:sectPr>
        <w:rPr/>
      </w:pPr>
    </w:p>
    <w:p>
      <w:pPr>
        <w:ind w:left="2673"/>
        <w:spacing w:before="18" w:line="213" w:lineRule="auto"/>
        <w:rPr>
          <w:rFonts w:ascii="SimHei" w:hAnsi="SimHei" w:eastAsia="SimHei" w:cs="SimHei"/>
          <w:sz w:val="9"/>
          <w:szCs w:val="9"/>
        </w:rPr>
      </w:pPr>
      <w:r>
        <w:rPr>
          <w:rFonts w:ascii="SimHei" w:hAnsi="SimHei" w:eastAsia="SimHei" w:cs="SimHei"/>
          <w:sz w:val="9"/>
          <w:szCs w:val="9"/>
          <w:spacing w:val="-4"/>
        </w:rPr>
        <w:t>按照相关管理要求，本系统查询结果仅供参考。</w:t>
      </w:r>
    </w:p>
    <w:p>
      <w:pPr>
        <w:ind w:left="2753"/>
        <w:spacing w:before="240" w:line="221" w:lineRule="auto"/>
        <w:rPr>
          <w:rFonts w:ascii="SimHei" w:hAnsi="SimHei" w:eastAsia="SimHei" w:cs="SimHei"/>
          <w:sz w:val="9"/>
          <w:szCs w:val="9"/>
        </w:rPr>
      </w:pPr>
      <w:r>
        <w:rPr>
          <w:rFonts w:ascii="Times New Roman" w:hAnsi="Times New Roman" w:eastAsia="Times New Roman" w:cs="Times New Roman"/>
          <w:sz w:val="9"/>
          <w:szCs w:val="9"/>
          <w:spacing w:val="10"/>
        </w:rPr>
        <w:t>A</w:t>
      </w:r>
      <w:r>
        <w:rPr>
          <w:rFonts w:ascii="SimHei" w:hAnsi="SimHei" w:eastAsia="SimHei" w:cs="SimHei"/>
          <w:sz w:val="9"/>
          <w:szCs w:val="9"/>
          <w:spacing w:val="10"/>
        </w:rPr>
        <w:t>级生猪、肉牛定点屠宰及食品加工项目</w:t>
      </w:r>
    </w:p>
    <w:p>
      <w:pPr>
        <w:pStyle w:val="BodyText"/>
        <w:spacing w:line="270" w:lineRule="auto"/>
        <w:rPr/>
      </w:pPr>
      <w:r/>
    </w:p>
    <w:p>
      <w:pPr>
        <w:ind w:left="2753"/>
        <w:spacing w:before="30" w:line="221" w:lineRule="auto"/>
        <w:rPr>
          <w:rFonts w:ascii="FangSong" w:hAnsi="FangSong" w:eastAsia="FangSong" w:cs="FangSong"/>
          <w:sz w:val="9"/>
          <w:szCs w:val="9"/>
        </w:rPr>
      </w:pPr>
      <w:r>
        <w:rPr>
          <w:rFonts w:ascii="FangSong" w:hAnsi="FangSong" w:eastAsia="FangSong" w:cs="FangSong"/>
          <w:sz w:val="9"/>
          <w:szCs w:val="9"/>
          <w:spacing w:val="19"/>
        </w:rPr>
        <w:t>牲畜屠宰</w:t>
      </w:r>
    </w:p>
    <w:p>
      <w:pPr>
        <w:pStyle w:val="BodyText"/>
        <w:spacing w:line="259" w:lineRule="auto"/>
        <w:rPr/>
      </w:pPr>
      <w:r/>
    </w:p>
    <w:p>
      <w:pPr>
        <w:ind w:left="2753"/>
        <w:spacing w:before="26" w:line="188" w:lineRule="auto"/>
        <w:rPr>
          <w:rFonts w:ascii="Times New Roman" w:hAnsi="Times New Roman" w:eastAsia="Times New Roman" w:cs="Times New Roman"/>
          <w:sz w:val="9"/>
          <w:szCs w:val="9"/>
        </w:rPr>
      </w:pPr>
      <w:r>
        <w:rPr>
          <w:rFonts w:ascii="Times New Roman" w:hAnsi="Times New Roman" w:eastAsia="Times New Roman" w:cs="Times New Roman"/>
          <w:sz w:val="9"/>
          <w:szCs w:val="9"/>
          <w:spacing w:val="-1"/>
        </w:rPr>
        <w:t>104.536812</w:t>
      </w:r>
    </w:p>
    <w:p>
      <w:pPr>
        <w:pStyle w:val="BodyText"/>
        <w:spacing w:line="281" w:lineRule="auto"/>
        <w:rPr/>
      </w:pPr>
      <w:r/>
    </w:p>
    <w:p>
      <w:pPr>
        <w:ind w:left="2753"/>
        <w:spacing w:before="27" w:line="188" w:lineRule="auto"/>
        <w:rPr>
          <w:rFonts w:ascii="Times New Roman" w:hAnsi="Times New Roman" w:eastAsia="Times New Roman" w:cs="Times New Roman"/>
          <w:sz w:val="9"/>
          <w:szCs w:val="9"/>
        </w:rPr>
      </w:pPr>
      <w:r>
        <w:rPr>
          <w:rFonts w:ascii="Times New Roman" w:hAnsi="Times New Roman" w:eastAsia="Times New Roman" w:cs="Times New Roman"/>
          <w:sz w:val="9"/>
          <w:szCs w:val="9"/>
          <w:spacing w:val="-1"/>
        </w:rPr>
        <w:t>31.539123</w:t>
      </w:r>
    </w:p>
    <w:p>
      <w:pPr>
        <w:pStyle w:val="BodyText"/>
        <w:spacing w:line="14" w:lineRule="auto"/>
        <w:rPr>
          <w:sz w:val="2"/>
        </w:rPr>
      </w:pPr>
      <w:r>
        <w:rPr>
          <w:sz w:val="2"/>
          <w:szCs w:val="2"/>
        </w:rPr>
        <w:br w:type="column"/>
      </w:r>
    </w:p>
    <w:p>
      <w:pPr>
        <w:pStyle w:val="BodyText"/>
        <w:spacing w:line="249" w:lineRule="auto"/>
        <w:rPr/>
      </w:pPr>
      <w:r/>
    </w:p>
    <w:p>
      <w:pPr>
        <w:pStyle w:val="BodyText"/>
        <w:spacing w:line="249" w:lineRule="auto"/>
        <w:rPr/>
      </w:pPr>
      <w:r/>
    </w:p>
    <w:p>
      <w:pPr>
        <w:pStyle w:val="BodyText"/>
        <w:spacing w:line="249" w:lineRule="auto"/>
        <w:rPr/>
      </w:pPr>
      <w:r/>
    </w:p>
    <w:p>
      <w:pPr>
        <w:ind w:left="50"/>
        <w:spacing w:before="29" w:line="222" w:lineRule="auto"/>
        <w:rPr>
          <w:rFonts w:ascii="SimHei" w:hAnsi="SimHei" w:eastAsia="SimHei" w:cs="SimHei"/>
          <w:sz w:val="9"/>
          <w:szCs w:val="9"/>
        </w:rPr>
      </w:pPr>
      <w:r>
        <w:rPr>
          <w:rFonts w:ascii="SimHei" w:hAnsi="SimHei" w:eastAsia="SimHei" w:cs="SimHei"/>
          <w:sz w:val="9"/>
          <w:szCs w:val="9"/>
          <w:color w:val="FFFFFF"/>
          <w:spacing w:val="-1"/>
        </w:rPr>
        <w:t>选择行业</w:t>
      </w:r>
    </w:p>
    <w:p>
      <w:pPr>
        <w:pStyle w:val="BodyText"/>
        <w:rPr/>
      </w:pPr>
      <w:r/>
    </w:p>
    <w:p>
      <w:pPr>
        <w:spacing w:before="30" w:line="222" w:lineRule="auto"/>
        <w:rPr>
          <w:rFonts w:ascii="SimHei" w:hAnsi="SimHei" w:eastAsia="SimHei" w:cs="SimHei"/>
          <w:sz w:val="9"/>
          <w:szCs w:val="9"/>
        </w:rPr>
      </w:pPr>
      <w:r>
        <w:rPr>
          <w:rFonts w:ascii="SimHei" w:hAnsi="SimHei" w:eastAsia="SimHei" w:cs="SimHei"/>
          <w:sz w:val="9"/>
          <w:szCs w:val="9"/>
          <w:color w:val="FFFFFF"/>
          <w:spacing w:val="-1"/>
        </w:rPr>
        <w:t>查询怒纬度</w:t>
      </w:r>
    </w:p>
    <w:p>
      <w:pPr>
        <w:spacing w:line="222" w:lineRule="auto"/>
        <w:sectPr>
          <w:type w:val="continuous"/>
          <w:pgSz w:w="11910" w:h="16840"/>
          <w:pgMar w:top="1170" w:right="1786" w:bottom="991" w:left="1786" w:header="862" w:footer="730" w:gutter="0"/>
          <w:cols w:equalWidth="0" w:num="2">
            <w:col w:w="4914" w:space="100"/>
            <w:col w:w="3324" w:space="0"/>
          </w:cols>
        </w:sectPr>
        <w:rPr>
          <w:rFonts w:ascii="SimHei" w:hAnsi="SimHei" w:eastAsia="SimHei" w:cs="SimHei"/>
          <w:sz w:val="9"/>
          <w:szCs w:val="9"/>
        </w:rPr>
      </w:pPr>
    </w:p>
    <w:p>
      <w:pPr>
        <w:pStyle w:val="BodyText"/>
        <w:spacing w:line="289" w:lineRule="auto"/>
        <w:rPr/>
      </w:pPr>
      <w:r/>
    </w:p>
    <w:p>
      <w:pPr>
        <w:ind w:firstLine="3063"/>
        <w:spacing w:before="1" w:line="300" w:lineRule="exact"/>
        <w:rPr/>
      </w:pPr>
      <w:r>
        <w:pict>
          <v:group id="_x0000_s12" style="position:absolute;margin-left:215.178pt;margin-top:0.048676pt;mso-position-vertical-relative:text;mso-position-horizontal-relative:text;width:43.5pt;height:15.05pt;z-index:251710464;" filled="false" stroked="false" coordsize="870,301" coordorigin="0,0">
            <v:shape id="_x0000_s14" style="position:absolute;left:0;top:0;width:870;height:301;" filled="false" stroked="false" type="#_x0000_t75">
              <v:imagedata o:title="" r:id="rId94"/>
            </v:shape>
            <v:shape id="_x0000_s16" style="position:absolute;left:-20;top:-20;width:910;height:357;" filled="false" stroked="false" type="#_x0000_t202">
              <v:fill on="false"/>
              <v:stroke on="false"/>
              <v:path/>
              <v:imagedata o:title=""/>
              <o:lock v:ext="edit" aspectratio="false"/>
              <v:textbox inset="0mm,0mm,0mm,0mm">
                <w:txbxContent>
                  <w:p>
                    <w:pPr>
                      <w:ind w:left="299"/>
                      <w:spacing w:before="193" w:line="223" w:lineRule="auto"/>
                      <w:rPr>
                        <w:rFonts w:ascii="SimHei" w:hAnsi="SimHei" w:eastAsia="SimHei" w:cs="SimHei"/>
                        <w:sz w:val="9"/>
                        <w:szCs w:val="9"/>
                      </w:rPr>
                    </w:pPr>
                    <w:r>
                      <w:rPr>
                        <w:rFonts w:ascii="SimHei" w:hAnsi="SimHei" w:eastAsia="SimHei" w:cs="SimHei"/>
                        <w:sz w:val="9"/>
                        <w:szCs w:val="9"/>
                        <w:color w:val="FFFFFF"/>
                        <w:spacing w:val="-2"/>
                      </w:rPr>
                      <w:t>重音信息</w:t>
                    </w:r>
                  </w:p>
                </w:txbxContent>
              </v:textbox>
            </v:shape>
          </v:group>
        </w:pict>
      </w:r>
      <w:r>
        <w:drawing>
          <wp:anchor distT="0" distB="0" distL="0" distR="0" simplePos="0" relativeHeight="251709440" behindDoc="0" locked="0" layoutInCell="1" allowOverlap="1">
            <wp:simplePos x="0" y="0"/>
            <wp:positionH relativeFrom="column">
              <wp:posOffset>332387</wp:posOffset>
            </wp:positionH>
            <wp:positionV relativeFrom="paragraph">
              <wp:posOffset>152999</wp:posOffset>
            </wp:positionV>
            <wp:extent cx="469955" cy="235040"/>
            <wp:effectExtent l="0" t="0" r="0" b="0"/>
            <wp:wrapNone/>
            <wp:docPr id="18" name="IM 18"/>
            <wp:cNvGraphicFramePr/>
            <a:graphic>
              <a:graphicData uri="http://schemas.openxmlformats.org/drawingml/2006/picture">
                <pic:pic>
                  <pic:nvPicPr>
                    <pic:cNvPr id="18" name="IM 18"/>
                    <pic:cNvPicPr/>
                  </pic:nvPicPr>
                  <pic:blipFill>
                    <a:blip r:embed="rId95"/>
                    <a:stretch>
                      <a:fillRect/>
                    </a:stretch>
                  </pic:blipFill>
                  <pic:spPr>
                    <a:xfrm rot="0">
                      <a:off x="0" y="0"/>
                      <a:ext cx="469955" cy="235040"/>
                    </a:xfrm>
                    <a:prstGeom prst="rect">
                      <a:avLst/>
                    </a:prstGeom>
                  </pic:spPr>
                </pic:pic>
              </a:graphicData>
            </a:graphic>
          </wp:anchor>
        </w:drawing>
      </w:r>
      <w:r>
        <w:rPr>
          <w:position w:val="-6"/>
        </w:rPr>
        <w:pict>
          <v:group id="_x0000_s18" style="mso-position-vertical-relative:line;mso-position-horizontal-relative:char;width:43.55pt;height:15.05pt;" filled="false" stroked="false" coordsize="870,301" coordorigin="0,0">
            <v:shape id="_x0000_s20" style="position:absolute;left:0;top:0;width:870;height:301;" filled="false" stroked="false" type="#_x0000_t75">
              <v:imagedata o:title="" r:id="rId96"/>
            </v:shape>
            <v:shape id="_x0000_s22" style="position:absolute;left:-20;top:-20;width:910;height:340;" filled="false" stroked="false" type="#_x0000_t202">
              <v:fill on="false"/>
              <v:stroke on="false"/>
              <v:path/>
              <v:imagedata o:title=""/>
              <o:lock v:ext="edit" aspectratio="false"/>
              <v:textbox inset="0mm,0mm,0mm,0mm">
                <w:txbxContent>
                  <w:p>
                    <w:pPr>
                      <w:ind w:left="289"/>
                      <w:spacing w:before="193" w:line="222" w:lineRule="auto"/>
                      <w:rPr>
                        <w:rFonts w:ascii="SimHei" w:hAnsi="SimHei" w:eastAsia="SimHei" w:cs="SimHei"/>
                        <w:sz w:val="9"/>
                        <w:szCs w:val="9"/>
                      </w:rPr>
                    </w:pPr>
                    <w:r>
                      <w:rPr>
                        <w:rFonts w:ascii="SimHei" w:hAnsi="SimHei" w:eastAsia="SimHei" w:cs="SimHei"/>
                        <w:sz w:val="9"/>
                        <w:szCs w:val="9"/>
                        <w:color w:val="FFFFFF"/>
                        <w:spacing w:val="-1"/>
                      </w:rPr>
                      <w:t>立即分析</w:t>
                    </w:r>
                  </w:p>
                </w:txbxContent>
              </v:textbox>
            </v:shape>
          </v:group>
        </w:pict>
      </w:r>
    </w:p>
    <w:p>
      <w:pPr>
        <w:ind w:firstLine="6253"/>
        <w:spacing w:line="240" w:lineRule="exact"/>
        <w:rPr/>
      </w:pPr>
      <w:r>
        <w:pict>
          <v:group id="_x0000_s24" style="position:absolute;margin-left:354.174pt;margin-top:0pt;mso-position-vertical-relative:text;mso-position-horizontal-relative:text;width:29.55pt;height:12pt;z-index:251711488;" filled="false" stroked="false" coordsize="590,240" coordorigin="0,0">
            <v:shape id="_x0000_s26" style="position:absolute;left:0;top:0;width:590;height:240;" filled="false" stroked="false" type="#_x0000_t75">
              <v:imagedata o:title="" r:id="rId97"/>
            </v:shape>
            <v:shape id="_x0000_s28" style="position:absolute;left:-20;top:-20;width:630;height:297;" filled="false" stroked="false" type="#_x0000_t202">
              <v:fill on="false"/>
              <v:stroke on="false"/>
              <v:path/>
              <v:imagedata o:title=""/>
              <o:lock v:ext="edit" aspectratio="false"/>
              <v:textbox inset="0mm,0mm,0mm,0mm">
                <w:txbxContent>
                  <w:p>
                    <w:pPr>
                      <w:ind w:left="150"/>
                      <w:spacing w:before="163" w:line="222" w:lineRule="auto"/>
                      <w:rPr>
                        <w:rFonts w:ascii="SimHei" w:hAnsi="SimHei" w:eastAsia="SimHei" w:cs="SimHei"/>
                        <w:sz w:val="9"/>
                        <w:szCs w:val="9"/>
                      </w:rPr>
                    </w:pPr>
                    <w:r>
                      <w:rPr>
                        <w:rFonts w:ascii="SimHei" w:hAnsi="SimHei" w:eastAsia="SimHei" w:cs="SimHei"/>
                        <w:sz w:val="9"/>
                        <w:szCs w:val="9"/>
                        <w:color w:val="FFFFFF"/>
                        <w:spacing w:val="-1"/>
                      </w:rPr>
                      <w:t>导出图片</w:t>
                    </w:r>
                  </w:p>
                </w:txbxContent>
              </v:textbox>
            </v:shape>
          </v:group>
        </w:pict>
      </w:r>
      <w:r>
        <w:rPr>
          <w:position w:val="-4"/>
        </w:rPr>
        <w:pict>
          <v:group id="_x0000_s30" style="mso-position-vertical-relative:line;mso-position-horizontal-relative:char;width:31.05pt;height:12pt;" filled="false" stroked="false" coordsize="620,240" coordorigin="0,0">
            <v:shape id="_x0000_s32" style="position:absolute;left:0;top:0;width:620;height:240;" filled="false" stroked="false" type="#_x0000_t75">
              <v:imagedata o:title="" r:id="rId98"/>
            </v:shape>
            <v:shape id="_x0000_s34" style="position:absolute;left:-20;top:-20;width:660;height:280;" filled="false" stroked="false" type="#_x0000_t202">
              <v:fill on="false"/>
              <v:stroke on="false"/>
              <v:path/>
              <v:imagedata o:title=""/>
              <o:lock v:ext="edit" aspectratio="false"/>
              <v:textbox inset="0mm,0mm,0mm,0mm">
                <w:txbxContent>
                  <w:p>
                    <w:pPr>
                      <w:ind w:left="180"/>
                      <w:spacing w:before="162" w:line="222" w:lineRule="auto"/>
                      <w:rPr>
                        <w:rFonts w:ascii="SimHei" w:hAnsi="SimHei" w:eastAsia="SimHei" w:cs="SimHei"/>
                        <w:sz w:val="9"/>
                        <w:szCs w:val="9"/>
                      </w:rPr>
                    </w:pPr>
                    <w:r>
                      <w:rPr>
                        <w:rFonts w:ascii="SimHei" w:hAnsi="SimHei" w:eastAsia="SimHei" w:cs="SimHei"/>
                        <w:sz w:val="9"/>
                        <w:szCs w:val="9"/>
                        <w:color w:val="FFFFFF"/>
                        <w:spacing w:val="-1"/>
                      </w:rPr>
                      <w:t>导出文档</w:t>
                    </w:r>
                  </w:p>
                </w:txbxContent>
              </v:textbox>
            </v:shape>
          </v:group>
        </w:pict>
      </w:r>
    </w:p>
    <w:p>
      <w:pPr>
        <w:ind w:left="583"/>
        <w:spacing w:before="119" w:line="213" w:lineRule="auto"/>
        <w:rPr>
          <w:rFonts w:ascii="SimHei" w:hAnsi="SimHei" w:eastAsia="SimHei" w:cs="SimHei"/>
          <w:sz w:val="9"/>
          <w:szCs w:val="9"/>
        </w:rPr>
      </w:pPr>
      <w:r>
        <w:rPr>
          <w:rFonts w:ascii="SimHei" w:hAnsi="SimHei" w:eastAsia="SimHei" w:cs="SimHei"/>
          <w:sz w:val="9"/>
          <w:szCs w:val="9"/>
          <w:color w:val="406070"/>
          <w:spacing w:val="11"/>
        </w:rPr>
        <w:t>项</w:t>
      </w:r>
      <w:r>
        <w:rPr>
          <w:rFonts w:ascii="SimHei" w:hAnsi="SimHei" w:eastAsia="SimHei" w:cs="SimHei"/>
          <w:sz w:val="9"/>
          <w:szCs w:val="9"/>
          <w:color w:val="406070"/>
          <w:spacing w:val="11"/>
        </w:rPr>
        <w:t xml:space="preserve"> </w:t>
      </w:r>
      <w:r>
        <w:rPr>
          <w:rFonts w:ascii="SimHei" w:hAnsi="SimHei" w:eastAsia="SimHei" w:cs="SimHei"/>
          <w:sz w:val="9"/>
          <w:szCs w:val="9"/>
          <w:color w:val="406070"/>
          <w:spacing w:val="11"/>
        </w:rPr>
        <w:t>目</w:t>
      </w:r>
      <w:r>
        <w:rPr>
          <w:rFonts w:ascii="SimSun" w:hAnsi="SimSun" w:eastAsia="SimSun" w:cs="SimSun"/>
          <w:sz w:val="9"/>
          <w:szCs w:val="9"/>
          <w:color w:val="2090C0"/>
          <w:spacing w:val="11"/>
        </w:rPr>
        <w:t>A</w:t>
      </w:r>
      <w:r>
        <w:rPr>
          <w:rFonts w:ascii="SimSun" w:hAnsi="SimSun" w:eastAsia="SimSun" w:cs="SimSun"/>
          <w:sz w:val="9"/>
          <w:szCs w:val="9"/>
          <w:color w:val="2090C0"/>
          <w:spacing w:val="-8"/>
        </w:rPr>
        <w:t xml:space="preserve"> </w:t>
      </w:r>
      <w:r>
        <w:rPr>
          <w:rFonts w:ascii="SimHei" w:hAnsi="SimHei" w:eastAsia="SimHei" w:cs="SimHei"/>
          <w:sz w:val="9"/>
          <w:szCs w:val="9"/>
          <w:color w:val="2090C0"/>
          <w:spacing w:val="11"/>
        </w:rPr>
        <w:t>级生猪、肉牛定点居宰及食品加工项目</w:t>
      </w:r>
      <w:r>
        <w:rPr>
          <w:rFonts w:ascii="SimHei" w:hAnsi="SimHei" w:eastAsia="SimHei" w:cs="SimHei"/>
          <w:sz w:val="9"/>
          <w:szCs w:val="9"/>
          <w:spacing w:val="11"/>
        </w:rPr>
        <w:t>所属牲畜屠幸行业</w:t>
      </w:r>
      <w:r>
        <w:rPr>
          <w:rFonts w:ascii="SimSun" w:hAnsi="SimSun" w:eastAsia="SimSun" w:cs="SimSun"/>
          <w:sz w:val="9"/>
          <w:szCs w:val="9"/>
          <w:u w:val="single" w:color="auto"/>
          <w:spacing w:val="11"/>
        </w:rPr>
        <w:t>截图</w:t>
      </w:r>
      <w:r>
        <w:rPr>
          <w:rFonts w:ascii="SimSun" w:hAnsi="SimSun" w:eastAsia="SimSun" w:cs="SimSun"/>
          <w:sz w:val="9"/>
          <w:szCs w:val="9"/>
          <w:u w:val="single" w:color="auto"/>
        </w:rPr>
        <w:t>Shift</w:t>
      </w:r>
      <w:r>
        <w:rPr>
          <w:rFonts w:ascii="SimSun" w:hAnsi="SimSun" w:eastAsia="SimSun" w:cs="SimSun"/>
          <w:sz w:val="9"/>
          <w:szCs w:val="9"/>
          <w:u w:val="single" w:color="auto"/>
          <w:spacing w:val="11"/>
        </w:rPr>
        <w:t>+</w:t>
      </w:r>
      <w:r>
        <w:rPr>
          <w:rFonts w:ascii="SimSun" w:hAnsi="SimSun" w:eastAsia="SimSun" w:cs="SimSun"/>
          <w:sz w:val="9"/>
          <w:szCs w:val="9"/>
          <w:u w:val="single" w:color="auto"/>
        </w:rPr>
        <w:t>Alt</w:t>
      </w:r>
      <w:r>
        <w:rPr>
          <w:rFonts w:ascii="SimSun" w:hAnsi="SimSun" w:eastAsia="SimSun" w:cs="SimSun"/>
          <w:sz w:val="9"/>
          <w:szCs w:val="9"/>
          <w:u w:val="single" w:color="auto"/>
          <w:spacing w:val="11"/>
        </w:rPr>
        <w:t>+A</w:t>
      </w:r>
      <w:r>
        <w:rPr>
          <w:rFonts w:ascii="SimHei" w:hAnsi="SimHei" w:eastAsia="SimHei" w:cs="SimHei"/>
          <w:sz w:val="9"/>
          <w:szCs w:val="9"/>
          <w:spacing w:val="11"/>
        </w:rPr>
        <w:t>元</w:t>
      </w:r>
      <w:r>
        <w:rPr>
          <w:rFonts w:ascii="SimHei" w:hAnsi="SimHei" w:eastAsia="SimHei" w:cs="SimHei"/>
          <w:sz w:val="9"/>
          <w:szCs w:val="9"/>
          <w:spacing w:val="-21"/>
        </w:rPr>
        <w:t xml:space="preserve"> </w:t>
      </w:r>
      <w:r>
        <w:rPr>
          <w:rFonts w:ascii="SimHei" w:hAnsi="SimHei" w:eastAsia="SimHei" w:cs="SimHei"/>
          <w:sz w:val="9"/>
          <w:szCs w:val="9"/>
          <w:spacing w:val="11"/>
        </w:rPr>
        <w:t>，若需要查看管控要求，请点击右侧导出按纽，导出管控要求进行查看。</w:t>
      </w:r>
    </w:p>
    <w:p>
      <w:pPr>
        <w:spacing w:line="162" w:lineRule="exact"/>
        <w:rPr/>
      </w:pPr>
      <w:r/>
    </w:p>
    <w:tbl>
      <w:tblPr>
        <w:tblStyle w:val="TableNormal"/>
        <w:tblW w:w="7100" w:type="dxa"/>
        <w:tblInd w:w="603"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54"/>
        <w:gridCol w:w="1168"/>
        <w:gridCol w:w="1668"/>
        <w:gridCol w:w="639"/>
        <w:gridCol w:w="649"/>
        <w:gridCol w:w="879"/>
        <w:gridCol w:w="1743"/>
      </w:tblGrid>
      <w:tr>
        <w:trPr>
          <w:trHeight w:val="253" w:hRule="atLeast"/>
        </w:trPr>
        <w:tc>
          <w:tcPr>
            <w:tcW w:w="354" w:type="dxa"/>
            <w:vAlign w:val="top"/>
          </w:tcPr>
          <w:p>
            <w:pPr>
              <w:pStyle w:val="TableText"/>
              <w:ind w:left="55"/>
              <w:spacing w:before="70" w:line="221" w:lineRule="auto"/>
              <w:rPr>
                <w:sz w:val="11"/>
                <w:szCs w:val="11"/>
              </w:rPr>
            </w:pPr>
            <w:r>
              <w:rPr>
                <w:sz w:val="11"/>
                <w:szCs w:val="11"/>
                <w:spacing w:val="-1"/>
              </w:rPr>
              <w:t>序号</w:t>
            </w:r>
          </w:p>
        </w:tc>
        <w:tc>
          <w:tcPr>
            <w:tcW w:w="1168" w:type="dxa"/>
            <w:vAlign w:val="top"/>
          </w:tcPr>
          <w:p>
            <w:pPr>
              <w:pStyle w:val="TableText"/>
              <w:ind w:left="241"/>
              <w:spacing w:before="69" w:line="219" w:lineRule="auto"/>
              <w:rPr>
                <w:sz w:val="11"/>
                <w:szCs w:val="11"/>
              </w:rPr>
            </w:pPr>
            <w:r>
              <w:rPr>
                <w:sz w:val="11"/>
                <w:szCs w:val="11"/>
                <w:spacing w:val="-1"/>
              </w:rPr>
              <w:t>管控单元编码</w:t>
            </w:r>
          </w:p>
        </w:tc>
        <w:tc>
          <w:tcPr>
            <w:tcW w:w="1668" w:type="dxa"/>
            <w:vAlign w:val="top"/>
          </w:tcPr>
          <w:p>
            <w:pPr>
              <w:pStyle w:val="TableText"/>
              <w:ind w:left="503"/>
              <w:spacing w:before="69" w:line="219" w:lineRule="auto"/>
              <w:rPr>
                <w:sz w:val="11"/>
                <w:szCs w:val="11"/>
              </w:rPr>
            </w:pPr>
            <w:r>
              <w:rPr>
                <w:sz w:val="11"/>
                <w:szCs w:val="11"/>
                <w:spacing w:val="-1"/>
              </w:rPr>
              <w:t>管控单元名称</w:t>
            </w:r>
          </w:p>
        </w:tc>
        <w:tc>
          <w:tcPr>
            <w:tcW w:w="639" w:type="dxa"/>
            <w:vAlign w:val="top"/>
          </w:tcPr>
          <w:p>
            <w:pPr>
              <w:pStyle w:val="TableText"/>
              <w:ind w:left="95"/>
              <w:spacing w:before="69" w:line="219" w:lineRule="auto"/>
              <w:rPr>
                <w:sz w:val="11"/>
                <w:szCs w:val="11"/>
              </w:rPr>
            </w:pPr>
            <w:r>
              <w:rPr>
                <w:sz w:val="11"/>
                <w:szCs w:val="11"/>
                <w:spacing w:val="-1"/>
              </w:rPr>
              <w:t>所属城市</w:t>
            </w:r>
          </w:p>
        </w:tc>
        <w:tc>
          <w:tcPr>
            <w:tcW w:w="649" w:type="dxa"/>
            <w:vAlign w:val="top"/>
          </w:tcPr>
          <w:p>
            <w:pPr>
              <w:pStyle w:val="TableText"/>
              <w:ind w:left="96"/>
              <w:spacing w:before="69" w:line="220" w:lineRule="auto"/>
              <w:rPr>
                <w:sz w:val="11"/>
                <w:szCs w:val="11"/>
              </w:rPr>
            </w:pPr>
            <w:r>
              <w:rPr>
                <w:sz w:val="11"/>
                <w:szCs w:val="11"/>
                <w:spacing w:val="-1"/>
              </w:rPr>
              <w:t>所属区县</w:t>
            </w:r>
          </w:p>
        </w:tc>
        <w:tc>
          <w:tcPr>
            <w:tcW w:w="879" w:type="dxa"/>
            <w:vAlign w:val="top"/>
          </w:tcPr>
          <w:p>
            <w:pPr>
              <w:pStyle w:val="TableText"/>
              <w:ind w:left="106"/>
              <w:spacing w:before="69" w:line="219" w:lineRule="auto"/>
              <w:rPr>
                <w:sz w:val="11"/>
                <w:szCs w:val="11"/>
              </w:rPr>
            </w:pPr>
            <w:r>
              <w:rPr>
                <w:sz w:val="11"/>
                <w:szCs w:val="11"/>
                <w:spacing w:val="-1"/>
              </w:rPr>
              <w:t>准入清单类型</w:t>
            </w:r>
          </w:p>
        </w:tc>
        <w:tc>
          <w:tcPr>
            <w:tcW w:w="1743" w:type="dxa"/>
            <w:vAlign w:val="top"/>
          </w:tcPr>
          <w:p>
            <w:pPr>
              <w:pStyle w:val="TableText"/>
              <w:ind w:left="648"/>
              <w:spacing w:before="69" w:line="219" w:lineRule="auto"/>
              <w:rPr>
                <w:sz w:val="11"/>
                <w:szCs w:val="11"/>
              </w:rPr>
            </w:pPr>
            <w:r>
              <w:rPr>
                <w:sz w:val="11"/>
                <w:szCs w:val="11"/>
                <w:spacing w:val="-2"/>
              </w:rPr>
              <w:t>管控类型</w:t>
            </w:r>
          </w:p>
        </w:tc>
      </w:tr>
      <w:tr>
        <w:trPr>
          <w:trHeight w:val="258" w:hRule="atLeast"/>
        </w:trPr>
        <w:tc>
          <w:tcPr>
            <w:tcW w:w="354" w:type="dxa"/>
            <w:vAlign w:val="top"/>
          </w:tcPr>
          <w:p>
            <w:pPr>
              <w:pStyle w:val="TableText"/>
              <w:ind w:left="135"/>
              <w:spacing w:before="87" w:line="241" w:lineRule="auto"/>
              <w:rPr>
                <w:sz w:val="11"/>
                <w:szCs w:val="11"/>
              </w:rPr>
            </w:pPr>
            <w:r>
              <w:rPr>
                <w:sz w:val="11"/>
                <w:szCs w:val="11"/>
              </w:rPr>
              <w:t>1</w:t>
            </w:r>
          </w:p>
        </w:tc>
        <w:tc>
          <w:tcPr>
            <w:tcW w:w="1168" w:type="dxa"/>
            <w:vAlign w:val="top"/>
          </w:tcPr>
          <w:p>
            <w:pPr>
              <w:pStyle w:val="TableText"/>
              <w:ind w:left="211"/>
              <w:spacing w:before="104" w:line="184" w:lineRule="auto"/>
              <w:rPr>
                <w:sz w:val="11"/>
                <w:szCs w:val="11"/>
              </w:rPr>
            </w:pPr>
            <w:r>
              <w:rPr>
                <w:sz w:val="11"/>
                <w:szCs w:val="11"/>
                <w:spacing w:val="-1"/>
              </w:rPr>
              <w:t>ZH51070520003</w:t>
            </w:r>
          </w:p>
        </w:tc>
        <w:tc>
          <w:tcPr>
            <w:tcW w:w="1668" w:type="dxa"/>
            <w:vAlign w:val="top"/>
          </w:tcPr>
          <w:p>
            <w:pPr>
              <w:pStyle w:val="TableText"/>
              <w:ind w:left="32"/>
              <w:spacing w:before="75" w:line="219" w:lineRule="auto"/>
              <w:rPr>
                <w:sz w:val="11"/>
                <w:szCs w:val="11"/>
              </w:rPr>
            </w:pPr>
            <w:r>
              <w:rPr>
                <w:sz w:val="11"/>
                <w:szCs w:val="11"/>
              </w:rPr>
              <w:t>四川绵阳安州工业园区</w:t>
            </w:r>
          </w:p>
        </w:tc>
        <w:tc>
          <w:tcPr>
            <w:tcW w:w="639" w:type="dxa"/>
            <w:vAlign w:val="top"/>
          </w:tcPr>
          <w:p>
            <w:pPr>
              <w:pStyle w:val="TableText"/>
              <w:ind w:left="145"/>
              <w:spacing w:before="76" w:line="219" w:lineRule="auto"/>
              <w:rPr>
                <w:sz w:val="11"/>
                <w:szCs w:val="11"/>
              </w:rPr>
            </w:pPr>
            <w:r>
              <w:rPr>
                <w:sz w:val="11"/>
                <w:szCs w:val="11"/>
                <w:spacing w:val="-2"/>
              </w:rPr>
              <w:t>绵阳市</w:t>
            </w:r>
          </w:p>
        </w:tc>
        <w:tc>
          <w:tcPr>
            <w:tcW w:w="649" w:type="dxa"/>
            <w:vAlign w:val="top"/>
          </w:tcPr>
          <w:p>
            <w:pPr>
              <w:pStyle w:val="TableText"/>
              <w:ind w:left="155"/>
              <w:spacing w:before="75" w:line="219" w:lineRule="auto"/>
              <w:rPr>
                <w:sz w:val="11"/>
                <w:szCs w:val="11"/>
              </w:rPr>
            </w:pPr>
            <w:r>
              <w:rPr>
                <w:sz w:val="11"/>
                <w:szCs w:val="11"/>
                <w:spacing w:val="-2"/>
              </w:rPr>
              <w:t>安州区</w:t>
            </w:r>
          </w:p>
        </w:tc>
        <w:tc>
          <w:tcPr>
            <w:tcW w:w="879" w:type="dxa"/>
            <w:vAlign w:val="top"/>
          </w:tcPr>
          <w:p>
            <w:pPr>
              <w:pStyle w:val="TableText"/>
              <w:ind w:left="217"/>
              <w:spacing w:before="76" w:line="220" w:lineRule="auto"/>
              <w:rPr>
                <w:sz w:val="11"/>
                <w:szCs w:val="11"/>
              </w:rPr>
            </w:pPr>
            <w:r>
              <w:rPr>
                <w:sz w:val="11"/>
                <w:szCs w:val="11"/>
                <w:spacing w:val="-1"/>
              </w:rPr>
              <w:t>环境综台</w:t>
            </w:r>
          </w:p>
        </w:tc>
        <w:tc>
          <w:tcPr>
            <w:tcW w:w="1743" w:type="dxa"/>
            <w:vAlign w:val="top"/>
          </w:tcPr>
          <w:p>
            <w:pPr>
              <w:pStyle w:val="TableText"/>
              <w:spacing w:before="76" w:line="219" w:lineRule="auto"/>
              <w:jc w:val="right"/>
              <w:rPr>
                <w:sz w:val="11"/>
                <w:szCs w:val="11"/>
              </w:rPr>
            </w:pPr>
            <w:r>
              <w:rPr>
                <w:sz w:val="11"/>
                <w:szCs w:val="11"/>
                <w:spacing w:val="-5"/>
              </w:rPr>
              <w:t>环境综合管控单元工业重点管控单元</w:t>
            </w:r>
          </w:p>
        </w:tc>
      </w:tr>
      <w:tr>
        <w:trPr>
          <w:trHeight w:val="268" w:hRule="atLeast"/>
        </w:trPr>
        <w:tc>
          <w:tcPr>
            <w:tcW w:w="354" w:type="dxa"/>
            <w:vAlign w:val="top"/>
          </w:tcPr>
          <w:p>
            <w:pPr>
              <w:pStyle w:val="TableText"/>
              <w:ind w:left="135"/>
              <w:spacing w:before="89" w:line="241" w:lineRule="auto"/>
              <w:rPr>
                <w:sz w:val="11"/>
                <w:szCs w:val="11"/>
              </w:rPr>
            </w:pPr>
            <w:r>
              <w:rPr>
                <w:sz w:val="11"/>
                <w:szCs w:val="11"/>
              </w:rPr>
              <w:t>2</w:t>
            </w:r>
          </w:p>
        </w:tc>
        <w:tc>
          <w:tcPr>
            <w:tcW w:w="1168" w:type="dxa"/>
            <w:vAlign w:val="top"/>
          </w:tcPr>
          <w:p>
            <w:pPr>
              <w:pStyle w:val="TableText"/>
              <w:ind w:left="160"/>
              <w:spacing w:before="106" w:line="184" w:lineRule="auto"/>
              <w:rPr>
                <w:sz w:val="11"/>
                <w:szCs w:val="11"/>
              </w:rPr>
            </w:pPr>
            <w:r>
              <w:rPr>
                <w:sz w:val="11"/>
                <w:szCs w:val="11"/>
                <w:spacing w:val="-1"/>
              </w:rPr>
              <w:t>YS5107052210001</w:t>
            </w:r>
          </w:p>
        </w:tc>
        <w:tc>
          <w:tcPr>
            <w:tcW w:w="1668" w:type="dxa"/>
            <w:vAlign w:val="top"/>
          </w:tcPr>
          <w:p>
            <w:pPr>
              <w:pStyle w:val="TableText"/>
              <w:ind w:left="32"/>
              <w:spacing w:before="77" w:line="219" w:lineRule="auto"/>
              <w:rPr>
                <w:sz w:val="11"/>
                <w:szCs w:val="11"/>
              </w:rPr>
            </w:pPr>
            <w:r>
              <w:rPr>
                <w:sz w:val="11"/>
                <w:szCs w:val="11"/>
                <w:spacing w:val="-1"/>
              </w:rPr>
              <w:t>涪江-安州区-丰谷-控制单元</w:t>
            </w:r>
          </w:p>
        </w:tc>
        <w:tc>
          <w:tcPr>
            <w:tcW w:w="639" w:type="dxa"/>
            <w:vAlign w:val="top"/>
          </w:tcPr>
          <w:p>
            <w:pPr>
              <w:pStyle w:val="TableText"/>
              <w:ind w:left="145"/>
              <w:spacing w:before="78" w:line="219" w:lineRule="auto"/>
              <w:rPr>
                <w:sz w:val="11"/>
                <w:szCs w:val="11"/>
              </w:rPr>
            </w:pPr>
            <w:r>
              <w:rPr>
                <w:sz w:val="11"/>
                <w:szCs w:val="11"/>
                <w:spacing w:val="-2"/>
              </w:rPr>
              <w:t>绵阳市</w:t>
            </w:r>
          </w:p>
        </w:tc>
        <w:tc>
          <w:tcPr>
            <w:tcW w:w="649" w:type="dxa"/>
            <w:vAlign w:val="top"/>
          </w:tcPr>
          <w:p>
            <w:pPr>
              <w:pStyle w:val="TableText"/>
              <w:ind w:left="155"/>
              <w:spacing w:before="77" w:line="219" w:lineRule="auto"/>
              <w:rPr>
                <w:sz w:val="11"/>
                <w:szCs w:val="11"/>
              </w:rPr>
            </w:pPr>
            <w:r>
              <w:rPr>
                <w:sz w:val="11"/>
                <w:szCs w:val="11"/>
                <w:spacing w:val="-2"/>
              </w:rPr>
              <w:t>安州区</w:t>
            </w:r>
          </w:p>
        </w:tc>
        <w:tc>
          <w:tcPr>
            <w:tcW w:w="879" w:type="dxa"/>
            <w:vAlign w:val="top"/>
          </w:tcPr>
          <w:p>
            <w:pPr>
              <w:pStyle w:val="TableText"/>
              <w:ind w:left="157"/>
              <w:spacing w:before="78" w:line="219" w:lineRule="auto"/>
              <w:rPr>
                <w:sz w:val="11"/>
                <w:szCs w:val="11"/>
              </w:rPr>
            </w:pPr>
            <w:r>
              <w:rPr>
                <w:sz w:val="11"/>
                <w:szCs w:val="11"/>
                <w:spacing w:val="-1"/>
              </w:rPr>
              <w:t>水环境分区</w:t>
            </w:r>
          </w:p>
        </w:tc>
        <w:tc>
          <w:tcPr>
            <w:tcW w:w="1743" w:type="dxa"/>
            <w:vAlign w:val="top"/>
          </w:tcPr>
          <w:p>
            <w:pPr>
              <w:pStyle w:val="TableText"/>
              <w:ind w:left="37"/>
              <w:spacing w:before="78" w:line="219" w:lineRule="auto"/>
              <w:rPr>
                <w:sz w:val="11"/>
                <w:szCs w:val="11"/>
              </w:rPr>
            </w:pPr>
            <w:r>
              <w:rPr>
                <w:sz w:val="11"/>
                <w:szCs w:val="11"/>
                <w:spacing w:val="-1"/>
              </w:rPr>
              <w:t>水环境工业污染重点管控区</w:t>
            </w:r>
          </w:p>
        </w:tc>
      </w:tr>
      <w:tr>
        <w:trPr>
          <w:trHeight w:val="249" w:hRule="atLeast"/>
        </w:trPr>
        <w:tc>
          <w:tcPr>
            <w:tcW w:w="354" w:type="dxa"/>
            <w:vAlign w:val="top"/>
          </w:tcPr>
          <w:p>
            <w:pPr>
              <w:pStyle w:val="TableText"/>
              <w:ind w:left="135"/>
              <w:spacing w:before="81"/>
              <w:rPr>
                <w:sz w:val="11"/>
                <w:szCs w:val="11"/>
              </w:rPr>
            </w:pPr>
            <w:r>
              <w:rPr>
                <w:sz w:val="11"/>
                <w:szCs w:val="11"/>
              </w:rPr>
              <w:t>3</w:t>
            </w:r>
          </w:p>
        </w:tc>
        <w:tc>
          <w:tcPr>
            <w:tcW w:w="1168" w:type="dxa"/>
            <w:vAlign w:val="top"/>
          </w:tcPr>
          <w:p>
            <w:pPr>
              <w:pStyle w:val="TableText"/>
              <w:ind w:left="160"/>
              <w:spacing w:before="98" w:line="184" w:lineRule="auto"/>
              <w:rPr>
                <w:sz w:val="11"/>
                <w:szCs w:val="11"/>
              </w:rPr>
            </w:pPr>
            <w:r>
              <w:rPr>
                <w:sz w:val="11"/>
                <w:szCs w:val="11"/>
                <w:spacing w:val="-1"/>
              </w:rPr>
              <w:t>YS5107052310002</w:t>
            </w:r>
          </w:p>
        </w:tc>
        <w:tc>
          <w:tcPr>
            <w:tcW w:w="1668" w:type="dxa"/>
            <w:vAlign w:val="top"/>
          </w:tcPr>
          <w:p>
            <w:pPr>
              <w:pStyle w:val="TableText"/>
              <w:ind w:left="32"/>
              <w:spacing w:before="69" w:line="219" w:lineRule="auto"/>
              <w:rPr>
                <w:sz w:val="11"/>
                <w:szCs w:val="11"/>
              </w:rPr>
            </w:pPr>
            <w:r>
              <w:rPr>
                <w:sz w:val="11"/>
                <w:szCs w:val="11"/>
              </w:rPr>
              <w:t>四川绵阳安州工业园区</w:t>
            </w:r>
          </w:p>
        </w:tc>
        <w:tc>
          <w:tcPr>
            <w:tcW w:w="639" w:type="dxa"/>
            <w:vAlign w:val="top"/>
          </w:tcPr>
          <w:p>
            <w:pPr>
              <w:pStyle w:val="TableText"/>
              <w:ind w:left="145"/>
              <w:spacing w:before="70" w:line="219" w:lineRule="auto"/>
              <w:rPr>
                <w:sz w:val="11"/>
                <w:szCs w:val="11"/>
              </w:rPr>
            </w:pPr>
            <w:r>
              <w:rPr>
                <w:sz w:val="11"/>
                <w:szCs w:val="11"/>
                <w:spacing w:val="-2"/>
              </w:rPr>
              <w:t>绵阳市</w:t>
            </w:r>
          </w:p>
        </w:tc>
        <w:tc>
          <w:tcPr>
            <w:tcW w:w="649" w:type="dxa"/>
            <w:vAlign w:val="top"/>
          </w:tcPr>
          <w:p>
            <w:pPr>
              <w:pStyle w:val="TableText"/>
              <w:ind w:left="155"/>
              <w:spacing w:before="69" w:line="219" w:lineRule="auto"/>
              <w:rPr>
                <w:sz w:val="11"/>
                <w:szCs w:val="11"/>
              </w:rPr>
            </w:pPr>
            <w:r>
              <w:rPr>
                <w:sz w:val="11"/>
                <w:szCs w:val="11"/>
                <w:spacing w:val="-2"/>
              </w:rPr>
              <w:t>安州区</w:t>
            </w:r>
          </w:p>
        </w:tc>
        <w:tc>
          <w:tcPr>
            <w:tcW w:w="879" w:type="dxa"/>
            <w:vAlign w:val="top"/>
          </w:tcPr>
          <w:p>
            <w:pPr>
              <w:pStyle w:val="TableText"/>
              <w:ind w:left="106"/>
              <w:spacing w:before="70" w:line="220" w:lineRule="auto"/>
              <w:rPr>
                <w:sz w:val="11"/>
                <w:szCs w:val="11"/>
              </w:rPr>
            </w:pPr>
            <w:r>
              <w:rPr>
                <w:sz w:val="11"/>
                <w:szCs w:val="11"/>
                <w:spacing w:val="-1"/>
              </w:rPr>
              <w:t>大气环境分区</w:t>
            </w:r>
          </w:p>
        </w:tc>
        <w:tc>
          <w:tcPr>
            <w:tcW w:w="1743" w:type="dxa"/>
            <w:vAlign w:val="top"/>
          </w:tcPr>
          <w:p>
            <w:pPr>
              <w:pStyle w:val="TableText"/>
              <w:ind w:left="37"/>
              <w:spacing w:before="70" w:line="219" w:lineRule="auto"/>
              <w:rPr>
                <w:sz w:val="11"/>
                <w:szCs w:val="11"/>
              </w:rPr>
            </w:pPr>
            <w:r>
              <w:rPr>
                <w:sz w:val="11"/>
                <w:szCs w:val="11"/>
                <w:spacing w:val="-1"/>
              </w:rPr>
              <w:t>大气环境高排放重点管控区</w:t>
            </w:r>
          </w:p>
        </w:tc>
      </w:tr>
      <w:tr>
        <w:trPr>
          <w:trHeight w:val="258" w:hRule="atLeast"/>
        </w:trPr>
        <w:tc>
          <w:tcPr>
            <w:tcW w:w="354" w:type="dxa"/>
            <w:vAlign w:val="top"/>
          </w:tcPr>
          <w:p>
            <w:pPr>
              <w:pStyle w:val="TableText"/>
              <w:ind w:left="135"/>
              <w:spacing w:before="92" w:line="241" w:lineRule="auto"/>
              <w:rPr>
                <w:sz w:val="11"/>
                <w:szCs w:val="11"/>
              </w:rPr>
            </w:pPr>
            <w:r>
              <w:rPr>
                <w:sz w:val="11"/>
                <w:szCs w:val="11"/>
              </w:rPr>
              <w:t>4</w:t>
            </w:r>
          </w:p>
        </w:tc>
        <w:tc>
          <w:tcPr>
            <w:tcW w:w="1168" w:type="dxa"/>
            <w:vAlign w:val="top"/>
          </w:tcPr>
          <w:p>
            <w:pPr>
              <w:pStyle w:val="TableText"/>
              <w:ind w:left="160"/>
              <w:spacing w:before="109" w:line="184" w:lineRule="auto"/>
              <w:rPr>
                <w:sz w:val="11"/>
                <w:szCs w:val="11"/>
              </w:rPr>
            </w:pPr>
            <w:r>
              <w:rPr>
                <w:sz w:val="11"/>
                <w:szCs w:val="11"/>
                <w:spacing w:val="-1"/>
              </w:rPr>
              <w:t>YS5107052530001</w:t>
            </w:r>
          </w:p>
        </w:tc>
        <w:tc>
          <w:tcPr>
            <w:tcW w:w="1668" w:type="dxa"/>
            <w:vAlign w:val="top"/>
          </w:tcPr>
          <w:p>
            <w:pPr>
              <w:pStyle w:val="TableText"/>
              <w:ind w:left="32"/>
              <w:spacing w:before="80" w:line="219" w:lineRule="auto"/>
              <w:rPr>
                <w:sz w:val="11"/>
                <w:szCs w:val="11"/>
              </w:rPr>
            </w:pPr>
            <w:r>
              <w:rPr>
                <w:sz w:val="11"/>
                <w:szCs w:val="11"/>
                <w:spacing w:val="-1"/>
              </w:rPr>
              <w:t>安州区城镇开发边界</w:t>
            </w:r>
          </w:p>
        </w:tc>
        <w:tc>
          <w:tcPr>
            <w:tcW w:w="639" w:type="dxa"/>
            <w:vAlign w:val="top"/>
          </w:tcPr>
          <w:p>
            <w:pPr>
              <w:pStyle w:val="TableText"/>
              <w:ind w:left="145"/>
              <w:spacing w:before="81" w:line="219" w:lineRule="auto"/>
              <w:rPr>
                <w:sz w:val="11"/>
                <w:szCs w:val="11"/>
              </w:rPr>
            </w:pPr>
            <w:r>
              <w:rPr>
                <w:sz w:val="11"/>
                <w:szCs w:val="11"/>
                <w:spacing w:val="-2"/>
              </w:rPr>
              <w:t>绵阳市</w:t>
            </w:r>
          </w:p>
        </w:tc>
        <w:tc>
          <w:tcPr>
            <w:tcW w:w="649" w:type="dxa"/>
            <w:vAlign w:val="top"/>
          </w:tcPr>
          <w:p>
            <w:pPr>
              <w:pStyle w:val="TableText"/>
              <w:ind w:left="155"/>
              <w:spacing w:before="80" w:line="219" w:lineRule="auto"/>
              <w:rPr>
                <w:sz w:val="11"/>
                <w:szCs w:val="11"/>
              </w:rPr>
            </w:pPr>
            <w:r>
              <w:rPr>
                <w:sz w:val="11"/>
                <w:szCs w:val="11"/>
                <w:spacing w:val="-2"/>
              </w:rPr>
              <w:t>安州区</w:t>
            </w:r>
          </w:p>
        </w:tc>
        <w:tc>
          <w:tcPr>
            <w:tcW w:w="879" w:type="dxa"/>
            <w:vAlign w:val="top"/>
          </w:tcPr>
          <w:p>
            <w:pPr>
              <w:pStyle w:val="TableText"/>
              <w:ind w:left="217"/>
              <w:spacing w:before="82" w:line="221" w:lineRule="auto"/>
              <w:rPr>
                <w:sz w:val="11"/>
                <w:szCs w:val="11"/>
              </w:rPr>
            </w:pPr>
            <w:r>
              <w:rPr>
                <w:sz w:val="11"/>
                <w:szCs w:val="11"/>
                <w:spacing w:val="3"/>
              </w:rPr>
              <w:t>资源利用</w:t>
            </w:r>
          </w:p>
        </w:tc>
        <w:tc>
          <w:tcPr>
            <w:tcW w:w="1743" w:type="dxa"/>
            <w:vAlign w:val="top"/>
          </w:tcPr>
          <w:p>
            <w:pPr>
              <w:pStyle w:val="TableText"/>
              <w:ind w:left="37"/>
              <w:spacing w:before="81" w:line="219" w:lineRule="auto"/>
              <w:rPr>
                <w:sz w:val="11"/>
                <w:szCs w:val="11"/>
              </w:rPr>
            </w:pPr>
            <w:r>
              <w:rPr>
                <w:sz w:val="11"/>
                <w:szCs w:val="11"/>
                <w:spacing w:val="-1"/>
              </w:rPr>
              <w:t>土地资源重点管控区</w:t>
            </w:r>
          </w:p>
        </w:tc>
      </w:tr>
      <w:tr>
        <w:trPr>
          <w:trHeight w:val="249" w:hRule="atLeast"/>
        </w:trPr>
        <w:tc>
          <w:tcPr>
            <w:tcW w:w="354" w:type="dxa"/>
            <w:vAlign w:val="top"/>
          </w:tcPr>
          <w:p>
            <w:pPr>
              <w:pStyle w:val="TableText"/>
              <w:ind w:left="135"/>
              <w:spacing w:before="84"/>
              <w:rPr>
                <w:sz w:val="11"/>
                <w:szCs w:val="11"/>
              </w:rPr>
            </w:pPr>
            <w:r>
              <w:rPr>
                <w:sz w:val="11"/>
                <w:szCs w:val="11"/>
              </w:rPr>
              <w:t>5</w:t>
            </w:r>
          </w:p>
        </w:tc>
        <w:tc>
          <w:tcPr>
            <w:tcW w:w="1168" w:type="dxa"/>
            <w:vAlign w:val="top"/>
          </w:tcPr>
          <w:p>
            <w:pPr>
              <w:pStyle w:val="TableText"/>
              <w:ind w:left="160"/>
              <w:spacing w:before="101" w:line="184" w:lineRule="auto"/>
              <w:rPr>
                <w:sz w:val="11"/>
                <w:szCs w:val="11"/>
              </w:rPr>
            </w:pPr>
            <w:r>
              <w:rPr>
                <w:sz w:val="11"/>
                <w:szCs w:val="11"/>
                <w:spacing w:val="-1"/>
              </w:rPr>
              <w:t>YS5107052540001</w:t>
            </w:r>
          </w:p>
        </w:tc>
        <w:tc>
          <w:tcPr>
            <w:tcW w:w="1668" w:type="dxa"/>
            <w:vAlign w:val="top"/>
          </w:tcPr>
          <w:p>
            <w:pPr>
              <w:pStyle w:val="TableText"/>
              <w:ind w:left="32"/>
              <w:spacing w:before="72" w:line="219" w:lineRule="auto"/>
              <w:rPr>
                <w:sz w:val="11"/>
                <w:szCs w:val="11"/>
              </w:rPr>
            </w:pPr>
            <w:r>
              <w:rPr>
                <w:sz w:val="11"/>
                <w:szCs w:val="11"/>
                <w:spacing w:val="-1"/>
              </w:rPr>
              <w:t>安州区高污染燃料禁燃区</w:t>
            </w:r>
          </w:p>
        </w:tc>
        <w:tc>
          <w:tcPr>
            <w:tcW w:w="639" w:type="dxa"/>
            <w:vAlign w:val="top"/>
          </w:tcPr>
          <w:p>
            <w:pPr>
              <w:pStyle w:val="TableText"/>
              <w:ind w:left="145"/>
              <w:spacing w:before="73" w:line="219" w:lineRule="auto"/>
              <w:rPr>
                <w:sz w:val="11"/>
                <w:szCs w:val="11"/>
              </w:rPr>
            </w:pPr>
            <w:r>
              <w:rPr>
                <w:sz w:val="11"/>
                <w:szCs w:val="11"/>
                <w:spacing w:val="-2"/>
              </w:rPr>
              <w:t>绵阳市</w:t>
            </w:r>
          </w:p>
        </w:tc>
        <w:tc>
          <w:tcPr>
            <w:tcW w:w="649" w:type="dxa"/>
            <w:vAlign w:val="top"/>
          </w:tcPr>
          <w:p>
            <w:pPr>
              <w:pStyle w:val="TableText"/>
              <w:ind w:left="155"/>
              <w:spacing w:before="72" w:line="219" w:lineRule="auto"/>
              <w:rPr>
                <w:sz w:val="11"/>
                <w:szCs w:val="11"/>
              </w:rPr>
            </w:pPr>
            <w:r>
              <w:rPr>
                <w:sz w:val="11"/>
                <w:szCs w:val="11"/>
                <w:spacing w:val="-2"/>
              </w:rPr>
              <w:t>安州区</w:t>
            </w:r>
          </w:p>
        </w:tc>
        <w:tc>
          <w:tcPr>
            <w:tcW w:w="879" w:type="dxa"/>
            <w:vAlign w:val="top"/>
          </w:tcPr>
          <w:p>
            <w:pPr>
              <w:pStyle w:val="TableText"/>
              <w:ind w:left="217"/>
              <w:spacing w:before="74" w:line="221" w:lineRule="auto"/>
              <w:rPr>
                <w:sz w:val="11"/>
                <w:szCs w:val="11"/>
              </w:rPr>
            </w:pPr>
            <w:r>
              <w:rPr>
                <w:sz w:val="11"/>
                <w:szCs w:val="11"/>
                <w:spacing w:val="3"/>
              </w:rPr>
              <w:t>资源利用</w:t>
            </w:r>
          </w:p>
        </w:tc>
        <w:tc>
          <w:tcPr>
            <w:tcW w:w="1743" w:type="dxa"/>
            <w:vAlign w:val="top"/>
          </w:tcPr>
          <w:p>
            <w:pPr>
              <w:pStyle w:val="TableText"/>
              <w:ind w:left="37"/>
              <w:spacing w:before="73" w:line="219" w:lineRule="auto"/>
              <w:rPr>
                <w:sz w:val="11"/>
                <w:szCs w:val="11"/>
              </w:rPr>
            </w:pPr>
            <w:r>
              <w:rPr>
                <w:sz w:val="11"/>
                <w:szCs w:val="11"/>
                <w:spacing w:val="-1"/>
              </w:rPr>
              <w:t>高污染燃料禁迷区</w:t>
            </w:r>
          </w:p>
        </w:tc>
      </w:tr>
      <w:tr>
        <w:trPr>
          <w:trHeight w:val="254" w:hRule="atLeast"/>
        </w:trPr>
        <w:tc>
          <w:tcPr>
            <w:tcW w:w="354" w:type="dxa"/>
            <w:vAlign w:val="top"/>
            <w:textDirection w:val="tbRlV"/>
          </w:tcPr>
          <w:p>
            <w:pPr>
              <w:pStyle w:val="TableText"/>
              <w:ind w:left="50"/>
              <w:spacing w:before="157" w:line="78" w:lineRule="exact"/>
              <w:rPr>
                <w:sz w:val="11"/>
                <w:szCs w:val="11"/>
              </w:rPr>
            </w:pPr>
            <w:r>
              <w:rPr>
                <w:sz w:val="11"/>
                <w:szCs w:val="11"/>
                <w:spacing w:val="26"/>
                <w:w w:val="127"/>
                <w:position w:val="-2"/>
              </w:rPr>
              <w:t>6</w:t>
            </w:r>
          </w:p>
        </w:tc>
        <w:tc>
          <w:tcPr>
            <w:tcW w:w="1168" w:type="dxa"/>
            <w:vAlign w:val="top"/>
          </w:tcPr>
          <w:p>
            <w:pPr>
              <w:pStyle w:val="TableText"/>
              <w:ind w:left="160"/>
              <w:spacing w:before="102" w:line="184" w:lineRule="auto"/>
              <w:rPr>
                <w:sz w:val="11"/>
                <w:szCs w:val="11"/>
              </w:rPr>
            </w:pPr>
            <w:r>
              <w:rPr>
                <w:sz w:val="11"/>
                <w:szCs w:val="11"/>
                <w:spacing w:val="-1"/>
              </w:rPr>
              <w:t>YS5107052550001</w:t>
            </w:r>
          </w:p>
        </w:tc>
        <w:tc>
          <w:tcPr>
            <w:tcW w:w="1668" w:type="dxa"/>
            <w:vAlign w:val="top"/>
          </w:tcPr>
          <w:p>
            <w:pPr>
              <w:pStyle w:val="TableText"/>
              <w:ind w:left="32"/>
              <w:spacing w:before="73" w:line="219" w:lineRule="auto"/>
              <w:rPr>
                <w:sz w:val="11"/>
                <w:szCs w:val="11"/>
              </w:rPr>
            </w:pPr>
            <w:r>
              <w:rPr>
                <w:sz w:val="11"/>
                <w:szCs w:val="11"/>
                <w:spacing w:val="-1"/>
              </w:rPr>
              <w:t>安州区自然资源重点管控区</w:t>
            </w:r>
          </w:p>
        </w:tc>
        <w:tc>
          <w:tcPr>
            <w:tcW w:w="639" w:type="dxa"/>
            <w:vAlign w:val="top"/>
          </w:tcPr>
          <w:p>
            <w:pPr>
              <w:pStyle w:val="TableText"/>
              <w:ind w:left="145"/>
              <w:spacing w:before="74" w:line="219" w:lineRule="auto"/>
              <w:rPr>
                <w:sz w:val="11"/>
                <w:szCs w:val="11"/>
              </w:rPr>
            </w:pPr>
            <w:r>
              <w:rPr>
                <w:sz w:val="11"/>
                <w:szCs w:val="11"/>
                <w:spacing w:val="-2"/>
              </w:rPr>
              <w:t>绵阳市</w:t>
            </w:r>
          </w:p>
        </w:tc>
        <w:tc>
          <w:tcPr>
            <w:tcW w:w="649" w:type="dxa"/>
            <w:vAlign w:val="top"/>
          </w:tcPr>
          <w:p>
            <w:pPr>
              <w:pStyle w:val="TableText"/>
              <w:ind w:left="155"/>
              <w:spacing w:before="73" w:line="219" w:lineRule="auto"/>
              <w:rPr>
                <w:sz w:val="11"/>
                <w:szCs w:val="11"/>
              </w:rPr>
            </w:pPr>
            <w:r>
              <w:rPr>
                <w:sz w:val="11"/>
                <w:szCs w:val="11"/>
                <w:spacing w:val="-2"/>
              </w:rPr>
              <w:t>安州区</w:t>
            </w:r>
          </w:p>
        </w:tc>
        <w:tc>
          <w:tcPr>
            <w:tcW w:w="879" w:type="dxa"/>
            <w:vAlign w:val="top"/>
          </w:tcPr>
          <w:p>
            <w:pPr>
              <w:pStyle w:val="TableText"/>
              <w:ind w:left="217"/>
              <w:spacing w:before="75" w:line="221" w:lineRule="auto"/>
              <w:rPr>
                <w:sz w:val="11"/>
                <w:szCs w:val="11"/>
              </w:rPr>
            </w:pPr>
            <w:r>
              <w:rPr>
                <w:sz w:val="11"/>
                <w:szCs w:val="11"/>
                <w:spacing w:val="3"/>
              </w:rPr>
              <w:t>资源利用</w:t>
            </w:r>
          </w:p>
        </w:tc>
        <w:tc>
          <w:tcPr>
            <w:tcW w:w="1743" w:type="dxa"/>
            <w:vAlign w:val="top"/>
          </w:tcPr>
          <w:p>
            <w:pPr>
              <w:pStyle w:val="TableText"/>
              <w:ind w:left="37"/>
              <w:spacing w:before="74" w:line="219" w:lineRule="auto"/>
              <w:rPr>
                <w:sz w:val="11"/>
                <w:szCs w:val="11"/>
              </w:rPr>
            </w:pPr>
            <w:r>
              <w:rPr>
                <w:sz w:val="11"/>
                <w:szCs w:val="11"/>
                <w:spacing w:val="1"/>
              </w:rPr>
              <w:t>自然资源重点管控区</w:t>
            </w:r>
          </w:p>
        </w:tc>
      </w:tr>
    </w:tbl>
    <w:p>
      <w:pPr>
        <w:ind w:left="736"/>
        <w:spacing w:before="72" w:line="184" w:lineRule="auto"/>
        <w:rPr>
          <w:rFonts w:ascii="SimSun" w:hAnsi="SimSun" w:eastAsia="SimSun" w:cs="SimSun"/>
          <w:sz w:val="24"/>
          <w:szCs w:val="24"/>
        </w:rPr>
      </w:pPr>
      <w:r>
        <w:rPr>
          <w:rFonts w:ascii="SimSun" w:hAnsi="SimSun" w:eastAsia="SimSun" w:cs="SimSun"/>
          <w:sz w:val="24"/>
          <w:szCs w:val="24"/>
          <w:b/>
          <w:bCs/>
          <w:spacing w:val="-2"/>
        </w:rPr>
        <w:t>图1.5-4项目“生态环境分区管控符合性分析”系统查询</w:t>
      </w:r>
      <w:r>
        <w:rPr>
          <w:rFonts w:ascii="SimSun" w:hAnsi="SimSun" w:eastAsia="SimSun" w:cs="SimSun"/>
          <w:sz w:val="24"/>
          <w:szCs w:val="24"/>
          <w:b/>
          <w:bCs/>
          <w:spacing w:val="-3"/>
        </w:rPr>
        <w:t>结果截图</w:t>
      </w:r>
    </w:p>
    <w:p>
      <w:pPr>
        <w:spacing w:line="184" w:lineRule="auto"/>
        <w:sectPr>
          <w:type w:val="continuous"/>
          <w:pgSz w:w="11910" w:h="16840"/>
          <w:pgMar w:top="1170" w:right="1786" w:bottom="991" w:left="1786" w:header="862" w:footer="730" w:gutter="0"/>
          <w:cols w:equalWidth="0" w:num="1">
            <w:col w:w="8337" w:space="0"/>
          </w:cols>
        </w:sectPr>
        <w:rPr>
          <w:rFonts w:ascii="SimSun" w:hAnsi="SimSun" w:eastAsia="SimSun" w:cs="SimSun"/>
          <w:sz w:val="24"/>
          <w:szCs w:val="24"/>
        </w:rPr>
      </w:pP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9" w:lineRule="auto"/>
        <w:rPr/>
      </w:pPr>
      <w:r/>
    </w:p>
    <w:p>
      <w:pPr>
        <w:pStyle w:val="BodyText"/>
        <w:spacing w:line="249" w:lineRule="auto"/>
        <w:rPr/>
      </w:pPr>
      <w:r/>
    </w:p>
    <w:p>
      <w:pPr>
        <w:pStyle w:val="BodyText"/>
        <w:spacing w:line="249" w:lineRule="auto"/>
        <w:rPr/>
      </w:pPr>
      <w:r/>
    </w:p>
    <w:p>
      <w:pPr>
        <w:ind w:left="6825"/>
        <w:spacing w:before="36" w:line="222" w:lineRule="auto"/>
        <w:rPr>
          <w:rFonts w:ascii="SimHei" w:hAnsi="SimHei" w:eastAsia="SimHei" w:cs="SimHei"/>
          <w:sz w:val="11"/>
          <w:szCs w:val="11"/>
        </w:rPr>
      </w:pPr>
      <w:r>
        <w:drawing>
          <wp:anchor distT="0" distB="0" distL="0" distR="0" simplePos="0" relativeHeight="251712512" behindDoc="1" locked="0" layoutInCell="1" allowOverlap="1">
            <wp:simplePos x="0" y="0"/>
            <wp:positionH relativeFrom="column">
              <wp:posOffset>377839</wp:posOffset>
            </wp:positionH>
            <wp:positionV relativeFrom="paragraph">
              <wp:posOffset>-1966914</wp:posOffset>
            </wp:positionV>
            <wp:extent cx="4635497" cy="2832146"/>
            <wp:effectExtent l="0" t="0" r="0" b="0"/>
            <wp:wrapNone/>
            <wp:docPr id="20" name="IM 20"/>
            <wp:cNvGraphicFramePr/>
            <a:graphic>
              <a:graphicData uri="http://schemas.openxmlformats.org/drawingml/2006/picture">
                <pic:pic>
                  <pic:nvPicPr>
                    <pic:cNvPr id="20" name="IM 20"/>
                    <pic:cNvPicPr/>
                  </pic:nvPicPr>
                  <pic:blipFill>
                    <a:blip r:embed="rId101"/>
                    <a:stretch>
                      <a:fillRect/>
                    </a:stretch>
                  </pic:blipFill>
                  <pic:spPr>
                    <a:xfrm rot="0">
                      <a:off x="0" y="0"/>
                      <a:ext cx="4635497" cy="2832146"/>
                    </a:xfrm>
                    <a:prstGeom prst="rect">
                      <a:avLst/>
                    </a:prstGeom>
                  </pic:spPr>
                </pic:pic>
              </a:graphicData>
            </a:graphic>
          </wp:anchor>
        </w:drawing>
      </w:r>
      <w:r>
        <w:rPr>
          <w:rFonts w:ascii="SimHei" w:hAnsi="SimHei" w:eastAsia="SimHei" w:cs="SimHei"/>
          <w:sz w:val="11"/>
          <w:szCs w:val="11"/>
          <w:spacing w:val="-5"/>
        </w:rPr>
        <w:t>环境综合管控单元</w:t>
      </w:r>
    </w:p>
    <w:p>
      <w:pPr>
        <w:ind w:left="6825"/>
        <w:spacing w:before="87" w:line="222" w:lineRule="auto"/>
        <w:rPr>
          <w:rFonts w:ascii="SimHei" w:hAnsi="SimHei" w:eastAsia="SimHei" w:cs="SimHei"/>
          <w:sz w:val="11"/>
          <w:szCs w:val="11"/>
        </w:rPr>
      </w:pPr>
      <w:r>
        <w:rPr>
          <w:rFonts w:ascii="SimHei" w:hAnsi="SimHei" w:eastAsia="SimHei" w:cs="SimHei"/>
          <w:sz w:val="11"/>
          <w:szCs w:val="11"/>
          <w:spacing w:val="-5"/>
        </w:rPr>
        <w:t>■</w:t>
      </w:r>
      <w:r>
        <w:rPr>
          <w:rFonts w:ascii="SimHei" w:hAnsi="SimHei" w:eastAsia="SimHei" w:cs="SimHei"/>
          <w:sz w:val="11"/>
          <w:szCs w:val="11"/>
          <w:spacing w:val="-22"/>
        </w:rPr>
        <w:t xml:space="preserve"> </w:t>
      </w:r>
      <w:r>
        <w:rPr>
          <w:rFonts w:ascii="SimHei" w:hAnsi="SimHei" w:eastAsia="SimHei" w:cs="SimHei"/>
          <w:sz w:val="11"/>
          <w:szCs w:val="11"/>
          <w:spacing w:val="-5"/>
        </w:rPr>
        <w:t>优先保护单元</w:t>
      </w:r>
    </w:p>
    <w:p>
      <w:pPr>
        <w:ind w:left="6944" w:right="719" w:hanging="119"/>
        <w:spacing w:before="78" w:line="304" w:lineRule="auto"/>
        <w:rPr>
          <w:rFonts w:ascii="SimHei" w:hAnsi="SimHei" w:eastAsia="SimHei" w:cs="SimHei"/>
          <w:sz w:val="11"/>
          <w:szCs w:val="11"/>
        </w:rPr>
      </w:pPr>
      <w:r>
        <w:rPr>
          <w:rFonts w:ascii="SimHei" w:hAnsi="SimHei" w:eastAsia="SimHei" w:cs="SimHei"/>
          <w:sz w:val="11"/>
          <w:szCs w:val="11"/>
          <w:spacing w:val="-7"/>
        </w:rPr>
        <w:t>■</w:t>
      </w:r>
      <w:r>
        <w:rPr>
          <w:rFonts w:ascii="SimHei" w:hAnsi="SimHei" w:eastAsia="SimHei" w:cs="SimHei"/>
          <w:sz w:val="11"/>
          <w:szCs w:val="11"/>
          <w:spacing w:val="-18"/>
        </w:rPr>
        <w:t xml:space="preserve"> </w:t>
      </w:r>
      <w:r>
        <w:rPr>
          <w:rFonts w:ascii="SimHei" w:hAnsi="SimHei" w:eastAsia="SimHei" w:cs="SimHei"/>
          <w:sz w:val="11"/>
          <w:szCs w:val="11"/>
          <w:spacing w:val="-7"/>
        </w:rPr>
        <w:t>工业重点管控单元</w:t>
      </w:r>
      <w:r>
        <w:rPr>
          <w:rFonts w:ascii="SimHei" w:hAnsi="SimHei" w:eastAsia="SimHei" w:cs="SimHei"/>
          <w:sz w:val="11"/>
          <w:szCs w:val="11"/>
        </w:rPr>
        <w:t xml:space="preserve"> </w:t>
      </w:r>
      <w:r>
        <w:rPr>
          <w:rFonts w:ascii="SimHei" w:hAnsi="SimHei" w:eastAsia="SimHei" w:cs="SimHei"/>
          <w:sz w:val="11"/>
          <w:szCs w:val="11"/>
          <w:spacing w:val="-5"/>
        </w:rPr>
        <w:t>城镇重点管控单元</w:t>
      </w:r>
    </w:p>
    <w:p>
      <w:pPr>
        <w:ind w:left="6934" w:right="719" w:hanging="109"/>
        <w:spacing w:before="126" w:line="253" w:lineRule="auto"/>
        <w:rPr>
          <w:rFonts w:ascii="SimHei" w:hAnsi="SimHei" w:eastAsia="SimHei" w:cs="SimHei"/>
          <w:sz w:val="11"/>
          <w:szCs w:val="11"/>
        </w:rPr>
      </w:pPr>
      <w:r>
        <w:rPr>
          <w:rFonts w:ascii="SimHei" w:hAnsi="SimHei" w:eastAsia="SimHei" w:cs="SimHei"/>
          <w:sz w:val="11"/>
          <w:szCs w:val="11"/>
          <w:color w:val="401020"/>
          <w:spacing w:val="-7"/>
        </w:rPr>
        <w:t>■</w:t>
      </w:r>
      <w:r>
        <w:rPr>
          <w:rFonts w:ascii="SimHei" w:hAnsi="SimHei" w:eastAsia="SimHei" w:cs="SimHei"/>
          <w:sz w:val="11"/>
          <w:szCs w:val="11"/>
          <w:color w:val="401020"/>
          <w:spacing w:val="-18"/>
        </w:rPr>
        <w:t xml:space="preserve"> </w:t>
      </w:r>
      <w:r>
        <w:rPr>
          <w:rFonts w:ascii="SimHei" w:hAnsi="SimHei" w:eastAsia="SimHei" w:cs="SimHei"/>
          <w:sz w:val="11"/>
          <w:szCs w:val="11"/>
          <w:spacing w:val="-7"/>
        </w:rPr>
        <w:t>要素重点管控单元</w:t>
      </w:r>
      <w:r>
        <w:rPr>
          <w:rFonts w:ascii="SimHei" w:hAnsi="SimHei" w:eastAsia="SimHei" w:cs="SimHei"/>
          <w:sz w:val="11"/>
          <w:szCs w:val="11"/>
        </w:rPr>
        <w:t xml:space="preserve"> </w:t>
      </w:r>
      <w:r>
        <w:rPr>
          <w:rFonts w:ascii="SimHei" w:hAnsi="SimHei" w:eastAsia="SimHei" w:cs="SimHei"/>
          <w:sz w:val="11"/>
          <w:szCs w:val="11"/>
          <w:spacing w:val="-2"/>
        </w:rPr>
        <w:t>一般管控单元</w:t>
      </w:r>
    </w:p>
    <w:p>
      <w:pPr>
        <w:ind w:left="108"/>
        <w:spacing w:before="101" w:line="219" w:lineRule="auto"/>
        <w:rPr>
          <w:rFonts w:ascii="SimSun" w:hAnsi="SimSun" w:eastAsia="SimSun" w:cs="SimSun"/>
          <w:sz w:val="24"/>
          <w:szCs w:val="24"/>
        </w:rPr>
      </w:pPr>
      <w:r>
        <w:rPr>
          <w:rFonts w:ascii="SimSun" w:hAnsi="SimSun" w:eastAsia="SimSun" w:cs="SimSun"/>
          <w:sz w:val="24"/>
          <w:szCs w:val="24"/>
          <w:b/>
          <w:bCs/>
          <w:spacing w:val="6"/>
        </w:rPr>
        <w:t>图1.5-5项目“生态环境分区管控符合性分析”系统图(图</w:t>
      </w:r>
      <w:r>
        <w:rPr>
          <w:rFonts w:ascii="SimSun" w:hAnsi="SimSun" w:eastAsia="SimSun" w:cs="SimSun"/>
          <w:sz w:val="24"/>
          <w:szCs w:val="24"/>
          <w:b/>
          <w:bCs/>
          <w:spacing w:val="5"/>
        </w:rPr>
        <w:t>中</w:t>
      </w:r>
      <w:r>
        <w:rPr>
          <w:rFonts w:ascii="SimSun" w:hAnsi="SimSun" w:eastAsia="SimSun" w:cs="SimSun"/>
          <w:sz w:val="24"/>
          <w:szCs w:val="24"/>
          <w:spacing w:val="5"/>
        </w:rPr>
        <w:t xml:space="preserve"> </w:t>
      </w:r>
      <w:r>
        <w:rPr>
          <w:rFonts w:ascii="SimSun" w:hAnsi="SimSun" w:eastAsia="SimSun" w:cs="SimSun"/>
          <w:sz w:val="24"/>
          <w:szCs w:val="24"/>
          <w:b/>
          <w:bCs/>
          <w:spacing w:val="5"/>
        </w:rPr>
        <w:t>表示项目位置)</w:t>
      </w:r>
    </w:p>
    <w:p>
      <w:pPr>
        <w:ind w:left="595"/>
        <w:spacing w:before="199" w:line="219" w:lineRule="auto"/>
        <w:rPr>
          <w:rFonts w:ascii="SimSun" w:hAnsi="SimSun" w:eastAsia="SimSun" w:cs="SimSun"/>
          <w:sz w:val="24"/>
          <w:szCs w:val="24"/>
        </w:rPr>
      </w:pPr>
      <w:r>
        <w:rPr>
          <w:rFonts w:ascii="SimSun" w:hAnsi="SimSun" w:eastAsia="SimSun" w:cs="SimSun"/>
          <w:sz w:val="24"/>
          <w:szCs w:val="24"/>
          <w:spacing w:val="-4"/>
        </w:rPr>
        <w:t>涉及到管控单元见下表。</w:t>
      </w:r>
    </w:p>
    <w:p>
      <w:pPr>
        <w:ind w:left="2758"/>
        <w:spacing w:before="192" w:line="207" w:lineRule="auto"/>
        <w:rPr>
          <w:rFonts w:ascii="SimSun" w:hAnsi="SimSun" w:eastAsia="SimSun" w:cs="SimSun"/>
          <w:sz w:val="24"/>
          <w:szCs w:val="24"/>
        </w:rPr>
      </w:pPr>
      <w:r>
        <w:rPr>
          <w:rFonts w:ascii="SimSun" w:hAnsi="SimSun" w:eastAsia="SimSun" w:cs="SimSun"/>
          <w:sz w:val="24"/>
          <w:szCs w:val="24"/>
          <w:b/>
          <w:bCs/>
          <w:spacing w:val="-4"/>
        </w:rPr>
        <w:t>表1.5-2项目涉及的管控单元</w:t>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733"/>
        <w:gridCol w:w="2107"/>
        <w:gridCol w:w="669"/>
        <w:gridCol w:w="689"/>
        <w:gridCol w:w="1388"/>
        <w:gridCol w:w="1913"/>
      </w:tblGrid>
      <w:tr>
        <w:trPr>
          <w:trHeight w:val="543" w:hRule="atLeast"/>
        </w:trPr>
        <w:tc>
          <w:tcPr>
            <w:shd w:val="clear" w:fill="BEBEBE"/>
            <w:tcW w:w="1733" w:type="dxa"/>
            <w:vAlign w:val="top"/>
          </w:tcPr>
          <w:p>
            <w:pPr>
              <w:pStyle w:val="TableText"/>
              <w:ind w:left="18"/>
              <w:spacing w:before="170" w:line="219" w:lineRule="auto"/>
              <w:rPr>
                <w:sz w:val="21"/>
                <w:szCs w:val="21"/>
              </w:rPr>
            </w:pPr>
            <w:r>
              <w:rPr>
                <w:sz w:val="21"/>
                <w:szCs w:val="21"/>
                <w:b/>
                <w:bCs/>
                <w:spacing w:val="-4"/>
              </w:rPr>
              <w:t>环境管控单元编码</w:t>
            </w:r>
          </w:p>
        </w:tc>
        <w:tc>
          <w:tcPr>
            <w:shd w:val="clear" w:fill="BDBDBD"/>
            <w:tcW w:w="2107" w:type="dxa"/>
            <w:vAlign w:val="top"/>
          </w:tcPr>
          <w:p>
            <w:pPr>
              <w:pStyle w:val="TableText"/>
              <w:ind w:left="205"/>
              <w:spacing w:before="170" w:line="219" w:lineRule="auto"/>
              <w:rPr>
                <w:sz w:val="21"/>
                <w:szCs w:val="21"/>
              </w:rPr>
            </w:pPr>
            <w:r>
              <w:rPr>
                <w:sz w:val="21"/>
                <w:szCs w:val="21"/>
                <w:b/>
                <w:bCs/>
                <w:spacing w:val="-4"/>
              </w:rPr>
              <w:t>环境管控单元名称</w:t>
            </w:r>
          </w:p>
        </w:tc>
        <w:tc>
          <w:tcPr>
            <w:shd w:val="clear" w:fill="BDBDBD"/>
            <w:tcW w:w="669" w:type="dxa"/>
            <w:vAlign w:val="top"/>
          </w:tcPr>
          <w:p>
            <w:pPr>
              <w:pStyle w:val="TableText"/>
              <w:ind w:left="17"/>
              <w:spacing w:before="30" w:line="219" w:lineRule="auto"/>
              <w:rPr>
                <w:sz w:val="21"/>
                <w:szCs w:val="21"/>
              </w:rPr>
            </w:pPr>
            <w:r>
              <w:rPr>
                <w:sz w:val="21"/>
                <w:szCs w:val="21"/>
                <w:b/>
                <w:bCs/>
                <w:spacing w:val="-5"/>
              </w:rPr>
              <w:t>所属市</w:t>
            </w:r>
          </w:p>
          <w:p>
            <w:pPr>
              <w:pStyle w:val="TableText"/>
              <w:ind w:left="117"/>
              <w:spacing w:before="19" w:line="205" w:lineRule="auto"/>
              <w:rPr>
                <w:sz w:val="21"/>
                <w:szCs w:val="21"/>
              </w:rPr>
            </w:pPr>
            <w:r>
              <w:rPr>
                <w:sz w:val="21"/>
                <w:szCs w:val="21"/>
                <w:b/>
                <w:bCs/>
                <w:spacing w:val="11"/>
              </w:rPr>
              <w:t>(州)</w:t>
            </w:r>
          </w:p>
        </w:tc>
        <w:tc>
          <w:tcPr>
            <w:shd w:val="clear" w:fill="BDBDBD"/>
            <w:tcW w:w="689" w:type="dxa"/>
            <w:vAlign w:val="top"/>
          </w:tcPr>
          <w:p>
            <w:pPr>
              <w:pStyle w:val="TableText"/>
              <w:ind w:left="129"/>
              <w:spacing w:before="21" w:line="220" w:lineRule="auto"/>
              <w:rPr>
                <w:sz w:val="21"/>
                <w:szCs w:val="21"/>
              </w:rPr>
            </w:pPr>
            <w:r>
              <w:rPr>
                <w:sz w:val="21"/>
                <w:szCs w:val="21"/>
                <w:b/>
                <w:bCs/>
                <w:spacing w:val="3"/>
              </w:rPr>
              <w:t>所属</w:t>
            </w:r>
          </w:p>
          <w:p>
            <w:pPr>
              <w:pStyle w:val="TableText"/>
              <w:ind w:left="129"/>
              <w:spacing w:before="13" w:line="218" w:lineRule="auto"/>
              <w:rPr>
                <w:sz w:val="21"/>
                <w:szCs w:val="21"/>
              </w:rPr>
            </w:pPr>
            <w:r>
              <w:rPr>
                <w:sz w:val="21"/>
                <w:szCs w:val="21"/>
                <w:b/>
                <w:bCs/>
                <w:spacing w:val="-1"/>
              </w:rPr>
              <w:t>区县</w:t>
            </w:r>
          </w:p>
        </w:tc>
        <w:tc>
          <w:tcPr>
            <w:shd w:val="clear" w:fill="BEBEBE"/>
            <w:tcW w:w="1388" w:type="dxa"/>
            <w:vAlign w:val="top"/>
          </w:tcPr>
          <w:p>
            <w:pPr>
              <w:pStyle w:val="TableText"/>
              <w:ind w:left="59"/>
              <w:spacing w:before="170" w:line="219" w:lineRule="auto"/>
              <w:rPr>
                <w:sz w:val="21"/>
                <w:szCs w:val="21"/>
              </w:rPr>
            </w:pPr>
            <w:r>
              <w:rPr>
                <w:sz w:val="21"/>
                <w:szCs w:val="21"/>
                <w:b/>
                <w:bCs/>
                <w:spacing w:val="-4"/>
              </w:rPr>
              <w:t>准入清单类型</w:t>
            </w:r>
          </w:p>
        </w:tc>
        <w:tc>
          <w:tcPr>
            <w:shd w:val="clear" w:fill="BDBDBD"/>
            <w:tcW w:w="1913" w:type="dxa"/>
            <w:vAlign w:val="top"/>
          </w:tcPr>
          <w:p>
            <w:pPr>
              <w:pStyle w:val="TableText"/>
              <w:ind w:left="531"/>
              <w:spacing w:before="170" w:line="219" w:lineRule="auto"/>
              <w:rPr>
                <w:sz w:val="21"/>
                <w:szCs w:val="21"/>
              </w:rPr>
            </w:pPr>
            <w:r>
              <w:rPr>
                <w:sz w:val="21"/>
                <w:szCs w:val="21"/>
                <w:b/>
                <w:bCs/>
                <w:spacing w:val="-1"/>
              </w:rPr>
              <w:t>管控类型</w:t>
            </w:r>
          </w:p>
        </w:tc>
      </w:tr>
      <w:tr>
        <w:trPr>
          <w:trHeight w:val="558" w:hRule="atLeast"/>
        </w:trPr>
        <w:tc>
          <w:tcPr>
            <w:tcW w:w="1733" w:type="dxa"/>
            <w:vAlign w:val="top"/>
          </w:tcPr>
          <w:p>
            <w:pPr>
              <w:pStyle w:val="TableText"/>
              <w:ind w:left="64"/>
              <w:spacing w:before="233" w:line="184" w:lineRule="auto"/>
              <w:rPr>
                <w:sz w:val="21"/>
                <w:szCs w:val="21"/>
              </w:rPr>
            </w:pPr>
            <w:r>
              <w:rPr>
                <w:sz w:val="21"/>
                <w:szCs w:val="21"/>
                <w:spacing w:val="-1"/>
              </w:rPr>
              <w:t>YS5107052210001</w:t>
            </w:r>
          </w:p>
        </w:tc>
        <w:tc>
          <w:tcPr>
            <w:tcW w:w="2107" w:type="dxa"/>
            <w:vAlign w:val="top"/>
          </w:tcPr>
          <w:p>
            <w:pPr>
              <w:pStyle w:val="TableText"/>
              <w:ind w:left="826" w:hanging="815"/>
              <w:spacing w:before="49" w:line="219" w:lineRule="auto"/>
              <w:rPr>
                <w:sz w:val="21"/>
                <w:szCs w:val="21"/>
              </w:rPr>
            </w:pPr>
            <w:r>
              <w:rPr>
                <w:sz w:val="21"/>
                <w:szCs w:val="21"/>
                <w:spacing w:val="-10"/>
              </w:rPr>
              <w:t>涪江-安州区-丰谷-控制</w:t>
            </w:r>
            <w:r>
              <w:rPr>
                <w:sz w:val="21"/>
                <w:szCs w:val="21"/>
              </w:rPr>
              <w:t xml:space="preserve"> </w:t>
            </w:r>
            <w:r>
              <w:rPr>
                <w:sz w:val="21"/>
                <w:szCs w:val="21"/>
                <w:spacing w:val="-4"/>
              </w:rPr>
              <w:t>单元</w:t>
            </w:r>
          </w:p>
        </w:tc>
        <w:tc>
          <w:tcPr>
            <w:tcW w:w="669" w:type="dxa"/>
            <w:vAlign w:val="top"/>
          </w:tcPr>
          <w:p>
            <w:pPr>
              <w:pStyle w:val="TableText"/>
              <w:ind w:right="1"/>
              <w:spacing w:before="180" w:line="219" w:lineRule="auto"/>
              <w:jc w:val="right"/>
              <w:rPr>
                <w:sz w:val="21"/>
                <w:szCs w:val="21"/>
              </w:rPr>
            </w:pPr>
            <w:r>
              <w:rPr>
                <w:sz w:val="21"/>
                <w:szCs w:val="21"/>
                <w:spacing w:val="4"/>
              </w:rPr>
              <w:t>绵阳市</w:t>
            </w:r>
          </w:p>
        </w:tc>
        <w:tc>
          <w:tcPr>
            <w:tcW w:w="689" w:type="dxa"/>
            <w:vAlign w:val="top"/>
          </w:tcPr>
          <w:p>
            <w:pPr>
              <w:pStyle w:val="TableText"/>
              <w:ind w:left="25"/>
              <w:spacing w:before="179" w:line="219" w:lineRule="auto"/>
              <w:rPr>
                <w:sz w:val="21"/>
                <w:szCs w:val="21"/>
              </w:rPr>
            </w:pPr>
            <w:r>
              <w:rPr>
                <w:sz w:val="21"/>
                <w:szCs w:val="21"/>
                <w:spacing w:val="6"/>
              </w:rPr>
              <w:t>安州区</w:t>
            </w:r>
          </w:p>
        </w:tc>
        <w:tc>
          <w:tcPr>
            <w:tcW w:w="1388" w:type="dxa"/>
            <w:vAlign w:val="top"/>
          </w:tcPr>
          <w:p>
            <w:pPr>
              <w:pStyle w:val="TableText"/>
              <w:ind w:left="585" w:right="71" w:hanging="529"/>
              <w:spacing w:before="40" w:line="223" w:lineRule="auto"/>
              <w:rPr>
                <w:sz w:val="21"/>
                <w:szCs w:val="21"/>
              </w:rPr>
            </w:pPr>
            <w:r>
              <w:rPr>
                <w:sz w:val="21"/>
                <w:szCs w:val="21"/>
                <w:spacing w:val="-2"/>
              </w:rPr>
              <w:t>水环境管控分</w:t>
            </w:r>
            <w:r>
              <w:rPr>
                <w:sz w:val="21"/>
                <w:szCs w:val="21"/>
              </w:rPr>
              <w:t xml:space="preserve"> </w:t>
            </w:r>
            <w:r>
              <w:rPr>
                <w:sz w:val="21"/>
                <w:szCs w:val="21"/>
              </w:rPr>
              <w:t>区</w:t>
            </w:r>
          </w:p>
        </w:tc>
        <w:tc>
          <w:tcPr>
            <w:tcW w:w="1913" w:type="dxa"/>
            <w:vAlign w:val="top"/>
          </w:tcPr>
          <w:p>
            <w:pPr>
              <w:pStyle w:val="TableText"/>
              <w:ind w:left="629" w:hanging="611"/>
              <w:spacing w:before="40" w:line="223" w:lineRule="auto"/>
              <w:rPr>
                <w:sz w:val="21"/>
                <w:szCs w:val="21"/>
              </w:rPr>
            </w:pPr>
            <w:r>
              <w:rPr>
                <w:sz w:val="21"/>
                <w:szCs w:val="21"/>
                <w:spacing w:val="-1"/>
              </w:rPr>
              <w:t>水环境工业污染重点</w:t>
            </w:r>
            <w:r>
              <w:rPr>
                <w:sz w:val="21"/>
                <w:szCs w:val="21"/>
                <w:spacing w:val="2"/>
              </w:rPr>
              <w:t xml:space="preserve"> </w:t>
            </w:r>
            <w:r>
              <w:rPr>
                <w:sz w:val="21"/>
                <w:szCs w:val="21"/>
                <w:spacing w:val="3"/>
              </w:rPr>
              <w:t>管控区</w:t>
            </w:r>
          </w:p>
        </w:tc>
      </w:tr>
      <w:tr>
        <w:trPr>
          <w:trHeight w:val="538" w:hRule="atLeast"/>
        </w:trPr>
        <w:tc>
          <w:tcPr>
            <w:tcW w:w="1733" w:type="dxa"/>
            <w:vAlign w:val="top"/>
          </w:tcPr>
          <w:p>
            <w:pPr>
              <w:pStyle w:val="TableText"/>
              <w:ind w:left="64"/>
              <w:spacing w:before="225" w:line="184" w:lineRule="auto"/>
              <w:rPr>
                <w:sz w:val="21"/>
                <w:szCs w:val="21"/>
              </w:rPr>
            </w:pPr>
            <w:r>
              <w:rPr>
                <w:sz w:val="21"/>
                <w:szCs w:val="21"/>
                <w:spacing w:val="-1"/>
              </w:rPr>
              <w:t>YS5107052310002</w:t>
            </w:r>
          </w:p>
        </w:tc>
        <w:tc>
          <w:tcPr>
            <w:tcW w:w="2107" w:type="dxa"/>
            <w:vAlign w:val="top"/>
          </w:tcPr>
          <w:p>
            <w:pPr>
              <w:pStyle w:val="TableText"/>
              <w:spacing w:before="171" w:line="219" w:lineRule="auto"/>
              <w:jc w:val="right"/>
              <w:rPr>
                <w:sz w:val="21"/>
                <w:szCs w:val="21"/>
              </w:rPr>
            </w:pPr>
            <w:r>
              <w:rPr>
                <w:sz w:val="21"/>
                <w:szCs w:val="21"/>
                <w:spacing w:val="-21"/>
              </w:rPr>
              <w:t>四川绵阳安州工业园区：</w:t>
            </w:r>
          </w:p>
        </w:tc>
        <w:tc>
          <w:tcPr>
            <w:tcW w:w="669" w:type="dxa"/>
            <w:vAlign w:val="top"/>
          </w:tcPr>
          <w:p>
            <w:pPr>
              <w:pStyle w:val="TableText"/>
              <w:ind w:right="1"/>
              <w:spacing w:before="172" w:line="219" w:lineRule="auto"/>
              <w:jc w:val="right"/>
              <w:rPr>
                <w:sz w:val="21"/>
                <w:szCs w:val="21"/>
              </w:rPr>
            </w:pPr>
            <w:r>
              <w:rPr>
                <w:sz w:val="21"/>
                <w:szCs w:val="21"/>
                <w:spacing w:val="4"/>
              </w:rPr>
              <w:t>绵阳市</w:t>
            </w:r>
          </w:p>
        </w:tc>
        <w:tc>
          <w:tcPr>
            <w:tcW w:w="689" w:type="dxa"/>
            <w:vAlign w:val="top"/>
          </w:tcPr>
          <w:p>
            <w:pPr>
              <w:pStyle w:val="TableText"/>
              <w:ind w:left="25"/>
              <w:spacing w:before="171" w:line="219" w:lineRule="auto"/>
              <w:rPr>
                <w:sz w:val="21"/>
                <w:szCs w:val="21"/>
              </w:rPr>
            </w:pPr>
            <w:r>
              <w:rPr>
                <w:sz w:val="21"/>
                <w:szCs w:val="21"/>
                <w:spacing w:val="6"/>
              </w:rPr>
              <w:t>安州区</w:t>
            </w:r>
          </w:p>
        </w:tc>
        <w:tc>
          <w:tcPr>
            <w:tcW w:w="1388" w:type="dxa"/>
            <w:vAlign w:val="top"/>
          </w:tcPr>
          <w:p>
            <w:pPr>
              <w:pStyle w:val="TableText"/>
              <w:ind w:left="476" w:right="71" w:hanging="420"/>
              <w:spacing w:before="43" w:line="213" w:lineRule="auto"/>
              <w:rPr>
                <w:sz w:val="21"/>
                <w:szCs w:val="21"/>
              </w:rPr>
            </w:pPr>
            <w:r>
              <w:rPr>
                <w:sz w:val="21"/>
                <w:szCs w:val="21"/>
                <w:spacing w:val="-2"/>
              </w:rPr>
              <w:t>大气环境管控</w:t>
            </w:r>
            <w:r>
              <w:rPr>
                <w:sz w:val="21"/>
                <w:szCs w:val="21"/>
              </w:rPr>
              <w:t xml:space="preserve"> </w:t>
            </w:r>
            <w:r>
              <w:rPr>
                <w:sz w:val="21"/>
                <w:szCs w:val="21"/>
                <w:spacing w:val="9"/>
              </w:rPr>
              <w:t>分区</w:t>
            </w:r>
          </w:p>
        </w:tc>
        <w:tc>
          <w:tcPr>
            <w:tcW w:w="1913" w:type="dxa"/>
            <w:vAlign w:val="top"/>
          </w:tcPr>
          <w:p>
            <w:pPr>
              <w:pStyle w:val="TableText"/>
              <w:ind w:left="629" w:hanging="611"/>
              <w:spacing w:before="43" w:line="213" w:lineRule="auto"/>
              <w:rPr>
                <w:sz w:val="21"/>
                <w:szCs w:val="21"/>
              </w:rPr>
            </w:pPr>
            <w:r>
              <w:rPr>
                <w:sz w:val="21"/>
                <w:szCs w:val="21"/>
                <w:spacing w:val="-1"/>
              </w:rPr>
              <w:t>大气环境高排放重点</w:t>
            </w:r>
            <w:r>
              <w:rPr>
                <w:sz w:val="21"/>
                <w:szCs w:val="21"/>
                <w:spacing w:val="2"/>
              </w:rPr>
              <w:t xml:space="preserve"> </w:t>
            </w:r>
            <w:r>
              <w:rPr>
                <w:sz w:val="21"/>
                <w:szCs w:val="21"/>
                <w:spacing w:val="3"/>
              </w:rPr>
              <w:t>管控区</w:t>
            </w:r>
          </w:p>
        </w:tc>
      </w:tr>
      <w:tr>
        <w:trPr>
          <w:trHeight w:val="269" w:hRule="atLeast"/>
        </w:trPr>
        <w:tc>
          <w:tcPr>
            <w:tcW w:w="1733" w:type="dxa"/>
            <w:vAlign w:val="top"/>
          </w:tcPr>
          <w:p>
            <w:pPr>
              <w:pStyle w:val="TableText"/>
              <w:ind w:left="64"/>
              <w:spacing w:before="87" w:line="172" w:lineRule="exact"/>
              <w:rPr>
                <w:sz w:val="21"/>
                <w:szCs w:val="21"/>
              </w:rPr>
            </w:pPr>
            <w:r>
              <w:rPr>
                <w:sz w:val="21"/>
                <w:szCs w:val="21"/>
                <w:spacing w:val="-1"/>
                <w:position w:val="-2"/>
              </w:rPr>
              <w:t>YS5107052530001</w:t>
            </w:r>
          </w:p>
        </w:tc>
        <w:tc>
          <w:tcPr>
            <w:tcW w:w="2107" w:type="dxa"/>
            <w:vAlign w:val="top"/>
          </w:tcPr>
          <w:p>
            <w:pPr>
              <w:pStyle w:val="TableText"/>
              <w:ind w:left="101"/>
              <w:spacing w:before="33" w:line="198" w:lineRule="auto"/>
              <w:rPr>
                <w:sz w:val="21"/>
                <w:szCs w:val="21"/>
              </w:rPr>
            </w:pPr>
            <w:r>
              <w:rPr>
                <w:sz w:val="21"/>
                <w:szCs w:val="21"/>
                <w:spacing w:val="1"/>
              </w:rPr>
              <w:t>安州区城镇开发边界</w:t>
            </w:r>
          </w:p>
        </w:tc>
        <w:tc>
          <w:tcPr>
            <w:tcW w:w="669" w:type="dxa"/>
            <w:vAlign w:val="top"/>
          </w:tcPr>
          <w:p>
            <w:pPr>
              <w:pStyle w:val="TableText"/>
              <w:ind w:right="1"/>
              <w:spacing w:before="34" w:line="197" w:lineRule="auto"/>
              <w:jc w:val="right"/>
              <w:rPr>
                <w:sz w:val="21"/>
                <w:szCs w:val="21"/>
              </w:rPr>
            </w:pPr>
            <w:r>
              <w:rPr>
                <w:sz w:val="21"/>
                <w:szCs w:val="21"/>
                <w:color w:val="909070"/>
                <w:spacing w:val="4"/>
              </w:rPr>
              <w:t>绵阳市</w:t>
            </w:r>
          </w:p>
        </w:tc>
        <w:tc>
          <w:tcPr>
            <w:tcW w:w="689" w:type="dxa"/>
            <w:vAlign w:val="top"/>
          </w:tcPr>
          <w:p>
            <w:pPr>
              <w:pStyle w:val="TableText"/>
              <w:ind w:left="25"/>
              <w:spacing w:before="33" w:line="198" w:lineRule="auto"/>
              <w:rPr>
                <w:sz w:val="21"/>
                <w:szCs w:val="21"/>
              </w:rPr>
            </w:pPr>
            <w:r>
              <w:rPr>
                <w:sz w:val="21"/>
                <w:szCs w:val="21"/>
                <w:color w:val="707060"/>
                <w:spacing w:val="6"/>
              </w:rPr>
              <w:t>安州区</w:t>
            </w:r>
          </w:p>
        </w:tc>
        <w:tc>
          <w:tcPr>
            <w:tcW w:w="1388" w:type="dxa"/>
            <w:vAlign w:val="top"/>
          </w:tcPr>
          <w:p>
            <w:pPr>
              <w:pStyle w:val="TableText"/>
              <w:ind w:left="56"/>
              <w:spacing w:before="34" w:line="197" w:lineRule="auto"/>
              <w:rPr>
                <w:sz w:val="21"/>
                <w:szCs w:val="21"/>
              </w:rPr>
            </w:pPr>
            <w:r>
              <w:rPr>
                <w:sz w:val="21"/>
                <w:szCs w:val="21"/>
                <w:spacing w:val="3"/>
              </w:rPr>
              <w:t>资源管控分区</w:t>
            </w:r>
          </w:p>
        </w:tc>
        <w:tc>
          <w:tcPr>
            <w:tcW w:w="1913" w:type="dxa"/>
            <w:vAlign w:val="top"/>
          </w:tcPr>
          <w:p>
            <w:pPr>
              <w:pStyle w:val="TableText"/>
              <w:spacing w:before="34" w:line="197" w:lineRule="auto"/>
              <w:jc w:val="right"/>
              <w:rPr>
                <w:sz w:val="21"/>
                <w:szCs w:val="21"/>
              </w:rPr>
            </w:pPr>
            <w:r>
              <w:rPr>
                <w:sz w:val="21"/>
                <w:szCs w:val="21"/>
                <w:spacing w:val="-1"/>
              </w:rPr>
              <w:t>土地资源重点管控区</w:t>
            </w:r>
          </w:p>
        </w:tc>
      </w:tr>
      <w:tr>
        <w:trPr>
          <w:trHeight w:val="549" w:hRule="atLeast"/>
        </w:trPr>
        <w:tc>
          <w:tcPr>
            <w:tcW w:w="1733" w:type="dxa"/>
            <w:vAlign w:val="top"/>
          </w:tcPr>
          <w:p>
            <w:pPr>
              <w:pStyle w:val="TableText"/>
              <w:ind w:left="64"/>
              <w:spacing w:before="228" w:line="184" w:lineRule="auto"/>
              <w:rPr>
                <w:sz w:val="21"/>
                <w:szCs w:val="21"/>
              </w:rPr>
            </w:pPr>
            <w:r>
              <w:rPr>
                <w:sz w:val="21"/>
                <w:szCs w:val="21"/>
                <w:spacing w:val="-1"/>
              </w:rPr>
              <w:t>YS5107052540001</w:t>
            </w:r>
          </w:p>
        </w:tc>
        <w:tc>
          <w:tcPr>
            <w:tcW w:w="2107" w:type="dxa"/>
            <w:vAlign w:val="top"/>
          </w:tcPr>
          <w:p>
            <w:pPr>
              <w:pStyle w:val="TableText"/>
              <w:ind w:left="939" w:hanging="928"/>
              <w:spacing w:before="45" w:line="217" w:lineRule="auto"/>
              <w:rPr>
                <w:sz w:val="21"/>
                <w:szCs w:val="21"/>
              </w:rPr>
            </w:pPr>
            <w:r>
              <w:rPr>
                <w:sz w:val="21"/>
                <w:szCs w:val="21"/>
                <w:spacing w:val="-2"/>
              </w:rPr>
              <w:t>安州区高污染燃料禁燃</w:t>
            </w:r>
            <w:r>
              <w:rPr>
                <w:sz w:val="21"/>
                <w:szCs w:val="21"/>
                <w:spacing w:val="4"/>
              </w:rPr>
              <w:t xml:space="preserve"> </w:t>
            </w:r>
            <w:r>
              <w:rPr>
                <w:sz w:val="21"/>
                <w:szCs w:val="21"/>
              </w:rPr>
              <w:t>区</w:t>
            </w:r>
          </w:p>
        </w:tc>
        <w:tc>
          <w:tcPr>
            <w:tcW w:w="669" w:type="dxa"/>
            <w:vAlign w:val="top"/>
          </w:tcPr>
          <w:p>
            <w:pPr>
              <w:pStyle w:val="TableText"/>
              <w:ind w:right="1"/>
              <w:spacing w:before="175" w:line="219" w:lineRule="auto"/>
              <w:jc w:val="right"/>
              <w:rPr>
                <w:sz w:val="21"/>
                <w:szCs w:val="21"/>
              </w:rPr>
            </w:pPr>
            <w:r>
              <w:rPr>
                <w:sz w:val="21"/>
                <w:szCs w:val="21"/>
                <w:spacing w:val="4"/>
              </w:rPr>
              <w:t>绵阳市</w:t>
            </w:r>
          </w:p>
        </w:tc>
        <w:tc>
          <w:tcPr>
            <w:tcW w:w="689" w:type="dxa"/>
            <w:vAlign w:val="top"/>
          </w:tcPr>
          <w:p>
            <w:pPr>
              <w:pStyle w:val="TableText"/>
              <w:ind w:left="25"/>
              <w:spacing w:before="174" w:line="219" w:lineRule="auto"/>
              <w:rPr>
                <w:sz w:val="21"/>
                <w:szCs w:val="21"/>
              </w:rPr>
            </w:pPr>
            <w:r>
              <w:rPr>
                <w:sz w:val="21"/>
                <w:szCs w:val="21"/>
                <w:spacing w:val="6"/>
              </w:rPr>
              <w:t>安州区</w:t>
            </w:r>
          </w:p>
        </w:tc>
        <w:tc>
          <w:tcPr>
            <w:tcW w:w="1388" w:type="dxa"/>
            <w:vAlign w:val="top"/>
          </w:tcPr>
          <w:p>
            <w:pPr>
              <w:pStyle w:val="TableText"/>
              <w:ind w:left="56"/>
              <w:spacing w:before="175" w:line="219" w:lineRule="auto"/>
              <w:rPr>
                <w:sz w:val="21"/>
                <w:szCs w:val="21"/>
              </w:rPr>
            </w:pPr>
            <w:r>
              <w:rPr>
                <w:sz w:val="21"/>
                <w:szCs w:val="21"/>
                <w:spacing w:val="3"/>
              </w:rPr>
              <w:t>资源管控分区</w:t>
            </w:r>
          </w:p>
        </w:tc>
        <w:tc>
          <w:tcPr>
            <w:tcW w:w="1913" w:type="dxa"/>
            <w:vAlign w:val="top"/>
          </w:tcPr>
          <w:p>
            <w:pPr>
              <w:pStyle w:val="TableText"/>
              <w:ind w:left="108"/>
              <w:spacing w:before="175" w:line="219" w:lineRule="auto"/>
              <w:rPr>
                <w:sz w:val="21"/>
                <w:szCs w:val="21"/>
              </w:rPr>
            </w:pPr>
            <w:r>
              <w:rPr>
                <w:sz w:val="21"/>
                <w:szCs w:val="21"/>
                <w:spacing w:val="2"/>
              </w:rPr>
              <w:t>高污染燃料禁燃区</w:t>
            </w:r>
          </w:p>
        </w:tc>
      </w:tr>
      <w:tr>
        <w:trPr>
          <w:trHeight w:val="539" w:hRule="atLeast"/>
        </w:trPr>
        <w:tc>
          <w:tcPr>
            <w:tcW w:w="1733" w:type="dxa"/>
            <w:vAlign w:val="top"/>
          </w:tcPr>
          <w:p>
            <w:pPr>
              <w:pStyle w:val="TableText"/>
              <w:ind w:left="64"/>
              <w:spacing w:before="229" w:line="184" w:lineRule="auto"/>
              <w:rPr>
                <w:sz w:val="21"/>
                <w:szCs w:val="21"/>
              </w:rPr>
            </w:pPr>
            <w:r>
              <w:rPr>
                <w:sz w:val="21"/>
                <w:szCs w:val="21"/>
                <w:spacing w:val="-1"/>
              </w:rPr>
              <w:t>YS5107052550001</w:t>
            </w:r>
          </w:p>
        </w:tc>
        <w:tc>
          <w:tcPr>
            <w:tcW w:w="2107" w:type="dxa"/>
            <w:vAlign w:val="top"/>
          </w:tcPr>
          <w:p>
            <w:pPr>
              <w:pStyle w:val="TableText"/>
              <w:ind w:left="830" w:hanging="819"/>
              <w:spacing w:before="26" w:line="221" w:lineRule="auto"/>
              <w:rPr>
                <w:sz w:val="21"/>
                <w:szCs w:val="21"/>
              </w:rPr>
            </w:pPr>
            <w:r>
              <w:rPr>
                <w:sz w:val="21"/>
                <w:szCs w:val="21"/>
                <w:spacing w:val="-2"/>
              </w:rPr>
              <w:t>安州区自然资源重点管</w:t>
            </w:r>
            <w:r>
              <w:rPr>
                <w:sz w:val="21"/>
                <w:szCs w:val="21"/>
                <w:spacing w:val="4"/>
              </w:rPr>
              <w:t xml:space="preserve"> </w:t>
            </w:r>
            <w:r>
              <w:rPr>
                <w:sz w:val="21"/>
                <w:szCs w:val="21"/>
                <w:spacing w:val="8"/>
              </w:rPr>
              <w:t>控区</w:t>
            </w:r>
          </w:p>
        </w:tc>
        <w:tc>
          <w:tcPr>
            <w:tcW w:w="669" w:type="dxa"/>
            <w:vAlign w:val="top"/>
          </w:tcPr>
          <w:p>
            <w:pPr>
              <w:pStyle w:val="TableText"/>
              <w:ind w:right="1"/>
              <w:spacing w:before="176" w:line="219" w:lineRule="auto"/>
              <w:jc w:val="right"/>
              <w:rPr>
                <w:sz w:val="21"/>
                <w:szCs w:val="21"/>
              </w:rPr>
            </w:pPr>
            <w:r>
              <w:rPr>
                <w:sz w:val="21"/>
                <w:szCs w:val="21"/>
                <w:spacing w:val="4"/>
              </w:rPr>
              <w:t>绵阳市</w:t>
            </w:r>
          </w:p>
        </w:tc>
        <w:tc>
          <w:tcPr>
            <w:tcW w:w="689" w:type="dxa"/>
            <w:vAlign w:val="top"/>
          </w:tcPr>
          <w:p>
            <w:pPr>
              <w:pStyle w:val="TableText"/>
              <w:ind w:left="25"/>
              <w:spacing w:before="175" w:line="219" w:lineRule="auto"/>
              <w:rPr>
                <w:sz w:val="21"/>
                <w:szCs w:val="21"/>
              </w:rPr>
            </w:pPr>
            <w:r>
              <w:rPr>
                <w:sz w:val="21"/>
                <w:szCs w:val="21"/>
                <w:spacing w:val="6"/>
              </w:rPr>
              <w:t>安州区</w:t>
            </w:r>
          </w:p>
        </w:tc>
        <w:tc>
          <w:tcPr>
            <w:tcW w:w="1388" w:type="dxa"/>
            <w:vAlign w:val="top"/>
          </w:tcPr>
          <w:p>
            <w:pPr>
              <w:pStyle w:val="TableText"/>
              <w:ind w:left="56"/>
              <w:spacing w:before="176" w:line="219" w:lineRule="auto"/>
              <w:rPr>
                <w:sz w:val="21"/>
                <w:szCs w:val="21"/>
              </w:rPr>
            </w:pPr>
            <w:r>
              <w:rPr>
                <w:sz w:val="21"/>
                <w:szCs w:val="21"/>
                <w:spacing w:val="3"/>
              </w:rPr>
              <w:t>资源管控分区</w:t>
            </w:r>
          </w:p>
        </w:tc>
        <w:tc>
          <w:tcPr>
            <w:tcW w:w="1913" w:type="dxa"/>
            <w:vAlign w:val="top"/>
          </w:tcPr>
          <w:p>
            <w:pPr>
              <w:pStyle w:val="TableText"/>
              <w:spacing w:before="176" w:line="219" w:lineRule="auto"/>
              <w:jc w:val="right"/>
              <w:rPr>
                <w:sz w:val="21"/>
                <w:szCs w:val="21"/>
              </w:rPr>
            </w:pPr>
            <w:r>
              <w:rPr>
                <w:sz w:val="21"/>
                <w:szCs w:val="21"/>
                <w:spacing w:val="-1"/>
              </w:rPr>
              <w:t>自然资源重点管控区</w:t>
            </w:r>
          </w:p>
        </w:tc>
      </w:tr>
      <w:tr>
        <w:trPr>
          <w:trHeight w:val="553" w:hRule="atLeast"/>
        </w:trPr>
        <w:tc>
          <w:tcPr>
            <w:tcW w:w="1733" w:type="dxa"/>
            <w:vAlign w:val="top"/>
          </w:tcPr>
          <w:p>
            <w:pPr>
              <w:pStyle w:val="TableText"/>
              <w:ind w:left="174"/>
              <w:spacing w:before="230" w:line="184" w:lineRule="auto"/>
              <w:rPr>
                <w:sz w:val="21"/>
                <w:szCs w:val="21"/>
              </w:rPr>
            </w:pPr>
            <w:r>
              <w:rPr>
                <w:sz w:val="21"/>
                <w:szCs w:val="21"/>
                <w:spacing w:val="-1"/>
              </w:rPr>
              <w:t>ZH51070520003</w:t>
            </w:r>
          </w:p>
        </w:tc>
        <w:tc>
          <w:tcPr>
            <w:tcW w:w="2107" w:type="dxa"/>
            <w:vAlign w:val="top"/>
          </w:tcPr>
          <w:p>
            <w:pPr>
              <w:pStyle w:val="TableText"/>
              <w:spacing w:before="176" w:line="219" w:lineRule="auto"/>
              <w:jc w:val="right"/>
              <w:rPr>
                <w:sz w:val="21"/>
                <w:szCs w:val="21"/>
              </w:rPr>
            </w:pPr>
            <w:r>
              <w:rPr>
                <w:sz w:val="21"/>
                <w:szCs w:val="21"/>
                <w:spacing w:val="-21"/>
              </w:rPr>
              <w:t>四川绵阳安州工业园区：</w:t>
            </w:r>
          </w:p>
        </w:tc>
        <w:tc>
          <w:tcPr>
            <w:tcW w:w="669" w:type="dxa"/>
            <w:vAlign w:val="top"/>
          </w:tcPr>
          <w:p>
            <w:pPr>
              <w:pStyle w:val="TableText"/>
              <w:ind w:right="1"/>
              <w:spacing w:before="177" w:line="219" w:lineRule="auto"/>
              <w:jc w:val="right"/>
              <w:rPr>
                <w:sz w:val="21"/>
                <w:szCs w:val="21"/>
              </w:rPr>
            </w:pPr>
            <w:r>
              <w:rPr>
                <w:sz w:val="21"/>
                <w:szCs w:val="21"/>
                <w:spacing w:val="4"/>
              </w:rPr>
              <w:t>绵阳市</w:t>
            </w:r>
          </w:p>
        </w:tc>
        <w:tc>
          <w:tcPr>
            <w:tcW w:w="689" w:type="dxa"/>
            <w:vAlign w:val="top"/>
          </w:tcPr>
          <w:p>
            <w:pPr>
              <w:pStyle w:val="TableText"/>
              <w:ind w:left="25"/>
              <w:spacing w:before="176" w:line="219" w:lineRule="auto"/>
              <w:rPr>
                <w:sz w:val="21"/>
                <w:szCs w:val="21"/>
              </w:rPr>
            </w:pPr>
            <w:r>
              <w:rPr>
                <w:sz w:val="21"/>
                <w:szCs w:val="21"/>
                <w:spacing w:val="6"/>
              </w:rPr>
              <w:t>安州区</w:t>
            </w:r>
          </w:p>
        </w:tc>
        <w:tc>
          <w:tcPr>
            <w:tcW w:w="1388" w:type="dxa"/>
            <w:vAlign w:val="top"/>
          </w:tcPr>
          <w:p>
            <w:pPr>
              <w:pStyle w:val="TableText"/>
              <w:ind w:left="466" w:right="69" w:hanging="410"/>
              <w:spacing w:before="46" w:line="212" w:lineRule="auto"/>
              <w:rPr>
                <w:sz w:val="21"/>
                <w:szCs w:val="21"/>
              </w:rPr>
            </w:pPr>
            <w:r>
              <w:rPr>
                <w:sz w:val="21"/>
                <w:szCs w:val="21"/>
                <w:spacing w:val="-2"/>
              </w:rPr>
              <w:t>环境综合管控</w:t>
            </w:r>
            <w:r>
              <w:rPr>
                <w:sz w:val="21"/>
                <w:szCs w:val="21"/>
                <w:spacing w:val="2"/>
              </w:rPr>
              <w:t xml:space="preserve"> </w:t>
            </w:r>
            <w:r>
              <w:rPr>
                <w:sz w:val="21"/>
                <w:szCs w:val="21"/>
                <w:spacing w:val="-3"/>
              </w:rPr>
              <w:t>单元</w:t>
            </w:r>
          </w:p>
        </w:tc>
        <w:tc>
          <w:tcPr>
            <w:tcW w:w="1913" w:type="dxa"/>
            <w:vAlign w:val="top"/>
          </w:tcPr>
          <w:p>
            <w:pPr>
              <w:pStyle w:val="TableText"/>
              <w:ind w:left="218" w:right="2" w:hanging="200"/>
              <w:spacing w:before="47" w:line="218" w:lineRule="auto"/>
              <w:rPr>
                <w:sz w:val="21"/>
                <w:szCs w:val="21"/>
              </w:rPr>
            </w:pPr>
            <w:r>
              <w:rPr>
                <w:sz w:val="21"/>
                <w:szCs w:val="21"/>
                <w:spacing w:val="-1"/>
              </w:rPr>
              <w:t>环境综合管控单元工</w:t>
            </w:r>
            <w:r>
              <w:rPr>
                <w:sz w:val="21"/>
                <w:szCs w:val="21"/>
              </w:rPr>
              <w:t xml:space="preserve"> </w:t>
            </w:r>
            <w:r>
              <w:rPr>
                <w:sz w:val="21"/>
                <w:szCs w:val="21"/>
                <w:spacing w:val="-1"/>
              </w:rPr>
              <w:t>业重点管控单元</w:t>
            </w:r>
          </w:p>
        </w:tc>
      </w:tr>
    </w:tbl>
    <w:p>
      <w:pPr>
        <w:pStyle w:val="BodyText"/>
        <w:rPr/>
      </w:pPr>
      <w:r/>
    </w:p>
    <w:p>
      <w:pPr>
        <w:sectPr>
          <w:headerReference w:type="default" r:id="rId99"/>
          <w:footerReference w:type="default" r:id="rId100"/>
          <w:pgSz w:w="11910" w:h="16840"/>
          <w:pgMar w:top="1210" w:right="1715" w:bottom="991" w:left="1685" w:header="902" w:footer="732" w:gutter="0"/>
        </w:sectPr>
        <w:rPr/>
      </w:pPr>
    </w:p>
    <w:p>
      <w:pPr>
        <w:ind w:left="4158"/>
        <w:spacing w:before="286" w:line="219" w:lineRule="auto"/>
        <w:rPr>
          <w:rFonts w:ascii="SimSun" w:hAnsi="SimSun" w:eastAsia="SimSun" w:cs="SimSun"/>
          <w:sz w:val="24"/>
          <w:szCs w:val="24"/>
        </w:rPr>
      </w:pPr>
      <w:r>
        <w:rPr>
          <w:rFonts w:ascii="SimSun" w:hAnsi="SimSun" w:eastAsia="SimSun" w:cs="SimSun"/>
          <w:sz w:val="24"/>
          <w:szCs w:val="24"/>
          <w:b/>
          <w:bCs/>
          <w:spacing w:val="-3"/>
        </w:rPr>
        <w:t>表1.5-3项目与生态环境准入清单要求符合性分析</w:t>
      </w:r>
    </w:p>
    <w:p>
      <w:pPr>
        <w:spacing w:line="142" w:lineRule="auto"/>
        <w:rPr>
          <w:rFonts w:ascii="Arial"/>
          <w:sz w:val="2"/>
        </w:rPr>
      </w:pPr>
      <w:r>
        <w:rPr>
          <w:rFonts w:ascii="Arial"/>
          <w:sz w:val="2"/>
        </w:rPr>
      </w:r>
    </w:p>
    <w:tbl>
      <w:tblPr>
        <w:tblStyle w:val="TableNormal"/>
        <w:tblW w:w="1344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84"/>
        <w:gridCol w:w="290"/>
        <w:gridCol w:w="869"/>
        <w:gridCol w:w="7375"/>
        <w:gridCol w:w="3178"/>
        <w:gridCol w:w="644"/>
      </w:tblGrid>
      <w:tr>
        <w:trPr>
          <w:trHeight w:val="265" w:hRule="atLeast"/>
        </w:trPr>
        <w:tc>
          <w:tcPr>
            <w:shd w:val="clear" w:fill="BDBDBD"/>
            <w:tcW w:w="9618" w:type="dxa"/>
            <w:vAlign w:val="top"/>
            <w:gridSpan w:val="4"/>
          </w:tcPr>
          <w:p>
            <w:pPr>
              <w:pStyle w:val="TableText"/>
              <w:ind w:left="3653"/>
              <w:spacing w:before="30" w:line="197" w:lineRule="auto"/>
              <w:rPr>
                <w:sz w:val="21"/>
                <w:szCs w:val="21"/>
              </w:rPr>
            </w:pPr>
            <w:r>
              <w:rPr>
                <w:sz w:val="21"/>
                <w:szCs w:val="21"/>
                <w:b/>
                <w:bCs/>
                <w:spacing w:val="7"/>
              </w:rPr>
              <w:t>“三线一单”的具体要求</w:t>
            </w:r>
          </w:p>
        </w:tc>
        <w:tc>
          <w:tcPr>
            <w:shd w:val="clear" w:fill="BDBDBD"/>
            <w:tcW w:w="3178" w:type="dxa"/>
            <w:vAlign w:val="top"/>
            <w:vMerge w:val="restart"/>
            <w:tcBorders>
              <w:bottom w:val="nil"/>
            </w:tcBorders>
          </w:tcPr>
          <w:p>
            <w:pPr>
              <w:pStyle w:val="TableText"/>
              <w:ind w:left="739"/>
              <w:spacing w:before="179" w:line="219" w:lineRule="auto"/>
              <w:rPr>
                <w:sz w:val="21"/>
                <w:szCs w:val="21"/>
              </w:rPr>
            </w:pPr>
            <w:r>
              <w:rPr>
                <w:sz w:val="21"/>
                <w:szCs w:val="21"/>
                <w:b/>
                <w:bCs/>
                <w:spacing w:val="-1"/>
              </w:rPr>
              <w:t>项目对应情况介绍</w:t>
            </w:r>
          </w:p>
        </w:tc>
        <w:tc>
          <w:tcPr>
            <w:shd w:val="clear" w:fill="BDBDBD"/>
            <w:tcW w:w="644" w:type="dxa"/>
            <w:vAlign w:val="top"/>
            <w:vMerge w:val="restart"/>
            <w:tcBorders>
              <w:bottom w:val="nil"/>
            </w:tcBorders>
          </w:tcPr>
          <w:p>
            <w:pPr>
              <w:pStyle w:val="TableText"/>
              <w:ind w:left="110" w:hanging="88"/>
              <w:spacing w:before="40" w:line="226" w:lineRule="auto"/>
              <w:rPr>
                <w:sz w:val="21"/>
                <w:szCs w:val="21"/>
              </w:rPr>
            </w:pPr>
            <w:r>
              <w:rPr>
                <w:sz w:val="21"/>
                <w:szCs w:val="21"/>
                <w:b/>
                <w:bCs/>
                <w:spacing w:val="-9"/>
              </w:rPr>
              <w:t>符合性</w:t>
            </w:r>
            <w:r>
              <w:rPr>
                <w:sz w:val="21"/>
                <w:szCs w:val="21"/>
                <w:spacing w:val="1"/>
              </w:rPr>
              <w:t xml:space="preserve"> </w:t>
            </w:r>
            <w:r>
              <w:rPr>
                <w:sz w:val="21"/>
                <w:szCs w:val="21"/>
                <w:b/>
                <w:bCs/>
                <w:spacing w:val="-7"/>
              </w:rPr>
              <w:t>分析</w:t>
            </w:r>
          </w:p>
        </w:tc>
      </w:tr>
      <w:tr>
        <w:trPr>
          <w:trHeight w:val="290" w:hRule="atLeast"/>
        </w:trPr>
        <w:tc>
          <w:tcPr>
            <w:shd w:val="clear" w:fill="BDBDBD"/>
            <w:tcW w:w="2243" w:type="dxa"/>
            <w:vAlign w:val="top"/>
            <w:gridSpan w:val="3"/>
          </w:tcPr>
          <w:p>
            <w:pPr>
              <w:pStyle w:val="TableText"/>
              <w:ind w:left="898"/>
              <w:spacing w:before="35" w:line="215" w:lineRule="auto"/>
              <w:rPr>
                <w:sz w:val="21"/>
                <w:szCs w:val="21"/>
              </w:rPr>
            </w:pPr>
            <w:r>
              <w:rPr>
                <w:sz w:val="21"/>
                <w:szCs w:val="21"/>
                <w:b/>
                <w:bCs/>
                <w:spacing w:val="-5"/>
              </w:rPr>
              <w:t>类别</w:t>
            </w:r>
          </w:p>
        </w:tc>
        <w:tc>
          <w:tcPr>
            <w:shd w:val="clear" w:fill="BDBDBD"/>
            <w:tcW w:w="7375" w:type="dxa"/>
            <w:vAlign w:val="top"/>
          </w:tcPr>
          <w:p>
            <w:pPr>
              <w:pStyle w:val="TableText"/>
              <w:ind w:left="3055"/>
              <w:spacing w:before="35" w:line="215" w:lineRule="auto"/>
              <w:rPr>
                <w:sz w:val="21"/>
                <w:szCs w:val="21"/>
              </w:rPr>
            </w:pPr>
            <w:r>
              <w:rPr>
                <w:sz w:val="21"/>
                <w:szCs w:val="21"/>
                <w:b/>
                <w:bCs/>
                <w:spacing w:val="-4"/>
              </w:rPr>
              <w:t>对应管控要求</w:t>
            </w:r>
          </w:p>
        </w:tc>
        <w:tc>
          <w:tcPr>
            <w:tcW w:w="3178" w:type="dxa"/>
            <w:vAlign w:val="top"/>
            <w:vMerge w:val="continue"/>
            <w:tcBorders>
              <w:top w:val="nil"/>
            </w:tcBorders>
          </w:tcPr>
          <w:p>
            <w:pPr>
              <w:rPr>
                <w:rFonts w:ascii="Arial"/>
                <w:sz w:val="21"/>
              </w:rPr>
            </w:pPr>
            <w:r/>
          </w:p>
        </w:tc>
        <w:tc>
          <w:tcPr>
            <w:tcW w:w="644" w:type="dxa"/>
            <w:vAlign w:val="top"/>
            <w:vMerge w:val="continue"/>
            <w:tcBorders>
              <w:top w:val="nil"/>
            </w:tcBorders>
          </w:tcPr>
          <w:p>
            <w:pPr>
              <w:rPr>
                <w:rFonts w:ascii="Arial"/>
                <w:sz w:val="21"/>
              </w:rPr>
            </w:pPr>
            <w:r/>
          </w:p>
        </w:tc>
      </w:tr>
      <w:tr>
        <w:trPr>
          <w:trHeight w:val="4624" w:hRule="atLeast"/>
        </w:trPr>
        <w:tc>
          <w:tcPr>
            <w:tcW w:w="1084" w:type="dxa"/>
            <w:vAlign w:val="top"/>
            <w:vMerge w:val="restart"/>
            <w:tcBorders>
              <w:bottom w:val="nil"/>
            </w:tcBorders>
          </w:tcPr>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15" w:firstLine="3"/>
              <w:spacing w:before="68" w:line="241" w:lineRule="auto"/>
              <w:jc w:val="both"/>
              <w:rPr>
                <w:sz w:val="21"/>
                <w:szCs w:val="21"/>
              </w:rPr>
            </w:pPr>
            <w:r>
              <w:rPr>
                <w:sz w:val="21"/>
                <w:szCs w:val="21"/>
                <w:b/>
                <w:bCs/>
                <w:spacing w:val="-4"/>
              </w:rPr>
              <w:t>环境管控单</w:t>
            </w:r>
            <w:r>
              <w:rPr>
                <w:sz w:val="21"/>
                <w:szCs w:val="21"/>
              </w:rPr>
              <w:t xml:space="preserve"> </w:t>
            </w:r>
            <w:r>
              <w:rPr>
                <w:sz w:val="21"/>
                <w:szCs w:val="21"/>
                <w:b/>
                <w:bCs/>
                <w:spacing w:val="-14"/>
              </w:rPr>
              <w:t>元分类</w:t>
            </w:r>
            <w:r>
              <w:rPr>
                <w:sz w:val="21"/>
                <w:szCs w:val="21"/>
                <w:spacing w:val="-53"/>
              </w:rPr>
              <w:t xml:space="preserve"> </w:t>
            </w:r>
            <w:r>
              <w:rPr>
                <w:sz w:val="21"/>
                <w:szCs w:val="21"/>
                <w:b/>
                <w:bCs/>
                <w:spacing w:val="-14"/>
              </w:rPr>
              <w:t>：</w:t>
            </w:r>
            <w:r>
              <w:rPr>
                <w:sz w:val="21"/>
                <w:szCs w:val="21"/>
                <w:spacing w:val="-14"/>
              </w:rPr>
              <w:t>环</w:t>
            </w:r>
            <w:r>
              <w:rPr>
                <w:sz w:val="21"/>
                <w:szCs w:val="21"/>
              </w:rPr>
              <w:t xml:space="preserve"> </w:t>
            </w:r>
            <w:r>
              <w:rPr>
                <w:sz w:val="21"/>
                <w:szCs w:val="21"/>
                <w:spacing w:val="-2"/>
              </w:rPr>
              <w:t>境综合管控</w:t>
            </w:r>
            <w:r>
              <w:rPr>
                <w:sz w:val="21"/>
                <w:szCs w:val="21"/>
              </w:rPr>
              <w:t xml:space="preserve"> </w:t>
            </w:r>
            <w:r>
              <w:rPr>
                <w:sz w:val="21"/>
                <w:szCs w:val="21"/>
                <w:spacing w:val="-2"/>
              </w:rPr>
              <w:t>单元工业重</w:t>
            </w:r>
            <w:r>
              <w:rPr>
                <w:sz w:val="21"/>
                <w:szCs w:val="21"/>
              </w:rPr>
              <w:t xml:space="preserve"> </w:t>
            </w:r>
            <w:r>
              <w:rPr>
                <w:sz w:val="21"/>
                <w:szCs w:val="21"/>
                <w:spacing w:val="1"/>
              </w:rPr>
              <w:t>点管控单元</w:t>
            </w:r>
            <w:r>
              <w:rPr>
                <w:sz w:val="21"/>
                <w:szCs w:val="21"/>
                <w:spacing w:val="2"/>
              </w:rPr>
              <w:t xml:space="preserve"> </w:t>
            </w:r>
            <w:r>
              <w:rPr>
                <w:sz w:val="21"/>
                <w:szCs w:val="21"/>
                <w:b/>
                <w:bCs/>
                <w:spacing w:val="-4"/>
              </w:rPr>
              <w:t>环境管控单</w:t>
            </w:r>
            <w:r>
              <w:rPr>
                <w:sz w:val="21"/>
                <w:szCs w:val="21"/>
                <w:spacing w:val="2"/>
              </w:rPr>
              <w:t xml:space="preserve"> </w:t>
            </w:r>
            <w:r>
              <w:rPr>
                <w:sz w:val="21"/>
                <w:szCs w:val="21"/>
                <w:b/>
                <w:bCs/>
                <w:spacing w:val="-4"/>
              </w:rPr>
              <w:t>元编码：</w:t>
            </w:r>
          </w:p>
          <w:p>
            <w:pPr>
              <w:pStyle w:val="TableText"/>
              <w:ind w:left="15" w:right="121"/>
              <w:spacing w:before="58" w:line="182" w:lineRule="auto"/>
              <w:rPr>
                <w:sz w:val="21"/>
                <w:szCs w:val="21"/>
              </w:rPr>
            </w:pPr>
            <w:r>
              <w:rPr>
                <w:sz w:val="21"/>
                <w:szCs w:val="21"/>
                <w:spacing w:val="-1"/>
              </w:rPr>
              <w:t>ZH5107052</w:t>
            </w:r>
            <w:r>
              <w:rPr>
                <w:sz w:val="21"/>
                <w:szCs w:val="21"/>
              </w:rPr>
              <w:t xml:space="preserve"> </w:t>
            </w:r>
            <w:r>
              <w:rPr>
                <w:sz w:val="21"/>
                <w:szCs w:val="21"/>
                <w:spacing w:val="-2"/>
              </w:rPr>
              <w:t>po03</w:t>
            </w:r>
          </w:p>
          <w:p>
            <w:pPr>
              <w:pStyle w:val="TableText"/>
              <w:ind w:left="15" w:firstLine="2"/>
              <w:spacing w:before="9"/>
              <w:jc w:val="both"/>
              <w:rPr>
                <w:sz w:val="21"/>
                <w:szCs w:val="21"/>
              </w:rPr>
            </w:pPr>
            <w:r>
              <w:rPr>
                <w:sz w:val="21"/>
                <w:szCs w:val="21"/>
                <w:b/>
                <w:bCs/>
                <w:spacing w:val="-7"/>
              </w:rPr>
              <w:t>环境管控单</w:t>
            </w:r>
            <w:r>
              <w:rPr>
                <w:sz w:val="21"/>
                <w:szCs w:val="21"/>
              </w:rPr>
              <w:t xml:space="preserve"> </w:t>
            </w:r>
            <w:r>
              <w:rPr>
                <w:sz w:val="21"/>
                <w:szCs w:val="21"/>
                <w:b/>
                <w:bCs/>
                <w:spacing w:val="-21"/>
              </w:rPr>
              <w:t>元名称</w:t>
            </w:r>
            <w:r>
              <w:rPr>
                <w:sz w:val="21"/>
                <w:szCs w:val="21"/>
                <w:spacing w:val="-52"/>
              </w:rPr>
              <w:t xml:space="preserve"> </w:t>
            </w:r>
            <w:r>
              <w:rPr>
                <w:sz w:val="21"/>
                <w:szCs w:val="21"/>
                <w:b/>
                <w:bCs/>
                <w:spacing w:val="-21"/>
              </w:rPr>
              <w:t>：</w:t>
            </w:r>
            <w:r>
              <w:rPr>
                <w:sz w:val="21"/>
                <w:szCs w:val="21"/>
                <w:spacing w:val="-21"/>
              </w:rPr>
              <w:t>四</w:t>
            </w:r>
            <w:r>
              <w:rPr>
                <w:sz w:val="21"/>
                <w:szCs w:val="21"/>
              </w:rPr>
              <w:t xml:space="preserve"> </w:t>
            </w:r>
            <w:r>
              <w:rPr>
                <w:sz w:val="21"/>
                <w:szCs w:val="21"/>
                <w:spacing w:val="1"/>
              </w:rPr>
              <w:t>川绵阳安州</w:t>
            </w:r>
            <w:r>
              <w:rPr>
                <w:sz w:val="21"/>
                <w:szCs w:val="21"/>
                <w:spacing w:val="2"/>
              </w:rPr>
              <w:t xml:space="preserve"> </w:t>
            </w:r>
            <w:r>
              <w:rPr>
                <w:sz w:val="21"/>
                <w:szCs w:val="21"/>
                <w:spacing w:val="1"/>
              </w:rPr>
              <w:t>工业园区</w:t>
            </w:r>
          </w:p>
        </w:tc>
        <w:tc>
          <w:tcPr>
            <w:tcW w:w="290" w:type="dxa"/>
            <w:vAlign w:val="top"/>
            <w:vMerge w:val="restart"/>
            <w:textDirection w:val="tbRlV"/>
            <w:tcBorders>
              <w:bottom w:val="nil"/>
            </w:tcBorders>
          </w:tcPr>
          <w:p>
            <w:pPr>
              <w:pStyle w:val="TableText"/>
              <w:ind w:left="2679"/>
              <w:spacing w:before="66" w:line="202" w:lineRule="auto"/>
              <w:rPr>
                <w:sz w:val="21"/>
                <w:szCs w:val="21"/>
              </w:rPr>
            </w:pPr>
            <w:r>
              <w:rPr>
                <w:sz w:val="21"/>
                <w:szCs w:val="21"/>
                <w:spacing w:val="-1"/>
              </w:rPr>
              <w:t>普</w:t>
            </w:r>
            <w:r>
              <w:rPr>
                <w:sz w:val="21"/>
                <w:szCs w:val="21"/>
                <w:spacing w:val="-28"/>
              </w:rPr>
              <w:t xml:space="preserve"> </w:t>
            </w:r>
            <w:r>
              <w:rPr>
                <w:sz w:val="21"/>
                <w:szCs w:val="21"/>
                <w:spacing w:val="-1"/>
              </w:rPr>
              <w:t>适</w:t>
            </w:r>
            <w:r>
              <w:rPr>
                <w:sz w:val="21"/>
                <w:szCs w:val="21"/>
                <w:spacing w:val="-28"/>
              </w:rPr>
              <w:t xml:space="preserve"> </w:t>
            </w:r>
            <w:r>
              <w:rPr>
                <w:sz w:val="21"/>
                <w:szCs w:val="21"/>
                <w:spacing w:val="-1"/>
              </w:rPr>
              <w:t>性</w:t>
            </w:r>
            <w:r>
              <w:rPr>
                <w:sz w:val="21"/>
                <w:szCs w:val="21"/>
                <w:spacing w:val="-28"/>
              </w:rPr>
              <w:t xml:space="preserve"> </w:t>
            </w:r>
            <w:r>
              <w:rPr>
                <w:sz w:val="21"/>
                <w:szCs w:val="21"/>
                <w:spacing w:val="-1"/>
              </w:rPr>
              <w:t>清</w:t>
            </w:r>
            <w:r>
              <w:rPr>
                <w:sz w:val="21"/>
                <w:szCs w:val="21"/>
                <w:spacing w:val="-27"/>
              </w:rPr>
              <w:t xml:space="preserve"> </w:t>
            </w:r>
            <w:r>
              <w:rPr>
                <w:sz w:val="21"/>
                <w:szCs w:val="21"/>
                <w:spacing w:val="-1"/>
              </w:rPr>
              <w:t>单</w:t>
            </w:r>
            <w:r>
              <w:rPr>
                <w:sz w:val="21"/>
                <w:szCs w:val="21"/>
                <w:spacing w:val="-28"/>
              </w:rPr>
              <w:t xml:space="preserve"> </w:t>
            </w:r>
            <w:r>
              <w:rPr>
                <w:sz w:val="21"/>
                <w:szCs w:val="21"/>
                <w:spacing w:val="-1"/>
              </w:rPr>
              <w:t>管</w:t>
            </w:r>
            <w:r>
              <w:rPr>
                <w:sz w:val="21"/>
                <w:szCs w:val="21"/>
                <w:spacing w:val="-27"/>
              </w:rPr>
              <w:t xml:space="preserve"> </w:t>
            </w:r>
            <w:r>
              <w:rPr>
                <w:sz w:val="21"/>
                <w:szCs w:val="21"/>
                <w:spacing w:val="-1"/>
              </w:rPr>
              <w:t>控要</w:t>
            </w:r>
            <w:r>
              <w:rPr>
                <w:sz w:val="21"/>
                <w:szCs w:val="21"/>
                <w:spacing w:val="34"/>
              </w:rPr>
              <w:t xml:space="preserve"> </w:t>
            </w:r>
            <w:r>
              <w:rPr>
                <w:sz w:val="21"/>
                <w:szCs w:val="21"/>
                <w:spacing w:val="-1"/>
              </w:rPr>
              <w:t>求</w:t>
            </w:r>
          </w:p>
        </w:tc>
        <w:tc>
          <w:tcPr>
            <w:tcW w:w="869" w:type="dxa"/>
            <w:vAlign w:val="top"/>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spacing w:before="69" w:line="219" w:lineRule="auto"/>
              <w:jc w:val="right"/>
              <w:rPr>
                <w:sz w:val="21"/>
                <w:szCs w:val="21"/>
              </w:rPr>
            </w:pPr>
            <w:r>
              <w:rPr>
                <w:sz w:val="21"/>
                <w:szCs w:val="21"/>
                <w:spacing w:val="4"/>
              </w:rPr>
              <w:t>空间布局</w:t>
            </w:r>
          </w:p>
          <w:p>
            <w:pPr>
              <w:pStyle w:val="TableText"/>
              <w:ind w:left="211"/>
              <w:spacing w:before="12" w:line="219" w:lineRule="auto"/>
              <w:rPr>
                <w:sz w:val="21"/>
                <w:szCs w:val="21"/>
              </w:rPr>
            </w:pPr>
            <w:r>
              <w:rPr>
                <w:sz w:val="21"/>
                <w:szCs w:val="21"/>
                <w:spacing w:val="5"/>
              </w:rPr>
              <w:t>约束</w:t>
            </w:r>
          </w:p>
        </w:tc>
        <w:tc>
          <w:tcPr>
            <w:tcW w:w="7375" w:type="dxa"/>
            <w:vAlign w:val="top"/>
          </w:tcPr>
          <w:p>
            <w:pPr>
              <w:pStyle w:val="TableText"/>
              <w:ind w:left="15"/>
              <w:spacing w:before="45" w:line="219" w:lineRule="auto"/>
              <w:rPr>
                <w:sz w:val="21"/>
                <w:szCs w:val="21"/>
              </w:rPr>
            </w:pPr>
            <w:r>
              <w:rPr>
                <w:sz w:val="21"/>
                <w:szCs w:val="21"/>
                <w:b/>
                <w:bCs/>
                <w:spacing w:val="-3"/>
              </w:rPr>
              <w:t>禁止开发建设活动的要求</w:t>
            </w:r>
          </w:p>
          <w:p>
            <w:pPr>
              <w:pStyle w:val="TableText"/>
              <w:ind w:left="12" w:right="169" w:firstLine="29"/>
              <w:spacing w:before="22" w:line="227" w:lineRule="auto"/>
              <w:rPr>
                <w:sz w:val="21"/>
                <w:szCs w:val="21"/>
              </w:rPr>
            </w:pPr>
            <w:r>
              <w:rPr>
                <w:sz w:val="21"/>
                <w:szCs w:val="21"/>
              </w:rPr>
              <w:t>禁止在长江干支流、重要湖泊岸线一公里范围内新建、扩建化工园区和化工项</w:t>
            </w:r>
            <w:r>
              <w:rPr>
                <w:sz w:val="21"/>
                <w:szCs w:val="21"/>
                <w:spacing w:val="11"/>
              </w:rPr>
              <w:t xml:space="preserve"> </w:t>
            </w:r>
            <w:r>
              <w:rPr>
                <w:sz w:val="21"/>
                <w:szCs w:val="21"/>
                <w:spacing w:val="-25"/>
              </w:rPr>
              <w:t>目</w:t>
            </w:r>
            <w:r>
              <w:rPr>
                <w:sz w:val="21"/>
                <w:szCs w:val="21"/>
                <w:spacing w:val="-31"/>
              </w:rPr>
              <w:t xml:space="preserve"> </w:t>
            </w:r>
            <w:r>
              <w:rPr>
                <w:sz w:val="21"/>
                <w:szCs w:val="21"/>
                <w:spacing w:val="-25"/>
              </w:rPr>
              <w:t>。</w:t>
            </w:r>
          </w:p>
          <w:p>
            <w:pPr>
              <w:pStyle w:val="TableText"/>
              <w:ind w:left="12" w:right="171" w:firstLine="50"/>
              <w:spacing w:before="15" w:line="239" w:lineRule="auto"/>
              <w:rPr>
                <w:sz w:val="21"/>
                <w:szCs w:val="21"/>
              </w:rPr>
            </w:pPr>
            <w:r>
              <w:rPr>
                <w:sz w:val="21"/>
                <w:szCs w:val="21"/>
              </w:rPr>
              <w:t>禁止引入清洁生产水平达不到行业清洁生产标准二级标</w:t>
            </w:r>
            <w:r>
              <w:rPr>
                <w:sz w:val="21"/>
                <w:szCs w:val="21"/>
                <w:spacing w:val="-1"/>
              </w:rPr>
              <w:t>准要求或低于全国同类</w:t>
            </w:r>
            <w:r>
              <w:rPr>
                <w:sz w:val="21"/>
                <w:szCs w:val="21"/>
              </w:rPr>
              <w:t xml:space="preserve"> </w:t>
            </w:r>
            <w:r>
              <w:rPr>
                <w:sz w:val="21"/>
                <w:szCs w:val="21"/>
                <w:spacing w:val="-1"/>
              </w:rPr>
              <w:t>企业平均清洁生产水平的项目。</w:t>
            </w:r>
          </w:p>
          <w:p>
            <w:pPr>
              <w:pStyle w:val="TableText"/>
              <w:ind w:left="12" w:right="184" w:firstLine="50"/>
              <w:spacing w:before="6" w:line="234" w:lineRule="auto"/>
              <w:rPr>
                <w:sz w:val="21"/>
                <w:szCs w:val="21"/>
              </w:rPr>
            </w:pPr>
            <w:r>
              <w:rPr>
                <w:sz w:val="21"/>
                <w:szCs w:val="21"/>
              </w:rPr>
              <w:t>未通过认定的化工园区，不得新建、改扩建化工项目(安全、环保、节能和智</w:t>
            </w:r>
            <w:r>
              <w:rPr>
                <w:sz w:val="21"/>
                <w:szCs w:val="21"/>
                <w:spacing w:val="13"/>
              </w:rPr>
              <w:t xml:space="preserve"> </w:t>
            </w:r>
            <w:r>
              <w:rPr>
                <w:sz w:val="21"/>
                <w:szCs w:val="21"/>
                <w:spacing w:val="1"/>
              </w:rPr>
              <w:t>能化改造项目除外),按属地原则依法依规妥善做好未通过认</w:t>
            </w:r>
            <w:r>
              <w:rPr>
                <w:sz w:val="21"/>
                <w:szCs w:val="21"/>
              </w:rPr>
              <w:t>定化工园区及园内 </w:t>
            </w:r>
            <w:r>
              <w:rPr>
                <w:sz w:val="21"/>
                <w:szCs w:val="21"/>
                <w:spacing w:val="-1"/>
              </w:rPr>
              <w:t>企业的转型、关闭、处置及监管工作。</w:t>
            </w:r>
          </w:p>
          <w:p>
            <w:pPr>
              <w:pStyle w:val="TableText"/>
              <w:ind w:left="15"/>
              <w:spacing w:before="18" w:line="220" w:lineRule="auto"/>
              <w:rPr>
                <w:sz w:val="21"/>
                <w:szCs w:val="21"/>
              </w:rPr>
            </w:pPr>
            <w:r>
              <w:rPr>
                <w:sz w:val="21"/>
                <w:szCs w:val="21"/>
                <w:b/>
                <w:bCs/>
                <w:spacing w:val="-2"/>
              </w:rPr>
              <w:t>限制开发建设活动的要求</w:t>
            </w:r>
          </w:p>
          <w:p>
            <w:pPr>
              <w:pStyle w:val="TableText"/>
              <w:ind w:left="12" w:right="201"/>
              <w:spacing w:before="2" w:line="246" w:lineRule="auto"/>
              <w:rPr>
                <w:sz w:val="21"/>
                <w:szCs w:val="21"/>
              </w:rPr>
            </w:pPr>
            <w:r>
              <w:rPr>
                <w:sz w:val="21"/>
                <w:szCs w:val="21"/>
              </w:rPr>
              <w:t>现有属于园区禁止引入产业门类的企业，原则上限制发展，污染物排放只降不</w:t>
            </w:r>
            <w:r>
              <w:rPr>
                <w:sz w:val="21"/>
                <w:szCs w:val="21"/>
                <w:spacing w:val="10"/>
              </w:rPr>
              <w:t xml:space="preserve"> </w:t>
            </w:r>
            <w:r>
              <w:rPr>
                <w:sz w:val="21"/>
                <w:szCs w:val="21"/>
                <w:spacing w:val="-2"/>
              </w:rPr>
              <w:t>增。</w:t>
            </w:r>
          </w:p>
          <w:p>
            <w:pPr>
              <w:pStyle w:val="TableText"/>
              <w:ind w:left="12"/>
              <w:spacing w:line="218" w:lineRule="auto"/>
              <w:rPr>
                <w:sz w:val="21"/>
                <w:szCs w:val="21"/>
              </w:rPr>
            </w:pPr>
            <w:r>
              <w:rPr>
                <w:sz w:val="21"/>
                <w:szCs w:val="21"/>
              </w:rPr>
              <w:t>不符合空间布局要求活动的退出要求</w:t>
            </w:r>
          </w:p>
          <w:p>
            <w:pPr>
              <w:pStyle w:val="TableText"/>
              <w:ind w:left="12"/>
              <w:spacing w:before="33" w:line="219" w:lineRule="auto"/>
              <w:rPr>
                <w:sz w:val="21"/>
                <w:szCs w:val="21"/>
              </w:rPr>
            </w:pPr>
            <w:r>
              <w:rPr>
                <w:sz w:val="21"/>
                <w:szCs w:val="21"/>
              </w:rPr>
              <w:t>现有属于禁止引入产业门类的企业，应按相关规定限期</w:t>
            </w:r>
            <w:r>
              <w:rPr>
                <w:sz w:val="21"/>
                <w:szCs w:val="21"/>
                <w:spacing w:val="-1"/>
              </w:rPr>
              <w:t>整治或退出。</w:t>
            </w:r>
          </w:p>
          <w:p>
            <w:pPr>
              <w:pStyle w:val="TableText"/>
              <w:ind w:left="12"/>
              <w:spacing w:before="20" w:line="219" w:lineRule="auto"/>
              <w:rPr>
                <w:sz w:val="21"/>
                <w:szCs w:val="21"/>
              </w:rPr>
            </w:pPr>
            <w:r>
              <w:rPr>
                <w:sz w:val="21"/>
                <w:szCs w:val="21"/>
              </w:rPr>
              <w:t>二类、三类工业用地50m范围内，不新增居住、教育、卫生用</w:t>
            </w:r>
            <w:r>
              <w:rPr>
                <w:sz w:val="21"/>
                <w:szCs w:val="21"/>
                <w:spacing w:val="-1"/>
              </w:rPr>
              <w:t>地。</w:t>
            </w:r>
          </w:p>
          <w:p>
            <w:pPr>
              <w:pStyle w:val="TableText"/>
              <w:ind w:left="12" w:right="161" w:firstLine="59"/>
              <w:spacing w:line="236" w:lineRule="auto"/>
              <w:rPr>
                <w:sz w:val="21"/>
                <w:szCs w:val="21"/>
              </w:rPr>
            </w:pPr>
            <w:r>
              <w:rPr>
                <w:sz w:val="21"/>
                <w:szCs w:val="21"/>
              </w:rPr>
              <w:t>新建、扩建石化、化工、焦化、有色金属冶炼、平板</w:t>
            </w:r>
            <w:r>
              <w:rPr>
                <w:sz w:val="21"/>
                <w:szCs w:val="21"/>
                <w:spacing w:val="-1"/>
              </w:rPr>
              <w:t>玻璃项目应布设在依法合</w:t>
            </w:r>
            <w:r>
              <w:rPr>
                <w:sz w:val="21"/>
                <w:szCs w:val="21"/>
              </w:rPr>
              <w:t xml:space="preserve"> </w:t>
            </w:r>
            <w:r>
              <w:rPr>
                <w:sz w:val="21"/>
                <w:szCs w:val="21"/>
                <w:spacing w:val="-1"/>
              </w:rPr>
              <w:t>规设立并经规划环评的产业园区。</w:t>
            </w:r>
          </w:p>
          <w:p>
            <w:pPr>
              <w:pStyle w:val="TableText"/>
              <w:ind w:left="15"/>
              <w:spacing w:before="1" w:line="218" w:lineRule="auto"/>
              <w:rPr>
                <w:sz w:val="21"/>
                <w:szCs w:val="21"/>
              </w:rPr>
            </w:pPr>
            <w:r>
              <w:rPr>
                <w:sz w:val="21"/>
                <w:szCs w:val="21"/>
                <w:b/>
                <w:bCs/>
                <w:spacing w:val="-4"/>
              </w:rPr>
              <w:t>其他空间布局约束要求</w:t>
            </w:r>
          </w:p>
        </w:tc>
        <w:tc>
          <w:tcPr>
            <w:tcW w:w="3178" w:type="dxa"/>
            <w:vAlign w:val="top"/>
          </w:tcPr>
          <w:p>
            <w:pPr>
              <w:spacing w:line="321" w:lineRule="auto"/>
              <w:rPr>
                <w:rFonts w:ascii="Arial"/>
                <w:sz w:val="21"/>
              </w:rPr>
            </w:pPr>
            <w:r/>
          </w:p>
          <w:p>
            <w:pPr>
              <w:spacing w:line="322" w:lineRule="auto"/>
              <w:rPr>
                <w:rFonts w:ascii="Arial"/>
                <w:sz w:val="21"/>
              </w:rPr>
            </w:pPr>
            <w:r/>
          </w:p>
          <w:p>
            <w:pPr>
              <w:pStyle w:val="TableText"/>
              <w:ind w:left="17"/>
              <w:spacing w:before="68" w:line="236" w:lineRule="auto"/>
              <w:rPr>
                <w:sz w:val="21"/>
                <w:szCs w:val="21"/>
              </w:rPr>
            </w:pPr>
            <w:r>
              <w:rPr>
                <w:sz w:val="21"/>
                <w:szCs w:val="21"/>
                <w:spacing w:val="-3"/>
              </w:rPr>
              <w:t>本项目严格按照行业清洁生产标准</w:t>
            </w:r>
            <w:r>
              <w:rPr>
                <w:sz w:val="21"/>
                <w:szCs w:val="21"/>
                <w:spacing w:val="10"/>
              </w:rPr>
              <w:t xml:space="preserve"> </w:t>
            </w:r>
            <w:r>
              <w:rPr>
                <w:sz w:val="21"/>
                <w:szCs w:val="21"/>
                <w:spacing w:val="-1"/>
              </w:rPr>
              <w:t>要求进行建设及运行，产业为牲畜</w:t>
            </w:r>
            <w:r>
              <w:rPr>
                <w:sz w:val="21"/>
                <w:szCs w:val="21"/>
                <w:spacing w:val="9"/>
              </w:rPr>
              <w:t xml:space="preserve"> </w:t>
            </w:r>
            <w:r>
              <w:rPr>
                <w:sz w:val="21"/>
                <w:szCs w:val="21"/>
                <w:spacing w:val="-1"/>
              </w:rPr>
              <w:t>屠宰行业，不属于化工项目，不属</w:t>
            </w:r>
            <w:r>
              <w:rPr>
                <w:sz w:val="21"/>
                <w:szCs w:val="21"/>
                <w:spacing w:val="7"/>
              </w:rPr>
              <w:t xml:space="preserve"> </w:t>
            </w:r>
            <w:r>
              <w:rPr>
                <w:sz w:val="21"/>
                <w:szCs w:val="21"/>
              </w:rPr>
              <w:t>于园区禁止引入的产业。本项目用 </w:t>
            </w:r>
            <w:r>
              <w:rPr>
                <w:sz w:val="21"/>
                <w:szCs w:val="21"/>
                <w:spacing w:val="-2"/>
              </w:rPr>
              <w:t>地边界外100m范围内无居住、教</w:t>
            </w:r>
          </w:p>
          <w:p>
            <w:pPr>
              <w:pStyle w:val="TableText"/>
              <w:ind w:left="17"/>
              <w:spacing w:before="1" w:line="244" w:lineRule="auto"/>
              <w:rPr>
                <w:sz w:val="21"/>
                <w:szCs w:val="21"/>
              </w:rPr>
            </w:pPr>
            <w:r>
              <w:rPr>
                <w:sz w:val="21"/>
                <w:szCs w:val="21"/>
                <w:spacing w:val="-1"/>
              </w:rPr>
              <w:t>育、卫生用地，且本项目以生猪待</w:t>
            </w:r>
            <w:r>
              <w:rPr>
                <w:sz w:val="21"/>
                <w:szCs w:val="21"/>
                <w:spacing w:val="4"/>
              </w:rPr>
              <w:t xml:space="preserve"> </w:t>
            </w:r>
            <w:r>
              <w:rPr>
                <w:sz w:val="21"/>
                <w:szCs w:val="21"/>
                <w:spacing w:val="-1"/>
              </w:rPr>
              <w:t>宰圈舍、肉牛待宰圈舍、生猪屠宰</w:t>
            </w:r>
            <w:r>
              <w:rPr>
                <w:sz w:val="21"/>
                <w:szCs w:val="21"/>
                <w:spacing w:val="9"/>
              </w:rPr>
              <w:t xml:space="preserve"> </w:t>
            </w:r>
            <w:r>
              <w:rPr>
                <w:sz w:val="21"/>
                <w:szCs w:val="21"/>
              </w:rPr>
              <w:t>车间、肉牛屠宰车间和污水处理站 </w:t>
            </w:r>
            <w:r>
              <w:rPr>
                <w:sz w:val="21"/>
                <w:szCs w:val="21"/>
                <w:spacing w:val="5"/>
              </w:rPr>
              <w:t>边界为起点，分别设置50m、</w:t>
            </w:r>
          </w:p>
          <w:p>
            <w:pPr>
              <w:pStyle w:val="TableText"/>
              <w:ind w:left="17"/>
              <w:spacing w:line="219" w:lineRule="auto"/>
              <w:rPr>
                <w:sz w:val="21"/>
                <w:szCs w:val="21"/>
              </w:rPr>
            </w:pPr>
            <w:r>
              <w:rPr>
                <w:sz w:val="21"/>
                <w:szCs w:val="21"/>
                <w:spacing w:val="-1"/>
              </w:rPr>
              <w:t>50m、50m、50m、100m的卫生防</w:t>
            </w:r>
          </w:p>
          <w:p>
            <w:pPr>
              <w:pStyle w:val="TableText"/>
              <w:ind w:left="17" w:right="9"/>
              <w:spacing w:line="248" w:lineRule="auto"/>
              <w:rPr>
                <w:sz w:val="21"/>
                <w:szCs w:val="21"/>
              </w:rPr>
            </w:pPr>
            <w:r>
              <w:rPr>
                <w:sz w:val="21"/>
                <w:szCs w:val="21"/>
                <w:spacing w:val="-1"/>
              </w:rPr>
              <w:t>护距离，该卫生防护距离范围内禁</w:t>
            </w:r>
            <w:r>
              <w:rPr>
                <w:sz w:val="21"/>
                <w:szCs w:val="21"/>
                <w:spacing w:val="4"/>
              </w:rPr>
              <w:t xml:space="preserve"> </w:t>
            </w:r>
            <w:r>
              <w:rPr>
                <w:sz w:val="21"/>
                <w:szCs w:val="21"/>
                <w:spacing w:val="-1"/>
              </w:rPr>
              <w:t>止新增居住、教育、卫生用地。</w:t>
            </w:r>
          </w:p>
        </w:tc>
        <w:tc>
          <w:tcPr>
            <w:tcW w:w="644" w:type="dxa"/>
            <w:vAlign w:val="top"/>
          </w:tcPr>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ind w:left="109"/>
              <w:spacing w:before="68" w:line="219" w:lineRule="auto"/>
              <w:rPr>
                <w:sz w:val="21"/>
                <w:szCs w:val="21"/>
              </w:rPr>
            </w:pPr>
            <w:r>
              <w:rPr>
                <w:sz w:val="21"/>
                <w:szCs w:val="21"/>
                <w:spacing w:val="-3"/>
              </w:rPr>
              <w:t>符合</w:t>
            </w:r>
          </w:p>
        </w:tc>
      </w:tr>
      <w:tr>
        <w:trPr>
          <w:trHeight w:val="3251" w:hRule="atLeast"/>
        </w:trPr>
        <w:tc>
          <w:tcPr>
            <w:tcW w:w="1084" w:type="dxa"/>
            <w:vAlign w:val="top"/>
            <w:vMerge w:val="continue"/>
            <w:tcBorders>
              <w:top w:val="nil"/>
            </w:tcBorders>
          </w:tcPr>
          <w:p>
            <w:pPr>
              <w:rPr>
                <w:rFonts w:ascii="Arial"/>
                <w:sz w:val="21"/>
              </w:rPr>
            </w:pPr>
            <w:r/>
          </w:p>
        </w:tc>
        <w:tc>
          <w:tcPr>
            <w:tcW w:w="290" w:type="dxa"/>
            <w:vAlign w:val="top"/>
            <w:vMerge w:val="continue"/>
            <w:textDirection w:val="tbRlV"/>
            <w:tcBorders>
              <w:top w:val="nil"/>
            </w:tcBorders>
          </w:tcPr>
          <w:p>
            <w:pPr>
              <w:rPr>
                <w:rFonts w:ascii="Arial"/>
                <w:sz w:val="21"/>
              </w:rPr>
            </w:pPr>
            <w:r/>
          </w:p>
        </w:tc>
        <w:tc>
          <w:tcPr>
            <w:tcW w:w="869" w:type="dxa"/>
            <w:vAlign w:val="top"/>
          </w:tcPr>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10" w:right="27" w:hanging="109"/>
              <w:spacing w:before="68" w:line="239" w:lineRule="auto"/>
              <w:rPr>
                <w:sz w:val="21"/>
                <w:szCs w:val="21"/>
              </w:rPr>
            </w:pPr>
            <w:r>
              <w:rPr>
                <w:sz w:val="21"/>
                <w:szCs w:val="21"/>
                <w:spacing w:val="-3"/>
              </w:rPr>
              <w:t>污染物排</w:t>
            </w:r>
            <w:r>
              <w:rPr>
                <w:sz w:val="21"/>
                <w:szCs w:val="21"/>
                <w:spacing w:val="1"/>
              </w:rPr>
              <w:t xml:space="preserve"> </w:t>
            </w:r>
            <w:r>
              <w:rPr>
                <w:sz w:val="21"/>
                <w:szCs w:val="21"/>
                <w:spacing w:val="-2"/>
              </w:rPr>
              <w:t>放管控</w:t>
            </w:r>
          </w:p>
        </w:tc>
        <w:tc>
          <w:tcPr>
            <w:tcW w:w="7375" w:type="dxa"/>
            <w:vAlign w:val="top"/>
          </w:tcPr>
          <w:p>
            <w:pPr>
              <w:pStyle w:val="TableText"/>
              <w:ind w:left="15"/>
              <w:spacing w:before="31" w:line="219" w:lineRule="auto"/>
              <w:rPr>
                <w:sz w:val="21"/>
                <w:szCs w:val="21"/>
              </w:rPr>
            </w:pPr>
            <w:r>
              <w:rPr>
                <w:sz w:val="21"/>
                <w:szCs w:val="21"/>
                <w:b/>
                <w:bCs/>
                <w:spacing w:val="-5"/>
              </w:rPr>
              <w:t>允许排放量要求</w:t>
            </w:r>
          </w:p>
          <w:p>
            <w:pPr>
              <w:pStyle w:val="TableText"/>
              <w:ind w:left="12" w:right="378"/>
              <w:spacing w:before="30" w:line="242" w:lineRule="auto"/>
              <w:rPr>
                <w:sz w:val="21"/>
                <w:szCs w:val="21"/>
              </w:rPr>
            </w:pPr>
            <w:r>
              <w:rPr>
                <w:sz w:val="21"/>
                <w:szCs w:val="21"/>
                <w:spacing w:val="1"/>
              </w:rPr>
              <w:t>绵阳市2025年水污染物允许排放量</w:t>
            </w:r>
            <w:r>
              <w:rPr>
                <w:sz w:val="21"/>
                <w:szCs w:val="21"/>
              </w:rPr>
              <w:t>COD</w:t>
            </w:r>
            <w:r>
              <w:rPr>
                <w:sz w:val="21"/>
                <w:szCs w:val="21"/>
                <w:spacing w:val="1"/>
              </w:rPr>
              <w:t>34843.7t,氨氮4803.37t,</w:t>
            </w:r>
            <w:r>
              <w:rPr>
                <w:sz w:val="21"/>
                <w:szCs w:val="21"/>
              </w:rPr>
              <w:t>TP</w:t>
            </w:r>
            <w:r>
              <w:rPr>
                <w:sz w:val="21"/>
                <w:szCs w:val="21"/>
                <w:spacing w:val="1"/>
              </w:rPr>
              <w:t>1179.8</w:t>
            </w:r>
            <w:r>
              <w:rPr>
                <w:sz w:val="21"/>
                <w:szCs w:val="21"/>
              </w:rPr>
              <w:t>7t; </w:t>
            </w:r>
            <w:r>
              <w:rPr>
                <w:sz w:val="21"/>
                <w:szCs w:val="21"/>
                <w:spacing w:val="6"/>
              </w:rPr>
              <w:t>绵阳市2025年大气污染物一次</w:t>
            </w:r>
            <w:r>
              <w:rPr>
                <w:sz w:val="21"/>
                <w:szCs w:val="21"/>
              </w:rPr>
              <w:t>PM</w:t>
            </w:r>
            <w:r>
              <w:rPr>
                <w:sz w:val="21"/>
                <w:szCs w:val="21"/>
                <w:spacing w:val="6"/>
              </w:rPr>
              <w:t>2.58986t、</w:t>
            </w:r>
            <w:r>
              <w:rPr>
                <w:sz w:val="21"/>
                <w:szCs w:val="21"/>
              </w:rPr>
              <w:t>SO</w:t>
            </w:r>
            <w:r>
              <w:rPr>
                <w:rFonts w:ascii="Calibri" w:hAnsi="Calibri" w:eastAsia="Calibri" w:cs="Calibri"/>
                <w:sz w:val="21"/>
                <w:szCs w:val="21"/>
                <w:spacing w:val="6"/>
              </w:rPr>
              <w:t>₂</w:t>
            </w:r>
            <w:r>
              <w:rPr>
                <w:sz w:val="21"/>
                <w:szCs w:val="21"/>
                <w:spacing w:val="6"/>
              </w:rPr>
              <w:t>5368t、</w:t>
            </w:r>
            <w:r>
              <w:rPr>
                <w:sz w:val="21"/>
                <w:szCs w:val="21"/>
              </w:rPr>
              <w:t>NOx</w:t>
            </w:r>
            <w:r>
              <w:rPr>
                <w:sz w:val="21"/>
                <w:szCs w:val="21"/>
                <w:spacing w:val="6"/>
              </w:rPr>
              <w:t>18634t、</w:t>
            </w:r>
          </w:p>
          <w:p>
            <w:pPr>
              <w:pStyle w:val="TableText"/>
              <w:ind w:left="12"/>
              <w:spacing w:before="55" w:line="170" w:lineRule="auto"/>
              <w:rPr>
                <w:sz w:val="21"/>
                <w:szCs w:val="21"/>
              </w:rPr>
            </w:pPr>
            <w:r>
              <w:rPr>
                <w:sz w:val="21"/>
                <w:szCs w:val="21"/>
                <w:spacing w:val="-1"/>
              </w:rPr>
              <w:t>VOCs21242t</w:t>
            </w:r>
          </w:p>
          <w:p>
            <w:pPr>
              <w:pStyle w:val="TableText"/>
              <w:ind w:left="15"/>
              <w:spacing w:line="219" w:lineRule="auto"/>
              <w:rPr>
                <w:sz w:val="21"/>
                <w:szCs w:val="21"/>
              </w:rPr>
            </w:pPr>
            <w:r>
              <w:rPr>
                <w:sz w:val="21"/>
                <w:szCs w:val="21"/>
                <w:b/>
                <w:bCs/>
                <w:spacing w:val="-4"/>
              </w:rPr>
              <w:t>现有源提标升级改造</w:t>
            </w:r>
          </w:p>
          <w:p>
            <w:pPr>
              <w:pStyle w:val="TableText"/>
              <w:ind w:left="12"/>
              <w:spacing w:before="24" w:line="219" w:lineRule="auto"/>
              <w:rPr>
                <w:sz w:val="21"/>
                <w:szCs w:val="21"/>
              </w:rPr>
            </w:pPr>
            <w:r>
              <w:rPr>
                <w:sz w:val="21"/>
                <w:szCs w:val="21"/>
                <w:spacing w:val="3"/>
              </w:rPr>
              <w:t>污水收集处理率达100%;</w:t>
            </w:r>
          </w:p>
          <w:p>
            <w:pPr>
              <w:pStyle w:val="TableText"/>
              <w:ind w:left="12" w:right="108"/>
              <w:spacing w:before="20" w:line="239" w:lineRule="auto"/>
              <w:rPr>
                <w:sz w:val="21"/>
                <w:szCs w:val="21"/>
              </w:rPr>
            </w:pPr>
            <w:r>
              <w:rPr>
                <w:sz w:val="21"/>
                <w:szCs w:val="21"/>
                <w:spacing w:val="3"/>
              </w:rPr>
              <w:t>到2025年底前，现有钢铁行业80%以上产能完成</w:t>
            </w:r>
            <w:r>
              <w:rPr>
                <w:sz w:val="21"/>
                <w:szCs w:val="21"/>
                <w:spacing w:val="2"/>
              </w:rPr>
              <w:t>超低排放改造，烧结机机头、</w:t>
            </w:r>
            <w:r>
              <w:rPr>
                <w:sz w:val="21"/>
                <w:szCs w:val="21"/>
              </w:rPr>
              <w:t xml:space="preserve">  </w:t>
            </w:r>
            <w:r>
              <w:rPr>
                <w:sz w:val="21"/>
                <w:szCs w:val="21"/>
                <w:spacing w:val="3"/>
              </w:rPr>
              <w:t>球团焙烧烟气颗粒物、二氧化硫、氮氧化物排放浓度小时均值分别不高于1</w:t>
            </w:r>
            <w:r>
              <w:rPr>
                <w:sz w:val="21"/>
                <w:szCs w:val="21"/>
                <w:spacing w:val="2"/>
              </w:rPr>
              <w:t>0、</w:t>
            </w:r>
          </w:p>
          <w:p>
            <w:pPr>
              <w:pStyle w:val="TableText"/>
              <w:ind w:left="12" w:right="95"/>
              <w:spacing w:before="26" w:line="211" w:lineRule="auto"/>
              <w:rPr>
                <w:sz w:val="21"/>
                <w:szCs w:val="21"/>
              </w:rPr>
            </w:pPr>
            <w:r>
              <w:rPr>
                <w:sz w:val="21"/>
                <w:szCs w:val="21"/>
              </w:rPr>
              <w:t>35、50毫克/立方米；其他主要污染源颗粒物、二氧化硫、氮氧化物排放浓度小</w:t>
            </w:r>
            <w:r>
              <w:rPr>
                <w:sz w:val="21"/>
                <w:szCs w:val="21"/>
                <w:spacing w:val="11"/>
              </w:rPr>
              <w:t xml:space="preserve"> </w:t>
            </w:r>
            <w:r>
              <w:rPr>
                <w:sz w:val="21"/>
                <w:szCs w:val="21"/>
              </w:rPr>
              <w:t>时均值原则上分别不高于10、50、200毫</w:t>
            </w:r>
            <w:r>
              <w:rPr>
                <w:sz w:val="21"/>
                <w:szCs w:val="21"/>
                <w:spacing w:val="-1"/>
              </w:rPr>
              <w:t>克/立方米。</w:t>
            </w:r>
          </w:p>
          <w:p>
            <w:pPr>
              <w:pStyle w:val="TableText"/>
              <w:ind w:left="12" w:right="7" w:firstLine="29"/>
              <w:spacing w:before="51" w:line="214" w:lineRule="auto"/>
              <w:rPr>
                <w:sz w:val="21"/>
                <w:szCs w:val="21"/>
              </w:rPr>
            </w:pPr>
            <w:r>
              <w:rPr>
                <w:sz w:val="21"/>
                <w:szCs w:val="21"/>
              </w:rPr>
              <w:t>有行业标准的工业炉窑，要求严格执行已有的行业排</w:t>
            </w:r>
            <w:r>
              <w:rPr>
                <w:sz w:val="21"/>
                <w:szCs w:val="21"/>
                <w:spacing w:val="-1"/>
              </w:rPr>
              <w:t>放标准，配套建设高效除</w:t>
            </w:r>
            <w:r>
              <w:rPr>
                <w:sz w:val="21"/>
                <w:szCs w:val="21"/>
              </w:rPr>
              <w:t xml:space="preserve">  </w:t>
            </w:r>
            <w:r>
              <w:rPr>
                <w:sz w:val="21"/>
                <w:szCs w:val="21"/>
              </w:rPr>
              <w:t>尘脱硫脱硝设施，确保稳定达标排放。有排污许可证的，应严格执</w:t>
            </w:r>
            <w:r>
              <w:rPr>
                <w:sz w:val="21"/>
                <w:szCs w:val="21"/>
                <w:spacing w:val="-1"/>
              </w:rPr>
              <w:t>行许可要求。</w:t>
            </w:r>
          </w:p>
        </w:tc>
        <w:tc>
          <w:tcPr>
            <w:tcW w:w="3178" w:type="dxa"/>
            <w:vAlign w:val="top"/>
          </w:tcPr>
          <w:p>
            <w:pPr>
              <w:pStyle w:val="TableText"/>
              <w:ind w:left="17"/>
              <w:spacing w:before="42" w:line="238" w:lineRule="auto"/>
              <w:rPr>
                <w:sz w:val="21"/>
                <w:szCs w:val="21"/>
              </w:rPr>
            </w:pPr>
            <w:r>
              <w:rPr>
                <w:sz w:val="21"/>
                <w:szCs w:val="21"/>
                <w:spacing w:val="-1"/>
              </w:rPr>
              <w:t>本项目餐饮废水经隔油池处理后，</w:t>
            </w:r>
            <w:r>
              <w:rPr>
                <w:sz w:val="21"/>
                <w:szCs w:val="21"/>
                <w:spacing w:val="1"/>
              </w:rPr>
              <w:t xml:space="preserve"> </w:t>
            </w:r>
            <w:r>
              <w:rPr>
                <w:sz w:val="21"/>
                <w:szCs w:val="21"/>
              </w:rPr>
              <w:t>与生活污水一同经预处理池处理达 </w:t>
            </w:r>
            <w:r>
              <w:rPr>
                <w:sz w:val="21"/>
                <w:szCs w:val="21"/>
                <w:spacing w:val="-3"/>
              </w:rPr>
              <w:t>到《污水综合排放标准》</w:t>
            </w:r>
          </w:p>
          <w:p>
            <w:pPr>
              <w:pStyle w:val="TableText"/>
              <w:ind w:right="196" w:firstLine="179"/>
              <w:spacing w:line="235" w:lineRule="auto"/>
              <w:rPr>
                <w:sz w:val="21"/>
                <w:szCs w:val="21"/>
              </w:rPr>
            </w:pPr>
            <w:r>
              <w:rPr>
                <w:sz w:val="21"/>
                <w:szCs w:val="21"/>
                <w:spacing w:val="-4"/>
              </w:rPr>
              <w:t>(GB8978-1996)三级标准；生产</w:t>
            </w:r>
            <w:r>
              <w:rPr>
                <w:sz w:val="21"/>
                <w:szCs w:val="21"/>
                <w:spacing w:val="5"/>
              </w:rPr>
              <w:t xml:space="preserve"> </w:t>
            </w:r>
            <w:r>
              <w:rPr>
                <w:sz w:val="21"/>
                <w:szCs w:val="21"/>
                <w:spacing w:val="2"/>
              </w:rPr>
              <w:t>废水经自建污水处理站处理达到 </w:t>
            </w:r>
            <w:r>
              <w:rPr>
                <w:sz w:val="21"/>
                <w:szCs w:val="21"/>
                <w:spacing w:val="-8"/>
              </w:rPr>
              <w:t>《肉类加工工业水污染物排放标</w:t>
            </w:r>
            <w:r>
              <w:rPr>
                <w:sz w:val="21"/>
                <w:szCs w:val="21"/>
                <w:spacing w:val="4"/>
              </w:rPr>
              <w:t xml:space="preserve">  </w:t>
            </w:r>
            <w:r>
              <w:rPr>
                <w:sz w:val="21"/>
                <w:szCs w:val="21"/>
                <w:spacing w:val="1"/>
              </w:rPr>
              <w:t>准》(</w:t>
            </w:r>
            <w:r>
              <w:rPr>
                <w:sz w:val="21"/>
                <w:szCs w:val="21"/>
              </w:rPr>
              <w:t>GB</w:t>
            </w:r>
            <w:r>
              <w:rPr>
                <w:sz w:val="21"/>
                <w:szCs w:val="21"/>
                <w:spacing w:val="1"/>
              </w:rPr>
              <w:t>13457-92)表3中三级</w:t>
            </w:r>
          </w:p>
          <w:p>
            <w:pPr>
              <w:pStyle w:val="TableText"/>
              <w:ind w:left="17"/>
              <w:spacing w:before="2" w:line="231" w:lineRule="auto"/>
              <w:rPr>
                <w:sz w:val="21"/>
                <w:szCs w:val="21"/>
              </w:rPr>
            </w:pPr>
            <w:r>
              <w:rPr>
                <w:sz w:val="21"/>
                <w:szCs w:val="21"/>
                <w:spacing w:val="-2"/>
              </w:rPr>
              <w:t>标准后，与生活污水一同经厂区总</w:t>
            </w:r>
            <w:r>
              <w:rPr>
                <w:sz w:val="21"/>
                <w:szCs w:val="21"/>
                <w:spacing w:val="11"/>
              </w:rPr>
              <w:t xml:space="preserve"> </w:t>
            </w:r>
            <w:r>
              <w:rPr>
                <w:sz w:val="21"/>
                <w:szCs w:val="21"/>
              </w:rPr>
              <w:t>排口排至园区污水管网，经管网引 </w:t>
            </w:r>
            <w:r>
              <w:rPr>
                <w:sz w:val="21"/>
                <w:szCs w:val="21"/>
                <w:spacing w:val="-2"/>
              </w:rPr>
              <w:t>至安州区第三污水处理厂处理，属</w:t>
            </w:r>
            <w:r>
              <w:rPr>
                <w:sz w:val="21"/>
                <w:szCs w:val="21"/>
                <w:spacing w:val="11"/>
              </w:rPr>
              <w:t xml:space="preserve"> </w:t>
            </w:r>
            <w:r>
              <w:rPr>
                <w:sz w:val="21"/>
                <w:szCs w:val="21"/>
                <w:spacing w:val="-2"/>
              </w:rPr>
              <w:t>于间接排放，总量纳入污水处理厂</w:t>
            </w:r>
            <w:r>
              <w:rPr>
                <w:sz w:val="21"/>
                <w:szCs w:val="21"/>
                <w:spacing w:val="6"/>
              </w:rPr>
              <w:t xml:space="preserve"> </w:t>
            </w:r>
            <w:r>
              <w:rPr>
                <w:sz w:val="21"/>
                <w:szCs w:val="21"/>
                <w:spacing w:val="-1"/>
              </w:rPr>
              <w:t>总量控制要求。本项目生猪待宰圈</w:t>
            </w:r>
          </w:p>
        </w:tc>
        <w:tc>
          <w:tcPr>
            <w:tcW w:w="644"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pStyle w:val="TableText"/>
              <w:ind w:left="109"/>
              <w:spacing w:before="68" w:line="219" w:lineRule="auto"/>
              <w:rPr>
                <w:sz w:val="21"/>
                <w:szCs w:val="21"/>
              </w:rPr>
            </w:pPr>
            <w:r>
              <w:rPr>
                <w:sz w:val="21"/>
                <w:szCs w:val="21"/>
                <w:spacing w:val="-3"/>
              </w:rPr>
              <w:t>符合</w:t>
            </w:r>
          </w:p>
        </w:tc>
      </w:tr>
    </w:tbl>
    <w:p>
      <w:pPr>
        <w:pStyle w:val="BodyText"/>
        <w:rPr/>
      </w:pPr>
      <w:r/>
    </w:p>
    <w:p>
      <w:pPr>
        <w:sectPr>
          <w:headerReference w:type="default" r:id="rId102"/>
          <w:footerReference w:type="default" r:id="rId103"/>
          <w:pgSz w:w="16840" w:h="11910"/>
          <w:pgMar w:top="1180" w:right="1715" w:bottom="961" w:left="1674" w:header="872" w:footer="702" w:gutter="0"/>
        </w:sectPr>
        <w:rPr/>
      </w:pPr>
    </w:p>
    <w:p>
      <w:pPr>
        <w:spacing w:before="33"/>
        <w:rPr/>
      </w:pPr>
      <w:r/>
    </w:p>
    <w:tbl>
      <w:tblPr>
        <w:tblStyle w:val="TableNormal"/>
        <w:tblW w:w="1344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84"/>
        <w:gridCol w:w="290"/>
        <w:gridCol w:w="869"/>
        <w:gridCol w:w="7375"/>
        <w:gridCol w:w="3178"/>
        <w:gridCol w:w="644"/>
      </w:tblGrid>
      <w:tr>
        <w:trPr>
          <w:trHeight w:val="284" w:hRule="atLeast"/>
        </w:trPr>
        <w:tc>
          <w:tcPr>
            <w:shd w:val="clear" w:fill="BDBDBD"/>
            <w:tcW w:w="9618" w:type="dxa"/>
            <w:vAlign w:val="top"/>
            <w:gridSpan w:val="4"/>
          </w:tcPr>
          <w:p>
            <w:pPr>
              <w:pStyle w:val="TableText"/>
              <w:ind w:left="3653"/>
              <w:spacing w:before="40" w:line="205" w:lineRule="auto"/>
              <w:rPr>
                <w:sz w:val="21"/>
                <w:szCs w:val="21"/>
              </w:rPr>
            </w:pPr>
            <w:r>
              <w:rPr>
                <w:sz w:val="21"/>
                <w:szCs w:val="21"/>
                <w:b/>
                <w:bCs/>
                <w:spacing w:val="7"/>
              </w:rPr>
              <w:t>“三线一单”的具体要求</w:t>
            </w:r>
          </w:p>
        </w:tc>
        <w:tc>
          <w:tcPr>
            <w:shd w:val="clear" w:fill="BDBDBD"/>
            <w:tcW w:w="3178" w:type="dxa"/>
            <w:vAlign w:val="top"/>
            <w:vMerge w:val="restart"/>
            <w:tcBorders>
              <w:bottom w:val="nil"/>
            </w:tcBorders>
          </w:tcPr>
          <w:p>
            <w:pPr>
              <w:pStyle w:val="TableText"/>
              <w:ind w:left="770"/>
              <w:spacing w:before="169" w:line="219" w:lineRule="auto"/>
              <w:rPr>
                <w:sz w:val="21"/>
                <w:szCs w:val="21"/>
              </w:rPr>
            </w:pPr>
            <w:r>
              <w:rPr>
                <w:sz w:val="21"/>
                <w:szCs w:val="21"/>
                <w:b/>
                <w:bCs/>
                <w:spacing w:val="-1"/>
              </w:rPr>
              <w:t>项目对应情况介绍</w:t>
            </w:r>
          </w:p>
        </w:tc>
        <w:tc>
          <w:tcPr>
            <w:shd w:val="clear" w:fill="BDBDBD"/>
            <w:tcW w:w="644" w:type="dxa"/>
            <w:vAlign w:val="top"/>
            <w:vMerge w:val="restart"/>
            <w:tcBorders>
              <w:bottom w:val="nil"/>
            </w:tcBorders>
          </w:tcPr>
          <w:p>
            <w:pPr>
              <w:pStyle w:val="TableText"/>
              <w:ind w:left="110" w:hanging="88"/>
              <w:spacing w:before="29" w:line="226" w:lineRule="auto"/>
              <w:rPr>
                <w:sz w:val="21"/>
                <w:szCs w:val="21"/>
              </w:rPr>
            </w:pPr>
            <w:r>
              <w:rPr>
                <w:sz w:val="21"/>
                <w:szCs w:val="21"/>
                <w:b/>
                <w:bCs/>
                <w:spacing w:val="-9"/>
              </w:rPr>
              <w:t>符合性</w:t>
            </w:r>
            <w:r>
              <w:rPr>
                <w:sz w:val="21"/>
                <w:szCs w:val="21"/>
                <w:spacing w:val="1"/>
              </w:rPr>
              <w:t xml:space="preserve"> </w:t>
            </w:r>
            <w:r>
              <w:rPr>
                <w:sz w:val="21"/>
                <w:szCs w:val="21"/>
                <w:b/>
                <w:bCs/>
                <w:spacing w:val="-7"/>
              </w:rPr>
              <w:t>分析</w:t>
            </w:r>
          </w:p>
        </w:tc>
      </w:tr>
      <w:tr>
        <w:trPr>
          <w:trHeight w:val="260" w:hRule="atLeast"/>
        </w:trPr>
        <w:tc>
          <w:tcPr>
            <w:shd w:val="clear" w:fill="BDBDBD"/>
            <w:tcW w:w="2243" w:type="dxa"/>
            <w:vAlign w:val="top"/>
            <w:gridSpan w:val="3"/>
          </w:tcPr>
          <w:p>
            <w:pPr>
              <w:pStyle w:val="TableText"/>
              <w:ind w:left="898"/>
              <w:spacing w:before="25" w:line="197" w:lineRule="auto"/>
              <w:rPr>
                <w:sz w:val="21"/>
                <w:szCs w:val="21"/>
              </w:rPr>
            </w:pPr>
            <w:r>
              <w:rPr>
                <w:sz w:val="21"/>
                <w:szCs w:val="21"/>
                <w:b/>
                <w:bCs/>
                <w:spacing w:val="-5"/>
              </w:rPr>
              <w:t>类别</w:t>
            </w:r>
          </w:p>
        </w:tc>
        <w:tc>
          <w:tcPr>
            <w:shd w:val="clear" w:fill="BDBDBD"/>
            <w:tcW w:w="7375" w:type="dxa"/>
            <w:vAlign w:val="top"/>
          </w:tcPr>
          <w:p>
            <w:pPr>
              <w:pStyle w:val="TableText"/>
              <w:ind w:left="3055"/>
              <w:spacing w:before="25" w:line="197" w:lineRule="auto"/>
              <w:rPr>
                <w:sz w:val="21"/>
                <w:szCs w:val="21"/>
              </w:rPr>
            </w:pPr>
            <w:r>
              <w:rPr>
                <w:sz w:val="21"/>
                <w:szCs w:val="21"/>
                <w:b/>
                <w:bCs/>
                <w:spacing w:val="-4"/>
              </w:rPr>
              <w:t>对应管控要求</w:t>
            </w:r>
          </w:p>
        </w:tc>
        <w:tc>
          <w:tcPr>
            <w:tcW w:w="3178" w:type="dxa"/>
            <w:vAlign w:val="top"/>
            <w:vMerge w:val="continue"/>
            <w:tcBorders>
              <w:top w:val="nil"/>
            </w:tcBorders>
          </w:tcPr>
          <w:p>
            <w:pPr>
              <w:rPr>
                <w:rFonts w:ascii="Arial"/>
                <w:sz w:val="21"/>
              </w:rPr>
            </w:pPr>
            <w:r/>
          </w:p>
        </w:tc>
        <w:tc>
          <w:tcPr>
            <w:tcW w:w="644" w:type="dxa"/>
            <w:vAlign w:val="top"/>
            <w:vMerge w:val="continue"/>
            <w:tcBorders>
              <w:top w:val="nil"/>
            </w:tcBorders>
          </w:tcPr>
          <w:p>
            <w:pPr>
              <w:rPr>
                <w:rFonts w:ascii="Arial"/>
                <w:sz w:val="21"/>
              </w:rPr>
            </w:pPr>
            <w:r/>
          </w:p>
        </w:tc>
      </w:tr>
      <w:tr>
        <w:trPr>
          <w:trHeight w:val="8155" w:hRule="atLeast"/>
        </w:trPr>
        <w:tc>
          <w:tcPr>
            <w:tcW w:w="1084" w:type="dxa"/>
            <w:vAlign w:val="top"/>
          </w:tcPr>
          <w:p>
            <w:pPr>
              <w:rPr>
                <w:rFonts w:ascii="Arial"/>
                <w:sz w:val="21"/>
              </w:rPr>
            </w:pPr>
            <w:r/>
          </w:p>
        </w:tc>
        <w:tc>
          <w:tcPr>
            <w:tcW w:w="290" w:type="dxa"/>
            <w:vAlign w:val="top"/>
          </w:tcPr>
          <w:p>
            <w:pPr>
              <w:rPr>
                <w:rFonts w:ascii="Arial"/>
                <w:sz w:val="21"/>
              </w:rPr>
            </w:pPr>
            <w:r/>
          </w:p>
        </w:tc>
        <w:tc>
          <w:tcPr>
            <w:tcW w:w="869" w:type="dxa"/>
            <w:vAlign w:val="top"/>
          </w:tcPr>
          <w:p>
            <w:pPr>
              <w:rPr>
                <w:rFonts w:ascii="Arial"/>
                <w:sz w:val="21"/>
              </w:rPr>
            </w:pPr>
            <w:r/>
          </w:p>
        </w:tc>
        <w:tc>
          <w:tcPr>
            <w:tcW w:w="7375" w:type="dxa"/>
            <w:vAlign w:val="top"/>
          </w:tcPr>
          <w:p>
            <w:pPr>
              <w:pStyle w:val="TableText"/>
              <w:ind w:left="12"/>
              <w:spacing w:before="50" w:line="235" w:lineRule="auto"/>
              <w:rPr>
                <w:sz w:val="21"/>
                <w:szCs w:val="21"/>
              </w:rPr>
            </w:pPr>
            <w:r>
              <w:rPr>
                <w:sz w:val="21"/>
                <w:szCs w:val="21"/>
              </w:rPr>
              <w:t>暂没有行业标准的，要求参照有关行业标准执行，其中，铸造行业烧结、高炉工</w:t>
            </w:r>
            <w:r>
              <w:rPr>
                <w:sz w:val="21"/>
                <w:szCs w:val="21"/>
                <w:spacing w:val="1"/>
              </w:rPr>
              <w:t xml:space="preserve"> </w:t>
            </w:r>
            <w:r>
              <w:rPr>
                <w:sz w:val="21"/>
                <w:szCs w:val="21"/>
                <w:spacing w:val="-1"/>
              </w:rPr>
              <w:t>序污染排放控制按照钢铁行业相关标准要求执行；颗粒物、二氧化硫、氮氧化物</w:t>
            </w:r>
            <w:r>
              <w:rPr>
                <w:sz w:val="21"/>
                <w:szCs w:val="21"/>
                <w:spacing w:val="17"/>
              </w:rPr>
              <w:t xml:space="preserve"> </w:t>
            </w:r>
            <w:r>
              <w:rPr>
                <w:sz w:val="21"/>
                <w:szCs w:val="21"/>
              </w:rPr>
              <w:t>排放限值分别不高于30、200、300毫克</w:t>
            </w:r>
            <w:r>
              <w:rPr>
                <w:sz w:val="21"/>
                <w:szCs w:val="21"/>
                <w:spacing w:val="-1"/>
              </w:rPr>
              <w:t>/立方米实施改造，其中，日用玻璃、玻</w:t>
            </w:r>
            <w:r>
              <w:rPr>
                <w:sz w:val="21"/>
                <w:szCs w:val="21"/>
              </w:rPr>
              <w:t xml:space="preserve">  </w:t>
            </w:r>
            <w:r>
              <w:rPr>
                <w:sz w:val="21"/>
                <w:szCs w:val="21"/>
                <w:spacing w:val="-1"/>
              </w:rPr>
              <w:t>璃棉氮氧化物排放限值不高于400毫克/立方米。</w:t>
            </w:r>
          </w:p>
          <w:p>
            <w:pPr>
              <w:pStyle w:val="TableText"/>
              <w:ind w:left="72"/>
              <w:spacing w:before="10" w:line="219" w:lineRule="auto"/>
              <w:rPr>
                <w:sz w:val="21"/>
                <w:szCs w:val="21"/>
              </w:rPr>
            </w:pPr>
            <w:r>
              <w:rPr>
                <w:sz w:val="21"/>
                <w:szCs w:val="21"/>
              </w:rPr>
              <w:t>完善园区及企业雨污分流系统，全面推进医药、化</w:t>
            </w:r>
            <w:r>
              <w:rPr>
                <w:sz w:val="21"/>
                <w:szCs w:val="21"/>
                <w:spacing w:val="-1"/>
              </w:rPr>
              <w:t>工等行业初期雨水收集处</w:t>
            </w:r>
          </w:p>
          <w:p>
            <w:pPr>
              <w:pStyle w:val="TableText"/>
              <w:ind w:left="12"/>
              <w:spacing w:before="50" w:line="230" w:lineRule="auto"/>
              <w:rPr>
                <w:sz w:val="21"/>
                <w:szCs w:val="21"/>
              </w:rPr>
            </w:pPr>
            <w:r>
              <w:rPr>
                <w:sz w:val="21"/>
                <w:szCs w:val="21"/>
                <w:spacing w:val="-6"/>
              </w:rPr>
              <w:t>理，推动有条件的园区实施入园企业“一企一管、明管输送、实时监测”。加强企</w:t>
            </w:r>
            <w:r>
              <w:rPr>
                <w:sz w:val="21"/>
                <w:szCs w:val="21"/>
                <w:spacing w:val="7"/>
              </w:rPr>
              <w:t xml:space="preserve"> </w:t>
            </w:r>
            <w:r>
              <w:rPr>
                <w:sz w:val="21"/>
                <w:szCs w:val="21"/>
              </w:rPr>
              <w:t>业废水预处理和排水管理，鼓励纳管企业与园</w:t>
            </w:r>
            <w:r>
              <w:rPr>
                <w:sz w:val="21"/>
                <w:szCs w:val="21"/>
                <w:spacing w:val="-1"/>
              </w:rPr>
              <w:t>区污水处理厂运营单位通过签订委</w:t>
            </w:r>
            <w:r>
              <w:rPr>
                <w:sz w:val="21"/>
                <w:szCs w:val="21"/>
              </w:rPr>
              <w:t xml:space="preserve"> </w:t>
            </w:r>
            <w:r>
              <w:rPr>
                <w:sz w:val="21"/>
                <w:szCs w:val="21"/>
                <w:spacing w:val="-1"/>
              </w:rPr>
              <w:t>托处理合同等方式协同处理废水。</w:t>
            </w:r>
          </w:p>
          <w:p>
            <w:pPr>
              <w:pStyle w:val="TableText"/>
              <w:ind w:left="15"/>
              <w:spacing w:before="2" w:line="219" w:lineRule="auto"/>
              <w:rPr>
                <w:sz w:val="21"/>
                <w:szCs w:val="21"/>
              </w:rPr>
            </w:pPr>
            <w:r>
              <w:rPr>
                <w:sz w:val="21"/>
                <w:szCs w:val="21"/>
                <w:b/>
                <w:bCs/>
                <w:spacing w:val="-3"/>
              </w:rPr>
              <w:t>其他污染物排放管控要求</w:t>
            </w:r>
          </w:p>
          <w:p>
            <w:pPr>
              <w:pStyle w:val="TableText"/>
              <w:ind w:left="12"/>
              <w:spacing w:before="23" w:line="246" w:lineRule="auto"/>
              <w:rPr>
                <w:sz w:val="21"/>
                <w:szCs w:val="21"/>
              </w:rPr>
            </w:pPr>
            <w:r>
              <w:rPr>
                <w:sz w:val="21"/>
                <w:szCs w:val="21"/>
                <w:spacing w:val="-3"/>
              </w:rPr>
              <w:t>1.新增源等量或倍量替代：-上一年度水环境质量未完成目标的，新建排放水污染</w:t>
            </w:r>
            <w:r>
              <w:rPr>
                <w:sz w:val="21"/>
                <w:szCs w:val="21"/>
                <w:spacing w:val="7"/>
              </w:rPr>
              <w:t xml:space="preserve"> </w:t>
            </w:r>
            <w:r>
              <w:rPr>
                <w:sz w:val="21"/>
                <w:szCs w:val="21"/>
                <w:spacing w:val="-1"/>
              </w:rPr>
              <w:t>的建设项目按照总量管控要求进行倍量削减替代。</w:t>
            </w:r>
          </w:p>
          <w:p>
            <w:pPr>
              <w:pStyle w:val="TableText"/>
              <w:ind w:left="12" w:right="195"/>
              <w:spacing w:before="2" w:line="221" w:lineRule="auto"/>
              <w:rPr>
                <w:sz w:val="21"/>
                <w:szCs w:val="21"/>
              </w:rPr>
            </w:pPr>
            <w:r>
              <w:rPr>
                <w:sz w:val="21"/>
                <w:szCs w:val="21"/>
              </w:rPr>
              <w:t>上一年度空气质量年平均浓度不达标的城市，建设项目新增相关污染物按照总</w:t>
            </w:r>
            <w:r>
              <w:rPr>
                <w:sz w:val="21"/>
                <w:szCs w:val="21"/>
                <w:spacing w:val="16"/>
              </w:rPr>
              <w:t xml:space="preserve"> </w:t>
            </w:r>
            <w:r>
              <w:rPr>
                <w:sz w:val="21"/>
                <w:szCs w:val="21"/>
                <w:spacing w:val="-1"/>
              </w:rPr>
              <w:t>量管控要求进行倍量削减替代。</w:t>
            </w:r>
          </w:p>
          <w:p>
            <w:pPr>
              <w:pStyle w:val="TableText"/>
              <w:ind w:left="12" w:right="400" w:firstLine="29"/>
              <w:spacing w:before="45" w:line="215" w:lineRule="auto"/>
              <w:rPr>
                <w:sz w:val="21"/>
                <w:szCs w:val="21"/>
              </w:rPr>
            </w:pPr>
            <w:r>
              <w:rPr>
                <w:sz w:val="21"/>
                <w:szCs w:val="21"/>
              </w:rPr>
              <w:t>对新建排放二氧化硫、氮氧化物、工业烟粉尘和VOCs的</w:t>
            </w:r>
            <w:r>
              <w:rPr>
                <w:sz w:val="21"/>
                <w:szCs w:val="21"/>
                <w:spacing w:val="-1"/>
              </w:rPr>
              <w:t>项目实施现役源倍量</w:t>
            </w:r>
            <w:r>
              <w:rPr>
                <w:sz w:val="21"/>
                <w:szCs w:val="21"/>
              </w:rPr>
              <w:t xml:space="preserve"> </w:t>
            </w:r>
            <w:r>
              <w:rPr>
                <w:sz w:val="21"/>
                <w:szCs w:val="21"/>
                <w:spacing w:val="-1"/>
              </w:rPr>
              <w:t>削减量替代。</w:t>
            </w:r>
          </w:p>
          <w:p>
            <w:pPr>
              <w:pStyle w:val="TableText"/>
              <w:ind w:left="12" w:right="191" w:firstLine="29"/>
              <w:spacing w:before="30"/>
              <w:rPr>
                <w:sz w:val="21"/>
                <w:szCs w:val="21"/>
              </w:rPr>
            </w:pPr>
            <w:r>
              <w:rPr>
                <w:sz w:val="21"/>
                <w:szCs w:val="21"/>
              </w:rPr>
              <w:t>严禁钢铁、水泥、电解铝、平板玻璃等行业新增产能</w:t>
            </w:r>
            <w:r>
              <w:rPr>
                <w:sz w:val="21"/>
                <w:szCs w:val="21"/>
                <w:spacing w:val="-1"/>
              </w:rPr>
              <w:t>，对确有必要新建的必须</w:t>
            </w:r>
            <w:r>
              <w:rPr>
                <w:sz w:val="21"/>
                <w:szCs w:val="21"/>
              </w:rPr>
              <w:t xml:space="preserve"> </w:t>
            </w:r>
            <w:r>
              <w:rPr>
                <w:sz w:val="21"/>
                <w:szCs w:val="21"/>
                <w:spacing w:val="-1"/>
              </w:rPr>
              <w:t>实施等量或减量置换，防范过剩和落后产能跨地区转移。</w:t>
            </w:r>
          </w:p>
          <w:p>
            <w:pPr>
              <w:pStyle w:val="TableText"/>
              <w:ind w:left="12" w:right="218"/>
              <w:spacing w:before="20" w:line="238" w:lineRule="auto"/>
              <w:rPr>
                <w:sz w:val="21"/>
                <w:szCs w:val="21"/>
              </w:rPr>
            </w:pPr>
            <w:r>
              <w:rPr>
                <w:sz w:val="21"/>
                <w:szCs w:val="21"/>
              </w:rPr>
              <w:t>p.污染物排放绩效水平准入要求：-工业固体废弃物利用处置率达1</w:t>
            </w:r>
            <w:r>
              <w:rPr>
                <w:sz w:val="21"/>
                <w:szCs w:val="21"/>
                <w:spacing w:val="-1"/>
              </w:rPr>
              <w:t>00%,危险废</w:t>
            </w:r>
            <w:r>
              <w:rPr>
                <w:sz w:val="21"/>
                <w:szCs w:val="21"/>
              </w:rPr>
              <w:t xml:space="preserve"> </w:t>
            </w:r>
            <w:r>
              <w:rPr>
                <w:sz w:val="21"/>
                <w:szCs w:val="21"/>
                <w:spacing w:val="-1"/>
              </w:rPr>
              <w:t>物处置率达100%。</w:t>
            </w:r>
          </w:p>
          <w:p>
            <w:pPr>
              <w:pStyle w:val="TableText"/>
              <w:ind w:left="12"/>
              <w:spacing w:before="2" w:line="239" w:lineRule="auto"/>
              <w:rPr>
                <w:sz w:val="21"/>
                <w:szCs w:val="21"/>
              </w:rPr>
            </w:pPr>
            <w:r>
              <w:rPr>
                <w:sz w:val="21"/>
                <w:szCs w:val="21"/>
              </w:rPr>
              <w:t>十重金属重点排污企业达标排放率达100</w:t>
            </w:r>
            <w:r>
              <w:rPr>
                <w:sz w:val="21"/>
                <w:szCs w:val="21"/>
                <w:spacing w:val="-1"/>
              </w:rPr>
              <w:t>%,重有色金属矿采选业、重有色金属冶</w:t>
            </w:r>
            <w:r>
              <w:rPr>
                <w:sz w:val="21"/>
                <w:szCs w:val="21"/>
              </w:rPr>
              <w:t xml:space="preserve">  </w:t>
            </w:r>
            <w:r>
              <w:rPr>
                <w:sz w:val="21"/>
                <w:szCs w:val="21"/>
                <w:spacing w:val="-1"/>
              </w:rPr>
              <w:t>炼行业、金属表面处理及热处理加工行业、皮革及其制品制造业、化学原料及化</w:t>
            </w:r>
            <w:r>
              <w:rPr>
                <w:sz w:val="21"/>
                <w:szCs w:val="21"/>
                <w:spacing w:val="17"/>
              </w:rPr>
              <w:t xml:space="preserve"> </w:t>
            </w:r>
            <w:r>
              <w:rPr>
                <w:sz w:val="21"/>
                <w:szCs w:val="21"/>
              </w:rPr>
              <w:t>学制品制造业、铅酸蓄电池制造行业等应满足重点重金属排放行业污染治理相关</w:t>
            </w:r>
            <w:r>
              <w:rPr>
                <w:sz w:val="21"/>
                <w:szCs w:val="21"/>
                <w:spacing w:val="1"/>
              </w:rPr>
              <w:t xml:space="preserve"> </w:t>
            </w:r>
            <w:r>
              <w:rPr>
                <w:sz w:val="21"/>
                <w:szCs w:val="21"/>
                <w:spacing w:val="-1"/>
              </w:rPr>
              <w:t>要求，重金属重点行业清洁生产总体上达到国内先进水平。</w:t>
            </w:r>
          </w:p>
          <w:p>
            <w:pPr>
              <w:pStyle w:val="TableText"/>
              <w:ind w:left="12" w:right="557" w:firstLine="59"/>
              <w:spacing w:before="14" w:line="224" w:lineRule="auto"/>
              <w:rPr>
                <w:sz w:val="21"/>
                <w:szCs w:val="21"/>
              </w:rPr>
            </w:pPr>
            <w:r>
              <w:rPr>
                <w:sz w:val="21"/>
                <w:szCs w:val="21"/>
              </w:rPr>
              <w:t>禁止露天和敞开式汽修喷漆作业，严禁露天焚烧建筑垃圾；新建涉及VOCs</w:t>
            </w:r>
            <w:r>
              <w:rPr>
                <w:sz w:val="21"/>
                <w:szCs w:val="21"/>
                <w:spacing w:val="14"/>
              </w:rPr>
              <w:t xml:space="preserve"> </w:t>
            </w:r>
            <w:r>
              <w:rPr>
                <w:sz w:val="21"/>
                <w:szCs w:val="21"/>
                <w:spacing w:val="-1"/>
              </w:rPr>
              <w:t>放的工业企业入园区。</w:t>
            </w:r>
          </w:p>
          <w:p>
            <w:pPr>
              <w:pStyle w:val="TableText"/>
              <w:ind w:left="81" w:right="382" w:hanging="19"/>
              <w:spacing w:before="1" w:line="247" w:lineRule="auto"/>
              <w:rPr>
                <w:sz w:val="21"/>
                <w:szCs w:val="21"/>
              </w:rPr>
            </w:pPr>
            <w:r>
              <w:rPr>
                <w:sz w:val="21"/>
                <w:szCs w:val="21"/>
              </w:rPr>
              <w:t>按照“减量置换”或“等量置换”的原则，前置审批</w:t>
            </w:r>
            <w:r>
              <w:rPr>
                <w:sz w:val="21"/>
                <w:szCs w:val="21"/>
                <w:spacing w:val="-1"/>
              </w:rPr>
              <w:t>新(改、扩)建重点行业</w:t>
            </w:r>
            <w:r>
              <w:rPr>
                <w:sz w:val="21"/>
                <w:szCs w:val="21"/>
              </w:rPr>
              <w:t xml:space="preserve"> </w:t>
            </w:r>
            <w:r>
              <w:rPr>
                <w:sz w:val="21"/>
                <w:szCs w:val="21"/>
              </w:rPr>
              <w:t>(包括重有色金属矿采选业(铅锌矿采选、铜矿采选、锑矿采选、金矿采选</w:t>
            </w:r>
          </w:p>
          <w:p>
            <w:pPr>
              <w:pStyle w:val="TableText"/>
              <w:ind w:left="12" w:right="195"/>
              <w:spacing w:before="6" w:line="216" w:lineRule="auto"/>
              <w:rPr>
                <w:sz w:val="21"/>
                <w:szCs w:val="21"/>
              </w:rPr>
            </w:pPr>
            <w:r>
              <w:rPr>
                <w:sz w:val="21"/>
                <w:szCs w:val="21"/>
              </w:rPr>
              <w:t>等)、重有色金属冶炼业(铅锌冶炼、铜冶炼等)、金</w:t>
            </w:r>
            <w:r>
              <w:rPr>
                <w:sz w:val="21"/>
                <w:szCs w:val="21"/>
                <w:spacing w:val="-1"/>
              </w:rPr>
              <w:t>属表面处理及热处理加工</w:t>
            </w:r>
            <w:r>
              <w:rPr>
                <w:sz w:val="21"/>
                <w:szCs w:val="21"/>
              </w:rPr>
              <w:t xml:space="preserve">  </w:t>
            </w:r>
            <w:r>
              <w:rPr>
                <w:sz w:val="21"/>
                <w:szCs w:val="21"/>
              </w:rPr>
              <w:t>业(电镀)、铅蓄电池制造业、皮革制造业、化学原料及化</w:t>
            </w:r>
            <w:r>
              <w:rPr>
                <w:sz w:val="21"/>
                <w:szCs w:val="21"/>
                <w:spacing w:val="-1"/>
              </w:rPr>
              <w:t>学制品制造业(聚氯</w:t>
            </w:r>
            <w:r>
              <w:rPr>
                <w:sz w:val="21"/>
                <w:szCs w:val="21"/>
              </w:rPr>
              <w:t xml:space="preserve">  </w:t>
            </w:r>
            <w:r>
              <w:rPr>
                <w:sz w:val="21"/>
                <w:szCs w:val="21"/>
              </w:rPr>
              <w:t>乙烯、铬盐等基础化学原料制造、硫化物矿制酸等))生产类项目重金属总量替</w:t>
            </w:r>
          </w:p>
        </w:tc>
        <w:tc>
          <w:tcPr>
            <w:tcW w:w="3178" w:type="dxa"/>
            <w:vAlign w:val="top"/>
          </w:tcPr>
          <w:p>
            <w:pPr>
              <w:pStyle w:val="TableText"/>
              <w:ind w:right="183" w:firstLine="83"/>
              <w:spacing w:before="50" w:line="234" w:lineRule="auto"/>
              <w:rPr>
                <w:sz w:val="21"/>
                <w:szCs w:val="21"/>
              </w:rPr>
            </w:pPr>
            <w:r>
              <w:rPr>
                <w:sz w:val="21"/>
                <w:szCs w:val="21"/>
                <w:spacing w:val="-6"/>
              </w:rPr>
              <w:t>舍恶臭经负压密闭抽风系统引入</w:t>
            </w:r>
            <w:r>
              <w:rPr>
                <w:sz w:val="21"/>
                <w:szCs w:val="21"/>
                <w:spacing w:val="8"/>
              </w:rPr>
              <w:t xml:space="preserve"> </w:t>
            </w:r>
            <w:r>
              <w:rPr>
                <w:sz w:val="21"/>
                <w:szCs w:val="21"/>
                <w:spacing w:val="3"/>
              </w:rPr>
              <w:t>“喷淋+</w:t>
            </w:r>
            <w:r>
              <w:rPr>
                <w:sz w:val="21"/>
                <w:szCs w:val="21"/>
              </w:rPr>
              <w:t>UV</w:t>
            </w:r>
            <w:r>
              <w:rPr>
                <w:sz w:val="21"/>
                <w:szCs w:val="21"/>
                <w:spacing w:val="3"/>
              </w:rPr>
              <w:t>光解+活性炭吸附装置</w:t>
            </w:r>
            <w:r>
              <w:rPr>
                <w:sz w:val="21"/>
                <w:szCs w:val="21"/>
                <w:spacing w:val="1"/>
              </w:rPr>
              <w:t xml:space="preserve"> </w:t>
            </w:r>
            <w:r>
              <w:rPr>
                <w:sz w:val="21"/>
                <w:szCs w:val="21"/>
                <w:spacing w:val="2"/>
              </w:rPr>
              <w:t>(</w:t>
            </w:r>
            <w:r>
              <w:rPr>
                <w:sz w:val="21"/>
                <w:szCs w:val="21"/>
              </w:rPr>
              <w:t>TA</w:t>
            </w:r>
            <w:r>
              <w:rPr>
                <w:sz w:val="21"/>
                <w:szCs w:val="21"/>
                <w:spacing w:val="2"/>
              </w:rPr>
              <w:t>001)”处理后，通过1根</w:t>
            </w:r>
          </w:p>
          <w:p>
            <w:pPr>
              <w:pStyle w:val="TableText"/>
              <w:ind w:left="17"/>
              <w:spacing w:line="219" w:lineRule="auto"/>
              <w:rPr>
                <w:sz w:val="21"/>
                <w:szCs w:val="21"/>
              </w:rPr>
            </w:pPr>
            <w:r>
              <w:rPr>
                <w:sz w:val="21"/>
                <w:szCs w:val="21"/>
              </w:rPr>
              <w:t>15m高排气筒(DA001)达标排</w:t>
            </w:r>
          </w:p>
          <w:p>
            <w:pPr>
              <w:pStyle w:val="TableText"/>
              <w:ind w:left="17"/>
              <w:spacing w:before="30" w:line="246" w:lineRule="auto"/>
              <w:rPr>
                <w:sz w:val="21"/>
                <w:szCs w:val="21"/>
              </w:rPr>
            </w:pPr>
            <w:r>
              <w:rPr>
                <w:sz w:val="21"/>
                <w:szCs w:val="21"/>
              </w:rPr>
              <w:t>放；生猪屠宰车间恶臭经负压密闭 </w:t>
            </w:r>
            <w:r>
              <w:rPr>
                <w:sz w:val="21"/>
                <w:szCs w:val="21"/>
                <w:spacing w:val="-2"/>
              </w:rPr>
              <w:t>抽风系统引入“喷淋+UV光解+活</w:t>
            </w:r>
          </w:p>
          <w:p>
            <w:pPr>
              <w:pStyle w:val="TableText"/>
              <w:ind w:left="17"/>
              <w:spacing w:line="218" w:lineRule="auto"/>
              <w:rPr>
                <w:sz w:val="21"/>
                <w:szCs w:val="21"/>
              </w:rPr>
            </w:pPr>
            <w:r>
              <w:rPr>
                <w:sz w:val="21"/>
                <w:szCs w:val="21"/>
                <w:spacing w:val="-1"/>
              </w:rPr>
              <w:t>性炭吸附装置(TA002)”处理</w:t>
            </w:r>
          </w:p>
          <w:p>
            <w:pPr>
              <w:pStyle w:val="TableText"/>
              <w:ind w:left="17"/>
              <w:spacing w:before="12" w:line="219" w:lineRule="auto"/>
              <w:rPr>
                <w:sz w:val="21"/>
                <w:szCs w:val="21"/>
              </w:rPr>
            </w:pPr>
            <w:r>
              <w:rPr>
                <w:sz w:val="21"/>
                <w:szCs w:val="21"/>
              </w:rPr>
              <w:t>后，通过1根15m高排气筒</w:t>
            </w:r>
          </w:p>
          <w:p>
            <w:pPr>
              <w:pStyle w:val="TableText"/>
              <w:ind w:left="87"/>
              <w:spacing w:before="31" w:line="219" w:lineRule="auto"/>
              <w:rPr>
                <w:sz w:val="21"/>
                <w:szCs w:val="21"/>
              </w:rPr>
            </w:pPr>
            <w:r>
              <w:rPr>
                <w:sz w:val="21"/>
                <w:szCs w:val="21"/>
                <w:spacing w:val="1"/>
              </w:rPr>
              <w:t>(</w:t>
            </w:r>
            <w:r>
              <w:rPr>
                <w:sz w:val="21"/>
                <w:szCs w:val="21"/>
              </w:rPr>
              <w:t>DA</w:t>
            </w:r>
            <w:r>
              <w:rPr>
                <w:sz w:val="21"/>
                <w:szCs w:val="21"/>
                <w:spacing w:val="1"/>
              </w:rPr>
              <w:t>002)达标排放；肉牛待宰圈</w:t>
            </w:r>
          </w:p>
          <w:p>
            <w:pPr>
              <w:pStyle w:val="TableText"/>
              <w:ind w:left="17" w:right="9"/>
              <w:spacing w:before="10" w:line="246" w:lineRule="auto"/>
              <w:rPr>
                <w:sz w:val="21"/>
                <w:szCs w:val="21"/>
              </w:rPr>
            </w:pPr>
            <w:r>
              <w:rPr>
                <w:sz w:val="21"/>
                <w:szCs w:val="21"/>
                <w:spacing w:val="-1"/>
              </w:rPr>
              <w:t>舍、屠宰车间恶臭经负压密闭抽风</w:t>
            </w:r>
            <w:r>
              <w:rPr>
                <w:sz w:val="21"/>
                <w:szCs w:val="21"/>
                <w:spacing w:val="4"/>
              </w:rPr>
              <w:t xml:space="preserve"> </w:t>
            </w:r>
            <w:r>
              <w:rPr>
                <w:sz w:val="21"/>
                <w:szCs w:val="21"/>
              </w:rPr>
              <w:t>系统引入“喷淋+UV光解+活性炭</w:t>
            </w:r>
          </w:p>
          <w:p>
            <w:pPr>
              <w:pStyle w:val="TableText"/>
              <w:ind w:left="17"/>
              <w:spacing w:before="1" w:line="218" w:lineRule="auto"/>
              <w:rPr>
                <w:sz w:val="21"/>
                <w:szCs w:val="21"/>
              </w:rPr>
            </w:pPr>
            <w:r>
              <w:rPr>
                <w:sz w:val="21"/>
                <w:szCs w:val="21"/>
                <w:spacing w:val="-1"/>
              </w:rPr>
              <w:t>吸附装置(TA003)”处理后，通</w:t>
            </w:r>
          </w:p>
          <w:p>
            <w:pPr>
              <w:pStyle w:val="TableText"/>
              <w:ind w:left="17"/>
              <w:spacing w:before="4"/>
              <w:rPr>
                <w:sz w:val="21"/>
                <w:szCs w:val="21"/>
              </w:rPr>
            </w:pPr>
            <w:r>
              <w:rPr>
                <w:sz w:val="21"/>
                <w:szCs w:val="21"/>
                <w:spacing w:val="32"/>
              </w:rPr>
              <w:t>过1根15m高排气筒(</w:t>
            </w:r>
            <w:r>
              <w:rPr>
                <w:sz w:val="21"/>
                <w:szCs w:val="21"/>
              </w:rPr>
              <w:t>DA</w:t>
            </w:r>
            <w:r>
              <w:rPr>
                <w:sz w:val="21"/>
                <w:szCs w:val="21"/>
                <w:spacing w:val="32"/>
              </w:rPr>
              <w:t>003)达</w:t>
            </w:r>
            <w:r>
              <w:rPr>
                <w:sz w:val="21"/>
                <w:szCs w:val="21"/>
                <w:spacing w:val="9"/>
              </w:rPr>
              <w:t xml:space="preserve"> </w:t>
            </w:r>
            <w:r>
              <w:rPr>
                <w:sz w:val="21"/>
                <w:szCs w:val="21"/>
                <w:spacing w:val="-2"/>
              </w:rPr>
              <w:t>标排放；污水处理站恶臭气体通过</w:t>
            </w:r>
            <w:r>
              <w:rPr>
                <w:sz w:val="21"/>
                <w:szCs w:val="21"/>
              </w:rPr>
              <w:t xml:space="preserve"> </w:t>
            </w:r>
            <w:r>
              <w:rPr>
                <w:sz w:val="21"/>
                <w:szCs w:val="21"/>
              </w:rPr>
              <w:t>加盖收集，并对各单元分别采取负 </w:t>
            </w:r>
            <w:r>
              <w:rPr>
                <w:sz w:val="21"/>
                <w:szCs w:val="21"/>
                <w:spacing w:val="-2"/>
              </w:rPr>
              <w:t>压抽风系统，设置“喷淋+UV光</w:t>
            </w:r>
          </w:p>
          <w:p>
            <w:pPr>
              <w:pStyle w:val="TableText"/>
              <w:ind w:left="17"/>
              <w:spacing w:before="15" w:line="219" w:lineRule="auto"/>
              <w:rPr>
                <w:sz w:val="21"/>
                <w:szCs w:val="21"/>
              </w:rPr>
            </w:pPr>
            <w:r>
              <w:rPr>
                <w:sz w:val="21"/>
                <w:szCs w:val="21"/>
                <w:spacing w:val="13"/>
              </w:rPr>
              <w:t>解+活性炭吸附装置(</w:t>
            </w:r>
            <w:r>
              <w:rPr>
                <w:sz w:val="21"/>
                <w:szCs w:val="21"/>
              </w:rPr>
              <w:t>TA</w:t>
            </w:r>
            <w:r>
              <w:rPr>
                <w:sz w:val="21"/>
                <w:szCs w:val="21"/>
                <w:spacing w:val="13"/>
              </w:rPr>
              <w:t>004)”</w:t>
            </w:r>
          </w:p>
          <w:p>
            <w:pPr>
              <w:pStyle w:val="TableText"/>
              <w:ind w:left="17"/>
              <w:spacing w:before="32" w:line="219" w:lineRule="auto"/>
              <w:rPr>
                <w:sz w:val="21"/>
                <w:szCs w:val="21"/>
              </w:rPr>
            </w:pPr>
            <w:r>
              <w:rPr>
                <w:sz w:val="21"/>
                <w:szCs w:val="21"/>
              </w:rPr>
              <w:t>处理后，通过1根15m高排气筒</w:t>
            </w:r>
          </w:p>
          <w:p>
            <w:pPr>
              <w:pStyle w:val="TableText"/>
              <w:ind w:left="106"/>
              <w:spacing w:before="21" w:line="219" w:lineRule="auto"/>
              <w:rPr>
                <w:sz w:val="21"/>
                <w:szCs w:val="21"/>
              </w:rPr>
            </w:pPr>
            <w:r>
              <w:rPr>
                <w:sz w:val="21"/>
                <w:szCs w:val="21"/>
              </w:rPr>
              <w:t>(DA004)达标排放，满足《恶臭</w:t>
            </w:r>
          </w:p>
          <w:p>
            <w:pPr>
              <w:pStyle w:val="TableText"/>
              <w:ind w:left="17"/>
              <w:spacing w:before="21" w:line="220" w:lineRule="auto"/>
              <w:rPr>
                <w:sz w:val="21"/>
                <w:szCs w:val="21"/>
              </w:rPr>
            </w:pPr>
            <w:r>
              <w:rPr>
                <w:sz w:val="21"/>
                <w:szCs w:val="21"/>
                <w:spacing w:val="-1"/>
              </w:rPr>
              <w:t>污染物排放标准》(GB14554-</w:t>
            </w:r>
          </w:p>
          <w:p>
            <w:pPr>
              <w:pStyle w:val="TableText"/>
              <w:ind w:left="17"/>
              <w:spacing w:before="20" w:line="234" w:lineRule="auto"/>
              <w:rPr>
                <w:sz w:val="21"/>
                <w:szCs w:val="21"/>
              </w:rPr>
            </w:pPr>
            <w:r>
              <w:rPr>
                <w:sz w:val="21"/>
                <w:szCs w:val="21"/>
                <w:spacing w:val="-2"/>
              </w:rPr>
              <w:t>93)中的二级新建限值要求；蒸汽</w:t>
            </w:r>
            <w:r>
              <w:rPr>
                <w:sz w:val="21"/>
                <w:szCs w:val="21"/>
                <w:spacing w:val="6"/>
              </w:rPr>
              <w:t xml:space="preserve">  </w:t>
            </w:r>
            <w:r>
              <w:rPr>
                <w:sz w:val="21"/>
                <w:szCs w:val="21"/>
              </w:rPr>
              <w:t>发生器燃烧废气采用低氮燃烧技术 </w:t>
            </w:r>
            <w:r>
              <w:rPr>
                <w:sz w:val="21"/>
                <w:szCs w:val="21"/>
              </w:rPr>
              <w:t>处理后通过18m高排气筒</w:t>
            </w:r>
          </w:p>
          <w:p>
            <w:pPr>
              <w:pStyle w:val="TableText"/>
              <w:ind w:left="17" w:right="114"/>
              <w:spacing w:before="31" w:line="224" w:lineRule="auto"/>
              <w:rPr>
                <w:sz w:val="21"/>
                <w:szCs w:val="21"/>
              </w:rPr>
            </w:pPr>
            <w:r>
              <w:rPr>
                <w:sz w:val="21"/>
                <w:szCs w:val="21"/>
                <w:spacing w:val="-1"/>
              </w:rPr>
              <w:t>排(DA005)排放，满足《锅炉大气</w:t>
            </w:r>
            <w:r>
              <w:rPr>
                <w:sz w:val="21"/>
                <w:szCs w:val="21"/>
                <w:spacing w:val="8"/>
              </w:rPr>
              <w:t xml:space="preserve"> </w:t>
            </w:r>
            <w:r>
              <w:rPr>
                <w:sz w:val="21"/>
                <w:szCs w:val="21"/>
                <w:spacing w:val="-1"/>
              </w:rPr>
              <w:t>污染物排放标准》(GB13271-</w:t>
            </w:r>
          </w:p>
          <w:p>
            <w:pPr>
              <w:pStyle w:val="TableText"/>
              <w:ind w:left="17" w:right="197"/>
              <w:spacing w:before="1" w:line="248" w:lineRule="auto"/>
              <w:rPr>
                <w:sz w:val="21"/>
                <w:szCs w:val="21"/>
              </w:rPr>
            </w:pPr>
            <w:r>
              <w:rPr>
                <w:sz w:val="21"/>
                <w:szCs w:val="21"/>
              </w:rPr>
              <w:t>2014)中表3限值要求；食堂油烟</w:t>
            </w:r>
            <w:r>
              <w:rPr>
                <w:sz w:val="21"/>
                <w:szCs w:val="21"/>
                <w:spacing w:val="11"/>
              </w:rPr>
              <w:t xml:space="preserve"> </w:t>
            </w:r>
            <w:r>
              <w:rPr>
                <w:sz w:val="21"/>
                <w:szCs w:val="21"/>
              </w:rPr>
              <w:t>经油烟净化器处理后引至楼顶</w:t>
            </w:r>
          </w:p>
          <w:p>
            <w:pPr>
              <w:pStyle w:val="TableText"/>
              <w:ind w:left="17" w:right="228" w:firstLine="70"/>
              <w:spacing w:before="5" w:line="233" w:lineRule="auto"/>
              <w:rPr>
                <w:sz w:val="21"/>
                <w:szCs w:val="21"/>
              </w:rPr>
            </w:pPr>
            <w:r>
              <w:rPr>
                <w:sz w:val="21"/>
                <w:szCs w:val="21"/>
                <w:spacing w:val="1"/>
              </w:rPr>
              <w:t>(</w:t>
            </w:r>
            <w:r>
              <w:rPr>
                <w:sz w:val="21"/>
                <w:szCs w:val="21"/>
              </w:rPr>
              <w:t>DA</w:t>
            </w:r>
            <w:r>
              <w:rPr>
                <w:sz w:val="21"/>
                <w:szCs w:val="21"/>
                <w:spacing w:val="1"/>
              </w:rPr>
              <w:t>006)排放，满足《饮食业油</w:t>
            </w:r>
            <w:r>
              <w:rPr>
                <w:sz w:val="21"/>
                <w:szCs w:val="21"/>
              </w:rPr>
              <w:t xml:space="preserve"> </w:t>
            </w:r>
            <w:r>
              <w:rPr>
                <w:sz w:val="21"/>
                <w:szCs w:val="21"/>
                <w:spacing w:val="-2"/>
              </w:rPr>
              <w:t>烟排放标准(试行)》</w:t>
            </w:r>
          </w:p>
          <w:p>
            <w:pPr>
              <w:pStyle w:val="TableText"/>
              <w:ind w:left="97"/>
              <w:spacing w:before="1" w:line="180" w:lineRule="auto"/>
              <w:rPr>
                <w:sz w:val="21"/>
                <w:szCs w:val="21"/>
              </w:rPr>
            </w:pPr>
            <w:r>
              <w:rPr>
                <w:sz w:val="21"/>
                <w:szCs w:val="21"/>
              </w:rPr>
              <w:t>(GB18483-2001)中表2限值要</w:t>
            </w:r>
          </w:p>
        </w:tc>
        <w:tc>
          <w:tcPr>
            <w:tcW w:w="644" w:type="dxa"/>
            <w:vAlign w:val="top"/>
          </w:tcPr>
          <w:p>
            <w:pPr>
              <w:rPr>
                <w:rFonts w:ascii="Arial"/>
                <w:sz w:val="21"/>
              </w:rPr>
            </w:pPr>
            <w:r/>
          </w:p>
        </w:tc>
      </w:tr>
    </w:tbl>
    <w:p>
      <w:pPr>
        <w:pStyle w:val="BodyText"/>
        <w:rPr/>
      </w:pPr>
      <w:r/>
    </w:p>
    <w:p>
      <w:pPr>
        <w:sectPr>
          <w:footerReference w:type="default" r:id="rId104"/>
          <w:pgSz w:w="16840" w:h="11910"/>
          <w:pgMar w:top="1180" w:right="1715" w:bottom="961" w:left="1674" w:header="872" w:footer="702" w:gutter="0"/>
        </w:sectPr>
        <w:rPr/>
      </w:pPr>
    </w:p>
    <w:p>
      <w:pPr>
        <w:spacing w:before="33"/>
        <w:rPr/>
      </w:pPr>
      <w:r/>
    </w:p>
    <w:tbl>
      <w:tblPr>
        <w:tblStyle w:val="TableNormal"/>
        <w:tblW w:w="1344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84"/>
        <w:gridCol w:w="290"/>
        <w:gridCol w:w="869"/>
        <w:gridCol w:w="7375"/>
        <w:gridCol w:w="3178"/>
        <w:gridCol w:w="644"/>
      </w:tblGrid>
      <w:tr>
        <w:trPr>
          <w:trHeight w:val="284" w:hRule="atLeast"/>
        </w:trPr>
        <w:tc>
          <w:tcPr>
            <w:shd w:val="clear" w:fill="BDBDBD"/>
            <w:tcW w:w="9618" w:type="dxa"/>
            <w:vAlign w:val="top"/>
            <w:gridSpan w:val="4"/>
          </w:tcPr>
          <w:p>
            <w:pPr>
              <w:pStyle w:val="TableText"/>
              <w:ind w:left="3653"/>
              <w:spacing w:before="40" w:line="205" w:lineRule="auto"/>
              <w:rPr>
                <w:sz w:val="21"/>
                <w:szCs w:val="21"/>
              </w:rPr>
            </w:pPr>
            <w:r>
              <w:rPr>
                <w:sz w:val="21"/>
                <w:szCs w:val="21"/>
                <w:b/>
                <w:bCs/>
                <w:spacing w:val="7"/>
              </w:rPr>
              <w:t>“三线一单”的具体要求</w:t>
            </w:r>
          </w:p>
        </w:tc>
        <w:tc>
          <w:tcPr>
            <w:shd w:val="clear" w:fill="BDBDBD"/>
            <w:tcW w:w="3178" w:type="dxa"/>
            <w:vAlign w:val="top"/>
            <w:vMerge w:val="restart"/>
            <w:tcBorders>
              <w:bottom w:val="nil"/>
            </w:tcBorders>
          </w:tcPr>
          <w:p>
            <w:pPr>
              <w:pStyle w:val="TableText"/>
              <w:ind w:left="770"/>
              <w:spacing w:before="169" w:line="219" w:lineRule="auto"/>
              <w:rPr>
                <w:sz w:val="21"/>
                <w:szCs w:val="21"/>
              </w:rPr>
            </w:pPr>
            <w:r>
              <w:rPr>
                <w:sz w:val="21"/>
                <w:szCs w:val="21"/>
                <w:b/>
                <w:bCs/>
                <w:spacing w:val="-1"/>
              </w:rPr>
              <w:t>项目对应情况介绍</w:t>
            </w:r>
          </w:p>
        </w:tc>
        <w:tc>
          <w:tcPr>
            <w:shd w:val="clear" w:fill="BDBDBD"/>
            <w:tcW w:w="644" w:type="dxa"/>
            <w:vAlign w:val="top"/>
            <w:vMerge w:val="restart"/>
            <w:tcBorders>
              <w:bottom w:val="nil"/>
            </w:tcBorders>
          </w:tcPr>
          <w:p>
            <w:pPr>
              <w:pStyle w:val="TableText"/>
              <w:ind w:left="110" w:hanging="88"/>
              <w:spacing w:before="29" w:line="226" w:lineRule="auto"/>
              <w:rPr>
                <w:sz w:val="21"/>
                <w:szCs w:val="21"/>
              </w:rPr>
            </w:pPr>
            <w:r>
              <w:rPr>
                <w:sz w:val="21"/>
                <w:szCs w:val="21"/>
                <w:b/>
                <w:bCs/>
                <w:spacing w:val="-9"/>
              </w:rPr>
              <w:t>符合性</w:t>
            </w:r>
            <w:r>
              <w:rPr>
                <w:sz w:val="21"/>
                <w:szCs w:val="21"/>
                <w:spacing w:val="1"/>
              </w:rPr>
              <w:t xml:space="preserve"> </w:t>
            </w:r>
            <w:r>
              <w:rPr>
                <w:sz w:val="21"/>
                <w:szCs w:val="21"/>
                <w:b/>
                <w:bCs/>
                <w:spacing w:val="-7"/>
              </w:rPr>
              <w:t>分析</w:t>
            </w:r>
          </w:p>
        </w:tc>
      </w:tr>
      <w:tr>
        <w:trPr>
          <w:trHeight w:val="260" w:hRule="atLeast"/>
        </w:trPr>
        <w:tc>
          <w:tcPr>
            <w:shd w:val="clear" w:fill="BDBDBD"/>
            <w:tcW w:w="2243" w:type="dxa"/>
            <w:vAlign w:val="top"/>
            <w:gridSpan w:val="3"/>
          </w:tcPr>
          <w:p>
            <w:pPr>
              <w:pStyle w:val="TableText"/>
              <w:ind w:left="898"/>
              <w:spacing w:before="25" w:line="197" w:lineRule="auto"/>
              <w:rPr>
                <w:sz w:val="21"/>
                <w:szCs w:val="21"/>
              </w:rPr>
            </w:pPr>
            <w:r>
              <w:rPr>
                <w:sz w:val="21"/>
                <w:szCs w:val="21"/>
                <w:b/>
                <w:bCs/>
                <w:spacing w:val="-5"/>
              </w:rPr>
              <w:t>类别</w:t>
            </w:r>
          </w:p>
        </w:tc>
        <w:tc>
          <w:tcPr>
            <w:shd w:val="clear" w:fill="BDBDBD"/>
            <w:tcW w:w="7375" w:type="dxa"/>
            <w:vAlign w:val="top"/>
          </w:tcPr>
          <w:p>
            <w:pPr>
              <w:pStyle w:val="TableText"/>
              <w:ind w:left="3055"/>
              <w:spacing w:before="25" w:line="197" w:lineRule="auto"/>
              <w:rPr>
                <w:sz w:val="21"/>
                <w:szCs w:val="21"/>
              </w:rPr>
            </w:pPr>
            <w:r>
              <w:rPr>
                <w:sz w:val="21"/>
                <w:szCs w:val="21"/>
                <w:b/>
                <w:bCs/>
                <w:spacing w:val="-4"/>
              </w:rPr>
              <w:t>对应管控要求</w:t>
            </w:r>
          </w:p>
        </w:tc>
        <w:tc>
          <w:tcPr>
            <w:tcW w:w="3178" w:type="dxa"/>
            <w:vAlign w:val="top"/>
            <w:vMerge w:val="continue"/>
            <w:tcBorders>
              <w:top w:val="nil"/>
            </w:tcBorders>
          </w:tcPr>
          <w:p>
            <w:pPr>
              <w:rPr>
                <w:rFonts w:ascii="Arial"/>
                <w:sz w:val="21"/>
              </w:rPr>
            </w:pPr>
            <w:r/>
          </w:p>
        </w:tc>
        <w:tc>
          <w:tcPr>
            <w:tcW w:w="644" w:type="dxa"/>
            <w:vAlign w:val="top"/>
            <w:vMerge w:val="continue"/>
            <w:tcBorders>
              <w:top w:val="nil"/>
            </w:tcBorders>
          </w:tcPr>
          <w:p>
            <w:pPr>
              <w:rPr>
                <w:rFonts w:ascii="Arial"/>
                <w:sz w:val="21"/>
              </w:rPr>
            </w:pPr>
            <w:r/>
          </w:p>
        </w:tc>
      </w:tr>
      <w:tr>
        <w:trPr>
          <w:trHeight w:val="6512" w:hRule="atLeast"/>
        </w:trPr>
        <w:tc>
          <w:tcPr>
            <w:tcW w:w="1084" w:type="dxa"/>
            <w:vAlign w:val="top"/>
            <w:vMerge w:val="restart"/>
            <w:tcBorders>
              <w:bottom w:val="nil"/>
            </w:tcBorders>
          </w:tcPr>
          <w:p>
            <w:pPr>
              <w:rPr>
                <w:rFonts w:ascii="Arial"/>
                <w:sz w:val="21"/>
              </w:rPr>
            </w:pPr>
            <w:r/>
          </w:p>
        </w:tc>
        <w:tc>
          <w:tcPr>
            <w:tcW w:w="290" w:type="dxa"/>
            <w:vAlign w:val="top"/>
            <w:vMerge w:val="restart"/>
            <w:tcBorders>
              <w:bottom w:val="nil"/>
            </w:tcBorders>
          </w:tcPr>
          <w:p>
            <w:pPr>
              <w:rPr>
                <w:rFonts w:ascii="Arial"/>
                <w:sz w:val="21"/>
              </w:rPr>
            </w:pPr>
            <w:r/>
          </w:p>
        </w:tc>
        <w:tc>
          <w:tcPr>
            <w:tcW w:w="869" w:type="dxa"/>
            <w:vAlign w:val="top"/>
          </w:tcPr>
          <w:p>
            <w:pPr>
              <w:rPr>
                <w:rFonts w:ascii="Arial"/>
                <w:sz w:val="21"/>
              </w:rPr>
            </w:pPr>
            <w:r/>
          </w:p>
        </w:tc>
        <w:tc>
          <w:tcPr>
            <w:tcW w:w="7375" w:type="dxa"/>
            <w:vAlign w:val="top"/>
          </w:tcPr>
          <w:p>
            <w:pPr>
              <w:pStyle w:val="TableText"/>
              <w:ind w:left="12"/>
              <w:spacing w:before="49" w:line="219" w:lineRule="auto"/>
              <w:rPr>
                <w:sz w:val="21"/>
                <w:szCs w:val="21"/>
              </w:rPr>
            </w:pPr>
            <w:r>
              <w:rPr>
                <w:sz w:val="21"/>
                <w:szCs w:val="21"/>
                <w:spacing w:val="-1"/>
              </w:rPr>
              <w:t>代与削减要求。</w:t>
            </w:r>
          </w:p>
          <w:p>
            <w:pPr>
              <w:pStyle w:val="TableText"/>
              <w:ind w:left="12"/>
              <w:spacing w:before="10" w:line="219" w:lineRule="auto"/>
              <w:rPr>
                <w:sz w:val="21"/>
                <w:szCs w:val="21"/>
              </w:rPr>
            </w:pPr>
            <w:r>
              <w:rPr>
                <w:sz w:val="21"/>
                <w:szCs w:val="21"/>
                <w:spacing w:val="3"/>
              </w:rPr>
              <w:t>-2030年，涪江流域水总量控制在41.16亿m³以内，</w:t>
            </w:r>
            <w:r>
              <w:rPr>
                <w:sz w:val="21"/>
                <w:szCs w:val="21"/>
              </w:rPr>
              <w:t>COD</w:t>
            </w:r>
            <w:r>
              <w:rPr>
                <w:sz w:val="21"/>
                <w:szCs w:val="21"/>
                <w:spacing w:val="3"/>
              </w:rPr>
              <w:t>排放总量限</w:t>
            </w:r>
            <w:r>
              <w:rPr>
                <w:sz w:val="21"/>
                <w:szCs w:val="21"/>
                <w:spacing w:val="2"/>
              </w:rPr>
              <w:t>制在3.6</w:t>
            </w:r>
          </w:p>
          <w:p>
            <w:pPr>
              <w:pStyle w:val="TableText"/>
              <w:ind w:left="12" w:right="7"/>
              <w:spacing w:before="39" w:line="232" w:lineRule="auto"/>
              <w:rPr>
                <w:sz w:val="21"/>
                <w:szCs w:val="21"/>
              </w:rPr>
            </w:pPr>
            <w:r>
              <w:rPr>
                <w:sz w:val="21"/>
                <w:szCs w:val="21"/>
                <w:spacing w:val="4"/>
              </w:rPr>
              <w:t>万t/a内、</w:t>
            </w:r>
            <w:r>
              <w:rPr>
                <w:sz w:val="21"/>
                <w:szCs w:val="21"/>
              </w:rPr>
              <w:t>NH</w:t>
            </w:r>
            <w:r>
              <w:rPr>
                <w:rFonts w:ascii="Calibri" w:hAnsi="Calibri" w:eastAsia="Calibri" w:cs="Calibri"/>
                <w:sz w:val="21"/>
                <w:szCs w:val="21"/>
                <w:spacing w:val="4"/>
              </w:rPr>
              <w:t>₃</w:t>
            </w:r>
            <w:r>
              <w:rPr>
                <w:sz w:val="21"/>
                <w:szCs w:val="21"/>
                <w:spacing w:val="4"/>
              </w:rPr>
              <w:t>-N排放总量限制在0.41万t/a内。全面</w:t>
            </w:r>
            <w:r>
              <w:rPr>
                <w:sz w:val="21"/>
                <w:szCs w:val="21"/>
                <w:spacing w:val="3"/>
              </w:rPr>
              <w:t>推进涪江流域水环境保护</w:t>
            </w:r>
            <w:r>
              <w:rPr>
                <w:sz w:val="21"/>
                <w:szCs w:val="21"/>
              </w:rPr>
              <w:t xml:space="preserve">   </w:t>
            </w:r>
            <w:r>
              <w:rPr>
                <w:sz w:val="21"/>
                <w:szCs w:val="21"/>
              </w:rPr>
              <w:t>作，确保流域相关控制断面水质达标。全面推进流域水生生态保护</w:t>
            </w:r>
            <w:r>
              <w:rPr>
                <w:sz w:val="21"/>
                <w:szCs w:val="21"/>
                <w:spacing w:val="-1"/>
              </w:rPr>
              <w:t>及修复工作。</w:t>
            </w:r>
            <w:r>
              <w:rPr>
                <w:sz w:val="21"/>
                <w:szCs w:val="21"/>
              </w:rPr>
              <w:t xml:space="preserve"> </w:t>
            </w:r>
            <w:r>
              <w:rPr>
                <w:sz w:val="21"/>
                <w:szCs w:val="21"/>
                <w:spacing w:val="2"/>
              </w:rPr>
              <w:t>以“两高”行业为主导产业的园区规划环评应增加碳排放情况与减排潜力分</w:t>
            </w:r>
          </w:p>
          <w:p>
            <w:pPr>
              <w:pStyle w:val="TableText"/>
              <w:ind w:left="12"/>
              <w:spacing w:line="220" w:lineRule="auto"/>
              <w:rPr>
                <w:sz w:val="21"/>
                <w:szCs w:val="21"/>
              </w:rPr>
            </w:pPr>
            <w:r>
              <w:rPr>
                <w:sz w:val="21"/>
                <w:szCs w:val="21"/>
                <w:spacing w:val="-1"/>
              </w:rPr>
              <w:t>析，推动园区绿色低碳发展。</w:t>
            </w:r>
          </w:p>
          <w:p>
            <w:pPr>
              <w:pStyle w:val="TableText"/>
              <w:ind w:left="12" w:firstLine="29"/>
              <w:spacing w:before="46" w:line="239" w:lineRule="auto"/>
              <w:jc w:val="both"/>
              <w:rPr>
                <w:sz w:val="21"/>
                <w:szCs w:val="21"/>
              </w:rPr>
            </w:pPr>
            <w:r>
              <w:rPr>
                <w:sz w:val="21"/>
                <w:szCs w:val="21"/>
                <w:spacing w:val="-1"/>
              </w:rPr>
              <w:t>新建、扩建“两高”项目应采用先进适用的工艺技术和装备，单位产品物耗、能</w:t>
            </w:r>
            <w:r>
              <w:rPr>
                <w:sz w:val="21"/>
                <w:szCs w:val="21"/>
                <w:spacing w:val="5"/>
              </w:rPr>
              <w:t xml:space="preserve"> </w:t>
            </w:r>
            <w:r>
              <w:rPr>
                <w:sz w:val="21"/>
                <w:szCs w:val="21"/>
                <w:spacing w:val="-1"/>
              </w:rPr>
              <w:t>耗、水耗等达到清洁生产先进水平，依法制定并严格落实防治土壤与地下水污染</w:t>
            </w:r>
            <w:r>
              <w:rPr>
                <w:sz w:val="21"/>
                <w:szCs w:val="21"/>
                <w:spacing w:val="5"/>
              </w:rPr>
              <w:t xml:space="preserve"> </w:t>
            </w:r>
            <w:r>
              <w:rPr>
                <w:sz w:val="21"/>
                <w:szCs w:val="21"/>
                <w:spacing w:val="-3"/>
              </w:rPr>
              <w:t>的措施。-电子信息重点行业新建应参考绵阳市“三线一单”生态环境分区管控中</w:t>
            </w:r>
            <w:r>
              <w:rPr>
                <w:sz w:val="21"/>
                <w:szCs w:val="21"/>
                <w:spacing w:val="4"/>
              </w:rPr>
              <w:t xml:space="preserve"> </w:t>
            </w:r>
            <w:r>
              <w:rPr>
                <w:sz w:val="21"/>
                <w:szCs w:val="21"/>
                <w:spacing w:val="-1"/>
              </w:rPr>
              <w:t>电子信息行业资源环境绩效准入门槛。</w:t>
            </w:r>
          </w:p>
          <w:p>
            <w:pPr>
              <w:pStyle w:val="TableText"/>
              <w:ind w:left="12" w:right="15"/>
              <w:spacing w:before="4" w:line="223" w:lineRule="auto"/>
              <w:rPr>
                <w:sz w:val="21"/>
                <w:szCs w:val="21"/>
              </w:rPr>
            </w:pPr>
            <w:r>
              <w:rPr>
                <w:sz w:val="21"/>
                <w:szCs w:val="21"/>
              </w:rPr>
              <w:t>3.化工园区应按照分类收集，分质处理的要求，</w:t>
            </w:r>
            <w:r>
              <w:rPr>
                <w:sz w:val="21"/>
                <w:szCs w:val="21"/>
                <w:spacing w:val="-1"/>
              </w:rPr>
              <w:t>配备专业化工生产废水集中处理</w:t>
            </w:r>
            <w:r>
              <w:rPr>
                <w:sz w:val="21"/>
                <w:szCs w:val="21"/>
              </w:rPr>
              <w:t xml:space="preserve"> </w:t>
            </w:r>
            <w:r>
              <w:rPr>
                <w:sz w:val="21"/>
                <w:szCs w:val="21"/>
              </w:rPr>
              <w:t>设施(独立建设或依托骨干企业)及专管或明管输送的配套管网，化工生产废水</w:t>
            </w:r>
            <w:r>
              <w:rPr>
                <w:sz w:val="21"/>
                <w:szCs w:val="21"/>
                <w:spacing w:val="9"/>
              </w:rPr>
              <w:t xml:space="preserve">  </w:t>
            </w:r>
            <w:r>
              <w:rPr>
                <w:sz w:val="21"/>
                <w:szCs w:val="21"/>
                <w:spacing w:val="-1"/>
              </w:rPr>
              <w:t>纳管率达到100%。入河排污口设置应符合相关规定。</w:t>
            </w:r>
          </w:p>
          <w:p>
            <w:pPr>
              <w:pStyle w:val="TableText"/>
              <w:ind w:left="12"/>
              <w:spacing w:before="29" w:line="228" w:lineRule="auto"/>
              <w:rPr>
                <w:sz w:val="21"/>
                <w:szCs w:val="21"/>
              </w:rPr>
            </w:pPr>
            <w:r>
              <w:rPr>
                <w:sz w:val="21"/>
                <w:szCs w:val="21"/>
              </w:rPr>
              <w:t>4.重点行业建设项目应遵循重点重金属污染物</w:t>
            </w:r>
            <w:r>
              <w:rPr>
                <w:sz w:val="21"/>
                <w:szCs w:val="21"/>
                <w:spacing w:val="-1"/>
              </w:rPr>
              <w:t>排放“等量替代”原则。按国家规</w:t>
            </w:r>
            <w:r>
              <w:rPr>
                <w:sz w:val="21"/>
                <w:szCs w:val="21"/>
              </w:rPr>
              <w:t xml:space="preserve"> </w:t>
            </w:r>
            <w:r>
              <w:rPr>
                <w:sz w:val="21"/>
                <w:szCs w:val="21"/>
              </w:rPr>
              <w:t>定，建设单位在提交环境影响评价文件时应明确重点重金属污染物排放总量及来</w:t>
            </w:r>
            <w:r>
              <w:rPr>
                <w:sz w:val="21"/>
                <w:szCs w:val="21"/>
                <w:spacing w:val="1"/>
              </w:rPr>
              <w:t xml:space="preserve"> </w:t>
            </w:r>
            <w:r>
              <w:rPr>
                <w:sz w:val="21"/>
                <w:szCs w:val="21"/>
              </w:rPr>
              <w:t>源，无明确具体总量来源的，各级生态环境</w:t>
            </w:r>
            <w:r>
              <w:rPr>
                <w:sz w:val="21"/>
                <w:szCs w:val="21"/>
                <w:spacing w:val="-1"/>
              </w:rPr>
              <w:t>部门不得批准相关环境影响评价文</w:t>
            </w:r>
          </w:p>
          <w:p>
            <w:pPr>
              <w:pStyle w:val="TableText"/>
              <w:ind w:left="12"/>
              <w:spacing w:before="22" w:line="241" w:lineRule="auto"/>
              <w:rPr>
                <w:sz w:val="21"/>
                <w:szCs w:val="21"/>
              </w:rPr>
            </w:pPr>
            <w:r>
              <w:rPr>
                <w:sz w:val="21"/>
                <w:szCs w:val="21"/>
                <w:spacing w:val="-6"/>
              </w:rPr>
              <w:t>件。重金属污染物排放总量替代管理豁免的情形参见《四川省“十四五”重金属污</w:t>
            </w:r>
            <w:r>
              <w:rPr>
                <w:sz w:val="21"/>
                <w:szCs w:val="21"/>
              </w:rPr>
              <w:t xml:space="preserve"> </w:t>
            </w:r>
            <w:r>
              <w:rPr>
                <w:sz w:val="21"/>
                <w:szCs w:val="21"/>
                <w:spacing w:val="-3"/>
              </w:rPr>
              <w:t>染防控工作方案》;重点行业、重点重金属的界定参见《四川省“十四五”重金属</w:t>
            </w:r>
            <w:r>
              <w:rPr>
                <w:sz w:val="21"/>
                <w:szCs w:val="21"/>
                <w:spacing w:val="4"/>
              </w:rPr>
              <w:t xml:space="preserve"> </w:t>
            </w:r>
            <w:r>
              <w:rPr>
                <w:sz w:val="21"/>
                <w:szCs w:val="21"/>
                <w:spacing w:val="-1"/>
              </w:rPr>
              <w:t>污染防控工作方案》。</w:t>
            </w:r>
          </w:p>
          <w:p>
            <w:pPr>
              <w:pStyle w:val="TableText"/>
              <w:ind w:left="12"/>
              <w:spacing w:before="17" w:line="229" w:lineRule="auto"/>
              <w:rPr>
                <w:sz w:val="21"/>
                <w:szCs w:val="21"/>
              </w:rPr>
            </w:pPr>
            <w:r>
              <w:rPr>
                <w:sz w:val="21"/>
                <w:szCs w:val="21"/>
              </w:rPr>
              <w:t>5.落实《四川省深入打好重污染天气消除、臭氧污染防治和柴油货车污染治理攻</w:t>
            </w:r>
            <w:r>
              <w:rPr>
                <w:sz w:val="21"/>
                <w:szCs w:val="21"/>
                <w:spacing w:val="1"/>
              </w:rPr>
              <w:t xml:space="preserve"> </w:t>
            </w:r>
            <w:r>
              <w:rPr>
                <w:sz w:val="21"/>
                <w:szCs w:val="21"/>
              </w:rPr>
              <w:t>坚战实施方案》要求，推进重点行业超低排放改造和深度治理，加快实施低</w:t>
            </w:r>
          </w:p>
          <w:p>
            <w:pPr>
              <w:pStyle w:val="TableText"/>
              <w:ind w:left="12"/>
              <w:spacing w:before="10" w:line="219" w:lineRule="auto"/>
              <w:rPr>
                <w:sz w:val="21"/>
                <w:szCs w:val="21"/>
              </w:rPr>
            </w:pPr>
            <w:r>
              <w:rPr>
                <w:sz w:val="21"/>
                <w:szCs w:val="21"/>
              </w:rPr>
              <w:t>VOCs含量原辅材料替代，持续开展VOCs治理设施提级增效，强化V</w:t>
            </w:r>
            <w:r>
              <w:rPr>
                <w:sz w:val="21"/>
                <w:szCs w:val="21"/>
                <w:spacing w:val="-1"/>
              </w:rPr>
              <w:t>OCs无组</w:t>
            </w:r>
          </w:p>
          <w:p>
            <w:pPr>
              <w:pStyle w:val="TableText"/>
              <w:ind w:left="12" w:right="218"/>
              <w:spacing w:before="21" w:line="217" w:lineRule="auto"/>
              <w:rPr>
                <w:sz w:val="21"/>
                <w:szCs w:val="21"/>
              </w:rPr>
            </w:pPr>
            <w:r>
              <w:rPr>
                <w:sz w:val="21"/>
                <w:szCs w:val="21"/>
              </w:rPr>
              <w:t>织排放整治，加强非正常工况废气排放管控，推进涉VOCs产业</w:t>
            </w:r>
            <w:r>
              <w:rPr>
                <w:sz w:val="21"/>
                <w:szCs w:val="21"/>
                <w:spacing w:val="-1"/>
              </w:rPr>
              <w:t>集群治理提升，</w:t>
            </w:r>
            <w:r>
              <w:rPr>
                <w:sz w:val="21"/>
                <w:szCs w:val="21"/>
              </w:rPr>
              <w:t xml:space="preserve"> </w:t>
            </w:r>
            <w:r>
              <w:rPr>
                <w:sz w:val="21"/>
                <w:szCs w:val="21"/>
                <w:spacing w:val="-1"/>
              </w:rPr>
              <w:t>推进油品VOCs综合管控。</w:t>
            </w:r>
          </w:p>
        </w:tc>
        <w:tc>
          <w:tcPr>
            <w:tcW w:w="3178" w:type="dxa"/>
            <w:vAlign w:val="top"/>
          </w:tcPr>
          <w:p>
            <w:pPr>
              <w:pStyle w:val="TableText"/>
              <w:ind w:firstLine="101"/>
              <w:spacing w:before="48" w:line="239" w:lineRule="auto"/>
              <w:rPr>
                <w:sz w:val="21"/>
                <w:szCs w:val="21"/>
              </w:rPr>
            </w:pPr>
            <w:r>
              <w:rPr>
                <w:sz w:val="21"/>
                <w:szCs w:val="21"/>
                <w:spacing w:val="-8"/>
              </w:rPr>
              <w:t>求，本项目属于环境空气质量不达</w:t>
            </w:r>
            <w:r>
              <w:rPr>
                <w:sz w:val="21"/>
                <w:szCs w:val="21"/>
                <w:spacing w:val="7"/>
              </w:rPr>
              <w:t xml:space="preserve"> </w:t>
            </w:r>
            <w:r>
              <w:rPr>
                <w:sz w:val="21"/>
                <w:szCs w:val="21"/>
                <w:spacing w:val="1"/>
              </w:rPr>
              <w:t>标区，企业已向绵阳市生态环境局 </w:t>
            </w:r>
            <w:r>
              <w:rPr>
                <w:sz w:val="21"/>
                <w:szCs w:val="21"/>
                <w:spacing w:val="-13"/>
              </w:rPr>
              <w:t>工申请总量控制指标。一般固废及危</w:t>
            </w:r>
            <w:r>
              <w:rPr>
                <w:sz w:val="21"/>
                <w:szCs w:val="21"/>
                <w:spacing w:val="6"/>
              </w:rPr>
              <w:t xml:space="preserve"> </w:t>
            </w:r>
            <w:r>
              <w:rPr>
                <w:sz w:val="21"/>
                <w:szCs w:val="21"/>
              </w:rPr>
              <w:t>险废物均采取相应措施进行妥善处</w:t>
            </w:r>
            <w:r>
              <w:rPr>
                <w:sz w:val="21"/>
                <w:szCs w:val="21"/>
                <w:spacing w:val="7"/>
              </w:rPr>
              <w:t xml:space="preserve"> </w:t>
            </w:r>
            <w:r>
              <w:rPr>
                <w:sz w:val="21"/>
                <w:szCs w:val="21"/>
                <w:spacing w:val="-1"/>
              </w:rPr>
              <w:t>置，不随意丢弃或处理，本项目不</w:t>
            </w:r>
            <w:r>
              <w:rPr>
                <w:sz w:val="21"/>
                <w:szCs w:val="21"/>
                <w:spacing w:val="7"/>
              </w:rPr>
              <w:t xml:space="preserve"> </w:t>
            </w:r>
            <w:r>
              <w:rPr>
                <w:sz w:val="21"/>
                <w:szCs w:val="21"/>
                <w:spacing w:val="-1"/>
              </w:rPr>
              <w:t>涉及重金属排放；园区及企业采取</w:t>
            </w:r>
            <w:r>
              <w:rPr>
                <w:sz w:val="21"/>
                <w:szCs w:val="21"/>
                <w:spacing w:val="4"/>
              </w:rPr>
              <w:t xml:space="preserve"> </w:t>
            </w:r>
            <w:r>
              <w:rPr>
                <w:sz w:val="21"/>
                <w:szCs w:val="21"/>
              </w:rPr>
              <w:t>雨污分流系统措施；本项目不属于</w:t>
            </w:r>
            <w:r>
              <w:rPr>
                <w:sz w:val="21"/>
                <w:szCs w:val="21"/>
                <w:spacing w:val="10"/>
              </w:rPr>
              <w:t xml:space="preserve"> </w:t>
            </w:r>
            <w:r>
              <w:rPr>
                <w:sz w:val="21"/>
                <w:szCs w:val="21"/>
                <w:spacing w:val="-13"/>
              </w:rPr>
              <w:t>‘两高”项目，采用先进适用的工艺</w:t>
            </w:r>
            <w:r>
              <w:rPr>
                <w:sz w:val="21"/>
                <w:szCs w:val="21"/>
                <w:spacing w:val="9"/>
              </w:rPr>
              <w:t xml:space="preserve"> </w:t>
            </w:r>
            <w:r>
              <w:rPr>
                <w:sz w:val="21"/>
                <w:szCs w:val="21"/>
                <w:spacing w:val="-1"/>
              </w:rPr>
              <w:t>技术和装备，单位产品物耗、能</w:t>
            </w:r>
          </w:p>
          <w:p>
            <w:pPr>
              <w:pStyle w:val="TableText"/>
              <w:ind w:left="17"/>
              <w:spacing w:before="4" w:line="219" w:lineRule="auto"/>
              <w:rPr>
                <w:sz w:val="21"/>
                <w:szCs w:val="21"/>
              </w:rPr>
            </w:pPr>
            <w:r>
              <w:rPr>
                <w:sz w:val="21"/>
                <w:szCs w:val="21"/>
                <w:spacing w:val="-1"/>
              </w:rPr>
              <w:t>耗、水耗等达到清洁生产先进水</w:t>
            </w:r>
          </w:p>
          <w:p>
            <w:pPr>
              <w:pStyle w:val="TableText"/>
              <w:ind w:left="17"/>
              <w:spacing w:before="29" w:line="226" w:lineRule="auto"/>
              <w:rPr>
                <w:sz w:val="21"/>
                <w:szCs w:val="21"/>
              </w:rPr>
            </w:pPr>
            <w:r>
              <w:rPr>
                <w:sz w:val="21"/>
                <w:szCs w:val="21"/>
                <w:spacing w:val="-2"/>
              </w:rPr>
              <w:t>平，且依法制定并严格落实防治土</w:t>
            </w:r>
            <w:r>
              <w:rPr>
                <w:sz w:val="21"/>
                <w:szCs w:val="21"/>
                <w:spacing w:val="10"/>
              </w:rPr>
              <w:t xml:space="preserve"> </w:t>
            </w:r>
            <w:r>
              <w:rPr>
                <w:sz w:val="21"/>
                <w:szCs w:val="21"/>
              </w:rPr>
              <w:t>壤与地下水污染的措施。不属于电 </w:t>
            </w:r>
            <w:r>
              <w:rPr>
                <w:sz w:val="21"/>
                <w:szCs w:val="21"/>
                <w:spacing w:val="-2"/>
              </w:rPr>
              <w:t>子信息重点行业。</w:t>
            </w:r>
          </w:p>
        </w:tc>
        <w:tc>
          <w:tcPr>
            <w:tcW w:w="644" w:type="dxa"/>
            <w:vAlign w:val="top"/>
          </w:tcPr>
          <w:p>
            <w:pPr>
              <w:rPr>
                <w:rFonts w:ascii="Arial"/>
                <w:sz w:val="21"/>
              </w:rPr>
            </w:pPr>
            <w:r/>
          </w:p>
        </w:tc>
      </w:tr>
      <w:tr>
        <w:trPr>
          <w:trHeight w:val="1643" w:hRule="atLeast"/>
        </w:trPr>
        <w:tc>
          <w:tcPr>
            <w:tcW w:w="1084" w:type="dxa"/>
            <w:vAlign w:val="top"/>
            <w:vMerge w:val="continue"/>
            <w:tcBorders>
              <w:top w:val="nil"/>
            </w:tcBorders>
          </w:tcPr>
          <w:p>
            <w:pPr>
              <w:rPr>
                <w:rFonts w:ascii="Arial"/>
                <w:sz w:val="21"/>
              </w:rPr>
            </w:pPr>
            <w:r/>
          </w:p>
        </w:tc>
        <w:tc>
          <w:tcPr>
            <w:tcW w:w="290" w:type="dxa"/>
            <w:vAlign w:val="top"/>
            <w:vMerge w:val="continue"/>
            <w:tcBorders>
              <w:top w:val="nil"/>
            </w:tcBorders>
          </w:tcPr>
          <w:p>
            <w:pPr>
              <w:rPr>
                <w:rFonts w:ascii="Arial"/>
                <w:sz w:val="21"/>
              </w:rPr>
            </w:pPr>
            <w:r/>
          </w:p>
        </w:tc>
        <w:tc>
          <w:tcPr>
            <w:tcW w:w="869" w:type="dxa"/>
            <w:vAlign w:val="top"/>
          </w:tcPr>
          <w:p>
            <w:pPr>
              <w:spacing w:line="273" w:lineRule="auto"/>
              <w:rPr>
                <w:rFonts w:ascii="Arial"/>
                <w:sz w:val="21"/>
              </w:rPr>
            </w:pPr>
            <w:r/>
          </w:p>
          <w:p>
            <w:pPr>
              <w:spacing w:line="273" w:lineRule="auto"/>
              <w:rPr>
                <w:rFonts w:ascii="Arial"/>
                <w:sz w:val="21"/>
              </w:rPr>
            </w:pPr>
            <w:r/>
          </w:p>
          <w:p>
            <w:pPr>
              <w:pStyle w:val="TableText"/>
              <w:ind w:left="1"/>
              <w:spacing w:before="68" w:line="220" w:lineRule="auto"/>
              <w:rPr>
                <w:sz w:val="21"/>
                <w:szCs w:val="21"/>
              </w:rPr>
            </w:pPr>
            <w:r>
              <w:rPr>
                <w:sz w:val="21"/>
                <w:szCs w:val="21"/>
                <w:spacing w:val="-2"/>
              </w:rPr>
              <w:t>环境风险</w:t>
            </w:r>
          </w:p>
          <w:p>
            <w:pPr>
              <w:pStyle w:val="TableText"/>
              <w:ind w:left="211"/>
              <w:spacing w:line="220" w:lineRule="auto"/>
              <w:rPr>
                <w:sz w:val="21"/>
                <w:szCs w:val="21"/>
              </w:rPr>
            </w:pPr>
            <w:r>
              <w:rPr>
                <w:sz w:val="21"/>
                <w:szCs w:val="21"/>
                <w:spacing w:val="4"/>
              </w:rPr>
              <w:t>防控</w:t>
            </w:r>
          </w:p>
        </w:tc>
        <w:tc>
          <w:tcPr>
            <w:tcW w:w="7375" w:type="dxa"/>
            <w:vAlign w:val="top"/>
          </w:tcPr>
          <w:p>
            <w:pPr>
              <w:pStyle w:val="TableText"/>
              <w:ind w:left="15"/>
              <w:spacing w:before="55" w:line="220" w:lineRule="auto"/>
              <w:rPr>
                <w:sz w:val="21"/>
                <w:szCs w:val="21"/>
              </w:rPr>
            </w:pPr>
            <w:r>
              <w:rPr>
                <w:sz w:val="21"/>
                <w:szCs w:val="21"/>
                <w:b/>
                <w:bCs/>
                <w:spacing w:val="-4"/>
              </w:rPr>
              <w:t>联防联控要求</w:t>
            </w:r>
          </w:p>
          <w:p>
            <w:pPr>
              <w:pStyle w:val="TableText"/>
              <w:ind w:left="12"/>
              <w:spacing w:before="30" w:line="219" w:lineRule="auto"/>
              <w:rPr>
                <w:sz w:val="21"/>
                <w:szCs w:val="21"/>
              </w:rPr>
            </w:pPr>
            <w:r>
              <w:rPr>
                <w:sz w:val="21"/>
                <w:szCs w:val="21"/>
                <w:spacing w:val="-1"/>
              </w:rPr>
              <w:t>涪江流域干流建设流域突发环境事件监控预警体系。</w:t>
            </w:r>
          </w:p>
          <w:p>
            <w:pPr>
              <w:pStyle w:val="TableText"/>
              <w:ind w:left="15"/>
              <w:spacing w:before="29" w:line="212" w:lineRule="auto"/>
              <w:rPr>
                <w:sz w:val="21"/>
                <w:szCs w:val="21"/>
              </w:rPr>
            </w:pPr>
            <w:r>
              <w:rPr>
                <w:sz w:val="21"/>
                <w:szCs w:val="21"/>
                <w:b/>
                <w:bCs/>
                <w:spacing w:val="-4"/>
              </w:rPr>
              <w:t>其他环境风险防控要求</w:t>
            </w:r>
          </w:p>
          <w:p>
            <w:pPr>
              <w:pStyle w:val="TableText"/>
              <w:ind w:left="12"/>
              <w:spacing w:before="1" w:line="233" w:lineRule="auto"/>
              <w:rPr>
                <w:sz w:val="21"/>
                <w:szCs w:val="21"/>
              </w:rPr>
            </w:pPr>
            <w:r>
              <w:rPr>
                <w:sz w:val="21"/>
                <w:szCs w:val="21"/>
              </w:rPr>
              <w:t>1.企业环境风险防控要求：涉及有毒有害、易燃易爆物质新建、改扩建项目，严</w:t>
            </w:r>
            <w:r>
              <w:rPr>
                <w:sz w:val="21"/>
                <w:szCs w:val="21"/>
                <w:spacing w:val="1"/>
              </w:rPr>
              <w:t xml:space="preserve"> </w:t>
            </w:r>
            <w:r>
              <w:rPr>
                <w:sz w:val="21"/>
                <w:szCs w:val="21"/>
                <w:spacing w:val="3"/>
              </w:rPr>
              <w:t>控准入要求。(根据</w:t>
            </w:r>
            <w:r>
              <w:rPr>
                <w:sz w:val="21"/>
                <w:szCs w:val="21"/>
              </w:rPr>
              <w:t>GB</w:t>
            </w:r>
            <w:r>
              <w:rPr>
                <w:sz w:val="21"/>
                <w:szCs w:val="21"/>
                <w:spacing w:val="3"/>
              </w:rPr>
              <w:t xml:space="preserve"> 8978中第一类污染物以及《优先控</w:t>
            </w:r>
            <w:r>
              <w:rPr>
                <w:sz w:val="21"/>
                <w:szCs w:val="21"/>
                <w:spacing w:val="2"/>
              </w:rPr>
              <w:t>制化学品名录》、</w:t>
            </w:r>
          </w:p>
          <w:p>
            <w:pPr>
              <w:pStyle w:val="TableText"/>
              <w:spacing w:before="1" w:line="215" w:lineRule="auto"/>
              <w:rPr>
                <w:sz w:val="21"/>
                <w:szCs w:val="21"/>
              </w:rPr>
            </w:pPr>
            <w:r>
              <w:rPr>
                <w:sz w:val="21"/>
                <w:szCs w:val="21"/>
                <w:spacing w:val="-1"/>
              </w:rPr>
              <w:t>《有毒有害大气污染物名录》、《有毒有害水污染物名录》</w:t>
            </w:r>
            <w:r>
              <w:rPr>
                <w:sz w:val="21"/>
                <w:szCs w:val="21"/>
                <w:spacing w:val="-2"/>
              </w:rPr>
              <w:t>确定)园区环境风</w:t>
            </w:r>
          </w:p>
        </w:tc>
        <w:tc>
          <w:tcPr>
            <w:tcW w:w="3178" w:type="dxa"/>
            <w:vAlign w:val="top"/>
          </w:tcPr>
          <w:p>
            <w:pPr>
              <w:pStyle w:val="TableText"/>
              <w:ind w:left="17"/>
              <w:spacing w:before="57" w:line="237" w:lineRule="auto"/>
              <w:rPr>
                <w:sz w:val="21"/>
                <w:szCs w:val="21"/>
              </w:rPr>
            </w:pPr>
            <w:r>
              <w:rPr>
                <w:sz w:val="21"/>
                <w:szCs w:val="21"/>
              </w:rPr>
              <w:t>本项目主要涉及有毒有害、易燃易 </w:t>
            </w:r>
            <w:r>
              <w:rPr>
                <w:sz w:val="21"/>
                <w:szCs w:val="21"/>
                <w:spacing w:val="-1"/>
              </w:rPr>
              <w:t>爆物质为天然气(甲烷)、消毒剂</w:t>
            </w:r>
          </w:p>
          <w:p>
            <w:pPr>
              <w:pStyle w:val="TableText"/>
              <w:ind w:left="17"/>
              <w:spacing w:line="218" w:lineRule="auto"/>
              <w:rPr>
                <w:sz w:val="21"/>
                <w:szCs w:val="21"/>
              </w:rPr>
            </w:pPr>
            <w:r>
              <w:rPr>
                <w:sz w:val="21"/>
                <w:szCs w:val="21"/>
                <w:spacing w:val="-1"/>
              </w:rPr>
              <w:t>次氯酸钠、制冷剂(R404A)、柴</w:t>
            </w:r>
          </w:p>
          <w:p>
            <w:pPr>
              <w:pStyle w:val="TableText"/>
              <w:ind w:left="17"/>
              <w:spacing w:before="10" w:line="219" w:lineRule="auto"/>
              <w:rPr>
                <w:sz w:val="21"/>
                <w:szCs w:val="21"/>
              </w:rPr>
            </w:pPr>
            <w:r>
              <w:rPr>
                <w:sz w:val="21"/>
                <w:szCs w:val="21"/>
              </w:rPr>
              <w:t>油、废机油，不属于高风险化学</w:t>
            </w:r>
          </w:p>
          <w:p>
            <w:pPr>
              <w:pStyle w:val="TableText"/>
              <w:ind w:left="17"/>
              <w:spacing w:before="40" w:line="214" w:lineRule="auto"/>
              <w:rPr>
                <w:sz w:val="21"/>
                <w:szCs w:val="21"/>
              </w:rPr>
            </w:pPr>
            <w:r>
              <w:rPr>
                <w:sz w:val="21"/>
                <w:szCs w:val="21"/>
              </w:rPr>
              <w:t>品，本项目属于牲畜屠宰行业，不 </w:t>
            </w:r>
            <w:r>
              <w:rPr>
                <w:sz w:val="21"/>
                <w:szCs w:val="21"/>
                <w:spacing w:val="-2"/>
              </w:rPr>
              <w:t>险涉及重金属污染物排放</w:t>
            </w:r>
            <w:r>
              <w:rPr>
                <w:sz w:val="21"/>
                <w:szCs w:val="21"/>
                <w:b/>
                <w:bCs/>
                <w:spacing w:val="-2"/>
              </w:rPr>
              <w:t>。环评要</w:t>
            </w:r>
          </w:p>
        </w:tc>
        <w:tc>
          <w:tcPr>
            <w:tcW w:w="644" w:type="dxa"/>
            <w:vAlign w:val="top"/>
          </w:tcPr>
          <w:p>
            <w:pPr>
              <w:spacing w:line="327" w:lineRule="auto"/>
              <w:rPr>
                <w:rFonts w:ascii="Arial"/>
                <w:sz w:val="21"/>
              </w:rPr>
            </w:pPr>
            <w:r/>
          </w:p>
          <w:p>
            <w:pPr>
              <w:spacing w:line="328" w:lineRule="auto"/>
              <w:rPr>
                <w:rFonts w:ascii="Arial"/>
                <w:sz w:val="21"/>
              </w:rPr>
            </w:pPr>
            <w:r/>
          </w:p>
          <w:p>
            <w:pPr>
              <w:pStyle w:val="TableText"/>
              <w:ind w:left="109"/>
              <w:spacing w:before="68" w:line="219" w:lineRule="auto"/>
              <w:rPr>
                <w:sz w:val="21"/>
                <w:szCs w:val="21"/>
              </w:rPr>
            </w:pPr>
            <w:r>
              <w:rPr>
                <w:sz w:val="21"/>
                <w:szCs w:val="21"/>
                <w:spacing w:val="-3"/>
              </w:rPr>
              <w:t>符合</w:t>
            </w:r>
          </w:p>
        </w:tc>
      </w:tr>
    </w:tbl>
    <w:p>
      <w:pPr>
        <w:pStyle w:val="BodyText"/>
        <w:rPr/>
      </w:pPr>
      <w:r/>
    </w:p>
    <w:p>
      <w:pPr>
        <w:sectPr>
          <w:footerReference w:type="default" r:id="rId105"/>
          <w:pgSz w:w="16840" w:h="11910"/>
          <w:pgMar w:top="1180" w:right="1715" w:bottom="961" w:left="1674" w:header="872" w:footer="702" w:gutter="0"/>
        </w:sectPr>
        <w:rPr/>
      </w:pPr>
    </w:p>
    <w:p>
      <w:pPr>
        <w:spacing w:before="33"/>
        <w:rPr/>
      </w:pPr>
      <w:r/>
    </w:p>
    <w:tbl>
      <w:tblPr>
        <w:tblStyle w:val="TableNormal"/>
        <w:tblW w:w="1344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84"/>
        <w:gridCol w:w="290"/>
        <w:gridCol w:w="869"/>
        <w:gridCol w:w="7375"/>
        <w:gridCol w:w="3178"/>
        <w:gridCol w:w="644"/>
      </w:tblGrid>
      <w:tr>
        <w:trPr>
          <w:trHeight w:val="284" w:hRule="atLeast"/>
        </w:trPr>
        <w:tc>
          <w:tcPr>
            <w:shd w:val="clear" w:fill="BDBDBD"/>
            <w:tcW w:w="9618" w:type="dxa"/>
            <w:vAlign w:val="top"/>
            <w:gridSpan w:val="4"/>
          </w:tcPr>
          <w:p>
            <w:pPr>
              <w:pStyle w:val="TableText"/>
              <w:ind w:left="3653"/>
              <w:spacing w:before="40" w:line="205" w:lineRule="auto"/>
              <w:rPr>
                <w:sz w:val="21"/>
                <w:szCs w:val="21"/>
              </w:rPr>
            </w:pPr>
            <w:r>
              <w:rPr>
                <w:sz w:val="21"/>
                <w:szCs w:val="21"/>
                <w:b/>
                <w:bCs/>
                <w:spacing w:val="7"/>
              </w:rPr>
              <w:t>“三线一单”的具体要求</w:t>
            </w:r>
          </w:p>
        </w:tc>
        <w:tc>
          <w:tcPr>
            <w:shd w:val="clear" w:fill="BDBDBD"/>
            <w:tcW w:w="3178" w:type="dxa"/>
            <w:vAlign w:val="top"/>
            <w:vMerge w:val="restart"/>
            <w:tcBorders>
              <w:bottom w:val="nil"/>
            </w:tcBorders>
          </w:tcPr>
          <w:p>
            <w:pPr>
              <w:pStyle w:val="TableText"/>
              <w:ind w:left="770"/>
              <w:spacing w:before="169" w:line="219" w:lineRule="auto"/>
              <w:rPr>
                <w:sz w:val="21"/>
                <w:szCs w:val="21"/>
              </w:rPr>
            </w:pPr>
            <w:r>
              <w:rPr>
                <w:sz w:val="21"/>
                <w:szCs w:val="21"/>
                <w:b/>
                <w:bCs/>
                <w:spacing w:val="-1"/>
              </w:rPr>
              <w:t>项目对应情况介绍</w:t>
            </w:r>
          </w:p>
        </w:tc>
        <w:tc>
          <w:tcPr>
            <w:shd w:val="clear" w:fill="BDBDBD"/>
            <w:tcW w:w="644" w:type="dxa"/>
            <w:vAlign w:val="top"/>
            <w:vMerge w:val="restart"/>
            <w:tcBorders>
              <w:bottom w:val="nil"/>
            </w:tcBorders>
          </w:tcPr>
          <w:p>
            <w:pPr>
              <w:pStyle w:val="TableText"/>
              <w:ind w:left="110" w:hanging="88"/>
              <w:spacing w:before="29" w:line="226" w:lineRule="auto"/>
              <w:rPr>
                <w:sz w:val="21"/>
                <w:szCs w:val="21"/>
              </w:rPr>
            </w:pPr>
            <w:r>
              <w:rPr>
                <w:sz w:val="21"/>
                <w:szCs w:val="21"/>
                <w:b/>
                <w:bCs/>
                <w:spacing w:val="-9"/>
              </w:rPr>
              <w:t>符合性</w:t>
            </w:r>
            <w:r>
              <w:rPr>
                <w:sz w:val="21"/>
                <w:szCs w:val="21"/>
                <w:spacing w:val="1"/>
              </w:rPr>
              <w:t xml:space="preserve"> </w:t>
            </w:r>
            <w:r>
              <w:rPr>
                <w:sz w:val="21"/>
                <w:szCs w:val="21"/>
                <w:b/>
                <w:bCs/>
                <w:spacing w:val="-7"/>
              </w:rPr>
              <w:t>分析</w:t>
            </w:r>
          </w:p>
        </w:tc>
      </w:tr>
      <w:tr>
        <w:trPr>
          <w:trHeight w:val="260" w:hRule="atLeast"/>
        </w:trPr>
        <w:tc>
          <w:tcPr>
            <w:shd w:val="clear" w:fill="BDBDBD"/>
            <w:tcW w:w="2243" w:type="dxa"/>
            <w:vAlign w:val="top"/>
            <w:gridSpan w:val="3"/>
          </w:tcPr>
          <w:p>
            <w:pPr>
              <w:pStyle w:val="TableText"/>
              <w:ind w:left="898"/>
              <w:spacing w:before="25" w:line="197" w:lineRule="auto"/>
              <w:rPr>
                <w:sz w:val="21"/>
                <w:szCs w:val="21"/>
              </w:rPr>
            </w:pPr>
            <w:r>
              <w:rPr>
                <w:sz w:val="21"/>
                <w:szCs w:val="21"/>
                <w:b/>
                <w:bCs/>
                <w:spacing w:val="-5"/>
              </w:rPr>
              <w:t>类别</w:t>
            </w:r>
          </w:p>
        </w:tc>
        <w:tc>
          <w:tcPr>
            <w:shd w:val="clear" w:fill="BDBDBD"/>
            <w:tcW w:w="7375" w:type="dxa"/>
            <w:vAlign w:val="top"/>
          </w:tcPr>
          <w:p>
            <w:pPr>
              <w:pStyle w:val="TableText"/>
              <w:ind w:left="3055"/>
              <w:spacing w:before="25" w:line="197" w:lineRule="auto"/>
              <w:rPr>
                <w:sz w:val="21"/>
                <w:szCs w:val="21"/>
              </w:rPr>
            </w:pPr>
            <w:r>
              <w:rPr>
                <w:sz w:val="21"/>
                <w:szCs w:val="21"/>
                <w:b/>
                <w:bCs/>
                <w:spacing w:val="-4"/>
              </w:rPr>
              <w:t>对应管控要求</w:t>
            </w:r>
          </w:p>
        </w:tc>
        <w:tc>
          <w:tcPr>
            <w:tcW w:w="3178" w:type="dxa"/>
            <w:vAlign w:val="top"/>
            <w:vMerge w:val="continue"/>
            <w:tcBorders>
              <w:top w:val="nil"/>
            </w:tcBorders>
          </w:tcPr>
          <w:p>
            <w:pPr>
              <w:rPr>
                <w:rFonts w:ascii="Arial"/>
                <w:sz w:val="21"/>
              </w:rPr>
            </w:pPr>
            <w:r/>
          </w:p>
        </w:tc>
        <w:tc>
          <w:tcPr>
            <w:tcW w:w="644" w:type="dxa"/>
            <w:vAlign w:val="top"/>
            <w:vMerge w:val="continue"/>
            <w:tcBorders>
              <w:top w:val="nil"/>
            </w:tcBorders>
          </w:tcPr>
          <w:p>
            <w:pPr>
              <w:rPr>
                <w:rFonts w:ascii="Arial"/>
                <w:sz w:val="21"/>
              </w:rPr>
            </w:pPr>
            <w:r/>
          </w:p>
        </w:tc>
      </w:tr>
      <w:tr>
        <w:trPr>
          <w:trHeight w:val="3276" w:hRule="atLeast"/>
        </w:trPr>
        <w:tc>
          <w:tcPr>
            <w:tcW w:w="1084" w:type="dxa"/>
            <w:vAlign w:val="top"/>
            <w:vMerge w:val="restart"/>
            <w:tcBorders>
              <w:bottom w:val="nil"/>
            </w:tcBorders>
          </w:tcPr>
          <w:p>
            <w:pPr>
              <w:rPr>
                <w:rFonts w:ascii="Arial"/>
                <w:sz w:val="21"/>
              </w:rPr>
            </w:pPr>
            <w:r/>
          </w:p>
        </w:tc>
        <w:tc>
          <w:tcPr>
            <w:tcW w:w="290" w:type="dxa"/>
            <w:vAlign w:val="top"/>
            <w:vMerge w:val="restart"/>
            <w:tcBorders>
              <w:bottom w:val="nil"/>
            </w:tcBorders>
          </w:tcPr>
          <w:p>
            <w:pPr>
              <w:rPr>
                <w:rFonts w:ascii="Arial"/>
                <w:sz w:val="21"/>
              </w:rPr>
            </w:pPr>
            <w:r/>
          </w:p>
        </w:tc>
        <w:tc>
          <w:tcPr>
            <w:tcW w:w="869" w:type="dxa"/>
            <w:vAlign w:val="top"/>
          </w:tcPr>
          <w:p>
            <w:pPr>
              <w:rPr>
                <w:rFonts w:ascii="Arial"/>
                <w:sz w:val="21"/>
              </w:rPr>
            </w:pPr>
            <w:r/>
          </w:p>
        </w:tc>
        <w:tc>
          <w:tcPr>
            <w:tcW w:w="7375" w:type="dxa"/>
            <w:vAlign w:val="top"/>
          </w:tcPr>
          <w:p>
            <w:pPr>
              <w:pStyle w:val="TableText"/>
              <w:ind w:left="1" w:firstLine="10"/>
              <w:spacing w:before="38" w:line="246" w:lineRule="auto"/>
              <w:rPr>
                <w:sz w:val="21"/>
                <w:szCs w:val="21"/>
              </w:rPr>
            </w:pPr>
            <w:r>
              <w:rPr>
                <w:sz w:val="21"/>
                <w:szCs w:val="21"/>
              </w:rPr>
              <w:t>防控要求：严格限制高风险化学品生产、使用，并逐步淘汰替代。优化调整高风</w:t>
            </w:r>
            <w:r>
              <w:rPr>
                <w:sz w:val="21"/>
                <w:szCs w:val="21"/>
                <w:spacing w:val="1"/>
              </w:rPr>
              <w:t xml:space="preserve"> </w:t>
            </w:r>
            <w:r>
              <w:rPr>
                <w:sz w:val="21"/>
                <w:szCs w:val="21"/>
              </w:rPr>
              <w:t>险化学品企业布局，逐步退出环境敏感区。</w:t>
            </w:r>
          </w:p>
          <w:p>
            <w:pPr>
              <w:pStyle w:val="TableText"/>
              <w:ind w:left="1"/>
              <w:spacing w:line="218" w:lineRule="auto"/>
              <w:rPr>
                <w:sz w:val="21"/>
                <w:szCs w:val="21"/>
              </w:rPr>
            </w:pPr>
            <w:r>
              <w:rPr>
                <w:sz w:val="21"/>
                <w:szCs w:val="21"/>
              </w:rPr>
              <w:t>2.用地环境风险防控要求：化工、电镀等行业企业拆除生</w:t>
            </w:r>
            <w:r>
              <w:rPr>
                <w:sz w:val="21"/>
                <w:szCs w:val="21"/>
                <w:spacing w:val="-1"/>
              </w:rPr>
              <w:t>产设施设备、构筑</w:t>
            </w:r>
            <w:r>
              <w:rPr>
                <w:sz w:val="21"/>
                <w:szCs w:val="21"/>
                <w:b/>
                <w:bCs/>
                <w:spacing w:val="-1"/>
              </w:rPr>
              <w:t>物</w:t>
            </w:r>
          </w:p>
          <w:p>
            <w:pPr>
              <w:pStyle w:val="TableText"/>
              <w:ind w:left="1" w:right="12" w:firstLine="10"/>
              <w:spacing w:before="23" w:line="241" w:lineRule="auto"/>
              <w:rPr>
                <w:sz w:val="21"/>
                <w:szCs w:val="21"/>
              </w:rPr>
            </w:pPr>
            <w:r>
              <w:rPr>
                <w:sz w:val="21"/>
                <w:szCs w:val="21"/>
              </w:rPr>
              <w:t>污染治理设施，要事先制定残留污染物清理和安全处置</w:t>
            </w:r>
            <w:r>
              <w:rPr>
                <w:sz w:val="21"/>
                <w:szCs w:val="21"/>
                <w:spacing w:val="-1"/>
              </w:rPr>
              <w:t>方案，要严格按照有关规</w:t>
            </w:r>
            <w:r>
              <w:rPr>
                <w:sz w:val="21"/>
                <w:szCs w:val="21"/>
              </w:rPr>
              <w:t xml:space="preserve"> </w:t>
            </w:r>
            <w:r>
              <w:rPr>
                <w:sz w:val="21"/>
                <w:szCs w:val="21"/>
              </w:rPr>
              <w:t>定实施安全处理处置，防范拆除活动污染土壤。</w:t>
            </w:r>
          </w:p>
          <w:p>
            <w:pPr>
              <w:pStyle w:val="TableText"/>
              <w:ind w:left="1" w:firstLine="60"/>
              <w:spacing w:before="4" w:line="235" w:lineRule="auto"/>
              <w:rPr>
                <w:sz w:val="21"/>
                <w:szCs w:val="21"/>
              </w:rPr>
            </w:pPr>
            <w:r>
              <w:rPr>
                <w:sz w:val="21"/>
                <w:szCs w:val="21"/>
              </w:rPr>
              <w:t>有色金属矿采选、有色金属冶炼、石油加工、化工、</w:t>
            </w:r>
            <w:r>
              <w:rPr>
                <w:sz w:val="21"/>
                <w:szCs w:val="21"/>
                <w:spacing w:val="-1"/>
              </w:rPr>
              <w:t>焦化、电镀、制革、天然</w:t>
            </w:r>
            <w:r>
              <w:rPr>
                <w:sz w:val="21"/>
                <w:szCs w:val="21"/>
              </w:rPr>
              <w:t xml:space="preserve">  </w:t>
            </w:r>
            <w:r>
              <w:rPr>
                <w:sz w:val="21"/>
                <w:szCs w:val="21"/>
                <w:spacing w:val="2"/>
              </w:rPr>
              <w:t>(页岩)气开采、铅蓄电池、汽车制造、农药、危废处置、电子拆解等行业企业</w:t>
            </w:r>
            <w:r>
              <w:rPr>
                <w:sz w:val="21"/>
                <w:szCs w:val="21"/>
                <w:spacing w:val="8"/>
              </w:rPr>
              <w:t xml:space="preserve">  </w:t>
            </w:r>
            <w:r>
              <w:rPr>
                <w:sz w:val="21"/>
                <w:szCs w:val="21"/>
              </w:rPr>
              <w:t>及其他可能影响土壤环境质量的生产设施设备、构筑物和污染治理设施的拆除，</w:t>
            </w:r>
            <w:r>
              <w:rPr>
                <w:sz w:val="21"/>
                <w:szCs w:val="21"/>
                <w:spacing w:val="3"/>
              </w:rPr>
              <w:t xml:space="preserve"> </w:t>
            </w:r>
            <w:r>
              <w:rPr>
                <w:sz w:val="21"/>
                <w:szCs w:val="21"/>
              </w:rPr>
              <w:t>按照有关规定制定残留污染物清理和安全处置方案，要严格按照有关规定实施安</w:t>
            </w:r>
            <w:r>
              <w:rPr>
                <w:sz w:val="21"/>
                <w:szCs w:val="21"/>
                <w:spacing w:val="11"/>
              </w:rPr>
              <w:t xml:space="preserve"> </w:t>
            </w:r>
            <w:r>
              <w:rPr>
                <w:sz w:val="21"/>
                <w:szCs w:val="21"/>
              </w:rPr>
              <w:t>全处理处置，防范拆除活动污染土壤。</w:t>
            </w:r>
          </w:p>
          <w:p>
            <w:pPr>
              <w:pStyle w:val="TableText"/>
              <w:ind w:left="1"/>
              <w:spacing w:before="1" w:line="222" w:lineRule="auto"/>
              <w:rPr>
                <w:sz w:val="21"/>
                <w:szCs w:val="21"/>
              </w:rPr>
            </w:pPr>
            <w:r>
              <w:rPr>
                <w:sz w:val="21"/>
                <w:szCs w:val="21"/>
              </w:rPr>
              <w:t>3.化工园区应具有安全风险监控体系、建立生态环境监测监控体系、建立必要的</w:t>
            </w:r>
            <w:r>
              <w:rPr>
                <w:sz w:val="21"/>
                <w:szCs w:val="21"/>
                <w:spacing w:val="12"/>
              </w:rPr>
              <w:t xml:space="preserve"> </w:t>
            </w:r>
            <w:r>
              <w:rPr>
                <w:sz w:val="21"/>
                <w:szCs w:val="21"/>
              </w:rPr>
              <w:t>突发环境事件应急体系。</w:t>
            </w:r>
          </w:p>
        </w:tc>
        <w:tc>
          <w:tcPr>
            <w:tcW w:w="3178" w:type="dxa"/>
            <w:vAlign w:val="top"/>
          </w:tcPr>
          <w:p>
            <w:pPr>
              <w:pStyle w:val="TableText"/>
              <w:ind w:left="20"/>
              <w:spacing w:before="37" w:line="238" w:lineRule="auto"/>
              <w:jc w:val="both"/>
              <w:rPr>
                <w:sz w:val="21"/>
                <w:szCs w:val="21"/>
              </w:rPr>
            </w:pPr>
            <w:r>
              <w:rPr>
                <w:sz w:val="21"/>
                <w:szCs w:val="21"/>
                <w:b/>
                <w:bCs/>
                <w:spacing w:val="-4"/>
              </w:rPr>
              <w:t>求：后期企业需要进行搬迁等工作</w:t>
            </w:r>
            <w:r>
              <w:rPr>
                <w:sz w:val="21"/>
                <w:szCs w:val="21"/>
                <w:spacing w:val="8"/>
              </w:rPr>
              <w:t xml:space="preserve"> </w:t>
            </w:r>
            <w:r>
              <w:rPr>
                <w:sz w:val="21"/>
                <w:szCs w:val="21"/>
                <w:b/>
                <w:bCs/>
                <w:spacing w:val="-3"/>
              </w:rPr>
              <w:t>时，应按照有关规定制定残留污染</w:t>
            </w:r>
            <w:r>
              <w:rPr>
                <w:sz w:val="21"/>
                <w:szCs w:val="21"/>
                <w:spacing w:val="6"/>
              </w:rPr>
              <w:t xml:space="preserve"> </w:t>
            </w:r>
            <w:r>
              <w:rPr>
                <w:sz w:val="21"/>
                <w:szCs w:val="21"/>
                <w:b/>
                <w:bCs/>
                <w:spacing w:val="-17"/>
              </w:rPr>
              <w:t>和物清</w:t>
            </w:r>
            <w:r>
              <w:rPr>
                <w:sz w:val="21"/>
                <w:szCs w:val="21"/>
                <w:b/>
                <w:bCs/>
                <w:spacing w:val="-16"/>
              </w:rPr>
              <w:t>理和安全处置方案，要严格</w:t>
            </w:r>
            <w:r>
              <w:rPr>
                <w:sz w:val="21"/>
                <w:szCs w:val="21"/>
                <w:b/>
                <w:bCs/>
                <w:spacing w:val="-13"/>
              </w:rPr>
              <w:t>按</w:t>
            </w:r>
            <w:r>
              <w:rPr>
                <w:sz w:val="21"/>
                <w:szCs w:val="21"/>
                <w:spacing w:val="7"/>
              </w:rPr>
              <w:t xml:space="preserve"> </w:t>
            </w:r>
            <w:r>
              <w:rPr>
                <w:sz w:val="21"/>
                <w:szCs w:val="21"/>
                <w:b/>
                <w:bCs/>
                <w:spacing w:val="-3"/>
              </w:rPr>
              <w:t>照有关规定实施安全处理处置，防</w:t>
            </w:r>
            <w:r>
              <w:rPr>
                <w:sz w:val="21"/>
                <w:szCs w:val="21"/>
                <w:spacing w:val="8"/>
              </w:rPr>
              <w:t xml:space="preserve"> </w:t>
            </w:r>
            <w:r>
              <w:rPr>
                <w:sz w:val="21"/>
                <w:szCs w:val="21"/>
                <w:b/>
                <w:bCs/>
                <w:spacing w:val="-4"/>
              </w:rPr>
              <w:t>范拆除活动污染土壤。</w:t>
            </w:r>
          </w:p>
        </w:tc>
        <w:tc>
          <w:tcPr>
            <w:tcW w:w="644" w:type="dxa"/>
            <w:vAlign w:val="top"/>
          </w:tcPr>
          <w:p>
            <w:pPr>
              <w:rPr>
                <w:rFonts w:ascii="Arial"/>
                <w:sz w:val="21"/>
              </w:rPr>
            </w:pPr>
            <w:r/>
          </w:p>
        </w:tc>
      </w:tr>
      <w:tr>
        <w:trPr>
          <w:trHeight w:val="4889" w:hRule="atLeast"/>
        </w:trPr>
        <w:tc>
          <w:tcPr>
            <w:tcW w:w="1084" w:type="dxa"/>
            <w:vAlign w:val="top"/>
            <w:vMerge w:val="continue"/>
            <w:tcBorders>
              <w:top w:val="nil"/>
            </w:tcBorders>
          </w:tcPr>
          <w:p>
            <w:pPr>
              <w:rPr>
                <w:rFonts w:ascii="Arial"/>
                <w:sz w:val="21"/>
              </w:rPr>
            </w:pPr>
            <w:r/>
          </w:p>
        </w:tc>
        <w:tc>
          <w:tcPr>
            <w:tcW w:w="290" w:type="dxa"/>
            <w:vAlign w:val="top"/>
            <w:vMerge w:val="continue"/>
            <w:tcBorders>
              <w:top w:val="nil"/>
            </w:tcBorders>
          </w:tcPr>
          <w:p>
            <w:pPr>
              <w:rPr>
                <w:rFonts w:ascii="Arial"/>
                <w:sz w:val="21"/>
              </w:rPr>
            </w:pPr>
            <w:r/>
          </w:p>
        </w:tc>
        <w:tc>
          <w:tcPr>
            <w:tcW w:w="869" w:type="dxa"/>
            <w:vAlign w:val="top"/>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ind w:left="1"/>
              <w:spacing w:before="69" w:line="220" w:lineRule="auto"/>
              <w:rPr>
                <w:sz w:val="21"/>
                <w:szCs w:val="21"/>
              </w:rPr>
            </w:pPr>
            <w:r>
              <w:rPr>
                <w:sz w:val="21"/>
                <w:szCs w:val="21"/>
                <w:spacing w:val="2"/>
              </w:rPr>
              <w:t>资源开发</w:t>
            </w:r>
          </w:p>
          <w:p>
            <w:pPr>
              <w:pStyle w:val="TableText"/>
              <w:ind w:left="1"/>
              <w:spacing w:before="9" w:line="219" w:lineRule="auto"/>
              <w:rPr>
                <w:sz w:val="21"/>
                <w:szCs w:val="21"/>
              </w:rPr>
            </w:pPr>
            <w:r>
              <w:rPr>
                <w:sz w:val="21"/>
                <w:szCs w:val="21"/>
                <w:spacing w:val="-2"/>
              </w:rPr>
              <w:t>利用效率</w:t>
            </w:r>
          </w:p>
        </w:tc>
        <w:tc>
          <w:tcPr>
            <w:tcW w:w="7375" w:type="dxa"/>
            <w:vAlign w:val="top"/>
          </w:tcPr>
          <w:p>
            <w:pPr>
              <w:pStyle w:val="TableText"/>
              <w:ind w:left="4"/>
              <w:spacing w:before="20" w:line="219" w:lineRule="auto"/>
              <w:rPr>
                <w:sz w:val="21"/>
                <w:szCs w:val="21"/>
              </w:rPr>
            </w:pPr>
            <w:r>
              <w:rPr>
                <w:sz w:val="21"/>
                <w:szCs w:val="21"/>
                <w:b/>
                <w:bCs/>
                <w:spacing w:val="-4"/>
              </w:rPr>
              <w:t>水资源利用总量要求</w:t>
            </w:r>
          </w:p>
          <w:p>
            <w:pPr>
              <w:pStyle w:val="TableText"/>
              <w:ind w:left="1" w:right="191" w:firstLine="40"/>
              <w:spacing w:before="24"/>
              <w:rPr>
                <w:sz w:val="21"/>
                <w:szCs w:val="21"/>
              </w:rPr>
            </w:pPr>
            <w:r>
              <w:rPr>
                <w:sz w:val="21"/>
                <w:szCs w:val="21"/>
              </w:rPr>
              <w:t>新、改扩建项目污染水耗指标满足《四川省省级生态</w:t>
            </w:r>
            <w:r>
              <w:rPr>
                <w:sz w:val="21"/>
                <w:szCs w:val="21"/>
                <w:spacing w:val="-1"/>
              </w:rPr>
              <w:t>工业园区指标》综合类生</w:t>
            </w:r>
            <w:r>
              <w:rPr>
                <w:sz w:val="21"/>
                <w:szCs w:val="21"/>
              </w:rPr>
              <w:t xml:space="preserve"> </w:t>
            </w:r>
            <w:r>
              <w:rPr>
                <w:sz w:val="21"/>
                <w:szCs w:val="21"/>
              </w:rPr>
              <w:t>态工业园区要求。</w:t>
            </w:r>
          </w:p>
          <w:p>
            <w:pPr>
              <w:pStyle w:val="TableText"/>
              <w:ind w:left="1" w:right="788"/>
              <w:spacing w:before="1" w:line="241" w:lineRule="auto"/>
              <w:rPr>
                <w:sz w:val="21"/>
                <w:szCs w:val="21"/>
              </w:rPr>
            </w:pPr>
            <w:r>
              <w:rPr>
                <w:sz w:val="21"/>
                <w:szCs w:val="21"/>
                <w:spacing w:val="2"/>
              </w:rPr>
              <w:t>到2025年，全市万元</w:t>
            </w:r>
            <w:r>
              <w:rPr>
                <w:sz w:val="21"/>
                <w:szCs w:val="21"/>
              </w:rPr>
              <w:t>GDP</w:t>
            </w:r>
            <w:r>
              <w:rPr>
                <w:sz w:val="21"/>
                <w:szCs w:val="21"/>
                <w:spacing w:val="2"/>
              </w:rPr>
              <w:t>、万元工业增加值用水量分别降低到6</w:t>
            </w:r>
            <w:r>
              <w:rPr>
                <w:sz w:val="21"/>
                <w:szCs w:val="21"/>
                <w:spacing w:val="1"/>
              </w:rPr>
              <w:t>1m和25m,</w:t>
            </w:r>
            <w:r>
              <w:rPr>
                <w:sz w:val="21"/>
                <w:szCs w:val="21"/>
              </w:rPr>
              <w:t xml:space="preserve"> </w:t>
            </w:r>
            <w:r>
              <w:rPr>
                <w:sz w:val="21"/>
                <w:szCs w:val="21"/>
              </w:rPr>
              <w:t>比2020年再降低29%、26%。-工业用水重复利用率提高至95%。</w:t>
            </w:r>
          </w:p>
          <w:p>
            <w:pPr>
              <w:pStyle w:val="TableText"/>
              <w:ind w:left="4"/>
              <w:spacing w:line="218" w:lineRule="auto"/>
              <w:rPr>
                <w:sz w:val="21"/>
                <w:szCs w:val="21"/>
              </w:rPr>
            </w:pPr>
            <w:r>
              <w:rPr>
                <w:sz w:val="21"/>
                <w:szCs w:val="21"/>
                <w:b/>
                <w:bCs/>
                <w:spacing w:val="-4"/>
              </w:rPr>
              <w:t>地下水开采要求</w:t>
            </w:r>
          </w:p>
          <w:p>
            <w:pPr>
              <w:pStyle w:val="TableText"/>
              <w:ind w:left="1" w:right="2522"/>
              <w:spacing w:before="24" w:line="236" w:lineRule="auto"/>
              <w:rPr>
                <w:sz w:val="21"/>
                <w:szCs w:val="21"/>
              </w:rPr>
            </w:pPr>
            <w:r>
              <w:rPr>
                <w:sz w:val="21"/>
                <w:szCs w:val="21"/>
              </w:rPr>
              <w:t>绵阳市2025年地下水开采控制量以省市下发指标为准</w:t>
            </w:r>
            <w:r>
              <w:rPr>
                <w:sz w:val="21"/>
                <w:szCs w:val="21"/>
                <w:spacing w:val="9"/>
              </w:rPr>
              <w:t xml:space="preserve"> </w:t>
            </w:r>
            <w:r>
              <w:rPr>
                <w:sz w:val="21"/>
                <w:szCs w:val="21"/>
              </w:rPr>
              <w:t>能源利用总量及效率要求</w:t>
            </w:r>
          </w:p>
          <w:p>
            <w:pPr>
              <w:pStyle w:val="TableText"/>
              <w:ind w:left="1"/>
              <w:spacing w:before="1" w:line="216" w:lineRule="auto"/>
              <w:rPr>
                <w:sz w:val="21"/>
                <w:szCs w:val="21"/>
              </w:rPr>
            </w:pPr>
            <w:r>
              <w:rPr>
                <w:sz w:val="21"/>
                <w:szCs w:val="21"/>
                <w:spacing w:val="1"/>
              </w:rPr>
              <w:t>启动实施碳达峰行动。实施二氧化碳排放总量和强</w:t>
            </w:r>
            <w:r>
              <w:rPr>
                <w:sz w:val="21"/>
                <w:szCs w:val="21"/>
              </w:rPr>
              <w:t>度“双控”,从严从紧控制</w:t>
            </w:r>
          </w:p>
          <w:p>
            <w:pPr>
              <w:pStyle w:val="TableText"/>
              <w:ind w:left="1" w:firstLine="10"/>
              <w:spacing w:before="37" w:line="222" w:lineRule="auto"/>
              <w:rPr>
                <w:sz w:val="21"/>
                <w:szCs w:val="21"/>
              </w:rPr>
            </w:pPr>
            <w:r>
              <w:rPr>
                <w:sz w:val="21"/>
                <w:szCs w:val="21"/>
              </w:rPr>
              <w:t>炭消费，持续挖掘存量碳减排空间。有序推进风能、生物质等新能源开发，严控</w:t>
            </w:r>
            <w:r>
              <w:rPr>
                <w:sz w:val="21"/>
                <w:szCs w:val="21"/>
                <w:spacing w:val="1"/>
              </w:rPr>
              <w:t xml:space="preserve"> </w:t>
            </w:r>
            <w:r>
              <w:rPr>
                <w:sz w:val="21"/>
                <w:szCs w:val="21"/>
              </w:rPr>
              <w:t>以化石能源为燃料的火力发电项目，稳定并逐步降低火电运行小时</w:t>
            </w:r>
            <w:r>
              <w:rPr>
                <w:sz w:val="21"/>
                <w:szCs w:val="21"/>
                <w:spacing w:val="-1"/>
              </w:rPr>
              <w:t>数。</w:t>
            </w:r>
          </w:p>
          <w:p>
            <w:pPr>
              <w:pStyle w:val="TableText"/>
              <w:ind w:left="42"/>
              <w:spacing w:before="25" w:line="219" w:lineRule="auto"/>
              <w:rPr>
                <w:sz w:val="21"/>
                <w:szCs w:val="21"/>
              </w:rPr>
            </w:pPr>
            <w:r>
              <w:rPr>
                <w:sz w:val="21"/>
                <w:szCs w:val="21"/>
              </w:rPr>
              <w:t>实施水泥等行业产能减量和减量置换，提高钢铁行业能效煤效，推动水泥熟料</w:t>
            </w:r>
          </w:p>
          <w:p>
            <w:pPr>
              <w:pStyle w:val="TableText"/>
              <w:ind w:left="1" w:firstLine="10"/>
              <w:spacing w:before="32" w:line="237" w:lineRule="auto"/>
              <w:rPr>
                <w:sz w:val="21"/>
                <w:szCs w:val="21"/>
              </w:rPr>
            </w:pPr>
            <w:r>
              <w:rPr>
                <w:sz w:val="21"/>
                <w:szCs w:val="21"/>
              </w:rPr>
              <w:t>原料替代和能源梯级利用。推动生活清洁替代和电能替代，扩大可再生能源电力</w:t>
            </w:r>
            <w:r>
              <w:rPr>
                <w:sz w:val="21"/>
                <w:szCs w:val="21"/>
                <w:spacing w:val="1"/>
              </w:rPr>
              <w:t xml:space="preserve"> </w:t>
            </w:r>
            <w:r>
              <w:rPr>
                <w:sz w:val="21"/>
                <w:szCs w:val="21"/>
                <w:spacing w:val="-1"/>
              </w:rPr>
              <w:t>调入和消纳规模，提升工业用能终端电气化水平。</w:t>
            </w:r>
          </w:p>
          <w:p>
            <w:pPr>
              <w:pStyle w:val="TableText"/>
              <w:ind w:left="62"/>
              <w:spacing w:line="219" w:lineRule="auto"/>
              <w:rPr>
                <w:sz w:val="21"/>
                <w:szCs w:val="21"/>
              </w:rPr>
            </w:pPr>
            <w:r>
              <w:rPr>
                <w:sz w:val="21"/>
                <w:szCs w:val="21"/>
              </w:rPr>
              <w:t>国家大气污染防治重点区域(以下称重点区域)内新建耗煤项目还应严格按规</w:t>
            </w:r>
          </w:p>
          <w:p>
            <w:pPr>
              <w:pStyle w:val="TableText"/>
              <w:ind w:left="1" w:right="153"/>
              <w:spacing w:before="21" w:line="227" w:lineRule="auto"/>
              <w:rPr>
                <w:sz w:val="21"/>
                <w:szCs w:val="21"/>
              </w:rPr>
            </w:pPr>
            <w:r>
              <w:rPr>
                <w:sz w:val="21"/>
                <w:szCs w:val="21"/>
              </w:rPr>
              <w:t>定采取煤炭消费减量替代措施，不得使用高污染燃料作为煤炭减量替代措施。</w:t>
            </w:r>
            <w:r>
              <w:rPr>
                <w:sz w:val="21"/>
                <w:szCs w:val="21"/>
                <w:spacing w:val="4"/>
              </w:rPr>
              <w:t xml:space="preserve"> </w:t>
            </w:r>
            <w:r>
              <w:rPr>
                <w:sz w:val="21"/>
                <w:szCs w:val="21"/>
                <w:spacing w:val="2"/>
              </w:rPr>
              <w:t>实施煤炭消费总量控制：严格控制煤炭消费总量；严格控制新建、改建、扩建</w:t>
            </w:r>
            <w:r>
              <w:rPr>
                <w:sz w:val="21"/>
                <w:szCs w:val="21"/>
              </w:rPr>
              <w:t xml:space="preserve"> </w:t>
            </w:r>
            <w:r>
              <w:rPr>
                <w:sz w:val="21"/>
                <w:szCs w:val="21"/>
                <w:spacing w:val="-1"/>
              </w:rPr>
              <w:t>耗煤项目，新增耗煤项目实行煤炭消耗减量倍量替代</w:t>
            </w:r>
          </w:p>
        </w:tc>
        <w:tc>
          <w:tcPr>
            <w:tcW w:w="3178" w:type="dxa"/>
            <w:vAlign w:val="top"/>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17"/>
              <w:spacing w:before="68" w:line="244" w:lineRule="auto"/>
              <w:jc w:val="both"/>
              <w:rPr>
                <w:sz w:val="21"/>
                <w:szCs w:val="21"/>
              </w:rPr>
            </w:pPr>
            <w:r>
              <w:rPr>
                <w:sz w:val="21"/>
                <w:szCs w:val="21"/>
              </w:rPr>
              <w:t>本项目用水主要来源于市政给水管 </w:t>
            </w:r>
            <w:r>
              <w:rPr>
                <w:sz w:val="21"/>
                <w:szCs w:val="21"/>
                <w:spacing w:val="-15"/>
              </w:rPr>
              <w:t>煤</w:t>
            </w:r>
            <w:r>
              <w:rPr>
                <w:sz w:val="21"/>
                <w:szCs w:val="21"/>
                <w:spacing w:val="-14"/>
              </w:rPr>
              <w:t>网，不取用地下水。主要能源为</w:t>
            </w:r>
            <w:r>
              <w:rPr>
                <w:sz w:val="21"/>
                <w:szCs w:val="21"/>
                <w:spacing w:val="-13"/>
              </w:rPr>
              <w:t>电</w:t>
            </w:r>
            <w:r>
              <w:rPr>
                <w:sz w:val="21"/>
                <w:szCs w:val="21"/>
                <w:spacing w:val="13"/>
              </w:rPr>
              <w:t xml:space="preserve"> </w:t>
            </w:r>
            <w:r>
              <w:rPr>
                <w:sz w:val="21"/>
                <w:szCs w:val="21"/>
                <w:spacing w:val="-2"/>
              </w:rPr>
              <w:t>能、天然气，不涉及煤炭的使用，</w:t>
            </w:r>
            <w:r>
              <w:rPr>
                <w:sz w:val="21"/>
                <w:szCs w:val="21"/>
                <w:spacing w:val="13"/>
              </w:rPr>
              <w:t xml:space="preserve"> </w:t>
            </w:r>
            <w:r>
              <w:rPr>
                <w:sz w:val="21"/>
                <w:szCs w:val="21"/>
                <w:spacing w:val="-1"/>
              </w:rPr>
              <w:t>不涉及高污染燃料燃用设施。</w:t>
            </w:r>
          </w:p>
        </w:tc>
        <w:tc>
          <w:tcPr>
            <w:tcW w:w="644"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109"/>
              <w:spacing w:before="68" w:line="219" w:lineRule="auto"/>
              <w:rPr>
                <w:sz w:val="21"/>
                <w:szCs w:val="21"/>
              </w:rPr>
            </w:pPr>
            <w:r>
              <w:rPr>
                <w:sz w:val="21"/>
                <w:szCs w:val="21"/>
                <w:spacing w:val="-3"/>
              </w:rPr>
              <w:t>符合</w:t>
            </w:r>
          </w:p>
        </w:tc>
      </w:tr>
    </w:tbl>
    <w:p>
      <w:pPr>
        <w:pStyle w:val="BodyText"/>
        <w:rPr/>
      </w:pPr>
      <w:r/>
    </w:p>
    <w:p>
      <w:pPr>
        <w:sectPr>
          <w:footerReference w:type="default" r:id="rId106"/>
          <w:pgSz w:w="16840" w:h="11910"/>
          <w:pgMar w:top="1180" w:right="1715" w:bottom="961" w:left="1674" w:header="872" w:footer="702" w:gutter="0"/>
        </w:sectPr>
        <w:rPr/>
      </w:pPr>
    </w:p>
    <w:p>
      <w:pPr>
        <w:spacing w:before="36"/>
        <w:rPr/>
      </w:pPr>
      <w:r/>
    </w:p>
    <w:tbl>
      <w:tblPr>
        <w:tblStyle w:val="TableNormal"/>
        <w:tblW w:w="1343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84"/>
        <w:gridCol w:w="290"/>
        <w:gridCol w:w="869"/>
        <w:gridCol w:w="7365"/>
        <w:gridCol w:w="3177"/>
        <w:gridCol w:w="645"/>
      </w:tblGrid>
      <w:tr>
        <w:trPr>
          <w:trHeight w:val="265" w:hRule="atLeast"/>
        </w:trPr>
        <w:tc>
          <w:tcPr>
            <w:shd w:val="clear" w:fill="BDBDBD"/>
            <w:tcW w:w="9608" w:type="dxa"/>
            <w:vAlign w:val="top"/>
            <w:gridSpan w:val="4"/>
          </w:tcPr>
          <w:p>
            <w:pPr>
              <w:pStyle w:val="TableText"/>
              <w:ind w:left="3643"/>
              <w:spacing w:before="30" w:line="197" w:lineRule="auto"/>
              <w:rPr>
                <w:sz w:val="21"/>
                <w:szCs w:val="21"/>
              </w:rPr>
            </w:pPr>
            <w:r>
              <w:rPr>
                <w:sz w:val="21"/>
                <w:szCs w:val="21"/>
                <w:b/>
                <w:bCs/>
                <w:spacing w:val="7"/>
              </w:rPr>
              <w:t>“三线一单”的具体要求</w:t>
            </w:r>
          </w:p>
        </w:tc>
        <w:tc>
          <w:tcPr>
            <w:shd w:val="clear" w:fill="BDBDBD"/>
            <w:tcW w:w="3177" w:type="dxa"/>
            <w:vAlign w:val="top"/>
            <w:vMerge w:val="restart"/>
            <w:tcBorders>
              <w:bottom w:val="nil"/>
            </w:tcBorders>
          </w:tcPr>
          <w:p>
            <w:pPr>
              <w:pStyle w:val="TableText"/>
              <w:ind w:left="749"/>
              <w:spacing w:before="169" w:line="219" w:lineRule="auto"/>
              <w:rPr>
                <w:sz w:val="21"/>
                <w:szCs w:val="21"/>
              </w:rPr>
            </w:pPr>
            <w:r>
              <w:rPr>
                <w:sz w:val="21"/>
                <w:szCs w:val="21"/>
                <w:b/>
                <w:bCs/>
                <w:spacing w:val="-1"/>
              </w:rPr>
              <w:t>项目对应情况介绍</w:t>
            </w:r>
          </w:p>
        </w:tc>
        <w:tc>
          <w:tcPr>
            <w:shd w:val="clear" w:fill="BDBDBD"/>
            <w:tcW w:w="645" w:type="dxa"/>
            <w:vAlign w:val="top"/>
            <w:vMerge w:val="restart"/>
            <w:tcBorders>
              <w:bottom w:val="nil"/>
            </w:tcBorders>
          </w:tcPr>
          <w:p>
            <w:pPr>
              <w:pStyle w:val="TableText"/>
              <w:ind w:left="111" w:hanging="88"/>
              <w:spacing w:before="20" w:line="230" w:lineRule="auto"/>
              <w:rPr>
                <w:sz w:val="21"/>
                <w:szCs w:val="21"/>
              </w:rPr>
            </w:pPr>
            <w:r>
              <w:rPr>
                <w:sz w:val="21"/>
                <w:szCs w:val="21"/>
                <w:b/>
                <w:bCs/>
                <w:spacing w:val="-9"/>
              </w:rPr>
              <w:t>符合性</w:t>
            </w:r>
            <w:r>
              <w:rPr>
                <w:sz w:val="21"/>
                <w:szCs w:val="21"/>
                <w:spacing w:val="1"/>
              </w:rPr>
              <w:t xml:space="preserve"> </w:t>
            </w:r>
            <w:r>
              <w:rPr>
                <w:sz w:val="21"/>
                <w:szCs w:val="21"/>
                <w:b/>
                <w:bCs/>
                <w:spacing w:val="-7"/>
              </w:rPr>
              <w:t>分析</w:t>
            </w:r>
          </w:p>
        </w:tc>
      </w:tr>
      <w:tr>
        <w:trPr>
          <w:trHeight w:val="279" w:hRule="atLeast"/>
        </w:trPr>
        <w:tc>
          <w:tcPr>
            <w:shd w:val="clear" w:fill="BDBDBD"/>
            <w:tcW w:w="2243" w:type="dxa"/>
            <w:vAlign w:val="top"/>
            <w:gridSpan w:val="3"/>
          </w:tcPr>
          <w:p>
            <w:pPr>
              <w:pStyle w:val="TableText"/>
              <w:ind w:left="898"/>
              <w:spacing w:before="35" w:line="205" w:lineRule="auto"/>
              <w:rPr>
                <w:sz w:val="21"/>
                <w:szCs w:val="21"/>
              </w:rPr>
            </w:pPr>
            <w:r>
              <w:rPr>
                <w:sz w:val="21"/>
                <w:szCs w:val="21"/>
                <w:b/>
                <w:bCs/>
                <w:spacing w:val="-5"/>
              </w:rPr>
              <w:t>类别</w:t>
            </w:r>
          </w:p>
        </w:tc>
        <w:tc>
          <w:tcPr>
            <w:shd w:val="clear" w:fill="BDBDBD"/>
            <w:tcW w:w="7365" w:type="dxa"/>
            <w:vAlign w:val="top"/>
          </w:tcPr>
          <w:p>
            <w:pPr>
              <w:pStyle w:val="TableText"/>
              <w:ind w:left="3055"/>
              <w:spacing w:before="35" w:line="205" w:lineRule="auto"/>
              <w:rPr>
                <w:sz w:val="21"/>
                <w:szCs w:val="21"/>
              </w:rPr>
            </w:pPr>
            <w:r>
              <w:rPr>
                <w:sz w:val="21"/>
                <w:szCs w:val="21"/>
                <w:b/>
                <w:bCs/>
                <w:spacing w:val="-4"/>
              </w:rPr>
              <w:t>对应管控要求</w:t>
            </w:r>
          </w:p>
        </w:tc>
        <w:tc>
          <w:tcPr>
            <w:tcW w:w="3177" w:type="dxa"/>
            <w:vAlign w:val="top"/>
            <w:vMerge w:val="continue"/>
            <w:tcBorders>
              <w:top w:val="nil"/>
            </w:tcBorders>
          </w:tcPr>
          <w:p>
            <w:pPr>
              <w:rPr>
                <w:rFonts w:ascii="Arial"/>
                <w:sz w:val="21"/>
              </w:rPr>
            </w:pPr>
            <w:r/>
          </w:p>
        </w:tc>
        <w:tc>
          <w:tcPr>
            <w:tcW w:w="645" w:type="dxa"/>
            <w:vAlign w:val="top"/>
            <w:vMerge w:val="continue"/>
            <w:tcBorders>
              <w:top w:val="nil"/>
            </w:tcBorders>
          </w:tcPr>
          <w:p>
            <w:pPr>
              <w:rPr>
                <w:rFonts w:ascii="Arial"/>
                <w:sz w:val="21"/>
              </w:rPr>
            </w:pPr>
            <w:r/>
          </w:p>
        </w:tc>
      </w:tr>
      <w:tr>
        <w:trPr>
          <w:trHeight w:val="1908" w:hRule="atLeast"/>
        </w:trPr>
        <w:tc>
          <w:tcPr>
            <w:tcW w:w="1084" w:type="dxa"/>
            <w:vAlign w:val="top"/>
            <w:vMerge w:val="restart"/>
            <w:tcBorders>
              <w:bottom w:val="nil"/>
            </w:tcBorders>
          </w:tcPr>
          <w:p>
            <w:pPr>
              <w:rPr>
                <w:rFonts w:ascii="Arial"/>
                <w:sz w:val="21"/>
              </w:rPr>
            </w:pPr>
            <w:r/>
          </w:p>
        </w:tc>
        <w:tc>
          <w:tcPr>
            <w:tcW w:w="290" w:type="dxa"/>
            <w:vAlign w:val="top"/>
          </w:tcPr>
          <w:p>
            <w:pPr>
              <w:rPr>
                <w:rFonts w:ascii="Arial"/>
                <w:sz w:val="21"/>
              </w:rPr>
            </w:pPr>
            <w:r/>
          </w:p>
        </w:tc>
        <w:tc>
          <w:tcPr>
            <w:tcW w:w="869" w:type="dxa"/>
            <w:vAlign w:val="top"/>
          </w:tcPr>
          <w:p>
            <w:pPr>
              <w:rPr>
                <w:rFonts w:ascii="Arial"/>
                <w:sz w:val="21"/>
              </w:rPr>
            </w:pPr>
            <w:r/>
          </w:p>
        </w:tc>
        <w:tc>
          <w:tcPr>
            <w:tcW w:w="7365" w:type="dxa"/>
            <w:vAlign w:val="top"/>
          </w:tcPr>
          <w:p>
            <w:pPr>
              <w:pStyle w:val="TableText"/>
              <w:ind w:left="15"/>
              <w:spacing w:before="36" w:line="219" w:lineRule="auto"/>
              <w:rPr>
                <w:sz w:val="21"/>
                <w:szCs w:val="21"/>
              </w:rPr>
            </w:pPr>
            <w:r>
              <w:rPr>
                <w:sz w:val="21"/>
                <w:szCs w:val="21"/>
                <w:b/>
                <w:bCs/>
                <w:spacing w:val="-4"/>
              </w:rPr>
              <w:t>禁燃区要求</w:t>
            </w:r>
          </w:p>
          <w:p>
            <w:pPr>
              <w:pStyle w:val="TableText"/>
              <w:ind w:left="12"/>
              <w:spacing w:before="15"/>
              <w:jc w:val="both"/>
              <w:rPr>
                <w:sz w:val="21"/>
                <w:szCs w:val="21"/>
              </w:rPr>
            </w:pPr>
            <w:r>
              <w:rPr>
                <w:sz w:val="21"/>
                <w:szCs w:val="21"/>
                <w:spacing w:val="-1"/>
              </w:rPr>
              <w:t>禁燃区内任何单位不得新建、改建、扩建任何高污染燃料燃用设施，不得将其他</w:t>
            </w:r>
            <w:r>
              <w:rPr>
                <w:sz w:val="21"/>
                <w:szCs w:val="21"/>
                <w:spacing w:val="4"/>
              </w:rPr>
              <w:t xml:space="preserve"> </w:t>
            </w:r>
            <w:r>
              <w:rPr>
                <w:sz w:val="21"/>
                <w:szCs w:val="21"/>
                <w:spacing w:val="-1"/>
              </w:rPr>
              <w:t>燃料燃用设施改造为高污染燃料燃用设施。高污染燃料销售单位应按照要求逐步</w:t>
            </w:r>
            <w:r>
              <w:rPr>
                <w:sz w:val="21"/>
                <w:szCs w:val="21"/>
                <w:spacing w:val="4"/>
              </w:rPr>
              <w:t xml:space="preserve"> </w:t>
            </w:r>
            <w:r>
              <w:rPr>
                <w:sz w:val="21"/>
                <w:szCs w:val="21"/>
                <w:spacing w:val="-1"/>
              </w:rPr>
              <w:t>取消禁燃区内的销售网点。对于现有的高污染燃料燃用设施，有关单位和个人应</w:t>
            </w:r>
            <w:r>
              <w:rPr>
                <w:sz w:val="21"/>
                <w:szCs w:val="21"/>
                <w:spacing w:val="2"/>
              </w:rPr>
              <w:t xml:space="preserve"> </w:t>
            </w:r>
            <w:r>
              <w:rPr>
                <w:sz w:val="21"/>
                <w:szCs w:val="21"/>
              </w:rPr>
              <w:t>当按照规定予以拆除或者改用电、天然气、生物质成型燃料</w:t>
            </w:r>
            <w:r>
              <w:rPr>
                <w:sz w:val="21"/>
                <w:szCs w:val="21"/>
                <w:spacing w:val="-1"/>
              </w:rPr>
              <w:t>等清洁能源。对逾期</w:t>
            </w:r>
            <w:r>
              <w:rPr>
                <w:sz w:val="21"/>
                <w:szCs w:val="21"/>
              </w:rPr>
              <w:t xml:space="preserve"> </w:t>
            </w:r>
            <w:r>
              <w:rPr>
                <w:sz w:val="21"/>
                <w:szCs w:val="21"/>
                <w:spacing w:val="-1"/>
              </w:rPr>
              <w:t>继续使用高污染燃料的，各县市区政府、各园区管委会要依法依规查处。</w:t>
            </w:r>
          </w:p>
          <w:p>
            <w:pPr>
              <w:pStyle w:val="TableText"/>
              <w:ind w:left="15"/>
              <w:spacing w:line="203" w:lineRule="auto"/>
              <w:rPr>
                <w:sz w:val="21"/>
                <w:szCs w:val="21"/>
              </w:rPr>
            </w:pPr>
            <w:r>
              <w:rPr>
                <w:sz w:val="21"/>
                <w:szCs w:val="21"/>
                <w:b/>
                <w:bCs/>
                <w:spacing w:val="-4"/>
              </w:rPr>
              <w:t>其他资源利用效率要求</w:t>
            </w:r>
          </w:p>
        </w:tc>
        <w:tc>
          <w:tcPr>
            <w:tcW w:w="3177" w:type="dxa"/>
            <w:vAlign w:val="top"/>
          </w:tcPr>
          <w:p>
            <w:pPr>
              <w:rPr>
                <w:rFonts w:ascii="Arial"/>
                <w:sz w:val="21"/>
              </w:rPr>
            </w:pPr>
            <w:r/>
          </w:p>
        </w:tc>
        <w:tc>
          <w:tcPr>
            <w:tcW w:w="645" w:type="dxa"/>
            <w:vAlign w:val="top"/>
          </w:tcPr>
          <w:p>
            <w:pPr>
              <w:rPr>
                <w:rFonts w:ascii="Arial"/>
                <w:sz w:val="21"/>
              </w:rPr>
            </w:pPr>
            <w:r/>
          </w:p>
        </w:tc>
      </w:tr>
      <w:tr>
        <w:trPr>
          <w:trHeight w:val="3256" w:hRule="atLeast"/>
        </w:trPr>
        <w:tc>
          <w:tcPr>
            <w:tcW w:w="1084" w:type="dxa"/>
            <w:vAlign w:val="top"/>
            <w:vMerge w:val="continue"/>
            <w:tcBorders>
              <w:top w:val="nil"/>
              <w:bottom w:val="nil"/>
            </w:tcBorders>
          </w:tcPr>
          <w:p>
            <w:pPr>
              <w:rPr>
                <w:rFonts w:ascii="Arial"/>
                <w:sz w:val="21"/>
              </w:rPr>
            </w:pPr>
            <w:r/>
          </w:p>
        </w:tc>
        <w:tc>
          <w:tcPr>
            <w:tcW w:w="290" w:type="dxa"/>
            <w:vAlign w:val="top"/>
            <w:vMerge w:val="restart"/>
            <w:textDirection w:val="tbRlV"/>
            <w:tcBorders>
              <w:bottom w:val="nil"/>
            </w:tcBorders>
          </w:tcPr>
          <w:p>
            <w:pPr>
              <w:pStyle w:val="TableText"/>
              <w:ind w:left="1911"/>
              <w:spacing w:before="19" w:line="201" w:lineRule="auto"/>
              <w:rPr>
                <w:sz w:val="26"/>
                <w:szCs w:val="26"/>
              </w:rPr>
            </w:pPr>
            <w:r>
              <w:rPr>
                <w:sz w:val="26"/>
                <w:szCs w:val="26"/>
                <w:color w:val="404050"/>
                <w:spacing w:val="9"/>
              </w:rPr>
              <w:t>单元级清单</w:t>
            </w:r>
            <w:r>
              <w:rPr>
                <w:sz w:val="26"/>
                <w:szCs w:val="26"/>
                <w:spacing w:val="9"/>
              </w:rPr>
              <w:t>管控要求</w:t>
            </w:r>
          </w:p>
        </w:tc>
        <w:tc>
          <w:tcPr>
            <w:tcW w:w="869" w:type="dxa"/>
            <w:vAlign w:val="top"/>
          </w:tcPr>
          <w:p>
            <w:pPr>
              <w:spacing w:line="266" w:lineRule="auto"/>
              <w:rPr>
                <w:rFonts w:ascii="Arial"/>
                <w:sz w:val="21"/>
              </w:rPr>
            </w:pPr>
            <w:r/>
          </w:p>
          <w:p>
            <w:pPr>
              <w:spacing w:line="266"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pStyle w:val="TableText"/>
              <w:spacing w:before="69" w:line="212" w:lineRule="auto"/>
              <w:jc w:val="right"/>
              <w:rPr>
                <w:sz w:val="21"/>
                <w:szCs w:val="21"/>
              </w:rPr>
            </w:pPr>
            <w:r>
              <w:rPr>
                <w:sz w:val="21"/>
                <w:szCs w:val="21"/>
                <w:spacing w:val="4"/>
              </w:rPr>
              <w:t>空间布局</w:t>
            </w:r>
          </w:p>
          <w:p>
            <w:pPr>
              <w:pStyle w:val="TableText"/>
              <w:ind w:left="211"/>
              <w:spacing w:line="219" w:lineRule="auto"/>
              <w:rPr>
                <w:sz w:val="21"/>
                <w:szCs w:val="21"/>
              </w:rPr>
            </w:pPr>
            <w:r>
              <w:rPr>
                <w:sz w:val="21"/>
                <w:szCs w:val="21"/>
                <w:spacing w:val="5"/>
              </w:rPr>
              <w:t>约束</w:t>
            </w:r>
          </w:p>
        </w:tc>
        <w:tc>
          <w:tcPr>
            <w:tcW w:w="7365" w:type="dxa"/>
            <w:vAlign w:val="top"/>
          </w:tcPr>
          <w:p>
            <w:pPr>
              <w:pStyle w:val="TableText"/>
              <w:ind w:left="15"/>
              <w:spacing w:before="28" w:line="219" w:lineRule="auto"/>
              <w:rPr>
                <w:sz w:val="21"/>
                <w:szCs w:val="21"/>
              </w:rPr>
            </w:pPr>
            <w:r>
              <w:rPr>
                <w:sz w:val="21"/>
                <w:szCs w:val="21"/>
                <w:b/>
                <w:bCs/>
                <w:spacing w:val="-3"/>
              </w:rPr>
              <w:t>禁止开发建设活动的要求</w:t>
            </w:r>
          </w:p>
          <w:p>
            <w:pPr>
              <w:pStyle w:val="TableText"/>
              <w:ind w:left="12"/>
              <w:spacing w:before="14" w:line="244" w:lineRule="auto"/>
              <w:jc w:val="both"/>
              <w:rPr>
                <w:sz w:val="21"/>
                <w:szCs w:val="21"/>
              </w:rPr>
            </w:pPr>
            <w:r>
              <w:rPr>
                <w:sz w:val="21"/>
                <w:szCs w:val="21"/>
              </w:rPr>
              <w:t>禁止引入不符合国家现行产业政策的相关项目；禁止技术</w:t>
            </w:r>
            <w:r>
              <w:rPr>
                <w:sz w:val="21"/>
                <w:szCs w:val="21"/>
                <w:spacing w:val="-1"/>
              </w:rPr>
              <w:t>落后，项目清洁生产水</w:t>
            </w:r>
            <w:r>
              <w:rPr>
                <w:sz w:val="21"/>
                <w:szCs w:val="21"/>
              </w:rPr>
              <w:t xml:space="preserve"> </w:t>
            </w:r>
            <w:r>
              <w:rPr>
                <w:sz w:val="21"/>
                <w:szCs w:val="21"/>
              </w:rPr>
              <w:t>平不能达到行业清洁生产标准二级标准要求或低于全国同类</w:t>
            </w:r>
            <w:r>
              <w:rPr>
                <w:sz w:val="21"/>
                <w:szCs w:val="21"/>
                <w:spacing w:val="-1"/>
              </w:rPr>
              <w:t>企业平均清洁生产水</w:t>
            </w:r>
            <w:r>
              <w:rPr>
                <w:sz w:val="21"/>
                <w:szCs w:val="21"/>
              </w:rPr>
              <w:t xml:space="preserve"> </w:t>
            </w:r>
            <w:r>
              <w:rPr>
                <w:sz w:val="21"/>
                <w:szCs w:val="21"/>
              </w:rPr>
              <w:t>平的项目；禁止有色金属冶炼加工业、黑色金属冶炼加工业</w:t>
            </w:r>
            <w:r>
              <w:rPr>
                <w:sz w:val="21"/>
                <w:szCs w:val="21"/>
                <w:spacing w:val="-1"/>
              </w:rPr>
              <w:t>等污染严重的企业其</w:t>
            </w:r>
            <w:r>
              <w:rPr>
                <w:sz w:val="21"/>
                <w:szCs w:val="21"/>
              </w:rPr>
              <w:t xml:space="preserve"> </w:t>
            </w:r>
            <w:r>
              <w:rPr>
                <w:sz w:val="21"/>
                <w:szCs w:val="21"/>
              </w:rPr>
              <w:t>它同工业重点管控单元普适性管控要求</w:t>
            </w:r>
          </w:p>
          <w:p>
            <w:pPr>
              <w:pStyle w:val="TableText"/>
              <w:ind w:left="15"/>
              <w:spacing w:before="6" w:line="220" w:lineRule="auto"/>
              <w:rPr>
                <w:sz w:val="21"/>
                <w:szCs w:val="21"/>
              </w:rPr>
            </w:pPr>
            <w:r>
              <w:rPr>
                <w:sz w:val="21"/>
                <w:szCs w:val="21"/>
                <w:b/>
                <w:bCs/>
                <w:spacing w:val="-2"/>
              </w:rPr>
              <w:t>限制开发建设活动的要求</w:t>
            </w:r>
          </w:p>
          <w:p>
            <w:pPr>
              <w:pStyle w:val="TableText"/>
              <w:ind w:left="12"/>
              <w:spacing w:before="12" w:line="219" w:lineRule="auto"/>
              <w:rPr>
                <w:sz w:val="21"/>
                <w:szCs w:val="21"/>
              </w:rPr>
            </w:pPr>
            <w:r>
              <w:rPr>
                <w:sz w:val="21"/>
                <w:szCs w:val="21"/>
              </w:rPr>
              <w:t>同工业重点管控单元普适性管控要求</w:t>
            </w:r>
          </w:p>
          <w:p>
            <w:pPr>
              <w:pStyle w:val="TableText"/>
              <w:ind w:left="15"/>
              <w:spacing w:before="18" w:line="219" w:lineRule="auto"/>
              <w:rPr>
                <w:sz w:val="21"/>
                <w:szCs w:val="21"/>
              </w:rPr>
            </w:pPr>
            <w:r>
              <w:rPr>
                <w:sz w:val="21"/>
                <w:szCs w:val="21"/>
                <w:b/>
                <w:bCs/>
                <w:spacing w:val="-4"/>
              </w:rPr>
              <w:t>允许开发建设活动的要求</w:t>
            </w:r>
          </w:p>
          <w:p>
            <w:pPr>
              <w:pStyle w:val="TableText"/>
              <w:ind w:left="15"/>
              <w:spacing w:before="19" w:line="219" w:lineRule="auto"/>
              <w:rPr>
                <w:sz w:val="21"/>
                <w:szCs w:val="21"/>
              </w:rPr>
            </w:pPr>
            <w:r>
              <w:rPr>
                <w:sz w:val="21"/>
                <w:szCs w:val="21"/>
                <w:b/>
                <w:bCs/>
                <w:spacing w:val="-3"/>
              </w:rPr>
              <w:t>不符合空间布局要求活动的退出要求</w:t>
            </w:r>
          </w:p>
          <w:p>
            <w:pPr>
              <w:pStyle w:val="TableText"/>
              <w:ind w:left="12"/>
              <w:spacing w:before="15"/>
              <w:rPr>
                <w:sz w:val="21"/>
                <w:szCs w:val="21"/>
              </w:rPr>
            </w:pPr>
            <w:r>
              <w:rPr>
                <w:sz w:val="21"/>
                <w:szCs w:val="21"/>
              </w:rPr>
              <w:t>仓储用地全部沿永安公路沿线布局，使之成为工业区与城市</w:t>
            </w:r>
            <w:r>
              <w:rPr>
                <w:sz w:val="21"/>
                <w:szCs w:val="21"/>
                <w:spacing w:val="-1"/>
              </w:rPr>
              <w:t>区隔离带；其他同工</w:t>
            </w:r>
            <w:r>
              <w:rPr>
                <w:sz w:val="21"/>
                <w:szCs w:val="21"/>
              </w:rPr>
              <w:t xml:space="preserve"> </w:t>
            </w:r>
            <w:r>
              <w:rPr>
                <w:sz w:val="21"/>
                <w:szCs w:val="21"/>
                <w:spacing w:val="-1"/>
              </w:rPr>
              <w:t>业重点管控单元普适性管控要求</w:t>
            </w:r>
          </w:p>
          <w:p>
            <w:pPr>
              <w:pStyle w:val="TableText"/>
              <w:ind w:left="15"/>
              <w:spacing w:before="1" w:line="200" w:lineRule="auto"/>
              <w:rPr>
                <w:sz w:val="21"/>
                <w:szCs w:val="21"/>
              </w:rPr>
            </w:pPr>
            <w:r>
              <w:rPr>
                <w:sz w:val="21"/>
                <w:szCs w:val="21"/>
                <w:b/>
                <w:bCs/>
                <w:spacing w:val="-4"/>
              </w:rPr>
              <w:t>其他空间布局约束要求</w:t>
            </w:r>
          </w:p>
        </w:tc>
        <w:tc>
          <w:tcPr>
            <w:tcW w:w="3177" w:type="dxa"/>
            <w:vAlign w:val="top"/>
          </w:tcPr>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7"/>
              <w:spacing w:before="69" w:line="238" w:lineRule="auto"/>
              <w:jc w:val="both"/>
              <w:rPr>
                <w:sz w:val="21"/>
                <w:szCs w:val="21"/>
              </w:rPr>
            </w:pPr>
            <w:r>
              <w:rPr>
                <w:sz w:val="21"/>
                <w:szCs w:val="21"/>
                <w:spacing w:val="-2"/>
              </w:rPr>
              <w:t>本项目位于绵阳安州区安州工业园</w:t>
            </w:r>
            <w:r>
              <w:rPr>
                <w:sz w:val="21"/>
                <w:szCs w:val="21"/>
                <w:spacing w:val="3"/>
              </w:rPr>
              <w:t xml:space="preserve"> </w:t>
            </w:r>
            <w:r>
              <w:rPr>
                <w:sz w:val="21"/>
                <w:szCs w:val="21"/>
                <w:spacing w:val="-3"/>
              </w:rPr>
              <w:t>区内，企业严格按照行业清洁生产</w:t>
            </w:r>
            <w:r>
              <w:rPr>
                <w:sz w:val="21"/>
                <w:szCs w:val="21"/>
                <w:spacing w:val="12"/>
              </w:rPr>
              <w:t xml:space="preserve"> </w:t>
            </w:r>
            <w:r>
              <w:rPr>
                <w:sz w:val="21"/>
                <w:szCs w:val="21"/>
                <w:spacing w:val="-4"/>
              </w:rPr>
              <w:t>标准要求进行建设及运行，产业为</w:t>
            </w:r>
            <w:r>
              <w:rPr>
                <w:sz w:val="21"/>
                <w:szCs w:val="21"/>
                <w:spacing w:val="5"/>
              </w:rPr>
              <w:t xml:space="preserve"> </w:t>
            </w:r>
            <w:r>
              <w:rPr>
                <w:sz w:val="21"/>
                <w:szCs w:val="21"/>
                <w:spacing w:val="-1"/>
              </w:rPr>
              <w:t>牲畜屠宰行业，不属于园区禁止引</w:t>
            </w:r>
            <w:r>
              <w:rPr>
                <w:sz w:val="21"/>
                <w:szCs w:val="21"/>
                <w:spacing w:val="5"/>
              </w:rPr>
              <w:t xml:space="preserve"> </w:t>
            </w:r>
            <w:r>
              <w:rPr>
                <w:sz w:val="21"/>
                <w:szCs w:val="21"/>
                <w:spacing w:val="-4"/>
              </w:rPr>
              <w:t>入的产业。其余管控要求符合情况</w:t>
            </w:r>
            <w:r>
              <w:rPr>
                <w:sz w:val="21"/>
                <w:szCs w:val="21"/>
                <w:spacing w:val="7"/>
              </w:rPr>
              <w:t xml:space="preserve"> </w:t>
            </w:r>
            <w:r>
              <w:rPr>
                <w:sz w:val="21"/>
                <w:szCs w:val="21"/>
              </w:rPr>
              <w:t>同普适性清单管控要求相关内容。</w:t>
            </w:r>
          </w:p>
        </w:tc>
        <w:tc>
          <w:tcPr>
            <w:tcW w:w="645"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110"/>
              <w:spacing w:before="68" w:line="219" w:lineRule="auto"/>
              <w:rPr>
                <w:sz w:val="21"/>
                <w:szCs w:val="21"/>
              </w:rPr>
            </w:pPr>
            <w:r>
              <w:rPr>
                <w:sz w:val="21"/>
                <w:szCs w:val="21"/>
                <w:spacing w:val="-3"/>
              </w:rPr>
              <w:t>符合</w:t>
            </w:r>
          </w:p>
        </w:tc>
      </w:tr>
      <w:tr>
        <w:trPr>
          <w:trHeight w:val="2991" w:hRule="atLeast"/>
        </w:trPr>
        <w:tc>
          <w:tcPr>
            <w:tcW w:w="1084" w:type="dxa"/>
            <w:vAlign w:val="top"/>
            <w:vMerge w:val="continue"/>
            <w:tcBorders>
              <w:top w:val="nil"/>
            </w:tcBorders>
          </w:tcPr>
          <w:p>
            <w:pPr>
              <w:rPr>
                <w:rFonts w:ascii="Arial"/>
                <w:sz w:val="21"/>
              </w:rPr>
            </w:pPr>
            <w:r/>
          </w:p>
        </w:tc>
        <w:tc>
          <w:tcPr>
            <w:tcW w:w="290" w:type="dxa"/>
            <w:vAlign w:val="top"/>
            <w:vMerge w:val="continue"/>
            <w:textDirection w:val="tbRlV"/>
            <w:tcBorders>
              <w:top w:val="nil"/>
            </w:tcBorders>
          </w:tcPr>
          <w:p>
            <w:pPr>
              <w:rPr>
                <w:rFonts w:ascii="Arial"/>
                <w:sz w:val="21"/>
              </w:rPr>
            </w:pPr>
            <w:r/>
          </w:p>
        </w:tc>
        <w:tc>
          <w:tcPr>
            <w:tcW w:w="869" w:type="dxa"/>
            <w:vAlign w:val="top"/>
          </w:tcPr>
          <w:p>
            <w:pPr>
              <w:spacing w:line="292" w:lineRule="auto"/>
              <w:rPr>
                <w:rFonts w:ascii="Arial"/>
                <w:sz w:val="21"/>
              </w:rPr>
            </w:pPr>
            <w:r/>
          </w:p>
          <w:p>
            <w:pPr>
              <w:spacing w:line="292" w:lineRule="auto"/>
              <w:rPr>
                <w:rFonts w:ascii="Arial"/>
                <w:sz w:val="21"/>
              </w:rPr>
            </w:pPr>
            <w:r/>
          </w:p>
          <w:p>
            <w:pPr>
              <w:spacing w:line="292" w:lineRule="auto"/>
              <w:rPr>
                <w:rFonts w:ascii="Arial"/>
                <w:sz w:val="21"/>
              </w:rPr>
            </w:pPr>
            <w:r/>
          </w:p>
          <w:p>
            <w:pPr>
              <w:spacing w:line="293" w:lineRule="auto"/>
              <w:rPr>
                <w:rFonts w:ascii="Arial"/>
                <w:sz w:val="21"/>
              </w:rPr>
            </w:pPr>
            <w:r/>
          </w:p>
          <w:p>
            <w:pPr>
              <w:pStyle w:val="TableText"/>
              <w:ind w:left="110" w:right="27" w:hanging="109"/>
              <w:spacing w:before="68" w:line="248" w:lineRule="auto"/>
              <w:rPr>
                <w:sz w:val="21"/>
                <w:szCs w:val="21"/>
              </w:rPr>
            </w:pPr>
            <w:r>
              <w:rPr>
                <w:sz w:val="21"/>
                <w:szCs w:val="21"/>
                <w:spacing w:val="-3"/>
              </w:rPr>
              <w:t>污染物排</w:t>
            </w:r>
            <w:r>
              <w:rPr>
                <w:sz w:val="21"/>
                <w:szCs w:val="21"/>
                <w:spacing w:val="1"/>
              </w:rPr>
              <w:t xml:space="preserve"> </w:t>
            </w:r>
            <w:r>
              <w:rPr>
                <w:sz w:val="21"/>
                <w:szCs w:val="21"/>
                <w:spacing w:val="-2"/>
              </w:rPr>
              <w:t>放管控</w:t>
            </w:r>
          </w:p>
        </w:tc>
        <w:tc>
          <w:tcPr>
            <w:tcW w:w="7365" w:type="dxa"/>
            <w:vAlign w:val="top"/>
          </w:tcPr>
          <w:p>
            <w:pPr>
              <w:pStyle w:val="TableText"/>
              <w:ind w:left="15"/>
              <w:spacing w:before="22" w:line="219" w:lineRule="auto"/>
              <w:rPr>
                <w:sz w:val="21"/>
                <w:szCs w:val="21"/>
              </w:rPr>
            </w:pPr>
            <w:r>
              <w:rPr>
                <w:sz w:val="21"/>
                <w:szCs w:val="21"/>
                <w:b/>
                <w:bCs/>
                <w:spacing w:val="-4"/>
              </w:rPr>
              <w:t>现有源提标升级改造</w:t>
            </w:r>
          </w:p>
          <w:p>
            <w:pPr>
              <w:pStyle w:val="TableText"/>
              <w:ind w:left="12" w:right="3972"/>
              <w:spacing w:before="24" w:line="239" w:lineRule="auto"/>
              <w:rPr>
                <w:sz w:val="21"/>
                <w:szCs w:val="21"/>
              </w:rPr>
            </w:pPr>
            <w:r>
              <w:rPr>
                <w:sz w:val="21"/>
                <w:szCs w:val="21"/>
              </w:rPr>
              <w:t>同工业重点管控单元普适性管控要求</w:t>
            </w:r>
            <w:r>
              <w:rPr>
                <w:sz w:val="21"/>
                <w:szCs w:val="21"/>
                <w:spacing w:val="8"/>
              </w:rPr>
              <w:t xml:space="preserve"> </w:t>
            </w:r>
            <w:r>
              <w:rPr>
                <w:sz w:val="21"/>
                <w:szCs w:val="21"/>
                <w:spacing w:val="-1"/>
              </w:rPr>
              <w:t>新增源等量或倍量替代</w:t>
            </w:r>
          </w:p>
          <w:p>
            <w:pPr>
              <w:pStyle w:val="TableText"/>
              <w:ind w:left="12" w:right="210"/>
              <w:spacing w:before="16" w:line="239" w:lineRule="auto"/>
              <w:rPr>
                <w:sz w:val="21"/>
                <w:szCs w:val="21"/>
              </w:rPr>
            </w:pPr>
            <w:r>
              <w:rPr>
                <w:sz w:val="21"/>
                <w:szCs w:val="21"/>
              </w:rPr>
              <w:t>在界牌(清溪)污水处理厂排口迁建至涪江前，园区不得新</w:t>
            </w:r>
            <w:r>
              <w:rPr>
                <w:sz w:val="21"/>
                <w:szCs w:val="21"/>
                <w:spacing w:val="-1"/>
              </w:rPr>
              <w:t>增废水排放总量；其</w:t>
            </w:r>
            <w:r>
              <w:rPr>
                <w:sz w:val="21"/>
                <w:szCs w:val="21"/>
              </w:rPr>
              <w:t xml:space="preserve"> </w:t>
            </w:r>
            <w:r>
              <w:rPr>
                <w:sz w:val="21"/>
                <w:szCs w:val="21"/>
                <w:spacing w:val="5"/>
              </w:rPr>
              <w:t>他同工业重点管控单元普适性管控要求；</w:t>
            </w:r>
          </w:p>
          <w:p>
            <w:pPr>
              <w:pStyle w:val="TableText"/>
              <w:ind w:left="15"/>
              <w:spacing w:before="12" w:line="219" w:lineRule="auto"/>
              <w:rPr>
                <w:sz w:val="21"/>
                <w:szCs w:val="21"/>
              </w:rPr>
            </w:pPr>
            <w:r>
              <w:rPr>
                <w:sz w:val="21"/>
                <w:szCs w:val="21"/>
                <w:b/>
                <w:bCs/>
                <w:spacing w:val="-4"/>
              </w:rPr>
              <w:t>新增源排放标准限值</w:t>
            </w:r>
          </w:p>
          <w:p>
            <w:pPr>
              <w:pStyle w:val="TableText"/>
              <w:ind w:left="12" w:right="1"/>
              <w:spacing w:before="33" w:line="222" w:lineRule="auto"/>
              <w:rPr>
                <w:sz w:val="21"/>
                <w:szCs w:val="21"/>
              </w:rPr>
            </w:pPr>
            <w:r>
              <w:rPr>
                <w:sz w:val="21"/>
                <w:szCs w:val="21"/>
              </w:rPr>
              <w:t>新建机动车制造涂装项目，水性涂料等低挥发性有机物</w:t>
            </w:r>
            <w:r>
              <w:rPr>
                <w:sz w:val="21"/>
                <w:szCs w:val="21"/>
                <w:spacing w:val="-1"/>
              </w:rPr>
              <w:t>含量涂料占总涂料使用量</w:t>
            </w:r>
            <w:r>
              <w:rPr>
                <w:sz w:val="21"/>
                <w:szCs w:val="21"/>
              </w:rPr>
              <w:t xml:space="preserve"> </w:t>
            </w:r>
            <w:r>
              <w:rPr>
                <w:sz w:val="21"/>
                <w:szCs w:val="21"/>
                <w:spacing w:val="4"/>
              </w:rPr>
              <w:t>比例不低于80%;其他同工业重点管控单</w:t>
            </w:r>
            <w:r>
              <w:rPr>
                <w:sz w:val="21"/>
                <w:szCs w:val="21"/>
                <w:spacing w:val="3"/>
              </w:rPr>
              <w:t>元普适性管控要求；</w:t>
            </w:r>
          </w:p>
          <w:p>
            <w:pPr>
              <w:pStyle w:val="TableText"/>
              <w:ind w:left="15"/>
              <w:spacing w:before="12" w:line="219" w:lineRule="auto"/>
              <w:rPr>
                <w:sz w:val="21"/>
                <w:szCs w:val="21"/>
              </w:rPr>
            </w:pPr>
            <w:r>
              <w:rPr>
                <w:sz w:val="21"/>
                <w:szCs w:val="21"/>
                <w:b/>
                <w:bCs/>
                <w:spacing w:val="-3"/>
              </w:rPr>
              <w:t>污染物排放绩效水平准入要求</w:t>
            </w:r>
          </w:p>
          <w:p>
            <w:pPr>
              <w:pStyle w:val="TableText"/>
              <w:ind w:left="12" w:right="189"/>
              <w:spacing w:before="24" w:line="218" w:lineRule="auto"/>
              <w:rPr>
                <w:sz w:val="21"/>
                <w:szCs w:val="21"/>
              </w:rPr>
            </w:pPr>
            <w:r>
              <w:rPr>
                <w:sz w:val="21"/>
                <w:szCs w:val="21"/>
              </w:rPr>
              <w:t>汽车制造业中整车制造企业推广使用低(无)挥发性有机</w:t>
            </w:r>
            <w:r>
              <w:rPr>
                <w:sz w:val="21"/>
                <w:szCs w:val="21"/>
                <w:spacing w:val="-1"/>
              </w:rPr>
              <w:t>物涂料，涂装工序有机</w:t>
            </w:r>
            <w:r>
              <w:rPr>
                <w:sz w:val="21"/>
                <w:szCs w:val="21"/>
              </w:rPr>
              <w:t xml:space="preserve"> </w:t>
            </w:r>
            <w:r>
              <w:rPr>
                <w:sz w:val="21"/>
                <w:szCs w:val="21"/>
              </w:rPr>
              <w:t>废气产生量应达到《汽车制造业(涂装)清洁生产指标体系》二级以上清洁生产</w:t>
            </w:r>
          </w:p>
        </w:tc>
        <w:tc>
          <w:tcPr>
            <w:tcW w:w="3177" w:type="dxa"/>
            <w:vAlign w:val="top"/>
          </w:tcPr>
          <w:p>
            <w:pPr>
              <w:pStyle w:val="TableText"/>
              <w:ind w:left="7"/>
              <w:spacing w:before="24" w:line="239" w:lineRule="auto"/>
              <w:rPr>
                <w:sz w:val="21"/>
                <w:szCs w:val="21"/>
              </w:rPr>
            </w:pPr>
            <w:r>
              <w:rPr>
                <w:sz w:val="21"/>
                <w:szCs w:val="21"/>
              </w:rPr>
              <w:t>本项目位于绵阳安州区安州工业园</w:t>
            </w:r>
            <w:r>
              <w:rPr>
                <w:sz w:val="21"/>
                <w:szCs w:val="21"/>
                <w:spacing w:val="8"/>
              </w:rPr>
              <w:t xml:space="preserve"> </w:t>
            </w:r>
            <w:r>
              <w:rPr>
                <w:sz w:val="21"/>
                <w:szCs w:val="21"/>
              </w:rPr>
              <w:t>区内，用地属于二类工业用地，不</w:t>
            </w:r>
            <w:r>
              <w:rPr>
                <w:sz w:val="21"/>
                <w:szCs w:val="21"/>
                <w:spacing w:val="1"/>
              </w:rPr>
              <w:t xml:space="preserve"> </w:t>
            </w:r>
            <w:r>
              <w:rPr>
                <w:sz w:val="21"/>
                <w:szCs w:val="21"/>
                <w:spacing w:val="1"/>
              </w:rPr>
              <w:t>涉及居住、商业、教育、卫生用</w:t>
            </w:r>
          </w:p>
          <w:p>
            <w:pPr>
              <w:pStyle w:val="TableText"/>
              <w:ind w:left="7"/>
              <w:spacing w:before="18" w:line="245" w:lineRule="auto"/>
              <w:rPr>
                <w:sz w:val="21"/>
                <w:szCs w:val="21"/>
              </w:rPr>
            </w:pPr>
            <w:r>
              <w:rPr>
                <w:sz w:val="21"/>
                <w:szCs w:val="21"/>
                <w:spacing w:val="-1"/>
              </w:rPr>
              <w:t>地，周边主要以工业企业为主，距</w:t>
            </w:r>
            <w:r>
              <w:rPr>
                <w:sz w:val="21"/>
                <w:szCs w:val="21"/>
                <w:spacing w:val="4"/>
              </w:rPr>
              <w:t xml:space="preserve"> </w:t>
            </w:r>
            <w:r>
              <w:rPr>
                <w:sz w:val="21"/>
                <w:szCs w:val="21"/>
              </w:rPr>
              <w:t>项目所在地最近的环境敏感目标为</w:t>
            </w:r>
            <w:r>
              <w:rPr>
                <w:sz w:val="21"/>
                <w:szCs w:val="21"/>
                <w:spacing w:val="8"/>
              </w:rPr>
              <w:t xml:space="preserve"> </w:t>
            </w:r>
            <w:r>
              <w:rPr>
                <w:sz w:val="21"/>
                <w:szCs w:val="21"/>
                <w:spacing w:val="2"/>
              </w:rPr>
              <w:t>东侧约180m处安州区高级职业中</w:t>
            </w:r>
          </w:p>
          <w:p>
            <w:pPr>
              <w:pStyle w:val="TableText"/>
              <w:ind w:left="17"/>
              <w:spacing w:line="218" w:lineRule="auto"/>
              <w:rPr>
                <w:sz w:val="21"/>
                <w:szCs w:val="21"/>
              </w:rPr>
            </w:pPr>
            <w:r>
              <w:rPr>
                <w:sz w:val="21"/>
                <w:szCs w:val="21"/>
              </w:rPr>
              <w:t>学以及北侧约500m处前进村，最</w:t>
            </w:r>
          </w:p>
          <w:p>
            <w:pPr>
              <w:pStyle w:val="TableText"/>
              <w:ind w:left="17"/>
              <w:spacing w:before="12" w:line="219" w:lineRule="auto"/>
              <w:rPr>
                <w:sz w:val="21"/>
                <w:szCs w:val="21"/>
              </w:rPr>
            </w:pPr>
            <w:r>
              <w:rPr>
                <w:sz w:val="21"/>
                <w:szCs w:val="21"/>
                <w:spacing w:val="-1"/>
              </w:rPr>
              <w:t>近的卫生院为东南侧约660m处花</w:t>
            </w:r>
          </w:p>
          <w:p>
            <w:pPr>
              <w:pStyle w:val="TableText"/>
              <w:ind w:left="17" w:hanging="10"/>
              <w:spacing w:before="11" w:line="237" w:lineRule="auto"/>
              <w:rPr>
                <w:sz w:val="21"/>
                <w:szCs w:val="21"/>
              </w:rPr>
            </w:pPr>
            <w:r>
              <w:rPr>
                <w:sz w:val="21"/>
                <w:szCs w:val="21"/>
              </w:rPr>
              <w:t>芗镇前进卫生室，最近的医院为东</w:t>
            </w:r>
            <w:r>
              <w:rPr>
                <w:sz w:val="21"/>
                <w:szCs w:val="21"/>
                <w:spacing w:val="8"/>
              </w:rPr>
              <w:t xml:space="preserve"> </w:t>
            </w:r>
            <w:r>
              <w:rPr>
                <w:sz w:val="21"/>
                <w:szCs w:val="21"/>
                <w:spacing w:val="-2"/>
              </w:rPr>
              <w:t>北侧约912m处绵阳市四O四医院</w:t>
            </w:r>
          </w:p>
          <w:p>
            <w:pPr>
              <w:pStyle w:val="TableText"/>
              <w:spacing w:line="198" w:lineRule="auto"/>
              <w:jc w:val="right"/>
              <w:rPr>
                <w:sz w:val="21"/>
                <w:szCs w:val="21"/>
              </w:rPr>
            </w:pPr>
            <w:r>
              <w:rPr>
                <w:sz w:val="21"/>
                <w:szCs w:val="21"/>
              </w:rPr>
              <w:t>医联体医院，项目四至范围内无幼</w:t>
            </w:r>
          </w:p>
        </w:tc>
        <w:tc>
          <w:tcPr>
            <w:tcW w:w="645" w:type="dxa"/>
            <w:vAlign w:val="top"/>
          </w:tcPr>
          <w:p>
            <w:pPr>
              <w:spacing w:line="263"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pStyle w:val="TableText"/>
              <w:ind w:left="110"/>
              <w:spacing w:before="68" w:line="219" w:lineRule="auto"/>
              <w:rPr>
                <w:sz w:val="21"/>
                <w:szCs w:val="21"/>
              </w:rPr>
            </w:pPr>
            <w:r>
              <w:rPr>
                <w:sz w:val="21"/>
                <w:szCs w:val="21"/>
                <w:spacing w:val="-3"/>
              </w:rPr>
              <w:t>符合</w:t>
            </w:r>
          </w:p>
        </w:tc>
      </w:tr>
    </w:tbl>
    <w:p>
      <w:pPr>
        <w:pStyle w:val="BodyText"/>
        <w:rPr/>
      </w:pPr>
      <w:r/>
    </w:p>
    <w:p>
      <w:pPr>
        <w:sectPr>
          <w:headerReference w:type="default" r:id="rId107"/>
          <w:footerReference w:type="default" r:id="rId108"/>
          <w:pgSz w:w="16840" w:h="11910"/>
          <w:pgMar w:top="1177" w:right="1724" w:bottom="953" w:left="1674" w:header="885" w:footer="706" w:gutter="0"/>
        </w:sectPr>
        <w:rPr/>
      </w:pPr>
    </w:p>
    <w:p>
      <w:pPr>
        <w:spacing w:before="33"/>
        <w:rPr/>
      </w:pPr>
      <w:r/>
    </w:p>
    <w:tbl>
      <w:tblPr>
        <w:tblStyle w:val="TableNormal"/>
        <w:tblW w:w="1344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84"/>
        <w:gridCol w:w="290"/>
        <w:gridCol w:w="859"/>
        <w:gridCol w:w="7384"/>
        <w:gridCol w:w="3168"/>
        <w:gridCol w:w="655"/>
      </w:tblGrid>
      <w:tr>
        <w:trPr>
          <w:trHeight w:val="284" w:hRule="atLeast"/>
        </w:trPr>
        <w:tc>
          <w:tcPr>
            <w:shd w:val="clear" w:fill="BDBDBD"/>
            <w:tcW w:w="9617" w:type="dxa"/>
            <w:vAlign w:val="top"/>
            <w:gridSpan w:val="4"/>
          </w:tcPr>
          <w:p>
            <w:pPr>
              <w:pStyle w:val="TableText"/>
              <w:ind w:left="3653"/>
              <w:spacing w:before="40" w:line="205" w:lineRule="auto"/>
              <w:rPr>
                <w:sz w:val="21"/>
                <w:szCs w:val="21"/>
              </w:rPr>
            </w:pPr>
            <w:r>
              <w:rPr>
                <w:sz w:val="21"/>
                <w:szCs w:val="21"/>
                <w:b/>
                <w:bCs/>
                <w:spacing w:val="7"/>
              </w:rPr>
              <w:t>“三线一单”的具体要求</w:t>
            </w:r>
          </w:p>
        </w:tc>
        <w:tc>
          <w:tcPr>
            <w:shd w:val="clear" w:fill="BDBDBD"/>
            <w:tcW w:w="3168" w:type="dxa"/>
            <w:vAlign w:val="top"/>
            <w:vMerge w:val="restart"/>
            <w:tcBorders>
              <w:bottom w:val="nil"/>
            </w:tcBorders>
          </w:tcPr>
          <w:p>
            <w:pPr>
              <w:pStyle w:val="TableText"/>
              <w:ind w:left="740"/>
              <w:spacing w:before="169" w:line="219" w:lineRule="auto"/>
              <w:rPr>
                <w:sz w:val="21"/>
                <w:szCs w:val="21"/>
              </w:rPr>
            </w:pPr>
            <w:r>
              <w:rPr>
                <w:sz w:val="21"/>
                <w:szCs w:val="21"/>
                <w:b/>
                <w:bCs/>
                <w:spacing w:val="-1"/>
              </w:rPr>
              <w:t>项目对应情况介绍</w:t>
            </w:r>
          </w:p>
        </w:tc>
        <w:tc>
          <w:tcPr>
            <w:shd w:val="clear" w:fill="BDBDBD"/>
            <w:tcW w:w="655" w:type="dxa"/>
            <w:vAlign w:val="top"/>
            <w:vMerge w:val="restart"/>
            <w:tcBorders>
              <w:bottom w:val="nil"/>
            </w:tcBorders>
          </w:tcPr>
          <w:p>
            <w:pPr>
              <w:pStyle w:val="TableText"/>
              <w:ind w:left="113" w:right="1" w:hanging="90"/>
              <w:spacing w:before="29" w:line="226" w:lineRule="auto"/>
              <w:rPr>
                <w:sz w:val="21"/>
                <w:szCs w:val="21"/>
              </w:rPr>
            </w:pPr>
            <w:r>
              <w:rPr>
                <w:sz w:val="21"/>
                <w:szCs w:val="21"/>
                <w:b/>
                <w:bCs/>
                <w:spacing w:val="-6"/>
              </w:rPr>
              <w:t>符合性</w:t>
            </w:r>
            <w:r>
              <w:rPr>
                <w:sz w:val="21"/>
                <w:szCs w:val="21"/>
              </w:rPr>
              <w:t xml:space="preserve"> </w:t>
            </w:r>
            <w:r>
              <w:rPr>
                <w:sz w:val="21"/>
                <w:szCs w:val="21"/>
                <w:b/>
                <w:bCs/>
                <w:spacing w:val="-5"/>
              </w:rPr>
              <w:t>分析</w:t>
            </w:r>
          </w:p>
        </w:tc>
      </w:tr>
      <w:tr>
        <w:trPr>
          <w:trHeight w:val="260" w:hRule="atLeast"/>
        </w:trPr>
        <w:tc>
          <w:tcPr>
            <w:shd w:val="clear" w:fill="BDBDBD"/>
            <w:tcW w:w="2233" w:type="dxa"/>
            <w:vAlign w:val="top"/>
            <w:gridSpan w:val="3"/>
          </w:tcPr>
          <w:p>
            <w:pPr>
              <w:pStyle w:val="TableText"/>
              <w:ind w:left="898"/>
              <w:spacing w:before="25" w:line="197" w:lineRule="auto"/>
              <w:rPr>
                <w:sz w:val="21"/>
                <w:szCs w:val="21"/>
              </w:rPr>
            </w:pPr>
            <w:r>
              <w:rPr>
                <w:sz w:val="21"/>
                <w:szCs w:val="21"/>
                <w:b/>
                <w:bCs/>
                <w:spacing w:val="-5"/>
              </w:rPr>
              <w:t>类别</w:t>
            </w:r>
          </w:p>
        </w:tc>
        <w:tc>
          <w:tcPr>
            <w:shd w:val="clear" w:fill="BDBDBD"/>
            <w:tcW w:w="7384" w:type="dxa"/>
            <w:vAlign w:val="top"/>
          </w:tcPr>
          <w:p>
            <w:pPr>
              <w:pStyle w:val="TableText"/>
              <w:ind w:left="3065"/>
              <w:spacing w:before="25" w:line="197" w:lineRule="auto"/>
              <w:rPr>
                <w:sz w:val="21"/>
                <w:szCs w:val="21"/>
              </w:rPr>
            </w:pPr>
            <w:r>
              <w:rPr>
                <w:sz w:val="21"/>
                <w:szCs w:val="21"/>
                <w:b/>
                <w:bCs/>
                <w:spacing w:val="-4"/>
              </w:rPr>
              <w:t>对应管控要求</w:t>
            </w:r>
          </w:p>
        </w:tc>
        <w:tc>
          <w:tcPr>
            <w:tcW w:w="3168" w:type="dxa"/>
            <w:vAlign w:val="top"/>
            <w:vMerge w:val="continue"/>
            <w:tcBorders>
              <w:top w:val="nil"/>
            </w:tcBorders>
          </w:tcPr>
          <w:p>
            <w:pPr>
              <w:rPr>
                <w:rFonts w:ascii="Arial"/>
                <w:sz w:val="21"/>
              </w:rPr>
            </w:pPr>
            <w:r/>
          </w:p>
        </w:tc>
        <w:tc>
          <w:tcPr>
            <w:tcW w:w="655" w:type="dxa"/>
            <w:vAlign w:val="top"/>
            <w:vMerge w:val="continue"/>
            <w:tcBorders>
              <w:top w:val="nil"/>
            </w:tcBorders>
          </w:tcPr>
          <w:p>
            <w:pPr>
              <w:rPr>
                <w:rFonts w:ascii="Arial"/>
                <w:sz w:val="21"/>
              </w:rPr>
            </w:pPr>
            <w:r/>
          </w:p>
        </w:tc>
      </w:tr>
      <w:tr>
        <w:trPr>
          <w:trHeight w:val="2986" w:hRule="atLeast"/>
        </w:trPr>
        <w:tc>
          <w:tcPr>
            <w:tcW w:w="1084" w:type="dxa"/>
            <w:vAlign w:val="top"/>
            <w:vMerge w:val="restart"/>
            <w:tcBorders>
              <w:bottom w:val="nil"/>
            </w:tcBorders>
          </w:tcPr>
          <w:p>
            <w:pPr>
              <w:rPr>
                <w:rFonts w:ascii="Arial"/>
                <w:sz w:val="21"/>
              </w:rPr>
            </w:pPr>
            <w:r/>
          </w:p>
        </w:tc>
        <w:tc>
          <w:tcPr>
            <w:tcW w:w="290" w:type="dxa"/>
            <w:vAlign w:val="top"/>
            <w:vMerge w:val="restart"/>
            <w:tcBorders>
              <w:bottom w:val="nil"/>
            </w:tcBorders>
          </w:tcPr>
          <w:p>
            <w:pPr>
              <w:rPr>
                <w:rFonts w:ascii="Arial"/>
                <w:sz w:val="21"/>
              </w:rPr>
            </w:pPr>
            <w:r/>
          </w:p>
        </w:tc>
        <w:tc>
          <w:tcPr>
            <w:tcW w:w="859" w:type="dxa"/>
            <w:vAlign w:val="top"/>
          </w:tcPr>
          <w:p>
            <w:pPr>
              <w:rPr>
                <w:rFonts w:ascii="Arial"/>
                <w:sz w:val="21"/>
              </w:rPr>
            </w:pPr>
            <w:r/>
          </w:p>
        </w:tc>
        <w:tc>
          <w:tcPr>
            <w:tcW w:w="7384" w:type="dxa"/>
            <w:vAlign w:val="top"/>
          </w:tcPr>
          <w:p>
            <w:pPr>
              <w:pStyle w:val="TableText"/>
              <w:ind w:left="2" w:firstLine="9"/>
              <w:spacing w:before="36" w:line="239" w:lineRule="auto"/>
              <w:jc w:val="both"/>
              <w:rPr>
                <w:sz w:val="21"/>
                <w:szCs w:val="21"/>
              </w:rPr>
            </w:pPr>
            <w:r>
              <w:rPr>
                <w:sz w:val="21"/>
                <w:szCs w:val="21"/>
              </w:rPr>
              <w:t>水平，禁止使用含苯的涂料、稀释剂和溶剂；禁止使用含铅白的涂料；禁止使用</w:t>
            </w:r>
            <w:r>
              <w:rPr>
                <w:sz w:val="21"/>
                <w:szCs w:val="21"/>
                <w:spacing w:val="11"/>
              </w:rPr>
              <w:t xml:space="preserve"> </w:t>
            </w:r>
            <w:r>
              <w:rPr>
                <w:sz w:val="21"/>
                <w:szCs w:val="21"/>
              </w:rPr>
              <w:t>含红丹的涂料；禁止使用含苯、汞、砷、铅、镉、</w:t>
            </w:r>
            <w:r>
              <w:rPr>
                <w:sz w:val="21"/>
                <w:szCs w:val="21"/>
                <w:spacing w:val="-1"/>
              </w:rPr>
              <w:t>锑和铬酸盐的底漆；严禁在前</w:t>
            </w:r>
            <w:r>
              <w:rPr>
                <w:sz w:val="21"/>
                <w:szCs w:val="21"/>
              </w:rPr>
              <w:t xml:space="preserve"> </w:t>
            </w:r>
            <w:r>
              <w:rPr>
                <w:sz w:val="21"/>
                <w:szCs w:val="21"/>
              </w:rPr>
              <w:t>处理工艺中使用苯；禁止在大面积除油和除旧漆中使用甲苯、二甲苯和汽油；限</w:t>
            </w:r>
            <w:r>
              <w:rPr>
                <w:sz w:val="21"/>
                <w:szCs w:val="21"/>
                <w:spacing w:val="7"/>
              </w:rPr>
              <w:t xml:space="preserve"> </w:t>
            </w:r>
            <w:r>
              <w:rPr>
                <w:sz w:val="21"/>
                <w:szCs w:val="21"/>
                <w:spacing w:val="-1"/>
              </w:rPr>
              <w:t>制使用含二氯乙烷的清洗液；限制使用含铬酸盐的清洗液。</w:t>
            </w:r>
          </w:p>
          <w:p>
            <w:pPr>
              <w:pStyle w:val="TableText"/>
              <w:ind w:left="11" w:right="211" w:firstLine="60"/>
              <w:spacing w:before="3" w:line="235" w:lineRule="auto"/>
              <w:rPr>
                <w:sz w:val="21"/>
                <w:szCs w:val="21"/>
              </w:rPr>
            </w:pPr>
            <w:r>
              <w:rPr>
                <w:sz w:val="21"/>
                <w:szCs w:val="21"/>
              </w:rPr>
              <w:t>木质家具制造企业大力推广使用水性、紫外光固化</w:t>
            </w:r>
            <w:r>
              <w:rPr>
                <w:sz w:val="21"/>
                <w:szCs w:val="21"/>
                <w:spacing w:val="-1"/>
              </w:rPr>
              <w:t>涂料，全面使用水性胶粘</w:t>
            </w:r>
            <w:r>
              <w:rPr>
                <w:sz w:val="21"/>
                <w:szCs w:val="21"/>
              </w:rPr>
              <w:t xml:space="preserve">  </w:t>
            </w:r>
            <w:r>
              <w:rPr>
                <w:sz w:val="21"/>
                <w:szCs w:val="21"/>
              </w:rPr>
              <w:t>剂；工业涂装类企业鼓励使用低(无)挥发性有机物涂</w:t>
            </w:r>
            <w:r>
              <w:rPr>
                <w:sz w:val="21"/>
                <w:szCs w:val="21"/>
                <w:spacing w:val="-1"/>
              </w:rPr>
              <w:t>料；钢结构制造行业：大</w:t>
            </w:r>
            <w:r>
              <w:rPr>
                <w:sz w:val="21"/>
                <w:szCs w:val="21"/>
              </w:rPr>
              <w:t xml:space="preserve"> </w:t>
            </w:r>
            <w:r>
              <w:rPr>
                <w:sz w:val="21"/>
                <w:szCs w:val="21"/>
              </w:rPr>
              <w:t>力推广使用高固体分涂料；涉及挥发性有机物排放的项目，一律不得采用光催</w:t>
            </w:r>
            <w:r>
              <w:rPr>
                <w:sz w:val="21"/>
                <w:szCs w:val="21"/>
                <w:spacing w:val="9"/>
              </w:rPr>
              <w:t xml:space="preserve"> </w:t>
            </w:r>
            <w:r>
              <w:rPr>
                <w:sz w:val="21"/>
                <w:szCs w:val="21"/>
              </w:rPr>
              <w:t>化、光氧化、水喷淋(吸收可溶性VOCs除外)、低温等离子等单一低效VOCs</w:t>
            </w:r>
          </w:p>
          <w:p>
            <w:pPr>
              <w:pStyle w:val="TableText"/>
              <w:ind w:left="2"/>
              <w:spacing w:before="32" w:line="219" w:lineRule="auto"/>
              <w:rPr>
                <w:sz w:val="21"/>
                <w:szCs w:val="21"/>
              </w:rPr>
            </w:pPr>
            <w:r>
              <w:rPr>
                <w:sz w:val="21"/>
                <w:szCs w:val="21"/>
                <w:spacing w:val="-1"/>
              </w:rPr>
              <w:t>治理设施，鼓励使用RTO、RCO等高效处理设施。</w:t>
            </w:r>
          </w:p>
          <w:p>
            <w:pPr>
              <w:pStyle w:val="TableText"/>
              <w:ind w:left="2"/>
              <w:spacing w:before="20" w:line="200" w:lineRule="auto"/>
              <w:rPr>
                <w:sz w:val="21"/>
                <w:szCs w:val="21"/>
              </w:rPr>
            </w:pPr>
            <w:r>
              <w:rPr>
                <w:sz w:val="21"/>
                <w:szCs w:val="21"/>
                <w:spacing w:val="-1"/>
              </w:rPr>
              <w:t>其他同工业重点管控单元普适性管控要求。</w:t>
            </w:r>
          </w:p>
          <w:p>
            <w:pPr>
              <w:pStyle w:val="TableText"/>
              <w:ind w:left="5"/>
              <w:spacing w:line="219" w:lineRule="auto"/>
              <w:rPr>
                <w:sz w:val="21"/>
                <w:szCs w:val="21"/>
              </w:rPr>
            </w:pPr>
            <w:r>
              <w:rPr>
                <w:sz w:val="21"/>
                <w:szCs w:val="21"/>
                <w:b/>
                <w:bCs/>
                <w:spacing w:val="-3"/>
              </w:rPr>
              <w:t>其他污染物排放管控要求</w:t>
            </w:r>
          </w:p>
        </w:tc>
        <w:tc>
          <w:tcPr>
            <w:tcW w:w="3168" w:type="dxa"/>
            <w:vAlign w:val="top"/>
          </w:tcPr>
          <w:p>
            <w:pPr>
              <w:pStyle w:val="TableText"/>
              <w:ind w:left="18"/>
              <w:spacing w:before="38"/>
              <w:rPr>
                <w:sz w:val="21"/>
                <w:szCs w:val="21"/>
              </w:rPr>
            </w:pPr>
            <w:r>
              <w:rPr>
                <w:sz w:val="21"/>
                <w:szCs w:val="21"/>
                <w:spacing w:val="-3"/>
              </w:rPr>
              <w:t>儿园、敬老院、社会福利机构、居</w:t>
            </w:r>
            <w:r>
              <w:rPr>
                <w:sz w:val="21"/>
                <w:szCs w:val="21"/>
                <w:spacing w:val="10"/>
              </w:rPr>
              <w:t xml:space="preserve"> </w:t>
            </w:r>
            <w:r>
              <w:rPr>
                <w:sz w:val="21"/>
                <w:szCs w:val="21"/>
                <w:spacing w:val="4"/>
              </w:rPr>
              <w:t>民集中住宅区及畜禽养殖场等场</w:t>
            </w:r>
            <w:r>
              <w:rPr>
                <w:sz w:val="21"/>
                <w:szCs w:val="21"/>
                <w:spacing w:val="1"/>
              </w:rPr>
              <w:t xml:space="preserve">  </w:t>
            </w:r>
            <w:r>
              <w:rPr>
                <w:sz w:val="21"/>
                <w:szCs w:val="21"/>
                <w:spacing w:val="-4"/>
              </w:rPr>
              <w:t>所。本项目属于环境空气质量不达</w:t>
            </w:r>
            <w:r>
              <w:rPr>
                <w:sz w:val="21"/>
                <w:szCs w:val="21"/>
                <w:spacing w:val="6"/>
              </w:rPr>
              <w:t xml:space="preserve"> </w:t>
            </w:r>
            <w:r>
              <w:rPr>
                <w:sz w:val="21"/>
                <w:szCs w:val="21"/>
                <w:spacing w:val="-2"/>
              </w:rPr>
              <w:t>标区，企业已向绵阳市生态环境局</w:t>
            </w:r>
            <w:r>
              <w:rPr>
                <w:sz w:val="21"/>
                <w:szCs w:val="21"/>
                <w:spacing w:val="2"/>
              </w:rPr>
              <w:t xml:space="preserve"> </w:t>
            </w:r>
            <w:r>
              <w:rPr>
                <w:sz w:val="21"/>
                <w:szCs w:val="21"/>
                <w:spacing w:val="-3"/>
              </w:rPr>
              <w:t>申请总量控制指标。其余管控要求</w:t>
            </w:r>
            <w:r>
              <w:rPr>
                <w:sz w:val="21"/>
                <w:szCs w:val="21"/>
                <w:spacing w:val="9"/>
              </w:rPr>
              <w:t xml:space="preserve"> </w:t>
            </w:r>
            <w:r>
              <w:rPr>
                <w:sz w:val="21"/>
                <w:szCs w:val="21"/>
                <w:spacing w:val="-1"/>
              </w:rPr>
              <w:t>同普适性清单管控要求相关内容。</w:t>
            </w:r>
          </w:p>
        </w:tc>
        <w:tc>
          <w:tcPr>
            <w:tcW w:w="655" w:type="dxa"/>
            <w:vAlign w:val="top"/>
          </w:tcPr>
          <w:p>
            <w:pPr>
              <w:rPr>
                <w:rFonts w:ascii="Arial"/>
                <w:sz w:val="21"/>
              </w:rPr>
            </w:pPr>
            <w:r/>
          </w:p>
        </w:tc>
      </w:tr>
      <w:tr>
        <w:trPr>
          <w:trHeight w:val="4085" w:hRule="atLeast"/>
        </w:trPr>
        <w:tc>
          <w:tcPr>
            <w:tcW w:w="1084" w:type="dxa"/>
            <w:vAlign w:val="top"/>
            <w:vMerge w:val="continue"/>
            <w:tcBorders>
              <w:top w:val="nil"/>
              <w:bottom w:val="nil"/>
            </w:tcBorders>
          </w:tcPr>
          <w:p>
            <w:pPr>
              <w:rPr>
                <w:rFonts w:ascii="Arial"/>
                <w:sz w:val="21"/>
              </w:rPr>
            </w:pPr>
            <w:r/>
          </w:p>
        </w:tc>
        <w:tc>
          <w:tcPr>
            <w:tcW w:w="290" w:type="dxa"/>
            <w:vAlign w:val="top"/>
            <w:vMerge w:val="continue"/>
            <w:tcBorders>
              <w:top w:val="nil"/>
              <w:bottom w:val="nil"/>
            </w:tcBorders>
          </w:tcPr>
          <w:p>
            <w:pPr>
              <w:rPr>
                <w:rFonts w:ascii="Arial"/>
                <w:sz w:val="21"/>
              </w:rPr>
            </w:pPr>
            <w:r/>
          </w:p>
        </w:tc>
        <w:tc>
          <w:tcPr>
            <w:tcW w:w="859"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210" w:right="6" w:hanging="200"/>
              <w:spacing w:before="68" w:line="249" w:lineRule="auto"/>
              <w:rPr>
                <w:sz w:val="21"/>
                <w:szCs w:val="21"/>
              </w:rPr>
            </w:pPr>
            <w:r>
              <w:rPr>
                <w:sz w:val="21"/>
                <w:szCs w:val="21"/>
                <w:spacing w:val="-3"/>
              </w:rPr>
              <w:t>环境风险</w:t>
            </w:r>
            <w:r>
              <w:rPr>
                <w:sz w:val="21"/>
                <w:szCs w:val="21"/>
                <w:spacing w:val="2"/>
              </w:rPr>
              <w:t xml:space="preserve"> </w:t>
            </w:r>
            <w:r>
              <w:rPr>
                <w:sz w:val="21"/>
                <w:szCs w:val="21"/>
                <w:spacing w:val="4"/>
              </w:rPr>
              <w:t>防控</w:t>
            </w:r>
          </w:p>
        </w:tc>
        <w:tc>
          <w:tcPr>
            <w:tcW w:w="7384" w:type="dxa"/>
            <w:vAlign w:val="top"/>
          </w:tcPr>
          <w:p>
            <w:pPr>
              <w:pStyle w:val="TableText"/>
              <w:ind w:left="5"/>
              <w:spacing w:before="30" w:line="219" w:lineRule="auto"/>
              <w:rPr>
                <w:sz w:val="21"/>
                <w:szCs w:val="21"/>
              </w:rPr>
            </w:pPr>
            <w:r>
              <w:rPr>
                <w:sz w:val="21"/>
                <w:szCs w:val="21"/>
                <w:b/>
                <w:bCs/>
                <w:spacing w:val="-3"/>
              </w:rPr>
              <w:t>严格管控类农用地管控要求</w:t>
            </w:r>
          </w:p>
          <w:p>
            <w:pPr>
              <w:pStyle w:val="TableText"/>
              <w:ind w:left="2"/>
              <w:spacing w:before="43" w:line="219" w:lineRule="auto"/>
              <w:rPr>
                <w:sz w:val="21"/>
                <w:szCs w:val="21"/>
              </w:rPr>
            </w:pPr>
            <w:r>
              <w:rPr>
                <w:sz w:val="21"/>
                <w:szCs w:val="21"/>
              </w:rPr>
              <w:t>同工业重点管控单元普适性管控要求</w:t>
            </w:r>
          </w:p>
          <w:p>
            <w:pPr>
              <w:pStyle w:val="TableText"/>
              <w:ind w:left="5"/>
              <w:spacing w:before="27" w:line="219" w:lineRule="auto"/>
              <w:rPr>
                <w:sz w:val="21"/>
                <w:szCs w:val="21"/>
              </w:rPr>
            </w:pPr>
            <w:r>
              <w:rPr>
                <w:sz w:val="21"/>
                <w:szCs w:val="21"/>
                <w:b/>
                <w:bCs/>
                <w:spacing w:val="-4"/>
              </w:rPr>
              <w:t>安全利用类农用地管控要求</w:t>
            </w:r>
          </w:p>
          <w:p>
            <w:pPr>
              <w:pStyle w:val="TableText"/>
              <w:ind w:left="2"/>
              <w:spacing w:before="24" w:line="219" w:lineRule="auto"/>
              <w:rPr>
                <w:sz w:val="21"/>
                <w:szCs w:val="21"/>
              </w:rPr>
            </w:pPr>
            <w:r>
              <w:rPr>
                <w:sz w:val="21"/>
                <w:szCs w:val="21"/>
              </w:rPr>
              <w:t>同工业重点管控单元普适性管控要求</w:t>
            </w:r>
          </w:p>
          <w:p>
            <w:pPr>
              <w:pStyle w:val="TableText"/>
              <w:ind w:left="5"/>
              <w:spacing w:before="18" w:line="219" w:lineRule="auto"/>
              <w:rPr>
                <w:sz w:val="21"/>
                <w:szCs w:val="21"/>
              </w:rPr>
            </w:pPr>
            <w:r>
              <w:rPr>
                <w:sz w:val="21"/>
                <w:szCs w:val="21"/>
                <w:b/>
                <w:bCs/>
                <w:spacing w:val="-4"/>
              </w:rPr>
              <w:t>污染地块管控要求</w:t>
            </w:r>
          </w:p>
          <w:p>
            <w:pPr>
              <w:pStyle w:val="TableText"/>
              <w:ind w:left="2"/>
              <w:spacing w:before="24" w:line="219" w:lineRule="auto"/>
              <w:rPr>
                <w:sz w:val="21"/>
                <w:szCs w:val="21"/>
              </w:rPr>
            </w:pPr>
            <w:r>
              <w:rPr>
                <w:sz w:val="21"/>
                <w:szCs w:val="21"/>
              </w:rPr>
              <w:t>同工业重点管控单元普适性管控要求</w:t>
            </w:r>
          </w:p>
          <w:p>
            <w:pPr>
              <w:pStyle w:val="TableText"/>
              <w:ind w:left="5"/>
              <w:spacing w:before="18" w:line="220" w:lineRule="auto"/>
              <w:rPr>
                <w:sz w:val="21"/>
                <w:szCs w:val="21"/>
              </w:rPr>
            </w:pPr>
            <w:r>
              <w:rPr>
                <w:sz w:val="21"/>
                <w:szCs w:val="21"/>
                <w:b/>
                <w:bCs/>
                <w:spacing w:val="-2"/>
              </w:rPr>
              <w:t>园区环境风险防控要求</w:t>
            </w:r>
          </w:p>
          <w:p>
            <w:pPr>
              <w:pStyle w:val="TableText"/>
              <w:ind w:left="2"/>
              <w:spacing w:before="22" w:line="219" w:lineRule="auto"/>
              <w:rPr>
                <w:sz w:val="21"/>
                <w:szCs w:val="21"/>
              </w:rPr>
            </w:pPr>
            <w:r>
              <w:rPr>
                <w:sz w:val="21"/>
                <w:szCs w:val="21"/>
              </w:rPr>
              <w:t>同工业重点管控单元普适性管控要求</w:t>
            </w:r>
          </w:p>
          <w:p>
            <w:pPr>
              <w:pStyle w:val="TableText"/>
              <w:ind w:left="5"/>
              <w:spacing w:before="19" w:line="220" w:lineRule="auto"/>
              <w:rPr>
                <w:sz w:val="21"/>
                <w:szCs w:val="21"/>
              </w:rPr>
            </w:pPr>
            <w:r>
              <w:rPr>
                <w:sz w:val="21"/>
                <w:szCs w:val="21"/>
                <w:b/>
                <w:bCs/>
                <w:spacing w:val="-4"/>
              </w:rPr>
              <w:t>企业环境风险防控要求</w:t>
            </w:r>
          </w:p>
          <w:p>
            <w:pPr>
              <w:pStyle w:val="TableText"/>
              <w:ind w:left="11" w:right="19"/>
              <w:spacing w:before="30" w:line="229" w:lineRule="auto"/>
              <w:rPr>
                <w:sz w:val="21"/>
                <w:szCs w:val="21"/>
              </w:rPr>
            </w:pPr>
            <w:r>
              <w:rPr>
                <w:sz w:val="21"/>
                <w:szCs w:val="21"/>
              </w:rPr>
              <w:t>对涉重金属排放企业实施强制性清洁生产审核。依据环境保</w:t>
            </w:r>
            <w:r>
              <w:rPr>
                <w:sz w:val="21"/>
                <w:szCs w:val="21"/>
                <w:spacing w:val="-1"/>
              </w:rPr>
              <w:t>护部《关于全面推进</w:t>
            </w:r>
            <w:r>
              <w:rPr>
                <w:sz w:val="21"/>
                <w:szCs w:val="21"/>
              </w:rPr>
              <w:t xml:space="preserve"> </w:t>
            </w:r>
            <w:r>
              <w:rPr>
                <w:sz w:val="21"/>
                <w:szCs w:val="21"/>
              </w:rPr>
              <w:t>重点企业清洁生产的通知》(环发〔2010〕54号)要求</w:t>
            </w:r>
            <w:r>
              <w:rPr>
                <w:sz w:val="21"/>
                <w:szCs w:val="21"/>
                <w:spacing w:val="-1"/>
              </w:rPr>
              <w:t>，制定并实施强制性清</w:t>
            </w:r>
          </w:p>
          <w:p>
            <w:pPr>
              <w:pStyle w:val="TableText"/>
              <w:ind w:left="11" w:right="12" w:hanging="9"/>
              <w:spacing w:before="2" w:line="247" w:lineRule="auto"/>
              <w:rPr>
                <w:sz w:val="21"/>
                <w:szCs w:val="21"/>
              </w:rPr>
            </w:pPr>
            <w:r>
              <w:rPr>
                <w:sz w:val="21"/>
                <w:szCs w:val="21"/>
              </w:rPr>
              <w:t>洁生产审核计划，公布强制性清洁生产审核企业名单，督促涉重金属企业淘汰落</w:t>
            </w:r>
            <w:r>
              <w:rPr>
                <w:sz w:val="21"/>
                <w:szCs w:val="21"/>
                <w:spacing w:val="8"/>
              </w:rPr>
              <w:t xml:space="preserve"> </w:t>
            </w:r>
            <w:r>
              <w:rPr>
                <w:sz w:val="21"/>
                <w:szCs w:val="21"/>
              </w:rPr>
              <w:t>后工艺设备，采用行业领先、低耗能、低污染的清洁生产工艺，从源头控制污</w:t>
            </w:r>
          </w:p>
          <w:p>
            <w:pPr>
              <w:pStyle w:val="TableText"/>
              <w:ind w:left="2"/>
              <w:spacing w:before="7" w:line="219" w:lineRule="auto"/>
              <w:rPr>
                <w:sz w:val="21"/>
                <w:szCs w:val="21"/>
              </w:rPr>
            </w:pPr>
            <w:r>
              <w:rPr>
                <w:sz w:val="21"/>
                <w:szCs w:val="21"/>
                <w:spacing w:val="-1"/>
              </w:rPr>
              <w:t>染；其它同工业重点管控单元普适性管控要求。</w:t>
            </w:r>
          </w:p>
          <w:p>
            <w:pPr>
              <w:pStyle w:val="TableText"/>
              <w:ind w:left="5"/>
              <w:spacing w:before="18" w:line="188" w:lineRule="auto"/>
              <w:rPr>
                <w:sz w:val="21"/>
                <w:szCs w:val="21"/>
              </w:rPr>
            </w:pPr>
            <w:r>
              <w:rPr>
                <w:sz w:val="21"/>
                <w:szCs w:val="21"/>
                <w:b/>
                <w:bCs/>
                <w:spacing w:val="-4"/>
              </w:rPr>
              <w:t>其他环境风险防控要求</w:t>
            </w:r>
          </w:p>
        </w:tc>
        <w:tc>
          <w:tcPr>
            <w:tcW w:w="3168" w:type="dxa"/>
            <w:vAlign w:val="top"/>
          </w:tcPr>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7" w:lineRule="auto"/>
              <w:rPr>
                <w:rFonts w:ascii="Arial"/>
                <w:sz w:val="21"/>
              </w:rPr>
            </w:pPr>
            <w:r/>
          </w:p>
          <w:p>
            <w:pPr>
              <w:spacing w:line="267" w:lineRule="auto"/>
              <w:rPr>
                <w:rFonts w:ascii="Arial"/>
                <w:sz w:val="21"/>
              </w:rPr>
            </w:pPr>
            <w:r/>
          </w:p>
          <w:p>
            <w:pPr>
              <w:pStyle w:val="TableText"/>
              <w:ind w:left="107"/>
              <w:spacing w:before="68" w:line="219" w:lineRule="auto"/>
              <w:rPr>
                <w:sz w:val="21"/>
                <w:szCs w:val="21"/>
              </w:rPr>
            </w:pPr>
            <w:r>
              <w:rPr>
                <w:sz w:val="21"/>
                <w:szCs w:val="21"/>
              </w:rPr>
              <w:t>同普适性清单管控要求相关内容</w:t>
            </w:r>
          </w:p>
        </w:tc>
        <w:tc>
          <w:tcPr>
            <w:tcW w:w="655" w:type="dxa"/>
            <w:vAlign w:val="top"/>
          </w:tcPr>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7" w:lineRule="auto"/>
              <w:rPr>
                <w:rFonts w:ascii="Arial"/>
                <w:sz w:val="21"/>
              </w:rPr>
            </w:pPr>
            <w:r/>
          </w:p>
          <w:p>
            <w:pPr>
              <w:spacing w:line="267" w:lineRule="auto"/>
              <w:rPr>
                <w:rFonts w:ascii="Arial"/>
                <w:sz w:val="21"/>
              </w:rPr>
            </w:pPr>
            <w:r/>
          </w:p>
          <w:p>
            <w:pPr>
              <w:pStyle w:val="TableText"/>
              <w:ind w:left="110"/>
              <w:spacing w:before="68" w:line="219" w:lineRule="auto"/>
              <w:rPr>
                <w:sz w:val="21"/>
                <w:szCs w:val="21"/>
              </w:rPr>
            </w:pPr>
            <w:r>
              <w:rPr>
                <w:sz w:val="21"/>
                <w:szCs w:val="21"/>
                <w:spacing w:val="-3"/>
              </w:rPr>
              <w:t>符合</w:t>
            </w:r>
          </w:p>
        </w:tc>
      </w:tr>
      <w:tr>
        <w:trPr>
          <w:trHeight w:val="1094" w:hRule="atLeast"/>
        </w:trPr>
        <w:tc>
          <w:tcPr>
            <w:tcW w:w="1084" w:type="dxa"/>
            <w:vAlign w:val="top"/>
            <w:vMerge w:val="continue"/>
            <w:tcBorders>
              <w:top w:val="nil"/>
            </w:tcBorders>
          </w:tcPr>
          <w:p>
            <w:pPr>
              <w:rPr>
                <w:rFonts w:ascii="Arial"/>
                <w:sz w:val="21"/>
              </w:rPr>
            </w:pPr>
            <w:r/>
          </w:p>
        </w:tc>
        <w:tc>
          <w:tcPr>
            <w:tcW w:w="290" w:type="dxa"/>
            <w:vAlign w:val="top"/>
            <w:vMerge w:val="continue"/>
            <w:tcBorders>
              <w:top w:val="nil"/>
            </w:tcBorders>
          </w:tcPr>
          <w:p>
            <w:pPr>
              <w:rPr>
                <w:rFonts w:ascii="Arial"/>
                <w:sz w:val="21"/>
              </w:rPr>
            </w:pPr>
            <w:r/>
          </w:p>
        </w:tc>
        <w:tc>
          <w:tcPr>
            <w:tcW w:w="859" w:type="dxa"/>
            <w:vAlign w:val="top"/>
          </w:tcPr>
          <w:p>
            <w:pPr>
              <w:pStyle w:val="TableText"/>
              <w:spacing w:before="309" w:line="220" w:lineRule="auto"/>
              <w:jc w:val="right"/>
              <w:rPr>
                <w:sz w:val="21"/>
                <w:szCs w:val="21"/>
              </w:rPr>
            </w:pPr>
            <w:r>
              <w:rPr>
                <w:sz w:val="21"/>
                <w:szCs w:val="21"/>
                <w:spacing w:val="-1"/>
              </w:rPr>
              <w:t>资源开发</w:t>
            </w:r>
          </w:p>
          <w:p>
            <w:pPr>
              <w:pStyle w:val="TableText"/>
              <w:spacing w:before="19" w:line="219" w:lineRule="auto"/>
              <w:jc w:val="right"/>
              <w:rPr>
                <w:sz w:val="21"/>
                <w:szCs w:val="21"/>
              </w:rPr>
            </w:pPr>
            <w:r>
              <w:rPr>
                <w:sz w:val="21"/>
                <w:szCs w:val="21"/>
                <w:spacing w:val="-1"/>
              </w:rPr>
              <w:t>效率要求</w:t>
            </w:r>
          </w:p>
        </w:tc>
        <w:tc>
          <w:tcPr>
            <w:tcW w:w="7384" w:type="dxa"/>
            <w:vAlign w:val="top"/>
          </w:tcPr>
          <w:p>
            <w:pPr>
              <w:pStyle w:val="TableText"/>
              <w:ind w:left="5"/>
              <w:spacing w:before="45" w:line="219" w:lineRule="auto"/>
              <w:rPr>
                <w:sz w:val="21"/>
                <w:szCs w:val="21"/>
              </w:rPr>
            </w:pPr>
            <w:r>
              <w:rPr>
                <w:sz w:val="21"/>
                <w:szCs w:val="21"/>
                <w:b/>
                <w:bCs/>
                <w:spacing w:val="-4"/>
              </w:rPr>
              <w:t>水资源利用效率要求</w:t>
            </w:r>
          </w:p>
          <w:p>
            <w:pPr>
              <w:pStyle w:val="TableText"/>
              <w:ind w:left="2" w:right="966"/>
              <w:spacing w:before="10" w:line="237" w:lineRule="auto"/>
              <w:rPr>
                <w:sz w:val="21"/>
                <w:szCs w:val="21"/>
              </w:rPr>
            </w:pPr>
            <w:r>
              <w:rPr>
                <w:sz w:val="21"/>
                <w:szCs w:val="21"/>
              </w:rPr>
              <w:t>园区污水处理厂中水回用率不低于25%,工业用水重复利用率大于95%。 </w:t>
            </w:r>
            <w:r>
              <w:rPr>
                <w:sz w:val="21"/>
                <w:szCs w:val="21"/>
                <w:spacing w:val="-1"/>
              </w:rPr>
              <w:t>其它同工业重点管控单元普适性管控要求。</w:t>
            </w:r>
          </w:p>
          <w:p>
            <w:pPr>
              <w:pStyle w:val="TableText"/>
              <w:ind w:left="5"/>
              <w:spacing w:line="210" w:lineRule="auto"/>
              <w:rPr>
                <w:sz w:val="21"/>
                <w:szCs w:val="21"/>
              </w:rPr>
            </w:pPr>
            <w:r>
              <w:rPr>
                <w:sz w:val="21"/>
                <w:szCs w:val="21"/>
                <w:b/>
                <w:bCs/>
                <w:spacing w:val="-4"/>
              </w:rPr>
              <w:t>地下水开采要求</w:t>
            </w:r>
          </w:p>
        </w:tc>
        <w:tc>
          <w:tcPr>
            <w:tcW w:w="3168" w:type="dxa"/>
            <w:vAlign w:val="top"/>
          </w:tcPr>
          <w:p>
            <w:pPr>
              <w:spacing w:line="378" w:lineRule="auto"/>
              <w:rPr>
                <w:rFonts w:ascii="Arial"/>
                <w:sz w:val="21"/>
              </w:rPr>
            </w:pPr>
            <w:r/>
          </w:p>
          <w:p>
            <w:pPr>
              <w:pStyle w:val="TableText"/>
              <w:ind w:left="107"/>
              <w:spacing w:before="68" w:line="219" w:lineRule="auto"/>
              <w:rPr>
                <w:sz w:val="21"/>
                <w:szCs w:val="21"/>
              </w:rPr>
            </w:pPr>
            <w:r>
              <w:rPr>
                <w:sz w:val="21"/>
                <w:szCs w:val="21"/>
              </w:rPr>
              <w:t>同普适性清单管控要求相关内容</w:t>
            </w:r>
          </w:p>
        </w:tc>
        <w:tc>
          <w:tcPr>
            <w:tcW w:w="655" w:type="dxa"/>
            <w:vAlign w:val="top"/>
          </w:tcPr>
          <w:p>
            <w:pPr>
              <w:spacing w:line="378" w:lineRule="auto"/>
              <w:rPr>
                <w:rFonts w:ascii="Arial"/>
                <w:sz w:val="21"/>
              </w:rPr>
            </w:pPr>
            <w:r/>
          </w:p>
          <w:p>
            <w:pPr>
              <w:pStyle w:val="TableText"/>
              <w:ind w:left="110"/>
              <w:spacing w:before="68" w:line="219" w:lineRule="auto"/>
              <w:rPr>
                <w:sz w:val="21"/>
                <w:szCs w:val="21"/>
              </w:rPr>
            </w:pPr>
            <w:r>
              <w:rPr>
                <w:sz w:val="21"/>
                <w:szCs w:val="21"/>
                <w:spacing w:val="-3"/>
              </w:rPr>
              <w:t>符合</w:t>
            </w:r>
          </w:p>
        </w:tc>
      </w:tr>
    </w:tbl>
    <w:p>
      <w:pPr>
        <w:pStyle w:val="BodyText"/>
        <w:rPr/>
      </w:pPr>
      <w:r/>
    </w:p>
    <w:p>
      <w:pPr>
        <w:sectPr>
          <w:headerReference w:type="default" r:id="rId102"/>
          <w:footerReference w:type="default" r:id="rId109"/>
          <w:pgSz w:w="16840" w:h="11910"/>
          <w:pgMar w:top="1180" w:right="1715" w:bottom="961" w:left="1674" w:header="872" w:footer="702" w:gutter="0"/>
        </w:sectPr>
        <w:rPr/>
      </w:pPr>
    </w:p>
    <w:p>
      <w:pPr>
        <w:spacing w:before="26"/>
        <w:rPr/>
      </w:pPr>
      <w:r/>
    </w:p>
    <w:tbl>
      <w:tblPr>
        <w:tblStyle w:val="TableNormal"/>
        <w:tblW w:w="1343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84"/>
        <w:gridCol w:w="290"/>
        <w:gridCol w:w="859"/>
        <w:gridCol w:w="7374"/>
        <w:gridCol w:w="3178"/>
        <w:gridCol w:w="645"/>
      </w:tblGrid>
      <w:tr>
        <w:trPr>
          <w:trHeight w:val="285" w:hRule="atLeast"/>
        </w:trPr>
        <w:tc>
          <w:tcPr>
            <w:shd w:val="clear" w:fill="BDBDBD"/>
            <w:tcW w:w="9607" w:type="dxa"/>
            <w:vAlign w:val="top"/>
            <w:gridSpan w:val="4"/>
          </w:tcPr>
          <w:p>
            <w:pPr>
              <w:pStyle w:val="TableText"/>
              <w:ind w:left="3653"/>
              <w:spacing w:before="40" w:line="206" w:lineRule="auto"/>
              <w:rPr>
                <w:sz w:val="21"/>
                <w:szCs w:val="21"/>
              </w:rPr>
            </w:pPr>
            <w:r>
              <w:rPr>
                <w:sz w:val="21"/>
                <w:szCs w:val="21"/>
                <w:b/>
                <w:bCs/>
                <w:spacing w:val="7"/>
              </w:rPr>
              <w:t>“三线一单”的具体要求</w:t>
            </w:r>
          </w:p>
        </w:tc>
        <w:tc>
          <w:tcPr>
            <w:shd w:val="clear" w:fill="BDBDBD"/>
            <w:tcW w:w="3178" w:type="dxa"/>
            <w:vAlign w:val="top"/>
            <w:vMerge w:val="restart"/>
            <w:tcBorders>
              <w:bottom w:val="nil"/>
            </w:tcBorders>
          </w:tcPr>
          <w:p>
            <w:pPr>
              <w:pStyle w:val="TableText"/>
              <w:ind w:left="750"/>
              <w:spacing w:before="169" w:line="219" w:lineRule="auto"/>
              <w:rPr>
                <w:sz w:val="21"/>
                <w:szCs w:val="21"/>
              </w:rPr>
            </w:pPr>
            <w:r>
              <w:rPr>
                <w:sz w:val="21"/>
                <w:szCs w:val="21"/>
                <w:b/>
                <w:bCs/>
                <w:spacing w:val="-1"/>
              </w:rPr>
              <w:t>项目对应情况介绍</w:t>
            </w:r>
          </w:p>
        </w:tc>
        <w:tc>
          <w:tcPr>
            <w:shd w:val="clear" w:fill="BDBDBD"/>
            <w:tcW w:w="645" w:type="dxa"/>
            <w:vAlign w:val="top"/>
            <w:vMerge w:val="restart"/>
            <w:tcBorders>
              <w:bottom w:val="nil"/>
            </w:tcBorders>
          </w:tcPr>
          <w:p>
            <w:pPr>
              <w:pStyle w:val="TableText"/>
              <w:ind w:left="111" w:hanging="88"/>
              <w:spacing w:before="30" w:line="226" w:lineRule="auto"/>
              <w:rPr>
                <w:sz w:val="21"/>
                <w:szCs w:val="21"/>
              </w:rPr>
            </w:pPr>
            <w:r>
              <w:rPr>
                <w:sz w:val="21"/>
                <w:szCs w:val="21"/>
                <w:b/>
                <w:bCs/>
                <w:spacing w:val="-9"/>
              </w:rPr>
              <w:t>符合性</w:t>
            </w:r>
            <w:r>
              <w:rPr>
                <w:sz w:val="21"/>
                <w:szCs w:val="21"/>
                <w:spacing w:val="1"/>
              </w:rPr>
              <w:t xml:space="preserve"> </w:t>
            </w:r>
            <w:r>
              <w:rPr>
                <w:sz w:val="21"/>
                <w:szCs w:val="21"/>
                <w:b/>
                <w:bCs/>
                <w:spacing w:val="-7"/>
              </w:rPr>
              <w:t>分析</w:t>
            </w:r>
          </w:p>
        </w:tc>
      </w:tr>
      <w:tr>
        <w:trPr>
          <w:trHeight w:val="260" w:hRule="atLeast"/>
        </w:trPr>
        <w:tc>
          <w:tcPr>
            <w:shd w:val="clear" w:fill="BDBDBD"/>
            <w:tcW w:w="2233" w:type="dxa"/>
            <w:vAlign w:val="top"/>
            <w:gridSpan w:val="3"/>
          </w:tcPr>
          <w:p>
            <w:pPr>
              <w:pStyle w:val="TableText"/>
              <w:ind w:left="898"/>
              <w:spacing w:before="25" w:line="197" w:lineRule="auto"/>
              <w:rPr>
                <w:sz w:val="21"/>
                <w:szCs w:val="21"/>
              </w:rPr>
            </w:pPr>
            <w:bookmarkStart w:name="bookmark84" w:id="26"/>
            <w:bookmarkEnd w:id="26"/>
            <w:r>
              <w:rPr>
                <w:sz w:val="21"/>
                <w:szCs w:val="21"/>
                <w:b/>
                <w:bCs/>
                <w:spacing w:val="-5"/>
              </w:rPr>
              <w:t>类别</w:t>
            </w:r>
          </w:p>
        </w:tc>
        <w:tc>
          <w:tcPr>
            <w:shd w:val="clear" w:fill="BDBDBD"/>
            <w:tcW w:w="7374" w:type="dxa"/>
            <w:vAlign w:val="top"/>
          </w:tcPr>
          <w:p>
            <w:pPr>
              <w:pStyle w:val="TableText"/>
              <w:ind w:left="3055"/>
              <w:spacing w:before="25" w:line="197" w:lineRule="auto"/>
              <w:rPr>
                <w:sz w:val="21"/>
                <w:szCs w:val="21"/>
              </w:rPr>
            </w:pPr>
            <w:r>
              <w:rPr>
                <w:sz w:val="21"/>
                <w:szCs w:val="21"/>
                <w:b/>
                <w:bCs/>
                <w:spacing w:val="-4"/>
              </w:rPr>
              <w:t>对应管控要求</w:t>
            </w:r>
          </w:p>
        </w:tc>
        <w:tc>
          <w:tcPr>
            <w:tcW w:w="3178" w:type="dxa"/>
            <w:vAlign w:val="top"/>
            <w:vMerge w:val="continue"/>
            <w:tcBorders>
              <w:top w:val="nil"/>
            </w:tcBorders>
          </w:tcPr>
          <w:p>
            <w:pPr>
              <w:rPr>
                <w:rFonts w:ascii="Arial"/>
                <w:sz w:val="21"/>
              </w:rPr>
            </w:pPr>
            <w:r/>
          </w:p>
        </w:tc>
        <w:tc>
          <w:tcPr>
            <w:tcW w:w="645" w:type="dxa"/>
            <w:vAlign w:val="top"/>
            <w:vMerge w:val="continue"/>
            <w:tcBorders>
              <w:top w:val="nil"/>
            </w:tcBorders>
          </w:tcPr>
          <w:p>
            <w:pPr>
              <w:rPr>
                <w:rFonts w:ascii="Arial"/>
                <w:sz w:val="21"/>
              </w:rPr>
            </w:pPr>
            <w:r/>
          </w:p>
        </w:tc>
      </w:tr>
      <w:tr>
        <w:trPr>
          <w:trHeight w:val="1098" w:hRule="atLeast"/>
        </w:trPr>
        <w:tc>
          <w:tcPr>
            <w:tcW w:w="1084" w:type="dxa"/>
            <w:vAlign w:val="top"/>
          </w:tcPr>
          <w:p>
            <w:pPr>
              <w:rPr>
                <w:rFonts w:ascii="Arial"/>
                <w:sz w:val="21"/>
              </w:rPr>
            </w:pPr>
            <w:r/>
          </w:p>
        </w:tc>
        <w:tc>
          <w:tcPr>
            <w:tcW w:w="290" w:type="dxa"/>
            <w:vAlign w:val="top"/>
          </w:tcPr>
          <w:p>
            <w:pPr>
              <w:rPr>
                <w:rFonts w:ascii="Arial"/>
                <w:sz w:val="21"/>
              </w:rPr>
            </w:pPr>
            <w:r/>
          </w:p>
        </w:tc>
        <w:tc>
          <w:tcPr>
            <w:tcW w:w="859" w:type="dxa"/>
            <w:vAlign w:val="top"/>
          </w:tcPr>
          <w:p>
            <w:pPr>
              <w:rPr>
                <w:rFonts w:ascii="Arial"/>
                <w:sz w:val="21"/>
              </w:rPr>
            </w:pPr>
            <w:r/>
          </w:p>
        </w:tc>
        <w:tc>
          <w:tcPr>
            <w:tcW w:w="7374" w:type="dxa"/>
            <w:vAlign w:val="top"/>
          </w:tcPr>
          <w:p>
            <w:pPr>
              <w:pStyle w:val="TableText"/>
              <w:ind w:left="2"/>
              <w:spacing w:before="48" w:line="219" w:lineRule="auto"/>
              <w:rPr>
                <w:sz w:val="21"/>
                <w:szCs w:val="21"/>
              </w:rPr>
            </w:pPr>
            <w:r>
              <w:rPr>
                <w:sz w:val="21"/>
                <w:szCs w:val="21"/>
              </w:rPr>
              <w:t>同工业重点管控单元普适性管控要求</w:t>
            </w:r>
          </w:p>
          <w:p>
            <w:pPr>
              <w:pStyle w:val="TableText"/>
              <w:ind w:left="5"/>
              <w:spacing w:before="17" w:line="219" w:lineRule="auto"/>
              <w:rPr>
                <w:sz w:val="21"/>
                <w:szCs w:val="21"/>
              </w:rPr>
            </w:pPr>
            <w:r>
              <w:rPr>
                <w:sz w:val="21"/>
                <w:szCs w:val="21"/>
                <w:b/>
                <w:bCs/>
                <w:spacing w:val="-2"/>
              </w:rPr>
              <w:t>能源利用效率要求</w:t>
            </w:r>
          </w:p>
          <w:p>
            <w:pPr>
              <w:pStyle w:val="TableText"/>
              <w:ind w:left="2"/>
              <w:spacing w:before="23" w:line="219" w:lineRule="auto"/>
              <w:rPr>
                <w:sz w:val="21"/>
                <w:szCs w:val="21"/>
              </w:rPr>
            </w:pPr>
            <w:r>
              <w:rPr>
                <w:sz w:val="21"/>
                <w:szCs w:val="21"/>
              </w:rPr>
              <w:t>同工业重点管控单元普适性管控要求</w:t>
            </w:r>
          </w:p>
          <w:p>
            <w:pPr>
              <w:pStyle w:val="TableText"/>
              <w:ind w:left="5"/>
              <w:spacing w:before="18" w:line="204" w:lineRule="auto"/>
              <w:rPr>
                <w:sz w:val="21"/>
                <w:szCs w:val="21"/>
              </w:rPr>
            </w:pPr>
            <w:r>
              <w:rPr>
                <w:sz w:val="21"/>
                <w:szCs w:val="21"/>
                <w:b/>
                <w:bCs/>
                <w:spacing w:val="-4"/>
              </w:rPr>
              <w:t>其他资源利用效率要求</w:t>
            </w:r>
          </w:p>
        </w:tc>
        <w:tc>
          <w:tcPr>
            <w:tcW w:w="3178" w:type="dxa"/>
            <w:vAlign w:val="top"/>
          </w:tcPr>
          <w:p>
            <w:pPr>
              <w:rPr>
                <w:rFonts w:ascii="Arial"/>
                <w:sz w:val="21"/>
              </w:rPr>
            </w:pPr>
            <w:r/>
          </w:p>
        </w:tc>
        <w:tc>
          <w:tcPr>
            <w:tcW w:w="645" w:type="dxa"/>
            <w:vAlign w:val="top"/>
          </w:tcPr>
          <w:p>
            <w:pPr>
              <w:rPr>
                <w:rFonts w:ascii="Arial"/>
                <w:sz w:val="21"/>
              </w:rPr>
            </w:pPr>
            <w:r/>
          </w:p>
        </w:tc>
      </w:tr>
      <w:tr>
        <w:trPr>
          <w:trHeight w:val="1089" w:hRule="atLeast"/>
        </w:trPr>
        <w:tc>
          <w:tcPr>
            <w:tcW w:w="1084" w:type="dxa"/>
            <w:vAlign w:val="top"/>
            <w:vMerge w:val="restart"/>
            <w:tcBorders>
              <w:bottom w:val="nil"/>
            </w:tcBorders>
          </w:tcPr>
          <w:p>
            <w:pPr>
              <w:spacing w:line="274" w:lineRule="auto"/>
              <w:rPr>
                <w:rFonts w:ascii="Arial"/>
                <w:sz w:val="21"/>
              </w:rPr>
            </w:pPr>
            <w:r/>
          </w:p>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ind w:left="18"/>
              <w:spacing w:before="68" w:line="219" w:lineRule="auto"/>
              <w:rPr>
                <w:sz w:val="21"/>
                <w:szCs w:val="21"/>
              </w:rPr>
            </w:pPr>
            <w:r>
              <w:rPr>
                <w:sz w:val="21"/>
                <w:szCs w:val="21"/>
                <w:b/>
                <w:bCs/>
                <w:spacing w:val="-4"/>
              </w:rPr>
              <w:t>环境管控单</w:t>
            </w:r>
          </w:p>
          <w:p>
            <w:pPr>
              <w:pStyle w:val="TableText"/>
              <w:ind w:left="18"/>
              <w:spacing w:before="20" w:line="219" w:lineRule="auto"/>
              <w:rPr>
                <w:sz w:val="21"/>
                <w:szCs w:val="21"/>
              </w:rPr>
            </w:pPr>
            <w:r>
              <w:rPr>
                <w:sz w:val="21"/>
                <w:szCs w:val="21"/>
                <w:b/>
                <w:bCs/>
                <w:spacing w:val="-14"/>
              </w:rPr>
              <w:t>元分类</w:t>
            </w:r>
            <w:r>
              <w:rPr>
                <w:sz w:val="21"/>
                <w:szCs w:val="21"/>
                <w:spacing w:val="-51"/>
              </w:rPr>
              <w:t xml:space="preserve"> </w:t>
            </w:r>
            <w:r>
              <w:rPr>
                <w:sz w:val="21"/>
                <w:szCs w:val="21"/>
                <w:b/>
                <w:bCs/>
                <w:spacing w:val="-14"/>
              </w:rPr>
              <w:t>：</w:t>
            </w:r>
            <w:r>
              <w:rPr>
                <w:sz w:val="21"/>
                <w:szCs w:val="21"/>
                <w:spacing w:val="-14"/>
              </w:rPr>
              <w:t>水</w:t>
            </w:r>
          </w:p>
          <w:p>
            <w:pPr>
              <w:pStyle w:val="TableText"/>
              <w:ind w:left="15"/>
              <w:spacing w:before="24" w:line="220" w:lineRule="auto"/>
              <w:rPr>
                <w:sz w:val="21"/>
                <w:szCs w:val="21"/>
              </w:rPr>
            </w:pPr>
            <w:r>
              <w:rPr>
                <w:sz w:val="21"/>
                <w:szCs w:val="21"/>
                <w:spacing w:val="-2"/>
              </w:rPr>
              <w:t>环境工业污</w:t>
            </w:r>
          </w:p>
          <w:p>
            <w:pPr>
              <w:pStyle w:val="TableText"/>
              <w:ind w:left="15"/>
              <w:spacing w:before="18" w:line="236" w:lineRule="auto"/>
              <w:rPr>
                <w:sz w:val="21"/>
                <w:szCs w:val="21"/>
              </w:rPr>
            </w:pPr>
            <w:r>
              <w:rPr>
                <w:sz w:val="21"/>
                <w:szCs w:val="21"/>
                <w:spacing w:val="1"/>
              </w:rPr>
              <w:t>染重点管控</w:t>
            </w:r>
            <w:r>
              <w:rPr>
                <w:sz w:val="21"/>
                <w:szCs w:val="21"/>
                <w:spacing w:val="2"/>
              </w:rPr>
              <w:t xml:space="preserve"> </w:t>
            </w:r>
            <w:r>
              <w:rPr>
                <w:sz w:val="21"/>
                <w:szCs w:val="21"/>
              </w:rPr>
              <w:t>区</w:t>
            </w:r>
          </w:p>
          <w:p>
            <w:pPr>
              <w:pStyle w:val="TableText"/>
              <w:ind w:left="18" w:right="14"/>
              <w:spacing w:before="1" w:line="248" w:lineRule="auto"/>
              <w:rPr>
                <w:sz w:val="21"/>
                <w:szCs w:val="21"/>
              </w:rPr>
            </w:pPr>
            <w:r>
              <w:rPr>
                <w:sz w:val="21"/>
                <w:szCs w:val="21"/>
                <w:b/>
                <w:bCs/>
                <w:spacing w:val="-4"/>
              </w:rPr>
              <w:t>环境管控单</w:t>
            </w:r>
            <w:r>
              <w:rPr>
                <w:sz w:val="21"/>
                <w:szCs w:val="21"/>
              </w:rPr>
              <w:t xml:space="preserve"> </w:t>
            </w:r>
            <w:r>
              <w:rPr>
                <w:sz w:val="21"/>
                <w:szCs w:val="21"/>
                <w:b/>
                <w:bCs/>
                <w:spacing w:val="-5"/>
              </w:rPr>
              <w:t>元编码：</w:t>
            </w:r>
          </w:p>
          <w:p>
            <w:pPr>
              <w:pStyle w:val="TableText"/>
              <w:ind w:left="15" w:right="118"/>
              <w:spacing w:before="41" w:line="182" w:lineRule="auto"/>
              <w:rPr>
                <w:sz w:val="21"/>
                <w:szCs w:val="21"/>
              </w:rPr>
            </w:pPr>
            <w:r>
              <w:rPr>
                <w:sz w:val="21"/>
                <w:szCs w:val="21"/>
                <w:spacing w:val="-1"/>
              </w:rPr>
              <w:t>YS5107052</w:t>
            </w:r>
            <w:r>
              <w:rPr>
                <w:sz w:val="21"/>
                <w:szCs w:val="21"/>
                <w:spacing w:val="3"/>
              </w:rPr>
              <w:t xml:space="preserve"> </w:t>
            </w:r>
            <w:r>
              <w:rPr>
                <w:sz w:val="21"/>
                <w:szCs w:val="21"/>
                <w:spacing w:val="-2"/>
              </w:rPr>
              <w:t>210001</w:t>
            </w:r>
          </w:p>
          <w:p>
            <w:pPr>
              <w:pStyle w:val="TableText"/>
              <w:ind w:left="18"/>
              <w:spacing w:line="219" w:lineRule="auto"/>
              <w:rPr>
                <w:sz w:val="21"/>
                <w:szCs w:val="21"/>
              </w:rPr>
            </w:pPr>
            <w:r>
              <w:rPr>
                <w:sz w:val="21"/>
                <w:szCs w:val="21"/>
                <w:b/>
                <w:bCs/>
                <w:spacing w:val="-4"/>
              </w:rPr>
              <w:t>环境管控单</w:t>
            </w:r>
          </w:p>
          <w:p>
            <w:pPr>
              <w:pStyle w:val="TableText"/>
              <w:ind w:left="15" w:right="17" w:firstLine="3"/>
              <w:spacing w:before="14" w:line="242" w:lineRule="auto"/>
              <w:jc w:val="both"/>
              <w:rPr>
                <w:sz w:val="21"/>
                <w:szCs w:val="21"/>
              </w:rPr>
            </w:pPr>
            <w:r>
              <w:rPr>
                <w:sz w:val="21"/>
                <w:szCs w:val="21"/>
                <w:b/>
                <w:bCs/>
                <w:spacing w:val="-15"/>
              </w:rPr>
              <w:t>元名称</w:t>
            </w:r>
            <w:r>
              <w:rPr>
                <w:sz w:val="21"/>
                <w:szCs w:val="21"/>
                <w:spacing w:val="-52"/>
              </w:rPr>
              <w:t xml:space="preserve"> </w:t>
            </w:r>
            <w:r>
              <w:rPr>
                <w:sz w:val="21"/>
                <w:szCs w:val="21"/>
                <w:b/>
                <w:bCs/>
                <w:spacing w:val="-15"/>
              </w:rPr>
              <w:t>：</w:t>
            </w:r>
            <w:r>
              <w:rPr>
                <w:sz w:val="21"/>
                <w:szCs w:val="21"/>
                <w:spacing w:val="-15"/>
              </w:rPr>
              <w:t>涪</w:t>
            </w:r>
            <w:r>
              <w:rPr>
                <w:sz w:val="21"/>
                <w:szCs w:val="21"/>
              </w:rPr>
              <w:t xml:space="preserve"> </w:t>
            </w:r>
            <w:r>
              <w:rPr>
                <w:sz w:val="21"/>
                <w:szCs w:val="21"/>
                <w:spacing w:val="-2"/>
              </w:rPr>
              <w:t>江-安州区-</w:t>
            </w:r>
            <w:r>
              <w:rPr>
                <w:sz w:val="21"/>
                <w:szCs w:val="21"/>
                <w:spacing w:val="1"/>
              </w:rPr>
              <w:t xml:space="preserve"> </w:t>
            </w:r>
            <w:r>
              <w:rPr>
                <w:sz w:val="21"/>
                <w:szCs w:val="21"/>
                <w:spacing w:val="2"/>
              </w:rPr>
              <w:t>丰谷-控制 </w:t>
            </w:r>
            <w:r>
              <w:rPr>
                <w:sz w:val="21"/>
                <w:szCs w:val="21"/>
                <w:spacing w:val="-3"/>
              </w:rPr>
              <w:t>单元</w:t>
            </w:r>
          </w:p>
        </w:tc>
        <w:tc>
          <w:tcPr>
            <w:tcW w:w="290" w:type="dxa"/>
            <w:vAlign w:val="top"/>
            <w:vMerge w:val="restart"/>
            <w:textDirection w:val="tbRlV"/>
            <w:tcBorders>
              <w:bottom w:val="nil"/>
            </w:tcBorders>
          </w:tcPr>
          <w:p>
            <w:pPr>
              <w:pStyle w:val="TableText"/>
              <w:ind w:left="711"/>
              <w:spacing w:before="46" w:line="202" w:lineRule="auto"/>
              <w:rPr>
                <w:sz w:val="21"/>
                <w:szCs w:val="21"/>
              </w:rPr>
            </w:pPr>
            <w:r>
              <w:rPr>
                <w:sz w:val="21"/>
                <w:szCs w:val="21"/>
                <w:color w:val="404040"/>
                <w:spacing w:val="-1"/>
              </w:rPr>
              <w:t>普</w:t>
            </w:r>
            <w:r>
              <w:rPr>
                <w:sz w:val="21"/>
                <w:szCs w:val="21"/>
                <w:color w:val="404040"/>
                <w:spacing w:val="-32"/>
              </w:rPr>
              <w:t xml:space="preserve"> </w:t>
            </w:r>
            <w:r>
              <w:rPr>
                <w:sz w:val="21"/>
                <w:szCs w:val="21"/>
                <w:color w:val="404040"/>
                <w:spacing w:val="-1"/>
              </w:rPr>
              <w:t>适</w:t>
            </w:r>
            <w:r>
              <w:rPr>
                <w:sz w:val="21"/>
                <w:szCs w:val="21"/>
                <w:color w:val="404040"/>
                <w:spacing w:val="-39"/>
              </w:rPr>
              <w:t xml:space="preserve"> </w:t>
            </w:r>
            <w:r>
              <w:rPr>
                <w:sz w:val="21"/>
                <w:szCs w:val="21"/>
                <w:color w:val="404040"/>
                <w:spacing w:val="-1"/>
              </w:rPr>
              <w:t>性</w:t>
            </w:r>
            <w:r>
              <w:rPr>
                <w:sz w:val="21"/>
                <w:szCs w:val="21"/>
                <w:color w:val="404040"/>
                <w:spacing w:val="-39"/>
              </w:rPr>
              <w:t xml:space="preserve"> </w:t>
            </w:r>
            <w:r>
              <w:rPr>
                <w:sz w:val="21"/>
                <w:szCs w:val="21"/>
                <w:color w:val="404040"/>
                <w:spacing w:val="-1"/>
              </w:rPr>
              <w:t>清</w:t>
            </w:r>
            <w:r>
              <w:rPr>
                <w:sz w:val="21"/>
                <w:szCs w:val="21"/>
                <w:color w:val="404040"/>
                <w:spacing w:val="-40"/>
              </w:rPr>
              <w:t xml:space="preserve"> </w:t>
            </w:r>
            <w:r>
              <w:rPr>
                <w:sz w:val="21"/>
                <w:szCs w:val="21"/>
                <w:color w:val="404040"/>
                <w:spacing w:val="-1"/>
              </w:rPr>
              <w:t>单</w:t>
            </w:r>
            <w:r>
              <w:rPr>
                <w:sz w:val="21"/>
                <w:szCs w:val="21"/>
                <w:color w:val="404040"/>
                <w:spacing w:val="-39"/>
              </w:rPr>
              <w:t xml:space="preserve"> </w:t>
            </w:r>
            <w:r>
              <w:rPr>
                <w:sz w:val="21"/>
                <w:szCs w:val="21"/>
                <w:color w:val="404040"/>
                <w:spacing w:val="-1"/>
              </w:rPr>
              <w:t>管</w:t>
            </w:r>
            <w:r>
              <w:rPr>
                <w:sz w:val="21"/>
                <w:szCs w:val="21"/>
                <w:color w:val="404040"/>
                <w:spacing w:val="-39"/>
              </w:rPr>
              <w:t xml:space="preserve"> </w:t>
            </w:r>
            <w:r>
              <w:rPr>
                <w:sz w:val="21"/>
                <w:szCs w:val="21"/>
                <w:color w:val="404040"/>
                <w:spacing w:val="-1"/>
              </w:rPr>
              <w:t>控</w:t>
            </w:r>
            <w:r>
              <w:rPr>
                <w:sz w:val="21"/>
                <w:szCs w:val="21"/>
                <w:color w:val="404040"/>
                <w:spacing w:val="-39"/>
              </w:rPr>
              <w:t xml:space="preserve"> </w:t>
            </w:r>
            <w:r>
              <w:rPr>
                <w:sz w:val="21"/>
                <w:szCs w:val="21"/>
                <w:color w:val="404040"/>
                <w:spacing w:val="-1"/>
              </w:rPr>
              <w:t>要</w:t>
            </w:r>
            <w:r>
              <w:rPr>
                <w:sz w:val="21"/>
                <w:szCs w:val="21"/>
                <w:color w:val="404040"/>
                <w:spacing w:val="-40"/>
              </w:rPr>
              <w:t xml:space="preserve"> </w:t>
            </w:r>
            <w:r>
              <w:rPr>
                <w:sz w:val="21"/>
                <w:szCs w:val="21"/>
                <w:color w:val="404040"/>
                <w:spacing w:val="-1"/>
              </w:rPr>
              <w:t>求</w:t>
            </w:r>
          </w:p>
        </w:tc>
        <w:tc>
          <w:tcPr>
            <w:tcW w:w="859" w:type="dxa"/>
            <w:vAlign w:val="top"/>
          </w:tcPr>
          <w:p>
            <w:pPr>
              <w:spacing w:line="250" w:lineRule="auto"/>
              <w:rPr>
                <w:rFonts w:ascii="Arial"/>
                <w:sz w:val="21"/>
              </w:rPr>
            </w:pPr>
            <w:r/>
          </w:p>
          <w:p>
            <w:pPr>
              <w:pStyle w:val="TableText"/>
              <w:ind w:left="205" w:hanging="195"/>
              <w:spacing w:before="69" w:line="222" w:lineRule="auto"/>
              <w:rPr>
                <w:sz w:val="21"/>
                <w:szCs w:val="21"/>
              </w:rPr>
            </w:pPr>
            <w:r>
              <w:rPr>
                <w:sz w:val="21"/>
                <w:szCs w:val="21"/>
                <w:spacing w:val="-1"/>
              </w:rPr>
              <w:t>空间布局</w:t>
            </w:r>
            <w:r>
              <w:rPr>
                <w:sz w:val="21"/>
                <w:szCs w:val="21"/>
                <w:spacing w:val="1"/>
              </w:rPr>
              <w:t xml:space="preserve"> </w:t>
            </w:r>
            <w:r>
              <w:rPr>
                <w:sz w:val="21"/>
                <w:szCs w:val="21"/>
              </w:rPr>
              <w:t>约束</w:t>
            </w:r>
          </w:p>
        </w:tc>
        <w:tc>
          <w:tcPr>
            <w:tcW w:w="7374" w:type="dxa"/>
            <w:vAlign w:val="top"/>
          </w:tcPr>
          <w:p>
            <w:pPr>
              <w:pStyle w:val="TableText"/>
              <w:ind w:left="5"/>
              <w:spacing w:before="47" w:line="219" w:lineRule="auto"/>
              <w:rPr>
                <w:sz w:val="21"/>
                <w:szCs w:val="21"/>
              </w:rPr>
            </w:pPr>
            <w:r>
              <w:rPr>
                <w:sz w:val="21"/>
                <w:szCs w:val="21"/>
                <w:b/>
                <w:bCs/>
                <w:spacing w:val="-3"/>
              </w:rPr>
              <w:t>禁止开发建设活动的要求：暂无</w:t>
            </w:r>
          </w:p>
          <w:p>
            <w:pPr>
              <w:pStyle w:val="TableText"/>
              <w:ind w:left="5"/>
              <w:spacing w:before="21" w:line="220" w:lineRule="auto"/>
              <w:rPr>
                <w:sz w:val="21"/>
                <w:szCs w:val="21"/>
              </w:rPr>
            </w:pPr>
            <w:r>
              <w:rPr>
                <w:sz w:val="21"/>
                <w:szCs w:val="21"/>
                <w:b/>
                <w:bCs/>
                <w:spacing w:val="-3"/>
              </w:rPr>
              <w:t>限制开发建设活动的要求：暂无</w:t>
            </w:r>
          </w:p>
          <w:p>
            <w:pPr>
              <w:pStyle w:val="TableText"/>
              <w:ind w:left="5"/>
              <w:spacing w:before="7" w:line="219" w:lineRule="auto"/>
              <w:rPr>
                <w:sz w:val="21"/>
                <w:szCs w:val="21"/>
              </w:rPr>
            </w:pPr>
            <w:r>
              <w:rPr>
                <w:sz w:val="21"/>
                <w:szCs w:val="21"/>
                <w:b/>
                <w:bCs/>
                <w:spacing w:val="-3"/>
              </w:rPr>
              <w:t>不符合空间布局要求活动的退出要求：暂无</w:t>
            </w:r>
          </w:p>
          <w:p>
            <w:pPr>
              <w:pStyle w:val="TableText"/>
              <w:ind w:left="5"/>
              <w:spacing w:line="219" w:lineRule="auto"/>
              <w:rPr>
                <w:sz w:val="21"/>
                <w:szCs w:val="21"/>
              </w:rPr>
            </w:pPr>
            <w:r>
              <w:rPr>
                <w:sz w:val="21"/>
                <w:szCs w:val="21"/>
                <w:b/>
                <w:bCs/>
                <w:spacing w:val="-3"/>
              </w:rPr>
              <w:t>其他空间布局约束要求：暂无</w:t>
            </w:r>
          </w:p>
        </w:tc>
        <w:tc>
          <w:tcPr>
            <w:tcW w:w="3178" w:type="dxa"/>
            <w:vAlign w:val="top"/>
          </w:tcPr>
          <w:p>
            <w:pPr>
              <w:spacing w:line="376" w:lineRule="auto"/>
              <w:rPr>
                <w:rFonts w:ascii="Arial"/>
                <w:sz w:val="21"/>
              </w:rPr>
            </w:pPr>
            <w:r/>
          </w:p>
          <w:p>
            <w:pPr>
              <w:pStyle w:val="TableText"/>
              <w:ind w:left="1527"/>
              <w:spacing w:before="68" w:line="224" w:lineRule="auto"/>
              <w:rPr>
                <w:sz w:val="21"/>
                <w:szCs w:val="21"/>
              </w:rPr>
            </w:pPr>
            <w:r>
              <w:rPr>
                <w:sz w:val="21"/>
                <w:szCs w:val="21"/>
                <w:color w:val="404040"/>
              </w:rPr>
              <w:t>/</w:t>
            </w:r>
          </w:p>
        </w:tc>
        <w:tc>
          <w:tcPr>
            <w:tcW w:w="645" w:type="dxa"/>
            <w:vAlign w:val="top"/>
          </w:tcPr>
          <w:p>
            <w:pPr>
              <w:spacing w:line="376" w:lineRule="auto"/>
              <w:rPr>
                <w:rFonts w:ascii="Arial"/>
                <w:sz w:val="21"/>
              </w:rPr>
            </w:pPr>
            <w:r/>
          </w:p>
          <w:p>
            <w:pPr>
              <w:pStyle w:val="TableText"/>
              <w:ind w:left="259"/>
              <w:spacing w:before="68" w:line="224" w:lineRule="auto"/>
              <w:rPr>
                <w:sz w:val="21"/>
                <w:szCs w:val="21"/>
              </w:rPr>
            </w:pPr>
            <w:r>
              <w:rPr>
                <w:sz w:val="21"/>
                <w:szCs w:val="21"/>
                <w:color w:val="505060"/>
              </w:rPr>
              <w:t>/</w:t>
            </w:r>
          </w:p>
        </w:tc>
      </w:tr>
      <w:tr>
        <w:trPr>
          <w:trHeight w:val="799" w:hRule="atLeast"/>
        </w:trPr>
        <w:tc>
          <w:tcPr>
            <w:tcW w:w="1084" w:type="dxa"/>
            <w:vAlign w:val="top"/>
            <w:vMerge w:val="continue"/>
            <w:tcBorders>
              <w:top w:val="nil"/>
              <w:bottom w:val="nil"/>
            </w:tcBorders>
          </w:tcPr>
          <w:p>
            <w:pPr>
              <w:rPr>
                <w:rFonts w:ascii="Arial"/>
                <w:sz w:val="21"/>
              </w:rPr>
            </w:pPr>
            <w:r/>
          </w:p>
        </w:tc>
        <w:tc>
          <w:tcPr>
            <w:tcW w:w="290" w:type="dxa"/>
            <w:vAlign w:val="top"/>
            <w:vMerge w:val="continue"/>
            <w:textDirection w:val="tbRlV"/>
            <w:tcBorders>
              <w:top w:val="nil"/>
              <w:bottom w:val="nil"/>
            </w:tcBorders>
          </w:tcPr>
          <w:p>
            <w:pPr>
              <w:rPr>
                <w:rFonts w:ascii="Arial"/>
                <w:sz w:val="21"/>
              </w:rPr>
            </w:pPr>
            <w:r/>
          </w:p>
        </w:tc>
        <w:tc>
          <w:tcPr>
            <w:tcW w:w="859" w:type="dxa"/>
            <w:vAlign w:val="top"/>
          </w:tcPr>
          <w:p>
            <w:pPr>
              <w:pStyle w:val="TableText"/>
              <w:ind w:left="100" w:right="7" w:hanging="90"/>
              <w:spacing w:before="161" w:line="239" w:lineRule="auto"/>
              <w:rPr>
                <w:sz w:val="21"/>
                <w:szCs w:val="21"/>
              </w:rPr>
            </w:pPr>
            <w:r>
              <w:rPr>
                <w:sz w:val="21"/>
                <w:szCs w:val="21"/>
                <w:spacing w:val="-3"/>
              </w:rPr>
              <w:t>污染物排</w:t>
            </w:r>
            <w:r>
              <w:rPr>
                <w:sz w:val="21"/>
                <w:szCs w:val="21"/>
                <w:spacing w:val="1"/>
              </w:rPr>
              <w:t xml:space="preserve"> </w:t>
            </w:r>
            <w:r>
              <w:rPr>
                <w:sz w:val="21"/>
                <w:szCs w:val="21"/>
                <w:spacing w:val="-2"/>
              </w:rPr>
              <w:t>放管控</w:t>
            </w:r>
          </w:p>
        </w:tc>
        <w:tc>
          <w:tcPr>
            <w:tcW w:w="7374" w:type="dxa"/>
            <w:vAlign w:val="top"/>
          </w:tcPr>
          <w:p>
            <w:pPr>
              <w:pStyle w:val="TableText"/>
              <w:ind w:left="5"/>
              <w:spacing w:before="28" w:line="219" w:lineRule="auto"/>
              <w:rPr>
                <w:sz w:val="21"/>
                <w:szCs w:val="21"/>
              </w:rPr>
            </w:pPr>
            <w:r>
              <w:rPr>
                <w:sz w:val="21"/>
                <w:szCs w:val="21"/>
                <w:b/>
                <w:bCs/>
                <w:spacing w:val="-4"/>
              </w:rPr>
              <w:t>允许排放量要求：暂无</w:t>
            </w:r>
          </w:p>
          <w:p>
            <w:pPr>
              <w:pStyle w:val="TableText"/>
              <w:ind w:left="5"/>
              <w:spacing w:before="30" w:line="219" w:lineRule="auto"/>
              <w:rPr>
                <w:sz w:val="21"/>
                <w:szCs w:val="21"/>
              </w:rPr>
            </w:pPr>
            <w:r>
              <w:rPr>
                <w:sz w:val="21"/>
                <w:szCs w:val="21"/>
                <w:b/>
                <w:bCs/>
                <w:spacing w:val="-3"/>
              </w:rPr>
              <w:t>现有源提标升级改造：暂无</w:t>
            </w:r>
          </w:p>
          <w:p>
            <w:pPr>
              <w:pStyle w:val="TableText"/>
              <w:ind w:left="5"/>
              <w:spacing w:line="203" w:lineRule="auto"/>
              <w:rPr>
                <w:sz w:val="21"/>
                <w:szCs w:val="21"/>
              </w:rPr>
            </w:pPr>
            <w:r>
              <w:rPr>
                <w:sz w:val="21"/>
                <w:szCs w:val="21"/>
                <w:b/>
                <w:bCs/>
                <w:spacing w:val="-3"/>
              </w:rPr>
              <w:t>其他污染物排放管控要求：暂无</w:t>
            </w:r>
          </w:p>
        </w:tc>
        <w:tc>
          <w:tcPr>
            <w:tcW w:w="3178" w:type="dxa"/>
            <w:vAlign w:val="top"/>
            <w:textDirection w:val="tbRlV"/>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pStyle w:val="TableText"/>
              <w:ind w:left="273"/>
              <w:spacing w:before="70" w:line="137" w:lineRule="exact"/>
              <w:rPr>
                <w:sz w:val="21"/>
                <w:szCs w:val="21"/>
              </w:rPr>
            </w:pPr>
            <w:r>
              <w:rPr>
                <w:sz w:val="21"/>
                <w:szCs w:val="21"/>
                <w:spacing w:val="52"/>
                <w:w w:val="141"/>
                <w:position w:val="-1"/>
              </w:rPr>
              <w:t>/</w:t>
            </w:r>
          </w:p>
        </w:tc>
        <w:tc>
          <w:tcPr>
            <w:tcW w:w="645" w:type="dxa"/>
            <w:vAlign w:val="top"/>
          </w:tcPr>
          <w:p>
            <w:pPr>
              <w:pStyle w:val="TableText"/>
              <w:ind w:left="259"/>
              <w:spacing w:before="307" w:line="224" w:lineRule="auto"/>
              <w:rPr>
                <w:sz w:val="21"/>
                <w:szCs w:val="21"/>
              </w:rPr>
            </w:pPr>
            <w:r>
              <w:rPr>
                <w:sz w:val="21"/>
                <w:szCs w:val="21"/>
                <w:color w:val="504050"/>
              </w:rPr>
              <w:t>/</w:t>
            </w:r>
          </w:p>
        </w:tc>
      </w:tr>
      <w:tr>
        <w:trPr>
          <w:trHeight w:val="559" w:hRule="atLeast"/>
        </w:trPr>
        <w:tc>
          <w:tcPr>
            <w:tcW w:w="1084" w:type="dxa"/>
            <w:vAlign w:val="top"/>
            <w:vMerge w:val="continue"/>
            <w:tcBorders>
              <w:top w:val="nil"/>
              <w:bottom w:val="nil"/>
            </w:tcBorders>
          </w:tcPr>
          <w:p>
            <w:pPr>
              <w:rPr>
                <w:rFonts w:ascii="Arial"/>
                <w:sz w:val="21"/>
              </w:rPr>
            </w:pPr>
            <w:r/>
          </w:p>
        </w:tc>
        <w:tc>
          <w:tcPr>
            <w:tcW w:w="290" w:type="dxa"/>
            <w:vAlign w:val="top"/>
            <w:vMerge w:val="continue"/>
            <w:textDirection w:val="tbRlV"/>
            <w:tcBorders>
              <w:top w:val="nil"/>
              <w:bottom w:val="nil"/>
            </w:tcBorders>
          </w:tcPr>
          <w:p>
            <w:pPr>
              <w:rPr>
                <w:rFonts w:ascii="Arial"/>
                <w:sz w:val="21"/>
              </w:rPr>
            </w:pPr>
            <w:r/>
          </w:p>
        </w:tc>
        <w:tc>
          <w:tcPr>
            <w:tcW w:w="859" w:type="dxa"/>
            <w:vAlign w:val="top"/>
          </w:tcPr>
          <w:p>
            <w:pPr>
              <w:pStyle w:val="TableText"/>
              <w:ind w:left="210" w:right="6" w:hanging="200"/>
              <w:spacing w:before="43" w:line="222" w:lineRule="auto"/>
              <w:rPr>
                <w:sz w:val="21"/>
                <w:szCs w:val="21"/>
              </w:rPr>
            </w:pPr>
            <w:r>
              <w:rPr>
                <w:sz w:val="21"/>
                <w:szCs w:val="21"/>
                <w:spacing w:val="-3"/>
              </w:rPr>
              <w:t>环境风险</w:t>
            </w:r>
            <w:r>
              <w:rPr>
                <w:sz w:val="21"/>
                <w:szCs w:val="21"/>
                <w:spacing w:val="2"/>
              </w:rPr>
              <w:t xml:space="preserve"> </w:t>
            </w:r>
            <w:r>
              <w:rPr>
                <w:sz w:val="21"/>
                <w:szCs w:val="21"/>
                <w:spacing w:val="4"/>
              </w:rPr>
              <w:t>防控</w:t>
            </w:r>
          </w:p>
        </w:tc>
        <w:tc>
          <w:tcPr>
            <w:tcW w:w="7374" w:type="dxa"/>
            <w:vAlign w:val="top"/>
          </w:tcPr>
          <w:p>
            <w:pPr>
              <w:pStyle w:val="TableText"/>
              <w:ind w:left="5"/>
              <w:spacing w:before="60" w:line="220" w:lineRule="auto"/>
              <w:rPr>
                <w:sz w:val="21"/>
                <w:szCs w:val="21"/>
              </w:rPr>
            </w:pPr>
            <w:r>
              <w:rPr>
                <w:sz w:val="21"/>
                <w:szCs w:val="21"/>
                <w:b/>
                <w:bCs/>
                <w:spacing w:val="-4"/>
              </w:rPr>
              <w:t>联防联控要求：暂无</w:t>
            </w:r>
          </w:p>
          <w:p>
            <w:pPr>
              <w:pStyle w:val="TableText"/>
              <w:ind w:left="5"/>
              <w:spacing w:before="9" w:line="201" w:lineRule="auto"/>
              <w:rPr>
                <w:sz w:val="21"/>
                <w:szCs w:val="21"/>
              </w:rPr>
            </w:pPr>
            <w:r>
              <w:rPr>
                <w:sz w:val="21"/>
                <w:szCs w:val="21"/>
                <w:b/>
                <w:bCs/>
                <w:spacing w:val="-3"/>
              </w:rPr>
              <w:t>其他环境风险防控要求：暂无</w:t>
            </w:r>
          </w:p>
        </w:tc>
        <w:tc>
          <w:tcPr>
            <w:tcW w:w="3178" w:type="dxa"/>
            <w:vAlign w:val="top"/>
          </w:tcPr>
          <w:p>
            <w:pPr>
              <w:pStyle w:val="TableText"/>
              <w:ind w:left="1527"/>
              <w:spacing w:before="188" w:line="224" w:lineRule="auto"/>
              <w:rPr>
                <w:sz w:val="21"/>
                <w:szCs w:val="21"/>
              </w:rPr>
            </w:pPr>
            <w:r>
              <w:rPr>
                <w:sz w:val="21"/>
                <w:szCs w:val="21"/>
              </w:rPr>
              <w:t>/</w:t>
            </w:r>
          </w:p>
        </w:tc>
        <w:tc>
          <w:tcPr>
            <w:tcW w:w="645" w:type="dxa"/>
            <w:vAlign w:val="top"/>
            <w:textDirection w:val="tbRlV"/>
          </w:tcPr>
          <w:p>
            <w:pPr>
              <w:pStyle w:val="TableText"/>
              <w:ind w:left="154"/>
              <w:spacing w:before="275" w:line="137" w:lineRule="exact"/>
              <w:rPr>
                <w:sz w:val="21"/>
                <w:szCs w:val="21"/>
              </w:rPr>
            </w:pPr>
            <w:r>
              <w:rPr>
                <w:sz w:val="21"/>
                <w:szCs w:val="21"/>
                <w:color w:val="504050"/>
                <w:spacing w:val="52"/>
                <w:w w:val="141"/>
                <w:position w:val="-1"/>
              </w:rPr>
              <w:t>/</w:t>
            </w:r>
          </w:p>
        </w:tc>
      </w:tr>
      <w:tr>
        <w:trPr>
          <w:trHeight w:val="1368" w:hRule="atLeast"/>
        </w:trPr>
        <w:tc>
          <w:tcPr>
            <w:tcW w:w="1084" w:type="dxa"/>
            <w:vAlign w:val="top"/>
            <w:vMerge w:val="continue"/>
            <w:tcBorders>
              <w:top w:val="nil"/>
              <w:bottom w:val="nil"/>
            </w:tcBorders>
          </w:tcPr>
          <w:p>
            <w:pPr>
              <w:rPr>
                <w:rFonts w:ascii="Arial"/>
                <w:sz w:val="21"/>
              </w:rPr>
            </w:pPr>
            <w:r/>
          </w:p>
        </w:tc>
        <w:tc>
          <w:tcPr>
            <w:tcW w:w="290" w:type="dxa"/>
            <w:vAlign w:val="top"/>
            <w:vMerge w:val="continue"/>
            <w:textDirection w:val="tbRlV"/>
            <w:tcBorders>
              <w:top w:val="nil"/>
            </w:tcBorders>
          </w:tcPr>
          <w:p>
            <w:pPr>
              <w:rPr>
                <w:rFonts w:ascii="Arial"/>
                <w:sz w:val="21"/>
              </w:rPr>
            </w:pPr>
            <w:r/>
          </w:p>
        </w:tc>
        <w:tc>
          <w:tcPr>
            <w:tcW w:w="859" w:type="dxa"/>
            <w:vAlign w:val="top"/>
          </w:tcPr>
          <w:p>
            <w:pPr>
              <w:spacing w:line="363" w:lineRule="auto"/>
              <w:rPr>
                <w:rFonts w:ascii="Arial"/>
                <w:sz w:val="21"/>
              </w:rPr>
            </w:pPr>
            <w:r/>
          </w:p>
          <w:p>
            <w:pPr>
              <w:pStyle w:val="TableText"/>
              <w:spacing w:before="69" w:line="220" w:lineRule="auto"/>
              <w:jc w:val="right"/>
              <w:rPr>
                <w:sz w:val="21"/>
                <w:szCs w:val="21"/>
              </w:rPr>
            </w:pPr>
            <w:r>
              <w:rPr>
                <w:sz w:val="21"/>
                <w:szCs w:val="21"/>
                <w:spacing w:val="-1"/>
              </w:rPr>
              <w:t>资源开发</w:t>
            </w:r>
          </w:p>
          <w:p>
            <w:pPr>
              <w:pStyle w:val="TableText"/>
              <w:spacing w:before="29" w:line="219" w:lineRule="auto"/>
              <w:jc w:val="right"/>
              <w:rPr>
                <w:sz w:val="21"/>
                <w:szCs w:val="21"/>
              </w:rPr>
            </w:pPr>
            <w:r>
              <w:rPr>
                <w:sz w:val="21"/>
                <w:szCs w:val="21"/>
                <w:spacing w:val="-1"/>
              </w:rPr>
              <w:t>效率要求</w:t>
            </w:r>
          </w:p>
        </w:tc>
        <w:tc>
          <w:tcPr>
            <w:tcW w:w="7374" w:type="dxa"/>
            <w:vAlign w:val="top"/>
          </w:tcPr>
          <w:p>
            <w:pPr>
              <w:pStyle w:val="TableText"/>
              <w:ind w:left="5"/>
              <w:spacing w:before="30" w:line="219" w:lineRule="auto"/>
              <w:rPr>
                <w:sz w:val="21"/>
                <w:szCs w:val="21"/>
              </w:rPr>
            </w:pPr>
            <w:r>
              <w:rPr>
                <w:sz w:val="21"/>
                <w:szCs w:val="21"/>
                <w:b/>
                <w:bCs/>
                <w:spacing w:val="-4"/>
              </w:rPr>
              <w:t>水资源利用总量要求：暂无</w:t>
            </w:r>
          </w:p>
          <w:p>
            <w:pPr>
              <w:pStyle w:val="TableText"/>
              <w:ind w:left="5"/>
              <w:spacing w:before="19" w:line="219" w:lineRule="auto"/>
              <w:rPr>
                <w:sz w:val="21"/>
                <w:szCs w:val="21"/>
              </w:rPr>
            </w:pPr>
            <w:r>
              <w:rPr>
                <w:sz w:val="21"/>
                <w:szCs w:val="21"/>
                <w:b/>
                <w:bCs/>
                <w:spacing w:val="-3"/>
              </w:rPr>
              <w:t>地下水开采要求：暂无</w:t>
            </w:r>
          </w:p>
          <w:p>
            <w:pPr>
              <w:pStyle w:val="TableText"/>
              <w:ind w:left="5"/>
              <w:spacing w:before="32" w:line="219" w:lineRule="auto"/>
              <w:rPr>
                <w:sz w:val="21"/>
                <w:szCs w:val="21"/>
              </w:rPr>
            </w:pPr>
            <w:r>
              <w:rPr>
                <w:sz w:val="21"/>
                <w:szCs w:val="21"/>
                <w:b/>
                <w:bCs/>
                <w:spacing w:val="-4"/>
              </w:rPr>
              <w:t>能源利用总量及效率要求：暂无</w:t>
            </w:r>
          </w:p>
          <w:p>
            <w:pPr>
              <w:pStyle w:val="TableText"/>
              <w:ind w:left="5"/>
              <w:spacing w:before="20" w:line="219" w:lineRule="auto"/>
              <w:rPr>
                <w:sz w:val="21"/>
                <w:szCs w:val="21"/>
              </w:rPr>
            </w:pPr>
            <w:r>
              <w:rPr>
                <w:sz w:val="21"/>
                <w:szCs w:val="21"/>
                <w:b/>
                <w:bCs/>
                <w:spacing w:val="-4"/>
              </w:rPr>
              <w:t>禁燃区要求：暂无</w:t>
            </w:r>
          </w:p>
          <w:p>
            <w:pPr>
              <w:pStyle w:val="TableText"/>
              <w:ind w:left="5"/>
              <w:spacing w:before="10" w:line="218" w:lineRule="auto"/>
              <w:rPr>
                <w:sz w:val="21"/>
                <w:szCs w:val="21"/>
              </w:rPr>
            </w:pPr>
            <w:r>
              <w:rPr>
                <w:sz w:val="21"/>
                <w:szCs w:val="21"/>
                <w:b/>
                <w:bCs/>
                <w:spacing w:val="-3"/>
              </w:rPr>
              <w:t>其他资源利用效率要求：暂无</w:t>
            </w:r>
          </w:p>
        </w:tc>
        <w:tc>
          <w:tcPr>
            <w:tcW w:w="3178" w:type="dxa"/>
            <w:vAlign w:val="top"/>
          </w:tcPr>
          <w:p>
            <w:pPr>
              <w:spacing w:line="259" w:lineRule="auto"/>
              <w:rPr>
                <w:rFonts w:ascii="Arial"/>
                <w:sz w:val="21"/>
              </w:rPr>
            </w:pPr>
            <w:r/>
          </w:p>
          <w:p>
            <w:pPr>
              <w:spacing w:line="259" w:lineRule="auto"/>
              <w:rPr>
                <w:rFonts w:ascii="Arial"/>
                <w:sz w:val="21"/>
              </w:rPr>
            </w:pPr>
            <w:r/>
          </w:p>
          <w:p>
            <w:pPr>
              <w:pStyle w:val="TableText"/>
              <w:ind w:left="1527"/>
              <w:spacing w:before="68" w:line="224" w:lineRule="auto"/>
              <w:rPr>
                <w:sz w:val="21"/>
                <w:szCs w:val="21"/>
              </w:rPr>
            </w:pPr>
            <w:r>
              <w:rPr>
                <w:sz w:val="21"/>
                <w:szCs w:val="21"/>
              </w:rPr>
              <w:t>/</w:t>
            </w:r>
          </w:p>
        </w:tc>
        <w:tc>
          <w:tcPr>
            <w:tcW w:w="645" w:type="dxa"/>
            <w:vAlign w:val="top"/>
          </w:tcPr>
          <w:p>
            <w:pPr>
              <w:spacing w:line="259" w:lineRule="auto"/>
              <w:rPr>
                <w:rFonts w:ascii="Arial"/>
                <w:sz w:val="21"/>
              </w:rPr>
            </w:pPr>
            <w:r/>
          </w:p>
          <w:p>
            <w:pPr>
              <w:spacing w:line="259" w:lineRule="auto"/>
              <w:rPr>
                <w:rFonts w:ascii="Arial"/>
                <w:sz w:val="21"/>
              </w:rPr>
            </w:pPr>
            <w:r/>
          </w:p>
          <w:p>
            <w:pPr>
              <w:pStyle w:val="TableText"/>
              <w:ind w:left="259"/>
              <w:spacing w:before="68" w:line="224" w:lineRule="auto"/>
              <w:rPr>
                <w:sz w:val="21"/>
                <w:szCs w:val="21"/>
              </w:rPr>
            </w:pPr>
            <w:r>
              <w:rPr>
                <w:sz w:val="21"/>
                <w:szCs w:val="21"/>
                <w:color w:val="504050"/>
              </w:rPr>
              <w:t>/</w:t>
            </w:r>
          </w:p>
        </w:tc>
      </w:tr>
      <w:tr>
        <w:trPr>
          <w:trHeight w:val="1608" w:hRule="atLeast"/>
        </w:trPr>
        <w:tc>
          <w:tcPr>
            <w:tcW w:w="1084" w:type="dxa"/>
            <w:vAlign w:val="top"/>
            <w:vMerge w:val="continue"/>
            <w:tcBorders>
              <w:top w:val="nil"/>
              <w:bottom w:val="nil"/>
            </w:tcBorders>
          </w:tcPr>
          <w:p>
            <w:pPr>
              <w:rPr>
                <w:rFonts w:ascii="Arial"/>
                <w:sz w:val="21"/>
              </w:rPr>
            </w:pPr>
            <w:r/>
          </w:p>
        </w:tc>
        <w:tc>
          <w:tcPr>
            <w:tcW w:w="290" w:type="dxa"/>
            <w:vAlign w:val="top"/>
            <w:vMerge w:val="restart"/>
            <w:textDirection w:val="tbRlV"/>
            <w:tcBorders>
              <w:bottom w:val="nil"/>
            </w:tcBorders>
          </w:tcPr>
          <w:p>
            <w:pPr>
              <w:pStyle w:val="TableText"/>
              <w:ind w:left="407"/>
              <w:spacing w:before="47" w:line="201" w:lineRule="auto"/>
              <w:rPr>
                <w:sz w:val="21"/>
                <w:szCs w:val="21"/>
              </w:rPr>
            </w:pPr>
            <w:r>
              <w:rPr>
                <w:sz w:val="21"/>
                <w:szCs w:val="21"/>
                <w:color w:val="504040"/>
                <w:spacing w:val="-1"/>
              </w:rPr>
              <w:t>单</w:t>
            </w:r>
            <w:r>
              <w:rPr>
                <w:sz w:val="21"/>
                <w:szCs w:val="21"/>
                <w:color w:val="504040"/>
                <w:spacing w:val="-29"/>
              </w:rPr>
              <w:t xml:space="preserve"> </w:t>
            </w:r>
            <w:r>
              <w:rPr>
                <w:sz w:val="21"/>
                <w:szCs w:val="21"/>
                <w:color w:val="504040"/>
                <w:spacing w:val="-1"/>
              </w:rPr>
              <w:t>元</w:t>
            </w:r>
            <w:r>
              <w:rPr>
                <w:sz w:val="21"/>
                <w:szCs w:val="21"/>
                <w:color w:val="504040"/>
                <w:spacing w:val="-37"/>
              </w:rPr>
              <w:t xml:space="preserve"> </w:t>
            </w:r>
            <w:r>
              <w:rPr>
                <w:sz w:val="21"/>
                <w:szCs w:val="21"/>
                <w:color w:val="504040"/>
                <w:spacing w:val="-1"/>
              </w:rPr>
              <w:t>级</w:t>
            </w:r>
            <w:r>
              <w:rPr>
                <w:sz w:val="21"/>
                <w:szCs w:val="21"/>
                <w:color w:val="504040"/>
                <w:spacing w:val="-37"/>
              </w:rPr>
              <w:t xml:space="preserve"> </w:t>
            </w:r>
            <w:r>
              <w:rPr>
                <w:sz w:val="21"/>
                <w:szCs w:val="21"/>
                <w:color w:val="504040"/>
                <w:spacing w:val="-1"/>
              </w:rPr>
              <w:t>清</w:t>
            </w:r>
            <w:r>
              <w:rPr>
                <w:sz w:val="21"/>
                <w:szCs w:val="21"/>
                <w:color w:val="504040"/>
                <w:spacing w:val="-37"/>
              </w:rPr>
              <w:t xml:space="preserve"> </w:t>
            </w:r>
            <w:r>
              <w:rPr>
                <w:sz w:val="21"/>
                <w:szCs w:val="21"/>
                <w:color w:val="504040"/>
                <w:spacing w:val="-1"/>
              </w:rPr>
              <w:t>单</w:t>
            </w:r>
            <w:r>
              <w:rPr>
                <w:sz w:val="21"/>
                <w:szCs w:val="21"/>
                <w:color w:val="504040"/>
                <w:spacing w:val="-37"/>
              </w:rPr>
              <w:t xml:space="preserve"> </w:t>
            </w:r>
            <w:r>
              <w:rPr>
                <w:sz w:val="21"/>
                <w:szCs w:val="21"/>
                <w:color w:val="504040"/>
                <w:spacing w:val="-1"/>
              </w:rPr>
              <w:t>管</w:t>
            </w:r>
            <w:r>
              <w:rPr>
                <w:sz w:val="21"/>
                <w:szCs w:val="21"/>
                <w:color w:val="504040"/>
                <w:spacing w:val="-37"/>
              </w:rPr>
              <w:t xml:space="preserve"> </w:t>
            </w:r>
            <w:r>
              <w:rPr>
                <w:sz w:val="21"/>
                <w:szCs w:val="21"/>
                <w:color w:val="504040"/>
                <w:spacing w:val="-1"/>
              </w:rPr>
              <w:t>控</w:t>
            </w:r>
            <w:r>
              <w:rPr>
                <w:sz w:val="21"/>
                <w:szCs w:val="21"/>
                <w:color w:val="504040"/>
                <w:spacing w:val="-37"/>
              </w:rPr>
              <w:t xml:space="preserve"> </w:t>
            </w:r>
            <w:r>
              <w:rPr>
                <w:sz w:val="21"/>
                <w:szCs w:val="21"/>
                <w:color w:val="504040"/>
                <w:spacing w:val="-1"/>
              </w:rPr>
              <w:t>要</w:t>
            </w:r>
            <w:r>
              <w:rPr>
                <w:sz w:val="21"/>
                <w:szCs w:val="21"/>
                <w:color w:val="504040"/>
                <w:spacing w:val="-37"/>
              </w:rPr>
              <w:t xml:space="preserve"> </w:t>
            </w:r>
            <w:r>
              <w:rPr>
                <w:sz w:val="21"/>
                <w:szCs w:val="21"/>
                <w:color w:val="504040"/>
                <w:spacing w:val="-1"/>
              </w:rPr>
              <w:t>求</w:t>
            </w:r>
          </w:p>
        </w:tc>
        <w:tc>
          <w:tcPr>
            <w:tcW w:w="859" w:type="dxa"/>
            <w:vAlign w:val="top"/>
          </w:tcPr>
          <w:p>
            <w:pPr>
              <w:spacing w:line="257" w:lineRule="auto"/>
              <w:rPr>
                <w:rFonts w:ascii="Arial"/>
                <w:sz w:val="21"/>
              </w:rPr>
            </w:pPr>
            <w:r/>
          </w:p>
          <w:p>
            <w:pPr>
              <w:spacing w:line="257" w:lineRule="auto"/>
              <w:rPr>
                <w:rFonts w:ascii="Arial"/>
                <w:sz w:val="21"/>
              </w:rPr>
            </w:pPr>
            <w:r/>
          </w:p>
          <w:p>
            <w:pPr>
              <w:pStyle w:val="TableText"/>
              <w:ind w:left="205" w:hanging="195"/>
              <w:spacing w:before="68" w:line="222" w:lineRule="auto"/>
              <w:rPr>
                <w:sz w:val="21"/>
                <w:szCs w:val="21"/>
              </w:rPr>
            </w:pPr>
            <w:r>
              <w:rPr>
                <w:sz w:val="21"/>
                <w:szCs w:val="21"/>
                <w:spacing w:val="-1"/>
              </w:rPr>
              <w:t>空间布局</w:t>
            </w:r>
            <w:r>
              <w:rPr>
                <w:sz w:val="21"/>
                <w:szCs w:val="21"/>
                <w:spacing w:val="1"/>
              </w:rPr>
              <w:t xml:space="preserve"> </w:t>
            </w:r>
            <w:r>
              <w:rPr>
                <w:sz w:val="21"/>
                <w:szCs w:val="21"/>
              </w:rPr>
              <w:t>约束</w:t>
            </w:r>
          </w:p>
        </w:tc>
        <w:tc>
          <w:tcPr>
            <w:tcW w:w="7374" w:type="dxa"/>
            <w:vAlign w:val="top"/>
          </w:tcPr>
          <w:p>
            <w:pPr>
              <w:pStyle w:val="TableText"/>
              <w:ind w:left="5"/>
              <w:spacing w:before="43" w:line="220" w:lineRule="auto"/>
              <w:rPr>
                <w:sz w:val="21"/>
                <w:szCs w:val="21"/>
              </w:rPr>
            </w:pPr>
            <w:r>
              <w:rPr>
                <w:sz w:val="21"/>
                <w:szCs w:val="21"/>
                <w:b/>
                <w:bCs/>
                <w:spacing w:val="-2"/>
              </w:rPr>
              <w:t>限制开发建设活动的要求</w:t>
            </w:r>
          </w:p>
          <w:p>
            <w:pPr>
              <w:pStyle w:val="TableText"/>
              <w:ind w:left="2" w:right="20"/>
              <w:spacing w:before="12"/>
              <w:rPr>
                <w:sz w:val="21"/>
                <w:szCs w:val="21"/>
              </w:rPr>
            </w:pPr>
            <w:r>
              <w:rPr>
                <w:sz w:val="21"/>
                <w:szCs w:val="21"/>
              </w:rPr>
              <w:t>严控磷铵、黄磷等产业违规新增产能加快退出不符合产</w:t>
            </w:r>
            <w:r>
              <w:rPr>
                <w:sz w:val="21"/>
                <w:szCs w:val="21"/>
                <w:spacing w:val="-1"/>
              </w:rPr>
              <w:t>业政策和环保要求、不满</w:t>
            </w:r>
            <w:r>
              <w:rPr>
                <w:sz w:val="21"/>
                <w:szCs w:val="21"/>
              </w:rPr>
              <w:t xml:space="preserve"> </w:t>
            </w:r>
            <w:r>
              <w:rPr>
                <w:sz w:val="21"/>
                <w:szCs w:val="21"/>
                <w:spacing w:val="-1"/>
              </w:rPr>
              <w:t>足安全生产条件的涉磷企业</w:t>
            </w:r>
          </w:p>
          <w:p>
            <w:pPr>
              <w:pStyle w:val="TableText"/>
              <w:ind w:left="5"/>
              <w:spacing w:line="219" w:lineRule="auto"/>
              <w:rPr>
                <w:sz w:val="21"/>
                <w:szCs w:val="21"/>
              </w:rPr>
            </w:pPr>
            <w:r>
              <w:rPr>
                <w:sz w:val="21"/>
                <w:szCs w:val="21"/>
                <w:b/>
                <w:bCs/>
                <w:spacing w:val="-4"/>
              </w:rPr>
              <w:t>允许开发建设活动的要求</w:t>
            </w:r>
          </w:p>
          <w:p>
            <w:pPr>
              <w:pStyle w:val="TableText"/>
              <w:ind w:left="5"/>
              <w:spacing w:before="19" w:line="219" w:lineRule="auto"/>
              <w:rPr>
                <w:sz w:val="21"/>
                <w:szCs w:val="21"/>
              </w:rPr>
            </w:pPr>
            <w:r>
              <w:rPr>
                <w:sz w:val="21"/>
                <w:szCs w:val="21"/>
                <w:b/>
                <w:bCs/>
                <w:spacing w:val="-3"/>
              </w:rPr>
              <w:t>不符合空间布局要求活动的退出要求</w:t>
            </w:r>
          </w:p>
          <w:p>
            <w:pPr>
              <w:pStyle w:val="TableText"/>
              <w:ind w:left="5"/>
              <w:spacing w:before="1" w:line="199" w:lineRule="auto"/>
              <w:rPr>
                <w:sz w:val="21"/>
                <w:szCs w:val="21"/>
              </w:rPr>
            </w:pPr>
            <w:r>
              <w:rPr>
                <w:sz w:val="21"/>
                <w:szCs w:val="21"/>
                <w:b/>
                <w:bCs/>
                <w:spacing w:val="-4"/>
              </w:rPr>
              <w:t>其他空间布局约束要求</w:t>
            </w:r>
          </w:p>
        </w:tc>
        <w:tc>
          <w:tcPr>
            <w:tcW w:w="3178" w:type="dxa"/>
            <w:vAlign w:val="top"/>
          </w:tcPr>
          <w:p>
            <w:pPr>
              <w:spacing w:line="316" w:lineRule="auto"/>
              <w:rPr>
                <w:rFonts w:ascii="Arial"/>
                <w:sz w:val="21"/>
              </w:rPr>
            </w:pPr>
            <w:r/>
          </w:p>
          <w:p>
            <w:pPr>
              <w:spacing w:line="317" w:lineRule="auto"/>
              <w:rPr>
                <w:rFonts w:ascii="Arial"/>
                <w:sz w:val="21"/>
              </w:rPr>
            </w:pPr>
            <w:r/>
          </w:p>
          <w:p>
            <w:pPr>
              <w:pStyle w:val="TableText"/>
              <w:ind w:left="117"/>
              <w:spacing w:before="68" w:line="219" w:lineRule="auto"/>
              <w:rPr>
                <w:sz w:val="21"/>
                <w:szCs w:val="21"/>
              </w:rPr>
            </w:pPr>
            <w:r>
              <w:rPr>
                <w:sz w:val="21"/>
                <w:szCs w:val="21"/>
              </w:rPr>
              <w:t>同普适性清单管控要求相关内容</w:t>
            </w:r>
          </w:p>
        </w:tc>
        <w:tc>
          <w:tcPr>
            <w:tcW w:w="645" w:type="dxa"/>
            <w:vAlign w:val="top"/>
          </w:tcPr>
          <w:p>
            <w:pPr>
              <w:spacing w:line="316" w:lineRule="auto"/>
              <w:rPr>
                <w:rFonts w:ascii="Arial"/>
                <w:sz w:val="21"/>
              </w:rPr>
            </w:pPr>
            <w:r/>
          </w:p>
          <w:p>
            <w:pPr>
              <w:spacing w:line="317" w:lineRule="auto"/>
              <w:rPr>
                <w:rFonts w:ascii="Arial"/>
                <w:sz w:val="21"/>
              </w:rPr>
            </w:pPr>
            <w:r/>
          </w:p>
          <w:p>
            <w:pPr>
              <w:pStyle w:val="TableText"/>
              <w:ind w:left="110"/>
              <w:spacing w:before="68" w:line="219" w:lineRule="auto"/>
              <w:rPr>
                <w:sz w:val="21"/>
                <w:szCs w:val="21"/>
              </w:rPr>
            </w:pPr>
            <w:r>
              <w:rPr>
                <w:sz w:val="21"/>
                <w:szCs w:val="21"/>
                <w:spacing w:val="-3"/>
              </w:rPr>
              <w:t>符合</w:t>
            </w:r>
          </w:p>
        </w:tc>
      </w:tr>
      <w:tr>
        <w:trPr>
          <w:trHeight w:val="1643" w:hRule="atLeast"/>
        </w:trPr>
        <w:tc>
          <w:tcPr>
            <w:tcW w:w="1084" w:type="dxa"/>
            <w:vAlign w:val="top"/>
            <w:vMerge w:val="continue"/>
            <w:tcBorders>
              <w:top w:val="nil"/>
            </w:tcBorders>
          </w:tcPr>
          <w:p>
            <w:pPr>
              <w:rPr>
                <w:rFonts w:ascii="Arial"/>
                <w:sz w:val="21"/>
              </w:rPr>
            </w:pPr>
            <w:r/>
          </w:p>
        </w:tc>
        <w:tc>
          <w:tcPr>
            <w:tcW w:w="290" w:type="dxa"/>
            <w:vAlign w:val="top"/>
            <w:vMerge w:val="continue"/>
            <w:textDirection w:val="tbRlV"/>
            <w:tcBorders>
              <w:top w:val="nil"/>
            </w:tcBorders>
          </w:tcPr>
          <w:p>
            <w:pPr>
              <w:rPr>
                <w:rFonts w:ascii="Arial"/>
                <w:sz w:val="21"/>
              </w:rPr>
            </w:pPr>
            <w:r/>
          </w:p>
        </w:tc>
        <w:tc>
          <w:tcPr>
            <w:tcW w:w="859" w:type="dxa"/>
            <w:vAlign w:val="top"/>
          </w:tcPr>
          <w:p>
            <w:pPr>
              <w:spacing w:line="257" w:lineRule="auto"/>
              <w:rPr>
                <w:rFonts w:ascii="Arial"/>
                <w:sz w:val="21"/>
              </w:rPr>
            </w:pPr>
            <w:r/>
          </w:p>
          <w:p>
            <w:pPr>
              <w:spacing w:line="258" w:lineRule="auto"/>
              <w:rPr>
                <w:rFonts w:ascii="Arial"/>
                <w:sz w:val="21"/>
              </w:rPr>
            </w:pPr>
            <w:r/>
          </w:p>
          <w:p>
            <w:pPr>
              <w:pStyle w:val="TableText"/>
              <w:ind w:left="100" w:right="7" w:hanging="90"/>
              <w:spacing w:before="68" w:line="248" w:lineRule="auto"/>
              <w:rPr>
                <w:sz w:val="21"/>
                <w:szCs w:val="21"/>
              </w:rPr>
            </w:pPr>
            <w:r>
              <w:rPr>
                <w:sz w:val="21"/>
                <w:szCs w:val="21"/>
                <w:spacing w:val="-3"/>
              </w:rPr>
              <w:t>污染物排</w:t>
            </w:r>
            <w:r>
              <w:rPr>
                <w:sz w:val="21"/>
                <w:szCs w:val="21"/>
                <w:spacing w:val="1"/>
              </w:rPr>
              <w:t xml:space="preserve"> </w:t>
            </w:r>
            <w:r>
              <w:rPr>
                <w:sz w:val="21"/>
                <w:szCs w:val="21"/>
                <w:spacing w:val="-2"/>
              </w:rPr>
              <w:t>放管控</w:t>
            </w:r>
          </w:p>
        </w:tc>
        <w:tc>
          <w:tcPr>
            <w:tcW w:w="7374" w:type="dxa"/>
            <w:vAlign w:val="top"/>
          </w:tcPr>
          <w:p>
            <w:pPr>
              <w:pStyle w:val="TableText"/>
              <w:ind w:left="5"/>
              <w:spacing w:before="44" w:line="219" w:lineRule="auto"/>
              <w:rPr>
                <w:sz w:val="21"/>
                <w:szCs w:val="21"/>
              </w:rPr>
            </w:pPr>
            <w:r>
              <w:rPr>
                <w:sz w:val="21"/>
                <w:szCs w:val="21"/>
                <w:b/>
                <w:bCs/>
                <w:spacing w:val="-3"/>
              </w:rPr>
              <w:t>城镇污水污染控制措施要求</w:t>
            </w:r>
          </w:p>
          <w:p>
            <w:pPr>
              <w:pStyle w:val="TableText"/>
              <w:ind w:left="5"/>
              <w:spacing w:before="40" w:line="219" w:lineRule="auto"/>
              <w:rPr>
                <w:sz w:val="21"/>
                <w:szCs w:val="21"/>
              </w:rPr>
            </w:pPr>
            <w:r>
              <w:rPr>
                <w:sz w:val="21"/>
                <w:szCs w:val="21"/>
                <w:b/>
                <w:bCs/>
                <w:spacing w:val="-4"/>
              </w:rPr>
              <w:t>工业废水污染控制措施要求</w:t>
            </w:r>
          </w:p>
          <w:p>
            <w:pPr>
              <w:pStyle w:val="TableText"/>
              <w:ind w:left="2" w:firstLine="9"/>
              <w:spacing w:before="2" w:line="230" w:lineRule="auto"/>
              <w:jc w:val="both"/>
              <w:rPr>
                <w:sz w:val="21"/>
                <w:szCs w:val="21"/>
              </w:rPr>
            </w:pPr>
            <w:r>
              <w:rPr>
                <w:sz w:val="21"/>
                <w:szCs w:val="21"/>
              </w:rPr>
              <w:t>1、深入实施工业企业污水处理设施升级改造，全面实现工业废水达标排放。2、</w:t>
            </w:r>
            <w:r>
              <w:rPr>
                <w:sz w:val="21"/>
                <w:szCs w:val="21"/>
                <w:spacing w:val="1"/>
              </w:rPr>
              <w:t xml:space="preserve"> </w:t>
            </w:r>
            <w:r>
              <w:rPr>
                <w:sz w:val="21"/>
                <w:szCs w:val="21"/>
                <w:spacing w:val="-3"/>
              </w:rPr>
              <w:t>强化工业集聚区污水治理，推进工业污水集中处理设施及配套收集系统建设与提</w:t>
            </w:r>
            <w:r>
              <w:rPr>
                <w:sz w:val="21"/>
                <w:szCs w:val="21"/>
                <w:spacing w:val="5"/>
              </w:rPr>
              <w:t xml:space="preserve">  </w:t>
            </w:r>
            <w:r>
              <w:rPr>
                <w:sz w:val="21"/>
                <w:szCs w:val="21"/>
                <w:spacing w:val="-3"/>
              </w:rPr>
              <w:t>标升级改造，大力推进现有污水收集、处理设施问题排查及整治；完善园区及企</w:t>
            </w:r>
            <w:r>
              <w:rPr>
                <w:sz w:val="21"/>
                <w:szCs w:val="21"/>
                <w:spacing w:val="1"/>
              </w:rPr>
              <w:t xml:space="preserve">  </w:t>
            </w:r>
            <w:r>
              <w:rPr>
                <w:sz w:val="21"/>
                <w:szCs w:val="21"/>
                <w:spacing w:val="-2"/>
              </w:rPr>
              <w:t>业雨污分流系统，全面推进医药、化工等行业初</w:t>
            </w:r>
            <w:r>
              <w:rPr>
                <w:sz w:val="21"/>
                <w:szCs w:val="21"/>
                <w:spacing w:val="-3"/>
              </w:rPr>
              <w:t>期雨水收集处理，推动有条件的</w:t>
            </w:r>
          </w:p>
        </w:tc>
        <w:tc>
          <w:tcPr>
            <w:tcW w:w="3178" w:type="dxa"/>
            <w:vAlign w:val="top"/>
          </w:tcPr>
          <w:p>
            <w:pPr>
              <w:pStyle w:val="TableText"/>
              <w:ind w:left="8" w:firstLine="49"/>
              <w:spacing w:before="48" w:line="243" w:lineRule="auto"/>
              <w:rPr>
                <w:sz w:val="21"/>
                <w:szCs w:val="21"/>
              </w:rPr>
            </w:pPr>
            <w:r>
              <w:rPr>
                <w:sz w:val="21"/>
                <w:szCs w:val="21"/>
                <w:spacing w:val="-3"/>
              </w:rPr>
              <w:t>本项目餐饮废水经隔油池处理后，</w:t>
            </w:r>
            <w:r>
              <w:rPr>
                <w:sz w:val="21"/>
                <w:szCs w:val="21"/>
                <w:spacing w:val="4"/>
              </w:rPr>
              <w:t xml:space="preserve"> </w:t>
            </w:r>
            <w:r>
              <w:rPr>
                <w:sz w:val="21"/>
                <w:szCs w:val="21"/>
                <w:spacing w:val="-3"/>
              </w:rPr>
              <w:t>与生活污水一同经预处理池处理达</w:t>
            </w:r>
            <w:r>
              <w:rPr>
                <w:sz w:val="21"/>
                <w:szCs w:val="21"/>
                <w:spacing w:val="7"/>
              </w:rPr>
              <w:t xml:space="preserve"> </w:t>
            </w:r>
            <w:r>
              <w:rPr>
                <w:sz w:val="21"/>
                <w:szCs w:val="21"/>
                <w:spacing w:val="-2"/>
              </w:rPr>
              <w:t>到《污水综合排放标准》(GB897</w:t>
            </w:r>
          </w:p>
          <w:p>
            <w:pPr>
              <w:pStyle w:val="TableText"/>
              <w:ind w:left="8" w:right="18" w:firstLine="50"/>
              <w:spacing w:before="1" w:line="221" w:lineRule="auto"/>
              <w:rPr>
                <w:sz w:val="21"/>
                <w:szCs w:val="21"/>
              </w:rPr>
            </w:pPr>
            <w:r>
              <w:rPr>
                <w:sz w:val="21"/>
                <w:szCs w:val="21"/>
                <w:spacing w:val="2"/>
              </w:rPr>
              <w:t>8-1996)三级标准；生产废水经自</w:t>
            </w:r>
            <w:r>
              <w:rPr>
                <w:sz w:val="21"/>
                <w:szCs w:val="21"/>
                <w:spacing w:val="3"/>
              </w:rPr>
              <w:t xml:space="preserve"> </w:t>
            </w:r>
            <w:r>
              <w:rPr>
                <w:sz w:val="21"/>
                <w:szCs w:val="21"/>
                <w:spacing w:val="-1"/>
              </w:rPr>
              <w:t>健污水处理站处理达到《肉类加工</w:t>
            </w:r>
            <w:r>
              <w:rPr>
                <w:sz w:val="21"/>
                <w:szCs w:val="21"/>
                <w:spacing w:val="5"/>
              </w:rPr>
              <w:t xml:space="preserve"> </w:t>
            </w:r>
            <w:r>
              <w:rPr>
                <w:sz w:val="21"/>
                <w:szCs w:val="21"/>
                <w:spacing w:val="-1"/>
              </w:rPr>
              <w:t>工业水污染物排放标准》(GB134</w:t>
            </w:r>
          </w:p>
        </w:tc>
        <w:tc>
          <w:tcPr>
            <w:tcW w:w="645" w:type="dxa"/>
            <w:vAlign w:val="top"/>
          </w:tcPr>
          <w:p>
            <w:pPr>
              <w:spacing w:line="327" w:lineRule="auto"/>
              <w:rPr>
                <w:rFonts w:ascii="Arial"/>
                <w:sz w:val="21"/>
              </w:rPr>
            </w:pPr>
            <w:r/>
          </w:p>
          <w:p>
            <w:pPr>
              <w:spacing w:line="328" w:lineRule="auto"/>
              <w:rPr>
                <w:rFonts w:ascii="Arial"/>
                <w:sz w:val="21"/>
              </w:rPr>
            </w:pPr>
            <w:r/>
          </w:p>
          <w:p>
            <w:pPr>
              <w:pStyle w:val="TableText"/>
              <w:ind w:left="110"/>
              <w:spacing w:before="68" w:line="219" w:lineRule="auto"/>
              <w:rPr>
                <w:sz w:val="21"/>
                <w:szCs w:val="21"/>
              </w:rPr>
            </w:pPr>
            <w:r>
              <w:rPr>
                <w:sz w:val="21"/>
                <w:szCs w:val="21"/>
                <w:spacing w:val="-3"/>
              </w:rPr>
              <w:t>符合</w:t>
            </w:r>
          </w:p>
        </w:tc>
      </w:tr>
    </w:tbl>
    <w:p>
      <w:pPr>
        <w:pStyle w:val="BodyText"/>
        <w:rPr/>
      </w:pPr>
      <w:r/>
    </w:p>
    <w:p>
      <w:pPr>
        <w:sectPr>
          <w:headerReference w:type="default" r:id="rId107"/>
          <w:footerReference w:type="default" r:id="rId110"/>
          <w:pgSz w:w="16840" w:h="11910"/>
          <w:pgMar w:top="1177" w:right="1724" w:bottom="953" w:left="1674" w:header="885" w:footer="706" w:gutter="0"/>
        </w:sectPr>
        <w:rPr/>
      </w:pPr>
    </w:p>
    <w:p>
      <w:pPr>
        <w:spacing w:before="33"/>
        <w:rPr/>
      </w:pPr>
      <w:r/>
    </w:p>
    <w:tbl>
      <w:tblPr>
        <w:tblStyle w:val="TableNormal"/>
        <w:tblW w:w="1343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84"/>
        <w:gridCol w:w="290"/>
        <w:gridCol w:w="859"/>
        <w:gridCol w:w="7374"/>
        <w:gridCol w:w="3178"/>
        <w:gridCol w:w="645"/>
      </w:tblGrid>
      <w:tr>
        <w:trPr>
          <w:trHeight w:val="274" w:hRule="atLeast"/>
        </w:trPr>
        <w:tc>
          <w:tcPr>
            <w:shd w:val="clear" w:fill="BDBDBD"/>
            <w:tcW w:w="9607" w:type="dxa"/>
            <w:vAlign w:val="top"/>
            <w:gridSpan w:val="4"/>
          </w:tcPr>
          <w:p>
            <w:pPr>
              <w:pStyle w:val="TableText"/>
              <w:ind w:left="3643"/>
              <w:spacing w:before="30" w:line="205" w:lineRule="auto"/>
              <w:rPr>
                <w:sz w:val="21"/>
                <w:szCs w:val="21"/>
              </w:rPr>
            </w:pPr>
            <w:r>
              <w:rPr>
                <w:sz w:val="21"/>
                <w:szCs w:val="21"/>
                <w:b/>
                <w:bCs/>
                <w:spacing w:val="7"/>
              </w:rPr>
              <w:t>“三线一单”的具体要求</w:t>
            </w:r>
          </w:p>
        </w:tc>
        <w:tc>
          <w:tcPr>
            <w:shd w:val="clear" w:fill="BDBDBD"/>
            <w:tcW w:w="3178" w:type="dxa"/>
            <w:vAlign w:val="top"/>
            <w:vMerge w:val="restart"/>
            <w:tcBorders>
              <w:bottom w:val="nil"/>
            </w:tcBorders>
          </w:tcPr>
          <w:p>
            <w:pPr>
              <w:pStyle w:val="TableText"/>
              <w:ind w:left="771"/>
              <w:spacing w:before="169" w:line="219" w:lineRule="auto"/>
              <w:rPr>
                <w:sz w:val="21"/>
                <w:szCs w:val="21"/>
              </w:rPr>
            </w:pPr>
            <w:r>
              <w:rPr>
                <w:sz w:val="21"/>
                <w:szCs w:val="21"/>
                <w:b/>
                <w:bCs/>
                <w:spacing w:val="-1"/>
              </w:rPr>
              <w:t>项目对应情况介绍</w:t>
            </w:r>
          </w:p>
        </w:tc>
        <w:tc>
          <w:tcPr>
            <w:shd w:val="clear" w:fill="BDBDBD"/>
            <w:tcW w:w="645" w:type="dxa"/>
            <w:vAlign w:val="top"/>
            <w:vMerge w:val="restart"/>
            <w:tcBorders>
              <w:bottom w:val="nil"/>
            </w:tcBorders>
          </w:tcPr>
          <w:p>
            <w:pPr>
              <w:pStyle w:val="TableText"/>
              <w:ind w:left="111" w:hanging="88"/>
              <w:spacing w:before="20" w:line="230" w:lineRule="auto"/>
              <w:rPr>
                <w:sz w:val="21"/>
                <w:szCs w:val="21"/>
              </w:rPr>
            </w:pPr>
            <w:r>
              <w:rPr>
                <w:sz w:val="21"/>
                <w:szCs w:val="21"/>
                <w:b/>
                <w:bCs/>
                <w:spacing w:val="-9"/>
              </w:rPr>
              <w:t>符合性</w:t>
            </w:r>
            <w:r>
              <w:rPr>
                <w:sz w:val="21"/>
                <w:szCs w:val="21"/>
                <w:spacing w:val="1"/>
              </w:rPr>
              <w:t xml:space="preserve"> </w:t>
            </w:r>
            <w:r>
              <w:rPr>
                <w:sz w:val="21"/>
                <w:szCs w:val="21"/>
                <w:b/>
                <w:bCs/>
                <w:spacing w:val="-7"/>
              </w:rPr>
              <w:t>分析</w:t>
            </w:r>
          </w:p>
        </w:tc>
      </w:tr>
      <w:tr>
        <w:trPr>
          <w:trHeight w:val="270" w:hRule="atLeast"/>
        </w:trPr>
        <w:tc>
          <w:tcPr>
            <w:shd w:val="clear" w:fill="BDBDBD"/>
            <w:tcW w:w="2233" w:type="dxa"/>
            <w:vAlign w:val="top"/>
            <w:gridSpan w:val="3"/>
          </w:tcPr>
          <w:p>
            <w:pPr>
              <w:pStyle w:val="TableText"/>
              <w:ind w:left="887"/>
              <w:spacing w:before="26" w:line="205" w:lineRule="auto"/>
              <w:rPr>
                <w:sz w:val="21"/>
                <w:szCs w:val="21"/>
              </w:rPr>
            </w:pPr>
            <w:r>
              <w:rPr>
                <w:sz w:val="21"/>
                <w:szCs w:val="21"/>
                <w:b/>
                <w:bCs/>
                <w:spacing w:val="-5"/>
              </w:rPr>
              <w:t>类别</w:t>
            </w:r>
          </w:p>
        </w:tc>
        <w:tc>
          <w:tcPr>
            <w:shd w:val="clear" w:fill="BDBDBD"/>
            <w:tcW w:w="7374" w:type="dxa"/>
            <w:vAlign w:val="top"/>
          </w:tcPr>
          <w:p>
            <w:pPr>
              <w:pStyle w:val="TableText"/>
              <w:ind w:left="3055"/>
              <w:spacing w:before="26" w:line="205" w:lineRule="auto"/>
              <w:rPr>
                <w:sz w:val="21"/>
                <w:szCs w:val="21"/>
              </w:rPr>
            </w:pPr>
            <w:r>
              <w:rPr>
                <w:sz w:val="21"/>
                <w:szCs w:val="21"/>
                <w:b/>
                <w:bCs/>
                <w:spacing w:val="-4"/>
              </w:rPr>
              <w:t>对应管控要求</w:t>
            </w:r>
          </w:p>
        </w:tc>
        <w:tc>
          <w:tcPr>
            <w:tcW w:w="3178" w:type="dxa"/>
            <w:vAlign w:val="top"/>
            <w:vMerge w:val="continue"/>
            <w:tcBorders>
              <w:top w:val="nil"/>
            </w:tcBorders>
          </w:tcPr>
          <w:p>
            <w:pPr>
              <w:rPr>
                <w:rFonts w:ascii="Arial"/>
                <w:sz w:val="21"/>
              </w:rPr>
            </w:pPr>
            <w:r/>
          </w:p>
        </w:tc>
        <w:tc>
          <w:tcPr>
            <w:tcW w:w="645" w:type="dxa"/>
            <w:vAlign w:val="top"/>
            <w:vMerge w:val="continue"/>
            <w:tcBorders>
              <w:top w:val="nil"/>
            </w:tcBorders>
          </w:tcPr>
          <w:p>
            <w:pPr>
              <w:rPr>
                <w:rFonts w:ascii="Arial"/>
                <w:sz w:val="21"/>
              </w:rPr>
            </w:pPr>
            <w:r/>
          </w:p>
        </w:tc>
      </w:tr>
      <w:tr>
        <w:trPr>
          <w:trHeight w:val="2717" w:hRule="atLeast"/>
        </w:trPr>
        <w:tc>
          <w:tcPr>
            <w:tcW w:w="1084" w:type="dxa"/>
            <w:vAlign w:val="top"/>
            <w:vMerge w:val="restart"/>
            <w:tcBorders>
              <w:bottom w:val="nil"/>
            </w:tcBorders>
          </w:tcPr>
          <w:p>
            <w:pPr>
              <w:rPr>
                <w:rFonts w:ascii="Arial"/>
                <w:sz w:val="21"/>
              </w:rPr>
            </w:pPr>
            <w:r/>
          </w:p>
        </w:tc>
        <w:tc>
          <w:tcPr>
            <w:tcW w:w="290" w:type="dxa"/>
            <w:vAlign w:val="top"/>
            <w:vMerge w:val="restart"/>
            <w:tcBorders>
              <w:bottom w:val="nil"/>
            </w:tcBorders>
          </w:tcPr>
          <w:p>
            <w:pPr>
              <w:rPr>
                <w:rFonts w:ascii="Arial"/>
                <w:sz w:val="21"/>
              </w:rPr>
            </w:pPr>
            <w:r/>
          </w:p>
        </w:tc>
        <w:tc>
          <w:tcPr>
            <w:tcW w:w="859" w:type="dxa"/>
            <w:vAlign w:val="top"/>
          </w:tcPr>
          <w:p>
            <w:pPr>
              <w:rPr>
                <w:rFonts w:ascii="Arial"/>
                <w:sz w:val="21"/>
              </w:rPr>
            </w:pPr>
            <w:r/>
          </w:p>
        </w:tc>
        <w:tc>
          <w:tcPr>
            <w:tcW w:w="7374" w:type="dxa"/>
            <w:vAlign w:val="top"/>
          </w:tcPr>
          <w:p>
            <w:pPr>
              <w:pStyle w:val="TableText"/>
              <w:ind w:left="11"/>
              <w:spacing w:before="40" w:line="238" w:lineRule="auto"/>
              <w:rPr>
                <w:sz w:val="21"/>
                <w:szCs w:val="21"/>
              </w:rPr>
            </w:pPr>
            <w:r>
              <w:rPr>
                <w:sz w:val="21"/>
                <w:szCs w:val="21"/>
                <w:spacing w:val="-3"/>
              </w:rPr>
              <w:t>园区实施入园企业“一企一管、明管输送、实时监测”。3、加强工业园区集中污</w:t>
            </w:r>
            <w:r>
              <w:rPr>
                <w:sz w:val="21"/>
                <w:szCs w:val="21"/>
                <w:spacing w:val="4"/>
              </w:rPr>
              <w:t xml:space="preserve"> </w:t>
            </w:r>
            <w:r>
              <w:rPr>
                <w:sz w:val="21"/>
                <w:szCs w:val="21"/>
              </w:rPr>
              <w:t>水处理设施运行监管，加强企业废水预处理和排水管理，鼓励纳管企业与园区污 </w:t>
            </w:r>
            <w:r>
              <w:rPr>
                <w:sz w:val="21"/>
                <w:szCs w:val="21"/>
                <w:spacing w:val="-1"/>
              </w:rPr>
              <w:t>水处理厂运营单位通过签订委托处理合同等方式协同处理废水。4、加强新化学</w:t>
            </w:r>
            <w:r>
              <w:rPr>
                <w:sz w:val="21"/>
                <w:szCs w:val="21"/>
                <w:spacing w:val="7"/>
              </w:rPr>
              <w:t xml:space="preserve">  </w:t>
            </w:r>
            <w:r>
              <w:rPr>
                <w:sz w:val="21"/>
                <w:szCs w:val="21"/>
                <w:spacing w:val="-1"/>
              </w:rPr>
              <w:t>物质环境管理，严格执行《新化学物质环境管理登记办法》,落实企业新化学物</w:t>
            </w:r>
            <w:r>
              <w:rPr>
                <w:sz w:val="21"/>
                <w:szCs w:val="21"/>
                <w:spacing w:val="8"/>
              </w:rPr>
              <w:t xml:space="preserve">  </w:t>
            </w:r>
            <w:r>
              <w:rPr>
                <w:sz w:val="21"/>
                <w:szCs w:val="21"/>
              </w:rPr>
              <w:t>质环境风险防控主体责任。落实国家《优先控制化学品名录(第一批)》《优先</w:t>
            </w:r>
          </w:p>
          <w:p>
            <w:pPr>
              <w:pStyle w:val="TableText"/>
              <w:ind w:left="11"/>
              <w:spacing w:before="25" w:line="219" w:lineRule="auto"/>
              <w:rPr>
                <w:sz w:val="21"/>
                <w:szCs w:val="21"/>
              </w:rPr>
            </w:pPr>
            <w:r>
              <w:rPr>
                <w:sz w:val="21"/>
                <w:szCs w:val="21"/>
              </w:rPr>
              <w:t>控制化学品名录(第二批)》《重点管控新污染物清单(20</w:t>
            </w:r>
            <w:r>
              <w:rPr>
                <w:sz w:val="21"/>
                <w:szCs w:val="21"/>
                <w:spacing w:val="-1"/>
              </w:rPr>
              <w:t>23年版)》环境风</w:t>
            </w:r>
          </w:p>
          <w:p>
            <w:pPr>
              <w:pStyle w:val="TableText"/>
              <w:ind w:left="11"/>
              <w:spacing w:before="10" w:line="219" w:lineRule="auto"/>
              <w:rPr>
                <w:sz w:val="21"/>
                <w:szCs w:val="21"/>
              </w:rPr>
            </w:pPr>
            <w:r>
              <w:rPr>
                <w:sz w:val="21"/>
                <w:szCs w:val="21"/>
                <w:spacing w:val="-1"/>
              </w:rPr>
              <w:t>险管控措施。</w:t>
            </w:r>
          </w:p>
          <w:p>
            <w:pPr>
              <w:pStyle w:val="TableText"/>
              <w:ind w:left="14"/>
              <w:spacing w:before="27" w:line="219" w:lineRule="auto"/>
              <w:rPr>
                <w:sz w:val="21"/>
                <w:szCs w:val="21"/>
              </w:rPr>
            </w:pPr>
            <w:r>
              <w:rPr>
                <w:sz w:val="21"/>
                <w:szCs w:val="21"/>
                <w:b/>
                <w:bCs/>
                <w:spacing w:val="-3"/>
              </w:rPr>
              <w:t>农业面源水污染控制措施要求</w:t>
            </w:r>
          </w:p>
          <w:p>
            <w:pPr>
              <w:pStyle w:val="TableText"/>
              <w:ind w:left="14"/>
              <w:spacing w:before="21" w:line="219" w:lineRule="auto"/>
              <w:rPr>
                <w:sz w:val="21"/>
                <w:szCs w:val="21"/>
              </w:rPr>
            </w:pPr>
            <w:r>
              <w:rPr>
                <w:sz w:val="21"/>
                <w:szCs w:val="21"/>
                <w:b/>
                <w:bCs/>
                <w:spacing w:val="-3"/>
              </w:rPr>
              <w:t>船舶港口水污染控制措施要求</w:t>
            </w:r>
          </w:p>
          <w:p>
            <w:pPr>
              <w:pStyle w:val="TableText"/>
              <w:ind w:left="14"/>
              <w:spacing w:before="21" w:line="185" w:lineRule="auto"/>
              <w:rPr>
                <w:sz w:val="21"/>
                <w:szCs w:val="21"/>
              </w:rPr>
            </w:pPr>
            <w:r>
              <w:rPr>
                <w:sz w:val="21"/>
                <w:szCs w:val="21"/>
                <w:b/>
                <w:bCs/>
                <w:spacing w:val="-3"/>
              </w:rPr>
              <w:t>饮用水水源和其它特殊水体保护要求</w:t>
            </w:r>
          </w:p>
        </w:tc>
        <w:tc>
          <w:tcPr>
            <w:tcW w:w="3178" w:type="dxa"/>
            <w:vAlign w:val="top"/>
          </w:tcPr>
          <w:p>
            <w:pPr>
              <w:pStyle w:val="TableText"/>
              <w:ind w:left="8"/>
              <w:spacing w:before="40" w:line="220" w:lineRule="auto"/>
              <w:rPr>
                <w:sz w:val="21"/>
                <w:szCs w:val="21"/>
              </w:rPr>
            </w:pPr>
            <w:r>
              <w:rPr>
                <w:sz w:val="21"/>
                <w:szCs w:val="21"/>
              </w:rPr>
              <w:t>57-92)表3中三级标准后，与生</w:t>
            </w:r>
          </w:p>
          <w:p>
            <w:pPr>
              <w:pStyle w:val="TableText"/>
              <w:ind w:left="8" w:firstLine="10"/>
              <w:spacing w:before="20" w:line="238" w:lineRule="auto"/>
              <w:rPr>
                <w:sz w:val="21"/>
                <w:szCs w:val="21"/>
              </w:rPr>
            </w:pPr>
            <w:r>
              <w:rPr>
                <w:sz w:val="21"/>
                <w:szCs w:val="21"/>
                <w:spacing w:val="-1"/>
              </w:rPr>
              <w:t>活污水一同经厂区总排口排至园区</w:t>
            </w:r>
            <w:r>
              <w:rPr>
                <w:sz w:val="21"/>
                <w:szCs w:val="21"/>
                <w:spacing w:val="13"/>
              </w:rPr>
              <w:t xml:space="preserve"> </w:t>
            </w:r>
            <w:r>
              <w:rPr>
                <w:sz w:val="21"/>
                <w:szCs w:val="21"/>
                <w:spacing w:val="-2"/>
              </w:rPr>
              <w:t>污水管网，经管网引至安州区第三</w:t>
            </w:r>
            <w:r>
              <w:rPr>
                <w:sz w:val="21"/>
                <w:szCs w:val="21"/>
                <w:spacing w:val="1"/>
              </w:rPr>
              <w:t xml:space="preserve"> </w:t>
            </w:r>
            <w:r>
              <w:rPr>
                <w:sz w:val="21"/>
                <w:szCs w:val="21"/>
                <w:spacing w:val="-1"/>
              </w:rPr>
              <w:t>污水处理厂处理，属于间接排放，</w:t>
            </w:r>
            <w:r>
              <w:rPr>
                <w:sz w:val="21"/>
                <w:szCs w:val="21"/>
                <w:spacing w:val="1"/>
              </w:rPr>
              <w:t xml:space="preserve"> </w:t>
            </w:r>
            <w:r>
              <w:rPr>
                <w:sz w:val="21"/>
                <w:szCs w:val="21"/>
                <w:spacing w:val="-1"/>
              </w:rPr>
              <w:t>总量纳入污水处理厂总量控制要</w:t>
            </w:r>
          </w:p>
          <w:p>
            <w:pPr>
              <w:pStyle w:val="TableText"/>
              <w:ind w:left="8"/>
              <w:spacing w:before="24" w:line="243" w:lineRule="auto"/>
              <w:rPr>
                <w:sz w:val="21"/>
                <w:szCs w:val="21"/>
              </w:rPr>
            </w:pPr>
            <w:r>
              <w:rPr>
                <w:sz w:val="21"/>
                <w:szCs w:val="21"/>
                <w:spacing w:val="-2"/>
              </w:rPr>
              <w:t>求；项目运营期间严格按照排污许</w:t>
            </w:r>
            <w:r>
              <w:rPr>
                <w:sz w:val="21"/>
                <w:szCs w:val="21"/>
                <w:spacing w:val="7"/>
              </w:rPr>
              <w:t xml:space="preserve"> </w:t>
            </w:r>
            <w:r>
              <w:rPr>
                <w:sz w:val="21"/>
                <w:szCs w:val="21"/>
              </w:rPr>
              <w:t>可制度申请排污许可证及其后期管</w:t>
            </w:r>
            <w:r>
              <w:rPr>
                <w:sz w:val="21"/>
                <w:szCs w:val="21"/>
                <w:spacing w:val="8"/>
              </w:rPr>
              <w:t xml:space="preserve"> </w:t>
            </w:r>
            <w:r>
              <w:rPr>
                <w:sz w:val="21"/>
                <w:szCs w:val="21"/>
                <w:spacing w:val="1"/>
              </w:rPr>
              <w:t>理。</w:t>
            </w:r>
          </w:p>
        </w:tc>
        <w:tc>
          <w:tcPr>
            <w:tcW w:w="645" w:type="dxa"/>
            <w:vAlign w:val="top"/>
          </w:tcPr>
          <w:p>
            <w:pPr>
              <w:rPr>
                <w:rFonts w:ascii="Arial"/>
                <w:sz w:val="21"/>
              </w:rPr>
            </w:pPr>
            <w:r/>
          </w:p>
        </w:tc>
      </w:tr>
      <w:tr>
        <w:trPr>
          <w:trHeight w:val="1368" w:hRule="atLeast"/>
        </w:trPr>
        <w:tc>
          <w:tcPr>
            <w:tcW w:w="1084" w:type="dxa"/>
            <w:vAlign w:val="top"/>
            <w:vMerge w:val="continue"/>
            <w:tcBorders>
              <w:top w:val="nil"/>
              <w:bottom w:val="nil"/>
            </w:tcBorders>
          </w:tcPr>
          <w:p>
            <w:pPr>
              <w:rPr>
                <w:rFonts w:ascii="Arial"/>
                <w:sz w:val="21"/>
              </w:rPr>
            </w:pPr>
            <w:r/>
          </w:p>
        </w:tc>
        <w:tc>
          <w:tcPr>
            <w:tcW w:w="290" w:type="dxa"/>
            <w:vAlign w:val="top"/>
            <w:vMerge w:val="continue"/>
            <w:tcBorders>
              <w:top w:val="nil"/>
              <w:bottom w:val="nil"/>
            </w:tcBorders>
          </w:tcPr>
          <w:p>
            <w:pPr>
              <w:rPr>
                <w:rFonts w:ascii="Arial"/>
                <w:sz w:val="21"/>
              </w:rPr>
            </w:pPr>
            <w:r/>
          </w:p>
        </w:tc>
        <w:tc>
          <w:tcPr>
            <w:tcW w:w="859" w:type="dxa"/>
            <w:vAlign w:val="top"/>
          </w:tcPr>
          <w:p>
            <w:pPr>
              <w:spacing w:line="372" w:lineRule="auto"/>
              <w:rPr>
                <w:rFonts w:ascii="Arial"/>
                <w:sz w:val="21"/>
              </w:rPr>
            </w:pPr>
            <w:r/>
          </w:p>
          <w:p>
            <w:pPr>
              <w:pStyle w:val="TableText"/>
              <w:ind w:left="210" w:right="6" w:hanging="200"/>
              <w:spacing w:before="68"/>
              <w:rPr>
                <w:sz w:val="21"/>
                <w:szCs w:val="21"/>
              </w:rPr>
            </w:pPr>
            <w:r>
              <w:rPr>
                <w:sz w:val="21"/>
                <w:szCs w:val="21"/>
                <w:spacing w:val="-3"/>
              </w:rPr>
              <w:t>环境风险</w:t>
            </w:r>
            <w:r>
              <w:rPr>
                <w:sz w:val="21"/>
                <w:szCs w:val="21"/>
                <w:spacing w:val="2"/>
              </w:rPr>
              <w:t xml:space="preserve"> </w:t>
            </w:r>
            <w:r>
              <w:rPr>
                <w:sz w:val="21"/>
                <w:szCs w:val="21"/>
                <w:spacing w:val="4"/>
              </w:rPr>
              <w:t>防控</w:t>
            </w:r>
          </w:p>
        </w:tc>
        <w:tc>
          <w:tcPr>
            <w:tcW w:w="7374" w:type="dxa"/>
            <w:vAlign w:val="top"/>
          </w:tcPr>
          <w:p>
            <w:pPr>
              <w:pStyle w:val="TableText"/>
              <w:ind w:left="11"/>
              <w:spacing w:before="32" w:line="233" w:lineRule="auto"/>
              <w:jc w:val="both"/>
              <w:rPr>
                <w:sz w:val="21"/>
                <w:szCs w:val="21"/>
              </w:rPr>
            </w:pPr>
            <w:r>
              <w:rPr>
                <w:sz w:val="21"/>
                <w:szCs w:val="21"/>
                <w:spacing w:val="-1"/>
              </w:rPr>
              <w:t>禁止在长江干支流岸线一公里范围内新建、扩建化工园区和化工项目。按要求设</w:t>
            </w:r>
            <w:r>
              <w:rPr>
                <w:sz w:val="21"/>
                <w:szCs w:val="21"/>
                <w:spacing w:val="12"/>
              </w:rPr>
              <w:t xml:space="preserve"> </w:t>
            </w:r>
            <w:r>
              <w:rPr>
                <w:sz w:val="21"/>
                <w:szCs w:val="21"/>
              </w:rPr>
              <w:t>置生态隔离带，建设相应的防护工程。合理设置与抗风险能力相匹配的事故调蓄</w:t>
            </w:r>
            <w:r>
              <w:rPr>
                <w:sz w:val="21"/>
                <w:szCs w:val="21"/>
                <w:spacing w:val="1"/>
              </w:rPr>
              <w:t xml:space="preserve"> </w:t>
            </w:r>
            <w:r>
              <w:rPr>
                <w:sz w:val="21"/>
                <w:szCs w:val="21"/>
              </w:rPr>
              <w:t>设施和环境应急措施。强化工业园区环境风险防控工作，突出全防全</w:t>
            </w:r>
            <w:r>
              <w:rPr>
                <w:sz w:val="21"/>
                <w:szCs w:val="21"/>
                <w:spacing w:val="-1"/>
              </w:rPr>
              <w:t>控，完善各</w:t>
            </w:r>
            <w:r>
              <w:rPr>
                <w:sz w:val="21"/>
                <w:szCs w:val="21"/>
              </w:rPr>
              <w:t xml:space="preserve"> </w:t>
            </w:r>
            <w:r>
              <w:rPr>
                <w:sz w:val="21"/>
                <w:szCs w:val="21"/>
              </w:rPr>
              <w:t>项环境风险防范制度，确保将风险防范纳入日常环境管理制度体系</w:t>
            </w:r>
            <w:r>
              <w:rPr>
                <w:sz w:val="21"/>
                <w:szCs w:val="21"/>
                <w:spacing w:val="-1"/>
              </w:rPr>
              <w:t>。加强执法监</w:t>
            </w:r>
            <w:r>
              <w:rPr>
                <w:sz w:val="21"/>
                <w:szCs w:val="21"/>
              </w:rPr>
              <w:t xml:space="preserve"> </w:t>
            </w:r>
            <w:r>
              <w:rPr>
                <w:sz w:val="21"/>
                <w:szCs w:val="21"/>
                <w:spacing w:val="-1"/>
              </w:rPr>
              <w:t>督，实现对工业园区、重点工矿企业和主要环境风险类型的动态监控。</w:t>
            </w:r>
          </w:p>
        </w:tc>
        <w:tc>
          <w:tcPr>
            <w:tcW w:w="3178" w:type="dxa"/>
            <w:vAlign w:val="top"/>
          </w:tcPr>
          <w:p>
            <w:pPr>
              <w:spacing w:line="370" w:lineRule="auto"/>
              <w:rPr>
                <w:rFonts w:ascii="Arial"/>
                <w:sz w:val="21"/>
              </w:rPr>
            </w:pPr>
            <w:r/>
          </w:p>
          <w:p>
            <w:pPr>
              <w:pStyle w:val="TableText"/>
              <w:ind w:left="8"/>
              <w:spacing w:before="68" w:line="219" w:lineRule="auto"/>
              <w:rPr>
                <w:sz w:val="21"/>
                <w:szCs w:val="21"/>
              </w:rPr>
            </w:pPr>
            <w:r>
              <w:rPr>
                <w:sz w:val="21"/>
                <w:szCs w:val="21"/>
                <w:spacing w:val="1"/>
              </w:rPr>
              <w:t>本项目为“C1351牲畜屠宰”项</w:t>
            </w:r>
          </w:p>
          <w:p>
            <w:pPr>
              <w:pStyle w:val="TableText"/>
              <w:ind w:left="8"/>
              <w:spacing w:before="22" w:line="220" w:lineRule="auto"/>
              <w:rPr>
                <w:sz w:val="21"/>
                <w:szCs w:val="21"/>
              </w:rPr>
            </w:pPr>
            <w:r>
              <w:rPr>
                <w:sz w:val="21"/>
                <w:szCs w:val="21"/>
              </w:rPr>
              <w:t>目，不涉及化工园区及化工项目。</w:t>
            </w:r>
          </w:p>
        </w:tc>
        <w:tc>
          <w:tcPr>
            <w:tcW w:w="645" w:type="dxa"/>
            <w:vAlign w:val="top"/>
          </w:tcPr>
          <w:p>
            <w:pPr>
              <w:spacing w:line="255" w:lineRule="auto"/>
              <w:rPr>
                <w:rFonts w:ascii="Arial"/>
                <w:sz w:val="21"/>
              </w:rPr>
            </w:pPr>
            <w:r/>
          </w:p>
          <w:p>
            <w:pPr>
              <w:spacing w:line="256" w:lineRule="auto"/>
              <w:rPr>
                <w:rFonts w:ascii="Arial"/>
                <w:sz w:val="21"/>
              </w:rPr>
            </w:pPr>
            <w:r/>
          </w:p>
          <w:p>
            <w:pPr>
              <w:pStyle w:val="TableText"/>
              <w:ind w:left="110"/>
              <w:spacing w:before="68" w:line="219" w:lineRule="auto"/>
              <w:rPr>
                <w:sz w:val="21"/>
                <w:szCs w:val="21"/>
              </w:rPr>
            </w:pPr>
            <w:r>
              <w:rPr>
                <w:sz w:val="21"/>
                <w:szCs w:val="21"/>
                <w:spacing w:val="-3"/>
              </w:rPr>
              <w:t>符合</w:t>
            </w:r>
          </w:p>
        </w:tc>
      </w:tr>
      <w:tr>
        <w:trPr>
          <w:trHeight w:val="2986" w:hRule="atLeast"/>
        </w:trPr>
        <w:tc>
          <w:tcPr>
            <w:tcW w:w="1084" w:type="dxa"/>
            <w:vAlign w:val="top"/>
            <w:vMerge w:val="continue"/>
            <w:tcBorders>
              <w:top w:val="nil"/>
            </w:tcBorders>
          </w:tcPr>
          <w:p>
            <w:pPr>
              <w:rPr>
                <w:rFonts w:ascii="Arial"/>
                <w:sz w:val="21"/>
              </w:rPr>
            </w:pPr>
            <w:r/>
          </w:p>
        </w:tc>
        <w:tc>
          <w:tcPr>
            <w:tcW w:w="290" w:type="dxa"/>
            <w:vAlign w:val="top"/>
            <w:vMerge w:val="continue"/>
            <w:tcBorders>
              <w:top w:val="nil"/>
            </w:tcBorders>
          </w:tcPr>
          <w:p>
            <w:pPr>
              <w:rPr>
                <w:rFonts w:ascii="Arial"/>
                <w:sz w:val="21"/>
              </w:rPr>
            </w:pPr>
            <w:r/>
          </w:p>
        </w:tc>
        <w:tc>
          <w:tcPr>
            <w:tcW w:w="859" w:type="dxa"/>
            <w:vAlign w:val="top"/>
          </w:tcPr>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spacing w:before="69" w:line="210" w:lineRule="auto"/>
              <w:jc w:val="right"/>
              <w:rPr>
                <w:sz w:val="21"/>
                <w:szCs w:val="21"/>
              </w:rPr>
            </w:pPr>
            <w:r>
              <w:rPr>
                <w:sz w:val="21"/>
                <w:szCs w:val="21"/>
                <w:spacing w:val="-1"/>
              </w:rPr>
              <w:t>资源开发</w:t>
            </w:r>
          </w:p>
          <w:p>
            <w:pPr>
              <w:pStyle w:val="TableText"/>
              <w:spacing w:line="219" w:lineRule="auto"/>
              <w:jc w:val="right"/>
              <w:rPr>
                <w:sz w:val="21"/>
                <w:szCs w:val="21"/>
              </w:rPr>
            </w:pPr>
            <w:r>
              <w:rPr>
                <w:sz w:val="21"/>
                <w:szCs w:val="21"/>
                <w:spacing w:val="-1"/>
              </w:rPr>
              <w:t>效率要求</w:t>
            </w:r>
          </w:p>
        </w:tc>
        <w:tc>
          <w:tcPr>
            <w:tcW w:w="7374" w:type="dxa"/>
            <w:vAlign w:val="top"/>
          </w:tcPr>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11"/>
              <w:spacing w:before="69" w:line="218" w:lineRule="auto"/>
              <w:rPr>
                <w:sz w:val="21"/>
                <w:szCs w:val="21"/>
              </w:rPr>
            </w:pPr>
            <w:r>
              <w:rPr>
                <w:sz w:val="21"/>
                <w:szCs w:val="21"/>
              </w:rPr>
              <w:t>加强高耗水行业用水定额管理，以水定产，严格控制高耗水新建、改建、扩建项</w:t>
            </w:r>
            <w:r>
              <w:rPr>
                <w:sz w:val="21"/>
                <w:szCs w:val="21"/>
                <w:spacing w:val="1"/>
              </w:rPr>
              <w:t xml:space="preserve"> </w:t>
            </w:r>
            <w:r>
              <w:rPr>
                <w:sz w:val="21"/>
                <w:szCs w:val="21"/>
                <w:spacing w:val="-25"/>
              </w:rPr>
              <w:t>目</w:t>
            </w:r>
            <w:r>
              <w:rPr>
                <w:sz w:val="21"/>
                <w:szCs w:val="21"/>
                <w:spacing w:val="-31"/>
              </w:rPr>
              <w:t xml:space="preserve"> </w:t>
            </w:r>
            <w:r>
              <w:rPr>
                <w:sz w:val="21"/>
                <w:szCs w:val="21"/>
                <w:spacing w:val="-25"/>
              </w:rPr>
              <w:t>。</w:t>
            </w:r>
          </w:p>
        </w:tc>
        <w:tc>
          <w:tcPr>
            <w:tcW w:w="3178" w:type="dxa"/>
            <w:vAlign w:val="top"/>
          </w:tcPr>
          <w:p>
            <w:pPr>
              <w:pStyle w:val="TableText"/>
              <w:ind w:left="18"/>
              <w:spacing w:before="44" w:line="237" w:lineRule="auto"/>
              <w:rPr>
                <w:sz w:val="21"/>
                <w:szCs w:val="21"/>
              </w:rPr>
            </w:pPr>
            <w:r>
              <w:rPr>
                <w:sz w:val="21"/>
                <w:szCs w:val="21"/>
                <w:spacing w:val="-1"/>
              </w:rPr>
              <w:t>本项目主要涉及有毒有害、易燃易</w:t>
            </w:r>
            <w:r>
              <w:rPr>
                <w:sz w:val="21"/>
                <w:szCs w:val="21"/>
                <w:spacing w:val="13"/>
              </w:rPr>
              <w:t xml:space="preserve"> </w:t>
            </w:r>
            <w:r>
              <w:rPr>
                <w:sz w:val="21"/>
                <w:szCs w:val="21"/>
                <w:spacing w:val="-1"/>
              </w:rPr>
              <w:t>爆物质为天然气(甲烷)、消毒剂</w:t>
            </w:r>
          </w:p>
          <w:p>
            <w:pPr>
              <w:pStyle w:val="TableText"/>
              <w:ind w:left="8"/>
              <w:spacing w:line="218" w:lineRule="auto"/>
              <w:rPr>
                <w:sz w:val="21"/>
                <w:szCs w:val="21"/>
              </w:rPr>
            </w:pPr>
            <w:r>
              <w:rPr>
                <w:sz w:val="21"/>
                <w:szCs w:val="21"/>
              </w:rPr>
              <w:t>次氯酸钠、制冷剂(R507)、柴</w:t>
            </w:r>
          </w:p>
          <w:p>
            <w:pPr>
              <w:pStyle w:val="TableText"/>
              <w:ind w:left="8"/>
              <w:spacing w:before="10" w:line="219" w:lineRule="auto"/>
              <w:rPr>
                <w:sz w:val="21"/>
                <w:szCs w:val="21"/>
              </w:rPr>
            </w:pPr>
            <w:r>
              <w:rPr>
                <w:sz w:val="21"/>
                <w:szCs w:val="21"/>
              </w:rPr>
              <w:t>油、废机油，不属于高风险化学</w:t>
            </w:r>
          </w:p>
          <w:p>
            <w:pPr>
              <w:pStyle w:val="TableText"/>
              <w:ind w:left="8"/>
              <w:spacing w:before="20" w:line="234" w:lineRule="auto"/>
              <w:rPr>
                <w:sz w:val="21"/>
                <w:szCs w:val="21"/>
              </w:rPr>
            </w:pPr>
            <w:r>
              <w:rPr>
                <w:sz w:val="21"/>
                <w:szCs w:val="21"/>
              </w:rPr>
              <w:t>品，本项目属于牲畜屠宰行业，不</w:t>
            </w:r>
            <w:r>
              <w:rPr>
                <w:sz w:val="21"/>
                <w:szCs w:val="21"/>
                <w:spacing w:val="8"/>
              </w:rPr>
              <w:t xml:space="preserve"> </w:t>
            </w:r>
            <w:r>
              <w:rPr>
                <w:sz w:val="21"/>
                <w:szCs w:val="21"/>
                <w:spacing w:val="-2"/>
              </w:rPr>
              <w:t>排放重金属污染物。</w:t>
            </w:r>
            <w:r>
              <w:rPr>
                <w:sz w:val="21"/>
                <w:szCs w:val="21"/>
                <w:b/>
                <w:bCs/>
                <w:spacing w:val="-2"/>
              </w:rPr>
              <w:t>环评要求：后</w:t>
            </w:r>
            <w:r>
              <w:rPr>
                <w:sz w:val="21"/>
                <w:szCs w:val="21"/>
                <w:spacing w:val="8"/>
              </w:rPr>
              <w:t xml:space="preserve"> </w:t>
            </w:r>
            <w:r>
              <w:rPr>
                <w:sz w:val="21"/>
                <w:szCs w:val="21"/>
                <w:b/>
                <w:bCs/>
                <w:spacing w:val="-3"/>
              </w:rPr>
              <w:t>期企业需要进行搬迁等工作时，应</w:t>
            </w:r>
            <w:r>
              <w:rPr>
                <w:sz w:val="21"/>
                <w:szCs w:val="21"/>
                <w:spacing w:val="11"/>
              </w:rPr>
              <w:t xml:space="preserve"> </w:t>
            </w:r>
            <w:r>
              <w:rPr>
                <w:sz w:val="21"/>
                <w:szCs w:val="21"/>
                <w:b/>
                <w:bCs/>
                <w:spacing w:val="-3"/>
              </w:rPr>
              <w:t>按照有关规定制定残留污染物清理</w:t>
            </w:r>
            <w:r>
              <w:rPr>
                <w:sz w:val="21"/>
                <w:szCs w:val="21"/>
                <w:spacing w:val="12"/>
              </w:rPr>
              <w:t xml:space="preserve"> </w:t>
            </w:r>
            <w:r>
              <w:rPr>
                <w:sz w:val="21"/>
                <w:szCs w:val="21"/>
                <w:b/>
                <w:bCs/>
                <w:spacing w:val="-3"/>
              </w:rPr>
              <w:t>和安全处置方案，要严格按照有关</w:t>
            </w:r>
            <w:r>
              <w:rPr>
                <w:sz w:val="21"/>
                <w:szCs w:val="21"/>
                <w:spacing w:val="3"/>
              </w:rPr>
              <w:t xml:space="preserve"> </w:t>
            </w:r>
            <w:r>
              <w:rPr>
                <w:sz w:val="21"/>
                <w:szCs w:val="21"/>
                <w:b/>
                <w:bCs/>
                <w:spacing w:val="-3"/>
              </w:rPr>
              <w:t>规定实施安全处理处置，防范拆除</w:t>
            </w:r>
            <w:r>
              <w:rPr>
                <w:sz w:val="21"/>
                <w:szCs w:val="21"/>
                <w:spacing w:val="13"/>
              </w:rPr>
              <w:t xml:space="preserve"> </w:t>
            </w:r>
            <w:r>
              <w:rPr>
                <w:sz w:val="21"/>
                <w:szCs w:val="21"/>
                <w:b/>
                <w:bCs/>
                <w:spacing w:val="-3"/>
              </w:rPr>
              <w:t>活动污染土壤。</w:t>
            </w:r>
          </w:p>
        </w:tc>
        <w:tc>
          <w:tcPr>
            <w:tcW w:w="645" w:type="dxa"/>
            <w:vAlign w:val="top"/>
          </w:tcPr>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pStyle w:val="TableText"/>
              <w:ind w:left="110"/>
              <w:spacing w:before="68" w:line="219" w:lineRule="auto"/>
              <w:rPr>
                <w:sz w:val="21"/>
                <w:szCs w:val="21"/>
              </w:rPr>
            </w:pPr>
            <w:r>
              <w:rPr>
                <w:sz w:val="21"/>
                <w:szCs w:val="21"/>
                <w:spacing w:val="-3"/>
              </w:rPr>
              <w:t>符合</w:t>
            </w:r>
          </w:p>
        </w:tc>
      </w:tr>
      <w:tr>
        <w:trPr>
          <w:trHeight w:val="1094" w:hRule="atLeast"/>
        </w:trPr>
        <w:tc>
          <w:tcPr>
            <w:tcW w:w="1084" w:type="dxa"/>
            <w:vAlign w:val="top"/>
          </w:tcPr>
          <w:p>
            <w:pPr>
              <w:pStyle w:val="TableText"/>
              <w:ind w:left="8"/>
              <w:spacing w:before="165" w:line="219" w:lineRule="auto"/>
              <w:rPr>
                <w:sz w:val="21"/>
                <w:szCs w:val="21"/>
              </w:rPr>
            </w:pPr>
            <w:r>
              <w:rPr>
                <w:sz w:val="21"/>
                <w:szCs w:val="21"/>
                <w:b/>
                <w:bCs/>
                <w:spacing w:val="-4"/>
              </w:rPr>
              <w:t>环境管控单</w:t>
            </w:r>
          </w:p>
          <w:p>
            <w:pPr>
              <w:pStyle w:val="TableText"/>
              <w:ind w:left="8"/>
              <w:spacing w:before="30" w:line="214" w:lineRule="auto"/>
              <w:rPr>
                <w:sz w:val="21"/>
                <w:szCs w:val="21"/>
              </w:rPr>
            </w:pPr>
            <w:r>
              <w:rPr>
                <w:sz w:val="21"/>
                <w:szCs w:val="21"/>
                <w:b/>
                <w:bCs/>
                <w:spacing w:val="-14"/>
              </w:rPr>
              <w:t>元分类</w:t>
            </w:r>
            <w:r>
              <w:rPr>
                <w:sz w:val="21"/>
                <w:szCs w:val="21"/>
                <w:spacing w:val="-51"/>
              </w:rPr>
              <w:t xml:space="preserve"> </w:t>
            </w:r>
            <w:r>
              <w:rPr>
                <w:sz w:val="21"/>
                <w:szCs w:val="21"/>
                <w:b/>
                <w:bCs/>
                <w:spacing w:val="-14"/>
              </w:rPr>
              <w:t>：</w:t>
            </w:r>
            <w:r>
              <w:rPr>
                <w:sz w:val="21"/>
                <w:szCs w:val="21"/>
                <w:spacing w:val="-14"/>
              </w:rPr>
              <w:t>大</w:t>
            </w:r>
          </w:p>
          <w:p>
            <w:pPr>
              <w:pStyle w:val="TableText"/>
              <w:ind w:left="5"/>
              <w:spacing w:line="219" w:lineRule="auto"/>
              <w:rPr>
                <w:sz w:val="21"/>
                <w:szCs w:val="21"/>
              </w:rPr>
            </w:pPr>
            <w:r>
              <w:rPr>
                <w:sz w:val="21"/>
                <w:szCs w:val="21"/>
                <w:spacing w:val="-2"/>
              </w:rPr>
              <w:t>气环境高排</w:t>
            </w:r>
          </w:p>
        </w:tc>
        <w:tc>
          <w:tcPr>
            <w:tcW w:w="290" w:type="dxa"/>
            <w:vAlign w:val="top"/>
            <w:textDirection w:val="tbRlV"/>
          </w:tcPr>
          <w:p>
            <w:pPr>
              <w:pStyle w:val="TableText"/>
              <w:ind w:left="139"/>
              <w:spacing w:before="66" w:line="202" w:lineRule="auto"/>
              <w:rPr>
                <w:sz w:val="21"/>
                <w:szCs w:val="21"/>
              </w:rPr>
            </w:pPr>
            <w:r>
              <w:rPr>
                <w:sz w:val="21"/>
                <w:szCs w:val="21"/>
              </w:rPr>
              <w:t>普</w:t>
            </w:r>
            <w:r>
              <w:rPr>
                <w:sz w:val="21"/>
                <w:szCs w:val="21"/>
                <w:spacing w:val="-13"/>
              </w:rPr>
              <w:t xml:space="preserve"> </w:t>
            </w:r>
            <w:r>
              <w:rPr>
                <w:sz w:val="21"/>
                <w:szCs w:val="21"/>
              </w:rPr>
              <w:t>适</w:t>
            </w:r>
            <w:r>
              <w:rPr>
                <w:sz w:val="21"/>
                <w:szCs w:val="21"/>
                <w:spacing w:val="-13"/>
              </w:rPr>
              <w:t xml:space="preserve"> </w:t>
            </w:r>
            <w:r>
              <w:rPr>
                <w:sz w:val="21"/>
                <w:szCs w:val="21"/>
              </w:rPr>
              <w:t>性</w:t>
            </w:r>
          </w:p>
        </w:tc>
        <w:tc>
          <w:tcPr>
            <w:tcW w:w="859" w:type="dxa"/>
            <w:vAlign w:val="top"/>
          </w:tcPr>
          <w:p>
            <w:pPr>
              <w:spacing w:line="268" w:lineRule="auto"/>
              <w:rPr>
                <w:rFonts w:ascii="Arial"/>
                <w:sz w:val="21"/>
              </w:rPr>
            </w:pPr>
            <w:r/>
          </w:p>
          <w:p>
            <w:pPr>
              <w:pStyle w:val="TableText"/>
              <w:ind w:left="205" w:hanging="195"/>
              <w:spacing w:before="69" w:line="215" w:lineRule="auto"/>
              <w:rPr>
                <w:sz w:val="21"/>
                <w:szCs w:val="21"/>
              </w:rPr>
            </w:pPr>
            <w:r>
              <w:rPr>
                <w:sz w:val="21"/>
                <w:szCs w:val="21"/>
                <w:spacing w:val="-1"/>
              </w:rPr>
              <w:t>空间布局</w:t>
            </w:r>
            <w:r>
              <w:rPr>
                <w:sz w:val="21"/>
                <w:szCs w:val="21"/>
                <w:spacing w:val="1"/>
              </w:rPr>
              <w:t xml:space="preserve"> </w:t>
            </w:r>
            <w:r>
              <w:rPr>
                <w:sz w:val="21"/>
                <w:szCs w:val="21"/>
              </w:rPr>
              <w:t>约束</w:t>
            </w:r>
          </w:p>
        </w:tc>
        <w:tc>
          <w:tcPr>
            <w:tcW w:w="7374" w:type="dxa"/>
            <w:vAlign w:val="top"/>
          </w:tcPr>
          <w:p>
            <w:pPr>
              <w:pStyle w:val="TableText"/>
              <w:ind w:left="14"/>
              <w:spacing w:before="35" w:line="219" w:lineRule="auto"/>
              <w:rPr>
                <w:sz w:val="21"/>
                <w:szCs w:val="21"/>
              </w:rPr>
            </w:pPr>
            <w:r>
              <w:rPr>
                <w:sz w:val="21"/>
                <w:szCs w:val="21"/>
                <w:b/>
                <w:bCs/>
                <w:spacing w:val="-3"/>
              </w:rPr>
              <w:t>禁止开发建设活动的要求：暂无</w:t>
            </w:r>
          </w:p>
          <w:p>
            <w:pPr>
              <w:pStyle w:val="TableText"/>
              <w:ind w:left="14"/>
              <w:spacing w:before="51" w:line="210" w:lineRule="auto"/>
              <w:rPr>
                <w:sz w:val="21"/>
                <w:szCs w:val="21"/>
              </w:rPr>
            </w:pPr>
            <w:r>
              <w:rPr>
                <w:sz w:val="21"/>
                <w:szCs w:val="21"/>
                <w:b/>
                <w:bCs/>
                <w:spacing w:val="-2"/>
              </w:rPr>
              <w:t>限制开发建设活动的要求：暂无</w:t>
            </w:r>
          </w:p>
          <w:p>
            <w:pPr>
              <w:pStyle w:val="TableText"/>
              <w:ind w:left="14"/>
              <w:spacing w:line="218" w:lineRule="auto"/>
              <w:rPr>
                <w:sz w:val="21"/>
                <w:szCs w:val="21"/>
              </w:rPr>
            </w:pPr>
            <w:r>
              <w:rPr>
                <w:sz w:val="21"/>
                <w:szCs w:val="21"/>
                <w:b/>
                <w:bCs/>
                <w:spacing w:val="-3"/>
              </w:rPr>
              <w:t>不符合空间布局要求活动的退出要求：暂无</w:t>
            </w:r>
          </w:p>
          <w:p>
            <w:pPr>
              <w:pStyle w:val="TableText"/>
              <w:ind w:left="14"/>
              <w:spacing w:before="41" w:line="193" w:lineRule="auto"/>
              <w:rPr>
                <w:sz w:val="21"/>
                <w:szCs w:val="21"/>
              </w:rPr>
            </w:pPr>
            <w:r>
              <w:rPr>
                <w:sz w:val="21"/>
                <w:szCs w:val="21"/>
                <w:b/>
                <w:bCs/>
                <w:spacing w:val="-3"/>
              </w:rPr>
              <w:t>其他空间布局约束要求：暂无</w:t>
            </w:r>
          </w:p>
        </w:tc>
        <w:tc>
          <w:tcPr>
            <w:tcW w:w="3178" w:type="dxa"/>
            <w:vAlign w:val="top"/>
            <w:textDirection w:val="tbRlV"/>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pStyle w:val="TableText"/>
              <w:ind w:left="420"/>
              <w:spacing w:before="71" w:line="136" w:lineRule="exact"/>
              <w:rPr>
                <w:sz w:val="21"/>
                <w:szCs w:val="21"/>
              </w:rPr>
            </w:pPr>
            <w:r>
              <w:rPr>
                <w:sz w:val="21"/>
                <w:szCs w:val="21"/>
                <w:color w:val="403040"/>
                <w:spacing w:val="52"/>
                <w:w w:val="141"/>
                <w:position w:val="-1"/>
              </w:rPr>
              <w:t>/</w:t>
            </w:r>
          </w:p>
        </w:tc>
        <w:tc>
          <w:tcPr>
            <w:tcW w:w="645" w:type="dxa"/>
            <w:vAlign w:val="top"/>
          </w:tcPr>
          <w:p>
            <w:pPr>
              <w:spacing w:line="384" w:lineRule="auto"/>
              <w:rPr>
                <w:rFonts w:ascii="Arial"/>
                <w:sz w:val="21"/>
              </w:rPr>
            </w:pPr>
            <w:r/>
          </w:p>
          <w:p>
            <w:pPr>
              <w:pStyle w:val="TableText"/>
              <w:ind w:left="259"/>
              <w:spacing w:before="68" w:line="224" w:lineRule="auto"/>
              <w:rPr>
                <w:sz w:val="21"/>
                <w:szCs w:val="21"/>
              </w:rPr>
            </w:pPr>
            <w:r>
              <w:rPr>
                <w:sz w:val="21"/>
                <w:szCs w:val="21"/>
                <w:color w:val="404050"/>
              </w:rPr>
              <w:t>/</w:t>
            </w:r>
          </w:p>
        </w:tc>
      </w:tr>
    </w:tbl>
    <w:p>
      <w:pPr>
        <w:pStyle w:val="BodyText"/>
        <w:rPr/>
      </w:pPr>
      <w:r/>
    </w:p>
    <w:p>
      <w:pPr>
        <w:sectPr>
          <w:headerReference w:type="default" r:id="rId111"/>
          <w:footerReference w:type="default" r:id="rId112"/>
          <w:pgSz w:w="16840" w:h="11910"/>
          <w:pgMar w:top="1180" w:right="1724" w:bottom="961" w:left="1674" w:header="872" w:footer="702" w:gutter="0"/>
        </w:sectPr>
        <w:rPr/>
      </w:pPr>
    </w:p>
    <w:p>
      <w:pPr>
        <w:spacing w:before="33"/>
        <w:rPr/>
      </w:pPr>
      <w:r/>
    </w:p>
    <w:tbl>
      <w:tblPr>
        <w:tblStyle w:val="TableNormal"/>
        <w:tblW w:w="1343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84"/>
        <w:gridCol w:w="290"/>
        <w:gridCol w:w="859"/>
        <w:gridCol w:w="7374"/>
        <w:gridCol w:w="3178"/>
        <w:gridCol w:w="645"/>
      </w:tblGrid>
      <w:tr>
        <w:trPr>
          <w:trHeight w:val="285" w:hRule="atLeast"/>
        </w:trPr>
        <w:tc>
          <w:tcPr>
            <w:shd w:val="clear" w:fill="BDBDBD"/>
            <w:tcW w:w="9607" w:type="dxa"/>
            <w:vAlign w:val="top"/>
            <w:gridSpan w:val="4"/>
          </w:tcPr>
          <w:p>
            <w:pPr>
              <w:pStyle w:val="TableText"/>
              <w:ind w:left="3643"/>
              <w:spacing w:before="40" w:line="206" w:lineRule="auto"/>
              <w:rPr>
                <w:sz w:val="21"/>
                <w:szCs w:val="21"/>
              </w:rPr>
            </w:pPr>
            <w:r>
              <w:rPr>
                <w:sz w:val="21"/>
                <w:szCs w:val="21"/>
                <w:b/>
                <w:bCs/>
                <w:spacing w:val="7"/>
              </w:rPr>
              <w:t>“三线一单”的具体要求</w:t>
            </w:r>
          </w:p>
        </w:tc>
        <w:tc>
          <w:tcPr>
            <w:shd w:val="clear" w:fill="BDBDBD"/>
            <w:tcW w:w="3178" w:type="dxa"/>
            <w:vAlign w:val="top"/>
            <w:vMerge w:val="restart"/>
            <w:tcBorders>
              <w:bottom w:val="nil"/>
            </w:tcBorders>
          </w:tcPr>
          <w:p>
            <w:pPr>
              <w:pStyle w:val="TableText"/>
              <w:ind w:left="750"/>
              <w:spacing w:before="169" w:line="219" w:lineRule="auto"/>
              <w:rPr>
                <w:sz w:val="21"/>
                <w:szCs w:val="21"/>
              </w:rPr>
            </w:pPr>
            <w:r>
              <w:rPr>
                <w:sz w:val="21"/>
                <w:szCs w:val="21"/>
                <w:b/>
                <w:bCs/>
                <w:spacing w:val="-1"/>
              </w:rPr>
              <w:t>项目对应情况介绍</w:t>
            </w:r>
          </w:p>
        </w:tc>
        <w:tc>
          <w:tcPr>
            <w:shd w:val="clear" w:fill="BDBDBD"/>
            <w:tcW w:w="645" w:type="dxa"/>
            <w:vAlign w:val="top"/>
            <w:vMerge w:val="restart"/>
            <w:tcBorders>
              <w:bottom w:val="nil"/>
            </w:tcBorders>
          </w:tcPr>
          <w:p>
            <w:pPr>
              <w:pStyle w:val="TableText"/>
              <w:ind w:left="111" w:hanging="88"/>
              <w:spacing w:before="30" w:line="226" w:lineRule="auto"/>
              <w:rPr>
                <w:sz w:val="21"/>
                <w:szCs w:val="21"/>
              </w:rPr>
            </w:pPr>
            <w:r>
              <w:rPr>
                <w:sz w:val="21"/>
                <w:szCs w:val="21"/>
                <w:b/>
                <w:bCs/>
                <w:spacing w:val="-9"/>
              </w:rPr>
              <w:t>符合性</w:t>
            </w:r>
            <w:r>
              <w:rPr>
                <w:sz w:val="21"/>
                <w:szCs w:val="21"/>
                <w:spacing w:val="1"/>
              </w:rPr>
              <w:t xml:space="preserve"> </w:t>
            </w:r>
            <w:r>
              <w:rPr>
                <w:sz w:val="21"/>
                <w:szCs w:val="21"/>
                <w:b/>
                <w:bCs/>
                <w:spacing w:val="-7"/>
              </w:rPr>
              <w:t>分析</w:t>
            </w:r>
          </w:p>
        </w:tc>
      </w:tr>
      <w:tr>
        <w:trPr>
          <w:trHeight w:val="260" w:hRule="atLeast"/>
        </w:trPr>
        <w:tc>
          <w:tcPr>
            <w:shd w:val="clear" w:fill="BDBDBD"/>
            <w:tcW w:w="2233" w:type="dxa"/>
            <w:vAlign w:val="top"/>
            <w:gridSpan w:val="3"/>
          </w:tcPr>
          <w:p>
            <w:pPr>
              <w:pStyle w:val="TableText"/>
              <w:ind w:left="898"/>
              <w:spacing w:before="25" w:line="197" w:lineRule="auto"/>
              <w:rPr>
                <w:sz w:val="21"/>
                <w:szCs w:val="21"/>
              </w:rPr>
            </w:pPr>
            <w:r>
              <w:rPr>
                <w:sz w:val="21"/>
                <w:szCs w:val="21"/>
                <w:b/>
                <w:bCs/>
                <w:spacing w:val="-5"/>
              </w:rPr>
              <w:t>类别</w:t>
            </w:r>
          </w:p>
        </w:tc>
        <w:tc>
          <w:tcPr>
            <w:shd w:val="clear" w:fill="BDBDBD"/>
            <w:tcW w:w="7374" w:type="dxa"/>
            <w:vAlign w:val="top"/>
          </w:tcPr>
          <w:p>
            <w:pPr>
              <w:pStyle w:val="TableText"/>
              <w:ind w:left="3055"/>
              <w:spacing w:before="25" w:line="197" w:lineRule="auto"/>
              <w:rPr>
                <w:sz w:val="21"/>
                <w:szCs w:val="21"/>
              </w:rPr>
            </w:pPr>
            <w:r>
              <w:rPr>
                <w:sz w:val="21"/>
                <w:szCs w:val="21"/>
                <w:b/>
                <w:bCs/>
                <w:spacing w:val="-4"/>
              </w:rPr>
              <w:t>对应管控要求</w:t>
            </w:r>
          </w:p>
        </w:tc>
        <w:tc>
          <w:tcPr>
            <w:tcW w:w="3178" w:type="dxa"/>
            <w:vAlign w:val="top"/>
            <w:vMerge w:val="continue"/>
            <w:tcBorders>
              <w:top w:val="nil"/>
            </w:tcBorders>
          </w:tcPr>
          <w:p>
            <w:pPr>
              <w:rPr>
                <w:rFonts w:ascii="Arial"/>
                <w:sz w:val="21"/>
              </w:rPr>
            </w:pPr>
            <w:r/>
          </w:p>
        </w:tc>
        <w:tc>
          <w:tcPr>
            <w:tcW w:w="645" w:type="dxa"/>
            <w:vAlign w:val="top"/>
            <w:vMerge w:val="continue"/>
            <w:tcBorders>
              <w:top w:val="nil"/>
            </w:tcBorders>
          </w:tcPr>
          <w:p>
            <w:pPr>
              <w:rPr>
                <w:rFonts w:ascii="Arial"/>
                <w:sz w:val="21"/>
              </w:rPr>
            </w:pPr>
            <w:r/>
          </w:p>
        </w:tc>
      </w:tr>
      <w:tr>
        <w:trPr>
          <w:trHeight w:val="829" w:hRule="atLeast"/>
        </w:trPr>
        <w:tc>
          <w:tcPr>
            <w:tcW w:w="1084" w:type="dxa"/>
            <w:vAlign w:val="top"/>
            <w:vMerge w:val="restart"/>
            <w:tcBorders>
              <w:bottom w:val="nil"/>
            </w:tcBorders>
          </w:tcPr>
          <w:p>
            <w:pPr>
              <w:pStyle w:val="TableText"/>
              <w:ind w:left="15" w:right="17"/>
              <w:spacing w:before="19"/>
              <w:rPr>
                <w:sz w:val="21"/>
                <w:szCs w:val="21"/>
              </w:rPr>
            </w:pPr>
            <w:r>
              <w:rPr>
                <w:sz w:val="21"/>
                <w:szCs w:val="21"/>
                <w:spacing w:val="-2"/>
              </w:rPr>
              <w:t>放重点管控</w:t>
            </w:r>
            <w:r>
              <w:rPr>
                <w:sz w:val="21"/>
                <w:szCs w:val="21"/>
              </w:rPr>
              <w:t xml:space="preserve"> </w:t>
            </w:r>
            <w:r>
              <w:rPr>
                <w:sz w:val="21"/>
                <w:szCs w:val="21"/>
              </w:rPr>
              <w:t>区</w:t>
            </w:r>
          </w:p>
          <w:p>
            <w:pPr>
              <w:pStyle w:val="TableText"/>
              <w:ind w:left="18" w:right="14"/>
              <w:spacing w:line="248" w:lineRule="auto"/>
              <w:rPr>
                <w:sz w:val="21"/>
                <w:szCs w:val="21"/>
              </w:rPr>
            </w:pPr>
            <w:r>
              <w:rPr>
                <w:sz w:val="21"/>
                <w:szCs w:val="21"/>
                <w:b/>
                <w:bCs/>
                <w:spacing w:val="-4"/>
              </w:rPr>
              <w:t>环境管控单</w:t>
            </w:r>
            <w:r>
              <w:rPr>
                <w:sz w:val="21"/>
                <w:szCs w:val="21"/>
              </w:rPr>
              <w:t xml:space="preserve"> </w:t>
            </w:r>
            <w:r>
              <w:rPr>
                <w:sz w:val="21"/>
                <w:szCs w:val="21"/>
                <w:b/>
                <w:bCs/>
                <w:spacing w:val="-5"/>
              </w:rPr>
              <w:t>元编码：</w:t>
            </w:r>
          </w:p>
          <w:p>
            <w:pPr>
              <w:pStyle w:val="TableText"/>
              <w:ind w:left="15" w:right="118"/>
              <w:spacing w:before="21" w:line="196" w:lineRule="auto"/>
              <w:rPr>
                <w:sz w:val="21"/>
                <w:szCs w:val="21"/>
              </w:rPr>
            </w:pPr>
            <w:r>
              <w:rPr>
                <w:sz w:val="21"/>
                <w:szCs w:val="21"/>
                <w:spacing w:val="-1"/>
              </w:rPr>
              <w:t>YS5107052</w:t>
            </w:r>
            <w:r>
              <w:rPr>
                <w:sz w:val="21"/>
                <w:szCs w:val="21"/>
                <w:spacing w:val="3"/>
              </w:rPr>
              <w:t xml:space="preserve"> </w:t>
            </w:r>
            <w:r>
              <w:rPr>
                <w:sz w:val="21"/>
                <w:szCs w:val="21"/>
                <w:spacing w:val="-2"/>
              </w:rPr>
              <w:t>310002</w:t>
            </w:r>
          </w:p>
          <w:p>
            <w:pPr>
              <w:pStyle w:val="TableText"/>
              <w:ind w:left="15" w:firstLine="2"/>
              <w:spacing w:before="3" w:line="239" w:lineRule="auto"/>
              <w:jc w:val="both"/>
              <w:rPr>
                <w:sz w:val="21"/>
                <w:szCs w:val="21"/>
              </w:rPr>
            </w:pPr>
            <w:r>
              <w:rPr>
                <w:sz w:val="21"/>
                <w:szCs w:val="21"/>
                <w:b/>
                <w:bCs/>
                <w:spacing w:val="-7"/>
              </w:rPr>
              <w:t>环境管控单</w:t>
            </w:r>
            <w:r>
              <w:rPr>
                <w:sz w:val="21"/>
                <w:szCs w:val="21"/>
              </w:rPr>
              <w:t xml:space="preserve"> </w:t>
            </w:r>
            <w:r>
              <w:rPr>
                <w:sz w:val="21"/>
                <w:szCs w:val="21"/>
                <w:b/>
                <w:bCs/>
                <w:spacing w:val="-21"/>
              </w:rPr>
              <w:t>元名称</w:t>
            </w:r>
            <w:r>
              <w:rPr>
                <w:sz w:val="21"/>
                <w:szCs w:val="21"/>
                <w:spacing w:val="-52"/>
              </w:rPr>
              <w:t xml:space="preserve"> </w:t>
            </w:r>
            <w:r>
              <w:rPr>
                <w:sz w:val="21"/>
                <w:szCs w:val="21"/>
                <w:b/>
                <w:bCs/>
                <w:spacing w:val="-21"/>
              </w:rPr>
              <w:t>：</w:t>
            </w:r>
            <w:r>
              <w:rPr>
                <w:sz w:val="21"/>
                <w:szCs w:val="21"/>
                <w:spacing w:val="-21"/>
              </w:rPr>
              <w:t>四</w:t>
            </w:r>
            <w:r>
              <w:rPr>
                <w:sz w:val="21"/>
                <w:szCs w:val="21"/>
              </w:rPr>
              <w:t xml:space="preserve"> </w:t>
            </w:r>
            <w:r>
              <w:rPr>
                <w:sz w:val="21"/>
                <w:szCs w:val="21"/>
                <w:spacing w:val="1"/>
              </w:rPr>
              <w:t>川绵阳安州</w:t>
            </w:r>
            <w:r>
              <w:rPr>
                <w:sz w:val="21"/>
                <w:szCs w:val="21"/>
                <w:spacing w:val="2"/>
              </w:rPr>
              <w:t xml:space="preserve"> </w:t>
            </w:r>
            <w:r>
              <w:rPr>
                <w:sz w:val="21"/>
                <w:szCs w:val="21"/>
                <w:spacing w:val="1"/>
              </w:rPr>
              <w:t>工业园区</w:t>
            </w:r>
          </w:p>
        </w:tc>
        <w:tc>
          <w:tcPr>
            <w:tcW w:w="290" w:type="dxa"/>
            <w:vAlign w:val="top"/>
            <w:vMerge w:val="restart"/>
            <w:textDirection w:val="tbRlV"/>
            <w:tcBorders>
              <w:bottom w:val="nil"/>
            </w:tcBorders>
          </w:tcPr>
          <w:p>
            <w:pPr>
              <w:pStyle w:val="TableText"/>
              <w:spacing w:before="47" w:line="201" w:lineRule="auto"/>
              <w:rPr>
                <w:sz w:val="21"/>
                <w:szCs w:val="21"/>
              </w:rPr>
            </w:pPr>
            <w:r>
              <w:rPr>
                <w:sz w:val="21"/>
                <w:szCs w:val="21"/>
                <w:spacing w:val="-2"/>
              </w:rPr>
              <w:t>清</w:t>
            </w:r>
            <w:r>
              <w:rPr>
                <w:sz w:val="21"/>
                <w:szCs w:val="21"/>
                <w:spacing w:val="-22"/>
              </w:rPr>
              <w:t xml:space="preserve"> </w:t>
            </w:r>
            <w:r>
              <w:rPr>
                <w:sz w:val="21"/>
                <w:szCs w:val="21"/>
                <w:spacing w:val="-2"/>
              </w:rPr>
              <w:t>单</w:t>
            </w:r>
            <w:r>
              <w:rPr>
                <w:sz w:val="21"/>
                <w:szCs w:val="21"/>
                <w:spacing w:val="-27"/>
              </w:rPr>
              <w:t xml:space="preserve"> </w:t>
            </w:r>
            <w:r>
              <w:rPr>
                <w:sz w:val="21"/>
                <w:szCs w:val="21"/>
                <w:spacing w:val="-2"/>
              </w:rPr>
              <w:t>管</w:t>
            </w:r>
            <w:r>
              <w:rPr>
                <w:sz w:val="21"/>
                <w:szCs w:val="21"/>
                <w:spacing w:val="-26"/>
              </w:rPr>
              <w:t xml:space="preserve"> </w:t>
            </w:r>
            <w:r>
              <w:rPr>
                <w:sz w:val="21"/>
                <w:szCs w:val="21"/>
                <w:spacing w:val="-2"/>
              </w:rPr>
              <w:t>控</w:t>
            </w:r>
            <w:r>
              <w:rPr>
                <w:sz w:val="21"/>
                <w:szCs w:val="21"/>
                <w:spacing w:val="-26"/>
              </w:rPr>
              <w:t xml:space="preserve"> </w:t>
            </w:r>
            <w:r>
              <w:rPr>
                <w:sz w:val="21"/>
                <w:szCs w:val="21"/>
                <w:spacing w:val="-2"/>
              </w:rPr>
              <w:t>要</w:t>
            </w:r>
            <w:r>
              <w:rPr>
                <w:sz w:val="21"/>
                <w:szCs w:val="21"/>
                <w:spacing w:val="-27"/>
              </w:rPr>
              <w:t xml:space="preserve"> </w:t>
            </w:r>
            <w:r>
              <w:rPr>
                <w:sz w:val="21"/>
                <w:szCs w:val="21"/>
                <w:spacing w:val="-2"/>
              </w:rPr>
              <w:t>求</w:t>
            </w:r>
          </w:p>
        </w:tc>
        <w:tc>
          <w:tcPr>
            <w:tcW w:w="859" w:type="dxa"/>
            <w:vAlign w:val="top"/>
          </w:tcPr>
          <w:p>
            <w:pPr>
              <w:pStyle w:val="TableText"/>
              <w:ind w:left="100" w:right="7" w:hanging="90"/>
              <w:spacing w:before="168" w:line="248" w:lineRule="auto"/>
              <w:rPr>
                <w:sz w:val="21"/>
                <w:szCs w:val="21"/>
              </w:rPr>
            </w:pPr>
            <w:r>
              <w:rPr>
                <w:sz w:val="21"/>
                <w:szCs w:val="21"/>
                <w:spacing w:val="-3"/>
              </w:rPr>
              <w:t>污染物排</w:t>
            </w:r>
            <w:r>
              <w:rPr>
                <w:sz w:val="21"/>
                <w:szCs w:val="21"/>
                <w:spacing w:val="1"/>
              </w:rPr>
              <w:t xml:space="preserve"> </w:t>
            </w:r>
            <w:r>
              <w:rPr>
                <w:sz w:val="21"/>
                <w:szCs w:val="21"/>
                <w:spacing w:val="-2"/>
              </w:rPr>
              <w:t>放管控</w:t>
            </w:r>
          </w:p>
        </w:tc>
        <w:tc>
          <w:tcPr>
            <w:tcW w:w="7374" w:type="dxa"/>
            <w:vAlign w:val="top"/>
          </w:tcPr>
          <w:p>
            <w:pPr>
              <w:pStyle w:val="TableText"/>
              <w:ind w:left="14"/>
              <w:spacing w:before="45" w:line="219" w:lineRule="auto"/>
              <w:rPr>
                <w:sz w:val="21"/>
                <w:szCs w:val="21"/>
              </w:rPr>
            </w:pPr>
            <w:r>
              <w:rPr>
                <w:sz w:val="21"/>
                <w:szCs w:val="21"/>
                <w:b/>
                <w:bCs/>
                <w:spacing w:val="-4"/>
              </w:rPr>
              <w:t>允许排放量要求：暂无</w:t>
            </w:r>
          </w:p>
          <w:p>
            <w:pPr>
              <w:pStyle w:val="TableText"/>
              <w:ind w:left="14"/>
              <w:spacing w:before="20" w:line="219" w:lineRule="auto"/>
              <w:rPr>
                <w:sz w:val="21"/>
                <w:szCs w:val="21"/>
              </w:rPr>
            </w:pPr>
            <w:r>
              <w:rPr>
                <w:sz w:val="21"/>
                <w:szCs w:val="21"/>
                <w:b/>
                <w:bCs/>
                <w:spacing w:val="-3"/>
              </w:rPr>
              <w:t>现有源提标升级改造：暂无</w:t>
            </w:r>
          </w:p>
          <w:p>
            <w:pPr>
              <w:pStyle w:val="TableText"/>
              <w:ind w:left="14"/>
              <w:spacing w:before="10" w:line="214" w:lineRule="auto"/>
              <w:rPr>
                <w:sz w:val="21"/>
                <w:szCs w:val="21"/>
              </w:rPr>
            </w:pPr>
            <w:r>
              <w:rPr>
                <w:sz w:val="21"/>
                <w:szCs w:val="21"/>
                <w:b/>
                <w:bCs/>
                <w:spacing w:val="-3"/>
              </w:rPr>
              <w:t>其他污染物排放管控要求：暂无</w:t>
            </w:r>
          </w:p>
        </w:tc>
        <w:tc>
          <w:tcPr>
            <w:tcW w:w="3178" w:type="dxa"/>
            <w:vAlign w:val="top"/>
          </w:tcPr>
          <w:p>
            <w:pPr>
              <w:spacing w:line="244" w:lineRule="auto"/>
              <w:rPr>
                <w:rFonts w:ascii="Arial"/>
                <w:sz w:val="21"/>
              </w:rPr>
            </w:pPr>
            <w:r/>
          </w:p>
          <w:p>
            <w:pPr>
              <w:pStyle w:val="TableText"/>
              <w:ind w:left="1527"/>
              <w:spacing w:before="69" w:line="224" w:lineRule="auto"/>
              <w:rPr>
                <w:sz w:val="21"/>
                <w:szCs w:val="21"/>
              </w:rPr>
            </w:pPr>
            <w:r>
              <w:rPr>
                <w:sz w:val="21"/>
                <w:szCs w:val="21"/>
              </w:rPr>
              <w:t>/</w:t>
            </w:r>
          </w:p>
        </w:tc>
        <w:tc>
          <w:tcPr>
            <w:tcW w:w="645" w:type="dxa"/>
            <w:vAlign w:val="top"/>
          </w:tcPr>
          <w:p>
            <w:pPr>
              <w:spacing w:line="244" w:lineRule="auto"/>
              <w:rPr>
                <w:rFonts w:ascii="Arial"/>
                <w:sz w:val="21"/>
              </w:rPr>
            </w:pPr>
            <w:r/>
          </w:p>
          <w:p>
            <w:pPr>
              <w:pStyle w:val="TableText"/>
              <w:ind w:left="259"/>
              <w:spacing w:before="69" w:line="224" w:lineRule="auto"/>
              <w:rPr>
                <w:sz w:val="21"/>
                <w:szCs w:val="21"/>
              </w:rPr>
            </w:pPr>
            <w:r>
              <w:rPr>
                <w:sz w:val="21"/>
                <w:szCs w:val="21"/>
                <w:color w:val="404040"/>
              </w:rPr>
              <w:t>/</w:t>
            </w:r>
          </w:p>
        </w:tc>
      </w:tr>
      <w:tr>
        <w:trPr>
          <w:trHeight w:val="529" w:hRule="atLeast"/>
        </w:trPr>
        <w:tc>
          <w:tcPr>
            <w:tcW w:w="1084" w:type="dxa"/>
            <w:vAlign w:val="top"/>
            <w:vMerge w:val="continue"/>
            <w:tcBorders>
              <w:top w:val="nil"/>
              <w:bottom w:val="nil"/>
            </w:tcBorders>
          </w:tcPr>
          <w:p>
            <w:pPr>
              <w:rPr>
                <w:rFonts w:ascii="Arial"/>
                <w:sz w:val="21"/>
              </w:rPr>
            </w:pPr>
            <w:r/>
          </w:p>
        </w:tc>
        <w:tc>
          <w:tcPr>
            <w:tcW w:w="290" w:type="dxa"/>
            <w:vAlign w:val="top"/>
            <w:vMerge w:val="continue"/>
            <w:textDirection w:val="tbRlV"/>
            <w:tcBorders>
              <w:top w:val="nil"/>
              <w:bottom w:val="nil"/>
            </w:tcBorders>
          </w:tcPr>
          <w:p>
            <w:pPr>
              <w:rPr>
                <w:rFonts w:ascii="Arial"/>
                <w:sz w:val="21"/>
              </w:rPr>
            </w:pPr>
            <w:r/>
          </w:p>
        </w:tc>
        <w:tc>
          <w:tcPr>
            <w:tcW w:w="859" w:type="dxa"/>
            <w:vAlign w:val="top"/>
          </w:tcPr>
          <w:p>
            <w:pPr>
              <w:pStyle w:val="TableText"/>
              <w:ind w:left="210" w:right="6" w:hanging="200"/>
              <w:spacing w:before="20" w:line="219" w:lineRule="auto"/>
              <w:rPr>
                <w:sz w:val="21"/>
                <w:szCs w:val="21"/>
              </w:rPr>
            </w:pPr>
            <w:r>
              <w:rPr>
                <w:sz w:val="21"/>
                <w:szCs w:val="21"/>
                <w:spacing w:val="-3"/>
              </w:rPr>
              <w:t>环境风险</w:t>
            </w:r>
            <w:r>
              <w:rPr>
                <w:sz w:val="21"/>
                <w:szCs w:val="21"/>
                <w:spacing w:val="2"/>
              </w:rPr>
              <w:t xml:space="preserve"> </w:t>
            </w:r>
            <w:r>
              <w:rPr>
                <w:sz w:val="21"/>
                <w:szCs w:val="21"/>
                <w:spacing w:val="4"/>
              </w:rPr>
              <w:t>防控</w:t>
            </w:r>
          </w:p>
        </w:tc>
        <w:tc>
          <w:tcPr>
            <w:tcW w:w="7374" w:type="dxa"/>
            <w:vAlign w:val="top"/>
          </w:tcPr>
          <w:p>
            <w:pPr>
              <w:pStyle w:val="TableText"/>
              <w:ind w:left="14"/>
              <w:spacing w:before="17" w:line="220" w:lineRule="auto"/>
              <w:rPr>
                <w:sz w:val="21"/>
                <w:szCs w:val="21"/>
              </w:rPr>
            </w:pPr>
            <w:r>
              <w:rPr>
                <w:sz w:val="21"/>
                <w:szCs w:val="21"/>
                <w:b/>
                <w:bCs/>
                <w:spacing w:val="-4"/>
              </w:rPr>
              <w:t>联防联控要求：暂无</w:t>
            </w:r>
          </w:p>
          <w:p>
            <w:pPr>
              <w:pStyle w:val="TableText"/>
              <w:ind w:left="14"/>
              <w:spacing w:before="39" w:line="186" w:lineRule="auto"/>
              <w:rPr>
                <w:sz w:val="21"/>
                <w:szCs w:val="21"/>
              </w:rPr>
            </w:pPr>
            <w:r>
              <w:rPr>
                <w:sz w:val="21"/>
                <w:szCs w:val="21"/>
                <w:b/>
                <w:bCs/>
                <w:spacing w:val="-3"/>
              </w:rPr>
              <w:t>其他环境风险防控要求：暂无</w:t>
            </w:r>
          </w:p>
        </w:tc>
        <w:tc>
          <w:tcPr>
            <w:tcW w:w="3178" w:type="dxa"/>
            <w:vAlign w:val="top"/>
            <w:textDirection w:val="tbRlV"/>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pStyle w:val="TableText"/>
              <w:ind w:left="131"/>
              <w:spacing w:before="70" w:line="137" w:lineRule="exact"/>
              <w:rPr>
                <w:sz w:val="21"/>
                <w:szCs w:val="21"/>
              </w:rPr>
            </w:pPr>
            <w:r>
              <w:rPr>
                <w:sz w:val="21"/>
                <w:szCs w:val="21"/>
                <w:spacing w:val="52"/>
                <w:w w:val="141"/>
                <w:position w:val="-1"/>
              </w:rPr>
              <w:t>/</w:t>
            </w:r>
          </w:p>
        </w:tc>
        <w:tc>
          <w:tcPr>
            <w:tcW w:w="645" w:type="dxa"/>
            <w:vAlign w:val="top"/>
          </w:tcPr>
          <w:p>
            <w:pPr>
              <w:pStyle w:val="TableText"/>
              <w:ind w:left="259"/>
              <w:spacing w:before="165" w:line="224" w:lineRule="auto"/>
              <w:rPr>
                <w:sz w:val="21"/>
                <w:szCs w:val="21"/>
              </w:rPr>
            </w:pPr>
            <w:r>
              <w:rPr>
                <w:sz w:val="21"/>
                <w:szCs w:val="21"/>
                <w:color w:val="505060"/>
              </w:rPr>
              <w:t>/</w:t>
            </w:r>
          </w:p>
        </w:tc>
      </w:tr>
      <w:tr>
        <w:trPr>
          <w:trHeight w:val="1358" w:hRule="atLeast"/>
        </w:trPr>
        <w:tc>
          <w:tcPr>
            <w:tcW w:w="1084" w:type="dxa"/>
            <w:vAlign w:val="top"/>
            <w:vMerge w:val="continue"/>
            <w:tcBorders>
              <w:top w:val="nil"/>
              <w:bottom w:val="nil"/>
            </w:tcBorders>
          </w:tcPr>
          <w:p>
            <w:pPr>
              <w:rPr>
                <w:rFonts w:ascii="Arial"/>
                <w:sz w:val="21"/>
              </w:rPr>
            </w:pPr>
            <w:r/>
          </w:p>
        </w:tc>
        <w:tc>
          <w:tcPr>
            <w:tcW w:w="290" w:type="dxa"/>
            <w:vAlign w:val="top"/>
            <w:vMerge w:val="continue"/>
            <w:textDirection w:val="tbRlV"/>
            <w:tcBorders>
              <w:top w:val="nil"/>
            </w:tcBorders>
          </w:tcPr>
          <w:p>
            <w:pPr>
              <w:rPr>
                <w:rFonts w:ascii="Arial"/>
                <w:sz w:val="21"/>
              </w:rPr>
            </w:pPr>
            <w:r/>
          </w:p>
        </w:tc>
        <w:tc>
          <w:tcPr>
            <w:tcW w:w="859" w:type="dxa"/>
            <w:vAlign w:val="top"/>
          </w:tcPr>
          <w:p>
            <w:pPr>
              <w:spacing w:line="370" w:lineRule="auto"/>
              <w:rPr>
                <w:rFonts w:ascii="Arial"/>
                <w:sz w:val="21"/>
              </w:rPr>
            </w:pPr>
            <w:r/>
          </w:p>
          <w:p>
            <w:pPr>
              <w:pStyle w:val="TableText"/>
              <w:spacing w:before="68" w:line="220" w:lineRule="auto"/>
              <w:jc w:val="right"/>
              <w:rPr>
                <w:sz w:val="21"/>
                <w:szCs w:val="21"/>
              </w:rPr>
            </w:pPr>
            <w:r>
              <w:rPr>
                <w:sz w:val="21"/>
                <w:szCs w:val="21"/>
                <w:spacing w:val="-1"/>
              </w:rPr>
              <w:t>资源开发</w:t>
            </w:r>
          </w:p>
          <w:p>
            <w:pPr>
              <w:pStyle w:val="TableText"/>
              <w:spacing w:before="29" w:line="219" w:lineRule="auto"/>
              <w:jc w:val="right"/>
              <w:rPr>
                <w:sz w:val="21"/>
                <w:szCs w:val="21"/>
              </w:rPr>
            </w:pPr>
            <w:r>
              <w:rPr>
                <w:sz w:val="21"/>
                <w:szCs w:val="21"/>
                <w:spacing w:val="-1"/>
              </w:rPr>
              <w:t>效率要求</w:t>
            </w:r>
          </w:p>
        </w:tc>
        <w:tc>
          <w:tcPr>
            <w:tcW w:w="7374" w:type="dxa"/>
            <w:vAlign w:val="top"/>
          </w:tcPr>
          <w:p>
            <w:pPr>
              <w:pStyle w:val="TableText"/>
              <w:ind w:left="14"/>
              <w:spacing w:before="47" w:line="219" w:lineRule="auto"/>
              <w:rPr>
                <w:sz w:val="21"/>
                <w:szCs w:val="21"/>
              </w:rPr>
            </w:pPr>
            <w:r>
              <w:rPr>
                <w:sz w:val="21"/>
                <w:szCs w:val="21"/>
                <w:b/>
                <w:bCs/>
                <w:spacing w:val="-4"/>
              </w:rPr>
              <w:t>水资源利用总量要求：暂无</w:t>
            </w:r>
          </w:p>
          <w:p>
            <w:pPr>
              <w:pStyle w:val="TableText"/>
              <w:ind w:left="14"/>
              <w:spacing w:before="19" w:line="219" w:lineRule="auto"/>
              <w:rPr>
                <w:sz w:val="21"/>
                <w:szCs w:val="21"/>
              </w:rPr>
            </w:pPr>
            <w:r>
              <w:rPr>
                <w:sz w:val="21"/>
                <w:szCs w:val="21"/>
                <w:b/>
                <w:bCs/>
                <w:spacing w:val="-3"/>
              </w:rPr>
              <w:t>地下水开采要求：暂无</w:t>
            </w:r>
          </w:p>
          <w:p>
            <w:pPr>
              <w:pStyle w:val="TableText"/>
              <w:ind w:left="14"/>
              <w:spacing w:before="2" w:line="219" w:lineRule="auto"/>
              <w:rPr>
                <w:sz w:val="21"/>
                <w:szCs w:val="21"/>
              </w:rPr>
            </w:pPr>
            <w:r>
              <w:rPr>
                <w:sz w:val="21"/>
                <w:szCs w:val="21"/>
                <w:b/>
                <w:bCs/>
                <w:spacing w:val="-4"/>
              </w:rPr>
              <w:t>能源利用总量及效率要求：暂无</w:t>
            </w:r>
          </w:p>
          <w:p>
            <w:pPr>
              <w:pStyle w:val="TableText"/>
              <w:ind w:left="14"/>
              <w:spacing w:before="40" w:line="219" w:lineRule="auto"/>
              <w:rPr>
                <w:sz w:val="21"/>
                <w:szCs w:val="21"/>
              </w:rPr>
            </w:pPr>
            <w:r>
              <w:rPr>
                <w:sz w:val="21"/>
                <w:szCs w:val="21"/>
                <w:b/>
                <w:bCs/>
                <w:spacing w:val="-4"/>
              </w:rPr>
              <w:t>禁燃区要求：暂无</w:t>
            </w:r>
          </w:p>
          <w:p>
            <w:pPr>
              <w:pStyle w:val="TableText"/>
              <w:ind w:left="14"/>
              <w:spacing w:before="10" w:line="203" w:lineRule="auto"/>
              <w:rPr>
                <w:sz w:val="21"/>
                <w:szCs w:val="21"/>
              </w:rPr>
            </w:pPr>
            <w:r>
              <w:rPr>
                <w:sz w:val="21"/>
                <w:szCs w:val="21"/>
                <w:b/>
                <w:bCs/>
                <w:spacing w:val="-3"/>
              </w:rPr>
              <w:t>其他资源利用效率要求：暂无</w:t>
            </w:r>
          </w:p>
        </w:tc>
        <w:tc>
          <w:tcPr>
            <w:tcW w:w="3178" w:type="dxa"/>
            <w:vAlign w:val="top"/>
          </w:tcPr>
          <w:p>
            <w:pPr>
              <w:spacing w:line="257" w:lineRule="auto"/>
              <w:rPr>
                <w:rFonts w:ascii="Arial"/>
                <w:sz w:val="21"/>
              </w:rPr>
            </w:pPr>
            <w:r/>
          </w:p>
          <w:p>
            <w:pPr>
              <w:spacing w:line="258" w:lineRule="auto"/>
              <w:rPr>
                <w:rFonts w:ascii="Arial"/>
                <w:sz w:val="21"/>
              </w:rPr>
            </w:pPr>
            <w:r/>
          </w:p>
          <w:p>
            <w:pPr>
              <w:pStyle w:val="TableText"/>
              <w:ind w:left="1527"/>
              <w:spacing w:before="68" w:line="224" w:lineRule="auto"/>
              <w:rPr>
                <w:sz w:val="21"/>
                <w:szCs w:val="21"/>
              </w:rPr>
            </w:pPr>
            <w:r>
              <w:rPr>
                <w:sz w:val="21"/>
                <w:szCs w:val="21"/>
                <w:color w:val="404040"/>
              </w:rPr>
              <w:t>/</w:t>
            </w:r>
          </w:p>
        </w:tc>
        <w:tc>
          <w:tcPr>
            <w:tcW w:w="645" w:type="dxa"/>
            <w:vAlign w:val="top"/>
          </w:tcPr>
          <w:p>
            <w:pPr>
              <w:spacing w:line="257" w:lineRule="auto"/>
              <w:rPr>
                <w:rFonts w:ascii="Arial"/>
                <w:sz w:val="21"/>
              </w:rPr>
            </w:pPr>
            <w:r/>
          </w:p>
          <w:p>
            <w:pPr>
              <w:spacing w:line="258" w:lineRule="auto"/>
              <w:rPr>
                <w:rFonts w:ascii="Arial"/>
                <w:sz w:val="21"/>
              </w:rPr>
            </w:pPr>
            <w:r/>
          </w:p>
          <w:p>
            <w:pPr>
              <w:pStyle w:val="TableText"/>
              <w:ind w:left="259"/>
              <w:spacing w:before="68" w:line="224" w:lineRule="auto"/>
              <w:rPr>
                <w:sz w:val="21"/>
                <w:szCs w:val="21"/>
              </w:rPr>
            </w:pPr>
            <w:r>
              <w:rPr>
                <w:sz w:val="21"/>
                <w:szCs w:val="21"/>
                <w:color w:val="505060"/>
              </w:rPr>
              <w:t>/</w:t>
            </w:r>
          </w:p>
        </w:tc>
      </w:tr>
      <w:tr>
        <w:trPr>
          <w:trHeight w:val="1368" w:hRule="atLeast"/>
        </w:trPr>
        <w:tc>
          <w:tcPr>
            <w:tcW w:w="1084" w:type="dxa"/>
            <w:vAlign w:val="top"/>
            <w:vMerge w:val="continue"/>
            <w:tcBorders>
              <w:top w:val="nil"/>
              <w:bottom w:val="nil"/>
            </w:tcBorders>
          </w:tcPr>
          <w:p>
            <w:pPr>
              <w:rPr>
                <w:rFonts w:ascii="Arial"/>
                <w:sz w:val="21"/>
              </w:rPr>
            </w:pPr>
            <w:r/>
          </w:p>
        </w:tc>
        <w:tc>
          <w:tcPr>
            <w:tcW w:w="290" w:type="dxa"/>
            <w:vAlign w:val="top"/>
            <w:vMerge w:val="restart"/>
            <w:textDirection w:val="tbRlV"/>
            <w:tcBorders>
              <w:bottom w:val="nil"/>
            </w:tcBorders>
          </w:tcPr>
          <w:p>
            <w:pPr>
              <w:pStyle w:val="TableText"/>
              <w:ind w:left="1504"/>
              <w:spacing w:before="47" w:line="201" w:lineRule="auto"/>
              <w:rPr>
                <w:sz w:val="21"/>
                <w:szCs w:val="21"/>
              </w:rPr>
            </w:pPr>
            <w:r>
              <w:rPr>
                <w:sz w:val="21"/>
                <w:szCs w:val="21"/>
                <w:color w:val="404040"/>
                <w:spacing w:val="-1"/>
              </w:rPr>
              <w:t>单</w:t>
            </w:r>
            <w:r>
              <w:rPr>
                <w:sz w:val="21"/>
                <w:szCs w:val="21"/>
                <w:color w:val="404040"/>
                <w:spacing w:val="-29"/>
              </w:rPr>
              <w:t xml:space="preserve"> </w:t>
            </w:r>
            <w:r>
              <w:rPr>
                <w:sz w:val="21"/>
                <w:szCs w:val="21"/>
                <w:color w:val="404040"/>
                <w:spacing w:val="-1"/>
              </w:rPr>
              <w:t>元</w:t>
            </w:r>
            <w:r>
              <w:rPr>
                <w:sz w:val="21"/>
                <w:szCs w:val="21"/>
                <w:color w:val="404040"/>
                <w:spacing w:val="-37"/>
              </w:rPr>
              <w:t xml:space="preserve"> </w:t>
            </w:r>
            <w:r>
              <w:rPr>
                <w:sz w:val="21"/>
                <w:szCs w:val="21"/>
                <w:color w:val="404040"/>
                <w:spacing w:val="-1"/>
              </w:rPr>
              <w:t>级</w:t>
            </w:r>
            <w:r>
              <w:rPr>
                <w:sz w:val="21"/>
                <w:szCs w:val="21"/>
                <w:color w:val="404040"/>
                <w:spacing w:val="-37"/>
              </w:rPr>
              <w:t xml:space="preserve"> </w:t>
            </w:r>
            <w:r>
              <w:rPr>
                <w:sz w:val="21"/>
                <w:szCs w:val="21"/>
                <w:color w:val="404040"/>
                <w:spacing w:val="-1"/>
              </w:rPr>
              <w:t>清</w:t>
            </w:r>
            <w:r>
              <w:rPr>
                <w:sz w:val="21"/>
                <w:szCs w:val="21"/>
                <w:color w:val="404040"/>
                <w:spacing w:val="-37"/>
              </w:rPr>
              <w:t xml:space="preserve"> </w:t>
            </w:r>
            <w:r>
              <w:rPr>
                <w:sz w:val="21"/>
                <w:szCs w:val="21"/>
                <w:color w:val="404040"/>
                <w:spacing w:val="-1"/>
              </w:rPr>
              <w:t>单</w:t>
            </w:r>
            <w:r>
              <w:rPr>
                <w:sz w:val="21"/>
                <w:szCs w:val="21"/>
                <w:color w:val="404040"/>
                <w:spacing w:val="-37"/>
              </w:rPr>
              <w:t xml:space="preserve"> </w:t>
            </w:r>
            <w:r>
              <w:rPr>
                <w:sz w:val="21"/>
                <w:szCs w:val="21"/>
                <w:color w:val="404040"/>
                <w:spacing w:val="-1"/>
              </w:rPr>
              <w:t>管</w:t>
            </w:r>
            <w:r>
              <w:rPr>
                <w:sz w:val="21"/>
                <w:szCs w:val="21"/>
                <w:color w:val="404040"/>
                <w:spacing w:val="-37"/>
              </w:rPr>
              <w:t xml:space="preserve"> </w:t>
            </w:r>
            <w:r>
              <w:rPr>
                <w:sz w:val="21"/>
                <w:szCs w:val="21"/>
                <w:color w:val="404040"/>
                <w:spacing w:val="-1"/>
              </w:rPr>
              <w:t>控</w:t>
            </w:r>
            <w:r>
              <w:rPr>
                <w:sz w:val="21"/>
                <w:szCs w:val="21"/>
                <w:color w:val="404040"/>
                <w:spacing w:val="-37"/>
              </w:rPr>
              <w:t xml:space="preserve"> </w:t>
            </w:r>
            <w:r>
              <w:rPr>
                <w:sz w:val="21"/>
                <w:szCs w:val="21"/>
                <w:color w:val="404040"/>
                <w:spacing w:val="-1"/>
              </w:rPr>
              <w:t>要</w:t>
            </w:r>
            <w:r>
              <w:rPr>
                <w:sz w:val="21"/>
                <w:szCs w:val="21"/>
                <w:color w:val="404040"/>
                <w:spacing w:val="-37"/>
              </w:rPr>
              <w:t xml:space="preserve"> </w:t>
            </w:r>
            <w:r>
              <w:rPr>
                <w:sz w:val="21"/>
                <w:szCs w:val="21"/>
                <w:color w:val="404040"/>
                <w:spacing w:val="-1"/>
              </w:rPr>
              <w:t>求</w:t>
            </w:r>
          </w:p>
        </w:tc>
        <w:tc>
          <w:tcPr>
            <w:tcW w:w="859" w:type="dxa"/>
            <w:vAlign w:val="top"/>
          </w:tcPr>
          <w:p>
            <w:pPr>
              <w:spacing w:line="391" w:lineRule="auto"/>
              <w:rPr>
                <w:rFonts w:ascii="Arial"/>
                <w:sz w:val="21"/>
              </w:rPr>
            </w:pPr>
            <w:r/>
          </w:p>
          <w:p>
            <w:pPr>
              <w:pStyle w:val="TableText"/>
              <w:ind w:left="205" w:hanging="195"/>
              <w:spacing w:before="68" w:line="231" w:lineRule="auto"/>
              <w:rPr>
                <w:sz w:val="21"/>
                <w:szCs w:val="21"/>
              </w:rPr>
            </w:pPr>
            <w:r>
              <w:rPr>
                <w:sz w:val="21"/>
                <w:szCs w:val="21"/>
                <w:spacing w:val="-1"/>
              </w:rPr>
              <w:t>空间布局</w:t>
            </w:r>
            <w:r>
              <w:rPr>
                <w:sz w:val="21"/>
                <w:szCs w:val="21"/>
                <w:spacing w:val="1"/>
              </w:rPr>
              <w:t xml:space="preserve"> </w:t>
            </w:r>
            <w:r>
              <w:rPr>
                <w:sz w:val="21"/>
                <w:szCs w:val="21"/>
              </w:rPr>
              <w:t>约束</w:t>
            </w:r>
          </w:p>
        </w:tc>
        <w:tc>
          <w:tcPr>
            <w:tcW w:w="7374" w:type="dxa"/>
            <w:vAlign w:val="top"/>
          </w:tcPr>
          <w:p>
            <w:pPr>
              <w:pStyle w:val="TableText"/>
              <w:ind w:left="14"/>
              <w:spacing w:before="29" w:line="219" w:lineRule="auto"/>
              <w:rPr>
                <w:sz w:val="21"/>
                <w:szCs w:val="21"/>
              </w:rPr>
            </w:pPr>
            <w:r>
              <w:rPr>
                <w:sz w:val="21"/>
                <w:szCs w:val="21"/>
                <w:b/>
                <w:bCs/>
                <w:spacing w:val="-3"/>
              </w:rPr>
              <w:t>禁止开发建设活动的要求</w:t>
            </w:r>
          </w:p>
          <w:p>
            <w:pPr>
              <w:pStyle w:val="TableText"/>
              <w:ind w:left="14"/>
              <w:spacing w:before="51" w:line="220" w:lineRule="auto"/>
              <w:rPr>
                <w:sz w:val="21"/>
                <w:szCs w:val="21"/>
              </w:rPr>
            </w:pPr>
            <w:r>
              <w:rPr>
                <w:sz w:val="21"/>
                <w:szCs w:val="21"/>
                <w:b/>
                <w:bCs/>
                <w:spacing w:val="-2"/>
              </w:rPr>
              <w:t>限制开发建设活动的要求</w:t>
            </w:r>
          </w:p>
          <w:p>
            <w:pPr>
              <w:pStyle w:val="TableText"/>
              <w:ind w:left="14"/>
              <w:spacing w:before="19" w:line="219" w:lineRule="auto"/>
              <w:rPr>
                <w:sz w:val="21"/>
                <w:szCs w:val="21"/>
              </w:rPr>
            </w:pPr>
            <w:r>
              <w:rPr>
                <w:sz w:val="21"/>
                <w:szCs w:val="21"/>
                <w:b/>
                <w:bCs/>
                <w:spacing w:val="-4"/>
              </w:rPr>
              <w:t>允许开发建设活动的要求</w:t>
            </w:r>
          </w:p>
          <w:p>
            <w:pPr>
              <w:pStyle w:val="TableText"/>
              <w:ind w:left="14" w:right="4000"/>
              <w:spacing w:before="20" w:line="215" w:lineRule="auto"/>
              <w:rPr>
                <w:sz w:val="21"/>
                <w:szCs w:val="21"/>
              </w:rPr>
            </w:pPr>
            <w:r>
              <w:rPr>
                <w:sz w:val="21"/>
                <w:szCs w:val="21"/>
                <w:b/>
                <w:bCs/>
                <w:spacing w:val="-3"/>
              </w:rPr>
              <w:t>不符合空间布局要求活动的退出要求</w:t>
            </w:r>
            <w:r>
              <w:rPr>
                <w:sz w:val="21"/>
                <w:szCs w:val="21"/>
              </w:rPr>
              <w:t xml:space="preserve"> </w:t>
            </w:r>
            <w:r>
              <w:rPr>
                <w:sz w:val="21"/>
                <w:szCs w:val="21"/>
                <w:b/>
                <w:bCs/>
                <w:spacing w:val="-4"/>
              </w:rPr>
              <w:t>其他空间布局约束要求</w:t>
            </w:r>
          </w:p>
        </w:tc>
        <w:tc>
          <w:tcPr>
            <w:tcW w:w="3178" w:type="dxa"/>
            <w:vAlign w:val="top"/>
          </w:tcPr>
          <w:p>
            <w:pPr>
              <w:spacing w:line="255" w:lineRule="auto"/>
              <w:rPr>
                <w:rFonts w:ascii="Arial"/>
                <w:sz w:val="21"/>
              </w:rPr>
            </w:pPr>
            <w:r/>
          </w:p>
          <w:p>
            <w:pPr>
              <w:spacing w:line="256" w:lineRule="auto"/>
              <w:rPr>
                <w:rFonts w:ascii="Arial"/>
                <w:sz w:val="21"/>
              </w:rPr>
            </w:pPr>
            <w:r/>
          </w:p>
          <w:p>
            <w:pPr>
              <w:pStyle w:val="TableText"/>
              <w:ind w:left="117"/>
              <w:spacing w:before="68" w:line="219" w:lineRule="auto"/>
              <w:rPr>
                <w:sz w:val="21"/>
                <w:szCs w:val="21"/>
              </w:rPr>
            </w:pPr>
            <w:r>
              <w:rPr>
                <w:sz w:val="21"/>
                <w:szCs w:val="21"/>
              </w:rPr>
              <w:t>同普适性清单管控要求相关内容</w:t>
            </w:r>
          </w:p>
        </w:tc>
        <w:tc>
          <w:tcPr>
            <w:tcW w:w="645" w:type="dxa"/>
            <w:vAlign w:val="top"/>
          </w:tcPr>
          <w:p>
            <w:pPr>
              <w:spacing w:line="255" w:lineRule="auto"/>
              <w:rPr>
                <w:rFonts w:ascii="Arial"/>
                <w:sz w:val="21"/>
              </w:rPr>
            </w:pPr>
            <w:r/>
          </w:p>
          <w:p>
            <w:pPr>
              <w:spacing w:line="256" w:lineRule="auto"/>
              <w:rPr>
                <w:rFonts w:ascii="Arial"/>
                <w:sz w:val="21"/>
              </w:rPr>
            </w:pPr>
            <w:r/>
          </w:p>
          <w:p>
            <w:pPr>
              <w:pStyle w:val="TableText"/>
              <w:ind w:left="110"/>
              <w:spacing w:before="68" w:line="219" w:lineRule="auto"/>
              <w:rPr>
                <w:sz w:val="21"/>
                <w:szCs w:val="21"/>
              </w:rPr>
            </w:pPr>
            <w:r>
              <w:rPr>
                <w:sz w:val="21"/>
                <w:szCs w:val="21"/>
                <w:spacing w:val="-3"/>
              </w:rPr>
              <w:t>符合</w:t>
            </w:r>
          </w:p>
        </w:tc>
      </w:tr>
      <w:tr>
        <w:trPr>
          <w:trHeight w:val="4080" w:hRule="atLeast"/>
        </w:trPr>
        <w:tc>
          <w:tcPr>
            <w:tcW w:w="1084" w:type="dxa"/>
            <w:vAlign w:val="top"/>
            <w:vMerge w:val="continue"/>
            <w:tcBorders>
              <w:top w:val="nil"/>
            </w:tcBorders>
          </w:tcPr>
          <w:p>
            <w:pPr>
              <w:rPr>
                <w:rFonts w:ascii="Arial"/>
                <w:sz w:val="21"/>
              </w:rPr>
            </w:pPr>
            <w:r/>
          </w:p>
        </w:tc>
        <w:tc>
          <w:tcPr>
            <w:tcW w:w="290" w:type="dxa"/>
            <w:vAlign w:val="top"/>
            <w:vMerge w:val="continue"/>
            <w:textDirection w:val="tbRlV"/>
            <w:tcBorders>
              <w:top w:val="nil"/>
            </w:tcBorders>
          </w:tcPr>
          <w:p>
            <w:pPr>
              <w:rPr>
                <w:rFonts w:ascii="Arial"/>
                <w:sz w:val="21"/>
              </w:rPr>
            </w:pPr>
            <w:r/>
          </w:p>
        </w:tc>
        <w:tc>
          <w:tcPr>
            <w:tcW w:w="859"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100" w:right="7" w:hanging="90"/>
              <w:spacing w:before="68" w:line="239" w:lineRule="auto"/>
              <w:rPr>
                <w:sz w:val="21"/>
                <w:szCs w:val="21"/>
              </w:rPr>
            </w:pPr>
            <w:r>
              <w:rPr>
                <w:sz w:val="21"/>
                <w:szCs w:val="21"/>
                <w:spacing w:val="-3"/>
              </w:rPr>
              <w:t>污染物排</w:t>
            </w:r>
            <w:r>
              <w:rPr>
                <w:sz w:val="21"/>
                <w:szCs w:val="21"/>
                <w:spacing w:val="1"/>
              </w:rPr>
              <w:t xml:space="preserve"> </w:t>
            </w:r>
            <w:r>
              <w:rPr>
                <w:sz w:val="21"/>
                <w:szCs w:val="21"/>
                <w:spacing w:val="-2"/>
              </w:rPr>
              <w:t>放管控</w:t>
            </w:r>
          </w:p>
        </w:tc>
        <w:tc>
          <w:tcPr>
            <w:tcW w:w="7374" w:type="dxa"/>
            <w:vAlign w:val="top"/>
          </w:tcPr>
          <w:p>
            <w:pPr>
              <w:pStyle w:val="TableText"/>
              <w:ind w:left="11"/>
              <w:spacing w:before="34" w:line="219" w:lineRule="auto"/>
              <w:rPr>
                <w:sz w:val="21"/>
                <w:szCs w:val="21"/>
              </w:rPr>
            </w:pPr>
            <w:r>
              <w:rPr>
                <w:sz w:val="21"/>
                <w:szCs w:val="21"/>
              </w:rPr>
              <w:t>大气环境质量执行标准</w:t>
            </w:r>
          </w:p>
          <w:p>
            <w:pPr>
              <w:pStyle w:val="TableText"/>
              <w:spacing w:before="21" w:line="220" w:lineRule="auto"/>
              <w:rPr>
                <w:sz w:val="21"/>
                <w:szCs w:val="21"/>
              </w:rPr>
            </w:pPr>
            <w:r>
              <w:rPr>
                <w:sz w:val="21"/>
                <w:szCs w:val="21"/>
                <w:spacing w:val="-4"/>
              </w:rPr>
              <w:t>《环境空气质量标准》(GB3095-2012):二级</w:t>
            </w:r>
          </w:p>
          <w:p>
            <w:pPr>
              <w:pStyle w:val="TableText"/>
              <w:ind w:left="14"/>
              <w:spacing w:before="6" w:line="219" w:lineRule="auto"/>
              <w:rPr>
                <w:sz w:val="21"/>
                <w:szCs w:val="21"/>
              </w:rPr>
            </w:pPr>
            <w:r>
              <w:rPr>
                <w:sz w:val="21"/>
                <w:szCs w:val="21"/>
                <w:b/>
                <w:bCs/>
                <w:spacing w:val="-3"/>
              </w:rPr>
              <w:t>区域大气污染物削减/替代要求</w:t>
            </w:r>
          </w:p>
          <w:p>
            <w:pPr>
              <w:pStyle w:val="TableText"/>
              <w:ind w:left="14"/>
              <w:spacing w:before="21" w:line="220" w:lineRule="auto"/>
              <w:rPr>
                <w:sz w:val="21"/>
                <w:szCs w:val="21"/>
              </w:rPr>
            </w:pPr>
            <w:r>
              <w:rPr>
                <w:sz w:val="21"/>
                <w:szCs w:val="21"/>
                <w:b/>
                <w:bCs/>
                <w:spacing w:val="-3"/>
              </w:rPr>
              <w:t>燃煤和其他能源大气污染控制要求</w:t>
            </w:r>
          </w:p>
          <w:p>
            <w:pPr>
              <w:pStyle w:val="TableText"/>
              <w:ind w:left="14"/>
              <w:spacing w:before="49" w:line="220" w:lineRule="auto"/>
              <w:rPr>
                <w:sz w:val="21"/>
                <w:szCs w:val="21"/>
              </w:rPr>
            </w:pPr>
            <w:r>
              <w:rPr>
                <w:sz w:val="21"/>
                <w:szCs w:val="21"/>
                <w:b/>
                <w:bCs/>
                <w:spacing w:val="-4"/>
              </w:rPr>
              <w:t>工业废气污染控制要求</w:t>
            </w:r>
          </w:p>
          <w:p>
            <w:pPr>
              <w:pStyle w:val="TableText"/>
              <w:ind w:left="11" w:right="93"/>
              <w:spacing w:before="13" w:line="234" w:lineRule="auto"/>
              <w:rPr>
                <w:sz w:val="21"/>
                <w:szCs w:val="21"/>
              </w:rPr>
            </w:pPr>
            <w:r>
              <w:rPr>
                <w:sz w:val="21"/>
                <w:szCs w:val="21"/>
              </w:rPr>
              <w:t>1、全面淘汰10蒸吨/小时及以下燃煤锅炉，原则上不再新建35蒸吨/小时及以下</w:t>
            </w:r>
            <w:r>
              <w:rPr>
                <w:sz w:val="21"/>
                <w:szCs w:val="21"/>
                <w:spacing w:val="7"/>
              </w:rPr>
              <w:t xml:space="preserve"> </w:t>
            </w:r>
            <w:r>
              <w:rPr>
                <w:sz w:val="21"/>
                <w:szCs w:val="21"/>
              </w:rPr>
              <w:t>的燃煤锅炉，推进县级及以上城市建成区淘汰35蒸吨/小时及以下燃煤锅炉，以</w:t>
            </w:r>
            <w:r>
              <w:rPr>
                <w:sz w:val="21"/>
                <w:szCs w:val="21"/>
                <w:spacing w:val="12"/>
              </w:rPr>
              <w:t xml:space="preserve"> </w:t>
            </w:r>
            <w:r>
              <w:rPr>
                <w:sz w:val="21"/>
                <w:szCs w:val="21"/>
                <w:spacing w:val="-1"/>
              </w:rPr>
              <w:t>工业余热、电厂热力、清洁能源等替代煤炭。</w:t>
            </w:r>
          </w:p>
          <w:p>
            <w:pPr>
              <w:pStyle w:val="TableText"/>
              <w:ind w:left="11"/>
              <w:spacing w:before="9" w:line="219" w:lineRule="auto"/>
              <w:rPr>
                <w:sz w:val="21"/>
                <w:szCs w:val="21"/>
              </w:rPr>
            </w:pPr>
            <w:r>
              <w:rPr>
                <w:sz w:val="21"/>
                <w:szCs w:val="21"/>
              </w:rPr>
              <w:t>2、加快推进火电、钢铁、铸造(含烧结、球团、高</w:t>
            </w:r>
            <w:r>
              <w:rPr>
                <w:sz w:val="21"/>
                <w:szCs w:val="21"/>
                <w:spacing w:val="-1"/>
              </w:rPr>
              <w:t>炉工序)水泥、焦化行业燃</w:t>
            </w:r>
          </w:p>
          <w:p>
            <w:pPr>
              <w:pStyle w:val="TableText"/>
              <w:ind w:left="11" w:right="11"/>
              <w:spacing w:before="22" w:line="228" w:lineRule="auto"/>
              <w:rPr>
                <w:sz w:val="21"/>
                <w:szCs w:val="21"/>
              </w:rPr>
            </w:pPr>
            <w:r>
              <w:rPr>
                <w:sz w:val="21"/>
                <w:szCs w:val="21"/>
              </w:rPr>
              <w:t>煤锅炉和工业炉窑超低排放改造及深度治理。稳步实施</w:t>
            </w:r>
            <w:r>
              <w:rPr>
                <w:sz w:val="21"/>
                <w:szCs w:val="21"/>
                <w:spacing w:val="-1"/>
              </w:rPr>
              <w:t>陶瓷、玻璃、铁合金、有</w:t>
            </w:r>
            <w:r>
              <w:rPr>
                <w:sz w:val="21"/>
                <w:szCs w:val="21"/>
              </w:rPr>
              <w:t xml:space="preserve"> </w:t>
            </w:r>
            <w:r>
              <w:rPr>
                <w:sz w:val="21"/>
                <w:szCs w:val="21"/>
              </w:rPr>
              <w:t>色、砖瓦等行业企业深度治理，推进工业炉窑煤改电(气)和低氮燃烧改造。全</w:t>
            </w:r>
          </w:p>
          <w:p>
            <w:pPr>
              <w:pStyle w:val="TableText"/>
              <w:ind w:left="11" w:right="11"/>
              <w:spacing w:before="42" w:line="232" w:lineRule="auto"/>
              <w:rPr>
                <w:sz w:val="21"/>
                <w:szCs w:val="21"/>
              </w:rPr>
            </w:pPr>
            <w:r>
              <w:rPr>
                <w:sz w:val="21"/>
                <w:szCs w:val="21"/>
              </w:rPr>
              <w:t>面加强钢铁、建材、有色、焦化、铸造重点行业无组织</w:t>
            </w:r>
            <w:r>
              <w:rPr>
                <w:sz w:val="21"/>
                <w:szCs w:val="21"/>
                <w:spacing w:val="-1"/>
              </w:rPr>
              <w:t>排放治理。生物质锅炉采</w:t>
            </w:r>
            <w:r>
              <w:rPr>
                <w:sz w:val="21"/>
                <w:szCs w:val="21"/>
              </w:rPr>
              <w:t xml:space="preserve"> </w:t>
            </w:r>
            <w:r>
              <w:rPr>
                <w:sz w:val="21"/>
                <w:szCs w:val="21"/>
              </w:rPr>
              <w:t>用专用锅炉，配套布袋等高效除尘设施，禁止掺烧煤炭、垃圾</w:t>
            </w:r>
            <w:r>
              <w:rPr>
                <w:sz w:val="21"/>
                <w:szCs w:val="21"/>
                <w:spacing w:val="-1"/>
              </w:rPr>
              <w:t>等其他物料。</w:t>
            </w:r>
          </w:p>
          <w:p>
            <w:pPr>
              <w:pStyle w:val="TableText"/>
              <w:ind w:left="14"/>
              <w:spacing w:before="18" w:line="219" w:lineRule="auto"/>
              <w:rPr>
                <w:sz w:val="21"/>
                <w:szCs w:val="21"/>
              </w:rPr>
            </w:pPr>
            <w:r>
              <w:rPr>
                <w:sz w:val="21"/>
                <w:szCs w:val="21"/>
                <w:b/>
                <w:bCs/>
                <w:spacing w:val="-3"/>
              </w:rPr>
              <w:t>机动车船大气污染控制要求</w:t>
            </w:r>
          </w:p>
          <w:p>
            <w:pPr>
              <w:pStyle w:val="TableText"/>
              <w:ind w:left="14"/>
              <w:spacing w:before="22" w:line="192" w:lineRule="auto"/>
              <w:rPr>
                <w:sz w:val="21"/>
                <w:szCs w:val="21"/>
              </w:rPr>
            </w:pPr>
            <w:r>
              <w:rPr>
                <w:sz w:val="21"/>
                <w:szCs w:val="21"/>
                <w:b/>
                <w:bCs/>
                <w:spacing w:val="-4"/>
              </w:rPr>
              <w:t>扬尘污染控制要求</w:t>
            </w:r>
          </w:p>
        </w:tc>
        <w:tc>
          <w:tcPr>
            <w:tcW w:w="3178" w:type="dxa"/>
            <w:vAlign w:val="top"/>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8" w:right="18" w:firstLine="109"/>
              <w:spacing w:before="68" w:line="235" w:lineRule="auto"/>
              <w:jc w:val="both"/>
              <w:rPr>
                <w:sz w:val="21"/>
                <w:szCs w:val="21"/>
              </w:rPr>
            </w:pPr>
            <w:r>
              <w:rPr>
                <w:sz w:val="21"/>
                <w:szCs w:val="21"/>
                <w:spacing w:val="-1"/>
              </w:rPr>
              <w:t>根据《2023年绵阳市环境质量状</w:t>
            </w:r>
            <w:r>
              <w:rPr>
                <w:sz w:val="21"/>
                <w:szCs w:val="21"/>
                <w:spacing w:val="3"/>
              </w:rPr>
              <w:t xml:space="preserve">  </w:t>
            </w:r>
            <w:r>
              <w:rPr>
                <w:sz w:val="21"/>
                <w:szCs w:val="21"/>
                <w:spacing w:val="5"/>
              </w:rPr>
              <w:t>况公报》,本项目属于环境空气质</w:t>
            </w:r>
            <w:r>
              <w:rPr>
                <w:sz w:val="21"/>
                <w:szCs w:val="21"/>
                <w:spacing w:val="2"/>
              </w:rPr>
              <w:t xml:space="preserve"> </w:t>
            </w:r>
            <w:r>
              <w:rPr>
                <w:sz w:val="21"/>
                <w:szCs w:val="21"/>
                <w:spacing w:val="-1"/>
              </w:rPr>
              <w:t>量不达标区，企业已向绵阳市生态</w:t>
            </w:r>
            <w:r>
              <w:rPr>
                <w:sz w:val="21"/>
                <w:szCs w:val="21"/>
                <w:spacing w:val="5"/>
              </w:rPr>
              <w:t xml:space="preserve"> </w:t>
            </w:r>
            <w:r>
              <w:rPr>
                <w:sz w:val="21"/>
                <w:szCs w:val="21"/>
              </w:rPr>
              <w:t>环境局申请总量控制指标。</w:t>
            </w:r>
          </w:p>
        </w:tc>
        <w:tc>
          <w:tcPr>
            <w:tcW w:w="645" w:type="dxa"/>
            <w:vAlign w:val="top"/>
          </w:tcPr>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7" w:lineRule="auto"/>
              <w:rPr>
                <w:rFonts w:ascii="Arial"/>
                <w:sz w:val="21"/>
              </w:rPr>
            </w:pPr>
            <w:r/>
          </w:p>
          <w:p>
            <w:pPr>
              <w:spacing w:line="267" w:lineRule="auto"/>
              <w:rPr>
                <w:rFonts w:ascii="Arial"/>
                <w:sz w:val="21"/>
              </w:rPr>
            </w:pPr>
            <w:r/>
          </w:p>
          <w:p>
            <w:pPr>
              <w:pStyle w:val="TableText"/>
              <w:ind w:left="110"/>
              <w:spacing w:before="69" w:line="219" w:lineRule="auto"/>
              <w:rPr>
                <w:sz w:val="21"/>
                <w:szCs w:val="21"/>
              </w:rPr>
            </w:pPr>
            <w:r>
              <w:rPr>
                <w:sz w:val="21"/>
                <w:szCs w:val="21"/>
                <w:spacing w:val="-3"/>
              </w:rPr>
              <w:t>符合</w:t>
            </w:r>
          </w:p>
        </w:tc>
      </w:tr>
    </w:tbl>
    <w:p>
      <w:pPr>
        <w:pStyle w:val="BodyText"/>
        <w:rPr/>
      </w:pPr>
      <w:r/>
    </w:p>
    <w:p>
      <w:pPr>
        <w:sectPr>
          <w:footerReference w:type="default" r:id="rId113"/>
          <w:pgSz w:w="16840" w:h="11910"/>
          <w:pgMar w:top="1180" w:right="1724" w:bottom="961" w:left="1674" w:header="872" w:footer="702" w:gutter="0"/>
        </w:sectPr>
        <w:rPr/>
      </w:pPr>
    </w:p>
    <w:p>
      <w:pPr>
        <w:spacing w:before="33"/>
        <w:rPr/>
      </w:pPr>
      <w:r/>
    </w:p>
    <w:tbl>
      <w:tblPr>
        <w:tblStyle w:val="TableNormal"/>
        <w:tblW w:w="1343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84"/>
        <w:gridCol w:w="290"/>
        <w:gridCol w:w="859"/>
        <w:gridCol w:w="7374"/>
        <w:gridCol w:w="3178"/>
        <w:gridCol w:w="645"/>
      </w:tblGrid>
      <w:tr>
        <w:trPr>
          <w:trHeight w:val="285" w:hRule="atLeast"/>
        </w:trPr>
        <w:tc>
          <w:tcPr>
            <w:shd w:val="clear" w:fill="BDBDBD"/>
            <w:tcW w:w="9607" w:type="dxa"/>
            <w:vAlign w:val="top"/>
            <w:gridSpan w:val="4"/>
          </w:tcPr>
          <w:p>
            <w:pPr>
              <w:pStyle w:val="TableText"/>
              <w:ind w:left="3643"/>
              <w:spacing w:before="40" w:line="206" w:lineRule="auto"/>
              <w:rPr>
                <w:sz w:val="21"/>
                <w:szCs w:val="21"/>
              </w:rPr>
            </w:pPr>
            <w:r>
              <w:rPr>
                <w:sz w:val="21"/>
                <w:szCs w:val="21"/>
                <w:b/>
                <w:bCs/>
                <w:spacing w:val="7"/>
              </w:rPr>
              <w:t>“三线一单”的具体要求</w:t>
            </w:r>
          </w:p>
        </w:tc>
        <w:tc>
          <w:tcPr>
            <w:shd w:val="clear" w:fill="BDBDBD"/>
            <w:tcW w:w="3178" w:type="dxa"/>
            <w:vAlign w:val="top"/>
            <w:vMerge w:val="restart"/>
            <w:tcBorders>
              <w:bottom w:val="nil"/>
            </w:tcBorders>
          </w:tcPr>
          <w:p>
            <w:pPr>
              <w:pStyle w:val="TableText"/>
              <w:ind w:left="750"/>
              <w:spacing w:before="169" w:line="219" w:lineRule="auto"/>
              <w:rPr>
                <w:sz w:val="21"/>
                <w:szCs w:val="21"/>
              </w:rPr>
            </w:pPr>
            <w:r>
              <w:rPr>
                <w:sz w:val="21"/>
                <w:szCs w:val="21"/>
                <w:b/>
                <w:bCs/>
                <w:spacing w:val="-1"/>
              </w:rPr>
              <w:t>项目对应情况介绍</w:t>
            </w:r>
          </w:p>
        </w:tc>
        <w:tc>
          <w:tcPr>
            <w:shd w:val="clear" w:fill="BDBDBD"/>
            <w:tcW w:w="645" w:type="dxa"/>
            <w:vAlign w:val="top"/>
            <w:vMerge w:val="restart"/>
            <w:tcBorders>
              <w:bottom w:val="nil"/>
            </w:tcBorders>
          </w:tcPr>
          <w:p>
            <w:pPr>
              <w:pStyle w:val="TableText"/>
              <w:ind w:left="111" w:hanging="88"/>
              <w:spacing w:before="30" w:line="226" w:lineRule="auto"/>
              <w:rPr>
                <w:sz w:val="21"/>
                <w:szCs w:val="21"/>
              </w:rPr>
            </w:pPr>
            <w:r>
              <w:rPr>
                <w:sz w:val="21"/>
                <w:szCs w:val="21"/>
                <w:b/>
                <w:bCs/>
                <w:spacing w:val="-9"/>
              </w:rPr>
              <w:t>符合性</w:t>
            </w:r>
            <w:r>
              <w:rPr>
                <w:sz w:val="21"/>
                <w:szCs w:val="21"/>
                <w:spacing w:val="1"/>
              </w:rPr>
              <w:t xml:space="preserve"> </w:t>
            </w:r>
            <w:r>
              <w:rPr>
                <w:sz w:val="21"/>
                <w:szCs w:val="21"/>
                <w:b/>
                <w:bCs/>
                <w:spacing w:val="-7"/>
              </w:rPr>
              <w:t>分析</w:t>
            </w:r>
          </w:p>
        </w:tc>
      </w:tr>
      <w:tr>
        <w:trPr>
          <w:trHeight w:val="260" w:hRule="atLeast"/>
        </w:trPr>
        <w:tc>
          <w:tcPr>
            <w:shd w:val="clear" w:fill="BDBDBD"/>
            <w:tcW w:w="2233" w:type="dxa"/>
            <w:vAlign w:val="top"/>
            <w:gridSpan w:val="3"/>
          </w:tcPr>
          <w:p>
            <w:pPr>
              <w:pStyle w:val="TableText"/>
              <w:ind w:left="898"/>
              <w:spacing w:before="25" w:line="197" w:lineRule="auto"/>
              <w:rPr>
                <w:sz w:val="21"/>
                <w:szCs w:val="21"/>
              </w:rPr>
            </w:pPr>
            <w:r>
              <w:rPr>
                <w:sz w:val="21"/>
                <w:szCs w:val="21"/>
                <w:b/>
                <w:bCs/>
                <w:spacing w:val="-5"/>
              </w:rPr>
              <w:t>类别</w:t>
            </w:r>
          </w:p>
        </w:tc>
        <w:tc>
          <w:tcPr>
            <w:shd w:val="clear" w:fill="BDBDBD"/>
            <w:tcW w:w="7374" w:type="dxa"/>
            <w:vAlign w:val="top"/>
          </w:tcPr>
          <w:p>
            <w:pPr>
              <w:pStyle w:val="TableText"/>
              <w:ind w:left="3055"/>
              <w:spacing w:before="25" w:line="197" w:lineRule="auto"/>
              <w:rPr>
                <w:sz w:val="21"/>
                <w:szCs w:val="21"/>
              </w:rPr>
            </w:pPr>
            <w:r>
              <w:rPr>
                <w:sz w:val="21"/>
                <w:szCs w:val="21"/>
                <w:b/>
                <w:bCs/>
                <w:spacing w:val="-4"/>
              </w:rPr>
              <w:t>对应管控要求</w:t>
            </w:r>
          </w:p>
        </w:tc>
        <w:tc>
          <w:tcPr>
            <w:tcW w:w="3178" w:type="dxa"/>
            <w:vAlign w:val="top"/>
            <w:vMerge w:val="continue"/>
            <w:tcBorders>
              <w:top w:val="nil"/>
            </w:tcBorders>
          </w:tcPr>
          <w:p>
            <w:pPr>
              <w:rPr>
                <w:rFonts w:ascii="Arial"/>
                <w:sz w:val="21"/>
              </w:rPr>
            </w:pPr>
            <w:r/>
          </w:p>
        </w:tc>
        <w:tc>
          <w:tcPr>
            <w:tcW w:w="645" w:type="dxa"/>
            <w:vAlign w:val="top"/>
            <w:vMerge w:val="continue"/>
            <w:tcBorders>
              <w:top w:val="nil"/>
            </w:tcBorders>
          </w:tcPr>
          <w:p>
            <w:pPr>
              <w:rPr>
                <w:rFonts w:ascii="Arial"/>
                <w:sz w:val="21"/>
              </w:rPr>
            </w:pPr>
            <w:r/>
          </w:p>
        </w:tc>
      </w:tr>
      <w:tr>
        <w:trPr>
          <w:trHeight w:val="2177" w:hRule="atLeast"/>
        </w:trPr>
        <w:tc>
          <w:tcPr>
            <w:tcW w:w="1084" w:type="dxa"/>
            <w:vAlign w:val="top"/>
            <w:vMerge w:val="restart"/>
            <w:tcBorders>
              <w:bottom w:val="nil"/>
            </w:tcBorders>
          </w:tcPr>
          <w:p>
            <w:pPr>
              <w:rPr>
                <w:rFonts w:ascii="Arial"/>
                <w:sz w:val="21"/>
              </w:rPr>
            </w:pPr>
            <w:r/>
          </w:p>
        </w:tc>
        <w:tc>
          <w:tcPr>
            <w:tcW w:w="290" w:type="dxa"/>
            <w:vAlign w:val="top"/>
            <w:vMerge w:val="restart"/>
            <w:tcBorders>
              <w:bottom w:val="nil"/>
            </w:tcBorders>
          </w:tcPr>
          <w:p>
            <w:pPr>
              <w:rPr>
                <w:rFonts w:ascii="Arial"/>
                <w:sz w:val="21"/>
              </w:rPr>
            </w:pPr>
            <w:r/>
          </w:p>
        </w:tc>
        <w:tc>
          <w:tcPr>
            <w:tcW w:w="859" w:type="dxa"/>
            <w:vAlign w:val="top"/>
          </w:tcPr>
          <w:p>
            <w:pPr>
              <w:rPr>
                <w:rFonts w:ascii="Arial"/>
                <w:sz w:val="21"/>
              </w:rPr>
            </w:pPr>
            <w:r/>
          </w:p>
        </w:tc>
        <w:tc>
          <w:tcPr>
            <w:tcW w:w="7374" w:type="dxa"/>
            <w:vAlign w:val="top"/>
          </w:tcPr>
          <w:p>
            <w:pPr>
              <w:pStyle w:val="TableText"/>
              <w:ind w:left="14"/>
              <w:spacing w:before="45" w:line="219" w:lineRule="auto"/>
              <w:rPr>
                <w:sz w:val="21"/>
                <w:szCs w:val="21"/>
              </w:rPr>
            </w:pPr>
            <w:r>
              <w:rPr>
                <w:sz w:val="21"/>
                <w:szCs w:val="21"/>
                <w:b/>
                <w:bCs/>
                <w:spacing w:val="-3"/>
              </w:rPr>
              <w:t>农业生产经营活动大气污染控制要求</w:t>
            </w:r>
          </w:p>
          <w:p>
            <w:pPr>
              <w:pStyle w:val="TableText"/>
              <w:ind w:left="14"/>
              <w:spacing w:before="21" w:line="220" w:lineRule="auto"/>
              <w:rPr>
                <w:sz w:val="21"/>
                <w:szCs w:val="21"/>
              </w:rPr>
            </w:pPr>
            <w:r>
              <w:rPr>
                <w:sz w:val="21"/>
                <w:szCs w:val="21"/>
                <w:b/>
                <w:bCs/>
                <w:spacing w:val="-3"/>
              </w:rPr>
              <w:t>重点行业企业专项治理要求</w:t>
            </w:r>
          </w:p>
          <w:p>
            <w:pPr>
              <w:pStyle w:val="TableText"/>
              <w:ind w:left="11"/>
              <w:spacing w:before="10" w:line="219" w:lineRule="auto"/>
              <w:rPr>
                <w:sz w:val="21"/>
                <w:szCs w:val="21"/>
              </w:rPr>
            </w:pPr>
            <w:r>
              <w:rPr>
                <w:sz w:val="21"/>
                <w:szCs w:val="21"/>
              </w:rPr>
              <w:t>加快实施低VOCs含量原辅材料替代。持续开展VOCs治</w:t>
            </w:r>
            <w:r>
              <w:rPr>
                <w:sz w:val="21"/>
                <w:szCs w:val="21"/>
                <w:spacing w:val="-1"/>
              </w:rPr>
              <w:t>理设施提级增效，对采</w:t>
            </w:r>
          </w:p>
          <w:p>
            <w:pPr>
              <w:pStyle w:val="TableText"/>
              <w:ind w:left="11" w:right="221"/>
              <w:spacing w:before="21" w:line="242" w:lineRule="auto"/>
              <w:rPr>
                <w:sz w:val="21"/>
                <w:szCs w:val="21"/>
              </w:rPr>
            </w:pPr>
            <w:r>
              <w:rPr>
                <w:sz w:val="21"/>
                <w:szCs w:val="21"/>
              </w:rPr>
              <w:t>用单一低温等离子、光氧化、光催化以及非水溶性VOC</w:t>
            </w:r>
            <w:r>
              <w:rPr>
                <w:sz w:val="21"/>
                <w:szCs w:val="21"/>
                <w:spacing w:val="-1"/>
              </w:rPr>
              <w:t>s废气采用单一喷淋吸收</w:t>
            </w:r>
            <w:r>
              <w:rPr>
                <w:sz w:val="21"/>
                <w:szCs w:val="21"/>
              </w:rPr>
              <w:t xml:space="preserve"> </w:t>
            </w:r>
            <w:r>
              <w:rPr>
                <w:sz w:val="21"/>
                <w:szCs w:val="21"/>
              </w:rPr>
              <w:t>等治理技术且无法稳定达标的，加快推进升级改造。强化VOCs无组织排放整</w:t>
            </w:r>
          </w:p>
          <w:p>
            <w:pPr>
              <w:pStyle w:val="TableText"/>
              <w:ind w:left="11" w:right="193"/>
              <w:spacing w:line="227" w:lineRule="auto"/>
              <w:rPr>
                <w:sz w:val="21"/>
                <w:szCs w:val="21"/>
              </w:rPr>
            </w:pPr>
            <w:r>
              <w:rPr>
                <w:sz w:val="21"/>
                <w:szCs w:val="21"/>
              </w:rPr>
              <w:t>治。石化、化工等行业加强非正常工况废气排放管控。推进涉VOCs产业集群治</w:t>
            </w:r>
            <w:r>
              <w:rPr>
                <w:sz w:val="21"/>
                <w:szCs w:val="21"/>
                <w:spacing w:val="17"/>
              </w:rPr>
              <w:t xml:space="preserve"> </w:t>
            </w:r>
            <w:r>
              <w:rPr>
                <w:sz w:val="21"/>
                <w:szCs w:val="21"/>
                <w:spacing w:val="-1"/>
              </w:rPr>
              <w:t>理提升。</w:t>
            </w:r>
          </w:p>
          <w:p>
            <w:pPr>
              <w:pStyle w:val="TableText"/>
              <w:ind w:left="14"/>
              <w:spacing w:before="1" w:line="219" w:lineRule="auto"/>
              <w:rPr>
                <w:sz w:val="21"/>
                <w:szCs w:val="21"/>
              </w:rPr>
            </w:pPr>
            <w:r>
              <w:rPr>
                <w:sz w:val="21"/>
                <w:szCs w:val="21"/>
                <w:b/>
                <w:bCs/>
                <w:spacing w:val="-3"/>
              </w:rPr>
              <w:t>其他大气污染物排放管控要求</w:t>
            </w:r>
          </w:p>
        </w:tc>
        <w:tc>
          <w:tcPr>
            <w:tcW w:w="3178" w:type="dxa"/>
            <w:vAlign w:val="top"/>
          </w:tcPr>
          <w:p>
            <w:pPr>
              <w:rPr>
                <w:rFonts w:ascii="Arial"/>
                <w:sz w:val="21"/>
              </w:rPr>
            </w:pPr>
            <w:r/>
          </w:p>
        </w:tc>
        <w:tc>
          <w:tcPr>
            <w:tcW w:w="645" w:type="dxa"/>
            <w:vAlign w:val="top"/>
          </w:tcPr>
          <w:p>
            <w:pPr>
              <w:rPr>
                <w:rFonts w:ascii="Arial"/>
                <w:sz w:val="21"/>
              </w:rPr>
            </w:pPr>
            <w:r/>
          </w:p>
        </w:tc>
      </w:tr>
      <w:tr>
        <w:trPr>
          <w:trHeight w:val="549" w:hRule="atLeast"/>
        </w:trPr>
        <w:tc>
          <w:tcPr>
            <w:tcW w:w="1084" w:type="dxa"/>
            <w:vAlign w:val="top"/>
            <w:vMerge w:val="continue"/>
            <w:tcBorders>
              <w:top w:val="nil"/>
              <w:bottom w:val="nil"/>
            </w:tcBorders>
          </w:tcPr>
          <w:p>
            <w:pPr>
              <w:rPr>
                <w:rFonts w:ascii="Arial"/>
                <w:sz w:val="21"/>
              </w:rPr>
            </w:pPr>
            <w:r/>
          </w:p>
        </w:tc>
        <w:tc>
          <w:tcPr>
            <w:tcW w:w="290" w:type="dxa"/>
            <w:vAlign w:val="top"/>
            <w:vMerge w:val="continue"/>
            <w:tcBorders>
              <w:top w:val="nil"/>
              <w:bottom w:val="nil"/>
            </w:tcBorders>
          </w:tcPr>
          <w:p>
            <w:pPr>
              <w:rPr>
                <w:rFonts w:ascii="Arial"/>
                <w:sz w:val="21"/>
              </w:rPr>
            </w:pPr>
            <w:r/>
          </w:p>
        </w:tc>
        <w:tc>
          <w:tcPr>
            <w:tcW w:w="859" w:type="dxa"/>
            <w:vAlign w:val="top"/>
          </w:tcPr>
          <w:p>
            <w:pPr>
              <w:pStyle w:val="TableText"/>
              <w:ind w:left="210" w:right="6" w:hanging="200"/>
              <w:spacing w:before="31" w:line="223" w:lineRule="auto"/>
              <w:rPr>
                <w:sz w:val="21"/>
                <w:szCs w:val="21"/>
              </w:rPr>
            </w:pPr>
            <w:r>
              <w:rPr>
                <w:sz w:val="21"/>
                <w:szCs w:val="21"/>
                <w:spacing w:val="-3"/>
              </w:rPr>
              <w:t>环境风险</w:t>
            </w:r>
            <w:r>
              <w:rPr>
                <w:sz w:val="21"/>
                <w:szCs w:val="21"/>
                <w:spacing w:val="2"/>
              </w:rPr>
              <w:t xml:space="preserve"> </w:t>
            </w:r>
            <w:r>
              <w:rPr>
                <w:sz w:val="21"/>
                <w:szCs w:val="21"/>
                <w:spacing w:val="4"/>
              </w:rPr>
              <w:t>防控</w:t>
            </w:r>
          </w:p>
        </w:tc>
        <w:tc>
          <w:tcPr>
            <w:tcW w:w="7374" w:type="dxa"/>
            <w:vAlign w:val="top"/>
          </w:tcPr>
          <w:p>
            <w:pPr>
              <w:pStyle w:val="TableText"/>
              <w:ind w:left="3592"/>
              <w:spacing w:before="192" w:line="241" w:lineRule="auto"/>
              <w:rPr>
                <w:sz w:val="21"/>
                <w:szCs w:val="21"/>
              </w:rPr>
            </w:pPr>
            <w:r>
              <w:rPr>
                <w:sz w:val="21"/>
                <w:szCs w:val="21"/>
              </w:rPr>
              <w:t>I</w:t>
            </w:r>
          </w:p>
        </w:tc>
        <w:tc>
          <w:tcPr>
            <w:tcW w:w="3178" w:type="dxa"/>
            <w:vAlign w:val="top"/>
          </w:tcPr>
          <w:p>
            <w:pPr>
              <w:pStyle w:val="TableText"/>
              <w:ind w:left="1527"/>
              <w:spacing w:before="177" w:line="224" w:lineRule="auto"/>
              <w:rPr>
                <w:sz w:val="21"/>
                <w:szCs w:val="21"/>
              </w:rPr>
            </w:pPr>
            <w:r>
              <w:rPr>
                <w:sz w:val="21"/>
                <w:szCs w:val="21"/>
              </w:rPr>
              <w:t>/</w:t>
            </w:r>
          </w:p>
        </w:tc>
        <w:tc>
          <w:tcPr>
            <w:tcW w:w="645" w:type="dxa"/>
            <w:vAlign w:val="top"/>
          </w:tcPr>
          <w:p>
            <w:pPr>
              <w:pStyle w:val="TableText"/>
              <w:ind w:left="259"/>
              <w:spacing w:before="177" w:line="224" w:lineRule="auto"/>
              <w:rPr>
                <w:sz w:val="21"/>
                <w:szCs w:val="21"/>
              </w:rPr>
            </w:pPr>
            <w:r>
              <w:rPr>
                <w:sz w:val="21"/>
                <w:szCs w:val="21"/>
              </w:rPr>
              <w:t>/</w:t>
            </w:r>
          </w:p>
        </w:tc>
      </w:tr>
      <w:tr>
        <w:trPr>
          <w:trHeight w:val="529" w:hRule="atLeast"/>
        </w:trPr>
        <w:tc>
          <w:tcPr>
            <w:tcW w:w="1084" w:type="dxa"/>
            <w:vAlign w:val="top"/>
            <w:vMerge w:val="continue"/>
            <w:tcBorders>
              <w:top w:val="nil"/>
            </w:tcBorders>
          </w:tcPr>
          <w:p>
            <w:pPr>
              <w:rPr>
                <w:rFonts w:ascii="Arial"/>
                <w:sz w:val="21"/>
              </w:rPr>
            </w:pPr>
            <w:r/>
          </w:p>
        </w:tc>
        <w:tc>
          <w:tcPr>
            <w:tcW w:w="290" w:type="dxa"/>
            <w:vAlign w:val="top"/>
            <w:vMerge w:val="continue"/>
            <w:tcBorders>
              <w:top w:val="nil"/>
            </w:tcBorders>
          </w:tcPr>
          <w:p>
            <w:pPr>
              <w:rPr>
                <w:rFonts w:ascii="Arial"/>
                <w:sz w:val="21"/>
              </w:rPr>
            </w:pPr>
            <w:r/>
          </w:p>
        </w:tc>
        <w:tc>
          <w:tcPr>
            <w:tcW w:w="859" w:type="dxa"/>
            <w:vAlign w:val="top"/>
          </w:tcPr>
          <w:p>
            <w:pPr>
              <w:pStyle w:val="TableText"/>
              <w:spacing w:before="23" w:line="220" w:lineRule="auto"/>
              <w:jc w:val="right"/>
              <w:rPr>
                <w:sz w:val="21"/>
                <w:szCs w:val="21"/>
              </w:rPr>
            </w:pPr>
            <w:r>
              <w:rPr>
                <w:sz w:val="21"/>
                <w:szCs w:val="21"/>
                <w:spacing w:val="-1"/>
              </w:rPr>
              <w:t>资源开发</w:t>
            </w:r>
          </w:p>
          <w:p>
            <w:pPr>
              <w:pStyle w:val="TableText"/>
              <w:spacing w:before="19" w:line="199" w:lineRule="auto"/>
              <w:jc w:val="right"/>
              <w:rPr>
                <w:sz w:val="21"/>
                <w:szCs w:val="21"/>
              </w:rPr>
            </w:pPr>
            <w:r>
              <w:rPr>
                <w:sz w:val="21"/>
                <w:szCs w:val="21"/>
                <w:spacing w:val="-1"/>
              </w:rPr>
              <w:t>效率要求</w:t>
            </w:r>
          </w:p>
        </w:tc>
        <w:tc>
          <w:tcPr>
            <w:tcW w:w="7374" w:type="dxa"/>
            <w:vAlign w:val="top"/>
          </w:tcPr>
          <w:p>
            <w:pPr>
              <w:pStyle w:val="TableText"/>
              <w:ind w:left="3612"/>
              <w:spacing w:before="168" w:line="224" w:lineRule="auto"/>
              <w:rPr>
                <w:sz w:val="21"/>
                <w:szCs w:val="21"/>
              </w:rPr>
            </w:pPr>
            <w:r>
              <w:rPr>
                <w:sz w:val="21"/>
                <w:szCs w:val="21"/>
              </w:rPr>
              <w:t>/</w:t>
            </w:r>
          </w:p>
        </w:tc>
        <w:tc>
          <w:tcPr>
            <w:tcW w:w="3178" w:type="dxa"/>
            <w:vAlign w:val="top"/>
          </w:tcPr>
          <w:p>
            <w:pPr>
              <w:pStyle w:val="TableText"/>
              <w:ind w:left="1527"/>
              <w:spacing w:before="168" w:line="224" w:lineRule="auto"/>
              <w:rPr>
                <w:sz w:val="21"/>
                <w:szCs w:val="21"/>
              </w:rPr>
            </w:pPr>
            <w:r>
              <w:rPr>
                <w:sz w:val="21"/>
                <w:szCs w:val="21"/>
              </w:rPr>
              <w:t>/</w:t>
            </w:r>
          </w:p>
        </w:tc>
        <w:tc>
          <w:tcPr>
            <w:tcW w:w="645" w:type="dxa"/>
            <w:vAlign w:val="top"/>
            <w:textDirection w:val="tbRlV"/>
          </w:tcPr>
          <w:p>
            <w:pPr>
              <w:pStyle w:val="TableText"/>
              <w:ind w:left="134"/>
              <w:spacing w:before="275" w:line="137" w:lineRule="exact"/>
              <w:rPr>
                <w:sz w:val="21"/>
                <w:szCs w:val="21"/>
              </w:rPr>
            </w:pPr>
            <w:r>
              <w:rPr>
                <w:sz w:val="21"/>
                <w:szCs w:val="21"/>
                <w:color w:val="504050"/>
                <w:spacing w:val="52"/>
                <w:w w:val="141"/>
                <w:position w:val="-1"/>
              </w:rPr>
              <w:t>/</w:t>
            </w:r>
          </w:p>
        </w:tc>
      </w:tr>
      <w:tr>
        <w:trPr>
          <w:trHeight w:val="1099" w:hRule="atLeast"/>
        </w:trPr>
        <w:tc>
          <w:tcPr>
            <w:tcW w:w="1084" w:type="dxa"/>
            <w:vAlign w:val="top"/>
            <w:vMerge w:val="restart"/>
            <w:tcBorders>
              <w:bottom w:val="nil"/>
            </w:tcBorders>
          </w:tcPr>
          <w:p>
            <w:pPr>
              <w:spacing w:line="271" w:lineRule="auto"/>
              <w:rPr>
                <w:rFonts w:ascii="Arial"/>
                <w:sz w:val="21"/>
              </w:rPr>
            </w:pPr>
            <w:r/>
          </w:p>
          <w:p>
            <w:pPr>
              <w:spacing w:line="272" w:lineRule="auto"/>
              <w:rPr>
                <w:rFonts w:ascii="Arial"/>
                <w:sz w:val="21"/>
              </w:rPr>
            </w:pPr>
            <w:r/>
          </w:p>
          <w:p>
            <w:pPr>
              <w:spacing w:line="272" w:lineRule="auto"/>
              <w:rPr>
                <w:rFonts w:ascii="Arial"/>
                <w:sz w:val="21"/>
              </w:rPr>
            </w:pPr>
            <w:r/>
          </w:p>
          <w:p>
            <w:pPr>
              <w:pStyle w:val="TableText"/>
              <w:ind w:left="15" w:firstLine="2"/>
              <w:spacing w:before="69" w:line="242" w:lineRule="auto"/>
              <w:rPr>
                <w:sz w:val="21"/>
                <w:szCs w:val="21"/>
              </w:rPr>
            </w:pPr>
            <w:r>
              <w:rPr>
                <w:sz w:val="21"/>
                <w:szCs w:val="21"/>
                <w:b/>
                <w:bCs/>
                <w:spacing w:val="-6"/>
              </w:rPr>
              <w:t>环境管控单</w:t>
            </w:r>
            <w:r>
              <w:rPr>
                <w:sz w:val="21"/>
                <w:szCs w:val="21"/>
              </w:rPr>
              <w:t xml:space="preserve"> </w:t>
            </w:r>
            <w:r>
              <w:rPr>
                <w:sz w:val="21"/>
                <w:szCs w:val="21"/>
                <w:b/>
                <w:bCs/>
                <w:spacing w:val="-16"/>
              </w:rPr>
              <w:t>元分类</w:t>
            </w:r>
            <w:r>
              <w:rPr>
                <w:sz w:val="21"/>
                <w:szCs w:val="21"/>
                <w:spacing w:val="-54"/>
              </w:rPr>
              <w:t xml:space="preserve"> </w:t>
            </w:r>
            <w:r>
              <w:rPr>
                <w:sz w:val="21"/>
                <w:szCs w:val="21"/>
                <w:b/>
                <w:bCs/>
                <w:spacing w:val="-16"/>
              </w:rPr>
              <w:t>：</w:t>
            </w:r>
            <w:r>
              <w:rPr>
                <w:sz w:val="21"/>
                <w:szCs w:val="21"/>
                <w:spacing w:val="-16"/>
              </w:rPr>
              <w:t>土</w:t>
            </w:r>
            <w:r>
              <w:rPr>
                <w:sz w:val="21"/>
                <w:szCs w:val="21"/>
              </w:rPr>
              <w:t xml:space="preserve"> </w:t>
            </w:r>
            <w:r>
              <w:rPr>
                <w:sz w:val="21"/>
                <w:szCs w:val="21"/>
                <w:spacing w:val="1"/>
              </w:rPr>
              <w:t>地资源重点</w:t>
            </w:r>
            <w:r>
              <w:rPr>
                <w:sz w:val="21"/>
                <w:szCs w:val="21"/>
                <w:spacing w:val="2"/>
              </w:rPr>
              <w:t xml:space="preserve"> </w:t>
            </w:r>
            <w:r>
              <w:rPr>
                <w:sz w:val="21"/>
                <w:szCs w:val="21"/>
                <w:spacing w:val="4"/>
              </w:rPr>
              <w:t>管控区</w:t>
            </w:r>
          </w:p>
          <w:p>
            <w:pPr>
              <w:pStyle w:val="TableText"/>
              <w:ind w:left="18" w:right="14"/>
              <w:spacing w:line="248" w:lineRule="auto"/>
              <w:rPr>
                <w:sz w:val="21"/>
                <w:szCs w:val="21"/>
              </w:rPr>
            </w:pPr>
            <w:r>
              <w:rPr>
                <w:sz w:val="21"/>
                <w:szCs w:val="21"/>
                <w:b/>
                <w:bCs/>
                <w:spacing w:val="-4"/>
              </w:rPr>
              <w:t>环境管控单</w:t>
            </w:r>
            <w:r>
              <w:rPr>
                <w:sz w:val="21"/>
                <w:szCs w:val="21"/>
              </w:rPr>
              <w:t xml:space="preserve"> </w:t>
            </w:r>
            <w:r>
              <w:rPr>
                <w:sz w:val="21"/>
                <w:szCs w:val="21"/>
                <w:b/>
                <w:bCs/>
                <w:spacing w:val="-5"/>
              </w:rPr>
              <w:t>元编码：</w:t>
            </w:r>
          </w:p>
          <w:p>
            <w:pPr>
              <w:pStyle w:val="TableText"/>
              <w:ind w:left="15" w:right="118"/>
              <w:spacing w:before="42" w:line="189" w:lineRule="auto"/>
              <w:rPr>
                <w:sz w:val="21"/>
                <w:szCs w:val="21"/>
              </w:rPr>
            </w:pPr>
            <w:r>
              <w:rPr>
                <w:sz w:val="21"/>
                <w:szCs w:val="21"/>
                <w:spacing w:val="-1"/>
              </w:rPr>
              <w:t>YS5107052</w:t>
            </w:r>
            <w:r>
              <w:rPr>
                <w:sz w:val="21"/>
                <w:szCs w:val="21"/>
                <w:spacing w:val="3"/>
              </w:rPr>
              <w:t xml:space="preserve"> </w:t>
            </w:r>
            <w:r>
              <w:rPr>
                <w:sz w:val="21"/>
                <w:szCs w:val="21"/>
                <w:spacing w:val="-2"/>
              </w:rPr>
              <w:t>530001</w:t>
            </w:r>
          </w:p>
          <w:p>
            <w:pPr>
              <w:pStyle w:val="TableText"/>
              <w:ind w:left="15" w:right="14" w:firstLine="3"/>
              <w:spacing w:line="238" w:lineRule="auto"/>
              <w:jc w:val="both"/>
              <w:rPr>
                <w:sz w:val="21"/>
                <w:szCs w:val="21"/>
              </w:rPr>
            </w:pPr>
            <w:r>
              <w:rPr>
                <w:sz w:val="21"/>
                <w:szCs w:val="21"/>
                <w:b/>
                <w:bCs/>
                <w:spacing w:val="-4"/>
              </w:rPr>
              <w:t>环境管控单</w:t>
            </w:r>
            <w:r>
              <w:rPr>
                <w:sz w:val="21"/>
                <w:szCs w:val="21"/>
              </w:rPr>
              <w:t xml:space="preserve"> </w:t>
            </w:r>
            <w:r>
              <w:rPr>
                <w:sz w:val="21"/>
                <w:szCs w:val="21"/>
                <w:b/>
                <w:bCs/>
                <w:spacing w:val="-15"/>
              </w:rPr>
              <w:t>元名称</w:t>
            </w:r>
            <w:r>
              <w:rPr>
                <w:sz w:val="21"/>
                <w:szCs w:val="21"/>
                <w:spacing w:val="-53"/>
              </w:rPr>
              <w:t xml:space="preserve"> </w:t>
            </w:r>
            <w:r>
              <w:rPr>
                <w:sz w:val="21"/>
                <w:szCs w:val="21"/>
                <w:b/>
                <w:bCs/>
                <w:spacing w:val="-15"/>
              </w:rPr>
              <w:t>：</w:t>
            </w:r>
            <w:r>
              <w:rPr>
                <w:sz w:val="21"/>
                <w:szCs w:val="21"/>
                <w:spacing w:val="-15"/>
              </w:rPr>
              <w:t>安</w:t>
            </w:r>
            <w:r>
              <w:rPr>
                <w:sz w:val="21"/>
                <w:szCs w:val="21"/>
              </w:rPr>
              <w:t xml:space="preserve"> </w:t>
            </w:r>
            <w:r>
              <w:rPr>
                <w:sz w:val="21"/>
                <w:szCs w:val="21"/>
                <w:spacing w:val="-2"/>
              </w:rPr>
              <w:t>州区城镇开</w:t>
            </w:r>
            <w:r>
              <w:rPr>
                <w:sz w:val="21"/>
                <w:szCs w:val="21"/>
              </w:rPr>
              <w:t xml:space="preserve"> </w:t>
            </w:r>
            <w:r>
              <w:rPr>
                <w:sz w:val="21"/>
                <w:szCs w:val="21"/>
                <w:spacing w:val="3"/>
              </w:rPr>
              <w:t>发边界</w:t>
            </w:r>
          </w:p>
        </w:tc>
        <w:tc>
          <w:tcPr>
            <w:tcW w:w="290" w:type="dxa"/>
            <w:vAlign w:val="top"/>
            <w:vMerge w:val="restart"/>
            <w:textDirection w:val="tbRlV"/>
            <w:tcBorders>
              <w:bottom w:val="nil"/>
            </w:tcBorders>
          </w:tcPr>
          <w:p>
            <w:pPr>
              <w:pStyle w:val="TableText"/>
              <w:ind w:left="694"/>
              <w:spacing w:before="46" w:line="202" w:lineRule="auto"/>
              <w:rPr>
                <w:sz w:val="21"/>
                <w:szCs w:val="21"/>
              </w:rPr>
            </w:pPr>
            <w:r>
              <w:rPr>
                <w:sz w:val="21"/>
                <w:szCs w:val="21"/>
              </w:rPr>
              <w:t>普</w:t>
            </w:r>
            <w:r>
              <w:rPr>
                <w:sz w:val="21"/>
                <w:szCs w:val="21"/>
                <w:spacing w:val="-35"/>
              </w:rPr>
              <w:t xml:space="preserve"> </w:t>
            </w:r>
            <w:r>
              <w:rPr>
                <w:sz w:val="21"/>
                <w:szCs w:val="21"/>
              </w:rPr>
              <w:t>适</w:t>
            </w:r>
            <w:r>
              <w:rPr>
                <w:sz w:val="21"/>
                <w:szCs w:val="21"/>
                <w:spacing w:val="-35"/>
              </w:rPr>
              <w:t xml:space="preserve"> </w:t>
            </w:r>
            <w:r>
              <w:rPr>
                <w:sz w:val="21"/>
                <w:szCs w:val="21"/>
              </w:rPr>
              <w:t>性</w:t>
            </w:r>
            <w:r>
              <w:rPr>
                <w:sz w:val="21"/>
                <w:szCs w:val="21"/>
                <w:spacing w:val="-34"/>
              </w:rPr>
              <w:t xml:space="preserve"> </w:t>
            </w:r>
            <w:r>
              <w:rPr>
                <w:sz w:val="21"/>
                <w:szCs w:val="21"/>
              </w:rPr>
              <w:t>清</w:t>
            </w:r>
            <w:r>
              <w:rPr>
                <w:sz w:val="21"/>
                <w:szCs w:val="21"/>
                <w:spacing w:val="-35"/>
              </w:rPr>
              <w:t xml:space="preserve"> </w:t>
            </w:r>
            <w:r>
              <w:rPr>
                <w:sz w:val="21"/>
                <w:szCs w:val="21"/>
              </w:rPr>
              <w:t>单</w:t>
            </w:r>
            <w:r>
              <w:rPr>
                <w:sz w:val="21"/>
                <w:szCs w:val="21"/>
                <w:spacing w:val="-34"/>
              </w:rPr>
              <w:t xml:space="preserve"> </w:t>
            </w:r>
            <w:r>
              <w:rPr>
                <w:sz w:val="21"/>
                <w:szCs w:val="21"/>
              </w:rPr>
              <w:t>管</w:t>
            </w:r>
            <w:r>
              <w:rPr>
                <w:sz w:val="21"/>
                <w:szCs w:val="21"/>
                <w:spacing w:val="-34"/>
              </w:rPr>
              <w:t xml:space="preserve"> </w:t>
            </w:r>
            <w:r>
              <w:rPr>
                <w:sz w:val="21"/>
                <w:szCs w:val="21"/>
              </w:rPr>
              <w:t>控</w:t>
            </w:r>
            <w:r>
              <w:rPr>
                <w:sz w:val="21"/>
                <w:szCs w:val="21"/>
                <w:spacing w:val="-34"/>
              </w:rPr>
              <w:t xml:space="preserve"> </w:t>
            </w:r>
            <w:r>
              <w:rPr>
                <w:sz w:val="21"/>
                <w:szCs w:val="21"/>
              </w:rPr>
              <w:t>要</w:t>
            </w:r>
            <w:r>
              <w:rPr>
                <w:sz w:val="21"/>
                <w:szCs w:val="21"/>
                <w:spacing w:val="-35"/>
              </w:rPr>
              <w:t xml:space="preserve"> </w:t>
            </w:r>
            <w:r>
              <w:rPr>
                <w:sz w:val="21"/>
                <w:szCs w:val="21"/>
              </w:rPr>
              <w:t>求</w:t>
            </w:r>
          </w:p>
        </w:tc>
        <w:tc>
          <w:tcPr>
            <w:tcW w:w="859" w:type="dxa"/>
            <w:vAlign w:val="top"/>
          </w:tcPr>
          <w:p>
            <w:pPr>
              <w:pStyle w:val="TableText"/>
              <w:ind w:left="205" w:hanging="195"/>
              <w:spacing w:before="301" w:line="258" w:lineRule="auto"/>
              <w:rPr>
                <w:sz w:val="21"/>
                <w:szCs w:val="21"/>
              </w:rPr>
            </w:pPr>
            <w:r>
              <w:rPr>
                <w:sz w:val="21"/>
                <w:szCs w:val="21"/>
                <w:spacing w:val="-1"/>
              </w:rPr>
              <w:t>空间布局</w:t>
            </w:r>
            <w:r>
              <w:rPr>
                <w:sz w:val="21"/>
                <w:szCs w:val="21"/>
                <w:spacing w:val="1"/>
              </w:rPr>
              <w:t xml:space="preserve"> </w:t>
            </w:r>
            <w:r>
              <w:rPr>
                <w:sz w:val="21"/>
                <w:szCs w:val="21"/>
              </w:rPr>
              <w:t>约束</w:t>
            </w:r>
          </w:p>
        </w:tc>
        <w:tc>
          <w:tcPr>
            <w:tcW w:w="7374" w:type="dxa"/>
            <w:vAlign w:val="top"/>
          </w:tcPr>
          <w:p>
            <w:pPr>
              <w:pStyle w:val="TableText"/>
              <w:ind w:left="14"/>
              <w:spacing w:before="20" w:line="219" w:lineRule="auto"/>
              <w:rPr>
                <w:sz w:val="21"/>
                <w:szCs w:val="21"/>
              </w:rPr>
            </w:pPr>
            <w:r>
              <w:rPr>
                <w:sz w:val="21"/>
                <w:szCs w:val="21"/>
                <w:b/>
                <w:bCs/>
                <w:spacing w:val="-3"/>
              </w:rPr>
              <w:t>禁止开发建设活动的要求：暂无</w:t>
            </w:r>
          </w:p>
          <w:p>
            <w:pPr>
              <w:pStyle w:val="TableText"/>
              <w:ind w:left="14"/>
              <w:spacing w:before="41" w:line="220" w:lineRule="auto"/>
              <w:rPr>
                <w:sz w:val="21"/>
                <w:szCs w:val="21"/>
              </w:rPr>
            </w:pPr>
            <w:r>
              <w:rPr>
                <w:sz w:val="21"/>
                <w:szCs w:val="21"/>
                <w:b/>
                <w:bCs/>
                <w:spacing w:val="-2"/>
              </w:rPr>
              <w:t>限制开发建设活动的要求：暂无</w:t>
            </w:r>
          </w:p>
          <w:p>
            <w:pPr>
              <w:pStyle w:val="TableText"/>
              <w:ind w:left="14"/>
              <w:spacing w:before="37" w:line="219" w:lineRule="auto"/>
              <w:rPr>
                <w:sz w:val="21"/>
                <w:szCs w:val="21"/>
              </w:rPr>
            </w:pPr>
            <w:r>
              <w:rPr>
                <w:sz w:val="21"/>
                <w:szCs w:val="21"/>
                <w:b/>
                <w:bCs/>
                <w:spacing w:val="-3"/>
              </w:rPr>
              <w:t>不符合空间布局要求活动的退出要求：暂无</w:t>
            </w:r>
          </w:p>
          <w:p>
            <w:pPr>
              <w:pStyle w:val="TableText"/>
              <w:ind w:left="14"/>
              <w:spacing w:before="21" w:line="193" w:lineRule="auto"/>
              <w:rPr>
                <w:sz w:val="21"/>
                <w:szCs w:val="21"/>
              </w:rPr>
            </w:pPr>
            <w:r>
              <w:rPr>
                <w:sz w:val="21"/>
                <w:szCs w:val="21"/>
                <w:b/>
                <w:bCs/>
                <w:spacing w:val="-3"/>
              </w:rPr>
              <w:t>其他空间布局约束要求：暂无</w:t>
            </w:r>
          </w:p>
        </w:tc>
        <w:tc>
          <w:tcPr>
            <w:tcW w:w="3178" w:type="dxa"/>
            <w:vAlign w:val="top"/>
            <w:textDirection w:val="tbRlV"/>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pStyle w:val="TableText"/>
              <w:ind w:left="425"/>
              <w:spacing w:before="70" w:line="137" w:lineRule="exact"/>
              <w:rPr>
                <w:sz w:val="21"/>
                <w:szCs w:val="21"/>
              </w:rPr>
            </w:pPr>
            <w:r>
              <w:rPr>
                <w:sz w:val="21"/>
                <w:szCs w:val="21"/>
                <w:color w:val="403040"/>
                <w:spacing w:val="52"/>
                <w:w w:val="141"/>
                <w:position w:val="-1"/>
              </w:rPr>
              <w:t>/</w:t>
            </w:r>
          </w:p>
        </w:tc>
        <w:tc>
          <w:tcPr>
            <w:tcW w:w="645" w:type="dxa"/>
            <w:vAlign w:val="top"/>
          </w:tcPr>
          <w:p>
            <w:pPr>
              <w:spacing w:line="389" w:lineRule="auto"/>
              <w:rPr>
                <w:rFonts w:ascii="Arial"/>
                <w:sz w:val="21"/>
              </w:rPr>
            </w:pPr>
            <w:r/>
          </w:p>
          <w:p>
            <w:pPr>
              <w:pStyle w:val="TableText"/>
              <w:ind w:left="259"/>
              <w:spacing w:before="68" w:line="224" w:lineRule="auto"/>
              <w:rPr>
                <w:sz w:val="21"/>
                <w:szCs w:val="21"/>
              </w:rPr>
            </w:pPr>
            <w:r>
              <w:rPr>
                <w:sz w:val="21"/>
                <w:szCs w:val="21"/>
                <w:color w:val="505060"/>
              </w:rPr>
              <w:t>/</w:t>
            </w:r>
          </w:p>
        </w:tc>
      </w:tr>
      <w:tr>
        <w:trPr>
          <w:trHeight w:val="799" w:hRule="atLeast"/>
        </w:trPr>
        <w:tc>
          <w:tcPr>
            <w:tcW w:w="1084" w:type="dxa"/>
            <w:vAlign w:val="top"/>
            <w:vMerge w:val="continue"/>
            <w:tcBorders>
              <w:top w:val="nil"/>
              <w:bottom w:val="nil"/>
            </w:tcBorders>
          </w:tcPr>
          <w:p>
            <w:pPr>
              <w:rPr>
                <w:rFonts w:ascii="Arial"/>
                <w:sz w:val="21"/>
              </w:rPr>
            </w:pPr>
            <w:r/>
          </w:p>
        </w:tc>
        <w:tc>
          <w:tcPr>
            <w:tcW w:w="290" w:type="dxa"/>
            <w:vAlign w:val="top"/>
            <w:vMerge w:val="continue"/>
            <w:textDirection w:val="tbRlV"/>
            <w:tcBorders>
              <w:top w:val="nil"/>
              <w:bottom w:val="nil"/>
            </w:tcBorders>
          </w:tcPr>
          <w:p>
            <w:pPr>
              <w:rPr>
                <w:rFonts w:ascii="Arial"/>
                <w:sz w:val="21"/>
              </w:rPr>
            </w:pPr>
            <w:r/>
          </w:p>
        </w:tc>
        <w:tc>
          <w:tcPr>
            <w:tcW w:w="859" w:type="dxa"/>
            <w:vAlign w:val="top"/>
          </w:tcPr>
          <w:p>
            <w:pPr>
              <w:pStyle w:val="TableText"/>
              <w:ind w:left="100" w:right="7" w:hanging="90"/>
              <w:spacing w:before="165" w:line="230" w:lineRule="auto"/>
              <w:rPr>
                <w:sz w:val="21"/>
                <w:szCs w:val="21"/>
              </w:rPr>
            </w:pPr>
            <w:r>
              <w:rPr>
                <w:sz w:val="21"/>
                <w:szCs w:val="21"/>
                <w:spacing w:val="-3"/>
              </w:rPr>
              <w:t>污染物排</w:t>
            </w:r>
            <w:r>
              <w:rPr>
                <w:sz w:val="21"/>
                <w:szCs w:val="21"/>
                <w:spacing w:val="1"/>
              </w:rPr>
              <w:t xml:space="preserve"> </w:t>
            </w:r>
            <w:r>
              <w:rPr>
                <w:sz w:val="21"/>
                <w:szCs w:val="21"/>
                <w:spacing w:val="-2"/>
              </w:rPr>
              <w:t>放管控</w:t>
            </w:r>
          </w:p>
        </w:tc>
        <w:tc>
          <w:tcPr>
            <w:tcW w:w="7374" w:type="dxa"/>
            <w:vAlign w:val="top"/>
          </w:tcPr>
          <w:p>
            <w:pPr>
              <w:pStyle w:val="TableText"/>
              <w:ind w:left="14"/>
              <w:spacing w:before="31" w:line="219" w:lineRule="auto"/>
              <w:rPr>
                <w:sz w:val="21"/>
                <w:szCs w:val="21"/>
              </w:rPr>
            </w:pPr>
            <w:r>
              <w:rPr>
                <w:sz w:val="21"/>
                <w:szCs w:val="21"/>
                <w:b/>
                <w:bCs/>
                <w:spacing w:val="-4"/>
              </w:rPr>
              <w:t>允许排放量要求：暂无</w:t>
            </w:r>
          </w:p>
          <w:p>
            <w:pPr>
              <w:pStyle w:val="TableText"/>
              <w:ind w:left="14"/>
              <w:spacing w:before="10" w:line="219" w:lineRule="auto"/>
              <w:rPr>
                <w:sz w:val="21"/>
                <w:szCs w:val="21"/>
              </w:rPr>
            </w:pPr>
            <w:r>
              <w:rPr>
                <w:sz w:val="21"/>
                <w:szCs w:val="21"/>
                <w:b/>
                <w:bCs/>
                <w:spacing w:val="-3"/>
              </w:rPr>
              <w:t>现有源提标升级改造：暂无</w:t>
            </w:r>
          </w:p>
          <w:p>
            <w:pPr>
              <w:pStyle w:val="TableText"/>
              <w:ind w:left="14"/>
              <w:spacing w:line="218" w:lineRule="auto"/>
              <w:rPr>
                <w:sz w:val="21"/>
                <w:szCs w:val="21"/>
              </w:rPr>
            </w:pPr>
            <w:r>
              <w:rPr>
                <w:sz w:val="21"/>
                <w:szCs w:val="21"/>
                <w:b/>
                <w:bCs/>
                <w:spacing w:val="-3"/>
              </w:rPr>
              <w:t>其他污染物排放管控要求：暂无</w:t>
            </w:r>
          </w:p>
        </w:tc>
        <w:tc>
          <w:tcPr>
            <w:tcW w:w="3178" w:type="dxa"/>
            <w:vAlign w:val="top"/>
          </w:tcPr>
          <w:p>
            <w:pPr>
              <w:rPr>
                <w:rFonts w:ascii="Arial"/>
                <w:sz w:val="21"/>
              </w:rPr>
            </w:pPr>
            <w:r/>
          </w:p>
          <w:p>
            <w:pPr>
              <w:pStyle w:val="TableText"/>
              <w:ind w:left="1527"/>
              <w:spacing w:before="69" w:line="224" w:lineRule="auto"/>
              <w:rPr>
                <w:sz w:val="21"/>
                <w:szCs w:val="21"/>
              </w:rPr>
            </w:pPr>
            <w:r>
              <w:rPr>
                <w:sz w:val="21"/>
                <w:szCs w:val="21"/>
              </w:rPr>
              <w:t>/</w:t>
            </w:r>
          </w:p>
        </w:tc>
        <w:tc>
          <w:tcPr>
            <w:tcW w:w="645" w:type="dxa"/>
            <w:vAlign w:val="top"/>
            <w:textDirection w:val="tbRlV"/>
          </w:tcPr>
          <w:p>
            <w:pPr>
              <w:pStyle w:val="TableText"/>
              <w:ind w:left="276"/>
              <w:spacing w:before="275" w:line="137" w:lineRule="exact"/>
              <w:rPr>
                <w:sz w:val="21"/>
                <w:szCs w:val="21"/>
              </w:rPr>
            </w:pPr>
            <w:r>
              <w:rPr>
                <w:sz w:val="21"/>
                <w:szCs w:val="21"/>
                <w:color w:val="403040"/>
                <w:spacing w:val="52"/>
                <w:w w:val="141"/>
                <w:position w:val="-1"/>
              </w:rPr>
              <w:t>/</w:t>
            </w:r>
          </w:p>
        </w:tc>
      </w:tr>
      <w:tr>
        <w:trPr>
          <w:trHeight w:val="549" w:hRule="atLeast"/>
        </w:trPr>
        <w:tc>
          <w:tcPr>
            <w:tcW w:w="1084" w:type="dxa"/>
            <w:vAlign w:val="top"/>
            <w:vMerge w:val="continue"/>
            <w:tcBorders>
              <w:top w:val="nil"/>
              <w:bottom w:val="nil"/>
            </w:tcBorders>
          </w:tcPr>
          <w:p>
            <w:pPr>
              <w:rPr>
                <w:rFonts w:ascii="Arial"/>
                <w:sz w:val="21"/>
              </w:rPr>
            </w:pPr>
            <w:r/>
          </w:p>
        </w:tc>
        <w:tc>
          <w:tcPr>
            <w:tcW w:w="290" w:type="dxa"/>
            <w:vAlign w:val="top"/>
            <w:vMerge w:val="continue"/>
            <w:textDirection w:val="tbRlV"/>
            <w:tcBorders>
              <w:top w:val="nil"/>
              <w:bottom w:val="nil"/>
            </w:tcBorders>
          </w:tcPr>
          <w:p>
            <w:pPr>
              <w:rPr>
                <w:rFonts w:ascii="Arial"/>
                <w:sz w:val="21"/>
              </w:rPr>
            </w:pPr>
            <w:r/>
          </w:p>
        </w:tc>
        <w:tc>
          <w:tcPr>
            <w:tcW w:w="859" w:type="dxa"/>
            <w:vAlign w:val="top"/>
          </w:tcPr>
          <w:p>
            <w:pPr>
              <w:pStyle w:val="TableText"/>
              <w:ind w:left="210" w:right="6" w:hanging="200"/>
              <w:spacing w:before="27" w:line="225" w:lineRule="auto"/>
              <w:rPr>
                <w:sz w:val="21"/>
                <w:szCs w:val="21"/>
              </w:rPr>
            </w:pPr>
            <w:r>
              <w:rPr>
                <w:sz w:val="21"/>
                <w:szCs w:val="21"/>
                <w:spacing w:val="-3"/>
              </w:rPr>
              <w:t>环境风险</w:t>
            </w:r>
            <w:r>
              <w:rPr>
                <w:sz w:val="21"/>
                <w:szCs w:val="21"/>
                <w:spacing w:val="2"/>
              </w:rPr>
              <w:t xml:space="preserve"> </w:t>
            </w:r>
            <w:r>
              <w:rPr>
                <w:sz w:val="21"/>
                <w:szCs w:val="21"/>
                <w:spacing w:val="4"/>
              </w:rPr>
              <w:t>防控</w:t>
            </w:r>
          </w:p>
        </w:tc>
        <w:tc>
          <w:tcPr>
            <w:tcW w:w="7374" w:type="dxa"/>
            <w:vAlign w:val="top"/>
          </w:tcPr>
          <w:p>
            <w:pPr>
              <w:pStyle w:val="TableText"/>
              <w:ind w:left="14"/>
              <w:spacing w:before="43" w:line="220" w:lineRule="auto"/>
              <w:rPr>
                <w:sz w:val="21"/>
                <w:szCs w:val="21"/>
              </w:rPr>
            </w:pPr>
            <w:r>
              <w:rPr>
                <w:sz w:val="21"/>
                <w:szCs w:val="21"/>
                <w:b/>
                <w:bCs/>
                <w:spacing w:val="-4"/>
              </w:rPr>
              <w:t>联防联控要求：暂无</w:t>
            </w:r>
          </w:p>
          <w:p>
            <w:pPr>
              <w:pStyle w:val="TableText"/>
              <w:ind w:left="14"/>
              <w:spacing w:before="29" w:line="190" w:lineRule="auto"/>
              <w:rPr>
                <w:sz w:val="21"/>
                <w:szCs w:val="21"/>
              </w:rPr>
            </w:pPr>
            <w:r>
              <w:rPr>
                <w:sz w:val="21"/>
                <w:szCs w:val="21"/>
                <w:b/>
                <w:bCs/>
                <w:spacing w:val="-3"/>
              </w:rPr>
              <w:t>其他环境风险防控要求：暂无</w:t>
            </w:r>
          </w:p>
        </w:tc>
        <w:tc>
          <w:tcPr>
            <w:tcW w:w="3178" w:type="dxa"/>
            <w:vAlign w:val="top"/>
          </w:tcPr>
          <w:p>
            <w:pPr>
              <w:pStyle w:val="TableText"/>
              <w:ind w:left="1527"/>
              <w:spacing w:before="181" w:line="224" w:lineRule="auto"/>
              <w:rPr>
                <w:sz w:val="21"/>
                <w:szCs w:val="21"/>
              </w:rPr>
            </w:pPr>
            <w:r>
              <w:rPr>
                <w:sz w:val="21"/>
                <w:szCs w:val="21"/>
              </w:rPr>
              <w:t>/</w:t>
            </w:r>
          </w:p>
        </w:tc>
        <w:tc>
          <w:tcPr>
            <w:tcW w:w="645" w:type="dxa"/>
            <w:vAlign w:val="top"/>
          </w:tcPr>
          <w:p>
            <w:pPr>
              <w:pStyle w:val="TableText"/>
              <w:ind w:left="259"/>
              <w:spacing w:before="181" w:line="224" w:lineRule="auto"/>
              <w:rPr>
                <w:sz w:val="21"/>
                <w:szCs w:val="21"/>
              </w:rPr>
            </w:pPr>
            <w:r>
              <w:rPr>
                <w:sz w:val="21"/>
                <w:szCs w:val="21"/>
              </w:rPr>
              <w:t>/</w:t>
            </w:r>
          </w:p>
        </w:tc>
      </w:tr>
      <w:tr>
        <w:trPr>
          <w:trHeight w:val="1368" w:hRule="atLeast"/>
        </w:trPr>
        <w:tc>
          <w:tcPr>
            <w:tcW w:w="1084" w:type="dxa"/>
            <w:vAlign w:val="top"/>
            <w:vMerge w:val="continue"/>
            <w:tcBorders>
              <w:top w:val="nil"/>
              <w:bottom w:val="nil"/>
            </w:tcBorders>
          </w:tcPr>
          <w:p>
            <w:pPr>
              <w:rPr>
                <w:rFonts w:ascii="Arial"/>
                <w:sz w:val="21"/>
              </w:rPr>
            </w:pPr>
            <w:r/>
          </w:p>
        </w:tc>
        <w:tc>
          <w:tcPr>
            <w:tcW w:w="290" w:type="dxa"/>
            <w:vAlign w:val="top"/>
            <w:vMerge w:val="continue"/>
            <w:textDirection w:val="tbRlV"/>
            <w:tcBorders>
              <w:top w:val="nil"/>
            </w:tcBorders>
          </w:tcPr>
          <w:p>
            <w:pPr>
              <w:rPr>
                <w:rFonts w:ascii="Arial"/>
                <w:sz w:val="21"/>
              </w:rPr>
            </w:pPr>
            <w:r/>
          </w:p>
        </w:tc>
        <w:tc>
          <w:tcPr>
            <w:tcW w:w="859" w:type="dxa"/>
            <w:vAlign w:val="top"/>
          </w:tcPr>
          <w:p>
            <w:pPr>
              <w:spacing w:line="366" w:lineRule="auto"/>
              <w:rPr>
                <w:rFonts w:ascii="Arial"/>
                <w:sz w:val="21"/>
              </w:rPr>
            </w:pPr>
            <w:r/>
          </w:p>
          <w:p>
            <w:pPr>
              <w:pStyle w:val="TableText"/>
              <w:spacing w:before="69" w:line="220" w:lineRule="auto"/>
              <w:jc w:val="right"/>
              <w:rPr>
                <w:sz w:val="21"/>
                <w:szCs w:val="21"/>
              </w:rPr>
            </w:pPr>
            <w:r>
              <w:rPr>
                <w:sz w:val="21"/>
                <w:szCs w:val="21"/>
                <w:spacing w:val="-1"/>
              </w:rPr>
              <w:t>资源开发</w:t>
            </w:r>
          </w:p>
          <w:p>
            <w:pPr>
              <w:pStyle w:val="TableText"/>
              <w:spacing w:before="29" w:line="219" w:lineRule="auto"/>
              <w:jc w:val="right"/>
              <w:rPr>
                <w:sz w:val="21"/>
                <w:szCs w:val="21"/>
              </w:rPr>
            </w:pPr>
            <w:r>
              <w:rPr>
                <w:sz w:val="21"/>
                <w:szCs w:val="21"/>
                <w:spacing w:val="-1"/>
              </w:rPr>
              <w:t>效率要求</w:t>
            </w:r>
          </w:p>
        </w:tc>
        <w:tc>
          <w:tcPr>
            <w:tcW w:w="7374" w:type="dxa"/>
            <w:vAlign w:val="top"/>
          </w:tcPr>
          <w:p>
            <w:pPr>
              <w:pStyle w:val="TableText"/>
              <w:ind w:left="14"/>
              <w:spacing w:before="33" w:line="219" w:lineRule="auto"/>
              <w:rPr>
                <w:sz w:val="21"/>
                <w:szCs w:val="21"/>
              </w:rPr>
            </w:pPr>
            <w:r>
              <w:rPr>
                <w:sz w:val="21"/>
                <w:szCs w:val="21"/>
                <w:b/>
                <w:bCs/>
                <w:spacing w:val="-4"/>
              </w:rPr>
              <w:t>水资源利用总量要求：暂无</w:t>
            </w:r>
          </w:p>
          <w:p>
            <w:pPr>
              <w:pStyle w:val="TableText"/>
              <w:ind w:left="14"/>
              <w:spacing w:before="19" w:line="219" w:lineRule="auto"/>
              <w:rPr>
                <w:sz w:val="21"/>
                <w:szCs w:val="21"/>
              </w:rPr>
            </w:pPr>
            <w:r>
              <w:rPr>
                <w:sz w:val="21"/>
                <w:szCs w:val="21"/>
                <w:b/>
                <w:bCs/>
                <w:spacing w:val="-3"/>
              </w:rPr>
              <w:t>地下水开采要求：暂无</w:t>
            </w:r>
          </w:p>
          <w:p>
            <w:pPr>
              <w:pStyle w:val="TableText"/>
              <w:ind w:left="14"/>
              <w:spacing w:before="32" w:line="219" w:lineRule="auto"/>
              <w:rPr>
                <w:sz w:val="21"/>
                <w:szCs w:val="21"/>
              </w:rPr>
            </w:pPr>
            <w:r>
              <w:rPr>
                <w:sz w:val="21"/>
                <w:szCs w:val="21"/>
                <w:b/>
                <w:bCs/>
                <w:spacing w:val="-4"/>
              </w:rPr>
              <w:t>能源利用总量及效率要求：暂无</w:t>
            </w:r>
          </w:p>
          <w:p>
            <w:pPr>
              <w:pStyle w:val="TableText"/>
              <w:ind w:left="14"/>
              <w:spacing w:before="20" w:line="219" w:lineRule="auto"/>
              <w:rPr>
                <w:sz w:val="21"/>
                <w:szCs w:val="21"/>
              </w:rPr>
            </w:pPr>
            <w:r>
              <w:rPr>
                <w:sz w:val="21"/>
                <w:szCs w:val="21"/>
                <w:b/>
                <w:bCs/>
                <w:spacing w:val="-4"/>
              </w:rPr>
              <w:t>禁燃区要求：暂无</w:t>
            </w:r>
          </w:p>
          <w:p>
            <w:pPr>
              <w:pStyle w:val="TableText"/>
              <w:ind w:left="14"/>
              <w:spacing w:before="40" w:line="189" w:lineRule="auto"/>
              <w:rPr>
                <w:sz w:val="21"/>
                <w:szCs w:val="21"/>
              </w:rPr>
            </w:pPr>
            <w:r>
              <w:rPr>
                <w:sz w:val="21"/>
                <w:szCs w:val="21"/>
                <w:b/>
                <w:bCs/>
                <w:spacing w:val="-3"/>
              </w:rPr>
              <w:t>其他资源利用效率要求：暂无</w:t>
            </w:r>
          </w:p>
        </w:tc>
        <w:tc>
          <w:tcPr>
            <w:tcW w:w="3178" w:type="dxa"/>
            <w:vAlign w:val="top"/>
            <w:textDirection w:val="tbRlV"/>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pStyle w:val="TableText"/>
              <w:ind w:left="558"/>
              <w:spacing w:before="70" w:line="137" w:lineRule="exact"/>
              <w:rPr>
                <w:sz w:val="21"/>
                <w:szCs w:val="21"/>
              </w:rPr>
            </w:pPr>
            <w:r>
              <w:rPr>
                <w:sz w:val="21"/>
                <w:szCs w:val="21"/>
                <w:color w:val="403040"/>
                <w:spacing w:val="52"/>
                <w:w w:val="141"/>
                <w:position w:val="-1"/>
              </w:rPr>
              <w:t>/</w:t>
            </w:r>
          </w:p>
        </w:tc>
        <w:tc>
          <w:tcPr>
            <w:tcW w:w="645" w:type="dxa"/>
            <w:vAlign w:val="top"/>
          </w:tcPr>
          <w:p>
            <w:pPr>
              <w:spacing w:line="260" w:lineRule="auto"/>
              <w:rPr>
                <w:rFonts w:ascii="Arial"/>
                <w:sz w:val="21"/>
              </w:rPr>
            </w:pPr>
            <w:r/>
          </w:p>
          <w:p>
            <w:pPr>
              <w:spacing w:line="261" w:lineRule="auto"/>
              <w:rPr>
                <w:rFonts w:ascii="Arial"/>
                <w:sz w:val="21"/>
              </w:rPr>
            </w:pPr>
            <w:r/>
          </w:p>
          <w:p>
            <w:pPr>
              <w:pStyle w:val="TableText"/>
              <w:ind w:left="259"/>
              <w:spacing w:before="68" w:line="224" w:lineRule="auto"/>
              <w:rPr>
                <w:sz w:val="21"/>
                <w:szCs w:val="21"/>
              </w:rPr>
            </w:pPr>
            <w:r>
              <w:rPr>
                <w:sz w:val="21"/>
                <w:szCs w:val="21"/>
                <w:color w:val="505050"/>
              </w:rPr>
              <w:t>/</w:t>
            </w:r>
          </w:p>
        </w:tc>
      </w:tr>
      <w:tr>
        <w:trPr>
          <w:trHeight w:val="1094" w:hRule="atLeast"/>
        </w:trPr>
        <w:tc>
          <w:tcPr>
            <w:tcW w:w="1084" w:type="dxa"/>
            <w:vAlign w:val="top"/>
            <w:vMerge w:val="continue"/>
            <w:tcBorders>
              <w:top w:val="nil"/>
            </w:tcBorders>
          </w:tcPr>
          <w:p>
            <w:pPr>
              <w:rPr>
                <w:rFonts w:ascii="Arial"/>
                <w:sz w:val="21"/>
              </w:rPr>
            </w:pPr>
            <w:r/>
          </w:p>
        </w:tc>
        <w:tc>
          <w:tcPr>
            <w:tcW w:w="290" w:type="dxa"/>
            <w:vAlign w:val="top"/>
            <w:textDirection w:val="tbRlV"/>
          </w:tcPr>
          <w:p>
            <w:pPr>
              <w:pStyle w:val="TableText"/>
              <w:ind w:left="140"/>
              <w:spacing w:before="48" w:line="199" w:lineRule="auto"/>
              <w:rPr>
                <w:sz w:val="21"/>
                <w:szCs w:val="21"/>
              </w:rPr>
            </w:pPr>
            <w:r>
              <w:rPr>
                <w:sz w:val="21"/>
                <w:szCs w:val="21"/>
                <w:color w:val="504050"/>
              </w:rPr>
              <w:t>单</w:t>
            </w:r>
            <w:r>
              <w:rPr>
                <w:sz w:val="21"/>
                <w:szCs w:val="21"/>
                <w:color w:val="504050"/>
                <w:spacing w:val="-13"/>
              </w:rPr>
              <w:t xml:space="preserve"> </w:t>
            </w:r>
            <w:r>
              <w:rPr>
                <w:sz w:val="21"/>
                <w:szCs w:val="21"/>
                <w:color w:val="504050"/>
              </w:rPr>
              <w:t>元</w:t>
            </w:r>
            <w:r>
              <w:rPr>
                <w:sz w:val="21"/>
                <w:szCs w:val="21"/>
                <w:color w:val="504050"/>
                <w:spacing w:val="-13"/>
              </w:rPr>
              <w:t xml:space="preserve"> </w:t>
            </w:r>
            <w:r>
              <w:rPr>
                <w:sz w:val="21"/>
                <w:szCs w:val="21"/>
                <w:color w:val="504050"/>
              </w:rPr>
              <w:t>级</w:t>
            </w:r>
          </w:p>
        </w:tc>
        <w:tc>
          <w:tcPr>
            <w:tcW w:w="859" w:type="dxa"/>
            <w:vAlign w:val="top"/>
          </w:tcPr>
          <w:p>
            <w:pPr>
              <w:pStyle w:val="TableText"/>
              <w:ind w:left="205" w:hanging="195"/>
              <w:spacing w:before="307"/>
              <w:rPr>
                <w:sz w:val="21"/>
                <w:szCs w:val="21"/>
              </w:rPr>
            </w:pPr>
            <w:r>
              <w:rPr>
                <w:sz w:val="21"/>
                <w:szCs w:val="21"/>
                <w:spacing w:val="-1"/>
              </w:rPr>
              <w:t>空间布局</w:t>
            </w:r>
            <w:r>
              <w:rPr>
                <w:sz w:val="21"/>
                <w:szCs w:val="21"/>
                <w:spacing w:val="1"/>
              </w:rPr>
              <w:t xml:space="preserve"> </w:t>
            </w:r>
            <w:r>
              <w:rPr>
                <w:sz w:val="21"/>
                <w:szCs w:val="21"/>
              </w:rPr>
              <w:t>约束</w:t>
            </w:r>
          </w:p>
        </w:tc>
        <w:tc>
          <w:tcPr>
            <w:tcW w:w="7374" w:type="dxa"/>
            <w:vAlign w:val="top"/>
          </w:tcPr>
          <w:p>
            <w:pPr>
              <w:pStyle w:val="TableText"/>
              <w:ind w:left="11"/>
              <w:spacing w:before="39" w:line="234" w:lineRule="auto"/>
              <w:rPr>
                <w:sz w:val="21"/>
                <w:szCs w:val="21"/>
              </w:rPr>
            </w:pPr>
            <w:r>
              <w:rPr>
                <w:sz w:val="21"/>
                <w:szCs w:val="21"/>
              </w:rPr>
              <w:t>1.以城镇开发建设现状为基础，综合考虑资源承载能力、人口分布、经济布局、</w:t>
            </w:r>
            <w:r>
              <w:rPr>
                <w:sz w:val="21"/>
                <w:szCs w:val="21"/>
                <w:spacing w:val="1"/>
              </w:rPr>
              <w:t xml:space="preserve"> </w:t>
            </w:r>
            <w:r>
              <w:rPr>
                <w:sz w:val="21"/>
                <w:szCs w:val="21"/>
                <w:spacing w:val="-2"/>
              </w:rPr>
              <w:t>城乡统筹、城镇无序蔓延科学预留一定比例的留白</w:t>
            </w:r>
            <w:r>
              <w:rPr>
                <w:sz w:val="21"/>
                <w:szCs w:val="21"/>
                <w:spacing w:val="-3"/>
              </w:rPr>
              <w:t>区，为未来发展留有开发空间</w:t>
            </w:r>
            <w:r>
              <w:rPr>
                <w:sz w:val="21"/>
                <w:szCs w:val="21"/>
              </w:rPr>
              <w:t xml:space="preserve"> </w:t>
            </w:r>
            <w:r>
              <w:rPr>
                <w:sz w:val="21"/>
                <w:szCs w:val="21"/>
                <w:spacing w:val="-3"/>
              </w:rPr>
              <w:t>城镇建设和发展不得违法违规侵占河道、湖面、滩地。</w:t>
            </w:r>
          </w:p>
          <w:p>
            <w:pPr>
              <w:pStyle w:val="TableText"/>
              <w:ind w:left="11"/>
              <w:spacing w:before="19" w:line="199" w:lineRule="auto"/>
              <w:rPr>
                <w:sz w:val="21"/>
                <w:szCs w:val="21"/>
              </w:rPr>
            </w:pPr>
            <w:r>
              <w:rPr>
                <w:sz w:val="21"/>
                <w:szCs w:val="21"/>
                <w:spacing w:val="-1"/>
              </w:rPr>
              <w:t>2.城镇开发边界调整报国土空间规划原审批机关审批</w:t>
            </w:r>
          </w:p>
        </w:tc>
        <w:tc>
          <w:tcPr>
            <w:tcW w:w="3178" w:type="dxa"/>
            <w:vAlign w:val="top"/>
          </w:tcPr>
          <w:p>
            <w:pPr>
              <w:pStyle w:val="TableText"/>
              <w:ind w:left="117" w:hanging="109"/>
              <w:spacing w:before="186" w:line="230" w:lineRule="auto"/>
              <w:rPr>
                <w:sz w:val="21"/>
                <w:szCs w:val="21"/>
              </w:rPr>
            </w:pPr>
            <w:r>
              <w:rPr>
                <w:sz w:val="21"/>
                <w:szCs w:val="21"/>
              </w:rPr>
              <w:t>本项目位于四川绵阳安州工业园区</w:t>
            </w:r>
            <w:r>
              <w:rPr>
                <w:sz w:val="21"/>
                <w:szCs w:val="21"/>
                <w:spacing w:val="8"/>
              </w:rPr>
              <w:t xml:space="preserve"> </w:t>
            </w:r>
            <w:r>
              <w:rPr>
                <w:sz w:val="21"/>
                <w:szCs w:val="21"/>
              </w:rPr>
              <w:t>内，无侵占河道、湖面、滩地行</w:t>
            </w:r>
          </w:p>
          <w:p>
            <w:pPr>
              <w:pStyle w:val="TableText"/>
              <w:ind w:left="18"/>
              <w:spacing w:line="220" w:lineRule="auto"/>
              <w:rPr>
                <w:sz w:val="21"/>
                <w:szCs w:val="21"/>
              </w:rPr>
            </w:pPr>
            <w:r>
              <w:rPr>
                <w:sz w:val="21"/>
                <w:szCs w:val="21"/>
                <w:spacing w:val="-2"/>
              </w:rPr>
              <w:t>为。</w:t>
            </w:r>
          </w:p>
        </w:tc>
        <w:tc>
          <w:tcPr>
            <w:tcW w:w="645" w:type="dxa"/>
            <w:vAlign w:val="top"/>
          </w:tcPr>
          <w:p>
            <w:pPr>
              <w:spacing w:line="378" w:lineRule="auto"/>
              <w:rPr>
                <w:rFonts w:ascii="Arial"/>
                <w:sz w:val="21"/>
              </w:rPr>
            </w:pPr>
            <w:r/>
          </w:p>
          <w:p>
            <w:pPr>
              <w:pStyle w:val="TableText"/>
              <w:ind w:left="20"/>
              <w:spacing w:before="68" w:line="219" w:lineRule="auto"/>
              <w:rPr>
                <w:sz w:val="21"/>
                <w:szCs w:val="21"/>
              </w:rPr>
            </w:pPr>
            <w:r>
              <w:rPr>
                <w:sz w:val="21"/>
                <w:szCs w:val="21"/>
                <w:spacing w:val="-3"/>
              </w:rPr>
              <w:t>符合</w:t>
            </w:r>
          </w:p>
        </w:tc>
      </w:tr>
    </w:tbl>
    <w:p>
      <w:pPr>
        <w:pStyle w:val="BodyText"/>
        <w:rPr/>
      </w:pPr>
      <w:r/>
    </w:p>
    <w:p>
      <w:pPr>
        <w:sectPr>
          <w:footerReference w:type="default" r:id="rId114"/>
          <w:pgSz w:w="16840" w:h="11910"/>
          <w:pgMar w:top="1180" w:right="1724" w:bottom="961" w:left="1674" w:header="872" w:footer="702" w:gutter="0"/>
        </w:sectPr>
        <w:rPr/>
      </w:pPr>
    </w:p>
    <w:p>
      <w:pPr>
        <w:spacing w:before="36"/>
        <w:rPr/>
      </w:pPr>
      <w:r/>
    </w:p>
    <w:tbl>
      <w:tblPr>
        <w:tblStyle w:val="TableNormal"/>
        <w:tblW w:w="1343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84"/>
        <w:gridCol w:w="290"/>
        <w:gridCol w:w="859"/>
        <w:gridCol w:w="7374"/>
        <w:gridCol w:w="3178"/>
        <w:gridCol w:w="645"/>
      </w:tblGrid>
      <w:tr>
        <w:trPr>
          <w:trHeight w:val="295" w:hRule="atLeast"/>
        </w:trPr>
        <w:tc>
          <w:tcPr>
            <w:shd w:val="clear" w:fill="BDBDBD"/>
            <w:tcW w:w="9607" w:type="dxa"/>
            <w:vAlign w:val="top"/>
            <w:gridSpan w:val="4"/>
          </w:tcPr>
          <w:p>
            <w:pPr>
              <w:pStyle w:val="TableText"/>
              <w:ind w:left="3643"/>
              <w:spacing w:before="41" w:line="214" w:lineRule="auto"/>
              <w:rPr>
                <w:sz w:val="21"/>
                <w:szCs w:val="21"/>
              </w:rPr>
            </w:pPr>
            <w:r>
              <w:rPr>
                <w:sz w:val="21"/>
                <w:szCs w:val="21"/>
                <w:b/>
                <w:bCs/>
                <w:spacing w:val="7"/>
              </w:rPr>
              <w:t>“三线一单”的具体要求</w:t>
            </w:r>
          </w:p>
        </w:tc>
        <w:tc>
          <w:tcPr>
            <w:shd w:val="clear" w:fill="BDBDBD"/>
            <w:tcW w:w="3178" w:type="dxa"/>
            <w:vAlign w:val="top"/>
            <w:vMerge w:val="restart"/>
            <w:tcBorders>
              <w:bottom w:val="nil"/>
            </w:tcBorders>
          </w:tcPr>
          <w:p>
            <w:pPr>
              <w:pStyle w:val="TableText"/>
              <w:ind w:left="750"/>
              <w:spacing w:before="189" w:line="219" w:lineRule="auto"/>
              <w:rPr>
                <w:sz w:val="21"/>
                <w:szCs w:val="21"/>
              </w:rPr>
            </w:pPr>
            <w:r>
              <w:rPr>
                <w:sz w:val="21"/>
                <w:szCs w:val="21"/>
                <w:b/>
                <w:bCs/>
                <w:spacing w:val="-1"/>
              </w:rPr>
              <w:t>项目对应情况介绍</w:t>
            </w:r>
          </w:p>
        </w:tc>
        <w:tc>
          <w:tcPr>
            <w:shd w:val="clear" w:fill="BDBDBD"/>
            <w:tcW w:w="645" w:type="dxa"/>
            <w:vAlign w:val="top"/>
            <w:vMerge w:val="restart"/>
            <w:tcBorders>
              <w:bottom w:val="nil"/>
            </w:tcBorders>
          </w:tcPr>
          <w:p>
            <w:pPr>
              <w:pStyle w:val="TableText"/>
              <w:ind w:left="111" w:hanging="88"/>
              <w:spacing w:before="40" w:line="235" w:lineRule="auto"/>
              <w:rPr>
                <w:sz w:val="21"/>
                <w:szCs w:val="21"/>
              </w:rPr>
            </w:pPr>
            <w:r>
              <w:rPr>
                <w:sz w:val="21"/>
                <w:szCs w:val="21"/>
                <w:b/>
                <w:bCs/>
                <w:spacing w:val="-9"/>
              </w:rPr>
              <w:t>符合性</w:t>
            </w:r>
            <w:r>
              <w:rPr>
                <w:sz w:val="21"/>
                <w:szCs w:val="21"/>
                <w:spacing w:val="1"/>
              </w:rPr>
              <w:t xml:space="preserve"> </w:t>
            </w:r>
            <w:r>
              <w:rPr>
                <w:sz w:val="21"/>
                <w:szCs w:val="21"/>
                <w:b/>
                <w:bCs/>
                <w:spacing w:val="-7"/>
              </w:rPr>
              <w:t>分析</w:t>
            </w:r>
          </w:p>
        </w:tc>
      </w:tr>
      <w:tr>
        <w:trPr>
          <w:trHeight w:val="280" w:hRule="atLeast"/>
        </w:trPr>
        <w:tc>
          <w:tcPr>
            <w:shd w:val="clear" w:fill="BDBDBD"/>
            <w:tcW w:w="2233" w:type="dxa"/>
            <w:vAlign w:val="top"/>
            <w:gridSpan w:val="3"/>
          </w:tcPr>
          <w:p>
            <w:pPr>
              <w:pStyle w:val="TableText"/>
              <w:ind w:left="898"/>
              <w:spacing w:before="35" w:line="206" w:lineRule="auto"/>
              <w:rPr>
                <w:sz w:val="21"/>
                <w:szCs w:val="21"/>
              </w:rPr>
            </w:pPr>
            <w:r>
              <w:rPr>
                <w:sz w:val="21"/>
                <w:szCs w:val="21"/>
                <w:b/>
                <w:bCs/>
                <w:spacing w:val="-5"/>
              </w:rPr>
              <w:t>类别</w:t>
            </w:r>
          </w:p>
        </w:tc>
        <w:tc>
          <w:tcPr>
            <w:shd w:val="clear" w:fill="BDBDBD"/>
            <w:tcW w:w="7374" w:type="dxa"/>
            <w:vAlign w:val="top"/>
          </w:tcPr>
          <w:p>
            <w:pPr>
              <w:pStyle w:val="TableText"/>
              <w:ind w:left="3055"/>
              <w:spacing w:before="35" w:line="206" w:lineRule="auto"/>
              <w:rPr>
                <w:sz w:val="21"/>
                <w:szCs w:val="21"/>
              </w:rPr>
            </w:pPr>
            <w:r>
              <w:rPr>
                <w:sz w:val="21"/>
                <w:szCs w:val="21"/>
                <w:b/>
                <w:bCs/>
                <w:spacing w:val="-4"/>
              </w:rPr>
              <w:t>对应管控要求</w:t>
            </w:r>
          </w:p>
        </w:tc>
        <w:tc>
          <w:tcPr>
            <w:tcW w:w="3178" w:type="dxa"/>
            <w:vAlign w:val="top"/>
            <w:vMerge w:val="continue"/>
            <w:tcBorders>
              <w:top w:val="nil"/>
            </w:tcBorders>
          </w:tcPr>
          <w:p>
            <w:pPr>
              <w:rPr>
                <w:rFonts w:ascii="Arial"/>
                <w:sz w:val="21"/>
              </w:rPr>
            </w:pPr>
            <w:r/>
          </w:p>
        </w:tc>
        <w:tc>
          <w:tcPr>
            <w:tcW w:w="645" w:type="dxa"/>
            <w:vAlign w:val="top"/>
            <w:vMerge w:val="continue"/>
            <w:tcBorders>
              <w:top w:val="nil"/>
            </w:tcBorders>
          </w:tcPr>
          <w:p>
            <w:pPr>
              <w:rPr>
                <w:rFonts w:ascii="Arial"/>
                <w:sz w:val="21"/>
              </w:rPr>
            </w:pPr>
            <w:r/>
          </w:p>
        </w:tc>
      </w:tr>
      <w:tr>
        <w:trPr>
          <w:trHeight w:val="529" w:hRule="atLeast"/>
        </w:trPr>
        <w:tc>
          <w:tcPr>
            <w:tcW w:w="1084" w:type="dxa"/>
            <w:vAlign w:val="top"/>
            <w:vMerge w:val="restart"/>
            <w:tcBorders>
              <w:bottom w:val="nil"/>
            </w:tcBorders>
          </w:tcPr>
          <w:p>
            <w:pPr>
              <w:rPr>
                <w:rFonts w:ascii="Arial"/>
                <w:sz w:val="21"/>
              </w:rPr>
            </w:pPr>
            <w:r/>
          </w:p>
        </w:tc>
        <w:tc>
          <w:tcPr>
            <w:tcW w:w="290" w:type="dxa"/>
            <w:vAlign w:val="top"/>
            <w:vMerge w:val="restart"/>
            <w:textDirection w:val="tbRlV"/>
            <w:tcBorders>
              <w:bottom w:val="nil"/>
            </w:tcBorders>
          </w:tcPr>
          <w:p>
            <w:pPr>
              <w:pStyle w:val="TableText"/>
              <w:spacing w:before="47" w:line="201" w:lineRule="auto"/>
              <w:rPr>
                <w:sz w:val="21"/>
                <w:szCs w:val="21"/>
              </w:rPr>
            </w:pPr>
            <w:r>
              <w:rPr>
                <w:sz w:val="21"/>
                <w:szCs w:val="21"/>
                <w:spacing w:val="-2"/>
              </w:rPr>
              <w:t>清</w:t>
            </w:r>
            <w:r>
              <w:rPr>
                <w:sz w:val="21"/>
                <w:szCs w:val="21"/>
                <w:spacing w:val="-22"/>
              </w:rPr>
              <w:t xml:space="preserve"> </w:t>
            </w:r>
            <w:r>
              <w:rPr>
                <w:sz w:val="21"/>
                <w:szCs w:val="21"/>
                <w:spacing w:val="-2"/>
              </w:rPr>
              <w:t>单</w:t>
            </w:r>
            <w:r>
              <w:rPr>
                <w:sz w:val="21"/>
                <w:szCs w:val="21"/>
                <w:spacing w:val="-27"/>
              </w:rPr>
              <w:t xml:space="preserve"> </w:t>
            </w:r>
            <w:r>
              <w:rPr>
                <w:sz w:val="21"/>
                <w:szCs w:val="21"/>
                <w:spacing w:val="-2"/>
              </w:rPr>
              <w:t>管</w:t>
            </w:r>
            <w:r>
              <w:rPr>
                <w:sz w:val="21"/>
                <w:szCs w:val="21"/>
                <w:spacing w:val="-26"/>
              </w:rPr>
              <w:t xml:space="preserve"> </w:t>
            </w:r>
            <w:r>
              <w:rPr>
                <w:sz w:val="21"/>
                <w:szCs w:val="21"/>
                <w:spacing w:val="-2"/>
              </w:rPr>
              <w:t>控</w:t>
            </w:r>
            <w:r>
              <w:rPr>
                <w:sz w:val="21"/>
                <w:szCs w:val="21"/>
                <w:spacing w:val="-26"/>
              </w:rPr>
              <w:t xml:space="preserve"> </w:t>
            </w:r>
            <w:r>
              <w:rPr>
                <w:sz w:val="21"/>
                <w:szCs w:val="21"/>
                <w:spacing w:val="-2"/>
              </w:rPr>
              <w:t>要</w:t>
            </w:r>
            <w:r>
              <w:rPr>
                <w:sz w:val="21"/>
                <w:szCs w:val="21"/>
                <w:spacing w:val="-27"/>
              </w:rPr>
              <w:t xml:space="preserve"> </w:t>
            </w:r>
            <w:r>
              <w:rPr>
                <w:sz w:val="21"/>
                <w:szCs w:val="21"/>
                <w:spacing w:val="-2"/>
              </w:rPr>
              <w:t>求</w:t>
            </w:r>
          </w:p>
        </w:tc>
        <w:tc>
          <w:tcPr>
            <w:tcW w:w="859" w:type="dxa"/>
            <w:vAlign w:val="top"/>
          </w:tcPr>
          <w:p>
            <w:pPr>
              <w:pStyle w:val="TableText"/>
              <w:ind w:left="100" w:right="7" w:hanging="90"/>
              <w:spacing w:before="18" w:line="220" w:lineRule="auto"/>
              <w:rPr>
                <w:sz w:val="21"/>
                <w:szCs w:val="21"/>
              </w:rPr>
            </w:pPr>
            <w:r>
              <w:rPr>
                <w:sz w:val="21"/>
                <w:szCs w:val="21"/>
                <w:spacing w:val="-3"/>
              </w:rPr>
              <w:t>污染物排</w:t>
            </w:r>
            <w:r>
              <w:rPr>
                <w:sz w:val="21"/>
                <w:szCs w:val="21"/>
                <w:spacing w:val="1"/>
              </w:rPr>
              <w:t xml:space="preserve"> </w:t>
            </w:r>
            <w:r>
              <w:rPr>
                <w:sz w:val="21"/>
                <w:szCs w:val="21"/>
                <w:spacing w:val="-2"/>
              </w:rPr>
              <w:t>放管控</w:t>
            </w:r>
          </w:p>
        </w:tc>
        <w:tc>
          <w:tcPr>
            <w:tcW w:w="7374" w:type="dxa"/>
            <w:vAlign w:val="top"/>
          </w:tcPr>
          <w:p>
            <w:pPr>
              <w:pStyle w:val="TableText"/>
              <w:ind w:left="3612"/>
              <w:spacing w:before="164" w:line="224" w:lineRule="auto"/>
              <w:rPr>
                <w:sz w:val="21"/>
                <w:szCs w:val="21"/>
              </w:rPr>
            </w:pPr>
            <w:r>
              <w:rPr>
                <w:sz w:val="21"/>
                <w:szCs w:val="21"/>
              </w:rPr>
              <w:t>/</w:t>
            </w:r>
          </w:p>
        </w:tc>
        <w:tc>
          <w:tcPr>
            <w:tcW w:w="3178" w:type="dxa"/>
            <w:vAlign w:val="top"/>
          </w:tcPr>
          <w:p>
            <w:pPr>
              <w:pStyle w:val="TableText"/>
              <w:ind w:left="1527"/>
              <w:spacing w:before="164" w:line="224" w:lineRule="auto"/>
              <w:rPr>
                <w:sz w:val="21"/>
                <w:szCs w:val="21"/>
              </w:rPr>
            </w:pPr>
            <w:r>
              <w:rPr>
                <w:sz w:val="21"/>
                <w:szCs w:val="21"/>
              </w:rPr>
              <w:t>/</w:t>
            </w:r>
          </w:p>
        </w:tc>
        <w:tc>
          <w:tcPr>
            <w:tcW w:w="645" w:type="dxa"/>
            <w:vAlign w:val="top"/>
            <w:textDirection w:val="tbRlV"/>
          </w:tcPr>
          <w:p>
            <w:pPr>
              <w:pStyle w:val="TableText"/>
              <w:ind w:left="130"/>
              <w:spacing w:before="275" w:line="137" w:lineRule="exact"/>
              <w:rPr>
                <w:sz w:val="21"/>
                <w:szCs w:val="21"/>
              </w:rPr>
            </w:pPr>
            <w:r>
              <w:rPr>
                <w:sz w:val="21"/>
                <w:szCs w:val="21"/>
                <w:color w:val="404050"/>
                <w:spacing w:val="52"/>
                <w:w w:val="141"/>
                <w:position w:val="-1"/>
              </w:rPr>
              <w:t>/</w:t>
            </w:r>
          </w:p>
        </w:tc>
      </w:tr>
      <w:tr>
        <w:trPr>
          <w:trHeight w:val="559" w:hRule="atLeast"/>
        </w:trPr>
        <w:tc>
          <w:tcPr>
            <w:tcW w:w="1084" w:type="dxa"/>
            <w:vAlign w:val="top"/>
            <w:vMerge w:val="continue"/>
            <w:tcBorders>
              <w:top w:val="nil"/>
              <w:bottom w:val="nil"/>
            </w:tcBorders>
          </w:tcPr>
          <w:p>
            <w:pPr>
              <w:rPr>
                <w:rFonts w:ascii="Arial"/>
                <w:sz w:val="21"/>
              </w:rPr>
            </w:pPr>
            <w:r/>
          </w:p>
        </w:tc>
        <w:tc>
          <w:tcPr>
            <w:tcW w:w="290" w:type="dxa"/>
            <w:vAlign w:val="top"/>
            <w:vMerge w:val="continue"/>
            <w:textDirection w:val="tbRlV"/>
            <w:tcBorders>
              <w:top w:val="nil"/>
              <w:bottom w:val="nil"/>
            </w:tcBorders>
          </w:tcPr>
          <w:p>
            <w:pPr>
              <w:rPr>
                <w:rFonts w:ascii="Arial"/>
                <w:sz w:val="21"/>
              </w:rPr>
            </w:pPr>
            <w:r/>
          </w:p>
        </w:tc>
        <w:tc>
          <w:tcPr>
            <w:tcW w:w="859" w:type="dxa"/>
            <w:vAlign w:val="top"/>
          </w:tcPr>
          <w:p>
            <w:pPr>
              <w:pStyle w:val="TableText"/>
              <w:ind w:left="210" w:right="6" w:hanging="200"/>
              <w:spacing w:before="39" w:line="224" w:lineRule="auto"/>
              <w:rPr>
                <w:sz w:val="21"/>
                <w:szCs w:val="21"/>
              </w:rPr>
            </w:pPr>
            <w:r>
              <w:rPr>
                <w:sz w:val="21"/>
                <w:szCs w:val="21"/>
                <w:spacing w:val="-3"/>
              </w:rPr>
              <w:t>环境风险</w:t>
            </w:r>
            <w:r>
              <w:rPr>
                <w:sz w:val="21"/>
                <w:szCs w:val="21"/>
                <w:spacing w:val="2"/>
              </w:rPr>
              <w:t xml:space="preserve"> </w:t>
            </w:r>
            <w:r>
              <w:rPr>
                <w:sz w:val="21"/>
                <w:szCs w:val="21"/>
                <w:spacing w:val="4"/>
              </w:rPr>
              <w:t>防控</w:t>
            </w:r>
          </w:p>
        </w:tc>
        <w:tc>
          <w:tcPr>
            <w:tcW w:w="7374" w:type="dxa"/>
            <w:vAlign w:val="top"/>
          </w:tcPr>
          <w:p>
            <w:pPr>
              <w:pStyle w:val="TableText"/>
              <w:ind w:left="3612"/>
              <w:spacing w:before="185" w:line="224" w:lineRule="auto"/>
              <w:rPr>
                <w:sz w:val="21"/>
                <w:szCs w:val="21"/>
              </w:rPr>
            </w:pPr>
            <w:r>
              <w:rPr>
                <w:sz w:val="21"/>
                <w:szCs w:val="21"/>
              </w:rPr>
              <w:t>/</w:t>
            </w:r>
          </w:p>
        </w:tc>
        <w:tc>
          <w:tcPr>
            <w:tcW w:w="3178" w:type="dxa"/>
            <w:vAlign w:val="top"/>
            <w:textDirection w:val="tbRlV"/>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pStyle w:val="TableText"/>
              <w:ind w:left="151"/>
              <w:spacing w:before="70" w:line="137" w:lineRule="exact"/>
              <w:rPr>
                <w:sz w:val="21"/>
                <w:szCs w:val="21"/>
              </w:rPr>
            </w:pPr>
            <w:r>
              <w:rPr>
                <w:sz w:val="21"/>
                <w:szCs w:val="21"/>
                <w:color w:val="403040"/>
                <w:spacing w:val="52"/>
                <w:w w:val="141"/>
                <w:position w:val="-1"/>
              </w:rPr>
              <w:t>/</w:t>
            </w:r>
          </w:p>
        </w:tc>
        <w:tc>
          <w:tcPr>
            <w:tcW w:w="645" w:type="dxa"/>
            <w:vAlign w:val="top"/>
          </w:tcPr>
          <w:p>
            <w:pPr>
              <w:pStyle w:val="TableText"/>
              <w:ind w:left="259"/>
              <w:spacing w:before="185" w:line="224" w:lineRule="auto"/>
              <w:rPr>
                <w:sz w:val="21"/>
                <w:szCs w:val="21"/>
              </w:rPr>
            </w:pPr>
            <w:r>
              <w:rPr>
                <w:sz w:val="21"/>
                <w:szCs w:val="21"/>
                <w:color w:val="505060"/>
              </w:rPr>
              <w:t>/</w:t>
            </w:r>
          </w:p>
        </w:tc>
      </w:tr>
      <w:tr>
        <w:trPr>
          <w:trHeight w:val="1089" w:hRule="atLeast"/>
        </w:trPr>
        <w:tc>
          <w:tcPr>
            <w:tcW w:w="1084" w:type="dxa"/>
            <w:vAlign w:val="top"/>
            <w:vMerge w:val="continue"/>
            <w:tcBorders>
              <w:top w:val="nil"/>
            </w:tcBorders>
          </w:tcPr>
          <w:p>
            <w:pPr>
              <w:rPr>
                <w:rFonts w:ascii="Arial"/>
                <w:sz w:val="21"/>
              </w:rPr>
            </w:pPr>
            <w:r/>
          </w:p>
        </w:tc>
        <w:tc>
          <w:tcPr>
            <w:tcW w:w="290" w:type="dxa"/>
            <w:vAlign w:val="top"/>
            <w:vMerge w:val="continue"/>
            <w:textDirection w:val="tbRlV"/>
            <w:tcBorders>
              <w:top w:val="nil"/>
            </w:tcBorders>
          </w:tcPr>
          <w:p>
            <w:pPr>
              <w:rPr>
                <w:rFonts w:ascii="Arial"/>
                <w:sz w:val="21"/>
              </w:rPr>
            </w:pPr>
            <w:r/>
          </w:p>
        </w:tc>
        <w:tc>
          <w:tcPr>
            <w:tcW w:w="859" w:type="dxa"/>
            <w:vAlign w:val="top"/>
          </w:tcPr>
          <w:p>
            <w:pPr>
              <w:pStyle w:val="TableText"/>
              <w:spacing w:before="301" w:line="220" w:lineRule="auto"/>
              <w:jc w:val="right"/>
              <w:rPr>
                <w:sz w:val="21"/>
                <w:szCs w:val="21"/>
              </w:rPr>
            </w:pPr>
            <w:r>
              <w:rPr>
                <w:sz w:val="21"/>
                <w:szCs w:val="21"/>
                <w:spacing w:val="-1"/>
              </w:rPr>
              <w:t>资源开发</w:t>
            </w:r>
          </w:p>
          <w:p>
            <w:pPr>
              <w:pStyle w:val="TableText"/>
              <w:spacing w:before="29" w:line="219" w:lineRule="auto"/>
              <w:jc w:val="right"/>
              <w:rPr>
                <w:sz w:val="21"/>
                <w:szCs w:val="21"/>
              </w:rPr>
            </w:pPr>
            <w:r>
              <w:rPr>
                <w:sz w:val="21"/>
                <w:szCs w:val="21"/>
                <w:spacing w:val="-1"/>
              </w:rPr>
              <w:t>效率要求</w:t>
            </w:r>
          </w:p>
        </w:tc>
        <w:tc>
          <w:tcPr>
            <w:tcW w:w="7374" w:type="dxa"/>
            <w:vAlign w:val="top"/>
          </w:tcPr>
          <w:p>
            <w:pPr>
              <w:pStyle w:val="TableText"/>
              <w:ind w:left="14"/>
              <w:spacing w:before="37" w:line="219" w:lineRule="auto"/>
              <w:rPr>
                <w:sz w:val="21"/>
                <w:szCs w:val="21"/>
              </w:rPr>
            </w:pPr>
            <w:r>
              <w:rPr>
                <w:sz w:val="21"/>
                <w:szCs w:val="21"/>
                <w:b/>
                <w:bCs/>
                <w:spacing w:val="-4"/>
              </w:rPr>
              <w:t>土地资源开发效率要求</w:t>
            </w:r>
          </w:p>
          <w:p>
            <w:pPr>
              <w:pStyle w:val="TableText"/>
              <w:ind w:left="14" w:right="1687" w:hanging="3"/>
              <w:spacing w:before="33" w:line="228" w:lineRule="auto"/>
              <w:rPr>
                <w:sz w:val="21"/>
                <w:szCs w:val="21"/>
              </w:rPr>
            </w:pPr>
            <w:r>
              <w:rPr>
                <w:sz w:val="21"/>
                <w:szCs w:val="21"/>
              </w:rPr>
              <w:t>土地资源开发利用量不得超过土地资源利用上</w:t>
            </w:r>
            <w:r>
              <w:rPr>
                <w:sz w:val="21"/>
                <w:szCs w:val="21"/>
                <w:spacing w:val="-1"/>
              </w:rPr>
              <w:t>线控制性指标。</w:t>
            </w:r>
            <w:r>
              <w:rPr>
                <w:sz w:val="21"/>
                <w:szCs w:val="21"/>
              </w:rPr>
              <w:t xml:space="preserve"> </w:t>
            </w:r>
            <w:r>
              <w:rPr>
                <w:sz w:val="21"/>
                <w:szCs w:val="21"/>
                <w:b/>
                <w:bCs/>
                <w:spacing w:val="-2"/>
              </w:rPr>
              <w:t>能源资源开发效率要求</w:t>
            </w:r>
          </w:p>
          <w:p>
            <w:pPr>
              <w:pStyle w:val="TableText"/>
              <w:ind w:left="14"/>
              <w:spacing w:before="7" w:line="204" w:lineRule="auto"/>
              <w:rPr>
                <w:sz w:val="21"/>
                <w:szCs w:val="21"/>
              </w:rPr>
            </w:pPr>
            <w:r>
              <w:rPr>
                <w:sz w:val="21"/>
                <w:szCs w:val="21"/>
                <w:b/>
                <w:bCs/>
                <w:spacing w:val="-4"/>
              </w:rPr>
              <w:t>其他资源开发效率要求</w:t>
            </w:r>
          </w:p>
        </w:tc>
        <w:tc>
          <w:tcPr>
            <w:tcW w:w="3178" w:type="dxa"/>
            <w:vAlign w:val="top"/>
          </w:tcPr>
          <w:p>
            <w:pPr>
              <w:spacing w:line="370" w:lineRule="auto"/>
              <w:rPr>
                <w:rFonts w:ascii="Arial"/>
                <w:sz w:val="21"/>
              </w:rPr>
            </w:pPr>
            <w:r/>
          </w:p>
          <w:p>
            <w:pPr>
              <w:pStyle w:val="TableText"/>
              <w:ind w:left="117"/>
              <w:spacing w:before="68" w:line="219" w:lineRule="auto"/>
              <w:rPr>
                <w:sz w:val="21"/>
                <w:szCs w:val="21"/>
              </w:rPr>
            </w:pPr>
            <w:r>
              <w:rPr>
                <w:sz w:val="21"/>
                <w:szCs w:val="21"/>
              </w:rPr>
              <w:t>同普适性清单管控要求相关内容</w:t>
            </w:r>
          </w:p>
        </w:tc>
        <w:tc>
          <w:tcPr>
            <w:tcW w:w="645" w:type="dxa"/>
            <w:vAlign w:val="top"/>
          </w:tcPr>
          <w:p>
            <w:pPr>
              <w:spacing w:line="370" w:lineRule="auto"/>
              <w:rPr>
                <w:rFonts w:ascii="Arial"/>
                <w:sz w:val="21"/>
              </w:rPr>
            </w:pPr>
            <w:r/>
          </w:p>
          <w:p>
            <w:pPr>
              <w:pStyle w:val="TableText"/>
              <w:ind w:left="110"/>
              <w:spacing w:before="68" w:line="219" w:lineRule="auto"/>
              <w:rPr>
                <w:sz w:val="21"/>
                <w:szCs w:val="21"/>
              </w:rPr>
            </w:pPr>
            <w:r>
              <w:rPr>
                <w:sz w:val="21"/>
                <w:szCs w:val="21"/>
                <w:spacing w:val="-3"/>
              </w:rPr>
              <w:t>符合</w:t>
            </w:r>
          </w:p>
        </w:tc>
      </w:tr>
      <w:tr>
        <w:trPr>
          <w:trHeight w:val="1069" w:hRule="atLeast"/>
        </w:trPr>
        <w:tc>
          <w:tcPr>
            <w:tcW w:w="1084" w:type="dxa"/>
            <w:vAlign w:val="top"/>
            <w:vMerge w:val="restart"/>
            <w:tcBorders>
              <w:bottom w:val="nil"/>
            </w:tcBorders>
          </w:tcPr>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pStyle w:val="TableText"/>
              <w:ind w:left="15" w:right="14" w:firstLine="3"/>
              <w:spacing w:before="68" w:line="246" w:lineRule="auto"/>
              <w:jc w:val="both"/>
              <w:rPr>
                <w:sz w:val="21"/>
                <w:szCs w:val="21"/>
              </w:rPr>
            </w:pPr>
            <w:r>
              <w:rPr>
                <w:sz w:val="21"/>
                <w:szCs w:val="21"/>
                <w:b/>
                <w:bCs/>
                <w:spacing w:val="-4"/>
              </w:rPr>
              <w:t>环境管控单</w:t>
            </w:r>
            <w:r>
              <w:rPr>
                <w:sz w:val="21"/>
                <w:szCs w:val="21"/>
              </w:rPr>
              <w:t xml:space="preserve"> </w:t>
            </w:r>
            <w:r>
              <w:rPr>
                <w:sz w:val="21"/>
                <w:szCs w:val="21"/>
                <w:b/>
                <w:bCs/>
                <w:spacing w:val="-16"/>
              </w:rPr>
              <w:t>元分类</w:t>
            </w:r>
            <w:r>
              <w:rPr>
                <w:sz w:val="21"/>
                <w:szCs w:val="21"/>
                <w:spacing w:val="-49"/>
              </w:rPr>
              <w:t xml:space="preserve"> </w:t>
            </w:r>
            <w:r>
              <w:rPr>
                <w:sz w:val="21"/>
                <w:szCs w:val="21"/>
                <w:b/>
                <w:bCs/>
                <w:spacing w:val="-16"/>
              </w:rPr>
              <w:t>：</w:t>
            </w:r>
            <w:r>
              <w:rPr>
                <w:sz w:val="21"/>
                <w:szCs w:val="21"/>
                <w:spacing w:val="-16"/>
              </w:rPr>
              <w:t>高</w:t>
            </w:r>
            <w:r>
              <w:rPr>
                <w:sz w:val="21"/>
                <w:szCs w:val="21"/>
              </w:rPr>
              <w:t xml:space="preserve"> </w:t>
            </w:r>
            <w:r>
              <w:rPr>
                <w:sz w:val="21"/>
                <w:szCs w:val="21"/>
                <w:spacing w:val="-2"/>
              </w:rPr>
              <w:t>污染燃料禁</w:t>
            </w:r>
            <w:r>
              <w:rPr>
                <w:sz w:val="21"/>
                <w:szCs w:val="21"/>
              </w:rPr>
              <w:t xml:space="preserve"> </w:t>
            </w:r>
            <w:r>
              <w:rPr>
                <w:sz w:val="21"/>
                <w:szCs w:val="21"/>
                <w:spacing w:val="9"/>
              </w:rPr>
              <w:t>燃区</w:t>
            </w:r>
          </w:p>
          <w:p>
            <w:pPr>
              <w:pStyle w:val="TableText"/>
              <w:ind w:left="18" w:right="14"/>
              <w:spacing w:before="1" w:line="239" w:lineRule="auto"/>
              <w:jc w:val="both"/>
              <w:rPr>
                <w:sz w:val="21"/>
                <w:szCs w:val="21"/>
              </w:rPr>
            </w:pPr>
            <w:r>
              <w:rPr>
                <w:sz w:val="21"/>
                <w:szCs w:val="21"/>
                <w:b/>
                <w:bCs/>
                <w:spacing w:val="-4"/>
              </w:rPr>
              <w:t>环境管控单</w:t>
            </w:r>
            <w:r>
              <w:rPr>
                <w:sz w:val="21"/>
                <w:szCs w:val="21"/>
              </w:rPr>
              <w:t xml:space="preserve"> </w:t>
            </w:r>
            <w:r>
              <w:rPr>
                <w:sz w:val="21"/>
                <w:szCs w:val="21"/>
                <w:b/>
                <w:bCs/>
                <w:spacing w:val="-5"/>
              </w:rPr>
              <w:t>元编码：</w:t>
            </w:r>
          </w:p>
          <w:p>
            <w:pPr>
              <w:pStyle w:val="TableText"/>
              <w:ind w:left="15" w:right="118"/>
              <w:spacing w:before="52" w:line="186" w:lineRule="auto"/>
              <w:rPr>
                <w:sz w:val="21"/>
                <w:szCs w:val="21"/>
              </w:rPr>
            </w:pPr>
            <w:r>
              <w:rPr>
                <w:sz w:val="21"/>
                <w:szCs w:val="21"/>
                <w:spacing w:val="-1"/>
              </w:rPr>
              <w:t>YS5107052</w:t>
            </w:r>
            <w:r>
              <w:rPr>
                <w:sz w:val="21"/>
                <w:szCs w:val="21"/>
                <w:spacing w:val="3"/>
              </w:rPr>
              <w:t xml:space="preserve"> </w:t>
            </w:r>
            <w:r>
              <w:rPr>
                <w:sz w:val="21"/>
                <w:szCs w:val="21"/>
                <w:spacing w:val="-2"/>
              </w:rPr>
              <w:t>540001</w:t>
            </w:r>
          </w:p>
          <w:p>
            <w:pPr>
              <w:pStyle w:val="TableText"/>
              <w:ind w:left="15" w:firstLine="2"/>
              <w:spacing w:before="1" w:line="239" w:lineRule="auto"/>
              <w:jc w:val="both"/>
              <w:rPr>
                <w:sz w:val="21"/>
                <w:szCs w:val="21"/>
              </w:rPr>
            </w:pPr>
            <w:r>
              <w:rPr>
                <w:sz w:val="21"/>
                <w:szCs w:val="21"/>
                <w:b/>
                <w:bCs/>
                <w:spacing w:val="-6"/>
              </w:rPr>
              <w:t>环境管控单</w:t>
            </w:r>
            <w:r>
              <w:rPr>
                <w:sz w:val="21"/>
                <w:szCs w:val="21"/>
              </w:rPr>
              <w:t xml:space="preserve"> </w:t>
            </w:r>
            <w:r>
              <w:rPr>
                <w:sz w:val="21"/>
                <w:szCs w:val="21"/>
                <w:b/>
                <w:bCs/>
                <w:spacing w:val="-17"/>
              </w:rPr>
              <w:t>元名称</w:t>
            </w:r>
            <w:r>
              <w:rPr>
                <w:sz w:val="21"/>
                <w:szCs w:val="21"/>
                <w:spacing w:val="-52"/>
              </w:rPr>
              <w:t xml:space="preserve"> </w:t>
            </w:r>
            <w:r>
              <w:rPr>
                <w:sz w:val="21"/>
                <w:szCs w:val="21"/>
                <w:b/>
                <w:bCs/>
                <w:spacing w:val="-17"/>
              </w:rPr>
              <w:t>：</w:t>
            </w:r>
            <w:r>
              <w:rPr>
                <w:sz w:val="21"/>
                <w:szCs w:val="21"/>
                <w:spacing w:val="-17"/>
              </w:rPr>
              <w:t>安</w:t>
            </w:r>
            <w:r>
              <w:rPr>
                <w:sz w:val="21"/>
                <w:szCs w:val="21"/>
              </w:rPr>
              <w:t xml:space="preserve"> </w:t>
            </w:r>
            <w:r>
              <w:rPr>
                <w:sz w:val="21"/>
                <w:szCs w:val="21"/>
                <w:spacing w:val="-4"/>
              </w:rPr>
              <w:t>州区高污染</w:t>
            </w:r>
            <w:r>
              <w:rPr>
                <w:sz w:val="21"/>
                <w:szCs w:val="21"/>
                <w:spacing w:val="1"/>
              </w:rPr>
              <w:t xml:space="preserve"> </w:t>
            </w:r>
            <w:r>
              <w:rPr>
                <w:sz w:val="21"/>
                <w:szCs w:val="21"/>
                <w:spacing w:val="1"/>
              </w:rPr>
              <w:t>燃料禁燃区</w:t>
            </w:r>
          </w:p>
        </w:tc>
        <w:tc>
          <w:tcPr>
            <w:tcW w:w="290" w:type="dxa"/>
            <w:vAlign w:val="top"/>
            <w:vMerge w:val="restart"/>
            <w:textDirection w:val="tbRlV"/>
            <w:tcBorders>
              <w:bottom w:val="nil"/>
            </w:tcBorders>
          </w:tcPr>
          <w:p>
            <w:pPr>
              <w:pStyle w:val="TableText"/>
              <w:ind w:left="682"/>
              <w:spacing w:before="46" w:line="202" w:lineRule="auto"/>
              <w:rPr>
                <w:sz w:val="21"/>
                <w:szCs w:val="21"/>
              </w:rPr>
            </w:pPr>
            <w:r>
              <w:rPr>
                <w:sz w:val="21"/>
                <w:szCs w:val="21"/>
              </w:rPr>
              <w:t>普</w:t>
            </w:r>
            <w:r>
              <w:rPr>
                <w:sz w:val="21"/>
                <w:szCs w:val="21"/>
                <w:spacing w:val="-37"/>
              </w:rPr>
              <w:t xml:space="preserve"> </w:t>
            </w:r>
            <w:r>
              <w:rPr>
                <w:sz w:val="21"/>
                <w:szCs w:val="21"/>
              </w:rPr>
              <w:t>适</w:t>
            </w:r>
            <w:r>
              <w:rPr>
                <w:sz w:val="21"/>
                <w:szCs w:val="21"/>
                <w:spacing w:val="-37"/>
              </w:rPr>
              <w:t xml:space="preserve"> </w:t>
            </w:r>
            <w:r>
              <w:rPr>
                <w:sz w:val="21"/>
                <w:szCs w:val="21"/>
              </w:rPr>
              <w:t>性</w:t>
            </w:r>
            <w:r>
              <w:rPr>
                <w:sz w:val="21"/>
                <w:szCs w:val="21"/>
                <w:spacing w:val="-37"/>
              </w:rPr>
              <w:t xml:space="preserve"> </w:t>
            </w:r>
            <w:r>
              <w:rPr>
                <w:sz w:val="21"/>
                <w:szCs w:val="21"/>
              </w:rPr>
              <w:t>清</w:t>
            </w:r>
            <w:r>
              <w:rPr>
                <w:sz w:val="21"/>
                <w:szCs w:val="21"/>
                <w:spacing w:val="-37"/>
              </w:rPr>
              <w:t xml:space="preserve"> </w:t>
            </w:r>
            <w:r>
              <w:rPr>
                <w:sz w:val="21"/>
                <w:szCs w:val="21"/>
              </w:rPr>
              <w:t>单</w:t>
            </w:r>
            <w:r>
              <w:rPr>
                <w:sz w:val="21"/>
                <w:szCs w:val="21"/>
                <w:spacing w:val="-37"/>
              </w:rPr>
              <w:t xml:space="preserve"> </w:t>
            </w:r>
            <w:r>
              <w:rPr>
                <w:sz w:val="21"/>
                <w:szCs w:val="21"/>
              </w:rPr>
              <w:t>管</w:t>
            </w:r>
            <w:r>
              <w:rPr>
                <w:sz w:val="21"/>
                <w:szCs w:val="21"/>
                <w:spacing w:val="-37"/>
              </w:rPr>
              <w:t xml:space="preserve"> </w:t>
            </w:r>
            <w:r>
              <w:rPr>
                <w:sz w:val="21"/>
                <w:szCs w:val="21"/>
              </w:rPr>
              <w:t>控</w:t>
            </w:r>
            <w:r>
              <w:rPr>
                <w:sz w:val="21"/>
                <w:szCs w:val="21"/>
                <w:spacing w:val="-37"/>
              </w:rPr>
              <w:t xml:space="preserve"> </w:t>
            </w:r>
            <w:r>
              <w:rPr>
                <w:sz w:val="21"/>
                <w:szCs w:val="21"/>
              </w:rPr>
              <w:t>要</w:t>
            </w:r>
            <w:r>
              <w:rPr>
                <w:sz w:val="21"/>
                <w:szCs w:val="21"/>
                <w:spacing w:val="-37"/>
              </w:rPr>
              <w:t xml:space="preserve"> </w:t>
            </w:r>
            <w:r>
              <w:rPr>
                <w:sz w:val="21"/>
                <w:szCs w:val="21"/>
              </w:rPr>
              <w:t>求</w:t>
            </w:r>
          </w:p>
        </w:tc>
        <w:tc>
          <w:tcPr>
            <w:tcW w:w="859" w:type="dxa"/>
            <w:vAlign w:val="top"/>
          </w:tcPr>
          <w:p>
            <w:pPr>
              <w:pStyle w:val="TableText"/>
              <w:ind w:left="205" w:hanging="195"/>
              <w:spacing w:before="290"/>
              <w:rPr>
                <w:sz w:val="21"/>
                <w:szCs w:val="21"/>
              </w:rPr>
            </w:pPr>
            <w:r>
              <w:rPr>
                <w:sz w:val="21"/>
                <w:szCs w:val="21"/>
                <w:spacing w:val="-1"/>
              </w:rPr>
              <w:t>空间布局</w:t>
            </w:r>
            <w:r>
              <w:rPr>
                <w:sz w:val="21"/>
                <w:szCs w:val="21"/>
                <w:spacing w:val="1"/>
              </w:rPr>
              <w:t xml:space="preserve"> </w:t>
            </w:r>
            <w:r>
              <w:rPr>
                <w:sz w:val="21"/>
                <w:szCs w:val="21"/>
              </w:rPr>
              <w:t>约束</w:t>
            </w:r>
          </w:p>
        </w:tc>
        <w:tc>
          <w:tcPr>
            <w:tcW w:w="7374" w:type="dxa"/>
            <w:vAlign w:val="top"/>
          </w:tcPr>
          <w:p>
            <w:pPr>
              <w:pStyle w:val="TableText"/>
              <w:ind w:left="14"/>
              <w:spacing w:before="18" w:line="219" w:lineRule="auto"/>
              <w:rPr>
                <w:sz w:val="21"/>
                <w:szCs w:val="21"/>
              </w:rPr>
            </w:pPr>
            <w:r>
              <w:rPr>
                <w:sz w:val="21"/>
                <w:szCs w:val="21"/>
                <w:b/>
                <w:bCs/>
                <w:spacing w:val="-3"/>
              </w:rPr>
              <w:t>禁止开发建设活动的要求：暂无</w:t>
            </w:r>
          </w:p>
          <w:p>
            <w:pPr>
              <w:pStyle w:val="TableText"/>
              <w:ind w:left="14"/>
              <w:spacing w:before="21" w:line="220" w:lineRule="auto"/>
              <w:rPr>
                <w:sz w:val="21"/>
                <w:szCs w:val="21"/>
              </w:rPr>
            </w:pPr>
            <w:r>
              <w:rPr>
                <w:sz w:val="21"/>
                <w:szCs w:val="21"/>
                <w:b/>
                <w:bCs/>
                <w:spacing w:val="-2"/>
              </w:rPr>
              <w:t>限制开发建设活动的要求：暂无</w:t>
            </w:r>
          </w:p>
          <w:p>
            <w:pPr>
              <w:pStyle w:val="TableText"/>
              <w:ind w:left="14"/>
              <w:spacing w:before="17" w:line="219" w:lineRule="auto"/>
              <w:rPr>
                <w:sz w:val="21"/>
                <w:szCs w:val="21"/>
              </w:rPr>
            </w:pPr>
            <w:r>
              <w:rPr>
                <w:sz w:val="21"/>
                <w:szCs w:val="21"/>
                <w:b/>
                <w:bCs/>
                <w:spacing w:val="-3"/>
              </w:rPr>
              <w:t>不符合空间布局要求活动的退出要求：暂无</w:t>
            </w:r>
          </w:p>
          <w:p>
            <w:pPr>
              <w:pStyle w:val="TableText"/>
              <w:ind w:left="14"/>
              <w:spacing w:before="41" w:line="186" w:lineRule="auto"/>
              <w:rPr>
                <w:sz w:val="21"/>
                <w:szCs w:val="21"/>
              </w:rPr>
            </w:pPr>
            <w:r>
              <w:rPr>
                <w:sz w:val="21"/>
                <w:szCs w:val="21"/>
                <w:b/>
                <w:bCs/>
                <w:spacing w:val="-3"/>
              </w:rPr>
              <w:t>其他空间布局约束要求：暂无</w:t>
            </w:r>
          </w:p>
        </w:tc>
        <w:tc>
          <w:tcPr>
            <w:tcW w:w="3178" w:type="dxa"/>
            <w:vAlign w:val="top"/>
            <w:textDirection w:val="tbRlV"/>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pStyle w:val="TableText"/>
              <w:ind w:left="403"/>
              <w:spacing w:before="70" w:line="137" w:lineRule="exact"/>
              <w:rPr>
                <w:sz w:val="21"/>
                <w:szCs w:val="21"/>
              </w:rPr>
            </w:pPr>
            <w:r>
              <w:rPr>
                <w:sz w:val="21"/>
                <w:szCs w:val="21"/>
                <w:color w:val="403040"/>
                <w:spacing w:val="52"/>
                <w:w w:val="141"/>
                <w:position w:val="-1"/>
              </w:rPr>
              <w:t>/</w:t>
            </w:r>
          </w:p>
        </w:tc>
        <w:tc>
          <w:tcPr>
            <w:tcW w:w="645" w:type="dxa"/>
            <w:vAlign w:val="top"/>
          </w:tcPr>
          <w:p>
            <w:pPr>
              <w:spacing w:line="367" w:lineRule="auto"/>
              <w:rPr>
                <w:rFonts w:ascii="Arial"/>
                <w:sz w:val="21"/>
              </w:rPr>
            </w:pPr>
            <w:r/>
          </w:p>
          <w:p>
            <w:pPr>
              <w:pStyle w:val="TableText"/>
              <w:ind w:left="259"/>
              <w:spacing w:before="68" w:line="224" w:lineRule="auto"/>
              <w:rPr>
                <w:sz w:val="21"/>
                <w:szCs w:val="21"/>
              </w:rPr>
            </w:pPr>
            <w:r>
              <w:rPr>
                <w:sz w:val="21"/>
                <w:szCs w:val="21"/>
                <w:color w:val="404050"/>
              </w:rPr>
              <w:t>/</w:t>
            </w:r>
          </w:p>
        </w:tc>
      </w:tr>
      <w:tr>
        <w:trPr>
          <w:trHeight w:val="829" w:hRule="atLeast"/>
        </w:trPr>
        <w:tc>
          <w:tcPr>
            <w:tcW w:w="1084" w:type="dxa"/>
            <w:vAlign w:val="top"/>
            <w:vMerge w:val="continue"/>
            <w:tcBorders>
              <w:top w:val="nil"/>
              <w:bottom w:val="nil"/>
            </w:tcBorders>
          </w:tcPr>
          <w:p>
            <w:pPr>
              <w:rPr>
                <w:rFonts w:ascii="Arial"/>
                <w:sz w:val="21"/>
              </w:rPr>
            </w:pPr>
            <w:r/>
          </w:p>
        </w:tc>
        <w:tc>
          <w:tcPr>
            <w:tcW w:w="290" w:type="dxa"/>
            <w:vAlign w:val="top"/>
            <w:vMerge w:val="continue"/>
            <w:textDirection w:val="tbRlV"/>
            <w:tcBorders>
              <w:top w:val="nil"/>
              <w:bottom w:val="nil"/>
            </w:tcBorders>
          </w:tcPr>
          <w:p>
            <w:pPr>
              <w:rPr>
                <w:rFonts w:ascii="Arial"/>
                <w:sz w:val="21"/>
              </w:rPr>
            </w:pPr>
            <w:r/>
          </w:p>
        </w:tc>
        <w:tc>
          <w:tcPr>
            <w:tcW w:w="859" w:type="dxa"/>
            <w:vAlign w:val="top"/>
          </w:tcPr>
          <w:p>
            <w:pPr>
              <w:pStyle w:val="TableText"/>
              <w:ind w:left="100" w:right="7" w:hanging="90"/>
              <w:spacing w:before="182" w:line="248" w:lineRule="auto"/>
              <w:rPr>
                <w:sz w:val="21"/>
                <w:szCs w:val="21"/>
              </w:rPr>
            </w:pPr>
            <w:r>
              <w:rPr>
                <w:sz w:val="21"/>
                <w:szCs w:val="21"/>
                <w:spacing w:val="-3"/>
              </w:rPr>
              <w:t>污染物排</w:t>
            </w:r>
            <w:r>
              <w:rPr>
                <w:sz w:val="21"/>
                <w:szCs w:val="21"/>
                <w:spacing w:val="1"/>
              </w:rPr>
              <w:t xml:space="preserve"> </w:t>
            </w:r>
            <w:r>
              <w:rPr>
                <w:sz w:val="21"/>
                <w:szCs w:val="21"/>
                <w:spacing w:val="-2"/>
              </w:rPr>
              <w:t>放管控</w:t>
            </w:r>
          </w:p>
        </w:tc>
        <w:tc>
          <w:tcPr>
            <w:tcW w:w="7374" w:type="dxa"/>
            <w:vAlign w:val="top"/>
          </w:tcPr>
          <w:p>
            <w:pPr>
              <w:pStyle w:val="TableText"/>
              <w:ind w:left="14"/>
              <w:spacing w:before="49" w:line="219" w:lineRule="auto"/>
              <w:rPr>
                <w:sz w:val="21"/>
                <w:szCs w:val="21"/>
              </w:rPr>
            </w:pPr>
            <w:r>
              <w:rPr>
                <w:sz w:val="21"/>
                <w:szCs w:val="21"/>
                <w:b/>
                <w:bCs/>
                <w:spacing w:val="-4"/>
              </w:rPr>
              <w:t>允许排放量要求：暂无</w:t>
            </w:r>
          </w:p>
          <w:p>
            <w:pPr>
              <w:pStyle w:val="TableText"/>
              <w:ind w:left="14"/>
              <w:spacing w:before="30" w:line="219" w:lineRule="auto"/>
              <w:rPr>
                <w:sz w:val="21"/>
                <w:szCs w:val="21"/>
              </w:rPr>
            </w:pPr>
            <w:r>
              <w:rPr>
                <w:sz w:val="21"/>
                <w:szCs w:val="21"/>
                <w:b/>
                <w:bCs/>
                <w:spacing w:val="-3"/>
              </w:rPr>
              <w:t>现有源提标升级改造：暂无</w:t>
            </w:r>
          </w:p>
          <w:p>
            <w:pPr>
              <w:pStyle w:val="TableText"/>
              <w:ind w:left="14"/>
              <w:spacing w:before="10" w:line="202" w:lineRule="auto"/>
              <w:rPr>
                <w:sz w:val="21"/>
                <w:szCs w:val="21"/>
              </w:rPr>
            </w:pPr>
            <w:r>
              <w:rPr>
                <w:sz w:val="21"/>
                <w:szCs w:val="21"/>
                <w:b/>
                <w:bCs/>
                <w:spacing w:val="-3"/>
              </w:rPr>
              <w:t>其他污染物排放管控要求：暂无</w:t>
            </w:r>
          </w:p>
        </w:tc>
        <w:tc>
          <w:tcPr>
            <w:tcW w:w="3178" w:type="dxa"/>
            <w:vAlign w:val="top"/>
            <w:textDirection w:val="tbRlV"/>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pStyle w:val="TableText"/>
              <w:ind w:left="284"/>
              <w:spacing w:before="70" w:line="137" w:lineRule="exact"/>
              <w:rPr>
                <w:sz w:val="21"/>
                <w:szCs w:val="21"/>
              </w:rPr>
            </w:pPr>
            <w:r>
              <w:rPr>
                <w:sz w:val="21"/>
                <w:szCs w:val="21"/>
                <w:spacing w:val="52"/>
                <w:w w:val="141"/>
                <w:position w:val="-1"/>
              </w:rPr>
              <w:t>/</w:t>
            </w:r>
          </w:p>
        </w:tc>
        <w:tc>
          <w:tcPr>
            <w:tcW w:w="645" w:type="dxa"/>
            <w:vAlign w:val="top"/>
            <w:textDirection w:val="tbRlV"/>
          </w:tcPr>
          <w:p>
            <w:pPr>
              <w:pStyle w:val="TableText"/>
              <w:ind w:left="284"/>
              <w:spacing w:before="275" w:line="137" w:lineRule="exact"/>
              <w:rPr>
                <w:sz w:val="21"/>
                <w:szCs w:val="21"/>
              </w:rPr>
            </w:pPr>
            <w:r>
              <w:rPr>
                <w:sz w:val="21"/>
                <w:szCs w:val="21"/>
                <w:color w:val="404050"/>
                <w:spacing w:val="52"/>
                <w:w w:val="141"/>
                <w:position w:val="-1"/>
              </w:rPr>
              <w:t>/</w:t>
            </w:r>
          </w:p>
        </w:tc>
      </w:tr>
      <w:tr>
        <w:trPr>
          <w:trHeight w:val="549" w:hRule="atLeast"/>
        </w:trPr>
        <w:tc>
          <w:tcPr>
            <w:tcW w:w="1084" w:type="dxa"/>
            <w:vAlign w:val="top"/>
            <w:vMerge w:val="continue"/>
            <w:tcBorders>
              <w:top w:val="nil"/>
              <w:bottom w:val="nil"/>
            </w:tcBorders>
          </w:tcPr>
          <w:p>
            <w:pPr>
              <w:rPr>
                <w:rFonts w:ascii="Arial"/>
                <w:sz w:val="21"/>
              </w:rPr>
            </w:pPr>
            <w:r/>
          </w:p>
        </w:tc>
        <w:tc>
          <w:tcPr>
            <w:tcW w:w="290" w:type="dxa"/>
            <w:vAlign w:val="top"/>
            <w:vMerge w:val="continue"/>
            <w:textDirection w:val="tbRlV"/>
            <w:tcBorders>
              <w:top w:val="nil"/>
              <w:bottom w:val="nil"/>
            </w:tcBorders>
          </w:tcPr>
          <w:p>
            <w:pPr>
              <w:rPr>
                <w:rFonts w:ascii="Arial"/>
                <w:sz w:val="21"/>
              </w:rPr>
            </w:pPr>
            <w:r/>
          </w:p>
        </w:tc>
        <w:tc>
          <w:tcPr>
            <w:tcW w:w="859" w:type="dxa"/>
            <w:vAlign w:val="top"/>
          </w:tcPr>
          <w:p>
            <w:pPr>
              <w:pStyle w:val="TableText"/>
              <w:ind w:left="210" w:right="6" w:hanging="200"/>
              <w:spacing w:before="24" w:line="226" w:lineRule="auto"/>
              <w:rPr>
                <w:sz w:val="21"/>
                <w:szCs w:val="21"/>
              </w:rPr>
            </w:pPr>
            <w:r>
              <w:rPr>
                <w:sz w:val="21"/>
                <w:szCs w:val="21"/>
                <w:spacing w:val="-3"/>
              </w:rPr>
              <w:t>环境风险</w:t>
            </w:r>
            <w:r>
              <w:rPr>
                <w:sz w:val="21"/>
                <w:szCs w:val="21"/>
                <w:spacing w:val="2"/>
              </w:rPr>
              <w:t xml:space="preserve"> </w:t>
            </w:r>
            <w:r>
              <w:rPr>
                <w:sz w:val="21"/>
                <w:szCs w:val="21"/>
                <w:spacing w:val="4"/>
              </w:rPr>
              <w:t>防控</w:t>
            </w:r>
          </w:p>
        </w:tc>
        <w:tc>
          <w:tcPr>
            <w:tcW w:w="7374" w:type="dxa"/>
            <w:vAlign w:val="top"/>
          </w:tcPr>
          <w:p>
            <w:pPr>
              <w:pStyle w:val="TableText"/>
              <w:ind w:left="14"/>
              <w:spacing w:before="21" w:line="220" w:lineRule="auto"/>
              <w:rPr>
                <w:sz w:val="21"/>
                <w:szCs w:val="21"/>
              </w:rPr>
            </w:pPr>
            <w:r>
              <w:rPr>
                <w:sz w:val="21"/>
                <w:szCs w:val="21"/>
                <w:b/>
                <w:bCs/>
                <w:spacing w:val="-4"/>
              </w:rPr>
              <w:t>联防联控要求：暂无</w:t>
            </w:r>
          </w:p>
          <w:p>
            <w:pPr>
              <w:pStyle w:val="TableText"/>
              <w:ind w:left="14"/>
              <w:spacing w:before="19" w:line="218" w:lineRule="auto"/>
              <w:rPr>
                <w:sz w:val="21"/>
                <w:szCs w:val="21"/>
              </w:rPr>
            </w:pPr>
            <w:r>
              <w:rPr>
                <w:sz w:val="21"/>
                <w:szCs w:val="21"/>
                <w:b/>
                <w:bCs/>
                <w:spacing w:val="-3"/>
              </w:rPr>
              <w:t>其他环境风险防控要求：暂无</w:t>
            </w:r>
          </w:p>
        </w:tc>
        <w:tc>
          <w:tcPr>
            <w:tcW w:w="3178" w:type="dxa"/>
            <w:vAlign w:val="top"/>
            <w:textDirection w:val="tbRlV"/>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pStyle w:val="TableText"/>
              <w:ind w:left="145"/>
              <w:spacing w:before="70" w:line="137" w:lineRule="exact"/>
              <w:rPr>
                <w:sz w:val="21"/>
                <w:szCs w:val="21"/>
              </w:rPr>
            </w:pPr>
            <w:r>
              <w:rPr>
                <w:sz w:val="21"/>
                <w:szCs w:val="21"/>
                <w:color w:val="403040"/>
                <w:spacing w:val="52"/>
                <w:w w:val="141"/>
                <w:position w:val="-1"/>
              </w:rPr>
              <w:t>/</w:t>
            </w:r>
          </w:p>
        </w:tc>
        <w:tc>
          <w:tcPr>
            <w:tcW w:w="645" w:type="dxa"/>
            <w:vAlign w:val="top"/>
          </w:tcPr>
          <w:p>
            <w:pPr>
              <w:pStyle w:val="TableText"/>
              <w:ind w:left="259"/>
              <w:spacing w:before="179" w:line="224" w:lineRule="auto"/>
              <w:rPr>
                <w:sz w:val="21"/>
                <w:szCs w:val="21"/>
              </w:rPr>
            </w:pPr>
            <w:r>
              <w:rPr>
                <w:sz w:val="21"/>
                <w:szCs w:val="21"/>
              </w:rPr>
              <w:t>/</w:t>
            </w:r>
          </w:p>
        </w:tc>
      </w:tr>
      <w:tr>
        <w:trPr>
          <w:trHeight w:val="1338" w:hRule="atLeast"/>
        </w:trPr>
        <w:tc>
          <w:tcPr>
            <w:tcW w:w="1084" w:type="dxa"/>
            <w:vAlign w:val="top"/>
            <w:vMerge w:val="continue"/>
            <w:tcBorders>
              <w:top w:val="nil"/>
              <w:bottom w:val="nil"/>
            </w:tcBorders>
          </w:tcPr>
          <w:p>
            <w:pPr>
              <w:rPr>
                <w:rFonts w:ascii="Arial"/>
                <w:sz w:val="21"/>
              </w:rPr>
            </w:pPr>
            <w:r/>
          </w:p>
        </w:tc>
        <w:tc>
          <w:tcPr>
            <w:tcW w:w="290" w:type="dxa"/>
            <w:vAlign w:val="top"/>
            <w:vMerge w:val="continue"/>
            <w:textDirection w:val="tbRlV"/>
            <w:tcBorders>
              <w:top w:val="nil"/>
            </w:tcBorders>
          </w:tcPr>
          <w:p>
            <w:pPr>
              <w:rPr>
                <w:rFonts w:ascii="Arial"/>
                <w:sz w:val="21"/>
              </w:rPr>
            </w:pPr>
            <w:r/>
          </w:p>
        </w:tc>
        <w:tc>
          <w:tcPr>
            <w:tcW w:w="859" w:type="dxa"/>
            <w:vAlign w:val="top"/>
          </w:tcPr>
          <w:p>
            <w:pPr>
              <w:spacing w:line="374" w:lineRule="auto"/>
              <w:rPr>
                <w:rFonts w:ascii="Arial"/>
                <w:sz w:val="21"/>
              </w:rPr>
            </w:pPr>
            <w:r/>
          </w:p>
          <w:p>
            <w:pPr>
              <w:pStyle w:val="TableText"/>
              <w:spacing w:before="68" w:line="219" w:lineRule="auto"/>
              <w:jc w:val="right"/>
              <w:rPr>
                <w:sz w:val="21"/>
                <w:szCs w:val="21"/>
              </w:rPr>
            </w:pPr>
            <w:r>
              <w:rPr>
                <w:sz w:val="21"/>
                <w:szCs w:val="21"/>
                <w:spacing w:val="-1"/>
              </w:rPr>
              <w:t>资源开发</w:t>
            </w:r>
          </w:p>
          <w:p>
            <w:pPr>
              <w:pStyle w:val="TableText"/>
              <w:ind w:left="10"/>
              <w:spacing w:line="219" w:lineRule="auto"/>
              <w:rPr>
                <w:sz w:val="21"/>
                <w:szCs w:val="21"/>
              </w:rPr>
            </w:pPr>
            <w:r>
              <w:rPr>
                <w:sz w:val="21"/>
                <w:szCs w:val="21"/>
                <w:spacing w:val="-2"/>
              </w:rPr>
              <w:t>利用效率</w:t>
            </w:r>
          </w:p>
        </w:tc>
        <w:tc>
          <w:tcPr>
            <w:tcW w:w="7374" w:type="dxa"/>
            <w:vAlign w:val="top"/>
          </w:tcPr>
          <w:p>
            <w:pPr>
              <w:pStyle w:val="TableText"/>
              <w:ind w:left="14"/>
              <w:spacing w:before="31" w:line="219" w:lineRule="auto"/>
              <w:rPr>
                <w:sz w:val="21"/>
                <w:szCs w:val="21"/>
              </w:rPr>
            </w:pPr>
            <w:r>
              <w:rPr>
                <w:sz w:val="21"/>
                <w:szCs w:val="21"/>
                <w:b/>
                <w:bCs/>
                <w:spacing w:val="-4"/>
              </w:rPr>
              <w:t>水资源利用总量要求：暂无</w:t>
            </w:r>
          </w:p>
          <w:p>
            <w:pPr>
              <w:pStyle w:val="TableText"/>
              <w:ind w:left="14"/>
              <w:spacing w:before="19" w:line="219" w:lineRule="auto"/>
              <w:rPr>
                <w:sz w:val="21"/>
                <w:szCs w:val="21"/>
              </w:rPr>
            </w:pPr>
            <w:r>
              <w:rPr>
                <w:sz w:val="21"/>
                <w:szCs w:val="21"/>
                <w:b/>
                <w:bCs/>
                <w:spacing w:val="-3"/>
              </w:rPr>
              <w:t>地下水开采要求：暂无</w:t>
            </w:r>
          </w:p>
          <w:p>
            <w:pPr>
              <w:pStyle w:val="TableText"/>
              <w:ind w:left="14"/>
              <w:spacing w:before="12" w:line="219" w:lineRule="auto"/>
              <w:rPr>
                <w:sz w:val="21"/>
                <w:szCs w:val="21"/>
              </w:rPr>
            </w:pPr>
            <w:r>
              <w:rPr>
                <w:sz w:val="21"/>
                <w:szCs w:val="21"/>
                <w:b/>
                <w:bCs/>
                <w:spacing w:val="-4"/>
              </w:rPr>
              <w:t>能源利用总量及效率要求：暂无</w:t>
            </w:r>
          </w:p>
          <w:p>
            <w:pPr>
              <w:pStyle w:val="TableText"/>
              <w:ind w:left="14"/>
              <w:spacing w:before="40" w:line="219" w:lineRule="auto"/>
              <w:rPr>
                <w:sz w:val="21"/>
                <w:szCs w:val="21"/>
              </w:rPr>
            </w:pPr>
            <w:r>
              <w:rPr>
                <w:sz w:val="21"/>
                <w:szCs w:val="21"/>
                <w:b/>
                <w:bCs/>
                <w:spacing w:val="-4"/>
              </w:rPr>
              <w:t>禁燃区要求：暂无</w:t>
            </w:r>
          </w:p>
          <w:p>
            <w:pPr>
              <w:pStyle w:val="TableText"/>
              <w:ind w:left="14"/>
              <w:spacing w:before="1" w:line="199" w:lineRule="auto"/>
              <w:rPr>
                <w:sz w:val="21"/>
                <w:szCs w:val="21"/>
              </w:rPr>
            </w:pPr>
            <w:r>
              <w:rPr>
                <w:sz w:val="21"/>
                <w:szCs w:val="21"/>
                <w:b/>
                <w:bCs/>
                <w:spacing w:val="-3"/>
              </w:rPr>
              <w:t>其他资源利用效率要求：暂无</w:t>
            </w:r>
          </w:p>
        </w:tc>
        <w:tc>
          <w:tcPr>
            <w:tcW w:w="3178" w:type="dxa"/>
            <w:vAlign w:val="top"/>
          </w:tcPr>
          <w:p>
            <w:pPr>
              <w:spacing w:line="254" w:lineRule="auto"/>
              <w:rPr>
                <w:rFonts w:ascii="Arial"/>
                <w:sz w:val="21"/>
              </w:rPr>
            </w:pPr>
            <w:r/>
          </w:p>
          <w:p>
            <w:pPr>
              <w:spacing w:line="255" w:lineRule="auto"/>
              <w:rPr>
                <w:rFonts w:ascii="Arial"/>
                <w:sz w:val="21"/>
              </w:rPr>
            </w:pPr>
            <w:r/>
          </w:p>
          <w:p>
            <w:pPr>
              <w:pStyle w:val="TableText"/>
              <w:ind w:left="1527"/>
              <w:spacing w:before="68" w:line="224" w:lineRule="auto"/>
              <w:rPr>
                <w:sz w:val="21"/>
                <w:szCs w:val="21"/>
              </w:rPr>
            </w:pPr>
            <w:r>
              <w:rPr>
                <w:sz w:val="21"/>
                <w:szCs w:val="21"/>
                <w:color w:val="404040"/>
              </w:rPr>
              <w:t>/</w:t>
            </w:r>
          </w:p>
        </w:tc>
        <w:tc>
          <w:tcPr>
            <w:tcW w:w="645" w:type="dxa"/>
            <w:vAlign w:val="top"/>
          </w:tcPr>
          <w:p>
            <w:pPr>
              <w:spacing w:line="254" w:lineRule="auto"/>
              <w:rPr>
                <w:rFonts w:ascii="Arial"/>
                <w:sz w:val="21"/>
              </w:rPr>
            </w:pPr>
            <w:r/>
          </w:p>
          <w:p>
            <w:pPr>
              <w:spacing w:line="255" w:lineRule="auto"/>
              <w:rPr>
                <w:rFonts w:ascii="Arial"/>
                <w:sz w:val="21"/>
              </w:rPr>
            </w:pPr>
            <w:r/>
          </w:p>
          <w:p>
            <w:pPr>
              <w:pStyle w:val="TableText"/>
              <w:ind w:left="259"/>
              <w:spacing w:before="68" w:line="224" w:lineRule="auto"/>
              <w:rPr>
                <w:sz w:val="21"/>
                <w:szCs w:val="21"/>
              </w:rPr>
            </w:pPr>
            <w:r>
              <w:rPr>
                <w:sz w:val="21"/>
                <w:szCs w:val="21"/>
                <w:color w:val="404040"/>
              </w:rPr>
              <w:t>/</w:t>
            </w:r>
          </w:p>
        </w:tc>
      </w:tr>
      <w:tr>
        <w:trPr>
          <w:trHeight w:val="829" w:hRule="atLeast"/>
        </w:trPr>
        <w:tc>
          <w:tcPr>
            <w:tcW w:w="1084" w:type="dxa"/>
            <w:vAlign w:val="top"/>
            <w:vMerge w:val="continue"/>
            <w:tcBorders>
              <w:top w:val="nil"/>
              <w:bottom w:val="nil"/>
            </w:tcBorders>
          </w:tcPr>
          <w:p>
            <w:pPr>
              <w:rPr>
                <w:rFonts w:ascii="Arial"/>
                <w:sz w:val="21"/>
              </w:rPr>
            </w:pPr>
            <w:r/>
          </w:p>
        </w:tc>
        <w:tc>
          <w:tcPr>
            <w:tcW w:w="290" w:type="dxa"/>
            <w:vAlign w:val="top"/>
            <w:vMerge w:val="restart"/>
            <w:textDirection w:val="tbRlV"/>
            <w:tcBorders>
              <w:bottom w:val="nil"/>
            </w:tcBorders>
          </w:tcPr>
          <w:p>
            <w:pPr>
              <w:pStyle w:val="TableText"/>
              <w:ind w:left="8"/>
              <w:spacing w:before="47" w:line="201" w:lineRule="auto"/>
              <w:rPr>
                <w:sz w:val="21"/>
                <w:szCs w:val="21"/>
              </w:rPr>
            </w:pPr>
            <w:r>
              <w:rPr>
                <w:sz w:val="21"/>
                <w:szCs w:val="21"/>
              </w:rPr>
              <w:t>单</w:t>
            </w:r>
            <w:r>
              <w:rPr>
                <w:sz w:val="21"/>
                <w:szCs w:val="21"/>
                <w:spacing w:val="-29"/>
              </w:rPr>
              <w:t xml:space="preserve"> </w:t>
            </w:r>
            <w:r>
              <w:rPr>
                <w:sz w:val="21"/>
                <w:szCs w:val="21"/>
              </w:rPr>
              <w:t>元</w:t>
            </w:r>
            <w:r>
              <w:rPr>
                <w:sz w:val="21"/>
                <w:szCs w:val="21"/>
                <w:spacing w:val="-29"/>
              </w:rPr>
              <w:t xml:space="preserve"> </w:t>
            </w:r>
            <w:r>
              <w:rPr>
                <w:sz w:val="21"/>
                <w:szCs w:val="21"/>
              </w:rPr>
              <w:t>级</w:t>
            </w:r>
            <w:r>
              <w:rPr>
                <w:sz w:val="21"/>
                <w:szCs w:val="21"/>
                <w:spacing w:val="-29"/>
              </w:rPr>
              <w:t xml:space="preserve"> </w:t>
            </w:r>
            <w:r>
              <w:rPr>
                <w:sz w:val="21"/>
                <w:szCs w:val="21"/>
              </w:rPr>
              <w:t>清</w:t>
            </w:r>
            <w:r>
              <w:rPr>
                <w:sz w:val="21"/>
                <w:szCs w:val="21"/>
                <w:spacing w:val="-28"/>
              </w:rPr>
              <w:t xml:space="preserve"> </w:t>
            </w:r>
            <w:r>
              <w:rPr>
                <w:sz w:val="21"/>
                <w:szCs w:val="21"/>
              </w:rPr>
              <w:t>单</w:t>
            </w:r>
            <w:r>
              <w:rPr>
                <w:sz w:val="21"/>
                <w:szCs w:val="21"/>
                <w:spacing w:val="-28"/>
              </w:rPr>
              <w:t xml:space="preserve"> </w:t>
            </w:r>
            <w:r>
              <w:rPr>
                <w:sz w:val="21"/>
                <w:szCs w:val="21"/>
              </w:rPr>
              <w:t>管</w:t>
            </w:r>
            <w:r>
              <w:rPr>
                <w:sz w:val="21"/>
                <w:szCs w:val="21"/>
                <w:spacing w:val="-29"/>
              </w:rPr>
              <w:t xml:space="preserve"> </w:t>
            </w:r>
            <w:r>
              <w:rPr>
                <w:sz w:val="21"/>
                <w:szCs w:val="21"/>
              </w:rPr>
              <w:t>控</w:t>
            </w:r>
            <w:r>
              <w:rPr>
                <w:sz w:val="21"/>
                <w:szCs w:val="21"/>
                <w:spacing w:val="-28"/>
              </w:rPr>
              <w:t xml:space="preserve"> </w:t>
            </w:r>
            <w:r>
              <w:rPr>
                <w:sz w:val="21"/>
                <w:szCs w:val="21"/>
              </w:rPr>
              <w:t>要</w:t>
            </w:r>
          </w:p>
        </w:tc>
        <w:tc>
          <w:tcPr>
            <w:tcW w:w="859" w:type="dxa"/>
            <w:vAlign w:val="top"/>
          </w:tcPr>
          <w:p>
            <w:pPr>
              <w:pStyle w:val="TableText"/>
              <w:ind w:left="205" w:hanging="195"/>
              <w:spacing w:before="186" w:line="231" w:lineRule="auto"/>
              <w:rPr>
                <w:sz w:val="21"/>
                <w:szCs w:val="21"/>
              </w:rPr>
            </w:pPr>
            <w:r>
              <w:rPr>
                <w:sz w:val="21"/>
                <w:szCs w:val="21"/>
                <w:spacing w:val="-1"/>
              </w:rPr>
              <w:t>空间布局</w:t>
            </w:r>
            <w:r>
              <w:rPr>
                <w:sz w:val="21"/>
                <w:szCs w:val="21"/>
                <w:spacing w:val="1"/>
              </w:rPr>
              <w:t xml:space="preserve"> </w:t>
            </w:r>
            <w:r>
              <w:rPr>
                <w:sz w:val="21"/>
                <w:szCs w:val="21"/>
              </w:rPr>
              <w:t>约束</w:t>
            </w:r>
          </w:p>
        </w:tc>
        <w:tc>
          <w:tcPr>
            <w:tcW w:w="7374" w:type="dxa"/>
            <w:vAlign w:val="top"/>
          </w:tcPr>
          <w:p>
            <w:pPr>
              <w:spacing w:line="246" w:lineRule="auto"/>
              <w:rPr>
                <w:rFonts w:ascii="Arial"/>
                <w:sz w:val="21"/>
              </w:rPr>
            </w:pPr>
            <w:r/>
          </w:p>
          <w:p>
            <w:pPr>
              <w:pStyle w:val="TableText"/>
              <w:ind w:left="11"/>
              <w:spacing w:before="69" w:line="219" w:lineRule="auto"/>
              <w:rPr>
                <w:sz w:val="21"/>
                <w:szCs w:val="21"/>
              </w:rPr>
            </w:pPr>
            <w:r>
              <w:rPr>
                <w:sz w:val="21"/>
                <w:szCs w:val="21"/>
              </w:rPr>
              <w:t>坚决遏制“两高一低”项目盲目发展</w:t>
            </w:r>
          </w:p>
        </w:tc>
        <w:tc>
          <w:tcPr>
            <w:tcW w:w="3178" w:type="dxa"/>
            <w:vAlign w:val="top"/>
          </w:tcPr>
          <w:p>
            <w:pPr>
              <w:pStyle w:val="TableText"/>
              <w:ind w:firstLine="44"/>
              <w:spacing w:before="75" w:line="218" w:lineRule="auto"/>
              <w:jc w:val="both"/>
              <w:rPr>
                <w:sz w:val="21"/>
                <w:szCs w:val="21"/>
              </w:rPr>
            </w:pPr>
            <w:r>
              <w:rPr>
                <w:sz w:val="21"/>
                <w:szCs w:val="21"/>
                <w:spacing w:val="-2"/>
              </w:rPr>
              <w:t>本项目位于四川绵阳安州工业园区</w:t>
            </w:r>
            <w:r>
              <w:rPr>
                <w:sz w:val="21"/>
                <w:szCs w:val="21"/>
                <w:spacing w:val="2"/>
              </w:rPr>
              <w:t xml:space="preserve"> </w:t>
            </w:r>
            <w:r>
              <w:rPr>
                <w:sz w:val="21"/>
                <w:szCs w:val="21"/>
              </w:rPr>
              <w:t>内，产业为牲畜屠宰行业，不属于</w:t>
            </w:r>
            <w:r>
              <w:rPr>
                <w:sz w:val="21"/>
                <w:szCs w:val="21"/>
                <w:spacing w:val="11"/>
              </w:rPr>
              <w:t xml:space="preserve"> </w:t>
            </w:r>
            <w:r>
              <w:rPr>
                <w:sz w:val="21"/>
                <w:szCs w:val="21"/>
                <w:spacing w:val="8"/>
              </w:rPr>
              <w:t>“两高一低”项目。</w:t>
            </w:r>
          </w:p>
        </w:tc>
        <w:tc>
          <w:tcPr>
            <w:tcW w:w="645" w:type="dxa"/>
            <w:vAlign w:val="top"/>
          </w:tcPr>
          <w:p>
            <w:pPr>
              <w:spacing w:line="246" w:lineRule="auto"/>
              <w:rPr>
                <w:rFonts w:ascii="Arial"/>
                <w:sz w:val="21"/>
              </w:rPr>
            </w:pPr>
            <w:r/>
          </w:p>
          <w:p>
            <w:pPr>
              <w:pStyle w:val="TableText"/>
              <w:ind w:left="20"/>
              <w:spacing w:before="69" w:line="219" w:lineRule="auto"/>
              <w:rPr>
                <w:sz w:val="21"/>
                <w:szCs w:val="21"/>
              </w:rPr>
            </w:pPr>
            <w:r>
              <w:rPr>
                <w:sz w:val="21"/>
                <w:szCs w:val="21"/>
                <w:spacing w:val="-3"/>
              </w:rPr>
              <w:t>符合</w:t>
            </w:r>
          </w:p>
        </w:tc>
      </w:tr>
      <w:tr>
        <w:trPr>
          <w:trHeight w:val="549" w:hRule="atLeast"/>
        </w:trPr>
        <w:tc>
          <w:tcPr>
            <w:tcW w:w="1084" w:type="dxa"/>
            <w:vAlign w:val="top"/>
            <w:vMerge w:val="continue"/>
            <w:tcBorders>
              <w:top w:val="nil"/>
              <w:bottom w:val="nil"/>
            </w:tcBorders>
          </w:tcPr>
          <w:p>
            <w:pPr>
              <w:rPr>
                <w:rFonts w:ascii="Arial"/>
                <w:sz w:val="21"/>
              </w:rPr>
            </w:pPr>
            <w:r/>
          </w:p>
        </w:tc>
        <w:tc>
          <w:tcPr>
            <w:tcW w:w="290" w:type="dxa"/>
            <w:vAlign w:val="top"/>
            <w:vMerge w:val="continue"/>
            <w:textDirection w:val="tbRlV"/>
            <w:tcBorders>
              <w:top w:val="nil"/>
              <w:bottom w:val="nil"/>
            </w:tcBorders>
          </w:tcPr>
          <w:p>
            <w:pPr>
              <w:rPr>
                <w:rFonts w:ascii="Arial"/>
                <w:sz w:val="21"/>
              </w:rPr>
            </w:pPr>
            <w:r/>
          </w:p>
        </w:tc>
        <w:tc>
          <w:tcPr>
            <w:tcW w:w="859" w:type="dxa"/>
            <w:vAlign w:val="top"/>
          </w:tcPr>
          <w:p>
            <w:pPr>
              <w:pStyle w:val="TableText"/>
              <w:ind w:left="100" w:right="7" w:hanging="90"/>
              <w:spacing w:before="27" w:line="225" w:lineRule="auto"/>
              <w:rPr>
                <w:sz w:val="21"/>
                <w:szCs w:val="21"/>
              </w:rPr>
            </w:pPr>
            <w:r>
              <w:rPr>
                <w:sz w:val="21"/>
                <w:szCs w:val="21"/>
                <w:spacing w:val="-3"/>
              </w:rPr>
              <w:t>污染物排</w:t>
            </w:r>
            <w:r>
              <w:rPr>
                <w:sz w:val="21"/>
                <w:szCs w:val="21"/>
                <w:spacing w:val="1"/>
              </w:rPr>
              <w:t xml:space="preserve"> </w:t>
            </w:r>
            <w:r>
              <w:rPr>
                <w:sz w:val="21"/>
                <w:szCs w:val="21"/>
                <w:spacing w:val="-2"/>
              </w:rPr>
              <w:t>放管控</w:t>
            </w:r>
          </w:p>
        </w:tc>
        <w:tc>
          <w:tcPr>
            <w:tcW w:w="7374" w:type="dxa"/>
            <w:vAlign w:val="top"/>
          </w:tcPr>
          <w:p>
            <w:pPr>
              <w:pStyle w:val="TableText"/>
              <w:ind w:left="3612"/>
              <w:spacing w:before="183" w:line="224" w:lineRule="auto"/>
              <w:rPr>
                <w:sz w:val="21"/>
                <w:szCs w:val="21"/>
              </w:rPr>
            </w:pPr>
            <w:r>
              <w:rPr>
                <w:sz w:val="21"/>
                <w:szCs w:val="21"/>
              </w:rPr>
              <w:t>/</w:t>
            </w:r>
          </w:p>
        </w:tc>
        <w:tc>
          <w:tcPr>
            <w:tcW w:w="3178" w:type="dxa"/>
            <w:vAlign w:val="top"/>
          </w:tcPr>
          <w:p>
            <w:pPr>
              <w:pStyle w:val="TableText"/>
              <w:ind w:left="1527"/>
              <w:spacing w:before="183" w:line="224" w:lineRule="auto"/>
              <w:rPr>
                <w:sz w:val="21"/>
                <w:szCs w:val="21"/>
              </w:rPr>
            </w:pPr>
            <w:r>
              <w:rPr>
                <w:sz w:val="21"/>
                <w:szCs w:val="21"/>
                <w:color w:val="403040"/>
              </w:rPr>
              <w:t>/</w:t>
            </w:r>
          </w:p>
        </w:tc>
        <w:tc>
          <w:tcPr>
            <w:tcW w:w="645" w:type="dxa"/>
            <w:vAlign w:val="top"/>
          </w:tcPr>
          <w:p>
            <w:pPr>
              <w:pStyle w:val="TableText"/>
              <w:ind w:left="259"/>
              <w:spacing w:before="183" w:line="224" w:lineRule="auto"/>
              <w:rPr>
                <w:sz w:val="21"/>
                <w:szCs w:val="21"/>
              </w:rPr>
            </w:pPr>
            <w:r>
              <w:rPr>
                <w:sz w:val="21"/>
                <w:szCs w:val="21"/>
                <w:color w:val="404050"/>
              </w:rPr>
              <w:t>/</w:t>
            </w:r>
          </w:p>
        </w:tc>
      </w:tr>
      <w:tr>
        <w:trPr>
          <w:trHeight w:val="529" w:hRule="atLeast"/>
        </w:trPr>
        <w:tc>
          <w:tcPr>
            <w:tcW w:w="1084" w:type="dxa"/>
            <w:vAlign w:val="top"/>
            <w:vMerge w:val="continue"/>
            <w:tcBorders>
              <w:top w:val="nil"/>
              <w:bottom w:val="nil"/>
            </w:tcBorders>
          </w:tcPr>
          <w:p>
            <w:pPr>
              <w:rPr>
                <w:rFonts w:ascii="Arial"/>
                <w:sz w:val="21"/>
              </w:rPr>
            </w:pPr>
            <w:r/>
          </w:p>
        </w:tc>
        <w:tc>
          <w:tcPr>
            <w:tcW w:w="290" w:type="dxa"/>
            <w:vAlign w:val="top"/>
            <w:vMerge w:val="continue"/>
            <w:textDirection w:val="tbRlV"/>
            <w:tcBorders>
              <w:top w:val="nil"/>
              <w:bottom w:val="nil"/>
            </w:tcBorders>
          </w:tcPr>
          <w:p>
            <w:pPr>
              <w:rPr>
                <w:rFonts w:ascii="Arial"/>
                <w:sz w:val="21"/>
              </w:rPr>
            </w:pPr>
            <w:r/>
          </w:p>
        </w:tc>
        <w:tc>
          <w:tcPr>
            <w:tcW w:w="859" w:type="dxa"/>
            <w:vAlign w:val="top"/>
          </w:tcPr>
          <w:p>
            <w:pPr>
              <w:pStyle w:val="TableText"/>
              <w:ind w:left="210" w:right="6" w:hanging="200"/>
              <w:spacing w:before="29" w:line="215" w:lineRule="auto"/>
              <w:rPr>
                <w:sz w:val="21"/>
                <w:szCs w:val="21"/>
              </w:rPr>
            </w:pPr>
            <w:r>
              <w:rPr>
                <w:sz w:val="21"/>
                <w:szCs w:val="21"/>
                <w:spacing w:val="-3"/>
              </w:rPr>
              <w:t>环境风险</w:t>
            </w:r>
            <w:r>
              <w:rPr>
                <w:sz w:val="21"/>
                <w:szCs w:val="21"/>
                <w:spacing w:val="2"/>
              </w:rPr>
              <w:t xml:space="preserve"> </w:t>
            </w:r>
            <w:r>
              <w:rPr>
                <w:sz w:val="21"/>
                <w:szCs w:val="21"/>
                <w:spacing w:val="4"/>
              </w:rPr>
              <w:t>防控</w:t>
            </w:r>
          </w:p>
        </w:tc>
        <w:tc>
          <w:tcPr>
            <w:tcW w:w="7374" w:type="dxa"/>
            <w:vAlign w:val="top"/>
          </w:tcPr>
          <w:p>
            <w:pPr>
              <w:pStyle w:val="TableText"/>
              <w:ind w:left="3592"/>
              <w:spacing w:before="189" w:line="241" w:lineRule="auto"/>
              <w:rPr>
                <w:sz w:val="21"/>
                <w:szCs w:val="21"/>
              </w:rPr>
            </w:pPr>
            <w:r>
              <w:rPr>
                <w:sz w:val="21"/>
                <w:szCs w:val="21"/>
              </w:rPr>
              <w:t>I</w:t>
            </w:r>
          </w:p>
        </w:tc>
        <w:tc>
          <w:tcPr>
            <w:tcW w:w="3178" w:type="dxa"/>
            <w:vAlign w:val="top"/>
            <w:textDirection w:val="tbRlV"/>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pStyle w:val="TableText"/>
              <w:ind w:left="140"/>
              <w:spacing w:before="70" w:line="137" w:lineRule="exact"/>
              <w:rPr>
                <w:sz w:val="21"/>
                <w:szCs w:val="21"/>
              </w:rPr>
            </w:pPr>
            <w:r>
              <w:rPr>
                <w:sz w:val="21"/>
                <w:szCs w:val="21"/>
                <w:color w:val="403040"/>
                <w:spacing w:val="52"/>
                <w:w w:val="141"/>
                <w:position w:val="-1"/>
              </w:rPr>
              <w:t>/</w:t>
            </w:r>
          </w:p>
        </w:tc>
        <w:tc>
          <w:tcPr>
            <w:tcW w:w="645" w:type="dxa"/>
            <w:vAlign w:val="top"/>
          </w:tcPr>
          <w:p>
            <w:pPr>
              <w:pStyle w:val="TableText"/>
              <w:ind w:left="259"/>
              <w:spacing w:before="174" w:line="224" w:lineRule="auto"/>
              <w:rPr>
                <w:sz w:val="21"/>
                <w:szCs w:val="21"/>
              </w:rPr>
            </w:pPr>
            <w:r>
              <w:rPr>
                <w:sz w:val="21"/>
                <w:szCs w:val="21"/>
                <w:color w:val="404050"/>
              </w:rPr>
              <w:t>/</w:t>
            </w:r>
          </w:p>
        </w:tc>
      </w:tr>
      <w:tr>
        <w:trPr>
          <w:trHeight w:val="295" w:hRule="atLeast"/>
        </w:trPr>
        <w:tc>
          <w:tcPr>
            <w:tcW w:w="1084" w:type="dxa"/>
            <w:vAlign w:val="top"/>
            <w:vMerge w:val="continue"/>
            <w:tcBorders>
              <w:top w:val="nil"/>
            </w:tcBorders>
          </w:tcPr>
          <w:p>
            <w:pPr>
              <w:rPr>
                <w:rFonts w:ascii="Arial"/>
                <w:sz w:val="21"/>
              </w:rPr>
            </w:pPr>
            <w:r/>
          </w:p>
        </w:tc>
        <w:tc>
          <w:tcPr>
            <w:tcW w:w="290" w:type="dxa"/>
            <w:vAlign w:val="top"/>
            <w:vMerge w:val="continue"/>
            <w:textDirection w:val="tbRlV"/>
            <w:tcBorders>
              <w:top w:val="nil"/>
            </w:tcBorders>
          </w:tcPr>
          <w:p>
            <w:pPr>
              <w:rPr>
                <w:rFonts w:ascii="Arial"/>
                <w:sz w:val="21"/>
              </w:rPr>
            </w:pPr>
            <w:r/>
          </w:p>
        </w:tc>
        <w:tc>
          <w:tcPr>
            <w:tcW w:w="859" w:type="dxa"/>
            <w:vAlign w:val="top"/>
          </w:tcPr>
          <w:p>
            <w:pPr>
              <w:pStyle w:val="TableText"/>
              <w:spacing w:before="50" w:line="206" w:lineRule="auto"/>
              <w:jc w:val="right"/>
              <w:rPr>
                <w:sz w:val="21"/>
                <w:szCs w:val="21"/>
              </w:rPr>
            </w:pPr>
            <w:r>
              <w:rPr>
                <w:sz w:val="21"/>
                <w:szCs w:val="21"/>
                <w:spacing w:val="-1"/>
              </w:rPr>
              <w:t>资源开发</w:t>
            </w:r>
          </w:p>
        </w:tc>
        <w:tc>
          <w:tcPr>
            <w:tcW w:w="7374" w:type="dxa"/>
            <w:vAlign w:val="top"/>
          </w:tcPr>
          <w:p>
            <w:pPr>
              <w:pStyle w:val="TableText"/>
              <w:ind w:left="14"/>
              <w:spacing w:before="46" w:line="210" w:lineRule="auto"/>
              <w:rPr>
                <w:sz w:val="21"/>
                <w:szCs w:val="21"/>
              </w:rPr>
            </w:pPr>
            <w:r>
              <w:rPr>
                <w:sz w:val="21"/>
                <w:szCs w:val="21"/>
                <w:b/>
                <w:bCs/>
                <w:spacing w:val="-4"/>
              </w:rPr>
              <w:t>土地资源开发效率要求</w:t>
            </w:r>
          </w:p>
        </w:tc>
        <w:tc>
          <w:tcPr>
            <w:tcW w:w="3178" w:type="dxa"/>
            <w:vAlign w:val="top"/>
          </w:tcPr>
          <w:p>
            <w:pPr>
              <w:pStyle w:val="TableText"/>
              <w:ind w:left="117"/>
              <w:spacing w:before="49" w:line="207" w:lineRule="auto"/>
              <w:rPr>
                <w:sz w:val="21"/>
                <w:szCs w:val="21"/>
              </w:rPr>
            </w:pPr>
            <w:r>
              <w:rPr>
                <w:sz w:val="21"/>
                <w:szCs w:val="21"/>
              </w:rPr>
              <w:t>同普适性清单管控要求相关内容</w:t>
            </w:r>
          </w:p>
        </w:tc>
        <w:tc>
          <w:tcPr>
            <w:tcW w:w="645" w:type="dxa"/>
            <w:vAlign w:val="top"/>
          </w:tcPr>
          <w:p>
            <w:pPr>
              <w:pStyle w:val="TableText"/>
              <w:ind w:left="110"/>
              <w:spacing w:before="49" w:line="207" w:lineRule="auto"/>
              <w:rPr>
                <w:sz w:val="21"/>
                <w:szCs w:val="21"/>
              </w:rPr>
            </w:pPr>
            <w:r>
              <w:rPr>
                <w:sz w:val="21"/>
                <w:szCs w:val="21"/>
                <w:color w:val="504050"/>
                <w:spacing w:val="-3"/>
              </w:rPr>
              <w:t>符合</w:t>
            </w:r>
          </w:p>
        </w:tc>
      </w:tr>
    </w:tbl>
    <w:p>
      <w:pPr>
        <w:pStyle w:val="BodyText"/>
        <w:rPr/>
      </w:pPr>
      <w:r/>
    </w:p>
    <w:p>
      <w:pPr>
        <w:sectPr>
          <w:headerReference w:type="default" r:id="rId107"/>
          <w:footerReference w:type="default" r:id="rId115"/>
          <w:pgSz w:w="16840" w:h="11910"/>
          <w:pgMar w:top="1177" w:right="1724" w:bottom="953" w:left="1674" w:header="885" w:footer="706" w:gutter="0"/>
        </w:sectPr>
        <w:rPr/>
      </w:pPr>
    </w:p>
    <w:p>
      <w:pPr>
        <w:spacing w:before="23"/>
        <w:rPr/>
      </w:pPr>
      <w:r/>
    </w:p>
    <w:tbl>
      <w:tblPr>
        <w:tblStyle w:val="TableNormal"/>
        <w:tblW w:w="1343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84"/>
        <w:gridCol w:w="290"/>
        <w:gridCol w:w="859"/>
        <w:gridCol w:w="7374"/>
        <w:gridCol w:w="3178"/>
        <w:gridCol w:w="645"/>
      </w:tblGrid>
      <w:tr>
        <w:trPr>
          <w:trHeight w:val="285" w:hRule="atLeast"/>
        </w:trPr>
        <w:tc>
          <w:tcPr>
            <w:shd w:val="clear" w:fill="BDBDBD"/>
            <w:tcW w:w="9607" w:type="dxa"/>
            <w:vAlign w:val="top"/>
            <w:gridSpan w:val="4"/>
          </w:tcPr>
          <w:p>
            <w:pPr>
              <w:pStyle w:val="TableText"/>
              <w:ind w:left="3643"/>
              <w:spacing w:before="40" w:line="206" w:lineRule="auto"/>
              <w:rPr>
                <w:sz w:val="21"/>
                <w:szCs w:val="21"/>
              </w:rPr>
            </w:pPr>
            <w:r>
              <w:rPr>
                <w:sz w:val="21"/>
                <w:szCs w:val="21"/>
                <w:b/>
                <w:bCs/>
                <w:spacing w:val="7"/>
              </w:rPr>
              <w:t>“三线一单”的具体要求</w:t>
            </w:r>
          </w:p>
        </w:tc>
        <w:tc>
          <w:tcPr>
            <w:shd w:val="clear" w:fill="BDBDBD"/>
            <w:tcW w:w="3178" w:type="dxa"/>
            <w:vAlign w:val="top"/>
            <w:vMerge w:val="restart"/>
            <w:tcBorders>
              <w:bottom w:val="nil"/>
            </w:tcBorders>
          </w:tcPr>
          <w:p>
            <w:pPr>
              <w:pStyle w:val="TableText"/>
              <w:ind w:left="750"/>
              <w:spacing w:before="169" w:line="219" w:lineRule="auto"/>
              <w:rPr>
                <w:sz w:val="21"/>
                <w:szCs w:val="21"/>
              </w:rPr>
            </w:pPr>
            <w:r>
              <w:rPr>
                <w:sz w:val="21"/>
                <w:szCs w:val="21"/>
                <w:b/>
                <w:bCs/>
                <w:spacing w:val="-1"/>
              </w:rPr>
              <w:t>项目对应情况介绍</w:t>
            </w:r>
          </w:p>
        </w:tc>
        <w:tc>
          <w:tcPr>
            <w:shd w:val="clear" w:fill="BDBDBD"/>
            <w:tcW w:w="645" w:type="dxa"/>
            <w:vAlign w:val="top"/>
            <w:vMerge w:val="restart"/>
            <w:tcBorders>
              <w:bottom w:val="nil"/>
            </w:tcBorders>
          </w:tcPr>
          <w:p>
            <w:pPr>
              <w:pStyle w:val="TableText"/>
              <w:ind w:left="111" w:hanging="88"/>
              <w:spacing w:before="30" w:line="226" w:lineRule="auto"/>
              <w:rPr>
                <w:sz w:val="21"/>
                <w:szCs w:val="21"/>
              </w:rPr>
            </w:pPr>
            <w:r>
              <w:rPr>
                <w:sz w:val="21"/>
                <w:szCs w:val="21"/>
                <w:b/>
                <w:bCs/>
                <w:spacing w:val="-9"/>
              </w:rPr>
              <w:t>符合性</w:t>
            </w:r>
            <w:r>
              <w:rPr>
                <w:sz w:val="21"/>
                <w:szCs w:val="21"/>
                <w:spacing w:val="1"/>
              </w:rPr>
              <w:t xml:space="preserve"> </w:t>
            </w:r>
            <w:r>
              <w:rPr>
                <w:sz w:val="21"/>
                <w:szCs w:val="21"/>
                <w:b/>
                <w:bCs/>
                <w:spacing w:val="-7"/>
              </w:rPr>
              <w:t>分析</w:t>
            </w:r>
          </w:p>
        </w:tc>
      </w:tr>
      <w:tr>
        <w:trPr>
          <w:trHeight w:val="260" w:hRule="atLeast"/>
        </w:trPr>
        <w:tc>
          <w:tcPr>
            <w:shd w:val="clear" w:fill="BDBDBD"/>
            <w:tcW w:w="2233" w:type="dxa"/>
            <w:vAlign w:val="top"/>
            <w:gridSpan w:val="3"/>
          </w:tcPr>
          <w:p>
            <w:pPr>
              <w:pStyle w:val="TableText"/>
              <w:ind w:left="898"/>
              <w:spacing w:before="25" w:line="197" w:lineRule="auto"/>
              <w:rPr>
                <w:sz w:val="21"/>
                <w:szCs w:val="21"/>
              </w:rPr>
            </w:pPr>
            <w:r>
              <w:rPr>
                <w:sz w:val="21"/>
                <w:szCs w:val="21"/>
                <w:b/>
                <w:bCs/>
                <w:spacing w:val="-5"/>
              </w:rPr>
              <w:t>类别</w:t>
            </w:r>
          </w:p>
        </w:tc>
        <w:tc>
          <w:tcPr>
            <w:shd w:val="clear" w:fill="BDBDBD"/>
            <w:tcW w:w="7374" w:type="dxa"/>
            <w:vAlign w:val="top"/>
          </w:tcPr>
          <w:p>
            <w:pPr>
              <w:pStyle w:val="TableText"/>
              <w:ind w:left="3055"/>
              <w:spacing w:before="25" w:line="197" w:lineRule="auto"/>
              <w:rPr>
                <w:sz w:val="21"/>
                <w:szCs w:val="21"/>
              </w:rPr>
            </w:pPr>
            <w:r>
              <w:rPr>
                <w:sz w:val="21"/>
                <w:szCs w:val="21"/>
                <w:b/>
                <w:bCs/>
                <w:spacing w:val="-4"/>
              </w:rPr>
              <w:t>对应管控要求</w:t>
            </w:r>
          </w:p>
        </w:tc>
        <w:tc>
          <w:tcPr>
            <w:tcW w:w="3178" w:type="dxa"/>
            <w:vAlign w:val="top"/>
            <w:vMerge w:val="continue"/>
            <w:tcBorders>
              <w:top w:val="nil"/>
            </w:tcBorders>
          </w:tcPr>
          <w:p>
            <w:pPr>
              <w:rPr>
                <w:rFonts w:ascii="Arial"/>
                <w:sz w:val="21"/>
              </w:rPr>
            </w:pPr>
            <w:r/>
          </w:p>
        </w:tc>
        <w:tc>
          <w:tcPr>
            <w:tcW w:w="645" w:type="dxa"/>
            <w:vAlign w:val="top"/>
            <w:vMerge w:val="continue"/>
            <w:tcBorders>
              <w:top w:val="nil"/>
            </w:tcBorders>
          </w:tcPr>
          <w:p>
            <w:pPr>
              <w:rPr>
                <w:rFonts w:ascii="Arial"/>
                <w:sz w:val="21"/>
              </w:rPr>
            </w:pPr>
            <w:r/>
          </w:p>
        </w:tc>
      </w:tr>
      <w:tr>
        <w:trPr>
          <w:trHeight w:val="819" w:hRule="atLeast"/>
        </w:trPr>
        <w:tc>
          <w:tcPr>
            <w:tcW w:w="1084" w:type="dxa"/>
            <w:vAlign w:val="top"/>
          </w:tcPr>
          <w:p>
            <w:pPr>
              <w:rPr>
                <w:rFonts w:ascii="Arial"/>
                <w:sz w:val="21"/>
              </w:rPr>
            </w:pPr>
            <w:r/>
          </w:p>
        </w:tc>
        <w:tc>
          <w:tcPr>
            <w:tcW w:w="290" w:type="dxa"/>
            <w:vAlign w:val="top"/>
          </w:tcPr>
          <w:p>
            <w:pPr>
              <w:pStyle w:val="TableText"/>
              <w:ind w:left="31"/>
              <w:spacing w:before="39" w:line="221" w:lineRule="auto"/>
              <w:rPr>
                <w:sz w:val="21"/>
                <w:szCs w:val="21"/>
              </w:rPr>
            </w:pPr>
            <w:r>
              <w:rPr>
                <w:sz w:val="21"/>
                <w:szCs w:val="21"/>
              </w:rPr>
              <w:t>求</w:t>
            </w:r>
          </w:p>
        </w:tc>
        <w:tc>
          <w:tcPr>
            <w:tcW w:w="859" w:type="dxa"/>
            <w:vAlign w:val="top"/>
          </w:tcPr>
          <w:p>
            <w:pPr>
              <w:pStyle w:val="TableText"/>
              <w:spacing w:before="48" w:line="219" w:lineRule="auto"/>
              <w:jc w:val="right"/>
              <w:rPr>
                <w:sz w:val="21"/>
                <w:szCs w:val="21"/>
              </w:rPr>
            </w:pPr>
            <w:r>
              <w:rPr>
                <w:sz w:val="21"/>
                <w:szCs w:val="21"/>
                <w:spacing w:val="-1"/>
              </w:rPr>
              <w:t>效率要求</w:t>
            </w:r>
          </w:p>
        </w:tc>
        <w:tc>
          <w:tcPr>
            <w:tcW w:w="7374" w:type="dxa"/>
            <w:vAlign w:val="top"/>
          </w:tcPr>
          <w:p>
            <w:pPr>
              <w:pStyle w:val="TableText"/>
              <w:ind w:left="5"/>
              <w:spacing w:before="55" w:line="219" w:lineRule="auto"/>
              <w:rPr>
                <w:sz w:val="21"/>
                <w:szCs w:val="21"/>
              </w:rPr>
            </w:pPr>
            <w:r>
              <w:rPr>
                <w:sz w:val="21"/>
                <w:szCs w:val="21"/>
                <w:b/>
                <w:bCs/>
                <w:spacing w:val="-2"/>
              </w:rPr>
              <w:t>能源资源开发效率要求</w:t>
            </w:r>
          </w:p>
          <w:p>
            <w:pPr>
              <w:pStyle w:val="TableText"/>
              <w:ind w:left="5" w:right="1896" w:hanging="3"/>
              <w:spacing w:before="3" w:line="220" w:lineRule="auto"/>
              <w:rPr>
                <w:sz w:val="21"/>
                <w:szCs w:val="21"/>
              </w:rPr>
            </w:pPr>
            <w:r>
              <w:rPr>
                <w:sz w:val="21"/>
                <w:szCs w:val="21"/>
              </w:rPr>
              <w:t>能源消耗、污染物排放不得超过能源利用上线控制性指标。</w:t>
            </w:r>
            <w:r>
              <w:rPr>
                <w:sz w:val="21"/>
                <w:szCs w:val="21"/>
                <w:spacing w:val="4"/>
              </w:rPr>
              <w:t xml:space="preserve"> </w:t>
            </w:r>
            <w:r>
              <w:rPr>
                <w:sz w:val="21"/>
                <w:szCs w:val="21"/>
                <w:b/>
                <w:bCs/>
                <w:spacing w:val="-4"/>
              </w:rPr>
              <w:t>其他资源开发效率要求</w:t>
            </w:r>
          </w:p>
        </w:tc>
        <w:tc>
          <w:tcPr>
            <w:tcW w:w="3178" w:type="dxa"/>
            <w:vAlign w:val="top"/>
          </w:tcPr>
          <w:p>
            <w:pPr>
              <w:rPr>
                <w:rFonts w:ascii="Arial"/>
                <w:sz w:val="21"/>
              </w:rPr>
            </w:pPr>
            <w:r/>
          </w:p>
        </w:tc>
        <w:tc>
          <w:tcPr>
            <w:tcW w:w="645" w:type="dxa"/>
            <w:vAlign w:val="top"/>
          </w:tcPr>
          <w:p>
            <w:pPr>
              <w:rPr>
                <w:rFonts w:ascii="Arial"/>
                <w:sz w:val="21"/>
              </w:rPr>
            </w:pPr>
            <w:r/>
          </w:p>
        </w:tc>
      </w:tr>
      <w:tr>
        <w:trPr>
          <w:trHeight w:val="1098" w:hRule="atLeast"/>
        </w:trPr>
        <w:tc>
          <w:tcPr>
            <w:tcW w:w="1084" w:type="dxa"/>
            <w:vAlign w:val="top"/>
            <w:vMerge w:val="restart"/>
            <w:tcBorders>
              <w:bottom w:val="nil"/>
            </w:tcBorders>
          </w:tcPr>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pStyle w:val="TableText"/>
              <w:ind w:left="15" w:firstLine="2"/>
              <w:spacing w:before="68" w:line="242" w:lineRule="auto"/>
              <w:rPr>
                <w:sz w:val="21"/>
                <w:szCs w:val="21"/>
              </w:rPr>
            </w:pPr>
            <w:r>
              <w:rPr>
                <w:sz w:val="21"/>
                <w:szCs w:val="21"/>
                <w:b/>
                <w:bCs/>
                <w:spacing w:val="-6"/>
              </w:rPr>
              <w:t>环境管控单</w:t>
            </w:r>
            <w:r>
              <w:rPr>
                <w:sz w:val="21"/>
                <w:szCs w:val="21"/>
              </w:rPr>
              <w:t xml:space="preserve"> </w:t>
            </w:r>
            <w:r>
              <w:rPr>
                <w:sz w:val="21"/>
                <w:szCs w:val="21"/>
                <w:b/>
                <w:bCs/>
                <w:spacing w:val="-23"/>
              </w:rPr>
              <w:t>元分类</w:t>
            </w:r>
            <w:r>
              <w:rPr>
                <w:sz w:val="21"/>
                <w:szCs w:val="21"/>
                <w:spacing w:val="-52"/>
              </w:rPr>
              <w:t xml:space="preserve"> </w:t>
            </w:r>
            <w:r>
              <w:rPr>
                <w:sz w:val="21"/>
                <w:szCs w:val="21"/>
                <w:b/>
                <w:bCs/>
                <w:spacing w:val="-23"/>
              </w:rPr>
              <w:t>：</w:t>
            </w:r>
            <w:r>
              <w:rPr>
                <w:sz w:val="21"/>
                <w:szCs w:val="21"/>
                <w:spacing w:val="-23"/>
              </w:rPr>
              <w:t>自</w:t>
            </w:r>
            <w:r>
              <w:rPr>
                <w:sz w:val="21"/>
                <w:szCs w:val="21"/>
              </w:rPr>
              <w:t xml:space="preserve"> </w:t>
            </w:r>
            <w:r>
              <w:rPr>
                <w:sz w:val="21"/>
                <w:szCs w:val="21"/>
                <w:spacing w:val="1"/>
              </w:rPr>
              <w:t>然资源重点</w:t>
            </w:r>
            <w:r>
              <w:rPr>
                <w:sz w:val="21"/>
                <w:szCs w:val="21"/>
                <w:spacing w:val="2"/>
              </w:rPr>
              <w:t xml:space="preserve"> </w:t>
            </w:r>
            <w:r>
              <w:rPr>
                <w:sz w:val="21"/>
                <w:szCs w:val="21"/>
                <w:spacing w:val="4"/>
              </w:rPr>
              <w:t>管控区</w:t>
            </w:r>
          </w:p>
          <w:p>
            <w:pPr>
              <w:pStyle w:val="TableText"/>
              <w:ind w:left="18" w:right="14"/>
              <w:spacing w:before="1" w:line="239" w:lineRule="auto"/>
              <w:rPr>
                <w:sz w:val="21"/>
                <w:szCs w:val="21"/>
              </w:rPr>
            </w:pPr>
            <w:r>
              <w:rPr>
                <w:sz w:val="21"/>
                <w:szCs w:val="21"/>
                <w:b/>
                <w:bCs/>
                <w:spacing w:val="-4"/>
              </w:rPr>
              <w:t>环境管控单</w:t>
            </w:r>
            <w:r>
              <w:rPr>
                <w:sz w:val="21"/>
                <w:szCs w:val="21"/>
              </w:rPr>
              <w:t xml:space="preserve"> </w:t>
            </w:r>
            <w:r>
              <w:rPr>
                <w:sz w:val="21"/>
                <w:szCs w:val="21"/>
                <w:b/>
                <w:bCs/>
                <w:spacing w:val="-5"/>
              </w:rPr>
              <w:t>元编码：</w:t>
            </w:r>
          </w:p>
          <w:p>
            <w:pPr>
              <w:pStyle w:val="TableText"/>
              <w:ind w:left="15" w:right="118"/>
              <w:spacing w:before="70" w:line="183" w:lineRule="auto"/>
              <w:rPr>
                <w:sz w:val="21"/>
                <w:szCs w:val="21"/>
              </w:rPr>
            </w:pPr>
            <w:r>
              <w:rPr>
                <w:sz w:val="21"/>
                <w:szCs w:val="21"/>
                <w:spacing w:val="-1"/>
              </w:rPr>
              <w:t>YS5107052</w:t>
            </w:r>
            <w:r>
              <w:rPr>
                <w:sz w:val="21"/>
                <w:szCs w:val="21"/>
                <w:spacing w:val="3"/>
              </w:rPr>
              <w:t xml:space="preserve"> </w:t>
            </w:r>
            <w:r>
              <w:rPr>
                <w:sz w:val="21"/>
                <w:szCs w:val="21"/>
                <w:spacing w:val="-2"/>
              </w:rPr>
              <w:t>550001</w:t>
            </w:r>
          </w:p>
          <w:p>
            <w:pPr>
              <w:pStyle w:val="TableText"/>
              <w:ind w:left="15" w:firstLine="2"/>
              <w:spacing w:before="4"/>
              <w:jc w:val="both"/>
              <w:rPr>
                <w:sz w:val="21"/>
                <w:szCs w:val="21"/>
              </w:rPr>
            </w:pPr>
            <w:r>
              <w:rPr>
                <w:sz w:val="21"/>
                <w:szCs w:val="21"/>
                <w:b/>
                <w:bCs/>
                <w:spacing w:val="-6"/>
              </w:rPr>
              <w:t>环境管控单</w:t>
            </w:r>
            <w:r>
              <w:rPr>
                <w:sz w:val="21"/>
                <w:szCs w:val="21"/>
                <w:spacing w:val="3"/>
              </w:rPr>
              <w:t xml:space="preserve"> </w:t>
            </w:r>
            <w:r>
              <w:rPr>
                <w:sz w:val="21"/>
                <w:szCs w:val="21"/>
                <w:b/>
                <w:bCs/>
                <w:spacing w:val="-16"/>
              </w:rPr>
              <w:t>元名称</w:t>
            </w:r>
            <w:r>
              <w:rPr>
                <w:sz w:val="21"/>
                <w:szCs w:val="21"/>
                <w:spacing w:val="-54"/>
              </w:rPr>
              <w:t xml:space="preserve"> </w:t>
            </w:r>
            <w:r>
              <w:rPr>
                <w:sz w:val="21"/>
                <w:szCs w:val="21"/>
                <w:b/>
                <w:bCs/>
                <w:spacing w:val="-16"/>
              </w:rPr>
              <w:t>：</w:t>
            </w:r>
            <w:r>
              <w:rPr>
                <w:sz w:val="21"/>
                <w:szCs w:val="21"/>
                <w:spacing w:val="-16"/>
              </w:rPr>
              <w:t>安</w:t>
            </w:r>
            <w:r>
              <w:rPr>
                <w:sz w:val="21"/>
                <w:szCs w:val="21"/>
              </w:rPr>
              <w:t xml:space="preserve"> </w:t>
            </w:r>
            <w:r>
              <w:rPr>
                <w:sz w:val="21"/>
                <w:szCs w:val="21"/>
                <w:spacing w:val="1"/>
              </w:rPr>
              <w:t>州区自然资</w:t>
            </w:r>
            <w:r>
              <w:rPr>
                <w:sz w:val="21"/>
                <w:szCs w:val="21"/>
                <w:spacing w:val="2"/>
              </w:rPr>
              <w:t xml:space="preserve"> </w:t>
            </w:r>
            <w:r>
              <w:rPr>
                <w:sz w:val="21"/>
                <w:szCs w:val="21"/>
                <w:spacing w:val="-3"/>
              </w:rPr>
              <w:t>源重点管控</w:t>
            </w:r>
            <w:r>
              <w:rPr>
                <w:sz w:val="21"/>
                <w:szCs w:val="21"/>
              </w:rPr>
              <w:t xml:space="preserve"> </w:t>
            </w:r>
            <w:r>
              <w:rPr>
                <w:sz w:val="21"/>
                <w:szCs w:val="21"/>
              </w:rPr>
              <w:t>区</w:t>
            </w:r>
          </w:p>
        </w:tc>
        <w:tc>
          <w:tcPr>
            <w:tcW w:w="290" w:type="dxa"/>
            <w:vAlign w:val="top"/>
            <w:vMerge w:val="restart"/>
            <w:textDirection w:val="tbRlV"/>
            <w:tcBorders>
              <w:bottom w:val="nil"/>
            </w:tcBorders>
          </w:tcPr>
          <w:p>
            <w:pPr>
              <w:pStyle w:val="TableText"/>
              <w:ind w:left="690"/>
              <w:spacing w:before="46" w:line="202" w:lineRule="auto"/>
              <w:rPr>
                <w:sz w:val="21"/>
                <w:szCs w:val="21"/>
              </w:rPr>
            </w:pPr>
            <w:r>
              <w:rPr>
                <w:sz w:val="21"/>
                <w:szCs w:val="21"/>
              </w:rPr>
              <w:t>普</w:t>
            </w:r>
            <w:r>
              <w:rPr>
                <w:sz w:val="21"/>
                <w:szCs w:val="21"/>
                <w:spacing w:val="-35"/>
              </w:rPr>
              <w:t xml:space="preserve"> </w:t>
            </w:r>
            <w:r>
              <w:rPr>
                <w:sz w:val="21"/>
                <w:szCs w:val="21"/>
              </w:rPr>
              <w:t>适</w:t>
            </w:r>
            <w:r>
              <w:rPr>
                <w:sz w:val="21"/>
                <w:szCs w:val="21"/>
                <w:spacing w:val="-35"/>
              </w:rPr>
              <w:t xml:space="preserve"> </w:t>
            </w:r>
            <w:r>
              <w:rPr>
                <w:sz w:val="21"/>
                <w:szCs w:val="21"/>
              </w:rPr>
              <w:t>性</w:t>
            </w:r>
            <w:r>
              <w:rPr>
                <w:sz w:val="21"/>
                <w:szCs w:val="21"/>
                <w:spacing w:val="-34"/>
              </w:rPr>
              <w:t xml:space="preserve"> </w:t>
            </w:r>
            <w:r>
              <w:rPr>
                <w:sz w:val="21"/>
                <w:szCs w:val="21"/>
              </w:rPr>
              <w:t>清</w:t>
            </w:r>
            <w:r>
              <w:rPr>
                <w:sz w:val="21"/>
                <w:szCs w:val="21"/>
                <w:spacing w:val="-35"/>
              </w:rPr>
              <w:t xml:space="preserve"> </w:t>
            </w:r>
            <w:r>
              <w:rPr>
                <w:sz w:val="21"/>
                <w:szCs w:val="21"/>
              </w:rPr>
              <w:t>单</w:t>
            </w:r>
            <w:r>
              <w:rPr>
                <w:sz w:val="21"/>
                <w:szCs w:val="21"/>
                <w:spacing w:val="-34"/>
              </w:rPr>
              <w:t xml:space="preserve"> </w:t>
            </w:r>
            <w:r>
              <w:rPr>
                <w:sz w:val="21"/>
                <w:szCs w:val="21"/>
              </w:rPr>
              <w:t>管</w:t>
            </w:r>
            <w:r>
              <w:rPr>
                <w:sz w:val="21"/>
                <w:szCs w:val="21"/>
                <w:spacing w:val="-34"/>
              </w:rPr>
              <w:t xml:space="preserve"> </w:t>
            </w:r>
            <w:r>
              <w:rPr>
                <w:sz w:val="21"/>
                <w:szCs w:val="21"/>
              </w:rPr>
              <w:t>控</w:t>
            </w:r>
            <w:r>
              <w:rPr>
                <w:sz w:val="21"/>
                <w:szCs w:val="21"/>
                <w:spacing w:val="-34"/>
              </w:rPr>
              <w:t xml:space="preserve"> </w:t>
            </w:r>
            <w:r>
              <w:rPr>
                <w:sz w:val="21"/>
                <w:szCs w:val="21"/>
              </w:rPr>
              <w:t>要</w:t>
            </w:r>
            <w:r>
              <w:rPr>
                <w:sz w:val="21"/>
                <w:szCs w:val="21"/>
                <w:spacing w:val="-35"/>
              </w:rPr>
              <w:t xml:space="preserve"> </w:t>
            </w:r>
            <w:r>
              <w:rPr>
                <w:sz w:val="21"/>
                <w:szCs w:val="21"/>
              </w:rPr>
              <w:t>求</w:t>
            </w:r>
          </w:p>
        </w:tc>
        <w:tc>
          <w:tcPr>
            <w:tcW w:w="859" w:type="dxa"/>
            <w:vAlign w:val="top"/>
          </w:tcPr>
          <w:p>
            <w:pPr>
              <w:spacing w:line="249" w:lineRule="auto"/>
              <w:rPr>
                <w:rFonts w:ascii="Arial"/>
                <w:sz w:val="21"/>
              </w:rPr>
            </w:pPr>
            <w:r/>
          </w:p>
          <w:p>
            <w:pPr>
              <w:pStyle w:val="TableText"/>
              <w:ind w:left="205" w:hanging="195"/>
              <w:spacing w:before="69" w:line="222" w:lineRule="auto"/>
              <w:rPr>
                <w:sz w:val="21"/>
                <w:szCs w:val="21"/>
              </w:rPr>
            </w:pPr>
            <w:r>
              <w:rPr>
                <w:sz w:val="21"/>
                <w:szCs w:val="21"/>
                <w:spacing w:val="-1"/>
              </w:rPr>
              <w:t>空间布局</w:t>
            </w:r>
            <w:r>
              <w:rPr>
                <w:sz w:val="21"/>
                <w:szCs w:val="21"/>
                <w:spacing w:val="1"/>
              </w:rPr>
              <w:t xml:space="preserve"> </w:t>
            </w:r>
            <w:r>
              <w:rPr>
                <w:sz w:val="21"/>
                <w:szCs w:val="21"/>
              </w:rPr>
              <w:t>约束</w:t>
            </w:r>
          </w:p>
        </w:tc>
        <w:tc>
          <w:tcPr>
            <w:tcW w:w="7374" w:type="dxa"/>
            <w:vAlign w:val="top"/>
          </w:tcPr>
          <w:p>
            <w:pPr>
              <w:pStyle w:val="TableText"/>
              <w:ind w:left="5"/>
              <w:spacing w:before="26" w:line="219" w:lineRule="auto"/>
              <w:rPr>
                <w:sz w:val="21"/>
                <w:szCs w:val="21"/>
              </w:rPr>
            </w:pPr>
            <w:r>
              <w:rPr>
                <w:sz w:val="21"/>
                <w:szCs w:val="21"/>
                <w:b/>
                <w:bCs/>
                <w:spacing w:val="-3"/>
              </w:rPr>
              <w:t>禁止开发建设活动的要求：暂无</w:t>
            </w:r>
          </w:p>
          <w:p>
            <w:pPr>
              <w:pStyle w:val="TableText"/>
              <w:ind w:left="5"/>
              <w:spacing w:before="41" w:line="220" w:lineRule="auto"/>
              <w:rPr>
                <w:sz w:val="21"/>
                <w:szCs w:val="21"/>
              </w:rPr>
            </w:pPr>
            <w:r>
              <w:rPr>
                <w:sz w:val="21"/>
                <w:szCs w:val="21"/>
                <w:b/>
                <w:bCs/>
                <w:spacing w:val="-3"/>
              </w:rPr>
              <w:t>限制开发建设活动的要求：暂无</w:t>
            </w:r>
          </w:p>
          <w:p>
            <w:pPr>
              <w:pStyle w:val="TableText"/>
              <w:ind w:left="5"/>
              <w:spacing w:before="17" w:line="219" w:lineRule="auto"/>
              <w:rPr>
                <w:sz w:val="21"/>
                <w:szCs w:val="21"/>
              </w:rPr>
            </w:pPr>
            <w:r>
              <w:rPr>
                <w:sz w:val="21"/>
                <w:szCs w:val="21"/>
                <w:b/>
                <w:bCs/>
                <w:spacing w:val="-3"/>
              </w:rPr>
              <w:t>不符合空间布局要求活动的退出要求：暂无</w:t>
            </w:r>
          </w:p>
          <w:p>
            <w:pPr>
              <w:pStyle w:val="TableText"/>
              <w:ind w:left="5"/>
              <w:spacing w:before="21" w:line="204" w:lineRule="auto"/>
              <w:rPr>
                <w:sz w:val="21"/>
                <w:szCs w:val="21"/>
              </w:rPr>
            </w:pPr>
            <w:r>
              <w:rPr>
                <w:sz w:val="21"/>
                <w:szCs w:val="21"/>
                <w:b/>
                <w:bCs/>
                <w:spacing w:val="-3"/>
              </w:rPr>
              <w:t>其他空间布局约束要求：暂无</w:t>
            </w:r>
          </w:p>
        </w:tc>
        <w:tc>
          <w:tcPr>
            <w:tcW w:w="3178" w:type="dxa"/>
            <w:vAlign w:val="top"/>
            <w:textDirection w:val="tbRlV"/>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pStyle w:val="TableText"/>
              <w:ind w:left="421"/>
              <w:spacing w:before="70" w:line="137" w:lineRule="exact"/>
              <w:rPr>
                <w:sz w:val="21"/>
                <w:szCs w:val="21"/>
              </w:rPr>
            </w:pPr>
            <w:r>
              <w:rPr>
                <w:sz w:val="21"/>
                <w:szCs w:val="21"/>
                <w:color w:val="403040"/>
                <w:spacing w:val="52"/>
                <w:w w:val="141"/>
                <w:position w:val="-1"/>
              </w:rPr>
              <w:t>/</w:t>
            </w:r>
          </w:p>
        </w:tc>
        <w:tc>
          <w:tcPr>
            <w:tcW w:w="645" w:type="dxa"/>
            <w:vAlign w:val="top"/>
          </w:tcPr>
          <w:p>
            <w:pPr>
              <w:spacing w:line="385" w:lineRule="auto"/>
              <w:rPr>
                <w:rFonts w:ascii="Arial"/>
                <w:sz w:val="21"/>
              </w:rPr>
            </w:pPr>
            <w:r/>
          </w:p>
          <w:p>
            <w:pPr>
              <w:pStyle w:val="TableText"/>
              <w:ind w:left="259"/>
              <w:spacing w:before="68" w:line="224" w:lineRule="auto"/>
              <w:rPr>
                <w:sz w:val="21"/>
                <w:szCs w:val="21"/>
              </w:rPr>
            </w:pPr>
            <w:r>
              <w:rPr>
                <w:sz w:val="21"/>
                <w:szCs w:val="21"/>
                <w:color w:val="404050"/>
              </w:rPr>
              <w:t>/</w:t>
            </w:r>
          </w:p>
        </w:tc>
      </w:tr>
      <w:tr>
        <w:trPr>
          <w:trHeight w:val="799" w:hRule="atLeast"/>
        </w:trPr>
        <w:tc>
          <w:tcPr>
            <w:tcW w:w="1084" w:type="dxa"/>
            <w:vAlign w:val="top"/>
            <w:vMerge w:val="continue"/>
            <w:tcBorders>
              <w:top w:val="nil"/>
              <w:bottom w:val="nil"/>
            </w:tcBorders>
          </w:tcPr>
          <w:p>
            <w:pPr>
              <w:rPr>
                <w:rFonts w:ascii="Arial"/>
                <w:sz w:val="21"/>
              </w:rPr>
            </w:pPr>
            <w:r/>
          </w:p>
        </w:tc>
        <w:tc>
          <w:tcPr>
            <w:tcW w:w="290" w:type="dxa"/>
            <w:vAlign w:val="top"/>
            <w:vMerge w:val="continue"/>
            <w:textDirection w:val="tbRlV"/>
            <w:tcBorders>
              <w:top w:val="nil"/>
              <w:bottom w:val="nil"/>
            </w:tcBorders>
          </w:tcPr>
          <w:p>
            <w:pPr>
              <w:rPr>
                <w:rFonts w:ascii="Arial"/>
                <w:sz w:val="21"/>
              </w:rPr>
            </w:pPr>
            <w:r/>
          </w:p>
        </w:tc>
        <w:tc>
          <w:tcPr>
            <w:tcW w:w="859" w:type="dxa"/>
            <w:vAlign w:val="top"/>
          </w:tcPr>
          <w:p>
            <w:pPr>
              <w:pStyle w:val="TableText"/>
              <w:ind w:left="100" w:right="7" w:hanging="90"/>
              <w:spacing w:before="161" w:line="239" w:lineRule="auto"/>
              <w:rPr>
                <w:sz w:val="21"/>
                <w:szCs w:val="21"/>
              </w:rPr>
            </w:pPr>
            <w:r>
              <w:rPr>
                <w:sz w:val="21"/>
                <w:szCs w:val="21"/>
                <w:spacing w:val="-3"/>
              </w:rPr>
              <w:t>污染物排</w:t>
            </w:r>
            <w:r>
              <w:rPr>
                <w:sz w:val="21"/>
                <w:szCs w:val="21"/>
                <w:spacing w:val="1"/>
              </w:rPr>
              <w:t xml:space="preserve"> </w:t>
            </w:r>
            <w:r>
              <w:rPr>
                <w:sz w:val="21"/>
                <w:szCs w:val="21"/>
                <w:spacing w:val="-2"/>
              </w:rPr>
              <w:t>放管控</w:t>
            </w:r>
          </w:p>
        </w:tc>
        <w:tc>
          <w:tcPr>
            <w:tcW w:w="7374" w:type="dxa"/>
            <w:vAlign w:val="top"/>
          </w:tcPr>
          <w:p>
            <w:pPr>
              <w:pStyle w:val="TableText"/>
              <w:ind w:left="5"/>
              <w:spacing w:before="28" w:line="219" w:lineRule="auto"/>
              <w:rPr>
                <w:sz w:val="21"/>
                <w:szCs w:val="21"/>
              </w:rPr>
            </w:pPr>
            <w:r>
              <w:rPr>
                <w:sz w:val="21"/>
                <w:szCs w:val="21"/>
                <w:b/>
                <w:bCs/>
                <w:spacing w:val="-4"/>
              </w:rPr>
              <w:t>允许排放量要求：暂无</w:t>
            </w:r>
          </w:p>
          <w:p>
            <w:pPr>
              <w:pStyle w:val="TableText"/>
              <w:ind w:left="5"/>
              <w:spacing w:before="30" w:line="219" w:lineRule="auto"/>
              <w:rPr>
                <w:sz w:val="21"/>
                <w:szCs w:val="21"/>
              </w:rPr>
            </w:pPr>
            <w:r>
              <w:rPr>
                <w:sz w:val="21"/>
                <w:szCs w:val="21"/>
                <w:b/>
                <w:bCs/>
                <w:spacing w:val="-3"/>
              </w:rPr>
              <w:t>现有源提标升级改造：暂无</w:t>
            </w:r>
          </w:p>
          <w:p>
            <w:pPr>
              <w:pStyle w:val="TableText"/>
              <w:ind w:left="5"/>
              <w:spacing w:line="203" w:lineRule="auto"/>
              <w:rPr>
                <w:sz w:val="21"/>
                <w:szCs w:val="21"/>
              </w:rPr>
            </w:pPr>
            <w:r>
              <w:rPr>
                <w:sz w:val="21"/>
                <w:szCs w:val="21"/>
                <w:b/>
                <w:bCs/>
                <w:spacing w:val="-3"/>
              </w:rPr>
              <w:t>其他污染物排放管控要求：暂无</w:t>
            </w:r>
          </w:p>
        </w:tc>
        <w:tc>
          <w:tcPr>
            <w:tcW w:w="3178" w:type="dxa"/>
            <w:vAlign w:val="top"/>
            <w:textDirection w:val="tbRlV"/>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pStyle w:val="TableText"/>
              <w:ind w:left="273"/>
              <w:spacing w:before="70" w:line="137" w:lineRule="exact"/>
              <w:rPr>
                <w:sz w:val="21"/>
                <w:szCs w:val="21"/>
              </w:rPr>
            </w:pPr>
            <w:r>
              <w:rPr>
                <w:sz w:val="21"/>
                <w:szCs w:val="21"/>
                <w:spacing w:val="52"/>
                <w:w w:val="141"/>
                <w:position w:val="-1"/>
              </w:rPr>
              <w:t>/</w:t>
            </w:r>
          </w:p>
        </w:tc>
        <w:tc>
          <w:tcPr>
            <w:tcW w:w="645" w:type="dxa"/>
            <w:vAlign w:val="top"/>
          </w:tcPr>
          <w:p>
            <w:pPr>
              <w:pStyle w:val="TableText"/>
              <w:ind w:left="259"/>
              <w:spacing w:before="307" w:line="224" w:lineRule="auto"/>
              <w:rPr>
                <w:sz w:val="21"/>
                <w:szCs w:val="21"/>
              </w:rPr>
            </w:pPr>
            <w:r>
              <w:rPr>
                <w:sz w:val="21"/>
                <w:szCs w:val="21"/>
                <w:color w:val="404050"/>
              </w:rPr>
              <w:t>/</w:t>
            </w:r>
          </w:p>
        </w:tc>
      </w:tr>
      <w:tr>
        <w:trPr>
          <w:trHeight w:val="559" w:hRule="atLeast"/>
        </w:trPr>
        <w:tc>
          <w:tcPr>
            <w:tcW w:w="1084" w:type="dxa"/>
            <w:vAlign w:val="top"/>
            <w:vMerge w:val="continue"/>
            <w:tcBorders>
              <w:top w:val="nil"/>
              <w:bottom w:val="nil"/>
            </w:tcBorders>
          </w:tcPr>
          <w:p>
            <w:pPr>
              <w:rPr>
                <w:rFonts w:ascii="Arial"/>
                <w:sz w:val="21"/>
              </w:rPr>
            </w:pPr>
            <w:r/>
          </w:p>
        </w:tc>
        <w:tc>
          <w:tcPr>
            <w:tcW w:w="290" w:type="dxa"/>
            <w:vAlign w:val="top"/>
            <w:vMerge w:val="continue"/>
            <w:textDirection w:val="tbRlV"/>
            <w:tcBorders>
              <w:top w:val="nil"/>
              <w:bottom w:val="nil"/>
            </w:tcBorders>
          </w:tcPr>
          <w:p>
            <w:pPr>
              <w:rPr>
                <w:rFonts w:ascii="Arial"/>
                <w:sz w:val="21"/>
              </w:rPr>
            </w:pPr>
            <w:r/>
          </w:p>
        </w:tc>
        <w:tc>
          <w:tcPr>
            <w:tcW w:w="859" w:type="dxa"/>
            <w:vAlign w:val="top"/>
          </w:tcPr>
          <w:p>
            <w:pPr>
              <w:pStyle w:val="TableText"/>
              <w:ind w:left="210" w:right="6" w:hanging="200"/>
              <w:spacing w:before="32" w:line="227" w:lineRule="auto"/>
              <w:rPr>
                <w:sz w:val="21"/>
                <w:szCs w:val="21"/>
              </w:rPr>
            </w:pPr>
            <w:r>
              <w:rPr>
                <w:sz w:val="21"/>
                <w:szCs w:val="21"/>
                <w:spacing w:val="-3"/>
              </w:rPr>
              <w:t>环境风险</w:t>
            </w:r>
            <w:r>
              <w:rPr>
                <w:sz w:val="21"/>
                <w:szCs w:val="21"/>
                <w:spacing w:val="2"/>
              </w:rPr>
              <w:t xml:space="preserve"> </w:t>
            </w:r>
            <w:r>
              <w:rPr>
                <w:sz w:val="21"/>
                <w:szCs w:val="21"/>
                <w:spacing w:val="4"/>
              </w:rPr>
              <w:t>防控</w:t>
            </w:r>
          </w:p>
        </w:tc>
        <w:tc>
          <w:tcPr>
            <w:tcW w:w="7374" w:type="dxa"/>
            <w:vAlign w:val="top"/>
          </w:tcPr>
          <w:p>
            <w:pPr>
              <w:pStyle w:val="TableText"/>
              <w:ind w:left="5"/>
              <w:spacing w:before="30" w:line="220" w:lineRule="auto"/>
              <w:rPr>
                <w:sz w:val="21"/>
                <w:szCs w:val="21"/>
              </w:rPr>
            </w:pPr>
            <w:r>
              <w:rPr>
                <w:sz w:val="21"/>
                <w:szCs w:val="21"/>
                <w:b/>
                <w:bCs/>
                <w:spacing w:val="-4"/>
              </w:rPr>
              <w:t>联防联控要求：暂无</w:t>
            </w:r>
          </w:p>
          <w:p>
            <w:pPr>
              <w:pStyle w:val="TableText"/>
              <w:ind w:left="5"/>
              <w:spacing w:before="50" w:line="192" w:lineRule="auto"/>
              <w:rPr>
                <w:sz w:val="21"/>
                <w:szCs w:val="21"/>
              </w:rPr>
            </w:pPr>
            <w:r>
              <w:rPr>
                <w:sz w:val="21"/>
                <w:szCs w:val="21"/>
                <w:b/>
                <w:bCs/>
                <w:spacing w:val="-3"/>
              </w:rPr>
              <w:t>其他环境风险防控要求：暂无</w:t>
            </w:r>
          </w:p>
        </w:tc>
        <w:tc>
          <w:tcPr>
            <w:tcW w:w="3178" w:type="dxa"/>
            <w:vAlign w:val="top"/>
          </w:tcPr>
          <w:p>
            <w:pPr>
              <w:pStyle w:val="TableText"/>
              <w:ind w:left="1527"/>
              <w:spacing w:before="188" w:line="224" w:lineRule="auto"/>
              <w:rPr>
                <w:sz w:val="21"/>
                <w:szCs w:val="21"/>
              </w:rPr>
            </w:pPr>
            <w:r>
              <w:rPr>
                <w:sz w:val="21"/>
                <w:szCs w:val="21"/>
              </w:rPr>
              <w:t>/</w:t>
            </w:r>
          </w:p>
        </w:tc>
        <w:tc>
          <w:tcPr>
            <w:tcW w:w="645" w:type="dxa"/>
            <w:vAlign w:val="top"/>
          </w:tcPr>
          <w:p>
            <w:pPr>
              <w:pStyle w:val="TableText"/>
              <w:ind w:left="259"/>
              <w:spacing w:before="188" w:line="224" w:lineRule="auto"/>
              <w:rPr>
                <w:sz w:val="21"/>
                <w:szCs w:val="21"/>
              </w:rPr>
            </w:pPr>
            <w:r>
              <w:rPr>
                <w:sz w:val="21"/>
                <w:szCs w:val="21"/>
              </w:rPr>
              <w:t>/</w:t>
            </w:r>
          </w:p>
        </w:tc>
      </w:tr>
      <w:tr>
        <w:trPr>
          <w:trHeight w:val="1358" w:hRule="atLeast"/>
        </w:trPr>
        <w:tc>
          <w:tcPr>
            <w:tcW w:w="1084" w:type="dxa"/>
            <w:vAlign w:val="top"/>
            <w:vMerge w:val="continue"/>
            <w:tcBorders>
              <w:top w:val="nil"/>
              <w:bottom w:val="nil"/>
            </w:tcBorders>
          </w:tcPr>
          <w:p>
            <w:pPr>
              <w:rPr>
                <w:rFonts w:ascii="Arial"/>
                <w:sz w:val="21"/>
              </w:rPr>
            </w:pPr>
            <w:r/>
          </w:p>
        </w:tc>
        <w:tc>
          <w:tcPr>
            <w:tcW w:w="290" w:type="dxa"/>
            <w:vAlign w:val="top"/>
            <w:vMerge w:val="continue"/>
            <w:textDirection w:val="tbRlV"/>
            <w:tcBorders>
              <w:top w:val="nil"/>
            </w:tcBorders>
          </w:tcPr>
          <w:p>
            <w:pPr>
              <w:rPr>
                <w:rFonts w:ascii="Arial"/>
                <w:sz w:val="21"/>
              </w:rPr>
            </w:pPr>
            <w:r/>
          </w:p>
        </w:tc>
        <w:tc>
          <w:tcPr>
            <w:tcW w:w="859" w:type="dxa"/>
            <w:vAlign w:val="top"/>
          </w:tcPr>
          <w:p>
            <w:pPr>
              <w:spacing w:line="363" w:lineRule="auto"/>
              <w:rPr>
                <w:rFonts w:ascii="Arial"/>
                <w:sz w:val="21"/>
              </w:rPr>
            </w:pPr>
            <w:r/>
          </w:p>
          <w:p>
            <w:pPr>
              <w:pStyle w:val="TableText"/>
              <w:spacing w:before="69" w:line="220" w:lineRule="auto"/>
              <w:jc w:val="right"/>
              <w:rPr>
                <w:sz w:val="21"/>
                <w:szCs w:val="21"/>
              </w:rPr>
            </w:pPr>
            <w:r>
              <w:rPr>
                <w:sz w:val="21"/>
                <w:szCs w:val="21"/>
                <w:spacing w:val="-1"/>
              </w:rPr>
              <w:t>资源开发</w:t>
            </w:r>
          </w:p>
          <w:p>
            <w:pPr>
              <w:pStyle w:val="TableText"/>
              <w:spacing w:before="19" w:line="219" w:lineRule="auto"/>
              <w:jc w:val="right"/>
              <w:rPr>
                <w:sz w:val="21"/>
                <w:szCs w:val="21"/>
              </w:rPr>
            </w:pPr>
            <w:r>
              <w:rPr>
                <w:sz w:val="21"/>
                <w:szCs w:val="21"/>
                <w:spacing w:val="-1"/>
              </w:rPr>
              <w:t>效率要求</w:t>
            </w:r>
          </w:p>
        </w:tc>
        <w:tc>
          <w:tcPr>
            <w:tcW w:w="7374" w:type="dxa"/>
            <w:vAlign w:val="top"/>
          </w:tcPr>
          <w:p>
            <w:pPr>
              <w:pStyle w:val="TableText"/>
              <w:ind w:left="5"/>
              <w:spacing w:before="40" w:line="219" w:lineRule="auto"/>
              <w:rPr>
                <w:sz w:val="21"/>
                <w:szCs w:val="21"/>
              </w:rPr>
            </w:pPr>
            <w:r>
              <w:rPr>
                <w:sz w:val="21"/>
                <w:szCs w:val="21"/>
                <w:b/>
                <w:bCs/>
                <w:spacing w:val="-4"/>
              </w:rPr>
              <w:t>水资源利用总量要求：暂无</w:t>
            </w:r>
          </w:p>
          <w:p>
            <w:pPr>
              <w:pStyle w:val="TableText"/>
              <w:ind w:left="5"/>
              <w:spacing w:before="19" w:line="219" w:lineRule="auto"/>
              <w:rPr>
                <w:sz w:val="21"/>
                <w:szCs w:val="21"/>
              </w:rPr>
            </w:pPr>
            <w:r>
              <w:rPr>
                <w:sz w:val="21"/>
                <w:szCs w:val="21"/>
                <w:b/>
                <w:bCs/>
                <w:spacing w:val="-3"/>
              </w:rPr>
              <w:t>地下水开采要求：暂无</w:t>
            </w:r>
          </w:p>
          <w:p>
            <w:pPr>
              <w:pStyle w:val="TableText"/>
              <w:ind w:left="5"/>
              <w:spacing w:before="2" w:line="219" w:lineRule="auto"/>
              <w:rPr>
                <w:sz w:val="21"/>
                <w:szCs w:val="21"/>
              </w:rPr>
            </w:pPr>
            <w:r>
              <w:rPr>
                <w:sz w:val="21"/>
                <w:szCs w:val="21"/>
                <w:b/>
                <w:bCs/>
                <w:spacing w:val="-4"/>
              </w:rPr>
              <w:t>能源利用总量及效率要求：暂无</w:t>
            </w:r>
          </w:p>
          <w:p>
            <w:pPr>
              <w:pStyle w:val="TableText"/>
              <w:ind w:left="5"/>
              <w:spacing w:before="30" w:line="219" w:lineRule="auto"/>
              <w:rPr>
                <w:sz w:val="21"/>
                <w:szCs w:val="21"/>
              </w:rPr>
            </w:pPr>
            <w:r>
              <w:rPr>
                <w:sz w:val="21"/>
                <w:szCs w:val="21"/>
                <w:b/>
                <w:bCs/>
                <w:spacing w:val="-4"/>
              </w:rPr>
              <w:t>禁燃区要求：暂无</w:t>
            </w:r>
          </w:p>
          <w:p>
            <w:pPr>
              <w:pStyle w:val="TableText"/>
              <w:ind w:left="5"/>
              <w:spacing w:before="10" w:line="218" w:lineRule="auto"/>
              <w:rPr>
                <w:sz w:val="21"/>
                <w:szCs w:val="21"/>
              </w:rPr>
            </w:pPr>
            <w:r>
              <w:rPr>
                <w:sz w:val="21"/>
                <w:szCs w:val="21"/>
                <w:b/>
                <w:bCs/>
                <w:spacing w:val="-3"/>
              </w:rPr>
              <w:t>其他资源利用效率要求：暂无</w:t>
            </w:r>
          </w:p>
        </w:tc>
        <w:tc>
          <w:tcPr>
            <w:tcW w:w="3178" w:type="dxa"/>
            <w:vAlign w:val="top"/>
          </w:tcPr>
          <w:p>
            <w:pPr>
              <w:spacing w:line="259" w:lineRule="auto"/>
              <w:rPr>
                <w:rFonts w:ascii="Arial"/>
                <w:sz w:val="21"/>
              </w:rPr>
            </w:pPr>
            <w:r/>
          </w:p>
          <w:p>
            <w:pPr>
              <w:spacing w:line="259" w:lineRule="auto"/>
              <w:rPr>
                <w:rFonts w:ascii="Arial"/>
                <w:sz w:val="21"/>
              </w:rPr>
            </w:pPr>
            <w:r/>
          </w:p>
          <w:p>
            <w:pPr>
              <w:pStyle w:val="TableText"/>
              <w:ind w:left="1527"/>
              <w:spacing w:before="68" w:line="224" w:lineRule="auto"/>
              <w:rPr>
                <w:sz w:val="21"/>
                <w:szCs w:val="21"/>
              </w:rPr>
            </w:pPr>
            <w:r>
              <w:rPr>
                <w:sz w:val="21"/>
                <w:szCs w:val="21"/>
              </w:rPr>
              <w:t>/</w:t>
            </w:r>
          </w:p>
        </w:tc>
        <w:tc>
          <w:tcPr>
            <w:tcW w:w="645" w:type="dxa"/>
            <w:vAlign w:val="top"/>
          </w:tcPr>
          <w:p>
            <w:pPr>
              <w:spacing w:line="259" w:lineRule="auto"/>
              <w:rPr>
                <w:rFonts w:ascii="Arial"/>
                <w:sz w:val="21"/>
              </w:rPr>
            </w:pPr>
            <w:r/>
          </w:p>
          <w:p>
            <w:pPr>
              <w:spacing w:line="259" w:lineRule="auto"/>
              <w:rPr>
                <w:rFonts w:ascii="Arial"/>
                <w:sz w:val="21"/>
              </w:rPr>
            </w:pPr>
            <w:r/>
          </w:p>
          <w:p>
            <w:pPr>
              <w:pStyle w:val="TableText"/>
              <w:ind w:left="259"/>
              <w:spacing w:before="68" w:line="224" w:lineRule="auto"/>
              <w:rPr>
                <w:sz w:val="21"/>
                <w:szCs w:val="21"/>
              </w:rPr>
            </w:pPr>
            <w:r>
              <w:rPr>
                <w:sz w:val="21"/>
                <w:szCs w:val="21"/>
                <w:color w:val="504050"/>
              </w:rPr>
              <w:t>/</w:t>
            </w:r>
          </w:p>
        </w:tc>
      </w:tr>
      <w:tr>
        <w:trPr>
          <w:trHeight w:val="529" w:hRule="atLeast"/>
        </w:trPr>
        <w:tc>
          <w:tcPr>
            <w:tcW w:w="1084" w:type="dxa"/>
            <w:vAlign w:val="top"/>
            <w:vMerge w:val="continue"/>
            <w:tcBorders>
              <w:top w:val="nil"/>
              <w:bottom w:val="nil"/>
            </w:tcBorders>
          </w:tcPr>
          <w:p>
            <w:pPr>
              <w:rPr>
                <w:rFonts w:ascii="Arial"/>
                <w:sz w:val="21"/>
              </w:rPr>
            </w:pPr>
            <w:r/>
          </w:p>
        </w:tc>
        <w:tc>
          <w:tcPr>
            <w:tcW w:w="290" w:type="dxa"/>
            <w:vAlign w:val="top"/>
            <w:vMerge w:val="restart"/>
            <w:textDirection w:val="tbRlV"/>
            <w:tcBorders>
              <w:bottom w:val="nil"/>
            </w:tcBorders>
          </w:tcPr>
          <w:p>
            <w:pPr>
              <w:pStyle w:val="TableText"/>
              <w:ind w:left="56"/>
              <w:spacing w:before="48" w:line="207" w:lineRule="auto"/>
              <w:rPr>
                <w:sz w:val="21"/>
                <w:szCs w:val="21"/>
              </w:rPr>
            </w:pPr>
            <w:r>
              <w:rPr>
                <w:sz w:val="21"/>
                <w:szCs w:val="21"/>
                <w:spacing w:val="1"/>
              </w:rPr>
              <w:t>单元</w:t>
            </w:r>
            <w:r>
              <w:rPr>
                <w:sz w:val="21"/>
                <w:szCs w:val="21"/>
                <w:spacing w:val="-48"/>
              </w:rPr>
              <w:t xml:space="preserve"> </w:t>
            </w:r>
            <w:r>
              <w:rPr>
                <w:sz w:val="21"/>
                <w:szCs w:val="21"/>
                <w:spacing w:val="1"/>
              </w:rPr>
              <w:t>级</w:t>
            </w:r>
            <w:r>
              <w:rPr>
                <w:sz w:val="21"/>
                <w:szCs w:val="21"/>
                <w:spacing w:val="-33"/>
              </w:rPr>
              <w:t xml:space="preserve"> </w:t>
            </w:r>
            <w:r>
              <w:rPr>
                <w:sz w:val="21"/>
                <w:szCs w:val="21"/>
                <w:spacing w:val="1"/>
              </w:rPr>
              <w:t>清</w:t>
            </w:r>
            <w:r>
              <w:rPr>
                <w:sz w:val="21"/>
                <w:szCs w:val="21"/>
                <w:spacing w:val="-34"/>
              </w:rPr>
              <w:t xml:space="preserve"> </w:t>
            </w:r>
            <w:r>
              <w:rPr>
                <w:sz w:val="21"/>
                <w:szCs w:val="21"/>
                <w:spacing w:val="1"/>
              </w:rPr>
              <w:t>单</w:t>
            </w:r>
            <w:r>
              <w:rPr>
                <w:sz w:val="21"/>
                <w:szCs w:val="21"/>
                <w:spacing w:val="-34"/>
              </w:rPr>
              <w:t xml:space="preserve"> </w:t>
            </w:r>
            <w:r>
              <w:rPr>
                <w:sz w:val="21"/>
                <w:szCs w:val="21"/>
                <w:spacing w:val="1"/>
              </w:rPr>
              <w:t>管</w:t>
            </w:r>
            <w:r>
              <w:rPr>
                <w:sz w:val="21"/>
                <w:szCs w:val="21"/>
                <w:spacing w:val="-33"/>
              </w:rPr>
              <w:t xml:space="preserve"> </w:t>
            </w:r>
            <w:r>
              <w:rPr>
                <w:sz w:val="21"/>
                <w:szCs w:val="21"/>
                <w:spacing w:val="1"/>
              </w:rPr>
              <w:t>控</w:t>
            </w:r>
            <w:r>
              <w:rPr>
                <w:sz w:val="21"/>
                <w:szCs w:val="21"/>
                <w:spacing w:val="-34"/>
              </w:rPr>
              <w:t xml:space="preserve"> </w:t>
            </w:r>
            <w:r>
              <w:rPr>
                <w:sz w:val="21"/>
                <w:szCs w:val="21"/>
                <w:spacing w:val="1"/>
              </w:rPr>
              <w:t>要</w:t>
            </w:r>
            <w:r>
              <w:rPr>
                <w:sz w:val="21"/>
                <w:szCs w:val="21"/>
                <w:spacing w:val="-33"/>
              </w:rPr>
              <w:t xml:space="preserve"> </w:t>
            </w:r>
            <w:r>
              <w:rPr>
                <w:sz w:val="21"/>
                <w:szCs w:val="21"/>
                <w:spacing w:val="1"/>
              </w:rPr>
              <w:t>求</w:t>
            </w:r>
          </w:p>
        </w:tc>
        <w:tc>
          <w:tcPr>
            <w:tcW w:w="859" w:type="dxa"/>
            <w:vAlign w:val="top"/>
          </w:tcPr>
          <w:p>
            <w:pPr>
              <w:pStyle w:val="TableText"/>
              <w:ind w:left="205" w:hanging="195"/>
              <w:spacing w:before="25" w:line="217" w:lineRule="auto"/>
              <w:rPr>
                <w:sz w:val="21"/>
                <w:szCs w:val="21"/>
              </w:rPr>
            </w:pPr>
            <w:r>
              <w:rPr>
                <w:sz w:val="21"/>
                <w:szCs w:val="21"/>
                <w:spacing w:val="-1"/>
              </w:rPr>
              <w:t>空间布局</w:t>
            </w:r>
            <w:r>
              <w:rPr>
                <w:sz w:val="21"/>
                <w:szCs w:val="21"/>
                <w:spacing w:val="1"/>
              </w:rPr>
              <w:t xml:space="preserve"> </w:t>
            </w:r>
            <w:r>
              <w:rPr>
                <w:sz w:val="21"/>
                <w:szCs w:val="21"/>
              </w:rPr>
              <w:t>约束</w:t>
            </w:r>
          </w:p>
        </w:tc>
        <w:tc>
          <w:tcPr>
            <w:tcW w:w="7374" w:type="dxa"/>
            <w:vAlign w:val="top"/>
          </w:tcPr>
          <w:p>
            <w:pPr>
              <w:pStyle w:val="TableText"/>
              <w:ind w:left="3602"/>
              <w:spacing w:before="171" w:line="224" w:lineRule="auto"/>
              <w:rPr>
                <w:sz w:val="21"/>
                <w:szCs w:val="21"/>
              </w:rPr>
            </w:pPr>
            <w:r>
              <w:rPr>
                <w:sz w:val="21"/>
                <w:szCs w:val="21"/>
              </w:rPr>
              <w:t>/</w:t>
            </w:r>
          </w:p>
        </w:tc>
        <w:tc>
          <w:tcPr>
            <w:tcW w:w="3178" w:type="dxa"/>
            <w:vAlign w:val="top"/>
          </w:tcPr>
          <w:p>
            <w:pPr>
              <w:pStyle w:val="TableText"/>
              <w:ind w:left="1527"/>
              <w:spacing w:before="171" w:line="224" w:lineRule="auto"/>
              <w:rPr>
                <w:sz w:val="21"/>
                <w:szCs w:val="21"/>
              </w:rPr>
            </w:pPr>
            <w:r>
              <w:rPr>
                <w:sz w:val="21"/>
                <w:szCs w:val="21"/>
              </w:rPr>
              <w:t>/</w:t>
            </w:r>
          </w:p>
        </w:tc>
        <w:tc>
          <w:tcPr>
            <w:tcW w:w="645" w:type="dxa"/>
            <w:vAlign w:val="top"/>
          </w:tcPr>
          <w:p>
            <w:pPr>
              <w:pStyle w:val="TableText"/>
              <w:ind w:left="259"/>
              <w:spacing w:before="171" w:line="224" w:lineRule="auto"/>
              <w:rPr>
                <w:sz w:val="21"/>
                <w:szCs w:val="21"/>
              </w:rPr>
            </w:pPr>
            <w:r>
              <w:rPr>
                <w:sz w:val="21"/>
                <w:szCs w:val="21"/>
                <w:color w:val="505060"/>
              </w:rPr>
              <w:t>/</w:t>
            </w:r>
          </w:p>
        </w:tc>
      </w:tr>
      <w:tr>
        <w:trPr>
          <w:trHeight w:val="559" w:hRule="atLeast"/>
        </w:trPr>
        <w:tc>
          <w:tcPr>
            <w:tcW w:w="1084" w:type="dxa"/>
            <w:vAlign w:val="top"/>
            <w:vMerge w:val="continue"/>
            <w:tcBorders>
              <w:top w:val="nil"/>
              <w:bottom w:val="nil"/>
            </w:tcBorders>
          </w:tcPr>
          <w:p>
            <w:pPr>
              <w:rPr>
                <w:rFonts w:ascii="Arial"/>
                <w:sz w:val="21"/>
              </w:rPr>
            </w:pPr>
            <w:r/>
          </w:p>
        </w:tc>
        <w:tc>
          <w:tcPr>
            <w:tcW w:w="290" w:type="dxa"/>
            <w:vAlign w:val="top"/>
            <w:vMerge w:val="continue"/>
            <w:textDirection w:val="tbRlV"/>
            <w:tcBorders>
              <w:top w:val="nil"/>
              <w:bottom w:val="nil"/>
            </w:tcBorders>
          </w:tcPr>
          <w:p>
            <w:pPr>
              <w:rPr>
                <w:rFonts w:ascii="Arial"/>
                <w:sz w:val="21"/>
              </w:rPr>
            </w:pPr>
            <w:r/>
          </w:p>
        </w:tc>
        <w:tc>
          <w:tcPr>
            <w:tcW w:w="859" w:type="dxa"/>
            <w:vAlign w:val="top"/>
          </w:tcPr>
          <w:p>
            <w:pPr>
              <w:pStyle w:val="TableText"/>
              <w:ind w:left="100" w:right="7" w:hanging="90"/>
              <w:spacing w:before="37" w:line="225" w:lineRule="auto"/>
              <w:rPr>
                <w:sz w:val="21"/>
                <w:szCs w:val="21"/>
              </w:rPr>
            </w:pPr>
            <w:r>
              <w:rPr>
                <w:sz w:val="21"/>
                <w:szCs w:val="21"/>
                <w:spacing w:val="-3"/>
              </w:rPr>
              <w:t>污染物排</w:t>
            </w:r>
            <w:r>
              <w:rPr>
                <w:sz w:val="21"/>
                <w:szCs w:val="21"/>
                <w:spacing w:val="1"/>
              </w:rPr>
              <w:t xml:space="preserve"> </w:t>
            </w:r>
            <w:r>
              <w:rPr>
                <w:sz w:val="21"/>
                <w:szCs w:val="21"/>
                <w:spacing w:val="-2"/>
              </w:rPr>
              <w:t>放管控</w:t>
            </w:r>
          </w:p>
        </w:tc>
        <w:tc>
          <w:tcPr>
            <w:tcW w:w="7374" w:type="dxa"/>
            <w:vAlign w:val="top"/>
          </w:tcPr>
          <w:p>
            <w:pPr>
              <w:pStyle w:val="TableText"/>
              <w:ind w:left="3612"/>
              <w:spacing w:before="192" w:line="224" w:lineRule="auto"/>
              <w:rPr>
                <w:sz w:val="21"/>
                <w:szCs w:val="21"/>
              </w:rPr>
            </w:pPr>
            <w:r>
              <w:rPr>
                <w:sz w:val="21"/>
                <w:szCs w:val="21"/>
              </w:rPr>
              <w:t>/</w:t>
            </w:r>
          </w:p>
        </w:tc>
        <w:tc>
          <w:tcPr>
            <w:tcW w:w="3178" w:type="dxa"/>
            <w:vAlign w:val="top"/>
          </w:tcPr>
          <w:p>
            <w:pPr>
              <w:pStyle w:val="TableText"/>
              <w:ind w:left="1527"/>
              <w:spacing w:before="192" w:line="224" w:lineRule="auto"/>
              <w:rPr>
                <w:sz w:val="21"/>
                <w:szCs w:val="21"/>
              </w:rPr>
            </w:pPr>
            <w:r>
              <w:rPr>
                <w:sz w:val="21"/>
                <w:szCs w:val="21"/>
              </w:rPr>
              <w:t>/</w:t>
            </w:r>
          </w:p>
        </w:tc>
        <w:tc>
          <w:tcPr>
            <w:tcW w:w="645" w:type="dxa"/>
            <w:vAlign w:val="top"/>
          </w:tcPr>
          <w:p>
            <w:pPr>
              <w:pStyle w:val="TableText"/>
              <w:ind w:left="259"/>
              <w:spacing w:before="192" w:line="224" w:lineRule="auto"/>
              <w:rPr>
                <w:sz w:val="21"/>
                <w:szCs w:val="21"/>
              </w:rPr>
            </w:pPr>
            <w:r>
              <w:rPr>
                <w:sz w:val="21"/>
                <w:szCs w:val="21"/>
              </w:rPr>
              <w:t>/</w:t>
            </w:r>
          </w:p>
        </w:tc>
      </w:tr>
      <w:tr>
        <w:trPr>
          <w:trHeight w:val="529" w:hRule="atLeast"/>
        </w:trPr>
        <w:tc>
          <w:tcPr>
            <w:tcW w:w="1084" w:type="dxa"/>
            <w:vAlign w:val="top"/>
            <w:vMerge w:val="continue"/>
            <w:tcBorders>
              <w:top w:val="nil"/>
              <w:bottom w:val="nil"/>
            </w:tcBorders>
          </w:tcPr>
          <w:p>
            <w:pPr>
              <w:rPr>
                <w:rFonts w:ascii="Arial"/>
                <w:sz w:val="21"/>
              </w:rPr>
            </w:pPr>
            <w:r/>
          </w:p>
        </w:tc>
        <w:tc>
          <w:tcPr>
            <w:tcW w:w="290" w:type="dxa"/>
            <w:vAlign w:val="top"/>
            <w:vMerge w:val="continue"/>
            <w:textDirection w:val="tbRlV"/>
            <w:tcBorders>
              <w:top w:val="nil"/>
              <w:bottom w:val="nil"/>
            </w:tcBorders>
          </w:tcPr>
          <w:p>
            <w:pPr>
              <w:rPr>
                <w:rFonts w:ascii="Arial"/>
                <w:sz w:val="21"/>
              </w:rPr>
            </w:pPr>
            <w:r/>
          </w:p>
        </w:tc>
        <w:tc>
          <w:tcPr>
            <w:tcW w:w="859" w:type="dxa"/>
            <w:vAlign w:val="top"/>
          </w:tcPr>
          <w:p>
            <w:pPr>
              <w:pStyle w:val="TableText"/>
              <w:ind w:left="210" w:right="6" w:hanging="200"/>
              <w:spacing w:before="38" w:line="211" w:lineRule="auto"/>
              <w:rPr>
                <w:sz w:val="21"/>
                <w:szCs w:val="21"/>
              </w:rPr>
            </w:pPr>
            <w:r>
              <w:rPr>
                <w:sz w:val="21"/>
                <w:szCs w:val="21"/>
                <w:spacing w:val="-3"/>
              </w:rPr>
              <w:t>环境风险</w:t>
            </w:r>
            <w:r>
              <w:rPr>
                <w:sz w:val="21"/>
                <w:szCs w:val="21"/>
                <w:spacing w:val="2"/>
              </w:rPr>
              <w:t xml:space="preserve"> </w:t>
            </w:r>
            <w:r>
              <w:rPr>
                <w:sz w:val="21"/>
                <w:szCs w:val="21"/>
                <w:spacing w:val="4"/>
              </w:rPr>
              <w:t>防控</w:t>
            </w:r>
          </w:p>
        </w:tc>
        <w:tc>
          <w:tcPr>
            <w:tcW w:w="7374" w:type="dxa"/>
            <w:vAlign w:val="top"/>
          </w:tcPr>
          <w:p>
            <w:pPr>
              <w:pStyle w:val="TableText"/>
              <w:ind w:left="3612"/>
              <w:spacing w:before="173" w:line="224" w:lineRule="auto"/>
              <w:rPr>
                <w:sz w:val="21"/>
                <w:szCs w:val="21"/>
              </w:rPr>
            </w:pPr>
            <w:r>
              <w:rPr>
                <w:sz w:val="21"/>
                <w:szCs w:val="21"/>
              </w:rPr>
              <w:t>/</w:t>
            </w:r>
          </w:p>
        </w:tc>
        <w:tc>
          <w:tcPr>
            <w:tcW w:w="3178" w:type="dxa"/>
            <w:vAlign w:val="top"/>
            <w:textDirection w:val="tbRlV"/>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pStyle w:val="TableText"/>
              <w:ind w:left="139"/>
              <w:spacing w:before="70" w:line="137" w:lineRule="exact"/>
              <w:rPr>
                <w:sz w:val="21"/>
                <w:szCs w:val="21"/>
              </w:rPr>
            </w:pPr>
            <w:r>
              <w:rPr>
                <w:sz w:val="21"/>
                <w:szCs w:val="21"/>
                <w:color w:val="404040"/>
                <w:spacing w:val="52"/>
                <w:w w:val="141"/>
                <w:position w:val="-1"/>
              </w:rPr>
              <w:t>/</w:t>
            </w:r>
          </w:p>
        </w:tc>
        <w:tc>
          <w:tcPr>
            <w:tcW w:w="645" w:type="dxa"/>
            <w:vAlign w:val="top"/>
          </w:tcPr>
          <w:p>
            <w:pPr>
              <w:pStyle w:val="TableText"/>
              <w:ind w:left="259"/>
              <w:spacing w:before="173" w:line="224" w:lineRule="auto"/>
              <w:rPr>
                <w:sz w:val="21"/>
                <w:szCs w:val="21"/>
              </w:rPr>
            </w:pPr>
            <w:r>
              <w:rPr>
                <w:sz w:val="21"/>
                <w:szCs w:val="21"/>
                <w:color w:val="404040"/>
              </w:rPr>
              <w:t>/</w:t>
            </w:r>
          </w:p>
        </w:tc>
      </w:tr>
      <w:tr>
        <w:trPr>
          <w:trHeight w:val="824" w:hRule="atLeast"/>
        </w:trPr>
        <w:tc>
          <w:tcPr>
            <w:tcW w:w="1084" w:type="dxa"/>
            <w:vAlign w:val="top"/>
            <w:vMerge w:val="continue"/>
            <w:tcBorders>
              <w:top w:val="nil"/>
            </w:tcBorders>
          </w:tcPr>
          <w:p>
            <w:pPr>
              <w:rPr>
                <w:rFonts w:ascii="Arial"/>
                <w:sz w:val="21"/>
              </w:rPr>
            </w:pPr>
            <w:r/>
          </w:p>
        </w:tc>
        <w:tc>
          <w:tcPr>
            <w:tcW w:w="290" w:type="dxa"/>
            <w:vAlign w:val="top"/>
            <w:vMerge w:val="continue"/>
            <w:textDirection w:val="tbRlV"/>
            <w:tcBorders>
              <w:top w:val="nil"/>
            </w:tcBorders>
          </w:tcPr>
          <w:p>
            <w:pPr>
              <w:rPr>
                <w:rFonts w:ascii="Arial"/>
                <w:sz w:val="21"/>
              </w:rPr>
            </w:pPr>
            <w:r/>
          </w:p>
        </w:tc>
        <w:tc>
          <w:tcPr>
            <w:tcW w:w="859" w:type="dxa"/>
            <w:vAlign w:val="top"/>
          </w:tcPr>
          <w:p>
            <w:pPr>
              <w:pStyle w:val="TableText"/>
              <w:spacing w:before="179" w:line="220" w:lineRule="auto"/>
              <w:jc w:val="right"/>
              <w:rPr>
                <w:sz w:val="21"/>
                <w:szCs w:val="21"/>
              </w:rPr>
            </w:pPr>
            <w:r>
              <w:rPr>
                <w:sz w:val="21"/>
                <w:szCs w:val="21"/>
                <w:spacing w:val="-1"/>
              </w:rPr>
              <w:t>资源开发</w:t>
            </w:r>
          </w:p>
          <w:p>
            <w:pPr>
              <w:pStyle w:val="TableText"/>
              <w:spacing w:before="19" w:line="219" w:lineRule="auto"/>
              <w:jc w:val="right"/>
              <w:rPr>
                <w:sz w:val="21"/>
                <w:szCs w:val="21"/>
              </w:rPr>
            </w:pPr>
            <w:r>
              <w:rPr>
                <w:sz w:val="21"/>
                <w:szCs w:val="21"/>
                <w:spacing w:val="-1"/>
              </w:rPr>
              <w:t>效率要求</w:t>
            </w:r>
          </w:p>
        </w:tc>
        <w:tc>
          <w:tcPr>
            <w:tcW w:w="7374" w:type="dxa"/>
            <w:vAlign w:val="top"/>
          </w:tcPr>
          <w:p>
            <w:pPr>
              <w:pStyle w:val="TableText"/>
              <w:ind w:left="5" w:right="5255"/>
              <w:spacing w:before="55" w:line="233" w:lineRule="auto"/>
              <w:rPr>
                <w:sz w:val="21"/>
                <w:szCs w:val="21"/>
              </w:rPr>
            </w:pPr>
            <w:r>
              <w:rPr>
                <w:sz w:val="21"/>
                <w:szCs w:val="21"/>
                <w:b/>
                <w:bCs/>
                <w:spacing w:val="-4"/>
              </w:rPr>
              <w:t>土地资源开发效率要求</w:t>
            </w:r>
            <w:r>
              <w:rPr>
                <w:sz w:val="21"/>
                <w:szCs w:val="21"/>
                <w:spacing w:val="7"/>
              </w:rPr>
              <w:t xml:space="preserve"> </w:t>
            </w:r>
            <w:r>
              <w:rPr>
                <w:sz w:val="21"/>
                <w:szCs w:val="21"/>
                <w:b/>
                <w:bCs/>
                <w:spacing w:val="-2"/>
              </w:rPr>
              <w:t>能源资源开发效率要求</w:t>
            </w:r>
          </w:p>
          <w:p>
            <w:pPr>
              <w:pStyle w:val="TableText"/>
              <w:ind w:left="5"/>
              <w:spacing w:line="201" w:lineRule="auto"/>
              <w:rPr>
                <w:sz w:val="21"/>
                <w:szCs w:val="21"/>
              </w:rPr>
            </w:pPr>
            <w:r>
              <w:rPr>
                <w:sz w:val="21"/>
                <w:szCs w:val="21"/>
                <w:b/>
                <w:bCs/>
                <w:spacing w:val="-4"/>
              </w:rPr>
              <w:t>其他资源开发效率要求</w:t>
            </w:r>
          </w:p>
        </w:tc>
        <w:tc>
          <w:tcPr>
            <w:tcW w:w="3178" w:type="dxa"/>
            <w:vAlign w:val="top"/>
          </w:tcPr>
          <w:p>
            <w:pPr>
              <w:spacing w:line="248" w:lineRule="auto"/>
              <w:rPr>
                <w:rFonts w:ascii="Arial"/>
                <w:sz w:val="21"/>
              </w:rPr>
            </w:pPr>
            <w:r/>
          </w:p>
          <w:p>
            <w:pPr>
              <w:pStyle w:val="TableText"/>
              <w:ind w:left="117"/>
              <w:spacing w:before="69" w:line="219" w:lineRule="auto"/>
              <w:rPr>
                <w:sz w:val="21"/>
                <w:szCs w:val="21"/>
              </w:rPr>
            </w:pPr>
            <w:r>
              <w:rPr>
                <w:sz w:val="21"/>
                <w:szCs w:val="21"/>
              </w:rPr>
              <w:t>同普适性清单管控要求相关内容</w:t>
            </w:r>
          </w:p>
        </w:tc>
        <w:tc>
          <w:tcPr>
            <w:tcW w:w="645" w:type="dxa"/>
            <w:vAlign w:val="top"/>
          </w:tcPr>
          <w:p>
            <w:pPr>
              <w:spacing w:line="248" w:lineRule="auto"/>
              <w:rPr>
                <w:rFonts w:ascii="Arial"/>
                <w:sz w:val="21"/>
              </w:rPr>
            </w:pPr>
            <w:r/>
          </w:p>
          <w:p>
            <w:pPr>
              <w:pStyle w:val="TableText"/>
              <w:ind w:left="110"/>
              <w:spacing w:before="69" w:line="219" w:lineRule="auto"/>
              <w:rPr>
                <w:sz w:val="21"/>
                <w:szCs w:val="21"/>
              </w:rPr>
            </w:pPr>
            <w:r>
              <w:rPr>
                <w:sz w:val="21"/>
                <w:szCs w:val="21"/>
                <w:spacing w:val="-3"/>
              </w:rPr>
              <w:t>符合</w:t>
            </w:r>
          </w:p>
        </w:tc>
      </w:tr>
    </w:tbl>
    <w:p>
      <w:pPr>
        <w:ind w:left="595"/>
        <w:spacing w:before="73" w:line="219" w:lineRule="auto"/>
        <w:rPr>
          <w:rFonts w:ascii="SimSun" w:hAnsi="SimSun" w:eastAsia="SimSun" w:cs="SimSun"/>
          <w:sz w:val="24"/>
          <w:szCs w:val="24"/>
        </w:rPr>
      </w:pPr>
      <w:r>
        <w:rPr>
          <w:rFonts w:ascii="SimSun" w:hAnsi="SimSun" w:eastAsia="SimSun" w:cs="SimSun"/>
          <w:sz w:val="24"/>
          <w:szCs w:val="24"/>
        </w:rPr>
        <w:t>综上，本项目建设符合四川省、绵阳市“生态环境分区管控”要</w:t>
      </w:r>
      <w:r>
        <w:rPr>
          <w:rFonts w:ascii="SimSun" w:hAnsi="SimSun" w:eastAsia="SimSun" w:cs="SimSun"/>
          <w:sz w:val="24"/>
          <w:szCs w:val="24"/>
          <w:spacing w:val="-1"/>
        </w:rPr>
        <w:t>求。</w:t>
      </w:r>
    </w:p>
    <w:p>
      <w:pPr>
        <w:spacing w:line="219" w:lineRule="auto"/>
        <w:sectPr>
          <w:headerReference w:type="default" r:id="rId111"/>
          <w:footerReference w:type="default" r:id="rId116"/>
          <w:pgSz w:w="16840" w:h="11910"/>
          <w:pgMar w:top="1180" w:right="1724" w:bottom="961" w:left="1674" w:header="872" w:footer="702" w:gutter="0"/>
        </w:sectPr>
        <w:rPr>
          <w:rFonts w:ascii="SimSun" w:hAnsi="SimSun" w:eastAsia="SimSun" w:cs="SimSun"/>
          <w:sz w:val="24"/>
          <w:szCs w:val="24"/>
        </w:rPr>
      </w:pPr>
    </w:p>
    <w:p>
      <w:pPr>
        <w:ind w:left="3"/>
        <w:spacing w:before="296" w:line="222" w:lineRule="auto"/>
        <w:outlineLvl w:val="1"/>
        <w:rPr>
          <w:rFonts w:ascii="SimHei" w:hAnsi="SimHei" w:eastAsia="SimHei" w:cs="SimHei"/>
          <w:sz w:val="27"/>
          <w:szCs w:val="27"/>
        </w:rPr>
      </w:pPr>
      <w:bookmarkStart w:name="bookmark15" w:id="27"/>
      <w:bookmarkEnd w:id="27"/>
      <w:r>
        <w:rPr>
          <w:rFonts w:ascii="SimHei" w:hAnsi="SimHei" w:eastAsia="SimHei" w:cs="SimHei"/>
          <w:sz w:val="27"/>
          <w:szCs w:val="27"/>
          <w:b/>
          <w:bCs/>
          <w:spacing w:val="-2"/>
        </w:rPr>
        <w:t>1.6外环境关系及选址合理性分析</w:t>
      </w:r>
    </w:p>
    <w:p>
      <w:pPr>
        <w:ind w:left="3"/>
        <w:spacing w:before="253" w:line="221" w:lineRule="auto"/>
        <w:rPr>
          <w:rFonts w:ascii="SimHei" w:hAnsi="SimHei" w:eastAsia="SimHei" w:cs="SimHei"/>
          <w:sz w:val="23"/>
          <w:szCs w:val="23"/>
        </w:rPr>
      </w:pPr>
      <w:r>
        <w:rPr>
          <w:rFonts w:ascii="SimHei" w:hAnsi="SimHei" w:eastAsia="SimHei" w:cs="SimHei"/>
          <w:sz w:val="23"/>
          <w:szCs w:val="23"/>
          <w:b/>
          <w:bCs/>
          <w:spacing w:val="12"/>
        </w:rPr>
        <w:t>1</w:t>
      </w:r>
      <w:r>
        <w:rPr>
          <w:rFonts w:ascii="SimHei" w:hAnsi="SimHei" w:eastAsia="SimHei" w:cs="SimHei"/>
          <w:sz w:val="23"/>
          <w:szCs w:val="23"/>
          <w:spacing w:val="-61"/>
        </w:rPr>
        <w:t xml:space="preserve"> </w:t>
      </w:r>
      <w:r>
        <w:rPr>
          <w:rFonts w:ascii="SimHei" w:hAnsi="SimHei" w:eastAsia="SimHei" w:cs="SimHei"/>
          <w:sz w:val="23"/>
          <w:szCs w:val="23"/>
          <w:b/>
          <w:bCs/>
          <w:spacing w:val="12"/>
        </w:rPr>
        <w:t>.6</w:t>
      </w:r>
      <w:r>
        <w:rPr>
          <w:rFonts w:ascii="SimHei" w:hAnsi="SimHei" w:eastAsia="SimHei" w:cs="SimHei"/>
          <w:sz w:val="23"/>
          <w:szCs w:val="23"/>
          <w:spacing w:val="-67"/>
        </w:rPr>
        <w:t xml:space="preserve"> </w:t>
      </w:r>
      <w:r>
        <w:rPr>
          <w:rFonts w:ascii="SimHei" w:hAnsi="SimHei" w:eastAsia="SimHei" w:cs="SimHei"/>
          <w:sz w:val="23"/>
          <w:szCs w:val="23"/>
          <w:b/>
          <w:bCs/>
          <w:spacing w:val="12"/>
        </w:rPr>
        <w:t>.</w:t>
      </w:r>
      <w:r>
        <w:rPr>
          <w:rFonts w:ascii="SimHei" w:hAnsi="SimHei" w:eastAsia="SimHei" w:cs="SimHei"/>
          <w:sz w:val="23"/>
          <w:szCs w:val="23"/>
          <w:spacing w:val="-64"/>
        </w:rPr>
        <w:t xml:space="preserve"> </w:t>
      </w:r>
      <w:r>
        <w:rPr>
          <w:rFonts w:ascii="SimHei" w:hAnsi="SimHei" w:eastAsia="SimHei" w:cs="SimHei"/>
          <w:sz w:val="23"/>
          <w:szCs w:val="23"/>
          <w:b/>
          <w:bCs/>
          <w:spacing w:val="12"/>
        </w:rPr>
        <w:t>1饮用水水源保护区</w:t>
      </w:r>
    </w:p>
    <w:p>
      <w:pPr>
        <w:ind w:left="623"/>
        <w:spacing w:before="195" w:line="219" w:lineRule="auto"/>
        <w:rPr>
          <w:rFonts w:ascii="SimSun" w:hAnsi="SimSun" w:eastAsia="SimSun" w:cs="SimSun"/>
          <w:sz w:val="23"/>
          <w:szCs w:val="23"/>
        </w:rPr>
      </w:pPr>
      <w:r>
        <w:rPr>
          <w:rFonts w:ascii="SimSun" w:hAnsi="SimSun" w:eastAsia="SimSun" w:cs="SimSun"/>
          <w:sz w:val="23"/>
          <w:szCs w:val="23"/>
          <w:b/>
          <w:bCs/>
          <w:spacing w:val="13"/>
        </w:rPr>
        <w:t>(1)安州区花芗雍峙村饮用水水源保护区</w:t>
      </w:r>
    </w:p>
    <w:p>
      <w:pPr>
        <w:ind w:right="19" w:firstLine="480"/>
        <w:spacing w:before="219" w:line="358" w:lineRule="auto"/>
        <w:rPr>
          <w:rFonts w:ascii="Times New Roman" w:hAnsi="Times New Roman" w:eastAsia="Times New Roman" w:cs="Times New Roman"/>
          <w:sz w:val="23"/>
          <w:szCs w:val="23"/>
        </w:rPr>
      </w:pPr>
      <w:r>
        <w:rPr>
          <w:rFonts w:ascii="SimSun" w:hAnsi="SimSun" w:eastAsia="SimSun" w:cs="SimSun"/>
          <w:sz w:val="23"/>
          <w:szCs w:val="23"/>
          <w:spacing w:val="15"/>
        </w:rPr>
        <w:t>本项目西北侧约2000</w:t>
      </w:r>
      <w:r>
        <w:rPr>
          <w:rFonts w:ascii="Times New Roman" w:hAnsi="Times New Roman" w:eastAsia="Times New Roman" w:cs="Times New Roman"/>
          <w:sz w:val="23"/>
          <w:szCs w:val="23"/>
          <w:spacing w:val="15"/>
        </w:rPr>
        <w:t>m</w:t>
      </w:r>
      <w:r>
        <w:rPr>
          <w:rFonts w:ascii="Times New Roman" w:hAnsi="Times New Roman" w:eastAsia="Times New Roman" w:cs="Times New Roman"/>
          <w:sz w:val="23"/>
          <w:szCs w:val="23"/>
          <w:spacing w:val="-34"/>
        </w:rPr>
        <w:t xml:space="preserve"> </w:t>
      </w:r>
      <w:r>
        <w:rPr>
          <w:rFonts w:ascii="SimSun" w:hAnsi="SimSun" w:eastAsia="SimSun" w:cs="SimSun"/>
          <w:sz w:val="23"/>
          <w:szCs w:val="23"/>
          <w:spacing w:val="15"/>
        </w:rPr>
        <w:t>处为安州区花芗雍峙村饮用水水源保护区，取水口</w:t>
      </w:r>
      <w:r>
        <w:rPr>
          <w:rFonts w:ascii="SimSun" w:hAnsi="SimSun" w:eastAsia="SimSun" w:cs="SimSun"/>
          <w:sz w:val="23"/>
          <w:szCs w:val="23"/>
        </w:rPr>
        <w:t xml:space="preserve"> </w:t>
      </w:r>
      <w:r>
        <w:rPr>
          <w:rFonts w:ascii="Times New Roman" w:hAnsi="Times New Roman" w:eastAsia="Times New Roman" w:cs="Times New Roman"/>
          <w:sz w:val="23"/>
          <w:szCs w:val="23"/>
          <w:spacing w:val="-1"/>
        </w:rPr>
        <w:t>1#(104°31'22.52"E;31°33'29.06"N)</w:t>
      </w:r>
      <w:r>
        <w:rPr>
          <w:rFonts w:ascii="Times New Roman" w:hAnsi="Times New Roman" w:eastAsia="Times New Roman" w:cs="Times New Roman"/>
          <w:sz w:val="23"/>
          <w:szCs w:val="23"/>
          <w:spacing w:val="-23"/>
        </w:rPr>
        <w:t xml:space="preserve"> </w:t>
      </w:r>
      <w:r>
        <w:rPr>
          <w:rFonts w:ascii="SimSun" w:hAnsi="SimSun" w:eastAsia="SimSun" w:cs="SimSun"/>
          <w:sz w:val="23"/>
          <w:szCs w:val="23"/>
          <w:spacing w:val="-1"/>
        </w:rPr>
        <w:t>、</w:t>
      </w:r>
      <w:r>
        <w:rPr>
          <w:rFonts w:ascii="Times New Roman" w:hAnsi="Times New Roman" w:eastAsia="Times New Roman" w:cs="Times New Roman"/>
          <w:sz w:val="23"/>
          <w:szCs w:val="23"/>
          <w:spacing w:val="-1"/>
        </w:rPr>
        <w:t>2#(104°30'41.61"E;31°34'5.16"N),</w:t>
      </w:r>
    </w:p>
    <w:p>
      <w:pPr>
        <w:ind w:right="88"/>
        <w:spacing w:before="30" w:line="371" w:lineRule="auto"/>
        <w:rPr>
          <w:rFonts w:ascii="SimSun" w:hAnsi="SimSun" w:eastAsia="SimSun" w:cs="SimSun"/>
          <w:sz w:val="23"/>
          <w:szCs w:val="23"/>
        </w:rPr>
      </w:pPr>
      <w:r>
        <w:rPr>
          <w:rFonts w:ascii="SimSun" w:hAnsi="SimSun" w:eastAsia="SimSun" w:cs="SimSun"/>
          <w:sz w:val="23"/>
          <w:szCs w:val="23"/>
          <w:spacing w:val="13"/>
        </w:rPr>
        <w:t>一级保护区陆域：以取水口为中心，半径30</w:t>
      </w:r>
      <w:r>
        <w:rPr>
          <w:rFonts w:ascii="Times New Roman" w:hAnsi="Times New Roman" w:eastAsia="Times New Roman" w:cs="Times New Roman"/>
          <w:sz w:val="23"/>
          <w:szCs w:val="23"/>
          <w:spacing w:val="13"/>
        </w:rPr>
        <w:t>m</w:t>
      </w:r>
      <w:r>
        <w:rPr>
          <w:rFonts w:ascii="Times New Roman" w:hAnsi="Times New Roman" w:eastAsia="Times New Roman" w:cs="Times New Roman"/>
          <w:sz w:val="23"/>
          <w:szCs w:val="23"/>
          <w:spacing w:val="-28"/>
        </w:rPr>
        <w:t xml:space="preserve"> </w:t>
      </w:r>
      <w:r>
        <w:rPr>
          <w:rFonts w:ascii="SimSun" w:hAnsi="SimSun" w:eastAsia="SimSun" w:cs="SimSun"/>
          <w:sz w:val="23"/>
          <w:szCs w:val="23"/>
          <w:spacing w:val="13"/>
        </w:rPr>
        <w:t>的范围区域；二级保护区陆域：</w:t>
      </w:r>
      <w:r>
        <w:rPr>
          <w:rFonts w:ascii="SimSun" w:hAnsi="SimSun" w:eastAsia="SimSun" w:cs="SimSun"/>
          <w:sz w:val="23"/>
          <w:szCs w:val="23"/>
        </w:rPr>
        <w:t xml:space="preserve"> </w:t>
      </w:r>
      <w:r>
        <w:rPr>
          <w:rFonts w:ascii="SimSun" w:hAnsi="SimSun" w:eastAsia="SimSun" w:cs="SimSun"/>
          <w:sz w:val="23"/>
          <w:szCs w:val="23"/>
          <w:spacing w:val="8"/>
        </w:rPr>
        <w:t>以一级保护区外边界向外延伸半径300</w:t>
      </w:r>
      <w:r>
        <w:rPr>
          <w:rFonts w:ascii="Times New Roman" w:hAnsi="Times New Roman" w:eastAsia="Times New Roman" w:cs="Times New Roman"/>
          <w:sz w:val="23"/>
          <w:szCs w:val="23"/>
          <w:spacing w:val="8"/>
        </w:rPr>
        <w:t>m</w:t>
      </w:r>
      <w:r>
        <w:rPr>
          <w:rFonts w:ascii="SimSun" w:hAnsi="SimSun" w:eastAsia="SimSun" w:cs="SimSun"/>
          <w:sz w:val="23"/>
          <w:szCs w:val="23"/>
          <w:spacing w:val="8"/>
        </w:rPr>
        <w:t>的范围区域；未设立准保护区。</w:t>
      </w:r>
    </w:p>
    <w:p>
      <w:pPr>
        <w:ind w:right="163" w:firstLine="480"/>
        <w:spacing w:before="15" w:line="370" w:lineRule="auto"/>
        <w:jc w:val="both"/>
        <w:rPr>
          <w:rFonts w:ascii="SimSun" w:hAnsi="SimSun" w:eastAsia="SimSun" w:cs="SimSun"/>
          <w:sz w:val="23"/>
          <w:szCs w:val="23"/>
        </w:rPr>
      </w:pPr>
      <w:r>
        <w:rPr>
          <w:rFonts w:ascii="SimSun" w:hAnsi="SimSun" w:eastAsia="SimSun" w:cs="SimSun"/>
          <w:sz w:val="23"/>
          <w:szCs w:val="23"/>
          <w:spacing w:val="9"/>
        </w:rPr>
        <w:t>根据绵阳市人民政府办公室于2023年2月1日发布的《绵阳市人民政府关于</w:t>
      </w:r>
      <w:r>
        <w:rPr>
          <w:rFonts w:ascii="SimSun" w:hAnsi="SimSun" w:eastAsia="SimSun" w:cs="SimSun"/>
          <w:sz w:val="23"/>
          <w:szCs w:val="23"/>
          <w:spacing w:val="17"/>
        </w:rPr>
        <w:t xml:space="preserve"> </w:t>
      </w:r>
      <w:r>
        <w:rPr>
          <w:rFonts w:ascii="SimSun" w:hAnsi="SimSun" w:eastAsia="SimSun" w:cs="SimSun"/>
          <w:sz w:val="23"/>
          <w:szCs w:val="23"/>
          <w:spacing w:val="10"/>
        </w:rPr>
        <w:t>同意划定安州区雎水镇罐滩村雎水河饮用水水源保护区及撤</w:t>
      </w:r>
      <w:r>
        <w:rPr>
          <w:rFonts w:ascii="SimSun" w:hAnsi="SimSun" w:eastAsia="SimSun" w:cs="SimSun"/>
          <w:sz w:val="23"/>
          <w:szCs w:val="23"/>
          <w:spacing w:val="9"/>
        </w:rPr>
        <w:t>销安州区花芗镇雍</w:t>
      </w:r>
      <w:r>
        <w:rPr>
          <w:rFonts w:ascii="SimSun" w:hAnsi="SimSun" w:eastAsia="SimSun" w:cs="SimSun"/>
          <w:sz w:val="23"/>
          <w:szCs w:val="23"/>
        </w:rPr>
        <w:t xml:space="preserve"> </w:t>
      </w:r>
      <w:r>
        <w:rPr>
          <w:rFonts w:ascii="SimSun" w:hAnsi="SimSun" w:eastAsia="SimSun" w:cs="SimSun"/>
          <w:sz w:val="23"/>
          <w:szCs w:val="23"/>
          <w:spacing w:val="12"/>
        </w:rPr>
        <w:t>峙村饮用水水源保护区的批复》(绵府批复[2023]8号)文件，现已撤销安州区</w:t>
      </w:r>
      <w:r>
        <w:rPr>
          <w:rFonts w:ascii="SimSun" w:hAnsi="SimSun" w:eastAsia="SimSun" w:cs="SimSun"/>
          <w:sz w:val="23"/>
          <w:szCs w:val="23"/>
          <w:spacing w:val="18"/>
        </w:rPr>
        <w:t xml:space="preserve"> </w:t>
      </w:r>
      <w:r>
        <w:rPr>
          <w:rFonts w:ascii="SimSun" w:hAnsi="SimSun" w:eastAsia="SimSun" w:cs="SimSun"/>
          <w:sz w:val="23"/>
          <w:szCs w:val="23"/>
          <w:spacing w:val="6"/>
        </w:rPr>
        <w:t>花芗雍峙村饮用水水源保护区。</w:t>
      </w:r>
    </w:p>
    <w:p>
      <w:pPr>
        <w:ind w:left="613"/>
        <w:spacing w:before="2" w:line="219" w:lineRule="auto"/>
        <w:rPr>
          <w:rFonts w:ascii="SimSun" w:hAnsi="SimSun" w:eastAsia="SimSun" w:cs="SimSun"/>
          <w:sz w:val="23"/>
          <w:szCs w:val="23"/>
        </w:rPr>
      </w:pPr>
      <w:r>
        <w:rPr>
          <w:rFonts w:ascii="SimSun" w:hAnsi="SimSun" w:eastAsia="SimSun" w:cs="SimSun"/>
          <w:sz w:val="23"/>
          <w:szCs w:val="23"/>
          <w:b/>
          <w:bCs/>
          <w:spacing w:val="13"/>
        </w:rPr>
        <w:t>(2)安州区龙兴村集中式饮用水源地</w:t>
      </w:r>
    </w:p>
    <w:p>
      <w:pPr>
        <w:ind w:left="480"/>
        <w:spacing w:before="220" w:line="219" w:lineRule="auto"/>
        <w:rPr>
          <w:rFonts w:ascii="SimSun" w:hAnsi="SimSun" w:eastAsia="SimSun" w:cs="SimSun"/>
          <w:sz w:val="23"/>
          <w:szCs w:val="23"/>
        </w:rPr>
      </w:pPr>
      <w:r>
        <w:rPr>
          <w:rFonts w:ascii="SimSun" w:hAnsi="SimSun" w:eastAsia="SimSun" w:cs="SimSun"/>
          <w:sz w:val="23"/>
          <w:szCs w:val="23"/>
          <w:spacing w:val="9"/>
        </w:rPr>
        <w:t>本项目东北侧约3000m</w:t>
      </w:r>
      <w:r>
        <w:rPr>
          <w:rFonts w:ascii="SimSun" w:hAnsi="SimSun" w:eastAsia="SimSun" w:cs="SimSun"/>
          <w:sz w:val="23"/>
          <w:szCs w:val="23"/>
          <w:spacing w:val="-39"/>
        </w:rPr>
        <w:t xml:space="preserve"> </w:t>
      </w:r>
      <w:r>
        <w:rPr>
          <w:rFonts w:ascii="SimSun" w:hAnsi="SimSun" w:eastAsia="SimSun" w:cs="SimSun"/>
          <w:sz w:val="23"/>
          <w:szCs w:val="23"/>
          <w:spacing w:val="9"/>
        </w:rPr>
        <w:t>为安州区龙兴村集中式饮用水水源地，1号取水口</w:t>
      </w:r>
    </w:p>
    <w:p>
      <w:pPr>
        <w:ind w:right="63" w:firstLine="140"/>
        <w:spacing w:before="182" w:line="370" w:lineRule="auto"/>
        <w:rPr>
          <w:rFonts w:ascii="SimSun" w:hAnsi="SimSun" w:eastAsia="SimSun" w:cs="SimSun"/>
          <w:sz w:val="23"/>
          <w:szCs w:val="23"/>
        </w:rPr>
      </w:pPr>
      <w:r>
        <w:rPr>
          <w:rFonts w:ascii="SimSun" w:hAnsi="SimSun" w:eastAsia="SimSun" w:cs="SimSun"/>
          <w:sz w:val="23"/>
          <w:szCs w:val="23"/>
          <w:spacing w:val="-1"/>
        </w:rPr>
        <w:t>(东经104°33'45.25",北纬31°33'30</w:t>
      </w:r>
      <w:r>
        <w:rPr>
          <w:rFonts w:ascii="SimSun" w:hAnsi="SimSun" w:eastAsia="SimSun" w:cs="SimSun"/>
          <w:sz w:val="23"/>
          <w:szCs w:val="23"/>
          <w:spacing w:val="-2"/>
        </w:rPr>
        <w:t>.04")、2号取水口(东经104°33'46.64",北</w:t>
      </w:r>
      <w:r>
        <w:rPr>
          <w:rFonts w:ascii="SimSun" w:hAnsi="SimSun" w:eastAsia="SimSun" w:cs="SimSun"/>
          <w:sz w:val="23"/>
          <w:szCs w:val="23"/>
        </w:rPr>
        <w:t xml:space="preserve"> </w:t>
      </w:r>
      <w:r>
        <w:rPr>
          <w:rFonts w:ascii="SimSun" w:hAnsi="SimSun" w:eastAsia="SimSun" w:cs="SimSun"/>
          <w:sz w:val="23"/>
          <w:szCs w:val="23"/>
          <w:spacing w:val="-4"/>
        </w:rPr>
        <w:t>纬31°33'28.20")、3号取水口(东经104°33'44.41"北纬31°33'28.62")、4号取水</w:t>
      </w:r>
      <w:r>
        <w:rPr>
          <w:rFonts w:ascii="SimSun" w:hAnsi="SimSun" w:eastAsia="SimSun" w:cs="SimSun"/>
          <w:sz w:val="23"/>
          <w:szCs w:val="23"/>
          <w:spacing w:val="18"/>
        </w:rPr>
        <w:t xml:space="preserve"> </w:t>
      </w:r>
      <w:r>
        <w:rPr>
          <w:rFonts w:ascii="SimSun" w:hAnsi="SimSun" w:eastAsia="SimSun" w:cs="SimSun"/>
          <w:sz w:val="23"/>
          <w:szCs w:val="23"/>
          <w:spacing w:val="-1"/>
        </w:rPr>
        <w:t>口(东经104°33'45.41",北纬31°33'26.52")、5号取水口(东经104°33'47.25",</w:t>
      </w:r>
      <w:r>
        <w:rPr>
          <w:rFonts w:ascii="SimSun" w:hAnsi="SimSun" w:eastAsia="SimSun" w:cs="SimSun"/>
          <w:sz w:val="23"/>
          <w:szCs w:val="23"/>
          <w:spacing w:val="5"/>
        </w:rPr>
        <w:t xml:space="preserve">  </w:t>
      </w:r>
      <w:r>
        <w:rPr>
          <w:rFonts w:ascii="SimSun" w:hAnsi="SimSun" w:eastAsia="SimSun" w:cs="SimSun"/>
          <w:sz w:val="23"/>
          <w:szCs w:val="23"/>
          <w:spacing w:val="2"/>
        </w:rPr>
        <w:t>北纬31°33'28.82")、6号取水口(东经104°33'47.84",北纬31°33'</w:t>
      </w:r>
      <w:r>
        <w:rPr>
          <w:rFonts w:ascii="SimSun" w:hAnsi="SimSun" w:eastAsia="SimSun" w:cs="SimSun"/>
          <w:sz w:val="23"/>
          <w:szCs w:val="23"/>
          <w:spacing w:val="1"/>
        </w:rPr>
        <w:t>27.89"),一</w:t>
      </w:r>
      <w:r>
        <w:rPr>
          <w:rFonts w:ascii="SimSun" w:hAnsi="SimSun" w:eastAsia="SimSun" w:cs="SimSun"/>
          <w:sz w:val="23"/>
          <w:szCs w:val="23"/>
        </w:rPr>
        <w:t xml:space="preserve">  </w:t>
      </w:r>
      <w:r>
        <w:rPr>
          <w:rFonts w:ascii="SimSun" w:hAnsi="SimSun" w:eastAsia="SimSun" w:cs="SimSun"/>
          <w:sz w:val="23"/>
          <w:szCs w:val="23"/>
          <w:spacing w:val="9"/>
        </w:rPr>
        <w:t>级保护区：4号取水口下游100米至1号取水口上游1000米，多年</w:t>
      </w:r>
      <w:r>
        <w:rPr>
          <w:rFonts w:ascii="SimSun" w:hAnsi="SimSun" w:eastAsia="SimSun" w:cs="SimSun"/>
          <w:sz w:val="23"/>
          <w:szCs w:val="23"/>
          <w:spacing w:val="8"/>
        </w:rPr>
        <w:t>平均水位对应高</w:t>
      </w:r>
      <w:r>
        <w:rPr>
          <w:rFonts w:ascii="SimSun" w:hAnsi="SimSun" w:eastAsia="SimSun" w:cs="SimSun"/>
          <w:sz w:val="23"/>
          <w:szCs w:val="23"/>
        </w:rPr>
        <w:t xml:space="preserve"> </w:t>
      </w:r>
      <w:r>
        <w:rPr>
          <w:rFonts w:ascii="SimSun" w:hAnsi="SimSun" w:eastAsia="SimSun" w:cs="SimSun"/>
          <w:sz w:val="23"/>
          <w:szCs w:val="23"/>
          <w:spacing w:val="6"/>
        </w:rPr>
        <w:t>程线下的水域范围； 一级保护区水域边界沿两岸纵深至防洪堤的陆域范围，以</w:t>
      </w:r>
      <w:r>
        <w:rPr>
          <w:rFonts w:ascii="SimSun" w:hAnsi="SimSun" w:eastAsia="SimSun" w:cs="SimSun"/>
          <w:sz w:val="23"/>
          <w:szCs w:val="23"/>
          <w:spacing w:val="7"/>
        </w:rPr>
        <w:t xml:space="preserve">  </w:t>
      </w:r>
      <w:r>
        <w:rPr>
          <w:rFonts w:ascii="SimSun" w:hAnsi="SimSun" w:eastAsia="SimSun" w:cs="SimSun"/>
          <w:sz w:val="23"/>
          <w:szCs w:val="23"/>
          <w:spacing w:val="16"/>
        </w:rPr>
        <w:t>及以各取水口为中心、溶质质点迁移100天的距</w:t>
      </w:r>
      <w:r>
        <w:rPr>
          <w:rFonts w:ascii="SimSun" w:hAnsi="SimSun" w:eastAsia="SimSun" w:cs="SimSun"/>
          <w:sz w:val="23"/>
          <w:szCs w:val="23"/>
          <w:spacing w:val="15"/>
        </w:rPr>
        <w:t>离(206米)所圈定的陆域范</w:t>
      </w:r>
    </w:p>
    <w:p>
      <w:pPr>
        <w:ind w:right="53"/>
        <w:spacing w:line="370" w:lineRule="auto"/>
        <w:rPr>
          <w:rFonts w:ascii="SimSun" w:hAnsi="SimSun" w:eastAsia="SimSun" w:cs="SimSun"/>
          <w:sz w:val="23"/>
          <w:szCs w:val="23"/>
        </w:rPr>
      </w:pPr>
      <w:r>
        <w:rPr>
          <w:rFonts w:ascii="SimSun" w:hAnsi="SimSun" w:eastAsia="SimSun" w:cs="SimSun"/>
          <w:sz w:val="23"/>
          <w:szCs w:val="23"/>
          <w:spacing w:val="9"/>
        </w:rPr>
        <w:t>围；二级保护区：4号取水口下游300米至1号取水口上游3000</w:t>
      </w:r>
      <w:r>
        <w:rPr>
          <w:rFonts w:ascii="SimSun" w:hAnsi="SimSun" w:eastAsia="SimSun" w:cs="SimSun"/>
          <w:sz w:val="23"/>
          <w:szCs w:val="23"/>
          <w:spacing w:val="8"/>
        </w:rPr>
        <w:t>米，多年平均水位</w:t>
      </w:r>
      <w:r>
        <w:rPr>
          <w:rFonts w:ascii="SimSun" w:hAnsi="SimSun" w:eastAsia="SimSun" w:cs="SimSun"/>
          <w:sz w:val="23"/>
          <w:szCs w:val="23"/>
        </w:rPr>
        <w:t xml:space="preserve"> </w:t>
      </w:r>
      <w:r>
        <w:rPr>
          <w:rFonts w:ascii="SimSun" w:hAnsi="SimSun" w:eastAsia="SimSun" w:cs="SimSun"/>
          <w:sz w:val="23"/>
          <w:szCs w:val="23"/>
          <w:spacing w:val="19"/>
        </w:rPr>
        <w:t>对应高程线下的水域范围(一级保护区除外);一、二级保护区水域边界沿两</w:t>
      </w:r>
      <w:r>
        <w:rPr>
          <w:rFonts w:ascii="SimSun" w:hAnsi="SimSun" w:eastAsia="SimSun" w:cs="SimSun"/>
          <w:sz w:val="23"/>
          <w:szCs w:val="23"/>
          <w:spacing w:val="8"/>
        </w:rPr>
        <w:t xml:space="preserve">  </w:t>
      </w:r>
      <w:r>
        <w:rPr>
          <w:rFonts w:ascii="SimSun" w:hAnsi="SimSun" w:eastAsia="SimSun" w:cs="SimSun"/>
          <w:sz w:val="23"/>
          <w:szCs w:val="23"/>
          <w:spacing w:val="9"/>
        </w:rPr>
        <w:t>岸纵深至防洪堤的陆域范围，以及以各取水口为中心、溶质质点迁移1000天的</w:t>
      </w:r>
      <w:r>
        <w:rPr>
          <w:rFonts w:ascii="SimSun" w:hAnsi="SimSun" w:eastAsia="SimSun" w:cs="SimSun"/>
          <w:sz w:val="23"/>
          <w:szCs w:val="23"/>
          <w:spacing w:val="6"/>
        </w:rPr>
        <w:t xml:space="preserve">  </w:t>
      </w:r>
      <w:r>
        <w:rPr>
          <w:rFonts w:ascii="SimSun" w:hAnsi="SimSun" w:eastAsia="SimSun" w:cs="SimSun"/>
          <w:sz w:val="23"/>
          <w:szCs w:val="23"/>
          <w:spacing w:val="26"/>
        </w:rPr>
        <w:t>距离(686米)圈定的陆域范围(一级保护区除外);准保护</w:t>
      </w:r>
      <w:r>
        <w:rPr>
          <w:rFonts w:ascii="SimSun" w:hAnsi="SimSun" w:eastAsia="SimSun" w:cs="SimSun"/>
          <w:sz w:val="23"/>
          <w:szCs w:val="23"/>
          <w:spacing w:val="25"/>
        </w:rPr>
        <w:t>区：水源的补给区</w:t>
      </w:r>
      <w:r>
        <w:rPr>
          <w:rFonts w:ascii="SimSun" w:hAnsi="SimSun" w:eastAsia="SimSun" w:cs="SimSun"/>
          <w:sz w:val="23"/>
          <w:szCs w:val="23"/>
        </w:rPr>
        <w:t xml:space="preserve"> </w:t>
      </w:r>
      <w:r>
        <w:rPr>
          <w:rFonts w:ascii="SimSun" w:hAnsi="SimSun" w:eastAsia="SimSun" w:cs="SimSun"/>
          <w:sz w:val="23"/>
          <w:szCs w:val="23"/>
          <w:spacing w:val="7"/>
        </w:rPr>
        <w:t>和径流区。</w:t>
      </w:r>
    </w:p>
    <w:p>
      <w:pPr>
        <w:ind w:left="480"/>
        <w:spacing w:before="54" w:line="219" w:lineRule="auto"/>
        <w:rPr>
          <w:rFonts w:ascii="SimSun" w:hAnsi="SimSun" w:eastAsia="SimSun" w:cs="SimSun"/>
          <w:sz w:val="23"/>
          <w:szCs w:val="23"/>
        </w:rPr>
      </w:pPr>
      <w:r>
        <w:rPr>
          <w:rFonts w:ascii="SimSun" w:hAnsi="SimSun" w:eastAsia="SimSun" w:cs="SimSun"/>
          <w:sz w:val="23"/>
          <w:szCs w:val="23"/>
          <w:spacing w:val="9"/>
        </w:rPr>
        <w:t>项目与安州区龙兴村集中式饮用水水源地位置关系图如下。</w:t>
      </w:r>
    </w:p>
    <w:p>
      <w:pPr>
        <w:spacing w:line="219" w:lineRule="auto"/>
        <w:sectPr>
          <w:headerReference w:type="default" r:id="rId5"/>
          <w:footerReference w:type="default" r:id="rId117"/>
          <w:pgSz w:w="11910" w:h="16840"/>
          <w:pgMar w:top="1219" w:right="1786" w:bottom="1017" w:left="1779" w:header="865" w:footer="719" w:gutter="0"/>
        </w:sectPr>
        <w:rPr>
          <w:rFonts w:ascii="SimSun" w:hAnsi="SimSun" w:eastAsia="SimSun" w:cs="SimSun"/>
          <w:sz w:val="23"/>
          <w:szCs w:val="23"/>
        </w:rPr>
      </w:pPr>
    </w:p>
    <w:p>
      <w:pPr>
        <w:pStyle w:val="BodyText"/>
        <w:spacing w:before="130" w:line="5710" w:lineRule="exact"/>
        <w:rPr/>
      </w:pPr>
      <w:r>
        <w:rPr>
          <w:position w:val="-114"/>
        </w:rPr>
        <w:pict>
          <v:group id="_x0000_s36" style="mso-position-vertical-relative:line;mso-position-horizontal-relative:char;width:420.55pt;height:285.5pt;" filled="false" stroked="false" coordsize="8410,5710" coordorigin="0,0">
            <v:shape id="_x0000_s38" style="position:absolute;left:0;top:0;width:8410;height:5710;" filled="false" stroked="false" type="#_x0000_t75">
              <v:imagedata o:title="" r:id="rId120"/>
            </v:shape>
            <v:shape id="_x0000_s40" style="position:absolute;left:-20;top:-20;width:8450;height:5750;" filled="false" stroked="false" type="#_x0000_t202">
              <v:fill on="false"/>
              <v:stroke on="false"/>
              <v:path/>
              <v:imagedata o:title=""/>
              <o:lock v:ext="edit" aspectratio="false"/>
              <v:textbox inset="0mm,0mm,0mm,0mm">
                <w:txbxContent>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ind w:left="7279"/>
                      <w:spacing w:before="36" w:line="223" w:lineRule="auto"/>
                      <w:rPr>
                        <w:rFonts w:ascii="FangSong" w:hAnsi="FangSong" w:eastAsia="FangSong" w:cs="FangSong"/>
                        <w:sz w:val="11"/>
                        <w:szCs w:val="11"/>
                      </w:rPr>
                    </w:pPr>
                    <w:r>
                      <w:rPr>
                        <w:rFonts w:ascii="FangSong" w:hAnsi="FangSong" w:eastAsia="FangSong" w:cs="FangSong"/>
                        <w:sz w:val="11"/>
                        <w:szCs w:val="11"/>
                        <w:spacing w:val="-10"/>
                      </w:rPr>
                      <w:t>图</w:t>
                    </w:r>
                    <w:r>
                      <w:rPr>
                        <w:rFonts w:ascii="FangSong" w:hAnsi="FangSong" w:eastAsia="FangSong" w:cs="FangSong"/>
                        <w:sz w:val="11"/>
                        <w:szCs w:val="11"/>
                        <w:spacing w:val="4"/>
                      </w:rPr>
                      <w:t xml:space="preserve"> </w:t>
                    </w:r>
                    <w:r>
                      <w:rPr>
                        <w:rFonts w:ascii="FangSong" w:hAnsi="FangSong" w:eastAsia="FangSong" w:cs="FangSong"/>
                        <w:sz w:val="11"/>
                        <w:szCs w:val="11"/>
                        <w:spacing w:val="-10"/>
                      </w:rPr>
                      <w:t>例</w:t>
                    </w:r>
                  </w:p>
                  <w:p>
                    <w:pPr>
                      <w:ind w:left="7279"/>
                      <w:spacing w:before="96" w:line="222" w:lineRule="auto"/>
                      <w:rPr>
                        <w:rFonts w:ascii="SimHei" w:hAnsi="SimHei" w:eastAsia="SimHei" w:cs="SimHei"/>
                        <w:sz w:val="11"/>
                        <w:szCs w:val="11"/>
                      </w:rPr>
                    </w:pPr>
                    <w:r>
                      <w:rPr>
                        <w:rFonts w:ascii="SimHei" w:hAnsi="SimHei" w:eastAsia="SimHei" w:cs="SimHei"/>
                        <w:sz w:val="11"/>
                        <w:szCs w:val="11"/>
                        <w:spacing w:val="-2"/>
                      </w:rPr>
                      <w:t>本项目</w:t>
                    </w:r>
                  </w:p>
                  <w:p>
                    <w:pPr>
                      <w:ind w:left="7279" w:right="626"/>
                      <w:spacing w:before="148" w:line="464" w:lineRule="auto"/>
                      <w:rPr>
                        <w:rFonts w:ascii="SimHei" w:hAnsi="SimHei" w:eastAsia="SimHei" w:cs="SimHei"/>
                        <w:sz w:val="11"/>
                        <w:szCs w:val="11"/>
                      </w:rPr>
                    </w:pPr>
                    <w:r>
                      <w:rPr>
                        <w:rFonts w:ascii="SimSun" w:hAnsi="SimSun" w:eastAsia="SimSun" w:cs="SimSun"/>
                        <w:sz w:val="11"/>
                        <w:szCs w:val="11"/>
                        <w:spacing w:val="-2"/>
                      </w:rPr>
                      <w:t>一级保护区</w:t>
                    </w:r>
                    <w:r>
                      <w:rPr>
                        <w:rFonts w:ascii="SimSun" w:hAnsi="SimSun" w:eastAsia="SimSun" w:cs="SimSun"/>
                        <w:sz w:val="11"/>
                        <w:szCs w:val="11"/>
                        <w:spacing w:val="2"/>
                      </w:rPr>
                      <w:t xml:space="preserve"> </w:t>
                    </w:r>
                    <w:r>
                      <w:rPr>
                        <w:rFonts w:ascii="SimSun" w:hAnsi="SimSun" w:eastAsia="SimSun" w:cs="SimSun"/>
                        <w:sz w:val="11"/>
                        <w:szCs w:val="11"/>
                        <w:spacing w:val="-2"/>
                      </w:rPr>
                      <w:t>二级保护区</w:t>
                    </w:r>
                    <w:r>
                      <w:rPr>
                        <w:rFonts w:ascii="SimSun" w:hAnsi="SimSun" w:eastAsia="SimSun" w:cs="SimSun"/>
                        <w:sz w:val="11"/>
                        <w:szCs w:val="11"/>
                        <w:spacing w:val="2"/>
                      </w:rPr>
                      <w:t xml:space="preserve"> </w:t>
                    </w:r>
                    <w:r>
                      <w:rPr>
                        <w:rFonts w:ascii="SimHei" w:hAnsi="SimHei" w:eastAsia="SimHei" w:cs="SimHei"/>
                        <w:sz w:val="11"/>
                        <w:szCs w:val="11"/>
                        <w:spacing w:val="-1"/>
                      </w:rPr>
                      <w:t>准保护区</w:t>
                    </w:r>
                  </w:p>
                </w:txbxContent>
              </v:textbox>
            </v:shape>
          </v:group>
        </w:pict>
      </w:r>
    </w:p>
    <w:p>
      <w:pPr>
        <w:ind w:left="1673"/>
        <w:spacing w:before="26" w:line="219" w:lineRule="auto"/>
        <w:rPr>
          <w:rFonts w:ascii="SimSun" w:hAnsi="SimSun" w:eastAsia="SimSun" w:cs="SimSun"/>
          <w:sz w:val="23"/>
          <w:szCs w:val="23"/>
        </w:rPr>
      </w:pPr>
      <w:r>
        <w:rPr>
          <w:rFonts w:ascii="SimSun" w:hAnsi="SimSun" w:eastAsia="SimSun" w:cs="SimSun"/>
          <w:sz w:val="23"/>
          <w:szCs w:val="23"/>
          <w:b/>
          <w:bCs/>
          <w:spacing w:val="5"/>
        </w:rPr>
        <w:t>图1.6-1项目与饮用水水源保护区位置关系示意图</w:t>
      </w:r>
    </w:p>
    <w:p>
      <w:pPr>
        <w:ind w:left="69"/>
        <w:spacing w:before="275" w:line="222" w:lineRule="auto"/>
        <w:rPr>
          <w:rFonts w:ascii="SimHei" w:hAnsi="SimHei" w:eastAsia="SimHei" w:cs="SimHei"/>
          <w:sz w:val="23"/>
          <w:szCs w:val="23"/>
        </w:rPr>
      </w:pPr>
      <w:r>
        <w:rPr>
          <w:rFonts w:ascii="Times New Roman" w:hAnsi="Times New Roman" w:eastAsia="Times New Roman" w:cs="Times New Roman"/>
          <w:sz w:val="23"/>
          <w:szCs w:val="23"/>
          <w:spacing w:val="14"/>
        </w:rPr>
        <w:t>1</w:t>
      </w:r>
      <w:r>
        <w:rPr>
          <w:rFonts w:ascii="Times New Roman" w:hAnsi="Times New Roman" w:eastAsia="Times New Roman" w:cs="Times New Roman"/>
          <w:sz w:val="23"/>
          <w:szCs w:val="23"/>
          <w:spacing w:val="-17"/>
        </w:rPr>
        <w:t xml:space="preserve"> </w:t>
      </w:r>
      <w:r>
        <w:rPr>
          <w:rFonts w:ascii="SimHei" w:hAnsi="SimHei" w:eastAsia="SimHei" w:cs="SimHei"/>
          <w:sz w:val="23"/>
          <w:szCs w:val="23"/>
          <w:b/>
          <w:bCs/>
          <w:spacing w:val="14"/>
        </w:rPr>
        <w:t>.6.2外环境关系</w:t>
      </w:r>
    </w:p>
    <w:p>
      <w:pPr>
        <w:ind w:left="69" w:right="48" w:firstLine="470"/>
        <w:spacing w:before="197" w:line="377" w:lineRule="auto"/>
        <w:rPr>
          <w:rFonts w:ascii="SimSun" w:hAnsi="SimSun" w:eastAsia="SimSun" w:cs="SimSun"/>
          <w:sz w:val="23"/>
          <w:szCs w:val="23"/>
        </w:rPr>
      </w:pPr>
      <w:r>
        <w:rPr>
          <w:rFonts w:ascii="SimSun" w:hAnsi="SimSun" w:eastAsia="SimSun" w:cs="SimSun"/>
          <w:sz w:val="23"/>
          <w:szCs w:val="23"/>
          <w:spacing w:val="12"/>
        </w:rPr>
        <w:t>本项目位于四川绵阳安州工业园区内，根据现场勘</w:t>
      </w:r>
      <w:r>
        <w:rPr>
          <w:rFonts w:ascii="SimSun" w:hAnsi="SimSun" w:eastAsia="SimSun" w:cs="SimSun"/>
          <w:sz w:val="23"/>
          <w:szCs w:val="23"/>
          <w:spacing w:val="11"/>
        </w:rPr>
        <w:t>查，项目周边500</w:t>
      </w:r>
      <w:r>
        <w:rPr>
          <w:rFonts w:ascii="Times New Roman" w:hAnsi="Times New Roman" w:eastAsia="Times New Roman" w:cs="Times New Roman"/>
          <w:sz w:val="23"/>
          <w:szCs w:val="23"/>
          <w:spacing w:val="11"/>
        </w:rPr>
        <w:t>m</w:t>
      </w:r>
      <w:r>
        <w:rPr>
          <w:rFonts w:ascii="SimSun" w:hAnsi="SimSun" w:eastAsia="SimSun" w:cs="SimSun"/>
          <w:sz w:val="23"/>
          <w:szCs w:val="23"/>
          <w:spacing w:val="11"/>
        </w:rPr>
        <w:t>范围</w:t>
      </w:r>
      <w:r>
        <w:rPr>
          <w:rFonts w:ascii="SimSun" w:hAnsi="SimSun" w:eastAsia="SimSun" w:cs="SimSun"/>
          <w:sz w:val="23"/>
          <w:szCs w:val="23"/>
        </w:rPr>
        <w:t xml:space="preserve"> </w:t>
      </w:r>
      <w:r>
        <w:rPr>
          <w:rFonts w:ascii="SimSun" w:hAnsi="SimSun" w:eastAsia="SimSun" w:cs="SimSun"/>
          <w:sz w:val="23"/>
          <w:szCs w:val="23"/>
          <w:spacing w:val="3"/>
        </w:rPr>
        <w:t>内环境关系如下：</w:t>
      </w:r>
    </w:p>
    <w:p>
      <w:pPr>
        <w:ind w:left="539" w:right="174"/>
        <w:spacing w:line="373" w:lineRule="auto"/>
        <w:rPr>
          <w:rFonts w:ascii="SimSun" w:hAnsi="SimSun" w:eastAsia="SimSun" w:cs="SimSun"/>
          <w:sz w:val="23"/>
          <w:szCs w:val="23"/>
        </w:rPr>
      </w:pPr>
      <w:r>
        <w:rPr>
          <w:rFonts w:ascii="SimSun" w:hAnsi="SimSun" w:eastAsia="SimSun" w:cs="SimSun"/>
          <w:sz w:val="23"/>
          <w:szCs w:val="23"/>
          <w:spacing w:val="7"/>
        </w:rPr>
        <w:t>北侧紧邻花芗配气站，约200m</w:t>
      </w:r>
      <w:r>
        <w:rPr>
          <w:rFonts w:ascii="SimSun" w:hAnsi="SimSun" w:eastAsia="SimSun" w:cs="SimSun"/>
          <w:sz w:val="23"/>
          <w:szCs w:val="23"/>
          <w:spacing w:val="-19"/>
        </w:rPr>
        <w:t xml:space="preserve"> </w:t>
      </w:r>
      <w:r>
        <w:rPr>
          <w:rFonts w:ascii="SimSun" w:hAnsi="SimSun" w:eastAsia="SimSun" w:cs="SimSun"/>
          <w:sz w:val="23"/>
          <w:szCs w:val="23"/>
          <w:spacing w:val="7"/>
        </w:rPr>
        <w:t>处为安州区工业园区产业园物流配套项目；</w:t>
      </w:r>
      <w:r>
        <w:rPr>
          <w:rFonts w:ascii="SimSun" w:hAnsi="SimSun" w:eastAsia="SimSun" w:cs="SimSun"/>
          <w:sz w:val="23"/>
          <w:szCs w:val="23"/>
        </w:rPr>
        <w:t xml:space="preserve"> </w:t>
      </w:r>
      <w:r>
        <w:rPr>
          <w:rFonts w:ascii="SimSun" w:hAnsi="SimSun" w:eastAsia="SimSun" w:cs="SimSun"/>
          <w:sz w:val="23"/>
          <w:szCs w:val="23"/>
          <w:spacing w:val="7"/>
        </w:rPr>
        <w:t>东北侧约160</w:t>
      </w:r>
      <w:r>
        <w:rPr>
          <w:rFonts w:ascii="Times New Roman" w:hAnsi="Times New Roman" w:eastAsia="Times New Roman" w:cs="Times New Roman"/>
          <w:sz w:val="23"/>
          <w:szCs w:val="23"/>
          <w:spacing w:val="7"/>
        </w:rPr>
        <w:t>m</w:t>
      </w:r>
      <w:r>
        <w:rPr>
          <w:rFonts w:ascii="SimSun" w:hAnsi="SimSun" w:eastAsia="SimSun" w:cs="SimSun"/>
          <w:sz w:val="23"/>
          <w:szCs w:val="23"/>
          <w:spacing w:val="7"/>
        </w:rPr>
        <w:t>处为四川七叔公食品有限公司，约500</w:t>
      </w:r>
      <w:r>
        <w:rPr>
          <w:rFonts w:ascii="Times New Roman" w:hAnsi="Times New Roman" w:eastAsia="Times New Roman" w:cs="Times New Roman"/>
          <w:sz w:val="23"/>
          <w:szCs w:val="23"/>
          <w:spacing w:val="7"/>
        </w:rPr>
        <w:t>m</w:t>
      </w:r>
      <w:r>
        <w:rPr>
          <w:rFonts w:ascii="SimSun" w:hAnsi="SimSun" w:eastAsia="SimSun" w:cs="SimSun"/>
          <w:sz w:val="23"/>
          <w:szCs w:val="23"/>
          <w:spacing w:val="7"/>
        </w:rPr>
        <w:t>处为前进村；</w:t>
      </w:r>
    </w:p>
    <w:p>
      <w:pPr>
        <w:ind w:left="69" w:right="509" w:firstLine="470"/>
        <w:spacing w:before="1" w:line="377" w:lineRule="auto"/>
        <w:rPr>
          <w:rFonts w:ascii="SimSun" w:hAnsi="SimSun" w:eastAsia="SimSun" w:cs="SimSun"/>
          <w:sz w:val="23"/>
          <w:szCs w:val="23"/>
        </w:rPr>
      </w:pPr>
      <w:r>
        <w:rPr>
          <w:rFonts w:ascii="SimSun" w:hAnsi="SimSun" w:eastAsia="SimSun" w:cs="SimSun"/>
          <w:sz w:val="23"/>
          <w:szCs w:val="23"/>
          <w:spacing w:val="9"/>
        </w:rPr>
        <w:t>东侧相邻四川好巴蜀食品科技有限公司，约9</w:t>
      </w:r>
      <w:r>
        <w:rPr>
          <w:rFonts w:ascii="SimSun" w:hAnsi="SimSun" w:eastAsia="SimSun" w:cs="SimSun"/>
          <w:sz w:val="23"/>
          <w:szCs w:val="23"/>
          <w:spacing w:val="8"/>
        </w:rPr>
        <w:t>0m</w:t>
      </w:r>
      <w:r>
        <w:rPr>
          <w:rFonts w:ascii="SimSun" w:hAnsi="SimSun" w:eastAsia="SimSun" w:cs="SimSun"/>
          <w:sz w:val="23"/>
          <w:szCs w:val="23"/>
          <w:spacing w:val="-47"/>
        </w:rPr>
        <w:t xml:space="preserve"> </w:t>
      </w:r>
      <w:r>
        <w:rPr>
          <w:rFonts w:ascii="SimSun" w:hAnsi="SimSun" w:eastAsia="SimSun" w:cs="SimSun"/>
          <w:sz w:val="23"/>
          <w:szCs w:val="23"/>
          <w:spacing w:val="8"/>
        </w:rPr>
        <w:t>处保康林医药公司，约</w:t>
      </w:r>
      <w:r>
        <w:rPr>
          <w:rFonts w:ascii="SimSun" w:hAnsi="SimSun" w:eastAsia="SimSun" w:cs="SimSun"/>
          <w:sz w:val="23"/>
          <w:szCs w:val="23"/>
        </w:rPr>
        <w:t xml:space="preserve"> </w:t>
      </w:r>
      <w:r>
        <w:rPr>
          <w:rFonts w:ascii="Times New Roman" w:hAnsi="Times New Roman" w:eastAsia="Times New Roman" w:cs="Times New Roman"/>
          <w:sz w:val="23"/>
          <w:szCs w:val="23"/>
          <w:spacing w:val="3"/>
        </w:rPr>
        <w:t>180m</w:t>
      </w:r>
      <w:r>
        <w:rPr>
          <w:rFonts w:ascii="SimSun" w:hAnsi="SimSun" w:eastAsia="SimSun" w:cs="SimSun"/>
          <w:sz w:val="23"/>
          <w:szCs w:val="23"/>
          <w:spacing w:val="3"/>
        </w:rPr>
        <w:t>处为安州区高级职业中学；</w:t>
      </w:r>
    </w:p>
    <w:p>
      <w:pPr>
        <w:ind w:left="69" w:right="49" w:firstLine="470"/>
        <w:spacing w:before="2" w:line="374" w:lineRule="auto"/>
        <w:jc w:val="both"/>
        <w:rPr>
          <w:rFonts w:ascii="SimSun" w:hAnsi="SimSun" w:eastAsia="SimSun" w:cs="SimSun"/>
          <w:sz w:val="23"/>
          <w:szCs w:val="23"/>
        </w:rPr>
      </w:pPr>
      <w:r>
        <w:rPr>
          <w:rFonts w:ascii="SimSun" w:hAnsi="SimSun" w:eastAsia="SimSun" w:cs="SimSun"/>
          <w:sz w:val="23"/>
          <w:szCs w:val="23"/>
          <w:spacing w:val="11"/>
        </w:rPr>
        <w:t>东南侧约70</w:t>
      </w:r>
      <w:r>
        <w:rPr>
          <w:rFonts w:ascii="Times New Roman" w:hAnsi="Times New Roman" w:eastAsia="Times New Roman" w:cs="Times New Roman"/>
          <w:sz w:val="23"/>
          <w:szCs w:val="23"/>
          <w:spacing w:val="11"/>
        </w:rPr>
        <w:t>m</w:t>
      </w:r>
      <w:r>
        <w:rPr>
          <w:rFonts w:ascii="Times New Roman" w:hAnsi="Times New Roman" w:eastAsia="Times New Roman" w:cs="Times New Roman"/>
          <w:sz w:val="23"/>
          <w:szCs w:val="23"/>
          <w:spacing w:val="-27"/>
        </w:rPr>
        <w:t xml:space="preserve"> </w:t>
      </w:r>
      <w:r>
        <w:rPr>
          <w:rFonts w:ascii="SimSun" w:hAnsi="SimSun" w:eastAsia="SimSun" w:cs="SimSun"/>
          <w:sz w:val="23"/>
          <w:szCs w:val="23"/>
          <w:spacing w:val="11"/>
        </w:rPr>
        <w:t>处为绵阳辉达粮油有限公司，约100</w:t>
      </w:r>
      <w:r>
        <w:rPr>
          <w:rFonts w:ascii="Times New Roman" w:hAnsi="Times New Roman" w:eastAsia="Times New Roman" w:cs="Times New Roman"/>
          <w:sz w:val="23"/>
          <w:szCs w:val="23"/>
          <w:spacing w:val="11"/>
        </w:rPr>
        <w:t>m</w:t>
      </w:r>
      <w:r>
        <w:rPr>
          <w:rFonts w:ascii="Times New Roman" w:hAnsi="Times New Roman" w:eastAsia="Times New Roman" w:cs="Times New Roman"/>
          <w:sz w:val="23"/>
          <w:szCs w:val="23"/>
          <w:spacing w:val="-35"/>
        </w:rPr>
        <w:t xml:space="preserve"> </w:t>
      </w:r>
      <w:r>
        <w:rPr>
          <w:rFonts w:ascii="SimSun" w:hAnsi="SimSun" w:eastAsia="SimSun" w:cs="SimSun"/>
          <w:sz w:val="23"/>
          <w:szCs w:val="23"/>
          <w:spacing w:val="11"/>
        </w:rPr>
        <w:t>处为四川昂川制药有限</w:t>
      </w:r>
      <w:r>
        <w:rPr>
          <w:rFonts w:ascii="SimSun" w:hAnsi="SimSun" w:eastAsia="SimSun" w:cs="SimSun"/>
          <w:sz w:val="23"/>
          <w:szCs w:val="23"/>
        </w:rPr>
        <w:t xml:space="preserve"> </w:t>
      </w:r>
      <w:r>
        <w:rPr>
          <w:rFonts w:ascii="SimSun" w:hAnsi="SimSun" w:eastAsia="SimSun" w:cs="SimSun"/>
          <w:sz w:val="23"/>
          <w:szCs w:val="23"/>
          <w:spacing w:val="9"/>
        </w:rPr>
        <w:t>公司，约370</w:t>
      </w:r>
      <w:r>
        <w:rPr>
          <w:rFonts w:ascii="Times New Roman" w:hAnsi="Times New Roman" w:eastAsia="Times New Roman" w:cs="Times New Roman"/>
          <w:sz w:val="23"/>
          <w:szCs w:val="23"/>
          <w:spacing w:val="9"/>
        </w:rPr>
        <w:t>m</w:t>
      </w:r>
      <w:r>
        <w:rPr>
          <w:rFonts w:ascii="SimSun" w:hAnsi="SimSun" w:eastAsia="SimSun" w:cs="SimSun"/>
          <w:sz w:val="23"/>
          <w:szCs w:val="23"/>
          <w:spacing w:val="9"/>
        </w:rPr>
        <w:t>处为四川川哥壹品食品科技有限公司，约400</w:t>
      </w:r>
      <w:r>
        <w:rPr>
          <w:rFonts w:ascii="Times New Roman" w:hAnsi="Times New Roman" w:eastAsia="Times New Roman" w:cs="Times New Roman"/>
          <w:sz w:val="23"/>
          <w:szCs w:val="23"/>
          <w:spacing w:val="9"/>
        </w:rPr>
        <w:t>m</w:t>
      </w:r>
      <w:r>
        <w:rPr>
          <w:rFonts w:ascii="SimSun" w:hAnsi="SimSun" w:eastAsia="SimSun" w:cs="SimSun"/>
          <w:sz w:val="23"/>
          <w:szCs w:val="23"/>
          <w:spacing w:val="9"/>
        </w:rPr>
        <w:t>处为东方魔芋，约</w:t>
      </w:r>
      <w:r>
        <w:rPr>
          <w:rFonts w:ascii="SimSun" w:hAnsi="SimSun" w:eastAsia="SimSun" w:cs="SimSun"/>
          <w:sz w:val="23"/>
          <w:szCs w:val="23"/>
        </w:rPr>
        <w:t xml:space="preserve"> </w:t>
      </w:r>
      <w:r>
        <w:rPr>
          <w:rFonts w:ascii="SimSun" w:hAnsi="SimSun" w:eastAsia="SimSun" w:cs="SimSun"/>
          <w:sz w:val="23"/>
          <w:szCs w:val="23"/>
          <w:spacing w:val="3"/>
        </w:rPr>
        <w:t>500m</w:t>
      </w:r>
      <w:r>
        <w:rPr>
          <w:rFonts w:ascii="SimSun" w:hAnsi="SimSun" w:eastAsia="SimSun" w:cs="SimSun"/>
          <w:sz w:val="23"/>
          <w:szCs w:val="23"/>
          <w:spacing w:val="-6"/>
        </w:rPr>
        <w:t xml:space="preserve"> </w:t>
      </w:r>
      <w:r>
        <w:rPr>
          <w:rFonts w:ascii="SimSun" w:hAnsi="SimSun" w:eastAsia="SimSun" w:cs="SimSun"/>
          <w:sz w:val="23"/>
          <w:szCs w:val="23"/>
          <w:spacing w:val="3"/>
        </w:rPr>
        <w:t>处为绵阳恒跃智能制造产业园；</w:t>
      </w:r>
    </w:p>
    <w:p>
      <w:pPr>
        <w:pStyle w:val="BodyText"/>
        <w:ind w:left="69" w:right="59" w:firstLine="470"/>
        <w:spacing w:before="2" w:line="363" w:lineRule="auto"/>
        <w:jc w:val="both"/>
        <w:rPr>
          <w:rFonts w:ascii="SimSun" w:hAnsi="SimSun" w:eastAsia="SimSun" w:cs="SimSun"/>
          <w:sz w:val="23"/>
          <w:szCs w:val="23"/>
        </w:rPr>
      </w:pPr>
      <w:r>
        <w:rPr>
          <w:rFonts w:ascii="SimSun" w:hAnsi="SimSun" w:eastAsia="SimSun" w:cs="SimSun"/>
          <w:sz w:val="23"/>
          <w:szCs w:val="23"/>
          <w:spacing w:val="11"/>
        </w:rPr>
        <w:t>南侧紧邻四川海平线检测技术有限责任公司，约110</w:t>
      </w:r>
      <w:r>
        <w:rPr>
          <w:sz w:val="23"/>
          <w:szCs w:val="23"/>
          <w:spacing w:val="11"/>
        </w:rPr>
        <w:t>m</w:t>
      </w:r>
      <w:r>
        <w:rPr>
          <w:rFonts w:ascii="SimSun" w:hAnsi="SimSun" w:eastAsia="SimSun" w:cs="SimSun"/>
          <w:sz w:val="23"/>
          <w:szCs w:val="23"/>
          <w:spacing w:val="11"/>
        </w:rPr>
        <w:t>处为绵阳九州通医药</w:t>
      </w:r>
      <w:r>
        <w:rPr>
          <w:rFonts w:ascii="SimSun" w:hAnsi="SimSun" w:eastAsia="SimSun" w:cs="SimSun"/>
          <w:sz w:val="23"/>
          <w:szCs w:val="23"/>
        </w:rPr>
        <w:t xml:space="preserve"> </w:t>
      </w:r>
      <w:r>
        <w:rPr>
          <w:rFonts w:ascii="SimSun" w:hAnsi="SimSun" w:eastAsia="SimSun" w:cs="SimSun"/>
          <w:sz w:val="23"/>
          <w:szCs w:val="23"/>
          <w:spacing w:val="8"/>
        </w:rPr>
        <w:t>有限公司，约460</w:t>
      </w:r>
      <w:r>
        <w:rPr>
          <w:rFonts w:ascii="Times New Roman" w:hAnsi="Times New Roman" w:eastAsia="Times New Roman" w:cs="Times New Roman"/>
          <w:sz w:val="23"/>
          <w:szCs w:val="23"/>
          <w:spacing w:val="8"/>
        </w:rPr>
        <w:t>m</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8"/>
        </w:rPr>
        <w:t>处为四川新一美生物科技有限公司，约500</w:t>
      </w:r>
      <w:r>
        <w:rPr>
          <w:rFonts w:ascii="Times New Roman" w:hAnsi="Times New Roman" w:eastAsia="Times New Roman" w:cs="Times New Roman"/>
          <w:sz w:val="23"/>
          <w:szCs w:val="23"/>
          <w:spacing w:val="8"/>
        </w:rPr>
        <w:t>m</w:t>
      </w:r>
      <w:r>
        <w:rPr>
          <w:rFonts w:ascii="SimSun" w:hAnsi="SimSun" w:eastAsia="SimSun" w:cs="SimSun"/>
          <w:sz w:val="23"/>
          <w:szCs w:val="23"/>
          <w:spacing w:val="8"/>
        </w:rPr>
        <w:t>处为四川大陈粮</w:t>
      </w:r>
      <w:r>
        <w:rPr>
          <w:rFonts w:ascii="SimSun" w:hAnsi="SimSun" w:eastAsia="SimSun" w:cs="SimSun"/>
          <w:sz w:val="23"/>
          <w:szCs w:val="23"/>
        </w:rPr>
        <w:t xml:space="preserve"> </w:t>
      </w:r>
      <w:r>
        <w:rPr>
          <w:rFonts w:ascii="SimSun" w:hAnsi="SimSun" w:eastAsia="SimSun" w:cs="SimSun"/>
          <w:sz w:val="23"/>
          <w:szCs w:val="23"/>
        </w:rPr>
        <w:t>油有限公司；</w:t>
      </w:r>
    </w:p>
    <w:p>
      <w:pPr>
        <w:ind w:left="539"/>
        <w:spacing w:before="33" w:line="219" w:lineRule="auto"/>
        <w:rPr>
          <w:rFonts w:ascii="SimSun" w:hAnsi="SimSun" w:eastAsia="SimSun" w:cs="SimSun"/>
          <w:sz w:val="23"/>
          <w:szCs w:val="23"/>
        </w:rPr>
      </w:pPr>
      <w:r>
        <w:rPr>
          <w:rFonts w:ascii="SimSun" w:hAnsi="SimSun" w:eastAsia="SimSun" w:cs="SimSun"/>
          <w:sz w:val="23"/>
          <w:szCs w:val="23"/>
          <w:spacing w:val="6"/>
        </w:rPr>
        <w:t>西侧紧邻道路，隔道路为待建空地，约380</w:t>
      </w:r>
      <w:r>
        <w:rPr>
          <w:rFonts w:ascii="Times New Roman" w:hAnsi="Times New Roman" w:eastAsia="Times New Roman" w:cs="Times New Roman"/>
          <w:sz w:val="23"/>
          <w:szCs w:val="23"/>
          <w:spacing w:val="6"/>
        </w:rPr>
        <w:t>m</w:t>
      </w:r>
      <w:r>
        <w:rPr>
          <w:rFonts w:ascii="SimSun" w:hAnsi="SimSun" w:eastAsia="SimSun" w:cs="SimSun"/>
          <w:sz w:val="23"/>
          <w:szCs w:val="23"/>
          <w:spacing w:val="6"/>
        </w:rPr>
        <w:t>为马鞍大道；</w:t>
      </w:r>
    </w:p>
    <w:p>
      <w:pPr>
        <w:ind w:left="69" w:right="56" w:firstLine="470"/>
        <w:spacing w:before="205" w:line="369" w:lineRule="auto"/>
        <w:rPr>
          <w:rFonts w:ascii="SimSun" w:hAnsi="SimSun" w:eastAsia="SimSun" w:cs="SimSun"/>
          <w:sz w:val="23"/>
          <w:szCs w:val="23"/>
        </w:rPr>
      </w:pPr>
      <w:r>
        <w:rPr>
          <w:rFonts w:ascii="SimSun" w:hAnsi="SimSun" w:eastAsia="SimSun" w:cs="SimSun"/>
          <w:sz w:val="23"/>
          <w:szCs w:val="23"/>
          <w:spacing w:val="8"/>
        </w:rPr>
        <w:t>西南侧约115</w:t>
      </w:r>
      <w:r>
        <w:rPr>
          <w:rFonts w:ascii="Times New Roman" w:hAnsi="Times New Roman" w:eastAsia="Times New Roman" w:cs="Times New Roman"/>
          <w:sz w:val="23"/>
          <w:szCs w:val="23"/>
          <w:spacing w:val="8"/>
        </w:rPr>
        <w:t>m</w:t>
      </w:r>
      <w:r>
        <w:rPr>
          <w:rFonts w:ascii="Times New Roman" w:hAnsi="Times New Roman" w:eastAsia="Times New Roman" w:cs="Times New Roman"/>
          <w:sz w:val="23"/>
          <w:szCs w:val="23"/>
          <w:spacing w:val="-21"/>
        </w:rPr>
        <w:t xml:space="preserve"> </w:t>
      </w:r>
      <w:r>
        <w:rPr>
          <w:rFonts w:ascii="SimSun" w:hAnsi="SimSun" w:eastAsia="SimSun" w:cs="SimSun"/>
          <w:sz w:val="23"/>
          <w:szCs w:val="23"/>
          <w:spacing w:val="8"/>
        </w:rPr>
        <w:t>处为五方源粮油有限公司，约208</w:t>
      </w:r>
      <w:r>
        <w:rPr>
          <w:rFonts w:ascii="Times New Roman" w:hAnsi="Times New Roman" w:eastAsia="Times New Roman" w:cs="Times New Roman"/>
          <w:sz w:val="23"/>
          <w:szCs w:val="23"/>
          <w:spacing w:val="8"/>
        </w:rPr>
        <w:t>m</w:t>
      </w:r>
      <w:r>
        <w:rPr>
          <w:rFonts w:ascii="SimSun" w:hAnsi="SimSun" w:eastAsia="SimSun" w:cs="SimSun"/>
          <w:sz w:val="23"/>
          <w:szCs w:val="23"/>
          <w:spacing w:val="8"/>
        </w:rPr>
        <w:t>处为绵阳绿源米业有限公</w:t>
      </w:r>
      <w:r>
        <w:rPr>
          <w:rFonts w:ascii="SimSun" w:hAnsi="SimSun" w:eastAsia="SimSun" w:cs="SimSun"/>
          <w:sz w:val="23"/>
          <w:szCs w:val="23"/>
        </w:rPr>
        <w:t xml:space="preserve"> </w:t>
      </w:r>
      <w:r>
        <w:rPr>
          <w:rFonts w:ascii="SimSun" w:hAnsi="SimSun" w:eastAsia="SimSun" w:cs="SimSun"/>
          <w:sz w:val="23"/>
          <w:szCs w:val="23"/>
          <w:spacing w:val="6"/>
        </w:rPr>
        <w:t>司，约275</w:t>
      </w:r>
      <w:r>
        <w:rPr>
          <w:rFonts w:ascii="Times New Roman" w:hAnsi="Times New Roman" w:eastAsia="Times New Roman" w:cs="Times New Roman"/>
          <w:sz w:val="23"/>
          <w:szCs w:val="23"/>
          <w:spacing w:val="6"/>
        </w:rPr>
        <w:t>m</w:t>
      </w:r>
      <w:r>
        <w:rPr>
          <w:rFonts w:ascii="Times New Roman" w:hAnsi="Times New Roman" w:eastAsia="Times New Roman" w:cs="Times New Roman"/>
          <w:sz w:val="23"/>
          <w:szCs w:val="23"/>
          <w:spacing w:val="-18"/>
        </w:rPr>
        <w:t xml:space="preserve"> </w:t>
      </w:r>
      <w:r>
        <w:rPr>
          <w:rFonts w:ascii="SimSun" w:hAnsi="SimSun" w:eastAsia="SimSun" w:cs="SimSun"/>
          <w:sz w:val="23"/>
          <w:szCs w:val="23"/>
          <w:spacing w:val="6"/>
        </w:rPr>
        <w:t>处为绵阳市邦太食品科技有限责任公司。</w:t>
      </w:r>
    </w:p>
    <w:p>
      <w:pPr>
        <w:ind w:left="539"/>
        <w:spacing w:before="1" w:line="217" w:lineRule="auto"/>
        <w:rPr>
          <w:rFonts w:ascii="SimSun" w:hAnsi="SimSun" w:eastAsia="SimSun" w:cs="SimSun"/>
          <w:sz w:val="23"/>
          <w:szCs w:val="23"/>
        </w:rPr>
      </w:pPr>
      <w:r>
        <w:rPr>
          <w:rFonts w:ascii="SimSun" w:hAnsi="SimSun" w:eastAsia="SimSun" w:cs="SimSun"/>
          <w:sz w:val="23"/>
          <w:szCs w:val="23"/>
          <w:spacing w:val="11"/>
        </w:rPr>
        <w:t>本项目运营期生猪待宰圈舍恶臭经负压密闭抽风系统</w:t>
      </w:r>
      <w:r>
        <w:rPr>
          <w:rFonts w:ascii="SimSun" w:hAnsi="SimSun" w:eastAsia="SimSun" w:cs="SimSun"/>
          <w:sz w:val="23"/>
          <w:szCs w:val="23"/>
          <w:spacing w:val="10"/>
        </w:rPr>
        <w:t>引入“喷淋+</w:t>
      </w:r>
      <w:r>
        <w:rPr>
          <w:rFonts w:ascii="Times New Roman" w:hAnsi="Times New Roman" w:eastAsia="Times New Roman" w:cs="Times New Roman"/>
          <w:sz w:val="23"/>
          <w:szCs w:val="23"/>
        </w:rPr>
        <w:t>UV</w:t>
      </w:r>
      <w:r>
        <w:rPr>
          <w:rFonts w:ascii="SimSun" w:hAnsi="SimSun" w:eastAsia="SimSun" w:cs="SimSun"/>
          <w:sz w:val="23"/>
          <w:szCs w:val="23"/>
          <w:spacing w:val="10"/>
        </w:rPr>
        <w:t>光解+</w:t>
      </w:r>
    </w:p>
    <w:p>
      <w:pPr>
        <w:spacing w:line="217" w:lineRule="auto"/>
        <w:sectPr>
          <w:headerReference w:type="default" r:id="rId118"/>
          <w:footerReference w:type="default" r:id="rId119"/>
          <w:pgSz w:w="11910" w:h="16840"/>
          <w:pgMar w:top="1219" w:right="1779" w:bottom="1017" w:left="1720" w:header="865" w:footer="719" w:gutter="0"/>
        </w:sectPr>
        <w:rPr>
          <w:rFonts w:ascii="SimSun" w:hAnsi="SimSun" w:eastAsia="SimSun" w:cs="SimSun"/>
          <w:sz w:val="23"/>
          <w:szCs w:val="23"/>
        </w:rPr>
      </w:pPr>
    </w:p>
    <w:p>
      <w:pPr>
        <w:ind w:left="3" w:right="24"/>
        <w:spacing w:before="260" w:line="353" w:lineRule="auto"/>
        <w:tabs>
          <w:tab w:val="left" w:pos="123"/>
        </w:tabs>
        <w:rPr>
          <w:rFonts w:ascii="Times New Roman" w:hAnsi="Times New Roman" w:eastAsia="Times New Roman" w:cs="Times New Roman"/>
          <w:sz w:val="24"/>
          <w:szCs w:val="24"/>
        </w:rPr>
      </w:pPr>
      <w:r>
        <w:rPr>
          <w:rFonts w:ascii="SimSun" w:hAnsi="SimSun" w:eastAsia="SimSun" w:cs="SimSun"/>
          <w:sz w:val="24"/>
          <w:szCs w:val="24"/>
          <w:spacing w:val="3"/>
        </w:rPr>
        <w:t>活性炭吸附装置</w:t>
      </w:r>
      <w:r>
        <w:rPr>
          <w:rFonts w:ascii="SimSun" w:hAnsi="SimSun" w:eastAsia="SimSun" w:cs="SimSun"/>
          <w:sz w:val="24"/>
          <w:szCs w:val="24"/>
          <w:spacing w:val="-39"/>
        </w:rPr>
        <w:t xml:space="preserve"> </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TA</w:t>
      </w:r>
      <w:r>
        <w:rPr>
          <w:rFonts w:ascii="Times New Roman" w:hAnsi="Times New Roman" w:eastAsia="Times New Roman" w:cs="Times New Roman"/>
          <w:sz w:val="24"/>
          <w:szCs w:val="24"/>
          <w:spacing w:val="3"/>
        </w:rPr>
        <w:t>001)”      </w:t>
      </w:r>
      <w:r>
        <w:rPr>
          <w:rFonts w:ascii="SimSun" w:hAnsi="SimSun" w:eastAsia="SimSun" w:cs="SimSun"/>
          <w:sz w:val="24"/>
          <w:szCs w:val="24"/>
          <w:spacing w:val="3"/>
        </w:rPr>
        <w:t>处</w:t>
      </w:r>
      <w:r>
        <w:rPr>
          <w:rFonts w:ascii="SimSun" w:hAnsi="SimSun" w:eastAsia="SimSun" w:cs="SimSun"/>
          <w:sz w:val="24"/>
          <w:szCs w:val="24"/>
          <w:spacing w:val="2"/>
        </w:rPr>
        <w:t>理后，通过1根15</w:t>
      </w:r>
      <w:r>
        <w:rPr>
          <w:rFonts w:ascii="Times New Roman" w:hAnsi="Times New Roman" w:eastAsia="Times New Roman" w:cs="Times New Roman"/>
          <w:sz w:val="24"/>
          <w:szCs w:val="24"/>
          <w:spacing w:val="2"/>
        </w:rPr>
        <w:t>m</w:t>
      </w:r>
      <w:r>
        <w:rPr>
          <w:rFonts w:ascii="SimSun" w:hAnsi="SimSun" w:eastAsia="SimSun" w:cs="SimSun"/>
          <w:sz w:val="24"/>
          <w:szCs w:val="24"/>
          <w:spacing w:val="2"/>
        </w:rPr>
        <w:t>高排气筒</w:t>
      </w:r>
      <w:r>
        <w:rPr>
          <w:rFonts w:ascii="SimSun" w:hAnsi="SimSun" w:eastAsia="SimSun" w:cs="SimSun"/>
          <w:sz w:val="24"/>
          <w:szCs w:val="24"/>
          <w:spacing w:val="-35"/>
        </w:rPr>
        <w:t xml:space="preserve"> </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2"/>
        </w:rPr>
        <w:t>001)    </w:t>
      </w:r>
      <w:r>
        <w:rPr>
          <w:rFonts w:ascii="SimSun" w:hAnsi="SimSun" w:eastAsia="SimSun" w:cs="SimSun"/>
          <w:sz w:val="24"/>
          <w:szCs w:val="24"/>
          <w:spacing w:val="2"/>
        </w:rPr>
        <w:t>达标排</w:t>
      </w:r>
      <w:r>
        <w:rPr>
          <w:rFonts w:ascii="SimSun" w:hAnsi="SimSun" w:eastAsia="SimSun" w:cs="SimSun"/>
          <w:sz w:val="24"/>
          <w:szCs w:val="24"/>
        </w:rPr>
        <w:t xml:space="preserve"> </w:t>
      </w:r>
      <w:r>
        <w:rPr>
          <w:rFonts w:ascii="SimSun" w:hAnsi="SimSun" w:eastAsia="SimSun" w:cs="SimSun"/>
          <w:sz w:val="24"/>
          <w:szCs w:val="24"/>
          <w:spacing w:val="1"/>
        </w:rPr>
        <w:t>放；生猪屠宰车间恶臭经负压密闭抽风系统引入“喷淋+</w:t>
      </w:r>
      <w:r>
        <w:rPr>
          <w:rFonts w:ascii="Times New Roman" w:hAnsi="Times New Roman" w:eastAsia="Times New Roman" w:cs="Times New Roman"/>
          <w:sz w:val="24"/>
          <w:szCs w:val="24"/>
        </w:rPr>
        <w:t>UV</w:t>
      </w:r>
      <w:r>
        <w:rPr>
          <w:rFonts w:ascii="SimSun" w:hAnsi="SimSun" w:eastAsia="SimSun" w:cs="SimSun"/>
          <w:sz w:val="24"/>
          <w:szCs w:val="24"/>
          <w:spacing w:val="1"/>
        </w:rPr>
        <w:t>光解+活性炭吸附装</w:t>
      </w:r>
      <w:r>
        <w:rPr>
          <w:rFonts w:ascii="SimSun" w:hAnsi="SimSun" w:eastAsia="SimSun" w:cs="SimSun"/>
          <w:sz w:val="24"/>
          <w:szCs w:val="24"/>
        </w:rPr>
        <w:t xml:space="preserve"> </w:t>
      </w:r>
      <w:r>
        <w:rPr>
          <w:rFonts w:ascii="SimSun" w:hAnsi="SimSun" w:eastAsia="SimSun" w:cs="SimSun"/>
          <w:sz w:val="24"/>
          <w:szCs w:val="24"/>
          <w:spacing w:val="2"/>
        </w:rPr>
        <w:t>置</w:t>
      </w:r>
      <w:r>
        <w:rPr>
          <w:rFonts w:ascii="SimSun" w:hAnsi="SimSun" w:eastAsia="SimSun" w:cs="SimSun"/>
          <w:sz w:val="24"/>
          <w:szCs w:val="24"/>
          <w:spacing w:val="-26"/>
        </w:rPr>
        <w:t xml:space="preserve"> </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TA</w:t>
      </w:r>
      <w:r>
        <w:rPr>
          <w:rFonts w:ascii="Times New Roman" w:hAnsi="Times New Roman" w:eastAsia="Times New Roman" w:cs="Times New Roman"/>
          <w:sz w:val="24"/>
          <w:szCs w:val="24"/>
          <w:spacing w:val="2"/>
        </w:rPr>
        <w:t>002)”      </w:t>
      </w:r>
      <w:r>
        <w:rPr>
          <w:rFonts w:ascii="SimSun" w:hAnsi="SimSun" w:eastAsia="SimSun" w:cs="SimSun"/>
          <w:sz w:val="24"/>
          <w:szCs w:val="24"/>
          <w:spacing w:val="2"/>
        </w:rPr>
        <w:t>处理后，通过1根15</w:t>
      </w:r>
      <w:r>
        <w:rPr>
          <w:rFonts w:ascii="Times New Roman" w:hAnsi="Times New Roman" w:eastAsia="Times New Roman" w:cs="Times New Roman"/>
          <w:sz w:val="24"/>
          <w:szCs w:val="24"/>
          <w:spacing w:val="2"/>
        </w:rPr>
        <w:t>m</w:t>
      </w:r>
      <w:r>
        <w:rPr>
          <w:rFonts w:ascii="SimSun" w:hAnsi="SimSun" w:eastAsia="SimSun" w:cs="SimSun"/>
          <w:sz w:val="24"/>
          <w:szCs w:val="24"/>
          <w:spacing w:val="2"/>
        </w:rPr>
        <w:t>高排气筒 </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2"/>
        </w:rPr>
        <w:t>002)    </w:t>
      </w:r>
      <w:r>
        <w:rPr>
          <w:rFonts w:ascii="SimSun" w:hAnsi="SimSun" w:eastAsia="SimSun" w:cs="SimSun"/>
          <w:sz w:val="24"/>
          <w:szCs w:val="24"/>
          <w:spacing w:val="2"/>
        </w:rPr>
        <w:t>达标排放；肉牛待宰</w:t>
      </w:r>
      <w:r>
        <w:rPr>
          <w:rFonts w:ascii="SimSun" w:hAnsi="SimSun" w:eastAsia="SimSun" w:cs="SimSun"/>
          <w:sz w:val="24"/>
          <w:szCs w:val="24"/>
        </w:rPr>
        <w:t xml:space="preserve"> </w:t>
      </w:r>
      <w:r>
        <w:rPr>
          <w:rFonts w:ascii="SimSun" w:hAnsi="SimSun" w:eastAsia="SimSun" w:cs="SimSun"/>
          <w:sz w:val="24"/>
          <w:szCs w:val="24"/>
        </w:rPr>
        <w:t>圈舍、屠宰车间恶臭经负压密闭抽风系统引入“喷淋+</w:t>
      </w:r>
      <w:r>
        <w:rPr>
          <w:rFonts w:ascii="Times New Roman" w:hAnsi="Times New Roman" w:eastAsia="Times New Roman" w:cs="Times New Roman"/>
          <w:sz w:val="24"/>
          <w:szCs w:val="24"/>
        </w:rPr>
        <w:t>UV</w:t>
      </w:r>
      <w:r>
        <w:rPr>
          <w:rFonts w:ascii="SimSun" w:hAnsi="SimSun" w:eastAsia="SimSun" w:cs="SimSun"/>
          <w:sz w:val="24"/>
          <w:szCs w:val="24"/>
        </w:rPr>
        <w:t>光解+活性炭吸附装置</w:t>
      </w:r>
      <w:r>
        <w:rPr>
          <w:rFonts w:ascii="SimSun" w:hAnsi="SimSun" w:eastAsia="SimSun" w:cs="SimSun"/>
          <w:sz w:val="24"/>
          <w:szCs w:val="24"/>
          <w:spacing w:val="1"/>
        </w:rPr>
        <w:t xml:space="preserve"> </w:t>
      </w:r>
      <w:r>
        <w:rPr>
          <w:rFonts w:ascii="Times New Roman" w:hAnsi="Times New Roman" w:eastAsia="Times New Roman" w:cs="Times New Roman"/>
          <w:sz w:val="24"/>
          <w:szCs w:val="24"/>
        </w:rPr>
        <w:tab/>
      </w:r>
      <w:r>
        <w:rPr>
          <w:rFonts w:ascii="Times New Roman" w:hAnsi="Times New Roman" w:eastAsia="Times New Roman" w:cs="Times New Roman"/>
          <w:sz w:val="24"/>
          <w:szCs w:val="24"/>
          <w:spacing w:val="4"/>
        </w:rPr>
        <w:t>(</w:t>
      </w:r>
      <w:r>
        <w:rPr>
          <w:rFonts w:ascii="Times New Roman" w:hAnsi="Times New Roman" w:eastAsia="Times New Roman" w:cs="Times New Roman"/>
          <w:sz w:val="24"/>
          <w:szCs w:val="24"/>
        </w:rPr>
        <w:t>TA</w:t>
      </w:r>
      <w:r>
        <w:rPr>
          <w:rFonts w:ascii="Times New Roman" w:hAnsi="Times New Roman" w:eastAsia="Times New Roman" w:cs="Times New Roman"/>
          <w:sz w:val="24"/>
          <w:szCs w:val="24"/>
          <w:spacing w:val="4"/>
        </w:rPr>
        <w:t>003)”     </w:t>
      </w:r>
      <w:r>
        <w:rPr>
          <w:rFonts w:ascii="SimSun" w:hAnsi="SimSun" w:eastAsia="SimSun" w:cs="SimSun"/>
          <w:sz w:val="24"/>
          <w:szCs w:val="24"/>
          <w:spacing w:val="4"/>
        </w:rPr>
        <w:t>处理后，通过1根15</w:t>
      </w:r>
      <w:r>
        <w:rPr>
          <w:rFonts w:ascii="Times New Roman" w:hAnsi="Times New Roman" w:eastAsia="Times New Roman" w:cs="Times New Roman"/>
          <w:sz w:val="24"/>
          <w:szCs w:val="24"/>
          <w:spacing w:val="4"/>
        </w:rPr>
        <w:t>m</w:t>
      </w:r>
      <w:r>
        <w:rPr>
          <w:rFonts w:ascii="SimSun" w:hAnsi="SimSun" w:eastAsia="SimSun" w:cs="SimSun"/>
          <w:sz w:val="24"/>
          <w:szCs w:val="24"/>
          <w:spacing w:val="4"/>
        </w:rPr>
        <w:t>高</w:t>
      </w:r>
      <w:r>
        <w:rPr>
          <w:rFonts w:ascii="SimSun" w:hAnsi="SimSun" w:eastAsia="SimSun" w:cs="SimSun"/>
          <w:sz w:val="24"/>
          <w:szCs w:val="24"/>
          <w:spacing w:val="3"/>
        </w:rPr>
        <w:t>排气筒</w:t>
      </w:r>
      <w:r>
        <w:rPr>
          <w:rFonts w:ascii="SimSun" w:hAnsi="SimSun" w:eastAsia="SimSun" w:cs="SimSun"/>
          <w:sz w:val="24"/>
          <w:szCs w:val="24"/>
          <w:spacing w:val="-35"/>
        </w:rPr>
        <w:t xml:space="preserve"> </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3"/>
        </w:rPr>
        <w:t>003)    </w:t>
      </w:r>
      <w:r>
        <w:rPr>
          <w:rFonts w:ascii="SimSun" w:hAnsi="SimSun" w:eastAsia="SimSun" w:cs="SimSun"/>
          <w:sz w:val="24"/>
          <w:szCs w:val="24"/>
          <w:spacing w:val="3"/>
        </w:rPr>
        <w:t>达标排放；污水处理站</w:t>
      </w:r>
      <w:r>
        <w:rPr>
          <w:rFonts w:ascii="SimSun" w:hAnsi="SimSun" w:eastAsia="SimSun" w:cs="SimSun"/>
          <w:sz w:val="24"/>
          <w:szCs w:val="24"/>
        </w:rPr>
        <w:t xml:space="preserve"> </w:t>
      </w:r>
      <w:r>
        <w:rPr>
          <w:rFonts w:ascii="SimSun" w:hAnsi="SimSun" w:eastAsia="SimSun" w:cs="SimSun"/>
          <w:sz w:val="24"/>
          <w:szCs w:val="24"/>
          <w:spacing w:val="4"/>
        </w:rPr>
        <w:t>恶臭气体通过加盖收集，并对各单元分别采取负压抽风系统，设置“喷淋+</w:t>
      </w:r>
      <w:r>
        <w:rPr>
          <w:rFonts w:ascii="SimSun" w:hAnsi="SimSun" w:eastAsia="SimSun" w:cs="SimSun"/>
          <w:sz w:val="24"/>
          <w:szCs w:val="24"/>
        </w:rPr>
        <w:t>UV</w:t>
      </w:r>
      <w:r>
        <w:rPr>
          <w:rFonts w:ascii="SimSun" w:hAnsi="SimSun" w:eastAsia="SimSun" w:cs="SimSun"/>
          <w:sz w:val="24"/>
          <w:szCs w:val="24"/>
          <w:spacing w:val="1"/>
        </w:rPr>
        <w:t xml:space="preserve">  </w:t>
      </w:r>
      <w:r>
        <w:rPr>
          <w:rFonts w:ascii="SimSun" w:hAnsi="SimSun" w:eastAsia="SimSun" w:cs="SimSun"/>
          <w:sz w:val="24"/>
          <w:szCs w:val="24"/>
        </w:rPr>
        <w:t>光解+活性炭吸附装置 </w:t>
      </w:r>
      <w:r>
        <w:rPr>
          <w:rFonts w:ascii="Times New Roman" w:hAnsi="Times New Roman" w:eastAsia="Times New Roman" w:cs="Times New Roman"/>
          <w:sz w:val="24"/>
          <w:szCs w:val="24"/>
        </w:rPr>
        <w:t>(TA004)”      </w:t>
      </w:r>
      <w:r>
        <w:rPr>
          <w:rFonts w:ascii="SimSun" w:hAnsi="SimSun" w:eastAsia="SimSun" w:cs="SimSun"/>
          <w:sz w:val="24"/>
          <w:szCs w:val="24"/>
        </w:rPr>
        <w:t>处理后，通过1根15</w:t>
      </w:r>
      <w:r>
        <w:rPr>
          <w:rFonts w:ascii="Times New Roman" w:hAnsi="Times New Roman" w:eastAsia="Times New Roman" w:cs="Times New Roman"/>
          <w:sz w:val="24"/>
          <w:szCs w:val="24"/>
        </w:rPr>
        <w:t>m</w:t>
      </w:r>
      <w:r>
        <w:rPr>
          <w:rFonts w:ascii="SimSun" w:hAnsi="SimSun" w:eastAsia="SimSun" w:cs="SimSun"/>
          <w:sz w:val="24"/>
          <w:szCs w:val="24"/>
        </w:rPr>
        <w:t>高排气筒</w:t>
      </w:r>
      <w:r>
        <w:rPr>
          <w:rFonts w:ascii="SimSun" w:hAnsi="SimSun" w:eastAsia="SimSun" w:cs="SimSun"/>
          <w:sz w:val="24"/>
          <w:szCs w:val="24"/>
          <w:spacing w:val="-29"/>
        </w:rPr>
        <w:t xml:space="preserve"> </w:t>
      </w:r>
      <w:r>
        <w:rPr>
          <w:rFonts w:ascii="Times New Roman" w:hAnsi="Times New Roman" w:eastAsia="Times New Roman" w:cs="Times New Roman"/>
          <w:sz w:val="24"/>
          <w:szCs w:val="24"/>
        </w:rPr>
        <w:t>(DA004)   </w:t>
      </w:r>
      <w:r>
        <w:rPr>
          <w:rFonts w:ascii="SimSun" w:hAnsi="SimSun" w:eastAsia="SimSun" w:cs="SimSun"/>
          <w:sz w:val="24"/>
          <w:szCs w:val="24"/>
        </w:rPr>
        <w:t>达 </w:t>
      </w:r>
      <w:r>
        <w:rPr>
          <w:rFonts w:ascii="SimSun" w:hAnsi="SimSun" w:eastAsia="SimSun" w:cs="SimSun"/>
          <w:sz w:val="24"/>
          <w:szCs w:val="24"/>
          <w:spacing w:val="2"/>
        </w:rPr>
        <w:t>标排放；蒸汽发生器燃烧废气：采用低氮燃烧技术处理后，通过1根18</w:t>
      </w:r>
      <w:r>
        <w:rPr>
          <w:rFonts w:ascii="Times New Roman" w:hAnsi="Times New Roman" w:eastAsia="Times New Roman" w:cs="Times New Roman"/>
          <w:sz w:val="24"/>
          <w:szCs w:val="24"/>
          <w:spacing w:val="2"/>
        </w:rPr>
        <w:t>m</w:t>
      </w:r>
      <w:r>
        <w:rPr>
          <w:rFonts w:ascii="SimSun" w:hAnsi="SimSun" w:eastAsia="SimSun" w:cs="SimSun"/>
          <w:sz w:val="24"/>
          <w:szCs w:val="24"/>
          <w:spacing w:val="2"/>
        </w:rPr>
        <w:t>高排气</w:t>
      </w:r>
      <w:r>
        <w:rPr>
          <w:rFonts w:ascii="SimSun" w:hAnsi="SimSun" w:eastAsia="SimSun" w:cs="SimSun"/>
          <w:sz w:val="24"/>
          <w:szCs w:val="24"/>
          <w:spacing w:val="6"/>
        </w:rPr>
        <w:t xml:space="preserve"> </w:t>
      </w:r>
      <w:r>
        <w:rPr>
          <w:rFonts w:ascii="SimSun" w:hAnsi="SimSun" w:eastAsia="SimSun" w:cs="SimSun"/>
          <w:sz w:val="24"/>
          <w:szCs w:val="24"/>
          <w:spacing w:val="3"/>
        </w:rPr>
        <w:t>筒 </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3"/>
        </w:rPr>
        <w:t>005)    </w:t>
      </w:r>
      <w:r>
        <w:rPr>
          <w:rFonts w:ascii="SimSun" w:hAnsi="SimSun" w:eastAsia="SimSun" w:cs="SimSun"/>
          <w:sz w:val="24"/>
          <w:szCs w:val="24"/>
          <w:spacing w:val="3"/>
        </w:rPr>
        <w:t>达标排放；污水处理站沼气经净化</w:t>
      </w:r>
      <w:r>
        <w:rPr>
          <w:rFonts w:ascii="SimSun" w:hAnsi="SimSun" w:eastAsia="SimSun" w:cs="SimSun"/>
          <w:sz w:val="24"/>
          <w:szCs w:val="24"/>
          <w:spacing w:val="2"/>
        </w:rPr>
        <w:t>处理后用作食堂燃料或火炬点</w:t>
      </w:r>
      <w:r>
        <w:rPr>
          <w:rFonts w:ascii="SimSun" w:hAnsi="SimSun" w:eastAsia="SimSun" w:cs="SimSun"/>
          <w:sz w:val="24"/>
          <w:szCs w:val="24"/>
        </w:rPr>
        <w:t xml:space="preserve"> </w:t>
      </w:r>
      <w:r>
        <w:rPr>
          <w:rFonts w:ascii="SimSun" w:hAnsi="SimSun" w:eastAsia="SimSun" w:cs="SimSun"/>
          <w:sz w:val="24"/>
          <w:szCs w:val="24"/>
          <w:spacing w:val="8"/>
        </w:rPr>
        <w:t>燃排至大气环境；食堂油烟经油烟净化器处理后引至楼顶</w:t>
      </w:r>
      <w:r>
        <w:rPr>
          <w:rFonts w:ascii="SimSun" w:hAnsi="SimSun" w:eastAsia="SimSun" w:cs="SimSun"/>
          <w:sz w:val="24"/>
          <w:szCs w:val="24"/>
          <w:spacing w:val="-13"/>
        </w:rPr>
        <w:t xml:space="preserve"> </w:t>
      </w:r>
      <w:r>
        <w:rPr>
          <w:rFonts w:ascii="Times New Roman" w:hAnsi="Times New Roman" w:eastAsia="Times New Roman" w:cs="Times New Roman"/>
          <w:sz w:val="24"/>
          <w:szCs w:val="24"/>
          <w:spacing w:val="8"/>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8"/>
        </w:rPr>
        <w:t>006)     </w:t>
      </w:r>
      <w:r>
        <w:rPr>
          <w:rFonts w:ascii="SimSun" w:hAnsi="SimSun" w:eastAsia="SimSun" w:cs="SimSun"/>
          <w:sz w:val="24"/>
          <w:szCs w:val="24"/>
          <w:spacing w:val="8"/>
        </w:rPr>
        <w:t>达标排</w:t>
      </w:r>
      <w:r>
        <w:rPr>
          <w:rFonts w:ascii="SimSun" w:hAnsi="SimSun" w:eastAsia="SimSun" w:cs="SimSun"/>
          <w:sz w:val="24"/>
          <w:szCs w:val="24"/>
        </w:rPr>
        <w:t xml:space="preserve"> </w:t>
      </w:r>
      <w:r>
        <w:rPr>
          <w:rFonts w:ascii="SimSun" w:hAnsi="SimSun" w:eastAsia="SimSun" w:cs="SimSun"/>
          <w:sz w:val="24"/>
          <w:szCs w:val="24"/>
          <w:spacing w:val="4"/>
        </w:rPr>
        <w:t>放。运营期恶臭拟采取多级除臭处理后达标排至外环境，污水处理站以及排气</w:t>
      </w:r>
      <w:r>
        <w:rPr>
          <w:rFonts w:ascii="SimSun" w:hAnsi="SimSun" w:eastAsia="SimSun" w:cs="SimSun"/>
          <w:sz w:val="24"/>
          <w:szCs w:val="24"/>
          <w:spacing w:val="8"/>
        </w:rPr>
        <w:t xml:space="preserve"> </w:t>
      </w:r>
      <w:r>
        <w:rPr>
          <w:rFonts w:ascii="SimSun" w:hAnsi="SimSun" w:eastAsia="SimSun" w:cs="SimSun"/>
          <w:sz w:val="24"/>
          <w:szCs w:val="24"/>
        </w:rPr>
        <w:t>筒 (DA001、DA002、DA003、DA004)</w:t>
      </w:r>
      <w:r>
        <w:rPr>
          <w:rFonts w:ascii="SimSun" w:hAnsi="SimSun" w:eastAsia="SimSun" w:cs="SimSun"/>
          <w:sz w:val="24"/>
          <w:szCs w:val="24"/>
          <w:spacing w:val="3"/>
        </w:rPr>
        <w:t xml:space="preserve">      </w:t>
      </w:r>
      <w:r>
        <w:rPr>
          <w:rFonts w:ascii="SimSun" w:hAnsi="SimSun" w:eastAsia="SimSun" w:cs="SimSun"/>
          <w:sz w:val="24"/>
          <w:szCs w:val="24"/>
        </w:rPr>
        <w:t>远离东北侧前进村以及东侧安州区高</w:t>
      </w:r>
      <w:r>
        <w:rPr>
          <w:rFonts w:ascii="SimSun" w:hAnsi="SimSun" w:eastAsia="SimSun" w:cs="SimSun"/>
          <w:sz w:val="24"/>
          <w:szCs w:val="24"/>
          <w:spacing w:val="1"/>
        </w:rPr>
        <w:t xml:space="preserve"> </w:t>
      </w:r>
      <w:r>
        <w:rPr>
          <w:rFonts w:ascii="SimSun" w:hAnsi="SimSun" w:eastAsia="SimSun" w:cs="SimSun"/>
          <w:sz w:val="24"/>
          <w:szCs w:val="24"/>
          <w:spacing w:val="4"/>
        </w:rPr>
        <w:t>级职业中学，经环境空气稀释后对周边环境影响较小。餐饮废水经隔油池处理</w:t>
      </w:r>
      <w:r>
        <w:rPr>
          <w:rFonts w:ascii="SimSun" w:hAnsi="SimSun" w:eastAsia="SimSun" w:cs="SimSun"/>
          <w:sz w:val="24"/>
          <w:szCs w:val="24"/>
          <w:spacing w:val="1"/>
        </w:rPr>
        <w:t xml:space="preserve"> </w:t>
      </w:r>
      <w:r>
        <w:rPr>
          <w:rFonts w:ascii="SimSun" w:hAnsi="SimSun" w:eastAsia="SimSun" w:cs="SimSun"/>
          <w:sz w:val="24"/>
          <w:szCs w:val="24"/>
        </w:rPr>
        <w:t>后，与生活污水一同经预处理池处理达到《污水综合排放标准》</w:t>
      </w:r>
      <w:r>
        <w:rPr>
          <w:rFonts w:ascii="SimSun" w:hAnsi="SimSun" w:eastAsia="SimSun" w:cs="SimSun"/>
          <w:sz w:val="24"/>
          <w:szCs w:val="24"/>
          <w:spacing w:val="38"/>
        </w:rPr>
        <w:t xml:space="preserve"> </w:t>
      </w:r>
      <w:r>
        <w:rPr>
          <w:rFonts w:ascii="Times New Roman" w:hAnsi="Times New Roman" w:eastAsia="Times New Roman" w:cs="Times New Roman"/>
          <w:sz w:val="24"/>
          <w:szCs w:val="24"/>
        </w:rPr>
        <w:t>(GB8978-199</w:t>
      </w:r>
    </w:p>
    <w:p>
      <w:pPr>
        <w:ind w:left="3" w:right="32"/>
        <w:spacing w:before="147" w:line="350" w:lineRule="auto"/>
        <w:jc w:val="both"/>
        <w:rPr>
          <w:rFonts w:ascii="SimSun" w:hAnsi="SimSun" w:eastAsia="SimSun" w:cs="SimSun"/>
          <w:sz w:val="24"/>
          <w:szCs w:val="24"/>
        </w:rPr>
      </w:pPr>
      <w:r>
        <w:rPr>
          <w:rFonts w:ascii="SimSun" w:hAnsi="SimSun" w:eastAsia="SimSun" w:cs="SimSun"/>
          <w:sz w:val="24"/>
          <w:szCs w:val="24"/>
          <w:spacing w:val="4"/>
        </w:rPr>
        <w:t>6)三级标准；生产废水经自建污水处理站处理达到《肉类加工工业水污染</w:t>
      </w:r>
      <w:r>
        <w:rPr>
          <w:rFonts w:ascii="SimSun" w:hAnsi="SimSun" w:eastAsia="SimSun" w:cs="SimSun"/>
          <w:sz w:val="24"/>
          <w:szCs w:val="24"/>
          <w:spacing w:val="3"/>
        </w:rPr>
        <w:t>物排</w:t>
      </w:r>
      <w:r>
        <w:rPr>
          <w:rFonts w:ascii="SimSun" w:hAnsi="SimSun" w:eastAsia="SimSun" w:cs="SimSun"/>
          <w:sz w:val="24"/>
          <w:szCs w:val="24"/>
        </w:rPr>
        <w:t xml:space="preserve"> </w:t>
      </w:r>
      <w:r>
        <w:rPr>
          <w:rFonts w:ascii="SimSun" w:hAnsi="SimSun" w:eastAsia="SimSun" w:cs="SimSun"/>
          <w:sz w:val="24"/>
          <w:szCs w:val="24"/>
          <w:spacing w:val="4"/>
        </w:rPr>
        <w:t>放标准》 </w:t>
      </w:r>
      <w:r>
        <w:rPr>
          <w:rFonts w:ascii="Times New Roman" w:hAnsi="Times New Roman" w:eastAsia="Times New Roman" w:cs="Times New Roman"/>
          <w:sz w:val="24"/>
          <w:szCs w:val="24"/>
          <w:spacing w:val="4"/>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4"/>
        </w:rPr>
        <w:t>13457-92)    </w:t>
      </w:r>
      <w:r>
        <w:rPr>
          <w:rFonts w:ascii="SimSun" w:hAnsi="SimSun" w:eastAsia="SimSun" w:cs="SimSun"/>
          <w:sz w:val="24"/>
          <w:szCs w:val="24"/>
          <w:spacing w:val="3"/>
        </w:rPr>
        <w:t>表3中三级标准后，与生活污水一同经厂区总排口排</w:t>
      </w:r>
      <w:r>
        <w:rPr>
          <w:rFonts w:ascii="SimSun" w:hAnsi="SimSun" w:eastAsia="SimSun" w:cs="SimSun"/>
          <w:sz w:val="24"/>
          <w:szCs w:val="24"/>
        </w:rPr>
        <w:t xml:space="preserve"> </w:t>
      </w:r>
      <w:r>
        <w:rPr>
          <w:rFonts w:ascii="SimSun" w:hAnsi="SimSun" w:eastAsia="SimSun" w:cs="SimSun"/>
          <w:sz w:val="24"/>
          <w:szCs w:val="24"/>
        </w:rPr>
        <w:t>至园区污水管网，经管网引至安州区第三污水处理厂处理，CODcr、BOD</w:t>
      </w:r>
      <w:r>
        <w:rPr>
          <w:rFonts w:ascii="Calibri" w:hAnsi="Calibri" w:eastAsia="Calibri" w:cs="Calibri"/>
          <w:sz w:val="24"/>
          <w:szCs w:val="24"/>
        </w:rPr>
        <w:t>₅</w:t>
      </w:r>
      <w:r>
        <w:rPr>
          <w:rFonts w:ascii="Calibri" w:hAnsi="Calibri" w:eastAsia="Calibri" w:cs="Calibri"/>
          <w:sz w:val="24"/>
          <w:szCs w:val="24"/>
          <w:spacing w:val="-14"/>
        </w:rPr>
        <w:t xml:space="preserve"> </w:t>
      </w:r>
      <w:r>
        <w:rPr>
          <w:rFonts w:ascii="SimSun" w:hAnsi="SimSun" w:eastAsia="SimSun" w:cs="SimSun"/>
          <w:sz w:val="24"/>
          <w:szCs w:val="24"/>
        </w:rPr>
        <w:t>、  氨 </w:t>
      </w:r>
      <w:r>
        <w:rPr>
          <w:rFonts w:ascii="SimSun" w:hAnsi="SimSun" w:eastAsia="SimSun" w:cs="SimSun"/>
          <w:sz w:val="24"/>
          <w:szCs w:val="24"/>
          <w:spacing w:val="-1"/>
        </w:rPr>
        <w:t>氮、总氮指标达到《四川省岷江、沱江流域水污染物排放标准</w:t>
      </w:r>
      <w:r>
        <w:rPr>
          <w:rFonts w:ascii="SimSun" w:hAnsi="SimSun" w:eastAsia="SimSun" w:cs="SimSun"/>
          <w:sz w:val="24"/>
          <w:szCs w:val="24"/>
          <w:spacing w:val="-2"/>
        </w:rPr>
        <w:t>》</w:t>
      </w:r>
      <w:r>
        <w:rPr>
          <w:rFonts w:ascii="SimSun" w:hAnsi="SimSun" w:eastAsia="SimSun" w:cs="SimSun"/>
          <w:sz w:val="24"/>
          <w:szCs w:val="24"/>
          <w:spacing w:val="-30"/>
        </w:rPr>
        <w:t xml:space="preserve"> </w:t>
      </w:r>
      <w:r>
        <w:rPr>
          <w:rFonts w:ascii="SimSun" w:hAnsi="SimSun" w:eastAsia="SimSun" w:cs="SimSun"/>
          <w:sz w:val="24"/>
          <w:szCs w:val="24"/>
          <w:spacing w:val="-2"/>
        </w:rPr>
        <w:t>(DB51/2311-2</w:t>
      </w:r>
      <w:r>
        <w:rPr>
          <w:rFonts w:ascii="SimSun" w:hAnsi="SimSun" w:eastAsia="SimSun" w:cs="SimSun"/>
          <w:sz w:val="24"/>
          <w:szCs w:val="24"/>
        </w:rPr>
        <w:t xml:space="preserve">  </w:t>
      </w:r>
      <w:r>
        <w:rPr>
          <w:rFonts w:ascii="SimSun" w:hAnsi="SimSun" w:eastAsia="SimSun" w:cs="SimSun"/>
          <w:sz w:val="24"/>
          <w:szCs w:val="24"/>
          <w:spacing w:val="7"/>
        </w:rPr>
        <w:t>016)表1中工业园区集中式污水处理厂排放标准限值，总磷指标达到《地表水</w:t>
      </w:r>
      <w:r>
        <w:rPr>
          <w:rFonts w:ascii="SimSun" w:hAnsi="SimSun" w:eastAsia="SimSun" w:cs="SimSun"/>
          <w:sz w:val="24"/>
          <w:szCs w:val="24"/>
          <w:spacing w:val="8"/>
        </w:rPr>
        <w:t xml:space="preserve"> </w:t>
      </w:r>
      <w:r>
        <w:rPr>
          <w:rFonts w:ascii="SimSun" w:hAnsi="SimSun" w:eastAsia="SimSun" w:cs="SimSun"/>
          <w:sz w:val="24"/>
          <w:szCs w:val="24"/>
          <w:spacing w:val="2"/>
        </w:rPr>
        <w:t>环境质量标准》 (</w:t>
      </w:r>
      <w:r>
        <w:rPr>
          <w:rFonts w:ascii="SimSun" w:hAnsi="SimSun" w:eastAsia="SimSun" w:cs="SimSun"/>
          <w:sz w:val="24"/>
          <w:szCs w:val="24"/>
        </w:rPr>
        <w:t>GB</w:t>
      </w:r>
      <w:r>
        <w:rPr>
          <w:rFonts w:ascii="SimSun" w:hAnsi="SimSun" w:eastAsia="SimSun" w:cs="SimSun"/>
          <w:sz w:val="24"/>
          <w:szCs w:val="24"/>
          <w:spacing w:val="2"/>
        </w:rPr>
        <w:t>3838-2002)Ⅲ</w:t>
      </w:r>
      <w:r>
        <w:rPr>
          <w:rFonts w:ascii="SimSun" w:hAnsi="SimSun" w:eastAsia="SimSun" w:cs="SimSun"/>
          <w:sz w:val="24"/>
          <w:szCs w:val="24"/>
          <w:spacing w:val="36"/>
        </w:rPr>
        <w:t xml:space="preserve">  </w:t>
      </w:r>
      <w:r>
        <w:rPr>
          <w:rFonts w:ascii="SimSun" w:hAnsi="SimSun" w:eastAsia="SimSun" w:cs="SimSun"/>
          <w:sz w:val="24"/>
          <w:szCs w:val="24"/>
          <w:spacing w:val="2"/>
        </w:rPr>
        <w:t>类水质标准，其余指</w:t>
      </w:r>
      <w:r>
        <w:rPr>
          <w:rFonts w:ascii="SimSun" w:hAnsi="SimSun" w:eastAsia="SimSun" w:cs="SimSun"/>
          <w:sz w:val="24"/>
          <w:szCs w:val="24"/>
          <w:spacing w:val="1"/>
        </w:rPr>
        <w:t>标达到《城镇污水处</w:t>
      </w:r>
      <w:r>
        <w:rPr>
          <w:rFonts w:ascii="SimSun" w:hAnsi="SimSun" w:eastAsia="SimSun" w:cs="SimSun"/>
          <w:sz w:val="24"/>
          <w:szCs w:val="24"/>
        </w:rPr>
        <w:t xml:space="preserve"> </w:t>
      </w:r>
      <w:r>
        <w:rPr>
          <w:rFonts w:ascii="SimSun" w:hAnsi="SimSun" w:eastAsia="SimSun" w:cs="SimSun"/>
          <w:sz w:val="24"/>
          <w:szCs w:val="24"/>
        </w:rPr>
        <w:t>理厂污染物排放标准》 </w:t>
      </w:r>
      <w:r>
        <w:rPr>
          <w:rFonts w:ascii="Times New Roman" w:hAnsi="Times New Roman" w:eastAsia="Times New Roman" w:cs="Times New Roman"/>
          <w:sz w:val="24"/>
          <w:szCs w:val="24"/>
        </w:rPr>
        <w:t>(GB18918-2002)   </w:t>
      </w:r>
      <w:r>
        <w:rPr>
          <w:rFonts w:ascii="SimSun" w:hAnsi="SimSun" w:eastAsia="SimSun" w:cs="SimSun"/>
          <w:sz w:val="24"/>
          <w:szCs w:val="24"/>
        </w:rPr>
        <w:t>一级</w:t>
      </w:r>
      <w:r>
        <w:rPr>
          <w:rFonts w:ascii="Times New Roman" w:hAnsi="Times New Roman" w:eastAsia="Times New Roman" w:cs="Times New Roman"/>
          <w:sz w:val="24"/>
          <w:szCs w:val="24"/>
        </w:rPr>
        <w:t>A</w:t>
      </w:r>
      <w:r>
        <w:rPr>
          <w:rFonts w:ascii="SimSun" w:hAnsi="SimSun" w:eastAsia="SimSun" w:cs="SimSun"/>
          <w:sz w:val="24"/>
          <w:szCs w:val="24"/>
        </w:rPr>
        <w:t>标准后，排入涪江。</w:t>
      </w:r>
    </w:p>
    <w:p>
      <w:pPr>
        <w:ind w:left="3" w:right="21" w:firstLine="480"/>
        <w:spacing w:before="75" w:line="354" w:lineRule="auto"/>
        <w:jc w:val="both"/>
        <w:rPr>
          <w:rFonts w:ascii="SimSun" w:hAnsi="SimSun" w:eastAsia="SimSun" w:cs="SimSun"/>
          <w:sz w:val="24"/>
          <w:szCs w:val="24"/>
        </w:rPr>
      </w:pPr>
      <w:r>
        <w:rPr>
          <w:rFonts w:ascii="SimSun" w:hAnsi="SimSun" w:eastAsia="SimSun" w:cs="SimSun"/>
          <w:sz w:val="24"/>
          <w:szCs w:val="24"/>
          <w:spacing w:val="2"/>
        </w:rPr>
        <w:t>根据上述外环境关系可知，项目区域100</w:t>
      </w:r>
      <w:r>
        <w:rPr>
          <w:rFonts w:ascii="Times New Roman" w:hAnsi="Times New Roman" w:eastAsia="Times New Roman" w:cs="Times New Roman"/>
          <w:sz w:val="24"/>
          <w:szCs w:val="24"/>
          <w:spacing w:val="2"/>
        </w:rPr>
        <w:t>m</w:t>
      </w:r>
      <w:r>
        <w:rPr>
          <w:rFonts w:ascii="SimSun" w:hAnsi="SimSun" w:eastAsia="SimSun" w:cs="SimSun"/>
          <w:sz w:val="24"/>
          <w:szCs w:val="24"/>
          <w:spacing w:val="2"/>
        </w:rPr>
        <w:t>范围内均为待建空地或已建工业 </w:t>
      </w:r>
      <w:r>
        <w:rPr>
          <w:rFonts w:ascii="SimSun" w:hAnsi="SimSun" w:eastAsia="SimSun" w:cs="SimSun"/>
          <w:sz w:val="24"/>
          <w:szCs w:val="24"/>
          <w:spacing w:val="11"/>
        </w:rPr>
        <w:t>企业(主要为食品、医药企业)。项目建成后，距离最近的环境敏感</w:t>
      </w:r>
      <w:r>
        <w:rPr>
          <w:rFonts w:ascii="SimSun" w:hAnsi="SimSun" w:eastAsia="SimSun" w:cs="SimSun"/>
          <w:sz w:val="24"/>
          <w:szCs w:val="24"/>
          <w:spacing w:val="10"/>
        </w:rPr>
        <w:t>目标为东</w:t>
      </w:r>
      <w:r>
        <w:rPr>
          <w:rFonts w:ascii="SimSun" w:hAnsi="SimSun" w:eastAsia="SimSun" w:cs="SimSun"/>
          <w:sz w:val="24"/>
          <w:szCs w:val="24"/>
        </w:rPr>
        <w:t xml:space="preserve"> </w:t>
      </w:r>
      <w:r>
        <w:rPr>
          <w:rFonts w:ascii="SimSun" w:hAnsi="SimSun" w:eastAsia="SimSun" w:cs="SimSun"/>
          <w:sz w:val="24"/>
          <w:szCs w:val="24"/>
        </w:rPr>
        <w:t>侧约180</w:t>
      </w:r>
      <w:r>
        <w:rPr>
          <w:rFonts w:ascii="Times New Roman" w:hAnsi="Times New Roman" w:eastAsia="Times New Roman" w:cs="Times New Roman"/>
          <w:sz w:val="24"/>
          <w:szCs w:val="24"/>
        </w:rPr>
        <w:t>m</w:t>
      </w:r>
      <w:r>
        <w:rPr>
          <w:rFonts w:ascii="SimSun" w:hAnsi="SimSun" w:eastAsia="SimSun" w:cs="SimSun"/>
          <w:sz w:val="24"/>
          <w:szCs w:val="24"/>
        </w:rPr>
        <w:t>处安州区高级职业中学以及北侧约500</w:t>
      </w:r>
      <w:r>
        <w:rPr>
          <w:rFonts w:ascii="Times New Roman" w:hAnsi="Times New Roman" w:eastAsia="Times New Roman" w:cs="Times New Roman"/>
          <w:sz w:val="24"/>
          <w:szCs w:val="24"/>
        </w:rPr>
        <w:t>m</w:t>
      </w:r>
      <w:r>
        <w:rPr>
          <w:rFonts w:ascii="SimSun" w:hAnsi="SimSun" w:eastAsia="SimSun" w:cs="SimSun"/>
          <w:sz w:val="24"/>
          <w:szCs w:val="24"/>
        </w:rPr>
        <w:t>处前进村，最近的卫生院为东</w:t>
      </w:r>
      <w:r>
        <w:rPr>
          <w:rFonts w:ascii="SimSun" w:hAnsi="SimSun" w:eastAsia="SimSun" w:cs="SimSun"/>
          <w:sz w:val="24"/>
          <w:szCs w:val="24"/>
          <w:spacing w:val="17"/>
        </w:rPr>
        <w:t xml:space="preserve"> </w:t>
      </w:r>
      <w:r>
        <w:rPr>
          <w:rFonts w:ascii="SimSun" w:hAnsi="SimSun" w:eastAsia="SimSun" w:cs="SimSun"/>
          <w:sz w:val="24"/>
          <w:szCs w:val="24"/>
          <w:spacing w:val="-1"/>
        </w:rPr>
        <w:t>南侧约660</w:t>
      </w:r>
      <w:r>
        <w:rPr>
          <w:rFonts w:ascii="Times New Roman" w:hAnsi="Times New Roman" w:eastAsia="Times New Roman" w:cs="Times New Roman"/>
          <w:sz w:val="24"/>
          <w:szCs w:val="24"/>
          <w:spacing w:val="-1"/>
        </w:rPr>
        <w:t>m</w:t>
      </w:r>
      <w:r>
        <w:rPr>
          <w:rFonts w:ascii="SimSun" w:hAnsi="SimSun" w:eastAsia="SimSun" w:cs="SimSun"/>
          <w:sz w:val="24"/>
          <w:szCs w:val="24"/>
          <w:spacing w:val="-1"/>
        </w:rPr>
        <w:t>处花芗镇前进卫生室，最近的医院为东北侧约912</w:t>
      </w:r>
      <w:r>
        <w:rPr>
          <w:rFonts w:ascii="Times New Roman" w:hAnsi="Times New Roman" w:eastAsia="Times New Roman" w:cs="Times New Roman"/>
          <w:sz w:val="24"/>
          <w:szCs w:val="24"/>
          <w:spacing w:val="-1"/>
        </w:rPr>
        <w:t>m</w:t>
      </w:r>
      <w:r>
        <w:rPr>
          <w:rFonts w:ascii="SimSun" w:hAnsi="SimSun" w:eastAsia="SimSun" w:cs="SimSun"/>
          <w:sz w:val="24"/>
          <w:szCs w:val="24"/>
          <w:spacing w:val="-1"/>
        </w:rPr>
        <w:t>处绵阳市四</w:t>
      </w:r>
      <w:r>
        <w:rPr>
          <w:rFonts w:ascii="Times New Roman" w:hAnsi="Times New Roman" w:eastAsia="Times New Roman" w:cs="Times New Roman"/>
          <w:sz w:val="24"/>
          <w:szCs w:val="24"/>
          <w:spacing w:val="-1"/>
        </w:rPr>
        <w:t>O</w:t>
      </w:r>
      <w:r>
        <w:rPr>
          <w:rFonts w:ascii="Times New Roman" w:hAnsi="Times New Roman" w:eastAsia="Times New Roman" w:cs="Times New Roman"/>
          <w:sz w:val="24"/>
          <w:szCs w:val="24"/>
          <w:spacing w:val="18"/>
        </w:rPr>
        <w:t xml:space="preserve"> </w:t>
      </w:r>
      <w:r>
        <w:rPr>
          <w:rFonts w:ascii="SimSun" w:hAnsi="SimSun" w:eastAsia="SimSun" w:cs="SimSun"/>
          <w:sz w:val="24"/>
          <w:szCs w:val="24"/>
          <w:spacing w:val="-1"/>
        </w:rPr>
        <w:t>四</w:t>
      </w:r>
      <w:r>
        <w:rPr>
          <w:rFonts w:ascii="SimSun" w:hAnsi="SimSun" w:eastAsia="SimSun" w:cs="SimSun"/>
          <w:sz w:val="24"/>
          <w:szCs w:val="24"/>
        </w:rPr>
        <w:t xml:space="preserve"> </w:t>
      </w:r>
      <w:r>
        <w:rPr>
          <w:rFonts w:ascii="SimSun" w:hAnsi="SimSun" w:eastAsia="SimSun" w:cs="SimSun"/>
          <w:sz w:val="24"/>
          <w:szCs w:val="24"/>
          <w:spacing w:val="4"/>
        </w:rPr>
        <w:t>医院医联体医院，根据绵阳市安州区气象局绘制花芗镇近三年夏季风玫瑰图以</w:t>
      </w:r>
      <w:r>
        <w:rPr>
          <w:rFonts w:ascii="SimSun" w:hAnsi="SimSun" w:eastAsia="SimSun" w:cs="SimSun"/>
          <w:sz w:val="24"/>
          <w:szCs w:val="24"/>
          <w:spacing w:val="14"/>
        </w:rPr>
        <w:t xml:space="preserve"> </w:t>
      </w:r>
      <w:r>
        <w:rPr>
          <w:rFonts w:ascii="SimSun" w:hAnsi="SimSun" w:eastAsia="SimSun" w:cs="SimSun"/>
          <w:sz w:val="24"/>
          <w:szCs w:val="24"/>
          <w:spacing w:val="10"/>
        </w:rPr>
        <w:t>及近三年风玫瑰图，风向最大频率均为</w:t>
      </w:r>
      <w:r>
        <w:rPr>
          <w:rFonts w:ascii="Times New Roman" w:hAnsi="Times New Roman" w:eastAsia="Times New Roman" w:cs="Times New Roman"/>
          <w:sz w:val="24"/>
          <w:szCs w:val="24"/>
        </w:rPr>
        <w:t>NNW</w:t>
      </w:r>
      <w:r>
        <w:rPr>
          <w:rFonts w:ascii="Times New Roman" w:hAnsi="Times New Roman" w:eastAsia="Times New Roman" w:cs="Times New Roman"/>
          <w:sz w:val="24"/>
          <w:szCs w:val="24"/>
          <w:spacing w:val="35"/>
        </w:rPr>
        <w:t xml:space="preserve"> </w:t>
      </w:r>
      <w:r>
        <w:rPr>
          <w:rFonts w:ascii="SimSun" w:hAnsi="SimSun" w:eastAsia="SimSun" w:cs="SimSun"/>
          <w:sz w:val="24"/>
          <w:szCs w:val="24"/>
          <w:spacing w:val="10"/>
        </w:rPr>
        <w:t>(见附件),本项目</w:t>
      </w:r>
      <w:r>
        <w:rPr>
          <w:rFonts w:ascii="SimSun" w:hAnsi="SimSun" w:eastAsia="SimSun" w:cs="SimSun"/>
          <w:sz w:val="24"/>
          <w:szCs w:val="24"/>
          <w:spacing w:val="9"/>
        </w:rPr>
        <w:t>位于周边居民</w:t>
      </w:r>
      <w:r>
        <w:rPr>
          <w:rFonts w:ascii="SimSun" w:hAnsi="SimSun" w:eastAsia="SimSun" w:cs="SimSun"/>
          <w:sz w:val="24"/>
          <w:szCs w:val="24"/>
        </w:rPr>
        <w:t xml:space="preserve"> </w:t>
      </w:r>
      <w:r>
        <w:rPr>
          <w:rFonts w:ascii="SimSun" w:hAnsi="SimSun" w:eastAsia="SimSun" w:cs="SimSun"/>
          <w:sz w:val="24"/>
          <w:szCs w:val="24"/>
          <w:spacing w:val="-1"/>
        </w:rPr>
        <w:t>区、医院、学校等环境敏感区域风向最大频率的侧风向。</w:t>
      </w:r>
    </w:p>
    <w:p>
      <w:pPr>
        <w:ind w:left="3" w:right="28" w:firstLine="490"/>
        <w:spacing w:before="52" w:line="335" w:lineRule="auto"/>
        <w:rPr>
          <w:rFonts w:ascii="SimSun" w:hAnsi="SimSun" w:eastAsia="SimSun" w:cs="SimSun"/>
          <w:sz w:val="24"/>
          <w:szCs w:val="24"/>
        </w:rPr>
      </w:pPr>
      <w:r>
        <w:rPr>
          <w:rFonts w:ascii="SimSun" w:hAnsi="SimSun" w:eastAsia="SimSun" w:cs="SimSun"/>
          <w:sz w:val="24"/>
          <w:szCs w:val="24"/>
          <w:spacing w:val="4"/>
        </w:rPr>
        <w:t>本项目以生猪待宰圈舍、屠宰车间以及肉牛待宰圈舍、屠宰车间和污水处</w:t>
      </w:r>
      <w:r>
        <w:rPr>
          <w:rFonts w:ascii="SimSun" w:hAnsi="SimSun" w:eastAsia="SimSun" w:cs="SimSun"/>
          <w:sz w:val="24"/>
          <w:szCs w:val="24"/>
          <w:spacing w:val="1"/>
        </w:rPr>
        <w:t xml:space="preserve"> </w:t>
      </w:r>
      <w:r>
        <w:rPr>
          <w:rFonts w:ascii="SimSun" w:hAnsi="SimSun" w:eastAsia="SimSun" w:cs="SimSun"/>
          <w:sz w:val="24"/>
          <w:szCs w:val="24"/>
          <w:spacing w:val="-1"/>
        </w:rPr>
        <w:t>理站边界为起点，分别设置50</w:t>
      </w:r>
      <w:r>
        <w:rPr>
          <w:rFonts w:ascii="Times New Roman" w:hAnsi="Times New Roman" w:eastAsia="Times New Roman" w:cs="Times New Roman"/>
          <w:sz w:val="24"/>
          <w:szCs w:val="24"/>
          <w:spacing w:val="-1"/>
        </w:rPr>
        <w:t>m</w:t>
      </w:r>
      <w:r>
        <w:rPr>
          <w:rFonts w:ascii="Times New Roman" w:hAnsi="Times New Roman" w:eastAsia="Times New Roman" w:cs="Times New Roman"/>
          <w:sz w:val="24"/>
          <w:szCs w:val="24"/>
          <w:spacing w:val="-33"/>
        </w:rPr>
        <w:t xml:space="preserve"> </w:t>
      </w:r>
      <w:r>
        <w:rPr>
          <w:rFonts w:ascii="SimSun" w:hAnsi="SimSun" w:eastAsia="SimSun" w:cs="SimSun"/>
          <w:sz w:val="24"/>
          <w:szCs w:val="24"/>
          <w:spacing w:val="-1"/>
        </w:rPr>
        <w:t>、</w:t>
      </w:r>
      <w:r>
        <w:rPr>
          <w:rFonts w:ascii="Times New Roman" w:hAnsi="Times New Roman" w:eastAsia="Times New Roman" w:cs="Times New Roman"/>
          <w:sz w:val="24"/>
          <w:szCs w:val="24"/>
          <w:spacing w:val="-1"/>
        </w:rPr>
        <w:t>50m</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1"/>
        </w:rPr>
        <w:t>、</w:t>
      </w:r>
      <w:r>
        <w:rPr>
          <w:rFonts w:ascii="Times New Roman" w:hAnsi="Times New Roman" w:eastAsia="Times New Roman" w:cs="Times New Roman"/>
          <w:sz w:val="24"/>
          <w:szCs w:val="24"/>
          <w:spacing w:val="-1"/>
        </w:rPr>
        <w:t>50m</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1"/>
        </w:rPr>
        <w:t>、</w:t>
      </w:r>
      <w:r>
        <w:rPr>
          <w:rFonts w:ascii="Times New Roman" w:hAnsi="Times New Roman" w:eastAsia="Times New Roman" w:cs="Times New Roman"/>
          <w:sz w:val="24"/>
          <w:szCs w:val="24"/>
          <w:spacing w:val="-1"/>
        </w:rPr>
        <w:t>50m</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2"/>
        </w:rPr>
        <w:t>、</w:t>
      </w:r>
      <w:r>
        <w:rPr>
          <w:rFonts w:ascii="Times New Roman" w:hAnsi="Times New Roman" w:eastAsia="Times New Roman" w:cs="Times New Roman"/>
          <w:sz w:val="24"/>
          <w:szCs w:val="24"/>
          <w:spacing w:val="-2"/>
        </w:rPr>
        <w:t>100m</w:t>
      </w:r>
      <w:r>
        <w:rPr>
          <w:rFonts w:ascii="SimSun" w:hAnsi="SimSun" w:eastAsia="SimSun" w:cs="SimSun"/>
          <w:sz w:val="24"/>
          <w:szCs w:val="24"/>
          <w:spacing w:val="-2"/>
        </w:rPr>
        <w:t>的卫生防护距离，项</w:t>
      </w:r>
    </w:p>
    <w:p>
      <w:pPr>
        <w:spacing w:line="335" w:lineRule="auto"/>
        <w:sectPr>
          <w:headerReference w:type="default" r:id="rId121"/>
          <w:footerReference w:type="default" r:id="rId122"/>
          <w:pgSz w:w="11910" w:h="16840"/>
          <w:pgMar w:top="1210" w:right="1786" w:bottom="991" w:left="1786" w:header="902" w:footer="732" w:gutter="0"/>
        </w:sectPr>
        <w:rPr>
          <w:rFonts w:ascii="SimSun" w:hAnsi="SimSun" w:eastAsia="SimSun" w:cs="SimSun"/>
          <w:sz w:val="24"/>
          <w:szCs w:val="24"/>
        </w:rPr>
      </w:pPr>
    </w:p>
    <w:p>
      <w:pPr>
        <w:ind w:left="20" w:right="62"/>
        <w:spacing w:before="269" w:line="422" w:lineRule="auto"/>
        <w:rPr>
          <w:rFonts w:ascii="SimSun" w:hAnsi="SimSun" w:eastAsia="SimSun" w:cs="SimSun"/>
          <w:sz w:val="20"/>
          <w:szCs w:val="20"/>
        </w:rPr>
      </w:pPr>
      <w:r>
        <w:rPr>
          <w:rFonts w:ascii="SimSun" w:hAnsi="SimSun" w:eastAsia="SimSun" w:cs="SimSun"/>
          <w:sz w:val="24"/>
          <w:szCs w:val="24"/>
          <w:spacing w:val="3"/>
        </w:rPr>
        <w:t>目周边均为工业企业，卫生防护距离范围内无居民区、学校、医院等环境敏感</w:t>
      </w:r>
      <w:r>
        <w:rPr>
          <w:rFonts w:ascii="SimSun" w:hAnsi="SimSun" w:eastAsia="SimSun" w:cs="SimSun"/>
          <w:sz w:val="24"/>
          <w:szCs w:val="24"/>
          <w:spacing w:val="8"/>
        </w:rPr>
        <w:t xml:space="preserve"> </w:t>
      </w:r>
      <w:r>
        <w:rPr>
          <w:rFonts w:ascii="SimSun" w:hAnsi="SimSun" w:eastAsia="SimSun" w:cs="SimSun"/>
          <w:sz w:val="20"/>
          <w:szCs w:val="20"/>
          <w:spacing w:val="-11"/>
        </w:rPr>
        <w:t>区</w:t>
      </w:r>
      <w:r>
        <w:rPr>
          <w:rFonts w:ascii="SimSun" w:hAnsi="SimSun" w:eastAsia="SimSun" w:cs="SimSun"/>
          <w:sz w:val="20"/>
          <w:szCs w:val="20"/>
          <w:spacing w:val="-25"/>
        </w:rPr>
        <w:t xml:space="preserve"> </w:t>
      </w:r>
      <w:r>
        <w:rPr>
          <w:rFonts w:ascii="SimSun" w:hAnsi="SimSun" w:eastAsia="SimSun" w:cs="SimSun"/>
          <w:sz w:val="20"/>
          <w:szCs w:val="20"/>
          <w:spacing w:val="-11"/>
        </w:rPr>
        <w:t>域</w:t>
      </w:r>
      <w:r>
        <w:rPr>
          <w:rFonts w:ascii="SimSun" w:hAnsi="SimSun" w:eastAsia="SimSun" w:cs="SimSun"/>
          <w:sz w:val="20"/>
          <w:szCs w:val="20"/>
          <w:spacing w:val="-34"/>
        </w:rPr>
        <w:t xml:space="preserve"> </w:t>
      </w:r>
      <w:r>
        <w:rPr>
          <w:rFonts w:ascii="SimSun" w:hAnsi="SimSun" w:eastAsia="SimSun" w:cs="SimSun"/>
          <w:sz w:val="20"/>
          <w:szCs w:val="20"/>
          <w:spacing w:val="-11"/>
        </w:rPr>
        <w:t>。</w:t>
      </w:r>
    </w:p>
    <w:p>
      <w:pPr>
        <w:ind w:left="23"/>
        <w:spacing w:before="1" w:line="223" w:lineRule="auto"/>
        <w:rPr>
          <w:rFonts w:ascii="SimHei" w:hAnsi="SimHei" w:eastAsia="SimHei" w:cs="SimHei"/>
          <w:sz w:val="24"/>
          <w:szCs w:val="24"/>
        </w:rPr>
      </w:pPr>
      <w:bookmarkStart w:name="bookmark85" w:id="28"/>
      <w:bookmarkEnd w:id="28"/>
      <w:r>
        <w:rPr>
          <w:rFonts w:ascii="SimHei" w:hAnsi="SimHei" w:eastAsia="SimHei" w:cs="SimHei"/>
          <w:sz w:val="24"/>
          <w:szCs w:val="24"/>
          <w:b/>
          <w:bCs/>
          <w:spacing w:val="11"/>
        </w:rPr>
        <w:t>1.6.3选址合理性</w:t>
      </w:r>
    </w:p>
    <w:p>
      <w:pPr>
        <w:ind w:left="620"/>
        <w:spacing w:before="191" w:line="219" w:lineRule="auto"/>
        <w:rPr>
          <w:rFonts w:ascii="SimSun" w:hAnsi="SimSun" w:eastAsia="SimSun" w:cs="SimSun"/>
          <w:sz w:val="24"/>
          <w:szCs w:val="24"/>
        </w:rPr>
      </w:pPr>
      <w:r>
        <w:rPr>
          <w:rFonts w:ascii="SimSun" w:hAnsi="SimSun" w:eastAsia="SimSun" w:cs="SimSun"/>
          <w:sz w:val="24"/>
          <w:szCs w:val="24"/>
          <w:spacing w:val="5"/>
        </w:rPr>
        <w:t>(1)项目与安州区高级职业中学选址合理性分析</w:t>
      </w:r>
    </w:p>
    <w:p>
      <w:pPr>
        <w:ind w:left="20" w:right="18" w:firstLine="480"/>
        <w:spacing w:before="183" w:line="329" w:lineRule="auto"/>
        <w:rPr>
          <w:rFonts w:ascii="SimSun" w:hAnsi="SimSun" w:eastAsia="SimSun" w:cs="SimSun"/>
          <w:sz w:val="24"/>
          <w:szCs w:val="24"/>
        </w:rPr>
      </w:pPr>
      <w:r>
        <w:rPr>
          <w:rFonts w:ascii="SimSun" w:hAnsi="SimSun" w:eastAsia="SimSun" w:cs="SimSun"/>
          <w:sz w:val="24"/>
          <w:szCs w:val="24"/>
          <w:spacing w:val="3"/>
        </w:rPr>
        <w:t>本项目东侧约180</w:t>
      </w:r>
      <w:r>
        <w:rPr>
          <w:rFonts w:ascii="Times New Roman" w:hAnsi="Times New Roman" w:eastAsia="Times New Roman" w:cs="Times New Roman"/>
          <w:sz w:val="24"/>
          <w:szCs w:val="24"/>
          <w:spacing w:val="3"/>
        </w:rPr>
        <w:t>m</w:t>
      </w:r>
      <w:r>
        <w:rPr>
          <w:rFonts w:ascii="SimSun" w:hAnsi="SimSun" w:eastAsia="SimSun" w:cs="SimSun"/>
          <w:sz w:val="24"/>
          <w:szCs w:val="24"/>
          <w:spacing w:val="3"/>
        </w:rPr>
        <w:t>处为安州区高级职业</w:t>
      </w:r>
      <w:r>
        <w:rPr>
          <w:rFonts w:ascii="SimSun" w:hAnsi="SimSun" w:eastAsia="SimSun" w:cs="SimSun"/>
          <w:sz w:val="24"/>
          <w:szCs w:val="24"/>
          <w:spacing w:val="2"/>
        </w:rPr>
        <w:t>中学，根据现场踏勘，安州区高级</w:t>
      </w:r>
      <w:r>
        <w:rPr>
          <w:rFonts w:ascii="SimSun" w:hAnsi="SimSun" w:eastAsia="SimSun" w:cs="SimSun"/>
          <w:sz w:val="24"/>
          <w:szCs w:val="24"/>
        </w:rPr>
        <w:t xml:space="preserve"> </w:t>
      </w:r>
      <w:r>
        <w:rPr>
          <w:rFonts w:ascii="SimSun" w:hAnsi="SimSun" w:eastAsia="SimSun" w:cs="SimSun"/>
          <w:sz w:val="24"/>
          <w:szCs w:val="24"/>
          <w:spacing w:val="3"/>
        </w:rPr>
        <w:t>职业中学内主要由足球场、教师办公楼、学生宿舍、教学楼以及食堂等组成，</w:t>
      </w:r>
      <w:r>
        <w:rPr>
          <w:rFonts w:ascii="SimSun" w:hAnsi="SimSun" w:eastAsia="SimSun" w:cs="SimSun"/>
          <w:sz w:val="24"/>
          <w:szCs w:val="24"/>
          <w:spacing w:val="6"/>
        </w:rPr>
        <w:t xml:space="preserve"> </w:t>
      </w:r>
      <w:r>
        <w:rPr>
          <w:rFonts w:ascii="SimSun" w:hAnsi="SimSun" w:eastAsia="SimSun" w:cs="SimSun"/>
          <w:sz w:val="24"/>
          <w:szCs w:val="24"/>
          <w:spacing w:val="-2"/>
        </w:rPr>
        <w:t>安州区高级职业中学平面布置示意图如下：</w:t>
      </w:r>
    </w:p>
    <w:p>
      <w:pPr>
        <w:spacing w:line="5350" w:lineRule="exact"/>
        <w:rPr/>
      </w:pPr>
      <w:r>
        <w:rPr>
          <w:position w:val="-106"/>
        </w:rPr>
        <w:drawing>
          <wp:inline distT="0" distB="0" distL="0" distR="0">
            <wp:extent cx="5257844" cy="3397186"/>
            <wp:effectExtent l="0" t="0" r="0" b="0"/>
            <wp:docPr id="28" name="IM 28"/>
            <wp:cNvGraphicFramePr/>
            <a:graphic>
              <a:graphicData uri="http://schemas.openxmlformats.org/drawingml/2006/picture">
                <pic:pic>
                  <pic:nvPicPr>
                    <pic:cNvPr id="28" name="IM 28"/>
                    <pic:cNvPicPr/>
                  </pic:nvPicPr>
                  <pic:blipFill>
                    <a:blip r:embed="rId125"/>
                    <a:stretch>
                      <a:fillRect/>
                    </a:stretch>
                  </pic:blipFill>
                  <pic:spPr>
                    <a:xfrm rot="0">
                      <a:off x="0" y="0"/>
                      <a:ext cx="5257844" cy="3397186"/>
                    </a:xfrm>
                    <a:prstGeom prst="rect">
                      <a:avLst/>
                    </a:prstGeom>
                  </pic:spPr>
                </pic:pic>
              </a:graphicData>
            </a:graphic>
          </wp:inline>
        </w:drawing>
      </w:r>
    </w:p>
    <w:p>
      <w:pPr>
        <w:ind w:left="1863"/>
        <w:spacing w:before="55" w:line="219" w:lineRule="auto"/>
        <w:rPr>
          <w:rFonts w:ascii="SimSun" w:hAnsi="SimSun" w:eastAsia="SimSun" w:cs="SimSun"/>
          <w:sz w:val="24"/>
          <w:szCs w:val="24"/>
        </w:rPr>
      </w:pPr>
      <w:r>
        <w:rPr>
          <w:rFonts w:ascii="SimSun" w:hAnsi="SimSun" w:eastAsia="SimSun" w:cs="SimSun"/>
          <w:sz w:val="24"/>
          <w:szCs w:val="24"/>
          <w:b/>
          <w:bCs/>
          <w:spacing w:val="-4"/>
        </w:rPr>
        <w:t>图1.6-2安州区高级职业中学平面布置示</w:t>
      </w:r>
      <w:r>
        <w:rPr>
          <w:rFonts w:ascii="SimSun" w:hAnsi="SimSun" w:eastAsia="SimSun" w:cs="SimSun"/>
          <w:sz w:val="24"/>
          <w:szCs w:val="24"/>
          <w:b/>
          <w:bCs/>
          <w:spacing w:val="-5"/>
        </w:rPr>
        <w:t>意图</w:t>
      </w:r>
    </w:p>
    <w:p>
      <w:pPr>
        <w:ind w:left="20" w:right="19" w:firstLine="480"/>
        <w:spacing w:before="207" w:line="355" w:lineRule="auto"/>
        <w:jc w:val="both"/>
        <w:rPr>
          <w:rFonts w:ascii="SimSun" w:hAnsi="SimSun" w:eastAsia="SimSun" w:cs="SimSun"/>
          <w:sz w:val="24"/>
          <w:szCs w:val="24"/>
        </w:rPr>
      </w:pPr>
      <w:r>
        <w:rPr>
          <w:rFonts w:ascii="SimSun" w:hAnsi="SimSun" w:eastAsia="SimSun" w:cs="SimSun"/>
          <w:sz w:val="24"/>
          <w:szCs w:val="24"/>
          <w:spacing w:val="5"/>
        </w:rPr>
        <w:t>本项目东侧约220</w:t>
      </w:r>
      <w:r>
        <w:rPr>
          <w:rFonts w:ascii="Times New Roman" w:hAnsi="Times New Roman" w:eastAsia="Times New Roman" w:cs="Times New Roman"/>
          <w:sz w:val="24"/>
          <w:szCs w:val="24"/>
          <w:spacing w:val="5"/>
        </w:rPr>
        <w:t>m</w:t>
      </w:r>
      <w:r>
        <w:rPr>
          <w:rFonts w:ascii="SimSun" w:hAnsi="SimSun" w:eastAsia="SimSun" w:cs="SimSun"/>
          <w:sz w:val="24"/>
          <w:szCs w:val="24"/>
          <w:spacing w:val="5"/>
        </w:rPr>
        <w:t>处为足球场、东侧约290</w:t>
      </w:r>
      <w:r>
        <w:rPr>
          <w:rFonts w:ascii="Times New Roman" w:hAnsi="Times New Roman" w:eastAsia="Times New Roman" w:cs="Times New Roman"/>
          <w:sz w:val="24"/>
          <w:szCs w:val="24"/>
          <w:spacing w:val="5"/>
        </w:rPr>
        <w:t>m</w:t>
      </w:r>
      <w:r>
        <w:rPr>
          <w:rFonts w:ascii="SimSun" w:hAnsi="SimSun" w:eastAsia="SimSun" w:cs="SimSun"/>
          <w:sz w:val="24"/>
          <w:szCs w:val="24"/>
          <w:spacing w:val="5"/>
        </w:rPr>
        <w:t>处为</w:t>
      </w:r>
      <w:r>
        <w:rPr>
          <w:rFonts w:ascii="SimSun" w:hAnsi="SimSun" w:eastAsia="SimSun" w:cs="SimSun"/>
          <w:sz w:val="24"/>
          <w:szCs w:val="24"/>
          <w:spacing w:val="4"/>
        </w:rPr>
        <w:t>学生宿舍、东侧约380</w:t>
      </w:r>
      <w:r>
        <w:rPr>
          <w:rFonts w:ascii="Times New Roman" w:hAnsi="Times New Roman" w:eastAsia="Times New Roman" w:cs="Times New Roman"/>
          <w:sz w:val="24"/>
          <w:szCs w:val="24"/>
          <w:spacing w:val="4"/>
        </w:rPr>
        <w:t>m</w:t>
      </w:r>
      <w:r>
        <w:rPr>
          <w:rFonts w:ascii="Times New Roman" w:hAnsi="Times New Roman" w:eastAsia="Times New Roman" w:cs="Times New Roman"/>
          <w:sz w:val="24"/>
          <w:szCs w:val="24"/>
        </w:rPr>
        <w:t xml:space="preserve"> </w:t>
      </w:r>
      <w:r>
        <w:rPr>
          <w:rFonts w:ascii="SimSun" w:hAnsi="SimSun" w:eastAsia="SimSun" w:cs="SimSun"/>
          <w:sz w:val="24"/>
          <w:szCs w:val="24"/>
        </w:rPr>
        <w:t>处为食堂、东侧约390</w:t>
      </w:r>
      <w:r>
        <w:rPr>
          <w:rFonts w:ascii="Times New Roman" w:hAnsi="Times New Roman" w:eastAsia="Times New Roman" w:cs="Times New Roman"/>
          <w:sz w:val="24"/>
          <w:szCs w:val="24"/>
        </w:rPr>
        <w:t>m</w:t>
      </w:r>
      <w:r>
        <w:rPr>
          <w:rFonts w:ascii="SimSun" w:hAnsi="SimSun" w:eastAsia="SimSun" w:cs="SimSun"/>
          <w:sz w:val="24"/>
          <w:szCs w:val="24"/>
        </w:rPr>
        <w:t>处为教师办公楼</w:t>
      </w:r>
      <w:r>
        <w:rPr>
          <w:rFonts w:ascii="SimSun" w:hAnsi="SimSun" w:eastAsia="SimSun" w:cs="SimSun"/>
          <w:sz w:val="24"/>
          <w:szCs w:val="24"/>
          <w:spacing w:val="-1"/>
        </w:rPr>
        <w:t>、东侧约400</w:t>
      </w:r>
      <w:r>
        <w:rPr>
          <w:rFonts w:ascii="Times New Roman" w:hAnsi="Times New Roman" w:eastAsia="Times New Roman" w:cs="Times New Roman"/>
          <w:sz w:val="24"/>
          <w:szCs w:val="24"/>
          <w:spacing w:val="-1"/>
        </w:rPr>
        <w:t>m</w:t>
      </w:r>
      <w:r>
        <w:rPr>
          <w:rFonts w:ascii="SimSun" w:hAnsi="SimSun" w:eastAsia="SimSun" w:cs="SimSun"/>
          <w:sz w:val="24"/>
          <w:szCs w:val="24"/>
          <w:spacing w:val="-1"/>
        </w:rPr>
        <w:t>处为教学楼，由安州区高</w:t>
      </w:r>
      <w:r>
        <w:rPr>
          <w:rFonts w:ascii="SimSun" w:hAnsi="SimSun" w:eastAsia="SimSun" w:cs="SimSun"/>
          <w:sz w:val="24"/>
          <w:szCs w:val="24"/>
        </w:rPr>
        <w:t xml:space="preserve"> </w:t>
      </w:r>
      <w:r>
        <w:rPr>
          <w:rFonts w:ascii="SimSun" w:hAnsi="SimSun" w:eastAsia="SimSun" w:cs="SimSun"/>
          <w:sz w:val="24"/>
          <w:szCs w:val="24"/>
          <w:spacing w:val="4"/>
        </w:rPr>
        <w:t>级职业中学平面布置可知，与本项目距离最近的为足球场，学生宿舍、教师办</w:t>
      </w:r>
      <w:r>
        <w:rPr>
          <w:rFonts w:ascii="SimSun" w:hAnsi="SimSun" w:eastAsia="SimSun" w:cs="SimSun"/>
          <w:sz w:val="24"/>
          <w:szCs w:val="24"/>
          <w:spacing w:val="17"/>
        </w:rPr>
        <w:t xml:space="preserve"> </w:t>
      </w:r>
      <w:r>
        <w:rPr>
          <w:rFonts w:ascii="SimSun" w:hAnsi="SimSun" w:eastAsia="SimSun" w:cs="SimSun"/>
          <w:sz w:val="24"/>
          <w:szCs w:val="24"/>
          <w:spacing w:val="-4"/>
        </w:rPr>
        <w:t>公楼、教学楼均离本项目较远。</w:t>
      </w:r>
    </w:p>
    <w:p>
      <w:pPr>
        <w:ind w:left="20" w:right="30" w:firstLine="480"/>
        <w:spacing w:before="16" w:line="334" w:lineRule="auto"/>
        <w:rPr>
          <w:rFonts w:ascii="Times New Roman" w:hAnsi="Times New Roman" w:eastAsia="Times New Roman" w:cs="Times New Roman"/>
          <w:sz w:val="24"/>
          <w:szCs w:val="24"/>
        </w:rPr>
      </w:pPr>
      <w:r>
        <w:rPr>
          <w:rFonts w:ascii="SimSun" w:hAnsi="SimSun" w:eastAsia="SimSun" w:cs="SimSun"/>
          <w:sz w:val="24"/>
          <w:szCs w:val="24"/>
          <w:spacing w:val="4"/>
        </w:rPr>
        <w:t>本项目运营期通过设置双开门封闭车间减小废气无组织排放，生猪待宰圈</w:t>
      </w:r>
      <w:r>
        <w:rPr>
          <w:rFonts w:ascii="SimSun" w:hAnsi="SimSun" w:eastAsia="SimSun" w:cs="SimSun"/>
          <w:sz w:val="24"/>
          <w:szCs w:val="24"/>
          <w:spacing w:val="14"/>
        </w:rPr>
        <w:t xml:space="preserve"> </w:t>
      </w:r>
      <w:r>
        <w:rPr>
          <w:rFonts w:ascii="SimSun" w:hAnsi="SimSun" w:eastAsia="SimSun" w:cs="SimSun"/>
          <w:sz w:val="24"/>
          <w:szCs w:val="24"/>
          <w:spacing w:val="3"/>
        </w:rPr>
        <w:t>舍恶臭经负压密闭抽风系统引入“喷淋+</w:t>
      </w:r>
      <w:r>
        <w:rPr>
          <w:rFonts w:ascii="Times New Roman" w:hAnsi="Times New Roman" w:eastAsia="Times New Roman" w:cs="Times New Roman"/>
          <w:sz w:val="24"/>
          <w:szCs w:val="24"/>
        </w:rPr>
        <w:t>UV</w:t>
      </w:r>
      <w:r>
        <w:rPr>
          <w:rFonts w:ascii="SimSun" w:hAnsi="SimSun" w:eastAsia="SimSun" w:cs="SimSun"/>
          <w:sz w:val="24"/>
          <w:szCs w:val="24"/>
          <w:spacing w:val="3"/>
        </w:rPr>
        <w:t>光解+活性炭吸附装置</w:t>
      </w:r>
      <w:r>
        <w:rPr>
          <w:rFonts w:ascii="SimSun" w:hAnsi="SimSun" w:eastAsia="SimSun" w:cs="SimSun"/>
          <w:sz w:val="24"/>
          <w:szCs w:val="24"/>
          <w:spacing w:val="-37"/>
        </w:rPr>
        <w:t xml:space="preserve"> </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TA</w:t>
      </w:r>
      <w:r>
        <w:rPr>
          <w:rFonts w:ascii="Times New Roman" w:hAnsi="Times New Roman" w:eastAsia="Times New Roman" w:cs="Times New Roman"/>
          <w:sz w:val="24"/>
          <w:szCs w:val="24"/>
          <w:spacing w:val="3"/>
        </w:rPr>
        <w:t>001)”</w:t>
      </w:r>
    </w:p>
    <w:p>
      <w:pPr>
        <w:ind w:left="20" w:right="28"/>
        <w:spacing w:before="26" w:line="351" w:lineRule="auto"/>
        <w:rPr>
          <w:rFonts w:ascii="SimSun" w:hAnsi="SimSun" w:eastAsia="SimSun" w:cs="SimSun"/>
          <w:sz w:val="24"/>
          <w:szCs w:val="24"/>
        </w:rPr>
      </w:pPr>
      <w:r>
        <w:rPr>
          <w:rFonts w:ascii="SimSun" w:hAnsi="SimSun" w:eastAsia="SimSun" w:cs="SimSun"/>
          <w:sz w:val="24"/>
          <w:szCs w:val="24"/>
          <w:spacing w:val="1"/>
        </w:rPr>
        <w:t>处理后，通过1根15</w:t>
      </w:r>
      <w:r>
        <w:rPr>
          <w:rFonts w:ascii="Times New Roman" w:hAnsi="Times New Roman" w:eastAsia="Times New Roman" w:cs="Times New Roman"/>
          <w:sz w:val="24"/>
          <w:szCs w:val="24"/>
          <w:spacing w:val="1"/>
        </w:rPr>
        <w:t>m</w:t>
      </w:r>
      <w:r>
        <w:rPr>
          <w:rFonts w:ascii="SimSun" w:hAnsi="SimSun" w:eastAsia="SimSun" w:cs="SimSun"/>
          <w:sz w:val="24"/>
          <w:szCs w:val="24"/>
          <w:spacing w:val="1"/>
        </w:rPr>
        <w:t>高排气筒 </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1"/>
        </w:rPr>
        <w:t>001)</w:t>
      </w:r>
      <w:r>
        <w:rPr>
          <w:rFonts w:ascii="Times New Roman" w:hAnsi="Times New Roman" w:eastAsia="Times New Roman" w:cs="Times New Roman"/>
          <w:sz w:val="24"/>
          <w:szCs w:val="24"/>
          <w:spacing w:val="20"/>
        </w:rPr>
        <w:t xml:space="preserve">   </w:t>
      </w:r>
      <w:r>
        <w:rPr>
          <w:rFonts w:ascii="SimSun" w:hAnsi="SimSun" w:eastAsia="SimSun" w:cs="SimSun"/>
          <w:sz w:val="24"/>
          <w:szCs w:val="24"/>
          <w:spacing w:val="1"/>
        </w:rPr>
        <w:t>达标排放；生猪屠宰车间恶臭经负压</w:t>
      </w:r>
      <w:r>
        <w:rPr>
          <w:rFonts w:ascii="SimSun" w:hAnsi="SimSun" w:eastAsia="SimSun" w:cs="SimSun"/>
          <w:sz w:val="24"/>
          <w:szCs w:val="24"/>
        </w:rPr>
        <w:t xml:space="preserve"> </w:t>
      </w:r>
      <w:r>
        <w:rPr>
          <w:rFonts w:ascii="SimSun" w:hAnsi="SimSun" w:eastAsia="SimSun" w:cs="SimSun"/>
          <w:sz w:val="24"/>
          <w:szCs w:val="24"/>
          <w:spacing w:val="2"/>
        </w:rPr>
        <w:t>密闭抽风系统引入“喷淋+</w:t>
      </w:r>
      <w:r>
        <w:rPr>
          <w:rFonts w:ascii="Times New Roman" w:hAnsi="Times New Roman" w:eastAsia="Times New Roman" w:cs="Times New Roman"/>
          <w:sz w:val="24"/>
          <w:szCs w:val="24"/>
        </w:rPr>
        <w:t>UV</w:t>
      </w:r>
      <w:r>
        <w:rPr>
          <w:rFonts w:ascii="SimSun" w:hAnsi="SimSun" w:eastAsia="SimSun" w:cs="SimSun"/>
          <w:sz w:val="24"/>
          <w:szCs w:val="24"/>
          <w:spacing w:val="2"/>
        </w:rPr>
        <w:t>光解+活性炭吸附装置</w:t>
      </w:r>
      <w:r>
        <w:rPr>
          <w:rFonts w:ascii="SimSun" w:hAnsi="SimSun" w:eastAsia="SimSun" w:cs="SimSun"/>
          <w:sz w:val="24"/>
          <w:szCs w:val="24"/>
          <w:spacing w:val="-38"/>
        </w:rPr>
        <w:t xml:space="preserve"> </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TA</w:t>
      </w:r>
      <w:r>
        <w:rPr>
          <w:rFonts w:ascii="Times New Roman" w:hAnsi="Times New Roman" w:eastAsia="Times New Roman" w:cs="Times New Roman"/>
          <w:sz w:val="24"/>
          <w:szCs w:val="24"/>
          <w:spacing w:val="2"/>
        </w:rPr>
        <w:t>002)”     </w:t>
      </w:r>
      <w:r>
        <w:rPr>
          <w:rFonts w:ascii="Times New Roman" w:hAnsi="Times New Roman" w:eastAsia="Times New Roman" w:cs="Times New Roman"/>
          <w:sz w:val="24"/>
          <w:szCs w:val="24"/>
          <w:spacing w:val="1"/>
        </w:rPr>
        <w:t xml:space="preserve"> </w:t>
      </w:r>
      <w:r>
        <w:rPr>
          <w:rFonts w:ascii="SimSun" w:hAnsi="SimSun" w:eastAsia="SimSun" w:cs="SimSun"/>
          <w:sz w:val="24"/>
          <w:szCs w:val="24"/>
          <w:spacing w:val="1"/>
        </w:rPr>
        <w:t>处理后，通过</w:t>
      </w:r>
      <w:r>
        <w:rPr>
          <w:rFonts w:ascii="SimSun" w:hAnsi="SimSun" w:eastAsia="SimSun" w:cs="SimSun"/>
          <w:sz w:val="24"/>
          <w:szCs w:val="24"/>
        </w:rPr>
        <w:t xml:space="preserve"> </w:t>
      </w:r>
      <w:r>
        <w:rPr>
          <w:rFonts w:ascii="SimSun" w:hAnsi="SimSun" w:eastAsia="SimSun" w:cs="SimSun"/>
          <w:sz w:val="24"/>
          <w:szCs w:val="24"/>
          <w:spacing w:val="2"/>
        </w:rPr>
        <w:t>1根15m</w:t>
      </w:r>
      <w:r>
        <w:rPr>
          <w:rFonts w:ascii="SimSun" w:hAnsi="SimSun" w:eastAsia="SimSun" w:cs="SimSun"/>
          <w:sz w:val="24"/>
          <w:szCs w:val="24"/>
          <w:spacing w:val="-28"/>
        </w:rPr>
        <w:t xml:space="preserve"> </w:t>
      </w:r>
      <w:r>
        <w:rPr>
          <w:rFonts w:ascii="SimSun" w:hAnsi="SimSun" w:eastAsia="SimSun" w:cs="SimSun"/>
          <w:sz w:val="24"/>
          <w:szCs w:val="24"/>
          <w:spacing w:val="2"/>
        </w:rPr>
        <w:t>高排气筒</w:t>
      </w:r>
      <w:r>
        <w:rPr>
          <w:rFonts w:ascii="SimSun" w:hAnsi="SimSun" w:eastAsia="SimSun" w:cs="SimSun"/>
          <w:sz w:val="24"/>
          <w:szCs w:val="24"/>
          <w:spacing w:val="-35"/>
        </w:rPr>
        <w:t xml:space="preserve"> </w:t>
      </w:r>
      <w:r>
        <w:rPr>
          <w:rFonts w:ascii="SimSun" w:hAnsi="SimSun" w:eastAsia="SimSun" w:cs="SimSun"/>
          <w:sz w:val="24"/>
          <w:szCs w:val="24"/>
          <w:spacing w:val="2"/>
        </w:rPr>
        <w:t>(</w:t>
      </w:r>
      <w:r>
        <w:rPr>
          <w:rFonts w:ascii="SimSun" w:hAnsi="SimSun" w:eastAsia="SimSun" w:cs="SimSun"/>
          <w:sz w:val="24"/>
          <w:szCs w:val="24"/>
        </w:rPr>
        <w:t>DA</w:t>
      </w:r>
      <w:r>
        <w:rPr>
          <w:rFonts w:ascii="SimSun" w:hAnsi="SimSun" w:eastAsia="SimSun" w:cs="SimSun"/>
          <w:sz w:val="24"/>
          <w:szCs w:val="24"/>
          <w:spacing w:val="2"/>
        </w:rPr>
        <w:t>002)  达标排放；肉牛待宰圈舍、屠宰车间恶臭经负压密</w:t>
      </w:r>
      <w:r>
        <w:rPr>
          <w:rFonts w:ascii="SimSun" w:hAnsi="SimSun" w:eastAsia="SimSun" w:cs="SimSun"/>
          <w:sz w:val="24"/>
          <w:szCs w:val="24"/>
        </w:rPr>
        <w:t xml:space="preserve"> </w:t>
      </w:r>
      <w:r>
        <w:rPr>
          <w:rFonts w:ascii="SimSun" w:hAnsi="SimSun" w:eastAsia="SimSun" w:cs="SimSun"/>
          <w:sz w:val="24"/>
          <w:szCs w:val="24"/>
          <w:spacing w:val="5"/>
        </w:rPr>
        <w:t>闭抽风系统引入“喷淋+</w:t>
      </w:r>
      <w:r>
        <w:rPr>
          <w:rFonts w:ascii="Times New Roman" w:hAnsi="Times New Roman" w:eastAsia="Times New Roman" w:cs="Times New Roman"/>
          <w:sz w:val="24"/>
          <w:szCs w:val="24"/>
        </w:rPr>
        <w:t>UV</w:t>
      </w:r>
      <w:r>
        <w:rPr>
          <w:rFonts w:ascii="SimSun" w:hAnsi="SimSun" w:eastAsia="SimSun" w:cs="SimSun"/>
          <w:sz w:val="24"/>
          <w:szCs w:val="24"/>
          <w:spacing w:val="5"/>
        </w:rPr>
        <w:t>光解+活性炭吸附装置</w:t>
      </w:r>
      <w:r>
        <w:rPr>
          <w:rFonts w:ascii="SimSun" w:hAnsi="SimSun" w:eastAsia="SimSun" w:cs="SimSun"/>
          <w:sz w:val="24"/>
          <w:szCs w:val="24"/>
          <w:spacing w:val="-28"/>
        </w:rPr>
        <w:t xml:space="preserve"> </w:t>
      </w:r>
      <w:r>
        <w:rPr>
          <w:rFonts w:ascii="Times New Roman" w:hAnsi="Times New Roman" w:eastAsia="Times New Roman" w:cs="Times New Roman"/>
          <w:sz w:val="24"/>
          <w:szCs w:val="24"/>
          <w:spacing w:val="5"/>
        </w:rPr>
        <w:t>(</w:t>
      </w:r>
      <w:r>
        <w:rPr>
          <w:rFonts w:ascii="Times New Roman" w:hAnsi="Times New Roman" w:eastAsia="Times New Roman" w:cs="Times New Roman"/>
          <w:sz w:val="24"/>
          <w:szCs w:val="24"/>
        </w:rPr>
        <w:t>TA</w:t>
      </w:r>
      <w:r>
        <w:rPr>
          <w:rFonts w:ascii="Times New Roman" w:hAnsi="Times New Roman" w:eastAsia="Times New Roman" w:cs="Times New Roman"/>
          <w:sz w:val="24"/>
          <w:szCs w:val="24"/>
          <w:spacing w:val="5"/>
        </w:rPr>
        <w:t>003)”      </w:t>
      </w:r>
      <w:r>
        <w:rPr>
          <w:rFonts w:ascii="SimSun" w:hAnsi="SimSun" w:eastAsia="SimSun" w:cs="SimSun"/>
          <w:sz w:val="24"/>
          <w:szCs w:val="24"/>
          <w:spacing w:val="5"/>
        </w:rPr>
        <w:t>处理后，通</w:t>
      </w:r>
      <w:r>
        <w:rPr>
          <w:rFonts w:ascii="SimSun" w:hAnsi="SimSun" w:eastAsia="SimSun" w:cs="SimSun"/>
          <w:sz w:val="24"/>
          <w:szCs w:val="24"/>
          <w:spacing w:val="4"/>
        </w:rPr>
        <w:t>过1</w:t>
      </w:r>
    </w:p>
    <w:p>
      <w:pPr>
        <w:spacing w:line="351" w:lineRule="auto"/>
        <w:sectPr>
          <w:headerReference w:type="default" r:id="rId123"/>
          <w:footerReference w:type="default" r:id="rId124"/>
          <w:pgSz w:w="11910" w:h="16840"/>
          <w:pgMar w:top="1210" w:right="1786" w:bottom="959" w:left="1769" w:header="902" w:footer="764" w:gutter="0"/>
        </w:sectPr>
        <w:rPr>
          <w:rFonts w:ascii="SimSun" w:hAnsi="SimSun" w:eastAsia="SimSun" w:cs="SimSun"/>
          <w:sz w:val="24"/>
          <w:szCs w:val="24"/>
        </w:rPr>
      </w:pPr>
    </w:p>
    <w:p>
      <w:pPr>
        <w:ind w:left="3" w:right="28"/>
        <w:spacing w:before="242" w:line="351" w:lineRule="auto"/>
        <w:jc w:val="both"/>
        <w:rPr>
          <w:rFonts w:ascii="SimSun" w:hAnsi="SimSun" w:eastAsia="SimSun" w:cs="SimSun"/>
          <w:sz w:val="24"/>
          <w:szCs w:val="24"/>
        </w:rPr>
      </w:pPr>
      <w:r>
        <w:rPr>
          <w:rFonts w:ascii="SimSun" w:hAnsi="SimSun" w:eastAsia="SimSun" w:cs="SimSun"/>
          <w:sz w:val="24"/>
          <w:szCs w:val="24"/>
          <w:spacing w:val="11"/>
        </w:rPr>
        <w:t>根15</w:t>
      </w:r>
      <w:r>
        <w:rPr>
          <w:rFonts w:ascii="Times New Roman" w:hAnsi="Times New Roman" w:eastAsia="Times New Roman" w:cs="Times New Roman"/>
          <w:sz w:val="24"/>
          <w:szCs w:val="24"/>
          <w:spacing w:val="11"/>
        </w:rPr>
        <w:t>m</w:t>
      </w:r>
      <w:r>
        <w:rPr>
          <w:rFonts w:ascii="SimSun" w:hAnsi="SimSun" w:eastAsia="SimSun" w:cs="SimSun"/>
          <w:sz w:val="24"/>
          <w:szCs w:val="24"/>
          <w:spacing w:val="11"/>
        </w:rPr>
        <w:t>高排气筒 </w:t>
      </w:r>
      <w:r>
        <w:rPr>
          <w:rFonts w:ascii="Times New Roman" w:hAnsi="Times New Roman" w:eastAsia="Times New Roman" w:cs="Times New Roman"/>
          <w:sz w:val="24"/>
          <w:szCs w:val="24"/>
          <w:spacing w:val="11"/>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11"/>
        </w:rPr>
        <w:t>003)    </w:t>
      </w:r>
      <w:r>
        <w:rPr>
          <w:rFonts w:ascii="SimSun" w:hAnsi="SimSun" w:eastAsia="SimSun" w:cs="SimSun"/>
          <w:sz w:val="24"/>
          <w:szCs w:val="24"/>
          <w:spacing w:val="11"/>
        </w:rPr>
        <w:t>达标</w:t>
      </w:r>
      <w:r>
        <w:rPr>
          <w:rFonts w:ascii="SimSun" w:hAnsi="SimSun" w:eastAsia="SimSun" w:cs="SimSun"/>
          <w:sz w:val="24"/>
          <w:szCs w:val="24"/>
          <w:spacing w:val="10"/>
        </w:rPr>
        <w:t>排放；污水处理站各臭气排放设施均加盖密</w:t>
      </w:r>
      <w:r>
        <w:rPr>
          <w:rFonts w:ascii="SimSun" w:hAnsi="SimSun" w:eastAsia="SimSun" w:cs="SimSun"/>
          <w:sz w:val="24"/>
          <w:szCs w:val="24"/>
        </w:rPr>
        <w:t xml:space="preserve"> </w:t>
      </w:r>
      <w:r>
        <w:rPr>
          <w:rFonts w:ascii="SimSun" w:hAnsi="SimSun" w:eastAsia="SimSun" w:cs="SimSun"/>
          <w:sz w:val="24"/>
          <w:szCs w:val="24"/>
          <w:spacing w:val="1"/>
        </w:rPr>
        <w:t>封，定期喷洒微生物除臭剂，污水处理站恶臭经“喷淋+</w:t>
      </w:r>
      <w:r>
        <w:rPr>
          <w:rFonts w:ascii="Times New Roman" w:hAnsi="Times New Roman" w:eastAsia="Times New Roman" w:cs="Times New Roman"/>
          <w:sz w:val="24"/>
          <w:szCs w:val="24"/>
        </w:rPr>
        <w:t>UV</w:t>
      </w:r>
      <w:r>
        <w:rPr>
          <w:rFonts w:ascii="SimSun" w:hAnsi="SimSun" w:eastAsia="SimSun" w:cs="SimSun"/>
          <w:sz w:val="24"/>
          <w:szCs w:val="24"/>
          <w:spacing w:val="1"/>
        </w:rPr>
        <w:t>光解+活性炭吸附装</w:t>
      </w:r>
      <w:r>
        <w:rPr>
          <w:rFonts w:ascii="SimSun" w:hAnsi="SimSun" w:eastAsia="SimSun" w:cs="SimSun"/>
          <w:sz w:val="24"/>
          <w:szCs w:val="24"/>
        </w:rPr>
        <w:t xml:space="preserve"> </w:t>
      </w:r>
      <w:r>
        <w:rPr>
          <w:rFonts w:ascii="SimSun" w:hAnsi="SimSun" w:eastAsia="SimSun" w:cs="SimSun"/>
          <w:sz w:val="24"/>
          <w:szCs w:val="24"/>
          <w:spacing w:val="4"/>
        </w:rPr>
        <w:t>置</w:t>
      </w:r>
      <w:r>
        <w:rPr>
          <w:rFonts w:ascii="SimSun" w:hAnsi="SimSun" w:eastAsia="SimSun" w:cs="SimSun"/>
          <w:sz w:val="24"/>
          <w:szCs w:val="24"/>
          <w:spacing w:val="-17"/>
        </w:rPr>
        <w:t xml:space="preserve"> </w:t>
      </w:r>
      <w:r>
        <w:rPr>
          <w:rFonts w:ascii="Times New Roman" w:hAnsi="Times New Roman" w:eastAsia="Times New Roman" w:cs="Times New Roman"/>
          <w:sz w:val="24"/>
          <w:szCs w:val="24"/>
          <w:spacing w:val="4"/>
        </w:rPr>
        <w:t>(</w:t>
      </w:r>
      <w:r>
        <w:rPr>
          <w:rFonts w:ascii="Times New Roman" w:hAnsi="Times New Roman" w:eastAsia="Times New Roman" w:cs="Times New Roman"/>
          <w:sz w:val="24"/>
          <w:szCs w:val="24"/>
        </w:rPr>
        <w:t>TA</w:t>
      </w:r>
      <w:r>
        <w:rPr>
          <w:rFonts w:ascii="Times New Roman" w:hAnsi="Times New Roman" w:eastAsia="Times New Roman" w:cs="Times New Roman"/>
          <w:sz w:val="24"/>
          <w:szCs w:val="24"/>
          <w:spacing w:val="4"/>
        </w:rPr>
        <w:t>004)”      </w:t>
      </w:r>
      <w:r>
        <w:rPr>
          <w:rFonts w:ascii="SimSun" w:hAnsi="SimSun" w:eastAsia="SimSun" w:cs="SimSun"/>
          <w:sz w:val="24"/>
          <w:szCs w:val="24"/>
          <w:spacing w:val="4"/>
        </w:rPr>
        <w:t>处理通过1根15</w:t>
      </w:r>
      <w:r>
        <w:rPr>
          <w:rFonts w:ascii="Times New Roman" w:hAnsi="Times New Roman" w:eastAsia="Times New Roman" w:cs="Times New Roman"/>
          <w:sz w:val="24"/>
          <w:szCs w:val="24"/>
          <w:spacing w:val="4"/>
        </w:rPr>
        <w:t>m</w:t>
      </w:r>
      <w:r>
        <w:rPr>
          <w:rFonts w:ascii="SimSun" w:hAnsi="SimSun" w:eastAsia="SimSun" w:cs="SimSun"/>
          <w:sz w:val="24"/>
          <w:szCs w:val="24"/>
          <w:spacing w:val="4"/>
        </w:rPr>
        <w:t>高排气筒</w:t>
      </w:r>
      <w:r>
        <w:rPr>
          <w:rFonts w:ascii="SimSun" w:hAnsi="SimSun" w:eastAsia="SimSun" w:cs="SimSun"/>
          <w:sz w:val="24"/>
          <w:szCs w:val="24"/>
          <w:spacing w:val="-44"/>
        </w:rPr>
        <w:t xml:space="preserve"> </w:t>
      </w:r>
      <w:r>
        <w:rPr>
          <w:rFonts w:ascii="Times New Roman" w:hAnsi="Times New Roman" w:eastAsia="Times New Roman" w:cs="Times New Roman"/>
          <w:sz w:val="24"/>
          <w:szCs w:val="24"/>
          <w:spacing w:val="4"/>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4"/>
        </w:rPr>
        <w:t>004)   </w:t>
      </w:r>
      <w:r>
        <w:rPr>
          <w:rFonts w:ascii="SimSun" w:hAnsi="SimSun" w:eastAsia="SimSun" w:cs="SimSun"/>
          <w:sz w:val="24"/>
          <w:szCs w:val="24"/>
          <w:spacing w:val="4"/>
        </w:rPr>
        <w:t>达标排放；蒸汽发生器燃</w:t>
      </w:r>
      <w:r>
        <w:rPr>
          <w:rFonts w:ascii="SimSun" w:hAnsi="SimSun" w:eastAsia="SimSun" w:cs="SimSun"/>
          <w:sz w:val="24"/>
          <w:szCs w:val="24"/>
        </w:rPr>
        <w:t xml:space="preserve"> </w:t>
      </w:r>
      <w:r>
        <w:rPr>
          <w:rFonts w:ascii="SimSun" w:hAnsi="SimSun" w:eastAsia="SimSun" w:cs="SimSun"/>
          <w:sz w:val="24"/>
          <w:szCs w:val="24"/>
          <w:spacing w:val="6"/>
        </w:rPr>
        <w:t>烧废气采用低氮燃烧技术处理后通过18</w:t>
      </w:r>
      <w:r>
        <w:rPr>
          <w:rFonts w:ascii="Times New Roman" w:hAnsi="Times New Roman" w:eastAsia="Times New Roman" w:cs="Times New Roman"/>
          <w:sz w:val="24"/>
          <w:szCs w:val="24"/>
          <w:spacing w:val="6"/>
        </w:rPr>
        <w:t>m</w:t>
      </w:r>
      <w:r>
        <w:rPr>
          <w:rFonts w:ascii="SimSun" w:hAnsi="SimSun" w:eastAsia="SimSun" w:cs="SimSun"/>
          <w:sz w:val="24"/>
          <w:szCs w:val="24"/>
          <w:spacing w:val="6"/>
        </w:rPr>
        <w:t>高排气筒</w:t>
      </w:r>
      <w:r>
        <w:rPr>
          <w:rFonts w:ascii="SimSun" w:hAnsi="SimSun" w:eastAsia="SimSun" w:cs="SimSun"/>
          <w:sz w:val="24"/>
          <w:szCs w:val="24"/>
          <w:spacing w:val="-35"/>
        </w:rPr>
        <w:t xml:space="preserve"> </w:t>
      </w:r>
      <w:r>
        <w:rPr>
          <w:rFonts w:ascii="Times New Roman" w:hAnsi="Times New Roman" w:eastAsia="Times New Roman" w:cs="Times New Roman"/>
          <w:sz w:val="24"/>
          <w:szCs w:val="24"/>
          <w:spacing w:val="6"/>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6"/>
        </w:rPr>
        <w:t>0</w:t>
      </w:r>
      <w:r>
        <w:rPr>
          <w:rFonts w:ascii="Times New Roman" w:hAnsi="Times New Roman" w:eastAsia="Times New Roman" w:cs="Times New Roman"/>
          <w:sz w:val="24"/>
          <w:szCs w:val="24"/>
          <w:spacing w:val="5"/>
        </w:rPr>
        <w:t>05)</w:t>
      </w:r>
      <w:r>
        <w:rPr>
          <w:rFonts w:ascii="Times New Roman" w:hAnsi="Times New Roman" w:eastAsia="Times New Roman" w:cs="Times New Roman"/>
          <w:sz w:val="24"/>
          <w:szCs w:val="24"/>
          <w:spacing w:val="1"/>
        </w:rPr>
        <w:t xml:space="preserve">    </w:t>
      </w:r>
      <w:r>
        <w:rPr>
          <w:rFonts w:ascii="SimSun" w:hAnsi="SimSun" w:eastAsia="SimSun" w:cs="SimSun"/>
          <w:sz w:val="24"/>
          <w:szCs w:val="24"/>
          <w:spacing w:val="5"/>
        </w:rPr>
        <w:t>达标排放；食堂</w:t>
      </w:r>
      <w:r>
        <w:rPr>
          <w:rFonts w:ascii="SimSun" w:hAnsi="SimSun" w:eastAsia="SimSun" w:cs="SimSun"/>
          <w:sz w:val="24"/>
          <w:szCs w:val="24"/>
        </w:rPr>
        <w:t xml:space="preserve"> </w:t>
      </w:r>
      <w:r>
        <w:rPr>
          <w:rFonts w:ascii="SimSun" w:hAnsi="SimSun" w:eastAsia="SimSun" w:cs="SimSun"/>
          <w:sz w:val="24"/>
          <w:szCs w:val="24"/>
        </w:rPr>
        <w:t>油烟经油烟净化器处理后引至楼顶</w:t>
      </w:r>
      <w:r>
        <w:rPr>
          <w:rFonts w:ascii="SimSun" w:hAnsi="SimSun" w:eastAsia="SimSun" w:cs="SimSun"/>
          <w:sz w:val="24"/>
          <w:szCs w:val="24"/>
          <w:spacing w:val="-34"/>
        </w:rPr>
        <w:t xml:space="preserve"> </w:t>
      </w:r>
      <w:r>
        <w:rPr>
          <w:rFonts w:ascii="Times New Roman" w:hAnsi="Times New Roman" w:eastAsia="Times New Roman" w:cs="Times New Roman"/>
          <w:sz w:val="24"/>
          <w:szCs w:val="24"/>
        </w:rPr>
        <w:t>(DA006)   </w:t>
      </w:r>
      <w:r>
        <w:rPr>
          <w:rFonts w:ascii="SimSun" w:hAnsi="SimSun" w:eastAsia="SimSun" w:cs="SimSun"/>
          <w:sz w:val="24"/>
          <w:szCs w:val="24"/>
        </w:rPr>
        <w:t>达标排放。</w:t>
      </w:r>
    </w:p>
    <w:p>
      <w:pPr>
        <w:ind w:left="3" w:right="32" w:firstLine="480"/>
        <w:spacing w:before="82" w:line="354" w:lineRule="auto"/>
        <w:rPr>
          <w:rFonts w:ascii="SimSun" w:hAnsi="SimSun" w:eastAsia="SimSun" w:cs="SimSun"/>
          <w:sz w:val="24"/>
          <w:szCs w:val="24"/>
        </w:rPr>
      </w:pPr>
      <w:r>
        <w:rPr>
          <w:rFonts w:ascii="SimSun" w:hAnsi="SimSun" w:eastAsia="SimSun" w:cs="SimSun"/>
          <w:sz w:val="24"/>
          <w:szCs w:val="24"/>
          <w:spacing w:val="4"/>
        </w:rPr>
        <w:t>根据绵阳市安州区气象局绘制花芗镇近三年夏季风玫瑰图以及近三年风玫</w:t>
      </w:r>
      <w:r>
        <w:rPr>
          <w:rFonts w:ascii="SimSun" w:hAnsi="SimSun" w:eastAsia="SimSun" w:cs="SimSun"/>
          <w:sz w:val="24"/>
          <w:szCs w:val="24"/>
          <w:spacing w:val="10"/>
        </w:rPr>
        <w:t xml:space="preserve"> </w:t>
      </w:r>
      <w:r>
        <w:rPr>
          <w:rFonts w:ascii="SimSun" w:hAnsi="SimSun" w:eastAsia="SimSun" w:cs="SimSun"/>
          <w:sz w:val="24"/>
          <w:szCs w:val="24"/>
          <w:spacing w:val="10"/>
        </w:rPr>
        <w:t>瑰图，风向最大频率均为</w:t>
      </w:r>
      <w:r>
        <w:rPr>
          <w:rFonts w:ascii="Times New Roman" w:hAnsi="Times New Roman" w:eastAsia="Times New Roman" w:cs="Times New Roman"/>
          <w:sz w:val="24"/>
          <w:szCs w:val="24"/>
        </w:rPr>
        <w:t>NNW</w:t>
      </w:r>
      <w:r>
        <w:rPr>
          <w:rFonts w:ascii="Times New Roman" w:hAnsi="Times New Roman" w:eastAsia="Times New Roman" w:cs="Times New Roman"/>
          <w:sz w:val="24"/>
          <w:szCs w:val="24"/>
          <w:spacing w:val="35"/>
        </w:rPr>
        <w:t xml:space="preserve"> </w:t>
      </w:r>
      <w:r>
        <w:rPr>
          <w:rFonts w:ascii="SimSun" w:hAnsi="SimSun" w:eastAsia="SimSun" w:cs="SimSun"/>
          <w:sz w:val="24"/>
          <w:szCs w:val="24"/>
          <w:spacing w:val="10"/>
        </w:rPr>
        <w:t>(见附件),本项目位于安州</w:t>
      </w:r>
      <w:r>
        <w:rPr>
          <w:rFonts w:ascii="SimSun" w:hAnsi="SimSun" w:eastAsia="SimSun" w:cs="SimSun"/>
          <w:sz w:val="24"/>
          <w:szCs w:val="24"/>
          <w:spacing w:val="9"/>
        </w:rPr>
        <w:t>区高级职业中学风</w:t>
      </w:r>
      <w:r>
        <w:rPr>
          <w:rFonts w:ascii="SimSun" w:hAnsi="SimSun" w:eastAsia="SimSun" w:cs="SimSun"/>
          <w:sz w:val="24"/>
          <w:szCs w:val="24"/>
        </w:rPr>
        <w:t xml:space="preserve"> </w:t>
      </w:r>
      <w:r>
        <w:rPr>
          <w:rFonts w:ascii="SimSun" w:hAnsi="SimSun" w:eastAsia="SimSun" w:cs="SimSun"/>
          <w:sz w:val="24"/>
          <w:szCs w:val="24"/>
          <w:spacing w:val="14"/>
        </w:rPr>
        <w:t>向最大频率的侧风向，同时，污水处理站以及</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14"/>
        </w:rPr>
        <w:t>001</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14"/>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14"/>
        </w:rPr>
        <w:t>00</w:t>
      </w:r>
      <w:r>
        <w:rPr>
          <w:rFonts w:ascii="Times New Roman" w:hAnsi="Times New Roman" w:eastAsia="Times New Roman" w:cs="Times New Roman"/>
          <w:sz w:val="24"/>
          <w:szCs w:val="24"/>
          <w:spacing w:val="13"/>
        </w:rPr>
        <w:t>2</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13"/>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13"/>
        </w:rPr>
        <w:t>003</w:t>
      </w:r>
      <w:r>
        <w:rPr>
          <w:rFonts w:ascii="SimSun" w:hAnsi="SimSun" w:eastAsia="SimSun" w:cs="SimSun"/>
          <w:sz w:val="24"/>
          <w:szCs w:val="24"/>
          <w:spacing w:val="13"/>
        </w:rPr>
        <w:t>、</w:t>
      </w:r>
    </w:p>
    <w:p>
      <w:pPr>
        <w:ind w:left="3" w:right="29"/>
        <w:spacing w:before="2" w:line="356" w:lineRule="auto"/>
        <w:rPr>
          <w:rFonts w:ascii="SimSun" w:hAnsi="SimSun" w:eastAsia="SimSun" w:cs="SimSun"/>
          <w:sz w:val="24"/>
          <w:szCs w:val="24"/>
        </w:rPr>
      </w:pP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5"/>
        </w:rPr>
        <w:t>004</w:t>
      </w:r>
      <w:r>
        <w:rPr>
          <w:rFonts w:ascii="SimSun" w:hAnsi="SimSun" w:eastAsia="SimSun" w:cs="SimSun"/>
          <w:sz w:val="24"/>
          <w:szCs w:val="24"/>
          <w:spacing w:val="5"/>
        </w:rPr>
        <w:t>排气筒设置在厂区内西北侧，远离厂区</w:t>
      </w:r>
      <w:r>
        <w:rPr>
          <w:rFonts w:ascii="SimSun" w:hAnsi="SimSun" w:eastAsia="SimSun" w:cs="SimSun"/>
          <w:sz w:val="24"/>
          <w:szCs w:val="24"/>
          <w:spacing w:val="4"/>
        </w:rPr>
        <w:t>外安州区高级职业中学，且在厂</w:t>
      </w:r>
      <w:r>
        <w:rPr>
          <w:rFonts w:ascii="SimSun" w:hAnsi="SimSun" w:eastAsia="SimSun" w:cs="SimSun"/>
          <w:sz w:val="24"/>
          <w:szCs w:val="24"/>
        </w:rPr>
        <w:t xml:space="preserve"> </w:t>
      </w:r>
      <w:r>
        <w:rPr>
          <w:rFonts w:ascii="SimSun" w:hAnsi="SimSun" w:eastAsia="SimSun" w:cs="SimSun"/>
          <w:sz w:val="24"/>
          <w:szCs w:val="24"/>
          <w:spacing w:val="3"/>
        </w:rPr>
        <w:t>区四周设置隔离绿化带，对其环境影响较小，本项目与安州区高级职业中学选</w:t>
      </w:r>
      <w:r>
        <w:rPr>
          <w:rFonts w:ascii="SimSun" w:hAnsi="SimSun" w:eastAsia="SimSun" w:cs="SimSun"/>
          <w:sz w:val="24"/>
          <w:szCs w:val="24"/>
          <w:spacing w:val="16"/>
        </w:rPr>
        <w:t xml:space="preserve"> </w:t>
      </w:r>
      <w:r>
        <w:rPr>
          <w:rFonts w:ascii="SimSun" w:hAnsi="SimSun" w:eastAsia="SimSun" w:cs="SimSun"/>
          <w:sz w:val="24"/>
          <w:szCs w:val="24"/>
          <w:spacing w:val="-2"/>
        </w:rPr>
        <w:t>址较为合理。</w:t>
      </w:r>
    </w:p>
    <w:p>
      <w:pPr>
        <w:ind w:left="3" w:right="27" w:firstLine="600"/>
        <w:spacing w:line="338" w:lineRule="auto"/>
        <w:rPr>
          <w:rFonts w:ascii="SimSun" w:hAnsi="SimSun" w:eastAsia="SimSun" w:cs="SimSun"/>
          <w:sz w:val="24"/>
          <w:szCs w:val="24"/>
        </w:rPr>
      </w:pPr>
      <w:r>
        <w:rPr>
          <w:rFonts w:ascii="SimSun" w:hAnsi="SimSun" w:eastAsia="SimSun" w:cs="SimSun"/>
          <w:sz w:val="24"/>
          <w:szCs w:val="24"/>
          <w:spacing w:val="5"/>
        </w:rPr>
        <w:t>(2)《食品安全国家标准食品生产通用卫生规范》</w:t>
      </w:r>
      <w:r>
        <w:rPr>
          <w:rFonts w:ascii="SimSun" w:hAnsi="SimSun" w:eastAsia="SimSun" w:cs="SimSun"/>
          <w:sz w:val="24"/>
          <w:szCs w:val="24"/>
          <w:spacing w:val="71"/>
        </w:rPr>
        <w:t xml:space="preserve"> </w:t>
      </w:r>
      <w:r>
        <w:rPr>
          <w:rFonts w:ascii="Times New Roman" w:hAnsi="Times New Roman" w:eastAsia="Times New Roman" w:cs="Times New Roman"/>
          <w:sz w:val="24"/>
          <w:szCs w:val="24"/>
          <w:spacing w:val="5"/>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5"/>
        </w:rPr>
        <w:t>14881-20</w:t>
      </w:r>
      <w:r>
        <w:rPr>
          <w:rFonts w:ascii="Times New Roman" w:hAnsi="Times New Roman" w:eastAsia="Times New Roman" w:cs="Times New Roman"/>
          <w:sz w:val="24"/>
          <w:szCs w:val="24"/>
          <w:spacing w:val="4"/>
        </w:rPr>
        <w:t>13)</w:t>
      </w:r>
      <w:r>
        <w:rPr>
          <w:rFonts w:ascii="Times New Roman" w:hAnsi="Times New Roman" w:eastAsia="Times New Roman" w:cs="Times New Roman"/>
          <w:sz w:val="24"/>
          <w:szCs w:val="24"/>
          <w:spacing w:val="18"/>
          <w:w w:val="101"/>
        </w:rPr>
        <w:t xml:space="preserve">   </w:t>
      </w:r>
      <w:r>
        <w:rPr>
          <w:rFonts w:ascii="SimSun" w:hAnsi="SimSun" w:eastAsia="SimSun" w:cs="SimSun"/>
          <w:sz w:val="24"/>
          <w:szCs w:val="24"/>
          <w:spacing w:val="4"/>
        </w:rPr>
        <w:t>中</w:t>
      </w:r>
      <w:r>
        <w:rPr>
          <w:rFonts w:ascii="SimSun" w:hAnsi="SimSun" w:eastAsia="SimSun" w:cs="SimSun"/>
          <w:sz w:val="24"/>
          <w:szCs w:val="24"/>
          <w:spacing w:val="1"/>
        </w:rPr>
        <w:t xml:space="preserve"> </w:t>
      </w:r>
      <w:r>
        <w:rPr>
          <w:rFonts w:ascii="SimSun" w:hAnsi="SimSun" w:eastAsia="SimSun" w:cs="SimSun"/>
          <w:sz w:val="24"/>
          <w:szCs w:val="24"/>
          <w:spacing w:val="-3"/>
        </w:rPr>
        <w:t>相关要求如下，3.1选址：3.1.1厂区不应选择对食品有显著污染的区</w:t>
      </w:r>
      <w:r>
        <w:rPr>
          <w:rFonts w:ascii="SimSun" w:hAnsi="SimSun" w:eastAsia="SimSun" w:cs="SimSun"/>
          <w:sz w:val="24"/>
          <w:szCs w:val="24"/>
          <w:spacing w:val="-4"/>
        </w:rPr>
        <w:t>域。如某地</w:t>
      </w:r>
      <w:r>
        <w:rPr>
          <w:rFonts w:ascii="SimSun" w:hAnsi="SimSun" w:eastAsia="SimSun" w:cs="SimSun"/>
          <w:sz w:val="24"/>
          <w:szCs w:val="24"/>
        </w:rPr>
        <w:t xml:space="preserve"> </w:t>
      </w:r>
      <w:r>
        <w:rPr>
          <w:rFonts w:ascii="SimSun" w:hAnsi="SimSun" w:eastAsia="SimSun" w:cs="SimSun"/>
          <w:sz w:val="24"/>
          <w:szCs w:val="24"/>
          <w:spacing w:val="4"/>
        </w:rPr>
        <w:t>对食品安全和食品宜食用性存在明显的不利影响，且无法通过采取措施加以改</w:t>
      </w:r>
      <w:r>
        <w:rPr>
          <w:rFonts w:ascii="SimSun" w:hAnsi="SimSun" w:eastAsia="SimSun" w:cs="SimSun"/>
          <w:sz w:val="24"/>
          <w:szCs w:val="24"/>
          <w:spacing w:val="3"/>
        </w:rPr>
        <w:t xml:space="preserve"> </w:t>
      </w:r>
      <w:r>
        <w:rPr>
          <w:rFonts w:ascii="SimSun" w:hAnsi="SimSun" w:eastAsia="SimSun" w:cs="SimSun"/>
          <w:sz w:val="24"/>
          <w:szCs w:val="24"/>
          <w:spacing w:val="7"/>
        </w:rPr>
        <w:t>善，应避免在该地址建厂；3.1.2厂区不应选择有害废弃物以及粉尘、有害气</w:t>
      </w:r>
      <w:r>
        <w:rPr>
          <w:rFonts w:ascii="SimSun" w:hAnsi="SimSun" w:eastAsia="SimSun" w:cs="SimSun"/>
          <w:sz w:val="24"/>
          <w:szCs w:val="24"/>
          <w:spacing w:val="12"/>
        </w:rPr>
        <w:t xml:space="preserve"> </w:t>
      </w:r>
      <w:r>
        <w:rPr>
          <w:rFonts w:ascii="SimSun" w:hAnsi="SimSun" w:eastAsia="SimSun" w:cs="SimSun"/>
          <w:sz w:val="24"/>
          <w:szCs w:val="24"/>
          <w:spacing w:val="1"/>
        </w:rPr>
        <w:t>体、放射性物质和其他扩散性污染源不能有</w:t>
      </w:r>
      <w:r>
        <w:rPr>
          <w:rFonts w:ascii="SimSun" w:hAnsi="SimSun" w:eastAsia="SimSun" w:cs="SimSun"/>
          <w:sz w:val="24"/>
          <w:szCs w:val="24"/>
        </w:rPr>
        <w:t>效清除的地址；3.1.3厂区不宜选择 </w:t>
      </w:r>
      <w:r>
        <w:rPr>
          <w:rFonts w:ascii="SimSun" w:hAnsi="SimSun" w:eastAsia="SimSun" w:cs="SimSun"/>
          <w:sz w:val="24"/>
          <w:szCs w:val="24"/>
          <w:spacing w:val="1"/>
        </w:rPr>
        <w:t>易发生洪涝灾害的地区，难以避开时应设计必要的</w:t>
      </w:r>
      <w:r>
        <w:rPr>
          <w:rFonts w:ascii="SimSun" w:hAnsi="SimSun" w:eastAsia="SimSun" w:cs="SimSun"/>
          <w:sz w:val="24"/>
          <w:szCs w:val="24"/>
        </w:rPr>
        <w:t>防范措施；3.1.4厂区周围不 </w:t>
      </w:r>
      <w:r>
        <w:rPr>
          <w:rFonts w:ascii="SimSun" w:hAnsi="SimSun" w:eastAsia="SimSun" w:cs="SimSun"/>
          <w:sz w:val="24"/>
          <w:szCs w:val="24"/>
          <w:spacing w:val="-2"/>
        </w:rPr>
        <w:t>宜有虫害大量孳生的潜在场所，难以避开时应设计必要的防范措施。</w:t>
      </w:r>
    </w:p>
    <w:p>
      <w:pPr>
        <w:ind w:left="3" w:right="22" w:firstLine="600"/>
        <w:spacing w:before="205" w:line="335" w:lineRule="auto"/>
        <w:rPr>
          <w:rFonts w:ascii="SimSun" w:hAnsi="SimSun" w:eastAsia="SimSun" w:cs="SimSun"/>
          <w:sz w:val="24"/>
          <w:szCs w:val="24"/>
        </w:rPr>
      </w:pPr>
      <w:r>
        <w:rPr>
          <w:rFonts w:ascii="SimSun" w:hAnsi="SimSun" w:eastAsia="SimSun" w:cs="SimSun"/>
          <w:sz w:val="24"/>
          <w:szCs w:val="24"/>
          <w:spacing w:val="5"/>
        </w:rPr>
        <w:t>(3)《食品安全国家标准畜禽屠宰加工卫生规范》</w:t>
      </w:r>
      <w:r>
        <w:rPr>
          <w:rFonts w:ascii="SimSun" w:hAnsi="SimSun" w:eastAsia="SimSun" w:cs="SimSun"/>
          <w:sz w:val="24"/>
          <w:szCs w:val="24"/>
          <w:spacing w:val="81"/>
        </w:rPr>
        <w:t xml:space="preserve"> </w:t>
      </w:r>
      <w:r>
        <w:rPr>
          <w:rFonts w:ascii="Times New Roman" w:hAnsi="Times New Roman" w:eastAsia="Times New Roman" w:cs="Times New Roman"/>
          <w:sz w:val="24"/>
          <w:szCs w:val="24"/>
          <w:spacing w:val="5"/>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5"/>
        </w:rPr>
        <w:t>12694-20</w:t>
      </w:r>
      <w:r>
        <w:rPr>
          <w:rFonts w:ascii="Times New Roman" w:hAnsi="Times New Roman" w:eastAsia="Times New Roman" w:cs="Times New Roman"/>
          <w:sz w:val="24"/>
          <w:szCs w:val="24"/>
          <w:spacing w:val="4"/>
        </w:rPr>
        <w:t>16)</w:t>
      </w:r>
      <w:r>
        <w:rPr>
          <w:rFonts w:ascii="Times New Roman" w:hAnsi="Times New Roman" w:eastAsia="Times New Roman" w:cs="Times New Roman"/>
          <w:sz w:val="24"/>
          <w:szCs w:val="24"/>
          <w:spacing w:val="18"/>
          <w:w w:val="101"/>
        </w:rPr>
        <w:t xml:space="preserve">   </w:t>
      </w:r>
      <w:r>
        <w:rPr>
          <w:rFonts w:ascii="SimSun" w:hAnsi="SimSun" w:eastAsia="SimSun" w:cs="SimSun"/>
          <w:sz w:val="24"/>
          <w:szCs w:val="24"/>
          <w:spacing w:val="4"/>
        </w:rPr>
        <w:t>中</w:t>
      </w:r>
      <w:r>
        <w:rPr>
          <w:rFonts w:ascii="SimSun" w:hAnsi="SimSun" w:eastAsia="SimSun" w:cs="SimSun"/>
          <w:sz w:val="24"/>
          <w:szCs w:val="24"/>
          <w:spacing w:val="1"/>
        </w:rPr>
        <w:t xml:space="preserve"> </w:t>
      </w:r>
      <w:r>
        <w:rPr>
          <w:rFonts w:ascii="SimSun" w:hAnsi="SimSun" w:eastAsia="SimSun" w:cs="SimSun"/>
          <w:sz w:val="24"/>
          <w:szCs w:val="24"/>
          <w:spacing w:val="6"/>
        </w:rPr>
        <w:t>相关要求如下，3.2选址：3.2.1卫生防护距离应符合</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5"/>
        </w:rPr>
        <w:t>18078.1</w:t>
      </w:r>
      <w:r>
        <w:rPr>
          <w:rFonts w:ascii="SimSun" w:hAnsi="SimSun" w:eastAsia="SimSun" w:cs="SimSun"/>
          <w:sz w:val="24"/>
          <w:szCs w:val="24"/>
          <w:spacing w:val="5"/>
        </w:rPr>
        <w:t>及动物防疫要</w:t>
      </w:r>
      <w:r>
        <w:rPr>
          <w:rFonts w:ascii="SimSun" w:hAnsi="SimSun" w:eastAsia="SimSun" w:cs="SimSun"/>
          <w:sz w:val="24"/>
          <w:szCs w:val="24"/>
        </w:rPr>
        <w:t xml:space="preserve"> </w:t>
      </w:r>
      <w:r>
        <w:rPr>
          <w:rFonts w:ascii="SimSun" w:hAnsi="SimSun" w:eastAsia="SimSun" w:cs="SimSun"/>
          <w:sz w:val="24"/>
          <w:szCs w:val="24"/>
          <w:spacing w:val="1"/>
        </w:rPr>
        <w:t>求；3.2.2厂址周围应有良好的环境卫</w:t>
      </w:r>
      <w:r>
        <w:rPr>
          <w:rFonts w:ascii="SimSun" w:hAnsi="SimSun" w:eastAsia="SimSun" w:cs="SimSun"/>
          <w:sz w:val="24"/>
          <w:szCs w:val="24"/>
        </w:rPr>
        <w:t>生条件。厂区应远离受污染的水体，并应 </w:t>
      </w:r>
      <w:r>
        <w:rPr>
          <w:rFonts w:ascii="SimSun" w:hAnsi="SimSun" w:eastAsia="SimSun" w:cs="SimSun"/>
          <w:sz w:val="24"/>
          <w:szCs w:val="24"/>
          <w:spacing w:val="4"/>
        </w:rPr>
        <w:t>避开产生有害气体、烟雾、粉尘等污染源的工业企业或其他产生污染源的地区</w:t>
      </w:r>
      <w:r>
        <w:rPr>
          <w:rFonts w:ascii="SimSun" w:hAnsi="SimSun" w:eastAsia="SimSun" w:cs="SimSun"/>
          <w:sz w:val="24"/>
          <w:szCs w:val="24"/>
          <w:spacing w:val="13"/>
        </w:rPr>
        <w:t xml:space="preserve"> </w:t>
      </w:r>
      <w:r>
        <w:rPr>
          <w:rFonts w:ascii="SimSun" w:hAnsi="SimSun" w:eastAsia="SimSun" w:cs="SimSun"/>
          <w:sz w:val="24"/>
          <w:szCs w:val="24"/>
          <w:spacing w:val="1"/>
        </w:rPr>
        <w:t>或场所；3.2.3厂址必须具备符合要求的水源和电</w:t>
      </w:r>
      <w:r>
        <w:rPr>
          <w:rFonts w:ascii="SimSun" w:hAnsi="SimSun" w:eastAsia="SimSun" w:cs="SimSun"/>
          <w:sz w:val="24"/>
          <w:szCs w:val="24"/>
        </w:rPr>
        <w:t>源，应结合工艺要求因地制宜 </w:t>
      </w:r>
      <w:r>
        <w:rPr>
          <w:rFonts w:ascii="SimSun" w:hAnsi="SimSun" w:eastAsia="SimSun" w:cs="SimSun"/>
          <w:sz w:val="24"/>
          <w:szCs w:val="24"/>
          <w:spacing w:val="-3"/>
        </w:rPr>
        <w:t>地确定，并应符合屠宰企业设置规划的要求。</w:t>
      </w:r>
    </w:p>
    <w:p>
      <w:pPr>
        <w:spacing w:line="335" w:lineRule="auto"/>
        <w:sectPr>
          <w:headerReference w:type="default" r:id="rId126"/>
          <w:footerReference w:type="default" r:id="rId127"/>
          <w:pgSz w:w="11910" w:h="16840"/>
          <w:pgMar w:top="1222" w:right="1786" w:bottom="1026" w:left="1786" w:header="853" w:footer="714" w:gutter="0"/>
        </w:sectPr>
        <w:rPr>
          <w:rFonts w:ascii="SimSun" w:hAnsi="SimSun" w:eastAsia="SimSun" w:cs="SimSun"/>
          <w:sz w:val="24"/>
          <w:szCs w:val="24"/>
        </w:rPr>
      </w:pPr>
    </w:p>
    <w:p>
      <w:pPr>
        <w:pStyle w:val="BodyText"/>
        <w:spacing w:line="311" w:lineRule="auto"/>
        <w:rPr/>
      </w:pPr>
      <w:r/>
    </w:p>
    <w:p>
      <w:pPr>
        <w:pStyle w:val="BodyText"/>
        <w:spacing w:line="311" w:lineRule="auto"/>
        <w:rPr/>
      </w:pPr>
      <w:r/>
    </w:p>
    <w:p>
      <w:pPr>
        <w:ind w:left="584"/>
        <w:spacing w:before="74" w:line="219" w:lineRule="auto"/>
        <w:rPr>
          <w:rFonts w:ascii="SimSun" w:hAnsi="SimSun" w:eastAsia="SimSun" w:cs="SimSun"/>
          <w:sz w:val="23"/>
          <w:szCs w:val="23"/>
        </w:rPr>
      </w:pPr>
      <w:r>
        <w:rPr>
          <w:rFonts w:ascii="SimSun" w:hAnsi="SimSun" w:eastAsia="SimSun" w:cs="SimSun"/>
          <w:sz w:val="23"/>
          <w:szCs w:val="23"/>
          <w:spacing w:val="7"/>
        </w:rPr>
        <w:t>本项目与周边企业地理位置关系如下表。</w:t>
      </w:r>
    </w:p>
    <w:p>
      <w:pPr>
        <w:ind w:left="4918"/>
        <w:spacing w:before="153" w:line="219" w:lineRule="auto"/>
        <w:rPr>
          <w:rFonts w:ascii="SimSun" w:hAnsi="SimSun" w:eastAsia="SimSun" w:cs="SimSun"/>
          <w:sz w:val="23"/>
          <w:szCs w:val="23"/>
        </w:rPr>
      </w:pPr>
      <w:r>
        <w:rPr>
          <w:rFonts w:ascii="SimSun" w:hAnsi="SimSun" w:eastAsia="SimSun" w:cs="SimSun"/>
          <w:sz w:val="23"/>
          <w:szCs w:val="23"/>
          <w:b/>
          <w:bCs/>
          <w:spacing w:val="-3"/>
        </w:rPr>
        <w:t>表1.6-1本项目与周边企业地理位置关系表</w:t>
      </w:r>
    </w:p>
    <w:p>
      <w:pPr>
        <w:spacing w:line="17" w:lineRule="exact"/>
        <w:rPr/>
      </w:pPr>
      <w:r/>
    </w:p>
    <w:tbl>
      <w:tblPr>
        <w:tblStyle w:val="TableNormal"/>
        <w:tblW w:w="141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694"/>
        <w:gridCol w:w="1329"/>
        <w:gridCol w:w="2328"/>
        <w:gridCol w:w="2328"/>
        <w:gridCol w:w="6481"/>
      </w:tblGrid>
      <w:tr>
        <w:trPr>
          <w:trHeight w:val="285" w:hRule="atLeast"/>
        </w:trPr>
        <w:tc>
          <w:tcPr>
            <w:shd w:val="clear" w:fill="BDBDBD"/>
            <w:tcW w:w="1694" w:type="dxa"/>
            <w:vAlign w:val="top"/>
          </w:tcPr>
          <w:p>
            <w:pPr>
              <w:pStyle w:val="TableText"/>
              <w:ind w:left="207"/>
              <w:spacing w:before="42" w:line="204" w:lineRule="auto"/>
              <w:rPr>
                <w:sz w:val="21"/>
                <w:szCs w:val="21"/>
              </w:rPr>
            </w:pPr>
            <w:r>
              <w:rPr>
                <w:sz w:val="21"/>
                <w:szCs w:val="21"/>
                <w:b/>
                <w:bCs/>
                <w:spacing w:val="-4"/>
              </w:rPr>
              <w:t>周边企业名称</w:t>
            </w:r>
          </w:p>
        </w:tc>
        <w:tc>
          <w:tcPr>
            <w:shd w:val="clear" w:fill="BDBDBD"/>
            <w:tcW w:w="1329" w:type="dxa"/>
            <w:vAlign w:val="top"/>
          </w:tcPr>
          <w:p>
            <w:pPr>
              <w:pStyle w:val="TableText"/>
              <w:ind w:left="24"/>
              <w:spacing w:before="40" w:line="206" w:lineRule="auto"/>
              <w:rPr>
                <w:sz w:val="21"/>
                <w:szCs w:val="21"/>
              </w:rPr>
            </w:pPr>
            <w:r>
              <w:rPr>
                <w:sz w:val="21"/>
                <w:szCs w:val="21"/>
                <w:b/>
                <w:bCs/>
              </w:rPr>
              <w:t>厂界位置关系</w:t>
            </w:r>
          </w:p>
        </w:tc>
        <w:tc>
          <w:tcPr>
            <w:shd w:val="clear" w:fill="BDBDBD"/>
            <w:tcW w:w="2328" w:type="dxa"/>
            <w:vAlign w:val="top"/>
          </w:tcPr>
          <w:p>
            <w:pPr>
              <w:pStyle w:val="TableText"/>
              <w:ind w:left="215"/>
              <w:spacing w:before="40" w:line="206" w:lineRule="auto"/>
              <w:rPr>
                <w:sz w:val="21"/>
                <w:szCs w:val="21"/>
              </w:rPr>
            </w:pPr>
            <w:r>
              <w:rPr>
                <w:sz w:val="21"/>
                <w:szCs w:val="21"/>
                <w:b/>
                <w:bCs/>
                <w:spacing w:val="-4"/>
              </w:rPr>
              <w:t>卫生防护距离及要求</w:t>
            </w:r>
          </w:p>
        </w:tc>
        <w:tc>
          <w:tcPr>
            <w:shd w:val="clear" w:fill="BDBDBD"/>
            <w:tcW w:w="2328" w:type="dxa"/>
            <w:vAlign w:val="top"/>
          </w:tcPr>
          <w:p>
            <w:pPr>
              <w:pStyle w:val="TableText"/>
              <w:ind w:left="527"/>
              <w:spacing w:before="40" w:line="206" w:lineRule="auto"/>
              <w:rPr>
                <w:sz w:val="21"/>
                <w:szCs w:val="21"/>
              </w:rPr>
            </w:pPr>
            <w:r>
              <w:rPr>
                <w:sz w:val="21"/>
                <w:szCs w:val="21"/>
                <w:b/>
                <w:bCs/>
                <w:spacing w:val="-4"/>
              </w:rPr>
              <w:t>主要生产工艺</w:t>
            </w:r>
          </w:p>
        </w:tc>
        <w:tc>
          <w:tcPr>
            <w:shd w:val="clear" w:fill="BDBDBD"/>
            <w:tcW w:w="6481" w:type="dxa"/>
            <w:vAlign w:val="top"/>
          </w:tcPr>
          <w:p>
            <w:pPr>
              <w:pStyle w:val="TableText"/>
              <w:ind w:left="2609"/>
              <w:spacing w:before="40" w:line="206" w:lineRule="auto"/>
              <w:rPr>
                <w:sz w:val="21"/>
                <w:szCs w:val="21"/>
              </w:rPr>
            </w:pPr>
            <w:r>
              <w:rPr>
                <w:sz w:val="21"/>
                <w:szCs w:val="21"/>
                <w:b/>
                <w:bCs/>
                <w:spacing w:val="-4"/>
              </w:rPr>
              <w:t>废气治理措施</w:t>
            </w:r>
          </w:p>
        </w:tc>
      </w:tr>
      <w:tr>
        <w:trPr>
          <w:trHeight w:val="819" w:hRule="atLeast"/>
        </w:trPr>
        <w:tc>
          <w:tcPr>
            <w:tcW w:w="1694" w:type="dxa"/>
            <w:vAlign w:val="top"/>
          </w:tcPr>
          <w:p>
            <w:pPr>
              <w:pStyle w:val="TableText"/>
              <w:spacing w:before="27" w:line="219" w:lineRule="auto"/>
              <w:jc w:val="right"/>
              <w:rPr>
                <w:sz w:val="21"/>
                <w:szCs w:val="21"/>
              </w:rPr>
            </w:pPr>
            <w:r>
              <w:rPr>
                <w:sz w:val="21"/>
                <w:szCs w:val="21"/>
                <w:spacing w:val="-2"/>
              </w:rPr>
              <w:t>绵阳市安州区工业</w:t>
            </w:r>
          </w:p>
          <w:p>
            <w:pPr>
              <w:pStyle w:val="TableText"/>
              <w:ind w:left="15"/>
              <w:spacing w:before="32" w:line="219" w:lineRule="auto"/>
              <w:rPr>
                <w:sz w:val="21"/>
                <w:szCs w:val="21"/>
              </w:rPr>
            </w:pPr>
            <w:r>
              <w:rPr>
                <w:sz w:val="21"/>
                <w:szCs w:val="21"/>
                <w:spacing w:val="-3"/>
              </w:rPr>
              <w:t>园区产业园物流配</w:t>
            </w:r>
          </w:p>
          <w:p>
            <w:pPr>
              <w:pStyle w:val="TableText"/>
              <w:ind w:left="525"/>
              <w:spacing w:before="21" w:line="202" w:lineRule="auto"/>
              <w:rPr>
                <w:sz w:val="21"/>
                <w:szCs w:val="21"/>
              </w:rPr>
            </w:pPr>
            <w:r>
              <w:rPr>
                <w:sz w:val="21"/>
                <w:szCs w:val="21"/>
                <w:spacing w:val="13"/>
              </w:rPr>
              <w:t>套项目</w:t>
            </w:r>
          </w:p>
        </w:tc>
        <w:tc>
          <w:tcPr>
            <w:tcW w:w="1329" w:type="dxa"/>
            <w:vAlign w:val="top"/>
          </w:tcPr>
          <w:p>
            <w:pPr>
              <w:pStyle w:val="TableText"/>
              <w:ind w:left="231"/>
              <w:spacing w:before="308" w:line="219" w:lineRule="auto"/>
              <w:rPr>
                <w:sz w:val="21"/>
                <w:szCs w:val="21"/>
              </w:rPr>
            </w:pPr>
            <w:r>
              <w:rPr>
                <w:sz w:val="21"/>
                <w:szCs w:val="21"/>
                <w:spacing w:val="-2"/>
              </w:rPr>
              <w:t>北侧200m</w:t>
            </w:r>
          </w:p>
        </w:tc>
        <w:tc>
          <w:tcPr>
            <w:tcW w:w="2328" w:type="dxa"/>
            <w:vAlign w:val="top"/>
          </w:tcPr>
          <w:p>
            <w:pPr>
              <w:pStyle w:val="TableText"/>
              <w:ind w:left="212"/>
              <w:spacing w:before="309" w:line="220" w:lineRule="auto"/>
              <w:rPr>
                <w:sz w:val="21"/>
                <w:szCs w:val="21"/>
              </w:rPr>
            </w:pPr>
            <w:r>
              <w:rPr>
                <w:sz w:val="21"/>
                <w:szCs w:val="21"/>
              </w:rPr>
              <w:t>目前无工业企业入驻</w:t>
            </w:r>
          </w:p>
        </w:tc>
        <w:tc>
          <w:tcPr>
            <w:tcW w:w="2328" w:type="dxa"/>
            <w:vAlign w:val="top"/>
          </w:tcPr>
          <w:p>
            <w:pPr>
              <w:pStyle w:val="TableText"/>
              <w:ind w:left="1053"/>
              <w:spacing w:before="309" w:line="220" w:lineRule="auto"/>
              <w:rPr>
                <w:sz w:val="21"/>
                <w:szCs w:val="21"/>
              </w:rPr>
            </w:pPr>
            <w:r>
              <w:rPr>
                <w:sz w:val="21"/>
                <w:szCs w:val="21"/>
              </w:rPr>
              <w:t>无</w:t>
            </w:r>
          </w:p>
        </w:tc>
        <w:tc>
          <w:tcPr>
            <w:tcW w:w="6481" w:type="dxa"/>
            <w:vAlign w:val="top"/>
          </w:tcPr>
          <w:p>
            <w:pPr>
              <w:pStyle w:val="TableText"/>
              <w:ind w:left="3126"/>
              <w:spacing w:before="309" w:line="220" w:lineRule="auto"/>
              <w:rPr>
                <w:sz w:val="21"/>
                <w:szCs w:val="21"/>
              </w:rPr>
            </w:pPr>
            <w:r>
              <w:rPr>
                <w:sz w:val="21"/>
                <w:szCs w:val="21"/>
              </w:rPr>
              <w:t>无</w:t>
            </w:r>
          </w:p>
        </w:tc>
      </w:tr>
      <w:tr>
        <w:trPr>
          <w:trHeight w:val="529" w:hRule="atLeast"/>
        </w:trPr>
        <w:tc>
          <w:tcPr>
            <w:tcW w:w="1694" w:type="dxa"/>
            <w:vAlign w:val="top"/>
          </w:tcPr>
          <w:p>
            <w:pPr>
              <w:pStyle w:val="TableText"/>
              <w:ind w:left="314"/>
              <w:spacing w:before="160" w:line="221" w:lineRule="auto"/>
              <w:rPr>
                <w:sz w:val="21"/>
                <w:szCs w:val="21"/>
              </w:rPr>
            </w:pPr>
            <w:r>
              <w:rPr>
                <w:sz w:val="21"/>
                <w:szCs w:val="21"/>
                <w:spacing w:val="2"/>
              </w:rPr>
              <w:t>花芗配气站</w:t>
            </w:r>
          </w:p>
        </w:tc>
        <w:tc>
          <w:tcPr>
            <w:tcW w:w="1329" w:type="dxa"/>
            <w:vAlign w:val="top"/>
          </w:tcPr>
          <w:p>
            <w:pPr>
              <w:pStyle w:val="TableText"/>
              <w:ind w:left="231"/>
              <w:spacing w:before="159" w:line="219" w:lineRule="auto"/>
              <w:rPr>
                <w:sz w:val="21"/>
                <w:szCs w:val="21"/>
              </w:rPr>
            </w:pPr>
            <w:r>
              <w:rPr>
                <w:sz w:val="21"/>
                <w:szCs w:val="21"/>
                <w:spacing w:val="3"/>
              </w:rPr>
              <w:t>北侧相邻</w:t>
            </w:r>
          </w:p>
        </w:tc>
        <w:tc>
          <w:tcPr>
            <w:tcW w:w="2328" w:type="dxa"/>
            <w:vAlign w:val="top"/>
          </w:tcPr>
          <w:p>
            <w:pPr>
              <w:pStyle w:val="TableText"/>
              <w:ind w:left="312"/>
              <w:spacing w:before="160" w:line="220" w:lineRule="auto"/>
              <w:rPr>
                <w:sz w:val="21"/>
                <w:szCs w:val="21"/>
              </w:rPr>
            </w:pPr>
            <w:r>
              <w:rPr>
                <w:sz w:val="21"/>
                <w:szCs w:val="21"/>
                <w:spacing w:val="1"/>
              </w:rPr>
              <w:t>不设卫生防护距离</w:t>
            </w:r>
          </w:p>
        </w:tc>
        <w:tc>
          <w:tcPr>
            <w:tcW w:w="2328" w:type="dxa"/>
            <w:vAlign w:val="top"/>
          </w:tcPr>
          <w:p>
            <w:pPr>
              <w:pStyle w:val="TableText"/>
              <w:ind w:left="633" w:hanging="619"/>
              <w:spacing w:before="38" w:line="211" w:lineRule="auto"/>
              <w:rPr>
                <w:sz w:val="21"/>
                <w:szCs w:val="21"/>
              </w:rPr>
            </w:pPr>
            <w:r>
              <w:rPr>
                <w:sz w:val="21"/>
                <w:szCs w:val="21"/>
                <w:spacing w:val="-1"/>
              </w:rPr>
              <w:t>将商品天然气分配给最终</w:t>
            </w:r>
            <w:r>
              <w:rPr>
                <w:sz w:val="21"/>
                <w:szCs w:val="21"/>
                <w:spacing w:val="3"/>
              </w:rPr>
              <w:t xml:space="preserve"> </w:t>
            </w:r>
            <w:r>
              <w:rPr>
                <w:sz w:val="21"/>
                <w:szCs w:val="21"/>
                <w:spacing w:val="2"/>
              </w:rPr>
              <w:t>用户的站房</w:t>
            </w:r>
          </w:p>
        </w:tc>
        <w:tc>
          <w:tcPr>
            <w:tcW w:w="6481" w:type="dxa"/>
            <w:vAlign w:val="top"/>
          </w:tcPr>
          <w:p>
            <w:pPr>
              <w:pStyle w:val="TableText"/>
              <w:ind w:left="3126"/>
              <w:spacing w:before="160" w:line="220" w:lineRule="auto"/>
              <w:rPr>
                <w:sz w:val="21"/>
                <w:szCs w:val="21"/>
              </w:rPr>
            </w:pPr>
            <w:r>
              <w:rPr>
                <w:sz w:val="21"/>
                <w:szCs w:val="21"/>
              </w:rPr>
              <w:t>无</w:t>
            </w:r>
          </w:p>
        </w:tc>
      </w:tr>
      <w:tr>
        <w:trPr>
          <w:trHeight w:val="2437" w:hRule="atLeast"/>
        </w:trPr>
        <w:tc>
          <w:tcPr>
            <w:tcW w:w="1694" w:type="dxa"/>
            <w:vAlign w:val="top"/>
          </w:tcPr>
          <w:p>
            <w:pPr>
              <w:spacing w:line="308" w:lineRule="auto"/>
              <w:rPr>
                <w:rFonts w:ascii="Arial"/>
                <w:sz w:val="21"/>
              </w:rPr>
            </w:pPr>
            <w:r/>
          </w:p>
          <w:p>
            <w:pPr>
              <w:spacing w:line="309" w:lineRule="auto"/>
              <w:rPr>
                <w:rFonts w:ascii="Arial"/>
                <w:sz w:val="21"/>
              </w:rPr>
            </w:pPr>
            <w:r/>
          </w:p>
          <w:p>
            <w:pPr>
              <w:spacing w:line="309" w:lineRule="auto"/>
              <w:rPr>
                <w:rFonts w:ascii="Arial"/>
                <w:sz w:val="21"/>
              </w:rPr>
            </w:pPr>
            <w:r/>
          </w:p>
          <w:p>
            <w:pPr>
              <w:pStyle w:val="TableText"/>
              <w:ind w:left="314" w:right="16" w:hanging="299"/>
              <w:spacing w:before="68" w:line="232" w:lineRule="auto"/>
              <w:rPr>
                <w:sz w:val="21"/>
                <w:szCs w:val="21"/>
              </w:rPr>
            </w:pPr>
            <w:r>
              <w:rPr>
                <w:sz w:val="21"/>
                <w:szCs w:val="21"/>
                <w:spacing w:val="-4"/>
              </w:rPr>
              <w:t>四川好巴蜀食品科</w:t>
            </w:r>
            <w:r>
              <w:rPr>
                <w:sz w:val="21"/>
                <w:szCs w:val="21"/>
                <w:spacing w:val="3"/>
              </w:rPr>
              <w:t xml:space="preserve"> </w:t>
            </w:r>
            <w:r>
              <w:rPr>
                <w:sz w:val="21"/>
                <w:szCs w:val="21"/>
                <w:spacing w:val="5"/>
              </w:rPr>
              <w:t>技有限公司</w:t>
            </w:r>
          </w:p>
        </w:tc>
        <w:tc>
          <w:tcPr>
            <w:tcW w:w="1329" w:type="dxa"/>
            <w:vAlign w:val="top"/>
          </w:tcPr>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231"/>
              <w:spacing w:before="68" w:line="219" w:lineRule="auto"/>
              <w:rPr>
                <w:sz w:val="21"/>
                <w:szCs w:val="21"/>
              </w:rPr>
            </w:pPr>
            <w:r>
              <w:rPr>
                <w:sz w:val="21"/>
                <w:szCs w:val="21"/>
                <w:spacing w:val="3"/>
              </w:rPr>
              <w:t>东侧相邻</w:t>
            </w:r>
          </w:p>
        </w:tc>
        <w:tc>
          <w:tcPr>
            <w:tcW w:w="2328" w:type="dxa"/>
            <w:vAlign w:val="top"/>
          </w:tcPr>
          <w:p>
            <w:pPr>
              <w:spacing w:line="309" w:lineRule="auto"/>
              <w:rPr>
                <w:rFonts w:ascii="Arial"/>
                <w:sz w:val="21"/>
              </w:rPr>
            </w:pPr>
            <w:r/>
          </w:p>
          <w:p>
            <w:pPr>
              <w:spacing w:line="309" w:lineRule="auto"/>
              <w:rPr>
                <w:rFonts w:ascii="Arial"/>
                <w:sz w:val="21"/>
              </w:rPr>
            </w:pPr>
            <w:r/>
          </w:p>
          <w:p>
            <w:pPr>
              <w:spacing w:line="309" w:lineRule="auto"/>
              <w:rPr>
                <w:rFonts w:ascii="Arial"/>
                <w:sz w:val="21"/>
              </w:rPr>
            </w:pPr>
            <w:r/>
          </w:p>
          <w:p>
            <w:pPr>
              <w:pStyle w:val="TableText"/>
              <w:ind w:left="52" w:firstLine="49"/>
              <w:spacing w:before="68" w:line="231" w:lineRule="auto"/>
              <w:rPr>
                <w:sz w:val="21"/>
                <w:szCs w:val="21"/>
              </w:rPr>
            </w:pPr>
            <w:r>
              <w:rPr>
                <w:sz w:val="21"/>
                <w:szCs w:val="21"/>
                <w:spacing w:val="-3"/>
              </w:rPr>
              <w:t>该企业为调味品加工企</w:t>
            </w:r>
            <w:r>
              <w:rPr>
                <w:sz w:val="21"/>
                <w:szCs w:val="21"/>
                <w:spacing w:val="1"/>
              </w:rPr>
              <w:t xml:space="preserve">  </w:t>
            </w:r>
            <w:r>
              <w:rPr>
                <w:sz w:val="21"/>
                <w:szCs w:val="21"/>
                <w:spacing w:val="-5"/>
              </w:rPr>
              <w:t>业，不设卫生防护距离。</w:t>
            </w:r>
          </w:p>
        </w:tc>
        <w:tc>
          <w:tcPr>
            <w:tcW w:w="2328" w:type="dxa"/>
            <w:vAlign w:val="top"/>
          </w:tcPr>
          <w:p>
            <w:pPr>
              <w:spacing w:line="258" w:lineRule="auto"/>
              <w:rPr>
                <w:rFonts w:ascii="Arial"/>
                <w:sz w:val="21"/>
              </w:rPr>
            </w:pPr>
            <w:r/>
          </w:p>
          <w:p>
            <w:pPr>
              <w:spacing w:line="258" w:lineRule="auto"/>
              <w:rPr>
                <w:rFonts w:ascii="Arial"/>
                <w:sz w:val="21"/>
              </w:rPr>
            </w:pPr>
            <w:r/>
          </w:p>
          <w:p>
            <w:pPr>
              <w:pStyle w:val="TableText"/>
              <w:ind w:left="14" w:right="2" w:firstLine="89"/>
              <w:spacing w:before="68" w:line="239" w:lineRule="auto"/>
              <w:rPr>
                <w:sz w:val="21"/>
                <w:szCs w:val="21"/>
              </w:rPr>
            </w:pPr>
            <w:r>
              <w:rPr>
                <w:sz w:val="21"/>
                <w:szCs w:val="21"/>
                <w:spacing w:val="-1"/>
              </w:rPr>
              <w:t>主要产品为：液体调味</w:t>
            </w:r>
            <w:r>
              <w:rPr>
                <w:sz w:val="21"/>
                <w:szCs w:val="21"/>
              </w:rPr>
              <w:t xml:space="preserve">  </w:t>
            </w:r>
            <w:r>
              <w:rPr>
                <w:sz w:val="21"/>
                <w:szCs w:val="21"/>
                <w:spacing w:val="-1"/>
              </w:rPr>
              <w:t>料、半固态调味料及复合</w:t>
            </w:r>
            <w:r>
              <w:rPr>
                <w:sz w:val="21"/>
                <w:szCs w:val="21"/>
                <w:spacing w:val="1"/>
              </w:rPr>
              <w:t xml:space="preserve"> </w:t>
            </w:r>
            <w:r>
              <w:rPr>
                <w:sz w:val="21"/>
                <w:szCs w:val="21"/>
                <w:spacing w:val="-1"/>
              </w:rPr>
              <w:t>调味油、调味油涉及高温</w:t>
            </w:r>
            <w:r>
              <w:rPr>
                <w:sz w:val="21"/>
                <w:szCs w:val="21"/>
              </w:rPr>
              <w:t xml:space="preserve"> </w:t>
            </w:r>
            <w:r>
              <w:rPr>
                <w:sz w:val="21"/>
                <w:szCs w:val="21"/>
                <w:spacing w:val="-1"/>
              </w:rPr>
              <w:t>炒制，固态调味料仅为单</w:t>
            </w:r>
            <w:r>
              <w:rPr>
                <w:sz w:val="21"/>
                <w:szCs w:val="21"/>
                <w:spacing w:val="1"/>
              </w:rPr>
              <w:t xml:space="preserve"> </w:t>
            </w:r>
            <w:r>
              <w:rPr>
                <w:sz w:val="21"/>
                <w:szCs w:val="21"/>
                <w:spacing w:val="-1"/>
              </w:rPr>
              <w:t>独的混合分装。</w:t>
            </w:r>
          </w:p>
        </w:tc>
        <w:tc>
          <w:tcPr>
            <w:tcW w:w="6481" w:type="dxa"/>
            <w:vAlign w:val="top"/>
          </w:tcPr>
          <w:p>
            <w:pPr>
              <w:pStyle w:val="TableText"/>
              <w:ind w:left="16" w:right="63" w:firstLine="69"/>
              <w:spacing w:before="51" w:line="234" w:lineRule="auto"/>
              <w:rPr>
                <w:sz w:val="21"/>
                <w:szCs w:val="21"/>
              </w:rPr>
            </w:pPr>
            <w:r>
              <w:rPr>
                <w:sz w:val="21"/>
                <w:szCs w:val="21"/>
                <w:spacing w:val="1"/>
              </w:rPr>
              <w:t>废气污染物主要为油烟、异味、颗粒物、燃气</w:t>
            </w:r>
            <w:r>
              <w:rPr>
                <w:sz w:val="21"/>
                <w:szCs w:val="21"/>
              </w:rPr>
              <w:t>蒸汽发生器烟气，半固 </w:t>
            </w:r>
            <w:r>
              <w:rPr>
                <w:sz w:val="21"/>
                <w:szCs w:val="21"/>
                <w:spacing w:val="2"/>
              </w:rPr>
              <w:t>态调味料及复合调味油炒料废气经集气罩+“静电式油烟净化器+</w:t>
            </w:r>
            <w:r>
              <w:rPr>
                <w:sz w:val="21"/>
                <w:szCs w:val="21"/>
              </w:rPr>
              <w:t>UV</w:t>
            </w:r>
            <w:r>
              <w:rPr>
                <w:sz w:val="21"/>
                <w:szCs w:val="21"/>
                <w:spacing w:val="2"/>
              </w:rPr>
              <w:t>除</w:t>
            </w:r>
            <w:r>
              <w:rPr>
                <w:sz w:val="21"/>
                <w:szCs w:val="21"/>
              </w:rPr>
              <w:t xml:space="preserve"> </w:t>
            </w:r>
            <w:r>
              <w:rPr>
                <w:sz w:val="21"/>
                <w:szCs w:val="21"/>
              </w:rPr>
              <w:t>臭装置”(TA001)+15m排气筒(DA001);半固</w:t>
            </w:r>
            <w:r>
              <w:rPr>
                <w:sz w:val="21"/>
                <w:szCs w:val="21"/>
                <w:spacing w:val="-1"/>
              </w:rPr>
              <w:t>态调味料及复合调味</w:t>
            </w:r>
          </w:p>
          <w:p>
            <w:pPr>
              <w:pStyle w:val="TableText"/>
              <w:ind w:left="16" w:right="429"/>
              <w:spacing w:line="246" w:lineRule="auto"/>
              <w:rPr>
                <w:sz w:val="21"/>
                <w:szCs w:val="21"/>
              </w:rPr>
            </w:pPr>
            <w:r>
              <w:rPr>
                <w:sz w:val="21"/>
                <w:szCs w:val="21"/>
                <w:spacing w:val="1"/>
              </w:rPr>
              <w:t>油炒料废气经集气罩+“静电式油烟净化器+</w:t>
            </w:r>
            <w:r>
              <w:rPr>
                <w:sz w:val="21"/>
                <w:szCs w:val="21"/>
              </w:rPr>
              <w:t>UV</w:t>
            </w:r>
            <w:r>
              <w:rPr>
                <w:sz w:val="21"/>
                <w:szCs w:val="21"/>
                <w:spacing w:val="1"/>
              </w:rPr>
              <w:t>除臭装置”(</w:t>
            </w:r>
            <w:r>
              <w:rPr>
                <w:sz w:val="21"/>
                <w:szCs w:val="21"/>
              </w:rPr>
              <w:t>TA</w:t>
            </w:r>
            <w:r>
              <w:rPr>
                <w:sz w:val="21"/>
                <w:szCs w:val="21"/>
                <w:spacing w:val="1"/>
              </w:rPr>
              <w:t>002)</w:t>
            </w:r>
            <w:r>
              <w:rPr>
                <w:sz w:val="21"/>
                <w:szCs w:val="21"/>
                <w:spacing w:val="9"/>
              </w:rPr>
              <w:t xml:space="preserve"> </w:t>
            </w:r>
            <w:r>
              <w:rPr>
                <w:sz w:val="21"/>
                <w:szCs w:val="21"/>
              </w:rPr>
              <w:t>+15m排气筒(DA002);液体调味料烧制、调</w:t>
            </w:r>
            <w:r>
              <w:rPr>
                <w:sz w:val="21"/>
                <w:szCs w:val="21"/>
                <w:spacing w:val="-1"/>
              </w:rPr>
              <w:t>味油炒料及煮椒废气集</w:t>
            </w:r>
          </w:p>
          <w:p>
            <w:pPr>
              <w:pStyle w:val="TableText"/>
              <w:ind w:left="16"/>
              <w:spacing w:line="218" w:lineRule="auto"/>
              <w:rPr>
                <w:sz w:val="21"/>
                <w:szCs w:val="21"/>
              </w:rPr>
            </w:pPr>
            <w:r>
              <w:rPr>
                <w:sz w:val="21"/>
                <w:szCs w:val="21"/>
              </w:rPr>
              <w:t>气罩+“静电式油烟净化器+UV除臭装置”(TA0</w:t>
            </w:r>
            <w:r>
              <w:rPr>
                <w:sz w:val="21"/>
                <w:szCs w:val="21"/>
                <w:spacing w:val="-1"/>
              </w:rPr>
              <w:t>03)+15m排气筒</w:t>
            </w:r>
          </w:p>
          <w:p>
            <w:pPr>
              <w:pStyle w:val="TableText"/>
              <w:ind w:left="16" w:right="380" w:firstLine="79"/>
              <w:spacing w:before="11" w:line="230" w:lineRule="auto"/>
              <w:rPr>
                <w:sz w:val="21"/>
                <w:szCs w:val="21"/>
              </w:rPr>
            </w:pPr>
            <w:r>
              <w:rPr>
                <w:sz w:val="21"/>
                <w:szCs w:val="21"/>
              </w:rPr>
              <w:t>(DA003);魔芋加工粉尘经袋式除尘装置处理后，由一根15m高排气</w:t>
            </w:r>
            <w:r>
              <w:rPr>
                <w:sz w:val="21"/>
                <w:szCs w:val="21"/>
                <w:spacing w:val="7"/>
              </w:rPr>
              <w:t xml:space="preserve"> </w:t>
            </w:r>
            <w:r>
              <w:rPr>
                <w:sz w:val="21"/>
                <w:szCs w:val="21"/>
              </w:rPr>
              <w:t>筒(DA004);蒸汽发生器天然气燃烧废气经低氮燃烧+15m排气筒</w:t>
            </w:r>
          </w:p>
          <w:p>
            <w:pPr>
              <w:pStyle w:val="TableText"/>
              <w:ind w:left="106"/>
              <w:spacing w:before="30" w:line="179" w:lineRule="auto"/>
              <w:rPr>
                <w:sz w:val="21"/>
                <w:szCs w:val="21"/>
              </w:rPr>
            </w:pPr>
            <w:r>
              <w:rPr>
                <w:sz w:val="21"/>
                <w:szCs w:val="21"/>
                <w:spacing w:val="-8"/>
              </w:rPr>
              <w:t>(DA005)。</w:t>
            </w:r>
          </w:p>
        </w:tc>
      </w:tr>
      <w:tr>
        <w:trPr>
          <w:trHeight w:val="559" w:hRule="atLeast"/>
        </w:trPr>
        <w:tc>
          <w:tcPr>
            <w:tcW w:w="1694" w:type="dxa"/>
            <w:vAlign w:val="top"/>
          </w:tcPr>
          <w:p>
            <w:pPr>
              <w:pStyle w:val="TableText"/>
              <w:ind w:left="104"/>
              <w:spacing w:before="183" w:line="219" w:lineRule="auto"/>
              <w:rPr>
                <w:sz w:val="21"/>
                <w:szCs w:val="21"/>
              </w:rPr>
            </w:pPr>
            <w:r>
              <w:rPr>
                <w:sz w:val="21"/>
                <w:szCs w:val="21"/>
                <w:spacing w:val="4"/>
              </w:rPr>
              <w:t>保康林医药公司</w:t>
            </w:r>
          </w:p>
        </w:tc>
        <w:tc>
          <w:tcPr>
            <w:tcW w:w="1329" w:type="dxa"/>
            <w:vAlign w:val="top"/>
          </w:tcPr>
          <w:p>
            <w:pPr>
              <w:pStyle w:val="TableText"/>
              <w:ind w:left="281"/>
              <w:spacing w:before="183" w:line="219" w:lineRule="auto"/>
              <w:rPr>
                <w:sz w:val="21"/>
                <w:szCs w:val="21"/>
              </w:rPr>
            </w:pPr>
            <w:r>
              <w:rPr>
                <w:sz w:val="21"/>
                <w:szCs w:val="21"/>
                <w:spacing w:val="1"/>
              </w:rPr>
              <w:t>东侧90m</w:t>
            </w:r>
          </w:p>
        </w:tc>
        <w:tc>
          <w:tcPr>
            <w:tcW w:w="2328" w:type="dxa"/>
            <w:vAlign w:val="top"/>
          </w:tcPr>
          <w:p>
            <w:pPr>
              <w:pStyle w:val="TableText"/>
              <w:ind w:left="312"/>
              <w:spacing w:before="184" w:line="220" w:lineRule="auto"/>
              <w:rPr>
                <w:sz w:val="21"/>
                <w:szCs w:val="21"/>
              </w:rPr>
            </w:pPr>
            <w:r>
              <w:rPr>
                <w:sz w:val="21"/>
                <w:szCs w:val="21"/>
                <w:spacing w:val="1"/>
              </w:rPr>
              <w:t>不设卫生防护距离</w:t>
            </w:r>
          </w:p>
        </w:tc>
        <w:tc>
          <w:tcPr>
            <w:tcW w:w="2328" w:type="dxa"/>
            <w:vAlign w:val="top"/>
          </w:tcPr>
          <w:p>
            <w:pPr>
              <w:pStyle w:val="TableText"/>
              <w:ind w:left="633" w:right="41" w:hanging="579"/>
              <w:spacing w:before="73" w:line="209" w:lineRule="auto"/>
              <w:rPr>
                <w:sz w:val="21"/>
                <w:szCs w:val="21"/>
              </w:rPr>
            </w:pPr>
            <w:r>
              <w:rPr>
                <w:sz w:val="21"/>
                <w:szCs w:val="21"/>
                <w:spacing w:val="1"/>
              </w:rPr>
              <w:t>医药行业-配送中心及中</w:t>
            </w:r>
            <w:r>
              <w:rPr>
                <w:sz w:val="21"/>
                <w:szCs w:val="21"/>
                <w:spacing w:val="5"/>
              </w:rPr>
              <w:t xml:space="preserve"> </w:t>
            </w:r>
            <w:r>
              <w:rPr>
                <w:sz w:val="21"/>
                <w:szCs w:val="21"/>
                <w:spacing w:val="1"/>
              </w:rPr>
              <w:t>药饮片包装</w:t>
            </w:r>
          </w:p>
        </w:tc>
        <w:tc>
          <w:tcPr>
            <w:tcW w:w="6481" w:type="dxa"/>
            <w:vAlign w:val="top"/>
          </w:tcPr>
          <w:p>
            <w:pPr>
              <w:pStyle w:val="TableText"/>
              <w:ind w:left="3126"/>
              <w:spacing w:before="184" w:line="220" w:lineRule="auto"/>
              <w:rPr>
                <w:sz w:val="21"/>
                <w:szCs w:val="21"/>
              </w:rPr>
            </w:pPr>
            <w:r>
              <w:rPr>
                <w:sz w:val="21"/>
                <w:szCs w:val="21"/>
              </w:rPr>
              <w:t>无</w:t>
            </w:r>
          </w:p>
        </w:tc>
      </w:tr>
      <w:tr>
        <w:trPr>
          <w:trHeight w:val="1079" w:hRule="atLeast"/>
        </w:trPr>
        <w:tc>
          <w:tcPr>
            <w:tcW w:w="1694" w:type="dxa"/>
            <w:vAlign w:val="top"/>
          </w:tcPr>
          <w:p>
            <w:pPr>
              <w:spacing w:line="263" w:lineRule="auto"/>
              <w:rPr>
                <w:rFonts w:ascii="Arial"/>
                <w:sz w:val="21"/>
              </w:rPr>
            </w:pPr>
            <w:r/>
          </w:p>
          <w:p>
            <w:pPr>
              <w:pStyle w:val="TableText"/>
              <w:ind w:left="412" w:hanging="397"/>
              <w:spacing w:before="69" w:line="232" w:lineRule="auto"/>
              <w:rPr>
                <w:sz w:val="21"/>
                <w:szCs w:val="21"/>
              </w:rPr>
            </w:pPr>
            <w:r>
              <w:rPr>
                <w:sz w:val="21"/>
                <w:szCs w:val="21"/>
                <w:spacing w:val="-2"/>
              </w:rPr>
              <w:t>四川省七叔公食品</w:t>
            </w:r>
            <w:r>
              <w:rPr>
                <w:sz w:val="21"/>
                <w:szCs w:val="21"/>
                <w:spacing w:val="3"/>
              </w:rPr>
              <w:t xml:space="preserve"> </w:t>
            </w:r>
            <w:r>
              <w:rPr>
                <w:sz w:val="21"/>
                <w:szCs w:val="21"/>
                <w:spacing w:val="5"/>
              </w:rPr>
              <w:t>有限公司</w:t>
            </w:r>
          </w:p>
        </w:tc>
        <w:tc>
          <w:tcPr>
            <w:tcW w:w="1329" w:type="dxa"/>
            <w:vAlign w:val="top"/>
          </w:tcPr>
          <w:p>
            <w:pPr>
              <w:spacing w:line="374" w:lineRule="auto"/>
              <w:rPr>
                <w:rFonts w:ascii="Arial"/>
                <w:sz w:val="21"/>
              </w:rPr>
            </w:pPr>
            <w:r/>
          </w:p>
          <w:p>
            <w:pPr>
              <w:pStyle w:val="TableText"/>
              <w:ind w:left="231"/>
              <w:spacing w:before="68" w:line="219" w:lineRule="auto"/>
              <w:rPr>
                <w:sz w:val="21"/>
                <w:szCs w:val="21"/>
              </w:rPr>
            </w:pPr>
            <w:r>
              <w:rPr>
                <w:sz w:val="21"/>
                <w:szCs w:val="21"/>
                <w:spacing w:val="-3"/>
              </w:rPr>
              <w:t>东北160m</w:t>
            </w:r>
          </w:p>
        </w:tc>
        <w:tc>
          <w:tcPr>
            <w:tcW w:w="2328" w:type="dxa"/>
            <w:vAlign w:val="top"/>
          </w:tcPr>
          <w:p>
            <w:pPr>
              <w:pStyle w:val="TableText"/>
              <w:ind w:left="12"/>
              <w:spacing w:before="173" w:line="244" w:lineRule="auto"/>
              <w:jc w:val="both"/>
              <w:rPr>
                <w:sz w:val="21"/>
                <w:szCs w:val="21"/>
              </w:rPr>
            </w:pPr>
            <w:r>
              <w:rPr>
                <w:sz w:val="21"/>
                <w:szCs w:val="21"/>
                <w:spacing w:val="-1"/>
              </w:rPr>
              <w:t>该企业为肉制品及副产品</w:t>
            </w:r>
            <w:r>
              <w:rPr>
                <w:sz w:val="21"/>
                <w:szCs w:val="21"/>
                <w:spacing w:val="5"/>
              </w:rPr>
              <w:t xml:space="preserve"> </w:t>
            </w:r>
            <w:r>
              <w:rPr>
                <w:sz w:val="21"/>
                <w:szCs w:val="21"/>
                <w:spacing w:val="-1"/>
              </w:rPr>
              <w:t>加工企业，不设卫生防护</w:t>
            </w:r>
            <w:r>
              <w:rPr>
                <w:sz w:val="21"/>
                <w:szCs w:val="21"/>
              </w:rPr>
              <w:t xml:space="preserve"> </w:t>
            </w:r>
            <w:r>
              <w:rPr>
                <w:sz w:val="21"/>
                <w:szCs w:val="21"/>
                <w:spacing w:val="-3"/>
              </w:rPr>
              <w:t>距离。</w:t>
            </w:r>
          </w:p>
        </w:tc>
        <w:tc>
          <w:tcPr>
            <w:tcW w:w="2328" w:type="dxa"/>
            <w:vAlign w:val="top"/>
          </w:tcPr>
          <w:p>
            <w:pPr>
              <w:pStyle w:val="TableText"/>
              <w:ind w:left="14" w:firstLine="85"/>
              <w:spacing w:before="36" w:line="227" w:lineRule="auto"/>
              <w:rPr>
                <w:sz w:val="21"/>
                <w:szCs w:val="21"/>
              </w:rPr>
            </w:pPr>
            <w:r>
              <w:rPr>
                <w:sz w:val="21"/>
                <w:szCs w:val="21"/>
                <w:spacing w:val="-11"/>
              </w:rPr>
              <w:t>主要产品为：预包装食</w:t>
            </w:r>
            <w:r>
              <w:rPr>
                <w:sz w:val="21"/>
                <w:szCs w:val="21"/>
                <w:spacing w:val="1"/>
              </w:rPr>
              <w:t xml:space="preserve">   </w:t>
            </w:r>
            <w:r>
              <w:rPr>
                <w:sz w:val="21"/>
                <w:szCs w:val="21"/>
              </w:rPr>
              <w:t>品；速冻食品、酱卤制</w:t>
            </w:r>
            <w:r>
              <w:rPr>
                <w:sz w:val="21"/>
                <w:szCs w:val="21"/>
                <w:spacing w:val="1"/>
              </w:rPr>
              <w:t xml:space="preserve">   </w:t>
            </w:r>
            <w:r>
              <w:rPr>
                <w:sz w:val="21"/>
                <w:szCs w:val="21"/>
                <w:spacing w:val="-1"/>
              </w:rPr>
              <w:t>品、调味品、发酵制品；</w:t>
            </w:r>
            <w:r>
              <w:rPr>
                <w:sz w:val="21"/>
                <w:szCs w:val="21"/>
                <w:spacing w:val="3"/>
              </w:rPr>
              <w:t xml:space="preserve"> </w:t>
            </w:r>
            <w:r>
              <w:rPr>
                <w:sz w:val="21"/>
                <w:szCs w:val="21"/>
                <w:spacing w:val="-9"/>
              </w:rPr>
              <w:t>米、面制品及食用油。</w:t>
            </w:r>
          </w:p>
        </w:tc>
        <w:tc>
          <w:tcPr>
            <w:tcW w:w="6481" w:type="dxa"/>
            <w:vAlign w:val="top"/>
          </w:tcPr>
          <w:p>
            <w:pPr>
              <w:spacing w:line="253" w:lineRule="auto"/>
              <w:rPr>
                <w:rFonts w:ascii="Arial"/>
                <w:sz w:val="21"/>
              </w:rPr>
            </w:pPr>
            <w:r/>
          </w:p>
          <w:p>
            <w:pPr>
              <w:pStyle w:val="TableText"/>
              <w:ind w:left="135" w:right="39" w:hanging="50"/>
              <w:spacing w:before="68" w:line="248" w:lineRule="auto"/>
              <w:rPr>
                <w:sz w:val="21"/>
                <w:szCs w:val="21"/>
              </w:rPr>
            </w:pPr>
            <w:r>
              <w:rPr>
                <w:sz w:val="21"/>
                <w:szCs w:val="21"/>
              </w:rPr>
              <w:t>废气污染物主要为挥发性有机物，蒸汽发生器燃烧废气经管道收集后</w:t>
            </w:r>
            <w:r>
              <w:rPr>
                <w:sz w:val="21"/>
                <w:szCs w:val="21"/>
                <w:spacing w:val="14"/>
              </w:rPr>
              <w:t xml:space="preserve"> </w:t>
            </w:r>
            <w:r>
              <w:rPr>
                <w:sz w:val="21"/>
                <w:szCs w:val="21"/>
              </w:rPr>
              <w:t>高于车间屋顶排放；油炸线燃烧废气经油烟净化器管道</w:t>
            </w:r>
            <w:r>
              <w:rPr>
                <w:sz w:val="21"/>
                <w:szCs w:val="21"/>
                <w:spacing w:val="-1"/>
              </w:rPr>
              <w:t>收集后排放。</w:t>
            </w:r>
          </w:p>
        </w:tc>
      </w:tr>
      <w:tr>
        <w:trPr>
          <w:trHeight w:val="559" w:hRule="atLeast"/>
        </w:trPr>
        <w:tc>
          <w:tcPr>
            <w:tcW w:w="1694" w:type="dxa"/>
            <w:vAlign w:val="top"/>
          </w:tcPr>
          <w:p>
            <w:pPr>
              <w:pStyle w:val="TableText"/>
              <w:ind w:left="104" w:right="16" w:hanging="89"/>
              <w:spacing w:before="75" w:line="208" w:lineRule="auto"/>
              <w:rPr>
                <w:sz w:val="21"/>
                <w:szCs w:val="21"/>
              </w:rPr>
            </w:pPr>
            <w:r>
              <w:rPr>
                <w:sz w:val="21"/>
                <w:szCs w:val="21"/>
                <w:spacing w:val="-4"/>
              </w:rPr>
              <w:t>四川海平线检测技</w:t>
            </w:r>
            <w:r>
              <w:rPr>
                <w:sz w:val="21"/>
                <w:szCs w:val="21"/>
                <w:spacing w:val="3"/>
              </w:rPr>
              <w:t xml:space="preserve"> </w:t>
            </w:r>
            <w:r>
              <w:rPr>
                <w:sz w:val="21"/>
                <w:szCs w:val="21"/>
                <w:spacing w:val="4"/>
              </w:rPr>
              <w:t>术有限责任公司</w:t>
            </w:r>
          </w:p>
        </w:tc>
        <w:tc>
          <w:tcPr>
            <w:tcW w:w="1329" w:type="dxa"/>
            <w:vAlign w:val="top"/>
          </w:tcPr>
          <w:p>
            <w:pPr>
              <w:pStyle w:val="TableText"/>
              <w:ind w:left="231"/>
              <w:spacing w:before="185" w:line="219" w:lineRule="auto"/>
              <w:rPr>
                <w:sz w:val="21"/>
                <w:szCs w:val="21"/>
              </w:rPr>
            </w:pPr>
            <w:r>
              <w:rPr>
                <w:sz w:val="21"/>
                <w:szCs w:val="21"/>
                <w:spacing w:val="3"/>
              </w:rPr>
              <w:t>南侧相邻</w:t>
            </w:r>
          </w:p>
        </w:tc>
        <w:tc>
          <w:tcPr>
            <w:tcW w:w="2328" w:type="dxa"/>
            <w:vAlign w:val="top"/>
          </w:tcPr>
          <w:p>
            <w:pPr>
              <w:pStyle w:val="TableText"/>
              <w:ind w:left="312"/>
              <w:spacing w:before="186" w:line="220" w:lineRule="auto"/>
              <w:rPr>
                <w:sz w:val="21"/>
                <w:szCs w:val="21"/>
              </w:rPr>
            </w:pPr>
            <w:r>
              <w:rPr>
                <w:sz w:val="21"/>
                <w:szCs w:val="21"/>
                <w:spacing w:val="1"/>
              </w:rPr>
              <w:t>不设卫生防护距离</w:t>
            </w:r>
          </w:p>
        </w:tc>
        <w:tc>
          <w:tcPr>
            <w:tcW w:w="2328" w:type="dxa"/>
            <w:vAlign w:val="top"/>
          </w:tcPr>
          <w:p>
            <w:pPr>
              <w:pStyle w:val="TableText"/>
              <w:ind w:left="1053"/>
              <w:spacing w:before="186" w:line="220" w:lineRule="auto"/>
              <w:rPr>
                <w:sz w:val="21"/>
                <w:szCs w:val="21"/>
              </w:rPr>
            </w:pPr>
            <w:r>
              <w:rPr>
                <w:sz w:val="21"/>
                <w:szCs w:val="21"/>
              </w:rPr>
              <w:t>无</w:t>
            </w:r>
          </w:p>
        </w:tc>
        <w:tc>
          <w:tcPr>
            <w:tcW w:w="6481" w:type="dxa"/>
            <w:vAlign w:val="top"/>
          </w:tcPr>
          <w:p>
            <w:pPr>
              <w:pStyle w:val="TableText"/>
              <w:ind w:left="3126"/>
              <w:spacing w:before="186" w:line="220" w:lineRule="auto"/>
              <w:rPr>
                <w:sz w:val="21"/>
                <w:szCs w:val="21"/>
              </w:rPr>
            </w:pPr>
            <w:r>
              <w:rPr>
                <w:sz w:val="21"/>
                <w:szCs w:val="21"/>
              </w:rPr>
              <w:t>无</w:t>
            </w:r>
          </w:p>
        </w:tc>
      </w:tr>
      <w:tr>
        <w:trPr>
          <w:trHeight w:val="1093" w:hRule="atLeast"/>
        </w:trPr>
        <w:tc>
          <w:tcPr>
            <w:tcW w:w="1694" w:type="dxa"/>
            <w:vAlign w:val="top"/>
          </w:tcPr>
          <w:p>
            <w:pPr>
              <w:spacing w:line="246" w:lineRule="auto"/>
              <w:rPr>
                <w:rFonts w:ascii="Arial"/>
                <w:sz w:val="21"/>
              </w:rPr>
            </w:pPr>
            <w:r/>
          </w:p>
          <w:p>
            <w:pPr>
              <w:pStyle w:val="TableText"/>
              <w:ind w:left="624" w:hanging="609"/>
              <w:spacing w:before="68" w:line="243" w:lineRule="auto"/>
              <w:rPr>
                <w:sz w:val="21"/>
                <w:szCs w:val="21"/>
              </w:rPr>
            </w:pPr>
            <w:r>
              <w:rPr>
                <w:sz w:val="21"/>
                <w:szCs w:val="21"/>
                <w:spacing w:val="-2"/>
              </w:rPr>
              <w:t>绵阳辉达粮油有限</w:t>
            </w:r>
            <w:r>
              <w:rPr>
                <w:sz w:val="21"/>
                <w:szCs w:val="21"/>
                <w:spacing w:val="3"/>
              </w:rPr>
              <w:t xml:space="preserve"> </w:t>
            </w:r>
            <w:r>
              <w:rPr>
                <w:sz w:val="21"/>
                <w:szCs w:val="21"/>
                <w:spacing w:val="14"/>
              </w:rPr>
              <w:t>公司</w:t>
            </w:r>
          </w:p>
        </w:tc>
        <w:tc>
          <w:tcPr>
            <w:tcW w:w="1329" w:type="dxa"/>
            <w:vAlign w:val="top"/>
          </w:tcPr>
          <w:p>
            <w:pPr>
              <w:spacing w:line="376" w:lineRule="auto"/>
              <w:rPr>
                <w:rFonts w:ascii="Arial"/>
                <w:sz w:val="21"/>
              </w:rPr>
            </w:pPr>
            <w:r/>
          </w:p>
          <w:p>
            <w:pPr>
              <w:pStyle w:val="TableText"/>
              <w:ind w:left="181"/>
              <w:spacing w:before="68" w:line="219" w:lineRule="auto"/>
              <w:rPr>
                <w:sz w:val="21"/>
                <w:szCs w:val="21"/>
              </w:rPr>
            </w:pPr>
            <w:r>
              <w:rPr>
                <w:sz w:val="21"/>
                <w:szCs w:val="21"/>
                <w:spacing w:val="-3"/>
              </w:rPr>
              <w:t>东南侧70m</w:t>
            </w:r>
          </w:p>
        </w:tc>
        <w:tc>
          <w:tcPr>
            <w:tcW w:w="2328" w:type="dxa"/>
            <w:vAlign w:val="top"/>
          </w:tcPr>
          <w:p>
            <w:pPr>
              <w:pStyle w:val="TableText"/>
              <w:ind w:left="12" w:firstLine="88"/>
              <w:spacing w:before="45" w:line="228" w:lineRule="auto"/>
              <w:rPr>
                <w:sz w:val="21"/>
                <w:szCs w:val="21"/>
              </w:rPr>
            </w:pPr>
            <w:r>
              <w:rPr>
                <w:sz w:val="21"/>
                <w:szCs w:val="21"/>
                <w:spacing w:val="-2"/>
              </w:rPr>
              <w:t>以浸出车间为边界设置</w:t>
            </w:r>
            <w:r>
              <w:rPr>
                <w:sz w:val="21"/>
                <w:szCs w:val="21"/>
              </w:rPr>
              <w:t xml:space="preserve">  </w:t>
            </w:r>
            <w:r>
              <w:rPr>
                <w:sz w:val="21"/>
                <w:szCs w:val="21"/>
              </w:rPr>
              <w:t>50m卫生防护距离，经现  </w:t>
            </w:r>
            <w:r>
              <w:rPr>
                <w:sz w:val="21"/>
                <w:szCs w:val="21"/>
                <w:spacing w:val="-4"/>
              </w:rPr>
              <w:t>场踏勘，在该卫生防护距</w:t>
            </w:r>
            <w:r>
              <w:rPr>
                <w:sz w:val="21"/>
                <w:szCs w:val="21"/>
                <w:spacing w:val="9"/>
              </w:rPr>
              <w:t xml:space="preserve"> </w:t>
            </w:r>
            <w:r>
              <w:rPr>
                <w:sz w:val="21"/>
                <w:szCs w:val="21"/>
                <w:spacing w:val="-1"/>
              </w:rPr>
              <w:t>离内无医院、学校、集中</w:t>
            </w:r>
          </w:p>
        </w:tc>
        <w:tc>
          <w:tcPr>
            <w:tcW w:w="2328" w:type="dxa"/>
            <w:vAlign w:val="top"/>
          </w:tcPr>
          <w:p>
            <w:pPr>
              <w:spacing w:line="376" w:lineRule="auto"/>
              <w:rPr>
                <w:rFonts w:ascii="Arial"/>
                <w:sz w:val="21"/>
              </w:rPr>
            </w:pPr>
            <w:r/>
          </w:p>
          <w:p>
            <w:pPr>
              <w:pStyle w:val="TableText"/>
              <w:ind w:left="423"/>
              <w:spacing w:before="68" w:line="219" w:lineRule="auto"/>
              <w:rPr>
                <w:sz w:val="21"/>
                <w:szCs w:val="21"/>
              </w:rPr>
            </w:pPr>
            <w:r>
              <w:rPr>
                <w:sz w:val="21"/>
                <w:szCs w:val="21"/>
                <w:spacing w:val="1"/>
              </w:rPr>
              <w:t>食品油加工生产</w:t>
            </w:r>
          </w:p>
        </w:tc>
        <w:tc>
          <w:tcPr>
            <w:tcW w:w="6481" w:type="dxa"/>
            <w:vAlign w:val="top"/>
          </w:tcPr>
          <w:p>
            <w:pPr>
              <w:pStyle w:val="TableText"/>
              <w:ind w:left="26" w:firstLine="59"/>
              <w:spacing w:before="36" w:line="230" w:lineRule="auto"/>
              <w:jc w:val="both"/>
              <w:rPr>
                <w:sz w:val="21"/>
                <w:szCs w:val="21"/>
              </w:rPr>
            </w:pPr>
            <w:r>
              <w:rPr>
                <w:sz w:val="21"/>
                <w:szCs w:val="21"/>
                <w:spacing w:val="-2"/>
              </w:rPr>
              <w:t>废气污染物主要为燃气锅炉烟气、导热油锅炉废气、粉尘、饮食业油</w:t>
            </w:r>
            <w:r>
              <w:rPr>
                <w:sz w:val="21"/>
                <w:szCs w:val="21"/>
                <w:spacing w:val="6"/>
              </w:rPr>
              <w:t xml:space="preserve">  </w:t>
            </w:r>
            <w:r>
              <w:rPr>
                <w:sz w:val="21"/>
                <w:szCs w:val="21"/>
                <w:spacing w:val="1"/>
              </w:rPr>
              <w:t>烟。锅炉烟气与导热油锅烟气通过引风机引入一根15m高排气筒排放；</w:t>
            </w:r>
            <w:r>
              <w:rPr>
                <w:sz w:val="21"/>
                <w:szCs w:val="21"/>
                <w:spacing w:val="6"/>
              </w:rPr>
              <w:t xml:space="preserve"> </w:t>
            </w:r>
            <w:r>
              <w:rPr>
                <w:sz w:val="21"/>
                <w:szCs w:val="21"/>
                <w:spacing w:val="-1"/>
              </w:rPr>
              <w:t>粉尘经收集后，通过振动筛自带的布袋除尘器进行处理，少量的粉尘</w:t>
            </w:r>
            <w:r>
              <w:rPr>
                <w:sz w:val="21"/>
                <w:szCs w:val="21"/>
                <w:spacing w:val="6"/>
              </w:rPr>
              <w:t xml:space="preserve">  </w:t>
            </w:r>
            <w:r>
              <w:rPr>
                <w:sz w:val="21"/>
                <w:szCs w:val="21"/>
                <w:spacing w:val="-2"/>
              </w:rPr>
              <w:t>在车间内以无组织排放；食堂产生的饮食业油烟经集气罩+油烟净化装</w:t>
            </w:r>
          </w:p>
        </w:tc>
      </w:tr>
    </w:tbl>
    <w:p>
      <w:pPr>
        <w:pStyle w:val="BodyText"/>
        <w:rPr/>
      </w:pPr>
      <w:r/>
    </w:p>
    <w:p>
      <w:pPr>
        <w:sectPr>
          <w:headerReference w:type="default" r:id="rId128"/>
          <w:footerReference w:type="default" r:id="rId129"/>
          <w:pgSz w:w="16840" w:h="11910"/>
          <w:pgMar w:top="1177" w:right="1334" w:bottom="973" w:left="1334" w:header="885" w:footer="726" w:gutter="0"/>
        </w:sectPr>
        <w:rPr/>
      </w:pPr>
    </w:p>
    <w:p>
      <w:pPr>
        <w:spacing w:before="77"/>
        <w:rPr/>
      </w:pPr>
      <w:r/>
    </w:p>
    <w:p>
      <w:pPr>
        <w:spacing w:before="77"/>
        <w:rPr/>
      </w:pPr>
      <w:r/>
    </w:p>
    <w:tbl>
      <w:tblPr>
        <w:tblStyle w:val="TableNormal"/>
        <w:tblW w:w="1415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674"/>
        <w:gridCol w:w="1369"/>
        <w:gridCol w:w="2308"/>
        <w:gridCol w:w="2328"/>
        <w:gridCol w:w="6471"/>
      </w:tblGrid>
      <w:tr>
        <w:trPr>
          <w:trHeight w:val="275" w:hRule="atLeast"/>
        </w:trPr>
        <w:tc>
          <w:tcPr>
            <w:shd w:val="clear" w:fill="BDBDBD"/>
            <w:tcW w:w="1674" w:type="dxa"/>
            <w:vAlign w:val="top"/>
          </w:tcPr>
          <w:p>
            <w:pPr>
              <w:pStyle w:val="TableText"/>
              <w:ind w:left="198"/>
              <w:spacing w:before="32" w:line="204" w:lineRule="auto"/>
              <w:rPr>
                <w:sz w:val="21"/>
                <w:szCs w:val="21"/>
              </w:rPr>
            </w:pPr>
            <w:r>
              <w:rPr>
                <w:sz w:val="21"/>
                <w:szCs w:val="21"/>
                <w:b/>
                <w:bCs/>
                <w:spacing w:val="-4"/>
              </w:rPr>
              <w:t>周边企业名称</w:t>
            </w:r>
          </w:p>
        </w:tc>
        <w:tc>
          <w:tcPr>
            <w:shd w:val="clear" w:fill="BDBDBD"/>
            <w:tcW w:w="1369" w:type="dxa"/>
            <w:vAlign w:val="top"/>
          </w:tcPr>
          <w:p>
            <w:pPr>
              <w:pStyle w:val="TableText"/>
              <w:ind w:left="44"/>
              <w:spacing w:before="30" w:line="206" w:lineRule="auto"/>
              <w:rPr>
                <w:sz w:val="21"/>
                <w:szCs w:val="21"/>
              </w:rPr>
            </w:pPr>
            <w:r>
              <w:rPr>
                <w:sz w:val="21"/>
                <w:szCs w:val="21"/>
                <w:b/>
                <w:bCs/>
              </w:rPr>
              <w:t>厂界位置关系</w:t>
            </w:r>
          </w:p>
        </w:tc>
        <w:tc>
          <w:tcPr>
            <w:shd w:val="clear" w:fill="BDBDBD"/>
            <w:tcW w:w="2308" w:type="dxa"/>
            <w:vAlign w:val="top"/>
          </w:tcPr>
          <w:p>
            <w:pPr>
              <w:pStyle w:val="TableText"/>
              <w:ind w:left="205"/>
              <w:spacing w:before="30" w:line="206" w:lineRule="auto"/>
              <w:rPr>
                <w:sz w:val="21"/>
                <w:szCs w:val="21"/>
              </w:rPr>
            </w:pPr>
            <w:r>
              <w:rPr>
                <w:sz w:val="21"/>
                <w:szCs w:val="21"/>
                <w:b/>
                <w:bCs/>
                <w:spacing w:val="-4"/>
              </w:rPr>
              <w:t>卫生防护距离及要求</w:t>
            </w:r>
          </w:p>
        </w:tc>
        <w:tc>
          <w:tcPr>
            <w:shd w:val="clear" w:fill="BDBDBD"/>
            <w:tcW w:w="2328" w:type="dxa"/>
            <w:vAlign w:val="top"/>
          </w:tcPr>
          <w:p>
            <w:pPr>
              <w:pStyle w:val="TableText"/>
              <w:ind w:left="537"/>
              <w:spacing w:before="30" w:line="206" w:lineRule="auto"/>
              <w:rPr>
                <w:sz w:val="21"/>
                <w:szCs w:val="21"/>
              </w:rPr>
            </w:pPr>
            <w:r>
              <w:rPr>
                <w:sz w:val="21"/>
                <w:szCs w:val="21"/>
                <w:b/>
                <w:bCs/>
                <w:spacing w:val="-4"/>
              </w:rPr>
              <w:t>主要生产工艺</w:t>
            </w:r>
          </w:p>
        </w:tc>
        <w:tc>
          <w:tcPr>
            <w:shd w:val="clear" w:fill="BDBDBD"/>
            <w:tcW w:w="6471" w:type="dxa"/>
            <w:vAlign w:val="top"/>
          </w:tcPr>
          <w:p>
            <w:pPr>
              <w:pStyle w:val="TableText"/>
              <w:ind w:left="2589"/>
              <w:spacing w:before="30" w:line="206" w:lineRule="auto"/>
              <w:rPr>
                <w:sz w:val="21"/>
                <w:szCs w:val="21"/>
              </w:rPr>
            </w:pPr>
            <w:r>
              <w:rPr>
                <w:sz w:val="21"/>
                <w:szCs w:val="21"/>
                <w:b/>
                <w:bCs/>
                <w:spacing w:val="-4"/>
              </w:rPr>
              <w:t>废气治理措施</w:t>
            </w:r>
          </w:p>
        </w:tc>
      </w:tr>
      <w:tr>
        <w:trPr>
          <w:trHeight w:val="539" w:hRule="atLeast"/>
        </w:trPr>
        <w:tc>
          <w:tcPr>
            <w:tcW w:w="1674" w:type="dxa"/>
            <w:vAlign w:val="top"/>
          </w:tcPr>
          <w:p>
            <w:pPr>
              <w:rPr>
                <w:rFonts w:ascii="Arial"/>
                <w:sz w:val="21"/>
              </w:rPr>
            </w:pPr>
            <w:r/>
          </w:p>
        </w:tc>
        <w:tc>
          <w:tcPr>
            <w:tcW w:w="1369" w:type="dxa"/>
            <w:vAlign w:val="top"/>
          </w:tcPr>
          <w:p>
            <w:pPr>
              <w:rPr>
                <w:rFonts w:ascii="Arial"/>
                <w:sz w:val="21"/>
              </w:rPr>
            </w:pPr>
            <w:r/>
          </w:p>
        </w:tc>
        <w:tc>
          <w:tcPr>
            <w:tcW w:w="2308" w:type="dxa"/>
            <w:vAlign w:val="top"/>
          </w:tcPr>
          <w:p>
            <w:pPr>
              <w:pStyle w:val="TableText"/>
              <w:ind w:left="12" w:right="115" w:firstLine="79"/>
              <w:spacing w:before="28" w:line="220" w:lineRule="auto"/>
              <w:rPr>
                <w:sz w:val="21"/>
                <w:szCs w:val="21"/>
              </w:rPr>
            </w:pPr>
            <w:r>
              <w:rPr>
                <w:sz w:val="21"/>
                <w:szCs w:val="21"/>
                <w:spacing w:val="-1"/>
              </w:rPr>
              <w:t>居民区等环境敏感建筑</w:t>
            </w:r>
            <w:r>
              <w:rPr>
                <w:sz w:val="21"/>
                <w:szCs w:val="21"/>
              </w:rPr>
              <w:t xml:space="preserve"> </w:t>
            </w:r>
            <w:r>
              <w:rPr>
                <w:sz w:val="21"/>
                <w:szCs w:val="21"/>
                <w:spacing w:val="-2"/>
              </w:rPr>
              <w:t>物。</w:t>
            </w:r>
          </w:p>
        </w:tc>
        <w:tc>
          <w:tcPr>
            <w:tcW w:w="2328" w:type="dxa"/>
            <w:vAlign w:val="top"/>
          </w:tcPr>
          <w:p>
            <w:pPr>
              <w:rPr>
                <w:rFonts w:ascii="Arial"/>
                <w:sz w:val="21"/>
              </w:rPr>
            </w:pPr>
            <w:r/>
          </w:p>
        </w:tc>
        <w:tc>
          <w:tcPr>
            <w:tcW w:w="6471" w:type="dxa"/>
            <w:vAlign w:val="top"/>
          </w:tcPr>
          <w:p>
            <w:pPr>
              <w:pStyle w:val="TableText"/>
              <w:ind w:left="16"/>
              <w:spacing w:before="28" w:line="219" w:lineRule="auto"/>
              <w:rPr>
                <w:sz w:val="21"/>
                <w:szCs w:val="21"/>
              </w:rPr>
            </w:pPr>
            <w:r>
              <w:rPr>
                <w:sz w:val="21"/>
                <w:szCs w:val="21"/>
                <w:spacing w:val="-1"/>
              </w:rPr>
              <w:t>置处理后通过油烟管道引至屋顶排放。</w:t>
            </w:r>
          </w:p>
        </w:tc>
      </w:tr>
      <w:tr>
        <w:trPr>
          <w:trHeight w:val="3006" w:hRule="atLeast"/>
        </w:trPr>
        <w:tc>
          <w:tcPr>
            <w:tcW w:w="1674" w:type="dxa"/>
            <w:vAlign w:val="top"/>
          </w:tcPr>
          <w:p>
            <w:pPr>
              <w:spacing w:line="298" w:lineRule="auto"/>
              <w:rPr>
                <w:rFonts w:ascii="Arial"/>
                <w:sz w:val="21"/>
              </w:rPr>
            </w:pPr>
            <w:r/>
          </w:p>
          <w:p>
            <w:pPr>
              <w:spacing w:line="298" w:lineRule="auto"/>
              <w:rPr>
                <w:rFonts w:ascii="Arial"/>
                <w:sz w:val="21"/>
              </w:rPr>
            </w:pPr>
            <w:r/>
          </w:p>
          <w:p>
            <w:pPr>
              <w:spacing w:line="298" w:lineRule="auto"/>
              <w:rPr>
                <w:rFonts w:ascii="Arial"/>
                <w:sz w:val="21"/>
              </w:rPr>
            </w:pPr>
            <w:r/>
          </w:p>
          <w:p>
            <w:pPr>
              <w:spacing w:line="299" w:lineRule="auto"/>
              <w:rPr>
                <w:rFonts w:ascii="Arial"/>
                <w:sz w:val="21"/>
              </w:rPr>
            </w:pPr>
            <w:r/>
          </w:p>
          <w:p>
            <w:pPr>
              <w:pStyle w:val="TableText"/>
              <w:ind w:left="613" w:hanging="598"/>
              <w:spacing w:before="68" w:line="243" w:lineRule="auto"/>
              <w:rPr>
                <w:sz w:val="21"/>
                <w:szCs w:val="21"/>
              </w:rPr>
            </w:pPr>
            <w:r>
              <w:rPr>
                <w:sz w:val="21"/>
                <w:szCs w:val="21"/>
                <w:spacing w:val="-4"/>
              </w:rPr>
              <w:t>四川昂川制药有限</w:t>
            </w:r>
            <w:r>
              <w:rPr>
                <w:sz w:val="21"/>
                <w:szCs w:val="21"/>
              </w:rPr>
              <w:t xml:space="preserve"> </w:t>
            </w:r>
            <w:r>
              <w:rPr>
                <w:sz w:val="21"/>
                <w:szCs w:val="21"/>
                <w:spacing w:val="13"/>
              </w:rPr>
              <w:t>公司</w:t>
            </w:r>
          </w:p>
        </w:tc>
        <w:tc>
          <w:tcPr>
            <w:tcW w:w="1369" w:type="dxa"/>
            <w:vAlign w:val="top"/>
          </w:tcPr>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151"/>
              <w:spacing w:before="68" w:line="219" w:lineRule="auto"/>
              <w:rPr>
                <w:sz w:val="21"/>
                <w:szCs w:val="21"/>
              </w:rPr>
            </w:pPr>
            <w:r>
              <w:rPr>
                <w:sz w:val="21"/>
                <w:szCs w:val="21"/>
                <w:spacing w:val="-2"/>
              </w:rPr>
              <w:t>东南侧100m</w:t>
            </w:r>
          </w:p>
        </w:tc>
        <w:tc>
          <w:tcPr>
            <w:tcW w:w="2308" w:type="dxa"/>
            <w:vAlign w:val="top"/>
          </w:tcPr>
          <w:p>
            <w:pPr>
              <w:pStyle w:val="TableText"/>
              <w:ind w:left="12"/>
              <w:spacing w:before="309"/>
              <w:rPr>
                <w:sz w:val="21"/>
                <w:szCs w:val="21"/>
              </w:rPr>
            </w:pPr>
            <w:r>
              <w:rPr>
                <w:sz w:val="21"/>
                <w:szCs w:val="21"/>
                <w:spacing w:val="-5"/>
              </w:rPr>
              <w:t>以兽药制剂复配厂房生产</w:t>
            </w:r>
            <w:r>
              <w:rPr>
                <w:sz w:val="21"/>
                <w:szCs w:val="21"/>
                <w:spacing w:val="5"/>
              </w:rPr>
              <w:t xml:space="preserve"> </w:t>
            </w:r>
            <w:r>
              <w:rPr>
                <w:sz w:val="21"/>
                <w:szCs w:val="21"/>
                <w:spacing w:val="-4"/>
              </w:rPr>
              <w:t>区边界、饲料添加剂厂房</w:t>
            </w:r>
            <w:r>
              <w:rPr>
                <w:sz w:val="21"/>
                <w:szCs w:val="21"/>
                <w:spacing w:val="2"/>
              </w:rPr>
              <w:t xml:space="preserve"> </w:t>
            </w:r>
            <w:r>
              <w:rPr>
                <w:sz w:val="21"/>
                <w:szCs w:val="21"/>
                <w:spacing w:val="-3"/>
              </w:rPr>
              <w:t>生产区边界、营养膏剂厂</w:t>
            </w:r>
            <w:r>
              <w:rPr>
                <w:sz w:val="21"/>
                <w:szCs w:val="21"/>
                <w:spacing w:val="5"/>
              </w:rPr>
              <w:t xml:space="preserve"> </w:t>
            </w:r>
            <w:r>
              <w:rPr>
                <w:sz w:val="21"/>
                <w:szCs w:val="21"/>
                <w:spacing w:val="8"/>
              </w:rPr>
              <w:t>房生产区边界为起点的</w:t>
            </w:r>
            <w:r>
              <w:rPr>
                <w:sz w:val="21"/>
                <w:szCs w:val="21"/>
              </w:rPr>
              <w:t xml:space="preserve">  </w:t>
            </w:r>
            <w:r>
              <w:rPr>
                <w:sz w:val="21"/>
                <w:szCs w:val="21"/>
                <w:spacing w:val="-3"/>
              </w:rPr>
              <w:t>50m包络线范围设定卫生[</w:t>
            </w:r>
            <w:r>
              <w:rPr>
                <w:sz w:val="21"/>
                <w:szCs w:val="21"/>
                <w:spacing w:val="8"/>
              </w:rPr>
              <w:t xml:space="preserve"> </w:t>
            </w:r>
            <w:r>
              <w:rPr>
                <w:sz w:val="21"/>
                <w:szCs w:val="21"/>
                <w:spacing w:val="-4"/>
              </w:rPr>
              <w:t>防护距离。卫生防护距离</w:t>
            </w:r>
            <w:r>
              <w:rPr>
                <w:sz w:val="21"/>
                <w:szCs w:val="21"/>
                <w:spacing w:val="4"/>
              </w:rPr>
              <w:t xml:space="preserve"> </w:t>
            </w:r>
            <w:r>
              <w:rPr>
                <w:sz w:val="21"/>
                <w:szCs w:val="21"/>
                <w:spacing w:val="-3"/>
              </w:rPr>
              <w:t>范围内为工业园区，不涉</w:t>
            </w:r>
            <w:r>
              <w:rPr>
                <w:sz w:val="21"/>
                <w:szCs w:val="21"/>
                <w:spacing w:val="1"/>
              </w:rPr>
              <w:t xml:space="preserve"> </w:t>
            </w:r>
            <w:r>
              <w:rPr>
                <w:sz w:val="21"/>
                <w:szCs w:val="21"/>
                <w:spacing w:val="-3"/>
              </w:rPr>
              <w:t>及居民区、学校、医院等</w:t>
            </w:r>
            <w:r>
              <w:rPr>
                <w:sz w:val="21"/>
                <w:szCs w:val="21"/>
                <w:spacing w:val="7"/>
              </w:rPr>
              <w:t xml:space="preserve"> </w:t>
            </w:r>
            <w:r>
              <w:rPr>
                <w:sz w:val="21"/>
                <w:szCs w:val="21"/>
                <w:spacing w:val="-2"/>
              </w:rPr>
              <w:t>环境敏感目标。</w:t>
            </w:r>
          </w:p>
        </w:tc>
        <w:tc>
          <w:tcPr>
            <w:tcW w:w="2328" w:type="dxa"/>
            <w:vAlign w:val="top"/>
          </w:tcPr>
          <w:p>
            <w:pPr>
              <w:spacing w:line="298" w:lineRule="auto"/>
              <w:rPr>
                <w:rFonts w:ascii="Arial"/>
                <w:sz w:val="21"/>
              </w:rPr>
            </w:pPr>
            <w:r/>
          </w:p>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14" w:right="187"/>
              <w:spacing w:before="68" w:line="255" w:lineRule="auto"/>
              <w:rPr>
                <w:sz w:val="21"/>
                <w:szCs w:val="21"/>
              </w:rPr>
            </w:pPr>
            <w:r>
              <w:rPr>
                <w:sz w:val="21"/>
                <w:szCs w:val="21"/>
                <w:spacing w:val="1"/>
              </w:rPr>
              <w:t>主要为兽药、饲料添加</w:t>
            </w:r>
            <w:r>
              <w:rPr>
                <w:sz w:val="21"/>
                <w:szCs w:val="21"/>
                <w:spacing w:val="5"/>
              </w:rPr>
              <w:t xml:space="preserve"> </w:t>
            </w:r>
            <w:r>
              <w:rPr>
                <w:sz w:val="21"/>
                <w:szCs w:val="21"/>
                <w:spacing w:val="-1"/>
              </w:rPr>
              <w:t>剂、宠物食品生产。</w:t>
            </w:r>
          </w:p>
        </w:tc>
        <w:tc>
          <w:tcPr>
            <w:tcW w:w="6471" w:type="dxa"/>
            <w:vAlign w:val="top"/>
          </w:tcPr>
          <w:p>
            <w:pPr>
              <w:pStyle w:val="TableText"/>
              <w:ind w:left="16" w:right="125"/>
              <w:spacing w:before="41" w:line="237" w:lineRule="auto"/>
              <w:rPr>
                <w:sz w:val="21"/>
                <w:szCs w:val="21"/>
              </w:rPr>
            </w:pPr>
            <w:r>
              <w:rPr>
                <w:sz w:val="21"/>
                <w:szCs w:val="21"/>
              </w:rPr>
              <w:t>废气污染物主要为粉尘、食堂油烟、挥发性有机物、臭气。食堂油烟</w:t>
            </w:r>
            <w:r>
              <w:rPr>
                <w:sz w:val="21"/>
                <w:szCs w:val="21"/>
                <w:spacing w:val="11"/>
              </w:rPr>
              <w:t xml:space="preserve"> </w:t>
            </w:r>
            <w:r>
              <w:rPr>
                <w:sz w:val="21"/>
                <w:szCs w:val="21"/>
              </w:rPr>
              <w:t>经食堂油烟净化器处理后通过烟道引至厂房</w:t>
            </w:r>
            <w:r>
              <w:rPr>
                <w:sz w:val="21"/>
                <w:szCs w:val="21"/>
                <w:spacing w:val="-1"/>
              </w:rPr>
              <w:t>屋顶烟道排放；臭气由等</w:t>
            </w:r>
            <w:r>
              <w:rPr>
                <w:sz w:val="21"/>
                <w:szCs w:val="21"/>
              </w:rPr>
              <w:t xml:space="preserve"> </w:t>
            </w:r>
            <w:r>
              <w:rPr>
                <w:sz w:val="21"/>
                <w:szCs w:val="21"/>
              </w:rPr>
              <w:t>离子紫外线除臭；有机废气通过通风橱的排风系统抽至楼顶18m排气</w:t>
            </w:r>
            <w:r>
              <w:rPr>
                <w:sz w:val="21"/>
                <w:szCs w:val="21"/>
                <w:spacing w:val="3"/>
              </w:rPr>
              <w:t xml:space="preserve">  </w:t>
            </w:r>
            <w:r>
              <w:rPr>
                <w:sz w:val="21"/>
                <w:szCs w:val="21"/>
              </w:rPr>
              <w:t>筒排放；项目产生的称量粉尘经负压称量罩收集及布袋除尘器以及空</w:t>
            </w:r>
            <w:r>
              <w:rPr>
                <w:sz w:val="21"/>
                <w:szCs w:val="21"/>
                <w:spacing w:val="10"/>
              </w:rPr>
              <w:t xml:space="preserve"> </w:t>
            </w:r>
            <w:r>
              <w:rPr>
                <w:sz w:val="21"/>
                <w:szCs w:val="21"/>
              </w:rPr>
              <w:t>调净化系统处理后，通过楼顶排风口无组织排放；投料粉尘经吹风系</w:t>
            </w:r>
            <w:r>
              <w:rPr>
                <w:sz w:val="21"/>
                <w:szCs w:val="21"/>
                <w:spacing w:val="18"/>
              </w:rPr>
              <w:t xml:space="preserve"> </w:t>
            </w:r>
            <w:r>
              <w:rPr>
                <w:sz w:val="21"/>
                <w:szCs w:val="21"/>
              </w:rPr>
              <w:t>统和空调净化系统处理后，通过楼顶12m排风口无组织排放；产生的</w:t>
            </w:r>
            <w:r>
              <w:rPr>
                <w:sz w:val="21"/>
                <w:szCs w:val="21"/>
                <w:spacing w:val="5"/>
              </w:rPr>
              <w:t xml:space="preserve">  </w:t>
            </w:r>
            <w:r>
              <w:rPr>
                <w:sz w:val="21"/>
                <w:szCs w:val="21"/>
              </w:rPr>
              <w:t>消毒挥发性VOCs经负压收集和二级活性炭处理后，由厂房排风口无</w:t>
            </w:r>
          </w:p>
          <w:p>
            <w:pPr>
              <w:pStyle w:val="TableText"/>
              <w:ind w:left="16" w:right="155"/>
              <w:spacing w:before="2" w:line="234" w:lineRule="auto"/>
              <w:rPr>
                <w:sz w:val="21"/>
                <w:szCs w:val="21"/>
              </w:rPr>
            </w:pPr>
            <w:r>
              <w:rPr>
                <w:sz w:val="21"/>
                <w:szCs w:val="21"/>
                <w:spacing w:val="-1"/>
              </w:rPr>
              <w:t>组织排放；饲料及营养剂厂房粉尘通过集气罩收集和布袋除尘器处理</w:t>
            </w:r>
            <w:r>
              <w:rPr>
                <w:sz w:val="21"/>
                <w:szCs w:val="21"/>
                <w:spacing w:val="18"/>
              </w:rPr>
              <w:t xml:space="preserve"> </w:t>
            </w:r>
            <w:r>
              <w:rPr>
                <w:sz w:val="21"/>
                <w:szCs w:val="21"/>
              </w:rPr>
              <w:t>后，通过各厂房的15m排气筒排放；项目锅</w:t>
            </w:r>
            <w:r>
              <w:rPr>
                <w:sz w:val="21"/>
                <w:szCs w:val="21"/>
                <w:spacing w:val="-1"/>
              </w:rPr>
              <w:t>炉采用天然气为原料，天</w:t>
            </w:r>
            <w:r>
              <w:rPr>
                <w:sz w:val="21"/>
                <w:szCs w:val="21"/>
              </w:rPr>
              <w:t xml:space="preserve">  </w:t>
            </w:r>
            <w:r>
              <w:rPr>
                <w:sz w:val="21"/>
                <w:szCs w:val="21"/>
              </w:rPr>
              <w:t>然气为清洁能源，经15m排气筒有组织排放；项目质检区产生挥发的</w:t>
            </w:r>
            <w:r>
              <w:rPr>
                <w:sz w:val="21"/>
                <w:szCs w:val="21"/>
                <w:spacing w:val="10"/>
              </w:rPr>
              <w:t xml:space="preserve"> </w:t>
            </w:r>
            <w:r>
              <w:rPr>
                <w:sz w:val="21"/>
                <w:szCs w:val="21"/>
              </w:rPr>
              <w:t>VOCs产生量少，经收集后有组织排放，对大气环</w:t>
            </w:r>
            <w:r>
              <w:rPr>
                <w:sz w:val="21"/>
                <w:szCs w:val="21"/>
                <w:spacing w:val="-1"/>
              </w:rPr>
              <w:t>境影响较小。</w:t>
            </w:r>
          </w:p>
        </w:tc>
      </w:tr>
      <w:tr>
        <w:trPr>
          <w:trHeight w:val="1068" w:hRule="atLeast"/>
        </w:trPr>
        <w:tc>
          <w:tcPr>
            <w:tcW w:w="1674" w:type="dxa"/>
            <w:vAlign w:val="top"/>
          </w:tcPr>
          <w:p>
            <w:pPr>
              <w:pStyle w:val="TableText"/>
              <w:ind w:left="35" w:hanging="20"/>
              <w:spacing w:before="23" w:line="237" w:lineRule="auto"/>
              <w:rPr>
                <w:sz w:val="21"/>
                <w:szCs w:val="21"/>
              </w:rPr>
            </w:pPr>
            <w:r>
              <w:rPr>
                <w:sz w:val="21"/>
                <w:szCs w:val="21"/>
                <w:spacing w:val="-4"/>
              </w:rPr>
              <w:t>绵阳市安州区锐林</w:t>
            </w:r>
            <w:r>
              <w:rPr>
                <w:sz w:val="21"/>
                <w:szCs w:val="21"/>
              </w:rPr>
              <w:t xml:space="preserve"> </w:t>
            </w:r>
            <w:r>
              <w:rPr>
                <w:sz w:val="21"/>
                <w:szCs w:val="21"/>
                <w:spacing w:val="1"/>
              </w:rPr>
              <w:t>商贸有限公司(年</w:t>
            </w:r>
          </w:p>
          <w:p>
            <w:pPr>
              <w:pStyle w:val="TableText"/>
              <w:spacing w:line="218" w:lineRule="auto"/>
              <w:jc w:val="right"/>
              <w:rPr>
                <w:sz w:val="21"/>
                <w:szCs w:val="21"/>
              </w:rPr>
            </w:pPr>
            <w:r>
              <w:rPr>
                <w:sz w:val="21"/>
                <w:szCs w:val="21"/>
                <w:spacing w:val="-4"/>
              </w:rPr>
              <w:t>产2400吨鸡蛋干生</w:t>
            </w:r>
          </w:p>
          <w:p>
            <w:pPr>
              <w:pStyle w:val="TableText"/>
              <w:ind w:left="455"/>
              <w:spacing w:before="22" w:line="197" w:lineRule="auto"/>
              <w:rPr>
                <w:sz w:val="21"/>
                <w:szCs w:val="21"/>
              </w:rPr>
            </w:pPr>
            <w:r>
              <w:rPr>
                <w:sz w:val="21"/>
                <w:szCs w:val="21"/>
                <w:spacing w:val="12"/>
              </w:rPr>
              <w:t>产项目)</w:t>
            </w:r>
          </w:p>
        </w:tc>
        <w:tc>
          <w:tcPr>
            <w:tcW w:w="1369" w:type="dxa"/>
            <w:vAlign w:val="top"/>
          </w:tcPr>
          <w:p>
            <w:pPr>
              <w:spacing w:line="363" w:lineRule="auto"/>
              <w:rPr>
                <w:rFonts w:ascii="Arial"/>
                <w:sz w:val="21"/>
              </w:rPr>
            </w:pPr>
            <w:r/>
          </w:p>
          <w:p>
            <w:pPr>
              <w:pStyle w:val="TableText"/>
              <w:ind w:left="201"/>
              <w:spacing w:before="68" w:line="219" w:lineRule="auto"/>
              <w:rPr>
                <w:sz w:val="21"/>
                <w:szCs w:val="21"/>
              </w:rPr>
            </w:pPr>
            <w:r>
              <w:rPr>
                <w:sz w:val="21"/>
                <w:szCs w:val="21"/>
                <w:spacing w:val="-2"/>
              </w:rPr>
              <w:t>西南侧58m</w:t>
            </w:r>
          </w:p>
        </w:tc>
        <w:tc>
          <w:tcPr>
            <w:tcW w:w="2308" w:type="dxa"/>
            <w:vAlign w:val="top"/>
          </w:tcPr>
          <w:p>
            <w:pPr>
              <w:pStyle w:val="TableText"/>
              <w:ind w:left="12" w:firstLine="29"/>
              <w:spacing w:before="304" w:line="231" w:lineRule="auto"/>
              <w:rPr>
                <w:sz w:val="21"/>
                <w:szCs w:val="21"/>
              </w:rPr>
            </w:pPr>
            <w:r>
              <w:rPr>
                <w:sz w:val="21"/>
                <w:szCs w:val="21"/>
                <w:spacing w:val="-5"/>
              </w:rPr>
              <w:t>该项目为食品加工项目，</w:t>
            </w:r>
            <w:r>
              <w:rPr>
                <w:sz w:val="21"/>
                <w:szCs w:val="21"/>
              </w:rPr>
              <w:t xml:space="preserve"> </w:t>
            </w:r>
            <w:r>
              <w:rPr>
                <w:sz w:val="21"/>
                <w:szCs w:val="21"/>
                <w:spacing w:val="-5"/>
              </w:rPr>
              <w:t>不设卫生防护距离。</w:t>
            </w:r>
          </w:p>
        </w:tc>
        <w:tc>
          <w:tcPr>
            <w:tcW w:w="2328" w:type="dxa"/>
            <w:vAlign w:val="top"/>
          </w:tcPr>
          <w:p>
            <w:pPr>
              <w:pStyle w:val="TableText"/>
              <w:ind w:left="14" w:right="3"/>
              <w:spacing w:before="303" w:line="231" w:lineRule="auto"/>
              <w:rPr>
                <w:sz w:val="21"/>
                <w:szCs w:val="21"/>
              </w:rPr>
            </w:pPr>
            <w:r>
              <w:rPr>
                <w:sz w:val="21"/>
                <w:szCs w:val="21"/>
                <w:spacing w:val="-1"/>
              </w:rPr>
              <w:t>主要从事鸡蛋干、卤蛋等</w:t>
            </w:r>
            <w:r>
              <w:rPr>
                <w:sz w:val="21"/>
                <w:szCs w:val="21"/>
              </w:rPr>
              <w:t xml:space="preserve"> </w:t>
            </w:r>
            <w:r>
              <w:rPr>
                <w:sz w:val="21"/>
                <w:szCs w:val="21"/>
                <w:spacing w:val="-1"/>
              </w:rPr>
              <w:t>食品生产。</w:t>
            </w:r>
          </w:p>
        </w:tc>
        <w:tc>
          <w:tcPr>
            <w:tcW w:w="6471" w:type="dxa"/>
            <w:vAlign w:val="top"/>
          </w:tcPr>
          <w:p>
            <w:pPr>
              <w:pStyle w:val="TableText"/>
              <w:ind w:left="16" w:right="152"/>
              <w:spacing w:before="34" w:line="225" w:lineRule="auto"/>
              <w:jc w:val="both"/>
              <w:rPr>
                <w:sz w:val="21"/>
                <w:szCs w:val="21"/>
              </w:rPr>
            </w:pPr>
            <w:r>
              <w:rPr>
                <w:sz w:val="21"/>
                <w:szCs w:val="21"/>
              </w:rPr>
              <w:t>采用低氮燃烧技术，废气经排气筒达标排放；产</w:t>
            </w:r>
            <w:r>
              <w:rPr>
                <w:sz w:val="21"/>
                <w:szCs w:val="21"/>
                <w:spacing w:val="-1"/>
              </w:rPr>
              <w:t>生的淀粉粉尘通过厂</w:t>
            </w:r>
            <w:r>
              <w:rPr>
                <w:sz w:val="21"/>
                <w:szCs w:val="21"/>
              </w:rPr>
              <w:t xml:space="preserve"> </w:t>
            </w:r>
            <w:r>
              <w:rPr>
                <w:sz w:val="21"/>
                <w:szCs w:val="21"/>
              </w:rPr>
              <w:t>房空气净化系统后无组织排放；卤制及废弃</w:t>
            </w:r>
            <w:r>
              <w:rPr>
                <w:sz w:val="21"/>
                <w:szCs w:val="21"/>
                <w:spacing w:val="-1"/>
              </w:rPr>
              <w:t>蛋壳产生的异味等通过生</w:t>
            </w:r>
            <w:r>
              <w:rPr>
                <w:sz w:val="21"/>
                <w:szCs w:val="21"/>
              </w:rPr>
              <w:t xml:space="preserve"> </w:t>
            </w:r>
            <w:r>
              <w:rPr>
                <w:sz w:val="21"/>
                <w:szCs w:val="21"/>
              </w:rPr>
              <w:t>产车间的微负压收集后经空气净化系统处理后</w:t>
            </w:r>
            <w:r>
              <w:rPr>
                <w:sz w:val="21"/>
                <w:szCs w:val="21"/>
                <w:spacing w:val="-1"/>
              </w:rPr>
              <w:t>无组织排放；污水处理</w:t>
            </w:r>
            <w:r>
              <w:rPr>
                <w:sz w:val="21"/>
                <w:szCs w:val="21"/>
              </w:rPr>
              <w:t xml:space="preserve"> </w:t>
            </w:r>
            <w:r>
              <w:rPr>
                <w:sz w:val="21"/>
                <w:szCs w:val="21"/>
              </w:rPr>
              <w:t>站恶臭拟通过“加盖密闭收集+活性炭吸附”处理后无组织排放。</w:t>
            </w:r>
          </w:p>
        </w:tc>
      </w:tr>
      <w:tr>
        <w:trPr>
          <w:trHeight w:val="539" w:hRule="atLeast"/>
        </w:trPr>
        <w:tc>
          <w:tcPr>
            <w:tcW w:w="1674" w:type="dxa"/>
            <w:vAlign w:val="top"/>
          </w:tcPr>
          <w:p>
            <w:pPr>
              <w:pStyle w:val="TableText"/>
              <w:spacing w:before="44" w:line="219" w:lineRule="auto"/>
              <w:jc w:val="right"/>
              <w:rPr>
                <w:sz w:val="21"/>
                <w:szCs w:val="21"/>
              </w:rPr>
            </w:pPr>
            <w:r>
              <w:rPr>
                <w:sz w:val="21"/>
                <w:szCs w:val="21"/>
                <w:spacing w:val="-4"/>
              </w:rPr>
              <w:t>四川五方源粮油有</w:t>
            </w:r>
          </w:p>
          <w:p>
            <w:pPr>
              <w:pStyle w:val="TableText"/>
              <w:ind w:left="515"/>
              <w:spacing w:before="12" w:line="196" w:lineRule="auto"/>
              <w:rPr>
                <w:sz w:val="21"/>
                <w:szCs w:val="21"/>
              </w:rPr>
            </w:pPr>
            <w:r>
              <w:rPr>
                <w:sz w:val="21"/>
                <w:szCs w:val="21"/>
                <w:color w:val="505040"/>
                <w:spacing w:val="9"/>
              </w:rPr>
              <w:t>限公司</w:t>
            </w:r>
          </w:p>
        </w:tc>
        <w:tc>
          <w:tcPr>
            <w:tcW w:w="1369" w:type="dxa"/>
            <w:vAlign w:val="top"/>
          </w:tcPr>
          <w:p>
            <w:pPr>
              <w:pStyle w:val="TableText"/>
              <w:ind w:left="151"/>
              <w:spacing w:before="175" w:line="219" w:lineRule="auto"/>
              <w:rPr>
                <w:sz w:val="21"/>
                <w:szCs w:val="21"/>
              </w:rPr>
            </w:pPr>
            <w:r>
              <w:rPr>
                <w:sz w:val="21"/>
                <w:szCs w:val="21"/>
                <w:spacing w:val="-2"/>
              </w:rPr>
              <w:t>西南侧145m</w:t>
            </w:r>
          </w:p>
        </w:tc>
        <w:tc>
          <w:tcPr>
            <w:tcW w:w="2308" w:type="dxa"/>
            <w:vAlign w:val="top"/>
          </w:tcPr>
          <w:p>
            <w:pPr>
              <w:pStyle w:val="TableText"/>
              <w:ind w:left="302"/>
              <w:spacing w:before="176" w:line="220" w:lineRule="auto"/>
              <w:rPr>
                <w:sz w:val="21"/>
                <w:szCs w:val="21"/>
              </w:rPr>
            </w:pPr>
            <w:r>
              <w:rPr>
                <w:sz w:val="21"/>
                <w:szCs w:val="21"/>
                <w:spacing w:val="1"/>
              </w:rPr>
              <w:t>不设卫生防护距离</w:t>
            </w:r>
          </w:p>
        </w:tc>
        <w:tc>
          <w:tcPr>
            <w:tcW w:w="2328" w:type="dxa"/>
            <w:vAlign w:val="top"/>
          </w:tcPr>
          <w:p>
            <w:pPr>
              <w:pStyle w:val="TableText"/>
              <w:ind w:left="14" w:right="3"/>
              <w:spacing w:before="44" w:line="213" w:lineRule="auto"/>
              <w:rPr>
                <w:sz w:val="21"/>
                <w:szCs w:val="21"/>
              </w:rPr>
            </w:pPr>
            <w:r>
              <w:rPr>
                <w:sz w:val="21"/>
                <w:szCs w:val="21"/>
                <w:spacing w:val="-1"/>
              </w:rPr>
              <w:t>主要生产内容为精米、面</w:t>
            </w:r>
            <w:r>
              <w:rPr>
                <w:sz w:val="21"/>
                <w:szCs w:val="21"/>
              </w:rPr>
              <w:t xml:space="preserve"> </w:t>
            </w:r>
            <w:r>
              <w:rPr>
                <w:sz w:val="21"/>
                <w:szCs w:val="21"/>
                <w:spacing w:val="-1"/>
              </w:rPr>
              <w:t>条加工，粮食仓储。</w:t>
            </w:r>
          </w:p>
        </w:tc>
        <w:tc>
          <w:tcPr>
            <w:tcW w:w="6471" w:type="dxa"/>
            <w:vAlign w:val="top"/>
          </w:tcPr>
          <w:p>
            <w:pPr>
              <w:pStyle w:val="TableText"/>
              <w:ind w:left="2536"/>
              <w:spacing w:before="175" w:line="219" w:lineRule="auto"/>
              <w:rPr>
                <w:sz w:val="21"/>
                <w:szCs w:val="21"/>
              </w:rPr>
            </w:pPr>
            <w:r>
              <w:rPr>
                <w:sz w:val="21"/>
                <w:szCs w:val="21"/>
                <w:spacing w:val="-1"/>
              </w:rPr>
              <w:t>锅炉15m排气筒</w:t>
            </w:r>
          </w:p>
        </w:tc>
      </w:tr>
      <w:tr>
        <w:trPr>
          <w:trHeight w:val="559" w:hRule="atLeast"/>
        </w:trPr>
        <w:tc>
          <w:tcPr>
            <w:tcW w:w="1674" w:type="dxa"/>
            <w:vAlign w:val="top"/>
          </w:tcPr>
          <w:p>
            <w:pPr>
              <w:pStyle w:val="TableText"/>
              <w:ind w:left="94" w:hanging="79"/>
              <w:spacing w:before="66" w:line="212" w:lineRule="auto"/>
              <w:rPr>
                <w:sz w:val="21"/>
                <w:szCs w:val="21"/>
              </w:rPr>
            </w:pPr>
            <w:r>
              <w:rPr>
                <w:sz w:val="21"/>
                <w:szCs w:val="21"/>
                <w:spacing w:val="-4"/>
              </w:rPr>
              <w:t>四川绵阳利泰来味</w:t>
            </w:r>
            <w:r>
              <w:rPr>
                <w:sz w:val="21"/>
                <w:szCs w:val="21"/>
              </w:rPr>
              <w:t xml:space="preserve"> </w:t>
            </w:r>
            <w:r>
              <w:rPr>
                <w:sz w:val="21"/>
                <w:szCs w:val="21"/>
                <w:spacing w:val="3"/>
              </w:rPr>
              <w:t>业有限责任公司</w:t>
            </w:r>
          </w:p>
        </w:tc>
        <w:tc>
          <w:tcPr>
            <w:tcW w:w="1369" w:type="dxa"/>
            <w:vAlign w:val="top"/>
          </w:tcPr>
          <w:p>
            <w:pPr>
              <w:pStyle w:val="TableText"/>
              <w:ind w:left="151"/>
              <w:spacing w:before="186" w:line="219" w:lineRule="auto"/>
              <w:rPr>
                <w:sz w:val="21"/>
                <w:szCs w:val="21"/>
              </w:rPr>
            </w:pPr>
            <w:r>
              <w:rPr>
                <w:sz w:val="21"/>
                <w:szCs w:val="21"/>
                <w:spacing w:val="-2"/>
              </w:rPr>
              <w:t>西南侧150m</w:t>
            </w:r>
          </w:p>
        </w:tc>
        <w:tc>
          <w:tcPr>
            <w:tcW w:w="2308" w:type="dxa"/>
            <w:vAlign w:val="top"/>
          </w:tcPr>
          <w:p>
            <w:pPr>
              <w:pStyle w:val="TableText"/>
              <w:ind w:left="302"/>
              <w:spacing w:before="187" w:line="220" w:lineRule="auto"/>
              <w:rPr>
                <w:sz w:val="21"/>
                <w:szCs w:val="21"/>
              </w:rPr>
            </w:pPr>
            <w:r>
              <w:rPr>
                <w:sz w:val="21"/>
                <w:szCs w:val="21"/>
                <w:spacing w:val="1"/>
              </w:rPr>
              <w:t>不设卫生防护距离</w:t>
            </w:r>
          </w:p>
        </w:tc>
        <w:tc>
          <w:tcPr>
            <w:tcW w:w="2328" w:type="dxa"/>
            <w:vAlign w:val="top"/>
          </w:tcPr>
          <w:p>
            <w:pPr>
              <w:pStyle w:val="TableText"/>
              <w:ind w:left="1044"/>
              <w:spacing w:before="187" w:line="220" w:lineRule="auto"/>
              <w:rPr>
                <w:sz w:val="21"/>
                <w:szCs w:val="21"/>
              </w:rPr>
            </w:pPr>
            <w:r>
              <w:rPr>
                <w:sz w:val="21"/>
                <w:szCs w:val="21"/>
              </w:rPr>
              <w:t>无</w:t>
            </w:r>
          </w:p>
        </w:tc>
        <w:tc>
          <w:tcPr>
            <w:tcW w:w="6471" w:type="dxa"/>
            <w:vAlign w:val="top"/>
          </w:tcPr>
          <w:p>
            <w:pPr>
              <w:pStyle w:val="TableText"/>
              <w:ind w:left="3136"/>
              <w:spacing w:before="187" w:line="220" w:lineRule="auto"/>
              <w:rPr>
                <w:sz w:val="21"/>
                <w:szCs w:val="21"/>
              </w:rPr>
            </w:pPr>
            <w:r>
              <w:rPr>
                <w:sz w:val="21"/>
                <w:szCs w:val="21"/>
              </w:rPr>
              <w:t>无</w:t>
            </w:r>
          </w:p>
        </w:tc>
      </w:tr>
      <w:tr>
        <w:trPr>
          <w:trHeight w:val="814" w:hRule="atLeast"/>
        </w:trPr>
        <w:tc>
          <w:tcPr>
            <w:tcW w:w="1674" w:type="dxa"/>
            <w:vAlign w:val="top"/>
          </w:tcPr>
          <w:p>
            <w:pPr>
              <w:pStyle w:val="TableText"/>
              <w:ind w:left="400" w:hanging="385"/>
              <w:spacing w:before="177" w:line="248" w:lineRule="auto"/>
              <w:rPr>
                <w:sz w:val="21"/>
                <w:szCs w:val="21"/>
              </w:rPr>
            </w:pPr>
            <w:r>
              <w:rPr>
                <w:sz w:val="21"/>
                <w:szCs w:val="21"/>
                <w:spacing w:val="-4"/>
              </w:rPr>
              <w:t>绵阳绿源米业有限</w:t>
            </w:r>
            <w:r>
              <w:rPr>
                <w:sz w:val="21"/>
                <w:szCs w:val="21"/>
              </w:rPr>
              <w:t xml:space="preserve"> </w:t>
            </w:r>
            <w:r>
              <w:rPr>
                <w:sz w:val="21"/>
                <w:szCs w:val="21"/>
                <w:spacing w:val="4"/>
              </w:rPr>
              <w:t>责任公司</w:t>
            </w:r>
          </w:p>
        </w:tc>
        <w:tc>
          <w:tcPr>
            <w:tcW w:w="1369" w:type="dxa"/>
            <w:vAlign w:val="top"/>
          </w:tcPr>
          <w:p>
            <w:pPr>
              <w:pStyle w:val="TableText"/>
              <w:ind w:left="151"/>
              <w:spacing w:before="307" w:line="219" w:lineRule="auto"/>
              <w:rPr>
                <w:sz w:val="21"/>
                <w:szCs w:val="21"/>
              </w:rPr>
            </w:pPr>
            <w:r>
              <w:rPr>
                <w:sz w:val="21"/>
                <w:szCs w:val="21"/>
                <w:spacing w:val="-2"/>
              </w:rPr>
              <w:t>西南侧208m</w:t>
            </w:r>
          </w:p>
        </w:tc>
        <w:tc>
          <w:tcPr>
            <w:tcW w:w="2308" w:type="dxa"/>
            <w:vAlign w:val="top"/>
          </w:tcPr>
          <w:p>
            <w:pPr>
              <w:pStyle w:val="TableText"/>
              <w:ind w:left="41" w:hanging="29"/>
              <w:spacing w:before="177" w:line="258" w:lineRule="auto"/>
              <w:rPr>
                <w:sz w:val="21"/>
                <w:szCs w:val="21"/>
              </w:rPr>
            </w:pPr>
            <w:r>
              <w:rPr>
                <w:sz w:val="21"/>
                <w:szCs w:val="21"/>
                <w:spacing w:val="-6"/>
              </w:rPr>
              <w:t>该企业为农副食品加工企</w:t>
            </w:r>
            <w:r>
              <w:rPr>
                <w:sz w:val="21"/>
                <w:szCs w:val="21"/>
                <w:spacing w:val="5"/>
              </w:rPr>
              <w:t xml:space="preserve"> </w:t>
            </w:r>
            <w:r>
              <w:rPr>
                <w:sz w:val="21"/>
                <w:szCs w:val="21"/>
                <w:spacing w:val="-5"/>
              </w:rPr>
              <w:t>业，不设卫生防护距离。</w:t>
            </w:r>
          </w:p>
        </w:tc>
        <w:tc>
          <w:tcPr>
            <w:tcW w:w="2328" w:type="dxa"/>
            <w:vAlign w:val="top"/>
          </w:tcPr>
          <w:p>
            <w:pPr>
              <w:pStyle w:val="TableText"/>
              <w:ind w:left="334"/>
              <w:spacing w:before="307" w:line="219" w:lineRule="auto"/>
              <w:rPr>
                <w:sz w:val="21"/>
                <w:szCs w:val="21"/>
              </w:rPr>
            </w:pPr>
            <w:r>
              <w:rPr>
                <w:sz w:val="21"/>
                <w:szCs w:val="21"/>
                <w:spacing w:val="1"/>
              </w:rPr>
              <w:t>主要从事大米加工</w:t>
            </w:r>
          </w:p>
        </w:tc>
        <w:tc>
          <w:tcPr>
            <w:tcW w:w="6471" w:type="dxa"/>
            <w:vAlign w:val="top"/>
          </w:tcPr>
          <w:p>
            <w:pPr>
              <w:pStyle w:val="TableText"/>
              <w:ind w:left="16" w:right="131"/>
              <w:spacing w:before="56" w:line="219" w:lineRule="auto"/>
              <w:jc w:val="both"/>
              <w:rPr>
                <w:sz w:val="21"/>
                <w:szCs w:val="21"/>
              </w:rPr>
            </w:pPr>
            <w:r>
              <w:rPr>
                <w:sz w:val="21"/>
                <w:szCs w:val="21"/>
              </w:rPr>
              <w:t>废气污染物主要为粉尘和天然气废气，产生的粉</w:t>
            </w:r>
            <w:r>
              <w:rPr>
                <w:sz w:val="21"/>
                <w:szCs w:val="21"/>
                <w:spacing w:val="-1"/>
              </w:rPr>
              <w:t>尘经收集并经过高压</w:t>
            </w:r>
            <w:r>
              <w:rPr>
                <w:sz w:val="21"/>
                <w:szCs w:val="21"/>
              </w:rPr>
              <w:t xml:space="preserve"> </w:t>
            </w:r>
            <w:r>
              <w:rPr>
                <w:sz w:val="21"/>
                <w:szCs w:val="21"/>
              </w:rPr>
              <w:t>脉冲除尘器+布袋除尘器处理后，通过15m排气筒有组织排放；天然气</w:t>
            </w:r>
            <w:r>
              <w:rPr>
                <w:sz w:val="21"/>
                <w:szCs w:val="21"/>
                <w:spacing w:val="12"/>
              </w:rPr>
              <w:t xml:space="preserve"> </w:t>
            </w:r>
            <w:r>
              <w:rPr>
                <w:sz w:val="21"/>
                <w:szCs w:val="21"/>
                <w:spacing w:val="-1"/>
              </w:rPr>
              <w:t>燃烧废气通过15m排气筒有组织排放。</w:t>
            </w:r>
          </w:p>
        </w:tc>
      </w:tr>
    </w:tbl>
    <w:p>
      <w:pPr>
        <w:ind w:left="105" w:firstLine="480"/>
        <w:spacing w:before="75" w:line="350" w:lineRule="auto"/>
        <w:jc w:val="both"/>
        <w:rPr>
          <w:rFonts w:ascii="SimSun" w:hAnsi="SimSun" w:eastAsia="SimSun" w:cs="SimSun"/>
          <w:sz w:val="24"/>
          <w:szCs w:val="24"/>
        </w:rPr>
      </w:pPr>
      <w:r>
        <w:rPr>
          <w:rFonts w:ascii="SimSun" w:hAnsi="SimSun" w:eastAsia="SimSun" w:cs="SimSun"/>
          <w:sz w:val="25"/>
          <w:szCs w:val="25"/>
          <w:spacing w:val="-2"/>
        </w:rPr>
        <w:t>本项目根据《大气有害物质无组织排放卫生防</w:t>
      </w:r>
      <w:r>
        <w:rPr>
          <w:rFonts w:ascii="SimSun" w:hAnsi="SimSun" w:eastAsia="SimSun" w:cs="SimSun"/>
          <w:sz w:val="25"/>
          <w:szCs w:val="25"/>
          <w:spacing w:val="-3"/>
        </w:rPr>
        <w:t>护距离推导技术导则》(GB/T39499-2020)计算卫生防护距离，同时满足动物防疫</w:t>
      </w:r>
      <w:r>
        <w:rPr>
          <w:rFonts w:ascii="SimSun" w:hAnsi="SimSun" w:eastAsia="SimSun" w:cs="SimSun"/>
          <w:sz w:val="25"/>
          <w:szCs w:val="25"/>
        </w:rPr>
        <w:t xml:space="preserve"> </w:t>
      </w:r>
      <w:r>
        <w:rPr>
          <w:rFonts w:ascii="SimSun" w:hAnsi="SimSun" w:eastAsia="SimSun" w:cs="SimSun"/>
          <w:sz w:val="24"/>
          <w:szCs w:val="24"/>
          <w:spacing w:val="1"/>
        </w:rPr>
        <w:t>要求；厂址周围以食品、医药企业为主，具备良好的环境卫生条件；根据调查，本项目位于安州区工业园内，东侧</w:t>
      </w:r>
      <w:r>
        <w:rPr>
          <w:rFonts w:ascii="SimSun" w:hAnsi="SimSun" w:eastAsia="SimSun" w:cs="SimSun"/>
          <w:sz w:val="24"/>
          <w:szCs w:val="24"/>
        </w:rPr>
        <w:t>紧邻四川好巴蜀食 </w:t>
      </w:r>
      <w:r>
        <w:rPr>
          <w:rFonts w:ascii="SimSun" w:hAnsi="SimSun" w:eastAsia="SimSun" w:cs="SimSun"/>
          <w:sz w:val="24"/>
          <w:szCs w:val="24"/>
          <w:spacing w:val="9"/>
        </w:rPr>
        <w:t>品科技有限公司(农副产品加工企业),该企业未设置卫生防护距离，同时，该企业已签署对本项目建设无异议的情况说明(详见附</w:t>
      </w:r>
    </w:p>
    <w:p>
      <w:pPr>
        <w:spacing w:line="350" w:lineRule="auto"/>
        <w:sectPr>
          <w:headerReference w:type="default" r:id="rId130"/>
          <w:footerReference w:type="default" r:id="rId131"/>
          <w:pgSz w:w="16840" w:h="11910"/>
          <w:pgMar w:top="1177" w:right="1357" w:bottom="973" w:left="1314" w:header="885" w:footer="726" w:gutter="0"/>
        </w:sectPr>
        <w:rPr>
          <w:rFonts w:ascii="SimSun" w:hAnsi="SimSun" w:eastAsia="SimSun" w:cs="SimSun"/>
          <w:sz w:val="24"/>
          <w:szCs w:val="24"/>
        </w:rPr>
      </w:pPr>
    </w:p>
    <w:p>
      <w:pPr>
        <w:pStyle w:val="BodyText"/>
        <w:spacing w:line="300" w:lineRule="auto"/>
        <w:rPr/>
      </w:pPr>
      <w:r/>
    </w:p>
    <w:p>
      <w:pPr>
        <w:pStyle w:val="BodyText"/>
        <w:spacing w:line="300" w:lineRule="auto"/>
        <w:rPr/>
      </w:pPr>
      <w:r/>
    </w:p>
    <w:p>
      <w:pPr>
        <w:ind w:right="18"/>
        <w:spacing w:before="75" w:line="371" w:lineRule="auto"/>
        <w:jc w:val="both"/>
        <w:rPr>
          <w:rFonts w:ascii="SimSun" w:hAnsi="SimSun" w:eastAsia="SimSun" w:cs="SimSun"/>
          <w:sz w:val="23"/>
          <w:szCs w:val="23"/>
        </w:rPr>
      </w:pPr>
      <w:r>
        <w:rPr>
          <w:rFonts w:ascii="SimSun" w:hAnsi="SimSun" w:eastAsia="SimSun" w:cs="SimSun"/>
          <w:sz w:val="23"/>
          <w:szCs w:val="23"/>
          <w:spacing w:val="21"/>
        </w:rPr>
        <w:t>件</w:t>
      </w:r>
      <w:r>
        <w:rPr>
          <w:rFonts w:ascii="SimSun" w:hAnsi="SimSun" w:eastAsia="SimSun" w:cs="SimSun"/>
          <w:sz w:val="23"/>
          <w:szCs w:val="23"/>
          <w:spacing w:val="-40"/>
        </w:rPr>
        <w:t xml:space="preserve"> </w:t>
      </w:r>
      <w:r>
        <w:rPr>
          <w:rFonts w:ascii="SimSun" w:hAnsi="SimSun" w:eastAsia="SimSun" w:cs="SimSun"/>
          <w:sz w:val="23"/>
          <w:szCs w:val="23"/>
          <w:spacing w:val="21"/>
        </w:rPr>
        <w:t>) ;</w:t>
      </w:r>
      <w:r>
        <w:rPr>
          <w:rFonts w:ascii="SimSun" w:hAnsi="SimSun" w:eastAsia="SimSun" w:cs="SimSun"/>
          <w:sz w:val="23"/>
          <w:szCs w:val="23"/>
          <w:spacing w:val="-38"/>
        </w:rPr>
        <w:t xml:space="preserve"> </w:t>
      </w:r>
      <w:r>
        <w:rPr>
          <w:rFonts w:ascii="SimSun" w:hAnsi="SimSun" w:eastAsia="SimSun" w:cs="SimSun"/>
          <w:sz w:val="23"/>
          <w:szCs w:val="23"/>
          <w:spacing w:val="21"/>
        </w:rPr>
        <w:t>南</w:t>
      </w:r>
      <w:r>
        <w:rPr>
          <w:rFonts w:ascii="SimSun" w:hAnsi="SimSun" w:eastAsia="SimSun" w:cs="SimSun"/>
          <w:sz w:val="23"/>
          <w:szCs w:val="23"/>
          <w:spacing w:val="-43"/>
        </w:rPr>
        <w:t xml:space="preserve"> </w:t>
      </w:r>
      <w:r>
        <w:rPr>
          <w:rFonts w:ascii="SimSun" w:hAnsi="SimSun" w:eastAsia="SimSun" w:cs="SimSun"/>
          <w:sz w:val="23"/>
          <w:szCs w:val="23"/>
          <w:spacing w:val="21"/>
        </w:rPr>
        <w:t>侧</w:t>
      </w:r>
      <w:r>
        <w:rPr>
          <w:rFonts w:ascii="SimSun" w:hAnsi="SimSun" w:eastAsia="SimSun" w:cs="SimSun"/>
          <w:sz w:val="23"/>
          <w:szCs w:val="23"/>
          <w:spacing w:val="-35"/>
        </w:rPr>
        <w:t xml:space="preserve"> </w:t>
      </w:r>
      <w:r>
        <w:rPr>
          <w:rFonts w:ascii="SimSun" w:hAnsi="SimSun" w:eastAsia="SimSun" w:cs="SimSun"/>
          <w:sz w:val="23"/>
          <w:szCs w:val="23"/>
          <w:spacing w:val="21"/>
        </w:rPr>
        <w:t>7</w:t>
      </w:r>
      <w:r>
        <w:rPr>
          <w:rFonts w:ascii="SimSun" w:hAnsi="SimSun" w:eastAsia="SimSun" w:cs="SimSun"/>
          <w:sz w:val="23"/>
          <w:szCs w:val="23"/>
          <w:spacing w:val="-40"/>
        </w:rPr>
        <w:t xml:space="preserve"> </w:t>
      </w:r>
      <w:r>
        <w:rPr>
          <w:rFonts w:ascii="SimSun" w:hAnsi="SimSun" w:eastAsia="SimSun" w:cs="SimSun"/>
          <w:sz w:val="23"/>
          <w:szCs w:val="23"/>
          <w:spacing w:val="21"/>
        </w:rPr>
        <w:t>0m</w:t>
      </w:r>
      <w:r>
        <w:rPr>
          <w:rFonts w:ascii="SimSun" w:hAnsi="SimSun" w:eastAsia="SimSun" w:cs="SimSun"/>
          <w:sz w:val="23"/>
          <w:szCs w:val="23"/>
          <w:spacing w:val="-17"/>
        </w:rPr>
        <w:t xml:space="preserve"> </w:t>
      </w:r>
      <w:r>
        <w:rPr>
          <w:rFonts w:ascii="SimSun" w:hAnsi="SimSun" w:eastAsia="SimSun" w:cs="SimSun"/>
          <w:sz w:val="23"/>
          <w:szCs w:val="23"/>
          <w:spacing w:val="21"/>
        </w:rPr>
        <w:t>为四川昂川制药有限公司(兽药、饲料、添加剂生产),东南侧70m 为绵阳辉达粮油有限公司(食用油加工),都</w:t>
      </w:r>
      <w:r>
        <w:rPr>
          <w:rFonts w:ascii="SimSun" w:hAnsi="SimSun" w:eastAsia="SimSun" w:cs="SimSun"/>
          <w:sz w:val="23"/>
          <w:szCs w:val="23"/>
        </w:rPr>
        <w:t xml:space="preserve"> </w:t>
      </w:r>
      <w:r>
        <w:rPr>
          <w:rFonts w:ascii="SimSun" w:hAnsi="SimSun" w:eastAsia="SimSun" w:cs="SimSun"/>
          <w:sz w:val="23"/>
          <w:szCs w:val="23"/>
          <w:spacing w:val="14"/>
        </w:rPr>
        <w:t>设有50</w:t>
      </w:r>
      <w:r>
        <w:rPr>
          <w:rFonts w:ascii="Times New Roman" w:hAnsi="Times New Roman" w:eastAsia="Times New Roman" w:cs="Times New Roman"/>
          <w:sz w:val="23"/>
          <w:szCs w:val="23"/>
          <w:spacing w:val="14"/>
        </w:rPr>
        <w:t>m </w:t>
      </w:r>
      <w:r>
        <w:rPr>
          <w:rFonts w:ascii="SimSun" w:hAnsi="SimSun" w:eastAsia="SimSun" w:cs="SimSun"/>
          <w:sz w:val="23"/>
          <w:szCs w:val="23"/>
          <w:spacing w:val="14"/>
        </w:rPr>
        <w:t>的卫生防护距离，本项目不在该企业卫生防护距离范围内。根据现场监测，项目所在区域环境空气质量良好，无对食品有</w:t>
      </w:r>
      <w:r>
        <w:rPr>
          <w:rFonts w:ascii="SimSun" w:hAnsi="SimSun" w:eastAsia="SimSun" w:cs="SimSun"/>
          <w:sz w:val="23"/>
          <w:szCs w:val="23"/>
          <w:spacing w:val="7"/>
        </w:rPr>
        <w:t xml:space="preserve"> </w:t>
      </w:r>
      <w:r>
        <w:rPr>
          <w:rFonts w:ascii="SimSun" w:hAnsi="SimSun" w:eastAsia="SimSun" w:cs="SimSun"/>
          <w:sz w:val="23"/>
          <w:szCs w:val="23"/>
          <w:spacing w:val="11"/>
        </w:rPr>
        <w:t>显著污染的区域，本项目所在区域属于可以通过采取措施加</w:t>
      </w:r>
      <w:r>
        <w:rPr>
          <w:rFonts w:ascii="SimSun" w:hAnsi="SimSun" w:eastAsia="SimSun" w:cs="SimSun"/>
          <w:sz w:val="23"/>
          <w:szCs w:val="23"/>
          <w:spacing w:val="10"/>
        </w:rPr>
        <w:t>以改善、有效清除污染源的区域；本项目厂址周围供水、供电均为市政供</w:t>
      </w:r>
      <w:r>
        <w:rPr>
          <w:rFonts w:ascii="SimSun" w:hAnsi="SimSun" w:eastAsia="SimSun" w:cs="SimSun"/>
          <w:sz w:val="23"/>
          <w:szCs w:val="23"/>
        </w:rPr>
        <w:t xml:space="preserve"> </w:t>
      </w:r>
      <w:r>
        <w:rPr>
          <w:rFonts w:ascii="SimSun" w:hAnsi="SimSun" w:eastAsia="SimSun" w:cs="SimSun"/>
          <w:sz w:val="23"/>
          <w:szCs w:val="23"/>
          <w:spacing w:val="10"/>
        </w:rPr>
        <w:t>应，市政配套设施完善，符合屠宰企业设置规划的要求。</w:t>
      </w:r>
    </w:p>
    <w:p>
      <w:pPr>
        <w:ind w:left="499"/>
        <w:spacing w:before="32" w:line="219" w:lineRule="auto"/>
        <w:rPr>
          <w:rFonts w:ascii="SimSun" w:hAnsi="SimSun" w:eastAsia="SimSun" w:cs="SimSun"/>
          <w:sz w:val="23"/>
          <w:szCs w:val="23"/>
        </w:rPr>
      </w:pPr>
      <w:r>
        <w:rPr>
          <w:rFonts w:ascii="SimSun" w:hAnsi="SimSun" w:eastAsia="SimSun" w:cs="SimSun"/>
          <w:sz w:val="23"/>
          <w:szCs w:val="23"/>
          <w:spacing w:val="8"/>
        </w:rPr>
        <w:t>本项目与周边企业卫生防护距离关系图如下。</w:t>
      </w:r>
    </w:p>
    <w:p>
      <w:pPr>
        <w:pStyle w:val="BodyText"/>
        <w:ind w:firstLine="2240"/>
        <w:spacing w:before="49" w:line="5795" w:lineRule="exact"/>
        <w:rPr/>
      </w:pPr>
      <w:r>
        <w:rPr>
          <w:position w:val="-115"/>
        </w:rPr>
        <w:pict>
          <v:group id="_x0000_s42" style="mso-position-vertical-relative:line;mso-position-horizontal-relative:char;width:475.5pt;height:289.8pt;" filled="false" stroked="false" coordsize="9510,5795" coordorigin="0,0">
            <v:shape id="_x0000_s44" style="position:absolute;left:0;top:0;width:9510;height:5560;" filled="false" stroked="false" type="#_x0000_t75">
              <v:imagedata o:title="" r:id="rId134"/>
            </v:shape>
            <v:shape id="_x0000_s46" style="position:absolute;left:979;top:90;width:8527;height:5725;" filled="false" stroked="false" type="#_x0000_t202">
              <v:fill on="false"/>
              <v:stroke on="false"/>
              <v:path/>
              <v:imagedata o:title=""/>
              <o:lock v:ext="edit" aspectratio="false"/>
              <v:textbox inset="0mm,0mm,0mm,0mm">
                <w:txbxContent>
                  <w:p>
                    <w:pPr>
                      <w:ind w:left="7940"/>
                      <w:spacing w:before="20" w:line="185"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N</w:t>
                    </w:r>
                  </w:p>
                  <w:p>
                    <w:pPr>
                      <w:ind w:left="3289"/>
                      <w:spacing w:before="1" w:line="168" w:lineRule="auto"/>
                      <w:rPr>
                        <w:rFonts w:ascii="LiSu" w:hAnsi="LiSu" w:eastAsia="LiSu" w:cs="LiSu"/>
                        <w:sz w:val="37"/>
                        <w:szCs w:val="37"/>
                      </w:rPr>
                    </w:pPr>
                    <w:r>
                      <w:rPr>
                        <w:rFonts w:ascii="LiSu" w:hAnsi="LiSu" w:eastAsia="LiSu" w:cs="LiSu"/>
                        <w:sz w:val="37"/>
                        <w:szCs w:val="37"/>
                        <w:color w:val="D06030"/>
                      </w:rPr>
                      <w:t>地</w:t>
                    </w:r>
                  </w:p>
                  <w:p>
                    <w:pPr>
                      <w:ind w:left="6149"/>
                      <w:spacing w:before="7" w:line="219" w:lineRule="auto"/>
                      <w:rPr>
                        <w:rFonts w:ascii="SimSun" w:hAnsi="SimSun" w:eastAsia="SimSun" w:cs="SimSun"/>
                        <w:sz w:val="12"/>
                        <w:szCs w:val="12"/>
                      </w:rPr>
                    </w:pPr>
                    <w:r>
                      <w:rPr>
                        <w:rFonts w:ascii="SimSun" w:hAnsi="SimSun" w:eastAsia="SimSun" w:cs="SimSun"/>
                        <w:sz w:val="12"/>
                        <w:szCs w:val="12"/>
                        <w:color w:val="30C0A0"/>
                        <w:spacing w:val="-7"/>
                      </w:rPr>
                      <w:t>四 川</w:t>
                    </w:r>
                    <w:r>
                      <w:rPr>
                        <w:rFonts w:ascii="SimSun" w:hAnsi="SimSun" w:eastAsia="SimSun" w:cs="SimSun"/>
                        <w:sz w:val="12"/>
                        <w:szCs w:val="12"/>
                        <w:color w:val="30C0A0"/>
                        <w:spacing w:val="-8"/>
                      </w:rPr>
                      <w:t xml:space="preserve"> </w:t>
                    </w:r>
                    <w:r>
                      <w:rPr>
                        <w:rFonts w:ascii="SimSun" w:hAnsi="SimSun" w:eastAsia="SimSun" w:cs="SimSun"/>
                        <w:sz w:val="12"/>
                        <w:szCs w:val="12"/>
                        <w:color w:val="30C0A0"/>
                        <w:spacing w:val="-7"/>
                      </w:rPr>
                      <w:t>省</w:t>
                    </w:r>
                    <w:r>
                      <w:rPr>
                        <w:rFonts w:ascii="SimSun" w:hAnsi="SimSun" w:eastAsia="SimSun" w:cs="SimSun"/>
                        <w:sz w:val="12"/>
                        <w:szCs w:val="12"/>
                        <w:color w:val="30C0A0"/>
                        <w:spacing w:val="-10"/>
                      </w:rPr>
                      <w:t xml:space="preserve"> </w:t>
                    </w:r>
                    <w:r>
                      <w:rPr>
                        <w:rFonts w:ascii="SimSun" w:hAnsi="SimSun" w:eastAsia="SimSun" w:cs="SimSun"/>
                        <w:sz w:val="12"/>
                        <w:szCs w:val="12"/>
                        <w:color w:val="30C0A0"/>
                        <w:spacing w:val="-7"/>
                      </w:rPr>
                      <w:t>七</w:t>
                    </w:r>
                    <w:r>
                      <w:rPr>
                        <w:rFonts w:ascii="SimSun" w:hAnsi="SimSun" w:eastAsia="SimSun" w:cs="SimSun"/>
                        <w:sz w:val="12"/>
                        <w:szCs w:val="12"/>
                        <w:color w:val="30C0A0"/>
                        <w:spacing w:val="-6"/>
                      </w:rPr>
                      <w:t xml:space="preserve"> </w:t>
                    </w:r>
                    <w:r>
                      <w:rPr>
                        <w:rFonts w:ascii="SimSun" w:hAnsi="SimSun" w:eastAsia="SimSun" w:cs="SimSun"/>
                        <w:sz w:val="12"/>
                        <w:szCs w:val="12"/>
                        <w:color w:val="30C0A0"/>
                        <w:spacing w:val="-7"/>
                      </w:rPr>
                      <w:t>公</w:t>
                    </w:r>
                  </w:p>
                  <w:p>
                    <w:pPr>
                      <w:ind w:left="6179"/>
                      <w:spacing w:before="40" w:line="174" w:lineRule="auto"/>
                      <w:rPr>
                        <w:rFonts w:ascii="LiSu" w:hAnsi="LiSu" w:eastAsia="LiSu" w:cs="LiSu"/>
                        <w:sz w:val="17"/>
                        <w:szCs w:val="17"/>
                      </w:rPr>
                    </w:pPr>
                    <w:r>
                      <w:rPr>
                        <w:rFonts w:ascii="LiSu" w:hAnsi="LiSu" w:eastAsia="LiSu" w:cs="LiSu"/>
                        <w:sz w:val="17"/>
                        <w:szCs w:val="17"/>
                        <w:color w:val="30E0C0"/>
                        <w:spacing w:val="13"/>
                      </w:rPr>
                      <w:t>食品有限</w:t>
                    </w:r>
                  </w:p>
                  <w:p>
                    <w:pPr>
                      <w:spacing w:line="263" w:lineRule="auto"/>
                      <w:rPr>
                        <w:rFonts w:ascii="Arial"/>
                        <w:sz w:val="21"/>
                      </w:rPr>
                    </w:pPr>
                    <w:r/>
                  </w:p>
                  <w:p>
                    <w:pPr>
                      <w:ind w:left="3609"/>
                      <w:spacing w:before="55" w:line="188" w:lineRule="auto"/>
                      <w:rPr>
                        <w:rFonts w:ascii="Times New Roman" w:hAnsi="Times New Roman" w:eastAsia="Times New Roman" w:cs="Times New Roman"/>
                        <w:sz w:val="19"/>
                        <w:szCs w:val="19"/>
                      </w:rPr>
                    </w:pPr>
                    <w:r>
                      <w:rPr>
                        <w:rFonts w:ascii="Times New Roman" w:hAnsi="Times New Roman" w:eastAsia="Times New Roman" w:cs="Times New Roman"/>
                        <w:sz w:val="19"/>
                        <w:szCs w:val="19"/>
                        <w:color w:val="709020"/>
                        <w:spacing w:val="-4"/>
                      </w:rPr>
                      <w:t>100m</w:t>
                    </w:r>
                  </w:p>
                  <w:p>
                    <w:pPr>
                      <w:spacing w:line="314" w:lineRule="auto"/>
                      <w:rPr>
                        <w:rFonts w:ascii="Arial"/>
                        <w:sz w:val="21"/>
                      </w:rPr>
                    </w:pPr>
                    <w:r/>
                  </w:p>
                  <w:p>
                    <w:pPr>
                      <w:ind w:left="20"/>
                      <w:spacing w:before="62" w:line="202" w:lineRule="auto"/>
                      <w:rPr>
                        <w:rFonts w:ascii="SimHei" w:hAnsi="SimHei" w:eastAsia="SimHei" w:cs="SimHei"/>
                        <w:sz w:val="13"/>
                        <w:szCs w:val="13"/>
                      </w:rPr>
                    </w:pPr>
                    <w:r>
                      <w:rPr>
                        <w:rFonts w:ascii="SimSun" w:hAnsi="SimSun" w:eastAsia="SimSun" w:cs="SimSun"/>
                        <w:sz w:val="19"/>
                        <w:szCs w:val="19"/>
                        <w:color w:val="D07030"/>
                        <w:spacing w:val="-16"/>
                      </w:rPr>
                      <w:t>区</w:t>
                    </w:r>
                    <w:r>
                      <w:rPr>
                        <w:rFonts w:ascii="SimSun" w:hAnsi="SimSun" w:eastAsia="SimSun" w:cs="SimSun"/>
                        <w:sz w:val="19"/>
                        <w:szCs w:val="19"/>
                        <w:color w:val="D07030"/>
                        <w:spacing w:val="46"/>
                      </w:rPr>
                      <w:t xml:space="preserve">  </w:t>
                    </w:r>
                    <w:r>
                      <w:rPr>
                        <w:rFonts w:ascii="SimSun" w:hAnsi="SimSun" w:eastAsia="SimSun" w:cs="SimSun"/>
                        <w:sz w:val="19"/>
                        <w:szCs w:val="19"/>
                        <w:color w:val="D07030"/>
                        <w:spacing w:val="-16"/>
                      </w:rPr>
                      <w:t>园  区  产  业  园  物</w:t>
                    </w:r>
                    <w:r>
                      <w:rPr>
                        <w:rFonts w:ascii="SimSun" w:hAnsi="SimSun" w:eastAsia="SimSun" w:cs="SimSun"/>
                        <w:sz w:val="19"/>
                        <w:szCs w:val="19"/>
                        <w:color w:val="D07030"/>
                      </w:rPr>
                      <w:t xml:space="preserve">                              </w:t>
                    </w:r>
                    <w:r>
                      <w:rPr>
                        <w:rFonts w:ascii="SimHei" w:hAnsi="SimHei" w:eastAsia="SimHei" w:cs="SimHei"/>
                        <w:sz w:val="13"/>
                        <w:szCs w:val="13"/>
                        <w:color w:val="208070"/>
                        <w:spacing w:val="-16"/>
                      </w:rPr>
                      <w:t>保康林医药公司</w:t>
                    </w:r>
                  </w:p>
                  <w:p>
                    <w:pPr>
                      <w:ind w:left="7043"/>
                      <w:spacing w:before="1" w:line="218" w:lineRule="auto"/>
                      <w:rPr>
                        <w:rFonts w:ascii="SimSun" w:hAnsi="SimSun" w:eastAsia="SimSun" w:cs="SimSun"/>
                        <w:sz w:val="23"/>
                        <w:szCs w:val="23"/>
                      </w:rPr>
                    </w:pPr>
                    <w:r>
                      <w:rPr>
                        <w:rFonts w:ascii="SimSun" w:hAnsi="SimSun" w:eastAsia="SimSun" w:cs="SimSun"/>
                        <w:sz w:val="23"/>
                        <w:szCs w:val="23"/>
                        <w:b/>
                        <w:bCs/>
                        <w:color w:val="C06050"/>
                        <w:spacing w:val="-4"/>
                      </w:rPr>
                      <w:t>州区高级职</w:t>
                    </w:r>
                  </w:p>
                  <w:p>
                    <w:pPr>
                      <w:ind w:left="4640"/>
                      <w:spacing w:before="8" w:line="189" w:lineRule="auto"/>
                      <w:rPr>
                        <w:rFonts w:ascii="SimHei" w:hAnsi="SimHei" w:eastAsia="SimHei" w:cs="SimHei"/>
                        <w:sz w:val="13"/>
                        <w:szCs w:val="13"/>
                      </w:rPr>
                    </w:pPr>
                    <w:r>
                      <w:rPr>
                        <w:rFonts w:ascii="SimHei" w:hAnsi="SimHei" w:eastAsia="SimHei" w:cs="SimHei"/>
                        <w:sz w:val="13"/>
                        <w:szCs w:val="13"/>
                        <w:color w:val="406040"/>
                        <w:spacing w:val="-2"/>
                      </w:rPr>
                      <w:t>面食品</w:t>
                    </w:r>
                  </w:p>
                  <w:p>
                    <w:pPr>
                      <w:ind w:left="4269"/>
                      <w:spacing w:line="220" w:lineRule="auto"/>
                      <w:rPr>
                        <w:rFonts w:ascii="SimSun" w:hAnsi="SimSun" w:eastAsia="SimSun" w:cs="SimSun"/>
                        <w:sz w:val="18"/>
                        <w:szCs w:val="18"/>
                      </w:rPr>
                    </w:pPr>
                    <w:r>
                      <w:rPr>
                        <w:rFonts w:ascii="SimSun" w:hAnsi="SimSun" w:eastAsia="SimSun" w:cs="SimSun"/>
                        <w:sz w:val="18"/>
                        <w:szCs w:val="18"/>
                      </w:rPr>
                      <w:t>技</w:t>
                    </w:r>
                  </w:p>
                  <w:p>
                    <w:pPr>
                      <w:spacing w:line="263" w:lineRule="auto"/>
                      <w:rPr>
                        <w:rFonts w:ascii="Arial"/>
                        <w:sz w:val="21"/>
                      </w:rPr>
                    </w:pPr>
                    <w:r/>
                  </w:p>
                  <w:p>
                    <w:pPr>
                      <w:spacing w:line="263" w:lineRule="auto"/>
                      <w:rPr>
                        <w:rFonts w:ascii="Arial"/>
                        <w:sz w:val="21"/>
                      </w:rPr>
                    </w:pPr>
                    <w:r/>
                  </w:p>
                  <w:p>
                    <w:pPr>
                      <w:ind w:right="9"/>
                      <w:spacing w:before="43" w:line="220" w:lineRule="auto"/>
                      <w:jc w:val="right"/>
                      <w:rPr>
                        <w:rFonts w:ascii="SimSun" w:hAnsi="SimSun" w:eastAsia="SimSun" w:cs="SimSun"/>
                        <w:sz w:val="13"/>
                        <w:szCs w:val="13"/>
                      </w:rPr>
                    </w:pPr>
                    <w:r>
                      <w:rPr>
                        <w:rFonts w:ascii="SimSun" w:hAnsi="SimSun" w:eastAsia="SimSun" w:cs="SimSun"/>
                        <w:sz w:val="13"/>
                        <w:szCs w:val="13"/>
                        <w:spacing w:val="-9"/>
                      </w:rPr>
                      <w:t>了实袖小学</w:t>
                    </w:r>
                  </w:p>
                  <w:p>
                    <w:pPr>
                      <w:ind w:left="1190"/>
                      <w:spacing w:before="25" w:line="212" w:lineRule="auto"/>
                      <w:rPr>
                        <w:rFonts w:ascii="SimHei" w:hAnsi="SimHei" w:eastAsia="SimHei" w:cs="SimHei"/>
                        <w:sz w:val="13"/>
                        <w:szCs w:val="13"/>
                      </w:rPr>
                    </w:pPr>
                    <w:r>
                      <w:rPr>
                        <w:rFonts w:ascii="SimHei" w:hAnsi="SimHei" w:eastAsia="SimHei" w:cs="SimHei"/>
                        <w:sz w:val="13"/>
                        <w:szCs w:val="13"/>
                        <w:color w:val="30B0A0"/>
                        <w:spacing w:val="-9"/>
                      </w:rPr>
                      <w:t>瑞阳市安州区</w:t>
                    </w:r>
                  </w:p>
                  <w:p>
                    <w:pPr>
                      <w:ind w:left="1190"/>
                      <w:spacing w:before="1" w:line="198" w:lineRule="auto"/>
                      <w:rPr>
                        <w:rFonts w:ascii="SimSun" w:hAnsi="SimSun" w:eastAsia="SimSun" w:cs="SimSun"/>
                        <w:sz w:val="13"/>
                        <w:szCs w:val="13"/>
                      </w:rPr>
                    </w:pPr>
                    <w:r>
                      <w:rPr>
                        <w:rFonts w:ascii="SimSun" w:hAnsi="SimSun" w:eastAsia="SimSun" w:cs="SimSun"/>
                        <w:sz w:val="13"/>
                        <w:szCs w:val="13"/>
                        <w:color w:val="20A090"/>
                        <w:spacing w:val="-7"/>
                      </w:rPr>
                      <w:t>锐林商贸有限</w:t>
                    </w:r>
                  </w:p>
                  <w:p>
                    <w:pPr>
                      <w:ind w:left="1190"/>
                      <w:spacing w:line="198" w:lineRule="auto"/>
                      <w:rPr>
                        <w:rFonts w:ascii="SimSun" w:hAnsi="SimSun" w:eastAsia="SimSun" w:cs="SimSun"/>
                        <w:sz w:val="13"/>
                        <w:szCs w:val="13"/>
                      </w:rPr>
                    </w:pPr>
                    <w:r>
                      <w:rPr>
                        <w:rFonts w:ascii="SimSun" w:hAnsi="SimSun" w:eastAsia="SimSun" w:cs="SimSun"/>
                        <w:sz w:val="13"/>
                        <w:szCs w:val="13"/>
                        <w:color w:val="4090A0"/>
                        <w:spacing w:val="-10"/>
                      </w:rPr>
                      <w:t>公司年产2400</w:t>
                    </w:r>
                  </w:p>
                  <w:p>
                    <w:pPr>
                      <w:ind w:left="1190"/>
                      <w:spacing w:line="200" w:lineRule="auto"/>
                      <w:rPr>
                        <w:rFonts w:ascii="SimSun" w:hAnsi="SimSun" w:eastAsia="SimSun" w:cs="SimSun"/>
                        <w:sz w:val="13"/>
                        <w:szCs w:val="13"/>
                      </w:rPr>
                    </w:pPr>
                    <w:r>
                      <w:rPr>
                        <w:rFonts w:ascii="SimSun" w:hAnsi="SimSun" w:eastAsia="SimSun" w:cs="SimSun"/>
                        <w:sz w:val="13"/>
                        <w:szCs w:val="13"/>
                        <w:color w:val="30C0A0"/>
                        <w:spacing w:val="-9"/>
                      </w:rPr>
                      <w:t>吨鸡蛋干生产</w:t>
                    </w:r>
                  </w:p>
                  <w:p>
                    <w:pPr>
                      <w:ind w:left="1190"/>
                      <w:spacing w:before="1" w:line="177" w:lineRule="auto"/>
                      <w:rPr>
                        <w:rFonts w:ascii="SimSun" w:hAnsi="SimSun" w:eastAsia="SimSun" w:cs="SimSun"/>
                        <w:sz w:val="13"/>
                        <w:szCs w:val="13"/>
                      </w:rPr>
                    </w:pPr>
                    <w:r>
                      <w:rPr>
                        <w:rFonts w:ascii="SimSun" w:hAnsi="SimSun" w:eastAsia="SimSun" w:cs="SimSun"/>
                        <w:sz w:val="13"/>
                        <w:szCs w:val="13"/>
                        <w:color w:val="50B0B0"/>
                        <w:spacing w:val="-1"/>
                      </w:rPr>
                      <w:t>项目(不段卫</w:t>
                    </w:r>
                  </w:p>
                  <w:p>
                    <w:pPr>
                      <w:ind w:left="1190"/>
                      <w:spacing w:line="216" w:lineRule="auto"/>
                      <w:rPr>
                        <w:rFonts w:ascii="SimHei" w:hAnsi="SimHei" w:eastAsia="SimHei" w:cs="SimHei"/>
                        <w:sz w:val="19"/>
                        <w:szCs w:val="19"/>
                      </w:rPr>
                    </w:pPr>
                    <w:r>
                      <w:rPr>
                        <w:rFonts w:ascii="Times New Roman" w:hAnsi="Times New Roman" w:eastAsia="Times New Roman" w:cs="Times New Roman"/>
                        <w:sz w:val="13"/>
                        <w:szCs w:val="13"/>
                        <w:color w:val="40A090"/>
                        <w:spacing w:val="-5"/>
                        <w:position w:val="2"/>
                      </w:rPr>
                      <w:t>4      </w:t>
                    </w:r>
                    <w:r>
                      <w:rPr>
                        <w:rFonts w:ascii="SimHei" w:hAnsi="SimHei" w:eastAsia="SimHei" w:cs="SimHei"/>
                        <w:sz w:val="19"/>
                        <w:szCs w:val="19"/>
                        <w:color w:val="509090"/>
                        <w:spacing w:val="-5"/>
                      </w:rPr>
                      <w:t>驴距离</w:t>
                    </w:r>
                  </w:p>
                  <w:p>
                    <w:pPr>
                      <w:ind w:left="3910"/>
                      <w:spacing w:before="62" w:line="220" w:lineRule="auto"/>
                      <w:rPr>
                        <w:rFonts w:ascii="SimSun" w:hAnsi="SimSun" w:eastAsia="SimSun" w:cs="SimSun"/>
                        <w:sz w:val="13"/>
                        <w:szCs w:val="13"/>
                      </w:rPr>
                    </w:pPr>
                    <w:r>
                      <w:rPr>
                        <w:rFonts w:ascii="SimSun" w:hAnsi="SimSun" w:eastAsia="SimSun" w:cs="SimSun"/>
                        <w:sz w:val="13"/>
                        <w:szCs w:val="13"/>
                        <w:color w:val="30C0C0"/>
                        <w:spacing w:val="14"/>
                      </w:rPr>
                      <w:t>(卫生防护距离50m)</w:t>
                    </w:r>
                  </w:p>
                  <w:p>
                    <w:pPr>
                      <w:ind w:left="1329"/>
                      <w:spacing w:before="116" w:line="219" w:lineRule="auto"/>
                      <w:rPr>
                        <w:rFonts w:ascii="SimSun" w:hAnsi="SimSun" w:eastAsia="SimSun" w:cs="SimSun"/>
                        <w:sz w:val="19"/>
                        <w:szCs w:val="19"/>
                      </w:rPr>
                    </w:pPr>
                    <w:r>
                      <w:rPr>
                        <w:rFonts w:ascii="SimSun" w:hAnsi="SimSun" w:eastAsia="SimSun" w:cs="SimSun"/>
                        <w:sz w:val="19"/>
                        <w:szCs w:val="19"/>
                        <w:spacing w:val="-7"/>
                      </w:rPr>
                      <w:t>源粮油</w:t>
                    </w:r>
                  </w:p>
                  <w:p>
                    <w:pPr>
                      <w:ind w:left="4491"/>
                      <w:spacing w:before="211" w:line="172" w:lineRule="auto"/>
                      <w:rPr>
                        <w:rFonts w:ascii="SimSun" w:hAnsi="SimSun" w:eastAsia="SimSun" w:cs="SimSun"/>
                        <w:sz w:val="13"/>
                        <w:szCs w:val="13"/>
                      </w:rPr>
                    </w:pPr>
                    <w:r>
                      <w:rPr>
                        <w:rFonts w:ascii="SimSun" w:hAnsi="SimSun" w:eastAsia="SimSun" w:cs="SimSun"/>
                        <w:sz w:val="13"/>
                        <w:szCs w:val="13"/>
                        <w:b/>
                        <w:bCs/>
                        <w:color w:val="30D0C0"/>
                        <w:spacing w:val="-11"/>
                        <w:w w:val="97"/>
                      </w:rPr>
                      <w:t>饲料添加剂车间</w:t>
                    </w:r>
                  </w:p>
                  <w:p>
                    <w:pPr>
                      <w:ind w:left="2429"/>
                      <w:spacing w:before="1" w:line="205" w:lineRule="auto"/>
                      <w:rPr>
                        <w:rFonts w:ascii="SimSun" w:hAnsi="SimSun" w:eastAsia="SimSun" w:cs="SimSun"/>
                        <w:sz w:val="13"/>
                        <w:szCs w:val="13"/>
                      </w:rPr>
                    </w:pPr>
                    <w:r>
                      <w:rPr>
                        <w:rFonts w:ascii="SimSun" w:hAnsi="SimSun" w:eastAsia="SimSun" w:cs="SimSun"/>
                        <w:sz w:val="13"/>
                        <w:szCs w:val="13"/>
                        <w:color w:val="208070"/>
                        <w:spacing w:val="-9"/>
                      </w:rPr>
                      <w:t>锦阳九州通医</w:t>
                    </w:r>
                  </w:p>
                  <w:p>
                    <w:pPr>
                      <w:ind w:left="2450"/>
                      <w:spacing w:before="17" w:line="220" w:lineRule="auto"/>
                      <w:rPr>
                        <w:rFonts w:ascii="SimSun" w:hAnsi="SimSun" w:eastAsia="SimSun" w:cs="SimSun"/>
                        <w:sz w:val="13"/>
                        <w:szCs w:val="13"/>
                      </w:rPr>
                    </w:pPr>
                    <w:r>
                      <w:rPr>
                        <w:rFonts w:ascii="SimSun" w:hAnsi="SimSun" w:eastAsia="SimSun" w:cs="SimSun"/>
                        <w:sz w:val="13"/>
                        <w:szCs w:val="13"/>
                        <w:spacing w:val="-7"/>
                      </w:rPr>
                      <w:t>药有限公司</w:t>
                    </w:r>
                  </w:p>
                  <w:p>
                    <w:pPr>
                      <w:ind w:left="1353"/>
                      <w:spacing w:before="14" w:line="219" w:lineRule="auto"/>
                      <w:rPr>
                        <w:rFonts w:ascii="SimSun" w:hAnsi="SimSun" w:eastAsia="SimSun" w:cs="SimSun"/>
                        <w:sz w:val="23"/>
                        <w:szCs w:val="23"/>
                      </w:rPr>
                    </w:pPr>
                    <w:r>
                      <w:rPr>
                        <w:rFonts w:ascii="SimSun" w:hAnsi="SimSun" w:eastAsia="SimSun" w:cs="SimSun"/>
                        <w:sz w:val="23"/>
                        <w:szCs w:val="23"/>
                        <w:b/>
                        <w:bCs/>
                        <w:spacing w:val="5"/>
                      </w:rPr>
                      <w:t>图1.6-3本项目与周边企业卫生防护距</w:t>
                    </w:r>
                    <w:r>
                      <w:rPr>
                        <w:rFonts w:ascii="SimSun" w:hAnsi="SimSun" w:eastAsia="SimSun" w:cs="SimSun"/>
                        <w:sz w:val="23"/>
                        <w:szCs w:val="23"/>
                        <w:b/>
                        <w:bCs/>
                        <w:spacing w:val="4"/>
                      </w:rPr>
                      <w:t>离关系图</w:t>
                    </w:r>
                  </w:p>
                </w:txbxContent>
              </v:textbox>
            </v:shape>
            <v:shape id="_x0000_s48" style="position:absolute;left:19;top:77;width:1219;height:753;" filled="false" stroked="false" type="#_x0000_t202">
              <v:fill on="false"/>
              <v:stroke on="false"/>
              <v:path/>
              <v:imagedata o:title=""/>
              <o:lock v:ext="edit" aspectratio="false"/>
              <v:textbox inset="0mm,0mm,0mm,0mm">
                <w:txbxContent>
                  <w:p>
                    <w:pPr>
                      <w:ind w:left="20"/>
                      <w:spacing w:before="19" w:line="219" w:lineRule="auto"/>
                      <w:rPr>
                        <w:rFonts w:ascii="SimSun" w:hAnsi="SimSun" w:eastAsia="SimSun" w:cs="SimSun"/>
                        <w:sz w:val="19"/>
                        <w:szCs w:val="19"/>
                      </w:rPr>
                    </w:pPr>
                    <w:r>
                      <w:rPr>
                        <w:rFonts w:ascii="SimSun" w:hAnsi="SimSun" w:eastAsia="SimSun" w:cs="SimSun"/>
                        <w:sz w:val="19"/>
                        <w:szCs w:val="19"/>
                        <w:color w:val="30C0C0"/>
                        <w:spacing w:val="6"/>
                      </w:rPr>
                      <w:t>威马汽车科技</w:t>
                    </w:r>
                  </w:p>
                  <w:p>
                    <w:pPr>
                      <w:ind w:left="60"/>
                      <w:spacing w:before="25" w:line="219" w:lineRule="auto"/>
                      <w:rPr>
                        <w:rFonts w:ascii="SimSun" w:hAnsi="SimSun" w:eastAsia="SimSun" w:cs="SimSun"/>
                        <w:sz w:val="19"/>
                        <w:szCs w:val="19"/>
                      </w:rPr>
                    </w:pPr>
                    <w:r>
                      <w:rPr>
                        <w:rFonts w:ascii="SimSun" w:hAnsi="SimSun" w:eastAsia="SimSun" w:cs="SimSun"/>
                        <w:sz w:val="19"/>
                        <w:szCs w:val="19"/>
                        <w:color w:val="30C0D0"/>
                        <w:spacing w:val="-2"/>
                      </w:rPr>
                      <w:t>(四川)</w:t>
                    </w:r>
                    <w:r>
                      <w:rPr>
                        <w:rFonts w:ascii="SimSun" w:hAnsi="SimSun" w:eastAsia="SimSun" w:cs="SimSun"/>
                        <w:sz w:val="19"/>
                        <w:szCs w:val="19"/>
                        <w:color w:val="40C0C0"/>
                        <w:spacing w:val="-2"/>
                      </w:rPr>
                      <w:t>有</w:t>
                    </w:r>
                    <w:r>
                      <w:rPr>
                        <w:rFonts w:ascii="SimSun" w:hAnsi="SimSun" w:eastAsia="SimSun" w:cs="SimSun"/>
                        <w:sz w:val="19"/>
                        <w:szCs w:val="19"/>
                        <w:color w:val="40C0C0"/>
                        <w:spacing w:val="27"/>
                      </w:rPr>
                      <w:t xml:space="preserve"> </w:t>
                    </w:r>
                    <w:r>
                      <w:rPr>
                        <w:rFonts w:ascii="SimSun" w:hAnsi="SimSun" w:eastAsia="SimSun" w:cs="SimSun"/>
                        <w:sz w:val="19"/>
                        <w:szCs w:val="19"/>
                        <w:color w:val="40C0C0"/>
                        <w:spacing w:val="-2"/>
                      </w:rPr>
                      <w:t>限</w:t>
                    </w:r>
                  </w:p>
                  <w:p>
                    <w:pPr>
                      <w:ind w:left="20"/>
                      <w:spacing w:before="115" w:line="167" w:lineRule="auto"/>
                      <w:rPr>
                        <w:rFonts w:ascii="LiSu" w:hAnsi="LiSu" w:eastAsia="LiSu" w:cs="LiSu"/>
                        <w:sz w:val="19"/>
                        <w:szCs w:val="19"/>
                      </w:rPr>
                    </w:pPr>
                    <w:r>
                      <w:rPr>
                        <w:rFonts w:ascii="LiSu" w:hAnsi="LiSu" w:eastAsia="LiSu" w:cs="LiSu"/>
                        <w:sz w:val="19"/>
                        <w:szCs w:val="19"/>
                        <w:color w:val="40A0A0"/>
                        <w:spacing w:val="-2"/>
                      </w:rPr>
                      <w:t>公司</w:t>
                    </w:r>
                  </w:p>
                </w:txbxContent>
              </v:textbox>
            </v:shape>
            <v:shape id="_x0000_s50" style="position:absolute;left:6299;top:3354;width:1801;height:397;" filled="false" stroked="false" type="#_x0000_t202">
              <v:fill on="false"/>
              <v:stroke on="false"/>
              <v:path/>
              <v:imagedata o:title=""/>
              <o:lock v:ext="edit" aspectratio="false"/>
              <v:textbox inset="0mm,0mm,0mm,0mm">
                <w:txbxContent>
                  <w:p>
                    <w:pPr>
                      <w:ind w:left="20"/>
                      <w:spacing w:before="19" w:line="219" w:lineRule="auto"/>
                      <w:rPr>
                        <w:rFonts w:ascii="SimSun" w:hAnsi="SimSun" w:eastAsia="SimSun" w:cs="SimSun"/>
                        <w:sz w:val="11"/>
                        <w:szCs w:val="11"/>
                      </w:rPr>
                    </w:pPr>
                    <w:r>
                      <w:rPr>
                        <w:rFonts w:ascii="SimSun" w:hAnsi="SimSun" w:eastAsia="SimSun" w:cs="SimSun"/>
                        <w:sz w:val="11"/>
                        <w:szCs w:val="11"/>
                        <w:color w:val="30D0C0"/>
                        <w:spacing w:val="-7"/>
                      </w:rPr>
                      <w:t>四</w:t>
                    </w:r>
                    <w:r>
                      <w:rPr>
                        <w:rFonts w:ascii="SimSun" w:hAnsi="SimSun" w:eastAsia="SimSun" w:cs="SimSun"/>
                        <w:sz w:val="11"/>
                        <w:szCs w:val="11"/>
                        <w:color w:val="30D0C0"/>
                        <w:spacing w:val="15"/>
                        <w:w w:val="101"/>
                      </w:rPr>
                      <w:t xml:space="preserve"> </w:t>
                    </w:r>
                    <w:r>
                      <w:rPr>
                        <w:rFonts w:ascii="SimSun" w:hAnsi="SimSun" w:eastAsia="SimSun" w:cs="SimSun"/>
                        <w:sz w:val="11"/>
                        <w:szCs w:val="11"/>
                        <w:color w:val="30D0C0"/>
                        <w:spacing w:val="-7"/>
                      </w:rPr>
                      <w:t>川</w:t>
                    </w:r>
                    <w:r>
                      <w:rPr>
                        <w:rFonts w:ascii="SimSun" w:hAnsi="SimSun" w:eastAsia="SimSun" w:cs="SimSun"/>
                        <w:sz w:val="11"/>
                        <w:szCs w:val="11"/>
                        <w:color w:val="30D0C0"/>
                        <w:spacing w:val="7"/>
                      </w:rPr>
                      <w:t xml:space="preserve"> </w:t>
                    </w:r>
                    <w:r>
                      <w:rPr>
                        <w:rFonts w:ascii="SimSun" w:hAnsi="SimSun" w:eastAsia="SimSun" w:cs="SimSun"/>
                        <w:sz w:val="11"/>
                        <w:szCs w:val="11"/>
                        <w:color w:val="30D0C0"/>
                        <w:spacing w:val="-7"/>
                      </w:rPr>
                      <w:t>辉</w:t>
                    </w:r>
                    <w:r>
                      <w:rPr>
                        <w:rFonts w:ascii="SimSun" w:hAnsi="SimSun" w:eastAsia="SimSun" w:cs="SimSun"/>
                        <w:sz w:val="11"/>
                        <w:szCs w:val="11"/>
                        <w:color w:val="30D0C0"/>
                        <w:spacing w:val="8"/>
                      </w:rPr>
                      <w:t xml:space="preserve"> </w:t>
                    </w:r>
                    <w:r>
                      <w:rPr>
                        <w:rFonts w:ascii="SimSun" w:hAnsi="SimSun" w:eastAsia="SimSun" w:cs="SimSun"/>
                        <w:sz w:val="11"/>
                        <w:szCs w:val="11"/>
                        <w:color w:val="30D0C0"/>
                        <w:spacing w:val="-7"/>
                      </w:rPr>
                      <w:t>达</w:t>
                    </w:r>
                    <w:r>
                      <w:rPr>
                        <w:rFonts w:ascii="SimSun" w:hAnsi="SimSun" w:eastAsia="SimSun" w:cs="SimSun"/>
                        <w:sz w:val="11"/>
                        <w:szCs w:val="11"/>
                        <w:color w:val="30D0C0"/>
                        <w:spacing w:val="8"/>
                      </w:rPr>
                      <w:t xml:space="preserve"> </w:t>
                    </w:r>
                    <w:r>
                      <w:rPr>
                        <w:rFonts w:ascii="SimSun" w:hAnsi="SimSun" w:eastAsia="SimSun" w:cs="SimSun"/>
                        <w:sz w:val="11"/>
                        <w:szCs w:val="11"/>
                        <w:color w:val="30D0C0"/>
                        <w:spacing w:val="-7"/>
                      </w:rPr>
                      <w:t>粮</w:t>
                    </w:r>
                    <w:r>
                      <w:rPr>
                        <w:rFonts w:ascii="SimSun" w:hAnsi="SimSun" w:eastAsia="SimSun" w:cs="SimSun"/>
                        <w:sz w:val="11"/>
                        <w:szCs w:val="11"/>
                        <w:color w:val="30D0C0"/>
                        <w:spacing w:val="10"/>
                      </w:rPr>
                      <w:t xml:space="preserve"> </w:t>
                    </w:r>
                    <w:r>
                      <w:rPr>
                        <w:rFonts w:ascii="SimSun" w:hAnsi="SimSun" w:eastAsia="SimSun" w:cs="SimSun"/>
                        <w:sz w:val="11"/>
                        <w:szCs w:val="11"/>
                        <w:color w:val="30D0C0"/>
                        <w:spacing w:val="-7"/>
                      </w:rPr>
                      <w:t>油</w:t>
                    </w:r>
                    <w:r>
                      <w:rPr>
                        <w:rFonts w:ascii="SimSun" w:hAnsi="SimSun" w:eastAsia="SimSun" w:cs="SimSun"/>
                        <w:sz w:val="11"/>
                        <w:szCs w:val="11"/>
                        <w:color w:val="30D0C0"/>
                        <w:spacing w:val="9"/>
                      </w:rPr>
                      <w:t xml:space="preserve"> </w:t>
                    </w:r>
                    <w:r>
                      <w:rPr>
                        <w:rFonts w:ascii="SimSun" w:hAnsi="SimSun" w:eastAsia="SimSun" w:cs="SimSun"/>
                        <w:sz w:val="11"/>
                        <w:szCs w:val="11"/>
                        <w:color w:val="30D0C0"/>
                        <w:spacing w:val="-7"/>
                      </w:rPr>
                      <w:t>有</w:t>
                    </w:r>
                    <w:r>
                      <w:rPr>
                        <w:rFonts w:ascii="SimSun" w:hAnsi="SimSun" w:eastAsia="SimSun" w:cs="SimSun"/>
                        <w:sz w:val="11"/>
                        <w:szCs w:val="11"/>
                        <w:color w:val="30D0C0"/>
                        <w:spacing w:val="16"/>
                      </w:rPr>
                      <w:t xml:space="preserve"> </w:t>
                    </w:r>
                    <w:r>
                      <w:rPr>
                        <w:rFonts w:ascii="SimSun" w:hAnsi="SimSun" w:eastAsia="SimSun" w:cs="SimSun"/>
                        <w:sz w:val="11"/>
                        <w:szCs w:val="11"/>
                        <w:color w:val="30D0C0"/>
                        <w:spacing w:val="-7"/>
                      </w:rPr>
                      <w:t>限</w:t>
                    </w:r>
                    <w:r>
                      <w:rPr>
                        <w:rFonts w:ascii="SimSun" w:hAnsi="SimSun" w:eastAsia="SimSun" w:cs="SimSun"/>
                        <w:sz w:val="11"/>
                        <w:szCs w:val="11"/>
                        <w:color w:val="30D0C0"/>
                        <w:spacing w:val="11"/>
                      </w:rPr>
                      <w:t xml:space="preserve"> </w:t>
                    </w:r>
                    <w:r>
                      <w:rPr>
                        <w:rFonts w:ascii="SimSun" w:hAnsi="SimSun" w:eastAsia="SimSun" w:cs="SimSun"/>
                        <w:sz w:val="11"/>
                        <w:szCs w:val="11"/>
                        <w:color w:val="30D0C0"/>
                        <w:spacing w:val="-7"/>
                      </w:rPr>
                      <w:t>公</w:t>
                    </w:r>
                    <w:r>
                      <w:rPr>
                        <w:rFonts w:ascii="SimSun" w:hAnsi="SimSun" w:eastAsia="SimSun" w:cs="SimSun"/>
                        <w:sz w:val="11"/>
                        <w:szCs w:val="11"/>
                        <w:color w:val="30D0C0"/>
                        <w:spacing w:val="13"/>
                      </w:rPr>
                      <w:t xml:space="preserve"> </w:t>
                    </w:r>
                    <w:r>
                      <w:rPr>
                        <w:rFonts w:ascii="SimSun" w:hAnsi="SimSun" w:eastAsia="SimSun" w:cs="SimSun"/>
                        <w:sz w:val="11"/>
                        <w:szCs w:val="11"/>
                        <w:color w:val="30D0C0"/>
                        <w:spacing w:val="-7"/>
                      </w:rPr>
                      <w:t>司</w:t>
                    </w:r>
                  </w:p>
                  <w:p>
                    <w:pPr>
                      <w:ind w:left="20"/>
                      <w:spacing w:before="117" w:line="214" w:lineRule="auto"/>
                      <w:rPr>
                        <w:rFonts w:ascii="SimSun" w:hAnsi="SimSun" w:eastAsia="SimSun" w:cs="SimSun"/>
                        <w:sz w:val="11"/>
                        <w:szCs w:val="11"/>
                      </w:rPr>
                    </w:pPr>
                    <w:r>
                      <w:rPr>
                        <w:rFonts w:ascii="SimSun" w:hAnsi="SimSun" w:eastAsia="SimSun" w:cs="SimSun"/>
                        <w:sz w:val="11"/>
                        <w:szCs w:val="11"/>
                        <w:color w:val="309080"/>
                        <w:spacing w:val="-6"/>
                      </w:rPr>
                      <w:t>( 卫 生 防 护</w:t>
                    </w:r>
                    <w:r>
                      <w:rPr>
                        <w:rFonts w:ascii="SimSun" w:hAnsi="SimSun" w:eastAsia="SimSun" w:cs="SimSun"/>
                        <w:sz w:val="11"/>
                        <w:szCs w:val="11"/>
                        <w:color w:val="309080"/>
                        <w:spacing w:val="-4"/>
                      </w:rPr>
                      <w:t xml:space="preserve"> </w:t>
                    </w:r>
                    <w:r>
                      <w:rPr>
                        <w:rFonts w:ascii="SimSun" w:hAnsi="SimSun" w:eastAsia="SimSun" w:cs="SimSun"/>
                        <w:sz w:val="11"/>
                        <w:szCs w:val="11"/>
                        <w:color w:val="309080"/>
                        <w:spacing w:val="-6"/>
                      </w:rPr>
                      <w:t>距</w:t>
                    </w:r>
                    <w:r>
                      <w:rPr>
                        <w:rFonts w:ascii="SimSun" w:hAnsi="SimSun" w:eastAsia="SimSun" w:cs="SimSun"/>
                        <w:sz w:val="11"/>
                        <w:szCs w:val="11"/>
                        <w:color w:val="309080"/>
                        <w:spacing w:val="-5"/>
                      </w:rPr>
                      <w:t xml:space="preserve"> </w:t>
                    </w:r>
                    <w:r>
                      <w:rPr>
                        <w:rFonts w:ascii="SimSun" w:hAnsi="SimSun" w:eastAsia="SimSun" w:cs="SimSun"/>
                        <w:sz w:val="11"/>
                        <w:szCs w:val="11"/>
                        <w:color w:val="309080"/>
                        <w:spacing w:val="-6"/>
                      </w:rPr>
                      <w:t>离 5</w:t>
                    </w:r>
                    <w:r>
                      <w:rPr>
                        <w:rFonts w:ascii="SimSun" w:hAnsi="SimSun" w:eastAsia="SimSun" w:cs="SimSun"/>
                        <w:sz w:val="11"/>
                        <w:szCs w:val="11"/>
                        <w:color w:val="309080"/>
                        <w:spacing w:val="-7"/>
                      </w:rPr>
                      <w:t xml:space="preserve"> </w:t>
                    </w:r>
                    <w:r>
                      <w:rPr>
                        <w:rFonts w:ascii="SimSun" w:hAnsi="SimSun" w:eastAsia="SimSun" w:cs="SimSun"/>
                        <w:sz w:val="11"/>
                        <w:szCs w:val="11"/>
                        <w:color w:val="309080"/>
                        <w:spacing w:val="-6"/>
                      </w:rPr>
                      <w:t>0my</w:t>
                    </w:r>
                    <w:r>
                      <w:rPr>
                        <w:rFonts w:ascii="SimSun" w:hAnsi="SimSun" w:eastAsia="SimSun" w:cs="SimSun"/>
                        <w:sz w:val="11"/>
                        <w:szCs w:val="11"/>
                        <w:color w:val="309080"/>
                        <w:spacing w:val="3"/>
                      </w:rPr>
                      <w:t xml:space="preserve">      </w:t>
                    </w:r>
                    <w:r>
                      <w:rPr>
                        <w:rFonts w:ascii="SimSun" w:hAnsi="SimSun" w:eastAsia="SimSun" w:cs="SimSun"/>
                        <w:sz w:val="11"/>
                        <w:szCs w:val="11"/>
                        <w:color w:val="309080"/>
                        <w:spacing w:val="-6"/>
                      </w:rPr>
                      <w:t>p0m</w:t>
                    </w:r>
                  </w:p>
                </w:txbxContent>
              </v:textbox>
            </v:shape>
            <v:shape id="_x0000_s52" style="position:absolute;left:4209;top:3333;width:860;height:592;"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10"/>
                        <w:szCs w:val="10"/>
                      </w:rPr>
                    </w:pPr>
                    <w:r>
                      <w:rPr>
                        <w:rFonts w:ascii="SimSun" w:hAnsi="SimSun" w:eastAsia="SimSun" w:cs="SimSun"/>
                        <w:sz w:val="10"/>
                        <w:szCs w:val="10"/>
                        <w:color w:val="206050"/>
                        <w:spacing w:val="18"/>
                      </w:rPr>
                      <w:t>四川海平残检</w:t>
                    </w:r>
                  </w:p>
                  <w:p>
                    <w:pPr>
                      <w:ind w:left="20"/>
                      <w:spacing w:before="60" w:line="216" w:lineRule="auto"/>
                      <w:rPr>
                        <w:rFonts w:ascii="SimHei" w:hAnsi="SimHei" w:eastAsia="SimHei" w:cs="SimHei"/>
                        <w:sz w:val="10"/>
                        <w:szCs w:val="10"/>
                      </w:rPr>
                    </w:pPr>
                    <w:r>
                      <w:rPr>
                        <w:rFonts w:ascii="SimHei" w:hAnsi="SimHei" w:eastAsia="SimHei" w:cs="SimHei"/>
                        <w:sz w:val="10"/>
                        <w:szCs w:val="10"/>
                        <w:color w:val="30B0B0"/>
                        <w:spacing w:val="17"/>
                      </w:rPr>
                      <w:t>测技术有限责</w:t>
                    </w:r>
                  </w:p>
                  <w:p>
                    <w:pPr>
                      <w:ind w:left="60"/>
                      <w:spacing w:line="176" w:lineRule="auto"/>
                      <w:rPr>
                        <w:rFonts w:ascii="LiSu" w:hAnsi="LiSu" w:eastAsia="LiSu" w:cs="LiSu"/>
                        <w:sz w:val="13"/>
                        <w:szCs w:val="13"/>
                      </w:rPr>
                    </w:pPr>
                    <w:r>
                      <w:rPr>
                        <w:rFonts w:ascii="LiSu" w:hAnsi="LiSu" w:eastAsia="LiSu" w:cs="LiSu"/>
                        <w:sz w:val="13"/>
                        <w:szCs w:val="13"/>
                        <w:spacing w:val="8"/>
                      </w:rPr>
                      <w:t>化公司试验</w:t>
                    </w:r>
                  </w:p>
                  <w:p>
                    <w:pPr>
                      <w:ind w:right="1"/>
                      <w:spacing w:line="219" w:lineRule="auto"/>
                      <w:jc w:val="right"/>
                      <w:rPr>
                        <w:rFonts w:ascii="SimSun" w:hAnsi="SimSun" w:eastAsia="SimSun" w:cs="SimSun"/>
                        <w:sz w:val="13"/>
                        <w:szCs w:val="13"/>
                      </w:rPr>
                    </w:pPr>
                    <w:r>
                      <w:rPr>
                        <w:rFonts w:ascii="SimSun" w:hAnsi="SimSun" w:eastAsia="SimSun" w:cs="SimSun"/>
                        <w:sz w:val="13"/>
                        <w:szCs w:val="13"/>
                        <w:color w:val="40A090"/>
                        <w:spacing w:val="-16"/>
                      </w:rPr>
                      <w:t>合楼及厂房顶日</w:t>
                    </w:r>
                  </w:p>
                </w:txbxContent>
              </v:textbox>
            </v:shape>
            <v:shape id="_x0000_s54" style="position:absolute;left:4679;top:4794;width:915;height:303;" filled="false" stroked="false" type="#_x0000_t202">
              <v:fill on="false"/>
              <v:stroke on="false"/>
              <v:path/>
              <v:imagedata o:title=""/>
              <o:lock v:ext="edit" aspectratio="false"/>
              <v:textbox inset="0mm,0mm,0mm,0mm">
                <w:txbxContent>
                  <w:p>
                    <w:pPr>
                      <w:ind w:left="20"/>
                      <w:spacing w:before="19" w:line="187" w:lineRule="auto"/>
                      <w:rPr>
                        <w:rFonts w:ascii="SimSun" w:hAnsi="SimSun" w:eastAsia="SimSun" w:cs="SimSun"/>
                        <w:sz w:val="13"/>
                        <w:szCs w:val="13"/>
                      </w:rPr>
                    </w:pPr>
                    <w:r>
                      <w:rPr>
                        <w:rFonts w:ascii="SimSun" w:hAnsi="SimSun" w:eastAsia="SimSun" w:cs="SimSun"/>
                        <w:sz w:val="13"/>
                        <w:szCs w:val="13"/>
                        <w:color w:val="209080"/>
                        <w:spacing w:val="-5"/>
                      </w:rPr>
                      <w:t>鲁药制剂复配车</w:t>
                    </w:r>
                  </w:p>
                  <w:p>
                    <w:pPr>
                      <w:ind w:left="30"/>
                      <w:spacing w:line="223" w:lineRule="auto"/>
                      <w:rPr>
                        <w:rFonts w:ascii="SimHei" w:hAnsi="SimHei" w:eastAsia="SimHei" w:cs="SimHei"/>
                        <w:sz w:val="13"/>
                        <w:szCs w:val="13"/>
                      </w:rPr>
                    </w:pPr>
                    <w:r>
                      <w:rPr>
                        <w:rFonts w:ascii="SimHei" w:hAnsi="SimHei" w:eastAsia="SimHei" w:cs="SimHei"/>
                        <w:sz w:val="13"/>
                        <w:szCs w:val="13"/>
                        <w:color w:val="408090"/>
                      </w:rPr>
                      <w:t>何</w:t>
                    </w:r>
                  </w:p>
                </w:txbxContent>
              </v:textbox>
            </v:shape>
            <v:shape id="_x0000_s56" style="position:absolute;left:4809;top:4185;width:1638;height:170;"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13"/>
                        <w:szCs w:val="13"/>
                      </w:rPr>
                    </w:pPr>
                    <w:r>
                      <w:rPr>
                        <w:rFonts w:ascii="SimSun" w:hAnsi="SimSun" w:eastAsia="SimSun" w:cs="SimSun"/>
                        <w:sz w:val="13"/>
                        <w:szCs w:val="13"/>
                        <w:color w:val="40C0C0"/>
                        <w:spacing w:val="30"/>
                      </w:rPr>
                      <w:t>四川昂川山药有限公司</w:t>
                    </w:r>
                  </w:p>
                </w:txbxContent>
              </v:textbox>
            </v:shape>
            <v:shape id="_x0000_s58" style="position:absolute;left:7833;top:2306;width:721;height:270;" filled="false" stroked="false" type="#_x0000_t202">
              <v:fill on="false"/>
              <v:stroke on="false"/>
              <v:path/>
              <v:imagedata o:title=""/>
              <o:lock v:ext="edit" aspectratio="false"/>
              <v:textbox inset="0mm,0mm,0mm,0mm">
                <w:txbxContent>
                  <w:p>
                    <w:pPr>
                      <w:ind w:left="20"/>
                      <w:spacing w:before="20" w:line="220" w:lineRule="auto"/>
                      <w:rPr>
                        <w:rFonts w:ascii="SimSun" w:hAnsi="SimSun" w:eastAsia="SimSun" w:cs="SimSun"/>
                        <w:sz w:val="23"/>
                        <w:szCs w:val="23"/>
                      </w:rPr>
                    </w:pPr>
                    <w:r>
                      <w:rPr>
                        <w:rFonts w:ascii="SimSun" w:hAnsi="SimSun" w:eastAsia="SimSun" w:cs="SimSun"/>
                        <w:sz w:val="23"/>
                        <w:szCs w:val="23"/>
                        <w:b/>
                        <w:bCs/>
                        <w:color w:val="C06060"/>
                        <w:spacing w:val="-5"/>
                      </w:rPr>
                      <w:t>业中学</w:t>
                    </w:r>
                  </w:p>
                </w:txbxContent>
              </v:textbox>
            </v:shape>
            <v:shape id="_x0000_s60" style="position:absolute;left:7199;top:4407;width:567;height:230;"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19"/>
                        <w:szCs w:val="19"/>
                      </w:rPr>
                    </w:pPr>
                    <w:r>
                      <w:rPr>
                        <w:rFonts w:ascii="SimSun" w:hAnsi="SimSun" w:eastAsia="SimSun" w:cs="SimSun"/>
                        <w:sz w:val="19"/>
                        <w:szCs w:val="19"/>
                        <w:color w:val="807010"/>
                        <w:spacing w:val="-10"/>
                      </w:rPr>
                      <w:t>授出年</w:t>
                    </w:r>
                  </w:p>
                </w:txbxContent>
              </v:textbox>
            </v:shape>
            <v:shape id="_x0000_s62" style="position:absolute;left:5451;top:5300;width:851;height:128;" filled="false" stroked="false" type="#_x0000_t202">
              <v:fill on="false"/>
              <v:stroke on="false"/>
              <v:path/>
              <v:imagedata o:title=""/>
              <o:lock v:ext="edit" aspectratio="false"/>
              <v:textbox inset="0mm,0mm,0mm,0mm">
                <w:txbxContent>
                  <w:p>
                    <w:pPr>
                      <w:ind w:left="20"/>
                      <w:spacing w:before="20" w:line="176" w:lineRule="auto"/>
                      <w:rPr>
                        <w:rFonts w:ascii="LiSu" w:hAnsi="LiSu" w:eastAsia="LiSu" w:cs="LiSu"/>
                        <w:sz w:val="13"/>
                        <w:szCs w:val="13"/>
                      </w:rPr>
                    </w:pPr>
                    <w:r>
                      <w:rPr>
                        <w:rFonts w:ascii="LiSu" w:hAnsi="LiSu" w:eastAsia="LiSu" w:cs="LiSu"/>
                        <w:sz w:val="13"/>
                        <w:szCs w:val="13"/>
                        <w:b/>
                        <w:bCs/>
                        <w:color w:val="30A090"/>
                        <w:spacing w:val="-7"/>
                        <w:w w:val="95"/>
                      </w:rPr>
                      <w:t>宠物营养剂车间</w:t>
                    </w:r>
                  </w:p>
                </w:txbxContent>
              </v:textbox>
            </v:shape>
            <v:shape id="_x0000_s64" style="position:absolute;left:8749;top:5096;width:335;height:172;" filled="false" stroked="false" type="#_x0000_t202">
              <v:fill on="false"/>
              <v:stroke on="false"/>
              <v:path/>
              <v:imagedata o:title=""/>
              <o:lock v:ext="edit" aspectratio="false"/>
              <v:textbox inset="0mm,0mm,0mm,0mm">
                <w:txbxContent>
                  <w:p>
                    <w:pPr>
                      <w:ind w:left="20"/>
                      <w:spacing w:before="20" w:line="224" w:lineRule="auto"/>
                      <w:rPr>
                        <w:rFonts w:ascii="SimHei" w:hAnsi="SimHei" w:eastAsia="SimHei" w:cs="SimHei"/>
                        <w:sz w:val="13"/>
                        <w:szCs w:val="13"/>
                      </w:rPr>
                    </w:pPr>
                    <w:r>
                      <w:rPr>
                        <w:rFonts w:ascii="SimHei" w:hAnsi="SimHei" w:eastAsia="SimHei" w:cs="SimHei"/>
                        <w:sz w:val="13"/>
                        <w:szCs w:val="13"/>
                        <w:color w:val="40B0A0"/>
                        <w:spacing w:val="-7"/>
                      </w:rPr>
                      <w:t>限</w:t>
                    </w:r>
                    <w:r>
                      <w:rPr>
                        <w:rFonts w:ascii="SimHei" w:hAnsi="SimHei" w:eastAsia="SimHei" w:cs="SimHei"/>
                        <w:sz w:val="13"/>
                        <w:szCs w:val="13"/>
                        <w:color w:val="40B0A0"/>
                        <w:spacing w:val="-11"/>
                      </w:rPr>
                      <w:t xml:space="preserve"> </w:t>
                    </w:r>
                    <w:r>
                      <w:rPr>
                        <w:rFonts w:ascii="SimHei" w:hAnsi="SimHei" w:eastAsia="SimHei" w:cs="SimHei"/>
                        <w:sz w:val="13"/>
                        <w:szCs w:val="13"/>
                        <w:color w:val="40B0A0"/>
                        <w:spacing w:val="-7"/>
                      </w:rPr>
                      <w:t>公</w:t>
                    </w:r>
                  </w:p>
                </w:txbxContent>
              </v:textbox>
            </v:shape>
            <v:shape id="_x0000_s66" style="position:absolute;left:5949;top:3682;width:335;height:138;" filled="false" stroked="false" type="#_x0000_t202">
              <v:fill on="false"/>
              <v:stroke on="false"/>
              <v:path/>
              <v:imagedata o:title=""/>
              <o:lock v:ext="edit" aspectratio="false"/>
              <v:textbox inset="0mm,0mm,0mm,0mm">
                <w:txbxContent>
                  <w:p>
                    <w:pPr>
                      <w:ind w:left="20"/>
                      <w:spacing w:before="20" w:line="198" w:lineRule="auto"/>
                      <w:rPr>
                        <w:rFonts w:ascii="Arial" w:hAnsi="Arial" w:eastAsia="Arial" w:cs="Arial"/>
                        <w:sz w:val="13"/>
                        <w:szCs w:val="13"/>
                      </w:rPr>
                    </w:pPr>
                    <w:r>
                      <w:rPr>
                        <w:rFonts w:ascii="Arial" w:hAnsi="Arial" w:eastAsia="Arial" w:cs="Arial"/>
                        <w:sz w:val="13"/>
                        <w:szCs w:val="13"/>
                        <w:color w:val="709010"/>
                        <w:spacing w:val="-1"/>
                      </w:rPr>
                      <w:t>AOm</w:t>
                    </w:r>
                  </w:p>
                </w:txbxContent>
              </v:textbox>
            </v:shape>
          </v:group>
        </w:pict>
      </w:r>
    </w:p>
    <w:p>
      <w:pPr>
        <w:spacing w:line="5795" w:lineRule="exact"/>
        <w:sectPr>
          <w:headerReference w:type="default" r:id="rId132"/>
          <w:footerReference w:type="default" r:id="rId133"/>
          <w:pgSz w:w="16840" w:h="11910"/>
          <w:pgMar w:top="1187" w:right="1460" w:bottom="993" w:left="1410" w:header="895" w:footer="746" w:gutter="0"/>
        </w:sectPr>
        <w:rPr/>
      </w:pPr>
    </w:p>
    <w:p>
      <w:pPr>
        <w:ind w:right="30" w:firstLine="610"/>
        <w:spacing w:before="284" w:line="359" w:lineRule="auto"/>
        <w:rPr>
          <w:rFonts w:ascii="SimSun" w:hAnsi="SimSun" w:eastAsia="SimSun" w:cs="SimSun"/>
          <w:sz w:val="24"/>
          <w:szCs w:val="24"/>
        </w:rPr>
      </w:pPr>
      <w:bookmarkStart w:name="bookmark86" w:id="29"/>
      <w:bookmarkEnd w:id="29"/>
      <w:r>
        <w:rPr>
          <w:rFonts w:ascii="SimSun" w:hAnsi="SimSun" w:eastAsia="SimSun" w:cs="SimSun"/>
          <w:sz w:val="24"/>
          <w:szCs w:val="24"/>
          <w:spacing w:val="14"/>
        </w:rPr>
        <w:t>(4)《动物防疫条件审查办法》(2022年第8号)中动物屠宰加工场</w:t>
      </w:r>
      <w:r>
        <w:rPr>
          <w:rFonts w:ascii="SimSun" w:hAnsi="SimSun" w:eastAsia="SimSun" w:cs="SimSun"/>
          <w:sz w:val="24"/>
          <w:szCs w:val="24"/>
          <w:spacing w:val="13"/>
        </w:rPr>
        <w:t>所选</w:t>
      </w:r>
      <w:r>
        <w:rPr>
          <w:rFonts w:ascii="SimSun" w:hAnsi="SimSun" w:eastAsia="SimSun" w:cs="SimSun"/>
          <w:sz w:val="24"/>
          <w:szCs w:val="24"/>
        </w:rPr>
        <w:t xml:space="preserve"> </w:t>
      </w:r>
      <w:r>
        <w:rPr>
          <w:rFonts w:ascii="SimSun" w:hAnsi="SimSun" w:eastAsia="SimSun" w:cs="SimSun"/>
          <w:sz w:val="24"/>
          <w:szCs w:val="24"/>
          <w:spacing w:val="15"/>
        </w:rPr>
        <w:t>址相关要求如下，第六条：(一)各场所之间(动物</w:t>
      </w:r>
      <w:r>
        <w:rPr>
          <w:rFonts w:ascii="SimSun" w:hAnsi="SimSun" w:eastAsia="SimSun" w:cs="SimSun"/>
          <w:sz w:val="24"/>
          <w:szCs w:val="24"/>
          <w:spacing w:val="14"/>
        </w:rPr>
        <w:t>饲养场、动物隔离场所、</w:t>
      </w:r>
      <w:r>
        <w:rPr>
          <w:rFonts w:ascii="SimSun" w:hAnsi="SimSun" w:eastAsia="SimSun" w:cs="SimSun"/>
          <w:sz w:val="24"/>
          <w:szCs w:val="24"/>
        </w:rPr>
        <w:t xml:space="preserve"> </w:t>
      </w:r>
      <w:r>
        <w:rPr>
          <w:rFonts w:ascii="SimSun" w:hAnsi="SimSun" w:eastAsia="SimSun" w:cs="SimSun"/>
          <w:sz w:val="24"/>
          <w:szCs w:val="24"/>
          <w:spacing w:val="11"/>
        </w:rPr>
        <w:t>动物屠宰加工场所以及动物和动物产品无害化处理场所),各场所与动物诊疗</w:t>
      </w:r>
      <w:r>
        <w:rPr>
          <w:rFonts w:ascii="SimSun" w:hAnsi="SimSun" w:eastAsia="SimSun" w:cs="SimSun"/>
          <w:sz w:val="24"/>
          <w:szCs w:val="24"/>
          <w:spacing w:val="5"/>
        </w:rPr>
        <w:t xml:space="preserve"> </w:t>
      </w:r>
      <w:r>
        <w:rPr>
          <w:rFonts w:ascii="SimSun" w:hAnsi="SimSun" w:eastAsia="SimSun" w:cs="SimSun"/>
          <w:sz w:val="24"/>
          <w:szCs w:val="24"/>
          <w:spacing w:val="4"/>
        </w:rPr>
        <w:t>场所、居民生活区、生活饮用水水源地、学校、医院等公共场所之间保持必要</w:t>
      </w:r>
      <w:r>
        <w:rPr>
          <w:rFonts w:ascii="SimSun" w:hAnsi="SimSun" w:eastAsia="SimSun" w:cs="SimSun"/>
          <w:sz w:val="24"/>
          <w:szCs w:val="24"/>
          <w:spacing w:val="5"/>
        </w:rPr>
        <w:t xml:space="preserve"> </w:t>
      </w:r>
      <w:r>
        <w:rPr>
          <w:rFonts w:ascii="SimSun" w:hAnsi="SimSun" w:eastAsia="SimSun" w:cs="SimSun"/>
          <w:sz w:val="24"/>
          <w:szCs w:val="24"/>
          <w:spacing w:val="11"/>
        </w:rPr>
        <w:t>的距离；(二)场区周围建有围墙等隔离设施；场区出入口处设置运输车辆消</w:t>
      </w:r>
      <w:r>
        <w:rPr>
          <w:rFonts w:ascii="SimSun" w:hAnsi="SimSun" w:eastAsia="SimSun" w:cs="SimSun"/>
          <w:sz w:val="24"/>
          <w:szCs w:val="24"/>
          <w:spacing w:val="18"/>
        </w:rPr>
        <w:t xml:space="preserve"> </w:t>
      </w:r>
      <w:r>
        <w:rPr>
          <w:rFonts w:ascii="SimSun" w:hAnsi="SimSun" w:eastAsia="SimSun" w:cs="SimSun"/>
          <w:sz w:val="24"/>
          <w:szCs w:val="24"/>
          <w:spacing w:val="11"/>
        </w:rPr>
        <w:t>毒通道或者消毒池，并单独设置人员消毒通道；生产经营区与生活</w:t>
      </w:r>
      <w:r>
        <w:rPr>
          <w:rFonts w:ascii="SimSun" w:hAnsi="SimSun" w:eastAsia="SimSun" w:cs="SimSun"/>
          <w:sz w:val="24"/>
          <w:szCs w:val="24"/>
          <w:spacing w:val="10"/>
        </w:rPr>
        <w:t>办公区分</w:t>
      </w:r>
      <w:r>
        <w:rPr>
          <w:rFonts w:ascii="SimSun" w:hAnsi="SimSun" w:eastAsia="SimSun" w:cs="SimSun"/>
          <w:sz w:val="24"/>
          <w:szCs w:val="24"/>
        </w:rPr>
        <w:t xml:space="preserve"> </w:t>
      </w:r>
      <w:r>
        <w:rPr>
          <w:rFonts w:ascii="SimSun" w:hAnsi="SimSun" w:eastAsia="SimSun" w:cs="SimSun"/>
          <w:sz w:val="24"/>
          <w:szCs w:val="24"/>
          <w:spacing w:val="-1"/>
        </w:rPr>
        <w:t>开，并有隔离设施；生产经营区入口处设置人员更衣消毒室。</w:t>
      </w:r>
    </w:p>
    <w:p>
      <w:pPr>
        <w:ind w:right="20" w:firstLine="510"/>
        <w:spacing w:before="4" w:line="354" w:lineRule="auto"/>
        <w:jc w:val="both"/>
        <w:rPr>
          <w:rFonts w:ascii="SimSun" w:hAnsi="SimSun" w:eastAsia="SimSun" w:cs="SimSun"/>
          <w:sz w:val="24"/>
          <w:szCs w:val="24"/>
        </w:rPr>
      </w:pPr>
      <w:r>
        <w:rPr>
          <w:rFonts w:ascii="SimSun" w:hAnsi="SimSun" w:eastAsia="SimSun" w:cs="SimSun"/>
          <w:sz w:val="24"/>
          <w:szCs w:val="24"/>
          <w:spacing w:val="9"/>
        </w:rPr>
        <w:t>本项目为</w:t>
      </w:r>
      <w:r>
        <w:rPr>
          <w:rFonts w:ascii="SimSun" w:hAnsi="SimSun" w:eastAsia="SimSun" w:cs="SimSun"/>
          <w:sz w:val="24"/>
          <w:szCs w:val="24"/>
          <w:spacing w:val="-52"/>
        </w:rPr>
        <w:t xml:space="preserve"> </w:t>
      </w:r>
      <w:r>
        <w:rPr>
          <w:rFonts w:ascii="Times New Roman" w:hAnsi="Times New Roman" w:eastAsia="Times New Roman" w:cs="Times New Roman"/>
          <w:sz w:val="24"/>
          <w:szCs w:val="24"/>
          <w:spacing w:val="9"/>
        </w:rPr>
        <w:t>“C1351 </w:t>
      </w:r>
      <w:r>
        <w:rPr>
          <w:rFonts w:ascii="SimSun" w:hAnsi="SimSun" w:eastAsia="SimSun" w:cs="SimSun"/>
          <w:sz w:val="24"/>
          <w:szCs w:val="24"/>
          <w:spacing w:val="9"/>
        </w:rPr>
        <w:t>牲畜屠宰”项目，周边主要以工业企业为主(主要为食</w:t>
      </w:r>
      <w:r>
        <w:rPr>
          <w:rFonts w:ascii="SimSun" w:hAnsi="SimSun" w:eastAsia="SimSun" w:cs="SimSun"/>
          <w:sz w:val="24"/>
          <w:szCs w:val="24"/>
        </w:rPr>
        <w:t xml:space="preserve"> </w:t>
      </w:r>
      <w:r>
        <w:rPr>
          <w:rFonts w:ascii="SimSun" w:hAnsi="SimSun" w:eastAsia="SimSun" w:cs="SimSun"/>
          <w:sz w:val="24"/>
          <w:szCs w:val="24"/>
          <w:spacing w:val="9"/>
        </w:rPr>
        <w:t>品、医药企业),距项目所在地最近的学校为东侧约180</w:t>
      </w:r>
      <w:r>
        <w:rPr>
          <w:rFonts w:ascii="Times New Roman" w:hAnsi="Times New Roman" w:eastAsia="Times New Roman" w:cs="Times New Roman"/>
          <w:sz w:val="24"/>
          <w:szCs w:val="24"/>
          <w:spacing w:val="9"/>
        </w:rPr>
        <w:t>m</w:t>
      </w:r>
      <w:r>
        <w:rPr>
          <w:rFonts w:ascii="SimSun" w:hAnsi="SimSun" w:eastAsia="SimSun" w:cs="SimSun"/>
          <w:sz w:val="24"/>
          <w:szCs w:val="24"/>
          <w:spacing w:val="9"/>
        </w:rPr>
        <w:t>处安州区高级职业中</w:t>
      </w:r>
      <w:r>
        <w:rPr>
          <w:rFonts w:ascii="SimSun" w:hAnsi="SimSun" w:eastAsia="SimSun" w:cs="SimSun"/>
          <w:sz w:val="24"/>
          <w:szCs w:val="24"/>
          <w:spacing w:val="4"/>
        </w:rPr>
        <w:t xml:space="preserve"> </w:t>
      </w:r>
      <w:r>
        <w:rPr>
          <w:rFonts w:ascii="SimSun" w:hAnsi="SimSun" w:eastAsia="SimSun" w:cs="SimSun"/>
          <w:sz w:val="24"/>
          <w:szCs w:val="24"/>
          <w:spacing w:val="-1"/>
        </w:rPr>
        <w:t>学；最近的居民区为北侧约500m</w:t>
      </w:r>
      <w:r>
        <w:rPr>
          <w:rFonts w:ascii="SimSun" w:hAnsi="SimSun" w:eastAsia="SimSun" w:cs="SimSun"/>
          <w:sz w:val="24"/>
          <w:szCs w:val="24"/>
          <w:spacing w:val="-48"/>
        </w:rPr>
        <w:t xml:space="preserve"> </w:t>
      </w:r>
      <w:r>
        <w:rPr>
          <w:rFonts w:ascii="SimSun" w:hAnsi="SimSun" w:eastAsia="SimSun" w:cs="SimSun"/>
          <w:sz w:val="24"/>
          <w:szCs w:val="24"/>
          <w:spacing w:val="-1"/>
        </w:rPr>
        <w:t>处前进村，最近的卫生院为东南侧约660</w:t>
      </w:r>
      <w:r>
        <w:rPr>
          <w:rFonts w:ascii="SimSun" w:hAnsi="SimSun" w:eastAsia="SimSun" w:cs="SimSun"/>
          <w:sz w:val="24"/>
          <w:szCs w:val="24"/>
          <w:spacing w:val="-2"/>
        </w:rPr>
        <w:t>m</w:t>
      </w:r>
      <w:r>
        <w:rPr>
          <w:rFonts w:ascii="SimSun" w:hAnsi="SimSun" w:eastAsia="SimSun" w:cs="SimSun"/>
          <w:sz w:val="24"/>
          <w:szCs w:val="24"/>
          <w:spacing w:val="-47"/>
        </w:rPr>
        <w:t xml:space="preserve"> </w:t>
      </w:r>
      <w:r>
        <w:rPr>
          <w:rFonts w:ascii="SimSun" w:hAnsi="SimSun" w:eastAsia="SimSun" w:cs="SimSun"/>
          <w:sz w:val="24"/>
          <w:szCs w:val="24"/>
          <w:spacing w:val="-2"/>
        </w:rPr>
        <w:t>处花</w:t>
      </w:r>
      <w:r>
        <w:rPr>
          <w:rFonts w:ascii="SimSun" w:hAnsi="SimSun" w:eastAsia="SimSun" w:cs="SimSun"/>
          <w:sz w:val="24"/>
          <w:szCs w:val="24"/>
        </w:rPr>
        <w:t xml:space="preserve"> </w:t>
      </w:r>
      <w:r>
        <w:rPr>
          <w:rFonts w:ascii="SimSun" w:hAnsi="SimSun" w:eastAsia="SimSun" w:cs="SimSun"/>
          <w:sz w:val="24"/>
          <w:szCs w:val="24"/>
          <w:spacing w:val="7"/>
        </w:rPr>
        <w:t>芗镇前进卫生室，最近的医院为东北侧约912</w:t>
      </w:r>
      <w:r>
        <w:rPr>
          <w:rFonts w:ascii="Times New Roman" w:hAnsi="Times New Roman" w:eastAsia="Times New Roman" w:cs="Times New Roman"/>
          <w:sz w:val="24"/>
          <w:szCs w:val="24"/>
          <w:spacing w:val="7"/>
        </w:rPr>
        <w:t>m</w:t>
      </w:r>
      <w:r>
        <w:rPr>
          <w:rFonts w:ascii="Times New Roman" w:hAnsi="Times New Roman" w:eastAsia="Times New Roman" w:cs="Times New Roman"/>
          <w:sz w:val="24"/>
          <w:szCs w:val="24"/>
          <w:spacing w:val="-27"/>
        </w:rPr>
        <w:t xml:space="preserve"> </w:t>
      </w:r>
      <w:r>
        <w:rPr>
          <w:rFonts w:ascii="SimSun" w:hAnsi="SimSun" w:eastAsia="SimSun" w:cs="SimSun"/>
          <w:sz w:val="24"/>
          <w:szCs w:val="24"/>
          <w:spacing w:val="7"/>
        </w:rPr>
        <w:t>处绵阳市四</w:t>
      </w:r>
      <w:r>
        <w:rPr>
          <w:rFonts w:ascii="Times New Roman" w:hAnsi="Times New Roman" w:eastAsia="Times New Roman" w:cs="Times New Roman"/>
          <w:sz w:val="24"/>
          <w:szCs w:val="24"/>
          <w:spacing w:val="7"/>
        </w:rPr>
        <w:t>O</w:t>
      </w:r>
      <w:r>
        <w:rPr>
          <w:rFonts w:ascii="Times New Roman" w:hAnsi="Times New Roman" w:eastAsia="Times New Roman" w:cs="Times New Roman"/>
          <w:sz w:val="24"/>
          <w:szCs w:val="24"/>
          <w:spacing w:val="45"/>
          <w:w w:val="101"/>
        </w:rPr>
        <w:t xml:space="preserve"> </w:t>
      </w:r>
      <w:r>
        <w:rPr>
          <w:rFonts w:ascii="SimSun" w:hAnsi="SimSun" w:eastAsia="SimSun" w:cs="SimSun"/>
          <w:sz w:val="24"/>
          <w:szCs w:val="24"/>
          <w:spacing w:val="7"/>
        </w:rPr>
        <w:t>四医院医联体医</w:t>
      </w:r>
      <w:r>
        <w:rPr>
          <w:rFonts w:ascii="SimSun" w:hAnsi="SimSun" w:eastAsia="SimSun" w:cs="SimSun"/>
          <w:sz w:val="24"/>
          <w:szCs w:val="24"/>
        </w:rPr>
        <w:t xml:space="preserve"> </w:t>
      </w:r>
      <w:r>
        <w:rPr>
          <w:rFonts w:ascii="SimSun" w:hAnsi="SimSun" w:eastAsia="SimSun" w:cs="SimSun"/>
          <w:sz w:val="24"/>
          <w:szCs w:val="24"/>
          <w:spacing w:val="4"/>
        </w:rPr>
        <w:t>院，项目周边无动物饲养场、动物隔离场所以及</w:t>
      </w:r>
      <w:r>
        <w:rPr>
          <w:rFonts w:ascii="SimSun" w:hAnsi="SimSun" w:eastAsia="SimSun" w:cs="SimSun"/>
          <w:sz w:val="24"/>
          <w:szCs w:val="24"/>
          <w:spacing w:val="3"/>
        </w:rPr>
        <w:t>动物和动物产品无害化处理场</w:t>
      </w:r>
      <w:r>
        <w:rPr>
          <w:rFonts w:ascii="SimSun" w:hAnsi="SimSun" w:eastAsia="SimSun" w:cs="SimSun"/>
          <w:sz w:val="24"/>
          <w:szCs w:val="24"/>
        </w:rPr>
        <w:t xml:space="preserve"> </w:t>
      </w:r>
      <w:r>
        <w:rPr>
          <w:rFonts w:ascii="SimSun" w:hAnsi="SimSun" w:eastAsia="SimSun" w:cs="SimSun"/>
          <w:sz w:val="24"/>
          <w:szCs w:val="24"/>
          <w:spacing w:val="11"/>
        </w:rPr>
        <w:t>所；与动物屠宰加工场所以及动物诊疗场所、居民生活区、生活饮用水水源</w:t>
      </w:r>
      <w:r>
        <w:rPr>
          <w:rFonts w:ascii="SimSun" w:hAnsi="SimSun" w:eastAsia="SimSun" w:cs="SimSun"/>
          <w:sz w:val="24"/>
          <w:szCs w:val="24"/>
          <w:spacing w:val="16"/>
        </w:rPr>
        <w:t xml:space="preserve"> </w:t>
      </w:r>
      <w:r>
        <w:rPr>
          <w:rFonts w:ascii="SimSun" w:hAnsi="SimSun" w:eastAsia="SimSun" w:cs="SimSun"/>
          <w:sz w:val="24"/>
          <w:szCs w:val="24"/>
          <w:spacing w:val="4"/>
        </w:rPr>
        <w:t>地、学校、医院等公共场所之间保持必要的距离。本项目场区周围建有围墙等 </w:t>
      </w:r>
      <w:r>
        <w:rPr>
          <w:rFonts w:ascii="SimSun" w:hAnsi="SimSun" w:eastAsia="SimSun" w:cs="SimSun"/>
          <w:sz w:val="24"/>
          <w:szCs w:val="24"/>
          <w:spacing w:val="5"/>
        </w:rPr>
        <w:t>隔离设施；场区出入口处设置运输车辆消毒通道或者消毒池</w:t>
      </w:r>
      <w:r>
        <w:rPr>
          <w:rFonts w:ascii="SimSun" w:hAnsi="SimSun" w:eastAsia="SimSun" w:cs="SimSun"/>
          <w:sz w:val="24"/>
          <w:szCs w:val="24"/>
          <w:spacing w:val="4"/>
        </w:rPr>
        <w:t>，并单独设置人员</w:t>
      </w:r>
      <w:r>
        <w:rPr>
          <w:rFonts w:ascii="SimSun" w:hAnsi="SimSun" w:eastAsia="SimSun" w:cs="SimSun"/>
          <w:sz w:val="24"/>
          <w:szCs w:val="24"/>
        </w:rPr>
        <w:t xml:space="preserve"> </w:t>
      </w:r>
      <w:r>
        <w:rPr>
          <w:rFonts w:ascii="SimSun" w:hAnsi="SimSun" w:eastAsia="SimSun" w:cs="SimSun"/>
          <w:sz w:val="24"/>
          <w:szCs w:val="24"/>
          <w:spacing w:val="4"/>
        </w:rPr>
        <w:t>消毒通道；生产经营区与生活办公区分开，并有隔离设施；生产经营区入口处</w:t>
      </w:r>
      <w:r>
        <w:rPr>
          <w:rFonts w:ascii="SimSun" w:hAnsi="SimSun" w:eastAsia="SimSun" w:cs="SimSun"/>
          <w:sz w:val="24"/>
          <w:szCs w:val="24"/>
          <w:spacing w:val="3"/>
        </w:rPr>
        <w:t xml:space="preserve"> </w:t>
      </w:r>
      <w:r>
        <w:rPr>
          <w:rFonts w:ascii="SimSun" w:hAnsi="SimSun" w:eastAsia="SimSun" w:cs="SimSun"/>
          <w:sz w:val="24"/>
          <w:szCs w:val="24"/>
          <w:spacing w:val="-5"/>
        </w:rPr>
        <w:t>设置人员更衣消毒室。</w:t>
      </w:r>
    </w:p>
    <w:p>
      <w:pPr>
        <w:ind w:right="29" w:firstLine="550"/>
        <w:spacing w:before="41" w:line="362" w:lineRule="auto"/>
        <w:jc w:val="both"/>
        <w:rPr>
          <w:rFonts w:ascii="SimSun" w:hAnsi="SimSun" w:eastAsia="SimSun" w:cs="SimSun"/>
          <w:sz w:val="24"/>
          <w:szCs w:val="24"/>
        </w:rPr>
      </w:pPr>
      <w:r>
        <w:rPr>
          <w:rFonts w:ascii="SimSun" w:hAnsi="SimSun" w:eastAsia="SimSun" w:cs="SimSun"/>
          <w:sz w:val="24"/>
          <w:szCs w:val="24"/>
          <w:spacing w:val="10"/>
        </w:rPr>
        <w:t>本项目以生猪待宰圈舍、肉牛待宰圈舍、生猪屠宰车间、肉牛屠宰车间</w:t>
      </w:r>
      <w:r>
        <w:rPr>
          <w:rFonts w:ascii="SimSun" w:hAnsi="SimSun" w:eastAsia="SimSun" w:cs="SimSun"/>
          <w:sz w:val="24"/>
          <w:szCs w:val="24"/>
          <w:spacing w:val="12"/>
        </w:rPr>
        <w:t xml:space="preserve"> </w:t>
      </w:r>
      <w:r>
        <w:rPr>
          <w:rFonts w:ascii="SimSun" w:hAnsi="SimSun" w:eastAsia="SimSun" w:cs="SimSun"/>
          <w:sz w:val="24"/>
          <w:szCs w:val="24"/>
          <w:spacing w:val="-1"/>
        </w:rPr>
        <w:t>和污水处理站边界为起点，分别设置50</w:t>
      </w:r>
      <w:r>
        <w:rPr>
          <w:rFonts w:ascii="Times New Roman" w:hAnsi="Times New Roman" w:eastAsia="Times New Roman" w:cs="Times New Roman"/>
          <w:sz w:val="24"/>
          <w:szCs w:val="24"/>
          <w:spacing w:val="-1"/>
        </w:rPr>
        <w:t>m</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1"/>
        </w:rPr>
        <w:t>、</w:t>
      </w:r>
      <w:r>
        <w:rPr>
          <w:rFonts w:ascii="Times New Roman" w:hAnsi="Times New Roman" w:eastAsia="Times New Roman" w:cs="Times New Roman"/>
          <w:sz w:val="24"/>
          <w:szCs w:val="24"/>
          <w:spacing w:val="-1"/>
        </w:rPr>
        <w:t>50m</w:t>
      </w:r>
      <w:r>
        <w:rPr>
          <w:rFonts w:ascii="Times New Roman" w:hAnsi="Times New Roman" w:eastAsia="Times New Roman" w:cs="Times New Roman"/>
          <w:sz w:val="24"/>
          <w:szCs w:val="24"/>
          <w:spacing w:val="-33"/>
        </w:rPr>
        <w:t xml:space="preserve"> </w:t>
      </w:r>
      <w:r>
        <w:rPr>
          <w:rFonts w:ascii="SimSun" w:hAnsi="SimSun" w:eastAsia="SimSun" w:cs="SimSun"/>
          <w:sz w:val="24"/>
          <w:szCs w:val="24"/>
          <w:spacing w:val="-1"/>
        </w:rPr>
        <w:t>、</w:t>
      </w:r>
      <w:r>
        <w:rPr>
          <w:rFonts w:ascii="Times New Roman" w:hAnsi="Times New Roman" w:eastAsia="Times New Roman" w:cs="Times New Roman"/>
          <w:sz w:val="24"/>
          <w:szCs w:val="24"/>
          <w:spacing w:val="-1"/>
        </w:rPr>
        <w:t>50m</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1"/>
        </w:rPr>
        <w:t>、</w:t>
      </w:r>
      <w:r>
        <w:rPr>
          <w:rFonts w:ascii="Times New Roman" w:hAnsi="Times New Roman" w:eastAsia="Times New Roman" w:cs="Times New Roman"/>
          <w:sz w:val="24"/>
          <w:szCs w:val="24"/>
          <w:spacing w:val="-1"/>
        </w:rPr>
        <w:t>50</w:t>
      </w:r>
      <w:r>
        <w:rPr>
          <w:rFonts w:ascii="Times New Roman" w:hAnsi="Times New Roman" w:eastAsia="Times New Roman" w:cs="Times New Roman"/>
          <w:sz w:val="24"/>
          <w:szCs w:val="24"/>
          <w:spacing w:val="-2"/>
        </w:rPr>
        <w:t>m</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2"/>
        </w:rPr>
        <w:t>、</w:t>
      </w:r>
      <w:r>
        <w:rPr>
          <w:rFonts w:ascii="Times New Roman" w:hAnsi="Times New Roman" w:eastAsia="Times New Roman" w:cs="Times New Roman"/>
          <w:sz w:val="24"/>
          <w:szCs w:val="24"/>
          <w:spacing w:val="-2"/>
        </w:rPr>
        <w:t>100m</w:t>
      </w:r>
      <w:r>
        <w:rPr>
          <w:rFonts w:ascii="SimSun" w:hAnsi="SimSun" w:eastAsia="SimSun" w:cs="SimSun"/>
          <w:sz w:val="24"/>
          <w:szCs w:val="24"/>
          <w:spacing w:val="-2"/>
        </w:rPr>
        <w:t>的卫生防护</w:t>
      </w:r>
      <w:r>
        <w:rPr>
          <w:rFonts w:ascii="SimSun" w:hAnsi="SimSun" w:eastAsia="SimSun" w:cs="SimSun"/>
          <w:sz w:val="24"/>
          <w:szCs w:val="24"/>
        </w:rPr>
        <w:t xml:space="preserve"> </w:t>
      </w:r>
      <w:r>
        <w:rPr>
          <w:rFonts w:ascii="SimSun" w:hAnsi="SimSun" w:eastAsia="SimSun" w:cs="SimSun"/>
          <w:sz w:val="24"/>
          <w:szCs w:val="24"/>
          <w:spacing w:val="4"/>
        </w:rPr>
        <w:t>距离，环评要求该卫生防护距离范围内不得新建住宅、学校、医院、公共设施 </w:t>
      </w:r>
      <w:r>
        <w:rPr>
          <w:rFonts w:ascii="SimSun" w:hAnsi="SimSun" w:eastAsia="SimSun" w:cs="SimSun"/>
          <w:sz w:val="24"/>
          <w:szCs w:val="24"/>
          <w:spacing w:val="-2"/>
        </w:rPr>
        <w:t>等环境敏感建筑，不得引入与本项目不相容的企业。</w:t>
      </w:r>
    </w:p>
    <w:p>
      <w:pPr>
        <w:ind w:right="23" w:firstLine="480"/>
        <w:spacing w:before="6" w:line="353" w:lineRule="auto"/>
        <w:tabs>
          <w:tab w:val="left" w:pos="110"/>
          <w:tab w:val="left" w:pos="120"/>
        </w:tabs>
        <w:jc w:val="both"/>
        <w:rPr>
          <w:rFonts w:ascii="SimSun" w:hAnsi="SimSun" w:eastAsia="SimSun" w:cs="SimSun"/>
          <w:sz w:val="24"/>
          <w:szCs w:val="24"/>
        </w:rPr>
      </w:pPr>
      <w:r>
        <w:rPr>
          <w:rFonts w:ascii="SimSun" w:hAnsi="SimSun" w:eastAsia="SimSun" w:cs="SimSun"/>
          <w:sz w:val="24"/>
          <w:szCs w:val="24"/>
          <w:spacing w:val="21"/>
        </w:rPr>
        <w:t>综上，本项目选址符合《食品安全国家标准食品生产通用卫生规范》</w:t>
      </w:r>
      <w:r>
        <w:rPr>
          <w:rFonts w:ascii="SimSun" w:hAnsi="SimSun" w:eastAsia="SimSun" w:cs="SimSun"/>
          <w:sz w:val="24"/>
          <w:szCs w:val="24"/>
          <w:spacing w:val="9"/>
        </w:rPr>
        <w:t xml:space="preserve"> </w:t>
      </w:r>
      <w:r>
        <w:rPr>
          <w:rFonts w:ascii="Times New Roman" w:hAnsi="Times New Roman" w:eastAsia="Times New Roman" w:cs="Times New Roman"/>
          <w:sz w:val="24"/>
          <w:szCs w:val="24"/>
        </w:rPr>
        <w:tab/>
      </w:r>
      <w:r>
        <w:rPr>
          <w:rFonts w:ascii="Times New Roman" w:hAnsi="Times New Roman" w:eastAsia="Times New Roman" w:cs="Times New Roman"/>
          <w:sz w:val="24"/>
          <w:szCs w:val="24"/>
        </w:rPr>
        <w:tab/>
      </w:r>
      <w:r>
        <w:rPr>
          <w:rFonts w:ascii="Times New Roman" w:hAnsi="Times New Roman" w:eastAsia="Times New Roman" w:cs="Times New Roman"/>
          <w:sz w:val="24"/>
          <w:szCs w:val="24"/>
          <w:spacing w:val="-8"/>
        </w:rPr>
        <w:t>(GB14881-2013)</w:t>
      </w:r>
      <w:r>
        <w:rPr>
          <w:rFonts w:ascii="Times New Roman" w:hAnsi="Times New Roman" w:eastAsia="Times New Roman" w:cs="Times New Roman"/>
          <w:sz w:val="24"/>
          <w:szCs w:val="24"/>
          <w:spacing w:val="-33"/>
        </w:rPr>
        <w:t xml:space="preserve"> </w:t>
      </w:r>
      <w:r>
        <w:rPr>
          <w:rFonts w:ascii="SimSun" w:hAnsi="SimSun" w:eastAsia="SimSun" w:cs="SimSun"/>
          <w:sz w:val="24"/>
          <w:szCs w:val="24"/>
          <w:spacing w:val="-8"/>
        </w:rPr>
        <w:t>、   《</w:t>
      </w:r>
      <w:r>
        <w:rPr>
          <w:rFonts w:ascii="SimSun" w:hAnsi="SimSun" w:eastAsia="SimSun" w:cs="SimSun"/>
          <w:sz w:val="24"/>
          <w:szCs w:val="24"/>
          <w:spacing w:val="-37"/>
        </w:rPr>
        <w:t xml:space="preserve"> </w:t>
      </w:r>
      <w:r>
        <w:rPr>
          <w:rFonts w:ascii="SimSun" w:hAnsi="SimSun" w:eastAsia="SimSun" w:cs="SimSun"/>
          <w:sz w:val="24"/>
          <w:szCs w:val="24"/>
          <w:spacing w:val="-8"/>
        </w:rPr>
        <w:t>食</w:t>
      </w:r>
      <w:r>
        <w:rPr>
          <w:rFonts w:ascii="SimSun" w:hAnsi="SimSun" w:eastAsia="SimSun" w:cs="SimSun"/>
          <w:sz w:val="24"/>
          <w:szCs w:val="24"/>
          <w:spacing w:val="-31"/>
        </w:rPr>
        <w:t xml:space="preserve"> </w:t>
      </w:r>
      <w:r>
        <w:rPr>
          <w:rFonts w:ascii="SimSun" w:hAnsi="SimSun" w:eastAsia="SimSun" w:cs="SimSun"/>
          <w:sz w:val="24"/>
          <w:szCs w:val="24"/>
          <w:spacing w:val="-8"/>
        </w:rPr>
        <w:t>品</w:t>
      </w:r>
      <w:r>
        <w:rPr>
          <w:rFonts w:ascii="SimSun" w:hAnsi="SimSun" w:eastAsia="SimSun" w:cs="SimSun"/>
          <w:sz w:val="24"/>
          <w:szCs w:val="24"/>
          <w:spacing w:val="-45"/>
        </w:rPr>
        <w:t xml:space="preserve"> </w:t>
      </w:r>
      <w:r>
        <w:rPr>
          <w:rFonts w:ascii="SimSun" w:hAnsi="SimSun" w:eastAsia="SimSun" w:cs="SimSun"/>
          <w:sz w:val="24"/>
          <w:szCs w:val="24"/>
          <w:spacing w:val="-8"/>
        </w:rPr>
        <w:t>安</w:t>
      </w:r>
      <w:r>
        <w:rPr>
          <w:rFonts w:ascii="SimSun" w:hAnsi="SimSun" w:eastAsia="SimSun" w:cs="SimSun"/>
          <w:sz w:val="24"/>
          <w:szCs w:val="24"/>
          <w:spacing w:val="-51"/>
        </w:rPr>
        <w:t xml:space="preserve"> </w:t>
      </w:r>
      <w:r>
        <w:rPr>
          <w:rFonts w:ascii="SimSun" w:hAnsi="SimSun" w:eastAsia="SimSun" w:cs="SimSun"/>
          <w:sz w:val="24"/>
          <w:szCs w:val="24"/>
          <w:spacing w:val="-9"/>
        </w:rPr>
        <w:t>全</w:t>
      </w:r>
      <w:r>
        <w:rPr>
          <w:rFonts w:ascii="SimSun" w:hAnsi="SimSun" w:eastAsia="SimSun" w:cs="SimSun"/>
          <w:sz w:val="24"/>
          <w:szCs w:val="24"/>
          <w:spacing w:val="-27"/>
        </w:rPr>
        <w:t xml:space="preserve"> </w:t>
      </w:r>
      <w:r>
        <w:rPr>
          <w:rFonts w:ascii="SimSun" w:hAnsi="SimSun" w:eastAsia="SimSun" w:cs="SimSun"/>
          <w:sz w:val="24"/>
          <w:szCs w:val="24"/>
          <w:spacing w:val="-9"/>
        </w:rPr>
        <w:t>国</w:t>
      </w:r>
      <w:r>
        <w:rPr>
          <w:rFonts w:ascii="SimSun" w:hAnsi="SimSun" w:eastAsia="SimSun" w:cs="SimSun"/>
          <w:sz w:val="24"/>
          <w:szCs w:val="24"/>
          <w:spacing w:val="-49"/>
        </w:rPr>
        <w:t xml:space="preserve"> </w:t>
      </w:r>
      <w:r>
        <w:rPr>
          <w:rFonts w:ascii="SimSun" w:hAnsi="SimSun" w:eastAsia="SimSun" w:cs="SimSun"/>
          <w:sz w:val="24"/>
          <w:szCs w:val="24"/>
          <w:spacing w:val="-9"/>
        </w:rPr>
        <w:t>家</w:t>
      </w:r>
      <w:r>
        <w:rPr>
          <w:rFonts w:ascii="SimSun" w:hAnsi="SimSun" w:eastAsia="SimSun" w:cs="SimSun"/>
          <w:sz w:val="24"/>
          <w:szCs w:val="24"/>
          <w:spacing w:val="-50"/>
        </w:rPr>
        <w:t xml:space="preserve"> </w:t>
      </w:r>
      <w:r>
        <w:rPr>
          <w:rFonts w:ascii="SimSun" w:hAnsi="SimSun" w:eastAsia="SimSun" w:cs="SimSun"/>
          <w:sz w:val="24"/>
          <w:szCs w:val="24"/>
          <w:spacing w:val="-9"/>
        </w:rPr>
        <w:t>标</w:t>
      </w:r>
      <w:r>
        <w:rPr>
          <w:rFonts w:ascii="SimSun" w:hAnsi="SimSun" w:eastAsia="SimSun" w:cs="SimSun"/>
          <w:sz w:val="24"/>
          <w:szCs w:val="24"/>
          <w:spacing w:val="-49"/>
        </w:rPr>
        <w:t xml:space="preserve"> </w:t>
      </w:r>
      <w:r>
        <w:rPr>
          <w:rFonts w:ascii="SimSun" w:hAnsi="SimSun" w:eastAsia="SimSun" w:cs="SimSun"/>
          <w:sz w:val="24"/>
          <w:szCs w:val="24"/>
          <w:spacing w:val="-9"/>
        </w:rPr>
        <w:t>准</w:t>
      </w:r>
      <w:r>
        <w:rPr>
          <w:rFonts w:ascii="SimSun" w:hAnsi="SimSun" w:eastAsia="SimSun" w:cs="SimSun"/>
          <w:sz w:val="24"/>
          <w:szCs w:val="24"/>
          <w:spacing w:val="-35"/>
        </w:rPr>
        <w:t xml:space="preserve"> </w:t>
      </w:r>
      <w:r>
        <w:rPr>
          <w:rFonts w:ascii="SimSun" w:hAnsi="SimSun" w:eastAsia="SimSun" w:cs="SimSun"/>
          <w:sz w:val="24"/>
          <w:szCs w:val="24"/>
          <w:spacing w:val="-9"/>
        </w:rPr>
        <w:t>畜</w:t>
      </w:r>
      <w:r>
        <w:rPr>
          <w:rFonts w:ascii="SimSun" w:hAnsi="SimSun" w:eastAsia="SimSun" w:cs="SimSun"/>
          <w:sz w:val="24"/>
          <w:szCs w:val="24"/>
          <w:spacing w:val="-49"/>
        </w:rPr>
        <w:t xml:space="preserve"> </w:t>
      </w:r>
      <w:r>
        <w:rPr>
          <w:rFonts w:ascii="SimSun" w:hAnsi="SimSun" w:eastAsia="SimSun" w:cs="SimSun"/>
          <w:sz w:val="24"/>
          <w:szCs w:val="24"/>
          <w:spacing w:val="-9"/>
        </w:rPr>
        <w:t>禽</w:t>
      </w:r>
      <w:r>
        <w:rPr>
          <w:rFonts w:ascii="SimSun" w:hAnsi="SimSun" w:eastAsia="SimSun" w:cs="SimSun"/>
          <w:sz w:val="24"/>
          <w:szCs w:val="24"/>
          <w:spacing w:val="-50"/>
        </w:rPr>
        <w:t xml:space="preserve"> </w:t>
      </w:r>
      <w:r>
        <w:rPr>
          <w:rFonts w:ascii="SimSun" w:hAnsi="SimSun" w:eastAsia="SimSun" w:cs="SimSun"/>
          <w:sz w:val="24"/>
          <w:szCs w:val="24"/>
          <w:spacing w:val="-9"/>
        </w:rPr>
        <w:t>屠</w:t>
      </w:r>
      <w:r>
        <w:rPr>
          <w:rFonts w:ascii="SimSun" w:hAnsi="SimSun" w:eastAsia="SimSun" w:cs="SimSun"/>
          <w:sz w:val="24"/>
          <w:szCs w:val="24"/>
          <w:spacing w:val="-40"/>
        </w:rPr>
        <w:t xml:space="preserve"> </w:t>
      </w:r>
      <w:r>
        <w:rPr>
          <w:rFonts w:ascii="SimSun" w:hAnsi="SimSun" w:eastAsia="SimSun" w:cs="SimSun"/>
          <w:sz w:val="24"/>
          <w:szCs w:val="24"/>
          <w:spacing w:val="-9"/>
        </w:rPr>
        <w:t>宰</w:t>
      </w:r>
      <w:r>
        <w:rPr>
          <w:rFonts w:ascii="SimSun" w:hAnsi="SimSun" w:eastAsia="SimSun" w:cs="SimSun"/>
          <w:sz w:val="24"/>
          <w:szCs w:val="24"/>
          <w:spacing w:val="-51"/>
        </w:rPr>
        <w:t xml:space="preserve"> </w:t>
      </w:r>
      <w:r>
        <w:rPr>
          <w:rFonts w:ascii="SimSun" w:hAnsi="SimSun" w:eastAsia="SimSun" w:cs="SimSun"/>
          <w:sz w:val="24"/>
          <w:szCs w:val="24"/>
          <w:spacing w:val="-9"/>
        </w:rPr>
        <w:t>加</w:t>
      </w:r>
      <w:r>
        <w:rPr>
          <w:rFonts w:ascii="SimSun" w:hAnsi="SimSun" w:eastAsia="SimSun" w:cs="SimSun"/>
          <w:sz w:val="24"/>
          <w:szCs w:val="24"/>
          <w:spacing w:val="-48"/>
        </w:rPr>
        <w:t xml:space="preserve"> </w:t>
      </w:r>
      <w:r>
        <w:rPr>
          <w:rFonts w:ascii="SimSun" w:hAnsi="SimSun" w:eastAsia="SimSun" w:cs="SimSun"/>
          <w:sz w:val="24"/>
          <w:szCs w:val="24"/>
          <w:spacing w:val="-9"/>
        </w:rPr>
        <w:t>工</w:t>
      </w:r>
      <w:r>
        <w:rPr>
          <w:rFonts w:ascii="SimSun" w:hAnsi="SimSun" w:eastAsia="SimSun" w:cs="SimSun"/>
          <w:sz w:val="24"/>
          <w:szCs w:val="24"/>
          <w:spacing w:val="-48"/>
        </w:rPr>
        <w:t xml:space="preserve"> </w:t>
      </w:r>
      <w:r>
        <w:rPr>
          <w:rFonts w:ascii="SimSun" w:hAnsi="SimSun" w:eastAsia="SimSun" w:cs="SimSun"/>
          <w:sz w:val="24"/>
          <w:szCs w:val="24"/>
          <w:spacing w:val="-9"/>
        </w:rPr>
        <w:t>卫</w:t>
      </w:r>
      <w:r>
        <w:rPr>
          <w:rFonts w:ascii="SimSun" w:hAnsi="SimSun" w:eastAsia="SimSun" w:cs="SimSun"/>
          <w:sz w:val="24"/>
          <w:szCs w:val="24"/>
          <w:spacing w:val="-49"/>
        </w:rPr>
        <w:t xml:space="preserve"> </w:t>
      </w:r>
      <w:r>
        <w:rPr>
          <w:rFonts w:ascii="SimSun" w:hAnsi="SimSun" w:eastAsia="SimSun" w:cs="SimSun"/>
          <w:sz w:val="24"/>
          <w:szCs w:val="24"/>
          <w:spacing w:val="-9"/>
        </w:rPr>
        <w:t>生</w:t>
      </w:r>
      <w:r>
        <w:rPr>
          <w:rFonts w:ascii="SimSun" w:hAnsi="SimSun" w:eastAsia="SimSun" w:cs="SimSun"/>
          <w:sz w:val="24"/>
          <w:szCs w:val="24"/>
          <w:spacing w:val="-50"/>
        </w:rPr>
        <w:t xml:space="preserve"> </w:t>
      </w:r>
      <w:r>
        <w:rPr>
          <w:rFonts w:ascii="SimSun" w:hAnsi="SimSun" w:eastAsia="SimSun" w:cs="SimSun"/>
          <w:sz w:val="24"/>
          <w:szCs w:val="24"/>
          <w:spacing w:val="-9"/>
        </w:rPr>
        <w:t>规</w:t>
      </w:r>
      <w:r>
        <w:rPr>
          <w:rFonts w:ascii="SimSun" w:hAnsi="SimSun" w:eastAsia="SimSun" w:cs="SimSun"/>
          <w:sz w:val="24"/>
          <w:szCs w:val="24"/>
          <w:spacing w:val="-45"/>
        </w:rPr>
        <w:t xml:space="preserve"> </w:t>
      </w:r>
      <w:r>
        <w:rPr>
          <w:rFonts w:ascii="SimSun" w:hAnsi="SimSun" w:eastAsia="SimSun" w:cs="SimSun"/>
          <w:sz w:val="24"/>
          <w:szCs w:val="24"/>
          <w:spacing w:val="-9"/>
        </w:rPr>
        <w:t>范</w:t>
      </w:r>
      <w:r>
        <w:rPr>
          <w:rFonts w:ascii="SimSun" w:hAnsi="SimSun" w:eastAsia="SimSun" w:cs="SimSun"/>
          <w:sz w:val="24"/>
          <w:szCs w:val="24"/>
          <w:spacing w:val="-37"/>
        </w:rPr>
        <w:t xml:space="preserve"> </w:t>
      </w:r>
      <w:r>
        <w:rPr>
          <w:rFonts w:ascii="SimSun" w:hAnsi="SimSun" w:eastAsia="SimSun" w:cs="SimSun"/>
          <w:sz w:val="24"/>
          <w:szCs w:val="24"/>
          <w:spacing w:val="-9"/>
        </w:rPr>
        <w:t>》</w:t>
      </w:r>
      <w:r>
        <w:rPr>
          <w:rFonts w:ascii="SimSun" w:hAnsi="SimSun" w:eastAsia="SimSun" w:cs="SimSun"/>
          <w:sz w:val="24"/>
          <w:szCs w:val="24"/>
        </w:rPr>
        <w:t xml:space="preserve"> </w:t>
      </w:r>
      <w:r>
        <w:rPr>
          <w:rFonts w:ascii="Times New Roman" w:hAnsi="Times New Roman" w:eastAsia="Times New Roman" w:cs="Times New Roman"/>
          <w:sz w:val="24"/>
          <w:szCs w:val="24"/>
        </w:rPr>
        <w:tab/>
      </w:r>
      <w:r>
        <w:rPr>
          <w:rFonts w:ascii="Times New Roman" w:hAnsi="Times New Roman" w:eastAsia="Times New Roman" w:cs="Times New Roman"/>
          <w:sz w:val="24"/>
          <w:szCs w:val="24"/>
          <w:spacing w:val="10"/>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10"/>
        </w:rPr>
        <w:t>12694-2016)</w:t>
      </w:r>
      <w:r>
        <w:rPr>
          <w:rFonts w:ascii="SimSun" w:hAnsi="SimSun" w:eastAsia="SimSun" w:cs="SimSun"/>
          <w:sz w:val="24"/>
          <w:szCs w:val="24"/>
          <w:spacing w:val="10"/>
        </w:rPr>
        <w:t>、《  动物防疫条件审查办法》(2022年第8号)等要求；项</w:t>
      </w:r>
      <w:r>
        <w:rPr>
          <w:rFonts w:ascii="SimSun" w:hAnsi="SimSun" w:eastAsia="SimSun" w:cs="SimSun"/>
          <w:sz w:val="24"/>
          <w:szCs w:val="24"/>
          <w:spacing w:val="1"/>
        </w:rPr>
        <w:t xml:space="preserve"> </w:t>
      </w:r>
      <w:r>
        <w:rPr>
          <w:rFonts w:ascii="SimSun" w:hAnsi="SimSun" w:eastAsia="SimSun" w:cs="SimSun"/>
          <w:sz w:val="24"/>
          <w:szCs w:val="24"/>
          <w:spacing w:val="4"/>
        </w:rPr>
        <w:t>目周边居民区、医院、学校等环境敏感区域均位于本项目</w:t>
      </w:r>
      <w:r>
        <w:rPr>
          <w:rFonts w:ascii="SimSun" w:hAnsi="SimSun" w:eastAsia="SimSun" w:cs="SimSun"/>
          <w:sz w:val="24"/>
          <w:szCs w:val="24"/>
          <w:spacing w:val="3"/>
        </w:rPr>
        <w:t>夏季风向最大频率的</w:t>
      </w:r>
      <w:r>
        <w:rPr>
          <w:rFonts w:ascii="SimSun" w:hAnsi="SimSun" w:eastAsia="SimSun" w:cs="SimSun"/>
          <w:sz w:val="24"/>
          <w:szCs w:val="24"/>
        </w:rPr>
        <w:t xml:space="preserve"> </w:t>
      </w:r>
      <w:r>
        <w:rPr>
          <w:rFonts w:ascii="SimSun" w:hAnsi="SimSun" w:eastAsia="SimSun" w:cs="SimSun"/>
          <w:sz w:val="24"/>
          <w:szCs w:val="24"/>
          <w:spacing w:val="4"/>
        </w:rPr>
        <w:t>上风向、近三年主导风最大频率的侧风向，项目排放的各项污染物在严格落实</w:t>
      </w:r>
      <w:r>
        <w:rPr>
          <w:rFonts w:ascii="SimSun" w:hAnsi="SimSun" w:eastAsia="SimSun" w:cs="SimSun"/>
          <w:sz w:val="24"/>
          <w:szCs w:val="24"/>
          <w:spacing w:val="5"/>
        </w:rPr>
        <w:t xml:space="preserve"> </w:t>
      </w:r>
      <w:r>
        <w:rPr>
          <w:rFonts w:ascii="SimSun" w:hAnsi="SimSun" w:eastAsia="SimSun" w:cs="SimSun"/>
          <w:sz w:val="24"/>
          <w:szCs w:val="24"/>
          <w:spacing w:val="3"/>
        </w:rPr>
        <w:t>本环评提出的各项污染措施的前提下均能做到达标排放或妥善处置，不会对周</w:t>
      </w:r>
      <w:r>
        <w:rPr>
          <w:rFonts w:ascii="SimSun" w:hAnsi="SimSun" w:eastAsia="SimSun" w:cs="SimSun"/>
          <w:sz w:val="24"/>
          <w:szCs w:val="24"/>
          <w:spacing w:val="15"/>
        </w:rPr>
        <w:t xml:space="preserve"> </w:t>
      </w:r>
      <w:r>
        <w:rPr>
          <w:rFonts w:ascii="SimSun" w:hAnsi="SimSun" w:eastAsia="SimSun" w:cs="SimSun"/>
          <w:sz w:val="24"/>
          <w:szCs w:val="24"/>
          <w:spacing w:val="4"/>
        </w:rPr>
        <w:t>边环境产生明显不良影响，同时，项目区域内给排水管网、市政电网、道路已</w:t>
      </w:r>
      <w:r>
        <w:rPr>
          <w:rFonts w:ascii="SimSun" w:hAnsi="SimSun" w:eastAsia="SimSun" w:cs="SimSun"/>
          <w:sz w:val="24"/>
          <w:szCs w:val="24"/>
          <w:spacing w:val="9"/>
        </w:rPr>
        <w:t xml:space="preserve"> </w:t>
      </w:r>
      <w:r>
        <w:rPr>
          <w:rFonts w:ascii="SimSun" w:hAnsi="SimSun" w:eastAsia="SimSun" w:cs="SimSun"/>
          <w:sz w:val="24"/>
          <w:szCs w:val="24"/>
          <w:spacing w:val="4"/>
        </w:rPr>
        <w:t>建成，市政配套设施完善，交通便捷，项目建设与周围环境相容，外环境无重 </w:t>
      </w:r>
      <w:r>
        <w:rPr>
          <w:rFonts w:ascii="SimSun" w:hAnsi="SimSun" w:eastAsia="SimSun" w:cs="SimSun"/>
          <w:sz w:val="24"/>
          <w:szCs w:val="24"/>
          <w:spacing w:val="-2"/>
        </w:rPr>
        <w:t>大环境制约因素，从环境保护角度而言，选址合理。</w:t>
      </w:r>
    </w:p>
    <w:p>
      <w:pPr>
        <w:spacing w:line="353" w:lineRule="auto"/>
        <w:sectPr>
          <w:headerReference w:type="default" r:id="rId135"/>
          <w:footerReference w:type="default" r:id="rId136"/>
          <w:pgSz w:w="11910" w:h="16840"/>
          <w:pgMar w:top="1207" w:right="1786" w:bottom="983" w:left="1779" w:header="915" w:footer="736" w:gutter="0"/>
        </w:sectPr>
        <w:rPr>
          <w:rFonts w:ascii="SimSun" w:hAnsi="SimSun" w:eastAsia="SimSun" w:cs="SimSun"/>
          <w:sz w:val="24"/>
          <w:szCs w:val="24"/>
        </w:rPr>
      </w:pPr>
    </w:p>
    <w:p>
      <w:pPr>
        <w:ind w:left="8"/>
        <w:spacing w:before="315" w:line="222" w:lineRule="auto"/>
        <w:outlineLvl w:val="1"/>
        <w:rPr>
          <w:rFonts w:ascii="SimHei" w:hAnsi="SimHei" w:eastAsia="SimHei" w:cs="SimHei"/>
          <w:sz w:val="26"/>
          <w:szCs w:val="26"/>
        </w:rPr>
      </w:pPr>
      <w:bookmarkStart w:name="bookmark87" w:id="30"/>
      <w:bookmarkEnd w:id="30"/>
      <w:bookmarkStart w:name="bookmark16" w:id="31"/>
      <w:bookmarkEnd w:id="31"/>
      <w:r>
        <w:rPr>
          <w:rFonts w:ascii="SimHei" w:hAnsi="SimHei" w:eastAsia="SimHei" w:cs="SimHei"/>
          <w:sz w:val="26"/>
          <w:szCs w:val="26"/>
          <w:b/>
          <w:bCs/>
          <w:spacing w:val="3"/>
        </w:rPr>
        <w:t>1.7评价因子与标准</w:t>
      </w:r>
    </w:p>
    <w:p>
      <w:pPr>
        <w:ind w:left="4"/>
        <w:spacing w:before="227" w:line="222" w:lineRule="auto"/>
        <w:rPr>
          <w:rFonts w:ascii="SimHei" w:hAnsi="SimHei" w:eastAsia="SimHei" w:cs="SimHei"/>
          <w:sz w:val="26"/>
          <w:szCs w:val="26"/>
        </w:rPr>
      </w:pPr>
      <w:r>
        <w:rPr>
          <w:rFonts w:ascii="Times New Roman" w:hAnsi="Times New Roman" w:eastAsia="Times New Roman" w:cs="Times New Roman"/>
          <w:sz w:val="26"/>
          <w:szCs w:val="26"/>
          <w:spacing w:val="1"/>
        </w:rPr>
        <w:t>1</w:t>
      </w:r>
      <w:r>
        <w:rPr>
          <w:rFonts w:ascii="SimHei" w:hAnsi="SimHei" w:eastAsia="SimHei" w:cs="SimHei"/>
          <w:sz w:val="26"/>
          <w:szCs w:val="26"/>
          <w:b/>
          <w:bCs/>
          <w:spacing w:val="1"/>
        </w:rPr>
        <w:t>.7.1环境影响因素识别</w:t>
      </w:r>
    </w:p>
    <w:p>
      <w:pPr>
        <w:ind w:left="4" w:right="41" w:firstLine="470"/>
        <w:spacing w:before="202" w:line="368" w:lineRule="auto"/>
        <w:jc w:val="both"/>
        <w:rPr>
          <w:rFonts w:ascii="SimSun" w:hAnsi="SimSun" w:eastAsia="SimSun" w:cs="SimSun"/>
          <w:sz w:val="23"/>
          <w:szCs w:val="23"/>
        </w:rPr>
      </w:pPr>
      <w:r>
        <w:rPr>
          <w:rFonts w:ascii="SimSun" w:hAnsi="SimSun" w:eastAsia="SimSun" w:cs="SimSun"/>
          <w:sz w:val="23"/>
          <w:szCs w:val="23"/>
          <w:spacing w:val="15"/>
        </w:rPr>
        <w:t>根据项目运行阶段工艺流程和污染物排放特征</w:t>
      </w:r>
      <w:r>
        <w:rPr>
          <w:rFonts w:ascii="SimSun" w:hAnsi="SimSun" w:eastAsia="SimSun" w:cs="SimSun"/>
          <w:sz w:val="23"/>
          <w:szCs w:val="23"/>
          <w:spacing w:val="14"/>
        </w:rPr>
        <w:t>，以及项目所处地区环境状</w:t>
      </w:r>
      <w:r>
        <w:rPr>
          <w:rFonts w:ascii="SimSun" w:hAnsi="SimSun" w:eastAsia="SimSun" w:cs="SimSun"/>
          <w:sz w:val="23"/>
          <w:szCs w:val="23"/>
        </w:rPr>
        <w:t xml:space="preserve"> </w:t>
      </w:r>
      <w:r>
        <w:rPr>
          <w:rFonts w:ascii="SimSun" w:hAnsi="SimSun" w:eastAsia="SimSun" w:cs="SimSun"/>
          <w:sz w:val="23"/>
          <w:szCs w:val="23"/>
          <w:spacing w:val="14"/>
        </w:rPr>
        <w:t>况，采用矩阵法对该项目可能产生的环境影响活动、其受该工程影响的环境要</w:t>
      </w:r>
      <w:r>
        <w:rPr>
          <w:rFonts w:ascii="SimSun" w:hAnsi="SimSun" w:eastAsia="SimSun" w:cs="SimSun"/>
          <w:sz w:val="23"/>
          <w:szCs w:val="23"/>
          <w:spacing w:val="4"/>
        </w:rPr>
        <w:t xml:space="preserve"> </w:t>
      </w:r>
      <w:r>
        <w:rPr>
          <w:rFonts w:ascii="SimSun" w:hAnsi="SimSun" w:eastAsia="SimSun" w:cs="SimSun"/>
          <w:sz w:val="23"/>
          <w:szCs w:val="23"/>
          <w:spacing w:val="6"/>
        </w:rPr>
        <w:t>素进行识别，其结果见下表。</w:t>
      </w:r>
    </w:p>
    <w:p>
      <w:pPr>
        <w:ind w:left="2718"/>
        <w:spacing w:before="1" w:line="206" w:lineRule="auto"/>
        <w:rPr>
          <w:rFonts w:ascii="SimSun" w:hAnsi="SimSun" w:eastAsia="SimSun" w:cs="SimSun"/>
          <w:sz w:val="24"/>
          <w:szCs w:val="24"/>
        </w:rPr>
      </w:pPr>
      <w:r>
        <w:rPr>
          <w:rFonts w:ascii="SimSun" w:hAnsi="SimSun" w:eastAsia="SimSun" w:cs="SimSun"/>
          <w:sz w:val="24"/>
          <w:szCs w:val="24"/>
          <w:b/>
          <w:bCs/>
          <w:spacing w:val="-4"/>
        </w:rPr>
        <w:t>表1.7-1环境影响因素识别表</w:t>
      </w:r>
    </w:p>
    <w:tbl>
      <w:tblPr>
        <w:tblStyle w:val="TableNormal"/>
        <w:tblW w:w="8323"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44"/>
        <w:gridCol w:w="1169"/>
        <w:gridCol w:w="769"/>
        <w:gridCol w:w="789"/>
        <w:gridCol w:w="759"/>
        <w:gridCol w:w="1189"/>
        <w:gridCol w:w="599"/>
        <w:gridCol w:w="599"/>
        <w:gridCol w:w="589"/>
        <w:gridCol w:w="589"/>
        <w:gridCol w:w="628"/>
      </w:tblGrid>
      <w:tr>
        <w:trPr>
          <w:trHeight w:val="295" w:hRule="atLeast"/>
        </w:trPr>
        <w:tc>
          <w:tcPr>
            <w:shd w:val="clear" w:fill="BDBDBD"/>
            <w:tcW w:w="644" w:type="dxa"/>
            <w:vAlign w:val="top"/>
            <w:vMerge w:val="restart"/>
            <w:tcBorders>
              <w:bottom w:val="nil"/>
            </w:tcBorders>
          </w:tcPr>
          <w:p>
            <w:pPr>
              <w:rPr>
                <w:rFonts w:ascii="Arial"/>
                <w:sz w:val="21"/>
              </w:rPr>
            </w:pPr>
            <w:r/>
          </w:p>
        </w:tc>
        <w:tc>
          <w:tcPr>
            <w:shd w:val="clear" w:fill="BDBDBD"/>
            <w:tcW w:w="4675" w:type="dxa"/>
            <w:vAlign w:val="top"/>
            <w:gridSpan w:val="5"/>
          </w:tcPr>
          <w:p>
            <w:pPr>
              <w:pStyle w:val="TableText"/>
              <w:ind w:left="2004"/>
              <w:spacing w:before="41" w:line="214" w:lineRule="auto"/>
              <w:rPr>
                <w:sz w:val="21"/>
                <w:szCs w:val="21"/>
              </w:rPr>
            </w:pPr>
            <w:r>
              <w:rPr>
                <w:sz w:val="21"/>
                <w:szCs w:val="21"/>
                <w:b/>
                <w:bCs/>
                <w:spacing w:val="-4"/>
              </w:rPr>
              <w:t>施工期</w:t>
            </w:r>
          </w:p>
        </w:tc>
        <w:tc>
          <w:tcPr>
            <w:shd w:val="clear" w:fill="BDBDBD"/>
            <w:tcW w:w="3004" w:type="dxa"/>
            <w:vAlign w:val="top"/>
            <w:gridSpan w:val="5"/>
          </w:tcPr>
          <w:p>
            <w:pPr>
              <w:pStyle w:val="TableText"/>
              <w:ind w:left="1179"/>
              <w:spacing w:before="41" w:line="214" w:lineRule="auto"/>
              <w:rPr>
                <w:sz w:val="21"/>
                <w:szCs w:val="21"/>
              </w:rPr>
            </w:pPr>
            <w:r>
              <w:rPr>
                <w:sz w:val="21"/>
                <w:szCs w:val="21"/>
                <w:b/>
                <w:bCs/>
                <w:spacing w:val="-5"/>
              </w:rPr>
              <w:t>运行期</w:t>
            </w:r>
          </w:p>
        </w:tc>
      </w:tr>
      <w:tr>
        <w:trPr>
          <w:trHeight w:val="279" w:hRule="atLeast"/>
        </w:trPr>
        <w:tc>
          <w:tcPr>
            <w:tcW w:w="644" w:type="dxa"/>
            <w:vAlign w:val="top"/>
            <w:vMerge w:val="continue"/>
            <w:tcBorders>
              <w:top w:val="nil"/>
            </w:tcBorders>
          </w:tcPr>
          <w:p>
            <w:pPr>
              <w:rPr>
                <w:rFonts w:ascii="Arial"/>
                <w:sz w:val="21"/>
              </w:rPr>
            </w:pPr>
            <w:r/>
          </w:p>
        </w:tc>
        <w:tc>
          <w:tcPr>
            <w:shd w:val="clear" w:fill="BDBDBD"/>
            <w:tcW w:w="1169" w:type="dxa"/>
            <w:vAlign w:val="top"/>
          </w:tcPr>
          <w:p>
            <w:pPr>
              <w:pStyle w:val="TableText"/>
              <w:ind w:left="153"/>
              <w:spacing w:before="35" w:line="205" w:lineRule="auto"/>
              <w:rPr>
                <w:sz w:val="21"/>
                <w:szCs w:val="21"/>
              </w:rPr>
            </w:pPr>
            <w:r>
              <w:rPr>
                <w:sz w:val="21"/>
                <w:szCs w:val="21"/>
                <w:b/>
                <w:bCs/>
              </w:rPr>
              <w:t>因素类别</w:t>
            </w:r>
          </w:p>
        </w:tc>
        <w:tc>
          <w:tcPr>
            <w:shd w:val="clear" w:fill="BDBDBD"/>
            <w:tcW w:w="769" w:type="dxa"/>
            <w:vAlign w:val="top"/>
          </w:tcPr>
          <w:p>
            <w:pPr>
              <w:pStyle w:val="TableText"/>
              <w:ind w:left="165"/>
              <w:spacing w:before="36" w:line="204" w:lineRule="auto"/>
              <w:rPr>
                <w:sz w:val="21"/>
                <w:szCs w:val="21"/>
              </w:rPr>
            </w:pPr>
            <w:r>
              <w:rPr>
                <w:sz w:val="21"/>
                <w:szCs w:val="21"/>
                <w:b/>
                <w:bCs/>
                <w:spacing w:val="-5"/>
              </w:rPr>
              <w:t>土建</w:t>
            </w:r>
          </w:p>
        </w:tc>
        <w:tc>
          <w:tcPr>
            <w:shd w:val="clear" w:fill="BDBDBD"/>
            <w:tcW w:w="789" w:type="dxa"/>
            <w:vAlign w:val="top"/>
          </w:tcPr>
          <w:p>
            <w:pPr>
              <w:pStyle w:val="TableText"/>
              <w:ind w:left="176"/>
              <w:spacing w:before="35" w:line="205" w:lineRule="auto"/>
              <w:rPr>
                <w:sz w:val="21"/>
                <w:szCs w:val="21"/>
              </w:rPr>
            </w:pPr>
            <w:r>
              <w:rPr>
                <w:sz w:val="21"/>
                <w:szCs w:val="21"/>
                <w:b/>
                <w:bCs/>
                <w:spacing w:val="-6"/>
              </w:rPr>
              <w:t>安装</w:t>
            </w:r>
          </w:p>
        </w:tc>
        <w:tc>
          <w:tcPr>
            <w:shd w:val="clear" w:fill="BDBDBD"/>
            <w:tcW w:w="759" w:type="dxa"/>
            <w:vAlign w:val="top"/>
          </w:tcPr>
          <w:p>
            <w:pPr>
              <w:pStyle w:val="TableText"/>
              <w:ind w:left="167"/>
              <w:spacing w:before="35" w:line="205" w:lineRule="auto"/>
              <w:rPr>
                <w:sz w:val="21"/>
                <w:szCs w:val="21"/>
              </w:rPr>
            </w:pPr>
            <w:r>
              <w:rPr>
                <w:sz w:val="21"/>
                <w:szCs w:val="21"/>
                <w:b/>
                <w:bCs/>
                <w:spacing w:val="-5"/>
              </w:rPr>
              <w:t>运输</w:t>
            </w:r>
          </w:p>
        </w:tc>
        <w:tc>
          <w:tcPr>
            <w:shd w:val="clear" w:fill="BDBDBD"/>
            <w:tcW w:w="1189" w:type="dxa"/>
            <w:vAlign w:val="top"/>
          </w:tcPr>
          <w:p>
            <w:pPr>
              <w:pStyle w:val="TableText"/>
              <w:ind w:left="68"/>
              <w:spacing w:before="35" w:line="205" w:lineRule="auto"/>
              <w:rPr>
                <w:sz w:val="21"/>
                <w:szCs w:val="21"/>
              </w:rPr>
            </w:pPr>
            <w:r>
              <w:rPr>
                <w:sz w:val="21"/>
                <w:szCs w:val="21"/>
                <w:b/>
                <w:bCs/>
                <w:spacing w:val="-1"/>
              </w:rPr>
              <w:t>噪声、振动</w:t>
            </w:r>
          </w:p>
        </w:tc>
        <w:tc>
          <w:tcPr>
            <w:shd w:val="clear" w:fill="BDBDBD"/>
            <w:tcW w:w="599" w:type="dxa"/>
            <w:vAlign w:val="top"/>
          </w:tcPr>
          <w:p>
            <w:pPr>
              <w:pStyle w:val="TableText"/>
              <w:ind w:left="89"/>
              <w:spacing w:before="35" w:line="205" w:lineRule="auto"/>
              <w:rPr>
                <w:sz w:val="21"/>
                <w:szCs w:val="21"/>
              </w:rPr>
            </w:pPr>
            <w:r>
              <w:rPr>
                <w:sz w:val="21"/>
                <w:szCs w:val="21"/>
                <w:b/>
                <w:bCs/>
                <w:spacing w:val="-5"/>
              </w:rPr>
              <w:t>废水</w:t>
            </w:r>
          </w:p>
        </w:tc>
        <w:tc>
          <w:tcPr>
            <w:shd w:val="clear" w:fill="BDBDBD"/>
            <w:tcW w:w="599" w:type="dxa"/>
            <w:vAlign w:val="top"/>
          </w:tcPr>
          <w:p>
            <w:pPr>
              <w:pStyle w:val="TableText"/>
              <w:ind w:left="90"/>
              <w:spacing w:before="35" w:line="205" w:lineRule="auto"/>
              <w:rPr>
                <w:sz w:val="21"/>
                <w:szCs w:val="21"/>
              </w:rPr>
            </w:pPr>
            <w:r>
              <w:rPr>
                <w:sz w:val="21"/>
                <w:szCs w:val="21"/>
                <w:b/>
                <w:bCs/>
                <w:spacing w:val="-5"/>
              </w:rPr>
              <w:t>废气</w:t>
            </w:r>
          </w:p>
        </w:tc>
        <w:tc>
          <w:tcPr>
            <w:shd w:val="clear" w:fill="BDBDBD"/>
            <w:tcW w:w="589" w:type="dxa"/>
            <w:vAlign w:val="top"/>
          </w:tcPr>
          <w:p>
            <w:pPr>
              <w:pStyle w:val="TableText"/>
              <w:ind w:left="61"/>
              <w:spacing w:before="35" w:line="205" w:lineRule="auto"/>
              <w:rPr>
                <w:sz w:val="21"/>
                <w:szCs w:val="21"/>
              </w:rPr>
            </w:pPr>
            <w:r>
              <w:rPr>
                <w:sz w:val="21"/>
                <w:szCs w:val="21"/>
                <w:b/>
                <w:bCs/>
              </w:rPr>
              <w:t>固废</w:t>
            </w:r>
          </w:p>
        </w:tc>
        <w:tc>
          <w:tcPr>
            <w:shd w:val="clear" w:fill="BDBDBD"/>
            <w:tcW w:w="589" w:type="dxa"/>
            <w:vAlign w:val="top"/>
          </w:tcPr>
          <w:p>
            <w:pPr>
              <w:pStyle w:val="TableText"/>
              <w:ind w:left="82"/>
              <w:spacing w:before="35" w:line="205" w:lineRule="auto"/>
              <w:rPr>
                <w:sz w:val="21"/>
                <w:szCs w:val="21"/>
              </w:rPr>
            </w:pPr>
            <w:r>
              <w:rPr>
                <w:sz w:val="21"/>
                <w:szCs w:val="21"/>
                <w:b/>
                <w:bCs/>
                <w:spacing w:val="1"/>
              </w:rPr>
              <w:t>噪声</w:t>
            </w:r>
          </w:p>
        </w:tc>
        <w:tc>
          <w:tcPr>
            <w:shd w:val="clear" w:fill="BDBDBD"/>
            <w:tcW w:w="628" w:type="dxa"/>
            <w:vAlign w:val="top"/>
          </w:tcPr>
          <w:p>
            <w:pPr>
              <w:pStyle w:val="TableText"/>
              <w:ind w:left="103"/>
              <w:spacing w:before="35" w:line="205" w:lineRule="auto"/>
              <w:rPr>
                <w:sz w:val="21"/>
                <w:szCs w:val="21"/>
              </w:rPr>
            </w:pPr>
            <w:r>
              <w:rPr>
                <w:sz w:val="21"/>
                <w:szCs w:val="21"/>
                <w:b/>
                <w:bCs/>
                <w:spacing w:val="-5"/>
              </w:rPr>
              <w:t>运输</w:t>
            </w:r>
          </w:p>
        </w:tc>
      </w:tr>
      <w:tr>
        <w:trPr>
          <w:trHeight w:val="269" w:hRule="atLeast"/>
        </w:trPr>
        <w:tc>
          <w:tcPr>
            <w:tcW w:w="644" w:type="dxa"/>
            <w:vAlign w:val="top"/>
            <w:vMerge w:val="restart"/>
            <w:tcBorders>
              <w:bottom w:val="nil"/>
            </w:tcBorders>
          </w:tcPr>
          <w:p>
            <w:pPr>
              <w:spacing w:line="274" w:lineRule="auto"/>
              <w:rPr>
                <w:rFonts w:ascii="Arial"/>
                <w:sz w:val="21"/>
              </w:rPr>
            </w:pPr>
            <w:r/>
          </w:p>
          <w:p>
            <w:pPr>
              <w:spacing w:line="274" w:lineRule="auto"/>
              <w:rPr>
                <w:rFonts w:ascii="Arial"/>
                <w:sz w:val="21"/>
              </w:rPr>
            </w:pPr>
            <w:r/>
          </w:p>
          <w:p>
            <w:pPr>
              <w:pStyle w:val="TableText"/>
              <w:ind w:left="105"/>
              <w:spacing w:before="68" w:line="220" w:lineRule="auto"/>
              <w:rPr>
                <w:sz w:val="21"/>
                <w:szCs w:val="21"/>
              </w:rPr>
            </w:pPr>
            <w:r>
              <w:rPr>
                <w:sz w:val="21"/>
                <w:szCs w:val="21"/>
                <w:spacing w:val="9"/>
              </w:rPr>
              <w:t>自然</w:t>
            </w:r>
          </w:p>
          <w:p>
            <w:pPr>
              <w:pStyle w:val="TableText"/>
              <w:ind w:left="105"/>
              <w:spacing w:before="15" w:line="224" w:lineRule="auto"/>
              <w:rPr>
                <w:sz w:val="21"/>
                <w:szCs w:val="21"/>
              </w:rPr>
            </w:pPr>
            <w:r>
              <w:rPr>
                <w:sz w:val="21"/>
                <w:szCs w:val="21"/>
                <w:spacing w:val="5"/>
              </w:rPr>
              <w:t>生态</w:t>
            </w:r>
          </w:p>
          <w:p>
            <w:pPr>
              <w:pStyle w:val="TableText"/>
              <w:ind w:left="105"/>
              <w:spacing w:before="19" w:line="220" w:lineRule="auto"/>
              <w:rPr>
                <w:sz w:val="21"/>
                <w:szCs w:val="21"/>
              </w:rPr>
            </w:pPr>
            <w:r>
              <w:rPr>
                <w:sz w:val="21"/>
                <w:szCs w:val="21"/>
                <w:spacing w:val="-3"/>
              </w:rPr>
              <w:t>环境</w:t>
            </w:r>
          </w:p>
        </w:tc>
        <w:tc>
          <w:tcPr>
            <w:tcW w:w="1169" w:type="dxa"/>
            <w:vAlign w:val="top"/>
          </w:tcPr>
          <w:p>
            <w:pPr>
              <w:pStyle w:val="TableText"/>
              <w:ind w:left="261"/>
              <w:spacing w:before="29" w:line="202" w:lineRule="auto"/>
              <w:rPr>
                <w:sz w:val="21"/>
                <w:szCs w:val="21"/>
              </w:rPr>
            </w:pPr>
            <w:r>
              <w:rPr>
                <w:sz w:val="21"/>
                <w:szCs w:val="21"/>
                <w:spacing w:val="-2"/>
              </w:rPr>
              <w:t>地表水</w:t>
            </w:r>
          </w:p>
        </w:tc>
        <w:tc>
          <w:tcPr>
            <w:tcW w:w="769" w:type="dxa"/>
            <w:vAlign w:val="top"/>
          </w:tcPr>
          <w:p>
            <w:pPr>
              <w:pStyle w:val="TableText"/>
              <w:ind w:left="212"/>
              <w:spacing w:before="82" w:line="177" w:lineRule="exact"/>
              <w:rPr>
                <w:sz w:val="21"/>
                <w:szCs w:val="21"/>
              </w:rPr>
            </w:pPr>
            <w:r>
              <w:rPr>
                <w:sz w:val="21"/>
                <w:szCs w:val="21"/>
                <w:spacing w:val="-6"/>
                <w:position w:val="-2"/>
              </w:rPr>
              <w:t>1SP</w:t>
            </w:r>
          </w:p>
        </w:tc>
        <w:tc>
          <w:tcPr>
            <w:tcW w:w="789" w:type="dxa"/>
            <w:vAlign w:val="top"/>
          </w:tcPr>
          <w:p>
            <w:pPr>
              <w:rPr>
                <w:rFonts w:ascii="Arial"/>
                <w:sz w:val="21"/>
              </w:rPr>
            </w:pPr>
            <w:r/>
          </w:p>
        </w:tc>
        <w:tc>
          <w:tcPr>
            <w:tcW w:w="759" w:type="dxa"/>
            <w:vAlign w:val="top"/>
          </w:tcPr>
          <w:p>
            <w:pPr>
              <w:rPr>
                <w:rFonts w:ascii="Arial"/>
                <w:sz w:val="21"/>
              </w:rPr>
            </w:pPr>
            <w:r/>
          </w:p>
        </w:tc>
        <w:tc>
          <w:tcPr>
            <w:tcW w:w="1189" w:type="dxa"/>
            <w:vAlign w:val="top"/>
          </w:tcPr>
          <w:p>
            <w:pPr>
              <w:rPr>
                <w:rFonts w:ascii="Arial"/>
                <w:sz w:val="21"/>
              </w:rPr>
            </w:pPr>
            <w:r/>
          </w:p>
        </w:tc>
        <w:tc>
          <w:tcPr>
            <w:tcW w:w="599" w:type="dxa"/>
            <w:vAlign w:val="top"/>
          </w:tcPr>
          <w:p>
            <w:pPr>
              <w:pStyle w:val="TableText"/>
              <w:ind w:left="136"/>
              <w:spacing w:before="82" w:line="177" w:lineRule="exact"/>
              <w:rPr>
                <w:sz w:val="21"/>
                <w:szCs w:val="21"/>
              </w:rPr>
            </w:pPr>
            <w:r>
              <w:rPr>
                <w:sz w:val="21"/>
                <w:szCs w:val="21"/>
                <w:spacing w:val="-6"/>
                <w:position w:val="-2"/>
              </w:rPr>
              <w:t>1LP</w:t>
            </w:r>
          </w:p>
        </w:tc>
        <w:tc>
          <w:tcPr>
            <w:tcW w:w="599" w:type="dxa"/>
            <w:vAlign w:val="top"/>
          </w:tcPr>
          <w:p>
            <w:pPr>
              <w:rPr>
                <w:rFonts w:ascii="Arial"/>
                <w:sz w:val="21"/>
              </w:rPr>
            </w:pPr>
            <w:r/>
          </w:p>
        </w:tc>
        <w:tc>
          <w:tcPr>
            <w:tcW w:w="589" w:type="dxa"/>
            <w:vAlign w:val="top"/>
          </w:tcPr>
          <w:p>
            <w:pPr>
              <w:rPr>
                <w:rFonts w:ascii="Arial"/>
                <w:sz w:val="21"/>
              </w:rPr>
            </w:pPr>
            <w:r/>
          </w:p>
        </w:tc>
        <w:tc>
          <w:tcPr>
            <w:tcW w:w="589" w:type="dxa"/>
            <w:vAlign w:val="top"/>
          </w:tcPr>
          <w:p>
            <w:pPr>
              <w:rPr>
                <w:rFonts w:ascii="Arial"/>
                <w:sz w:val="21"/>
              </w:rPr>
            </w:pPr>
            <w:r/>
          </w:p>
        </w:tc>
        <w:tc>
          <w:tcPr>
            <w:tcW w:w="628" w:type="dxa"/>
            <w:vAlign w:val="top"/>
          </w:tcPr>
          <w:p>
            <w:pPr>
              <w:rPr>
                <w:rFonts w:ascii="Arial"/>
                <w:sz w:val="21"/>
              </w:rPr>
            </w:pPr>
            <w:r/>
          </w:p>
        </w:tc>
      </w:tr>
      <w:tr>
        <w:trPr>
          <w:trHeight w:val="280" w:hRule="atLeast"/>
        </w:trPr>
        <w:tc>
          <w:tcPr>
            <w:tcW w:w="644" w:type="dxa"/>
            <w:vAlign w:val="top"/>
            <w:vMerge w:val="continue"/>
            <w:tcBorders>
              <w:top w:val="nil"/>
              <w:bottom w:val="nil"/>
            </w:tcBorders>
          </w:tcPr>
          <w:p>
            <w:pPr>
              <w:rPr>
                <w:rFonts w:ascii="Arial"/>
                <w:sz w:val="21"/>
              </w:rPr>
            </w:pPr>
            <w:r/>
          </w:p>
        </w:tc>
        <w:tc>
          <w:tcPr>
            <w:tcW w:w="1169" w:type="dxa"/>
            <w:vAlign w:val="top"/>
          </w:tcPr>
          <w:p>
            <w:pPr>
              <w:pStyle w:val="TableText"/>
              <w:ind w:left="261"/>
              <w:spacing w:before="40" w:line="202" w:lineRule="auto"/>
              <w:rPr>
                <w:sz w:val="21"/>
                <w:szCs w:val="21"/>
              </w:rPr>
            </w:pPr>
            <w:r>
              <w:rPr>
                <w:sz w:val="21"/>
                <w:szCs w:val="21"/>
                <w:spacing w:val="-2"/>
              </w:rPr>
              <w:t>地下水</w:t>
            </w:r>
          </w:p>
        </w:tc>
        <w:tc>
          <w:tcPr>
            <w:tcW w:w="769" w:type="dxa"/>
            <w:vAlign w:val="top"/>
          </w:tcPr>
          <w:p>
            <w:pPr>
              <w:rPr>
                <w:rFonts w:ascii="Arial"/>
                <w:sz w:val="21"/>
              </w:rPr>
            </w:pPr>
            <w:r/>
          </w:p>
        </w:tc>
        <w:tc>
          <w:tcPr>
            <w:tcW w:w="789" w:type="dxa"/>
            <w:vAlign w:val="top"/>
          </w:tcPr>
          <w:p>
            <w:pPr>
              <w:rPr>
                <w:rFonts w:ascii="Arial"/>
                <w:sz w:val="21"/>
              </w:rPr>
            </w:pPr>
            <w:r/>
          </w:p>
        </w:tc>
        <w:tc>
          <w:tcPr>
            <w:tcW w:w="759" w:type="dxa"/>
            <w:vAlign w:val="top"/>
          </w:tcPr>
          <w:p>
            <w:pPr>
              <w:rPr>
                <w:rFonts w:ascii="Arial"/>
                <w:sz w:val="21"/>
              </w:rPr>
            </w:pPr>
            <w:r/>
          </w:p>
        </w:tc>
        <w:tc>
          <w:tcPr>
            <w:tcW w:w="1189" w:type="dxa"/>
            <w:vAlign w:val="top"/>
          </w:tcPr>
          <w:p>
            <w:pPr>
              <w:rPr>
                <w:rFonts w:ascii="Arial"/>
                <w:sz w:val="21"/>
              </w:rPr>
            </w:pPr>
            <w:r/>
          </w:p>
        </w:tc>
        <w:tc>
          <w:tcPr>
            <w:tcW w:w="599" w:type="dxa"/>
            <w:vAlign w:val="top"/>
          </w:tcPr>
          <w:p>
            <w:pPr>
              <w:pStyle w:val="TableText"/>
              <w:ind w:left="136"/>
              <w:spacing w:before="93" w:line="177" w:lineRule="exact"/>
              <w:rPr>
                <w:sz w:val="21"/>
                <w:szCs w:val="21"/>
              </w:rPr>
            </w:pPr>
            <w:r>
              <w:rPr>
                <w:sz w:val="21"/>
                <w:szCs w:val="21"/>
                <w:spacing w:val="-6"/>
                <w:position w:val="-2"/>
              </w:rPr>
              <w:t>1LP</w:t>
            </w:r>
          </w:p>
        </w:tc>
        <w:tc>
          <w:tcPr>
            <w:tcW w:w="599" w:type="dxa"/>
            <w:vAlign w:val="top"/>
          </w:tcPr>
          <w:p>
            <w:pPr>
              <w:rPr>
                <w:rFonts w:ascii="Arial"/>
                <w:sz w:val="21"/>
              </w:rPr>
            </w:pPr>
            <w:r/>
          </w:p>
        </w:tc>
        <w:tc>
          <w:tcPr>
            <w:tcW w:w="589" w:type="dxa"/>
            <w:vAlign w:val="top"/>
          </w:tcPr>
          <w:p>
            <w:pPr>
              <w:rPr>
                <w:rFonts w:ascii="Arial"/>
                <w:sz w:val="21"/>
              </w:rPr>
            </w:pPr>
            <w:r/>
          </w:p>
        </w:tc>
        <w:tc>
          <w:tcPr>
            <w:tcW w:w="589" w:type="dxa"/>
            <w:vAlign w:val="top"/>
          </w:tcPr>
          <w:p>
            <w:pPr>
              <w:rPr>
                <w:rFonts w:ascii="Arial"/>
                <w:sz w:val="21"/>
              </w:rPr>
            </w:pPr>
            <w:r/>
          </w:p>
        </w:tc>
        <w:tc>
          <w:tcPr>
            <w:tcW w:w="628" w:type="dxa"/>
            <w:vAlign w:val="top"/>
          </w:tcPr>
          <w:p>
            <w:pPr>
              <w:rPr>
                <w:rFonts w:ascii="Arial"/>
                <w:sz w:val="21"/>
              </w:rPr>
            </w:pPr>
            <w:r/>
          </w:p>
        </w:tc>
      </w:tr>
      <w:tr>
        <w:trPr>
          <w:trHeight w:val="269" w:hRule="atLeast"/>
        </w:trPr>
        <w:tc>
          <w:tcPr>
            <w:tcW w:w="644" w:type="dxa"/>
            <w:vAlign w:val="top"/>
            <w:vMerge w:val="continue"/>
            <w:tcBorders>
              <w:top w:val="nil"/>
              <w:bottom w:val="nil"/>
            </w:tcBorders>
          </w:tcPr>
          <w:p>
            <w:pPr>
              <w:rPr>
                <w:rFonts w:ascii="Arial"/>
                <w:sz w:val="21"/>
              </w:rPr>
            </w:pPr>
            <w:r/>
          </w:p>
        </w:tc>
        <w:tc>
          <w:tcPr>
            <w:tcW w:w="1169" w:type="dxa"/>
            <w:vAlign w:val="top"/>
          </w:tcPr>
          <w:p>
            <w:pPr>
              <w:pStyle w:val="TableText"/>
              <w:ind w:left="150"/>
              <w:spacing w:before="31" w:line="200" w:lineRule="auto"/>
              <w:rPr>
                <w:sz w:val="21"/>
                <w:szCs w:val="21"/>
              </w:rPr>
            </w:pPr>
            <w:r>
              <w:rPr>
                <w:sz w:val="21"/>
                <w:szCs w:val="21"/>
                <w:spacing w:val="-3"/>
              </w:rPr>
              <w:t>大气环境</w:t>
            </w:r>
          </w:p>
        </w:tc>
        <w:tc>
          <w:tcPr>
            <w:tcW w:w="769" w:type="dxa"/>
            <w:vAlign w:val="top"/>
          </w:tcPr>
          <w:p>
            <w:pPr>
              <w:pStyle w:val="TableText"/>
              <w:ind w:left="212"/>
              <w:spacing w:before="84" w:line="175" w:lineRule="exact"/>
              <w:rPr>
                <w:sz w:val="21"/>
                <w:szCs w:val="21"/>
              </w:rPr>
            </w:pPr>
            <w:r>
              <w:rPr>
                <w:sz w:val="21"/>
                <w:szCs w:val="21"/>
                <w:spacing w:val="-3"/>
                <w:position w:val="-2"/>
              </w:rPr>
              <w:t>2SP</w:t>
            </w:r>
          </w:p>
        </w:tc>
        <w:tc>
          <w:tcPr>
            <w:tcW w:w="789" w:type="dxa"/>
            <w:vAlign w:val="top"/>
          </w:tcPr>
          <w:p>
            <w:pPr>
              <w:rPr>
                <w:rFonts w:ascii="Arial"/>
                <w:sz w:val="21"/>
              </w:rPr>
            </w:pPr>
            <w:r/>
          </w:p>
        </w:tc>
        <w:tc>
          <w:tcPr>
            <w:tcW w:w="759" w:type="dxa"/>
            <w:vAlign w:val="top"/>
          </w:tcPr>
          <w:p>
            <w:pPr>
              <w:pStyle w:val="TableText"/>
              <w:ind w:left="214"/>
              <w:spacing w:before="84" w:line="175" w:lineRule="exact"/>
              <w:rPr>
                <w:sz w:val="21"/>
                <w:szCs w:val="21"/>
              </w:rPr>
            </w:pPr>
            <w:r>
              <w:rPr>
                <w:sz w:val="21"/>
                <w:szCs w:val="21"/>
                <w:spacing w:val="-6"/>
                <w:position w:val="-2"/>
              </w:rPr>
              <w:t>1SP</w:t>
            </w:r>
          </w:p>
        </w:tc>
        <w:tc>
          <w:tcPr>
            <w:tcW w:w="1189" w:type="dxa"/>
            <w:vAlign w:val="top"/>
          </w:tcPr>
          <w:p>
            <w:pPr>
              <w:rPr>
                <w:rFonts w:ascii="Arial"/>
                <w:sz w:val="21"/>
              </w:rPr>
            </w:pPr>
            <w:r/>
          </w:p>
        </w:tc>
        <w:tc>
          <w:tcPr>
            <w:tcW w:w="599" w:type="dxa"/>
            <w:vAlign w:val="top"/>
          </w:tcPr>
          <w:p>
            <w:pPr>
              <w:rPr>
                <w:rFonts w:ascii="Arial"/>
                <w:sz w:val="21"/>
              </w:rPr>
            </w:pPr>
            <w:r/>
          </w:p>
        </w:tc>
        <w:tc>
          <w:tcPr>
            <w:tcW w:w="599" w:type="dxa"/>
            <w:vAlign w:val="top"/>
          </w:tcPr>
          <w:p>
            <w:pPr>
              <w:pStyle w:val="TableText"/>
              <w:ind w:left="137"/>
              <w:spacing w:before="84" w:line="175" w:lineRule="exact"/>
              <w:rPr>
                <w:sz w:val="21"/>
                <w:szCs w:val="21"/>
              </w:rPr>
            </w:pPr>
            <w:r>
              <w:rPr>
                <w:sz w:val="21"/>
                <w:szCs w:val="21"/>
                <w:spacing w:val="-3"/>
                <w:position w:val="-2"/>
              </w:rPr>
              <w:t>2LP</w:t>
            </w:r>
          </w:p>
        </w:tc>
        <w:tc>
          <w:tcPr>
            <w:tcW w:w="589" w:type="dxa"/>
            <w:vAlign w:val="top"/>
          </w:tcPr>
          <w:p>
            <w:pPr>
              <w:rPr>
                <w:rFonts w:ascii="Arial"/>
                <w:sz w:val="21"/>
              </w:rPr>
            </w:pPr>
            <w:r/>
          </w:p>
        </w:tc>
        <w:tc>
          <w:tcPr>
            <w:tcW w:w="589" w:type="dxa"/>
            <w:vAlign w:val="top"/>
          </w:tcPr>
          <w:p>
            <w:pPr>
              <w:rPr>
                <w:rFonts w:ascii="Arial"/>
                <w:sz w:val="21"/>
              </w:rPr>
            </w:pPr>
            <w:r/>
          </w:p>
        </w:tc>
        <w:tc>
          <w:tcPr>
            <w:tcW w:w="628" w:type="dxa"/>
            <w:vAlign w:val="top"/>
          </w:tcPr>
          <w:p>
            <w:pPr>
              <w:pStyle w:val="TableText"/>
              <w:ind w:left="149"/>
              <w:spacing w:before="84" w:line="175" w:lineRule="exact"/>
              <w:rPr>
                <w:sz w:val="21"/>
                <w:szCs w:val="21"/>
              </w:rPr>
            </w:pPr>
            <w:r>
              <w:rPr>
                <w:sz w:val="21"/>
                <w:szCs w:val="21"/>
                <w:spacing w:val="-6"/>
                <w:position w:val="-2"/>
              </w:rPr>
              <w:t>1LP</w:t>
            </w:r>
          </w:p>
        </w:tc>
      </w:tr>
      <w:tr>
        <w:trPr>
          <w:trHeight w:val="279" w:hRule="atLeast"/>
        </w:trPr>
        <w:tc>
          <w:tcPr>
            <w:tcW w:w="644" w:type="dxa"/>
            <w:vAlign w:val="top"/>
            <w:vMerge w:val="continue"/>
            <w:tcBorders>
              <w:top w:val="nil"/>
              <w:bottom w:val="nil"/>
            </w:tcBorders>
          </w:tcPr>
          <w:p>
            <w:pPr>
              <w:rPr>
                <w:rFonts w:ascii="Arial"/>
                <w:sz w:val="21"/>
              </w:rPr>
            </w:pPr>
            <w:r/>
          </w:p>
        </w:tc>
        <w:tc>
          <w:tcPr>
            <w:tcW w:w="1169" w:type="dxa"/>
            <w:vAlign w:val="top"/>
          </w:tcPr>
          <w:p>
            <w:pPr>
              <w:pStyle w:val="TableText"/>
              <w:ind w:left="261"/>
              <w:spacing w:before="42" w:line="199" w:lineRule="auto"/>
              <w:rPr>
                <w:sz w:val="21"/>
                <w:szCs w:val="21"/>
              </w:rPr>
            </w:pPr>
            <w:r>
              <w:rPr>
                <w:sz w:val="21"/>
                <w:szCs w:val="21"/>
                <w:spacing w:val="3"/>
              </w:rPr>
              <w:t>声环境</w:t>
            </w:r>
          </w:p>
        </w:tc>
        <w:tc>
          <w:tcPr>
            <w:tcW w:w="769" w:type="dxa"/>
            <w:vAlign w:val="top"/>
          </w:tcPr>
          <w:p>
            <w:pPr>
              <w:pStyle w:val="TableText"/>
              <w:ind w:left="212"/>
              <w:spacing w:before="95" w:line="174" w:lineRule="exact"/>
              <w:rPr>
                <w:sz w:val="21"/>
                <w:szCs w:val="21"/>
              </w:rPr>
            </w:pPr>
            <w:r>
              <w:rPr>
                <w:sz w:val="21"/>
                <w:szCs w:val="21"/>
                <w:spacing w:val="-6"/>
                <w:position w:val="-2"/>
              </w:rPr>
              <w:t>1SP</w:t>
            </w:r>
          </w:p>
        </w:tc>
        <w:tc>
          <w:tcPr>
            <w:tcW w:w="789" w:type="dxa"/>
            <w:vAlign w:val="top"/>
          </w:tcPr>
          <w:p>
            <w:pPr>
              <w:pStyle w:val="TableText"/>
              <w:ind w:left="223"/>
              <w:spacing w:before="95" w:line="174" w:lineRule="exact"/>
              <w:rPr>
                <w:sz w:val="21"/>
                <w:szCs w:val="21"/>
              </w:rPr>
            </w:pPr>
            <w:r>
              <w:rPr>
                <w:sz w:val="21"/>
                <w:szCs w:val="21"/>
                <w:spacing w:val="-3"/>
                <w:position w:val="-2"/>
              </w:rPr>
              <w:t>2SP</w:t>
            </w:r>
          </w:p>
        </w:tc>
        <w:tc>
          <w:tcPr>
            <w:tcW w:w="759" w:type="dxa"/>
            <w:vAlign w:val="top"/>
          </w:tcPr>
          <w:p>
            <w:pPr>
              <w:pStyle w:val="TableText"/>
              <w:ind w:left="214"/>
              <w:spacing w:before="95" w:line="174" w:lineRule="exact"/>
              <w:rPr>
                <w:sz w:val="21"/>
                <w:szCs w:val="21"/>
              </w:rPr>
            </w:pPr>
            <w:r>
              <w:rPr>
                <w:sz w:val="21"/>
                <w:szCs w:val="21"/>
                <w:spacing w:val="-6"/>
                <w:position w:val="-2"/>
              </w:rPr>
              <w:t>1SP</w:t>
            </w:r>
          </w:p>
        </w:tc>
        <w:tc>
          <w:tcPr>
            <w:tcW w:w="1189" w:type="dxa"/>
            <w:vAlign w:val="top"/>
          </w:tcPr>
          <w:p>
            <w:pPr>
              <w:pStyle w:val="TableText"/>
              <w:ind w:left="425"/>
              <w:spacing w:before="95" w:line="174" w:lineRule="exact"/>
              <w:rPr>
                <w:sz w:val="21"/>
                <w:szCs w:val="21"/>
              </w:rPr>
            </w:pPr>
            <w:r>
              <w:rPr>
                <w:sz w:val="21"/>
                <w:szCs w:val="21"/>
                <w:spacing w:val="-3"/>
                <w:position w:val="-2"/>
              </w:rPr>
              <w:t>2SP</w:t>
            </w:r>
          </w:p>
        </w:tc>
        <w:tc>
          <w:tcPr>
            <w:tcW w:w="599" w:type="dxa"/>
            <w:vAlign w:val="top"/>
          </w:tcPr>
          <w:p>
            <w:pPr>
              <w:rPr>
                <w:rFonts w:ascii="Arial"/>
                <w:sz w:val="21"/>
              </w:rPr>
            </w:pPr>
            <w:r/>
          </w:p>
        </w:tc>
        <w:tc>
          <w:tcPr>
            <w:tcW w:w="599" w:type="dxa"/>
            <w:vAlign w:val="top"/>
          </w:tcPr>
          <w:p>
            <w:pPr>
              <w:rPr>
                <w:rFonts w:ascii="Arial"/>
                <w:sz w:val="21"/>
              </w:rPr>
            </w:pPr>
            <w:r/>
          </w:p>
        </w:tc>
        <w:tc>
          <w:tcPr>
            <w:tcW w:w="589" w:type="dxa"/>
            <w:vAlign w:val="top"/>
          </w:tcPr>
          <w:p>
            <w:pPr>
              <w:rPr>
                <w:rFonts w:ascii="Arial"/>
                <w:sz w:val="21"/>
              </w:rPr>
            </w:pPr>
            <w:r/>
          </w:p>
        </w:tc>
        <w:tc>
          <w:tcPr>
            <w:tcW w:w="589" w:type="dxa"/>
            <w:vAlign w:val="top"/>
          </w:tcPr>
          <w:p>
            <w:pPr>
              <w:pStyle w:val="TableText"/>
              <w:ind w:left="129"/>
              <w:spacing w:before="95" w:line="174" w:lineRule="exact"/>
              <w:rPr>
                <w:sz w:val="21"/>
                <w:szCs w:val="21"/>
              </w:rPr>
            </w:pPr>
            <w:r>
              <w:rPr>
                <w:sz w:val="21"/>
                <w:szCs w:val="21"/>
                <w:spacing w:val="-3"/>
                <w:position w:val="-2"/>
              </w:rPr>
              <w:t>2LP</w:t>
            </w:r>
          </w:p>
        </w:tc>
        <w:tc>
          <w:tcPr>
            <w:tcW w:w="628" w:type="dxa"/>
            <w:vAlign w:val="top"/>
          </w:tcPr>
          <w:p>
            <w:pPr>
              <w:pStyle w:val="TableText"/>
              <w:ind w:left="149"/>
              <w:spacing w:before="95" w:line="174" w:lineRule="exact"/>
              <w:rPr>
                <w:sz w:val="21"/>
                <w:szCs w:val="21"/>
              </w:rPr>
            </w:pPr>
            <w:r>
              <w:rPr>
                <w:sz w:val="21"/>
                <w:szCs w:val="21"/>
                <w:spacing w:val="-6"/>
                <w:position w:val="-2"/>
              </w:rPr>
              <w:t>1LP</w:t>
            </w:r>
          </w:p>
        </w:tc>
      </w:tr>
      <w:tr>
        <w:trPr>
          <w:trHeight w:val="279" w:hRule="atLeast"/>
        </w:trPr>
        <w:tc>
          <w:tcPr>
            <w:tcW w:w="644" w:type="dxa"/>
            <w:vAlign w:val="top"/>
            <w:vMerge w:val="continue"/>
            <w:tcBorders>
              <w:top w:val="nil"/>
              <w:bottom w:val="nil"/>
            </w:tcBorders>
          </w:tcPr>
          <w:p>
            <w:pPr>
              <w:rPr>
                <w:rFonts w:ascii="Arial"/>
                <w:sz w:val="21"/>
              </w:rPr>
            </w:pPr>
            <w:r/>
          </w:p>
        </w:tc>
        <w:tc>
          <w:tcPr>
            <w:tcW w:w="1169" w:type="dxa"/>
            <w:vAlign w:val="top"/>
          </w:tcPr>
          <w:p>
            <w:pPr>
              <w:pStyle w:val="TableText"/>
              <w:ind w:left="361"/>
              <w:spacing w:before="43" w:line="198" w:lineRule="auto"/>
              <w:rPr>
                <w:sz w:val="21"/>
                <w:szCs w:val="21"/>
              </w:rPr>
            </w:pPr>
            <w:r>
              <w:rPr>
                <w:sz w:val="21"/>
                <w:szCs w:val="21"/>
                <w:spacing w:val="-3"/>
              </w:rPr>
              <w:t>土壤</w:t>
            </w:r>
          </w:p>
        </w:tc>
        <w:tc>
          <w:tcPr>
            <w:tcW w:w="769" w:type="dxa"/>
            <w:vAlign w:val="top"/>
          </w:tcPr>
          <w:p>
            <w:pPr>
              <w:pStyle w:val="TableText"/>
              <w:ind w:left="212"/>
              <w:spacing w:before="95" w:line="174" w:lineRule="exact"/>
              <w:rPr>
                <w:sz w:val="21"/>
                <w:szCs w:val="21"/>
              </w:rPr>
            </w:pPr>
            <w:r>
              <w:rPr>
                <w:sz w:val="21"/>
                <w:szCs w:val="21"/>
                <w:spacing w:val="-6"/>
                <w:position w:val="-2"/>
              </w:rPr>
              <w:t>1SP</w:t>
            </w:r>
          </w:p>
        </w:tc>
        <w:tc>
          <w:tcPr>
            <w:tcW w:w="789" w:type="dxa"/>
            <w:vAlign w:val="top"/>
          </w:tcPr>
          <w:p>
            <w:pPr>
              <w:rPr>
                <w:rFonts w:ascii="Arial"/>
                <w:sz w:val="21"/>
              </w:rPr>
            </w:pPr>
            <w:r/>
          </w:p>
        </w:tc>
        <w:tc>
          <w:tcPr>
            <w:tcW w:w="759" w:type="dxa"/>
            <w:vAlign w:val="top"/>
          </w:tcPr>
          <w:p>
            <w:pPr>
              <w:rPr>
                <w:rFonts w:ascii="Arial"/>
                <w:sz w:val="21"/>
              </w:rPr>
            </w:pPr>
            <w:r/>
          </w:p>
        </w:tc>
        <w:tc>
          <w:tcPr>
            <w:tcW w:w="1189" w:type="dxa"/>
            <w:vAlign w:val="top"/>
          </w:tcPr>
          <w:p>
            <w:pPr>
              <w:rPr>
                <w:rFonts w:ascii="Arial"/>
                <w:sz w:val="21"/>
              </w:rPr>
            </w:pPr>
            <w:r/>
          </w:p>
        </w:tc>
        <w:tc>
          <w:tcPr>
            <w:tcW w:w="599" w:type="dxa"/>
            <w:vAlign w:val="top"/>
          </w:tcPr>
          <w:p>
            <w:pPr>
              <w:rPr>
                <w:rFonts w:ascii="Arial"/>
                <w:sz w:val="21"/>
              </w:rPr>
            </w:pPr>
            <w:r/>
          </w:p>
        </w:tc>
        <w:tc>
          <w:tcPr>
            <w:tcW w:w="599" w:type="dxa"/>
            <w:vAlign w:val="top"/>
          </w:tcPr>
          <w:p>
            <w:pPr>
              <w:rPr>
                <w:rFonts w:ascii="Arial"/>
                <w:sz w:val="21"/>
              </w:rPr>
            </w:pPr>
            <w:r/>
          </w:p>
        </w:tc>
        <w:tc>
          <w:tcPr>
            <w:tcW w:w="589" w:type="dxa"/>
            <w:vAlign w:val="top"/>
          </w:tcPr>
          <w:p>
            <w:pPr>
              <w:rPr>
                <w:rFonts w:ascii="Arial"/>
                <w:sz w:val="21"/>
              </w:rPr>
            </w:pPr>
            <w:r/>
          </w:p>
        </w:tc>
        <w:tc>
          <w:tcPr>
            <w:tcW w:w="589" w:type="dxa"/>
            <w:vAlign w:val="top"/>
          </w:tcPr>
          <w:p>
            <w:pPr>
              <w:rPr>
                <w:rFonts w:ascii="Arial"/>
                <w:sz w:val="21"/>
              </w:rPr>
            </w:pPr>
            <w:r/>
          </w:p>
        </w:tc>
        <w:tc>
          <w:tcPr>
            <w:tcW w:w="628" w:type="dxa"/>
            <w:vAlign w:val="top"/>
          </w:tcPr>
          <w:p>
            <w:pPr>
              <w:rPr>
                <w:rFonts w:ascii="Arial"/>
                <w:sz w:val="21"/>
              </w:rPr>
            </w:pPr>
            <w:r/>
          </w:p>
        </w:tc>
      </w:tr>
      <w:tr>
        <w:trPr>
          <w:trHeight w:val="270" w:hRule="atLeast"/>
        </w:trPr>
        <w:tc>
          <w:tcPr>
            <w:tcW w:w="644" w:type="dxa"/>
            <w:vAlign w:val="top"/>
            <w:vMerge w:val="continue"/>
            <w:tcBorders>
              <w:top w:val="nil"/>
              <w:bottom w:val="nil"/>
            </w:tcBorders>
          </w:tcPr>
          <w:p>
            <w:pPr>
              <w:rPr>
                <w:rFonts w:ascii="Arial"/>
                <w:sz w:val="21"/>
              </w:rPr>
            </w:pPr>
            <w:r/>
          </w:p>
        </w:tc>
        <w:tc>
          <w:tcPr>
            <w:tcW w:w="1169" w:type="dxa"/>
            <w:vAlign w:val="top"/>
          </w:tcPr>
          <w:p>
            <w:pPr>
              <w:pStyle w:val="TableText"/>
              <w:ind w:left="361"/>
              <w:spacing w:before="33" w:line="199" w:lineRule="auto"/>
              <w:rPr>
                <w:sz w:val="21"/>
                <w:szCs w:val="21"/>
              </w:rPr>
            </w:pPr>
            <w:r>
              <w:rPr>
                <w:sz w:val="21"/>
                <w:szCs w:val="21"/>
                <w:color w:val="304040"/>
                <w:spacing w:val="-3"/>
              </w:rPr>
              <w:t>植被</w:t>
            </w:r>
          </w:p>
        </w:tc>
        <w:tc>
          <w:tcPr>
            <w:tcW w:w="769" w:type="dxa"/>
            <w:vAlign w:val="top"/>
          </w:tcPr>
          <w:p>
            <w:pPr>
              <w:pStyle w:val="TableText"/>
              <w:ind w:left="212"/>
              <w:spacing w:before="87" w:line="172" w:lineRule="exact"/>
              <w:rPr>
                <w:sz w:val="21"/>
                <w:szCs w:val="21"/>
              </w:rPr>
            </w:pPr>
            <w:r>
              <w:rPr>
                <w:sz w:val="21"/>
                <w:szCs w:val="21"/>
                <w:spacing w:val="-6"/>
                <w:position w:val="-2"/>
              </w:rPr>
              <w:t>1SP</w:t>
            </w:r>
          </w:p>
        </w:tc>
        <w:tc>
          <w:tcPr>
            <w:tcW w:w="789" w:type="dxa"/>
            <w:vAlign w:val="top"/>
          </w:tcPr>
          <w:p>
            <w:pPr>
              <w:rPr>
                <w:rFonts w:ascii="Arial"/>
                <w:sz w:val="21"/>
              </w:rPr>
            </w:pPr>
            <w:r/>
          </w:p>
        </w:tc>
        <w:tc>
          <w:tcPr>
            <w:tcW w:w="759" w:type="dxa"/>
            <w:vAlign w:val="top"/>
          </w:tcPr>
          <w:p>
            <w:pPr>
              <w:rPr>
                <w:rFonts w:ascii="Arial"/>
                <w:sz w:val="21"/>
              </w:rPr>
            </w:pPr>
            <w:r/>
          </w:p>
        </w:tc>
        <w:tc>
          <w:tcPr>
            <w:tcW w:w="1189" w:type="dxa"/>
            <w:vAlign w:val="top"/>
          </w:tcPr>
          <w:p>
            <w:pPr>
              <w:rPr>
                <w:rFonts w:ascii="Arial"/>
                <w:sz w:val="21"/>
              </w:rPr>
            </w:pPr>
            <w:r/>
          </w:p>
        </w:tc>
        <w:tc>
          <w:tcPr>
            <w:tcW w:w="599" w:type="dxa"/>
            <w:vAlign w:val="top"/>
          </w:tcPr>
          <w:p>
            <w:pPr>
              <w:rPr>
                <w:rFonts w:ascii="Arial"/>
                <w:sz w:val="21"/>
              </w:rPr>
            </w:pPr>
            <w:r/>
          </w:p>
        </w:tc>
        <w:tc>
          <w:tcPr>
            <w:tcW w:w="599" w:type="dxa"/>
            <w:vAlign w:val="top"/>
          </w:tcPr>
          <w:p>
            <w:pPr>
              <w:rPr>
                <w:rFonts w:ascii="Arial"/>
                <w:sz w:val="21"/>
              </w:rPr>
            </w:pPr>
            <w:r/>
          </w:p>
        </w:tc>
        <w:tc>
          <w:tcPr>
            <w:tcW w:w="589" w:type="dxa"/>
            <w:vAlign w:val="top"/>
          </w:tcPr>
          <w:p>
            <w:pPr>
              <w:rPr>
                <w:rFonts w:ascii="Arial"/>
                <w:sz w:val="21"/>
              </w:rPr>
            </w:pPr>
            <w:r/>
          </w:p>
        </w:tc>
        <w:tc>
          <w:tcPr>
            <w:tcW w:w="589" w:type="dxa"/>
            <w:vAlign w:val="top"/>
          </w:tcPr>
          <w:p>
            <w:pPr>
              <w:rPr>
                <w:rFonts w:ascii="Arial"/>
                <w:sz w:val="21"/>
              </w:rPr>
            </w:pPr>
            <w:r/>
          </w:p>
        </w:tc>
        <w:tc>
          <w:tcPr>
            <w:tcW w:w="628" w:type="dxa"/>
            <w:vAlign w:val="top"/>
          </w:tcPr>
          <w:p>
            <w:pPr>
              <w:rPr>
                <w:rFonts w:ascii="Arial"/>
                <w:sz w:val="21"/>
              </w:rPr>
            </w:pPr>
            <w:r/>
          </w:p>
        </w:tc>
      </w:tr>
      <w:tr>
        <w:trPr>
          <w:trHeight w:val="279" w:hRule="atLeast"/>
        </w:trPr>
        <w:tc>
          <w:tcPr>
            <w:tcW w:w="644" w:type="dxa"/>
            <w:vAlign w:val="top"/>
            <w:vMerge w:val="continue"/>
            <w:tcBorders>
              <w:top w:val="nil"/>
            </w:tcBorders>
          </w:tcPr>
          <w:p>
            <w:pPr>
              <w:rPr>
                <w:rFonts w:ascii="Arial"/>
                <w:sz w:val="21"/>
              </w:rPr>
            </w:pPr>
            <w:r/>
          </w:p>
        </w:tc>
        <w:tc>
          <w:tcPr>
            <w:tcW w:w="1169" w:type="dxa"/>
            <w:vAlign w:val="top"/>
          </w:tcPr>
          <w:p>
            <w:pPr>
              <w:pStyle w:val="TableText"/>
              <w:ind w:left="361"/>
              <w:spacing w:before="43" w:line="198" w:lineRule="auto"/>
              <w:rPr>
                <w:sz w:val="21"/>
                <w:szCs w:val="21"/>
              </w:rPr>
            </w:pPr>
            <w:r>
              <w:rPr>
                <w:sz w:val="21"/>
                <w:szCs w:val="21"/>
                <w:spacing w:val="-3"/>
              </w:rPr>
              <w:t>气候</w:t>
            </w:r>
          </w:p>
        </w:tc>
        <w:tc>
          <w:tcPr>
            <w:tcW w:w="769" w:type="dxa"/>
            <w:vAlign w:val="top"/>
          </w:tcPr>
          <w:p>
            <w:pPr>
              <w:rPr>
                <w:rFonts w:ascii="Arial"/>
                <w:sz w:val="21"/>
              </w:rPr>
            </w:pPr>
            <w:r/>
          </w:p>
        </w:tc>
        <w:tc>
          <w:tcPr>
            <w:tcW w:w="789" w:type="dxa"/>
            <w:vAlign w:val="top"/>
          </w:tcPr>
          <w:p>
            <w:pPr>
              <w:rPr>
                <w:rFonts w:ascii="Arial"/>
                <w:sz w:val="21"/>
              </w:rPr>
            </w:pPr>
            <w:r/>
          </w:p>
        </w:tc>
        <w:tc>
          <w:tcPr>
            <w:tcW w:w="759" w:type="dxa"/>
            <w:vAlign w:val="top"/>
          </w:tcPr>
          <w:p>
            <w:pPr>
              <w:rPr>
                <w:rFonts w:ascii="Arial"/>
                <w:sz w:val="21"/>
              </w:rPr>
            </w:pPr>
            <w:r/>
          </w:p>
        </w:tc>
        <w:tc>
          <w:tcPr>
            <w:tcW w:w="1189" w:type="dxa"/>
            <w:vAlign w:val="top"/>
          </w:tcPr>
          <w:p>
            <w:pPr>
              <w:rPr>
                <w:rFonts w:ascii="Arial"/>
                <w:sz w:val="21"/>
              </w:rPr>
            </w:pPr>
            <w:r/>
          </w:p>
        </w:tc>
        <w:tc>
          <w:tcPr>
            <w:tcW w:w="599" w:type="dxa"/>
            <w:vAlign w:val="top"/>
          </w:tcPr>
          <w:p>
            <w:pPr>
              <w:rPr>
                <w:rFonts w:ascii="Arial"/>
                <w:sz w:val="21"/>
              </w:rPr>
            </w:pPr>
            <w:r/>
          </w:p>
        </w:tc>
        <w:tc>
          <w:tcPr>
            <w:tcW w:w="599" w:type="dxa"/>
            <w:vAlign w:val="top"/>
          </w:tcPr>
          <w:p>
            <w:pPr>
              <w:rPr>
                <w:rFonts w:ascii="Arial"/>
                <w:sz w:val="21"/>
              </w:rPr>
            </w:pPr>
            <w:r/>
          </w:p>
        </w:tc>
        <w:tc>
          <w:tcPr>
            <w:tcW w:w="589" w:type="dxa"/>
            <w:vAlign w:val="top"/>
          </w:tcPr>
          <w:p>
            <w:pPr>
              <w:rPr>
                <w:rFonts w:ascii="Arial"/>
                <w:sz w:val="21"/>
              </w:rPr>
            </w:pPr>
            <w:r/>
          </w:p>
        </w:tc>
        <w:tc>
          <w:tcPr>
            <w:tcW w:w="589" w:type="dxa"/>
            <w:vAlign w:val="top"/>
          </w:tcPr>
          <w:p>
            <w:pPr>
              <w:rPr>
                <w:rFonts w:ascii="Arial"/>
                <w:sz w:val="21"/>
              </w:rPr>
            </w:pPr>
            <w:r/>
          </w:p>
        </w:tc>
        <w:tc>
          <w:tcPr>
            <w:tcW w:w="628" w:type="dxa"/>
            <w:vAlign w:val="top"/>
          </w:tcPr>
          <w:p>
            <w:pPr>
              <w:pStyle w:val="TableText"/>
              <w:ind w:left="149"/>
              <w:spacing w:before="97" w:line="172" w:lineRule="exact"/>
              <w:rPr>
                <w:sz w:val="21"/>
                <w:szCs w:val="21"/>
              </w:rPr>
            </w:pPr>
            <w:r>
              <w:rPr>
                <w:sz w:val="21"/>
                <w:szCs w:val="21"/>
                <w:spacing w:val="-6"/>
                <w:position w:val="-2"/>
              </w:rPr>
              <w:t>1LP</w:t>
            </w:r>
          </w:p>
        </w:tc>
      </w:tr>
      <w:tr>
        <w:trPr>
          <w:trHeight w:val="279" w:hRule="atLeast"/>
        </w:trPr>
        <w:tc>
          <w:tcPr>
            <w:tcW w:w="644" w:type="dxa"/>
            <w:vAlign w:val="top"/>
            <w:vMerge w:val="restart"/>
            <w:tcBorders>
              <w:bottom w:val="nil"/>
            </w:tcBorders>
          </w:tcPr>
          <w:p>
            <w:pPr>
              <w:spacing w:line="273" w:lineRule="auto"/>
              <w:rPr>
                <w:rFonts w:ascii="Arial"/>
                <w:sz w:val="21"/>
              </w:rPr>
            </w:pPr>
            <w:r/>
          </w:p>
          <w:p>
            <w:pPr>
              <w:pStyle w:val="TableText"/>
              <w:ind w:left="105"/>
              <w:spacing w:before="68" w:line="219" w:lineRule="auto"/>
              <w:rPr>
                <w:sz w:val="21"/>
                <w:szCs w:val="21"/>
              </w:rPr>
            </w:pPr>
            <w:r>
              <w:rPr>
                <w:sz w:val="21"/>
                <w:szCs w:val="21"/>
                <w:spacing w:val="-3"/>
              </w:rPr>
              <w:t>社会</w:t>
            </w:r>
          </w:p>
          <w:p>
            <w:pPr>
              <w:pStyle w:val="TableText"/>
              <w:ind w:left="105"/>
              <w:spacing w:before="22" w:line="220" w:lineRule="auto"/>
              <w:rPr>
                <w:sz w:val="21"/>
                <w:szCs w:val="21"/>
              </w:rPr>
            </w:pPr>
            <w:r>
              <w:rPr>
                <w:sz w:val="21"/>
                <w:szCs w:val="21"/>
                <w:spacing w:val="-3"/>
              </w:rPr>
              <w:t>经济</w:t>
            </w:r>
          </w:p>
          <w:p>
            <w:pPr>
              <w:pStyle w:val="TableText"/>
              <w:ind w:left="105"/>
              <w:spacing w:before="9" w:line="220" w:lineRule="auto"/>
              <w:rPr>
                <w:sz w:val="21"/>
                <w:szCs w:val="21"/>
              </w:rPr>
            </w:pPr>
            <w:r>
              <w:rPr>
                <w:sz w:val="21"/>
                <w:szCs w:val="21"/>
                <w:spacing w:val="-3"/>
              </w:rPr>
              <w:t>环境</w:t>
            </w:r>
          </w:p>
        </w:tc>
        <w:tc>
          <w:tcPr>
            <w:tcW w:w="1169" w:type="dxa"/>
            <w:vAlign w:val="top"/>
          </w:tcPr>
          <w:p>
            <w:pPr>
              <w:pStyle w:val="TableText"/>
              <w:ind w:left="361"/>
              <w:spacing w:before="58" w:line="185" w:lineRule="auto"/>
              <w:rPr>
                <w:sz w:val="21"/>
                <w:szCs w:val="21"/>
              </w:rPr>
            </w:pPr>
            <w:r>
              <w:rPr>
                <w:sz w:val="21"/>
                <w:szCs w:val="21"/>
                <w:spacing w:val="-3"/>
              </w:rPr>
              <w:t>工业</w:t>
            </w:r>
          </w:p>
        </w:tc>
        <w:tc>
          <w:tcPr>
            <w:tcW w:w="769" w:type="dxa"/>
            <w:vAlign w:val="top"/>
          </w:tcPr>
          <w:p>
            <w:pPr>
              <w:pStyle w:val="TableText"/>
              <w:ind w:left="212"/>
              <w:spacing w:before="98" w:line="171" w:lineRule="exact"/>
              <w:rPr>
                <w:sz w:val="21"/>
                <w:szCs w:val="21"/>
              </w:rPr>
            </w:pPr>
            <w:r>
              <w:rPr>
                <w:sz w:val="21"/>
                <w:szCs w:val="21"/>
                <w:spacing w:val="-6"/>
                <w:position w:val="-2"/>
              </w:rPr>
              <w:t>1SP</w:t>
            </w:r>
          </w:p>
        </w:tc>
        <w:tc>
          <w:tcPr>
            <w:tcW w:w="789" w:type="dxa"/>
            <w:vAlign w:val="top"/>
          </w:tcPr>
          <w:p>
            <w:pPr>
              <w:rPr>
                <w:rFonts w:ascii="Arial"/>
                <w:sz w:val="21"/>
              </w:rPr>
            </w:pPr>
            <w:r/>
          </w:p>
        </w:tc>
        <w:tc>
          <w:tcPr>
            <w:tcW w:w="759" w:type="dxa"/>
            <w:vAlign w:val="top"/>
          </w:tcPr>
          <w:p>
            <w:pPr>
              <w:rPr>
                <w:rFonts w:ascii="Arial"/>
                <w:sz w:val="21"/>
              </w:rPr>
            </w:pPr>
            <w:r/>
          </w:p>
        </w:tc>
        <w:tc>
          <w:tcPr>
            <w:tcW w:w="1189" w:type="dxa"/>
            <w:vAlign w:val="top"/>
          </w:tcPr>
          <w:p>
            <w:pPr>
              <w:rPr>
                <w:rFonts w:ascii="Arial"/>
                <w:sz w:val="21"/>
              </w:rPr>
            </w:pPr>
            <w:r/>
          </w:p>
        </w:tc>
        <w:tc>
          <w:tcPr>
            <w:tcW w:w="599" w:type="dxa"/>
            <w:vAlign w:val="top"/>
          </w:tcPr>
          <w:p>
            <w:pPr>
              <w:rPr>
                <w:rFonts w:ascii="Arial"/>
                <w:sz w:val="21"/>
              </w:rPr>
            </w:pPr>
            <w:r/>
          </w:p>
        </w:tc>
        <w:tc>
          <w:tcPr>
            <w:tcW w:w="599" w:type="dxa"/>
            <w:vAlign w:val="top"/>
          </w:tcPr>
          <w:p>
            <w:pPr>
              <w:rPr>
                <w:rFonts w:ascii="Arial"/>
                <w:sz w:val="21"/>
              </w:rPr>
            </w:pPr>
            <w:r/>
          </w:p>
        </w:tc>
        <w:tc>
          <w:tcPr>
            <w:tcW w:w="589" w:type="dxa"/>
            <w:vAlign w:val="top"/>
          </w:tcPr>
          <w:p>
            <w:pPr>
              <w:rPr>
                <w:rFonts w:ascii="Arial"/>
                <w:sz w:val="21"/>
              </w:rPr>
            </w:pPr>
            <w:r/>
          </w:p>
        </w:tc>
        <w:tc>
          <w:tcPr>
            <w:tcW w:w="589" w:type="dxa"/>
            <w:vAlign w:val="top"/>
          </w:tcPr>
          <w:p>
            <w:pPr>
              <w:rPr>
                <w:rFonts w:ascii="Arial"/>
                <w:sz w:val="21"/>
              </w:rPr>
            </w:pPr>
            <w:r/>
          </w:p>
        </w:tc>
        <w:tc>
          <w:tcPr>
            <w:tcW w:w="628" w:type="dxa"/>
            <w:vAlign w:val="top"/>
          </w:tcPr>
          <w:p>
            <w:pPr>
              <w:rPr>
                <w:rFonts w:ascii="Arial"/>
                <w:sz w:val="21"/>
              </w:rPr>
            </w:pPr>
            <w:r/>
          </w:p>
        </w:tc>
      </w:tr>
      <w:tr>
        <w:trPr>
          <w:trHeight w:val="290" w:hRule="atLeast"/>
        </w:trPr>
        <w:tc>
          <w:tcPr>
            <w:tcW w:w="644" w:type="dxa"/>
            <w:vAlign w:val="top"/>
            <w:vMerge w:val="continue"/>
            <w:tcBorders>
              <w:top w:val="nil"/>
              <w:bottom w:val="nil"/>
            </w:tcBorders>
          </w:tcPr>
          <w:p>
            <w:pPr>
              <w:rPr>
                <w:rFonts w:ascii="Arial"/>
                <w:sz w:val="21"/>
              </w:rPr>
            </w:pPr>
            <w:r/>
          </w:p>
        </w:tc>
        <w:tc>
          <w:tcPr>
            <w:tcW w:w="1169" w:type="dxa"/>
            <w:vAlign w:val="top"/>
          </w:tcPr>
          <w:p>
            <w:pPr>
              <w:pStyle w:val="TableText"/>
              <w:ind w:left="361"/>
              <w:spacing w:before="47" w:line="204" w:lineRule="auto"/>
              <w:rPr>
                <w:sz w:val="21"/>
                <w:szCs w:val="21"/>
              </w:rPr>
            </w:pPr>
            <w:r>
              <w:rPr>
                <w:sz w:val="21"/>
                <w:szCs w:val="21"/>
                <w:spacing w:val="-3"/>
              </w:rPr>
              <w:t>农业</w:t>
            </w:r>
          </w:p>
        </w:tc>
        <w:tc>
          <w:tcPr>
            <w:tcW w:w="769" w:type="dxa"/>
            <w:vAlign w:val="top"/>
          </w:tcPr>
          <w:p>
            <w:pPr>
              <w:pStyle w:val="TableText"/>
              <w:ind w:left="212"/>
              <w:spacing w:before="99" w:line="159" w:lineRule="auto"/>
              <w:rPr>
                <w:sz w:val="21"/>
                <w:szCs w:val="21"/>
              </w:rPr>
            </w:pPr>
            <w:r>
              <w:rPr>
                <w:sz w:val="21"/>
                <w:szCs w:val="21"/>
                <w:spacing w:val="-6"/>
              </w:rPr>
              <w:t>1SP</w:t>
            </w:r>
          </w:p>
        </w:tc>
        <w:tc>
          <w:tcPr>
            <w:tcW w:w="789" w:type="dxa"/>
            <w:vAlign w:val="top"/>
          </w:tcPr>
          <w:p>
            <w:pPr>
              <w:rPr>
                <w:rFonts w:ascii="Arial"/>
                <w:sz w:val="21"/>
              </w:rPr>
            </w:pPr>
            <w:r/>
          </w:p>
        </w:tc>
        <w:tc>
          <w:tcPr>
            <w:tcW w:w="759" w:type="dxa"/>
            <w:vAlign w:val="top"/>
          </w:tcPr>
          <w:p>
            <w:pPr>
              <w:rPr>
                <w:rFonts w:ascii="Arial"/>
                <w:sz w:val="21"/>
              </w:rPr>
            </w:pPr>
            <w:r/>
          </w:p>
        </w:tc>
        <w:tc>
          <w:tcPr>
            <w:tcW w:w="1189" w:type="dxa"/>
            <w:vAlign w:val="top"/>
          </w:tcPr>
          <w:p>
            <w:pPr>
              <w:rPr>
                <w:rFonts w:ascii="Arial"/>
                <w:sz w:val="21"/>
              </w:rPr>
            </w:pPr>
            <w:r/>
          </w:p>
        </w:tc>
        <w:tc>
          <w:tcPr>
            <w:tcW w:w="599" w:type="dxa"/>
            <w:vAlign w:val="top"/>
          </w:tcPr>
          <w:p>
            <w:pPr>
              <w:rPr>
                <w:rFonts w:ascii="Arial"/>
                <w:sz w:val="21"/>
              </w:rPr>
            </w:pPr>
            <w:r/>
          </w:p>
        </w:tc>
        <w:tc>
          <w:tcPr>
            <w:tcW w:w="599" w:type="dxa"/>
            <w:vAlign w:val="top"/>
          </w:tcPr>
          <w:p>
            <w:pPr>
              <w:rPr>
                <w:rFonts w:ascii="Arial"/>
                <w:sz w:val="21"/>
              </w:rPr>
            </w:pPr>
            <w:r/>
          </w:p>
        </w:tc>
        <w:tc>
          <w:tcPr>
            <w:tcW w:w="589" w:type="dxa"/>
            <w:vAlign w:val="top"/>
          </w:tcPr>
          <w:p>
            <w:pPr>
              <w:rPr>
                <w:rFonts w:ascii="Arial"/>
                <w:sz w:val="21"/>
              </w:rPr>
            </w:pPr>
            <w:r/>
          </w:p>
        </w:tc>
        <w:tc>
          <w:tcPr>
            <w:tcW w:w="589" w:type="dxa"/>
            <w:vAlign w:val="top"/>
          </w:tcPr>
          <w:p>
            <w:pPr>
              <w:rPr>
                <w:rFonts w:ascii="Arial"/>
                <w:sz w:val="21"/>
              </w:rPr>
            </w:pPr>
            <w:r/>
          </w:p>
        </w:tc>
        <w:tc>
          <w:tcPr>
            <w:tcW w:w="628" w:type="dxa"/>
            <w:vAlign w:val="top"/>
          </w:tcPr>
          <w:p>
            <w:pPr>
              <w:rPr>
                <w:rFonts w:ascii="Arial"/>
                <w:sz w:val="21"/>
              </w:rPr>
            </w:pPr>
            <w:r/>
          </w:p>
        </w:tc>
      </w:tr>
      <w:tr>
        <w:trPr>
          <w:trHeight w:val="269" w:hRule="atLeast"/>
        </w:trPr>
        <w:tc>
          <w:tcPr>
            <w:tcW w:w="644" w:type="dxa"/>
            <w:vAlign w:val="top"/>
            <w:vMerge w:val="continue"/>
            <w:tcBorders>
              <w:top w:val="nil"/>
              <w:bottom w:val="nil"/>
            </w:tcBorders>
          </w:tcPr>
          <w:p>
            <w:pPr>
              <w:rPr>
                <w:rFonts w:ascii="Arial"/>
                <w:sz w:val="21"/>
              </w:rPr>
            </w:pPr>
            <w:r/>
          </w:p>
        </w:tc>
        <w:tc>
          <w:tcPr>
            <w:tcW w:w="1169" w:type="dxa"/>
            <w:vAlign w:val="top"/>
          </w:tcPr>
          <w:p>
            <w:pPr>
              <w:pStyle w:val="TableText"/>
              <w:ind w:left="361"/>
              <w:spacing w:before="37" w:line="195" w:lineRule="auto"/>
              <w:rPr>
                <w:sz w:val="21"/>
                <w:szCs w:val="21"/>
              </w:rPr>
            </w:pPr>
            <w:r>
              <w:rPr>
                <w:sz w:val="21"/>
                <w:szCs w:val="21"/>
                <w:spacing w:val="4"/>
              </w:rPr>
              <w:t>交通</w:t>
            </w:r>
          </w:p>
        </w:tc>
        <w:tc>
          <w:tcPr>
            <w:tcW w:w="769" w:type="dxa"/>
            <w:vAlign w:val="top"/>
          </w:tcPr>
          <w:p>
            <w:pPr>
              <w:pStyle w:val="TableText"/>
              <w:ind w:left="212"/>
              <w:spacing w:before="88" w:line="171" w:lineRule="exact"/>
              <w:rPr>
                <w:sz w:val="21"/>
                <w:szCs w:val="21"/>
              </w:rPr>
            </w:pPr>
            <w:r>
              <w:rPr>
                <w:sz w:val="21"/>
                <w:szCs w:val="21"/>
                <w:spacing w:val="-6"/>
                <w:position w:val="-2"/>
              </w:rPr>
              <w:t>1SP</w:t>
            </w:r>
          </w:p>
        </w:tc>
        <w:tc>
          <w:tcPr>
            <w:tcW w:w="789" w:type="dxa"/>
            <w:vAlign w:val="top"/>
          </w:tcPr>
          <w:p>
            <w:pPr>
              <w:rPr>
                <w:rFonts w:ascii="Arial"/>
                <w:sz w:val="21"/>
              </w:rPr>
            </w:pPr>
            <w:r/>
          </w:p>
        </w:tc>
        <w:tc>
          <w:tcPr>
            <w:tcW w:w="759" w:type="dxa"/>
            <w:vAlign w:val="top"/>
          </w:tcPr>
          <w:p>
            <w:pPr>
              <w:pStyle w:val="TableText"/>
              <w:ind w:left="214"/>
              <w:spacing w:before="88" w:line="171" w:lineRule="exact"/>
              <w:rPr>
                <w:sz w:val="21"/>
                <w:szCs w:val="21"/>
              </w:rPr>
            </w:pPr>
            <w:r>
              <w:rPr>
                <w:sz w:val="21"/>
                <w:szCs w:val="21"/>
                <w:spacing w:val="-6"/>
                <w:position w:val="-2"/>
              </w:rPr>
              <w:t>1SP</w:t>
            </w:r>
          </w:p>
        </w:tc>
        <w:tc>
          <w:tcPr>
            <w:tcW w:w="1189" w:type="dxa"/>
            <w:vAlign w:val="top"/>
          </w:tcPr>
          <w:p>
            <w:pPr>
              <w:rPr>
                <w:rFonts w:ascii="Arial"/>
                <w:sz w:val="21"/>
              </w:rPr>
            </w:pPr>
            <w:r/>
          </w:p>
        </w:tc>
        <w:tc>
          <w:tcPr>
            <w:tcW w:w="599" w:type="dxa"/>
            <w:vAlign w:val="top"/>
          </w:tcPr>
          <w:p>
            <w:pPr>
              <w:rPr>
                <w:rFonts w:ascii="Arial"/>
                <w:sz w:val="21"/>
              </w:rPr>
            </w:pPr>
            <w:r/>
          </w:p>
        </w:tc>
        <w:tc>
          <w:tcPr>
            <w:tcW w:w="599" w:type="dxa"/>
            <w:vAlign w:val="top"/>
          </w:tcPr>
          <w:p>
            <w:pPr>
              <w:rPr>
                <w:rFonts w:ascii="Arial"/>
                <w:sz w:val="21"/>
              </w:rPr>
            </w:pPr>
            <w:r/>
          </w:p>
        </w:tc>
        <w:tc>
          <w:tcPr>
            <w:tcW w:w="589" w:type="dxa"/>
            <w:vAlign w:val="top"/>
          </w:tcPr>
          <w:p>
            <w:pPr>
              <w:rPr>
                <w:rFonts w:ascii="Arial"/>
                <w:sz w:val="21"/>
              </w:rPr>
            </w:pPr>
            <w:r/>
          </w:p>
        </w:tc>
        <w:tc>
          <w:tcPr>
            <w:tcW w:w="589" w:type="dxa"/>
            <w:vAlign w:val="top"/>
          </w:tcPr>
          <w:p>
            <w:pPr>
              <w:rPr>
                <w:rFonts w:ascii="Arial"/>
                <w:sz w:val="21"/>
              </w:rPr>
            </w:pPr>
            <w:r/>
          </w:p>
        </w:tc>
        <w:tc>
          <w:tcPr>
            <w:tcW w:w="628" w:type="dxa"/>
            <w:vAlign w:val="top"/>
          </w:tcPr>
          <w:p>
            <w:pPr>
              <w:pStyle w:val="TableText"/>
              <w:ind w:left="149"/>
              <w:spacing w:before="88" w:line="171" w:lineRule="exact"/>
              <w:rPr>
                <w:sz w:val="21"/>
                <w:szCs w:val="21"/>
              </w:rPr>
            </w:pPr>
            <w:r>
              <w:rPr>
                <w:sz w:val="21"/>
                <w:szCs w:val="21"/>
                <w:spacing w:val="-6"/>
                <w:position w:val="-2"/>
              </w:rPr>
              <w:t>1LP</w:t>
            </w:r>
          </w:p>
        </w:tc>
      </w:tr>
      <w:tr>
        <w:trPr>
          <w:trHeight w:val="280" w:hRule="atLeast"/>
        </w:trPr>
        <w:tc>
          <w:tcPr>
            <w:tcW w:w="644" w:type="dxa"/>
            <w:vAlign w:val="top"/>
            <w:vMerge w:val="continue"/>
            <w:tcBorders>
              <w:top w:val="nil"/>
              <w:bottom w:val="nil"/>
            </w:tcBorders>
          </w:tcPr>
          <w:p>
            <w:pPr>
              <w:rPr>
                <w:rFonts w:ascii="Arial"/>
                <w:sz w:val="21"/>
              </w:rPr>
            </w:pPr>
            <w:r/>
          </w:p>
        </w:tc>
        <w:tc>
          <w:tcPr>
            <w:tcW w:w="1169" w:type="dxa"/>
            <w:vAlign w:val="top"/>
          </w:tcPr>
          <w:p>
            <w:pPr>
              <w:pStyle w:val="TableText"/>
              <w:ind w:left="150"/>
              <w:spacing w:before="45" w:line="197" w:lineRule="auto"/>
              <w:rPr>
                <w:sz w:val="21"/>
                <w:szCs w:val="21"/>
              </w:rPr>
            </w:pPr>
            <w:r>
              <w:rPr>
                <w:sz w:val="21"/>
                <w:szCs w:val="21"/>
                <w:spacing w:val="2"/>
              </w:rPr>
              <w:t>公众健康</w:t>
            </w:r>
          </w:p>
        </w:tc>
        <w:tc>
          <w:tcPr>
            <w:tcW w:w="769" w:type="dxa"/>
            <w:vAlign w:val="top"/>
          </w:tcPr>
          <w:p>
            <w:pPr>
              <w:pStyle w:val="TableText"/>
              <w:ind w:left="212"/>
              <w:spacing w:before="99" w:line="171" w:lineRule="exact"/>
              <w:rPr>
                <w:sz w:val="21"/>
                <w:szCs w:val="21"/>
              </w:rPr>
            </w:pPr>
            <w:r>
              <w:rPr>
                <w:sz w:val="21"/>
                <w:szCs w:val="21"/>
                <w:spacing w:val="-6"/>
                <w:position w:val="-2"/>
              </w:rPr>
              <w:t>1SP</w:t>
            </w:r>
          </w:p>
        </w:tc>
        <w:tc>
          <w:tcPr>
            <w:tcW w:w="789" w:type="dxa"/>
            <w:vAlign w:val="top"/>
          </w:tcPr>
          <w:p>
            <w:pPr>
              <w:rPr>
                <w:rFonts w:ascii="Arial"/>
                <w:sz w:val="21"/>
              </w:rPr>
            </w:pPr>
            <w:r/>
          </w:p>
        </w:tc>
        <w:tc>
          <w:tcPr>
            <w:tcW w:w="759" w:type="dxa"/>
            <w:vAlign w:val="top"/>
          </w:tcPr>
          <w:p>
            <w:pPr>
              <w:rPr>
                <w:rFonts w:ascii="Arial"/>
                <w:sz w:val="21"/>
              </w:rPr>
            </w:pPr>
            <w:r/>
          </w:p>
        </w:tc>
        <w:tc>
          <w:tcPr>
            <w:tcW w:w="1189" w:type="dxa"/>
            <w:vAlign w:val="top"/>
          </w:tcPr>
          <w:p>
            <w:pPr>
              <w:pStyle w:val="TableText"/>
              <w:ind w:left="425"/>
              <w:spacing w:before="99" w:line="171" w:lineRule="exact"/>
              <w:rPr>
                <w:sz w:val="21"/>
                <w:szCs w:val="21"/>
              </w:rPr>
            </w:pPr>
            <w:r>
              <w:rPr>
                <w:sz w:val="21"/>
                <w:szCs w:val="21"/>
                <w:spacing w:val="-6"/>
                <w:position w:val="-2"/>
              </w:rPr>
              <w:t>1SP</w:t>
            </w:r>
          </w:p>
        </w:tc>
        <w:tc>
          <w:tcPr>
            <w:tcW w:w="599" w:type="dxa"/>
            <w:vAlign w:val="top"/>
          </w:tcPr>
          <w:p>
            <w:pPr>
              <w:rPr>
                <w:rFonts w:ascii="Arial"/>
                <w:sz w:val="21"/>
              </w:rPr>
            </w:pPr>
            <w:r/>
          </w:p>
        </w:tc>
        <w:tc>
          <w:tcPr>
            <w:tcW w:w="599" w:type="dxa"/>
            <w:vAlign w:val="top"/>
          </w:tcPr>
          <w:p>
            <w:pPr>
              <w:pStyle w:val="TableText"/>
              <w:ind w:left="137"/>
              <w:spacing w:before="99" w:line="171" w:lineRule="exact"/>
              <w:rPr>
                <w:sz w:val="21"/>
                <w:szCs w:val="21"/>
              </w:rPr>
            </w:pPr>
            <w:r>
              <w:rPr>
                <w:sz w:val="21"/>
                <w:szCs w:val="21"/>
                <w:spacing w:val="-6"/>
                <w:position w:val="-2"/>
              </w:rPr>
              <w:t>1LP</w:t>
            </w:r>
          </w:p>
        </w:tc>
        <w:tc>
          <w:tcPr>
            <w:tcW w:w="589" w:type="dxa"/>
            <w:vAlign w:val="top"/>
          </w:tcPr>
          <w:p>
            <w:pPr>
              <w:rPr>
                <w:rFonts w:ascii="Arial"/>
                <w:sz w:val="21"/>
              </w:rPr>
            </w:pPr>
            <w:r/>
          </w:p>
        </w:tc>
        <w:tc>
          <w:tcPr>
            <w:tcW w:w="589" w:type="dxa"/>
            <w:vAlign w:val="top"/>
          </w:tcPr>
          <w:p>
            <w:pPr>
              <w:pStyle w:val="TableText"/>
              <w:ind w:left="129"/>
              <w:spacing w:before="99" w:line="171" w:lineRule="exact"/>
              <w:rPr>
                <w:sz w:val="21"/>
                <w:szCs w:val="21"/>
              </w:rPr>
            </w:pPr>
            <w:r>
              <w:rPr>
                <w:sz w:val="21"/>
                <w:szCs w:val="21"/>
                <w:spacing w:val="-6"/>
                <w:position w:val="-2"/>
              </w:rPr>
              <w:t>1LP</w:t>
            </w:r>
          </w:p>
        </w:tc>
        <w:tc>
          <w:tcPr>
            <w:tcW w:w="628" w:type="dxa"/>
            <w:vAlign w:val="top"/>
          </w:tcPr>
          <w:p>
            <w:pPr>
              <w:rPr>
                <w:rFonts w:ascii="Arial"/>
                <w:sz w:val="21"/>
              </w:rPr>
            </w:pPr>
            <w:r/>
          </w:p>
        </w:tc>
      </w:tr>
      <w:tr>
        <w:trPr>
          <w:trHeight w:val="269" w:hRule="atLeast"/>
        </w:trPr>
        <w:tc>
          <w:tcPr>
            <w:tcW w:w="644" w:type="dxa"/>
            <w:vAlign w:val="top"/>
            <w:vMerge w:val="continue"/>
            <w:tcBorders>
              <w:top w:val="nil"/>
            </w:tcBorders>
          </w:tcPr>
          <w:p>
            <w:pPr>
              <w:rPr>
                <w:rFonts w:ascii="Arial"/>
                <w:sz w:val="21"/>
              </w:rPr>
            </w:pPr>
            <w:r/>
          </w:p>
        </w:tc>
        <w:tc>
          <w:tcPr>
            <w:tcW w:w="1169" w:type="dxa"/>
            <w:vAlign w:val="top"/>
          </w:tcPr>
          <w:p>
            <w:pPr>
              <w:pStyle w:val="TableText"/>
              <w:ind w:left="150"/>
              <w:spacing w:before="37" w:line="195" w:lineRule="auto"/>
              <w:rPr>
                <w:sz w:val="21"/>
                <w:szCs w:val="21"/>
              </w:rPr>
            </w:pPr>
            <w:r>
              <w:rPr>
                <w:sz w:val="21"/>
                <w:szCs w:val="21"/>
                <w:spacing w:val="-2"/>
              </w:rPr>
              <w:t>生活质量</w:t>
            </w:r>
          </w:p>
        </w:tc>
        <w:tc>
          <w:tcPr>
            <w:tcW w:w="769" w:type="dxa"/>
            <w:vAlign w:val="top"/>
          </w:tcPr>
          <w:p>
            <w:pPr>
              <w:rPr>
                <w:rFonts w:ascii="Arial"/>
                <w:sz w:val="21"/>
              </w:rPr>
            </w:pPr>
            <w:r/>
          </w:p>
        </w:tc>
        <w:tc>
          <w:tcPr>
            <w:tcW w:w="789" w:type="dxa"/>
            <w:vAlign w:val="top"/>
          </w:tcPr>
          <w:p>
            <w:pPr>
              <w:rPr>
                <w:rFonts w:ascii="Arial"/>
                <w:sz w:val="21"/>
              </w:rPr>
            </w:pPr>
            <w:r/>
          </w:p>
        </w:tc>
        <w:tc>
          <w:tcPr>
            <w:tcW w:w="759" w:type="dxa"/>
            <w:vAlign w:val="top"/>
          </w:tcPr>
          <w:p>
            <w:pPr>
              <w:rPr>
                <w:rFonts w:ascii="Arial"/>
                <w:sz w:val="21"/>
              </w:rPr>
            </w:pPr>
            <w:r/>
          </w:p>
        </w:tc>
        <w:tc>
          <w:tcPr>
            <w:tcW w:w="1189" w:type="dxa"/>
            <w:vAlign w:val="top"/>
          </w:tcPr>
          <w:p>
            <w:pPr>
              <w:pStyle w:val="TableText"/>
              <w:ind w:left="425"/>
              <w:spacing w:before="90" w:line="169" w:lineRule="exact"/>
              <w:rPr>
                <w:sz w:val="21"/>
                <w:szCs w:val="21"/>
              </w:rPr>
            </w:pPr>
            <w:r>
              <w:rPr>
                <w:sz w:val="21"/>
                <w:szCs w:val="21"/>
                <w:spacing w:val="-6"/>
                <w:position w:val="-2"/>
              </w:rPr>
              <w:t>1SP</w:t>
            </w:r>
          </w:p>
        </w:tc>
        <w:tc>
          <w:tcPr>
            <w:tcW w:w="599" w:type="dxa"/>
            <w:vAlign w:val="top"/>
          </w:tcPr>
          <w:p>
            <w:pPr>
              <w:pStyle w:val="TableText"/>
              <w:ind w:left="136"/>
              <w:spacing w:before="90" w:line="169" w:lineRule="exact"/>
              <w:rPr>
                <w:sz w:val="21"/>
                <w:szCs w:val="21"/>
              </w:rPr>
            </w:pPr>
            <w:r>
              <w:rPr>
                <w:sz w:val="21"/>
                <w:szCs w:val="21"/>
                <w:spacing w:val="-3"/>
                <w:position w:val="-2"/>
              </w:rPr>
              <w:t>2LP</w:t>
            </w:r>
          </w:p>
        </w:tc>
        <w:tc>
          <w:tcPr>
            <w:tcW w:w="599" w:type="dxa"/>
            <w:vAlign w:val="top"/>
          </w:tcPr>
          <w:p>
            <w:pPr>
              <w:pStyle w:val="TableText"/>
              <w:ind w:left="137"/>
              <w:spacing w:before="90" w:line="169" w:lineRule="exact"/>
              <w:rPr>
                <w:sz w:val="21"/>
                <w:szCs w:val="21"/>
              </w:rPr>
            </w:pPr>
            <w:r>
              <w:rPr>
                <w:sz w:val="21"/>
                <w:szCs w:val="21"/>
                <w:spacing w:val="-6"/>
                <w:position w:val="-2"/>
              </w:rPr>
              <w:t>1LP</w:t>
            </w:r>
          </w:p>
        </w:tc>
        <w:tc>
          <w:tcPr>
            <w:tcW w:w="589" w:type="dxa"/>
            <w:vAlign w:val="top"/>
          </w:tcPr>
          <w:p>
            <w:pPr>
              <w:rPr>
                <w:rFonts w:ascii="Arial"/>
                <w:sz w:val="21"/>
              </w:rPr>
            </w:pPr>
            <w:r/>
          </w:p>
        </w:tc>
        <w:tc>
          <w:tcPr>
            <w:tcW w:w="589" w:type="dxa"/>
            <w:vAlign w:val="top"/>
          </w:tcPr>
          <w:p>
            <w:pPr>
              <w:pStyle w:val="TableText"/>
              <w:ind w:left="129"/>
              <w:spacing w:before="90" w:line="169" w:lineRule="exact"/>
              <w:rPr>
                <w:sz w:val="21"/>
                <w:szCs w:val="21"/>
              </w:rPr>
            </w:pPr>
            <w:r>
              <w:rPr>
                <w:sz w:val="21"/>
                <w:szCs w:val="21"/>
                <w:spacing w:val="-6"/>
                <w:position w:val="-2"/>
              </w:rPr>
              <w:t>1LP</w:t>
            </w:r>
          </w:p>
        </w:tc>
        <w:tc>
          <w:tcPr>
            <w:tcW w:w="628" w:type="dxa"/>
            <w:vAlign w:val="top"/>
          </w:tcPr>
          <w:p>
            <w:pPr>
              <w:pStyle w:val="TableText"/>
              <w:ind w:left="149"/>
              <w:spacing w:before="90" w:line="169" w:lineRule="exact"/>
              <w:rPr>
                <w:sz w:val="21"/>
                <w:szCs w:val="21"/>
              </w:rPr>
            </w:pPr>
            <w:r>
              <w:rPr>
                <w:sz w:val="21"/>
                <w:szCs w:val="21"/>
                <w:spacing w:val="-6"/>
                <w:position w:val="-2"/>
              </w:rPr>
              <w:t>1LP</w:t>
            </w:r>
          </w:p>
        </w:tc>
      </w:tr>
      <w:tr>
        <w:trPr>
          <w:trHeight w:val="554" w:hRule="atLeast"/>
        </w:trPr>
        <w:tc>
          <w:tcPr>
            <w:tcW w:w="8323" w:type="dxa"/>
            <w:vAlign w:val="top"/>
            <w:gridSpan w:val="11"/>
          </w:tcPr>
          <w:p>
            <w:pPr>
              <w:pStyle w:val="TableText"/>
              <w:ind w:left="15"/>
              <w:spacing w:before="57" w:line="214" w:lineRule="auto"/>
              <w:rPr>
                <w:sz w:val="21"/>
                <w:szCs w:val="21"/>
              </w:rPr>
            </w:pPr>
            <w:r>
              <w:rPr>
                <w:sz w:val="21"/>
                <w:szCs w:val="21"/>
              </w:rPr>
              <w:t>备注：影响程度：1-轻微、2-一般、3-显著;影响时段：S-短期、L-长期；影响范围：P-局</w:t>
            </w:r>
            <w:r>
              <w:rPr>
                <w:sz w:val="21"/>
                <w:szCs w:val="21"/>
                <w:spacing w:val="1"/>
              </w:rPr>
              <w:t xml:space="preserve"> </w:t>
            </w:r>
            <w:r>
              <w:rPr>
                <w:sz w:val="21"/>
                <w:szCs w:val="21"/>
                <w:spacing w:val="2"/>
              </w:rPr>
              <w:t>部；W-大范围</w:t>
            </w:r>
          </w:p>
        </w:tc>
      </w:tr>
    </w:tbl>
    <w:p>
      <w:pPr>
        <w:ind w:left="4" w:right="29" w:firstLine="470"/>
        <w:spacing w:before="212" w:line="379" w:lineRule="auto"/>
        <w:jc w:val="both"/>
        <w:rPr>
          <w:rFonts w:ascii="SimSun" w:hAnsi="SimSun" w:eastAsia="SimSun" w:cs="SimSun"/>
          <w:sz w:val="23"/>
          <w:szCs w:val="23"/>
        </w:rPr>
      </w:pPr>
      <w:r>
        <w:rPr>
          <w:rFonts w:ascii="SimSun" w:hAnsi="SimSun" w:eastAsia="SimSun" w:cs="SimSun"/>
          <w:sz w:val="23"/>
          <w:szCs w:val="23"/>
          <w:spacing w:val="22"/>
        </w:rPr>
        <w:t>由上表可以看出，项目在施工期对周围自然环境、社会环境</w:t>
      </w:r>
      <w:r>
        <w:rPr>
          <w:rFonts w:ascii="SimSun" w:hAnsi="SimSun" w:eastAsia="SimSun" w:cs="SimSun"/>
          <w:sz w:val="23"/>
          <w:szCs w:val="23"/>
          <w:spacing w:val="21"/>
        </w:rPr>
        <w:t>的影响是轻</w:t>
      </w:r>
      <w:r>
        <w:rPr>
          <w:rFonts w:ascii="SimSun" w:hAnsi="SimSun" w:eastAsia="SimSun" w:cs="SimSun"/>
          <w:sz w:val="23"/>
          <w:szCs w:val="23"/>
        </w:rPr>
        <w:t xml:space="preserve"> </w:t>
      </w:r>
      <w:r>
        <w:rPr>
          <w:rFonts w:ascii="SimSun" w:hAnsi="SimSun" w:eastAsia="SimSun" w:cs="SimSun"/>
          <w:sz w:val="23"/>
          <w:szCs w:val="23"/>
          <w:spacing w:val="14"/>
        </w:rPr>
        <w:t>微、局部的和短期的，施工期结束，施工期对环境的影响也已随之停止。项目</w:t>
      </w:r>
      <w:r>
        <w:rPr>
          <w:rFonts w:ascii="SimSun" w:hAnsi="SimSun" w:eastAsia="SimSun" w:cs="SimSun"/>
          <w:sz w:val="23"/>
          <w:szCs w:val="23"/>
          <w:spacing w:val="16"/>
        </w:rPr>
        <w:t xml:space="preserve"> </w:t>
      </w:r>
      <w:r>
        <w:rPr>
          <w:rFonts w:ascii="SimSun" w:hAnsi="SimSun" w:eastAsia="SimSun" w:cs="SimSun"/>
          <w:sz w:val="23"/>
          <w:szCs w:val="23"/>
          <w:spacing w:val="14"/>
        </w:rPr>
        <w:t>运营期产生的废水、废气、噪声和固废将对项目周围自然、社会环境产生一定</w:t>
      </w:r>
      <w:r>
        <w:rPr>
          <w:rFonts w:ascii="SimSun" w:hAnsi="SimSun" w:eastAsia="SimSun" w:cs="SimSun"/>
          <w:sz w:val="23"/>
          <w:szCs w:val="23"/>
          <w:spacing w:val="8"/>
        </w:rPr>
        <w:t xml:space="preserve"> </w:t>
      </w:r>
      <w:r>
        <w:rPr>
          <w:rFonts w:ascii="SimSun" w:hAnsi="SimSun" w:eastAsia="SimSun" w:cs="SimSun"/>
          <w:sz w:val="23"/>
          <w:szCs w:val="23"/>
          <w:spacing w:val="5"/>
        </w:rPr>
        <w:t>程度不利影响。</w:t>
      </w:r>
    </w:p>
    <w:p>
      <w:pPr>
        <w:ind w:left="8"/>
        <w:spacing w:before="49" w:line="222" w:lineRule="auto"/>
        <w:rPr>
          <w:rFonts w:ascii="SimHei" w:hAnsi="SimHei" w:eastAsia="SimHei" w:cs="SimHei"/>
          <w:sz w:val="23"/>
          <w:szCs w:val="23"/>
        </w:rPr>
      </w:pPr>
      <w:r>
        <w:rPr>
          <w:rFonts w:ascii="SimHei" w:hAnsi="SimHei" w:eastAsia="SimHei" w:cs="SimHei"/>
          <w:sz w:val="23"/>
          <w:szCs w:val="23"/>
          <w:b/>
          <w:bCs/>
          <w:spacing w:val="16"/>
        </w:rPr>
        <w:t>1.7.2评价因子</w:t>
      </w:r>
    </w:p>
    <w:p>
      <w:pPr>
        <w:ind w:left="4" w:right="43" w:firstLine="470"/>
        <w:spacing w:before="198" w:line="377" w:lineRule="auto"/>
        <w:rPr>
          <w:rFonts w:ascii="SimSun" w:hAnsi="SimSun" w:eastAsia="SimSun" w:cs="SimSun"/>
          <w:sz w:val="23"/>
          <w:szCs w:val="23"/>
        </w:rPr>
      </w:pPr>
      <w:r>
        <w:rPr>
          <w:rFonts w:ascii="SimSun" w:hAnsi="SimSun" w:eastAsia="SimSun" w:cs="SimSun"/>
          <w:sz w:val="23"/>
          <w:szCs w:val="23"/>
          <w:spacing w:val="15"/>
        </w:rPr>
        <w:t>根据项目生产工艺与排污特点，结合厂址所在</w:t>
      </w:r>
      <w:r>
        <w:rPr>
          <w:rFonts w:ascii="SimSun" w:hAnsi="SimSun" w:eastAsia="SimSun" w:cs="SimSun"/>
          <w:sz w:val="23"/>
          <w:szCs w:val="23"/>
          <w:spacing w:val="14"/>
        </w:rPr>
        <w:t>区域环境特征和要求，经分</w:t>
      </w:r>
      <w:r>
        <w:rPr>
          <w:rFonts w:ascii="SimSun" w:hAnsi="SimSun" w:eastAsia="SimSun" w:cs="SimSun"/>
          <w:sz w:val="23"/>
          <w:szCs w:val="23"/>
        </w:rPr>
        <w:t xml:space="preserve"> </w:t>
      </w:r>
      <w:r>
        <w:rPr>
          <w:rFonts w:ascii="SimSun" w:hAnsi="SimSun" w:eastAsia="SimSun" w:cs="SimSun"/>
          <w:sz w:val="23"/>
          <w:szCs w:val="23"/>
          <w:spacing w:val="6"/>
        </w:rPr>
        <w:t>析筛选确定的环境评价因子如下：</w:t>
      </w:r>
    </w:p>
    <w:p>
      <w:pPr>
        <w:ind w:left="475"/>
        <w:spacing w:before="11" w:line="219" w:lineRule="auto"/>
        <w:rPr>
          <w:rFonts w:ascii="SimSun" w:hAnsi="SimSun" w:eastAsia="SimSun" w:cs="SimSun"/>
          <w:sz w:val="23"/>
          <w:szCs w:val="23"/>
        </w:rPr>
      </w:pPr>
      <w:r>
        <w:rPr>
          <w:rFonts w:ascii="SimSun" w:hAnsi="SimSun" w:eastAsia="SimSun" w:cs="SimSun"/>
          <w:sz w:val="23"/>
          <w:szCs w:val="23"/>
          <w:spacing w:val="3"/>
        </w:rPr>
        <w:t>1、地下水环境</w:t>
      </w:r>
    </w:p>
    <w:p>
      <w:pPr>
        <w:ind w:left="4" w:right="43" w:firstLine="470"/>
        <w:spacing w:before="152" w:line="376" w:lineRule="auto"/>
        <w:rPr>
          <w:rFonts w:ascii="SimSun" w:hAnsi="SimSun" w:eastAsia="SimSun" w:cs="SimSun"/>
          <w:sz w:val="23"/>
          <w:szCs w:val="23"/>
        </w:rPr>
      </w:pPr>
      <w:r>
        <w:rPr>
          <w:rFonts w:ascii="SimSun" w:hAnsi="SimSun" w:eastAsia="SimSun" w:cs="SimSun"/>
          <w:sz w:val="23"/>
          <w:szCs w:val="23"/>
          <w:spacing w:val="10"/>
        </w:rPr>
        <w:t>现状评价因子：</w:t>
      </w:r>
      <w:r>
        <w:rPr>
          <w:rFonts w:ascii="SimSun" w:hAnsi="SimSun" w:eastAsia="SimSun" w:cs="SimSun"/>
          <w:sz w:val="23"/>
          <w:szCs w:val="23"/>
          <w:spacing w:val="-33"/>
        </w:rPr>
        <w:t xml:space="preserve"> </w:t>
      </w:r>
      <w:r>
        <w:rPr>
          <w:rFonts w:ascii="Times New Roman" w:hAnsi="Times New Roman" w:eastAsia="Times New Roman" w:cs="Times New Roman"/>
          <w:sz w:val="23"/>
          <w:szCs w:val="23"/>
        </w:rPr>
        <w:t>pH</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10"/>
        </w:rPr>
        <w:t>、硝酸盐、亚硝酸盐、氯化物、挥发性酚类、氨氮、氰</w:t>
      </w:r>
      <w:r>
        <w:rPr>
          <w:rFonts w:ascii="SimSun" w:hAnsi="SimSun" w:eastAsia="SimSun" w:cs="SimSun"/>
          <w:sz w:val="23"/>
          <w:szCs w:val="23"/>
        </w:rPr>
        <w:t xml:space="preserve"> </w:t>
      </w:r>
      <w:r>
        <w:rPr>
          <w:rFonts w:ascii="SimSun" w:hAnsi="SimSun" w:eastAsia="SimSun" w:cs="SimSun"/>
          <w:sz w:val="23"/>
          <w:szCs w:val="23"/>
          <w:spacing w:val="13"/>
        </w:rPr>
        <w:t>化物、六价铬、溶解性总固体、总硬度、汞、镉、砷、铅、锰、铁、硫酸盐、</w:t>
      </w:r>
      <w:r>
        <w:rPr>
          <w:rFonts w:ascii="SimSun" w:hAnsi="SimSun" w:eastAsia="SimSun" w:cs="SimSun"/>
          <w:sz w:val="23"/>
          <w:szCs w:val="23"/>
          <w:spacing w:val="2"/>
        </w:rPr>
        <w:t xml:space="preserve"> </w:t>
      </w:r>
      <w:r>
        <w:rPr>
          <w:rFonts w:ascii="SimSun" w:hAnsi="SimSun" w:eastAsia="SimSun" w:cs="SimSun"/>
          <w:sz w:val="23"/>
          <w:szCs w:val="23"/>
          <w:spacing w:val="8"/>
        </w:rPr>
        <w:t>氟化物、钾、钠、钙、镁、碳酸盐、重碳酸盐、耗氧量。</w:t>
      </w:r>
    </w:p>
    <w:p>
      <w:pPr>
        <w:ind w:left="475"/>
        <w:spacing w:line="220" w:lineRule="auto"/>
        <w:rPr>
          <w:rFonts w:ascii="SimSun" w:hAnsi="SimSun" w:eastAsia="SimSun" w:cs="SimSun"/>
          <w:sz w:val="23"/>
          <w:szCs w:val="23"/>
        </w:rPr>
      </w:pPr>
      <w:r>
        <w:rPr>
          <w:rFonts w:ascii="SimSun" w:hAnsi="SimSun" w:eastAsia="SimSun" w:cs="SimSun"/>
          <w:sz w:val="23"/>
          <w:szCs w:val="23"/>
          <w:spacing w:val="-1"/>
        </w:rPr>
        <w:t>预测因子：</w:t>
      </w:r>
      <w:r>
        <w:rPr>
          <w:rFonts w:ascii="Times New Roman" w:hAnsi="Times New Roman" w:eastAsia="Times New Roman" w:cs="Times New Roman"/>
          <w:sz w:val="23"/>
          <w:szCs w:val="23"/>
          <w:spacing w:val="-1"/>
        </w:rPr>
        <w:t>COD</w:t>
      </w:r>
      <w:r>
        <w:rPr>
          <w:rFonts w:ascii="Times New Roman" w:hAnsi="Times New Roman" w:eastAsia="Times New Roman" w:cs="Times New Roman"/>
          <w:sz w:val="23"/>
          <w:szCs w:val="23"/>
          <w:spacing w:val="-23"/>
        </w:rPr>
        <w:t xml:space="preserve"> </w:t>
      </w:r>
      <w:r>
        <w:rPr>
          <w:rFonts w:ascii="SimSun" w:hAnsi="SimSun" w:eastAsia="SimSun" w:cs="SimSun"/>
          <w:sz w:val="23"/>
          <w:szCs w:val="23"/>
          <w:spacing w:val="-1"/>
        </w:rPr>
        <w:t>、</w:t>
      </w:r>
      <w:r>
        <w:rPr>
          <w:rFonts w:ascii="Times New Roman" w:hAnsi="Times New Roman" w:eastAsia="Times New Roman" w:cs="Times New Roman"/>
          <w:sz w:val="23"/>
          <w:szCs w:val="23"/>
          <w:spacing w:val="-1"/>
        </w:rPr>
        <w:t>NH₃-N</w:t>
      </w:r>
      <w:r>
        <w:rPr>
          <w:rFonts w:ascii="SimSun" w:hAnsi="SimSun" w:eastAsia="SimSun" w:cs="SimSun"/>
          <w:sz w:val="23"/>
          <w:szCs w:val="23"/>
          <w:spacing w:val="-1"/>
        </w:rPr>
        <w:t>。</w:t>
      </w:r>
    </w:p>
    <w:p>
      <w:pPr>
        <w:ind w:left="475"/>
        <w:spacing w:before="216" w:line="220" w:lineRule="auto"/>
        <w:rPr>
          <w:rFonts w:ascii="SimSun" w:hAnsi="SimSun" w:eastAsia="SimSun" w:cs="SimSun"/>
          <w:sz w:val="23"/>
          <w:szCs w:val="23"/>
        </w:rPr>
      </w:pPr>
      <w:r>
        <w:rPr>
          <w:rFonts w:ascii="SimSun" w:hAnsi="SimSun" w:eastAsia="SimSun" w:cs="SimSun"/>
          <w:sz w:val="23"/>
          <w:szCs w:val="23"/>
          <w:spacing w:val="15"/>
        </w:rPr>
        <w:t>2、环境空气</w:t>
      </w:r>
    </w:p>
    <w:p>
      <w:pPr>
        <w:spacing w:line="220" w:lineRule="auto"/>
        <w:sectPr>
          <w:headerReference w:type="default" r:id="rId137"/>
          <w:footerReference w:type="default" r:id="rId138"/>
          <w:pgSz w:w="11910" w:h="16840"/>
          <w:pgMar w:top="1219" w:right="1786" w:bottom="1017" w:left="1774" w:header="865" w:footer="719" w:gutter="0"/>
        </w:sectPr>
        <w:rPr>
          <w:rFonts w:ascii="SimSun" w:hAnsi="SimSun" w:eastAsia="SimSun" w:cs="SimSun"/>
          <w:sz w:val="23"/>
          <w:szCs w:val="23"/>
        </w:rPr>
      </w:pPr>
    </w:p>
    <w:p>
      <w:pPr>
        <w:ind w:left="4" w:right="52" w:firstLine="470"/>
        <w:spacing w:before="278" w:line="390" w:lineRule="auto"/>
        <w:rPr>
          <w:rFonts w:ascii="SimSun" w:hAnsi="SimSun" w:eastAsia="SimSun" w:cs="SimSun"/>
          <w:sz w:val="23"/>
          <w:szCs w:val="23"/>
        </w:rPr>
      </w:pPr>
      <w:r>
        <w:rPr>
          <w:rFonts w:ascii="SimSun" w:hAnsi="SimSun" w:eastAsia="SimSun" w:cs="SimSun"/>
          <w:sz w:val="23"/>
          <w:szCs w:val="23"/>
          <w:spacing w:val="-3"/>
        </w:rPr>
        <w:t>现状评价因子： </w:t>
      </w:r>
      <w:r>
        <w:rPr>
          <w:rFonts w:ascii="Times New Roman" w:hAnsi="Times New Roman" w:eastAsia="Times New Roman" w:cs="Times New Roman"/>
          <w:sz w:val="23"/>
          <w:szCs w:val="23"/>
          <w:spacing w:val="-3"/>
        </w:rPr>
        <w:t>SO₂</w:t>
      </w:r>
      <w:r>
        <w:rPr>
          <w:rFonts w:ascii="Times New Roman" w:hAnsi="Times New Roman" w:eastAsia="Times New Roman" w:cs="Times New Roman"/>
          <w:sz w:val="23"/>
          <w:szCs w:val="23"/>
          <w:spacing w:val="-26"/>
        </w:rPr>
        <w:t xml:space="preserve"> </w:t>
      </w:r>
      <w:r>
        <w:rPr>
          <w:rFonts w:ascii="SimSun" w:hAnsi="SimSun" w:eastAsia="SimSun" w:cs="SimSun"/>
          <w:sz w:val="23"/>
          <w:szCs w:val="23"/>
          <w:spacing w:val="-3"/>
        </w:rPr>
        <w:t>、</w:t>
      </w:r>
      <w:r>
        <w:rPr>
          <w:rFonts w:ascii="Times New Roman" w:hAnsi="Times New Roman" w:eastAsia="Times New Roman" w:cs="Times New Roman"/>
          <w:sz w:val="23"/>
          <w:szCs w:val="23"/>
          <w:spacing w:val="-3"/>
        </w:rPr>
        <w:t>NO₂</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3"/>
        </w:rPr>
        <w:t>、</w:t>
      </w:r>
      <w:r>
        <w:rPr>
          <w:rFonts w:ascii="Times New Roman" w:hAnsi="Times New Roman" w:eastAsia="Times New Roman" w:cs="Times New Roman"/>
          <w:sz w:val="23"/>
          <w:szCs w:val="23"/>
          <w:spacing w:val="-3"/>
        </w:rPr>
        <w:t>CO</w:t>
      </w:r>
      <w:r>
        <w:rPr>
          <w:rFonts w:ascii="Times New Roman" w:hAnsi="Times New Roman" w:eastAsia="Times New Roman" w:cs="Times New Roman"/>
          <w:sz w:val="23"/>
          <w:szCs w:val="23"/>
          <w:spacing w:val="-33"/>
        </w:rPr>
        <w:t xml:space="preserve"> </w:t>
      </w:r>
      <w:r>
        <w:rPr>
          <w:rFonts w:ascii="SimSun" w:hAnsi="SimSun" w:eastAsia="SimSun" w:cs="SimSun"/>
          <w:sz w:val="23"/>
          <w:szCs w:val="23"/>
          <w:spacing w:val="-3"/>
        </w:rPr>
        <w:t>、</w:t>
      </w:r>
      <w:r>
        <w:rPr>
          <w:rFonts w:ascii="Times New Roman" w:hAnsi="Times New Roman" w:eastAsia="Times New Roman" w:cs="Times New Roman"/>
          <w:sz w:val="23"/>
          <w:szCs w:val="23"/>
          <w:spacing w:val="-3"/>
        </w:rPr>
        <w:t>O₃</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3"/>
        </w:rPr>
        <w:t>、</w:t>
      </w:r>
      <w:r>
        <w:rPr>
          <w:rFonts w:ascii="Times New Roman" w:hAnsi="Times New Roman" w:eastAsia="Times New Roman" w:cs="Times New Roman"/>
          <w:sz w:val="23"/>
          <w:szCs w:val="23"/>
          <w:spacing w:val="-3"/>
        </w:rPr>
        <w:t>PM2.5</w:t>
      </w:r>
      <w:r>
        <w:rPr>
          <w:rFonts w:ascii="Times New Roman" w:hAnsi="Times New Roman" w:eastAsia="Times New Roman" w:cs="Times New Roman"/>
          <w:sz w:val="23"/>
          <w:szCs w:val="23"/>
          <w:spacing w:val="-33"/>
        </w:rPr>
        <w:t xml:space="preserve"> </w:t>
      </w:r>
      <w:r>
        <w:rPr>
          <w:rFonts w:ascii="SimSun" w:hAnsi="SimSun" w:eastAsia="SimSun" w:cs="SimSun"/>
          <w:sz w:val="23"/>
          <w:szCs w:val="23"/>
          <w:spacing w:val="-3"/>
        </w:rPr>
        <w:t>、</w:t>
      </w:r>
      <w:r>
        <w:rPr>
          <w:rFonts w:ascii="Times New Roman" w:hAnsi="Times New Roman" w:eastAsia="Times New Roman" w:cs="Times New Roman"/>
          <w:sz w:val="23"/>
          <w:szCs w:val="23"/>
          <w:spacing w:val="-3"/>
        </w:rPr>
        <w:t>PM10</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3"/>
        </w:rPr>
        <w:t>、</w:t>
      </w:r>
      <w:r>
        <w:rPr>
          <w:rFonts w:ascii="Times New Roman" w:hAnsi="Times New Roman" w:eastAsia="Times New Roman" w:cs="Times New Roman"/>
          <w:sz w:val="23"/>
          <w:szCs w:val="23"/>
          <w:spacing w:val="-3"/>
        </w:rPr>
        <w:t>NH₃</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3"/>
        </w:rPr>
        <w:t>、</w:t>
      </w:r>
      <w:r>
        <w:rPr>
          <w:rFonts w:ascii="Times New Roman" w:hAnsi="Times New Roman" w:eastAsia="Times New Roman" w:cs="Times New Roman"/>
          <w:sz w:val="23"/>
          <w:szCs w:val="23"/>
          <w:spacing w:val="-3"/>
        </w:rPr>
        <w:t>H₂S</w:t>
      </w:r>
      <w:r>
        <w:rPr>
          <w:rFonts w:ascii="Times New Roman" w:hAnsi="Times New Roman" w:eastAsia="Times New Roman" w:cs="Times New Roman"/>
          <w:sz w:val="23"/>
          <w:szCs w:val="23"/>
          <w:spacing w:val="-33"/>
        </w:rPr>
        <w:t xml:space="preserve"> </w:t>
      </w:r>
      <w:r>
        <w:rPr>
          <w:rFonts w:ascii="SimSun" w:hAnsi="SimSun" w:eastAsia="SimSun" w:cs="SimSun"/>
          <w:sz w:val="23"/>
          <w:szCs w:val="23"/>
          <w:spacing w:val="-3"/>
        </w:rPr>
        <w:t>、  臭气浓</w:t>
      </w:r>
      <w:r>
        <w:rPr>
          <w:rFonts w:ascii="SimSun" w:hAnsi="SimSun" w:eastAsia="SimSun" w:cs="SimSun"/>
          <w:sz w:val="23"/>
          <w:szCs w:val="23"/>
        </w:rPr>
        <w:t xml:space="preserve"> </w:t>
      </w:r>
      <w:r>
        <w:rPr>
          <w:rFonts w:ascii="SimSun" w:hAnsi="SimSun" w:eastAsia="SimSun" w:cs="SimSun"/>
          <w:sz w:val="23"/>
          <w:szCs w:val="23"/>
          <w:spacing w:val="-5"/>
        </w:rPr>
        <w:t>度</w:t>
      </w:r>
      <w:r>
        <w:rPr>
          <w:rFonts w:ascii="SimSun" w:hAnsi="SimSun" w:eastAsia="SimSun" w:cs="SimSun"/>
          <w:sz w:val="23"/>
          <w:szCs w:val="23"/>
          <w:spacing w:val="-48"/>
        </w:rPr>
        <w:t xml:space="preserve"> </w:t>
      </w:r>
      <w:r>
        <w:rPr>
          <w:rFonts w:ascii="SimSun" w:hAnsi="SimSun" w:eastAsia="SimSun" w:cs="SimSun"/>
          <w:sz w:val="23"/>
          <w:szCs w:val="23"/>
          <w:spacing w:val="-5"/>
        </w:rPr>
        <w:t>。</w:t>
      </w:r>
    </w:p>
    <w:p>
      <w:pPr>
        <w:ind w:left="475"/>
        <w:spacing w:line="220" w:lineRule="auto"/>
        <w:rPr>
          <w:rFonts w:ascii="SimSun" w:hAnsi="SimSun" w:eastAsia="SimSun" w:cs="SimSun"/>
          <w:sz w:val="23"/>
          <w:szCs w:val="23"/>
        </w:rPr>
      </w:pPr>
      <w:r>
        <w:rPr>
          <w:rFonts w:ascii="SimSun" w:hAnsi="SimSun" w:eastAsia="SimSun" w:cs="SimSun"/>
          <w:sz w:val="23"/>
          <w:szCs w:val="23"/>
        </w:rPr>
        <w:t>预测因子：</w:t>
      </w:r>
      <w:r>
        <w:rPr>
          <w:rFonts w:ascii="Times New Roman" w:hAnsi="Times New Roman" w:eastAsia="Times New Roman" w:cs="Times New Roman"/>
          <w:sz w:val="23"/>
          <w:szCs w:val="23"/>
        </w:rPr>
        <w:t>NH₃</w:t>
      </w:r>
      <w:r>
        <w:rPr>
          <w:rFonts w:ascii="Times New Roman" w:hAnsi="Times New Roman" w:eastAsia="Times New Roman" w:cs="Times New Roman"/>
          <w:sz w:val="23"/>
          <w:szCs w:val="23"/>
          <w:spacing w:val="-27"/>
        </w:rPr>
        <w:t xml:space="preserve"> </w:t>
      </w:r>
      <w:r>
        <w:rPr>
          <w:rFonts w:ascii="SimSun" w:hAnsi="SimSun" w:eastAsia="SimSun" w:cs="SimSun"/>
          <w:sz w:val="23"/>
          <w:szCs w:val="23"/>
        </w:rPr>
        <w:t>、</w:t>
      </w:r>
      <w:r>
        <w:rPr>
          <w:rFonts w:ascii="Times New Roman" w:hAnsi="Times New Roman" w:eastAsia="Times New Roman" w:cs="Times New Roman"/>
          <w:sz w:val="23"/>
          <w:szCs w:val="23"/>
        </w:rPr>
        <w:t>H₂S</w:t>
      </w:r>
      <w:r>
        <w:rPr>
          <w:rFonts w:ascii="SimSun" w:hAnsi="SimSun" w:eastAsia="SimSun" w:cs="SimSun"/>
          <w:sz w:val="23"/>
          <w:szCs w:val="23"/>
        </w:rPr>
        <w:t>。</w:t>
      </w:r>
    </w:p>
    <w:p>
      <w:pPr>
        <w:ind w:left="475"/>
        <w:spacing w:before="175" w:line="220" w:lineRule="auto"/>
        <w:rPr>
          <w:rFonts w:ascii="SimSun" w:hAnsi="SimSun" w:eastAsia="SimSun" w:cs="SimSun"/>
          <w:sz w:val="23"/>
          <w:szCs w:val="23"/>
        </w:rPr>
      </w:pPr>
      <w:r>
        <w:rPr>
          <w:rFonts w:ascii="SimSun" w:hAnsi="SimSun" w:eastAsia="SimSun" w:cs="SimSun"/>
          <w:sz w:val="23"/>
          <w:szCs w:val="23"/>
          <w:spacing w:val="8"/>
        </w:rPr>
        <w:t>3、声环境</w:t>
      </w:r>
    </w:p>
    <w:p>
      <w:pPr>
        <w:ind w:left="475"/>
        <w:spacing w:before="179" w:line="212" w:lineRule="auto"/>
        <w:rPr>
          <w:rFonts w:ascii="SimSun" w:hAnsi="SimSun" w:eastAsia="SimSun" w:cs="SimSun"/>
          <w:sz w:val="23"/>
          <w:szCs w:val="23"/>
        </w:rPr>
      </w:pPr>
      <w:r>
        <w:rPr>
          <w:rFonts w:ascii="SimSun" w:hAnsi="SimSun" w:eastAsia="SimSun" w:cs="SimSun"/>
          <w:sz w:val="23"/>
          <w:szCs w:val="23"/>
          <w:spacing w:val="8"/>
        </w:rPr>
        <w:t>现状评价因子：厂界本底环境噪声等效连续</w:t>
      </w:r>
      <w:r>
        <w:rPr>
          <w:rFonts w:ascii="Times New Roman" w:hAnsi="Times New Roman" w:eastAsia="Times New Roman" w:cs="Times New Roman"/>
          <w:sz w:val="23"/>
          <w:szCs w:val="23"/>
          <w:spacing w:val="8"/>
        </w:rPr>
        <w:t>A</w:t>
      </w:r>
      <w:r>
        <w:rPr>
          <w:rFonts w:ascii="SimSun" w:hAnsi="SimSun" w:eastAsia="SimSun" w:cs="SimSun"/>
          <w:sz w:val="23"/>
          <w:szCs w:val="23"/>
          <w:spacing w:val="8"/>
        </w:rPr>
        <w:t>声级</w:t>
      </w:r>
      <w:r>
        <w:rPr>
          <w:rFonts w:ascii="Times New Roman" w:hAnsi="Times New Roman" w:eastAsia="Times New Roman" w:cs="Times New Roman"/>
          <w:sz w:val="23"/>
          <w:szCs w:val="23"/>
        </w:rPr>
        <w:t>Leq</w:t>
      </w:r>
      <w:r>
        <w:rPr>
          <w:rFonts w:ascii="SimSun" w:hAnsi="SimSun" w:eastAsia="SimSun" w:cs="SimSun"/>
          <w:sz w:val="23"/>
          <w:szCs w:val="23"/>
          <w:spacing w:val="8"/>
        </w:rPr>
        <w:t>。</w:t>
      </w:r>
    </w:p>
    <w:p>
      <w:pPr>
        <w:ind w:left="475"/>
        <w:spacing w:before="235" w:line="214" w:lineRule="auto"/>
        <w:rPr>
          <w:rFonts w:ascii="SimSun" w:hAnsi="SimSun" w:eastAsia="SimSun" w:cs="SimSun"/>
          <w:sz w:val="23"/>
          <w:szCs w:val="23"/>
        </w:rPr>
      </w:pPr>
      <w:r>
        <w:rPr>
          <w:rFonts w:ascii="SimSun" w:hAnsi="SimSun" w:eastAsia="SimSun" w:cs="SimSun"/>
          <w:sz w:val="23"/>
          <w:szCs w:val="23"/>
          <w:spacing w:val="6"/>
        </w:rPr>
        <w:t>预测评价因子：厂界噪声等效连续A</w:t>
      </w:r>
      <w:r>
        <w:rPr>
          <w:rFonts w:ascii="SimSun" w:hAnsi="SimSun" w:eastAsia="SimSun" w:cs="SimSun"/>
          <w:sz w:val="23"/>
          <w:szCs w:val="23"/>
          <w:spacing w:val="-34"/>
        </w:rPr>
        <w:t xml:space="preserve"> </w:t>
      </w:r>
      <w:r>
        <w:rPr>
          <w:rFonts w:ascii="SimSun" w:hAnsi="SimSun" w:eastAsia="SimSun" w:cs="SimSun"/>
          <w:sz w:val="23"/>
          <w:szCs w:val="23"/>
          <w:spacing w:val="6"/>
        </w:rPr>
        <w:t>声级</w:t>
      </w:r>
      <w:r>
        <w:rPr>
          <w:rFonts w:ascii="SimSun" w:hAnsi="SimSun" w:eastAsia="SimSun" w:cs="SimSun"/>
          <w:sz w:val="23"/>
          <w:szCs w:val="23"/>
        </w:rPr>
        <w:t>Leq</w:t>
      </w:r>
      <w:r>
        <w:rPr>
          <w:rFonts w:ascii="SimSun" w:hAnsi="SimSun" w:eastAsia="SimSun" w:cs="SimSun"/>
          <w:sz w:val="23"/>
          <w:szCs w:val="23"/>
          <w:spacing w:val="6"/>
        </w:rPr>
        <w:t>。</w:t>
      </w:r>
    </w:p>
    <w:p>
      <w:pPr>
        <w:ind w:left="475"/>
        <w:spacing w:before="161" w:line="220" w:lineRule="auto"/>
        <w:rPr>
          <w:rFonts w:ascii="SimSun" w:hAnsi="SimSun" w:eastAsia="SimSun" w:cs="SimSun"/>
          <w:sz w:val="23"/>
          <w:szCs w:val="23"/>
        </w:rPr>
      </w:pPr>
      <w:r>
        <w:rPr>
          <w:rFonts w:ascii="SimSun" w:hAnsi="SimSun" w:eastAsia="SimSun" w:cs="SimSun"/>
          <w:sz w:val="23"/>
          <w:szCs w:val="23"/>
          <w:spacing w:val="11"/>
        </w:rPr>
        <w:t>4、固废</w:t>
      </w:r>
    </w:p>
    <w:p>
      <w:pPr>
        <w:ind w:left="475"/>
        <w:spacing w:before="196" w:line="220" w:lineRule="auto"/>
        <w:rPr>
          <w:rFonts w:ascii="SimSun" w:hAnsi="SimSun" w:eastAsia="SimSun" w:cs="SimSun"/>
          <w:sz w:val="23"/>
          <w:szCs w:val="23"/>
        </w:rPr>
      </w:pPr>
      <w:r>
        <w:rPr>
          <w:rFonts w:ascii="SimSun" w:hAnsi="SimSun" w:eastAsia="SimSun" w:cs="SimSun"/>
          <w:sz w:val="23"/>
          <w:szCs w:val="23"/>
          <w:spacing w:val="6"/>
        </w:rPr>
        <w:t>固体废物处置可行性分析。</w:t>
      </w:r>
    </w:p>
    <w:p>
      <w:pPr>
        <w:ind w:left="8"/>
        <w:spacing w:before="230" w:line="222" w:lineRule="auto"/>
        <w:rPr>
          <w:rFonts w:ascii="SimHei" w:hAnsi="SimHei" w:eastAsia="SimHei" w:cs="SimHei"/>
          <w:sz w:val="25"/>
          <w:szCs w:val="25"/>
        </w:rPr>
      </w:pPr>
      <w:r>
        <w:rPr>
          <w:rFonts w:ascii="SimHei" w:hAnsi="SimHei" w:eastAsia="SimHei" w:cs="SimHei"/>
          <w:sz w:val="25"/>
          <w:szCs w:val="25"/>
          <w:b/>
          <w:bCs/>
          <w:spacing w:val="5"/>
        </w:rPr>
        <w:t>1.7.3环境质量标准</w:t>
      </w:r>
    </w:p>
    <w:p>
      <w:pPr>
        <w:ind w:right="28" w:firstLine="478"/>
        <w:spacing w:before="224" w:line="367" w:lineRule="auto"/>
        <w:tabs>
          <w:tab w:val="left" w:pos="115"/>
        </w:tabs>
        <w:jc w:val="both"/>
        <w:rPr>
          <w:rFonts w:ascii="SimSun" w:hAnsi="SimSun" w:eastAsia="SimSun" w:cs="SimSun"/>
          <w:sz w:val="23"/>
          <w:szCs w:val="23"/>
        </w:rPr>
      </w:pPr>
      <w:r>
        <w:rPr>
          <w:rFonts w:ascii="SimSun" w:hAnsi="SimSun" w:eastAsia="SimSun" w:cs="SimSun"/>
          <w:sz w:val="23"/>
          <w:szCs w:val="23"/>
          <w:b/>
          <w:bCs/>
          <w:spacing w:val="12"/>
        </w:rPr>
        <w:t>环境空气：</w:t>
      </w:r>
      <w:r>
        <w:rPr>
          <w:rFonts w:ascii="SimSun" w:hAnsi="SimSun" w:eastAsia="SimSun" w:cs="SimSun"/>
          <w:sz w:val="23"/>
          <w:szCs w:val="23"/>
          <w:spacing w:val="-36"/>
        </w:rPr>
        <w:t xml:space="preserve"> </w:t>
      </w:r>
      <w:r>
        <w:rPr>
          <w:rFonts w:ascii="SimSun" w:hAnsi="SimSun" w:eastAsia="SimSun" w:cs="SimSun"/>
          <w:sz w:val="23"/>
          <w:szCs w:val="23"/>
          <w:spacing w:val="12"/>
        </w:rPr>
        <w:t>本项目位于绵阳安州工业园区内，不涉及自然保护区、风景名</w:t>
      </w:r>
      <w:r>
        <w:rPr>
          <w:rFonts w:ascii="SimSun" w:hAnsi="SimSun" w:eastAsia="SimSun" w:cs="SimSun"/>
          <w:sz w:val="23"/>
          <w:szCs w:val="23"/>
        </w:rPr>
        <w:t xml:space="preserve"> </w:t>
      </w:r>
      <w:r>
        <w:rPr>
          <w:rFonts w:ascii="SimSun" w:hAnsi="SimSun" w:eastAsia="SimSun" w:cs="SimSun"/>
          <w:sz w:val="23"/>
          <w:szCs w:val="23"/>
          <w:spacing w:val="15"/>
        </w:rPr>
        <w:t>胜区和其他需要特殊保护的区域，评价区大气环境</w:t>
      </w:r>
      <w:r>
        <w:rPr>
          <w:rFonts w:ascii="SimSun" w:hAnsi="SimSun" w:eastAsia="SimSun" w:cs="SimSun"/>
          <w:sz w:val="23"/>
          <w:szCs w:val="23"/>
          <w:spacing w:val="14"/>
        </w:rPr>
        <w:t>属于《环境空气质量标准》</w:t>
      </w:r>
      <w:r>
        <w:rPr>
          <w:rFonts w:ascii="SimSun" w:hAnsi="SimSun" w:eastAsia="SimSun" w:cs="SimSun"/>
          <w:sz w:val="23"/>
          <w:szCs w:val="23"/>
        </w:rPr>
        <w:t xml:space="preserve"> </w:t>
      </w:r>
      <w:r>
        <w:rPr>
          <w:rFonts w:ascii="Times New Roman" w:hAnsi="Times New Roman" w:eastAsia="Times New Roman" w:cs="Times New Roman"/>
          <w:sz w:val="23"/>
          <w:szCs w:val="23"/>
        </w:rPr>
        <w:tab/>
      </w:r>
      <w:r>
        <w:rPr>
          <w:rFonts w:ascii="Times New Roman" w:hAnsi="Times New Roman" w:eastAsia="Times New Roman" w:cs="Times New Roman"/>
          <w:sz w:val="23"/>
          <w:szCs w:val="23"/>
        </w:rPr>
        <w:t>(GB3095-2012)     </w:t>
      </w:r>
      <w:r>
        <w:rPr>
          <w:rFonts w:ascii="SimSun" w:hAnsi="SimSun" w:eastAsia="SimSun" w:cs="SimSun"/>
          <w:sz w:val="23"/>
          <w:szCs w:val="23"/>
        </w:rPr>
        <w:t>中的二类区</w:t>
      </w:r>
      <w:r>
        <w:rPr>
          <w:rFonts w:ascii="SimSun" w:hAnsi="SimSun" w:eastAsia="SimSun" w:cs="SimSun"/>
          <w:sz w:val="23"/>
          <w:szCs w:val="23"/>
          <w:spacing w:val="-1"/>
        </w:rPr>
        <w:t>，因此，</w:t>
      </w:r>
      <w:r>
        <w:rPr>
          <w:rFonts w:ascii="SimSun" w:hAnsi="SimSun" w:eastAsia="SimSun" w:cs="SimSun"/>
          <w:sz w:val="23"/>
          <w:szCs w:val="23"/>
          <w:spacing w:val="-35"/>
        </w:rPr>
        <w:t xml:space="preserve"> </w:t>
      </w:r>
      <w:r>
        <w:rPr>
          <w:rFonts w:ascii="Times New Roman" w:hAnsi="Times New Roman" w:eastAsia="Times New Roman" w:cs="Times New Roman"/>
          <w:sz w:val="23"/>
          <w:szCs w:val="23"/>
          <w:spacing w:val="-1"/>
        </w:rPr>
        <w:t>CO</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1"/>
        </w:rPr>
        <w:t>、</w:t>
      </w:r>
      <w:r>
        <w:rPr>
          <w:rFonts w:ascii="Times New Roman" w:hAnsi="Times New Roman" w:eastAsia="Times New Roman" w:cs="Times New Roman"/>
          <w:sz w:val="23"/>
          <w:szCs w:val="23"/>
          <w:spacing w:val="-1"/>
        </w:rPr>
        <w:t>PM2.5</w:t>
      </w:r>
      <w:r>
        <w:rPr>
          <w:rFonts w:ascii="Times New Roman" w:hAnsi="Times New Roman" w:eastAsia="Times New Roman" w:cs="Times New Roman"/>
          <w:sz w:val="23"/>
          <w:szCs w:val="23"/>
          <w:spacing w:val="-33"/>
        </w:rPr>
        <w:t xml:space="preserve"> </w:t>
      </w:r>
      <w:r>
        <w:rPr>
          <w:rFonts w:ascii="SimSun" w:hAnsi="SimSun" w:eastAsia="SimSun" w:cs="SimSun"/>
          <w:sz w:val="23"/>
          <w:szCs w:val="23"/>
          <w:spacing w:val="-1"/>
        </w:rPr>
        <w:t>、</w:t>
      </w:r>
      <w:r>
        <w:rPr>
          <w:rFonts w:ascii="Times New Roman" w:hAnsi="Times New Roman" w:eastAsia="Times New Roman" w:cs="Times New Roman"/>
          <w:sz w:val="23"/>
          <w:szCs w:val="23"/>
          <w:spacing w:val="-1"/>
        </w:rPr>
        <w:t>PM1₀</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1"/>
        </w:rPr>
        <w:t>、</w:t>
      </w:r>
      <w:r>
        <w:rPr>
          <w:rFonts w:ascii="Times New Roman" w:hAnsi="Times New Roman" w:eastAsia="Times New Roman" w:cs="Times New Roman"/>
          <w:sz w:val="23"/>
          <w:szCs w:val="23"/>
          <w:spacing w:val="-1"/>
        </w:rPr>
        <w:t>NO₂</w:t>
      </w:r>
      <w:r>
        <w:rPr>
          <w:rFonts w:ascii="Times New Roman" w:hAnsi="Times New Roman" w:eastAsia="Times New Roman" w:cs="Times New Roman"/>
          <w:sz w:val="23"/>
          <w:szCs w:val="23"/>
          <w:spacing w:val="-33"/>
        </w:rPr>
        <w:t xml:space="preserve"> </w:t>
      </w:r>
      <w:r>
        <w:rPr>
          <w:rFonts w:ascii="SimSun" w:hAnsi="SimSun" w:eastAsia="SimSun" w:cs="SimSun"/>
          <w:sz w:val="23"/>
          <w:szCs w:val="23"/>
          <w:spacing w:val="-1"/>
        </w:rPr>
        <w:t>、</w:t>
      </w:r>
      <w:r>
        <w:rPr>
          <w:rFonts w:ascii="Times New Roman" w:hAnsi="Times New Roman" w:eastAsia="Times New Roman" w:cs="Times New Roman"/>
          <w:sz w:val="23"/>
          <w:szCs w:val="23"/>
          <w:spacing w:val="-1"/>
        </w:rPr>
        <w:t>SO₂</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1"/>
        </w:rPr>
        <w:t>、</w:t>
      </w:r>
      <w:r>
        <w:rPr>
          <w:rFonts w:ascii="Times New Roman" w:hAnsi="Times New Roman" w:eastAsia="Times New Roman" w:cs="Times New Roman"/>
          <w:sz w:val="23"/>
          <w:szCs w:val="23"/>
          <w:spacing w:val="-1"/>
        </w:rPr>
        <w:t>O₃  </w:t>
      </w:r>
      <w:r>
        <w:rPr>
          <w:rFonts w:ascii="SimSun" w:hAnsi="SimSun" w:eastAsia="SimSun" w:cs="SimSun"/>
          <w:sz w:val="23"/>
          <w:szCs w:val="23"/>
          <w:spacing w:val="-1"/>
        </w:rPr>
        <w:t>执行</w:t>
      </w:r>
      <w:r>
        <w:rPr>
          <w:rFonts w:ascii="SimSun" w:hAnsi="SimSun" w:eastAsia="SimSun" w:cs="SimSun"/>
          <w:sz w:val="23"/>
          <w:szCs w:val="23"/>
        </w:rPr>
        <w:t xml:space="preserve"> </w:t>
      </w:r>
      <w:r>
        <w:rPr>
          <w:rFonts w:ascii="SimSun" w:hAnsi="SimSun" w:eastAsia="SimSun" w:cs="SimSun"/>
          <w:sz w:val="23"/>
          <w:szCs w:val="23"/>
          <w:spacing w:val="2"/>
        </w:rPr>
        <w:t>《环境空气质量标准》</w:t>
      </w:r>
      <w:r>
        <w:rPr>
          <w:rFonts w:ascii="SimSun" w:hAnsi="SimSun" w:eastAsia="SimSun" w:cs="SimSun"/>
          <w:sz w:val="23"/>
          <w:szCs w:val="23"/>
          <w:spacing w:val="88"/>
        </w:rPr>
        <w:t xml:space="preserve"> </w:t>
      </w:r>
      <w:r>
        <w:rPr>
          <w:rFonts w:ascii="Times New Roman" w:hAnsi="Times New Roman" w:eastAsia="Times New Roman" w:cs="Times New Roman"/>
          <w:sz w:val="23"/>
          <w:szCs w:val="23"/>
          <w:spacing w:val="2"/>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2"/>
        </w:rPr>
        <w:t>3095-2012)     </w:t>
      </w:r>
      <w:r>
        <w:rPr>
          <w:rFonts w:ascii="SimSun" w:hAnsi="SimSun" w:eastAsia="SimSun" w:cs="SimSun"/>
          <w:sz w:val="23"/>
          <w:szCs w:val="23"/>
          <w:spacing w:val="2"/>
        </w:rPr>
        <w:t>中二级标准；</w:t>
      </w:r>
      <w:r>
        <w:rPr>
          <w:rFonts w:ascii="SimSun" w:hAnsi="SimSun" w:eastAsia="SimSun" w:cs="SimSun"/>
          <w:sz w:val="23"/>
          <w:szCs w:val="23"/>
          <w:spacing w:val="-66"/>
        </w:rPr>
        <w:t xml:space="preserve"> </w:t>
      </w:r>
      <w:r>
        <w:rPr>
          <w:rFonts w:ascii="Times New Roman" w:hAnsi="Times New Roman" w:eastAsia="Times New Roman" w:cs="Times New Roman"/>
          <w:sz w:val="23"/>
          <w:szCs w:val="23"/>
        </w:rPr>
        <w:t>NH</w:t>
      </w:r>
      <w:r>
        <w:rPr>
          <w:rFonts w:ascii="Times New Roman" w:hAnsi="Times New Roman" w:eastAsia="Times New Roman" w:cs="Times New Roman"/>
          <w:sz w:val="23"/>
          <w:szCs w:val="23"/>
          <w:spacing w:val="2"/>
        </w:rPr>
        <w:t>₃</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2"/>
        </w:rPr>
        <w:t>、</w:t>
      </w:r>
      <w:r>
        <w:rPr>
          <w:rFonts w:ascii="Times New Roman" w:hAnsi="Times New Roman" w:eastAsia="Times New Roman" w:cs="Times New Roman"/>
          <w:sz w:val="23"/>
          <w:szCs w:val="23"/>
          <w:spacing w:val="2"/>
        </w:rPr>
        <w:t>H₂S  </w:t>
      </w:r>
      <w:r>
        <w:rPr>
          <w:rFonts w:ascii="SimSun" w:hAnsi="SimSun" w:eastAsia="SimSun" w:cs="SimSun"/>
          <w:sz w:val="23"/>
          <w:szCs w:val="23"/>
          <w:spacing w:val="2"/>
        </w:rPr>
        <w:t>执行《环境影</w:t>
      </w:r>
      <w:r>
        <w:rPr>
          <w:rFonts w:ascii="SimSun" w:hAnsi="SimSun" w:eastAsia="SimSun" w:cs="SimSun"/>
          <w:sz w:val="23"/>
          <w:szCs w:val="23"/>
        </w:rPr>
        <w:t xml:space="preserve"> </w:t>
      </w:r>
      <w:r>
        <w:rPr>
          <w:rFonts w:ascii="SimSun" w:hAnsi="SimSun" w:eastAsia="SimSun" w:cs="SimSun"/>
          <w:sz w:val="23"/>
          <w:szCs w:val="23"/>
          <w:spacing w:val="11"/>
        </w:rPr>
        <w:t>响评价技术导则大气环境》附录D。</w:t>
      </w:r>
    </w:p>
    <w:p>
      <w:pPr>
        <w:ind w:left="4" w:right="54" w:firstLine="470"/>
        <w:spacing w:before="32" w:line="364" w:lineRule="auto"/>
        <w:jc w:val="both"/>
        <w:rPr>
          <w:rFonts w:ascii="SimSun" w:hAnsi="SimSun" w:eastAsia="SimSun" w:cs="SimSun"/>
          <w:sz w:val="23"/>
          <w:szCs w:val="23"/>
        </w:rPr>
      </w:pPr>
      <w:r>
        <w:rPr>
          <w:rFonts w:ascii="SimSun" w:hAnsi="SimSun" w:eastAsia="SimSun" w:cs="SimSun"/>
          <w:sz w:val="23"/>
          <w:szCs w:val="23"/>
          <w:spacing w:val="14"/>
        </w:rPr>
        <w:t>地表水：本项目选址处附近地表水体为草溪河、安昌河、涪江，其中涪江</w:t>
      </w:r>
      <w:r>
        <w:rPr>
          <w:rFonts w:ascii="SimSun" w:hAnsi="SimSun" w:eastAsia="SimSun" w:cs="SimSun"/>
          <w:sz w:val="23"/>
          <w:szCs w:val="23"/>
          <w:spacing w:val="10"/>
        </w:rPr>
        <w:t xml:space="preserve"> </w:t>
      </w:r>
      <w:r>
        <w:rPr>
          <w:rFonts w:ascii="SimSun" w:hAnsi="SimSun" w:eastAsia="SimSun" w:cs="SimSun"/>
          <w:sz w:val="23"/>
          <w:szCs w:val="23"/>
          <w:spacing w:val="10"/>
        </w:rPr>
        <w:t>为最终受纳水体，根据《绵阳市人民政府关</w:t>
      </w:r>
      <w:r>
        <w:rPr>
          <w:rFonts w:ascii="SimSun" w:hAnsi="SimSun" w:eastAsia="SimSun" w:cs="SimSun"/>
          <w:sz w:val="23"/>
          <w:szCs w:val="23"/>
          <w:spacing w:val="9"/>
        </w:rPr>
        <w:t>于印发&lt;绵阳市境内地面水水域环境</w:t>
      </w:r>
      <w:r>
        <w:rPr>
          <w:rFonts w:ascii="SimSun" w:hAnsi="SimSun" w:eastAsia="SimSun" w:cs="SimSun"/>
          <w:sz w:val="23"/>
          <w:szCs w:val="23"/>
        </w:rPr>
        <w:t xml:space="preserve"> </w:t>
      </w:r>
      <w:r>
        <w:rPr>
          <w:rFonts w:ascii="SimSun" w:hAnsi="SimSun" w:eastAsia="SimSun" w:cs="SimSun"/>
          <w:sz w:val="23"/>
          <w:szCs w:val="23"/>
          <w:spacing w:val="21"/>
        </w:rPr>
        <w:t>功能划类管理办法&gt;的通知》(绵府发[1993]168号),草溪河、</w:t>
      </w:r>
      <w:r>
        <w:rPr>
          <w:rFonts w:ascii="SimSun" w:hAnsi="SimSun" w:eastAsia="SimSun" w:cs="SimSun"/>
          <w:sz w:val="23"/>
          <w:szCs w:val="23"/>
          <w:spacing w:val="20"/>
        </w:rPr>
        <w:t>安昌河、涪江</w:t>
      </w:r>
      <w:r>
        <w:rPr>
          <w:rFonts w:ascii="SimSun" w:hAnsi="SimSun" w:eastAsia="SimSun" w:cs="SimSun"/>
          <w:sz w:val="23"/>
          <w:szCs w:val="23"/>
        </w:rPr>
        <w:t xml:space="preserve"> </w:t>
      </w:r>
      <w:r>
        <w:rPr>
          <w:rFonts w:ascii="SimSun" w:hAnsi="SimSun" w:eastAsia="SimSun" w:cs="SimSun"/>
          <w:sz w:val="23"/>
          <w:szCs w:val="23"/>
          <w:spacing w:val="14"/>
        </w:rPr>
        <w:t>评价河段均执行《地表水环境质量标准》</w:t>
      </w:r>
      <w:r>
        <w:rPr>
          <w:rFonts w:ascii="SimSun" w:hAnsi="SimSun" w:eastAsia="SimSun" w:cs="SimSun"/>
          <w:sz w:val="23"/>
          <w:szCs w:val="23"/>
          <w:spacing w:val="92"/>
        </w:rPr>
        <w:t xml:space="preserve"> </w:t>
      </w:r>
      <w:r>
        <w:rPr>
          <w:rFonts w:ascii="Times New Roman" w:hAnsi="Times New Roman" w:eastAsia="Times New Roman" w:cs="Times New Roman"/>
          <w:sz w:val="23"/>
          <w:szCs w:val="23"/>
          <w:spacing w:val="14"/>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14"/>
        </w:rPr>
        <w:t>3838-2002)     </w:t>
      </w:r>
      <w:r>
        <w:rPr>
          <w:rFonts w:ascii="SimSun" w:hAnsi="SimSun" w:eastAsia="SimSun" w:cs="SimSun"/>
          <w:sz w:val="23"/>
          <w:szCs w:val="23"/>
          <w:spacing w:val="14"/>
        </w:rPr>
        <w:t>中的Ⅲ类水域标</w:t>
      </w:r>
    </w:p>
    <w:p>
      <w:pPr>
        <w:ind w:left="4"/>
        <w:spacing w:before="29" w:line="221" w:lineRule="auto"/>
        <w:rPr>
          <w:rFonts w:ascii="SimSun" w:hAnsi="SimSun" w:eastAsia="SimSun" w:cs="SimSun"/>
          <w:sz w:val="23"/>
          <w:szCs w:val="23"/>
        </w:rPr>
      </w:pPr>
      <w:r>
        <w:rPr>
          <w:rFonts w:ascii="SimSun" w:hAnsi="SimSun" w:eastAsia="SimSun" w:cs="SimSun"/>
          <w:sz w:val="23"/>
          <w:szCs w:val="23"/>
          <w:color w:val="404040"/>
          <w:spacing w:val="-6"/>
        </w:rPr>
        <w:t>准</w:t>
      </w:r>
      <w:r>
        <w:rPr>
          <w:rFonts w:ascii="SimSun" w:hAnsi="SimSun" w:eastAsia="SimSun" w:cs="SimSun"/>
          <w:sz w:val="23"/>
          <w:szCs w:val="23"/>
          <w:color w:val="404040"/>
          <w:spacing w:val="-46"/>
        </w:rPr>
        <w:t xml:space="preserve"> </w:t>
      </w:r>
      <w:r>
        <w:rPr>
          <w:rFonts w:ascii="SimSun" w:hAnsi="SimSun" w:eastAsia="SimSun" w:cs="SimSun"/>
          <w:sz w:val="23"/>
          <w:szCs w:val="23"/>
          <w:color w:val="404040"/>
          <w:spacing w:val="-6"/>
        </w:rPr>
        <w:t>。</w:t>
      </w:r>
    </w:p>
    <w:p>
      <w:pPr>
        <w:ind w:left="4" w:right="54" w:firstLine="473"/>
        <w:spacing w:before="187" w:line="376" w:lineRule="auto"/>
        <w:rPr>
          <w:rFonts w:ascii="SimSun" w:hAnsi="SimSun" w:eastAsia="SimSun" w:cs="SimSun"/>
          <w:sz w:val="23"/>
          <w:szCs w:val="23"/>
        </w:rPr>
      </w:pPr>
      <w:r>
        <w:rPr>
          <w:rFonts w:ascii="SimSun" w:hAnsi="SimSun" w:eastAsia="SimSun" w:cs="SimSun"/>
          <w:sz w:val="23"/>
          <w:szCs w:val="23"/>
          <w:b/>
          <w:bCs/>
          <w:spacing w:val="11"/>
        </w:rPr>
        <w:t>地下水：</w:t>
      </w:r>
      <w:r>
        <w:rPr>
          <w:rFonts w:ascii="SimSun" w:hAnsi="SimSun" w:eastAsia="SimSun" w:cs="SimSun"/>
          <w:sz w:val="23"/>
          <w:szCs w:val="23"/>
          <w:spacing w:val="11"/>
        </w:rPr>
        <w:t>执行《地下水质量标准》</w:t>
      </w:r>
      <w:r>
        <w:rPr>
          <w:rFonts w:ascii="SimSun" w:hAnsi="SimSun" w:eastAsia="SimSun" w:cs="SimSun"/>
          <w:sz w:val="23"/>
          <w:szCs w:val="23"/>
          <w:spacing w:val="102"/>
        </w:rPr>
        <w:t xml:space="preserve"> </w:t>
      </w:r>
      <w:r>
        <w:rPr>
          <w:rFonts w:ascii="Times New Roman" w:hAnsi="Times New Roman" w:eastAsia="Times New Roman" w:cs="Times New Roman"/>
          <w:sz w:val="23"/>
          <w:szCs w:val="23"/>
          <w:spacing w:val="11"/>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11"/>
        </w:rPr>
        <w:t>/T14848-2017)     </w:t>
      </w:r>
      <w:r>
        <w:rPr>
          <w:rFonts w:ascii="SimSun" w:hAnsi="SimSun" w:eastAsia="SimSun" w:cs="SimSun"/>
          <w:sz w:val="23"/>
          <w:szCs w:val="23"/>
          <w:spacing w:val="11"/>
        </w:rPr>
        <w:t>中的Ⅲ类水域标</w:t>
      </w:r>
      <w:r>
        <w:rPr>
          <w:rFonts w:ascii="SimSun" w:hAnsi="SimSun" w:eastAsia="SimSun" w:cs="SimSun"/>
          <w:sz w:val="23"/>
          <w:szCs w:val="23"/>
        </w:rPr>
        <w:t xml:space="preserve"> </w:t>
      </w:r>
      <w:r>
        <w:rPr>
          <w:rFonts w:ascii="SimSun" w:hAnsi="SimSun" w:eastAsia="SimSun" w:cs="SimSun"/>
          <w:sz w:val="23"/>
          <w:szCs w:val="23"/>
          <w:spacing w:val="-6"/>
        </w:rPr>
        <w:t>准</w:t>
      </w:r>
      <w:r>
        <w:rPr>
          <w:rFonts w:ascii="SimSun" w:hAnsi="SimSun" w:eastAsia="SimSun" w:cs="SimSun"/>
          <w:sz w:val="23"/>
          <w:szCs w:val="23"/>
          <w:spacing w:val="-46"/>
        </w:rPr>
        <w:t xml:space="preserve"> </w:t>
      </w:r>
      <w:r>
        <w:rPr>
          <w:rFonts w:ascii="SimSun" w:hAnsi="SimSun" w:eastAsia="SimSun" w:cs="SimSun"/>
          <w:sz w:val="23"/>
          <w:szCs w:val="23"/>
          <w:spacing w:val="-6"/>
        </w:rPr>
        <w:t>。</w:t>
      </w:r>
    </w:p>
    <w:p>
      <w:pPr>
        <w:ind w:left="4" w:right="23" w:firstLine="470"/>
        <w:spacing w:before="6" w:line="346" w:lineRule="auto"/>
        <w:jc w:val="both"/>
        <w:rPr>
          <w:rFonts w:ascii="SimSun" w:hAnsi="SimSun" w:eastAsia="SimSun" w:cs="SimSun"/>
          <w:sz w:val="25"/>
          <w:szCs w:val="25"/>
        </w:rPr>
      </w:pPr>
      <w:r>
        <w:rPr>
          <w:rFonts w:ascii="SimSun" w:hAnsi="SimSun" w:eastAsia="SimSun" w:cs="SimSun"/>
          <w:sz w:val="25"/>
          <w:szCs w:val="25"/>
          <w:spacing w:val="-2"/>
        </w:rPr>
        <w:t>声环境：根据《绵阳市安州区环境噪声功能区划调整方案》(绵安府办发</w:t>
      </w:r>
      <w:r>
        <w:rPr>
          <w:rFonts w:ascii="SimSun" w:hAnsi="SimSun" w:eastAsia="SimSun" w:cs="SimSun"/>
          <w:sz w:val="25"/>
          <w:szCs w:val="25"/>
          <w:spacing w:val="8"/>
        </w:rPr>
        <w:t xml:space="preserve"> </w:t>
      </w:r>
      <w:r>
        <w:rPr>
          <w:rFonts w:ascii="SimSun" w:hAnsi="SimSun" w:eastAsia="SimSun" w:cs="SimSun"/>
          <w:sz w:val="25"/>
          <w:szCs w:val="25"/>
          <w:spacing w:val="3"/>
        </w:rPr>
        <w:t>[2022]11号)中“安州区工业园区(面积7.27</w:t>
      </w:r>
      <w:r>
        <w:rPr>
          <w:rFonts w:ascii="Times New Roman" w:hAnsi="Times New Roman" w:eastAsia="Times New Roman" w:cs="Times New Roman"/>
          <w:sz w:val="25"/>
          <w:szCs w:val="25"/>
        </w:rPr>
        <w:t>Km</w:t>
      </w:r>
      <w:r>
        <w:rPr>
          <w:rFonts w:ascii="Times New Roman" w:hAnsi="Times New Roman" w:eastAsia="Times New Roman" w:cs="Times New Roman"/>
          <w:sz w:val="25"/>
          <w:szCs w:val="25"/>
          <w:spacing w:val="3"/>
        </w:rPr>
        <w:t>²):     </w:t>
      </w:r>
      <w:r>
        <w:rPr>
          <w:rFonts w:ascii="SimSun" w:hAnsi="SimSun" w:eastAsia="SimSun" w:cs="SimSun"/>
          <w:sz w:val="25"/>
          <w:szCs w:val="25"/>
          <w:spacing w:val="3"/>
        </w:rPr>
        <w:t>北至花芗镇雍峙村横四</w:t>
      </w:r>
      <w:r>
        <w:rPr>
          <w:rFonts w:ascii="SimSun" w:hAnsi="SimSun" w:eastAsia="SimSun" w:cs="SimSun"/>
          <w:sz w:val="25"/>
          <w:szCs w:val="25"/>
          <w:spacing w:val="8"/>
        </w:rPr>
        <w:t xml:space="preserve"> </w:t>
      </w:r>
      <w:r>
        <w:rPr>
          <w:rFonts w:ascii="SimSun" w:hAnsi="SimSun" w:eastAsia="SimSun" w:cs="SimSun"/>
          <w:sz w:val="25"/>
          <w:szCs w:val="25"/>
          <w:spacing w:val="2"/>
        </w:rPr>
        <w:t>路，南至77123部队驻地北界，西至物流通道，东至辽</w:t>
      </w:r>
      <w:r>
        <w:rPr>
          <w:rFonts w:ascii="SimSun" w:hAnsi="SimSun" w:eastAsia="SimSun" w:cs="SimSun"/>
          <w:sz w:val="25"/>
          <w:szCs w:val="25"/>
          <w:spacing w:val="1"/>
        </w:rPr>
        <w:t>宁大道”属于3类声环</w:t>
      </w:r>
      <w:r>
        <w:rPr>
          <w:rFonts w:ascii="SimSun" w:hAnsi="SimSun" w:eastAsia="SimSun" w:cs="SimSun"/>
          <w:sz w:val="25"/>
          <w:szCs w:val="25"/>
        </w:rPr>
        <w:t xml:space="preserve"> </w:t>
      </w:r>
      <w:r>
        <w:rPr>
          <w:rFonts w:ascii="SimSun" w:hAnsi="SimSun" w:eastAsia="SimSun" w:cs="SimSun"/>
          <w:sz w:val="25"/>
          <w:szCs w:val="25"/>
          <w:spacing w:val="2"/>
        </w:rPr>
        <w:t>境功能区(工业生产、仓储物流区)。本项目位于安州工业园区内，四周20±</w:t>
      </w:r>
      <w:r>
        <w:rPr>
          <w:rFonts w:ascii="SimSun" w:hAnsi="SimSun" w:eastAsia="SimSun" w:cs="SimSun"/>
          <w:sz w:val="25"/>
          <w:szCs w:val="25"/>
        </w:rPr>
        <w:t xml:space="preserve"> </w:t>
      </w:r>
      <w:r>
        <w:rPr>
          <w:rFonts w:ascii="SimSun" w:hAnsi="SimSun" w:eastAsia="SimSun" w:cs="SimSun"/>
          <w:sz w:val="25"/>
          <w:szCs w:val="25"/>
          <w:spacing w:val="-5"/>
        </w:rPr>
        <w:t>5m 范围内无交通主干道，因此执行《声环境质量标准》</w:t>
      </w:r>
      <w:r>
        <w:rPr>
          <w:rFonts w:ascii="SimSun" w:hAnsi="SimSun" w:eastAsia="SimSun" w:cs="SimSun"/>
          <w:sz w:val="25"/>
          <w:szCs w:val="25"/>
          <w:spacing w:val="-60"/>
        </w:rPr>
        <w:t xml:space="preserve"> </w:t>
      </w:r>
      <w:r>
        <w:rPr>
          <w:rFonts w:ascii="SimSun" w:hAnsi="SimSun" w:eastAsia="SimSun" w:cs="SimSun"/>
          <w:sz w:val="25"/>
          <w:szCs w:val="25"/>
          <w:spacing w:val="-5"/>
        </w:rPr>
        <w:t>(GB309</w:t>
      </w:r>
      <w:r>
        <w:rPr>
          <w:rFonts w:ascii="SimSun" w:hAnsi="SimSun" w:eastAsia="SimSun" w:cs="SimSun"/>
          <w:sz w:val="25"/>
          <w:szCs w:val="25"/>
          <w:spacing w:val="-6"/>
        </w:rPr>
        <w:t>6-2008)</w:t>
      </w:r>
      <w:r>
        <w:rPr>
          <w:rFonts w:ascii="SimSun" w:hAnsi="SimSun" w:eastAsia="SimSun" w:cs="SimSun"/>
          <w:sz w:val="25"/>
          <w:szCs w:val="25"/>
          <w:spacing w:val="74"/>
        </w:rPr>
        <w:t xml:space="preserve"> </w:t>
      </w:r>
      <w:r>
        <w:rPr>
          <w:rFonts w:ascii="SimSun" w:hAnsi="SimSun" w:eastAsia="SimSun" w:cs="SimSun"/>
          <w:sz w:val="25"/>
          <w:szCs w:val="25"/>
          <w:spacing w:val="-6"/>
        </w:rPr>
        <w:t>中 3</w:t>
      </w:r>
      <w:r>
        <w:rPr>
          <w:rFonts w:ascii="SimSun" w:hAnsi="SimSun" w:eastAsia="SimSun" w:cs="SimSun"/>
          <w:sz w:val="25"/>
          <w:szCs w:val="25"/>
        </w:rPr>
        <w:t xml:space="preserve"> </w:t>
      </w:r>
      <w:r>
        <w:rPr>
          <w:rFonts w:ascii="SimSun" w:hAnsi="SimSun" w:eastAsia="SimSun" w:cs="SimSun"/>
          <w:sz w:val="25"/>
          <w:szCs w:val="25"/>
          <w:spacing w:val="-9"/>
        </w:rPr>
        <w:t>类标准。</w:t>
      </w:r>
    </w:p>
    <w:p>
      <w:pPr>
        <w:ind w:right="53" w:firstLine="478"/>
        <w:spacing w:line="368" w:lineRule="auto"/>
        <w:jc w:val="both"/>
        <w:rPr>
          <w:rFonts w:ascii="Times New Roman" w:hAnsi="Times New Roman" w:eastAsia="Times New Roman" w:cs="Times New Roman"/>
          <w:sz w:val="23"/>
          <w:szCs w:val="23"/>
        </w:rPr>
      </w:pPr>
      <w:r>
        <w:rPr>
          <w:rFonts w:ascii="SimSun" w:hAnsi="SimSun" w:eastAsia="SimSun" w:cs="SimSun"/>
          <w:sz w:val="23"/>
          <w:szCs w:val="23"/>
          <w:b/>
          <w:bCs/>
          <w:spacing w:val="12"/>
        </w:rPr>
        <w:t>土壤环境：</w:t>
      </w:r>
      <w:r>
        <w:rPr>
          <w:rFonts w:ascii="SimSun" w:hAnsi="SimSun" w:eastAsia="SimSun" w:cs="SimSun"/>
          <w:sz w:val="23"/>
          <w:szCs w:val="23"/>
          <w:spacing w:val="-56"/>
        </w:rPr>
        <w:t xml:space="preserve"> </w:t>
      </w:r>
      <w:r>
        <w:rPr>
          <w:rFonts w:ascii="SimSun" w:hAnsi="SimSun" w:eastAsia="SimSun" w:cs="SimSun"/>
          <w:sz w:val="23"/>
          <w:szCs w:val="23"/>
          <w:spacing w:val="12"/>
        </w:rPr>
        <w:t>本项目位于绵阳安州工业园区内，评价区土壤环境质量应满足</w:t>
      </w:r>
      <w:r>
        <w:rPr>
          <w:rFonts w:ascii="SimSun" w:hAnsi="SimSun" w:eastAsia="SimSun" w:cs="SimSun"/>
          <w:sz w:val="23"/>
          <w:szCs w:val="23"/>
        </w:rPr>
        <w:t xml:space="preserve"> </w:t>
      </w:r>
      <w:r>
        <w:rPr>
          <w:rFonts w:ascii="SimSun" w:hAnsi="SimSun" w:eastAsia="SimSun" w:cs="SimSun"/>
          <w:sz w:val="23"/>
          <w:szCs w:val="23"/>
          <w:spacing w:val="12"/>
        </w:rPr>
        <w:t>《土壤环境质量建设用地土壤污染风险管控标准(试行)》</w:t>
      </w:r>
      <w:r>
        <w:rPr>
          <w:rFonts w:ascii="SimSun" w:hAnsi="SimSun" w:eastAsia="SimSun" w:cs="SimSun"/>
          <w:sz w:val="23"/>
          <w:szCs w:val="23"/>
          <w:spacing w:val="103"/>
        </w:rPr>
        <w:t xml:space="preserve"> </w:t>
      </w:r>
      <w:r>
        <w:rPr>
          <w:rFonts w:ascii="Times New Roman" w:hAnsi="Times New Roman" w:eastAsia="Times New Roman" w:cs="Times New Roman"/>
          <w:sz w:val="23"/>
          <w:szCs w:val="23"/>
          <w:spacing w:val="12"/>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12"/>
        </w:rPr>
        <w:t>36600-2018)</w:t>
      </w:r>
    </w:p>
    <w:p>
      <w:pPr>
        <w:ind w:left="4"/>
        <w:spacing w:before="46" w:line="219" w:lineRule="auto"/>
        <w:rPr>
          <w:rFonts w:ascii="SimSun" w:hAnsi="SimSun" w:eastAsia="SimSun" w:cs="SimSun"/>
          <w:sz w:val="23"/>
          <w:szCs w:val="23"/>
        </w:rPr>
      </w:pPr>
      <w:r>
        <w:rPr>
          <w:rFonts w:ascii="SimSun" w:hAnsi="SimSun" w:eastAsia="SimSun" w:cs="SimSun"/>
          <w:sz w:val="23"/>
          <w:szCs w:val="23"/>
          <w:spacing w:val="16"/>
        </w:rPr>
        <w:t>中表1建设用地土壤风险管制值(第二类用地)。具体标准值见下表。</w:t>
      </w:r>
    </w:p>
    <w:p>
      <w:pPr>
        <w:spacing w:line="219" w:lineRule="auto"/>
        <w:sectPr>
          <w:headerReference w:type="default" r:id="rId15"/>
          <w:footerReference w:type="default" r:id="rId139"/>
          <w:pgSz w:w="11910" w:h="16840"/>
          <w:pgMar w:top="1219" w:right="1786" w:bottom="1017" w:left="1774" w:header="865" w:footer="719" w:gutter="0"/>
        </w:sectPr>
        <w:rPr>
          <w:rFonts w:ascii="SimSun" w:hAnsi="SimSun" w:eastAsia="SimSun" w:cs="SimSun"/>
          <w:sz w:val="23"/>
          <w:szCs w:val="23"/>
        </w:rPr>
      </w:pPr>
    </w:p>
    <w:p>
      <w:pPr>
        <w:ind w:left="2118"/>
        <w:spacing w:before="239" w:line="191" w:lineRule="auto"/>
        <w:rPr>
          <w:rFonts w:ascii="SimSun" w:hAnsi="SimSun" w:eastAsia="SimSun" w:cs="SimSun"/>
          <w:sz w:val="24"/>
          <w:szCs w:val="24"/>
        </w:rPr>
      </w:pPr>
      <w:r>
        <w:rPr>
          <w:rFonts w:ascii="SimSun" w:hAnsi="SimSun" w:eastAsia="SimSun" w:cs="SimSun"/>
          <w:sz w:val="24"/>
          <w:szCs w:val="24"/>
          <w:b/>
          <w:bCs/>
          <w:spacing w:val="-3"/>
        </w:rPr>
        <w:t>表1.7-2环境质量标准及主要污染物标准限值</w:t>
      </w:r>
    </w:p>
    <w:tbl>
      <w:tblPr>
        <w:tblStyle w:val="TableNormal"/>
        <w:tblW w:w="83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44"/>
        <w:gridCol w:w="1418"/>
        <w:gridCol w:w="1518"/>
        <w:gridCol w:w="1448"/>
        <w:gridCol w:w="3082"/>
      </w:tblGrid>
      <w:tr>
        <w:trPr>
          <w:trHeight w:val="294" w:hRule="atLeast"/>
        </w:trPr>
        <w:tc>
          <w:tcPr>
            <w:shd w:val="clear" w:fill="BDBDBD"/>
            <w:tcW w:w="844" w:type="dxa"/>
            <w:vAlign w:val="top"/>
          </w:tcPr>
          <w:p>
            <w:pPr>
              <w:pStyle w:val="TableText"/>
              <w:spacing w:before="40" w:line="214" w:lineRule="auto"/>
              <w:jc w:val="right"/>
              <w:rPr>
                <w:sz w:val="21"/>
                <w:szCs w:val="21"/>
              </w:rPr>
            </w:pPr>
            <w:r>
              <w:rPr>
                <w:sz w:val="21"/>
                <w:szCs w:val="21"/>
                <w:b/>
                <w:bCs/>
                <w:spacing w:val="-9"/>
              </w:rPr>
              <w:t>环境因素</w:t>
            </w:r>
          </w:p>
        </w:tc>
        <w:tc>
          <w:tcPr>
            <w:shd w:val="clear" w:fill="BDBDBD"/>
            <w:tcW w:w="1418" w:type="dxa"/>
            <w:vAlign w:val="top"/>
          </w:tcPr>
          <w:p>
            <w:pPr>
              <w:pStyle w:val="TableText"/>
              <w:ind w:left="284"/>
              <w:spacing w:before="40" w:line="214" w:lineRule="auto"/>
              <w:rPr>
                <w:sz w:val="21"/>
                <w:szCs w:val="21"/>
              </w:rPr>
            </w:pPr>
            <w:r>
              <w:rPr>
                <w:sz w:val="21"/>
                <w:szCs w:val="21"/>
                <w:b/>
                <w:bCs/>
                <w:spacing w:val="-4"/>
              </w:rPr>
              <w:t>执行标准</w:t>
            </w:r>
          </w:p>
        </w:tc>
        <w:tc>
          <w:tcPr>
            <w:shd w:val="clear" w:fill="BDBDBD"/>
            <w:tcW w:w="1518" w:type="dxa"/>
            <w:vAlign w:val="top"/>
          </w:tcPr>
          <w:p>
            <w:pPr>
              <w:pStyle w:val="TableText"/>
              <w:ind w:left="336"/>
              <w:spacing w:before="41" w:line="213" w:lineRule="auto"/>
              <w:rPr>
                <w:sz w:val="21"/>
                <w:szCs w:val="21"/>
              </w:rPr>
            </w:pPr>
            <w:r>
              <w:rPr>
                <w:sz w:val="21"/>
                <w:szCs w:val="21"/>
                <w:b/>
                <w:bCs/>
                <w:spacing w:val="-5"/>
              </w:rPr>
              <w:t>污染因子</w:t>
            </w:r>
          </w:p>
        </w:tc>
        <w:tc>
          <w:tcPr>
            <w:shd w:val="clear" w:fill="BDBDBD"/>
            <w:tcW w:w="1448" w:type="dxa"/>
            <w:vAlign w:val="top"/>
          </w:tcPr>
          <w:p>
            <w:pPr>
              <w:pStyle w:val="TableText"/>
              <w:ind w:left="298"/>
              <w:spacing w:before="40" w:line="214" w:lineRule="auto"/>
              <w:rPr>
                <w:sz w:val="21"/>
                <w:szCs w:val="21"/>
              </w:rPr>
            </w:pPr>
            <w:r>
              <w:rPr>
                <w:sz w:val="21"/>
                <w:szCs w:val="21"/>
                <w:b/>
                <w:bCs/>
                <w:spacing w:val="-4"/>
              </w:rPr>
              <w:t>标准限值</w:t>
            </w:r>
          </w:p>
        </w:tc>
        <w:tc>
          <w:tcPr>
            <w:shd w:val="clear" w:fill="BDBDBD"/>
            <w:tcW w:w="3082" w:type="dxa"/>
            <w:vAlign w:val="top"/>
          </w:tcPr>
          <w:p>
            <w:pPr>
              <w:pStyle w:val="TableText"/>
              <w:ind w:left="1330"/>
              <w:spacing w:before="41" w:line="213" w:lineRule="auto"/>
              <w:rPr>
                <w:sz w:val="21"/>
                <w:szCs w:val="21"/>
              </w:rPr>
            </w:pPr>
            <w:r>
              <w:rPr>
                <w:sz w:val="21"/>
                <w:szCs w:val="21"/>
                <w:b/>
                <w:bCs/>
                <w:spacing w:val="-5"/>
              </w:rPr>
              <w:t>备注</w:t>
            </w:r>
          </w:p>
        </w:tc>
      </w:tr>
      <w:tr>
        <w:trPr>
          <w:trHeight w:val="270" w:hRule="atLeast"/>
        </w:trPr>
        <w:tc>
          <w:tcPr>
            <w:tcW w:w="844" w:type="dxa"/>
            <w:vAlign w:val="top"/>
            <w:vMerge w:val="restart"/>
            <w:tcBorders>
              <w:bottom w:val="nil"/>
            </w:tcBorders>
          </w:tcPr>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pStyle w:val="TableText"/>
              <w:spacing w:before="68" w:line="220" w:lineRule="auto"/>
              <w:jc w:val="right"/>
              <w:rPr>
                <w:sz w:val="21"/>
                <w:szCs w:val="21"/>
              </w:rPr>
            </w:pPr>
            <w:r>
              <w:rPr>
                <w:sz w:val="21"/>
                <w:szCs w:val="21"/>
                <w:spacing w:val="-6"/>
              </w:rPr>
              <w:t>环境空气</w:t>
            </w:r>
          </w:p>
        </w:tc>
        <w:tc>
          <w:tcPr>
            <w:tcW w:w="1418" w:type="dxa"/>
            <w:vAlign w:val="top"/>
            <w:vMerge w:val="restart"/>
            <w:tcBorders>
              <w:bottom w:val="nil"/>
            </w:tcBorders>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pStyle w:val="TableText"/>
              <w:spacing w:before="68" w:line="220" w:lineRule="auto"/>
              <w:rPr>
                <w:sz w:val="21"/>
                <w:szCs w:val="21"/>
              </w:rPr>
            </w:pPr>
            <w:r>
              <w:rPr>
                <w:sz w:val="21"/>
                <w:szCs w:val="21"/>
                <w:spacing w:val="-11"/>
              </w:rPr>
              <w:t>《环境空气质量</w:t>
            </w:r>
          </w:p>
          <w:p>
            <w:pPr>
              <w:pStyle w:val="TableText"/>
              <w:ind w:left="431"/>
              <w:spacing w:before="19" w:line="220" w:lineRule="auto"/>
              <w:rPr>
                <w:sz w:val="21"/>
                <w:szCs w:val="21"/>
              </w:rPr>
            </w:pPr>
            <w:r>
              <w:rPr>
                <w:sz w:val="21"/>
                <w:szCs w:val="21"/>
                <w:spacing w:val="1"/>
              </w:rPr>
              <w:t>标准》</w:t>
            </w:r>
          </w:p>
          <w:p>
            <w:pPr>
              <w:pStyle w:val="TableText"/>
              <w:ind w:left="281"/>
              <w:spacing w:before="32" w:line="222" w:lineRule="auto"/>
              <w:rPr>
                <w:sz w:val="21"/>
                <w:szCs w:val="21"/>
              </w:rPr>
            </w:pPr>
            <w:r>
              <w:rPr>
                <w:sz w:val="21"/>
                <w:szCs w:val="21"/>
                <w:spacing w:val="-5"/>
              </w:rPr>
              <w:t>(GB3095-</w:t>
            </w:r>
          </w:p>
          <w:p>
            <w:pPr>
              <w:pStyle w:val="TableText"/>
              <w:ind w:left="11"/>
              <w:spacing w:before="4" w:line="220" w:lineRule="auto"/>
              <w:rPr>
                <w:sz w:val="21"/>
                <w:szCs w:val="21"/>
              </w:rPr>
            </w:pPr>
            <w:r>
              <w:rPr>
                <w:sz w:val="21"/>
                <w:szCs w:val="21"/>
                <w:spacing w:val="1"/>
              </w:rPr>
              <w:t>2012)二级标准</w:t>
            </w:r>
          </w:p>
        </w:tc>
        <w:tc>
          <w:tcPr>
            <w:tcW w:w="1518" w:type="dxa"/>
            <w:vAlign w:val="top"/>
            <w:vMerge w:val="restart"/>
            <w:tcBorders>
              <w:bottom w:val="nil"/>
            </w:tcBorders>
          </w:tcPr>
          <w:p>
            <w:pPr>
              <w:pStyle w:val="TableText"/>
              <w:ind w:left="643"/>
              <w:spacing w:before="223" w:line="183" w:lineRule="auto"/>
              <w:rPr>
                <w:sz w:val="21"/>
                <w:szCs w:val="21"/>
              </w:rPr>
            </w:pPr>
            <w:r>
              <w:rPr>
                <w:sz w:val="21"/>
                <w:szCs w:val="21"/>
                <w:spacing w:val="-2"/>
              </w:rPr>
              <w:t>CO</w:t>
            </w:r>
          </w:p>
        </w:tc>
        <w:tc>
          <w:tcPr>
            <w:tcW w:w="1448" w:type="dxa"/>
            <w:vAlign w:val="top"/>
          </w:tcPr>
          <w:p>
            <w:pPr>
              <w:pStyle w:val="TableText"/>
              <w:ind w:left="295"/>
              <w:spacing w:before="23" w:line="208" w:lineRule="auto"/>
              <w:rPr>
                <w:sz w:val="21"/>
                <w:szCs w:val="21"/>
              </w:rPr>
            </w:pPr>
            <w:r>
              <w:rPr>
                <w:sz w:val="21"/>
                <w:szCs w:val="21"/>
                <w:spacing w:val="-3"/>
              </w:rPr>
              <w:t>10mg/m³</w:t>
            </w:r>
          </w:p>
        </w:tc>
        <w:tc>
          <w:tcPr>
            <w:tcW w:w="3082" w:type="dxa"/>
            <w:vAlign w:val="top"/>
          </w:tcPr>
          <w:p>
            <w:pPr>
              <w:pStyle w:val="TableText"/>
              <w:ind w:left="1057"/>
              <w:spacing w:before="30" w:line="202" w:lineRule="auto"/>
              <w:rPr>
                <w:sz w:val="21"/>
                <w:szCs w:val="21"/>
              </w:rPr>
            </w:pPr>
            <w:r>
              <w:rPr>
                <w:sz w:val="21"/>
                <w:szCs w:val="21"/>
                <w:spacing w:val="3"/>
              </w:rPr>
              <w:t>1小时平均</w:t>
            </w:r>
          </w:p>
        </w:tc>
      </w:tr>
      <w:tr>
        <w:trPr>
          <w:trHeight w:val="26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vMerge w:val="continue"/>
            <w:tcBorders>
              <w:top w:val="nil"/>
            </w:tcBorders>
          </w:tcPr>
          <w:p>
            <w:pPr>
              <w:rPr>
                <w:rFonts w:ascii="Arial"/>
                <w:sz w:val="21"/>
              </w:rPr>
            </w:pPr>
            <w:r/>
          </w:p>
        </w:tc>
        <w:tc>
          <w:tcPr>
            <w:tcW w:w="1448" w:type="dxa"/>
            <w:vAlign w:val="top"/>
          </w:tcPr>
          <w:p>
            <w:pPr>
              <w:pStyle w:val="TableText"/>
              <w:ind w:left="345"/>
              <w:spacing w:before="22" w:line="200" w:lineRule="auto"/>
              <w:rPr>
                <w:sz w:val="21"/>
                <w:szCs w:val="21"/>
              </w:rPr>
            </w:pPr>
            <w:r>
              <w:rPr>
                <w:sz w:val="21"/>
                <w:szCs w:val="21"/>
                <w:spacing w:val="-2"/>
              </w:rPr>
              <w:t>4mg/m³</w:t>
            </w:r>
          </w:p>
        </w:tc>
        <w:tc>
          <w:tcPr>
            <w:tcW w:w="3082" w:type="dxa"/>
            <w:vAlign w:val="top"/>
          </w:tcPr>
          <w:p>
            <w:pPr>
              <w:pStyle w:val="TableText"/>
              <w:ind w:left="1007"/>
              <w:spacing w:before="30" w:line="193" w:lineRule="auto"/>
              <w:rPr>
                <w:sz w:val="21"/>
                <w:szCs w:val="21"/>
              </w:rPr>
            </w:pPr>
            <w:r>
              <w:rPr>
                <w:sz w:val="21"/>
                <w:szCs w:val="21"/>
                <w:spacing w:val="2"/>
              </w:rPr>
              <w:t>24小时平均</w:t>
            </w:r>
          </w:p>
        </w:tc>
      </w:tr>
      <w:tr>
        <w:trPr>
          <w:trHeight w:val="269"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vMerge w:val="restart"/>
            <w:tcBorders>
              <w:bottom w:val="nil"/>
            </w:tcBorders>
          </w:tcPr>
          <w:p>
            <w:pPr>
              <w:pStyle w:val="TableText"/>
              <w:ind w:left="483"/>
              <w:spacing w:before="190" w:line="239" w:lineRule="auto"/>
              <w:rPr>
                <w:sz w:val="21"/>
                <w:szCs w:val="21"/>
              </w:rPr>
            </w:pPr>
            <w:r>
              <w:rPr>
                <w:sz w:val="21"/>
                <w:szCs w:val="21"/>
                <w:spacing w:val="-1"/>
              </w:rPr>
              <w:t>PM2.5</w:t>
            </w:r>
          </w:p>
        </w:tc>
        <w:tc>
          <w:tcPr>
            <w:tcW w:w="1448" w:type="dxa"/>
            <w:vAlign w:val="top"/>
          </w:tcPr>
          <w:p>
            <w:pPr>
              <w:pStyle w:val="TableText"/>
              <w:ind w:left="245"/>
              <w:spacing w:before="22" w:line="208" w:lineRule="auto"/>
              <w:rPr>
                <w:sz w:val="21"/>
                <w:szCs w:val="21"/>
              </w:rPr>
            </w:pPr>
            <w:r>
              <w:rPr>
                <w:sz w:val="21"/>
                <w:szCs w:val="21"/>
                <w:spacing w:val="-2"/>
              </w:rPr>
              <w:t>75μg/m³</w:t>
            </w:r>
          </w:p>
        </w:tc>
        <w:tc>
          <w:tcPr>
            <w:tcW w:w="3082" w:type="dxa"/>
            <w:vAlign w:val="top"/>
          </w:tcPr>
          <w:p>
            <w:pPr>
              <w:pStyle w:val="TableText"/>
              <w:ind w:left="1007"/>
              <w:spacing w:before="30" w:line="201" w:lineRule="auto"/>
              <w:rPr>
                <w:sz w:val="21"/>
                <w:szCs w:val="21"/>
              </w:rPr>
            </w:pPr>
            <w:r>
              <w:rPr>
                <w:sz w:val="21"/>
                <w:szCs w:val="21"/>
                <w:spacing w:val="2"/>
              </w:rPr>
              <w:t>24小时平均</w:t>
            </w:r>
          </w:p>
        </w:tc>
      </w:tr>
      <w:tr>
        <w:trPr>
          <w:trHeight w:val="27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vMerge w:val="continue"/>
            <w:tcBorders>
              <w:top w:val="nil"/>
            </w:tcBorders>
          </w:tcPr>
          <w:p>
            <w:pPr>
              <w:rPr>
                <w:rFonts w:ascii="Arial"/>
                <w:sz w:val="21"/>
              </w:rPr>
            </w:pPr>
            <w:r/>
          </w:p>
        </w:tc>
        <w:tc>
          <w:tcPr>
            <w:tcW w:w="1448" w:type="dxa"/>
            <w:vAlign w:val="top"/>
          </w:tcPr>
          <w:p>
            <w:pPr>
              <w:pStyle w:val="TableText"/>
              <w:ind w:left="245"/>
              <w:spacing w:before="23" w:line="208" w:lineRule="auto"/>
              <w:rPr>
                <w:sz w:val="21"/>
                <w:szCs w:val="21"/>
              </w:rPr>
            </w:pPr>
            <w:r>
              <w:rPr>
                <w:sz w:val="21"/>
                <w:szCs w:val="21"/>
                <w:spacing w:val="-2"/>
              </w:rPr>
              <w:t>35μg/m³</w:t>
            </w:r>
          </w:p>
        </w:tc>
        <w:tc>
          <w:tcPr>
            <w:tcW w:w="3082" w:type="dxa"/>
            <w:vAlign w:val="top"/>
          </w:tcPr>
          <w:p>
            <w:pPr>
              <w:pStyle w:val="TableText"/>
              <w:ind w:left="1217"/>
              <w:spacing w:before="30" w:line="202" w:lineRule="auto"/>
              <w:rPr>
                <w:sz w:val="21"/>
                <w:szCs w:val="21"/>
              </w:rPr>
            </w:pPr>
            <w:r>
              <w:rPr>
                <w:sz w:val="21"/>
                <w:szCs w:val="21"/>
                <w:spacing w:val="4"/>
              </w:rPr>
              <w:t>年平均</w:t>
            </w:r>
          </w:p>
        </w:tc>
      </w:tr>
      <w:tr>
        <w:trPr>
          <w:trHeight w:val="30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vMerge w:val="restart"/>
            <w:tcBorders>
              <w:bottom w:val="nil"/>
            </w:tcBorders>
          </w:tcPr>
          <w:p>
            <w:pPr>
              <w:pStyle w:val="TableText"/>
              <w:ind w:left="543"/>
              <w:spacing w:before="243" w:line="184" w:lineRule="auto"/>
              <w:rPr>
                <w:sz w:val="21"/>
                <w:szCs w:val="21"/>
              </w:rPr>
            </w:pPr>
            <w:r>
              <w:rPr>
                <w:sz w:val="21"/>
                <w:szCs w:val="21"/>
                <w:spacing w:val="-1"/>
              </w:rPr>
              <w:t>PM10</w:t>
            </w:r>
          </w:p>
        </w:tc>
        <w:tc>
          <w:tcPr>
            <w:tcW w:w="1448" w:type="dxa"/>
            <w:vAlign w:val="top"/>
          </w:tcPr>
          <w:p>
            <w:pPr>
              <w:pStyle w:val="TableText"/>
              <w:ind w:left="245"/>
              <w:spacing w:before="43" w:line="214" w:lineRule="auto"/>
              <w:rPr>
                <w:sz w:val="21"/>
                <w:szCs w:val="21"/>
              </w:rPr>
            </w:pPr>
            <w:r>
              <w:rPr>
                <w:sz w:val="21"/>
                <w:szCs w:val="21"/>
                <w:spacing w:val="-2"/>
              </w:rPr>
              <w:t>70μg/m³</w:t>
            </w:r>
          </w:p>
        </w:tc>
        <w:tc>
          <w:tcPr>
            <w:tcW w:w="3082" w:type="dxa"/>
            <w:vAlign w:val="top"/>
          </w:tcPr>
          <w:p>
            <w:pPr>
              <w:pStyle w:val="TableText"/>
              <w:ind w:left="1217"/>
              <w:spacing w:before="49" w:line="211" w:lineRule="auto"/>
              <w:rPr>
                <w:sz w:val="21"/>
                <w:szCs w:val="21"/>
              </w:rPr>
            </w:pPr>
            <w:r>
              <w:rPr>
                <w:sz w:val="21"/>
                <w:szCs w:val="21"/>
                <w:spacing w:val="4"/>
              </w:rPr>
              <w:t>年平均</w:t>
            </w:r>
          </w:p>
        </w:tc>
      </w:tr>
      <w:tr>
        <w:trPr>
          <w:trHeight w:val="269"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vMerge w:val="continue"/>
            <w:tcBorders>
              <w:top w:val="nil"/>
            </w:tcBorders>
          </w:tcPr>
          <w:p>
            <w:pPr>
              <w:rPr>
                <w:rFonts w:ascii="Arial"/>
                <w:sz w:val="21"/>
              </w:rPr>
            </w:pPr>
            <w:r/>
          </w:p>
        </w:tc>
        <w:tc>
          <w:tcPr>
            <w:tcW w:w="1448" w:type="dxa"/>
            <w:vAlign w:val="top"/>
          </w:tcPr>
          <w:p>
            <w:pPr>
              <w:pStyle w:val="TableText"/>
              <w:ind w:left="195"/>
              <w:spacing w:before="23" w:line="207" w:lineRule="auto"/>
              <w:rPr>
                <w:sz w:val="21"/>
                <w:szCs w:val="21"/>
              </w:rPr>
            </w:pPr>
            <w:r>
              <w:rPr>
                <w:sz w:val="21"/>
                <w:szCs w:val="21"/>
                <w:spacing w:val="-3"/>
              </w:rPr>
              <w:t>150μg/m³</w:t>
            </w:r>
          </w:p>
        </w:tc>
        <w:tc>
          <w:tcPr>
            <w:tcW w:w="3082" w:type="dxa"/>
            <w:vAlign w:val="top"/>
          </w:tcPr>
          <w:p>
            <w:pPr>
              <w:pStyle w:val="TableText"/>
              <w:ind w:left="1007"/>
              <w:spacing w:before="31" w:line="200" w:lineRule="auto"/>
              <w:rPr>
                <w:sz w:val="21"/>
                <w:szCs w:val="21"/>
              </w:rPr>
            </w:pPr>
            <w:r>
              <w:rPr>
                <w:sz w:val="21"/>
                <w:szCs w:val="21"/>
                <w:spacing w:val="2"/>
              </w:rPr>
              <w:t>24小时平均</w:t>
            </w:r>
          </w:p>
        </w:tc>
      </w:tr>
      <w:tr>
        <w:trPr>
          <w:trHeight w:val="26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vMerge w:val="restart"/>
            <w:tcBorders>
              <w:bottom w:val="nil"/>
            </w:tcBorders>
          </w:tcPr>
          <w:p>
            <w:pPr>
              <w:pStyle w:val="TableText"/>
              <w:ind w:left="543"/>
              <w:spacing w:before="205" w:line="183" w:lineRule="auto"/>
              <w:rPr>
                <w:rFonts w:ascii="Calibri" w:hAnsi="Calibri" w:eastAsia="Calibri" w:cs="Calibri"/>
                <w:sz w:val="21"/>
                <w:szCs w:val="21"/>
              </w:rPr>
            </w:pPr>
            <w:r>
              <w:rPr>
                <w:sz w:val="21"/>
                <w:szCs w:val="21"/>
                <w:spacing w:val="-1"/>
              </w:rPr>
              <w:t>NO</w:t>
            </w:r>
            <w:r>
              <w:rPr>
                <w:rFonts w:ascii="Calibri" w:hAnsi="Calibri" w:eastAsia="Calibri" w:cs="Calibri"/>
                <w:sz w:val="21"/>
                <w:szCs w:val="21"/>
                <w:spacing w:val="-1"/>
              </w:rPr>
              <w:t>₂</w:t>
            </w:r>
          </w:p>
        </w:tc>
        <w:tc>
          <w:tcPr>
            <w:tcW w:w="1448" w:type="dxa"/>
            <w:vAlign w:val="top"/>
          </w:tcPr>
          <w:p>
            <w:pPr>
              <w:pStyle w:val="TableText"/>
              <w:ind w:left="195"/>
              <w:spacing w:before="24" w:line="198" w:lineRule="auto"/>
              <w:rPr>
                <w:sz w:val="21"/>
                <w:szCs w:val="21"/>
              </w:rPr>
            </w:pPr>
            <w:r>
              <w:rPr>
                <w:sz w:val="21"/>
                <w:szCs w:val="21"/>
                <w:spacing w:val="-2"/>
              </w:rPr>
              <w:t>200μg/m³</w:t>
            </w:r>
          </w:p>
        </w:tc>
        <w:tc>
          <w:tcPr>
            <w:tcW w:w="3082" w:type="dxa"/>
            <w:vAlign w:val="top"/>
          </w:tcPr>
          <w:p>
            <w:pPr>
              <w:pStyle w:val="TableText"/>
              <w:ind w:left="1057"/>
              <w:spacing w:before="32" w:line="191" w:lineRule="auto"/>
              <w:rPr>
                <w:sz w:val="21"/>
                <w:szCs w:val="21"/>
              </w:rPr>
            </w:pPr>
            <w:r>
              <w:rPr>
                <w:sz w:val="21"/>
                <w:szCs w:val="21"/>
                <w:spacing w:val="3"/>
              </w:rPr>
              <w:t>1小时平均</w:t>
            </w:r>
          </w:p>
        </w:tc>
      </w:tr>
      <w:tr>
        <w:trPr>
          <w:trHeight w:val="27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vMerge w:val="continue"/>
            <w:tcBorders>
              <w:top w:val="nil"/>
            </w:tcBorders>
          </w:tcPr>
          <w:p>
            <w:pPr>
              <w:rPr>
                <w:rFonts w:ascii="Arial"/>
                <w:sz w:val="21"/>
              </w:rPr>
            </w:pPr>
            <w:r/>
          </w:p>
        </w:tc>
        <w:tc>
          <w:tcPr>
            <w:tcW w:w="1448" w:type="dxa"/>
            <w:vAlign w:val="top"/>
          </w:tcPr>
          <w:p>
            <w:pPr>
              <w:pStyle w:val="TableText"/>
              <w:ind w:left="245"/>
              <w:spacing w:before="24" w:line="207" w:lineRule="auto"/>
              <w:rPr>
                <w:sz w:val="21"/>
                <w:szCs w:val="21"/>
              </w:rPr>
            </w:pPr>
            <w:r>
              <w:rPr>
                <w:sz w:val="21"/>
                <w:szCs w:val="21"/>
                <w:spacing w:val="-2"/>
              </w:rPr>
              <w:t>80μg/m³</w:t>
            </w:r>
          </w:p>
        </w:tc>
        <w:tc>
          <w:tcPr>
            <w:tcW w:w="3082" w:type="dxa"/>
            <w:vAlign w:val="top"/>
          </w:tcPr>
          <w:p>
            <w:pPr>
              <w:pStyle w:val="TableText"/>
              <w:ind w:left="1007"/>
              <w:spacing w:before="32" w:line="200" w:lineRule="auto"/>
              <w:rPr>
                <w:sz w:val="21"/>
                <w:szCs w:val="21"/>
              </w:rPr>
            </w:pPr>
            <w:r>
              <w:rPr>
                <w:sz w:val="21"/>
                <w:szCs w:val="21"/>
                <w:spacing w:val="2"/>
              </w:rPr>
              <w:t>24小时平均</w:t>
            </w:r>
          </w:p>
        </w:tc>
      </w:tr>
      <w:tr>
        <w:trPr>
          <w:trHeight w:val="269"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vMerge w:val="restart"/>
            <w:tcBorders>
              <w:bottom w:val="nil"/>
            </w:tcBorders>
          </w:tcPr>
          <w:p>
            <w:pPr>
              <w:pStyle w:val="TableText"/>
              <w:ind w:left="543"/>
              <w:spacing w:before="205" w:line="183" w:lineRule="auto"/>
              <w:rPr>
                <w:rFonts w:ascii="Calibri" w:hAnsi="Calibri" w:eastAsia="Calibri" w:cs="Calibri"/>
                <w:sz w:val="21"/>
                <w:szCs w:val="21"/>
              </w:rPr>
            </w:pPr>
            <w:r>
              <w:rPr>
                <w:sz w:val="21"/>
                <w:szCs w:val="21"/>
                <w:spacing w:val="-4"/>
              </w:rPr>
              <w:t>SO</w:t>
            </w:r>
            <w:r>
              <w:rPr>
                <w:rFonts w:ascii="Calibri" w:hAnsi="Calibri" w:eastAsia="Calibri" w:cs="Calibri"/>
                <w:sz w:val="21"/>
                <w:szCs w:val="21"/>
                <w:spacing w:val="-4"/>
              </w:rPr>
              <w:t>₂</w:t>
            </w:r>
          </w:p>
        </w:tc>
        <w:tc>
          <w:tcPr>
            <w:tcW w:w="1448" w:type="dxa"/>
            <w:vAlign w:val="top"/>
          </w:tcPr>
          <w:p>
            <w:pPr>
              <w:pStyle w:val="TableText"/>
              <w:ind w:left="195"/>
              <w:spacing w:before="24" w:line="206" w:lineRule="auto"/>
              <w:rPr>
                <w:sz w:val="21"/>
                <w:szCs w:val="21"/>
              </w:rPr>
            </w:pPr>
            <w:r>
              <w:rPr>
                <w:sz w:val="21"/>
                <w:szCs w:val="21"/>
                <w:spacing w:val="-2"/>
              </w:rPr>
              <w:t>500μg/m³</w:t>
            </w:r>
          </w:p>
        </w:tc>
        <w:tc>
          <w:tcPr>
            <w:tcW w:w="3082" w:type="dxa"/>
            <w:vAlign w:val="top"/>
          </w:tcPr>
          <w:p>
            <w:pPr>
              <w:pStyle w:val="TableText"/>
              <w:ind w:left="1057"/>
              <w:spacing w:before="32" w:line="199" w:lineRule="auto"/>
              <w:rPr>
                <w:sz w:val="21"/>
                <w:szCs w:val="21"/>
              </w:rPr>
            </w:pPr>
            <w:r>
              <w:rPr>
                <w:sz w:val="21"/>
                <w:szCs w:val="21"/>
                <w:spacing w:val="3"/>
              </w:rPr>
              <w:t>1小时平均</w:t>
            </w:r>
          </w:p>
        </w:tc>
      </w:tr>
      <w:tr>
        <w:trPr>
          <w:trHeight w:val="27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vMerge w:val="continue"/>
            <w:tcBorders>
              <w:top w:val="nil"/>
            </w:tcBorders>
          </w:tcPr>
          <w:p>
            <w:pPr>
              <w:rPr>
                <w:rFonts w:ascii="Arial"/>
                <w:sz w:val="21"/>
              </w:rPr>
            </w:pPr>
            <w:r/>
          </w:p>
        </w:tc>
        <w:tc>
          <w:tcPr>
            <w:tcW w:w="1448" w:type="dxa"/>
            <w:vAlign w:val="top"/>
          </w:tcPr>
          <w:p>
            <w:pPr>
              <w:pStyle w:val="TableText"/>
              <w:ind w:left="195"/>
              <w:spacing w:before="25" w:line="206" w:lineRule="auto"/>
              <w:rPr>
                <w:sz w:val="21"/>
                <w:szCs w:val="21"/>
              </w:rPr>
            </w:pPr>
            <w:r>
              <w:rPr>
                <w:sz w:val="21"/>
                <w:szCs w:val="21"/>
                <w:spacing w:val="-3"/>
              </w:rPr>
              <w:t>150μg/m³</w:t>
            </w:r>
          </w:p>
        </w:tc>
        <w:tc>
          <w:tcPr>
            <w:tcW w:w="3082" w:type="dxa"/>
            <w:vAlign w:val="top"/>
          </w:tcPr>
          <w:p>
            <w:pPr>
              <w:pStyle w:val="TableText"/>
              <w:ind w:left="1007"/>
              <w:spacing w:before="33" w:line="199" w:lineRule="auto"/>
              <w:rPr>
                <w:sz w:val="21"/>
                <w:szCs w:val="21"/>
              </w:rPr>
            </w:pPr>
            <w:r>
              <w:rPr>
                <w:sz w:val="21"/>
                <w:szCs w:val="21"/>
                <w:spacing w:val="2"/>
              </w:rPr>
              <w:t>24小时平均</w:t>
            </w:r>
          </w:p>
        </w:tc>
      </w:tr>
      <w:tr>
        <w:trPr>
          <w:trHeight w:val="28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vMerge w:val="restart"/>
            <w:tcBorders>
              <w:bottom w:val="nil"/>
            </w:tcBorders>
          </w:tcPr>
          <w:p>
            <w:pPr>
              <w:pStyle w:val="TableText"/>
              <w:ind w:left="593"/>
              <w:spacing w:before="214" w:line="183" w:lineRule="auto"/>
              <w:rPr>
                <w:rFonts w:ascii="Calibri" w:hAnsi="Calibri" w:eastAsia="Calibri" w:cs="Calibri"/>
                <w:sz w:val="21"/>
                <w:szCs w:val="21"/>
              </w:rPr>
            </w:pPr>
            <w:r>
              <w:rPr>
                <w:sz w:val="21"/>
                <w:szCs w:val="21"/>
                <w:spacing w:val="-4"/>
              </w:rPr>
              <w:t>O</w:t>
            </w:r>
            <w:r>
              <w:rPr>
                <w:rFonts w:ascii="Calibri" w:hAnsi="Calibri" w:eastAsia="Calibri" w:cs="Calibri"/>
                <w:sz w:val="21"/>
                <w:szCs w:val="21"/>
                <w:spacing w:val="-4"/>
              </w:rPr>
              <w:t>₃</w:t>
            </w:r>
          </w:p>
        </w:tc>
        <w:tc>
          <w:tcPr>
            <w:tcW w:w="1448" w:type="dxa"/>
            <w:vAlign w:val="top"/>
          </w:tcPr>
          <w:p>
            <w:pPr>
              <w:pStyle w:val="TableText"/>
              <w:ind w:left="195"/>
              <w:spacing w:before="35" w:line="206" w:lineRule="auto"/>
              <w:rPr>
                <w:sz w:val="21"/>
                <w:szCs w:val="21"/>
              </w:rPr>
            </w:pPr>
            <w:r>
              <w:rPr>
                <w:sz w:val="21"/>
                <w:szCs w:val="21"/>
                <w:spacing w:val="-2"/>
              </w:rPr>
              <w:t>200μg/m³</w:t>
            </w:r>
          </w:p>
        </w:tc>
        <w:tc>
          <w:tcPr>
            <w:tcW w:w="3082" w:type="dxa"/>
            <w:vAlign w:val="top"/>
          </w:tcPr>
          <w:p>
            <w:pPr>
              <w:pStyle w:val="TableText"/>
              <w:ind w:left="1057"/>
              <w:spacing w:before="43" w:line="199" w:lineRule="auto"/>
              <w:rPr>
                <w:sz w:val="21"/>
                <w:szCs w:val="21"/>
              </w:rPr>
            </w:pPr>
            <w:r>
              <w:rPr>
                <w:sz w:val="21"/>
                <w:szCs w:val="21"/>
                <w:spacing w:val="3"/>
              </w:rPr>
              <w:t>1小时平均</w:t>
            </w:r>
          </w:p>
        </w:tc>
      </w:tr>
      <w:tr>
        <w:trPr>
          <w:trHeight w:val="28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tcBorders>
          </w:tcPr>
          <w:p>
            <w:pPr>
              <w:rPr>
                <w:rFonts w:ascii="Arial"/>
                <w:sz w:val="21"/>
              </w:rPr>
            </w:pPr>
            <w:r/>
          </w:p>
        </w:tc>
        <w:tc>
          <w:tcPr>
            <w:tcW w:w="1518" w:type="dxa"/>
            <w:vAlign w:val="top"/>
            <w:vMerge w:val="continue"/>
            <w:tcBorders>
              <w:top w:val="nil"/>
            </w:tcBorders>
          </w:tcPr>
          <w:p>
            <w:pPr>
              <w:rPr>
                <w:rFonts w:ascii="Arial"/>
                <w:sz w:val="21"/>
              </w:rPr>
            </w:pPr>
            <w:r/>
          </w:p>
        </w:tc>
        <w:tc>
          <w:tcPr>
            <w:tcW w:w="1448" w:type="dxa"/>
            <w:vAlign w:val="top"/>
          </w:tcPr>
          <w:p>
            <w:pPr>
              <w:pStyle w:val="TableText"/>
              <w:ind w:left="195"/>
              <w:spacing w:before="35" w:line="206" w:lineRule="auto"/>
              <w:rPr>
                <w:sz w:val="21"/>
                <w:szCs w:val="21"/>
              </w:rPr>
            </w:pPr>
            <w:r>
              <w:rPr>
                <w:sz w:val="21"/>
                <w:szCs w:val="21"/>
                <w:spacing w:val="-3"/>
              </w:rPr>
              <w:t>160μg/m³</w:t>
            </w:r>
          </w:p>
        </w:tc>
        <w:tc>
          <w:tcPr>
            <w:tcW w:w="3082" w:type="dxa"/>
            <w:vAlign w:val="top"/>
          </w:tcPr>
          <w:p>
            <w:pPr>
              <w:pStyle w:val="TableText"/>
              <w:ind w:left="747"/>
              <w:spacing w:before="42" w:line="200" w:lineRule="auto"/>
              <w:rPr>
                <w:sz w:val="21"/>
                <w:szCs w:val="21"/>
              </w:rPr>
            </w:pPr>
            <w:r>
              <w:rPr>
                <w:sz w:val="21"/>
                <w:szCs w:val="21"/>
                <w:spacing w:val="1"/>
              </w:rPr>
              <w:t>日最大8小时平均</w:t>
            </w:r>
          </w:p>
        </w:tc>
      </w:tr>
      <w:tr>
        <w:trPr>
          <w:trHeight w:val="270" w:hRule="atLeast"/>
        </w:trPr>
        <w:tc>
          <w:tcPr>
            <w:tcW w:w="844" w:type="dxa"/>
            <w:vAlign w:val="top"/>
            <w:vMerge w:val="continue"/>
            <w:tcBorders>
              <w:top w:val="nil"/>
              <w:bottom w:val="nil"/>
            </w:tcBorders>
          </w:tcPr>
          <w:p>
            <w:pPr>
              <w:rPr>
                <w:rFonts w:ascii="Arial"/>
                <w:sz w:val="21"/>
              </w:rPr>
            </w:pPr>
            <w:r/>
          </w:p>
        </w:tc>
        <w:tc>
          <w:tcPr>
            <w:tcW w:w="1418" w:type="dxa"/>
            <w:vAlign w:val="top"/>
            <w:vMerge w:val="restart"/>
            <w:tcBorders>
              <w:bottom w:val="nil"/>
            </w:tcBorders>
          </w:tcPr>
          <w:p>
            <w:pPr>
              <w:pStyle w:val="TableText"/>
              <w:spacing w:before="30" w:line="218" w:lineRule="auto"/>
              <w:rPr>
                <w:sz w:val="21"/>
                <w:szCs w:val="21"/>
              </w:rPr>
            </w:pPr>
            <w:r>
              <w:rPr>
                <w:sz w:val="21"/>
                <w:szCs w:val="21"/>
                <w:spacing w:val="-11"/>
              </w:rPr>
              <w:t>《环境影响评价</w:t>
            </w:r>
          </w:p>
          <w:p>
            <w:pPr>
              <w:pStyle w:val="TableText"/>
              <w:ind w:left="71"/>
              <w:spacing w:before="33" w:line="219" w:lineRule="auto"/>
              <w:rPr>
                <w:sz w:val="21"/>
                <w:szCs w:val="21"/>
              </w:rPr>
            </w:pPr>
            <w:r>
              <w:rPr>
                <w:sz w:val="21"/>
                <w:szCs w:val="21"/>
                <w:spacing w:val="2"/>
              </w:rPr>
              <w:t>技术导则大气</w:t>
            </w:r>
          </w:p>
          <w:p>
            <w:pPr>
              <w:pStyle w:val="TableText"/>
              <w:ind w:left="121"/>
              <w:spacing w:line="199" w:lineRule="auto"/>
              <w:rPr>
                <w:sz w:val="21"/>
                <w:szCs w:val="21"/>
              </w:rPr>
            </w:pPr>
            <w:r>
              <w:rPr>
                <w:sz w:val="21"/>
                <w:szCs w:val="21"/>
                <w:spacing w:val="-2"/>
              </w:rPr>
              <w:t>环境》附录D</w:t>
            </w:r>
          </w:p>
        </w:tc>
        <w:tc>
          <w:tcPr>
            <w:tcW w:w="1518" w:type="dxa"/>
            <w:vAlign w:val="top"/>
          </w:tcPr>
          <w:p>
            <w:pPr>
              <w:pStyle w:val="TableText"/>
              <w:ind w:left="543"/>
              <w:spacing w:before="66" w:line="170"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1448" w:type="dxa"/>
            <w:vAlign w:val="top"/>
          </w:tcPr>
          <w:p>
            <w:pPr>
              <w:pStyle w:val="TableText"/>
              <w:ind w:left="195"/>
              <w:spacing w:before="25" w:line="206" w:lineRule="auto"/>
              <w:rPr>
                <w:sz w:val="21"/>
                <w:szCs w:val="21"/>
              </w:rPr>
            </w:pPr>
            <w:r>
              <w:rPr>
                <w:sz w:val="21"/>
                <w:szCs w:val="21"/>
                <w:spacing w:val="-2"/>
              </w:rPr>
              <w:t>200μg/m³</w:t>
            </w:r>
          </w:p>
        </w:tc>
        <w:tc>
          <w:tcPr>
            <w:tcW w:w="3082" w:type="dxa"/>
            <w:vAlign w:val="top"/>
          </w:tcPr>
          <w:p>
            <w:pPr>
              <w:pStyle w:val="TableText"/>
              <w:ind w:left="1217"/>
              <w:spacing w:before="33" w:line="199" w:lineRule="auto"/>
              <w:rPr>
                <w:sz w:val="21"/>
                <w:szCs w:val="21"/>
              </w:rPr>
            </w:pPr>
            <w:r>
              <w:rPr>
                <w:sz w:val="21"/>
                <w:szCs w:val="21"/>
                <w:spacing w:val="3"/>
              </w:rPr>
              <w:t>1h平均</w:t>
            </w:r>
          </w:p>
        </w:tc>
      </w:tr>
      <w:tr>
        <w:trPr>
          <w:trHeight w:val="519" w:hRule="atLeast"/>
        </w:trPr>
        <w:tc>
          <w:tcPr>
            <w:tcW w:w="844" w:type="dxa"/>
            <w:vAlign w:val="top"/>
            <w:vMerge w:val="continue"/>
            <w:tcBorders>
              <w:top w:val="nil"/>
            </w:tcBorders>
          </w:tcPr>
          <w:p>
            <w:pPr>
              <w:rPr>
                <w:rFonts w:ascii="Arial"/>
                <w:sz w:val="21"/>
              </w:rPr>
            </w:pPr>
            <w:r/>
          </w:p>
        </w:tc>
        <w:tc>
          <w:tcPr>
            <w:tcW w:w="1418" w:type="dxa"/>
            <w:vAlign w:val="top"/>
            <w:vMerge w:val="continue"/>
            <w:tcBorders>
              <w:top w:val="nil"/>
            </w:tcBorders>
          </w:tcPr>
          <w:p>
            <w:pPr>
              <w:rPr>
                <w:rFonts w:ascii="Arial"/>
                <w:sz w:val="21"/>
              </w:rPr>
            </w:pPr>
            <w:r/>
          </w:p>
        </w:tc>
        <w:tc>
          <w:tcPr>
            <w:tcW w:w="1518" w:type="dxa"/>
            <w:vAlign w:val="top"/>
          </w:tcPr>
          <w:p>
            <w:pPr>
              <w:pStyle w:val="TableText"/>
              <w:ind w:left="543"/>
              <w:spacing w:before="196" w:line="183"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1448" w:type="dxa"/>
            <w:vAlign w:val="top"/>
          </w:tcPr>
          <w:p>
            <w:pPr>
              <w:pStyle w:val="TableText"/>
              <w:ind w:left="245"/>
              <w:spacing w:before="155" w:line="214" w:lineRule="auto"/>
              <w:rPr>
                <w:sz w:val="21"/>
                <w:szCs w:val="21"/>
              </w:rPr>
            </w:pPr>
            <w:r>
              <w:rPr>
                <w:sz w:val="21"/>
                <w:szCs w:val="21"/>
                <w:spacing w:val="-3"/>
              </w:rPr>
              <w:t>10μg/m³</w:t>
            </w:r>
          </w:p>
        </w:tc>
        <w:tc>
          <w:tcPr>
            <w:tcW w:w="3082" w:type="dxa"/>
            <w:vAlign w:val="top"/>
          </w:tcPr>
          <w:p>
            <w:pPr>
              <w:pStyle w:val="TableText"/>
              <w:ind w:left="1217"/>
              <w:spacing w:before="163" w:line="220" w:lineRule="auto"/>
              <w:rPr>
                <w:sz w:val="21"/>
                <w:szCs w:val="21"/>
              </w:rPr>
            </w:pPr>
            <w:r>
              <w:rPr>
                <w:sz w:val="21"/>
                <w:szCs w:val="21"/>
                <w:spacing w:val="3"/>
              </w:rPr>
              <w:t>1h平均</w:t>
            </w:r>
          </w:p>
        </w:tc>
      </w:tr>
      <w:tr>
        <w:trPr>
          <w:trHeight w:val="300" w:hRule="atLeast"/>
        </w:trPr>
        <w:tc>
          <w:tcPr>
            <w:tcW w:w="844" w:type="dxa"/>
            <w:vAlign w:val="top"/>
            <w:vMerge w:val="restart"/>
            <w:tcBorders>
              <w:bottom w:val="nil"/>
            </w:tcBorders>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95" w:right="119" w:firstLine="110"/>
              <w:spacing w:before="68" w:line="229" w:lineRule="auto"/>
              <w:rPr>
                <w:sz w:val="21"/>
                <w:szCs w:val="21"/>
              </w:rPr>
            </w:pPr>
            <w:r>
              <w:rPr>
                <w:sz w:val="21"/>
                <w:szCs w:val="21"/>
                <w:spacing w:val="-5"/>
              </w:rPr>
              <w:t>地表</w:t>
            </w:r>
            <w:r>
              <w:rPr>
                <w:sz w:val="21"/>
                <w:szCs w:val="21"/>
              </w:rPr>
              <w:t xml:space="preserve">  </w:t>
            </w:r>
            <w:r>
              <w:rPr>
                <w:sz w:val="21"/>
                <w:szCs w:val="21"/>
                <w:spacing w:val="-4"/>
              </w:rPr>
              <w:t>水环境</w:t>
            </w:r>
          </w:p>
        </w:tc>
        <w:tc>
          <w:tcPr>
            <w:tcW w:w="1418" w:type="dxa"/>
            <w:vAlign w:val="top"/>
            <w:vMerge w:val="restart"/>
            <w:tcBorders>
              <w:bottom w:val="nil"/>
            </w:tcBorders>
          </w:tcPr>
          <w:p>
            <w:pPr>
              <w:spacing w:line="330" w:lineRule="auto"/>
              <w:rPr>
                <w:rFonts w:ascii="Arial"/>
                <w:sz w:val="21"/>
              </w:rPr>
            </w:pPr>
            <w:r/>
          </w:p>
          <w:p>
            <w:pPr>
              <w:spacing w:line="331" w:lineRule="auto"/>
              <w:rPr>
                <w:rFonts w:ascii="Arial"/>
                <w:sz w:val="21"/>
              </w:rPr>
            </w:pPr>
            <w:r/>
          </w:p>
          <w:p>
            <w:pPr>
              <w:pStyle w:val="TableText"/>
              <w:spacing w:before="68" w:line="219" w:lineRule="auto"/>
              <w:rPr>
                <w:sz w:val="21"/>
                <w:szCs w:val="21"/>
              </w:rPr>
            </w:pPr>
            <w:r>
              <w:rPr>
                <w:sz w:val="21"/>
                <w:szCs w:val="21"/>
                <w:spacing w:val="-11"/>
              </w:rPr>
              <w:t>《地表水环境质</w:t>
            </w:r>
          </w:p>
          <w:p>
            <w:pPr>
              <w:pStyle w:val="TableText"/>
              <w:ind w:left="331"/>
              <w:spacing w:before="21" w:line="220" w:lineRule="auto"/>
              <w:rPr>
                <w:sz w:val="21"/>
                <w:szCs w:val="21"/>
              </w:rPr>
            </w:pPr>
            <w:r>
              <w:rPr>
                <w:sz w:val="21"/>
                <w:szCs w:val="21"/>
                <w:spacing w:val="-4"/>
              </w:rPr>
              <w:t>量标准》</w:t>
            </w:r>
          </w:p>
          <w:p>
            <w:pPr>
              <w:pStyle w:val="TableText"/>
              <w:ind w:left="281"/>
              <w:spacing w:before="42" w:line="222" w:lineRule="auto"/>
              <w:rPr>
                <w:sz w:val="21"/>
                <w:szCs w:val="21"/>
              </w:rPr>
            </w:pPr>
            <w:r>
              <w:rPr>
                <w:sz w:val="21"/>
                <w:szCs w:val="21"/>
                <w:spacing w:val="-5"/>
              </w:rPr>
              <w:t>(GB3838-</w:t>
            </w:r>
          </w:p>
          <w:p>
            <w:pPr>
              <w:pStyle w:val="TableText"/>
              <w:ind w:left="11"/>
              <w:spacing w:before="4" w:line="219" w:lineRule="auto"/>
              <w:rPr>
                <w:sz w:val="21"/>
                <w:szCs w:val="21"/>
              </w:rPr>
            </w:pPr>
            <w:r>
              <w:rPr>
                <w:sz w:val="21"/>
                <w:szCs w:val="21"/>
                <w:spacing w:val="1"/>
              </w:rPr>
              <w:t>2002)Ⅲ类水域</w:t>
            </w:r>
          </w:p>
          <w:p>
            <w:pPr>
              <w:pStyle w:val="TableText"/>
              <w:ind w:left="491"/>
              <w:spacing w:before="11" w:line="220" w:lineRule="auto"/>
              <w:rPr>
                <w:sz w:val="21"/>
                <w:szCs w:val="21"/>
              </w:rPr>
            </w:pPr>
            <w:r>
              <w:rPr>
                <w:sz w:val="21"/>
                <w:szCs w:val="21"/>
                <w:spacing w:val="-3"/>
              </w:rPr>
              <w:t>标准</w:t>
            </w:r>
          </w:p>
        </w:tc>
        <w:tc>
          <w:tcPr>
            <w:tcW w:w="1518" w:type="dxa"/>
            <w:vAlign w:val="top"/>
          </w:tcPr>
          <w:p>
            <w:pPr>
              <w:pStyle w:val="TableText"/>
              <w:ind w:left="643"/>
              <w:spacing w:before="81" w:line="182" w:lineRule="auto"/>
              <w:rPr>
                <w:sz w:val="21"/>
                <w:szCs w:val="21"/>
              </w:rPr>
            </w:pPr>
            <w:r>
              <w:rPr>
                <w:sz w:val="21"/>
                <w:szCs w:val="21"/>
                <w:spacing w:val="-2"/>
              </w:rPr>
              <w:t>pH</w:t>
            </w:r>
          </w:p>
        </w:tc>
        <w:tc>
          <w:tcPr>
            <w:tcW w:w="1448" w:type="dxa"/>
            <w:vAlign w:val="top"/>
          </w:tcPr>
          <w:p>
            <w:pPr>
              <w:pStyle w:val="TableText"/>
              <w:ind w:left="505"/>
              <w:spacing w:before="75" w:line="189" w:lineRule="auto"/>
              <w:rPr>
                <w:sz w:val="21"/>
                <w:szCs w:val="21"/>
              </w:rPr>
            </w:pPr>
            <w:r>
              <w:rPr>
                <w:sz w:val="21"/>
                <w:szCs w:val="21"/>
                <w:spacing w:val="-3"/>
              </w:rPr>
              <w:t>6～9</w:t>
            </w:r>
          </w:p>
        </w:tc>
        <w:tc>
          <w:tcPr>
            <w:tcW w:w="3082" w:type="dxa"/>
            <w:vAlign w:val="top"/>
          </w:tcPr>
          <w:p>
            <w:pPr>
              <w:pStyle w:val="TableText"/>
              <w:ind w:left="1117"/>
              <w:spacing w:before="54" w:line="207" w:lineRule="auto"/>
              <w:rPr>
                <w:sz w:val="21"/>
                <w:szCs w:val="21"/>
              </w:rPr>
            </w:pPr>
            <w:r>
              <w:rPr>
                <w:sz w:val="21"/>
                <w:szCs w:val="21"/>
                <w:spacing w:val="9"/>
              </w:rPr>
              <w:t>(无量纲)</w:t>
            </w:r>
          </w:p>
        </w:tc>
      </w:tr>
      <w:tr>
        <w:trPr>
          <w:trHeight w:val="26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432"/>
              <w:spacing w:before="32" w:line="191" w:lineRule="auto"/>
              <w:rPr>
                <w:sz w:val="21"/>
                <w:szCs w:val="21"/>
              </w:rPr>
            </w:pPr>
            <w:r>
              <w:rPr>
                <w:sz w:val="21"/>
                <w:szCs w:val="21"/>
                <w:spacing w:val="-3"/>
              </w:rPr>
              <w:t>溶解氧</w:t>
            </w:r>
          </w:p>
        </w:tc>
        <w:tc>
          <w:tcPr>
            <w:tcW w:w="1448" w:type="dxa"/>
            <w:vAlign w:val="top"/>
          </w:tcPr>
          <w:p>
            <w:pPr>
              <w:pStyle w:val="TableText"/>
              <w:ind w:left="345"/>
              <w:spacing w:before="27" w:line="196" w:lineRule="auto"/>
              <w:rPr>
                <w:sz w:val="21"/>
                <w:szCs w:val="21"/>
              </w:rPr>
            </w:pPr>
            <w:r>
              <w:rPr>
                <w:sz w:val="21"/>
                <w:szCs w:val="21"/>
                <w:spacing w:val="-5"/>
              </w:rPr>
              <w:t>≥5mg/L</w:t>
            </w:r>
          </w:p>
        </w:tc>
        <w:tc>
          <w:tcPr>
            <w:tcW w:w="3082" w:type="dxa"/>
            <w:vAlign w:val="top"/>
            <w:textDirection w:val="tbRlV"/>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5"/>
              <w:spacing w:before="70" w:line="137" w:lineRule="exact"/>
              <w:rPr>
                <w:sz w:val="21"/>
                <w:szCs w:val="21"/>
              </w:rPr>
            </w:pPr>
            <w:r>
              <w:rPr>
                <w:sz w:val="21"/>
                <w:szCs w:val="21"/>
                <w:color w:val="404040"/>
                <w:spacing w:val="52"/>
                <w:w w:val="141"/>
                <w:position w:val="-1"/>
              </w:rPr>
              <w:t>/</w:t>
            </w:r>
          </w:p>
        </w:tc>
      </w:tr>
      <w:tr>
        <w:trPr>
          <w:trHeight w:val="24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593"/>
              <w:spacing w:before="77" w:line="153" w:lineRule="exact"/>
              <w:rPr>
                <w:sz w:val="21"/>
                <w:szCs w:val="21"/>
              </w:rPr>
            </w:pPr>
            <w:r>
              <w:rPr>
                <w:sz w:val="21"/>
                <w:szCs w:val="21"/>
                <w:spacing w:val="-2"/>
                <w:position w:val="-3"/>
              </w:rPr>
              <w:t>COD</w:t>
            </w:r>
          </w:p>
        </w:tc>
        <w:tc>
          <w:tcPr>
            <w:tcW w:w="1448" w:type="dxa"/>
            <w:vAlign w:val="top"/>
          </w:tcPr>
          <w:p>
            <w:pPr>
              <w:pStyle w:val="TableText"/>
              <w:ind w:left="295"/>
              <w:spacing w:before="17" w:line="187" w:lineRule="auto"/>
              <w:rPr>
                <w:sz w:val="21"/>
                <w:szCs w:val="21"/>
              </w:rPr>
            </w:pPr>
            <w:r>
              <w:rPr>
                <w:sz w:val="21"/>
                <w:szCs w:val="21"/>
                <w:spacing w:val="-3"/>
              </w:rPr>
              <w:t>≤20mg/L</w:t>
            </w:r>
          </w:p>
        </w:tc>
        <w:tc>
          <w:tcPr>
            <w:tcW w:w="3082" w:type="dxa"/>
            <w:vAlign w:val="top"/>
            <w:textDirection w:val="tbRlV"/>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spacing w:before="70" w:line="137" w:lineRule="exact"/>
              <w:rPr>
                <w:sz w:val="21"/>
                <w:szCs w:val="21"/>
              </w:rPr>
            </w:pPr>
            <w:r>
              <w:rPr>
                <w:sz w:val="21"/>
                <w:szCs w:val="21"/>
                <w:spacing w:val="52"/>
                <w:w w:val="137"/>
                <w:position w:val="-1"/>
              </w:rPr>
              <w:t>/</w:t>
            </w:r>
          </w:p>
        </w:tc>
      </w:tr>
      <w:tr>
        <w:trPr>
          <w:trHeight w:val="24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483"/>
              <w:spacing w:before="56" w:line="173" w:lineRule="exact"/>
              <w:rPr>
                <w:rFonts w:ascii="Calibri" w:hAnsi="Calibri" w:eastAsia="Calibri" w:cs="Calibri"/>
                <w:sz w:val="21"/>
                <w:szCs w:val="21"/>
              </w:rPr>
            </w:pPr>
            <w:r>
              <w:rPr>
                <w:sz w:val="21"/>
                <w:szCs w:val="21"/>
                <w:color w:val="605050"/>
                <w:spacing w:val="-1"/>
                <w:position w:val="-1"/>
              </w:rPr>
              <w:t>BOD</w:t>
            </w:r>
            <w:r>
              <w:rPr>
                <w:rFonts w:ascii="Calibri" w:hAnsi="Calibri" w:eastAsia="Calibri" w:cs="Calibri"/>
                <w:sz w:val="21"/>
                <w:szCs w:val="21"/>
                <w:color w:val="605050"/>
                <w:spacing w:val="-1"/>
                <w:position w:val="-1"/>
              </w:rPr>
              <w:t>₅</w:t>
            </w:r>
          </w:p>
        </w:tc>
        <w:tc>
          <w:tcPr>
            <w:tcW w:w="1448" w:type="dxa"/>
            <w:vAlign w:val="top"/>
          </w:tcPr>
          <w:p>
            <w:pPr>
              <w:pStyle w:val="TableText"/>
              <w:ind w:left="345"/>
              <w:spacing w:before="17" w:line="187" w:lineRule="auto"/>
              <w:rPr>
                <w:sz w:val="21"/>
                <w:szCs w:val="21"/>
              </w:rPr>
            </w:pPr>
            <w:r>
              <w:rPr>
                <w:sz w:val="21"/>
                <w:szCs w:val="21"/>
                <w:spacing w:val="-4"/>
              </w:rPr>
              <w:t>≤4mg/L</w:t>
            </w:r>
          </w:p>
        </w:tc>
        <w:tc>
          <w:tcPr>
            <w:tcW w:w="3082" w:type="dxa"/>
            <w:vAlign w:val="top"/>
            <w:textDirection w:val="tbRlV"/>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spacing w:before="70" w:line="137" w:lineRule="exact"/>
              <w:rPr>
                <w:sz w:val="21"/>
                <w:szCs w:val="21"/>
              </w:rPr>
            </w:pPr>
            <w:r>
              <w:rPr>
                <w:sz w:val="21"/>
                <w:szCs w:val="21"/>
                <w:spacing w:val="52"/>
                <w:w w:val="137"/>
                <w:position w:val="-1"/>
              </w:rPr>
              <w:t>/</w:t>
            </w:r>
          </w:p>
        </w:tc>
      </w:tr>
      <w:tr>
        <w:trPr>
          <w:trHeight w:val="24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432"/>
              <w:spacing w:before="57" w:line="172" w:lineRule="exact"/>
              <w:rPr>
                <w:sz w:val="21"/>
                <w:szCs w:val="21"/>
              </w:rPr>
            </w:pPr>
            <w:r>
              <w:rPr>
                <w:sz w:val="21"/>
                <w:szCs w:val="21"/>
                <w:color w:val="505040"/>
                <w:spacing w:val="-1"/>
                <w:position w:val="-1"/>
              </w:rPr>
              <w:t>NH</w:t>
            </w:r>
            <w:r>
              <w:rPr>
                <w:rFonts w:ascii="Calibri" w:hAnsi="Calibri" w:eastAsia="Calibri" w:cs="Calibri"/>
                <w:sz w:val="21"/>
                <w:szCs w:val="21"/>
                <w:color w:val="505040"/>
                <w:spacing w:val="-1"/>
                <w:position w:val="-1"/>
              </w:rPr>
              <w:t>₃</w:t>
            </w:r>
            <w:r>
              <w:rPr>
                <w:sz w:val="21"/>
                <w:szCs w:val="21"/>
                <w:color w:val="505040"/>
                <w:spacing w:val="-1"/>
                <w:position w:val="-1"/>
              </w:rPr>
              <w:t>-N</w:t>
            </w:r>
          </w:p>
        </w:tc>
        <w:tc>
          <w:tcPr>
            <w:tcW w:w="1448" w:type="dxa"/>
            <w:vAlign w:val="top"/>
          </w:tcPr>
          <w:p>
            <w:pPr>
              <w:pStyle w:val="TableText"/>
              <w:ind w:left="245"/>
              <w:spacing w:before="17" w:line="187" w:lineRule="auto"/>
              <w:rPr>
                <w:sz w:val="21"/>
                <w:szCs w:val="21"/>
              </w:rPr>
            </w:pPr>
            <w:r>
              <w:rPr>
                <w:sz w:val="21"/>
                <w:szCs w:val="21"/>
                <w:spacing w:val="-3"/>
              </w:rPr>
              <w:t>≤1.0mg/L</w:t>
            </w:r>
          </w:p>
        </w:tc>
        <w:tc>
          <w:tcPr>
            <w:tcW w:w="3082" w:type="dxa"/>
            <w:vAlign w:val="top"/>
            <w:textDirection w:val="tbRlV"/>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spacing w:before="70" w:line="137" w:lineRule="exact"/>
              <w:rPr>
                <w:sz w:val="21"/>
                <w:szCs w:val="21"/>
              </w:rPr>
            </w:pPr>
            <w:r>
              <w:rPr>
                <w:sz w:val="21"/>
                <w:szCs w:val="21"/>
                <w:spacing w:val="52"/>
                <w:w w:val="137"/>
                <w:position w:val="-1"/>
              </w:rPr>
              <w:t>/</w:t>
            </w:r>
          </w:p>
        </w:tc>
      </w:tr>
      <w:tr>
        <w:trPr>
          <w:trHeight w:val="27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543"/>
              <w:spacing w:before="32" w:line="200" w:lineRule="auto"/>
              <w:rPr>
                <w:sz w:val="21"/>
                <w:szCs w:val="21"/>
              </w:rPr>
            </w:pPr>
            <w:r>
              <w:rPr>
                <w:sz w:val="21"/>
                <w:szCs w:val="21"/>
                <w:spacing w:val="4"/>
              </w:rPr>
              <w:t>总氮</w:t>
            </w:r>
          </w:p>
        </w:tc>
        <w:tc>
          <w:tcPr>
            <w:tcW w:w="1448" w:type="dxa"/>
            <w:vAlign w:val="top"/>
          </w:tcPr>
          <w:p>
            <w:pPr>
              <w:pStyle w:val="TableText"/>
              <w:ind w:left="245"/>
              <w:spacing w:before="26" w:line="205" w:lineRule="auto"/>
              <w:rPr>
                <w:sz w:val="21"/>
                <w:szCs w:val="21"/>
              </w:rPr>
            </w:pPr>
            <w:r>
              <w:rPr>
                <w:sz w:val="21"/>
                <w:szCs w:val="21"/>
                <w:spacing w:val="-3"/>
              </w:rPr>
              <w:t>≤1.0mg/L</w:t>
            </w:r>
          </w:p>
        </w:tc>
        <w:tc>
          <w:tcPr>
            <w:tcW w:w="3082" w:type="dxa"/>
            <w:vAlign w:val="top"/>
            <w:textDirection w:val="tbRlV"/>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5"/>
              <w:spacing w:before="70" w:line="137" w:lineRule="exact"/>
              <w:rPr>
                <w:sz w:val="21"/>
                <w:szCs w:val="21"/>
              </w:rPr>
            </w:pPr>
            <w:r>
              <w:rPr>
                <w:sz w:val="21"/>
                <w:szCs w:val="21"/>
                <w:spacing w:val="52"/>
                <w:w w:val="141"/>
                <w:position w:val="-1"/>
              </w:rPr>
              <w:t>/</w:t>
            </w:r>
          </w:p>
        </w:tc>
      </w:tr>
      <w:tr>
        <w:trPr>
          <w:trHeight w:val="549"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543"/>
              <w:spacing w:before="33" w:line="219" w:lineRule="auto"/>
              <w:rPr>
                <w:sz w:val="21"/>
                <w:szCs w:val="21"/>
              </w:rPr>
            </w:pPr>
            <w:r>
              <w:rPr>
                <w:sz w:val="21"/>
                <w:szCs w:val="21"/>
                <w:spacing w:val="4"/>
              </w:rPr>
              <w:t>总磷</w:t>
            </w:r>
          </w:p>
          <w:p>
            <w:pPr>
              <w:pStyle w:val="TableText"/>
              <w:ind w:left="223"/>
              <w:spacing w:before="27" w:line="201" w:lineRule="auto"/>
              <w:rPr>
                <w:sz w:val="21"/>
                <w:szCs w:val="21"/>
              </w:rPr>
            </w:pPr>
            <w:r>
              <w:rPr>
                <w:sz w:val="21"/>
                <w:szCs w:val="21"/>
                <w:spacing w:val="7"/>
              </w:rPr>
              <w:t>(</w:t>
            </w:r>
            <w:r>
              <w:rPr>
                <w:sz w:val="21"/>
                <w:szCs w:val="21"/>
              </w:rPr>
              <w:t>TP</w:t>
            </w:r>
            <w:r>
              <w:rPr>
                <w:sz w:val="21"/>
                <w:szCs w:val="21"/>
                <w:spacing w:val="7"/>
              </w:rPr>
              <w:t>,以P计)</w:t>
            </w:r>
          </w:p>
        </w:tc>
        <w:tc>
          <w:tcPr>
            <w:tcW w:w="1448" w:type="dxa"/>
            <w:vAlign w:val="top"/>
          </w:tcPr>
          <w:p>
            <w:pPr>
              <w:pStyle w:val="TableText"/>
              <w:ind w:left="245"/>
              <w:spacing w:before="166" w:line="214" w:lineRule="auto"/>
              <w:rPr>
                <w:sz w:val="21"/>
                <w:szCs w:val="21"/>
              </w:rPr>
            </w:pPr>
            <w:r>
              <w:rPr>
                <w:sz w:val="21"/>
                <w:szCs w:val="21"/>
                <w:spacing w:val="-3"/>
              </w:rPr>
              <w:t>≤0.2mg/L</w:t>
            </w:r>
          </w:p>
        </w:tc>
        <w:tc>
          <w:tcPr>
            <w:tcW w:w="3082" w:type="dxa"/>
            <w:vAlign w:val="top"/>
          </w:tcPr>
          <w:p>
            <w:pPr>
              <w:rPr>
                <w:rFonts w:ascii="Arial"/>
                <w:sz w:val="21"/>
              </w:rPr>
            </w:pPr>
            <w:r/>
          </w:p>
        </w:tc>
      </w:tr>
      <w:tr>
        <w:trPr>
          <w:trHeight w:val="27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432"/>
              <w:spacing w:before="34" w:line="198" w:lineRule="auto"/>
              <w:rPr>
                <w:sz w:val="21"/>
                <w:szCs w:val="21"/>
              </w:rPr>
            </w:pPr>
            <w:r>
              <w:rPr>
                <w:sz w:val="21"/>
                <w:szCs w:val="21"/>
                <w:spacing w:val="-3"/>
              </w:rPr>
              <w:t>石油类</w:t>
            </w:r>
          </w:p>
        </w:tc>
        <w:tc>
          <w:tcPr>
            <w:tcW w:w="1448" w:type="dxa"/>
            <w:vAlign w:val="top"/>
          </w:tcPr>
          <w:p>
            <w:pPr>
              <w:pStyle w:val="TableText"/>
              <w:ind w:left="195"/>
              <w:spacing w:before="27" w:line="204" w:lineRule="auto"/>
              <w:rPr>
                <w:sz w:val="21"/>
                <w:szCs w:val="21"/>
              </w:rPr>
            </w:pPr>
            <w:r>
              <w:rPr>
                <w:sz w:val="21"/>
                <w:szCs w:val="21"/>
                <w:spacing w:val="-3"/>
              </w:rPr>
              <w:t>≤0.05mg/L</w:t>
            </w:r>
          </w:p>
        </w:tc>
        <w:tc>
          <w:tcPr>
            <w:tcW w:w="3082" w:type="dxa"/>
            <w:vAlign w:val="top"/>
          </w:tcPr>
          <w:p>
            <w:pPr>
              <w:rPr>
                <w:rFonts w:ascii="Arial"/>
                <w:sz w:val="21"/>
              </w:rPr>
            </w:pPr>
            <w:r/>
          </w:p>
        </w:tc>
      </w:tr>
      <w:tr>
        <w:trPr>
          <w:trHeight w:val="270" w:hRule="atLeast"/>
        </w:trPr>
        <w:tc>
          <w:tcPr>
            <w:tcW w:w="844" w:type="dxa"/>
            <w:vAlign w:val="top"/>
            <w:vMerge w:val="continue"/>
            <w:tcBorders>
              <w:top w:val="nil"/>
            </w:tcBorders>
          </w:tcPr>
          <w:p>
            <w:pPr>
              <w:rPr>
                <w:rFonts w:ascii="Arial"/>
                <w:sz w:val="21"/>
              </w:rPr>
            </w:pPr>
            <w:r/>
          </w:p>
        </w:tc>
        <w:tc>
          <w:tcPr>
            <w:tcW w:w="1418" w:type="dxa"/>
            <w:vAlign w:val="top"/>
            <w:vMerge w:val="continue"/>
            <w:tcBorders>
              <w:top w:val="nil"/>
            </w:tcBorders>
          </w:tcPr>
          <w:p>
            <w:pPr>
              <w:rPr>
                <w:rFonts w:ascii="Arial"/>
                <w:sz w:val="21"/>
              </w:rPr>
            </w:pPr>
            <w:r/>
          </w:p>
        </w:tc>
        <w:tc>
          <w:tcPr>
            <w:tcW w:w="1518" w:type="dxa"/>
            <w:vAlign w:val="top"/>
          </w:tcPr>
          <w:p>
            <w:pPr>
              <w:pStyle w:val="TableText"/>
              <w:ind w:left="223"/>
              <w:spacing w:before="34" w:line="198" w:lineRule="auto"/>
              <w:rPr>
                <w:sz w:val="21"/>
                <w:szCs w:val="21"/>
              </w:rPr>
            </w:pPr>
            <w:r>
              <w:rPr>
                <w:sz w:val="21"/>
                <w:szCs w:val="21"/>
                <w:spacing w:val="-2"/>
              </w:rPr>
              <w:t>粪大肠菌群</w:t>
            </w:r>
          </w:p>
        </w:tc>
        <w:tc>
          <w:tcPr>
            <w:tcW w:w="1448" w:type="dxa"/>
            <w:vAlign w:val="top"/>
          </w:tcPr>
          <w:p>
            <w:pPr>
              <w:pStyle w:val="TableText"/>
              <w:ind w:left="135"/>
              <w:spacing w:before="27" w:line="204" w:lineRule="auto"/>
              <w:rPr>
                <w:sz w:val="21"/>
                <w:szCs w:val="21"/>
              </w:rPr>
            </w:pPr>
            <w:r>
              <w:rPr>
                <w:sz w:val="21"/>
                <w:szCs w:val="21"/>
                <w:spacing w:val="-3"/>
              </w:rPr>
              <w:t>≤10000mg/L</w:t>
            </w:r>
          </w:p>
        </w:tc>
        <w:tc>
          <w:tcPr>
            <w:tcW w:w="3082" w:type="dxa"/>
            <w:vAlign w:val="top"/>
          </w:tcPr>
          <w:p>
            <w:pPr>
              <w:rPr>
                <w:rFonts w:ascii="Arial"/>
                <w:sz w:val="21"/>
              </w:rPr>
            </w:pPr>
            <w:r/>
          </w:p>
        </w:tc>
      </w:tr>
      <w:tr>
        <w:trPr>
          <w:trHeight w:val="260" w:hRule="atLeast"/>
        </w:trPr>
        <w:tc>
          <w:tcPr>
            <w:tcW w:w="844" w:type="dxa"/>
            <w:vAlign w:val="top"/>
            <w:vMerge w:val="restart"/>
            <w:tcBorders>
              <w:bottom w:val="nil"/>
            </w:tcBorders>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95" w:right="119" w:firstLine="110"/>
              <w:spacing w:before="68" w:line="256" w:lineRule="auto"/>
              <w:rPr>
                <w:sz w:val="21"/>
                <w:szCs w:val="21"/>
              </w:rPr>
            </w:pPr>
            <w:r>
              <w:rPr>
                <w:sz w:val="21"/>
                <w:szCs w:val="21"/>
                <w:spacing w:val="6"/>
              </w:rPr>
              <w:t>地下</w:t>
            </w:r>
            <w:r>
              <w:rPr>
                <w:sz w:val="21"/>
                <w:szCs w:val="21"/>
              </w:rPr>
              <w:t xml:space="preserve"> </w:t>
            </w:r>
            <w:r>
              <w:rPr>
                <w:sz w:val="21"/>
                <w:szCs w:val="21"/>
                <w:spacing w:val="-4"/>
              </w:rPr>
              <w:t>水环境</w:t>
            </w:r>
          </w:p>
        </w:tc>
        <w:tc>
          <w:tcPr>
            <w:tcW w:w="1418" w:type="dxa"/>
            <w:vAlign w:val="top"/>
            <w:vMerge w:val="restart"/>
            <w:tcBorders>
              <w:bottom w:val="nil"/>
            </w:tcBorders>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pStyle w:val="TableText"/>
              <w:spacing w:before="68" w:line="219" w:lineRule="auto"/>
              <w:rPr>
                <w:sz w:val="21"/>
                <w:szCs w:val="21"/>
              </w:rPr>
            </w:pPr>
            <w:r>
              <w:rPr>
                <w:sz w:val="21"/>
                <w:szCs w:val="21"/>
                <w:spacing w:val="-11"/>
              </w:rPr>
              <w:t>《地下水质量标</w:t>
            </w:r>
          </w:p>
          <w:p>
            <w:pPr>
              <w:pStyle w:val="TableText"/>
              <w:ind w:left="541"/>
              <w:spacing w:before="31" w:line="221" w:lineRule="auto"/>
              <w:rPr>
                <w:sz w:val="21"/>
                <w:szCs w:val="21"/>
              </w:rPr>
            </w:pPr>
            <w:r>
              <w:rPr>
                <w:sz w:val="21"/>
                <w:szCs w:val="21"/>
                <w:spacing w:val="-5"/>
              </w:rPr>
              <w:t>准》</w:t>
            </w:r>
          </w:p>
          <w:p>
            <w:pPr>
              <w:pStyle w:val="TableText"/>
              <w:ind w:left="121"/>
              <w:spacing w:before="10" w:line="222" w:lineRule="auto"/>
              <w:rPr>
                <w:sz w:val="21"/>
                <w:szCs w:val="21"/>
              </w:rPr>
            </w:pPr>
            <w:r>
              <w:rPr>
                <w:sz w:val="21"/>
                <w:szCs w:val="21"/>
                <w:spacing w:val="-4"/>
              </w:rPr>
              <w:t>(GB/T14848-</w:t>
            </w:r>
          </w:p>
          <w:p>
            <w:pPr>
              <w:pStyle w:val="TableText"/>
              <w:ind w:left="11"/>
              <w:spacing w:before="14" w:line="219" w:lineRule="auto"/>
              <w:rPr>
                <w:sz w:val="21"/>
                <w:szCs w:val="21"/>
              </w:rPr>
            </w:pPr>
            <w:r>
              <w:rPr>
                <w:sz w:val="21"/>
                <w:szCs w:val="21"/>
                <w:spacing w:val="1"/>
              </w:rPr>
              <w:t>2017)Ⅲ类水域</w:t>
            </w:r>
          </w:p>
          <w:p>
            <w:pPr>
              <w:pStyle w:val="TableText"/>
              <w:ind w:left="491"/>
              <w:spacing w:before="21" w:line="220" w:lineRule="auto"/>
              <w:rPr>
                <w:sz w:val="21"/>
                <w:szCs w:val="21"/>
              </w:rPr>
            </w:pPr>
            <w:r>
              <w:rPr>
                <w:sz w:val="21"/>
                <w:szCs w:val="21"/>
                <w:spacing w:val="-3"/>
              </w:rPr>
              <w:t>标准</w:t>
            </w:r>
          </w:p>
        </w:tc>
        <w:tc>
          <w:tcPr>
            <w:tcW w:w="1518" w:type="dxa"/>
            <w:vAlign w:val="top"/>
          </w:tcPr>
          <w:p>
            <w:pPr>
              <w:pStyle w:val="TableText"/>
              <w:ind w:left="223"/>
              <w:spacing w:before="29" w:line="194" w:lineRule="auto"/>
              <w:rPr>
                <w:sz w:val="21"/>
                <w:szCs w:val="21"/>
              </w:rPr>
            </w:pPr>
            <w:r>
              <w:rPr>
                <w:sz w:val="21"/>
                <w:szCs w:val="21"/>
              </w:rPr>
              <w:t>pH</w:t>
            </w:r>
            <w:r>
              <w:rPr>
                <w:sz w:val="21"/>
                <w:szCs w:val="21"/>
                <w:spacing w:val="9"/>
              </w:rPr>
              <w:t>(无量纲)</w:t>
            </w:r>
          </w:p>
        </w:tc>
        <w:tc>
          <w:tcPr>
            <w:tcW w:w="1448" w:type="dxa"/>
            <w:vAlign w:val="top"/>
          </w:tcPr>
          <w:p>
            <w:pPr>
              <w:pStyle w:val="TableText"/>
              <w:ind w:left="345"/>
              <w:spacing w:before="55" w:line="171" w:lineRule="auto"/>
              <w:rPr>
                <w:sz w:val="21"/>
                <w:szCs w:val="21"/>
              </w:rPr>
            </w:pPr>
            <w:r>
              <w:rPr>
                <w:sz w:val="21"/>
                <w:szCs w:val="21"/>
                <w:spacing w:val="-2"/>
              </w:rPr>
              <w:t>6.5~8.5</w:t>
            </w:r>
          </w:p>
        </w:tc>
        <w:tc>
          <w:tcPr>
            <w:tcW w:w="3082" w:type="dxa"/>
            <w:vAlign w:val="top"/>
          </w:tcPr>
          <w:p>
            <w:pPr>
              <w:rPr>
                <w:rFonts w:ascii="Arial"/>
                <w:sz w:val="21"/>
              </w:rPr>
            </w:pPr>
            <w:r/>
          </w:p>
        </w:tc>
      </w:tr>
      <w:tr>
        <w:trPr>
          <w:trHeight w:val="28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543"/>
              <w:spacing w:before="43" w:line="199" w:lineRule="auto"/>
              <w:rPr>
                <w:sz w:val="21"/>
                <w:szCs w:val="21"/>
              </w:rPr>
            </w:pPr>
            <w:r>
              <w:rPr>
                <w:sz w:val="21"/>
                <w:szCs w:val="21"/>
                <w:spacing w:val="-3"/>
              </w:rPr>
              <w:t>氨氮</w:t>
            </w:r>
          </w:p>
        </w:tc>
        <w:tc>
          <w:tcPr>
            <w:tcW w:w="1448" w:type="dxa"/>
            <w:vAlign w:val="top"/>
          </w:tcPr>
          <w:p>
            <w:pPr>
              <w:pStyle w:val="TableText"/>
              <w:ind w:left="245"/>
              <w:spacing w:before="37" w:line="204" w:lineRule="auto"/>
              <w:rPr>
                <w:sz w:val="21"/>
                <w:szCs w:val="21"/>
              </w:rPr>
            </w:pPr>
            <w:r>
              <w:rPr>
                <w:sz w:val="21"/>
                <w:szCs w:val="21"/>
                <w:spacing w:val="-3"/>
              </w:rPr>
              <w:t>≤0.5mg/L</w:t>
            </w:r>
          </w:p>
        </w:tc>
        <w:tc>
          <w:tcPr>
            <w:tcW w:w="3082" w:type="dxa"/>
            <w:vAlign w:val="top"/>
          </w:tcPr>
          <w:p>
            <w:pPr>
              <w:rPr>
                <w:rFonts w:ascii="Arial"/>
                <w:sz w:val="21"/>
              </w:rPr>
            </w:pPr>
            <w:r/>
          </w:p>
        </w:tc>
      </w:tr>
      <w:tr>
        <w:trPr>
          <w:trHeight w:val="29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432"/>
              <w:spacing w:before="45" w:line="206" w:lineRule="auto"/>
              <w:rPr>
                <w:sz w:val="21"/>
                <w:szCs w:val="21"/>
              </w:rPr>
            </w:pPr>
            <w:r>
              <w:rPr>
                <w:sz w:val="21"/>
                <w:szCs w:val="21"/>
                <w:color w:val="506060"/>
                <w:spacing w:val="-3"/>
              </w:rPr>
              <w:t>硝酸盐</w:t>
            </w:r>
          </w:p>
        </w:tc>
        <w:tc>
          <w:tcPr>
            <w:tcW w:w="1448" w:type="dxa"/>
            <w:vAlign w:val="top"/>
          </w:tcPr>
          <w:p>
            <w:pPr>
              <w:pStyle w:val="TableText"/>
              <w:ind w:left="195"/>
              <w:spacing w:before="37" w:line="213" w:lineRule="auto"/>
              <w:rPr>
                <w:sz w:val="21"/>
                <w:szCs w:val="21"/>
              </w:rPr>
            </w:pPr>
            <w:r>
              <w:rPr>
                <w:sz w:val="21"/>
                <w:szCs w:val="21"/>
                <w:spacing w:val="-3"/>
              </w:rPr>
              <w:t>≤20.0mg/L</w:t>
            </w:r>
          </w:p>
        </w:tc>
        <w:tc>
          <w:tcPr>
            <w:tcW w:w="3082" w:type="dxa"/>
            <w:vAlign w:val="top"/>
          </w:tcPr>
          <w:p>
            <w:pPr>
              <w:rPr>
                <w:rFonts w:ascii="Arial"/>
                <w:sz w:val="21"/>
              </w:rPr>
            </w:pPr>
            <w:r/>
          </w:p>
        </w:tc>
      </w:tr>
      <w:tr>
        <w:trPr>
          <w:trHeight w:val="27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333"/>
              <w:spacing w:before="35" w:line="197" w:lineRule="auto"/>
              <w:rPr>
                <w:sz w:val="21"/>
                <w:szCs w:val="21"/>
              </w:rPr>
            </w:pPr>
            <w:r>
              <w:rPr>
                <w:sz w:val="21"/>
                <w:szCs w:val="21"/>
                <w:spacing w:val="-2"/>
              </w:rPr>
              <w:t>亚硝酸盐</w:t>
            </w:r>
          </w:p>
        </w:tc>
        <w:tc>
          <w:tcPr>
            <w:tcW w:w="1448" w:type="dxa"/>
            <w:vAlign w:val="top"/>
          </w:tcPr>
          <w:p>
            <w:pPr>
              <w:pStyle w:val="TableText"/>
              <w:ind w:left="195"/>
              <w:spacing w:before="27" w:line="204" w:lineRule="auto"/>
              <w:rPr>
                <w:sz w:val="21"/>
                <w:szCs w:val="21"/>
              </w:rPr>
            </w:pPr>
            <w:r>
              <w:rPr>
                <w:sz w:val="21"/>
                <w:szCs w:val="21"/>
                <w:spacing w:val="-3"/>
              </w:rPr>
              <w:t>≤1.00mg/L</w:t>
            </w:r>
          </w:p>
        </w:tc>
        <w:tc>
          <w:tcPr>
            <w:tcW w:w="3082" w:type="dxa"/>
            <w:vAlign w:val="top"/>
          </w:tcPr>
          <w:p>
            <w:pPr>
              <w:rPr>
                <w:rFonts w:ascii="Arial"/>
                <w:sz w:val="21"/>
              </w:rPr>
            </w:pPr>
            <w:r/>
          </w:p>
        </w:tc>
      </w:tr>
      <w:tr>
        <w:trPr>
          <w:trHeight w:val="26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223"/>
              <w:spacing w:before="33" w:line="190" w:lineRule="auto"/>
              <w:rPr>
                <w:sz w:val="21"/>
                <w:szCs w:val="21"/>
              </w:rPr>
            </w:pPr>
            <w:r>
              <w:rPr>
                <w:sz w:val="21"/>
                <w:szCs w:val="21"/>
                <w:spacing w:val="-2"/>
              </w:rPr>
              <w:t>挥发性酚类</w:t>
            </w:r>
          </w:p>
        </w:tc>
        <w:tc>
          <w:tcPr>
            <w:tcW w:w="1448" w:type="dxa"/>
            <w:vAlign w:val="top"/>
          </w:tcPr>
          <w:p>
            <w:pPr>
              <w:pStyle w:val="TableText"/>
              <w:ind w:left="135"/>
              <w:spacing w:before="28" w:line="195" w:lineRule="auto"/>
              <w:rPr>
                <w:sz w:val="21"/>
                <w:szCs w:val="21"/>
              </w:rPr>
            </w:pPr>
            <w:r>
              <w:rPr>
                <w:sz w:val="21"/>
                <w:szCs w:val="21"/>
                <w:spacing w:val="-3"/>
              </w:rPr>
              <w:t>≤0.002mg/L</w:t>
            </w:r>
          </w:p>
        </w:tc>
        <w:tc>
          <w:tcPr>
            <w:tcW w:w="3082" w:type="dxa"/>
            <w:vAlign w:val="top"/>
          </w:tcPr>
          <w:p>
            <w:pPr>
              <w:rPr>
                <w:rFonts w:ascii="Arial"/>
                <w:sz w:val="21"/>
              </w:rPr>
            </w:pPr>
            <w:r/>
          </w:p>
        </w:tc>
      </w:tr>
      <w:tr>
        <w:trPr>
          <w:trHeight w:val="27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432"/>
              <w:spacing w:before="34" w:line="198" w:lineRule="auto"/>
              <w:rPr>
                <w:sz w:val="21"/>
                <w:szCs w:val="21"/>
              </w:rPr>
            </w:pPr>
            <w:r>
              <w:rPr>
                <w:sz w:val="21"/>
                <w:szCs w:val="21"/>
                <w:spacing w:val="-2"/>
              </w:rPr>
              <w:t>氰化物</w:t>
            </w:r>
          </w:p>
        </w:tc>
        <w:tc>
          <w:tcPr>
            <w:tcW w:w="1448" w:type="dxa"/>
            <w:vAlign w:val="top"/>
          </w:tcPr>
          <w:p>
            <w:pPr>
              <w:pStyle w:val="TableText"/>
              <w:ind w:left="195"/>
              <w:spacing w:before="27" w:line="204" w:lineRule="auto"/>
              <w:rPr>
                <w:sz w:val="21"/>
                <w:szCs w:val="21"/>
              </w:rPr>
            </w:pPr>
            <w:r>
              <w:rPr>
                <w:sz w:val="21"/>
                <w:szCs w:val="21"/>
                <w:spacing w:val="-3"/>
              </w:rPr>
              <w:t>≤0.05mg/L</w:t>
            </w:r>
          </w:p>
        </w:tc>
        <w:tc>
          <w:tcPr>
            <w:tcW w:w="3082" w:type="dxa"/>
            <w:vAlign w:val="top"/>
          </w:tcPr>
          <w:p>
            <w:pPr>
              <w:rPr>
                <w:rFonts w:ascii="Arial"/>
                <w:sz w:val="21"/>
              </w:rPr>
            </w:pPr>
            <w:r/>
          </w:p>
        </w:tc>
      </w:tr>
      <w:tr>
        <w:trPr>
          <w:trHeight w:val="27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643"/>
              <w:spacing w:before="34" w:line="198" w:lineRule="auto"/>
              <w:rPr>
                <w:sz w:val="21"/>
                <w:szCs w:val="21"/>
              </w:rPr>
            </w:pPr>
            <w:r>
              <w:rPr>
                <w:sz w:val="21"/>
                <w:szCs w:val="21"/>
                <w:color w:val="504050"/>
              </w:rPr>
              <w:t>砷</w:t>
            </w:r>
          </w:p>
        </w:tc>
        <w:tc>
          <w:tcPr>
            <w:tcW w:w="1448" w:type="dxa"/>
            <w:vAlign w:val="top"/>
          </w:tcPr>
          <w:p>
            <w:pPr>
              <w:pStyle w:val="TableText"/>
              <w:ind w:left="195"/>
              <w:spacing w:before="27" w:line="204" w:lineRule="auto"/>
              <w:rPr>
                <w:sz w:val="21"/>
                <w:szCs w:val="21"/>
              </w:rPr>
            </w:pPr>
            <w:r>
              <w:rPr>
                <w:sz w:val="21"/>
                <w:szCs w:val="21"/>
                <w:spacing w:val="-3"/>
              </w:rPr>
              <w:t>≤0.01mg/L</w:t>
            </w:r>
          </w:p>
        </w:tc>
        <w:tc>
          <w:tcPr>
            <w:tcW w:w="3082" w:type="dxa"/>
            <w:vAlign w:val="top"/>
          </w:tcPr>
          <w:p>
            <w:pPr>
              <w:rPr>
                <w:rFonts w:ascii="Arial"/>
                <w:sz w:val="21"/>
              </w:rPr>
            </w:pPr>
            <w:r/>
          </w:p>
        </w:tc>
      </w:tr>
      <w:tr>
        <w:trPr>
          <w:trHeight w:val="27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643"/>
              <w:spacing w:before="34" w:line="198" w:lineRule="auto"/>
              <w:rPr>
                <w:sz w:val="21"/>
                <w:szCs w:val="21"/>
              </w:rPr>
            </w:pPr>
            <w:r>
              <w:rPr>
                <w:sz w:val="21"/>
                <w:szCs w:val="21"/>
              </w:rPr>
              <w:t>汞</w:t>
            </w:r>
          </w:p>
        </w:tc>
        <w:tc>
          <w:tcPr>
            <w:tcW w:w="1448" w:type="dxa"/>
            <w:vAlign w:val="top"/>
          </w:tcPr>
          <w:p>
            <w:pPr>
              <w:pStyle w:val="TableText"/>
              <w:ind w:left="135"/>
              <w:spacing w:before="27" w:line="204" w:lineRule="auto"/>
              <w:rPr>
                <w:sz w:val="21"/>
                <w:szCs w:val="21"/>
              </w:rPr>
            </w:pPr>
            <w:r>
              <w:rPr>
                <w:sz w:val="21"/>
                <w:szCs w:val="21"/>
                <w:spacing w:val="-3"/>
              </w:rPr>
              <w:t>≤0.001mg/L</w:t>
            </w:r>
          </w:p>
        </w:tc>
        <w:tc>
          <w:tcPr>
            <w:tcW w:w="3082" w:type="dxa"/>
            <w:vAlign w:val="top"/>
          </w:tcPr>
          <w:p>
            <w:pPr>
              <w:rPr>
                <w:rFonts w:ascii="Arial"/>
                <w:sz w:val="21"/>
              </w:rPr>
            </w:pPr>
            <w:r/>
          </w:p>
        </w:tc>
      </w:tr>
      <w:tr>
        <w:trPr>
          <w:trHeight w:val="299"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333"/>
              <w:spacing w:before="52" w:line="208" w:lineRule="auto"/>
              <w:rPr>
                <w:sz w:val="21"/>
                <w:szCs w:val="21"/>
              </w:rPr>
            </w:pPr>
            <w:r>
              <w:rPr>
                <w:sz w:val="21"/>
                <w:szCs w:val="21"/>
                <w:spacing w:val="9"/>
              </w:rPr>
              <w:t>铬(六价)</w:t>
            </w:r>
          </w:p>
        </w:tc>
        <w:tc>
          <w:tcPr>
            <w:tcW w:w="1448" w:type="dxa"/>
            <w:vAlign w:val="top"/>
          </w:tcPr>
          <w:p>
            <w:pPr>
              <w:pStyle w:val="TableText"/>
              <w:ind w:left="195"/>
              <w:spacing w:before="47" w:line="212" w:lineRule="auto"/>
              <w:rPr>
                <w:sz w:val="21"/>
                <w:szCs w:val="21"/>
              </w:rPr>
            </w:pPr>
            <w:r>
              <w:rPr>
                <w:sz w:val="21"/>
                <w:szCs w:val="21"/>
                <w:spacing w:val="-3"/>
              </w:rPr>
              <w:t>≤0.05mg/L</w:t>
            </w:r>
          </w:p>
        </w:tc>
        <w:tc>
          <w:tcPr>
            <w:tcW w:w="3082" w:type="dxa"/>
            <w:vAlign w:val="top"/>
          </w:tcPr>
          <w:p>
            <w:pPr>
              <w:rPr>
                <w:rFonts w:ascii="Arial"/>
                <w:sz w:val="21"/>
              </w:rPr>
            </w:pPr>
            <w:r/>
          </w:p>
        </w:tc>
      </w:tr>
      <w:tr>
        <w:trPr>
          <w:trHeight w:val="26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432"/>
              <w:spacing w:before="36" w:line="188" w:lineRule="auto"/>
              <w:rPr>
                <w:sz w:val="21"/>
                <w:szCs w:val="21"/>
              </w:rPr>
            </w:pPr>
            <w:r>
              <w:rPr>
                <w:sz w:val="21"/>
                <w:szCs w:val="21"/>
                <w:spacing w:val="4"/>
              </w:rPr>
              <w:t>总硬度</w:t>
            </w:r>
          </w:p>
        </w:tc>
        <w:tc>
          <w:tcPr>
            <w:tcW w:w="1448" w:type="dxa"/>
            <w:vAlign w:val="top"/>
          </w:tcPr>
          <w:p>
            <w:pPr>
              <w:pStyle w:val="TableText"/>
              <w:ind w:left="245"/>
              <w:spacing w:before="29" w:line="194" w:lineRule="auto"/>
              <w:rPr>
                <w:sz w:val="21"/>
                <w:szCs w:val="21"/>
              </w:rPr>
            </w:pPr>
            <w:r>
              <w:rPr>
                <w:sz w:val="21"/>
                <w:szCs w:val="21"/>
                <w:spacing w:val="-3"/>
              </w:rPr>
              <w:t>≤450mg/L</w:t>
            </w:r>
          </w:p>
        </w:tc>
        <w:tc>
          <w:tcPr>
            <w:tcW w:w="3082" w:type="dxa"/>
            <w:vAlign w:val="top"/>
          </w:tcPr>
          <w:p>
            <w:pPr>
              <w:rPr>
                <w:rFonts w:ascii="Arial"/>
                <w:sz w:val="21"/>
              </w:rPr>
            </w:pPr>
            <w:r/>
          </w:p>
        </w:tc>
      </w:tr>
      <w:tr>
        <w:trPr>
          <w:trHeight w:val="269"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643"/>
              <w:spacing w:before="40" w:line="192" w:lineRule="auto"/>
              <w:rPr>
                <w:sz w:val="21"/>
                <w:szCs w:val="21"/>
              </w:rPr>
            </w:pPr>
            <w:r>
              <w:rPr>
                <w:sz w:val="21"/>
                <w:szCs w:val="21"/>
              </w:rPr>
              <w:t>铅</w:t>
            </w:r>
          </w:p>
        </w:tc>
        <w:tc>
          <w:tcPr>
            <w:tcW w:w="1448" w:type="dxa"/>
            <w:vAlign w:val="top"/>
          </w:tcPr>
          <w:p>
            <w:pPr>
              <w:pStyle w:val="TableText"/>
              <w:ind w:left="195"/>
              <w:spacing w:before="29" w:line="202" w:lineRule="auto"/>
              <w:rPr>
                <w:sz w:val="21"/>
                <w:szCs w:val="21"/>
              </w:rPr>
            </w:pPr>
            <w:r>
              <w:rPr>
                <w:sz w:val="21"/>
                <w:szCs w:val="21"/>
                <w:spacing w:val="-3"/>
              </w:rPr>
              <w:t>≤0.01mg/L</w:t>
            </w:r>
          </w:p>
        </w:tc>
        <w:tc>
          <w:tcPr>
            <w:tcW w:w="3082" w:type="dxa"/>
            <w:vAlign w:val="top"/>
          </w:tcPr>
          <w:p>
            <w:pPr>
              <w:rPr>
                <w:rFonts w:ascii="Arial"/>
                <w:sz w:val="21"/>
              </w:rPr>
            </w:pPr>
            <w:r/>
          </w:p>
        </w:tc>
      </w:tr>
      <w:tr>
        <w:trPr>
          <w:trHeight w:val="27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432"/>
              <w:spacing w:before="35" w:line="197" w:lineRule="auto"/>
              <w:rPr>
                <w:sz w:val="21"/>
                <w:szCs w:val="21"/>
              </w:rPr>
            </w:pPr>
            <w:r>
              <w:rPr>
                <w:sz w:val="21"/>
                <w:szCs w:val="21"/>
                <w:spacing w:val="-3"/>
              </w:rPr>
              <w:t>氟化物</w:t>
            </w:r>
          </w:p>
        </w:tc>
        <w:tc>
          <w:tcPr>
            <w:tcW w:w="1448" w:type="dxa"/>
            <w:vAlign w:val="top"/>
          </w:tcPr>
          <w:p>
            <w:pPr>
              <w:pStyle w:val="TableText"/>
              <w:ind w:left="245"/>
              <w:spacing w:before="30" w:line="202" w:lineRule="auto"/>
              <w:rPr>
                <w:sz w:val="21"/>
                <w:szCs w:val="21"/>
              </w:rPr>
            </w:pPr>
            <w:r>
              <w:rPr>
                <w:sz w:val="21"/>
                <w:szCs w:val="21"/>
                <w:spacing w:val="-3"/>
              </w:rPr>
              <w:t>≤1.0mg/L</w:t>
            </w:r>
          </w:p>
        </w:tc>
        <w:tc>
          <w:tcPr>
            <w:tcW w:w="3082" w:type="dxa"/>
            <w:vAlign w:val="top"/>
          </w:tcPr>
          <w:p>
            <w:pPr>
              <w:rPr>
                <w:rFonts w:ascii="Arial"/>
                <w:sz w:val="21"/>
              </w:rPr>
            </w:pPr>
            <w:r/>
          </w:p>
        </w:tc>
      </w:tr>
      <w:tr>
        <w:trPr>
          <w:trHeight w:val="27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643"/>
              <w:spacing w:before="39" w:line="194" w:lineRule="auto"/>
              <w:rPr>
                <w:sz w:val="21"/>
                <w:szCs w:val="21"/>
              </w:rPr>
            </w:pPr>
            <w:r>
              <w:rPr>
                <w:sz w:val="21"/>
                <w:szCs w:val="21"/>
              </w:rPr>
              <w:t>镉</w:t>
            </w:r>
          </w:p>
        </w:tc>
        <w:tc>
          <w:tcPr>
            <w:tcW w:w="1448" w:type="dxa"/>
            <w:vAlign w:val="top"/>
          </w:tcPr>
          <w:p>
            <w:pPr>
              <w:pStyle w:val="TableText"/>
              <w:ind w:left="135"/>
              <w:spacing w:before="30" w:line="202" w:lineRule="auto"/>
              <w:rPr>
                <w:sz w:val="21"/>
                <w:szCs w:val="21"/>
              </w:rPr>
            </w:pPr>
            <w:r>
              <w:rPr>
                <w:sz w:val="21"/>
                <w:szCs w:val="21"/>
                <w:spacing w:val="-3"/>
              </w:rPr>
              <w:t>≤0.005mg/L</w:t>
            </w:r>
          </w:p>
        </w:tc>
        <w:tc>
          <w:tcPr>
            <w:tcW w:w="3082" w:type="dxa"/>
            <w:vAlign w:val="top"/>
          </w:tcPr>
          <w:p>
            <w:pPr>
              <w:rPr>
                <w:rFonts w:ascii="Arial"/>
                <w:sz w:val="21"/>
              </w:rPr>
            </w:pPr>
            <w:r/>
          </w:p>
        </w:tc>
      </w:tr>
      <w:tr>
        <w:trPr>
          <w:trHeight w:val="27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643"/>
              <w:spacing w:before="38" w:line="195" w:lineRule="auto"/>
              <w:rPr>
                <w:sz w:val="21"/>
                <w:szCs w:val="21"/>
              </w:rPr>
            </w:pPr>
            <w:r>
              <w:rPr>
                <w:sz w:val="21"/>
                <w:szCs w:val="21"/>
              </w:rPr>
              <w:t>铁</w:t>
            </w:r>
          </w:p>
        </w:tc>
        <w:tc>
          <w:tcPr>
            <w:tcW w:w="1448" w:type="dxa"/>
            <w:vAlign w:val="top"/>
          </w:tcPr>
          <w:p>
            <w:pPr>
              <w:pStyle w:val="TableText"/>
              <w:ind w:left="245"/>
              <w:spacing w:before="30" w:line="202" w:lineRule="auto"/>
              <w:rPr>
                <w:sz w:val="21"/>
                <w:szCs w:val="21"/>
              </w:rPr>
            </w:pPr>
            <w:r>
              <w:rPr>
                <w:sz w:val="21"/>
                <w:szCs w:val="21"/>
                <w:spacing w:val="-3"/>
              </w:rPr>
              <w:t>≤0.3mg/L</w:t>
            </w:r>
          </w:p>
        </w:tc>
        <w:tc>
          <w:tcPr>
            <w:tcW w:w="3082" w:type="dxa"/>
            <w:vAlign w:val="top"/>
          </w:tcPr>
          <w:p>
            <w:pPr>
              <w:rPr>
                <w:rFonts w:ascii="Arial"/>
                <w:sz w:val="21"/>
              </w:rPr>
            </w:pPr>
            <w:r/>
          </w:p>
        </w:tc>
      </w:tr>
      <w:tr>
        <w:trPr>
          <w:trHeight w:val="269"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643"/>
              <w:spacing w:before="44" w:line="189" w:lineRule="auto"/>
              <w:rPr>
                <w:sz w:val="21"/>
                <w:szCs w:val="21"/>
              </w:rPr>
            </w:pPr>
            <w:r>
              <w:rPr>
                <w:sz w:val="21"/>
                <w:szCs w:val="21"/>
              </w:rPr>
              <w:t>锰</w:t>
            </w:r>
          </w:p>
        </w:tc>
        <w:tc>
          <w:tcPr>
            <w:tcW w:w="1448" w:type="dxa"/>
            <w:vAlign w:val="top"/>
          </w:tcPr>
          <w:p>
            <w:pPr>
              <w:pStyle w:val="TableText"/>
              <w:ind w:left="195"/>
              <w:spacing w:before="30" w:line="201" w:lineRule="auto"/>
              <w:rPr>
                <w:sz w:val="21"/>
                <w:szCs w:val="21"/>
              </w:rPr>
            </w:pPr>
            <w:r>
              <w:rPr>
                <w:sz w:val="21"/>
                <w:szCs w:val="21"/>
                <w:spacing w:val="-3"/>
              </w:rPr>
              <w:t>≤0.10mg/L</w:t>
            </w:r>
          </w:p>
        </w:tc>
        <w:tc>
          <w:tcPr>
            <w:tcW w:w="3082" w:type="dxa"/>
            <w:vAlign w:val="top"/>
          </w:tcPr>
          <w:p>
            <w:pPr>
              <w:rPr>
                <w:rFonts w:ascii="Arial"/>
                <w:sz w:val="21"/>
              </w:rPr>
            </w:pPr>
            <w:r/>
          </w:p>
        </w:tc>
      </w:tr>
      <w:tr>
        <w:trPr>
          <w:trHeight w:val="29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123"/>
              <w:spacing w:before="47" w:line="204" w:lineRule="auto"/>
              <w:rPr>
                <w:sz w:val="21"/>
                <w:szCs w:val="21"/>
              </w:rPr>
            </w:pPr>
            <w:r>
              <w:rPr>
                <w:sz w:val="21"/>
                <w:szCs w:val="21"/>
                <w:color w:val="000810"/>
                <w:spacing w:val="-2"/>
              </w:rPr>
              <w:t>溶解性总固体</w:t>
            </w:r>
          </w:p>
        </w:tc>
        <w:tc>
          <w:tcPr>
            <w:tcW w:w="1448" w:type="dxa"/>
            <w:vAlign w:val="top"/>
          </w:tcPr>
          <w:p>
            <w:pPr>
              <w:pStyle w:val="TableText"/>
              <w:ind w:left="195"/>
              <w:spacing w:before="41" w:line="210" w:lineRule="auto"/>
              <w:rPr>
                <w:sz w:val="21"/>
                <w:szCs w:val="21"/>
              </w:rPr>
            </w:pPr>
            <w:r>
              <w:rPr>
                <w:sz w:val="21"/>
                <w:szCs w:val="21"/>
                <w:spacing w:val="-3"/>
              </w:rPr>
              <w:t>≤1000mg/L</w:t>
            </w:r>
          </w:p>
        </w:tc>
        <w:tc>
          <w:tcPr>
            <w:tcW w:w="3082" w:type="dxa"/>
            <w:vAlign w:val="top"/>
          </w:tcPr>
          <w:p>
            <w:pPr>
              <w:rPr>
                <w:rFonts w:ascii="Arial"/>
                <w:sz w:val="21"/>
              </w:rPr>
            </w:pPr>
            <w:r/>
          </w:p>
        </w:tc>
      </w:tr>
      <w:tr>
        <w:trPr>
          <w:trHeight w:val="549"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123" w:right="8" w:hanging="110"/>
              <w:spacing w:before="47" w:line="216" w:lineRule="auto"/>
              <w:rPr>
                <w:sz w:val="21"/>
                <w:szCs w:val="21"/>
              </w:rPr>
            </w:pPr>
            <w:r>
              <w:rPr>
                <w:sz w:val="21"/>
                <w:szCs w:val="21"/>
                <w:spacing w:val="25"/>
              </w:rPr>
              <w:t>耗氧量(CODMn</w:t>
            </w:r>
            <w:r>
              <w:rPr>
                <w:sz w:val="21"/>
                <w:szCs w:val="21"/>
              </w:rPr>
              <w:t xml:space="preserve"> </w:t>
            </w:r>
            <w:r>
              <w:rPr>
                <w:sz w:val="21"/>
                <w:szCs w:val="21"/>
                <w:spacing w:val="17"/>
              </w:rPr>
              <w:t>法，以O</w:t>
            </w:r>
            <w:r>
              <w:rPr>
                <w:rFonts w:ascii="Calibri" w:hAnsi="Calibri" w:eastAsia="Calibri" w:cs="Calibri"/>
                <w:sz w:val="21"/>
                <w:szCs w:val="21"/>
                <w:spacing w:val="17"/>
              </w:rPr>
              <w:t>₂</w:t>
            </w:r>
            <w:r>
              <w:rPr>
                <w:sz w:val="21"/>
                <w:szCs w:val="21"/>
                <w:spacing w:val="17"/>
              </w:rPr>
              <w:t>计)</w:t>
            </w:r>
          </w:p>
        </w:tc>
        <w:tc>
          <w:tcPr>
            <w:tcW w:w="1448" w:type="dxa"/>
            <w:vAlign w:val="top"/>
          </w:tcPr>
          <w:p>
            <w:pPr>
              <w:pStyle w:val="TableText"/>
              <w:ind w:left="245"/>
              <w:spacing w:before="170" w:line="214" w:lineRule="auto"/>
              <w:rPr>
                <w:sz w:val="21"/>
                <w:szCs w:val="21"/>
              </w:rPr>
            </w:pPr>
            <w:r>
              <w:rPr>
                <w:sz w:val="21"/>
                <w:szCs w:val="21"/>
                <w:spacing w:val="-3"/>
              </w:rPr>
              <w:t>≤3.0mg/L</w:t>
            </w:r>
          </w:p>
        </w:tc>
        <w:tc>
          <w:tcPr>
            <w:tcW w:w="3082" w:type="dxa"/>
            <w:vAlign w:val="top"/>
            <w:textDirection w:val="tbRlV"/>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149"/>
              <w:spacing w:before="70" w:line="137" w:lineRule="exact"/>
              <w:rPr>
                <w:sz w:val="21"/>
                <w:szCs w:val="21"/>
              </w:rPr>
            </w:pPr>
            <w:r>
              <w:rPr>
                <w:sz w:val="21"/>
                <w:szCs w:val="21"/>
                <w:spacing w:val="52"/>
                <w:w w:val="141"/>
                <w:position w:val="-1"/>
              </w:rPr>
              <w:t>/</w:t>
            </w:r>
          </w:p>
        </w:tc>
      </w:tr>
      <w:tr>
        <w:trPr>
          <w:trHeight w:val="26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432"/>
              <w:spacing w:before="39" w:line="185" w:lineRule="auto"/>
              <w:rPr>
                <w:sz w:val="21"/>
                <w:szCs w:val="21"/>
              </w:rPr>
            </w:pPr>
            <w:r>
              <w:rPr>
                <w:sz w:val="21"/>
                <w:szCs w:val="21"/>
                <w:color w:val="405050"/>
                <w:spacing w:val="-2"/>
              </w:rPr>
              <w:t>硫酸盐</w:t>
            </w:r>
          </w:p>
        </w:tc>
        <w:tc>
          <w:tcPr>
            <w:tcW w:w="1448" w:type="dxa"/>
            <w:vAlign w:val="top"/>
          </w:tcPr>
          <w:p>
            <w:pPr>
              <w:pStyle w:val="TableText"/>
              <w:ind w:left="245"/>
              <w:spacing w:before="31" w:line="192" w:lineRule="auto"/>
              <w:rPr>
                <w:sz w:val="21"/>
                <w:szCs w:val="21"/>
              </w:rPr>
            </w:pPr>
            <w:r>
              <w:rPr>
                <w:sz w:val="21"/>
                <w:szCs w:val="21"/>
                <w:spacing w:val="-3"/>
              </w:rPr>
              <w:t>≤250mg/L</w:t>
            </w:r>
          </w:p>
        </w:tc>
        <w:tc>
          <w:tcPr>
            <w:tcW w:w="3082" w:type="dxa"/>
            <w:vAlign w:val="top"/>
            <w:textDirection w:val="tbRlV"/>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10"/>
              <w:spacing w:before="70" w:line="137" w:lineRule="exact"/>
              <w:rPr>
                <w:sz w:val="21"/>
                <w:szCs w:val="21"/>
              </w:rPr>
            </w:pPr>
            <w:r>
              <w:rPr>
                <w:sz w:val="21"/>
                <w:szCs w:val="21"/>
                <w:spacing w:val="52"/>
                <w:w w:val="141"/>
                <w:position w:val="-1"/>
              </w:rPr>
              <w:t>/</w:t>
            </w:r>
          </w:p>
        </w:tc>
      </w:tr>
      <w:tr>
        <w:trPr>
          <w:trHeight w:val="270"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432"/>
              <w:spacing w:before="40" w:line="193" w:lineRule="auto"/>
              <w:rPr>
                <w:sz w:val="21"/>
                <w:szCs w:val="21"/>
              </w:rPr>
            </w:pPr>
            <w:r>
              <w:rPr>
                <w:sz w:val="21"/>
                <w:szCs w:val="21"/>
                <w:spacing w:val="3"/>
              </w:rPr>
              <w:t>氯化物</w:t>
            </w:r>
          </w:p>
        </w:tc>
        <w:tc>
          <w:tcPr>
            <w:tcW w:w="1448" w:type="dxa"/>
            <w:vAlign w:val="top"/>
          </w:tcPr>
          <w:p>
            <w:pPr>
              <w:pStyle w:val="TableText"/>
              <w:ind w:left="245"/>
              <w:spacing w:before="32" w:line="200" w:lineRule="auto"/>
              <w:rPr>
                <w:sz w:val="21"/>
                <w:szCs w:val="21"/>
              </w:rPr>
            </w:pPr>
            <w:r>
              <w:rPr>
                <w:sz w:val="21"/>
                <w:szCs w:val="21"/>
                <w:spacing w:val="-3"/>
              </w:rPr>
              <w:t>≤250mg/L</w:t>
            </w:r>
          </w:p>
        </w:tc>
        <w:tc>
          <w:tcPr>
            <w:tcW w:w="3082" w:type="dxa"/>
            <w:vAlign w:val="top"/>
            <w:textDirection w:val="tbRlV"/>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10"/>
              <w:spacing w:before="70" w:line="137" w:lineRule="exact"/>
              <w:rPr>
                <w:sz w:val="21"/>
                <w:szCs w:val="21"/>
              </w:rPr>
            </w:pPr>
            <w:r>
              <w:rPr>
                <w:sz w:val="21"/>
                <w:szCs w:val="21"/>
                <w:spacing w:val="52"/>
                <w:w w:val="141"/>
                <w:position w:val="-1"/>
              </w:rPr>
              <w:t>/</w:t>
            </w:r>
          </w:p>
        </w:tc>
      </w:tr>
      <w:tr>
        <w:trPr>
          <w:trHeight w:val="489" w:hRule="atLeast"/>
        </w:trPr>
        <w:tc>
          <w:tcPr>
            <w:tcW w:w="844" w:type="dxa"/>
            <w:vAlign w:val="top"/>
            <w:vMerge w:val="continue"/>
            <w:tcBorders>
              <w:top w:val="nil"/>
              <w:bottom w:val="nil"/>
            </w:tcBorders>
          </w:tcPr>
          <w:p>
            <w:pPr>
              <w:rPr>
                <w:rFonts w:ascii="Arial"/>
                <w:sz w:val="21"/>
              </w:rPr>
            </w:pPr>
            <w:r/>
          </w:p>
        </w:tc>
        <w:tc>
          <w:tcPr>
            <w:tcW w:w="1418" w:type="dxa"/>
            <w:vAlign w:val="top"/>
            <w:vMerge w:val="continue"/>
            <w:tcBorders>
              <w:top w:val="nil"/>
              <w:bottom w:val="nil"/>
            </w:tcBorders>
          </w:tcPr>
          <w:p>
            <w:pPr>
              <w:rPr>
                <w:rFonts w:ascii="Arial"/>
                <w:sz w:val="21"/>
              </w:rPr>
            </w:pPr>
            <w:r/>
          </w:p>
        </w:tc>
        <w:tc>
          <w:tcPr>
            <w:tcW w:w="1518" w:type="dxa"/>
            <w:vAlign w:val="top"/>
          </w:tcPr>
          <w:p>
            <w:pPr>
              <w:pStyle w:val="TableText"/>
              <w:ind w:left="223"/>
              <w:spacing w:before="148" w:line="219" w:lineRule="auto"/>
              <w:rPr>
                <w:sz w:val="21"/>
                <w:szCs w:val="21"/>
              </w:rPr>
            </w:pPr>
            <w:r>
              <w:rPr>
                <w:sz w:val="21"/>
                <w:szCs w:val="21"/>
                <w:spacing w:val="1"/>
              </w:rPr>
              <w:t>总大肠菌群</w:t>
            </w:r>
          </w:p>
        </w:tc>
        <w:tc>
          <w:tcPr>
            <w:tcW w:w="1448" w:type="dxa"/>
            <w:vAlign w:val="top"/>
          </w:tcPr>
          <w:p>
            <w:pPr>
              <w:pStyle w:val="TableText"/>
              <w:ind w:left="455"/>
              <w:spacing w:before="67" w:line="191" w:lineRule="auto"/>
              <w:rPr>
                <w:sz w:val="21"/>
                <w:szCs w:val="21"/>
              </w:rPr>
            </w:pPr>
            <w:r>
              <w:rPr>
                <w:sz w:val="21"/>
                <w:szCs w:val="21"/>
                <w:spacing w:val="-6"/>
              </w:rPr>
              <w:t>≤3.0</w:t>
            </w:r>
          </w:p>
          <w:p>
            <w:pPr>
              <w:pStyle w:val="TableText"/>
              <w:ind w:left="195"/>
              <w:spacing w:line="171" w:lineRule="auto"/>
              <w:rPr>
                <w:sz w:val="21"/>
                <w:szCs w:val="21"/>
              </w:rPr>
            </w:pPr>
            <w:r>
              <w:rPr>
                <w:sz w:val="21"/>
                <w:szCs w:val="21"/>
                <w:spacing w:val="-1"/>
              </w:rPr>
              <w:t>MPNb/100mL</w:t>
            </w:r>
          </w:p>
        </w:tc>
        <w:tc>
          <w:tcPr>
            <w:tcW w:w="3082" w:type="dxa"/>
            <w:vAlign w:val="top"/>
            <w:textDirection w:val="tbRlV"/>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120"/>
              <w:spacing w:before="70" w:line="137" w:lineRule="exact"/>
              <w:rPr>
                <w:sz w:val="21"/>
                <w:szCs w:val="21"/>
              </w:rPr>
            </w:pPr>
            <w:r>
              <w:rPr>
                <w:sz w:val="21"/>
                <w:szCs w:val="21"/>
                <w:color w:val="404050"/>
                <w:spacing w:val="52"/>
                <w:w w:val="141"/>
                <w:position w:val="-1"/>
              </w:rPr>
              <w:t>/</w:t>
            </w:r>
          </w:p>
        </w:tc>
      </w:tr>
      <w:tr>
        <w:trPr>
          <w:trHeight w:val="275" w:hRule="atLeast"/>
        </w:trPr>
        <w:tc>
          <w:tcPr>
            <w:tcW w:w="844" w:type="dxa"/>
            <w:vAlign w:val="top"/>
            <w:vMerge w:val="continue"/>
            <w:tcBorders>
              <w:top w:val="nil"/>
            </w:tcBorders>
          </w:tcPr>
          <w:p>
            <w:pPr>
              <w:rPr>
                <w:rFonts w:ascii="Arial"/>
                <w:sz w:val="21"/>
              </w:rPr>
            </w:pPr>
            <w:r/>
          </w:p>
        </w:tc>
        <w:tc>
          <w:tcPr>
            <w:tcW w:w="1418" w:type="dxa"/>
            <w:vAlign w:val="top"/>
            <w:vMerge w:val="continue"/>
            <w:tcBorders>
              <w:top w:val="nil"/>
            </w:tcBorders>
          </w:tcPr>
          <w:p>
            <w:pPr>
              <w:rPr>
                <w:rFonts w:ascii="Arial"/>
                <w:sz w:val="21"/>
              </w:rPr>
            </w:pPr>
            <w:r/>
          </w:p>
        </w:tc>
        <w:tc>
          <w:tcPr>
            <w:tcW w:w="1518" w:type="dxa"/>
            <w:vAlign w:val="top"/>
          </w:tcPr>
          <w:p>
            <w:pPr>
              <w:pStyle w:val="TableText"/>
              <w:ind w:left="333"/>
              <w:spacing w:before="39" w:line="198" w:lineRule="auto"/>
              <w:rPr>
                <w:sz w:val="21"/>
                <w:szCs w:val="21"/>
              </w:rPr>
            </w:pPr>
            <w:r>
              <w:rPr>
                <w:sz w:val="21"/>
                <w:szCs w:val="21"/>
                <w:spacing w:val="2"/>
              </w:rPr>
              <w:t>菌落总数</w:t>
            </w:r>
          </w:p>
        </w:tc>
        <w:tc>
          <w:tcPr>
            <w:tcW w:w="1448" w:type="dxa"/>
            <w:vAlign w:val="top"/>
          </w:tcPr>
          <w:p>
            <w:pPr>
              <w:pStyle w:val="TableText"/>
              <w:ind w:left="135"/>
              <w:spacing w:before="45" w:line="193" w:lineRule="auto"/>
              <w:rPr>
                <w:sz w:val="21"/>
                <w:szCs w:val="21"/>
              </w:rPr>
            </w:pPr>
            <w:r>
              <w:rPr>
                <w:sz w:val="21"/>
                <w:szCs w:val="21"/>
                <w:spacing w:val="-3"/>
              </w:rPr>
              <w:t>≤100CFU/mL</w:t>
            </w:r>
          </w:p>
        </w:tc>
        <w:tc>
          <w:tcPr>
            <w:tcW w:w="3082" w:type="dxa"/>
            <w:vAlign w:val="top"/>
          </w:tcPr>
          <w:p>
            <w:pPr>
              <w:pStyle w:val="TableText"/>
              <w:ind w:left="1477"/>
              <w:spacing w:before="45" w:line="193" w:lineRule="auto"/>
              <w:rPr>
                <w:sz w:val="21"/>
                <w:szCs w:val="21"/>
              </w:rPr>
            </w:pPr>
            <w:r>
              <w:rPr>
                <w:sz w:val="21"/>
                <w:szCs w:val="21"/>
                <w:color w:val="505050"/>
              </w:rPr>
              <w:t>/</w:t>
            </w:r>
          </w:p>
        </w:tc>
      </w:tr>
    </w:tbl>
    <w:p>
      <w:pPr>
        <w:pStyle w:val="BodyText"/>
        <w:rPr/>
      </w:pPr>
      <w:r/>
    </w:p>
    <w:p>
      <w:pPr>
        <w:sectPr>
          <w:headerReference w:type="default" r:id="rId140"/>
          <w:footerReference w:type="default" r:id="rId141"/>
          <w:pgSz w:w="11910" w:h="16840"/>
          <w:pgMar w:top="1207" w:right="1786" w:bottom="952" w:left="1764" w:header="915" w:footer="767" w:gutter="0"/>
        </w:sectPr>
        <w:rPr/>
      </w:pPr>
    </w:p>
    <w:p>
      <w:pPr>
        <w:spacing w:line="224" w:lineRule="exact"/>
        <w:rPr/>
      </w:pPr>
      <w:r/>
    </w:p>
    <w:tbl>
      <w:tblPr>
        <w:tblStyle w:val="TableNormal"/>
        <w:tblW w:w="834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54"/>
        <w:gridCol w:w="1419"/>
        <w:gridCol w:w="1528"/>
        <w:gridCol w:w="709"/>
        <w:gridCol w:w="719"/>
        <w:gridCol w:w="1738"/>
        <w:gridCol w:w="709"/>
        <w:gridCol w:w="664"/>
      </w:tblGrid>
      <w:tr>
        <w:trPr>
          <w:trHeight w:val="295" w:hRule="atLeast"/>
        </w:trPr>
        <w:tc>
          <w:tcPr>
            <w:shd w:val="clear" w:fill="BDBDBD"/>
            <w:tcW w:w="854" w:type="dxa"/>
            <w:vAlign w:val="top"/>
          </w:tcPr>
          <w:p>
            <w:pPr>
              <w:pStyle w:val="TableText"/>
              <w:spacing w:before="40" w:line="215" w:lineRule="auto"/>
              <w:jc w:val="right"/>
              <w:rPr>
                <w:sz w:val="21"/>
                <w:szCs w:val="21"/>
              </w:rPr>
            </w:pPr>
            <w:r>
              <w:rPr>
                <w:sz w:val="21"/>
                <w:szCs w:val="21"/>
                <w:b/>
                <w:bCs/>
                <w:spacing w:val="-6"/>
              </w:rPr>
              <w:t>环境因素</w:t>
            </w:r>
          </w:p>
        </w:tc>
        <w:tc>
          <w:tcPr>
            <w:shd w:val="clear" w:fill="BDBDBD"/>
            <w:tcW w:w="1419" w:type="dxa"/>
            <w:vAlign w:val="top"/>
          </w:tcPr>
          <w:p>
            <w:pPr>
              <w:pStyle w:val="TableText"/>
              <w:ind w:left="284"/>
              <w:spacing w:before="40" w:line="215" w:lineRule="auto"/>
              <w:rPr>
                <w:sz w:val="21"/>
                <w:szCs w:val="21"/>
              </w:rPr>
            </w:pPr>
            <w:r>
              <w:rPr>
                <w:sz w:val="21"/>
                <w:szCs w:val="21"/>
                <w:b/>
                <w:bCs/>
                <w:spacing w:val="-4"/>
              </w:rPr>
              <w:t>执行标准</w:t>
            </w:r>
          </w:p>
        </w:tc>
        <w:tc>
          <w:tcPr>
            <w:shd w:val="clear" w:fill="BDBDBD"/>
            <w:tcW w:w="1528" w:type="dxa"/>
            <w:vAlign w:val="top"/>
          </w:tcPr>
          <w:p>
            <w:pPr>
              <w:pStyle w:val="TableText"/>
              <w:ind w:left="335"/>
              <w:spacing w:before="41" w:line="214" w:lineRule="auto"/>
              <w:rPr>
                <w:sz w:val="21"/>
                <w:szCs w:val="21"/>
              </w:rPr>
            </w:pPr>
            <w:r>
              <w:rPr>
                <w:sz w:val="21"/>
                <w:szCs w:val="21"/>
                <w:b/>
                <w:bCs/>
                <w:spacing w:val="-5"/>
              </w:rPr>
              <w:t>污染因子</w:t>
            </w:r>
          </w:p>
        </w:tc>
        <w:tc>
          <w:tcPr>
            <w:shd w:val="clear" w:fill="BDBDBD"/>
            <w:tcW w:w="1428" w:type="dxa"/>
            <w:vAlign w:val="top"/>
            <w:gridSpan w:val="2"/>
          </w:tcPr>
          <w:p>
            <w:pPr>
              <w:pStyle w:val="TableText"/>
              <w:ind w:left="287"/>
              <w:spacing w:before="40" w:line="215" w:lineRule="auto"/>
              <w:rPr>
                <w:sz w:val="21"/>
                <w:szCs w:val="21"/>
              </w:rPr>
            </w:pPr>
            <w:r>
              <w:rPr>
                <w:sz w:val="21"/>
                <w:szCs w:val="21"/>
                <w:b/>
                <w:bCs/>
                <w:spacing w:val="-4"/>
              </w:rPr>
              <w:t>标准限值</w:t>
            </w:r>
          </w:p>
        </w:tc>
        <w:tc>
          <w:tcPr>
            <w:shd w:val="clear" w:fill="BDBDBD"/>
            <w:tcW w:w="3111" w:type="dxa"/>
            <w:vAlign w:val="top"/>
            <w:gridSpan w:val="3"/>
          </w:tcPr>
          <w:p>
            <w:pPr>
              <w:pStyle w:val="TableText"/>
              <w:ind w:left="1339"/>
              <w:spacing w:before="42" w:line="213" w:lineRule="auto"/>
              <w:rPr>
                <w:sz w:val="21"/>
                <w:szCs w:val="21"/>
              </w:rPr>
            </w:pPr>
            <w:r>
              <w:rPr>
                <w:sz w:val="21"/>
                <w:szCs w:val="21"/>
                <w:b/>
                <w:bCs/>
                <w:spacing w:val="-5"/>
              </w:rPr>
              <w:t>备注</w:t>
            </w:r>
          </w:p>
        </w:tc>
      </w:tr>
      <w:tr>
        <w:trPr>
          <w:trHeight w:val="379" w:hRule="atLeast"/>
        </w:trPr>
        <w:tc>
          <w:tcPr>
            <w:tcW w:w="854" w:type="dxa"/>
            <w:vAlign w:val="top"/>
            <w:vMerge w:val="restart"/>
            <w:tcBorders>
              <w:bottom w:val="nil"/>
            </w:tcBorders>
          </w:tcPr>
          <w:p>
            <w:pPr>
              <w:pStyle w:val="TableText"/>
              <w:ind w:left="105"/>
              <w:spacing w:before="309" w:line="220" w:lineRule="auto"/>
              <w:rPr>
                <w:sz w:val="21"/>
                <w:szCs w:val="21"/>
              </w:rPr>
            </w:pPr>
            <w:r>
              <w:rPr>
                <w:sz w:val="21"/>
                <w:szCs w:val="21"/>
                <w:spacing w:val="3"/>
              </w:rPr>
              <w:t>声环境</w:t>
            </w:r>
          </w:p>
        </w:tc>
        <w:tc>
          <w:tcPr>
            <w:tcW w:w="1419" w:type="dxa"/>
            <w:vAlign w:val="top"/>
            <w:vMerge w:val="restart"/>
            <w:tcBorders>
              <w:bottom w:val="nil"/>
            </w:tcBorders>
          </w:tcPr>
          <w:p>
            <w:pPr>
              <w:pStyle w:val="TableText"/>
              <w:ind w:left="153" w:right="27" w:hanging="154"/>
              <w:spacing w:before="29" w:line="228" w:lineRule="auto"/>
              <w:jc w:val="both"/>
              <w:rPr>
                <w:sz w:val="21"/>
                <w:szCs w:val="21"/>
              </w:rPr>
            </w:pPr>
            <w:r>
              <w:rPr>
                <w:sz w:val="21"/>
                <w:szCs w:val="21"/>
                <w:spacing w:val="-13"/>
              </w:rPr>
              <w:t>《声环境质量标</w:t>
            </w:r>
            <w:r>
              <w:rPr>
                <w:sz w:val="21"/>
                <w:szCs w:val="21"/>
                <w:spacing w:val="1"/>
              </w:rPr>
              <w:t xml:space="preserve"> </w:t>
            </w:r>
            <w:r>
              <w:rPr>
                <w:sz w:val="21"/>
                <w:szCs w:val="21"/>
                <w:spacing w:val="-9"/>
              </w:rPr>
              <w:t>准》(GB3096-</w:t>
            </w:r>
            <w:r>
              <w:rPr>
                <w:sz w:val="21"/>
                <w:szCs w:val="21"/>
              </w:rPr>
              <w:t xml:space="preserve"> </w:t>
            </w:r>
            <w:r>
              <w:rPr>
                <w:sz w:val="21"/>
                <w:szCs w:val="21"/>
                <w:spacing w:val="-7"/>
              </w:rPr>
              <w:t>2008)3类标准</w:t>
            </w:r>
          </w:p>
        </w:tc>
        <w:tc>
          <w:tcPr>
            <w:tcW w:w="1528" w:type="dxa"/>
            <w:vAlign w:val="top"/>
            <w:vMerge w:val="restart"/>
            <w:tcBorders>
              <w:bottom w:val="nil"/>
            </w:tcBorders>
          </w:tcPr>
          <w:p>
            <w:pPr>
              <w:spacing w:line="263" w:lineRule="auto"/>
              <w:rPr>
                <w:rFonts w:ascii="Arial"/>
                <w:sz w:val="21"/>
              </w:rPr>
            </w:pPr>
            <w:r/>
          </w:p>
          <w:p>
            <w:pPr>
              <w:pStyle w:val="TableText"/>
              <w:ind w:left="542"/>
              <w:spacing w:before="69" w:line="184" w:lineRule="auto"/>
              <w:rPr>
                <w:sz w:val="21"/>
                <w:szCs w:val="21"/>
              </w:rPr>
            </w:pPr>
            <w:r>
              <w:rPr>
                <w:sz w:val="21"/>
                <w:szCs w:val="21"/>
                <w:spacing w:val="-2"/>
              </w:rPr>
              <w:t>LAeg</w:t>
            </w:r>
          </w:p>
        </w:tc>
        <w:tc>
          <w:tcPr>
            <w:tcW w:w="1428" w:type="dxa"/>
            <w:vAlign w:val="top"/>
            <w:gridSpan w:val="2"/>
          </w:tcPr>
          <w:p>
            <w:pPr>
              <w:pStyle w:val="TableText"/>
              <w:ind w:left="174"/>
              <w:spacing w:before="92" w:line="222" w:lineRule="auto"/>
              <w:rPr>
                <w:sz w:val="21"/>
                <w:szCs w:val="21"/>
              </w:rPr>
            </w:pPr>
            <w:r>
              <w:rPr>
                <w:sz w:val="21"/>
                <w:szCs w:val="21"/>
                <w:spacing w:val="-2"/>
              </w:rPr>
              <w:t>65dB(A)</w:t>
            </w:r>
          </w:p>
        </w:tc>
        <w:tc>
          <w:tcPr>
            <w:tcW w:w="3111" w:type="dxa"/>
            <w:vAlign w:val="top"/>
            <w:gridSpan w:val="3"/>
          </w:tcPr>
          <w:p>
            <w:pPr>
              <w:pStyle w:val="TableText"/>
              <w:ind w:left="1336"/>
              <w:spacing w:before="92" w:line="222" w:lineRule="auto"/>
              <w:rPr>
                <w:sz w:val="21"/>
                <w:szCs w:val="21"/>
              </w:rPr>
            </w:pPr>
            <w:r>
              <w:rPr>
                <w:sz w:val="21"/>
                <w:szCs w:val="21"/>
                <w:spacing w:val="10"/>
              </w:rPr>
              <w:t>昼间</w:t>
            </w:r>
          </w:p>
        </w:tc>
      </w:tr>
      <w:tr>
        <w:trPr>
          <w:trHeight w:val="429" w:hRule="atLeast"/>
        </w:trPr>
        <w:tc>
          <w:tcPr>
            <w:tcW w:w="854" w:type="dxa"/>
            <w:vAlign w:val="top"/>
            <w:vMerge w:val="continue"/>
            <w:tcBorders>
              <w:top w:val="nil"/>
            </w:tcBorders>
          </w:tcPr>
          <w:p>
            <w:pPr>
              <w:rPr>
                <w:rFonts w:ascii="Arial"/>
                <w:sz w:val="21"/>
              </w:rPr>
            </w:pPr>
            <w:r/>
          </w:p>
        </w:tc>
        <w:tc>
          <w:tcPr>
            <w:tcW w:w="1419" w:type="dxa"/>
            <w:vAlign w:val="top"/>
            <w:vMerge w:val="continue"/>
            <w:tcBorders>
              <w:top w:val="nil"/>
            </w:tcBorders>
          </w:tcPr>
          <w:p>
            <w:pPr>
              <w:rPr>
                <w:rFonts w:ascii="Arial"/>
                <w:sz w:val="21"/>
              </w:rPr>
            </w:pPr>
            <w:r/>
          </w:p>
        </w:tc>
        <w:tc>
          <w:tcPr>
            <w:tcW w:w="1528" w:type="dxa"/>
            <w:vAlign w:val="top"/>
            <w:vMerge w:val="continue"/>
            <w:tcBorders>
              <w:top w:val="nil"/>
            </w:tcBorders>
          </w:tcPr>
          <w:p>
            <w:pPr>
              <w:rPr>
                <w:rFonts w:ascii="Arial"/>
                <w:sz w:val="21"/>
              </w:rPr>
            </w:pPr>
            <w:r/>
          </w:p>
        </w:tc>
        <w:tc>
          <w:tcPr>
            <w:tcW w:w="1428" w:type="dxa"/>
            <w:vAlign w:val="top"/>
            <w:gridSpan w:val="2"/>
          </w:tcPr>
          <w:p>
            <w:pPr>
              <w:pStyle w:val="TableText"/>
              <w:ind w:left="334"/>
              <w:spacing w:before="113" w:line="222" w:lineRule="auto"/>
              <w:rPr>
                <w:sz w:val="21"/>
                <w:szCs w:val="21"/>
              </w:rPr>
            </w:pPr>
            <w:r>
              <w:rPr>
                <w:sz w:val="21"/>
                <w:szCs w:val="21"/>
                <w:spacing w:val="-2"/>
              </w:rPr>
              <w:t>55dB(A)</w:t>
            </w:r>
          </w:p>
        </w:tc>
        <w:tc>
          <w:tcPr>
            <w:tcW w:w="3111" w:type="dxa"/>
            <w:vAlign w:val="top"/>
            <w:gridSpan w:val="3"/>
          </w:tcPr>
          <w:p>
            <w:pPr>
              <w:pStyle w:val="TableText"/>
              <w:ind w:left="1336"/>
              <w:spacing w:before="109" w:line="219" w:lineRule="auto"/>
              <w:rPr>
                <w:sz w:val="21"/>
                <w:szCs w:val="21"/>
              </w:rPr>
            </w:pPr>
            <w:r>
              <w:rPr>
                <w:sz w:val="21"/>
                <w:szCs w:val="21"/>
                <w:spacing w:val="10"/>
              </w:rPr>
              <w:t>夜间</w:t>
            </w:r>
          </w:p>
        </w:tc>
      </w:tr>
      <w:tr>
        <w:trPr>
          <w:trHeight w:val="250" w:hRule="atLeast"/>
        </w:trPr>
        <w:tc>
          <w:tcPr>
            <w:tcW w:w="854" w:type="dxa"/>
            <w:vAlign w:val="top"/>
            <w:vMerge w:val="restart"/>
            <w:tcBorders>
              <w:bottom w:val="nil"/>
            </w:tcBorders>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spacing w:before="68" w:line="220" w:lineRule="auto"/>
              <w:jc w:val="right"/>
              <w:rPr>
                <w:sz w:val="21"/>
                <w:szCs w:val="21"/>
              </w:rPr>
            </w:pPr>
            <w:r>
              <w:rPr>
                <w:sz w:val="21"/>
                <w:szCs w:val="21"/>
                <w:spacing w:val="-3"/>
              </w:rPr>
              <w:t>土壤环境</w:t>
            </w:r>
          </w:p>
        </w:tc>
        <w:tc>
          <w:tcPr>
            <w:tcW w:w="1419" w:type="dxa"/>
            <w:vAlign w:val="top"/>
            <w:vMerge w:val="restart"/>
            <w:tcBorders>
              <w:bottom w:val="nil"/>
            </w:tcBorders>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spacing w:before="68" w:line="220" w:lineRule="auto"/>
              <w:rPr>
                <w:sz w:val="21"/>
                <w:szCs w:val="21"/>
              </w:rPr>
            </w:pPr>
            <w:r>
              <w:rPr>
                <w:sz w:val="21"/>
                <w:szCs w:val="21"/>
                <w:spacing w:val="-11"/>
              </w:rPr>
              <w:t>《土壤环境质量</w:t>
            </w:r>
          </w:p>
          <w:p>
            <w:pPr>
              <w:pStyle w:val="TableText"/>
              <w:spacing w:before="30" w:line="221" w:lineRule="auto"/>
              <w:jc w:val="right"/>
              <w:rPr>
                <w:sz w:val="21"/>
                <w:szCs w:val="21"/>
              </w:rPr>
            </w:pPr>
            <w:r>
              <w:rPr>
                <w:sz w:val="21"/>
                <w:szCs w:val="21"/>
                <w:spacing w:val="-11"/>
              </w:rPr>
              <w:t>建设用地土壤污</w:t>
            </w:r>
          </w:p>
          <w:p>
            <w:pPr>
              <w:pStyle w:val="TableText"/>
              <w:spacing w:before="7" w:line="219" w:lineRule="auto"/>
              <w:jc w:val="right"/>
              <w:rPr>
                <w:sz w:val="21"/>
                <w:szCs w:val="21"/>
              </w:rPr>
            </w:pPr>
            <w:r>
              <w:rPr>
                <w:sz w:val="21"/>
                <w:szCs w:val="21"/>
                <w:spacing w:val="-12"/>
              </w:rPr>
              <w:t>染</w:t>
            </w:r>
            <w:r>
              <w:rPr>
                <w:sz w:val="21"/>
                <w:szCs w:val="21"/>
                <w:spacing w:val="-11"/>
              </w:rPr>
              <w:t>风险管控标</w:t>
            </w:r>
            <w:r>
              <w:rPr>
                <w:sz w:val="21"/>
                <w:szCs w:val="21"/>
                <w:spacing w:val="-10"/>
              </w:rPr>
              <w:t>准</w:t>
            </w:r>
          </w:p>
          <w:p>
            <w:pPr>
              <w:pStyle w:val="TableText"/>
              <w:ind w:left="331"/>
              <w:spacing w:before="21" w:line="220" w:lineRule="auto"/>
              <w:rPr>
                <w:sz w:val="21"/>
                <w:szCs w:val="21"/>
              </w:rPr>
            </w:pPr>
            <w:r>
              <w:rPr>
                <w:sz w:val="21"/>
                <w:szCs w:val="21"/>
                <w:spacing w:val="-1"/>
              </w:rPr>
              <w:t>(试行)》</w:t>
            </w:r>
          </w:p>
          <w:p>
            <w:pPr>
              <w:pStyle w:val="TableText"/>
              <w:ind w:left="220"/>
              <w:spacing w:before="22" w:line="222" w:lineRule="auto"/>
              <w:rPr>
                <w:sz w:val="21"/>
                <w:szCs w:val="21"/>
              </w:rPr>
            </w:pPr>
            <w:r>
              <w:rPr>
                <w:sz w:val="21"/>
                <w:szCs w:val="21"/>
                <w:spacing w:val="-5"/>
              </w:rPr>
              <w:t>(GB36600-</w:t>
            </w:r>
          </w:p>
          <w:p>
            <w:pPr>
              <w:pStyle w:val="TableText"/>
              <w:ind w:left="431"/>
              <w:spacing w:before="17" w:line="222" w:lineRule="auto"/>
              <w:rPr>
                <w:sz w:val="21"/>
                <w:szCs w:val="21"/>
              </w:rPr>
            </w:pPr>
            <w:r>
              <w:rPr>
                <w:sz w:val="21"/>
                <w:szCs w:val="21"/>
                <w:spacing w:val="-2"/>
              </w:rPr>
              <w:t>2018)</w:t>
            </w:r>
          </w:p>
        </w:tc>
        <w:tc>
          <w:tcPr>
            <w:shd w:val="clear" w:fill="BDBDBD"/>
            <w:tcW w:w="1528" w:type="dxa"/>
            <w:vAlign w:val="top"/>
          </w:tcPr>
          <w:p>
            <w:pPr>
              <w:pStyle w:val="TableText"/>
              <w:ind w:left="545"/>
              <w:spacing w:before="18" w:line="195" w:lineRule="auto"/>
              <w:rPr>
                <w:sz w:val="21"/>
                <w:szCs w:val="21"/>
              </w:rPr>
            </w:pPr>
            <w:r>
              <w:rPr>
                <w:sz w:val="21"/>
                <w:szCs w:val="21"/>
                <w:b/>
                <w:bCs/>
                <w:spacing w:val="14"/>
              </w:rPr>
              <w:t>项目</w:t>
            </w:r>
          </w:p>
        </w:tc>
        <w:tc>
          <w:tcPr>
            <w:shd w:val="clear" w:fill="BDBDBD"/>
            <w:tcW w:w="709" w:type="dxa"/>
            <w:vAlign w:val="top"/>
          </w:tcPr>
          <w:p>
            <w:pPr>
              <w:pStyle w:val="TableText"/>
              <w:ind w:left="37"/>
              <w:spacing w:before="17" w:line="196" w:lineRule="auto"/>
              <w:rPr>
                <w:sz w:val="21"/>
                <w:szCs w:val="21"/>
              </w:rPr>
            </w:pPr>
            <w:r>
              <w:rPr>
                <w:sz w:val="21"/>
                <w:szCs w:val="21"/>
                <w:b/>
                <w:bCs/>
                <w:spacing w:val="-5"/>
              </w:rPr>
              <w:t>筛选值</w:t>
            </w:r>
          </w:p>
        </w:tc>
        <w:tc>
          <w:tcPr>
            <w:shd w:val="clear" w:fill="BDBDBD"/>
            <w:tcW w:w="719" w:type="dxa"/>
            <w:vAlign w:val="top"/>
          </w:tcPr>
          <w:p>
            <w:pPr>
              <w:pStyle w:val="TableText"/>
              <w:ind w:left="38"/>
              <w:spacing w:before="17" w:line="196" w:lineRule="auto"/>
              <w:rPr>
                <w:sz w:val="21"/>
                <w:szCs w:val="21"/>
              </w:rPr>
            </w:pPr>
            <w:r>
              <w:rPr>
                <w:sz w:val="21"/>
                <w:szCs w:val="21"/>
                <w:b/>
                <w:bCs/>
                <w:spacing w:val="-6"/>
              </w:rPr>
              <w:t>管制值</w:t>
            </w:r>
          </w:p>
        </w:tc>
        <w:tc>
          <w:tcPr>
            <w:shd w:val="clear" w:fill="BDBDBD"/>
            <w:tcW w:w="1738" w:type="dxa"/>
            <w:vAlign w:val="top"/>
          </w:tcPr>
          <w:p>
            <w:pPr>
              <w:pStyle w:val="TableText"/>
              <w:ind w:left="659"/>
              <w:spacing w:before="18" w:line="195" w:lineRule="auto"/>
              <w:rPr>
                <w:sz w:val="21"/>
                <w:szCs w:val="21"/>
              </w:rPr>
            </w:pPr>
            <w:r>
              <w:rPr>
                <w:sz w:val="21"/>
                <w:szCs w:val="21"/>
                <w:b/>
                <w:bCs/>
                <w:spacing w:val="14"/>
              </w:rPr>
              <w:t>项目</w:t>
            </w:r>
          </w:p>
        </w:tc>
        <w:tc>
          <w:tcPr>
            <w:shd w:val="clear" w:fill="BDBDBD"/>
            <w:tcW w:w="709" w:type="dxa"/>
            <w:vAlign w:val="top"/>
          </w:tcPr>
          <w:p>
            <w:pPr>
              <w:pStyle w:val="TableText"/>
              <w:ind w:left="41"/>
              <w:spacing w:before="17" w:line="196" w:lineRule="auto"/>
              <w:rPr>
                <w:sz w:val="21"/>
                <w:szCs w:val="21"/>
              </w:rPr>
            </w:pPr>
            <w:r>
              <w:rPr>
                <w:sz w:val="21"/>
                <w:szCs w:val="21"/>
                <w:b/>
                <w:bCs/>
                <w:spacing w:val="-5"/>
              </w:rPr>
              <w:t>筛选值</w:t>
            </w:r>
          </w:p>
        </w:tc>
        <w:tc>
          <w:tcPr>
            <w:shd w:val="clear" w:fill="BDBDBD"/>
            <w:tcW w:w="664" w:type="dxa"/>
            <w:vAlign w:val="top"/>
          </w:tcPr>
          <w:p>
            <w:pPr>
              <w:pStyle w:val="TableText"/>
              <w:ind w:left="12"/>
              <w:spacing w:before="17" w:line="196" w:lineRule="auto"/>
              <w:rPr>
                <w:sz w:val="21"/>
                <w:szCs w:val="21"/>
              </w:rPr>
            </w:pPr>
            <w:r>
              <w:rPr>
                <w:sz w:val="21"/>
                <w:szCs w:val="21"/>
                <w:b/>
                <w:bCs/>
                <w:spacing w:val="-6"/>
              </w:rPr>
              <w:t>管制值</w:t>
            </w:r>
          </w:p>
        </w:tc>
      </w:tr>
      <w:tr>
        <w:trPr>
          <w:trHeight w:val="279"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ind w:left="652"/>
              <w:spacing w:before="41" w:line="200" w:lineRule="auto"/>
              <w:rPr>
                <w:sz w:val="21"/>
                <w:szCs w:val="21"/>
              </w:rPr>
            </w:pPr>
            <w:r>
              <w:rPr>
                <w:sz w:val="21"/>
                <w:szCs w:val="21"/>
              </w:rPr>
              <w:t>砷</w:t>
            </w:r>
          </w:p>
        </w:tc>
        <w:tc>
          <w:tcPr>
            <w:tcW w:w="709" w:type="dxa"/>
            <w:vAlign w:val="top"/>
          </w:tcPr>
          <w:p>
            <w:pPr>
              <w:pStyle w:val="TableText"/>
              <w:ind w:left="243"/>
              <w:spacing w:before="61" w:line="182" w:lineRule="auto"/>
              <w:rPr>
                <w:sz w:val="21"/>
                <w:szCs w:val="21"/>
              </w:rPr>
            </w:pPr>
            <w:r>
              <w:rPr>
                <w:sz w:val="21"/>
                <w:szCs w:val="21"/>
                <w:spacing w:val="-3"/>
              </w:rPr>
              <w:t>20</w:t>
            </w:r>
          </w:p>
        </w:tc>
        <w:tc>
          <w:tcPr>
            <w:tcW w:w="719" w:type="dxa"/>
            <w:vAlign w:val="top"/>
          </w:tcPr>
          <w:p>
            <w:pPr>
              <w:pStyle w:val="TableText"/>
              <w:ind w:left="195"/>
              <w:spacing w:before="61" w:line="182" w:lineRule="auto"/>
              <w:rPr>
                <w:sz w:val="21"/>
                <w:szCs w:val="21"/>
              </w:rPr>
            </w:pPr>
            <w:r>
              <w:rPr>
                <w:sz w:val="21"/>
                <w:szCs w:val="21"/>
                <w:spacing w:val="-6"/>
              </w:rPr>
              <w:t>120</w:t>
            </w:r>
          </w:p>
        </w:tc>
        <w:tc>
          <w:tcPr>
            <w:tcW w:w="1738" w:type="dxa"/>
            <w:vAlign w:val="top"/>
          </w:tcPr>
          <w:p>
            <w:pPr>
              <w:pStyle w:val="TableText"/>
              <w:ind w:left="126"/>
              <w:spacing w:before="36" w:line="204" w:lineRule="auto"/>
              <w:rPr>
                <w:sz w:val="21"/>
                <w:szCs w:val="21"/>
              </w:rPr>
            </w:pPr>
            <w:r>
              <w:rPr>
                <w:sz w:val="21"/>
                <w:szCs w:val="21"/>
              </w:rPr>
              <w:t>1,2,3-三氯丙烷</w:t>
            </w:r>
          </w:p>
        </w:tc>
        <w:tc>
          <w:tcPr>
            <w:tcW w:w="709" w:type="dxa"/>
            <w:vAlign w:val="top"/>
          </w:tcPr>
          <w:p>
            <w:pPr>
              <w:pStyle w:val="TableText"/>
              <w:ind w:left="138"/>
              <w:spacing w:before="61" w:line="182" w:lineRule="auto"/>
              <w:rPr>
                <w:sz w:val="21"/>
                <w:szCs w:val="21"/>
              </w:rPr>
            </w:pPr>
            <w:r>
              <w:rPr>
                <w:sz w:val="21"/>
                <w:szCs w:val="21"/>
                <w:spacing w:val="-2"/>
              </w:rPr>
              <w:t>0.05</w:t>
            </w:r>
          </w:p>
        </w:tc>
        <w:tc>
          <w:tcPr>
            <w:tcW w:w="664" w:type="dxa"/>
            <w:vAlign w:val="top"/>
          </w:tcPr>
          <w:p>
            <w:pPr>
              <w:pStyle w:val="TableText"/>
              <w:ind w:left="168"/>
              <w:spacing w:before="61" w:line="182" w:lineRule="auto"/>
              <w:rPr>
                <w:sz w:val="21"/>
                <w:szCs w:val="21"/>
              </w:rPr>
            </w:pPr>
            <w:r>
              <w:rPr>
                <w:sz w:val="21"/>
                <w:szCs w:val="21"/>
                <w:spacing w:val="-3"/>
              </w:rPr>
              <w:t>0.5</w:t>
            </w:r>
          </w:p>
        </w:tc>
      </w:tr>
      <w:tr>
        <w:trPr>
          <w:trHeight w:val="280"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ind w:left="652"/>
              <w:spacing w:before="44" w:line="198" w:lineRule="auto"/>
              <w:rPr>
                <w:sz w:val="21"/>
                <w:szCs w:val="21"/>
              </w:rPr>
            </w:pPr>
            <w:r>
              <w:rPr>
                <w:sz w:val="21"/>
                <w:szCs w:val="21"/>
                <w:color w:val="303050"/>
              </w:rPr>
              <w:t>镉</w:t>
            </w:r>
          </w:p>
        </w:tc>
        <w:tc>
          <w:tcPr>
            <w:tcW w:w="709" w:type="dxa"/>
            <w:vAlign w:val="top"/>
          </w:tcPr>
          <w:p>
            <w:pPr>
              <w:pStyle w:val="TableText"/>
              <w:ind w:left="243"/>
              <w:spacing w:before="62" w:line="182" w:lineRule="auto"/>
              <w:rPr>
                <w:sz w:val="21"/>
                <w:szCs w:val="21"/>
              </w:rPr>
            </w:pPr>
            <w:r>
              <w:rPr>
                <w:sz w:val="21"/>
                <w:szCs w:val="21"/>
                <w:spacing w:val="-3"/>
              </w:rPr>
              <w:t>20</w:t>
            </w:r>
          </w:p>
        </w:tc>
        <w:tc>
          <w:tcPr>
            <w:tcW w:w="719" w:type="dxa"/>
            <w:vAlign w:val="top"/>
          </w:tcPr>
          <w:p>
            <w:pPr>
              <w:pStyle w:val="TableText"/>
              <w:ind w:left="245"/>
              <w:spacing w:before="62" w:line="182" w:lineRule="auto"/>
              <w:rPr>
                <w:sz w:val="21"/>
                <w:szCs w:val="21"/>
              </w:rPr>
            </w:pPr>
            <w:r>
              <w:rPr>
                <w:sz w:val="21"/>
                <w:szCs w:val="21"/>
                <w:spacing w:val="-2"/>
              </w:rPr>
              <w:t>47</w:t>
            </w:r>
          </w:p>
        </w:tc>
        <w:tc>
          <w:tcPr>
            <w:tcW w:w="1738" w:type="dxa"/>
            <w:vAlign w:val="top"/>
          </w:tcPr>
          <w:p>
            <w:pPr>
              <w:pStyle w:val="TableText"/>
              <w:ind w:left="546"/>
              <w:spacing w:before="41" w:line="201" w:lineRule="auto"/>
              <w:rPr>
                <w:sz w:val="21"/>
                <w:szCs w:val="21"/>
              </w:rPr>
            </w:pPr>
            <w:r>
              <w:rPr>
                <w:sz w:val="21"/>
                <w:szCs w:val="21"/>
                <w:spacing w:val="3"/>
              </w:rPr>
              <w:t>氯乙烯</w:t>
            </w:r>
          </w:p>
        </w:tc>
        <w:tc>
          <w:tcPr>
            <w:tcW w:w="709" w:type="dxa"/>
            <w:vAlign w:val="top"/>
          </w:tcPr>
          <w:p>
            <w:pPr>
              <w:pStyle w:val="TableText"/>
              <w:ind w:left="138"/>
              <w:spacing w:before="62" w:line="182" w:lineRule="auto"/>
              <w:rPr>
                <w:sz w:val="21"/>
                <w:szCs w:val="21"/>
              </w:rPr>
            </w:pPr>
            <w:r>
              <w:rPr>
                <w:sz w:val="21"/>
                <w:szCs w:val="21"/>
                <w:spacing w:val="-2"/>
              </w:rPr>
              <w:t>0.12</w:t>
            </w:r>
          </w:p>
        </w:tc>
        <w:tc>
          <w:tcPr>
            <w:tcW w:w="664" w:type="dxa"/>
            <w:vAlign w:val="top"/>
          </w:tcPr>
          <w:p>
            <w:pPr>
              <w:pStyle w:val="TableText"/>
              <w:ind w:left="168"/>
              <w:spacing w:before="62" w:line="182" w:lineRule="auto"/>
              <w:rPr>
                <w:sz w:val="21"/>
                <w:szCs w:val="21"/>
              </w:rPr>
            </w:pPr>
            <w:r>
              <w:rPr>
                <w:sz w:val="21"/>
                <w:szCs w:val="21"/>
                <w:spacing w:val="-6"/>
              </w:rPr>
              <w:t>1.2</w:t>
            </w:r>
          </w:p>
        </w:tc>
      </w:tr>
      <w:tr>
        <w:trPr>
          <w:trHeight w:val="279"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ind w:left="332"/>
              <w:spacing w:before="40" w:line="201" w:lineRule="auto"/>
              <w:rPr>
                <w:sz w:val="21"/>
                <w:szCs w:val="21"/>
              </w:rPr>
            </w:pPr>
            <w:r>
              <w:rPr>
                <w:sz w:val="21"/>
                <w:szCs w:val="21"/>
                <w:spacing w:val="9"/>
              </w:rPr>
              <w:t>铬(六价)</w:t>
            </w:r>
          </w:p>
        </w:tc>
        <w:tc>
          <w:tcPr>
            <w:tcW w:w="709" w:type="dxa"/>
            <w:vAlign w:val="top"/>
          </w:tcPr>
          <w:p>
            <w:pPr>
              <w:pStyle w:val="TableText"/>
              <w:ind w:left="184"/>
              <w:spacing w:before="63" w:line="181" w:lineRule="auto"/>
              <w:rPr>
                <w:sz w:val="21"/>
                <w:szCs w:val="21"/>
              </w:rPr>
            </w:pPr>
            <w:r>
              <w:rPr>
                <w:sz w:val="21"/>
                <w:szCs w:val="21"/>
                <w:spacing w:val="-3"/>
              </w:rPr>
              <w:t>3.0</w:t>
            </w:r>
          </w:p>
        </w:tc>
        <w:tc>
          <w:tcPr>
            <w:tcW w:w="719" w:type="dxa"/>
            <w:vAlign w:val="top"/>
          </w:tcPr>
          <w:p>
            <w:pPr>
              <w:pStyle w:val="TableText"/>
              <w:ind w:left="245"/>
              <w:spacing w:before="63" w:line="181" w:lineRule="auto"/>
              <w:rPr>
                <w:sz w:val="21"/>
                <w:szCs w:val="21"/>
              </w:rPr>
            </w:pPr>
            <w:r>
              <w:rPr>
                <w:sz w:val="21"/>
                <w:szCs w:val="21"/>
                <w:spacing w:val="-4"/>
              </w:rPr>
              <w:t>30</w:t>
            </w:r>
          </w:p>
        </w:tc>
        <w:tc>
          <w:tcPr>
            <w:tcW w:w="1738" w:type="dxa"/>
            <w:vAlign w:val="top"/>
          </w:tcPr>
          <w:p>
            <w:pPr>
              <w:pStyle w:val="TableText"/>
              <w:ind w:left="756"/>
              <w:spacing w:before="40" w:line="201" w:lineRule="auto"/>
              <w:rPr>
                <w:sz w:val="21"/>
                <w:szCs w:val="21"/>
              </w:rPr>
            </w:pPr>
            <w:r>
              <w:rPr>
                <w:sz w:val="21"/>
                <w:szCs w:val="21"/>
                <w:color w:val="606060"/>
              </w:rPr>
              <w:t>苯</w:t>
            </w:r>
          </w:p>
        </w:tc>
        <w:tc>
          <w:tcPr>
            <w:tcW w:w="709" w:type="dxa"/>
            <w:vAlign w:val="top"/>
            <w:textDirection w:val="tbRlV"/>
          </w:tcPr>
          <w:p>
            <w:pPr>
              <w:spacing w:line="242" w:lineRule="auto"/>
              <w:rPr>
                <w:rFonts w:ascii="Arial"/>
                <w:sz w:val="21"/>
              </w:rPr>
            </w:pPr>
            <w:r/>
          </w:p>
          <w:p>
            <w:pPr>
              <w:pStyle w:val="TableText"/>
              <w:spacing w:before="70" w:line="126" w:lineRule="exact"/>
              <w:rPr>
                <w:sz w:val="21"/>
                <w:szCs w:val="21"/>
              </w:rPr>
            </w:pPr>
            <w:r>
              <w:rPr>
                <w:sz w:val="21"/>
                <w:szCs w:val="21"/>
                <w:color w:val="605060"/>
                <w:spacing w:val="46"/>
                <w:w w:val="125"/>
                <w:position w:val="-3"/>
              </w:rPr>
              <w:t>1</w:t>
            </w:r>
          </w:p>
        </w:tc>
        <w:tc>
          <w:tcPr>
            <w:tcW w:w="664" w:type="dxa"/>
            <w:vAlign w:val="top"/>
          </w:tcPr>
          <w:p>
            <w:pPr>
              <w:pStyle w:val="TableText"/>
              <w:ind w:left="219"/>
              <w:spacing w:before="63" w:line="181" w:lineRule="auto"/>
              <w:rPr>
                <w:sz w:val="21"/>
                <w:szCs w:val="21"/>
              </w:rPr>
            </w:pPr>
            <w:r>
              <w:rPr>
                <w:sz w:val="21"/>
                <w:szCs w:val="21"/>
                <w:spacing w:val="-6"/>
              </w:rPr>
              <w:t>10</w:t>
            </w:r>
          </w:p>
        </w:tc>
      </w:tr>
      <w:tr>
        <w:trPr>
          <w:trHeight w:val="260"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ind w:left="652"/>
              <w:spacing w:before="33" w:line="190" w:lineRule="auto"/>
              <w:rPr>
                <w:sz w:val="21"/>
                <w:szCs w:val="21"/>
              </w:rPr>
            </w:pPr>
            <w:r>
              <w:rPr>
                <w:sz w:val="21"/>
                <w:szCs w:val="21"/>
              </w:rPr>
              <w:t>铜</w:t>
            </w:r>
          </w:p>
        </w:tc>
        <w:tc>
          <w:tcPr>
            <w:tcW w:w="709" w:type="dxa"/>
            <w:vAlign w:val="top"/>
          </w:tcPr>
          <w:p>
            <w:pPr>
              <w:pStyle w:val="TableText"/>
              <w:ind w:left="134"/>
              <w:spacing w:before="53" w:line="173" w:lineRule="auto"/>
              <w:rPr>
                <w:sz w:val="21"/>
                <w:szCs w:val="21"/>
              </w:rPr>
            </w:pPr>
            <w:r>
              <w:rPr>
                <w:sz w:val="21"/>
                <w:szCs w:val="21"/>
                <w:spacing w:val="-3"/>
              </w:rPr>
              <w:t>2000</w:t>
            </w:r>
          </w:p>
        </w:tc>
        <w:tc>
          <w:tcPr>
            <w:tcW w:w="719" w:type="dxa"/>
            <w:vAlign w:val="top"/>
          </w:tcPr>
          <w:p>
            <w:pPr>
              <w:pStyle w:val="TableText"/>
              <w:ind w:left="145"/>
              <w:spacing w:before="53" w:line="173" w:lineRule="auto"/>
              <w:rPr>
                <w:sz w:val="21"/>
                <w:szCs w:val="21"/>
              </w:rPr>
            </w:pPr>
            <w:r>
              <w:rPr>
                <w:sz w:val="21"/>
                <w:szCs w:val="21"/>
                <w:spacing w:val="-2"/>
              </w:rPr>
              <w:t>8000</w:t>
            </w:r>
          </w:p>
        </w:tc>
        <w:tc>
          <w:tcPr>
            <w:tcW w:w="1738" w:type="dxa"/>
            <w:vAlign w:val="top"/>
          </w:tcPr>
          <w:p>
            <w:pPr>
              <w:pStyle w:val="TableText"/>
              <w:ind w:left="656"/>
              <w:spacing w:before="31" w:line="192" w:lineRule="auto"/>
              <w:rPr>
                <w:sz w:val="21"/>
                <w:szCs w:val="21"/>
              </w:rPr>
            </w:pPr>
            <w:r>
              <w:rPr>
                <w:sz w:val="21"/>
                <w:szCs w:val="21"/>
                <w:spacing w:val="4"/>
              </w:rPr>
              <w:t>氯苯</w:t>
            </w:r>
          </w:p>
        </w:tc>
        <w:tc>
          <w:tcPr>
            <w:tcW w:w="709" w:type="dxa"/>
            <w:vAlign w:val="top"/>
          </w:tcPr>
          <w:p>
            <w:pPr>
              <w:pStyle w:val="TableText"/>
              <w:ind w:left="248"/>
              <w:spacing w:before="53" w:line="173" w:lineRule="auto"/>
              <w:rPr>
                <w:sz w:val="21"/>
                <w:szCs w:val="21"/>
              </w:rPr>
            </w:pPr>
            <w:r>
              <w:rPr>
                <w:sz w:val="21"/>
                <w:szCs w:val="21"/>
                <w:spacing w:val="-3"/>
              </w:rPr>
              <w:t>68</w:t>
            </w:r>
          </w:p>
        </w:tc>
        <w:tc>
          <w:tcPr>
            <w:tcW w:w="664" w:type="dxa"/>
            <w:vAlign w:val="top"/>
          </w:tcPr>
          <w:p>
            <w:pPr>
              <w:pStyle w:val="TableText"/>
              <w:ind w:left="168"/>
              <w:spacing w:before="53" w:line="173" w:lineRule="auto"/>
              <w:rPr>
                <w:sz w:val="21"/>
                <w:szCs w:val="21"/>
              </w:rPr>
            </w:pPr>
            <w:r>
              <w:rPr>
                <w:sz w:val="21"/>
                <w:szCs w:val="21"/>
                <w:spacing w:val="-3"/>
              </w:rPr>
              <w:t>200</w:t>
            </w:r>
          </w:p>
        </w:tc>
      </w:tr>
      <w:tr>
        <w:trPr>
          <w:trHeight w:val="270"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ind w:left="652"/>
              <w:spacing w:before="37" w:line="196" w:lineRule="auto"/>
              <w:rPr>
                <w:sz w:val="21"/>
                <w:szCs w:val="21"/>
              </w:rPr>
            </w:pPr>
            <w:r>
              <w:rPr>
                <w:sz w:val="21"/>
                <w:szCs w:val="21"/>
              </w:rPr>
              <w:t>铅</w:t>
            </w:r>
          </w:p>
        </w:tc>
        <w:tc>
          <w:tcPr>
            <w:tcW w:w="709" w:type="dxa"/>
            <w:vAlign w:val="top"/>
          </w:tcPr>
          <w:p>
            <w:pPr>
              <w:pStyle w:val="TableText"/>
              <w:ind w:left="184"/>
              <w:spacing w:before="54" w:line="181" w:lineRule="auto"/>
              <w:rPr>
                <w:sz w:val="21"/>
                <w:szCs w:val="21"/>
              </w:rPr>
            </w:pPr>
            <w:r>
              <w:rPr>
                <w:sz w:val="21"/>
                <w:szCs w:val="21"/>
                <w:spacing w:val="-2"/>
              </w:rPr>
              <w:t>400</w:t>
            </w:r>
          </w:p>
        </w:tc>
        <w:tc>
          <w:tcPr>
            <w:tcW w:w="719" w:type="dxa"/>
            <w:vAlign w:val="top"/>
          </w:tcPr>
          <w:p>
            <w:pPr>
              <w:pStyle w:val="TableText"/>
              <w:ind w:left="195"/>
              <w:spacing w:before="54" w:line="181" w:lineRule="auto"/>
              <w:rPr>
                <w:sz w:val="21"/>
                <w:szCs w:val="21"/>
              </w:rPr>
            </w:pPr>
            <w:r>
              <w:rPr>
                <w:sz w:val="21"/>
                <w:szCs w:val="21"/>
                <w:spacing w:val="-3"/>
              </w:rPr>
              <w:t>800</w:t>
            </w:r>
          </w:p>
        </w:tc>
        <w:tc>
          <w:tcPr>
            <w:tcW w:w="1738" w:type="dxa"/>
            <w:vAlign w:val="top"/>
          </w:tcPr>
          <w:p>
            <w:pPr>
              <w:pStyle w:val="TableText"/>
              <w:ind w:left="336"/>
              <w:spacing w:before="29" w:line="203" w:lineRule="auto"/>
              <w:rPr>
                <w:sz w:val="21"/>
                <w:szCs w:val="21"/>
              </w:rPr>
            </w:pPr>
            <w:r>
              <w:rPr>
                <w:sz w:val="21"/>
                <w:szCs w:val="21"/>
                <w:spacing w:val="1"/>
              </w:rPr>
              <w:t>1,2-二氯苯</w:t>
            </w:r>
          </w:p>
        </w:tc>
        <w:tc>
          <w:tcPr>
            <w:tcW w:w="709" w:type="dxa"/>
            <w:vAlign w:val="top"/>
          </w:tcPr>
          <w:p>
            <w:pPr>
              <w:pStyle w:val="TableText"/>
              <w:ind w:left="188"/>
              <w:spacing w:before="54" w:line="181" w:lineRule="auto"/>
              <w:rPr>
                <w:sz w:val="21"/>
                <w:szCs w:val="21"/>
              </w:rPr>
            </w:pPr>
            <w:r>
              <w:rPr>
                <w:sz w:val="21"/>
                <w:szCs w:val="21"/>
                <w:spacing w:val="-3"/>
              </w:rPr>
              <w:t>560</w:t>
            </w:r>
          </w:p>
        </w:tc>
        <w:tc>
          <w:tcPr>
            <w:tcW w:w="664" w:type="dxa"/>
            <w:vAlign w:val="top"/>
          </w:tcPr>
          <w:p>
            <w:pPr>
              <w:pStyle w:val="TableText"/>
              <w:ind w:left="168"/>
              <w:spacing w:before="54" w:line="181" w:lineRule="auto"/>
              <w:rPr>
                <w:sz w:val="21"/>
                <w:szCs w:val="21"/>
              </w:rPr>
            </w:pPr>
            <w:r>
              <w:rPr>
                <w:sz w:val="21"/>
                <w:szCs w:val="21"/>
                <w:spacing w:val="-3"/>
              </w:rPr>
              <w:t>560</w:t>
            </w:r>
          </w:p>
        </w:tc>
      </w:tr>
      <w:tr>
        <w:trPr>
          <w:trHeight w:val="280"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ind w:left="652"/>
              <w:spacing w:before="43" w:line="199" w:lineRule="auto"/>
              <w:rPr>
                <w:sz w:val="21"/>
                <w:szCs w:val="21"/>
              </w:rPr>
            </w:pPr>
            <w:r>
              <w:rPr>
                <w:sz w:val="21"/>
                <w:szCs w:val="21"/>
              </w:rPr>
              <w:t>汞</w:t>
            </w:r>
          </w:p>
        </w:tc>
        <w:tc>
          <w:tcPr>
            <w:tcW w:w="709" w:type="dxa"/>
            <w:vAlign w:val="top"/>
          </w:tcPr>
          <w:p>
            <w:pPr>
              <w:pStyle w:val="TableText"/>
              <w:ind w:left="294"/>
              <w:spacing w:before="64" w:line="181" w:lineRule="auto"/>
              <w:rPr>
                <w:sz w:val="21"/>
                <w:szCs w:val="21"/>
              </w:rPr>
            </w:pPr>
            <w:r>
              <w:rPr>
                <w:sz w:val="21"/>
                <w:szCs w:val="21"/>
              </w:rPr>
              <w:t>8</w:t>
            </w:r>
          </w:p>
        </w:tc>
        <w:tc>
          <w:tcPr>
            <w:tcW w:w="719" w:type="dxa"/>
            <w:vAlign w:val="top"/>
          </w:tcPr>
          <w:p>
            <w:pPr>
              <w:pStyle w:val="TableText"/>
              <w:ind w:left="245"/>
              <w:spacing w:before="64" w:line="181" w:lineRule="auto"/>
              <w:rPr>
                <w:sz w:val="21"/>
                <w:szCs w:val="21"/>
              </w:rPr>
            </w:pPr>
            <w:r>
              <w:rPr>
                <w:sz w:val="21"/>
                <w:szCs w:val="21"/>
                <w:spacing w:val="-4"/>
              </w:rPr>
              <w:t>33</w:t>
            </w:r>
          </w:p>
        </w:tc>
        <w:tc>
          <w:tcPr>
            <w:tcW w:w="1738" w:type="dxa"/>
            <w:vAlign w:val="top"/>
          </w:tcPr>
          <w:p>
            <w:pPr>
              <w:pStyle w:val="TableText"/>
              <w:ind w:left="336"/>
              <w:spacing w:before="39" w:line="203" w:lineRule="auto"/>
              <w:rPr>
                <w:sz w:val="21"/>
                <w:szCs w:val="21"/>
              </w:rPr>
            </w:pPr>
            <w:r>
              <w:rPr>
                <w:sz w:val="21"/>
                <w:szCs w:val="21"/>
                <w:spacing w:val="1"/>
              </w:rPr>
              <w:t>1,4-二氯苯</w:t>
            </w:r>
          </w:p>
        </w:tc>
        <w:tc>
          <w:tcPr>
            <w:tcW w:w="709" w:type="dxa"/>
            <w:vAlign w:val="top"/>
          </w:tcPr>
          <w:p>
            <w:pPr>
              <w:pStyle w:val="TableText"/>
              <w:ind w:left="188"/>
              <w:spacing w:before="64" w:line="181" w:lineRule="auto"/>
              <w:rPr>
                <w:sz w:val="21"/>
                <w:szCs w:val="21"/>
              </w:rPr>
            </w:pPr>
            <w:r>
              <w:rPr>
                <w:sz w:val="21"/>
                <w:szCs w:val="21"/>
                <w:spacing w:val="-3"/>
              </w:rPr>
              <w:t>5.6</w:t>
            </w:r>
          </w:p>
        </w:tc>
        <w:tc>
          <w:tcPr>
            <w:tcW w:w="664" w:type="dxa"/>
            <w:vAlign w:val="top"/>
          </w:tcPr>
          <w:p>
            <w:pPr>
              <w:pStyle w:val="TableText"/>
              <w:ind w:left="219"/>
              <w:spacing w:before="64" w:line="181" w:lineRule="auto"/>
              <w:rPr>
                <w:sz w:val="21"/>
                <w:szCs w:val="21"/>
              </w:rPr>
            </w:pPr>
            <w:r>
              <w:rPr>
                <w:sz w:val="21"/>
                <w:szCs w:val="21"/>
                <w:spacing w:val="-4"/>
              </w:rPr>
              <w:t>56</w:t>
            </w:r>
          </w:p>
        </w:tc>
      </w:tr>
      <w:tr>
        <w:trPr>
          <w:trHeight w:val="259"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ind w:left="652"/>
              <w:spacing w:before="32" w:line="190" w:lineRule="auto"/>
              <w:rPr>
                <w:sz w:val="21"/>
                <w:szCs w:val="21"/>
              </w:rPr>
            </w:pPr>
            <w:r>
              <w:rPr>
                <w:sz w:val="21"/>
                <w:szCs w:val="21"/>
              </w:rPr>
              <w:t>镍</w:t>
            </w:r>
          </w:p>
        </w:tc>
        <w:tc>
          <w:tcPr>
            <w:tcW w:w="709" w:type="dxa"/>
            <w:vAlign w:val="top"/>
          </w:tcPr>
          <w:p>
            <w:pPr>
              <w:pStyle w:val="TableText"/>
              <w:ind w:left="184"/>
              <w:spacing w:before="53" w:line="172" w:lineRule="auto"/>
              <w:rPr>
                <w:sz w:val="21"/>
                <w:szCs w:val="21"/>
              </w:rPr>
            </w:pPr>
            <w:r>
              <w:rPr>
                <w:sz w:val="21"/>
                <w:szCs w:val="21"/>
                <w:spacing w:val="-6"/>
              </w:rPr>
              <w:t>150</w:t>
            </w:r>
          </w:p>
        </w:tc>
        <w:tc>
          <w:tcPr>
            <w:tcW w:w="719" w:type="dxa"/>
            <w:vAlign w:val="top"/>
          </w:tcPr>
          <w:p>
            <w:pPr>
              <w:pStyle w:val="TableText"/>
              <w:ind w:left="195"/>
              <w:spacing w:before="53" w:line="172" w:lineRule="auto"/>
              <w:rPr>
                <w:sz w:val="21"/>
                <w:szCs w:val="21"/>
              </w:rPr>
            </w:pPr>
            <w:r>
              <w:rPr>
                <w:sz w:val="21"/>
                <w:szCs w:val="21"/>
                <w:spacing w:val="-3"/>
              </w:rPr>
              <w:t>600</w:t>
            </w:r>
          </w:p>
        </w:tc>
        <w:tc>
          <w:tcPr>
            <w:tcW w:w="1738" w:type="dxa"/>
            <w:vAlign w:val="top"/>
          </w:tcPr>
          <w:p>
            <w:pPr>
              <w:pStyle w:val="TableText"/>
              <w:ind w:left="656"/>
              <w:spacing w:before="31" w:line="191" w:lineRule="auto"/>
              <w:rPr>
                <w:sz w:val="21"/>
                <w:szCs w:val="21"/>
              </w:rPr>
            </w:pPr>
            <w:r>
              <w:rPr>
                <w:sz w:val="21"/>
                <w:szCs w:val="21"/>
                <w:spacing w:val="4"/>
              </w:rPr>
              <w:t>乙苯</w:t>
            </w:r>
          </w:p>
        </w:tc>
        <w:tc>
          <w:tcPr>
            <w:tcW w:w="709" w:type="dxa"/>
            <w:vAlign w:val="top"/>
          </w:tcPr>
          <w:p>
            <w:pPr>
              <w:pStyle w:val="TableText"/>
              <w:ind w:left="188"/>
              <w:spacing w:before="53" w:line="172" w:lineRule="auto"/>
              <w:rPr>
                <w:sz w:val="21"/>
                <w:szCs w:val="21"/>
              </w:rPr>
            </w:pPr>
            <w:r>
              <w:rPr>
                <w:sz w:val="21"/>
                <w:szCs w:val="21"/>
                <w:spacing w:val="-3"/>
              </w:rPr>
              <w:t>7.2</w:t>
            </w:r>
          </w:p>
        </w:tc>
        <w:tc>
          <w:tcPr>
            <w:tcW w:w="664" w:type="dxa"/>
            <w:vAlign w:val="top"/>
          </w:tcPr>
          <w:p>
            <w:pPr>
              <w:pStyle w:val="TableText"/>
              <w:ind w:left="219"/>
              <w:spacing w:before="53" w:line="172" w:lineRule="auto"/>
              <w:rPr>
                <w:sz w:val="21"/>
                <w:szCs w:val="21"/>
              </w:rPr>
            </w:pPr>
            <w:r>
              <w:rPr>
                <w:sz w:val="21"/>
                <w:szCs w:val="21"/>
                <w:spacing w:val="-4"/>
              </w:rPr>
              <w:t>72</w:t>
            </w:r>
          </w:p>
        </w:tc>
      </w:tr>
      <w:tr>
        <w:trPr>
          <w:trHeight w:val="280"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ind w:left="332"/>
              <w:spacing w:before="44" w:line="198" w:lineRule="auto"/>
              <w:rPr>
                <w:sz w:val="21"/>
                <w:szCs w:val="21"/>
              </w:rPr>
            </w:pPr>
            <w:r>
              <w:rPr>
                <w:sz w:val="21"/>
                <w:szCs w:val="21"/>
                <w:spacing w:val="2"/>
              </w:rPr>
              <w:t>四氯化碳</w:t>
            </w:r>
          </w:p>
        </w:tc>
        <w:tc>
          <w:tcPr>
            <w:tcW w:w="709" w:type="dxa"/>
            <w:vAlign w:val="top"/>
          </w:tcPr>
          <w:p>
            <w:pPr>
              <w:pStyle w:val="TableText"/>
              <w:ind w:left="184"/>
              <w:spacing w:before="65" w:line="180" w:lineRule="auto"/>
              <w:rPr>
                <w:sz w:val="21"/>
                <w:szCs w:val="21"/>
              </w:rPr>
            </w:pPr>
            <w:r>
              <w:rPr>
                <w:sz w:val="21"/>
                <w:szCs w:val="21"/>
                <w:spacing w:val="-3"/>
              </w:rPr>
              <w:t>0.9</w:t>
            </w:r>
          </w:p>
        </w:tc>
        <w:tc>
          <w:tcPr>
            <w:tcW w:w="719" w:type="dxa"/>
            <w:vAlign w:val="top"/>
          </w:tcPr>
          <w:p>
            <w:pPr>
              <w:pStyle w:val="TableText"/>
              <w:ind w:left="295"/>
              <w:spacing w:before="65" w:line="180" w:lineRule="auto"/>
              <w:rPr>
                <w:sz w:val="21"/>
                <w:szCs w:val="21"/>
              </w:rPr>
            </w:pPr>
            <w:r>
              <w:rPr>
                <w:sz w:val="21"/>
                <w:szCs w:val="21"/>
              </w:rPr>
              <w:t>9</w:t>
            </w:r>
          </w:p>
        </w:tc>
        <w:tc>
          <w:tcPr>
            <w:tcW w:w="1738" w:type="dxa"/>
            <w:vAlign w:val="top"/>
          </w:tcPr>
          <w:p>
            <w:pPr>
              <w:pStyle w:val="TableText"/>
              <w:ind w:left="546"/>
              <w:spacing w:before="42" w:line="200" w:lineRule="auto"/>
              <w:rPr>
                <w:sz w:val="21"/>
                <w:szCs w:val="21"/>
              </w:rPr>
            </w:pPr>
            <w:r>
              <w:rPr>
                <w:sz w:val="21"/>
                <w:szCs w:val="21"/>
                <w:spacing w:val="3"/>
              </w:rPr>
              <w:t>苯乙烯</w:t>
            </w:r>
          </w:p>
        </w:tc>
        <w:tc>
          <w:tcPr>
            <w:tcW w:w="709" w:type="dxa"/>
            <w:vAlign w:val="top"/>
          </w:tcPr>
          <w:p>
            <w:pPr>
              <w:pStyle w:val="TableText"/>
              <w:ind w:left="138"/>
              <w:spacing w:before="65" w:line="180" w:lineRule="auto"/>
              <w:rPr>
                <w:sz w:val="21"/>
                <w:szCs w:val="21"/>
              </w:rPr>
            </w:pPr>
            <w:r>
              <w:rPr>
                <w:sz w:val="21"/>
                <w:szCs w:val="21"/>
                <w:spacing w:val="-5"/>
              </w:rPr>
              <w:t>1290</w:t>
            </w:r>
          </w:p>
        </w:tc>
        <w:tc>
          <w:tcPr>
            <w:tcW w:w="664" w:type="dxa"/>
            <w:vAlign w:val="top"/>
          </w:tcPr>
          <w:p>
            <w:pPr>
              <w:pStyle w:val="TableText"/>
              <w:ind w:left="119"/>
              <w:spacing w:before="65" w:line="180" w:lineRule="auto"/>
              <w:rPr>
                <w:sz w:val="21"/>
                <w:szCs w:val="21"/>
              </w:rPr>
            </w:pPr>
            <w:r>
              <w:rPr>
                <w:sz w:val="21"/>
                <w:szCs w:val="21"/>
                <w:spacing w:val="-5"/>
              </w:rPr>
              <w:t>1290</w:t>
            </w:r>
          </w:p>
        </w:tc>
      </w:tr>
      <w:tr>
        <w:trPr>
          <w:trHeight w:val="270"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ind w:left="542"/>
              <w:spacing w:before="34" w:line="198" w:lineRule="auto"/>
              <w:rPr>
                <w:sz w:val="21"/>
                <w:szCs w:val="21"/>
              </w:rPr>
            </w:pPr>
            <w:r>
              <w:rPr>
                <w:sz w:val="21"/>
                <w:szCs w:val="21"/>
                <w:spacing w:val="5"/>
              </w:rPr>
              <w:t>氯仿</w:t>
            </w:r>
          </w:p>
        </w:tc>
        <w:tc>
          <w:tcPr>
            <w:tcW w:w="709" w:type="dxa"/>
            <w:vAlign w:val="top"/>
          </w:tcPr>
          <w:p>
            <w:pPr>
              <w:pStyle w:val="TableText"/>
              <w:ind w:left="184"/>
              <w:spacing w:before="54" w:line="181" w:lineRule="auto"/>
              <w:rPr>
                <w:sz w:val="21"/>
                <w:szCs w:val="21"/>
              </w:rPr>
            </w:pPr>
            <w:r>
              <w:rPr>
                <w:sz w:val="21"/>
                <w:szCs w:val="21"/>
                <w:spacing w:val="-3"/>
              </w:rPr>
              <w:t>0.3</w:t>
            </w:r>
          </w:p>
        </w:tc>
        <w:tc>
          <w:tcPr>
            <w:tcW w:w="719" w:type="dxa"/>
            <w:vAlign w:val="top"/>
          </w:tcPr>
          <w:p>
            <w:pPr>
              <w:pStyle w:val="TableText"/>
              <w:ind w:left="295"/>
              <w:spacing w:before="54" w:line="181" w:lineRule="auto"/>
              <w:rPr>
                <w:sz w:val="21"/>
                <w:szCs w:val="21"/>
              </w:rPr>
            </w:pPr>
            <w:r>
              <w:rPr>
                <w:sz w:val="21"/>
                <w:szCs w:val="21"/>
              </w:rPr>
              <w:t>5</w:t>
            </w:r>
          </w:p>
        </w:tc>
        <w:tc>
          <w:tcPr>
            <w:tcW w:w="1738" w:type="dxa"/>
            <w:vAlign w:val="top"/>
          </w:tcPr>
          <w:p>
            <w:pPr>
              <w:pStyle w:val="TableText"/>
              <w:ind w:left="656"/>
              <w:spacing w:before="32" w:line="200" w:lineRule="auto"/>
              <w:rPr>
                <w:sz w:val="21"/>
                <w:szCs w:val="21"/>
              </w:rPr>
            </w:pPr>
            <w:r>
              <w:rPr>
                <w:sz w:val="21"/>
                <w:szCs w:val="21"/>
                <w:spacing w:val="4"/>
              </w:rPr>
              <w:t>甲苯</w:t>
            </w:r>
          </w:p>
        </w:tc>
        <w:tc>
          <w:tcPr>
            <w:tcW w:w="709" w:type="dxa"/>
            <w:vAlign w:val="top"/>
          </w:tcPr>
          <w:p>
            <w:pPr>
              <w:pStyle w:val="TableText"/>
              <w:ind w:left="138"/>
              <w:spacing w:before="54" w:line="181" w:lineRule="auto"/>
              <w:rPr>
                <w:sz w:val="21"/>
                <w:szCs w:val="21"/>
              </w:rPr>
            </w:pPr>
            <w:r>
              <w:rPr>
                <w:sz w:val="21"/>
                <w:szCs w:val="21"/>
                <w:spacing w:val="-5"/>
              </w:rPr>
              <w:t>1200</w:t>
            </w:r>
          </w:p>
        </w:tc>
        <w:tc>
          <w:tcPr>
            <w:tcW w:w="664" w:type="dxa"/>
            <w:vAlign w:val="top"/>
          </w:tcPr>
          <w:p>
            <w:pPr>
              <w:pStyle w:val="TableText"/>
              <w:ind w:left="119"/>
              <w:spacing w:before="54" w:line="181" w:lineRule="auto"/>
              <w:rPr>
                <w:sz w:val="21"/>
                <w:szCs w:val="21"/>
              </w:rPr>
            </w:pPr>
            <w:r>
              <w:rPr>
                <w:sz w:val="21"/>
                <w:szCs w:val="21"/>
                <w:spacing w:val="-5"/>
              </w:rPr>
              <w:t>1200</w:t>
            </w:r>
          </w:p>
        </w:tc>
      </w:tr>
      <w:tr>
        <w:trPr>
          <w:trHeight w:val="280"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ind w:left="442"/>
              <w:spacing w:before="43" w:line="199" w:lineRule="auto"/>
              <w:rPr>
                <w:sz w:val="21"/>
                <w:szCs w:val="21"/>
              </w:rPr>
            </w:pPr>
            <w:r>
              <w:rPr>
                <w:sz w:val="21"/>
                <w:szCs w:val="21"/>
                <w:color w:val="606060"/>
                <w:spacing w:val="3"/>
              </w:rPr>
              <w:t>氯甲烷</w:t>
            </w:r>
          </w:p>
        </w:tc>
        <w:tc>
          <w:tcPr>
            <w:tcW w:w="709" w:type="dxa"/>
            <w:vAlign w:val="top"/>
          </w:tcPr>
          <w:p>
            <w:pPr>
              <w:pStyle w:val="TableText"/>
              <w:ind w:left="243"/>
              <w:spacing w:before="64" w:line="181" w:lineRule="auto"/>
              <w:rPr>
                <w:sz w:val="21"/>
                <w:szCs w:val="21"/>
              </w:rPr>
            </w:pPr>
            <w:r>
              <w:rPr>
                <w:sz w:val="21"/>
                <w:szCs w:val="21"/>
                <w:spacing w:val="-6"/>
              </w:rPr>
              <w:t>12</w:t>
            </w:r>
          </w:p>
        </w:tc>
        <w:tc>
          <w:tcPr>
            <w:tcW w:w="719" w:type="dxa"/>
            <w:vAlign w:val="top"/>
          </w:tcPr>
          <w:p>
            <w:pPr>
              <w:pStyle w:val="TableText"/>
              <w:ind w:left="245"/>
              <w:spacing w:before="64" w:line="181" w:lineRule="auto"/>
              <w:rPr>
                <w:sz w:val="21"/>
                <w:szCs w:val="21"/>
              </w:rPr>
            </w:pPr>
            <w:r>
              <w:rPr>
                <w:sz w:val="21"/>
                <w:szCs w:val="21"/>
                <w:spacing w:val="-3"/>
              </w:rPr>
              <w:t>21</w:t>
            </w:r>
          </w:p>
        </w:tc>
        <w:tc>
          <w:tcPr>
            <w:tcW w:w="1738" w:type="dxa"/>
            <w:vAlign w:val="top"/>
          </w:tcPr>
          <w:p>
            <w:pPr>
              <w:pStyle w:val="TableText"/>
              <w:spacing w:before="42" w:line="200" w:lineRule="auto"/>
              <w:jc w:val="right"/>
              <w:rPr>
                <w:sz w:val="21"/>
                <w:szCs w:val="21"/>
              </w:rPr>
            </w:pPr>
            <w:r>
              <w:rPr>
                <w:sz w:val="21"/>
                <w:szCs w:val="21"/>
                <w:spacing w:val="-9"/>
              </w:rPr>
              <w:t>间二甲苯+对二甲苯</w:t>
            </w:r>
          </w:p>
        </w:tc>
        <w:tc>
          <w:tcPr>
            <w:tcW w:w="709" w:type="dxa"/>
            <w:vAlign w:val="top"/>
          </w:tcPr>
          <w:p>
            <w:pPr>
              <w:pStyle w:val="TableText"/>
              <w:ind w:left="188"/>
              <w:spacing w:before="64" w:line="181" w:lineRule="auto"/>
              <w:rPr>
                <w:sz w:val="21"/>
                <w:szCs w:val="21"/>
              </w:rPr>
            </w:pPr>
            <w:r>
              <w:rPr>
                <w:sz w:val="21"/>
                <w:szCs w:val="21"/>
                <w:spacing w:val="-6"/>
              </w:rPr>
              <w:t>163</w:t>
            </w:r>
          </w:p>
        </w:tc>
        <w:tc>
          <w:tcPr>
            <w:tcW w:w="664" w:type="dxa"/>
            <w:vAlign w:val="top"/>
          </w:tcPr>
          <w:p>
            <w:pPr>
              <w:pStyle w:val="TableText"/>
              <w:ind w:left="168"/>
              <w:spacing w:before="64" w:line="181" w:lineRule="auto"/>
              <w:rPr>
                <w:sz w:val="21"/>
                <w:szCs w:val="21"/>
              </w:rPr>
            </w:pPr>
            <w:r>
              <w:rPr>
                <w:sz w:val="21"/>
                <w:szCs w:val="21"/>
                <w:spacing w:val="-3"/>
              </w:rPr>
              <w:t>500</w:t>
            </w:r>
          </w:p>
        </w:tc>
      </w:tr>
      <w:tr>
        <w:trPr>
          <w:trHeight w:val="259"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ind w:left="122"/>
              <w:spacing w:before="30" w:line="192" w:lineRule="auto"/>
              <w:rPr>
                <w:sz w:val="21"/>
                <w:szCs w:val="21"/>
              </w:rPr>
            </w:pPr>
            <w:r>
              <w:rPr>
                <w:sz w:val="21"/>
                <w:szCs w:val="21"/>
                <w:spacing w:val="1"/>
              </w:rPr>
              <w:t>1,1-二氯乙烷</w:t>
            </w:r>
          </w:p>
        </w:tc>
        <w:tc>
          <w:tcPr>
            <w:tcW w:w="709" w:type="dxa"/>
            <w:vAlign w:val="top"/>
          </w:tcPr>
          <w:p>
            <w:pPr>
              <w:pStyle w:val="TableText"/>
              <w:ind w:left="294"/>
              <w:spacing w:before="54" w:line="171" w:lineRule="auto"/>
              <w:rPr>
                <w:sz w:val="21"/>
                <w:szCs w:val="21"/>
              </w:rPr>
            </w:pPr>
            <w:r>
              <w:rPr>
                <w:sz w:val="21"/>
                <w:szCs w:val="21"/>
              </w:rPr>
              <w:t>3</w:t>
            </w:r>
          </w:p>
        </w:tc>
        <w:tc>
          <w:tcPr>
            <w:tcW w:w="719" w:type="dxa"/>
            <w:vAlign w:val="top"/>
          </w:tcPr>
          <w:p>
            <w:pPr>
              <w:pStyle w:val="TableText"/>
              <w:ind w:left="245"/>
              <w:spacing w:before="54" w:line="171" w:lineRule="auto"/>
              <w:rPr>
                <w:sz w:val="21"/>
                <w:szCs w:val="21"/>
              </w:rPr>
            </w:pPr>
            <w:r>
              <w:rPr>
                <w:sz w:val="21"/>
                <w:szCs w:val="21"/>
                <w:spacing w:val="-3"/>
              </w:rPr>
              <w:t>20</w:t>
            </w:r>
          </w:p>
        </w:tc>
        <w:tc>
          <w:tcPr>
            <w:tcW w:w="1738" w:type="dxa"/>
            <w:vAlign w:val="top"/>
          </w:tcPr>
          <w:p>
            <w:pPr>
              <w:pStyle w:val="TableText"/>
              <w:ind w:left="445"/>
              <w:spacing w:before="32" w:line="190" w:lineRule="auto"/>
              <w:rPr>
                <w:sz w:val="21"/>
                <w:szCs w:val="21"/>
              </w:rPr>
            </w:pPr>
            <w:r>
              <w:rPr>
                <w:sz w:val="21"/>
                <w:szCs w:val="21"/>
                <w:color w:val="506060"/>
                <w:spacing w:val="-2"/>
              </w:rPr>
              <w:t>邻二甲苯</w:t>
            </w:r>
          </w:p>
        </w:tc>
        <w:tc>
          <w:tcPr>
            <w:tcW w:w="709" w:type="dxa"/>
            <w:vAlign w:val="top"/>
          </w:tcPr>
          <w:p>
            <w:pPr>
              <w:pStyle w:val="TableText"/>
              <w:ind w:left="188"/>
              <w:spacing w:before="54" w:line="171" w:lineRule="auto"/>
              <w:rPr>
                <w:sz w:val="21"/>
                <w:szCs w:val="21"/>
              </w:rPr>
            </w:pPr>
            <w:r>
              <w:rPr>
                <w:sz w:val="21"/>
                <w:szCs w:val="21"/>
                <w:spacing w:val="-3"/>
              </w:rPr>
              <w:t>222</w:t>
            </w:r>
          </w:p>
        </w:tc>
        <w:tc>
          <w:tcPr>
            <w:tcW w:w="664" w:type="dxa"/>
            <w:vAlign w:val="top"/>
          </w:tcPr>
          <w:p>
            <w:pPr>
              <w:pStyle w:val="TableText"/>
              <w:ind w:left="168"/>
              <w:spacing w:before="54" w:line="171" w:lineRule="auto"/>
              <w:rPr>
                <w:sz w:val="21"/>
                <w:szCs w:val="21"/>
              </w:rPr>
            </w:pPr>
            <w:r>
              <w:rPr>
                <w:sz w:val="21"/>
                <w:szCs w:val="21"/>
                <w:spacing w:val="-3"/>
              </w:rPr>
              <w:t>640</w:t>
            </w:r>
          </w:p>
        </w:tc>
      </w:tr>
      <w:tr>
        <w:trPr>
          <w:trHeight w:val="279"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ind w:left="122"/>
              <w:spacing w:before="41" w:line="200" w:lineRule="auto"/>
              <w:rPr>
                <w:sz w:val="21"/>
                <w:szCs w:val="21"/>
              </w:rPr>
            </w:pPr>
            <w:r>
              <w:rPr>
                <w:sz w:val="21"/>
                <w:szCs w:val="21"/>
                <w:spacing w:val="1"/>
              </w:rPr>
              <w:t>1,2-二氯乙烷</w:t>
            </w:r>
          </w:p>
        </w:tc>
        <w:tc>
          <w:tcPr>
            <w:tcW w:w="709" w:type="dxa"/>
            <w:vAlign w:val="top"/>
          </w:tcPr>
          <w:p>
            <w:pPr>
              <w:pStyle w:val="TableText"/>
              <w:ind w:left="134"/>
              <w:spacing w:before="65" w:line="179" w:lineRule="auto"/>
              <w:rPr>
                <w:sz w:val="21"/>
                <w:szCs w:val="21"/>
              </w:rPr>
            </w:pPr>
            <w:r>
              <w:rPr>
                <w:sz w:val="21"/>
                <w:szCs w:val="21"/>
                <w:spacing w:val="-2"/>
              </w:rPr>
              <w:t>0.52</w:t>
            </w:r>
          </w:p>
        </w:tc>
        <w:tc>
          <w:tcPr>
            <w:tcW w:w="719" w:type="dxa"/>
            <w:vAlign w:val="top"/>
          </w:tcPr>
          <w:p>
            <w:pPr>
              <w:pStyle w:val="TableText"/>
              <w:ind w:left="295"/>
              <w:spacing w:before="65" w:line="179" w:lineRule="auto"/>
              <w:rPr>
                <w:sz w:val="21"/>
                <w:szCs w:val="21"/>
              </w:rPr>
            </w:pPr>
            <w:r>
              <w:rPr>
                <w:sz w:val="21"/>
                <w:szCs w:val="21"/>
              </w:rPr>
              <w:t>6</w:t>
            </w:r>
          </w:p>
        </w:tc>
        <w:tc>
          <w:tcPr>
            <w:tcW w:w="1738" w:type="dxa"/>
            <w:vAlign w:val="top"/>
          </w:tcPr>
          <w:p>
            <w:pPr>
              <w:pStyle w:val="TableText"/>
              <w:ind w:left="546"/>
              <w:spacing w:before="43" w:line="198" w:lineRule="auto"/>
              <w:rPr>
                <w:sz w:val="21"/>
                <w:szCs w:val="21"/>
              </w:rPr>
            </w:pPr>
            <w:r>
              <w:rPr>
                <w:sz w:val="21"/>
                <w:szCs w:val="21"/>
                <w:spacing w:val="-3"/>
              </w:rPr>
              <w:t>硝基苯</w:t>
            </w:r>
          </w:p>
        </w:tc>
        <w:tc>
          <w:tcPr>
            <w:tcW w:w="709" w:type="dxa"/>
            <w:vAlign w:val="top"/>
          </w:tcPr>
          <w:p>
            <w:pPr>
              <w:pStyle w:val="TableText"/>
              <w:ind w:left="248"/>
              <w:spacing w:before="65" w:line="179" w:lineRule="auto"/>
              <w:rPr>
                <w:sz w:val="21"/>
                <w:szCs w:val="21"/>
              </w:rPr>
            </w:pPr>
            <w:r>
              <w:rPr>
                <w:sz w:val="21"/>
                <w:szCs w:val="21"/>
                <w:spacing w:val="-4"/>
              </w:rPr>
              <w:t>34</w:t>
            </w:r>
          </w:p>
        </w:tc>
        <w:tc>
          <w:tcPr>
            <w:tcW w:w="664" w:type="dxa"/>
            <w:vAlign w:val="top"/>
          </w:tcPr>
          <w:p>
            <w:pPr>
              <w:pStyle w:val="TableText"/>
              <w:ind w:left="168"/>
              <w:spacing w:before="65" w:line="179" w:lineRule="auto"/>
              <w:rPr>
                <w:sz w:val="21"/>
                <w:szCs w:val="21"/>
              </w:rPr>
            </w:pPr>
            <w:r>
              <w:rPr>
                <w:sz w:val="21"/>
                <w:szCs w:val="21"/>
                <w:spacing w:val="-6"/>
              </w:rPr>
              <w:t>190</w:t>
            </w:r>
          </w:p>
        </w:tc>
      </w:tr>
      <w:tr>
        <w:trPr>
          <w:trHeight w:val="280"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ind w:left="122"/>
              <w:spacing w:before="42" w:line="200" w:lineRule="auto"/>
              <w:rPr>
                <w:sz w:val="21"/>
                <w:szCs w:val="21"/>
              </w:rPr>
            </w:pPr>
            <w:r>
              <w:rPr>
                <w:sz w:val="21"/>
                <w:szCs w:val="21"/>
                <w:spacing w:val="1"/>
              </w:rPr>
              <w:t>1,1-二氯乙烯</w:t>
            </w:r>
          </w:p>
        </w:tc>
        <w:tc>
          <w:tcPr>
            <w:tcW w:w="709" w:type="dxa"/>
            <w:vAlign w:val="top"/>
          </w:tcPr>
          <w:p>
            <w:pPr>
              <w:pStyle w:val="TableText"/>
              <w:ind w:left="243"/>
              <w:spacing w:before="66" w:line="179" w:lineRule="auto"/>
              <w:rPr>
                <w:sz w:val="21"/>
                <w:szCs w:val="21"/>
              </w:rPr>
            </w:pPr>
            <w:r>
              <w:rPr>
                <w:sz w:val="21"/>
                <w:szCs w:val="21"/>
                <w:spacing w:val="-6"/>
              </w:rPr>
              <w:t>12</w:t>
            </w:r>
          </w:p>
        </w:tc>
        <w:tc>
          <w:tcPr>
            <w:tcW w:w="719" w:type="dxa"/>
            <w:vAlign w:val="top"/>
          </w:tcPr>
          <w:p>
            <w:pPr>
              <w:pStyle w:val="TableText"/>
              <w:ind w:left="245"/>
              <w:spacing w:before="66" w:line="179" w:lineRule="auto"/>
              <w:rPr>
                <w:sz w:val="21"/>
                <w:szCs w:val="21"/>
              </w:rPr>
            </w:pPr>
            <w:r>
              <w:rPr>
                <w:sz w:val="21"/>
                <w:szCs w:val="21"/>
                <w:spacing w:val="-2"/>
              </w:rPr>
              <w:t>40</w:t>
            </w:r>
          </w:p>
        </w:tc>
        <w:tc>
          <w:tcPr>
            <w:tcW w:w="1738" w:type="dxa"/>
            <w:vAlign w:val="top"/>
          </w:tcPr>
          <w:p>
            <w:pPr>
              <w:pStyle w:val="TableText"/>
              <w:ind w:left="656"/>
              <w:spacing w:before="44" w:line="198" w:lineRule="auto"/>
              <w:rPr>
                <w:sz w:val="21"/>
                <w:szCs w:val="21"/>
              </w:rPr>
            </w:pPr>
            <w:r>
              <w:rPr>
                <w:sz w:val="21"/>
                <w:szCs w:val="21"/>
                <w:spacing w:val="4"/>
              </w:rPr>
              <w:t>苯胺</w:t>
            </w:r>
          </w:p>
        </w:tc>
        <w:tc>
          <w:tcPr>
            <w:tcW w:w="709" w:type="dxa"/>
            <w:vAlign w:val="top"/>
          </w:tcPr>
          <w:p>
            <w:pPr>
              <w:pStyle w:val="TableText"/>
              <w:ind w:left="248"/>
              <w:spacing w:before="66" w:line="179" w:lineRule="auto"/>
              <w:rPr>
                <w:sz w:val="21"/>
                <w:szCs w:val="21"/>
              </w:rPr>
            </w:pPr>
            <w:r>
              <w:rPr>
                <w:sz w:val="21"/>
                <w:szCs w:val="21"/>
                <w:spacing w:val="-3"/>
              </w:rPr>
              <w:t>92</w:t>
            </w:r>
          </w:p>
        </w:tc>
        <w:tc>
          <w:tcPr>
            <w:tcW w:w="664" w:type="dxa"/>
            <w:vAlign w:val="top"/>
          </w:tcPr>
          <w:p>
            <w:pPr>
              <w:pStyle w:val="TableText"/>
              <w:ind w:left="168"/>
              <w:spacing w:before="66" w:line="179" w:lineRule="auto"/>
              <w:rPr>
                <w:sz w:val="21"/>
                <w:szCs w:val="21"/>
              </w:rPr>
            </w:pPr>
            <w:r>
              <w:rPr>
                <w:sz w:val="21"/>
                <w:szCs w:val="21"/>
                <w:spacing w:val="-3"/>
              </w:rPr>
              <w:t>211</w:t>
            </w:r>
          </w:p>
        </w:tc>
      </w:tr>
      <w:tr>
        <w:trPr>
          <w:trHeight w:val="260"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spacing w:before="32" w:line="191" w:lineRule="auto"/>
              <w:jc w:val="right"/>
              <w:rPr>
                <w:sz w:val="21"/>
                <w:szCs w:val="21"/>
              </w:rPr>
            </w:pPr>
            <w:r>
              <w:rPr>
                <w:sz w:val="21"/>
                <w:szCs w:val="21"/>
                <w:spacing w:val="-7"/>
              </w:rPr>
              <w:t>顺-1,2-二氯乙烯</w:t>
            </w:r>
          </w:p>
        </w:tc>
        <w:tc>
          <w:tcPr>
            <w:tcW w:w="709" w:type="dxa"/>
            <w:vAlign w:val="top"/>
          </w:tcPr>
          <w:p>
            <w:pPr>
              <w:pStyle w:val="TableText"/>
              <w:ind w:left="243"/>
              <w:spacing w:before="56" w:line="170" w:lineRule="auto"/>
              <w:rPr>
                <w:sz w:val="21"/>
                <w:szCs w:val="21"/>
              </w:rPr>
            </w:pPr>
            <w:r>
              <w:rPr>
                <w:sz w:val="21"/>
                <w:szCs w:val="21"/>
                <w:spacing w:val="-3"/>
              </w:rPr>
              <w:t>66</w:t>
            </w:r>
          </w:p>
        </w:tc>
        <w:tc>
          <w:tcPr>
            <w:tcW w:w="719" w:type="dxa"/>
            <w:vAlign w:val="top"/>
          </w:tcPr>
          <w:p>
            <w:pPr>
              <w:pStyle w:val="TableText"/>
              <w:ind w:left="195"/>
              <w:spacing w:before="56" w:line="170" w:lineRule="auto"/>
              <w:rPr>
                <w:sz w:val="21"/>
                <w:szCs w:val="21"/>
              </w:rPr>
            </w:pPr>
            <w:r>
              <w:rPr>
                <w:sz w:val="21"/>
                <w:szCs w:val="21"/>
                <w:spacing w:val="-3"/>
              </w:rPr>
              <w:t>200</w:t>
            </w:r>
          </w:p>
        </w:tc>
        <w:tc>
          <w:tcPr>
            <w:tcW w:w="1738" w:type="dxa"/>
            <w:vAlign w:val="top"/>
          </w:tcPr>
          <w:p>
            <w:pPr>
              <w:pStyle w:val="TableText"/>
              <w:ind w:left="546"/>
              <w:spacing w:before="37" w:line="187" w:lineRule="auto"/>
              <w:rPr>
                <w:sz w:val="21"/>
                <w:szCs w:val="21"/>
              </w:rPr>
            </w:pPr>
            <w:r>
              <w:rPr>
                <w:sz w:val="21"/>
                <w:szCs w:val="21"/>
                <w:color w:val="404040"/>
                <w:spacing w:val="-3"/>
              </w:rPr>
              <w:t>2-氯酚</w:t>
            </w:r>
          </w:p>
        </w:tc>
        <w:tc>
          <w:tcPr>
            <w:tcW w:w="709" w:type="dxa"/>
            <w:vAlign w:val="top"/>
          </w:tcPr>
          <w:p>
            <w:pPr>
              <w:pStyle w:val="TableText"/>
              <w:ind w:left="188"/>
              <w:spacing w:before="56" w:line="170" w:lineRule="auto"/>
              <w:rPr>
                <w:sz w:val="21"/>
                <w:szCs w:val="21"/>
              </w:rPr>
            </w:pPr>
            <w:r>
              <w:rPr>
                <w:sz w:val="21"/>
                <w:szCs w:val="21"/>
                <w:spacing w:val="-3"/>
              </w:rPr>
              <w:t>250</w:t>
            </w:r>
          </w:p>
        </w:tc>
        <w:tc>
          <w:tcPr>
            <w:tcW w:w="664" w:type="dxa"/>
            <w:vAlign w:val="top"/>
          </w:tcPr>
          <w:p>
            <w:pPr>
              <w:pStyle w:val="TableText"/>
              <w:ind w:left="168"/>
              <w:spacing w:before="56" w:line="170" w:lineRule="auto"/>
              <w:rPr>
                <w:sz w:val="21"/>
                <w:szCs w:val="21"/>
              </w:rPr>
            </w:pPr>
            <w:r>
              <w:rPr>
                <w:sz w:val="21"/>
                <w:szCs w:val="21"/>
                <w:spacing w:val="-3"/>
              </w:rPr>
              <w:t>500</w:t>
            </w:r>
          </w:p>
        </w:tc>
      </w:tr>
      <w:tr>
        <w:trPr>
          <w:trHeight w:val="280"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spacing w:before="42" w:line="200" w:lineRule="auto"/>
              <w:jc w:val="right"/>
              <w:rPr>
                <w:sz w:val="21"/>
                <w:szCs w:val="21"/>
              </w:rPr>
            </w:pPr>
            <w:r>
              <w:rPr>
                <w:sz w:val="21"/>
                <w:szCs w:val="21"/>
                <w:spacing w:val="-7"/>
              </w:rPr>
              <w:t>反-1,2-二氯乙烯</w:t>
            </w:r>
          </w:p>
        </w:tc>
        <w:tc>
          <w:tcPr>
            <w:tcW w:w="709" w:type="dxa"/>
            <w:vAlign w:val="top"/>
          </w:tcPr>
          <w:p>
            <w:pPr>
              <w:pStyle w:val="TableText"/>
              <w:ind w:left="243"/>
              <w:spacing w:before="66" w:line="179" w:lineRule="auto"/>
              <w:rPr>
                <w:sz w:val="21"/>
                <w:szCs w:val="21"/>
              </w:rPr>
            </w:pPr>
            <w:r>
              <w:rPr>
                <w:sz w:val="21"/>
                <w:szCs w:val="21"/>
                <w:spacing w:val="-6"/>
              </w:rPr>
              <w:t>10</w:t>
            </w:r>
          </w:p>
        </w:tc>
        <w:tc>
          <w:tcPr>
            <w:tcW w:w="719" w:type="dxa"/>
            <w:vAlign w:val="top"/>
          </w:tcPr>
          <w:p>
            <w:pPr>
              <w:pStyle w:val="TableText"/>
              <w:ind w:left="245"/>
              <w:spacing w:before="66" w:line="179" w:lineRule="auto"/>
              <w:rPr>
                <w:sz w:val="21"/>
                <w:szCs w:val="21"/>
              </w:rPr>
            </w:pPr>
            <w:r>
              <w:rPr>
                <w:sz w:val="21"/>
                <w:szCs w:val="21"/>
                <w:spacing w:val="-4"/>
              </w:rPr>
              <w:t>31</w:t>
            </w:r>
          </w:p>
        </w:tc>
        <w:tc>
          <w:tcPr>
            <w:tcW w:w="1738" w:type="dxa"/>
            <w:vAlign w:val="top"/>
          </w:tcPr>
          <w:p>
            <w:pPr>
              <w:pStyle w:val="TableText"/>
              <w:ind w:left="386"/>
              <w:spacing w:before="44" w:line="198" w:lineRule="auto"/>
              <w:rPr>
                <w:sz w:val="21"/>
                <w:szCs w:val="21"/>
              </w:rPr>
            </w:pPr>
            <w:r>
              <w:rPr>
                <w:sz w:val="21"/>
                <w:szCs w:val="21"/>
                <w:spacing w:val="3"/>
              </w:rPr>
              <w:t>苯并[a]蒽</w:t>
            </w:r>
          </w:p>
        </w:tc>
        <w:tc>
          <w:tcPr>
            <w:tcW w:w="709" w:type="dxa"/>
            <w:vAlign w:val="top"/>
          </w:tcPr>
          <w:p>
            <w:pPr>
              <w:pStyle w:val="TableText"/>
              <w:ind w:left="188"/>
              <w:spacing w:before="66" w:line="179" w:lineRule="auto"/>
              <w:rPr>
                <w:sz w:val="21"/>
                <w:szCs w:val="21"/>
              </w:rPr>
            </w:pPr>
            <w:r>
              <w:rPr>
                <w:sz w:val="21"/>
                <w:szCs w:val="21"/>
                <w:spacing w:val="-3"/>
              </w:rPr>
              <w:t>5.5</w:t>
            </w:r>
          </w:p>
        </w:tc>
        <w:tc>
          <w:tcPr>
            <w:tcW w:w="664" w:type="dxa"/>
            <w:vAlign w:val="top"/>
          </w:tcPr>
          <w:p>
            <w:pPr>
              <w:pStyle w:val="TableText"/>
              <w:ind w:left="219"/>
              <w:spacing w:before="66" w:line="179" w:lineRule="auto"/>
              <w:rPr>
                <w:sz w:val="21"/>
                <w:szCs w:val="21"/>
              </w:rPr>
            </w:pPr>
            <w:r>
              <w:rPr>
                <w:sz w:val="21"/>
                <w:szCs w:val="21"/>
                <w:spacing w:val="-4"/>
              </w:rPr>
              <w:t>55</w:t>
            </w:r>
          </w:p>
        </w:tc>
      </w:tr>
      <w:tr>
        <w:trPr>
          <w:trHeight w:val="269"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ind w:left="332"/>
              <w:spacing w:before="36" w:line="196" w:lineRule="auto"/>
              <w:rPr>
                <w:sz w:val="21"/>
                <w:szCs w:val="21"/>
              </w:rPr>
            </w:pPr>
            <w:r>
              <w:rPr>
                <w:sz w:val="21"/>
                <w:szCs w:val="21"/>
                <w:spacing w:val="2"/>
              </w:rPr>
              <w:t>二氯甲烷</w:t>
            </w:r>
          </w:p>
        </w:tc>
        <w:tc>
          <w:tcPr>
            <w:tcW w:w="709" w:type="dxa"/>
            <w:vAlign w:val="top"/>
          </w:tcPr>
          <w:p>
            <w:pPr>
              <w:pStyle w:val="TableText"/>
              <w:ind w:left="243"/>
              <w:spacing w:before="56" w:line="178" w:lineRule="auto"/>
              <w:rPr>
                <w:sz w:val="21"/>
                <w:szCs w:val="21"/>
              </w:rPr>
            </w:pPr>
            <w:r>
              <w:rPr>
                <w:sz w:val="21"/>
                <w:szCs w:val="21"/>
                <w:spacing w:val="-3"/>
              </w:rPr>
              <w:t>94</w:t>
            </w:r>
          </w:p>
        </w:tc>
        <w:tc>
          <w:tcPr>
            <w:tcW w:w="719" w:type="dxa"/>
            <w:vAlign w:val="top"/>
          </w:tcPr>
          <w:p>
            <w:pPr>
              <w:pStyle w:val="TableText"/>
              <w:ind w:left="195"/>
              <w:spacing w:before="56" w:line="178" w:lineRule="auto"/>
              <w:rPr>
                <w:sz w:val="21"/>
                <w:szCs w:val="21"/>
              </w:rPr>
            </w:pPr>
            <w:r>
              <w:rPr>
                <w:sz w:val="21"/>
                <w:szCs w:val="21"/>
                <w:spacing w:val="-3"/>
              </w:rPr>
              <w:t>300</w:t>
            </w:r>
          </w:p>
        </w:tc>
        <w:tc>
          <w:tcPr>
            <w:tcW w:w="1738" w:type="dxa"/>
            <w:vAlign w:val="top"/>
          </w:tcPr>
          <w:p>
            <w:pPr>
              <w:pStyle w:val="TableText"/>
              <w:ind w:left="386"/>
              <w:spacing w:before="34" w:line="197" w:lineRule="auto"/>
              <w:rPr>
                <w:sz w:val="21"/>
                <w:szCs w:val="21"/>
              </w:rPr>
            </w:pPr>
            <w:r>
              <w:rPr>
                <w:sz w:val="21"/>
                <w:szCs w:val="21"/>
                <w:spacing w:val="2"/>
              </w:rPr>
              <w:t>苯并[a]芘</w:t>
            </w:r>
          </w:p>
        </w:tc>
        <w:tc>
          <w:tcPr>
            <w:tcW w:w="709" w:type="dxa"/>
            <w:vAlign w:val="top"/>
          </w:tcPr>
          <w:p>
            <w:pPr>
              <w:pStyle w:val="TableText"/>
              <w:ind w:left="138"/>
              <w:spacing w:before="56" w:line="178" w:lineRule="auto"/>
              <w:rPr>
                <w:sz w:val="21"/>
                <w:szCs w:val="21"/>
              </w:rPr>
            </w:pPr>
            <w:r>
              <w:rPr>
                <w:sz w:val="21"/>
                <w:szCs w:val="21"/>
                <w:spacing w:val="-2"/>
              </w:rPr>
              <w:t>0.55</w:t>
            </w:r>
          </w:p>
        </w:tc>
        <w:tc>
          <w:tcPr>
            <w:tcW w:w="664" w:type="dxa"/>
            <w:vAlign w:val="top"/>
          </w:tcPr>
          <w:p>
            <w:pPr>
              <w:pStyle w:val="TableText"/>
              <w:ind w:left="168"/>
              <w:spacing w:before="56" w:line="178" w:lineRule="auto"/>
              <w:rPr>
                <w:sz w:val="21"/>
                <w:szCs w:val="21"/>
              </w:rPr>
            </w:pPr>
            <w:r>
              <w:rPr>
                <w:sz w:val="21"/>
                <w:szCs w:val="21"/>
                <w:spacing w:val="-3"/>
              </w:rPr>
              <w:t>5.5</w:t>
            </w:r>
          </w:p>
        </w:tc>
      </w:tr>
      <w:tr>
        <w:trPr>
          <w:trHeight w:val="280"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ind w:left="122"/>
              <w:spacing w:before="43" w:line="199" w:lineRule="auto"/>
              <w:rPr>
                <w:sz w:val="21"/>
                <w:szCs w:val="21"/>
              </w:rPr>
            </w:pPr>
            <w:r>
              <w:rPr>
                <w:sz w:val="21"/>
                <w:szCs w:val="21"/>
                <w:spacing w:val="1"/>
              </w:rPr>
              <w:t>1,2-二氯丙烷</w:t>
            </w:r>
          </w:p>
        </w:tc>
        <w:tc>
          <w:tcPr>
            <w:tcW w:w="709" w:type="dxa"/>
            <w:vAlign w:val="top"/>
            <w:textDirection w:val="tbRlV"/>
          </w:tcPr>
          <w:p>
            <w:pPr>
              <w:spacing w:line="246" w:lineRule="auto"/>
              <w:rPr>
                <w:rFonts w:ascii="Arial"/>
                <w:sz w:val="21"/>
              </w:rPr>
            </w:pPr>
            <w:r/>
          </w:p>
          <w:p>
            <w:pPr>
              <w:pStyle w:val="TableText"/>
              <w:ind w:left="1"/>
              <w:spacing w:before="70" w:line="126" w:lineRule="exact"/>
              <w:rPr>
                <w:sz w:val="21"/>
                <w:szCs w:val="21"/>
              </w:rPr>
            </w:pPr>
            <w:r>
              <w:rPr>
                <w:sz w:val="21"/>
                <w:szCs w:val="21"/>
                <w:color w:val="505050"/>
                <w:spacing w:val="50"/>
                <w:w w:val="125"/>
                <w:position w:val="-3"/>
              </w:rPr>
              <w:t>1</w:t>
            </w:r>
          </w:p>
        </w:tc>
        <w:tc>
          <w:tcPr>
            <w:tcW w:w="719" w:type="dxa"/>
            <w:vAlign w:val="top"/>
          </w:tcPr>
          <w:p>
            <w:pPr>
              <w:pStyle w:val="TableText"/>
              <w:ind w:left="295"/>
              <w:spacing w:before="67" w:line="178" w:lineRule="auto"/>
              <w:rPr>
                <w:sz w:val="21"/>
                <w:szCs w:val="21"/>
              </w:rPr>
            </w:pPr>
            <w:r>
              <w:rPr>
                <w:sz w:val="21"/>
                <w:szCs w:val="21"/>
              </w:rPr>
              <w:t>5</w:t>
            </w:r>
          </w:p>
        </w:tc>
        <w:tc>
          <w:tcPr>
            <w:tcW w:w="1738" w:type="dxa"/>
            <w:vAlign w:val="top"/>
          </w:tcPr>
          <w:p>
            <w:pPr>
              <w:pStyle w:val="TableText"/>
              <w:ind w:left="286"/>
              <w:spacing w:before="45" w:line="197" w:lineRule="auto"/>
              <w:rPr>
                <w:sz w:val="21"/>
                <w:szCs w:val="21"/>
              </w:rPr>
            </w:pPr>
            <w:r>
              <w:rPr>
                <w:sz w:val="21"/>
                <w:szCs w:val="21"/>
                <w:spacing w:val="1"/>
              </w:rPr>
              <w:t>苯并[b]荧蒽</w:t>
            </w:r>
          </w:p>
        </w:tc>
        <w:tc>
          <w:tcPr>
            <w:tcW w:w="709" w:type="dxa"/>
            <w:vAlign w:val="top"/>
          </w:tcPr>
          <w:p>
            <w:pPr>
              <w:pStyle w:val="TableText"/>
              <w:ind w:left="188"/>
              <w:spacing w:before="67" w:line="178" w:lineRule="auto"/>
              <w:rPr>
                <w:sz w:val="21"/>
                <w:szCs w:val="21"/>
              </w:rPr>
            </w:pPr>
            <w:r>
              <w:rPr>
                <w:sz w:val="21"/>
                <w:szCs w:val="21"/>
                <w:spacing w:val="-3"/>
              </w:rPr>
              <w:t>5.5</w:t>
            </w:r>
          </w:p>
        </w:tc>
        <w:tc>
          <w:tcPr>
            <w:tcW w:w="664" w:type="dxa"/>
            <w:vAlign w:val="top"/>
          </w:tcPr>
          <w:p>
            <w:pPr>
              <w:pStyle w:val="TableText"/>
              <w:ind w:left="219"/>
              <w:spacing w:before="67" w:line="178" w:lineRule="auto"/>
              <w:rPr>
                <w:sz w:val="21"/>
                <w:szCs w:val="21"/>
              </w:rPr>
            </w:pPr>
            <w:r>
              <w:rPr>
                <w:sz w:val="21"/>
                <w:szCs w:val="21"/>
                <w:spacing w:val="-4"/>
              </w:rPr>
              <w:t>55</w:t>
            </w:r>
          </w:p>
        </w:tc>
      </w:tr>
      <w:tr>
        <w:trPr>
          <w:trHeight w:val="259"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spacing w:before="32" w:line="190" w:lineRule="auto"/>
              <w:jc w:val="right"/>
              <w:rPr>
                <w:sz w:val="21"/>
                <w:szCs w:val="21"/>
              </w:rPr>
            </w:pPr>
            <w:r>
              <w:rPr>
                <w:sz w:val="21"/>
                <w:szCs w:val="21"/>
                <w:spacing w:val="-16"/>
              </w:rPr>
              <w:t>1,1,1</w:t>
            </w:r>
            <w:r>
              <w:rPr>
                <w:sz w:val="21"/>
                <w:szCs w:val="21"/>
                <w:spacing w:val="-15"/>
              </w:rPr>
              <w:t>,2-四氯乙</w:t>
            </w:r>
            <w:r>
              <w:rPr>
                <w:sz w:val="21"/>
                <w:szCs w:val="21"/>
                <w:spacing w:val="-10"/>
              </w:rPr>
              <w:t>烷</w:t>
            </w:r>
          </w:p>
        </w:tc>
        <w:tc>
          <w:tcPr>
            <w:tcW w:w="709" w:type="dxa"/>
            <w:vAlign w:val="top"/>
          </w:tcPr>
          <w:p>
            <w:pPr>
              <w:pStyle w:val="TableText"/>
              <w:ind w:left="184"/>
              <w:spacing w:before="57" w:line="168" w:lineRule="auto"/>
              <w:rPr>
                <w:sz w:val="21"/>
                <w:szCs w:val="21"/>
              </w:rPr>
            </w:pPr>
            <w:r>
              <w:rPr>
                <w:sz w:val="21"/>
                <w:szCs w:val="21"/>
                <w:spacing w:val="-3"/>
              </w:rPr>
              <w:t>2.6</w:t>
            </w:r>
          </w:p>
        </w:tc>
        <w:tc>
          <w:tcPr>
            <w:tcW w:w="719" w:type="dxa"/>
            <w:vAlign w:val="top"/>
          </w:tcPr>
          <w:p>
            <w:pPr>
              <w:pStyle w:val="TableText"/>
              <w:ind w:left="245"/>
              <w:spacing w:before="57" w:line="168" w:lineRule="auto"/>
              <w:rPr>
                <w:sz w:val="21"/>
                <w:szCs w:val="21"/>
              </w:rPr>
            </w:pPr>
            <w:r>
              <w:rPr>
                <w:sz w:val="21"/>
                <w:szCs w:val="21"/>
                <w:spacing w:val="-3"/>
              </w:rPr>
              <w:t>26</w:t>
            </w:r>
          </w:p>
        </w:tc>
        <w:tc>
          <w:tcPr>
            <w:tcW w:w="1738" w:type="dxa"/>
            <w:vAlign w:val="top"/>
          </w:tcPr>
          <w:p>
            <w:pPr>
              <w:pStyle w:val="TableText"/>
              <w:ind w:left="286"/>
              <w:spacing w:before="36" w:line="187" w:lineRule="auto"/>
              <w:rPr>
                <w:sz w:val="21"/>
                <w:szCs w:val="21"/>
              </w:rPr>
            </w:pPr>
            <w:r>
              <w:rPr>
                <w:sz w:val="21"/>
                <w:szCs w:val="21"/>
                <w:color w:val="182828"/>
                <w:spacing w:val="1"/>
              </w:rPr>
              <w:t>苯并[k]荧蒽</w:t>
            </w:r>
          </w:p>
        </w:tc>
        <w:tc>
          <w:tcPr>
            <w:tcW w:w="709" w:type="dxa"/>
            <w:vAlign w:val="top"/>
          </w:tcPr>
          <w:p>
            <w:pPr>
              <w:pStyle w:val="TableText"/>
              <w:ind w:left="248"/>
              <w:spacing w:before="57" w:line="168" w:lineRule="auto"/>
              <w:rPr>
                <w:sz w:val="21"/>
                <w:szCs w:val="21"/>
              </w:rPr>
            </w:pPr>
            <w:r>
              <w:rPr>
                <w:sz w:val="21"/>
                <w:szCs w:val="21"/>
                <w:spacing w:val="-4"/>
              </w:rPr>
              <w:t>55</w:t>
            </w:r>
          </w:p>
        </w:tc>
        <w:tc>
          <w:tcPr>
            <w:tcW w:w="664" w:type="dxa"/>
            <w:vAlign w:val="top"/>
          </w:tcPr>
          <w:p>
            <w:pPr>
              <w:pStyle w:val="TableText"/>
              <w:ind w:left="168"/>
              <w:spacing w:before="57" w:line="168" w:lineRule="auto"/>
              <w:rPr>
                <w:sz w:val="21"/>
                <w:szCs w:val="21"/>
              </w:rPr>
            </w:pPr>
            <w:r>
              <w:rPr>
                <w:sz w:val="21"/>
                <w:szCs w:val="21"/>
                <w:spacing w:val="-3"/>
              </w:rPr>
              <w:t>550</w:t>
            </w:r>
          </w:p>
        </w:tc>
      </w:tr>
      <w:tr>
        <w:trPr>
          <w:trHeight w:val="280"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spacing w:before="43" w:line="199" w:lineRule="auto"/>
              <w:jc w:val="right"/>
              <w:rPr>
                <w:sz w:val="21"/>
                <w:szCs w:val="21"/>
              </w:rPr>
            </w:pPr>
            <w:r>
              <w:rPr>
                <w:sz w:val="21"/>
                <w:szCs w:val="21"/>
                <w:spacing w:val="-16"/>
              </w:rPr>
              <w:t>1,1,2</w:t>
            </w:r>
            <w:r>
              <w:rPr>
                <w:sz w:val="21"/>
                <w:szCs w:val="21"/>
                <w:spacing w:val="-15"/>
              </w:rPr>
              <w:t>,2-四氯乙</w:t>
            </w:r>
            <w:r>
              <w:rPr>
                <w:sz w:val="21"/>
                <w:szCs w:val="21"/>
                <w:spacing w:val="-10"/>
              </w:rPr>
              <w:t>烷</w:t>
            </w:r>
          </w:p>
        </w:tc>
        <w:tc>
          <w:tcPr>
            <w:tcW w:w="709" w:type="dxa"/>
            <w:vAlign w:val="top"/>
          </w:tcPr>
          <w:p>
            <w:pPr>
              <w:pStyle w:val="TableText"/>
              <w:ind w:left="184"/>
              <w:spacing w:before="68" w:line="177" w:lineRule="auto"/>
              <w:rPr>
                <w:sz w:val="21"/>
                <w:szCs w:val="21"/>
              </w:rPr>
            </w:pPr>
            <w:r>
              <w:rPr>
                <w:sz w:val="21"/>
                <w:szCs w:val="21"/>
                <w:spacing w:val="-6"/>
              </w:rPr>
              <w:t>1.6</w:t>
            </w:r>
          </w:p>
        </w:tc>
        <w:tc>
          <w:tcPr>
            <w:tcW w:w="719" w:type="dxa"/>
            <w:vAlign w:val="top"/>
          </w:tcPr>
          <w:p>
            <w:pPr>
              <w:pStyle w:val="TableText"/>
              <w:ind w:left="245"/>
              <w:spacing w:before="68" w:line="177" w:lineRule="auto"/>
              <w:rPr>
                <w:sz w:val="21"/>
                <w:szCs w:val="21"/>
              </w:rPr>
            </w:pPr>
            <w:r>
              <w:rPr>
                <w:sz w:val="21"/>
                <w:szCs w:val="21"/>
                <w:spacing w:val="-6"/>
              </w:rPr>
              <w:t>14</w:t>
            </w:r>
          </w:p>
        </w:tc>
        <w:tc>
          <w:tcPr>
            <w:tcW w:w="1738" w:type="dxa"/>
            <w:vAlign w:val="top"/>
          </w:tcPr>
          <w:p>
            <w:pPr>
              <w:pStyle w:val="TableText"/>
              <w:ind w:left="756"/>
              <w:spacing w:before="47" w:line="196" w:lineRule="auto"/>
              <w:rPr>
                <w:sz w:val="21"/>
                <w:szCs w:val="21"/>
              </w:rPr>
            </w:pPr>
            <w:r>
              <w:rPr>
                <w:sz w:val="21"/>
                <w:szCs w:val="21"/>
                <w:color w:val="304050"/>
              </w:rPr>
              <w:t>窟</w:t>
            </w:r>
          </w:p>
        </w:tc>
        <w:tc>
          <w:tcPr>
            <w:tcW w:w="709" w:type="dxa"/>
            <w:vAlign w:val="top"/>
          </w:tcPr>
          <w:p>
            <w:pPr>
              <w:pStyle w:val="TableText"/>
              <w:ind w:left="188"/>
              <w:spacing w:before="68" w:line="177" w:lineRule="auto"/>
              <w:rPr>
                <w:sz w:val="21"/>
                <w:szCs w:val="21"/>
              </w:rPr>
            </w:pPr>
            <w:r>
              <w:rPr>
                <w:sz w:val="21"/>
                <w:szCs w:val="21"/>
                <w:spacing w:val="-2"/>
              </w:rPr>
              <w:t>490</w:t>
            </w:r>
          </w:p>
        </w:tc>
        <w:tc>
          <w:tcPr>
            <w:tcW w:w="664" w:type="dxa"/>
            <w:vAlign w:val="top"/>
          </w:tcPr>
          <w:p>
            <w:pPr>
              <w:pStyle w:val="TableText"/>
              <w:ind w:left="119"/>
              <w:spacing w:before="68" w:line="177" w:lineRule="auto"/>
              <w:rPr>
                <w:sz w:val="21"/>
                <w:szCs w:val="21"/>
              </w:rPr>
            </w:pPr>
            <w:r>
              <w:rPr>
                <w:sz w:val="21"/>
                <w:szCs w:val="21"/>
                <w:spacing w:val="-2"/>
              </w:rPr>
              <w:t>4900</w:t>
            </w:r>
          </w:p>
        </w:tc>
      </w:tr>
      <w:tr>
        <w:trPr>
          <w:trHeight w:val="270"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ind w:left="332"/>
              <w:spacing w:before="37" w:line="196" w:lineRule="auto"/>
              <w:rPr>
                <w:sz w:val="21"/>
                <w:szCs w:val="21"/>
              </w:rPr>
            </w:pPr>
            <w:r>
              <w:rPr>
                <w:sz w:val="21"/>
                <w:szCs w:val="21"/>
                <w:spacing w:val="2"/>
              </w:rPr>
              <w:t>四氯乙烯</w:t>
            </w:r>
          </w:p>
        </w:tc>
        <w:tc>
          <w:tcPr>
            <w:tcW w:w="709" w:type="dxa"/>
            <w:vAlign w:val="top"/>
          </w:tcPr>
          <w:p>
            <w:pPr>
              <w:pStyle w:val="TableText"/>
              <w:ind w:left="243"/>
              <w:spacing w:before="58" w:line="177" w:lineRule="auto"/>
              <w:rPr>
                <w:sz w:val="21"/>
                <w:szCs w:val="21"/>
              </w:rPr>
            </w:pPr>
            <w:r>
              <w:rPr>
                <w:sz w:val="21"/>
                <w:szCs w:val="21"/>
                <w:spacing w:val="-6"/>
              </w:rPr>
              <w:t>11</w:t>
            </w:r>
          </w:p>
        </w:tc>
        <w:tc>
          <w:tcPr>
            <w:tcW w:w="719" w:type="dxa"/>
            <w:vAlign w:val="top"/>
          </w:tcPr>
          <w:p>
            <w:pPr>
              <w:pStyle w:val="TableText"/>
              <w:ind w:left="245"/>
              <w:spacing w:before="58" w:line="177" w:lineRule="auto"/>
              <w:rPr>
                <w:sz w:val="21"/>
                <w:szCs w:val="21"/>
              </w:rPr>
            </w:pPr>
            <w:r>
              <w:rPr>
                <w:sz w:val="21"/>
                <w:szCs w:val="21"/>
                <w:spacing w:val="-4"/>
              </w:rPr>
              <w:t>34</w:t>
            </w:r>
          </w:p>
        </w:tc>
        <w:tc>
          <w:tcPr>
            <w:tcW w:w="1738" w:type="dxa"/>
            <w:vAlign w:val="top"/>
          </w:tcPr>
          <w:p>
            <w:pPr>
              <w:pStyle w:val="TableText"/>
              <w:ind w:left="175"/>
              <w:spacing w:before="34" w:line="198" w:lineRule="auto"/>
              <w:rPr>
                <w:sz w:val="21"/>
                <w:szCs w:val="21"/>
              </w:rPr>
            </w:pPr>
            <w:r>
              <w:rPr>
                <w:sz w:val="21"/>
                <w:szCs w:val="21"/>
                <w:spacing w:val="2"/>
              </w:rPr>
              <w:t>二苯并[a,h]蒽</w:t>
            </w:r>
          </w:p>
        </w:tc>
        <w:tc>
          <w:tcPr>
            <w:tcW w:w="709" w:type="dxa"/>
            <w:vAlign w:val="top"/>
          </w:tcPr>
          <w:p>
            <w:pPr>
              <w:pStyle w:val="TableText"/>
              <w:ind w:left="138"/>
              <w:spacing w:before="58" w:line="177" w:lineRule="auto"/>
              <w:rPr>
                <w:sz w:val="21"/>
                <w:szCs w:val="21"/>
              </w:rPr>
            </w:pPr>
            <w:r>
              <w:rPr>
                <w:sz w:val="21"/>
                <w:szCs w:val="21"/>
                <w:spacing w:val="-2"/>
              </w:rPr>
              <w:t>0.55</w:t>
            </w:r>
          </w:p>
        </w:tc>
        <w:tc>
          <w:tcPr>
            <w:tcW w:w="664" w:type="dxa"/>
            <w:vAlign w:val="top"/>
          </w:tcPr>
          <w:p>
            <w:pPr>
              <w:pStyle w:val="TableText"/>
              <w:ind w:left="168"/>
              <w:spacing w:before="58" w:line="177" w:lineRule="auto"/>
              <w:rPr>
                <w:sz w:val="21"/>
                <w:szCs w:val="21"/>
              </w:rPr>
            </w:pPr>
            <w:r>
              <w:rPr>
                <w:sz w:val="21"/>
                <w:szCs w:val="21"/>
                <w:spacing w:val="-3"/>
              </w:rPr>
              <w:t>5.5</w:t>
            </w:r>
          </w:p>
        </w:tc>
      </w:tr>
      <w:tr>
        <w:trPr>
          <w:trHeight w:val="259"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ind w:left="22"/>
              <w:spacing w:before="34" w:line="189" w:lineRule="auto"/>
              <w:rPr>
                <w:sz w:val="21"/>
                <w:szCs w:val="21"/>
              </w:rPr>
            </w:pPr>
            <w:r>
              <w:rPr>
                <w:sz w:val="21"/>
                <w:szCs w:val="21"/>
              </w:rPr>
              <w:t>1,1,1-三氯乙烷</w:t>
            </w:r>
          </w:p>
        </w:tc>
        <w:tc>
          <w:tcPr>
            <w:tcW w:w="709" w:type="dxa"/>
            <w:vAlign w:val="top"/>
          </w:tcPr>
          <w:p>
            <w:pPr>
              <w:pStyle w:val="TableText"/>
              <w:ind w:left="184"/>
              <w:spacing w:before="59" w:line="167" w:lineRule="auto"/>
              <w:rPr>
                <w:sz w:val="21"/>
                <w:szCs w:val="21"/>
              </w:rPr>
            </w:pPr>
            <w:r>
              <w:rPr>
                <w:sz w:val="21"/>
                <w:szCs w:val="21"/>
                <w:spacing w:val="-3"/>
              </w:rPr>
              <w:t>701</w:t>
            </w:r>
          </w:p>
        </w:tc>
        <w:tc>
          <w:tcPr>
            <w:tcW w:w="719" w:type="dxa"/>
            <w:vAlign w:val="top"/>
          </w:tcPr>
          <w:p>
            <w:pPr>
              <w:pStyle w:val="TableText"/>
              <w:ind w:left="195"/>
              <w:spacing w:before="59" w:line="167" w:lineRule="auto"/>
              <w:rPr>
                <w:sz w:val="21"/>
                <w:szCs w:val="21"/>
              </w:rPr>
            </w:pPr>
            <w:r>
              <w:rPr>
                <w:sz w:val="21"/>
                <w:szCs w:val="21"/>
                <w:spacing w:val="-3"/>
              </w:rPr>
              <w:t>840</w:t>
            </w:r>
          </w:p>
        </w:tc>
        <w:tc>
          <w:tcPr>
            <w:tcW w:w="1738" w:type="dxa"/>
            <w:vAlign w:val="top"/>
          </w:tcPr>
          <w:p>
            <w:pPr>
              <w:pStyle w:val="TableText"/>
              <w:ind w:left="26"/>
              <w:spacing w:before="34" w:line="189" w:lineRule="auto"/>
              <w:rPr>
                <w:sz w:val="21"/>
                <w:szCs w:val="21"/>
              </w:rPr>
            </w:pPr>
            <w:r>
              <w:rPr>
                <w:sz w:val="21"/>
                <w:szCs w:val="21"/>
              </w:rPr>
              <w:t>茚并[1,2,3-cd]芘</w:t>
            </w:r>
          </w:p>
        </w:tc>
        <w:tc>
          <w:tcPr>
            <w:tcW w:w="709" w:type="dxa"/>
            <w:vAlign w:val="top"/>
          </w:tcPr>
          <w:p>
            <w:pPr>
              <w:pStyle w:val="TableText"/>
              <w:ind w:left="188"/>
              <w:spacing w:before="59" w:line="167" w:lineRule="auto"/>
              <w:rPr>
                <w:sz w:val="21"/>
                <w:szCs w:val="21"/>
              </w:rPr>
            </w:pPr>
            <w:r>
              <w:rPr>
                <w:sz w:val="21"/>
                <w:szCs w:val="21"/>
                <w:spacing w:val="-3"/>
              </w:rPr>
              <w:t>5.5</w:t>
            </w:r>
          </w:p>
        </w:tc>
        <w:tc>
          <w:tcPr>
            <w:tcW w:w="664" w:type="dxa"/>
            <w:vAlign w:val="top"/>
          </w:tcPr>
          <w:p>
            <w:pPr>
              <w:pStyle w:val="TableText"/>
              <w:ind w:left="219"/>
              <w:spacing w:before="59" w:line="167" w:lineRule="auto"/>
              <w:rPr>
                <w:sz w:val="21"/>
                <w:szCs w:val="21"/>
              </w:rPr>
            </w:pPr>
            <w:r>
              <w:rPr>
                <w:sz w:val="21"/>
                <w:szCs w:val="21"/>
                <w:spacing w:val="-4"/>
              </w:rPr>
              <w:t>55</w:t>
            </w:r>
          </w:p>
        </w:tc>
      </w:tr>
      <w:tr>
        <w:trPr>
          <w:trHeight w:val="280" w:hRule="atLeast"/>
        </w:trPr>
        <w:tc>
          <w:tcPr>
            <w:tcW w:w="854" w:type="dxa"/>
            <w:vAlign w:val="top"/>
            <w:vMerge w:val="continue"/>
            <w:tcBorders>
              <w:top w:val="nil"/>
              <w:bottom w:val="nil"/>
            </w:tcBorders>
          </w:tcPr>
          <w:p>
            <w:pPr>
              <w:rPr>
                <w:rFonts w:ascii="Arial"/>
                <w:sz w:val="21"/>
              </w:rPr>
            </w:pPr>
            <w:r/>
          </w:p>
        </w:tc>
        <w:tc>
          <w:tcPr>
            <w:tcW w:w="1419" w:type="dxa"/>
            <w:vAlign w:val="top"/>
            <w:vMerge w:val="continue"/>
            <w:tcBorders>
              <w:top w:val="nil"/>
              <w:bottom w:val="nil"/>
            </w:tcBorders>
          </w:tcPr>
          <w:p>
            <w:pPr>
              <w:rPr>
                <w:rFonts w:ascii="Arial"/>
                <w:sz w:val="21"/>
              </w:rPr>
            </w:pPr>
            <w:r/>
          </w:p>
        </w:tc>
        <w:tc>
          <w:tcPr>
            <w:tcW w:w="1528" w:type="dxa"/>
            <w:vAlign w:val="top"/>
          </w:tcPr>
          <w:p>
            <w:pPr>
              <w:pStyle w:val="TableText"/>
              <w:ind w:left="22"/>
              <w:spacing w:before="44" w:line="198" w:lineRule="auto"/>
              <w:rPr>
                <w:sz w:val="21"/>
                <w:szCs w:val="21"/>
              </w:rPr>
            </w:pPr>
            <w:r>
              <w:rPr>
                <w:sz w:val="21"/>
                <w:szCs w:val="21"/>
              </w:rPr>
              <w:t>1,1,2-三氯乙烷</w:t>
            </w:r>
          </w:p>
        </w:tc>
        <w:tc>
          <w:tcPr>
            <w:tcW w:w="709" w:type="dxa"/>
            <w:vAlign w:val="top"/>
          </w:tcPr>
          <w:p>
            <w:pPr>
              <w:pStyle w:val="TableText"/>
              <w:ind w:left="184"/>
              <w:spacing w:before="69" w:line="176" w:lineRule="auto"/>
              <w:rPr>
                <w:sz w:val="21"/>
                <w:szCs w:val="21"/>
              </w:rPr>
            </w:pPr>
            <w:r>
              <w:rPr>
                <w:sz w:val="21"/>
                <w:szCs w:val="21"/>
                <w:spacing w:val="-3"/>
              </w:rPr>
              <w:t>0.6</w:t>
            </w:r>
          </w:p>
        </w:tc>
        <w:tc>
          <w:tcPr>
            <w:tcW w:w="719" w:type="dxa"/>
            <w:vAlign w:val="top"/>
          </w:tcPr>
          <w:p>
            <w:pPr>
              <w:pStyle w:val="TableText"/>
              <w:ind w:left="295"/>
              <w:spacing w:before="69" w:line="176" w:lineRule="auto"/>
              <w:rPr>
                <w:sz w:val="21"/>
                <w:szCs w:val="21"/>
              </w:rPr>
            </w:pPr>
            <w:r>
              <w:rPr>
                <w:sz w:val="21"/>
                <w:szCs w:val="21"/>
              </w:rPr>
              <w:t>5</w:t>
            </w:r>
          </w:p>
        </w:tc>
        <w:tc>
          <w:tcPr>
            <w:tcW w:w="1738" w:type="dxa"/>
            <w:vAlign w:val="top"/>
          </w:tcPr>
          <w:p>
            <w:pPr>
              <w:pStyle w:val="TableText"/>
              <w:ind w:left="756"/>
              <w:spacing w:before="50" w:line="193" w:lineRule="auto"/>
              <w:rPr>
                <w:sz w:val="21"/>
                <w:szCs w:val="21"/>
              </w:rPr>
            </w:pPr>
            <w:r>
              <w:rPr>
                <w:sz w:val="21"/>
                <w:szCs w:val="21"/>
              </w:rPr>
              <w:t>荼</w:t>
            </w:r>
          </w:p>
        </w:tc>
        <w:tc>
          <w:tcPr>
            <w:tcW w:w="709" w:type="dxa"/>
            <w:vAlign w:val="top"/>
          </w:tcPr>
          <w:p>
            <w:pPr>
              <w:pStyle w:val="TableText"/>
              <w:ind w:left="248"/>
              <w:spacing w:before="69" w:line="176" w:lineRule="auto"/>
              <w:rPr>
                <w:sz w:val="21"/>
                <w:szCs w:val="21"/>
              </w:rPr>
            </w:pPr>
            <w:r>
              <w:rPr>
                <w:sz w:val="21"/>
                <w:szCs w:val="21"/>
                <w:spacing w:val="-3"/>
              </w:rPr>
              <w:t>25</w:t>
            </w:r>
          </w:p>
        </w:tc>
        <w:tc>
          <w:tcPr>
            <w:tcW w:w="664" w:type="dxa"/>
            <w:vAlign w:val="top"/>
          </w:tcPr>
          <w:p>
            <w:pPr>
              <w:pStyle w:val="TableText"/>
              <w:ind w:left="168"/>
              <w:spacing w:before="69" w:line="176" w:lineRule="auto"/>
              <w:rPr>
                <w:sz w:val="21"/>
                <w:szCs w:val="21"/>
              </w:rPr>
            </w:pPr>
            <w:r>
              <w:rPr>
                <w:sz w:val="21"/>
                <w:szCs w:val="21"/>
                <w:spacing w:val="-3"/>
              </w:rPr>
              <w:t>255</w:t>
            </w:r>
          </w:p>
        </w:tc>
      </w:tr>
      <w:tr>
        <w:trPr>
          <w:trHeight w:val="284" w:hRule="atLeast"/>
        </w:trPr>
        <w:tc>
          <w:tcPr>
            <w:tcW w:w="854" w:type="dxa"/>
            <w:vAlign w:val="top"/>
            <w:vMerge w:val="continue"/>
            <w:tcBorders>
              <w:top w:val="nil"/>
            </w:tcBorders>
          </w:tcPr>
          <w:p>
            <w:pPr>
              <w:rPr>
                <w:rFonts w:ascii="Arial"/>
                <w:sz w:val="21"/>
              </w:rPr>
            </w:pPr>
            <w:r/>
          </w:p>
        </w:tc>
        <w:tc>
          <w:tcPr>
            <w:tcW w:w="1419" w:type="dxa"/>
            <w:vAlign w:val="top"/>
            <w:vMerge w:val="continue"/>
            <w:tcBorders>
              <w:top w:val="nil"/>
            </w:tcBorders>
          </w:tcPr>
          <w:p>
            <w:pPr>
              <w:rPr>
                <w:rFonts w:ascii="Arial"/>
                <w:sz w:val="21"/>
              </w:rPr>
            </w:pPr>
            <w:r/>
          </w:p>
        </w:tc>
        <w:tc>
          <w:tcPr>
            <w:tcW w:w="1528" w:type="dxa"/>
            <w:vAlign w:val="top"/>
          </w:tcPr>
          <w:p>
            <w:pPr>
              <w:pStyle w:val="TableText"/>
              <w:ind w:left="332"/>
              <w:spacing w:before="48" w:line="198" w:lineRule="auto"/>
              <w:rPr>
                <w:sz w:val="21"/>
                <w:szCs w:val="21"/>
              </w:rPr>
            </w:pPr>
            <w:r>
              <w:rPr>
                <w:sz w:val="21"/>
                <w:szCs w:val="21"/>
                <w:spacing w:val="-2"/>
              </w:rPr>
              <w:t>三氯乙烯</w:t>
            </w:r>
          </w:p>
        </w:tc>
        <w:tc>
          <w:tcPr>
            <w:tcW w:w="709" w:type="dxa"/>
            <w:vAlign w:val="top"/>
          </w:tcPr>
          <w:p>
            <w:pPr>
              <w:pStyle w:val="TableText"/>
              <w:ind w:left="184"/>
              <w:spacing w:before="69" w:line="180" w:lineRule="auto"/>
              <w:rPr>
                <w:sz w:val="21"/>
                <w:szCs w:val="21"/>
              </w:rPr>
            </w:pPr>
            <w:r>
              <w:rPr>
                <w:sz w:val="21"/>
                <w:szCs w:val="21"/>
                <w:spacing w:val="-3"/>
              </w:rPr>
              <w:t>0.7</w:t>
            </w:r>
          </w:p>
        </w:tc>
        <w:tc>
          <w:tcPr>
            <w:tcW w:w="719" w:type="dxa"/>
            <w:vAlign w:val="top"/>
            <w:textDirection w:val="tbRlV"/>
          </w:tcPr>
          <w:p>
            <w:pPr>
              <w:spacing w:line="241" w:lineRule="auto"/>
              <w:rPr>
                <w:rFonts w:ascii="Arial"/>
                <w:sz w:val="21"/>
              </w:rPr>
            </w:pPr>
            <w:r/>
          </w:p>
          <w:p>
            <w:pPr>
              <w:pStyle w:val="TableText"/>
              <w:ind w:left="1"/>
              <w:spacing w:before="70" w:line="144" w:lineRule="exact"/>
              <w:rPr>
                <w:sz w:val="21"/>
                <w:szCs w:val="21"/>
              </w:rPr>
            </w:pPr>
            <w:r>
              <w:rPr>
                <w:sz w:val="21"/>
                <w:szCs w:val="21"/>
                <w:spacing w:val="51"/>
                <w:w w:val="125"/>
                <w:position w:val="-3"/>
              </w:rPr>
              <w:t>7</w:t>
            </w:r>
          </w:p>
        </w:tc>
        <w:tc>
          <w:tcPr>
            <w:tcW w:w="1738" w:type="dxa"/>
            <w:vAlign w:val="top"/>
          </w:tcPr>
          <w:p>
            <w:pPr>
              <w:pStyle w:val="TableText"/>
              <w:ind w:left="806"/>
              <w:spacing w:before="54" w:line="193" w:lineRule="auto"/>
              <w:rPr>
                <w:sz w:val="21"/>
                <w:szCs w:val="21"/>
              </w:rPr>
            </w:pPr>
            <w:r>
              <w:rPr>
                <w:sz w:val="21"/>
                <w:szCs w:val="21"/>
                <w:color w:val="505050"/>
              </w:rPr>
              <w:t>/</w:t>
            </w:r>
          </w:p>
        </w:tc>
        <w:tc>
          <w:tcPr>
            <w:tcW w:w="709" w:type="dxa"/>
            <w:vAlign w:val="top"/>
            <w:textDirection w:val="tbRlV"/>
          </w:tcPr>
          <w:p>
            <w:pPr>
              <w:pStyle w:val="TableText"/>
              <w:ind w:left="20"/>
              <w:spacing w:before="306" w:line="137" w:lineRule="exact"/>
              <w:rPr>
                <w:sz w:val="21"/>
                <w:szCs w:val="21"/>
              </w:rPr>
            </w:pPr>
            <w:r>
              <w:rPr>
                <w:sz w:val="21"/>
                <w:szCs w:val="21"/>
                <w:color w:val="606060"/>
                <w:spacing w:val="52"/>
                <w:w w:val="141"/>
                <w:position w:val="-1"/>
              </w:rPr>
              <w:t>/</w:t>
            </w:r>
          </w:p>
        </w:tc>
        <w:tc>
          <w:tcPr>
            <w:tcW w:w="664" w:type="dxa"/>
            <w:vAlign w:val="top"/>
          </w:tcPr>
          <w:p>
            <w:pPr>
              <w:pStyle w:val="TableText"/>
              <w:ind w:left="269"/>
              <w:spacing w:before="54" w:line="193" w:lineRule="auto"/>
              <w:rPr>
                <w:sz w:val="21"/>
                <w:szCs w:val="21"/>
              </w:rPr>
            </w:pPr>
            <w:r>
              <w:rPr>
                <w:sz w:val="21"/>
                <w:szCs w:val="21"/>
                <w:color w:val="605060"/>
              </w:rPr>
              <w:t>/</w:t>
            </w:r>
          </w:p>
        </w:tc>
      </w:tr>
    </w:tbl>
    <w:p>
      <w:pPr>
        <w:ind w:left="58"/>
        <w:spacing w:before="83" w:line="220" w:lineRule="auto"/>
        <w:rPr>
          <w:rFonts w:ascii="SimSun" w:hAnsi="SimSun" w:eastAsia="SimSun" w:cs="SimSun"/>
          <w:sz w:val="27"/>
          <w:szCs w:val="27"/>
        </w:rPr>
      </w:pPr>
      <w:r>
        <w:rPr>
          <w:rFonts w:ascii="SimSun" w:hAnsi="SimSun" w:eastAsia="SimSun" w:cs="SimSun"/>
          <w:sz w:val="27"/>
          <w:szCs w:val="27"/>
          <w:b/>
          <w:bCs/>
          <w:spacing w:val="-3"/>
        </w:rPr>
        <w:t>1.7.4污染物排放标准</w:t>
      </w:r>
    </w:p>
    <w:p>
      <w:pPr>
        <w:ind w:left="15" w:right="18" w:firstLine="503"/>
        <w:spacing w:before="212" w:line="352" w:lineRule="auto"/>
        <w:tabs>
          <w:tab w:val="left" w:pos="155"/>
        </w:tabs>
        <w:jc w:val="both"/>
        <w:rPr>
          <w:rFonts w:ascii="SimSun" w:hAnsi="SimSun" w:eastAsia="SimSun" w:cs="SimSun"/>
          <w:sz w:val="24"/>
          <w:szCs w:val="24"/>
        </w:rPr>
      </w:pPr>
      <w:r>
        <w:rPr>
          <w:rFonts w:ascii="SimSun" w:hAnsi="SimSun" w:eastAsia="SimSun" w:cs="SimSun"/>
          <w:sz w:val="24"/>
          <w:szCs w:val="24"/>
          <w:b/>
          <w:bCs/>
          <w:spacing w:val="3"/>
        </w:rPr>
        <w:t>水污染物：</w:t>
      </w:r>
      <w:r>
        <w:rPr>
          <w:rFonts w:ascii="SimSun" w:hAnsi="SimSun" w:eastAsia="SimSun" w:cs="SimSun"/>
          <w:sz w:val="24"/>
          <w:szCs w:val="24"/>
          <w:spacing w:val="3"/>
        </w:rPr>
        <w:t>根据现场调查，项目区域已覆盖污水管网，采用雨污分流制排</w:t>
      </w:r>
      <w:r>
        <w:rPr>
          <w:rFonts w:ascii="SimSun" w:hAnsi="SimSun" w:eastAsia="SimSun" w:cs="SimSun"/>
          <w:sz w:val="24"/>
          <w:szCs w:val="24"/>
          <w:spacing w:val="6"/>
        </w:rPr>
        <w:t xml:space="preserve"> </w:t>
      </w:r>
      <w:r>
        <w:rPr>
          <w:rFonts w:ascii="SimSun" w:hAnsi="SimSun" w:eastAsia="SimSun" w:cs="SimSun"/>
          <w:sz w:val="24"/>
          <w:szCs w:val="24"/>
          <w:spacing w:val="4"/>
        </w:rPr>
        <w:t>水。餐饮废水经隔油池处理后，与生活污水一同经预处理池处理达到《污水综</w:t>
      </w:r>
      <w:r>
        <w:rPr>
          <w:rFonts w:ascii="SimSun" w:hAnsi="SimSun" w:eastAsia="SimSun" w:cs="SimSun"/>
          <w:sz w:val="24"/>
          <w:szCs w:val="24"/>
          <w:spacing w:val="3"/>
        </w:rPr>
        <w:t xml:space="preserve"> </w:t>
      </w:r>
      <w:r>
        <w:rPr>
          <w:rFonts w:ascii="SimSun" w:hAnsi="SimSun" w:eastAsia="SimSun" w:cs="SimSun"/>
          <w:sz w:val="24"/>
          <w:szCs w:val="24"/>
          <w:spacing w:val="6"/>
        </w:rPr>
        <w:t>合排放标准》 </w:t>
      </w:r>
      <w:r>
        <w:rPr>
          <w:rFonts w:ascii="Times New Roman" w:hAnsi="Times New Roman" w:eastAsia="Times New Roman" w:cs="Times New Roman"/>
          <w:sz w:val="24"/>
          <w:szCs w:val="24"/>
          <w:spacing w:val="6"/>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6"/>
        </w:rPr>
        <w:t>8978-1996)    </w:t>
      </w:r>
      <w:r>
        <w:rPr>
          <w:rFonts w:ascii="SimSun" w:hAnsi="SimSun" w:eastAsia="SimSun" w:cs="SimSun"/>
          <w:sz w:val="24"/>
          <w:szCs w:val="24"/>
          <w:spacing w:val="6"/>
        </w:rPr>
        <w:t>三级标准；生产废水经自建污水处理站(处理</w:t>
      </w:r>
      <w:r>
        <w:rPr>
          <w:rFonts w:ascii="SimSun" w:hAnsi="SimSun" w:eastAsia="SimSun" w:cs="SimSun"/>
          <w:sz w:val="24"/>
          <w:szCs w:val="24"/>
          <w:spacing w:val="12"/>
        </w:rPr>
        <w:t xml:space="preserve"> </w:t>
      </w:r>
      <w:r>
        <w:rPr>
          <w:rFonts w:ascii="SimSun" w:hAnsi="SimSun" w:eastAsia="SimSun" w:cs="SimSun"/>
          <w:sz w:val="24"/>
          <w:szCs w:val="24"/>
          <w:spacing w:val="23"/>
        </w:rPr>
        <w:t>工艺为“格栅+调节+气浮+厌氧接触池+</w:t>
      </w:r>
      <w:r>
        <w:rPr>
          <w:rFonts w:ascii="SimSun" w:hAnsi="SimSun" w:eastAsia="SimSun" w:cs="SimSun"/>
          <w:sz w:val="24"/>
          <w:szCs w:val="24"/>
        </w:rPr>
        <w:t>AOAO</w:t>
      </w:r>
      <w:r>
        <w:rPr>
          <w:rFonts w:ascii="SimSun" w:hAnsi="SimSun" w:eastAsia="SimSun" w:cs="SimSun"/>
          <w:sz w:val="24"/>
          <w:szCs w:val="24"/>
          <w:spacing w:val="23"/>
        </w:rPr>
        <w:t>+</w:t>
      </w:r>
      <w:r>
        <w:rPr>
          <w:rFonts w:ascii="SimSun" w:hAnsi="SimSun" w:eastAsia="SimSun" w:cs="SimSun"/>
          <w:sz w:val="24"/>
          <w:szCs w:val="24"/>
          <w:spacing w:val="6"/>
        </w:rPr>
        <w:t xml:space="preserve">  </w:t>
      </w:r>
      <w:r>
        <w:rPr>
          <w:rFonts w:ascii="SimSun" w:hAnsi="SimSun" w:eastAsia="SimSun" w:cs="SimSun"/>
          <w:sz w:val="24"/>
          <w:szCs w:val="24"/>
          <w:spacing w:val="23"/>
        </w:rPr>
        <w:t>沉淀+消毒</w:t>
      </w:r>
      <w:r>
        <w:rPr>
          <w:rFonts w:ascii="SimSun" w:hAnsi="SimSun" w:eastAsia="SimSun" w:cs="SimSun"/>
          <w:sz w:val="24"/>
          <w:szCs w:val="24"/>
          <w:spacing w:val="22"/>
        </w:rPr>
        <w:t>”,处理能力为</w:t>
      </w:r>
      <w:r>
        <w:rPr>
          <w:rFonts w:ascii="SimSun" w:hAnsi="SimSun" w:eastAsia="SimSun" w:cs="SimSun"/>
          <w:sz w:val="24"/>
          <w:szCs w:val="24"/>
        </w:rPr>
        <w:t xml:space="preserve"> </w:t>
      </w:r>
      <w:r>
        <w:rPr>
          <w:rFonts w:ascii="SimSun" w:hAnsi="SimSun" w:eastAsia="SimSun" w:cs="SimSun"/>
          <w:sz w:val="24"/>
          <w:szCs w:val="24"/>
          <w:spacing w:val="2"/>
        </w:rPr>
        <w:t>1100m³/d)</w:t>
      </w:r>
      <w:r>
        <w:rPr>
          <w:rFonts w:ascii="SimSun" w:hAnsi="SimSun" w:eastAsia="SimSun" w:cs="SimSun"/>
          <w:sz w:val="24"/>
          <w:szCs w:val="24"/>
          <w:spacing w:val="-23"/>
        </w:rPr>
        <w:t xml:space="preserve"> </w:t>
      </w:r>
      <w:r>
        <w:rPr>
          <w:rFonts w:ascii="SimSun" w:hAnsi="SimSun" w:eastAsia="SimSun" w:cs="SimSun"/>
          <w:sz w:val="24"/>
          <w:szCs w:val="24"/>
          <w:spacing w:val="2"/>
        </w:rPr>
        <w:t>处理达到《肉类加工工业水</w:t>
      </w:r>
      <w:r>
        <w:rPr>
          <w:rFonts w:ascii="SimSun" w:hAnsi="SimSun" w:eastAsia="SimSun" w:cs="SimSun"/>
          <w:sz w:val="24"/>
          <w:szCs w:val="24"/>
          <w:spacing w:val="1"/>
        </w:rPr>
        <w:t>污染物排放标准》  (</w:t>
      </w:r>
      <w:r>
        <w:rPr>
          <w:rFonts w:ascii="SimSun" w:hAnsi="SimSun" w:eastAsia="SimSun" w:cs="SimSun"/>
          <w:sz w:val="24"/>
          <w:szCs w:val="24"/>
        </w:rPr>
        <w:t>GB</w:t>
      </w:r>
      <w:r>
        <w:rPr>
          <w:rFonts w:ascii="SimSun" w:hAnsi="SimSun" w:eastAsia="SimSun" w:cs="SimSun"/>
          <w:sz w:val="24"/>
          <w:szCs w:val="24"/>
          <w:spacing w:val="1"/>
        </w:rPr>
        <w:t>13457-92)  表3</w:t>
      </w:r>
      <w:r>
        <w:rPr>
          <w:rFonts w:ascii="SimSun" w:hAnsi="SimSun" w:eastAsia="SimSun" w:cs="SimSun"/>
          <w:sz w:val="24"/>
          <w:szCs w:val="24"/>
        </w:rPr>
        <w:t xml:space="preserve"> </w:t>
      </w:r>
      <w:r>
        <w:rPr>
          <w:rFonts w:ascii="SimSun" w:hAnsi="SimSun" w:eastAsia="SimSun" w:cs="SimSun"/>
          <w:sz w:val="24"/>
          <w:szCs w:val="24"/>
          <w:spacing w:val="4"/>
        </w:rPr>
        <w:t>中三级标准后，与生活污水一同经厂区总排口排至园区污水管网，经管网引至</w:t>
      </w:r>
      <w:r>
        <w:rPr>
          <w:rFonts w:ascii="SimSun" w:hAnsi="SimSun" w:eastAsia="SimSun" w:cs="SimSun"/>
          <w:sz w:val="24"/>
          <w:szCs w:val="24"/>
          <w:spacing w:val="5"/>
        </w:rPr>
        <w:t xml:space="preserve"> </w:t>
      </w:r>
      <w:r>
        <w:rPr>
          <w:rFonts w:ascii="SimSun" w:hAnsi="SimSun" w:eastAsia="SimSun" w:cs="SimSun"/>
          <w:sz w:val="24"/>
          <w:szCs w:val="24"/>
        </w:rPr>
        <w:t>安州区第三污水处理厂处理，CODcr、BOD</w:t>
      </w:r>
      <w:r>
        <w:rPr>
          <w:rFonts w:ascii="Calibri" w:hAnsi="Calibri" w:eastAsia="Calibri" w:cs="Calibri"/>
          <w:sz w:val="24"/>
          <w:szCs w:val="24"/>
        </w:rPr>
        <w:t>₅</w:t>
      </w:r>
      <w:r>
        <w:rPr>
          <w:rFonts w:ascii="Calibri" w:hAnsi="Calibri" w:eastAsia="Calibri" w:cs="Calibri"/>
          <w:sz w:val="24"/>
          <w:szCs w:val="24"/>
          <w:spacing w:val="-13"/>
        </w:rPr>
        <w:t xml:space="preserve"> </w:t>
      </w:r>
      <w:r>
        <w:rPr>
          <w:rFonts w:ascii="SimSun" w:hAnsi="SimSun" w:eastAsia="SimSun" w:cs="SimSun"/>
          <w:sz w:val="24"/>
          <w:szCs w:val="24"/>
        </w:rPr>
        <w:t>、  氨氮、总氮指标达到《四川省岷 </w:t>
      </w:r>
      <w:r>
        <w:rPr>
          <w:rFonts w:ascii="SimSun" w:hAnsi="SimSun" w:eastAsia="SimSun" w:cs="SimSun"/>
          <w:sz w:val="24"/>
          <w:szCs w:val="24"/>
          <w:spacing w:val="3"/>
        </w:rPr>
        <w:t>江、沱江流域水污染物排放标准》</w:t>
      </w:r>
      <w:r>
        <w:rPr>
          <w:rFonts w:ascii="SimSun" w:hAnsi="SimSun" w:eastAsia="SimSun" w:cs="SimSun"/>
          <w:sz w:val="24"/>
          <w:szCs w:val="24"/>
          <w:spacing w:val="89"/>
        </w:rPr>
        <w:t xml:space="preserve"> </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DB</w:t>
      </w:r>
      <w:r>
        <w:rPr>
          <w:rFonts w:ascii="Times New Roman" w:hAnsi="Times New Roman" w:eastAsia="Times New Roman" w:cs="Times New Roman"/>
          <w:sz w:val="24"/>
          <w:szCs w:val="24"/>
          <w:spacing w:val="3"/>
        </w:rPr>
        <w:t>51/2311-2016)    </w:t>
      </w:r>
      <w:r>
        <w:rPr>
          <w:rFonts w:ascii="SimSun" w:hAnsi="SimSun" w:eastAsia="SimSun" w:cs="SimSun"/>
          <w:sz w:val="24"/>
          <w:szCs w:val="24"/>
          <w:spacing w:val="3"/>
        </w:rPr>
        <w:t>表1中工业园区集中式</w:t>
      </w:r>
      <w:r>
        <w:rPr>
          <w:rFonts w:ascii="SimSun" w:hAnsi="SimSun" w:eastAsia="SimSun" w:cs="SimSun"/>
          <w:sz w:val="24"/>
          <w:szCs w:val="24"/>
        </w:rPr>
        <w:t xml:space="preserve"> </w:t>
      </w:r>
      <w:r>
        <w:rPr>
          <w:rFonts w:ascii="SimSun" w:hAnsi="SimSun" w:eastAsia="SimSun" w:cs="SimSun"/>
          <w:sz w:val="24"/>
          <w:szCs w:val="24"/>
          <w:spacing w:val="2"/>
        </w:rPr>
        <w:t>污水处理厂排放标准限值，总磷指标达到《地表水环境质量标准》</w:t>
      </w:r>
      <w:r>
        <w:rPr>
          <w:rFonts w:ascii="SimSun" w:hAnsi="SimSun" w:eastAsia="SimSun" w:cs="SimSun"/>
          <w:sz w:val="24"/>
          <w:szCs w:val="24"/>
          <w:spacing w:val="88"/>
        </w:rPr>
        <w:t xml:space="preserve"> </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2"/>
        </w:rPr>
        <w:t>3838-</w:t>
      </w:r>
      <w:r>
        <w:rPr>
          <w:rFonts w:ascii="Times New Roman" w:hAnsi="Times New Roman" w:eastAsia="Times New Roman" w:cs="Times New Roman"/>
          <w:sz w:val="24"/>
          <w:szCs w:val="24"/>
        </w:rPr>
        <w:t xml:space="preserve">   </w:t>
      </w:r>
      <w:r>
        <w:rPr>
          <w:rFonts w:ascii="SimSun" w:hAnsi="SimSun" w:eastAsia="SimSun" w:cs="SimSun"/>
          <w:sz w:val="24"/>
          <w:szCs w:val="24"/>
          <w:spacing w:val="22"/>
        </w:rPr>
        <w:t>2002)Ⅲ类水质标准，其余指标达到《城镇污水处理厂污染物排放标准》</w:t>
      </w:r>
      <w:r>
        <w:rPr>
          <w:rFonts w:ascii="SimSun" w:hAnsi="SimSun" w:eastAsia="SimSun" w:cs="SimSun"/>
          <w:sz w:val="24"/>
          <w:szCs w:val="24"/>
        </w:rPr>
        <w:t xml:space="preserve"> </w:t>
      </w:r>
      <w:r>
        <w:rPr>
          <w:rFonts w:ascii="Times New Roman" w:hAnsi="Times New Roman" w:eastAsia="Times New Roman" w:cs="Times New Roman"/>
          <w:sz w:val="24"/>
          <w:szCs w:val="24"/>
        </w:rPr>
        <w:tab/>
      </w:r>
      <w:r>
        <w:rPr>
          <w:rFonts w:ascii="Times New Roman" w:hAnsi="Times New Roman" w:eastAsia="Times New Roman" w:cs="Times New Roman"/>
          <w:sz w:val="24"/>
          <w:szCs w:val="24"/>
          <w:spacing w:val="-3"/>
        </w:rPr>
        <w:t>(GB18918-2002)   </w:t>
      </w:r>
      <w:r>
        <w:rPr>
          <w:rFonts w:ascii="SimSun" w:hAnsi="SimSun" w:eastAsia="SimSun" w:cs="SimSun"/>
          <w:sz w:val="24"/>
          <w:szCs w:val="24"/>
          <w:spacing w:val="-3"/>
        </w:rPr>
        <w:t>一</w:t>
      </w:r>
      <w:r>
        <w:rPr>
          <w:rFonts w:ascii="SimSun" w:hAnsi="SimSun" w:eastAsia="SimSun" w:cs="SimSun"/>
          <w:sz w:val="24"/>
          <w:szCs w:val="24"/>
          <w:spacing w:val="-62"/>
        </w:rPr>
        <w:t xml:space="preserve"> </w:t>
      </w:r>
      <w:r>
        <w:rPr>
          <w:rFonts w:ascii="SimSun" w:hAnsi="SimSun" w:eastAsia="SimSun" w:cs="SimSun"/>
          <w:sz w:val="24"/>
          <w:szCs w:val="24"/>
          <w:spacing w:val="-3"/>
        </w:rPr>
        <w:t>级</w:t>
      </w:r>
      <w:r>
        <w:rPr>
          <w:rFonts w:ascii="Times New Roman" w:hAnsi="Times New Roman" w:eastAsia="Times New Roman" w:cs="Times New Roman"/>
          <w:sz w:val="24"/>
          <w:szCs w:val="24"/>
          <w:spacing w:val="-3"/>
        </w:rPr>
        <w:t>A</w:t>
      </w:r>
      <w:r>
        <w:rPr>
          <w:rFonts w:ascii="SimSun" w:hAnsi="SimSun" w:eastAsia="SimSun" w:cs="SimSun"/>
          <w:sz w:val="24"/>
          <w:szCs w:val="24"/>
          <w:spacing w:val="-3"/>
        </w:rPr>
        <w:t>标准后，排入涪江。</w:t>
      </w:r>
    </w:p>
    <w:p>
      <w:pPr>
        <w:spacing w:line="352" w:lineRule="auto"/>
        <w:sectPr>
          <w:headerReference w:type="default" r:id="rId142"/>
          <w:footerReference w:type="default" r:id="rId143"/>
          <w:pgSz w:w="11910" w:h="16840"/>
          <w:pgMar w:top="1210" w:right="1786" w:bottom="991" w:left="1764" w:header="902" w:footer="732" w:gutter="0"/>
        </w:sectPr>
        <w:rPr>
          <w:rFonts w:ascii="SimSun" w:hAnsi="SimSun" w:eastAsia="SimSun" w:cs="SimSun"/>
          <w:sz w:val="24"/>
          <w:szCs w:val="24"/>
        </w:rPr>
      </w:pPr>
    </w:p>
    <w:p>
      <w:pPr>
        <w:ind w:right="180" w:firstLine="493"/>
        <w:spacing w:before="252" w:line="367" w:lineRule="auto"/>
        <w:jc w:val="both"/>
        <w:rPr>
          <w:rFonts w:ascii="SimSun" w:hAnsi="SimSun" w:eastAsia="SimSun" w:cs="SimSun"/>
          <w:sz w:val="23"/>
          <w:szCs w:val="23"/>
        </w:rPr>
      </w:pPr>
      <w:r>
        <w:rPr>
          <w:rFonts w:ascii="SimSun" w:hAnsi="SimSun" w:eastAsia="SimSun" w:cs="SimSun"/>
          <w:sz w:val="23"/>
          <w:szCs w:val="23"/>
          <w:b/>
          <w:bCs/>
          <w:spacing w:val="5"/>
        </w:rPr>
        <w:t>大气污染物：</w:t>
      </w:r>
      <w:r>
        <w:rPr>
          <w:rFonts w:ascii="SimSun" w:hAnsi="SimSun" w:eastAsia="SimSun" w:cs="SimSun"/>
          <w:sz w:val="23"/>
          <w:szCs w:val="23"/>
          <w:spacing w:val="5"/>
        </w:rPr>
        <w:t>施工场地扬尘执行《四川省施工场地扬尘排放标准》</w:t>
      </w:r>
      <w:r>
        <w:rPr>
          <w:rFonts w:ascii="SimSun" w:hAnsi="SimSun" w:eastAsia="SimSun" w:cs="SimSun"/>
          <w:sz w:val="23"/>
          <w:szCs w:val="23"/>
          <w:spacing w:val="76"/>
        </w:rPr>
        <w:t xml:space="preserve"> </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DB</w:t>
      </w:r>
      <w:r>
        <w:rPr>
          <w:rFonts w:ascii="Times New Roman" w:hAnsi="Times New Roman" w:eastAsia="Times New Roman" w:cs="Times New Roman"/>
          <w:sz w:val="23"/>
          <w:szCs w:val="23"/>
          <w:spacing w:val="5"/>
        </w:rPr>
        <w:t>51</w:t>
      </w:r>
      <w:r>
        <w:rPr>
          <w:rFonts w:ascii="Times New Roman" w:hAnsi="Times New Roman" w:eastAsia="Times New Roman" w:cs="Times New Roman"/>
          <w:sz w:val="23"/>
          <w:szCs w:val="23"/>
        </w:rPr>
        <w:t xml:space="preserve"> </w:t>
      </w:r>
      <w:r>
        <w:rPr>
          <w:rFonts w:ascii="SimSun" w:hAnsi="SimSun" w:eastAsia="SimSun" w:cs="SimSun"/>
          <w:sz w:val="23"/>
          <w:szCs w:val="23"/>
          <w:spacing w:val="8"/>
        </w:rPr>
        <w:t>/2682-2020);运营期恶臭执行《恶臭污染物排放标准》</w:t>
      </w:r>
      <w:r>
        <w:rPr>
          <w:rFonts w:ascii="SimSun" w:hAnsi="SimSun" w:eastAsia="SimSun" w:cs="SimSun"/>
          <w:sz w:val="23"/>
          <w:szCs w:val="23"/>
          <w:spacing w:val="85"/>
        </w:rPr>
        <w:t xml:space="preserve"> </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8"/>
        </w:rPr>
        <w:t>14554-93)  </w:t>
      </w:r>
      <w:r>
        <w:rPr>
          <w:rFonts w:ascii="Times New Roman" w:hAnsi="Times New Roman" w:eastAsia="Times New Roman" w:cs="Times New Roman"/>
          <w:sz w:val="23"/>
          <w:szCs w:val="23"/>
          <w:spacing w:val="7"/>
        </w:rPr>
        <w:t xml:space="preserve">  </w:t>
      </w:r>
      <w:r>
        <w:rPr>
          <w:rFonts w:ascii="SimSun" w:hAnsi="SimSun" w:eastAsia="SimSun" w:cs="SimSun"/>
          <w:sz w:val="23"/>
          <w:szCs w:val="23"/>
          <w:spacing w:val="7"/>
        </w:rPr>
        <w:t>相应</w:t>
      </w:r>
      <w:r>
        <w:rPr>
          <w:rFonts w:ascii="SimSun" w:hAnsi="SimSun" w:eastAsia="SimSun" w:cs="SimSun"/>
          <w:sz w:val="23"/>
          <w:szCs w:val="23"/>
        </w:rPr>
        <w:t xml:space="preserve"> </w:t>
      </w:r>
      <w:r>
        <w:rPr>
          <w:rFonts w:ascii="SimSun" w:hAnsi="SimSun" w:eastAsia="SimSun" w:cs="SimSun"/>
          <w:sz w:val="23"/>
          <w:szCs w:val="23"/>
          <w:spacing w:val="10"/>
        </w:rPr>
        <w:t>排放标准；本项目位于绵阳市安州区，属于大气污染</w:t>
      </w:r>
      <w:r>
        <w:rPr>
          <w:rFonts w:ascii="SimSun" w:hAnsi="SimSun" w:eastAsia="SimSun" w:cs="SimSun"/>
          <w:sz w:val="23"/>
          <w:szCs w:val="23"/>
          <w:spacing w:val="9"/>
        </w:rPr>
        <w:t>防治重点区域，蒸汽发生</w:t>
      </w:r>
      <w:r>
        <w:rPr>
          <w:rFonts w:ascii="SimSun" w:hAnsi="SimSun" w:eastAsia="SimSun" w:cs="SimSun"/>
          <w:sz w:val="23"/>
          <w:szCs w:val="23"/>
        </w:rPr>
        <w:t xml:space="preserve"> </w:t>
      </w:r>
      <w:r>
        <w:rPr>
          <w:rFonts w:ascii="SimSun" w:hAnsi="SimSun" w:eastAsia="SimSun" w:cs="SimSun"/>
          <w:sz w:val="23"/>
          <w:szCs w:val="23"/>
          <w:spacing w:val="7"/>
        </w:rPr>
        <w:t>器燃烧烟气执行《锅炉大气污染物排放标准》</w:t>
      </w:r>
      <w:r>
        <w:rPr>
          <w:rFonts w:ascii="SimSun" w:hAnsi="SimSun" w:eastAsia="SimSun" w:cs="SimSun"/>
          <w:sz w:val="23"/>
          <w:szCs w:val="23"/>
          <w:spacing w:val="83"/>
        </w:rPr>
        <w:t xml:space="preserve"> </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7"/>
        </w:rPr>
        <w:t>13271-2014)    </w:t>
      </w:r>
      <w:r>
        <w:rPr>
          <w:rFonts w:ascii="SimSun" w:hAnsi="SimSun" w:eastAsia="SimSun" w:cs="SimSun"/>
          <w:sz w:val="23"/>
          <w:szCs w:val="23"/>
          <w:spacing w:val="7"/>
        </w:rPr>
        <w:t>中表3相关限</w:t>
      </w:r>
      <w:r>
        <w:rPr>
          <w:rFonts w:ascii="SimSun" w:hAnsi="SimSun" w:eastAsia="SimSun" w:cs="SimSun"/>
          <w:sz w:val="23"/>
          <w:szCs w:val="23"/>
        </w:rPr>
        <w:t xml:space="preserve"> </w:t>
      </w:r>
      <w:r>
        <w:rPr>
          <w:rFonts w:ascii="SimSun" w:hAnsi="SimSun" w:eastAsia="SimSun" w:cs="SimSun"/>
          <w:sz w:val="23"/>
          <w:szCs w:val="23"/>
          <w:spacing w:val="10"/>
        </w:rPr>
        <w:t>值；食堂油烟执行《饮食业油烟排放标准(试行)》</w:t>
      </w:r>
      <w:r>
        <w:rPr>
          <w:rFonts w:ascii="SimSun" w:hAnsi="SimSun" w:eastAsia="SimSun" w:cs="SimSun"/>
          <w:sz w:val="23"/>
          <w:szCs w:val="23"/>
          <w:spacing w:val="75"/>
        </w:rPr>
        <w:t xml:space="preserve"> </w:t>
      </w:r>
      <w:r>
        <w:rPr>
          <w:rFonts w:ascii="Times New Roman" w:hAnsi="Times New Roman" w:eastAsia="Times New Roman" w:cs="Times New Roman"/>
          <w:sz w:val="23"/>
          <w:szCs w:val="23"/>
          <w:spacing w:val="10"/>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10"/>
        </w:rPr>
        <w:t>1</w:t>
      </w:r>
      <w:r>
        <w:rPr>
          <w:rFonts w:ascii="Times New Roman" w:hAnsi="Times New Roman" w:eastAsia="Times New Roman" w:cs="Times New Roman"/>
          <w:sz w:val="23"/>
          <w:szCs w:val="23"/>
          <w:spacing w:val="9"/>
        </w:rPr>
        <w:t>8483-2001)</w:t>
      </w:r>
      <w:r>
        <w:rPr>
          <w:rFonts w:ascii="SimSun" w:hAnsi="SimSun" w:eastAsia="SimSun" w:cs="SimSun"/>
          <w:sz w:val="23"/>
          <w:szCs w:val="23"/>
          <w:spacing w:val="9"/>
        </w:rPr>
        <w:t>。</w:t>
      </w:r>
    </w:p>
    <w:p>
      <w:pPr>
        <w:ind w:right="28" w:firstLine="493"/>
        <w:spacing w:before="64" w:line="378" w:lineRule="auto"/>
        <w:tabs>
          <w:tab w:val="left" w:pos="150"/>
        </w:tabs>
        <w:jc w:val="both"/>
        <w:rPr>
          <w:rFonts w:ascii="SimSun" w:hAnsi="SimSun" w:eastAsia="SimSun" w:cs="SimSun"/>
          <w:sz w:val="23"/>
          <w:szCs w:val="23"/>
        </w:rPr>
      </w:pPr>
      <w:r>
        <w:rPr>
          <w:rFonts w:ascii="SimSun" w:hAnsi="SimSun" w:eastAsia="SimSun" w:cs="SimSun"/>
          <w:sz w:val="23"/>
          <w:szCs w:val="23"/>
          <w:b/>
          <w:bCs/>
          <w:spacing w:val="12"/>
        </w:rPr>
        <w:t>噪声：</w:t>
      </w:r>
      <w:r>
        <w:rPr>
          <w:rFonts w:ascii="SimSun" w:hAnsi="SimSun" w:eastAsia="SimSun" w:cs="SimSun"/>
          <w:sz w:val="23"/>
          <w:szCs w:val="23"/>
          <w:spacing w:val="-69"/>
        </w:rPr>
        <w:t xml:space="preserve"> </w:t>
      </w:r>
      <w:r>
        <w:rPr>
          <w:rFonts w:ascii="SimSun" w:hAnsi="SimSun" w:eastAsia="SimSun" w:cs="SimSun"/>
          <w:sz w:val="23"/>
          <w:szCs w:val="23"/>
          <w:spacing w:val="12"/>
        </w:rPr>
        <w:t>施工期噪声执行《建筑施工场界环境噪声排放标准》</w:t>
      </w:r>
      <w:r>
        <w:rPr>
          <w:rFonts w:ascii="SimSun" w:hAnsi="SimSun" w:eastAsia="SimSun" w:cs="SimSun"/>
          <w:sz w:val="23"/>
          <w:szCs w:val="23"/>
          <w:spacing w:val="85"/>
        </w:rPr>
        <w:t xml:space="preserve"> </w:t>
      </w:r>
      <w:r>
        <w:rPr>
          <w:rFonts w:ascii="Times New Roman" w:hAnsi="Times New Roman" w:eastAsia="Times New Roman" w:cs="Times New Roman"/>
          <w:sz w:val="23"/>
          <w:szCs w:val="23"/>
          <w:spacing w:val="12"/>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12"/>
        </w:rPr>
        <w:t>12</w:t>
      </w:r>
      <w:r>
        <w:rPr>
          <w:rFonts w:ascii="Times New Roman" w:hAnsi="Times New Roman" w:eastAsia="Times New Roman" w:cs="Times New Roman"/>
          <w:sz w:val="23"/>
          <w:szCs w:val="23"/>
          <w:spacing w:val="11"/>
        </w:rPr>
        <w:t>523-</w:t>
      </w:r>
      <w:r>
        <w:rPr>
          <w:rFonts w:ascii="Times New Roman" w:hAnsi="Times New Roman" w:eastAsia="Times New Roman" w:cs="Times New Roman"/>
          <w:sz w:val="23"/>
          <w:szCs w:val="23"/>
        </w:rPr>
        <w:t xml:space="preserve">    </w:t>
      </w:r>
      <w:r>
        <w:rPr>
          <w:rFonts w:ascii="SimSun" w:hAnsi="SimSun" w:eastAsia="SimSun" w:cs="SimSun"/>
          <w:sz w:val="23"/>
          <w:szCs w:val="23"/>
          <w:spacing w:val="40"/>
        </w:rPr>
        <w:t>2011)中的噪声限值，运营期执行《工业企</w:t>
      </w:r>
      <w:r>
        <w:rPr>
          <w:rFonts w:ascii="SimSun" w:hAnsi="SimSun" w:eastAsia="SimSun" w:cs="SimSun"/>
          <w:sz w:val="23"/>
          <w:szCs w:val="23"/>
          <w:spacing w:val="39"/>
        </w:rPr>
        <w:t>业厂界环境噪声排放标准》</w:t>
      </w:r>
      <w:r>
        <w:rPr>
          <w:rFonts w:ascii="SimSun" w:hAnsi="SimSun" w:eastAsia="SimSun" w:cs="SimSun"/>
          <w:sz w:val="23"/>
          <w:szCs w:val="23"/>
        </w:rPr>
        <w:t xml:space="preserve"> </w:t>
      </w:r>
      <w:r>
        <w:rPr>
          <w:rFonts w:ascii="SimSun" w:hAnsi="SimSun" w:eastAsia="SimSun" w:cs="SimSun"/>
          <w:sz w:val="23"/>
          <w:szCs w:val="23"/>
        </w:rPr>
        <w:tab/>
      </w:r>
      <w:r>
        <w:rPr>
          <w:rFonts w:ascii="SimSun" w:hAnsi="SimSun" w:eastAsia="SimSun" w:cs="SimSun"/>
          <w:sz w:val="23"/>
          <w:szCs w:val="23"/>
          <w:spacing w:val="-2"/>
        </w:rPr>
        <w:t>(GB12348-2008)3</w:t>
      </w:r>
      <w:r>
        <w:rPr>
          <w:rFonts w:ascii="SimSun" w:hAnsi="SimSun" w:eastAsia="SimSun" w:cs="SimSun"/>
          <w:sz w:val="23"/>
          <w:szCs w:val="23"/>
          <w:spacing w:val="28"/>
        </w:rPr>
        <w:t xml:space="preserve">  </w:t>
      </w:r>
      <w:r>
        <w:rPr>
          <w:rFonts w:ascii="SimSun" w:hAnsi="SimSun" w:eastAsia="SimSun" w:cs="SimSun"/>
          <w:sz w:val="23"/>
          <w:szCs w:val="23"/>
          <w:spacing w:val="-2"/>
        </w:rPr>
        <w:t>类标准。</w:t>
      </w:r>
    </w:p>
    <w:p>
      <w:pPr>
        <w:ind w:right="32" w:firstLine="490"/>
        <w:spacing w:before="5" w:line="366" w:lineRule="auto"/>
        <w:jc w:val="both"/>
        <w:rPr>
          <w:rFonts w:ascii="SimSun" w:hAnsi="SimSun" w:eastAsia="SimSun" w:cs="SimSun"/>
          <w:sz w:val="23"/>
          <w:szCs w:val="23"/>
        </w:rPr>
      </w:pPr>
      <w:r>
        <w:rPr>
          <w:rFonts w:ascii="SimSun" w:hAnsi="SimSun" w:eastAsia="SimSun" w:cs="SimSun"/>
          <w:sz w:val="23"/>
          <w:szCs w:val="23"/>
          <w:spacing w:val="12"/>
        </w:rPr>
        <w:t>固体废物：</w:t>
      </w:r>
      <w:r>
        <w:rPr>
          <w:rFonts w:ascii="SimSun" w:hAnsi="SimSun" w:eastAsia="SimSun" w:cs="SimSun"/>
          <w:sz w:val="23"/>
          <w:szCs w:val="23"/>
          <w:spacing w:val="-51"/>
        </w:rPr>
        <w:t xml:space="preserve"> </w:t>
      </w:r>
      <w:r>
        <w:rPr>
          <w:rFonts w:ascii="SimSun" w:hAnsi="SimSun" w:eastAsia="SimSun" w:cs="SimSun"/>
          <w:sz w:val="23"/>
          <w:szCs w:val="23"/>
          <w:spacing w:val="12"/>
        </w:rPr>
        <w:t>一般固体废物参考执行《一般工业固体废物贮存和填埋污染控</w:t>
      </w:r>
      <w:r>
        <w:rPr>
          <w:rFonts w:ascii="SimSun" w:hAnsi="SimSun" w:eastAsia="SimSun" w:cs="SimSun"/>
          <w:sz w:val="23"/>
          <w:szCs w:val="23"/>
        </w:rPr>
        <w:t xml:space="preserve"> </w:t>
      </w:r>
      <w:r>
        <w:rPr>
          <w:rFonts w:ascii="SimSun" w:hAnsi="SimSun" w:eastAsia="SimSun" w:cs="SimSun"/>
          <w:sz w:val="23"/>
          <w:szCs w:val="23"/>
          <w:spacing w:val="8"/>
        </w:rPr>
        <w:t>制标准》</w:t>
      </w:r>
      <w:r>
        <w:rPr>
          <w:rFonts w:ascii="SimSun" w:hAnsi="SimSun" w:eastAsia="SimSun" w:cs="SimSun"/>
          <w:sz w:val="23"/>
          <w:szCs w:val="23"/>
          <w:spacing w:val="85"/>
        </w:rPr>
        <w:t xml:space="preserve"> </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8"/>
        </w:rPr>
        <w:t>18599-2020)    </w:t>
      </w:r>
      <w:r>
        <w:rPr>
          <w:rFonts w:ascii="SimSun" w:hAnsi="SimSun" w:eastAsia="SimSun" w:cs="SimSun"/>
          <w:sz w:val="23"/>
          <w:szCs w:val="23"/>
          <w:spacing w:val="7"/>
        </w:rPr>
        <w:t>相关标准；危险废物执行《危险废物贮存污染控制</w:t>
      </w:r>
      <w:r>
        <w:rPr>
          <w:rFonts w:ascii="SimSun" w:hAnsi="SimSun" w:eastAsia="SimSun" w:cs="SimSun"/>
          <w:sz w:val="23"/>
          <w:szCs w:val="23"/>
        </w:rPr>
        <w:t xml:space="preserve"> </w:t>
      </w:r>
      <w:r>
        <w:rPr>
          <w:rFonts w:ascii="SimSun" w:hAnsi="SimSun" w:eastAsia="SimSun" w:cs="SimSun"/>
          <w:sz w:val="23"/>
          <w:szCs w:val="23"/>
          <w:spacing w:val="6"/>
        </w:rPr>
        <w:t>标准》 </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6"/>
        </w:rPr>
        <w:t xml:space="preserve">       18597-2023)</w:t>
      </w:r>
      <w:r>
        <w:rPr>
          <w:rFonts w:ascii="SimSun" w:hAnsi="SimSun" w:eastAsia="SimSun" w:cs="SimSun"/>
          <w:sz w:val="23"/>
          <w:szCs w:val="23"/>
          <w:spacing w:val="6"/>
        </w:rPr>
        <w:t>、《危险废物收集贮存运输技术规范》</w:t>
      </w:r>
      <w:r>
        <w:rPr>
          <w:rFonts w:ascii="SimSun" w:hAnsi="SimSun" w:eastAsia="SimSun" w:cs="SimSun"/>
          <w:sz w:val="23"/>
          <w:szCs w:val="23"/>
          <w:spacing w:val="82"/>
        </w:rPr>
        <w:t xml:space="preserve"> </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HJ</w:t>
      </w:r>
      <w:r>
        <w:rPr>
          <w:rFonts w:ascii="Times New Roman" w:hAnsi="Times New Roman" w:eastAsia="Times New Roman" w:cs="Times New Roman"/>
          <w:sz w:val="23"/>
          <w:szCs w:val="23"/>
          <w:spacing w:val="6"/>
        </w:rPr>
        <w:t xml:space="preserve">    2025-</w:t>
      </w:r>
      <w:r>
        <w:rPr>
          <w:rFonts w:ascii="Times New Roman" w:hAnsi="Times New Roman" w:eastAsia="Times New Roman" w:cs="Times New Roman"/>
          <w:sz w:val="23"/>
          <w:szCs w:val="23"/>
        </w:rPr>
        <w:t xml:space="preserve"> </w:t>
      </w:r>
      <w:r>
        <w:rPr>
          <w:rFonts w:ascii="SimSun" w:hAnsi="SimSun" w:eastAsia="SimSun" w:cs="SimSun"/>
          <w:sz w:val="23"/>
          <w:szCs w:val="23"/>
          <w:spacing w:val="9"/>
        </w:rPr>
        <w:t>2012)、《危险废物识别标志设置技术规范》</w:t>
      </w:r>
      <w:r>
        <w:rPr>
          <w:rFonts w:ascii="SimSun" w:hAnsi="SimSun" w:eastAsia="SimSun" w:cs="SimSun"/>
          <w:sz w:val="23"/>
          <w:szCs w:val="23"/>
          <w:spacing w:val="78"/>
        </w:rPr>
        <w:t xml:space="preserve"> </w:t>
      </w:r>
      <w:r>
        <w:rPr>
          <w:rFonts w:ascii="Times New Roman" w:hAnsi="Times New Roman" w:eastAsia="Times New Roman" w:cs="Times New Roman"/>
          <w:sz w:val="23"/>
          <w:szCs w:val="23"/>
          <w:spacing w:val="9"/>
        </w:rPr>
        <w:t>(</w:t>
      </w:r>
      <w:r>
        <w:rPr>
          <w:rFonts w:ascii="Times New Roman" w:hAnsi="Times New Roman" w:eastAsia="Times New Roman" w:cs="Times New Roman"/>
          <w:sz w:val="23"/>
          <w:szCs w:val="23"/>
        </w:rPr>
        <w:t>HJ</w:t>
      </w:r>
      <w:r>
        <w:rPr>
          <w:rFonts w:ascii="Times New Roman" w:hAnsi="Times New Roman" w:eastAsia="Times New Roman" w:cs="Times New Roman"/>
          <w:sz w:val="23"/>
          <w:szCs w:val="23"/>
          <w:spacing w:val="9"/>
        </w:rPr>
        <w:t>1276-2022)    </w:t>
      </w:r>
      <w:r>
        <w:rPr>
          <w:rFonts w:ascii="SimSun" w:hAnsi="SimSun" w:eastAsia="SimSun" w:cs="SimSun"/>
          <w:sz w:val="23"/>
          <w:szCs w:val="23"/>
          <w:spacing w:val="9"/>
        </w:rPr>
        <w:t>等相关标准；生</w:t>
      </w:r>
      <w:r>
        <w:rPr>
          <w:rFonts w:ascii="SimSun" w:hAnsi="SimSun" w:eastAsia="SimSun" w:cs="SimSun"/>
          <w:sz w:val="23"/>
          <w:szCs w:val="23"/>
        </w:rPr>
        <w:t xml:space="preserve"> </w:t>
      </w:r>
      <w:r>
        <w:rPr>
          <w:rFonts w:ascii="SimSun" w:hAnsi="SimSun" w:eastAsia="SimSun" w:cs="SimSun"/>
          <w:sz w:val="23"/>
          <w:szCs w:val="23"/>
          <w:spacing w:val="18"/>
        </w:rPr>
        <w:t>活垃圾按照《四川省生活垃圾分类和处置工作</w:t>
      </w:r>
      <w:r>
        <w:rPr>
          <w:rFonts w:ascii="SimSun" w:hAnsi="SimSun" w:eastAsia="SimSun" w:cs="SimSun"/>
          <w:sz w:val="23"/>
          <w:szCs w:val="23"/>
          <w:spacing w:val="17"/>
        </w:rPr>
        <w:t>方案》(川办函〔2019〕69号)</w:t>
      </w:r>
      <w:r>
        <w:rPr>
          <w:rFonts w:ascii="SimSun" w:hAnsi="SimSun" w:eastAsia="SimSun" w:cs="SimSun"/>
          <w:sz w:val="23"/>
          <w:szCs w:val="23"/>
        </w:rPr>
        <w:t xml:space="preserve"> </w:t>
      </w:r>
      <w:r>
        <w:rPr>
          <w:rFonts w:ascii="SimSun" w:hAnsi="SimSun" w:eastAsia="SimSun" w:cs="SimSun"/>
          <w:sz w:val="23"/>
          <w:szCs w:val="23"/>
          <w:spacing w:val="4"/>
        </w:rPr>
        <w:t>中相关要求执行。</w:t>
      </w:r>
    </w:p>
    <w:p>
      <w:pPr>
        <w:ind w:left="1503"/>
        <w:spacing w:line="214" w:lineRule="auto"/>
        <w:rPr>
          <w:rFonts w:ascii="SimSun" w:hAnsi="SimSun" w:eastAsia="SimSun" w:cs="SimSun"/>
          <w:sz w:val="24"/>
          <w:szCs w:val="24"/>
        </w:rPr>
      </w:pPr>
      <w:r>
        <w:rPr>
          <w:rFonts w:ascii="SimSun" w:hAnsi="SimSun" w:eastAsia="SimSun" w:cs="SimSun"/>
          <w:sz w:val="24"/>
          <w:szCs w:val="24"/>
          <w:b/>
          <w:bCs/>
          <w:spacing w:val="-3"/>
        </w:rPr>
        <w:t>表1.7-3环评执行污染物排放标准及主要污染物标准限值</w:t>
      </w:r>
    </w:p>
    <w:tbl>
      <w:tblPr>
        <w:tblStyle w:val="TableNormal"/>
        <w:tblW w:w="8310" w:type="dxa"/>
        <w:tblInd w:w="1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4"/>
        <w:gridCol w:w="230"/>
        <w:gridCol w:w="489"/>
        <w:gridCol w:w="909"/>
        <w:gridCol w:w="2587"/>
        <w:gridCol w:w="1099"/>
        <w:gridCol w:w="1109"/>
        <w:gridCol w:w="1613"/>
      </w:tblGrid>
      <w:tr>
        <w:trPr>
          <w:trHeight w:val="564" w:hRule="atLeast"/>
        </w:trPr>
        <w:tc>
          <w:tcPr>
            <w:shd w:val="clear" w:fill="0C0C0C"/>
            <w:tcW w:w="274" w:type="dxa"/>
            <w:vAlign w:val="top"/>
          </w:tcPr>
          <w:p>
            <w:pPr>
              <w:pStyle w:val="TableText"/>
              <w:ind w:left="18"/>
              <w:spacing w:before="50" w:line="219" w:lineRule="auto"/>
              <w:rPr>
                <w:sz w:val="21"/>
                <w:szCs w:val="21"/>
              </w:rPr>
            </w:pPr>
            <w:r>
              <w:rPr>
                <w:sz w:val="21"/>
                <w:szCs w:val="21"/>
                <w:b/>
                <w:bCs/>
                <w:spacing w:val="-3"/>
              </w:rPr>
              <w:t>类</w:t>
            </w:r>
          </w:p>
          <w:p>
            <w:pPr>
              <w:pStyle w:val="TableText"/>
              <w:ind w:left="18"/>
              <w:spacing w:before="1" w:line="220" w:lineRule="auto"/>
              <w:rPr>
                <w:sz w:val="21"/>
                <w:szCs w:val="21"/>
              </w:rPr>
            </w:pPr>
            <w:r>
              <w:rPr>
                <w:sz w:val="21"/>
                <w:szCs w:val="21"/>
                <w:b/>
                <w:bCs/>
                <w:spacing w:val="-3"/>
              </w:rPr>
              <w:t>别</w:t>
            </w:r>
          </w:p>
        </w:tc>
        <w:tc>
          <w:tcPr>
            <w:shd w:val="clear" w:fill="BDBDBD"/>
            <w:tcW w:w="230" w:type="dxa"/>
            <w:vAlign w:val="top"/>
          </w:tcPr>
          <w:p>
            <w:pPr>
              <w:pStyle w:val="TableText"/>
              <w:spacing w:before="51" w:line="221" w:lineRule="auto"/>
              <w:jc w:val="right"/>
              <w:rPr>
                <w:sz w:val="21"/>
                <w:szCs w:val="21"/>
              </w:rPr>
            </w:pPr>
            <w:r>
              <w:rPr>
                <w:sz w:val="21"/>
                <w:szCs w:val="21"/>
                <w:b/>
                <w:bCs/>
                <w:spacing w:val="-10"/>
              </w:rPr>
              <w:t>序</w:t>
            </w:r>
          </w:p>
          <w:p>
            <w:pPr>
              <w:pStyle w:val="TableText"/>
              <w:spacing w:before="8" w:line="213" w:lineRule="auto"/>
              <w:jc w:val="right"/>
              <w:rPr>
                <w:sz w:val="21"/>
                <w:szCs w:val="21"/>
              </w:rPr>
            </w:pPr>
            <w:r>
              <w:rPr>
                <w:sz w:val="21"/>
                <w:szCs w:val="21"/>
                <w:b/>
                <w:bCs/>
                <w:spacing w:val="-16"/>
              </w:rPr>
              <w:t>号</w:t>
            </w:r>
          </w:p>
        </w:tc>
        <w:tc>
          <w:tcPr>
            <w:shd w:val="clear" w:fill="0C0C0C"/>
            <w:tcW w:w="489" w:type="dxa"/>
            <w:vAlign w:val="top"/>
          </w:tcPr>
          <w:p>
            <w:pPr>
              <w:pStyle w:val="TableText"/>
              <w:ind w:left="23"/>
              <w:spacing w:before="41" w:line="210" w:lineRule="auto"/>
              <w:rPr>
                <w:sz w:val="21"/>
                <w:szCs w:val="21"/>
              </w:rPr>
            </w:pPr>
            <w:r>
              <w:rPr>
                <w:sz w:val="21"/>
                <w:szCs w:val="21"/>
                <w:b/>
                <w:bCs/>
                <w:spacing w:val="-5"/>
              </w:rPr>
              <w:t>环境</w:t>
            </w:r>
          </w:p>
          <w:p>
            <w:pPr>
              <w:pStyle w:val="TableText"/>
              <w:ind w:left="23"/>
              <w:spacing w:line="219" w:lineRule="auto"/>
              <w:rPr>
                <w:sz w:val="21"/>
                <w:szCs w:val="21"/>
              </w:rPr>
            </w:pPr>
            <w:r>
              <w:rPr>
                <w:sz w:val="21"/>
                <w:szCs w:val="21"/>
                <w:b/>
                <w:bCs/>
                <w:spacing w:val="-1"/>
              </w:rPr>
              <w:t>因素</w:t>
            </w:r>
          </w:p>
        </w:tc>
        <w:tc>
          <w:tcPr>
            <w:shd w:val="clear" w:fill="BDBDBD"/>
            <w:tcW w:w="3496" w:type="dxa"/>
            <w:vAlign w:val="top"/>
            <w:gridSpan w:val="2"/>
          </w:tcPr>
          <w:p>
            <w:pPr>
              <w:pStyle w:val="TableText"/>
              <w:ind w:left="1325"/>
              <w:spacing w:before="180" w:line="219" w:lineRule="auto"/>
              <w:rPr>
                <w:sz w:val="21"/>
                <w:szCs w:val="21"/>
              </w:rPr>
            </w:pPr>
            <w:r>
              <w:rPr>
                <w:sz w:val="21"/>
                <w:szCs w:val="21"/>
                <w:b/>
                <w:bCs/>
                <w:spacing w:val="-4"/>
              </w:rPr>
              <w:t>执行标准</w:t>
            </w:r>
          </w:p>
        </w:tc>
        <w:tc>
          <w:tcPr>
            <w:shd w:val="clear" w:fill="BDBDBD"/>
            <w:tcW w:w="1099" w:type="dxa"/>
            <w:vAlign w:val="top"/>
          </w:tcPr>
          <w:p>
            <w:pPr>
              <w:pStyle w:val="TableText"/>
              <w:ind w:left="129"/>
              <w:spacing w:before="181" w:line="220" w:lineRule="auto"/>
              <w:rPr>
                <w:sz w:val="21"/>
                <w:szCs w:val="21"/>
              </w:rPr>
            </w:pPr>
            <w:r>
              <w:rPr>
                <w:sz w:val="21"/>
                <w:szCs w:val="21"/>
                <w:b/>
                <w:bCs/>
                <w:spacing w:val="-5"/>
              </w:rPr>
              <w:t>污染因子</w:t>
            </w:r>
          </w:p>
        </w:tc>
        <w:tc>
          <w:tcPr>
            <w:shd w:val="clear" w:fill="BDBDBD"/>
            <w:tcW w:w="1109" w:type="dxa"/>
            <w:vAlign w:val="top"/>
          </w:tcPr>
          <w:p>
            <w:pPr>
              <w:pStyle w:val="TableText"/>
              <w:ind w:left="130"/>
              <w:spacing w:before="180" w:line="219" w:lineRule="auto"/>
              <w:rPr>
                <w:sz w:val="21"/>
                <w:szCs w:val="21"/>
              </w:rPr>
            </w:pPr>
            <w:r>
              <w:rPr>
                <w:sz w:val="21"/>
                <w:szCs w:val="21"/>
                <w:b/>
                <w:bCs/>
                <w:spacing w:val="-4"/>
              </w:rPr>
              <w:t>标准限值</w:t>
            </w:r>
          </w:p>
        </w:tc>
        <w:tc>
          <w:tcPr>
            <w:shd w:val="clear" w:fill="BDBDBD"/>
            <w:tcW w:w="1613" w:type="dxa"/>
            <w:vAlign w:val="top"/>
          </w:tcPr>
          <w:p>
            <w:pPr>
              <w:pStyle w:val="TableText"/>
              <w:ind w:left="590"/>
              <w:spacing w:before="181" w:line="221" w:lineRule="auto"/>
              <w:rPr>
                <w:sz w:val="21"/>
                <w:szCs w:val="21"/>
              </w:rPr>
            </w:pPr>
            <w:r>
              <w:rPr>
                <w:sz w:val="21"/>
                <w:szCs w:val="21"/>
                <w:b/>
                <w:bCs/>
                <w:spacing w:val="-5"/>
              </w:rPr>
              <w:t>备注</w:t>
            </w:r>
          </w:p>
        </w:tc>
      </w:tr>
      <w:tr>
        <w:trPr>
          <w:trHeight w:val="539" w:hRule="atLeast"/>
        </w:trPr>
        <w:tc>
          <w:tcPr>
            <w:tcW w:w="274" w:type="dxa"/>
            <w:vAlign w:val="top"/>
            <w:vMerge w:val="restart"/>
            <w:textDirection w:val="tbRlV"/>
            <w:tcBorders>
              <w:bottom w:val="nil"/>
            </w:tcBorders>
          </w:tcPr>
          <w:p>
            <w:pPr>
              <w:pStyle w:val="TableText"/>
              <w:ind w:left="2195"/>
              <w:spacing w:before="46" w:line="202" w:lineRule="auto"/>
              <w:rPr>
                <w:sz w:val="21"/>
                <w:szCs w:val="21"/>
              </w:rPr>
            </w:pPr>
            <w:r>
              <w:rPr>
                <w:sz w:val="21"/>
                <w:szCs w:val="21"/>
                <w:color w:val="605060"/>
              </w:rPr>
              <w:t>污</w:t>
            </w:r>
            <w:r>
              <w:rPr>
                <w:sz w:val="21"/>
                <w:szCs w:val="21"/>
                <w:color w:val="605060"/>
                <w:spacing w:val="-31"/>
              </w:rPr>
              <w:t xml:space="preserve"> </w:t>
            </w:r>
            <w:r>
              <w:rPr>
                <w:sz w:val="21"/>
                <w:szCs w:val="21"/>
                <w:color w:val="605060"/>
              </w:rPr>
              <w:t>染</w:t>
            </w:r>
            <w:r>
              <w:rPr>
                <w:sz w:val="21"/>
                <w:szCs w:val="21"/>
                <w:color w:val="605060"/>
                <w:spacing w:val="-33"/>
              </w:rPr>
              <w:t xml:space="preserve"> </w:t>
            </w:r>
            <w:r>
              <w:rPr>
                <w:sz w:val="21"/>
                <w:szCs w:val="21"/>
                <w:color w:val="605060"/>
              </w:rPr>
              <w:t>物</w:t>
            </w:r>
            <w:r>
              <w:rPr>
                <w:sz w:val="21"/>
                <w:szCs w:val="21"/>
                <w:color w:val="605060"/>
                <w:spacing w:val="-32"/>
              </w:rPr>
              <w:t xml:space="preserve"> </w:t>
            </w:r>
            <w:r>
              <w:rPr>
                <w:sz w:val="21"/>
                <w:szCs w:val="21"/>
                <w:color w:val="605060"/>
              </w:rPr>
              <w:t>排</w:t>
            </w:r>
            <w:r>
              <w:rPr>
                <w:sz w:val="21"/>
                <w:szCs w:val="21"/>
                <w:color w:val="605060"/>
                <w:spacing w:val="-33"/>
              </w:rPr>
              <w:t xml:space="preserve"> </w:t>
            </w:r>
            <w:r>
              <w:rPr>
                <w:sz w:val="21"/>
                <w:szCs w:val="21"/>
                <w:color w:val="605060"/>
              </w:rPr>
              <w:t>放</w:t>
            </w:r>
            <w:r>
              <w:rPr>
                <w:sz w:val="21"/>
                <w:szCs w:val="21"/>
                <w:color w:val="605060"/>
                <w:spacing w:val="-33"/>
              </w:rPr>
              <w:t xml:space="preserve"> </w:t>
            </w:r>
            <w:r>
              <w:rPr>
                <w:sz w:val="21"/>
                <w:szCs w:val="21"/>
                <w:color w:val="605060"/>
              </w:rPr>
              <w:t>标</w:t>
            </w:r>
            <w:r>
              <w:rPr>
                <w:sz w:val="21"/>
                <w:szCs w:val="21"/>
              </w:rPr>
              <w:t>准</w:t>
            </w:r>
          </w:p>
        </w:tc>
        <w:tc>
          <w:tcPr>
            <w:tcW w:w="230" w:type="dxa"/>
            <w:vAlign w:val="top"/>
            <w:vMerge w:val="restart"/>
            <w:tcBorders>
              <w:bottom w:val="nil"/>
            </w:tcBorders>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51"/>
              <w:spacing w:before="68" w:line="241" w:lineRule="auto"/>
              <w:rPr>
                <w:sz w:val="21"/>
                <w:szCs w:val="21"/>
              </w:rPr>
            </w:pPr>
            <w:r>
              <w:rPr>
                <w:sz w:val="21"/>
                <w:szCs w:val="21"/>
                <w:color w:val="606070"/>
              </w:rPr>
              <w:t>1</w:t>
            </w:r>
          </w:p>
        </w:tc>
        <w:tc>
          <w:tcPr>
            <w:tcW w:w="489" w:type="dxa"/>
            <w:vAlign w:val="top"/>
            <w:vMerge w:val="restart"/>
            <w:tcBorders>
              <w:bottom w:val="nil"/>
            </w:tcBorders>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pStyle w:val="TableText"/>
              <w:ind w:left="20"/>
              <w:spacing w:before="68" w:line="220" w:lineRule="auto"/>
              <w:rPr>
                <w:sz w:val="21"/>
                <w:szCs w:val="21"/>
              </w:rPr>
            </w:pPr>
            <w:r>
              <w:rPr>
                <w:sz w:val="21"/>
                <w:szCs w:val="21"/>
                <w:spacing w:val="6"/>
              </w:rPr>
              <w:t>废气</w:t>
            </w:r>
          </w:p>
        </w:tc>
        <w:tc>
          <w:tcPr>
            <w:tcW w:w="909" w:type="dxa"/>
            <w:vAlign w:val="top"/>
            <w:vMerge w:val="restart"/>
            <w:tcBorders>
              <w:bottom w:val="nil"/>
            </w:tcBorders>
          </w:tcPr>
          <w:p>
            <w:pPr>
              <w:pStyle w:val="TableText"/>
              <w:ind w:left="22"/>
              <w:spacing w:before="170" w:line="220" w:lineRule="auto"/>
              <w:rPr>
                <w:sz w:val="21"/>
                <w:szCs w:val="21"/>
              </w:rPr>
            </w:pPr>
            <w:r>
              <w:rPr>
                <w:sz w:val="21"/>
                <w:szCs w:val="21"/>
                <w:spacing w:val="-2"/>
              </w:rPr>
              <w:t>施工场地</w:t>
            </w:r>
          </w:p>
          <w:p>
            <w:pPr>
              <w:pStyle w:val="TableText"/>
              <w:ind w:left="232"/>
              <w:spacing w:before="11" w:line="221" w:lineRule="auto"/>
              <w:rPr>
                <w:sz w:val="21"/>
                <w:szCs w:val="21"/>
              </w:rPr>
            </w:pPr>
            <w:r>
              <w:rPr>
                <w:sz w:val="21"/>
                <w:szCs w:val="21"/>
                <w:spacing w:val="-2"/>
              </w:rPr>
              <w:t>扬尘</w:t>
            </w:r>
          </w:p>
        </w:tc>
        <w:tc>
          <w:tcPr>
            <w:tcW w:w="2587" w:type="dxa"/>
            <w:vAlign w:val="top"/>
            <w:vMerge w:val="restart"/>
            <w:tcBorders>
              <w:bottom w:val="nil"/>
            </w:tcBorders>
          </w:tcPr>
          <w:p>
            <w:pPr>
              <w:pStyle w:val="TableText"/>
              <w:ind w:left="162" w:right="83" w:hanging="162"/>
              <w:spacing w:before="179" w:line="249" w:lineRule="auto"/>
              <w:rPr>
                <w:sz w:val="21"/>
                <w:szCs w:val="21"/>
              </w:rPr>
            </w:pPr>
            <w:r>
              <w:rPr>
                <w:sz w:val="21"/>
                <w:szCs w:val="21"/>
                <w:spacing w:val="-3"/>
              </w:rPr>
              <w:t>《四川省施工场地扬尘排放</w:t>
            </w:r>
            <w:r>
              <w:rPr>
                <w:sz w:val="21"/>
                <w:szCs w:val="21"/>
                <w:spacing w:val="8"/>
              </w:rPr>
              <w:t xml:space="preserve"> </w:t>
            </w:r>
            <w:r>
              <w:rPr>
                <w:sz w:val="21"/>
                <w:szCs w:val="21"/>
              </w:rPr>
              <w:t>标准》(DB51/2682-2020)</w:t>
            </w:r>
          </w:p>
        </w:tc>
        <w:tc>
          <w:tcPr>
            <w:tcW w:w="1099" w:type="dxa"/>
            <w:vAlign w:val="top"/>
            <w:vMerge w:val="restart"/>
            <w:tcBorders>
              <w:bottom w:val="nil"/>
            </w:tcBorders>
          </w:tcPr>
          <w:p>
            <w:pPr>
              <w:spacing w:line="293" w:lineRule="auto"/>
              <w:rPr>
                <w:rFonts w:ascii="Arial"/>
                <w:sz w:val="21"/>
              </w:rPr>
            </w:pPr>
            <w:r/>
          </w:p>
          <w:p>
            <w:pPr>
              <w:pStyle w:val="TableText"/>
              <w:ind w:left="386"/>
              <w:spacing w:before="69" w:line="183" w:lineRule="auto"/>
              <w:rPr>
                <w:sz w:val="21"/>
                <w:szCs w:val="21"/>
              </w:rPr>
            </w:pPr>
            <w:r>
              <w:rPr>
                <w:sz w:val="21"/>
                <w:szCs w:val="21"/>
                <w:spacing w:val="-2"/>
              </w:rPr>
              <w:t>TSP</w:t>
            </w:r>
          </w:p>
        </w:tc>
        <w:tc>
          <w:tcPr>
            <w:tcW w:w="1109" w:type="dxa"/>
            <w:vAlign w:val="top"/>
          </w:tcPr>
          <w:p>
            <w:pPr>
              <w:pStyle w:val="TableText"/>
              <w:ind w:left="27"/>
              <w:spacing w:before="162" w:line="214" w:lineRule="auto"/>
              <w:rPr>
                <w:sz w:val="21"/>
                <w:szCs w:val="21"/>
              </w:rPr>
            </w:pPr>
            <w:r>
              <w:rPr>
                <w:sz w:val="21"/>
                <w:szCs w:val="21"/>
                <w:spacing w:val="-2"/>
              </w:rPr>
              <w:t>600μg/m³</w:t>
            </w:r>
          </w:p>
        </w:tc>
        <w:tc>
          <w:tcPr>
            <w:tcW w:w="1613" w:type="dxa"/>
            <w:vAlign w:val="top"/>
          </w:tcPr>
          <w:p>
            <w:pPr>
              <w:pStyle w:val="TableText"/>
              <w:ind w:left="8" w:right="5"/>
              <w:spacing w:before="28" w:line="220" w:lineRule="auto"/>
              <w:rPr>
                <w:sz w:val="21"/>
                <w:szCs w:val="21"/>
              </w:rPr>
            </w:pPr>
            <w:r>
              <w:rPr>
                <w:sz w:val="21"/>
                <w:szCs w:val="21"/>
                <w:spacing w:val="1"/>
              </w:rPr>
              <w:t>拆除工程/土方开</w:t>
            </w:r>
            <w:r>
              <w:rPr>
                <w:sz w:val="21"/>
                <w:szCs w:val="21"/>
                <w:spacing w:val="5"/>
              </w:rPr>
              <w:t xml:space="preserve"> </w:t>
            </w:r>
            <w:r>
              <w:rPr>
                <w:sz w:val="21"/>
                <w:szCs w:val="21"/>
                <w:spacing w:val="1"/>
              </w:rPr>
              <w:t>挖/土方回填阶段</w:t>
            </w:r>
          </w:p>
        </w:tc>
      </w:tr>
      <w:tr>
        <w:trPr>
          <w:trHeight w:val="279" w:hRule="atLeast"/>
        </w:trPr>
        <w:tc>
          <w:tcPr>
            <w:tcW w:w="274" w:type="dxa"/>
            <w:vAlign w:val="top"/>
            <w:vMerge w:val="continue"/>
            <w:textDirection w:val="tbRlV"/>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909" w:type="dxa"/>
            <w:vAlign w:val="top"/>
            <w:vMerge w:val="continue"/>
            <w:tcBorders>
              <w:top w:val="nil"/>
            </w:tcBorders>
          </w:tcPr>
          <w:p>
            <w:pPr>
              <w:rPr>
                <w:rFonts w:ascii="Arial"/>
                <w:sz w:val="21"/>
              </w:rPr>
            </w:pPr>
            <w:r/>
          </w:p>
        </w:tc>
        <w:tc>
          <w:tcPr>
            <w:tcW w:w="2587" w:type="dxa"/>
            <w:vAlign w:val="top"/>
            <w:vMerge w:val="continue"/>
            <w:tcBorders>
              <w:top w:val="nil"/>
            </w:tcBorders>
          </w:tcPr>
          <w:p>
            <w:pPr>
              <w:rPr>
                <w:rFonts w:ascii="Arial"/>
                <w:sz w:val="21"/>
              </w:rPr>
            </w:pPr>
            <w:r/>
          </w:p>
        </w:tc>
        <w:tc>
          <w:tcPr>
            <w:tcW w:w="1099" w:type="dxa"/>
            <w:vAlign w:val="top"/>
            <w:vMerge w:val="continue"/>
            <w:tcBorders>
              <w:top w:val="nil"/>
            </w:tcBorders>
          </w:tcPr>
          <w:p>
            <w:pPr>
              <w:rPr>
                <w:rFonts w:ascii="Arial"/>
                <w:sz w:val="21"/>
              </w:rPr>
            </w:pPr>
            <w:r/>
          </w:p>
        </w:tc>
        <w:tc>
          <w:tcPr>
            <w:tcW w:w="1109" w:type="dxa"/>
            <w:vAlign w:val="top"/>
          </w:tcPr>
          <w:p>
            <w:pPr>
              <w:pStyle w:val="TableText"/>
              <w:ind w:left="27"/>
              <w:spacing w:before="33" w:line="207" w:lineRule="auto"/>
              <w:rPr>
                <w:sz w:val="21"/>
                <w:szCs w:val="21"/>
              </w:rPr>
            </w:pPr>
            <w:r>
              <w:rPr>
                <w:sz w:val="21"/>
                <w:szCs w:val="21"/>
                <w:spacing w:val="-2"/>
              </w:rPr>
              <w:t>250μg/m³</w:t>
            </w:r>
          </w:p>
        </w:tc>
        <w:tc>
          <w:tcPr>
            <w:tcW w:w="1613" w:type="dxa"/>
            <w:vAlign w:val="top"/>
          </w:tcPr>
          <w:p>
            <w:pPr>
              <w:pStyle w:val="TableText"/>
              <w:ind w:left="168"/>
              <w:spacing w:before="41" w:line="200" w:lineRule="auto"/>
              <w:rPr>
                <w:sz w:val="21"/>
                <w:szCs w:val="21"/>
              </w:rPr>
            </w:pPr>
            <w:r>
              <w:rPr>
                <w:sz w:val="21"/>
                <w:szCs w:val="21"/>
                <w:spacing w:val="-2"/>
              </w:rPr>
              <w:t>其他工程阶段</w:t>
            </w:r>
          </w:p>
        </w:tc>
      </w:tr>
      <w:tr>
        <w:trPr>
          <w:trHeight w:val="259" w:hRule="atLeast"/>
        </w:trPr>
        <w:tc>
          <w:tcPr>
            <w:tcW w:w="274" w:type="dxa"/>
            <w:vAlign w:val="top"/>
            <w:vMerge w:val="continue"/>
            <w:textDirection w:val="tbRlV"/>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909" w:type="dxa"/>
            <w:vAlign w:val="top"/>
            <w:vMerge w:val="restart"/>
            <w:tcBorders>
              <w:bottom w:val="nil"/>
            </w:tcBorders>
          </w:tcPr>
          <w:p>
            <w:pPr>
              <w:spacing w:line="329" w:lineRule="auto"/>
              <w:rPr>
                <w:rFonts w:ascii="Arial"/>
                <w:sz w:val="21"/>
              </w:rPr>
            </w:pPr>
            <w:r/>
          </w:p>
          <w:p>
            <w:pPr>
              <w:spacing w:line="330" w:lineRule="auto"/>
              <w:rPr>
                <w:rFonts w:ascii="Arial"/>
                <w:sz w:val="21"/>
              </w:rPr>
            </w:pPr>
            <w:r/>
          </w:p>
          <w:p>
            <w:pPr>
              <w:pStyle w:val="TableText"/>
              <w:ind w:left="232"/>
              <w:spacing w:before="68" w:line="219" w:lineRule="auto"/>
              <w:rPr>
                <w:sz w:val="21"/>
                <w:szCs w:val="21"/>
              </w:rPr>
            </w:pPr>
            <w:r>
              <w:rPr>
                <w:sz w:val="21"/>
                <w:szCs w:val="21"/>
                <w:spacing w:val="-3"/>
              </w:rPr>
              <w:t>恶臭</w:t>
            </w:r>
          </w:p>
        </w:tc>
        <w:tc>
          <w:tcPr>
            <w:tcW w:w="2587" w:type="dxa"/>
            <w:vAlign w:val="top"/>
            <w:vMerge w:val="restart"/>
            <w:tcBorders>
              <w:bottom w:val="nil"/>
            </w:tcBorders>
          </w:tcPr>
          <w:p>
            <w:pPr>
              <w:spacing w:line="260" w:lineRule="auto"/>
              <w:rPr>
                <w:rFonts w:ascii="Arial"/>
                <w:sz w:val="21"/>
              </w:rPr>
            </w:pPr>
            <w:r/>
          </w:p>
          <w:p>
            <w:pPr>
              <w:spacing w:line="260" w:lineRule="auto"/>
              <w:rPr>
                <w:rFonts w:ascii="Arial"/>
                <w:sz w:val="21"/>
              </w:rPr>
            </w:pPr>
            <w:r/>
          </w:p>
          <w:p>
            <w:pPr>
              <w:pStyle w:val="TableText"/>
              <w:ind w:left="128"/>
              <w:spacing w:before="68" w:line="219" w:lineRule="auto"/>
              <w:rPr>
                <w:sz w:val="21"/>
                <w:szCs w:val="21"/>
              </w:rPr>
            </w:pPr>
            <w:r>
              <w:rPr>
                <w:sz w:val="21"/>
                <w:szCs w:val="21"/>
                <w:spacing w:val="-2"/>
              </w:rPr>
              <w:t>《恶臭污染物排放标准》</w:t>
            </w:r>
          </w:p>
          <w:p>
            <w:pPr>
              <w:pStyle w:val="TableText"/>
              <w:ind w:left="653"/>
              <w:spacing w:before="44" w:line="222" w:lineRule="auto"/>
              <w:rPr>
                <w:sz w:val="21"/>
                <w:szCs w:val="21"/>
              </w:rPr>
            </w:pPr>
            <w:r>
              <w:rPr>
                <w:sz w:val="21"/>
                <w:szCs w:val="21"/>
                <w:spacing w:val="-4"/>
              </w:rPr>
              <w:t>(GB14554-93)</w:t>
            </w:r>
          </w:p>
        </w:tc>
        <w:tc>
          <w:tcPr>
            <w:tcW w:w="1099" w:type="dxa"/>
            <w:vAlign w:val="top"/>
          </w:tcPr>
          <w:p>
            <w:pPr>
              <w:pStyle w:val="TableText"/>
              <w:ind w:left="436"/>
              <w:spacing w:before="31" w:line="191" w:lineRule="auto"/>
              <w:rPr>
                <w:sz w:val="21"/>
                <w:szCs w:val="21"/>
              </w:rPr>
            </w:pPr>
            <w:r>
              <w:rPr>
                <w:sz w:val="21"/>
                <w:szCs w:val="21"/>
              </w:rPr>
              <w:t>氨</w:t>
            </w:r>
          </w:p>
        </w:tc>
        <w:tc>
          <w:tcPr>
            <w:tcW w:w="1109" w:type="dxa"/>
            <w:vAlign w:val="top"/>
          </w:tcPr>
          <w:p>
            <w:pPr>
              <w:pStyle w:val="TableText"/>
              <w:ind w:left="177"/>
              <w:spacing w:before="24" w:line="197" w:lineRule="auto"/>
              <w:rPr>
                <w:sz w:val="21"/>
                <w:szCs w:val="21"/>
              </w:rPr>
            </w:pPr>
            <w:r>
              <w:rPr>
                <w:sz w:val="21"/>
                <w:szCs w:val="21"/>
                <w:spacing w:val="-1"/>
              </w:rPr>
              <w:t>4.9kg/h</w:t>
            </w:r>
          </w:p>
        </w:tc>
        <w:tc>
          <w:tcPr>
            <w:tcW w:w="1613" w:type="dxa"/>
            <w:vAlign w:val="top"/>
            <w:vMerge w:val="restart"/>
            <w:tcBorders>
              <w:bottom w:val="nil"/>
            </w:tcBorders>
          </w:tcPr>
          <w:p>
            <w:pPr>
              <w:spacing w:line="242" w:lineRule="auto"/>
              <w:rPr>
                <w:rFonts w:ascii="Arial"/>
                <w:sz w:val="21"/>
              </w:rPr>
            </w:pPr>
            <w:r/>
          </w:p>
          <w:p>
            <w:pPr>
              <w:pStyle w:val="TableText"/>
              <w:ind w:left="327"/>
              <w:spacing w:before="68" w:line="219" w:lineRule="auto"/>
              <w:rPr>
                <w:sz w:val="21"/>
                <w:szCs w:val="21"/>
              </w:rPr>
            </w:pPr>
            <w:r>
              <w:rPr>
                <w:sz w:val="21"/>
                <w:szCs w:val="21"/>
                <w:spacing w:val="1"/>
              </w:rPr>
              <w:t>15m排气筒</w:t>
            </w:r>
          </w:p>
        </w:tc>
      </w:tr>
      <w:tr>
        <w:trPr>
          <w:trHeight w:val="270" w:hRule="atLeast"/>
        </w:trPr>
        <w:tc>
          <w:tcPr>
            <w:tcW w:w="274" w:type="dxa"/>
            <w:vAlign w:val="top"/>
            <w:vMerge w:val="continue"/>
            <w:textDirection w:val="tbRlV"/>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909" w:type="dxa"/>
            <w:vAlign w:val="top"/>
            <w:vMerge w:val="continue"/>
            <w:tcBorders>
              <w:top w:val="nil"/>
              <w:bottom w:val="nil"/>
            </w:tcBorders>
          </w:tcPr>
          <w:p>
            <w:pPr>
              <w:rPr>
                <w:rFonts w:ascii="Arial"/>
                <w:sz w:val="21"/>
              </w:rPr>
            </w:pPr>
            <w:r/>
          </w:p>
        </w:tc>
        <w:tc>
          <w:tcPr>
            <w:tcW w:w="2587" w:type="dxa"/>
            <w:vAlign w:val="top"/>
            <w:vMerge w:val="continue"/>
            <w:tcBorders>
              <w:top w:val="nil"/>
              <w:bottom w:val="nil"/>
            </w:tcBorders>
          </w:tcPr>
          <w:p>
            <w:pPr>
              <w:rPr>
                <w:rFonts w:ascii="Arial"/>
                <w:sz w:val="21"/>
              </w:rPr>
            </w:pPr>
            <w:r/>
          </w:p>
        </w:tc>
        <w:tc>
          <w:tcPr>
            <w:tcW w:w="1099" w:type="dxa"/>
            <w:vAlign w:val="top"/>
          </w:tcPr>
          <w:p>
            <w:pPr>
              <w:pStyle w:val="TableText"/>
              <w:ind w:left="226"/>
              <w:spacing w:before="33" w:line="199" w:lineRule="auto"/>
              <w:rPr>
                <w:sz w:val="21"/>
                <w:szCs w:val="21"/>
              </w:rPr>
            </w:pPr>
            <w:r>
              <w:rPr>
                <w:sz w:val="21"/>
                <w:szCs w:val="21"/>
                <w:spacing w:val="-2"/>
              </w:rPr>
              <w:t>硫化氢</w:t>
            </w:r>
          </w:p>
        </w:tc>
        <w:tc>
          <w:tcPr>
            <w:tcW w:w="1109" w:type="dxa"/>
            <w:vAlign w:val="top"/>
          </w:tcPr>
          <w:p>
            <w:pPr>
              <w:pStyle w:val="TableText"/>
              <w:ind w:left="127"/>
              <w:spacing w:before="25" w:line="206" w:lineRule="auto"/>
              <w:rPr>
                <w:sz w:val="21"/>
                <w:szCs w:val="21"/>
              </w:rPr>
            </w:pPr>
            <w:r>
              <w:rPr>
                <w:sz w:val="21"/>
                <w:szCs w:val="21"/>
                <w:color w:val="707060"/>
                <w:spacing w:val="-1"/>
              </w:rPr>
              <w:t>0.33kg/h</w:t>
            </w:r>
          </w:p>
        </w:tc>
        <w:tc>
          <w:tcPr>
            <w:tcW w:w="1613" w:type="dxa"/>
            <w:vAlign w:val="top"/>
            <w:vMerge w:val="continue"/>
            <w:tcBorders>
              <w:top w:val="nil"/>
              <w:bottom w:val="nil"/>
            </w:tcBorders>
          </w:tcPr>
          <w:p>
            <w:pPr>
              <w:rPr>
                <w:rFonts w:ascii="Arial"/>
                <w:sz w:val="21"/>
              </w:rPr>
            </w:pPr>
            <w:r/>
          </w:p>
        </w:tc>
      </w:tr>
      <w:tr>
        <w:trPr>
          <w:trHeight w:val="280" w:hRule="atLeast"/>
        </w:trPr>
        <w:tc>
          <w:tcPr>
            <w:tcW w:w="274" w:type="dxa"/>
            <w:vAlign w:val="top"/>
            <w:vMerge w:val="continue"/>
            <w:textDirection w:val="tbRlV"/>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909" w:type="dxa"/>
            <w:vAlign w:val="top"/>
            <w:vMerge w:val="continue"/>
            <w:tcBorders>
              <w:top w:val="nil"/>
              <w:bottom w:val="nil"/>
            </w:tcBorders>
          </w:tcPr>
          <w:p>
            <w:pPr>
              <w:rPr>
                <w:rFonts w:ascii="Arial"/>
                <w:sz w:val="21"/>
              </w:rPr>
            </w:pPr>
            <w:r/>
          </w:p>
        </w:tc>
        <w:tc>
          <w:tcPr>
            <w:tcW w:w="2587" w:type="dxa"/>
            <w:vAlign w:val="top"/>
            <w:vMerge w:val="continue"/>
            <w:tcBorders>
              <w:top w:val="nil"/>
              <w:bottom w:val="nil"/>
            </w:tcBorders>
          </w:tcPr>
          <w:p>
            <w:pPr>
              <w:rPr>
                <w:rFonts w:ascii="Arial"/>
                <w:sz w:val="21"/>
              </w:rPr>
            </w:pPr>
            <w:r/>
          </w:p>
        </w:tc>
        <w:tc>
          <w:tcPr>
            <w:tcW w:w="1099" w:type="dxa"/>
            <w:vAlign w:val="top"/>
          </w:tcPr>
          <w:p>
            <w:pPr>
              <w:pStyle w:val="TableText"/>
              <w:ind w:left="126"/>
              <w:spacing w:before="42" w:line="200" w:lineRule="auto"/>
              <w:rPr>
                <w:sz w:val="21"/>
                <w:szCs w:val="21"/>
              </w:rPr>
            </w:pPr>
            <w:r>
              <w:rPr>
                <w:sz w:val="21"/>
                <w:szCs w:val="21"/>
                <w:spacing w:val="3"/>
              </w:rPr>
              <w:t>臭气浓度</w:t>
            </w:r>
          </w:p>
        </w:tc>
        <w:tc>
          <w:tcPr>
            <w:tcW w:w="1109" w:type="dxa"/>
            <w:vAlign w:val="top"/>
          </w:tcPr>
          <w:p>
            <w:pPr>
              <w:pStyle w:val="TableText"/>
              <w:ind w:left="27"/>
              <w:spacing w:before="43" w:line="199" w:lineRule="auto"/>
              <w:rPr>
                <w:sz w:val="21"/>
                <w:szCs w:val="21"/>
              </w:rPr>
            </w:pPr>
            <w:r>
              <w:rPr>
                <w:sz w:val="21"/>
                <w:szCs w:val="21"/>
                <w:spacing w:val="1"/>
              </w:rPr>
              <w:t>2000无量纲</w:t>
            </w:r>
          </w:p>
        </w:tc>
        <w:tc>
          <w:tcPr>
            <w:tcW w:w="1613" w:type="dxa"/>
            <w:vAlign w:val="top"/>
            <w:vMerge w:val="continue"/>
            <w:tcBorders>
              <w:top w:val="nil"/>
            </w:tcBorders>
          </w:tcPr>
          <w:p>
            <w:pPr>
              <w:rPr>
                <w:rFonts w:ascii="Arial"/>
                <w:sz w:val="21"/>
              </w:rPr>
            </w:pPr>
            <w:r/>
          </w:p>
        </w:tc>
      </w:tr>
      <w:tr>
        <w:trPr>
          <w:trHeight w:val="270" w:hRule="atLeast"/>
        </w:trPr>
        <w:tc>
          <w:tcPr>
            <w:tcW w:w="274" w:type="dxa"/>
            <w:vAlign w:val="top"/>
            <w:vMerge w:val="continue"/>
            <w:textDirection w:val="tbRlV"/>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909" w:type="dxa"/>
            <w:vAlign w:val="top"/>
            <w:vMerge w:val="continue"/>
            <w:tcBorders>
              <w:top w:val="nil"/>
              <w:bottom w:val="nil"/>
            </w:tcBorders>
          </w:tcPr>
          <w:p>
            <w:pPr>
              <w:rPr>
                <w:rFonts w:ascii="Arial"/>
                <w:sz w:val="21"/>
              </w:rPr>
            </w:pPr>
            <w:r/>
          </w:p>
        </w:tc>
        <w:tc>
          <w:tcPr>
            <w:tcW w:w="2587" w:type="dxa"/>
            <w:vAlign w:val="top"/>
            <w:vMerge w:val="continue"/>
            <w:tcBorders>
              <w:top w:val="nil"/>
              <w:bottom w:val="nil"/>
            </w:tcBorders>
          </w:tcPr>
          <w:p>
            <w:pPr>
              <w:rPr>
                <w:rFonts w:ascii="Arial"/>
                <w:sz w:val="21"/>
              </w:rPr>
            </w:pPr>
            <w:r/>
          </w:p>
        </w:tc>
        <w:tc>
          <w:tcPr>
            <w:tcW w:w="1099" w:type="dxa"/>
            <w:vAlign w:val="top"/>
          </w:tcPr>
          <w:p>
            <w:pPr>
              <w:pStyle w:val="TableText"/>
              <w:ind w:left="436"/>
              <w:spacing w:before="33" w:line="199" w:lineRule="auto"/>
              <w:rPr>
                <w:sz w:val="21"/>
                <w:szCs w:val="21"/>
              </w:rPr>
            </w:pPr>
            <w:r>
              <w:rPr>
                <w:sz w:val="21"/>
                <w:szCs w:val="21"/>
              </w:rPr>
              <w:t>氨</w:t>
            </w:r>
          </w:p>
        </w:tc>
        <w:tc>
          <w:tcPr>
            <w:tcW w:w="1109" w:type="dxa"/>
            <w:vAlign w:val="top"/>
          </w:tcPr>
          <w:p>
            <w:pPr>
              <w:pStyle w:val="TableText"/>
              <w:ind w:left="76"/>
              <w:spacing w:before="25" w:line="206" w:lineRule="auto"/>
              <w:rPr>
                <w:sz w:val="21"/>
                <w:szCs w:val="21"/>
              </w:rPr>
            </w:pPr>
            <w:r>
              <w:rPr>
                <w:sz w:val="21"/>
                <w:szCs w:val="21"/>
                <w:spacing w:val="-3"/>
              </w:rPr>
              <w:t>1.5mg/m³</w:t>
            </w:r>
          </w:p>
        </w:tc>
        <w:tc>
          <w:tcPr>
            <w:tcW w:w="1613" w:type="dxa"/>
            <w:vAlign w:val="top"/>
            <w:vMerge w:val="restart"/>
            <w:tcBorders>
              <w:bottom w:val="nil"/>
            </w:tcBorders>
          </w:tcPr>
          <w:p>
            <w:pPr>
              <w:spacing w:line="243" w:lineRule="auto"/>
              <w:rPr>
                <w:rFonts w:ascii="Arial"/>
                <w:sz w:val="21"/>
              </w:rPr>
            </w:pPr>
            <w:r/>
          </w:p>
          <w:p>
            <w:pPr>
              <w:pStyle w:val="TableText"/>
              <w:ind w:left="587"/>
              <w:spacing w:before="68" w:line="220" w:lineRule="auto"/>
              <w:rPr>
                <w:sz w:val="21"/>
                <w:szCs w:val="21"/>
              </w:rPr>
            </w:pPr>
            <w:r>
              <w:rPr>
                <w:sz w:val="21"/>
                <w:szCs w:val="21"/>
                <w:spacing w:val="-3"/>
              </w:rPr>
              <w:t>厂界</w:t>
            </w:r>
          </w:p>
        </w:tc>
      </w:tr>
      <w:tr>
        <w:trPr>
          <w:trHeight w:val="280" w:hRule="atLeast"/>
        </w:trPr>
        <w:tc>
          <w:tcPr>
            <w:tcW w:w="274" w:type="dxa"/>
            <w:vAlign w:val="top"/>
            <w:vMerge w:val="continue"/>
            <w:textDirection w:val="tbRlV"/>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909" w:type="dxa"/>
            <w:vAlign w:val="top"/>
            <w:vMerge w:val="continue"/>
            <w:tcBorders>
              <w:top w:val="nil"/>
              <w:bottom w:val="nil"/>
            </w:tcBorders>
          </w:tcPr>
          <w:p>
            <w:pPr>
              <w:rPr>
                <w:rFonts w:ascii="Arial"/>
                <w:sz w:val="21"/>
              </w:rPr>
            </w:pPr>
            <w:r/>
          </w:p>
        </w:tc>
        <w:tc>
          <w:tcPr>
            <w:tcW w:w="2587" w:type="dxa"/>
            <w:vAlign w:val="top"/>
            <w:vMerge w:val="continue"/>
            <w:tcBorders>
              <w:top w:val="nil"/>
              <w:bottom w:val="nil"/>
            </w:tcBorders>
          </w:tcPr>
          <w:p>
            <w:pPr>
              <w:rPr>
                <w:rFonts w:ascii="Arial"/>
                <w:sz w:val="21"/>
              </w:rPr>
            </w:pPr>
            <w:r/>
          </w:p>
        </w:tc>
        <w:tc>
          <w:tcPr>
            <w:tcW w:w="1099" w:type="dxa"/>
            <w:vAlign w:val="top"/>
          </w:tcPr>
          <w:p>
            <w:pPr>
              <w:pStyle w:val="TableText"/>
              <w:ind w:left="226"/>
              <w:spacing w:before="43" w:line="199" w:lineRule="auto"/>
              <w:rPr>
                <w:sz w:val="21"/>
                <w:szCs w:val="21"/>
              </w:rPr>
            </w:pPr>
            <w:r>
              <w:rPr>
                <w:sz w:val="21"/>
                <w:szCs w:val="21"/>
                <w:spacing w:val="-2"/>
              </w:rPr>
              <w:t>硫化氢</w:t>
            </w:r>
          </w:p>
        </w:tc>
        <w:tc>
          <w:tcPr>
            <w:tcW w:w="1109" w:type="dxa"/>
            <w:vAlign w:val="top"/>
          </w:tcPr>
          <w:p>
            <w:pPr>
              <w:pStyle w:val="TableText"/>
              <w:ind w:left="27"/>
              <w:spacing w:before="35" w:line="206" w:lineRule="auto"/>
              <w:rPr>
                <w:sz w:val="21"/>
                <w:szCs w:val="21"/>
              </w:rPr>
            </w:pPr>
            <w:r>
              <w:rPr>
                <w:sz w:val="21"/>
                <w:szCs w:val="21"/>
                <w:spacing w:val="-1"/>
              </w:rPr>
              <w:t>0.06mg/m³</w:t>
            </w:r>
          </w:p>
        </w:tc>
        <w:tc>
          <w:tcPr>
            <w:tcW w:w="1613" w:type="dxa"/>
            <w:vAlign w:val="top"/>
            <w:vMerge w:val="continue"/>
            <w:tcBorders>
              <w:top w:val="nil"/>
              <w:bottom w:val="nil"/>
            </w:tcBorders>
          </w:tcPr>
          <w:p>
            <w:pPr>
              <w:rPr>
                <w:rFonts w:ascii="Arial"/>
                <w:sz w:val="21"/>
              </w:rPr>
            </w:pPr>
            <w:r/>
          </w:p>
        </w:tc>
      </w:tr>
      <w:tr>
        <w:trPr>
          <w:trHeight w:val="259" w:hRule="atLeast"/>
        </w:trPr>
        <w:tc>
          <w:tcPr>
            <w:tcW w:w="274" w:type="dxa"/>
            <w:vAlign w:val="top"/>
            <w:vMerge w:val="continue"/>
            <w:textDirection w:val="tbRlV"/>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909" w:type="dxa"/>
            <w:vAlign w:val="top"/>
            <w:vMerge w:val="continue"/>
            <w:tcBorders>
              <w:top w:val="nil"/>
            </w:tcBorders>
          </w:tcPr>
          <w:p>
            <w:pPr>
              <w:rPr>
                <w:rFonts w:ascii="Arial"/>
                <w:sz w:val="21"/>
              </w:rPr>
            </w:pPr>
            <w:r/>
          </w:p>
        </w:tc>
        <w:tc>
          <w:tcPr>
            <w:tcW w:w="2587" w:type="dxa"/>
            <w:vAlign w:val="top"/>
            <w:vMerge w:val="continue"/>
            <w:tcBorders>
              <w:top w:val="nil"/>
            </w:tcBorders>
          </w:tcPr>
          <w:p>
            <w:pPr>
              <w:rPr>
                <w:rFonts w:ascii="Arial"/>
                <w:sz w:val="21"/>
              </w:rPr>
            </w:pPr>
            <w:r/>
          </w:p>
        </w:tc>
        <w:tc>
          <w:tcPr>
            <w:tcW w:w="1099" w:type="dxa"/>
            <w:vAlign w:val="top"/>
          </w:tcPr>
          <w:p>
            <w:pPr>
              <w:pStyle w:val="TableText"/>
              <w:ind w:left="126"/>
              <w:spacing w:before="32" w:line="190" w:lineRule="auto"/>
              <w:rPr>
                <w:sz w:val="21"/>
                <w:szCs w:val="21"/>
              </w:rPr>
            </w:pPr>
            <w:r>
              <w:rPr>
                <w:sz w:val="21"/>
                <w:szCs w:val="21"/>
                <w:spacing w:val="3"/>
              </w:rPr>
              <w:t>臭气浓度</w:t>
            </w:r>
          </w:p>
        </w:tc>
        <w:tc>
          <w:tcPr>
            <w:tcW w:w="1109" w:type="dxa"/>
            <w:vAlign w:val="top"/>
          </w:tcPr>
          <w:p>
            <w:pPr>
              <w:pStyle w:val="TableText"/>
              <w:ind w:left="127"/>
              <w:spacing w:before="32" w:line="190" w:lineRule="auto"/>
              <w:rPr>
                <w:sz w:val="21"/>
                <w:szCs w:val="21"/>
              </w:rPr>
            </w:pPr>
            <w:r>
              <w:rPr>
                <w:sz w:val="21"/>
                <w:szCs w:val="21"/>
                <w:spacing w:val="2"/>
              </w:rPr>
              <w:t>20无量纲</w:t>
            </w:r>
          </w:p>
        </w:tc>
        <w:tc>
          <w:tcPr>
            <w:tcW w:w="1613" w:type="dxa"/>
            <w:vAlign w:val="top"/>
            <w:vMerge w:val="continue"/>
            <w:tcBorders>
              <w:top w:val="nil"/>
            </w:tcBorders>
          </w:tcPr>
          <w:p>
            <w:pPr>
              <w:rPr>
                <w:rFonts w:ascii="Arial"/>
                <w:sz w:val="21"/>
              </w:rPr>
            </w:pPr>
            <w:r/>
          </w:p>
        </w:tc>
      </w:tr>
      <w:tr>
        <w:trPr>
          <w:trHeight w:val="279" w:hRule="atLeast"/>
        </w:trPr>
        <w:tc>
          <w:tcPr>
            <w:tcW w:w="274" w:type="dxa"/>
            <w:vAlign w:val="top"/>
            <w:vMerge w:val="continue"/>
            <w:textDirection w:val="tbRlV"/>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909" w:type="dxa"/>
            <w:vAlign w:val="top"/>
            <w:vMerge w:val="restart"/>
            <w:tcBorders>
              <w:bottom w:val="nil"/>
            </w:tcBorders>
          </w:tcPr>
          <w:p>
            <w:pPr>
              <w:pStyle w:val="TableText"/>
              <w:ind w:left="131" w:right="23" w:hanging="109"/>
              <w:spacing w:before="155" w:line="239" w:lineRule="auto"/>
              <w:rPr>
                <w:sz w:val="21"/>
                <w:szCs w:val="21"/>
              </w:rPr>
            </w:pPr>
            <w:r>
              <w:rPr>
                <w:sz w:val="21"/>
                <w:szCs w:val="21"/>
                <w:spacing w:val="3"/>
              </w:rPr>
              <w:t>燃气蒸汽</w:t>
            </w:r>
            <w:r>
              <w:rPr>
                <w:sz w:val="21"/>
                <w:szCs w:val="21"/>
              </w:rPr>
              <w:t xml:space="preserve"> </w:t>
            </w:r>
            <w:r>
              <w:rPr>
                <w:sz w:val="21"/>
                <w:szCs w:val="21"/>
                <w:spacing w:val="3"/>
              </w:rPr>
              <w:t>发生器</w:t>
            </w:r>
          </w:p>
        </w:tc>
        <w:tc>
          <w:tcPr>
            <w:tcW w:w="2587" w:type="dxa"/>
            <w:vAlign w:val="top"/>
            <w:vMerge w:val="restart"/>
            <w:tcBorders>
              <w:bottom w:val="nil"/>
            </w:tcBorders>
          </w:tcPr>
          <w:p>
            <w:pPr>
              <w:pStyle w:val="TableText"/>
              <w:ind w:left="342" w:right="206" w:hanging="264"/>
              <w:spacing w:before="163" w:line="250" w:lineRule="auto"/>
              <w:rPr>
                <w:sz w:val="21"/>
                <w:szCs w:val="21"/>
              </w:rPr>
            </w:pPr>
            <w:r>
              <w:rPr>
                <w:sz w:val="21"/>
                <w:szCs w:val="21"/>
                <w:spacing w:val="-2"/>
              </w:rPr>
              <w:t>《锅炉大气污染物排放标</w:t>
            </w:r>
            <w:r>
              <w:rPr>
                <w:sz w:val="21"/>
                <w:szCs w:val="21"/>
                <w:spacing w:val="3"/>
              </w:rPr>
              <w:t xml:space="preserve"> </w:t>
            </w:r>
            <w:r>
              <w:rPr>
                <w:sz w:val="21"/>
                <w:szCs w:val="21"/>
                <w:spacing w:val="3"/>
              </w:rPr>
              <w:t>准》(</w:t>
            </w:r>
            <w:r>
              <w:rPr>
                <w:sz w:val="21"/>
                <w:szCs w:val="21"/>
              </w:rPr>
              <w:t>GB</w:t>
            </w:r>
            <w:r>
              <w:rPr>
                <w:sz w:val="21"/>
                <w:szCs w:val="21"/>
                <w:spacing w:val="3"/>
              </w:rPr>
              <w:t>13271-2014)</w:t>
            </w:r>
          </w:p>
        </w:tc>
        <w:tc>
          <w:tcPr>
            <w:tcW w:w="1099" w:type="dxa"/>
            <w:vAlign w:val="top"/>
          </w:tcPr>
          <w:p>
            <w:pPr>
              <w:pStyle w:val="TableText"/>
              <w:ind w:left="226"/>
              <w:spacing w:before="43" w:line="198" w:lineRule="auto"/>
              <w:rPr>
                <w:sz w:val="21"/>
                <w:szCs w:val="21"/>
              </w:rPr>
            </w:pPr>
            <w:r>
              <w:rPr>
                <w:sz w:val="21"/>
                <w:szCs w:val="21"/>
                <w:color w:val="606060"/>
                <w:spacing w:val="-2"/>
              </w:rPr>
              <w:t>颗粒物</w:t>
            </w:r>
          </w:p>
        </w:tc>
        <w:tc>
          <w:tcPr>
            <w:tcW w:w="1109" w:type="dxa"/>
            <w:vAlign w:val="top"/>
          </w:tcPr>
          <w:p>
            <w:pPr>
              <w:pStyle w:val="TableText"/>
              <w:ind w:left="127"/>
              <w:spacing w:before="36" w:line="204" w:lineRule="auto"/>
              <w:rPr>
                <w:sz w:val="21"/>
                <w:szCs w:val="21"/>
              </w:rPr>
            </w:pPr>
            <w:r>
              <w:rPr>
                <w:sz w:val="21"/>
                <w:szCs w:val="21"/>
                <w:spacing w:val="-2"/>
              </w:rPr>
              <w:t>20mg/m³</w:t>
            </w:r>
          </w:p>
        </w:tc>
        <w:tc>
          <w:tcPr>
            <w:tcW w:w="1613" w:type="dxa"/>
            <w:vAlign w:val="top"/>
            <w:vMerge w:val="restart"/>
            <w:tcBorders>
              <w:bottom w:val="nil"/>
            </w:tcBorders>
          </w:tcPr>
          <w:p>
            <w:pPr>
              <w:pStyle w:val="TableText"/>
              <w:ind w:left="327"/>
              <w:spacing w:before="293" w:line="219" w:lineRule="auto"/>
              <w:rPr>
                <w:sz w:val="21"/>
                <w:szCs w:val="21"/>
              </w:rPr>
            </w:pPr>
            <w:r>
              <w:rPr>
                <w:sz w:val="21"/>
                <w:szCs w:val="21"/>
                <w:spacing w:val="1"/>
              </w:rPr>
              <w:t>18m排气筒</w:t>
            </w:r>
          </w:p>
        </w:tc>
      </w:tr>
      <w:tr>
        <w:trPr>
          <w:trHeight w:val="240" w:hRule="atLeast"/>
        </w:trPr>
        <w:tc>
          <w:tcPr>
            <w:tcW w:w="274" w:type="dxa"/>
            <w:vAlign w:val="top"/>
            <w:vMerge w:val="continue"/>
            <w:textDirection w:val="tbRlV"/>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909" w:type="dxa"/>
            <w:vAlign w:val="top"/>
            <w:vMerge w:val="continue"/>
            <w:tcBorders>
              <w:top w:val="nil"/>
              <w:bottom w:val="nil"/>
            </w:tcBorders>
          </w:tcPr>
          <w:p>
            <w:pPr>
              <w:rPr>
                <w:rFonts w:ascii="Arial"/>
                <w:sz w:val="21"/>
              </w:rPr>
            </w:pPr>
            <w:r/>
          </w:p>
        </w:tc>
        <w:tc>
          <w:tcPr>
            <w:tcW w:w="2587" w:type="dxa"/>
            <w:vAlign w:val="top"/>
            <w:vMerge w:val="continue"/>
            <w:tcBorders>
              <w:top w:val="nil"/>
              <w:bottom w:val="nil"/>
            </w:tcBorders>
          </w:tcPr>
          <w:p>
            <w:pPr>
              <w:rPr>
                <w:rFonts w:ascii="Arial"/>
                <w:sz w:val="21"/>
              </w:rPr>
            </w:pPr>
            <w:r/>
          </w:p>
        </w:tc>
        <w:tc>
          <w:tcPr>
            <w:tcW w:w="1099" w:type="dxa"/>
            <w:vAlign w:val="top"/>
          </w:tcPr>
          <w:p>
            <w:pPr>
              <w:pStyle w:val="TableText"/>
              <w:ind w:left="336"/>
              <w:spacing w:before="58" w:line="172" w:lineRule="exact"/>
              <w:rPr>
                <w:rFonts w:ascii="Calibri" w:hAnsi="Calibri" w:eastAsia="Calibri" w:cs="Calibri"/>
                <w:sz w:val="21"/>
                <w:szCs w:val="21"/>
              </w:rPr>
            </w:pPr>
            <w:r>
              <w:rPr>
                <w:sz w:val="21"/>
                <w:szCs w:val="21"/>
                <w:spacing w:val="-4"/>
                <w:position w:val="-1"/>
              </w:rPr>
              <w:t>SO</w:t>
            </w:r>
            <w:r>
              <w:rPr>
                <w:rFonts w:ascii="Calibri" w:hAnsi="Calibri" w:eastAsia="Calibri" w:cs="Calibri"/>
                <w:sz w:val="21"/>
                <w:szCs w:val="21"/>
                <w:spacing w:val="-4"/>
                <w:position w:val="-1"/>
              </w:rPr>
              <w:t>₂</w:t>
            </w:r>
          </w:p>
        </w:tc>
        <w:tc>
          <w:tcPr>
            <w:tcW w:w="1109" w:type="dxa"/>
            <w:vAlign w:val="top"/>
          </w:tcPr>
          <w:p>
            <w:pPr>
              <w:pStyle w:val="TableText"/>
              <w:ind w:left="127"/>
              <w:spacing w:before="18" w:line="186" w:lineRule="auto"/>
              <w:rPr>
                <w:sz w:val="21"/>
                <w:szCs w:val="21"/>
              </w:rPr>
            </w:pPr>
            <w:r>
              <w:rPr>
                <w:sz w:val="21"/>
                <w:szCs w:val="21"/>
                <w:spacing w:val="-2"/>
              </w:rPr>
              <w:t>50mg/m³</w:t>
            </w:r>
          </w:p>
        </w:tc>
        <w:tc>
          <w:tcPr>
            <w:tcW w:w="1613" w:type="dxa"/>
            <w:vAlign w:val="top"/>
            <w:vMerge w:val="continue"/>
            <w:tcBorders>
              <w:top w:val="nil"/>
              <w:bottom w:val="nil"/>
            </w:tcBorders>
          </w:tcPr>
          <w:p>
            <w:pPr>
              <w:rPr>
                <w:rFonts w:ascii="Arial"/>
                <w:sz w:val="21"/>
              </w:rPr>
            </w:pPr>
            <w:r/>
          </w:p>
        </w:tc>
      </w:tr>
      <w:tr>
        <w:trPr>
          <w:trHeight w:val="239" w:hRule="atLeast"/>
        </w:trPr>
        <w:tc>
          <w:tcPr>
            <w:tcW w:w="274" w:type="dxa"/>
            <w:vAlign w:val="top"/>
            <w:vMerge w:val="continue"/>
            <w:textDirection w:val="tbRlV"/>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909" w:type="dxa"/>
            <w:vAlign w:val="top"/>
            <w:vMerge w:val="continue"/>
            <w:tcBorders>
              <w:top w:val="nil"/>
            </w:tcBorders>
          </w:tcPr>
          <w:p>
            <w:pPr>
              <w:rPr>
                <w:rFonts w:ascii="Arial"/>
                <w:sz w:val="21"/>
              </w:rPr>
            </w:pPr>
            <w:r/>
          </w:p>
        </w:tc>
        <w:tc>
          <w:tcPr>
            <w:tcW w:w="2587" w:type="dxa"/>
            <w:vAlign w:val="top"/>
            <w:vMerge w:val="continue"/>
            <w:tcBorders>
              <w:top w:val="nil"/>
            </w:tcBorders>
          </w:tcPr>
          <w:p>
            <w:pPr>
              <w:rPr>
                <w:rFonts w:ascii="Arial"/>
                <w:sz w:val="21"/>
              </w:rPr>
            </w:pPr>
            <w:r/>
          </w:p>
        </w:tc>
        <w:tc>
          <w:tcPr>
            <w:tcW w:w="1099" w:type="dxa"/>
            <w:vAlign w:val="top"/>
          </w:tcPr>
          <w:p>
            <w:pPr>
              <w:pStyle w:val="TableText"/>
              <w:ind w:left="386"/>
              <w:spacing w:before="78" w:line="150" w:lineRule="exact"/>
              <w:rPr>
                <w:sz w:val="21"/>
                <w:szCs w:val="21"/>
              </w:rPr>
            </w:pPr>
            <w:r>
              <w:rPr>
                <w:sz w:val="21"/>
                <w:szCs w:val="21"/>
                <w:spacing w:val="-1"/>
                <w:position w:val="-3"/>
              </w:rPr>
              <w:t>NOx</w:t>
            </w:r>
          </w:p>
        </w:tc>
        <w:tc>
          <w:tcPr>
            <w:tcW w:w="1109" w:type="dxa"/>
            <w:vAlign w:val="top"/>
          </w:tcPr>
          <w:p>
            <w:pPr>
              <w:pStyle w:val="TableText"/>
              <w:ind w:left="76"/>
              <w:spacing w:before="17" w:line="186" w:lineRule="auto"/>
              <w:rPr>
                <w:sz w:val="21"/>
                <w:szCs w:val="21"/>
              </w:rPr>
            </w:pPr>
            <w:r>
              <w:rPr>
                <w:sz w:val="21"/>
                <w:szCs w:val="21"/>
                <w:spacing w:val="-3"/>
              </w:rPr>
              <w:t>150mg/m³</w:t>
            </w:r>
          </w:p>
        </w:tc>
        <w:tc>
          <w:tcPr>
            <w:tcW w:w="1613" w:type="dxa"/>
            <w:vAlign w:val="top"/>
            <w:vMerge w:val="continue"/>
            <w:tcBorders>
              <w:top w:val="nil"/>
            </w:tcBorders>
          </w:tcPr>
          <w:p>
            <w:pPr>
              <w:rPr>
                <w:rFonts w:ascii="Arial"/>
                <w:sz w:val="21"/>
              </w:rPr>
            </w:pPr>
            <w:r/>
          </w:p>
        </w:tc>
      </w:tr>
      <w:tr>
        <w:trPr>
          <w:trHeight w:val="549" w:hRule="atLeast"/>
        </w:trPr>
        <w:tc>
          <w:tcPr>
            <w:tcW w:w="274" w:type="dxa"/>
            <w:vAlign w:val="top"/>
            <w:vMerge w:val="continue"/>
            <w:textDirection w:val="tbRlV"/>
            <w:tcBorders>
              <w:top w:val="nil"/>
              <w:bottom w:val="nil"/>
            </w:tcBorders>
          </w:tcPr>
          <w:p>
            <w:pPr>
              <w:rPr>
                <w:rFonts w:ascii="Arial"/>
                <w:sz w:val="21"/>
              </w:rPr>
            </w:pPr>
            <w:r/>
          </w:p>
        </w:tc>
        <w:tc>
          <w:tcPr>
            <w:tcW w:w="230" w:type="dxa"/>
            <w:vAlign w:val="top"/>
            <w:vMerge w:val="continue"/>
            <w:tcBorders>
              <w:top w:val="nil"/>
            </w:tcBorders>
          </w:tcPr>
          <w:p>
            <w:pPr>
              <w:rPr>
                <w:rFonts w:ascii="Arial"/>
                <w:sz w:val="21"/>
              </w:rPr>
            </w:pPr>
            <w:r/>
          </w:p>
        </w:tc>
        <w:tc>
          <w:tcPr>
            <w:tcW w:w="489" w:type="dxa"/>
            <w:vAlign w:val="top"/>
            <w:vMerge w:val="continue"/>
            <w:tcBorders>
              <w:top w:val="nil"/>
            </w:tcBorders>
          </w:tcPr>
          <w:p>
            <w:pPr>
              <w:rPr>
                <w:rFonts w:ascii="Arial"/>
                <w:sz w:val="21"/>
              </w:rPr>
            </w:pPr>
            <w:r/>
          </w:p>
        </w:tc>
        <w:tc>
          <w:tcPr>
            <w:tcW w:w="909" w:type="dxa"/>
            <w:vAlign w:val="top"/>
          </w:tcPr>
          <w:p>
            <w:pPr>
              <w:pStyle w:val="TableText"/>
              <w:ind w:left="22"/>
              <w:spacing w:before="175" w:line="219" w:lineRule="auto"/>
              <w:rPr>
                <w:sz w:val="21"/>
                <w:szCs w:val="21"/>
              </w:rPr>
            </w:pPr>
            <w:r>
              <w:rPr>
                <w:sz w:val="21"/>
                <w:szCs w:val="21"/>
                <w:spacing w:val="3"/>
              </w:rPr>
              <w:t>餐饮油烟</w:t>
            </w:r>
          </w:p>
        </w:tc>
        <w:tc>
          <w:tcPr>
            <w:tcW w:w="2587" w:type="dxa"/>
            <w:vAlign w:val="top"/>
          </w:tcPr>
          <w:p>
            <w:pPr>
              <w:pStyle w:val="TableText"/>
              <w:ind w:left="282" w:right="151" w:hanging="254"/>
              <w:spacing w:before="45" w:line="217" w:lineRule="auto"/>
              <w:rPr>
                <w:sz w:val="21"/>
                <w:szCs w:val="21"/>
              </w:rPr>
            </w:pPr>
            <w:r>
              <w:rPr>
                <w:sz w:val="21"/>
                <w:szCs w:val="21"/>
                <w:spacing w:val="-2"/>
              </w:rPr>
              <w:t>《饮食业油烟排放标准(试</w:t>
            </w:r>
            <w:r>
              <w:rPr>
                <w:sz w:val="21"/>
                <w:szCs w:val="21"/>
                <w:spacing w:val="5"/>
              </w:rPr>
              <w:t xml:space="preserve"> </w:t>
            </w:r>
            <w:r>
              <w:rPr>
                <w:sz w:val="21"/>
                <w:szCs w:val="21"/>
                <w:spacing w:val="3"/>
              </w:rPr>
              <w:t>行)》(</w:t>
            </w:r>
            <w:r>
              <w:rPr>
                <w:sz w:val="21"/>
                <w:szCs w:val="21"/>
              </w:rPr>
              <w:t>GB</w:t>
            </w:r>
            <w:r>
              <w:rPr>
                <w:sz w:val="21"/>
                <w:szCs w:val="21"/>
                <w:spacing w:val="3"/>
              </w:rPr>
              <w:t>18483-2001)</w:t>
            </w:r>
          </w:p>
        </w:tc>
        <w:tc>
          <w:tcPr>
            <w:tcW w:w="1099" w:type="dxa"/>
            <w:vAlign w:val="top"/>
          </w:tcPr>
          <w:p>
            <w:pPr>
              <w:pStyle w:val="TableText"/>
              <w:ind w:left="126"/>
              <w:spacing w:before="176" w:line="220" w:lineRule="auto"/>
              <w:rPr>
                <w:sz w:val="21"/>
                <w:szCs w:val="21"/>
              </w:rPr>
            </w:pPr>
            <w:r>
              <w:rPr>
                <w:sz w:val="21"/>
                <w:szCs w:val="21"/>
                <w:spacing w:val="3"/>
              </w:rPr>
              <w:t>油烟废气</w:t>
            </w:r>
          </w:p>
        </w:tc>
        <w:tc>
          <w:tcPr>
            <w:tcW w:w="1109" w:type="dxa"/>
            <w:vAlign w:val="top"/>
          </w:tcPr>
          <w:p>
            <w:pPr>
              <w:pStyle w:val="TableText"/>
              <w:ind w:left="76"/>
              <w:spacing w:before="168" w:line="214" w:lineRule="auto"/>
              <w:rPr>
                <w:sz w:val="21"/>
                <w:szCs w:val="21"/>
              </w:rPr>
            </w:pPr>
            <w:r>
              <w:rPr>
                <w:sz w:val="21"/>
                <w:szCs w:val="21"/>
                <w:spacing w:val="-2"/>
              </w:rPr>
              <w:t>2.0mg/m³</w:t>
            </w:r>
          </w:p>
        </w:tc>
        <w:tc>
          <w:tcPr>
            <w:tcW w:w="1613" w:type="dxa"/>
            <w:vAlign w:val="top"/>
          </w:tcPr>
          <w:p>
            <w:pPr>
              <w:pStyle w:val="TableText"/>
              <w:ind w:left="748"/>
              <w:spacing w:before="181" w:line="224" w:lineRule="auto"/>
              <w:rPr>
                <w:sz w:val="21"/>
                <w:szCs w:val="21"/>
              </w:rPr>
            </w:pPr>
            <w:r>
              <w:rPr>
                <w:sz w:val="21"/>
                <w:szCs w:val="21"/>
              </w:rPr>
              <w:t>/</w:t>
            </w:r>
          </w:p>
        </w:tc>
      </w:tr>
      <w:tr>
        <w:trPr>
          <w:trHeight w:val="539" w:hRule="atLeast"/>
        </w:trPr>
        <w:tc>
          <w:tcPr>
            <w:tcW w:w="274" w:type="dxa"/>
            <w:vAlign w:val="top"/>
            <w:vMerge w:val="continue"/>
            <w:textDirection w:val="tbRlV"/>
            <w:tcBorders>
              <w:top w:val="nil"/>
              <w:bottom w:val="nil"/>
            </w:tcBorders>
          </w:tcPr>
          <w:p>
            <w:pPr>
              <w:rPr>
                <w:rFonts w:ascii="Arial"/>
                <w:sz w:val="21"/>
              </w:rPr>
            </w:pPr>
            <w:r/>
          </w:p>
        </w:tc>
        <w:tc>
          <w:tcPr>
            <w:tcW w:w="230" w:type="dxa"/>
            <w:vAlign w:val="top"/>
            <w:vMerge w:val="restart"/>
            <w:tcBorders>
              <w:bottom w:val="nil"/>
            </w:tcBorders>
          </w:tcPr>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ind w:left="51"/>
              <w:spacing w:before="68" w:line="241" w:lineRule="auto"/>
              <w:rPr>
                <w:sz w:val="21"/>
                <w:szCs w:val="21"/>
              </w:rPr>
            </w:pPr>
            <w:r>
              <w:rPr>
                <w:sz w:val="21"/>
                <w:szCs w:val="21"/>
              </w:rPr>
              <w:t>2</w:t>
            </w:r>
          </w:p>
        </w:tc>
        <w:tc>
          <w:tcPr>
            <w:tcW w:w="489" w:type="dxa"/>
            <w:vAlign w:val="top"/>
            <w:vMerge w:val="restart"/>
            <w:tcBorders>
              <w:bottom w:val="nil"/>
            </w:tcBorders>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20"/>
              <w:spacing w:before="68" w:line="219" w:lineRule="auto"/>
              <w:rPr>
                <w:sz w:val="21"/>
                <w:szCs w:val="21"/>
              </w:rPr>
            </w:pPr>
            <w:r>
              <w:rPr>
                <w:sz w:val="21"/>
                <w:szCs w:val="21"/>
                <w:spacing w:val="-2"/>
              </w:rPr>
              <w:t>废水</w:t>
            </w:r>
          </w:p>
        </w:tc>
        <w:tc>
          <w:tcPr>
            <w:tcW w:w="909" w:type="dxa"/>
            <w:vAlign w:val="top"/>
            <w:vMerge w:val="restart"/>
            <w:tcBorders>
              <w:bottom w:val="nil"/>
            </w:tcBorders>
          </w:tcPr>
          <w:p>
            <w:pPr>
              <w:spacing w:line="300" w:lineRule="auto"/>
              <w:rPr>
                <w:rFonts w:ascii="Arial"/>
                <w:sz w:val="21"/>
              </w:rPr>
            </w:pPr>
            <w:r/>
          </w:p>
          <w:p>
            <w:pPr>
              <w:spacing w:line="301" w:lineRule="auto"/>
              <w:rPr>
                <w:rFonts w:ascii="Arial"/>
                <w:sz w:val="21"/>
              </w:rPr>
            </w:pPr>
            <w:r/>
          </w:p>
          <w:p>
            <w:pPr>
              <w:spacing w:line="301" w:lineRule="auto"/>
              <w:rPr>
                <w:rFonts w:ascii="Arial"/>
                <w:sz w:val="21"/>
              </w:rPr>
            </w:pPr>
            <w:r/>
          </w:p>
          <w:p>
            <w:pPr>
              <w:pStyle w:val="TableText"/>
              <w:ind w:left="231" w:right="20" w:hanging="209"/>
              <w:spacing w:before="68" w:line="245" w:lineRule="auto"/>
              <w:rPr>
                <w:sz w:val="21"/>
                <w:szCs w:val="21"/>
              </w:rPr>
            </w:pPr>
            <w:r>
              <w:rPr>
                <w:sz w:val="21"/>
                <w:szCs w:val="21"/>
                <w:spacing w:val="4"/>
              </w:rPr>
              <w:t>畜类屠宰</w:t>
            </w:r>
            <w:r>
              <w:rPr>
                <w:sz w:val="21"/>
                <w:szCs w:val="21"/>
              </w:rPr>
              <w:t xml:space="preserve"> </w:t>
            </w:r>
            <w:r>
              <w:rPr>
                <w:sz w:val="21"/>
                <w:szCs w:val="21"/>
                <w:spacing w:val="-3"/>
              </w:rPr>
              <w:t>加工</w:t>
            </w:r>
          </w:p>
        </w:tc>
        <w:tc>
          <w:tcPr>
            <w:tcW w:w="2587" w:type="dxa"/>
            <w:vAlign w:val="top"/>
            <w:vMerge w:val="restart"/>
            <w:tcBorders>
              <w:bottom w:val="nil"/>
            </w:tcBorders>
          </w:tcPr>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TableText"/>
              <w:spacing w:before="68" w:line="219" w:lineRule="auto"/>
              <w:rPr>
                <w:sz w:val="21"/>
                <w:szCs w:val="21"/>
              </w:rPr>
            </w:pPr>
            <w:r>
              <w:rPr>
                <w:sz w:val="21"/>
                <w:szCs w:val="21"/>
                <w:spacing w:val="-3"/>
              </w:rPr>
              <w:t>《肉类加工工业水污染物排</w:t>
            </w:r>
          </w:p>
          <w:p>
            <w:pPr>
              <w:pStyle w:val="TableText"/>
              <w:ind w:left="73"/>
              <w:spacing w:before="31" w:line="220" w:lineRule="auto"/>
              <w:rPr>
                <w:sz w:val="21"/>
                <w:szCs w:val="21"/>
              </w:rPr>
            </w:pPr>
            <w:r>
              <w:rPr>
                <w:sz w:val="21"/>
                <w:szCs w:val="21"/>
                <w:spacing w:val="1"/>
              </w:rPr>
              <w:t>放标准》(</w:t>
            </w:r>
            <w:r>
              <w:rPr>
                <w:sz w:val="21"/>
                <w:szCs w:val="21"/>
              </w:rPr>
              <w:t>GB</w:t>
            </w:r>
            <w:r>
              <w:rPr>
                <w:sz w:val="21"/>
                <w:szCs w:val="21"/>
                <w:spacing w:val="1"/>
              </w:rPr>
              <w:t>13457-92)表[</w:t>
            </w:r>
          </w:p>
          <w:p>
            <w:pPr>
              <w:pStyle w:val="TableText"/>
              <w:ind w:left="703"/>
              <w:spacing w:before="29" w:line="220" w:lineRule="auto"/>
              <w:rPr>
                <w:sz w:val="21"/>
                <w:szCs w:val="21"/>
              </w:rPr>
            </w:pPr>
            <w:r>
              <w:rPr>
                <w:sz w:val="21"/>
                <w:szCs w:val="21"/>
                <w:spacing w:val="2"/>
              </w:rPr>
              <w:t>3中三级标准</w:t>
            </w:r>
          </w:p>
        </w:tc>
        <w:tc>
          <w:tcPr>
            <w:tcW w:w="1099" w:type="dxa"/>
            <w:vAlign w:val="top"/>
          </w:tcPr>
          <w:p>
            <w:pPr>
              <w:pStyle w:val="TableText"/>
              <w:ind w:left="226"/>
              <w:spacing w:before="176" w:line="219" w:lineRule="auto"/>
              <w:rPr>
                <w:sz w:val="21"/>
                <w:szCs w:val="21"/>
              </w:rPr>
            </w:pPr>
            <w:r>
              <w:rPr>
                <w:sz w:val="21"/>
                <w:szCs w:val="21"/>
                <w:spacing w:val="-2"/>
              </w:rPr>
              <w:t>排水量</w:t>
            </w:r>
          </w:p>
        </w:tc>
        <w:tc>
          <w:tcPr>
            <w:tcW w:w="1109" w:type="dxa"/>
            <w:vAlign w:val="top"/>
          </w:tcPr>
          <w:p>
            <w:pPr>
              <w:pStyle w:val="TableText"/>
              <w:ind w:left="26" w:hanging="9"/>
              <w:spacing w:before="37" w:line="216" w:lineRule="auto"/>
              <w:rPr>
                <w:sz w:val="21"/>
                <w:szCs w:val="21"/>
              </w:rPr>
            </w:pPr>
            <w:r>
              <w:rPr>
                <w:sz w:val="21"/>
                <w:szCs w:val="21"/>
                <w:spacing w:val="3"/>
              </w:rPr>
              <w:t>6.5m³t活屠</w:t>
            </w:r>
            <w:r>
              <w:rPr>
                <w:sz w:val="21"/>
                <w:szCs w:val="21"/>
                <w:spacing w:val="6"/>
              </w:rPr>
              <w:t xml:space="preserve"> </w:t>
            </w:r>
            <w:r>
              <w:rPr>
                <w:sz w:val="21"/>
                <w:szCs w:val="21"/>
                <w:spacing w:val="2"/>
              </w:rPr>
              <w:t>重或原料肉</w:t>
            </w:r>
          </w:p>
        </w:tc>
        <w:tc>
          <w:tcPr>
            <w:tcW w:w="1613" w:type="dxa"/>
            <w:vAlign w:val="top"/>
          </w:tcPr>
          <w:p>
            <w:pPr>
              <w:pStyle w:val="TableText"/>
              <w:ind w:left="748"/>
              <w:spacing w:before="182" w:line="224" w:lineRule="auto"/>
              <w:rPr>
                <w:sz w:val="21"/>
                <w:szCs w:val="21"/>
              </w:rPr>
            </w:pPr>
            <w:r>
              <w:rPr>
                <w:sz w:val="21"/>
                <w:szCs w:val="21"/>
                <w:color w:val="303040"/>
              </w:rPr>
              <w:t>/</w:t>
            </w:r>
          </w:p>
        </w:tc>
      </w:tr>
      <w:tr>
        <w:trPr>
          <w:trHeight w:val="239" w:hRule="atLeast"/>
        </w:trPr>
        <w:tc>
          <w:tcPr>
            <w:tcW w:w="274" w:type="dxa"/>
            <w:vAlign w:val="top"/>
            <w:vMerge w:val="continue"/>
            <w:textDirection w:val="tbRlV"/>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909" w:type="dxa"/>
            <w:vAlign w:val="top"/>
            <w:vMerge w:val="continue"/>
            <w:tcBorders>
              <w:top w:val="nil"/>
              <w:bottom w:val="nil"/>
            </w:tcBorders>
          </w:tcPr>
          <w:p>
            <w:pPr>
              <w:rPr>
                <w:rFonts w:ascii="Arial"/>
                <w:sz w:val="21"/>
              </w:rPr>
            </w:pPr>
            <w:r/>
          </w:p>
        </w:tc>
        <w:tc>
          <w:tcPr>
            <w:tcW w:w="2587" w:type="dxa"/>
            <w:vAlign w:val="top"/>
            <w:vMerge w:val="continue"/>
            <w:tcBorders>
              <w:top w:val="nil"/>
              <w:bottom w:val="nil"/>
            </w:tcBorders>
          </w:tcPr>
          <w:p>
            <w:pPr>
              <w:rPr>
                <w:rFonts w:ascii="Arial"/>
                <w:sz w:val="21"/>
              </w:rPr>
            </w:pPr>
            <w:r/>
          </w:p>
        </w:tc>
        <w:tc>
          <w:tcPr>
            <w:tcW w:w="1099" w:type="dxa"/>
            <w:vAlign w:val="top"/>
          </w:tcPr>
          <w:p>
            <w:pPr>
              <w:pStyle w:val="TableText"/>
              <w:ind w:left="436"/>
              <w:spacing w:before="56" w:line="172" w:lineRule="exact"/>
              <w:rPr>
                <w:sz w:val="21"/>
                <w:szCs w:val="21"/>
              </w:rPr>
            </w:pPr>
            <w:r>
              <w:rPr>
                <w:sz w:val="21"/>
                <w:szCs w:val="21"/>
                <w:spacing w:val="-2"/>
                <w:position w:val="-1"/>
              </w:rPr>
              <w:t>pH</w:t>
            </w:r>
          </w:p>
        </w:tc>
        <w:tc>
          <w:tcPr>
            <w:tcW w:w="1109" w:type="dxa"/>
            <w:vAlign w:val="top"/>
          </w:tcPr>
          <w:p>
            <w:pPr>
              <w:pStyle w:val="TableText"/>
              <w:ind w:left="177"/>
              <w:spacing w:before="48" w:line="159" w:lineRule="auto"/>
              <w:rPr>
                <w:sz w:val="21"/>
                <w:szCs w:val="21"/>
              </w:rPr>
            </w:pPr>
            <w:r>
              <w:rPr>
                <w:sz w:val="21"/>
                <w:szCs w:val="21"/>
                <w:spacing w:val="-2"/>
              </w:rPr>
              <w:t>6.0~8.5</w:t>
            </w:r>
          </w:p>
        </w:tc>
        <w:tc>
          <w:tcPr>
            <w:tcW w:w="1613" w:type="dxa"/>
            <w:vAlign w:val="top"/>
          </w:tcPr>
          <w:p>
            <w:pPr>
              <w:pStyle w:val="TableText"/>
              <w:ind w:left="748"/>
              <w:spacing w:before="33" w:line="172" w:lineRule="auto"/>
              <w:rPr>
                <w:sz w:val="21"/>
                <w:szCs w:val="21"/>
              </w:rPr>
            </w:pPr>
            <w:r>
              <w:rPr>
                <w:sz w:val="21"/>
                <w:szCs w:val="21"/>
              </w:rPr>
              <w:t>/</w:t>
            </w:r>
          </w:p>
        </w:tc>
      </w:tr>
      <w:tr>
        <w:trPr>
          <w:trHeight w:val="280" w:hRule="atLeast"/>
        </w:trPr>
        <w:tc>
          <w:tcPr>
            <w:tcW w:w="274" w:type="dxa"/>
            <w:vAlign w:val="top"/>
            <w:vMerge w:val="continue"/>
            <w:textDirection w:val="tbRlV"/>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909" w:type="dxa"/>
            <w:vAlign w:val="top"/>
            <w:vMerge w:val="continue"/>
            <w:tcBorders>
              <w:top w:val="nil"/>
              <w:bottom w:val="nil"/>
            </w:tcBorders>
          </w:tcPr>
          <w:p>
            <w:pPr>
              <w:rPr>
                <w:rFonts w:ascii="Arial"/>
                <w:sz w:val="21"/>
              </w:rPr>
            </w:pPr>
            <w:r/>
          </w:p>
        </w:tc>
        <w:tc>
          <w:tcPr>
            <w:tcW w:w="2587" w:type="dxa"/>
            <w:vAlign w:val="top"/>
            <w:vMerge w:val="continue"/>
            <w:tcBorders>
              <w:top w:val="nil"/>
              <w:bottom w:val="nil"/>
            </w:tcBorders>
          </w:tcPr>
          <w:p>
            <w:pPr>
              <w:rPr>
                <w:rFonts w:ascii="Arial"/>
                <w:sz w:val="21"/>
              </w:rPr>
            </w:pPr>
            <w:r/>
          </w:p>
        </w:tc>
        <w:tc>
          <w:tcPr>
            <w:tcW w:w="1099" w:type="dxa"/>
            <w:vAlign w:val="top"/>
          </w:tcPr>
          <w:p>
            <w:pPr>
              <w:pStyle w:val="TableText"/>
              <w:ind w:left="226"/>
              <w:spacing w:before="50" w:line="193" w:lineRule="auto"/>
              <w:rPr>
                <w:sz w:val="21"/>
                <w:szCs w:val="21"/>
              </w:rPr>
            </w:pPr>
            <w:r>
              <w:rPr>
                <w:sz w:val="21"/>
                <w:szCs w:val="21"/>
                <w:color w:val="404040"/>
                <w:spacing w:val="3"/>
              </w:rPr>
              <w:t>悬浮物</w:t>
            </w:r>
          </w:p>
        </w:tc>
        <w:tc>
          <w:tcPr>
            <w:tcW w:w="1109" w:type="dxa"/>
            <w:vAlign w:val="top"/>
          </w:tcPr>
          <w:p>
            <w:pPr>
              <w:pStyle w:val="TableText"/>
              <w:ind w:left="177"/>
              <w:spacing w:before="41" w:line="201" w:lineRule="auto"/>
              <w:rPr>
                <w:sz w:val="21"/>
                <w:szCs w:val="21"/>
              </w:rPr>
            </w:pPr>
            <w:r>
              <w:rPr>
                <w:sz w:val="21"/>
                <w:szCs w:val="21"/>
                <w:spacing w:val="-1"/>
              </w:rPr>
              <w:t>400mg/L</w:t>
            </w:r>
          </w:p>
        </w:tc>
        <w:tc>
          <w:tcPr>
            <w:tcW w:w="1613" w:type="dxa"/>
            <w:vAlign w:val="top"/>
            <w:textDirection w:val="tbRlV"/>
          </w:tcPr>
          <w:p>
            <w:pPr>
              <w:spacing w:line="334" w:lineRule="auto"/>
              <w:rPr>
                <w:rFonts w:ascii="Arial"/>
                <w:sz w:val="21"/>
              </w:rPr>
            </w:pPr>
            <w:r/>
          </w:p>
          <w:p>
            <w:pPr>
              <w:spacing w:line="335" w:lineRule="auto"/>
              <w:rPr>
                <w:rFonts w:ascii="Arial"/>
                <w:sz w:val="21"/>
              </w:rPr>
            </w:pPr>
            <w:r/>
          </w:p>
          <w:p>
            <w:pPr>
              <w:pStyle w:val="TableText"/>
              <w:ind w:left="20"/>
              <w:spacing w:before="70" w:line="137" w:lineRule="exact"/>
              <w:rPr>
                <w:sz w:val="21"/>
                <w:szCs w:val="21"/>
              </w:rPr>
            </w:pPr>
            <w:r>
              <w:rPr>
                <w:sz w:val="21"/>
                <w:szCs w:val="21"/>
                <w:color w:val="303040"/>
                <w:spacing w:val="52"/>
                <w:w w:val="141"/>
                <w:position w:val="-1"/>
              </w:rPr>
              <w:t>/</w:t>
            </w:r>
          </w:p>
        </w:tc>
      </w:tr>
      <w:tr>
        <w:trPr>
          <w:trHeight w:val="240" w:hRule="atLeast"/>
        </w:trPr>
        <w:tc>
          <w:tcPr>
            <w:tcW w:w="274" w:type="dxa"/>
            <w:vAlign w:val="top"/>
            <w:vMerge w:val="continue"/>
            <w:textDirection w:val="tbRlV"/>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909" w:type="dxa"/>
            <w:vAlign w:val="top"/>
            <w:vMerge w:val="continue"/>
            <w:tcBorders>
              <w:top w:val="nil"/>
              <w:bottom w:val="nil"/>
            </w:tcBorders>
          </w:tcPr>
          <w:p>
            <w:pPr>
              <w:rPr>
                <w:rFonts w:ascii="Arial"/>
                <w:sz w:val="21"/>
              </w:rPr>
            </w:pPr>
            <w:r/>
          </w:p>
        </w:tc>
        <w:tc>
          <w:tcPr>
            <w:tcW w:w="2587" w:type="dxa"/>
            <w:vAlign w:val="top"/>
            <w:vMerge w:val="continue"/>
            <w:tcBorders>
              <w:top w:val="nil"/>
              <w:bottom w:val="nil"/>
            </w:tcBorders>
          </w:tcPr>
          <w:p>
            <w:pPr>
              <w:rPr>
                <w:rFonts w:ascii="Arial"/>
                <w:sz w:val="21"/>
              </w:rPr>
            </w:pPr>
            <w:r/>
          </w:p>
        </w:tc>
        <w:tc>
          <w:tcPr>
            <w:tcW w:w="1099" w:type="dxa"/>
            <w:vAlign w:val="top"/>
          </w:tcPr>
          <w:p>
            <w:pPr>
              <w:pStyle w:val="TableText"/>
              <w:ind w:left="276"/>
              <w:spacing w:before="60" w:line="170" w:lineRule="exact"/>
              <w:rPr>
                <w:rFonts w:ascii="Calibri" w:hAnsi="Calibri" w:eastAsia="Calibri" w:cs="Calibri"/>
                <w:sz w:val="21"/>
                <w:szCs w:val="21"/>
              </w:rPr>
            </w:pPr>
            <w:r>
              <w:rPr>
                <w:sz w:val="21"/>
                <w:szCs w:val="21"/>
                <w:spacing w:val="-1"/>
                <w:position w:val="-1"/>
              </w:rPr>
              <w:t>BOD</w:t>
            </w:r>
            <w:r>
              <w:rPr>
                <w:rFonts w:ascii="Calibri" w:hAnsi="Calibri" w:eastAsia="Calibri" w:cs="Calibri"/>
                <w:sz w:val="21"/>
                <w:szCs w:val="21"/>
                <w:spacing w:val="-1"/>
                <w:position w:val="-1"/>
              </w:rPr>
              <w:t>₅</w:t>
            </w:r>
          </w:p>
        </w:tc>
        <w:tc>
          <w:tcPr>
            <w:tcW w:w="1109" w:type="dxa"/>
            <w:vAlign w:val="top"/>
          </w:tcPr>
          <w:p>
            <w:pPr>
              <w:pStyle w:val="TableText"/>
              <w:ind w:left="177"/>
              <w:spacing w:before="21" w:line="183" w:lineRule="auto"/>
              <w:rPr>
                <w:sz w:val="21"/>
                <w:szCs w:val="21"/>
              </w:rPr>
            </w:pPr>
            <w:r>
              <w:rPr>
                <w:sz w:val="21"/>
                <w:szCs w:val="21"/>
                <w:spacing w:val="-2"/>
              </w:rPr>
              <w:t>300mg/L</w:t>
            </w:r>
          </w:p>
        </w:tc>
        <w:tc>
          <w:tcPr>
            <w:tcW w:w="1613" w:type="dxa"/>
            <w:vAlign w:val="top"/>
            <w:textDirection w:val="tbRlV"/>
          </w:tcPr>
          <w:p>
            <w:pPr>
              <w:spacing w:line="334" w:lineRule="auto"/>
              <w:rPr>
                <w:rFonts w:ascii="Arial"/>
                <w:sz w:val="21"/>
              </w:rPr>
            </w:pPr>
            <w:r/>
          </w:p>
          <w:p>
            <w:pPr>
              <w:spacing w:line="335" w:lineRule="auto"/>
              <w:rPr>
                <w:rFonts w:ascii="Arial"/>
                <w:sz w:val="21"/>
              </w:rPr>
            </w:pPr>
            <w:r/>
          </w:p>
          <w:p>
            <w:pPr>
              <w:pStyle w:val="TableText"/>
              <w:spacing w:before="70" w:line="137" w:lineRule="exact"/>
              <w:rPr>
                <w:sz w:val="21"/>
                <w:szCs w:val="21"/>
              </w:rPr>
            </w:pPr>
            <w:r>
              <w:rPr>
                <w:sz w:val="21"/>
                <w:szCs w:val="21"/>
                <w:spacing w:val="52"/>
                <w:w w:val="141"/>
                <w:position w:val="-1"/>
              </w:rPr>
              <w:t>/</w:t>
            </w:r>
          </w:p>
        </w:tc>
      </w:tr>
      <w:tr>
        <w:trPr>
          <w:trHeight w:val="230" w:hRule="atLeast"/>
        </w:trPr>
        <w:tc>
          <w:tcPr>
            <w:tcW w:w="274" w:type="dxa"/>
            <w:vAlign w:val="top"/>
            <w:vMerge w:val="continue"/>
            <w:textDirection w:val="tbRlV"/>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909" w:type="dxa"/>
            <w:vAlign w:val="top"/>
            <w:vMerge w:val="continue"/>
            <w:tcBorders>
              <w:top w:val="nil"/>
              <w:bottom w:val="nil"/>
            </w:tcBorders>
          </w:tcPr>
          <w:p>
            <w:pPr>
              <w:rPr>
                <w:rFonts w:ascii="Arial"/>
                <w:sz w:val="21"/>
              </w:rPr>
            </w:pPr>
            <w:r/>
          </w:p>
        </w:tc>
        <w:tc>
          <w:tcPr>
            <w:tcW w:w="2587" w:type="dxa"/>
            <w:vAlign w:val="top"/>
            <w:vMerge w:val="continue"/>
            <w:tcBorders>
              <w:top w:val="nil"/>
              <w:bottom w:val="nil"/>
            </w:tcBorders>
          </w:tcPr>
          <w:p>
            <w:pPr>
              <w:rPr>
                <w:rFonts w:ascii="Arial"/>
                <w:sz w:val="21"/>
              </w:rPr>
            </w:pPr>
            <w:r/>
          </w:p>
        </w:tc>
        <w:tc>
          <w:tcPr>
            <w:tcW w:w="1099" w:type="dxa"/>
            <w:vAlign w:val="top"/>
          </w:tcPr>
          <w:p>
            <w:pPr>
              <w:pStyle w:val="TableText"/>
              <w:ind w:left="336"/>
              <w:spacing w:before="92" w:line="128" w:lineRule="exact"/>
              <w:rPr>
                <w:sz w:val="21"/>
                <w:szCs w:val="21"/>
              </w:rPr>
            </w:pPr>
            <w:r>
              <w:rPr>
                <w:sz w:val="21"/>
                <w:szCs w:val="21"/>
                <w:spacing w:val="-2"/>
                <w:position w:val="-3"/>
              </w:rPr>
              <w:t>CODc</w:t>
            </w:r>
          </w:p>
        </w:tc>
        <w:tc>
          <w:tcPr>
            <w:tcW w:w="1109" w:type="dxa"/>
            <w:vAlign w:val="top"/>
          </w:tcPr>
          <w:p>
            <w:pPr>
              <w:pStyle w:val="TableText"/>
              <w:ind w:left="177"/>
              <w:spacing w:before="32" w:line="165" w:lineRule="auto"/>
              <w:rPr>
                <w:sz w:val="21"/>
                <w:szCs w:val="21"/>
              </w:rPr>
            </w:pPr>
            <w:r>
              <w:rPr>
                <w:sz w:val="21"/>
                <w:szCs w:val="21"/>
                <w:spacing w:val="-2"/>
              </w:rPr>
              <w:t>500mg/L</w:t>
            </w:r>
          </w:p>
        </w:tc>
        <w:tc>
          <w:tcPr>
            <w:tcW w:w="1613" w:type="dxa"/>
            <w:vAlign w:val="top"/>
          </w:tcPr>
          <w:p>
            <w:pPr>
              <w:pStyle w:val="TableText"/>
              <w:ind w:left="748"/>
              <w:spacing w:before="44" w:line="176" w:lineRule="exact"/>
              <w:rPr>
                <w:sz w:val="21"/>
                <w:szCs w:val="21"/>
              </w:rPr>
            </w:pPr>
            <w:r>
              <w:rPr>
                <w:sz w:val="21"/>
                <w:szCs w:val="21"/>
                <w:position w:val="-2"/>
              </w:rPr>
              <w:t>/</w:t>
            </w:r>
          </w:p>
        </w:tc>
      </w:tr>
      <w:tr>
        <w:trPr>
          <w:trHeight w:val="270" w:hRule="atLeast"/>
        </w:trPr>
        <w:tc>
          <w:tcPr>
            <w:tcW w:w="274" w:type="dxa"/>
            <w:vAlign w:val="top"/>
            <w:vMerge w:val="continue"/>
            <w:textDirection w:val="tbRlV"/>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909" w:type="dxa"/>
            <w:vAlign w:val="top"/>
            <w:vMerge w:val="continue"/>
            <w:tcBorders>
              <w:top w:val="nil"/>
              <w:bottom w:val="nil"/>
            </w:tcBorders>
          </w:tcPr>
          <w:p>
            <w:pPr>
              <w:rPr>
                <w:rFonts w:ascii="Arial"/>
                <w:sz w:val="21"/>
              </w:rPr>
            </w:pPr>
            <w:r/>
          </w:p>
        </w:tc>
        <w:tc>
          <w:tcPr>
            <w:tcW w:w="2587" w:type="dxa"/>
            <w:vAlign w:val="top"/>
            <w:vMerge w:val="continue"/>
            <w:tcBorders>
              <w:top w:val="nil"/>
              <w:bottom w:val="nil"/>
            </w:tcBorders>
          </w:tcPr>
          <w:p>
            <w:pPr>
              <w:rPr>
                <w:rFonts w:ascii="Arial"/>
                <w:sz w:val="21"/>
              </w:rPr>
            </w:pPr>
            <w:r/>
          </w:p>
        </w:tc>
        <w:tc>
          <w:tcPr>
            <w:tcW w:w="1099" w:type="dxa"/>
            <w:vAlign w:val="top"/>
          </w:tcPr>
          <w:p>
            <w:pPr>
              <w:pStyle w:val="TableText"/>
              <w:ind w:left="126"/>
              <w:spacing w:before="38" w:line="195" w:lineRule="auto"/>
              <w:rPr>
                <w:sz w:val="21"/>
                <w:szCs w:val="21"/>
              </w:rPr>
            </w:pPr>
            <w:r>
              <w:rPr>
                <w:sz w:val="21"/>
                <w:szCs w:val="21"/>
                <w:spacing w:val="5"/>
              </w:rPr>
              <w:t>动植物油</w:t>
            </w:r>
          </w:p>
        </w:tc>
        <w:tc>
          <w:tcPr>
            <w:tcW w:w="1109" w:type="dxa"/>
            <w:vAlign w:val="top"/>
          </w:tcPr>
          <w:p>
            <w:pPr>
              <w:pStyle w:val="TableText"/>
              <w:ind w:left="237"/>
              <w:spacing w:before="31" w:line="201" w:lineRule="auto"/>
              <w:rPr>
                <w:sz w:val="21"/>
                <w:szCs w:val="21"/>
              </w:rPr>
            </w:pPr>
            <w:r>
              <w:rPr>
                <w:sz w:val="21"/>
                <w:szCs w:val="21"/>
                <w:spacing w:val="-2"/>
              </w:rPr>
              <w:t>60mg/L</w:t>
            </w:r>
          </w:p>
        </w:tc>
        <w:tc>
          <w:tcPr>
            <w:tcW w:w="1613" w:type="dxa"/>
            <w:vAlign w:val="top"/>
            <w:textDirection w:val="tbRlV"/>
          </w:tcPr>
          <w:p>
            <w:pPr>
              <w:spacing w:line="334" w:lineRule="auto"/>
              <w:rPr>
                <w:rFonts w:ascii="Arial"/>
                <w:sz w:val="21"/>
              </w:rPr>
            </w:pPr>
            <w:r/>
          </w:p>
          <w:p>
            <w:pPr>
              <w:spacing w:line="335" w:lineRule="auto"/>
              <w:rPr>
                <w:rFonts w:ascii="Arial"/>
                <w:sz w:val="21"/>
              </w:rPr>
            </w:pPr>
            <w:r/>
          </w:p>
          <w:p>
            <w:pPr>
              <w:pStyle w:val="TableText"/>
              <w:ind w:left="10"/>
              <w:spacing w:before="70" w:line="137" w:lineRule="exact"/>
              <w:rPr>
                <w:sz w:val="21"/>
                <w:szCs w:val="21"/>
              </w:rPr>
            </w:pPr>
            <w:r>
              <w:rPr>
                <w:sz w:val="21"/>
                <w:szCs w:val="21"/>
                <w:color w:val="303040"/>
                <w:spacing w:val="52"/>
                <w:w w:val="141"/>
                <w:position w:val="-1"/>
              </w:rPr>
              <w:t>/</w:t>
            </w:r>
          </w:p>
        </w:tc>
      </w:tr>
      <w:tr>
        <w:trPr>
          <w:trHeight w:val="280" w:hRule="atLeast"/>
        </w:trPr>
        <w:tc>
          <w:tcPr>
            <w:tcW w:w="274" w:type="dxa"/>
            <w:vAlign w:val="top"/>
            <w:vMerge w:val="continue"/>
            <w:textDirection w:val="tbRlV"/>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909" w:type="dxa"/>
            <w:vAlign w:val="top"/>
            <w:vMerge w:val="continue"/>
            <w:tcBorders>
              <w:top w:val="nil"/>
              <w:bottom w:val="nil"/>
            </w:tcBorders>
          </w:tcPr>
          <w:p>
            <w:pPr>
              <w:rPr>
                <w:rFonts w:ascii="Arial"/>
                <w:sz w:val="21"/>
              </w:rPr>
            </w:pPr>
            <w:r/>
          </w:p>
        </w:tc>
        <w:tc>
          <w:tcPr>
            <w:tcW w:w="2587" w:type="dxa"/>
            <w:vAlign w:val="top"/>
            <w:vMerge w:val="continue"/>
            <w:tcBorders>
              <w:top w:val="nil"/>
              <w:bottom w:val="nil"/>
            </w:tcBorders>
          </w:tcPr>
          <w:p>
            <w:pPr>
              <w:rPr>
                <w:rFonts w:ascii="Arial"/>
                <w:sz w:val="21"/>
              </w:rPr>
            </w:pPr>
            <w:r/>
          </w:p>
        </w:tc>
        <w:tc>
          <w:tcPr>
            <w:tcW w:w="1099" w:type="dxa"/>
            <w:vAlign w:val="top"/>
          </w:tcPr>
          <w:p>
            <w:pPr>
              <w:pStyle w:val="TableText"/>
              <w:ind w:left="336"/>
              <w:spacing w:before="48" w:line="195" w:lineRule="auto"/>
              <w:rPr>
                <w:sz w:val="21"/>
                <w:szCs w:val="21"/>
              </w:rPr>
            </w:pPr>
            <w:r>
              <w:rPr>
                <w:sz w:val="21"/>
                <w:szCs w:val="21"/>
                <w:spacing w:val="-3"/>
              </w:rPr>
              <w:t>氨氮</w:t>
            </w:r>
          </w:p>
        </w:tc>
        <w:tc>
          <w:tcPr>
            <w:tcW w:w="1109" w:type="dxa"/>
            <w:vAlign w:val="top"/>
          </w:tcPr>
          <w:p>
            <w:pPr>
              <w:pStyle w:val="TableText"/>
              <w:ind w:left="447"/>
              <w:spacing w:before="168" w:line="101" w:lineRule="exact"/>
              <w:rPr>
                <w:sz w:val="21"/>
                <w:szCs w:val="21"/>
              </w:rPr>
            </w:pPr>
            <w:r>
              <w:rPr>
                <w:sz w:val="21"/>
                <w:szCs w:val="21"/>
                <w:spacing w:val="-5"/>
                <w:w w:val="53"/>
                <w:position w:val="-5"/>
              </w:rPr>
              <w:t>—</w:t>
            </w:r>
            <w:r>
              <w:rPr>
                <w:sz w:val="21"/>
                <w:szCs w:val="21"/>
                <w:position w:val="-5"/>
              </w:rPr>
              <w:t>—</w:t>
            </w:r>
          </w:p>
        </w:tc>
        <w:tc>
          <w:tcPr>
            <w:tcW w:w="1613" w:type="dxa"/>
            <w:vAlign w:val="top"/>
            <w:textDirection w:val="tbRlV"/>
          </w:tcPr>
          <w:p>
            <w:pPr>
              <w:spacing w:line="334" w:lineRule="auto"/>
              <w:rPr>
                <w:rFonts w:ascii="Arial"/>
                <w:sz w:val="21"/>
              </w:rPr>
            </w:pPr>
            <w:r/>
          </w:p>
          <w:p>
            <w:pPr>
              <w:spacing w:line="335" w:lineRule="auto"/>
              <w:rPr>
                <w:rFonts w:ascii="Arial"/>
                <w:sz w:val="21"/>
              </w:rPr>
            </w:pPr>
            <w:r/>
          </w:p>
          <w:p>
            <w:pPr>
              <w:pStyle w:val="TableText"/>
              <w:ind w:left="20"/>
              <w:spacing w:before="70" w:line="137" w:lineRule="exact"/>
              <w:rPr>
                <w:sz w:val="21"/>
                <w:szCs w:val="21"/>
              </w:rPr>
            </w:pPr>
            <w:r>
              <w:rPr>
                <w:sz w:val="21"/>
                <w:szCs w:val="21"/>
                <w:spacing w:val="52"/>
                <w:w w:val="141"/>
                <w:position w:val="-1"/>
              </w:rPr>
              <w:t>/</w:t>
            </w:r>
          </w:p>
        </w:tc>
      </w:tr>
      <w:tr>
        <w:trPr>
          <w:trHeight w:val="284" w:hRule="atLeast"/>
        </w:trPr>
        <w:tc>
          <w:tcPr>
            <w:tcW w:w="274" w:type="dxa"/>
            <w:vAlign w:val="top"/>
            <w:vMerge w:val="continue"/>
            <w:textDirection w:val="tbRlV"/>
            <w:tcBorders>
              <w:top w:val="nil"/>
            </w:tcBorders>
          </w:tcPr>
          <w:p>
            <w:pPr>
              <w:rPr>
                <w:rFonts w:ascii="Arial"/>
                <w:sz w:val="21"/>
              </w:rPr>
            </w:pPr>
            <w:r/>
          </w:p>
        </w:tc>
        <w:tc>
          <w:tcPr>
            <w:tcW w:w="230" w:type="dxa"/>
            <w:vAlign w:val="top"/>
            <w:vMerge w:val="continue"/>
            <w:tcBorders>
              <w:top w:val="nil"/>
            </w:tcBorders>
          </w:tcPr>
          <w:p>
            <w:pPr>
              <w:rPr>
                <w:rFonts w:ascii="Arial"/>
                <w:sz w:val="21"/>
              </w:rPr>
            </w:pPr>
            <w:r/>
          </w:p>
        </w:tc>
        <w:tc>
          <w:tcPr>
            <w:tcW w:w="489" w:type="dxa"/>
            <w:vAlign w:val="top"/>
            <w:vMerge w:val="continue"/>
            <w:tcBorders>
              <w:top w:val="nil"/>
            </w:tcBorders>
          </w:tcPr>
          <w:p>
            <w:pPr>
              <w:rPr>
                <w:rFonts w:ascii="Arial"/>
                <w:sz w:val="21"/>
              </w:rPr>
            </w:pPr>
            <w:r/>
          </w:p>
        </w:tc>
        <w:tc>
          <w:tcPr>
            <w:tcW w:w="909" w:type="dxa"/>
            <w:vAlign w:val="top"/>
            <w:vMerge w:val="continue"/>
            <w:tcBorders>
              <w:top w:val="nil"/>
            </w:tcBorders>
          </w:tcPr>
          <w:p>
            <w:pPr>
              <w:rPr>
                <w:rFonts w:ascii="Arial"/>
                <w:sz w:val="21"/>
              </w:rPr>
            </w:pPr>
            <w:r/>
          </w:p>
        </w:tc>
        <w:tc>
          <w:tcPr>
            <w:tcW w:w="2587" w:type="dxa"/>
            <w:vAlign w:val="top"/>
            <w:vMerge w:val="continue"/>
            <w:tcBorders>
              <w:top w:val="nil"/>
            </w:tcBorders>
          </w:tcPr>
          <w:p>
            <w:pPr>
              <w:rPr>
                <w:rFonts w:ascii="Arial"/>
                <w:sz w:val="21"/>
              </w:rPr>
            </w:pPr>
            <w:r/>
          </w:p>
        </w:tc>
        <w:tc>
          <w:tcPr>
            <w:tcW w:w="1099" w:type="dxa"/>
            <w:vAlign w:val="top"/>
          </w:tcPr>
          <w:p>
            <w:pPr>
              <w:pStyle w:val="TableText"/>
              <w:ind w:left="16"/>
              <w:spacing w:before="48" w:line="198" w:lineRule="auto"/>
              <w:rPr>
                <w:sz w:val="21"/>
                <w:szCs w:val="21"/>
              </w:rPr>
            </w:pPr>
            <w:r>
              <w:rPr>
                <w:sz w:val="21"/>
                <w:szCs w:val="21"/>
                <w:spacing w:val="-2"/>
              </w:rPr>
              <w:t>大肠菌群数</w:t>
            </w:r>
          </w:p>
        </w:tc>
        <w:tc>
          <w:tcPr>
            <w:tcW w:w="1109" w:type="dxa"/>
            <w:vAlign w:val="top"/>
          </w:tcPr>
          <w:p>
            <w:pPr>
              <w:pStyle w:val="TableText"/>
              <w:ind w:left="447"/>
              <w:spacing w:before="168" w:line="105" w:lineRule="exact"/>
              <w:rPr>
                <w:sz w:val="21"/>
                <w:szCs w:val="21"/>
              </w:rPr>
            </w:pPr>
            <w:r>
              <w:rPr>
                <w:sz w:val="21"/>
                <w:szCs w:val="21"/>
                <w:spacing w:val="-5"/>
                <w:w w:val="53"/>
                <w:position w:val="-4"/>
              </w:rPr>
              <w:t>—</w:t>
            </w:r>
            <w:r>
              <w:rPr>
                <w:sz w:val="21"/>
                <w:szCs w:val="21"/>
                <w:position w:val="-4"/>
              </w:rPr>
              <w:t>—</w:t>
            </w:r>
          </w:p>
        </w:tc>
        <w:tc>
          <w:tcPr>
            <w:tcW w:w="1613" w:type="dxa"/>
            <w:vAlign w:val="top"/>
            <w:textDirection w:val="tbRlV"/>
          </w:tcPr>
          <w:p>
            <w:pPr>
              <w:spacing w:line="334" w:lineRule="auto"/>
              <w:rPr>
                <w:rFonts w:ascii="Arial"/>
                <w:sz w:val="21"/>
              </w:rPr>
            </w:pPr>
            <w:r/>
          </w:p>
          <w:p>
            <w:pPr>
              <w:spacing w:line="335" w:lineRule="auto"/>
              <w:rPr>
                <w:rFonts w:ascii="Arial"/>
                <w:sz w:val="21"/>
              </w:rPr>
            </w:pPr>
            <w:r/>
          </w:p>
          <w:p>
            <w:pPr>
              <w:pStyle w:val="TableText"/>
              <w:ind w:left="20"/>
              <w:spacing w:before="70" w:line="137" w:lineRule="exact"/>
              <w:rPr>
                <w:sz w:val="21"/>
                <w:szCs w:val="21"/>
              </w:rPr>
            </w:pPr>
            <w:r>
              <w:rPr>
                <w:sz w:val="21"/>
                <w:szCs w:val="21"/>
                <w:color w:val="303040"/>
                <w:spacing w:val="52"/>
                <w:w w:val="141"/>
                <w:position w:val="-1"/>
              </w:rPr>
              <w:t>/</w:t>
            </w:r>
          </w:p>
        </w:tc>
      </w:tr>
    </w:tbl>
    <w:p>
      <w:pPr>
        <w:pStyle w:val="BodyText"/>
        <w:rPr/>
      </w:pPr>
      <w:r/>
    </w:p>
    <w:p>
      <w:pPr>
        <w:sectPr>
          <w:headerReference w:type="default" r:id="rId144"/>
          <w:footerReference w:type="default" r:id="rId145"/>
          <w:pgSz w:w="11910" w:h="16840"/>
          <w:pgMar w:top="1219" w:right="1786" w:bottom="1017" w:left="1769" w:header="865" w:footer="719" w:gutter="0"/>
        </w:sectPr>
        <w:rPr/>
      </w:pPr>
    </w:p>
    <w:p>
      <w:pPr>
        <w:spacing w:before="14"/>
        <w:rPr/>
      </w:pPr>
      <w:r/>
    </w:p>
    <w:tbl>
      <w:tblPr>
        <w:tblStyle w:val="TableNormal"/>
        <w:tblW w:w="83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5"/>
        <w:gridCol w:w="230"/>
        <w:gridCol w:w="489"/>
        <w:gridCol w:w="3496"/>
        <w:gridCol w:w="1089"/>
        <w:gridCol w:w="1128"/>
        <w:gridCol w:w="1603"/>
      </w:tblGrid>
      <w:tr>
        <w:trPr>
          <w:trHeight w:val="554" w:hRule="atLeast"/>
        </w:trPr>
        <w:tc>
          <w:tcPr>
            <w:shd w:val="clear" w:fill="0C0C0C"/>
            <w:tcW w:w="275" w:type="dxa"/>
            <w:vAlign w:val="top"/>
          </w:tcPr>
          <w:p>
            <w:pPr>
              <w:pStyle w:val="TableText"/>
              <w:ind w:left="18" w:right="5" w:firstLine="30"/>
              <w:spacing w:before="40" w:line="207" w:lineRule="auto"/>
              <w:rPr>
                <w:sz w:val="22"/>
                <w:szCs w:val="22"/>
              </w:rPr>
            </w:pPr>
            <w:r>
              <w:rPr>
                <w:sz w:val="22"/>
                <w:szCs w:val="22"/>
                <w:b/>
                <w:bCs/>
                <w:spacing w:val="-11"/>
              </w:rPr>
              <w:t>类</w:t>
            </w:r>
            <w:r>
              <w:rPr>
                <w:sz w:val="22"/>
                <w:szCs w:val="22"/>
              </w:rPr>
              <w:t xml:space="preserve"> </w:t>
            </w:r>
            <w:r>
              <w:rPr>
                <w:sz w:val="22"/>
                <w:szCs w:val="22"/>
                <w:b/>
                <w:bCs/>
                <w:spacing w:val="-3"/>
              </w:rPr>
              <w:t>别</w:t>
            </w:r>
          </w:p>
        </w:tc>
        <w:tc>
          <w:tcPr>
            <w:shd w:val="clear" w:fill="080808"/>
            <w:tcW w:w="230" w:type="dxa"/>
            <w:vAlign w:val="top"/>
          </w:tcPr>
          <w:p>
            <w:pPr>
              <w:pStyle w:val="TableText"/>
              <w:spacing w:before="42" w:line="193" w:lineRule="auto"/>
              <w:jc w:val="right"/>
              <w:rPr>
                <w:sz w:val="22"/>
                <w:szCs w:val="22"/>
              </w:rPr>
            </w:pPr>
            <w:r>
              <w:rPr>
                <w:sz w:val="22"/>
                <w:szCs w:val="22"/>
                <w:b/>
                <w:bCs/>
                <w:spacing w:val="-16"/>
              </w:rPr>
              <w:t>序</w:t>
            </w:r>
          </w:p>
          <w:p>
            <w:pPr>
              <w:pStyle w:val="TableText"/>
              <w:spacing w:line="220" w:lineRule="auto"/>
              <w:jc w:val="right"/>
              <w:rPr>
                <w:sz w:val="22"/>
                <w:szCs w:val="22"/>
              </w:rPr>
            </w:pPr>
            <w:r>
              <w:rPr>
                <w:sz w:val="22"/>
                <w:szCs w:val="22"/>
                <w:b/>
                <w:bCs/>
                <w:spacing w:val="-17"/>
              </w:rPr>
              <w:t>号</w:t>
            </w:r>
          </w:p>
        </w:tc>
        <w:tc>
          <w:tcPr>
            <w:shd w:val="clear" w:fill="BDBDBD"/>
            <w:tcW w:w="489" w:type="dxa"/>
            <w:vAlign w:val="top"/>
          </w:tcPr>
          <w:p>
            <w:pPr>
              <w:pStyle w:val="TableText"/>
              <w:ind w:left="13"/>
              <w:spacing w:before="41" w:line="209" w:lineRule="auto"/>
              <w:rPr>
                <w:sz w:val="22"/>
                <w:szCs w:val="22"/>
              </w:rPr>
            </w:pPr>
            <w:r>
              <w:rPr>
                <w:sz w:val="22"/>
                <w:szCs w:val="22"/>
                <w:b/>
                <w:bCs/>
                <w:spacing w:val="-5"/>
              </w:rPr>
              <w:t>环境</w:t>
            </w:r>
          </w:p>
          <w:p>
            <w:pPr>
              <w:pStyle w:val="TableText"/>
              <w:ind w:left="13"/>
              <w:spacing w:line="212" w:lineRule="auto"/>
              <w:rPr>
                <w:sz w:val="22"/>
                <w:szCs w:val="22"/>
              </w:rPr>
            </w:pPr>
            <w:r>
              <w:rPr>
                <w:sz w:val="22"/>
                <w:szCs w:val="22"/>
                <w:b/>
                <w:bCs/>
                <w:spacing w:val="-1"/>
              </w:rPr>
              <w:t>因素</w:t>
            </w:r>
          </w:p>
        </w:tc>
        <w:tc>
          <w:tcPr>
            <w:shd w:val="clear" w:fill="BDBDBD"/>
            <w:tcW w:w="3496" w:type="dxa"/>
            <w:vAlign w:val="top"/>
          </w:tcPr>
          <w:p>
            <w:pPr>
              <w:pStyle w:val="TableText"/>
              <w:ind w:left="1304"/>
              <w:spacing w:before="171" w:line="219" w:lineRule="auto"/>
              <w:rPr>
                <w:sz w:val="22"/>
                <w:szCs w:val="22"/>
              </w:rPr>
            </w:pPr>
            <w:r>
              <w:rPr>
                <w:sz w:val="22"/>
                <w:szCs w:val="22"/>
                <w:b/>
                <w:bCs/>
                <w:spacing w:val="-4"/>
              </w:rPr>
              <w:t>执行标准</w:t>
            </w:r>
          </w:p>
        </w:tc>
        <w:tc>
          <w:tcPr>
            <w:shd w:val="clear" w:fill="BDBDBD"/>
            <w:tcW w:w="1089" w:type="dxa"/>
            <w:vAlign w:val="top"/>
          </w:tcPr>
          <w:p>
            <w:pPr>
              <w:pStyle w:val="TableText"/>
              <w:ind w:left="98"/>
              <w:spacing w:before="171" w:line="220" w:lineRule="auto"/>
              <w:rPr>
                <w:sz w:val="22"/>
                <w:szCs w:val="22"/>
              </w:rPr>
            </w:pPr>
            <w:r>
              <w:rPr>
                <w:sz w:val="22"/>
                <w:szCs w:val="22"/>
                <w:b/>
                <w:bCs/>
                <w:spacing w:val="-5"/>
              </w:rPr>
              <w:t>污染因子</w:t>
            </w:r>
          </w:p>
        </w:tc>
        <w:tc>
          <w:tcPr>
            <w:shd w:val="clear" w:fill="BDBDBD"/>
            <w:tcW w:w="1128" w:type="dxa"/>
            <w:vAlign w:val="top"/>
          </w:tcPr>
          <w:p>
            <w:pPr>
              <w:pStyle w:val="TableText"/>
              <w:ind w:left="119"/>
              <w:spacing w:before="171" w:line="219" w:lineRule="auto"/>
              <w:rPr>
                <w:sz w:val="22"/>
                <w:szCs w:val="22"/>
              </w:rPr>
            </w:pPr>
            <w:r>
              <w:rPr>
                <w:sz w:val="22"/>
                <w:szCs w:val="22"/>
                <w:b/>
                <w:bCs/>
                <w:spacing w:val="-5"/>
              </w:rPr>
              <w:t>标准限值</w:t>
            </w:r>
          </w:p>
        </w:tc>
        <w:tc>
          <w:tcPr>
            <w:shd w:val="clear" w:fill="BDBDBD"/>
            <w:tcW w:w="1603" w:type="dxa"/>
            <w:vAlign w:val="top"/>
          </w:tcPr>
          <w:p>
            <w:pPr>
              <w:pStyle w:val="TableText"/>
              <w:ind w:left="581"/>
              <w:spacing w:before="172" w:line="221" w:lineRule="auto"/>
              <w:rPr>
                <w:sz w:val="22"/>
                <w:szCs w:val="22"/>
              </w:rPr>
            </w:pPr>
            <w:r>
              <w:rPr>
                <w:sz w:val="22"/>
                <w:szCs w:val="22"/>
                <w:b/>
                <w:bCs/>
                <w:spacing w:val="-6"/>
              </w:rPr>
              <w:t>备注</w:t>
            </w:r>
          </w:p>
        </w:tc>
      </w:tr>
      <w:tr>
        <w:trPr>
          <w:trHeight w:val="270" w:hRule="atLeast"/>
        </w:trPr>
        <w:tc>
          <w:tcPr>
            <w:tcW w:w="275" w:type="dxa"/>
            <w:vAlign w:val="top"/>
            <w:vMerge w:val="restart"/>
            <w:tcBorders>
              <w:bottom w:val="nil"/>
            </w:tcBorders>
          </w:tcPr>
          <w:p>
            <w:pPr>
              <w:rPr>
                <w:rFonts w:ascii="Arial"/>
                <w:sz w:val="21"/>
              </w:rPr>
            </w:pPr>
            <w:r/>
          </w:p>
        </w:tc>
        <w:tc>
          <w:tcPr>
            <w:tcW w:w="230" w:type="dxa"/>
            <w:vAlign w:val="top"/>
            <w:vMerge w:val="restart"/>
            <w:tcBorders>
              <w:bottom w:val="nil"/>
            </w:tcBorders>
          </w:tcPr>
          <w:p>
            <w:pPr>
              <w:rPr>
                <w:rFonts w:ascii="Arial"/>
                <w:sz w:val="21"/>
              </w:rPr>
            </w:pPr>
            <w:r/>
          </w:p>
        </w:tc>
        <w:tc>
          <w:tcPr>
            <w:tcW w:w="489" w:type="dxa"/>
            <w:vAlign w:val="top"/>
            <w:vMerge w:val="restart"/>
            <w:tcBorders>
              <w:bottom w:val="nil"/>
            </w:tcBorders>
          </w:tcPr>
          <w:p>
            <w:pPr>
              <w:rPr>
                <w:rFonts w:ascii="Arial"/>
                <w:sz w:val="21"/>
              </w:rPr>
            </w:pPr>
            <w:r/>
          </w:p>
        </w:tc>
        <w:tc>
          <w:tcPr>
            <w:tcW w:w="3496" w:type="dxa"/>
            <w:vAlign w:val="top"/>
            <w:vMerge w:val="restart"/>
            <w:tcBorders>
              <w:bottom w:val="nil"/>
            </w:tcBorders>
          </w:tcPr>
          <w:p>
            <w:pPr>
              <w:spacing w:line="355" w:lineRule="auto"/>
              <w:rPr>
                <w:rFonts w:ascii="Arial"/>
                <w:sz w:val="21"/>
              </w:rPr>
            </w:pPr>
            <w:r/>
          </w:p>
          <w:p>
            <w:pPr>
              <w:pStyle w:val="TableText"/>
              <w:ind w:left="641"/>
              <w:spacing w:before="72" w:line="219" w:lineRule="auto"/>
              <w:rPr>
                <w:sz w:val="22"/>
                <w:szCs w:val="22"/>
              </w:rPr>
            </w:pPr>
            <w:r>
              <w:rPr>
                <w:sz w:val="22"/>
                <w:szCs w:val="22"/>
                <w:spacing w:val="-2"/>
              </w:rPr>
              <w:t>《污水综合排放标准》</w:t>
            </w:r>
          </w:p>
          <w:p>
            <w:pPr>
              <w:pStyle w:val="TableText"/>
              <w:ind w:left="311"/>
              <w:spacing w:line="220" w:lineRule="auto"/>
              <w:rPr>
                <w:sz w:val="22"/>
                <w:szCs w:val="22"/>
              </w:rPr>
            </w:pPr>
            <w:r>
              <w:rPr>
                <w:sz w:val="22"/>
                <w:szCs w:val="22"/>
              </w:rPr>
              <w:t>(GB8978-1996)表4中三级标准</w:t>
            </w:r>
          </w:p>
        </w:tc>
        <w:tc>
          <w:tcPr>
            <w:tcW w:w="1089" w:type="dxa"/>
            <w:vAlign w:val="top"/>
          </w:tcPr>
          <w:p>
            <w:pPr>
              <w:pStyle w:val="TableText"/>
              <w:ind w:left="425"/>
              <w:spacing w:before="59" w:line="168" w:lineRule="auto"/>
              <w:rPr>
                <w:sz w:val="22"/>
                <w:szCs w:val="22"/>
              </w:rPr>
            </w:pPr>
            <w:r>
              <w:rPr>
                <w:sz w:val="22"/>
                <w:szCs w:val="22"/>
                <w:spacing w:val="-2"/>
              </w:rPr>
              <w:t>pH</w:t>
            </w:r>
          </w:p>
        </w:tc>
        <w:tc>
          <w:tcPr>
            <w:tcW w:w="1128" w:type="dxa"/>
            <w:vAlign w:val="top"/>
          </w:tcPr>
          <w:p>
            <w:pPr>
              <w:pStyle w:val="TableText"/>
              <w:ind w:left="66"/>
              <w:spacing w:before="31" w:line="192" w:lineRule="auto"/>
              <w:rPr>
                <w:sz w:val="22"/>
                <w:szCs w:val="22"/>
              </w:rPr>
            </w:pPr>
            <w:r>
              <w:rPr>
                <w:sz w:val="22"/>
                <w:szCs w:val="22"/>
                <w:spacing w:val="2"/>
              </w:rPr>
              <w:t>6~9无量纲</w:t>
            </w:r>
          </w:p>
        </w:tc>
        <w:tc>
          <w:tcPr>
            <w:tcW w:w="1603" w:type="dxa"/>
            <w:vAlign w:val="top"/>
            <w:textDirection w:val="tbRlV"/>
          </w:tcPr>
          <w:p>
            <w:pPr>
              <w:spacing w:line="329" w:lineRule="auto"/>
              <w:rPr>
                <w:rFonts w:ascii="Arial"/>
                <w:sz w:val="21"/>
              </w:rPr>
            </w:pPr>
            <w:r/>
          </w:p>
          <w:p>
            <w:pPr>
              <w:spacing w:line="330" w:lineRule="auto"/>
              <w:rPr>
                <w:rFonts w:ascii="Arial"/>
                <w:sz w:val="21"/>
              </w:rPr>
            </w:pPr>
            <w:r/>
          </w:p>
          <w:p>
            <w:pPr>
              <w:pStyle w:val="TableText"/>
              <w:ind w:left="1"/>
              <w:spacing w:before="74" w:line="143" w:lineRule="exact"/>
              <w:rPr>
                <w:sz w:val="22"/>
                <w:szCs w:val="22"/>
              </w:rPr>
            </w:pPr>
            <w:r>
              <w:rPr>
                <w:sz w:val="22"/>
                <w:szCs w:val="22"/>
                <w:spacing w:val="54"/>
                <w:w w:val="141"/>
                <w:position w:val="-1"/>
              </w:rPr>
              <w:t>/</w:t>
            </w:r>
          </w:p>
        </w:tc>
      </w:tr>
      <w:tr>
        <w:trPr>
          <w:trHeight w:val="250" w:hRule="atLeast"/>
        </w:trPr>
        <w:tc>
          <w:tcPr>
            <w:tcW w:w="275" w:type="dxa"/>
            <w:vAlign w:val="top"/>
            <w:vMerge w:val="continue"/>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3496" w:type="dxa"/>
            <w:vAlign w:val="top"/>
            <w:vMerge w:val="continue"/>
            <w:tcBorders>
              <w:top w:val="nil"/>
              <w:bottom w:val="nil"/>
            </w:tcBorders>
          </w:tcPr>
          <w:p>
            <w:pPr>
              <w:rPr>
                <w:rFonts w:ascii="Arial"/>
                <w:sz w:val="21"/>
              </w:rPr>
            </w:pPr>
            <w:r/>
          </w:p>
        </w:tc>
        <w:tc>
          <w:tcPr>
            <w:tcW w:w="1089" w:type="dxa"/>
            <w:vAlign w:val="top"/>
          </w:tcPr>
          <w:p>
            <w:pPr>
              <w:pStyle w:val="TableText"/>
              <w:ind w:left="374"/>
              <w:spacing w:before="76" w:line="163" w:lineRule="exact"/>
              <w:rPr>
                <w:sz w:val="22"/>
                <w:szCs w:val="22"/>
              </w:rPr>
            </w:pPr>
            <w:r>
              <w:rPr>
                <w:sz w:val="22"/>
                <w:szCs w:val="22"/>
                <w:spacing w:val="-2"/>
                <w:position w:val="-3"/>
              </w:rPr>
              <w:t>COD</w:t>
            </w:r>
          </w:p>
        </w:tc>
        <w:tc>
          <w:tcPr>
            <w:tcW w:w="1128" w:type="dxa"/>
            <w:vAlign w:val="top"/>
          </w:tcPr>
          <w:p>
            <w:pPr>
              <w:pStyle w:val="TableText"/>
              <w:ind w:left="176"/>
              <w:spacing w:before="12" w:line="191" w:lineRule="auto"/>
              <w:rPr>
                <w:sz w:val="22"/>
                <w:szCs w:val="22"/>
              </w:rPr>
            </w:pPr>
            <w:r>
              <w:rPr>
                <w:sz w:val="22"/>
                <w:szCs w:val="22"/>
                <w:spacing w:val="-2"/>
              </w:rPr>
              <w:t>500mg/L</w:t>
            </w:r>
          </w:p>
        </w:tc>
        <w:tc>
          <w:tcPr>
            <w:tcW w:w="1603" w:type="dxa"/>
            <w:vAlign w:val="top"/>
            <w:textDirection w:val="tbRlV"/>
          </w:tcPr>
          <w:p>
            <w:pPr>
              <w:spacing w:line="329" w:lineRule="auto"/>
              <w:rPr>
                <w:rFonts w:ascii="Arial"/>
                <w:sz w:val="21"/>
              </w:rPr>
            </w:pPr>
            <w:r/>
          </w:p>
          <w:p>
            <w:pPr>
              <w:spacing w:line="330" w:lineRule="auto"/>
              <w:rPr>
                <w:rFonts w:ascii="Arial"/>
                <w:sz w:val="21"/>
              </w:rPr>
            </w:pPr>
            <w:r/>
          </w:p>
          <w:p>
            <w:pPr>
              <w:pStyle w:val="TableText"/>
              <w:spacing w:before="74" w:line="143" w:lineRule="exact"/>
              <w:rPr>
                <w:sz w:val="22"/>
                <w:szCs w:val="22"/>
              </w:rPr>
            </w:pPr>
            <w:r>
              <w:rPr>
                <w:sz w:val="22"/>
                <w:szCs w:val="22"/>
                <w:spacing w:val="54"/>
                <w:w w:val="133"/>
                <w:position w:val="-1"/>
              </w:rPr>
              <w:t>/</w:t>
            </w:r>
          </w:p>
        </w:tc>
      </w:tr>
      <w:tr>
        <w:trPr>
          <w:trHeight w:val="240" w:hRule="atLeast"/>
        </w:trPr>
        <w:tc>
          <w:tcPr>
            <w:tcW w:w="275" w:type="dxa"/>
            <w:vAlign w:val="top"/>
            <w:vMerge w:val="continue"/>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3496" w:type="dxa"/>
            <w:vAlign w:val="top"/>
            <w:vMerge w:val="continue"/>
            <w:tcBorders>
              <w:top w:val="nil"/>
              <w:bottom w:val="nil"/>
            </w:tcBorders>
          </w:tcPr>
          <w:p>
            <w:pPr>
              <w:rPr>
                <w:rFonts w:ascii="Arial"/>
                <w:sz w:val="21"/>
              </w:rPr>
            </w:pPr>
            <w:r/>
          </w:p>
        </w:tc>
        <w:tc>
          <w:tcPr>
            <w:tcW w:w="1089" w:type="dxa"/>
            <w:vAlign w:val="top"/>
          </w:tcPr>
          <w:p>
            <w:pPr>
              <w:pStyle w:val="TableText"/>
              <w:ind w:left="265"/>
              <w:spacing w:before="63" w:line="167" w:lineRule="exact"/>
              <w:rPr>
                <w:rFonts w:ascii="Calibri" w:hAnsi="Calibri" w:eastAsia="Calibri" w:cs="Calibri"/>
                <w:sz w:val="22"/>
                <w:szCs w:val="22"/>
              </w:rPr>
            </w:pPr>
            <w:r>
              <w:rPr>
                <w:sz w:val="22"/>
                <w:szCs w:val="22"/>
                <w:spacing w:val="-1"/>
                <w:position w:val="-2"/>
              </w:rPr>
              <w:t>BOD</w:t>
            </w:r>
            <w:r>
              <w:rPr>
                <w:rFonts w:ascii="Calibri" w:hAnsi="Calibri" w:eastAsia="Calibri" w:cs="Calibri"/>
                <w:sz w:val="22"/>
                <w:szCs w:val="22"/>
                <w:spacing w:val="-1"/>
                <w:position w:val="-2"/>
              </w:rPr>
              <w:t>₅</w:t>
            </w:r>
          </w:p>
        </w:tc>
        <w:tc>
          <w:tcPr>
            <w:tcW w:w="1128" w:type="dxa"/>
            <w:vAlign w:val="top"/>
          </w:tcPr>
          <w:p>
            <w:pPr>
              <w:pStyle w:val="TableText"/>
              <w:ind w:left="176"/>
              <w:spacing w:before="22" w:line="174" w:lineRule="auto"/>
              <w:rPr>
                <w:sz w:val="22"/>
                <w:szCs w:val="22"/>
              </w:rPr>
            </w:pPr>
            <w:r>
              <w:rPr>
                <w:sz w:val="22"/>
                <w:szCs w:val="22"/>
                <w:spacing w:val="-2"/>
              </w:rPr>
              <w:t>300mg/L</w:t>
            </w:r>
          </w:p>
        </w:tc>
        <w:tc>
          <w:tcPr>
            <w:tcW w:w="1603" w:type="dxa"/>
            <w:vAlign w:val="top"/>
          </w:tcPr>
          <w:p>
            <w:pPr>
              <w:pStyle w:val="TableText"/>
              <w:ind w:left="738"/>
              <w:spacing w:before="35" w:line="163" w:lineRule="auto"/>
              <w:rPr>
                <w:sz w:val="22"/>
                <w:szCs w:val="22"/>
              </w:rPr>
            </w:pPr>
            <w:r>
              <w:rPr>
                <w:sz w:val="22"/>
                <w:szCs w:val="22"/>
              </w:rPr>
              <w:t>/</w:t>
            </w:r>
          </w:p>
        </w:tc>
      </w:tr>
      <w:tr>
        <w:trPr>
          <w:trHeight w:val="239" w:hRule="atLeast"/>
        </w:trPr>
        <w:tc>
          <w:tcPr>
            <w:tcW w:w="275" w:type="dxa"/>
            <w:vAlign w:val="top"/>
            <w:vMerge w:val="continue"/>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3496" w:type="dxa"/>
            <w:vAlign w:val="top"/>
            <w:vMerge w:val="continue"/>
            <w:tcBorders>
              <w:top w:val="nil"/>
              <w:bottom w:val="nil"/>
            </w:tcBorders>
          </w:tcPr>
          <w:p>
            <w:pPr>
              <w:rPr>
                <w:rFonts w:ascii="Arial"/>
                <w:sz w:val="21"/>
              </w:rPr>
            </w:pPr>
            <w:r/>
          </w:p>
        </w:tc>
        <w:tc>
          <w:tcPr>
            <w:tcW w:w="1089" w:type="dxa"/>
            <w:vAlign w:val="top"/>
          </w:tcPr>
          <w:p>
            <w:pPr>
              <w:pStyle w:val="TableText"/>
              <w:ind w:left="425"/>
              <w:spacing w:before="86" w:line="143" w:lineRule="exact"/>
              <w:rPr>
                <w:sz w:val="22"/>
                <w:szCs w:val="22"/>
              </w:rPr>
            </w:pPr>
            <w:r>
              <w:rPr>
                <w:sz w:val="22"/>
                <w:szCs w:val="22"/>
                <w:spacing w:val="-3"/>
                <w:position w:val="-3"/>
              </w:rPr>
              <w:t>SS</w:t>
            </w:r>
          </w:p>
        </w:tc>
        <w:tc>
          <w:tcPr>
            <w:tcW w:w="1128" w:type="dxa"/>
            <w:vAlign w:val="top"/>
          </w:tcPr>
          <w:p>
            <w:pPr>
              <w:pStyle w:val="TableText"/>
              <w:ind w:left="176"/>
              <w:spacing w:before="22" w:line="173" w:lineRule="auto"/>
              <w:rPr>
                <w:sz w:val="22"/>
                <w:szCs w:val="22"/>
              </w:rPr>
            </w:pPr>
            <w:r>
              <w:rPr>
                <w:sz w:val="22"/>
                <w:szCs w:val="22"/>
                <w:spacing w:val="-1"/>
              </w:rPr>
              <w:t>400mg/L</w:t>
            </w:r>
          </w:p>
        </w:tc>
        <w:tc>
          <w:tcPr>
            <w:tcW w:w="1603" w:type="dxa"/>
            <w:vAlign w:val="top"/>
            <w:textDirection w:val="tbRlV"/>
          </w:tcPr>
          <w:p>
            <w:pPr>
              <w:spacing w:line="329" w:lineRule="auto"/>
              <w:rPr>
                <w:rFonts w:ascii="Arial"/>
                <w:sz w:val="21"/>
              </w:rPr>
            </w:pPr>
            <w:r/>
          </w:p>
          <w:p>
            <w:pPr>
              <w:spacing w:line="330" w:lineRule="auto"/>
              <w:rPr>
                <w:rFonts w:ascii="Arial"/>
                <w:sz w:val="21"/>
              </w:rPr>
            </w:pPr>
            <w:r/>
          </w:p>
          <w:p>
            <w:pPr>
              <w:pStyle w:val="TableText"/>
              <w:ind w:left="1"/>
              <w:spacing w:before="74" w:line="143" w:lineRule="exact"/>
              <w:rPr>
                <w:sz w:val="22"/>
                <w:szCs w:val="22"/>
              </w:rPr>
            </w:pPr>
            <w:r>
              <w:rPr>
                <w:sz w:val="22"/>
                <w:szCs w:val="22"/>
                <w:color w:val="203040"/>
                <w:spacing w:val="54"/>
                <w:w w:val="141"/>
                <w:position w:val="-1"/>
              </w:rPr>
              <w:t>/</w:t>
            </w:r>
          </w:p>
        </w:tc>
      </w:tr>
      <w:tr>
        <w:trPr>
          <w:trHeight w:val="279" w:hRule="atLeast"/>
        </w:trPr>
        <w:tc>
          <w:tcPr>
            <w:tcW w:w="275" w:type="dxa"/>
            <w:vAlign w:val="top"/>
            <w:vMerge w:val="continue"/>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3496" w:type="dxa"/>
            <w:vAlign w:val="top"/>
            <w:vMerge w:val="continue"/>
            <w:tcBorders>
              <w:top w:val="nil"/>
            </w:tcBorders>
          </w:tcPr>
          <w:p>
            <w:pPr>
              <w:rPr>
                <w:rFonts w:ascii="Arial"/>
                <w:sz w:val="21"/>
              </w:rPr>
            </w:pPr>
            <w:r/>
          </w:p>
        </w:tc>
        <w:tc>
          <w:tcPr>
            <w:tcW w:w="1089" w:type="dxa"/>
            <w:vAlign w:val="top"/>
          </w:tcPr>
          <w:p>
            <w:pPr>
              <w:pStyle w:val="TableText"/>
              <w:ind w:left="94"/>
              <w:spacing w:before="30" w:line="200" w:lineRule="auto"/>
              <w:rPr>
                <w:sz w:val="22"/>
                <w:szCs w:val="22"/>
              </w:rPr>
            </w:pPr>
            <w:r>
              <w:rPr>
                <w:sz w:val="22"/>
                <w:szCs w:val="22"/>
                <w:spacing w:val="5"/>
              </w:rPr>
              <w:t>动植物油</w:t>
            </w:r>
          </w:p>
        </w:tc>
        <w:tc>
          <w:tcPr>
            <w:tcW w:w="1128" w:type="dxa"/>
            <w:vAlign w:val="top"/>
          </w:tcPr>
          <w:p>
            <w:pPr>
              <w:pStyle w:val="TableText"/>
              <w:ind w:left="176"/>
              <w:spacing w:before="23" w:line="206" w:lineRule="auto"/>
              <w:rPr>
                <w:sz w:val="22"/>
                <w:szCs w:val="22"/>
              </w:rPr>
            </w:pPr>
            <w:r>
              <w:rPr>
                <w:sz w:val="22"/>
                <w:szCs w:val="22"/>
                <w:spacing w:val="-4"/>
              </w:rPr>
              <w:t>100mg/L</w:t>
            </w:r>
          </w:p>
        </w:tc>
        <w:tc>
          <w:tcPr>
            <w:tcW w:w="1603" w:type="dxa"/>
            <w:vAlign w:val="top"/>
          </w:tcPr>
          <w:p>
            <w:pPr>
              <w:pStyle w:val="TableText"/>
              <w:ind w:left="738"/>
              <w:spacing w:before="36" w:line="195" w:lineRule="auto"/>
              <w:rPr>
                <w:sz w:val="22"/>
                <w:szCs w:val="22"/>
              </w:rPr>
            </w:pPr>
            <w:r>
              <w:rPr>
                <w:sz w:val="22"/>
                <w:szCs w:val="22"/>
              </w:rPr>
              <w:t>/</w:t>
            </w:r>
          </w:p>
        </w:tc>
      </w:tr>
      <w:tr>
        <w:trPr>
          <w:trHeight w:val="269" w:hRule="atLeast"/>
        </w:trPr>
        <w:tc>
          <w:tcPr>
            <w:tcW w:w="275" w:type="dxa"/>
            <w:vAlign w:val="top"/>
            <w:vMerge w:val="continue"/>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3496" w:type="dxa"/>
            <w:vAlign w:val="top"/>
            <w:vMerge w:val="restart"/>
            <w:tcBorders>
              <w:bottom w:val="nil"/>
            </w:tcBorders>
          </w:tcPr>
          <w:p>
            <w:pPr>
              <w:pStyle w:val="TableText"/>
              <w:ind w:left="201"/>
              <w:spacing w:before="310" w:line="219" w:lineRule="auto"/>
              <w:rPr>
                <w:sz w:val="22"/>
                <w:szCs w:val="22"/>
              </w:rPr>
            </w:pPr>
            <w:r>
              <w:rPr>
                <w:sz w:val="22"/>
                <w:szCs w:val="22"/>
                <w:spacing w:val="1"/>
              </w:rPr>
              <w:t>安州区第三污水处理厂进水水质</w:t>
            </w:r>
          </w:p>
        </w:tc>
        <w:tc>
          <w:tcPr>
            <w:tcW w:w="1089" w:type="dxa"/>
            <w:vAlign w:val="top"/>
          </w:tcPr>
          <w:p>
            <w:pPr>
              <w:pStyle w:val="TableText"/>
              <w:ind w:left="315"/>
              <w:spacing w:before="31" w:line="191" w:lineRule="auto"/>
              <w:rPr>
                <w:sz w:val="22"/>
                <w:szCs w:val="22"/>
              </w:rPr>
            </w:pPr>
            <w:r>
              <w:rPr>
                <w:sz w:val="22"/>
                <w:szCs w:val="22"/>
                <w:spacing w:val="5"/>
              </w:rPr>
              <w:t>总磷</w:t>
            </w:r>
          </w:p>
        </w:tc>
        <w:tc>
          <w:tcPr>
            <w:tcW w:w="1128" w:type="dxa"/>
            <w:vAlign w:val="top"/>
          </w:tcPr>
          <w:p>
            <w:pPr>
              <w:pStyle w:val="TableText"/>
              <w:ind w:left="286"/>
              <w:spacing w:before="25" w:line="196" w:lineRule="auto"/>
              <w:rPr>
                <w:sz w:val="22"/>
                <w:szCs w:val="22"/>
              </w:rPr>
            </w:pPr>
            <w:r>
              <w:rPr>
                <w:sz w:val="22"/>
                <w:szCs w:val="22"/>
                <w:spacing w:val="-2"/>
              </w:rPr>
              <w:t>8mg/L</w:t>
            </w:r>
          </w:p>
        </w:tc>
        <w:tc>
          <w:tcPr>
            <w:tcW w:w="1603" w:type="dxa"/>
            <w:vAlign w:val="top"/>
            <w:textDirection w:val="tbRlV"/>
          </w:tcPr>
          <w:p>
            <w:pPr>
              <w:spacing w:line="329" w:lineRule="auto"/>
              <w:rPr>
                <w:rFonts w:ascii="Arial"/>
                <w:sz w:val="21"/>
              </w:rPr>
            </w:pPr>
            <w:r/>
          </w:p>
          <w:p>
            <w:pPr>
              <w:spacing w:line="330" w:lineRule="auto"/>
              <w:rPr>
                <w:rFonts w:ascii="Arial"/>
                <w:sz w:val="21"/>
              </w:rPr>
            </w:pPr>
            <w:r/>
          </w:p>
          <w:p>
            <w:pPr>
              <w:pStyle w:val="TableText"/>
              <w:ind w:left="2"/>
              <w:spacing w:before="74" w:line="143" w:lineRule="exact"/>
              <w:rPr>
                <w:sz w:val="22"/>
                <w:szCs w:val="22"/>
              </w:rPr>
            </w:pPr>
            <w:r>
              <w:rPr>
                <w:sz w:val="22"/>
                <w:szCs w:val="22"/>
                <w:color w:val="303050"/>
                <w:spacing w:val="54"/>
                <w:w w:val="141"/>
                <w:position w:val="-1"/>
              </w:rPr>
              <w:t>/</w:t>
            </w:r>
          </w:p>
        </w:tc>
      </w:tr>
      <w:tr>
        <w:trPr>
          <w:trHeight w:val="269" w:hRule="atLeast"/>
        </w:trPr>
        <w:tc>
          <w:tcPr>
            <w:tcW w:w="275" w:type="dxa"/>
            <w:vAlign w:val="top"/>
            <w:vMerge w:val="continue"/>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3496" w:type="dxa"/>
            <w:vAlign w:val="top"/>
            <w:vMerge w:val="continue"/>
            <w:tcBorders>
              <w:top w:val="nil"/>
              <w:bottom w:val="nil"/>
            </w:tcBorders>
          </w:tcPr>
          <w:p>
            <w:pPr>
              <w:rPr>
                <w:rFonts w:ascii="Arial"/>
                <w:sz w:val="21"/>
              </w:rPr>
            </w:pPr>
            <w:r/>
          </w:p>
        </w:tc>
        <w:tc>
          <w:tcPr>
            <w:tcW w:w="1089" w:type="dxa"/>
            <w:vAlign w:val="top"/>
          </w:tcPr>
          <w:p>
            <w:pPr>
              <w:pStyle w:val="TableText"/>
              <w:ind w:left="315"/>
              <w:spacing w:before="32" w:line="190" w:lineRule="auto"/>
              <w:rPr>
                <w:sz w:val="22"/>
                <w:szCs w:val="22"/>
              </w:rPr>
            </w:pPr>
            <w:r>
              <w:rPr>
                <w:sz w:val="22"/>
                <w:szCs w:val="22"/>
                <w:spacing w:val="4"/>
              </w:rPr>
              <w:t>总氮</w:t>
            </w:r>
          </w:p>
        </w:tc>
        <w:tc>
          <w:tcPr>
            <w:tcW w:w="1128" w:type="dxa"/>
            <w:vAlign w:val="top"/>
          </w:tcPr>
          <w:p>
            <w:pPr>
              <w:pStyle w:val="TableText"/>
              <w:ind w:left="226"/>
              <w:spacing w:before="26" w:line="195" w:lineRule="auto"/>
              <w:rPr>
                <w:sz w:val="22"/>
                <w:szCs w:val="22"/>
              </w:rPr>
            </w:pPr>
            <w:r>
              <w:rPr>
                <w:sz w:val="22"/>
                <w:szCs w:val="22"/>
                <w:spacing w:val="-2"/>
              </w:rPr>
              <w:t>55mg/L</w:t>
            </w:r>
          </w:p>
        </w:tc>
        <w:tc>
          <w:tcPr>
            <w:tcW w:w="1603" w:type="dxa"/>
            <w:vAlign w:val="top"/>
          </w:tcPr>
          <w:p>
            <w:pPr>
              <w:pStyle w:val="TableText"/>
              <w:ind w:left="738"/>
              <w:spacing w:before="38" w:line="185" w:lineRule="auto"/>
              <w:rPr>
                <w:sz w:val="22"/>
                <w:szCs w:val="22"/>
              </w:rPr>
            </w:pPr>
            <w:r>
              <w:rPr>
                <w:sz w:val="22"/>
                <w:szCs w:val="22"/>
                <w:color w:val="303040"/>
              </w:rPr>
              <w:t>/</w:t>
            </w:r>
          </w:p>
        </w:tc>
      </w:tr>
      <w:tr>
        <w:trPr>
          <w:trHeight w:val="269" w:hRule="atLeast"/>
        </w:trPr>
        <w:tc>
          <w:tcPr>
            <w:tcW w:w="275" w:type="dxa"/>
            <w:vAlign w:val="top"/>
            <w:vMerge w:val="continue"/>
            <w:tcBorders>
              <w:top w:val="nil"/>
              <w:bottom w:val="nil"/>
            </w:tcBorders>
          </w:tcPr>
          <w:p>
            <w:pPr>
              <w:rPr>
                <w:rFonts w:ascii="Arial"/>
                <w:sz w:val="21"/>
              </w:rPr>
            </w:pPr>
            <w:r/>
          </w:p>
        </w:tc>
        <w:tc>
          <w:tcPr>
            <w:tcW w:w="230" w:type="dxa"/>
            <w:vAlign w:val="top"/>
            <w:vMerge w:val="continue"/>
            <w:tcBorders>
              <w:top w:val="nil"/>
            </w:tcBorders>
          </w:tcPr>
          <w:p>
            <w:pPr>
              <w:rPr>
                <w:rFonts w:ascii="Arial"/>
                <w:sz w:val="21"/>
              </w:rPr>
            </w:pPr>
            <w:r/>
          </w:p>
        </w:tc>
        <w:tc>
          <w:tcPr>
            <w:tcW w:w="489" w:type="dxa"/>
            <w:vAlign w:val="top"/>
            <w:vMerge w:val="continue"/>
            <w:tcBorders>
              <w:top w:val="nil"/>
            </w:tcBorders>
          </w:tcPr>
          <w:p>
            <w:pPr>
              <w:rPr>
                <w:rFonts w:ascii="Arial"/>
                <w:sz w:val="21"/>
              </w:rPr>
            </w:pPr>
            <w:r/>
          </w:p>
        </w:tc>
        <w:tc>
          <w:tcPr>
            <w:tcW w:w="3496" w:type="dxa"/>
            <w:vAlign w:val="top"/>
            <w:vMerge w:val="continue"/>
            <w:tcBorders>
              <w:top w:val="nil"/>
            </w:tcBorders>
          </w:tcPr>
          <w:p>
            <w:pPr>
              <w:rPr>
                <w:rFonts w:ascii="Arial"/>
                <w:sz w:val="21"/>
              </w:rPr>
            </w:pPr>
            <w:r/>
          </w:p>
        </w:tc>
        <w:tc>
          <w:tcPr>
            <w:tcW w:w="1089" w:type="dxa"/>
            <w:vAlign w:val="top"/>
          </w:tcPr>
          <w:p>
            <w:pPr>
              <w:pStyle w:val="TableText"/>
              <w:ind w:left="315"/>
              <w:spacing w:before="32" w:line="190" w:lineRule="auto"/>
              <w:rPr>
                <w:sz w:val="22"/>
                <w:szCs w:val="22"/>
              </w:rPr>
            </w:pPr>
            <w:r>
              <w:rPr>
                <w:sz w:val="22"/>
                <w:szCs w:val="22"/>
                <w:spacing w:val="-3"/>
              </w:rPr>
              <w:t>氨氮</w:t>
            </w:r>
          </w:p>
        </w:tc>
        <w:tc>
          <w:tcPr>
            <w:tcW w:w="1128" w:type="dxa"/>
            <w:vAlign w:val="top"/>
          </w:tcPr>
          <w:p>
            <w:pPr>
              <w:pStyle w:val="TableText"/>
              <w:ind w:left="226"/>
              <w:spacing w:before="26" w:line="195" w:lineRule="auto"/>
              <w:rPr>
                <w:sz w:val="22"/>
                <w:szCs w:val="22"/>
              </w:rPr>
            </w:pPr>
            <w:r>
              <w:rPr>
                <w:sz w:val="22"/>
                <w:szCs w:val="22"/>
                <w:spacing w:val="-2"/>
              </w:rPr>
              <w:t>45mg/L</w:t>
            </w:r>
          </w:p>
        </w:tc>
        <w:tc>
          <w:tcPr>
            <w:tcW w:w="1603" w:type="dxa"/>
            <w:vAlign w:val="top"/>
          </w:tcPr>
          <w:p>
            <w:pPr>
              <w:pStyle w:val="TableText"/>
              <w:ind w:left="738"/>
              <w:spacing w:before="39" w:line="184" w:lineRule="auto"/>
              <w:rPr>
                <w:sz w:val="22"/>
                <w:szCs w:val="22"/>
              </w:rPr>
            </w:pPr>
            <w:r>
              <w:rPr>
                <w:sz w:val="22"/>
                <w:szCs w:val="22"/>
                <w:color w:val="303040"/>
              </w:rPr>
              <w:t>/</w:t>
            </w:r>
          </w:p>
        </w:tc>
      </w:tr>
      <w:tr>
        <w:trPr>
          <w:trHeight w:val="280" w:hRule="atLeast"/>
        </w:trPr>
        <w:tc>
          <w:tcPr>
            <w:tcW w:w="275" w:type="dxa"/>
            <w:vAlign w:val="top"/>
            <w:vMerge w:val="continue"/>
            <w:tcBorders>
              <w:top w:val="nil"/>
              <w:bottom w:val="nil"/>
            </w:tcBorders>
          </w:tcPr>
          <w:p>
            <w:pPr>
              <w:rPr>
                <w:rFonts w:ascii="Arial"/>
                <w:sz w:val="21"/>
              </w:rPr>
            </w:pPr>
            <w:r/>
          </w:p>
        </w:tc>
        <w:tc>
          <w:tcPr>
            <w:tcW w:w="230" w:type="dxa"/>
            <w:vAlign w:val="top"/>
            <w:vMerge w:val="restart"/>
            <w:tcBorders>
              <w:bottom w:val="nil"/>
            </w:tcBorders>
          </w:tcPr>
          <w:p>
            <w:pPr>
              <w:spacing w:line="402" w:lineRule="auto"/>
              <w:rPr>
                <w:rFonts w:ascii="Arial"/>
                <w:sz w:val="21"/>
              </w:rPr>
            </w:pPr>
            <w:r/>
          </w:p>
          <w:p>
            <w:pPr>
              <w:pStyle w:val="TableText"/>
              <w:ind w:left="50"/>
              <w:spacing w:before="71"/>
              <w:rPr>
                <w:sz w:val="22"/>
                <w:szCs w:val="22"/>
              </w:rPr>
            </w:pPr>
            <w:r>
              <w:rPr>
                <w:sz w:val="22"/>
                <w:szCs w:val="22"/>
              </w:rPr>
              <w:t>3</w:t>
            </w:r>
          </w:p>
        </w:tc>
        <w:tc>
          <w:tcPr>
            <w:tcW w:w="489" w:type="dxa"/>
            <w:vAlign w:val="top"/>
            <w:vMerge w:val="restart"/>
            <w:tcBorders>
              <w:bottom w:val="nil"/>
            </w:tcBorders>
          </w:tcPr>
          <w:p>
            <w:pPr>
              <w:spacing w:line="381" w:lineRule="auto"/>
              <w:rPr>
                <w:rFonts w:ascii="Arial"/>
                <w:sz w:val="21"/>
              </w:rPr>
            </w:pPr>
            <w:r/>
          </w:p>
          <w:p>
            <w:pPr>
              <w:pStyle w:val="TableText"/>
              <w:ind w:left="10"/>
              <w:spacing w:before="72" w:line="220" w:lineRule="auto"/>
              <w:rPr>
                <w:sz w:val="22"/>
                <w:szCs w:val="22"/>
              </w:rPr>
            </w:pPr>
            <w:r>
              <w:rPr>
                <w:sz w:val="22"/>
                <w:szCs w:val="22"/>
                <w:spacing w:val="7"/>
              </w:rPr>
              <w:t>噪声</w:t>
            </w:r>
          </w:p>
        </w:tc>
        <w:tc>
          <w:tcPr>
            <w:tcW w:w="3496" w:type="dxa"/>
            <w:vAlign w:val="top"/>
            <w:vMerge w:val="restart"/>
            <w:tcBorders>
              <w:bottom w:val="nil"/>
            </w:tcBorders>
          </w:tcPr>
          <w:p>
            <w:pPr>
              <w:pStyle w:val="TableText"/>
              <w:spacing w:before="35" w:line="219" w:lineRule="auto"/>
              <w:jc w:val="right"/>
              <w:rPr>
                <w:sz w:val="22"/>
                <w:szCs w:val="22"/>
              </w:rPr>
            </w:pPr>
            <w:r>
              <w:rPr>
                <w:sz w:val="22"/>
                <w:szCs w:val="22"/>
                <w:spacing w:val="-3"/>
              </w:rPr>
              <w:t>施工期执行《建筑施工场界环境噪声</w:t>
            </w:r>
          </w:p>
          <w:p>
            <w:pPr>
              <w:pStyle w:val="TableText"/>
              <w:ind w:left="421"/>
              <w:spacing w:before="19" w:line="196" w:lineRule="auto"/>
              <w:rPr>
                <w:sz w:val="22"/>
                <w:szCs w:val="22"/>
              </w:rPr>
            </w:pPr>
            <w:r>
              <w:rPr>
                <w:sz w:val="22"/>
                <w:szCs w:val="22"/>
                <w:spacing w:val="2"/>
              </w:rPr>
              <w:t>排放标准》(</w:t>
            </w:r>
            <w:r>
              <w:rPr>
                <w:sz w:val="22"/>
                <w:szCs w:val="22"/>
              </w:rPr>
              <w:t>GB</w:t>
            </w:r>
            <w:r>
              <w:rPr>
                <w:sz w:val="22"/>
                <w:szCs w:val="22"/>
                <w:spacing w:val="2"/>
              </w:rPr>
              <w:t>12523-2011)</w:t>
            </w:r>
          </w:p>
        </w:tc>
        <w:tc>
          <w:tcPr>
            <w:tcW w:w="1089" w:type="dxa"/>
            <w:vAlign w:val="top"/>
            <w:vMerge w:val="restart"/>
            <w:tcBorders>
              <w:bottom w:val="nil"/>
            </w:tcBorders>
          </w:tcPr>
          <w:p>
            <w:pPr>
              <w:pStyle w:val="TableText"/>
              <w:ind w:left="315"/>
              <w:spacing w:before="201" w:line="184" w:lineRule="auto"/>
              <w:rPr>
                <w:sz w:val="22"/>
                <w:szCs w:val="22"/>
              </w:rPr>
            </w:pPr>
            <w:r>
              <w:rPr>
                <w:sz w:val="22"/>
                <w:szCs w:val="22"/>
                <w:spacing w:val="-2"/>
              </w:rPr>
              <w:t>LAeg</w:t>
            </w:r>
          </w:p>
        </w:tc>
        <w:tc>
          <w:tcPr>
            <w:tcW w:w="1128" w:type="dxa"/>
            <w:vAlign w:val="top"/>
          </w:tcPr>
          <w:p>
            <w:pPr>
              <w:pStyle w:val="TableText"/>
              <w:ind w:left="16"/>
              <w:spacing w:before="38" w:line="194" w:lineRule="auto"/>
              <w:rPr>
                <w:sz w:val="22"/>
                <w:szCs w:val="22"/>
              </w:rPr>
            </w:pPr>
            <w:r>
              <w:rPr>
                <w:sz w:val="22"/>
                <w:szCs w:val="22"/>
                <w:spacing w:val="-2"/>
              </w:rPr>
              <w:t>70dB(A)</w:t>
            </w:r>
          </w:p>
        </w:tc>
        <w:tc>
          <w:tcPr>
            <w:tcW w:w="1603" w:type="dxa"/>
            <w:vAlign w:val="top"/>
          </w:tcPr>
          <w:p>
            <w:pPr>
              <w:pStyle w:val="TableText"/>
              <w:ind w:left="577"/>
              <w:spacing w:before="38" w:line="194" w:lineRule="auto"/>
              <w:rPr>
                <w:sz w:val="22"/>
                <w:szCs w:val="22"/>
              </w:rPr>
            </w:pPr>
            <w:r>
              <w:rPr>
                <w:sz w:val="22"/>
                <w:szCs w:val="22"/>
                <w:color w:val="605050"/>
                <w:spacing w:val="10"/>
              </w:rPr>
              <w:t>昼间</w:t>
            </w:r>
          </w:p>
        </w:tc>
      </w:tr>
      <w:tr>
        <w:trPr>
          <w:trHeight w:val="269" w:hRule="atLeast"/>
        </w:trPr>
        <w:tc>
          <w:tcPr>
            <w:tcW w:w="275" w:type="dxa"/>
            <w:vAlign w:val="top"/>
            <w:vMerge w:val="continue"/>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3496" w:type="dxa"/>
            <w:vAlign w:val="top"/>
            <w:vMerge w:val="continue"/>
            <w:tcBorders>
              <w:top w:val="nil"/>
            </w:tcBorders>
          </w:tcPr>
          <w:p>
            <w:pPr>
              <w:rPr>
                <w:rFonts w:ascii="Arial"/>
                <w:sz w:val="21"/>
              </w:rPr>
            </w:pPr>
            <w:r/>
          </w:p>
        </w:tc>
        <w:tc>
          <w:tcPr>
            <w:tcW w:w="1089" w:type="dxa"/>
            <w:vAlign w:val="top"/>
            <w:vMerge w:val="continue"/>
            <w:tcBorders>
              <w:top w:val="nil"/>
            </w:tcBorders>
          </w:tcPr>
          <w:p>
            <w:pPr>
              <w:rPr>
                <w:rFonts w:ascii="Arial"/>
                <w:sz w:val="21"/>
              </w:rPr>
            </w:pPr>
            <w:r/>
          </w:p>
        </w:tc>
        <w:tc>
          <w:tcPr>
            <w:tcW w:w="1128" w:type="dxa"/>
            <w:vAlign w:val="top"/>
          </w:tcPr>
          <w:p>
            <w:pPr>
              <w:pStyle w:val="TableText"/>
              <w:ind w:left="26"/>
              <w:spacing w:before="38" w:line="185" w:lineRule="auto"/>
              <w:rPr>
                <w:sz w:val="22"/>
                <w:szCs w:val="22"/>
              </w:rPr>
            </w:pPr>
            <w:r>
              <w:rPr>
                <w:sz w:val="22"/>
                <w:szCs w:val="22"/>
                <w:spacing w:val="-2"/>
              </w:rPr>
              <w:t>55dB(A)</w:t>
            </w:r>
          </w:p>
        </w:tc>
        <w:tc>
          <w:tcPr>
            <w:tcW w:w="1603" w:type="dxa"/>
            <w:vAlign w:val="top"/>
          </w:tcPr>
          <w:p>
            <w:pPr>
              <w:pStyle w:val="TableText"/>
              <w:ind w:left="577"/>
              <w:spacing w:before="34" w:line="188" w:lineRule="auto"/>
              <w:rPr>
                <w:sz w:val="22"/>
                <w:szCs w:val="22"/>
              </w:rPr>
            </w:pPr>
            <w:r>
              <w:rPr>
                <w:sz w:val="22"/>
                <w:szCs w:val="22"/>
                <w:spacing w:val="10"/>
              </w:rPr>
              <w:t>夜间</w:t>
            </w:r>
          </w:p>
        </w:tc>
      </w:tr>
      <w:tr>
        <w:trPr>
          <w:trHeight w:val="270" w:hRule="atLeast"/>
        </w:trPr>
        <w:tc>
          <w:tcPr>
            <w:tcW w:w="275" w:type="dxa"/>
            <w:vAlign w:val="top"/>
            <w:vMerge w:val="continue"/>
            <w:tcBorders>
              <w:top w:val="nil"/>
              <w:bottom w:val="nil"/>
            </w:tcBorders>
          </w:tcPr>
          <w:p>
            <w:pPr>
              <w:rPr>
                <w:rFonts w:ascii="Arial"/>
                <w:sz w:val="21"/>
              </w:rPr>
            </w:pPr>
            <w:r/>
          </w:p>
        </w:tc>
        <w:tc>
          <w:tcPr>
            <w:tcW w:w="230" w:type="dxa"/>
            <w:vAlign w:val="top"/>
            <w:vMerge w:val="continue"/>
            <w:tcBorders>
              <w:top w:val="nil"/>
              <w:bottom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3496" w:type="dxa"/>
            <w:vAlign w:val="top"/>
            <w:vMerge w:val="restart"/>
            <w:tcBorders>
              <w:bottom w:val="nil"/>
            </w:tcBorders>
          </w:tcPr>
          <w:p>
            <w:pPr>
              <w:pStyle w:val="TableText"/>
              <w:ind w:left="250" w:hanging="239"/>
              <w:spacing w:before="36" w:line="211" w:lineRule="auto"/>
              <w:rPr>
                <w:sz w:val="22"/>
                <w:szCs w:val="22"/>
              </w:rPr>
            </w:pPr>
            <w:r>
              <w:rPr>
                <w:sz w:val="22"/>
                <w:szCs w:val="22"/>
                <w:spacing w:val="-3"/>
              </w:rPr>
              <w:t>运营期执行《工业企业厂界环境噪声</w:t>
            </w:r>
            <w:r>
              <w:rPr>
                <w:sz w:val="22"/>
                <w:szCs w:val="22"/>
                <w:spacing w:val="1"/>
              </w:rPr>
              <w:t xml:space="preserve"> </w:t>
            </w:r>
            <w:r>
              <w:rPr>
                <w:sz w:val="22"/>
                <w:szCs w:val="22"/>
                <w:spacing w:val="-1"/>
              </w:rPr>
              <w:t>排放标准》(GB12348-2008)3类</w:t>
            </w:r>
          </w:p>
        </w:tc>
        <w:tc>
          <w:tcPr>
            <w:tcW w:w="1089" w:type="dxa"/>
            <w:vAlign w:val="top"/>
            <w:vMerge w:val="restart"/>
            <w:tcBorders>
              <w:bottom w:val="nil"/>
            </w:tcBorders>
          </w:tcPr>
          <w:p>
            <w:pPr>
              <w:pStyle w:val="TableText"/>
              <w:ind w:left="315"/>
              <w:spacing w:before="202" w:line="184" w:lineRule="auto"/>
              <w:rPr>
                <w:sz w:val="22"/>
                <w:szCs w:val="22"/>
              </w:rPr>
            </w:pPr>
            <w:r>
              <w:rPr>
                <w:sz w:val="22"/>
                <w:szCs w:val="22"/>
                <w:spacing w:val="-2"/>
              </w:rPr>
              <w:t>LAeg</w:t>
            </w:r>
          </w:p>
        </w:tc>
        <w:tc>
          <w:tcPr>
            <w:tcW w:w="1128" w:type="dxa"/>
            <w:vAlign w:val="top"/>
          </w:tcPr>
          <w:p>
            <w:pPr>
              <w:pStyle w:val="TableText"/>
              <w:ind w:left="16"/>
              <w:spacing w:before="39" w:line="185" w:lineRule="auto"/>
              <w:rPr>
                <w:sz w:val="22"/>
                <w:szCs w:val="22"/>
              </w:rPr>
            </w:pPr>
            <w:r>
              <w:rPr>
                <w:sz w:val="22"/>
                <w:szCs w:val="22"/>
                <w:spacing w:val="-2"/>
              </w:rPr>
              <w:t>65dB(A)</w:t>
            </w:r>
          </w:p>
        </w:tc>
        <w:tc>
          <w:tcPr>
            <w:tcW w:w="1603" w:type="dxa"/>
            <w:vAlign w:val="top"/>
          </w:tcPr>
          <w:p>
            <w:pPr>
              <w:pStyle w:val="TableText"/>
              <w:ind w:left="577"/>
              <w:spacing w:before="39" w:line="185" w:lineRule="auto"/>
              <w:rPr>
                <w:sz w:val="22"/>
                <w:szCs w:val="22"/>
              </w:rPr>
            </w:pPr>
            <w:r>
              <w:rPr>
                <w:sz w:val="22"/>
                <w:szCs w:val="22"/>
                <w:spacing w:val="10"/>
              </w:rPr>
              <w:t>昼间</w:t>
            </w:r>
          </w:p>
        </w:tc>
      </w:tr>
      <w:tr>
        <w:trPr>
          <w:trHeight w:val="269" w:hRule="atLeast"/>
        </w:trPr>
        <w:tc>
          <w:tcPr>
            <w:tcW w:w="275" w:type="dxa"/>
            <w:vAlign w:val="top"/>
            <w:vMerge w:val="continue"/>
            <w:tcBorders>
              <w:top w:val="nil"/>
              <w:bottom w:val="nil"/>
            </w:tcBorders>
          </w:tcPr>
          <w:p>
            <w:pPr>
              <w:rPr>
                <w:rFonts w:ascii="Arial"/>
                <w:sz w:val="21"/>
              </w:rPr>
            </w:pPr>
            <w:r/>
          </w:p>
        </w:tc>
        <w:tc>
          <w:tcPr>
            <w:tcW w:w="230" w:type="dxa"/>
            <w:vAlign w:val="top"/>
            <w:vMerge w:val="continue"/>
            <w:tcBorders>
              <w:top w:val="nil"/>
            </w:tcBorders>
          </w:tcPr>
          <w:p>
            <w:pPr>
              <w:rPr>
                <w:rFonts w:ascii="Arial"/>
                <w:sz w:val="21"/>
              </w:rPr>
            </w:pPr>
            <w:r/>
          </w:p>
        </w:tc>
        <w:tc>
          <w:tcPr>
            <w:tcW w:w="489" w:type="dxa"/>
            <w:vAlign w:val="top"/>
            <w:vMerge w:val="continue"/>
            <w:tcBorders>
              <w:top w:val="nil"/>
            </w:tcBorders>
          </w:tcPr>
          <w:p>
            <w:pPr>
              <w:rPr>
                <w:rFonts w:ascii="Arial"/>
                <w:sz w:val="21"/>
              </w:rPr>
            </w:pPr>
            <w:r/>
          </w:p>
        </w:tc>
        <w:tc>
          <w:tcPr>
            <w:tcW w:w="3496" w:type="dxa"/>
            <w:vAlign w:val="top"/>
            <w:vMerge w:val="continue"/>
            <w:tcBorders>
              <w:top w:val="nil"/>
            </w:tcBorders>
          </w:tcPr>
          <w:p>
            <w:pPr>
              <w:rPr>
                <w:rFonts w:ascii="Arial"/>
                <w:sz w:val="21"/>
              </w:rPr>
            </w:pPr>
            <w:r/>
          </w:p>
        </w:tc>
        <w:tc>
          <w:tcPr>
            <w:tcW w:w="1089" w:type="dxa"/>
            <w:vAlign w:val="top"/>
            <w:vMerge w:val="continue"/>
            <w:tcBorders>
              <w:top w:val="nil"/>
            </w:tcBorders>
          </w:tcPr>
          <w:p>
            <w:pPr>
              <w:rPr>
                <w:rFonts w:ascii="Arial"/>
                <w:sz w:val="21"/>
              </w:rPr>
            </w:pPr>
            <w:r/>
          </w:p>
        </w:tc>
        <w:tc>
          <w:tcPr>
            <w:tcW w:w="1128" w:type="dxa"/>
            <w:vAlign w:val="top"/>
          </w:tcPr>
          <w:p>
            <w:pPr>
              <w:pStyle w:val="TableText"/>
              <w:ind w:left="16"/>
              <w:spacing w:before="39" w:line="184" w:lineRule="auto"/>
              <w:rPr>
                <w:sz w:val="22"/>
                <w:szCs w:val="22"/>
              </w:rPr>
            </w:pPr>
            <w:r>
              <w:rPr>
                <w:sz w:val="22"/>
                <w:szCs w:val="22"/>
                <w:spacing w:val="-2"/>
              </w:rPr>
              <w:t>55dB(A)</w:t>
            </w:r>
          </w:p>
        </w:tc>
        <w:tc>
          <w:tcPr>
            <w:tcW w:w="1603" w:type="dxa"/>
            <w:vAlign w:val="top"/>
          </w:tcPr>
          <w:p>
            <w:pPr>
              <w:pStyle w:val="TableText"/>
              <w:ind w:left="577"/>
              <w:spacing w:before="36" w:line="187" w:lineRule="auto"/>
              <w:rPr>
                <w:sz w:val="22"/>
                <w:szCs w:val="22"/>
              </w:rPr>
            </w:pPr>
            <w:r>
              <w:rPr>
                <w:sz w:val="22"/>
                <w:szCs w:val="22"/>
                <w:spacing w:val="10"/>
              </w:rPr>
              <w:t>夜间</w:t>
            </w:r>
          </w:p>
        </w:tc>
      </w:tr>
      <w:tr>
        <w:trPr>
          <w:trHeight w:val="1093" w:hRule="atLeast"/>
        </w:trPr>
        <w:tc>
          <w:tcPr>
            <w:tcW w:w="275" w:type="dxa"/>
            <w:vAlign w:val="top"/>
            <w:vMerge w:val="continue"/>
            <w:tcBorders>
              <w:top w:val="nil"/>
            </w:tcBorders>
          </w:tcPr>
          <w:p>
            <w:pPr>
              <w:rPr>
                <w:rFonts w:ascii="Arial"/>
                <w:sz w:val="21"/>
              </w:rPr>
            </w:pPr>
            <w:r/>
          </w:p>
        </w:tc>
        <w:tc>
          <w:tcPr>
            <w:tcW w:w="230" w:type="dxa"/>
            <w:vAlign w:val="top"/>
          </w:tcPr>
          <w:p>
            <w:pPr>
              <w:spacing w:line="395" w:lineRule="auto"/>
              <w:rPr>
                <w:rFonts w:ascii="Arial"/>
                <w:sz w:val="21"/>
              </w:rPr>
            </w:pPr>
            <w:r/>
          </w:p>
          <w:p>
            <w:pPr>
              <w:pStyle w:val="TableText"/>
              <w:ind w:left="50"/>
              <w:spacing w:before="71" w:line="241" w:lineRule="auto"/>
              <w:rPr>
                <w:sz w:val="22"/>
                <w:szCs w:val="22"/>
              </w:rPr>
            </w:pPr>
            <w:r>
              <w:rPr>
                <w:sz w:val="22"/>
                <w:szCs w:val="22"/>
                <w:color w:val="605050"/>
              </w:rPr>
              <w:t>4</w:t>
            </w:r>
          </w:p>
        </w:tc>
        <w:tc>
          <w:tcPr>
            <w:tcW w:w="489" w:type="dxa"/>
            <w:vAlign w:val="top"/>
          </w:tcPr>
          <w:p>
            <w:pPr>
              <w:spacing w:line="373" w:lineRule="auto"/>
              <w:rPr>
                <w:rFonts w:ascii="Arial"/>
                <w:sz w:val="21"/>
              </w:rPr>
            </w:pPr>
            <w:r/>
          </w:p>
          <w:p>
            <w:pPr>
              <w:pStyle w:val="TableText"/>
              <w:ind w:left="10"/>
              <w:spacing w:before="72" w:line="220" w:lineRule="auto"/>
              <w:rPr>
                <w:sz w:val="22"/>
                <w:szCs w:val="22"/>
              </w:rPr>
            </w:pPr>
            <w:r>
              <w:rPr>
                <w:sz w:val="22"/>
                <w:szCs w:val="22"/>
                <w:spacing w:val="5"/>
              </w:rPr>
              <w:t>固废</w:t>
            </w:r>
          </w:p>
        </w:tc>
        <w:tc>
          <w:tcPr>
            <w:tcW w:w="7316" w:type="dxa"/>
            <w:vAlign w:val="top"/>
            <w:gridSpan w:val="4"/>
          </w:tcPr>
          <w:p>
            <w:pPr>
              <w:pStyle w:val="TableText"/>
              <w:ind w:left="510"/>
              <w:spacing w:before="37" w:line="219" w:lineRule="auto"/>
              <w:rPr>
                <w:sz w:val="22"/>
                <w:szCs w:val="22"/>
              </w:rPr>
            </w:pPr>
            <w:r>
              <w:rPr>
                <w:sz w:val="22"/>
                <w:szCs w:val="22"/>
                <w:spacing w:val="1"/>
              </w:rPr>
              <w:t>《一般工业固体废物贮存和填埋污染控制标准》(</w:t>
            </w:r>
            <w:r>
              <w:rPr>
                <w:sz w:val="22"/>
                <w:szCs w:val="22"/>
              </w:rPr>
              <w:t>GB</w:t>
            </w:r>
            <w:r>
              <w:rPr>
                <w:sz w:val="22"/>
                <w:szCs w:val="22"/>
                <w:spacing w:val="1"/>
              </w:rPr>
              <w:t>18599-2020)</w:t>
            </w:r>
          </w:p>
          <w:p>
            <w:pPr>
              <w:pStyle w:val="TableText"/>
              <w:ind w:left="1281"/>
              <w:spacing w:before="18" w:line="217" w:lineRule="auto"/>
              <w:rPr>
                <w:sz w:val="22"/>
                <w:szCs w:val="22"/>
              </w:rPr>
            </w:pPr>
            <w:r>
              <w:rPr>
                <w:sz w:val="22"/>
                <w:szCs w:val="22"/>
                <w:spacing w:val="2"/>
              </w:rPr>
              <w:t>《危险废物贮存污染控制标准》(</w:t>
            </w:r>
            <w:r>
              <w:rPr>
                <w:sz w:val="22"/>
                <w:szCs w:val="22"/>
              </w:rPr>
              <w:t>GB</w:t>
            </w:r>
            <w:r>
              <w:rPr>
                <w:sz w:val="22"/>
                <w:szCs w:val="22"/>
                <w:spacing w:val="2"/>
              </w:rPr>
              <w:t>18597-</w:t>
            </w:r>
            <w:r>
              <w:rPr>
                <w:sz w:val="22"/>
                <w:szCs w:val="22"/>
                <w:spacing w:val="1"/>
              </w:rPr>
              <w:t>2023)</w:t>
            </w:r>
          </w:p>
          <w:p>
            <w:pPr>
              <w:pStyle w:val="TableText"/>
              <w:ind w:left="1121"/>
              <w:spacing w:line="202" w:lineRule="auto"/>
              <w:rPr>
                <w:sz w:val="22"/>
                <w:szCs w:val="22"/>
              </w:rPr>
            </w:pPr>
            <w:r>
              <w:rPr>
                <w:sz w:val="22"/>
                <w:szCs w:val="22"/>
                <w:spacing w:val="2"/>
              </w:rPr>
              <w:t>《危险废物识别标志设置技术规范》(</w:t>
            </w:r>
            <w:r>
              <w:rPr>
                <w:sz w:val="22"/>
                <w:szCs w:val="22"/>
              </w:rPr>
              <w:t>HJ</w:t>
            </w:r>
            <w:r>
              <w:rPr>
                <w:sz w:val="22"/>
                <w:szCs w:val="22"/>
                <w:spacing w:val="2"/>
              </w:rPr>
              <w:t>127</w:t>
            </w:r>
            <w:r>
              <w:rPr>
                <w:sz w:val="22"/>
                <w:szCs w:val="22"/>
                <w:spacing w:val="1"/>
              </w:rPr>
              <w:t>6-2022)</w:t>
            </w:r>
          </w:p>
          <w:p>
            <w:pPr>
              <w:pStyle w:val="TableText"/>
              <w:ind w:left="510"/>
              <w:spacing w:line="219" w:lineRule="auto"/>
              <w:rPr>
                <w:sz w:val="22"/>
                <w:szCs w:val="22"/>
              </w:rPr>
            </w:pPr>
            <w:r>
              <w:rPr>
                <w:sz w:val="22"/>
                <w:szCs w:val="22"/>
              </w:rPr>
              <w:t>《四川省生活垃圾分类和处置工作方案》(川办函〔2019〕69号)</w:t>
            </w:r>
          </w:p>
        </w:tc>
      </w:tr>
    </w:tbl>
    <w:p>
      <w:pPr>
        <w:ind w:left="18"/>
        <w:spacing w:before="130" w:line="222" w:lineRule="auto"/>
        <w:outlineLvl w:val="1"/>
        <w:rPr>
          <w:rFonts w:ascii="SimHei" w:hAnsi="SimHei" w:eastAsia="SimHei" w:cs="SimHei"/>
          <w:sz w:val="26"/>
          <w:szCs w:val="26"/>
        </w:rPr>
      </w:pPr>
      <w:bookmarkStart w:name="bookmark17" w:id="32"/>
      <w:bookmarkEnd w:id="32"/>
      <w:r>
        <w:rPr>
          <w:rFonts w:ascii="SimHei" w:hAnsi="SimHei" w:eastAsia="SimHei" w:cs="SimHei"/>
          <w:sz w:val="26"/>
          <w:szCs w:val="26"/>
          <w:b/>
          <w:bCs/>
          <w:spacing w:val="8"/>
        </w:rPr>
        <w:t>1.8评价工作内容与评价重点</w:t>
      </w:r>
    </w:p>
    <w:p>
      <w:pPr>
        <w:ind w:left="18"/>
        <w:spacing w:before="227" w:line="222" w:lineRule="auto"/>
        <w:rPr>
          <w:rFonts w:ascii="SimHei" w:hAnsi="SimHei" w:eastAsia="SimHei" w:cs="SimHei"/>
          <w:sz w:val="26"/>
          <w:szCs w:val="26"/>
        </w:rPr>
      </w:pPr>
      <w:r>
        <w:rPr>
          <w:rFonts w:ascii="SimHei" w:hAnsi="SimHei" w:eastAsia="SimHei" w:cs="SimHei"/>
          <w:sz w:val="26"/>
          <w:szCs w:val="26"/>
          <w:b/>
          <w:bCs/>
          <w:spacing w:val="-3"/>
        </w:rPr>
        <w:t>1.8.1评价工作内容</w:t>
      </w:r>
    </w:p>
    <w:p>
      <w:pPr>
        <w:ind w:left="15" w:right="43" w:firstLine="590"/>
        <w:spacing w:before="199" w:line="303" w:lineRule="auto"/>
        <w:rPr>
          <w:rFonts w:ascii="SimSun" w:hAnsi="SimSun" w:eastAsia="SimSun" w:cs="SimSun"/>
          <w:sz w:val="23"/>
          <w:szCs w:val="23"/>
        </w:rPr>
      </w:pPr>
      <w:r>
        <w:rPr>
          <w:rFonts w:ascii="SimSun" w:hAnsi="SimSun" w:eastAsia="SimSun" w:cs="SimSun"/>
          <w:sz w:val="23"/>
          <w:szCs w:val="23"/>
          <w:spacing w:val="14"/>
        </w:rPr>
        <w:t>(1)评价项目建设是否符合国家现行投资方向及相关</w:t>
      </w:r>
      <w:r>
        <w:rPr>
          <w:rFonts w:ascii="SimSun" w:hAnsi="SimSun" w:eastAsia="SimSun" w:cs="SimSun"/>
          <w:sz w:val="23"/>
          <w:szCs w:val="23"/>
          <w:spacing w:val="13"/>
        </w:rPr>
        <w:t>产业政策，是否符合</w:t>
      </w:r>
      <w:r>
        <w:rPr>
          <w:rFonts w:ascii="SimSun" w:hAnsi="SimSun" w:eastAsia="SimSun" w:cs="SimSun"/>
          <w:sz w:val="23"/>
          <w:szCs w:val="23"/>
        </w:rPr>
        <w:t xml:space="preserve"> </w:t>
      </w:r>
      <w:r>
        <w:rPr>
          <w:rFonts w:ascii="SimSun" w:hAnsi="SimSun" w:eastAsia="SimSun" w:cs="SimSun"/>
          <w:sz w:val="23"/>
          <w:szCs w:val="23"/>
          <w:spacing w:val="9"/>
        </w:rPr>
        <w:t>行业准入条件，对项目选址合理性和规划的符合性进行分析。</w:t>
      </w:r>
    </w:p>
    <w:p>
      <w:pPr>
        <w:ind w:left="605"/>
        <w:spacing w:before="185" w:line="219" w:lineRule="auto"/>
        <w:rPr>
          <w:rFonts w:ascii="SimSun" w:hAnsi="SimSun" w:eastAsia="SimSun" w:cs="SimSun"/>
          <w:sz w:val="23"/>
          <w:szCs w:val="23"/>
        </w:rPr>
      </w:pPr>
      <w:r>
        <w:rPr>
          <w:rFonts w:ascii="SimSun" w:hAnsi="SimSun" w:eastAsia="SimSun" w:cs="SimSun"/>
          <w:sz w:val="23"/>
          <w:szCs w:val="23"/>
          <w:spacing w:val="13"/>
        </w:rPr>
        <w:t>(2)从环境保护的角度出发，分析项目总平布置合理性。</w:t>
      </w:r>
    </w:p>
    <w:p>
      <w:pPr>
        <w:ind w:left="15" w:right="43" w:firstLine="590"/>
        <w:spacing w:before="208" w:line="286" w:lineRule="auto"/>
        <w:rPr>
          <w:rFonts w:ascii="SimSun" w:hAnsi="SimSun" w:eastAsia="SimSun" w:cs="SimSun"/>
          <w:sz w:val="23"/>
          <w:szCs w:val="23"/>
        </w:rPr>
      </w:pPr>
      <w:r>
        <w:rPr>
          <w:rFonts w:ascii="SimSun" w:hAnsi="SimSun" w:eastAsia="SimSun" w:cs="SimSun"/>
          <w:sz w:val="23"/>
          <w:szCs w:val="23"/>
          <w:spacing w:val="14"/>
        </w:rPr>
        <w:t>(3)对施工期和运营期进行全面分析，找出污染源、</w:t>
      </w:r>
      <w:r>
        <w:rPr>
          <w:rFonts w:ascii="SimSun" w:hAnsi="SimSun" w:eastAsia="SimSun" w:cs="SimSun"/>
          <w:sz w:val="23"/>
          <w:szCs w:val="23"/>
          <w:spacing w:val="13"/>
        </w:rPr>
        <w:t>污染因子、核算污染</w:t>
      </w:r>
      <w:r>
        <w:rPr>
          <w:rFonts w:ascii="SimSun" w:hAnsi="SimSun" w:eastAsia="SimSun" w:cs="SimSun"/>
          <w:sz w:val="23"/>
          <w:szCs w:val="23"/>
        </w:rPr>
        <w:t xml:space="preserve"> </w:t>
      </w:r>
      <w:r>
        <w:rPr>
          <w:rFonts w:ascii="SimSun" w:hAnsi="SimSun" w:eastAsia="SimSun" w:cs="SimSun"/>
          <w:sz w:val="23"/>
          <w:szCs w:val="23"/>
          <w:spacing w:val="8"/>
        </w:rPr>
        <w:t>源强和项目实施后污染物排放总量核算。</w:t>
      </w:r>
    </w:p>
    <w:p>
      <w:pPr>
        <w:ind w:left="15" w:right="41" w:firstLine="590"/>
        <w:spacing w:before="195" w:line="303" w:lineRule="auto"/>
        <w:rPr>
          <w:rFonts w:ascii="SimSun" w:hAnsi="SimSun" w:eastAsia="SimSun" w:cs="SimSun"/>
          <w:sz w:val="23"/>
          <w:szCs w:val="23"/>
        </w:rPr>
      </w:pPr>
      <w:r>
        <w:rPr>
          <w:rFonts w:ascii="SimSun" w:hAnsi="SimSun" w:eastAsia="SimSun" w:cs="SimSun"/>
          <w:sz w:val="23"/>
          <w:szCs w:val="23"/>
          <w:spacing w:val="14"/>
        </w:rPr>
        <w:t>(4)对项目所在区域环境质量现状进行监测和评价，分析</w:t>
      </w:r>
      <w:r>
        <w:rPr>
          <w:rFonts w:ascii="SimSun" w:hAnsi="SimSun" w:eastAsia="SimSun" w:cs="SimSun"/>
          <w:sz w:val="23"/>
          <w:szCs w:val="23"/>
          <w:spacing w:val="13"/>
        </w:rPr>
        <w:t>环境质量现状是</w:t>
      </w:r>
      <w:r>
        <w:rPr>
          <w:rFonts w:ascii="SimSun" w:hAnsi="SimSun" w:eastAsia="SimSun" w:cs="SimSun"/>
          <w:sz w:val="23"/>
          <w:szCs w:val="23"/>
        </w:rPr>
        <w:t xml:space="preserve"> </w:t>
      </w:r>
      <w:r>
        <w:rPr>
          <w:rFonts w:ascii="SimSun" w:hAnsi="SimSun" w:eastAsia="SimSun" w:cs="SimSun"/>
          <w:sz w:val="23"/>
          <w:szCs w:val="23"/>
          <w:spacing w:val="5"/>
        </w:rPr>
        <w:t>否满足环境质量标准的要求。</w:t>
      </w:r>
    </w:p>
    <w:p>
      <w:pPr>
        <w:ind w:left="15" w:right="45" w:firstLine="590"/>
        <w:spacing w:before="187" w:line="299" w:lineRule="auto"/>
        <w:rPr>
          <w:rFonts w:ascii="SimSun" w:hAnsi="SimSun" w:eastAsia="SimSun" w:cs="SimSun"/>
          <w:sz w:val="23"/>
          <w:szCs w:val="23"/>
        </w:rPr>
      </w:pPr>
      <w:r>
        <w:rPr>
          <w:rFonts w:ascii="SimSun" w:hAnsi="SimSun" w:eastAsia="SimSun" w:cs="SimSun"/>
          <w:sz w:val="23"/>
          <w:szCs w:val="23"/>
          <w:spacing w:val="14"/>
        </w:rPr>
        <w:t>(5)对项目施工期和运营期对环境的影响进行分</w:t>
      </w:r>
      <w:r>
        <w:rPr>
          <w:rFonts w:ascii="SimSun" w:hAnsi="SimSun" w:eastAsia="SimSun" w:cs="SimSun"/>
          <w:sz w:val="23"/>
          <w:szCs w:val="23"/>
          <w:spacing w:val="13"/>
        </w:rPr>
        <w:t>析，并提出相应的环境保</w:t>
      </w:r>
      <w:r>
        <w:rPr>
          <w:rFonts w:ascii="SimSun" w:hAnsi="SimSun" w:eastAsia="SimSun" w:cs="SimSun"/>
          <w:sz w:val="23"/>
          <w:szCs w:val="23"/>
        </w:rPr>
        <w:t xml:space="preserve"> </w:t>
      </w:r>
      <w:r>
        <w:rPr>
          <w:rFonts w:ascii="SimSun" w:hAnsi="SimSun" w:eastAsia="SimSun" w:cs="SimSun"/>
          <w:sz w:val="23"/>
          <w:szCs w:val="23"/>
          <w:spacing w:val="8"/>
        </w:rPr>
        <w:t>护措施。</w:t>
      </w:r>
    </w:p>
    <w:p>
      <w:pPr>
        <w:ind w:left="15" w:right="38" w:firstLine="590"/>
        <w:spacing w:before="185" w:line="327" w:lineRule="auto"/>
        <w:rPr>
          <w:rFonts w:ascii="SimSun" w:hAnsi="SimSun" w:eastAsia="SimSun" w:cs="SimSun"/>
          <w:sz w:val="23"/>
          <w:szCs w:val="23"/>
        </w:rPr>
      </w:pPr>
      <w:r>
        <w:rPr>
          <w:rFonts w:ascii="SimSun" w:hAnsi="SimSun" w:eastAsia="SimSun" w:cs="SimSun"/>
          <w:sz w:val="23"/>
          <w:szCs w:val="23"/>
          <w:spacing w:val="14"/>
        </w:rPr>
        <w:t>(6)对项目周边居民、企业进行调查，让居民参与到项目中来，</w:t>
      </w:r>
      <w:r>
        <w:rPr>
          <w:rFonts w:ascii="SimSun" w:hAnsi="SimSun" w:eastAsia="SimSun" w:cs="SimSun"/>
          <w:sz w:val="23"/>
          <w:szCs w:val="23"/>
          <w:spacing w:val="13"/>
        </w:rPr>
        <w:t>参与到项</w:t>
      </w:r>
      <w:r>
        <w:rPr>
          <w:rFonts w:ascii="SimSun" w:hAnsi="SimSun" w:eastAsia="SimSun" w:cs="SimSun"/>
          <w:sz w:val="23"/>
          <w:szCs w:val="23"/>
        </w:rPr>
        <w:t xml:space="preserve"> </w:t>
      </w:r>
      <w:r>
        <w:rPr>
          <w:rFonts w:ascii="SimSun" w:hAnsi="SimSun" w:eastAsia="SimSun" w:cs="SimSun"/>
          <w:sz w:val="23"/>
          <w:szCs w:val="23"/>
          <w:spacing w:val="14"/>
        </w:rPr>
        <w:t>目建设期和运营期的环境保护监督中，避免因项目建设的影响为今后工作</w:t>
      </w:r>
      <w:r>
        <w:rPr>
          <w:rFonts w:ascii="SimSun" w:hAnsi="SimSun" w:eastAsia="SimSun" w:cs="SimSun"/>
          <w:sz w:val="23"/>
          <w:szCs w:val="23"/>
          <w:spacing w:val="13"/>
        </w:rPr>
        <w:t>留下</w:t>
      </w:r>
      <w:r>
        <w:rPr>
          <w:rFonts w:ascii="SimSun" w:hAnsi="SimSun" w:eastAsia="SimSun" w:cs="SimSun"/>
          <w:sz w:val="23"/>
          <w:szCs w:val="23"/>
        </w:rPr>
        <w:t xml:space="preserve"> </w:t>
      </w:r>
      <w:r>
        <w:rPr>
          <w:rFonts w:ascii="SimSun" w:hAnsi="SimSun" w:eastAsia="SimSun" w:cs="SimSun"/>
          <w:sz w:val="23"/>
          <w:szCs w:val="23"/>
          <w:spacing w:val="5"/>
        </w:rPr>
        <w:t>隐患。</w:t>
      </w:r>
    </w:p>
    <w:p>
      <w:pPr>
        <w:ind w:left="15" w:right="41" w:firstLine="590"/>
        <w:spacing w:before="178" w:line="307" w:lineRule="auto"/>
        <w:rPr>
          <w:rFonts w:ascii="SimSun" w:hAnsi="SimSun" w:eastAsia="SimSun" w:cs="SimSun"/>
          <w:sz w:val="23"/>
          <w:szCs w:val="23"/>
        </w:rPr>
      </w:pPr>
      <w:r>
        <w:rPr>
          <w:rFonts w:ascii="SimSun" w:hAnsi="SimSun" w:eastAsia="SimSun" w:cs="SimSun"/>
          <w:sz w:val="23"/>
          <w:szCs w:val="23"/>
          <w:spacing w:val="14"/>
        </w:rPr>
        <w:t>(7)对项目拟采取的污染治理措施进行经济技术论证，提</w:t>
      </w:r>
      <w:r>
        <w:rPr>
          <w:rFonts w:ascii="SimSun" w:hAnsi="SimSun" w:eastAsia="SimSun" w:cs="SimSun"/>
          <w:sz w:val="23"/>
          <w:szCs w:val="23"/>
          <w:spacing w:val="13"/>
        </w:rPr>
        <w:t>出有针对性的污</w:t>
      </w:r>
      <w:r>
        <w:rPr>
          <w:rFonts w:ascii="SimSun" w:hAnsi="SimSun" w:eastAsia="SimSun" w:cs="SimSun"/>
          <w:sz w:val="23"/>
          <w:szCs w:val="23"/>
        </w:rPr>
        <w:t xml:space="preserve"> </w:t>
      </w:r>
      <w:r>
        <w:rPr>
          <w:rFonts w:ascii="SimSun" w:hAnsi="SimSun" w:eastAsia="SimSun" w:cs="SimSun"/>
          <w:sz w:val="23"/>
          <w:szCs w:val="23"/>
          <w:spacing w:val="8"/>
        </w:rPr>
        <w:t>染控制措施及建议。</w:t>
      </w:r>
    </w:p>
    <w:p>
      <w:pPr>
        <w:ind w:left="605"/>
        <w:spacing w:before="196" w:line="219" w:lineRule="auto"/>
        <w:rPr>
          <w:rFonts w:ascii="SimSun" w:hAnsi="SimSun" w:eastAsia="SimSun" w:cs="SimSun"/>
          <w:sz w:val="23"/>
          <w:szCs w:val="23"/>
        </w:rPr>
      </w:pPr>
      <w:r>
        <w:rPr>
          <w:rFonts w:ascii="SimSun" w:hAnsi="SimSun" w:eastAsia="SimSun" w:cs="SimSun"/>
          <w:sz w:val="23"/>
          <w:szCs w:val="23"/>
          <w:spacing w:val="12"/>
        </w:rPr>
        <w:t>(8)根据项目建设内容及使用的物料、工艺环节，进行环境风险分析。</w:t>
      </w:r>
    </w:p>
    <w:p>
      <w:pPr>
        <w:ind w:left="605"/>
        <w:spacing w:before="167" w:line="220" w:lineRule="auto"/>
        <w:rPr>
          <w:rFonts w:ascii="SimSun" w:hAnsi="SimSun" w:eastAsia="SimSun" w:cs="SimSun"/>
          <w:sz w:val="23"/>
          <w:szCs w:val="23"/>
        </w:rPr>
      </w:pPr>
      <w:r>
        <w:rPr>
          <w:rFonts w:ascii="SimSun" w:hAnsi="SimSun" w:eastAsia="SimSun" w:cs="SimSun"/>
          <w:sz w:val="23"/>
          <w:szCs w:val="23"/>
          <w:spacing w:val="13"/>
        </w:rPr>
        <w:t>(9)分析项目污染物排放总量控制方案。</w:t>
      </w:r>
    </w:p>
    <w:p>
      <w:pPr>
        <w:ind w:left="18"/>
        <w:spacing w:before="211" w:line="222" w:lineRule="auto"/>
        <w:rPr>
          <w:rFonts w:ascii="SimHei" w:hAnsi="SimHei" w:eastAsia="SimHei" w:cs="SimHei"/>
          <w:sz w:val="23"/>
          <w:szCs w:val="23"/>
        </w:rPr>
      </w:pPr>
      <w:r>
        <w:rPr>
          <w:rFonts w:ascii="SimHei" w:hAnsi="SimHei" w:eastAsia="SimHei" w:cs="SimHei"/>
          <w:sz w:val="23"/>
          <w:szCs w:val="23"/>
          <w:b/>
          <w:bCs/>
          <w:spacing w:val="17"/>
        </w:rPr>
        <w:t>1.8.2评价重点</w:t>
      </w:r>
    </w:p>
    <w:p>
      <w:pPr>
        <w:spacing w:line="222" w:lineRule="auto"/>
        <w:sectPr>
          <w:headerReference w:type="default" r:id="rId146"/>
          <w:footerReference w:type="default" r:id="rId147"/>
          <w:pgSz w:w="11910" w:h="16840"/>
          <w:pgMar w:top="1179" w:right="1786" w:bottom="1017" w:left="1774" w:header="825" w:footer="719" w:gutter="0"/>
        </w:sectPr>
        <w:rPr>
          <w:rFonts w:ascii="SimHei" w:hAnsi="SimHei" w:eastAsia="SimHei" w:cs="SimHei"/>
          <w:sz w:val="23"/>
          <w:szCs w:val="23"/>
        </w:rPr>
      </w:pPr>
    </w:p>
    <w:p>
      <w:pPr>
        <w:ind w:right="52" w:firstLine="480"/>
        <w:spacing w:before="277" w:line="382" w:lineRule="auto"/>
        <w:rPr>
          <w:rFonts w:ascii="SimSun" w:hAnsi="SimSun" w:eastAsia="SimSun" w:cs="SimSun"/>
          <w:sz w:val="23"/>
          <w:szCs w:val="23"/>
        </w:rPr>
      </w:pPr>
      <w:r>
        <w:rPr>
          <w:rFonts w:ascii="SimSun" w:hAnsi="SimSun" w:eastAsia="SimSun" w:cs="SimSun"/>
          <w:sz w:val="23"/>
          <w:szCs w:val="23"/>
          <w:spacing w:val="14"/>
        </w:rPr>
        <w:t>本项目主要评价运营期，对施工期的环境影响作一般分析。根据项目特征</w:t>
      </w:r>
      <w:r>
        <w:rPr>
          <w:rFonts w:ascii="SimSun" w:hAnsi="SimSun" w:eastAsia="SimSun" w:cs="SimSun"/>
          <w:sz w:val="23"/>
          <w:szCs w:val="23"/>
          <w:spacing w:val="11"/>
        </w:rPr>
        <w:t xml:space="preserve"> </w:t>
      </w:r>
      <w:r>
        <w:rPr>
          <w:rFonts w:ascii="SimSun" w:hAnsi="SimSun" w:eastAsia="SimSun" w:cs="SimSun"/>
          <w:sz w:val="23"/>
          <w:szCs w:val="23"/>
          <w:spacing w:val="8"/>
        </w:rPr>
        <w:t>和排污特点、评价区内环境特征和环境质量现状等，确定评价重点为：</w:t>
      </w:r>
    </w:p>
    <w:p>
      <w:pPr>
        <w:ind w:right="73" w:firstLine="480"/>
        <w:spacing w:line="290" w:lineRule="auto"/>
        <w:rPr>
          <w:rFonts w:ascii="SimSun" w:hAnsi="SimSun" w:eastAsia="SimSun" w:cs="SimSun"/>
          <w:sz w:val="23"/>
          <w:szCs w:val="23"/>
        </w:rPr>
      </w:pPr>
      <w:r>
        <w:rPr>
          <w:rFonts w:ascii="SimSun" w:hAnsi="SimSun" w:eastAsia="SimSun" w:cs="SimSun"/>
          <w:sz w:val="23"/>
          <w:szCs w:val="23"/>
          <w:spacing w:val="10"/>
        </w:rPr>
        <w:t>1、工程分析：根据项目运行阶段的工艺技术及公用工程消耗</w:t>
      </w:r>
      <w:r>
        <w:rPr>
          <w:rFonts w:ascii="SimSun" w:hAnsi="SimSun" w:eastAsia="SimSun" w:cs="SimSun"/>
          <w:sz w:val="23"/>
          <w:szCs w:val="23"/>
          <w:spacing w:val="9"/>
        </w:rPr>
        <w:t>的情况，分析</w:t>
      </w:r>
      <w:r>
        <w:rPr>
          <w:rFonts w:ascii="SimSun" w:hAnsi="SimSun" w:eastAsia="SimSun" w:cs="SimSun"/>
          <w:sz w:val="23"/>
          <w:szCs w:val="23"/>
        </w:rPr>
        <w:t xml:space="preserve"> </w:t>
      </w:r>
      <w:r>
        <w:rPr>
          <w:rFonts w:ascii="SimSun" w:hAnsi="SimSun" w:eastAsia="SimSun" w:cs="SimSun"/>
          <w:sz w:val="23"/>
          <w:szCs w:val="23"/>
          <w:spacing w:val="7"/>
        </w:rPr>
        <w:t>项目污染物排放源强和排放特征。</w:t>
      </w:r>
    </w:p>
    <w:p>
      <w:pPr>
        <w:ind w:right="51" w:firstLine="480"/>
        <w:spacing w:before="196" w:line="307" w:lineRule="auto"/>
        <w:rPr>
          <w:rFonts w:ascii="SimSun" w:hAnsi="SimSun" w:eastAsia="SimSun" w:cs="SimSun"/>
          <w:sz w:val="23"/>
          <w:szCs w:val="23"/>
        </w:rPr>
      </w:pPr>
      <w:r>
        <w:rPr>
          <w:rFonts w:ascii="SimSun" w:hAnsi="SimSun" w:eastAsia="SimSun" w:cs="SimSun"/>
          <w:sz w:val="23"/>
          <w:szCs w:val="23"/>
          <w:spacing w:val="10"/>
        </w:rPr>
        <w:t>2、污染防治措施论证：对本项目所采用的各种废气、废水及固废等污染物</w:t>
      </w:r>
      <w:r>
        <w:rPr>
          <w:rFonts w:ascii="SimSun" w:hAnsi="SimSun" w:eastAsia="SimSun" w:cs="SimSun"/>
          <w:sz w:val="23"/>
          <w:szCs w:val="23"/>
          <w:spacing w:val="15"/>
        </w:rPr>
        <w:t xml:space="preserve"> </w:t>
      </w:r>
      <w:r>
        <w:rPr>
          <w:rFonts w:ascii="SimSun" w:hAnsi="SimSun" w:eastAsia="SimSun" w:cs="SimSun"/>
          <w:sz w:val="23"/>
          <w:szCs w:val="23"/>
          <w:spacing w:val="8"/>
        </w:rPr>
        <w:t>处理处置方案进行分析，论证各污染物处理达标的可行性。</w:t>
      </w:r>
    </w:p>
    <w:p>
      <w:pPr>
        <w:ind w:right="53" w:firstLine="480"/>
        <w:spacing w:before="176" w:line="298" w:lineRule="auto"/>
        <w:rPr>
          <w:rFonts w:ascii="SimSun" w:hAnsi="SimSun" w:eastAsia="SimSun" w:cs="SimSun"/>
          <w:sz w:val="23"/>
          <w:szCs w:val="23"/>
        </w:rPr>
      </w:pPr>
      <w:r>
        <w:rPr>
          <w:rFonts w:ascii="SimSun" w:hAnsi="SimSun" w:eastAsia="SimSun" w:cs="SimSun"/>
          <w:sz w:val="23"/>
          <w:szCs w:val="23"/>
          <w:spacing w:val="17"/>
        </w:rPr>
        <w:t>3、环境影响分析：对项目排放的污染物(特别是废水和恶臭气体)对环境</w:t>
      </w:r>
      <w:r>
        <w:rPr>
          <w:rFonts w:ascii="SimSun" w:hAnsi="SimSun" w:eastAsia="SimSun" w:cs="SimSun"/>
          <w:sz w:val="23"/>
          <w:szCs w:val="23"/>
          <w:spacing w:val="13"/>
        </w:rPr>
        <w:t xml:space="preserve"> </w:t>
      </w:r>
      <w:r>
        <w:rPr>
          <w:rFonts w:ascii="SimSun" w:hAnsi="SimSun" w:eastAsia="SimSun" w:cs="SimSun"/>
          <w:sz w:val="23"/>
          <w:szCs w:val="23"/>
          <w:spacing w:val="9"/>
        </w:rPr>
        <w:t>可能造成的影响进行分析，明确项目排污对环境的影响范围和程度。</w:t>
      </w:r>
    </w:p>
    <w:p>
      <w:pPr>
        <w:ind w:left="3"/>
        <w:spacing w:before="222" w:line="221" w:lineRule="auto"/>
        <w:outlineLvl w:val="1"/>
        <w:rPr>
          <w:rFonts w:ascii="SimHei" w:hAnsi="SimHei" w:eastAsia="SimHei" w:cs="SimHei"/>
          <w:sz w:val="25"/>
          <w:szCs w:val="25"/>
        </w:rPr>
      </w:pPr>
      <w:bookmarkStart w:name="bookmark18" w:id="33"/>
      <w:bookmarkEnd w:id="33"/>
      <w:r>
        <w:rPr>
          <w:rFonts w:ascii="SimHei" w:hAnsi="SimHei" w:eastAsia="SimHei" w:cs="SimHei"/>
          <w:sz w:val="25"/>
          <w:szCs w:val="25"/>
          <w:b/>
          <w:bCs/>
          <w:spacing w:val="14"/>
        </w:rPr>
        <w:t>1.9评价等级与评价范围</w:t>
      </w:r>
    </w:p>
    <w:p>
      <w:pPr>
        <w:ind w:left="3"/>
        <w:spacing w:before="241" w:line="222" w:lineRule="auto"/>
        <w:rPr>
          <w:rFonts w:ascii="SimHei" w:hAnsi="SimHei" w:eastAsia="SimHei" w:cs="SimHei"/>
          <w:sz w:val="25"/>
          <w:szCs w:val="25"/>
        </w:rPr>
      </w:pPr>
      <w:r>
        <w:rPr>
          <w:rFonts w:ascii="SimHei" w:hAnsi="SimHei" w:eastAsia="SimHei" w:cs="SimHei"/>
          <w:sz w:val="25"/>
          <w:szCs w:val="25"/>
          <w:b/>
          <w:bCs/>
          <w:spacing w:val="3"/>
        </w:rPr>
        <w:t>1.9.1地表水环境</w:t>
      </w:r>
    </w:p>
    <w:p>
      <w:pPr>
        <w:ind w:left="483"/>
        <w:spacing w:before="178" w:line="218" w:lineRule="auto"/>
        <w:rPr>
          <w:rFonts w:ascii="SimSun" w:hAnsi="SimSun" w:eastAsia="SimSun" w:cs="SimSun"/>
          <w:sz w:val="23"/>
          <w:szCs w:val="23"/>
        </w:rPr>
      </w:pPr>
      <w:r>
        <w:rPr>
          <w:rFonts w:ascii="SimSun" w:hAnsi="SimSun" w:eastAsia="SimSun" w:cs="SimSun"/>
          <w:sz w:val="23"/>
          <w:szCs w:val="23"/>
          <w:b/>
          <w:bCs/>
          <w:spacing w:val="6"/>
        </w:rPr>
        <w:t>1、评价等级</w:t>
      </w:r>
    </w:p>
    <w:p>
      <w:pPr>
        <w:ind w:right="27" w:firstLine="480"/>
        <w:spacing w:before="231" w:line="339" w:lineRule="auto"/>
        <w:rPr>
          <w:rFonts w:ascii="SimSun" w:hAnsi="SimSun" w:eastAsia="SimSun" w:cs="SimSun"/>
          <w:sz w:val="25"/>
          <w:szCs w:val="25"/>
        </w:rPr>
      </w:pPr>
      <w:r>
        <w:rPr>
          <w:rFonts w:ascii="SimSun" w:hAnsi="SimSun" w:eastAsia="SimSun" w:cs="SimSun"/>
          <w:sz w:val="25"/>
          <w:szCs w:val="25"/>
          <w:spacing w:val="-5"/>
        </w:rPr>
        <w:t>本项目位于四川绵阳安州工业园区内，运营期餐饮废水经隔油池处理后，</w:t>
      </w:r>
      <w:r>
        <w:rPr>
          <w:rFonts w:ascii="SimSun" w:hAnsi="SimSun" w:eastAsia="SimSun" w:cs="SimSun"/>
          <w:sz w:val="25"/>
          <w:szCs w:val="25"/>
          <w:spacing w:val="5"/>
        </w:rPr>
        <w:t xml:space="preserve"> </w:t>
      </w:r>
      <w:r>
        <w:rPr>
          <w:rFonts w:ascii="SimSun" w:hAnsi="SimSun" w:eastAsia="SimSun" w:cs="SimSun"/>
          <w:sz w:val="25"/>
          <w:szCs w:val="25"/>
          <w:spacing w:val="-1"/>
        </w:rPr>
        <w:t>与生活污水一同经预处理池处理达到《污水综合</w:t>
      </w:r>
      <w:r>
        <w:rPr>
          <w:rFonts w:ascii="SimSun" w:hAnsi="SimSun" w:eastAsia="SimSun" w:cs="SimSun"/>
          <w:sz w:val="25"/>
          <w:szCs w:val="25"/>
          <w:spacing w:val="-2"/>
        </w:rPr>
        <w:t>排放标准》</w:t>
      </w:r>
      <w:r>
        <w:rPr>
          <w:rFonts w:ascii="SimSun" w:hAnsi="SimSun" w:eastAsia="SimSun" w:cs="SimSun"/>
          <w:sz w:val="25"/>
          <w:szCs w:val="25"/>
          <w:spacing w:val="-70"/>
        </w:rPr>
        <w:t xml:space="preserve"> </w:t>
      </w:r>
      <w:r>
        <w:rPr>
          <w:rFonts w:ascii="Times New Roman" w:hAnsi="Times New Roman" w:eastAsia="Times New Roman" w:cs="Times New Roman"/>
          <w:sz w:val="25"/>
          <w:szCs w:val="25"/>
          <w:spacing w:val="-2"/>
        </w:rPr>
        <w:t>(GB8978-1996)</w:t>
      </w:r>
      <w:r>
        <w:rPr>
          <w:rFonts w:ascii="Times New Roman" w:hAnsi="Times New Roman" w:eastAsia="Times New Roman" w:cs="Times New Roman"/>
          <w:sz w:val="25"/>
          <w:szCs w:val="25"/>
        </w:rPr>
        <w:t xml:space="preserve">    </w:t>
      </w:r>
      <w:r>
        <w:rPr>
          <w:rFonts w:ascii="SimSun" w:hAnsi="SimSun" w:eastAsia="SimSun" w:cs="SimSun"/>
          <w:sz w:val="25"/>
          <w:szCs w:val="25"/>
          <w:spacing w:val="1"/>
        </w:rPr>
        <w:t>三级标准；生产废水经自建污水处理站(处理工艺为“格栅+调节+气浮+厌氧</w:t>
      </w:r>
      <w:r>
        <w:rPr>
          <w:rFonts w:ascii="SimSun" w:hAnsi="SimSun" w:eastAsia="SimSun" w:cs="SimSun"/>
          <w:sz w:val="25"/>
          <w:szCs w:val="25"/>
          <w:spacing w:val="14"/>
        </w:rPr>
        <w:t xml:space="preserve"> </w:t>
      </w:r>
      <w:r>
        <w:rPr>
          <w:rFonts w:ascii="SimSun" w:hAnsi="SimSun" w:eastAsia="SimSun" w:cs="SimSun"/>
          <w:sz w:val="25"/>
          <w:szCs w:val="25"/>
          <w:spacing w:val="-2"/>
        </w:rPr>
        <w:t>接触池+</w:t>
      </w:r>
      <w:r>
        <w:rPr>
          <w:rFonts w:ascii="Times New Roman" w:hAnsi="Times New Roman" w:eastAsia="Times New Roman" w:cs="Times New Roman"/>
          <w:sz w:val="25"/>
          <w:szCs w:val="25"/>
          <w:spacing w:val="-2"/>
        </w:rPr>
        <w:t>AOAO+</w:t>
      </w:r>
      <w:r>
        <w:rPr>
          <w:rFonts w:ascii="SimSun" w:hAnsi="SimSun" w:eastAsia="SimSun" w:cs="SimSun"/>
          <w:sz w:val="25"/>
          <w:szCs w:val="25"/>
          <w:spacing w:val="-2"/>
        </w:rPr>
        <w:t>沉淀+消毒”,处理能</w:t>
      </w:r>
      <w:r>
        <w:rPr>
          <w:rFonts w:ascii="SimSun" w:hAnsi="SimSun" w:eastAsia="SimSun" w:cs="SimSun"/>
          <w:sz w:val="25"/>
          <w:szCs w:val="25"/>
          <w:spacing w:val="-3"/>
        </w:rPr>
        <w:t>力为1100</w:t>
      </w:r>
      <w:r>
        <w:rPr>
          <w:rFonts w:ascii="Times New Roman" w:hAnsi="Times New Roman" w:eastAsia="Times New Roman" w:cs="Times New Roman"/>
          <w:sz w:val="25"/>
          <w:szCs w:val="25"/>
          <w:spacing w:val="-3"/>
        </w:rPr>
        <w:t>m³/d)</w:t>
      </w:r>
      <w:r>
        <w:rPr>
          <w:rFonts w:ascii="Times New Roman" w:hAnsi="Times New Roman" w:eastAsia="Times New Roman" w:cs="Times New Roman"/>
          <w:sz w:val="25"/>
          <w:szCs w:val="25"/>
          <w:spacing w:val="53"/>
          <w:w w:val="101"/>
        </w:rPr>
        <w:t xml:space="preserve"> </w:t>
      </w:r>
      <w:r>
        <w:rPr>
          <w:rFonts w:ascii="SimSun" w:hAnsi="SimSun" w:eastAsia="SimSun" w:cs="SimSun"/>
          <w:sz w:val="25"/>
          <w:szCs w:val="25"/>
          <w:spacing w:val="-3"/>
        </w:rPr>
        <w:t>处理达到《肉类加工工业</w:t>
      </w:r>
      <w:r>
        <w:rPr>
          <w:rFonts w:ascii="SimSun" w:hAnsi="SimSun" w:eastAsia="SimSun" w:cs="SimSun"/>
          <w:sz w:val="25"/>
          <w:szCs w:val="25"/>
        </w:rPr>
        <w:t xml:space="preserve"> </w:t>
      </w:r>
      <w:r>
        <w:rPr>
          <w:rFonts w:ascii="SimSun" w:hAnsi="SimSun" w:eastAsia="SimSun" w:cs="SimSun"/>
          <w:sz w:val="25"/>
          <w:szCs w:val="25"/>
          <w:spacing w:val="-2"/>
        </w:rPr>
        <w:t>水污染物排放标准》</w:t>
      </w:r>
      <w:r>
        <w:rPr>
          <w:rFonts w:ascii="SimSun" w:hAnsi="SimSun" w:eastAsia="SimSun" w:cs="SimSun"/>
          <w:sz w:val="25"/>
          <w:szCs w:val="25"/>
          <w:spacing w:val="-42"/>
        </w:rPr>
        <w:t xml:space="preserve"> </w:t>
      </w:r>
      <w:r>
        <w:rPr>
          <w:rFonts w:ascii="Times New Roman" w:hAnsi="Times New Roman" w:eastAsia="Times New Roman" w:cs="Times New Roman"/>
          <w:sz w:val="25"/>
          <w:szCs w:val="25"/>
          <w:spacing w:val="-2"/>
        </w:rPr>
        <w:t>(GB13457-92)   </w:t>
      </w:r>
      <w:r>
        <w:rPr>
          <w:rFonts w:ascii="SimSun" w:hAnsi="SimSun" w:eastAsia="SimSun" w:cs="SimSun"/>
          <w:sz w:val="25"/>
          <w:szCs w:val="25"/>
          <w:spacing w:val="-2"/>
        </w:rPr>
        <w:t>表3中三级标准后，与生活污水一同经厂</w:t>
      </w:r>
      <w:r>
        <w:rPr>
          <w:rFonts w:ascii="SimSun" w:hAnsi="SimSun" w:eastAsia="SimSun" w:cs="SimSun"/>
          <w:sz w:val="25"/>
          <w:szCs w:val="25"/>
        </w:rPr>
        <w:t xml:space="preserve"> </w:t>
      </w:r>
      <w:r>
        <w:rPr>
          <w:rFonts w:ascii="SimSun" w:hAnsi="SimSun" w:eastAsia="SimSun" w:cs="SimSun"/>
          <w:sz w:val="25"/>
          <w:szCs w:val="25"/>
          <w:spacing w:val="17"/>
        </w:rPr>
        <w:t>区总排口排至园区污水管网，经管网引至安州区第三污水处理厂处理，</w:t>
      </w:r>
      <w:r>
        <w:rPr>
          <w:rFonts w:ascii="SimSun" w:hAnsi="SimSun" w:eastAsia="SimSun" w:cs="SimSun"/>
          <w:sz w:val="25"/>
          <w:szCs w:val="25"/>
          <w:spacing w:val="7"/>
        </w:rPr>
        <w:t xml:space="preserve"> </w:t>
      </w:r>
      <w:r>
        <w:rPr>
          <w:rFonts w:ascii="Times New Roman" w:hAnsi="Times New Roman" w:eastAsia="Times New Roman" w:cs="Times New Roman"/>
          <w:sz w:val="25"/>
          <w:szCs w:val="25"/>
          <w:spacing w:val="-8"/>
        </w:rPr>
        <w:t>CODcr</w:t>
      </w:r>
      <w:r>
        <w:rPr>
          <w:rFonts w:ascii="Times New Roman" w:hAnsi="Times New Roman" w:eastAsia="Times New Roman" w:cs="Times New Roman"/>
          <w:sz w:val="25"/>
          <w:szCs w:val="25"/>
          <w:spacing w:val="-35"/>
        </w:rPr>
        <w:t xml:space="preserve"> </w:t>
      </w:r>
      <w:r>
        <w:rPr>
          <w:rFonts w:ascii="SimSun" w:hAnsi="SimSun" w:eastAsia="SimSun" w:cs="SimSun"/>
          <w:sz w:val="25"/>
          <w:szCs w:val="25"/>
          <w:spacing w:val="-8"/>
        </w:rPr>
        <w:t>、</w:t>
      </w:r>
      <w:r>
        <w:rPr>
          <w:rFonts w:ascii="Times New Roman" w:hAnsi="Times New Roman" w:eastAsia="Times New Roman" w:cs="Times New Roman"/>
          <w:sz w:val="25"/>
          <w:szCs w:val="25"/>
          <w:spacing w:val="-8"/>
        </w:rPr>
        <w:t>BOD₅</w:t>
      </w:r>
      <w:r>
        <w:rPr>
          <w:rFonts w:ascii="SimSun" w:hAnsi="SimSun" w:eastAsia="SimSun" w:cs="SimSun"/>
          <w:sz w:val="25"/>
          <w:szCs w:val="25"/>
          <w:spacing w:val="-8"/>
        </w:rPr>
        <w:t>、氨氮、总氮指标达到《四川省岷江、沱江流域水污染物排放标</w:t>
      </w:r>
      <w:r>
        <w:rPr>
          <w:rFonts w:ascii="SimSun" w:hAnsi="SimSun" w:eastAsia="SimSun" w:cs="SimSun"/>
          <w:sz w:val="25"/>
          <w:szCs w:val="25"/>
        </w:rPr>
        <w:t xml:space="preserve"> </w:t>
      </w:r>
      <w:r>
        <w:rPr>
          <w:rFonts w:ascii="SimSun" w:hAnsi="SimSun" w:eastAsia="SimSun" w:cs="SimSun"/>
          <w:sz w:val="25"/>
          <w:szCs w:val="25"/>
          <w:spacing w:val="-2"/>
        </w:rPr>
        <w:t>准》</w:t>
      </w:r>
      <w:r>
        <w:rPr>
          <w:rFonts w:ascii="SimSun" w:hAnsi="SimSun" w:eastAsia="SimSun" w:cs="SimSun"/>
          <w:sz w:val="25"/>
          <w:szCs w:val="25"/>
          <w:spacing w:val="-17"/>
        </w:rPr>
        <w:t xml:space="preserve"> </w:t>
      </w:r>
      <w:r>
        <w:rPr>
          <w:rFonts w:ascii="SimSun" w:hAnsi="SimSun" w:eastAsia="SimSun" w:cs="SimSun"/>
          <w:sz w:val="25"/>
          <w:szCs w:val="25"/>
          <w:spacing w:val="-2"/>
        </w:rPr>
        <w:t>(DB51/2311-2016)</w:t>
      </w:r>
      <w:r>
        <w:rPr>
          <w:rFonts w:ascii="SimSun" w:hAnsi="SimSun" w:eastAsia="SimSun" w:cs="SimSun"/>
          <w:sz w:val="25"/>
          <w:szCs w:val="25"/>
          <w:spacing w:val="49"/>
        </w:rPr>
        <w:t xml:space="preserve"> </w:t>
      </w:r>
      <w:r>
        <w:rPr>
          <w:rFonts w:ascii="SimSun" w:hAnsi="SimSun" w:eastAsia="SimSun" w:cs="SimSun"/>
          <w:sz w:val="25"/>
          <w:szCs w:val="25"/>
          <w:spacing w:val="-2"/>
        </w:rPr>
        <w:t>表1中工业园区集中式污水处理厂排放标准限值，总</w:t>
      </w:r>
      <w:r>
        <w:rPr>
          <w:rFonts w:ascii="SimSun" w:hAnsi="SimSun" w:eastAsia="SimSun" w:cs="SimSun"/>
          <w:sz w:val="25"/>
          <w:szCs w:val="25"/>
        </w:rPr>
        <w:t xml:space="preserve"> </w:t>
      </w:r>
      <w:r>
        <w:rPr>
          <w:rFonts w:ascii="SimSun" w:hAnsi="SimSun" w:eastAsia="SimSun" w:cs="SimSun"/>
          <w:sz w:val="25"/>
          <w:szCs w:val="25"/>
          <w:spacing w:val="-2"/>
        </w:rPr>
        <w:t>磷指标达到《地表水环境质量标准》</w:t>
      </w:r>
      <w:r>
        <w:rPr>
          <w:rFonts w:ascii="SimSun" w:hAnsi="SimSun" w:eastAsia="SimSun" w:cs="SimSun"/>
          <w:sz w:val="25"/>
          <w:szCs w:val="25"/>
          <w:spacing w:val="-62"/>
        </w:rPr>
        <w:t xml:space="preserve"> </w:t>
      </w:r>
      <w:r>
        <w:rPr>
          <w:rFonts w:ascii="SimSun" w:hAnsi="SimSun" w:eastAsia="SimSun" w:cs="SimSun"/>
          <w:sz w:val="25"/>
          <w:szCs w:val="25"/>
          <w:spacing w:val="-2"/>
        </w:rPr>
        <w:t>(GB3838-2002)Ⅲ</w:t>
      </w:r>
      <w:r>
        <w:rPr>
          <w:rFonts w:ascii="SimSun" w:hAnsi="SimSun" w:eastAsia="SimSun" w:cs="SimSun"/>
          <w:sz w:val="25"/>
          <w:szCs w:val="25"/>
          <w:spacing w:val="74"/>
        </w:rPr>
        <w:t xml:space="preserve"> </w:t>
      </w:r>
      <w:r>
        <w:rPr>
          <w:rFonts w:ascii="SimSun" w:hAnsi="SimSun" w:eastAsia="SimSun" w:cs="SimSun"/>
          <w:sz w:val="25"/>
          <w:szCs w:val="25"/>
          <w:spacing w:val="-2"/>
        </w:rPr>
        <w:t>类水质标准，其余指</w:t>
      </w:r>
      <w:r>
        <w:rPr>
          <w:rFonts w:ascii="SimSun" w:hAnsi="SimSun" w:eastAsia="SimSun" w:cs="SimSun"/>
          <w:sz w:val="25"/>
          <w:szCs w:val="25"/>
        </w:rPr>
        <w:t xml:space="preserve"> </w:t>
      </w:r>
      <w:r>
        <w:rPr>
          <w:rFonts w:ascii="SimSun" w:hAnsi="SimSun" w:eastAsia="SimSun" w:cs="SimSun"/>
          <w:sz w:val="25"/>
          <w:szCs w:val="25"/>
          <w:spacing w:val="-3"/>
        </w:rPr>
        <w:t>标达到《城镇污水处理厂污染物排放标准》</w:t>
      </w:r>
      <w:r>
        <w:rPr>
          <w:rFonts w:ascii="SimSun" w:hAnsi="SimSun" w:eastAsia="SimSun" w:cs="SimSun"/>
          <w:sz w:val="25"/>
          <w:szCs w:val="25"/>
          <w:spacing w:val="-60"/>
        </w:rPr>
        <w:t xml:space="preserve"> </w:t>
      </w:r>
      <w:r>
        <w:rPr>
          <w:rFonts w:ascii="SimSun" w:hAnsi="SimSun" w:eastAsia="SimSun" w:cs="SimSun"/>
          <w:sz w:val="25"/>
          <w:szCs w:val="25"/>
          <w:spacing w:val="-3"/>
        </w:rPr>
        <w:t>(GB1</w:t>
      </w:r>
      <w:r>
        <w:rPr>
          <w:rFonts w:ascii="SimSun" w:hAnsi="SimSun" w:eastAsia="SimSun" w:cs="SimSun"/>
          <w:sz w:val="25"/>
          <w:szCs w:val="25"/>
          <w:spacing w:val="-4"/>
        </w:rPr>
        <w:t>8918-2002)</w:t>
      </w:r>
      <w:r>
        <w:rPr>
          <w:rFonts w:ascii="SimSun" w:hAnsi="SimSun" w:eastAsia="SimSun" w:cs="SimSun"/>
          <w:sz w:val="25"/>
          <w:szCs w:val="25"/>
          <w:spacing w:val="49"/>
        </w:rPr>
        <w:t xml:space="preserve"> </w:t>
      </w:r>
      <w:r>
        <w:rPr>
          <w:rFonts w:ascii="SimSun" w:hAnsi="SimSun" w:eastAsia="SimSun" w:cs="SimSun"/>
          <w:sz w:val="25"/>
          <w:szCs w:val="25"/>
          <w:spacing w:val="-4"/>
        </w:rPr>
        <w:t>一级A</w:t>
      </w:r>
      <w:r>
        <w:rPr>
          <w:rFonts w:ascii="SimSun" w:hAnsi="SimSun" w:eastAsia="SimSun" w:cs="SimSun"/>
          <w:sz w:val="25"/>
          <w:szCs w:val="25"/>
          <w:spacing w:val="-68"/>
        </w:rPr>
        <w:t xml:space="preserve"> </w:t>
      </w:r>
      <w:r>
        <w:rPr>
          <w:rFonts w:ascii="SimSun" w:hAnsi="SimSun" w:eastAsia="SimSun" w:cs="SimSun"/>
          <w:sz w:val="25"/>
          <w:szCs w:val="25"/>
          <w:spacing w:val="-4"/>
        </w:rPr>
        <w:t>标准后，</w:t>
      </w:r>
      <w:r>
        <w:rPr>
          <w:rFonts w:ascii="SimSun" w:hAnsi="SimSun" w:eastAsia="SimSun" w:cs="SimSun"/>
          <w:sz w:val="25"/>
          <w:szCs w:val="25"/>
        </w:rPr>
        <w:t xml:space="preserve"> </w:t>
      </w:r>
      <w:r>
        <w:rPr>
          <w:rFonts w:ascii="SimSun" w:hAnsi="SimSun" w:eastAsia="SimSun" w:cs="SimSun"/>
          <w:sz w:val="25"/>
          <w:szCs w:val="25"/>
          <w:spacing w:val="-4"/>
        </w:rPr>
        <w:t>排入涪江。</w:t>
      </w:r>
    </w:p>
    <w:p>
      <w:pPr>
        <w:ind w:right="52" w:firstLine="480"/>
        <w:spacing w:before="91" w:line="356" w:lineRule="auto"/>
        <w:rPr>
          <w:rFonts w:ascii="SimSun" w:hAnsi="SimSun" w:eastAsia="SimSun" w:cs="SimSun"/>
          <w:sz w:val="23"/>
          <w:szCs w:val="23"/>
        </w:rPr>
      </w:pPr>
      <w:r>
        <w:rPr>
          <w:rFonts w:ascii="SimSun" w:hAnsi="SimSun" w:eastAsia="SimSun" w:cs="SimSun"/>
          <w:sz w:val="23"/>
          <w:szCs w:val="23"/>
          <w:spacing w:val="14"/>
        </w:rPr>
        <w:t>本项目属于水污染影响型建设项目，根据《环境影响评价技术导则地表水</w:t>
      </w:r>
      <w:r>
        <w:rPr>
          <w:rFonts w:ascii="SimSun" w:hAnsi="SimSun" w:eastAsia="SimSun" w:cs="SimSun"/>
          <w:sz w:val="23"/>
          <w:szCs w:val="23"/>
          <w:spacing w:val="11"/>
        </w:rPr>
        <w:t xml:space="preserve"> </w:t>
      </w:r>
      <w:r>
        <w:rPr>
          <w:rFonts w:ascii="SimSun" w:hAnsi="SimSun" w:eastAsia="SimSun" w:cs="SimSun"/>
          <w:sz w:val="23"/>
          <w:szCs w:val="23"/>
          <w:spacing w:val="6"/>
        </w:rPr>
        <w:t>环境》</w:t>
      </w:r>
      <w:r>
        <w:rPr>
          <w:rFonts w:ascii="SimSun" w:hAnsi="SimSun" w:eastAsia="SimSun" w:cs="SimSun"/>
          <w:sz w:val="23"/>
          <w:szCs w:val="23"/>
          <w:spacing w:val="35"/>
        </w:rPr>
        <w:t xml:space="preserve"> </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HJ</w:t>
      </w:r>
      <w:r>
        <w:rPr>
          <w:rFonts w:ascii="Times New Roman" w:hAnsi="Times New Roman" w:eastAsia="Times New Roman" w:cs="Times New Roman"/>
          <w:sz w:val="23"/>
          <w:szCs w:val="23"/>
          <w:spacing w:val="6"/>
        </w:rPr>
        <w:t>2.3-2018)    </w:t>
      </w:r>
      <w:r>
        <w:rPr>
          <w:rFonts w:ascii="SimSun" w:hAnsi="SimSun" w:eastAsia="SimSun" w:cs="SimSun"/>
          <w:sz w:val="23"/>
          <w:szCs w:val="23"/>
          <w:spacing w:val="6"/>
        </w:rPr>
        <w:t>相关规定</w:t>
      </w:r>
      <w:r>
        <w:rPr>
          <w:rFonts w:ascii="SimSun" w:hAnsi="SimSun" w:eastAsia="SimSun" w:cs="SimSun"/>
          <w:sz w:val="23"/>
          <w:szCs w:val="23"/>
          <w:spacing w:val="5"/>
        </w:rPr>
        <w:t>，评价等级判定依据见下表。</w:t>
      </w:r>
    </w:p>
    <w:p>
      <w:pPr>
        <w:ind w:left="2123"/>
        <w:spacing w:before="1" w:line="192" w:lineRule="auto"/>
        <w:rPr>
          <w:rFonts w:ascii="SimSun" w:hAnsi="SimSun" w:eastAsia="SimSun" w:cs="SimSun"/>
          <w:sz w:val="24"/>
          <w:szCs w:val="24"/>
        </w:rPr>
      </w:pPr>
      <w:r>
        <w:rPr>
          <w:rFonts w:ascii="SimSun" w:hAnsi="SimSun" w:eastAsia="SimSun" w:cs="SimSun"/>
          <w:sz w:val="24"/>
          <w:szCs w:val="24"/>
          <w:b/>
          <w:bCs/>
          <w:spacing w:val="-3"/>
        </w:rPr>
        <w:t>表1.9-1水污染影响型建设项目评价等级判定</w:t>
      </w:r>
    </w:p>
    <w:tbl>
      <w:tblPr>
        <w:tblStyle w:val="TableNormal"/>
        <w:tblW w:w="8320" w:type="dxa"/>
        <w:tblInd w:w="2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873"/>
        <w:gridCol w:w="2397"/>
        <w:gridCol w:w="4050"/>
      </w:tblGrid>
      <w:tr>
        <w:trPr>
          <w:trHeight w:val="274" w:hRule="atLeast"/>
        </w:trPr>
        <w:tc>
          <w:tcPr>
            <w:shd w:val="clear" w:fill="BDBDBD"/>
            <w:tcW w:w="1873" w:type="dxa"/>
            <w:vAlign w:val="top"/>
            <w:vMerge w:val="restart"/>
            <w:tcBorders>
              <w:bottom w:val="nil"/>
            </w:tcBorders>
          </w:tcPr>
          <w:p>
            <w:pPr>
              <w:pStyle w:val="TableText"/>
              <w:ind w:left="488"/>
              <w:spacing w:before="299" w:line="218" w:lineRule="auto"/>
              <w:rPr>
                <w:sz w:val="22"/>
                <w:szCs w:val="22"/>
              </w:rPr>
            </w:pPr>
            <w:r>
              <w:rPr>
                <w:sz w:val="22"/>
                <w:szCs w:val="22"/>
                <w:b/>
                <w:bCs/>
                <w:spacing w:val="-4"/>
              </w:rPr>
              <w:t>评价等级</w:t>
            </w:r>
          </w:p>
        </w:tc>
        <w:tc>
          <w:tcPr>
            <w:shd w:val="clear" w:fill="BDBDBD"/>
            <w:tcW w:w="6447" w:type="dxa"/>
            <w:vAlign w:val="top"/>
            <w:gridSpan w:val="2"/>
          </w:tcPr>
          <w:p>
            <w:pPr>
              <w:pStyle w:val="TableText"/>
              <w:ind w:left="2785"/>
              <w:spacing w:before="30" w:line="196" w:lineRule="auto"/>
              <w:rPr>
                <w:sz w:val="22"/>
                <w:szCs w:val="22"/>
              </w:rPr>
            </w:pPr>
            <w:r>
              <w:rPr>
                <w:sz w:val="22"/>
                <w:szCs w:val="22"/>
                <w:b/>
                <w:bCs/>
                <w:spacing w:val="-4"/>
              </w:rPr>
              <w:t>判定依据</w:t>
            </w:r>
          </w:p>
        </w:tc>
      </w:tr>
      <w:tr>
        <w:trPr>
          <w:trHeight w:val="537" w:hRule="atLeast"/>
        </w:trPr>
        <w:tc>
          <w:tcPr>
            <w:tcW w:w="1873" w:type="dxa"/>
            <w:vAlign w:val="top"/>
            <w:vMerge w:val="continue"/>
            <w:tcBorders>
              <w:top w:val="nil"/>
            </w:tcBorders>
          </w:tcPr>
          <w:p>
            <w:pPr>
              <w:rPr>
                <w:rFonts w:ascii="Arial"/>
                <w:sz w:val="21"/>
              </w:rPr>
            </w:pPr>
            <w:r/>
          </w:p>
        </w:tc>
        <w:tc>
          <w:tcPr>
            <w:shd w:val="clear" w:fill="BDBDBD"/>
            <w:tcW w:w="2397" w:type="dxa"/>
            <w:vAlign w:val="top"/>
          </w:tcPr>
          <w:p>
            <w:pPr>
              <w:pStyle w:val="TableText"/>
              <w:ind w:left="755"/>
              <w:spacing w:before="158" w:line="221" w:lineRule="auto"/>
              <w:rPr>
                <w:sz w:val="22"/>
                <w:szCs w:val="22"/>
              </w:rPr>
            </w:pPr>
            <w:r>
              <w:rPr>
                <w:sz w:val="22"/>
                <w:szCs w:val="22"/>
                <w:b/>
                <w:bCs/>
                <w:spacing w:val="-4"/>
              </w:rPr>
              <w:t>排放方式</w:t>
            </w:r>
          </w:p>
        </w:tc>
        <w:tc>
          <w:tcPr>
            <w:shd w:val="clear" w:fill="BDBDBD"/>
            <w:tcW w:w="4050" w:type="dxa"/>
            <w:vAlign w:val="top"/>
          </w:tcPr>
          <w:p>
            <w:pPr>
              <w:pStyle w:val="TableText"/>
              <w:ind w:left="978"/>
              <w:spacing w:before="27" w:line="219" w:lineRule="auto"/>
              <w:rPr>
                <w:sz w:val="22"/>
                <w:szCs w:val="22"/>
              </w:rPr>
            </w:pPr>
            <w:r>
              <w:rPr>
                <w:sz w:val="22"/>
                <w:szCs w:val="22"/>
                <w:b/>
                <w:bCs/>
                <w:spacing w:val="9"/>
              </w:rPr>
              <w:t>废水排放量Q/(m³/d)</w:t>
            </w:r>
          </w:p>
          <w:p>
            <w:pPr>
              <w:pStyle w:val="TableText"/>
              <w:ind w:left="698"/>
              <w:spacing w:before="9" w:line="193" w:lineRule="auto"/>
              <w:rPr>
                <w:sz w:val="22"/>
                <w:szCs w:val="22"/>
              </w:rPr>
            </w:pPr>
            <w:r>
              <w:rPr>
                <w:sz w:val="22"/>
                <w:szCs w:val="22"/>
                <w:b/>
                <w:bCs/>
              </w:rPr>
              <w:t>水污染物当量数W/(无量纲)</w:t>
            </w:r>
          </w:p>
        </w:tc>
      </w:tr>
      <w:tr>
        <w:trPr>
          <w:trHeight w:val="278" w:hRule="atLeast"/>
        </w:trPr>
        <w:tc>
          <w:tcPr>
            <w:tcW w:w="1873" w:type="dxa"/>
            <w:vAlign w:val="top"/>
          </w:tcPr>
          <w:p>
            <w:pPr>
              <w:pStyle w:val="TableText"/>
              <w:ind w:left="705"/>
              <w:spacing w:before="35" w:line="195" w:lineRule="auto"/>
              <w:rPr>
                <w:sz w:val="22"/>
                <w:szCs w:val="22"/>
              </w:rPr>
            </w:pPr>
            <w:r>
              <w:rPr>
                <w:sz w:val="22"/>
                <w:szCs w:val="22"/>
                <w:spacing w:val="6"/>
              </w:rPr>
              <w:t>一级</w:t>
            </w:r>
          </w:p>
        </w:tc>
        <w:tc>
          <w:tcPr>
            <w:tcW w:w="2397" w:type="dxa"/>
            <w:vAlign w:val="top"/>
          </w:tcPr>
          <w:p>
            <w:pPr>
              <w:pStyle w:val="TableText"/>
              <w:ind w:left="752"/>
              <w:spacing w:before="34" w:line="196" w:lineRule="auto"/>
              <w:rPr>
                <w:sz w:val="22"/>
                <w:szCs w:val="22"/>
              </w:rPr>
            </w:pPr>
            <w:r>
              <w:rPr>
                <w:sz w:val="22"/>
                <w:szCs w:val="22"/>
                <w:spacing w:val="-2"/>
              </w:rPr>
              <w:t>直接排放</w:t>
            </w:r>
          </w:p>
        </w:tc>
        <w:tc>
          <w:tcPr>
            <w:tcW w:w="4050" w:type="dxa"/>
            <w:vAlign w:val="top"/>
          </w:tcPr>
          <w:p>
            <w:pPr>
              <w:pStyle w:val="TableText"/>
              <w:ind w:left="975"/>
              <w:spacing w:before="36" w:line="194" w:lineRule="auto"/>
              <w:rPr>
                <w:sz w:val="22"/>
                <w:szCs w:val="22"/>
              </w:rPr>
            </w:pPr>
            <w:r>
              <w:rPr>
                <w:sz w:val="22"/>
                <w:szCs w:val="22"/>
                <w:spacing w:val="-1"/>
              </w:rPr>
              <w:t>Q≥20000或W≥600000</w:t>
            </w:r>
          </w:p>
        </w:tc>
      </w:tr>
      <w:tr>
        <w:trPr>
          <w:trHeight w:val="269" w:hRule="atLeast"/>
        </w:trPr>
        <w:tc>
          <w:tcPr>
            <w:tcW w:w="1873" w:type="dxa"/>
            <w:vAlign w:val="top"/>
          </w:tcPr>
          <w:p>
            <w:pPr>
              <w:pStyle w:val="TableText"/>
              <w:ind w:left="705"/>
              <w:spacing w:before="37" w:line="186" w:lineRule="auto"/>
              <w:rPr>
                <w:sz w:val="22"/>
                <w:szCs w:val="22"/>
              </w:rPr>
            </w:pPr>
            <w:r>
              <w:rPr>
                <w:sz w:val="22"/>
                <w:szCs w:val="22"/>
                <w:spacing w:val="6"/>
              </w:rPr>
              <w:t>二级</w:t>
            </w:r>
          </w:p>
        </w:tc>
        <w:tc>
          <w:tcPr>
            <w:tcW w:w="2397" w:type="dxa"/>
            <w:vAlign w:val="top"/>
          </w:tcPr>
          <w:p>
            <w:pPr>
              <w:pStyle w:val="TableText"/>
              <w:ind w:left="752"/>
              <w:spacing w:before="36" w:line="187" w:lineRule="auto"/>
              <w:rPr>
                <w:sz w:val="22"/>
                <w:szCs w:val="22"/>
              </w:rPr>
            </w:pPr>
            <w:r>
              <w:rPr>
                <w:sz w:val="22"/>
                <w:szCs w:val="22"/>
                <w:spacing w:val="-2"/>
              </w:rPr>
              <w:t>直接排放</w:t>
            </w:r>
          </w:p>
        </w:tc>
        <w:tc>
          <w:tcPr>
            <w:tcW w:w="4050" w:type="dxa"/>
            <w:vAlign w:val="top"/>
          </w:tcPr>
          <w:p>
            <w:pPr>
              <w:pStyle w:val="TableText"/>
              <w:ind w:left="1795"/>
              <w:spacing w:before="36" w:line="187" w:lineRule="auto"/>
              <w:rPr>
                <w:sz w:val="22"/>
                <w:szCs w:val="22"/>
              </w:rPr>
            </w:pPr>
            <w:r>
              <w:rPr>
                <w:sz w:val="22"/>
                <w:szCs w:val="22"/>
                <w:spacing w:val="-3"/>
              </w:rPr>
              <w:t>其他</w:t>
            </w:r>
          </w:p>
        </w:tc>
      </w:tr>
      <w:tr>
        <w:trPr>
          <w:trHeight w:val="278" w:hRule="atLeast"/>
        </w:trPr>
        <w:tc>
          <w:tcPr>
            <w:tcW w:w="1873" w:type="dxa"/>
            <w:vAlign w:val="top"/>
          </w:tcPr>
          <w:p>
            <w:pPr>
              <w:pStyle w:val="TableText"/>
              <w:ind w:left="655"/>
              <w:spacing w:before="38" w:line="193" w:lineRule="auto"/>
              <w:rPr>
                <w:sz w:val="22"/>
                <w:szCs w:val="22"/>
              </w:rPr>
            </w:pPr>
            <w:r>
              <w:rPr>
                <w:sz w:val="22"/>
                <w:szCs w:val="22"/>
                <w:spacing w:val="-3"/>
              </w:rPr>
              <w:t>三级A</w:t>
            </w:r>
          </w:p>
        </w:tc>
        <w:tc>
          <w:tcPr>
            <w:tcW w:w="2397" w:type="dxa"/>
            <w:vAlign w:val="top"/>
          </w:tcPr>
          <w:p>
            <w:pPr>
              <w:pStyle w:val="TableText"/>
              <w:ind w:left="752"/>
              <w:spacing w:before="38" w:line="193" w:lineRule="auto"/>
              <w:rPr>
                <w:sz w:val="22"/>
                <w:szCs w:val="22"/>
              </w:rPr>
            </w:pPr>
            <w:r>
              <w:rPr>
                <w:sz w:val="22"/>
                <w:szCs w:val="22"/>
                <w:spacing w:val="-2"/>
              </w:rPr>
              <w:t>直接排放</w:t>
            </w:r>
          </w:p>
        </w:tc>
        <w:tc>
          <w:tcPr>
            <w:tcW w:w="4050" w:type="dxa"/>
            <w:vAlign w:val="top"/>
          </w:tcPr>
          <w:p>
            <w:pPr>
              <w:pStyle w:val="TableText"/>
              <w:ind w:left="1134"/>
              <w:spacing w:before="41" w:line="190" w:lineRule="auto"/>
              <w:rPr>
                <w:sz w:val="22"/>
                <w:szCs w:val="22"/>
              </w:rPr>
            </w:pPr>
            <w:r>
              <w:rPr>
                <w:sz w:val="22"/>
                <w:szCs w:val="22"/>
                <w:spacing w:val="28"/>
              </w:rPr>
              <w:t>Q&lt;200且W&lt;6000</w:t>
            </w:r>
          </w:p>
        </w:tc>
      </w:tr>
      <w:tr>
        <w:trPr>
          <w:trHeight w:val="274" w:hRule="atLeast"/>
        </w:trPr>
        <w:tc>
          <w:tcPr>
            <w:tcW w:w="1873" w:type="dxa"/>
            <w:vAlign w:val="top"/>
          </w:tcPr>
          <w:p>
            <w:pPr>
              <w:pStyle w:val="TableText"/>
              <w:ind w:left="655"/>
              <w:spacing w:before="39" w:line="188" w:lineRule="auto"/>
              <w:rPr>
                <w:sz w:val="22"/>
                <w:szCs w:val="22"/>
              </w:rPr>
            </w:pPr>
            <w:r>
              <w:rPr>
                <w:sz w:val="22"/>
                <w:szCs w:val="22"/>
                <w:color w:val="706060"/>
                <w:spacing w:val="-3"/>
              </w:rPr>
              <w:t>三级B</w:t>
            </w:r>
          </w:p>
        </w:tc>
        <w:tc>
          <w:tcPr>
            <w:tcW w:w="2397" w:type="dxa"/>
            <w:vAlign w:val="top"/>
          </w:tcPr>
          <w:p>
            <w:pPr>
              <w:pStyle w:val="TableText"/>
              <w:ind w:left="752"/>
              <w:spacing w:before="39" w:line="188" w:lineRule="auto"/>
              <w:rPr>
                <w:sz w:val="22"/>
                <w:szCs w:val="22"/>
              </w:rPr>
            </w:pPr>
            <w:r>
              <w:rPr>
                <w:sz w:val="22"/>
                <w:szCs w:val="22"/>
                <w:spacing w:val="2"/>
              </w:rPr>
              <w:t>间接排放</w:t>
            </w:r>
          </w:p>
        </w:tc>
        <w:tc>
          <w:tcPr>
            <w:tcW w:w="4050" w:type="dxa"/>
            <w:vAlign w:val="top"/>
          </w:tcPr>
          <w:p>
            <w:pPr>
              <w:rPr>
                <w:rFonts w:ascii="Arial"/>
                <w:sz w:val="21"/>
              </w:rPr>
            </w:pPr>
            <w:r/>
          </w:p>
        </w:tc>
      </w:tr>
    </w:tbl>
    <w:p>
      <w:pPr>
        <w:ind w:left="500"/>
        <w:spacing w:before="33" w:line="218" w:lineRule="auto"/>
        <w:rPr>
          <w:rFonts w:ascii="SimSun" w:hAnsi="SimSun" w:eastAsia="SimSun" w:cs="SimSun"/>
          <w:sz w:val="24"/>
          <w:szCs w:val="24"/>
        </w:rPr>
      </w:pPr>
      <w:r>
        <w:rPr>
          <w:rFonts w:ascii="SimSun" w:hAnsi="SimSun" w:eastAsia="SimSun" w:cs="SimSun"/>
          <w:sz w:val="24"/>
          <w:szCs w:val="24"/>
          <w:spacing w:val="1"/>
        </w:rPr>
        <w:t>综上，本项目建成后尾水排放为间接排放，按</w:t>
      </w:r>
      <w:r>
        <w:rPr>
          <w:rFonts w:ascii="SimSun" w:hAnsi="SimSun" w:eastAsia="SimSun" w:cs="SimSun"/>
          <w:sz w:val="24"/>
          <w:szCs w:val="24"/>
        </w:rPr>
        <w:t>照《环境影响评价技术导则</w:t>
      </w:r>
    </w:p>
    <w:p>
      <w:pPr>
        <w:spacing w:line="218" w:lineRule="auto"/>
        <w:sectPr>
          <w:headerReference w:type="default" r:id="rId148"/>
          <w:footerReference w:type="default" r:id="rId149"/>
          <w:pgSz w:w="11910" w:h="16840"/>
          <w:pgMar w:top="1219" w:right="1786" w:bottom="1017" w:left="1769" w:header="865" w:footer="719" w:gutter="0"/>
        </w:sectPr>
        <w:rPr>
          <w:rFonts w:ascii="SimSun" w:hAnsi="SimSun" w:eastAsia="SimSun" w:cs="SimSun"/>
          <w:sz w:val="24"/>
          <w:szCs w:val="24"/>
        </w:rPr>
      </w:pPr>
    </w:p>
    <w:p>
      <w:pPr>
        <w:ind w:left="114" w:right="114"/>
        <w:spacing w:before="243" w:line="378" w:lineRule="auto"/>
        <w:rPr>
          <w:rFonts w:ascii="SimSun" w:hAnsi="SimSun" w:eastAsia="SimSun" w:cs="SimSun"/>
          <w:sz w:val="23"/>
          <w:szCs w:val="23"/>
        </w:rPr>
      </w:pPr>
      <w:r>
        <w:rPr>
          <w:rFonts w:ascii="SimSun" w:hAnsi="SimSun" w:eastAsia="SimSun" w:cs="SimSun"/>
          <w:sz w:val="23"/>
          <w:szCs w:val="23"/>
          <w:spacing w:val="8"/>
        </w:rPr>
        <w:t>地表水环境》</w:t>
      </w:r>
      <w:r>
        <w:rPr>
          <w:rFonts w:ascii="SimSun" w:hAnsi="SimSun" w:eastAsia="SimSun" w:cs="SimSun"/>
          <w:sz w:val="23"/>
          <w:szCs w:val="23"/>
          <w:spacing w:val="93"/>
        </w:rPr>
        <w:t xml:space="preserve"> </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HJ</w:t>
      </w:r>
      <w:r>
        <w:rPr>
          <w:rFonts w:ascii="Times New Roman" w:hAnsi="Times New Roman" w:eastAsia="Times New Roman" w:cs="Times New Roman"/>
          <w:sz w:val="23"/>
          <w:szCs w:val="23"/>
          <w:spacing w:val="8"/>
        </w:rPr>
        <w:t>2.3-2018)     </w:t>
      </w:r>
      <w:r>
        <w:rPr>
          <w:rFonts w:ascii="SimSun" w:hAnsi="SimSun" w:eastAsia="SimSun" w:cs="SimSun"/>
          <w:sz w:val="23"/>
          <w:szCs w:val="23"/>
          <w:spacing w:val="8"/>
        </w:rPr>
        <w:t>中的有关规定及表2.5-3,确定本项目地表水环境</w:t>
      </w:r>
      <w:r>
        <w:rPr>
          <w:rFonts w:ascii="SimSun" w:hAnsi="SimSun" w:eastAsia="SimSun" w:cs="SimSun"/>
          <w:sz w:val="23"/>
          <w:szCs w:val="23"/>
        </w:rPr>
        <w:t xml:space="preserve"> </w:t>
      </w:r>
      <w:r>
        <w:rPr>
          <w:rFonts w:ascii="SimSun" w:hAnsi="SimSun" w:eastAsia="SimSun" w:cs="SimSun"/>
          <w:sz w:val="23"/>
          <w:szCs w:val="23"/>
          <w:spacing w:val="8"/>
        </w:rPr>
        <w:t>影响评价工作等级为水污染影响型三级B</w:t>
      </w:r>
      <w:r>
        <w:rPr>
          <w:rFonts w:ascii="SimSun" w:hAnsi="SimSun" w:eastAsia="SimSun" w:cs="SimSun"/>
          <w:sz w:val="23"/>
          <w:szCs w:val="23"/>
          <w:spacing w:val="-54"/>
        </w:rPr>
        <w:t xml:space="preserve"> </w:t>
      </w:r>
      <w:r>
        <w:rPr>
          <w:rFonts w:ascii="SimSun" w:hAnsi="SimSun" w:eastAsia="SimSun" w:cs="SimSun"/>
          <w:sz w:val="23"/>
          <w:szCs w:val="23"/>
          <w:spacing w:val="8"/>
        </w:rPr>
        <w:t>评价。</w:t>
      </w:r>
    </w:p>
    <w:p>
      <w:pPr>
        <w:ind w:left="588"/>
        <w:spacing w:before="1" w:line="217" w:lineRule="auto"/>
        <w:rPr>
          <w:rFonts w:ascii="SimSun" w:hAnsi="SimSun" w:eastAsia="SimSun" w:cs="SimSun"/>
          <w:sz w:val="23"/>
          <w:szCs w:val="23"/>
        </w:rPr>
      </w:pPr>
      <w:bookmarkStart w:name="bookmark88" w:id="34"/>
      <w:bookmarkEnd w:id="34"/>
      <w:r>
        <w:rPr>
          <w:rFonts w:ascii="SimSun" w:hAnsi="SimSun" w:eastAsia="SimSun" w:cs="SimSun"/>
          <w:sz w:val="23"/>
          <w:szCs w:val="23"/>
          <w:b/>
          <w:bCs/>
          <w:spacing w:val="5"/>
        </w:rPr>
        <w:t>2、评价范围</w:t>
      </w:r>
    </w:p>
    <w:p>
      <w:pPr>
        <w:ind w:left="114" w:right="136" w:firstLine="470"/>
        <w:spacing w:before="221" w:line="380" w:lineRule="auto"/>
        <w:rPr>
          <w:rFonts w:ascii="SimSun" w:hAnsi="SimSun" w:eastAsia="SimSun" w:cs="SimSun"/>
          <w:sz w:val="23"/>
          <w:szCs w:val="23"/>
        </w:rPr>
      </w:pPr>
      <w:r>
        <w:rPr>
          <w:rFonts w:ascii="SimSun" w:hAnsi="SimSun" w:eastAsia="SimSun" w:cs="SimSun"/>
          <w:sz w:val="23"/>
          <w:szCs w:val="23"/>
          <w:spacing w:val="14"/>
        </w:rPr>
        <w:t>本次地表水环境影响评价主要评价内容包括：主要针对项目区废水的处理</w:t>
      </w:r>
      <w:r>
        <w:rPr>
          <w:rFonts w:ascii="SimSun" w:hAnsi="SimSun" w:eastAsia="SimSun" w:cs="SimSun"/>
          <w:sz w:val="23"/>
          <w:szCs w:val="23"/>
        </w:rPr>
        <w:t xml:space="preserve"> </w:t>
      </w:r>
      <w:r>
        <w:rPr>
          <w:rFonts w:ascii="SimSun" w:hAnsi="SimSun" w:eastAsia="SimSun" w:cs="SimSun"/>
          <w:sz w:val="23"/>
          <w:szCs w:val="23"/>
          <w:spacing w:val="9"/>
        </w:rPr>
        <w:t>工艺的可靠性及合理性进行分析，同时对本项目废水接管的可行性进行分析。</w:t>
      </w:r>
    </w:p>
    <w:p>
      <w:pPr>
        <w:ind w:left="118"/>
        <w:spacing w:before="40" w:line="222" w:lineRule="auto"/>
        <w:rPr>
          <w:rFonts w:ascii="SimHei" w:hAnsi="SimHei" w:eastAsia="SimHei" w:cs="SimHei"/>
          <w:sz w:val="23"/>
          <w:szCs w:val="23"/>
        </w:rPr>
      </w:pPr>
      <w:r>
        <w:rPr>
          <w:rFonts w:ascii="SimHei" w:hAnsi="SimHei" w:eastAsia="SimHei" w:cs="SimHei"/>
          <w:sz w:val="23"/>
          <w:szCs w:val="23"/>
          <w:b/>
          <w:bCs/>
          <w:spacing w:val="8"/>
        </w:rPr>
        <w:t>1.9.2地下水</w:t>
      </w:r>
    </w:p>
    <w:p>
      <w:pPr>
        <w:ind w:left="588"/>
        <w:spacing w:before="203" w:line="218" w:lineRule="auto"/>
        <w:rPr>
          <w:rFonts w:ascii="SimSun" w:hAnsi="SimSun" w:eastAsia="SimSun" w:cs="SimSun"/>
          <w:sz w:val="23"/>
          <w:szCs w:val="23"/>
        </w:rPr>
      </w:pPr>
      <w:r>
        <w:rPr>
          <w:rFonts w:ascii="SimSun" w:hAnsi="SimSun" w:eastAsia="SimSun" w:cs="SimSun"/>
          <w:sz w:val="23"/>
          <w:szCs w:val="23"/>
          <w:b/>
          <w:bCs/>
          <w:spacing w:val="4"/>
        </w:rPr>
        <w:t>1、评价等级</w:t>
      </w:r>
    </w:p>
    <w:p>
      <w:pPr>
        <w:ind w:left="114" w:right="214" w:firstLine="470"/>
        <w:spacing w:before="209" w:line="361" w:lineRule="auto"/>
        <w:rPr>
          <w:rFonts w:ascii="SimSun" w:hAnsi="SimSun" w:eastAsia="SimSun" w:cs="SimSun"/>
          <w:sz w:val="23"/>
          <w:szCs w:val="23"/>
        </w:rPr>
      </w:pPr>
      <w:r>
        <w:rPr>
          <w:rFonts w:ascii="SimSun" w:hAnsi="SimSun" w:eastAsia="SimSun" w:cs="SimSun"/>
          <w:sz w:val="23"/>
          <w:szCs w:val="23"/>
          <w:spacing w:val="5"/>
        </w:rPr>
        <w:t>根据《环境影响评价技术导则地下水环境》</w:t>
      </w:r>
      <w:r>
        <w:rPr>
          <w:rFonts w:ascii="SimSun" w:hAnsi="SimSun" w:eastAsia="SimSun" w:cs="SimSun"/>
          <w:sz w:val="23"/>
          <w:szCs w:val="23"/>
          <w:spacing w:val="85"/>
        </w:rPr>
        <w:t xml:space="preserve"> </w:t>
      </w:r>
      <w:r>
        <w:rPr>
          <w:rFonts w:ascii="SimSun" w:hAnsi="SimSun" w:eastAsia="SimSun" w:cs="SimSun"/>
          <w:sz w:val="23"/>
          <w:szCs w:val="23"/>
          <w:spacing w:val="5"/>
        </w:rPr>
        <w:t>(</w:t>
      </w:r>
      <w:r>
        <w:rPr>
          <w:rFonts w:ascii="SimSun" w:hAnsi="SimSun" w:eastAsia="SimSun" w:cs="SimSun"/>
          <w:sz w:val="23"/>
          <w:szCs w:val="23"/>
        </w:rPr>
        <w:t>HJ</w:t>
      </w:r>
      <w:r>
        <w:rPr>
          <w:rFonts w:ascii="SimSun" w:hAnsi="SimSun" w:eastAsia="SimSun" w:cs="SimSun"/>
          <w:sz w:val="23"/>
          <w:szCs w:val="23"/>
          <w:spacing w:val="5"/>
        </w:rPr>
        <w:t>610-2016)</w:t>
      </w:r>
      <w:r>
        <w:rPr>
          <w:rFonts w:ascii="SimSun" w:hAnsi="SimSun" w:eastAsia="SimSun" w:cs="SimSun"/>
          <w:sz w:val="23"/>
          <w:szCs w:val="23"/>
          <w:spacing w:val="114"/>
        </w:rPr>
        <w:t xml:space="preserve"> </w:t>
      </w:r>
      <w:r>
        <w:rPr>
          <w:rFonts w:ascii="SimSun" w:hAnsi="SimSun" w:eastAsia="SimSun" w:cs="SimSun"/>
          <w:sz w:val="23"/>
          <w:szCs w:val="23"/>
          <w:spacing w:val="5"/>
        </w:rPr>
        <w:t>中</w:t>
      </w:r>
      <w:r>
        <w:rPr>
          <w:rFonts w:ascii="SimSun" w:hAnsi="SimSun" w:eastAsia="SimSun" w:cs="SimSun"/>
          <w:sz w:val="23"/>
          <w:szCs w:val="23"/>
          <w:spacing w:val="4"/>
        </w:rPr>
        <w:t>评价工作等</w:t>
      </w:r>
      <w:r>
        <w:rPr>
          <w:rFonts w:ascii="SimSun" w:hAnsi="SimSun" w:eastAsia="SimSun" w:cs="SimSun"/>
          <w:sz w:val="23"/>
          <w:szCs w:val="23"/>
        </w:rPr>
        <w:t xml:space="preserve"> </w:t>
      </w:r>
      <w:r>
        <w:rPr>
          <w:rFonts w:ascii="SimSun" w:hAnsi="SimSun" w:eastAsia="SimSun" w:cs="SimSun"/>
          <w:sz w:val="23"/>
          <w:szCs w:val="23"/>
          <w:spacing w:val="10"/>
        </w:rPr>
        <w:t>级划分依据，判定本项目地下水评价工作等级。查阅《环境影响评价技术导则</w:t>
      </w:r>
      <w:r>
        <w:rPr>
          <w:rFonts w:ascii="SimSun" w:hAnsi="SimSun" w:eastAsia="SimSun" w:cs="SimSun"/>
          <w:sz w:val="23"/>
          <w:szCs w:val="23"/>
        </w:rPr>
        <w:t xml:space="preserve"> </w:t>
      </w:r>
      <w:r>
        <w:rPr>
          <w:rFonts w:ascii="SimSun" w:hAnsi="SimSun" w:eastAsia="SimSun" w:cs="SimSun"/>
          <w:sz w:val="23"/>
          <w:szCs w:val="23"/>
          <w:spacing w:val="5"/>
        </w:rPr>
        <w:t>地下水环境》</w:t>
      </w:r>
      <w:r>
        <w:rPr>
          <w:rFonts w:ascii="SimSun" w:hAnsi="SimSun" w:eastAsia="SimSun" w:cs="SimSun"/>
          <w:sz w:val="23"/>
          <w:szCs w:val="23"/>
          <w:spacing w:val="75"/>
        </w:rPr>
        <w:t xml:space="preserve"> </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HJ</w:t>
      </w:r>
      <w:r>
        <w:rPr>
          <w:rFonts w:ascii="Times New Roman" w:hAnsi="Times New Roman" w:eastAsia="Times New Roman" w:cs="Times New Roman"/>
          <w:sz w:val="23"/>
          <w:szCs w:val="23"/>
          <w:spacing w:val="5"/>
        </w:rPr>
        <w:t>610-2016)    </w:t>
      </w:r>
      <w:r>
        <w:rPr>
          <w:rFonts w:ascii="SimSun" w:hAnsi="SimSun" w:eastAsia="SimSun" w:cs="SimSun"/>
          <w:sz w:val="23"/>
          <w:szCs w:val="23"/>
          <w:spacing w:val="5"/>
        </w:rPr>
        <w:t>附录</w:t>
      </w:r>
      <w:r>
        <w:rPr>
          <w:rFonts w:ascii="Times New Roman" w:hAnsi="Times New Roman" w:eastAsia="Times New Roman" w:cs="Times New Roman"/>
          <w:sz w:val="23"/>
          <w:szCs w:val="23"/>
          <w:spacing w:val="5"/>
        </w:rPr>
        <w:t>A,  </w:t>
      </w:r>
      <w:r>
        <w:rPr>
          <w:rFonts w:ascii="Times New Roman" w:hAnsi="Times New Roman" w:eastAsia="Times New Roman" w:cs="Times New Roman"/>
          <w:sz w:val="23"/>
          <w:szCs w:val="23"/>
          <w:spacing w:val="4"/>
        </w:rPr>
        <w:t xml:space="preserve"> </w:t>
      </w:r>
      <w:r>
        <w:rPr>
          <w:rFonts w:ascii="SimSun" w:hAnsi="SimSun" w:eastAsia="SimSun" w:cs="SimSun"/>
          <w:sz w:val="23"/>
          <w:szCs w:val="23"/>
          <w:spacing w:val="4"/>
        </w:rPr>
        <w:t>确定本项目所属的地下水环境影响评价</w:t>
      </w:r>
      <w:r>
        <w:rPr>
          <w:rFonts w:ascii="SimSun" w:hAnsi="SimSun" w:eastAsia="SimSun" w:cs="SimSun"/>
          <w:sz w:val="23"/>
          <w:szCs w:val="23"/>
        </w:rPr>
        <w:t xml:space="preserve">  </w:t>
      </w:r>
      <w:r>
        <w:rPr>
          <w:rFonts w:ascii="SimSun" w:hAnsi="SimSun" w:eastAsia="SimSun" w:cs="SimSun"/>
          <w:sz w:val="23"/>
          <w:szCs w:val="23"/>
          <w:spacing w:val="5"/>
        </w:rPr>
        <w:t>项目类别为Ⅲ类。</w:t>
      </w:r>
    </w:p>
    <w:p>
      <w:pPr>
        <w:ind w:left="2268"/>
        <w:spacing w:before="1" w:line="199" w:lineRule="auto"/>
        <w:rPr>
          <w:rFonts w:ascii="SimSun" w:hAnsi="SimSun" w:eastAsia="SimSun" w:cs="SimSun"/>
          <w:sz w:val="25"/>
          <w:szCs w:val="25"/>
        </w:rPr>
      </w:pPr>
      <w:r>
        <w:rPr>
          <w:rFonts w:ascii="SimSun" w:hAnsi="SimSun" w:eastAsia="SimSun" w:cs="SimSun"/>
          <w:sz w:val="25"/>
          <w:szCs w:val="25"/>
          <w:b/>
          <w:bCs/>
          <w:spacing w:val="-4"/>
        </w:rPr>
        <w:t>表1.9-2地下水环境影响评价项目类别</w:t>
      </w:r>
    </w:p>
    <w:tbl>
      <w:tblPr>
        <w:tblStyle w:val="TableNormal"/>
        <w:tblW w:w="8479" w:type="dxa"/>
        <w:tblInd w:w="2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693"/>
        <w:gridCol w:w="2297"/>
        <w:gridCol w:w="2417"/>
        <w:gridCol w:w="2072"/>
      </w:tblGrid>
      <w:tr>
        <w:trPr>
          <w:trHeight w:val="321" w:hRule="atLeast"/>
        </w:trPr>
        <w:tc>
          <w:tcPr>
            <w:shd w:val="clear" w:fill="BDBDBD"/>
            <w:tcW w:w="3990" w:type="dxa"/>
            <w:vAlign w:val="top"/>
            <w:gridSpan w:val="2"/>
          </w:tcPr>
          <w:p>
            <w:pPr>
              <w:pStyle w:val="TableText"/>
              <w:ind w:left="1547"/>
              <w:spacing w:before="60" w:line="219" w:lineRule="auto"/>
              <w:rPr>
                <w:sz w:val="21"/>
                <w:szCs w:val="21"/>
              </w:rPr>
            </w:pPr>
            <w:r>
              <w:rPr>
                <w:sz w:val="21"/>
                <w:szCs w:val="21"/>
                <w:b/>
                <w:bCs/>
                <w:spacing w:val="-4"/>
              </w:rPr>
              <w:t>环评类别</w:t>
            </w:r>
          </w:p>
        </w:tc>
        <w:tc>
          <w:tcPr>
            <w:shd w:val="clear" w:fill="BDBDBD"/>
            <w:tcW w:w="2417" w:type="dxa"/>
            <w:vAlign w:val="top"/>
          </w:tcPr>
          <w:p>
            <w:pPr>
              <w:pStyle w:val="TableText"/>
              <w:ind w:left="784"/>
              <w:spacing w:before="63" w:line="218" w:lineRule="auto"/>
              <w:rPr>
                <w:sz w:val="21"/>
                <w:szCs w:val="21"/>
              </w:rPr>
            </w:pPr>
            <w:r>
              <w:rPr>
                <w:sz w:val="21"/>
                <w:szCs w:val="21"/>
                <w:spacing w:val="4"/>
              </w:rPr>
              <w:t>环评类别</w:t>
            </w:r>
          </w:p>
        </w:tc>
        <w:tc>
          <w:tcPr>
            <w:shd w:val="clear" w:fill="BDBDBD"/>
            <w:tcW w:w="2072" w:type="dxa"/>
            <w:vAlign w:val="top"/>
          </w:tcPr>
          <w:p>
            <w:pPr>
              <w:pStyle w:val="TableText"/>
              <w:ind w:left="190"/>
              <w:spacing w:before="59" w:line="219" w:lineRule="auto"/>
              <w:rPr>
                <w:sz w:val="21"/>
                <w:szCs w:val="21"/>
              </w:rPr>
            </w:pPr>
            <w:r>
              <w:rPr>
                <w:sz w:val="21"/>
                <w:szCs w:val="21"/>
                <w:b/>
                <w:bCs/>
                <w:spacing w:val="-4"/>
              </w:rPr>
              <w:t>本项目建设内容及</w:t>
            </w:r>
          </w:p>
        </w:tc>
      </w:tr>
      <w:tr>
        <w:trPr>
          <w:trHeight w:val="519" w:hRule="atLeast"/>
        </w:trPr>
        <w:tc>
          <w:tcPr>
            <w:tcW w:w="1693" w:type="dxa"/>
            <w:vAlign w:val="top"/>
          </w:tcPr>
          <w:p>
            <w:pPr>
              <w:pStyle w:val="TableText"/>
              <w:ind w:left="87"/>
              <w:spacing w:before="8" w:line="214" w:lineRule="auto"/>
              <w:rPr>
                <w:sz w:val="21"/>
                <w:szCs w:val="21"/>
              </w:rPr>
            </w:pPr>
            <w:r>
              <w:rPr>
                <w:sz w:val="21"/>
                <w:szCs w:val="21"/>
                <w:b/>
                <w:bCs/>
              </w:rPr>
              <w:t>行业类别</w:t>
            </w:r>
          </w:p>
          <w:p>
            <w:pPr>
              <w:pStyle w:val="TableText"/>
              <w:ind w:left="514"/>
              <w:spacing w:line="219" w:lineRule="auto"/>
              <w:rPr>
                <w:sz w:val="21"/>
                <w:szCs w:val="21"/>
              </w:rPr>
            </w:pPr>
            <w:r>
              <w:rPr>
                <w:sz w:val="21"/>
                <w:szCs w:val="21"/>
                <w:spacing w:val="-1"/>
              </w:rPr>
              <w:t>N轻工</w:t>
            </w:r>
          </w:p>
        </w:tc>
        <w:tc>
          <w:tcPr>
            <w:tcW w:w="2297" w:type="dxa"/>
            <w:vAlign w:val="top"/>
          </w:tcPr>
          <w:p>
            <w:pPr>
              <w:pStyle w:val="TableText"/>
              <w:ind w:left="701"/>
              <w:spacing w:before="252" w:line="219" w:lineRule="auto"/>
              <w:rPr>
                <w:sz w:val="21"/>
                <w:szCs w:val="21"/>
              </w:rPr>
            </w:pPr>
            <w:r>
              <w:rPr>
                <w:sz w:val="21"/>
                <w:szCs w:val="21"/>
                <w:spacing w:val="3"/>
              </w:rPr>
              <w:t>98、屠宰</w:t>
            </w:r>
          </w:p>
        </w:tc>
        <w:tc>
          <w:tcPr>
            <w:shd w:val="clear" w:fill="BDBDBD"/>
            <w:tcW w:w="2417" w:type="dxa"/>
            <w:vAlign w:val="top"/>
          </w:tcPr>
          <w:p>
            <w:pPr>
              <w:pStyle w:val="TableText"/>
              <w:ind w:left="888"/>
              <w:spacing w:before="257" w:line="218" w:lineRule="auto"/>
              <w:rPr>
                <w:sz w:val="21"/>
                <w:szCs w:val="21"/>
              </w:rPr>
            </w:pPr>
            <w:r>
              <w:rPr>
                <w:sz w:val="21"/>
                <w:szCs w:val="21"/>
                <w:b/>
                <w:bCs/>
                <w:spacing w:val="-4"/>
              </w:rPr>
              <w:t>报告书</w:t>
            </w:r>
          </w:p>
        </w:tc>
        <w:tc>
          <w:tcPr>
            <w:tcW w:w="2072" w:type="dxa"/>
            <w:vAlign w:val="top"/>
          </w:tcPr>
          <w:p>
            <w:pPr>
              <w:pStyle w:val="TableText"/>
              <w:ind w:left="401"/>
              <w:spacing w:before="9" w:line="219" w:lineRule="auto"/>
              <w:rPr>
                <w:sz w:val="21"/>
                <w:szCs w:val="21"/>
              </w:rPr>
            </w:pPr>
            <w:r>
              <w:rPr>
                <w:sz w:val="21"/>
                <w:szCs w:val="21"/>
                <w:b/>
                <w:bCs/>
                <w:spacing w:val="-1"/>
              </w:rPr>
              <w:t>项目类型识别</w:t>
            </w:r>
          </w:p>
          <w:p>
            <w:pPr>
              <w:pStyle w:val="TableText"/>
              <w:ind w:left="817"/>
              <w:spacing w:before="3" w:line="217" w:lineRule="auto"/>
              <w:rPr>
                <w:sz w:val="21"/>
                <w:szCs w:val="21"/>
              </w:rPr>
            </w:pPr>
            <w:r>
              <w:rPr>
                <w:sz w:val="21"/>
                <w:szCs w:val="21"/>
                <w:spacing w:val="-2"/>
              </w:rPr>
              <w:t>Ⅲ类</w:t>
            </w:r>
          </w:p>
        </w:tc>
      </w:tr>
    </w:tbl>
    <w:p>
      <w:pPr>
        <w:ind w:left="114" w:right="4" w:firstLine="480"/>
        <w:spacing w:before="63" w:line="381" w:lineRule="auto"/>
        <w:rPr>
          <w:rFonts w:ascii="SimSun" w:hAnsi="SimSun" w:eastAsia="SimSun" w:cs="SimSun"/>
          <w:sz w:val="23"/>
          <w:szCs w:val="23"/>
        </w:rPr>
      </w:pPr>
      <w:r>
        <w:rPr>
          <w:rFonts w:ascii="SimSun" w:hAnsi="SimSun" w:eastAsia="SimSun" w:cs="SimSun"/>
          <w:sz w:val="25"/>
          <w:szCs w:val="25"/>
          <w:spacing w:val="-2"/>
        </w:rPr>
        <w:t>根据现场调查及整体区域规划，评价范围内无集中式供水</w:t>
      </w:r>
      <w:r>
        <w:rPr>
          <w:rFonts w:ascii="SimSun" w:hAnsi="SimSun" w:eastAsia="SimSun" w:cs="SimSun"/>
          <w:sz w:val="25"/>
          <w:szCs w:val="25"/>
          <w:spacing w:val="-3"/>
        </w:rPr>
        <w:t>水源地及其它与</w:t>
      </w:r>
      <w:r>
        <w:rPr>
          <w:rFonts w:ascii="SimSun" w:hAnsi="SimSun" w:eastAsia="SimSun" w:cs="SimSun"/>
          <w:sz w:val="25"/>
          <w:szCs w:val="25"/>
        </w:rPr>
        <w:t xml:space="preserve"> </w:t>
      </w:r>
      <w:r>
        <w:rPr>
          <w:rFonts w:ascii="SimSun" w:hAnsi="SimSun" w:eastAsia="SimSun" w:cs="SimSun"/>
          <w:sz w:val="23"/>
          <w:szCs w:val="23"/>
          <w:spacing w:val="10"/>
        </w:rPr>
        <w:t>地下水环境相关的保护区，评价范围内居民均接</w:t>
      </w:r>
      <w:r>
        <w:rPr>
          <w:rFonts w:ascii="SimSun" w:hAnsi="SimSun" w:eastAsia="SimSun" w:cs="SimSun"/>
          <w:sz w:val="23"/>
          <w:szCs w:val="23"/>
          <w:spacing w:val="9"/>
        </w:rPr>
        <w:t>通自来水，少数居民有自建地</w:t>
      </w:r>
    </w:p>
    <w:p>
      <w:pPr>
        <w:ind w:left="114" w:right="284"/>
        <w:spacing w:line="368" w:lineRule="auto"/>
        <w:rPr>
          <w:rFonts w:ascii="SimSun" w:hAnsi="SimSun" w:eastAsia="SimSun" w:cs="SimSun"/>
          <w:sz w:val="23"/>
          <w:szCs w:val="23"/>
        </w:rPr>
      </w:pPr>
      <w:r>
        <w:rPr>
          <w:rFonts w:ascii="SimSun" w:hAnsi="SimSun" w:eastAsia="SimSun" w:cs="SimSun"/>
          <w:sz w:val="23"/>
          <w:szCs w:val="23"/>
          <w:spacing w:val="9"/>
        </w:rPr>
        <w:t>下水井，现已停止使用，不使用地下水井作为生活用水。综合确定区内地下水</w:t>
      </w:r>
      <w:r>
        <w:rPr>
          <w:rFonts w:ascii="SimSun" w:hAnsi="SimSun" w:eastAsia="SimSun" w:cs="SimSun"/>
          <w:sz w:val="23"/>
          <w:szCs w:val="23"/>
          <w:spacing w:val="3"/>
        </w:rPr>
        <w:t xml:space="preserve"> </w:t>
      </w:r>
      <w:r>
        <w:rPr>
          <w:rFonts w:ascii="SimSun" w:hAnsi="SimSun" w:eastAsia="SimSun" w:cs="SimSun"/>
          <w:sz w:val="23"/>
          <w:szCs w:val="23"/>
        </w:rPr>
        <w:t>环境敏感程度为</w:t>
      </w:r>
      <w:r>
        <w:rPr>
          <w:rFonts w:ascii="SimSun" w:hAnsi="SimSun" w:eastAsia="SimSun" w:cs="SimSun"/>
          <w:sz w:val="23"/>
          <w:szCs w:val="23"/>
          <w:b/>
          <w:bCs/>
        </w:rPr>
        <w:t>“较敏感”</w:t>
      </w:r>
      <w:r>
        <w:rPr>
          <w:rFonts w:ascii="SimSun" w:hAnsi="SimSun" w:eastAsia="SimSun" w:cs="SimSun"/>
          <w:sz w:val="23"/>
          <w:szCs w:val="23"/>
        </w:rPr>
        <w:t>。根据 《环境影响评价技术导则地下</w:t>
      </w:r>
      <w:r>
        <w:rPr>
          <w:rFonts w:ascii="SimSun" w:hAnsi="SimSun" w:eastAsia="SimSun" w:cs="SimSun"/>
          <w:sz w:val="23"/>
          <w:szCs w:val="23"/>
          <w:spacing w:val="-1"/>
        </w:rPr>
        <w:t>水环境》</w:t>
      </w:r>
    </w:p>
    <w:p>
      <w:pPr>
        <w:ind w:left="254"/>
        <w:spacing w:before="20" w:line="216" w:lineRule="auto"/>
        <w:rPr>
          <w:rFonts w:ascii="SimSun" w:hAnsi="SimSun" w:eastAsia="SimSun" w:cs="SimSun"/>
          <w:sz w:val="23"/>
          <w:szCs w:val="23"/>
        </w:rPr>
      </w:pPr>
      <w:r>
        <w:rPr>
          <w:rFonts w:ascii="SimSun" w:hAnsi="SimSun" w:eastAsia="SimSun" w:cs="SimSun"/>
          <w:sz w:val="23"/>
          <w:szCs w:val="23"/>
          <w:spacing w:val="3"/>
        </w:rPr>
        <w:t>(</w:t>
      </w:r>
      <w:r>
        <w:rPr>
          <w:rFonts w:ascii="SimSun" w:hAnsi="SimSun" w:eastAsia="SimSun" w:cs="SimSun"/>
          <w:sz w:val="23"/>
          <w:szCs w:val="23"/>
        </w:rPr>
        <w:t>HJ</w:t>
      </w:r>
      <w:r>
        <w:rPr>
          <w:rFonts w:ascii="SimSun" w:hAnsi="SimSun" w:eastAsia="SimSun" w:cs="SimSun"/>
          <w:sz w:val="23"/>
          <w:szCs w:val="23"/>
          <w:spacing w:val="3"/>
        </w:rPr>
        <w:t>610-2016),</w:t>
      </w:r>
      <w:r>
        <w:rPr>
          <w:rFonts w:ascii="SimSun" w:hAnsi="SimSun" w:eastAsia="SimSun" w:cs="SimSun"/>
          <w:sz w:val="23"/>
          <w:szCs w:val="23"/>
          <w:spacing w:val="49"/>
        </w:rPr>
        <w:t xml:space="preserve">  </w:t>
      </w:r>
      <w:r>
        <w:rPr>
          <w:rFonts w:ascii="SimSun" w:hAnsi="SimSun" w:eastAsia="SimSun" w:cs="SimSun"/>
          <w:sz w:val="23"/>
          <w:szCs w:val="23"/>
          <w:spacing w:val="3"/>
        </w:rPr>
        <w:t>本项目地下水评价工作等级划分原则如下。</w:t>
      </w:r>
    </w:p>
    <w:p>
      <w:pPr>
        <w:ind w:left="2398"/>
        <w:spacing w:before="172" w:line="214" w:lineRule="auto"/>
        <w:rPr>
          <w:rFonts w:ascii="SimSun" w:hAnsi="SimSun" w:eastAsia="SimSun" w:cs="SimSun"/>
          <w:sz w:val="24"/>
          <w:szCs w:val="24"/>
        </w:rPr>
      </w:pPr>
      <w:r>
        <w:rPr>
          <w:rFonts w:ascii="SimSun" w:hAnsi="SimSun" w:eastAsia="SimSun" w:cs="SimSun"/>
          <w:sz w:val="24"/>
          <w:szCs w:val="24"/>
          <w:b/>
          <w:bCs/>
          <w:spacing w:val="-3"/>
        </w:rPr>
        <w:t>表1.9-3地下水环境敏感程度分级表</w:t>
      </w:r>
    </w:p>
    <w:tbl>
      <w:tblPr>
        <w:tblStyle w:val="TableNormal"/>
        <w:tblW w:w="8499" w:type="dxa"/>
        <w:tblInd w:w="1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63"/>
        <w:gridCol w:w="7436"/>
      </w:tblGrid>
      <w:tr>
        <w:trPr>
          <w:trHeight w:val="284" w:hRule="atLeast"/>
        </w:trPr>
        <w:tc>
          <w:tcPr>
            <w:shd w:val="clear" w:fill="BDBDBD"/>
            <w:tcW w:w="1063" w:type="dxa"/>
            <w:vAlign w:val="top"/>
          </w:tcPr>
          <w:p>
            <w:pPr>
              <w:pStyle w:val="TableText"/>
              <w:ind w:left="107"/>
              <w:spacing w:before="40" w:line="205" w:lineRule="auto"/>
              <w:rPr>
                <w:sz w:val="21"/>
                <w:szCs w:val="21"/>
              </w:rPr>
            </w:pPr>
            <w:r>
              <w:rPr>
                <w:sz w:val="21"/>
                <w:szCs w:val="21"/>
                <w:b/>
                <w:bCs/>
                <w:spacing w:val="-4"/>
              </w:rPr>
              <w:t>敏感程度</w:t>
            </w:r>
          </w:p>
        </w:tc>
        <w:tc>
          <w:tcPr>
            <w:shd w:val="clear" w:fill="BDBDBD"/>
            <w:tcW w:w="7436" w:type="dxa"/>
            <w:vAlign w:val="top"/>
          </w:tcPr>
          <w:p>
            <w:pPr>
              <w:pStyle w:val="TableText"/>
              <w:ind w:left="2765"/>
              <w:spacing w:before="40" w:line="205" w:lineRule="auto"/>
              <w:rPr>
                <w:sz w:val="21"/>
                <w:szCs w:val="21"/>
              </w:rPr>
            </w:pPr>
            <w:r>
              <w:rPr>
                <w:sz w:val="21"/>
                <w:szCs w:val="21"/>
                <w:b/>
                <w:bCs/>
                <w:spacing w:val="-4"/>
              </w:rPr>
              <w:t>地下水环境敏感特征</w:t>
            </w:r>
          </w:p>
        </w:tc>
      </w:tr>
      <w:tr>
        <w:trPr>
          <w:trHeight w:val="817" w:hRule="atLeast"/>
        </w:trPr>
        <w:tc>
          <w:tcPr>
            <w:tcW w:w="1063" w:type="dxa"/>
            <w:vAlign w:val="top"/>
          </w:tcPr>
          <w:p>
            <w:pPr>
              <w:rPr>
                <w:rFonts w:ascii="Arial"/>
                <w:sz w:val="21"/>
              </w:rPr>
            </w:pPr>
            <w:r/>
          </w:p>
          <w:p>
            <w:pPr>
              <w:pStyle w:val="TableText"/>
              <w:ind w:left="315"/>
              <w:spacing w:before="68" w:line="219" w:lineRule="auto"/>
              <w:rPr>
                <w:sz w:val="21"/>
                <w:szCs w:val="21"/>
              </w:rPr>
            </w:pPr>
            <w:r>
              <w:rPr>
                <w:sz w:val="21"/>
                <w:szCs w:val="21"/>
                <w:spacing w:val="-3"/>
              </w:rPr>
              <w:t>敏感</w:t>
            </w:r>
          </w:p>
        </w:tc>
        <w:tc>
          <w:tcPr>
            <w:tcW w:w="7436" w:type="dxa"/>
            <w:vAlign w:val="top"/>
          </w:tcPr>
          <w:p>
            <w:pPr>
              <w:pStyle w:val="TableText"/>
              <w:ind w:left="11" w:right="177"/>
              <w:spacing w:before="39" w:line="225" w:lineRule="auto"/>
              <w:jc w:val="both"/>
              <w:rPr>
                <w:sz w:val="21"/>
                <w:szCs w:val="21"/>
              </w:rPr>
            </w:pPr>
            <w:r>
              <w:rPr>
                <w:sz w:val="21"/>
                <w:szCs w:val="21"/>
              </w:rPr>
              <w:t>集中式饮用水水源(包括已建成的在用、备用、应急水源</w:t>
            </w:r>
            <w:r>
              <w:rPr>
                <w:sz w:val="21"/>
                <w:szCs w:val="21"/>
                <w:spacing w:val="-1"/>
              </w:rPr>
              <w:t>，在建和规划的饮用水</w:t>
            </w:r>
            <w:r>
              <w:rPr>
                <w:sz w:val="21"/>
                <w:szCs w:val="21"/>
              </w:rPr>
              <w:t xml:space="preserve"> </w:t>
            </w:r>
            <w:r>
              <w:rPr>
                <w:sz w:val="21"/>
                <w:szCs w:val="21"/>
              </w:rPr>
              <w:t>水源)准保护区；除集中式饮用水水源以外的国家或</w:t>
            </w:r>
            <w:r>
              <w:rPr>
                <w:sz w:val="21"/>
                <w:szCs w:val="21"/>
                <w:spacing w:val="-1"/>
              </w:rPr>
              <w:t>地方政府设定的与地下水环</w:t>
            </w:r>
            <w:r>
              <w:rPr>
                <w:sz w:val="21"/>
                <w:szCs w:val="21"/>
              </w:rPr>
              <w:t xml:space="preserve"> </w:t>
            </w:r>
            <w:r>
              <w:rPr>
                <w:sz w:val="21"/>
                <w:szCs w:val="21"/>
              </w:rPr>
              <w:t>境相关的其它保护区，如热水、矿泉水、温泉等特殊地下水</w:t>
            </w:r>
            <w:r>
              <w:rPr>
                <w:sz w:val="21"/>
                <w:szCs w:val="21"/>
                <w:spacing w:val="-1"/>
              </w:rPr>
              <w:t>资源保护区。</w:t>
            </w:r>
          </w:p>
        </w:tc>
      </w:tr>
      <w:tr>
        <w:trPr>
          <w:trHeight w:val="1086" w:hRule="atLeast"/>
        </w:trPr>
        <w:tc>
          <w:tcPr>
            <w:tcW w:w="1063" w:type="dxa"/>
            <w:vAlign w:val="top"/>
          </w:tcPr>
          <w:p>
            <w:pPr>
              <w:spacing w:line="372" w:lineRule="auto"/>
              <w:rPr>
                <w:rFonts w:ascii="Arial"/>
                <w:sz w:val="21"/>
              </w:rPr>
            </w:pPr>
            <w:r/>
          </w:p>
          <w:p>
            <w:pPr>
              <w:pStyle w:val="TableText"/>
              <w:ind w:left="204"/>
              <w:spacing w:before="68" w:line="219" w:lineRule="auto"/>
              <w:rPr>
                <w:sz w:val="21"/>
                <w:szCs w:val="21"/>
              </w:rPr>
            </w:pPr>
            <w:r>
              <w:rPr>
                <w:sz w:val="21"/>
                <w:szCs w:val="21"/>
                <w:spacing w:val="-2"/>
              </w:rPr>
              <w:t>较敏感</w:t>
            </w:r>
          </w:p>
        </w:tc>
        <w:tc>
          <w:tcPr>
            <w:tcW w:w="7436" w:type="dxa"/>
            <w:vAlign w:val="top"/>
          </w:tcPr>
          <w:p>
            <w:pPr>
              <w:pStyle w:val="TableText"/>
              <w:ind w:left="11" w:right="177"/>
              <w:spacing w:before="34" w:line="229" w:lineRule="auto"/>
              <w:jc w:val="both"/>
              <w:rPr>
                <w:sz w:val="21"/>
                <w:szCs w:val="21"/>
              </w:rPr>
            </w:pPr>
            <w:r>
              <w:rPr>
                <w:sz w:val="21"/>
                <w:szCs w:val="21"/>
              </w:rPr>
              <w:t>集中式饮用水水源(包括已建成的在用、备用、应急水源</w:t>
            </w:r>
            <w:r>
              <w:rPr>
                <w:sz w:val="21"/>
                <w:szCs w:val="21"/>
                <w:spacing w:val="-1"/>
              </w:rPr>
              <w:t>，在建和规划的饮用水</w:t>
            </w:r>
            <w:r>
              <w:rPr>
                <w:sz w:val="21"/>
                <w:szCs w:val="21"/>
              </w:rPr>
              <w:t xml:space="preserve"> </w:t>
            </w:r>
            <w:r>
              <w:rPr>
                <w:sz w:val="21"/>
                <w:szCs w:val="21"/>
              </w:rPr>
              <w:t>水源)准保护区以外的补给径流区；未划定准保护区</w:t>
            </w:r>
            <w:r>
              <w:rPr>
                <w:sz w:val="21"/>
                <w:szCs w:val="21"/>
                <w:spacing w:val="-1"/>
              </w:rPr>
              <w:t>的集中式饮用水水源，其保</w:t>
            </w:r>
            <w:r>
              <w:rPr>
                <w:sz w:val="21"/>
                <w:szCs w:val="21"/>
              </w:rPr>
              <w:t xml:space="preserve"> </w:t>
            </w:r>
            <w:r>
              <w:rPr>
                <w:sz w:val="21"/>
                <w:szCs w:val="21"/>
              </w:rPr>
              <w:t>护区以外的补给径流区；分散式饮用水水源地；特殊地</w:t>
            </w:r>
            <w:r>
              <w:rPr>
                <w:sz w:val="21"/>
                <w:szCs w:val="21"/>
                <w:spacing w:val="-1"/>
              </w:rPr>
              <w:t>下水资源(如矿泉水、温</w:t>
            </w:r>
            <w:r>
              <w:rPr>
                <w:sz w:val="21"/>
                <w:szCs w:val="21"/>
              </w:rPr>
              <w:t xml:space="preserve"> </w:t>
            </w:r>
            <w:r>
              <w:rPr>
                <w:sz w:val="21"/>
                <w:szCs w:val="21"/>
              </w:rPr>
              <w:t>泉等)保护区以外的分布区等其他未列入上述敏感分级的环</w:t>
            </w:r>
            <w:r>
              <w:rPr>
                <w:sz w:val="21"/>
                <w:szCs w:val="21"/>
                <w:spacing w:val="-1"/>
              </w:rPr>
              <w:t>境敏感区a。</w:t>
            </w:r>
          </w:p>
        </w:tc>
      </w:tr>
      <w:tr>
        <w:trPr>
          <w:trHeight w:val="279" w:hRule="atLeast"/>
        </w:trPr>
        <w:tc>
          <w:tcPr>
            <w:tcW w:w="1063" w:type="dxa"/>
            <w:vAlign w:val="top"/>
          </w:tcPr>
          <w:p>
            <w:pPr>
              <w:pStyle w:val="TableText"/>
              <w:ind w:left="204"/>
              <w:spacing w:before="46" w:line="196" w:lineRule="auto"/>
              <w:rPr>
                <w:sz w:val="21"/>
                <w:szCs w:val="21"/>
              </w:rPr>
            </w:pPr>
            <w:r>
              <w:rPr>
                <w:sz w:val="21"/>
                <w:szCs w:val="21"/>
                <w:spacing w:val="3"/>
              </w:rPr>
              <w:t>不敏感</w:t>
            </w:r>
          </w:p>
        </w:tc>
        <w:tc>
          <w:tcPr>
            <w:tcW w:w="7436" w:type="dxa"/>
            <w:vAlign w:val="top"/>
          </w:tcPr>
          <w:p>
            <w:pPr>
              <w:pStyle w:val="TableText"/>
              <w:ind w:left="2444"/>
              <w:spacing w:before="43" w:line="198" w:lineRule="auto"/>
              <w:rPr>
                <w:sz w:val="21"/>
                <w:szCs w:val="21"/>
              </w:rPr>
            </w:pPr>
            <w:r>
              <w:rPr>
                <w:sz w:val="21"/>
                <w:szCs w:val="21"/>
                <w:b/>
                <w:bCs/>
                <w:spacing w:val="-11"/>
              </w:rPr>
              <w:t>上述地区之外的其它地区</w:t>
            </w:r>
            <w:r>
              <w:rPr>
                <w:sz w:val="21"/>
                <w:szCs w:val="21"/>
                <w:spacing w:val="-11"/>
              </w:rPr>
              <w:t>。</w:t>
            </w:r>
          </w:p>
        </w:tc>
      </w:tr>
      <w:tr>
        <w:trPr>
          <w:trHeight w:val="553" w:hRule="atLeast"/>
        </w:trPr>
        <w:tc>
          <w:tcPr>
            <w:tcW w:w="8499" w:type="dxa"/>
            <w:vAlign w:val="top"/>
            <w:gridSpan w:val="2"/>
          </w:tcPr>
          <w:p>
            <w:pPr>
              <w:pStyle w:val="TableText"/>
              <w:ind w:left="15"/>
              <w:spacing w:before="35" w:line="223" w:lineRule="auto"/>
              <w:rPr>
                <w:sz w:val="21"/>
                <w:szCs w:val="21"/>
              </w:rPr>
            </w:pPr>
            <w:r>
              <w:rPr>
                <w:sz w:val="21"/>
                <w:szCs w:val="21"/>
                <w:spacing w:val="-1"/>
              </w:rPr>
              <w:t>注：a“环境敏感区”是指《建设项目环境影响评价分类管理名录》中所界定的涉及地下水的</w:t>
            </w:r>
            <w:r>
              <w:rPr>
                <w:sz w:val="21"/>
                <w:szCs w:val="21"/>
                <w:spacing w:val="8"/>
              </w:rPr>
              <w:t xml:space="preserve"> </w:t>
            </w:r>
            <w:r>
              <w:rPr>
                <w:sz w:val="21"/>
                <w:szCs w:val="21"/>
                <w:spacing w:val="-2"/>
              </w:rPr>
              <w:t>环境敏感区。</w:t>
            </w:r>
          </w:p>
        </w:tc>
      </w:tr>
    </w:tbl>
    <w:p>
      <w:pPr>
        <w:ind w:left="595"/>
        <w:spacing w:before="42" w:line="218" w:lineRule="auto"/>
        <w:rPr>
          <w:rFonts w:ascii="SimSun" w:hAnsi="SimSun" w:eastAsia="SimSun" w:cs="SimSun"/>
          <w:sz w:val="24"/>
          <w:szCs w:val="24"/>
        </w:rPr>
      </w:pPr>
      <w:r>
        <w:rPr>
          <w:rFonts w:ascii="SimSun" w:hAnsi="SimSun" w:eastAsia="SimSun" w:cs="SimSun"/>
          <w:sz w:val="24"/>
          <w:szCs w:val="24"/>
        </w:rPr>
        <w:t>根据导则可知，本项目地下水环境影响评价工作等级具体情况见下表：</w:t>
      </w:r>
    </w:p>
    <w:p>
      <w:pPr>
        <w:ind w:left="1558"/>
        <w:spacing w:before="224" w:line="218" w:lineRule="auto"/>
        <w:rPr>
          <w:rFonts w:ascii="SimSun" w:hAnsi="SimSun" w:eastAsia="SimSun" w:cs="SimSun"/>
          <w:sz w:val="25"/>
          <w:szCs w:val="25"/>
        </w:rPr>
      </w:pPr>
      <w:r>
        <w:rPr>
          <w:rFonts w:ascii="SimSun" w:hAnsi="SimSun" w:eastAsia="SimSun" w:cs="SimSun"/>
          <w:sz w:val="25"/>
          <w:szCs w:val="25"/>
          <w:b/>
          <w:bCs/>
          <w:spacing w:val="-3"/>
        </w:rPr>
        <w:t>表1.9-4项目地下水环境影响评价工作等级划分情况</w:t>
      </w:r>
    </w:p>
    <w:p>
      <w:pPr>
        <w:spacing w:line="58" w:lineRule="auto"/>
        <w:rPr>
          <w:rFonts w:ascii="Arial"/>
          <w:sz w:val="2"/>
        </w:rPr>
      </w:pPr>
      <w:r>
        <w:rPr>
          <w:rFonts w:ascii="Arial"/>
          <w:sz w:val="2"/>
        </w:rPr>
      </w:r>
    </w:p>
    <w:tbl>
      <w:tblPr>
        <w:tblStyle w:val="TableNormal"/>
        <w:tblW w:w="85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382"/>
        <w:gridCol w:w="1878"/>
        <w:gridCol w:w="2127"/>
        <w:gridCol w:w="2132"/>
      </w:tblGrid>
      <w:tr>
        <w:trPr>
          <w:trHeight w:val="272" w:hRule="atLeast"/>
        </w:trPr>
        <w:tc>
          <w:tcPr>
            <w:shd w:val="clear" w:fill="BDBDBD"/>
            <w:tcW w:w="2382" w:type="dxa"/>
            <w:vAlign w:val="top"/>
          </w:tcPr>
          <w:p>
            <w:pPr>
              <w:rPr>
                <w:rFonts w:ascii="Arial"/>
                <w:sz w:val="21"/>
              </w:rPr>
            </w:pPr>
            <w:r/>
          </w:p>
        </w:tc>
        <w:tc>
          <w:tcPr>
            <w:shd w:val="clear" w:fill="BDBDBD"/>
            <w:tcW w:w="1878" w:type="dxa"/>
            <w:vAlign w:val="top"/>
          </w:tcPr>
          <w:p>
            <w:pPr>
              <w:pStyle w:val="TableText"/>
              <w:ind w:left="546"/>
              <w:spacing w:before="30" w:line="194" w:lineRule="auto"/>
              <w:rPr>
                <w:sz w:val="22"/>
                <w:szCs w:val="22"/>
              </w:rPr>
            </w:pPr>
            <w:r>
              <w:rPr>
                <w:sz w:val="22"/>
                <w:szCs w:val="22"/>
                <w:b/>
                <w:bCs/>
                <w:spacing w:val="6"/>
              </w:rPr>
              <w:t>I类项目</w:t>
            </w:r>
          </w:p>
        </w:tc>
        <w:tc>
          <w:tcPr>
            <w:shd w:val="clear" w:fill="BDBDBD"/>
            <w:tcW w:w="2127" w:type="dxa"/>
            <w:vAlign w:val="top"/>
          </w:tcPr>
          <w:p>
            <w:pPr>
              <w:pStyle w:val="TableText"/>
              <w:ind w:left="618"/>
              <w:spacing w:before="30" w:line="194" w:lineRule="auto"/>
              <w:rPr>
                <w:sz w:val="22"/>
                <w:szCs w:val="22"/>
              </w:rPr>
            </w:pPr>
            <w:r>
              <w:rPr>
                <w:sz w:val="22"/>
                <w:szCs w:val="22"/>
                <w:b/>
                <w:bCs/>
                <w:spacing w:val="6"/>
              </w:rPr>
              <w:t>Ⅱ类项目</w:t>
            </w:r>
          </w:p>
        </w:tc>
        <w:tc>
          <w:tcPr>
            <w:shd w:val="clear" w:fill="BDBDBD"/>
            <w:tcW w:w="2132" w:type="dxa"/>
            <w:vAlign w:val="top"/>
          </w:tcPr>
          <w:p>
            <w:pPr>
              <w:pStyle w:val="TableText"/>
              <w:ind w:left="621"/>
              <w:spacing w:before="30" w:line="194" w:lineRule="auto"/>
              <w:rPr>
                <w:sz w:val="22"/>
                <w:szCs w:val="22"/>
              </w:rPr>
            </w:pPr>
            <w:r>
              <w:rPr>
                <w:sz w:val="22"/>
                <w:szCs w:val="22"/>
                <w:b/>
                <w:bCs/>
                <w:spacing w:val="6"/>
              </w:rPr>
              <w:t>Ⅲ类项目</w:t>
            </w:r>
          </w:p>
        </w:tc>
      </w:tr>
      <w:tr>
        <w:trPr>
          <w:trHeight w:val="276" w:hRule="atLeast"/>
        </w:trPr>
        <w:tc>
          <w:tcPr>
            <w:tcW w:w="2382" w:type="dxa"/>
            <w:vAlign w:val="top"/>
          </w:tcPr>
          <w:p>
            <w:pPr>
              <w:pStyle w:val="TableText"/>
              <w:ind w:left="968"/>
              <w:spacing w:before="28" w:line="199" w:lineRule="auto"/>
              <w:rPr>
                <w:sz w:val="22"/>
                <w:szCs w:val="22"/>
              </w:rPr>
            </w:pPr>
            <w:r>
              <w:rPr>
                <w:sz w:val="22"/>
                <w:szCs w:val="22"/>
                <w:b/>
                <w:bCs/>
                <w:spacing w:val="-5"/>
              </w:rPr>
              <w:t>敏感</w:t>
            </w:r>
          </w:p>
        </w:tc>
        <w:tc>
          <w:tcPr>
            <w:tcW w:w="1878" w:type="dxa"/>
            <w:vAlign w:val="top"/>
          </w:tcPr>
          <w:p>
            <w:pPr>
              <w:pStyle w:val="TableText"/>
              <w:ind w:left="903"/>
              <w:spacing w:before="133" w:line="47" w:lineRule="exact"/>
              <w:rPr>
                <w:sz w:val="6"/>
                <w:szCs w:val="6"/>
              </w:rPr>
            </w:pPr>
            <w:r>
              <w:rPr>
                <w:sz w:val="6"/>
                <w:szCs w:val="6"/>
                <w:position w:val="-1"/>
              </w:rPr>
              <w:t>一</w:t>
            </w:r>
          </w:p>
        </w:tc>
        <w:tc>
          <w:tcPr>
            <w:tcW w:w="2127" w:type="dxa"/>
            <w:vAlign w:val="top"/>
          </w:tcPr>
          <w:p>
            <w:pPr>
              <w:pStyle w:val="TableText"/>
              <w:ind w:left="1024"/>
              <w:spacing w:before="133" w:line="47" w:lineRule="exact"/>
              <w:rPr>
                <w:sz w:val="6"/>
                <w:szCs w:val="6"/>
              </w:rPr>
            </w:pPr>
            <w:r>
              <w:rPr>
                <w:sz w:val="6"/>
                <w:szCs w:val="6"/>
                <w:position w:val="-1"/>
              </w:rPr>
              <w:t>一</w:t>
            </w:r>
          </w:p>
        </w:tc>
        <w:tc>
          <w:tcPr>
            <w:tcW w:w="2132" w:type="dxa"/>
            <w:vAlign w:val="top"/>
          </w:tcPr>
          <w:p>
            <w:pPr>
              <w:pStyle w:val="TableText"/>
              <w:ind w:left="948"/>
              <w:spacing w:before="94" w:line="172" w:lineRule="exact"/>
              <w:rPr>
                <w:sz w:val="22"/>
                <w:szCs w:val="22"/>
              </w:rPr>
            </w:pPr>
            <w:r>
              <w:rPr>
                <w:sz w:val="22"/>
                <w:szCs w:val="22"/>
                <w:color w:val="807070"/>
                <w:position w:val="-3"/>
              </w:rPr>
              <w:t>二</w:t>
            </w:r>
          </w:p>
        </w:tc>
      </w:tr>
      <w:tr>
        <w:trPr>
          <w:trHeight w:val="271" w:hRule="atLeast"/>
        </w:trPr>
        <w:tc>
          <w:tcPr>
            <w:tcW w:w="2382" w:type="dxa"/>
            <w:vAlign w:val="top"/>
          </w:tcPr>
          <w:p>
            <w:pPr>
              <w:pStyle w:val="TableText"/>
              <w:ind w:left="858"/>
              <w:spacing w:before="32" w:line="192" w:lineRule="auto"/>
              <w:rPr>
                <w:sz w:val="22"/>
                <w:szCs w:val="22"/>
              </w:rPr>
            </w:pPr>
            <w:r>
              <w:rPr>
                <w:sz w:val="22"/>
                <w:szCs w:val="22"/>
                <w:b/>
                <w:bCs/>
                <w:spacing w:val="-5"/>
              </w:rPr>
              <w:t>较敏感</w:t>
            </w:r>
          </w:p>
        </w:tc>
        <w:tc>
          <w:tcPr>
            <w:tcW w:w="1878" w:type="dxa"/>
            <w:vAlign w:val="top"/>
          </w:tcPr>
          <w:p>
            <w:pPr>
              <w:pStyle w:val="TableText"/>
              <w:ind w:left="852"/>
              <w:spacing w:before="139" w:line="122" w:lineRule="exact"/>
              <w:rPr>
                <w:sz w:val="16"/>
                <w:szCs w:val="16"/>
              </w:rPr>
            </w:pPr>
            <w:r>
              <w:rPr>
                <w:sz w:val="16"/>
                <w:szCs w:val="16"/>
                <w:position w:val="-3"/>
              </w:rPr>
              <w:t>一</w:t>
            </w:r>
          </w:p>
        </w:tc>
        <w:tc>
          <w:tcPr>
            <w:tcW w:w="2127" w:type="dxa"/>
            <w:vAlign w:val="top"/>
          </w:tcPr>
          <w:p>
            <w:pPr>
              <w:pStyle w:val="TableText"/>
              <w:ind w:left="945"/>
              <w:spacing w:before="98" w:line="163" w:lineRule="exact"/>
              <w:rPr>
                <w:sz w:val="22"/>
                <w:szCs w:val="22"/>
              </w:rPr>
            </w:pPr>
            <w:r>
              <w:rPr>
                <w:sz w:val="22"/>
                <w:szCs w:val="22"/>
                <w:position w:val="-3"/>
              </w:rPr>
              <w:t>二</w:t>
            </w:r>
          </w:p>
        </w:tc>
        <w:tc>
          <w:tcPr>
            <w:tcW w:w="2132" w:type="dxa"/>
            <w:vAlign w:val="top"/>
          </w:tcPr>
          <w:p>
            <w:pPr>
              <w:pStyle w:val="TableText"/>
              <w:ind w:left="727"/>
              <w:spacing w:before="39" w:line="186" w:lineRule="auto"/>
              <w:rPr>
                <w:sz w:val="22"/>
                <w:szCs w:val="22"/>
              </w:rPr>
            </w:pPr>
            <w:r>
              <w:rPr>
                <w:sz w:val="22"/>
                <w:szCs w:val="22"/>
                <w:spacing w:val="-14"/>
              </w:rPr>
              <w:t>三(</w:t>
            </w:r>
            <w:r>
              <w:rPr>
                <w:sz w:val="22"/>
                <w:szCs w:val="22"/>
                <w:spacing w:val="-26"/>
              </w:rPr>
              <w:t xml:space="preserve"> </w:t>
            </w:r>
            <w:r>
              <w:rPr>
                <w:sz w:val="22"/>
                <w:szCs w:val="22"/>
                <w:spacing w:val="-14"/>
              </w:rPr>
              <w:t>√</w:t>
            </w:r>
            <w:r>
              <w:rPr>
                <w:sz w:val="22"/>
                <w:szCs w:val="22"/>
                <w:spacing w:val="-82"/>
              </w:rPr>
              <w:t xml:space="preserve"> </w:t>
            </w:r>
            <w:r>
              <w:rPr>
                <w:sz w:val="22"/>
                <w:szCs w:val="22"/>
                <w:spacing w:val="-14"/>
              </w:rPr>
              <w:t>)</w:t>
            </w:r>
          </w:p>
        </w:tc>
      </w:tr>
    </w:tbl>
    <w:p>
      <w:pPr>
        <w:pStyle w:val="BodyText"/>
        <w:rPr/>
      </w:pPr>
      <w:r/>
    </w:p>
    <w:p>
      <w:pPr>
        <w:sectPr>
          <w:headerReference w:type="default" r:id="rId150"/>
          <w:footerReference w:type="default" r:id="rId151"/>
          <w:pgSz w:w="11910" w:h="16840"/>
          <w:pgMar w:top="1219" w:right="1705" w:bottom="980" w:left="1675" w:header="865" w:footer="756" w:gutter="0"/>
        </w:sectPr>
        <w:rPr/>
      </w:pPr>
    </w:p>
    <w:p>
      <w:pPr>
        <w:spacing w:line="190" w:lineRule="exact"/>
        <w:rPr/>
      </w:pPr>
      <w:r/>
    </w:p>
    <w:tbl>
      <w:tblPr>
        <w:tblStyle w:val="TableNormal"/>
        <w:tblW w:w="85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412"/>
        <w:gridCol w:w="1868"/>
        <w:gridCol w:w="2127"/>
        <w:gridCol w:w="2172"/>
      </w:tblGrid>
      <w:tr>
        <w:trPr>
          <w:trHeight w:val="375" w:hRule="atLeast"/>
        </w:trPr>
        <w:tc>
          <w:tcPr>
            <w:tcW w:w="2412" w:type="dxa"/>
            <w:vAlign w:val="top"/>
            <w:tcBorders>
              <w:top w:val="single" w:color="000000" w:sz="2" w:space="0"/>
            </w:tcBorders>
          </w:tcPr>
          <w:p>
            <w:pPr>
              <w:pStyle w:val="TableText"/>
              <w:ind w:left="893"/>
              <w:spacing w:before="130" w:line="188" w:lineRule="auto"/>
              <w:rPr>
                <w:sz w:val="23"/>
                <w:szCs w:val="23"/>
              </w:rPr>
            </w:pPr>
            <w:r>
              <w:rPr>
                <w:sz w:val="23"/>
                <w:szCs w:val="23"/>
                <w:b/>
                <w:bCs/>
                <w:spacing w:val="-11"/>
              </w:rPr>
              <w:t>不敏感</w:t>
            </w:r>
          </w:p>
        </w:tc>
        <w:tc>
          <w:tcPr>
            <w:tcW w:w="1868" w:type="dxa"/>
            <w:vAlign w:val="top"/>
            <w:tcBorders>
              <w:top w:val="single" w:color="000000" w:sz="2" w:space="0"/>
            </w:tcBorders>
          </w:tcPr>
          <w:p>
            <w:pPr>
              <w:pStyle w:val="TableText"/>
              <w:ind w:left="828"/>
              <w:spacing w:before="96" w:line="178" w:lineRule="auto"/>
              <w:rPr>
                <w:sz w:val="25"/>
                <w:szCs w:val="25"/>
              </w:rPr>
            </w:pPr>
            <w:r>
              <w:rPr>
                <w:sz w:val="25"/>
                <w:szCs w:val="25"/>
              </w:rPr>
              <w:t>二</w:t>
            </w:r>
          </w:p>
        </w:tc>
        <w:tc>
          <w:tcPr>
            <w:tcW w:w="2127" w:type="dxa"/>
            <w:vAlign w:val="top"/>
            <w:tcBorders>
              <w:top w:val="single" w:color="000000" w:sz="2" w:space="0"/>
            </w:tcBorders>
          </w:tcPr>
          <w:p>
            <w:pPr>
              <w:pStyle w:val="TableText"/>
              <w:ind w:left="960"/>
              <w:spacing w:before="55" w:line="237" w:lineRule="auto"/>
              <w:rPr>
                <w:sz w:val="23"/>
                <w:szCs w:val="23"/>
              </w:rPr>
            </w:pPr>
            <w:r>
              <w:rPr>
                <w:sz w:val="23"/>
                <w:szCs w:val="23"/>
              </w:rPr>
              <w:t>三</w:t>
            </w:r>
          </w:p>
        </w:tc>
        <w:tc>
          <w:tcPr>
            <w:tcW w:w="2172" w:type="dxa"/>
            <w:vAlign w:val="top"/>
            <w:tcBorders>
              <w:top w:val="single" w:color="000000" w:sz="2" w:space="0"/>
            </w:tcBorders>
          </w:tcPr>
          <w:p>
            <w:pPr>
              <w:pStyle w:val="TableText"/>
              <w:ind w:left="953"/>
              <w:spacing w:before="55" w:line="237" w:lineRule="auto"/>
              <w:rPr>
                <w:sz w:val="23"/>
                <w:szCs w:val="23"/>
              </w:rPr>
            </w:pPr>
            <w:r>
              <w:rPr>
                <w:sz w:val="23"/>
                <w:szCs w:val="23"/>
              </w:rPr>
              <w:t>三</w:t>
            </w:r>
          </w:p>
        </w:tc>
      </w:tr>
    </w:tbl>
    <w:p>
      <w:pPr>
        <w:ind w:left="119" w:right="379" w:firstLine="490"/>
        <w:spacing w:before="37" w:line="366" w:lineRule="auto"/>
        <w:rPr>
          <w:rFonts w:ascii="SimSun" w:hAnsi="SimSun" w:eastAsia="SimSun" w:cs="SimSun"/>
          <w:sz w:val="23"/>
          <w:szCs w:val="23"/>
        </w:rPr>
      </w:pPr>
      <w:r>
        <w:rPr>
          <w:rFonts w:ascii="SimSun" w:hAnsi="SimSun" w:eastAsia="SimSun" w:cs="SimSun"/>
          <w:sz w:val="23"/>
          <w:szCs w:val="23"/>
          <w:spacing w:val="14"/>
        </w:rPr>
        <w:t>综上，本项目属于Ⅲ类项目，地下水环境敏感程度为“较敏感”,按照</w:t>
      </w:r>
      <w:r>
        <w:rPr>
          <w:rFonts w:ascii="SimSun" w:hAnsi="SimSun" w:eastAsia="SimSun" w:cs="SimSun"/>
          <w:sz w:val="23"/>
          <w:szCs w:val="23"/>
        </w:rPr>
        <w:t xml:space="preserve">  </w:t>
      </w:r>
      <w:r>
        <w:rPr>
          <w:rFonts w:ascii="SimSun" w:hAnsi="SimSun" w:eastAsia="SimSun" w:cs="SimSun"/>
          <w:sz w:val="23"/>
          <w:szCs w:val="23"/>
          <w:spacing w:val="7"/>
        </w:rPr>
        <w:t>《环境影响评价技术导则地下水环境》</w:t>
      </w:r>
      <w:r>
        <w:rPr>
          <w:rFonts w:ascii="SimSun" w:hAnsi="SimSun" w:eastAsia="SimSun" w:cs="SimSun"/>
          <w:sz w:val="23"/>
          <w:szCs w:val="23"/>
          <w:spacing w:val="85"/>
        </w:rPr>
        <w:t xml:space="preserve"> </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rPr>
        <w:t>HJ</w:t>
      </w:r>
      <w:r>
        <w:rPr>
          <w:rFonts w:ascii="Times New Roman" w:hAnsi="Times New Roman" w:eastAsia="Times New Roman" w:cs="Times New Roman"/>
          <w:sz w:val="23"/>
          <w:szCs w:val="23"/>
          <w:spacing w:val="7"/>
        </w:rPr>
        <w:t>610-2016) </w:t>
      </w:r>
      <w:r>
        <w:rPr>
          <w:rFonts w:ascii="Times New Roman" w:hAnsi="Times New Roman" w:eastAsia="Times New Roman" w:cs="Times New Roman"/>
          <w:sz w:val="23"/>
          <w:szCs w:val="23"/>
          <w:spacing w:val="6"/>
        </w:rPr>
        <w:t xml:space="preserve">   </w:t>
      </w:r>
      <w:r>
        <w:rPr>
          <w:rFonts w:ascii="SimSun" w:hAnsi="SimSun" w:eastAsia="SimSun" w:cs="SimSun"/>
          <w:sz w:val="23"/>
          <w:szCs w:val="23"/>
          <w:spacing w:val="6"/>
        </w:rPr>
        <w:t>中表2建设项目地下水</w:t>
      </w:r>
      <w:r>
        <w:rPr>
          <w:rFonts w:ascii="SimSun" w:hAnsi="SimSun" w:eastAsia="SimSun" w:cs="SimSun"/>
          <w:sz w:val="23"/>
          <w:szCs w:val="23"/>
        </w:rPr>
        <w:t xml:space="preserve"> </w:t>
      </w:r>
      <w:r>
        <w:rPr>
          <w:rFonts w:ascii="SimSun" w:hAnsi="SimSun" w:eastAsia="SimSun" w:cs="SimSun"/>
          <w:sz w:val="23"/>
          <w:szCs w:val="23"/>
          <w:spacing w:val="10"/>
        </w:rPr>
        <w:t>评价工作等级分级评价，本项目地下水环境影响评价工作等级判定为</w:t>
      </w:r>
      <w:r>
        <w:rPr>
          <w:rFonts w:ascii="SimSun" w:hAnsi="SimSun" w:eastAsia="SimSun" w:cs="SimSun"/>
          <w:sz w:val="23"/>
          <w:szCs w:val="23"/>
          <w:spacing w:val="9"/>
        </w:rPr>
        <w:t>“三</w:t>
      </w:r>
    </w:p>
    <w:p>
      <w:pPr>
        <w:ind w:left="119"/>
        <w:spacing w:before="17" w:line="221" w:lineRule="auto"/>
        <w:rPr>
          <w:rFonts w:ascii="SimSun" w:hAnsi="SimSun" w:eastAsia="SimSun" w:cs="SimSun"/>
          <w:sz w:val="23"/>
          <w:szCs w:val="23"/>
        </w:rPr>
      </w:pPr>
      <w:r>
        <w:rPr>
          <w:rFonts w:ascii="SimSun" w:hAnsi="SimSun" w:eastAsia="SimSun" w:cs="SimSun"/>
          <w:sz w:val="23"/>
          <w:szCs w:val="23"/>
          <w:spacing w:val="15"/>
        </w:rPr>
        <w:t>级”。</w:t>
      </w:r>
    </w:p>
    <w:p>
      <w:pPr>
        <w:ind w:left="613"/>
        <w:spacing w:before="186" w:line="218" w:lineRule="auto"/>
        <w:rPr>
          <w:rFonts w:ascii="SimSun" w:hAnsi="SimSun" w:eastAsia="SimSun" w:cs="SimSun"/>
          <w:sz w:val="23"/>
          <w:szCs w:val="23"/>
        </w:rPr>
      </w:pPr>
      <w:r>
        <w:rPr>
          <w:rFonts w:ascii="SimSun" w:hAnsi="SimSun" w:eastAsia="SimSun" w:cs="SimSun"/>
          <w:sz w:val="23"/>
          <w:szCs w:val="23"/>
          <w:b/>
          <w:bCs/>
          <w:spacing w:val="7"/>
        </w:rPr>
        <w:t>2、评价范围</w:t>
      </w:r>
    </w:p>
    <w:p>
      <w:pPr>
        <w:ind w:left="119" w:right="169" w:firstLine="490"/>
        <w:spacing w:before="177" w:line="375" w:lineRule="auto"/>
        <w:jc w:val="both"/>
        <w:rPr>
          <w:rFonts w:ascii="SimSun" w:hAnsi="SimSun" w:eastAsia="SimSun" w:cs="SimSun"/>
          <w:sz w:val="23"/>
          <w:szCs w:val="23"/>
        </w:rPr>
      </w:pPr>
      <w:r>
        <w:rPr>
          <w:rFonts w:ascii="SimSun" w:hAnsi="SimSun" w:eastAsia="SimSun" w:cs="SimSun"/>
          <w:sz w:val="23"/>
          <w:szCs w:val="23"/>
          <w:spacing w:val="8"/>
        </w:rPr>
        <w:t>根据《环境影响评价技术导则地下水环境》</w:t>
      </w:r>
      <w:r>
        <w:rPr>
          <w:rFonts w:ascii="SimSun" w:hAnsi="SimSun" w:eastAsia="SimSun" w:cs="SimSun"/>
          <w:sz w:val="23"/>
          <w:szCs w:val="23"/>
          <w:spacing w:val="87"/>
        </w:rPr>
        <w:t xml:space="preserve"> </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HJ</w:t>
      </w:r>
      <w:r>
        <w:rPr>
          <w:rFonts w:ascii="Times New Roman" w:hAnsi="Times New Roman" w:eastAsia="Times New Roman" w:cs="Times New Roman"/>
          <w:sz w:val="23"/>
          <w:szCs w:val="23"/>
          <w:spacing w:val="8"/>
        </w:rPr>
        <w:t>610-2016),       </w:t>
      </w:r>
      <w:r>
        <w:rPr>
          <w:rFonts w:ascii="SimSun" w:hAnsi="SimSun" w:eastAsia="SimSun" w:cs="SimSun"/>
          <w:sz w:val="23"/>
          <w:szCs w:val="23"/>
          <w:spacing w:val="8"/>
        </w:rPr>
        <w:t>地下水环境</w:t>
      </w:r>
      <w:r>
        <w:rPr>
          <w:rFonts w:ascii="SimSun" w:hAnsi="SimSun" w:eastAsia="SimSun" w:cs="SimSun"/>
          <w:sz w:val="23"/>
          <w:szCs w:val="23"/>
        </w:rPr>
        <w:t xml:space="preserve"> </w:t>
      </w:r>
      <w:r>
        <w:rPr>
          <w:rFonts w:ascii="SimSun" w:hAnsi="SimSun" w:eastAsia="SimSun" w:cs="SimSun"/>
          <w:sz w:val="23"/>
          <w:szCs w:val="23"/>
          <w:spacing w:val="14"/>
        </w:rPr>
        <w:t>现状调查评价范围应包括与建设项目相关的地下水环境保护目标，以能说明地</w:t>
      </w:r>
      <w:r>
        <w:rPr>
          <w:rFonts w:ascii="SimSun" w:hAnsi="SimSun" w:eastAsia="SimSun" w:cs="SimSun"/>
          <w:sz w:val="23"/>
          <w:szCs w:val="23"/>
          <w:spacing w:val="1"/>
        </w:rPr>
        <w:t xml:space="preserve"> </w:t>
      </w:r>
      <w:r>
        <w:rPr>
          <w:rFonts w:ascii="SimSun" w:hAnsi="SimSun" w:eastAsia="SimSun" w:cs="SimSun"/>
          <w:sz w:val="23"/>
          <w:szCs w:val="23"/>
          <w:spacing w:val="14"/>
        </w:rPr>
        <w:t>下水环境现状，反映调查评价区地下水基本渗流特征，满足地下水环境影响预</w:t>
      </w:r>
      <w:r>
        <w:rPr>
          <w:rFonts w:ascii="SimSun" w:hAnsi="SimSun" w:eastAsia="SimSun" w:cs="SimSun"/>
          <w:sz w:val="23"/>
          <w:szCs w:val="23"/>
          <w:spacing w:val="3"/>
        </w:rPr>
        <w:t xml:space="preserve"> </w:t>
      </w:r>
      <w:r>
        <w:rPr>
          <w:rFonts w:ascii="SimSun" w:hAnsi="SimSun" w:eastAsia="SimSun" w:cs="SimSun"/>
          <w:sz w:val="23"/>
          <w:szCs w:val="23"/>
          <w:spacing w:val="7"/>
        </w:rPr>
        <w:t>测和评价为基本原则。</w:t>
      </w:r>
    </w:p>
    <w:p>
      <w:pPr>
        <w:ind w:left="119" w:right="171" w:firstLine="490"/>
        <w:spacing w:before="35" w:line="357" w:lineRule="auto"/>
        <w:rPr>
          <w:rFonts w:ascii="SimSun" w:hAnsi="SimSun" w:eastAsia="SimSun" w:cs="SimSun"/>
          <w:sz w:val="23"/>
          <w:szCs w:val="23"/>
        </w:rPr>
      </w:pPr>
      <w:r>
        <w:rPr>
          <w:rFonts w:ascii="SimSun" w:hAnsi="SimSun" w:eastAsia="SimSun" w:cs="SimSun"/>
          <w:sz w:val="23"/>
          <w:szCs w:val="23"/>
          <w:spacing w:val="14"/>
        </w:rPr>
        <w:t>建设项目地下水环境现状调查评价范围的确定可采用公式计算法、查表法</w:t>
      </w:r>
      <w:r>
        <w:rPr>
          <w:rFonts w:ascii="SimSun" w:hAnsi="SimSun" w:eastAsia="SimSun" w:cs="SimSun"/>
          <w:sz w:val="23"/>
          <w:szCs w:val="23"/>
        </w:rPr>
        <w:t xml:space="preserve"> </w:t>
      </w:r>
      <w:r>
        <w:rPr>
          <w:rFonts w:ascii="SimSun" w:hAnsi="SimSun" w:eastAsia="SimSun" w:cs="SimSun"/>
          <w:sz w:val="23"/>
          <w:szCs w:val="23"/>
          <w:spacing w:val="4"/>
        </w:rPr>
        <w:t>及自定义法。</w:t>
      </w:r>
    </w:p>
    <w:p>
      <w:pPr>
        <w:ind w:left="753"/>
        <w:spacing w:line="219" w:lineRule="auto"/>
        <w:rPr>
          <w:rFonts w:ascii="SimSun" w:hAnsi="SimSun" w:eastAsia="SimSun" w:cs="SimSun"/>
          <w:sz w:val="25"/>
          <w:szCs w:val="25"/>
        </w:rPr>
      </w:pPr>
      <w:r>
        <w:rPr>
          <w:rFonts w:ascii="SimSun" w:hAnsi="SimSun" w:eastAsia="SimSun" w:cs="SimSun"/>
          <w:sz w:val="25"/>
          <w:szCs w:val="25"/>
          <w:b/>
          <w:bCs/>
          <w:spacing w:val="5"/>
        </w:rPr>
        <w:t>(1)公式计算法</w:t>
      </w:r>
    </w:p>
    <w:p>
      <w:pPr>
        <w:ind w:left="119" w:right="170" w:firstLine="490"/>
        <w:spacing w:before="205" w:line="379" w:lineRule="auto"/>
        <w:rPr>
          <w:rFonts w:ascii="SimSun" w:hAnsi="SimSun" w:eastAsia="SimSun" w:cs="SimSun"/>
          <w:sz w:val="23"/>
          <w:szCs w:val="23"/>
        </w:rPr>
      </w:pPr>
      <w:r>
        <w:rPr>
          <w:rFonts w:ascii="SimSun" w:hAnsi="SimSun" w:eastAsia="SimSun" w:cs="SimSun"/>
          <w:sz w:val="23"/>
          <w:szCs w:val="23"/>
          <w:spacing w:val="14"/>
        </w:rPr>
        <w:t>当建设项目所在地水文地质条件相对简单，且所掌握的资料能够满足公式</w:t>
      </w:r>
      <w:r>
        <w:rPr>
          <w:rFonts w:ascii="SimSun" w:hAnsi="SimSun" w:eastAsia="SimSun" w:cs="SimSun"/>
          <w:sz w:val="23"/>
          <w:szCs w:val="23"/>
        </w:rPr>
        <w:t xml:space="preserve"> </w:t>
      </w:r>
      <w:r>
        <w:rPr>
          <w:rFonts w:ascii="SimSun" w:hAnsi="SimSun" w:eastAsia="SimSun" w:cs="SimSun"/>
          <w:sz w:val="23"/>
          <w:szCs w:val="23"/>
          <w:spacing w:val="7"/>
        </w:rPr>
        <w:t>计算法的要求时，应采用公式计算法确定：</w:t>
      </w:r>
    </w:p>
    <w:p>
      <w:pPr>
        <w:ind w:left="3679"/>
        <w:spacing w:before="42" w:line="192" w:lineRule="auto"/>
        <w:rPr>
          <w:rFonts w:ascii="Times New Roman" w:hAnsi="Times New Roman" w:eastAsia="Times New Roman" w:cs="Times New Roman"/>
          <w:sz w:val="23"/>
          <w:szCs w:val="23"/>
        </w:rPr>
      </w:pPr>
      <w:r>
        <w:rPr>
          <w:rFonts w:ascii="Times New Roman" w:hAnsi="Times New Roman" w:eastAsia="Times New Roman" w:cs="Times New Roman"/>
          <w:sz w:val="23"/>
          <w:szCs w:val="23"/>
          <w:i/>
          <w:iCs/>
        </w:rPr>
        <w:t>L=a·K·I·T/ne</w:t>
      </w:r>
    </w:p>
    <w:p>
      <w:pPr>
        <w:ind w:left="610"/>
        <w:spacing w:before="138" w:line="212" w:lineRule="auto"/>
        <w:rPr>
          <w:rFonts w:ascii="Times New Roman" w:hAnsi="Times New Roman" w:eastAsia="Times New Roman" w:cs="Times New Roman"/>
          <w:sz w:val="23"/>
          <w:szCs w:val="23"/>
        </w:rPr>
      </w:pPr>
      <w:r>
        <w:rPr>
          <w:rFonts w:ascii="SimSun" w:hAnsi="SimSun" w:eastAsia="SimSun" w:cs="SimSun"/>
          <w:sz w:val="23"/>
          <w:szCs w:val="23"/>
        </w:rPr>
        <w:t>式中：</w:t>
      </w:r>
      <w:r>
        <w:rPr>
          <w:rFonts w:ascii="Times New Roman" w:hAnsi="Times New Roman" w:eastAsia="Times New Roman" w:cs="Times New Roman"/>
          <w:sz w:val="23"/>
          <w:szCs w:val="23"/>
        </w:rPr>
        <w:t>L——</w:t>
      </w:r>
      <w:r>
        <w:rPr>
          <w:rFonts w:ascii="SimSun" w:hAnsi="SimSun" w:eastAsia="SimSun" w:cs="SimSun"/>
          <w:sz w:val="23"/>
          <w:szCs w:val="23"/>
        </w:rPr>
        <w:t>下游迁移距离，</w:t>
      </w:r>
      <w:r>
        <w:rPr>
          <w:rFonts w:ascii="SimSun" w:hAnsi="SimSun" w:eastAsia="SimSun" w:cs="SimSun"/>
          <w:sz w:val="23"/>
          <w:szCs w:val="23"/>
          <w:spacing w:val="-39"/>
        </w:rPr>
        <w:t xml:space="preserve"> </w:t>
      </w:r>
      <w:r>
        <w:rPr>
          <w:rFonts w:ascii="Times New Roman" w:hAnsi="Times New Roman" w:eastAsia="Times New Roman" w:cs="Times New Roman"/>
          <w:sz w:val="23"/>
          <w:szCs w:val="23"/>
        </w:rPr>
        <w:t>m;</w:t>
      </w:r>
    </w:p>
    <w:p>
      <w:pPr>
        <w:ind w:left="1329"/>
        <w:spacing w:before="206" w:line="212" w:lineRule="auto"/>
        <w:rPr>
          <w:rFonts w:ascii="SimSun" w:hAnsi="SimSun" w:eastAsia="SimSun" w:cs="SimSun"/>
          <w:sz w:val="23"/>
          <w:szCs w:val="23"/>
        </w:rPr>
      </w:pPr>
      <w:r>
        <w:rPr>
          <w:rFonts w:ascii="SimSun" w:hAnsi="SimSun" w:eastAsia="SimSun" w:cs="SimSun"/>
          <w:sz w:val="23"/>
          <w:szCs w:val="23"/>
          <w:spacing w:val="-1"/>
        </w:rPr>
        <w:t>α——变化系数，</w:t>
      </w:r>
      <w:r>
        <w:rPr>
          <w:rFonts w:ascii="Times New Roman" w:hAnsi="Times New Roman" w:eastAsia="Times New Roman" w:cs="Times New Roman"/>
          <w:sz w:val="23"/>
          <w:szCs w:val="23"/>
          <w:spacing w:val="-1"/>
        </w:rPr>
        <w:t>a≥1,    </w:t>
      </w:r>
      <w:r>
        <w:rPr>
          <w:rFonts w:ascii="SimSun" w:hAnsi="SimSun" w:eastAsia="SimSun" w:cs="SimSun"/>
          <w:sz w:val="23"/>
          <w:szCs w:val="23"/>
          <w:spacing w:val="-1"/>
        </w:rPr>
        <w:t>一般取2;</w:t>
      </w:r>
    </w:p>
    <w:p>
      <w:pPr>
        <w:ind w:left="119" w:right="758" w:firstLine="1210"/>
        <w:spacing w:before="225" w:line="386"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K——</w:t>
      </w:r>
      <w:r>
        <w:rPr>
          <w:rFonts w:ascii="SimSun" w:hAnsi="SimSun" w:eastAsia="SimSun" w:cs="SimSun"/>
          <w:sz w:val="23"/>
          <w:szCs w:val="23"/>
          <w:spacing w:val="6"/>
        </w:rPr>
        <w:t>渗透系数，</w:t>
      </w:r>
      <w:r>
        <w:rPr>
          <w:rFonts w:ascii="SimSun" w:hAnsi="SimSun" w:eastAsia="SimSun" w:cs="SimSun"/>
          <w:sz w:val="23"/>
          <w:szCs w:val="23"/>
          <w:spacing w:val="-60"/>
        </w:rPr>
        <w:t xml:space="preserve"> </w:t>
      </w:r>
      <w:r>
        <w:rPr>
          <w:rFonts w:ascii="Times New Roman" w:hAnsi="Times New Roman" w:eastAsia="Times New Roman" w:cs="Times New Roman"/>
          <w:sz w:val="23"/>
          <w:szCs w:val="23"/>
          <w:spacing w:val="6"/>
        </w:rPr>
        <w:t>m/d,   </w:t>
      </w:r>
      <w:r>
        <w:rPr>
          <w:rFonts w:ascii="SimSun" w:hAnsi="SimSun" w:eastAsia="SimSun" w:cs="SimSun"/>
          <w:sz w:val="23"/>
          <w:szCs w:val="23"/>
          <w:spacing w:val="6"/>
        </w:rPr>
        <w:t>常见渗透系数见附录</w:t>
      </w:r>
      <w:r>
        <w:rPr>
          <w:rFonts w:ascii="Times New Roman" w:hAnsi="Times New Roman" w:eastAsia="Times New Roman" w:cs="Times New Roman"/>
          <w:sz w:val="23"/>
          <w:szCs w:val="23"/>
          <w:spacing w:val="5"/>
        </w:rPr>
        <w:t>B</w:t>
      </w:r>
      <w:r>
        <w:rPr>
          <w:rFonts w:ascii="SimSun" w:hAnsi="SimSun" w:eastAsia="SimSun" w:cs="SimSun"/>
          <w:sz w:val="23"/>
          <w:szCs w:val="23"/>
          <w:spacing w:val="5"/>
        </w:rPr>
        <w:t>表</w:t>
      </w:r>
      <w:r>
        <w:rPr>
          <w:rFonts w:ascii="Times New Roman" w:hAnsi="Times New Roman" w:eastAsia="Times New Roman" w:cs="Times New Roman"/>
          <w:sz w:val="23"/>
          <w:szCs w:val="23"/>
          <w:spacing w:val="5"/>
        </w:rPr>
        <w:t>B.1;K   </w:t>
      </w:r>
      <w:r>
        <w:rPr>
          <w:rFonts w:ascii="SimSun" w:hAnsi="SimSun" w:eastAsia="SimSun" w:cs="SimSun"/>
          <w:sz w:val="23"/>
          <w:szCs w:val="23"/>
          <w:spacing w:val="5"/>
        </w:rPr>
        <w:t>取值为</w:t>
      </w:r>
      <w:r>
        <w:rPr>
          <w:rFonts w:ascii="SimSun" w:hAnsi="SimSun" w:eastAsia="SimSun" w:cs="SimSun"/>
          <w:sz w:val="23"/>
          <w:szCs w:val="23"/>
        </w:rPr>
        <w:t xml:space="preserve"> </w:t>
      </w:r>
      <w:r>
        <w:rPr>
          <w:rFonts w:ascii="Times New Roman" w:hAnsi="Times New Roman" w:eastAsia="Times New Roman" w:cs="Times New Roman"/>
          <w:sz w:val="23"/>
          <w:szCs w:val="23"/>
          <w:spacing w:val="-1"/>
        </w:rPr>
        <w:t>40m/d;</w:t>
      </w:r>
    </w:p>
    <w:p>
      <w:pPr>
        <w:ind w:left="1329"/>
        <w:spacing w:before="4" w:line="212"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0"/>
        </w:rPr>
        <w:t>I——</w:t>
      </w:r>
      <w:r>
        <w:rPr>
          <w:rFonts w:ascii="SimSun" w:hAnsi="SimSun" w:eastAsia="SimSun" w:cs="SimSun"/>
          <w:sz w:val="23"/>
          <w:szCs w:val="23"/>
          <w:spacing w:val="10"/>
        </w:rPr>
        <w:t>水力坡度，量纲为1;</w:t>
      </w:r>
      <w:r>
        <w:rPr>
          <w:rFonts w:ascii="Times New Roman" w:hAnsi="Times New Roman" w:eastAsia="Times New Roman" w:cs="Times New Roman"/>
          <w:sz w:val="23"/>
          <w:szCs w:val="23"/>
          <w:spacing w:val="10"/>
        </w:rPr>
        <w:t>I</w:t>
      </w:r>
      <w:r>
        <w:rPr>
          <w:rFonts w:ascii="SimSun" w:hAnsi="SimSun" w:eastAsia="SimSun" w:cs="SimSun"/>
          <w:sz w:val="23"/>
          <w:szCs w:val="23"/>
          <w:spacing w:val="10"/>
        </w:rPr>
        <w:t>取值为=</w:t>
      </w:r>
      <w:r>
        <w:rPr>
          <w:rFonts w:ascii="Times New Roman" w:hAnsi="Times New Roman" w:eastAsia="Times New Roman" w:cs="Times New Roman"/>
          <w:sz w:val="23"/>
          <w:szCs w:val="23"/>
        </w:rPr>
        <w:t>dH</w:t>
      </w:r>
      <w:r>
        <w:rPr>
          <w:rFonts w:ascii="Times New Roman" w:hAnsi="Times New Roman" w:eastAsia="Times New Roman" w:cs="Times New Roman"/>
          <w:sz w:val="23"/>
          <w:szCs w:val="23"/>
          <w:spacing w:val="10"/>
        </w:rPr>
        <w:t>/</w:t>
      </w:r>
      <w:r>
        <w:rPr>
          <w:rFonts w:ascii="Times New Roman" w:hAnsi="Times New Roman" w:eastAsia="Times New Roman" w:cs="Times New Roman"/>
          <w:sz w:val="23"/>
          <w:szCs w:val="23"/>
        </w:rPr>
        <w:t>dL</w:t>
      </w:r>
      <w:r>
        <w:rPr>
          <w:rFonts w:ascii="Times New Roman" w:hAnsi="Times New Roman" w:eastAsia="Times New Roman" w:cs="Times New Roman"/>
          <w:sz w:val="23"/>
          <w:szCs w:val="23"/>
          <w:spacing w:val="10"/>
        </w:rPr>
        <w:t>=0.3%;</w:t>
      </w:r>
    </w:p>
    <w:p>
      <w:pPr>
        <w:ind w:left="1329"/>
        <w:spacing w:before="196" w:line="212"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4"/>
        </w:rPr>
        <w:t>T——</w:t>
      </w:r>
      <w:r>
        <w:rPr>
          <w:rFonts w:ascii="SimSun" w:hAnsi="SimSun" w:eastAsia="SimSun" w:cs="SimSun"/>
          <w:sz w:val="23"/>
          <w:szCs w:val="23"/>
          <w:spacing w:val="4"/>
        </w:rPr>
        <w:t>质点迁移天数，取值不小于5000</w:t>
      </w:r>
      <w:r>
        <w:rPr>
          <w:rFonts w:ascii="Times New Roman" w:hAnsi="Times New Roman" w:eastAsia="Times New Roman" w:cs="Times New Roman"/>
          <w:sz w:val="23"/>
          <w:szCs w:val="23"/>
          <w:spacing w:val="4"/>
        </w:rPr>
        <w:t>d;   </w:t>
      </w:r>
      <w:r>
        <w:rPr>
          <w:rFonts w:ascii="SimSun" w:hAnsi="SimSun" w:eastAsia="SimSun" w:cs="SimSun"/>
          <w:sz w:val="23"/>
          <w:szCs w:val="23"/>
          <w:spacing w:val="4"/>
        </w:rPr>
        <w:t>本项目</w:t>
      </w:r>
      <w:r>
        <w:rPr>
          <w:rFonts w:ascii="Times New Roman" w:hAnsi="Times New Roman" w:eastAsia="Times New Roman" w:cs="Times New Roman"/>
          <w:sz w:val="23"/>
          <w:szCs w:val="23"/>
          <w:spacing w:val="4"/>
        </w:rPr>
        <w:t>T </w:t>
      </w:r>
      <w:r>
        <w:rPr>
          <w:rFonts w:ascii="SimSun" w:hAnsi="SimSun" w:eastAsia="SimSun" w:cs="SimSun"/>
          <w:sz w:val="23"/>
          <w:szCs w:val="23"/>
          <w:spacing w:val="4"/>
        </w:rPr>
        <w:t>取值为5000</w:t>
      </w:r>
      <w:r>
        <w:rPr>
          <w:rFonts w:ascii="Times New Roman" w:hAnsi="Times New Roman" w:eastAsia="Times New Roman" w:cs="Times New Roman"/>
          <w:sz w:val="23"/>
          <w:szCs w:val="23"/>
          <w:spacing w:val="4"/>
        </w:rPr>
        <w:t>d;</w:t>
      </w:r>
    </w:p>
    <w:p>
      <w:pPr>
        <w:ind w:left="119" w:right="245" w:firstLine="1210"/>
        <w:spacing w:before="251" w:line="351" w:lineRule="auto"/>
        <w:rPr>
          <w:rFonts w:ascii="SimSun" w:hAnsi="SimSun" w:eastAsia="SimSun" w:cs="SimSun"/>
          <w:sz w:val="23"/>
          <w:szCs w:val="23"/>
        </w:rPr>
      </w:pPr>
      <w:r>
        <w:rPr>
          <w:rFonts w:ascii="Times New Roman" w:hAnsi="Times New Roman" w:eastAsia="Times New Roman" w:cs="Times New Roman"/>
          <w:sz w:val="23"/>
          <w:szCs w:val="23"/>
        </w:rPr>
        <w:t>ne</w:t>
      </w:r>
      <w:r>
        <w:rPr>
          <w:rFonts w:ascii="Times New Roman" w:hAnsi="Times New Roman" w:eastAsia="Times New Roman" w:cs="Times New Roman"/>
          <w:sz w:val="23"/>
          <w:szCs w:val="23"/>
          <w:spacing w:val="10"/>
        </w:rPr>
        <w:t>——</w:t>
      </w:r>
      <w:r>
        <w:rPr>
          <w:rFonts w:ascii="SimSun" w:hAnsi="SimSun" w:eastAsia="SimSun" w:cs="SimSun"/>
          <w:sz w:val="23"/>
          <w:szCs w:val="23"/>
          <w:spacing w:val="10"/>
        </w:rPr>
        <w:t>有效孔隙度，量纲为1;拟建场地内的特殊性岩土为素填土</w:t>
      </w:r>
      <w:r>
        <w:rPr>
          <w:rFonts w:ascii="SimSun" w:hAnsi="SimSun" w:eastAsia="SimSun" w:cs="SimSun"/>
          <w:sz w:val="23"/>
          <w:szCs w:val="23"/>
          <w:spacing w:val="-49"/>
        </w:rPr>
        <w:t xml:space="preserve"> </w:t>
      </w:r>
      <w:r>
        <w:rPr>
          <w:rFonts w:ascii="SimSun" w:hAnsi="SimSun" w:eastAsia="SimSun" w:cs="SimSun"/>
          <w:sz w:val="23"/>
          <w:szCs w:val="23"/>
          <w:spacing w:val="10"/>
        </w:rPr>
        <w:t>，</w:t>
      </w:r>
      <w:r>
        <w:rPr>
          <w:rFonts w:ascii="SimSun" w:hAnsi="SimSun" w:eastAsia="SimSun" w:cs="SimSun"/>
          <w:sz w:val="23"/>
          <w:szCs w:val="23"/>
        </w:rPr>
        <w:t xml:space="preserve"> </w:t>
      </w:r>
      <w:r>
        <w:rPr>
          <w:rFonts w:ascii="SimSun" w:hAnsi="SimSun" w:eastAsia="SimSun" w:cs="SimSun"/>
          <w:sz w:val="23"/>
          <w:szCs w:val="23"/>
          <w:spacing w:val="10"/>
        </w:rPr>
        <w:t>土质均匀性较差，具有结构不均匀、排列无规律性、孔隙率高等特点</w:t>
      </w:r>
      <w:r>
        <w:rPr>
          <w:rFonts w:ascii="SimSun" w:hAnsi="SimSun" w:eastAsia="SimSun" w:cs="SimSun"/>
          <w:sz w:val="23"/>
          <w:szCs w:val="23"/>
          <w:spacing w:val="9"/>
        </w:rPr>
        <w:t>，参照</w:t>
      </w:r>
    </w:p>
    <w:p>
      <w:pPr>
        <w:ind w:left="119" w:right="169" w:firstLine="25"/>
        <w:spacing w:line="374" w:lineRule="auto"/>
        <w:rPr>
          <w:rFonts w:ascii="SimSun" w:hAnsi="SimSun" w:eastAsia="SimSun" w:cs="SimSun"/>
          <w:sz w:val="23"/>
          <w:szCs w:val="23"/>
        </w:rPr>
      </w:pPr>
      <w:r>
        <w:rPr>
          <w:rFonts w:ascii="SimSun" w:hAnsi="SimSun" w:eastAsia="SimSun" w:cs="SimSun"/>
          <w:sz w:val="23"/>
          <w:szCs w:val="23"/>
          <w:spacing w:val="5"/>
        </w:rPr>
        <w:t>《环境影响评价技术导则地下水环境》</w:t>
      </w:r>
      <w:r>
        <w:rPr>
          <w:rFonts w:ascii="SimSun" w:hAnsi="SimSun" w:eastAsia="SimSun" w:cs="SimSun"/>
          <w:sz w:val="23"/>
          <w:szCs w:val="23"/>
          <w:spacing w:val="76"/>
        </w:rPr>
        <w:t xml:space="preserve"> </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HJ</w:t>
      </w:r>
      <w:r>
        <w:rPr>
          <w:rFonts w:ascii="Times New Roman" w:hAnsi="Times New Roman" w:eastAsia="Times New Roman" w:cs="Times New Roman"/>
          <w:sz w:val="23"/>
          <w:szCs w:val="23"/>
          <w:spacing w:val="5"/>
        </w:rPr>
        <w:t>610-2016)</w:t>
      </w:r>
      <w:r>
        <w:rPr>
          <w:rFonts w:ascii="Times New Roman" w:hAnsi="Times New Roman" w:eastAsia="Times New Roman" w:cs="Times New Roman"/>
          <w:sz w:val="23"/>
          <w:szCs w:val="23"/>
          <w:spacing w:val="4"/>
        </w:rPr>
        <w:t xml:space="preserve">     </w:t>
      </w:r>
      <w:r>
        <w:rPr>
          <w:rFonts w:ascii="SimSun" w:hAnsi="SimSun" w:eastAsia="SimSun" w:cs="SimSun"/>
          <w:sz w:val="23"/>
          <w:szCs w:val="23"/>
          <w:spacing w:val="4"/>
        </w:rPr>
        <w:t>附录</w:t>
      </w:r>
      <w:r>
        <w:rPr>
          <w:rFonts w:ascii="Times New Roman" w:hAnsi="Times New Roman" w:eastAsia="Times New Roman" w:cs="Times New Roman"/>
          <w:sz w:val="23"/>
          <w:szCs w:val="23"/>
          <w:spacing w:val="4"/>
        </w:rPr>
        <w:t>B</w:t>
      </w:r>
      <w:r>
        <w:rPr>
          <w:rFonts w:ascii="SimSun" w:hAnsi="SimSun" w:eastAsia="SimSun" w:cs="SimSun"/>
          <w:sz w:val="23"/>
          <w:szCs w:val="23"/>
          <w:spacing w:val="4"/>
        </w:rPr>
        <w:t>中砾砂的给水度</w:t>
      </w:r>
      <w:r>
        <w:rPr>
          <w:rFonts w:ascii="SimSun" w:hAnsi="SimSun" w:eastAsia="SimSun" w:cs="SimSun"/>
          <w:sz w:val="23"/>
          <w:szCs w:val="23"/>
        </w:rPr>
        <w:t xml:space="preserve">  </w:t>
      </w:r>
      <w:r>
        <w:rPr>
          <w:rFonts w:ascii="SimSun" w:hAnsi="SimSun" w:eastAsia="SimSun" w:cs="SimSun"/>
          <w:sz w:val="23"/>
          <w:szCs w:val="23"/>
          <w:spacing w:val="9"/>
        </w:rPr>
        <w:t>变化区间为0.20-0.35,平均给水度为0.25。同时</w:t>
      </w:r>
      <w:r>
        <w:rPr>
          <w:rFonts w:ascii="SimSun" w:hAnsi="SimSun" w:eastAsia="SimSun" w:cs="SimSun"/>
          <w:sz w:val="23"/>
          <w:szCs w:val="23"/>
          <w:spacing w:val="8"/>
        </w:rPr>
        <w:t>根据《水文地质学基础》(王大</w:t>
      </w:r>
      <w:r>
        <w:rPr>
          <w:rFonts w:ascii="SimSun" w:hAnsi="SimSun" w:eastAsia="SimSun" w:cs="SimSun"/>
          <w:sz w:val="23"/>
          <w:szCs w:val="23"/>
        </w:rPr>
        <w:t xml:space="preserve"> </w:t>
      </w:r>
      <w:r>
        <w:rPr>
          <w:rFonts w:ascii="SimSun" w:hAnsi="SimSun" w:eastAsia="SimSun" w:cs="SimSun"/>
          <w:sz w:val="23"/>
          <w:szCs w:val="23"/>
          <w:spacing w:val="17"/>
        </w:rPr>
        <w:t>纯等，地质出版社)有效孔隙度=给水度+持水度(孔角毛细水乃至悬挂毛细水</w:t>
      </w:r>
      <w:r>
        <w:rPr>
          <w:rFonts w:ascii="SimSun" w:hAnsi="SimSun" w:eastAsia="SimSun" w:cs="SimSun"/>
          <w:sz w:val="23"/>
          <w:szCs w:val="23"/>
          <w:spacing w:val="2"/>
        </w:rPr>
        <w:t xml:space="preserve">  </w:t>
      </w:r>
      <w:r>
        <w:rPr>
          <w:rFonts w:ascii="SimSun" w:hAnsi="SimSun" w:eastAsia="SimSun" w:cs="SimSun"/>
          <w:sz w:val="23"/>
          <w:szCs w:val="23"/>
          <w:spacing w:val="14"/>
        </w:rPr>
        <w:t>部分),孔隙度略大于给水度，因此，本项目</w:t>
      </w:r>
      <w:r>
        <w:rPr>
          <w:rFonts w:ascii="Times New Roman" w:hAnsi="Times New Roman" w:eastAsia="Times New Roman" w:cs="Times New Roman"/>
          <w:sz w:val="23"/>
          <w:szCs w:val="23"/>
        </w:rPr>
        <w:t>ne</w:t>
      </w:r>
      <w:r>
        <w:rPr>
          <w:rFonts w:ascii="SimSun" w:hAnsi="SimSun" w:eastAsia="SimSun" w:cs="SimSun"/>
          <w:sz w:val="23"/>
          <w:szCs w:val="23"/>
          <w:spacing w:val="14"/>
        </w:rPr>
        <w:t>取值为</w:t>
      </w:r>
      <w:r>
        <w:rPr>
          <w:rFonts w:ascii="SimSun" w:hAnsi="SimSun" w:eastAsia="SimSun" w:cs="SimSun"/>
          <w:sz w:val="23"/>
          <w:szCs w:val="23"/>
          <w:spacing w:val="13"/>
        </w:rPr>
        <w:t>0.55。</w:t>
      </w:r>
    </w:p>
    <w:p>
      <w:pPr>
        <w:ind w:left="743"/>
        <w:spacing w:before="10" w:line="221" w:lineRule="auto"/>
        <w:rPr>
          <w:rFonts w:ascii="SimSun" w:hAnsi="SimSun" w:eastAsia="SimSun" w:cs="SimSun"/>
          <w:sz w:val="23"/>
          <w:szCs w:val="23"/>
        </w:rPr>
      </w:pPr>
      <w:r>
        <w:rPr>
          <w:rFonts w:ascii="SimSun" w:hAnsi="SimSun" w:eastAsia="SimSun" w:cs="SimSun"/>
          <w:sz w:val="23"/>
          <w:szCs w:val="23"/>
          <w:b/>
          <w:bCs/>
          <w:spacing w:val="25"/>
        </w:rPr>
        <w:t>(2)查表法</w:t>
      </w:r>
    </w:p>
    <w:p>
      <w:pPr>
        <w:ind w:left="610"/>
        <w:spacing w:before="195" w:line="219" w:lineRule="auto"/>
        <w:rPr>
          <w:rFonts w:ascii="SimSun" w:hAnsi="SimSun" w:eastAsia="SimSun" w:cs="SimSun"/>
          <w:sz w:val="23"/>
          <w:szCs w:val="23"/>
        </w:rPr>
      </w:pPr>
      <w:r>
        <w:rPr>
          <w:rFonts w:ascii="SimSun" w:hAnsi="SimSun" w:eastAsia="SimSun" w:cs="SimSun"/>
          <w:sz w:val="23"/>
          <w:szCs w:val="23"/>
          <w:spacing w:val="7"/>
        </w:rPr>
        <w:t>当不满足公式计算法的要求时，可采用查表法确定。</w:t>
      </w:r>
    </w:p>
    <w:p>
      <w:pPr>
        <w:spacing w:line="219" w:lineRule="auto"/>
        <w:sectPr>
          <w:headerReference w:type="default" r:id="rId152"/>
          <w:footerReference w:type="default" r:id="rId153"/>
          <w:pgSz w:w="11910" w:h="16840"/>
          <w:pgMar w:top="1219" w:right="1670" w:bottom="1017" w:left="1650" w:header="865" w:footer="719" w:gutter="0"/>
        </w:sectPr>
        <w:rPr>
          <w:rFonts w:ascii="SimSun" w:hAnsi="SimSun" w:eastAsia="SimSun" w:cs="SimSun"/>
          <w:sz w:val="23"/>
          <w:szCs w:val="23"/>
        </w:rPr>
      </w:pPr>
    </w:p>
    <w:p>
      <w:pPr>
        <w:ind w:left="1868"/>
        <w:spacing w:before="253" w:line="218" w:lineRule="auto"/>
        <w:rPr>
          <w:rFonts w:ascii="SimSun" w:hAnsi="SimSun" w:eastAsia="SimSun" w:cs="SimSun"/>
          <w:sz w:val="24"/>
          <w:szCs w:val="24"/>
        </w:rPr>
      </w:pPr>
      <w:r>
        <w:rPr>
          <w:rFonts w:ascii="SimSun" w:hAnsi="SimSun" w:eastAsia="SimSun" w:cs="SimSun"/>
          <w:sz w:val="24"/>
          <w:szCs w:val="24"/>
          <w:b/>
          <w:bCs/>
          <w:spacing w:val="-3"/>
        </w:rPr>
        <w:t>表1.9-5地下水环境现状调查评价范围参照表</w:t>
      </w:r>
    </w:p>
    <w:p>
      <w:pPr>
        <w:spacing w:line="75" w:lineRule="auto"/>
        <w:rPr>
          <w:rFonts w:ascii="Arial"/>
          <w:sz w:val="2"/>
        </w:rPr>
      </w:pPr>
      <w:r>
        <w:rPr>
          <w:rFonts w:ascii="Arial"/>
          <w:sz w:val="2"/>
        </w:rPr>
      </w:r>
    </w:p>
    <w:tbl>
      <w:tblPr>
        <w:tblStyle w:val="TableNormal"/>
        <w:tblW w:w="840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302"/>
        <w:gridCol w:w="2717"/>
        <w:gridCol w:w="3381"/>
      </w:tblGrid>
      <w:tr>
        <w:trPr>
          <w:trHeight w:val="292" w:hRule="atLeast"/>
        </w:trPr>
        <w:tc>
          <w:tcPr>
            <w:shd w:val="clear" w:fill="BDBDBD"/>
            <w:tcW w:w="2302" w:type="dxa"/>
            <w:vAlign w:val="top"/>
          </w:tcPr>
          <w:p>
            <w:pPr>
              <w:pStyle w:val="TableText"/>
              <w:ind w:left="547"/>
              <w:spacing w:before="49" w:line="215" w:lineRule="auto"/>
              <w:rPr>
                <w:sz w:val="20"/>
                <w:szCs w:val="20"/>
              </w:rPr>
            </w:pPr>
            <w:r>
              <w:rPr>
                <w:sz w:val="20"/>
                <w:szCs w:val="20"/>
                <w:b/>
                <w:bCs/>
                <w:spacing w:val="-4"/>
              </w:rPr>
              <w:t>评价工作等级</w:t>
            </w:r>
          </w:p>
        </w:tc>
        <w:tc>
          <w:tcPr>
            <w:shd w:val="clear" w:fill="BDBDBD"/>
            <w:tcW w:w="2717" w:type="dxa"/>
            <w:vAlign w:val="top"/>
          </w:tcPr>
          <w:p>
            <w:pPr>
              <w:pStyle w:val="TableText"/>
              <w:ind w:left="505"/>
              <w:spacing w:before="49" w:line="215" w:lineRule="auto"/>
              <w:rPr>
                <w:sz w:val="20"/>
                <w:szCs w:val="20"/>
              </w:rPr>
            </w:pPr>
            <w:r>
              <w:rPr>
                <w:sz w:val="20"/>
                <w:szCs w:val="20"/>
                <w:b/>
                <w:bCs/>
                <w:spacing w:val="14"/>
              </w:rPr>
              <w:t>调查评价面积/</w:t>
            </w:r>
            <w:r>
              <w:rPr>
                <w:sz w:val="20"/>
                <w:szCs w:val="20"/>
                <w:b/>
                <w:bCs/>
              </w:rPr>
              <w:t>km</w:t>
            </w:r>
            <w:r>
              <w:rPr>
                <w:sz w:val="20"/>
                <w:szCs w:val="20"/>
                <w:b/>
                <w:bCs/>
                <w:spacing w:val="14"/>
              </w:rPr>
              <w:t>²</w:t>
            </w:r>
          </w:p>
        </w:tc>
        <w:tc>
          <w:tcPr>
            <w:shd w:val="clear" w:fill="BDBDBD"/>
            <w:tcW w:w="3381" w:type="dxa"/>
            <w:vAlign w:val="top"/>
          </w:tcPr>
          <w:p>
            <w:pPr>
              <w:pStyle w:val="TableText"/>
              <w:ind w:left="1488"/>
              <w:spacing w:before="52" w:line="212" w:lineRule="auto"/>
              <w:rPr>
                <w:sz w:val="20"/>
                <w:szCs w:val="20"/>
              </w:rPr>
            </w:pPr>
            <w:r>
              <w:rPr>
                <w:sz w:val="20"/>
                <w:szCs w:val="20"/>
                <w:b/>
                <w:bCs/>
                <w:spacing w:val="-5"/>
              </w:rPr>
              <w:t>备注</w:t>
            </w:r>
          </w:p>
        </w:tc>
      </w:tr>
      <w:tr>
        <w:trPr>
          <w:trHeight w:val="268" w:hRule="atLeast"/>
        </w:trPr>
        <w:tc>
          <w:tcPr>
            <w:tcW w:w="2302" w:type="dxa"/>
            <w:vAlign w:val="top"/>
          </w:tcPr>
          <w:p>
            <w:pPr>
              <w:pStyle w:val="TableText"/>
              <w:ind w:left="1044"/>
              <w:spacing w:before="136" w:line="122" w:lineRule="exact"/>
              <w:rPr>
                <w:sz w:val="20"/>
                <w:szCs w:val="20"/>
              </w:rPr>
            </w:pPr>
            <w:r>
              <w:rPr>
                <w:sz w:val="20"/>
                <w:szCs w:val="20"/>
                <w:position w:val="-5"/>
              </w:rPr>
              <w:t>一</w:t>
            </w:r>
          </w:p>
        </w:tc>
        <w:tc>
          <w:tcPr>
            <w:tcW w:w="2717" w:type="dxa"/>
            <w:vAlign w:val="top"/>
          </w:tcPr>
          <w:p>
            <w:pPr>
              <w:pStyle w:val="TableText"/>
              <w:ind w:left="1152"/>
              <w:spacing w:before="60" w:line="182" w:lineRule="auto"/>
              <w:rPr>
                <w:sz w:val="20"/>
                <w:szCs w:val="20"/>
              </w:rPr>
            </w:pPr>
            <w:r>
              <w:rPr>
                <w:sz w:val="20"/>
                <w:szCs w:val="20"/>
                <w:spacing w:val="-7"/>
              </w:rPr>
              <w:t>≥20</w:t>
            </w:r>
          </w:p>
        </w:tc>
        <w:tc>
          <w:tcPr>
            <w:tcW w:w="3381" w:type="dxa"/>
            <w:vAlign w:val="top"/>
            <w:vMerge w:val="restart"/>
            <w:tcBorders>
              <w:bottom w:val="nil"/>
            </w:tcBorders>
          </w:tcPr>
          <w:p>
            <w:pPr>
              <w:pStyle w:val="TableText"/>
              <w:ind w:left="585" w:right="246" w:hanging="300"/>
              <w:spacing w:before="180" w:line="262" w:lineRule="auto"/>
              <w:rPr>
                <w:sz w:val="20"/>
                <w:szCs w:val="20"/>
              </w:rPr>
            </w:pPr>
            <w:r>
              <w:rPr>
                <w:sz w:val="20"/>
                <w:szCs w:val="20"/>
                <w:spacing w:val="2"/>
              </w:rPr>
              <w:t>应包括重要的地下水环境保护目</w:t>
            </w:r>
            <w:r>
              <w:rPr>
                <w:sz w:val="20"/>
                <w:szCs w:val="20"/>
                <w:spacing w:val="9"/>
              </w:rPr>
              <w:t xml:space="preserve"> </w:t>
            </w:r>
            <w:r>
              <w:rPr>
                <w:sz w:val="20"/>
                <w:szCs w:val="20"/>
                <w:spacing w:val="1"/>
              </w:rPr>
              <w:t>标，必要时适当扩大范围</w:t>
            </w:r>
          </w:p>
        </w:tc>
      </w:tr>
      <w:tr>
        <w:trPr>
          <w:trHeight w:val="278" w:hRule="atLeast"/>
        </w:trPr>
        <w:tc>
          <w:tcPr>
            <w:tcW w:w="2302" w:type="dxa"/>
            <w:vAlign w:val="top"/>
          </w:tcPr>
          <w:p>
            <w:pPr>
              <w:pStyle w:val="TableText"/>
              <w:ind w:left="1004"/>
              <w:spacing w:before="96" w:line="172" w:lineRule="exact"/>
              <w:rPr>
                <w:sz w:val="28"/>
                <w:szCs w:val="28"/>
              </w:rPr>
            </w:pPr>
            <w:r>
              <w:rPr>
                <w:sz w:val="28"/>
                <w:szCs w:val="28"/>
                <w:position w:val="-4"/>
              </w:rPr>
              <w:t>二</w:t>
            </w:r>
          </w:p>
        </w:tc>
        <w:tc>
          <w:tcPr>
            <w:tcW w:w="2717" w:type="dxa"/>
            <w:vAlign w:val="top"/>
          </w:tcPr>
          <w:p>
            <w:pPr>
              <w:pStyle w:val="TableText"/>
              <w:ind w:left="1152"/>
              <w:spacing w:before="63" w:line="189" w:lineRule="auto"/>
              <w:rPr>
                <w:sz w:val="20"/>
                <w:szCs w:val="20"/>
              </w:rPr>
            </w:pPr>
            <w:r>
              <w:rPr>
                <w:sz w:val="20"/>
                <w:szCs w:val="20"/>
                <w:spacing w:val="-2"/>
              </w:rPr>
              <w:t>6~20</w:t>
            </w:r>
          </w:p>
        </w:tc>
        <w:tc>
          <w:tcPr>
            <w:tcW w:w="3381" w:type="dxa"/>
            <w:vAlign w:val="top"/>
            <w:vMerge w:val="continue"/>
            <w:tcBorders>
              <w:top w:val="nil"/>
              <w:bottom w:val="nil"/>
            </w:tcBorders>
          </w:tcPr>
          <w:p>
            <w:pPr>
              <w:rPr>
                <w:rFonts w:ascii="Arial"/>
                <w:sz w:val="21"/>
              </w:rPr>
            </w:pPr>
            <w:r/>
          </w:p>
        </w:tc>
      </w:tr>
      <w:tr>
        <w:trPr>
          <w:trHeight w:val="304" w:hRule="atLeast"/>
        </w:trPr>
        <w:tc>
          <w:tcPr>
            <w:tcW w:w="2302" w:type="dxa"/>
            <w:vAlign w:val="top"/>
          </w:tcPr>
          <w:p>
            <w:pPr>
              <w:pStyle w:val="TableText"/>
              <w:ind w:left="1004"/>
              <w:spacing w:before="34" w:line="171" w:lineRule="auto"/>
              <w:rPr>
                <w:sz w:val="28"/>
                <w:szCs w:val="28"/>
              </w:rPr>
            </w:pPr>
            <w:r>
              <w:rPr>
                <w:sz w:val="28"/>
                <w:szCs w:val="28"/>
              </w:rPr>
              <w:t>三</w:t>
            </w:r>
          </w:p>
        </w:tc>
        <w:tc>
          <w:tcPr>
            <w:tcW w:w="2717" w:type="dxa"/>
            <w:vAlign w:val="top"/>
          </w:tcPr>
          <w:p>
            <w:pPr>
              <w:pStyle w:val="TableText"/>
              <w:ind w:left="1202"/>
              <w:spacing w:before="63" w:line="213" w:lineRule="auto"/>
              <w:rPr>
                <w:sz w:val="20"/>
                <w:szCs w:val="20"/>
              </w:rPr>
            </w:pPr>
            <w:r>
              <w:rPr>
                <w:sz w:val="20"/>
                <w:szCs w:val="20"/>
                <w:spacing w:val="-8"/>
              </w:rPr>
              <w:t>≤6</w:t>
            </w:r>
          </w:p>
        </w:tc>
        <w:tc>
          <w:tcPr>
            <w:tcW w:w="3381" w:type="dxa"/>
            <w:vAlign w:val="top"/>
            <w:vMerge w:val="continue"/>
            <w:tcBorders>
              <w:top w:val="nil"/>
            </w:tcBorders>
          </w:tcPr>
          <w:p>
            <w:pPr>
              <w:rPr>
                <w:rFonts w:ascii="Arial"/>
                <w:sz w:val="21"/>
              </w:rPr>
            </w:pPr>
            <w:r/>
          </w:p>
        </w:tc>
      </w:tr>
    </w:tbl>
    <w:p>
      <w:pPr>
        <w:ind w:left="668"/>
        <w:spacing w:before="30" w:line="220" w:lineRule="auto"/>
        <w:rPr>
          <w:rFonts w:ascii="SimSun" w:hAnsi="SimSun" w:eastAsia="SimSun" w:cs="SimSun"/>
          <w:sz w:val="24"/>
          <w:szCs w:val="24"/>
        </w:rPr>
      </w:pPr>
      <w:r>
        <w:rPr>
          <w:rFonts w:ascii="SimSun" w:hAnsi="SimSun" w:eastAsia="SimSun" w:cs="SimSun"/>
          <w:sz w:val="24"/>
          <w:szCs w:val="24"/>
          <w:b/>
          <w:bCs/>
          <w:spacing w:val="-3"/>
        </w:rPr>
        <w:t>(3)自定义法</w:t>
      </w:r>
    </w:p>
    <w:p>
      <w:pPr>
        <w:ind w:left="44" w:right="64" w:firstLine="490"/>
        <w:spacing w:before="196" w:line="344" w:lineRule="auto"/>
        <w:rPr>
          <w:rFonts w:ascii="SimSun" w:hAnsi="SimSun" w:eastAsia="SimSun" w:cs="SimSun"/>
          <w:sz w:val="24"/>
          <w:szCs w:val="24"/>
        </w:rPr>
      </w:pPr>
      <w:r>
        <w:rPr>
          <w:rFonts w:ascii="SimSun" w:hAnsi="SimSun" w:eastAsia="SimSun" w:cs="SimSun"/>
          <w:sz w:val="24"/>
          <w:szCs w:val="24"/>
          <w:spacing w:val="4"/>
        </w:rPr>
        <w:t>当计算或查表范围超出所处水文地质单元边界时，应以所处水文地质单元</w:t>
      </w:r>
      <w:r>
        <w:rPr>
          <w:rFonts w:ascii="SimSun" w:hAnsi="SimSun" w:eastAsia="SimSun" w:cs="SimSun"/>
          <w:sz w:val="24"/>
          <w:szCs w:val="24"/>
          <w:spacing w:val="1"/>
        </w:rPr>
        <w:t xml:space="preserve"> </w:t>
      </w:r>
      <w:r>
        <w:rPr>
          <w:rFonts w:ascii="SimSun" w:hAnsi="SimSun" w:eastAsia="SimSun" w:cs="SimSun"/>
          <w:sz w:val="24"/>
          <w:szCs w:val="24"/>
          <w:spacing w:val="-1"/>
        </w:rPr>
        <w:t>边界为宜，可根据建设项目所在地水文地质条件确定。</w:t>
      </w:r>
    </w:p>
    <w:p>
      <w:pPr>
        <w:ind w:left="668"/>
        <w:spacing w:before="1" w:line="217" w:lineRule="auto"/>
        <w:rPr>
          <w:rFonts w:ascii="SimSun" w:hAnsi="SimSun" w:eastAsia="SimSun" w:cs="SimSun"/>
          <w:sz w:val="24"/>
          <w:szCs w:val="24"/>
        </w:rPr>
      </w:pPr>
      <w:r>
        <w:rPr>
          <w:rFonts w:ascii="SimSun" w:hAnsi="SimSun" w:eastAsia="SimSun" w:cs="SimSun"/>
          <w:sz w:val="24"/>
          <w:szCs w:val="24"/>
          <w:b/>
          <w:bCs/>
          <w:spacing w:val="11"/>
        </w:rPr>
        <w:t>(4)最终评价范围</w:t>
      </w:r>
    </w:p>
    <w:p>
      <w:pPr>
        <w:ind w:left="44" w:right="64" w:firstLine="490"/>
        <w:spacing w:before="220" w:line="355" w:lineRule="auto"/>
        <w:jc w:val="both"/>
        <w:rPr>
          <w:rFonts w:ascii="SimSun" w:hAnsi="SimSun" w:eastAsia="SimSun" w:cs="SimSun"/>
          <w:sz w:val="24"/>
          <w:szCs w:val="24"/>
        </w:rPr>
      </w:pPr>
      <w:r>
        <w:rPr>
          <w:rFonts w:ascii="SimSun" w:hAnsi="SimSun" w:eastAsia="SimSun" w:cs="SimSun"/>
          <w:sz w:val="24"/>
          <w:szCs w:val="24"/>
          <w:spacing w:val="-1"/>
        </w:rPr>
        <w:t>根据《环境影响评价技术导则地下水环境》</w:t>
      </w:r>
      <w:r>
        <w:rPr>
          <w:rFonts w:ascii="SimSun" w:hAnsi="SimSun" w:eastAsia="SimSun" w:cs="SimSun"/>
          <w:sz w:val="24"/>
          <w:szCs w:val="24"/>
          <w:spacing w:val="104"/>
        </w:rPr>
        <w:t xml:space="preserve"> </w:t>
      </w:r>
      <w:r>
        <w:rPr>
          <w:rFonts w:ascii="SimSun" w:hAnsi="SimSun" w:eastAsia="SimSun" w:cs="SimSun"/>
          <w:sz w:val="24"/>
          <w:szCs w:val="24"/>
          <w:spacing w:val="-1"/>
        </w:rPr>
        <w:t>(HJ610-2016)</w:t>
      </w:r>
      <w:r>
        <w:rPr>
          <w:rFonts w:ascii="SimSun" w:hAnsi="SimSun" w:eastAsia="SimSun" w:cs="SimSun"/>
          <w:sz w:val="24"/>
          <w:szCs w:val="24"/>
          <w:spacing w:val="62"/>
        </w:rPr>
        <w:t xml:space="preserve"> </w:t>
      </w:r>
      <w:r>
        <w:rPr>
          <w:rFonts w:ascii="SimSun" w:hAnsi="SimSun" w:eastAsia="SimSun" w:cs="SimSun"/>
          <w:sz w:val="24"/>
          <w:szCs w:val="24"/>
          <w:spacing w:val="-1"/>
        </w:rPr>
        <w:t>中给出了评价</w:t>
      </w:r>
      <w:r>
        <w:rPr>
          <w:rFonts w:ascii="SimSun" w:hAnsi="SimSun" w:eastAsia="SimSun" w:cs="SimSun"/>
          <w:sz w:val="24"/>
          <w:szCs w:val="24"/>
        </w:rPr>
        <w:t xml:space="preserve"> </w:t>
      </w:r>
      <w:r>
        <w:rPr>
          <w:rFonts w:ascii="SimSun" w:hAnsi="SimSun" w:eastAsia="SimSun" w:cs="SimSun"/>
          <w:sz w:val="24"/>
          <w:szCs w:val="24"/>
          <w:spacing w:val="4"/>
        </w:rPr>
        <w:t>范围确定的方法，当项目所在地水文地质条件</w:t>
      </w:r>
      <w:r>
        <w:rPr>
          <w:rFonts w:ascii="SimSun" w:hAnsi="SimSun" w:eastAsia="SimSun" w:cs="SimSun"/>
          <w:sz w:val="24"/>
          <w:szCs w:val="24"/>
          <w:spacing w:val="3"/>
        </w:rPr>
        <w:t>相对简单，且所掌握的资料能够</w:t>
      </w:r>
      <w:r>
        <w:rPr>
          <w:rFonts w:ascii="SimSun" w:hAnsi="SimSun" w:eastAsia="SimSun" w:cs="SimSun"/>
          <w:sz w:val="24"/>
          <w:szCs w:val="24"/>
        </w:rPr>
        <w:t xml:space="preserve"> </w:t>
      </w:r>
      <w:r>
        <w:rPr>
          <w:rFonts w:ascii="SimSun" w:hAnsi="SimSun" w:eastAsia="SimSun" w:cs="SimSun"/>
          <w:sz w:val="24"/>
          <w:szCs w:val="24"/>
          <w:spacing w:val="4"/>
        </w:rPr>
        <w:t>满足公式计算法的要求时，应优先采用公式计算法确定；当不满足公式计算法</w:t>
      </w:r>
      <w:r>
        <w:rPr>
          <w:rFonts w:ascii="SimSun" w:hAnsi="SimSun" w:eastAsia="SimSun" w:cs="SimSun"/>
          <w:sz w:val="24"/>
          <w:szCs w:val="24"/>
          <w:spacing w:val="1"/>
        </w:rPr>
        <w:t xml:space="preserve"> </w:t>
      </w:r>
      <w:r>
        <w:rPr>
          <w:rFonts w:ascii="SimSun" w:hAnsi="SimSun" w:eastAsia="SimSun" w:cs="SimSun"/>
          <w:sz w:val="24"/>
          <w:szCs w:val="24"/>
          <w:spacing w:val="3"/>
        </w:rPr>
        <w:t>的要求时，可采用查表法确定。当计算或查表范围超出所处水文地质单元边界</w:t>
      </w:r>
      <w:r>
        <w:rPr>
          <w:rFonts w:ascii="SimSun" w:hAnsi="SimSun" w:eastAsia="SimSun" w:cs="SimSun"/>
          <w:sz w:val="24"/>
          <w:szCs w:val="24"/>
          <w:spacing w:val="17"/>
        </w:rPr>
        <w:t xml:space="preserve"> </w:t>
      </w:r>
      <w:r>
        <w:rPr>
          <w:rFonts w:ascii="SimSun" w:hAnsi="SimSun" w:eastAsia="SimSun" w:cs="SimSun"/>
          <w:sz w:val="24"/>
          <w:szCs w:val="24"/>
          <w:spacing w:val="-2"/>
        </w:rPr>
        <w:t>时，应以所处水文地质单元边界为宜。</w:t>
      </w:r>
    </w:p>
    <w:p>
      <w:pPr>
        <w:ind w:left="44" w:right="62" w:firstLine="490"/>
        <w:spacing w:before="22" w:line="356" w:lineRule="auto"/>
        <w:jc w:val="both"/>
        <w:rPr>
          <w:rFonts w:ascii="SimSun" w:hAnsi="SimSun" w:eastAsia="SimSun" w:cs="SimSun"/>
          <w:sz w:val="24"/>
          <w:szCs w:val="24"/>
        </w:rPr>
      </w:pPr>
      <w:r>
        <w:rPr>
          <w:rFonts w:ascii="SimSun" w:hAnsi="SimSun" w:eastAsia="SimSun" w:cs="SimSun"/>
          <w:sz w:val="24"/>
          <w:szCs w:val="24"/>
          <w:spacing w:val="12"/>
        </w:rPr>
        <w:t>本项目评价区域水文地质条件简单，掌握的资料能满足公式计算法的要</w:t>
      </w:r>
      <w:r>
        <w:rPr>
          <w:rFonts w:ascii="SimSun" w:hAnsi="SimSun" w:eastAsia="SimSun" w:cs="SimSun"/>
          <w:sz w:val="24"/>
          <w:szCs w:val="24"/>
        </w:rPr>
        <w:t xml:space="preserve"> </w:t>
      </w:r>
      <w:r>
        <w:rPr>
          <w:rFonts w:ascii="SimSun" w:hAnsi="SimSun" w:eastAsia="SimSun" w:cs="SimSun"/>
          <w:sz w:val="24"/>
          <w:szCs w:val="24"/>
          <w:spacing w:val="4"/>
        </w:rPr>
        <w:t>求，本项目结合地下水导则要求及本项目所处的水文地质条件，综合采用公式</w:t>
      </w:r>
      <w:r>
        <w:rPr>
          <w:rFonts w:ascii="SimSun" w:hAnsi="SimSun" w:eastAsia="SimSun" w:cs="SimSun"/>
          <w:sz w:val="24"/>
          <w:szCs w:val="24"/>
          <w:spacing w:val="2"/>
        </w:rPr>
        <w:t xml:space="preserve"> </w:t>
      </w:r>
      <w:r>
        <w:rPr>
          <w:rFonts w:ascii="SimSun" w:hAnsi="SimSun" w:eastAsia="SimSun" w:cs="SimSun"/>
          <w:sz w:val="24"/>
          <w:szCs w:val="24"/>
          <w:spacing w:val="-1"/>
        </w:rPr>
        <w:t>计算法和结合水文地质条件的自定义法确定。</w:t>
      </w:r>
    </w:p>
    <w:p>
      <w:pPr>
        <w:ind w:left="44" w:right="48" w:firstLine="490"/>
        <w:spacing w:before="17" w:line="354" w:lineRule="auto"/>
        <w:tabs>
          <w:tab w:val="left" w:pos="163"/>
        </w:tabs>
        <w:jc w:val="both"/>
        <w:rPr>
          <w:rFonts w:ascii="SimSun" w:hAnsi="SimSun" w:eastAsia="SimSun" w:cs="SimSun"/>
          <w:sz w:val="24"/>
          <w:szCs w:val="24"/>
        </w:rPr>
      </w:pPr>
      <w:r>
        <w:rPr>
          <w:rFonts w:ascii="SimSun" w:hAnsi="SimSun" w:eastAsia="SimSun" w:cs="SimSun"/>
          <w:sz w:val="24"/>
          <w:szCs w:val="24"/>
          <w:spacing w:val="4"/>
        </w:rPr>
        <w:t>本项目位于绵阳市安州区安昌河一级阶地内，安昌河作为区域内最低排泄</w:t>
      </w:r>
      <w:r>
        <w:rPr>
          <w:rFonts w:ascii="SimSun" w:hAnsi="SimSun" w:eastAsia="SimSun" w:cs="SimSun"/>
          <w:sz w:val="24"/>
          <w:szCs w:val="24"/>
        </w:rPr>
        <w:t xml:space="preserve"> </w:t>
      </w:r>
      <w:r>
        <w:rPr>
          <w:rFonts w:ascii="SimSun" w:hAnsi="SimSun" w:eastAsia="SimSun" w:cs="SimSun"/>
          <w:sz w:val="24"/>
          <w:szCs w:val="24"/>
          <w:spacing w:val="11"/>
        </w:rPr>
        <w:t>基准面自北西向南东流，项目区域地下水自北西向南东径流，最终汇入安昌</w:t>
      </w:r>
      <w:r>
        <w:rPr>
          <w:rFonts w:ascii="SimSun" w:hAnsi="SimSun" w:eastAsia="SimSun" w:cs="SimSun"/>
          <w:sz w:val="24"/>
          <w:szCs w:val="24"/>
          <w:spacing w:val="17"/>
        </w:rPr>
        <w:t xml:space="preserve"> </w:t>
      </w:r>
      <w:r>
        <w:rPr>
          <w:rFonts w:ascii="SimSun" w:hAnsi="SimSun" w:eastAsia="SimSun" w:cs="SimSun"/>
          <w:sz w:val="24"/>
          <w:szCs w:val="24"/>
          <w:spacing w:val="4"/>
        </w:rPr>
        <w:t>河，项目南东侧无明显水文地质边界，选取公式计算法确定：东南侧为地下水 </w:t>
      </w:r>
      <w:r>
        <w:rPr>
          <w:rFonts w:ascii="SimSun" w:hAnsi="SimSun" w:eastAsia="SimSun" w:cs="SimSun"/>
          <w:sz w:val="24"/>
          <w:szCs w:val="24"/>
        </w:rPr>
        <w:t>主径流方向下游，以溶质在含水层中运移5000</w:t>
      </w:r>
      <w:r>
        <w:rPr>
          <w:rFonts w:ascii="Times New Roman" w:hAnsi="Times New Roman" w:eastAsia="Times New Roman" w:cs="Times New Roman"/>
          <w:sz w:val="24"/>
          <w:szCs w:val="24"/>
        </w:rPr>
        <w:t>d</w:t>
      </w:r>
      <w:r>
        <w:rPr>
          <w:rFonts w:ascii="SimSun" w:hAnsi="SimSun" w:eastAsia="SimSun" w:cs="SimSun"/>
          <w:sz w:val="24"/>
          <w:szCs w:val="24"/>
        </w:rPr>
        <w:t>距离</w:t>
      </w:r>
      <w:r>
        <w:rPr>
          <w:rFonts w:ascii="Times New Roman" w:hAnsi="Times New Roman" w:eastAsia="Times New Roman" w:cs="Times New Roman"/>
          <w:sz w:val="24"/>
          <w:szCs w:val="24"/>
        </w:rPr>
        <w:t>L=2182m</w:t>
      </w:r>
      <w:r>
        <w:rPr>
          <w:rFonts w:ascii="SimSun" w:hAnsi="SimSun" w:eastAsia="SimSun" w:cs="SimSun"/>
          <w:sz w:val="24"/>
          <w:szCs w:val="24"/>
        </w:rPr>
        <w:t>为界，按导则</w:t>
      </w:r>
      <w:r>
        <w:rPr>
          <w:rFonts w:ascii="SimSun" w:hAnsi="SimSun" w:eastAsia="SimSun" w:cs="SimSun"/>
          <w:sz w:val="24"/>
          <w:szCs w:val="24"/>
          <w:spacing w:val="-1"/>
        </w:rPr>
        <w:t>要求</w:t>
      </w:r>
      <w:r>
        <w:rPr>
          <w:rFonts w:ascii="SimSun" w:hAnsi="SimSun" w:eastAsia="SimSun" w:cs="SimSun"/>
          <w:sz w:val="24"/>
          <w:szCs w:val="24"/>
        </w:rPr>
        <w:t xml:space="preserve"> </w:t>
      </w:r>
      <w:r>
        <w:rPr>
          <w:rFonts w:ascii="SimSun" w:hAnsi="SimSun" w:eastAsia="SimSun" w:cs="SimSun"/>
          <w:sz w:val="24"/>
          <w:szCs w:val="24"/>
        </w:rPr>
        <w:tab/>
      </w:r>
      <w:r>
        <w:rPr>
          <w:rFonts w:ascii="SimSun" w:hAnsi="SimSun" w:eastAsia="SimSun" w:cs="SimSun"/>
          <w:sz w:val="24"/>
          <w:szCs w:val="24"/>
          <w:spacing w:val="19"/>
        </w:rPr>
        <w:t>(评价范围向地下水上游延伸距离需根据评价需求确定，场地两侧不小于</w:t>
      </w:r>
      <w:r>
        <w:rPr>
          <w:rFonts w:ascii="SimSun" w:hAnsi="SimSun" w:eastAsia="SimSun" w:cs="SimSun"/>
          <w:sz w:val="24"/>
          <w:szCs w:val="24"/>
          <w:spacing w:val="16"/>
        </w:rPr>
        <w:t xml:space="preserve"> </w:t>
      </w:r>
      <w:r>
        <w:rPr>
          <w:rFonts w:ascii="SimSun" w:hAnsi="SimSun" w:eastAsia="SimSun" w:cs="SimSun"/>
          <w:sz w:val="24"/>
          <w:szCs w:val="24"/>
          <w:spacing w:val="8"/>
        </w:rPr>
        <w:t>L/2),</w:t>
      </w:r>
      <w:r>
        <w:rPr>
          <w:rFonts w:ascii="SimSun" w:hAnsi="SimSun" w:eastAsia="SimSun" w:cs="SimSun"/>
          <w:sz w:val="24"/>
          <w:szCs w:val="24"/>
          <w:spacing w:val="118"/>
        </w:rPr>
        <w:t xml:space="preserve"> </w:t>
      </w:r>
      <w:r>
        <w:rPr>
          <w:rFonts w:ascii="SimSun" w:hAnsi="SimSun" w:eastAsia="SimSun" w:cs="SimSun"/>
          <w:sz w:val="24"/>
          <w:szCs w:val="24"/>
          <w:spacing w:val="8"/>
        </w:rPr>
        <w:t>地下水延伸距离L/2为(1091m),</w:t>
      </w:r>
      <w:r>
        <w:rPr>
          <w:rFonts w:ascii="SimSun" w:hAnsi="SimSun" w:eastAsia="SimSun" w:cs="SimSun"/>
          <w:sz w:val="24"/>
          <w:szCs w:val="24"/>
          <w:spacing w:val="46"/>
        </w:rPr>
        <w:t xml:space="preserve">  </w:t>
      </w:r>
      <w:r>
        <w:rPr>
          <w:rFonts w:ascii="SimSun" w:hAnsi="SimSun" w:eastAsia="SimSun" w:cs="SimSun"/>
          <w:sz w:val="24"/>
          <w:szCs w:val="24"/>
          <w:spacing w:val="8"/>
        </w:rPr>
        <w:t>本次评价范围西</w:t>
      </w:r>
      <w:r>
        <w:rPr>
          <w:rFonts w:ascii="SimSun" w:hAnsi="SimSun" w:eastAsia="SimSun" w:cs="SimSun"/>
          <w:sz w:val="24"/>
          <w:szCs w:val="24"/>
          <w:spacing w:val="7"/>
        </w:rPr>
        <w:t>南水文地质边界明</w:t>
      </w:r>
      <w:r>
        <w:rPr>
          <w:rFonts w:ascii="SimSun" w:hAnsi="SimSun" w:eastAsia="SimSun" w:cs="SimSun"/>
          <w:sz w:val="24"/>
          <w:szCs w:val="24"/>
          <w:spacing w:val="1"/>
        </w:rPr>
        <w:t xml:space="preserve"> </w:t>
      </w:r>
      <w:r>
        <w:rPr>
          <w:rFonts w:ascii="SimSun" w:hAnsi="SimSun" w:eastAsia="SimSun" w:cs="SimSun"/>
          <w:sz w:val="24"/>
          <w:szCs w:val="24"/>
          <w:spacing w:val="5"/>
        </w:rPr>
        <w:t>显，西南侧550</w:t>
      </w:r>
      <w:r>
        <w:rPr>
          <w:rFonts w:ascii="Times New Roman" w:hAnsi="Times New Roman" w:eastAsia="Times New Roman" w:cs="Times New Roman"/>
          <w:sz w:val="24"/>
          <w:szCs w:val="24"/>
          <w:spacing w:val="5"/>
        </w:rPr>
        <w:t>m</w:t>
      </w:r>
      <w:r>
        <w:rPr>
          <w:rFonts w:ascii="SimSun" w:hAnsi="SimSun" w:eastAsia="SimSun" w:cs="SimSun"/>
          <w:sz w:val="24"/>
          <w:szCs w:val="24"/>
          <w:spacing w:val="5"/>
        </w:rPr>
        <w:t>分布一西北~东南展布的地表分水岭；东北侧为地下水主径流</w:t>
      </w:r>
      <w:r>
        <w:rPr>
          <w:rFonts w:ascii="SimSun" w:hAnsi="SimSun" w:eastAsia="SimSun" w:cs="SimSun"/>
          <w:sz w:val="24"/>
          <w:szCs w:val="24"/>
          <w:spacing w:val="12"/>
        </w:rPr>
        <w:t xml:space="preserve"> </w:t>
      </w:r>
      <w:r>
        <w:rPr>
          <w:rFonts w:ascii="SimSun" w:hAnsi="SimSun" w:eastAsia="SimSun" w:cs="SimSun"/>
          <w:sz w:val="24"/>
          <w:szCs w:val="24"/>
          <w:spacing w:val="4"/>
        </w:rPr>
        <w:t>方向侧方向，按导则要求场地两侧不小于</w:t>
      </w:r>
      <w:r>
        <w:rPr>
          <w:rFonts w:ascii="Times New Roman" w:hAnsi="Times New Roman" w:eastAsia="Times New Roman" w:cs="Times New Roman"/>
          <w:sz w:val="24"/>
          <w:szCs w:val="24"/>
          <w:spacing w:val="4"/>
        </w:rPr>
        <w:t>L/2(1091m),</w:t>
      </w:r>
      <w:r>
        <w:rPr>
          <w:rFonts w:ascii="Times New Roman" w:hAnsi="Times New Roman" w:eastAsia="Times New Roman" w:cs="Times New Roman"/>
          <w:sz w:val="24"/>
          <w:szCs w:val="24"/>
          <w:spacing w:val="3"/>
        </w:rPr>
        <w:t xml:space="preserve">        </w:t>
      </w:r>
      <w:r>
        <w:rPr>
          <w:rFonts w:ascii="SimSun" w:hAnsi="SimSun" w:eastAsia="SimSun" w:cs="SimSun"/>
          <w:sz w:val="24"/>
          <w:szCs w:val="24"/>
          <w:spacing w:val="3"/>
        </w:rPr>
        <w:t>即向外延1200</w:t>
      </w:r>
      <w:r>
        <w:rPr>
          <w:rFonts w:ascii="Times New Roman" w:hAnsi="Times New Roman" w:eastAsia="Times New Roman" w:cs="Times New Roman"/>
          <w:sz w:val="24"/>
          <w:szCs w:val="24"/>
          <w:spacing w:val="3"/>
        </w:rPr>
        <w:t>m</w:t>
      </w:r>
      <w:r>
        <w:rPr>
          <w:rFonts w:ascii="SimSun" w:hAnsi="SimSun" w:eastAsia="SimSun" w:cs="SimSun"/>
          <w:sz w:val="24"/>
          <w:szCs w:val="24"/>
          <w:spacing w:val="3"/>
        </w:rPr>
        <w:t>地表</w:t>
      </w:r>
      <w:r>
        <w:rPr>
          <w:rFonts w:ascii="SimSun" w:hAnsi="SimSun" w:eastAsia="SimSun" w:cs="SimSun"/>
          <w:sz w:val="24"/>
          <w:szCs w:val="24"/>
        </w:rPr>
        <w:t xml:space="preserve"> </w:t>
      </w:r>
      <w:r>
        <w:rPr>
          <w:rFonts w:ascii="SimSun" w:hAnsi="SimSun" w:eastAsia="SimSun" w:cs="SimSun"/>
          <w:sz w:val="24"/>
          <w:szCs w:val="24"/>
          <w:spacing w:val="12"/>
        </w:rPr>
        <w:t>分水岭为界；西北侧为地下水主径流方向上游，向外延1800</w:t>
      </w:r>
      <w:r>
        <w:rPr>
          <w:rFonts w:ascii="Times New Roman" w:hAnsi="Times New Roman" w:eastAsia="Times New Roman" w:cs="Times New Roman"/>
          <w:sz w:val="24"/>
          <w:szCs w:val="24"/>
          <w:spacing w:val="12"/>
        </w:rPr>
        <w:t>m</w:t>
      </w:r>
      <w:r>
        <w:rPr>
          <w:rFonts w:ascii="SimSun" w:hAnsi="SimSun" w:eastAsia="SimSun" w:cs="SimSun"/>
          <w:sz w:val="24"/>
          <w:szCs w:val="24"/>
          <w:spacing w:val="12"/>
        </w:rPr>
        <w:t>地表分水岭为</w:t>
      </w:r>
      <w:r>
        <w:rPr>
          <w:rFonts w:ascii="SimSun" w:hAnsi="SimSun" w:eastAsia="SimSun" w:cs="SimSun"/>
          <w:sz w:val="24"/>
          <w:szCs w:val="24"/>
          <w:spacing w:val="14"/>
        </w:rPr>
        <w:t xml:space="preserve"> </w:t>
      </w:r>
      <w:r>
        <w:rPr>
          <w:rFonts w:ascii="SimSun" w:hAnsi="SimSun" w:eastAsia="SimSun" w:cs="SimSun"/>
          <w:sz w:val="24"/>
          <w:szCs w:val="24"/>
        </w:rPr>
        <w:t>界。</w:t>
      </w:r>
    </w:p>
    <w:p>
      <w:pPr>
        <w:ind w:left="44" w:right="78" w:firstLine="490"/>
        <w:spacing w:before="60" w:line="355" w:lineRule="auto"/>
        <w:jc w:val="both"/>
        <w:rPr>
          <w:rFonts w:ascii="SimSun" w:hAnsi="SimSun" w:eastAsia="SimSun" w:cs="SimSun"/>
          <w:sz w:val="24"/>
          <w:szCs w:val="24"/>
        </w:rPr>
      </w:pPr>
      <w:r>
        <w:rPr>
          <w:rFonts w:ascii="SimSun" w:hAnsi="SimSun" w:eastAsia="SimSun" w:cs="SimSun"/>
          <w:sz w:val="24"/>
          <w:szCs w:val="24"/>
          <w:spacing w:val="5"/>
        </w:rPr>
        <w:t>综上，确定本次地下水评价范围：东北以项目东北侧向外延</w:t>
      </w:r>
      <w:r>
        <w:rPr>
          <w:rFonts w:ascii="SimSun" w:hAnsi="SimSun" w:eastAsia="SimSun" w:cs="SimSun"/>
          <w:sz w:val="24"/>
          <w:szCs w:val="24"/>
          <w:spacing w:val="4"/>
        </w:rPr>
        <w:t>1200</w:t>
      </w:r>
      <w:r>
        <w:rPr>
          <w:rFonts w:ascii="Times New Roman" w:hAnsi="Times New Roman" w:eastAsia="Times New Roman" w:cs="Times New Roman"/>
          <w:sz w:val="24"/>
          <w:szCs w:val="24"/>
          <w:spacing w:val="4"/>
        </w:rPr>
        <w:t>m</w:t>
      </w:r>
      <w:r>
        <w:rPr>
          <w:rFonts w:ascii="SimSun" w:hAnsi="SimSun" w:eastAsia="SimSun" w:cs="SimSun"/>
          <w:sz w:val="24"/>
          <w:szCs w:val="24"/>
          <w:spacing w:val="4"/>
        </w:rPr>
        <w:t>地表分</w:t>
      </w:r>
      <w:r>
        <w:rPr>
          <w:rFonts w:ascii="SimSun" w:hAnsi="SimSun" w:eastAsia="SimSun" w:cs="SimSun"/>
          <w:sz w:val="24"/>
          <w:szCs w:val="24"/>
        </w:rPr>
        <w:t xml:space="preserve"> </w:t>
      </w:r>
      <w:r>
        <w:rPr>
          <w:rFonts w:ascii="SimSun" w:hAnsi="SimSun" w:eastAsia="SimSun" w:cs="SimSun"/>
          <w:sz w:val="24"/>
          <w:szCs w:val="24"/>
          <w:spacing w:val="2"/>
        </w:rPr>
        <w:t>水岭为界，西南以项目西南侧向外延550</w:t>
      </w:r>
      <w:r>
        <w:rPr>
          <w:rFonts w:ascii="Times New Roman" w:hAnsi="Times New Roman" w:eastAsia="Times New Roman" w:cs="Times New Roman"/>
          <w:sz w:val="24"/>
          <w:szCs w:val="24"/>
          <w:spacing w:val="2"/>
        </w:rPr>
        <w:t>m</w:t>
      </w:r>
      <w:r>
        <w:rPr>
          <w:rFonts w:ascii="SimSun" w:hAnsi="SimSun" w:eastAsia="SimSun" w:cs="SimSun"/>
          <w:sz w:val="24"/>
          <w:szCs w:val="24"/>
          <w:spacing w:val="2"/>
        </w:rPr>
        <w:t>地表分</w:t>
      </w:r>
      <w:r>
        <w:rPr>
          <w:rFonts w:ascii="SimSun" w:hAnsi="SimSun" w:eastAsia="SimSun" w:cs="SimSun"/>
          <w:sz w:val="24"/>
          <w:szCs w:val="24"/>
          <w:spacing w:val="1"/>
        </w:rPr>
        <w:t>水岭为界，西北以项目西北侧</w:t>
      </w:r>
      <w:r>
        <w:rPr>
          <w:rFonts w:ascii="SimSun" w:hAnsi="SimSun" w:eastAsia="SimSun" w:cs="SimSun"/>
          <w:sz w:val="24"/>
          <w:szCs w:val="24"/>
        </w:rPr>
        <w:t xml:space="preserve"> </w:t>
      </w:r>
      <w:r>
        <w:rPr>
          <w:rFonts w:ascii="SimSun" w:hAnsi="SimSun" w:eastAsia="SimSun" w:cs="SimSun"/>
          <w:sz w:val="24"/>
          <w:szCs w:val="24"/>
          <w:spacing w:val="3"/>
        </w:rPr>
        <w:t>向外延1800</w:t>
      </w:r>
      <w:r>
        <w:rPr>
          <w:rFonts w:ascii="Times New Roman" w:hAnsi="Times New Roman" w:eastAsia="Times New Roman" w:cs="Times New Roman"/>
          <w:sz w:val="24"/>
          <w:szCs w:val="24"/>
          <w:spacing w:val="3"/>
        </w:rPr>
        <w:t>m</w:t>
      </w:r>
      <w:r>
        <w:rPr>
          <w:rFonts w:ascii="SimSun" w:hAnsi="SimSun" w:eastAsia="SimSun" w:cs="SimSun"/>
          <w:sz w:val="24"/>
          <w:szCs w:val="24"/>
          <w:spacing w:val="3"/>
        </w:rPr>
        <w:t>地表分水岭为界，东南以溶质在含水层中运移</w:t>
      </w:r>
      <w:r>
        <w:rPr>
          <w:rFonts w:ascii="SimSun" w:hAnsi="SimSun" w:eastAsia="SimSun" w:cs="SimSun"/>
          <w:sz w:val="24"/>
          <w:szCs w:val="24"/>
          <w:spacing w:val="2"/>
        </w:rPr>
        <w:t>5000</w:t>
      </w:r>
      <w:r>
        <w:rPr>
          <w:rFonts w:ascii="Times New Roman" w:hAnsi="Times New Roman" w:eastAsia="Times New Roman" w:cs="Times New Roman"/>
          <w:sz w:val="24"/>
          <w:szCs w:val="24"/>
          <w:spacing w:val="2"/>
        </w:rPr>
        <w:t>d</w:t>
      </w:r>
      <w:r>
        <w:rPr>
          <w:rFonts w:ascii="SimSun" w:hAnsi="SimSun" w:eastAsia="SimSun" w:cs="SimSun"/>
          <w:sz w:val="24"/>
          <w:szCs w:val="24"/>
          <w:spacing w:val="2"/>
        </w:rPr>
        <w:t>的距离2182</w:t>
      </w:r>
      <w:r>
        <w:rPr>
          <w:rFonts w:ascii="Times New Roman" w:hAnsi="Times New Roman" w:eastAsia="Times New Roman" w:cs="Times New Roman"/>
          <w:sz w:val="24"/>
          <w:szCs w:val="24"/>
          <w:spacing w:val="2"/>
        </w:rPr>
        <w:t>m</w:t>
      </w:r>
      <w:r>
        <w:rPr>
          <w:rFonts w:ascii="Times New Roman" w:hAnsi="Times New Roman" w:eastAsia="Times New Roman" w:cs="Times New Roman"/>
          <w:sz w:val="24"/>
          <w:szCs w:val="24"/>
        </w:rPr>
        <w:t xml:space="preserve"> </w:t>
      </w:r>
      <w:r>
        <w:rPr>
          <w:rFonts w:ascii="SimSun" w:hAnsi="SimSun" w:eastAsia="SimSun" w:cs="SimSun"/>
          <w:sz w:val="24"/>
          <w:szCs w:val="24"/>
          <w:spacing w:val="-3"/>
        </w:rPr>
        <w:t>为界，根据测算，本项目地下水环境影响评价范围为8.7</w:t>
      </w:r>
      <w:r>
        <w:rPr>
          <w:rFonts w:ascii="Times New Roman" w:hAnsi="Times New Roman" w:eastAsia="Times New Roman" w:cs="Times New Roman"/>
          <w:sz w:val="24"/>
          <w:szCs w:val="24"/>
          <w:spacing w:val="-3"/>
        </w:rPr>
        <w:t>km²</w:t>
      </w:r>
      <w:r>
        <w:rPr>
          <w:rFonts w:ascii="SimSun" w:hAnsi="SimSun" w:eastAsia="SimSun" w:cs="SimSun"/>
          <w:sz w:val="24"/>
          <w:szCs w:val="24"/>
          <w:spacing w:val="-3"/>
        </w:rPr>
        <w:t>。</w:t>
      </w:r>
    </w:p>
    <w:p>
      <w:pPr>
        <w:spacing w:line="355" w:lineRule="auto"/>
        <w:sectPr>
          <w:headerReference w:type="default" r:id="rId154"/>
          <w:footerReference w:type="default" r:id="rId155"/>
          <w:pgSz w:w="11910" w:h="16840"/>
          <w:pgMar w:top="1210" w:right="1764" w:bottom="991" w:left="1735" w:header="902" w:footer="732" w:gutter="0"/>
        </w:sectPr>
        <w:rPr>
          <w:rFonts w:ascii="SimSun" w:hAnsi="SimSun" w:eastAsia="SimSun" w:cs="SimSun"/>
          <w:sz w:val="24"/>
          <w:szCs w:val="24"/>
        </w:rPr>
      </w:pPr>
    </w:p>
    <w:p>
      <w:pPr>
        <w:ind w:left="114"/>
        <w:spacing w:before="279" w:line="222" w:lineRule="auto"/>
        <w:rPr>
          <w:rFonts w:ascii="SimHei" w:hAnsi="SimHei" w:eastAsia="SimHei" w:cs="SimHei"/>
          <w:sz w:val="24"/>
          <w:szCs w:val="24"/>
        </w:rPr>
      </w:pPr>
      <w:bookmarkStart w:name="bookmark89" w:id="35"/>
      <w:bookmarkEnd w:id="35"/>
      <w:r>
        <w:rPr>
          <w:rFonts w:ascii="SimHei" w:hAnsi="SimHei" w:eastAsia="SimHei" w:cs="SimHei"/>
          <w:sz w:val="24"/>
          <w:szCs w:val="24"/>
          <w:spacing w:val="11"/>
        </w:rPr>
        <w:t>1.9.3环境空气</w:t>
      </w:r>
    </w:p>
    <w:p>
      <w:pPr>
        <w:ind w:left="575"/>
        <w:spacing w:before="190" w:line="218" w:lineRule="auto"/>
        <w:rPr>
          <w:rFonts w:ascii="SimSun" w:hAnsi="SimSun" w:eastAsia="SimSun" w:cs="SimSun"/>
          <w:sz w:val="24"/>
          <w:szCs w:val="24"/>
        </w:rPr>
      </w:pPr>
      <w:r>
        <w:rPr>
          <w:rFonts w:ascii="SimSun" w:hAnsi="SimSun" w:eastAsia="SimSun" w:cs="SimSun"/>
          <w:sz w:val="24"/>
          <w:szCs w:val="24"/>
          <w:spacing w:val="4"/>
        </w:rPr>
        <w:t>1、评价等级</w:t>
      </w:r>
    </w:p>
    <w:p>
      <w:pPr>
        <w:ind w:left="114" w:right="265" w:firstLine="460"/>
        <w:spacing w:before="198" w:line="360" w:lineRule="auto"/>
        <w:rPr>
          <w:rFonts w:ascii="SimSun" w:hAnsi="SimSun" w:eastAsia="SimSun" w:cs="SimSun"/>
          <w:sz w:val="24"/>
          <w:szCs w:val="24"/>
        </w:rPr>
      </w:pPr>
      <w:r>
        <w:rPr>
          <w:rFonts w:ascii="SimSun" w:hAnsi="SimSun" w:eastAsia="SimSun" w:cs="SimSun"/>
          <w:sz w:val="24"/>
          <w:szCs w:val="24"/>
        </w:rPr>
        <w:t>本项目所在区域环境空气质量为二类功能区，</w:t>
      </w:r>
      <w:r>
        <w:rPr>
          <w:rFonts w:ascii="SimSun" w:hAnsi="SimSun" w:eastAsia="SimSun" w:cs="SimSun"/>
          <w:sz w:val="24"/>
          <w:szCs w:val="24"/>
          <w:spacing w:val="-1"/>
        </w:rPr>
        <w:t>本次环评选择《环境影响评</w:t>
      </w:r>
      <w:r>
        <w:rPr>
          <w:rFonts w:ascii="SimSun" w:hAnsi="SimSun" w:eastAsia="SimSun" w:cs="SimSun"/>
          <w:sz w:val="24"/>
          <w:szCs w:val="24"/>
        </w:rPr>
        <w:t xml:space="preserve"> </w:t>
      </w:r>
      <w:r>
        <w:rPr>
          <w:rFonts w:ascii="SimSun" w:hAnsi="SimSun" w:eastAsia="SimSun" w:cs="SimSun"/>
          <w:sz w:val="24"/>
          <w:szCs w:val="24"/>
          <w:spacing w:val="-1"/>
        </w:rPr>
        <w:t>价技术导则大气环境》</w:t>
      </w:r>
      <w:r>
        <w:rPr>
          <w:rFonts w:ascii="SimSun" w:hAnsi="SimSun" w:eastAsia="SimSun" w:cs="SimSun"/>
          <w:sz w:val="24"/>
          <w:szCs w:val="24"/>
          <w:spacing w:val="46"/>
        </w:rPr>
        <w:t xml:space="preserve"> </w:t>
      </w:r>
      <w:r>
        <w:rPr>
          <w:rFonts w:ascii="SimSun" w:hAnsi="SimSun" w:eastAsia="SimSun" w:cs="SimSun"/>
          <w:sz w:val="24"/>
          <w:szCs w:val="24"/>
          <w:spacing w:val="-1"/>
        </w:rPr>
        <w:t>(HJ2.2-2018)</w:t>
      </w:r>
      <w:r>
        <w:rPr>
          <w:rFonts w:ascii="SimSun" w:hAnsi="SimSun" w:eastAsia="SimSun" w:cs="SimSun"/>
          <w:sz w:val="24"/>
          <w:szCs w:val="24"/>
          <w:spacing w:val="-28"/>
        </w:rPr>
        <w:t xml:space="preserve"> </w:t>
      </w:r>
      <w:r>
        <w:rPr>
          <w:rFonts w:ascii="SimSun" w:hAnsi="SimSun" w:eastAsia="SimSun" w:cs="SimSun"/>
          <w:sz w:val="24"/>
          <w:szCs w:val="24"/>
          <w:spacing w:val="-1"/>
        </w:rPr>
        <w:t>中推荐模式中的估算模型确定评价等</w:t>
      </w:r>
    </w:p>
    <w:p>
      <w:pPr>
        <w:ind w:left="104" w:right="174" w:hanging="10"/>
        <w:spacing w:line="351" w:lineRule="auto"/>
        <w:rPr>
          <w:rFonts w:ascii="SimSun" w:hAnsi="SimSun" w:eastAsia="SimSun" w:cs="SimSun"/>
          <w:sz w:val="24"/>
          <w:szCs w:val="24"/>
        </w:rPr>
      </w:pPr>
      <w:r>
        <w:rPr>
          <w:rFonts w:ascii="SimSun" w:hAnsi="SimSun" w:eastAsia="SimSun" w:cs="SimSun"/>
          <w:sz w:val="24"/>
          <w:szCs w:val="24"/>
          <w:spacing w:val="3"/>
        </w:rPr>
        <w:t>级。计算污染物的最大地面浓度占标率</w:t>
      </w:r>
      <w:r>
        <w:rPr>
          <w:rFonts w:ascii="SimSun" w:hAnsi="SimSun" w:eastAsia="SimSun" w:cs="SimSun"/>
          <w:sz w:val="24"/>
          <w:szCs w:val="24"/>
        </w:rPr>
        <w:t>Pi</w:t>
      </w:r>
      <w:r>
        <w:rPr>
          <w:rFonts w:ascii="SimSun" w:hAnsi="SimSun" w:eastAsia="SimSun" w:cs="SimSun"/>
          <w:sz w:val="24"/>
          <w:szCs w:val="24"/>
          <w:spacing w:val="3"/>
        </w:rPr>
        <w:t>(</w:t>
      </w:r>
      <w:r>
        <w:rPr>
          <w:rFonts w:ascii="SimSun" w:hAnsi="SimSun" w:eastAsia="SimSun" w:cs="SimSun"/>
          <w:sz w:val="24"/>
          <w:szCs w:val="24"/>
          <w:spacing w:val="-26"/>
        </w:rPr>
        <w:t xml:space="preserve"> </w:t>
      </w:r>
      <w:r>
        <w:rPr>
          <w:rFonts w:ascii="SimSun" w:hAnsi="SimSun" w:eastAsia="SimSun" w:cs="SimSun"/>
          <w:sz w:val="24"/>
          <w:szCs w:val="24"/>
          <w:spacing w:val="3"/>
        </w:rPr>
        <w:t>第i个污染物),及第i个污染物的地</w:t>
      </w:r>
      <w:r>
        <w:rPr>
          <w:rFonts w:ascii="SimSun" w:hAnsi="SimSun" w:eastAsia="SimSun" w:cs="SimSun"/>
          <w:sz w:val="24"/>
          <w:szCs w:val="24"/>
        </w:rPr>
        <w:t xml:space="preserve"> </w:t>
      </w:r>
      <w:r>
        <w:rPr>
          <w:rFonts w:ascii="SimSun" w:hAnsi="SimSun" w:eastAsia="SimSun" w:cs="SimSun"/>
          <w:sz w:val="24"/>
          <w:szCs w:val="24"/>
          <w:spacing w:val="1"/>
        </w:rPr>
        <w:t>面浓度达标准限值10%时所对应的最远距离</w:t>
      </w:r>
      <w:r>
        <w:rPr>
          <w:rFonts w:ascii="Times New Roman" w:hAnsi="Times New Roman" w:eastAsia="Times New Roman" w:cs="Times New Roman"/>
          <w:sz w:val="24"/>
          <w:szCs w:val="24"/>
          <w:spacing w:val="1"/>
        </w:rPr>
        <w:t>D10%,</w:t>
      </w:r>
      <w:r>
        <w:rPr>
          <w:rFonts w:ascii="Times New Roman" w:hAnsi="Times New Roman" w:eastAsia="Times New Roman" w:cs="Times New Roman"/>
          <w:sz w:val="24"/>
          <w:szCs w:val="24"/>
          <w:spacing w:val="5"/>
        </w:rPr>
        <w:t xml:space="preserve">   </w:t>
      </w:r>
      <w:r>
        <w:rPr>
          <w:rFonts w:ascii="SimSun" w:hAnsi="SimSun" w:eastAsia="SimSun" w:cs="SimSun"/>
          <w:sz w:val="24"/>
          <w:szCs w:val="24"/>
          <w:spacing w:val="1"/>
        </w:rPr>
        <w:t>其中</w:t>
      </w:r>
      <w:r>
        <w:rPr>
          <w:rFonts w:ascii="Times New Roman" w:hAnsi="Times New Roman" w:eastAsia="Times New Roman" w:cs="Times New Roman"/>
          <w:sz w:val="24"/>
          <w:szCs w:val="24"/>
        </w:rPr>
        <w:t>Pi</w:t>
      </w:r>
      <w:r>
        <w:rPr>
          <w:rFonts w:ascii="SimSun" w:hAnsi="SimSun" w:eastAsia="SimSun" w:cs="SimSun"/>
          <w:sz w:val="24"/>
          <w:szCs w:val="24"/>
          <w:spacing w:val="1"/>
        </w:rPr>
        <w:t>定义为：</w:t>
      </w:r>
    </w:p>
    <w:p>
      <w:pPr>
        <w:ind w:firstLine="3424"/>
        <w:spacing w:line="563" w:lineRule="exact"/>
        <w:rPr/>
      </w:pPr>
      <w:r>
        <w:rPr>
          <w:position w:val="-11"/>
        </w:rPr>
        <w:drawing>
          <wp:inline distT="0" distB="0" distL="0" distR="0">
            <wp:extent cx="1066968" cy="357095"/>
            <wp:effectExtent l="0" t="0" r="0" b="0"/>
            <wp:docPr id="38" name="IM 38"/>
            <wp:cNvGraphicFramePr/>
            <a:graphic>
              <a:graphicData uri="http://schemas.openxmlformats.org/drawingml/2006/picture">
                <pic:pic>
                  <pic:nvPicPr>
                    <pic:cNvPr id="38" name="IM 38"/>
                    <pic:cNvPicPr/>
                  </pic:nvPicPr>
                  <pic:blipFill>
                    <a:blip r:embed="rId158"/>
                    <a:stretch>
                      <a:fillRect/>
                    </a:stretch>
                  </pic:blipFill>
                  <pic:spPr>
                    <a:xfrm rot="0">
                      <a:off x="0" y="0"/>
                      <a:ext cx="1066968" cy="357095"/>
                    </a:xfrm>
                    <a:prstGeom prst="rect">
                      <a:avLst/>
                    </a:prstGeom>
                  </pic:spPr>
                </pic:pic>
              </a:graphicData>
            </a:graphic>
          </wp:inline>
        </w:drawing>
      </w:r>
    </w:p>
    <w:p>
      <w:pPr>
        <w:ind w:left="595"/>
        <w:spacing w:before="189" w:line="219" w:lineRule="auto"/>
        <w:rPr>
          <w:rFonts w:ascii="SimSun" w:hAnsi="SimSun" w:eastAsia="SimSun" w:cs="SimSun"/>
          <w:sz w:val="24"/>
          <w:szCs w:val="24"/>
        </w:rPr>
      </w:pPr>
      <w:r>
        <w:rPr>
          <w:rFonts w:ascii="SimSun" w:hAnsi="SimSun" w:eastAsia="SimSun" w:cs="SimSun"/>
          <w:sz w:val="24"/>
          <w:szCs w:val="24"/>
          <w:spacing w:val="1"/>
        </w:rPr>
        <w:t>式中：</w:t>
      </w:r>
      <w:r>
        <w:rPr>
          <w:rFonts w:ascii="Times New Roman" w:hAnsi="Times New Roman" w:eastAsia="Times New Roman" w:cs="Times New Roman"/>
          <w:sz w:val="24"/>
          <w:szCs w:val="24"/>
        </w:rPr>
        <w:t>Pi</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spacing w:val="-1"/>
        </w:rPr>
        <w:t xml:space="preserve"> </w:t>
      </w:r>
      <w:r>
        <w:rPr>
          <w:rFonts w:ascii="SimSun" w:hAnsi="SimSun" w:eastAsia="SimSun" w:cs="SimSun"/>
          <w:sz w:val="24"/>
          <w:szCs w:val="24"/>
          <w:spacing w:val="1"/>
        </w:rPr>
        <w:t>第</w:t>
      </w:r>
      <w:r>
        <w:rPr>
          <w:rFonts w:ascii="Times New Roman" w:hAnsi="Times New Roman" w:eastAsia="Times New Roman" w:cs="Times New Roman"/>
          <w:sz w:val="24"/>
          <w:szCs w:val="24"/>
          <w:spacing w:val="1"/>
        </w:rPr>
        <w:t>i</w:t>
      </w:r>
      <w:r>
        <w:rPr>
          <w:rFonts w:ascii="SimSun" w:hAnsi="SimSun" w:eastAsia="SimSun" w:cs="SimSun"/>
          <w:sz w:val="24"/>
          <w:szCs w:val="24"/>
          <w:spacing w:val="1"/>
        </w:rPr>
        <w:t>个污染物的最大地面浓度占标率，%;</w:t>
      </w:r>
    </w:p>
    <w:p>
      <w:pPr>
        <w:ind w:left="1284" w:right="457" w:firstLine="10"/>
        <w:spacing w:before="206" w:line="348" w:lineRule="auto"/>
        <w:rPr>
          <w:rFonts w:ascii="SimSun" w:hAnsi="SimSun" w:eastAsia="SimSun" w:cs="SimSun"/>
          <w:sz w:val="24"/>
          <w:szCs w:val="24"/>
        </w:rPr>
      </w:pPr>
      <w:r>
        <w:rPr>
          <w:rFonts w:ascii="SimSun" w:hAnsi="SimSun" w:eastAsia="SimSun" w:cs="SimSun"/>
          <w:sz w:val="24"/>
          <w:szCs w:val="24"/>
          <w:spacing w:val="-3"/>
        </w:rPr>
        <w:t>Ci—采用估算模式计算出的第i个污染物的最大地面浓度，mg/m³;</w:t>
      </w:r>
      <w:r>
        <w:rPr>
          <w:rFonts w:ascii="SimSun" w:hAnsi="SimSun" w:eastAsia="SimSun" w:cs="SimSun"/>
          <w:sz w:val="24"/>
          <w:szCs w:val="24"/>
          <w:spacing w:val="15"/>
        </w:rPr>
        <w:t xml:space="preserve"> </w:t>
      </w:r>
      <w:r>
        <w:rPr>
          <w:rFonts w:ascii="SimSun" w:hAnsi="SimSun" w:eastAsia="SimSun" w:cs="SimSun"/>
          <w:sz w:val="24"/>
          <w:szCs w:val="24"/>
          <w:spacing w:val="-4"/>
        </w:rPr>
        <w:t>Coi—第i个污染物的环境空气质量标准，mg/m³。</w:t>
      </w:r>
    </w:p>
    <w:p>
      <w:pPr>
        <w:ind w:left="104" w:right="152" w:firstLine="470"/>
        <w:spacing w:before="1" w:line="344" w:lineRule="auto"/>
        <w:rPr>
          <w:rFonts w:ascii="SimSun" w:hAnsi="SimSun" w:eastAsia="SimSun" w:cs="SimSun"/>
          <w:sz w:val="24"/>
          <w:szCs w:val="24"/>
        </w:rPr>
      </w:pPr>
      <w:r>
        <w:rPr>
          <w:rFonts w:ascii="SimSun" w:hAnsi="SimSun" w:eastAsia="SimSun" w:cs="SimSun"/>
          <w:sz w:val="24"/>
          <w:szCs w:val="24"/>
          <w:spacing w:val="3"/>
        </w:rPr>
        <w:t>评价工作等级按下表的分级判据进行划分。若污染物数i大于1,取P值中最</w:t>
      </w:r>
      <w:r>
        <w:rPr>
          <w:rFonts w:ascii="SimSun" w:hAnsi="SimSun" w:eastAsia="SimSun" w:cs="SimSun"/>
          <w:sz w:val="24"/>
          <w:szCs w:val="24"/>
        </w:rPr>
        <w:t xml:space="preserve"> </w:t>
      </w:r>
      <w:r>
        <w:rPr>
          <w:rFonts w:ascii="SimSun" w:hAnsi="SimSun" w:eastAsia="SimSun" w:cs="SimSun"/>
          <w:sz w:val="24"/>
          <w:szCs w:val="24"/>
          <w:spacing w:val="-4"/>
        </w:rPr>
        <w:t>大者 </w:t>
      </w:r>
      <w:r>
        <w:rPr>
          <w:rFonts w:ascii="Times New Roman" w:hAnsi="Times New Roman" w:eastAsia="Times New Roman" w:cs="Times New Roman"/>
          <w:sz w:val="24"/>
          <w:szCs w:val="24"/>
          <w:spacing w:val="-4"/>
        </w:rPr>
        <w:t>(Pmax)</w:t>
      </w:r>
      <w:r>
        <w:rPr>
          <w:rFonts w:ascii="SimSun" w:hAnsi="SimSun" w:eastAsia="SimSun" w:cs="SimSun"/>
          <w:sz w:val="24"/>
          <w:szCs w:val="24"/>
          <w:spacing w:val="-4"/>
        </w:rPr>
        <w:t>。</w:t>
      </w:r>
    </w:p>
    <w:p>
      <w:pPr>
        <w:ind w:left="2758"/>
        <w:spacing w:before="23" w:line="216" w:lineRule="auto"/>
        <w:rPr>
          <w:rFonts w:ascii="SimSun" w:hAnsi="SimSun" w:eastAsia="SimSun" w:cs="SimSun"/>
          <w:sz w:val="24"/>
          <w:szCs w:val="24"/>
        </w:rPr>
      </w:pPr>
      <w:r>
        <w:rPr>
          <w:rFonts w:ascii="SimSun" w:hAnsi="SimSun" w:eastAsia="SimSun" w:cs="SimSun"/>
          <w:sz w:val="24"/>
          <w:szCs w:val="24"/>
          <w:b/>
          <w:bCs/>
          <w:spacing w:val="-4"/>
        </w:rPr>
        <w:t>表1.9-6大气评价等级判别表</w:t>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770"/>
        <w:gridCol w:w="4729"/>
      </w:tblGrid>
      <w:tr>
        <w:trPr>
          <w:trHeight w:val="283" w:hRule="atLeast"/>
        </w:trPr>
        <w:tc>
          <w:tcPr>
            <w:shd w:val="clear" w:fill="BDBDBD"/>
            <w:tcW w:w="3770" w:type="dxa"/>
            <w:vAlign w:val="top"/>
          </w:tcPr>
          <w:p>
            <w:pPr>
              <w:pStyle w:val="TableText"/>
              <w:ind w:left="1218"/>
              <w:spacing w:before="28" w:line="205" w:lineRule="auto"/>
              <w:rPr>
                <w:sz w:val="22"/>
                <w:szCs w:val="22"/>
              </w:rPr>
            </w:pPr>
            <w:r>
              <w:rPr>
                <w:sz w:val="22"/>
                <w:szCs w:val="22"/>
                <w:b/>
                <w:bCs/>
                <w:spacing w:val="-4"/>
              </w:rPr>
              <w:t>评价工作等级</w:t>
            </w:r>
          </w:p>
        </w:tc>
        <w:tc>
          <w:tcPr>
            <w:shd w:val="clear" w:fill="BDBDBD"/>
            <w:tcW w:w="4729" w:type="dxa"/>
            <w:vAlign w:val="top"/>
          </w:tcPr>
          <w:p>
            <w:pPr>
              <w:pStyle w:val="TableText"/>
              <w:ind w:left="1478"/>
              <w:spacing w:before="28" w:line="205" w:lineRule="auto"/>
              <w:rPr>
                <w:sz w:val="22"/>
                <w:szCs w:val="22"/>
              </w:rPr>
            </w:pPr>
            <w:r>
              <w:rPr>
                <w:sz w:val="22"/>
                <w:szCs w:val="22"/>
                <w:b/>
                <w:bCs/>
                <w:spacing w:val="-4"/>
              </w:rPr>
              <w:t>评价工作分级判据</w:t>
            </w:r>
          </w:p>
        </w:tc>
      </w:tr>
      <w:tr>
        <w:trPr>
          <w:trHeight w:val="258" w:hRule="atLeast"/>
        </w:trPr>
        <w:tc>
          <w:tcPr>
            <w:tcW w:w="3770" w:type="dxa"/>
            <w:vAlign w:val="top"/>
          </w:tcPr>
          <w:p>
            <w:pPr>
              <w:pStyle w:val="TableText"/>
              <w:ind w:left="1434"/>
              <w:spacing w:before="19" w:line="192" w:lineRule="auto"/>
              <w:rPr>
                <w:sz w:val="22"/>
                <w:szCs w:val="22"/>
              </w:rPr>
            </w:pPr>
            <w:r>
              <w:rPr>
                <w:sz w:val="22"/>
                <w:szCs w:val="22"/>
                <w:spacing w:val="2"/>
              </w:rPr>
              <w:t>一级评价</w:t>
            </w:r>
          </w:p>
        </w:tc>
        <w:tc>
          <w:tcPr>
            <w:tcW w:w="4729" w:type="dxa"/>
            <w:vAlign w:val="top"/>
          </w:tcPr>
          <w:p>
            <w:pPr>
              <w:pStyle w:val="TableText"/>
              <w:ind w:left="1864"/>
              <w:spacing w:before="43" w:line="172" w:lineRule="auto"/>
              <w:rPr>
                <w:sz w:val="22"/>
                <w:szCs w:val="22"/>
              </w:rPr>
            </w:pPr>
            <w:r>
              <w:rPr>
                <w:sz w:val="22"/>
                <w:szCs w:val="22"/>
                <w:spacing w:val="-1"/>
              </w:rPr>
              <w:t>Pmax≥10%</w:t>
            </w:r>
          </w:p>
        </w:tc>
      </w:tr>
      <w:tr>
        <w:trPr>
          <w:trHeight w:val="287" w:hRule="atLeast"/>
        </w:trPr>
        <w:tc>
          <w:tcPr>
            <w:tcW w:w="3770" w:type="dxa"/>
            <w:vAlign w:val="top"/>
          </w:tcPr>
          <w:p>
            <w:pPr>
              <w:pStyle w:val="TableText"/>
              <w:ind w:left="1434"/>
              <w:spacing w:before="41" w:line="198" w:lineRule="auto"/>
              <w:rPr>
                <w:sz w:val="22"/>
                <w:szCs w:val="22"/>
              </w:rPr>
            </w:pPr>
            <w:r>
              <w:rPr>
                <w:sz w:val="22"/>
                <w:szCs w:val="22"/>
                <w:spacing w:val="2"/>
              </w:rPr>
              <w:t>二级评价</w:t>
            </w:r>
          </w:p>
        </w:tc>
        <w:tc>
          <w:tcPr>
            <w:tcW w:w="4729" w:type="dxa"/>
            <w:vAlign w:val="top"/>
          </w:tcPr>
          <w:p>
            <w:pPr>
              <w:pStyle w:val="TableText"/>
              <w:ind w:left="1695"/>
              <w:spacing w:before="62" w:line="180" w:lineRule="auto"/>
              <w:rPr>
                <w:sz w:val="22"/>
                <w:szCs w:val="22"/>
              </w:rPr>
            </w:pPr>
            <w:r>
              <w:rPr>
                <w:sz w:val="22"/>
                <w:szCs w:val="22"/>
                <w:spacing w:val="-3"/>
              </w:rPr>
              <w:t>1%≤Pmax&lt;10%</w:t>
            </w:r>
          </w:p>
        </w:tc>
      </w:tr>
      <w:tr>
        <w:trPr>
          <w:trHeight w:val="282" w:hRule="atLeast"/>
        </w:trPr>
        <w:tc>
          <w:tcPr>
            <w:tcW w:w="3770" w:type="dxa"/>
            <w:vAlign w:val="top"/>
          </w:tcPr>
          <w:p>
            <w:pPr>
              <w:pStyle w:val="TableText"/>
              <w:ind w:left="1434"/>
              <w:spacing w:before="34" w:line="199" w:lineRule="auto"/>
              <w:rPr>
                <w:sz w:val="22"/>
                <w:szCs w:val="22"/>
              </w:rPr>
            </w:pPr>
            <w:r>
              <w:rPr>
                <w:sz w:val="22"/>
                <w:szCs w:val="22"/>
                <w:spacing w:val="-2"/>
              </w:rPr>
              <w:t>三级评价</w:t>
            </w:r>
          </w:p>
        </w:tc>
        <w:tc>
          <w:tcPr>
            <w:tcW w:w="4729" w:type="dxa"/>
            <w:vAlign w:val="top"/>
          </w:tcPr>
          <w:p>
            <w:pPr>
              <w:pStyle w:val="TableText"/>
              <w:ind w:left="1975"/>
              <w:spacing w:before="58" w:line="179" w:lineRule="auto"/>
              <w:rPr>
                <w:sz w:val="22"/>
                <w:szCs w:val="22"/>
              </w:rPr>
            </w:pPr>
            <w:r>
              <w:rPr>
                <w:sz w:val="22"/>
                <w:szCs w:val="22"/>
                <w:spacing w:val="-1"/>
              </w:rPr>
              <w:t>Pmax&lt;1%</w:t>
            </w:r>
          </w:p>
        </w:tc>
      </w:tr>
    </w:tbl>
    <w:p>
      <w:pPr>
        <w:ind w:left="2158"/>
        <w:spacing w:before="49" w:line="216" w:lineRule="auto"/>
        <w:rPr>
          <w:rFonts w:ascii="SimSun" w:hAnsi="SimSun" w:eastAsia="SimSun" w:cs="SimSun"/>
          <w:sz w:val="24"/>
          <w:szCs w:val="24"/>
        </w:rPr>
      </w:pPr>
      <w:r>
        <w:rPr>
          <w:rFonts w:ascii="SimSun" w:hAnsi="SimSun" w:eastAsia="SimSun" w:cs="SimSun"/>
          <w:sz w:val="24"/>
          <w:szCs w:val="24"/>
          <w:b/>
          <w:bCs/>
          <w:spacing w:val="-3"/>
        </w:rPr>
        <w:t>表1.9-7项目大气排放源估算结果一览表</w:t>
      </w:r>
    </w:p>
    <w:tbl>
      <w:tblPr>
        <w:tblStyle w:val="TableNormal"/>
        <w:tblW w:w="84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24"/>
        <w:gridCol w:w="1308"/>
        <w:gridCol w:w="1159"/>
        <w:gridCol w:w="1099"/>
        <w:gridCol w:w="1099"/>
        <w:gridCol w:w="1198"/>
        <w:gridCol w:w="1218"/>
        <w:gridCol w:w="874"/>
      </w:tblGrid>
      <w:tr>
        <w:trPr>
          <w:trHeight w:val="285" w:hRule="atLeast"/>
        </w:trPr>
        <w:tc>
          <w:tcPr>
            <w:shd w:val="clear" w:fill="BDBDBD"/>
            <w:tcW w:w="524" w:type="dxa"/>
            <w:vAlign w:val="top"/>
          </w:tcPr>
          <w:p>
            <w:pPr>
              <w:pStyle w:val="TableText"/>
              <w:ind w:left="48"/>
              <w:spacing w:before="41" w:line="205" w:lineRule="auto"/>
              <w:rPr>
                <w:sz w:val="21"/>
                <w:szCs w:val="21"/>
              </w:rPr>
            </w:pPr>
            <w:r>
              <w:rPr>
                <w:sz w:val="21"/>
                <w:szCs w:val="21"/>
                <w:b/>
                <w:bCs/>
                <w:spacing w:val="-5"/>
              </w:rPr>
              <w:t>序号</w:t>
            </w:r>
          </w:p>
        </w:tc>
        <w:tc>
          <w:tcPr>
            <w:shd w:val="clear" w:fill="BDBDBD"/>
            <w:tcW w:w="1308" w:type="dxa"/>
            <w:vAlign w:val="top"/>
          </w:tcPr>
          <w:p>
            <w:pPr>
              <w:pStyle w:val="TableText"/>
              <w:ind w:left="334"/>
              <w:spacing w:before="41" w:line="205" w:lineRule="auto"/>
              <w:rPr>
                <w:sz w:val="21"/>
                <w:szCs w:val="21"/>
              </w:rPr>
            </w:pPr>
            <w:r>
              <w:rPr>
                <w:sz w:val="21"/>
                <w:szCs w:val="21"/>
                <w:b/>
                <w:bCs/>
                <w:spacing w:val="-5"/>
              </w:rPr>
              <w:t>污染源</w:t>
            </w:r>
          </w:p>
        </w:tc>
        <w:tc>
          <w:tcPr>
            <w:shd w:val="clear" w:fill="BDBDBD"/>
            <w:tcW w:w="1159" w:type="dxa"/>
            <w:vAlign w:val="top"/>
          </w:tcPr>
          <w:p>
            <w:pPr>
              <w:pStyle w:val="TableText"/>
              <w:ind w:left="45"/>
              <w:spacing w:before="41" w:line="205" w:lineRule="auto"/>
              <w:rPr>
                <w:sz w:val="21"/>
                <w:szCs w:val="21"/>
              </w:rPr>
            </w:pPr>
            <w:r>
              <w:rPr>
                <w:sz w:val="21"/>
                <w:szCs w:val="21"/>
                <w:b/>
                <w:bCs/>
                <w:spacing w:val="-4"/>
              </w:rPr>
              <w:t>大气污染物</w:t>
            </w:r>
          </w:p>
        </w:tc>
        <w:tc>
          <w:tcPr>
            <w:shd w:val="clear" w:fill="BDBDBD"/>
            <w:tcW w:w="1099" w:type="dxa"/>
            <w:vAlign w:val="top"/>
          </w:tcPr>
          <w:p>
            <w:pPr>
              <w:pStyle w:val="TableText"/>
              <w:ind w:left="126"/>
              <w:spacing w:before="41" w:line="205" w:lineRule="auto"/>
              <w:rPr>
                <w:sz w:val="21"/>
                <w:szCs w:val="21"/>
              </w:rPr>
            </w:pPr>
            <w:r>
              <w:rPr>
                <w:sz w:val="21"/>
                <w:szCs w:val="21"/>
                <w:b/>
                <w:bCs/>
                <w:spacing w:val="-4"/>
              </w:rPr>
              <w:t>排放方式</w:t>
            </w:r>
          </w:p>
        </w:tc>
        <w:tc>
          <w:tcPr>
            <w:shd w:val="clear" w:fill="BDBDBD"/>
            <w:tcW w:w="1099" w:type="dxa"/>
            <w:vAlign w:val="top"/>
          </w:tcPr>
          <w:p>
            <w:pPr>
              <w:pStyle w:val="TableText"/>
              <w:ind w:left="18"/>
              <w:spacing w:before="40" w:line="206" w:lineRule="auto"/>
              <w:rPr>
                <w:sz w:val="21"/>
                <w:szCs w:val="21"/>
              </w:rPr>
            </w:pPr>
            <w:r>
              <w:rPr>
                <w:sz w:val="21"/>
                <w:szCs w:val="21"/>
                <w:b/>
                <w:bCs/>
                <w:spacing w:val="-4"/>
              </w:rPr>
              <w:t>污染源类型</w:t>
            </w:r>
          </w:p>
        </w:tc>
        <w:tc>
          <w:tcPr>
            <w:shd w:val="clear" w:fill="BDBDBD"/>
            <w:tcW w:w="1198" w:type="dxa"/>
            <w:vAlign w:val="top"/>
          </w:tcPr>
          <w:p>
            <w:pPr>
              <w:pStyle w:val="TableText"/>
              <w:ind w:left="68"/>
              <w:spacing w:before="33" w:line="212" w:lineRule="auto"/>
              <w:rPr>
                <w:sz w:val="21"/>
                <w:szCs w:val="21"/>
              </w:rPr>
            </w:pPr>
            <w:r>
              <w:rPr>
                <w:sz w:val="21"/>
                <w:szCs w:val="21"/>
                <w:b/>
                <w:bCs/>
                <w:spacing w:val="-3"/>
              </w:rPr>
              <w:t>C(μg/m³)</w:t>
            </w:r>
          </w:p>
        </w:tc>
        <w:tc>
          <w:tcPr>
            <w:shd w:val="clear" w:fill="BDBDBD"/>
            <w:tcW w:w="1218" w:type="dxa"/>
            <w:vAlign w:val="top"/>
          </w:tcPr>
          <w:p>
            <w:pPr>
              <w:pStyle w:val="TableText"/>
              <w:ind w:left="240"/>
              <w:spacing w:before="44" w:line="203" w:lineRule="auto"/>
              <w:rPr>
                <w:sz w:val="21"/>
                <w:szCs w:val="21"/>
              </w:rPr>
            </w:pPr>
            <w:r>
              <w:rPr>
                <w:sz w:val="21"/>
                <w:szCs w:val="21"/>
                <w:b/>
                <w:bCs/>
                <w:spacing w:val="-3"/>
              </w:rPr>
              <w:t>Pmax(%)</w:t>
            </w:r>
          </w:p>
        </w:tc>
        <w:tc>
          <w:tcPr>
            <w:shd w:val="clear" w:fill="BDBDBD"/>
            <w:tcW w:w="874" w:type="dxa"/>
            <w:vAlign w:val="top"/>
          </w:tcPr>
          <w:p>
            <w:pPr>
              <w:pStyle w:val="TableText"/>
              <w:ind w:left="13"/>
              <w:spacing w:before="39" w:line="207" w:lineRule="auto"/>
              <w:rPr>
                <w:sz w:val="21"/>
                <w:szCs w:val="21"/>
              </w:rPr>
            </w:pPr>
            <w:r>
              <w:rPr>
                <w:sz w:val="21"/>
                <w:szCs w:val="21"/>
                <w:b/>
                <w:bCs/>
                <w:spacing w:val="-4"/>
              </w:rPr>
              <w:t>评价级别</w:t>
            </w:r>
          </w:p>
        </w:tc>
      </w:tr>
      <w:tr>
        <w:trPr>
          <w:trHeight w:val="259" w:hRule="atLeast"/>
        </w:trPr>
        <w:tc>
          <w:tcPr>
            <w:tcW w:w="524" w:type="dxa"/>
            <w:vAlign w:val="top"/>
            <w:vMerge w:val="restart"/>
            <w:textDirection w:val="tbRlV"/>
            <w:tcBorders>
              <w:bottom w:val="nil"/>
            </w:tcBorders>
          </w:tcPr>
          <w:p>
            <w:pPr>
              <w:pStyle w:val="TableText"/>
              <w:ind w:left="133"/>
              <w:spacing w:before="232" w:line="126" w:lineRule="exact"/>
              <w:rPr>
                <w:sz w:val="21"/>
                <w:szCs w:val="21"/>
              </w:rPr>
            </w:pPr>
            <w:r>
              <w:rPr>
                <w:sz w:val="21"/>
                <w:szCs w:val="21"/>
                <w:color w:val="505050"/>
                <w:spacing w:val="50"/>
                <w:w w:val="125"/>
                <w:position w:val="-3"/>
              </w:rPr>
              <w:t>1</w:t>
            </w:r>
          </w:p>
        </w:tc>
        <w:tc>
          <w:tcPr>
            <w:tcW w:w="1308" w:type="dxa"/>
            <w:vAlign w:val="top"/>
            <w:vMerge w:val="restart"/>
            <w:tcBorders>
              <w:bottom w:val="nil"/>
            </w:tcBorders>
          </w:tcPr>
          <w:p>
            <w:pPr>
              <w:pStyle w:val="TableText"/>
              <w:ind w:left="380"/>
              <w:spacing w:before="230" w:line="185" w:lineRule="auto"/>
              <w:rPr>
                <w:sz w:val="21"/>
                <w:szCs w:val="21"/>
              </w:rPr>
            </w:pPr>
            <w:r>
              <w:rPr>
                <w:sz w:val="21"/>
                <w:szCs w:val="21"/>
                <w:spacing w:val="-1"/>
              </w:rPr>
              <w:t>DA001</w:t>
            </w:r>
          </w:p>
        </w:tc>
        <w:tc>
          <w:tcPr>
            <w:tcW w:w="1159" w:type="dxa"/>
            <w:vAlign w:val="top"/>
          </w:tcPr>
          <w:p>
            <w:pPr>
              <w:pStyle w:val="TableText"/>
              <w:ind w:left="363"/>
              <w:spacing w:before="62" w:line="164"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1099" w:type="dxa"/>
            <w:vAlign w:val="top"/>
            <w:vMerge w:val="restart"/>
            <w:tcBorders>
              <w:bottom w:val="nil"/>
            </w:tcBorders>
          </w:tcPr>
          <w:p>
            <w:pPr>
              <w:pStyle w:val="TableText"/>
              <w:ind w:left="14"/>
              <w:spacing w:before="179" w:line="220" w:lineRule="auto"/>
              <w:rPr>
                <w:sz w:val="21"/>
                <w:szCs w:val="21"/>
              </w:rPr>
            </w:pPr>
            <w:r>
              <w:rPr>
                <w:sz w:val="21"/>
                <w:szCs w:val="21"/>
                <w:spacing w:val="-2"/>
              </w:rPr>
              <w:t>有组织排放</w:t>
            </w:r>
          </w:p>
        </w:tc>
        <w:tc>
          <w:tcPr>
            <w:tcW w:w="1099" w:type="dxa"/>
            <w:vAlign w:val="top"/>
            <w:vMerge w:val="restart"/>
            <w:tcBorders>
              <w:bottom w:val="nil"/>
            </w:tcBorders>
          </w:tcPr>
          <w:p>
            <w:pPr>
              <w:pStyle w:val="TableText"/>
              <w:ind w:left="334"/>
              <w:spacing w:before="182" w:line="222" w:lineRule="auto"/>
              <w:rPr>
                <w:sz w:val="21"/>
                <w:szCs w:val="21"/>
              </w:rPr>
            </w:pPr>
            <w:r>
              <w:rPr>
                <w:sz w:val="21"/>
                <w:szCs w:val="21"/>
                <w:spacing w:val="4"/>
              </w:rPr>
              <w:t>点源</w:t>
            </w:r>
          </w:p>
        </w:tc>
        <w:tc>
          <w:tcPr>
            <w:tcW w:w="1198" w:type="dxa"/>
            <w:vAlign w:val="top"/>
          </w:tcPr>
          <w:p>
            <w:pPr>
              <w:pStyle w:val="TableText"/>
              <w:ind w:left="276"/>
              <w:spacing w:before="49" w:line="175" w:lineRule="auto"/>
              <w:rPr>
                <w:sz w:val="21"/>
                <w:szCs w:val="21"/>
              </w:rPr>
            </w:pPr>
            <w:r>
              <w:rPr>
                <w:sz w:val="21"/>
                <w:szCs w:val="21"/>
                <w:spacing w:val="-2"/>
              </w:rPr>
              <w:t>0.5690</w:t>
            </w:r>
          </w:p>
        </w:tc>
        <w:tc>
          <w:tcPr>
            <w:tcW w:w="1218" w:type="dxa"/>
            <w:vAlign w:val="top"/>
          </w:tcPr>
          <w:p>
            <w:pPr>
              <w:pStyle w:val="TableText"/>
              <w:ind w:left="398"/>
              <w:spacing w:before="49" w:line="175" w:lineRule="auto"/>
              <w:rPr>
                <w:sz w:val="21"/>
                <w:szCs w:val="21"/>
              </w:rPr>
            </w:pPr>
            <w:r>
              <w:rPr>
                <w:sz w:val="21"/>
                <w:szCs w:val="21"/>
                <w:spacing w:val="-2"/>
              </w:rPr>
              <w:t>0.28</w:t>
            </w:r>
          </w:p>
        </w:tc>
        <w:tc>
          <w:tcPr>
            <w:tcW w:w="874" w:type="dxa"/>
            <w:vAlign w:val="top"/>
          </w:tcPr>
          <w:p>
            <w:pPr>
              <w:pStyle w:val="TableText"/>
              <w:ind w:left="219"/>
              <w:spacing w:before="30" w:line="192" w:lineRule="auto"/>
              <w:rPr>
                <w:sz w:val="21"/>
                <w:szCs w:val="21"/>
              </w:rPr>
            </w:pPr>
            <w:r>
              <w:rPr>
                <w:sz w:val="21"/>
                <w:szCs w:val="21"/>
                <w:spacing w:val="6"/>
              </w:rPr>
              <w:t>三级</w:t>
            </w:r>
          </w:p>
        </w:tc>
      </w:tr>
      <w:tr>
        <w:trPr>
          <w:trHeight w:val="289" w:hRule="atLeast"/>
        </w:trPr>
        <w:tc>
          <w:tcPr>
            <w:tcW w:w="524" w:type="dxa"/>
            <w:vAlign w:val="top"/>
            <w:vMerge w:val="continue"/>
            <w:textDirection w:val="tbRlV"/>
            <w:tcBorders>
              <w:top w:val="nil"/>
            </w:tcBorders>
          </w:tcPr>
          <w:p>
            <w:pPr>
              <w:rPr>
                <w:rFonts w:ascii="Arial"/>
                <w:sz w:val="21"/>
              </w:rPr>
            </w:pPr>
            <w:r/>
          </w:p>
        </w:tc>
        <w:tc>
          <w:tcPr>
            <w:tcW w:w="1308" w:type="dxa"/>
            <w:vAlign w:val="top"/>
            <w:vMerge w:val="continue"/>
            <w:tcBorders>
              <w:top w:val="nil"/>
            </w:tcBorders>
          </w:tcPr>
          <w:p>
            <w:pPr>
              <w:rPr>
                <w:rFonts w:ascii="Arial"/>
                <w:sz w:val="21"/>
              </w:rPr>
            </w:pPr>
            <w:r/>
          </w:p>
        </w:tc>
        <w:tc>
          <w:tcPr>
            <w:tcW w:w="1159" w:type="dxa"/>
            <w:vAlign w:val="top"/>
          </w:tcPr>
          <w:p>
            <w:pPr>
              <w:pStyle w:val="TableText"/>
              <w:ind w:left="363"/>
              <w:spacing w:before="73" w:line="181"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1099" w:type="dxa"/>
            <w:vAlign w:val="top"/>
            <w:vMerge w:val="continue"/>
            <w:tcBorders>
              <w:top w:val="nil"/>
            </w:tcBorders>
          </w:tcPr>
          <w:p>
            <w:pPr>
              <w:rPr>
                <w:rFonts w:ascii="Arial"/>
                <w:sz w:val="21"/>
              </w:rPr>
            </w:pPr>
            <w:r/>
          </w:p>
        </w:tc>
        <w:tc>
          <w:tcPr>
            <w:tcW w:w="1099" w:type="dxa"/>
            <w:vAlign w:val="top"/>
            <w:vMerge w:val="continue"/>
            <w:tcBorders>
              <w:top w:val="nil"/>
            </w:tcBorders>
          </w:tcPr>
          <w:p>
            <w:pPr>
              <w:rPr>
                <w:rFonts w:ascii="Arial"/>
                <w:sz w:val="21"/>
              </w:rPr>
            </w:pPr>
            <w:r/>
          </w:p>
        </w:tc>
        <w:tc>
          <w:tcPr>
            <w:tcW w:w="1198" w:type="dxa"/>
            <w:vAlign w:val="top"/>
          </w:tcPr>
          <w:p>
            <w:pPr>
              <w:pStyle w:val="TableText"/>
              <w:ind w:left="276"/>
              <w:spacing w:before="60" w:line="192" w:lineRule="auto"/>
              <w:rPr>
                <w:sz w:val="21"/>
                <w:szCs w:val="21"/>
              </w:rPr>
            </w:pPr>
            <w:r>
              <w:rPr>
                <w:sz w:val="21"/>
                <w:szCs w:val="21"/>
                <w:color w:val="707060"/>
                <w:spacing w:val="-2"/>
              </w:rPr>
              <w:t>0.2123</w:t>
            </w:r>
          </w:p>
        </w:tc>
        <w:tc>
          <w:tcPr>
            <w:tcW w:w="1218" w:type="dxa"/>
            <w:vAlign w:val="top"/>
          </w:tcPr>
          <w:p>
            <w:pPr>
              <w:pStyle w:val="TableText"/>
              <w:ind w:left="398"/>
              <w:spacing w:before="60" w:line="192" w:lineRule="auto"/>
              <w:rPr>
                <w:sz w:val="21"/>
                <w:szCs w:val="21"/>
              </w:rPr>
            </w:pPr>
            <w:r>
              <w:rPr>
                <w:sz w:val="21"/>
                <w:szCs w:val="21"/>
                <w:spacing w:val="-3"/>
              </w:rPr>
              <w:t>2.12</w:t>
            </w:r>
          </w:p>
        </w:tc>
        <w:tc>
          <w:tcPr>
            <w:tcW w:w="874" w:type="dxa"/>
            <w:vAlign w:val="top"/>
          </w:tcPr>
          <w:p>
            <w:pPr>
              <w:pStyle w:val="TableText"/>
              <w:ind w:left="219"/>
              <w:spacing w:before="42" w:line="208" w:lineRule="auto"/>
              <w:rPr>
                <w:sz w:val="21"/>
                <w:szCs w:val="21"/>
              </w:rPr>
            </w:pPr>
            <w:r>
              <w:rPr>
                <w:sz w:val="21"/>
                <w:szCs w:val="21"/>
                <w:spacing w:val="6"/>
              </w:rPr>
              <w:t>二级</w:t>
            </w:r>
          </w:p>
        </w:tc>
      </w:tr>
      <w:tr>
        <w:trPr>
          <w:trHeight w:val="260" w:hRule="atLeast"/>
        </w:trPr>
        <w:tc>
          <w:tcPr>
            <w:tcW w:w="524" w:type="dxa"/>
            <w:vAlign w:val="top"/>
            <w:vMerge w:val="restart"/>
            <w:tcBorders>
              <w:bottom w:val="nil"/>
            </w:tcBorders>
          </w:tcPr>
          <w:p>
            <w:pPr>
              <w:pStyle w:val="TableText"/>
              <w:ind w:left="194"/>
              <w:spacing w:before="191" w:line="241" w:lineRule="auto"/>
              <w:rPr>
                <w:sz w:val="21"/>
                <w:szCs w:val="21"/>
              </w:rPr>
            </w:pPr>
            <w:r>
              <w:rPr>
                <w:sz w:val="21"/>
                <w:szCs w:val="21"/>
              </w:rPr>
              <w:t>2</w:t>
            </w:r>
          </w:p>
        </w:tc>
        <w:tc>
          <w:tcPr>
            <w:tcW w:w="1308" w:type="dxa"/>
            <w:vAlign w:val="top"/>
            <w:vMerge w:val="restart"/>
            <w:tcBorders>
              <w:bottom w:val="nil"/>
            </w:tcBorders>
          </w:tcPr>
          <w:p>
            <w:pPr>
              <w:pStyle w:val="TableText"/>
              <w:ind w:left="380"/>
              <w:spacing w:before="222" w:line="185" w:lineRule="auto"/>
              <w:rPr>
                <w:sz w:val="21"/>
                <w:szCs w:val="21"/>
              </w:rPr>
            </w:pPr>
            <w:r>
              <w:rPr>
                <w:sz w:val="21"/>
                <w:szCs w:val="21"/>
                <w:spacing w:val="-1"/>
              </w:rPr>
              <w:t>DA002</w:t>
            </w:r>
          </w:p>
        </w:tc>
        <w:tc>
          <w:tcPr>
            <w:tcW w:w="1159" w:type="dxa"/>
            <w:vAlign w:val="top"/>
          </w:tcPr>
          <w:p>
            <w:pPr>
              <w:pStyle w:val="TableText"/>
              <w:ind w:left="363"/>
              <w:spacing w:before="64" w:line="163"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1099" w:type="dxa"/>
            <w:vAlign w:val="top"/>
            <w:vMerge w:val="restart"/>
            <w:tcBorders>
              <w:bottom w:val="nil"/>
            </w:tcBorders>
          </w:tcPr>
          <w:p>
            <w:pPr>
              <w:pStyle w:val="TableText"/>
              <w:ind w:left="14"/>
              <w:spacing w:before="171" w:line="220" w:lineRule="auto"/>
              <w:rPr>
                <w:sz w:val="21"/>
                <w:szCs w:val="21"/>
              </w:rPr>
            </w:pPr>
            <w:r>
              <w:rPr>
                <w:sz w:val="21"/>
                <w:szCs w:val="21"/>
                <w:spacing w:val="-2"/>
              </w:rPr>
              <w:t>有组织排放</w:t>
            </w:r>
          </w:p>
        </w:tc>
        <w:tc>
          <w:tcPr>
            <w:tcW w:w="1099" w:type="dxa"/>
            <w:vAlign w:val="top"/>
            <w:vMerge w:val="restart"/>
            <w:tcBorders>
              <w:bottom w:val="nil"/>
            </w:tcBorders>
          </w:tcPr>
          <w:p>
            <w:pPr>
              <w:pStyle w:val="TableText"/>
              <w:ind w:left="334"/>
              <w:spacing w:before="174" w:line="222" w:lineRule="auto"/>
              <w:rPr>
                <w:sz w:val="21"/>
                <w:szCs w:val="21"/>
              </w:rPr>
            </w:pPr>
            <w:r>
              <w:rPr>
                <w:sz w:val="21"/>
                <w:szCs w:val="21"/>
                <w:spacing w:val="4"/>
              </w:rPr>
              <w:t>点源</w:t>
            </w:r>
          </w:p>
        </w:tc>
        <w:tc>
          <w:tcPr>
            <w:tcW w:w="1198" w:type="dxa"/>
            <w:vAlign w:val="top"/>
          </w:tcPr>
          <w:p>
            <w:pPr>
              <w:pStyle w:val="TableText"/>
              <w:ind w:left="276"/>
              <w:spacing w:before="52" w:line="174" w:lineRule="auto"/>
              <w:rPr>
                <w:sz w:val="21"/>
                <w:szCs w:val="21"/>
              </w:rPr>
            </w:pPr>
            <w:r>
              <w:rPr>
                <w:sz w:val="21"/>
                <w:szCs w:val="21"/>
                <w:spacing w:val="-2"/>
              </w:rPr>
              <w:t>0.1999</w:t>
            </w:r>
          </w:p>
        </w:tc>
        <w:tc>
          <w:tcPr>
            <w:tcW w:w="1218" w:type="dxa"/>
            <w:vAlign w:val="top"/>
          </w:tcPr>
          <w:p>
            <w:pPr>
              <w:pStyle w:val="TableText"/>
              <w:ind w:left="398"/>
              <w:spacing w:before="52" w:line="174" w:lineRule="auto"/>
              <w:rPr>
                <w:sz w:val="21"/>
                <w:szCs w:val="21"/>
              </w:rPr>
            </w:pPr>
            <w:r>
              <w:rPr>
                <w:sz w:val="21"/>
                <w:szCs w:val="21"/>
                <w:color w:val="505050"/>
                <w:spacing w:val="-2"/>
              </w:rPr>
              <w:t>0.10</w:t>
            </w:r>
          </w:p>
        </w:tc>
        <w:tc>
          <w:tcPr>
            <w:tcW w:w="874" w:type="dxa"/>
            <w:vAlign w:val="top"/>
          </w:tcPr>
          <w:p>
            <w:pPr>
              <w:pStyle w:val="TableText"/>
              <w:ind w:left="219"/>
              <w:spacing w:before="32" w:line="191" w:lineRule="auto"/>
              <w:rPr>
                <w:sz w:val="21"/>
                <w:szCs w:val="21"/>
              </w:rPr>
            </w:pPr>
            <w:r>
              <w:rPr>
                <w:sz w:val="21"/>
                <w:szCs w:val="21"/>
                <w:spacing w:val="6"/>
              </w:rPr>
              <w:t>三级</w:t>
            </w:r>
          </w:p>
        </w:tc>
      </w:tr>
      <w:tr>
        <w:trPr>
          <w:trHeight w:val="279" w:hRule="atLeast"/>
        </w:trPr>
        <w:tc>
          <w:tcPr>
            <w:tcW w:w="524" w:type="dxa"/>
            <w:vAlign w:val="top"/>
            <w:vMerge w:val="continue"/>
            <w:tcBorders>
              <w:top w:val="nil"/>
            </w:tcBorders>
          </w:tcPr>
          <w:p>
            <w:pPr>
              <w:rPr>
                <w:rFonts w:ascii="Arial"/>
                <w:sz w:val="21"/>
              </w:rPr>
            </w:pPr>
            <w:r/>
          </w:p>
        </w:tc>
        <w:tc>
          <w:tcPr>
            <w:tcW w:w="1308" w:type="dxa"/>
            <w:vAlign w:val="top"/>
            <w:vMerge w:val="continue"/>
            <w:tcBorders>
              <w:top w:val="nil"/>
            </w:tcBorders>
          </w:tcPr>
          <w:p>
            <w:pPr>
              <w:rPr>
                <w:rFonts w:ascii="Arial"/>
                <w:sz w:val="21"/>
              </w:rPr>
            </w:pPr>
            <w:r/>
          </w:p>
        </w:tc>
        <w:tc>
          <w:tcPr>
            <w:tcW w:w="1159" w:type="dxa"/>
            <w:vAlign w:val="top"/>
          </w:tcPr>
          <w:p>
            <w:pPr>
              <w:pStyle w:val="TableText"/>
              <w:ind w:left="363"/>
              <w:spacing w:before="74" w:line="171"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1099" w:type="dxa"/>
            <w:vAlign w:val="top"/>
            <w:vMerge w:val="continue"/>
            <w:tcBorders>
              <w:top w:val="nil"/>
            </w:tcBorders>
          </w:tcPr>
          <w:p>
            <w:pPr>
              <w:rPr>
                <w:rFonts w:ascii="Arial"/>
                <w:sz w:val="21"/>
              </w:rPr>
            </w:pPr>
            <w:r/>
          </w:p>
        </w:tc>
        <w:tc>
          <w:tcPr>
            <w:tcW w:w="1099" w:type="dxa"/>
            <w:vAlign w:val="top"/>
            <w:vMerge w:val="continue"/>
            <w:tcBorders>
              <w:top w:val="nil"/>
            </w:tcBorders>
          </w:tcPr>
          <w:p>
            <w:pPr>
              <w:rPr>
                <w:rFonts w:ascii="Arial"/>
                <w:sz w:val="21"/>
              </w:rPr>
            </w:pPr>
            <w:r/>
          </w:p>
        </w:tc>
        <w:tc>
          <w:tcPr>
            <w:tcW w:w="1198" w:type="dxa"/>
            <w:vAlign w:val="top"/>
          </w:tcPr>
          <w:p>
            <w:pPr>
              <w:pStyle w:val="TableText"/>
              <w:ind w:left="276"/>
              <w:spacing w:before="61" w:line="182" w:lineRule="auto"/>
              <w:rPr>
                <w:sz w:val="21"/>
                <w:szCs w:val="21"/>
              </w:rPr>
            </w:pPr>
            <w:r>
              <w:rPr>
                <w:sz w:val="21"/>
                <w:szCs w:val="21"/>
                <w:spacing w:val="-2"/>
              </w:rPr>
              <w:t>0.0562</w:t>
            </w:r>
          </w:p>
        </w:tc>
        <w:tc>
          <w:tcPr>
            <w:tcW w:w="1218" w:type="dxa"/>
            <w:vAlign w:val="top"/>
          </w:tcPr>
          <w:p>
            <w:pPr>
              <w:pStyle w:val="TableText"/>
              <w:ind w:left="398"/>
              <w:spacing w:before="61" w:line="182" w:lineRule="auto"/>
              <w:rPr>
                <w:sz w:val="21"/>
                <w:szCs w:val="21"/>
              </w:rPr>
            </w:pPr>
            <w:r>
              <w:rPr>
                <w:sz w:val="21"/>
                <w:szCs w:val="21"/>
                <w:spacing w:val="-2"/>
              </w:rPr>
              <w:t>0.56</w:t>
            </w:r>
          </w:p>
        </w:tc>
        <w:tc>
          <w:tcPr>
            <w:tcW w:w="874" w:type="dxa"/>
            <w:vAlign w:val="top"/>
          </w:tcPr>
          <w:p>
            <w:pPr>
              <w:pStyle w:val="TableText"/>
              <w:ind w:left="219"/>
              <w:spacing w:before="42" w:line="199" w:lineRule="auto"/>
              <w:rPr>
                <w:sz w:val="21"/>
                <w:szCs w:val="21"/>
              </w:rPr>
            </w:pPr>
            <w:r>
              <w:rPr>
                <w:sz w:val="21"/>
                <w:szCs w:val="21"/>
                <w:spacing w:val="6"/>
              </w:rPr>
              <w:t>三级</w:t>
            </w:r>
          </w:p>
        </w:tc>
      </w:tr>
      <w:tr>
        <w:trPr>
          <w:trHeight w:val="269" w:hRule="atLeast"/>
        </w:trPr>
        <w:tc>
          <w:tcPr>
            <w:tcW w:w="524" w:type="dxa"/>
            <w:vAlign w:val="top"/>
            <w:vMerge w:val="restart"/>
            <w:textDirection w:val="tbRlV"/>
            <w:tcBorders>
              <w:bottom w:val="nil"/>
            </w:tcBorders>
          </w:tcPr>
          <w:p>
            <w:pPr>
              <w:pStyle w:val="TableText"/>
              <w:ind w:left="15"/>
              <w:spacing w:before="224" w:line="144" w:lineRule="exact"/>
              <w:rPr>
                <w:sz w:val="21"/>
                <w:szCs w:val="21"/>
              </w:rPr>
            </w:pPr>
            <w:r>
              <w:rPr>
                <w:sz w:val="21"/>
                <w:szCs w:val="21"/>
                <w:spacing w:val="51"/>
                <w:w w:val="125"/>
                <w:position w:val="-3"/>
              </w:rPr>
              <w:t>3</w:t>
            </w:r>
          </w:p>
        </w:tc>
        <w:tc>
          <w:tcPr>
            <w:tcW w:w="1308" w:type="dxa"/>
            <w:vAlign w:val="top"/>
            <w:vMerge w:val="restart"/>
            <w:tcBorders>
              <w:bottom w:val="nil"/>
            </w:tcBorders>
          </w:tcPr>
          <w:p>
            <w:pPr>
              <w:pStyle w:val="TableText"/>
              <w:ind w:left="380"/>
              <w:spacing w:before="223" w:line="185" w:lineRule="auto"/>
              <w:rPr>
                <w:sz w:val="21"/>
                <w:szCs w:val="21"/>
              </w:rPr>
            </w:pPr>
            <w:r>
              <w:rPr>
                <w:sz w:val="21"/>
                <w:szCs w:val="21"/>
                <w:spacing w:val="-1"/>
              </w:rPr>
              <w:t>DA003</w:t>
            </w:r>
          </w:p>
        </w:tc>
        <w:tc>
          <w:tcPr>
            <w:tcW w:w="1159" w:type="dxa"/>
            <w:vAlign w:val="top"/>
          </w:tcPr>
          <w:p>
            <w:pPr>
              <w:pStyle w:val="TableText"/>
              <w:ind w:left="363"/>
              <w:spacing w:before="65" w:line="170"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1099" w:type="dxa"/>
            <w:vAlign w:val="top"/>
            <w:vMerge w:val="restart"/>
            <w:tcBorders>
              <w:bottom w:val="nil"/>
            </w:tcBorders>
          </w:tcPr>
          <w:p>
            <w:pPr>
              <w:pStyle w:val="TableText"/>
              <w:ind w:left="14"/>
              <w:spacing w:before="172" w:line="220" w:lineRule="auto"/>
              <w:rPr>
                <w:sz w:val="21"/>
                <w:szCs w:val="21"/>
              </w:rPr>
            </w:pPr>
            <w:r>
              <w:rPr>
                <w:sz w:val="21"/>
                <w:szCs w:val="21"/>
                <w:spacing w:val="-2"/>
              </w:rPr>
              <w:t>有组织排放</w:t>
            </w:r>
          </w:p>
        </w:tc>
        <w:tc>
          <w:tcPr>
            <w:tcW w:w="1099" w:type="dxa"/>
            <w:vAlign w:val="top"/>
            <w:vMerge w:val="restart"/>
            <w:tcBorders>
              <w:bottom w:val="nil"/>
            </w:tcBorders>
          </w:tcPr>
          <w:p>
            <w:pPr>
              <w:pStyle w:val="TableText"/>
              <w:ind w:left="334"/>
              <w:spacing w:before="175" w:line="222" w:lineRule="auto"/>
              <w:rPr>
                <w:sz w:val="21"/>
                <w:szCs w:val="21"/>
              </w:rPr>
            </w:pPr>
            <w:r>
              <w:rPr>
                <w:sz w:val="21"/>
                <w:szCs w:val="21"/>
                <w:spacing w:val="4"/>
              </w:rPr>
              <w:t>点源</w:t>
            </w:r>
          </w:p>
        </w:tc>
        <w:tc>
          <w:tcPr>
            <w:tcW w:w="1198" w:type="dxa"/>
            <w:vAlign w:val="top"/>
          </w:tcPr>
          <w:p>
            <w:pPr>
              <w:pStyle w:val="TableText"/>
              <w:ind w:left="276"/>
              <w:spacing w:before="53" w:line="181" w:lineRule="auto"/>
              <w:rPr>
                <w:sz w:val="21"/>
                <w:szCs w:val="21"/>
              </w:rPr>
            </w:pPr>
            <w:r>
              <w:rPr>
                <w:sz w:val="21"/>
                <w:szCs w:val="21"/>
                <w:spacing w:val="-2"/>
              </w:rPr>
              <w:t>0.3126</w:t>
            </w:r>
          </w:p>
        </w:tc>
        <w:tc>
          <w:tcPr>
            <w:tcW w:w="1218" w:type="dxa"/>
            <w:vAlign w:val="top"/>
          </w:tcPr>
          <w:p>
            <w:pPr>
              <w:pStyle w:val="TableText"/>
              <w:ind w:left="398"/>
              <w:spacing w:before="53" w:line="181" w:lineRule="auto"/>
              <w:rPr>
                <w:sz w:val="21"/>
                <w:szCs w:val="21"/>
              </w:rPr>
            </w:pPr>
            <w:r>
              <w:rPr>
                <w:sz w:val="21"/>
                <w:szCs w:val="21"/>
                <w:spacing w:val="-2"/>
              </w:rPr>
              <w:t>0.16</w:t>
            </w:r>
          </w:p>
        </w:tc>
        <w:tc>
          <w:tcPr>
            <w:tcW w:w="874" w:type="dxa"/>
            <w:vAlign w:val="top"/>
          </w:tcPr>
          <w:p>
            <w:pPr>
              <w:pStyle w:val="TableText"/>
              <w:ind w:left="219"/>
              <w:spacing w:before="33" w:line="198" w:lineRule="auto"/>
              <w:rPr>
                <w:sz w:val="21"/>
                <w:szCs w:val="21"/>
              </w:rPr>
            </w:pPr>
            <w:r>
              <w:rPr>
                <w:sz w:val="21"/>
                <w:szCs w:val="21"/>
                <w:spacing w:val="6"/>
              </w:rPr>
              <w:t>三级</w:t>
            </w:r>
          </w:p>
        </w:tc>
      </w:tr>
      <w:tr>
        <w:trPr>
          <w:trHeight w:val="260" w:hRule="atLeast"/>
        </w:trPr>
        <w:tc>
          <w:tcPr>
            <w:tcW w:w="524" w:type="dxa"/>
            <w:vAlign w:val="top"/>
            <w:vMerge w:val="continue"/>
            <w:textDirection w:val="tbRlV"/>
            <w:tcBorders>
              <w:top w:val="nil"/>
            </w:tcBorders>
          </w:tcPr>
          <w:p>
            <w:pPr>
              <w:rPr>
                <w:rFonts w:ascii="Arial"/>
                <w:sz w:val="21"/>
              </w:rPr>
            </w:pPr>
            <w:r/>
          </w:p>
        </w:tc>
        <w:tc>
          <w:tcPr>
            <w:tcW w:w="1308" w:type="dxa"/>
            <w:vAlign w:val="top"/>
            <w:vMerge w:val="continue"/>
            <w:tcBorders>
              <w:top w:val="nil"/>
            </w:tcBorders>
          </w:tcPr>
          <w:p>
            <w:pPr>
              <w:rPr>
                <w:rFonts w:ascii="Arial"/>
                <w:sz w:val="21"/>
              </w:rPr>
            </w:pPr>
            <w:r/>
          </w:p>
        </w:tc>
        <w:tc>
          <w:tcPr>
            <w:tcW w:w="1159" w:type="dxa"/>
            <w:vAlign w:val="top"/>
          </w:tcPr>
          <w:p>
            <w:pPr>
              <w:pStyle w:val="TableText"/>
              <w:ind w:left="363"/>
              <w:spacing w:before="66" w:line="161"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1099" w:type="dxa"/>
            <w:vAlign w:val="top"/>
            <w:vMerge w:val="continue"/>
            <w:tcBorders>
              <w:top w:val="nil"/>
            </w:tcBorders>
          </w:tcPr>
          <w:p>
            <w:pPr>
              <w:rPr>
                <w:rFonts w:ascii="Arial"/>
                <w:sz w:val="21"/>
              </w:rPr>
            </w:pPr>
            <w:r/>
          </w:p>
        </w:tc>
        <w:tc>
          <w:tcPr>
            <w:tcW w:w="1099" w:type="dxa"/>
            <w:vAlign w:val="top"/>
            <w:vMerge w:val="continue"/>
            <w:tcBorders>
              <w:top w:val="nil"/>
            </w:tcBorders>
          </w:tcPr>
          <w:p>
            <w:pPr>
              <w:rPr>
                <w:rFonts w:ascii="Arial"/>
                <w:sz w:val="21"/>
              </w:rPr>
            </w:pPr>
            <w:r/>
          </w:p>
        </w:tc>
        <w:tc>
          <w:tcPr>
            <w:tcW w:w="1198" w:type="dxa"/>
            <w:vAlign w:val="top"/>
          </w:tcPr>
          <w:p>
            <w:pPr>
              <w:pStyle w:val="TableText"/>
              <w:ind w:left="276"/>
              <w:spacing w:before="53" w:line="173" w:lineRule="auto"/>
              <w:rPr>
                <w:sz w:val="21"/>
                <w:szCs w:val="21"/>
              </w:rPr>
            </w:pPr>
            <w:r>
              <w:rPr>
                <w:sz w:val="21"/>
                <w:szCs w:val="21"/>
                <w:color w:val="707060"/>
                <w:spacing w:val="-2"/>
              </w:rPr>
              <w:t>0.0187</w:t>
            </w:r>
          </w:p>
        </w:tc>
        <w:tc>
          <w:tcPr>
            <w:tcW w:w="1218" w:type="dxa"/>
            <w:vAlign w:val="top"/>
          </w:tcPr>
          <w:p>
            <w:pPr>
              <w:pStyle w:val="TableText"/>
              <w:ind w:left="398"/>
              <w:spacing w:before="53" w:line="173" w:lineRule="auto"/>
              <w:rPr>
                <w:sz w:val="21"/>
                <w:szCs w:val="21"/>
              </w:rPr>
            </w:pPr>
            <w:r>
              <w:rPr>
                <w:sz w:val="21"/>
                <w:szCs w:val="21"/>
                <w:color w:val="404050"/>
                <w:spacing w:val="-2"/>
              </w:rPr>
              <w:t>0.19</w:t>
            </w:r>
          </w:p>
        </w:tc>
        <w:tc>
          <w:tcPr>
            <w:tcW w:w="874" w:type="dxa"/>
            <w:vAlign w:val="top"/>
          </w:tcPr>
          <w:p>
            <w:pPr>
              <w:pStyle w:val="TableText"/>
              <w:ind w:left="219"/>
              <w:spacing w:before="35" w:line="189" w:lineRule="auto"/>
              <w:rPr>
                <w:sz w:val="21"/>
                <w:szCs w:val="21"/>
              </w:rPr>
            </w:pPr>
            <w:r>
              <w:rPr>
                <w:sz w:val="21"/>
                <w:szCs w:val="21"/>
                <w:spacing w:val="6"/>
              </w:rPr>
              <w:t>三级</w:t>
            </w:r>
          </w:p>
        </w:tc>
      </w:tr>
      <w:tr>
        <w:trPr>
          <w:trHeight w:val="280" w:hRule="atLeast"/>
        </w:trPr>
        <w:tc>
          <w:tcPr>
            <w:tcW w:w="524" w:type="dxa"/>
            <w:vAlign w:val="top"/>
            <w:vMerge w:val="restart"/>
            <w:textDirection w:val="tbRlV"/>
            <w:tcBorders>
              <w:bottom w:val="nil"/>
            </w:tcBorders>
          </w:tcPr>
          <w:p>
            <w:pPr>
              <w:pStyle w:val="TableText"/>
              <w:ind w:left="136"/>
              <w:spacing w:before="218" w:line="157" w:lineRule="exact"/>
              <w:rPr>
                <w:sz w:val="21"/>
                <w:szCs w:val="21"/>
              </w:rPr>
            </w:pPr>
            <w:r>
              <w:rPr>
                <w:sz w:val="21"/>
                <w:szCs w:val="21"/>
                <w:spacing w:val="50"/>
                <w:w w:val="125"/>
                <w:position w:val="-3"/>
              </w:rPr>
              <w:t>4</w:t>
            </w:r>
          </w:p>
        </w:tc>
        <w:tc>
          <w:tcPr>
            <w:tcW w:w="1308" w:type="dxa"/>
            <w:vAlign w:val="top"/>
            <w:vMerge w:val="restart"/>
            <w:tcBorders>
              <w:bottom w:val="nil"/>
            </w:tcBorders>
          </w:tcPr>
          <w:p>
            <w:pPr>
              <w:pStyle w:val="TableText"/>
              <w:ind w:left="380"/>
              <w:spacing w:before="234" w:line="185" w:lineRule="auto"/>
              <w:rPr>
                <w:sz w:val="21"/>
                <w:szCs w:val="21"/>
              </w:rPr>
            </w:pPr>
            <w:r>
              <w:rPr>
                <w:sz w:val="21"/>
                <w:szCs w:val="21"/>
                <w:spacing w:val="-1"/>
              </w:rPr>
              <w:t>DA004</w:t>
            </w:r>
          </w:p>
        </w:tc>
        <w:tc>
          <w:tcPr>
            <w:tcW w:w="1159" w:type="dxa"/>
            <w:vAlign w:val="top"/>
          </w:tcPr>
          <w:p>
            <w:pPr>
              <w:pStyle w:val="TableText"/>
              <w:ind w:left="363"/>
              <w:spacing w:before="76" w:line="170"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1099" w:type="dxa"/>
            <w:vAlign w:val="top"/>
            <w:vMerge w:val="restart"/>
            <w:tcBorders>
              <w:bottom w:val="nil"/>
            </w:tcBorders>
          </w:tcPr>
          <w:p>
            <w:pPr>
              <w:pStyle w:val="TableText"/>
              <w:ind w:left="14"/>
              <w:spacing w:before="183" w:line="220" w:lineRule="auto"/>
              <w:rPr>
                <w:sz w:val="21"/>
                <w:szCs w:val="21"/>
              </w:rPr>
            </w:pPr>
            <w:r>
              <w:rPr>
                <w:sz w:val="21"/>
                <w:szCs w:val="21"/>
                <w:spacing w:val="-2"/>
              </w:rPr>
              <w:t>有组织排放</w:t>
            </w:r>
          </w:p>
        </w:tc>
        <w:tc>
          <w:tcPr>
            <w:tcW w:w="1099" w:type="dxa"/>
            <w:vAlign w:val="top"/>
            <w:vMerge w:val="restart"/>
            <w:tcBorders>
              <w:bottom w:val="nil"/>
            </w:tcBorders>
          </w:tcPr>
          <w:p>
            <w:pPr>
              <w:pStyle w:val="TableText"/>
              <w:ind w:left="334"/>
              <w:spacing w:before="186" w:line="222" w:lineRule="auto"/>
              <w:rPr>
                <w:sz w:val="21"/>
                <w:szCs w:val="21"/>
              </w:rPr>
            </w:pPr>
            <w:r>
              <w:rPr>
                <w:sz w:val="21"/>
                <w:szCs w:val="21"/>
                <w:spacing w:val="4"/>
              </w:rPr>
              <w:t>点源</w:t>
            </w:r>
          </w:p>
        </w:tc>
        <w:tc>
          <w:tcPr>
            <w:tcW w:w="1198" w:type="dxa"/>
            <w:vAlign w:val="top"/>
          </w:tcPr>
          <w:p>
            <w:pPr>
              <w:pStyle w:val="TableText"/>
              <w:ind w:left="276"/>
              <w:spacing w:before="64" w:line="181" w:lineRule="auto"/>
              <w:rPr>
                <w:sz w:val="21"/>
                <w:szCs w:val="21"/>
              </w:rPr>
            </w:pPr>
            <w:r>
              <w:rPr>
                <w:sz w:val="21"/>
                <w:szCs w:val="21"/>
                <w:spacing w:val="-2"/>
              </w:rPr>
              <w:t>0.1036</w:t>
            </w:r>
          </w:p>
        </w:tc>
        <w:tc>
          <w:tcPr>
            <w:tcW w:w="1218" w:type="dxa"/>
            <w:vAlign w:val="top"/>
          </w:tcPr>
          <w:p>
            <w:pPr>
              <w:pStyle w:val="TableText"/>
              <w:ind w:left="398"/>
              <w:spacing w:before="64" w:line="181" w:lineRule="auto"/>
              <w:rPr>
                <w:sz w:val="21"/>
                <w:szCs w:val="21"/>
              </w:rPr>
            </w:pPr>
            <w:r>
              <w:rPr>
                <w:sz w:val="21"/>
                <w:szCs w:val="21"/>
                <w:spacing w:val="-2"/>
              </w:rPr>
              <w:t>0.05</w:t>
            </w:r>
          </w:p>
        </w:tc>
        <w:tc>
          <w:tcPr>
            <w:tcW w:w="874" w:type="dxa"/>
            <w:vAlign w:val="top"/>
          </w:tcPr>
          <w:p>
            <w:pPr>
              <w:pStyle w:val="TableText"/>
              <w:ind w:left="219"/>
              <w:spacing w:before="44" w:line="198" w:lineRule="auto"/>
              <w:rPr>
                <w:sz w:val="21"/>
                <w:szCs w:val="21"/>
              </w:rPr>
            </w:pPr>
            <w:r>
              <w:rPr>
                <w:sz w:val="21"/>
                <w:szCs w:val="21"/>
                <w:spacing w:val="6"/>
              </w:rPr>
              <w:t>三级</w:t>
            </w:r>
          </w:p>
        </w:tc>
      </w:tr>
      <w:tr>
        <w:trPr>
          <w:trHeight w:val="270" w:hRule="atLeast"/>
        </w:trPr>
        <w:tc>
          <w:tcPr>
            <w:tcW w:w="524" w:type="dxa"/>
            <w:vAlign w:val="top"/>
            <w:vMerge w:val="continue"/>
            <w:textDirection w:val="tbRlV"/>
            <w:tcBorders>
              <w:top w:val="nil"/>
            </w:tcBorders>
          </w:tcPr>
          <w:p>
            <w:pPr>
              <w:rPr>
                <w:rFonts w:ascii="Arial"/>
                <w:sz w:val="21"/>
              </w:rPr>
            </w:pPr>
            <w:r/>
          </w:p>
        </w:tc>
        <w:tc>
          <w:tcPr>
            <w:tcW w:w="1308" w:type="dxa"/>
            <w:vAlign w:val="top"/>
            <w:vMerge w:val="continue"/>
            <w:tcBorders>
              <w:top w:val="nil"/>
            </w:tcBorders>
          </w:tcPr>
          <w:p>
            <w:pPr>
              <w:rPr>
                <w:rFonts w:ascii="Arial"/>
                <w:sz w:val="21"/>
              </w:rPr>
            </w:pPr>
            <w:r/>
          </w:p>
        </w:tc>
        <w:tc>
          <w:tcPr>
            <w:tcW w:w="1159" w:type="dxa"/>
            <w:vAlign w:val="top"/>
          </w:tcPr>
          <w:p>
            <w:pPr>
              <w:pStyle w:val="TableText"/>
              <w:ind w:left="363"/>
              <w:spacing w:before="66" w:line="170"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1099" w:type="dxa"/>
            <w:vAlign w:val="top"/>
            <w:vMerge w:val="continue"/>
            <w:tcBorders>
              <w:top w:val="nil"/>
            </w:tcBorders>
          </w:tcPr>
          <w:p>
            <w:pPr>
              <w:rPr>
                <w:rFonts w:ascii="Arial"/>
                <w:sz w:val="21"/>
              </w:rPr>
            </w:pPr>
            <w:r/>
          </w:p>
        </w:tc>
        <w:tc>
          <w:tcPr>
            <w:tcW w:w="1099" w:type="dxa"/>
            <w:vAlign w:val="top"/>
            <w:vMerge w:val="continue"/>
            <w:tcBorders>
              <w:top w:val="nil"/>
            </w:tcBorders>
          </w:tcPr>
          <w:p>
            <w:pPr>
              <w:rPr>
                <w:rFonts w:ascii="Arial"/>
                <w:sz w:val="21"/>
              </w:rPr>
            </w:pPr>
            <w:r/>
          </w:p>
        </w:tc>
        <w:tc>
          <w:tcPr>
            <w:tcW w:w="1198" w:type="dxa"/>
            <w:vAlign w:val="top"/>
          </w:tcPr>
          <w:p>
            <w:pPr>
              <w:pStyle w:val="TableText"/>
              <w:ind w:left="276"/>
              <w:spacing w:before="54" w:line="181" w:lineRule="auto"/>
              <w:rPr>
                <w:sz w:val="21"/>
                <w:szCs w:val="21"/>
              </w:rPr>
            </w:pPr>
            <w:r>
              <w:rPr>
                <w:sz w:val="21"/>
                <w:szCs w:val="21"/>
                <w:spacing w:val="-2"/>
              </w:rPr>
              <w:t>0.0074</w:t>
            </w:r>
          </w:p>
        </w:tc>
        <w:tc>
          <w:tcPr>
            <w:tcW w:w="1218" w:type="dxa"/>
            <w:vAlign w:val="top"/>
          </w:tcPr>
          <w:p>
            <w:pPr>
              <w:pStyle w:val="TableText"/>
              <w:ind w:left="398"/>
              <w:spacing w:before="54" w:line="181" w:lineRule="auto"/>
              <w:rPr>
                <w:sz w:val="21"/>
                <w:szCs w:val="21"/>
              </w:rPr>
            </w:pPr>
            <w:r>
              <w:rPr>
                <w:sz w:val="21"/>
                <w:szCs w:val="21"/>
                <w:spacing w:val="-2"/>
              </w:rPr>
              <w:t>0.07</w:t>
            </w:r>
          </w:p>
        </w:tc>
        <w:tc>
          <w:tcPr>
            <w:tcW w:w="874" w:type="dxa"/>
            <w:vAlign w:val="top"/>
          </w:tcPr>
          <w:p>
            <w:pPr>
              <w:pStyle w:val="TableText"/>
              <w:ind w:left="219"/>
              <w:spacing w:before="34" w:line="198" w:lineRule="auto"/>
              <w:rPr>
                <w:sz w:val="21"/>
                <w:szCs w:val="21"/>
              </w:rPr>
            </w:pPr>
            <w:r>
              <w:rPr>
                <w:sz w:val="21"/>
                <w:szCs w:val="21"/>
                <w:spacing w:val="6"/>
              </w:rPr>
              <w:t>三级</w:t>
            </w:r>
          </w:p>
        </w:tc>
      </w:tr>
      <w:tr>
        <w:trPr>
          <w:trHeight w:val="279" w:hRule="atLeast"/>
        </w:trPr>
        <w:tc>
          <w:tcPr>
            <w:tcW w:w="524" w:type="dxa"/>
            <w:vAlign w:val="top"/>
            <w:vMerge w:val="restart"/>
            <w:textDirection w:val="tbRlV"/>
            <w:tcBorders>
              <w:bottom w:val="nil"/>
            </w:tcBorders>
          </w:tcPr>
          <w:p>
            <w:pPr>
              <w:pStyle w:val="TableText"/>
              <w:ind w:left="175"/>
              <w:spacing w:before="224" w:line="144" w:lineRule="exact"/>
              <w:rPr>
                <w:sz w:val="21"/>
                <w:szCs w:val="21"/>
              </w:rPr>
            </w:pPr>
            <w:r>
              <w:rPr>
                <w:sz w:val="21"/>
                <w:szCs w:val="21"/>
                <w:spacing w:val="51"/>
                <w:w w:val="125"/>
                <w:position w:val="-3"/>
              </w:rPr>
              <w:t>5</w:t>
            </w:r>
          </w:p>
        </w:tc>
        <w:tc>
          <w:tcPr>
            <w:tcW w:w="1308" w:type="dxa"/>
            <w:vAlign w:val="top"/>
            <w:vMerge w:val="restart"/>
            <w:tcBorders>
              <w:bottom w:val="nil"/>
            </w:tcBorders>
          </w:tcPr>
          <w:p>
            <w:pPr>
              <w:spacing w:line="304" w:lineRule="auto"/>
              <w:rPr>
                <w:rFonts w:ascii="Arial"/>
                <w:sz w:val="21"/>
              </w:rPr>
            </w:pPr>
            <w:r/>
          </w:p>
          <w:p>
            <w:pPr>
              <w:pStyle w:val="TableText"/>
              <w:ind w:left="380"/>
              <w:spacing w:before="68" w:line="185" w:lineRule="auto"/>
              <w:rPr>
                <w:sz w:val="21"/>
                <w:szCs w:val="21"/>
              </w:rPr>
            </w:pPr>
            <w:r>
              <w:rPr>
                <w:sz w:val="21"/>
                <w:szCs w:val="21"/>
                <w:spacing w:val="-1"/>
              </w:rPr>
              <w:t>DA005</w:t>
            </w:r>
          </w:p>
        </w:tc>
        <w:tc>
          <w:tcPr>
            <w:tcW w:w="1159" w:type="dxa"/>
            <w:vAlign w:val="top"/>
          </w:tcPr>
          <w:p>
            <w:pPr>
              <w:pStyle w:val="TableText"/>
              <w:ind w:left="363"/>
              <w:spacing w:before="96" w:line="172" w:lineRule="exact"/>
              <w:rPr>
                <w:sz w:val="21"/>
                <w:szCs w:val="21"/>
              </w:rPr>
            </w:pPr>
            <w:r>
              <w:rPr>
                <w:sz w:val="21"/>
                <w:szCs w:val="21"/>
                <w:spacing w:val="-1"/>
                <w:position w:val="-2"/>
              </w:rPr>
              <w:t>PM10</w:t>
            </w:r>
          </w:p>
        </w:tc>
        <w:tc>
          <w:tcPr>
            <w:tcW w:w="1099" w:type="dxa"/>
            <w:vAlign w:val="top"/>
            <w:vMerge w:val="restart"/>
            <w:tcBorders>
              <w:bottom w:val="nil"/>
            </w:tcBorders>
          </w:tcPr>
          <w:p>
            <w:pPr>
              <w:spacing w:line="253" w:lineRule="auto"/>
              <w:rPr>
                <w:rFonts w:ascii="Arial"/>
                <w:sz w:val="21"/>
              </w:rPr>
            </w:pPr>
            <w:r/>
          </w:p>
          <w:p>
            <w:pPr>
              <w:pStyle w:val="TableText"/>
              <w:ind w:left="14"/>
              <w:spacing w:before="68" w:line="220" w:lineRule="auto"/>
              <w:rPr>
                <w:sz w:val="21"/>
                <w:szCs w:val="21"/>
              </w:rPr>
            </w:pPr>
            <w:r>
              <w:rPr>
                <w:sz w:val="21"/>
                <w:szCs w:val="21"/>
                <w:spacing w:val="-2"/>
              </w:rPr>
              <w:t>有组织排放</w:t>
            </w:r>
          </w:p>
        </w:tc>
        <w:tc>
          <w:tcPr>
            <w:tcW w:w="1099" w:type="dxa"/>
            <w:vAlign w:val="top"/>
            <w:vMerge w:val="restart"/>
            <w:tcBorders>
              <w:bottom w:val="nil"/>
            </w:tcBorders>
          </w:tcPr>
          <w:p>
            <w:pPr>
              <w:spacing w:line="256" w:lineRule="auto"/>
              <w:rPr>
                <w:rFonts w:ascii="Arial"/>
                <w:sz w:val="21"/>
              </w:rPr>
            </w:pPr>
            <w:r/>
          </w:p>
          <w:p>
            <w:pPr>
              <w:pStyle w:val="TableText"/>
              <w:ind w:left="334"/>
              <w:spacing w:before="68" w:line="222" w:lineRule="auto"/>
              <w:rPr>
                <w:sz w:val="21"/>
                <w:szCs w:val="21"/>
              </w:rPr>
            </w:pPr>
            <w:r>
              <w:rPr>
                <w:sz w:val="21"/>
                <w:szCs w:val="21"/>
                <w:spacing w:val="4"/>
              </w:rPr>
              <w:t>点源</w:t>
            </w:r>
          </w:p>
        </w:tc>
        <w:tc>
          <w:tcPr>
            <w:tcW w:w="1198" w:type="dxa"/>
            <w:vAlign w:val="top"/>
          </w:tcPr>
          <w:p>
            <w:pPr>
              <w:pStyle w:val="TableText"/>
              <w:ind w:left="276"/>
              <w:spacing w:before="63" w:line="181" w:lineRule="auto"/>
              <w:rPr>
                <w:sz w:val="21"/>
                <w:szCs w:val="21"/>
              </w:rPr>
            </w:pPr>
            <w:r>
              <w:rPr>
                <w:sz w:val="21"/>
                <w:szCs w:val="21"/>
                <w:spacing w:val="-4"/>
              </w:rPr>
              <w:t>1.3335</w:t>
            </w:r>
          </w:p>
        </w:tc>
        <w:tc>
          <w:tcPr>
            <w:tcW w:w="1218" w:type="dxa"/>
            <w:vAlign w:val="top"/>
          </w:tcPr>
          <w:p>
            <w:pPr>
              <w:pStyle w:val="TableText"/>
              <w:ind w:left="398"/>
              <w:spacing w:before="63" w:line="181" w:lineRule="auto"/>
              <w:rPr>
                <w:sz w:val="21"/>
                <w:szCs w:val="21"/>
              </w:rPr>
            </w:pPr>
            <w:r>
              <w:rPr>
                <w:sz w:val="21"/>
                <w:szCs w:val="21"/>
                <w:spacing w:val="-2"/>
              </w:rPr>
              <w:t>0.30</w:t>
            </w:r>
          </w:p>
        </w:tc>
        <w:tc>
          <w:tcPr>
            <w:tcW w:w="874" w:type="dxa"/>
            <w:vAlign w:val="top"/>
          </w:tcPr>
          <w:p>
            <w:pPr>
              <w:pStyle w:val="TableText"/>
              <w:ind w:left="219"/>
              <w:spacing w:before="44" w:line="197" w:lineRule="auto"/>
              <w:rPr>
                <w:sz w:val="21"/>
                <w:szCs w:val="21"/>
              </w:rPr>
            </w:pPr>
            <w:r>
              <w:rPr>
                <w:sz w:val="21"/>
                <w:szCs w:val="21"/>
                <w:color w:val="605050"/>
                <w:spacing w:val="6"/>
              </w:rPr>
              <w:t>三级</w:t>
            </w:r>
          </w:p>
        </w:tc>
      </w:tr>
      <w:tr>
        <w:trPr>
          <w:trHeight w:val="269" w:hRule="atLeast"/>
        </w:trPr>
        <w:tc>
          <w:tcPr>
            <w:tcW w:w="524" w:type="dxa"/>
            <w:vAlign w:val="top"/>
            <w:vMerge w:val="continue"/>
            <w:textDirection w:val="tbRlV"/>
            <w:tcBorders>
              <w:top w:val="nil"/>
              <w:bottom w:val="nil"/>
            </w:tcBorders>
          </w:tcPr>
          <w:p>
            <w:pPr>
              <w:rPr>
                <w:rFonts w:ascii="Arial"/>
                <w:sz w:val="21"/>
              </w:rPr>
            </w:pPr>
            <w:r/>
          </w:p>
        </w:tc>
        <w:tc>
          <w:tcPr>
            <w:tcW w:w="1308" w:type="dxa"/>
            <w:vAlign w:val="top"/>
            <w:vMerge w:val="continue"/>
            <w:tcBorders>
              <w:top w:val="nil"/>
              <w:bottom w:val="nil"/>
            </w:tcBorders>
          </w:tcPr>
          <w:p>
            <w:pPr>
              <w:rPr>
                <w:rFonts w:ascii="Arial"/>
                <w:sz w:val="21"/>
              </w:rPr>
            </w:pPr>
            <w:r/>
          </w:p>
        </w:tc>
        <w:tc>
          <w:tcPr>
            <w:tcW w:w="1159" w:type="dxa"/>
            <w:vAlign w:val="top"/>
          </w:tcPr>
          <w:p>
            <w:pPr>
              <w:pStyle w:val="TableText"/>
              <w:ind w:left="412"/>
              <w:spacing w:before="87" w:line="171" w:lineRule="exact"/>
              <w:rPr>
                <w:sz w:val="21"/>
                <w:szCs w:val="21"/>
              </w:rPr>
            </w:pPr>
            <w:r>
              <w:rPr>
                <w:sz w:val="21"/>
                <w:szCs w:val="21"/>
                <w:spacing w:val="-1"/>
                <w:position w:val="-2"/>
              </w:rPr>
              <w:t>NOx</w:t>
            </w:r>
          </w:p>
        </w:tc>
        <w:tc>
          <w:tcPr>
            <w:tcW w:w="1099" w:type="dxa"/>
            <w:vAlign w:val="top"/>
            <w:vMerge w:val="continue"/>
            <w:tcBorders>
              <w:top w:val="nil"/>
              <w:bottom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1198" w:type="dxa"/>
            <w:vAlign w:val="top"/>
          </w:tcPr>
          <w:p>
            <w:pPr>
              <w:pStyle w:val="TableText"/>
              <w:ind w:left="276"/>
              <w:spacing w:before="54" w:line="180" w:lineRule="auto"/>
              <w:rPr>
                <w:sz w:val="21"/>
                <w:szCs w:val="21"/>
              </w:rPr>
            </w:pPr>
            <w:r>
              <w:rPr>
                <w:sz w:val="21"/>
                <w:szCs w:val="21"/>
                <w:spacing w:val="-2"/>
              </w:rPr>
              <w:t>4.4031</w:t>
            </w:r>
          </w:p>
        </w:tc>
        <w:tc>
          <w:tcPr>
            <w:tcW w:w="1218" w:type="dxa"/>
            <w:vAlign w:val="top"/>
          </w:tcPr>
          <w:p>
            <w:pPr>
              <w:pStyle w:val="TableText"/>
              <w:ind w:left="398"/>
              <w:spacing w:before="54" w:line="180" w:lineRule="auto"/>
              <w:rPr>
                <w:sz w:val="21"/>
                <w:szCs w:val="21"/>
              </w:rPr>
            </w:pPr>
            <w:r>
              <w:rPr>
                <w:sz w:val="21"/>
                <w:szCs w:val="21"/>
                <w:spacing w:val="-3"/>
              </w:rPr>
              <w:t>2.20</w:t>
            </w:r>
          </w:p>
        </w:tc>
        <w:tc>
          <w:tcPr>
            <w:tcW w:w="874" w:type="dxa"/>
            <w:vAlign w:val="top"/>
          </w:tcPr>
          <w:p>
            <w:pPr>
              <w:pStyle w:val="TableText"/>
              <w:ind w:left="219"/>
              <w:spacing w:before="36" w:line="196" w:lineRule="auto"/>
              <w:rPr>
                <w:sz w:val="21"/>
                <w:szCs w:val="21"/>
              </w:rPr>
            </w:pPr>
            <w:r>
              <w:rPr>
                <w:sz w:val="21"/>
                <w:szCs w:val="21"/>
                <w:spacing w:val="6"/>
              </w:rPr>
              <w:t>二级</w:t>
            </w:r>
          </w:p>
        </w:tc>
      </w:tr>
      <w:tr>
        <w:trPr>
          <w:trHeight w:val="270" w:hRule="atLeast"/>
        </w:trPr>
        <w:tc>
          <w:tcPr>
            <w:tcW w:w="524" w:type="dxa"/>
            <w:vAlign w:val="top"/>
            <w:vMerge w:val="continue"/>
            <w:textDirection w:val="tbRlV"/>
            <w:tcBorders>
              <w:top w:val="nil"/>
            </w:tcBorders>
          </w:tcPr>
          <w:p>
            <w:pPr>
              <w:rPr>
                <w:rFonts w:ascii="Arial"/>
                <w:sz w:val="21"/>
              </w:rPr>
            </w:pPr>
            <w:r/>
          </w:p>
        </w:tc>
        <w:tc>
          <w:tcPr>
            <w:tcW w:w="1308" w:type="dxa"/>
            <w:vAlign w:val="top"/>
            <w:vMerge w:val="continue"/>
            <w:tcBorders>
              <w:top w:val="nil"/>
            </w:tcBorders>
          </w:tcPr>
          <w:p>
            <w:pPr>
              <w:rPr>
                <w:rFonts w:ascii="Arial"/>
                <w:sz w:val="21"/>
              </w:rPr>
            </w:pPr>
            <w:r/>
          </w:p>
        </w:tc>
        <w:tc>
          <w:tcPr>
            <w:tcW w:w="1159" w:type="dxa"/>
            <w:vAlign w:val="top"/>
          </w:tcPr>
          <w:p>
            <w:pPr>
              <w:pStyle w:val="TableText"/>
              <w:ind w:left="363"/>
              <w:spacing w:before="68" w:line="168" w:lineRule="auto"/>
              <w:rPr>
                <w:rFonts w:ascii="Calibri" w:hAnsi="Calibri" w:eastAsia="Calibri" w:cs="Calibri"/>
                <w:sz w:val="21"/>
                <w:szCs w:val="21"/>
              </w:rPr>
            </w:pPr>
            <w:r>
              <w:rPr>
                <w:sz w:val="21"/>
                <w:szCs w:val="21"/>
                <w:spacing w:val="-4"/>
              </w:rPr>
              <w:t>SO</w:t>
            </w:r>
            <w:r>
              <w:rPr>
                <w:rFonts w:ascii="Calibri" w:hAnsi="Calibri" w:eastAsia="Calibri" w:cs="Calibri"/>
                <w:sz w:val="21"/>
                <w:szCs w:val="21"/>
                <w:spacing w:val="-4"/>
              </w:rPr>
              <w:t>₂</w:t>
            </w:r>
          </w:p>
        </w:tc>
        <w:tc>
          <w:tcPr>
            <w:tcW w:w="1099" w:type="dxa"/>
            <w:vAlign w:val="top"/>
            <w:vMerge w:val="continue"/>
            <w:tcBorders>
              <w:top w:val="nil"/>
            </w:tcBorders>
          </w:tcPr>
          <w:p>
            <w:pPr>
              <w:rPr>
                <w:rFonts w:ascii="Arial"/>
                <w:sz w:val="21"/>
              </w:rPr>
            </w:pPr>
            <w:r/>
          </w:p>
        </w:tc>
        <w:tc>
          <w:tcPr>
            <w:tcW w:w="1099" w:type="dxa"/>
            <w:vAlign w:val="top"/>
            <w:vMerge w:val="continue"/>
            <w:tcBorders>
              <w:top w:val="nil"/>
            </w:tcBorders>
          </w:tcPr>
          <w:p>
            <w:pPr>
              <w:rPr>
                <w:rFonts w:ascii="Arial"/>
                <w:sz w:val="21"/>
              </w:rPr>
            </w:pPr>
            <w:r/>
          </w:p>
        </w:tc>
        <w:tc>
          <w:tcPr>
            <w:tcW w:w="1198" w:type="dxa"/>
            <w:vAlign w:val="top"/>
          </w:tcPr>
          <w:p>
            <w:pPr>
              <w:pStyle w:val="TableText"/>
              <w:ind w:left="276"/>
              <w:spacing w:before="55" w:line="180" w:lineRule="auto"/>
              <w:rPr>
                <w:sz w:val="21"/>
                <w:szCs w:val="21"/>
              </w:rPr>
            </w:pPr>
            <w:r>
              <w:rPr>
                <w:sz w:val="21"/>
                <w:szCs w:val="21"/>
                <w:spacing w:val="-2"/>
              </w:rPr>
              <w:t>0.9310</w:t>
            </w:r>
          </w:p>
        </w:tc>
        <w:tc>
          <w:tcPr>
            <w:tcW w:w="1218" w:type="dxa"/>
            <w:vAlign w:val="top"/>
          </w:tcPr>
          <w:p>
            <w:pPr>
              <w:pStyle w:val="TableText"/>
              <w:ind w:left="398"/>
              <w:spacing w:before="55" w:line="180" w:lineRule="auto"/>
              <w:rPr>
                <w:sz w:val="21"/>
                <w:szCs w:val="21"/>
              </w:rPr>
            </w:pPr>
            <w:r>
              <w:rPr>
                <w:sz w:val="21"/>
                <w:szCs w:val="21"/>
                <w:color w:val="505040"/>
                <w:spacing w:val="-2"/>
              </w:rPr>
              <w:t>0.19</w:t>
            </w:r>
          </w:p>
        </w:tc>
        <w:tc>
          <w:tcPr>
            <w:tcW w:w="874" w:type="dxa"/>
            <w:vAlign w:val="top"/>
          </w:tcPr>
          <w:p>
            <w:pPr>
              <w:pStyle w:val="TableText"/>
              <w:ind w:left="219"/>
              <w:spacing w:before="37" w:line="196" w:lineRule="auto"/>
              <w:rPr>
                <w:sz w:val="21"/>
                <w:szCs w:val="21"/>
              </w:rPr>
            </w:pPr>
            <w:r>
              <w:rPr>
                <w:sz w:val="21"/>
                <w:szCs w:val="21"/>
                <w:spacing w:val="6"/>
              </w:rPr>
              <w:t>三级</w:t>
            </w:r>
          </w:p>
        </w:tc>
      </w:tr>
      <w:tr>
        <w:trPr>
          <w:trHeight w:val="270" w:hRule="atLeast"/>
        </w:trPr>
        <w:tc>
          <w:tcPr>
            <w:tcW w:w="524" w:type="dxa"/>
            <w:vAlign w:val="top"/>
            <w:vMerge w:val="restart"/>
            <w:tcBorders>
              <w:bottom w:val="nil"/>
            </w:tcBorders>
          </w:tcPr>
          <w:p>
            <w:pPr>
              <w:pStyle w:val="TableText"/>
              <w:ind w:left="194"/>
              <w:spacing w:before="105"/>
              <w:rPr>
                <w:sz w:val="21"/>
                <w:szCs w:val="21"/>
              </w:rPr>
            </w:pPr>
            <w:r>
              <w:rPr>
                <w:sz w:val="21"/>
                <w:szCs w:val="21"/>
              </w:rPr>
              <w:t>6</w:t>
            </w:r>
          </w:p>
        </w:tc>
        <w:tc>
          <w:tcPr>
            <w:tcW w:w="1308" w:type="dxa"/>
            <w:vAlign w:val="top"/>
            <w:vMerge w:val="restart"/>
            <w:tcBorders>
              <w:bottom w:val="nil"/>
            </w:tcBorders>
          </w:tcPr>
          <w:p>
            <w:pPr>
              <w:pStyle w:val="TableText"/>
              <w:ind w:left="11"/>
              <w:spacing w:before="174" w:line="219" w:lineRule="auto"/>
              <w:rPr>
                <w:sz w:val="21"/>
                <w:szCs w:val="21"/>
              </w:rPr>
            </w:pPr>
            <w:r>
              <w:rPr>
                <w:sz w:val="21"/>
                <w:szCs w:val="21"/>
                <w:spacing w:val="-2"/>
              </w:rPr>
              <w:t>生猪待宰圈舍</w:t>
            </w:r>
          </w:p>
        </w:tc>
        <w:tc>
          <w:tcPr>
            <w:tcW w:w="1159" w:type="dxa"/>
            <w:vAlign w:val="top"/>
          </w:tcPr>
          <w:p>
            <w:pPr>
              <w:pStyle w:val="TableText"/>
              <w:ind w:left="363"/>
              <w:spacing w:before="68" w:line="168"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1099" w:type="dxa"/>
            <w:vAlign w:val="top"/>
            <w:vMerge w:val="restart"/>
            <w:tcBorders>
              <w:bottom w:val="nil"/>
            </w:tcBorders>
          </w:tcPr>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ind w:left="14"/>
              <w:spacing w:before="68" w:line="220" w:lineRule="auto"/>
              <w:rPr>
                <w:sz w:val="21"/>
                <w:szCs w:val="21"/>
              </w:rPr>
            </w:pPr>
            <w:r>
              <w:rPr>
                <w:sz w:val="21"/>
                <w:szCs w:val="21"/>
                <w:spacing w:val="-2"/>
              </w:rPr>
              <w:t>无组织排放</w:t>
            </w:r>
          </w:p>
        </w:tc>
        <w:tc>
          <w:tcPr>
            <w:tcW w:w="1099" w:type="dxa"/>
            <w:vAlign w:val="top"/>
            <w:vMerge w:val="restart"/>
            <w:tcBorders>
              <w:bottom w:val="nil"/>
            </w:tcBorders>
          </w:tcPr>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ind w:left="334"/>
              <w:spacing w:before="69" w:line="221" w:lineRule="auto"/>
              <w:rPr>
                <w:sz w:val="21"/>
                <w:szCs w:val="21"/>
              </w:rPr>
            </w:pPr>
            <w:r>
              <w:rPr>
                <w:sz w:val="21"/>
                <w:szCs w:val="21"/>
                <w:spacing w:val="-3"/>
              </w:rPr>
              <w:t>面源</w:t>
            </w:r>
          </w:p>
        </w:tc>
        <w:tc>
          <w:tcPr>
            <w:tcW w:w="1198" w:type="dxa"/>
            <w:vAlign w:val="top"/>
          </w:tcPr>
          <w:p>
            <w:pPr>
              <w:pStyle w:val="TableText"/>
              <w:ind w:left="276"/>
              <w:spacing w:before="55" w:line="180" w:lineRule="auto"/>
              <w:rPr>
                <w:sz w:val="21"/>
                <w:szCs w:val="21"/>
              </w:rPr>
            </w:pPr>
            <w:r>
              <w:rPr>
                <w:sz w:val="21"/>
                <w:szCs w:val="21"/>
                <w:spacing w:val="-2"/>
              </w:rPr>
              <w:t>2.2202</w:t>
            </w:r>
          </w:p>
        </w:tc>
        <w:tc>
          <w:tcPr>
            <w:tcW w:w="1218" w:type="dxa"/>
            <w:vAlign w:val="top"/>
          </w:tcPr>
          <w:p>
            <w:pPr>
              <w:pStyle w:val="TableText"/>
              <w:ind w:left="398"/>
              <w:spacing w:before="55" w:line="180" w:lineRule="auto"/>
              <w:rPr>
                <w:sz w:val="21"/>
                <w:szCs w:val="21"/>
              </w:rPr>
            </w:pPr>
            <w:r>
              <w:rPr>
                <w:sz w:val="21"/>
                <w:szCs w:val="21"/>
                <w:spacing w:val="-5"/>
              </w:rPr>
              <w:t>1.11</w:t>
            </w:r>
          </w:p>
        </w:tc>
        <w:tc>
          <w:tcPr>
            <w:tcW w:w="874" w:type="dxa"/>
            <w:vAlign w:val="top"/>
          </w:tcPr>
          <w:p>
            <w:pPr>
              <w:pStyle w:val="TableText"/>
              <w:ind w:left="219"/>
              <w:spacing w:before="37" w:line="196" w:lineRule="auto"/>
              <w:rPr>
                <w:sz w:val="21"/>
                <w:szCs w:val="21"/>
              </w:rPr>
            </w:pPr>
            <w:r>
              <w:rPr>
                <w:sz w:val="21"/>
                <w:szCs w:val="21"/>
                <w:color w:val="404040"/>
                <w:spacing w:val="6"/>
              </w:rPr>
              <w:t>二级</w:t>
            </w:r>
          </w:p>
        </w:tc>
      </w:tr>
      <w:tr>
        <w:trPr>
          <w:trHeight w:val="270" w:hRule="atLeast"/>
        </w:trPr>
        <w:tc>
          <w:tcPr>
            <w:tcW w:w="524" w:type="dxa"/>
            <w:vAlign w:val="top"/>
            <w:vMerge w:val="continue"/>
            <w:tcBorders>
              <w:top w:val="nil"/>
            </w:tcBorders>
          </w:tcPr>
          <w:p>
            <w:pPr>
              <w:rPr>
                <w:rFonts w:ascii="Arial"/>
                <w:sz w:val="21"/>
              </w:rPr>
            </w:pPr>
            <w:r/>
          </w:p>
        </w:tc>
        <w:tc>
          <w:tcPr>
            <w:tcW w:w="1308" w:type="dxa"/>
            <w:vAlign w:val="top"/>
            <w:vMerge w:val="continue"/>
            <w:tcBorders>
              <w:top w:val="nil"/>
            </w:tcBorders>
          </w:tcPr>
          <w:p>
            <w:pPr>
              <w:rPr>
                <w:rFonts w:ascii="Arial"/>
                <w:sz w:val="21"/>
              </w:rPr>
            </w:pPr>
            <w:r/>
          </w:p>
        </w:tc>
        <w:tc>
          <w:tcPr>
            <w:tcW w:w="1159" w:type="dxa"/>
            <w:vAlign w:val="top"/>
          </w:tcPr>
          <w:p>
            <w:pPr>
              <w:pStyle w:val="TableText"/>
              <w:ind w:left="363"/>
              <w:spacing w:before="67" w:line="169"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1099" w:type="dxa"/>
            <w:vAlign w:val="top"/>
            <w:vMerge w:val="continue"/>
            <w:tcBorders>
              <w:top w:val="nil"/>
              <w:bottom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1198" w:type="dxa"/>
            <w:vAlign w:val="top"/>
          </w:tcPr>
          <w:p>
            <w:pPr>
              <w:pStyle w:val="TableText"/>
              <w:ind w:left="276"/>
              <w:spacing w:before="55" w:line="180" w:lineRule="auto"/>
              <w:rPr>
                <w:sz w:val="21"/>
                <w:szCs w:val="21"/>
              </w:rPr>
            </w:pPr>
            <w:r>
              <w:rPr>
                <w:sz w:val="21"/>
                <w:szCs w:val="21"/>
                <w:spacing w:val="-2"/>
              </w:rPr>
              <w:t>0.8347</w:t>
            </w:r>
          </w:p>
        </w:tc>
        <w:tc>
          <w:tcPr>
            <w:tcW w:w="1218" w:type="dxa"/>
            <w:vAlign w:val="top"/>
          </w:tcPr>
          <w:p>
            <w:pPr>
              <w:pStyle w:val="TableText"/>
              <w:ind w:left="398"/>
              <w:spacing w:before="55" w:line="180" w:lineRule="auto"/>
              <w:rPr>
                <w:sz w:val="21"/>
                <w:szCs w:val="21"/>
              </w:rPr>
            </w:pPr>
            <w:r>
              <w:rPr>
                <w:sz w:val="21"/>
                <w:szCs w:val="21"/>
                <w:spacing w:val="-2"/>
              </w:rPr>
              <w:t>8.35</w:t>
            </w:r>
          </w:p>
        </w:tc>
        <w:tc>
          <w:tcPr>
            <w:tcW w:w="874" w:type="dxa"/>
            <w:vAlign w:val="top"/>
          </w:tcPr>
          <w:p>
            <w:pPr>
              <w:pStyle w:val="TableText"/>
              <w:ind w:left="219"/>
              <w:spacing w:before="37" w:line="196" w:lineRule="auto"/>
              <w:rPr>
                <w:sz w:val="21"/>
                <w:szCs w:val="21"/>
              </w:rPr>
            </w:pPr>
            <w:r>
              <w:rPr>
                <w:sz w:val="21"/>
                <w:szCs w:val="21"/>
                <w:color w:val="503040"/>
                <w:spacing w:val="6"/>
              </w:rPr>
              <w:t>二级</w:t>
            </w:r>
          </w:p>
        </w:tc>
      </w:tr>
      <w:tr>
        <w:trPr>
          <w:trHeight w:val="279" w:hRule="atLeast"/>
        </w:trPr>
        <w:tc>
          <w:tcPr>
            <w:tcW w:w="524" w:type="dxa"/>
            <w:vAlign w:val="top"/>
            <w:vMerge w:val="restart"/>
            <w:textDirection w:val="tbRlV"/>
            <w:tcBorders>
              <w:bottom w:val="nil"/>
            </w:tcBorders>
          </w:tcPr>
          <w:p>
            <w:pPr>
              <w:pStyle w:val="TableText"/>
              <w:ind w:left="26"/>
              <w:spacing w:before="223" w:line="144" w:lineRule="exact"/>
              <w:rPr>
                <w:sz w:val="21"/>
                <w:szCs w:val="21"/>
              </w:rPr>
            </w:pPr>
            <w:r>
              <w:rPr>
                <w:sz w:val="21"/>
                <w:szCs w:val="21"/>
                <w:spacing w:val="51"/>
                <w:w w:val="125"/>
                <w:position w:val="-3"/>
              </w:rPr>
              <w:t>7</w:t>
            </w:r>
          </w:p>
        </w:tc>
        <w:tc>
          <w:tcPr>
            <w:tcW w:w="1308" w:type="dxa"/>
            <w:vAlign w:val="top"/>
            <w:vMerge w:val="restart"/>
            <w:tcBorders>
              <w:bottom w:val="nil"/>
            </w:tcBorders>
          </w:tcPr>
          <w:p>
            <w:pPr>
              <w:pStyle w:val="TableText"/>
              <w:ind w:left="11"/>
              <w:spacing w:before="174" w:line="219" w:lineRule="auto"/>
              <w:rPr>
                <w:sz w:val="21"/>
                <w:szCs w:val="21"/>
              </w:rPr>
            </w:pPr>
            <w:r>
              <w:rPr>
                <w:sz w:val="21"/>
                <w:szCs w:val="21"/>
                <w:spacing w:val="1"/>
              </w:rPr>
              <w:t>肉牛待宰圈舍</w:t>
            </w:r>
          </w:p>
        </w:tc>
        <w:tc>
          <w:tcPr>
            <w:tcW w:w="1159" w:type="dxa"/>
            <w:vAlign w:val="top"/>
          </w:tcPr>
          <w:p>
            <w:pPr>
              <w:pStyle w:val="TableText"/>
              <w:ind w:left="363"/>
              <w:spacing w:before="79" w:line="167"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1099" w:type="dxa"/>
            <w:vAlign w:val="top"/>
            <w:vMerge w:val="continue"/>
            <w:tcBorders>
              <w:top w:val="nil"/>
              <w:bottom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1198" w:type="dxa"/>
            <w:vAlign w:val="top"/>
          </w:tcPr>
          <w:p>
            <w:pPr>
              <w:pStyle w:val="TableText"/>
              <w:ind w:left="276"/>
              <w:spacing w:before="65" w:line="179" w:lineRule="auto"/>
              <w:rPr>
                <w:sz w:val="21"/>
                <w:szCs w:val="21"/>
              </w:rPr>
            </w:pPr>
            <w:r>
              <w:rPr>
                <w:sz w:val="21"/>
                <w:szCs w:val="21"/>
                <w:spacing w:val="-4"/>
              </w:rPr>
              <w:t>1.7512</w:t>
            </w:r>
          </w:p>
        </w:tc>
        <w:tc>
          <w:tcPr>
            <w:tcW w:w="1218" w:type="dxa"/>
            <w:vAlign w:val="top"/>
          </w:tcPr>
          <w:p>
            <w:pPr>
              <w:pStyle w:val="TableText"/>
              <w:ind w:left="398"/>
              <w:spacing w:before="65" w:line="179" w:lineRule="auto"/>
              <w:rPr>
                <w:sz w:val="21"/>
                <w:szCs w:val="21"/>
              </w:rPr>
            </w:pPr>
            <w:r>
              <w:rPr>
                <w:sz w:val="21"/>
                <w:szCs w:val="21"/>
                <w:spacing w:val="-2"/>
              </w:rPr>
              <w:t>0.88</w:t>
            </w:r>
          </w:p>
        </w:tc>
        <w:tc>
          <w:tcPr>
            <w:tcW w:w="874" w:type="dxa"/>
            <w:vAlign w:val="top"/>
          </w:tcPr>
          <w:p>
            <w:pPr>
              <w:pStyle w:val="TableText"/>
              <w:ind w:left="219"/>
              <w:spacing w:before="47" w:line="195" w:lineRule="auto"/>
              <w:rPr>
                <w:sz w:val="21"/>
                <w:szCs w:val="21"/>
              </w:rPr>
            </w:pPr>
            <w:r>
              <w:rPr>
                <w:sz w:val="21"/>
                <w:szCs w:val="21"/>
                <w:spacing w:val="6"/>
              </w:rPr>
              <w:t>三级</w:t>
            </w:r>
          </w:p>
        </w:tc>
      </w:tr>
      <w:tr>
        <w:trPr>
          <w:trHeight w:val="259" w:hRule="atLeast"/>
        </w:trPr>
        <w:tc>
          <w:tcPr>
            <w:tcW w:w="524" w:type="dxa"/>
            <w:vAlign w:val="top"/>
            <w:vMerge w:val="continue"/>
            <w:textDirection w:val="tbRlV"/>
            <w:tcBorders>
              <w:top w:val="nil"/>
            </w:tcBorders>
          </w:tcPr>
          <w:p>
            <w:pPr>
              <w:rPr>
                <w:rFonts w:ascii="Arial"/>
                <w:sz w:val="21"/>
              </w:rPr>
            </w:pPr>
            <w:r/>
          </w:p>
        </w:tc>
        <w:tc>
          <w:tcPr>
            <w:tcW w:w="1308" w:type="dxa"/>
            <w:vAlign w:val="top"/>
            <w:vMerge w:val="continue"/>
            <w:tcBorders>
              <w:top w:val="nil"/>
            </w:tcBorders>
          </w:tcPr>
          <w:p>
            <w:pPr>
              <w:rPr>
                <w:rFonts w:ascii="Arial"/>
                <w:sz w:val="21"/>
              </w:rPr>
            </w:pPr>
            <w:r/>
          </w:p>
        </w:tc>
        <w:tc>
          <w:tcPr>
            <w:tcW w:w="1159" w:type="dxa"/>
            <w:vAlign w:val="top"/>
          </w:tcPr>
          <w:p>
            <w:pPr>
              <w:pStyle w:val="TableText"/>
              <w:ind w:left="363"/>
              <w:spacing w:before="69" w:line="158"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1099" w:type="dxa"/>
            <w:vAlign w:val="top"/>
            <w:vMerge w:val="continue"/>
            <w:tcBorders>
              <w:top w:val="nil"/>
              <w:bottom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1198" w:type="dxa"/>
            <w:vAlign w:val="top"/>
          </w:tcPr>
          <w:p>
            <w:pPr>
              <w:pStyle w:val="TableText"/>
              <w:ind w:left="276"/>
              <w:spacing w:before="56" w:line="169" w:lineRule="auto"/>
              <w:rPr>
                <w:sz w:val="21"/>
                <w:szCs w:val="21"/>
              </w:rPr>
            </w:pPr>
            <w:r>
              <w:rPr>
                <w:sz w:val="21"/>
                <w:szCs w:val="21"/>
                <w:spacing w:val="-2"/>
              </w:rPr>
              <w:t>0.1349</w:t>
            </w:r>
          </w:p>
        </w:tc>
        <w:tc>
          <w:tcPr>
            <w:tcW w:w="1218" w:type="dxa"/>
            <w:vAlign w:val="top"/>
          </w:tcPr>
          <w:p>
            <w:pPr>
              <w:pStyle w:val="TableText"/>
              <w:ind w:left="398"/>
              <w:spacing w:before="56" w:line="169" w:lineRule="auto"/>
              <w:rPr>
                <w:sz w:val="21"/>
                <w:szCs w:val="21"/>
              </w:rPr>
            </w:pPr>
            <w:r>
              <w:rPr>
                <w:sz w:val="21"/>
                <w:szCs w:val="21"/>
                <w:spacing w:val="-5"/>
              </w:rPr>
              <w:t>1.35</w:t>
            </w:r>
          </w:p>
        </w:tc>
        <w:tc>
          <w:tcPr>
            <w:tcW w:w="874" w:type="dxa"/>
            <w:vAlign w:val="top"/>
          </w:tcPr>
          <w:p>
            <w:pPr>
              <w:pStyle w:val="TableText"/>
              <w:ind w:left="219"/>
              <w:spacing w:before="38" w:line="185" w:lineRule="auto"/>
              <w:rPr>
                <w:sz w:val="21"/>
                <w:szCs w:val="21"/>
              </w:rPr>
            </w:pPr>
            <w:r>
              <w:rPr>
                <w:sz w:val="21"/>
                <w:szCs w:val="21"/>
                <w:spacing w:val="6"/>
              </w:rPr>
              <w:t>二级</w:t>
            </w:r>
          </w:p>
        </w:tc>
      </w:tr>
      <w:tr>
        <w:trPr>
          <w:trHeight w:val="270" w:hRule="atLeast"/>
        </w:trPr>
        <w:tc>
          <w:tcPr>
            <w:tcW w:w="524" w:type="dxa"/>
            <w:vAlign w:val="top"/>
            <w:vMerge w:val="restart"/>
            <w:textDirection w:val="tbRlV"/>
            <w:tcBorders>
              <w:bottom w:val="nil"/>
            </w:tcBorders>
          </w:tcPr>
          <w:p>
            <w:pPr>
              <w:pStyle w:val="TableText"/>
              <w:ind w:left="140"/>
              <w:spacing w:before="223" w:line="148" w:lineRule="exact"/>
              <w:rPr>
                <w:sz w:val="21"/>
                <w:szCs w:val="21"/>
              </w:rPr>
            </w:pPr>
            <w:r>
              <w:rPr>
                <w:sz w:val="21"/>
                <w:szCs w:val="21"/>
                <w:spacing w:val="51"/>
                <w:w w:val="125"/>
                <w:position w:val="-3"/>
              </w:rPr>
              <w:t>8</w:t>
            </w:r>
          </w:p>
        </w:tc>
        <w:tc>
          <w:tcPr>
            <w:tcW w:w="1308" w:type="dxa"/>
            <w:vAlign w:val="top"/>
            <w:vMerge w:val="restart"/>
            <w:tcBorders>
              <w:bottom w:val="nil"/>
            </w:tcBorders>
          </w:tcPr>
          <w:p>
            <w:pPr>
              <w:pStyle w:val="TableText"/>
              <w:ind w:left="11"/>
              <w:spacing w:before="186" w:line="219" w:lineRule="auto"/>
              <w:rPr>
                <w:sz w:val="21"/>
                <w:szCs w:val="21"/>
              </w:rPr>
            </w:pPr>
            <w:r>
              <w:rPr>
                <w:sz w:val="21"/>
                <w:szCs w:val="21"/>
                <w:spacing w:val="3"/>
              </w:rPr>
              <w:t>生猪屠宰车间</w:t>
            </w:r>
          </w:p>
        </w:tc>
        <w:tc>
          <w:tcPr>
            <w:tcW w:w="1159" w:type="dxa"/>
            <w:vAlign w:val="top"/>
          </w:tcPr>
          <w:p>
            <w:pPr>
              <w:pStyle w:val="TableText"/>
              <w:ind w:left="363"/>
              <w:spacing w:before="70" w:line="167"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1099" w:type="dxa"/>
            <w:vAlign w:val="top"/>
            <w:vMerge w:val="continue"/>
            <w:tcBorders>
              <w:top w:val="nil"/>
              <w:bottom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1198" w:type="dxa"/>
            <w:vAlign w:val="top"/>
          </w:tcPr>
          <w:p>
            <w:pPr>
              <w:pStyle w:val="TableText"/>
              <w:ind w:left="276"/>
              <w:spacing w:before="57" w:line="178" w:lineRule="auto"/>
              <w:rPr>
                <w:sz w:val="21"/>
                <w:szCs w:val="21"/>
              </w:rPr>
            </w:pPr>
            <w:r>
              <w:rPr>
                <w:sz w:val="21"/>
                <w:szCs w:val="21"/>
                <w:spacing w:val="-2"/>
              </w:rPr>
              <w:t>0.9042</w:t>
            </w:r>
          </w:p>
        </w:tc>
        <w:tc>
          <w:tcPr>
            <w:tcW w:w="1218" w:type="dxa"/>
            <w:vAlign w:val="top"/>
          </w:tcPr>
          <w:p>
            <w:pPr>
              <w:pStyle w:val="TableText"/>
              <w:ind w:left="398"/>
              <w:spacing w:before="57" w:line="178" w:lineRule="auto"/>
              <w:rPr>
                <w:sz w:val="21"/>
                <w:szCs w:val="21"/>
              </w:rPr>
            </w:pPr>
            <w:r>
              <w:rPr>
                <w:sz w:val="21"/>
                <w:szCs w:val="21"/>
                <w:color w:val="606070"/>
                <w:spacing w:val="-2"/>
              </w:rPr>
              <w:t>0.45</w:t>
            </w:r>
          </w:p>
        </w:tc>
        <w:tc>
          <w:tcPr>
            <w:tcW w:w="874" w:type="dxa"/>
            <w:vAlign w:val="top"/>
          </w:tcPr>
          <w:p>
            <w:pPr>
              <w:pStyle w:val="TableText"/>
              <w:ind w:left="219"/>
              <w:spacing w:before="39" w:line="194" w:lineRule="auto"/>
              <w:rPr>
                <w:sz w:val="21"/>
                <w:szCs w:val="21"/>
              </w:rPr>
            </w:pPr>
            <w:r>
              <w:rPr>
                <w:sz w:val="21"/>
                <w:szCs w:val="21"/>
                <w:spacing w:val="6"/>
              </w:rPr>
              <w:t>三级</w:t>
            </w:r>
          </w:p>
        </w:tc>
      </w:tr>
      <w:tr>
        <w:trPr>
          <w:trHeight w:val="280" w:hRule="atLeast"/>
        </w:trPr>
        <w:tc>
          <w:tcPr>
            <w:tcW w:w="524" w:type="dxa"/>
            <w:vAlign w:val="top"/>
            <w:vMerge w:val="continue"/>
            <w:textDirection w:val="tbRlV"/>
            <w:tcBorders>
              <w:top w:val="nil"/>
            </w:tcBorders>
          </w:tcPr>
          <w:p>
            <w:pPr>
              <w:rPr>
                <w:rFonts w:ascii="Arial"/>
                <w:sz w:val="21"/>
              </w:rPr>
            </w:pPr>
            <w:r/>
          </w:p>
        </w:tc>
        <w:tc>
          <w:tcPr>
            <w:tcW w:w="1308" w:type="dxa"/>
            <w:vAlign w:val="top"/>
            <w:vMerge w:val="continue"/>
            <w:tcBorders>
              <w:top w:val="nil"/>
            </w:tcBorders>
          </w:tcPr>
          <w:p>
            <w:pPr>
              <w:rPr>
                <w:rFonts w:ascii="Arial"/>
                <w:sz w:val="21"/>
              </w:rPr>
            </w:pPr>
            <w:r/>
          </w:p>
        </w:tc>
        <w:tc>
          <w:tcPr>
            <w:tcW w:w="1159" w:type="dxa"/>
            <w:vAlign w:val="top"/>
          </w:tcPr>
          <w:p>
            <w:pPr>
              <w:pStyle w:val="TableText"/>
              <w:ind w:left="363"/>
              <w:spacing w:before="80" w:line="167"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1099" w:type="dxa"/>
            <w:vAlign w:val="top"/>
            <w:vMerge w:val="continue"/>
            <w:tcBorders>
              <w:top w:val="nil"/>
              <w:bottom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1198" w:type="dxa"/>
            <w:vAlign w:val="top"/>
          </w:tcPr>
          <w:p>
            <w:pPr>
              <w:pStyle w:val="TableText"/>
              <w:ind w:left="276"/>
              <w:spacing w:before="67" w:line="178" w:lineRule="auto"/>
              <w:rPr>
                <w:sz w:val="21"/>
                <w:szCs w:val="21"/>
              </w:rPr>
            </w:pPr>
            <w:r>
              <w:rPr>
                <w:sz w:val="21"/>
                <w:szCs w:val="21"/>
                <w:spacing w:val="-2"/>
              </w:rPr>
              <w:t>0.2630</w:t>
            </w:r>
          </w:p>
        </w:tc>
        <w:tc>
          <w:tcPr>
            <w:tcW w:w="1218" w:type="dxa"/>
            <w:vAlign w:val="top"/>
          </w:tcPr>
          <w:p>
            <w:pPr>
              <w:pStyle w:val="TableText"/>
              <w:ind w:left="398"/>
              <w:spacing w:before="67" w:line="178" w:lineRule="auto"/>
              <w:rPr>
                <w:sz w:val="21"/>
                <w:szCs w:val="21"/>
              </w:rPr>
            </w:pPr>
            <w:r>
              <w:rPr>
                <w:sz w:val="21"/>
                <w:szCs w:val="21"/>
                <w:spacing w:val="-3"/>
              </w:rPr>
              <w:t>2.63</w:t>
            </w:r>
          </w:p>
        </w:tc>
        <w:tc>
          <w:tcPr>
            <w:tcW w:w="874" w:type="dxa"/>
            <w:vAlign w:val="top"/>
          </w:tcPr>
          <w:p>
            <w:pPr>
              <w:pStyle w:val="TableText"/>
              <w:ind w:left="219"/>
              <w:spacing w:before="49" w:line="194" w:lineRule="auto"/>
              <w:rPr>
                <w:sz w:val="21"/>
                <w:szCs w:val="21"/>
              </w:rPr>
            </w:pPr>
            <w:r>
              <w:rPr>
                <w:sz w:val="21"/>
                <w:szCs w:val="21"/>
                <w:spacing w:val="6"/>
              </w:rPr>
              <w:t>二级</w:t>
            </w:r>
          </w:p>
        </w:tc>
      </w:tr>
      <w:tr>
        <w:trPr>
          <w:trHeight w:val="269" w:hRule="atLeast"/>
        </w:trPr>
        <w:tc>
          <w:tcPr>
            <w:tcW w:w="524" w:type="dxa"/>
            <w:vAlign w:val="top"/>
            <w:vMerge w:val="restart"/>
            <w:tcBorders>
              <w:bottom w:val="nil"/>
            </w:tcBorders>
          </w:tcPr>
          <w:p>
            <w:pPr>
              <w:pStyle w:val="TableText"/>
              <w:ind w:left="194"/>
              <w:spacing w:before="207"/>
              <w:rPr>
                <w:sz w:val="21"/>
                <w:szCs w:val="21"/>
              </w:rPr>
            </w:pPr>
            <w:r>
              <w:rPr>
                <w:sz w:val="21"/>
                <w:szCs w:val="21"/>
              </w:rPr>
              <w:t>9</w:t>
            </w:r>
          </w:p>
        </w:tc>
        <w:tc>
          <w:tcPr>
            <w:tcW w:w="1308" w:type="dxa"/>
            <w:vAlign w:val="top"/>
            <w:vMerge w:val="restart"/>
            <w:tcBorders>
              <w:bottom w:val="nil"/>
            </w:tcBorders>
          </w:tcPr>
          <w:p>
            <w:pPr>
              <w:pStyle w:val="TableText"/>
              <w:ind w:left="11"/>
              <w:spacing w:before="186" w:line="219" w:lineRule="auto"/>
              <w:rPr>
                <w:sz w:val="21"/>
                <w:szCs w:val="21"/>
              </w:rPr>
            </w:pPr>
            <w:r>
              <w:rPr>
                <w:sz w:val="21"/>
                <w:szCs w:val="21"/>
                <w:spacing w:val="3"/>
              </w:rPr>
              <w:t>肉牛屠宰车间</w:t>
            </w:r>
          </w:p>
        </w:tc>
        <w:tc>
          <w:tcPr>
            <w:tcW w:w="1159" w:type="dxa"/>
            <w:vAlign w:val="top"/>
          </w:tcPr>
          <w:p>
            <w:pPr>
              <w:pStyle w:val="TableText"/>
              <w:ind w:left="363"/>
              <w:spacing w:before="70" w:line="166"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1099" w:type="dxa"/>
            <w:vAlign w:val="top"/>
            <w:vMerge w:val="continue"/>
            <w:tcBorders>
              <w:top w:val="nil"/>
              <w:bottom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1198" w:type="dxa"/>
            <w:vAlign w:val="top"/>
          </w:tcPr>
          <w:p>
            <w:pPr>
              <w:pStyle w:val="TableText"/>
              <w:ind w:left="276"/>
              <w:spacing w:before="57" w:line="177" w:lineRule="auto"/>
              <w:rPr>
                <w:sz w:val="21"/>
                <w:szCs w:val="21"/>
              </w:rPr>
            </w:pPr>
            <w:r>
              <w:rPr>
                <w:sz w:val="21"/>
                <w:szCs w:val="21"/>
                <w:spacing w:val="-4"/>
              </w:rPr>
              <w:t>1.5874</w:t>
            </w:r>
          </w:p>
        </w:tc>
        <w:tc>
          <w:tcPr>
            <w:tcW w:w="1218" w:type="dxa"/>
            <w:vAlign w:val="top"/>
          </w:tcPr>
          <w:p>
            <w:pPr>
              <w:pStyle w:val="TableText"/>
              <w:ind w:left="398"/>
              <w:spacing w:before="57" w:line="177" w:lineRule="auto"/>
              <w:rPr>
                <w:sz w:val="21"/>
                <w:szCs w:val="21"/>
              </w:rPr>
            </w:pPr>
            <w:r>
              <w:rPr>
                <w:sz w:val="21"/>
                <w:szCs w:val="21"/>
                <w:spacing w:val="-2"/>
              </w:rPr>
              <w:t>0.79</w:t>
            </w:r>
          </w:p>
        </w:tc>
        <w:tc>
          <w:tcPr>
            <w:tcW w:w="874" w:type="dxa"/>
            <w:vAlign w:val="top"/>
          </w:tcPr>
          <w:p>
            <w:pPr>
              <w:pStyle w:val="TableText"/>
              <w:ind w:left="219"/>
              <w:spacing w:before="39" w:line="193" w:lineRule="auto"/>
              <w:rPr>
                <w:sz w:val="21"/>
                <w:szCs w:val="21"/>
              </w:rPr>
            </w:pPr>
            <w:r>
              <w:rPr>
                <w:sz w:val="21"/>
                <w:szCs w:val="21"/>
                <w:spacing w:val="6"/>
              </w:rPr>
              <w:t>三级</w:t>
            </w:r>
          </w:p>
        </w:tc>
      </w:tr>
      <w:tr>
        <w:trPr>
          <w:trHeight w:val="280" w:hRule="atLeast"/>
        </w:trPr>
        <w:tc>
          <w:tcPr>
            <w:tcW w:w="524" w:type="dxa"/>
            <w:vAlign w:val="top"/>
            <w:vMerge w:val="continue"/>
            <w:tcBorders>
              <w:top w:val="nil"/>
            </w:tcBorders>
          </w:tcPr>
          <w:p>
            <w:pPr>
              <w:rPr>
                <w:rFonts w:ascii="Arial"/>
                <w:sz w:val="21"/>
              </w:rPr>
            </w:pPr>
            <w:r/>
          </w:p>
        </w:tc>
        <w:tc>
          <w:tcPr>
            <w:tcW w:w="1308" w:type="dxa"/>
            <w:vAlign w:val="top"/>
            <w:vMerge w:val="continue"/>
            <w:tcBorders>
              <w:top w:val="nil"/>
            </w:tcBorders>
          </w:tcPr>
          <w:p>
            <w:pPr>
              <w:rPr>
                <w:rFonts w:ascii="Arial"/>
                <w:sz w:val="21"/>
              </w:rPr>
            </w:pPr>
            <w:r/>
          </w:p>
        </w:tc>
        <w:tc>
          <w:tcPr>
            <w:tcW w:w="1159" w:type="dxa"/>
            <w:vAlign w:val="top"/>
          </w:tcPr>
          <w:p>
            <w:pPr>
              <w:pStyle w:val="TableText"/>
              <w:ind w:left="363"/>
              <w:spacing w:before="81" w:line="166"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1099" w:type="dxa"/>
            <w:vAlign w:val="top"/>
            <w:vMerge w:val="continue"/>
            <w:tcBorders>
              <w:top w:val="nil"/>
              <w:bottom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1198" w:type="dxa"/>
            <w:vAlign w:val="top"/>
          </w:tcPr>
          <w:p>
            <w:pPr>
              <w:pStyle w:val="TableText"/>
              <w:ind w:left="276"/>
              <w:spacing w:before="68" w:line="177" w:lineRule="auto"/>
              <w:rPr>
                <w:sz w:val="21"/>
                <w:szCs w:val="21"/>
              </w:rPr>
            </w:pPr>
            <w:r>
              <w:rPr>
                <w:sz w:val="21"/>
                <w:szCs w:val="21"/>
                <w:spacing w:val="-2"/>
              </w:rPr>
              <w:t>0.1222</w:t>
            </w:r>
          </w:p>
        </w:tc>
        <w:tc>
          <w:tcPr>
            <w:tcW w:w="1218" w:type="dxa"/>
            <w:vAlign w:val="top"/>
          </w:tcPr>
          <w:p>
            <w:pPr>
              <w:pStyle w:val="TableText"/>
              <w:ind w:left="398"/>
              <w:spacing w:before="68" w:line="177" w:lineRule="auto"/>
              <w:rPr>
                <w:sz w:val="21"/>
                <w:szCs w:val="21"/>
              </w:rPr>
            </w:pPr>
            <w:r>
              <w:rPr>
                <w:sz w:val="21"/>
                <w:szCs w:val="21"/>
                <w:spacing w:val="-5"/>
              </w:rPr>
              <w:t>1.22</w:t>
            </w:r>
          </w:p>
        </w:tc>
        <w:tc>
          <w:tcPr>
            <w:tcW w:w="874" w:type="dxa"/>
            <w:vAlign w:val="top"/>
          </w:tcPr>
          <w:p>
            <w:pPr>
              <w:pStyle w:val="TableText"/>
              <w:ind w:left="219"/>
              <w:spacing w:before="50" w:line="193" w:lineRule="auto"/>
              <w:rPr>
                <w:sz w:val="21"/>
                <w:szCs w:val="21"/>
              </w:rPr>
            </w:pPr>
            <w:r>
              <w:rPr>
                <w:sz w:val="21"/>
                <w:szCs w:val="21"/>
                <w:spacing w:val="6"/>
              </w:rPr>
              <w:t>二级</w:t>
            </w:r>
          </w:p>
        </w:tc>
      </w:tr>
      <w:tr>
        <w:trPr>
          <w:trHeight w:val="284" w:hRule="atLeast"/>
        </w:trPr>
        <w:tc>
          <w:tcPr>
            <w:tcW w:w="524" w:type="dxa"/>
            <w:vAlign w:val="top"/>
          </w:tcPr>
          <w:p>
            <w:pPr>
              <w:pStyle w:val="TableText"/>
              <w:ind w:left="144"/>
              <w:spacing w:before="68" w:line="181" w:lineRule="auto"/>
              <w:rPr>
                <w:sz w:val="21"/>
                <w:szCs w:val="21"/>
              </w:rPr>
            </w:pPr>
            <w:r>
              <w:rPr>
                <w:sz w:val="21"/>
                <w:szCs w:val="21"/>
                <w:spacing w:val="-6"/>
              </w:rPr>
              <w:t>10</w:t>
            </w:r>
          </w:p>
        </w:tc>
        <w:tc>
          <w:tcPr>
            <w:tcW w:w="1308" w:type="dxa"/>
            <w:vAlign w:val="top"/>
          </w:tcPr>
          <w:p>
            <w:pPr>
              <w:pStyle w:val="TableText"/>
              <w:ind w:left="120"/>
              <w:spacing w:before="47" w:line="199" w:lineRule="auto"/>
              <w:rPr>
                <w:sz w:val="21"/>
                <w:szCs w:val="21"/>
              </w:rPr>
            </w:pPr>
            <w:r>
              <w:rPr>
                <w:sz w:val="21"/>
                <w:szCs w:val="21"/>
                <w:spacing w:val="2"/>
              </w:rPr>
              <w:t>污水处理站</w:t>
            </w:r>
          </w:p>
        </w:tc>
        <w:tc>
          <w:tcPr>
            <w:tcW w:w="1159" w:type="dxa"/>
            <w:vAlign w:val="top"/>
          </w:tcPr>
          <w:p>
            <w:pPr>
              <w:pStyle w:val="TableText"/>
              <w:ind w:left="363"/>
              <w:spacing w:before="81" w:line="169"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1099" w:type="dxa"/>
            <w:vAlign w:val="top"/>
            <w:vMerge w:val="continue"/>
            <w:tcBorders>
              <w:top w:val="nil"/>
            </w:tcBorders>
          </w:tcPr>
          <w:p>
            <w:pPr>
              <w:rPr>
                <w:rFonts w:ascii="Arial"/>
                <w:sz w:val="21"/>
              </w:rPr>
            </w:pPr>
            <w:r/>
          </w:p>
        </w:tc>
        <w:tc>
          <w:tcPr>
            <w:tcW w:w="1099" w:type="dxa"/>
            <w:vAlign w:val="top"/>
            <w:vMerge w:val="continue"/>
            <w:tcBorders>
              <w:top w:val="nil"/>
            </w:tcBorders>
          </w:tcPr>
          <w:p>
            <w:pPr>
              <w:rPr>
                <w:rFonts w:ascii="Arial"/>
                <w:sz w:val="21"/>
              </w:rPr>
            </w:pPr>
            <w:r/>
          </w:p>
        </w:tc>
        <w:tc>
          <w:tcPr>
            <w:tcW w:w="1198" w:type="dxa"/>
            <w:vAlign w:val="top"/>
          </w:tcPr>
          <w:p>
            <w:pPr>
              <w:pStyle w:val="TableText"/>
              <w:ind w:left="226"/>
              <w:spacing w:before="68" w:line="181" w:lineRule="auto"/>
              <w:rPr>
                <w:sz w:val="21"/>
                <w:szCs w:val="21"/>
              </w:rPr>
            </w:pPr>
            <w:r>
              <w:rPr>
                <w:sz w:val="21"/>
                <w:szCs w:val="21"/>
                <w:color w:val="604050"/>
                <w:spacing w:val="-3"/>
              </w:rPr>
              <w:t>12.6470</w:t>
            </w:r>
          </w:p>
        </w:tc>
        <w:tc>
          <w:tcPr>
            <w:tcW w:w="1218" w:type="dxa"/>
            <w:vAlign w:val="top"/>
          </w:tcPr>
          <w:p>
            <w:pPr>
              <w:pStyle w:val="TableText"/>
              <w:ind w:left="398"/>
              <w:spacing w:before="68" w:line="181" w:lineRule="auto"/>
              <w:rPr>
                <w:sz w:val="21"/>
                <w:szCs w:val="21"/>
              </w:rPr>
            </w:pPr>
            <w:r>
              <w:rPr>
                <w:sz w:val="21"/>
                <w:szCs w:val="21"/>
                <w:spacing w:val="-2"/>
              </w:rPr>
              <w:t>6.32</w:t>
            </w:r>
          </w:p>
        </w:tc>
        <w:tc>
          <w:tcPr>
            <w:tcW w:w="874" w:type="dxa"/>
            <w:vAlign w:val="top"/>
          </w:tcPr>
          <w:p>
            <w:pPr>
              <w:pStyle w:val="TableText"/>
              <w:ind w:left="219"/>
              <w:spacing w:before="49" w:line="197" w:lineRule="auto"/>
              <w:rPr>
                <w:sz w:val="21"/>
                <w:szCs w:val="21"/>
              </w:rPr>
            </w:pPr>
            <w:r>
              <w:rPr>
                <w:sz w:val="21"/>
                <w:szCs w:val="21"/>
                <w:color w:val="504040"/>
                <w:spacing w:val="6"/>
              </w:rPr>
              <w:t>二级</w:t>
            </w:r>
          </w:p>
        </w:tc>
      </w:tr>
    </w:tbl>
    <w:p>
      <w:pPr>
        <w:pStyle w:val="BodyText"/>
        <w:rPr/>
      </w:pPr>
      <w:r/>
    </w:p>
    <w:p>
      <w:pPr>
        <w:sectPr>
          <w:headerReference w:type="default" r:id="rId156"/>
          <w:footerReference w:type="default" r:id="rId157"/>
          <w:pgSz w:w="11910" w:h="16840"/>
          <w:pgMar w:top="1258" w:right="1715" w:bottom="1006" w:left="1685" w:header="871" w:footer="694" w:gutter="0"/>
        </w:sectPr>
        <w:rPr/>
      </w:pPr>
    </w:p>
    <w:p>
      <w:pPr>
        <w:spacing w:line="224" w:lineRule="exact"/>
        <w:rPr/>
      </w:pPr>
      <w:r/>
    </w:p>
    <w:tbl>
      <w:tblPr>
        <w:tblStyle w:val="TableNormal"/>
        <w:tblW w:w="85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24"/>
        <w:gridCol w:w="1308"/>
        <w:gridCol w:w="1159"/>
        <w:gridCol w:w="1129"/>
        <w:gridCol w:w="1079"/>
        <w:gridCol w:w="1208"/>
        <w:gridCol w:w="1209"/>
        <w:gridCol w:w="894"/>
      </w:tblGrid>
      <w:tr>
        <w:trPr>
          <w:trHeight w:val="280" w:hRule="atLeast"/>
        </w:trPr>
        <w:tc>
          <w:tcPr>
            <w:shd w:val="clear" w:fill="BDBDBD"/>
            <w:tcW w:w="524" w:type="dxa"/>
            <w:vAlign w:val="top"/>
          </w:tcPr>
          <w:p>
            <w:pPr>
              <w:pStyle w:val="TableText"/>
              <w:ind w:left="18"/>
              <w:spacing w:before="32" w:line="199" w:lineRule="auto"/>
              <w:rPr>
                <w:sz w:val="22"/>
                <w:szCs w:val="22"/>
              </w:rPr>
            </w:pPr>
            <w:bookmarkStart w:name="bookmark90" w:id="36"/>
            <w:bookmarkEnd w:id="36"/>
            <w:r>
              <w:rPr>
                <w:sz w:val="22"/>
                <w:szCs w:val="22"/>
                <w:b/>
                <w:bCs/>
                <w:spacing w:val="-5"/>
              </w:rPr>
              <w:t>序号</w:t>
            </w:r>
          </w:p>
        </w:tc>
        <w:tc>
          <w:tcPr>
            <w:shd w:val="clear" w:fill="BDBDBD"/>
            <w:tcW w:w="1308" w:type="dxa"/>
            <w:vAlign w:val="top"/>
          </w:tcPr>
          <w:p>
            <w:pPr>
              <w:pStyle w:val="TableText"/>
              <w:ind w:left="324"/>
              <w:spacing w:before="31" w:line="200" w:lineRule="auto"/>
              <w:rPr>
                <w:sz w:val="22"/>
                <w:szCs w:val="22"/>
              </w:rPr>
            </w:pPr>
            <w:r>
              <w:rPr>
                <w:sz w:val="22"/>
                <w:szCs w:val="22"/>
                <w:b/>
                <w:bCs/>
                <w:spacing w:val="-5"/>
              </w:rPr>
              <w:t>污染源</w:t>
            </w:r>
          </w:p>
        </w:tc>
        <w:tc>
          <w:tcPr>
            <w:shd w:val="clear" w:fill="BDBDBD"/>
            <w:tcW w:w="1159" w:type="dxa"/>
            <w:vAlign w:val="top"/>
          </w:tcPr>
          <w:p>
            <w:pPr>
              <w:pStyle w:val="TableText"/>
              <w:ind w:left="26"/>
              <w:spacing w:before="31" w:line="200" w:lineRule="auto"/>
              <w:rPr>
                <w:sz w:val="22"/>
                <w:szCs w:val="22"/>
              </w:rPr>
            </w:pPr>
            <w:r>
              <w:rPr>
                <w:sz w:val="22"/>
                <w:szCs w:val="22"/>
                <w:b/>
                <w:bCs/>
                <w:spacing w:val="-5"/>
              </w:rPr>
              <w:t>大气污染物</w:t>
            </w:r>
          </w:p>
        </w:tc>
        <w:tc>
          <w:tcPr>
            <w:shd w:val="clear" w:fill="BDBDBD"/>
            <w:tcW w:w="1129" w:type="dxa"/>
            <w:vAlign w:val="top"/>
          </w:tcPr>
          <w:p>
            <w:pPr>
              <w:pStyle w:val="TableText"/>
              <w:ind w:left="137"/>
              <w:spacing w:before="32" w:line="199" w:lineRule="auto"/>
              <w:rPr>
                <w:sz w:val="22"/>
                <w:szCs w:val="22"/>
              </w:rPr>
            </w:pPr>
            <w:r>
              <w:rPr>
                <w:sz w:val="22"/>
                <w:szCs w:val="22"/>
                <w:b/>
                <w:bCs/>
                <w:spacing w:val="-4"/>
              </w:rPr>
              <w:t>排放方式</w:t>
            </w:r>
          </w:p>
        </w:tc>
        <w:tc>
          <w:tcPr>
            <w:shd w:val="clear" w:fill="BDBDBD"/>
            <w:tcW w:w="1079" w:type="dxa"/>
            <w:vAlign w:val="top"/>
          </w:tcPr>
          <w:p>
            <w:pPr>
              <w:pStyle w:val="TableText"/>
              <w:spacing w:before="30" w:line="201" w:lineRule="auto"/>
              <w:jc w:val="right"/>
              <w:rPr>
                <w:sz w:val="22"/>
                <w:szCs w:val="22"/>
              </w:rPr>
            </w:pPr>
            <w:r>
              <w:rPr>
                <w:sz w:val="22"/>
                <w:szCs w:val="22"/>
                <w:b/>
                <w:bCs/>
                <w:spacing w:val="-13"/>
              </w:rPr>
              <w:t>污染源类型</w:t>
            </w:r>
          </w:p>
        </w:tc>
        <w:tc>
          <w:tcPr>
            <w:shd w:val="clear" w:fill="BDBDBD"/>
            <w:tcW w:w="1208" w:type="dxa"/>
            <w:vAlign w:val="top"/>
          </w:tcPr>
          <w:p>
            <w:pPr>
              <w:pStyle w:val="TableText"/>
              <w:ind w:left="19"/>
              <w:spacing w:before="23" w:line="207" w:lineRule="auto"/>
              <w:rPr>
                <w:sz w:val="22"/>
                <w:szCs w:val="22"/>
              </w:rPr>
            </w:pPr>
            <w:r>
              <w:rPr>
                <w:sz w:val="22"/>
                <w:szCs w:val="22"/>
                <w:b/>
                <w:bCs/>
                <w:spacing w:val="-4"/>
              </w:rPr>
              <w:t>C(μg/m³)</w:t>
            </w:r>
          </w:p>
        </w:tc>
        <w:tc>
          <w:tcPr>
            <w:shd w:val="clear" w:fill="BDBDBD"/>
            <w:tcW w:w="1209" w:type="dxa"/>
            <w:vAlign w:val="top"/>
          </w:tcPr>
          <w:p>
            <w:pPr>
              <w:pStyle w:val="TableText"/>
              <w:ind w:left="221"/>
              <w:spacing w:before="34" w:line="198" w:lineRule="auto"/>
              <w:rPr>
                <w:sz w:val="22"/>
                <w:szCs w:val="22"/>
              </w:rPr>
            </w:pPr>
            <w:r>
              <w:rPr>
                <w:sz w:val="22"/>
                <w:szCs w:val="22"/>
                <w:b/>
                <w:bCs/>
                <w:spacing w:val="-4"/>
              </w:rPr>
              <w:t>Pmax(%)</w:t>
            </w:r>
          </w:p>
        </w:tc>
        <w:tc>
          <w:tcPr>
            <w:shd w:val="clear" w:fill="BDBDBD"/>
            <w:tcW w:w="894" w:type="dxa"/>
            <w:vAlign w:val="top"/>
          </w:tcPr>
          <w:p>
            <w:pPr>
              <w:pStyle w:val="TableText"/>
              <w:spacing w:before="29" w:line="202" w:lineRule="auto"/>
              <w:jc w:val="right"/>
              <w:rPr>
                <w:sz w:val="22"/>
                <w:szCs w:val="22"/>
              </w:rPr>
            </w:pPr>
            <w:r>
              <w:rPr>
                <w:sz w:val="22"/>
                <w:szCs w:val="22"/>
                <w:b/>
                <w:bCs/>
                <w:spacing w:val="-7"/>
              </w:rPr>
              <w:t>评价级别</w:t>
            </w:r>
          </w:p>
        </w:tc>
      </w:tr>
      <w:tr>
        <w:trPr>
          <w:trHeight w:val="279" w:hRule="atLeast"/>
        </w:trPr>
        <w:tc>
          <w:tcPr>
            <w:tcW w:w="524" w:type="dxa"/>
            <w:vAlign w:val="top"/>
          </w:tcPr>
          <w:p>
            <w:pPr>
              <w:rPr>
                <w:rFonts w:ascii="Arial"/>
                <w:sz w:val="21"/>
              </w:rPr>
            </w:pPr>
            <w:r/>
          </w:p>
        </w:tc>
        <w:tc>
          <w:tcPr>
            <w:tcW w:w="1308" w:type="dxa"/>
            <w:vAlign w:val="top"/>
          </w:tcPr>
          <w:p>
            <w:pPr>
              <w:rPr>
                <w:rFonts w:ascii="Arial"/>
                <w:sz w:val="21"/>
              </w:rPr>
            </w:pPr>
            <w:r/>
          </w:p>
        </w:tc>
        <w:tc>
          <w:tcPr>
            <w:tcW w:w="1159" w:type="dxa"/>
            <w:vAlign w:val="top"/>
          </w:tcPr>
          <w:p>
            <w:pPr>
              <w:pStyle w:val="TableText"/>
              <w:ind w:left="356"/>
              <w:spacing w:before="68" w:line="168" w:lineRule="auto"/>
              <w:rPr>
                <w:sz w:val="22"/>
                <w:szCs w:val="22"/>
              </w:rPr>
            </w:pPr>
            <w:r>
              <w:rPr>
                <w:sz w:val="22"/>
                <w:szCs w:val="22"/>
                <w:b/>
                <w:bCs/>
                <w:spacing w:val="-3"/>
              </w:rPr>
              <w:t>H</w:t>
            </w:r>
            <w:r>
              <w:rPr>
                <w:rFonts w:ascii="Calibri" w:hAnsi="Calibri" w:eastAsia="Calibri" w:cs="Calibri"/>
                <w:sz w:val="22"/>
                <w:szCs w:val="22"/>
                <w:b/>
                <w:bCs/>
                <w:spacing w:val="-3"/>
              </w:rPr>
              <w:t>₂</w:t>
            </w:r>
            <w:r>
              <w:rPr>
                <w:sz w:val="22"/>
                <w:szCs w:val="22"/>
                <w:b/>
                <w:bCs/>
                <w:spacing w:val="-3"/>
              </w:rPr>
              <w:t>S</w:t>
            </w:r>
          </w:p>
        </w:tc>
        <w:tc>
          <w:tcPr>
            <w:tcW w:w="1129" w:type="dxa"/>
            <w:vAlign w:val="top"/>
          </w:tcPr>
          <w:p>
            <w:pPr>
              <w:rPr>
                <w:rFonts w:ascii="Arial"/>
                <w:sz w:val="21"/>
              </w:rPr>
            </w:pPr>
            <w:r/>
          </w:p>
        </w:tc>
        <w:tc>
          <w:tcPr>
            <w:tcW w:w="1079" w:type="dxa"/>
            <w:vAlign w:val="top"/>
          </w:tcPr>
          <w:p>
            <w:pPr>
              <w:rPr>
                <w:rFonts w:ascii="Arial"/>
                <w:sz w:val="21"/>
              </w:rPr>
            </w:pPr>
            <w:r/>
          </w:p>
        </w:tc>
        <w:tc>
          <w:tcPr>
            <w:tcW w:w="1208" w:type="dxa"/>
            <w:vAlign w:val="top"/>
          </w:tcPr>
          <w:p>
            <w:pPr>
              <w:pStyle w:val="TableText"/>
              <w:ind w:left="299"/>
              <w:spacing w:before="53" w:line="181" w:lineRule="auto"/>
              <w:rPr>
                <w:sz w:val="22"/>
                <w:szCs w:val="22"/>
              </w:rPr>
            </w:pPr>
            <w:r>
              <w:rPr>
                <w:sz w:val="22"/>
                <w:szCs w:val="22"/>
                <w:b/>
                <w:bCs/>
                <w:spacing w:val="-4"/>
              </w:rPr>
              <w:t>0.4588</w:t>
            </w:r>
          </w:p>
        </w:tc>
        <w:tc>
          <w:tcPr>
            <w:tcW w:w="1209" w:type="dxa"/>
            <w:vAlign w:val="top"/>
          </w:tcPr>
          <w:p>
            <w:pPr>
              <w:pStyle w:val="TableText"/>
              <w:ind w:left="381"/>
              <w:spacing w:before="53" w:line="181" w:lineRule="auto"/>
              <w:rPr>
                <w:sz w:val="22"/>
                <w:szCs w:val="22"/>
              </w:rPr>
            </w:pPr>
            <w:r>
              <w:rPr>
                <w:sz w:val="22"/>
                <w:szCs w:val="22"/>
                <w:b/>
                <w:bCs/>
                <w:spacing w:val="-4"/>
              </w:rPr>
              <w:t>4.59</w:t>
            </w:r>
          </w:p>
        </w:tc>
        <w:tc>
          <w:tcPr>
            <w:tcW w:w="894" w:type="dxa"/>
            <w:vAlign w:val="top"/>
          </w:tcPr>
          <w:p>
            <w:pPr>
              <w:pStyle w:val="TableText"/>
              <w:ind w:left="222"/>
              <w:spacing w:before="33" w:line="198" w:lineRule="auto"/>
              <w:rPr>
                <w:sz w:val="22"/>
                <w:szCs w:val="22"/>
              </w:rPr>
            </w:pPr>
            <w:r>
              <w:rPr>
                <w:sz w:val="22"/>
                <w:szCs w:val="22"/>
                <w:b/>
                <w:bCs/>
                <w:color w:val="505040"/>
                <w:spacing w:val="-6"/>
              </w:rPr>
              <w:t>二级</w:t>
            </w:r>
          </w:p>
        </w:tc>
      </w:tr>
    </w:tbl>
    <w:p>
      <w:pPr>
        <w:ind w:left="94" w:right="120" w:firstLine="490"/>
        <w:spacing w:before="51" w:line="352" w:lineRule="auto"/>
        <w:jc w:val="both"/>
        <w:rPr>
          <w:rFonts w:ascii="SimSun" w:hAnsi="SimSun" w:eastAsia="SimSun" w:cs="SimSun"/>
          <w:sz w:val="24"/>
          <w:szCs w:val="24"/>
        </w:rPr>
      </w:pPr>
      <w:r>
        <w:rPr>
          <w:rFonts w:ascii="SimSun" w:hAnsi="SimSun" w:eastAsia="SimSun" w:cs="SimSun"/>
          <w:sz w:val="26"/>
          <w:szCs w:val="26"/>
          <w:spacing w:val="2"/>
        </w:rPr>
        <w:t>采用</w:t>
      </w:r>
      <w:r>
        <w:rPr>
          <w:rFonts w:ascii="SimSun" w:hAnsi="SimSun" w:eastAsia="SimSun" w:cs="SimSun"/>
          <w:sz w:val="26"/>
          <w:szCs w:val="26"/>
        </w:rPr>
        <w:t>AERSCREEN</w:t>
      </w:r>
      <w:r>
        <w:rPr>
          <w:rFonts w:ascii="SimSun" w:hAnsi="SimSun" w:eastAsia="SimSun" w:cs="SimSun"/>
          <w:sz w:val="26"/>
          <w:szCs w:val="26"/>
          <w:spacing w:val="2"/>
        </w:rPr>
        <w:t>估算模式计算占标率计算的结果见上表所示。本</w:t>
      </w:r>
      <w:r>
        <w:rPr>
          <w:rFonts w:ascii="SimSun" w:hAnsi="SimSun" w:eastAsia="SimSun" w:cs="SimSun"/>
          <w:sz w:val="26"/>
          <w:szCs w:val="26"/>
          <w:spacing w:val="1"/>
        </w:rPr>
        <w:t>项目</w:t>
      </w:r>
      <w:r>
        <w:rPr>
          <w:rFonts w:ascii="SimSun" w:hAnsi="SimSun" w:eastAsia="SimSun" w:cs="SimSun"/>
          <w:sz w:val="26"/>
          <w:szCs w:val="26"/>
        </w:rPr>
        <w:t xml:space="preserve"> </w:t>
      </w:r>
      <w:r>
        <w:rPr>
          <w:rFonts w:ascii="Times New Roman" w:hAnsi="Times New Roman" w:eastAsia="Times New Roman" w:cs="Times New Roman"/>
          <w:sz w:val="24"/>
          <w:szCs w:val="24"/>
        </w:rPr>
        <w:t>Pmax</w:t>
      </w:r>
      <w:r>
        <w:rPr>
          <w:rFonts w:ascii="SimSun" w:hAnsi="SimSun" w:eastAsia="SimSun" w:cs="SimSun"/>
          <w:sz w:val="24"/>
          <w:szCs w:val="24"/>
          <w:spacing w:val="6"/>
        </w:rPr>
        <w:t>最大值出现为生猪待宰圈舍无组织源排放的</w:t>
      </w:r>
      <w:r>
        <w:rPr>
          <w:rFonts w:ascii="Times New Roman" w:hAnsi="Times New Roman" w:eastAsia="Times New Roman" w:cs="Times New Roman"/>
          <w:sz w:val="24"/>
          <w:szCs w:val="24"/>
          <w:spacing w:val="6"/>
        </w:rPr>
        <w:t>H₂S,</w:t>
      </w:r>
      <w:r>
        <w:rPr>
          <w:rFonts w:ascii="Times New Roman" w:hAnsi="Times New Roman" w:eastAsia="Times New Roman" w:cs="Times New Roman"/>
          <w:sz w:val="24"/>
          <w:szCs w:val="24"/>
        </w:rPr>
        <w:t>Pmax</w:t>
      </w:r>
      <w:r>
        <w:rPr>
          <w:rFonts w:ascii="Times New Roman" w:hAnsi="Times New Roman" w:eastAsia="Times New Roman" w:cs="Times New Roman"/>
          <w:sz w:val="24"/>
          <w:szCs w:val="24"/>
          <w:spacing w:val="6"/>
        </w:rPr>
        <w:t xml:space="preserve">   </w:t>
      </w:r>
      <w:r>
        <w:rPr>
          <w:rFonts w:ascii="SimSun" w:hAnsi="SimSun" w:eastAsia="SimSun" w:cs="SimSun"/>
          <w:sz w:val="24"/>
          <w:szCs w:val="24"/>
          <w:spacing w:val="6"/>
        </w:rPr>
        <w:t>值为8.35%,</w:t>
      </w:r>
      <w:r>
        <w:rPr>
          <w:rFonts w:ascii="Times New Roman" w:hAnsi="Times New Roman" w:eastAsia="Times New Roman" w:cs="Times New Roman"/>
          <w:sz w:val="24"/>
          <w:szCs w:val="24"/>
        </w:rPr>
        <w:t>Cmax</w:t>
      </w:r>
      <w:r>
        <w:rPr>
          <w:rFonts w:ascii="Times New Roman" w:hAnsi="Times New Roman" w:eastAsia="Times New Roman" w:cs="Times New Roman"/>
          <w:sz w:val="24"/>
          <w:szCs w:val="24"/>
          <w:spacing w:val="6"/>
        </w:rPr>
        <w:t xml:space="preserve">  </w:t>
      </w:r>
      <w:r>
        <w:rPr>
          <w:rFonts w:ascii="SimSun" w:hAnsi="SimSun" w:eastAsia="SimSun" w:cs="SimSun"/>
          <w:sz w:val="24"/>
          <w:szCs w:val="24"/>
          <w:spacing w:val="-3"/>
        </w:rPr>
        <w:t>为0.8347μ</w:t>
      </w:r>
      <w:r>
        <w:rPr>
          <w:rFonts w:ascii="Times New Roman" w:hAnsi="Times New Roman" w:eastAsia="Times New Roman" w:cs="Times New Roman"/>
          <w:sz w:val="24"/>
          <w:szCs w:val="24"/>
          <w:spacing w:val="-3"/>
        </w:rPr>
        <w:t>g/m³,   </w:t>
      </w:r>
      <w:r>
        <w:rPr>
          <w:rFonts w:ascii="SimSun" w:hAnsi="SimSun" w:eastAsia="SimSun" w:cs="SimSun"/>
          <w:sz w:val="24"/>
          <w:szCs w:val="24"/>
          <w:spacing w:val="-3"/>
        </w:rPr>
        <w:t>根据《环境影响评价技术导则大气环境》</w:t>
      </w:r>
      <w:r>
        <w:rPr>
          <w:rFonts w:ascii="SimSun" w:hAnsi="SimSun" w:eastAsia="SimSun" w:cs="SimSun"/>
          <w:sz w:val="24"/>
          <w:szCs w:val="24"/>
          <w:spacing w:val="59"/>
        </w:rPr>
        <w:t xml:space="preserve"> </w:t>
      </w:r>
      <w:r>
        <w:rPr>
          <w:rFonts w:ascii="Times New Roman" w:hAnsi="Times New Roman" w:eastAsia="Times New Roman" w:cs="Times New Roman"/>
          <w:sz w:val="24"/>
          <w:szCs w:val="24"/>
          <w:spacing w:val="-3"/>
        </w:rPr>
        <w:t>(HJ2.2-2018)    </w:t>
      </w:r>
      <w:r>
        <w:rPr>
          <w:rFonts w:ascii="SimSun" w:hAnsi="SimSun" w:eastAsia="SimSun" w:cs="SimSun"/>
          <w:sz w:val="24"/>
          <w:szCs w:val="24"/>
          <w:spacing w:val="-4"/>
        </w:rPr>
        <w:t>分</w:t>
      </w:r>
      <w:r>
        <w:rPr>
          <w:rFonts w:ascii="SimSun" w:hAnsi="SimSun" w:eastAsia="SimSun" w:cs="SimSun"/>
          <w:sz w:val="24"/>
          <w:szCs w:val="24"/>
          <w:spacing w:val="-49"/>
        </w:rPr>
        <w:t xml:space="preserve"> </w:t>
      </w:r>
      <w:r>
        <w:rPr>
          <w:rFonts w:ascii="SimSun" w:hAnsi="SimSun" w:eastAsia="SimSun" w:cs="SimSun"/>
          <w:sz w:val="24"/>
          <w:szCs w:val="24"/>
          <w:spacing w:val="-4"/>
        </w:rPr>
        <w:t>级</w:t>
      </w:r>
      <w:r>
        <w:rPr>
          <w:rFonts w:ascii="SimSun" w:hAnsi="SimSun" w:eastAsia="SimSun" w:cs="SimSun"/>
          <w:sz w:val="24"/>
          <w:szCs w:val="24"/>
        </w:rPr>
        <w:t xml:space="preserve"> </w:t>
      </w:r>
      <w:r>
        <w:rPr>
          <w:rFonts w:ascii="SimSun" w:hAnsi="SimSun" w:eastAsia="SimSun" w:cs="SimSun"/>
          <w:sz w:val="24"/>
          <w:szCs w:val="24"/>
          <w:spacing w:val="-1"/>
        </w:rPr>
        <w:t>判据，确定本项目大气环境影响评价工作等级为二级。</w:t>
      </w:r>
    </w:p>
    <w:p>
      <w:pPr>
        <w:ind w:left="578"/>
        <w:spacing w:before="1" w:line="217" w:lineRule="auto"/>
        <w:rPr>
          <w:rFonts w:ascii="SimSun" w:hAnsi="SimSun" w:eastAsia="SimSun" w:cs="SimSun"/>
          <w:sz w:val="24"/>
          <w:szCs w:val="24"/>
        </w:rPr>
      </w:pPr>
      <w:r>
        <w:rPr>
          <w:rFonts w:ascii="SimSun" w:hAnsi="SimSun" w:eastAsia="SimSun" w:cs="SimSun"/>
          <w:sz w:val="24"/>
          <w:szCs w:val="24"/>
          <w:b/>
          <w:bCs/>
          <w:spacing w:val="-2"/>
        </w:rPr>
        <w:t>2、评价范围</w:t>
      </w:r>
    </w:p>
    <w:p>
      <w:pPr>
        <w:ind w:left="94" w:right="125" w:firstLine="480"/>
        <w:spacing w:before="195" w:line="354" w:lineRule="auto"/>
        <w:jc w:val="both"/>
        <w:rPr>
          <w:rFonts w:ascii="SimSun" w:hAnsi="SimSun" w:eastAsia="SimSun" w:cs="SimSun"/>
          <w:sz w:val="24"/>
          <w:szCs w:val="24"/>
        </w:rPr>
      </w:pPr>
      <w:r>
        <w:rPr>
          <w:rFonts w:ascii="SimSun" w:hAnsi="SimSun" w:eastAsia="SimSun" w:cs="SimSun"/>
          <w:sz w:val="24"/>
          <w:szCs w:val="24"/>
          <w:spacing w:val="4"/>
        </w:rPr>
        <w:t>按照《环境影响评价技术导则大气环境》</w:t>
      </w:r>
      <w:r>
        <w:rPr>
          <w:rFonts w:ascii="SimSun" w:hAnsi="SimSun" w:eastAsia="SimSun" w:cs="SimSun"/>
          <w:sz w:val="24"/>
          <w:szCs w:val="24"/>
          <w:spacing w:val="80"/>
        </w:rPr>
        <w:t xml:space="preserve"> </w:t>
      </w:r>
      <w:r>
        <w:rPr>
          <w:rFonts w:ascii="Times New Roman" w:hAnsi="Times New Roman" w:eastAsia="Times New Roman" w:cs="Times New Roman"/>
          <w:sz w:val="24"/>
          <w:szCs w:val="24"/>
          <w:spacing w:val="4"/>
        </w:rPr>
        <w:t>(</w:t>
      </w:r>
      <w:r>
        <w:rPr>
          <w:rFonts w:ascii="Times New Roman" w:hAnsi="Times New Roman" w:eastAsia="Times New Roman" w:cs="Times New Roman"/>
          <w:sz w:val="24"/>
          <w:szCs w:val="24"/>
        </w:rPr>
        <w:t>HJ</w:t>
      </w:r>
      <w:r>
        <w:rPr>
          <w:rFonts w:ascii="Times New Roman" w:hAnsi="Times New Roman" w:eastAsia="Times New Roman" w:cs="Times New Roman"/>
          <w:sz w:val="24"/>
          <w:szCs w:val="24"/>
          <w:spacing w:val="4"/>
        </w:rPr>
        <w:t>2.2-2018)   </w:t>
      </w:r>
      <w:r>
        <w:rPr>
          <w:rFonts w:ascii="SimSun" w:hAnsi="SimSun" w:eastAsia="SimSun" w:cs="SimSun"/>
          <w:sz w:val="24"/>
          <w:szCs w:val="24"/>
          <w:spacing w:val="4"/>
        </w:rPr>
        <w:t>规定，二级评价</w:t>
      </w:r>
      <w:r>
        <w:rPr>
          <w:rFonts w:ascii="SimSun" w:hAnsi="SimSun" w:eastAsia="SimSun" w:cs="SimSun"/>
          <w:sz w:val="24"/>
          <w:szCs w:val="24"/>
        </w:rPr>
        <w:t xml:space="preserve"> </w:t>
      </w:r>
      <w:r>
        <w:rPr>
          <w:rFonts w:ascii="SimSun" w:hAnsi="SimSun" w:eastAsia="SimSun" w:cs="SimSun"/>
          <w:sz w:val="24"/>
          <w:szCs w:val="24"/>
          <w:spacing w:val="5"/>
        </w:rPr>
        <w:t>项目大气环境影响评价范围边长取5</w:t>
      </w:r>
      <w:r>
        <w:rPr>
          <w:rFonts w:ascii="Times New Roman" w:hAnsi="Times New Roman" w:eastAsia="Times New Roman" w:cs="Times New Roman"/>
          <w:sz w:val="24"/>
          <w:szCs w:val="24"/>
        </w:rPr>
        <w:t>km</w:t>
      </w:r>
      <w:r>
        <w:rPr>
          <w:rFonts w:ascii="Times New Roman" w:hAnsi="Times New Roman" w:eastAsia="Times New Roman" w:cs="Times New Roman"/>
          <w:sz w:val="24"/>
          <w:szCs w:val="24"/>
          <w:spacing w:val="5"/>
        </w:rPr>
        <w:t>,   </w:t>
      </w:r>
      <w:r>
        <w:rPr>
          <w:rFonts w:ascii="SimSun" w:hAnsi="SimSun" w:eastAsia="SimSun" w:cs="SimSun"/>
          <w:sz w:val="24"/>
          <w:szCs w:val="24"/>
          <w:spacing w:val="5"/>
        </w:rPr>
        <w:t>因此，以项目厂址为中心区域，取边</w:t>
      </w:r>
      <w:r>
        <w:rPr>
          <w:rFonts w:ascii="SimSun" w:hAnsi="SimSun" w:eastAsia="SimSun" w:cs="SimSun"/>
          <w:sz w:val="24"/>
          <w:szCs w:val="24"/>
          <w:spacing w:val="10"/>
        </w:rPr>
        <w:t xml:space="preserve"> </w:t>
      </w:r>
      <w:r>
        <w:rPr>
          <w:rFonts w:ascii="SimSun" w:hAnsi="SimSun" w:eastAsia="SimSun" w:cs="SimSun"/>
          <w:sz w:val="24"/>
          <w:szCs w:val="24"/>
          <w:spacing w:val="-2"/>
        </w:rPr>
        <w:t>长为5</w:t>
      </w:r>
      <w:r>
        <w:rPr>
          <w:rFonts w:ascii="Times New Roman" w:hAnsi="Times New Roman" w:eastAsia="Times New Roman" w:cs="Times New Roman"/>
          <w:sz w:val="24"/>
          <w:szCs w:val="24"/>
          <w:spacing w:val="-2"/>
        </w:rPr>
        <w:t>km</w:t>
      </w:r>
      <w:r>
        <w:rPr>
          <w:rFonts w:ascii="SimSun" w:hAnsi="SimSun" w:eastAsia="SimSun" w:cs="SimSun"/>
          <w:sz w:val="24"/>
          <w:szCs w:val="24"/>
          <w:spacing w:val="-2"/>
        </w:rPr>
        <w:t>的矩形范围。</w:t>
      </w:r>
    </w:p>
    <w:p>
      <w:pPr>
        <w:ind w:left="94"/>
        <w:spacing w:before="91" w:line="222" w:lineRule="auto"/>
        <w:rPr>
          <w:rFonts w:ascii="SimHei" w:hAnsi="SimHei" w:eastAsia="SimHei" w:cs="SimHei"/>
          <w:sz w:val="24"/>
          <w:szCs w:val="24"/>
        </w:rPr>
      </w:pPr>
      <w:r>
        <w:rPr>
          <w:rFonts w:ascii="Times New Roman" w:hAnsi="Times New Roman" w:eastAsia="Times New Roman" w:cs="Times New Roman"/>
          <w:sz w:val="24"/>
          <w:szCs w:val="24"/>
          <w:spacing w:val="-7"/>
        </w:rPr>
        <w:t>1.9.4</w:t>
      </w:r>
      <w:r>
        <w:rPr>
          <w:rFonts w:ascii="Times New Roman" w:hAnsi="Times New Roman" w:eastAsia="Times New Roman" w:cs="Times New Roman"/>
          <w:sz w:val="24"/>
          <w:szCs w:val="24"/>
          <w:spacing w:val="42"/>
        </w:rPr>
        <w:t xml:space="preserve"> </w:t>
      </w:r>
      <w:r>
        <w:rPr>
          <w:rFonts w:ascii="SimHei" w:hAnsi="SimHei" w:eastAsia="SimHei" w:cs="SimHei"/>
          <w:sz w:val="24"/>
          <w:szCs w:val="24"/>
          <w:b/>
          <w:bCs/>
          <w:spacing w:val="-7"/>
        </w:rPr>
        <w:t>声</w:t>
      </w:r>
      <w:r>
        <w:rPr>
          <w:rFonts w:ascii="SimHei" w:hAnsi="SimHei" w:eastAsia="SimHei" w:cs="SimHei"/>
          <w:sz w:val="24"/>
          <w:szCs w:val="24"/>
          <w:spacing w:val="-55"/>
        </w:rPr>
        <w:t xml:space="preserve"> </w:t>
      </w:r>
      <w:r>
        <w:rPr>
          <w:rFonts w:ascii="SimHei" w:hAnsi="SimHei" w:eastAsia="SimHei" w:cs="SimHei"/>
          <w:sz w:val="24"/>
          <w:szCs w:val="24"/>
          <w:b/>
          <w:bCs/>
          <w:spacing w:val="-7"/>
        </w:rPr>
        <w:t>环</w:t>
      </w:r>
      <w:r>
        <w:rPr>
          <w:rFonts w:ascii="SimHei" w:hAnsi="SimHei" w:eastAsia="SimHei" w:cs="SimHei"/>
          <w:sz w:val="24"/>
          <w:szCs w:val="24"/>
          <w:spacing w:val="-55"/>
        </w:rPr>
        <w:t xml:space="preserve"> </w:t>
      </w:r>
      <w:r>
        <w:rPr>
          <w:rFonts w:ascii="SimHei" w:hAnsi="SimHei" w:eastAsia="SimHei" w:cs="SimHei"/>
          <w:sz w:val="24"/>
          <w:szCs w:val="24"/>
          <w:b/>
          <w:bCs/>
          <w:spacing w:val="-7"/>
        </w:rPr>
        <w:t>境</w:t>
      </w:r>
    </w:p>
    <w:p>
      <w:pPr>
        <w:ind w:left="578"/>
        <w:spacing w:before="170" w:line="218" w:lineRule="auto"/>
        <w:rPr>
          <w:rFonts w:ascii="SimSun" w:hAnsi="SimSun" w:eastAsia="SimSun" w:cs="SimSun"/>
          <w:sz w:val="24"/>
          <w:szCs w:val="24"/>
        </w:rPr>
      </w:pPr>
      <w:r>
        <w:rPr>
          <w:rFonts w:ascii="SimSun" w:hAnsi="SimSun" w:eastAsia="SimSun" w:cs="SimSun"/>
          <w:sz w:val="24"/>
          <w:szCs w:val="24"/>
          <w:b/>
          <w:bCs/>
          <w:spacing w:val="-3"/>
        </w:rPr>
        <w:t>1、评价等级</w:t>
      </w:r>
    </w:p>
    <w:p>
      <w:pPr>
        <w:ind w:left="94" w:right="215" w:firstLine="480"/>
        <w:spacing w:before="211" w:line="359" w:lineRule="auto"/>
        <w:rPr>
          <w:rFonts w:ascii="SimSun" w:hAnsi="SimSun" w:eastAsia="SimSun" w:cs="SimSun"/>
          <w:sz w:val="24"/>
          <w:szCs w:val="24"/>
        </w:rPr>
      </w:pPr>
      <w:r>
        <w:rPr>
          <w:rFonts w:ascii="SimSun" w:hAnsi="SimSun" w:eastAsia="SimSun" w:cs="SimSun"/>
          <w:sz w:val="24"/>
          <w:szCs w:val="24"/>
          <w:spacing w:val="-1"/>
        </w:rPr>
        <w:t>项目位于四川绵阳安州工业园区内，用地性质规划为二类工业用地，根据</w:t>
      </w:r>
      <w:r>
        <w:rPr>
          <w:rFonts w:ascii="SimSun" w:hAnsi="SimSun" w:eastAsia="SimSun" w:cs="SimSun"/>
          <w:sz w:val="24"/>
          <w:szCs w:val="24"/>
          <w:spacing w:val="17"/>
        </w:rPr>
        <w:t xml:space="preserve"> </w:t>
      </w:r>
      <w:r>
        <w:rPr>
          <w:rFonts w:ascii="SimSun" w:hAnsi="SimSun" w:eastAsia="SimSun" w:cs="SimSun"/>
          <w:sz w:val="24"/>
          <w:szCs w:val="24"/>
          <w:spacing w:val="4"/>
        </w:rPr>
        <w:t>《绵阳市安州区环境噪声功能区划调整方案》(绵安府办发[2022]11号)中“3</w:t>
      </w:r>
      <w:r>
        <w:rPr>
          <w:rFonts w:ascii="SimSun" w:hAnsi="SimSun" w:eastAsia="SimSun" w:cs="SimSun"/>
          <w:sz w:val="24"/>
          <w:szCs w:val="24"/>
          <w:spacing w:val="12"/>
        </w:rPr>
        <w:t xml:space="preserve"> </w:t>
      </w:r>
      <w:r>
        <w:rPr>
          <w:rFonts w:ascii="SimSun" w:hAnsi="SimSun" w:eastAsia="SimSun" w:cs="SimSun"/>
          <w:sz w:val="24"/>
          <w:szCs w:val="24"/>
          <w:spacing w:val="16"/>
        </w:rPr>
        <w:t>类声环境功能区(工业生产、仓储物流区):安州区工业园区(面积</w:t>
      </w:r>
    </w:p>
    <w:p>
      <w:pPr>
        <w:ind w:left="94" w:right="256"/>
        <w:spacing w:before="2" w:line="343" w:lineRule="auto"/>
        <w:rPr>
          <w:rFonts w:ascii="SimSun" w:hAnsi="SimSun" w:eastAsia="SimSun" w:cs="SimSun"/>
          <w:sz w:val="24"/>
          <w:szCs w:val="24"/>
        </w:rPr>
      </w:pPr>
      <w:r>
        <w:rPr>
          <w:rFonts w:ascii="SimSun" w:hAnsi="SimSun" w:eastAsia="SimSun" w:cs="SimSun"/>
          <w:sz w:val="24"/>
          <w:szCs w:val="24"/>
        </w:rPr>
        <w:t>7.27Km²):  北至花芗镇雍峙村横四路，南至77123部队驻地北界，西至物流通</w:t>
      </w:r>
      <w:r>
        <w:rPr>
          <w:rFonts w:ascii="SimSun" w:hAnsi="SimSun" w:eastAsia="SimSun" w:cs="SimSun"/>
          <w:sz w:val="24"/>
          <w:szCs w:val="24"/>
          <w:spacing w:val="8"/>
        </w:rPr>
        <w:t xml:space="preserve"> </w:t>
      </w:r>
      <w:r>
        <w:rPr>
          <w:rFonts w:ascii="SimSun" w:hAnsi="SimSun" w:eastAsia="SimSun" w:cs="SimSun"/>
          <w:sz w:val="24"/>
          <w:szCs w:val="24"/>
          <w:spacing w:val="-1"/>
        </w:rPr>
        <w:t>道，东至辽宁大道”,项目所在地属于《声环境质量标准》</w:t>
      </w:r>
      <w:r>
        <w:rPr>
          <w:rFonts w:ascii="SimSun" w:hAnsi="SimSun" w:eastAsia="SimSun" w:cs="SimSun"/>
          <w:sz w:val="24"/>
          <w:szCs w:val="24"/>
          <w:spacing w:val="70"/>
        </w:rPr>
        <w:t xml:space="preserve"> </w:t>
      </w:r>
      <w:r>
        <w:rPr>
          <w:rFonts w:ascii="SimSun" w:hAnsi="SimSun" w:eastAsia="SimSun" w:cs="SimSun"/>
          <w:sz w:val="24"/>
          <w:szCs w:val="24"/>
          <w:spacing w:val="-1"/>
        </w:rPr>
        <w:t>(GB3096-2</w:t>
      </w:r>
      <w:r>
        <w:rPr>
          <w:rFonts w:ascii="SimSun" w:hAnsi="SimSun" w:eastAsia="SimSun" w:cs="SimSun"/>
          <w:sz w:val="24"/>
          <w:szCs w:val="24"/>
          <w:spacing w:val="-2"/>
        </w:rPr>
        <w:t>008)</w:t>
      </w:r>
    </w:p>
    <w:p>
      <w:pPr>
        <w:ind w:left="94" w:right="175"/>
        <w:spacing w:before="4" w:line="356" w:lineRule="auto"/>
        <w:rPr>
          <w:rFonts w:ascii="SimSun" w:hAnsi="SimSun" w:eastAsia="SimSun" w:cs="SimSun"/>
          <w:sz w:val="24"/>
          <w:szCs w:val="24"/>
        </w:rPr>
      </w:pPr>
      <w:r>
        <w:rPr>
          <w:rFonts w:ascii="SimSun" w:hAnsi="SimSun" w:eastAsia="SimSun" w:cs="SimSun"/>
          <w:sz w:val="24"/>
          <w:szCs w:val="24"/>
        </w:rPr>
        <w:t>中规定的3类区。根据《环境影响评价技术导则声环境》 </w:t>
      </w:r>
      <w:r>
        <w:rPr>
          <w:rFonts w:ascii="Times New Roman" w:hAnsi="Times New Roman" w:eastAsia="Times New Roman" w:cs="Times New Roman"/>
          <w:sz w:val="24"/>
          <w:szCs w:val="24"/>
        </w:rPr>
        <w:t>(HJ2.4-2021)    </w:t>
      </w:r>
      <w:r>
        <w:rPr>
          <w:rFonts w:ascii="SimSun" w:hAnsi="SimSun" w:eastAsia="SimSun" w:cs="SimSun"/>
          <w:sz w:val="24"/>
          <w:szCs w:val="24"/>
        </w:rPr>
        <w:t>中环境</w:t>
      </w:r>
      <w:r>
        <w:rPr>
          <w:rFonts w:ascii="SimSun" w:hAnsi="SimSun" w:eastAsia="SimSun" w:cs="SimSun"/>
          <w:sz w:val="24"/>
          <w:szCs w:val="24"/>
          <w:spacing w:val="2"/>
        </w:rPr>
        <w:t xml:space="preserve"> </w:t>
      </w:r>
      <w:r>
        <w:rPr>
          <w:rFonts w:ascii="SimSun" w:hAnsi="SimSun" w:eastAsia="SimSun" w:cs="SimSun"/>
          <w:sz w:val="24"/>
          <w:szCs w:val="24"/>
          <w:spacing w:val="-1"/>
        </w:rPr>
        <w:t>噪声影响评价工作等级划分基本原则“建设项目所处的声环境功能区为GB3096</w:t>
      </w:r>
      <w:r>
        <w:rPr>
          <w:rFonts w:ascii="SimSun" w:hAnsi="SimSun" w:eastAsia="SimSun" w:cs="SimSun"/>
          <w:sz w:val="24"/>
          <w:szCs w:val="24"/>
          <w:spacing w:val="4"/>
        </w:rPr>
        <w:t xml:space="preserve">  </w:t>
      </w:r>
      <w:r>
        <w:rPr>
          <w:rFonts w:ascii="SimSun" w:hAnsi="SimSun" w:eastAsia="SimSun" w:cs="SimSun"/>
          <w:sz w:val="24"/>
          <w:szCs w:val="24"/>
        </w:rPr>
        <w:t>规定的3类、4类地区，或建设项目建设前后评价范</w:t>
      </w:r>
      <w:r>
        <w:rPr>
          <w:rFonts w:ascii="SimSun" w:hAnsi="SimSun" w:eastAsia="SimSun" w:cs="SimSun"/>
          <w:sz w:val="24"/>
          <w:szCs w:val="24"/>
          <w:spacing w:val="-1"/>
        </w:rPr>
        <w:t>围内声环境保护目标噪声级</w:t>
      </w:r>
      <w:r>
        <w:rPr>
          <w:rFonts w:ascii="SimSun" w:hAnsi="SimSun" w:eastAsia="SimSun" w:cs="SimSun"/>
          <w:sz w:val="24"/>
          <w:szCs w:val="24"/>
        </w:rPr>
        <w:t xml:space="preserve">  </w:t>
      </w:r>
      <w:r>
        <w:rPr>
          <w:rFonts w:ascii="SimSun" w:hAnsi="SimSun" w:eastAsia="SimSun" w:cs="SimSun"/>
          <w:sz w:val="24"/>
          <w:szCs w:val="24"/>
          <w:spacing w:val="3"/>
        </w:rPr>
        <w:t>增量在3</w:t>
      </w:r>
      <w:r>
        <w:rPr>
          <w:rFonts w:ascii="Times New Roman" w:hAnsi="Times New Roman" w:eastAsia="Times New Roman" w:cs="Times New Roman"/>
          <w:sz w:val="24"/>
          <w:szCs w:val="24"/>
        </w:rPr>
        <w:t>dB</w:t>
      </w:r>
      <w:r>
        <w:rPr>
          <w:rFonts w:ascii="Times New Roman" w:hAnsi="Times New Roman" w:eastAsia="Times New Roman" w:cs="Times New Roman"/>
          <w:sz w:val="24"/>
          <w:szCs w:val="24"/>
          <w:spacing w:val="3"/>
        </w:rPr>
        <w:t>(A)     </w:t>
      </w:r>
      <w:r>
        <w:rPr>
          <w:rFonts w:ascii="SimSun" w:hAnsi="SimSun" w:eastAsia="SimSun" w:cs="SimSun"/>
          <w:sz w:val="24"/>
          <w:szCs w:val="24"/>
          <w:spacing w:val="3"/>
        </w:rPr>
        <w:t>以下(不含3</w:t>
      </w:r>
      <w:r>
        <w:rPr>
          <w:rFonts w:ascii="Times New Roman" w:hAnsi="Times New Roman" w:eastAsia="Times New Roman" w:cs="Times New Roman"/>
          <w:sz w:val="24"/>
          <w:szCs w:val="24"/>
        </w:rPr>
        <w:t>dB</w:t>
      </w:r>
      <w:r>
        <w:rPr>
          <w:rFonts w:ascii="Times New Roman" w:hAnsi="Times New Roman" w:eastAsia="Times New Roman" w:cs="Times New Roman"/>
          <w:sz w:val="24"/>
          <w:szCs w:val="24"/>
          <w:spacing w:val="3"/>
        </w:rPr>
        <w:t>(A)),           </w:t>
      </w:r>
      <w:r>
        <w:rPr>
          <w:rFonts w:ascii="SimSun" w:hAnsi="SimSun" w:eastAsia="SimSun" w:cs="SimSun"/>
          <w:sz w:val="24"/>
          <w:szCs w:val="24"/>
          <w:spacing w:val="3"/>
        </w:rPr>
        <w:t>且受影响人口数量变化不大时</w:t>
      </w:r>
      <w:r>
        <w:rPr>
          <w:rFonts w:ascii="SimSun" w:hAnsi="SimSun" w:eastAsia="SimSun" w:cs="SimSun"/>
          <w:sz w:val="24"/>
          <w:szCs w:val="24"/>
          <w:spacing w:val="2"/>
        </w:rPr>
        <w:t>，按</w:t>
      </w:r>
      <w:r>
        <w:rPr>
          <w:rFonts w:ascii="SimSun" w:hAnsi="SimSun" w:eastAsia="SimSun" w:cs="SimSun"/>
          <w:sz w:val="24"/>
          <w:szCs w:val="24"/>
        </w:rPr>
        <w:t xml:space="preserve">  </w:t>
      </w:r>
      <w:r>
        <w:rPr>
          <w:rFonts w:ascii="SimSun" w:hAnsi="SimSun" w:eastAsia="SimSun" w:cs="SimSun"/>
          <w:sz w:val="24"/>
          <w:szCs w:val="24"/>
          <w:spacing w:val="4"/>
        </w:rPr>
        <w:t>三级评价”,本项目环境噪声评价工作等级定为三级。</w:t>
      </w:r>
    </w:p>
    <w:p>
      <w:pPr>
        <w:ind w:left="578"/>
        <w:spacing w:before="43" w:line="218" w:lineRule="auto"/>
        <w:rPr>
          <w:rFonts w:ascii="SimSun" w:hAnsi="SimSun" w:eastAsia="SimSun" w:cs="SimSun"/>
          <w:sz w:val="24"/>
          <w:szCs w:val="24"/>
        </w:rPr>
      </w:pPr>
      <w:r>
        <w:rPr>
          <w:rFonts w:ascii="SimSun" w:hAnsi="SimSun" w:eastAsia="SimSun" w:cs="SimSun"/>
          <w:sz w:val="24"/>
          <w:szCs w:val="24"/>
          <w:b/>
          <w:bCs/>
          <w:spacing w:val="-2"/>
        </w:rPr>
        <w:t>2、评价范围</w:t>
      </w:r>
    </w:p>
    <w:p>
      <w:pPr>
        <w:ind w:left="94" w:right="294" w:firstLine="480"/>
        <w:spacing w:before="177" w:line="371" w:lineRule="auto"/>
        <w:rPr>
          <w:rFonts w:ascii="SimSun" w:hAnsi="SimSun" w:eastAsia="SimSun" w:cs="SimSun"/>
          <w:sz w:val="24"/>
          <w:szCs w:val="24"/>
        </w:rPr>
      </w:pPr>
      <w:r>
        <w:rPr>
          <w:rFonts w:ascii="SimSun" w:hAnsi="SimSun" w:eastAsia="SimSun" w:cs="SimSun"/>
          <w:sz w:val="24"/>
          <w:szCs w:val="24"/>
        </w:rPr>
        <w:t>根据《环境影响评价技术导则声环境》</w:t>
      </w:r>
      <w:r>
        <w:rPr>
          <w:rFonts w:ascii="SimSun" w:hAnsi="SimSun" w:eastAsia="SimSun" w:cs="SimSun"/>
          <w:sz w:val="24"/>
          <w:szCs w:val="24"/>
          <w:spacing w:val="80"/>
        </w:rPr>
        <w:t xml:space="preserve"> </w:t>
      </w:r>
      <w:r>
        <w:rPr>
          <w:rFonts w:ascii="Times New Roman" w:hAnsi="Times New Roman" w:eastAsia="Times New Roman" w:cs="Times New Roman"/>
          <w:sz w:val="24"/>
          <w:szCs w:val="24"/>
        </w:rPr>
        <w:t>(HJ2.4-20</w:t>
      </w:r>
      <w:r>
        <w:rPr>
          <w:rFonts w:ascii="Times New Roman" w:hAnsi="Times New Roman" w:eastAsia="Times New Roman" w:cs="Times New Roman"/>
          <w:sz w:val="24"/>
          <w:szCs w:val="24"/>
          <w:spacing w:val="-1"/>
        </w:rPr>
        <w:t>21),      </w:t>
      </w:r>
      <w:r>
        <w:rPr>
          <w:rFonts w:ascii="SimSun" w:hAnsi="SimSun" w:eastAsia="SimSun" w:cs="SimSun"/>
          <w:sz w:val="24"/>
          <w:szCs w:val="24"/>
          <w:spacing w:val="-1"/>
        </w:rPr>
        <w:t>确定本次声环境</w:t>
      </w:r>
      <w:r>
        <w:rPr>
          <w:rFonts w:ascii="SimSun" w:hAnsi="SimSun" w:eastAsia="SimSun" w:cs="SimSun"/>
          <w:sz w:val="24"/>
          <w:szCs w:val="24"/>
        </w:rPr>
        <w:t xml:space="preserve"> </w:t>
      </w:r>
      <w:r>
        <w:rPr>
          <w:rFonts w:ascii="SimSun" w:hAnsi="SimSun" w:eastAsia="SimSun" w:cs="SimSun"/>
          <w:sz w:val="24"/>
          <w:szCs w:val="24"/>
          <w:spacing w:val="-3"/>
        </w:rPr>
        <w:t>评价范围为厂界周边200m</w:t>
      </w:r>
      <w:r>
        <w:rPr>
          <w:rFonts w:ascii="SimSun" w:hAnsi="SimSun" w:eastAsia="SimSun" w:cs="SimSun"/>
          <w:sz w:val="24"/>
          <w:szCs w:val="24"/>
          <w:spacing w:val="-33"/>
        </w:rPr>
        <w:t xml:space="preserve"> </w:t>
      </w:r>
      <w:r>
        <w:rPr>
          <w:rFonts w:ascii="SimSun" w:hAnsi="SimSun" w:eastAsia="SimSun" w:cs="SimSun"/>
          <w:sz w:val="24"/>
          <w:szCs w:val="24"/>
          <w:spacing w:val="-3"/>
        </w:rPr>
        <w:t>的区域。</w:t>
      </w:r>
    </w:p>
    <w:p>
      <w:pPr>
        <w:ind w:left="94"/>
        <w:spacing w:before="6" w:line="222" w:lineRule="auto"/>
        <w:rPr>
          <w:rFonts w:ascii="SimHei" w:hAnsi="SimHei" w:eastAsia="SimHei" w:cs="SimHei"/>
          <w:sz w:val="24"/>
          <w:szCs w:val="24"/>
        </w:rPr>
      </w:pPr>
      <w:r>
        <w:rPr>
          <w:rFonts w:ascii="Times New Roman" w:hAnsi="Times New Roman" w:eastAsia="Times New Roman" w:cs="Times New Roman"/>
          <w:sz w:val="24"/>
          <w:szCs w:val="24"/>
          <w:spacing w:val="11"/>
        </w:rPr>
        <w:t>1.</w:t>
      </w:r>
      <w:r>
        <w:rPr>
          <w:rFonts w:ascii="Times New Roman" w:hAnsi="Times New Roman" w:eastAsia="Times New Roman" w:cs="Times New Roman"/>
          <w:sz w:val="24"/>
          <w:szCs w:val="24"/>
          <w:spacing w:val="-12"/>
        </w:rPr>
        <w:t xml:space="preserve"> </w:t>
      </w:r>
      <w:r>
        <w:rPr>
          <w:rFonts w:ascii="SimHei" w:hAnsi="SimHei" w:eastAsia="SimHei" w:cs="SimHei"/>
          <w:sz w:val="24"/>
          <w:szCs w:val="24"/>
          <w:b/>
          <w:bCs/>
          <w:spacing w:val="11"/>
        </w:rPr>
        <w:t>9.5土壤环境</w:t>
      </w:r>
    </w:p>
    <w:p>
      <w:pPr>
        <w:ind w:left="578"/>
        <w:spacing w:before="211" w:line="218" w:lineRule="auto"/>
        <w:rPr>
          <w:rFonts w:ascii="SimSun" w:hAnsi="SimSun" w:eastAsia="SimSun" w:cs="SimSun"/>
          <w:sz w:val="24"/>
          <w:szCs w:val="24"/>
        </w:rPr>
      </w:pPr>
      <w:r>
        <w:rPr>
          <w:rFonts w:ascii="SimSun" w:hAnsi="SimSun" w:eastAsia="SimSun" w:cs="SimSun"/>
          <w:sz w:val="24"/>
          <w:szCs w:val="24"/>
          <w:b/>
          <w:bCs/>
          <w:spacing w:val="-3"/>
        </w:rPr>
        <w:t>1、评价等级</w:t>
      </w:r>
    </w:p>
    <w:p>
      <w:pPr>
        <w:ind w:left="94" w:right="115" w:firstLine="480"/>
        <w:spacing w:before="220" w:line="361" w:lineRule="auto"/>
        <w:tabs>
          <w:tab w:val="left" w:pos="223"/>
        </w:tabs>
        <w:jc w:val="both"/>
        <w:rPr>
          <w:rFonts w:ascii="SimSun" w:hAnsi="SimSun" w:eastAsia="SimSun" w:cs="SimSun"/>
          <w:sz w:val="24"/>
          <w:szCs w:val="24"/>
        </w:rPr>
      </w:pPr>
      <w:r>
        <w:rPr>
          <w:rFonts w:ascii="SimSun" w:hAnsi="SimSun" w:eastAsia="SimSun" w:cs="SimSun"/>
          <w:sz w:val="24"/>
          <w:szCs w:val="24"/>
          <w:spacing w:val="4"/>
        </w:rPr>
        <w:t>项目位于四川绵阳安州工业园区内，用地性质规划为二类工业用地，为屠</w:t>
      </w:r>
      <w:r>
        <w:rPr>
          <w:rFonts w:ascii="SimSun" w:hAnsi="SimSun" w:eastAsia="SimSun" w:cs="SimSun"/>
          <w:sz w:val="24"/>
          <w:szCs w:val="24"/>
          <w:spacing w:val="13"/>
        </w:rPr>
        <w:t xml:space="preserve"> </w:t>
      </w:r>
      <w:r>
        <w:rPr>
          <w:rFonts w:ascii="SimSun" w:hAnsi="SimSun" w:eastAsia="SimSun" w:cs="SimSun"/>
          <w:sz w:val="24"/>
          <w:szCs w:val="24"/>
          <w:spacing w:val="19"/>
        </w:rPr>
        <w:t>宰及肉类制品加工项目，根据《环境影响评价技术导则土壤环境(试行)》</w:t>
      </w:r>
      <w:r>
        <w:rPr>
          <w:rFonts w:ascii="SimSun" w:hAnsi="SimSun" w:eastAsia="SimSun" w:cs="SimSun"/>
          <w:sz w:val="24"/>
          <w:szCs w:val="24"/>
          <w:spacing w:val="2"/>
        </w:rPr>
        <w:t xml:space="preserve"> </w:t>
      </w:r>
      <w:r>
        <w:rPr>
          <w:rFonts w:ascii="SimSun" w:hAnsi="SimSun" w:eastAsia="SimSun" w:cs="SimSun"/>
          <w:sz w:val="24"/>
          <w:szCs w:val="24"/>
        </w:rPr>
        <w:tab/>
      </w:r>
      <w:r>
        <w:rPr>
          <w:rFonts w:ascii="SimSun" w:hAnsi="SimSun" w:eastAsia="SimSun" w:cs="SimSun"/>
          <w:sz w:val="24"/>
          <w:szCs w:val="24"/>
          <w:spacing w:val="-1"/>
        </w:rPr>
        <w:t>(HJ964-2018)</w:t>
      </w:r>
      <w:r>
        <w:rPr>
          <w:rFonts w:ascii="SimSun" w:hAnsi="SimSun" w:eastAsia="SimSun" w:cs="SimSun"/>
          <w:sz w:val="24"/>
          <w:szCs w:val="24"/>
          <w:spacing w:val="32"/>
        </w:rPr>
        <w:t xml:space="preserve"> </w:t>
      </w:r>
      <w:r>
        <w:rPr>
          <w:rFonts w:ascii="SimSun" w:hAnsi="SimSun" w:eastAsia="SimSun" w:cs="SimSun"/>
          <w:sz w:val="24"/>
          <w:szCs w:val="24"/>
          <w:spacing w:val="-1"/>
        </w:rPr>
        <w:t>附录A,</w:t>
      </w:r>
      <w:r>
        <w:rPr>
          <w:rFonts w:ascii="SimSun" w:hAnsi="SimSun" w:eastAsia="SimSun" w:cs="SimSun"/>
          <w:sz w:val="24"/>
          <w:szCs w:val="24"/>
          <w:spacing w:val="51"/>
        </w:rPr>
        <w:t xml:space="preserve"> </w:t>
      </w:r>
      <w:r>
        <w:rPr>
          <w:rFonts w:ascii="SimSun" w:hAnsi="SimSun" w:eastAsia="SimSun" w:cs="SimSun"/>
          <w:sz w:val="24"/>
          <w:szCs w:val="24"/>
          <w:spacing w:val="-1"/>
        </w:rPr>
        <w:t>本项目属于其他行业，</w:t>
      </w:r>
      <w:r>
        <w:rPr>
          <w:rFonts w:ascii="SimSun" w:hAnsi="SimSun" w:eastAsia="SimSun" w:cs="SimSun"/>
          <w:sz w:val="24"/>
          <w:szCs w:val="24"/>
          <w:spacing w:val="-2"/>
        </w:rPr>
        <w:t>为IV类建设项目。</w:t>
      </w:r>
    </w:p>
    <w:p>
      <w:pPr>
        <w:spacing w:line="361" w:lineRule="auto"/>
        <w:sectPr>
          <w:headerReference w:type="default" r:id="rId159"/>
          <w:footerReference w:type="default" r:id="rId160"/>
          <w:pgSz w:w="11910" w:h="16840"/>
          <w:pgMar w:top="1210" w:right="1704" w:bottom="991" w:left="1685" w:header="902" w:footer="732" w:gutter="0"/>
        </w:sectPr>
        <w:rPr>
          <w:rFonts w:ascii="SimSun" w:hAnsi="SimSun" w:eastAsia="SimSun" w:cs="SimSun"/>
          <w:sz w:val="24"/>
          <w:szCs w:val="24"/>
        </w:rPr>
      </w:pPr>
    </w:p>
    <w:p>
      <w:pPr>
        <w:ind w:left="503"/>
        <w:spacing w:before="266" w:line="218" w:lineRule="auto"/>
        <w:rPr>
          <w:rFonts w:ascii="SimSun" w:hAnsi="SimSun" w:eastAsia="SimSun" w:cs="SimSun"/>
          <w:sz w:val="24"/>
          <w:szCs w:val="24"/>
        </w:rPr>
      </w:pPr>
      <w:bookmarkStart w:name="bookmark91" w:id="37"/>
      <w:bookmarkEnd w:id="37"/>
      <w:r>
        <w:rPr>
          <w:rFonts w:ascii="SimSun" w:hAnsi="SimSun" w:eastAsia="SimSun" w:cs="SimSun"/>
          <w:sz w:val="24"/>
          <w:szCs w:val="24"/>
          <w:b/>
          <w:bCs/>
          <w:spacing w:val="-4"/>
        </w:rPr>
        <w:t>2、评价范围</w:t>
      </w:r>
    </w:p>
    <w:p>
      <w:pPr>
        <w:ind w:left="19" w:right="53" w:firstLine="480"/>
        <w:spacing w:before="176" w:line="371" w:lineRule="auto"/>
        <w:rPr>
          <w:rFonts w:ascii="SimSun" w:hAnsi="SimSun" w:eastAsia="SimSun" w:cs="SimSun"/>
          <w:sz w:val="24"/>
          <w:szCs w:val="24"/>
        </w:rPr>
      </w:pPr>
      <w:r>
        <w:rPr>
          <w:rFonts w:ascii="SimSun" w:hAnsi="SimSun" w:eastAsia="SimSun" w:cs="SimSun"/>
          <w:sz w:val="24"/>
          <w:szCs w:val="24"/>
          <w:spacing w:val="7"/>
        </w:rPr>
        <w:t>根据《环境影响评价技术导则土壤环境(试行)》</w:t>
      </w:r>
      <w:r>
        <w:rPr>
          <w:rFonts w:ascii="SimSun" w:hAnsi="SimSun" w:eastAsia="SimSun" w:cs="SimSun"/>
          <w:sz w:val="24"/>
          <w:szCs w:val="24"/>
          <w:spacing w:val="80"/>
        </w:rPr>
        <w:t xml:space="preserve"> </w:t>
      </w:r>
      <w:r>
        <w:rPr>
          <w:rFonts w:ascii="Times New Roman" w:hAnsi="Times New Roman" w:eastAsia="Times New Roman" w:cs="Times New Roman"/>
          <w:sz w:val="24"/>
          <w:szCs w:val="24"/>
          <w:spacing w:val="7"/>
        </w:rPr>
        <w:t>(</w:t>
      </w:r>
      <w:r>
        <w:rPr>
          <w:rFonts w:ascii="Times New Roman" w:hAnsi="Times New Roman" w:eastAsia="Times New Roman" w:cs="Times New Roman"/>
          <w:sz w:val="24"/>
          <w:szCs w:val="24"/>
        </w:rPr>
        <w:t>HJ</w:t>
      </w:r>
      <w:r>
        <w:rPr>
          <w:rFonts w:ascii="Times New Roman" w:hAnsi="Times New Roman" w:eastAsia="Times New Roman" w:cs="Times New Roman"/>
          <w:sz w:val="24"/>
          <w:szCs w:val="24"/>
          <w:spacing w:val="7"/>
        </w:rPr>
        <w:t>964-201</w:t>
      </w:r>
      <w:r>
        <w:rPr>
          <w:rFonts w:ascii="Times New Roman" w:hAnsi="Times New Roman" w:eastAsia="Times New Roman" w:cs="Times New Roman"/>
          <w:sz w:val="24"/>
          <w:szCs w:val="24"/>
          <w:spacing w:val="6"/>
        </w:rPr>
        <w:t>8)4.2.2</w:t>
      </w:r>
      <w:r>
        <w:rPr>
          <w:rFonts w:ascii="Times New Roman" w:hAnsi="Times New Roman" w:eastAsia="Times New Roman" w:cs="Times New Roman"/>
          <w:sz w:val="24"/>
          <w:szCs w:val="24"/>
          <w:spacing w:val="1"/>
        </w:rPr>
        <w:t xml:space="preserve">    </w:t>
      </w:r>
      <w:r>
        <w:rPr>
          <w:rFonts w:ascii="SimSun" w:hAnsi="SimSun" w:eastAsia="SimSun" w:cs="SimSun"/>
          <w:sz w:val="24"/>
          <w:szCs w:val="24"/>
          <w:spacing w:val="6"/>
        </w:rPr>
        <w:t>要</w:t>
      </w:r>
      <w:r>
        <w:rPr>
          <w:rFonts w:ascii="SimSun" w:hAnsi="SimSun" w:eastAsia="SimSun" w:cs="SimSun"/>
          <w:sz w:val="24"/>
          <w:szCs w:val="24"/>
        </w:rPr>
        <w:t xml:space="preserve"> </w:t>
      </w:r>
      <w:r>
        <w:rPr>
          <w:rFonts w:ascii="SimSun" w:hAnsi="SimSun" w:eastAsia="SimSun" w:cs="SimSun"/>
          <w:sz w:val="24"/>
          <w:szCs w:val="24"/>
          <w:spacing w:val="-5"/>
        </w:rPr>
        <w:t>求</w:t>
      </w:r>
      <w:r>
        <w:rPr>
          <w:rFonts w:ascii="SimSun" w:hAnsi="SimSun" w:eastAsia="SimSun" w:cs="SimSun"/>
          <w:sz w:val="24"/>
          <w:szCs w:val="24"/>
          <w:spacing w:val="-35"/>
        </w:rPr>
        <w:t xml:space="preserve"> </w:t>
      </w:r>
      <w:r>
        <w:rPr>
          <w:rFonts w:ascii="SimSun" w:hAnsi="SimSun" w:eastAsia="SimSun" w:cs="SimSun"/>
          <w:sz w:val="24"/>
          <w:szCs w:val="24"/>
          <w:spacing w:val="-5"/>
        </w:rPr>
        <w:t>，</w:t>
      </w:r>
      <w:r>
        <w:rPr>
          <w:rFonts w:ascii="Times New Roman" w:hAnsi="Times New Roman" w:eastAsia="Times New Roman" w:cs="Times New Roman"/>
          <w:sz w:val="24"/>
          <w:szCs w:val="24"/>
          <w:spacing w:val="-5"/>
        </w:rPr>
        <w:t>IV</w:t>
      </w:r>
      <w:r>
        <w:rPr>
          <w:rFonts w:ascii="SimSun" w:hAnsi="SimSun" w:eastAsia="SimSun" w:cs="SimSun"/>
          <w:sz w:val="24"/>
          <w:szCs w:val="24"/>
          <w:spacing w:val="-5"/>
        </w:rPr>
        <w:t>类建设项目可不开展土壤环境影响评价。</w:t>
      </w:r>
    </w:p>
    <w:p>
      <w:pPr>
        <w:ind w:left="23"/>
        <w:spacing w:before="46" w:line="222" w:lineRule="auto"/>
        <w:rPr>
          <w:rFonts w:ascii="SimHei" w:hAnsi="SimHei" w:eastAsia="SimHei" w:cs="SimHei"/>
          <w:sz w:val="24"/>
          <w:szCs w:val="24"/>
        </w:rPr>
      </w:pPr>
      <w:r>
        <w:rPr>
          <w:rFonts w:ascii="SimHei" w:hAnsi="SimHei" w:eastAsia="SimHei" w:cs="SimHei"/>
          <w:sz w:val="24"/>
          <w:szCs w:val="24"/>
          <w:b/>
          <w:bCs/>
          <w:spacing w:val="7"/>
        </w:rPr>
        <w:t>1.9.6环境风险</w:t>
      </w:r>
    </w:p>
    <w:p>
      <w:pPr>
        <w:ind w:left="503"/>
        <w:spacing w:before="170" w:line="218" w:lineRule="auto"/>
        <w:rPr>
          <w:rFonts w:ascii="SimSun" w:hAnsi="SimSun" w:eastAsia="SimSun" w:cs="SimSun"/>
          <w:sz w:val="24"/>
          <w:szCs w:val="24"/>
        </w:rPr>
      </w:pPr>
      <w:r>
        <w:rPr>
          <w:rFonts w:ascii="SimSun" w:hAnsi="SimSun" w:eastAsia="SimSun" w:cs="SimSun"/>
          <w:sz w:val="24"/>
          <w:szCs w:val="24"/>
          <w:b/>
          <w:bCs/>
          <w:spacing w:val="-5"/>
        </w:rPr>
        <w:t>1、评价等级</w:t>
      </w:r>
    </w:p>
    <w:p>
      <w:pPr>
        <w:ind w:left="19" w:right="34" w:firstLine="480"/>
        <w:spacing w:before="219" w:line="354" w:lineRule="auto"/>
        <w:jc w:val="both"/>
        <w:rPr>
          <w:rFonts w:ascii="SimSun" w:hAnsi="SimSun" w:eastAsia="SimSun" w:cs="SimSun"/>
          <w:sz w:val="24"/>
          <w:szCs w:val="24"/>
        </w:rPr>
      </w:pPr>
      <w:r>
        <w:rPr>
          <w:rFonts w:ascii="SimSun" w:hAnsi="SimSun" w:eastAsia="SimSun" w:cs="SimSun"/>
          <w:sz w:val="24"/>
          <w:szCs w:val="24"/>
          <w:spacing w:val="3"/>
        </w:rPr>
        <w:t>根据《建设项目环境风险评价技术导则》</w:t>
      </w:r>
      <w:r>
        <w:rPr>
          <w:rFonts w:ascii="SimSun" w:hAnsi="SimSun" w:eastAsia="SimSun" w:cs="SimSun"/>
          <w:sz w:val="24"/>
          <w:szCs w:val="24"/>
          <w:spacing w:val="80"/>
        </w:rPr>
        <w:t xml:space="preserve"> </w:t>
      </w:r>
      <w:r>
        <w:rPr>
          <w:rFonts w:ascii="SimSun" w:hAnsi="SimSun" w:eastAsia="SimSun" w:cs="SimSun"/>
          <w:sz w:val="24"/>
          <w:szCs w:val="24"/>
          <w:spacing w:val="3"/>
        </w:rPr>
        <w:t>(</w:t>
      </w:r>
      <w:r>
        <w:rPr>
          <w:rFonts w:ascii="SimSun" w:hAnsi="SimSun" w:eastAsia="SimSun" w:cs="SimSun"/>
          <w:sz w:val="24"/>
          <w:szCs w:val="24"/>
        </w:rPr>
        <w:t>HJ</w:t>
      </w:r>
      <w:r>
        <w:rPr>
          <w:rFonts w:ascii="SimSun" w:hAnsi="SimSun" w:eastAsia="SimSun" w:cs="SimSun"/>
          <w:sz w:val="24"/>
          <w:szCs w:val="24"/>
          <w:spacing w:val="3"/>
        </w:rPr>
        <w:t>169-</w:t>
      </w:r>
      <w:r>
        <w:rPr>
          <w:rFonts w:ascii="SimSun" w:hAnsi="SimSun" w:eastAsia="SimSun" w:cs="SimSun"/>
          <w:sz w:val="24"/>
          <w:szCs w:val="24"/>
          <w:spacing w:val="2"/>
        </w:rPr>
        <w:t>2018)</w:t>
      </w:r>
      <w:r>
        <w:rPr>
          <w:rFonts w:ascii="SimSun" w:hAnsi="SimSun" w:eastAsia="SimSun" w:cs="SimSun"/>
          <w:sz w:val="24"/>
          <w:szCs w:val="24"/>
          <w:spacing w:val="82"/>
        </w:rPr>
        <w:t xml:space="preserve"> </w:t>
      </w:r>
      <w:r>
        <w:rPr>
          <w:rFonts w:ascii="SimSun" w:hAnsi="SimSun" w:eastAsia="SimSun" w:cs="SimSun"/>
          <w:sz w:val="24"/>
          <w:szCs w:val="24"/>
          <w:spacing w:val="2"/>
        </w:rPr>
        <w:t>附录C, 计算所</w:t>
      </w:r>
      <w:r>
        <w:rPr>
          <w:rFonts w:ascii="SimSun" w:hAnsi="SimSun" w:eastAsia="SimSun" w:cs="SimSun"/>
          <w:sz w:val="24"/>
          <w:szCs w:val="24"/>
        </w:rPr>
        <w:t xml:space="preserve"> </w:t>
      </w:r>
      <w:r>
        <w:rPr>
          <w:rFonts w:ascii="SimSun" w:hAnsi="SimSun" w:eastAsia="SimSun" w:cs="SimSun"/>
          <w:sz w:val="24"/>
          <w:szCs w:val="24"/>
          <w:spacing w:val="7"/>
        </w:rPr>
        <w:t>涉及的每种危险物质在厂界内的最大存在总量与其在</w:t>
      </w:r>
      <w:r>
        <w:rPr>
          <w:rFonts w:ascii="SimSun" w:hAnsi="SimSun" w:eastAsia="SimSun" w:cs="SimSun"/>
          <w:sz w:val="24"/>
          <w:szCs w:val="24"/>
          <w:spacing w:val="6"/>
        </w:rPr>
        <w:t>附录</w:t>
      </w:r>
      <w:r>
        <w:rPr>
          <w:rFonts w:ascii="Times New Roman" w:hAnsi="Times New Roman" w:eastAsia="Times New Roman" w:cs="Times New Roman"/>
          <w:sz w:val="24"/>
          <w:szCs w:val="24"/>
          <w:spacing w:val="6"/>
        </w:rPr>
        <w:t>B</w:t>
      </w:r>
      <w:r>
        <w:rPr>
          <w:rFonts w:ascii="SimSun" w:hAnsi="SimSun" w:eastAsia="SimSun" w:cs="SimSun"/>
          <w:sz w:val="24"/>
          <w:szCs w:val="24"/>
          <w:spacing w:val="6"/>
        </w:rPr>
        <w:t>中对应的临界量的</w:t>
      </w:r>
      <w:r>
        <w:rPr>
          <w:rFonts w:ascii="SimSun" w:hAnsi="SimSun" w:eastAsia="SimSun" w:cs="SimSun"/>
          <w:sz w:val="24"/>
          <w:szCs w:val="24"/>
        </w:rPr>
        <w:t xml:space="preserve"> </w:t>
      </w:r>
      <w:r>
        <w:rPr>
          <w:rFonts w:ascii="SimSun" w:hAnsi="SimSun" w:eastAsia="SimSun" w:cs="SimSun"/>
          <w:sz w:val="24"/>
          <w:szCs w:val="24"/>
          <w:spacing w:val="-1"/>
        </w:rPr>
        <w:t>比值Q。</w:t>
      </w:r>
      <w:r>
        <w:rPr>
          <w:rFonts w:ascii="SimSun" w:hAnsi="SimSun" w:eastAsia="SimSun" w:cs="SimSun"/>
          <w:sz w:val="24"/>
          <w:szCs w:val="24"/>
          <w:spacing w:val="-59"/>
        </w:rPr>
        <w:t xml:space="preserve"> </w:t>
      </w:r>
      <w:r>
        <w:rPr>
          <w:rFonts w:ascii="SimSun" w:hAnsi="SimSun" w:eastAsia="SimSun" w:cs="SimSun"/>
          <w:sz w:val="24"/>
          <w:szCs w:val="24"/>
          <w:spacing w:val="-1"/>
        </w:rPr>
        <w:t>在不同厂区的同一种物质，按其在厂界内的最大存在总量计算。</w:t>
      </w:r>
    </w:p>
    <w:p>
      <w:pPr>
        <w:ind w:left="500"/>
        <w:spacing w:line="212" w:lineRule="auto"/>
        <w:rPr>
          <w:rFonts w:ascii="Times New Roman" w:hAnsi="Times New Roman" w:eastAsia="Times New Roman" w:cs="Times New Roman"/>
          <w:sz w:val="24"/>
          <w:szCs w:val="24"/>
        </w:rPr>
      </w:pPr>
      <w:r>
        <w:rPr>
          <w:rFonts w:ascii="SimSun" w:hAnsi="SimSun" w:eastAsia="SimSun" w:cs="SimSun"/>
          <w:sz w:val="24"/>
          <w:szCs w:val="24"/>
          <w:spacing w:val="-1"/>
        </w:rPr>
        <w:t>当只涉及一种危险物质时，计算该物质的总量与</w:t>
      </w:r>
      <w:r>
        <w:rPr>
          <w:rFonts w:ascii="SimSun" w:hAnsi="SimSun" w:eastAsia="SimSun" w:cs="SimSun"/>
          <w:sz w:val="24"/>
          <w:szCs w:val="24"/>
          <w:spacing w:val="-2"/>
        </w:rPr>
        <w:t>其临界量比值，即为</w:t>
      </w:r>
      <w:r>
        <w:rPr>
          <w:rFonts w:ascii="Times New Roman" w:hAnsi="Times New Roman" w:eastAsia="Times New Roman" w:cs="Times New Roman"/>
          <w:sz w:val="24"/>
          <w:szCs w:val="24"/>
          <w:spacing w:val="-2"/>
        </w:rPr>
        <w:t>Q;</w:t>
      </w:r>
    </w:p>
    <w:p>
      <w:pPr>
        <w:ind w:left="500"/>
        <w:spacing w:before="210" w:line="212" w:lineRule="auto"/>
        <w:rPr>
          <w:rFonts w:ascii="Times New Roman" w:hAnsi="Times New Roman" w:eastAsia="Times New Roman" w:cs="Times New Roman"/>
          <w:sz w:val="24"/>
          <w:szCs w:val="24"/>
        </w:rPr>
      </w:pPr>
      <w:r>
        <w:rPr>
          <w:rFonts w:ascii="SimSun" w:hAnsi="SimSun" w:eastAsia="SimSun" w:cs="SimSun"/>
          <w:sz w:val="24"/>
          <w:szCs w:val="24"/>
          <w:spacing w:val="-1"/>
        </w:rPr>
        <w:t>当存在多种危险物质时，则按下式计算物质总量与其临界量比值</w:t>
      </w:r>
      <w:r>
        <w:rPr>
          <w:rFonts w:ascii="SimSun" w:hAnsi="SimSun" w:eastAsia="SimSun" w:cs="SimSun"/>
          <w:sz w:val="24"/>
          <w:szCs w:val="24"/>
          <w:spacing w:val="-26"/>
        </w:rPr>
        <w:t xml:space="preserve"> </w:t>
      </w:r>
      <w:r>
        <w:rPr>
          <w:rFonts w:ascii="Times New Roman" w:hAnsi="Times New Roman" w:eastAsia="Times New Roman" w:cs="Times New Roman"/>
          <w:sz w:val="24"/>
          <w:szCs w:val="24"/>
          <w:spacing w:val="-1"/>
        </w:rPr>
        <w:t>(Q</w:t>
      </w:r>
      <w:r>
        <w:rPr>
          <w:rFonts w:ascii="Times New Roman" w:hAnsi="Times New Roman" w:eastAsia="Times New Roman" w:cs="Times New Roman"/>
          <w:sz w:val="24"/>
          <w:szCs w:val="24"/>
          <w:spacing w:val="-2"/>
        </w:rPr>
        <w:t>);</w:t>
      </w:r>
    </w:p>
    <w:p>
      <w:pPr>
        <w:ind w:left="3430"/>
        <w:spacing w:before="186" w:line="192" w:lineRule="auto"/>
        <w:rPr>
          <w:rFonts w:ascii="Times New Roman" w:hAnsi="Times New Roman" w:eastAsia="Times New Roman" w:cs="Times New Roman"/>
          <w:sz w:val="31"/>
          <w:szCs w:val="31"/>
        </w:rPr>
      </w:pPr>
      <w:r>
        <w:rPr>
          <w:rFonts w:ascii="Times New Roman" w:hAnsi="Times New Roman" w:eastAsia="Times New Roman" w:cs="Times New Roman"/>
          <w:sz w:val="31"/>
          <w:szCs w:val="31"/>
          <w:spacing w:val="-9"/>
        </w:rPr>
        <w:t>Q=∑(qi/Qi)</w:t>
      </w:r>
    </w:p>
    <w:p>
      <w:pPr>
        <w:ind w:left="500"/>
        <w:spacing w:before="183" w:line="212" w:lineRule="auto"/>
        <w:rPr>
          <w:rFonts w:ascii="Times New Roman" w:hAnsi="Times New Roman" w:eastAsia="Times New Roman" w:cs="Times New Roman"/>
          <w:sz w:val="24"/>
          <w:szCs w:val="24"/>
        </w:rPr>
      </w:pPr>
      <w:r>
        <w:rPr>
          <w:rFonts w:ascii="SimSun" w:hAnsi="SimSun" w:eastAsia="SimSun" w:cs="SimSun"/>
          <w:sz w:val="24"/>
          <w:szCs w:val="24"/>
          <w:spacing w:val="-2"/>
        </w:rPr>
        <w:t>式中：</w:t>
      </w:r>
      <w:r>
        <w:rPr>
          <w:rFonts w:ascii="Times New Roman" w:hAnsi="Times New Roman" w:eastAsia="Times New Roman" w:cs="Times New Roman"/>
          <w:sz w:val="24"/>
          <w:szCs w:val="24"/>
          <w:spacing w:val="-2"/>
        </w:rPr>
        <w:t>qi——</w:t>
      </w:r>
      <w:r>
        <w:rPr>
          <w:rFonts w:ascii="Times New Roman" w:hAnsi="Times New Roman" w:eastAsia="Times New Roman" w:cs="Times New Roman"/>
          <w:sz w:val="24"/>
          <w:szCs w:val="24"/>
          <w:spacing w:val="-10"/>
        </w:rPr>
        <w:t xml:space="preserve"> </w:t>
      </w:r>
      <w:r>
        <w:rPr>
          <w:rFonts w:ascii="SimSun" w:hAnsi="SimSun" w:eastAsia="SimSun" w:cs="SimSun"/>
          <w:sz w:val="24"/>
          <w:szCs w:val="24"/>
          <w:spacing w:val="-2"/>
        </w:rPr>
        <w:t>每种危险化学品实际存在量，单位为吨</w:t>
      </w:r>
      <w:r>
        <w:rPr>
          <w:rFonts w:ascii="SimSun" w:hAnsi="SimSun" w:eastAsia="SimSun" w:cs="SimSun"/>
          <w:sz w:val="24"/>
          <w:szCs w:val="24"/>
          <w:spacing w:val="-40"/>
        </w:rPr>
        <w:t xml:space="preserve"> </w:t>
      </w:r>
      <w:r>
        <w:rPr>
          <w:rFonts w:ascii="Times New Roman" w:hAnsi="Times New Roman" w:eastAsia="Times New Roman" w:cs="Times New Roman"/>
          <w:sz w:val="24"/>
          <w:szCs w:val="24"/>
          <w:spacing w:val="-2"/>
        </w:rPr>
        <w:t>(t);</w:t>
      </w:r>
    </w:p>
    <w:p>
      <w:pPr>
        <w:ind w:left="1220"/>
        <w:spacing w:before="184" w:line="212" w:lineRule="auto"/>
        <w:rPr>
          <w:rFonts w:ascii="SimSun" w:hAnsi="SimSun" w:eastAsia="SimSun" w:cs="SimSun"/>
          <w:sz w:val="24"/>
          <w:szCs w:val="24"/>
        </w:rPr>
      </w:pPr>
      <w:r>
        <w:rPr>
          <w:rFonts w:ascii="Times New Roman" w:hAnsi="Times New Roman" w:eastAsia="Times New Roman" w:cs="Times New Roman"/>
          <w:sz w:val="24"/>
          <w:szCs w:val="24"/>
          <w:spacing w:val="-1"/>
        </w:rPr>
        <w:t>Qi——</w:t>
      </w:r>
      <w:r>
        <w:rPr>
          <w:rFonts w:ascii="SimSun" w:hAnsi="SimSun" w:eastAsia="SimSun" w:cs="SimSun"/>
          <w:sz w:val="24"/>
          <w:szCs w:val="24"/>
          <w:spacing w:val="-1"/>
        </w:rPr>
        <w:t>与各危险化学品相对应的临界量，单位为吨</w:t>
      </w:r>
      <w:r>
        <w:rPr>
          <w:rFonts w:ascii="SimSun" w:hAnsi="SimSun" w:eastAsia="SimSun" w:cs="SimSun"/>
          <w:sz w:val="24"/>
          <w:szCs w:val="24"/>
          <w:spacing w:val="-5"/>
        </w:rPr>
        <w:t xml:space="preserve"> </w:t>
      </w:r>
      <w:r>
        <w:rPr>
          <w:rFonts w:ascii="Times New Roman" w:hAnsi="Times New Roman" w:eastAsia="Times New Roman" w:cs="Times New Roman"/>
          <w:sz w:val="24"/>
          <w:szCs w:val="24"/>
          <w:spacing w:val="-1"/>
        </w:rPr>
        <w:t>(t)</w:t>
      </w:r>
      <w:r>
        <w:rPr>
          <w:rFonts w:ascii="SimSun" w:hAnsi="SimSun" w:eastAsia="SimSun" w:cs="SimSun"/>
          <w:sz w:val="24"/>
          <w:szCs w:val="24"/>
          <w:spacing w:val="-1"/>
        </w:rPr>
        <w:t>。</w:t>
      </w:r>
    </w:p>
    <w:p>
      <w:pPr>
        <w:ind w:left="500"/>
        <w:spacing w:before="222" w:line="219" w:lineRule="auto"/>
        <w:rPr>
          <w:rFonts w:ascii="SimSun" w:hAnsi="SimSun" w:eastAsia="SimSun" w:cs="SimSun"/>
          <w:sz w:val="24"/>
          <w:szCs w:val="24"/>
        </w:rPr>
      </w:pPr>
      <w:r>
        <w:rPr>
          <w:rFonts w:ascii="SimSun" w:hAnsi="SimSun" w:eastAsia="SimSun" w:cs="SimSun"/>
          <w:sz w:val="24"/>
          <w:szCs w:val="24"/>
          <w:spacing w:val="-4"/>
        </w:rPr>
        <w:t>当Q&lt;1</w:t>
      </w:r>
      <w:r>
        <w:rPr>
          <w:rFonts w:ascii="SimSun" w:hAnsi="SimSun" w:eastAsia="SimSun" w:cs="SimSun"/>
          <w:sz w:val="24"/>
          <w:szCs w:val="24"/>
          <w:spacing w:val="79"/>
        </w:rPr>
        <w:t xml:space="preserve"> </w:t>
      </w:r>
      <w:r>
        <w:rPr>
          <w:rFonts w:ascii="SimSun" w:hAnsi="SimSun" w:eastAsia="SimSun" w:cs="SimSun"/>
          <w:sz w:val="24"/>
          <w:szCs w:val="24"/>
          <w:spacing w:val="-4"/>
        </w:rPr>
        <w:t>时，该项目环境风险潜势为I。</w:t>
      </w:r>
    </w:p>
    <w:p>
      <w:pPr>
        <w:ind w:left="500"/>
        <w:spacing w:before="158" w:line="212" w:lineRule="auto"/>
        <w:rPr>
          <w:rFonts w:ascii="SimSun" w:hAnsi="SimSun" w:eastAsia="SimSun" w:cs="SimSun"/>
          <w:sz w:val="24"/>
          <w:szCs w:val="24"/>
        </w:rPr>
      </w:pPr>
      <w:r>
        <w:rPr>
          <w:rFonts w:ascii="SimSun" w:hAnsi="SimSun" w:eastAsia="SimSun" w:cs="SimSun"/>
          <w:sz w:val="24"/>
          <w:szCs w:val="24"/>
          <w:spacing w:val="-1"/>
        </w:rPr>
        <w:t>当</w:t>
      </w:r>
      <w:r>
        <w:rPr>
          <w:rFonts w:ascii="Times New Roman" w:hAnsi="Times New Roman" w:eastAsia="Times New Roman" w:cs="Times New Roman"/>
          <w:sz w:val="24"/>
          <w:szCs w:val="24"/>
          <w:spacing w:val="-1"/>
        </w:rPr>
        <w:t>Q≥1</w:t>
      </w:r>
      <w:r>
        <w:rPr>
          <w:rFonts w:ascii="SimSun" w:hAnsi="SimSun" w:eastAsia="SimSun" w:cs="SimSun"/>
          <w:sz w:val="24"/>
          <w:szCs w:val="24"/>
          <w:spacing w:val="-1"/>
        </w:rPr>
        <w:t>时，分为1)1≤</w:t>
      </w:r>
      <w:r>
        <w:rPr>
          <w:rFonts w:ascii="Times New Roman" w:hAnsi="Times New Roman" w:eastAsia="Times New Roman" w:cs="Times New Roman"/>
          <w:sz w:val="24"/>
          <w:szCs w:val="24"/>
          <w:spacing w:val="-1"/>
        </w:rPr>
        <w:t>Q&lt;10;2)10≤Q&lt;10</w:t>
      </w:r>
      <w:r>
        <w:rPr>
          <w:rFonts w:ascii="Times New Roman" w:hAnsi="Times New Roman" w:eastAsia="Times New Roman" w:cs="Times New Roman"/>
          <w:sz w:val="24"/>
          <w:szCs w:val="24"/>
          <w:spacing w:val="-2"/>
        </w:rPr>
        <w:t>0;3)Q≥100</w:t>
      </w:r>
      <w:r>
        <w:rPr>
          <w:rFonts w:ascii="SimSun" w:hAnsi="SimSun" w:eastAsia="SimSun" w:cs="SimSun"/>
          <w:sz w:val="24"/>
          <w:szCs w:val="24"/>
          <w:spacing w:val="-2"/>
        </w:rPr>
        <w:t>。</w:t>
      </w:r>
    </w:p>
    <w:p>
      <w:pPr>
        <w:ind w:left="2313"/>
        <w:spacing w:before="167" w:line="214" w:lineRule="auto"/>
        <w:rPr>
          <w:rFonts w:ascii="SimSun" w:hAnsi="SimSun" w:eastAsia="SimSun" w:cs="SimSun"/>
          <w:sz w:val="25"/>
          <w:szCs w:val="25"/>
        </w:rPr>
      </w:pPr>
      <w:r>
        <w:rPr>
          <w:rFonts w:ascii="SimSun" w:hAnsi="SimSun" w:eastAsia="SimSun" w:cs="SimSun"/>
          <w:sz w:val="25"/>
          <w:szCs w:val="25"/>
          <w:b/>
          <w:bCs/>
          <w:spacing w:val="-4"/>
        </w:rPr>
        <w:t>表1.9-8环境风险评价工作等级划分</w:t>
      </w:r>
    </w:p>
    <w:tbl>
      <w:tblPr>
        <w:tblStyle w:val="TableNormal"/>
        <w:tblW w:w="8340" w:type="dxa"/>
        <w:tblInd w:w="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693"/>
        <w:gridCol w:w="1688"/>
        <w:gridCol w:w="1428"/>
        <w:gridCol w:w="1758"/>
        <w:gridCol w:w="1773"/>
      </w:tblGrid>
      <w:tr>
        <w:trPr>
          <w:trHeight w:val="282" w:hRule="atLeast"/>
        </w:trPr>
        <w:tc>
          <w:tcPr>
            <w:shd w:val="clear" w:fill="BDBDBD"/>
            <w:tcW w:w="1693" w:type="dxa"/>
            <w:vAlign w:val="top"/>
          </w:tcPr>
          <w:p>
            <w:pPr>
              <w:pStyle w:val="TableText"/>
              <w:ind w:left="208"/>
              <w:spacing w:before="39" w:line="204" w:lineRule="auto"/>
              <w:rPr>
                <w:sz w:val="21"/>
                <w:szCs w:val="21"/>
              </w:rPr>
            </w:pPr>
            <w:r>
              <w:rPr>
                <w:sz w:val="21"/>
                <w:szCs w:val="21"/>
                <w:b/>
                <w:bCs/>
                <w:spacing w:val="-4"/>
              </w:rPr>
              <w:t>环境风险潜势</w:t>
            </w:r>
          </w:p>
        </w:tc>
        <w:tc>
          <w:tcPr>
            <w:shd w:val="clear" w:fill="BDBDBD"/>
            <w:tcW w:w="1688" w:type="dxa"/>
            <w:vAlign w:val="top"/>
          </w:tcPr>
          <w:p>
            <w:pPr>
              <w:pStyle w:val="TableText"/>
              <w:ind w:left="554"/>
              <w:spacing w:before="98" w:line="182" w:lineRule="auto"/>
              <w:rPr>
                <w:sz w:val="16"/>
                <w:szCs w:val="16"/>
              </w:rPr>
            </w:pPr>
            <w:r>
              <w:rPr>
                <w:sz w:val="16"/>
                <w:szCs w:val="16"/>
                <w:b/>
                <w:bCs/>
                <w:spacing w:val="-4"/>
              </w:rPr>
              <w:t>IV、IV+</w:t>
            </w:r>
          </w:p>
        </w:tc>
        <w:tc>
          <w:tcPr>
            <w:shd w:val="clear" w:fill="BDBDBD"/>
            <w:tcW w:w="1428" w:type="dxa"/>
            <w:vAlign w:val="top"/>
          </w:tcPr>
          <w:p>
            <w:pPr>
              <w:pStyle w:val="TableText"/>
              <w:ind w:left="626"/>
              <w:spacing w:before="72" w:line="230" w:lineRule="auto"/>
              <w:rPr>
                <w:sz w:val="16"/>
                <w:szCs w:val="16"/>
              </w:rPr>
            </w:pPr>
            <w:r>
              <w:rPr>
                <w:sz w:val="16"/>
                <w:szCs w:val="16"/>
                <w:b/>
                <w:bCs/>
                <w:spacing w:val="-2"/>
              </w:rPr>
              <w:t>Ⅲ</w:t>
            </w:r>
          </w:p>
        </w:tc>
        <w:tc>
          <w:tcPr>
            <w:shd w:val="clear" w:fill="BDBDBD"/>
            <w:tcW w:w="1758" w:type="dxa"/>
            <w:vAlign w:val="top"/>
          </w:tcPr>
          <w:p>
            <w:pPr>
              <w:pStyle w:val="TableText"/>
              <w:ind w:left="798"/>
              <w:spacing w:before="72" w:line="230" w:lineRule="auto"/>
              <w:rPr>
                <w:sz w:val="16"/>
                <w:szCs w:val="16"/>
              </w:rPr>
            </w:pPr>
            <w:r>
              <w:rPr>
                <w:sz w:val="16"/>
                <w:szCs w:val="16"/>
                <w:b/>
                <w:bCs/>
                <w:spacing w:val="-2"/>
              </w:rPr>
              <w:t>Ⅱ</w:t>
            </w:r>
          </w:p>
        </w:tc>
        <w:tc>
          <w:tcPr>
            <w:shd w:val="clear" w:fill="BDBDBD"/>
            <w:tcW w:w="1773" w:type="dxa"/>
            <w:vAlign w:val="top"/>
          </w:tcPr>
          <w:p>
            <w:pPr>
              <w:pStyle w:val="TableText"/>
              <w:ind w:left="831"/>
              <w:spacing w:before="64" w:line="182" w:lineRule="auto"/>
              <w:rPr>
                <w:sz w:val="21"/>
                <w:szCs w:val="21"/>
              </w:rPr>
            </w:pPr>
            <w:r>
              <w:rPr>
                <w:sz w:val="21"/>
                <w:szCs w:val="21"/>
                <w:b/>
                <w:bCs/>
                <w:spacing w:val="-3"/>
              </w:rPr>
              <w:t>I</w:t>
            </w:r>
          </w:p>
        </w:tc>
      </w:tr>
      <w:tr>
        <w:trPr>
          <w:trHeight w:val="267" w:hRule="atLeast"/>
        </w:trPr>
        <w:tc>
          <w:tcPr>
            <w:tcW w:w="1693" w:type="dxa"/>
            <w:vAlign w:val="top"/>
          </w:tcPr>
          <w:p>
            <w:pPr>
              <w:pStyle w:val="TableText"/>
              <w:ind w:left="205"/>
              <w:spacing w:before="29" w:line="200" w:lineRule="auto"/>
              <w:rPr>
                <w:sz w:val="21"/>
                <w:szCs w:val="21"/>
              </w:rPr>
            </w:pPr>
            <w:r>
              <w:rPr>
                <w:sz w:val="21"/>
                <w:szCs w:val="21"/>
                <w:spacing w:val="2"/>
              </w:rPr>
              <w:t>评价工作等级</w:t>
            </w:r>
          </w:p>
        </w:tc>
        <w:tc>
          <w:tcPr>
            <w:tcW w:w="1688" w:type="dxa"/>
            <w:vAlign w:val="top"/>
          </w:tcPr>
          <w:p>
            <w:pPr>
              <w:pStyle w:val="TableText"/>
              <w:ind w:left="731"/>
              <w:spacing w:before="131" w:line="126" w:lineRule="exact"/>
              <w:rPr>
                <w:sz w:val="21"/>
                <w:szCs w:val="21"/>
              </w:rPr>
            </w:pPr>
            <w:r>
              <w:rPr>
                <w:sz w:val="21"/>
                <w:szCs w:val="21"/>
                <w:position w:val="-5"/>
              </w:rPr>
              <w:t>一</w:t>
            </w:r>
          </w:p>
        </w:tc>
        <w:tc>
          <w:tcPr>
            <w:tcW w:w="1428" w:type="dxa"/>
            <w:vAlign w:val="top"/>
          </w:tcPr>
          <w:p>
            <w:pPr>
              <w:pStyle w:val="TableText"/>
              <w:ind w:left="574"/>
              <w:spacing w:before="91" w:line="166" w:lineRule="exact"/>
              <w:rPr>
                <w:sz w:val="27"/>
                <w:szCs w:val="27"/>
              </w:rPr>
            </w:pPr>
            <w:r>
              <w:rPr>
                <w:sz w:val="27"/>
                <w:szCs w:val="27"/>
                <w:color w:val="908060"/>
                <w:position w:val="-4"/>
              </w:rPr>
              <w:t>二</w:t>
            </w:r>
          </w:p>
        </w:tc>
        <w:tc>
          <w:tcPr>
            <w:tcW w:w="1758" w:type="dxa"/>
            <w:vAlign w:val="top"/>
          </w:tcPr>
          <w:p>
            <w:pPr>
              <w:pStyle w:val="TableText"/>
              <w:ind w:left="736"/>
              <w:spacing w:before="39" w:line="218" w:lineRule="exact"/>
              <w:rPr>
                <w:sz w:val="27"/>
                <w:szCs w:val="27"/>
              </w:rPr>
            </w:pPr>
            <w:r>
              <w:rPr>
                <w:sz w:val="27"/>
                <w:szCs w:val="27"/>
                <w:position w:val="-3"/>
              </w:rPr>
              <w:t>三</w:t>
            </w:r>
          </w:p>
        </w:tc>
        <w:tc>
          <w:tcPr>
            <w:tcW w:w="1773" w:type="dxa"/>
            <w:vAlign w:val="top"/>
          </w:tcPr>
          <w:p>
            <w:pPr>
              <w:pStyle w:val="TableText"/>
              <w:ind w:left="408"/>
              <w:spacing w:before="30" w:line="199" w:lineRule="auto"/>
              <w:rPr>
                <w:sz w:val="21"/>
                <w:szCs w:val="21"/>
              </w:rPr>
            </w:pPr>
            <w:r>
              <w:rPr>
                <w:sz w:val="21"/>
                <w:szCs w:val="21"/>
                <w:spacing w:val="-3"/>
              </w:rPr>
              <w:t>简单分析a</w:t>
            </w:r>
          </w:p>
        </w:tc>
      </w:tr>
      <w:tr>
        <w:trPr>
          <w:trHeight w:val="550" w:hRule="atLeast"/>
        </w:trPr>
        <w:tc>
          <w:tcPr>
            <w:tcW w:w="8340" w:type="dxa"/>
            <w:vAlign w:val="top"/>
            <w:gridSpan w:val="5"/>
          </w:tcPr>
          <w:p>
            <w:pPr>
              <w:pStyle w:val="TableText"/>
              <w:ind w:left="15" w:right="29"/>
              <w:spacing w:before="23" w:line="227" w:lineRule="auto"/>
              <w:rPr>
                <w:sz w:val="21"/>
                <w:szCs w:val="21"/>
              </w:rPr>
            </w:pPr>
            <w:r>
              <w:rPr>
                <w:sz w:val="21"/>
                <w:szCs w:val="21"/>
              </w:rPr>
              <w:t>a是相对于详细评价工作内容而言，在描述危险物质、环境影响途</w:t>
            </w:r>
            <w:r>
              <w:rPr>
                <w:sz w:val="21"/>
                <w:szCs w:val="21"/>
                <w:spacing w:val="-1"/>
              </w:rPr>
              <w:t>径、环境危害后果、风险</w:t>
            </w:r>
            <w:r>
              <w:rPr>
                <w:sz w:val="21"/>
                <w:szCs w:val="21"/>
              </w:rPr>
              <w:t xml:space="preserve"> </w:t>
            </w:r>
            <w:r>
              <w:rPr>
                <w:sz w:val="21"/>
                <w:szCs w:val="21"/>
                <w:spacing w:val="-1"/>
              </w:rPr>
              <w:t>防范措施等方面给出定性的说明。</w:t>
            </w:r>
          </w:p>
        </w:tc>
      </w:tr>
    </w:tbl>
    <w:p>
      <w:pPr>
        <w:ind w:left="19" w:right="94" w:firstLine="490"/>
        <w:spacing w:before="52" w:line="345" w:lineRule="auto"/>
        <w:jc w:val="both"/>
        <w:rPr>
          <w:rFonts w:ascii="SimSun" w:hAnsi="SimSun" w:eastAsia="SimSun" w:cs="SimSun"/>
          <w:sz w:val="24"/>
          <w:szCs w:val="24"/>
        </w:rPr>
      </w:pPr>
      <w:r>
        <w:rPr>
          <w:rFonts w:ascii="SimSun" w:hAnsi="SimSun" w:eastAsia="SimSun" w:cs="SimSun"/>
          <w:sz w:val="25"/>
          <w:szCs w:val="25"/>
        </w:rPr>
        <w:t>本项目涉及的危险物质数量与临界量比值Q为0.14512,属于Q&lt;1等级，根</w:t>
      </w:r>
      <w:r>
        <w:rPr>
          <w:rFonts w:ascii="SimSun" w:hAnsi="SimSun" w:eastAsia="SimSun" w:cs="SimSun"/>
          <w:sz w:val="25"/>
          <w:szCs w:val="25"/>
          <w:spacing w:val="8"/>
        </w:rPr>
        <w:t xml:space="preserve"> </w:t>
      </w:r>
      <w:r>
        <w:rPr>
          <w:rFonts w:ascii="SimSun" w:hAnsi="SimSun" w:eastAsia="SimSun" w:cs="SimSun"/>
          <w:sz w:val="24"/>
          <w:szCs w:val="24"/>
        </w:rPr>
        <w:t>据《建设项目环境风险评价技术导则》 </w:t>
      </w:r>
      <w:r>
        <w:rPr>
          <w:rFonts w:ascii="Times New Roman" w:hAnsi="Times New Roman" w:eastAsia="Times New Roman" w:cs="Times New Roman"/>
          <w:sz w:val="24"/>
          <w:szCs w:val="24"/>
        </w:rPr>
        <w:t>(HJ169-2018)   </w:t>
      </w:r>
      <w:r>
        <w:rPr>
          <w:rFonts w:ascii="SimSun" w:hAnsi="SimSun" w:eastAsia="SimSun" w:cs="SimSun"/>
          <w:sz w:val="24"/>
          <w:szCs w:val="24"/>
        </w:rPr>
        <w:t>中环境风险潜势划分要</w:t>
      </w:r>
      <w:r>
        <w:rPr>
          <w:rFonts w:ascii="SimSun" w:hAnsi="SimSun" w:eastAsia="SimSun" w:cs="SimSun"/>
          <w:sz w:val="24"/>
          <w:szCs w:val="24"/>
          <w:spacing w:val="2"/>
        </w:rPr>
        <w:t xml:space="preserve">  </w:t>
      </w:r>
      <w:r>
        <w:rPr>
          <w:rFonts w:ascii="SimSun" w:hAnsi="SimSun" w:eastAsia="SimSun" w:cs="SimSun"/>
          <w:sz w:val="24"/>
          <w:szCs w:val="24"/>
          <w:spacing w:val="-6"/>
        </w:rPr>
        <w:t>求</w:t>
      </w:r>
      <w:r>
        <w:rPr>
          <w:rFonts w:ascii="SimSun" w:hAnsi="SimSun" w:eastAsia="SimSun" w:cs="SimSun"/>
          <w:sz w:val="24"/>
          <w:szCs w:val="24"/>
          <w:spacing w:val="-26"/>
        </w:rPr>
        <w:t xml:space="preserve"> </w:t>
      </w:r>
      <w:r>
        <w:rPr>
          <w:rFonts w:ascii="SimSun" w:hAnsi="SimSun" w:eastAsia="SimSun" w:cs="SimSun"/>
          <w:sz w:val="24"/>
          <w:szCs w:val="24"/>
          <w:spacing w:val="-6"/>
        </w:rPr>
        <w:t>，</w:t>
      </w:r>
      <w:r>
        <w:rPr>
          <w:rFonts w:ascii="SimSun" w:hAnsi="SimSun" w:eastAsia="SimSun" w:cs="SimSun"/>
          <w:sz w:val="24"/>
          <w:szCs w:val="24"/>
          <w:b/>
          <w:bCs/>
          <w:spacing w:val="-6"/>
        </w:rPr>
        <w:t>本项目环境风险潜势为</w:t>
      </w:r>
      <w:r>
        <w:rPr>
          <w:rFonts w:ascii="Times New Roman" w:hAnsi="Times New Roman" w:eastAsia="Times New Roman" w:cs="Times New Roman"/>
          <w:sz w:val="24"/>
          <w:szCs w:val="24"/>
          <w:b/>
          <w:bCs/>
          <w:spacing w:val="-6"/>
        </w:rPr>
        <w:t>I,</w:t>
      </w:r>
      <w:r>
        <w:rPr>
          <w:rFonts w:ascii="Times New Roman" w:hAnsi="Times New Roman" w:eastAsia="Times New Roman" w:cs="Times New Roman"/>
          <w:sz w:val="24"/>
          <w:szCs w:val="24"/>
          <w:b/>
          <w:bCs/>
          <w:spacing w:val="27"/>
          <w:w w:val="101"/>
        </w:rPr>
        <w:t xml:space="preserve">  </w:t>
      </w:r>
      <w:r>
        <w:rPr>
          <w:rFonts w:ascii="SimSun" w:hAnsi="SimSun" w:eastAsia="SimSun" w:cs="SimSun"/>
          <w:sz w:val="24"/>
          <w:szCs w:val="24"/>
          <w:b/>
          <w:bCs/>
          <w:spacing w:val="-6"/>
        </w:rPr>
        <w:t>环境风险评价等级为简单分析。</w:t>
      </w:r>
    </w:p>
    <w:p>
      <w:pPr>
        <w:ind w:left="503"/>
        <w:spacing w:before="43" w:line="218" w:lineRule="auto"/>
        <w:rPr>
          <w:rFonts w:ascii="SimSun" w:hAnsi="SimSun" w:eastAsia="SimSun" w:cs="SimSun"/>
          <w:sz w:val="24"/>
          <w:szCs w:val="24"/>
        </w:rPr>
      </w:pPr>
      <w:r>
        <w:rPr>
          <w:rFonts w:ascii="SimSun" w:hAnsi="SimSun" w:eastAsia="SimSun" w:cs="SimSun"/>
          <w:sz w:val="24"/>
          <w:szCs w:val="24"/>
          <w:b/>
          <w:bCs/>
          <w:spacing w:val="-4"/>
        </w:rPr>
        <w:t>2、评价范围</w:t>
      </w:r>
    </w:p>
    <w:p>
      <w:pPr>
        <w:ind w:left="19" w:right="43" w:firstLine="480"/>
        <w:spacing w:before="190" w:line="359" w:lineRule="auto"/>
        <w:rPr>
          <w:rFonts w:ascii="SimSun" w:hAnsi="SimSun" w:eastAsia="SimSun" w:cs="SimSun"/>
          <w:sz w:val="24"/>
          <w:szCs w:val="24"/>
        </w:rPr>
      </w:pPr>
      <w:r>
        <w:rPr>
          <w:rFonts w:ascii="SimSun" w:hAnsi="SimSun" w:eastAsia="SimSun" w:cs="SimSun"/>
          <w:sz w:val="24"/>
          <w:szCs w:val="24"/>
          <w:spacing w:val="4"/>
        </w:rPr>
        <w:t>本项目的环境风险评价等级为简单分析，根据《建设项目环境风险评价技</w:t>
      </w:r>
      <w:r>
        <w:rPr>
          <w:rFonts w:ascii="SimSun" w:hAnsi="SimSun" w:eastAsia="SimSun" w:cs="SimSun"/>
          <w:sz w:val="24"/>
          <w:szCs w:val="24"/>
          <w:spacing w:val="11"/>
        </w:rPr>
        <w:t xml:space="preserve"> </w:t>
      </w:r>
      <w:r>
        <w:rPr>
          <w:rFonts w:ascii="SimSun" w:hAnsi="SimSun" w:eastAsia="SimSun" w:cs="SimSun"/>
          <w:sz w:val="24"/>
          <w:szCs w:val="24"/>
          <w:spacing w:val="-1"/>
        </w:rPr>
        <w:t>术导则》</w:t>
      </w:r>
      <w:r>
        <w:rPr>
          <w:rFonts w:ascii="SimSun" w:hAnsi="SimSun" w:eastAsia="SimSun" w:cs="SimSun"/>
          <w:sz w:val="24"/>
          <w:szCs w:val="24"/>
          <w:spacing w:val="-21"/>
        </w:rPr>
        <w:t xml:space="preserve"> </w:t>
      </w:r>
      <w:r>
        <w:rPr>
          <w:rFonts w:ascii="Times New Roman" w:hAnsi="Times New Roman" w:eastAsia="Times New Roman" w:cs="Times New Roman"/>
          <w:sz w:val="24"/>
          <w:szCs w:val="24"/>
          <w:spacing w:val="-1"/>
        </w:rPr>
        <w:t>(HJ169-2018)</w:t>
      </w:r>
      <w:r>
        <w:rPr>
          <w:rFonts w:ascii="Times New Roman" w:hAnsi="Times New Roman" w:eastAsia="Times New Roman" w:cs="Times New Roman"/>
          <w:sz w:val="24"/>
          <w:szCs w:val="24"/>
          <w:spacing w:val="17"/>
          <w:w w:val="101"/>
        </w:rPr>
        <w:t xml:space="preserve">   </w:t>
      </w:r>
      <w:r>
        <w:rPr>
          <w:rFonts w:ascii="SimSun" w:hAnsi="SimSun" w:eastAsia="SimSun" w:cs="SimSun"/>
          <w:sz w:val="24"/>
          <w:szCs w:val="24"/>
          <w:spacing w:val="-1"/>
        </w:rPr>
        <w:t>附录</w:t>
      </w:r>
      <w:r>
        <w:rPr>
          <w:rFonts w:ascii="Times New Roman" w:hAnsi="Times New Roman" w:eastAsia="Times New Roman" w:cs="Times New Roman"/>
          <w:sz w:val="24"/>
          <w:szCs w:val="24"/>
          <w:spacing w:val="-1"/>
        </w:rPr>
        <w:t>A,</w:t>
      </w:r>
      <w:r>
        <w:rPr>
          <w:rFonts w:ascii="Times New Roman" w:hAnsi="Times New Roman" w:eastAsia="Times New Roman" w:cs="Times New Roman"/>
          <w:sz w:val="24"/>
          <w:szCs w:val="24"/>
          <w:spacing w:val="29"/>
          <w:w w:val="101"/>
        </w:rPr>
        <w:t xml:space="preserve">  </w:t>
      </w:r>
      <w:r>
        <w:rPr>
          <w:rFonts w:ascii="SimSun" w:hAnsi="SimSun" w:eastAsia="SimSun" w:cs="SimSun"/>
          <w:sz w:val="24"/>
          <w:szCs w:val="24"/>
          <w:spacing w:val="-1"/>
        </w:rPr>
        <w:t>简单分析未包含评价范围。</w:t>
      </w:r>
    </w:p>
    <w:p>
      <w:pPr>
        <w:ind w:left="19"/>
        <w:spacing w:before="44" w:line="222" w:lineRule="auto"/>
        <w:rPr>
          <w:rFonts w:ascii="SimHei" w:hAnsi="SimHei" w:eastAsia="SimHei" w:cs="SimHei"/>
          <w:sz w:val="24"/>
          <w:szCs w:val="24"/>
        </w:rPr>
      </w:pPr>
      <w:r>
        <w:rPr>
          <w:rFonts w:ascii="Times New Roman" w:hAnsi="Times New Roman" w:eastAsia="Times New Roman" w:cs="Times New Roman"/>
          <w:sz w:val="24"/>
          <w:szCs w:val="24"/>
          <w:spacing w:val="16"/>
        </w:rPr>
        <w:t>1.9.</w:t>
      </w:r>
      <w:r>
        <w:rPr>
          <w:rFonts w:ascii="Times New Roman" w:hAnsi="Times New Roman" w:eastAsia="Times New Roman" w:cs="Times New Roman"/>
          <w:sz w:val="24"/>
          <w:szCs w:val="24"/>
          <w:spacing w:val="-2"/>
        </w:rPr>
        <w:t xml:space="preserve"> </w:t>
      </w:r>
      <w:r>
        <w:rPr>
          <w:rFonts w:ascii="SimHei" w:hAnsi="SimHei" w:eastAsia="SimHei" w:cs="SimHei"/>
          <w:sz w:val="24"/>
          <w:szCs w:val="24"/>
          <w:b/>
          <w:bCs/>
          <w:spacing w:val="16"/>
        </w:rPr>
        <w:t>7生态环境</w:t>
      </w:r>
    </w:p>
    <w:p>
      <w:pPr>
        <w:ind w:left="503"/>
        <w:spacing w:before="211" w:line="218" w:lineRule="auto"/>
        <w:rPr>
          <w:rFonts w:ascii="SimSun" w:hAnsi="SimSun" w:eastAsia="SimSun" w:cs="SimSun"/>
          <w:sz w:val="24"/>
          <w:szCs w:val="24"/>
        </w:rPr>
      </w:pPr>
      <w:r>
        <w:rPr>
          <w:rFonts w:ascii="SimSun" w:hAnsi="SimSun" w:eastAsia="SimSun" w:cs="SimSun"/>
          <w:sz w:val="24"/>
          <w:szCs w:val="24"/>
          <w:b/>
          <w:bCs/>
          <w:spacing w:val="-5"/>
        </w:rPr>
        <w:t>1、评价等级</w:t>
      </w:r>
    </w:p>
    <w:p>
      <w:pPr>
        <w:ind w:left="500"/>
        <w:spacing w:before="155" w:line="212" w:lineRule="auto"/>
        <w:rPr>
          <w:rFonts w:ascii="SimSun" w:hAnsi="SimSun" w:eastAsia="SimSun" w:cs="SimSun"/>
          <w:sz w:val="24"/>
          <w:szCs w:val="24"/>
        </w:rPr>
      </w:pPr>
      <w:r>
        <w:rPr>
          <w:rFonts w:ascii="SimSun" w:hAnsi="SimSun" w:eastAsia="SimSun" w:cs="SimSun"/>
          <w:sz w:val="24"/>
          <w:szCs w:val="24"/>
          <w:spacing w:val="-1"/>
        </w:rPr>
        <w:t>根据《环境影响评价技术导则生态影响》</w:t>
      </w:r>
      <w:r>
        <w:rPr>
          <w:rFonts w:ascii="SimSun" w:hAnsi="SimSun" w:eastAsia="SimSun" w:cs="SimSun"/>
          <w:sz w:val="24"/>
          <w:szCs w:val="24"/>
          <w:spacing w:val="80"/>
        </w:rPr>
        <w:t xml:space="preserve"> </w:t>
      </w:r>
      <w:r>
        <w:rPr>
          <w:rFonts w:ascii="Times New Roman" w:hAnsi="Times New Roman" w:eastAsia="Times New Roman" w:cs="Times New Roman"/>
          <w:sz w:val="24"/>
          <w:szCs w:val="24"/>
          <w:spacing w:val="-1"/>
        </w:rPr>
        <w:t>(HJ19-2022)   </w:t>
      </w:r>
      <w:r>
        <w:rPr>
          <w:rFonts w:ascii="SimSun" w:hAnsi="SimSun" w:eastAsia="SimSun" w:cs="SimSun"/>
          <w:sz w:val="24"/>
          <w:szCs w:val="24"/>
          <w:spacing w:val="-1"/>
        </w:rPr>
        <w:t>中的有关</w:t>
      </w:r>
      <w:r>
        <w:rPr>
          <w:rFonts w:ascii="SimSun" w:hAnsi="SimSun" w:eastAsia="SimSun" w:cs="SimSun"/>
          <w:sz w:val="24"/>
          <w:szCs w:val="24"/>
          <w:spacing w:val="-2"/>
        </w:rPr>
        <w:t>规定：</w:t>
      </w:r>
    </w:p>
    <w:p>
      <w:pPr>
        <w:ind w:left="18" w:right="173" w:hanging="19"/>
        <w:spacing w:before="232" w:line="348" w:lineRule="auto"/>
        <w:rPr>
          <w:rFonts w:ascii="SimSun" w:hAnsi="SimSun" w:eastAsia="SimSun" w:cs="SimSun"/>
          <w:sz w:val="24"/>
          <w:szCs w:val="24"/>
        </w:rPr>
      </w:pPr>
      <w:r>
        <w:rPr>
          <w:rFonts w:ascii="SimSun" w:hAnsi="SimSun" w:eastAsia="SimSun" w:cs="SimSun"/>
          <w:sz w:val="24"/>
          <w:szCs w:val="24"/>
          <w:spacing w:val="4"/>
        </w:rPr>
        <w:t>“6.1.8符合生态环境分区管控要求且位于原厂界(或永久用地)范围内的污染</w:t>
      </w:r>
      <w:r>
        <w:rPr>
          <w:rFonts w:ascii="SimSun" w:hAnsi="SimSun" w:eastAsia="SimSun" w:cs="SimSun"/>
          <w:sz w:val="24"/>
          <w:szCs w:val="24"/>
        </w:rPr>
        <w:t xml:space="preserve"> </w:t>
      </w:r>
      <w:r>
        <w:rPr>
          <w:rFonts w:ascii="SimSun" w:hAnsi="SimSun" w:eastAsia="SimSun" w:cs="SimSun"/>
          <w:sz w:val="24"/>
          <w:szCs w:val="24"/>
          <w:spacing w:val="-1"/>
        </w:rPr>
        <w:t>影响类改扩建项目，位于已批准规划环评的产业园区内</w:t>
      </w:r>
      <w:r>
        <w:rPr>
          <w:rFonts w:ascii="SimSun" w:hAnsi="SimSun" w:eastAsia="SimSun" w:cs="SimSun"/>
          <w:sz w:val="24"/>
          <w:szCs w:val="24"/>
          <w:spacing w:val="-2"/>
        </w:rPr>
        <w:t>且符合规划环评要求、</w:t>
      </w:r>
    </w:p>
    <w:p>
      <w:pPr>
        <w:spacing w:line="348" w:lineRule="auto"/>
        <w:sectPr>
          <w:headerReference w:type="default" r:id="rId161"/>
          <w:footerReference w:type="default" r:id="rId162"/>
          <w:pgSz w:w="11910" w:h="16840"/>
          <w:pgMar w:top="1207" w:right="1786" w:bottom="983" w:left="1759" w:header="915" w:footer="736" w:gutter="0"/>
        </w:sectPr>
        <w:rPr>
          <w:rFonts w:ascii="SimSun" w:hAnsi="SimSun" w:eastAsia="SimSun" w:cs="SimSun"/>
          <w:sz w:val="24"/>
          <w:szCs w:val="24"/>
        </w:rPr>
      </w:pPr>
    </w:p>
    <w:p>
      <w:pPr>
        <w:ind w:right="196"/>
        <w:spacing w:before="287" w:line="362" w:lineRule="auto"/>
        <w:rPr>
          <w:rFonts w:ascii="SimSun" w:hAnsi="SimSun" w:eastAsia="SimSun" w:cs="SimSun"/>
          <w:sz w:val="24"/>
          <w:szCs w:val="24"/>
        </w:rPr>
      </w:pPr>
      <w:r>
        <w:rPr>
          <w:rFonts w:ascii="SimSun" w:hAnsi="SimSun" w:eastAsia="SimSun" w:cs="SimSun"/>
          <w:sz w:val="24"/>
          <w:szCs w:val="24"/>
        </w:rPr>
        <w:t>不涉及生态敏感区的污染影响类建设项目，</w:t>
      </w:r>
      <w:r>
        <w:rPr>
          <w:rFonts w:ascii="SimSun" w:hAnsi="SimSun" w:eastAsia="SimSun" w:cs="SimSun"/>
          <w:sz w:val="24"/>
          <w:szCs w:val="24"/>
          <w:spacing w:val="-1"/>
        </w:rPr>
        <w:t>可不确定评价等级，直接进行生态</w:t>
      </w:r>
      <w:r>
        <w:rPr>
          <w:rFonts w:ascii="SimSun" w:hAnsi="SimSun" w:eastAsia="SimSun" w:cs="SimSun"/>
          <w:sz w:val="24"/>
          <w:szCs w:val="24"/>
        </w:rPr>
        <w:t xml:space="preserve"> </w:t>
      </w:r>
      <w:r>
        <w:rPr>
          <w:rFonts w:ascii="SimSun" w:hAnsi="SimSun" w:eastAsia="SimSun" w:cs="SimSun"/>
          <w:sz w:val="24"/>
          <w:szCs w:val="24"/>
          <w:spacing w:val="18"/>
        </w:rPr>
        <w:t>影响简单分析。”</w:t>
      </w:r>
    </w:p>
    <w:p>
      <w:pPr>
        <w:ind w:right="193" w:firstLine="480"/>
        <w:spacing w:line="354" w:lineRule="auto"/>
        <w:rPr>
          <w:rFonts w:ascii="SimSun" w:hAnsi="SimSun" w:eastAsia="SimSun" w:cs="SimSun"/>
          <w:sz w:val="24"/>
          <w:szCs w:val="24"/>
        </w:rPr>
      </w:pPr>
      <w:r>
        <w:rPr>
          <w:rFonts w:ascii="SimSun" w:hAnsi="SimSun" w:eastAsia="SimSun" w:cs="SimSun"/>
          <w:sz w:val="24"/>
          <w:szCs w:val="24"/>
        </w:rPr>
        <w:t>本项目位于四川绵阳安州工业园区内，项目建</w:t>
      </w:r>
      <w:r>
        <w:rPr>
          <w:rFonts w:ascii="SimSun" w:hAnsi="SimSun" w:eastAsia="SimSun" w:cs="SimSun"/>
          <w:sz w:val="24"/>
          <w:szCs w:val="24"/>
          <w:spacing w:val="-1"/>
        </w:rPr>
        <w:t>设符合绵四川绵阳安州工业</w:t>
      </w:r>
      <w:r>
        <w:rPr>
          <w:rFonts w:ascii="SimSun" w:hAnsi="SimSun" w:eastAsia="SimSun" w:cs="SimSun"/>
          <w:sz w:val="24"/>
          <w:szCs w:val="24"/>
        </w:rPr>
        <w:t xml:space="preserve"> </w:t>
      </w:r>
      <w:r>
        <w:rPr>
          <w:rFonts w:ascii="SimSun" w:hAnsi="SimSun" w:eastAsia="SimSun" w:cs="SimSun"/>
          <w:sz w:val="24"/>
          <w:szCs w:val="24"/>
          <w:spacing w:val="-1"/>
        </w:rPr>
        <w:t>园规划及规划环评的相关要求，在工业园区内原项目厂区及周边进行改扩建，</w:t>
      </w:r>
    </w:p>
    <w:p>
      <w:pPr>
        <w:spacing w:line="219" w:lineRule="auto"/>
        <w:rPr>
          <w:rFonts w:ascii="SimSun" w:hAnsi="SimSun" w:eastAsia="SimSun" w:cs="SimSun"/>
          <w:sz w:val="24"/>
          <w:szCs w:val="24"/>
        </w:rPr>
      </w:pPr>
      <w:r>
        <w:rPr>
          <w:rFonts w:ascii="SimSun" w:hAnsi="SimSun" w:eastAsia="SimSun" w:cs="SimSun"/>
          <w:sz w:val="24"/>
          <w:szCs w:val="24"/>
        </w:rPr>
        <w:t>地块用地性质为工业用地，项目施工占地产生的生</w:t>
      </w:r>
      <w:r>
        <w:rPr>
          <w:rFonts w:ascii="SimSun" w:hAnsi="SimSun" w:eastAsia="SimSun" w:cs="SimSun"/>
          <w:sz w:val="24"/>
          <w:szCs w:val="24"/>
          <w:spacing w:val="-1"/>
        </w:rPr>
        <w:t>态环境影响主要为水土流</w:t>
      </w:r>
    </w:p>
    <w:p>
      <w:pPr>
        <w:ind w:right="73"/>
        <w:spacing w:before="173" w:line="356" w:lineRule="auto"/>
        <w:rPr>
          <w:rFonts w:ascii="SimSun" w:hAnsi="SimSun" w:eastAsia="SimSun" w:cs="SimSun"/>
          <w:sz w:val="24"/>
          <w:szCs w:val="24"/>
        </w:rPr>
      </w:pPr>
      <w:r>
        <w:rPr>
          <w:rFonts w:ascii="SimSun" w:hAnsi="SimSun" w:eastAsia="SimSun" w:cs="SimSun"/>
          <w:sz w:val="24"/>
          <w:szCs w:val="24"/>
          <w:spacing w:val="-1"/>
        </w:rPr>
        <w:t>失，但影响程度有限，现场调查未发现工程影响范围内有珍稀濒危物种，工程</w:t>
      </w:r>
      <w:r>
        <w:rPr>
          <w:rFonts w:ascii="SimSun" w:hAnsi="SimSun" w:eastAsia="SimSun" w:cs="SimSun"/>
          <w:sz w:val="24"/>
          <w:szCs w:val="24"/>
          <w:spacing w:val="8"/>
        </w:rPr>
        <w:t xml:space="preserve">  </w:t>
      </w:r>
      <w:r>
        <w:rPr>
          <w:rFonts w:ascii="SimSun" w:hAnsi="SimSun" w:eastAsia="SimSun" w:cs="SimSun"/>
          <w:sz w:val="24"/>
          <w:szCs w:val="24"/>
        </w:rPr>
        <w:t>建设对物种的多样性影响轻微，项目扩建占地</w:t>
      </w:r>
      <w:r>
        <w:rPr>
          <w:rFonts w:ascii="SimSun" w:hAnsi="SimSun" w:eastAsia="SimSun" w:cs="SimSun"/>
          <w:sz w:val="24"/>
          <w:szCs w:val="24"/>
          <w:spacing w:val="-1"/>
        </w:rPr>
        <w:t>为一般区域，扩建净占地面积约</w:t>
      </w:r>
      <w:r>
        <w:rPr>
          <w:rFonts w:ascii="SimSun" w:hAnsi="SimSun" w:eastAsia="SimSun" w:cs="SimSun"/>
          <w:sz w:val="24"/>
          <w:szCs w:val="24"/>
        </w:rPr>
        <w:t xml:space="preserve">  </w:t>
      </w:r>
      <w:r>
        <w:rPr>
          <w:rFonts w:ascii="SimSun" w:hAnsi="SimSun" w:eastAsia="SimSun" w:cs="SimSun"/>
          <w:sz w:val="24"/>
          <w:szCs w:val="24"/>
        </w:rPr>
        <w:t>0.0067km²,</w:t>
      </w:r>
      <w:r>
        <w:rPr>
          <w:rFonts w:ascii="SimSun" w:hAnsi="SimSun" w:eastAsia="SimSun" w:cs="SimSun"/>
          <w:sz w:val="24"/>
          <w:szCs w:val="24"/>
          <w:spacing w:val="-12"/>
        </w:rPr>
        <w:t xml:space="preserve"> </w:t>
      </w:r>
      <w:r>
        <w:rPr>
          <w:rFonts w:ascii="SimSun" w:hAnsi="SimSun" w:eastAsia="SimSun" w:cs="SimSun"/>
          <w:sz w:val="24"/>
          <w:szCs w:val="24"/>
        </w:rPr>
        <w:t>属于不涉及生态敏感区的污染影响类建设项目。根据《环境影响评 </w:t>
      </w:r>
      <w:r>
        <w:rPr>
          <w:rFonts w:ascii="SimSun" w:hAnsi="SimSun" w:eastAsia="SimSun" w:cs="SimSun"/>
          <w:sz w:val="24"/>
          <w:szCs w:val="24"/>
          <w:spacing w:val="-1"/>
        </w:rPr>
        <w:t>价技术导则生态影响》</w:t>
      </w:r>
      <w:r>
        <w:rPr>
          <w:rFonts w:ascii="SimSun" w:hAnsi="SimSun" w:eastAsia="SimSun" w:cs="SimSun"/>
          <w:sz w:val="24"/>
          <w:szCs w:val="24"/>
          <w:spacing w:val="70"/>
        </w:rPr>
        <w:t xml:space="preserve"> </w:t>
      </w:r>
      <w:r>
        <w:rPr>
          <w:rFonts w:ascii="SimSun" w:hAnsi="SimSun" w:eastAsia="SimSun" w:cs="SimSun"/>
          <w:sz w:val="24"/>
          <w:szCs w:val="24"/>
          <w:spacing w:val="-1"/>
        </w:rPr>
        <w:t>(HJ19-2022),  本环评不确定生态环境影响评</w:t>
      </w:r>
      <w:r>
        <w:rPr>
          <w:rFonts w:ascii="SimSun" w:hAnsi="SimSun" w:eastAsia="SimSun" w:cs="SimSun"/>
          <w:sz w:val="24"/>
          <w:szCs w:val="24"/>
          <w:spacing w:val="-2"/>
        </w:rPr>
        <w:t>价等</w:t>
      </w:r>
    </w:p>
    <w:p>
      <w:pPr>
        <w:spacing w:line="218" w:lineRule="auto"/>
        <w:rPr>
          <w:rFonts w:ascii="SimSun" w:hAnsi="SimSun" w:eastAsia="SimSun" w:cs="SimSun"/>
          <w:sz w:val="24"/>
          <w:szCs w:val="24"/>
        </w:rPr>
      </w:pPr>
      <w:r>
        <w:rPr>
          <w:rFonts w:ascii="SimSun" w:hAnsi="SimSun" w:eastAsia="SimSun" w:cs="SimSun"/>
          <w:sz w:val="24"/>
          <w:szCs w:val="24"/>
          <w:spacing w:val="-2"/>
        </w:rPr>
        <w:t>级，直接进行生态影响简单分析。</w:t>
      </w:r>
    </w:p>
    <w:p>
      <w:pPr>
        <w:ind w:left="483"/>
        <w:spacing w:before="171" w:line="218" w:lineRule="auto"/>
        <w:rPr>
          <w:rFonts w:ascii="SimSun" w:hAnsi="SimSun" w:eastAsia="SimSun" w:cs="SimSun"/>
          <w:sz w:val="24"/>
          <w:szCs w:val="24"/>
        </w:rPr>
      </w:pPr>
      <w:r>
        <w:rPr>
          <w:rFonts w:ascii="SimSun" w:hAnsi="SimSun" w:eastAsia="SimSun" w:cs="SimSun"/>
          <w:sz w:val="24"/>
          <w:szCs w:val="24"/>
          <w:b/>
          <w:bCs/>
          <w:spacing w:val="-2"/>
        </w:rPr>
        <w:t>2、评价范围</w:t>
      </w:r>
    </w:p>
    <w:p>
      <w:pPr>
        <w:ind w:right="169" w:firstLine="480"/>
        <w:spacing w:before="203" w:line="371" w:lineRule="auto"/>
        <w:jc w:val="both"/>
        <w:rPr>
          <w:rFonts w:ascii="SimSun" w:hAnsi="SimSun" w:eastAsia="SimSun" w:cs="SimSun"/>
          <w:sz w:val="24"/>
          <w:szCs w:val="24"/>
        </w:rPr>
      </w:pPr>
      <w:r>
        <w:rPr>
          <w:rFonts w:ascii="SimSun" w:hAnsi="SimSun" w:eastAsia="SimSun" w:cs="SimSun"/>
          <w:sz w:val="24"/>
          <w:szCs w:val="24"/>
        </w:rPr>
        <w:t>根据《环境影响评价技术导则生态影响》</w:t>
      </w:r>
      <w:r>
        <w:rPr>
          <w:rFonts w:ascii="SimSun" w:hAnsi="SimSun" w:eastAsia="SimSun" w:cs="SimSun"/>
          <w:sz w:val="24"/>
          <w:szCs w:val="24"/>
          <w:spacing w:val="78"/>
        </w:rPr>
        <w:t xml:space="preserve"> </w:t>
      </w:r>
      <w:r>
        <w:rPr>
          <w:rFonts w:ascii="Times New Roman" w:hAnsi="Times New Roman" w:eastAsia="Times New Roman" w:cs="Times New Roman"/>
          <w:sz w:val="24"/>
          <w:szCs w:val="24"/>
        </w:rPr>
        <w:t>(HJ19-2022),      </w:t>
      </w:r>
      <w:r>
        <w:rPr>
          <w:rFonts w:ascii="SimSun" w:hAnsi="SimSun" w:eastAsia="SimSun" w:cs="SimSun"/>
          <w:sz w:val="24"/>
          <w:szCs w:val="24"/>
        </w:rPr>
        <w:t>本环评不确定 </w:t>
      </w:r>
      <w:r>
        <w:rPr>
          <w:rFonts w:ascii="SimSun" w:hAnsi="SimSun" w:eastAsia="SimSun" w:cs="SimSun"/>
          <w:sz w:val="24"/>
          <w:szCs w:val="24"/>
        </w:rPr>
        <w:t>生态环境影响评价等级，直接进行生态影响简单分析，简单分析未包含评价范</w:t>
      </w:r>
      <w:r>
        <w:rPr>
          <w:rFonts w:ascii="SimSun" w:hAnsi="SimSun" w:eastAsia="SimSun" w:cs="SimSun"/>
          <w:sz w:val="24"/>
          <w:szCs w:val="24"/>
          <w:spacing w:val="13"/>
        </w:rPr>
        <w:t xml:space="preserve"> </w:t>
      </w:r>
      <w:r>
        <w:rPr>
          <w:rFonts w:ascii="SimSun" w:hAnsi="SimSun" w:eastAsia="SimSun" w:cs="SimSun"/>
          <w:sz w:val="24"/>
          <w:szCs w:val="24"/>
          <w:spacing w:val="-16"/>
        </w:rPr>
        <w:t>围</w:t>
      </w:r>
      <w:r>
        <w:rPr>
          <w:rFonts w:ascii="SimSun" w:hAnsi="SimSun" w:eastAsia="SimSun" w:cs="SimSun"/>
          <w:sz w:val="24"/>
          <w:szCs w:val="24"/>
          <w:spacing w:val="-65"/>
        </w:rPr>
        <w:t xml:space="preserve"> </w:t>
      </w:r>
      <w:r>
        <w:rPr>
          <w:rFonts w:ascii="SimSun" w:hAnsi="SimSun" w:eastAsia="SimSun" w:cs="SimSun"/>
          <w:sz w:val="24"/>
          <w:szCs w:val="24"/>
          <w:spacing w:val="-16"/>
        </w:rPr>
        <w:t>。</w:t>
      </w:r>
    </w:p>
    <w:p>
      <w:pPr>
        <w:spacing w:before="17" w:line="222" w:lineRule="auto"/>
        <w:outlineLvl w:val="1"/>
        <w:rPr>
          <w:rFonts w:ascii="SimHei" w:hAnsi="SimHei" w:eastAsia="SimHei" w:cs="SimHei"/>
          <w:sz w:val="24"/>
          <w:szCs w:val="24"/>
        </w:rPr>
      </w:pPr>
      <w:bookmarkStart w:name="bookmark19" w:id="38"/>
      <w:bookmarkEnd w:id="38"/>
      <w:r>
        <w:rPr>
          <w:rFonts w:ascii="Times New Roman" w:hAnsi="Times New Roman" w:eastAsia="Times New Roman" w:cs="Times New Roman"/>
          <w:sz w:val="24"/>
          <w:szCs w:val="24"/>
          <w:spacing w:val="23"/>
        </w:rPr>
        <w:t>1</w:t>
      </w:r>
      <w:r>
        <w:rPr>
          <w:rFonts w:ascii="SimHei" w:hAnsi="SimHei" w:eastAsia="SimHei" w:cs="SimHei"/>
          <w:sz w:val="24"/>
          <w:szCs w:val="24"/>
          <w:b/>
          <w:bCs/>
          <w:spacing w:val="23"/>
        </w:rPr>
        <w:t>.</w:t>
      </w:r>
      <w:r>
        <w:rPr>
          <w:rFonts w:ascii="SimHei" w:hAnsi="SimHei" w:eastAsia="SimHei" w:cs="SimHei"/>
          <w:sz w:val="24"/>
          <w:szCs w:val="24"/>
          <w:spacing w:val="-53"/>
        </w:rPr>
        <w:t xml:space="preserve"> </w:t>
      </w:r>
      <w:r>
        <w:rPr>
          <w:rFonts w:ascii="SimHei" w:hAnsi="SimHei" w:eastAsia="SimHei" w:cs="SimHei"/>
          <w:sz w:val="24"/>
          <w:szCs w:val="24"/>
          <w:b/>
          <w:bCs/>
          <w:spacing w:val="23"/>
        </w:rPr>
        <w:t>10污染控制与保护环境的目标</w:t>
      </w:r>
    </w:p>
    <w:p>
      <w:pPr>
        <w:spacing w:before="251" w:line="222" w:lineRule="auto"/>
        <w:rPr>
          <w:rFonts w:ascii="SimHei" w:hAnsi="SimHei" w:eastAsia="SimHei" w:cs="SimHei"/>
          <w:sz w:val="24"/>
          <w:szCs w:val="24"/>
        </w:rPr>
      </w:pPr>
      <w:r>
        <w:rPr>
          <w:rFonts w:ascii="Times New Roman" w:hAnsi="Times New Roman" w:eastAsia="Times New Roman" w:cs="Times New Roman"/>
          <w:sz w:val="24"/>
          <w:szCs w:val="24"/>
          <w:spacing w:val="17"/>
        </w:rPr>
        <w:t>1.10.1</w:t>
      </w:r>
      <w:r>
        <w:rPr>
          <w:rFonts w:ascii="Times New Roman" w:hAnsi="Times New Roman" w:eastAsia="Times New Roman" w:cs="Times New Roman"/>
          <w:sz w:val="24"/>
          <w:szCs w:val="24"/>
          <w:spacing w:val="34"/>
        </w:rPr>
        <w:t xml:space="preserve"> </w:t>
      </w:r>
      <w:r>
        <w:rPr>
          <w:rFonts w:ascii="SimHei" w:hAnsi="SimHei" w:eastAsia="SimHei" w:cs="SimHei"/>
          <w:sz w:val="24"/>
          <w:szCs w:val="24"/>
          <w:b/>
          <w:bCs/>
          <w:spacing w:val="17"/>
        </w:rPr>
        <w:t>污染控制目标</w:t>
      </w:r>
    </w:p>
    <w:p>
      <w:pPr>
        <w:ind w:right="54" w:firstLine="590"/>
        <w:spacing w:before="225" w:line="277" w:lineRule="auto"/>
        <w:rPr>
          <w:rFonts w:ascii="SimSun" w:hAnsi="SimSun" w:eastAsia="SimSun" w:cs="SimSun"/>
          <w:sz w:val="24"/>
          <w:szCs w:val="24"/>
        </w:rPr>
      </w:pPr>
      <w:r>
        <w:rPr>
          <w:rFonts w:ascii="SimSun" w:hAnsi="SimSun" w:eastAsia="SimSun" w:cs="SimSun"/>
          <w:sz w:val="24"/>
          <w:szCs w:val="24"/>
          <w:spacing w:val="4"/>
        </w:rPr>
        <w:t>(1)大气保护目标：项目评价范围内的空气环境质量达到《环境空气质量</w:t>
      </w:r>
      <w:r>
        <w:rPr>
          <w:rFonts w:ascii="SimSun" w:hAnsi="SimSun" w:eastAsia="SimSun" w:cs="SimSun"/>
          <w:sz w:val="24"/>
          <w:szCs w:val="24"/>
          <w:spacing w:val="6"/>
        </w:rPr>
        <w:t xml:space="preserve"> </w:t>
      </w:r>
      <w:r>
        <w:rPr>
          <w:rFonts w:ascii="SimSun" w:hAnsi="SimSun" w:eastAsia="SimSun" w:cs="SimSun"/>
          <w:sz w:val="24"/>
          <w:szCs w:val="24"/>
        </w:rPr>
        <w:t>标准》 </w:t>
      </w:r>
      <w:r>
        <w:rPr>
          <w:rFonts w:ascii="Times New Roman" w:hAnsi="Times New Roman" w:eastAsia="Times New Roman" w:cs="Times New Roman"/>
          <w:sz w:val="24"/>
          <w:szCs w:val="24"/>
        </w:rPr>
        <w:t>(GB3095-2012)   </w:t>
      </w:r>
      <w:r>
        <w:rPr>
          <w:rFonts w:ascii="SimSun" w:hAnsi="SimSun" w:eastAsia="SimSun" w:cs="SimSun"/>
          <w:sz w:val="24"/>
          <w:szCs w:val="24"/>
        </w:rPr>
        <w:t>二级标准。</w:t>
      </w:r>
    </w:p>
    <w:p>
      <w:pPr>
        <w:ind w:right="37" w:firstLine="590"/>
        <w:spacing w:before="210" w:line="305" w:lineRule="auto"/>
        <w:rPr>
          <w:rFonts w:ascii="SimSun" w:hAnsi="SimSun" w:eastAsia="SimSun" w:cs="SimSun"/>
          <w:sz w:val="24"/>
          <w:szCs w:val="24"/>
        </w:rPr>
      </w:pPr>
      <w:r>
        <w:rPr>
          <w:rFonts w:ascii="SimSun" w:hAnsi="SimSun" w:eastAsia="SimSun" w:cs="SimSun"/>
          <w:sz w:val="24"/>
          <w:szCs w:val="24"/>
          <w:spacing w:val="5"/>
        </w:rPr>
        <w:t>(2)地表水保护目标：草溪河、安昌河、涪江为项</w:t>
      </w:r>
      <w:r>
        <w:rPr>
          <w:rFonts w:ascii="SimSun" w:hAnsi="SimSun" w:eastAsia="SimSun" w:cs="SimSun"/>
          <w:sz w:val="24"/>
          <w:szCs w:val="24"/>
          <w:spacing w:val="4"/>
        </w:rPr>
        <w:t>目临近地表水体，其中</w:t>
      </w:r>
      <w:r>
        <w:rPr>
          <w:rFonts w:ascii="SimSun" w:hAnsi="SimSun" w:eastAsia="SimSun" w:cs="SimSun"/>
          <w:sz w:val="24"/>
          <w:szCs w:val="24"/>
        </w:rPr>
        <w:t xml:space="preserve"> </w:t>
      </w:r>
      <w:r>
        <w:rPr>
          <w:rFonts w:ascii="SimSun" w:hAnsi="SimSun" w:eastAsia="SimSun" w:cs="SimSun"/>
          <w:sz w:val="24"/>
          <w:szCs w:val="24"/>
          <w:spacing w:val="4"/>
        </w:rPr>
        <w:t>涪江为最终受纳水体，其水质和水体功能不因本项目的建设而发生</w:t>
      </w:r>
      <w:r>
        <w:rPr>
          <w:rFonts w:ascii="SimSun" w:hAnsi="SimSun" w:eastAsia="SimSun" w:cs="SimSun"/>
          <w:sz w:val="24"/>
          <w:szCs w:val="24"/>
          <w:spacing w:val="3"/>
        </w:rPr>
        <w:t>变化，应使</w:t>
      </w:r>
      <w:r>
        <w:rPr>
          <w:rFonts w:ascii="SimSun" w:hAnsi="SimSun" w:eastAsia="SimSun" w:cs="SimSun"/>
          <w:sz w:val="24"/>
          <w:szCs w:val="24"/>
        </w:rPr>
        <w:t xml:space="preserve"> </w:t>
      </w:r>
      <w:r>
        <w:rPr>
          <w:rFonts w:ascii="SimSun" w:hAnsi="SimSun" w:eastAsia="SimSun" w:cs="SimSun"/>
          <w:sz w:val="24"/>
          <w:szCs w:val="24"/>
          <w:spacing w:val="-1"/>
        </w:rPr>
        <w:t>其符合《地表水环境质量标准》</w:t>
      </w:r>
      <w:r>
        <w:rPr>
          <w:rFonts w:ascii="SimSun" w:hAnsi="SimSun" w:eastAsia="SimSun" w:cs="SimSun"/>
          <w:sz w:val="24"/>
          <w:szCs w:val="24"/>
          <w:spacing w:val="-22"/>
        </w:rPr>
        <w:t xml:space="preserve"> </w:t>
      </w:r>
      <w:r>
        <w:rPr>
          <w:rFonts w:ascii="Times New Roman" w:hAnsi="Times New Roman" w:eastAsia="Times New Roman" w:cs="Times New Roman"/>
          <w:sz w:val="24"/>
          <w:szCs w:val="24"/>
          <w:spacing w:val="-1"/>
        </w:rPr>
        <w:t>(GB3838-2002)Ⅲ</w:t>
      </w:r>
      <w:r>
        <w:rPr>
          <w:rFonts w:ascii="Times New Roman" w:hAnsi="Times New Roman" w:eastAsia="Times New Roman" w:cs="Times New Roman"/>
          <w:sz w:val="24"/>
          <w:szCs w:val="24"/>
          <w:spacing w:val="18"/>
          <w:w w:val="101"/>
        </w:rPr>
        <w:t xml:space="preserve">   </w:t>
      </w:r>
      <w:r>
        <w:rPr>
          <w:rFonts w:ascii="SimSun" w:hAnsi="SimSun" w:eastAsia="SimSun" w:cs="SimSun"/>
          <w:sz w:val="24"/>
          <w:szCs w:val="24"/>
          <w:spacing w:val="-1"/>
        </w:rPr>
        <w:t>类水域标准的要求。</w:t>
      </w:r>
    </w:p>
    <w:p>
      <w:pPr>
        <w:ind w:right="50" w:firstLine="590"/>
        <w:spacing w:before="212" w:line="280" w:lineRule="auto"/>
        <w:rPr>
          <w:rFonts w:ascii="SimSun" w:hAnsi="SimSun" w:eastAsia="SimSun" w:cs="SimSun"/>
          <w:sz w:val="24"/>
          <w:szCs w:val="24"/>
        </w:rPr>
      </w:pPr>
      <w:r>
        <w:rPr>
          <w:rFonts w:ascii="SimSun" w:hAnsi="SimSun" w:eastAsia="SimSun" w:cs="SimSun"/>
          <w:sz w:val="24"/>
          <w:szCs w:val="24"/>
          <w:spacing w:val="8"/>
        </w:rPr>
        <w:t>(3)声学环境保护目标：项目周边200米范围内的</w:t>
      </w:r>
      <w:r>
        <w:rPr>
          <w:rFonts w:ascii="SimSun" w:hAnsi="SimSun" w:eastAsia="SimSun" w:cs="SimSun"/>
          <w:sz w:val="24"/>
          <w:szCs w:val="24"/>
          <w:spacing w:val="7"/>
        </w:rPr>
        <w:t>噪声敏感区，区域声学</w:t>
      </w:r>
      <w:r>
        <w:rPr>
          <w:rFonts w:ascii="SimSun" w:hAnsi="SimSun" w:eastAsia="SimSun" w:cs="SimSun"/>
          <w:sz w:val="24"/>
          <w:szCs w:val="24"/>
        </w:rPr>
        <w:t xml:space="preserve"> </w:t>
      </w:r>
      <w:r>
        <w:rPr>
          <w:rFonts w:ascii="SimSun" w:hAnsi="SimSun" w:eastAsia="SimSun" w:cs="SimSun"/>
          <w:sz w:val="24"/>
          <w:szCs w:val="24"/>
        </w:rPr>
        <w:t>环境质量应达到《声环境质量标准》 </w:t>
      </w:r>
      <w:r>
        <w:rPr>
          <w:rFonts w:ascii="Times New Roman" w:hAnsi="Times New Roman" w:eastAsia="Times New Roman" w:cs="Times New Roman"/>
          <w:sz w:val="24"/>
          <w:szCs w:val="24"/>
        </w:rPr>
        <w:t>(GB3096-2008)   </w:t>
      </w:r>
      <w:r>
        <w:rPr>
          <w:rFonts w:ascii="SimSun" w:hAnsi="SimSun" w:eastAsia="SimSun" w:cs="SimSun"/>
          <w:sz w:val="24"/>
          <w:szCs w:val="24"/>
        </w:rPr>
        <w:t>规定的3类标</w:t>
      </w:r>
      <w:r>
        <w:rPr>
          <w:rFonts w:ascii="SimSun" w:hAnsi="SimSun" w:eastAsia="SimSun" w:cs="SimSun"/>
          <w:sz w:val="24"/>
          <w:szCs w:val="24"/>
          <w:spacing w:val="-1"/>
        </w:rPr>
        <w:t>准要求。</w:t>
      </w:r>
    </w:p>
    <w:p>
      <w:pPr>
        <w:ind w:right="48" w:firstLine="590"/>
        <w:spacing w:before="201" w:line="304" w:lineRule="auto"/>
        <w:rPr>
          <w:rFonts w:ascii="SimSun" w:hAnsi="SimSun" w:eastAsia="SimSun" w:cs="SimSun"/>
          <w:sz w:val="24"/>
          <w:szCs w:val="24"/>
        </w:rPr>
      </w:pPr>
      <w:r>
        <w:rPr>
          <w:rFonts w:ascii="SimSun" w:hAnsi="SimSun" w:eastAsia="SimSun" w:cs="SimSun"/>
          <w:sz w:val="24"/>
          <w:szCs w:val="24"/>
          <w:spacing w:val="4"/>
        </w:rPr>
        <w:t>(4)地下水保护目标：保护项目所在区域地下水环境质量，确保不因本项</w:t>
      </w:r>
      <w:r>
        <w:rPr>
          <w:rFonts w:ascii="SimSun" w:hAnsi="SimSun" w:eastAsia="SimSun" w:cs="SimSun"/>
          <w:sz w:val="24"/>
          <w:szCs w:val="24"/>
          <w:spacing w:val="11"/>
        </w:rPr>
        <w:t xml:space="preserve"> </w:t>
      </w:r>
      <w:r>
        <w:rPr>
          <w:rFonts w:ascii="SimSun" w:hAnsi="SimSun" w:eastAsia="SimSun" w:cs="SimSun"/>
          <w:sz w:val="24"/>
          <w:szCs w:val="24"/>
          <w:spacing w:val="10"/>
        </w:rPr>
        <w:t>目建设导致地下水环境质量恶化，确保地下水环境质量达到《地下水质量标</w:t>
      </w:r>
      <w:r>
        <w:rPr>
          <w:rFonts w:ascii="SimSun" w:hAnsi="SimSun" w:eastAsia="SimSun" w:cs="SimSun"/>
          <w:sz w:val="24"/>
          <w:szCs w:val="24"/>
          <w:spacing w:val="18"/>
        </w:rPr>
        <w:t xml:space="preserve"> </w:t>
      </w:r>
      <w:r>
        <w:rPr>
          <w:rFonts w:ascii="SimSun" w:hAnsi="SimSun" w:eastAsia="SimSun" w:cs="SimSun"/>
          <w:sz w:val="24"/>
          <w:szCs w:val="24"/>
          <w:spacing w:val="-4"/>
        </w:rPr>
        <w:t>准》 (GB/T14848-2017)Ⅲ</w:t>
      </w:r>
      <w:r>
        <w:rPr>
          <w:rFonts w:ascii="SimSun" w:hAnsi="SimSun" w:eastAsia="SimSun" w:cs="SimSun"/>
          <w:sz w:val="24"/>
          <w:szCs w:val="24"/>
          <w:spacing w:val="100"/>
        </w:rPr>
        <w:t xml:space="preserve"> </w:t>
      </w:r>
      <w:r>
        <w:rPr>
          <w:rFonts w:ascii="SimSun" w:hAnsi="SimSun" w:eastAsia="SimSun" w:cs="SimSun"/>
          <w:sz w:val="24"/>
          <w:szCs w:val="24"/>
          <w:spacing w:val="-4"/>
        </w:rPr>
        <w:t>类标准。</w:t>
      </w:r>
    </w:p>
    <w:p>
      <w:pPr>
        <w:ind w:right="32" w:firstLine="590"/>
        <w:spacing w:before="205" w:line="309" w:lineRule="auto"/>
        <w:rPr>
          <w:rFonts w:ascii="SimSun" w:hAnsi="SimSun" w:eastAsia="SimSun" w:cs="SimSun"/>
          <w:sz w:val="24"/>
          <w:szCs w:val="24"/>
        </w:rPr>
      </w:pPr>
      <w:r>
        <w:rPr>
          <w:rFonts w:ascii="SimSun" w:hAnsi="SimSun" w:eastAsia="SimSun" w:cs="SimSun"/>
          <w:sz w:val="24"/>
          <w:szCs w:val="24"/>
          <w:spacing w:val="4"/>
        </w:rPr>
        <w:t>(5)土壤环境敏感目标：项目占地范围内土壤环境质量应达到《土壤环境</w:t>
      </w:r>
      <w:r>
        <w:rPr>
          <w:rFonts w:ascii="SimSun" w:hAnsi="SimSun" w:eastAsia="SimSun" w:cs="SimSun"/>
          <w:sz w:val="24"/>
          <w:szCs w:val="24"/>
          <w:spacing w:val="7"/>
        </w:rPr>
        <w:t xml:space="preserve"> </w:t>
      </w:r>
      <w:r>
        <w:rPr>
          <w:rFonts w:ascii="SimSun" w:hAnsi="SimSun" w:eastAsia="SimSun" w:cs="SimSun"/>
          <w:sz w:val="24"/>
          <w:szCs w:val="24"/>
          <w:spacing w:val="9"/>
        </w:rPr>
        <w:t>质量建设用地土壤污染风险管控标准(试行)》</w:t>
      </w:r>
      <w:r>
        <w:rPr>
          <w:rFonts w:ascii="SimSun" w:hAnsi="SimSun" w:eastAsia="SimSun" w:cs="SimSun"/>
          <w:sz w:val="24"/>
          <w:szCs w:val="24"/>
          <w:spacing w:val="80"/>
        </w:rPr>
        <w:t xml:space="preserve"> </w:t>
      </w:r>
      <w:r>
        <w:rPr>
          <w:rFonts w:ascii="Times New Roman" w:hAnsi="Times New Roman" w:eastAsia="Times New Roman" w:cs="Times New Roman"/>
          <w:sz w:val="24"/>
          <w:szCs w:val="24"/>
          <w:spacing w:val="9"/>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9"/>
        </w:rPr>
        <w:t>36600-2018)</w:t>
      </w:r>
      <w:r>
        <w:rPr>
          <w:rFonts w:ascii="Times New Roman" w:hAnsi="Times New Roman" w:eastAsia="Times New Roman" w:cs="Times New Roman"/>
          <w:sz w:val="24"/>
          <w:szCs w:val="24"/>
          <w:spacing w:val="19"/>
        </w:rPr>
        <w:t xml:space="preserve">   </w:t>
      </w:r>
      <w:r>
        <w:rPr>
          <w:rFonts w:ascii="SimSun" w:hAnsi="SimSun" w:eastAsia="SimSun" w:cs="SimSun"/>
          <w:sz w:val="24"/>
          <w:szCs w:val="24"/>
          <w:spacing w:val="9"/>
        </w:rPr>
        <w:t>中表1</w:t>
      </w:r>
      <w:r>
        <w:rPr>
          <w:rFonts w:ascii="SimSun" w:hAnsi="SimSun" w:eastAsia="SimSun" w:cs="SimSun"/>
          <w:sz w:val="24"/>
          <w:szCs w:val="24"/>
          <w:spacing w:val="8"/>
        </w:rPr>
        <w:t>建设</w:t>
      </w:r>
      <w:r>
        <w:rPr>
          <w:rFonts w:ascii="SimSun" w:hAnsi="SimSun" w:eastAsia="SimSun" w:cs="SimSun"/>
          <w:sz w:val="24"/>
          <w:szCs w:val="24"/>
        </w:rPr>
        <w:t xml:space="preserve"> </w:t>
      </w:r>
      <w:r>
        <w:rPr>
          <w:rFonts w:ascii="SimSun" w:hAnsi="SimSun" w:eastAsia="SimSun" w:cs="SimSun"/>
          <w:sz w:val="24"/>
          <w:szCs w:val="24"/>
          <w:spacing w:val="11"/>
        </w:rPr>
        <w:t>用地土壤风险管制值(第二类用地)。</w:t>
      </w:r>
    </w:p>
    <w:p>
      <w:pPr>
        <w:spacing w:line="309" w:lineRule="auto"/>
        <w:sectPr>
          <w:headerReference w:type="default" r:id="rId3"/>
          <w:footerReference w:type="default" r:id="rId163"/>
          <w:pgSz w:w="11910" w:h="16840"/>
          <w:pgMar w:top="1210" w:right="1786" w:bottom="991" w:left="1779" w:header="902" w:footer="732" w:gutter="0"/>
        </w:sectPr>
        <w:rPr>
          <w:rFonts w:ascii="SimSun" w:hAnsi="SimSun" w:eastAsia="SimSun" w:cs="SimSun"/>
          <w:sz w:val="24"/>
          <w:szCs w:val="24"/>
        </w:rPr>
      </w:pPr>
    </w:p>
    <w:p>
      <w:pPr>
        <w:ind w:left="104" w:right="92" w:firstLine="600"/>
        <w:spacing w:before="277" w:line="291" w:lineRule="auto"/>
        <w:rPr>
          <w:rFonts w:ascii="SimSun" w:hAnsi="SimSun" w:eastAsia="SimSun" w:cs="SimSun"/>
          <w:sz w:val="24"/>
          <w:szCs w:val="24"/>
        </w:rPr>
      </w:pPr>
      <w:r>
        <w:rPr>
          <w:rFonts w:ascii="SimSun" w:hAnsi="SimSun" w:eastAsia="SimSun" w:cs="SimSun"/>
          <w:sz w:val="24"/>
          <w:szCs w:val="24"/>
          <w:spacing w:val="4"/>
        </w:rPr>
        <w:t>(6)生态环境：生态环境保护以陆生生态为主，保护目标为附近植被，减</w:t>
      </w:r>
      <w:r>
        <w:rPr>
          <w:rFonts w:ascii="SimSun" w:hAnsi="SimSun" w:eastAsia="SimSun" w:cs="SimSun"/>
          <w:sz w:val="24"/>
          <w:szCs w:val="24"/>
          <w:spacing w:val="9"/>
        </w:rPr>
        <w:t xml:space="preserve"> </w:t>
      </w:r>
      <w:r>
        <w:rPr>
          <w:rFonts w:ascii="SimSun" w:hAnsi="SimSun" w:eastAsia="SimSun" w:cs="SimSun"/>
          <w:sz w:val="24"/>
          <w:szCs w:val="24"/>
          <w:spacing w:val="-1"/>
        </w:rPr>
        <w:t>少水土流失和景观破坏。</w:t>
      </w:r>
    </w:p>
    <w:p>
      <w:pPr>
        <w:ind w:left="104" w:right="85" w:firstLine="600"/>
        <w:spacing w:before="184" w:line="309" w:lineRule="auto"/>
        <w:rPr>
          <w:rFonts w:ascii="SimSun" w:hAnsi="SimSun" w:eastAsia="SimSun" w:cs="SimSun"/>
          <w:sz w:val="24"/>
          <w:szCs w:val="24"/>
        </w:rPr>
      </w:pPr>
      <w:r>
        <w:rPr>
          <w:rFonts w:ascii="SimSun" w:hAnsi="SimSun" w:eastAsia="SimSun" w:cs="SimSun"/>
          <w:sz w:val="24"/>
          <w:szCs w:val="24"/>
          <w:spacing w:val="4"/>
        </w:rPr>
        <w:t>(7)环境风险：完善设计、施工期和运营期的管理，制定有效的风险事故</w:t>
      </w:r>
      <w:r>
        <w:rPr>
          <w:rFonts w:ascii="SimSun" w:hAnsi="SimSun" w:eastAsia="SimSun" w:cs="SimSun"/>
          <w:sz w:val="24"/>
          <w:szCs w:val="24"/>
          <w:spacing w:val="7"/>
        </w:rPr>
        <w:t xml:space="preserve"> </w:t>
      </w:r>
      <w:r>
        <w:rPr>
          <w:rFonts w:ascii="SimSun" w:hAnsi="SimSun" w:eastAsia="SimSun" w:cs="SimSun"/>
          <w:sz w:val="24"/>
          <w:szCs w:val="24"/>
          <w:spacing w:val="4"/>
        </w:rPr>
        <w:t>防范措施并落实，把本项目运营期的环境风险事故降至最低程度。制定有效的</w:t>
      </w:r>
      <w:r>
        <w:rPr>
          <w:rFonts w:ascii="SimSun" w:hAnsi="SimSun" w:eastAsia="SimSun" w:cs="SimSun"/>
          <w:sz w:val="24"/>
          <w:szCs w:val="24"/>
          <w:spacing w:val="12"/>
        </w:rPr>
        <w:t xml:space="preserve"> </w:t>
      </w:r>
      <w:r>
        <w:rPr>
          <w:rFonts w:ascii="SimSun" w:hAnsi="SimSun" w:eastAsia="SimSun" w:cs="SimSun"/>
          <w:sz w:val="24"/>
          <w:szCs w:val="24"/>
          <w:spacing w:val="-1"/>
        </w:rPr>
        <w:t>风险事故应急预案，把可能发生风险事故造成的危害降到最低程度。</w:t>
      </w:r>
    </w:p>
    <w:p>
      <w:pPr>
        <w:ind w:left="104"/>
        <w:spacing w:before="240" w:line="222" w:lineRule="auto"/>
        <w:rPr>
          <w:rFonts w:ascii="SimHei" w:hAnsi="SimHei" w:eastAsia="SimHei" w:cs="SimHei"/>
          <w:sz w:val="24"/>
          <w:szCs w:val="24"/>
        </w:rPr>
      </w:pPr>
      <w:r>
        <w:rPr>
          <w:rFonts w:ascii="Times New Roman" w:hAnsi="Times New Roman" w:eastAsia="Times New Roman" w:cs="Times New Roman"/>
          <w:sz w:val="24"/>
          <w:szCs w:val="24"/>
          <w:spacing w:val="21"/>
        </w:rPr>
        <w:t>1.10. </w:t>
      </w:r>
      <w:r>
        <w:rPr>
          <w:rFonts w:ascii="SimHei" w:hAnsi="SimHei" w:eastAsia="SimHei" w:cs="SimHei"/>
          <w:sz w:val="24"/>
          <w:szCs w:val="24"/>
          <w:b/>
          <w:bCs/>
          <w:spacing w:val="21"/>
        </w:rPr>
        <w:t>2主要环境保护目标</w:t>
      </w:r>
    </w:p>
    <w:p>
      <w:pPr>
        <w:ind w:left="578"/>
        <w:spacing w:before="183" w:line="220" w:lineRule="auto"/>
        <w:rPr>
          <w:rFonts w:ascii="SimSun" w:hAnsi="SimSun" w:eastAsia="SimSun" w:cs="SimSun"/>
          <w:sz w:val="24"/>
          <w:szCs w:val="24"/>
        </w:rPr>
      </w:pPr>
      <w:bookmarkStart w:name="bookmark92" w:id="39"/>
      <w:bookmarkEnd w:id="39"/>
      <w:r>
        <w:rPr>
          <w:rFonts w:ascii="SimSun" w:hAnsi="SimSun" w:eastAsia="SimSun" w:cs="SimSun"/>
          <w:sz w:val="24"/>
          <w:szCs w:val="24"/>
          <w:b/>
          <w:bCs/>
          <w:spacing w:val="-1"/>
        </w:rPr>
        <w:t>1、施工期</w:t>
      </w:r>
    </w:p>
    <w:p>
      <w:pPr>
        <w:ind w:left="575"/>
        <w:spacing w:before="217" w:line="219" w:lineRule="auto"/>
        <w:rPr>
          <w:rFonts w:ascii="SimSun" w:hAnsi="SimSun" w:eastAsia="SimSun" w:cs="SimSun"/>
          <w:sz w:val="24"/>
          <w:szCs w:val="24"/>
        </w:rPr>
      </w:pPr>
      <w:r>
        <w:rPr>
          <w:rFonts w:ascii="SimSun" w:hAnsi="SimSun" w:eastAsia="SimSun" w:cs="SimSun"/>
          <w:sz w:val="24"/>
          <w:szCs w:val="24"/>
          <w:spacing w:val="-1"/>
        </w:rPr>
        <w:t>项目厂区厂界外200</w:t>
      </w:r>
      <w:r>
        <w:rPr>
          <w:rFonts w:ascii="Times New Roman" w:hAnsi="Times New Roman" w:eastAsia="Times New Roman" w:cs="Times New Roman"/>
          <w:sz w:val="24"/>
          <w:szCs w:val="24"/>
          <w:spacing w:val="-1"/>
        </w:rPr>
        <w:t>m</w:t>
      </w:r>
      <w:r>
        <w:rPr>
          <w:rFonts w:ascii="SimSun" w:hAnsi="SimSun" w:eastAsia="SimSun" w:cs="SimSun"/>
          <w:sz w:val="24"/>
          <w:szCs w:val="24"/>
          <w:spacing w:val="-1"/>
        </w:rPr>
        <w:t>范围内的保护目标。</w:t>
      </w:r>
    </w:p>
    <w:p>
      <w:pPr>
        <w:ind w:left="578"/>
        <w:spacing w:before="142" w:line="220" w:lineRule="auto"/>
        <w:rPr>
          <w:rFonts w:ascii="SimSun" w:hAnsi="SimSun" w:eastAsia="SimSun" w:cs="SimSun"/>
          <w:sz w:val="24"/>
          <w:szCs w:val="24"/>
        </w:rPr>
      </w:pPr>
      <w:r>
        <w:rPr>
          <w:rFonts w:ascii="SimSun" w:hAnsi="SimSun" w:eastAsia="SimSun" w:cs="SimSun"/>
          <w:sz w:val="24"/>
          <w:szCs w:val="24"/>
          <w:b/>
          <w:bCs/>
          <w:spacing w:val="-1"/>
        </w:rPr>
        <w:t>2、运营期</w:t>
      </w:r>
    </w:p>
    <w:p>
      <w:pPr>
        <w:ind w:left="104" w:right="88" w:firstLine="470"/>
        <w:spacing w:before="214" w:line="347" w:lineRule="auto"/>
        <w:jc w:val="both"/>
        <w:rPr>
          <w:rFonts w:ascii="SimSun" w:hAnsi="SimSun" w:eastAsia="SimSun" w:cs="SimSun"/>
          <w:sz w:val="24"/>
          <w:szCs w:val="24"/>
        </w:rPr>
      </w:pPr>
      <w:r>
        <w:rPr>
          <w:rFonts w:ascii="SimSun" w:hAnsi="SimSun" w:eastAsia="SimSun" w:cs="SimSun"/>
          <w:sz w:val="24"/>
          <w:szCs w:val="24"/>
          <w:spacing w:val="4"/>
        </w:rPr>
        <w:t>根据现场调查，评价区内无名胜古迹、自然保护区等敏感保护目标，结合</w:t>
      </w:r>
      <w:r>
        <w:rPr>
          <w:rFonts w:ascii="SimSun" w:hAnsi="SimSun" w:eastAsia="SimSun" w:cs="SimSun"/>
          <w:sz w:val="24"/>
          <w:szCs w:val="24"/>
          <w:spacing w:val="1"/>
        </w:rPr>
        <w:t xml:space="preserve"> </w:t>
      </w:r>
      <w:r>
        <w:rPr>
          <w:rFonts w:ascii="SimSun" w:hAnsi="SimSun" w:eastAsia="SimSun" w:cs="SimSun"/>
          <w:sz w:val="24"/>
          <w:szCs w:val="24"/>
          <w:spacing w:val="4"/>
        </w:rPr>
        <w:t>评价区环境特征和工程污染特征，确定本评价主要保护目标为该区域内的地下</w:t>
      </w:r>
      <w:r>
        <w:rPr>
          <w:rFonts w:ascii="SimSun" w:hAnsi="SimSun" w:eastAsia="SimSun" w:cs="SimSun"/>
          <w:sz w:val="24"/>
          <w:szCs w:val="24"/>
          <w:spacing w:val="9"/>
        </w:rPr>
        <w:t xml:space="preserve"> </w:t>
      </w:r>
      <w:r>
        <w:rPr>
          <w:rFonts w:ascii="SimSun" w:hAnsi="SimSun" w:eastAsia="SimSun" w:cs="SimSun"/>
          <w:sz w:val="24"/>
          <w:szCs w:val="24"/>
          <w:spacing w:val="4"/>
        </w:rPr>
        <w:t>水、地表水体与地表植被等，评价区内的保护对象见下表和下图。各保护目标</w:t>
      </w:r>
      <w:r>
        <w:rPr>
          <w:rFonts w:ascii="SimSun" w:hAnsi="SimSun" w:eastAsia="SimSun" w:cs="SimSun"/>
          <w:sz w:val="24"/>
          <w:szCs w:val="24"/>
          <w:spacing w:val="2"/>
        </w:rPr>
        <w:t xml:space="preserve"> </w:t>
      </w:r>
      <w:r>
        <w:rPr>
          <w:rFonts w:ascii="SimSun" w:hAnsi="SimSun" w:eastAsia="SimSun" w:cs="SimSun"/>
          <w:sz w:val="24"/>
          <w:szCs w:val="24"/>
          <w:spacing w:val="-2"/>
        </w:rPr>
        <w:t>的保护级别与评价标准相一致。</w:t>
      </w:r>
    </w:p>
    <w:p>
      <w:pPr>
        <w:ind w:left="2698"/>
        <w:spacing w:before="45" w:line="214" w:lineRule="auto"/>
        <w:rPr>
          <w:rFonts w:ascii="SimSun" w:hAnsi="SimSun" w:eastAsia="SimSun" w:cs="SimSun"/>
          <w:sz w:val="24"/>
          <w:szCs w:val="24"/>
        </w:rPr>
      </w:pPr>
      <w:r>
        <w:rPr>
          <w:rFonts w:ascii="SimSun" w:hAnsi="SimSun" w:eastAsia="SimSun" w:cs="SimSun"/>
          <w:sz w:val="24"/>
          <w:szCs w:val="24"/>
          <w:b/>
          <w:bCs/>
          <w:spacing w:val="-4"/>
        </w:rPr>
        <w:t>表1.10-1环境保护目标一览表</w:t>
      </w:r>
    </w:p>
    <w:tbl>
      <w:tblPr>
        <w:tblStyle w:val="TableNormal"/>
        <w:tblW w:w="848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924"/>
        <w:gridCol w:w="2597"/>
        <w:gridCol w:w="1029"/>
        <w:gridCol w:w="989"/>
        <w:gridCol w:w="539"/>
        <w:gridCol w:w="699"/>
        <w:gridCol w:w="679"/>
        <w:gridCol w:w="1033"/>
      </w:tblGrid>
      <w:tr>
        <w:trPr>
          <w:trHeight w:val="285" w:hRule="atLeast"/>
        </w:trPr>
        <w:tc>
          <w:tcPr>
            <w:shd w:val="clear" w:fill="A3A3A3"/>
            <w:tcW w:w="924" w:type="dxa"/>
            <w:vAlign w:val="top"/>
            <w:vMerge w:val="restart"/>
            <w:tcBorders>
              <w:bottom w:val="nil"/>
            </w:tcBorders>
          </w:tcPr>
          <w:p>
            <w:pPr>
              <w:spacing w:line="241" w:lineRule="auto"/>
              <w:rPr>
                <w:rFonts w:ascii="Arial"/>
                <w:sz w:val="21"/>
              </w:rPr>
            </w:pPr>
            <w:r/>
          </w:p>
          <w:p>
            <w:pPr>
              <w:pStyle w:val="TableText"/>
              <w:ind w:left="38"/>
              <w:spacing w:before="68" w:line="219" w:lineRule="auto"/>
              <w:rPr>
                <w:sz w:val="21"/>
                <w:szCs w:val="21"/>
              </w:rPr>
            </w:pPr>
            <w:r>
              <w:rPr>
                <w:sz w:val="21"/>
                <w:szCs w:val="21"/>
                <w:b/>
                <w:bCs/>
                <w:spacing w:val="-4"/>
              </w:rPr>
              <w:t>环境要素</w:t>
            </w:r>
          </w:p>
        </w:tc>
        <w:tc>
          <w:tcPr>
            <w:shd w:val="clear" w:fill="A3A3A3"/>
            <w:tcW w:w="2597" w:type="dxa"/>
            <w:vAlign w:val="top"/>
            <w:vMerge w:val="restart"/>
            <w:tcBorders>
              <w:bottom w:val="nil"/>
            </w:tcBorders>
          </w:tcPr>
          <w:p>
            <w:pPr>
              <w:spacing w:line="241" w:lineRule="auto"/>
              <w:rPr>
                <w:rFonts w:ascii="Arial"/>
                <w:sz w:val="21"/>
              </w:rPr>
            </w:pPr>
            <w:r/>
          </w:p>
          <w:p>
            <w:pPr>
              <w:pStyle w:val="TableText"/>
              <w:ind w:left="873"/>
              <w:spacing w:before="68" w:line="219" w:lineRule="auto"/>
              <w:rPr>
                <w:sz w:val="21"/>
                <w:szCs w:val="21"/>
              </w:rPr>
            </w:pPr>
            <w:r>
              <w:rPr>
                <w:sz w:val="21"/>
                <w:szCs w:val="21"/>
                <w:b/>
                <w:bCs/>
                <w:spacing w:val="-4"/>
              </w:rPr>
              <w:t>保护对象</w:t>
            </w:r>
          </w:p>
        </w:tc>
        <w:tc>
          <w:tcPr>
            <w:shd w:val="clear" w:fill="A3A3A3"/>
            <w:tcW w:w="2018" w:type="dxa"/>
            <w:vAlign w:val="top"/>
            <w:gridSpan w:val="2"/>
          </w:tcPr>
          <w:p>
            <w:pPr>
              <w:pStyle w:val="TableText"/>
              <w:ind w:left="587"/>
              <w:spacing w:before="41" w:line="205" w:lineRule="auto"/>
              <w:rPr>
                <w:sz w:val="21"/>
                <w:szCs w:val="21"/>
              </w:rPr>
            </w:pPr>
            <w:r>
              <w:rPr>
                <w:sz w:val="21"/>
                <w:szCs w:val="21"/>
                <w:b/>
                <w:bCs/>
                <w:spacing w:val="-2"/>
              </w:rPr>
              <w:t>中心坐标</w:t>
            </w:r>
          </w:p>
        </w:tc>
        <w:tc>
          <w:tcPr>
            <w:shd w:val="clear" w:fill="A3A3A3"/>
            <w:tcW w:w="2950" w:type="dxa"/>
            <w:vAlign w:val="top"/>
            <w:gridSpan w:val="4"/>
          </w:tcPr>
          <w:p>
            <w:pPr>
              <w:pStyle w:val="TableText"/>
              <w:ind w:left="1048"/>
              <w:spacing w:before="39" w:line="207" w:lineRule="auto"/>
              <w:rPr>
                <w:sz w:val="21"/>
                <w:szCs w:val="21"/>
              </w:rPr>
            </w:pPr>
            <w:r>
              <w:rPr>
                <w:sz w:val="21"/>
                <w:szCs w:val="21"/>
                <w:b/>
                <w:bCs/>
                <w:spacing w:val="-4"/>
              </w:rPr>
              <w:t>基本情况</w:t>
            </w:r>
          </w:p>
        </w:tc>
      </w:tr>
      <w:tr>
        <w:trPr>
          <w:trHeight w:val="539" w:hRule="atLeast"/>
        </w:trPr>
        <w:tc>
          <w:tcPr>
            <w:tcW w:w="924" w:type="dxa"/>
            <w:vAlign w:val="top"/>
            <w:vMerge w:val="continue"/>
            <w:tcBorders>
              <w:top w:val="nil"/>
            </w:tcBorders>
          </w:tcPr>
          <w:p>
            <w:pPr>
              <w:rPr>
                <w:rFonts w:ascii="Arial"/>
                <w:sz w:val="21"/>
              </w:rPr>
            </w:pPr>
            <w:r/>
          </w:p>
        </w:tc>
        <w:tc>
          <w:tcPr>
            <w:tcW w:w="2597" w:type="dxa"/>
            <w:vAlign w:val="top"/>
            <w:vMerge w:val="continue"/>
            <w:tcBorders>
              <w:top w:val="nil"/>
            </w:tcBorders>
          </w:tcPr>
          <w:p>
            <w:pPr>
              <w:rPr>
                <w:rFonts w:ascii="Arial"/>
                <w:sz w:val="21"/>
              </w:rPr>
            </w:pPr>
            <w:r/>
          </w:p>
        </w:tc>
        <w:tc>
          <w:tcPr>
            <w:shd w:val="clear" w:fill="A3A3A3"/>
            <w:tcW w:w="1029" w:type="dxa"/>
            <w:vAlign w:val="top"/>
          </w:tcPr>
          <w:p>
            <w:pPr>
              <w:pStyle w:val="TableText"/>
              <w:ind w:left="297"/>
              <w:spacing w:before="6" w:line="220" w:lineRule="auto"/>
              <w:rPr>
                <w:sz w:val="21"/>
                <w:szCs w:val="21"/>
              </w:rPr>
            </w:pPr>
            <w:r>
              <w:rPr>
                <w:sz w:val="21"/>
                <w:szCs w:val="21"/>
                <w:b/>
                <w:bCs/>
                <w:spacing w:val="-5"/>
              </w:rPr>
              <w:t>经度</w:t>
            </w:r>
          </w:p>
          <w:p>
            <w:pPr>
              <w:pStyle w:val="TableText"/>
              <w:ind w:left="294"/>
              <w:spacing w:before="44" w:line="200" w:lineRule="auto"/>
              <w:rPr>
                <w:sz w:val="21"/>
                <w:szCs w:val="21"/>
              </w:rPr>
            </w:pPr>
            <w:r>
              <w:rPr>
                <w:sz w:val="21"/>
                <w:szCs w:val="21"/>
                <w:spacing w:val="-12"/>
              </w:rPr>
              <w:t>(°)</w:t>
            </w:r>
          </w:p>
        </w:tc>
        <w:tc>
          <w:tcPr>
            <w:shd w:val="clear" w:fill="A3A3A3"/>
            <w:tcW w:w="989" w:type="dxa"/>
            <w:vAlign w:val="top"/>
          </w:tcPr>
          <w:p>
            <w:pPr>
              <w:pStyle w:val="TableText"/>
              <w:ind w:left="277"/>
              <w:spacing w:before="6" w:line="220" w:lineRule="auto"/>
              <w:rPr>
                <w:sz w:val="21"/>
                <w:szCs w:val="21"/>
              </w:rPr>
            </w:pPr>
            <w:r>
              <w:rPr>
                <w:sz w:val="21"/>
                <w:szCs w:val="21"/>
                <w:b/>
                <w:bCs/>
                <w:spacing w:val="-5"/>
              </w:rPr>
              <w:t>纬度</w:t>
            </w:r>
          </w:p>
          <w:p>
            <w:pPr>
              <w:pStyle w:val="TableText"/>
              <w:ind w:left="277"/>
              <w:spacing w:before="42" w:line="202" w:lineRule="auto"/>
              <w:rPr>
                <w:sz w:val="21"/>
                <w:szCs w:val="21"/>
              </w:rPr>
            </w:pPr>
            <w:r>
              <w:rPr>
                <w:sz w:val="21"/>
                <w:szCs w:val="21"/>
                <w:b/>
                <w:bCs/>
                <w:spacing w:val="-14"/>
              </w:rPr>
              <w:t>(°)</w:t>
            </w:r>
          </w:p>
        </w:tc>
        <w:tc>
          <w:tcPr>
            <w:shd w:val="clear" w:fill="A3A3A3"/>
            <w:tcW w:w="539" w:type="dxa"/>
            <w:vAlign w:val="top"/>
          </w:tcPr>
          <w:p>
            <w:pPr>
              <w:pStyle w:val="TableText"/>
              <w:ind w:left="58"/>
              <w:spacing w:before="166" w:line="221" w:lineRule="auto"/>
              <w:rPr>
                <w:sz w:val="21"/>
                <w:szCs w:val="21"/>
              </w:rPr>
            </w:pPr>
            <w:r>
              <w:rPr>
                <w:sz w:val="21"/>
                <w:szCs w:val="21"/>
                <w:b/>
                <w:bCs/>
                <w:spacing w:val="-5"/>
              </w:rPr>
              <w:t>方位</w:t>
            </w:r>
          </w:p>
        </w:tc>
        <w:tc>
          <w:tcPr>
            <w:shd w:val="clear" w:fill="A3A3A3"/>
            <w:tcW w:w="699" w:type="dxa"/>
            <w:vAlign w:val="top"/>
          </w:tcPr>
          <w:p>
            <w:pPr>
              <w:pStyle w:val="TableText"/>
              <w:ind w:left="29"/>
              <w:spacing w:before="5" w:line="219" w:lineRule="auto"/>
              <w:rPr>
                <w:sz w:val="21"/>
                <w:szCs w:val="21"/>
              </w:rPr>
            </w:pPr>
            <w:r>
              <w:rPr>
                <w:sz w:val="21"/>
                <w:szCs w:val="21"/>
                <w:b/>
                <w:bCs/>
                <w:spacing w:val="-5"/>
              </w:rPr>
              <w:t>最近距</w:t>
            </w:r>
          </w:p>
          <w:p>
            <w:pPr>
              <w:pStyle w:val="TableText"/>
              <w:ind w:left="140"/>
              <w:spacing w:before="40" w:line="205" w:lineRule="auto"/>
              <w:rPr>
                <w:sz w:val="21"/>
                <w:szCs w:val="21"/>
              </w:rPr>
            </w:pPr>
            <w:r>
              <w:rPr>
                <w:sz w:val="21"/>
                <w:szCs w:val="21"/>
                <w:b/>
                <w:bCs/>
                <w:spacing w:val="-6"/>
              </w:rPr>
              <w:t>离/m</w:t>
            </w:r>
          </w:p>
        </w:tc>
        <w:tc>
          <w:tcPr>
            <w:shd w:val="clear" w:fill="A3A3A3"/>
            <w:tcW w:w="679" w:type="dxa"/>
            <w:vAlign w:val="top"/>
          </w:tcPr>
          <w:p>
            <w:pPr>
              <w:pStyle w:val="TableText"/>
              <w:ind w:left="130"/>
              <w:spacing w:before="166" w:line="221" w:lineRule="auto"/>
              <w:rPr>
                <w:sz w:val="21"/>
                <w:szCs w:val="21"/>
              </w:rPr>
            </w:pPr>
            <w:r>
              <w:rPr>
                <w:sz w:val="21"/>
                <w:szCs w:val="21"/>
                <w:b/>
                <w:bCs/>
                <w:spacing w:val="-6"/>
              </w:rPr>
              <w:t>功能</w:t>
            </w:r>
          </w:p>
        </w:tc>
        <w:tc>
          <w:tcPr>
            <w:shd w:val="clear" w:fill="A3A3A3"/>
            <w:tcW w:w="1033" w:type="dxa"/>
            <w:vAlign w:val="top"/>
          </w:tcPr>
          <w:p>
            <w:pPr>
              <w:pStyle w:val="TableText"/>
              <w:ind w:left="91"/>
              <w:spacing w:before="166" w:line="220" w:lineRule="auto"/>
              <w:rPr>
                <w:sz w:val="21"/>
                <w:szCs w:val="21"/>
              </w:rPr>
            </w:pPr>
            <w:r>
              <w:rPr>
                <w:sz w:val="21"/>
                <w:szCs w:val="21"/>
                <w:b/>
                <w:bCs/>
                <w:spacing w:val="-4"/>
              </w:rPr>
              <w:t>保护要求</w:t>
            </w:r>
          </w:p>
        </w:tc>
      </w:tr>
      <w:tr>
        <w:trPr>
          <w:trHeight w:val="280" w:hRule="atLeast"/>
        </w:trPr>
        <w:tc>
          <w:tcPr>
            <w:tcW w:w="924" w:type="dxa"/>
            <w:vAlign w:val="top"/>
            <w:vMerge w:val="restart"/>
            <w:tcBorders>
              <w:bottom w:val="nil"/>
            </w:tcBorders>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spacing w:before="68" w:line="220" w:lineRule="auto"/>
              <w:jc w:val="right"/>
              <w:rPr>
                <w:sz w:val="21"/>
                <w:szCs w:val="21"/>
              </w:rPr>
            </w:pPr>
            <w:r>
              <w:rPr>
                <w:sz w:val="21"/>
                <w:szCs w:val="21"/>
                <w:spacing w:val="-10"/>
              </w:rPr>
              <w:t>环境空气[</w:t>
            </w:r>
          </w:p>
        </w:tc>
        <w:tc>
          <w:tcPr>
            <w:tcW w:w="2597" w:type="dxa"/>
            <w:vAlign w:val="top"/>
          </w:tcPr>
          <w:p>
            <w:pPr>
              <w:pStyle w:val="TableText"/>
              <w:ind w:left="660"/>
              <w:spacing w:before="39" w:line="203" w:lineRule="auto"/>
              <w:rPr>
                <w:sz w:val="21"/>
                <w:szCs w:val="21"/>
              </w:rPr>
            </w:pPr>
            <w:r>
              <w:rPr>
                <w:sz w:val="21"/>
                <w:szCs w:val="21"/>
                <w:spacing w:val="-13"/>
              </w:rPr>
              <w:t>忠宇</w:t>
            </w:r>
            <w:r>
              <w:rPr>
                <w:sz w:val="21"/>
                <w:szCs w:val="21"/>
                <w:spacing w:val="-19"/>
              </w:rPr>
              <w:t xml:space="preserve"> </w:t>
            </w:r>
            <w:r>
              <w:rPr>
                <w:sz w:val="21"/>
                <w:szCs w:val="21"/>
                <w:spacing w:val="-13"/>
              </w:rPr>
              <w:t>·龙腾苑</w:t>
            </w:r>
          </w:p>
        </w:tc>
        <w:tc>
          <w:tcPr>
            <w:tcW w:w="1029" w:type="dxa"/>
            <w:vAlign w:val="top"/>
          </w:tcPr>
          <w:p>
            <w:pPr>
              <w:pStyle w:val="TableText"/>
              <w:spacing w:before="60" w:line="184" w:lineRule="auto"/>
              <w:jc w:val="right"/>
              <w:rPr>
                <w:sz w:val="21"/>
                <w:szCs w:val="21"/>
              </w:rPr>
            </w:pPr>
            <w:r>
              <w:rPr>
                <w:sz w:val="21"/>
                <w:szCs w:val="21"/>
                <w:spacing w:val="-5"/>
              </w:rPr>
              <w:t>104.548001</w:t>
            </w:r>
          </w:p>
        </w:tc>
        <w:tc>
          <w:tcPr>
            <w:tcW w:w="989" w:type="dxa"/>
            <w:vAlign w:val="top"/>
          </w:tcPr>
          <w:p>
            <w:pPr>
              <w:pStyle w:val="TableText"/>
              <w:ind w:left="14"/>
              <w:spacing w:before="60" w:line="184" w:lineRule="auto"/>
              <w:rPr>
                <w:sz w:val="21"/>
                <w:szCs w:val="21"/>
              </w:rPr>
            </w:pPr>
            <w:r>
              <w:rPr>
                <w:sz w:val="21"/>
                <w:szCs w:val="21"/>
                <w:spacing w:val="-2"/>
              </w:rPr>
              <w:t>31.542187</w:t>
            </w:r>
          </w:p>
        </w:tc>
        <w:tc>
          <w:tcPr>
            <w:tcW w:w="539" w:type="dxa"/>
            <w:vAlign w:val="top"/>
          </w:tcPr>
          <w:p>
            <w:pPr>
              <w:pStyle w:val="TableText"/>
              <w:ind w:left="55"/>
              <w:spacing w:before="39" w:line="203" w:lineRule="auto"/>
              <w:rPr>
                <w:sz w:val="21"/>
                <w:szCs w:val="21"/>
              </w:rPr>
            </w:pPr>
            <w:r>
              <w:rPr>
                <w:sz w:val="21"/>
                <w:szCs w:val="21"/>
                <w:color w:val="606070"/>
                <w:spacing w:val="5"/>
              </w:rPr>
              <w:t>东北</w:t>
            </w:r>
          </w:p>
        </w:tc>
        <w:tc>
          <w:tcPr>
            <w:tcW w:w="699" w:type="dxa"/>
            <w:vAlign w:val="top"/>
          </w:tcPr>
          <w:p>
            <w:pPr>
              <w:pStyle w:val="TableText"/>
              <w:ind w:left="136"/>
              <w:spacing w:before="60" w:line="184" w:lineRule="auto"/>
              <w:rPr>
                <w:sz w:val="21"/>
                <w:szCs w:val="21"/>
              </w:rPr>
            </w:pPr>
            <w:r>
              <w:rPr>
                <w:sz w:val="21"/>
                <w:szCs w:val="21"/>
                <w:spacing w:val="-5"/>
              </w:rPr>
              <w:t>1114</w:t>
            </w:r>
          </w:p>
        </w:tc>
        <w:tc>
          <w:tcPr>
            <w:tcW w:w="679" w:type="dxa"/>
            <w:vAlign w:val="top"/>
          </w:tcPr>
          <w:p>
            <w:pPr>
              <w:pStyle w:val="TableText"/>
              <w:ind w:left="18"/>
              <w:spacing w:before="40" w:line="202" w:lineRule="auto"/>
              <w:rPr>
                <w:sz w:val="21"/>
                <w:szCs w:val="21"/>
              </w:rPr>
            </w:pPr>
            <w:r>
              <w:rPr>
                <w:sz w:val="21"/>
                <w:szCs w:val="21"/>
                <w:color w:val="505050"/>
                <w:spacing w:val="5"/>
              </w:rPr>
              <w:t>居民区</w:t>
            </w:r>
          </w:p>
        </w:tc>
        <w:tc>
          <w:tcPr>
            <w:tcW w:w="1033" w:type="dxa"/>
            <w:vAlign w:val="top"/>
          </w:tcPr>
          <w:p>
            <w:pPr>
              <w:pStyle w:val="TableText"/>
              <w:ind w:left="198"/>
              <w:spacing w:before="39" w:line="203" w:lineRule="auto"/>
              <w:rPr>
                <w:sz w:val="21"/>
                <w:szCs w:val="21"/>
              </w:rPr>
            </w:pPr>
            <w:r>
              <w:rPr>
                <w:sz w:val="21"/>
                <w:szCs w:val="21"/>
                <w:spacing w:val="6"/>
              </w:rPr>
              <w:t>二类区</w:t>
            </w:r>
          </w:p>
        </w:tc>
      </w:tr>
      <w:tr>
        <w:trPr>
          <w:trHeight w:val="259"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870"/>
              <w:spacing w:before="30" w:line="192" w:lineRule="auto"/>
              <w:rPr>
                <w:sz w:val="21"/>
                <w:szCs w:val="21"/>
              </w:rPr>
            </w:pPr>
            <w:r>
              <w:rPr>
                <w:sz w:val="21"/>
                <w:szCs w:val="21"/>
                <w:spacing w:val="4"/>
              </w:rPr>
              <w:t>西岩小区</w:t>
            </w:r>
          </w:p>
        </w:tc>
        <w:tc>
          <w:tcPr>
            <w:tcW w:w="1029" w:type="dxa"/>
            <w:vAlign w:val="top"/>
          </w:tcPr>
          <w:p>
            <w:pPr>
              <w:pStyle w:val="TableText"/>
              <w:spacing w:before="51" w:line="174" w:lineRule="auto"/>
              <w:jc w:val="right"/>
              <w:rPr>
                <w:sz w:val="21"/>
                <w:szCs w:val="21"/>
              </w:rPr>
            </w:pPr>
            <w:r>
              <w:rPr>
                <w:sz w:val="21"/>
                <w:szCs w:val="21"/>
                <w:spacing w:val="-5"/>
              </w:rPr>
              <w:t>104.544439</w:t>
            </w:r>
          </w:p>
        </w:tc>
        <w:tc>
          <w:tcPr>
            <w:tcW w:w="989" w:type="dxa"/>
            <w:vAlign w:val="top"/>
          </w:tcPr>
          <w:p>
            <w:pPr>
              <w:pStyle w:val="TableText"/>
              <w:ind w:left="14"/>
              <w:spacing w:before="51" w:line="174" w:lineRule="auto"/>
              <w:rPr>
                <w:sz w:val="21"/>
                <w:szCs w:val="21"/>
              </w:rPr>
            </w:pPr>
            <w:r>
              <w:rPr>
                <w:sz w:val="21"/>
                <w:szCs w:val="21"/>
                <w:spacing w:val="-2"/>
              </w:rPr>
              <w:t>31.536591</w:t>
            </w:r>
          </w:p>
        </w:tc>
        <w:tc>
          <w:tcPr>
            <w:tcW w:w="539" w:type="dxa"/>
            <w:vAlign w:val="top"/>
          </w:tcPr>
          <w:p>
            <w:pPr>
              <w:pStyle w:val="TableText"/>
              <w:ind w:left="55"/>
              <w:spacing w:before="29" w:line="193" w:lineRule="auto"/>
              <w:rPr>
                <w:sz w:val="21"/>
                <w:szCs w:val="21"/>
              </w:rPr>
            </w:pPr>
            <w:r>
              <w:rPr>
                <w:sz w:val="21"/>
                <w:szCs w:val="21"/>
                <w:spacing w:val="5"/>
              </w:rPr>
              <w:t>东南</w:t>
            </w:r>
          </w:p>
        </w:tc>
        <w:tc>
          <w:tcPr>
            <w:tcW w:w="699" w:type="dxa"/>
            <w:vAlign w:val="top"/>
          </w:tcPr>
          <w:p>
            <w:pPr>
              <w:pStyle w:val="TableText"/>
              <w:ind w:left="187"/>
              <w:spacing w:before="51" w:line="174" w:lineRule="auto"/>
              <w:rPr>
                <w:sz w:val="21"/>
                <w:szCs w:val="21"/>
              </w:rPr>
            </w:pPr>
            <w:r>
              <w:rPr>
                <w:sz w:val="21"/>
                <w:szCs w:val="21"/>
                <w:spacing w:val="-3"/>
              </w:rPr>
              <w:t>835</w:t>
            </w:r>
          </w:p>
        </w:tc>
        <w:tc>
          <w:tcPr>
            <w:tcW w:w="679" w:type="dxa"/>
            <w:vAlign w:val="top"/>
          </w:tcPr>
          <w:p>
            <w:pPr>
              <w:pStyle w:val="TableText"/>
              <w:ind w:left="18"/>
              <w:spacing w:before="30" w:line="192" w:lineRule="auto"/>
              <w:rPr>
                <w:sz w:val="21"/>
                <w:szCs w:val="21"/>
              </w:rPr>
            </w:pPr>
            <w:r>
              <w:rPr>
                <w:sz w:val="21"/>
                <w:szCs w:val="21"/>
                <w:color w:val="606060"/>
                <w:spacing w:val="5"/>
              </w:rPr>
              <w:t>居民区</w:t>
            </w:r>
          </w:p>
        </w:tc>
        <w:tc>
          <w:tcPr>
            <w:tcW w:w="1033" w:type="dxa"/>
            <w:vAlign w:val="top"/>
          </w:tcPr>
          <w:p>
            <w:pPr>
              <w:pStyle w:val="TableText"/>
              <w:ind w:left="198"/>
              <w:spacing w:before="29" w:line="193" w:lineRule="auto"/>
              <w:rPr>
                <w:sz w:val="21"/>
                <w:szCs w:val="21"/>
              </w:rPr>
            </w:pPr>
            <w:r>
              <w:rPr>
                <w:sz w:val="21"/>
                <w:szCs w:val="21"/>
                <w:spacing w:val="6"/>
              </w:rPr>
              <w:t>二类区</w:t>
            </w:r>
          </w:p>
        </w:tc>
      </w:tr>
      <w:tr>
        <w:trPr>
          <w:trHeight w:val="27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660"/>
              <w:spacing w:before="30" w:line="202" w:lineRule="auto"/>
              <w:rPr>
                <w:sz w:val="21"/>
                <w:szCs w:val="21"/>
              </w:rPr>
            </w:pPr>
            <w:r>
              <w:rPr>
                <w:sz w:val="21"/>
                <w:szCs w:val="21"/>
                <w:spacing w:val="-2"/>
              </w:rPr>
              <w:t>友良世纪阳光</w:t>
            </w:r>
          </w:p>
        </w:tc>
        <w:tc>
          <w:tcPr>
            <w:tcW w:w="1029" w:type="dxa"/>
            <w:vAlign w:val="top"/>
          </w:tcPr>
          <w:p>
            <w:pPr>
              <w:pStyle w:val="TableText"/>
              <w:spacing w:before="51" w:line="183" w:lineRule="auto"/>
              <w:jc w:val="right"/>
              <w:rPr>
                <w:sz w:val="21"/>
                <w:szCs w:val="21"/>
              </w:rPr>
            </w:pPr>
            <w:r>
              <w:rPr>
                <w:sz w:val="21"/>
                <w:szCs w:val="21"/>
                <w:spacing w:val="-5"/>
              </w:rPr>
              <w:t>104.546953</w:t>
            </w:r>
          </w:p>
        </w:tc>
        <w:tc>
          <w:tcPr>
            <w:tcW w:w="989" w:type="dxa"/>
            <w:vAlign w:val="top"/>
          </w:tcPr>
          <w:p>
            <w:pPr>
              <w:pStyle w:val="TableText"/>
              <w:ind w:left="14"/>
              <w:spacing w:before="51" w:line="183" w:lineRule="auto"/>
              <w:rPr>
                <w:sz w:val="21"/>
                <w:szCs w:val="21"/>
              </w:rPr>
            </w:pPr>
            <w:r>
              <w:rPr>
                <w:sz w:val="21"/>
                <w:szCs w:val="21"/>
                <w:spacing w:val="-2"/>
              </w:rPr>
              <w:t>31.542343</w:t>
            </w:r>
          </w:p>
        </w:tc>
        <w:tc>
          <w:tcPr>
            <w:tcW w:w="539" w:type="dxa"/>
            <w:vAlign w:val="top"/>
          </w:tcPr>
          <w:p>
            <w:pPr>
              <w:pStyle w:val="TableText"/>
              <w:ind w:left="55"/>
              <w:spacing w:before="30" w:line="202" w:lineRule="auto"/>
              <w:rPr>
                <w:sz w:val="21"/>
                <w:szCs w:val="21"/>
              </w:rPr>
            </w:pPr>
            <w:r>
              <w:rPr>
                <w:sz w:val="21"/>
                <w:szCs w:val="21"/>
                <w:color w:val="404050"/>
                <w:spacing w:val="5"/>
              </w:rPr>
              <w:t>东北</w:t>
            </w:r>
          </w:p>
        </w:tc>
        <w:tc>
          <w:tcPr>
            <w:tcW w:w="699" w:type="dxa"/>
            <w:vAlign w:val="top"/>
          </w:tcPr>
          <w:p>
            <w:pPr>
              <w:pStyle w:val="TableText"/>
              <w:ind w:left="136"/>
              <w:spacing w:before="51" w:line="183" w:lineRule="auto"/>
              <w:rPr>
                <w:sz w:val="21"/>
                <w:szCs w:val="21"/>
              </w:rPr>
            </w:pPr>
            <w:r>
              <w:rPr>
                <w:sz w:val="21"/>
                <w:szCs w:val="21"/>
                <w:spacing w:val="-5"/>
              </w:rPr>
              <w:t>1037</w:t>
            </w:r>
          </w:p>
        </w:tc>
        <w:tc>
          <w:tcPr>
            <w:tcW w:w="679" w:type="dxa"/>
            <w:vAlign w:val="top"/>
          </w:tcPr>
          <w:p>
            <w:pPr>
              <w:pStyle w:val="TableText"/>
              <w:ind w:left="18"/>
              <w:spacing w:before="31" w:line="201" w:lineRule="auto"/>
              <w:rPr>
                <w:sz w:val="21"/>
                <w:szCs w:val="21"/>
              </w:rPr>
            </w:pPr>
            <w:r>
              <w:rPr>
                <w:sz w:val="21"/>
                <w:szCs w:val="21"/>
                <w:color w:val="707060"/>
                <w:spacing w:val="5"/>
              </w:rPr>
              <w:t>居民区</w:t>
            </w:r>
          </w:p>
        </w:tc>
        <w:tc>
          <w:tcPr>
            <w:tcW w:w="1033" w:type="dxa"/>
            <w:vAlign w:val="top"/>
          </w:tcPr>
          <w:p>
            <w:pPr>
              <w:pStyle w:val="TableText"/>
              <w:ind w:left="198"/>
              <w:spacing w:before="30" w:line="202" w:lineRule="auto"/>
              <w:rPr>
                <w:sz w:val="21"/>
                <w:szCs w:val="21"/>
              </w:rPr>
            </w:pPr>
            <w:r>
              <w:rPr>
                <w:sz w:val="21"/>
                <w:szCs w:val="21"/>
                <w:color w:val="505050"/>
                <w:spacing w:val="6"/>
              </w:rPr>
              <w:t>二类区</w:t>
            </w:r>
          </w:p>
        </w:tc>
      </w:tr>
      <w:tr>
        <w:trPr>
          <w:trHeight w:val="279"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870"/>
              <w:spacing w:before="40" w:line="201" w:lineRule="auto"/>
              <w:rPr>
                <w:sz w:val="21"/>
                <w:szCs w:val="21"/>
              </w:rPr>
            </w:pPr>
            <w:r>
              <w:rPr>
                <w:sz w:val="21"/>
                <w:szCs w:val="21"/>
                <w:spacing w:val="-2"/>
              </w:rPr>
              <w:t>新盛名城</w:t>
            </w:r>
          </w:p>
        </w:tc>
        <w:tc>
          <w:tcPr>
            <w:tcW w:w="1029" w:type="dxa"/>
            <w:vAlign w:val="top"/>
          </w:tcPr>
          <w:p>
            <w:pPr>
              <w:pStyle w:val="TableText"/>
              <w:spacing w:before="61" w:line="182" w:lineRule="auto"/>
              <w:jc w:val="right"/>
              <w:rPr>
                <w:sz w:val="21"/>
                <w:szCs w:val="21"/>
              </w:rPr>
            </w:pPr>
            <w:r>
              <w:rPr>
                <w:sz w:val="21"/>
                <w:szCs w:val="21"/>
                <w:spacing w:val="-5"/>
              </w:rPr>
              <w:t>104.550544</w:t>
            </w:r>
          </w:p>
        </w:tc>
        <w:tc>
          <w:tcPr>
            <w:tcW w:w="989" w:type="dxa"/>
            <w:vAlign w:val="top"/>
          </w:tcPr>
          <w:p>
            <w:pPr>
              <w:pStyle w:val="TableText"/>
              <w:ind w:left="14"/>
              <w:spacing w:before="61" w:line="182" w:lineRule="auto"/>
              <w:rPr>
                <w:sz w:val="21"/>
                <w:szCs w:val="21"/>
              </w:rPr>
            </w:pPr>
            <w:r>
              <w:rPr>
                <w:sz w:val="21"/>
                <w:szCs w:val="21"/>
                <w:spacing w:val="-2"/>
              </w:rPr>
              <w:t>31.542452</w:t>
            </w:r>
          </w:p>
        </w:tc>
        <w:tc>
          <w:tcPr>
            <w:tcW w:w="539" w:type="dxa"/>
            <w:vAlign w:val="top"/>
          </w:tcPr>
          <w:p>
            <w:pPr>
              <w:pStyle w:val="TableText"/>
              <w:ind w:left="55"/>
              <w:spacing w:before="40" w:line="201" w:lineRule="auto"/>
              <w:rPr>
                <w:sz w:val="21"/>
                <w:szCs w:val="21"/>
              </w:rPr>
            </w:pPr>
            <w:r>
              <w:rPr>
                <w:sz w:val="21"/>
                <w:szCs w:val="21"/>
                <w:color w:val="404050"/>
                <w:spacing w:val="5"/>
              </w:rPr>
              <w:t>东北</w:t>
            </w:r>
          </w:p>
        </w:tc>
        <w:tc>
          <w:tcPr>
            <w:tcW w:w="699" w:type="dxa"/>
            <w:vAlign w:val="top"/>
          </w:tcPr>
          <w:p>
            <w:pPr>
              <w:pStyle w:val="TableText"/>
              <w:ind w:left="136"/>
              <w:spacing w:before="61" w:line="182" w:lineRule="auto"/>
              <w:rPr>
                <w:sz w:val="21"/>
                <w:szCs w:val="21"/>
              </w:rPr>
            </w:pPr>
            <w:r>
              <w:rPr>
                <w:sz w:val="21"/>
                <w:szCs w:val="21"/>
                <w:spacing w:val="-5"/>
              </w:rPr>
              <w:t>1375</w:t>
            </w:r>
          </w:p>
        </w:tc>
        <w:tc>
          <w:tcPr>
            <w:tcW w:w="679" w:type="dxa"/>
            <w:vAlign w:val="top"/>
          </w:tcPr>
          <w:p>
            <w:pPr>
              <w:pStyle w:val="TableText"/>
              <w:ind w:left="18"/>
              <w:spacing w:before="41" w:line="200" w:lineRule="auto"/>
              <w:rPr>
                <w:sz w:val="21"/>
                <w:szCs w:val="21"/>
              </w:rPr>
            </w:pPr>
            <w:r>
              <w:rPr>
                <w:sz w:val="21"/>
                <w:szCs w:val="21"/>
                <w:color w:val="607060"/>
                <w:spacing w:val="5"/>
              </w:rPr>
              <w:t>居民区</w:t>
            </w:r>
          </w:p>
        </w:tc>
        <w:tc>
          <w:tcPr>
            <w:tcW w:w="1033" w:type="dxa"/>
            <w:vAlign w:val="top"/>
          </w:tcPr>
          <w:p>
            <w:pPr>
              <w:pStyle w:val="TableText"/>
              <w:ind w:left="198"/>
              <w:spacing w:before="40" w:line="201" w:lineRule="auto"/>
              <w:rPr>
                <w:sz w:val="21"/>
                <w:szCs w:val="21"/>
              </w:rPr>
            </w:pPr>
            <w:r>
              <w:rPr>
                <w:sz w:val="21"/>
                <w:szCs w:val="21"/>
                <w:color w:val="404040"/>
                <w:spacing w:val="6"/>
              </w:rPr>
              <w:t>二类区</w:t>
            </w:r>
          </w:p>
        </w:tc>
      </w:tr>
      <w:tr>
        <w:trPr>
          <w:trHeight w:val="259"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870"/>
              <w:spacing w:before="31" w:line="191" w:lineRule="auto"/>
              <w:rPr>
                <w:sz w:val="21"/>
                <w:szCs w:val="21"/>
              </w:rPr>
            </w:pPr>
            <w:r>
              <w:rPr>
                <w:sz w:val="21"/>
                <w:szCs w:val="21"/>
                <w:spacing w:val="-2"/>
              </w:rPr>
              <w:t>格兰春天</w:t>
            </w:r>
          </w:p>
        </w:tc>
        <w:tc>
          <w:tcPr>
            <w:tcW w:w="1029" w:type="dxa"/>
            <w:vAlign w:val="top"/>
          </w:tcPr>
          <w:p>
            <w:pPr>
              <w:pStyle w:val="TableText"/>
              <w:spacing w:before="52" w:line="173" w:lineRule="auto"/>
              <w:jc w:val="right"/>
              <w:rPr>
                <w:sz w:val="21"/>
                <w:szCs w:val="21"/>
              </w:rPr>
            </w:pPr>
            <w:r>
              <w:rPr>
                <w:sz w:val="21"/>
                <w:szCs w:val="21"/>
                <w:spacing w:val="-5"/>
              </w:rPr>
              <w:t>104.551928</w:t>
            </w:r>
          </w:p>
        </w:tc>
        <w:tc>
          <w:tcPr>
            <w:tcW w:w="989" w:type="dxa"/>
            <w:vAlign w:val="top"/>
          </w:tcPr>
          <w:p>
            <w:pPr>
              <w:pStyle w:val="TableText"/>
              <w:ind w:left="14"/>
              <w:spacing w:before="52" w:line="173" w:lineRule="auto"/>
              <w:rPr>
                <w:sz w:val="21"/>
                <w:szCs w:val="21"/>
              </w:rPr>
            </w:pPr>
            <w:r>
              <w:rPr>
                <w:sz w:val="21"/>
                <w:szCs w:val="21"/>
                <w:spacing w:val="-2"/>
              </w:rPr>
              <w:t>31.541492</w:t>
            </w:r>
          </w:p>
        </w:tc>
        <w:tc>
          <w:tcPr>
            <w:tcW w:w="539" w:type="dxa"/>
            <w:vAlign w:val="top"/>
          </w:tcPr>
          <w:p>
            <w:pPr>
              <w:pStyle w:val="TableText"/>
              <w:ind w:left="55"/>
              <w:spacing w:before="31" w:line="191" w:lineRule="auto"/>
              <w:rPr>
                <w:sz w:val="21"/>
                <w:szCs w:val="21"/>
              </w:rPr>
            </w:pPr>
            <w:r>
              <w:rPr>
                <w:sz w:val="21"/>
                <w:szCs w:val="21"/>
                <w:color w:val="405060"/>
                <w:spacing w:val="5"/>
              </w:rPr>
              <w:t>东北</w:t>
            </w:r>
          </w:p>
        </w:tc>
        <w:tc>
          <w:tcPr>
            <w:tcW w:w="699" w:type="dxa"/>
            <w:vAlign w:val="top"/>
          </w:tcPr>
          <w:p>
            <w:pPr>
              <w:pStyle w:val="TableText"/>
              <w:ind w:left="136"/>
              <w:spacing w:before="52" w:line="173" w:lineRule="auto"/>
              <w:rPr>
                <w:sz w:val="21"/>
                <w:szCs w:val="21"/>
              </w:rPr>
            </w:pPr>
            <w:r>
              <w:rPr>
                <w:sz w:val="21"/>
                <w:szCs w:val="21"/>
                <w:spacing w:val="-5"/>
              </w:rPr>
              <w:t>1479</w:t>
            </w:r>
          </w:p>
        </w:tc>
        <w:tc>
          <w:tcPr>
            <w:tcW w:w="679" w:type="dxa"/>
            <w:vAlign w:val="top"/>
          </w:tcPr>
          <w:p>
            <w:pPr>
              <w:pStyle w:val="TableText"/>
              <w:ind w:left="18"/>
              <w:spacing w:before="32" w:line="190" w:lineRule="auto"/>
              <w:rPr>
                <w:sz w:val="21"/>
                <w:szCs w:val="21"/>
              </w:rPr>
            </w:pPr>
            <w:r>
              <w:rPr>
                <w:sz w:val="21"/>
                <w:szCs w:val="21"/>
                <w:color w:val="505060"/>
                <w:spacing w:val="5"/>
              </w:rPr>
              <w:t>居民区</w:t>
            </w:r>
          </w:p>
        </w:tc>
        <w:tc>
          <w:tcPr>
            <w:tcW w:w="1033" w:type="dxa"/>
            <w:vAlign w:val="top"/>
          </w:tcPr>
          <w:p>
            <w:pPr>
              <w:pStyle w:val="TableText"/>
              <w:ind w:left="198"/>
              <w:spacing w:before="31" w:line="191" w:lineRule="auto"/>
              <w:rPr>
                <w:sz w:val="21"/>
                <w:szCs w:val="21"/>
              </w:rPr>
            </w:pPr>
            <w:r>
              <w:rPr>
                <w:sz w:val="21"/>
                <w:szCs w:val="21"/>
                <w:spacing w:val="6"/>
              </w:rPr>
              <w:t>二类区</w:t>
            </w:r>
          </w:p>
        </w:tc>
      </w:tr>
      <w:tr>
        <w:trPr>
          <w:trHeight w:val="29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660"/>
              <w:spacing w:before="43" w:line="208" w:lineRule="auto"/>
              <w:rPr>
                <w:sz w:val="21"/>
                <w:szCs w:val="21"/>
              </w:rPr>
            </w:pPr>
            <w:r>
              <w:rPr>
                <w:sz w:val="21"/>
                <w:szCs w:val="21"/>
                <w:spacing w:val="-15"/>
              </w:rPr>
              <w:t>宏辰</w:t>
            </w:r>
            <w:r>
              <w:rPr>
                <w:sz w:val="21"/>
                <w:szCs w:val="21"/>
                <w:spacing w:val="-25"/>
              </w:rPr>
              <w:t xml:space="preserve"> </w:t>
            </w:r>
            <w:r>
              <w:rPr>
                <w:sz w:val="21"/>
                <w:szCs w:val="21"/>
                <w:spacing w:val="-15"/>
              </w:rPr>
              <w:t>·桥榭里</w:t>
            </w:r>
          </w:p>
        </w:tc>
        <w:tc>
          <w:tcPr>
            <w:tcW w:w="1029" w:type="dxa"/>
            <w:vAlign w:val="top"/>
          </w:tcPr>
          <w:p>
            <w:pPr>
              <w:pStyle w:val="TableText"/>
              <w:spacing w:before="63" w:line="190" w:lineRule="auto"/>
              <w:jc w:val="right"/>
              <w:rPr>
                <w:sz w:val="21"/>
                <w:szCs w:val="21"/>
              </w:rPr>
            </w:pPr>
            <w:r>
              <w:rPr>
                <w:sz w:val="21"/>
                <w:szCs w:val="21"/>
                <w:spacing w:val="-5"/>
              </w:rPr>
              <w:t>104.555168</w:t>
            </w:r>
          </w:p>
        </w:tc>
        <w:tc>
          <w:tcPr>
            <w:tcW w:w="989" w:type="dxa"/>
            <w:vAlign w:val="top"/>
          </w:tcPr>
          <w:p>
            <w:pPr>
              <w:pStyle w:val="TableText"/>
              <w:ind w:left="14"/>
              <w:spacing w:before="63" w:line="190" w:lineRule="auto"/>
              <w:rPr>
                <w:sz w:val="21"/>
                <w:szCs w:val="21"/>
              </w:rPr>
            </w:pPr>
            <w:r>
              <w:rPr>
                <w:sz w:val="21"/>
                <w:szCs w:val="21"/>
                <w:spacing w:val="-2"/>
              </w:rPr>
              <w:t>31.536737</w:t>
            </w:r>
          </w:p>
        </w:tc>
        <w:tc>
          <w:tcPr>
            <w:tcW w:w="539" w:type="dxa"/>
            <w:vAlign w:val="top"/>
          </w:tcPr>
          <w:p>
            <w:pPr>
              <w:pStyle w:val="TableText"/>
              <w:ind w:left="55"/>
              <w:spacing w:before="42" w:line="209" w:lineRule="auto"/>
              <w:rPr>
                <w:sz w:val="21"/>
                <w:szCs w:val="21"/>
              </w:rPr>
            </w:pPr>
            <w:r>
              <w:rPr>
                <w:sz w:val="21"/>
                <w:szCs w:val="21"/>
                <w:spacing w:val="5"/>
              </w:rPr>
              <w:t>东南</w:t>
            </w:r>
          </w:p>
        </w:tc>
        <w:tc>
          <w:tcPr>
            <w:tcW w:w="699" w:type="dxa"/>
            <w:vAlign w:val="top"/>
          </w:tcPr>
          <w:p>
            <w:pPr>
              <w:pStyle w:val="TableText"/>
              <w:ind w:left="136"/>
              <w:spacing w:before="63" w:line="190" w:lineRule="auto"/>
              <w:rPr>
                <w:sz w:val="21"/>
                <w:szCs w:val="21"/>
              </w:rPr>
            </w:pPr>
            <w:r>
              <w:rPr>
                <w:sz w:val="21"/>
                <w:szCs w:val="21"/>
                <w:spacing w:val="-5"/>
              </w:rPr>
              <w:t>1803</w:t>
            </w:r>
          </w:p>
        </w:tc>
        <w:tc>
          <w:tcPr>
            <w:tcW w:w="679" w:type="dxa"/>
            <w:vAlign w:val="top"/>
          </w:tcPr>
          <w:p>
            <w:pPr>
              <w:pStyle w:val="TableText"/>
              <w:ind w:left="18"/>
              <w:spacing w:before="43" w:line="208" w:lineRule="auto"/>
              <w:rPr>
                <w:sz w:val="21"/>
                <w:szCs w:val="21"/>
              </w:rPr>
            </w:pPr>
            <w:r>
              <w:rPr>
                <w:sz w:val="21"/>
                <w:szCs w:val="21"/>
                <w:color w:val="505050"/>
                <w:spacing w:val="5"/>
              </w:rPr>
              <w:t>居民区</w:t>
            </w:r>
          </w:p>
        </w:tc>
        <w:tc>
          <w:tcPr>
            <w:tcW w:w="1033" w:type="dxa"/>
            <w:vAlign w:val="top"/>
          </w:tcPr>
          <w:p>
            <w:pPr>
              <w:pStyle w:val="TableText"/>
              <w:ind w:left="198"/>
              <w:spacing w:before="42" w:line="209" w:lineRule="auto"/>
              <w:rPr>
                <w:sz w:val="21"/>
                <w:szCs w:val="21"/>
              </w:rPr>
            </w:pPr>
            <w:r>
              <w:rPr>
                <w:sz w:val="21"/>
                <w:szCs w:val="21"/>
                <w:spacing w:val="6"/>
              </w:rPr>
              <w:t>二类区</w:t>
            </w:r>
          </w:p>
        </w:tc>
      </w:tr>
      <w:tr>
        <w:trPr>
          <w:trHeight w:val="259"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870"/>
              <w:spacing w:before="31" w:line="191" w:lineRule="auto"/>
              <w:rPr>
                <w:sz w:val="21"/>
                <w:szCs w:val="21"/>
              </w:rPr>
            </w:pPr>
            <w:r>
              <w:rPr>
                <w:sz w:val="21"/>
                <w:szCs w:val="21"/>
                <w:spacing w:val="4"/>
              </w:rPr>
              <w:t>安州花园</w:t>
            </w:r>
          </w:p>
        </w:tc>
        <w:tc>
          <w:tcPr>
            <w:tcW w:w="1029" w:type="dxa"/>
            <w:vAlign w:val="top"/>
          </w:tcPr>
          <w:p>
            <w:pPr>
              <w:pStyle w:val="TableText"/>
              <w:spacing w:before="53" w:line="172" w:lineRule="auto"/>
              <w:jc w:val="right"/>
              <w:rPr>
                <w:sz w:val="21"/>
                <w:szCs w:val="21"/>
              </w:rPr>
            </w:pPr>
            <w:r>
              <w:rPr>
                <w:sz w:val="21"/>
                <w:szCs w:val="21"/>
                <w:spacing w:val="-5"/>
              </w:rPr>
              <w:t>104.552550</w:t>
            </w:r>
          </w:p>
        </w:tc>
        <w:tc>
          <w:tcPr>
            <w:tcW w:w="989" w:type="dxa"/>
            <w:vAlign w:val="top"/>
          </w:tcPr>
          <w:p>
            <w:pPr>
              <w:pStyle w:val="TableText"/>
              <w:ind w:left="14"/>
              <w:spacing w:before="53" w:line="172" w:lineRule="auto"/>
              <w:rPr>
                <w:sz w:val="21"/>
                <w:szCs w:val="21"/>
              </w:rPr>
            </w:pPr>
            <w:r>
              <w:rPr>
                <w:sz w:val="21"/>
                <w:szCs w:val="21"/>
                <w:spacing w:val="-2"/>
              </w:rPr>
              <w:t>31.540688</w:t>
            </w:r>
          </w:p>
        </w:tc>
        <w:tc>
          <w:tcPr>
            <w:tcW w:w="539" w:type="dxa"/>
            <w:vAlign w:val="top"/>
          </w:tcPr>
          <w:p>
            <w:pPr>
              <w:pStyle w:val="TableText"/>
              <w:ind w:left="55"/>
              <w:spacing w:before="32" w:line="190" w:lineRule="auto"/>
              <w:rPr>
                <w:sz w:val="21"/>
                <w:szCs w:val="21"/>
              </w:rPr>
            </w:pPr>
            <w:r>
              <w:rPr>
                <w:sz w:val="21"/>
                <w:szCs w:val="21"/>
                <w:color w:val="505060"/>
                <w:spacing w:val="5"/>
              </w:rPr>
              <w:t>东北</w:t>
            </w:r>
          </w:p>
        </w:tc>
        <w:tc>
          <w:tcPr>
            <w:tcW w:w="699" w:type="dxa"/>
            <w:vAlign w:val="top"/>
          </w:tcPr>
          <w:p>
            <w:pPr>
              <w:pStyle w:val="TableText"/>
              <w:ind w:left="136"/>
              <w:spacing w:before="53" w:line="172" w:lineRule="auto"/>
              <w:rPr>
                <w:sz w:val="21"/>
                <w:szCs w:val="21"/>
              </w:rPr>
            </w:pPr>
            <w:r>
              <w:rPr>
                <w:sz w:val="21"/>
                <w:szCs w:val="21"/>
                <w:spacing w:val="-5"/>
              </w:rPr>
              <w:t>1526</w:t>
            </w:r>
          </w:p>
        </w:tc>
        <w:tc>
          <w:tcPr>
            <w:tcW w:w="679" w:type="dxa"/>
            <w:vAlign w:val="top"/>
          </w:tcPr>
          <w:p>
            <w:pPr>
              <w:pStyle w:val="TableText"/>
              <w:ind w:left="18"/>
              <w:spacing w:before="32" w:line="190" w:lineRule="auto"/>
              <w:rPr>
                <w:sz w:val="21"/>
                <w:szCs w:val="21"/>
              </w:rPr>
            </w:pPr>
            <w:r>
              <w:rPr>
                <w:sz w:val="21"/>
                <w:szCs w:val="21"/>
                <w:color w:val="405050"/>
                <w:spacing w:val="5"/>
              </w:rPr>
              <w:t>居民区</w:t>
            </w:r>
          </w:p>
        </w:tc>
        <w:tc>
          <w:tcPr>
            <w:tcW w:w="1033" w:type="dxa"/>
            <w:vAlign w:val="top"/>
          </w:tcPr>
          <w:p>
            <w:pPr>
              <w:pStyle w:val="TableText"/>
              <w:ind w:left="198"/>
              <w:spacing w:before="32" w:line="190" w:lineRule="auto"/>
              <w:rPr>
                <w:sz w:val="21"/>
                <w:szCs w:val="21"/>
              </w:rPr>
            </w:pPr>
            <w:r>
              <w:rPr>
                <w:sz w:val="21"/>
                <w:szCs w:val="21"/>
                <w:spacing w:val="6"/>
              </w:rPr>
              <w:t>二类区</w:t>
            </w:r>
          </w:p>
        </w:tc>
      </w:tr>
      <w:tr>
        <w:trPr>
          <w:trHeight w:val="27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550"/>
              <w:spacing w:before="32" w:line="200" w:lineRule="auto"/>
              <w:rPr>
                <w:sz w:val="21"/>
                <w:szCs w:val="21"/>
              </w:rPr>
            </w:pPr>
            <w:r>
              <w:rPr>
                <w:sz w:val="21"/>
                <w:szCs w:val="21"/>
                <w:spacing w:val="1"/>
              </w:rPr>
              <w:t>安州长虹世纪城</w:t>
            </w:r>
          </w:p>
        </w:tc>
        <w:tc>
          <w:tcPr>
            <w:tcW w:w="1029" w:type="dxa"/>
            <w:vAlign w:val="top"/>
          </w:tcPr>
          <w:p>
            <w:pPr>
              <w:pStyle w:val="TableText"/>
              <w:spacing w:before="54" w:line="181" w:lineRule="auto"/>
              <w:jc w:val="right"/>
              <w:rPr>
                <w:sz w:val="21"/>
                <w:szCs w:val="21"/>
              </w:rPr>
            </w:pPr>
            <w:r>
              <w:rPr>
                <w:sz w:val="21"/>
                <w:szCs w:val="21"/>
                <w:spacing w:val="-5"/>
              </w:rPr>
              <w:t>104.557298</w:t>
            </w:r>
          </w:p>
        </w:tc>
        <w:tc>
          <w:tcPr>
            <w:tcW w:w="989" w:type="dxa"/>
            <w:vAlign w:val="top"/>
          </w:tcPr>
          <w:p>
            <w:pPr>
              <w:pStyle w:val="TableText"/>
              <w:ind w:left="14"/>
              <w:spacing w:before="54" w:line="181" w:lineRule="auto"/>
              <w:rPr>
                <w:sz w:val="21"/>
                <w:szCs w:val="21"/>
              </w:rPr>
            </w:pPr>
            <w:r>
              <w:rPr>
                <w:sz w:val="21"/>
                <w:szCs w:val="21"/>
                <w:spacing w:val="-2"/>
              </w:rPr>
              <w:t>31.536682</w:t>
            </w:r>
          </w:p>
        </w:tc>
        <w:tc>
          <w:tcPr>
            <w:tcW w:w="539" w:type="dxa"/>
            <w:vAlign w:val="top"/>
          </w:tcPr>
          <w:p>
            <w:pPr>
              <w:pStyle w:val="TableText"/>
              <w:ind w:left="55"/>
              <w:spacing w:before="33" w:line="199" w:lineRule="auto"/>
              <w:rPr>
                <w:sz w:val="21"/>
                <w:szCs w:val="21"/>
              </w:rPr>
            </w:pPr>
            <w:r>
              <w:rPr>
                <w:sz w:val="21"/>
                <w:szCs w:val="21"/>
                <w:color w:val="303040"/>
                <w:spacing w:val="5"/>
              </w:rPr>
              <w:t>东南</w:t>
            </w:r>
          </w:p>
        </w:tc>
        <w:tc>
          <w:tcPr>
            <w:tcW w:w="699" w:type="dxa"/>
            <w:vAlign w:val="top"/>
          </w:tcPr>
          <w:p>
            <w:pPr>
              <w:pStyle w:val="TableText"/>
              <w:ind w:left="136"/>
              <w:spacing w:before="54" w:line="181" w:lineRule="auto"/>
              <w:rPr>
                <w:sz w:val="21"/>
                <w:szCs w:val="21"/>
              </w:rPr>
            </w:pPr>
            <w:r>
              <w:rPr>
                <w:sz w:val="21"/>
                <w:szCs w:val="21"/>
                <w:spacing w:val="-5"/>
              </w:rPr>
              <w:t>1968</w:t>
            </w:r>
          </w:p>
        </w:tc>
        <w:tc>
          <w:tcPr>
            <w:tcW w:w="679" w:type="dxa"/>
            <w:vAlign w:val="top"/>
          </w:tcPr>
          <w:p>
            <w:pPr>
              <w:pStyle w:val="TableText"/>
              <w:ind w:left="18"/>
              <w:spacing w:before="34" w:line="198" w:lineRule="auto"/>
              <w:rPr>
                <w:sz w:val="21"/>
                <w:szCs w:val="21"/>
              </w:rPr>
            </w:pPr>
            <w:r>
              <w:rPr>
                <w:sz w:val="21"/>
                <w:szCs w:val="21"/>
                <w:color w:val="607060"/>
                <w:spacing w:val="5"/>
              </w:rPr>
              <w:t>居民区</w:t>
            </w:r>
          </w:p>
        </w:tc>
        <w:tc>
          <w:tcPr>
            <w:tcW w:w="1033" w:type="dxa"/>
            <w:vAlign w:val="top"/>
          </w:tcPr>
          <w:p>
            <w:pPr>
              <w:pStyle w:val="TableText"/>
              <w:ind w:left="198"/>
              <w:spacing w:before="33" w:line="199" w:lineRule="auto"/>
              <w:rPr>
                <w:sz w:val="21"/>
                <w:szCs w:val="21"/>
              </w:rPr>
            </w:pPr>
            <w:r>
              <w:rPr>
                <w:sz w:val="21"/>
                <w:szCs w:val="21"/>
                <w:color w:val="504050"/>
                <w:spacing w:val="6"/>
              </w:rPr>
              <w:t>二类区</w:t>
            </w:r>
          </w:p>
        </w:tc>
      </w:tr>
      <w:tr>
        <w:trPr>
          <w:trHeight w:val="28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761"/>
              <w:spacing w:before="43" w:line="199" w:lineRule="auto"/>
              <w:rPr>
                <w:sz w:val="21"/>
                <w:szCs w:val="21"/>
              </w:rPr>
            </w:pPr>
            <w:r>
              <w:rPr>
                <w:sz w:val="21"/>
                <w:szCs w:val="21"/>
                <w:spacing w:val="-18"/>
              </w:rPr>
              <w:t>恒跃</w:t>
            </w:r>
            <w:r>
              <w:rPr>
                <w:sz w:val="21"/>
                <w:szCs w:val="21"/>
                <w:spacing w:val="-22"/>
              </w:rPr>
              <w:t xml:space="preserve"> </w:t>
            </w:r>
            <w:r>
              <w:rPr>
                <w:sz w:val="21"/>
                <w:szCs w:val="21"/>
                <w:spacing w:val="-18"/>
              </w:rPr>
              <w:t>·紫宸</w:t>
            </w:r>
          </w:p>
        </w:tc>
        <w:tc>
          <w:tcPr>
            <w:tcW w:w="1029" w:type="dxa"/>
            <w:vAlign w:val="top"/>
          </w:tcPr>
          <w:p>
            <w:pPr>
              <w:pStyle w:val="TableText"/>
              <w:spacing w:before="64" w:line="181" w:lineRule="auto"/>
              <w:jc w:val="right"/>
              <w:rPr>
                <w:sz w:val="21"/>
                <w:szCs w:val="21"/>
              </w:rPr>
            </w:pPr>
            <w:r>
              <w:rPr>
                <w:sz w:val="21"/>
                <w:szCs w:val="21"/>
                <w:spacing w:val="-5"/>
              </w:rPr>
              <w:t>104.554396</w:t>
            </w:r>
          </w:p>
        </w:tc>
        <w:tc>
          <w:tcPr>
            <w:tcW w:w="989" w:type="dxa"/>
            <w:vAlign w:val="top"/>
          </w:tcPr>
          <w:p>
            <w:pPr>
              <w:pStyle w:val="TableText"/>
              <w:ind w:left="14"/>
              <w:spacing w:before="64" w:line="181" w:lineRule="auto"/>
              <w:rPr>
                <w:sz w:val="21"/>
                <w:szCs w:val="21"/>
              </w:rPr>
            </w:pPr>
            <w:r>
              <w:rPr>
                <w:sz w:val="21"/>
                <w:szCs w:val="21"/>
                <w:spacing w:val="-2"/>
              </w:rPr>
              <w:t>31.539590</w:t>
            </w:r>
          </w:p>
        </w:tc>
        <w:tc>
          <w:tcPr>
            <w:tcW w:w="539" w:type="dxa"/>
            <w:vAlign w:val="top"/>
          </w:tcPr>
          <w:p>
            <w:pPr>
              <w:pStyle w:val="TableText"/>
              <w:ind w:left="55"/>
              <w:spacing w:before="43" w:line="199" w:lineRule="auto"/>
              <w:rPr>
                <w:sz w:val="21"/>
                <w:szCs w:val="21"/>
              </w:rPr>
            </w:pPr>
            <w:r>
              <w:rPr>
                <w:sz w:val="21"/>
                <w:szCs w:val="21"/>
                <w:color w:val="605060"/>
                <w:spacing w:val="5"/>
              </w:rPr>
              <w:t>东南</w:t>
            </w:r>
          </w:p>
        </w:tc>
        <w:tc>
          <w:tcPr>
            <w:tcW w:w="699" w:type="dxa"/>
            <w:vAlign w:val="top"/>
          </w:tcPr>
          <w:p>
            <w:pPr>
              <w:pStyle w:val="TableText"/>
              <w:ind w:left="136"/>
              <w:spacing w:before="64" w:line="181" w:lineRule="auto"/>
              <w:rPr>
                <w:sz w:val="21"/>
                <w:szCs w:val="21"/>
              </w:rPr>
            </w:pPr>
            <w:r>
              <w:rPr>
                <w:sz w:val="21"/>
                <w:szCs w:val="21"/>
                <w:spacing w:val="-5"/>
              </w:rPr>
              <w:t>1678</w:t>
            </w:r>
          </w:p>
        </w:tc>
        <w:tc>
          <w:tcPr>
            <w:tcW w:w="679" w:type="dxa"/>
            <w:vAlign w:val="top"/>
          </w:tcPr>
          <w:p>
            <w:pPr>
              <w:pStyle w:val="TableText"/>
              <w:ind w:left="18"/>
              <w:spacing w:before="44" w:line="198" w:lineRule="auto"/>
              <w:rPr>
                <w:sz w:val="21"/>
                <w:szCs w:val="21"/>
              </w:rPr>
            </w:pPr>
            <w:r>
              <w:rPr>
                <w:sz w:val="21"/>
                <w:szCs w:val="21"/>
                <w:color w:val="505050"/>
                <w:spacing w:val="5"/>
              </w:rPr>
              <w:t>居民区</w:t>
            </w:r>
          </w:p>
        </w:tc>
        <w:tc>
          <w:tcPr>
            <w:tcW w:w="1033" w:type="dxa"/>
            <w:vAlign w:val="top"/>
          </w:tcPr>
          <w:p>
            <w:pPr>
              <w:pStyle w:val="TableText"/>
              <w:ind w:left="198"/>
              <w:spacing w:before="43" w:line="199" w:lineRule="auto"/>
              <w:rPr>
                <w:sz w:val="21"/>
                <w:szCs w:val="21"/>
              </w:rPr>
            </w:pPr>
            <w:r>
              <w:rPr>
                <w:sz w:val="21"/>
                <w:szCs w:val="21"/>
                <w:spacing w:val="6"/>
              </w:rPr>
              <w:t>二类区</w:t>
            </w:r>
          </w:p>
        </w:tc>
      </w:tr>
      <w:tr>
        <w:trPr>
          <w:trHeight w:val="259"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870"/>
              <w:spacing w:before="32" w:line="190" w:lineRule="auto"/>
              <w:rPr>
                <w:sz w:val="21"/>
                <w:szCs w:val="21"/>
              </w:rPr>
            </w:pPr>
            <w:r>
              <w:rPr>
                <w:sz w:val="21"/>
                <w:szCs w:val="21"/>
                <w:spacing w:val="2"/>
              </w:rPr>
              <w:t>发豪桂苑</w:t>
            </w:r>
          </w:p>
        </w:tc>
        <w:tc>
          <w:tcPr>
            <w:tcW w:w="1029" w:type="dxa"/>
            <w:vAlign w:val="top"/>
          </w:tcPr>
          <w:p>
            <w:pPr>
              <w:pStyle w:val="TableText"/>
              <w:spacing w:before="54" w:line="171" w:lineRule="auto"/>
              <w:jc w:val="right"/>
              <w:rPr>
                <w:sz w:val="21"/>
                <w:szCs w:val="21"/>
              </w:rPr>
            </w:pPr>
            <w:r>
              <w:rPr>
                <w:sz w:val="21"/>
                <w:szCs w:val="21"/>
                <w:spacing w:val="-5"/>
              </w:rPr>
              <w:t>104.553280</w:t>
            </w:r>
          </w:p>
        </w:tc>
        <w:tc>
          <w:tcPr>
            <w:tcW w:w="989" w:type="dxa"/>
            <w:vAlign w:val="top"/>
          </w:tcPr>
          <w:p>
            <w:pPr>
              <w:pStyle w:val="TableText"/>
              <w:ind w:left="14"/>
              <w:spacing w:before="54" w:line="171" w:lineRule="auto"/>
              <w:rPr>
                <w:sz w:val="21"/>
                <w:szCs w:val="21"/>
              </w:rPr>
            </w:pPr>
            <w:r>
              <w:rPr>
                <w:sz w:val="21"/>
                <w:szCs w:val="21"/>
                <w:spacing w:val="-2"/>
              </w:rPr>
              <w:t>31.539956</w:t>
            </w:r>
          </w:p>
        </w:tc>
        <w:tc>
          <w:tcPr>
            <w:tcW w:w="539" w:type="dxa"/>
            <w:vAlign w:val="top"/>
          </w:tcPr>
          <w:p>
            <w:pPr>
              <w:pStyle w:val="TableText"/>
              <w:ind w:left="156"/>
              <w:spacing w:before="34" w:line="189" w:lineRule="auto"/>
              <w:rPr>
                <w:sz w:val="21"/>
                <w:szCs w:val="21"/>
              </w:rPr>
            </w:pPr>
            <w:r>
              <w:rPr>
                <w:sz w:val="21"/>
                <w:szCs w:val="21"/>
              </w:rPr>
              <w:t>东</w:t>
            </w:r>
          </w:p>
        </w:tc>
        <w:tc>
          <w:tcPr>
            <w:tcW w:w="699" w:type="dxa"/>
            <w:vAlign w:val="top"/>
          </w:tcPr>
          <w:p>
            <w:pPr>
              <w:pStyle w:val="TableText"/>
              <w:ind w:left="136"/>
              <w:spacing w:before="54" w:line="171" w:lineRule="auto"/>
              <w:rPr>
                <w:sz w:val="21"/>
                <w:szCs w:val="21"/>
              </w:rPr>
            </w:pPr>
            <w:r>
              <w:rPr>
                <w:sz w:val="21"/>
                <w:szCs w:val="21"/>
                <w:spacing w:val="-5"/>
              </w:rPr>
              <w:t>1580</w:t>
            </w:r>
          </w:p>
        </w:tc>
        <w:tc>
          <w:tcPr>
            <w:tcW w:w="679" w:type="dxa"/>
            <w:vAlign w:val="top"/>
          </w:tcPr>
          <w:p>
            <w:pPr>
              <w:pStyle w:val="TableText"/>
              <w:ind w:left="18"/>
              <w:spacing w:before="34" w:line="189" w:lineRule="auto"/>
              <w:rPr>
                <w:sz w:val="21"/>
                <w:szCs w:val="21"/>
              </w:rPr>
            </w:pPr>
            <w:r>
              <w:rPr>
                <w:sz w:val="21"/>
                <w:szCs w:val="21"/>
                <w:color w:val="606060"/>
                <w:spacing w:val="5"/>
              </w:rPr>
              <w:t>居民区</w:t>
            </w:r>
          </w:p>
        </w:tc>
        <w:tc>
          <w:tcPr>
            <w:tcW w:w="1033" w:type="dxa"/>
            <w:vAlign w:val="top"/>
          </w:tcPr>
          <w:p>
            <w:pPr>
              <w:pStyle w:val="TableText"/>
              <w:ind w:left="198"/>
              <w:spacing w:before="34" w:line="189" w:lineRule="auto"/>
              <w:rPr>
                <w:sz w:val="21"/>
                <w:szCs w:val="21"/>
              </w:rPr>
            </w:pPr>
            <w:r>
              <w:rPr>
                <w:sz w:val="21"/>
                <w:szCs w:val="21"/>
                <w:spacing w:val="6"/>
              </w:rPr>
              <w:t>二类区</w:t>
            </w:r>
          </w:p>
        </w:tc>
      </w:tr>
      <w:tr>
        <w:trPr>
          <w:trHeight w:val="29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870"/>
              <w:spacing w:before="44" w:line="207" w:lineRule="auto"/>
              <w:rPr>
                <w:sz w:val="21"/>
                <w:szCs w:val="21"/>
              </w:rPr>
            </w:pPr>
            <w:r>
              <w:rPr>
                <w:sz w:val="21"/>
                <w:szCs w:val="21"/>
                <w:spacing w:val="-2"/>
              </w:rPr>
              <w:t>丽景云天</w:t>
            </w:r>
          </w:p>
        </w:tc>
        <w:tc>
          <w:tcPr>
            <w:tcW w:w="1029" w:type="dxa"/>
            <w:vAlign w:val="top"/>
          </w:tcPr>
          <w:p>
            <w:pPr>
              <w:pStyle w:val="TableText"/>
              <w:spacing w:before="66" w:line="188" w:lineRule="auto"/>
              <w:jc w:val="right"/>
              <w:rPr>
                <w:sz w:val="21"/>
                <w:szCs w:val="21"/>
              </w:rPr>
            </w:pPr>
            <w:r>
              <w:rPr>
                <w:sz w:val="21"/>
                <w:szCs w:val="21"/>
                <w:spacing w:val="-5"/>
              </w:rPr>
              <w:t>104.554610</w:t>
            </w:r>
          </w:p>
        </w:tc>
        <w:tc>
          <w:tcPr>
            <w:tcW w:w="989" w:type="dxa"/>
            <w:vAlign w:val="top"/>
          </w:tcPr>
          <w:p>
            <w:pPr>
              <w:pStyle w:val="TableText"/>
              <w:ind w:left="14"/>
              <w:spacing w:before="66" w:line="188" w:lineRule="auto"/>
              <w:rPr>
                <w:sz w:val="21"/>
                <w:szCs w:val="21"/>
              </w:rPr>
            </w:pPr>
            <w:r>
              <w:rPr>
                <w:sz w:val="21"/>
                <w:szCs w:val="21"/>
                <w:spacing w:val="-2"/>
              </w:rPr>
              <w:t>31.541273</w:t>
            </w:r>
          </w:p>
        </w:tc>
        <w:tc>
          <w:tcPr>
            <w:tcW w:w="539" w:type="dxa"/>
            <w:vAlign w:val="top"/>
          </w:tcPr>
          <w:p>
            <w:pPr>
              <w:pStyle w:val="TableText"/>
              <w:ind w:left="156"/>
              <w:spacing w:before="44" w:line="207" w:lineRule="auto"/>
              <w:rPr>
                <w:sz w:val="21"/>
                <w:szCs w:val="21"/>
              </w:rPr>
            </w:pPr>
            <w:r>
              <w:rPr>
                <w:sz w:val="21"/>
                <w:szCs w:val="21"/>
              </w:rPr>
              <w:t>东</w:t>
            </w:r>
          </w:p>
        </w:tc>
        <w:tc>
          <w:tcPr>
            <w:tcW w:w="699" w:type="dxa"/>
            <w:vAlign w:val="top"/>
          </w:tcPr>
          <w:p>
            <w:pPr>
              <w:pStyle w:val="TableText"/>
              <w:ind w:left="136"/>
              <w:spacing w:before="66" w:line="188" w:lineRule="auto"/>
              <w:rPr>
                <w:sz w:val="21"/>
                <w:szCs w:val="21"/>
              </w:rPr>
            </w:pPr>
            <w:r>
              <w:rPr>
                <w:sz w:val="21"/>
                <w:szCs w:val="21"/>
                <w:spacing w:val="-5"/>
              </w:rPr>
              <w:t>1700</w:t>
            </w:r>
          </w:p>
        </w:tc>
        <w:tc>
          <w:tcPr>
            <w:tcW w:w="679" w:type="dxa"/>
            <w:vAlign w:val="top"/>
          </w:tcPr>
          <w:p>
            <w:pPr>
              <w:pStyle w:val="TableText"/>
              <w:ind w:left="18"/>
              <w:spacing w:before="45" w:line="206" w:lineRule="auto"/>
              <w:rPr>
                <w:sz w:val="21"/>
                <w:szCs w:val="21"/>
              </w:rPr>
            </w:pPr>
            <w:r>
              <w:rPr>
                <w:sz w:val="21"/>
                <w:szCs w:val="21"/>
                <w:color w:val="405050"/>
                <w:spacing w:val="5"/>
              </w:rPr>
              <w:t>居民区</w:t>
            </w:r>
          </w:p>
        </w:tc>
        <w:tc>
          <w:tcPr>
            <w:tcW w:w="1033" w:type="dxa"/>
            <w:vAlign w:val="top"/>
          </w:tcPr>
          <w:p>
            <w:pPr>
              <w:pStyle w:val="TableText"/>
              <w:ind w:left="198"/>
              <w:spacing w:before="44" w:line="207" w:lineRule="auto"/>
              <w:rPr>
                <w:sz w:val="21"/>
                <w:szCs w:val="21"/>
              </w:rPr>
            </w:pPr>
            <w:r>
              <w:rPr>
                <w:sz w:val="21"/>
                <w:szCs w:val="21"/>
                <w:spacing w:val="6"/>
              </w:rPr>
              <w:t>二类区</w:t>
            </w:r>
          </w:p>
        </w:tc>
      </w:tr>
      <w:tr>
        <w:trPr>
          <w:trHeight w:val="259"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761"/>
              <w:spacing w:before="34" w:line="189" w:lineRule="auto"/>
              <w:rPr>
                <w:sz w:val="21"/>
                <w:szCs w:val="21"/>
              </w:rPr>
            </w:pPr>
            <w:r>
              <w:rPr>
                <w:sz w:val="21"/>
                <w:szCs w:val="21"/>
                <w:spacing w:val="-15"/>
              </w:rPr>
              <w:t>海珂</w:t>
            </w:r>
            <w:r>
              <w:rPr>
                <w:sz w:val="21"/>
                <w:szCs w:val="21"/>
                <w:spacing w:val="-19"/>
              </w:rPr>
              <w:t xml:space="preserve"> </w:t>
            </w:r>
            <w:r>
              <w:rPr>
                <w:sz w:val="21"/>
                <w:szCs w:val="21"/>
                <w:spacing w:val="-15"/>
              </w:rPr>
              <w:t>·花郡</w:t>
            </w:r>
          </w:p>
        </w:tc>
        <w:tc>
          <w:tcPr>
            <w:tcW w:w="1029" w:type="dxa"/>
            <w:vAlign w:val="top"/>
          </w:tcPr>
          <w:p>
            <w:pPr>
              <w:pStyle w:val="TableText"/>
              <w:spacing w:before="55" w:line="170" w:lineRule="auto"/>
              <w:jc w:val="right"/>
              <w:rPr>
                <w:sz w:val="21"/>
                <w:szCs w:val="21"/>
              </w:rPr>
            </w:pPr>
            <w:r>
              <w:rPr>
                <w:sz w:val="21"/>
                <w:szCs w:val="21"/>
                <w:spacing w:val="-5"/>
              </w:rPr>
              <w:t>104.556241</w:t>
            </w:r>
          </w:p>
        </w:tc>
        <w:tc>
          <w:tcPr>
            <w:tcW w:w="989" w:type="dxa"/>
            <w:vAlign w:val="top"/>
          </w:tcPr>
          <w:p>
            <w:pPr>
              <w:pStyle w:val="TableText"/>
              <w:ind w:left="14"/>
              <w:spacing w:before="55" w:line="170" w:lineRule="auto"/>
              <w:rPr>
                <w:sz w:val="21"/>
                <w:szCs w:val="21"/>
              </w:rPr>
            </w:pPr>
            <w:r>
              <w:rPr>
                <w:sz w:val="21"/>
                <w:szCs w:val="21"/>
                <w:spacing w:val="-2"/>
              </w:rPr>
              <w:t>31.548588</w:t>
            </w:r>
          </w:p>
        </w:tc>
        <w:tc>
          <w:tcPr>
            <w:tcW w:w="539" w:type="dxa"/>
            <w:vAlign w:val="top"/>
          </w:tcPr>
          <w:p>
            <w:pPr>
              <w:pStyle w:val="TableText"/>
              <w:ind w:left="55"/>
              <w:spacing w:before="34" w:line="189" w:lineRule="auto"/>
              <w:rPr>
                <w:sz w:val="21"/>
                <w:szCs w:val="21"/>
              </w:rPr>
            </w:pPr>
            <w:r>
              <w:rPr>
                <w:sz w:val="21"/>
                <w:szCs w:val="21"/>
                <w:color w:val="404060"/>
                <w:spacing w:val="5"/>
              </w:rPr>
              <w:t>东北</w:t>
            </w:r>
          </w:p>
        </w:tc>
        <w:tc>
          <w:tcPr>
            <w:tcW w:w="699" w:type="dxa"/>
            <w:vAlign w:val="top"/>
          </w:tcPr>
          <w:p>
            <w:pPr>
              <w:pStyle w:val="TableText"/>
              <w:ind w:left="136"/>
              <w:spacing w:before="55" w:line="170" w:lineRule="auto"/>
              <w:rPr>
                <w:sz w:val="21"/>
                <w:szCs w:val="21"/>
              </w:rPr>
            </w:pPr>
            <w:r>
              <w:rPr>
                <w:sz w:val="21"/>
                <w:szCs w:val="21"/>
                <w:spacing w:val="-3"/>
              </w:rPr>
              <w:t>2104</w:t>
            </w:r>
          </w:p>
        </w:tc>
        <w:tc>
          <w:tcPr>
            <w:tcW w:w="679" w:type="dxa"/>
            <w:vAlign w:val="top"/>
          </w:tcPr>
          <w:p>
            <w:pPr>
              <w:pStyle w:val="TableText"/>
              <w:ind w:left="18"/>
              <w:spacing w:before="35" w:line="188" w:lineRule="auto"/>
              <w:rPr>
                <w:sz w:val="21"/>
                <w:szCs w:val="21"/>
              </w:rPr>
            </w:pPr>
            <w:r>
              <w:rPr>
                <w:sz w:val="21"/>
                <w:szCs w:val="21"/>
                <w:color w:val="607060"/>
                <w:spacing w:val="5"/>
              </w:rPr>
              <w:t>居民区</w:t>
            </w:r>
          </w:p>
        </w:tc>
        <w:tc>
          <w:tcPr>
            <w:tcW w:w="1033" w:type="dxa"/>
            <w:vAlign w:val="top"/>
          </w:tcPr>
          <w:p>
            <w:pPr>
              <w:pStyle w:val="TableText"/>
              <w:ind w:left="198"/>
              <w:spacing w:before="34" w:line="189" w:lineRule="auto"/>
              <w:rPr>
                <w:sz w:val="21"/>
                <w:szCs w:val="21"/>
              </w:rPr>
            </w:pPr>
            <w:r>
              <w:rPr>
                <w:sz w:val="21"/>
                <w:szCs w:val="21"/>
                <w:spacing w:val="6"/>
              </w:rPr>
              <w:t>二类区</w:t>
            </w:r>
          </w:p>
        </w:tc>
      </w:tr>
      <w:tr>
        <w:trPr>
          <w:trHeight w:val="28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971"/>
              <w:spacing w:before="44" w:line="198" w:lineRule="auto"/>
              <w:rPr>
                <w:sz w:val="21"/>
                <w:szCs w:val="21"/>
              </w:rPr>
            </w:pPr>
            <w:r>
              <w:rPr>
                <w:sz w:val="21"/>
                <w:szCs w:val="21"/>
                <w:color w:val="707060"/>
                <w:spacing w:val="3"/>
              </w:rPr>
              <w:t>前进村</w:t>
            </w:r>
          </w:p>
        </w:tc>
        <w:tc>
          <w:tcPr>
            <w:tcW w:w="1029" w:type="dxa"/>
            <w:vAlign w:val="top"/>
          </w:tcPr>
          <w:p>
            <w:pPr>
              <w:pStyle w:val="TableText"/>
              <w:spacing w:before="66" w:line="179" w:lineRule="auto"/>
              <w:jc w:val="right"/>
              <w:rPr>
                <w:sz w:val="21"/>
                <w:szCs w:val="21"/>
              </w:rPr>
            </w:pPr>
            <w:r>
              <w:rPr>
                <w:sz w:val="21"/>
                <w:szCs w:val="21"/>
                <w:color w:val="404040"/>
                <w:spacing w:val="-5"/>
              </w:rPr>
              <w:t>104.541843</w:t>
            </w:r>
          </w:p>
        </w:tc>
        <w:tc>
          <w:tcPr>
            <w:tcW w:w="989" w:type="dxa"/>
            <w:vAlign w:val="top"/>
          </w:tcPr>
          <w:p>
            <w:pPr>
              <w:pStyle w:val="TableText"/>
              <w:ind w:left="14"/>
              <w:spacing w:before="66" w:line="179" w:lineRule="auto"/>
              <w:rPr>
                <w:sz w:val="21"/>
                <w:szCs w:val="21"/>
              </w:rPr>
            </w:pPr>
            <w:r>
              <w:rPr>
                <w:sz w:val="21"/>
                <w:szCs w:val="21"/>
                <w:color w:val="404040"/>
                <w:spacing w:val="-2"/>
              </w:rPr>
              <w:t>31.541821</w:t>
            </w:r>
          </w:p>
        </w:tc>
        <w:tc>
          <w:tcPr>
            <w:tcW w:w="539" w:type="dxa"/>
            <w:vAlign w:val="top"/>
          </w:tcPr>
          <w:p>
            <w:pPr>
              <w:pStyle w:val="TableText"/>
              <w:ind w:left="55"/>
              <w:spacing w:before="45" w:line="197" w:lineRule="auto"/>
              <w:rPr>
                <w:sz w:val="21"/>
                <w:szCs w:val="21"/>
              </w:rPr>
            </w:pPr>
            <w:r>
              <w:rPr>
                <w:sz w:val="21"/>
                <w:szCs w:val="21"/>
                <w:color w:val="404050"/>
                <w:spacing w:val="5"/>
              </w:rPr>
              <w:t>东北</w:t>
            </w:r>
          </w:p>
        </w:tc>
        <w:tc>
          <w:tcPr>
            <w:tcW w:w="699" w:type="dxa"/>
            <w:vAlign w:val="top"/>
          </w:tcPr>
          <w:p>
            <w:pPr>
              <w:pStyle w:val="TableText"/>
              <w:ind w:left="187"/>
              <w:spacing w:before="66" w:line="179" w:lineRule="auto"/>
              <w:rPr>
                <w:sz w:val="21"/>
                <w:szCs w:val="21"/>
              </w:rPr>
            </w:pPr>
            <w:r>
              <w:rPr>
                <w:sz w:val="21"/>
                <w:szCs w:val="21"/>
                <w:spacing w:val="-3"/>
              </w:rPr>
              <w:t>556</w:t>
            </w:r>
          </w:p>
        </w:tc>
        <w:tc>
          <w:tcPr>
            <w:tcW w:w="679" w:type="dxa"/>
            <w:vAlign w:val="top"/>
          </w:tcPr>
          <w:p>
            <w:pPr>
              <w:pStyle w:val="TableText"/>
              <w:ind w:left="18"/>
              <w:spacing w:before="45" w:line="197" w:lineRule="auto"/>
              <w:rPr>
                <w:sz w:val="21"/>
                <w:szCs w:val="21"/>
              </w:rPr>
            </w:pPr>
            <w:r>
              <w:rPr>
                <w:sz w:val="21"/>
                <w:szCs w:val="21"/>
                <w:color w:val="706060"/>
                <w:spacing w:val="5"/>
              </w:rPr>
              <w:t>居民区</w:t>
            </w:r>
          </w:p>
        </w:tc>
        <w:tc>
          <w:tcPr>
            <w:tcW w:w="1033" w:type="dxa"/>
            <w:vAlign w:val="top"/>
          </w:tcPr>
          <w:p>
            <w:pPr>
              <w:pStyle w:val="TableText"/>
              <w:ind w:left="198"/>
              <w:spacing w:before="45" w:line="197" w:lineRule="auto"/>
              <w:rPr>
                <w:sz w:val="21"/>
                <w:szCs w:val="21"/>
              </w:rPr>
            </w:pPr>
            <w:r>
              <w:rPr>
                <w:sz w:val="21"/>
                <w:szCs w:val="21"/>
                <w:color w:val="404040"/>
                <w:spacing w:val="6"/>
              </w:rPr>
              <w:t>二类区</w:t>
            </w:r>
          </w:p>
        </w:tc>
      </w:tr>
      <w:tr>
        <w:trPr>
          <w:trHeight w:val="27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550"/>
              <w:spacing w:before="34" w:line="198" w:lineRule="auto"/>
              <w:rPr>
                <w:sz w:val="21"/>
                <w:szCs w:val="21"/>
              </w:rPr>
            </w:pPr>
            <w:r>
              <w:rPr>
                <w:sz w:val="21"/>
                <w:szCs w:val="21"/>
                <w:spacing w:val="5"/>
              </w:rPr>
              <w:t>锦绣豪庭(在建)</w:t>
            </w:r>
          </w:p>
        </w:tc>
        <w:tc>
          <w:tcPr>
            <w:tcW w:w="1029" w:type="dxa"/>
            <w:vAlign w:val="top"/>
          </w:tcPr>
          <w:p>
            <w:pPr>
              <w:pStyle w:val="TableText"/>
              <w:ind w:left="34"/>
              <w:spacing w:before="56" w:line="179" w:lineRule="auto"/>
              <w:rPr>
                <w:sz w:val="21"/>
                <w:szCs w:val="21"/>
              </w:rPr>
            </w:pPr>
            <w:r>
              <w:rPr>
                <w:sz w:val="21"/>
                <w:szCs w:val="21"/>
                <w:spacing w:val="-3"/>
              </w:rPr>
              <w:t>104.54416</w:t>
            </w:r>
          </w:p>
        </w:tc>
        <w:tc>
          <w:tcPr>
            <w:tcW w:w="989" w:type="dxa"/>
            <w:vAlign w:val="top"/>
          </w:tcPr>
          <w:p>
            <w:pPr>
              <w:pStyle w:val="TableText"/>
              <w:ind w:left="14"/>
              <w:spacing w:before="56" w:line="179" w:lineRule="auto"/>
              <w:rPr>
                <w:sz w:val="21"/>
                <w:szCs w:val="21"/>
              </w:rPr>
            </w:pPr>
            <w:r>
              <w:rPr>
                <w:sz w:val="21"/>
                <w:szCs w:val="21"/>
                <w:spacing w:val="-2"/>
              </w:rPr>
              <w:t>31.542973</w:t>
            </w:r>
          </w:p>
        </w:tc>
        <w:tc>
          <w:tcPr>
            <w:tcW w:w="539" w:type="dxa"/>
            <w:vAlign w:val="top"/>
          </w:tcPr>
          <w:p>
            <w:pPr>
              <w:pStyle w:val="TableText"/>
              <w:ind w:left="55"/>
              <w:spacing w:before="35" w:line="197" w:lineRule="auto"/>
              <w:rPr>
                <w:sz w:val="21"/>
                <w:szCs w:val="21"/>
              </w:rPr>
            </w:pPr>
            <w:r>
              <w:rPr>
                <w:sz w:val="21"/>
                <w:szCs w:val="21"/>
                <w:spacing w:val="5"/>
              </w:rPr>
              <w:t>东北</w:t>
            </w:r>
          </w:p>
        </w:tc>
        <w:tc>
          <w:tcPr>
            <w:tcW w:w="699" w:type="dxa"/>
            <w:vAlign w:val="top"/>
          </w:tcPr>
          <w:p>
            <w:pPr>
              <w:pStyle w:val="TableText"/>
              <w:ind w:left="187"/>
              <w:spacing w:before="56" w:line="179" w:lineRule="auto"/>
              <w:rPr>
                <w:sz w:val="21"/>
                <w:szCs w:val="21"/>
              </w:rPr>
            </w:pPr>
            <w:r>
              <w:rPr>
                <w:sz w:val="21"/>
                <w:szCs w:val="21"/>
                <w:spacing w:val="-3"/>
              </w:rPr>
              <w:t>800</w:t>
            </w:r>
          </w:p>
        </w:tc>
        <w:tc>
          <w:tcPr>
            <w:tcW w:w="679" w:type="dxa"/>
            <w:vAlign w:val="top"/>
          </w:tcPr>
          <w:p>
            <w:pPr>
              <w:pStyle w:val="TableText"/>
              <w:ind w:left="18"/>
              <w:spacing w:before="35" w:line="197" w:lineRule="auto"/>
              <w:rPr>
                <w:sz w:val="21"/>
                <w:szCs w:val="21"/>
              </w:rPr>
            </w:pPr>
            <w:r>
              <w:rPr>
                <w:sz w:val="21"/>
                <w:szCs w:val="21"/>
                <w:color w:val="606060"/>
                <w:spacing w:val="5"/>
              </w:rPr>
              <w:t>居民区</w:t>
            </w:r>
          </w:p>
        </w:tc>
        <w:tc>
          <w:tcPr>
            <w:tcW w:w="1033" w:type="dxa"/>
            <w:vAlign w:val="top"/>
          </w:tcPr>
          <w:p>
            <w:pPr>
              <w:pStyle w:val="TableText"/>
              <w:ind w:left="198"/>
              <w:spacing w:before="35" w:line="197" w:lineRule="auto"/>
              <w:rPr>
                <w:sz w:val="21"/>
                <w:szCs w:val="21"/>
              </w:rPr>
            </w:pPr>
            <w:r>
              <w:rPr>
                <w:sz w:val="21"/>
                <w:szCs w:val="21"/>
                <w:color w:val="404050"/>
                <w:spacing w:val="6"/>
              </w:rPr>
              <w:t>二类区</w:t>
            </w:r>
          </w:p>
        </w:tc>
      </w:tr>
      <w:tr>
        <w:trPr>
          <w:trHeight w:val="28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660"/>
              <w:spacing w:before="45" w:line="197" w:lineRule="auto"/>
              <w:rPr>
                <w:sz w:val="21"/>
                <w:szCs w:val="21"/>
              </w:rPr>
            </w:pPr>
            <w:r>
              <w:rPr>
                <w:sz w:val="21"/>
                <w:szCs w:val="21"/>
                <w:spacing w:val="2"/>
              </w:rPr>
              <w:t>荣华国际广场</w:t>
            </w:r>
          </w:p>
        </w:tc>
        <w:tc>
          <w:tcPr>
            <w:tcW w:w="1029" w:type="dxa"/>
            <w:vAlign w:val="top"/>
          </w:tcPr>
          <w:p>
            <w:pPr>
              <w:pStyle w:val="TableText"/>
              <w:spacing w:before="66" w:line="179" w:lineRule="auto"/>
              <w:jc w:val="right"/>
              <w:rPr>
                <w:sz w:val="21"/>
                <w:szCs w:val="21"/>
              </w:rPr>
            </w:pPr>
            <w:r>
              <w:rPr>
                <w:sz w:val="21"/>
                <w:szCs w:val="21"/>
                <w:spacing w:val="-5"/>
              </w:rPr>
              <w:t>104.558945</w:t>
            </w:r>
          </w:p>
        </w:tc>
        <w:tc>
          <w:tcPr>
            <w:tcW w:w="989" w:type="dxa"/>
            <w:vAlign w:val="top"/>
          </w:tcPr>
          <w:p>
            <w:pPr>
              <w:pStyle w:val="TableText"/>
              <w:ind w:left="14"/>
              <w:spacing w:before="66" w:line="179" w:lineRule="auto"/>
              <w:rPr>
                <w:sz w:val="21"/>
                <w:szCs w:val="21"/>
              </w:rPr>
            </w:pPr>
            <w:r>
              <w:rPr>
                <w:sz w:val="21"/>
                <w:szCs w:val="21"/>
                <w:spacing w:val="-2"/>
              </w:rPr>
              <w:t>31.540505</w:t>
            </w:r>
          </w:p>
        </w:tc>
        <w:tc>
          <w:tcPr>
            <w:tcW w:w="539" w:type="dxa"/>
            <w:vAlign w:val="top"/>
          </w:tcPr>
          <w:p>
            <w:pPr>
              <w:pStyle w:val="TableText"/>
              <w:ind w:left="156"/>
              <w:spacing w:before="45" w:line="197" w:lineRule="auto"/>
              <w:rPr>
                <w:sz w:val="21"/>
                <w:szCs w:val="21"/>
              </w:rPr>
            </w:pPr>
            <w:r>
              <w:rPr>
                <w:sz w:val="21"/>
                <w:szCs w:val="21"/>
                <w:color w:val="505060"/>
              </w:rPr>
              <w:t>东</w:t>
            </w:r>
          </w:p>
        </w:tc>
        <w:tc>
          <w:tcPr>
            <w:tcW w:w="699" w:type="dxa"/>
            <w:vAlign w:val="top"/>
          </w:tcPr>
          <w:p>
            <w:pPr>
              <w:pStyle w:val="TableText"/>
              <w:ind w:left="136"/>
              <w:spacing w:before="66" w:line="179" w:lineRule="auto"/>
              <w:rPr>
                <w:sz w:val="21"/>
                <w:szCs w:val="21"/>
              </w:rPr>
            </w:pPr>
            <w:r>
              <w:rPr>
                <w:sz w:val="21"/>
                <w:szCs w:val="21"/>
                <w:spacing w:val="-3"/>
              </w:rPr>
              <w:t>2142</w:t>
            </w:r>
          </w:p>
        </w:tc>
        <w:tc>
          <w:tcPr>
            <w:tcW w:w="679" w:type="dxa"/>
            <w:vAlign w:val="top"/>
          </w:tcPr>
          <w:p>
            <w:pPr>
              <w:pStyle w:val="TableText"/>
              <w:ind w:left="18"/>
              <w:spacing w:before="45" w:line="197" w:lineRule="auto"/>
              <w:rPr>
                <w:sz w:val="21"/>
                <w:szCs w:val="21"/>
              </w:rPr>
            </w:pPr>
            <w:r>
              <w:rPr>
                <w:sz w:val="21"/>
                <w:szCs w:val="21"/>
                <w:color w:val="606060"/>
                <w:spacing w:val="5"/>
              </w:rPr>
              <w:t>居民区</w:t>
            </w:r>
          </w:p>
        </w:tc>
        <w:tc>
          <w:tcPr>
            <w:tcW w:w="1033" w:type="dxa"/>
            <w:vAlign w:val="top"/>
          </w:tcPr>
          <w:p>
            <w:pPr>
              <w:pStyle w:val="TableText"/>
              <w:ind w:left="198"/>
              <w:spacing w:before="45" w:line="197" w:lineRule="auto"/>
              <w:rPr>
                <w:sz w:val="21"/>
                <w:szCs w:val="21"/>
              </w:rPr>
            </w:pPr>
            <w:r>
              <w:rPr>
                <w:sz w:val="21"/>
                <w:szCs w:val="21"/>
                <w:spacing w:val="6"/>
              </w:rPr>
              <w:t>二类区</w:t>
            </w:r>
          </w:p>
        </w:tc>
      </w:tr>
      <w:tr>
        <w:trPr>
          <w:trHeight w:val="259"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870"/>
              <w:spacing w:before="35" w:line="188" w:lineRule="auto"/>
              <w:rPr>
                <w:sz w:val="21"/>
                <w:szCs w:val="21"/>
              </w:rPr>
            </w:pPr>
            <w:r>
              <w:rPr>
                <w:sz w:val="21"/>
                <w:szCs w:val="21"/>
                <w:spacing w:val="2"/>
              </w:rPr>
              <w:t>中山印象</w:t>
            </w:r>
          </w:p>
        </w:tc>
        <w:tc>
          <w:tcPr>
            <w:tcW w:w="1029" w:type="dxa"/>
            <w:vAlign w:val="top"/>
          </w:tcPr>
          <w:p>
            <w:pPr>
              <w:pStyle w:val="TableText"/>
              <w:spacing w:before="56" w:line="169" w:lineRule="auto"/>
              <w:jc w:val="right"/>
              <w:rPr>
                <w:sz w:val="21"/>
                <w:szCs w:val="21"/>
              </w:rPr>
            </w:pPr>
            <w:r>
              <w:rPr>
                <w:sz w:val="21"/>
                <w:szCs w:val="21"/>
                <w:spacing w:val="-5"/>
              </w:rPr>
              <w:t>104.556541</w:t>
            </w:r>
          </w:p>
        </w:tc>
        <w:tc>
          <w:tcPr>
            <w:tcW w:w="989" w:type="dxa"/>
            <w:vAlign w:val="top"/>
          </w:tcPr>
          <w:p>
            <w:pPr>
              <w:pStyle w:val="TableText"/>
              <w:ind w:left="14"/>
              <w:spacing w:before="56" w:line="169" w:lineRule="auto"/>
              <w:rPr>
                <w:sz w:val="21"/>
                <w:szCs w:val="21"/>
              </w:rPr>
            </w:pPr>
            <w:r>
              <w:rPr>
                <w:sz w:val="21"/>
                <w:szCs w:val="21"/>
                <w:spacing w:val="-2"/>
              </w:rPr>
              <w:t>31.542772</w:t>
            </w:r>
          </w:p>
        </w:tc>
        <w:tc>
          <w:tcPr>
            <w:tcW w:w="539" w:type="dxa"/>
            <w:vAlign w:val="top"/>
          </w:tcPr>
          <w:p>
            <w:pPr>
              <w:pStyle w:val="TableText"/>
              <w:ind w:left="55"/>
              <w:spacing w:before="35" w:line="188" w:lineRule="auto"/>
              <w:rPr>
                <w:sz w:val="21"/>
                <w:szCs w:val="21"/>
              </w:rPr>
            </w:pPr>
            <w:r>
              <w:rPr>
                <w:sz w:val="21"/>
                <w:szCs w:val="21"/>
                <w:color w:val="505060"/>
                <w:spacing w:val="5"/>
              </w:rPr>
              <w:t>东北</w:t>
            </w:r>
          </w:p>
        </w:tc>
        <w:tc>
          <w:tcPr>
            <w:tcW w:w="699" w:type="dxa"/>
            <w:vAlign w:val="top"/>
          </w:tcPr>
          <w:p>
            <w:pPr>
              <w:pStyle w:val="TableText"/>
              <w:ind w:left="136"/>
              <w:spacing w:before="56" w:line="169" w:lineRule="auto"/>
              <w:rPr>
                <w:sz w:val="21"/>
                <w:szCs w:val="21"/>
              </w:rPr>
            </w:pPr>
            <w:r>
              <w:rPr>
                <w:sz w:val="21"/>
                <w:szCs w:val="21"/>
                <w:spacing w:val="-5"/>
              </w:rPr>
              <w:t>1949</w:t>
            </w:r>
          </w:p>
        </w:tc>
        <w:tc>
          <w:tcPr>
            <w:tcW w:w="679" w:type="dxa"/>
            <w:vAlign w:val="top"/>
          </w:tcPr>
          <w:p>
            <w:pPr>
              <w:pStyle w:val="TableText"/>
              <w:ind w:left="18"/>
              <w:spacing w:before="36" w:line="187" w:lineRule="auto"/>
              <w:rPr>
                <w:sz w:val="21"/>
                <w:szCs w:val="21"/>
              </w:rPr>
            </w:pPr>
            <w:r>
              <w:rPr>
                <w:sz w:val="21"/>
                <w:szCs w:val="21"/>
                <w:color w:val="505050"/>
                <w:spacing w:val="5"/>
              </w:rPr>
              <w:t>居民区</w:t>
            </w:r>
          </w:p>
        </w:tc>
        <w:tc>
          <w:tcPr>
            <w:tcW w:w="1033" w:type="dxa"/>
            <w:vAlign w:val="top"/>
          </w:tcPr>
          <w:p>
            <w:pPr>
              <w:pStyle w:val="TableText"/>
              <w:ind w:left="198"/>
              <w:spacing w:before="35" w:line="188" w:lineRule="auto"/>
              <w:rPr>
                <w:sz w:val="21"/>
                <w:szCs w:val="21"/>
              </w:rPr>
            </w:pPr>
            <w:r>
              <w:rPr>
                <w:sz w:val="21"/>
                <w:szCs w:val="21"/>
                <w:spacing w:val="6"/>
              </w:rPr>
              <w:t>二类区</w:t>
            </w:r>
          </w:p>
        </w:tc>
      </w:tr>
      <w:tr>
        <w:trPr>
          <w:trHeight w:val="27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550"/>
              <w:spacing w:before="37" w:line="196" w:lineRule="auto"/>
              <w:rPr>
                <w:sz w:val="21"/>
                <w:szCs w:val="21"/>
              </w:rPr>
            </w:pPr>
            <w:r>
              <w:rPr>
                <w:sz w:val="21"/>
                <w:szCs w:val="21"/>
                <w:spacing w:val="-10"/>
              </w:rPr>
              <w:t>富乐</w:t>
            </w:r>
            <w:r>
              <w:rPr>
                <w:sz w:val="21"/>
                <w:szCs w:val="21"/>
                <w:spacing w:val="-18"/>
              </w:rPr>
              <w:t xml:space="preserve"> </w:t>
            </w:r>
            <w:r>
              <w:rPr>
                <w:sz w:val="21"/>
                <w:szCs w:val="21"/>
                <w:spacing w:val="-10"/>
              </w:rPr>
              <w:t>·金色家园</w:t>
            </w:r>
          </w:p>
        </w:tc>
        <w:tc>
          <w:tcPr>
            <w:tcW w:w="1029" w:type="dxa"/>
            <w:vAlign w:val="top"/>
          </w:tcPr>
          <w:p>
            <w:pPr>
              <w:pStyle w:val="TableText"/>
              <w:spacing w:before="57" w:line="178" w:lineRule="auto"/>
              <w:jc w:val="right"/>
              <w:rPr>
                <w:sz w:val="21"/>
                <w:szCs w:val="21"/>
              </w:rPr>
            </w:pPr>
            <w:r>
              <w:rPr>
                <w:sz w:val="21"/>
                <w:szCs w:val="21"/>
                <w:spacing w:val="-5"/>
              </w:rPr>
              <w:t>104.554353</w:t>
            </w:r>
          </w:p>
        </w:tc>
        <w:tc>
          <w:tcPr>
            <w:tcW w:w="989" w:type="dxa"/>
            <w:vAlign w:val="top"/>
          </w:tcPr>
          <w:p>
            <w:pPr>
              <w:pStyle w:val="TableText"/>
              <w:ind w:left="65"/>
              <w:spacing w:before="57" w:line="178" w:lineRule="auto"/>
              <w:rPr>
                <w:sz w:val="21"/>
                <w:szCs w:val="21"/>
              </w:rPr>
            </w:pPr>
            <w:r>
              <w:rPr>
                <w:sz w:val="21"/>
                <w:szCs w:val="21"/>
                <w:spacing w:val="-2"/>
              </w:rPr>
              <w:t>31.54376</w:t>
            </w:r>
          </w:p>
        </w:tc>
        <w:tc>
          <w:tcPr>
            <w:tcW w:w="539" w:type="dxa"/>
            <w:vAlign w:val="top"/>
          </w:tcPr>
          <w:p>
            <w:pPr>
              <w:pStyle w:val="TableText"/>
              <w:ind w:left="55"/>
              <w:spacing w:before="35" w:line="197" w:lineRule="auto"/>
              <w:rPr>
                <w:sz w:val="21"/>
                <w:szCs w:val="21"/>
              </w:rPr>
            </w:pPr>
            <w:r>
              <w:rPr>
                <w:sz w:val="21"/>
                <w:szCs w:val="21"/>
                <w:color w:val="404050"/>
                <w:spacing w:val="5"/>
              </w:rPr>
              <w:t>东北</w:t>
            </w:r>
          </w:p>
        </w:tc>
        <w:tc>
          <w:tcPr>
            <w:tcW w:w="699" w:type="dxa"/>
            <w:vAlign w:val="top"/>
          </w:tcPr>
          <w:p>
            <w:pPr>
              <w:pStyle w:val="TableText"/>
              <w:ind w:left="136"/>
              <w:spacing w:before="57" w:line="178" w:lineRule="auto"/>
              <w:rPr>
                <w:sz w:val="21"/>
                <w:szCs w:val="21"/>
              </w:rPr>
            </w:pPr>
            <w:r>
              <w:rPr>
                <w:sz w:val="21"/>
                <w:szCs w:val="21"/>
                <w:spacing w:val="-5"/>
              </w:rPr>
              <w:t>1722</w:t>
            </w:r>
          </w:p>
        </w:tc>
        <w:tc>
          <w:tcPr>
            <w:tcW w:w="679" w:type="dxa"/>
            <w:vAlign w:val="top"/>
          </w:tcPr>
          <w:p>
            <w:pPr>
              <w:pStyle w:val="TableText"/>
              <w:ind w:left="18"/>
              <w:spacing w:before="37" w:line="196" w:lineRule="auto"/>
              <w:rPr>
                <w:sz w:val="21"/>
                <w:szCs w:val="21"/>
              </w:rPr>
            </w:pPr>
            <w:r>
              <w:rPr>
                <w:sz w:val="21"/>
                <w:szCs w:val="21"/>
                <w:color w:val="606060"/>
                <w:spacing w:val="5"/>
              </w:rPr>
              <w:t>居民区</w:t>
            </w:r>
          </w:p>
        </w:tc>
        <w:tc>
          <w:tcPr>
            <w:tcW w:w="1033" w:type="dxa"/>
            <w:vAlign w:val="top"/>
          </w:tcPr>
          <w:p>
            <w:pPr>
              <w:pStyle w:val="TableText"/>
              <w:ind w:left="198"/>
              <w:spacing w:before="35" w:line="197" w:lineRule="auto"/>
              <w:rPr>
                <w:sz w:val="21"/>
                <w:szCs w:val="21"/>
              </w:rPr>
            </w:pPr>
            <w:r>
              <w:rPr>
                <w:sz w:val="21"/>
                <w:szCs w:val="21"/>
                <w:spacing w:val="6"/>
              </w:rPr>
              <w:t>二类区</w:t>
            </w:r>
          </w:p>
        </w:tc>
      </w:tr>
      <w:tr>
        <w:trPr>
          <w:trHeight w:val="28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870"/>
              <w:spacing w:before="45" w:line="197" w:lineRule="auto"/>
              <w:rPr>
                <w:sz w:val="21"/>
                <w:szCs w:val="21"/>
              </w:rPr>
            </w:pPr>
            <w:r>
              <w:rPr>
                <w:sz w:val="21"/>
                <w:szCs w:val="21"/>
                <w:spacing w:val="4"/>
              </w:rPr>
              <w:t>龙康花园</w:t>
            </w:r>
          </w:p>
        </w:tc>
        <w:tc>
          <w:tcPr>
            <w:tcW w:w="1029" w:type="dxa"/>
            <w:vAlign w:val="top"/>
          </w:tcPr>
          <w:p>
            <w:pPr>
              <w:pStyle w:val="TableText"/>
              <w:spacing w:before="67" w:line="178" w:lineRule="auto"/>
              <w:jc w:val="right"/>
              <w:rPr>
                <w:sz w:val="21"/>
                <w:szCs w:val="21"/>
              </w:rPr>
            </w:pPr>
            <w:r>
              <w:rPr>
                <w:sz w:val="21"/>
                <w:szCs w:val="21"/>
                <w:spacing w:val="-5"/>
              </w:rPr>
              <w:t>104.559245</w:t>
            </w:r>
          </w:p>
        </w:tc>
        <w:tc>
          <w:tcPr>
            <w:tcW w:w="989" w:type="dxa"/>
            <w:vAlign w:val="top"/>
          </w:tcPr>
          <w:p>
            <w:pPr>
              <w:pStyle w:val="TableText"/>
              <w:ind w:left="14"/>
              <w:spacing w:before="67" w:line="178" w:lineRule="auto"/>
              <w:rPr>
                <w:sz w:val="21"/>
                <w:szCs w:val="21"/>
              </w:rPr>
            </w:pPr>
            <w:r>
              <w:rPr>
                <w:sz w:val="21"/>
                <w:szCs w:val="21"/>
                <w:spacing w:val="-2"/>
              </w:rPr>
              <w:t>31.543321</w:t>
            </w:r>
          </w:p>
        </w:tc>
        <w:tc>
          <w:tcPr>
            <w:tcW w:w="539" w:type="dxa"/>
            <w:vAlign w:val="top"/>
          </w:tcPr>
          <w:p>
            <w:pPr>
              <w:pStyle w:val="TableText"/>
              <w:ind w:left="55"/>
              <w:spacing w:before="45" w:line="197" w:lineRule="auto"/>
              <w:rPr>
                <w:sz w:val="21"/>
                <w:szCs w:val="21"/>
              </w:rPr>
            </w:pPr>
            <w:r>
              <w:rPr>
                <w:sz w:val="21"/>
                <w:szCs w:val="21"/>
                <w:color w:val="506070"/>
                <w:spacing w:val="5"/>
              </w:rPr>
              <w:t>东北</w:t>
            </w:r>
          </w:p>
        </w:tc>
        <w:tc>
          <w:tcPr>
            <w:tcW w:w="699" w:type="dxa"/>
            <w:vAlign w:val="top"/>
          </w:tcPr>
          <w:p>
            <w:pPr>
              <w:pStyle w:val="TableText"/>
              <w:ind w:left="136"/>
              <w:spacing w:before="67" w:line="178" w:lineRule="auto"/>
              <w:rPr>
                <w:sz w:val="21"/>
                <w:szCs w:val="21"/>
              </w:rPr>
            </w:pPr>
            <w:r>
              <w:rPr>
                <w:sz w:val="21"/>
                <w:szCs w:val="21"/>
                <w:spacing w:val="-3"/>
              </w:rPr>
              <w:t>2181</w:t>
            </w:r>
          </w:p>
        </w:tc>
        <w:tc>
          <w:tcPr>
            <w:tcW w:w="679" w:type="dxa"/>
            <w:vAlign w:val="top"/>
          </w:tcPr>
          <w:p>
            <w:pPr>
              <w:pStyle w:val="TableText"/>
              <w:ind w:left="18"/>
              <w:spacing w:before="47" w:line="196" w:lineRule="auto"/>
              <w:rPr>
                <w:sz w:val="21"/>
                <w:szCs w:val="21"/>
              </w:rPr>
            </w:pPr>
            <w:r>
              <w:rPr>
                <w:sz w:val="21"/>
                <w:szCs w:val="21"/>
                <w:color w:val="606060"/>
                <w:spacing w:val="5"/>
              </w:rPr>
              <w:t>居民区</w:t>
            </w:r>
          </w:p>
        </w:tc>
        <w:tc>
          <w:tcPr>
            <w:tcW w:w="1033" w:type="dxa"/>
            <w:vAlign w:val="top"/>
          </w:tcPr>
          <w:p>
            <w:pPr>
              <w:pStyle w:val="TableText"/>
              <w:ind w:left="198"/>
              <w:spacing w:before="45" w:line="197" w:lineRule="auto"/>
              <w:rPr>
                <w:sz w:val="21"/>
                <w:szCs w:val="21"/>
              </w:rPr>
            </w:pPr>
            <w:r>
              <w:rPr>
                <w:sz w:val="21"/>
                <w:szCs w:val="21"/>
                <w:color w:val="505050"/>
                <w:spacing w:val="6"/>
              </w:rPr>
              <w:t>二类区</w:t>
            </w:r>
          </w:p>
        </w:tc>
      </w:tr>
      <w:tr>
        <w:trPr>
          <w:trHeight w:val="27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971"/>
              <w:spacing w:before="35" w:line="197" w:lineRule="auto"/>
              <w:rPr>
                <w:sz w:val="21"/>
                <w:szCs w:val="21"/>
              </w:rPr>
            </w:pPr>
            <w:r>
              <w:rPr>
                <w:sz w:val="21"/>
                <w:szCs w:val="21"/>
                <w:color w:val="504050"/>
                <w:spacing w:val="-3"/>
              </w:rPr>
              <w:t>南梁府</w:t>
            </w:r>
          </w:p>
        </w:tc>
        <w:tc>
          <w:tcPr>
            <w:tcW w:w="1029" w:type="dxa"/>
            <w:vAlign w:val="top"/>
          </w:tcPr>
          <w:p>
            <w:pPr>
              <w:pStyle w:val="TableText"/>
              <w:spacing w:before="57" w:line="178" w:lineRule="auto"/>
              <w:jc w:val="right"/>
              <w:rPr>
                <w:sz w:val="21"/>
                <w:szCs w:val="21"/>
              </w:rPr>
            </w:pPr>
            <w:r>
              <w:rPr>
                <w:sz w:val="21"/>
                <w:szCs w:val="21"/>
                <w:spacing w:val="-5"/>
              </w:rPr>
              <w:t>104.559889</w:t>
            </w:r>
          </w:p>
        </w:tc>
        <w:tc>
          <w:tcPr>
            <w:tcW w:w="989" w:type="dxa"/>
            <w:vAlign w:val="top"/>
          </w:tcPr>
          <w:p>
            <w:pPr>
              <w:pStyle w:val="TableText"/>
              <w:ind w:left="14"/>
              <w:spacing w:before="57" w:line="178" w:lineRule="auto"/>
              <w:rPr>
                <w:sz w:val="21"/>
                <w:szCs w:val="21"/>
              </w:rPr>
            </w:pPr>
            <w:r>
              <w:rPr>
                <w:sz w:val="21"/>
                <w:szCs w:val="21"/>
                <w:spacing w:val="-2"/>
              </w:rPr>
              <w:t>31.542114</w:t>
            </w:r>
          </w:p>
        </w:tc>
        <w:tc>
          <w:tcPr>
            <w:tcW w:w="539" w:type="dxa"/>
            <w:vAlign w:val="top"/>
          </w:tcPr>
          <w:p>
            <w:pPr>
              <w:pStyle w:val="TableText"/>
              <w:ind w:left="55"/>
              <w:spacing w:before="35" w:line="197" w:lineRule="auto"/>
              <w:rPr>
                <w:sz w:val="21"/>
                <w:szCs w:val="21"/>
              </w:rPr>
            </w:pPr>
            <w:r>
              <w:rPr>
                <w:sz w:val="21"/>
                <w:szCs w:val="21"/>
                <w:color w:val="505060"/>
                <w:spacing w:val="5"/>
              </w:rPr>
              <w:t>东北</w:t>
            </w:r>
          </w:p>
        </w:tc>
        <w:tc>
          <w:tcPr>
            <w:tcW w:w="699" w:type="dxa"/>
            <w:vAlign w:val="top"/>
          </w:tcPr>
          <w:p>
            <w:pPr>
              <w:pStyle w:val="TableText"/>
              <w:ind w:left="136"/>
              <w:spacing w:before="57" w:line="178" w:lineRule="auto"/>
              <w:rPr>
                <w:sz w:val="21"/>
                <w:szCs w:val="21"/>
              </w:rPr>
            </w:pPr>
            <w:r>
              <w:rPr>
                <w:sz w:val="21"/>
                <w:szCs w:val="21"/>
                <w:spacing w:val="-3"/>
              </w:rPr>
              <w:t>2220</w:t>
            </w:r>
          </w:p>
        </w:tc>
        <w:tc>
          <w:tcPr>
            <w:tcW w:w="679" w:type="dxa"/>
            <w:vAlign w:val="top"/>
          </w:tcPr>
          <w:p>
            <w:pPr>
              <w:pStyle w:val="TableText"/>
              <w:ind w:left="18"/>
              <w:spacing w:before="37" w:line="196" w:lineRule="auto"/>
              <w:rPr>
                <w:sz w:val="21"/>
                <w:szCs w:val="21"/>
              </w:rPr>
            </w:pPr>
            <w:r>
              <w:rPr>
                <w:sz w:val="21"/>
                <w:szCs w:val="21"/>
                <w:color w:val="606060"/>
                <w:spacing w:val="5"/>
              </w:rPr>
              <w:t>居民区</w:t>
            </w:r>
          </w:p>
        </w:tc>
        <w:tc>
          <w:tcPr>
            <w:tcW w:w="1033" w:type="dxa"/>
            <w:vAlign w:val="top"/>
          </w:tcPr>
          <w:p>
            <w:pPr>
              <w:pStyle w:val="TableText"/>
              <w:ind w:left="198"/>
              <w:spacing w:before="35" w:line="197" w:lineRule="auto"/>
              <w:rPr>
                <w:sz w:val="21"/>
                <w:szCs w:val="21"/>
              </w:rPr>
            </w:pPr>
            <w:r>
              <w:rPr>
                <w:sz w:val="21"/>
                <w:szCs w:val="21"/>
                <w:color w:val="504050"/>
                <w:spacing w:val="6"/>
              </w:rPr>
              <w:t>二类区</w:t>
            </w:r>
          </w:p>
        </w:tc>
      </w:tr>
      <w:tr>
        <w:trPr>
          <w:trHeight w:val="279"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761"/>
              <w:spacing w:before="47" w:line="195" w:lineRule="auto"/>
              <w:rPr>
                <w:sz w:val="21"/>
                <w:szCs w:val="21"/>
              </w:rPr>
            </w:pPr>
            <w:r>
              <w:rPr>
                <w:sz w:val="21"/>
                <w:szCs w:val="21"/>
                <w:spacing w:val="-2"/>
              </w:rPr>
              <w:t>华西世纪苑</w:t>
            </w:r>
          </w:p>
        </w:tc>
        <w:tc>
          <w:tcPr>
            <w:tcW w:w="1029" w:type="dxa"/>
            <w:vAlign w:val="top"/>
          </w:tcPr>
          <w:p>
            <w:pPr>
              <w:pStyle w:val="TableText"/>
              <w:spacing w:before="67" w:line="177" w:lineRule="auto"/>
              <w:jc w:val="right"/>
              <w:rPr>
                <w:sz w:val="21"/>
                <w:szCs w:val="21"/>
              </w:rPr>
            </w:pPr>
            <w:r>
              <w:rPr>
                <w:sz w:val="21"/>
                <w:szCs w:val="21"/>
                <w:spacing w:val="-5"/>
              </w:rPr>
              <w:t>104.560962</w:t>
            </w:r>
          </w:p>
        </w:tc>
        <w:tc>
          <w:tcPr>
            <w:tcW w:w="989" w:type="dxa"/>
            <w:vAlign w:val="top"/>
          </w:tcPr>
          <w:p>
            <w:pPr>
              <w:pStyle w:val="TableText"/>
              <w:ind w:left="14"/>
              <w:spacing w:before="67" w:line="177" w:lineRule="auto"/>
              <w:rPr>
                <w:sz w:val="21"/>
                <w:szCs w:val="21"/>
              </w:rPr>
            </w:pPr>
            <w:r>
              <w:rPr>
                <w:sz w:val="21"/>
                <w:szCs w:val="21"/>
                <w:spacing w:val="-2"/>
              </w:rPr>
              <w:t>31.540285</w:t>
            </w:r>
          </w:p>
        </w:tc>
        <w:tc>
          <w:tcPr>
            <w:tcW w:w="539" w:type="dxa"/>
            <w:vAlign w:val="top"/>
          </w:tcPr>
          <w:p>
            <w:pPr>
              <w:pStyle w:val="TableText"/>
              <w:ind w:left="156"/>
              <w:spacing w:before="46" w:line="196" w:lineRule="auto"/>
              <w:rPr>
                <w:sz w:val="21"/>
                <w:szCs w:val="21"/>
              </w:rPr>
            </w:pPr>
            <w:r>
              <w:rPr>
                <w:sz w:val="21"/>
                <w:szCs w:val="21"/>
              </w:rPr>
              <w:t>东</w:t>
            </w:r>
          </w:p>
        </w:tc>
        <w:tc>
          <w:tcPr>
            <w:tcW w:w="699" w:type="dxa"/>
            <w:vAlign w:val="top"/>
          </w:tcPr>
          <w:p>
            <w:pPr>
              <w:pStyle w:val="TableText"/>
              <w:ind w:left="136"/>
              <w:spacing w:before="67" w:line="177" w:lineRule="auto"/>
              <w:rPr>
                <w:sz w:val="21"/>
                <w:szCs w:val="21"/>
              </w:rPr>
            </w:pPr>
            <w:r>
              <w:rPr>
                <w:sz w:val="21"/>
                <w:szCs w:val="21"/>
                <w:spacing w:val="-3"/>
              </w:rPr>
              <w:t>2300</w:t>
            </w:r>
          </w:p>
        </w:tc>
        <w:tc>
          <w:tcPr>
            <w:tcW w:w="679" w:type="dxa"/>
            <w:vAlign w:val="top"/>
          </w:tcPr>
          <w:p>
            <w:pPr>
              <w:pStyle w:val="TableText"/>
              <w:ind w:left="18"/>
              <w:spacing w:before="47" w:line="195" w:lineRule="auto"/>
              <w:rPr>
                <w:sz w:val="21"/>
                <w:szCs w:val="21"/>
              </w:rPr>
            </w:pPr>
            <w:r>
              <w:rPr>
                <w:sz w:val="21"/>
                <w:szCs w:val="21"/>
                <w:color w:val="505050"/>
                <w:spacing w:val="5"/>
              </w:rPr>
              <w:t>居民区</w:t>
            </w:r>
          </w:p>
        </w:tc>
        <w:tc>
          <w:tcPr>
            <w:tcW w:w="1033" w:type="dxa"/>
            <w:vAlign w:val="top"/>
          </w:tcPr>
          <w:p>
            <w:pPr>
              <w:pStyle w:val="TableText"/>
              <w:ind w:left="198"/>
              <w:spacing w:before="46" w:line="196" w:lineRule="auto"/>
              <w:rPr>
                <w:sz w:val="21"/>
                <w:szCs w:val="21"/>
              </w:rPr>
            </w:pPr>
            <w:r>
              <w:rPr>
                <w:sz w:val="21"/>
                <w:szCs w:val="21"/>
                <w:spacing w:val="6"/>
              </w:rPr>
              <w:t>二类区</w:t>
            </w:r>
          </w:p>
        </w:tc>
      </w:tr>
      <w:tr>
        <w:trPr>
          <w:trHeight w:val="259"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870"/>
              <w:spacing w:before="37" w:line="186" w:lineRule="auto"/>
              <w:rPr>
                <w:sz w:val="21"/>
                <w:szCs w:val="21"/>
              </w:rPr>
            </w:pPr>
            <w:r>
              <w:rPr>
                <w:sz w:val="21"/>
                <w:szCs w:val="21"/>
                <w:spacing w:val="-2"/>
              </w:rPr>
              <w:t>银都宝座</w:t>
            </w:r>
          </w:p>
        </w:tc>
        <w:tc>
          <w:tcPr>
            <w:tcW w:w="1029" w:type="dxa"/>
            <w:vAlign w:val="top"/>
          </w:tcPr>
          <w:p>
            <w:pPr>
              <w:pStyle w:val="TableText"/>
              <w:spacing w:before="59" w:line="167" w:lineRule="auto"/>
              <w:jc w:val="right"/>
              <w:rPr>
                <w:sz w:val="21"/>
                <w:szCs w:val="21"/>
              </w:rPr>
            </w:pPr>
            <w:r>
              <w:rPr>
                <w:sz w:val="21"/>
                <w:szCs w:val="21"/>
                <w:spacing w:val="-5"/>
              </w:rPr>
              <w:t>104.557958</w:t>
            </w:r>
          </w:p>
        </w:tc>
        <w:tc>
          <w:tcPr>
            <w:tcW w:w="989" w:type="dxa"/>
            <w:vAlign w:val="top"/>
          </w:tcPr>
          <w:p>
            <w:pPr>
              <w:pStyle w:val="TableText"/>
              <w:ind w:left="14"/>
              <w:spacing w:before="59" w:line="167" w:lineRule="auto"/>
              <w:rPr>
                <w:sz w:val="21"/>
                <w:szCs w:val="21"/>
              </w:rPr>
            </w:pPr>
            <w:r>
              <w:rPr>
                <w:sz w:val="21"/>
                <w:szCs w:val="21"/>
                <w:spacing w:val="-2"/>
              </w:rPr>
              <w:t>31.536042</w:t>
            </w:r>
          </w:p>
        </w:tc>
        <w:tc>
          <w:tcPr>
            <w:tcW w:w="539" w:type="dxa"/>
            <w:vAlign w:val="top"/>
          </w:tcPr>
          <w:p>
            <w:pPr>
              <w:pStyle w:val="TableText"/>
              <w:ind w:left="55"/>
              <w:spacing w:before="37" w:line="186" w:lineRule="auto"/>
              <w:rPr>
                <w:sz w:val="21"/>
                <w:szCs w:val="21"/>
              </w:rPr>
            </w:pPr>
            <w:r>
              <w:rPr>
                <w:sz w:val="21"/>
                <w:szCs w:val="21"/>
                <w:color w:val="303040"/>
                <w:spacing w:val="5"/>
              </w:rPr>
              <w:t>东南</w:t>
            </w:r>
          </w:p>
        </w:tc>
        <w:tc>
          <w:tcPr>
            <w:tcW w:w="699" w:type="dxa"/>
            <w:vAlign w:val="top"/>
          </w:tcPr>
          <w:p>
            <w:pPr>
              <w:pStyle w:val="TableText"/>
              <w:ind w:left="136"/>
              <w:spacing w:before="59" w:line="167" w:lineRule="auto"/>
              <w:rPr>
                <w:sz w:val="21"/>
                <w:szCs w:val="21"/>
              </w:rPr>
            </w:pPr>
            <w:r>
              <w:rPr>
                <w:sz w:val="21"/>
                <w:szCs w:val="21"/>
                <w:spacing w:val="-3"/>
              </w:rPr>
              <w:t>2035</w:t>
            </w:r>
          </w:p>
        </w:tc>
        <w:tc>
          <w:tcPr>
            <w:tcW w:w="679" w:type="dxa"/>
            <w:vAlign w:val="top"/>
          </w:tcPr>
          <w:p>
            <w:pPr>
              <w:pStyle w:val="TableText"/>
              <w:ind w:left="18"/>
              <w:spacing w:before="38" w:line="185" w:lineRule="auto"/>
              <w:rPr>
                <w:sz w:val="21"/>
                <w:szCs w:val="21"/>
              </w:rPr>
            </w:pPr>
            <w:r>
              <w:rPr>
                <w:sz w:val="21"/>
                <w:szCs w:val="21"/>
                <w:color w:val="606060"/>
                <w:spacing w:val="5"/>
              </w:rPr>
              <w:t>居民区</w:t>
            </w:r>
          </w:p>
        </w:tc>
        <w:tc>
          <w:tcPr>
            <w:tcW w:w="1033" w:type="dxa"/>
            <w:vAlign w:val="top"/>
          </w:tcPr>
          <w:p>
            <w:pPr>
              <w:pStyle w:val="TableText"/>
              <w:ind w:left="198"/>
              <w:spacing w:before="37" w:line="186" w:lineRule="auto"/>
              <w:rPr>
                <w:sz w:val="21"/>
                <w:szCs w:val="21"/>
              </w:rPr>
            </w:pPr>
            <w:r>
              <w:rPr>
                <w:sz w:val="21"/>
                <w:szCs w:val="21"/>
                <w:color w:val="504050"/>
                <w:spacing w:val="6"/>
              </w:rPr>
              <w:t>二类区</w:t>
            </w:r>
          </w:p>
        </w:tc>
      </w:tr>
      <w:tr>
        <w:trPr>
          <w:trHeight w:val="28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870"/>
              <w:spacing w:before="50" w:line="193" w:lineRule="auto"/>
              <w:rPr>
                <w:sz w:val="21"/>
                <w:szCs w:val="21"/>
              </w:rPr>
            </w:pPr>
            <w:r>
              <w:rPr>
                <w:sz w:val="21"/>
                <w:szCs w:val="21"/>
                <w:spacing w:val="4"/>
              </w:rPr>
              <w:t>民安小区</w:t>
            </w:r>
          </w:p>
        </w:tc>
        <w:tc>
          <w:tcPr>
            <w:tcW w:w="1029" w:type="dxa"/>
            <w:vAlign w:val="top"/>
          </w:tcPr>
          <w:p>
            <w:pPr>
              <w:pStyle w:val="TableText"/>
              <w:spacing w:before="69" w:line="176" w:lineRule="auto"/>
              <w:jc w:val="right"/>
              <w:rPr>
                <w:sz w:val="21"/>
                <w:szCs w:val="21"/>
              </w:rPr>
            </w:pPr>
            <w:r>
              <w:rPr>
                <w:sz w:val="21"/>
                <w:szCs w:val="21"/>
                <w:spacing w:val="-5"/>
              </w:rPr>
              <w:t>104.556177</w:t>
            </w:r>
          </w:p>
        </w:tc>
        <w:tc>
          <w:tcPr>
            <w:tcW w:w="989" w:type="dxa"/>
            <w:vAlign w:val="top"/>
          </w:tcPr>
          <w:p>
            <w:pPr>
              <w:pStyle w:val="TableText"/>
              <w:ind w:left="14"/>
              <w:spacing w:before="69" w:line="176" w:lineRule="auto"/>
              <w:rPr>
                <w:sz w:val="21"/>
                <w:szCs w:val="21"/>
              </w:rPr>
            </w:pPr>
            <w:r>
              <w:rPr>
                <w:sz w:val="21"/>
                <w:szCs w:val="21"/>
                <w:spacing w:val="-2"/>
              </w:rPr>
              <w:t>31.548752</w:t>
            </w:r>
          </w:p>
        </w:tc>
        <w:tc>
          <w:tcPr>
            <w:tcW w:w="539" w:type="dxa"/>
            <w:vAlign w:val="top"/>
          </w:tcPr>
          <w:p>
            <w:pPr>
              <w:pStyle w:val="TableText"/>
              <w:ind w:left="55"/>
              <w:spacing w:before="48" w:line="195" w:lineRule="auto"/>
              <w:rPr>
                <w:sz w:val="21"/>
                <w:szCs w:val="21"/>
              </w:rPr>
            </w:pPr>
            <w:r>
              <w:rPr>
                <w:sz w:val="21"/>
                <w:szCs w:val="21"/>
                <w:color w:val="404060"/>
                <w:spacing w:val="5"/>
              </w:rPr>
              <w:t>东北</w:t>
            </w:r>
          </w:p>
        </w:tc>
        <w:tc>
          <w:tcPr>
            <w:tcW w:w="699" w:type="dxa"/>
            <w:vAlign w:val="top"/>
          </w:tcPr>
          <w:p>
            <w:pPr>
              <w:pStyle w:val="TableText"/>
              <w:ind w:left="136"/>
              <w:spacing w:before="69" w:line="176" w:lineRule="auto"/>
              <w:rPr>
                <w:sz w:val="21"/>
                <w:szCs w:val="21"/>
              </w:rPr>
            </w:pPr>
            <w:r>
              <w:rPr>
                <w:sz w:val="21"/>
                <w:szCs w:val="21"/>
                <w:spacing w:val="-3"/>
              </w:rPr>
              <w:t>2131</w:t>
            </w:r>
          </w:p>
        </w:tc>
        <w:tc>
          <w:tcPr>
            <w:tcW w:w="679" w:type="dxa"/>
            <w:vAlign w:val="top"/>
          </w:tcPr>
          <w:p>
            <w:pPr>
              <w:pStyle w:val="TableText"/>
              <w:ind w:left="18"/>
              <w:spacing w:before="49" w:line="194" w:lineRule="auto"/>
              <w:rPr>
                <w:sz w:val="21"/>
                <w:szCs w:val="21"/>
              </w:rPr>
            </w:pPr>
            <w:r>
              <w:rPr>
                <w:sz w:val="21"/>
                <w:szCs w:val="21"/>
                <w:color w:val="405060"/>
                <w:spacing w:val="5"/>
              </w:rPr>
              <w:t>居民区</w:t>
            </w:r>
          </w:p>
        </w:tc>
        <w:tc>
          <w:tcPr>
            <w:tcW w:w="1033" w:type="dxa"/>
            <w:vAlign w:val="top"/>
          </w:tcPr>
          <w:p>
            <w:pPr>
              <w:pStyle w:val="TableText"/>
              <w:ind w:left="198"/>
              <w:spacing w:before="48" w:line="195" w:lineRule="auto"/>
              <w:rPr>
                <w:sz w:val="21"/>
                <w:szCs w:val="21"/>
              </w:rPr>
            </w:pPr>
            <w:r>
              <w:rPr>
                <w:sz w:val="21"/>
                <w:szCs w:val="21"/>
                <w:spacing w:val="6"/>
              </w:rPr>
              <w:t>二类区</w:t>
            </w:r>
          </w:p>
        </w:tc>
      </w:tr>
      <w:tr>
        <w:trPr>
          <w:trHeight w:val="275" w:hRule="atLeast"/>
        </w:trPr>
        <w:tc>
          <w:tcPr>
            <w:tcW w:w="924" w:type="dxa"/>
            <w:vAlign w:val="top"/>
            <w:vMerge w:val="continue"/>
            <w:tcBorders>
              <w:top w:val="nil"/>
            </w:tcBorders>
          </w:tcPr>
          <w:p>
            <w:pPr>
              <w:rPr>
                <w:rFonts w:ascii="Arial"/>
                <w:sz w:val="21"/>
              </w:rPr>
            </w:pPr>
            <w:r/>
          </w:p>
        </w:tc>
        <w:tc>
          <w:tcPr>
            <w:tcW w:w="2597" w:type="dxa"/>
            <w:vAlign w:val="top"/>
          </w:tcPr>
          <w:p>
            <w:pPr>
              <w:pStyle w:val="TableText"/>
              <w:ind w:left="971"/>
              <w:spacing w:before="38" w:line="199" w:lineRule="auto"/>
              <w:rPr>
                <w:sz w:val="21"/>
                <w:szCs w:val="21"/>
              </w:rPr>
            </w:pPr>
            <w:r>
              <w:rPr>
                <w:sz w:val="21"/>
                <w:szCs w:val="21"/>
                <w:color w:val="405040"/>
                <w:spacing w:val="-2"/>
              </w:rPr>
              <w:t>代慈庵</w:t>
            </w:r>
          </w:p>
        </w:tc>
        <w:tc>
          <w:tcPr>
            <w:tcW w:w="1029" w:type="dxa"/>
            <w:vAlign w:val="top"/>
          </w:tcPr>
          <w:p>
            <w:pPr>
              <w:pStyle w:val="TableText"/>
              <w:spacing w:before="59" w:line="181" w:lineRule="auto"/>
              <w:jc w:val="right"/>
              <w:rPr>
                <w:sz w:val="21"/>
                <w:szCs w:val="21"/>
              </w:rPr>
            </w:pPr>
            <w:r>
              <w:rPr>
                <w:sz w:val="21"/>
                <w:szCs w:val="21"/>
                <w:spacing w:val="-5"/>
              </w:rPr>
              <w:t>104.546317</w:t>
            </w:r>
          </w:p>
        </w:tc>
        <w:tc>
          <w:tcPr>
            <w:tcW w:w="989" w:type="dxa"/>
            <w:vAlign w:val="top"/>
          </w:tcPr>
          <w:p>
            <w:pPr>
              <w:pStyle w:val="TableText"/>
              <w:ind w:left="14"/>
              <w:spacing w:before="59" w:line="181" w:lineRule="auto"/>
              <w:rPr>
                <w:sz w:val="21"/>
                <w:szCs w:val="21"/>
              </w:rPr>
            </w:pPr>
            <w:r>
              <w:rPr>
                <w:sz w:val="21"/>
                <w:szCs w:val="21"/>
                <w:spacing w:val="-2"/>
              </w:rPr>
              <w:t>31.537432</w:t>
            </w:r>
          </w:p>
        </w:tc>
        <w:tc>
          <w:tcPr>
            <w:tcW w:w="539" w:type="dxa"/>
            <w:vAlign w:val="top"/>
          </w:tcPr>
          <w:p>
            <w:pPr>
              <w:pStyle w:val="TableText"/>
              <w:ind w:left="55"/>
              <w:spacing w:before="38" w:line="199" w:lineRule="auto"/>
              <w:rPr>
                <w:sz w:val="21"/>
                <w:szCs w:val="21"/>
              </w:rPr>
            </w:pPr>
            <w:r>
              <w:rPr>
                <w:sz w:val="21"/>
                <w:szCs w:val="21"/>
                <w:color w:val="606060"/>
                <w:spacing w:val="5"/>
              </w:rPr>
              <w:t>东南</w:t>
            </w:r>
          </w:p>
        </w:tc>
        <w:tc>
          <w:tcPr>
            <w:tcW w:w="699" w:type="dxa"/>
            <w:vAlign w:val="top"/>
          </w:tcPr>
          <w:p>
            <w:pPr>
              <w:pStyle w:val="TableText"/>
              <w:ind w:left="187"/>
              <w:spacing w:before="59" w:line="181" w:lineRule="auto"/>
              <w:rPr>
                <w:sz w:val="21"/>
                <w:szCs w:val="21"/>
              </w:rPr>
            </w:pPr>
            <w:r>
              <w:rPr>
                <w:sz w:val="21"/>
                <w:szCs w:val="21"/>
                <w:spacing w:val="-3"/>
              </w:rPr>
              <w:t>935</w:t>
            </w:r>
          </w:p>
        </w:tc>
        <w:tc>
          <w:tcPr>
            <w:tcW w:w="679" w:type="dxa"/>
            <w:vAlign w:val="top"/>
          </w:tcPr>
          <w:p>
            <w:pPr>
              <w:pStyle w:val="TableText"/>
              <w:ind w:left="18"/>
              <w:spacing w:before="39" w:line="198" w:lineRule="auto"/>
              <w:rPr>
                <w:sz w:val="21"/>
                <w:szCs w:val="21"/>
              </w:rPr>
            </w:pPr>
            <w:r>
              <w:rPr>
                <w:sz w:val="21"/>
                <w:szCs w:val="21"/>
                <w:color w:val="908070"/>
                <w:spacing w:val="5"/>
              </w:rPr>
              <w:t>居民区</w:t>
            </w:r>
          </w:p>
        </w:tc>
        <w:tc>
          <w:tcPr>
            <w:tcW w:w="1033" w:type="dxa"/>
            <w:vAlign w:val="top"/>
          </w:tcPr>
          <w:p>
            <w:pPr>
              <w:pStyle w:val="TableText"/>
              <w:ind w:left="198"/>
              <w:spacing w:before="38" w:line="199" w:lineRule="auto"/>
              <w:rPr>
                <w:sz w:val="21"/>
                <w:szCs w:val="21"/>
              </w:rPr>
            </w:pPr>
            <w:r>
              <w:rPr>
                <w:sz w:val="21"/>
                <w:szCs w:val="21"/>
                <w:color w:val="908080"/>
                <w:spacing w:val="6"/>
              </w:rPr>
              <w:t>二类区</w:t>
            </w:r>
          </w:p>
        </w:tc>
      </w:tr>
    </w:tbl>
    <w:p>
      <w:pPr>
        <w:pStyle w:val="BodyText"/>
        <w:rPr/>
      </w:pPr>
      <w:r/>
    </w:p>
    <w:p>
      <w:pPr>
        <w:sectPr>
          <w:headerReference w:type="default" r:id="rId164"/>
          <w:footerReference w:type="default" r:id="rId165"/>
          <w:pgSz w:w="11910" w:h="16840"/>
          <w:pgMar w:top="1210" w:right="1725" w:bottom="991" w:left="1685" w:header="902" w:footer="732" w:gutter="0"/>
        </w:sectPr>
        <w:rPr/>
      </w:pPr>
    </w:p>
    <w:p>
      <w:pPr>
        <w:spacing w:before="33"/>
        <w:rPr/>
      </w:pPr>
      <w:r/>
    </w:p>
    <w:tbl>
      <w:tblPr>
        <w:tblStyle w:val="TableNormal"/>
        <w:tblW w:w="848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924"/>
        <w:gridCol w:w="2597"/>
        <w:gridCol w:w="1038"/>
        <w:gridCol w:w="989"/>
        <w:gridCol w:w="519"/>
        <w:gridCol w:w="719"/>
        <w:gridCol w:w="679"/>
        <w:gridCol w:w="1024"/>
      </w:tblGrid>
      <w:tr>
        <w:trPr>
          <w:trHeight w:val="285" w:hRule="atLeast"/>
        </w:trPr>
        <w:tc>
          <w:tcPr>
            <w:tcW w:w="924" w:type="dxa"/>
            <w:vAlign w:val="top"/>
            <w:vMerge w:val="restart"/>
            <w:tcBorders>
              <w:bottom w:val="nil"/>
            </w:tcBorders>
          </w:tcPr>
          <w:p>
            <w:pPr>
              <w:rPr>
                <w:rFonts w:ascii="Arial"/>
                <w:sz w:val="21"/>
              </w:rPr>
            </w:pPr>
            <w:r/>
          </w:p>
        </w:tc>
        <w:tc>
          <w:tcPr>
            <w:tcW w:w="2597" w:type="dxa"/>
            <w:vAlign w:val="top"/>
          </w:tcPr>
          <w:p>
            <w:pPr>
              <w:pStyle w:val="TableText"/>
              <w:ind w:left="870"/>
              <w:spacing w:before="42" w:line="204" w:lineRule="auto"/>
              <w:rPr>
                <w:sz w:val="21"/>
                <w:szCs w:val="21"/>
              </w:rPr>
            </w:pPr>
            <w:r>
              <w:rPr>
                <w:sz w:val="21"/>
                <w:szCs w:val="21"/>
                <w:spacing w:val="2"/>
              </w:rPr>
              <w:t>紫郡阳光</w:t>
            </w:r>
          </w:p>
        </w:tc>
        <w:tc>
          <w:tcPr>
            <w:tcW w:w="1038" w:type="dxa"/>
            <w:vAlign w:val="top"/>
          </w:tcPr>
          <w:p>
            <w:pPr>
              <w:pStyle w:val="TableText"/>
              <w:spacing w:before="64" w:line="185" w:lineRule="auto"/>
              <w:jc w:val="right"/>
              <w:rPr>
                <w:sz w:val="21"/>
                <w:szCs w:val="21"/>
              </w:rPr>
            </w:pPr>
            <w:r>
              <w:rPr>
                <w:sz w:val="21"/>
                <w:szCs w:val="21"/>
                <w:spacing w:val="-4"/>
              </w:rPr>
              <w:t>104.555426</w:t>
            </w:r>
          </w:p>
        </w:tc>
        <w:tc>
          <w:tcPr>
            <w:tcW w:w="989" w:type="dxa"/>
            <w:vAlign w:val="top"/>
          </w:tcPr>
          <w:p>
            <w:pPr>
              <w:pStyle w:val="TableText"/>
              <w:ind w:left="15"/>
              <w:spacing w:before="64" w:line="185" w:lineRule="auto"/>
              <w:rPr>
                <w:sz w:val="21"/>
                <w:szCs w:val="21"/>
              </w:rPr>
            </w:pPr>
            <w:r>
              <w:rPr>
                <w:sz w:val="21"/>
                <w:szCs w:val="21"/>
                <w:spacing w:val="-2"/>
              </w:rPr>
              <w:t>31.531763</w:t>
            </w:r>
          </w:p>
        </w:tc>
        <w:tc>
          <w:tcPr>
            <w:tcW w:w="519" w:type="dxa"/>
            <w:vAlign w:val="top"/>
          </w:tcPr>
          <w:p>
            <w:pPr>
              <w:pStyle w:val="TableText"/>
              <w:ind w:left="46"/>
              <w:spacing w:before="42" w:line="204" w:lineRule="auto"/>
              <w:rPr>
                <w:sz w:val="21"/>
                <w:szCs w:val="21"/>
              </w:rPr>
            </w:pPr>
            <w:r>
              <w:rPr>
                <w:sz w:val="21"/>
                <w:szCs w:val="21"/>
                <w:spacing w:val="5"/>
              </w:rPr>
              <w:t>东南</w:t>
            </w:r>
          </w:p>
        </w:tc>
        <w:tc>
          <w:tcPr>
            <w:tcW w:w="719" w:type="dxa"/>
            <w:vAlign w:val="top"/>
          </w:tcPr>
          <w:p>
            <w:pPr>
              <w:pStyle w:val="TableText"/>
              <w:ind w:left="147"/>
              <w:spacing w:before="64" w:line="185" w:lineRule="auto"/>
              <w:rPr>
                <w:sz w:val="21"/>
                <w:szCs w:val="21"/>
              </w:rPr>
            </w:pPr>
            <w:r>
              <w:rPr>
                <w:sz w:val="21"/>
                <w:szCs w:val="21"/>
                <w:spacing w:val="-3"/>
              </w:rPr>
              <w:t>2005</w:t>
            </w:r>
          </w:p>
        </w:tc>
        <w:tc>
          <w:tcPr>
            <w:tcW w:w="679" w:type="dxa"/>
            <w:vAlign w:val="top"/>
          </w:tcPr>
          <w:p>
            <w:pPr>
              <w:pStyle w:val="TableText"/>
              <w:ind w:right="2"/>
              <w:spacing w:before="44" w:line="203" w:lineRule="auto"/>
              <w:jc w:val="right"/>
              <w:rPr>
                <w:sz w:val="21"/>
                <w:szCs w:val="21"/>
              </w:rPr>
            </w:pPr>
            <w:r>
              <w:rPr>
                <w:sz w:val="21"/>
                <w:szCs w:val="21"/>
                <w:spacing w:val="5"/>
              </w:rPr>
              <w:t>居民区</w:t>
            </w:r>
          </w:p>
        </w:tc>
        <w:tc>
          <w:tcPr>
            <w:tcW w:w="1024" w:type="dxa"/>
            <w:vAlign w:val="top"/>
          </w:tcPr>
          <w:p>
            <w:pPr>
              <w:pStyle w:val="TableText"/>
              <w:ind w:left="189"/>
              <w:spacing w:before="42" w:line="204" w:lineRule="auto"/>
              <w:rPr>
                <w:sz w:val="21"/>
                <w:szCs w:val="21"/>
              </w:rPr>
            </w:pPr>
            <w:r>
              <w:rPr>
                <w:sz w:val="21"/>
                <w:szCs w:val="21"/>
                <w:spacing w:val="6"/>
              </w:rPr>
              <w:t>二类区</w:t>
            </w:r>
          </w:p>
        </w:tc>
      </w:tr>
      <w:tr>
        <w:trPr>
          <w:trHeight w:val="26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870"/>
              <w:spacing w:before="28" w:line="195" w:lineRule="auto"/>
              <w:rPr>
                <w:sz w:val="21"/>
                <w:szCs w:val="21"/>
              </w:rPr>
            </w:pPr>
            <w:r>
              <w:rPr>
                <w:sz w:val="21"/>
                <w:szCs w:val="21"/>
                <w:spacing w:val="2"/>
              </w:rPr>
              <w:t>帝豪金城</w:t>
            </w:r>
          </w:p>
        </w:tc>
        <w:tc>
          <w:tcPr>
            <w:tcW w:w="1038" w:type="dxa"/>
            <w:vAlign w:val="top"/>
          </w:tcPr>
          <w:p>
            <w:pPr>
              <w:pStyle w:val="TableText"/>
              <w:spacing w:before="49" w:line="176" w:lineRule="auto"/>
              <w:jc w:val="right"/>
              <w:rPr>
                <w:sz w:val="21"/>
                <w:szCs w:val="21"/>
              </w:rPr>
            </w:pPr>
            <w:r>
              <w:rPr>
                <w:sz w:val="21"/>
                <w:szCs w:val="21"/>
                <w:spacing w:val="-4"/>
              </w:rPr>
              <w:t>104.554610</w:t>
            </w:r>
          </w:p>
        </w:tc>
        <w:tc>
          <w:tcPr>
            <w:tcW w:w="989" w:type="dxa"/>
            <w:vAlign w:val="top"/>
          </w:tcPr>
          <w:p>
            <w:pPr>
              <w:pStyle w:val="TableText"/>
              <w:ind w:left="15"/>
              <w:spacing w:before="49" w:line="176" w:lineRule="auto"/>
              <w:rPr>
                <w:sz w:val="21"/>
                <w:szCs w:val="21"/>
              </w:rPr>
            </w:pPr>
            <w:r>
              <w:rPr>
                <w:sz w:val="21"/>
                <w:szCs w:val="21"/>
                <w:spacing w:val="-2"/>
              </w:rPr>
              <w:t>31.530446</w:t>
            </w:r>
          </w:p>
        </w:tc>
        <w:tc>
          <w:tcPr>
            <w:tcW w:w="519" w:type="dxa"/>
            <w:vAlign w:val="top"/>
          </w:tcPr>
          <w:p>
            <w:pPr>
              <w:pStyle w:val="TableText"/>
              <w:ind w:left="46"/>
              <w:spacing w:before="28" w:line="195" w:lineRule="auto"/>
              <w:rPr>
                <w:sz w:val="21"/>
                <w:szCs w:val="21"/>
              </w:rPr>
            </w:pPr>
            <w:r>
              <w:rPr>
                <w:sz w:val="21"/>
                <w:szCs w:val="21"/>
                <w:spacing w:val="5"/>
              </w:rPr>
              <w:t>东南</w:t>
            </w:r>
          </w:p>
        </w:tc>
        <w:tc>
          <w:tcPr>
            <w:tcW w:w="719" w:type="dxa"/>
            <w:vAlign w:val="top"/>
          </w:tcPr>
          <w:p>
            <w:pPr>
              <w:pStyle w:val="TableText"/>
              <w:ind w:left="147"/>
              <w:spacing w:before="49" w:line="176" w:lineRule="auto"/>
              <w:rPr>
                <w:sz w:val="21"/>
                <w:szCs w:val="21"/>
              </w:rPr>
            </w:pPr>
            <w:r>
              <w:rPr>
                <w:sz w:val="21"/>
                <w:szCs w:val="21"/>
                <w:spacing w:val="-5"/>
              </w:rPr>
              <w:t>1984</w:t>
            </w:r>
          </w:p>
        </w:tc>
        <w:tc>
          <w:tcPr>
            <w:tcW w:w="679" w:type="dxa"/>
            <w:vAlign w:val="top"/>
          </w:tcPr>
          <w:p>
            <w:pPr>
              <w:pStyle w:val="TableText"/>
              <w:ind w:right="2"/>
              <w:spacing w:before="29" w:line="194" w:lineRule="auto"/>
              <w:jc w:val="right"/>
              <w:rPr>
                <w:sz w:val="21"/>
                <w:szCs w:val="21"/>
              </w:rPr>
            </w:pPr>
            <w:r>
              <w:rPr>
                <w:sz w:val="21"/>
                <w:szCs w:val="21"/>
                <w:spacing w:val="5"/>
              </w:rPr>
              <w:t>居民区</w:t>
            </w:r>
          </w:p>
        </w:tc>
        <w:tc>
          <w:tcPr>
            <w:tcW w:w="1024" w:type="dxa"/>
            <w:vAlign w:val="top"/>
          </w:tcPr>
          <w:p>
            <w:pPr>
              <w:pStyle w:val="TableText"/>
              <w:ind w:left="189"/>
              <w:spacing w:before="28" w:line="195" w:lineRule="auto"/>
              <w:rPr>
                <w:sz w:val="21"/>
                <w:szCs w:val="21"/>
              </w:rPr>
            </w:pPr>
            <w:r>
              <w:rPr>
                <w:sz w:val="21"/>
                <w:szCs w:val="21"/>
                <w:color w:val="404040"/>
                <w:spacing w:val="6"/>
              </w:rPr>
              <w:t>二类区</w:t>
            </w:r>
          </w:p>
        </w:tc>
      </w:tr>
      <w:tr>
        <w:trPr>
          <w:trHeight w:val="28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870"/>
              <w:spacing w:before="39" w:line="203" w:lineRule="auto"/>
              <w:rPr>
                <w:sz w:val="21"/>
                <w:szCs w:val="21"/>
              </w:rPr>
            </w:pPr>
            <w:r>
              <w:rPr>
                <w:sz w:val="21"/>
                <w:szCs w:val="21"/>
                <w:spacing w:val="4"/>
              </w:rPr>
              <w:t>西圣家园</w:t>
            </w:r>
          </w:p>
        </w:tc>
        <w:tc>
          <w:tcPr>
            <w:tcW w:w="1038" w:type="dxa"/>
            <w:vAlign w:val="top"/>
          </w:tcPr>
          <w:p>
            <w:pPr>
              <w:pStyle w:val="TableText"/>
              <w:spacing w:before="59" w:line="185" w:lineRule="auto"/>
              <w:jc w:val="right"/>
              <w:rPr>
                <w:sz w:val="21"/>
                <w:szCs w:val="21"/>
              </w:rPr>
            </w:pPr>
            <w:r>
              <w:rPr>
                <w:sz w:val="21"/>
                <w:szCs w:val="21"/>
                <w:color w:val="404040"/>
                <w:spacing w:val="-4"/>
              </w:rPr>
              <w:t>104.557743</w:t>
            </w:r>
          </w:p>
        </w:tc>
        <w:tc>
          <w:tcPr>
            <w:tcW w:w="989" w:type="dxa"/>
            <w:vAlign w:val="top"/>
          </w:tcPr>
          <w:p>
            <w:pPr>
              <w:pStyle w:val="TableText"/>
              <w:ind w:left="15"/>
              <w:spacing w:before="59" w:line="185" w:lineRule="auto"/>
              <w:rPr>
                <w:sz w:val="21"/>
                <w:szCs w:val="21"/>
              </w:rPr>
            </w:pPr>
            <w:r>
              <w:rPr>
                <w:sz w:val="21"/>
                <w:szCs w:val="21"/>
                <w:color w:val="605050"/>
                <w:spacing w:val="-2"/>
              </w:rPr>
              <w:t>31.532897</w:t>
            </w:r>
          </w:p>
        </w:tc>
        <w:tc>
          <w:tcPr>
            <w:tcW w:w="519" w:type="dxa"/>
            <w:vAlign w:val="top"/>
          </w:tcPr>
          <w:p>
            <w:pPr>
              <w:pStyle w:val="TableText"/>
              <w:ind w:left="46"/>
              <w:spacing w:before="37" w:line="204" w:lineRule="auto"/>
              <w:rPr>
                <w:sz w:val="21"/>
                <w:szCs w:val="21"/>
              </w:rPr>
            </w:pPr>
            <w:r>
              <w:rPr>
                <w:sz w:val="21"/>
                <w:szCs w:val="21"/>
                <w:color w:val="404050"/>
                <w:spacing w:val="5"/>
              </w:rPr>
              <w:t>东南</w:t>
            </w:r>
          </w:p>
        </w:tc>
        <w:tc>
          <w:tcPr>
            <w:tcW w:w="719" w:type="dxa"/>
            <w:vAlign w:val="top"/>
          </w:tcPr>
          <w:p>
            <w:pPr>
              <w:pStyle w:val="TableText"/>
              <w:ind w:left="147"/>
              <w:spacing w:before="59" w:line="185" w:lineRule="auto"/>
              <w:rPr>
                <w:sz w:val="21"/>
                <w:szCs w:val="21"/>
              </w:rPr>
            </w:pPr>
            <w:r>
              <w:rPr>
                <w:sz w:val="21"/>
                <w:szCs w:val="21"/>
                <w:spacing w:val="-3"/>
              </w:rPr>
              <w:t>2154</w:t>
            </w:r>
          </w:p>
        </w:tc>
        <w:tc>
          <w:tcPr>
            <w:tcW w:w="679" w:type="dxa"/>
            <w:vAlign w:val="top"/>
          </w:tcPr>
          <w:p>
            <w:pPr>
              <w:pStyle w:val="TableText"/>
              <w:ind w:right="2"/>
              <w:spacing w:before="39" w:line="203" w:lineRule="auto"/>
              <w:jc w:val="right"/>
              <w:rPr>
                <w:sz w:val="21"/>
                <w:szCs w:val="21"/>
              </w:rPr>
            </w:pPr>
            <w:r>
              <w:rPr>
                <w:sz w:val="21"/>
                <w:szCs w:val="21"/>
                <w:color w:val="606060"/>
                <w:spacing w:val="5"/>
              </w:rPr>
              <w:t>居民区</w:t>
            </w:r>
          </w:p>
        </w:tc>
        <w:tc>
          <w:tcPr>
            <w:tcW w:w="1024" w:type="dxa"/>
            <w:vAlign w:val="top"/>
          </w:tcPr>
          <w:p>
            <w:pPr>
              <w:pStyle w:val="TableText"/>
              <w:ind w:left="189"/>
              <w:spacing w:before="37" w:line="204" w:lineRule="auto"/>
              <w:rPr>
                <w:sz w:val="21"/>
                <w:szCs w:val="21"/>
              </w:rPr>
            </w:pPr>
            <w:r>
              <w:rPr>
                <w:sz w:val="21"/>
                <w:szCs w:val="21"/>
                <w:spacing w:val="6"/>
              </w:rPr>
              <w:t>二类区</w:t>
            </w:r>
          </w:p>
        </w:tc>
      </w:tr>
      <w:tr>
        <w:trPr>
          <w:trHeight w:val="27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870"/>
              <w:spacing w:before="29" w:line="203" w:lineRule="auto"/>
              <w:rPr>
                <w:sz w:val="21"/>
                <w:szCs w:val="21"/>
              </w:rPr>
            </w:pPr>
            <w:r>
              <w:rPr>
                <w:sz w:val="21"/>
                <w:szCs w:val="21"/>
                <w:spacing w:val="4"/>
              </w:rPr>
              <w:t>华丰小区</w:t>
            </w:r>
          </w:p>
        </w:tc>
        <w:tc>
          <w:tcPr>
            <w:tcW w:w="1038" w:type="dxa"/>
            <w:vAlign w:val="top"/>
          </w:tcPr>
          <w:p>
            <w:pPr>
              <w:pStyle w:val="TableText"/>
              <w:spacing w:before="49" w:line="185" w:lineRule="auto"/>
              <w:jc w:val="right"/>
              <w:rPr>
                <w:sz w:val="21"/>
                <w:szCs w:val="21"/>
              </w:rPr>
            </w:pPr>
            <w:r>
              <w:rPr>
                <w:sz w:val="21"/>
                <w:szCs w:val="21"/>
                <w:spacing w:val="-4"/>
              </w:rPr>
              <w:t>104.558730</w:t>
            </w:r>
          </w:p>
        </w:tc>
        <w:tc>
          <w:tcPr>
            <w:tcW w:w="989" w:type="dxa"/>
            <w:vAlign w:val="top"/>
          </w:tcPr>
          <w:p>
            <w:pPr>
              <w:pStyle w:val="TableText"/>
              <w:ind w:left="15"/>
              <w:spacing w:before="49" w:line="185" w:lineRule="auto"/>
              <w:rPr>
                <w:sz w:val="21"/>
                <w:szCs w:val="21"/>
              </w:rPr>
            </w:pPr>
            <w:r>
              <w:rPr>
                <w:sz w:val="21"/>
                <w:szCs w:val="21"/>
                <w:spacing w:val="-2"/>
              </w:rPr>
              <w:t>31.533409</w:t>
            </w:r>
          </w:p>
        </w:tc>
        <w:tc>
          <w:tcPr>
            <w:tcW w:w="519" w:type="dxa"/>
            <w:vAlign w:val="top"/>
          </w:tcPr>
          <w:p>
            <w:pPr>
              <w:pStyle w:val="TableText"/>
              <w:ind w:left="46"/>
              <w:spacing w:before="27" w:line="204" w:lineRule="auto"/>
              <w:rPr>
                <w:sz w:val="21"/>
                <w:szCs w:val="21"/>
              </w:rPr>
            </w:pPr>
            <w:r>
              <w:rPr>
                <w:sz w:val="21"/>
                <w:szCs w:val="21"/>
                <w:color w:val="505060"/>
                <w:spacing w:val="5"/>
              </w:rPr>
              <w:t>东南</w:t>
            </w:r>
          </w:p>
        </w:tc>
        <w:tc>
          <w:tcPr>
            <w:tcW w:w="719" w:type="dxa"/>
            <w:vAlign w:val="top"/>
          </w:tcPr>
          <w:p>
            <w:pPr>
              <w:pStyle w:val="TableText"/>
              <w:ind w:left="147"/>
              <w:spacing w:before="49" w:line="185" w:lineRule="auto"/>
              <w:rPr>
                <w:sz w:val="21"/>
                <w:szCs w:val="21"/>
              </w:rPr>
            </w:pPr>
            <w:r>
              <w:rPr>
                <w:sz w:val="21"/>
                <w:szCs w:val="21"/>
                <w:spacing w:val="-3"/>
              </w:rPr>
              <w:t>2226</w:t>
            </w:r>
          </w:p>
        </w:tc>
        <w:tc>
          <w:tcPr>
            <w:tcW w:w="679" w:type="dxa"/>
            <w:vAlign w:val="top"/>
          </w:tcPr>
          <w:p>
            <w:pPr>
              <w:pStyle w:val="TableText"/>
              <w:ind w:right="2"/>
              <w:spacing w:before="29" w:line="203" w:lineRule="auto"/>
              <w:jc w:val="right"/>
              <w:rPr>
                <w:sz w:val="21"/>
                <w:szCs w:val="21"/>
              </w:rPr>
            </w:pPr>
            <w:r>
              <w:rPr>
                <w:sz w:val="21"/>
                <w:szCs w:val="21"/>
                <w:color w:val="606060"/>
                <w:spacing w:val="5"/>
              </w:rPr>
              <w:t>居民区</w:t>
            </w:r>
          </w:p>
        </w:tc>
        <w:tc>
          <w:tcPr>
            <w:tcW w:w="1024" w:type="dxa"/>
            <w:vAlign w:val="top"/>
          </w:tcPr>
          <w:p>
            <w:pPr>
              <w:pStyle w:val="TableText"/>
              <w:ind w:left="189"/>
              <w:spacing w:before="27" w:line="204" w:lineRule="auto"/>
              <w:rPr>
                <w:sz w:val="21"/>
                <w:szCs w:val="21"/>
              </w:rPr>
            </w:pPr>
            <w:r>
              <w:rPr>
                <w:sz w:val="21"/>
                <w:szCs w:val="21"/>
                <w:color w:val="505050"/>
                <w:spacing w:val="6"/>
              </w:rPr>
              <w:t>二类区</w:t>
            </w:r>
          </w:p>
        </w:tc>
      </w:tr>
      <w:tr>
        <w:trPr>
          <w:trHeight w:val="26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660"/>
              <w:spacing w:before="28" w:line="195" w:lineRule="auto"/>
              <w:rPr>
                <w:sz w:val="21"/>
                <w:szCs w:val="21"/>
              </w:rPr>
            </w:pPr>
            <w:r>
              <w:rPr>
                <w:sz w:val="21"/>
                <w:szCs w:val="21"/>
                <w:spacing w:val="-17"/>
              </w:rPr>
              <w:t>圣鼎</w:t>
            </w:r>
            <w:r>
              <w:rPr>
                <w:sz w:val="21"/>
                <w:szCs w:val="21"/>
                <w:spacing w:val="-20"/>
              </w:rPr>
              <w:t xml:space="preserve"> </w:t>
            </w:r>
            <w:r>
              <w:rPr>
                <w:sz w:val="21"/>
                <w:szCs w:val="21"/>
                <w:spacing w:val="-17"/>
              </w:rPr>
              <w:t>·</w:t>
            </w:r>
            <w:r>
              <w:rPr>
                <w:sz w:val="21"/>
                <w:szCs w:val="21"/>
                <w:spacing w:val="-70"/>
              </w:rPr>
              <w:t xml:space="preserve"> </w:t>
            </w:r>
            <w:r>
              <w:rPr>
                <w:sz w:val="21"/>
                <w:szCs w:val="21"/>
                <w:spacing w:val="-17"/>
              </w:rPr>
              <w:t>巴洛克</w:t>
            </w:r>
          </w:p>
        </w:tc>
        <w:tc>
          <w:tcPr>
            <w:tcW w:w="1038" w:type="dxa"/>
            <w:vAlign w:val="top"/>
          </w:tcPr>
          <w:p>
            <w:pPr>
              <w:pStyle w:val="TableText"/>
              <w:spacing w:before="49" w:line="176" w:lineRule="auto"/>
              <w:jc w:val="right"/>
              <w:rPr>
                <w:sz w:val="21"/>
                <w:szCs w:val="21"/>
              </w:rPr>
            </w:pPr>
            <w:r>
              <w:rPr>
                <w:sz w:val="21"/>
                <w:szCs w:val="21"/>
                <w:spacing w:val="-4"/>
              </w:rPr>
              <w:t>104.559642</w:t>
            </w:r>
          </w:p>
        </w:tc>
        <w:tc>
          <w:tcPr>
            <w:tcW w:w="989" w:type="dxa"/>
            <w:vAlign w:val="top"/>
          </w:tcPr>
          <w:p>
            <w:pPr>
              <w:pStyle w:val="TableText"/>
              <w:ind w:left="15"/>
              <w:spacing w:before="49" w:line="176" w:lineRule="auto"/>
              <w:rPr>
                <w:sz w:val="21"/>
                <w:szCs w:val="21"/>
              </w:rPr>
            </w:pPr>
            <w:r>
              <w:rPr>
                <w:sz w:val="21"/>
                <w:szCs w:val="21"/>
                <w:spacing w:val="-2"/>
              </w:rPr>
              <w:t>31.530226</w:t>
            </w:r>
          </w:p>
        </w:tc>
        <w:tc>
          <w:tcPr>
            <w:tcW w:w="519" w:type="dxa"/>
            <w:vAlign w:val="top"/>
          </w:tcPr>
          <w:p>
            <w:pPr>
              <w:pStyle w:val="TableText"/>
              <w:ind w:left="46"/>
              <w:spacing w:before="28" w:line="195" w:lineRule="auto"/>
              <w:rPr>
                <w:sz w:val="21"/>
                <w:szCs w:val="21"/>
              </w:rPr>
            </w:pPr>
            <w:r>
              <w:rPr>
                <w:sz w:val="21"/>
                <w:szCs w:val="21"/>
                <w:spacing w:val="5"/>
              </w:rPr>
              <w:t>东南</w:t>
            </w:r>
          </w:p>
        </w:tc>
        <w:tc>
          <w:tcPr>
            <w:tcW w:w="719" w:type="dxa"/>
            <w:vAlign w:val="top"/>
          </w:tcPr>
          <w:p>
            <w:pPr>
              <w:pStyle w:val="TableText"/>
              <w:ind w:left="147"/>
              <w:spacing w:before="49" w:line="176" w:lineRule="auto"/>
              <w:rPr>
                <w:sz w:val="21"/>
                <w:szCs w:val="21"/>
              </w:rPr>
            </w:pPr>
            <w:r>
              <w:rPr>
                <w:sz w:val="21"/>
                <w:szCs w:val="21"/>
                <w:spacing w:val="-3"/>
              </w:rPr>
              <w:t>2395</w:t>
            </w:r>
          </w:p>
        </w:tc>
        <w:tc>
          <w:tcPr>
            <w:tcW w:w="679" w:type="dxa"/>
            <w:vAlign w:val="top"/>
          </w:tcPr>
          <w:p>
            <w:pPr>
              <w:pStyle w:val="TableText"/>
              <w:ind w:right="2"/>
              <w:spacing w:before="29" w:line="194" w:lineRule="auto"/>
              <w:jc w:val="right"/>
              <w:rPr>
                <w:sz w:val="21"/>
                <w:szCs w:val="21"/>
              </w:rPr>
            </w:pPr>
            <w:r>
              <w:rPr>
                <w:sz w:val="21"/>
                <w:szCs w:val="21"/>
                <w:color w:val="607060"/>
                <w:spacing w:val="5"/>
              </w:rPr>
              <w:t>居民区</w:t>
            </w:r>
          </w:p>
        </w:tc>
        <w:tc>
          <w:tcPr>
            <w:tcW w:w="1024" w:type="dxa"/>
            <w:vAlign w:val="top"/>
          </w:tcPr>
          <w:p>
            <w:pPr>
              <w:pStyle w:val="TableText"/>
              <w:ind w:left="189"/>
              <w:spacing w:before="28" w:line="195" w:lineRule="auto"/>
              <w:rPr>
                <w:sz w:val="21"/>
                <w:szCs w:val="21"/>
              </w:rPr>
            </w:pPr>
            <w:r>
              <w:rPr>
                <w:sz w:val="21"/>
                <w:szCs w:val="21"/>
                <w:color w:val="404050"/>
                <w:spacing w:val="6"/>
              </w:rPr>
              <w:t>二类区</w:t>
            </w:r>
          </w:p>
        </w:tc>
      </w:tr>
      <w:tr>
        <w:trPr>
          <w:trHeight w:val="289"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971"/>
              <w:spacing w:before="37" w:line="212" w:lineRule="auto"/>
              <w:rPr>
                <w:sz w:val="21"/>
                <w:szCs w:val="21"/>
              </w:rPr>
            </w:pPr>
            <w:r>
              <w:rPr>
                <w:sz w:val="21"/>
                <w:szCs w:val="21"/>
                <w:spacing w:val="-3"/>
              </w:rPr>
              <w:t>罗林村</w:t>
            </w:r>
          </w:p>
        </w:tc>
        <w:tc>
          <w:tcPr>
            <w:tcW w:w="1038" w:type="dxa"/>
            <w:vAlign w:val="top"/>
          </w:tcPr>
          <w:p>
            <w:pPr>
              <w:pStyle w:val="TableText"/>
              <w:spacing w:before="59" w:line="193" w:lineRule="auto"/>
              <w:jc w:val="right"/>
              <w:rPr>
                <w:sz w:val="21"/>
                <w:szCs w:val="21"/>
              </w:rPr>
            </w:pPr>
            <w:r>
              <w:rPr>
                <w:sz w:val="21"/>
                <w:szCs w:val="21"/>
                <w:spacing w:val="-4"/>
              </w:rPr>
              <w:t>104.542851</w:t>
            </w:r>
          </w:p>
        </w:tc>
        <w:tc>
          <w:tcPr>
            <w:tcW w:w="989" w:type="dxa"/>
            <w:vAlign w:val="top"/>
          </w:tcPr>
          <w:p>
            <w:pPr>
              <w:pStyle w:val="TableText"/>
              <w:ind w:left="15"/>
              <w:spacing w:before="59" w:line="193" w:lineRule="auto"/>
              <w:rPr>
                <w:sz w:val="21"/>
                <w:szCs w:val="21"/>
              </w:rPr>
            </w:pPr>
            <w:r>
              <w:rPr>
                <w:sz w:val="21"/>
                <w:szCs w:val="21"/>
                <w:spacing w:val="-2"/>
              </w:rPr>
              <w:t>31.547527</w:t>
            </w:r>
          </w:p>
        </w:tc>
        <w:tc>
          <w:tcPr>
            <w:tcW w:w="519" w:type="dxa"/>
            <w:vAlign w:val="top"/>
          </w:tcPr>
          <w:p>
            <w:pPr>
              <w:pStyle w:val="TableText"/>
              <w:ind w:left="46"/>
              <w:spacing w:before="38" w:line="211" w:lineRule="auto"/>
              <w:rPr>
                <w:sz w:val="21"/>
                <w:szCs w:val="21"/>
              </w:rPr>
            </w:pPr>
            <w:r>
              <w:rPr>
                <w:sz w:val="21"/>
                <w:szCs w:val="21"/>
                <w:color w:val="506060"/>
                <w:spacing w:val="5"/>
              </w:rPr>
              <w:t>东北</w:t>
            </w:r>
          </w:p>
        </w:tc>
        <w:tc>
          <w:tcPr>
            <w:tcW w:w="719" w:type="dxa"/>
            <w:vAlign w:val="top"/>
          </w:tcPr>
          <w:p>
            <w:pPr>
              <w:pStyle w:val="TableText"/>
              <w:ind w:left="198"/>
              <w:spacing w:before="59" w:line="193" w:lineRule="auto"/>
              <w:rPr>
                <w:sz w:val="21"/>
                <w:szCs w:val="21"/>
              </w:rPr>
            </w:pPr>
            <w:r>
              <w:rPr>
                <w:sz w:val="21"/>
                <w:szCs w:val="21"/>
                <w:spacing w:val="-3"/>
              </w:rPr>
              <w:t>989</w:t>
            </w:r>
          </w:p>
        </w:tc>
        <w:tc>
          <w:tcPr>
            <w:tcW w:w="679" w:type="dxa"/>
            <w:vAlign w:val="top"/>
          </w:tcPr>
          <w:p>
            <w:pPr>
              <w:pStyle w:val="TableText"/>
              <w:ind w:right="2"/>
              <w:spacing w:before="38" w:line="211" w:lineRule="auto"/>
              <w:jc w:val="right"/>
              <w:rPr>
                <w:sz w:val="21"/>
                <w:szCs w:val="21"/>
              </w:rPr>
            </w:pPr>
            <w:r>
              <w:rPr>
                <w:sz w:val="21"/>
                <w:szCs w:val="21"/>
                <w:color w:val="404040"/>
                <w:spacing w:val="5"/>
              </w:rPr>
              <w:t>居民区</w:t>
            </w:r>
          </w:p>
        </w:tc>
        <w:tc>
          <w:tcPr>
            <w:tcW w:w="1024" w:type="dxa"/>
            <w:vAlign w:val="top"/>
          </w:tcPr>
          <w:p>
            <w:pPr>
              <w:pStyle w:val="TableText"/>
              <w:ind w:left="189"/>
              <w:spacing w:before="38" w:line="211" w:lineRule="auto"/>
              <w:rPr>
                <w:sz w:val="21"/>
                <w:szCs w:val="21"/>
              </w:rPr>
            </w:pPr>
            <w:r>
              <w:rPr>
                <w:sz w:val="21"/>
                <w:szCs w:val="21"/>
                <w:spacing w:val="6"/>
              </w:rPr>
              <w:t>二类区</w:t>
            </w:r>
          </w:p>
        </w:tc>
      </w:tr>
      <w:tr>
        <w:trPr>
          <w:trHeight w:val="26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971"/>
              <w:spacing w:before="29" w:line="194" w:lineRule="auto"/>
              <w:rPr>
                <w:sz w:val="21"/>
                <w:szCs w:val="21"/>
              </w:rPr>
            </w:pPr>
            <w:r>
              <w:rPr>
                <w:sz w:val="21"/>
                <w:szCs w:val="21"/>
                <w:spacing w:val="-3"/>
              </w:rPr>
              <w:t>龙兴村</w:t>
            </w:r>
          </w:p>
        </w:tc>
        <w:tc>
          <w:tcPr>
            <w:tcW w:w="1038" w:type="dxa"/>
            <w:vAlign w:val="top"/>
          </w:tcPr>
          <w:p>
            <w:pPr>
              <w:pStyle w:val="TableText"/>
              <w:spacing w:before="50" w:line="175" w:lineRule="auto"/>
              <w:jc w:val="right"/>
              <w:rPr>
                <w:sz w:val="21"/>
                <w:szCs w:val="21"/>
              </w:rPr>
            </w:pPr>
            <w:r>
              <w:rPr>
                <w:sz w:val="21"/>
                <w:szCs w:val="21"/>
                <w:spacing w:val="-4"/>
              </w:rPr>
              <w:t>104.552835</w:t>
            </w:r>
          </w:p>
        </w:tc>
        <w:tc>
          <w:tcPr>
            <w:tcW w:w="989" w:type="dxa"/>
            <w:vAlign w:val="top"/>
          </w:tcPr>
          <w:p>
            <w:pPr>
              <w:pStyle w:val="TableText"/>
              <w:ind w:left="15"/>
              <w:spacing w:before="50" w:line="175" w:lineRule="auto"/>
              <w:rPr>
                <w:sz w:val="21"/>
                <w:szCs w:val="21"/>
              </w:rPr>
            </w:pPr>
            <w:r>
              <w:rPr>
                <w:sz w:val="21"/>
                <w:szCs w:val="21"/>
                <w:spacing w:val="-2"/>
              </w:rPr>
              <w:t>31.554119</w:t>
            </w:r>
          </w:p>
        </w:tc>
        <w:tc>
          <w:tcPr>
            <w:tcW w:w="519" w:type="dxa"/>
            <w:vAlign w:val="top"/>
          </w:tcPr>
          <w:p>
            <w:pPr>
              <w:pStyle w:val="TableText"/>
              <w:ind w:left="46"/>
              <w:spacing w:before="29" w:line="194" w:lineRule="auto"/>
              <w:rPr>
                <w:sz w:val="21"/>
                <w:szCs w:val="21"/>
              </w:rPr>
            </w:pPr>
            <w:r>
              <w:rPr>
                <w:sz w:val="21"/>
                <w:szCs w:val="21"/>
                <w:color w:val="404050"/>
                <w:spacing w:val="5"/>
              </w:rPr>
              <w:t>东北</w:t>
            </w:r>
          </w:p>
        </w:tc>
        <w:tc>
          <w:tcPr>
            <w:tcW w:w="719" w:type="dxa"/>
            <w:vAlign w:val="top"/>
          </w:tcPr>
          <w:p>
            <w:pPr>
              <w:pStyle w:val="TableText"/>
              <w:ind w:left="147"/>
              <w:spacing w:before="50" w:line="175" w:lineRule="auto"/>
              <w:rPr>
                <w:sz w:val="21"/>
                <w:szCs w:val="21"/>
              </w:rPr>
            </w:pPr>
            <w:r>
              <w:rPr>
                <w:sz w:val="21"/>
                <w:szCs w:val="21"/>
                <w:spacing w:val="-3"/>
              </w:rPr>
              <w:t>2281</w:t>
            </w:r>
          </w:p>
        </w:tc>
        <w:tc>
          <w:tcPr>
            <w:tcW w:w="679" w:type="dxa"/>
            <w:vAlign w:val="top"/>
          </w:tcPr>
          <w:p>
            <w:pPr>
              <w:pStyle w:val="TableText"/>
              <w:ind w:right="2"/>
              <w:spacing w:before="30" w:line="193" w:lineRule="auto"/>
              <w:jc w:val="right"/>
              <w:rPr>
                <w:sz w:val="21"/>
                <w:szCs w:val="21"/>
              </w:rPr>
            </w:pPr>
            <w:r>
              <w:rPr>
                <w:sz w:val="21"/>
                <w:szCs w:val="21"/>
                <w:color w:val="506060"/>
                <w:spacing w:val="5"/>
              </w:rPr>
              <w:t>居民区</w:t>
            </w:r>
          </w:p>
        </w:tc>
        <w:tc>
          <w:tcPr>
            <w:tcW w:w="1024" w:type="dxa"/>
            <w:vAlign w:val="top"/>
          </w:tcPr>
          <w:p>
            <w:pPr>
              <w:pStyle w:val="TableText"/>
              <w:ind w:left="189"/>
              <w:spacing w:before="29" w:line="194" w:lineRule="auto"/>
              <w:rPr>
                <w:sz w:val="21"/>
                <w:szCs w:val="21"/>
              </w:rPr>
            </w:pPr>
            <w:r>
              <w:rPr>
                <w:sz w:val="21"/>
                <w:szCs w:val="21"/>
                <w:spacing w:val="6"/>
              </w:rPr>
              <w:t>二类区</w:t>
            </w:r>
          </w:p>
        </w:tc>
      </w:tr>
      <w:tr>
        <w:trPr>
          <w:trHeight w:val="289"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971"/>
              <w:spacing w:before="38" w:line="211" w:lineRule="auto"/>
              <w:rPr>
                <w:sz w:val="21"/>
                <w:szCs w:val="21"/>
              </w:rPr>
            </w:pPr>
            <w:r>
              <w:rPr>
                <w:sz w:val="21"/>
                <w:szCs w:val="21"/>
                <w:spacing w:val="4"/>
              </w:rPr>
              <w:t>三官庙</w:t>
            </w:r>
          </w:p>
        </w:tc>
        <w:tc>
          <w:tcPr>
            <w:tcW w:w="1038" w:type="dxa"/>
            <w:vAlign w:val="top"/>
          </w:tcPr>
          <w:p>
            <w:pPr>
              <w:pStyle w:val="TableText"/>
              <w:spacing w:before="60" w:line="192" w:lineRule="auto"/>
              <w:jc w:val="right"/>
              <w:rPr>
                <w:sz w:val="21"/>
                <w:szCs w:val="21"/>
              </w:rPr>
            </w:pPr>
            <w:r>
              <w:rPr>
                <w:sz w:val="21"/>
                <w:szCs w:val="21"/>
                <w:spacing w:val="-4"/>
              </w:rPr>
              <w:t>104.529977</w:t>
            </w:r>
          </w:p>
        </w:tc>
        <w:tc>
          <w:tcPr>
            <w:tcW w:w="989" w:type="dxa"/>
            <w:vAlign w:val="top"/>
          </w:tcPr>
          <w:p>
            <w:pPr>
              <w:pStyle w:val="TableText"/>
              <w:ind w:left="66"/>
              <w:spacing w:before="60" w:line="192" w:lineRule="auto"/>
              <w:rPr>
                <w:sz w:val="21"/>
                <w:szCs w:val="21"/>
              </w:rPr>
            </w:pPr>
            <w:r>
              <w:rPr>
                <w:sz w:val="21"/>
                <w:szCs w:val="21"/>
                <w:spacing w:val="-2"/>
              </w:rPr>
              <w:t>31.54248</w:t>
            </w:r>
          </w:p>
        </w:tc>
        <w:tc>
          <w:tcPr>
            <w:tcW w:w="519" w:type="dxa"/>
            <w:vAlign w:val="top"/>
          </w:tcPr>
          <w:p>
            <w:pPr>
              <w:pStyle w:val="TableText"/>
              <w:ind w:left="46"/>
              <w:spacing w:before="43" w:line="207" w:lineRule="auto"/>
              <w:rPr>
                <w:sz w:val="21"/>
                <w:szCs w:val="21"/>
              </w:rPr>
            </w:pPr>
            <w:r>
              <w:rPr>
                <w:sz w:val="21"/>
                <w:szCs w:val="21"/>
                <w:color w:val="504050"/>
                <w:spacing w:val="5"/>
              </w:rPr>
              <w:t>西北</w:t>
            </w:r>
          </w:p>
        </w:tc>
        <w:tc>
          <w:tcPr>
            <w:tcW w:w="719" w:type="dxa"/>
            <w:vAlign w:val="top"/>
          </w:tcPr>
          <w:p>
            <w:pPr>
              <w:pStyle w:val="TableText"/>
              <w:ind w:left="198"/>
              <w:spacing w:before="60" w:line="192" w:lineRule="auto"/>
              <w:rPr>
                <w:sz w:val="21"/>
                <w:szCs w:val="21"/>
              </w:rPr>
            </w:pPr>
            <w:r>
              <w:rPr>
                <w:sz w:val="21"/>
                <w:szCs w:val="21"/>
                <w:spacing w:val="-3"/>
              </w:rPr>
              <w:t>714</w:t>
            </w:r>
          </w:p>
        </w:tc>
        <w:tc>
          <w:tcPr>
            <w:tcW w:w="679" w:type="dxa"/>
            <w:vAlign w:val="top"/>
          </w:tcPr>
          <w:p>
            <w:pPr>
              <w:pStyle w:val="TableText"/>
              <w:ind w:right="2"/>
              <w:spacing w:before="40" w:line="210" w:lineRule="auto"/>
              <w:jc w:val="right"/>
              <w:rPr>
                <w:sz w:val="21"/>
                <w:szCs w:val="21"/>
              </w:rPr>
            </w:pPr>
            <w:r>
              <w:rPr>
                <w:sz w:val="21"/>
                <w:szCs w:val="21"/>
                <w:color w:val="404050"/>
                <w:spacing w:val="5"/>
              </w:rPr>
              <w:t>居民区</w:t>
            </w:r>
          </w:p>
        </w:tc>
        <w:tc>
          <w:tcPr>
            <w:tcW w:w="1024" w:type="dxa"/>
            <w:vAlign w:val="top"/>
          </w:tcPr>
          <w:p>
            <w:pPr>
              <w:pStyle w:val="TableText"/>
              <w:ind w:left="189"/>
              <w:spacing w:before="38" w:line="211" w:lineRule="auto"/>
              <w:rPr>
                <w:sz w:val="21"/>
                <w:szCs w:val="21"/>
              </w:rPr>
            </w:pPr>
            <w:r>
              <w:rPr>
                <w:sz w:val="21"/>
                <w:szCs w:val="21"/>
                <w:spacing w:val="6"/>
              </w:rPr>
              <w:t>二类区</w:t>
            </w:r>
          </w:p>
        </w:tc>
      </w:tr>
      <w:tr>
        <w:trPr>
          <w:trHeight w:val="26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971"/>
              <w:spacing w:before="29" w:line="194" w:lineRule="auto"/>
              <w:rPr>
                <w:sz w:val="21"/>
                <w:szCs w:val="21"/>
              </w:rPr>
            </w:pPr>
            <w:r>
              <w:rPr>
                <w:sz w:val="21"/>
                <w:szCs w:val="21"/>
                <w:spacing w:val="3"/>
              </w:rPr>
              <w:t>西桥村</w:t>
            </w:r>
          </w:p>
        </w:tc>
        <w:tc>
          <w:tcPr>
            <w:tcW w:w="1038" w:type="dxa"/>
            <w:vAlign w:val="top"/>
          </w:tcPr>
          <w:p>
            <w:pPr>
              <w:pStyle w:val="TableText"/>
              <w:spacing w:before="52" w:line="174" w:lineRule="auto"/>
              <w:jc w:val="right"/>
              <w:rPr>
                <w:sz w:val="21"/>
                <w:szCs w:val="21"/>
              </w:rPr>
            </w:pPr>
            <w:r>
              <w:rPr>
                <w:sz w:val="21"/>
                <w:szCs w:val="21"/>
                <w:spacing w:val="-4"/>
              </w:rPr>
              <w:t>104.516802</w:t>
            </w:r>
          </w:p>
        </w:tc>
        <w:tc>
          <w:tcPr>
            <w:tcW w:w="989" w:type="dxa"/>
            <w:vAlign w:val="top"/>
          </w:tcPr>
          <w:p>
            <w:pPr>
              <w:pStyle w:val="TableText"/>
              <w:ind w:left="15"/>
              <w:spacing w:before="52" w:line="174" w:lineRule="auto"/>
              <w:rPr>
                <w:sz w:val="21"/>
                <w:szCs w:val="21"/>
              </w:rPr>
            </w:pPr>
            <w:r>
              <w:rPr>
                <w:sz w:val="21"/>
                <w:szCs w:val="21"/>
                <w:spacing w:val="-2"/>
              </w:rPr>
              <w:t>31.534213</w:t>
            </w:r>
          </w:p>
        </w:tc>
        <w:tc>
          <w:tcPr>
            <w:tcW w:w="519" w:type="dxa"/>
            <w:vAlign w:val="top"/>
          </w:tcPr>
          <w:p>
            <w:pPr>
              <w:pStyle w:val="TableText"/>
              <w:ind w:left="46"/>
              <w:spacing w:before="32" w:line="191" w:lineRule="auto"/>
              <w:rPr>
                <w:sz w:val="21"/>
                <w:szCs w:val="21"/>
              </w:rPr>
            </w:pPr>
            <w:r>
              <w:rPr>
                <w:sz w:val="21"/>
                <w:szCs w:val="21"/>
                <w:spacing w:val="5"/>
              </w:rPr>
              <w:t>西南</w:t>
            </w:r>
          </w:p>
        </w:tc>
        <w:tc>
          <w:tcPr>
            <w:tcW w:w="719" w:type="dxa"/>
            <w:vAlign w:val="top"/>
          </w:tcPr>
          <w:p>
            <w:pPr>
              <w:pStyle w:val="TableText"/>
              <w:ind w:left="147"/>
              <w:spacing w:before="52" w:line="174" w:lineRule="auto"/>
              <w:rPr>
                <w:sz w:val="21"/>
                <w:szCs w:val="21"/>
              </w:rPr>
            </w:pPr>
            <w:r>
              <w:rPr>
                <w:sz w:val="21"/>
                <w:szCs w:val="21"/>
                <w:spacing w:val="-3"/>
              </w:rPr>
              <w:t>2022</w:t>
            </w:r>
          </w:p>
        </w:tc>
        <w:tc>
          <w:tcPr>
            <w:tcW w:w="679" w:type="dxa"/>
            <w:vAlign w:val="top"/>
          </w:tcPr>
          <w:p>
            <w:pPr>
              <w:pStyle w:val="TableText"/>
              <w:ind w:right="2"/>
              <w:spacing w:before="31" w:line="192" w:lineRule="auto"/>
              <w:jc w:val="right"/>
              <w:rPr>
                <w:sz w:val="21"/>
                <w:szCs w:val="21"/>
              </w:rPr>
            </w:pPr>
            <w:r>
              <w:rPr>
                <w:sz w:val="21"/>
                <w:szCs w:val="21"/>
                <w:color w:val="607060"/>
                <w:spacing w:val="5"/>
              </w:rPr>
              <w:t>居民区</w:t>
            </w:r>
          </w:p>
        </w:tc>
        <w:tc>
          <w:tcPr>
            <w:tcW w:w="1024" w:type="dxa"/>
            <w:vAlign w:val="top"/>
          </w:tcPr>
          <w:p>
            <w:pPr>
              <w:pStyle w:val="TableText"/>
              <w:ind w:left="189"/>
              <w:spacing w:before="30" w:line="193" w:lineRule="auto"/>
              <w:rPr>
                <w:sz w:val="21"/>
                <w:szCs w:val="21"/>
              </w:rPr>
            </w:pPr>
            <w:r>
              <w:rPr>
                <w:sz w:val="21"/>
                <w:szCs w:val="21"/>
                <w:color w:val="505050"/>
                <w:spacing w:val="6"/>
              </w:rPr>
              <w:t>二类区</w:t>
            </w:r>
          </w:p>
        </w:tc>
      </w:tr>
      <w:tr>
        <w:trPr>
          <w:trHeight w:val="269"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971"/>
              <w:spacing w:before="30" w:line="201" w:lineRule="auto"/>
              <w:rPr>
                <w:sz w:val="21"/>
                <w:szCs w:val="21"/>
              </w:rPr>
            </w:pPr>
            <w:r>
              <w:rPr>
                <w:sz w:val="21"/>
                <w:szCs w:val="21"/>
                <w:spacing w:val="3"/>
              </w:rPr>
              <w:t>马安村</w:t>
            </w:r>
          </w:p>
        </w:tc>
        <w:tc>
          <w:tcPr>
            <w:tcW w:w="1038" w:type="dxa"/>
            <w:vAlign w:val="top"/>
          </w:tcPr>
          <w:p>
            <w:pPr>
              <w:pStyle w:val="TableText"/>
              <w:spacing w:before="51" w:line="182" w:lineRule="auto"/>
              <w:jc w:val="right"/>
              <w:rPr>
                <w:sz w:val="21"/>
                <w:szCs w:val="21"/>
              </w:rPr>
            </w:pPr>
            <w:r>
              <w:rPr>
                <w:sz w:val="21"/>
                <w:szCs w:val="21"/>
                <w:spacing w:val="-4"/>
              </w:rPr>
              <w:t>104.533796</w:t>
            </w:r>
          </w:p>
        </w:tc>
        <w:tc>
          <w:tcPr>
            <w:tcW w:w="989" w:type="dxa"/>
            <w:vAlign w:val="top"/>
          </w:tcPr>
          <w:p>
            <w:pPr>
              <w:pStyle w:val="TableText"/>
              <w:ind w:left="15"/>
              <w:spacing w:before="51" w:line="182" w:lineRule="auto"/>
              <w:rPr>
                <w:sz w:val="21"/>
                <w:szCs w:val="21"/>
              </w:rPr>
            </w:pPr>
            <w:r>
              <w:rPr>
                <w:sz w:val="21"/>
                <w:szCs w:val="21"/>
                <w:spacing w:val="-2"/>
              </w:rPr>
              <w:t>31.520605</w:t>
            </w:r>
          </w:p>
        </w:tc>
        <w:tc>
          <w:tcPr>
            <w:tcW w:w="519" w:type="dxa"/>
            <w:vAlign w:val="top"/>
          </w:tcPr>
          <w:p>
            <w:pPr>
              <w:pStyle w:val="TableText"/>
              <w:ind w:left="46"/>
              <w:spacing w:before="32" w:line="199" w:lineRule="auto"/>
              <w:rPr>
                <w:sz w:val="21"/>
                <w:szCs w:val="21"/>
              </w:rPr>
            </w:pPr>
            <w:r>
              <w:rPr>
                <w:sz w:val="21"/>
                <w:szCs w:val="21"/>
                <w:color w:val="504040"/>
                <w:spacing w:val="5"/>
              </w:rPr>
              <w:t>西南</w:t>
            </w:r>
          </w:p>
        </w:tc>
        <w:tc>
          <w:tcPr>
            <w:tcW w:w="719" w:type="dxa"/>
            <w:vAlign w:val="top"/>
          </w:tcPr>
          <w:p>
            <w:pPr>
              <w:pStyle w:val="TableText"/>
              <w:ind w:left="147"/>
              <w:spacing w:before="51" w:line="182" w:lineRule="auto"/>
              <w:rPr>
                <w:sz w:val="21"/>
                <w:szCs w:val="21"/>
              </w:rPr>
            </w:pPr>
            <w:r>
              <w:rPr>
                <w:sz w:val="21"/>
                <w:szCs w:val="21"/>
                <w:spacing w:val="-3"/>
              </w:rPr>
              <w:t>2173</w:t>
            </w:r>
          </w:p>
        </w:tc>
        <w:tc>
          <w:tcPr>
            <w:tcW w:w="679" w:type="dxa"/>
            <w:vAlign w:val="top"/>
          </w:tcPr>
          <w:p>
            <w:pPr>
              <w:pStyle w:val="TableText"/>
              <w:ind w:right="2"/>
              <w:spacing w:before="31" w:line="200" w:lineRule="auto"/>
              <w:jc w:val="right"/>
              <w:rPr>
                <w:sz w:val="21"/>
                <w:szCs w:val="21"/>
              </w:rPr>
            </w:pPr>
            <w:r>
              <w:rPr>
                <w:sz w:val="21"/>
                <w:szCs w:val="21"/>
                <w:spacing w:val="5"/>
              </w:rPr>
              <w:t>居民区</w:t>
            </w:r>
          </w:p>
        </w:tc>
        <w:tc>
          <w:tcPr>
            <w:tcW w:w="1024" w:type="dxa"/>
            <w:vAlign w:val="top"/>
          </w:tcPr>
          <w:p>
            <w:pPr>
              <w:pStyle w:val="TableText"/>
              <w:ind w:left="189"/>
              <w:spacing w:before="30" w:line="201" w:lineRule="auto"/>
              <w:rPr>
                <w:sz w:val="21"/>
                <w:szCs w:val="21"/>
              </w:rPr>
            </w:pPr>
            <w:r>
              <w:rPr>
                <w:sz w:val="21"/>
                <w:szCs w:val="21"/>
                <w:spacing w:val="6"/>
              </w:rPr>
              <w:t>二类区</w:t>
            </w:r>
          </w:p>
        </w:tc>
      </w:tr>
      <w:tr>
        <w:trPr>
          <w:trHeight w:val="28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760"/>
              <w:spacing w:before="41" w:line="201" w:lineRule="auto"/>
              <w:rPr>
                <w:sz w:val="21"/>
                <w:szCs w:val="21"/>
              </w:rPr>
            </w:pPr>
            <w:r>
              <w:rPr>
                <w:sz w:val="21"/>
                <w:szCs w:val="21"/>
                <w:spacing w:val="-2"/>
              </w:rPr>
              <w:t>杨家老院子</w:t>
            </w:r>
          </w:p>
        </w:tc>
        <w:tc>
          <w:tcPr>
            <w:tcW w:w="1038" w:type="dxa"/>
            <w:vAlign w:val="top"/>
          </w:tcPr>
          <w:p>
            <w:pPr>
              <w:pStyle w:val="TableText"/>
              <w:spacing w:before="62" w:line="182" w:lineRule="auto"/>
              <w:jc w:val="right"/>
              <w:rPr>
                <w:sz w:val="21"/>
                <w:szCs w:val="21"/>
              </w:rPr>
            </w:pPr>
            <w:r>
              <w:rPr>
                <w:sz w:val="21"/>
                <w:szCs w:val="21"/>
                <w:spacing w:val="-4"/>
              </w:rPr>
              <w:t>104.525256</w:t>
            </w:r>
          </w:p>
        </w:tc>
        <w:tc>
          <w:tcPr>
            <w:tcW w:w="989" w:type="dxa"/>
            <w:vAlign w:val="top"/>
          </w:tcPr>
          <w:p>
            <w:pPr>
              <w:pStyle w:val="TableText"/>
              <w:ind w:left="15"/>
              <w:spacing w:before="62" w:line="182" w:lineRule="auto"/>
              <w:rPr>
                <w:sz w:val="21"/>
                <w:szCs w:val="21"/>
              </w:rPr>
            </w:pPr>
            <w:r>
              <w:rPr>
                <w:sz w:val="21"/>
                <w:szCs w:val="21"/>
                <w:spacing w:val="-2"/>
              </w:rPr>
              <w:t>31.527044</w:t>
            </w:r>
          </w:p>
        </w:tc>
        <w:tc>
          <w:tcPr>
            <w:tcW w:w="519" w:type="dxa"/>
            <w:vAlign w:val="top"/>
          </w:tcPr>
          <w:p>
            <w:pPr>
              <w:pStyle w:val="TableText"/>
              <w:ind w:left="46"/>
              <w:spacing w:before="43" w:line="199" w:lineRule="auto"/>
              <w:rPr>
                <w:sz w:val="21"/>
                <w:szCs w:val="21"/>
              </w:rPr>
            </w:pPr>
            <w:r>
              <w:rPr>
                <w:sz w:val="21"/>
                <w:szCs w:val="21"/>
                <w:spacing w:val="5"/>
              </w:rPr>
              <w:t>西南</w:t>
            </w:r>
          </w:p>
        </w:tc>
        <w:tc>
          <w:tcPr>
            <w:tcW w:w="719" w:type="dxa"/>
            <w:vAlign w:val="top"/>
          </w:tcPr>
          <w:p>
            <w:pPr>
              <w:pStyle w:val="TableText"/>
              <w:ind w:left="147"/>
              <w:spacing w:before="62" w:line="182" w:lineRule="auto"/>
              <w:rPr>
                <w:sz w:val="21"/>
                <w:szCs w:val="21"/>
              </w:rPr>
            </w:pPr>
            <w:r>
              <w:rPr>
                <w:sz w:val="21"/>
                <w:szCs w:val="21"/>
                <w:spacing w:val="-5"/>
              </w:rPr>
              <w:t>1762</w:t>
            </w:r>
          </w:p>
        </w:tc>
        <w:tc>
          <w:tcPr>
            <w:tcW w:w="679" w:type="dxa"/>
            <w:vAlign w:val="top"/>
          </w:tcPr>
          <w:p>
            <w:pPr>
              <w:pStyle w:val="TableText"/>
              <w:ind w:right="2"/>
              <w:spacing w:before="42" w:line="200" w:lineRule="auto"/>
              <w:jc w:val="right"/>
              <w:rPr>
                <w:sz w:val="21"/>
                <w:szCs w:val="21"/>
              </w:rPr>
            </w:pPr>
            <w:r>
              <w:rPr>
                <w:sz w:val="21"/>
                <w:szCs w:val="21"/>
                <w:color w:val="707060"/>
                <w:spacing w:val="5"/>
              </w:rPr>
              <w:t>居民区</w:t>
            </w:r>
          </w:p>
        </w:tc>
        <w:tc>
          <w:tcPr>
            <w:tcW w:w="1024" w:type="dxa"/>
            <w:vAlign w:val="top"/>
          </w:tcPr>
          <w:p>
            <w:pPr>
              <w:pStyle w:val="TableText"/>
              <w:ind w:left="189"/>
              <w:spacing w:before="41" w:line="201" w:lineRule="auto"/>
              <w:rPr>
                <w:sz w:val="21"/>
                <w:szCs w:val="21"/>
              </w:rPr>
            </w:pPr>
            <w:r>
              <w:rPr>
                <w:sz w:val="21"/>
                <w:szCs w:val="21"/>
                <w:color w:val="504050"/>
                <w:spacing w:val="6"/>
              </w:rPr>
              <w:t>二类区</w:t>
            </w:r>
          </w:p>
        </w:tc>
      </w:tr>
      <w:tr>
        <w:trPr>
          <w:trHeight w:val="27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971"/>
              <w:spacing w:before="32" w:line="200" w:lineRule="auto"/>
              <w:rPr>
                <w:sz w:val="21"/>
                <w:szCs w:val="21"/>
              </w:rPr>
            </w:pPr>
            <w:r>
              <w:rPr>
                <w:sz w:val="21"/>
                <w:szCs w:val="21"/>
                <w:spacing w:val="5"/>
              </w:rPr>
              <w:t>三道拐</w:t>
            </w:r>
          </w:p>
        </w:tc>
        <w:tc>
          <w:tcPr>
            <w:tcW w:w="1038" w:type="dxa"/>
            <w:vAlign w:val="top"/>
          </w:tcPr>
          <w:p>
            <w:pPr>
              <w:pStyle w:val="TableText"/>
              <w:spacing w:before="52" w:line="182" w:lineRule="auto"/>
              <w:jc w:val="right"/>
              <w:rPr>
                <w:sz w:val="21"/>
                <w:szCs w:val="21"/>
              </w:rPr>
            </w:pPr>
            <w:r>
              <w:rPr>
                <w:sz w:val="21"/>
                <w:szCs w:val="21"/>
                <w:spacing w:val="-4"/>
              </w:rPr>
              <w:t>104.542809</w:t>
            </w:r>
          </w:p>
        </w:tc>
        <w:tc>
          <w:tcPr>
            <w:tcW w:w="989" w:type="dxa"/>
            <w:vAlign w:val="top"/>
          </w:tcPr>
          <w:p>
            <w:pPr>
              <w:pStyle w:val="TableText"/>
              <w:ind w:left="15"/>
              <w:spacing w:before="52" w:line="182" w:lineRule="auto"/>
              <w:rPr>
                <w:sz w:val="21"/>
                <w:szCs w:val="21"/>
              </w:rPr>
            </w:pPr>
            <w:r>
              <w:rPr>
                <w:sz w:val="21"/>
                <w:szCs w:val="21"/>
                <w:spacing w:val="-2"/>
              </w:rPr>
              <w:t>31.523093</w:t>
            </w:r>
          </w:p>
        </w:tc>
        <w:tc>
          <w:tcPr>
            <w:tcW w:w="519" w:type="dxa"/>
            <w:vAlign w:val="top"/>
          </w:tcPr>
          <w:p>
            <w:pPr>
              <w:pStyle w:val="TableText"/>
              <w:ind w:left="46"/>
              <w:spacing w:before="33" w:line="199" w:lineRule="auto"/>
              <w:rPr>
                <w:sz w:val="21"/>
                <w:szCs w:val="21"/>
              </w:rPr>
            </w:pPr>
            <w:r>
              <w:rPr>
                <w:sz w:val="21"/>
                <w:szCs w:val="21"/>
                <w:color w:val="505060"/>
                <w:spacing w:val="5"/>
              </w:rPr>
              <w:t>西南</w:t>
            </w:r>
          </w:p>
        </w:tc>
        <w:tc>
          <w:tcPr>
            <w:tcW w:w="719" w:type="dxa"/>
            <w:vAlign w:val="top"/>
          </w:tcPr>
          <w:p>
            <w:pPr>
              <w:pStyle w:val="TableText"/>
              <w:ind w:left="147"/>
              <w:spacing w:before="52" w:line="182" w:lineRule="auto"/>
              <w:rPr>
                <w:sz w:val="21"/>
                <w:szCs w:val="21"/>
              </w:rPr>
            </w:pPr>
            <w:r>
              <w:rPr>
                <w:sz w:val="21"/>
                <w:szCs w:val="21"/>
                <w:spacing w:val="-3"/>
              </w:rPr>
              <w:t>2056</w:t>
            </w:r>
          </w:p>
        </w:tc>
        <w:tc>
          <w:tcPr>
            <w:tcW w:w="679" w:type="dxa"/>
            <w:vAlign w:val="top"/>
          </w:tcPr>
          <w:p>
            <w:pPr>
              <w:pStyle w:val="TableText"/>
              <w:ind w:right="2"/>
              <w:spacing w:before="32" w:line="200" w:lineRule="auto"/>
              <w:jc w:val="right"/>
              <w:rPr>
                <w:sz w:val="21"/>
                <w:szCs w:val="21"/>
              </w:rPr>
            </w:pPr>
            <w:r>
              <w:rPr>
                <w:sz w:val="21"/>
                <w:szCs w:val="21"/>
                <w:color w:val="405050"/>
                <w:spacing w:val="5"/>
              </w:rPr>
              <w:t>居民区</w:t>
            </w:r>
          </w:p>
        </w:tc>
        <w:tc>
          <w:tcPr>
            <w:tcW w:w="1024" w:type="dxa"/>
            <w:vAlign w:val="top"/>
          </w:tcPr>
          <w:p>
            <w:pPr>
              <w:pStyle w:val="TableText"/>
              <w:ind w:left="189"/>
              <w:spacing w:before="31" w:line="201" w:lineRule="auto"/>
              <w:rPr>
                <w:sz w:val="21"/>
                <w:szCs w:val="21"/>
              </w:rPr>
            </w:pPr>
            <w:r>
              <w:rPr>
                <w:sz w:val="21"/>
                <w:szCs w:val="21"/>
                <w:color w:val="404040"/>
                <w:spacing w:val="6"/>
              </w:rPr>
              <w:t>二类区</w:t>
            </w:r>
          </w:p>
        </w:tc>
      </w:tr>
      <w:tr>
        <w:trPr>
          <w:trHeight w:val="26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971"/>
              <w:spacing w:before="30" w:line="193" w:lineRule="auto"/>
              <w:rPr>
                <w:sz w:val="21"/>
                <w:szCs w:val="21"/>
              </w:rPr>
            </w:pPr>
            <w:r>
              <w:rPr>
                <w:sz w:val="21"/>
                <w:szCs w:val="21"/>
                <w:spacing w:val="-3"/>
              </w:rPr>
              <w:t>皂角垭</w:t>
            </w:r>
          </w:p>
        </w:tc>
        <w:tc>
          <w:tcPr>
            <w:tcW w:w="1038" w:type="dxa"/>
            <w:vAlign w:val="top"/>
          </w:tcPr>
          <w:p>
            <w:pPr>
              <w:pStyle w:val="TableText"/>
              <w:spacing w:before="52" w:line="174" w:lineRule="auto"/>
              <w:jc w:val="right"/>
              <w:rPr>
                <w:sz w:val="21"/>
                <w:szCs w:val="21"/>
              </w:rPr>
            </w:pPr>
            <w:r>
              <w:rPr>
                <w:sz w:val="21"/>
                <w:szCs w:val="21"/>
                <w:spacing w:val="-4"/>
              </w:rPr>
              <w:t>104.530964</w:t>
            </w:r>
          </w:p>
        </w:tc>
        <w:tc>
          <w:tcPr>
            <w:tcW w:w="989" w:type="dxa"/>
            <w:vAlign w:val="top"/>
          </w:tcPr>
          <w:p>
            <w:pPr>
              <w:pStyle w:val="TableText"/>
              <w:ind w:left="15"/>
              <w:spacing w:before="52" w:line="174" w:lineRule="auto"/>
              <w:rPr>
                <w:sz w:val="21"/>
                <w:szCs w:val="21"/>
              </w:rPr>
            </w:pPr>
            <w:r>
              <w:rPr>
                <w:sz w:val="21"/>
                <w:szCs w:val="21"/>
                <w:color w:val="404040"/>
                <w:spacing w:val="-2"/>
              </w:rPr>
              <w:t>31.531836</w:t>
            </w:r>
          </w:p>
        </w:tc>
        <w:tc>
          <w:tcPr>
            <w:tcW w:w="519" w:type="dxa"/>
            <w:vAlign w:val="top"/>
          </w:tcPr>
          <w:p>
            <w:pPr>
              <w:pStyle w:val="TableText"/>
              <w:ind w:left="46"/>
              <w:spacing w:before="33" w:line="190" w:lineRule="auto"/>
              <w:rPr>
                <w:sz w:val="21"/>
                <w:szCs w:val="21"/>
              </w:rPr>
            </w:pPr>
            <w:r>
              <w:rPr>
                <w:sz w:val="21"/>
                <w:szCs w:val="21"/>
                <w:spacing w:val="5"/>
              </w:rPr>
              <w:t>西南</w:t>
            </w:r>
          </w:p>
        </w:tc>
        <w:tc>
          <w:tcPr>
            <w:tcW w:w="719" w:type="dxa"/>
            <w:vAlign w:val="top"/>
          </w:tcPr>
          <w:p>
            <w:pPr>
              <w:pStyle w:val="TableText"/>
              <w:ind w:left="147"/>
              <w:spacing w:before="52" w:line="174" w:lineRule="auto"/>
              <w:rPr>
                <w:sz w:val="21"/>
                <w:szCs w:val="21"/>
              </w:rPr>
            </w:pPr>
            <w:r>
              <w:rPr>
                <w:sz w:val="21"/>
                <w:szCs w:val="21"/>
                <w:spacing w:val="-5"/>
              </w:rPr>
              <w:t>1069</w:t>
            </w:r>
          </w:p>
        </w:tc>
        <w:tc>
          <w:tcPr>
            <w:tcW w:w="679" w:type="dxa"/>
            <w:vAlign w:val="top"/>
          </w:tcPr>
          <w:p>
            <w:pPr>
              <w:pStyle w:val="TableText"/>
              <w:ind w:right="2"/>
              <w:spacing w:before="32" w:line="191" w:lineRule="auto"/>
              <w:jc w:val="right"/>
              <w:rPr>
                <w:sz w:val="21"/>
                <w:szCs w:val="21"/>
              </w:rPr>
            </w:pPr>
            <w:r>
              <w:rPr>
                <w:sz w:val="21"/>
                <w:szCs w:val="21"/>
                <w:color w:val="607060"/>
                <w:spacing w:val="5"/>
              </w:rPr>
              <w:t>居民区</w:t>
            </w:r>
          </w:p>
        </w:tc>
        <w:tc>
          <w:tcPr>
            <w:tcW w:w="1024" w:type="dxa"/>
            <w:vAlign w:val="top"/>
          </w:tcPr>
          <w:p>
            <w:pPr>
              <w:pStyle w:val="TableText"/>
              <w:ind w:left="189"/>
              <w:spacing w:before="31" w:line="192" w:lineRule="auto"/>
              <w:rPr>
                <w:sz w:val="21"/>
                <w:szCs w:val="21"/>
              </w:rPr>
            </w:pPr>
            <w:r>
              <w:rPr>
                <w:sz w:val="21"/>
                <w:szCs w:val="21"/>
                <w:color w:val="505050"/>
                <w:spacing w:val="6"/>
              </w:rPr>
              <w:t>二类区</w:t>
            </w:r>
          </w:p>
        </w:tc>
      </w:tr>
      <w:tr>
        <w:trPr>
          <w:trHeight w:val="29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971"/>
              <w:spacing w:before="41" w:line="210" w:lineRule="auto"/>
              <w:rPr>
                <w:sz w:val="21"/>
                <w:szCs w:val="21"/>
              </w:rPr>
            </w:pPr>
            <w:r>
              <w:rPr>
                <w:sz w:val="21"/>
                <w:szCs w:val="21"/>
                <w:color w:val="707060"/>
                <w:spacing w:val="3"/>
              </w:rPr>
              <w:t>雍峙村</w:t>
            </w:r>
          </w:p>
        </w:tc>
        <w:tc>
          <w:tcPr>
            <w:tcW w:w="1038" w:type="dxa"/>
            <w:vAlign w:val="top"/>
          </w:tcPr>
          <w:p>
            <w:pPr>
              <w:pStyle w:val="TableText"/>
              <w:spacing w:before="62" w:line="191" w:lineRule="auto"/>
              <w:jc w:val="right"/>
              <w:rPr>
                <w:sz w:val="21"/>
                <w:szCs w:val="21"/>
              </w:rPr>
            </w:pPr>
            <w:r>
              <w:rPr>
                <w:sz w:val="21"/>
                <w:szCs w:val="21"/>
                <w:spacing w:val="-4"/>
              </w:rPr>
              <w:t>104.525127</w:t>
            </w:r>
          </w:p>
        </w:tc>
        <w:tc>
          <w:tcPr>
            <w:tcW w:w="989" w:type="dxa"/>
            <w:vAlign w:val="top"/>
          </w:tcPr>
          <w:p>
            <w:pPr>
              <w:pStyle w:val="TableText"/>
              <w:ind w:left="15"/>
              <w:spacing w:before="62" w:line="191" w:lineRule="auto"/>
              <w:rPr>
                <w:sz w:val="21"/>
                <w:szCs w:val="21"/>
              </w:rPr>
            </w:pPr>
            <w:r>
              <w:rPr>
                <w:sz w:val="21"/>
                <w:szCs w:val="21"/>
                <w:spacing w:val="-2"/>
              </w:rPr>
              <w:t>31.558206</w:t>
            </w:r>
          </w:p>
        </w:tc>
        <w:tc>
          <w:tcPr>
            <w:tcW w:w="519" w:type="dxa"/>
            <w:vAlign w:val="top"/>
          </w:tcPr>
          <w:p>
            <w:pPr>
              <w:pStyle w:val="TableText"/>
              <w:ind w:left="46"/>
              <w:spacing w:before="45" w:line="206" w:lineRule="auto"/>
              <w:rPr>
                <w:sz w:val="21"/>
                <w:szCs w:val="21"/>
              </w:rPr>
            </w:pPr>
            <w:r>
              <w:rPr>
                <w:sz w:val="21"/>
                <w:szCs w:val="21"/>
                <w:color w:val="605060"/>
                <w:spacing w:val="5"/>
              </w:rPr>
              <w:t>西北</w:t>
            </w:r>
          </w:p>
        </w:tc>
        <w:tc>
          <w:tcPr>
            <w:tcW w:w="719" w:type="dxa"/>
            <w:vAlign w:val="top"/>
          </w:tcPr>
          <w:p>
            <w:pPr>
              <w:pStyle w:val="TableText"/>
              <w:ind w:left="147"/>
              <w:spacing w:before="62" w:line="191" w:lineRule="auto"/>
              <w:rPr>
                <w:sz w:val="21"/>
                <w:szCs w:val="21"/>
              </w:rPr>
            </w:pPr>
            <w:r>
              <w:rPr>
                <w:sz w:val="21"/>
                <w:szCs w:val="21"/>
                <w:spacing w:val="-3"/>
              </w:rPr>
              <w:t>2339</w:t>
            </w:r>
          </w:p>
        </w:tc>
        <w:tc>
          <w:tcPr>
            <w:tcW w:w="679" w:type="dxa"/>
            <w:vAlign w:val="top"/>
          </w:tcPr>
          <w:p>
            <w:pPr>
              <w:pStyle w:val="TableText"/>
              <w:ind w:right="2"/>
              <w:spacing w:before="42" w:line="209" w:lineRule="auto"/>
              <w:jc w:val="right"/>
              <w:rPr>
                <w:sz w:val="21"/>
                <w:szCs w:val="21"/>
              </w:rPr>
            </w:pPr>
            <w:r>
              <w:rPr>
                <w:sz w:val="21"/>
                <w:szCs w:val="21"/>
                <w:color w:val="606060"/>
                <w:spacing w:val="5"/>
              </w:rPr>
              <w:t>居民区</w:t>
            </w:r>
          </w:p>
        </w:tc>
        <w:tc>
          <w:tcPr>
            <w:tcW w:w="1024" w:type="dxa"/>
            <w:vAlign w:val="top"/>
          </w:tcPr>
          <w:p>
            <w:pPr>
              <w:pStyle w:val="TableText"/>
              <w:ind w:left="189"/>
              <w:spacing w:before="41" w:line="210" w:lineRule="auto"/>
              <w:rPr>
                <w:sz w:val="21"/>
                <w:szCs w:val="21"/>
              </w:rPr>
            </w:pPr>
            <w:r>
              <w:rPr>
                <w:sz w:val="21"/>
                <w:szCs w:val="21"/>
                <w:spacing w:val="6"/>
              </w:rPr>
              <w:t>二类区</w:t>
            </w:r>
          </w:p>
        </w:tc>
      </w:tr>
      <w:tr>
        <w:trPr>
          <w:trHeight w:val="26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340"/>
              <w:spacing w:before="30" w:line="193" w:lineRule="auto"/>
              <w:rPr>
                <w:sz w:val="21"/>
                <w:szCs w:val="21"/>
              </w:rPr>
            </w:pPr>
            <w:r>
              <w:rPr>
                <w:sz w:val="21"/>
                <w:szCs w:val="21"/>
                <w:spacing w:val="1"/>
              </w:rPr>
              <w:t>安州区高级职业中学</w:t>
            </w:r>
          </w:p>
        </w:tc>
        <w:tc>
          <w:tcPr>
            <w:tcW w:w="1038" w:type="dxa"/>
            <w:vAlign w:val="top"/>
          </w:tcPr>
          <w:p>
            <w:pPr>
              <w:pStyle w:val="TableText"/>
              <w:spacing w:before="53" w:line="173" w:lineRule="auto"/>
              <w:jc w:val="right"/>
              <w:rPr>
                <w:sz w:val="21"/>
                <w:szCs w:val="21"/>
              </w:rPr>
            </w:pPr>
            <w:r>
              <w:rPr>
                <w:sz w:val="21"/>
                <w:szCs w:val="21"/>
                <w:spacing w:val="-4"/>
              </w:rPr>
              <w:t>104.541821</w:t>
            </w:r>
          </w:p>
        </w:tc>
        <w:tc>
          <w:tcPr>
            <w:tcW w:w="989" w:type="dxa"/>
            <w:vAlign w:val="top"/>
          </w:tcPr>
          <w:p>
            <w:pPr>
              <w:pStyle w:val="TableText"/>
              <w:ind w:left="15"/>
              <w:spacing w:before="53" w:line="173" w:lineRule="auto"/>
              <w:rPr>
                <w:sz w:val="21"/>
                <w:szCs w:val="21"/>
              </w:rPr>
            </w:pPr>
            <w:r>
              <w:rPr>
                <w:sz w:val="21"/>
                <w:szCs w:val="21"/>
                <w:spacing w:val="-2"/>
              </w:rPr>
              <w:t>31.540322</w:t>
            </w:r>
          </w:p>
        </w:tc>
        <w:tc>
          <w:tcPr>
            <w:tcW w:w="519" w:type="dxa"/>
            <w:vAlign w:val="top"/>
          </w:tcPr>
          <w:p>
            <w:pPr>
              <w:pStyle w:val="TableText"/>
              <w:ind w:left="147"/>
              <w:spacing w:before="31" w:line="192" w:lineRule="auto"/>
              <w:rPr>
                <w:sz w:val="21"/>
                <w:szCs w:val="21"/>
              </w:rPr>
            </w:pPr>
            <w:r>
              <w:rPr>
                <w:sz w:val="21"/>
                <w:szCs w:val="21"/>
              </w:rPr>
              <w:t>东</w:t>
            </w:r>
          </w:p>
        </w:tc>
        <w:tc>
          <w:tcPr>
            <w:tcW w:w="719" w:type="dxa"/>
            <w:vAlign w:val="top"/>
          </w:tcPr>
          <w:p>
            <w:pPr>
              <w:pStyle w:val="TableText"/>
              <w:ind w:left="198"/>
              <w:spacing w:before="53" w:line="173" w:lineRule="auto"/>
              <w:rPr>
                <w:sz w:val="21"/>
                <w:szCs w:val="21"/>
              </w:rPr>
            </w:pPr>
            <w:r>
              <w:rPr>
                <w:sz w:val="21"/>
                <w:szCs w:val="21"/>
                <w:spacing w:val="-6"/>
              </w:rPr>
              <w:t>180</w:t>
            </w:r>
          </w:p>
        </w:tc>
        <w:tc>
          <w:tcPr>
            <w:tcW w:w="679" w:type="dxa"/>
            <w:vAlign w:val="top"/>
          </w:tcPr>
          <w:p>
            <w:pPr>
              <w:pStyle w:val="TableText"/>
              <w:ind w:left="128"/>
              <w:spacing w:before="32" w:line="191" w:lineRule="auto"/>
              <w:rPr>
                <w:sz w:val="21"/>
                <w:szCs w:val="21"/>
              </w:rPr>
            </w:pPr>
            <w:r>
              <w:rPr>
                <w:sz w:val="21"/>
                <w:szCs w:val="21"/>
                <w:spacing w:val="4"/>
              </w:rPr>
              <w:t>学校</w:t>
            </w:r>
          </w:p>
        </w:tc>
        <w:tc>
          <w:tcPr>
            <w:tcW w:w="1024" w:type="dxa"/>
            <w:vAlign w:val="top"/>
          </w:tcPr>
          <w:p>
            <w:pPr>
              <w:pStyle w:val="TableText"/>
              <w:ind w:left="189"/>
              <w:spacing w:before="31" w:line="192" w:lineRule="auto"/>
              <w:rPr>
                <w:sz w:val="21"/>
                <w:szCs w:val="21"/>
              </w:rPr>
            </w:pPr>
            <w:r>
              <w:rPr>
                <w:sz w:val="21"/>
                <w:szCs w:val="21"/>
                <w:spacing w:val="6"/>
              </w:rPr>
              <w:t>二类区</w:t>
            </w:r>
          </w:p>
        </w:tc>
      </w:tr>
      <w:tr>
        <w:trPr>
          <w:trHeight w:val="28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240"/>
              <w:spacing w:before="41" w:line="201" w:lineRule="auto"/>
              <w:rPr>
                <w:sz w:val="21"/>
                <w:szCs w:val="21"/>
              </w:rPr>
            </w:pPr>
            <w:r>
              <w:rPr>
                <w:sz w:val="21"/>
                <w:szCs w:val="21"/>
                <w:spacing w:val="1"/>
              </w:rPr>
              <w:t>安州伟才(国际)幼儿园</w:t>
            </w:r>
          </w:p>
        </w:tc>
        <w:tc>
          <w:tcPr>
            <w:tcW w:w="1038" w:type="dxa"/>
            <w:vAlign w:val="top"/>
          </w:tcPr>
          <w:p>
            <w:pPr>
              <w:pStyle w:val="TableText"/>
              <w:spacing w:before="62" w:line="182" w:lineRule="auto"/>
              <w:jc w:val="right"/>
              <w:rPr>
                <w:sz w:val="21"/>
                <w:szCs w:val="21"/>
              </w:rPr>
            </w:pPr>
            <w:r>
              <w:rPr>
                <w:sz w:val="21"/>
                <w:szCs w:val="21"/>
                <w:spacing w:val="-4"/>
              </w:rPr>
              <w:t>104.547122</w:t>
            </w:r>
          </w:p>
        </w:tc>
        <w:tc>
          <w:tcPr>
            <w:tcW w:w="989" w:type="dxa"/>
            <w:vAlign w:val="top"/>
          </w:tcPr>
          <w:p>
            <w:pPr>
              <w:pStyle w:val="TableText"/>
              <w:ind w:left="66"/>
              <w:spacing w:before="62" w:line="182" w:lineRule="auto"/>
              <w:rPr>
                <w:sz w:val="21"/>
                <w:szCs w:val="21"/>
              </w:rPr>
            </w:pPr>
            <w:r>
              <w:rPr>
                <w:sz w:val="21"/>
                <w:szCs w:val="21"/>
                <w:spacing w:val="-2"/>
              </w:rPr>
              <w:t>31.54323</w:t>
            </w:r>
          </w:p>
        </w:tc>
        <w:tc>
          <w:tcPr>
            <w:tcW w:w="519" w:type="dxa"/>
            <w:vAlign w:val="top"/>
          </w:tcPr>
          <w:p>
            <w:pPr>
              <w:pStyle w:val="TableText"/>
              <w:ind w:left="46"/>
              <w:spacing w:before="41" w:line="201" w:lineRule="auto"/>
              <w:rPr>
                <w:sz w:val="21"/>
                <w:szCs w:val="21"/>
              </w:rPr>
            </w:pPr>
            <w:r>
              <w:rPr>
                <w:sz w:val="21"/>
                <w:szCs w:val="21"/>
                <w:spacing w:val="5"/>
              </w:rPr>
              <w:t>东北</w:t>
            </w:r>
          </w:p>
        </w:tc>
        <w:tc>
          <w:tcPr>
            <w:tcW w:w="719" w:type="dxa"/>
            <w:vAlign w:val="top"/>
          </w:tcPr>
          <w:p>
            <w:pPr>
              <w:pStyle w:val="TableText"/>
              <w:ind w:left="147"/>
              <w:spacing w:before="62" w:line="182" w:lineRule="auto"/>
              <w:rPr>
                <w:sz w:val="21"/>
                <w:szCs w:val="21"/>
              </w:rPr>
            </w:pPr>
            <w:r>
              <w:rPr>
                <w:sz w:val="21"/>
                <w:szCs w:val="21"/>
                <w:spacing w:val="-5"/>
              </w:rPr>
              <w:t>1076</w:t>
            </w:r>
          </w:p>
        </w:tc>
        <w:tc>
          <w:tcPr>
            <w:tcW w:w="679" w:type="dxa"/>
            <w:vAlign w:val="top"/>
          </w:tcPr>
          <w:p>
            <w:pPr>
              <w:pStyle w:val="TableText"/>
              <w:ind w:left="128"/>
              <w:spacing w:before="42" w:line="200" w:lineRule="auto"/>
              <w:rPr>
                <w:sz w:val="21"/>
                <w:szCs w:val="21"/>
              </w:rPr>
            </w:pPr>
            <w:r>
              <w:rPr>
                <w:sz w:val="21"/>
                <w:szCs w:val="21"/>
                <w:spacing w:val="4"/>
              </w:rPr>
              <w:t>学校</w:t>
            </w:r>
          </w:p>
        </w:tc>
        <w:tc>
          <w:tcPr>
            <w:tcW w:w="1024" w:type="dxa"/>
            <w:vAlign w:val="top"/>
          </w:tcPr>
          <w:p>
            <w:pPr>
              <w:pStyle w:val="TableText"/>
              <w:ind w:left="189"/>
              <w:spacing w:before="41" w:line="201" w:lineRule="auto"/>
              <w:rPr>
                <w:sz w:val="21"/>
                <w:szCs w:val="21"/>
              </w:rPr>
            </w:pPr>
            <w:r>
              <w:rPr>
                <w:sz w:val="21"/>
                <w:szCs w:val="21"/>
                <w:spacing w:val="6"/>
              </w:rPr>
              <w:t>二类区</w:t>
            </w:r>
          </w:p>
        </w:tc>
      </w:tr>
      <w:tr>
        <w:trPr>
          <w:trHeight w:val="27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340"/>
              <w:spacing w:before="30" w:line="202" w:lineRule="auto"/>
              <w:rPr>
                <w:sz w:val="21"/>
                <w:szCs w:val="21"/>
              </w:rPr>
            </w:pPr>
            <w:r>
              <w:rPr>
                <w:sz w:val="21"/>
                <w:szCs w:val="21"/>
                <w:spacing w:val="1"/>
              </w:rPr>
              <w:t>安州区沙汀实验小学</w:t>
            </w:r>
          </w:p>
        </w:tc>
        <w:tc>
          <w:tcPr>
            <w:tcW w:w="1038" w:type="dxa"/>
            <w:vAlign w:val="top"/>
          </w:tcPr>
          <w:p>
            <w:pPr>
              <w:pStyle w:val="TableText"/>
              <w:ind w:left="34"/>
              <w:spacing w:before="52" w:line="182" w:lineRule="auto"/>
              <w:rPr>
                <w:sz w:val="21"/>
                <w:szCs w:val="21"/>
              </w:rPr>
            </w:pPr>
            <w:r>
              <w:rPr>
                <w:sz w:val="21"/>
                <w:szCs w:val="21"/>
                <w:spacing w:val="-3"/>
              </w:rPr>
              <w:t>104.54459</w:t>
            </w:r>
          </w:p>
        </w:tc>
        <w:tc>
          <w:tcPr>
            <w:tcW w:w="989" w:type="dxa"/>
            <w:vAlign w:val="top"/>
          </w:tcPr>
          <w:p>
            <w:pPr>
              <w:pStyle w:val="TableText"/>
              <w:ind w:left="15"/>
              <w:spacing w:before="52" w:line="182" w:lineRule="auto"/>
              <w:rPr>
                <w:sz w:val="21"/>
                <w:szCs w:val="21"/>
              </w:rPr>
            </w:pPr>
            <w:r>
              <w:rPr>
                <w:sz w:val="21"/>
                <w:szCs w:val="21"/>
                <w:spacing w:val="-2"/>
              </w:rPr>
              <w:t>31.543687</w:t>
            </w:r>
          </w:p>
        </w:tc>
        <w:tc>
          <w:tcPr>
            <w:tcW w:w="519" w:type="dxa"/>
            <w:vAlign w:val="top"/>
          </w:tcPr>
          <w:p>
            <w:pPr>
              <w:pStyle w:val="TableText"/>
              <w:ind w:left="46"/>
              <w:spacing w:before="31" w:line="201" w:lineRule="auto"/>
              <w:rPr>
                <w:sz w:val="21"/>
                <w:szCs w:val="21"/>
              </w:rPr>
            </w:pPr>
            <w:r>
              <w:rPr>
                <w:sz w:val="21"/>
                <w:szCs w:val="21"/>
                <w:color w:val="505060"/>
                <w:spacing w:val="5"/>
              </w:rPr>
              <w:t>东北</w:t>
            </w:r>
          </w:p>
        </w:tc>
        <w:tc>
          <w:tcPr>
            <w:tcW w:w="719" w:type="dxa"/>
            <w:vAlign w:val="top"/>
          </w:tcPr>
          <w:p>
            <w:pPr>
              <w:pStyle w:val="TableText"/>
              <w:ind w:left="198"/>
              <w:spacing w:before="52" w:line="182" w:lineRule="auto"/>
              <w:rPr>
                <w:sz w:val="21"/>
                <w:szCs w:val="21"/>
              </w:rPr>
            </w:pPr>
            <w:r>
              <w:rPr>
                <w:sz w:val="21"/>
                <w:szCs w:val="21"/>
                <w:spacing w:val="-3"/>
              </w:rPr>
              <w:t>900</w:t>
            </w:r>
          </w:p>
        </w:tc>
        <w:tc>
          <w:tcPr>
            <w:tcW w:w="679" w:type="dxa"/>
            <w:vAlign w:val="top"/>
          </w:tcPr>
          <w:p>
            <w:pPr>
              <w:pStyle w:val="TableText"/>
              <w:ind w:left="128"/>
              <w:spacing w:before="32" w:line="200" w:lineRule="auto"/>
              <w:rPr>
                <w:sz w:val="21"/>
                <w:szCs w:val="21"/>
              </w:rPr>
            </w:pPr>
            <w:r>
              <w:rPr>
                <w:sz w:val="21"/>
                <w:szCs w:val="21"/>
                <w:spacing w:val="4"/>
              </w:rPr>
              <w:t>学校</w:t>
            </w:r>
          </w:p>
        </w:tc>
        <w:tc>
          <w:tcPr>
            <w:tcW w:w="1024" w:type="dxa"/>
            <w:vAlign w:val="top"/>
          </w:tcPr>
          <w:p>
            <w:pPr>
              <w:pStyle w:val="TableText"/>
              <w:ind w:left="189"/>
              <w:spacing w:before="31" w:line="201" w:lineRule="auto"/>
              <w:rPr>
                <w:sz w:val="21"/>
                <w:szCs w:val="21"/>
              </w:rPr>
            </w:pPr>
            <w:r>
              <w:rPr>
                <w:sz w:val="21"/>
                <w:szCs w:val="21"/>
                <w:color w:val="404040"/>
                <w:spacing w:val="6"/>
              </w:rPr>
              <w:t>二类区</w:t>
            </w:r>
          </w:p>
        </w:tc>
      </w:tr>
      <w:tr>
        <w:trPr>
          <w:trHeight w:val="259"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340"/>
              <w:spacing w:before="30" w:line="192" w:lineRule="auto"/>
              <w:rPr>
                <w:sz w:val="21"/>
                <w:szCs w:val="21"/>
              </w:rPr>
            </w:pPr>
            <w:r>
              <w:rPr>
                <w:sz w:val="21"/>
                <w:szCs w:val="21"/>
                <w:spacing w:val="1"/>
              </w:rPr>
              <w:t>安州区沙汀实验中学</w:t>
            </w:r>
          </w:p>
        </w:tc>
        <w:tc>
          <w:tcPr>
            <w:tcW w:w="1038" w:type="dxa"/>
            <w:vAlign w:val="top"/>
          </w:tcPr>
          <w:p>
            <w:pPr>
              <w:pStyle w:val="TableText"/>
              <w:spacing w:before="52" w:line="173" w:lineRule="auto"/>
              <w:jc w:val="right"/>
              <w:rPr>
                <w:sz w:val="21"/>
                <w:szCs w:val="21"/>
              </w:rPr>
            </w:pPr>
            <w:r>
              <w:rPr>
                <w:sz w:val="21"/>
                <w:szCs w:val="21"/>
                <w:spacing w:val="-4"/>
              </w:rPr>
              <w:t>104.546628</w:t>
            </w:r>
          </w:p>
        </w:tc>
        <w:tc>
          <w:tcPr>
            <w:tcW w:w="989" w:type="dxa"/>
            <w:vAlign w:val="top"/>
          </w:tcPr>
          <w:p>
            <w:pPr>
              <w:pStyle w:val="TableText"/>
              <w:ind w:left="66"/>
              <w:spacing w:before="52" w:line="173" w:lineRule="auto"/>
              <w:rPr>
                <w:sz w:val="21"/>
                <w:szCs w:val="21"/>
              </w:rPr>
            </w:pPr>
            <w:r>
              <w:rPr>
                <w:sz w:val="21"/>
                <w:szCs w:val="21"/>
                <w:spacing w:val="-2"/>
              </w:rPr>
              <w:t>31.54579</w:t>
            </w:r>
          </w:p>
        </w:tc>
        <w:tc>
          <w:tcPr>
            <w:tcW w:w="519" w:type="dxa"/>
            <w:vAlign w:val="top"/>
          </w:tcPr>
          <w:p>
            <w:pPr>
              <w:pStyle w:val="TableText"/>
              <w:ind w:left="46"/>
              <w:spacing w:before="31" w:line="191" w:lineRule="auto"/>
              <w:rPr>
                <w:sz w:val="21"/>
                <w:szCs w:val="21"/>
              </w:rPr>
            </w:pPr>
            <w:r>
              <w:rPr>
                <w:sz w:val="21"/>
                <w:szCs w:val="21"/>
                <w:color w:val="405060"/>
                <w:spacing w:val="5"/>
              </w:rPr>
              <w:t>东北</w:t>
            </w:r>
          </w:p>
        </w:tc>
        <w:tc>
          <w:tcPr>
            <w:tcW w:w="719" w:type="dxa"/>
            <w:vAlign w:val="top"/>
          </w:tcPr>
          <w:p>
            <w:pPr>
              <w:pStyle w:val="TableText"/>
              <w:ind w:left="147"/>
              <w:spacing w:before="52" w:line="173" w:lineRule="auto"/>
              <w:rPr>
                <w:sz w:val="21"/>
                <w:szCs w:val="21"/>
              </w:rPr>
            </w:pPr>
            <w:r>
              <w:rPr>
                <w:sz w:val="21"/>
                <w:szCs w:val="21"/>
                <w:spacing w:val="-5"/>
              </w:rPr>
              <w:t>1187</w:t>
            </w:r>
          </w:p>
        </w:tc>
        <w:tc>
          <w:tcPr>
            <w:tcW w:w="679" w:type="dxa"/>
            <w:vAlign w:val="top"/>
          </w:tcPr>
          <w:p>
            <w:pPr>
              <w:pStyle w:val="TableText"/>
              <w:ind w:left="128"/>
              <w:spacing w:before="31" w:line="191" w:lineRule="auto"/>
              <w:rPr>
                <w:sz w:val="21"/>
                <w:szCs w:val="21"/>
              </w:rPr>
            </w:pPr>
            <w:r>
              <w:rPr>
                <w:sz w:val="21"/>
                <w:szCs w:val="21"/>
                <w:spacing w:val="4"/>
              </w:rPr>
              <w:t>学校</w:t>
            </w:r>
          </w:p>
        </w:tc>
        <w:tc>
          <w:tcPr>
            <w:tcW w:w="1024" w:type="dxa"/>
            <w:vAlign w:val="top"/>
          </w:tcPr>
          <w:p>
            <w:pPr>
              <w:pStyle w:val="TableText"/>
              <w:ind w:left="189"/>
              <w:spacing w:before="31" w:line="191" w:lineRule="auto"/>
              <w:rPr>
                <w:sz w:val="21"/>
                <w:szCs w:val="21"/>
              </w:rPr>
            </w:pPr>
            <w:r>
              <w:rPr>
                <w:sz w:val="21"/>
                <w:szCs w:val="21"/>
                <w:color w:val="505050"/>
                <w:spacing w:val="6"/>
              </w:rPr>
              <w:t>二类区</w:t>
            </w:r>
          </w:p>
        </w:tc>
      </w:tr>
      <w:tr>
        <w:trPr>
          <w:trHeight w:val="29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240"/>
              <w:spacing w:before="42" w:line="209" w:lineRule="auto"/>
              <w:rPr>
                <w:sz w:val="21"/>
                <w:szCs w:val="21"/>
              </w:rPr>
            </w:pPr>
            <w:r>
              <w:rPr>
                <w:sz w:val="21"/>
                <w:szCs w:val="21"/>
                <w:spacing w:val="1"/>
              </w:rPr>
              <w:t>安州区沙汀实验幼儿园</w:t>
            </w:r>
          </w:p>
        </w:tc>
        <w:tc>
          <w:tcPr>
            <w:tcW w:w="1038" w:type="dxa"/>
            <w:vAlign w:val="top"/>
          </w:tcPr>
          <w:p>
            <w:pPr>
              <w:pStyle w:val="TableText"/>
              <w:ind w:left="34"/>
              <w:spacing w:before="63" w:line="190" w:lineRule="auto"/>
              <w:rPr>
                <w:sz w:val="21"/>
                <w:szCs w:val="21"/>
              </w:rPr>
            </w:pPr>
            <w:r>
              <w:rPr>
                <w:sz w:val="21"/>
                <w:szCs w:val="21"/>
                <w:spacing w:val="-3"/>
              </w:rPr>
              <w:t>104.55034</w:t>
            </w:r>
          </w:p>
        </w:tc>
        <w:tc>
          <w:tcPr>
            <w:tcW w:w="989" w:type="dxa"/>
            <w:vAlign w:val="top"/>
          </w:tcPr>
          <w:p>
            <w:pPr>
              <w:pStyle w:val="TableText"/>
              <w:ind w:left="66"/>
              <w:spacing w:before="63" w:line="190" w:lineRule="auto"/>
              <w:rPr>
                <w:sz w:val="21"/>
                <w:szCs w:val="21"/>
              </w:rPr>
            </w:pPr>
            <w:r>
              <w:rPr>
                <w:sz w:val="21"/>
                <w:szCs w:val="21"/>
                <w:spacing w:val="-2"/>
              </w:rPr>
              <w:t>31.54707</w:t>
            </w:r>
          </w:p>
        </w:tc>
        <w:tc>
          <w:tcPr>
            <w:tcW w:w="519" w:type="dxa"/>
            <w:vAlign w:val="top"/>
          </w:tcPr>
          <w:p>
            <w:pPr>
              <w:pStyle w:val="TableText"/>
              <w:ind w:left="46"/>
              <w:spacing w:before="42" w:line="209" w:lineRule="auto"/>
              <w:rPr>
                <w:sz w:val="21"/>
                <w:szCs w:val="21"/>
              </w:rPr>
            </w:pPr>
            <w:r>
              <w:rPr>
                <w:sz w:val="21"/>
                <w:szCs w:val="21"/>
                <w:color w:val="303040"/>
                <w:spacing w:val="5"/>
              </w:rPr>
              <w:t>东北</w:t>
            </w:r>
          </w:p>
        </w:tc>
        <w:tc>
          <w:tcPr>
            <w:tcW w:w="719" w:type="dxa"/>
            <w:vAlign w:val="top"/>
          </w:tcPr>
          <w:p>
            <w:pPr>
              <w:pStyle w:val="TableText"/>
              <w:ind w:left="147"/>
              <w:spacing w:before="63" w:line="190" w:lineRule="auto"/>
              <w:rPr>
                <w:sz w:val="21"/>
                <w:szCs w:val="21"/>
              </w:rPr>
            </w:pPr>
            <w:r>
              <w:rPr>
                <w:sz w:val="21"/>
                <w:szCs w:val="21"/>
                <w:spacing w:val="-5"/>
              </w:rPr>
              <w:t>1542</w:t>
            </w:r>
          </w:p>
        </w:tc>
        <w:tc>
          <w:tcPr>
            <w:tcW w:w="679" w:type="dxa"/>
            <w:vAlign w:val="top"/>
          </w:tcPr>
          <w:p>
            <w:pPr>
              <w:pStyle w:val="TableText"/>
              <w:ind w:left="128"/>
              <w:spacing w:before="43" w:line="208" w:lineRule="auto"/>
              <w:rPr>
                <w:sz w:val="21"/>
                <w:szCs w:val="21"/>
              </w:rPr>
            </w:pPr>
            <w:r>
              <w:rPr>
                <w:sz w:val="21"/>
                <w:szCs w:val="21"/>
                <w:spacing w:val="4"/>
              </w:rPr>
              <w:t>学校</w:t>
            </w:r>
          </w:p>
        </w:tc>
        <w:tc>
          <w:tcPr>
            <w:tcW w:w="1024" w:type="dxa"/>
            <w:vAlign w:val="top"/>
          </w:tcPr>
          <w:p>
            <w:pPr>
              <w:pStyle w:val="TableText"/>
              <w:ind w:left="189"/>
              <w:spacing w:before="42" w:line="209" w:lineRule="auto"/>
              <w:rPr>
                <w:sz w:val="21"/>
                <w:szCs w:val="21"/>
              </w:rPr>
            </w:pPr>
            <w:r>
              <w:rPr>
                <w:sz w:val="21"/>
                <w:szCs w:val="21"/>
                <w:spacing w:val="6"/>
              </w:rPr>
              <w:t>二类区</w:t>
            </w:r>
          </w:p>
        </w:tc>
      </w:tr>
      <w:tr>
        <w:trPr>
          <w:trHeight w:val="259"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451"/>
              <w:spacing w:before="31" w:line="191" w:lineRule="auto"/>
              <w:rPr>
                <w:sz w:val="21"/>
                <w:szCs w:val="21"/>
              </w:rPr>
            </w:pPr>
            <w:r>
              <w:rPr>
                <w:sz w:val="21"/>
                <w:szCs w:val="21"/>
                <w:spacing w:val="-2"/>
              </w:rPr>
              <w:t>泸州老窖永盛学校</w:t>
            </w:r>
          </w:p>
        </w:tc>
        <w:tc>
          <w:tcPr>
            <w:tcW w:w="1038" w:type="dxa"/>
            <w:vAlign w:val="top"/>
          </w:tcPr>
          <w:p>
            <w:pPr>
              <w:pStyle w:val="TableText"/>
              <w:spacing w:before="53" w:line="172" w:lineRule="auto"/>
              <w:jc w:val="right"/>
              <w:rPr>
                <w:sz w:val="21"/>
                <w:szCs w:val="21"/>
              </w:rPr>
            </w:pPr>
            <w:r>
              <w:rPr>
                <w:sz w:val="21"/>
                <w:szCs w:val="21"/>
                <w:spacing w:val="-4"/>
              </w:rPr>
              <w:t>104.551778</w:t>
            </w:r>
          </w:p>
        </w:tc>
        <w:tc>
          <w:tcPr>
            <w:tcW w:w="989" w:type="dxa"/>
            <w:vAlign w:val="top"/>
          </w:tcPr>
          <w:p>
            <w:pPr>
              <w:pStyle w:val="TableText"/>
              <w:ind w:left="15"/>
              <w:spacing w:before="53" w:line="172" w:lineRule="auto"/>
              <w:rPr>
                <w:sz w:val="21"/>
                <w:szCs w:val="21"/>
              </w:rPr>
            </w:pPr>
            <w:r>
              <w:rPr>
                <w:sz w:val="21"/>
                <w:szCs w:val="21"/>
                <w:spacing w:val="-2"/>
              </w:rPr>
              <w:t>31.545954</w:t>
            </w:r>
          </w:p>
        </w:tc>
        <w:tc>
          <w:tcPr>
            <w:tcW w:w="519" w:type="dxa"/>
            <w:vAlign w:val="top"/>
          </w:tcPr>
          <w:p>
            <w:pPr>
              <w:pStyle w:val="TableText"/>
              <w:ind w:left="46"/>
              <w:spacing w:before="32" w:line="190" w:lineRule="auto"/>
              <w:rPr>
                <w:sz w:val="21"/>
                <w:szCs w:val="21"/>
              </w:rPr>
            </w:pPr>
            <w:r>
              <w:rPr>
                <w:sz w:val="21"/>
                <w:szCs w:val="21"/>
                <w:color w:val="404050"/>
                <w:spacing w:val="5"/>
              </w:rPr>
              <w:t>东北</w:t>
            </w:r>
          </w:p>
        </w:tc>
        <w:tc>
          <w:tcPr>
            <w:tcW w:w="719" w:type="dxa"/>
            <w:vAlign w:val="top"/>
          </w:tcPr>
          <w:p>
            <w:pPr>
              <w:pStyle w:val="TableText"/>
              <w:ind w:left="147"/>
              <w:spacing w:before="53" w:line="172" w:lineRule="auto"/>
              <w:rPr>
                <w:sz w:val="21"/>
                <w:szCs w:val="21"/>
              </w:rPr>
            </w:pPr>
            <w:r>
              <w:rPr>
                <w:sz w:val="21"/>
                <w:szCs w:val="21"/>
                <w:spacing w:val="-5"/>
              </w:rPr>
              <w:t>1592</w:t>
            </w:r>
          </w:p>
        </w:tc>
        <w:tc>
          <w:tcPr>
            <w:tcW w:w="679" w:type="dxa"/>
            <w:vAlign w:val="top"/>
          </w:tcPr>
          <w:p>
            <w:pPr>
              <w:pStyle w:val="TableText"/>
              <w:ind w:left="128"/>
              <w:spacing w:before="32" w:line="190" w:lineRule="auto"/>
              <w:rPr>
                <w:sz w:val="21"/>
                <w:szCs w:val="21"/>
              </w:rPr>
            </w:pPr>
            <w:r>
              <w:rPr>
                <w:sz w:val="21"/>
                <w:szCs w:val="21"/>
                <w:spacing w:val="4"/>
              </w:rPr>
              <w:t>学校</w:t>
            </w:r>
          </w:p>
        </w:tc>
        <w:tc>
          <w:tcPr>
            <w:tcW w:w="1024" w:type="dxa"/>
            <w:vAlign w:val="top"/>
          </w:tcPr>
          <w:p>
            <w:pPr>
              <w:pStyle w:val="TableText"/>
              <w:ind w:left="189"/>
              <w:spacing w:before="32" w:line="190" w:lineRule="auto"/>
              <w:rPr>
                <w:sz w:val="21"/>
                <w:szCs w:val="21"/>
              </w:rPr>
            </w:pPr>
            <w:r>
              <w:rPr>
                <w:sz w:val="21"/>
                <w:szCs w:val="21"/>
                <w:spacing w:val="6"/>
              </w:rPr>
              <w:t>二类区</w:t>
            </w:r>
          </w:p>
        </w:tc>
      </w:tr>
      <w:tr>
        <w:trPr>
          <w:trHeight w:val="29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760"/>
              <w:spacing w:before="43" w:line="208" w:lineRule="auto"/>
              <w:rPr>
                <w:sz w:val="21"/>
                <w:szCs w:val="21"/>
              </w:rPr>
            </w:pPr>
            <w:r>
              <w:rPr>
                <w:sz w:val="21"/>
                <w:szCs w:val="21"/>
                <w:spacing w:val="2"/>
              </w:rPr>
              <w:t>花芗镇小学</w:t>
            </w:r>
          </w:p>
        </w:tc>
        <w:tc>
          <w:tcPr>
            <w:tcW w:w="1038" w:type="dxa"/>
            <w:vAlign w:val="top"/>
          </w:tcPr>
          <w:p>
            <w:pPr>
              <w:pStyle w:val="TableText"/>
              <w:spacing w:before="65" w:line="189" w:lineRule="auto"/>
              <w:jc w:val="right"/>
              <w:rPr>
                <w:sz w:val="21"/>
                <w:szCs w:val="21"/>
              </w:rPr>
            </w:pPr>
            <w:r>
              <w:rPr>
                <w:sz w:val="21"/>
                <w:szCs w:val="21"/>
                <w:spacing w:val="-4"/>
              </w:rPr>
              <w:t>104.553057</w:t>
            </w:r>
          </w:p>
        </w:tc>
        <w:tc>
          <w:tcPr>
            <w:tcW w:w="989" w:type="dxa"/>
            <w:vAlign w:val="top"/>
          </w:tcPr>
          <w:p>
            <w:pPr>
              <w:pStyle w:val="TableText"/>
              <w:ind w:left="15"/>
              <w:spacing w:before="65" w:line="189" w:lineRule="auto"/>
              <w:rPr>
                <w:sz w:val="21"/>
                <w:szCs w:val="21"/>
              </w:rPr>
            </w:pPr>
            <w:r>
              <w:rPr>
                <w:sz w:val="21"/>
                <w:szCs w:val="21"/>
                <w:spacing w:val="-2"/>
              </w:rPr>
              <w:t>31.545163</w:t>
            </w:r>
          </w:p>
        </w:tc>
        <w:tc>
          <w:tcPr>
            <w:tcW w:w="519" w:type="dxa"/>
            <w:vAlign w:val="top"/>
          </w:tcPr>
          <w:p>
            <w:pPr>
              <w:pStyle w:val="TableText"/>
              <w:ind w:left="46"/>
              <w:spacing w:before="43" w:line="208" w:lineRule="auto"/>
              <w:rPr>
                <w:sz w:val="21"/>
                <w:szCs w:val="21"/>
              </w:rPr>
            </w:pPr>
            <w:r>
              <w:rPr>
                <w:sz w:val="21"/>
                <w:szCs w:val="21"/>
                <w:color w:val="405060"/>
                <w:spacing w:val="5"/>
              </w:rPr>
              <w:t>东北</w:t>
            </w:r>
          </w:p>
        </w:tc>
        <w:tc>
          <w:tcPr>
            <w:tcW w:w="719" w:type="dxa"/>
            <w:vAlign w:val="top"/>
          </w:tcPr>
          <w:p>
            <w:pPr>
              <w:pStyle w:val="TableText"/>
              <w:ind w:left="147"/>
              <w:spacing w:before="65" w:line="189" w:lineRule="auto"/>
              <w:rPr>
                <w:sz w:val="21"/>
                <w:szCs w:val="21"/>
              </w:rPr>
            </w:pPr>
            <w:r>
              <w:rPr>
                <w:sz w:val="21"/>
                <w:szCs w:val="21"/>
                <w:spacing w:val="-5"/>
              </w:rPr>
              <w:t>1690</w:t>
            </w:r>
          </w:p>
        </w:tc>
        <w:tc>
          <w:tcPr>
            <w:tcW w:w="679" w:type="dxa"/>
            <w:vAlign w:val="top"/>
          </w:tcPr>
          <w:p>
            <w:pPr>
              <w:pStyle w:val="TableText"/>
              <w:ind w:left="128"/>
              <w:spacing w:before="44" w:line="207" w:lineRule="auto"/>
              <w:rPr>
                <w:sz w:val="21"/>
                <w:szCs w:val="21"/>
              </w:rPr>
            </w:pPr>
            <w:r>
              <w:rPr>
                <w:sz w:val="21"/>
                <w:szCs w:val="21"/>
                <w:spacing w:val="4"/>
              </w:rPr>
              <w:t>学校</w:t>
            </w:r>
          </w:p>
        </w:tc>
        <w:tc>
          <w:tcPr>
            <w:tcW w:w="1024" w:type="dxa"/>
            <w:vAlign w:val="top"/>
          </w:tcPr>
          <w:p>
            <w:pPr>
              <w:pStyle w:val="TableText"/>
              <w:ind w:left="189"/>
              <w:spacing w:before="43" w:line="208" w:lineRule="auto"/>
              <w:rPr>
                <w:sz w:val="21"/>
                <w:szCs w:val="21"/>
              </w:rPr>
            </w:pPr>
            <w:r>
              <w:rPr>
                <w:sz w:val="21"/>
                <w:szCs w:val="21"/>
                <w:color w:val="505060"/>
                <w:spacing w:val="6"/>
              </w:rPr>
              <w:t>二类区</w:t>
            </w:r>
          </w:p>
        </w:tc>
      </w:tr>
      <w:tr>
        <w:trPr>
          <w:trHeight w:val="259"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240"/>
              <w:spacing w:before="32" w:line="190" w:lineRule="auto"/>
              <w:rPr>
                <w:sz w:val="21"/>
                <w:szCs w:val="21"/>
              </w:rPr>
            </w:pPr>
            <w:r>
              <w:rPr>
                <w:sz w:val="21"/>
                <w:szCs w:val="21"/>
                <w:spacing w:val="1"/>
              </w:rPr>
              <w:t>四川省绵阳市安州中学</w:t>
            </w:r>
          </w:p>
        </w:tc>
        <w:tc>
          <w:tcPr>
            <w:tcW w:w="1038" w:type="dxa"/>
            <w:vAlign w:val="top"/>
          </w:tcPr>
          <w:p>
            <w:pPr>
              <w:pStyle w:val="TableText"/>
              <w:spacing w:before="54" w:line="171" w:lineRule="auto"/>
              <w:jc w:val="right"/>
              <w:rPr>
                <w:sz w:val="21"/>
                <w:szCs w:val="21"/>
              </w:rPr>
            </w:pPr>
            <w:r>
              <w:rPr>
                <w:sz w:val="21"/>
                <w:szCs w:val="21"/>
                <w:spacing w:val="-4"/>
              </w:rPr>
              <w:t>104.554374</w:t>
            </w:r>
          </w:p>
        </w:tc>
        <w:tc>
          <w:tcPr>
            <w:tcW w:w="989" w:type="dxa"/>
            <w:vAlign w:val="top"/>
          </w:tcPr>
          <w:p>
            <w:pPr>
              <w:pStyle w:val="TableText"/>
              <w:ind w:left="15"/>
              <w:spacing w:before="54" w:line="171" w:lineRule="auto"/>
              <w:rPr>
                <w:sz w:val="21"/>
                <w:szCs w:val="21"/>
              </w:rPr>
            </w:pPr>
            <w:r>
              <w:rPr>
                <w:sz w:val="21"/>
                <w:szCs w:val="21"/>
                <w:color w:val="405040"/>
                <w:spacing w:val="-2"/>
              </w:rPr>
              <w:t>31.534506</w:t>
            </w:r>
          </w:p>
        </w:tc>
        <w:tc>
          <w:tcPr>
            <w:tcW w:w="519" w:type="dxa"/>
            <w:vAlign w:val="top"/>
          </w:tcPr>
          <w:p>
            <w:pPr>
              <w:pStyle w:val="TableText"/>
              <w:ind w:left="46"/>
              <w:spacing w:before="34" w:line="189" w:lineRule="auto"/>
              <w:rPr>
                <w:sz w:val="21"/>
                <w:szCs w:val="21"/>
              </w:rPr>
            </w:pPr>
            <w:r>
              <w:rPr>
                <w:sz w:val="21"/>
                <w:szCs w:val="21"/>
                <w:color w:val="404050"/>
                <w:spacing w:val="5"/>
              </w:rPr>
              <w:t>东南</w:t>
            </w:r>
          </w:p>
        </w:tc>
        <w:tc>
          <w:tcPr>
            <w:tcW w:w="719" w:type="dxa"/>
            <w:vAlign w:val="top"/>
          </w:tcPr>
          <w:p>
            <w:pPr>
              <w:pStyle w:val="TableText"/>
              <w:ind w:left="147"/>
              <w:spacing w:before="54" w:line="171" w:lineRule="auto"/>
              <w:rPr>
                <w:sz w:val="21"/>
                <w:szCs w:val="21"/>
              </w:rPr>
            </w:pPr>
            <w:r>
              <w:rPr>
                <w:sz w:val="21"/>
                <w:szCs w:val="21"/>
                <w:spacing w:val="-5"/>
              </w:rPr>
              <w:t>1759</w:t>
            </w:r>
          </w:p>
        </w:tc>
        <w:tc>
          <w:tcPr>
            <w:tcW w:w="679" w:type="dxa"/>
            <w:vAlign w:val="top"/>
          </w:tcPr>
          <w:p>
            <w:pPr>
              <w:pStyle w:val="TableText"/>
              <w:ind w:left="128"/>
              <w:spacing w:before="34" w:line="189" w:lineRule="auto"/>
              <w:rPr>
                <w:sz w:val="21"/>
                <w:szCs w:val="21"/>
              </w:rPr>
            </w:pPr>
            <w:r>
              <w:rPr>
                <w:sz w:val="21"/>
                <w:szCs w:val="21"/>
                <w:spacing w:val="4"/>
              </w:rPr>
              <w:t>学校</w:t>
            </w:r>
          </w:p>
        </w:tc>
        <w:tc>
          <w:tcPr>
            <w:tcW w:w="1024" w:type="dxa"/>
            <w:vAlign w:val="top"/>
          </w:tcPr>
          <w:p>
            <w:pPr>
              <w:pStyle w:val="TableText"/>
              <w:ind w:left="189"/>
              <w:spacing w:before="34" w:line="189" w:lineRule="auto"/>
              <w:rPr>
                <w:sz w:val="21"/>
                <w:szCs w:val="21"/>
              </w:rPr>
            </w:pPr>
            <w:r>
              <w:rPr>
                <w:sz w:val="21"/>
                <w:szCs w:val="21"/>
                <w:color w:val="404050"/>
                <w:spacing w:val="6"/>
              </w:rPr>
              <w:t>二类区</w:t>
            </w:r>
          </w:p>
        </w:tc>
      </w:tr>
      <w:tr>
        <w:trPr>
          <w:trHeight w:val="27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870"/>
              <w:spacing w:before="34" w:line="198" w:lineRule="auto"/>
              <w:rPr>
                <w:sz w:val="21"/>
                <w:szCs w:val="21"/>
              </w:rPr>
            </w:pPr>
            <w:r>
              <w:rPr>
                <w:sz w:val="21"/>
                <w:szCs w:val="21"/>
                <w:spacing w:val="2"/>
              </w:rPr>
              <w:t>龙兴小学</w:t>
            </w:r>
          </w:p>
        </w:tc>
        <w:tc>
          <w:tcPr>
            <w:tcW w:w="1038" w:type="dxa"/>
            <w:vAlign w:val="top"/>
          </w:tcPr>
          <w:p>
            <w:pPr>
              <w:pStyle w:val="TableText"/>
              <w:spacing w:before="55" w:line="180" w:lineRule="auto"/>
              <w:jc w:val="right"/>
              <w:rPr>
                <w:sz w:val="21"/>
                <w:szCs w:val="21"/>
              </w:rPr>
            </w:pPr>
            <w:r>
              <w:rPr>
                <w:sz w:val="21"/>
                <w:szCs w:val="21"/>
                <w:spacing w:val="-4"/>
              </w:rPr>
              <w:t>104.553132</w:t>
            </w:r>
          </w:p>
        </w:tc>
        <w:tc>
          <w:tcPr>
            <w:tcW w:w="989" w:type="dxa"/>
            <w:vAlign w:val="top"/>
          </w:tcPr>
          <w:p>
            <w:pPr>
              <w:pStyle w:val="TableText"/>
              <w:ind w:left="15"/>
              <w:spacing w:before="55" w:line="180" w:lineRule="auto"/>
              <w:rPr>
                <w:sz w:val="21"/>
                <w:szCs w:val="21"/>
              </w:rPr>
            </w:pPr>
            <w:r>
              <w:rPr>
                <w:sz w:val="21"/>
                <w:szCs w:val="21"/>
                <w:spacing w:val="-2"/>
              </w:rPr>
              <w:t>31.557104</w:t>
            </w:r>
          </w:p>
        </w:tc>
        <w:tc>
          <w:tcPr>
            <w:tcW w:w="519" w:type="dxa"/>
            <w:vAlign w:val="top"/>
          </w:tcPr>
          <w:p>
            <w:pPr>
              <w:pStyle w:val="TableText"/>
              <w:ind w:left="46"/>
              <w:spacing w:before="34" w:line="198" w:lineRule="auto"/>
              <w:rPr>
                <w:sz w:val="21"/>
                <w:szCs w:val="21"/>
              </w:rPr>
            </w:pPr>
            <w:r>
              <w:rPr>
                <w:sz w:val="21"/>
                <w:szCs w:val="21"/>
                <w:color w:val="405060"/>
                <w:spacing w:val="5"/>
              </w:rPr>
              <w:t>东北</w:t>
            </w:r>
          </w:p>
        </w:tc>
        <w:tc>
          <w:tcPr>
            <w:tcW w:w="719" w:type="dxa"/>
            <w:vAlign w:val="top"/>
          </w:tcPr>
          <w:p>
            <w:pPr>
              <w:pStyle w:val="TableText"/>
              <w:ind w:left="147"/>
              <w:spacing w:before="55" w:line="180" w:lineRule="auto"/>
              <w:rPr>
                <w:sz w:val="21"/>
                <w:szCs w:val="21"/>
              </w:rPr>
            </w:pPr>
            <w:r>
              <w:rPr>
                <w:sz w:val="21"/>
                <w:szCs w:val="21"/>
                <w:spacing w:val="-3"/>
              </w:rPr>
              <w:t>2432</w:t>
            </w:r>
          </w:p>
        </w:tc>
        <w:tc>
          <w:tcPr>
            <w:tcW w:w="679" w:type="dxa"/>
            <w:vAlign w:val="top"/>
          </w:tcPr>
          <w:p>
            <w:pPr>
              <w:pStyle w:val="TableText"/>
              <w:ind w:left="128"/>
              <w:spacing w:before="34" w:line="198" w:lineRule="auto"/>
              <w:rPr>
                <w:sz w:val="21"/>
                <w:szCs w:val="21"/>
              </w:rPr>
            </w:pPr>
            <w:r>
              <w:rPr>
                <w:sz w:val="21"/>
                <w:szCs w:val="21"/>
                <w:spacing w:val="4"/>
              </w:rPr>
              <w:t>学校</w:t>
            </w:r>
          </w:p>
        </w:tc>
        <w:tc>
          <w:tcPr>
            <w:tcW w:w="1024" w:type="dxa"/>
            <w:vAlign w:val="top"/>
          </w:tcPr>
          <w:p>
            <w:pPr>
              <w:pStyle w:val="TableText"/>
              <w:ind w:left="189"/>
              <w:spacing w:before="34" w:line="198" w:lineRule="auto"/>
              <w:rPr>
                <w:sz w:val="21"/>
                <w:szCs w:val="21"/>
              </w:rPr>
            </w:pPr>
            <w:r>
              <w:rPr>
                <w:sz w:val="21"/>
                <w:szCs w:val="21"/>
                <w:spacing w:val="6"/>
              </w:rPr>
              <w:t>二类区</w:t>
            </w:r>
          </w:p>
        </w:tc>
      </w:tr>
      <w:tr>
        <w:trPr>
          <w:trHeight w:val="28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30"/>
              <w:spacing w:before="43" w:line="199" w:lineRule="auto"/>
              <w:rPr>
                <w:sz w:val="21"/>
                <w:szCs w:val="21"/>
              </w:rPr>
            </w:pPr>
            <w:r>
              <w:rPr>
                <w:sz w:val="21"/>
                <w:szCs w:val="21"/>
                <w:spacing w:val="-1"/>
              </w:rPr>
              <w:t>绵阳市安州区教师进修学校</w:t>
            </w:r>
          </w:p>
        </w:tc>
        <w:tc>
          <w:tcPr>
            <w:tcW w:w="1038" w:type="dxa"/>
            <w:vAlign w:val="top"/>
          </w:tcPr>
          <w:p>
            <w:pPr>
              <w:pStyle w:val="TableText"/>
              <w:spacing w:before="65" w:line="180" w:lineRule="auto"/>
              <w:jc w:val="right"/>
              <w:rPr>
                <w:sz w:val="21"/>
                <w:szCs w:val="21"/>
              </w:rPr>
            </w:pPr>
            <w:r>
              <w:rPr>
                <w:sz w:val="21"/>
                <w:szCs w:val="21"/>
                <w:spacing w:val="-4"/>
              </w:rPr>
              <w:t>104.552293</w:t>
            </w:r>
          </w:p>
        </w:tc>
        <w:tc>
          <w:tcPr>
            <w:tcW w:w="989" w:type="dxa"/>
            <w:vAlign w:val="top"/>
          </w:tcPr>
          <w:p>
            <w:pPr>
              <w:pStyle w:val="TableText"/>
              <w:ind w:left="15"/>
              <w:spacing w:before="65" w:line="180" w:lineRule="auto"/>
              <w:rPr>
                <w:sz w:val="21"/>
                <w:szCs w:val="21"/>
              </w:rPr>
            </w:pPr>
            <w:r>
              <w:rPr>
                <w:sz w:val="21"/>
                <w:szCs w:val="21"/>
                <w:spacing w:val="-2"/>
              </w:rPr>
              <w:t>31.548075</w:t>
            </w:r>
          </w:p>
        </w:tc>
        <w:tc>
          <w:tcPr>
            <w:tcW w:w="519" w:type="dxa"/>
            <w:vAlign w:val="top"/>
          </w:tcPr>
          <w:p>
            <w:pPr>
              <w:pStyle w:val="TableText"/>
              <w:ind w:left="46"/>
              <w:spacing w:before="44" w:line="198" w:lineRule="auto"/>
              <w:rPr>
                <w:sz w:val="21"/>
                <w:szCs w:val="21"/>
              </w:rPr>
            </w:pPr>
            <w:r>
              <w:rPr>
                <w:sz w:val="21"/>
                <w:szCs w:val="21"/>
                <w:color w:val="404050"/>
                <w:spacing w:val="5"/>
              </w:rPr>
              <w:t>东北</w:t>
            </w:r>
          </w:p>
        </w:tc>
        <w:tc>
          <w:tcPr>
            <w:tcW w:w="719" w:type="dxa"/>
            <w:vAlign w:val="top"/>
          </w:tcPr>
          <w:p>
            <w:pPr>
              <w:pStyle w:val="TableText"/>
              <w:ind w:left="147"/>
              <w:spacing w:before="65" w:line="180" w:lineRule="auto"/>
              <w:rPr>
                <w:sz w:val="21"/>
                <w:szCs w:val="21"/>
              </w:rPr>
            </w:pPr>
            <w:r>
              <w:rPr>
                <w:sz w:val="21"/>
                <w:szCs w:val="21"/>
                <w:spacing w:val="-5"/>
              </w:rPr>
              <w:t>1758</w:t>
            </w:r>
          </w:p>
        </w:tc>
        <w:tc>
          <w:tcPr>
            <w:tcW w:w="679" w:type="dxa"/>
            <w:vAlign w:val="top"/>
          </w:tcPr>
          <w:p>
            <w:pPr>
              <w:pStyle w:val="TableText"/>
              <w:ind w:left="128"/>
              <w:spacing w:before="44" w:line="198" w:lineRule="auto"/>
              <w:rPr>
                <w:sz w:val="21"/>
                <w:szCs w:val="21"/>
              </w:rPr>
            </w:pPr>
            <w:r>
              <w:rPr>
                <w:sz w:val="21"/>
                <w:szCs w:val="21"/>
                <w:spacing w:val="4"/>
              </w:rPr>
              <w:t>学校</w:t>
            </w:r>
          </w:p>
        </w:tc>
        <w:tc>
          <w:tcPr>
            <w:tcW w:w="1024" w:type="dxa"/>
            <w:vAlign w:val="top"/>
          </w:tcPr>
          <w:p>
            <w:pPr>
              <w:pStyle w:val="TableText"/>
              <w:ind w:left="189"/>
              <w:spacing w:before="44" w:line="198" w:lineRule="auto"/>
              <w:rPr>
                <w:sz w:val="21"/>
                <w:szCs w:val="21"/>
              </w:rPr>
            </w:pPr>
            <w:r>
              <w:rPr>
                <w:sz w:val="21"/>
                <w:szCs w:val="21"/>
                <w:color w:val="505050"/>
                <w:spacing w:val="6"/>
              </w:rPr>
              <w:t>二类区</w:t>
            </w:r>
          </w:p>
        </w:tc>
      </w:tr>
      <w:tr>
        <w:trPr>
          <w:trHeight w:val="269"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660"/>
              <w:spacing w:before="33" w:line="198" w:lineRule="auto"/>
              <w:rPr>
                <w:sz w:val="21"/>
                <w:szCs w:val="21"/>
              </w:rPr>
            </w:pPr>
            <w:r>
              <w:rPr>
                <w:sz w:val="21"/>
                <w:szCs w:val="21"/>
                <w:spacing w:val="2"/>
              </w:rPr>
              <w:t>安州区中医院</w:t>
            </w:r>
          </w:p>
        </w:tc>
        <w:tc>
          <w:tcPr>
            <w:tcW w:w="1038" w:type="dxa"/>
            <w:vAlign w:val="top"/>
          </w:tcPr>
          <w:p>
            <w:pPr>
              <w:pStyle w:val="TableText"/>
              <w:spacing w:before="55" w:line="179" w:lineRule="auto"/>
              <w:jc w:val="right"/>
              <w:rPr>
                <w:sz w:val="21"/>
                <w:szCs w:val="21"/>
              </w:rPr>
            </w:pPr>
            <w:r>
              <w:rPr>
                <w:sz w:val="21"/>
                <w:szCs w:val="21"/>
                <w:spacing w:val="-4"/>
              </w:rPr>
              <w:t>104.558086</w:t>
            </w:r>
          </w:p>
        </w:tc>
        <w:tc>
          <w:tcPr>
            <w:tcW w:w="989" w:type="dxa"/>
            <w:vAlign w:val="top"/>
          </w:tcPr>
          <w:p>
            <w:pPr>
              <w:pStyle w:val="TableText"/>
              <w:ind w:left="15"/>
              <w:spacing w:before="55" w:line="179" w:lineRule="auto"/>
              <w:rPr>
                <w:sz w:val="21"/>
                <w:szCs w:val="21"/>
              </w:rPr>
            </w:pPr>
            <w:r>
              <w:rPr>
                <w:sz w:val="21"/>
                <w:szCs w:val="21"/>
                <w:spacing w:val="-2"/>
              </w:rPr>
              <w:t>31.531946</w:t>
            </w:r>
          </w:p>
        </w:tc>
        <w:tc>
          <w:tcPr>
            <w:tcW w:w="519" w:type="dxa"/>
            <w:vAlign w:val="top"/>
          </w:tcPr>
          <w:p>
            <w:pPr>
              <w:pStyle w:val="TableText"/>
              <w:ind w:left="46"/>
              <w:spacing w:before="34" w:line="197" w:lineRule="auto"/>
              <w:rPr>
                <w:sz w:val="21"/>
                <w:szCs w:val="21"/>
              </w:rPr>
            </w:pPr>
            <w:r>
              <w:rPr>
                <w:sz w:val="21"/>
                <w:szCs w:val="21"/>
                <w:spacing w:val="5"/>
              </w:rPr>
              <w:t>东南</w:t>
            </w:r>
          </w:p>
        </w:tc>
        <w:tc>
          <w:tcPr>
            <w:tcW w:w="719" w:type="dxa"/>
            <w:vAlign w:val="top"/>
          </w:tcPr>
          <w:p>
            <w:pPr>
              <w:pStyle w:val="TableText"/>
              <w:ind w:left="147"/>
              <w:spacing w:before="55" w:line="179" w:lineRule="auto"/>
              <w:rPr>
                <w:sz w:val="21"/>
                <w:szCs w:val="21"/>
              </w:rPr>
            </w:pPr>
            <w:r>
              <w:rPr>
                <w:sz w:val="21"/>
                <w:szCs w:val="21"/>
                <w:spacing w:val="-3"/>
              </w:rPr>
              <w:t>2256</w:t>
            </w:r>
          </w:p>
        </w:tc>
        <w:tc>
          <w:tcPr>
            <w:tcW w:w="679" w:type="dxa"/>
            <w:vAlign w:val="top"/>
          </w:tcPr>
          <w:p>
            <w:pPr>
              <w:pStyle w:val="TableText"/>
              <w:ind w:left="128"/>
              <w:spacing w:before="34" w:line="197" w:lineRule="auto"/>
              <w:rPr>
                <w:sz w:val="21"/>
                <w:szCs w:val="21"/>
              </w:rPr>
            </w:pPr>
            <w:r>
              <w:rPr>
                <w:sz w:val="21"/>
                <w:szCs w:val="21"/>
                <w:spacing w:val="6"/>
              </w:rPr>
              <w:t>医院</w:t>
            </w:r>
          </w:p>
        </w:tc>
        <w:tc>
          <w:tcPr>
            <w:tcW w:w="1024" w:type="dxa"/>
            <w:vAlign w:val="top"/>
          </w:tcPr>
          <w:p>
            <w:pPr>
              <w:pStyle w:val="TableText"/>
              <w:ind w:left="189"/>
              <w:spacing w:before="34" w:line="197" w:lineRule="auto"/>
              <w:rPr>
                <w:sz w:val="21"/>
                <w:szCs w:val="21"/>
              </w:rPr>
            </w:pPr>
            <w:r>
              <w:rPr>
                <w:sz w:val="21"/>
                <w:szCs w:val="21"/>
                <w:spacing w:val="6"/>
              </w:rPr>
              <w:t>二类区</w:t>
            </w:r>
          </w:p>
        </w:tc>
      </w:tr>
      <w:tr>
        <w:trPr>
          <w:trHeight w:val="260" w:hRule="atLeast"/>
        </w:trPr>
        <w:tc>
          <w:tcPr>
            <w:tcW w:w="924" w:type="dxa"/>
            <w:vAlign w:val="top"/>
            <w:vMerge w:val="continue"/>
            <w:tcBorders>
              <w:top w:val="nil"/>
              <w:bottom w:val="nil"/>
            </w:tcBorders>
          </w:tcPr>
          <w:p>
            <w:pPr>
              <w:rPr>
                <w:rFonts w:ascii="Arial"/>
                <w:sz w:val="21"/>
              </w:rPr>
            </w:pPr>
            <w:r/>
          </w:p>
        </w:tc>
        <w:tc>
          <w:tcPr>
            <w:tcW w:w="2597" w:type="dxa"/>
            <w:vAlign w:val="top"/>
          </w:tcPr>
          <w:p>
            <w:pPr>
              <w:pStyle w:val="TableText"/>
              <w:ind w:left="240"/>
              <w:spacing w:before="35" w:line="189" w:lineRule="auto"/>
              <w:rPr>
                <w:sz w:val="21"/>
                <w:szCs w:val="21"/>
              </w:rPr>
            </w:pPr>
            <w:r>
              <w:rPr>
                <w:sz w:val="21"/>
                <w:szCs w:val="21"/>
                <w:spacing w:val="1"/>
              </w:rPr>
              <w:t>绵阳安州刘氏正骨医院</w:t>
            </w:r>
          </w:p>
        </w:tc>
        <w:tc>
          <w:tcPr>
            <w:tcW w:w="1038" w:type="dxa"/>
            <w:vAlign w:val="top"/>
          </w:tcPr>
          <w:p>
            <w:pPr>
              <w:pStyle w:val="TableText"/>
              <w:spacing w:before="56" w:line="170" w:lineRule="auto"/>
              <w:jc w:val="right"/>
              <w:rPr>
                <w:sz w:val="21"/>
                <w:szCs w:val="21"/>
              </w:rPr>
            </w:pPr>
            <w:r>
              <w:rPr>
                <w:sz w:val="21"/>
                <w:szCs w:val="21"/>
                <w:spacing w:val="-4"/>
              </w:rPr>
              <w:t>104.549399</w:t>
            </w:r>
          </w:p>
        </w:tc>
        <w:tc>
          <w:tcPr>
            <w:tcW w:w="989" w:type="dxa"/>
            <w:vAlign w:val="top"/>
          </w:tcPr>
          <w:p>
            <w:pPr>
              <w:pStyle w:val="TableText"/>
              <w:ind w:left="15"/>
              <w:spacing w:before="56" w:line="170" w:lineRule="auto"/>
              <w:rPr>
                <w:sz w:val="21"/>
                <w:szCs w:val="21"/>
              </w:rPr>
            </w:pPr>
            <w:r>
              <w:rPr>
                <w:sz w:val="21"/>
                <w:szCs w:val="21"/>
                <w:spacing w:val="-2"/>
              </w:rPr>
              <w:t>31.542706</w:t>
            </w:r>
          </w:p>
        </w:tc>
        <w:tc>
          <w:tcPr>
            <w:tcW w:w="519" w:type="dxa"/>
            <w:vAlign w:val="top"/>
          </w:tcPr>
          <w:p>
            <w:pPr>
              <w:pStyle w:val="TableText"/>
              <w:ind w:left="46"/>
              <w:spacing w:before="35" w:line="189" w:lineRule="auto"/>
              <w:rPr>
                <w:sz w:val="21"/>
                <w:szCs w:val="21"/>
              </w:rPr>
            </w:pPr>
            <w:r>
              <w:rPr>
                <w:sz w:val="21"/>
                <w:szCs w:val="21"/>
                <w:color w:val="506070"/>
                <w:spacing w:val="5"/>
              </w:rPr>
              <w:t>东北</w:t>
            </w:r>
          </w:p>
        </w:tc>
        <w:tc>
          <w:tcPr>
            <w:tcW w:w="719" w:type="dxa"/>
            <w:vAlign w:val="top"/>
          </w:tcPr>
          <w:p>
            <w:pPr>
              <w:pStyle w:val="TableText"/>
              <w:ind w:left="147"/>
              <w:spacing w:before="56" w:line="170" w:lineRule="auto"/>
              <w:rPr>
                <w:sz w:val="21"/>
                <w:szCs w:val="21"/>
              </w:rPr>
            </w:pPr>
            <w:r>
              <w:rPr>
                <w:sz w:val="21"/>
                <w:szCs w:val="21"/>
                <w:spacing w:val="-5"/>
              </w:rPr>
              <w:t>1280</w:t>
            </w:r>
          </w:p>
        </w:tc>
        <w:tc>
          <w:tcPr>
            <w:tcW w:w="679" w:type="dxa"/>
            <w:vAlign w:val="top"/>
          </w:tcPr>
          <w:p>
            <w:pPr>
              <w:pStyle w:val="TableText"/>
              <w:ind w:left="128"/>
              <w:spacing w:before="36" w:line="188" w:lineRule="auto"/>
              <w:rPr>
                <w:sz w:val="21"/>
                <w:szCs w:val="21"/>
              </w:rPr>
            </w:pPr>
            <w:r>
              <w:rPr>
                <w:sz w:val="21"/>
                <w:szCs w:val="21"/>
                <w:spacing w:val="6"/>
              </w:rPr>
              <w:t>医院</w:t>
            </w:r>
          </w:p>
        </w:tc>
        <w:tc>
          <w:tcPr>
            <w:tcW w:w="1024" w:type="dxa"/>
            <w:vAlign w:val="top"/>
          </w:tcPr>
          <w:p>
            <w:pPr>
              <w:pStyle w:val="TableText"/>
              <w:ind w:left="189"/>
              <w:spacing w:before="35" w:line="189" w:lineRule="auto"/>
              <w:rPr>
                <w:sz w:val="21"/>
                <w:szCs w:val="21"/>
              </w:rPr>
            </w:pPr>
            <w:r>
              <w:rPr>
                <w:sz w:val="21"/>
                <w:szCs w:val="21"/>
                <w:color w:val="505060"/>
                <w:spacing w:val="6"/>
              </w:rPr>
              <w:t>二类区</w:t>
            </w:r>
          </w:p>
        </w:tc>
      </w:tr>
      <w:tr>
        <w:trPr>
          <w:trHeight w:val="280" w:hRule="atLeast"/>
        </w:trPr>
        <w:tc>
          <w:tcPr>
            <w:tcW w:w="924" w:type="dxa"/>
            <w:vAlign w:val="top"/>
            <w:vMerge w:val="continue"/>
            <w:tcBorders>
              <w:top w:val="nil"/>
            </w:tcBorders>
          </w:tcPr>
          <w:p>
            <w:pPr>
              <w:rPr>
                <w:rFonts w:ascii="Arial"/>
                <w:sz w:val="21"/>
              </w:rPr>
            </w:pPr>
            <w:r/>
          </w:p>
        </w:tc>
        <w:tc>
          <w:tcPr>
            <w:tcW w:w="2597" w:type="dxa"/>
            <w:vAlign w:val="top"/>
          </w:tcPr>
          <w:p>
            <w:pPr>
              <w:pStyle w:val="TableText"/>
              <w:ind w:left="80"/>
              <w:spacing w:before="45" w:line="197" w:lineRule="auto"/>
              <w:rPr>
                <w:sz w:val="21"/>
                <w:szCs w:val="21"/>
              </w:rPr>
            </w:pPr>
            <w:r>
              <w:rPr>
                <w:sz w:val="21"/>
                <w:szCs w:val="21"/>
                <w:spacing w:val="-1"/>
              </w:rPr>
              <w:t>绵阳四O四医院医联体医院</w:t>
            </w:r>
          </w:p>
        </w:tc>
        <w:tc>
          <w:tcPr>
            <w:tcW w:w="1038" w:type="dxa"/>
            <w:vAlign w:val="top"/>
          </w:tcPr>
          <w:p>
            <w:pPr>
              <w:pStyle w:val="TableText"/>
              <w:spacing w:before="66" w:line="179" w:lineRule="auto"/>
              <w:jc w:val="right"/>
              <w:rPr>
                <w:sz w:val="21"/>
                <w:szCs w:val="21"/>
              </w:rPr>
            </w:pPr>
            <w:r>
              <w:rPr>
                <w:sz w:val="21"/>
                <w:szCs w:val="21"/>
                <w:spacing w:val="-4"/>
              </w:rPr>
              <w:t>104.546328</w:t>
            </w:r>
          </w:p>
        </w:tc>
        <w:tc>
          <w:tcPr>
            <w:tcW w:w="989" w:type="dxa"/>
            <w:vAlign w:val="top"/>
          </w:tcPr>
          <w:p>
            <w:pPr>
              <w:pStyle w:val="TableText"/>
              <w:ind w:left="15"/>
              <w:spacing w:before="66" w:line="179" w:lineRule="auto"/>
              <w:rPr>
                <w:sz w:val="21"/>
                <w:szCs w:val="21"/>
              </w:rPr>
            </w:pPr>
            <w:r>
              <w:rPr>
                <w:sz w:val="21"/>
                <w:szCs w:val="21"/>
                <w:spacing w:val="-2"/>
              </w:rPr>
              <w:t>31.541675</w:t>
            </w:r>
          </w:p>
        </w:tc>
        <w:tc>
          <w:tcPr>
            <w:tcW w:w="519" w:type="dxa"/>
            <w:vAlign w:val="top"/>
          </w:tcPr>
          <w:p>
            <w:pPr>
              <w:pStyle w:val="TableText"/>
              <w:ind w:left="46"/>
              <w:spacing w:before="45" w:line="197" w:lineRule="auto"/>
              <w:rPr>
                <w:sz w:val="21"/>
                <w:szCs w:val="21"/>
              </w:rPr>
            </w:pPr>
            <w:r>
              <w:rPr>
                <w:sz w:val="21"/>
                <w:szCs w:val="21"/>
                <w:color w:val="404040"/>
                <w:spacing w:val="5"/>
              </w:rPr>
              <w:t>东北</w:t>
            </w:r>
          </w:p>
        </w:tc>
        <w:tc>
          <w:tcPr>
            <w:tcW w:w="719" w:type="dxa"/>
            <w:vAlign w:val="top"/>
          </w:tcPr>
          <w:p>
            <w:pPr>
              <w:pStyle w:val="TableText"/>
              <w:ind w:left="198"/>
              <w:spacing w:before="66" w:line="179" w:lineRule="auto"/>
              <w:rPr>
                <w:sz w:val="21"/>
                <w:szCs w:val="21"/>
              </w:rPr>
            </w:pPr>
            <w:r>
              <w:rPr>
                <w:sz w:val="21"/>
                <w:szCs w:val="21"/>
                <w:spacing w:val="-3"/>
              </w:rPr>
              <w:t>953</w:t>
            </w:r>
          </w:p>
        </w:tc>
        <w:tc>
          <w:tcPr>
            <w:tcW w:w="679" w:type="dxa"/>
            <w:vAlign w:val="top"/>
          </w:tcPr>
          <w:p>
            <w:pPr>
              <w:pStyle w:val="TableText"/>
              <w:ind w:left="128"/>
              <w:spacing w:before="45" w:line="197" w:lineRule="auto"/>
              <w:rPr>
                <w:sz w:val="21"/>
                <w:szCs w:val="21"/>
              </w:rPr>
            </w:pPr>
            <w:r>
              <w:rPr>
                <w:sz w:val="21"/>
                <w:szCs w:val="21"/>
                <w:color w:val="404040"/>
                <w:spacing w:val="6"/>
              </w:rPr>
              <w:t>医院</w:t>
            </w:r>
          </w:p>
        </w:tc>
        <w:tc>
          <w:tcPr>
            <w:tcW w:w="1024" w:type="dxa"/>
            <w:vAlign w:val="top"/>
          </w:tcPr>
          <w:p>
            <w:pPr>
              <w:pStyle w:val="TableText"/>
              <w:ind w:left="189"/>
              <w:spacing w:before="45" w:line="197" w:lineRule="auto"/>
              <w:rPr>
                <w:sz w:val="21"/>
                <w:szCs w:val="21"/>
              </w:rPr>
            </w:pPr>
            <w:r>
              <w:rPr>
                <w:sz w:val="21"/>
                <w:szCs w:val="21"/>
                <w:spacing w:val="6"/>
              </w:rPr>
              <w:t>二类区</w:t>
            </w:r>
          </w:p>
        </w:tc>
      </w:tr>
      <w:tr>
        <w:trPr>
          <w:trHeight w:val="270" w:hRule="atLeast"/>
        </w:trPr>
        <w:tc>
          <w:tcPr>
            <w:tcW w:w="924" w:type="dxa"/>
            <w:vAlign w:val="top"/>
            <w:vMerge w:val="restart"/>
            <w:tcBorders>
              <w:bottom w:val="nil"/>
            </w:tcBorders>
          </w:tcPr>
          <w:p>
            <w:pPr>
              <w:spacing w:line="256" w:lineRule="auto"/>
              <w:rPr>
                <w:rFonts w:ascii="Arial"/>
                <w:sz w:val="21"/>
              </w:rPr>
            </w:pPr>
            <w:r/>
          </w:p>
          <w:p>
            <w:pPr>
              <w:pStyle w:val="TableText"/>
              <w:ind w:left="134"/>
              <w:spacing w:before="68" w:line="219" w:lineRule="auto"/>
              <w:rPr>
                <w:sz w:val="21"/>
                <w:szCs w:val="21"/>
              </w:rPr>
            </w:pPr>
            <w:r>
              <w:rPr>
                <w:sz w:val="21"/>
                <w:szCs w:val="21"/>
                <w:spacing w:val="-2"/>
              </w:rPr>
              <w:t>地表水</w:t>
            </w:r>
          </w:p>
        </w:tc>
        <w:tc>
          <w:tcPr>
            <w:tcW w:w="4624" w:type="dxa"/>
            <w:vAlign w:val="top"/>
            <w:gridSpan w:val="3"/>
          </w:tcPr>
          <w:p>
            <w:pPr>
              <w:pStyle w:val="TableText"/>
              <w:ind w:left="1990"/>
              <w:spacing w:before="35" w:line="197" w:lineRule="auto"/>
              <w:rPr>
                <w:sz w:val="21"/>
                <w:szCs w:val="21"/>
              </w:rPr>
            </w:pPr>
            <w:r>
              <w:rPr>
                <w:sz w:val="21"/>
                <w:szCs w:val="21"/>
                <w:color w:val="404040"/>
                <w:spacing w:val="3"/>
              </w:rPr>
              <w:t>草西河</w:t>
            </w:r>
          </w:p>
        </w:tc>
        <w:tc>
          <w:tcPr>
            <w:tcW w:w="519" w:type="dxa"/>
            <w:vAlign w:val="top"/>
          </w:tcPr>
          <w:p>
            <w:pPr>
              <w:pStyle w:val="TableText"/>
              <w:ind w:left="46"/>
              <w:spacing w:before="38" w:line="195" w:lineRule="auto"/>
              <w:rPr>
                <w:sz w:val="21"/>
                <w:szCs w:val="21"/>
              </w:rPr>
            </w:pPr>
            <w:r>
              <w:rPr>
                <w:sz w:val="21"/>
                <w:szCs w:val="21"/>
                <w:spacing w:val="5"/>
              </w:rPr>
              <w:t>西南</w:t>
            </w:r>
          </w:p>
        </w:tc>
        <w:tc>
          <w:tcPr>
            <w:tcW w:w="719" w:type="dxa"/>
            <w:vAlign w:val="top"/>
          </w:tcPr>
          <w:p>
            <w:pPr>
              <w:pStyle w:val="TableText"/>
              <w:ind w:left="147"/>
              <w:spacing w:before="56" w:line="179" w:lineRule="auto"/>
              <w:rPr>
                <w:sz w:val="21"/>
                <w:szCs w:val="21"/>
              </w:rPr>
            </w:pPr>
            <w:r>
              <w:rPr>
                <w:sz w:val="21"/>
                <w:szCs w:val="21"/>
                <w:spacing w:val="-5"/>
              </w:rPr>
              <w:t>1900</w:t>
            </w:r>
          </w:p>
        </w:tc>
        <w:tc>
          <w:tcPr>
            <w:tcW w:w="679" w:type="dxa"/>
            <w:vAlign w:val="top"/>
          </w:tcPr>
          <w:p>
            <w:pPr>
              <w:pStyle w:val="TableText"/>
              <w:ind w:left="279"/>
              <w:spacing w:before="41" w:line="192" w:lineRule="auto"/>
              <w:rPr>
                <w:sz w:val="21"/>
                <w:szCs w:val="21"/>
              </w:rPr>
            </w:pPr>
            <w:r>
              <w:rPr>
                <w:sz w:val="21"/>
                <w:szCs w:val="21"/>
              </w:rPr>
              <w:t>/</w:t>
            </w:r>
          </w:p>
        </w:tc>
        <w:tc>
          <w:tcPr>
            <w:tcW w:w="1024" w:type="dxa"/>
            <w:vAlign w:val="top"/>
          </w:tcPr>
          <w:p>
            <w:pPr>
              <w:pStyle w:val="TableText"/>
              <w:ind w:left="299"/>
              <w:spacing w:before="35" w:line="197" w:lineRule="auto"/>
              <w:rPr>
                <w:sz w:val="21"/>
                <w:szCs w:val="21"/>
              </w:rPr>
            </w:pPr>
            <w:r>
              <w:rPr>
                <w:sz w:val="21"/>
                <w:szCs w:val="21"/>
                <w:spacing w:val="-2"/>
              </w:rPr>
              <w:t>Ⅲ类</w:t>
            </w:r>
          </w:p>
        </w:tc>
      </w:tr>
      <w:tr>
        <w:trPr>
          <w:trHeight w:val="280" w:hRule="atLeast"/>
        </w:trPr>
        <w:tc>
          <w:tcPr>
            <w:tcW w:w="924" w:type="dxa"/>
            <w:vAlign w:val="top"/>
            <w:vMerge w:val="continue"/>
            <w:tcBorders>
              <w:top w:val="nil"/>
              <w:bottom w:val="nil"/>
            </w:tcBorders>
          </w:tcPr>
          <w:p>
            <w:pPr>
              <w:rPr>
                <w:rFonts w:ascii="Arial"/>
                <w:sz w:val="21"/>
              </w:rPr>
            </w:pPr>
            <w:r/>
          </w:p>
        </w:tc>
        <w:tc>
          <w:tcPr>
            <w:tcW w:w="4624" w:type="dxa"/>
            <w:vAlign w:val="top"/>
            <w:gridSpan w:val="3"/>
          </w:tcPr>
          <w:p>
            <w:pPr>
              <w:pStyle w:val="TableText"/>
              <w:ind w:left="1990"/>
              <w:spacing w:before="47" w:line="196" w:lineRule="auto"/>
              <w:rPr>
                <w:sz w:val="21"/>
                <w:szCs w:val="21"/>
              </w:rPr>
            </w:pPr>
            <w:r>
              <w:rPr>
                <w:sz w:val="21"/>
                <w:szCs w:val="21"/>
                <w:color w:val="505050"/>
                <w:spacing w:val="3"/>
              </w:rPr>
              <w:t>安昌河</w:t>
            </w:r>
          </w:p>
        </w:tc>
        <w:tc>
          <w:tcPr>
            <w:tcW w:w="519" w:type="dxa"/>
            <w:vAlign w:val="top"/>
          </w:tcPr>
          <w:p>
            <w:pPr>
              <w:pStyle w:val="TableText"/>
              <w:ind w:left="46"/>
              <w:spacing w:before="48" w:line="195" w:lineRule="auto"/>
              <w:rPr>
                <w:sz w:val="21"/>
                <w:szCs w:val="21"/>
              </w:rPr>
            </w:pPr>
            <w:r>
              <w:rPr>
                <w:sz w:val="21"/>
                <w:szCs w:val="21"/>
                <w:color w:val="505060"/>
                <w:spacing w:val="5"/>
              </w:rPr>
              <w:t>西南</w:t>
            </w:r>
          </w:p>
        </w:tc>
        <w:tc>
          <w:tcPr>
            <w:tcW w:w="719" w:type="dxa"/>
            <w:vAlign w:val="top"/>
          </w:tcPr>
          <w:p>
            <w:pPr>
              <w:pStyle w:val="TableText"/>
              <w:ind w:left="147"/>
              <w:spacing w:before="66" w:line="179" w:lineRule="auto"/>
              <w:rPr>
                <w:sz w:val="21"/>
                <w:szCs w:val="21"/>
              </w:rPr>
            </w:pPr>
            <w:r>
              <w:rPr>
                <w:sz w:val="21"/>
                <w:szCs w:val="21"/>
                <w:spacing w:val="-3"/>
              </w:rPr>
              <w:t>2900</w:t>
            </w:r>
          </w:p>
        </w:tc>
        <w:tc>
          <w:tcPr>
            <w:tcW w:w="679" w:type="dxa"/>
            <w:vAlign w:val="top"/>
          </w:tcPr>
          <w:p>
            <w:pPr>
              <w:pStyle w:val="TableText"/>
              <w:ind w:left="279"/>
              <w:spacing w:before="51" w:line="192" w:lineRule="auto"/>
              <w:rPr>
                <w:sz w:val="21"/>
                <w:szCs w:val="21"/>
              </w:rPr>
            </w:pPr>
            <w:r>
              <w:rPr>
                <w:sz w:val="21"/>
                <w:szCs w:val="21"/>
              </w:rPr>
              <w:t>/</w:t>
            </w:r>
          </w:p>
        </w:tc>
        <w:tc>
          <w:tcPr>
            <w:tcW w:w="1024" w:type="dxa"/>
            <w:vAlign w:val="top"/>
          </w:tcPr>
          <w:p>
            <w:pPr>
              <w:pStyle w:val="TableText"/>
              <w:ind w:left="299"/>
              <w:spacing w:before="45" w:line="197" w:lineRule="auto"/>
              <w:rPr>
                <w:sz w:val="21"/>
                <w:szCs w:val="21"/>
              </w:rPr>
            </w:pPr>
            <w:r>
              <w:rPr>
                <w:sz w:val="21"/>
                <w:szCs w:val="21"/>
                <w:spacing w:val="-2"/>
              </w:rPr>
              <w:t>Ⅲ类</w:t>
            </w:r>
          </w:p>
        </w:tc>
      </w:tr>
      <w:tr>
        <w:trPr>
          <w:trHeight w:val="269" w:hRule="atLeast"/>
        </w:trPr>
        <w:tc>
          <w:tcPr>
            <w:tcW w:w="924" w:type="dxa"/>
            <w:vAlign w:val="top"/>
            <w:vMerge w:val="continue"/>
            <w:tcBorders>
              <w:top w:val="nil"/>
            </w:tcBorders>
          </w:tcPr>
          <w:p>
            <w:pPr>
              <w:rPr>
                <w:rFonts w:ascii="Arial"/>
                <w:sz w:val="21"/>
              </w:rPr>
            </w:pPr>
            <w:r/>
          </w:p>
        </w:tc>
        <w:tc>
          <w:tcPr>
            <w:tcW w:w="4624" w:type="dxa"/>
            <w:vAlign w:val="top"/>
            <w:gridSpan w:val="3"/>
          </w:tcPr>
          <w:p>
            <w:pPr>
              <w:pStyle w:val="TableText"/>
              <w:ind w:left="2091"/>
              <w:spacing w:before="36" w:line="196" w:lineRule="auto"/>
              <w:rPr>
                <w:sz w:val="21"/>
                <w:szCs w:val="21"/>
              </w:rPr>
            </w:pPr>
            <w:r>
              <w:rPr>
                <w:sz w:val="21"/>
                <w:szCs w:val="21"/>
                <w:color w:val="404050"/>
                <w:spacing w:val="-3"/>
              </w:rPr>
              <w:t>涪江</w:t>
            </w:r>
          </w:p>
        </w:tc>
        <w:tc>
          <w:tcPr>
            <w:tcW w:w="519" w:type="dxa"/>
            <w:vAlign w:val="top"/>
          </w:tcPr>
          <w:p>
            <w:pPr>
              <w:pStyle w:val="TableText"/>
              <w:ind w:left="46"/>
              <w:spacing w:before="38" w:line="194" w:lineRule="auto"/>
              <w:rPr>
                <w:sz w:val="21"/>
                <w:szCs w:val="21"/>
              </w:rPr>
            </w:pPr>
            <w:r>
              <w:rPr>
                <w:sz w:val="21"/>
                <w:szCs w:val="21"/>
                <w:color w:val="504040"/>
                <w:spacing w:val="5"/>
              </w:rPr>
              <w:t>西南</w:t>
            </w:r>
          </w:p>
        </w:tc>
        <w:tc>
          <w:tcPr>
            <w:tcW w:w="719" w:type="dxa"/>
            <w:vAlign w:val="top"/>
          </w:tcPr>
          <w:p>
            <w:pPr>
              <w:pStyle w:val="TableText"/>
              <w:ind w:left="87"/>
              <w:spacing w:before="56" w:line="178" w:lineRule="auto"/>
              <w:rPr>
                <w:sz w:val="21"/>
                <w:szCs w:val="21"/>
              </w:rPr>
            </w:pPr>
            <w:r>
              <w:rPr>
                <w:sz w:val="21"/>
                <w:szCs w:val="21"/>
                <w:spacing w:val="-4"/>
              </w:rPr>
              <w:t>16000</w:t>
            </w:r>
          </w:p>
        </w:tc>
        <w:tc>
          <w:tcPr>
            <w:tcW w:w="679" w:type="dxa"/>
            <w:vAlign w:val="top"/>
          </w:tcPr>
          <w:p>
            <w:pPr>
              <w:pStyle w:val="TableText"/>
              <w:ind w:left="279"/>
              <w:spacing w:before="41" w:line="191" w:lineRule="auto"/>
              <w:rPr>
                <w:sz w:val="21"/>
                <w:szCs w:val="21"/>
              </w:rPr>
            </w:pPr>
            <w:r>
              <w:rPr>
                <w:sz w:val="21"/>
                <w:szCs w:val="21"/>
              </w:rPr>
              <w:t>/</w:t>
            </w:r>
          </w:p>
        </w:tc>
        <w:tc>
          <w:tcPr>
            <w:tcW w:w="1024" w:type="dxa"/>
            <w:vAlign w:val="top"/>
          </w:tcPr>
          <w:p>
            <w:pPr>
              <w:pStyle w:val="TableText"/>
              <w:ind w:left="299"/>
              <w:spacing w:before="36" w:line="196" w:lineRule="auto"/>
              <w:rPr>
                <w:sz w:val="21"/>
                <w:szCs w:val="21"/>
              </w:rPr>
            </w:pPr>
            <w:r>
              <w:rPr>
                <w:sz w:val="21"/>
                <w:szCs w:val="21"/>
                <w:spacing w:val="-2"/>
              </w:rPr>
              <w:t>Ⅲ类</w:t>
            </w:r>
          </w:p>
        </w:tc>
      </w:tr>
      <w:tr>
        <w:trPr>
          <w:trHeight w:val="260" w:hRule="atLeast"/>
        </w:trPr>
        <w:tc>
          <w:tcPr>
            <w:tcW w:w="924" w:type="dxa"/>
            <w:vAlign w:val="top"/>
          </w:tcPr>
          <w:p>
            <w:pPr>
              <w:pStyle w:val="TableText"/>
              <w:ind w:left="134"/>
              <w:spacing w:before="36" w:line="188" w:lineRule="auto"/>
              <w:rPr>
                <w:sz w:val="21"/>
                <w:szCs w:val="21"/>
              </w:rPr>
            </w:pPr>
            <w:r>
              <w:rPr>
                <w:sz w:val="21"/>
                <w:szCs w:val="21"/>
                <w:spacing w:val="-2"/>
              </w:rPr>
              <w:t>地下水</w:t>
            </w:r>
          </w:p>
        </w:tc>
        <w:tc>
          <w:tcPr>
            <w:tcW w:w="4624" w:type="dxa"/>
            <w:vAlign w:val="top"/>
            <w:gridSpan w:val="3"/>
          </w:tcPr>
          <w:p>
            <w:pPr>
              <w:pStyle w:val="TableText"/>
              <w:ind w:left="1570"/>
              <w:spacing w:before="36" w:line="188" w:lineRule="auto"/>
              <w:rPr>
                <w:sz w:val="21"/>
                <w:szCs w:val="21"/>
              </w:rPr>
            </w:pPr>
            <w:r>
              <w:rPr>
                <w:sz w:val="21"/>
                <w:szCs w:val="21"/>
                <w:spacing w:val="1"/>
              </w:rPr>
              <w:t>当地浅层地下水</w:t>
            </w:r>
          </w:p>
        </w:tc>
        <w:tc>
          <w:tcPr>
            <w:tcW w:w="519" w:type="dxa"/>
            <w:vAlign w:val="top"/>
          </w:tcPr>
          <w:p>
            <w:pPr>
              <w:pStyle w:val="TableText"/>
              <w:ind w:left="196"/>
              <w:spacing w:before="42" w:line="182" w:lineRule="auto"/>
              <w:rPr>
                <w:sz w:val="21"/>
                <w:szCs w:val="21"/>
              </w:rPr>
            </w:pPr>
            <w:r>
              <w:rPr>
                <w:sz w:val="21"/>
                <w:szCs w:val="21"/>
              </w:rPr>
              <w:t>/</w:t>
            </w:r>
          </w:p>
        </w:tc>
        <w:tc>
          <w:tcPr>
            <w:tcW w:w="719" w:type="dxa"/>
            <w:vAlign w:val="top"/>
          </w:tcPr>
          <w:p>
            <w:pPr>
              <w:pStyle w:val="TableText"/>
              <w:ind w:left="297"/>
              <w:spacing w:before="57" w:line="169" w:lineRule="auto"/>
              <w:rPr>
                <w:sz w:val="21"/>
                <w:szCs w:val="21"/>
              </w:rPr>
            </w:pPr>
            <w:r>
              <w:rPr>
                <w:sz w:val="21"/>
                <w:szCs w:val="21"/>
                <w:color w:val="303050"/>
              </w:rPr>
              <w:t>1</w:t>
            </w:r>
          </w:p>
        </w:tc>
        <w:tc>
          <w:tcPr>
            <w:tcW w:w="679" w:type="dxa"/>
            <w:vAlign w:val="top"/>
          </w:tcPr>
          <w:p>
            <w:pPr>
              <w:pStyle w:val="TableText"/>
              <w:ind w:left="279"/>
              <w:spacing w:before="42" w:line="182" w:lineRule="auto"/>
              <w:rPr>
                <w:sz w:val="21"/>
                <w:szCs w:val="21"/>
              </w:rPr>
            </w:pPr>
            <w:r>
              <w:rPr>
                <w:sz w:val="21"/>
                <w:szCs w:val="21"/>
                <w:color w:val="504060"/>
              </w:rPr>
              <w:t>/</w:t>
            </w:r>
          </w:p>
        </w:tc>
        <w:tc>
          <w:tcPr>
            <w:tcW w:w="1024" w:type="dxa"/>
            <w:vAlign w:val="top"/>
          </w:tcPr>
          <w:p>
            <w:pPr>
              <w:pStyle w:val="TableText"/>
              <w:ind w:left="299"/>
              <w:spacing w:before="36" w:line="188" w:lineRule="auto"/>
              <w:rPr>
                <w:sz w:val="21"/>
                <w:szCs w:val="21"/>
              </w:rPr>
            </w:pPr>
            <w:r>
              <w:rPr>
                <w:sz w:val="21"/>
                <w:szCs w:val="21"/>
                <w:spacing w:val="-2"/>
              </w:rPr>
              <w:t>Ⅲ类</w:t>
            </w:r>
          </w:p>
        </w:tc>
      </w:tr>
      <w:tr>
        <w:trPr>
          <w:trHeight w:val="289" w:hRule="atLeast"/>
        </w:trPr>
        <w:tc>
          <w:tcPr>
            <w:tcW w:w="924" w:type="dxa"/>
            <w:vAlign w:val="top"/>
            <w:vMerge w:val="restart"/>
            <w:tcBorders>
              <w:bottom w:val="nil"/>
            </w:tcBorders>
          </w:tcPr>
          <w:p>
            <w:pPr>
              <w:pStyle w:val="TableText"/>
              <w:ind w:left="134"/>
              <w:spacing w:before="187" w:line="220" w:lineRule="auto"/>
              <w:rPr>
                <w:sz w:val="21"/>
                <w:szCs w:val="21"/>
              </w:rPr>
            </w:pPr>
            <w:r>
              <w:rPr>
                <w:sz w:val="21"/>
                <w:szCs w:val="21"/>
                <w:spacing w:val="3"/>
              </w:rPr>
              <w:t>声环境</w:t>
            </w:r>
          </w:p>
        </w:tc>
        <w:tc>
          <w:tcPr>
            <w:tcW w:w="2597" w:type="dxa"/>
            <w:vAlign w:val="top"/>
          </w:tcPr>
          <w:p>
            <w:pPr>
              <w:pStyle w:val="TableText"/>
              <w:ind w:left="340"/>
              <w:spacing w:before="45" w:line="205" w:lineRule="auto"/>
              <w:rPr>
                <w:sz w:val="21"/>
                <w:szCs w:val="21"/>
              </w:rPr>
            </w:pPr>
            <w:r>
              <w:rPr>
                <w:sz w:val="21"/>
                <w:szCs w:val="21"/>
                <w:spacing w:val="1"/>
              </w:rPr>
              <w:t>安州区高级职业中学</w:t>
            </w:r>
          </w:p>
        </w:tc>
        <w:tc>
          <w:tcPr>
            <w:tcW w:w="1038" w:type="dxa"/>
            <w:vAlign w:val="top"/>
          </w:tcPr>
          <w:p>
            <w:pPr>
              <w:pStyle w:val="TableText"/>
              <w:spacing w:before="67" w:line="186" w:lineRule="auto"/>
              <w:jc w:val="right"/>
              <w:rPr>
                <w:sz w:val="21"/>
                <w:szCs w:val="21"/>
              </w:rPr>
            </w:pPr>
            <w:r>
              <w:rPr>
                <w:sz w:val="21"/>
                <w:szCs w:val="21"/>
                <w:spacing w:val="-4"/>
              </w:rPr>
              <w:t>104.541821</w:t>
            </w:r>
          </w:p>
        </w:tc>
        <w:tc>
          <w:tcPr>
            <w:tcW w:w="989" w:type="dxa"/>
            <w:vAlign w:val="top"/>
          </w:tcPr>
          <w:p>
            <w:pPr>
              <w:pStyle w:val="TableText"/>
              <w:ind w:left="15"/>
              <w:spacing w:before="67" w:line="186" w:lineRule="auto"/>
              <w:rPr>
                <w:sz w:val="21"/>
                <w:szCs w:val="21"/>
              </w:rPr>
            </w:pPr>
            <w:r>
              <w:rPr>
                <w:sz w:val="21"/>
                <w:szCs w:val="21"/>
                <w:spacing w:val="-2"/>
              </w:rPr>
              <w:t>31.540322</w:t>
            </w:r>
          </w:p>
        </w:tc>
        <w:tc>
          <w:tcPr>
            <w:tcW w:w="519" w:type="dxa"/>
            <w:vAlign w:val="top"/>
          </w:tcPr>
          <w:p>
            <w:pPr>
              <w:pStyle w:val="TableText"/>
              <w:ind w:left="147"/>
              <w:spacing w:before="46" w:line="204" w:lineRule="auto"/>
              <w:rPr>
                <w:sz w:val="21"/>
                <w:szCs w:val="21"/>
              </w:rPr>
            </w:pPr>
            <w:r>
              <w:rPr>
                <w:sz w:val="21"/>
                <w:szCs w:val="21"/>
              </w:rPr>
              <w:t>东</w:t>
            </w:r>
          </w:p>
        </w:tc>
        <w:tc>
          <w:tcPr>
            <w:tcW w:w="719" w:type="dxa"/>
            <w:vAlign w:val="top"/>
          </w:tcPr>
          <w:p>
            <w:pPr>
              <w:pStyle w:val="TableText"/>
              <w:ind w:left="198"/>
              <w:spacing w:before="67" w:line="186" w:lineRule="auto"/>
              <w:rPr>
                <w:sz w:val="21"/>
                <w:szCs w:val="21"/>
              </w:rPr>
            </w:pPr>
            <w:r>
              <w:rPr>
                <w:sz w:val="21"/>
                <w:szCs w:val="21"/>
                <w:spacing w:val="-6"/>
              </w:rPr>
              <w:t>180</w:t>
            </w:r>
          </w:p>
        </w:tc>
        <w:tc>
          <w:tcPr>
            <w:tcW w:w="679" w:type="dxa"/>
            <w:vAlign w:val="top"/>
          </w:tcPr>
          <w:p>
            <w:pPr>
              <w:pStyle w:val="TableText"/>
              <w:ind w:left="128"/>
              <w:spacing w:before="46" w:line="204" w:lineRule="auto"/>
              <w:rPr>
                <w:sz w:val="21"/>
                <w:szCs w:val="21"/>
              </w:rPr>
            </w:pPr>
            <w:r>
              <w:rPr>
                <w:sz w:val="21"/>
                <w:szCs w:val="21"/>
                <w:spacing w:val="4"/>
              </w:rPr>
              <w:t>学校</w:t>
            </w:r>
          </w:p>
        </w:tc>
        <w:tc>
          <w:tcPr>
            <w:tcW w:w="1024" w:type="dxa"/>
            <w:vAlign w:val="top"/>
          </w:tcPr>
          <w:p>
            <w:pPr>
              <w:pStyle w:val="TableText"/>
              <w:ind w:left="349"/>
              <w:spacing w:before="46" w:line="204" w:lineRule="auto"/>
              <w:rPr>
                <w:sz w:val="21"/>
                <w:szCs w:val="21"/>
              </w:rPr>
            </w:pPr>
            <w:r>
              <w:rPr>
                <w:sz w:val="21"/>
                <w:szCs w:val="21"/>
                <w:spacing w:val="-2"/>
              </w:rPr>
              <w:t>2类</w:t>
            </w:r>
          </w:p>
        </w:tc>
      </w:tr>
      <w:tr>
        <w:trPr>
          <w:trHeight w:val="260" w:hRule="atLeast"/>
        </w:trPr>
        <w:tc>
          <w:tcPr>
            <w:tcW w:w="924" w:type="dxa"/>
            <w:vAlign w:val="top"/>
            <w:vMerge w:val="continue"/>
            <w:tcBorders>
              <w:top w:val="nil"/>
            </w:tcBorders>
          </w:tcPr>
          <w:p>
            <w:pPr>
              <w:rPr>
                <w:rFonts w:ascii="Arial"/>
                <w:sz w:val="21"/>
              </w:rPr>
            </w:pPr>
            <w:r/>
          </w:p>
        </w:tc>
        <w:tc>
          <w:tcPr>
            <w:tcW w:w="2597" w:type="dxa"/>
            <w:vAlign w:val="top"/>
          </w:tcPr>
          <w:p>
            <w:pPr>
              <w:pStyle w:val="TableText"/>
              <w:ind w:left="870"/>
              <w:spacing w:before="38" w:line="186" w:lineRule="auto"/>
              <w:rPr>
                <w:sz w:val="21"/>
                <w:szCs w:val="21"/>
              </w:rPr>
            </w:pPr>
            <w:r>
              <w:rPr>
                <w:sz w:val="21"/>
                <w:szCs w:val="21"/>
                <w:spacing w:val="6"/>
              </w:rPr>
              <w:t>厂界四周</w:t>
            </w:r>
          </w:p>
        </w:tc>
        <w:tc>
          <w:tcPr>
            <w:tcW w:w="1038" w:type="dxa"/>
            <w:vAlign w:val="top"/>
          </w:tcPr>
          <w:p>
            <w:pPr>
              <w:pStyle w:val="TableText"/>
              <w:ind w:left="453"/>
              <w:spacing w:before="42" w:line="182" w:lineRule="auto"/>
              <w:rPr>
                <w:sz w:val="21"/>
                <w:szCs w:val="21"/>
              </w:rPr>
            </w:pPr>
            <w:r>
              <w:rPr>
                <w:sz w:val="21"/>
                <w:szCs w:val="21"/>
              </w:rPr>
              <w:t>/</w:t>
            </w:r>
          </w:p>
        </w:tc>
        <w:tc>
          <w:tcPr>
            <w:tcW w:w="989" w:type="dxa"/>
            <w:vAlign w:val="top"/>
          </w:tcPr>
          <w:p>
            <w:pPr>
              <w:pStyle w:val="TableText"/>
              <w:ind w:left="435"/>
              <w:spacing w:before="42" w:line="182" w:lineRule="auto"/>
              <w:rPr>
                <w:sz w:val="21"/>
                <w:szCs w:val="21"/>
              </w:rPr>
            </w:pPr>
            <w:r>
              <w:rPr>
                <w:sz w:val="21"/>
                <w:szCs w:val="21"/>
              </w:rPr>
              <w:t>/</w:t>
            </w:r>
          </w:p>
        </w:tc>
        <w:tc>
          <w:tcPr>
            <w:tcW w:w="519" w:type="dxa"/>
            <w:vAlign w:val="top"/>
            <w:textDirection w:val="tbRlV"/>
          </w:tcPr>
          <w:p>
            <w:pPr>
              <w:pStyle w:val="TableText"/>
              <w:ind w:left="9"/>
              <w:spacing w:before="212" w:line="137" w:lineRule="exact"/>
              <w:rPr>
                <w:sz w:val="21"/>
                <w:szCs w:val="21"/>
              </w:rPr>
            </w:pPr>
            <w:r>
              <w:rPr>
                <w:sz w:val="21"/>
                <w:szCs w:val="21"/>
                <w:color w:val="505050"/>
                <w:spacing w:val="52"/>
                <w:w w:val="141"/>
                <w:position w:val="-1"/>
              </w:rPr>
              <w:t>/</w:t>
            </w:r>
          </w:p>
        </w:tc>
        <w:tc>
          <w:tcPr>
            <w:tcW w:w="719" w:type="dxa"/>
            <w:vAlign w:val="top"/>
          </w:tcPr>
          <w:p>
            <w:pPr>
              <w:pStyle w:val="TableText"/>
              <w:ind w:left="297"/>
              <w:spacing w:before="42" w:line="182" w:lineRule="auto"/>
              <w:rPr>
                <w:sz w:val="21"/>
                <w:szCs w:val="21"/>
              </w:rPr>
            </w:pPr>
            <w:r>
              <w:rPr>
                <w:sz w:val="21"/>
                <w:szCs w:val="21"/>
              </w:rPr>
              <w:t>/</w:t>
            </w:r>
          </w:p>
        </w:tc>
        <w:tc>
          <w:tcPr>
            <w:tcW w:w="679" w:type="dxa"/>
            <w:vAlign w:val="top"/>
          </w:tcPr>
          <w:p>
            <w:pPr>
              <w:pStyle w:val="TableText"/>
              <w:ind w:left="279"/>
              <w:spacing w:before="42" w:line="182" w:lineRule="auto"/>
              <w:rPr>
                <w:sz w:val="21"/>
                <w:szCs w:val="21"/>
              </w:rPr>
            </w:pPr>
            <w:r>
              <w:rPr>
                <w:sz w:val="21"/>
                <w:szCs w:val="21"/>
              </w:rPr>
              <w:t>/</w:t>
            </w:r>
          </w:p>
        </w:tc>
        <w:tc>
          <w:tcPr>
            <w:tcW w:w="1024" w:type="dxa"/>
            <w:vAlign w:val="top"/>
          </w:tcPr>
          <w:p>
            <w:pPr>
              <w:pStyle w:val="TableText"/>
              <w:ind w:left="349"/>
              <w:spacing w:before="37" w:line="187" w:lineRule="auto"/>
              <w:rPr>
                <w:sz w:val="21"/>
                <w:szCs w:val="21"/>
              </w:rPr>
            </w:pPr>
            <w:r>
              <w:rPr>
                <w:sz w:val="21"/>
                <w:szCs w:val="21"/>
                <w:spacing w:val="-3"/>
              </w:rPr>
              <w:t>3类</w:t>
            </w:r>
          </w:p>
        </w:tc>
      </w:tr>
      <w:tr>
        <w:trPr>
          <w:trHeight w:val="1114" w:hRule="atLeast"/>
        </w:trPr>
        <w:tc>
          <w:tcPr>
            <w:tcW w:w="924" w:type="dxa"/>
            <w:vAlign w:val="top"/>
          </w:tcPr>
          <w:p>
            <w:pPr>
              <w:spacing w:line="387" w:lineRule="auto"/>
              <w:rPr>
                <w:rFonts w:ascii="Arial"/>
                <w:sz w:val="21"/>
              </w:rPr>
            </w:pPr>
            <w:r/>
          </w:p>
          <w:p>
            <w:pPr>
              <w:pStyle w:val="TableText"/>
              <w:ind w:left="35"/>
              <w:spacing w:before="69" w:line="220" w:lineRule="auto"/>
              <w:rPr>
                <w:sz w:val="21"/>
                <w:szCs w:val="21"/>
              </w:rPr>
            </w:pPr>
            <w:r>
              <w:rPr>
                <w:sz w:val="21"/>
                <w:szCs w:val="21"/>
                <w:spacing w:val="-2"/>
              </w:rPr>
              <w:t>生态环境</w:t>
            </w:r>
          </w:p>
        </w:tc>
        <w:tc>
          <w:tcPr>
            <w:tcW w:w="2597" w:type="dxa"/>
            <w:vAlign w:val="top"/>
          </w:tcPr>
          <w:p>
            <w:pPr>
              <w:spacing w:line="385" w:lineRule="auto"/>
              <w:rPr>
                <w:rFonts w:ascii="Arial"/>
                <w:sz w:val="21"/>
              </w:rPr>
            </w:pPr>
            <w:r/>
          </w:p>
          <w:p>
            <w:pPr>
              <w:pStyle w:val="TableText"/>
              <w:ind w:left="130"/>
              <w:spacing w:before="69" w:line="219" w:lineRule="auto"/>
              <w:rPr>
                <w:sz w:val="21"/>
                <w:szCs w:val="21"/>
              </w:rPr>
            </w:pPr>
            <w:r>
              <w:rPr>
                <w:sz w:val="21"/>
                <w:szCs w:val="21"/>
                <w:spacing w:val="-1"/>
              </w:rPr>
              <w:t>厂址周围耕地及地表植被</w:t>
            </w:r>
          </w:p>
        </w:tc>
        <w:tc>
          <w:tcPr>
            <w:tcW w:w="1038" w:type="dxa"/>
            <w:vAlign w:val="top"/>
            <w:textDirection w:val="tbRlV"/>
          </w:tcPr>
          <w:p>
            <w:pPr>
              <w:spacing w:line="392" w:lineRule="auto"/>
              <w:rPr>
                <w:rFonts w:ascii="Arial"/>
                <w:sz w:val="21"/>
              </w:rPr>
            </w:pPr>
            <w:r/>
          </w:p>
          <w:p>
            <w:pPr>
              <w:pStyle w:val="TableText"/>
              <w:ind w:left="430"/>
              <w:spacing w:before="70" w:line="137" w:lineRule="exact"/>
              <w:rPr>
                <w:sz w:val="21"/>
                <w:szCs w:val="21"/>
              </w:rPr>
            </w:pPr>
            <w:r>
              <w:rPr>
                <w:sz w:val="21"/>
                <w:szCs w:val="21"/>
                <w:color w:val="303040"/>
                <w:spacing w:val="52"/>
                <w:w w:val="141"/>
                <w:position w:val="-1"/>
              </w:rPr>
              <w:t>/</w:t>
            </w:r>
          </w:p>
        </w:tc>
        <w:tc>
          <w:tcPr>
            <w:tcW w:w="989" w:type="dxa"/>
            <w:vAlign w:val="top"/>
          </w:tcPr>
          <w:p>
            <w:pPr>
              <w:spacing w:line="393" w:lineRule="auto"/>
              <w:rPr>
                <w:rFonts w:ascii="Arial"/>
                <w:sz w:val="21"/>
              </w:rPr>
            </w:pPr>
            <w:r/>
          </w:p>
          <w:p>
            <w:pPr>
              <w:pStyle w:val="TableText"/>
              <w:ind w:left="435"/>
              <w:spacing w:before="68" w:line="224" w:lineRule="auto"/>
              <w:rPr>
                <w:sz w:val="21"/>
                <w:szCs w:val="21"/>
              </w:rPr>
            </w:pPr>
            <w:r>
              <w:rPr>
                <w:sz w:val="21"/>
                <w:szCs w:val="21"/>
              </w:rPr>
              <w:t>/</w:t>
            </w:r>
          </w:p>
        </w:tc>
        <w:tc>
          <w:tcPr>
            <w:tcW w:w="519" w:type="dxa"/>
            <w:vAlign w:val="top"/>
            <w:textDirection w:val="tbRlV"/>
          </w:tcPr>
          <w:p>
            <w:pPr>
              <w:pStyle w:val="TableText"/>
              <w:ind w:left="430"/>
              <w:spacing w:before="212" w:line="137" w:lineRule="exact"/>
              <w:rPr>
                <w:sz w:val="21"/>
                <w:szCs w:val="21"/>
              </w:rPr>
            </w:pPr>
            <w:r>
              <w:rPr>
                <w:sz w:val="21"/>
                <w:szCs w:val="21"/>
                <w:color w:val="403040"/>
                <w:spacing w:val="52"/>
                <w:w w:val="141"/>
                <w:position w:val="-1"/>
              </w:rPr>
              <w:t>/</w:t>
            </w:r>
          </w:p>
        </w:tc>
        <w:tc>
          <w:tcPr>
            <w:tcW w:w="719" w:type="dxa"/>
            <w:vAlign w:val="top"/>
            <w:textDirection w:val="tbRlV"/>
          </w:tcPr>
          <w:p>
            <w:pPr>
              <w:pStyle w:val="TableText"/>
              <w:ind w:left="430"/>
              <w:spacing w:before="311" w:line="137" w:lineRule="exact"/>
              <w:rPr>
                <w:sz w:val="21"/>
                <w:szCs w:val="21"/>
              </w:rPr>
            </w:pPr>
            <w:r>
              <w:rPr>
                <w:sz w:val="21"/>
                <w:szCs w:val="21"/>
                <w:spacing w:val="52"/>
                <w:w w:val="141"/>
                <w:position w:val="-1"/>
              </w:rPr>
              <w:t>/</w:t>
            </w:r>
          </w:p>
        </w:tc>
        <w:tc>
          <w:tcPr>
            <w:tcW w:w="679" w:type="dxa"/>
            <w:vAlign w:val="top"/>
          </w:tcPr>
          <w:p>
            <w:pPr>
              <w:spacing w:line="393" w:lineRule="auto"/>
              <w:rPr>
                <w:rFonts w:ascii="Arial"/>
                <w:sz w:val="21"/>
              </w:rPr>
            </w:pPr>
            <w:r/>
          </w:p>
          <w:p>
            <w:pPr>
              <w:pStyle w:val="TableText"/>
              <w:ind w:left="279"/>
              <w:spacing w:before="68" w:line="224" w:lineRule="auto"/>
              <w:rPr>
                <w:sz w:val="21"/>
                <w:szCs w:val="21"/>
              </w:rPr>
            </w:pPr>
            <w:r>
              <w:rPr>
                <w:sz w:val="21"/>
                <w:szCs w:val="21"/>
                <w:color w:val="404040"/>
              </w:rPr>
              <w:t>/</w:t>
            </w:r>
          </w:p>
        </w:tc>
        <w:tc>
          <w:tcPr>
            <w:tcW w:w="1024" w:type="dxa"/>
            <w:vAlign w:val="top"/>
          </w:tcPr>
          <w:p>
            <w:pPr>
              <w:pStyle w:val="TableText"/>
              <w:ind w:left="89"/>
              <w:spacing w:before="47" w:line="219" w:lineRule="auto"/>
              <w:rPr>
                <w:sz w:val="21"/>
                <w:szCs w:val="21"/>
              </w:rPr>
            </w:pPr>
            <w:r>
              <w:rPr>
                <w:sz w:val="21"/>
                <w:szCs w:val="21"/>
                <w:spacing w:val="-2"/>
              </w:rPr>
              <w:t>保持原有</w:t>
            </w:r>
          </w:p>
          <w:p>
            <w:pPr>
              <w:pStyle w:val="TableText"/>
              <w:ind w:left="89"/>
              <w:spacing w:before="21" w:line="221" w:lineRule="auto"/>
              <w:rPr>
                <w:sz w:val="21"/>
                <w:szCs w:val="21"/>
              </w:rPr>
            </w:pPr>
            <w:r>
              <w:rPr>
                <w:sz w:val="21"/>
                <w:szCs w:val="21"/>
                <w:spacing w:val="2"/>
              </w:rPr>
              <w:t>生态，减</w:t>
            </w:r>
          </w:p>
          <w:p>
            <w:pPr>
              <w:pStyle w:val="TableText"/>
              <w:ind w:left="399" w:right="93" w:hanging="310"/>
              <w:spacing w:before="26" w:line="223" w:lineRule="auto"/>
              <w:rPr>
                <w:sz w:val="21"/>
                <w:szCs w:val="21"/>
              </w:rPr>
            </w:pPr>
            <w:r>
              <w:rPr>
                <w:sz w:val="21"/>
                <w:szCs w:val="21"/>
                <w:spacing w:val="-3"/>
              </w:rPr>
              <w:t>少水土流</w:t>
            </w:r>
            <w:r>
              <w:rPr>
                <w:sz w:val="21"/>
                <w:szCs w:val="21"/>
                <w:spacing w:val="1"/>
              </w:rPr>
              <w:t xml:space="preserve"> </w:t>
            </w:r>
            <w:r>
              <w:rPr>
                <w:sz w:val="21"/>
                <w:szCs w:val="21"/>
              </w:rPr>
              <w:t>失</w:t>
            </w:r>
          </w:p>
        </w:tc>
      </w:tr>
    </w:tbl>
    <w:p>
      <w:pPr>
        <w:pStyle w:val="BodyText"/>
        <w:rPr/>
      </w:pPr>
      <w:r/>
    </w:p>
    <w:p>
      <w:pPr>
        <w:sectPr>
          <w:headerReference w:type="default" r:id="rId166"/>
          <w:footerReference w:type="default" r:id="rId167"/>
          <w:pgSz w:w="11910" w:h="16840"/>
          <w:pgMar w:top="1170" w:right="1715" w:bottom="971" w:left="1695" w:header="862" w:footer="712" w:gutter="0"/>
        </w:sectPr>
        <w:rPr/>
      </w:pPr>
    </w:p>
    <w:p>
      <w:pPr>
        <w:ind w:left="2904"/>
        <w:spacing w:before="296" w:line="222" w:lineRule="auto"/>
        <w:outlineLvl w:val="0"/>
        <w:rPr>
          <w:rFonts w:ascii="SimHei" w:hAnsi="SimHei" w:eastAsia="SimHei" w:cs="SimHei"/>
          <w:sz w:val="28"/>
          <w:szCs w:val="28"/>
        </w:rPr>
      </w:pPr>
      <w:bookmarkStart w:name="bookmark20" w:id="40"/>
      <w:bookmarkEnd w:id="40"/>
      <w:r>
        <w:rPr>
          <w:rFonts w:ascii="SimHei" w:hAnsi="SimHei" w:eastAsia="SimHei" w:cs="SimHei"/>
          <w:sz w:val="28"/>
          <w:szCs w:val="28"/>
          <w:b/>
          <w:bCs/>
          <w:spacing w:val="11"/>
        </w:rPr>
        <w:t>第2章现有工程情况</w:t>
      </w:r>
    </w:p>
    <w:p>
      <w:pPr>
        <w:ind w:left="3"/>
        <w:spacing w:before="232" w:line="221" w:lineRule="auto"/>
        <w:outlineLvl w:val="1"/>
        <w:rPr>
          <w:rFonts w:ascii="SimHei" w:hAnsi="SimHei" w:eastAsia="SimHei" w:cs="SimHei"/>
          <w:sz w:val="28"/>
          <w:szCs w:val="28"/>
        </w:rPr>
      </w:pPr>
      <w:bookmarkStart w:name="bookmark21" w:id="41"/>
      <w:bookmarkEnd w:id="41"/>
      <w:r>
        <w:rPr>
          <w:rFonts w:ascii="SimHei" w:hAnsi="SimHei" w:eastAsia="SimHei" w:cs="SimHei"/>
          <w:sz w:val="28"/>
          <w:szCs w:val="28"/>
          <w:b/>
          <w:bCs/>
          <w:spacing w:val="-11"/>
        </w:rPr>
        <w:t>2.1现有工程概况</w:t>
      </w:r>
    </w:p>
    <w:p>
      <w:pPr>
        <w:ind w:right="59" w:firstLine="490"/>
        <w:spacing w:before="219" w:line="370" w:lineRule="auto"/>
        <w:jc w:val="both"/>
        <w:rPr>
          <w:rFonts w:ascii="SimSun" w:hAnsi="SimSun" w:eastAsia="SimSun" w:cs="SimSun"/>
          <w:sz w:val="23"/>
          <w:szCs w:val="23"/>
        </w:rPr>
      </w:pPr>
      <w:r>
        <w:rPr>
          <w:rFonts w:ascii="SimSun" w:hAnsi="SimSun" w:eastAsia="SimSun" w:cs="SimSun"/>
          <w:sz w:val="23"/>
          <w:szCs w:val="23"/>
          <w:spacing w:val="13"/>
        </w:rPr>
        <w:t>绵阳柒鑫食品有限公司成立于2016年01月1</w:t>
      </w:r>
      <w:r>
        <w:rPr>
          <w:rFonts w:ascii="SimSun" w:hAnsi="SimSun" w:eastAsia="SimSun" w:cs="SimSun"/>
          <w:sz w:val="23"/>
          <w:szCs w:val="23"/>
          <w:spacing w:val="12"/>
        </w:rPr>
        <w:t>4日，位于四川省四川绵阳安州</w:t>
      </w:r>
      <w:r>
        <w:rPr>
          <w:rFonts w:ascii="SimSun" w:hAnsi="SimSun" w:eastAsia="SimSun" w:cs="SimSun"/>
          <w:sz w:val="23"/>
          <w:szCs w:val="23"/>
        </w:rPr>
        <w:t xml:space="preserve"> </w:t>
      </w:r>
      <w:r>
        <w:rPr>
          <w:rFonts w:ascii="SimSun" w:hAnsi="SimSun" w:eastAsia="SimSun" w:cs="SimSun"/>
          <w:sz w:val="23"/>
          <w:szCs w:val="23"/>
          <w:spacing w:val="14"/>
        </w:rPr>
        <w:t>工业园区，通过设置车辆清洗、消毒设施、卸猪站台、赶猪道、待宰</w:t>
      </w:r>
      <w:r>
        <w:rPr>
          <w:rFonts w:ascii="SimSun" w:hAnsi="SimSun" w:eastAsia="SimSun" w:cs="SimSun"/>
          <w:sz w:val="23"/>
          <w:szCs w:val="23"/>
          <w:spacing w:val="13"/>
        </w:rPr>
        <w:t>间、隔离</w:t>
      </w:r>
      <w:r>
        <w:rPr>
          <w:rFonts w:ascii="SimSun" w:hAnsi="SimSun" w:eastAsia="SimSun" w:cs="SimSun"/>
          <w:sz w:val="23"/>
          <w:szCs w:val="23"/>
        </w:rPr>
        <w:t xml:space="preserve"> </w:t>
      </w:r>
      <w:r>
        <w:rPr>
          <w:rFonts w:ascii="SimSun" w:hAnsi="SimSun" w:eastAsia="SimSun" w:cs="SimSun"/>
          <w:sz w:val="23"/>
          <w:szCs w:val="23"/>
          <w:spacing w:val="14"/>
        </w:rPr>
        <w:t>间、屠宰间、急宰间、无害化处理间、检验检阅工作室、</w:t>
      </w:r>
      <w:r>
        <w:rPr>
          <w:rFonts w:ascii="SimSun" w:hAnsi="SimSun" w:eastAsia="SimSun" w:cs="SimSun"/>
          <w:sz w:val="23"/>
          <w:szCs w:val="23"/>
          <w:spacing w:val="13"/>
        </w:rPr>
        <w:t>消毒药品存放室、冷</w:t>
      </w:r>
      <w:r>
        <w:rPr>
          <w:rFonts w:ascii="SimSun" w:hAnsi="SimSun" w:eastAsia="SimSun" w:cs="SimSun"/>
          <w:sz w:val="23"/>
          <w:szCs w:val="23"/>
        </w:rPr>
        <w:t xml:space="preserve"> </w:t>
      </w:r>
      <w:r>
        <w:rPr>
          <w:rFonts w:ascii="SimSun" w:hAnsi="SimSun" w:eastAsia="SimSun" w:cs="SimSun"/>
          <w:sz w:val="23"/>
          <w:szCs w:val="23"/>
          <w:spacing w:val="6"/>
        </w:rPr>
        <w:t>库等设施，建成生猪屠宰、分割生产线，达到屠宰生猪7.8万头/年的规模，不涉</w:t>
      </w:r>
      <w:r>
        <w:rPr>
          <w:rFonts w:ascii="SimSun" w:hAnsi="SimSun" w:eastAsia="SimSun" w:cs="SimSun"/>
          <w:sz w:val="23"/>
          <w:szCs w:val="23"/>
          <w:spacing w:val="16"/>
        </w:rPr>
        <w:t xml:space="preserve"> </w:t>
      </w:r>
      <w:r>
        <w:rPr>
          <w:rFonts w:ascii="SimSun" w:hAnsi="SimSun" w:eastAsia="SimSun" w:cs="SimSun"/>
          <w:sz w:val="23"/>
          <w:szCs w:val="23"/>
          <w:spacing w:val="8"/>
        </w:rPr>
        <w:t>及对猪肉及其副产品进行深加工。</w:t>
      </w:r>
    </w:p>
    <w:p>
      <w:pPr>
        <w:ind w:firstLine="490"/>
        <w:spacing w:before="36" w:line="368" w:lineRule="auto"/>
        <w:tabs>
          <w:tab w:val="left" w:pos="120"/>
        </w:tabs>
        <w:rPr>
          <w:rFonts w:ascii="SimSun" w:hAnsi="SimSun" w:eastAsia="SimSun" w:cs="SimSun"/>
          <w:sz w:val="23"/>
          <w:szCs w:val="23"/>
        </w:rPr>
      </w:pPr>
      <w:r>
        <w:rPr>
          <w:rFonts w:ascii="SimSun" w:hAnsi="SimSun" w:eastAsia="SimSun" w:cs="SimSun"/>
          <w:sz w:val="23"/>
          <w:szCs w:val="23"/>
          <w:spacing w:val="9"/>
        </w:rPr>
        <w:t>绵阳柒鑫食品有限公司于2017年1月20日取得了由绵阳市安州区自然资源局</w:t>
      </w:r>
      <w:r>
        <w:rPr>
          <w:rFonts w:ascii="SimSun" w:hAnsi="SimSun" w:eastAsia="SimSun" w:cs="SimSun"/>
          <w:sz w:val="23"/>
          <w:szCs w:val="23"/>
          <w:spacing w:val="10"/>
        </w:rPr>
        <w:t xml:space="preserve"> </w:t>
      </w:r>
      <w:r>
        <w:rPr>
          <w:rFonts w:ascii="SimSun" w:hAnsi="SimSun" w:eastAsia="SimSun" w:cs="SimSun"/>
          <w:sz w:val="23"/>
          <w:szCs w:val="23"/>
          <w:spacing w:val="33"/>
        </w:rPr>
        <w:t>颁发的不动产权证书(川(2020)安州区不动产权第0002043号),地类(用</w:t>
      </w:r>
      <w:r>
        <w:rPr>
          <w:rFonts w:ascii="SimSun" w:hAnsi="SimSun" w:eastAsia="SimSun" w:cs="SimSun"/>
          <w:sz w:val="23"/>
          <w:szCs w:val="23"/>
          <w:spacing w:val="4"/>
        </w:rPr>
        <w:t xml:space="preserve"> </w:t>
      </w:r>
      <w:r>
        <w:rPr>
          <w:rFonts w:ascii="SimSun" w:hAnsi="SimSun" w:eastAsia="SimSun" w:cs="SimSun"/>
          <w:sz w:val="23"/>
          <w:szCs w:val="23"/>
          <w:spacing w:val="13"/>
        </w:rPr>
        <w:t>途)为二类工业用地；于2017年4月委托四川华睿川协管理咨询有限</w:t>
      </w:r>
      <w:r>
        <w:rPr>
          <w:rFonts w:ascii="SimSun" w:hAnsi="SimSun" w:eastAsia="SimSun" w:cs="SimSun"/>
          <w:sz w:val="23"/>
          <w:szCs w:val="23"/>
          <w:spacing w:val="12"/>
        </w:rPr>
        <w:t>责任公司编</w:t>
      </w:r>
      <w:r>
        <w:rPr>
          <w:rFonts w:ascii="SimSun" w:hAnsi="SimSun" w:eastAsia="SimSun" w:cs="SimSun"/>
          <w:sz w:val="23"/>
          <w:szCs w:val="23"/>
        </w:rPr>
        <w:t xml:space="preserve"> </w:t>
      </w:r>
      <w:r>
        <w:rPr>
          <w:rFonts w:ascii="SimSun" w:hAnsi="SimSun" w:eastAsia="SimSun" w:cs="SimSun"/>
          <w:sz w:val="23"/>
          <w:szCs w:val="23"/>
          <w:spacing w:val="20"/>
        </w:rPr>
        <w:t>制完成了《</w:t>
      </w:r>
      <w:r>
        <w:rPr>
          <w:rFonts w:ascii="Times New Roman" w:hAnsi="Times New Roman" w:eastAsia="Times New Roman" w:cs="Times New Roman"/>
          <w:sz w:val="23"/>
          <w:szCs w:val="23"/>
          <w:spacing w:val="20"/>
        </w:rPr>
        <w:t>A</w:t>
      </w:r>
      <w:r>
        <w:rPr>
          <w:rFonts w:ascii="SimSun" w:hAnsi="SimSun" w:eastAsia="SimSun" w:cs="SimSun"/>
          <w:sz w:val="23"/>
          <w:szCs w:val="23"/>
          <w:spacing w:val="20"/>
        </w:rPr>
        <w:t>级生猪定点屠宰及食品加工项目环境影响报</w:t>
      </w:r>
      <w:r>
        <w:rPr>
          <w:rFonts w:ascii="SimSun" w:hAnsi="SimSun" w:eastAsia="SimSun" w:cs="SimSun"/>
          <w:sz w:val="23"/>
          <w:szCs w:val="23"/>
          <w:spacing w:val="19"/>
        </w:rPr>
        <w:t>告表》;原绵阳市安</w:t>
      </w:r>
      <w:r>
        <w:rPr>
          <w:rFonts w:ascii="SimSun" w:hAnsi="SimSun" w:eastAsia="SimSun" w:cs="SimSun"/>
          <w:sz w:val="23"/>
          <w:szCs w:val="23"/>
        </w:rPr>
        <w:t xml:space="preserve"> </w:t>
      </w:r>
      <w:r>
        <w:rPr>
          <w:rFonts w:ascii="SimSun" w:hAnsi="SimSun" w:eastAsia="SimSun" w:cs="SimSun"/>
          <w:sz w:val="23"/>
          <w:szCs w:val="23"/>
          <w:spacing w:val="11"/>
        </w:rPr>
        <w:t>州区环境保护局于2017年4月25日出具了《</w:t>
      </w:r>
      <w:r>
        <w:rPr>
          <w:rFonts w:ascii="SimSun" w:hAnsi="SimSun" w:eastAsia="SimSun" w:cs="SimSun"/>
          <w:sz w:val="23"/>
          <w:szCs w:val="23"/>
          <w:spacing w:val="10"/>
        </w:rPr>
        <w:t>关于绵阳柒鑫食品有限公司A</w:t>
      </w:r>
      <w:r>
        <w:rPr>
          <w:rFonts w:ascii="SimSun" w:hAnsi="SimSun" w:eastAsia="SimSun" w:cs="SimSun"/>
          <w:sz w:val="23"/>
          <w:szCs w:val="23"/>
          <w:spacing w:val="-49"/>
        </w:rPr>
        <w:t xml:space="preserve"> </w:t>
      </w:r>
      <w:r>
        <w:rPr>
          <w:rFonts w:ascii="SimSun" w:hAnsi="SimSun" w:eastAsia="SimSun" w:cs="SimSun"/>
          <w:sz w:val="23"/>
          <w:szCs w:val="23"/>
          <w:spacing w:val="10"/>
        </w:rPr>
        <w:t>级生猪</w:t>
      </w:r>
      <w:r>
        <w:rPr>
          <w:rFonts w:ascii="SimSun" w:hAnsi="SimSun" w:eastAsia="SimSun" w:cs="SimSun"/>
          <w:sz w:val="23"/>
          <w:szCs w:val="23"/>
        </w:rPr>
        <w:t xml:space="preserve"> </w:t>
      </w:r>
      <w:r>
        <w:rPr>
          <w:rFonts w:ascii="SimSun" w:hAnsi="SimSun" w:eastAsia="SimSun" w:cs="SimSun"/>
          <w:sz w:val="23"/>
          <w:szCs w:val="23"/>
          <w:spacing w:val="22"/>
        </w:rPr>
        <w:t>定点屠宰及食品加工项目环境影响报告表的批复》(绵安环行审批[2017]10</w:t>
      </w:r>
      <w:r>
        <w:rPr>
          <w:rFonts w:ascii="SimSun" w:hAnsi="SimSun" w:eastAsia="SimSun" w:cs="SimSun"/>
          <w:sz w:val="23"/>
          <w:szCs w:val="23"/>
          <w:spacing w:val="2"/>
        </w:rPr>
        <w:t xml:space="preserve"> </w:t>
      </w:r>
      <w:r>
        <w:rPr>
          <w:rFonts w:ascii="SimSun" w:hAnsi="SimSun" w:eastAsia="SimSun" w:cs="SimSun"/>
          <w:sz w:val="23"/>
          <w:szCs w:val="23"/>
          <w:spacing w:val="19"/>
        </w:rPr>
        <w:t>号);绵阳市人民政府于2019年5月31日颁</w:t>
      </w:r>
      <w:r>
        <w:rPr>
          <w:rFonts w:ascii="SimSun" w:hAnsi="SimSun" w:eastAsia="SimSun" w:cs="SimSun"/>
          <w:sz w:val="23"/>
          <w:szCs w:val="23"/>
          <w:spacing w:val="18"/>
        </w:rPr>
        <w:t>发了《生猪定点屠宰证》(定点屠宰</w:t>
      </w:r>
      <w:r>
        <w:rPr>
          <w:rFonts w:ascii="SimSun" w:hAnsi="SimSun" w:eastAsia="SimSun" w:cs="SimSun"/>
          <w:sz w:val="23"/>
          <w:szCs w:val="23"/>
        </w:rPr>
        <w:t xml:space="preserve"> </w:t>
      </w:r>
      <w:r>
        <w:rPr>
          <w:rFonts w:ascii="SimSun" w:hAnsi="SimSun" w:eastAsia="SimSun" w:cs="SimSun"/>
          <w:sz w:val="23"/>
          <w:szCs w:val="23"/>
          <w:spacing w:val="8"/>
        </w:rPr>
        <w:t>代码：</w:t>
      </w:r>
      <w:r>
        <w:rPr>
          <w:rFonts w:ascii="Times New Roman" w:hAnsi="Times New Roman" w:eastAsia="Times New Roman" w:cs="Times New Roman"/>
          <w:sz w:val="23"/>
          <w:szCs w:val="23"/>
          <w:spacing w:val="8"/>
        </w:rPr>
        <w:t>A29030601);       </w:t>
      </w:r>
      <w:r>
        <w:rPr>
          <w:rFonts w:ascii="SimSun" w:hAnsi="SimSun" w:eastAsia="SimSun" w:cs="SimSun"/>
          <w:sz w:val="23"/>
          <w:szCs w:val="23"/>
          <w:spacing w:val="8"/>
        </w:rPr>
        <w:t>于2019年8月委托四川精标检测技术有限公司完成了《</w:t>
      </w:r>
      <w:r>
        <w:rPr>
          <w:rFonts w:ascii="Times New Roman" w:hAnsi="Times New Roman" w:eastAsia="Times New Roman" w:cs="Times New Roman"/>
          <w:sz w:val="23"/>
          <w:szCs w:val="23"/>
          <w:spacing w:val="8"/>
        </w:rPr>
        <w:t>A</w:t>
      </w:r>
      <w:r>
        <w:rPr>
          <w:rFonts w:ascii="Times New Roman" w:hAnsi="Times New Roman" w:eastAsia="Times New Roman" w:cs="Times New Roman"/>
          <w:sz w:val="23"/>
          <w:szCs w:val="23"/>
          <w:spacing w:val="4"/>
        </w:rPr>
        <w:t xml:space="preserve">  </w:t>
      </w:r>
      <w:r>
        <w:rPr>
          <w:rFonts w:ascii="SimSun" w:hAnsi="SimSun" w:eastAsia="SimSun" w:cs="SimSun"/>
          <w:sz w:val="23"/>
          <w:szCs w:val="23"/>
          <w:spacing w:val="11"/>
        </w:rPr>
        <w:t>级生猪定点屠宰及食品加工项目竣工环境保护验收监测报告》(精标监字[2019] </w:t>
      </w:r>
      <w:r>
        <w:rPr>
          <w:rFonts w:ascii="SimSun" w:hAnsi="SimSun" w:eastAsia="SimSun" w:cs="SimSun"/>
          <w:sz w:val="23"/>
          <w:szCs w:val="23"/>
          <w:spacing w:val="22"/>
        </w:rPr>
        <w:t>003号);于2022年05月17日取</w:t>
      </w:r>
      <w:r>
        <w:rPr>
          <w:rFonts w:ascii="SimSun" w:hAnsi="SimSun" w:eastAsia="SimSun" w:cs="SimSun"/>
          <w:sz w:val="23"/>
          <w:szCs w:val="23"/>
          <w:spacing w:val="21"/>
        </w:rPr>
        <w:t>得了绵阳市生态环境局颁发的《排污许可证》</w:t>
      </w:r>
      <w:r>
        <w:rPr>
          <w:rFonts w:ascii="SimSun" w:hAnsi="SimSun" w:eastAsia="SimSun" w:cs="SimSun"/>
          <w:sz w:val="23"/>
          <w:szCs w:val="23"/>
        </w:rPr>
        <w:t xml:space="preserve"> </w:t>
      </w:r>
      <w:r>
        <w:rPr>
          <w:rFonts w:ascii="SimSun" w:hAnsi="SimSun" w:eastAsia="SimSun" w:cs="SimSun"/>
          <w:sz w:val="23"/>
          <w:szCs w:val="23"/>
        </w:rPr>
        <w:tab/>
      </w:r>
      <w:r>
        <w:rPr>
          <w:rFonts w:ascii="SimSun" w:hAnsi="SimSun" w:eastAsia="SimSun" w:cs="SimSun"/>
          <w:sz w:val="23"/>
          <w:szCs w:val="23"/>
          <w:spacing w:val="14"/>
        </w:rPr>
        <w:t>(有效期为2022年06月24日至2027年06月23日),证书编号：91510724</w:t>
      </w:r>
      <w:r>
        <w:rPr>
          <w:rFonts w:ascii="SimSun" w:hAnsi="SimSun" w:eastAsia="SimSun" w:cs="SimSun"/>
          <w:sz w:val="23"/>
          <w:szCs w:val="23"/>
        </w:rPr>
        <w:t>MA</w:t>
      </w:r>
      <w:r>
        <w:rPr>
          <w:rFonts w:ascii="SimSun" w:hAnsi="SimSun" w:eastAsia="SimSun" w:cs="SimSun"/>
          <w:sz w:val="23"/>
          <w:szCs w:val="23"/>
          <w:spacing w:val="14"/>
        </w:rPr>
        <w:t>624</w:t>
      </w:r>
    </w:p>
    <w:p>
      <w:pPr>
        <w:ind w:right="73"/>
        <w:spacing w:before="4" w:line="372" w:lineRule="auto"/>
        <w:rPr>
          <w:rFonts w:ascii="SimSun" w:hAnsi="SimSun" w:eastAsia="SimSun" w:cs="SimSun"/>
          <w:sz w:val="23"/>
          <w:szCs w:val="23"/>
        </w:rPr>
      </w:pPr>
      <w:r>
        <w:rPr>
          <w:rFonts w:ascii="Times New Roman" w:hAnsi="Times New Roman" w:eastAsia="Times New Roman" w:cs="Times New Roman"/>
          <w:sz w:val="23"/>
          <w:szCs w:val="23"/>
          <w:spacing w:val="8"/>
        </w:rPr>
        <w:t>42Y33001Z;</w:t>
      </w:r>
      <w:r>
        <w:rPr>
          <w:rFonts w:ascii="Times New Roman" w:hAnsi="Times New Roman" w:eastAsia="Times New Roman" w:cs="Times New Roman"/>
          <w:sz w:val="23"/>
          <w:szCs w:val="23"/>
          <w:spacing w:val="18"/>
          <w:w w:val="101"/>
        </w:rPr>
        <w:t xml:space="preserve">   </w:t>
      </w:r>
      <w:r>
        <w:rPr>
          <w:rFonts w:ascii="SimSun" w:hAnsi="SimSun" w:eastAsia="SimSun" w:cs="SimSun"/>
          <w:sz w:val="23"/>
          <w:szCs w:val="23"/>
          <w:spacing w:val="8"/>
        </w:rPr>
        <w:t>根据企业2022-2023排污许</w:t>
      </w:r>
      <w:r>
        <w:rPr>
          <w:rFonts w:ascii="SimSun" w:hAnsi="SimSun" w:eastAsia="SimSun" w:cs="SimSun"/>
          <w:sz w:val="23"/>
          <w:szCs w:val="23"/>
          <w:spacing w:val="7"/>
        </w:rPr>
        <w:t>可年度执行报告可知，企业污染物治理</w:t>
      </w:r>
      <w:r>
        <w:rPr>
          <w:rFonts w:ascii="SimSun" w:hAnsi="SimSun" w:eastAsia="SimSun" w:cs="SimSun"/>
          <w:sz w:val="23"/>
          <w:szCs w:val="23"/>
          <w:spacing w:val="1"/>
        </w:rPr>
        <w:t xml:space="preserve"> </w:t>
      </w:r>
      <w:r>
        <w:rPr>
          <w:rFonts w:ascii="SimSun" w:hAnsi="SimSun" w:eastAsia="SimSun" w:cs="SimSun"/>
          <w:sz w:val="23"/>
          <w:szCs w:val="23"/>
          <w:spacing w:val="14"/>
        </w:rPr>
        <w:t>设施运行正常，各项污染物均达标排放，且已按照排污许可证申</w:t>
      </w:r>
      <w:r>
        <w:rPr>
          <w:rFonts w:ascii="SimSun" w:hAnsi="SimSun" w:eastAsia="SimSun" w:cs="SimSun"/>
          <w:sz w:val="23"/>
          <w:szCs w:val="23"/>
          <w:spacing w:val="13"/>
        </w:rPr>
        <w:t>请与核发技术</w:t>
      </w:r>
      <w:r>
        <w:rPr>
          <w:rFonts w:ascii="SimSun" w:hAnsi="SimSun" w:eastAsia="SimSun" w:cs="SimSun"/>
          <w:sz w:val="23"/>
          <w:szCs w:val="23"/>
        </w:rPr>
        <w:t xml:space="preserve"> </w:t>
      </w:r>
      <w:r>
        <w:rPr>
          <w:rFonts w:ascii="SimSun" w:hAnsi="SimSun" w:eastAsia="SimSun" w:cs="SimSun"/>
          <w:sz w:val="23"/>
          <w:szCs w:val="23"/>
          <w:spacing w:val="14"/>
        </w:rPr>
        <w:t>规范相关要求，建立生产、污染防治设施、自行监测等台账；根</w:t>
      </w:r>
      <w:r>
        <w:rPr>
          <w:rFonts w:ascii="SimSun" w:hAnsi="SimSun" w:eastAsia="SimSun" w:cs="SimSun"/>
          <w:sz w:val="23"/>
          <w:szCs w:val="23"/>
          <w:spacing w:val="13"/>
        </w:rPr>
        <w:t>据绵阳市生态</w:t>
      </w:r>
      <w:r>
        <w:rPr>
          <w:rFonts w:ascii="SimSun" w:hAnsi="SimSun" w:eastAsia="SimSun" w:cs="SimSun"/>
          <w:sz w:val="23"/>
          <w:szCs w:val="23"/>
        </w:rPr>
        <w:t xml:space="preserve"> </w:t>
      </w:r>
      <w:r>
        <w:rPr>
          <w:rFonts w:ascii="SimSun" w:hAnsi="SimSun" w:eastAsia="SimSun" w:cs="SimSun"/>
          <w:sz w:val="23"/>
          <w:szCs w:val="23"/>
          <w:spacing w:val="24"/>
        </w:rPr>
        <w:t>环境保护综合行政执法支队安州大队出具的说明(见附件),绵阳柒鑫食品有</w:t>
      </w:r>
      <w:r>
        <w:rPr>
          <w:rFonts w:ascii="SimSun" w:hAnsi="SimSun" w:eastAsia="SimSun" w:cs="SimSun"/>
          <w:sz w:val="23"/>
          <w:szCs w:val="23"/>
        </w:rPr>
        <w:t xml:space="preserve"> </w:t>
      </w:r>
      <w:r>
        <w:rPr>
          <w:rFonts w:ascii="SimSun" w:hAnsi="SimSun" w:eastAsia="SimSun" w:cs="SimSun"/>
          <w:sz w:val="23"/>
          <w:szCs w:val="23"/>
          <w:spacing w:val="8"/>
        </w:rPr>
        <w:t>限公司自2019年建成至今无环境信访、投诉，未受到环境违法处罚。</w:t>
      </w:r>
    </w:p>
    <w:p>
      <w:pPr>
        <w:ind w:right="209" w:firstLine="490"/>
        <w:spacing w:before="94" w:line="369" w:lineRule="auto"/>
        <w:rPr>
          <w:rFonts w:ascii="SimSun" w:hAnsi="SimSun" w:eastAsia="SimSun" w:cs="SimSun"/>
          <w:sz w:val="23"/>
          <w:szCs w:val="23"/>
        </w:rPr>
      </w:pPr>
      <w:r>
        <w:rPr>
          <w:rFonts w:ascii="SimSun" w:hAnsi="SimSun" w:eastAsia="SimSun" w:cs="SimSun"/>
          <w:sz w:val="23"/>
          <w:szCs w:val="23"/>
          <w:spacing w:val="9"/>
        </w:rPr>
        <w:t>随着市场需求的扩大，绵阳柒鑫食品有限公司拟投资4600万元对原有</w:t>
      </w:r>
      <w:r>
        <w:rPr>
          <w:rFonts w:ascii="SimSun" w:hAnsi="SimSun" w:eastAsia="SimSun" w:cs="SimSun"/>
          <w:sz w:val="23"/>
          <w:szCs w:val="23"/>
          <w:spacing w:val="8"/>
        </w:rPr>
        <w:t>厂房</w:t>
      </w:r>
      <w:r>
        <w:rPr>
          <w:rFonts w:ascii="SimSun" w:hAnsi="SimSun" w:eastAsia="SimSun" w:cs="SimSun"/>
          <w:sz w:val="23"/>
          <w:szCs w:val="23"/>
        </w:rPr>
        <w:t xml:space="preserve"> </w:t>
      </w:r>
      <w:r>
        <w:rPr>
          <w:rFonts w:ascii="SimSun" w:hAnsi="SimSun" w:eastAsia="SimSun" w:cs="SimSun"/>
          <w:sz w:val="23"/>
          <w:szCs w:val="23"/>
          <w:spacing w:val="10"/>
        </w:rPr>
        <w:t>进行改扩建，将原有厂房改建成肉牛待宰间、屠宰间，预计</w:t>
      </w:r>
      <w:r>
        <w:rPr>
          <w:rFonts w:ascii="SimSun" w:hAnsi="SimSun" w:eastAsia="SimSun" w:cs="SimSun"/>
          <w:sz w:val="23"/>
          <w:szCs w:val="23"/>
          <w:spacing w:val="9"/>
        </w:rPr>
        <w:t>建成后年屠宰肉牛</w:t>
      </w:r>
      <w:r>
        <w:rPr>
          <w:rFonts w:ascii="SimSun" w:hAnsi="SimSun" w:eastAsia="SimSun" w:cs="SimSun"/>
          <w:sz w:val="23"/>
          <w:szCs w:val="23"/>
        </w:rPr>
        <w:t xml:space="preserve"> </w:t>
      </w:r>
      <w:r>
        <w:rPr>
          <w:rFonts w:ascii="SimSun" w:hAnsi="SimSun" w:eastAsia="SimSun" w:cs="SimSun"/>
          <w:sz w:val="23"/>
          <w:szCs w:val="23"/>
          <w:spacing w:val="10"/>
        </w:rPr>
        <w:t>规模将达到4万头，同时在紧挨原有厂房东北侧新购置土地，规划</w:t>
      </w:r>
      <w:r>
        <w:rPr>
          <w:rFonts w:ascii="SimSun" w:hAnsi="SimSun" w:eastAsia="SimSun" w:cs="SimSun"/>
          <w:sz w:val="23"/>
          <w:szCs w:val="23"/>
          <w:spacing w:val="9"/>
        </w:rPr>
        <w:t>用地面积为</w:t>
      </w:r>
    </w:p>
    <w:p>
      <w:pPr>
        <w:ind w:right="74"/>
        <w:spacing w:before="2" w:line="370" w:lineRule="auto"/>
        <w:rPr>
          <w:rFonts w:ascii="SimSun" w:hAnsi="SimSun" w:eastAsia="SimSun" w:cs="SimSun"/>
          <w:sz w:val="23"/>
          <w:szCs w:val="23"/>
        </w:rPr>
      </w:pPr>
      <w:r>
        <w:rPr>
          <w:rFonts w:ascii="SimSun" w:hAnsi="SimSun" w:eastAsia="SimSun" w:cs="SimSun"/>
          <w:sz w:val="23"/>
          <w:szCs w:val="23"/>
          <w:spacing w:val="8"/>
        </w:rPr>
        <w:t>6670.12平方米，建筑总面积约为8500平方米，在新购置土地上修</w:t>
      </w:r>
      <w:r>
        <w:rPr>
          <w:rFonts w:ascii="SimSun" w:hAnsi="SimSun" w:eastAsia="SimSun" w:cs="SimSun"/>
          <w:sz w:val="23"/>
          <w:szCs w:val="23"/>
          <w:spacing w:val="7"/>
        </w:rPr>
        <w:t>建屠宰间、交</w:t>
      </w:r>
      <w:r>
        <w:rPr>
          <w:rFonts w:ascii="SimSun" w:hAnsi="SimSun" w:eastAsia="SimSun" w:cs="SimSun"/>
          <w:sz w:val="23"/>
          <w:szCs w:val="23"/>
        </w:rPr>
        <w:t xml:space="preserve"> </w:t>
      </w:r>
      <w:r>
        <w:rPr>
          <w:rFonts w:ascii="SimSun" w:hAnsi="SimSun" w:eastAsia="SimSun" w:cs="SimSun"/>
          <w:sz w:val="23"/>
          <w:szCs w:val="23"/>
          <w:spacing w:val="6"/>
        </w:rPr>
        <w:t>易区、污水处理站等相关配套设施，预计建成后生猪屠宰规模由7.8万头/年提升</w:t>
      </w:r>
      <w:r>
        <w:rPr>
          <w:rFonts w:ascii="SimSun" w:hAnsi="SimSun" w:eastAsia="SimSun" w:cs="SimSun"/>
          <w:sz w:val="23"/>
          <w:szCs w:val="23"/>
          <w:spacing w:val="18"/>
        </w:rPr>
        <w:t xml:space="preserve"> </w:t>
      </w:r>
      <w:r>
        <w:rPr>
          <w:rFonts w:ascii="SimSun" w:hAnsi="SimSun" w:eastAsia="SimSun" w:cs="SimSun"/>
          <w:sz w:val="23"/>
          <w:szCs w:val="23"/>
          <w:spacing w:val="-2"/>
        </w:rPr>
        <w:t>至40万头/年。</w:t>
      </w:r>
    </w:p>
    <w:p>
      <w:pPr>
        <w:spacing w:line="370" w:lineRule="auto"/>
        <w:sectPr>
          <w:headerReference w:type="default" r:id="rId168"/>
          <w:footerReference w:type="default" r:id="rId169"/>
          <w:pgSz w:w="11910" w:h="16840"/>
          <w:pgMar w:top="1219" w:right="1774" w:bottom="1017" w:left="1769" w:header="865" w:footer="719" w:gutter="0"/>
        </w:sectPr>
        <w:rPr>
          <w:rFonts w:ascii="SimSun" w:hAnsi="SimSun" w:eastAsia="SimSun" w:cs="SimSun"/>
          <w:sz w:val="23"/>
          <w:szCs w:val="23"/>
        </w:rPr>
      </w:pPr>
    </w:p>
    <w:p>
      <w:pPr>
        <w:ind w:left="118"/>
        <w:spacing w:before="305" w:line="222" w:lineRule="auto"/>
        <w:outlineLvl w:val="1"/>
        <w:rPr>
          <w:rFonts w:ascii="SimHei" w:hAnsi="SimHei" w:eastAsia="SimHei" w:cs="SimHei"/>
          <w:sz w:val="28"/>
          <w:szCs w:val="28"/>
        </w:rPr>
      </w:pPr>
      <w:bookmarkStart w:name="bookmark22" w:id="42"/>
      <w:bookmarkEnd w:id="42"/>
      <w:r>
        <w:rPr>
          <w:rFonts w:ascii="SimHei" w:hAnsi="SimHei" w:eastAsia="SimHei" w:cs="SimHei"/>
          <w:sz w:val="28"/>
          <w:szCs w:val="28"/>
          <w:b/>
          <w:bCs/>
          <w:spacing w:val="-9"/>
        </w:rPr>
        <w:t>2.2现有工程建设内容及规模</w:t>
      </w:r>
    </w:p>
    <w:p>
      <w:pPr>
        <w:ind w:left="114" w:right="327" w:firstLine="480"/>
        <w:spacing w:before="206" w:line="360" w:lineRule="auto"/>
        <w:rPr>
          <w:rFonts w:ascii="SimSun" w:hAnsi="SimSun" w:eastAsia="SimSun" w:cs="SimSun"/>
          <w:sz w:val="23"/>
          <w:szCs w:val="23"/>
        </w:rPr>
      </w:pPr>
      <w:r>
        <w:rPr>
          <w:rFonts w:ascii="SimSun" w:hAnsi="SimSun" w:eastAsia="SimSun" w:cs="SimSun"/>
          <w:sz w:val="23"/>
          <w:szCs w:val="23"/>
          <w:spacing w:val="6"/>
        </w:rPr>
        <w:t>现有工程生猪屠宰规模为7.8万头/年，不涉及对猪肉及其副产品进行深加</w:t>
      </w:r>
      <w:r>
        <w:rPr>
          <w:rFonts w:ascii="SimSun" w:hAnsi="SimSun" w:eastAsia="SimSun" w:cs="SimSun"/>
          <w:sz w:val="23"/>
          <w:szCs w:val="23"/>
          <w:spacing w:val="2"/>
        </w:rPr>
        <w:t xml:space="preserve"> </w:t>
      </w:r>
      <w:r>
        <w:rPr>
          <w:rFonts w:ascii="SimSun" w:hAnsi="SimSun" w:eastAsia="SimSun" w:cs="SimSun"/>
          <w:sz w:val="23"/>
          <w:szCs w:val="23"/>
          <w:spacing w:val="8"/>
        </w:rPr>
        <w:t>工。现有工程组成及主要环境问题见下表。</w:t>
      </w:r>
    </w:p>
    <w:p>
      <w:pPr>
        <w:ind w:left="2338"/>
        <w:spacing w:line="216" w:lineRule="auto"/>
        <w:rPr>
          <w:rFonts w:ascii="SimSun" w:hAnsi="SimSun" w:eastAsia="SimSun" w:cs="SimSun"/>
          <w:sz w:val="23"/>
          <w:szCs w:val="23"/>
        </w:rPr>
      </w:pPr>
      <w:r>
        <w:rPr>
          <w:rFonts w:ascii="SimSun" w:hAnsi="SimSun" w:eastAsia="SimSun" w:cs="SimSun"/>
          <w:sz w:val="23"/>
          <w:szCs w:val="23"/>
          <w:b/>
          <w:bCs/>
          <w:spacing w:val="-3"/>
        </w:rPr>
        <w:t>表2.2-1现有工程建设内容及主要环境问题</w:t>
      </w:r>
    </w:p>
    <w:tbl>
      <w:tblPr>
        <w:tblStyle w:val="TableNormal"/>
        <w:tblW w:w="84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44"/>
        <w:gridCol w:w="829"/>
        <w:gridCol w:w="6292"/>
        <w:gridCol w:w="914"/>
      </w:tblGrid>
      <w:tr>
        <w:trPr>
          <w:trHeight w:val="654" w:hRule="atLeast"/>
        </w:trPr>
        <w:tc>
          <w:tcPr>
            <w:shd w:val="clear" w:fill="080808"/>
            <w:tcW w:w="444" w:type="dxa"/>
            <w:vAlign w:val="top"/>
          </w:tcPr>
          <w:p>
            <w:pPr>
              <w:pStyle w:val="TableText"/>
              <w:ind w:right="1"/>
              <w:spacing w:before="61" w:line="220" w:lineRule="auto"/>
              <w:jc w:val="right"/>
              <w:rPr>
                <w:sz w:val="21"/>
                <w:szCs w:val="21"/>
              </w:rPr>
            </w:pPr>
            <w:r>
              <w:rPr>
                <w:sz w:val="21"/>
                <w:szCs w:val="21"/>
                <w:b/>
                <w:bCs/>
                <w:spacing w:val="-5"/>
              </w:rPr>
              <w:t>工程</w:t>
            </w:r>
          </w:p>
          <w:p>
            <w:pPr>
              <w:pStyle w:val="TableText"/>
              <w:spacing w:before="29" w:line="219" w:lineRule="auto"/>
              <w:jc w:val="right"/>
              <w:rPr>
                <w:sz w:val="21"/>
                <w:szCs w:val="21"/>
              </w:rPr>
            </w:pPr>
            <w:r>
              <w:rPr>
                <w:sz w:val="21"/>
                <w:szCs w:val="21"/>
                <w:b/>
                <w:bCs/>
                <w:spacing w:val="-5"/>
              </w:rPr>
              <w:t>类别</w:t>
            </w:r>
          </w:p>
        </w:tc>
        <w:tc>
          <w:tcPr>
            <w:shd w:val="clear" w:fill="BDBDBD"/>
            <w:tcW w:w="7121" w:type="dxa"/>
            <w:vAlign w:val="top"/>
            <w:gridSpan w:val="2"/>
          </w:tcPr>
          <w:p>
            <w:pPr>
              <w:pStyle w:val="TableText"/>
              <w:ind w:left="2844"/>
              <w:spacing w:before="220" w:line="219" w:lineRule="auto"/>
              <w:rPr>
                <w:sz w:val="21"/>
                <w:szCs w:val="21"/>
              </w:rPr>
            </w:pPr>
            <w:r>
              <w:rPr>
                <w:sz w:val="21"/>
                <w:szCs w:val="21"/>
                <w:b/>
                <w:bCs/>
                <w:spacing w:val="-4"/>
              </w:rPr>
              <w:t>项目内容及规模</w:t>
            </w:r>
          </w:p>
        </w:tc>
        <w:tc>
          <w:tcPr>
            <w:shd w:val="clear" w:fill="BDBDBD"/>
            <w:tcW w:w="914" w:type="dxa"/>
            <w:vAlign w:val="top"/>
          </w:tcPr>
          <w:p>
            <w:pPr>
              <w:pStyle w:val="TableText"/>
              <w:ind w:left="33"/>
              <w:spacing w:before="71" w:line="220" w:lineRule="auto"/>
              <w:rPr>
                <w:sz w:val="21"/>
                <w:szCs w:val="21"/>
              </w:rPr>
            </w:pPr>
            <w:r>
              <w:rPr>
                <w:sz w:val="21"/>
                <w:szCs w:val="21"/>
                <w:b/>
                <w:bCs/>
                <w:spacing w:val="-5"/>
              </w:rPr>
              <w:t>主要环境</w:t>
            </w:r>
          </w:p>
          <w:p>
            <w:pPr>
              <w:pStyle w:val="TableText"/>
              <w:ind w:left="242"/>
              <w:spacing w:before="41" w:line="221" w:lineRule="auto"/>
              <w:rPr>
                <w:sz w:val="21"/>
                <w:szCs w:val="21"/>
              </w:rPr>
            </w:pPr>
            <w:r>
              <w:rPr>
                <w:sz w:val="21"/>
                <w:szCs w:val="21"/>
                <w:b/>
                <w:bCs/>
              </w:rPr>
              <w:t>问题</w:t>
            </w:r>
          </w:p>
        </w:tc>
      </w:tr>
      <w:tr>
        <w:trPr>
          <w:trHeight w:val="799" w:hRule="atLeast"/>
        </w:trPr>
        <w:tc>
          <w:tcPr>
            <w:tcW w:w="444" w:type="dxa"/>
            <w:vAlign w:val="top"/>
            <w:vMerge w:val="restart"/>
            <w:tcBorders>
              <w:bottom w:val="nil"/>
            </w:tcBorders>
          </w:tcPr>
          <w:p>
            <w:pPr>
              <w:spacing w:line="319" w:lineRule="auto"/>
              <w:rPr>
                <w:rFonts w:ascii="Arial"/>
                <w:sz w:val="21"/>
              </w:rPr>
            </w:pPr>
            <w:r/>
          </w:p>
          <w:p>
            <w:pPr>
              <w:spacing w:line="319" w:lineRule="auto"/>
              <w:rPr>
                <w:rFonts w:ascii="Arial"/>
                <w:sz w:val="21"/>
              </w:rPr>
            </w:pPr>
            <w:r/>
          </w:p>
          <w:p>
            <w:pPr>
              <w:pStyle w:val="TableText"/>
              <w:ind w:left="15"/>
              <w:spacing w:before="68" w:line="221" w:lineRule="auto"/>
              <w:rPr>
                <w:sz w:val="21"/>
                <w:szCs w:val="21"/>
              </w:rPr>
            </w:pPr>
            <w:r>
              <w:rPr>
                <w:sz w:val="21"/>
                <w:szCs w:val="21"/>
                <w:spacing w:val="-3"/>
              </w:rPr>
              <w:t>主体</w:t>
            </w:r>
          </w:p>
          <w:p>
            <w:pPr>
              <w:pStyle w:val="TableText"/>
              <w:ind w:left="15"/>
              <w:spacing w:before="18" w:line="220" w:lineRule="auto"/>
              <w:rPr>
                <w:sz w:val="21"/>
                <w:szCs w:val="21"/>
              </w:rPr>
            </w:pPr>
            <w:r>
              <w:rPr>
                <w:sz w:val="21"/>
                <w:szCs w:val="21"/>
                <w:spacing w:val="-3"/>
              </w:rPr>
              <w:t>工程</w:t>
            </w:r>
          </w:p>
        </w:tc>
        <w:tc>
          <w:tcPr>
            <w:tcW w:w="829" w:type="dxa"/>
            <w:vAlign w:val="top"/>
          </w:tcPr>
          <w:p>
            <w:pPr>
              <w:pStyle w:val="TableText"/>
              <w:ind w:left="185" w:hanging="175"/>
              <w:spacing w:before="149" w:line="248" w:lineRule="auto"/>
              <w:rPr>
                <w:sz w:val="21"/>
                <w:szCs w:val="21"/>
              </w:rPr>
            </w:pPr>
            <w:r>
              <w:rPr>
                <w:sz w:val="21"/>
                <w:szCs w:val="21"/>
                <w:spacing w:val="-8"/>
              </w:rPr>
              <w:t>生猪屠宰</w:t>
            </w:r>
            <w:r>
              <w:rPr>
                <w:sz w:val="21"/>
                <w:szCs w:val="21"/>
              </w:rPr>
              <w:t xml:space="preserve"> </w:t>
            </w:r>
            <w:r>
              <w:rPr>
                <w:sz w:val="21"/>
                <w:szCs w:val="21"/>
                <w:spacing w:val="4"/>
              </w:rPr>
              <w:t>车间</w:t>
            </w:r>
          </w:p>
        </w:tc>
        <w:tc>
          <w:tcPr>
            <w:tcW w:w="6292" w:type="dxa"/>
            <w:vAlign w:val="top"/>
          </w:tcPr>
          <w:p>
            <w:pPr>
              <w:pStyle w:val="TableText"/>
              <w:ind w:left="92"/>
              <w:spacing w:before="26" w:line="216" w:lineRule="auto"/>
              <w:rPr>
                <w:sz w:val="21"/>
                <w:szCs w:val="21"/>
              </w:rPr>
            </w:pPr>
            <w:r>
              <w:rPr>
                <w:sz w:val="21"/>
                <w:szCs w:val="21"/>
                <w:spacing w:val="3"/>
              </w:rPr>
              <w:t>位于厂区东南侧，1F,轻钢结构，建筑面积4837.98m²,设置机械化</w:t>
            </w:r>
          </w:p>
          <w:p>
            <w:pPr>
              <w:pStyle w:val="TableText"/>
              <w:ind w:left="41"/>
              <w:spacing w:before="36" w:line="217" w:lineRule="auto"/>
              <w:rPr>
                <w:sz w:val="21"/>
                <w:szCs w:val="21"/>
              </w:rPr>
            </w:pPr>
            <w:r>
              <w:rPr>
                <w:sz w:val="21"/>
                <w:szCs w:val="21"/>
              </w:rPr>
              <w:t>屠宰、分割设备、内脏清理间。日屠宰量为10</w:t>
            </w:r>
            <w:r>
              <w:rPr>
                <w:sz w:val="21"/>
                <w:szCs w:val="21"/>
                <w:spacing w:val="-1"/>
              </w:rPr>
              <w:t>0头生猪，高峰时期最</w:t>
            </w:r>
          </w:p>
          <w:p>
            <w:pPr>
              <w:pStyle w:val="TableText"/>
              <w:ind w:left="301"/>
              <w:spacing w:line="204" w:lineRule="auto"/>
              <w:rPr>
                <w:sz w:val="21"/>
                <w:szCs w:val="21"/>
              </w:rPr>
            </w:pPr>
            <w:r>
              <w:rPr>
                <w:sz w:val="21"/>
                <w:szCs w:val="21"/>
                <w:spacing w:val="1"/>
              </w:rPr>
              <w:t>大屠宰量为500头/日(持续时间约50d),最大屠宰能力500头/日</w:t>
            </w:r>
          </w:p>
        </w:tc>
        <w:tc>
          <w:tcPr>
            <w:tcW w:w="914" w:type="dxa"/>
            <w:vAlign w:val="top"/>
            <w:vMerge w:val="restart"/>
            <w:tcBorders>
              <w:bottom w:val="nil"/>
            </w:tcBorders>
          </w:tcPr>
          <w:p>
            <w:pPr>
              <w:pStyle w:val="TableText"/>
              <w:ind w:left="30"/>
              <w:spacing w:before="300" w:line="220" w:lineRule="auto"/>
              <w:rPr>
                <w:sz w:val="21"/>
                <w:szCs w:val="21"/>
              </w:rPr>
            </w:pPr>
            <w:r>
              <w:rPr>
                <w:sz w:val="21"/>
                <w:szCs w:val="21"/>
                <w:spacing w:val="-2"/>
              </w:rPr>
              <w:t>废气、噪</w:t>
            </w:r>
          </w:p>
          <w:p>
            <w:pPr>
              <w:pStyle w:val="TableText"/>
              <w:ind w:left="139"/>
              <w:spacing w:before="19" w:line="220" w:lineRule="auto"/>
              <w:rPr>
                <w:sz w:val="21"/>
                <w:szCs w:val="21"/>
              </w:rPr>
            </w:pPr>
            <w:r>
              <w:rPr>
                <w:sz w:val="21"/>
                <w:szCs w:val="21"/>
                <w:spacing w:val="3"/>
              </w:rPr>
              <w:t>声、废</w:t>
            </w:r>
          </w:p>
          <w:p>
            <w:pPr>
              <w:pStyle w:val="TableText"/>
              <w:ind w:left="30"/>
              <w:spacing w:before="29" w:line="219" w:lineRule="auto"/>
              <w:rPr>
                <w:sz w:val="21"/>
                <w:szCs w:val="21"/>
              </w:rPr>
            </w:pPr>
            <w:r>
              <w:rPr>
                <w:sz w:val="21"/>
                <w:szCs w:val="21"/>
                <w:spacing w:val="2"/>
              </w:rPr>
              <w:t>水、固废</w:t>
            </w:r>
          </w:p>
        </w:tc>
      </w:tr>
      <w:tr>
        <w:trPr>
          <w:trHeight w:val="559" w:hRule="atLeast"/>
        </w:trPr>
        <w:tc>
          <w:tcPr>
            <w:tcW w:w="444" w:type="dxa"/>
            <w:vAlign w:val="top"/>
            <w:vMerge w:val="continue"/>
            <w:tcBorders>
              <w:top w:val="nil"/>
              <w:bottom w:val="nil"/>
            </w:tcBorders>
          </w:tcPr>
          <w:p>
            <w:pPr>
              <w:rPr>
                <w:rFonts w:ascii="Arial"/>
                <w:sz w:val="21"/>
              </w:rPr>
            </w:pPr>
            <w:r/>
          </w:p>
        </w:tc>
        <w:tc>
          <w:tcPr>
            <w:tcW w:w="829" w:type="dxa"/>
            <w:vAlign w:val="top"/>
          </w:tcPr>
          <w:p>
            <w:pPr>
              <w:pStyle w:val="TableText"/>
              <w:ind w:left="91"/>
              <w:spacing w:before="180" w:line="219" w:lineRule="auto"/>
              <w:rPr>
                <w:sz w:val="21"/>
                <w:szCs w:val="21"/>
              </w:rPr>
            </w:pPr>
            <w:r>
              <w:rPr>
                <w:sz w:val="21"/>
                <w:szCs w:val="21"/>
                <w:spacing w:val="6"/>
              </w:rPr>
              <w:t>待宰间</w:t>
            </w:r>
          </w:p>
        </w:tc>
        <w:tc>
          <w:tcPr>
            <w:tcW w:w="6292" w:type="dxa"/>
            <w:vAlign w:val="top"/>
          </w:tcPr>
          <w:p>
            <w:pPr>
              <w:pStyle w:val="TableText"/>
              <w:ind w:left="201" w:right="162" w:firstLine="50"/>
              <w:spacing w:before="37" w:line="225" w:lineRule="auto"/>
              <w:rPr>
                <w:sz w:val="21"/>
                <w:szCs w:val="21"/>
              </w:rPr>
            </w:pPr>
            <w:r>
              <w:rPr>
                <w:sz w:val="21"/>
                <w:szCs w:val="21"/>
                <w:spacing w:val="3"/>
              </w:rPr>
              <w:t>1F,位于厂区东北侧，面积500m²,设置20个猪存栏舍(包括观察</w:t>
            </w:r>
            <w:r>
              <w:rPr>
                <w:sz w:val="21"/>
                <w:szCs w:val="21"/>
                <w:spacing w:val="5"/>
              </w:rPr>
              <w:t xml:space="preserve">  </w:t>
            </w:r>
            <w:r>
              <w:rPr>
                <w:sz w:val="21"/>
                <w:szCs w:val="21"/>
                <w:spacing w:val="1"/>
              </w:rPr>
              <w:t>舍),主要为待宰生猪存放，内设猪舍和清洗区，存栏量500头/日</w:t>
            </w:r>
          </w:p>
        </w:tc>
        <w:tc>
          <w:tcPr>
            <w:tcW w:w="914" w:type="dxa"/>
            <w:vAlign w:val="top"/>
            <w:vMerge w:val="continue"/>
            <w:tcBorders>
              <w:top w:val="nil"/>
            </w:tcBorders>
          </w:tcPr>
          <w:p>
            <w:pPr>
              <w:rPr>
                <w:rFonts w:ascii="Arial"/>
                <w:sz w:val="21"/>
              </w:rPr>
            </w:pPr>
            <w:r/>
          </w:p>
        </w:tc>
      </w:tr>
      <w:tr>
        <w:trPr>
          <w:trHeight w:val="529" w:hRule="atLeast"/>
        </w:trPr>
        <w:tc>
          <w:tcPr>
            <w:tcW w:w="444" w:type="dxa"/>
            <w:vAlign w:val="top"/>
            <w:vMerge w:val="continue"/>
            <w:tcBorders>
              <w:top w:val="nil"/>
            </w:tcBorders>
          </w:tcPr>
          <w:p>
            <w:pPr>
              <w:rPr>
                <w:rFonts w:ascii="Arial"/>
                <w:sz w:val="21"/>
              </w:rPr>
            </w:pPr>
            <w:r/>
          </w:p>
        </w:tc>
        <w:tc>
          <w:tcPr>
            <w:tcW w:w="829" w:type="dxa"/>
            <w:vAlign w:val="top"/>
          </w:tcPr>
          <w:p>
            <w:pPr>
              <w:pStyle w:val="TableText"/>
              <w:ind w:left="90"/>
              <w:spacing w:before="162" w:line="220" w:lineRule="auto"/>
              <w:rPr>
                <w:sz w:val="21"/>
                <w:szCs w:val="21"/>
              </w:rPr>
            </w:pPr>
            <w:r>
              <w:rPr>
                <w:sz w:val="21"/>
                <w:szCs w:val="21"/>
                <w:spacing w:val="4"/>
              </w:rPr>
              <w:t>锅炉房</w:t>
            </w:r>
          </w:p>
        </w:tc>
        <w:tc>
          <w:tcPr>
            <w:tcW w:w="6292" w:type="dxa"/>
            <w:vAlign w:val="top"/>
          </w:tcPr>
          <w:p>
            <w:pPr>
              <w:pStyle w:val="TableText"/>
              <w:ind w:left="672"/>
              <w:spacing w:before="158" w:line="216" w:lineRule="auto"/>
              <w:rPr>
                <w:sz w:val="21"/>
                <w:szCs w:val="21"/>
              </w:rPr>
            </w:pPr>
            <w:r>
              <w:rPr>
                <w:sz w:val="21"/>
                <w:szCs w:val="21"/>
                <w:spacing w:val="3"/>
              </w:rPr>
              <w:t>1F,面积30m²,设燃气锅炉1个，给屠宰车间提供热水。</w:t>
            </w:r>
          </w:p>
        </w:tc>
        <w:tc>
          <w:tcPr>
            <w:tcW w:w="914" w:type="dxa"/>
            <w:vAlign w:val="top"/>
          </w:tcPr>
          <w:p>
            <w:pPr>
              <w:pStyle w:val="TableText"/>
              <w:ind w:left="30"/>
              <w:spacing w:before="42" w:line="201" w:lineRule="auto"/>
              <w:rPr>
                <w:sz w:val="21"/>
                <w:szCs w:val="21"/>
              </w:rPr>
            </w:pPr>
            <w:r>
              <w:rPr>
                <w:sz w:val="21"/>
                <w:szCs w:val="21"/>
                <w:spacing w:val="-2"/>
              </w:rPr>
              <w:t>废气、噪</w:t>
            </w:r>
          </w:p>
          <w:p>
            <w:pPr>
              <w:pStyle w:val="TableText"/>
              <w:ind w:left="30"/>
              <w:spacing w:line="217" w:lineRule="auto"/>
              <w:rPr>
                <w:sz w:val="21"/>
                <w:szCs w:val="21"/>
              </w:rPr>
            </w:pPr>
            <w:r>
              <w:rPr>
                <w:sz w:val="21"/>
                <w:szCs w:val="21"/>
                <w:spacing w:val="2"/>
              </w:rPr>
              <w:t>声、废水</w:t>
            </w:r>
          </w:p>
        </w:tc>
      </w:tr>
      <w:tr>
        <w:trPr>
          <w:trHeight w:val="290" w:hRule="atLeast"/>
        </w:trPr>
        <w:tc>
          <w:tcPr>
            <w:tcW w:w="444" w:type="dxa"/>
            <w:vAlign w:val="top"/>
            <w:vMerge w:val="restart"/>
            <w:tcBorders>
              <w:bottom w:val="nil"/>
            </w:tcBorders>
          </w:tcPr>
          <w:p>
            <w:pPr>
              <w:spacing w:line="252" w:lineRule="auto"/>
              <w:rPr>
                <w:rFonts w:ascii="Arial"/>
                <w:sz w:val="21"/>
              </w:rPr>
            </w:pPr>
            <w:r/>
          </w:p>
          <w:p>
            <w:pPr>
              <w:pStyle w:val="TableText"/>
              <w:ind w:left="15"/>
              <w:spacing w:before="68" w:line="249" w:lineRule="auto"/>
              <w:rPr>
                <w:sz w:val="21"/>
                <w:szCs w:val="21"/>
              </w:rPr>
            </w:pPr>
            <w:r>
              <w:rPr>
                <w:sz w:val="21"/>
                <w:szCs w:val="21"/>
                <w:spacing w:val="-1"/>
              </w:rPr>
              <w:t>辅助</w:t>
            </w:r>
            <w:r>
              <w:rPr>
                <w:sz w:val="21"/>
                <w:szCs w:val="21"/>
              </w:rPr>
              <w:t xml:space="preserve"> </w:t>
            </w:r>
            <w:r>
              <w:rPr>
                <w:sz w:val="21"/>
                <w:szCs w:val="21"/>
                <w:spacing w:val="-6"/>
              </w:rPr>
              <w:t>工程</w:t>
            </w:r>
          </w:p>
        </w:tc>
        <w:tc>
          <w:tcPr>
            <w:tcW w:w="829" w:type="dxa"/>
            <w:vAlign w:val="top"/>
          </w:tcPr>
          <w:p>
            <w:pPr>
              <w:pStyle w:val="TableText"/>
              <w:ind w:left="90"/>
              <w:spacing w:before="46" w:line="205" w:lineRule="auto"/>
              <w:rPr>
                <w:sz w:val="21"/>
                <w:szCs w:val="21"/>
              </w:rPr>
            </w:pPr>
            <w:r>
              <w:rPr>
                <w:sz w:val="21"/>
                <w:szCs w:val="21"/>
                <w:spacing w:val="-2"/>
              </w:rPr>
              <w:t>配电室</w:t>
            </w:r>
          </w:p>
        </w:tc>
        <w:tc>
          <w:tcPr>
            <w:tcW w:w="6292" w:type="dxa"/>
            <w:vAlign w:val="top"/>
          </w:tcPr>
          <w:p>
            <w:pPr>
              <w:pStyle w:val="TableText"/>
              <w:ind w:left="1611"/>
              <w:spacing w:before="38" w:line="212" w:lineRule="auto"/>
              <w:rPr>
                <w:sz w:val="21"/>
                <w:szCs w:val="21"/>
              </w:rPr>
            </w:pPr>
            <w:r>
              <w:rPr>
                <w:sz w:val="21"/>
                <w:szCs w:val="21"/>
                <w:spacing w:val="6"/>
              </w:rPr>
              <w:t>14m²,位于厂区西侧，办公楼旁。</w:t>
            </w:r>
          </w:p>
        </w:tc>
        <w:tc>
          <w:tcPr>
            <w:tcW w:w="914" w:type="dxa"/>
            <w:vAlign w:val="top"/>
            <w:textDirection w:val="tbRlV"/>
          </w:tcPr>
          <w:p>
            <w:pPr>
              <w:spacing w:line="329" w:lineRule="auto"/>
              <w:rPr>
                <w:rFonts w:ascii="Arial"/>
                <w:sz w:val="21"/>
              </w:rPr>
            </w:pPr>
            <w:r/>
          </w:p>
          <w:p>
            <w:pPr>
              <w:pStyle w:val="TableText"/>
              <w:ind w:left="14"/>
              <w:spacing w:before="70" w:line="137" w:lineRule="exact"/>
              <w:rPr>
                <w:sz w:val="21"/>
                <w:szCs w:val="21"/>
              </w:rPr>
            </w:pPr>
            <w:r>
              <w:rPr>
                <w:sz w:val="21"/>
                <w:szCs w:val="21"/>
                <w:spacing w:val="52"/>
                <w:w w:val="141"/>
                <w:position w:val="-1"/>
              </w:rPr>
              <w:t>/</w:t>
            </w:r>
          </w:p>
        </w:tc>
      </w:tr>
      <w:tr>
        <w:trPr>
          <w:trHeight w:val="260" w:hRule="atLeast"/>
        </w:trPr>
        <w:tc>
          <w:tcPr>
            <w:tcW w:w="444" w:type="dxa"/>
            <w:vAlign w:val="top"/>
            <w:vMerge w:val="continue"/>
            <w:tcBorders>
              <w:top w:val="nil"/>
              <w:bottom w:val="nil"/>
            </w:tcBorders>
          </w:tcPr>
          <w:p>
            <w:pPr>
              <w:rPr>
                <w:rFonts w:ascii="Arial"/>
                <w:sz w:val="21"/>
              </w:rPr>
            </w:pPr>
            <w:r/>
          </w:p>
        </w:tc>
        <w:tc>
          <w:tcPr>
            <w:tcW w:w="829" w:type="dxa"/>
            <w:vAlign w:val="top"/>
          </w:tcPr>
          <w:p>
            <w:pPr>
              <w:pStyle w:val="TableText"/>
              <w:ind w:left="91"/>
              <w:spacing w:before="32" w:line="191" w:lineRule="auto"/>
              <w:rPr>
                <w:sz w:val="21"/>
                <w:szCs w:val="21"/>
              </w:rPr>
            </w:pPr>
            <w:r>
              <w:rPr>
                <w:sz w:val="21"/>
                <w:szCs w:val="21"/>
                <w:spacing w:val="7"/>
              </w:rPr>
              <w:t>卸猪台</w:t>
            </w:r>
          </w:p>
        </w:tc>
        <w:tc>
          <w:tcPr>
            <w:tcW w:w="6292" w:type="dxa"/>
            <w:vAlign w:val="top"/>
          </w:tcPr>
          <w:p>
            <w:pPr>
              <w:pStyle w:val="TableText"/>
              <w:ind w:left="2141"/>
              <w:spacing w:before="29" w:line="194" w:lineRule="auto"/>
              <w:rPr>
                <w:sz w:val="21"/>
                <w:szCs w:val="21"/>
              </w:rPr>
            </w:pPr>
            <w:r>
              <w:rPr>
                <w:sz w:val="21"/>
                <w:szCs w:val="21"/>
                <w:spacing w:val="8"/>
              </w:rPr>
              <w:t>20m²,位于厂区北侧。</w:t>
            </w:r>
          </w:p>
        </w:tc>
        <w:tc>
          <w:tcPr>
            <w:tcW w:w="914" w:type="dxa"/>
            <w:vAlign w:val="top"/>
            <w:vMerge w:val="restart"/>
            <w:tcBorders>
              <w:bottom w:val="nil"/>
            </w:tcBorders>
          </w:tcPr>
          <w:p>
            <w:pPr>
              <w:pStyle w:val="TableText"/>
              <w:ind w:left="239"/>
              <w:spacing w:before="172" w:line="219" w:lineRule="auto"/>
              <w:rPr>
                <w:sz w:val="21"/>
                <w:szCs w:val="21"/>
              </w:rPr>
            </w:pPr>
            <w:r>
              <w:rPr>
                <w:sz w:val="21"/>
                <w:szCs w:val="21"/>
                <w:spacing w:val="-3"/>
              </w:rPr>
              <w:t>恶臭</w:t>
            </w:r>
          </w:p>
        </w:tc>
      </w:tr>
      <w:tr>
        <w:trPr>
          <w:trHeight w:val="280" w:hRule="atLeast"/>
        </w:trPr>
        <w:tc>
          <w:tcPr>
            <w:tcW w:w="444" w:type="dxa"/>
            <w:vAlign w:val="top"/>
            <w:vMerge w:val="continue"/>
            <w:tcBorders>
              <w:top w:val="nil"/>
              <w:bottom w:val="nil"/>
            </w:tcBorders>
          </w:tcPr>
          <w:p>
            <w:pPr>
              <w:rPr>
                <w:rFonts w:ascii="Arial"/>
                <w:sz w:val="21"/>
              </w:rPr>
            </w:pPr>
            <w:r/>
          </w:p>
        </w:tc>
        <w:tc>
          <w:tcPr>
            <w:tcW w:w="829" w:type="dxa"/>
            <w:vAlign w:val="top"/>
          </w:tcPr>
          <w:p>
            <w:pPr>
              <w:pStyle w:val="TableText"/>
              <w:spacing w:before="43" w:line="199" w:lineRule="auto"/>
              <w:jc w:val="right"/>
              <w:rPr>
                <w:sz w:val="21"/>
                <w:szCs w:val="21"/>
              </w:rPr>
            </w:pPr>
            <w:r>
              <w:rPr>
                <w:sz w:val="21"/>
                <w:szCs w:val="21"/>
                <w:spacing w:val="-8"/>
              </w:rPr>
              <w:t>卸猪通道</w:t>
            </w:r>
          </w:p>
        </w:tc>
        <w:tc>
          <w:tcPr>
            <w:tcW w:w="6292" w:type="dxa"/>
            <w:vAlign w:val="top"/>
          </w:tcPr>
          <w:p>
            <w:pPr>
              <w:pStyle w:val="TableText"/>
              <w:ind w:left="1091"/>
              <w:spacing w:before="42" w:line="200" w:lineRule="auto"/>
              <w:rPr>
                <w:sz w:val="21"/>
                <w:szCs w:val="21"/>
              </w:rPr>
            </w:pPr>
            <w:r>
              <w:rPr>
                <w:sz w:val="21"/>
                <w:szCs w:val="21"/>
                <w:spacing w:val="-1"/>
              </w:rPr>
              <w:t>位于厂区北侧，生猪由卸猪通道进入待宰间。</w:t>
            </w:r>
          </w:p>
        </w:tc>
        <w:tc>
          <w:tcPr>
            <w:tcW w:w="914" w:type="dxa"/>
            <w:vAlign w:val="top"/>
            <w:vMerge w:val="continue"/>
            <w:tcBorders>
              <w:top w:val="nil"/>
            </w:tcBorders>
          </w:tcPr>
          <w:p>
            <w:pPr>
              <w:rPr>
                <w:rFonts w:ascii="Arial"/>
                <w:sz w:val="21"/>
              </w:rPr>
            </w:pPr>
            <w:r/>
          </w:p>
        </w:tc>
      </w:tr>
      <w:tr>
        <w:trPr>
          <w:trHeight w:val="270" w:hRule="atLeast"/>
        </w:trPr>
        <w:tc>
          <w:tcPr>
            <w:tcW w:w="444" w:type="dxa"/>
            <w:vAlign w:val="top"/>
            <w:vMerge w:val="continue"/>
            <w:tcBorders>
              <w:top w:val="nil"/>
            </w:tcBorders>
          </w:tcPr>
          <w:p>
            <w:pPr>
              <w:rPr>
                <w:rFonts w:ascii="Arial"/>
                <w:sz w:val="21"/>
              </w:rPr>
            </w:pPr>
            <w:r/>
          </w:p>
        </w:tc>
        <w:tc>
          <w:tcPr>
            <w:tcW w:w="829" w:type="dxa"/>
            <w:vAlign w:val="top"/>
          </w:tcPr>
          <w:p>
            <w:pPr>
              <w:pStyle w:val="TableText"/>
              <w:ind w:left="91"/>
              <w:spacing w:before="32" w:line="200" w:lineRule="auto"/>
              <w:rPr>
                <w:sz w:val="21"/>
                <w:szCs w:val="21"/>
              </w:rPr>
            </w:pPr>
            <w:r>
              <w:rPr>
                <w:sz w:val="21"/>
                <w:szCs w:val="21"/>
                <w:spacing w:val="3"/>
              </w:rPr>
              <w:t>消毒池</w:t>
            </w:r>
          </w:p>
        </w:tc>
        <w:tc>
          <w:tcPr>
            <w:tcW w:w="6292" w:type="dxa"/>
            <w:vAlign w:val="top"/>
          </w:tcPr>
          <w:p>
            <w:pPr>
              <w:pStyle w:val="TableText"/>
              <w:ind w:left="1141"/>
              <w:spacing w:before="29" w:line="203" w:lineRule="auto"/>
              <w:rPr>
                <w:sz w:val="21"/>
                <w:szCs w:val="21"/>
              </w:rPr>
            </w:pPr>
            <w:r>
              <w:rPr>
                <w:sz w:val="21"/>
                <w:szCs w:val="21"/>
                <w:spacing w:val="4"/>
              </w:rPr>
              <w:t>1个，占地共计50m²,对进出车辆进行消毒。</w:t>
            </w:r>
          </w:p>
        </w:tc>
        <w:tc>
          <w:tcPr>
            <w:tcW w:w="914" w:type="dxa"/>
            <w:vAlign w:val="top"/>
          </w:tcPr>
          <w:p>
            <w:pPr>
              <w:pStyle w:val="TableText"/>
              <w:ind w:left="399"/>
              <w:spacing w:before="38" w:line="195" w:lineRule="auto"/>
              <w:rPr>
                <w:sz w:val="21"/>
                <w:szCs w:val="21"/>
              </w:rPr>
            </w:pPr>
            <w:r>
              <w:rPr>
                <w:sz w:val="21"/>
                <w:szCs w:val="21"/>
              </w:rPr>
              <w:t>/</w:t>
            </w:r>
          </w:p>
        </w:tc>
      </w:tr>
      <w:tr>
        <w:trPr>
          <w:trHeight w:val="260" w:hRule="atLeast"/>
        </w:trPr>
        <w:tc>
          <w:tcPr>
            <w:tcW w:w="444" w:type="dxa"/>
            <w:vAlign w:val="top"/>
            <w:vMerge w:val="restart"/>
            <w:tcBorders>
              <w:bottom w:val="nil"/>
            </w:tcBorders>
          </w:tcPr>
          <w:p>
            <w:pPr>
              <w:spacing w:line="283" w:lineRule="auto"/>
              <w:rPr>
                <w:rFonts w:ascii="Arial"/>
                <w:sz w:val="21"/>
              </w:rPr>
            </w:pPr>
            <w:r/>
          </w:p>
          <w:p>
            <w:pPr>
              <w:pStyle w:val="TableText"/>
              <w:ind w:left="15"/>
              <w:spacing w:before="68" w:line="205" w:lineRule="auto"/>
              <w:rPr>
                <w:sz w:val="21"/>
                <w:szCs w:val="21"/>
              </w:rPr>
            </w:pPr>
            <w:r>
              <w:rPr>
                <w:sz w:val="21"/>
                <w:szCs w:val="21"/>
                <w:spacing w:val="-1"/>
              </w:rPr>
              <w:t>公用</w:t>
            </w:r>
            <w:r>
              <w:rPr>
                <w:sz w:val="21"/>
                <w:szCs w:val="21"/>
              </w:rPr>
              <w:t xml:space="preserve"> </w:t>
            </w:r>
            <w:r>
              <w:rPr>
                <w:sz w:val="21"/>
                <w:szCs w:val="21"/>
                <w:spacing w:val="-9"/>
              </w:rPr>
              <w:t>工程</w:t>
            </w:r>
          </w:p>
        </w:tc>
        <w:tc>
          <w:tcPr>
            <w:tcW w:w="829" w:type="dxa"/>
            <w:vAlign w:val="top"/>
          </w:tcPr>
          <w:p>
            <w:pPr>
              <w:pStyle w:val="TableText"/>
              <w:spacing w:before="31" w:line="192" w:lineRule="auto"/>
              <w:jc w:val="right"/>
              <w:rPr>
                <w:sz w:val="21"/>
                <w:szCs w:val="21"/>
              </w:rPr>
            </w:pPr>
            <w:r>
              <w:rPr>
                <w:sz w:val="21"/>
                <w:szCs w:val="21"/>
                <w:spacing w:val="-8"/>
              </w:rPr>
              <w:t>供水系统</w:t>
            </w:r>
          </w:p>
        </w:tc>
        <w:tc>
          <w:tcPr>
            <w:tcW w:w="6292" w:type="dxa"/>
            <w:vAlign w:val="top"/>
          </w:tcPr>
          <w:p>
            <w:pPr>
              <w:pStyle w:val="TableText"/>
              <w:ind w:left="2401"/>
              <w:spacing w:before="32" w:line="191" w:lineRule="auto"/>
              <w:rPr>
                <w:sz w:val="21"/>
                <w:szCs w:val="21"/>
              </w:rPr>
            </w:pPr>
            <w:r>
              <w:rPr>
                <w:sz w:val="21"/>
                <w:szCs w:val="21"/>
                <w:spacing w:val="2"/>
              </w:rPr>
              <w:t>当地自来水管网</w:t>
            </w:r>
          </w:p>
        </w:tc>
        <w:tc>
          <w:tcPr>
            <w:tcW w:w="914" w:type="dxa"/>
            <w:vAlign w:val="top"/>
            <w:vMerge w:val="restart"/>
            <w:tcBorders>
              <w:bottom w:val="nil"/>
            </w:tcBorders>
          </w:tcPr>
          <w:p>
            <w:pPr>
              <w:spacing w:line="248" w:lineRule="auto"/>
              <w:rPr>
                <w:rFonts w:ascii="Arial"/>
                <w:sz w:val="21"/>
              </w:rPr>
            </w:pPr>
            <w:r/>
          </w:p>
          <w:p>
            <w:pPr>
              <w:pStyle w:val="TableText"/>
              <w:ind w:left="399"/>
              <w:spacing w:before="69" w:line="224" w:lineRule="auto"/>
              <w:rPr>
                <w:sz w:val="21"/>
                <w:szCs w:val="21"/>
              </w:rPr>
            </w:pPr>
            <w:r>
              <w:rPr>
                <w:sz w:val="21"/>
                <w:szCs w:val="21"/>
              </w:rPr>
              <w:t>/</w:t>
            </w:r>
          </w:p>
        </w:tc>
      </w:tr>
      <w:tr>
        <w:trPr>
          <w:trHeight w:val="290" w:hRule="atLeast"/>
        </w:trPr>
        <w:tc>
          <w:tcPr>
            <w:tcW w:w="444" w:type="dxa"/>
            <w:vAlign w:val="top"/>
            <w:vMerge w:val="continue"/>
            <w:tcBorders>
              <w:top w:val="nil"/>
              <w:bottom w:val="nil"/>
            </w:tcBorders>
          </w:tcPr>
          <w:p>
            <w:pPr>
              <w:rPr>
                <w:rFonts w:ascii="Arial"/>
                <w:sz w:val="21"/>
              </w:rPr>
            </w:pPr>
            <w:r/>
          </w:p>
        </w:tc>
        <w:tc>
          <w:tcPr>
            <w:tcW w:w="829" w:type="dxa"/>
            <w:vAlign w:val="top"/>
          </w:tcPr>
          <w:p>
            <w:pPr>
              <w:pStyle w:val="TableText"/>
              <w:spacing w:before="42" w:line="209" w:lineRule="auto"/>
              <w:jc w:val="right"/>
              <w:rPr>
                <w:sz w:val="21"/>
                <w:szCs w:val="21"/>
              </w:rPr>
            </w:pPr>
            <w:r>
              <w:rPr>
                <w:sz w:val="21"/>
                <w:szCs w:val="21"/>
                <w:spacing w:val="-8"/>
              </w:rPr>
              <w:t>供电系统</w:t>
            </w:r>
          </w:p>
        </w:tc>
        <w:tc>
          <w:tcPr>
            <w:tcW w:w="6292" w:type="dxa"/>
            <w:vAlign w:val="top"/>
          </w:tcPr>
          <w:p>
            <w:pPr>
              <w:pStyle w:val="TableText"/>
              <w:ind w:left="2721"/>
              <w:spacing w:before="44" w:line="207" w:lineRule="auto"/>
              <w:rPr>
                <w:sz w:val="21"/>
                <w:szCs w:val="21"/>
              </w:rPr>
            </w:pPr>
            <w:r>
              <w:rPr>
                <w:sz w:val="21"/>
                <w:szCs w:val="21"/>
                <w:spacing w:val="5"/>
              </w:rPr>
              <w:t>当地电网</w:t>
            </w:r>
          </w:p>
        </w:tc>
        <w:tc>
          <w:tcPr>
            <w:tcW w:w="914" w:type="dxa"/>
            <w:vAlign w:val="top"/>
            <w:vMerge w:val="continue"/>
            <w:tcBorders>
              <w:top w:val="nil"/>
              <w:bottom w:val="nil"/>
            </w:tcBorders>
          </w:tcPr>
          <w:p>
            <w:pPr>
              <w:rPr>
                <w:rFonts w:ascii="Arial"/>
                <w:sz w:val="21"/>
              </w:rPr>
            </w:pPr>
            <w:r/>
          </w:p>
        </w:tc>
      </w:tr>
      <w:tr>
        <w:trPr>
          <w:trHeight w:val="260" w:hRule="atLeast"/>
        </w:trPr>
        <w:tc>
          <w:tcPr>
            <w:tcW w:w="444" w:type="dxa"/>
            <w:vAlign w:val="top"/>
            <w:vMerge w:val="continue"/>
            <w:tcBorders>
              <w:top w:val="nil"/>
            </w:tcBorders>
          </w:tcPr>
          <w:p>
            <w:pPr>
              <w:rPr>
                <w:rFonts w:ascii="Arial"/>
                <w:sz w:val="21"/>
              </w:rPr>
            </w:pPr>
            <w:r/>
          </w:p>
        </w:tc>
        <w:tc>
          <w:tcPr>
            <w:tcW w:w="829" w:type="dxa"/>
            <w:vAlign w:val="top"/>
          </w:tcPr>
          <w:p>
            <w:pPr>
              <w:pStyle w:val="TableText"/>
              <w:spacing w:before="31" w:line="192" w:lineRule="auto"/>
              <w:jc w:val="right"/>
              <w:rPr>
                <w:sz w:val="21"/>
                <w:szCs w:val="21"/>
              </w:rPr>
            </w:pPr>
            <w:r>
              <w:rPr>
                <w:sz w:val="21"/>
                <w:szCs w:val="21"/>
                <w:spacing w:val="-8"/>
              </w:rPr>
              <w:t>供气系统</w:t>
            </w:r>
          </w:p>
        </w:tc>
        <w:tc>
          <w:tcPr>
            <w:tcW w:w="6292" w:type="dxa"/>
            <w:vAlign w:val="top"/>
          </w:tcPr>
          <w:p>
            <w:pPr>
              <w:pStyle w:val="TableText"/>
              <w:ind w:left="2401"/>
              <w:spacing w:before="32" w:line="191" w:lineRule="auto"/>
              <w:rPr>
                <w:sz w:val="21"/>
                <w:szCs w:val="21"/>
              </w:rPr>
            </w:pPr>
            <w:r>
              <w:rPr>
                <w:sz w:val="21"/>
                <w:szCs w:val="21"/>
                <w:spacing w:val="2"/>
              </w:rPr>
              <w:t>当地天然气管网</w:t>
            </w:r>
          </w:p>
        </w:tc>
        <w:tc>
          <w:tcPr>
            <w:tcW w:w="914" w:type="dxa"/>
            <w:vAlign w:val="top"/>
            <w:vMerge w:val="continue"/>
            <w:tcBorders>
              <w:top w:val="nil"/>
            </w:tcBorders>
          </w:tcPr>
          <w:p>
            <w:pPr>
              <w:rPr>
                <w:rFonts w:ascii="Arial"/>
                <w:sz w:val="21"/>
              </w:rPr>
            </w:pPr>
            <w:r/>
          </w:p>
        </w:tc>
      </w:tr>
      <w:tr>
        <w:trPr>
          <w:trHeight w:val="549" w:hRule="atLeast"/>
        </w:trPr>
        <w:tc>
          <w:tcPr>
            <w:tcW w:w="444" w:type="dxa"/>
            <w:vAlign w:val="top"/>
          </w:tcPr>
          <w:p>
            <w:pPr>
              <w:rPr>
                <w:rFonts w:ascii="Arial"/>
                <w:sz w:val="21"/>
              </w:rPr>
            </w:pPr>
            <w:r/>
          </w:p>
        </w:tc>
        <w:tc>
          <w:tcPr>
            <w:tcW w:w="829" w:type="dxa"/>
            <w:vAlign w:val="top"/>
          </w:tcPr>
          <w:p>
            <w:pPr>
              <w:pStyle w:val="TableText"/>
              <w:spacing w:before="172" w:line="219" w:lineRule="auto"/>
              <w:jc w:val="right"/>
              <w:rPr>
                <w:sz w:val="21"/>
                <w:szCs w:val="21"/>
              </w:rPr>
            </w:pPr>
            <w:r>
              <w:rPr>
                <w:sz w:val="21"/>
                <w:szCs w:val="21"/>
                <w:spacing w:val="-8"/>
              </w:rPr>
              <w:t>排水系统</w:t>
            </w:r>
          </w:p>
        </w:tc>
        <w:tc>
          <w:tcPr>
            <w:tcW w:w="6292" w:type="dxa"/>
            <w:vAlign w:val="top"/>
          </w:tcPr>
          <w:p>
            <w:pPr>
              <w:pStyle w:val="TableText"/>
              <w:ind w:left="11"/>
              <w:spacing w:before="52" w:line="214" w:lineRule="auto"/>
              <w:rPr>
                <w:sz w:val="21"/>
                <w:szCs w:val="21"/>
              </w:rPr>
            </w:pPr>
            <w:r>
              <w:rPr>
                <w:sz w:val="21"/>
                <w:szCs w:val="21"/>
                <w:spacing w:val="-1"/>
              </w:rPr>
              <w:t>雨污分流制，雨水排入雨水管网，污水经场区污水站处理后排入市政</w:t>
            </w:r>
            <w:r>
              <w:rPr>
                <w:sz w:val="21"/>
                <w:szCs w:val="21"/>
              </w:rPr>
              <w:t xml:space="preserve"> </w:t>
            </w:r>
            <w:r>
              <w:rPr>
                <w:sz w:val="21"/>
                <w:szCs w:val="21"/>
                <w:spacing w:val="-2"/>
              </w:rPr>
              <w:t>管网。</w:t>
            </w:r>
          </w:p>
        </w:tc>
        <w:tc>
          <w:tcPr>
            <w:tcW w:w="914" w:type="dxa"/>
            <w:vAlign w:val="top"/>
          </w:tcPr>
          <w:p>
            <w:pPr>
              <w:pStyle w:val="TableText"/>
              <w:ind w:left="239"/>
              <w:spacing w:before="172" w:line="219" w:lineRule="auto"/>
              <w:rPr>
                <w:sz w:val="21"/>
                <w:szCs w:val="21"/>
              </w:rPr>
            </w:pPr>
            <w:r>
              <w:rPr>
                <w:sz w:val="21"/>
                <w:szCs w:val="21"/>
                <w:spacing w:val="-2"/>
              </w:rPr>
              <w:t>废水</w:t>
            </w:r>
          </w:p>
        </w:tc>
      </w:tr>
      <w:tr>
        <w:trPr>
          <w:trHeight w:val="260" w:hRule="atLeast"/>
        </w:trPr>
        <w:tc>
          <w:tcPr>
            <w:tcW w:w="444" w:type="dxa"/>
            <w:vAlign w:val="top"/>
            <w:vMerge w:val="restart"/>
            <w:tcBorders>
              <w:bottom w:val="nil"/>
            </w:tcBorders>
          </w:tcPr>
          <w:p>
            <w:pPr>
              <w:spacing w:line="246" w:lineRule="auto"/>
              <w:rPr>
                <w:rFonts w:ascii="Arial"/>
                <w:sz w:val="21"/>
              </w:rPr>
            </w:pPr>
            <w:r/>
          </w:p>
          <w:p>
            <w:pPr>
              <w:spacing w:line="246" w:lineRule="auto"/>
              <w:rPr>
                <w:rFonts w:ascii="Arial"/>
                <w:sz w:val="21"/>
              </w:rPr>
            </w:pPr>
            <w:r/>
          </w:p>
          <w:p>
            <w:pPr>
              <w:pStyle w:val="TableText"/>
              <w:ind w:left="15"/>
              <w:spacing w:before="68" w:line="249" w:lineRule="auto"/>
              <w:rPr>
                <w:sz w:val="21"/>
                <w:szCs w:val="21"/>
              </w:rPr>
            </w:pPr>
            <w:r>
              <w:rPr>
                <w:sz w:val="21"/>
                <w:szCs w:val="21"/>
                <w:spacing w:val="-1"/>
              </w:rPr>
              <w:t>办公</w:t>
            </w:r>
            <w:r>
              <w:rPr>
                <w:sz w:val="21"/>
                <w:szCs w:val="21"/>
              </w:rPr>
              <w:t xml:space="preserve"> </w:t>
            </w:r>
            <w:r>
              <w:rPr>
                <w:sz w:val="21"/>
                <w:szCs w:val="21"/>
                <w:spacing w:val="-6"/>
              </w:rPr>
              <w:t>生活</w:t>
            </w:r>
          </w:p>
        </w:tc>
        <w:tc>
          <w:tcPr>
            <w:tcW w:w="829" w:type="dxa"/>
            <w:vAlign w:val="top"/>
          </w:tcPr>
          <w:p>
            <w:pPr>
              <w:pStyle w:val="TableText"/>
              <w:ind w:left="90"/>
              <w:spacing w:before="37" w:line="187" w:lineRule="auto"/>
              <w:rPr>
                <w:sz w:val="21"/>
                <w:szCs w:val="21"/>
              </w:rPr>
            </w:pPr>
            <w:r>
              <w:rPr>
                <w:sz w:val="21"/>
                <w:szCs w:val="21"/>
                <w:spacing w:val="3"/>
              </w:rPr>
              <w:t>门卫室</w:t>
            </w:r>
          </w:p>
        </w:tc>
        <w:tc>
          <w:tcPr>
            <w:tcW w:w="6292" w:type="dxa"/>
            <w:vAlign w:val="top"/>
          </w:tcPr>
          <w:p>
            <w:pPr>
              <w:pStyle w:val="TableText"/>
              <w:ind w:left="2191"/>
              <w:spacing w:before="33" w:line="190" w:lineRule="auto"/>
              <w:rPr>
                <w:sz w:val="21"/>
                <w:szCs w:val="21"/>
              </w:rPr>
            </w:pPr>
            <w:r>
              <w:rPr>
                <w:sz w:val="21"/>
                <w:szCs w:val="21"/>
                <w:spacing w:val="9"/>
              </w:rPr>
              <w:t>厂区西南侧，50m²。</w:t>
            </w:r>
          </w:p>
        </w:tc>
        <w:tc>
          <w:tcPr>
            <w:tcW w:w="914" w:type="dxa"/>
            <w:vAlign w:val="top"/>
            <w:vMerge w:val="restart"/>
            <w:tcBorders>
              <w:bottom w:val="nil"/>
            </w:tcBorders>
          </w:tcPr>
          <w:p>
            <w:pPr>
              <w:spacing w:line="251" w:lineRule="auto"/>
              <w:rPr>
                <w:rFonts w:ascii="Arial"/>
                <w:sz w:val="21"/>
              </w:rPr>
            </w:pPr>
            <w:r/>
          </w:p>
          <w:p>
            <w:pPr>
              <w:spacing w:line="251" w:lineRule="auto"/>
              <w:rPr>
                <w:rFonts w:ascii="Arial"/>
                <w:sz w:val="21"/>
              </w:rPr>
            </w:pPr>
            <w:r/>
          </w:p>
          <w:p>
            <w:pPr>
              <w:pStyle w:val="TableText"/>
              <w:ind w:left="30"/>
              <w:spacing w:before="68" w:line="219" w:lineRule="auto"/>
              <w:rPr>
                <w:sz w:val="21"/>
                <w:szCs w:val="21"/>
              </w:rPr>
            </w:pPr>
            <w:r>
              <w:rPr>
                <w:sz w:val="21"/>
                <w:szCs w:val="21"/>
                <w:spacing w:val="-2"/>
              </w:rPr>
              <w:t>生活污水</w:t>
            </w:r>
          </w:p>
          <w:p>
            <w:pPr>
              <w:pStyle w:val="TableText"/>
              <w:ind w:left="30"/>
              <w:spacing w:before="21" w:line="220" w:lineRule="auto"/>
              <w:rPr>
                <w:sz w:val="21"/>
                <w:szCs w:val="21"/>
              </w:rPr>
            </w:pPr>
            <w:r>
              <w:rPr>
                <w:sz w:val="21"/>
                <w:szCs w:val="21"/>
                <w:spacing w:val="-2"/>
              </w:rPr>
              <w:t>生活垃圾</w:t>
            </w:r>
          </w:p>
        </w:tc>
      </w:tr>
      <w:tr>
        <w:trPr>
          <w:trHeight w:val="1369" w:hRule="atLeast"/>
        </w:trPr>
        <w:tc>
          <w:tcPr>
            <w:tcW w:w="444" w:type="dxa"/>
            <w:vAlign w:val="top"/>
            <w:vMerge w:val="continue"/>
            <w:tcBorders>
              <w:top w:val="nil"/>
            </w:tcBorders>
          </w:tcPr>
          <w:p>
            <w:pPr>
              <w:rPr>
                <w:rFonts w:ascii="Arial"/>
                <w:sz w:val="21"/>
              </w:rPr>
            </w:pPr>
            <w:r/>
          </w:p>
        </w:tc>
        <w:tc>
          <w:tcPr>
            <w:tcW w:w="829" w:type="dxa"/>
            <w:vAlign w:val="top"/>
          </w:tcPr>
          <w:p>
            <w:pPr>
              <w:spacing w:line="256" w:lineRule="auto"/>
              <w:rPr>
                <w:rFonts w:ascii="Arial"/>
                <w:sz w:val="21"/>
              </w:rPr>
            </w:pPr>
            <w:r/>
          </w:p>
          <w:p>
            <w:pPr>
              <w:spacing w:line="256" w:lineRule="auto"/>
              <w:rPr>
                <w:rFonts w:ascii="Arial"/>
                <w:sz w:val="21"/>
              </w:rPr>
            </w:pPr>
            <w:r/>
          </w:p>
          <w:p>
            <w:pPr>
              <w:pStyle w:val="TableText"/>
              <w:ind w:left="91"/>
              <w:spacing w:before="68" w:line="219" w:lineRule="auto"/>
              <w:rPr>
                <w:sz w:val="21"/>
                <w:szCs w:val="21"/>
              </w:rPr>
            </w:pPr>
            <w:r>
              <w:rPr>
                <w:sz w:val="21"/>
                <w:szCs w:val="21"/>
                <w:spacing w:val="3"/>
              </w:rPr>
              <w:t>办公楼</w:t>
            </w:r>
          </w:p>
        </w:tc>
        <w:tc>
          <w:tcPr>
            <w:tcW w:w="6292" w:type="dxa"/>
            <w:vAlign w:val="top"/>
          </w:tcPr>
          <w:p>
            <w:pPr>
              <w:pStyle w:val="TableText"/>
              <w:ind w:left="142"/>
              <w:spacing w:before="40" w:line="216" w:lineRule="auto"/>
              <w:rPr>
                <w:sz w:val="21"/>
                <w:szCs w:val="21"/>
              </w:rPr>
            </w:pPr>
            <w:r>
              <w:rPr>
                <w:sz w:val="21"/>
                <w:szCs w:val="21"/>
                <w:spacing w:val="3"/>
              </w:rPr>
              <w:t>3F,框架结构，建筑面积1938.46m²;1F西南侧为办公室(占地面积</w:t>
            </w:r>
          </w:p>
          <w:p>
            <w:pPr>
              <w:pStyle w:val="TableText"/>
              <w:ind w:left="301"/>
              <w:spacing w:before="27" w:line="219" w:lineRule="auto"/>
              <w:rPr>
                <w:sz w:val="21"/>
                <w:szCs w:val="21"/>
              </w:rPr>
            </w:pPr>
            <w:r>
              <w:rPr>
                <w:sz w:val="21"/>
                <w:szCs w:val="21"/>
                <w:spacing w:val="7"/>
              </w:rPr>
              <w:t>50m²)、男女更衣室(占地面积26m²)、中部为仓库(占地</w:t>
            </w:r>
            <w:r>
              <w:rPr>
                <w:sz w:val="21"/>
                <w:szCs w:val="21"/>
                <w:spacing w:val="6"/>
              </w:rPr>
              <w:t>面积</w:t>
            </w:r>
          </w:p>
          <w:p>
            <w:pPr>
              <w:pStyle w:val="TableText"/>
              <w:ind w:left="142"/>
              <w:spacing w:before="30" w:line="219" w:lineRule="auto"/>
              <w:rPr>
                <w:sz w:val="21"/>
                <w:szCs w:val="21"/>
              </w:rPr>
            </w:pPr>
            <w:r>
              <w:rPr>
                <w:sz w:val="21"/>
                <w:szCs w:val="21"/>
                <w:spacing w:val="7"/>
              </w:rPr>
              <w:t>252m²)、东南侧为急冻库(占地面积2</w:t>
            </w:r>
            <w:r>
              <w:rPr>
                <w:sz w:val="21"/>
                <w:szCs w:val="21"/>
                <w:spacing w:val="6"/>
              </w:rPr>
              <w:t>00m²)、东北侧为检验检疫</w:t>
            </w:r>
          </w:p>
          <w:p>
            <w:pPr>
              <w:pStyle w:val="TableText"/>
              <w:ind w:left="11" w:right="248" w:firstLine="239"/>
              <w:spacing w:before="11" w:line="222" w:lineRule="auto"/>
              <w:rPr>
                <w:sz w:val="21"/>
                <w:szCs w:val="21"/>
              </w:rPr>
            </w:pPr>
            <w:r>
              <w:rPr>
                <w:sz w:val="21"/>
                <w:szCs w:val="21"/>
                <w:spacing w:val="6"/>
              </w:rPr>
              <w:t>室(占地面积70m²)及门卫室(占地面积28m²);2F、3F现均为空</w:t>
            </w:r>
            <w:r>
              <w:rPr>
                <w:sz w:val="21"/>
                <w:szCs w:val="21"/>
                <w:spacing w:val="5"/>
              </w:rPr>
              <w:t xml:space="preserve"> </w:t>
            </w:r>
            <w:r>
              <w:rPr>
                <w:sz w:val="21"/>
                <w:szCs w:val="21"/>
                <w:spacing w:val="-1"/>
              </w:rPr>
              <w:t>置状态。</w:t>
            </w:r>
          </w:p>
        </w:tc>
        <w:tc>
          <w:tcPr>
            <w:tcW w:w="914" w:type="dxa"/>
            <w:vAlign w:val="top"/>
            <w:vMerge w:val="continue"/>
            <w:tcBorders>
              <w:top w:val="nil"/>
            </w:tcBorders>
          </w:tcPr>
          <w:p>
            <w:pPr>
              <w:rPr>
                <w:rFonts w:ascii="Arial"/>
                <w:sz w:val="21"/>
              </w:rPr>
            </w:pPr>
            <w:r/>
          </w:p>
        </w:tc>
      </w:tr>
      <w:tr>
        <w:trPr>
          <w:trHeight w:val="270" w:hRule="atLeast"/>
        </w:trPr>
        <w:tc>
          <w:tcPr>
            <w:tcW w:w="444" w:type="dxa"/>
            <w:vAlign w:val="top"/>
            <w:vMerge w:val="restart"/>
            <w:tcBorders>
              <w:bottom w:val="nil"/>
            </w:tcBorders>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15"/>
              <w:spacing w:before="69" w:line="220" w:lineRule="auto"/>
              <w:rPr>
                <w:sz w:val="21"/>
                <w:szCs w:val="21"/>
              </w:rPr>
            </w:pPr>
            <w:r>
              <w:rPr>
                <w:sz w:val="21"/>
                <w:szCs w:val="21"/>
                <w:spacing w:val="-3"/>
              </w:rPr>
              <w:t>环保</w:t>
            </w:r>
          </w:p>
          <w:p>
            <w:pPr>
              <w:pStyle w:val="TableText"/>
              <w:ind w:left="15"/>
              <w:spacing w:before="19" w:line="220" w:lineRule="auto"/>
              <w:rPr>
                <w:sz w:val="21"/>
                <w:szCs w:val="21"/>
              </w:rPr>
            </w:pPr>
            <w:r>
              <w:rPr>
                <w:sz w:val="21"/>
                <w:szCs w:val="21"/>
                <w:spacing w:val="-3"/>
              </w:rPr>
              <w:t>工程</w:t>
            </w:r>
          </w:p>
        </w:tc>
        <w:tc>
          <w:tcPr>
            <w:tcW w:w="829" w:type="dxa"/>
            <w:vAlign w:val="top"/>
            <w:vMerge w:val="restart"/>
            <w:tcBorders>
              <w:bottom w:val="nil"/>
            </w:tcBorders>
          </w:tcPr>
          <w:p>
            <w:pPr>
              <w:spacing w:line="384" w:lineRule="auto"/>
              <w:rPr>
                <w:rFonts w:ascii="Arial"/>
                <w:sz w:val="21"/>
              </w:rPr>
            </w:pPr>
            <w:r/>
          </w:p>
          <w:p>
            <w:pPr>
              <w:pStyle w:val="TableText"/>
              <w:spacing w:before="68" w:line="219" w:lineRule="auto"/>
              <w:jc w:val="right"/>
              <w:rPr>
                <w:sz w:val="21"/>
                <w:szCs w:val="21"/>
              </w:rPr>
            </w:pPr>
            <w:r>
              <w:rPr>
                <w:sz w:val="21"/>
                <w:szCs w:val="21"/>
                <w:spacing w:val="-10"/>
              </w:rPr>
              <w:t>废</w:t>
            </w:r>
            <w:r>
              <w:rPr>
                <w:sz w:val="21"/>
                <w:szCs w:val="21"/>
                <w:spacing w:val="-9"/>
              </w:rPr>
              <w:t>水治</w:t>
            </w:r>
            <w:r>
              <w:rPr>
                <w:sz w:val="21"/>
                <w:szCs w:val="21"/>
                <w:spacing w:val="-8"/>
              </w:rPr>
              <w:t>理</w:t>
            </w:r>
          </w:p>
        </w:tc>
        <w:tc>
          <w:tcPr>
            <w:tcW w:w="6292" w:type="dxa"/>
            <w:vAlign w:val="top"/>
          </w:tcPr>
          <w:p>
            <w:pPr>
              <w:pStyle w:val="TableText"/>
              <w:ind w:left="251"/>
              <w:spacing w:before="34" w:line="198" w:lineRule="auto"/>
              <w:rPr>
                <w:sz w:val="21"/>
                <w:szCs w:val="21"/>
              </w:rPr>
            </w:pPr>
            <w:r>
              <w:rPr>
                <w:sz w:val="21"/>
                <w:szCs w:val="21"/>
                <w:spacing w:val="3"/>
              </w:rPr>
              <w:t>生活污水：经预处理池(1座、20m³)处理后进入园区污水管网。</w:t>
            </w:r>
          </w:p>
        </w:tc>
        <w:tc>
          <w:tcPr>
            <w:tcW w:w="914" w:type="dxa"/>
            <w:vAlign w:val="top"/>
            <w:vMerge w:val="restart"/>
            <w:tcBorders>
              <w:bottom w:val="nil"/>
            </w:tcBorders>
          </w:tcPr>
          <w:p>
            <w:pPr>
              <w:spacing w:line="255" w:lineRule="auto"/>
              <w:rPr>
                <w:rFonts w:ascii="Arial"/>
                <w:sz w:val="21"/>
              </w:rPr>
            </w:pPr>
            <w:r/>
          </w:p>
          <w:p>
            <w:pPr>
              <w:pStyle w:val="TableText"/>
              <w:ind w:left="30"/>
              <w:spacing w:before="68" w:line="220" w:lineRule="auto"/>
              <w:rPr>
                <w:sz w:val="21"/>
                <w:szCs w:val="21"/>
              </w:rPr>
            </w:pPr>
            <w:r>
              <w:rPr>
                <w:sz w:val="21"/>
                <w:szCs w:val="21"/>
                <w:spacing w:val="-2"/>
              </w:rPr>
              <w:t>废气、噪</w:t>
            </w:r>
          </w:p>
          <w:p>
            <w:pPr>
              <w:pStyle w:val="TableText"/>
              <w:ind w:left="30"/>
              <w:spacing w:before="19" w:line="220" w:lineRule="auto"/>
              <w:rPr>
                <w:sz w:val="21"/>
                <w:szCs w:val="21"/>
              </w:rPr>
            </w:pPr>
            <w:r>
              <w:rPr>
                <w:sz w:val="21"/>
                <w:szCs w:val="21"/>
                <w:spacing w:val="2"/>
              </w:rPr>
              <w:t>声、固废</w:t>
            </w:r>
          </w:p>
        </w:tc>
      </w:tr>
      <w:tr>
        <w:trPr>
          <w:trHeight w:val="829" w:hRule="atLeast"/>
        </w:trPr>
        <w:tc>
          <w:tcPr>
            <w:tcW w:w="444" w:type="dxa"/>
            <w:vAlign w:val="top"/>
            <w:vMerge w:val="continue"/>
            <w:tcBorders>
              <w:top w:val="nil"/>
              <w:bottom w:val="nil"/>
            </w:tcBorders>
          </w:tcPr>
          <w:p>
            <w:pPr>
              <w:rPr>
                <w:rFonts w:ascii="Arial"/>
                <w:sz w:val="21"/>
              </w:rPr>
            </w:pPr>
            <w:r/>
          </w:p>
        </w:tc>
        <w:tc>
          <w:tcPr>
            <w:tcW w:w="829" w:type="dxa"/>
            <w:vAlign w:val="top"/>
            <w:vMerge w:val="continue"/>
            <w:tcBorders>
              <w:top w:val="nil"/>
            </w:tcBorders>
          </w:tcPr>
          <w:p>
            <w:pPr>
              <w:rPr>
                <w:rFonts w:ascii="Arial"/>
                <w:sz w:val="21"/>
              </w:rPr>
            </w:pPr>
            <w:r/>
          </w:p>
        </w:tc>
        <w:tc>
          <w:tcPr>
            <w:tcW w:w="6292" w:type="dxa"/>
            <w:vAlign w:val="top"/>
          </w:tcPr>
          <w:p>
            <w:pPr>
              <w:pStyle w:val="TableText"/>
              <w:ind w:left="41"/>
              <w:spacing w:before="41" w:line="216" w:lineRule="auto"/>
              <w:rPr>
                <w:sz w:val="21"/>
                <w:szCs w:val="21"/>
              </w:rPr>
            </w:pPr>
            <w:r>
              <w:rPr>
                <w:sz w:val="21"/>
                <w:szCs w:val="21"/>
                <w:spacing w:val="3"/>
              </w:rPr>
              <w:t>污水处理站：经污水处理站(1座，处理规模为200m³/d,处理工艺为</w:t>
            </w:r>
          </w:p>
          <w:p>
            <w:pPr>
              <w:pStyle w:val="TableText"/>
              <w:ind w:left="11" w:right="254" w:firstLine="340"/>
              <w:spacing w:before="24" w:line="223" w:lineRule="auto"/>
              <w:rPr>
                <w:sz w:val="21"/>
                <w:szCs w:val="21"/>
              </w:rPr>
            </w:pPr>
            <w:r>
              <w:rPr>
                <w:sz w:val="21"/>
                <w:szCs w:val="21"/>
              </w:rPr>
              <w:t>二级生化),处理后出水达《肉类加工工业水污染物排放标准》</w:t>
            </w:r>
            <w:r>
              <w:rPr>
                <w:sz w:val="21"/>
                <w:szCs w:val="21"/>
                <w:spacing w:val="4"/>
              </w:rPr>
              <w:t xml:space="preserve"> </w:t>
            </w:r>
            <w:r>
              <w:rPr>
                <w:sz w:val="21"/>
                <w:szCs w:val="21"/>
              </w:rPr>
              <w:t>(GB13457-92)中一级标准，再进入园</w:t>
            </w:r>
            <w:r>
              <w:rPr>
                <w:sz w:val="21"/>
                <w:szCs w:val="21"/>
                <w:spacing w:val="-1"/>
              </w:rPr>
              <w:t>区污水管网。</w:t>
            </w:r>
          </w:p>
        </w:tc>
        <w:tc>
          <w:tcPr>
            <w:tcW w:w="914" w:type="dxa"/>
            <w:vAlign w:val="top"/>
            <w:vMerge w:val="continue"/>
            <w:tcBorders>
              <w:top w:val="nil"/>
            </w:tcBorders>
          </w:tcPr>
          <w:p>
            <w:pPr>
              <w:rPr>
                <w:rFonts w:ascii="Arial"/>
                <w:sz w:val="21"/>
              </w:rPr>
            </w:pPr>
            <w:r/>
          </w:p>
        </w:tc>
      </w:tr>
      <w:tr>
        <w:trPr>
          <w:trHeight w:val="260" w:hRule="atLeast"/>
        </w:trPr>
        <w:tc>
          <w:tcPr>
            <w:tcW w:w="444" w:type="dxa"/>
            <w:vAlign w:val="top"/>
            <w:vMerge w:val="continue"/>
            <w:tcBorders>
              <w:top w:val="nil"/>
              <w:bottom w:val="nil"/>
            </w:tcBorders>
          </w:tcPr>
          <w:p>
            <w:pPr>
              <w:rPr>
                <w:rFonts w:ascii="Arial"/>
                <w:sz w:val="21"/>
              </w:rPr>
            </w:pPr>
            <w:r/>
          </w:p>
        </w:tc>
        <w:tc>
          <w:tcPr>
            <w:tcW w:w="829" w:type="dxa"/>
            <w:vAlign w:val="top"/>
            <w:vMerge w:val="restart"/>
            <w:tcBorders>
              <w:bottom w:val="nil"/>
            </w:tcBorders>
          </w:tcPr>
          <w:p>
            <w:pPr>
              <w:spacing w:line="326" w:lineRule="auto"/>
              <w:rPr>
                <w:rFonts w:ascii="Arial"/>
                <w:sz w:val="21"/>
              </w:rPr>
            </w:pPr>
            <w:r/>
          </w:p>
          <w:p>
            <w:pPr>
              <w:spacing w:line="327" w:lineRule="auto"/>
              <w:rPr>
                <w:rFonts w:ascii="Arial"/>
                <w:sz w:val="21"/>
              </w:rPr>
            </w:pPr>
            <w:r/>
          </w:p>
          <w:p>
            <w:pPr>
              <w:pStyle w:val="TableText"/>
              <w:spacing w:before="69" w:line="220" w:lineRule="auto"/>
              <w:jc w:val="right"/>
              <w:rPr>
                <w:sz w:val="21"/>
                <w:szCs w:val="21"/>
              </w:rPr>
            </w:pPr>
            <w:r>
              <w:rPr>
                <w:sz w:val="21"/>
                <w:szCs w:val="21"/>
                <w:spacing w:val="-10"/>
              </w:rPr>
              <w:t>废</w:t>
            </w:r>
            <w:r>
              <w:rPr>
                <w:sz w:val="21"/>
                <w:szCs w:val="21"/>
                <w:spacing w:val="-9"/>
              </w:rPr>
              <w:t>气治</w:t>
            </w:r>
            <w:r>
              <w:rPr>
                <w:sz w:val="21"/>
                <w:szCs w:val="21"/>
                <w:spacing w:val="-8"/>
              </w:rPr>
              <w:t>理</w:t>
            </w:r>
          </w:p>
        </w:tc>
        <w:tc>
          <w:tcPr>
            <w:tcW w:w="6292" w:type="dxa"/>
            <w:vAlign w:val="top"/>
          </w:tcPr>
          <w:p>
            <w:pPr>
              <w:pStyle w:val="TableText"/>
              <w:ind w:left="11"/>
              <w:spacing w:before="35" w:line="189" w:lineRule="auto"/>
              <w:rPr>
                <w:sz w:val="21"/>
                <w:szCs w:val="21"/>
              </w:rPr>
            </w:pPr>
            <w:r>
              <w:rPr>
                <w:sz w:val="21"/>
                <w:szCs w:val="21"/>
                <w:spacing w:val="-1"/>
              </w:rPr>
              <w:t>锅炉废气：使用燃气锅炉，经8m高排气筒排放。</w:t>
            </w:r>
          </w:p>
        </w:tc>
        <w:tc>
          <w:tcPr>
            <w:tcW w:w="914" w:type="dxa"/>
            <w:vAlign w:val="top"/>
            <w:vMerge w:val="restart"/>
            <w:tcBorders>
              <w:bottom w:val="nil"/>
            </w:tcBorders>
          </w:tcPr>
          <w:p>
            <w:pPr>
              <w:spacing w:line="257" w:lineRule="auto"/>
              <w:rPr>
                <w:rFonts w:ascii="Arial"/>
                <w:sz w:val="21"/>
              </w:rPr>
            </w:pPr>
            <w:r/>
          </w:p>
          <w:p>
            <w:pPr>
              <w:spacing w:line="257" w:lineRule="auto"/>
              <w:rPr>
                <w:rFonts w:ascii="Arial"/>
                <w:sz w:val="21"/>
              </w:rPr>
            </w:pPr>
            <w:r/>
          </w:p>
          <w:p>
            <w:pPr>
              <w:pStyle w:val="TableText"/>
              <w:ind w:left="30"/>
              <w:spacing w:before="68" w:line="220" w:lineRule="auto"/>
              <w:rPr>
                <w:sz w:val="21"/>
                <w:szCs w:val="21"/>
              </w:rPr>
            </w:pPr>
            <w:r>
              <w:rPr>
                <w:sz w:val="21"/>
                <w:szCs w:val="21"/>
                <w:spacing w:val="2"/>
              </w:rPr>
              <w:t>噪声、废</w:t>
            </w:r>
          </w:p>
          <w:p>
            <w:pPr>
              <w:pStyle w:val="TableText"/>
              <w:ind w:left="30"/>
              <w:spacing w:before="9" w:line="219" w:lineRule="auto"/>
              <w:rPr>
                <w:sz w:val="21"/>
                <w:szCs w:val="21"/>
              </w:rPr>
            </w:pPr>
            <w:r>
              <w:rPr>
                <w:sz w:val="21"/>
                <w:szCs w:val="21"/>
                <w:spacing w:val="2"/>
              </w:rPr>
              <w:t>水、固废</w:t>
            </w:r>
          </w:p>
        </w:tc>
      </w:tr>
      <w:tr>
        <w:trPr>
          <w:trHeight w:val="1369" w:hRule="atLeast"/>
        </w:trPr>
        <w:tc>
          <w:tcPr>
            <w:tcW w:w="444" w:type="dxa"/>
            <w:vAlign w:val="top"/>
            <w:vMerge w:val="continue"/>
            <w:tcBorders>
              <w:top w:val="nil"/>
              <w:bottom w:val="nil"/>
            </w:tcBorders>
          </w:tcPr>
          <w:p>
            <w:pPr>
              <w:rPr>
                <w:rFonts w:ascii="Arial"/>
                <w:sz w:val="21"/>
              </w:rPr>
            </w:pPr>
            <w:r/>
          </w:p>
        </w:tc>
        <w:tc>
          <w:tcPr>
            <w:tcW w:w="829" w:type="dxa"/>
            <w:vAlign w:val="top"/>
            <w:vMerge w:val="continue"/>
            <w:tcBorders>
              <w:top w:val="nil"/>
            </w:tcBorders>
          </w:tcPr>
          <w:p>
            <w:pPr>
              <w:rPr>
                <w:rFonts w:ascii="Arial"/>
                <w:sz w:val="21"/>
              </w:rPr>
            </w:pPr>
            <w:r/>
          </w:p>
        </w:tc>
        <w:tc>
          <w:tcPr>
            <w:tcW w:w="6292" w:type="dxa"/>
            <w:vAlign w:val="top"/>
          </w:tcPr>
          <w:p>
            <w:pPr>
              <w:pStyle w:val="TableText"/>
              <w:ind w:left="11"/>
              <w:spacing w:before="45" w:line="231" w:lineRule="auto"/>
              <w:jc w:val="both"/>
              <w:rPr>
                <w:sz w:val="21"/>
                <w:szCs w:val="21"/>
              </w:rPr>
            </w:pPr>
            <w:r>
              <w:rPr>
                <w:sz w:val="21"/>
                <w:szCs w:val="21"/>
                <w:spacing w:val="-1"/>
              </w:rPr>
              <w:t>待宰间、屠宰间及污水处理站恶臭和异味：及时清理待宰场</w:t>
            </w:r>
            <w:r>
              <w:rPr>
                <w:sz w:val="21"/>
                <w:szCs w:val="21"/>
                <w:spacing w:val="-2"/>
              </w:rPr>
              <w:t>以及屠宰</w:t>
            </w:r>
            <w:r>
              <w:rPr>
                <w:sz w:val="21"/>
                <w:szCs w:val="21"/>
              </w:rPr>
              <w:t xml:space="preserve"> </w:t>
            </w:r>
            <w:r>
              <w:rPr>
                <w:sz w:val="21"/>
                <w:szCs w:val="21"/>
                <w:spacing w:val="-1"/>
              </w:rPr>
              <w:t>车间内的猪粪便、胃内容物、碎肉和碎骨等废弃物；加强待</w:t>
            </w:r>
            <w:r>
              <w:rPr>
                <w:sz w:val="21"/>
                <w:szCs w:val="21"/>
                <w:spacing w:val="-2"/>
              </w:rPr>
              <w:t>宰场内通</w:t>
            </w:r>
            <w:r>
              <w:rPr>
                <w:sz w:val="21"/>
                <w:szCs w:val="21"/>
              </w:rPr>
              <w:t xml:space="preserve"> </w:t>
            </w:r>
            <w:r>
              <w:rPr>
                <w:sz w:val="21"/>
                <w:szCs w:val="21"/>
                <w:spacing w:val="-1"/>
              </w:rPr>
              <w:t>风次数；对污水处理站产生的污泥及时清运，减少污泥在厂区</w:t>
            </w:r>
            <w:r>
              <w:rPr>
                <w:sz w:val="21"/>
                <w:szCs w:val="21"/>
                <w:spacing w:val="-2"/>
              </w:rPr>
              <w:t>内的堆</w:t>
            </w:r>
            <w:r>
              <w:rPr>
                <w:sz w:val="21"/>
                <w:szCs w:val="21"/>
              </w:rPr>
              <w:t xml:space="preserve"> </w:t>
            </w:r>
            <w:r>
              <w:rPr>
                <w:sz w:val="21"/>
                <w:szCs w:val="21"/>
                <w:spacing w:val="-1"/>
              </w:rPr>
              <w:t>存量和堆存时间；污水处理站格栅沉淀池等采用加密封盖及其它消臭</w:t>
            </w:r>
            <w:r>
              <w:rPr>
                <w:sz w:val="21"/>
                <w:szCs w:val="21"/>
              </w:rPr>
              <w:t xml:space="preserve"> </w:t>
            </w:r>
            <w:r>
              <w:rPr>
                <w:sz w:val="21"/>
                <w:szCs w:val="21"/>
                <w:spacing w:val="-1"/>
              </w:rPr>
              <w:t>隔离措施；加强车间及厂区绿化。</w:t>
            </w:r>
          </w:p>
        </w:tc>
        <w:tc>
          <w:tcPr>
            <w:tcW w:w="914" w:type="dxa"/>
            <w:vAlign w:val="top"/>
            <w:vMerge w:val="continue"/>
            <w:tcBorders>
              <w:top w:val="nil"/>
            </w:tcBorders>
          </w:tcPr>
          <w:p>
            <w:pPr>
              <w:rPr>
                <w:rFonts w:ascii="Arial"/>
                <w:sz w:val="21"/>
              </w:rPr>
            </w:pPr>
            <w:r/>
          </w:p>
        </w:tc>
      </w:tr>
      <w:tr>
        <w:trPr>
          <w:trHeight w:val="260" w:hRule="atLeast"/>
        </w:trPr>
        <w:tc>
          <w:tcPr>
            <w:tcW w:w="444" w:type="dxa"/>
            <w:vAlign w:val="top"/>
            <w:vMerge w:val="continue"/>
            <w:tcBorders>
              <w:top w:val="nil"/>
              <w:bottom w:val="nil"/>
            </w:tcBorders>
          </w:tcPr>
          <w:p>
            <w:pPr>
              <w:rPr>
                <w:rFonts w:ascii="Arial"/>
                <w:sz w:val="21"/>
              </w:rPr>
            </w:pPr>
            <w:r/>
          </w:p>
        </w:tc>
        <w:tc>
          <w:tcPr>
            <w:tcW w:w="829" w:type="dxa"/>
            <w:vAlign w:val="top"/>
          </w:tcPr>
          <w:p>
            <w:pPr>
              <w:pStyle w:val="TableText"/>
              <w:spacing w:before="37" w:line="187" w:lineRule="auto"/>
              <w:jc w:val="right"/>
              <w:rPr>
                <w:sz w:val="21"/>
                <w:szCs w:val="21"/>
              </w:rPr>
            </w:pPr>
            <w:r>
              <w:rPr>
                <w:sz w:val="21"/>
                <w:szCs w:val="21"/>
                <w:color w:val="304040"/>
                <w:spacing w:val="-8"/>
              </w:rPr>
              <w:t>噪声治理</w:t>
            </w:r>
          </w:p>
        </w:tc>
        <w:tc>
          <w:tcPr>
            <w:tcW w:w="6292" w:type="dxa"/>
            <w:vAlign w:val="top"/>
          </w:tcPr>
          <w:p>
            <w:pPr>
              <w:pStyle w:val="TableText"/>
              <w:ind w:left="1141"/>
              <w:spacing w:before="36" w:line="188" w:lineRule="auto"/>
              <w:rPr>
                <w:sz w:val="21"/>
                <w:szCs w:val="21"/>
              </w:rPr>
            </w:pPr>
            <w:r>
              <w:rPr>
                <w:sz w:val="21"/>
                <w:szCs w:val="21"/>
                <w:spacing w:val="-1"/>
              </w:rPr>
              <w:t>基础减振、合理布局、墙体隔声、加强管理</w:t>
            </w:r>
          </w:p>
        </w:tc>
        <w:tc>
          <w:tcPr>
            <w:tcW w:w="914" w:type="dxa"/>
            <w:vAlign w:val="top"/>
          </w:tcPr>
          <w:p>
            <w:pPr>
              <w:pStyle w:val="TableText"/>
              <w:ind w:left="399"/>
              <w:spacing w:before="41" w:line="183" w:lineRule="auto"/>
              <w:rPr>
                <w:sz w:val="21"/>
                <w:szCs w:val="21"/>
              </w:rPr>
            </w:pPr>
            <w:r>
              <w:rPr>
                <w:sz w:val="21"/>
                <w:szCs w:val="21"/>
              </w:rPr>
              <w:t>/</w:t>
            </w:r>
          </w:p>
        </w:tc>
      </w:tr>
      <w:tr>
        <w:trPr>
          <w:trHeight w:val="1638" w:hRule="atLeast"/>
        </w:trPr>
        <w:tc>
          <w:tcPr>
            <w:tcW w:w="444" w:type="dxa"/>
            <w:vAlign w:val="top"/>
            <w:vMerge w:val="continue"/>
            <w:tcBorders>
              <w:top w:val="nil"/>
              <w:bottom w:val="nil"/>
            </w:tcBorders>
          </w:tcPr>
          <w:p>
            <w:pPr>
              <w:rPr>
                <w:rFonts w:ascii="Arial"/>
                <w:sz w:val="21"/>
              </w:rPr>
            </w:pPr>
            <w:r/>
          </w:p>
        </w:tc>
        <w:tc>
          <w:tcPr>
            <w:tcW w:w="829" w:type="dxa"/>
            <w:vAlign w:val="top"/>
          </w:tcPr>
          <w:p>
            <w:pPr>
              <w:spacing w:line="327" w:lineRule="auto"/>
              <w:rPr>
                <w:rFonts w:ascii="Arial"/>
                <w:sz w:val="21"/>
              </w:rPr>
            </w:pPr>
            <w:r/>
          </w:p>
          <w:p>
            <w:pPr>
              <w:spacing w:line="327" w:lineRule="auto"/>
              <w:rPr>
                <w:rFonts w:ascii="Arial"/>
                <w:sz w:val="21"/>
              </w:rPr>
            </w:pPr>
            <w:r/>
          </w:p>
          <w:p>
            <w:pPr>
              <w:pStyle w:val="TableText"/>
              <w:spacing w:before="69" w:line="220" w:lineRule="auto"/>
              <w:jc w:val="right"/>
              <w:rPr>
                <w:sz w:val="21"/>
                <w:szCs w:val="21"/>
              </w:rPr>
            </w:pPr>
            <w:r>
              <w:rPr>
                <w:sz w:val="21"/>
                <w:szCs w:val="21"/>
                <w:spacing w:val="-8"/>
              </w:rPr>
              <w:t>固废治理</w:t>
            </w:r>
          </w:p>
        </w:tc>
        <w:tc>
          <w:tcPr>
            <w:tcW w:w="6292" w:type="dxa"/>
            <w:vAlign w:val="top"/>
          </w:tcPr>
          <w:p>
            <w:pPr>
              <w:pStyle w:val="TableText"/>
              <w:ind w:left="11"/>
              <w:spacing w:before="37" w:line="233" w:lineRule="auto"/>
              <w:rPr>
                <w:sz w:val="21"/>
                <w:szCs w:val="21"/>
              </w:rPr>
            </w:pPr>
            <w:r>
              <w:rPr>
                <w:sz w:val="21"/>
                <w:szCs w:val="21"/>
                <w:spacing w:val="-1"/>
              </w:rPr>
              <w:t>生活垃圾：袋装收集后由环卫部门送至当地垃圾填埋场；猪</w:t>
            </w:r>
            <w:r>
              <w:rPr>
                <w:sz w:val="21"/>
                <w:szCs w:val="21"/>
                <w:spacing w:val="-2"/>
              </w:rPr>
              <w:t>粪收集后</w:t>
            </w:r>
            <w:r>
              <w:rPr>
                <w:sz w:val="21"/>
                <w:szCs w:val="21"/>
              </w:rPr>
              <w:t xml:space="preserve"> </w:t>
            </w:r>
            <w:r>
              <w:rPr>
                <w:sz w:val="21"/>
                <w:szCs w:val="21"/>
                <w:spacing w:val="2"/>
              </w:rPr>
              <w:t>由有机肥公司每日定时定点清运；胃肠容物外售制作有机肥料；猪</w:t>
            </w:r>
            <w:r>
              <w:rPr>
                <w:sz w:val="21"/>
                <w:szCs w:val="21"/>
                <w:spacing w:val="3"/>
              </w:rPr>
              <w:t xml:space="preserve">  </w:t>
            </w:r>
            <w:r>
              <w:rPr>
                <w:sz w:val="21"/>
                <w:szCs w:val="21"/>
                <w:spacing w:val="-1"/>
              </w:rPr>
              <w:t>血、猪毛集中收集，作为副产品出售；猪蹄壳袋装收集外售</w:t>
            </w:r>
            <w:r>
              <w:rPr>
                <w:sz w:val="21"/>
                <w:szCs w:val="21"/>
                <w:spacing w:val="-2"/>
              </w:rPr>
              <w:t>综合利用</w:t>
            </w:r>
            <w:r>
              <w:rPr>
                <w:sz w:val="21"/>
                <w:szCs w:val="21"/>
              </w:rPr>
              <w:t xml:space="preserve"> </w:t>
            </w:r>
            <w:r>
              <w:rPr>
                <w:sz w:val="21"/>
                <w:szCs w:val="21"/>
                <w:spacing w:val="2"/>
              </w:rPr>
              <w:t>(炼明胶或油脂)或进行无害化处理；污水处理设施污泥外售制作有</w:t>
            </w:r>
            <w:r>
              <w:rPr>
                <w:sz w:val="21"/>
                <w:szCs w:val="21"/>
                <w:spacing w:val="3"/>
              </w:rPr>
              <w:t xml:space="preserve">  </w:t>
            </w:r>
            <w:r>
              <w:rPr>
                <w:sz w:val="21"/>
                <w:szCs w:val="21"/>
                <w:spacing w:val="-1"/>
              </w:rPr>
              <w:t>机肥料；疫病猪、病胴体、病内脏交绵阳市病死畜禽无害化处理中心</w:t>
            </w:r>
            <w:r>
              <w:rPr>
                <w:sz w:val="21"/>
                <w:szCs w:val="21"/>
              </w:rPr>
              <w:t xml:space="preserve"> </w:t>
            </w:r>
            <w:r>
              <w:rPr>
                <w:sz w:val="21"/>
                <w:szCs w:val="21"/>
                <w:spacing w:val="-2"/>
              </w:rPr>
              <w:t>进行无害化处置。</w:t>
            </w:r>
          </w:p>
        </w:tc>
        <w:tc>
          <w:tcPr>
            <w:tcW w:w="914" w:type="dxa"/>
            <w:vAlign w:val="top"/>
          </w:tcPr>
          <w:p>
            <w:pPr>
              <w:spacing w:line="330" w:lineRule="auto"/>
              <w:rPr>
                <w:rFonts w:ascii="Arial"/>
                <w:sz w:val="21"/>
              </w:rPr>
            </w:pPr>
            <w:r/>
          </w:p>
          <w:p>
            <w:pPr>
              <w:spacing w:line="330" w:lineRule="auto"/>
              <w:rPr>
                <w:rFonts w:ascii="Arial"/>
                <w:sz w:val="21"/>
              </w:rPr>
            </w:pPr>
            <w:r/>
          </w:p>
          <w:p>
            <w:pPr>
              <w:pStyle w:val="TableText"/>
              <w:ind w:left="399"/>
              <w:spacing w:before="68" w:line="224" w:lineRule="auto"/>
              <w:rPr>
                <w:sz w:val="21"/>
                <w:szCs w:val="21"/>
              </w:rPr>
            </w:pPr>
            <w:r>
              <w:rPr>
                <w:sz w:val="21"/>
                <w:szCs w:val="21"/>
              </w:rPr>
              <w:t>/</w:t>
            </w:r>
          </w:p>
        </w:tc>
      </w:tr>
      <w:tr>
        <w:trPr>
          <w:trHeight w:val="584" w:hRule="atLeast"/>
        </w:trPr>
        <w:tc>
          <w:tcPr>
            <w:tcW w:w="444" w:type="dxa"/>
            <w:vAlign w:val="top"/>
            <w:vMerge w:val="continue"/>
            <w:tcBorders>
              <w:top w:val="nil"/>
            </w:tcBorders>
          </w:tcPr>
          <w:p>
            <w:pPr>
              <w:rPr>
                <w:rFonts w:ascii="Arial"/>
                <w:sz w:val="21"/>
              </w:rPr>
            </w:pPr>
            <w:r/>
          </w:p>
        </w:tc>
        <w:tc>
          <w:tcPr>
            <w:tcW w:w="829" w:type="dxa"/>
            <w:vAlign w:val="top"/>
          </w:tcPr>
          <w:p>
            <w:pPr>
              <w:pStyle w:val="TableText"/>
              <w:spacing w:before="38" w:line="219" w:lineRule="auto"/>
              <w:jc w:val="right"/>
              <w:rPr>
                <w:sz w:val="21"/>
                <w:szCs w:val="21"/>
              </w:rPr>
            </w:pPr>
            <w:r>
              <w:rPr>
                <w:sz w:val="21"/>
                <w:szCs w:val="21"/>
                <w:spacing w:val="-8"/>
              </w:rPr>
              <w:t>地下水、</w:t>
            </w:r>
          </w:p>
          <w:p>
            <w:pPr>
              <w:pStyle w:val="TableText"/>
              <w:spacing w:before="31" w:line="221" w:lineRule="auto"/>
              <w:jc w:val="right"/>
              <w:rPr>
                <w:sz w:val="21"/>
                <w:szCs w:val="21"/>
              </w:rPr>
            </w:pPr>
            <w:r>
              <w:rPr>
                <w:sz w:val="21"/>
                <w:szCs w:val="21"/>
                <w:spacing w:val="-10"/>
              </w:rPr>
              <w:t>土</w:t>
            </w:r>
            <w:r>
              <w:rPr>
                <w:sz w:val="21"/>
                <w:szCs w:val="21"/>
                <w:spacing w:val="-9"/>
              </w:rPr>
              <w:t>壤治</w:t>
            </w:r>
            <w:r>
              <w:rPr>
                <w:sz w:val="21"/>
                <w:szCs w:val="21"/>
                <w:spacing w:val="-8"/>
              </w:rPr>
              <w:t>理</w:t>
            </w:r>
          </w:p>
        </w:tc>
        <w:tc>
          <w:tcPr>
            <w:tcW w:w="6292" w:type="dxa"/>
            <w:vAlign w:val="top"/>
          </w:tcPr>
          <w:p>
            <w:pPr>
              <w:pStyle w:val="TableText"/>
              <w:ind w:left="251" w:right="256" w:firstLine="50"/>
              <w:spacing w:before="39" w:line="235" w:lineRule="auto"/>
              <w:rPr>
                <w:sz w:val="21"/>
                <w:szCs w:val="21"/>
              </w:rPr>
            </w:pPr>
            <w:r>
              <w:rPr>
                <w:sz w:val="21"/>
                <w:szCs w:val="21"/>
              </w:rPr>
              <w:t>分区防渗，重点防渗区：污水处理站各池体，等效黏土防渗层</w:t>
            </w:r>
            <w:r>
              <w:rPr>
                <w:sz w:val="21"/>
                <w:szCs w:val="21"/>
                <w:spacing w:val="11"/>
              </w:rPr>
              <w:t xml:space="preserve"> </w:t>
            </w:r>
            <w:r>
              <w:rPr>
                <w:sz w:val="21"/>
                <w:szCs w:val="21"/>
              </w:rPr>
              <w:t>Mb≥6m;一般防渗区：屠宰车间、待宰圈，等效黏土防渗</w:t>
            </w:r>
            <w:r>
              <w:rPr>
                <w:sz w:val="21"/>
                <w:szCs w:val="21"/>
                <w:spacing w:val="-1"/>
              </w:rPr>
              <w:t>层厚度</w:t>
            </w:r>
          </w:p>
        </w:tc>
        <w:tc>
          <w:tcPr>
            <w:tcW w:w="914" w:type="dxa"/>
            <w:vAlign w:val="top"/>
          </w:tcPr>
          <w:p>
            <w:pPr>
              <w:pStyle w:val="TableText"/>
              <w:ind w:left="399"/>
              <w:spacing w:before="204" w:line="224" w:lineRule="auto"/>
              <w:rPr>
                <w:sz w:val="21"/>
                <w:szCs w:val="21"/>
              </w:rPr>
            </w:pPr>
            <w:r>
              <w:rPr>
                <w:sz w:val="21"/>
                <w:szCs w:val="21"/>
              </w:rPr>
              <w:t>/</w:t>
            </w:r>
          </w:p>
        </w:tc>
      </w:tr>
    </w:tbl>
    <w:p>
      <w:pPr>
        <w:pStyle w:val="BodyText"/>
        <w:rPr/>
      </w:pPr>
      <w:r/>
    </w:p>
    <w:p>
      <w:pPr>
        <w:sectPr>
          <w:headerReference w:type="default" r:id="rId170"/>
          <w:footerReference w:type="default" r:id="rId171"/>
          <w:pgSz w:w="11910" w:h="16840"/>
          <w:pgMar w:top="1210" w:right="1745" w:bottom="991" w:left="1675" w:header="902" w:footer="732" w:gutter="0"/>
        </w:sectPr>
        <w:rPr/>
      </w:pPr>
    </w:p>
    <w:p>
      <w:pPr>
        <w:spacing w:line="237" w:lineRule="exact"/>
        <w:rPr/>
      </w:pPr>
      <w:r/>
    </w:p>
    <w:tbl>
      <w:tblPr>
        <w:tblStyle w:val="TableNormal"/>
        <w:tblW w:w="85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839"/>
        <w:gridCol w:w="6302"/>
        <w:gridCol w:w="924"/>
      </w:tblGrid>
      <w:tr>
        <w:trPr>
          <w:trHeight w:val="539" w:hRule="atLeast"/>
        </w:trPr>
        <w:tc>
          <w:tcPr>
            <w:tcW w:w="454" w:type="dxa"/>
            <w:vAlign w:val="top"/>
          </w:tcPr>
          <w:p>
            <w:pPr>
              <w:rPr>
                <w:rFonts w:ascii="Arial"/>
                <w:sz w:val="21"/>
              </w:rPr>
            </w:pPr>
            <w:r/>
          </w:p>
        </w:tc>
        <w:tc>
          <w:tcPr>
            <w:tcW w:w="839" w:type="dxa"/>
            <w:vAlign w:val="top"/>
          </w:tcPr>
          <w:p>
            <w:pPr>
              <w:rPr>
                <w:rFonts w:ascii="Arial"/>
                <w:sz w:val="21"/>
              </w:rPr>
            </w:pPr>
            <w:r/>
          </w:p>
        </w:tc>
        <w:tc>
          <w:tcPr>
            <w:tcW w:w="6302" w:type="dxa"/>
            <w:vAlign w:val="top"/>
          </w:tcPr>
          <w:p>
            <w:pPr>
              <w:pStyle w:val="TableText"/>
              <w:ind w:left="11" w:right="296"/>
              <w:spacing w:before="12" w:line="227" w:lineRule="auto"/>
              <w:rPr>
                <w:sz w:val="21"/>
                <w:szCs w:val="21"/>
              </w:rPr>
            </w:pPr>
            <w:r>
              <w:rPr>
                <w:sz w:val="21"/>
                <w:szCs w:val="21"/>
              </w:rPr>
              <w:t>Mb≥1.5m;简单防渗区：除重点防渗区、一般防渗区以外的</w:t>
            </w:r>
            <w:r>
              <w:rPr>
                <w:sz w:val="21"/>
                <w:szCs w:val="21"/>
                <w:spacing w:val="-1"/>
              </w:rPr>
              <w:t>其他区</w:t>
            </w:r>
            <w:r>
              <w:rPr>
                <w:sz w:val="21"/>
                <w:szCs w:val="21"/>
              </w:rPr>
              <w:t xml:space="preserve"> </w:t>
            </w:r>
            <w:r>
              <w:rPr>
                <w:sz w:val="21"/>
                <w:szCs w:val="21"/>
                <w:spacing w:val="-1"/>
              </w:rPr>
              <w:t>域，一般地面硬化。</w:t>
            </w:r>
          </w:p>
        </w:tc>
        <w:tc>
          <w:tcPr>
            <w:tcW w:w="924" w:type="dxa"/>
            <w:vAlign w:val="top"/>
          </w:tcPr>
          <w:p>
            <w:pPr>
              <w:rPr>
                <w:rFonts w:ascii="Arial"/>
                <w:sz w:val="21"/>
              </w:rPr>
            </w:pPr>
            <w:r/>
          </w:p>
        </w:tc>
      </w:tr>
    </w:tbl>
    <w:p>
      <w:pPr>
        <w:ind w:left="118"/>
        <w:spacing w:before="62" w:line="219" w:lineRule="auto"/>
        <w:outlineLvl w:val="1"/>
        <w:rPr>
          <w:rFonts w:ascii="SimSun" w:hAnsi="SimSun" w:eastAsia="SimSun" w:cs="SimSun"/>
          <w:sz w:val="27"/>
          <w:szCs w:val="27"/>
        </w:rPr>
      </w:pPr>
      <w:bookmarkStart w:name="bookmark93" w:id="43"/>
      <w:bookmarkEnd w:id="43"/>
      <w:bookmarkStart w:name="bookmark23" w:id="44"/>
      <w:bookmarkEnd w:id="44"/>
      <w:r>
        <w:rPr>
          <w:rFonts w:ascii="SimSun" w:hAnsi="SimSun" w:eastAsia="SimSun" w:cs="SimSun"/>
          <w:sz w:val="27"/>
          <w:szCs w:val="27"/>
          <w:b/>
          <w:bCs/>
          <w:spacing w:val="-4"/>
        </w:rPr>
        <w:t>2.3现有工程生产工艺</w:t>
      </w:r>
    </w:p>
    <w:p>
      <w:pPr>
        <w:ind w:left="104" w:right="230" w:firstLine="470"/>
        <w:spacing w:before="224" w:line="354" w:lineRule="auto"/>
        <w:jc w:val="both"/>
        <w:rPr>
          <w:rFonts w:ascii="SimSun" w:hAnsi="SimSun" w:eastAsia="SimSun" w:cs="SimSun"/>
          <w:sz w:val="24"/>
          <w:szCs w:val="24"/>
        </w:rPr>
      </w:pPr>
      <w:r>
        <w:rPr>
          <w:rFonts w:ascii="SimSun" w:hAnsi="SimSun" w:eastAsia="SimSun" w:cs="SimSun"/>
          <w:sz w:val="24"/>
          <w:szCs w:val="24"/>
        </w:rPr>
        <w:t>现有工程仅进行生猪的宰杀及分割，不涉及</w:t>
      </w:r>
      <w:r>
        <w:rPr>
          <w:rFonts w:ascii="SimSun" w:hAnsi="SimSun" w:eastAsia="SimSun" w:cs="SimSun"/>
          <w:sz w:val="24"/>
          <w:szCs w:val="24"/>
          <w:spacing w:val="-1"/>
        </w:rPr>
        <w:t>猪肉及副产品的深加工，收购</w:t>
      </w:r>
      <w:r>
        <w:rPr>
          <w:rFonts w:ascii="SimSun" w:hAnsi="SimSun" w:eastAsia="SimSun" w:cs="SimSun"/>
          <w:sz w:val="24"/>
          <w:szCs w:val="24"/>
        </w:rPr>
        <w:t xml:space="preserve"> </w:t>
      </w:r>
      <w:r>
        <w:rPr>
          <w:rFonts w:ascii="SimSun" w:hAnsi="SimSun" w:eastAsia="SimSun" w:cs="SimSun"/>
          <w:sz w:val="24"/>
          <w:szCs w:val="24"/>
          <w:spacing w:val="1"/>
        </w:rPr>
        <w:t>生猪时，对进厂生猪进行严格检查，通过索取检疫证、防疫注射证等确保猪只</w:t>
      </w:r>
      <w:r>
        <w:rPr>
          <w:rFonts w:ascii="SimSun" w:hAnsi="SimSun" w:eastAsia="SimSun" w:cs="SimSun"/>
          <w:sz w:val="24"/>
          <w:szCs w:val="24"/>
        </w:rPr>
        <w:t xml:space="preserve"> </w:t>
      </w:r>
      <w:r>
        <w:rPr>
          <w:rFonts w:ascii="SimSun" w:hAnsi="SimSun" w:eastAsia="SimSun" w:cs="SimSun"/>
          <w:sz w:val="24"/>
          <w:szCs w:val="24"/>
          <w:spacing w:val="-1"/>
        </w:rPr>
        <w:t>的健康安全，并持证核对生猪的品种及头数，情况相符并且猪只健康的才准入</w:t>
      </w:r>
      <w:r>
        <w:rPr>
          <w:rFonts w:ascii="SimSun" w:hAnsi="SimSun" w:eastAsia="SimSun" w:cs="SimSun"/>
          <w:sz w:val="24"/>
          <w:szCs w:val="24"/>
          <w:spacing w:val="3"/>
        </w:rPr>
        <w:t xml:space="preserve"> </w:t>
      </w:r>
      <w:r>
        <w:rPr>
          <w:rFonts w:ascii="SimSun" w:hAnsi="SimSun" w:eastAsia="SimSun" w:cs="SimSun"/>
          <w:sz w:val="24"/>
          <w:szCs w:val="24"/>
        </w:rPr>
        <w:t>厂，情况不符和怀疑猪只感染疫情的，不准入</w:t>
      </w:r>
      <w:r>
        <w:rPr>
          <w:rFonts w:ascii="SimSun" w:hAnsi="SimSun" w:eastAsia="SimSun" w:cs="SimSun"/>
          <w:sz w:val="24"/>
          <w:szCs w:val="24"/>
          <w:spacing w:val="-1"/>
        </w:rPr>
        <w:t>厂。厂区制定严格的生猪进厂制</w:t>
      </w:r>
      <w:r>
        <w:rPr>
          <w:rFonts w:ascii="SimSun" w:hAnsi="SimSun" w:eastAsia="SimSun" w:cs="SimSun"/>
          <w:sz w:val="24"/>
          <w:szCs w:val="24"/>
        </w:rPr>
        <w:t xml:space="preserve"> </w:t>
      </w:r>
      <w:r>
        <w:rPr>
          <w:rFonts w:ascii="SimSun" w:hAnsi="SimSun" w:eastAsia="SimSun" w:cs="SimSun"/>
          <w:sz w:val="24"/>
          <w:szCs w:val="24"/>
          <w:spacing w:val="-3"/>
        </w:rPr>
        <w:t>度，确保运营期厂区内不会出现病猪。</w:t>
      </w:r>
    </w:p>
    <w:p>
      <w:pPr>
        <w:ind w:left="578"/>
        <w:spacing w:before="23" w:line="219" w:lineRule="auto"/>
        <w:rPr>
          <w:rFonts w:ascii="SimSun" w:hAnsi="SimSun" w:eastAsia="SimSun" w:cs="SimSun"/>
          <w:sz w:val="24"/>
          <w:szCs w:val="24"/>
        </w:rPr>
      </w:pPr>
      <w:r>
        <w:rPr>
          <w:rFonts w:ascii="SimSun" w:hAnsi="SimSun" w:eastAsia="SimSun" w:cs="SimSun"/>
          <w:sz w:val="24"/>
          <w:szCs w:val="24"/>
          <w:b/>
          <w:bCs/>
          <w:spacing w:val="-4"/>
        </w:rPr>
        <w:t>1、生猪屠宰工艺流程及产污</w:t>
      </w:r>
    </w:p>
    <w:p>
      <w:pPr>
        <w:spacing w:before="42"/>
        <w:rPr/>
      </w:pPr>
      <w:r/>
    </w:p>
    <w:p>
      <w:pPr>
        <w:sectPr>
          <w:headerReference w:type="default" r:id="rId172"/>
          <w:footerReference w:type="default" r:id="rId173"/>
          <w:pgSz w:w="11910" w:h="16840"/>
          <w:pgMar w:top="1207" w:right="1705" w:bottom="983" w:left="1675" w:header="915" w:footer="736" w:gutter="0"/>
          <w:cols w:equalWidth="0" w:num="1">
            <w:col w:w="8530" w:space="0"/>
          </w:cols>
        </w:sectPr>
        <w:rPr/>
      </w:pPr>
    </w:p>
    <w:p>
      <w:pPr>
        <w:pStyle w:val="BodyText"/>
        <w:spacing w:line="255" w:lineRule="auto"/>
        <w:rPr/>
      </w:pPr>
      <w:r/>
    </w:p>
    <w:p>
      <w:pPr>
        <w:pStyle w:val="BodyText"/>
        <w:spacing w:line="255" w:lineRule="auto"/>
        <w:rPr/>
      </w:pPr>
      <w:r/>
    </w:p>
    <w:p>
      <w:pPr>
        <w:pStyle w:val="BodyText"/>
        <w:spacing w:line="256" w:lineRule="auto"/>
        <w:rPr/>
      </w:pPr>
      <w:r/>
    </w:p>
    <w:p>
      <w:pPr>
        <w:pStyle w:val="BodyText"/>
        <w:spacing w:line="256" w:lineRule="auto"/>
        <w:rPr/>
      </w:pPr>
      <w:r/>
    </w:p>
    <w:p>
      <w:pPr>
        <w:pStyle w:val="BodyText"/>
        <w:spacing w:line="256" w:lineRule="auto"/>
        <w:rPr/>
      </w:pPr>
      <w:r/>
    </w:p>
    <w:p>
      <w:pPr>
        <w:pStyle w:val="BodyText"/>
        <w:spacing w:line="256" w:lineRule="auto"/>
        <w:rPr/>
      </w:pPr>
      <w:r/>
    </w:p>
    <w:p>
      <w:pPr>
        <w:pStyle w:val="BodyText"/>
        <w:spacing w:line="256" w:lineRule="auto"/>
        <w:rPr/>
      </w:pPr>
      <w:r/>
    </w:p>
    <w:p>
      <w:pPr>
        <w:pStyle w:val="BodyText"/>
        <w:spacing w:line="256" w:lineRule="auto"/>
        <w:rPr/>
      </w:pPr>
      <w:r/>
    </w:p>
    <w:p>
      <w:pPr>
        <w:pStyle w:val="BodyText"/>
        <w:spacing w:line="256" w:lineRule="auto"/>
        <w:rPr/>
      </w:pPr>
      <w:r/>
    </w:p>
    <w:p>
      <w:pPr>
        <w:pStyle w:val="BodyText"/>
        <w:spacing w:line="256" w:lineRule="auto"/>
        <w:rPr/>
      </w:pPr>
      <w:r/>
    </w:p>
    <w:p>
      <w:pPr>
        <w:pStyle w:val="BodyText"/>
        <w:spacing w:line="256" w:lineRule="auto"/>
        <w:rPr/>
      </w:pPr>
      <w:r/>
    </w:p>
    <w:p>
      <w:pPr>
        <w:pStyle w:val="BodyText"/>
        <w:spacing w:line="256" w:lineRule="auto"/>
        <w:rPr/>
      </w:pPr>
      <w:r/>
    </w:p>
    <w:p>
      <w:pPr>
        <w:ind w:left="1844" w:right="319" w:hanging="80"/>
        <w:spacing w:before="53" w:line="214" w:lineRule="auto"/>
        <w:rPr>
          <w:rFonts w:ascii="SimHei" w:hAnsi="SimHei" w:eastAsia="SimHei" w:cs="SimHei"/>
          <w:sz w:val="16"/>
          <w:szCs w:val="16"/>
        </w:rPr>
      </w:pPr>
      <w:r>
        <w:rPr>
          <w:rFonts w:ascii="SimSun" w:hAnsi="SimSun" w:eastAsia="SimSun" w:cs="SimSun"/>
          <w:sz w:val="16"/>
          <w:szCs w:val="16"/>
          <w:spacing w:val="-4"/>
        </w:rPr>
        <w:t>副产品</w:t>
      </w:r>
      <w:r>
        <w:rPr>
          <w:rFonts w:ascii="SimSun" w:hAnsi="SimSun" w:eastAsia="SimSun" w:cs="SimSun"/>
          <w:sz w:val="16"/>
          <w:szCs w:val="16"/>
          <w:spacing w:val="1"/>
        </w:rPr>
        <w:t xml:space="preserve"> </w:t>
      </w:r>
      <w:r>
        <w:rPr>
          <w:rFonts w:ascii="SimHei" w:hAnsi="SimHei" w:eastAsia="SimHei" w:cs="SimHei"/>
          <w:sz w:val="16"/>
          <w:szCs w:val="16"/>
          <w:spacing w:val="-2"/>
        </w:rPr>
        <w:t>外售</w:t>
      </w:r>
    </w:p>
    <w:p>
      <w:pPr>
        <w:pStyle w:val="BodyText"/>
        <w:spacing w:line="283" w:lineRule="auto"/>
        <w:rPr/>
      </w:pPr>
      <w:r/>
    </w:p>
    <w:p>
      <w:pPr>
        <w:ind w:left="1844"/>
        <w:spacing w:before="53" w:line="222" w:lineRule="auto"/>
        <w:rPr>
          <w:rFonts w:ascii="SimHei" w:hAnsi="SimHei" w:eastAsia="SimHei" w:cs="SimHei"/>
          <w:sz w:val="16"/>
          <w:szCs w:val="16"/>
        </w:rPr>
      </w:pPr>
      <w:r>
        <w:rPr>
          <w:rFonts w:ascii="SimHei" w:hAnsi="SimHei" w:eastAsia="SimHei" w:cs="SimHei"/>
          <w:sz w:val="16"/>
          <w:szCs w:val="16"/>
          <w:spacing w:val="-2"/>
        </w:rPr>
        <w:t>外售</w:t>
      </w:r>
    </w:p>
    <w:p>
      <w:pPr>
        <w:pStyle w:val="BodyText"/>
        <w:spacing w:line="317" w:lineRule="auto"/>
        <w:rPr/>
      </w:pPr>
      <w:r/>
    </w:p>
    <w:p>
      <w:pPr>
        <w:pStyle w:val="BodyText"/>
        <w:spacing w:line="317" w:lineRule="auto"/>
        <w:rPr/>
      </w:pPr>
      <w:r/>
    </w:p>
    <w:p>
      <w:pPr>
        <w:pStyle w:val="BodyText"/>
        <w:spacing w:line="317" w:lineRule="auto"/>
        <w:rPr/>
      </w:pPr>
      <w:r/>
    </w:p>
    <w:p>
      <w:pPr>
        <w:ind w:left="1844" w:right="319" w:hanging="80"/>
        <w:spacing w:before="52" w:line="208" w:lineRule="auto"/>
        <w:rPr>
          <w:rFonts w:ascii="SimSun" w:hAnsi="SimSun" w:eastAsia="SimSun" w:cs="SimSun"/>
          <w:sz w:val="16"/>
          <w:szCs w:val="16"/>
        </w:rPr>
      </w:pPr>
      <w:r>
        <w:rPr>
          <w:rFonts w:ascii="SimSun" w:hAnsi="SimSun" w:eastAsia="SimSun" w:cs="SimSun"/>
          <w:sz w:val="16"/>
          <w:szCs w:val="16"/>
          <w:spacing w:val="-4"/>
        </w:rPr>
        <w:t>副产品</w:t>
      </w:r>
      <w:r>
        <w:rPr>
          <w:rFonts w:ascii="SimSun" w:hAnsi="SimSun" w:eastAsia="SimSun" w:cs="SimSun"/>
          <w:sz w:val="16"/>
          <w:szCs w:val="16"/>
          <w:spacing w:val="1"/>
        </w:rPr>
        <w:t xml:space="preserve"> </w:t>
      </w:r>
      <w:r>
        <w:rPr>
          <w:rFonts w:ascii="SimSun" w:hAnsi="SimSun" w:eastAsia="SimSun" w:cs="SimSun"/>
          <w:sz w:val="16"/>
          <w:szCs w:val="16"/>
          <w:spacing w:val="-3"/>
        </w:rPr>
        <w:t>外售</w:t>
      </w:r>
    </w:p>
    <w:p>
      <w:pPr>
        <w:spacing w:before="7"/>
        <w:rPr/>
      </w:pPr>
      <w:r/>
    </w:p>
    <w:p>
      <w:pPr>
        <w:spacing w:before="7"/>
        <w:rPr/>
      </w:pPr>
      <w:r/>
    </w:p>
    <w:p>
      <w:pPr>
        <w:spacing w:before="7"/>
        <w:rPr/>
      </w:pPr>
      <w:r/>
    </w:p>
    <w:p>
      <w:pPr>
        <w:spacing w:before="7"/>
        <w:rPr/>
      </w:pPr>
      <w:r/>
    </w:p>
    <w:p>
      <w:pPr>
        <w:spacing w:before="7"/>
        <w:rPr/>
      </w:pPr>
      <w:r/>
    </w:p>
    <w:p>
      <w:pPr>
        <w:spacing w:before="7"/>
        <w:rPr/>
      </w:pPr>
      <w:r/>
    </w:p>
    <w:p>
      <w:pPr>
        <w:spacing w:before="6"/>
        <w:rPr/>
      </w:pPr>
      <w:r/>
    </w:p>
    <w:p>
      <w:pPr>
        <w:spacing w:before="6"/>
        <w:rPr/>
      </w:pPr>
      <w:r/>
    </w:p>
    <w:p>
      <w:pPr>
        <w:spacing w:before="6"/>
        <w:rPr/>
      </w:pPr>
      <w:r/>
    </w:p>
    <w:p>
      <w:pPr>
        <w:spacing w:before="6"/>
        <w:rPr/>
      </w:pPr>
      <w:r/>
    </w:p>
    <w:p>
      <w:pPr>
        <w:pStyle w:val="BodyText"/>
        <w:spacing w:line="14" w:lineRule="auto"/>
        <w:rPr>
          <w:sz w:val="2"/>
        </w:rPr>
      </w:pPr>
      <w:r>
        <w:rPr>
          <w:sz w:val="2"/>
          <w:szCs w:val="2"/>
        </w:rPr>
        <w:br w:type="column"/>
      </w:r>
    </w:p>
    <w:p>
      <w:pPr>
        <w:pStyle w:val="BodyText"/>
        <w:spacing w:line="307" w:lineRule="auto"/>
        <w:rPr/>
      </w:pPr>
      <w:r/>
    </w:p>
    <w:p>
      <w:pPr>
        <w:pStyle w:val="BodyText"/>
        <w:spacing w:line="307" w:lineRule="auto"/>
        <w:rPr/>
      </w:pPr>
      <w:r/>
    </w:p>
    <w:p>
      <w:pPr>
        <w:spacing w:before="53" w:line="220" w:lineRule="auto"/>
        <w:rPr>
          <w:rFonts w:ascii="SimSun" w:hAnsi="SimSun" w:eastAsia="SimSun" w:cs="SimSun"/>
          <w:sz w:val="16"/>
          <w:szCs w:val="16"/>
        </w:rPr>
      </w:pPr>
      <w:r>
        <w:rPr>
          <w:rFonts w:ascii="SimSun" w:hAnsi="SimSun" w:eastAsia="SimSun" w:cs="SimSun"/>
          <w:sz w:val="16"/>
          <w:szCs w:val="16"/>
          <w:spacing w:val="-2"/>
        </w:rPr>
        <w:t>退回商户</w:t>
      </w:r>
    </w:p>
    <w:p>
      <w:pPr>
        <w:pStyle w:val="BodyText"/>
        <w:spacing w:line="382" w:lineRule="auto"/>
        <w:rPr/>
      </w:pPr>
      <w:r/>
    </w:p>
    <w:p>
      <w:pPr>
        <w:ind w:left="139"/>
        <w:spacing w:before="52" w:line="222" w:lineRule="auto"/>
        <w:rPr>
          <w:rFonts w:ascii="FangSong" w:hAnsi="FangSong" w:eastAsia="FangSong" w:cs="FangSong"/>
          <w:sz w:val="16"/>
          <w:szCs w:val="16"/>
        </w:rPr>
      </w:pPr>
      <w:r>
        <w:rPr>
          <w:rFonts w:ascii="FangSong" w:hAnsi="FangSong" w:eastAsia="FangSong" w:cs="FangSong"/>
          <w:sz w:val="16"/>
          <w:szCs w:val="16"/>
          <w:spacing w:val="7"/>
        </w:rPr>
        <w:t>猪粪</w:t>
      </w:r>
    </w:p>
    <w:p>
      <w:pPr>
        <w:pStyle w:val="BodyText"/>
        <w:spacing w:line="276" w:lineRule="auto"/>
        <w:rPr/>
      </w:pPr>
      <w:r/>
    </w:p>
    <w:p>
      <w:pPr>
        <w:pStyle w:val="BodyText"/>
        <w:spacing w:line="276" w:lineRule="auto"/>
        <w:rPr/>
      </w:pPr>
      <w:r/>
    </w:p>
    <w:p>
      <w:pPr>
        <w:pStyle w:val="BodyText"/>
        <w:spacing w:line="276" w:lineRule="auto"/>
        <w:rPr/>
      </w:pPr>
      <w:r/>
    </w:p>
    <w:p>
      <w:pPr>
        <w:pStyle w:val="BodyText"/>
        <w:spacing w:line="276" w:lineRule="auto"/>
        <w:rPr/>
      </w:pPr>
      <w:r/>
    </w:p>
    <w:p>
      <w:pPr>
        <w:pStyle w:val="BodyText"/>
        <w:spacing w:line="277" w:lineRule="auto"/>
        <w:rPr/>
      </w:pPr>
      <w:r/>
    </w:p>
    <w:p>
      <w:pPr>
        <w:pStyle w:val="BodyText"/>
        <w:spacing w:line="277" w:lineRule="auto"/>
        <w:rPr/>
      </w:pPr>
      <w:r/>
    </w:p>
    <w:p>
      <w:pPr>
        <w:ind w:left="249"/>
        <w:spacing w:before="52" w:line="220" w:lineRule="auto"/>
        <w:rPr>
          <w:rFonts w:ascii="SimSun" w:hAnsi="SimSun" w:eastAsia="SimSun" w:cs="SimSun"/>
          <w:sz w:val="16"/>
          <w:szCs w:val="16"/>
        </w:rPr>
      </w:pPr>
      <w:r>
        <w:rPr>
          <w:rFonts w:ascii="SimSun" w:hAnsi="SimSun" w:eastAsia="SimSun" w:cs="SimSun"/>
          <w:sz w:val="16"/>
          <w:szCs w:val="16"/>
          <w:spacing w:val="-2"/>
        </w:rPr>
        <w:t>猪血</w:t>
      </w:r>
    </w:p>
    <w:p>
      <w:pPr>
        <w:pStyle w:val="BodyText"/>
        <w:spacing w:line="394" w:lineRule="auto"/>
        <w:rPr/>
      </w:pPr>
      <w:r/>
    </w:p>
    <w:p>
      <w:pPr>
        <w:ind w:left="249"/>
        <w:spacing w:before="53" w:line="220" w:lineRule="auto"/>
        <w:rPr>
          <w:rFonts w:ascii="SimSun" w:hAnsi="SimSun" w:eastAsia="SimSun" w:cs="SimSun"/>
          <w:sz w:val="16"/>
          <w:szCs w:val="16"/>
        </w:rPr>
      </w:pPr>
      <w:r>
        <w:rPr>
          <w:rFonts w:ascii="SimSun" w:hAnsi="SimSun" w:eastAsia="SimSun" w:cs="SimSun"/>
          <w:sz w:val="16"/>
          <w:szCs w:val="16"/>
          <w:spacing w:val="-2"/>
        </w:rPr>
        <w:t>猪毛</w:t>
      </w:r>
    </w:p>
    <w:p>
      <w:pPr>
        <w:pStyle w:val="BodyText"/>
        <w:spacing w:line="259" w:lineRule="auto"/>
        <w:rPr/>
      </w:pPr>
      <w:r/>
    </w:p>
    <w:p>
      <w:pPr>
        <w:pStyle w:val="BodyText"/>
        <w:spacing w:line="259" w:lineRule="auto"/>
        <w:rPr/>
      </w:pPr>
      <w:r/>
    </w:p>
    <w:p>
      <w:pPr>
        <w:pStyle w:val="BodyText"/>
        <w:spacing w:line="260" w:lineRule="auto"/>
        <w:rPr/>
      </w:pPr>
      <w:r/>
    </w:p>
    <w:p>
      <w:pPr>
        <w:pStyle w:val="BodyText"/>
        <w:spacing w:line="260" w:lineRule="auto"/>
        <w:rPr/>
      </w:pPr>
      <w:r/>
    </w:p>
    <w:p>
      <w:pPr>
        <w:ind w:left="249"/>
        <w:spacing w:before="52" w:line="220" w:lineRule="auto"/>
        <w:rPr>
          <w:rFonts w:ascii="SimHei" w:hAnsi="SimHei" w:eastAsia="SimHei" w:cs="SimHei"/>
          <w:sz w:val="16"/>
          <w:szCs w:val="16"/>
        </w:rPr>
      </w:pPr>
      <w:r>
        <w:rPr>
          <w:rFonts w:ascii="SimHei" w:hAnsi="SimHei" w:eastAsia="SimHei" w:cs="SimHei"/>
          <w:sz w:val="16"/>
          <w:szCs w:val="16"/>
          <w:spacing w:val="-5"/>
        </w:rPr>
        <w:t>内脏</w:t>
      </w:r>
    </w:p>
    <w:p>
      <w:pPr>
        <w:pStyle w:val="BodyText"/>
        <w:spacing w:line="14" w:lineRule="auto"/>
        <w:rPr>
          <w:sz w:val="2"/>
        </w:rPr>
      </w:pPr>
      <w:r>
        <w:rPr>
          <w:sz w:val="2"/>
          <w:szCs w:val="2"/>
        </w:rPr>
        <w:br w:type="column"/>
      </w:r>
    </w:p>
    <w:p>
      <w:pPr>
        <w:ind w:left="700"/>
        <w:spacing w:before="30" w:line="220" w:lineRule="auto"/>
        <w:rPr>
          <w:rFonts w:ascii="SimSun" w:hAnsi="SimSun" w:eastAsia="SimSun" w:cs="SimSun"/>
          <w:sz w:val="16"/>
          <w:szCs w:val="16"/>
        </w:rPr>
      </w:pPr>
      <w:r>
        <w:rPr>
          <w:rFonts w:ascii="SimSun" w:hAnsi="SimSun" w:eastAsia="SimSun" w:cs="SimSun"/>
          <w:sz w:val="16"/>
          <w:szCs w:val="16"/>
          <w:spacing w:val="-2"/>
        </w:rPr>
        <w:t>生猪</w:t>
      </w:r>
    </w:p>
    <w:p>
      <w:pPr>
        <w:pStyle w:val="BodyText"/>
        <w:spacing w:line="354" w:lineRule="auto"/>
        <w:rPr/>
      </w:pPr>
      <w:r/>
    </w:p>
    <w:p>
      <w:pPr>
        <w:spacing w:before="53" w:line="232" w:lineRule="auto"/>
        <w:rPr>
          <w:rFonts w:ascii="SimHei" w:hAnsi="SimHei" w:eastAsia="SimHei" w:cs="SimHei"/>
          <w:sz w:val="16"/>
          <w:szCs w:val="16"/>
        </w:rPr>
      </w:pPr>
      <w:r>
        <w:rPr>
          <w:rFonts w:ascii="SimHei" w:hAnsi="SimHei" w:eastAsia="SimHei" w:cs="SimHei"/>
          <w:sz w:val="16"/>
          <w:szCs w:val="16"/>
          <w:spacing w:val="-2"/>
          <w:position w:val="2"/>
        </w:rPr>
        <w:t>不合格</w:t>
      </w:r>
      <w:r>
        <w:rPr>
          <w:rFonts w:ascii="SimHei" w:hAnsi="SimHei" w:eastAsia="SimHei" w:cs="SimHei"/>
          <w:sz w:val="16"/>
          <w:szCs w:val="16"/>
          <w:spacing w:val="-2"/>
          <w:position w:val="2"/>
        </w:rPr>
        <w:t xml:space="preserve"> </w:t>
      </w:r>
      <w:r>
        <w:rPr>
          <w:rFonts w:ascii="SimHei" w:hAnsi="SimHei" w:eastAsia="SimHei" w:cs="SimHei"/>
          <w:sz w:val="16"/>
          <w:szCs w:val="16"/>
          <w:spacing w:val="-2"/>
          <w:position w:val="-1"/>
        </w:rPr>
        <w:t>进厂检疫</w:t>
      </w:r>
    </w:p>
    <w:p>
      <w:pPr>
        <w:ind w:left="480" w:right="246" w:firstLine="489"/>
        <w:spacing w:before="129" w:line="239" w:lineRule="auto"/>
        <w:jc w:val="both"/>
        <w:rPr>
          <w:rFonts w:ascii="SimSun" w:hAnsi="SimSun" w:eastAsia="SimSun" w:cs="SimSun"/>
          <w:sz w:val="16"/>
          <w:szCs w:val="16"/>
        </w:rPr>
      </w:pPr>
      <w:r>
        <w:rPr>
          <w:rFonts w:ascii="SimHei" w:hAnsi="SimHei" w:eastAsia="SimHei" w:cs="SimHei"/>
          <w:sz w:val="16"/>
          <w:szCs w:val="16"/>
          <w:spacing w:val="-4"/>
        </w:rPr>
        <w:t>合格</w:t>
      </w:r>
      <w:r>
        <w:rPr>
          <w:rFonts w:ascii="SimHei" w:hAnsi="SimHei" w:eastAsia="SimHei" w:cs="SimHei"/>
          <w:sz w:val="16"/>
          <w:szCs w:val="16"/>
        </w:rPr>
        <w:t xml:space="preserve"> </w:t>
      </w:r>
      <w:r>
        <w:rPr>
          <w:rFonts w:ascii="SimSun" w:hAnsi="SimSun" w:eastAsia="SimSun" w:cs="SimSun"/>
          <w:sz w:val="16"/>
          <w:szCs w:val="16"/>
          <w:spacing w:val="10"/>
        </w:rPr>
        <w:t>待宰间(宰</w:t>
      </w:r>
      <w:r>
        <w:rPr>
          <w:rFonts w:ascii="SimSun" w:hAnsi="SimSun" w:eastAsia="SimSun" w:cs="SimSun"/>
          <w:sz w:val="16"/>
          <w:szCs w:val="16"/>
          <w:spacing w:val="1"/>
        </w:rPr>
        <w:t xml:space="preserve"> </w:t>
      </w:r>
      <w:r>
        <w:rPr>
          <w:rFonts w:ascii="SimSun" w:hAnsi="SimSun" w:eastAsia="SimSun" w:cs="SimSun"/>
          <w:sz w:val="16"/>
          <w:szCs w:val="16"/>
          <w:spacing w:val="21"/>
        </w:rPr>
        <w:t>前处理)</w:t>
      </w:r>
    </w:p>
    <w:p>
      <w:pPr>
        <w:pStyle w:val="BodyText"/>
        <w:spacing w:line="284" w:lineRule="auto"/>
        <w:rPr/>
      </w:pPr>
      <w:r/>
    </w:p>
    <w:p>
      <w:pPr>
        <w:ind w:left="700"/>
        <w:spacing w:before="53" w:line="223" w:lineRule="auto"/>
        <w:rPr>
          <w:rFonts w:ascii="SimHei" w:hAnsi="SimHei" w:eastAsia="SimHei" w:cs="SimHei"/>
          <w:sz w:val="16"/>
          <w:szCs w:val="16"/>
        </w:rPr>
      </w:pPr>
      <w:r>
        <w:rPr>
          <w:rFonts w:ascii="SimHei" w:hAnsi="SimHei" w:eastAsia="SimHei" w:cs="SimHei"/>
          <w:sz w:val="16"/>
          <w:szCs w:val="16"/>
          <w:spacing w:val="-2"/>
        </w:rPr>
        <w:t>冲淋</w:t>
      </w:r>
    </w:p>
    <w:p>
      <w:pPr>
        <w:pStyle w:val="BodyText"/>
        <w:spacing w:line="372" w:lineRule="auto"/>
        <w:rPr/>
      </w:pPr>
      <w:r/>
    </w:p>
    <w:p>
      <w:pPr>
        <w:ind w:left="700"/>
        <w:spacing w:before="53" w:line="223" w:lineRule="auto"/>
        <w:rPr>
          <w:rFonts w:ascii="SimHei" w:hAnsi="SimHei" w:eastAsia="SimHei" w:cs="SimHei"/>
          <w:sz w:val="16"/>
          <w:szCs w:val="16"/>
        </w:rPr>
      </w:pPr>
      <w:r>
        <w:rPr>
          <w:rFonts w:ascii="SimHei" w:hAnsi="SimHei" w:eastAsia="SimHei" w:cs="SimHei"/>
          <w:sz w:val="16"/>
          <w:szCs w:val="16"/>
          <w:spacing w:val="-2"/>
        </w:rPr>
        <w:t>麻电</w:t>
      </w:r>
    </w:p>
    <w:p>
      <w:pPr>
        <w:pStyle w:val="BodyText"/>
        <w:spacing w:line="391" w:lineRule="auto"/>
        <w:rPr/>
      </w:pPr>
      <w:r/>
    </w:p>
    <w:p>
      <w:pPr>
        <w:ind w:left="550"/>
        <w:spacing w:before="53" w:line="219" w:lineRule="auto"/>
        <w:rPr>
          <w:rFonts w:ascii="SimSun" w:hAnsi="SimSun" w:eastAsia="SimSun" w:cs="SimSun"/>
          <w:sz w:val="16"/>
          <w:szCs w:val="16"/>
        </w:rPr>
      </w:pPr>
      <w:r>
        <w:rPr>
          <w:rFonts w:ascii="SimSun" w:hAnsi="SimSun" w:eastAsia="SimSun" w:cs="SimSun"/>
          <w:sz w:val="16"/>
          <w:szCs w:val="16"/>
          <w:spacing w:val="-2"/>
        </w:rPr>
        <w:t>刺杀放血</w:t>
      </w:r>
    </w:p>
    <w:p>
      <w:pPr>
        <w:pStyle w:val="BodyText"/>
        <w:spacing w:line="400" w:lineRule="auto"/>
        <w:rPr/>
      </w:pPr>
      <w:r/>
    </w:p>
    <w:p>
      <w:pPr>
        <w:ind w:left="550"/>
        <w:spacing w:before="52" w:line="232" w:lineRule="auto"/>
        <w:rPr>
          <w:rFonts w:ascii="KaiTi" w:hAnsi="KaiTi" w:eastAsia="KaiTi" w:cs="KaiTi"/>
          <w:sz w:val="16"/>
          <w:szCs w:val="16"/>
        </w:rPr>
      </w:pPr>
      <w:r>
        <w:rPr>
          <w:rFonts w:ascii="KaiTi" w:hAnsi="KaiTi" w:eastAsia="KaiTi" w:cs="KaiTi"/>
          <w:sz w:val="16"/>
          <w:szCs w:val="16"/>
          <w:spacing w:val="-4"/>
        </w:rPr>
        <w:t>烫毛脱毛</w:t>
      </w:r>
    </w:p>
    <w:p>
      <w:pPr>
        <w:pStyle w:val="BodyText"/>
        <w:spacing w:line="380" w:lineRule="auto"/>
        <w:rPr/>
      </w:pPr>
      <w:r/>
    </w:p>
    <w:p>
      <w:pPr>
        <w:ind w:left="700"/>
        <w:spacing w:before="52" w:line="223" w:lineRule="auto"/>
        <w:rPr>
          <w:rFonts w:ascii="SimHei" w:hAnsi="SimHei" w:eastAsia="SimHei" w:cs="SimHei"/>
          <w:sz w:val="16"/>
          <w:szCs w:val="16"/>
        </w:rPr>
      </w:pPr>
      <w:r>
        <w:rPr>
          <w:rFonts w:ascii="SimHei" w:hAnsi="SimHei" w:eastAsia="SimHei" w:cs="SimHei"/>
          <w:sz w:val="16"/>
          <w:szCs w:val="16"/>
          <w:spacing w:val="-3"/>
        </w:rPr>
        <w:t>清洗</w:t>
      </w:r>
    </w:p>
    <w:p>
      <w:pPr>
        <w:pStyle w:val="BodyText"/>
        <w:spacing w:line="401" w:lineRule="auto"/>
        <w:rPr/>
      </w:pPr>
      <w:r/>
    </w:p>
    <w:p>
      <w:pPr>
        <w:ind w:left="550"/>
        <w:spacing w:before="53" w:line="219" w:lineRule="auto"/>
        <w:rPr>
          <w:rFonts w:ascii="SimSun" w:hAnsi="SimSun" w:eastAsia="SimSun" w:cs="SimSun"/>
          <w:sz w:val="16"/>
          <w:szCs w:val="16"/>
        </w:rPr>
      </w:pPr>
      <w:r>
        <w:rPr>
          <w:rFonts w:ascii="SimSun" w:hAnsi="SimSun" w:eastAsia="SimSun" w:cs="SimSun"/>
          <w:sz w:val="16"/>
          <w:szCs w:val="16"/>
          <w:spacing w:val="-2"/>
        </w:rPr>
        <w:t>开膛去脏</w:t>
      </w:r>
    </w:p>
    <w:p>
      <w:pPr>
        <w:pStyle w:val="BodyText"/>
        <w:spacing w:line="394" w:lineRule="auto"/>
        <w:rPr/>
      </w:pPr>
      <w:r/>
    </w:p>
    <w:p>
      <w:pPr>
        <w:ind w:left="550"/>
        <w:spacing w:before="52" w:line="218" w:lineRule="auto"/>
        <w:rPr>
          <w:rFonts w:ascii="SimSun" w:hAnsi="SimSun" w:eastAsia="SimSun" w:cs="SimSun"/>
          <w:sz w:val="16"/>
          <w:szCs w:val="16"/>
        </w:rPr>
      </w:pPr>
      <w:r>
        <w:rPr>
          <w:rFonts w:ascii="SimSun" w:hAnsi="SimSun" w:eastAsia="SimSun" w:cs="SimSun"/>
          <w:sz w:val="16"/>
          <w:szCs w:val="16"/>
          <w:spacing w:val="-2"/>
        </w:rPr>
        <w:t>劈半冲淋</w:t>
      </w:r>
    </w:p>
    <w:p>
      <w:pPr>
        <w:pStyle w:val="BodyText"/>
        <w:spacing w:line="397" w:lineRule="auto"/>
        <w:rPr/>
      </w:pPr>
      <w:r/>
    </w:p>
    <w:p>
      <w:pPr>
        <w:ind w:left="700"/>
        <w:spacing w:before="53" w:line="222" w:lineRule="auto"/>
        <w:rPr>
          <w:rFonts w:ascii="FangSong" w:hAnsi="FangSong" w:eastAsia="FangSong" w:cs="FangSong"/>
          <w:sz w:val="16"/>
          <w:szCs w:val="16"/>
        </w:rPr>
      </w:pPr>
      <w:r>
        <w:rPr>
          <w:rFonts w:ascii="FangSong" w:hAnsi="FangSong" w:eastAsia="FangSong" w:cs="FangSong"/>
          <w:sz w:val="16"/>
          <w:szCs w:val="16"/>
          <w:spacing w:val="5"/>
        </w:rPr>
        <w:t>修整</w:t>
      </w:r>
    </w:p>
    <w:p>
      <w:pPr>
        <w:pStyle w:val="BodyText"/>
        <w:spacing w:line="393" w:lineRule="auto"/>
        <w:rPr/>
      </w:pPr>
      <w:r/>
    </w:p>
    <w:p>
      <w:pPr>
        <w:ind w:left="700"/>
        <w:spacing w:before="52" w:line="219" w:lineRule="auto"/>
        <w:rPr>
          <w:rFonts w:ascii="SimSun" w:hAnsi="SimSun" w:eastAsia="SimSun" w:cs="SimSun"/>
          <w:sz w:val="16"/>
          <w:szCs w:val="16"/>
        </w:rPr>
      </w:pPr>
      <w:r>
        <w:rPr>
          <w:rFonts w:ascii="SimSun" w:hAnsi="SimSun" w:eastAsia="SimSun" w:cs="SimSun"/>
          <w:sz w:val="16"/>
          <w:szCs w:val="16"/>
          <w:spacing w:val="-2"/>
        </w:rPr>
        <w:t>盖章</w:t>
      </w:r>
    </w:p>
    <w:p>
      <w:pPr>
        <w:pStyle w:val="BodyText"/>
        <w:spacing w:line="396" w:lineRule="auto"/>
        <w:rPr/>
      </w:pPr>
      <w:r/>
    </w:p>
    <w:p>
      <w:pPr>
        <w:ind w:left="550"/>
        <w:spacing w:before="53" w:line="219" w:lineRule="auto"/>
        <w:rPr>
          <w:rFonts w:ascii="SimSun" w:hAnsi="SimSun" w:eastAsia="SimSun" w:cs="SimSun"/>
          <w:sz w:val="16"/>
          <w:szCs w:val="16"/>
        </w:rPr>
      </w:pPr>
      <w:r>
        <w:rPr>
          <w:rFonts w:ascii="SimSun" w:hAnsi="SimSun" w:eastAsia="SimSun" w:cs="SimSun"/>
          <w:sz w:val="16"/>
          <w:szCs w:val="16"/>
          <w:spacing w:val="-2"/>
        </w:rPr>
        <w:t>称量上市</w:t>
      </w:r>
    </w:p>
    <w:p>
      <w:pPr>
        <w:pStyle w:val="BodyText"/>
        <w:spacing w:line="14" w:lineRule="auto"/>
        <w:rPr>
          <w:sz w:val="2"/>
        </w:rPr>
      </w:pPr>
      <w:r>
        <w:rPr>
          <w:sz w:val="2"/>
          <w:szCs w:val="2"/>
        </w:rPr>
        <w:br w:type="column"/>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ind w:left="130"/>
        <w:spacing w:before="52" w:line="219" w:lineRule="auto"/>
        <w:rPr>
          <w:rFonts w:ascii="SimSun" w:hAnsi="SimSun" w:eastAsia="SimSun" w:cs="SimSun"/>
          <w:sz w:val="16"/>
          <w:szCs w:val="16"/>
        </w:rPr>
      </w:pPr>
      <w:r>
        <w:rPr>
          <w:rFonts w:ascii="SimSun" w:hAnsi="SimSun" w:eastAsia="SimSun" w:cs="SimSun"/>
          <w:sz w:val="16"/>
          <w:szCs w:val="16"/>
          <w:spacing w:val="-6"/>
        </w:rPr>
        <w:t>废水、噪声、废气</w:t>
      </w:r>
    </w:p>
    <w:p>
      <w:pPr>
        <w:pStyle w:val="BodyText"/>
        <w:spacing w:line="404" w:lineRule="auto"/>
        <w:rPr/>
      </w:pPr>
      <w:r/>
    </w:p>
    <w:p>
      <w:pPr>
        <w:ind w:left="259"/>
        <w:spacing w:before="53" w:line="222" w:lineRule="auto"/>
        <w:rPr>
          <w:rFonts w:ascii="SimHei" w:hAnsi="SimHei" w:eastAsia="SimHei" w:cs="SimHei"/>
          <w:sz w:val="16"/>
          <w:szCs w:val="16"/>
        </w:rPr>
      </w:pPr>
      <w:r>
        <w:rPr>
          <w:rFonts w:ascii="SimHei" w:hAnsi="SimHei" w:eastAsia="SimHei" w:cs="SimHei"/>
          <w:sz w:val="16"/>
          <w:szCs w:val="16"/>
          <w:spacing w:val="-2"/>
        </w:rPr>
        <w:t>废水</w:t>
      </w:r>
    </w:p>
    <w:p>
      <w:pPr>
        <w:pStyle w:val="BodyText"/>
        <w:spacing w:line="274" w:lineRule="auto"/>
        <w:rPr/>
      </w:pPr>
      <w:r/>
    </w:p>
    <w:p>
      <w:pPr>
        <w:pStyle w:val="BodyText"/>
        <w:spacing w:line="274" w:lineRule="auto"/>
        <w:rPr/>
      </w:pPr>
      <w:r/>
    </w:p>
    <w:p>
      <w:pPr>
        <w:pStyle w:val="BodyText"/>
        <w:spacing w:line="274" w:lineRule="auto"/>
        <w:rPr/>
      </w:pPr>
      <w:r/>
    </w:p>
    <w:p>
      <w:pPr>
        <w:pStyle w:val="BodyText"/>
        <w:spacing w:line="274" w:lineRule="auto"/>
        <w:rPr/>
      </w:pPr>
      <w:r/>
    </w:p>
    <w:p>
      <w:pPr>
        <w:pStyle w:val="BodyText"/>
        <w:spacing w:line="275" w:lineRule="auto"/>
        <w:rPr/>
      </w:pPr>
      <w:r/>
    </w:p>
    <w:p>
      <w:pPr>
        <w:pStyle w:val="BodyText"/>
        <w:spacing w:line="275" w:lineRule="auto"/>
        <w:rPr/>
      </w:pPr>
      <w:r/>
    </w:p>
    <w:p>
      <w:pPr>
        <w:ind w:left="120"/>
        <w:spacing w:before="53" w:line="219" w:lineRule="auto"/>
        <w:rPr>
          <w:rFonts w:ascii="SimSun" w:hAnsi="SimSun" w:eastAsia="SimSun" w:cs="SimSun"/>
          <w:sz w:val="16"/>
          <w:szCs w:val="16"/>
        </w:rPr>
      </w:pPr>
      <w:r>
        <w:rPr>
          <w:rFonts w:ascii="SimSun" w:hAnsi="SimSun" w:eastAsia="SimSun" w:cs="SimSun"/>
          <w:sz w:val="16"/>
          <w:szCs w:val="16"/>
          <w:spacing w:val="-1"/>
        </w:rPr>
        <w:t>废水、固废</w:t>
      </w:r>
    </w:p>
    <w:p>
      <w:pPr>
        <w:pStyle w:val="BodyText"/>
        <w:spacing w:line="394" w:lineRule="auto"/>
        <w:rPr/>
      </w:pPr>
      <w:r/>
    </w:p>
    <w:p>
      <w:pPr>
        <w:ind w:left="259"/>
        <w:spacing w:before="52" w:line="222" w:lineRule="auto"/>
        <w:rPr>
          <w:rFonts w:ascii="SimHei" w:hAnsi="SimHei" w:eastAsia="SimHei" w:cs="SimHei"/>
          <w:sz w:val="16"/>
          <w:szCs w:val="16"/>
        </w:rPr>
      </w:pPr>
      <w:r>
        <w:rPr>
          <w:rFonts w:ascii="SimHei" w:hAnsi="SimHei" w:eastAsia="SimHei" w:cs="SimHei"/>
          <w:sz w:val="16"/>
          <w:szCs w:val="16"/>
          <w:spacing w:val="-2"/>
        </w:rPr>
        <w:t>废水</w:t>
      </w:r>
    </w:p>
    <w:p>
      <w:pPr>
        <w:pStyle w:val="BodyText"/>
        <w:spacing w:line="403" w:lineRule="auto"/>
        <w:rPr/>
      </w:pPr>
      <w:r/>
    </w:p>
    <w:p>
      <w:pPr>
        <w:ind w:left="259"/>
        <w:spacing w:before="52" w:line="222" w:lineRule="auto"/>
        <w:rPr>
          <w:rFonts w:ascii="SimHei" w:hAnsi="SimHei" w:eastAsia="SimHei" w:cs="SimHei"/>
          <w:sz w:val="16"/>
          <w:szCs w:val="16"/>
        </w:rPr>
      </w:pPr>
      <w:r>
        <w:rPr>
          <w:rFonts w:ascii="SimHei" w:hAnsi="SimHei" w:eastAsia="SimHei" w:cs="SimHei"/>
          <w:sz w:val="16"/>
          <w:szCs w:val="16"/>
          <w:spacing w:val="-4"/>
        </w:rPr>
        <w:t>固废</w:t>
      </w:r>
    </w:p>
    <w:p>
      <w:pPr>
        <w:pStyle w:val="BodyText"/>
        <w:spacing w:line="384" w:lineRule="auto"/>
        <w:rPr/>
      </w:pPr>
      <w:r/>
    </w:p>
    <w:p>
      <w:pPr>
        <w:spacing w:before="53" w:line="219" w:lineRule="auto"/>
        <w:rPr>
          <w:rFonts w:ascii="SimSun" w:hAnsi="SimSun" w:eastAsia="SimSun" w:cs="SimSun"/>
          <w:sz w:val="16"/>
          <w:szCs w:val="16"/>
        </w:rPr>
      </w:pPr>
      <w:r>
        <w:rPr>
          <w:rFonts w:ascii="SimSun" w:hAnsi="SimSun" w:eastAsia="SimSun" w:cs="SimSun"/>
          <w:sz w:val="16"/>
          <w:szCs w:val="16"/>
          <w:spacing w:val="-9"/>
        </w:rPr>
        <w:t>→废水、噪声、固废</w:t>
      </w:r>
    </w:p>
    <w:p>
      <w:pPr>
        <w:spacing w:line="219" w:lineRule="auto"/>
        <w:sectPr>
          <w:type w:val="continuous"/>
          <w:pgSz w:w="11910" w:h="16840"/>
          <w:pgMar w:top="1207" w:right="1705" w:bottom="983" w:left="1675" w:header="915" w:footer="736" w:gutter="0"/>
          <w:cols w:equalWidth="0" w:num="4">
            <w:col w:w="2555" w:space="100"/>
            <w:col w:w="720" w:space="9"/>
            <w:col w:w="1531" w:space="100"/>
            <w:col w:w="3515" w:space="0"/>
          </w:cols>
        </w:sectPr>
        <w:rPr>
          <w:rFonts w:ascii="SimSun" w:hAnsi="SimSun" w:eastAsia="SimSun" w:cs="SimSun"/>
          <w:sz w:val="16"/>
          <w:szCs w:val="16"/>
        </w:rPr>
      </w:pPr>
    </w:p>
    <w:p>
      <w:pPr>
        <w:ind w:left="2248"/>
        <w:spacing w:before="188" w:line="219" w:lineRule="auto"/>
        <w:rPr>
          <w:rFonts w:ascii="SimSun" w:hAnsi="SimSun" w:eastAsia="SimSun" w:cs="SimSun"/>
          <w:sz w:val="24"/>
          <w:szCs w:val="24"/>
        </w:rPr>
      </w:pPr>
      <w:r>
        <w:rPr>
          <w:rFonts w:ascii="SimSun" w:hAnsi="SimSun" w:eastAsia="SimSun" w:cs="SimSun"/>
          <w:sz w:val="24"/>
          <w:szCs w:val="24"/>
          <w:b/>
          <w:bCs/>
          <w:spacing w:val="-9"/>
        </w:rPr>
        <w:t>图2.3-1生猪屠宰工艺流程及产污分析图</w:t>
      </w:r>
    </w:p>
    <w:p>
      <w:pPr>
        <w:ind w:left="718"/>
        <w:spacing w:before="185" w:line="219" w:lineRule="auto"/>
        <w:rPr>
          <w:rFonts w:ascii="SimSun" w:hAnsi="SimSun" w:eastAsia="SimSun" w:cs="SimSun"/>
          <w:sz w:val="24"/>
          <w:szCs w:val="24"/>
        </w:rPr>
      </w:pPr>
      <w:r>
        <w:rPr>
          <w:rFonts w:ascii="SimSun" w:hAnsi="SimSun" w:eastAsia="SimSun" w:cs="SimSun"/>
          <w:sz w:val="24"/>
          <w:szCs w:val="24"/>
          <w:b/>
          <w:bCs/>
          <w:spacing w:val="15"/>
        </w:rPr>
        <w:t>(1)宰前工序</w:t>
      </w:r>
    </w:p>
    <w:p>
      <w:pPr>
        <w:ind w:left="575"/>
        <w:spacing w:before="196" w:line="217" w:lineRule="auto"/>
        <w:rPr>
          <w:rFonts w:ascii="SimSun" w:hAnsi="SimSun" w:eastAsia="SimSun" w:cs="SimSun"/>
          <w:sz w:val="24"/>
          <w:szCs w:val="24"/>
        </w:rPr>
      </w:pPr>
      <w:r>
        <w:rPr>
          <w:rFonts w:ascii="SimSun" w:hAnsi="SimSun" w:eastAsia="SimSun" w:cs="SimSun"/>
          <w:sz w:val="24"/>
          <w:szCs w:val="24"/>
        </w:rPr>
        <w:t>①进厂检疫是指在未卸车之前，检疫员向押运员</w:t>
      </w:r>
      <w:r>
        <w:rPr>
          <w:rFonts w:ascii="SimSun" w:hAnsi="SimSun" w:eastAsia="SimSun" w:cs="SimSun"/>
          <w:sz w:val="24"/>
          <w:szCs w:val="24"/>
          <w:spacing w:val="-1"/>
        </w:rPr>
        <w:t>索取检疫证或防疫注射</w:t>
      </w:r>
    </w:p>
    <w:p>
      <w:pPr>
        <w:ind w:left="104"/>
        <w:spacing w:before="181" w:line="184" w:lineRule="auto"/>
        <w:rPr>
          <w:rFonts w:ascii="SimSun" w:hAnsi="SimSun" w:eastAsia="SimSun" w:cs="SimSun"/>
          <w:sz w:val="24"/>
          <w:szCs w:val="24"/>
        </w:rPr>
      </w:pPr>
      <w:r>
        <w:rPr>
          <w:rFonts w:ascii="SimSun" w:hAnsi="SimSun" w:eastAsia="SimSun" w:cs="SimSun"/>
          <w:sz w:val="24"/>
          <w:szCs w:val="24"/>
        </w:rPr>
        <w:t>证，以便从侧面了解产地疫情；持证核对品种及头数</w:t>
      </w:r>
      <w:r>
        <w:rPr>
          <w:rFonts w:ascii="SimSun" w:hAnsi="SimSun" w:eastAsia="SimSun" w:cs="SimSun"/>
          <w:sz w:val="24"/>
          <w:szCs w:val="24"/>
          <w:spacing w:val="-1"/>
        </w:rPr>
        <w:t>，发现不符，及时查明原</w:t>
      </w:r>
    </w:p>
    <w:p>
      <w:pPr>
        <w:spacing w:line="184" w:lineRule="auto"/>
        <w:sectPr>
          <w:type w:val="continuous"/>
          <w:pgSz w:w="11910" w:h="16840"/>
          <w:pgMar w:top="1207" w:right="1705" w:bottom="983" w:left="1675" w:header="915" w:footer="736" w:gutter="0"/>
          <w:cols w:equalWidth="0" w:num="1">
            <w:col w:w="8530" w:space="0"/>
          </w:cols>
        </w:sectPr>
        <w:rPr>
          <w:rFonts w:ascii="SimSun" w:hAnsi="SimSun" w:eastAsia="SimSun" w:cs="SimSun"/>
          <w:sz w:val="24"/>
          <w:szCs w:val="24"/>
        </w:rPr>
      </w:pPr>
    </w:p>
    <w:p>
      <w:pPr>
        <w:ind w:right="204"/>
        <w:spacing w:before="280" w:line="376" w:lineRule="auto"/>
        <w:rPr>
          <w:rFonts w:ascii="SimSun" w:hAnsi="SimSun" w:eastAsia="SimSun" w:cs="SimSun"/>
          <w:sz w:val="23"/>
          <w:szCs w:val="23"/>
        </w:rPr>
      </w:pPr>
      <w:bookmarkStart w:name="bookmark94" w:id="45"/>
      <w:bookmarkEnd w:id="45"/>
      <w:r>
        <w:rPr>
          <w:rFonts w:ascii="SimSun" w:hAnsi="SimSun" w:eastAsia="SimSun" w:cs="SimSun"/>
          <w:sz w:val="23"/>
          <w:szCs w:val="23"/>
          <w:spacing w:val="9"/>
        </w:rPr>
        <w:t>因，直到认为没有可疑疫情时允许卸下，若发现可疑者，则不允许该批猪次进</w:t>
      </w:r>
      <w:r>
        <w:rPr>
          <w:rFonts w:ascii="SimSun" w:hAnsi="SimSun" w:eastAsia="SimSun" w:cs="SimSun"/>
          <w:sz w:val="23"/>
          <w:szCs w:val="23"/>
          <w:spacing w:val="11"/>
        </w:rPr>
        <w:t xml:space="preserve"> </w:t>
      </w:r>
      <w:r>
        <w:rPr>
          <w:rFonts w:ascii="SimSun" w:hAnsi="SimSun" w:eastAsia="SimSun" w:cs="SimSun"/>
          <w:sz w:val="23"/>
          <w:szCs w:val="23"/>
          <w:spacing w:val="9"/>
        </w:rPr>
        <w:t>厂。通过进厂检疫确保厂区内不会有病死猪。</w:t>
      </w:r>
    </w:p>
    <w:p>
      <w:pPr>
        <w:ind w:right="202" w:firstLine="470"/>
        <w:spacing w:line="361" w:lineRule="auto"/>
        <w:jc w:val="both"/>
        <w:rPr>
          <w:rFonts w:ascii="SimSun" w:hAnsi="SimSun" w:eastAsia="SimSun" w:cs="SimSun"/>
          <w:sz w:val="23"/>
          <w:szCs w:val="23"/>
        </w:rPr>
      </w:pPr>
      <w:r>
        <w:rPr>
          <w:rFonts w:ascii="SimSun" w:hAnsi="SimSun" w:eastAsia="SimSun" w:cs="SimSun"/>
          <w:sz w:val="23"/>
          <w:szCs w:val="23"/>
          <w:spacing w:val="10"/>
        </w:rPr>
        <w:t>②宰前处理：经检验合格的生猪经厂区车辆消毒</w:t>
      </w:r>
      <w:r>
        <w:rPr>
          <w:rFonts w:ascii="SimSun" w:hAnsi="SimSun" w:eastAsia="SimSun" w:cs="SimSun"/>
          <w:sz w:val="23"/>
          <w:szCs w:val="23"/>
          <w:spacing w:val="9"/>
        </w:rPr>
        <w:t>池、卸猪站台以及赶猪道</w:t>
      </w:r>
      <w:r>
        <w:rPr>
          <w:rFonts w:ascii="SimSun" w:hAnsi="SimSun" w:eastAsia="SimSun" w:cs="SimSun"/>
          <w:sz w:val="23"/>
          <w:szCs w:val="23"/>
        </w:rPr>
        <w:t xml:space="preserve"> </w:t>
      </w:r>
      <w:r>
        <w:rPr>
          <w:rFonts w:ascii="SimSun" w:hAnsi="SimSun" w:eastAsia="SimSun" w:cs="SimSun"/>
          <w:sz w:val="23"/>
          <w:szCs w:val="23"/>
          <w:spacing w:val="7"/>
        </w:rPr>
        <w:t>进入待宰间停食静养，12-24h, 宰前3h充分喂水，以利于宰后胴体达到尸僵时</w:t>
      </w:r>
      <w:r>
        <w:rPr>
          <w:rFonts w:ascii="SimSun" w:hAnsi="SimSun" w:eastAsia="SimSun" w:cs="SimSun"/>
          <w:sz w:val="23"/>
          <w:szCs w:val="23"/>
        </w:rPr>
        <w:t xml:space="preserve"> </w:t>
      </w:r>
      <w:r>
        <w:rPr>
          <w:rFonts w:ascii="SimSun" w:hAnsi="SimSun" w:eastAsia="SimSun" w:cs="SimSun"/>
          <w:sz w:val="23"/>
          <w:szCs w:val="23"/>
          <w:spacing w:val="7"/>
        </w:rPr>
        <w:t>能降低</w:t>
      </w:r>
      <w:r>
        <w:rPr>
          <w:rFonts w:ascii="Times New Roman" w:hAnsi="Times New Roman" w:eastAsia="Times New Roman" w:cs="Times New Roman"/>
          <w:sz w:val="23"/>
          <w:szCs w:val="23"/>
        </w:rPr>
        <w:t>pH</w:t>
      </w:r>
      <w:r>
        <w:rPr>
          <w:rFonts w:ascii="SimSun" w:hAnsi="SimSun" w:eastAsia="SimSun" w:cs="SimSun"/>
          <w:sz w:val="23"/>
          <w:szCs w:val="23"/>
          <w:spacing w:val="7"/>
        </w:rPr>
        <w:t>值，抑制微生物的繁殖，防止胴体被污染。</w:t>
      </w:r>
    </w:p>
    <w:p>
      <w:pPr>
        <w:ind w:right="162" w:firstLine="470"/>
        <w:spacing w:before="69" w:line="356" w:lineRule="auto"/>
        <w:jc w:val="both"/>
        <w:rPr>
          <w:rFonts w:ascii="SimSun" w:hAnsi="SimSun" w:eastAsia="SimSun" w:cs="SimSun"/>
          <w:sz w:val="23"/>
          <w:szCs w:val="23"/>
        </w:rPr>
      </w:pPr>
      <w:r>
        <w:rPr>
          <w:rFonts w:ascii="SimSun" w:hAnsi="SimSun" w:eastAsia="SimSun" w:cs="SimSun"/>
          <w:sz w:val="23"/>
          <w:szCs w:val="23"/>
          <w:spacing w:val="13"/>
        </w:rPr>
        <w:t>③冲淋：待宰生猪在进入屠宰间前用近于体温的水给猪淋浴(夏天水温低</w:t>
      </w:r>
      <w:r>
        <w:rPr>
          <w:rFonts w:ascii="SimSun" w:hAnsi="SimSun" w:eastAsia="SimSun" w:cs="SimSun"/>
          <w:sz w:val="23"/>
          <w:szCs w:val="23"/>
          <w:spacing w:val="12"/>
        </w:rPr>
        <w:t xml:space="preserve"> </w:t>
      </w:r>
      <w:r>
        <w:rPr>
          <w:rFonts w:ascii="SimSun" w:hAnsi="SimSun" w:eastAsia="SimSun" w:cs="SimSun"/>
          <w:sz w:val="23"/>
          <w:szCs w:val="23"/>
          <w:spacing w:val="17"/>
        </w:rPr>
        <w:t>一些，冬天水温高一些),用水进行冲淋，清洗全身，洗去猪体上的污垢，以</w:t>
      </w:r>
      <w:r>
        <w:rPr>
          <w:rFonts w:ascii="SimSun" w:hAnsi="SimSun" w:eastAsia="SimSun" w:cs="SimSun"/>
          <w:sz w:val="23"/>
          <w:szCs w:val="23"/>
          <w:spacing w:val="11"/>
        </w:rPr>
        <w:t xml:space="preserve"> </w:t>
      </w:r>
      <w:r>
        <w:rPr>
          <w:rFonts w:ascii="SimSun" w:hAnsi="SimSun" w:eastAsia="SimSun" w:cs="SimSun"/>
          <w:sz w:val="23"/>
          <w:szCs w:val="23"/>
          <w:spacing w:val="7"/>
        </w:rPr>
        <w:t>减少猪体表面的病菌及污物和提高猪肉质量。</w:t>
      </w:r>
    </w:p>
    <w:p>
      <w:pPr>
        <w:ind w:left="613"/>
        <w:spacing w:line="219" w:lineRule="auto"/>
        <w:rPr>
          <w:rFonts w:ascii="SimSun" w:hAnsi="SimSun" w:eastAsia="SimSun" w:cs="SimSun"/>
          <w:sz w:val="25"/>
          <w:szCs w:val="25"/>
        </w:rPr>
      </w:pPr>
      <w:r>
        <w:rPr>
          <w:rFonts w:ascii="SimSun" w:hAnsi="SimSun" w:eastAsia="SimSun" w:cs="SimSun"/>
          <w:sz w:val="25"/>
          <w:szCs w:val="25"/>
          <w:b/>
          <w:bCs/>
          <w:spacing w:val="9"/>
        </w:rPr>
        <w:t>(2)屠宰工序</w:t>
      </w:r>
    </w:p>
    <w:p>
      <w:pPr>
        <w:ind w:right="201" w:firstLine="470"/>
        <w:spacing w:before="221" w:line="320" w:lineRule="auto"/>
        <w:rPr>
          <w:rFonts w:ascii="SimSun" w:hAnsi="SimSun" w:eastAsia="SimSun" w:cs="SimSun"/>
          <w:sz w:val="23"/>
          <w:szCs w:val="23"/>
        </w:rPr>
      </w:pPr>
      <w:r>
        <w:rPr>
          <w:rFonts w:ascii="SimSun" w:hAnsi="SimSun" w:eastAsia="SimSun" w:cs="SimSun"/>
          <w:sz w:val="23"/>
          <w:szCs w:val="23"/>
          <w:spacing w:val="10"/>
        </w:rPr>
        <w:t>①麻电：生猪宰前电晕，可便于后续刺杀放血，其</w:t>
      </w:r>
      <w:r>
        <w:rPr>
          <w:rFonts w:ascii="SimSun" w:hAnsi="SimSun" w:eastAsia="SimSun" w:cs="SimSun"/>
          <w:sz w:val="23"/>
          <w:szCs w:val="23"/>
          <w:spacing w:val="9"/>
        </w:rPr>
        <w:t>原理是使用大容量电容</w:t>
      </w:r>
      <w:r>
        <w:rPr>
          <w:rFonts w:ascii="SimSun" w:hAnsi="SimSun" w:eastAsia="SimSun" w:cs="SimSun"/>
          <w:sz w:val="23"/>
          <w:szCs w:val="23"/>
        </w:rPr>
        <w:t xml:space="preserve"> </w:t>
      </w:r>
      <w:r>
        <w:rPr>
          <w:rFonts w:ascii="SimSun" w:hAnsi="SimSun" w:eastAsia="SimSun" w:cs="SimSun"/>
          <w:sz w:val="23"/>
          <w:szCs w:val="23"/>
          <w:spacing w:val="9"/>
        </w:rPr>
        <w:t>和升压变压器输出瞬间高达几万到几十万伏的高压脉冲，猪被高压脉冲击</w:t>
      </w:r>
      <w:r>
        <w:rPr>
          <w:rFonts w:ascii="SimSun" w:hAnsi="SimSun" w:eastAsia="SimSun" w:cs="SimSun"/>
          <w:sz w:val="23"/>
          <w:szCs w:val="23"/>
          <w:spacing w:val="8"/>
        </w:rPr>
        <w:t>中，</w:t>
      </w:r>
      <w:r>
        <w:rPr>
          <w:rFonts w:ascii="SimSun" w:hAnsi="SimSun" w:eastAsia="SimSun" w:cs="SimSun"/>
          <w:sz w:val="23"/>
          <w:szCs w:val="23"/>
        </w:rPr>
        <w:t xml:space="preserve"> </w:t>
      </w:r>
      <w:r>
        <w:rPr>
          <w:rFonts w:ascii="SimSun" w:hAnsi="SimSun" w:eastAsia="SimSun" w:cs="SimSun"/>
          <w:sz w:val="23"/>
          <w:szCs w:val="23"/>
          <w:spacing w:val="7"/>
        </w:rPr>
        <w:t>电流通过神经会出现麻痹和痉挛，剧痛致使</w:t>
      </w:r>
      <w:r>
        <w:rPr>
          <w:rFonts w:ascii="SimSun" w:hAnsi="SimSun" w:eastAsia="SimSun" w:cs="SimSun"/>
          <w:sz w:val="23"/>
          <w:szCs w:val="23"/>
          <w:spacing w:val="6"/>
        </w:rPr>
        <w:t>猪只休克。</w:t>
      </w:r>
    </w:p>
    <w:p>
      <w:pPr>
        <w:ind w:right="52" w:firstLine="470"/>
        <w:spacing w:before="198" w:line="363" w:lineRule="auto"/>
        <w:rPr>
          <w:rFonts w:ascii="SimSun" w:hAnsi="SimSun" w:eastAsia="SimSun" w:cs="SimSun"/>
          <w:sz w:val="23"/>
          <w:szCs w:val="23"/>
        </w:rPr>
      </w:pPr>
      <w:r>
        <w:rPr>
          <w:rFonts w:ascii="SimSun" w:hAnsi="SimSun" w:eastAsia="SimSun" w:cs="SimSun"/>
          <w:sz w:val="23"/>
          <w:szCs w:val="23"/>
          <w:spacing w:val="14"/>
        </w:rPr>
        <w:t>电晕过程中要求操作人员应穿合格的绝缘靴、绝缘手套，并配备安装电压</w:t>
      </w:r>
      <w:r>
        <w:rPr>
          <w:rFonts w:ascii="SimSun" w:hAnsi="SimSun" w:eastAsia="SimSun" w:cs="SimSun"/>
          <w:sz w:val="23"/>
          <w:szCs w:val="23"/>
          <w:spacing w:val="11"/>
        </w:rPr>
        <w:t xml:space="preserve"> </w:t>
      </w:r>
      <w:r>
        <w:rPr>
          <w:rFonts w:ascii="SimSun" w:hAnsi="SimSun" w:eastAsia="SimSun" w:cs="SimSun"/>
          <w:sz w:val="23"/>
          <w:szCs w:val="23"/>
          <w:spacing w:val="13"/>
        </w:rPr>
        <w:t>表、电流表以及调压器；按照生猪品种和屠宰季节适当调整电压和麻电时间。</w:t>
      </w:r>
      <w:r>
        <w:rPr>
          <w:rFonts w:ascii="SimSun" w:hAnsi="SimSun" w:eastAsia="SimSun" w:cs="SimSun"/>
          <w:sz w:val="23"/>
          <w:szCs w:val="23"/>
          <w:spacing w:val="11"/>
        </w:rPr>
        <w:t xml:space="preserve"> </w:t>
      </w:r>
      <w:r>
        <w:rPr>
          <w:rFonts w:ascii="SimSun" w:hAnsi="SimSun" w:eastAsia="SimSun" w:cs="SimSun"/>
          <w:sz w:val="23"/>
          <w:szCs w:val="23"/>
          <w:spacing w:val="10"/>
        </w:rPr>
        <w:t>人工麻电器：电压为70~90</w:t>
      </w:r>
      <w:r>
        <w:rPr>
          <w:rFonts w:ascii="Times New Roman" w:hAnsi="Times New Roman" w:eastAsia="Times New Roman" w:cs="Times New Roman"/>
          <w:sz w:val="23"/>
          <w:szCs w:val="23"/>
          <w:spacing w:val="10"/>
        </w:rPr>
        <w:t>V,   </w:t>
      </w:r>
      <w:r>
        <w:rPr>
          <w:rFonts w:ascii="SimSun" w:hAnsi="SimSun" w:eastAsia="SimSun" w:cs="SimSun"/>
          <w:sz w:val="23"/>
          <w:szCs w:val="23"/>
          <w:spacing w:val="10"/>
        </w:rPr>
        <w:t>电流0.5~1.0</w:t>
      </w:r>
      <w:r>
        <w:rPr>
          <w:rFonts w:ascii="Times New Roman" w:hAnsi="Times New Roman" w:eastAsia="Times New Roman" w:cs="Times New Roman"/>
          <w:sz w:val="23"/>
          <w:szCs w:val="23"/>
          <w:spacing w:val="10"/>
        </w:rPr>
        <w:t>A,   </w:t>
      </w:r>
      <w:r>
        <w:rPr>
          <w:rFonts w:ascii="SimSun" w:hAnsi="SimSun" w:eastAsia="SimSun" w:cs="SimSun"/>
          <w:sz w:val="23"/>
          <w:szCs w:val="23"/>
          <w:spacing w:val="10"/>
        </w:rPr>
        <w:t>麻电时间1~</w:t>
      </w:r>
      <w:r>
        <w:rPr>
          <w:rFonts w:ascii="SimSun" w:hAnsi="SimSun" w:eastAsia="SimSun" w:cs="SimSun"/>
          <w:sz w:val="23"/>
          <w:szCs w:val="23"/>
          <w:spacing w:val="9"/>
        </w:rPr>
        <w:t>3</w:t>
      </w:r>
      <w:r>
        <w:rPr>
          <w:rFonts w:ascii="Times New Roman" w:hAnsi="Times New Roman" w:eastAsia="Times New Roman" w:cs="Times New Roman"/>
          <w:sz w:val="23"/>
          <w:szCs w:val="23"/>
          <w:spacing w:val="9"/>
        </w:rPr>
        <w:t>s,   </w:t>
      </w:r>
      <w:r>
        <w:rPr>
          <w:rFonts w:ascii="SimSun" w:hAnsi="SimSun" w:eastAsia="SimSun" w:cs="SimSun"/>
          <w:sz w:val="23"/>
          <w:szCs w:val="23"/>
          <w:spacing w:val="9"/>
        </w:rPr>
        <w:t>盐水浓度5%。</w:t>
      </w:r>
    </w:p>
    <w:p>
      <w:pPr>
        <w:ind w:right="34" w:firstLine="470"/>
        <w:spacing w:before="50" w:line="326" w:lineRule="auto"/>
        <w:rPr>
          <w:rFonts w:ascii="SimSun" w:hAnsi="SimSun" w:eastAsia="SimSun" w:cs="SimSun"/>
          <w:sz w:val="23"/>
          <w:szCs w:val="23"/>
        </w:rPr>
      </w:pPr>
      <w:r>
        <w:rPr>
          <w:rFonts w:ascii="SimSun" w:hAnsi="SimSun" w:eastAsia="SimSun" w:cs="SimSun"/>
          <w:sz w:val="23"/>
          <w:szCs w:val="23"/>
          <w:spacing w:val="15"/>
        </w:rPr>
        <w:t>②刺杀放血：致昏的生猪宰杀后尽快放血，从电晕至刺杀放血时间</w:t>
      </w:r>
      <w:r>
        <w:rPr>
          <w:rFonts w:ascii="SimSun" w:hAnsi="SimSun" w:eastAsia="SimSun" w:cs="SimSun"/>
          <w:sz w:val="23"/>
          <w:szCs w:val="23"/>
          <w:spacing w:val="14"/>
        </w:rPr>
        <w:t>不超过</w:t>
      </w:r>
      <w:r>
        <w:rPr>
          <w:rFonts w:ascii="SimSun" w:hAnsi="SimSun" w:eastAsia="SimSun" w:cs="SimSun"/>
          <w:sz w:val="23"/>
          <w:szCs w:val="23"/>
        </w:rPr>
        <w:t xml:space="preserve"> </w:t>
      </w:r>
      <w:r>
        <w:rPr>
          <w:rFonts w:ascii="Times New Roman" w:hAnsi="Times New Roman" w:eastAsia="Times New Roman" w:cs="Times New Roman"/>
          <w:sz w:val="23"/>
          <w:szCs w:val="23"/>
          <w:spacing w:val="10"/>
        </w:rPr>
        <w:t>30s,   </w:t>
      </w:r>
      <w:r>
        <w:rPr>
          <w:rFonts w:ascii="SimSun" w:hAnsi="SimSun" w:eastAsia="SimSun" w:cs="SimSun"/>
          <w:sz w:val="23"/>
          <w:szCs w:val="23"/>
          <w:spacing w:val="10"/>
        </w:rPr>
        <w:t>放血刀应消毒后轮换使用。在采血过程中进行多</w:t>
      </w:r>
      <w:r>
        <w:rPr>
          <w:rFonts w:ascii="SimSun" w:hAnsi="SimSun" w:eastAsia="SimSun" w:cs="SimSun"/>
          <w:sz w:val="23"/>
          <w:szCs w:val="23"/>
          <w:spacing w:val="9"/>
        </w:rPr>
        <w:t>道自动检疫，采集后的血</w:t>
      </w:r>
      <w:r>
        <w:rPr>
          <w:rFonts w:ascii="SimSun" w:hAnsi="SimSun" w:eastAsia="SimSun" w:cs="SimSun"/>
          <w:sz w:val="23"/>
          <w:szCs w:val="23"/>
        </w:rPr>
        <w:t xml:space="preserve"> </w:t>
      </w:r>
      <w:r>
        <w:rPr>
          <w:rFonts w:ascii="SimSun" w:hAnsi="SimSun" w:eastAsia="SimSun" w:cs="SimSun"/>
          <w:sz w:val="23"/>
          <w:szCs w:val="23"/>
          <w:spacing w:val="5"/>
        </w:rPr>
        <w:t>液直接外售。</w:t>
      </w:r>
    </w:p>
    <w:p>
      <w:pPr>
        <w:ind w:right="48" w:firstLine="470"/>
        <w:spacing w:before="182" w:line="334" w:lineRule="auto"/>
        <w:rPr>
          <w:rFonts w:ascii="SimSun" w:hAnsi="SimSun" w:eastAsia="SimSun" w:cs="SimSun"/>
          <w:sz w:val="23"/>
          <w:szCs w:val="23"/>
        </w:rPr>
      </w:pPr>
      <w:r>
        <w:rPr>
          <w:rFonts w:ascii="SimSun" w:hAnsi="SimSun" w:eastAsia="SimSun" w:cs="SimSun"/>
          <w:sz w:val="23"/>
          <w:szCs w:val="23"/>
          <w:spacing w:val="14"/>
        </w:rPr>
        <w:t>③烫毛、脱毛：放血后的猪屠体进入烫池进行浸烫，应按猪屠体的大小、</w:t>
      </w:r>
      <w:r>
        <w:rPr>
          <w:rFonts w:ascii="SimSun" w:hAnsi="SimSun" w:eastAsia="SimSun" w:cs="SimSun"/>
          <w:sz w:val="23"/>
          <w:szCs w:val="23"/>
          <w:spacing w:val="15"/>
        </w:rPr>
        <w:t xml:space="preserve"> </w:t>
      </w:r>
      <w:r>
        <w:rPr>
          <w:rFonts w:ascii="SimSun" w:hAnsi="SimSun" w:eastAsia="SimSun" w:cs="SimSun"/>
          <w:sz w:val="23"/>
          <w:szCs w:val="23"/>
          <w:spacing w:val="19"/>
        </w:rPr>
        <w:t>品种和季节差异，控制浸烫水温在58~63℃,浸烫时</w:t>
      </w:r>
      <w:r>
        <w:rPr>
          <w:rFonts w:ascii="SimSun" w:hAnsi="SimSun" w:eastAsia="SimSun" w:cs="SimSun"/>
          <w:sz w:val="23"/>
          <w:szCs w:val="23"/>
          <w:spacing w:val="18"/>
        </w:rPr>
        <w:t>间为3~5</w:t>
      </w:r>
      <w:r>
        <w:rPr>
          <w:rFonts w:ascii="Times New Roman" w:hAnsi="Times New Roman" w:eastAsia="Times New Roman" w:cs="Times New Roman"/>
          <w:sz w:val="23"/>
          <w:szCs w:val="23"/>
        </w:rPr>
        <w:t>min</w:t>
      </w:r>
      <w:r>
        <w:rPr>
          <w:rFonts w:ascii="Times New Roman" w:hAnsi="Times New Roman" w:eastAsia="Times New Roman" w:cs="Times New Roman"/>
          <w:sz w:val="23"/>
          <w:szCs w:val="23"/>
          <w:spacing w:val="18"/>
        </w:rPr>
        <w:t>,</w:t>
      </w:r>
      <w:r>
        <w:rPr>
          <w:rFonts w:ascii="Times New Roman" w:hAnsi="Times New Roman" w:eastAsia="Times New Roman" w:cs="Times New Roman"/>
          <w:sz w:val="23"/>
          <w:szCs w:val="23"/>
          <w:spacing w:val="5"/>
        </w:rPr>
        <w:t xml:space="preserve">   </w:t>
      </w:r>
      <w:r>
        <w:rPr>
          <w:rFonts w:ascii="SimSun" w:hAnsi="SimSun" w:eastAsia="SimSun" w:cs="SimSun"/>
          <w:sz w:val="23"/>
          <w:szCs w:val="23"/>
          <w:spacing w:val="18"/>
        </w:rPr>
        <w:t>不得使猪屠</w:t>
      </w:r>
      <w:r>
        <w:rPr>
          <w:rFonts w:ascii="SimSun" w:hAnsi="SimSun" w:eastAsia="SimSun" w:cs="SimSun"/>
          <w:sz w:val="23"/>
          <w:szCs w:val="23"/>
        </w:rPr>
        <w:t xml:space="preserve"> </w:t>
      </w:r>
      <w:r>
        <w:rPr>
          <w:rFonts w:ascii="SimSun" w:hAnsi="SimSun" w:eastAsia="SimSun" w:cs="SimSun"/>
          <w:sz w:val="23"/>
          <w:szCs w:val="23"/>
          <w:spacing w:val="14"/>
        </w:rPr>
        <w:t>体沉底、烫老。浸烫池有溢水口和补充净水的装置，浸烫后通过</w:t>
      </w:r>
      <w:r>
        <w:rPr>
          <w:rFonts w:ascii="SimSun" w:hAnsi="SimSun" w:eastAsia="SimSun" w:cs="SimSun"/>
          <w:sz w:val="23"/>
          <w:szCs w:val="23"/>
          <w:spacing w:val="13"/>
        </w:rPr>
        <w:t>提升机提升至</w:t>
      </w:r>
      <w:r>
        <w:rPr>
          <w:rFonts w:ascii="SimSun" w:hAnsi="SimSun" w:eastAsia="SimSun" w:cs="SimSun"/>
          <w:sz w:val="23"/>
          <w:szCs w:val="23"/>
        </w:rPr>
        <w:t xml:space="preserve"> </w:t>
      </w:r>
      <w:r>
        <w:rPr>
          <w:rFonts w:ascii="SimSun" w:hAnsi="SimSun" w:eastAsia="SimSun" w:cs="SimSun"/>
          <w:sz w:val="23"/>
          <w:szCs w:val="23"/>
          <w:spacing w:val="16"/>
        </w:rPr>
        <w:t>200型打毛机进行打毛(打毛时间约2~3</w:t>
      </w:r>
      <w:r>
        <w:rPr>
          <w:rFonts w:ascii="SimSun" w:hAnsi="SimSun" w:eastAsia="SimSun" w:cs="SimSun"/>
          <w:sz w:val="23"/>
          <w:szCs w:val="23"/>
        </w:rPr>
        <w:t>min</w:t>
      </w:r>
      <w:r>
        <w:rPr>
          <w:rFonts w:ascii="SimSun" w:hAnsi="SimSun" w:eastAsia="SimSun" w:cs="SimSun"/>
          <w:sz w:val="23"/>
          <w:szCs w:val="23"/>
          <w:spacing w:val="16"/>
        </w:rPr>
        <w:t>)。</w:t>
      </w:r>
    </w:p>
    <w:p>
      <w:pPr>
        <w:ind w:right="37" w:firstLine="470"/>
        <w:spacing w:before="199" w:line="370" w:lineRule="auto"/>
        <w:jc w:val="both"/>
        <w:rPr>
          <w:rFonts w:ascii="SimSun" w:hAnsi="SimSun" w:eastAsia="SimSun" w:cs="SimSun"/>
          <w:sz w:val="23"/>
          <w:szCs w:val="23"/>
        </w:rPr>
      </w:pPr>
      <w:r>
        <w:rPr>
          <w:rFonts w:ascii="SimSun" w:hAnsi="SimSun" w:eastAsia="SimSun" w:cs="SimSun"/>
          <w:sz w:val="23"/>
          <w:szCs w:val="23"/>
          <w:spacing w:val="14"/>
        </w:rPr>
        <w:t>打毛工序是采用机械方式将猪的体毛包括表皮层去除的一道工序：燎毛及</w:t>
      </w:r>
      <w:r>
        <w:rPr>
          <w:rFonts w:ascii="SimSun" w:hAnsi="SimSun" w:eastAsia="SimSun" w:cs="SimSun"/>
          <w:sz w:val="23"/>
          <w:szCs w:val="23"/>
          <w:spacing w:val="13"/>
        </w:rPr>
        <w:t xml:space="preserve"> </w:t>
      </w:r>
      <w:r>
        <w:rPr>
          <w:rFonts w:ascii="SimSun" w:hAnsi="SimSun" w:eastAsia="SimSun" w:cs="SimSun"/>
          <w:sz w:val="23"/>
          <w:szCs w:val="23"/>
          <w:spacing w:val="14"/>
        </w:rPr>
        <w:t>胴体抛光系统最大限度降低胴体表面初始细菌数及感观性能，为延长产品保质</w:t>
      </w:r>
      <w:r>
        <w:rPr>
          <w:rFonts w:ascii="SimSun" w:hAnsi="SimSun" w:eastAsia="SimSun" w:cs="SimSun"/>
          <w:sz w:val="23"/>
          <w:szCs w:val="23"/>
          <w:spacing w:val="8"/>
        </w:rPr>
        <w:t xml:space="preserve"> </w:t>
      </w:r>
      <w:r>
        <w:rPr>
          <w:rFonts w:ascii="SimSun" w:hAnsi="SimSun" w:eastAsia="SimSun" w:cs="SimSun"/>
          <w:sz w:val="23"/>
          <w:szCs w:val="23"/>
          <w:spacing w:val="5"/>
        </w:rPr>
        <w:t>期提供保证。</w:t>
      </w:r>
    </w:p>
    <w:p>
      <w:pPr>
        <w:ind w:right="51" w:firstLine="470"/>
        <w:spacing w:before="3" w:line="291" w:lineRule="auto"/>
        <w:rPr>
          <w:rFonts w:ascii="SimSun" w:hAnsi="SimSun" w:eastAsia="SimSun" w:cs="SimSun"/>
          <w:sz w:val="23"/>
          <w:szCs w:val="23"/>
        </w:rPr>
      </w:pPr>
      <w:r>
        <w:rPr>
          <w:rFonts w:ascii="SimSun" w:hAnsi="SimSun" w:eastAsia="SimSun" w:cs="SimSun"/>
          <w:sz w:val="23"/>
          <w:szCs w:val="23"/>
          <w:spacing w:val="14"/>
        </w:rPr>
        <w:t>④清洗：去毛后的胴体进入清洗池，清洗猪体上残存的绒毛，保持猪体清</w:t>
      </w:r>
      <w:r>
        <w:rPr>
          <w:rFonts w:ascii="SimSun" w:hAnsi="SimSun" w:eastAsia="SimSun" w:cs="SimSun"/>
          <w:sz w:val="23"/>
          <w:szCs w:val="23"/>
          <w:spacing w:val="12"/>
        </w:rPr>
        <w:t xml:space="preserve"> </w:t>
      </w:r>
      <w:r>
        <w:rPr>
          <w:rFonts w:ascii="SimSun" w:hAnsi="SimSun" w:eastAsia="SimSun" w:cs="SimSun"/>
          <w:sz w:val="23"/>
          <w:szCs w:val="23"/>
          <w:spacing w:val="9"/>
        </w:rPr>
        <w:t>洁，为下步的分割做好准备。清洗后的胴体经白条提升机输送。</w:t>
      </w:r>
    </w:p>
    <w:p>
      <w:pPr>
        <w:ind w:right="33" w:firstLine="470"/>
        <w:spacing w:before="224" w:line="315" w:lineRule="auto"/>
        <w:rPr>
          <w:rFonts w:ascii="SimSun" w:hAnsi="SimSun" w:eastAsia="SimSun" w:cs="SimSun"/>
          <w:sz w:val="23"/>
          <w:szCs w:val="23"/>
        </w:rPr>
      </w:pPr>
      <w:r>
        <w:rPr>
          <w:rFonts w:ascii="SimSun" w:hAnsi="SimSun" w:eastAsia="SimSun" w:cs="SimSun"/>
          <w:sz w:val="23"/>
          <w:szCs w:val="23"/>
          <w:spacing w:val="23"/>
        </w:rPr>
        <w:t>⑤开膛：开膛取脏。项目采用带皮开膛、扒内脏，将红白内</w:t>
      </w:r>
      <w:r>
        <w:rPr>
          <w:rFonts w:ascii="SimSun" w:hAnsi="SimSun" w:eastAsia="SimSun" w:cs="SimSun"/>
          <w:sz w:val="23"/>
          <w:szCs w:val="23"/>
          <w:spacing w:val="22"/>
        </w:rPr>
        <w:t>脏取出检验</w:t>
      </w:r>
      <w:r>
        <w:rPr>
          <w:rFonts w:ascii="SimSun" w:hAnsi="SimSun" w:eastAsia="SimSun" w:cs="SimSun"/>
          <w:sz w:val="23"/>
          <w:szCs w:val="23"/>
        </w:rPr>
        <w:t xml:space="preserve"> </w:t>
      </w:r>
      <w:r>
        <w:rPr>
          <w:rFonts w:ascii="SimSun" w:hAnsi="SimSun" w:eastAsia="SimSun" w:cs="SimSun"/>
          <w:sz w:val="23"/>
          <w:szCs w:val="23"/>
          <w:spacing w:val="14"/>
        </w:rPr>
        <w:t>后，分别进行整理清洗，并清洗去除了内脏的肉体。取出的</w:t>
      </w:r>
      <w:r>
        <w:rPr>
          <w:rFonts w:ascii="SimSun" w:hAnsi="SimSun" w:eastAsia="SimSun" w:cs="SimSun"/>
          <w:sz w:val="23"/>
          <w:szCs w:val="23"/>
          <w:spacing w:val="13"/>
        </w:rPr>
        <w:t>内脏清洗后作为猪</w:t>
      </w:r>
      <w:r>
        <w:rPr>
          <w:rFonts w:ascii="SimSun" w:hAnsi="SimSun" w:eastAsia="SimSun" w:cs="SimSun"/>
          <w:sz w:val="23"/>
          <w:szCs w:val="23"/>
        </w:rPr>
        <w:t xml:space="preserve"> </w:t>
      </w:r>
      <w:r>
        <w:rPr>
          <w:rFonts w:ascii="SimSun" w:hAnsi="SimSun" w:eastAsia="SimSun" w:cs="SimSun"/>
          <w:sz w:val="23"/>
          <w:szCs w:val="23"/>
          <w:spacing w:val="5"/>
        </w:rPr>
        <w:t>副产品出售。</w:t>
      </w:r>
    </w:p>
    <w:p>
      <w:pPr>
        <w:spacing w:line="315" w:lineRule="auto"/>
        <w:sectPr>
          <w:headerReference w:type="default" r:id="rId13"/>
          <w:footerReference w:type="default" r:id="rId174"/>
          <w:pgSz w:w="11910" w:h="16840"/>
          <w:pgMar w:top="1219" w:right="1786" w:bottom="1017" w:left="1779" w:header="865" w:footer="719" w:gutter="0"/>
        </w:sectPr>
        <w:rPr>
          <w:rFonts w:ascii="SimSun" w:hAnsi="SimSun" w:eastAsia="SimSun" w:cs="SimSun"/>
          <w:sz w:val="23"/>
          <w:szCs w:val="23"/>
        </w:rPr>
      </w:pPr>
    </w:p>
    <w:p>
      <w:pPr>
        <w:ind w:left="104" w:right="106" w:firstLine="480"/>
        <w:spacing w:before="288" w:line="366" w:lineRule="auto"/>
        <w:jc w:val="both"/>
        <w:rPr>
          <w:rFonts w:ascii="SimSun" w:hAnsi="SimSun" w:eastAsia="SimSun" w:cs="SimSun"/>
          <w:sz w:val="23"/>
          <w:szCs w:val="23"/>
        </w:rPr>
      </w:pPr>
      <w:r>
        <w:rPr>
          <w:rFonts w:ascii="SimSun" w:hAnsi="SimSun" w:eastAsia="SimSun" w:cs="SimSun"/>
          <w:sz w:val="23"/>
          <w:szCs w:val="23"/>
          <w:spacing w:val="14"/>
        </w:rPr>
        <w:t>⑥劈半冲淋：用劈半锯沿猪的脊椎，把猪平分成两半。劈半后的胴体应立</w:t>
      </w:r>
      <w:r>
        <w:rPr>
          <w:rFonts w:ascii="SimSun" w:hAnsi="SimSun" w:eastAsia="SimSun" w:cs="SimSun"/>
          <w:sz w:val="23"/>
          <w:szCs w:val="23"/>
          <w:spacing w:val="10"/>
        </w:rPr>
        <w:t xml:space="preserve"> </w:t>
      </w:r>
      <w:r>
        <w:rPr>
          <w:rFonts w:ascii="SimSun" w:hAnsi="SimSun" w:eastAsia="SimSun" w:cs="SimSun"/>
          <w:sz w:val="23"/>
          <w:szCs w:val="23"/>
          <w:spacing w:val="14"/>
        </w:rPr>
        <w:t>即用水冲洗干净并经冲淋洗去残留血渍、骨渣、毛等污物，以免增加微生物的</w:t>
      </w:r>
      <w:r>
        <w:rPr>
          <w:rFonts w:ascii="SimSun" w:hAnsi="SimSun" w:eastAsia="SimSun" w:cs="SimSun"/>
          <w:sz w:val="23"/>
          <w:szCs w:val="23"/>
          <w:spacing w:val="11"/>
        </w:rPr>
        <w:t xml:space="preserve"> </w:t>
      </w:r>
      <w:r>
        <w:rPr>
          <w:rFonts w:ascii="SimSun" w:hAnsi="SimSun" w:eastAsia="SimSun" w:cs="SimSun"/>
          <w:sz w:val="23"/>
          <w:szCs w:val="23"/>
          <w:spacing w:val="8"/>
        </w:rPr>
        <w:t>污染。</w:t>
      </w:r>
    </w:p>
    <w:p>
      <w:pPr>
        <w:ind w:left="588"/>
        <w:spacing w:line="219" w:lineRule="auto"/>
        <w:rPr>
          <w:rFonts w:ascii="SimSun" w:hAnsi="SimSun" w:eastAsia="SimSun" w:cs="SimSun"/>
          <w:sz w:val="23"/>
          <w:szCs w:val="23"/>
        </w:rPr>
      </w:pPr>
      <w:bookmarkStart w:name="bookmark95" w:id="46"/>
      <w:bookmarkEnd w:id="46"/>
      <w:r>
        <w:rPr>
          <w:rFonts w:ascii="SimSun" w:hAnsi="SimSun" w:eastAsia="SimSun" w:cs="SimSun"/>
          <w:sz w:val="23"/>
          <w:szCs w:val="23"/>
          <w:b/>
          <w:bCs/>
          <w:spacing w:val="8"/>
        </w:rPr>
        <w:t>2、生猪分割工艺流程及产污</w:t>
      </w:r>
    </w:p>
    <w:p>
      <w:pPr>
        <w:ind w:firstLine="814"/>
        <w:spacing w:before="70" w:line="1430" w:lineRule="exact"/>
        <w:rPr/>
      </w:pPr>
      <w:r>
        <w:rPr>
          <w:position w:val="-28"/>
        </w:rPr>
        <w:pict>
          <v:group id="_x0000_s70" style="mso-position-vertical-relative:line;mso-position-horizontal-relative:char;width:340.05pt;height:71.55pt;" filled="false" stroked="false" coordsize="6800,1431" coordorigin="0,0">
            <v:shape id="_x0000_s72" style="position:absolute;left:0;top:0;width:6800;height:1431;" filled="false" stroked="false" type="#_x0000_t75">
              <v:imagedata o:title="" r:id="rId177"/>
            </v:shape>
            <v:shape id="_x0000_s74" style="position:absolute;left:3270;top:146;width:1750;height:1233;" filled="false" stroked="false" type="#_x0000_t202">
              <v:fill on="false"/>
              <v:stroke on="false"/>
              <v:path/>
              <v:imagedata o:title=""/>
              <o:lock v:ext="edit" aspectratio="false"/>
              <v:textbox inset="0mm,0mm,0mm,0mm">
                <w:txbxContent>
                  <w:p>
                    <w:pPr>
                      <w:ind w:left="259"/>
                      <w:spacing w:before="20" w:line="219" w:lineRule="auto"/>
                      <w:rPr>
                        <w:rFonts w:ascii="SimSun" w:hAnsi="SimSun" w:eastAsia="SimSun" w:cs="SimSun"/>
                        <w:sz w:val="16"/>
                        <w:szCs w:val="16"/>
                      </w:rPr>
                    </w:pPr>
                    <w:r>
                      <w:rPr>
                        <w:rFonts w:ascii="SimSun" w:hAnsi="SimSun" w:eastAsia="SimSun" w:cs="SimSun"/>
                        <w:sz w:val="16"/>
                        <w:szCs w:val="16"/>
                        <w:spacing w:val="8"/>
                      </w:rPr>
                      <w:t>废水</w:t>
                    </w:r>
                  </w:p>
                  <w:p>
                    <w:pPr>
                      <w:ind w:left="20"/>
                      <w:spacing w:before="220" w:line="238" w:lineRule="auto"/>
                      <w:rPr>
                        <w:rFonts w:ascii="SimSun" w:hAnsi="SimSun" w:eastAsia="SimSun" w:cs="SimSun"/>
                        <w:sz w:val="16"/>
                        <w:szCs w:val="16"/>
                      </w:rPr>
                    </w:pPr>
                    <w:r>
                      <w:rPr>
                        <w:rFonts w:ascii="SimSun" w:hAnsi="SimSun" w:eastAsia="SimSun" w:cs="SimSun"/>
                        <w:sz w:val="23"/>
                        <w:szCs w:val="23"/>
                        <w:spacing w:val="-21"/>
                        <w:position w:val="-1"/>
                      </w:rPr>
                      <w:t>别骨、切割</w:t>
                    </w:r>
                    <w:r>
                      <w:rPr>
                        <w:rFonts w:ascii="SimSun" w:hAnsi="SimSun" w:eastAsia="SimSun" w:cs="SimSun"/>
                        <w:sz w:val="23"/>
                        <w:szCs w:val="23"/>
                        <w:spacing w:val="13"/>
                        <w:position w:val="-1"/>
                      </w:rPr>
                      <w:t xml:space="preserve">   </w:t>
                    </w:r>
                    <w:r>
                      <w:rPr>
                        <w:rFonts w:ascii="SimSun" w:hAnsi="SimSun" w:eastAsia="SimSun" w:cs="SimSun"/>
                        <w:sz w:val="16"/>
                        <w:szCs w:val="16"/>
                        <w:spacing w:val="-21"/>
                        <w:position w:val="8"/>
                      </w:rPr>
                      <w:t>分级</w:t>
                    </w:r>
                  </w:p>
                  <w:p>
                    <w:pPr>
                      <w:ind w:left="259"/>
                      <w:spacing w:before="237" w:line="219" w:lineRule="auto"/>
                      <w:rPr>
                        <w:rFonts w:ascii="SimHei" w:hAnsi="SimHei" w:eastAsia="SimHei" w:cs="SimHei"/>
                        <w:sz w:val="16"/>
                        <w:szCs w:val="16"/>
                      </w:rPr>
                    </w:pPr>
                    <w:r>
                      <w:rPr>
                        <w:rFonts w:ascii="SimSun" w:hAnsi="SimSun" w:eastAsia="SimSun" w:cs="SimSun"/>
                        <w:sz w:val="23"/>
                        <w:szCs w:val="23"/>
                        <w:spacing w:val="2"/>
                      </w:rPr>
                      <w:t>猪骨</w:t>
                    </w:r>
                    <w:r>
                      <w:rPr>
                        <w:rFonts w:ascii="SimSun" w:hAnsi="SimSun" w:eastAsia="SimSun" w:cs="SimSun"/>
                        <w:sz w:val="23"/>
                        <w:szCs w:val="23"/>
                        <w:spacing w:val="18"/>
                      </w:rPr>
                      <w:t xml:space="preserve">  </w:t>
                    </w:r>
                    <w:r>
                      <w:rPr>
                        <w:rFonts w:ascii="SimHei" w:hAnsi="SimHei" w:eastAsia="SimHei" w:cs="SimHei"/>
                        <w:sz w:val="16"/>
                        <w:szCs w:val="16"/>
                        <w:spacing w:val="2"/>
                      </w:rPr>
                      <w:t>→出售</w:t>
                    </w:r>
                  </w:p>
                </w:txbxContent>
              </v:textbox>
            </v:shape>
            <v:shape id="_x0000_s76" style="position:absolute;left:149;top:555;width:2672;height:231;" filled="false" stroked="false" type="#_x0000_t202">
              <v:fill on="false"/>
              <v:stroke on="false"/>
              <v:path/>
              <v:imagedata o:title=""/>
              <o:lock v:ext="edit" aspectratio="false"/>
              <v:textbox inset="0mm,0mm,0mm,0mm">
                <w:txbxContent>
                  <w:p>
                    <w:pPr>
                      <w:ind w:left="20"/>
                      <w:spacing w:before="19" w:line="233" w:lineRule="auto"/>
                      <w:rPr>
                        <w:rFonts w:ascii="SimSun" w:hAnsi="SimSun" w:eastAsia="SimSun" w:cs="SimSun"/>
                        <w:sz w:val="16"/>
                        <w:szCs w:val="16"/>
                      </w:rPr>
                    </w:pPr>
                    <w:r>
                      <w:rPr>
                        <w:rFonts w:ascii="SimSun" w:hAnsi="SimSun" w:eastAsia="SimSun" w:cs="SimSun"/>
                        <w:sz w:val="16"/>
                        <w:szCs w:val="16"/>
                        <w:spacing w:val="2"/>
                        <w:position w:val="-1"/>
                      </w:rPr>
                      <w:t>二分体猪肉</w:t>
                    </w:r>
                    <w:r>
                      <w:rPr>
                        <w:rFonts w:ascii="SimSun" w:hAnsi="SimSun" w:eastAsia="SimSun" w:cs="SimSun"/>
                        <w:sz w:val="16"/>
                        <w:szCs w:val="16"/>
                        <w:spacing w:val="6"/>
                        <w:position w:val="-1"/>
                      </w:rPr>
                      <w:t xml:space="preserve">      </w:t>
                    </w:r>
                    <w:r>
                      <w:rPr>
                        <w:rFonts w:ascii="SimSun" w:hAnsi="SimSun" w:eastAsia="SimSun" w:cs="SimSun"/>
                        <w:sz w:val="16"/>
                        <w:szCs w:val="16"/>
                        <w:spacing w:val="2"/>
                        <w:position w:val="1"/>
                      </w:rPr>
                      <w:t>分段      去肥膘</w:t>
                    </w:r>
                  </w:p>
                </w:txbxContent>
              </v:textbox>
            </v:shape>
            <v:shape id="_x0000_s78" style="position:absolute;left:5499;top:547;width:1074;height:212;" filled="false" stroked="false" type="#_x0000_t202">
              <v:fill on="false"/>
              <v:stroke on="false"/>
              <v:path/>
              <v:imagedata o:title=""/>
              <o:lock v:ext="edit" aspectratio="false"/>
              <v:textbox inset="0mm,0mm,0mm,0mm">
                <w:txbxContent>
                  <w:p>
                    <w:pPr>
                      <w:ind w:left="20"/>
                      <w:spacing w:before="19" w:line="232" w:lineRule="auto"/>
                      <w:rPr>
                        <w:rFonts w:ascii="SimHei" w:hAnsi="SimHei" w:eastAsia="SimHei" w:cs="SimHei"/>
                        <w:sz w:val="16"/>
                        <w:szCs w:val="16"/>
                      </w:rPr>
                    </w:pPr>
                    <w:r>
                      <w:rPr>
                        <w:rFonts w:ascii="SimSun" w:hAnsi="SimSun" w:eastAsia="SimSun" w:cs="SimSun"/>
                        <w:sz w:val="16"/>
                        <w:szCs w:val="16"/>
                        <w:spacing w:val="9"/>
                      </w:rPr>
                      <w:t>验质</w:t>
                    </w:r>
                    <w:r>
                      <w:rPr>
                        <w:rFonts w:ascii="SimSun" w:hAnsi="SimSun" w:eastAsia="SimSun" w:cs="SimSun"/>
                        <w:sz w:val="16"/>
                        <w:szCs w:val="16"/>
                        <w:spacing w:val="8"/>
                      </w:rPr>
                      <w:t xml:space="preserve">      </w:t>
                    </w:r>
                    <w:r>
                      <w:rPr>
                        <w:rFonts w:ascii="SimHei" w:hAnsi="SimHei" w:eastAsia="SimHei" w:cs="SimHei"/>
                        <w:sz w:val="16"/>
                        <w:szCs w:val="16"/>
                        <w:spacing w:val="9"/>
                      </w:rPr>
                      <w:t>称</w:t>
                    </w:r>
                  </w:p>
                </w:txbxContent>
              </v:textbox>
            </v:shape>
            <v:shape id="_x0000_s80" style="position:absolute;left:6309;top:1137;width:379;height:200;" filled="false" stroked="false" type="#_x0000_t202">
              <v:fill on="false"/>
              <v:stroke on="false"/>
              <v:path/>
              <v:imagedata o:title=""/>
              <o:lock v:ext="edit" aspectratio="false"/>
              <v:textbox inset="0mm,0mm,0mm,0mm">
                <w:txbxContent>
                  <w:p>
                    <w:pPr>
                      <w:ind w:left="20"/>
                      <w:spacing w:before="19" w:line="221" w:lineRule="auto"/>
                      <w:rPr>
                        <w:rFonts w:ascii="SimSun" w:hAnsi="SimSun" w:eastAsia="SimSun" w:cs="SimSun"/>
                        <w:sz w:val="16"/>
                        <w:szCs w:val="16"/>
                      </w:rPr>
                    </w:pPr>
                    <w:r>
                      <w:rPr>
                        <w:rFonts w:ascii="SimSun" w:hAnsi="SimSun" w:eastAsia="SimSun" w:cs="SimSun"/>
                        <w:sz w:val="16"/>
                        <w:szCs w:val="16"/>
                        <w:spacing w:val="12"/>
                      </w:rPr>
                      <w:t>出售</w:t>
                    </w:r>
                  </w:p>
                </w:txbxContent>
              </v:textbox>
            </v:shape>
          </v:group>
        </w:pict>
      </w:r>
    </w:p>
    <w:p>
      <w:pPr>
        <w:ind w:left="2248"/>
        <w:spacing w:before="46" w:line="219" w:lineRule="auto"/>
        <w:rPr>
          <w:rFonts w:ascii="SimSun" w:hAnsi="SimSun" w:eastAsia="SimSun" w:cs="SimSun"/>
          <w:sz w:val="23"/>
          <w:szCs w:val="23"/>
        </w:rPr>
      </w:pPr>
      <w:r>
        <w:rPr>
          <w:rFonts w:ascii="SimSun" w:hAnsi="SimSun" w:eastAsia="SimSun" w:cs="SimSun"/>
          <w:sz w:val="23"/>
          <w:szCs w:val="23"/>
          <w:b/>
          <w:bCs/>
        </w:rPr>
        <w:t>图2.3-2生猪分割工艺流程及产污分析图</w:t>
      </w:r>
    </w:p>
    <w:p>
      <w:pPr>
        <w:ind w:left="104" w:right="262" w:firstLine="480"/>
        <w:spacing w:before="219" w:line="380" w:lineRule="auto"/>
        <w:rPr>
          <w:rFonts w:ascii="SimSun" w:hAnsi="SimSun" w:eastAsia="SimSun" w:cs="SimSun"/>
          <w:sz w:val="23"/>
          <w:szCs w:val="23"/>
        </w:rPr>
      </w:pPr>
      <w:r>
        <w:rPr>
          <w:rFonts w:ascii="SimSun" w:hAnsi="SimSun" w:eastAsia="SimSun" w:cs="SimSun"/>
          <w:sz w:val="23"/>
          <w:szCs w:val="23"/>
          <w:spacing w:val="10"/>
        </w:rPr>
        <w:t>需分割的猪胴体经排酸后进行分割，锯成三段，去肥</w:t>
      </w:r>
      <w:r>
        <w:rPr>
          <w:rFonts w:ascii="SimSun" w:hAnsi="SimSun" w:eastAsia="SimSun" w:cs="SimSun"/>
          <w:sz w:val="23"/>
          <w:szCs w:val="23"/>
          <w:spacing w:val="9"/>
        </w:rPr>
        <w:t>膘。分段带骨肉经不</w:t>
      </w:r>
      <w:r>
        <w:rPr>
          <w:rFonts w:ascii="SimSun" w:hAnsi="SimSun" w:eastAsia="SimSun" w:cs="SimSun"/>
          <w:sz w:val="23"/>
          <w:szCs w:val="23"/>
        </w:rPr>
        <w:t xml:space="preserve"> </w:t>
      </w:r>
      <w:r>
        <w:rPr>
          <w:rFonts w:ascii="SimSun" w:hAnsi="SimSun" w:eastAsia="SimSun" w:cs="SimSun"/>
          <w:sz w:val="23"/>
          <w:szCs w:val="23"/>
          <w:spacing w:val="9"/>
        </w:rPr>
        <w:t>同分割线进行剔将肉按部位按级别分割成块，进行出售。</w:t>
      </w:r>
    </w:p>
    <w:p>
      <w:pPr>
        <w:ind w:left="104" w:right="257" w:firstLine="480"/>
        <w:spacing w:before="14" w:line="365" w:lineRule="auto"/>
        <w:rPr>
          <w:rFonts w:ascii="SimSun" w:hAnsi="SimSun" w:eastAsia="SimSun" w:cs="SimSun"/>
          <w:sz w:val="23"/>
          <w:szCs w:val="23"/>
        </w:rPr>
      </w:pPr>
      <w:r>
        <w:rPr>
          <w:rFonts w:ascii="SimSun" w:hAnsi="SimSun" w:eastAsia="SimSun" w:cs="SimSun"/>
          <w:sz w:val="23"/>
          <w:szCs w:val="23"/>
          <w:spacing w:val="10"/>
        </w:rPr>
        <w:t>项目屠宰车间为全封闭式厂房，毛猪从厂房的西北侧进入，产品</w:t>
      </w:r>
      <w:r>
        <w:rPr>
          <w:rFonts w:ascii="SimSun" w:hAnsi="SimSun" w:eastAsia="SimSun" w:cs="SimSun"/>
          <w:sz w:val="23"/>
          <w:szCs w:val="23"/>
          <w:spacing w:val="9"/>
        </w:rPr>
        <w:t>从厂房西</w:t>
      </w:r>
      <w:r>
        <w:rPr>
          <w:rFonts w:ascii="SimSun" w:hAnsi="SimSun" w:eastAsia="SimSun" w:cs="SimSun"/>
          <w:sz w:val="23"/>
          <w:szCs w:val="23"/>
        </w:rPr>
        <w:t xml:space="preserve"> </w:t>
      </w:r>
      <w:r>
        <w:rPr>
          <w:rFonts w:ascii="SimSun" w:hAnsi="SimSun" w:eastAsia="SimSun" w:cs="SimSun"/>
          <w:sz w:val="23"/>
          <w:szCs w:val="23"/>
          <w:spacing w:val="9"/>
        </w:rPr>
        <w:t>侧运出这样防止了原材料污染产品，屠宰在常温下进行。</w:t>
      </w:r>
    </w:p>
    <w:p>
      <w:pPr>
        <w:ind w:left="104" w:right="255" w:firstLine="480"/>
        <w:spacing w:before="4" w:line="373" w:lineRule="auto"/>
        <w:jc w:val="both"/>
        <w:rPr>
          <w:rFonts w:ascii="SimSun" w:hAnsi="SimSun" w:eastAsia="SimSun" w:cs="SimSun"/>
          <w:sz w:val="23"/>
          <w:szCs w:val="23"/>
        </w:rPr>
      </w:pPr>
      <w:r>
        <w:rPr>
          <w:rFonts w:ascii="SimSun" w:hAnsi="SimSun" w:eastAsia="SimSun" w:cs="SimSun"/>
          <w:sz w:val="23"/>
          <w:szCs w:val="23"/>
          <w:spacing w:val="10"/>
        </w:rPr>
        <w:t>车间地面每班不定时的用清水清洗地面，每班工作结束后或在必要时</w:t>
      </w:r>
      <w:r>
        <w:rPr>
          <w:rFonts w:ascii="SimSun" w:hAnsi="SimSun" w:eastAsia="SimSun" w:cs="SimSun"/>
          <w:sz w:val="23"/>
          <w:szCs w:val="23"/>
          <w:spacing w:val="9"/>
        </w:rPr>
        <w:t>，必</w:t>
      </w:r>
      <w:r>
        <w:rPr>
          <w:rFonts w:ascii="SimSun" w:hAnsi="SimSun" w:eastAsia="SimSun" w:cs="SimSun"/>
          <w:sz w:val="23"/>
          <w:szCs w:val="23"/>
        </w:rPr>
        <w:t xml:space="preserve"> </w:t>
      </w:r>
      <w:r>
        <w:rPr>
          <w:rFonts w:ascii="SimSun" w:hAnsi="SimSun" w:eastAsia="SimSun" w:cs="SimSun"/>
          <w:sz w:val="23"/>
          <w:szCs w:val="23"/>
          <w:spacing w:val="10"/>
        </w:rPr>
        <w:t>须彻底清洗加工场地的地面、墙壁、排水沟，必要时进行消毒，以保证卫</w:t>
      </w:r>
      <w:r>
        <w:rPr>
          <w:rFonts w:ascii="SimSun" w:hAnsi="SimSun" w:eastAsia="SimSun" w:cs="SimSun"/>
          <w:sz w:val="23"/>
          <w:szCs w:val="23"/>
          <w:spacing w:val="9"/>
        </w:rPr>
        <w:t>生和</w:t>
      </w:r>
      <w:r>
        <w:rPr>
          <w:rFonts w:ascii="SimSun" w:hAnsi="SimSun" w:eastAsia="SimSun" w:cs="SimSun"/>
          <w:sz w:val="23"/>
          <w:szCs w:val="23"/>
        </w:rPr>
        <w:t xml:space="preserve"> </w:t>
      </w:r>
      <w:r>
        <w:rPr>
          <w:rFonts w:ascii="SimSun" w:hAnsi="SimSun" w:eastAsia="SimSun" w:cs="SimSun"/>
          <w:sz w:val="23"/>
          <w:szCs w:val="23"/>
          <w:spacing w:val="4"/>
        </w:rPr>
        <w:t>防疫的要求。</w:t>
      </w:r>
    </w:p>
    <w:p>
      <w:pPr>
        <w:ind w:left="108"/>
        <w:spacing w:line="221" w:lineRule="auto"/>
        <w:outlineLvl w:val="1"/>
        <w:rPr>
          <w:rFonts w:ascii="SimHei" w:hAnsi="SimHei" w:eastAsia="SimHei" w:cs="SimHei"/>
          <w:sz w:val="28"/>
          <w:szCs w:val="28"/>
        </w:rPr>
      </w:pPr>
      <w:bookmarkStart w:name="bookmark24" w:id="47"/>
      <w:bookmarkEnd w:id="47"/>
      <w:r>
        <w:rPr>
          <w:rFonts w:ascii="SimHei" w:hAnsi="SimHei" w:eastAsia="SimHei" w:cs="SimHei"/>
          <w:sz w:val="28"/>
          <w:szCs w:val="28"/>
          <w:b/>
          <w:bCs/>
          <w:spacing w:val="-8"/>
        </w:rPr>
        <w:t>2.4现有工程污染物排放情况</w:t>
      </w:r>
    </w:p>
    <w:p>
      <w:pPr>
        <w:ind w:left="108"/>
        <w:spacing w:before="252" w:line="221" w:lineRule="auto"/>
        <w:rPr>
          <w:rFonts w:ascii="SimHei" w:hAnsi="SimHei" w:eastAsia="SimHei" w:cs="SimHei"/>
          <w:sz w:val="23"/>
          <w:szCs w:val="23"/>
        </w:rPr>
      </w:pPr>
      <w:r>
        <w:rPr>
          <w:rFonts w:ascii="SimHei" w:hAnsi="SimHei" w:eastAsia="SimHei" w:cs="SimHei"/>
          <w:sz w:val="23"/>
          <w:szCs w:val="23"/>
          <w:b/>
          <w:bCs/>
          <w:spacing w:val="21"/>
        </w:rPr>
        <w:t>2</w:t>
      </w:r>
      <w:r>
        <w:rPr>
          <w:rFonts w:ascii="SimHei" w:hAnsi="SimHei" w:eastAsia="SimHei" w:cs="SimHei"/>
          <w:sz w:val="23"/>
          <w:szCs w:val="23"/>
          <w:spacing w:val="-47"/>
        </w:rPr>
        <w:t xml:space="preserve"> </w:t>
      </w:r>
      <w:r>
        <w:rPr>
          <w:rFonts w:ascii="SimHei" w:hAnsi="SimHei" w:eastAsia="SimHei" w:cs="SimHei"/>
          <w:sz w:val="23"/>
          <w:szCs w:val="23"/>
          <w:b/>
          <w:bCs/>
          <w:spacing w:val="21"/>
        </w:rPr>
        <w:t>.4</w:t>
      </w:r>
      <w:r>
        <w:rPr>
          <w:rFonts w:ascii="SimHei" w:hAnsi="SimHei" w:eastAsia="SimHei" w:cs="SimHei"/>
          <w:sz w:val="23"/>
          <w:szCs w:val="23"/>
          <w:spacing w:val="-60"/>
        </w:rPr>
        <w:t xml:space="preserve"> </w:t>
      </w:r>
      <w:r>
        <w:rPr>
          <w:rFonts w:ascii="SimHei" w:hAnsi="SimHei" w:eastAsia="SimHei" w:cs="SimHei"/>
          <w:sz w:val="23"/>
          <w:szCs w:val="23"/>
          <w:b/>
          <w:bCs/>
          <w:spacing w:val="21"/>
        </w:rPr>
        <w:t>.</w:t>
      </w:r>
      <w:r>
        <w:rPr>
          <w:rFonts w:ascii="SimHei" w:hAnsi="SimHei" w:eastAsia="SimHei" w:cs="SimHei"/>
          <w:sz w:val="23"/>
          <w:szCs w:val="23"/>
          <w:spacing w:val="-58"/>
        </w:rPr>
        <w:t xml:space="preserve"> </w:t>
      </w:r>
      <w:r>
        <w:rPr>
          <w:rFonts w:ascii="SimHei" w:hAnsi="SimHei" w:eastAsia="SimHei" w:cs="SimHei"/>
          <w:sz w:val="23"/>
          <w:szCs w:val="23"/>
          <w:b/>
          <w:bCs/>
          <w:spacing w:val="21"/>
        </w:rPr>
        <w:t>1废水污染源排放及治理措施</w:t>
      </w:r>
    </w:p>
    <w:p>
      <w:pPr>
        <w:ind w:left="104" w:right="105" w:firstLine="480"/>
        <w:spacing w:before="236" w:line="369" w:lineRule="auto"/>
        <w:tabs>
          <w:tab w:val="left" w:pos="213"/>
        </w:tabs>
        <w:jc w:val="both"/>
        <w:rPr>
          <w:rFonts w:ascii="SimSun" w:hAnsi="SimSun" w:eastAsia="SimSun" w:cs="SimSun"/>
          <w:sz w:val="23"/>
          <w:szCs w:val="23"/>
        </w:rPr>
      </w:pPr>
      <w:r>
        <w:rPr>
          <w:rFonts w:ascii="SimSun" w:hAnsi="SimSun" w:eastAsia="SimSun" w:cs="SimSun"/>
          <w:sz w:val="23"/>
          <w:szCs w:val="23"/>
          <w:spacing w:val="21"/>
        </w:rPr>
        <w:t>现有工程运营期废水主要为人员生活污水(包括隔油后的餐饮废水)、生</w:t>
      </w:r>
      <w:r>
        <w:rPr>
          <w:rFonts w:ascii="SimSun" w:hAnsi="SimSun" w:eastAsia="SimSun" w:cs="SimSun"/>
          <w:sz w:val="23"/>
          <w:szCs w:val="23"/>
          <w:spacing w:val="18"/>
        </w:rPr>
        <w:t xml:space="preserve"> </w:t>
      </w:r>
      <w:r>
        <w:rPr>
          <w:rFonts w:ascii="SimSun" w:hAnsi="SimSun" w:eastAsia="SimSun" w:cs="SimSun"/>
          <w:sz w:val="23"/>
          <w:szCs w:val="23"/>
          <w:spacing w:val="9"/>
        </w:rPr>
        <w:t>产废水。生活污水产生量为4</w:t>
      </w:r>
      <w:r>
        <w:rPr>
          <w:rFonts w:ascii="Times New Roman" w:hAnsi="Times New Roman" w:eastAsia="Times New Roman" w:cs="Times New Roman"/>
          <w:sz w:val="23"/>
          <w:szCs w:val="23"/>
          <w:spacing w:val="9"/>
        </w:rPr>
        <w:t>m³/d(1040m³/a),         </w:t>
      </w:r>
      <w:r>
        <w:rPr>
          <w:rFonts w:ascii="SimSun" w:hAnsi="SimSun" w:eastAsia="SimSun" w:cs="SimSun"/>
          <w:sz w:val="23"/>
          <w:szCs w:val="23"/>
          <w:spacing w:val="9"/>
        </w:rPr>
        <w:t>经化粪池(容</w:t>
      </w:r>
      <w:r>
        <w:rPr>
          <w:rFonts w:ascii="SimSun" w:hAnsi="SimSun" w:eastAsia="SimSun" w:cs="SimSun"/>
          <w:sz w:val="23"/>
          <w:szCs w:val="23"/>
          <w:spacing w:val="8"/>
        </w:rPr>
        <w:t>积为20</w:t>
      </w:r>
      <w:r>
        <w:rPr>
          <w:rFonts w:ascii="Times New Roman" w:hAnsi="Times New Roman" w:eastAsia="Times New Roman" w:cs="Times New Roman"/>
          <w:sz w:val="23"/>
          <w:szCs w:val="23"/>
          <w:spacing w:val="8"/>
        </w:rPr>
        <w:t>m³)   </w:t>
      </w:r>
      <w:r>
        <w:rPr>
          <w:rFonts w:ascii="SimSun" w:hAnsi="SimSun" w:eastAsia="SimSun" w:cs="SimSun"/>
          <w:sz w:val="23"/>
          <w:szCs w:val="23"/>
          <w:spacing w:val="8"/>
        </w:rPr>
        <w:t>预处</w:t>
      </w:r>
      <w:r>
        <w:rPr>
          <w:rFonts w:ascii="SimSun" w:hAnsi="SimSun" w:eastAsia="SimSun" w:cs="SimSun"/>
          <w:sz w:val="23"/>
          <w:szCs w:val="23"/>
        </w:rPr>
        <w:t xml:space="preserve"> </w:t>
      </w:r>
      <w:r>
        <w:rPr>
          <w:rFonts w:ascii="SimSun" w:hAnsi="SimSun" w:eastAsia="SimSun" w:cs="SimSun"/>
          <w:sz w:val="23"/>
          <w:szCs w:val="23"/>
          <w:spacing w:val="14"/>
        </w:rPr>
        <w:t>理后，进入园区污水管网；生产废水主要为生猪冲淋水、猪粪冲洗水、屠宰区</w:t>
      </w:r>
      <w:r>
        <w:rPr>
          <w:rFonts w:ascii="SimSun" w:hAnsi="SimSun" w:eastAsia="SimSun" w:cs="SimSun"/>
          <w:sz w:val="23"/>
          <w:szCs w:val="23"/>
          <w:spacing w:val="12"/>
        </w:rPr>
        <w:t xml:space="preserve"> </w:t>
      </w:r>
      <w:r>
        <w:rPr>
          <w:rFonts w:ascii="SimSun" w:hAnsi="SimSun" w:eastAsia="SimSun" w:cs="SimSun"/>
          <w:sz w:val="23"/>
          <w:szCs w:val="23"/>
          <w:spacing w:val="16"/>
        </w:rPr>
        <w:t>地面冲洗水、解剖时内脏以及猪肉等的冲洗水、烫猪用水，产生量为144m</w:t>
      </w:r>
      <w:r>
        <w:rPr>
          <w:rFonts w:ascii="SimSun" w:hAnsi="SimSun" w:eastAsia="SimSun" w:cs="SimSun"/>
          <w:sz w:val="23"/>
          <w:szCs w:val="23"/>
          <w:spacing w:val="15"/>
        </w:rPr>
        <w:t>³/d</w:t>
      </w:r>
      <w:r>
        <w:rPr>
          <w:rFonts w:ascii="SimSun" w:hAnsi="SimSun" w:eastAsia="SimSun" w:cs="SimSun"/>
          <w:sz w:val="23"/>
          <w:szCs w:val="23"/>
        </w:rPr>
        <w:t xml:space="preserve"> </w:t>
      </w:r>
      <w:r>
        <w:rPr>
          <w:rFonts w:ascii="Times New Roman" w:hAnsi="Times New Roman" w:eastAsia="Times New Roman" w:cs="Times New Roman"/>
          <w:sz w:val="23"/>
          <w:szCs w:val="23"/>
        </w:rPr>
        <w:tab/>
      </w:r>
      <w:r>
        <w:rPr>
          <w:rFonts w:ascii="Times New Roman" w:hAnsi="Times New Roman" w:eastAsia="Times New Roman" w:cs="Times New Roman"/>
          <w:sz w:val="23"/>
          <w:szCs w:val="23"/>
          <w:spacing w:val="13"/>
        </w:rPr>
        <w:t>(37440m³/a),       </w:t>
      </w:r>
      <w:r>
        <w:rPr>
          <w:rFonts w:ascii="SimSun" w:hAnsi="SimSun" w:eastAsia="SimSun" w:cs="SimSun"/>
          <w:sz w:val="23"/>
          <w:szCs w:val="23"/>
          <w:spacing w:val="13"/>
        </w:rPr>
        <w:t>经厂内污水处理站(工艺为“二级生化”)处理后达到《肉类</w:t>
      </w:r>
      <w:r>
        <w:rPr>
          <w:rFonts w:ascii="SimSun" w:hAnsi="SimSun" w:eastAsia="SimSun" w:cs="SimSun"/>
          <w:sz w:val="23"/>
          <w:szCs w:val="23"/>
          <w:spacing w:val="9"/>
        </w:rPr>
        <w:t xml:space="preserve"> </w:t>
      </w:r>
      <w:r>
        <w:rPr>
          <w:rFonts w:ascii="SimSun" w:hAnsi="SimSun" w:eastAsia="SimSun" w:cs="SimSun"/>
          <w:sz w:val="23"/>
          <w:szCs w:val="23"/>
          <w:spacing w:val="6"/>
        </w:rPr>
        <w:t>加工工业水污染物排放标准》</w:t>
      </w:r>
      <w:r>
        <w:rPr>
          <w:rFonts w:ascii="SimSun" w:hAnsi="SimSun" w:eastAsia="SimSun" w:cs="SimSun"/>
          <w:sz w:val="23"/>
          <w:szCs w:val="23"/>
          <w:spacing w:val="75"/>
        </w:rPr>
        <w:t xml:space="preserve"> </w:t>
      </w:r>
      <w:r>
        <w:rPr>
          <w:rFonts w:ascii="SimSun" w:hAnsi="SimSun" w:eastAsia="SimSun" w:cs="SimSun"/>
          <w:sz w:val="23"/>
          <w:szCs w:val="23"/>
          <w:spacing w:val="6"/>
        </w:rPr>
        <w:t>(</w:t>
      </w:r>
      <w:r>
        <w:rPr>
          <w:rFonts w:ascii="SimSun" w:hAnsi="SimSun" w:eastAsia="SimSun" w:cs="SimSun"/>
          <w:sz w:val="23"/>
          <w:szCs w:val="23"/>
        </w:rPr>
        <w:t>GB</w:t>
      </w:r>
      <w:r>
        <w:rPr>
          <w:rFonts w:ascii="SimSun" w:hAnsi="SimSun" w:eastAsia="SimSun" w:cs="SimSun"/>
          <w:sz w:val="23"/>
          <w:szCs w:val="23"/>
          <w:spacing w:val="6"/>
        </w:rPr>
        <w:t>13457</w:t>
      </w:r>
      <w:r>
        <w:rPr>
          <w:rFonts w:ascii="SimSun" w:hAnsi="SimSun" w:eastAsia="SimSun" w:cs="SimSun"/>
          <w:sz w:val="23"/>
          <w:szCs w:val="23"/>
          <w:spacing w:val="5"/>
        </w:rPr>
        <w:t>-92)</w:t>
      </w:r>
      <w:r>
        <w:rPr>
          <w:rFonts w:ascii="SimSun" w:hAnsi="SimSun" w:eastAsia="SimSun" w:cs="SimSun"/>
          <w:sz w:val="23"/>
          <w:szCs w:val="23"/>
          <w:spacing w:val="45"/>
        </w:rPr>
        <w:t xml:space="preserve">  </w:t>
      </w:r>
      <w:r>
        <w:rPr>
          <w:rFonts w:ascii="SimSun" w:hAnsi="SimSun" w:eastAsia="SimSun" w:cs="SimSun"/>
          <w:sz w:val="23"/>
          <w:szCs w:val="23"/>
          <w:spacing w:val="5"/>
        </w:rPr>
        <w:t>中的一级标准后，排入安州区第</w:t>
      </w:r>
      <w:r>
        <w:rPr>
          <w:rFonts w:ascii="SimSun" w:hAnsi="SimSun" w:eastAsia="SimSun" w:cs="SimSun"/>
          <w:sz w:val="23"/>
          <w:szCs w:val="23"/>
        </w:rPr>
        <w:t xml:space="preserve"> </w:t>
      </w:r>
      <w:r>
        <w:rPr>
          <w:rFonts w:ascii="SimSun" w:hAnsi="SimSun" w:eastAsia="SimSun" w:cs="SimSun"/>
          <w:sz w:val="23"/>
          <w:szCs w:val="23"/>
          <w:spacing w:val="6"/>
        </w:rPr>
        <w:t>三污水处理厂。</w:t>
      </w:r>
    </w:p>
    <w:p>
      <w:pPr>
        <w:ind w:left="104" w:right="114" w:firstLine="480"/>
        <w:spacing w:before="46" w:line="349" w:lineRule="auto"/>
        <w:rPr>
          <w:rFonts w:ascii="SimSun" w:hAnsi="SimSun" w:eastAsia="SimSun" w:cs="SimSun"/>
          <w:sz w:val="23"/>
          <w:szCs w:val="23"/>
        </w:rPr>
      </w:pPr>
      <w:r>
        <w:rPr>
          <w:rFonts w:ascii="SimSun" w:hAnsi="SimSun" w:eastAsia="SimSun" w:cs="SimSun"/>
          <w:sz w:val="23"/>
          <w:szCs w:val="23"/>
          <w:spacing w:val="10"/>
        </w:rPr>
        <w:t>绵阳柒鑫食品有限公司委托四川精标检测技术</w:t>
      </w:r>
      <w:r>
        <w:rPr>
          <w:rFonts w:ascii="SimSun" w:hAnsi="SimSun" w:eastAsia="SimSun" w:cs="SimSun"/>
          <w:sz w:val="23"/>
          <w:szCs w:val="23"/>
          <w:spacing w:val="9"/>
        </w:rPr>
        <w:t>有限公司于2024年11月8日对</w:t>
      </w:r>
      <w:r>
        <w:rPr>
          <w:rFonts w:ascii="SimSun" w:hAnsi="SimSun" w:eastAsia="SimSun" w:cs="SimSun"/>
          <w:sz w:val="23"/>
          <w:szCs w:val="23"/>
        </w:rPr>
        <w:t xml:space="preserve"> </w:t>
      </w:r>
      <w:r>
        <w:rPr>
          <w:rFonts w:ascii="SimSun" w:hAnsi="SimSun" w:eastAsia="SimSun" w:cs="SimSun"/>
          <w:sz w:val="23"/>
          <w:szCs w:val="23"/>
          <w:spacing w:val="9"/>
        </w:rPr>
        <w:t>厂区废水进行了第四季度自行监测，现有工程废水检测结果见下表。</w:t>
      </w:r>
    </w:p>
    <w:p>
      <w:pPr>
        <w:ind w:left="3178"/>
        <w:spacing w:line="211" w:lineRule="auto"/>
        <w:rPr>
          <w:rFonts w:ascii="SimSun" w:hAnsi="SimSun" w:eastAsia="SimSun" w:cs="SimSun"/>
          <w:sz w:val="25"/>
          <w:szCs w:val="25"/>
        </w:rPr>
      </w:pPr>
      <w:r>
        <w:rPr>
          <w:rFonts w:ascii="SimSun" w:hAnsi="SimSun" w:eastAsia="SimSun" w:cs="SimSun"/>
          <w:sz w:val="25"/>
          <w:szCs w:val="25"/>
          <w:b/>
          <w:bCs/>
          <w:spacing w:val="-4"/>
          <w:position w:val="-1"/>
        </w:rPr>
        <w:t>表2.4-1废水排放检测结果</w:t>
      </w:r>
      <w:r>
        <w:rPr>
          <w:rFonts w:ascii="SimSun" w:hAnsi="SimSun" w:eastAsia="SimSun" w:cs="SimSun"/>
          <w:sz w:val="25"/>
          <w:szCs w:val="25"/>
          <w:spacing w:val="13"/>
          <w:position w:val="-1"/>
        </w:rPr>
        <w:t xml:space="preserve">        </w:t>
      </w:r>
      <w:r>
        <w:rPr>
          <w:rFonts w:ascii="SimSun" w:hAnsi="SimSun" w:eastAsia="SimSun" w:cs="SimSun"/>
          <w:sz w:val="25"/>
          <w:szCs w:val="25"/>
          <w:b/>
          <w:bCs/>
          <w:spacing w:val="-4"/>
          <w:position w:val="1"/>
        </w:rPr>
        <w:t>单位：mg/L</w:t>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34"/>
        <w:gridCol w:w="1768"/>
        <w:gridCol w:w="1468"/>
        <w:gridCol w:w="1388"/>
        <w:gridCol w:w="1368"/>
        <w:gridCol w:w="1283"/>
      </w:tblGrid>
      <w:tr>
        <w:trPr>
          <w:trHeight w:val="282" w:hRule="atLeast"/>
        </w:trPr>
        <w:tc>
          <w:tcPr>
            <w:shd w:val="clear" w:fill="BDBDBD"/>
            <w:tcW w:w="1234" w:type="dxa"/>
            <w:vAlign w:val="top"/>
            <w:vMerge w:val="restart"/>
            <w:tcBorders>
              <w:bottom w:val="nil"/>
            </w:tcBorders>
          </w:tcPr>
          <w:p>
            <w:pPr>
              <w:pStyle w:val="TableText"/>
              <w:ind w:left="187"/>
              <w:spacing w:before="179" w:line="219" w:lineRule="auto"/>
              <w:rPr>
                <w:sz w:val="21"/>
                <w:szCs w:val="21"/>
              </w:rPr>
            </w:pPr>
            <w:r>
              <w:rPr>
                <w:sz w:val="21"/>
                <w:szCs w:val="21"/>
                <w:b/>
                <w:bCs/>
                <w:spacing w:val="-4"/>
              </w:rPr>
              <w:t>采样日期</w:t>
            </w:r>
          </w:p>
        </w:tc>
        <w:tc>
          <w:tcPr>
            <w:shd w:val="clear" w:fill="BDBDBD"/>
            <w:tcW w:w="1768" w:type="dxa"/>
            <w:vAlign w:val="top"/>
            <w:vMerge w:val="restart"/>
            <w:tcBorders>
              <w:bottom w:val="nil"/>
            </w:tcBorders>
          </w:tcPr>
          <w:p>
            <w:pPr>
              <w:pStyle w:val="TableText"/>
              <w:ind w:left="454"/>
              <w:spacing w:before="180" w:line="219" w:lineRule="auto"/>
              <w:rPr>
                <w:sz w:val="21"/>
                <w:szCs w:val="21"/>
              </w:rPr>
            </w:pPr>
            <w:r>
              <w:rPr>
                <w:sz w:val="21"/>
                <w:szCs w:val="21"/>
                <w:b/>
                <w:bCs/>
                <w:spacing w:val="6"/>
              </w:rPr>
              <w:t>检测项目</w:t>
            </w:r>
          </w:p>
        </w:tc>
        <w:tc>
          <w:tcPr>
            <w:shd w:val="clear" w:fill="BDBDBD"/>
            <w:tcW w:w="4224" w:type="dxa"/>
            <w:vAlign w:val="top"/>
            <w:gridSpan w:val="3"/>
          </w:tcPr>
          <w:p>
            <w:pPr>
              <w:pStyle w:val="TableText"/>
              <w:ind w:left="1666"/>
              <w:spacing w:before="39" w:line="204" w:lineRule="auto"/>
              <w:rPr>
                <w:sz w:val="21"/>
                <w:szCs w:val="21"/>
              </w:rPr>
            </w:pPr>
            <w:r>
              <w:rPr>
                <w:sz w:val="21"/>
                <w:szCs w:val="21"/>
                <w:b/>
                <w:bCs/>
                <w:spacing w:val="-4"/>
              </w:rPr>
              <w:t>检测结果</w:t>
            </w:r>
          </w:p>
        </w:tc>
        <w:tc>
          <w:tcPr>
            <w:shd w:val="clear" w:fill="BDBDBD"/>
            <w:tcW w:w="1283" w:type="dxa"/>
            <w:vAlign w:val="top"/>
            <w:vMerge w:val="restart"/>
            <w:tcBorders>
              <w:bottom w:val="nil"/>
            </w:tcBorders>
          </w:tcPr>
          <w:p>
            <w:pPr>
              <w:pStyle w:val="TableText"/>
              <w:ind w:left="431"/>
              <w:spacing w:before="180" w:line="219" w:lineRule="auto"/>
              <w:rPr>
                <w:sz w:val="21"/>
                <w:szCs w:val="21"/>
              </w:rPr>
            </w:pPr>
            <w:r>
              <w:rPr>
                <w:sz w:val="21"/>
                <w:szCs w:val="21"/>
                <w:b/>
                <w:bCs/>
                <w:spacing w:val="-2"/>
              </w:rPr>
              <w:t>限值</w:t>
            </w:r>
          </w:p>
        </w:tc>
      </w:tr>
      <w:tr>
        <w:trPr>
          <w:trHeight w:val="268" w:hRule="atLeast"/>
        </w:trPr>
        <w:tc>
          <w:tcPr>
            <w:tcW w:w="1234" w:type="dxa"/>
            <w:vAlign w:val="top"/>
            <w:vMerge w:val="continue"/>
            <w:tcBorders>
              <w:top w:val="nil"/>
            </w:tcBorders>
          </w:tcPr>
          <w:p>
            <w:pPr>
              <w:rPr>
                <w:rFonts w:ascii="Arial"/>
                <w:sz w:val="21"/>
              </w:rPr>
            </w:pPr>
            <w:r/>
          </w:p>
        </w:tc>
        <w:tc>
          <w:tcPr>
            <w:tcW w:w="1768" w:type="dxa"/>
            <w:vAlign w:val="top"/>
            <w:vMerge w:val="continue"/>
            <w:tcBorders>
              <w:top w:val="nil"/>
            </w:tcBorders>
          </w:tcPr>
          <w:p>
            <w:pPr>
              <w:rPr>
                <w:rFonts w:ascii="Arial"/>
                <w:sz w:val="21"/>
              </w:rPr>
            </w:pPr>
            <w:r/>
          </w:p>
        </w:tc>
        <w:tc>
          <w:tcPr>
            <w:shd w:val="clear" w:fill="BDBDBD"/>
            <w:tcW w:w="1468" w:type="dxa"/>
            <w:vAlign w:val="top"/>
          </w:tcPr>
          <w:p>
            <w:pPr>
              <w:pStyle w:val="TableText"/>
              <w:ind w:left="415"/>
              <w:spacing w:before="28" w:line="202" w:lineRule="auto"/>
              <w:rPr>
                <w:sz w:val="21"/>
                <w:szCs w:val="21"/>
              </w:rPr>
            </w:pPr>
            <w:r>
              <w:rPr>
                <w:sz w:val="21"/>
                <w:szCs w:val="21"/>
                <w:b/>
                <w:bCs/>
                <w:spacing w:val="-5"/>
              </w:rPr>
              <w:t>第一次</w:t>
            </w:r>
          </w:p>
        </w:tc>
        <w:tc>
          <w:tcPr>
            <w:shd w:val="clear" w:fill="BDBDBD"/>
            <w:tcW w:w="1388" w:type="dxa"/>
            <w:vAlign w:val="top"/>
          </w:tcPr>
          <w:p>
            <w:pPr>
              <w:pStyle w:val="TableText"/>
              <w:ind w:left="377"/>
              <w:spacing w:before="28" w:line="202" w:lineRule="auto"/>
              <w:rPr>
                <w:sz w:val="21"/>
                <w:szCs w:val="21"/>
              </w:rPr>
            </w:pPr>
            <w:r>
              <w:rPr>
                <w:sz w:val="21"/>
                <w:szCs w:val="21"/>
                <w:b/>
                <w:bCs/>
                <w:spacing w:val="-5"/>
              </w:rPr>
              <w:t>第二次</w:t>
            </w:r>
          </w:p>
        </w:tc>
        <w:tc>
          <w:tcPr>
            <w:shd w:val="clear" w:fill="BDBDBD"/>
            <w:tcW w:w="1368" w:type="dxa"/>
            <w:vAlign w:val="top"/>
          </w:tcPr>
          <w:p>
            <w:pPr>
              <w:pStyle w:val="TableText"/>
              <w:ind w:left="370"/>
              <w:spacing w:before="28" w:line="202" w:lineRule="auto"/>
              <w:rPr>
                <w:sz w:val="21"/>
                <w:szCs w:val="21"/>
              </w:rPr>
            </w:pPr>
            <w:r>
              <w:rPr>
                <w:sz w:val="21"/>
                <w:szCs w:val="21"/>
                <w:b/>
                <w:bCs/>
                <w:spacing w:val="-5"/>
              </w:rPr>
              <w:t>第三次</w:t>
            </w:r>
          </w:p>
        </w:tc>
        <w:tc>
          <w:tcPr>
            <w:tcW w:w="1283" w:type="dxa"/>
            <w:vAlign w:val="top"/>
            <w:vMerge w:val="continue"/>
            <w:tcBorders>
              <w:top w:val="nil"/>
            </w:tcBorders>
          </w:tcPr>
          <w:p>
            <w:pPr>
              <w:rPr>
                <w:rFonts w:ascii="Arial"/>
                <w:sz w:val="21"/>
              </w:rPr>
            </w:pPr>
            <w:r/>
          </w:p>
        </w:tc>
      </w:tr>
      <w:tr>
        <w:trPr>
          <w:trHeight w:val="268" w:hRule="atLeast"/>
        </w:trPr>
        <w:tc>
          <w:tcPr>
            <w:tcW w:w="1234" w:type="dxa"/>
            <w:vAlign w:val="top"/>
            <w:vMerge w:val="restart"/>
            <w:tcBorders>
              <w:bottom w:val="nil"/>
            </w:tcBorders>
          </w:tcPr>
          <w:p>
            <w:pPr>
              <w:pStyle w:val="TableText"/>
              <w:ind w:left="84"/>
              <w:spacing w:before="204" w:line="239" w:lineRule="auto"/>
              <w:rPr>
                <w:sz w:val="21"/>
                <w:szCs w:val="21"/>
              </w:rPr>
            </w:pPr>
            <w:r>
              <w:rPr>
                <w:sz w:val="21"/>
                <w:szCs w:val="21"/>
                <w:spacing w:val="-1"/>
              </w:rPr>
              <w:t>2024.10.30</w:t>
            </w:r>
          </w:p>
        </w:tc>
        <w:tc>
          <w:tcPr>
            <w:tcW w:w="1768" w:type="dxa"/>
            <w:vAlign w:val="top"/>
          </w:tcPr>
          <w:p>
            <w:pPr>
              <w:pStyle w:val="TableText"/>
              <w:ind w:left="350"/>
              <w:spacing w:before="28" w:line="202" w:lineRule="auto"/>
              <w:rPr>
                <w:sz w:val="21"/>
                <w:szCs w:val="21"/>
              </w:rPr>
            </w:pPr>
            <w:r>
              <w:rPr>
                <w:sz w:val="21"/>
                <w:szCs w:val="21"/>
              </w:rPr>
              <w:t>pH</w:t>
            </w:r>
            <w:r>
              <w:rPr>
                <w:sz w:val="21"/>
                <w:szCs w:val="21"/>
                <w:spacing w:val="9"/>
              </w:rPr>
              <w:t>(无量纲)</w:t>
            </w:r>
          </w:p>
        </w:tc>
        <w:tc>
          <w:tcPr>
            <w:tcW w:w="1468" w:type="dxa"/>
            <w:vAlign w:val="top"/>
          </w:tcPr>
          <w:p>
            <w:pPr>
              <w:pStyle w:val="TableText"/>
              <w:ind w:left="563"/>
              <w:spacing w:before="54" w:line="179" w:lineRule="auto"/>
              <w:rPr>
                <w:sz w:val="21"/>
                <w:szCs w:val="21"/>
              </w:rPr>
            </w:pPr>
            <w:r>
              <w:rPr>
                <w:sz w:val="21"/>
                <w:szCs w:val="21"/>
                <w:spacing w:val="-3"/>
              </w:rPr>
              <w:t>7.9</w:t>
            </w:r>
          </w:p>
        </w:tc>
        <w:tc>
          <w:tcPr>
            <w:tcW w:w="1388" w:type="dxa"/>
            <w:vAlign w:val="top"/>
          </w:tcPr>
          <w:p>
            <w:pPr>
              <w:pStyle w:val="TableText"/>
              <w:ind w:left="524"/>
              <w:spacing w:before="54" w:line="179" w:lineRule="auto"/>
              <w:rPr>
                <w:sz w:val="21"/>
                <w:szCs w:val="21"/>
              </w:rPr>
            </w:pPr>
            <w:r>
              <w:rPr>
                <w:sz w:val="21"/>
                <w:szCs w:val="21"/>
                <w:spacing w:val="-3"/>
              </w:rPr>
              <w:t>7.9</w:t>
            </w:r>
          </w:p>
        </w:tc>
        <w:tc>
          <w:tcPr>
            <w:tcW w:w="1368" w:type="dxa"/>
            <w:vAlign w:val="top"/>
          </w:tcPr>
          <w:p>
            <w:pPr>
              <w:pStyle w:val="TableText"/>
              <w:ind w:left="516"/>
              <w:spacing w:before="54" w:line="179" w:lineRule="auto"/>
              <w:rPr>
                <w:sz w:val="21"/>
                <w:szCs w:val="21"/>
              </w:rPr>
            </w:pPr>
            <w:r>
              <w:rPr>
                <w:sz w:val="21"/>
                <w:szCs w:val="21"/>
                <w:spacing w:val="-3"/>
              </w:rPr>
              <w:t>7.7</w:t>
            </w:r>
          </w:p>
        </w:tc>
        <w:tc>
          <w:tcPr>
            <w:tcW w:w="1283" w:type="dxa"/>
            <w:vAlign w:val="top"/>
          </w:tcPr>
          <w:p>
            <w:pPr>
              <w:pStyle w:val="TableText"/>
              <w:ind w:left="268"/>
              <w:spacing w:before="54" w:line="179" w:lineRule="auto"/>
              <w:rPr>
                <w:sz w:val="21"/>
                <w:szCs w:val="21"/>
              </w:rPr>
            </w:pPr>
            <w:r>
              <w:rPr>
                <w:sz w:val="21"/>
                <w:szCs w:val="21"/>
                <w:spacing w:val="-2"/>
              </w:rPr>
              <w:t>6.0-8.5</w:t>
            </w:r>
          </w:p>
        </w:tc>
      </w:tr>
      <w:tr>
        <w:trPr>
          <w:trHeight w:val="282" w:hRule="atLeast"/>
        </w:trPr>
        <w:tc>
          <w:tcPr>
            <w:tcW w:w="1234" w:type="dxa"/>
            <w:vAlign w:val="top"/>
            <w:vMerge w:val="continue"/>
            <w:tcBorders>
              <w:top w:val="nil"/>
            </w:tcBorders>
          </w:tcPr>
          <w:p>
            <w:pPr>
              <w:rPr>
                <w:rFonts w:ascii="Arial"/>
                <w:sz w:val="21"/>
              </w:rPr>
            </w:pPr>
            <w:r/>
          </w:p>
        </w:tc>
        <w:tc>
          <w:tcPr>
            <w:tcW w:w="1768" w:type="dxa"/>
            <w:vAlign w:val="top"/>
          </w:tcPr>
          <w:p>
            <w:pPr>
              <w:pStyle w:val="TableText"/>
              <w:ind w:left="560"/>
              <w:spacing w:before="46" w:line="198" w:lineRule="auto"/>
              <w:rPr>
                <w:sz w:val="21"/>
                <w:szCs w:val="21"/>
              </w:rPr>
            </w:pPr>
            <w:r>
              <w:rPr>
                <w:sz w:val="21"/>
                <w:szCs w:val="21"/>
                <w:spacing w:val="3"/>
              </w:rPr>
              <w:t>悬浮物</w:t>
            </w:r>
          </w:p>
        </w:tc>
        <w:tc>
          <w:tcPr>
            <w:tcW w:w="1468" w:type="dxa"/>
            <w:vAlign w:val="top"/>
          </w:tcPr>
          <w:p>
            <w:pPr>
              <w:pStyle w:val="TableText"/>
              <w:ind w:left="622"/>
              <w:spacing w:before="66" w:line="181" w:lineRule="auto"/>
              <w:rPr>
                <w:sz w:val="21"/>
                <w:szCs w:val="21"/>
              </w:rPr>
            </w:pPr>
            <w:r>
              <w:rPr>
                <w:sz w:val="21"/>
                <w:szCs w:val="21"/>
                <w:spacing w:val="-4"/>
              </w:rPr>
              <w:t>57</w:t>
            </w:r>
          </w:p>
        </w:tc>
        <w:tc>
          <w:tcPr>
            <w:tcW w:w="1388" w:type="dxa"/>
            <w:vAlign w:val="top"/>
          </w:tcPr>
          <w:p>
            <w:pPr>
              <w:pStyle w:val="TableText"/>
              <w:ind w:left="584"/>
              <w:spacing w:before="66" w:line="181" w:lineRule="auto"/>
              <w:rPr>
                <w:sz w:val="21"/>
                <w:szCs w:val="21"/>
              </w:rPr>
            </w:pPr>
            <w:r>
              <w:rPr>
                <w:sz w:val="21"/>
                <w:szCs w:val="21"/>
                <w:spacing w:val="-4"/>
              </w:rPr>
              <w:t>58</w:t>
            </w:r>
          </w:p>
        </w:tc>
        <w:tc>
          <w:tcPr>
            <w:tcW w:w="1368" w:type="dxa"/>
            <w:vAlign w:val="top"/>
          </w:tcPr>
          <w:p>
            <w:pPr>
              <w:pStyle w:val="TableText"/>
              <w:ind w:left="576"/>
              <w:spacing w:before="66" w:line="181" w:lineRule="auto"/>
              <w:rPr>
                <w:sz w:val="21"/>
                <w:szCs w:val="21"/>
              </w:rPr>
            </w:pPr>
            <w:r>
              <w:rPr>
                <w:sz w:val="21"/>
                <w:szCs w:val="21"/>
                <w:spacing w:val="-4"/>
              </w:rPr>
              <w:t>59</w:t>
            </w:r>
          </w:p>
        </w:tc>
        <w:tc>
          <w:tcPr>
            <w:tcW w:w="1283" w:type="dxa"/>
            <w:vAlign w:val="top"/>
          </w:tcPr>
          <w:p>
            <w:pPr>
              <w:pStyle w:val="TableText"/>
              <w:ind w:left="478"/>
              <w:spacing w:before="66" w:line="181" w:lineRule="auto"/>
              <w:rPr>
                <w:sz w:val="21"/>
                <w:szCs w:val="21"/>
              </w:rPr>
            </w:pPr>
            <w:r>
              <w:rPr>
                <w:sz w:val="21"/>
                <w:szCs w:val="21"/>
                <w:spacing w:val="-3"/>
              </w:rPr>
              <w:t>500</w:t>
            </w:r>
          </w:p>
        </w:tc>
      </w:tr>
    </w:tbl>
    <w:p>
      <w:pPr>
        <w:pStyle w:val="BodyText"/>
        <w:rPr/>
      </w:pPr>
      <w:r/>
    </w:p>
    <w:p>
      <w:pPr>
        <w:sectPr>
          <w:headerReference w:type="default" r:id="rId175"/>
          <w:footerReference w:type="default" r:id="rId176"/>
          <w:pgSz w:w="11910" w:h="16840"/>
          <w:pgMar w:top="1219" w:right="1715" w:bottom="1017" w:left="1675" w:header="865" w:footer="719" w:gutter="0"/>
        </w:sectPr>
        <w:rPr/>
      </w:pPr>
    </w:p>
    <w:p>
      <w:pPr>
        <w:spacing w:line="224" w:lineRule="exact"/>
        <w:rPr/>
      </w:pPr>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34"/>
        <w:gridCol w:w="1758"/>
        <w:gridCol w:w="1478"/>
        <w:gridCol w:w="1378"/>
        <w:gridCol w:w="1378"/>
        <w:gridCol w:w="1273"/>
      </w:tblGrid>
      <w:tr>
        <w:trPr>
          <w:trHeight w:val="284" w:hRule="atLeast"/>
        </w:trPr>
        <w:tc>
          <w:tcPr>
            <w:tcW w:w="1234" w:type="dxa"/>
            <w:vAlign w:val="top"/>
            <w:vMerge w:val="restart"/>
            <w:tcBorders>
              <w:bottom w:val="nil"/>
            </w:tcBorders>
          </w:tcPr>
          <w:p>
            <w:pPr>
              <w:rPr>
                <w:rFonts w:ascii="Arial"/>
                <w:sz w:val="21"/>
              </w:rPr>
            </w:pPr>
            <w:r/>
          </w:p>
        </w:tc>
        <w:tc>
          <w:tcPr>
            <w:tcW w:w="1758" w:type="dxa"/>
            <w:vAlign w:val="top"/>
          </w:tcPr>
          <w:p>
            <w:pPr>
              <w:pStyle w:val="TableText"/>
              <w:ind w:left="340"/>
              <w:spacing w:before="43" w:line="203" w:lineRule="auto"/>
              <w:rPr>
                <w:sz w:val="21"/>
                <w:szCs w:val="21"/>
              </w:rPr>
            </w:pPr>
            <w:bookmarkStart w:name="bookmark96" w:id="48"/>
            <w:bookmarkEnd w:id="48"/>
            <w:r>
              <w:rPr>
                <w:sz w:val="21"/>
                <w:szCs w:val="21"/>
                <w:spacing w:val="-2"/>
              </w:rPr>
              <w:t>化学需氧量</w:t>
            </w:r>
          </w:p>
        </w:tc>
        <w:tc>
          <w:tcPr>
            <w:tcW w:w="1478" w:type="dxa"/>
            <w:vAlign w:val="top"/>
          </w:tcPr>
          <w:p>
            <w:pPr>
              <w:pStyle w:val="TableText"/>
              <w:ind w:left="573"/>
              <w:spacing w:before="64" w:line="184" w:lineRule="auto"/>
              <w:rPr>
                <w:sz w:val="21"/>
                <w:szCs w:val="21"/>
              </w:rPr>
            </w:pPr>
            <w:r>
              <w:rPr>
                <w:sz w:val="21"/>
                <w:szCs w:val="21"/>
                <w:spacing w:val="-3"/>
              </w:rPr>
              <w:t>226</w:t>
            </w:r>
          </w:p>
        </w:tc>
        <w:tc>
          <w:tcPr>
            <w:tcW w:w="1378" w:type="dxa"/>
            <w:vAlign w:val="top"/>
          </w:tcPr>
          <w:p>
            <w:pPr>
              <w:pStyle w:val="TableText"/>
              <w:ind w:left="524"/>
              <w:spacing w:before="64" w:line="184" w:lineRule="auto"/>
              <w:rPr>
                <w:sz w:val="21"/>
                <w:szCs w:val="21"/>
              </w:rPr>
            </w:pPr>
            <w:r>
              <w:rPr>
                <w:sz w:val="21"/>
                <w:szCs w:val="21"/>
                <w:spacing w:val="-3"/>
              </w:rPr>
              <w:t>254</w:t>
            </w:r>
          </w:p>
        </w:tc>
        <w:tc>
          <w:tcPr>
            <w:tcW w:w="1378" w:type="dxa"/>
            <w:vAlign w:val="top"/>
          </w:tcPr>
          <w:p>
            <w:pPr>
              <w:pStyle w:val="TableText"/>
              <w:ind w:left="526"/>
              <w:spacing w:before="64" w:line="184" w:lineRule="auto"/>
              <w:rPr>
                <w:sz w:val="21"/>
                <w:szCs w:val="21"/>
              </w:rPr>
            </w:pPr>
            <w:r>
              <w:rPr>
                <w:sz w:val="21"/>
                <w:szCs w:val="21"/>
                <w:spacing w:val="-3"/>
              </w:rPr>
              <w:t>272</w:t>
            </w:r>
          </w:p>
        </w:tc>
        <w:tc>
          <w:tcPr>
            <w:tcW w:w="1273" w:type="dxa"/>
            <w:vAlign w:val="top"/>
          </w:tcPr>
          <w:p>
            <w:pPr>
              <w:pStyle w:val="TableText"/>
              <w:ind w:left="468"/>
              <w:spacing w:before="64" w:line="184" w:lineRule="auto"/>
              <w:rPr>
                <w:sz w:val="21"/>
                <w:szCs w:val="21"/>
              </w:rPr>
            </w:pPr>
            <w:r>
              <w:rPr>
                <w:sz w:val="21"/>
                <w:szCs w:val="21"/>
                <w:spacing w:val="-2"/>
              </w:rPr>
              <w:t>400</w:t>
            </w:r>
          </w:p>
        </w:tc>
      </w:tr>
      <w:tr>
        <w:trPr>
          <w:trHeight w:val="279" w:hRule="atLeast"/>
        </w:trPr>
        <w:tc>
          <w:tcPr>
            <w:tcW w:w="1234" w:type="dxa"/>
            <w:vAlign w:val="top"/>
            <w:vMerge w:val="continue"/>
            <w:tcBorders>
              <w:top w:val="nil"/>
              <w:bottom w:val="nil"/>
            </w:tcBorders>
          </w:tcPr>
          <w:p>
            <w:pPr>
              <w:rPr>
                <w:rFonts w:ascii="Arial"/>
                <w:sz w:val="21"/>
              </w:rPr>
            </w:pPr>
            <w:r/>
          </w:p>
        </w:tc>
        <w:tc>
          <w:tcPr>
            <w:tcW w:w="1758" w:type="dxa"/>
            <w:vAlign w:val="top"/>
          </w:tcPr>
          <w:p>
            <w:pPr>
              <w:pStyle w:val="TableText"/>
              <w:ind w:left="131"/>
              <w:spacing w:before="39" w:line="202" w:lineRule="auto"/>
              <w:rPr>
                <w:sz w:val="21"/>
                <w:szCs w:val="21"/>
              </w:rPr>
            </w:pPr>
            <w:r>
              <w:rPr>
                <w:sz w:val="21"/>
                <w:szCs w:val="21"/>
                <w:spacing w:val="-2"/>
              </w:rPr>
              <w:t>五日生化需氧量</w:t>
            </w:r>
          </w:p>
        </w:tc>
        <w:tc>
          <w:tcPr>
            <w:tcW w:w="1478" w:type="dxa"/>
            <w:vAlign w:val="top"/>
          </w:tcPr>
          <w:p>
            <w:pPr>
              <w:pStyle w:val="TableText"/>
              <w:ind w:left="622"/>
              <w:spacing w:before="60" w:line="183" w:lineRule="auto"/>
              <w:rPr>
                <w:sz w:val="21"/>
                <w:szCs w:val="21"/>
              </w:rPr>
            </w:pPr>
            <w:r>
              <w:rPr>
                <w:sz w:val="21"/>
                <w:szCs w:val="21"/>
                <w:spacing w:val="-4"/>
              </w:rPr>
              <w:t>77</w:t>
            </w:r>
          </w:p>
        </w:tc>
        <w:tc>
          <w:tcPr>
            <w:tcW w:w="1378" w:type="dxa"/>
            <w:vAlign w:val="top"/>
          </w:tcPr>
          <w:p>
            <w:pPr>
              <w:pStyle w:val="TableText"/>
              <w:ind w:left="574"/>
              <w:spacing w:before="60" w:line="183" w:lineRule="auto"/>
              <w:rPr>
                <w:sz w:val="21"/>
                <w:szCs w:val="21"/>
              </w:rPr>
            </w:pPr>
            <w:r>
              <w:rPr>
                <w:sz w:val="21"/>
                <w:szCs w:val="21"/>
                <w:spacing w:val="-3"/>
              </w:rPr>
              <w:t>82</w:t>
            </w:r>
          </w:p>
        </w:tc>
        <w:tc>
          <w:tcPr>
            <w:tcW w:w="1378" w:type="dxa"/>
            <w:vAlign w:val="top"/>
          </w:tcPr>
          <w:p>
            <w:pPr>
              <w:pStyle w:val="TableText"/>
              <w:ind w:left="576"/>
              <w:spacing w:before="60" w:line="183" w:lineRule="auto"/>
              <w:rPr>
                <w:sz w:val="21"/>
                <w:szCs w:val="21"/>
              </w:rPr>
            </w:pPr>
            <w:r>
              <w:rPr>
                <w:sz w:val="21"/>
                <w:szCs w:val="21"/>
                <w:spacing w:val="-3"/>
              </w:rPr>
              <w:t>84</w:t>
            </w:r>
          </w:p>
        </w:tc>
        <w:tc>
          <w:tcPr>
            <w:tcW w:w="1273" w:type="dxa"/>
            <w:vAlign w:val="top"/>
          </w:tcPr>
          <w:p>
            <w:pPr>
              <w:pStyle w:val="TableText"/>
              <w:ind w:left="468"/>
              <w:spacing w:before="52" w:line="182" w:lineRule="auto"/>
              <w:rPr>
                <w:sz w:val="22"/>
                <w:szCs w:val="22"/>
              </w:rPr>
            </w:pPr>
            <w:r>
              <w:rPr>
                <w:sz w:val="22"/>
                <w:szCs w:val="22"/>
                <w:spacing w:val="-3"/>
              </w:rPr>
              <w:t>300</w:t>
            </w:r>
          </w:p>
        </w:tc>
      </w:tr>
      <w:tr>
        <w:trPr>
          <w:trHeight w:val="269" w:hRule="atLeast"/>
        </w:trPr>
        <w:tc>
          <w:tcPr>
            <w:tcW w:w="1234" w:type="dxa"/>
            <w:vAlign w:val="top"/>
            <w:vMerge w:val="continue"/>
            <w:tcBorders>
              <w:top w:val="nil"/>
              <w:bottom w:val="nil"/>
            </w:tcBorders>
          </w:tcPr>
          <w:p>
            <w:pPr>
              <w:rPr>
                <w:rFonts w:ascii="Arial"/>
                <w:sz w:val="21"/>
              </w:rPr>
            </w:pPr>
            <w:r/>
          </w:p>
        </w:tc>
        <w:tc>
          <w:tcPr>
            <w:tcW w:w="1758" w:type="dxa"/>
            <w:vAlign w:val="top"/>
          </w:tcPr>
          <w:p>
            <w:pPr>
              <w:pStyle w:val="TableText"/>
              <w:ind w:left="661"/>
              <w:spacing w:before="29" w:line="202" w:lineRule="auto"/>
              <w:rPr>
                <w:sz w:val="21"/>
                <w:szCs w:val="21"/>
              </w:rPr>
            </w:pPr>
            <w:r>
              <w:rPr>
                <w:sz w:val="21"/>
                <w:szCs w:val="21"/>
                <w:spacing w:val="-3"/>
              </w:rPr>
              <w:t>氨氮</w:t>
            </w:r>
          </w:p>
        </w:tc>
        <w:tc>
          <w:tcPr>
            <w:tcW w:w="1478" w:type="dxa"/>
            <w:vAlign w:val="top"/>
          </w:tcPr>
          <w:p>
            <w:pPr>
              <w:pStyle w:val="TableText"/>
              <w:ind w:left="523"/>
              <w:spacing w:before="51" w:line="182" w:lineRule="auto"/>
              <w:rPr>
                <w:sz w:val="21"/>
                <w:szCs w:val="21"/>
              </w:rPr>
            </w:pPr>
            <w:r>
              <w:rPr>
                <w:sz w:val="21"/>
                <w:szCs w:val="21"/>
                <w:spacing w:val="-2"/>
              </w:rPr>
              <w:t>43.5</w:t>
            </w:r>
          </w:p>
        </w:tc>
        <w:tc>
          <w:tcPr>
            <w:tcW w:w="1378" w:type="dxa"/>
            <w:vAlign w:val="top"/>
          </w:tcPr>
          <w:p>
            <w:pPr>
              <w:pStyle w:val="TableText"/>
              <w:ind w:left="474"/>
              <w:spacing w:before="51" w:line="182" w:lineRule="auto"/>
              <w:rPr>
                <w:sz w:val="21"/>
                <w:szCs w:val="21"/>
              </w:rPr>
            </w:pPr>
            <w:r>
              <w:rPr>
                <w:sz w:val="21"/>
                <w:szCs w:val="21"/>
                <w:spacing w:val="-2"/>
              </w:rPr>
              <w:t>42.9</w:t>
            </w:r>
          </w:p>
        </w:tc>
        <w:tc>
          <w:tcPr>
            <w:tcW w:w="1378" w:type="dxa"/>
            <w:vAlign w:val="top"/>
          </w:tcPr>
          <w:p>
            <w:pPr>
              <w:pStyle w:val="TableText"/>
              <w:ind w:left="476"/>
              <w:spacing w:before="51" w:line="182" w:lineRule="auto"/>
              <w:rPr>
                <w:sz w:val="21"/>
                <w:szCs w:val="21"/>
              </w:rPr>
            </w:pPr>
            <w:r>
              <w:rPr>
                <w:sz w:val="21"/>
                <w:szCs w:val="21"/>
                <w:spacing w:val="-2"/>
              </w:rPr>
              <w:t>41.6</w:t>
            </w:r>
          </w:p>
        </w:tc>
        <w:tc>
          <w:tcPr>
            <w:tcW w:w="1273" w:type="dxa"/>
            <w:vAlign w:val="top"/>
          </w:tcPr>
          <w:p>
            <w:pPr>
              <w:pStyle w:val="TableText"/>
              <w:ind w:left="588"/>
              <w:spacing w:before="149" w:line="109" w:lineRule="exact"/>
              <w:rPr>
                <w:sz w:val="16"/>
                <w:szCs w:val="16"/>
              </w:rPr>
            </w:pPr>
            <w:r>
              <w:rPr>
                <w:sz w:val="16"/>
                <w:szCs w:val="16"/>
                <w:position w:val="-3"/>
              </w:rPr>
              <w:t>—</w:t>
            </w:r>
          </w:p>
        </w:tc>
      </w:tr>
      <w:tr>
        <w:trPr>
          <w:trHeight w:val="279" w:hRule="atLeast"/>
        </w:trPr>
        <w:tc>
          <w:tcPr>
            <w:tcW w:w="1234" w:type="dxa"/>
            <w:vAlign w:val="top"/>
            <w:vMerge w:val="continue"/>
            <w:tcBorders>
              <w:top w:val="nil"/>
              <w:bottom w:val="nil"/>
            </w:tcBorders>
          </w:tcPr>
          <w:p>
            <w:pPr>
              <w:rPr>
                <w:rFonts w:ascii="Arial"/>
                <w:sz w:val="21"/>
              </w:rPr>
            </w:pPr>
            <w:r/>
          </w:p>
        </w:tc>
        <w:tc>
          <w:tcPr>
            <w:tcW w:w="1758" w:type="dxa"/>
            <w:vAlign w:val="top"/>
          </w:tcPr>
          <w:p>
            <w:pPr>
              <w:pStyle w:val="TableText"/>
              <w:ind w:left="451"/>
              <w:spacing w:before="41" w:line="200" w:lineRule="auto"/>
              <w:rPr>
                <w:sz w:val="21"/>
                <w:szCs w:val="21"/>
              </w:rPr>
            </w:pPr>
            <w:r>
              <w:rPr>
                <w:sz w:val="21"/>
                <w:szCs w:val="21"/>
                <w:spacing w:val="5"/>
              </w:rPr>
              <w:t>动植物油</w:t>
            </w:r>
          </w:p>
        </w:tc>
        <w:tc>
          <w:tcPr>
            <w:tcW w:w="1478" w:type="dxa"/>
            <w:vAlign w:val="top"/>
          </w:tcPr>
          <w:p>
            <w:pPr>
              <w:pStyle w:val="TableText"/>
              <w:ind w:left="462"/>
              <w:spacing w:before="63" w:line="181" w:lineRule="auto"/>
              <w:rPr>
                <w:sz w:val="21"/>
                <w:szCs w:val="21"/>
              </w:rPr>
            </w:pPr>
            <w:r>
              <w:rPr>
                <w:sz w:val="21"/>
                <w:szCs w:val="21"/>
                <w:spacing w:val="-2"/>
              </w:rPr>
              <w:t>0.032</w:t>
            </w:r>
          </w:p>
        </w:tc>
        <w:tc>
          <w:tcPr>
            <w:tcW w:w="1378" w:type="dxa"/>
            <w:vAlign w:val="top"/>
          </w:tcPr>
          <w:p>
            <w:pPr>
              <w:pStyle w:val="TableText"/>
              <w:ind w:left="415"/>
              <w:spacing w:before="63" w:line="181" w:lineRule="auto"/>
              <w:rPr>
                <w:sz w:val="21"/>
                <w:szCs w:val="21"/>
              </w:rPr>
            </w:pPr>
            <w:r>
              <w:rPr>
                <w:sz w:val="21"/>
                <w:szCs w:val="21"/>
                <w:spacing w:val="-2"/>
              </w:rPr>
              <w:t>0.045</w:t>
            </w:r>
          </w:p>
        </w:tc>
        <w:tc>
          <w:tcPr>
            <w:tcW w:w="1378" w:type="dxa"/>
            <w:vAlign w:val="top"/>
          </w:tcPr>
          <w:p>
            <w:pPr>
              <w:pStyle w:val="TableText"/>
              <w:ind w:left="417"/>
              <w:spacing w:before="63" w:line="181" w:lineRule="auto"/>
              <w:rPr>
                <w:sz w:val="21"/>
                <w:szCs w:val="21"/>
              </w:rPr>
            </w:pPr>
            <w:r>
              <w:rPr>
                <w:sz w:val="21"/>
                <w:szCs w:val="21"/>
                <w:spacing w:val="-2"/>
              </w:rPr>
              <w:t>0.027</w:t>
            </w:r>
          </w:p>
        </w:tc>
        <w:tc>
          <w:tcPr>
            <w:tcW w:w="1273" w:type="dxa"/>
            <w:vAlign w:val="top"/>
          </w:tcPr>
          <w:p>
            <w:pPr>
              <w:pStyle w:val="TableText"/>
              <w:ind w:left="528"/>
              <w:spacing w:before="63" w:line="181" w:lineRule="auto"/>
              <w:rPr>
                <w:sz w:val="21"/>
                <w:szCs w:val="21"/>
              </w:rPr>
            </w:pPr>
            <w:r>
              <w:rPr>
                <w:sz w:val="21"/>
                <w:szCs w:val="21"/>
                <w:spacing w:val="-3"/>
              </w:rPr>
              <w:t>60</w:t>
            </w:r>
          </w:p>
        </w:tc>
      </w:tr>
      <w:tr>
        <w:trPr>
          <w:trHeight w:val="259" w:hRule="atLeast"/>
        </w:trPr>
        <w:tc>
          <w:tcPr>
            <w:tcW w:w="1234" w:type="dxa"/>
            <w:vAlign w:val="top"/>
            <w:vMerge w:val="continue"/>
            <w:tcBorders>
              <w:top w:val="nil"/>
              <w:bottom w:val="nil"/>
            </w:tcBorders>
          </w:tcPr>
          <w:p>
            <w:pPr>
              <w:rPr>
                <w:rFonts w:ascii="Arial"/>
                <w:sz w:val="21"/>
              </w:rPr>
            </w:pPr>
            <w:r/>
          </w:p>
        </w:tc>
        <w:tc>
          <w:tcPr>
            <w:tcW w:w="1758" w:type="dxa"/>
            <w:vAlign w:val="top"/>
          </w:tcPr>
          <w:p>
            <w:pPr>
              <w:pStyle w:val="TableText"/>
              <w:ind w:left="80"/>
              <w:spacing w:before="32" w:line="190" w:lineRule="auto"/>
              <w:rPr>
                <w:sz w:val="21"/>
                <w:szCs w:val="21"/>
              </w:rPr>
            </w:pPr>
            <w:r>
              <w:rPr>
                <w:sz w:val="21"/>
                <w:szCs w:val="21"/>
                <w:spacing w:val="-1"/>
              </w:rPr>
              <w:t>粪大肠菌群MPN/L</w:t>
            </w:r>
          </w:p>
        </w:tc>
        <w:tc>
          <w:tcPr>
            <w:tcW w:w="1478" w:type="dxa"/>
            <w:vAlign w:val="top"/>
          </w:tcPr>
          <w:p>
            <w:pPr>
              <w:pStyle w:val="TableText"/>
              <w:ind w:left="152"/>
              <w:spacing w:before="53" w:line="172" w:lineRule="auto"/>
              <w:rPr>
                <w:rFonts w:ascii="Calibri" w:hAnsi="Calibri" w:eastAsia="Calibri" w:cs="Calibri"/>
                <w:sz w:val="21"/>
                <w:szCs w:val="21"/>
              </w:rPr>
            </w:pPr>
            <w:r>
              <w:rPr>
                <w:sz w:val="21"/>
                <w:szCs w:val="21"/>
                <w:spacing w:val="-2"/>
              </w:rPr>
              <w:t>&gt;2.40×10</w:t>
            </w:r>
            <w:r>
              <w:rPr>
                <w:rFonts w:ascii="Calibri" w:hAnsi="Calibri" w:eastAsia="Calibri" w:cs="Calibri"/>
                <w:sz w:val="21"/>
                <w:szCs w:val="21"/>
                <w:spacing w:val="-2"/>
              </w:rPr>
              <w:t>⁴</w:t>
            </w:r>
          </w:p>
        </w:tc>
        <w:tc>
          <w:tcPr>
            <w:tcW w:w="1378" w:type="dxa"/>
            <w:vAlign w:val="top"/>
          </w:tcPr>
          <w:p>
            <w:pPr>
              <w:pStyle w:val="TableText"/>
              <w:ind w:left="104"/>
              <w:spacing w:before="53" w:line="172" w:lineRule="auto"/>
              <w:rPr>
                <w:rFonts w:ascii="Calibri" w:hAnsi="Calibri" w:eastAsia="Calibri" w:cs="Calibri"/>
                <w:sz w:val="21"/>
                <w:szCs w:val="21"/>
              </w:rPr>
            </w:pPr>
            <w:r>
              <w:rPr>
                <w:sz w:val="21"/>
                <w:szCs w:val="21"/>
                <w:spacing w:val="-2"/>
              </w:rPr>
              <w:t>&gt;2.40×10</w:t>
            </w:r>
            <w:r>
              <w:rPr>
                <w:rFonts w:ascii="Calibri" w:hAnsi="Calibri" w:eastAsia="Calibri" w:cs="Calibri"/>
                <w:sz w:val="21"/>
                <w:szCs w:val="21"/>
                <w:spacing w:val="-2"/>
              </w:rPr>
              <w:t>⁴</w:t>
            </w:r>
          </w:p>
        </w:tc>
        <w:tc>
          <w:tcPr>
            <w:tcW w:w="1378" w:type="dxa"/>
            <w:vAlign w:val="top"/>
          </w:tcPr>
          <w:p>
            <w:pPr>
              <w:pStyle w:val="TableText"/>
              <w:ind w:left="107"/>
              <w:spacing w:before="53" w:line="172" w:lineRule="auto"/>
              <w:rPr>
                <w:rFonts w:ascii="Calibri" w:hAnsi="Calibri" w:eastAsia="Calibri" w:cs="Calibri"/>
                <w:sz w:val="21"/>
                <w:szCs w:val="21"/>
              </w:rPr>
            </w:pPr>
            <w:r>
              <w:rPr>
                <w:sz w:val="21"/>
                <w:szCs w:val="21"/>
                <w:spacing w:val="-2"/>
              </w:rPr>
              <w:t>&gt;2.40×10</w:t>
            </w:r>
            <w:r>
              <w:rPr>
                <w:rFonts w:ascii="Calibri" w:hAnsi="Calibri" w:eastAsia="Calibri" w:cs="Calibri"/>
                <w:sz w:val="21"/>
                <w:szCs w:val="21"/>
                <w:spacing w:val="-2"/>
              </w:rPr>
              <w:t>⁴</w:t>
            </w:r>
          </w:p>
        </w:tc>
        <w:tc>
          <w:tcPr>
            <w:tcW w:w="1273" w:type="dxa"/>
            <w:vAlign w:val="top"/>
          </w:tcPr>
          <w:p>
            <w:pPr>
              <w:pStyle w:val="TableText"/>
              <w:ind w:left="548"/>
              <w:spacing w:before="126" w:line="123" w:lineRule="exact"/>
              <w:rPr>
                <w:sz w:val="16"/>
                <w:szCs w:val="16"/>
              </w:rPr>
            </w:pPr>
            <w:r>
              <w:rPr>
                <w:sz w:val="16"/>
                <w:szCs w:val="16"/>
                <w:position w:val="-3"/>
              </w:rPr>
              <w:t>一</w:t>
            </w:r>
          </w:p>
        </w:tc>
      </w:tr>
      <w:tr>
        <w:trPr>
          <w:trHeight w:val="279" w:hRule="atLeast"/>
        </w:trPr>
        <w:tc>
          <w:tcPr>
            <w:tcW w:w="1234" w:type="dxa"/>
            <w:vAlign w:val="top"/>
            <w:vMerge w:val="continue"/>
            <w:tcBorders>
              <w:top w:val="nil"/>
              <w:bottom w:val="nil"/>
            </w:tcBorders>
          </w:tcPr>
          <w:p>
            <w:pPr>
              <w:rPr>
                <w:rFonts w:ascii="Arial"/>
                <w:sz w:val="21"/>
              </w:rPr>
            </w:pPr>
            <w:r/>
          </w:p>
        </w:tc>
        <w:tc>
          <w:tcPr>
            <w:tcW w:w="1758" w:type="dxa"/>
            <w:vAlign w:val="top"/>
          </w:tcPr>
          <w:p>
            <w:pPr>
              <w:pStyle w:val="TableText"/>
              <w:ind w:left="661"/>
              <w:spacing w:before="43" w:line="198" w:lineRule="auto"/>
              <w:rPr>
                <w:sz w:val="21"/>
                <w:szCs w:val="21"/>
              </w:rPr>
            </w:pPr>
            <w:r>
              <w:rPr>
                <w:sz w:val="21"/>
                <w:szCs w:val="21"/>
                <w:spacing w:val="4"/>
              </w:rPr>
              <w:t>总磷</w:t>
            </w:r>
          </w:p>
        </w:tc>
        <w:tc>
          <w:tcPr>
            <w:tcW w:w="1478" w:type="dxa"/>
            <w:vAlign w:val="top"/>
          </w:tcPr>
          <w:p>
            <w:pPr>
              <w:pStyle w:val="TableText"/>
              <w:ind w:left="523"/>
              <w:spacing w:before="64" w:line="180" w:lineRule="auto"/>
              <w:rPr>
                <w:sz w:val="21"/>
                <w:szCs w:val="21"/>
              </w:rPr>
            </w:pPr>
            <w:r>
              <w:rPr>
                <w:sz w:val="21"/>
                <w:szCs w:val="21"/>
                <w:spacing w:val="-5"/>
              </w:rPr>
              <w:t>18.9</w:t>
            </w:r>
          </w:p>
        </w:tc>
        <w:tc>
          <w:tcPr>
            <w:tcW w:w="1378" w:type="dxa"/>
            <w:vAlign w:val="top"/>
          </w:tcPr>
          <w:p>
            <w:pPr>
              <w:pStyle w:val="TableText"/>
              <w:ind w:left="474"/>
              <w:spacing w:before="64" w:line="180" w:lineRule="auto"/>
              <w:rPr>
                <w:sz w:val="21"/>
                <w:szCs w:val="21"/>
              </w:rPr>
            </w:pPr>
            <w:r>
              <w:rPr>
                <w:sz w:val="21"/>
                <w:szCs w:val="21"/>
                <w:spacing w:val="-5"/>
              </w:rPr>
              <w:t>18.5</w:t>
            </w:r>
          </w:p>
        </w:tc>
        <w:tc>
          <w:tcPr>
            <w:tcW w:w="1378" w:type="dxa"/>
            <w:vAlign w:val="top"/>
          </w:tcPr>
          <w:p>
            <w:pPr>
              <w:pStyle w:val="TableText"/>
              <w:ind w:left="476"/>
              <w:spacing w:before="64" w:line="180" w:lineRule="auto"/>
              <w:rPr>
                <w:sz w:val="21"/>
                <w:szCs w:val="21"/>
              </w:rPr>
            </w:pPr>
            <w:r>
              <w:rPr>
                <w:sz w:val="21"/>
                <w:szCs w:val="21"/>
                <w:spacing w:val="-5"/>
              </w:rPr>
              <w:t>19.2</w:t>
            </w:r>
          </w:p>
        </w:tc>
        <w:tc>
          <w:tcPr>
            <w:tcW w:w="1273" w:type="dxa"/>
            <w:vAlign w:val="top"/>
          </w:tcPr>
          <w:p>
            <w:pPr>
              <w:pStyle w:val="TableText"/>
              <w:ind w:left="548"/>
              <w:spacing w:before="137" w:line="124" w:lineRule="exact"/>
              <w:rPr>
                <w:sz w:val="16"/>
                <w:szCs w:val="16"/>
              </w:rPr>
            </w:pPr>
            <w:r>
              <w:rPr>
                <w:sz w:val="16"/>
                <w:szCs w:val="16"/>
                <w:position w:val="-3"/>
              </w:rPr>
              <w:t>一</w:t>
            </w:r>
          </w:p>
        </w:tc>
      </w:tr>
      <w:tr>
        <w:trPr>
          <w:trHeight w:val="269" w:hRule="atLeast"/>
        </w:trPr>
        <w:tc>
          <w:tcPr>
            <w:tcW w:w="1234" w:type="dxa"/>
            <w:vAlign w:val="top"/>
            <w:vMerge w:val="continue"/>
            <w:tcBorders>
              <w:top w:val="nil"/>
            </w:tcBorders>
          </w:tcPr>
          <w:p>
            <w:pPr>
              <w:rPr>
                <w:rFonts w:ascii="Arial"/>
                <w:sz w:val="21"/>
              </w:rPr>
            </w:pPr>
            <w:r/>
          </w:p>
        </w:tc>
        <w:tc>
          <w:tcPr>
            <w:tcW w:w="1758" w:type="dxa"/>
            <w:vAlign w:val="top"/>
          </w:tcPr>
          <w:p>
            <w:pPr>
              <w:pStyle w:val="TableText"/>
              <w:ind w:left="661"/>
              <w:spacing w:before="33" w:line="198" w:lineRule="auto"/>
              <w:rPr>
                <w:sz w:val="21"/>
                <w:szCs w:val="21"/>
              </w:rPr>
            </w:pPr>
            <w:r>
              <w:rPr>
                <w:sz w:val="21"/>
                <w:szCs w:val="21"/>
                <w:spacing w:val="4"/>
              </w:rPr>
              <w:t>总氮</w:t>
            </w:r>
          </w:p>
        </w:tc>
        <w:tc>
          <w:tcPr>
            <w:tcW w:w="1478" w:type="dxa"/>
            <w:vAlign w:val="top"/>
          </w:tcPr>
          <w:p>
            <w:pPr>
              <w:pStyle w:val="TableText"/>
              <w:ind w:left="523"/>
              <w:spacing w:before="55" w:line="179" w:lineRule="auto"/>
              <w:rPr>
                <w:sz w:val="21"/>
                <w:szCs w:val="21"/>
              </w:rPr>
            </w:pPr>
            <w:r>
              <w:rPr>
                <w:sz w:val="21"/>
                <w:szCs w:val="21"/>
                <w:spacing w:val="-5"/>
              </w:rPr>
              <w:t>1.88</w:t>
            </w:r>
          </w:p>
        </w:tc>
        <w:tc>
          <w:tcPr>
            <w:tcW w:w="1378" w:type="dxa"/>
            <w:vAlign w:val="top"/>
          </w:tcPr>
          <w:p>
            <w:pPr>
              <w:pStyle w:val="TableText"/>
              <w:ind w:left="474"/>
              <w:spacing w:before="55" w:line="179" w:lineRule="auto"/>
              <w:rPr>
                <w:sz w:val="21"/>
                <w:szCs w:val="21"/>
              </w:rPr>
            </w:pPr>
            <w:r>
              <w:rPr>
                <w:sz w:val="21"/>
                <w:szCs w:val="21"/>
                <w:spacing w:val="-5"/>
              </w:rPr>
              <w:t>1.41</w:t>
            </w:r>
          </w:p>
        </w:tc>
        <w:tc>
          <w:tcPr>
            <w:tcW w:w="1378" w:type="dxa"/>
            <w:vAlign w:val="top"/>
          </w:tcPr>
          <w:p>
            <w:pPr>
              <w:pStyle w:val="TableText"/>
              <w:ind w:left="476"/>
              <w:spacing w:before="55" w:line="179" w:lineRule="auto"/>
              <w:rPr>
                <w:sz w:val="21"/>
                <w:szCs w:val="21"/>
              </w:rPr>
            </w:pPr>
            <w:r>
              <w:rPr>
                <w:sz w:val="21"/>
                <w:szCs w:val="21"/>
                <w:spacing w:val="-5"/>
              </w:rPr>
              <w:t>1.46</w:t>
            </w:r>
          </w:p>
        </w:tc>
        <w:tc>
          <w:tcPr>
            <w:tcW w:w="1273" w:type="dxa"/>
            <w:vAlign w:val="top"/>
          </w:tcPr>
          <w:p>
            <w:pPr>
              <w:pStyle w:val="TableText"/>
              <w:ind w:left="548"/>
              <w:spacing w:before="138" w:line="121" w:lineRule="exact"/>
              <w:rPr>
                <w:sz w:val="16"/>
                <w:szCs w:val="16"/>
              </w:rPr>
            </w:pPr>
            <w:r>
              <w:rPr>
                <w:sz w:val="16"/>
                <w:szCs w:val="16"/>
                <w:position w:val="-3"/>
              </w:rPr>
              <w:t>一</w:t>
            </w:r>
          </w:p>
        </w:tc>
      </w:tr>
      <w:tr>
        <w:trPr>
          <w:trHeight w:val="822" w:hRule="atLeast"/>
        </w:trPr>
        <w:tc>
          <w:tcPr>
            <w:tcW w:w="1234" w:type="dxa"/>
            <w:vAlign w:val="top"/>
          </w:tcPr>
          <w:p>
            <w:pPr>
              <w:spacing w:line="247" w:lineRule="auto"/>
              <w:rPr>
                <w:rFonts w:ascii="Arial"/>
                <w:sz w:val="21"/>
              </w:rPr>
            </w:pPr>
            <w:r/>
          </w:p>
          <w:p>
            <w:pPr>
              <w:pStyle w:val="TableText"/>
              <w:ind w:left="384"/>
              <w:spacing w:before="68" w:line="221" w:lineRule="auto"/>
              <w:rPr>
                <w:sz w:val="21"/>
                <w:szCs w:val="21"/>
              </w:rPr>
            </w:pPr>
            <w:r>
              <w:rPr>
                <w:sz w:val="21"/>
                <w:szCs w:val="21"/>
                <w:spacing w:val="4"/>
              </w:rPr>
              <w:t>结论</w:t>
            </w:r>
          </w:p>
        </w:tc>
        <w:tc>
          <w:tcPr>
            <w:tcW w:w="7265" w:type="dxa"/>
            <w:vAlign w:val="top"/>
            <w:gridSpan w:val="5"/>
          </w:tcPr>
          <w:p>
            <w:pPr>
              <w:pStyle w:val="TableText"/>
              <w:ind w:left="10" w:right="65"/>
              <w:spacing w:before="39" w:line="249" w:lineRule="auto"/>
              <w:rPr>
                <w:sz w:val="21"/>
                <w:szCs w:val="21"/>
              </w:rPr>
            </w:pPr>
            <w:r>
              <w:rPr>
                <w:sz w:val="21"/>
                <w:szCs w:val="21"/>
                <w:spacing w:val="1"/>
              </w:rPr>
              <w:t>以上检测结果表明：本次检测时，所检项目：</w:t>
            </w:r>
            <w:r>
              <w:rPr>
                <w:sz w:val="21"/>
                <w:szCs w:val="21"/>
              </w:rPr>
              <w:t>pH</w:t>
            </w:r>
            <w:r>
              <w:rPr>
                <w:sz w:val="21"/>
                <w:szCs w:val="21"/>
                <w:spacing w:val="1"/>
              </w:rPr>
              <w:t>、化学需氧量、悬浮物、五日</w:t>
            </w:r>
            <w:r>
              <w:rPr>
                <w:sz w:val="21"/>
                <w:szCs w:val="21"/>
                <w:spacing w:val="4"/>
              </w:rPr>
              <w:t xml:space="preserve"> </w:t>
            </w:r>
            <w:r>
              <w:rPr>
                <w:sz w:val="21"/>
                <w:szCs w:val="21"/>
                <w:spacing w:val="-1"/>
              </w:rPr>
              <w:t>生化需氧量、动植物油检测结果均符合《肉类加工工业水污染物排放标准》</w:t>
            </w:r>
          </w:p>
          <w:p>
            <w:pPr>
              <w:pStyle w:val="TableText"/>
              <w:ind w:left="10"/>
              <w:spacing w:before="1" w:line="180" w:lineRule="auto"/>
              <w:rPr>
                <w:sz w:val="21"/>
                <w:szCs w:val="21"/>
              </w:rPr>
            </w:pPr>
            <w:r>
              <w:rPr>
                <w:sz w:val="21"/>
                <w:szCs w:val="21"/>
                <w:spacing w:val="-2"/>
              </w:rPr>
              <w:t>(GB</w:t>
            </w:r>
            <w:r>
              <w:rPr>
                <w:sz w:val="21"/>
                <w:szCs w:val="21"/>
                <w:spacing w:val="38"/>
              </w:rPr>
              <w:t xml:space="preserve"> </w:t>
            </w:r>
            <w:r>
              <w:rPr>
                <w:sz w:val="21"/>
                <w:szCs w:val="21"/>
                <w:spacing w:val="-2"/>
              </w:rPr>
              <w:t>13457-1992)表3中三级标准。</w:t>
            </w:r>
          </w:p>
        </w:tc>
      </w:tr>
    </w:tbl>
    <w:p>
      <w:pPr>
        <w:ind w:left="94" w:firstLine="490"/>
        <w:spacing w:before="37" w:line="374" w:lineRule="auto"/>
        <w:rPr>
          <w:rFonts w:ascii="SimSun" w:hAnsi="SimSun" w:eastAsia="SimSun" w:cs="SimSun"/>
          <w:sz w:val="24"/>
          <w:szCs w:val="24"/>
        </w:rPr>
      </w:pPr>
      <w:r>
        <w:rPr>
          <w:rFonts w:ascii="SimSun" w:hAnsi="SimSun" w:eastAsia="SimSun" w:cs="SimSun"/>
          <w:sz w:val="25"/>
          <w:szCs w:val="25"/>
          <w:spacing w:val="-2"/>
        </w:rPr>
        <w:t>综上，现有工程废水pH、化学需氧量、悬浮物、五日生化需氧量、</w:t>
      </w:r>
      <w:r>
        <w:rPr>
          <w:rFonts w:ascii="SimSun" w:hAnsi="SimSun" w:eastAsia="SimSun" w:cs="SimSun"/>
          <w:sz w:val="25"/>
          <w:szCs w:val="25"/>
          <w:spacing w:val="-3"/>
        </w:rPr>
        <w:t>动植物</w:t>
      </w:r>
      <w:r>
        <w:rPr>
          <w:rFonts w:ascii="SimSun" w:hAnsi="SimSun" w:eastAsia="SimSun" w:cs="SimSun"/>
          <w:sz w:val="25"/>
          <w:szCs w:val="25"/>
        </w:rPr>
        <w:t xml:space="preserve"> </w:t>
      </w:r>
      <w:r>
        <w:rPr>
          <w:rFonts w:ascii="SimSun" w:hAnsi="SimSun" w:eastAsia="SimSun" w:cs="SimSun"/>
          <w:sz w:val="24"/>
          <w:szCs w:val="24"/>
          <w:spacing w:val="1"/>
        </w:rPr>
        <w:t>油检测结果均符合《肉类加工工业水污染物排放标准》</w:t>
      </w:r>
      <w:r>
        <w:rPr>
          <w:rFonts w:ascii="SimSun" w:hAnsi="SimSun" w:eastAsia="SimSun" w:cs="SimSun"/>
          <w:sz w:val="24"/>
          <w:szCs w:val="24"/>
          <w:spacing w:val="60"/>
        </w:rPr>
        <w:t xml:space="preserve"> </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1"/>
        </w:rPr>
        <w:t xml:space="preserve">    1</w:t>
      </w:r>
      <w:r>
        <w:rPr>
          <w:rFonts w:ascii="Times New Roman" w:hAnsi="Times New Roman" w:eastAsia="Times New Roman" w:cs="Times New Roman"/>
          <w:sz w:val="24"/>
          <w:szCs w:val="24"/>
        </w:rPr>
        <w:t>3457-1992) </w:t>
      </w:r>
      <w:r>
        <w:rPr>
          <w:rFonts w:ascii="SimSun" w:hAnsi="SimSun" w:eastAsia="SimSun" w:cs="SimSun"/>
          <w:sz w:val="24"/>
          <w:szCs w:val="24"/>
        </w:rPr>
        <w:t>表3  </w:t>
      </w:r>
      <w:r>
        <w:rPr>
          <w:rFonts w:ascii="SimSun" w:hAnsi="SimSun" w:eastAsia="SimSun" w:cs="SimSun"/>
          <w:sz w:val="24"/>
          <w:szCs w:val="24"/>
          <w:spacing w:val="-2"/>
        </w:rPr>
        <w:t>中三级标准，实现达标排放，无相关环境遗留问题。</w:t>
      </w:r>
    </w:p>
    <w:p>
      <w:pPr>
        <w:ind w:left="98"/>
        <w:spacing w:before="13" w:line="221" w:lineRule="auto"/>
        <w:rPr>
          <w:rFonts w:ascii="SimHei" w:hAnsi="SimHei" w:eastAsia="SimHei" w:cs="SimHei"/>
          <w:sz w:val="24"/>
          <w:szCs w:val="24"/>
        </w:rPr>
      </w:pPr>
      <w:r>
        <w:rPr>
          <w:rFonts w:ascii="SimHei" w:hAnsi="SimHei" w:eastAsia="SimHei" w:cs="SimHei"/>
          <w:sz w:val="24"/>
          <w:szCs w:val="24"/>
          <w:b/>
          <w:bCs/>
          <w:spacing w:val="23"/>
        </w:rPr>
        <w:t>2.4.2废气污染源排放及治理措施</w:t>
      </w:r>
    </w:p>
    <w:p>
      <w:pPr>
        <w:ind w:left="94" w:right="186" w:firstLine="480"/>
        <w:spacing w:before="207" w:line="354" w:lineRule="auto"/>
        <w:rPr>
          <w:rFonts w:ascii="SimSun" w:hAnsi="SimSun" w:eastAsia="SimSun" w:cs="SimSun"/>
          <w:sz w:val="24"/>
          <w:szCs w:val="24"/>
        </w:rPr>
      </w:pPr>
      <w:r>
        <w:rPr>
          <w:rFonts w:ascii="SimSun" w:hAnsi="SimSun" w:eastAsia="SimSun" w:cs="SimSun"/>
          <w:sz w:val="24"/>
          <w:szCs w:val="24"/>
        </w:rPr>
        <w:t>现有工程运营期废气主要包括锅炉废气、汽</w:t>
      </w:r>
      <w:r>
        <w:rPr>
          <w:rFonts w:ascii="SimSun" w:hAnsi="SimSun" w:eastAsia="SimSun" w:cs="SimSun"/>
          <w:sz w:val="24"/>
          <w:szCs w:val="24"/>
          <w:spacing w:val="-1"/>
        </w:rPr>
        <w:t>车尾气、待宰间、屠宰间及污</w:t>
      </w:r>
      <w:r>
        <w:rPr>
          <w:rFonts w:ascii="SimSun" w:hAnsi="SimSun" w:eastAsia="SimSun" w:cs="SimSun"/>
          <w:sz w:val="24"/>
          <w:szCs w:val="24"/>
        </w:rPr>
        <w:t xml:space="preserve"> </w:t>
      </w:r>
      <w:r>
        <w:rPr>
          <w:rFonts w:ascii="SimSun" w:hAnsi="SimSun" w:eastAsia="SimSun" w:cs="SimSun"/>
          <w:sz w:val="24"/>
          <w:szCs w:val="24"/>
        </w:rPr>
        <w:t>水处理站恶臭、异味。锅炉废气，使用天然气，通过8m</w:t>
      </w:r>
      <w:r>
        <w:rPr>
          <w:rFonts w:ascii="SimSun" w:hAnsi="SimSun" w:eastAsia="SimSun" w:cs="SimSun"/>
          <w:sz w:val="24"/>
          <w:szCs w:val="24"/>
          <w:spacing w:val="-46"/>
        </w:rPr>
        <w:t xml:space="preserve"> </w:t>
      </w:r>
      <w:r>
        <w:rPr>
          <w:rFonts w:ascii="SimSun" w:hAnsi="SimSun" w:eastAsia="SimSun" w:cs="SimSun"/>
          <w:sz w:val="24"/>
          <w:szCs w:val="24"/>
        </w:rPr>
        <w:t>高烟囱排放；汽车尾气 </w:t>
      </w:r>
      <w:r>
        <w:rPr>
          <w:rFonts w:ascii="SimSun" w:hAnsi="SimSun" w:eastAsia="SimSun" w:cs="SimSun"/>
          <w:sz w:val="24"/>
          <w:szCs w:val="24"/>
        </w:rPr>
        <w:t>产生量小，原项目地面均硬化，所处地势开阔对大气</w:t>
      </w:r>
      <w:r>
        <w:rPr>
          <w:rFonts w:ascii="SimSun" w:hAnsi="SimSun" w:eastAsia="SimSun" w:cs="SimSun"/>
          <w:sz w:val="24"/>
          <w:szCs w:val="24"/>
          <w:spacing w:val="-1"/>
        </w:rPr>
        <w:t>环境影响小；待宰间、屠</w:t>
      </w:r>
      <w:r>
        <w:rPr>
          <w:rFonts w:ascii="SimSun" w:hAnsi="SimSun" w:eastAsia="SimSun" w:cs="SimSun"/>
          <w:sz w:val="24"/>
          <w:szCs w:val="24"/>
        </w:rPr>
        <w:t xml:space="preserve"> </w:t>
      </w:r>
      <w:r>
        <w:rPr>
          <w:rFonts w:ascii="SimSun" w:hAnsi="SimSun" w:eastAsia="SimSun" w:cs="SimSun"/>
          <w:sz w:val="24"/>
          <w:szCs w:val="24"/>
          <w:spacing w:val="-1"/>
        </w:rPr>
        <w:t>宰间及污水处理站恶臭和异味是原项目生产过程中重要的废气污染源，主要通</w:t>
      </w:r>
      <w:r>
        <w:rPr>
          <w:rFonts w:ascii="SimSun" w:hAnsi="SimSun" w:eastAsia="SimSun" w:cs="SimSun"/>
          <w:sz w:val="24"/>
          <w:szCs w:val="24"/>
          <w:spacing w:val="13"/>
        </w:rPr>
        <w:t xml:space="preserve"> </w:t>
      </w:r>
      <w:r>
        <w:rPr>
          <w:rFonts w:ascii="SimSun" w:hAnsi="SimSun" w:eastAsia="SimSun" w:cs="SimSun"/>
          <w:sz w:val="24"/>
          <w:szCs w:val="24"/>
        </w:rPr>
        <w:t>过及时清理待宰圈、屠宰车间内的猪便、胃内容物</w:t>
      </w:r>
      <w:r>
        <w:rPr>
          <w:rFonts w:ascii="SimSun" w:hAnsi="SimSun" w:eastAsia="SimSun" w:cs="SimSun"/>
          <w:sz w:val="24"/>
          <w:szCs w:val="24"/>
          <w:spacing w:val="-1"/>
        </w:rPr>
        <w:t>、碎肉和碎骨等废弃物，加</w:t>
      </w:r>
      <w:r>
        <w:rPr>
          <w:rFonts w:ascii="SimSun" w:hAnsi="SimSun" w:eastAsia="SimSun" w:cs="SimSun"/>
          <w:sz w:val="24"/>
          <w:szCs w:val="24"/>
        </w:rPr>
        <w:t xml:space="preserve"> </w:t>
      </w:r>
      <w:r>
        <w:rPr>
          <w:rFonts w:ascii="SimSun" w:hAnsi="SimSun" w:eastAsia="SimSun" w:cs="SimSun"/>
          <w:sz w:val="24"/>
          <w:szCs w:val="24"/>
          <w:spacing w:val="-1"/>
        </w:rPr>
        <w:t>强车间通风，及时清运污水处理站产生的污泥，增加厂区绿化面积等措施控</w:t>
      </w:r>
    </w:p>
    <w:p>
      <w:pPr>
        <w:ind w:left="94"/>
        <w:spacing w:line="220" w:lineRule="auto"/>
        <w:rPr>
          <w:rFonts w:ascii="SimSun" w:hAnsi="SimSun" w:eastAsia="SimSun" w:cs="SimSun"/>
          <w:sz w:val="24"/>
          <w:szCs w:val="24"/>
        </w:rPr>
      </w:pPr>
      <w:r>
        <w:rPr>
          <w:rFonts w:ascii="SimSun" w:hAnsi="SimSun" w:eastAsia="SimSun" w:cs="SimSun"/>
          <w:sz w:val="24"/>
          <w:szCs w:val="24"/>
        </w:rPr>
        <w:t>制。</w:t>
      </w:r>
    </w:p>
    <w:p>
      <w:pPr>
        <w:ind w:left="94" w:right="109" w:firstLine="490"/>
        <w:spacing w:before="220" w:line="356" w:lineRule="auto"/>
        <w:jc w:val="both"/>
        <w:rPr>
          <w:rFonts w:ascii="SimSun" w:hAnsi="SimSun" w:eastAsia="SimSun" w:cs="SimSun"/>
          <w:sz w:val="24"/>
          <w:szCs w:val="24"/>
        </w:rPr>
      </w:pPr>
      <w:r>
        <w:rPr>
          <w:rFonts w:ascii="SimSun" w:hAnsi="SimSun" w:eastAsia="SimSun" w:cs="SimSun"/>
          <w:sz w:val="24"/>
          <w:szCs w:val="24"/>
          <w:spacing w:val="1"/>
        </w:rPr>
        <w:t>绵阳柒鑫食品有限公司委托四川精标检测技术有限</w:t>
      </w:r>
      <w:r>
        <w:rPr>
          <w:rFonts w:ascii="SimSun" w:hAnsi="SimSun" w:eastAsia="SimSun" w:cs="SimSun"/>
          <w:sz w:val="24"/>
          <w:szCs w:val="24"/>
        </w:rPr>
        <w:t>公司分别于2024年5月29 </w:t>
      </w:r>
      <w:r>
        <w:rPr>
          <w:rFonts w:ascii="SimSun" w:hAnsi="SimSun" w:eastAsia="SimSun" w:cs="SimSun"/>
          <w:sz w:val="24"/>
          <w:szCs w:val="24"/>
        </w:rPr>
        <w:t>日、2024年6月16日、2024年10月30日、2024年12月18日对厂区废气进行了自行</w:t>
      </w:r>
      <w:r>
        <w:rPr>
          <w:rFonts w:ascii="SimSun" w:hAnsi="SimSun" w:eastAsia="SimSun" w:cs="SimSun"/>
          <w:sz w:val="24"/>
          <w:szCs w:val="24"/>
          <w:spacing w:val="1"/>
        </w:rPr>
        <w:t xml:space="preserve"> </w:t>
      </w:r>
      <w:r>
        <w:rPr>
          <w:rFonts w:ascii="SimSun" w:hAnsi="SimSun" w:eastAsia="SimSun" w:cs="SimSun"/>
          <w:sz w:val="24"/>
          <w:szCs w:val="24"/>
          <w:spacing w:val="-3"/>
        </w:rPr>
        <w:t>监测，现有工程废气检测结果见下表。</w:t>
      </w:r>
    </w:p>
    <w:p>
      <w:pPr>
        <w:ind w:left="2808"/>
        <w:spacing w:before="1" w:line="219" w:lineRule="auto"/>
        <w:rPr>
          <w:rFonts w:ascii="SimSun" w:hAnsi="SimSun" w:eastAsia="SimSun" w:cs="SimSun"/>
          <w:sz w:val="23"/>
          <w:szCs w:val="23"/>
        </w:rPr>
      </w:pPr>
      <w:r>
        <w:rPr>
          <w:rFonts w:ascii="SimSun" w:hAnsi="SimSun" w:eastAsia="SimSun" w:cs="SimSun"/>
          <w:sz w:val="23"/>
          <w:szCs w:val="23"/>
          <w:b/>
          <w:bCs/>
          <w:spacing w:val="-3"/>
        </w:rPr>
        <w:t>表2.4-2有组织废气检测结果</w:t>
      </w:r>
    </w:p>
    <w:p>
      <w:pPr>
        <w:spacing w:line="62" w:lineRule="auto"/>
        <w:rPr>
          <w:rFonts w:ascii="Arial"/>
          <w:sz w:val="2"/>
        </w:rPr>
      </w:pPr>
      <w:r>
        <w:rPr>
          <w:rFonts w:ascii="Arial"/>
          <w:sz w:val="2"/>
        </w:rPr>
      </w:r>
    </w:p>
    <w:tbl>
      <w:tblPr>
        <w:tblStyle w:val="TableNormal"/>
        <w:tblW w:w="848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04"/>
        <w:gridCol w:w="989"/>
        <w:gridCol w:w="959"/>
        <w:gridCol w:w="2017"/>
        <w:gridCol w:w="979"/>
        <w:gridCol w:w="1028"/>
        <w:gridCol w:w="979"/>
        <w:gridCol w:w="534"/>
      </w:tblGrid>
      <w:tr>
        <w:trPr>
          <w:trHeight w:val="285" w:hRule="atLeast"/>
        </w:trPr>
        <w:tc>
          <w:tcPr>
            <w:shd w:val="clear" w:fill="BDBDBD"/>
            <w:tcW w:w="1004" w:type="dxa"/>
            <w:vAlign w:val="top"/>
            <w:vMerge w:val="restart"/>
            <w:tcBorders>
              <w:bottom w:val="nil"/>
            </w:tcBorders>
          </w:tcPr>
          <w:p>
            <w:pPr>
              <w:pStyle w:val="TableText"/>
              <w:ind w:left="77"/>
              <w:spacing w:before="169" w:line="219" w:lineRule="auto"/>
              <w:rPr>
                <w:sz w:val="21"/>
                <w:szCs w:val="21"/>
              </w:rPr>
            </w:pPr>
            <w:r>
              <w:rPr>
                <w:sz w:val="21"/>
                <w:szCs w:val="21"/>
                <w:b/>
                <w:bCs/>
                <w:spacing w:val="-4"/>
              </w:rPr>
              <w:t>采样日期</w:t>
            </w:r>
          </w:p>
        </w:tc>
        <w:tc>
          <w:tcPr>
            <w:shd w:val="clear" w:fill="BDBDBD"/>
            <w:tcW w:w="989" w:type="dxa"/>
            <w:vAlign w:val="top"/>
            <w:vMerge w:val="restart"/>
            <w:tcBorders>
              <w:bottom w:val="nil"/>
            </w:tcBorders>
          </w:tcPr>
          <w:p>
            <w:pPr>
              <w:pStyle w:val="TableText"/>
              <w:ind w:left="63"/>
              <w:spacing w:before="171" w:line="221" w:lineRule="auto"/>
              <w:rPr>
                <w:sz w:val="21"/>
                <w:szCs w:val="21"/>
              </w:rPr>
            </w:pPr>
            <w:r>
              <w:rPr>
                <w:sz w:val="21"/>
                <w:szCs w:val="21"/>
                <w:b/>
                <w:bCs/>
                <w:spacing w:val="-2"/>
              </w:rPr>
              <w:t>点位名称</w:t>
            </w:r>
          </w:p>
        </w:tc>
        <w:tc>
          <w:tcPr>
            <w:shd w:val="clear" w:fill="BDBDBD"/>
            <w:tcW w:w="959" w:type="dxa"/>
            <w:vAlign w:val="top"/>
            <w:vMerge w:val="restart"/>
            <w:tcBorders>
              <w:bottom w:val="nil"/>
            </w:tcBorders>
          </w:tcPr>
          <w:p>
            <w:pPr>
              <w:pStyle w:val="TableText"/>
              <w:ind w:left="54"/>
              <w:spacing w:before="170" w:line="219" w:lineRule="auto"/>
              <w:rPr>
                <w:sz w:val="21"/>
                <w:szCs w:val="21"/>
              </w:rPr>
            </w:pPr>
            <w:r>
              <w:rPr>
                <w:sz w:val="21"/>
                <w:szCs w:val="21"/>
                <w:b/>
                <w:bCs/>
                <w:spacing w:val="6"/>
              </w:rPr>
              <w:t>检测项目</w:t>
            </w:r>
          </w:p>
        </w:tc>
        <w:tc>
          <w:tcPr>
            <w:shd w:val="clear" w:fill="BDBDBD"/>
            <w:tcW w:w="5003" w:type="dxa"/>
            <w:vAlign w:val="top"/>
            <w:gridSpan w:val="4"/>
          </w:tcPr>
          <w:p>
            <w:pPr>
              <w:pStyle w:val="TableText"/>
              <w:ind w:left="2065"/>
              <w:spacing w:before="40" w:line="206" w:lineRule="auto"/>
              <w:rPr>
                <w:sz w:val="21"/>
                <w:szCs w:val="21"/>
              </w:rPr>
            </w:pPr>
            <w:r>
              <w:rPr>
                <w:sz w:val="21"/>
                <w:szCs w:val="21"/>
                <w:b/>
                <w:bCs/>
                <w:spacing w:val="-4"/>
              </w:rPr>
              <w:t>检测结果</w:t>
            </w:r>
          </w:p>
        </w:tc>
        <w:tc>
          <w:tcPr>
            <w:shd w:val="clear" w:fill="BDBDBD"/>
            <w:tcW w:w="534" w:type="dxa"/>
            <w:vAlign w:val="top"/>
            <w:vMerge w:val="restart"/>
            <w:tcBorders>
              <w:bottom w:val="nil"/>
            </w:tcBorders>
          </w:tcPr>
          <w:p>
            <w:pPr>
              <w:pStyle w:val="TableText"/>
              <w:ind w:left="52"/>
              <w:spacing w:before="170" w:line="219" w:lineRule="auto"/>
              <w:rPr>
                <w:sz w:val="21"/>
                <w:szCs w:val="21"/>
              </w:rPr>
            </w:pPr>
            <w:r>
              <w:rPr>
                <w:sz w:val="21"/>
                <w:szCs w:val="21"/>
                <w:b/>
                <w:bCs/>
                <w:spacing w:val="-2"/>
              </w:rPr>
              <w:t>限值</w:t>
            </w:r>
          </w:p>
        </w:tc>
      </w:tr>
      <w:tr>
        <w:trPr>
          <w:trHeight w:val="259" w:hRule="atLeast"/>
        </w:trPr>
        <w:tc>
          <w:tcPr>
            <w:tcW w:w="1004" w:type="dxa"/>
            <w:vAlign w:val="top"/>
            <w:vMerge w:val="continue"/>
            <w:tcBorders>
              <w:top w:val="nil"/>
            </w:tcBorders>
          </w:tcPr>
          <w:p>
            <w:pPr>
              <w:rPr>
                <w:rFonts w:ascii="Arial"/>
                <w:sz w:val="21"/>
              </w:rPr>
            </w:pPr>
            <w:r/>
          </w:p>
        </w:tc>
        <w:tc>
          <w:tcPr>
            <w:tcW w:w="989" w:type="dxa"/>
            <w:vAlign w:val="top"/>
            <w:vMerge w:val="continue"/>
            <w:tcBorders>
              <w:top w:val="nil"/>
            </w:tcBorders>
          </w:tcPr>
          <w:p>
            <w:pPr>
              <w:rPr>
                <w:rFonts w:ascii="Arial"/>
                <w:sz w:val="21"/>
              </w:rPr>
            </w:pPr>
            <w:r/>
          </w:p>
        </w:tc>
        <w:tc>
          <w:tcPr>
            <w:tcW w:w="959" w:type="dxa"/>
            <w:vAlign w:val="top"/>
            <w:vMerge w:val="continue"/>
            <w:tcBorders>
              <w:top w:val="nil"/>
            </w:tcBorders>
          </w:tcPr>
          <w:p>
            <w:pPr>
              <w:rPr>
                <w:rFonts w:ascii="Arial"/>
                <w:sz w:val="21"/>
              </w:rPr>
            </w:pPr>
            <w:r/>
          </w:p>
        </w:tc>
        <w:tc>
          <w:tcPr>
            <w:shd w:val="clear" w:fill="BDBDBD"/>
            <w:tcW w:w="2017" w:type="dxa"/>
            <w:vAlign w:val="top"/>
          </w:tcPr>
          <w:p>
            <w:pPr>
              <w:pStyle w:val="TableText"/>
              <w:ind w:left="795"/>
              <w:spacing w:before="26" w:line="196" w:lineRule="auto"/>
              <w:rPr>
                <w:sz w:val="21"/>
                <w:szCs w:val="21"/>
              </w:rPr>
            </w:pPr>
            <w:r>
              <w:rPr>
                <w:sz w:val="21"/>
                <w:szCs w:val="21"/>
                <w:b/>
                <w:bCs/>
              </w:rPr>
              <w:t>内容</w:t>
            </w:r>
          </w:p>
        </w:tc>
        <w:tc>
          <w:tcPr>
            <w:shd w:val="clear" w:fill="BDBDBD"/>
            <w:tcW w:w="979" w:type="dxa"/>
            <w:vAlign w:val="top"/>
          </w:tcPr>
          <w:p>
            <w:pPr>
              <w:pStyle w:val="TableText"/>
              <w:ind w:left="169"/>
              <w:spacing w:before="26" w:line="196" w:lineRule="auto"/>
              <w:rPr>
                <w:sz w:val="21"/>
                <w:szCs w:val="21"/>
              </w:rPr>
            </w:pPr>
            <w:r>
              <w:rPr>
                <w:sz w:val="21"/>
                <w:szCs w:val="21"/>
                <w:b/>
                <w:bCs/>
                <w:spacing w:val="-5"/>
              </w:rPr>
              <w:t>第一次</w:t>
            </w:r>
          </w:p>
        </w:tc>
        <w:tc>
          <w:tcPr>
            <w:shd w:val="clear" w:fill="BDBDBD"/>
            <w:tcW w:w="1028" w:type="dxa"/>
            <w:vAlign w:val="top"/>
          </w:tcPr>
          <w:p>
            <w:pPr>
              <w:pStyle w:val="TableText"/>
              <w:ind w:left="199"/>
              <w:spacing w:before="26" w:line="196" w:lineRule="auto"/>
              <w:rPr>
                <w:sz w:val="21"/>
                <w:szCs w:val="21"/>
              </w:rPr>
            </w:pPr>
            <w:r>
              <w:rPr>
                <w:sz w:val="21"/>
                <w:szCs w:val="21"/>
                <w:b/>
                <w:bCs/>
                <w:spacing w:val="-5"/>
              </w:rPr>
              <w:t>第二次</w:t>
            </w:r>
          </w:p>
        </w:tc>
        <w:tc>
          <w:tcPr>
            <w:shd w:val="clear" w:fill="BDBDBD"/>
            <w:tcW w:w="979" w:type="dxa"/>
            <w:vAlign w:val="top"/>
          </w:tcPr>
          <w:p>
            <w:pPr>
              <w:pStyle w:val="TableText"/>
              <w:ind w:left="171"/>
              <w:spacing w:before="26" w:line="196" w:lineRule="auto"/>
              <w:rPr>
                <w:sz w:val="21"/>
                <w:szCs w:val="21"/>
              </w:rPr>
            </w:pPr>
            <w:r>
              <w:rPr>
                <w:sz w:val="21"/>
                <w:szCs w:val="21"/>
                <w:b/>
                <w:bCs/>
                <w:spacing w:val="-5"/>
              </w:rPr>
              <w:t>第三次</w:t>
            </w:r>
          </w:p>
        </w:tc>
        <w:tc>
          <w:tcPr>
            <w:tcW w:w="534" w:type="dxa"/>
            <w:vAlign w:val="top"/>
            <w:vMerge w:val="continue"/>
            <w:tcBorders>
              <w:top w:val="nil"/>
            </w:tcBorders>
          </w:tcPr>
          <w:p>
            <w:pPr>
              <w:rPr>
                <w:rFonts w:ascii="Arial"/>
                <w:sz w:val="21"/>
              </w:rPr>
            </w:pPr>
            <w:r/>
          </w:p>
        </w:tc>
      </w:tr>
      <w:tr>
        <w:trPr>
          <w:trHeight w:val="279" w:hRule="atLeast"/>
        </w:trPr>
        <w:tc>
          <w:tcPr>
            <w:tcW w:w="1004" w:type="dxa"/>
            <w:vAlign w:val="top"/>
            <w:vMerge w:val="restart"/>
            <w:tcBorders>
              <w:bottom w:val="nil"/>
            </w:tcBorders>
          </w:tcPr>
          <w:p>
            <w:pPr>
              <w:spacing w:line="409" w:lineRule="auto"/>
              <w:rPr>
                <w:rFonts w:ascii="Arial"/>
                <w:sz w:val="21"/>
              </w:rPr>
            </w:pPr>
            <w:r/>
          </w:p>
          <w:p>
            <w:pPr>
              <w:pStyle w:val="TableText"/>
              <w:spacing w:before="68" w:line="239" w:lineRule="auto"/>
              <w:jc w:val="right"/>
              <w:rPr>
                <w:sz w:val="21"/>
                <w:szCs w:val="21"/>
              </w:rPr>
            </w:pPr>
            <w:r>
              <w:rPr>
                <w:sz w:val="21"/>
                <w:szCs w:val="21"/>
                <w:spacing w:val="-8"/>
              </w:rPr>
              <w:t>2024.05.29</w:t>
            </w:r>
          </w:p>
        </w:tc>
        <w:tc>
          <w:tcPr>
            <w:tcW w:w="989" w:type="dxa"/>
            <w:vAlign w:val="top"/>
            <w:vMerge w:val="restart"/>
            <w:tcBorders>
              <w:bottom w:val="nil"/>
            </w:tcBorders>
          </w:tcPr>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ind w:left="10" w:right="18" w:firstLine="50"/>
              <w:spacing w:before="68" w:line="248" w:lineRule="auto"/>
              <w:rPr>
                <w:sz w:val="21"/>
                <w:szCs w:val="21"/>
              </w:rPr>
            </w:pPr>
            <w:r>
              <w:rPr>
                <w:sz w:val="21"/>
                <w:szCs w:val="21"/>
                <w:spacing w:val="3"/>
              </w:rPr>
              <w:t>天然气烟</w:t>
            </w:r>
            <w:r>
              <w:rPr>
                <w:sz w:val="21"/>
                <w:szCs w:val="21"/>
              </w:rPr>
              <w:t xml:space="preserve"> </w:t>
            </w:r>
            <w:r>
              <w:rPr>
                <w:sz w:val="21"/>
                <w:szCs w:val="21"/>
              </w:rPr>
              <w:t>囱高度8米</w:t>
            </w:r>
          </w:p>
        </w:tc>
        <w:tc>
          <w:tcPr>
            <w:tcW w:w="959" w:type="dxa"/>
            <w:vAlign w:val="top"/>
          </w:tcPr>
          <w:p>
            <w:pPr>
              <w:pStyle w:val="TableText"/>
              <w:ind w:left="51"/>
              <w:spacing w:before="39" w:line="202" w:lineRule="auto"/>
              <w:rPr>
                <w:sz w:val="21"/>
                <w:szCs w:val="21"/>
              </w:rPr>
            </w:pPr>
            <w:r>
              <w:rPr>
                <w:sz w:val="21"/>
                <w:szCs w:val="21"/>
                <w:spacing w:val="-2"/>
              </w:rPr>
              <w:t>标杆流量</w:t>
            </w:r>
          </w:p>
        </w:tc>
        <w:tc>
          <w:tcPr>
            <w:tcW w:w="2017" w:type="dxa"/>
            <w:vAlign w:val="top"/>
          </w:tcPr>
          <w:p>
            <w:pPr>
              <w:pStyle w:val="TableText"/>
              <w:ind w:left="732"/>
              <w:spacing w:before="44" w:line="197" w:lineRule="auto"/>
              <w:rPr>
                <w:sz w:val="21"/>
                <w:szCs w:val="21"/>
              </w:rPr>
            </w:pPr>
            <w:r>
              <w:rPr>
                <w:sz w:val="21"/>
                <w:szCs w:val="21"/>
                <w:color w:val="303040"/>
                <w:spacing w:val="-1"/>
              </w:rPr>
              <w:t>m³/h</w:t>
            </w:r>
          </w:p>
        </w:tc>
        <w:tc>
          <w:tcPr>
            <w:tcW w:w="979" w:type="dxa"/>
            <w:vAlign w:val="top"/>
          </w:tcPr>
          <w:p>
            <w:pPr>
              <w:pStyle w:val="TableText"/>
              <w:ind w:left="325"/>
              <w:spacing w:before="60" w:line="183" w:lineRule="auto"/>
              <w:rPr>
                <w:sz w:val="21"/>
                <w:szCs w:val="21"/>
              </w:rPr>
            </w:pPr>
            <w:r>
              <w:rPr>
                <w:sz w:val="21"/>
                <w:szCs w:val="21"/>
                <w:spacing w:val="-3"/>
              </w:rPr>
              <w:t>673</w:t>
            </w:r>
          </w:p>
        </w:tc>
        <w:tc>
          <w:tcPr>
            <w:tcW w:w="1028" w:type="dxa"/>
            <w:vAlign w:val="top"/>
          </w:tcPr>
          <w:p>
            <w:pPr>
              <w:pStyle w:val="TableText"/>
              <w:ind w:left="346"/>
              <w:spacing w:before="60" w:line="183" w:lineRule="auto"/>
              <w:rPr>
                <w:sz w:val="21"/>
                <w:szCs w:val="21"/>
              </w:rPr>
            </w:pPr>
            <w:r>
              <w:rPr>
                <w:sz w:val="21"/>
                <w:szCs w:val="21"/>
                <w:spacing w:val="-3"/>
              </w:rPr>
              <w:t>801</w:t>
            </w:r>
          </w:p>
        </w:tc>
        <w:tc>
          <w:tcPr>
            <w:tcW w:w="979" w:type="dxa"/>
            <w:vAlign w:val="top"/>
          </w:tcPr>
          <w:p>
            <w:pPr>
              <w:pStyle w:val="TableText"/>
              <w:ind w:left="329"/>
              <w:spacing w:before="60" w:line="183" w:lineRule="auto"/>
              <w:rPr>
                <w:sz w:val="21"/>
                <w:szCs w:val="21"/>
              </w:rPr>
            </w:pPr>
            <w:r>
              <w:rPr>
                <w:sz w:val="21"/>
                <w:szCs w:val="21"/>
                <w:spacing w:val="-3"/>
              </w:rPr>
              <w:t>817</w:t>
            </w:r>
          </w:p>
        </w:tc>
        <w:tc>
          <w:tcPr>
            <w:tcW w:w="534" w:type="dxa"/>
            <w:vAlign w:val="top"/>
          </w:tcPr>
          <w:p>
            <w:pPr>
              <w:pStyle w:val="TableText"/>
              <w:ind w:left="160"/>
              <w:spacing w:before="139" w:line="129" w:lineRule="exact"/>
              <w:rPr>
                <w:sz w:val="21"/>
                <w:szCs w:val="21"/>
              </w:rPr>
            </w:pPr>
            <w:r>
              <w:rPr>
                <w:sz w:val="21"/>
                <w:szCs w:val="21"/>
                <w:position w:val="-5"/>
              </w:rPr>
              <w:t>一</w:t>
            </w:r>
          </w:p>
        </w:tc>
      </w:tr>
      <w:tr>
        <w:trPr>
          <w:trHeight w:val="269" w:hRule="atLeast"/>
        </w:trPr>
        <w:tc>
          <w:tcPr>
            <w:tcW w:w="1004" w:type="dxa"/>
            <w:vAlign w:val="top"/>
            <w:vMerge w:val="continue"/>
            <w:tcBorders>
              <w:top w:val="nil"/>
              <w:bottom w:val="nil"/>
            </w:tcBorders>
          </w:tcPr>
          <w:p>
            <w:pPr>
              <w:rPr>
                <w:rFonts w:ascii="Arial"/>
                <w:sz w:val="21"/>
              </w:rPr>
            </w:pPr>
            <w:r/>
          </w:p>
        </w:tc>
        <w:tc>
          <w:tcPr>
            <w:tcW w:w="989" w:type="dxa"/>
            <w:vAlign w:val="top"/>
            <w:vMerge w:val="continue"/>
            <w:tcBorders>
              <w:top w:val="nil"/>
              <w:bottom w:val="nil"/>
            </w:tcBorders>
          </w:tcPr>
          <w:p>
            <w:pPr>
              <w:rPr>
                <w:rFonts w:ascii="Arial"/>
                <w:sz w:val="21"/>
              </w:rPr>
            </w:pPr>
            <w:r/>
          </w:p>
        </w:tc>
        <w:tc>
          <w:tcPr>
            <w:tcW w:w="959" w:type="dxa"/>
            <w:vAlign w:val="top"/>
            <w:vMerge w:val="restart"/>
            <w:tcBorders>
              <w:bottom w:val="nil"/>
            </w:tcBorders>
          </w:tcPr>
          <w:p>
            <w:pPr>
              <w:spacing w:line="249" w:lineRule="auto"/>
              <w:rPr>
                <w:rFonts w:ascii="Arial"/>
                <w:sz w:val="21"/>
              </w:rPr>
            </w:pPr>
            <w:r/>
          </w:p>
          <w:p>
            <w:pPr>
              <w:pStyle w:val="TableText"/>
              <w:ind w:left="51"/>
              <w:spacing w:before="68" w:line="219" w:lineRule="auto"/>
              <w:rPr>
                <w:sz w:val="21"/>
                <w:szCs w:val="21"/>
              </w:rPr>
            </w:pPr>
            <w:r>
              <w:rPr>
                <w:sz w:val="21"/>
                <w:szCs w:val="21"/>
                <w:spacing w:val="-2"/>
              </w:rPr>
              <w:t>氮氧化物</w:t>
            </w:r>
          </w:p>
        </w:tc>
        <w:tc>
          <w:tcPr>
            <w:tcW w:w="2017" w:type="dxa"/>
            <w:vAlign w:val="top"/>
          </w:tcPr>
          <w:p>
            <w:pPr>
              <w:pStyle w:val="TableText"/>
              <w:ind w:left="162"/>
              <w:spacing w:before="23" w:line="207" w:lineRule="auto"/>
              <w:rPr>
                <w:sz w:val="21"/>
                <w:szCs w:val="21"/>
              </w:rPr>
            </w:pPr>
            <w:r>
              <w:rPr>
                <w:sz w:val="21"/>
                <w:szCs w:val="21"/>
                <w:spacing w:val="16"/>
              </w:rPr>
              <w:t>实测浓度(</w:t>
            </w:r>
            <w:r>
              <w:rPr>
                <w:sz w:val="21"/>
                <w:szCs w:val="21"/>
              </w:rPr>
              <w:t>mg</w:t>
            </w:r>
            <w:r>
              <w:rPr>
                <w:sz w:val="21"/>
                <w:szCs w:val="21"/>
                <w:spacing w:val="16"/>
              </w:rPr>
              <w:t>/m³)</w:t>
            </w:r>
          </w:p>
        </w:tc>
        <w:tc>
          <w:tcPr>
            <w:tcW w:w="979" w:type="dxa"/>
            <w:vAlign w:val="top"/>
          </w:tcPr>
          <w:p>
            <w:pPr>
              <w:pStyle w:val="TableText"/>
              <w:ind w:left="375"/>
              <w:spacing w:before="51" w:line="182" w:lineRule="auto"/>
              <w:rPr>
                <w:sz w:val="21"/>
                <w:szCs w:val="21"/>
              </w:rPr>
            </w:pPr>
            <w:r>
              <w:rPr>
                <w:sz w:val="21"/>
                <w:szCs w:val="21"/>
                <w:spacing w:val="-3"/>
              </w:rPr>
              <w:t>68</w:t>
            </w:r>
          </w:p>
        </w:tc>
        <w:tc>
          <w:tcPr>
            <w:tcW w:w="1028" w:type="dxa"/>
            <w:vAlign w:val="top"/>
          </w:tcPr>
          <w:p>
            <w:pPr>
              <w:pStyle w:val="TableText"/>
              <w:ind w:left="406"/>
              <w:spacing w:before="51" w:line="182" w:lineRule="auto"/>
              <w:rPr>
                <w:sz w:val="21"/>
                <w:szCs w:val="21"/>
              </w:rPr>
            </w:pPr>
            <w:r>
              <w:rPr>
                <w:sz w:val="21"/>
                <w:szCs w:val="21"/>
                <w:spacing w:val="-4"/>
              </w:rPr>
              <w:t>70</w:t>
            </w:r>
          </w:p>
        </w:tc>
        <w:tc>
          <w:tcPr>
            <w:tcW w:w="979" w:type="dxa"/>
            <w:vAlign w:val="top"/>
          </w:tcPr>
          <w:p>
            <w:pPr>
              <w:pStyle w:val="TableText"/>
              <w:ind w:left="379"/>
              <w:spacing w:before="51" w:line="182" w:lineRule="auto"/>
              <w:rPr>
                <w:sz w:val="21"/>
                <w:szCs w:val="21"/>
              </w:rPr>
            </w:pPr>
            <w:r>
              <w:rPr>
                <w:sz w:val="21"/>
                <w:szCs w:val="21"/>
                <w:spacing w:val="-3"/>
              </w:rPr>
              <w:t>67</w:t>
            </w:r>
          </w:p>
        </w:tc>
        <w:tc>
          <w:tcPr>
            <w:tcW w:w="534" w:type="dxa"/>
            <w:vAlign w:val="top"/>
          </w:tcPr>
          <w:p>
            <w:pPr>
              <w:pStyle w:val="TableText"/>
              <w:ind w:left="160"/>
              <w:spacing w:before="130" w:line="128" w:lineRule="exact"/>
              <w:rPr>
                <w:sz w:val="21"/>
                <w:szCs w:val="21"/>
              </w:rPr>
            </w:pPr>
            <w:r>
              <w:rPr>
                <w:sz w:val="21"/>
                <w:szCs w:val="21"/>
                <w:position w:val="-5"/>
              </w:rPr>
              <w:t>一</w:t>
            </w:r>
          </w:p>
        </w:tc>
      </w:tr>
      <w:tr>
        <w:trPr>
          <w:trHeight w:val="259" w:hRule="atLeast"/>
        </w:trPr>
        <w:tc>
          <w:tcPr>
            <w:tcW w:w="1004" w:type="dxa"/>
            <w:vAlign w:val="top"/>
            <w:vMerge w:val="continue"/>
            <w:tcBorders>
              <w:top w:val="nil"/>
              <w:bottom w:val="nil"/>
            </w:tcBorders>
          </w:tcPr>
          <w:p>
            <w:pPr>
              <w:rPr>
                <w:rFonts w:ascii="Arial"/>
                <w:sz w:val="21"/>
              </w:rPr>
            </w:pPr>
            <w:r/>
          </w:p>
        </w:tc>
        <w:tc>
          <w:tcPr>
            <w:tcW w:w="989"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2017" w:type="dxa"/>
            <w:vAlign w:val="top"/>
          </w:tcPr>
          <w:p>
            <w:pPr>
              <w:pStyle w:val="TableText"/>
              <w:ind w:left="162"/>
              <w:spacing w:before="24" w:line="197" w:lineRule="auto"/>
              <w:rPr>
                <w:sz w:val="21"/>
                <w:szCs w:val="21"/>
              </w:rPr>
            </w:pPr>
            <w:r>
              <w:rPr>
                <w:sz w:val="21"/>
                <w:szCs w:val="21"/>
                <w:spacing w:val="16"/>
              </w:rPr>
              <w:t>排放浓度(</w:t>
            </w:r>
            <w:r>
              <w:rPr>
                <w:sz w:val="21"/>
                <w:szCs w:val="21"/>
              </w:rPr>
              <w:t>mg</w:t>
            </w:r>
            <w:r>
              <w:rPr>
                <w:sz w:val="21"/>
                <w:szCs w:val="21"/>
                <w:spacing w:val="16"/>
              </w:rPr>
              <w:t>/m³)</w:t>
            </w:r>
          </w:p>
        </w:tc>
        <w:tc>
          <w:tcPr>
            <w:tcW w:w="979" w:type="dxa"/>
            <w:vAlign w:val="top"/>
          </w:tcPr>
          <w:p>
            <w:pPr>
              <w:pStyle w:val="TableText"/>
              <w:ind w:left="375"/>
              <w:spacing w:before="52" w:line="173" w:lineRule="auto"/>
              <w:rPr>
                <w:sz w:val="21"/>
                <w:szCs w:val="21"/>
              </w:rPr>
            </w:pPr>
            <w:r>
              <w:rPr>
                <w:sz w:val="21"/>
                <w:szCs w:val="21"/>
                <w:spacing w:val="-4"/>
              </w:rPr>
              <w:t>70</w:t>
            </w:r>
          </w:p>
        </w:tc>
        <w:tc>
          <w:tcPr>
            <w:tcW w:w="1028" w:type="dxa"/>
            <w:vAlign w:val="top"/>
          </w:tcPr>
          <w:p>
            <w:pPr>
              <w:pStyle w:val="TableText"/>
              <w:ind w:left="406"/>
              <w:spacing w:before="52" w:line="173" w:lineRule="auto"/>
              <w:rPr>
                <w:sz w:val="21"/>
                <w:szCs w:val="21"/>
              </w:rPr>
            </w:pPr>
            <w:r>
              <w:rPr>
                <w:sz w:val="21"/>
                <w:szCs w:val="21"/>
                <w:spacing w:val="-4"/>
              </w:rPr>
              <w:t>70</w:t>
            </w:r>
          </w:p>
        </w:tc>
        <w:tc>
          <w:tcPr>
            <w:tcW w:w="979" w:type="dxa"/>
            <w:vAlign w:val="top"/>
          </w:tcPr>
          <w:p>
            <w:pPr>
              <w:pStyle w:val="TableText"/>
              <w:ind w:left="379"/>
              <w:spacing w:before="52" w:line="173" w:lineRule="auto"/>
              <w:rPr>
                <w:sz w:val="21"/>
                <w:szCs w:val="21"/>
              </w:rPr>
            </w:pPr>
            <w:r>
              <w:rPr>
                <w:sz w:val="21"/>
                <w:szCs w:val="21"/>
                <w:spacing w:val="-3"/>
              </w:rPr>
              <w:t>67</w:t>
            </w:r>
          </w:p>
        </w:tc>
        <w:tc>
          <w:tcPr>
            <w:tcW w:w="534" w:type="dxa"/>
            <w:vAlign w:val="top"/>
          </w:tcPr>
          <w:p>
            <w:pPr>
              <w:pStyle w:val="TableText"/>
              <w:ind w:left="99"/>
              <w:spacing w:before="52" w:line="173" w:lineRule="auto"/>
              <w:rPr>
                <w:sz w:val="21"/>
                <w:szCs w:val="21"/>
              </w:rPr>
            </w:pPr>
            <w:r>
              <w:rPr>
                <w:sz w:val="21"/>
                <w:szCs w:val="21"/>
                <w:spacing w:val="-6"/>
              </w:rPr>
              <w:t>150</w:t>
            </w:r>
          </w:p>
        </w:tc>
      </w:tr>
      <w:tr>
        <w:trPr>
          <w:trHeight w:val="289" w:hRule="atLeast"/>
        </w:trPr>
        <w:tc>
          <w:tcPr>
            <w:tcW w:w="1004" w:type="dxa"/>
            <w:vAlign w:val="top"/>
            <w:vMerge w:val="continue"/>
            <w:tcBorders>
              <w:top w:val="nil"/>
            </w:tcBorders>
          </w:tcPr>
          <w:p>
            <w:pPr>
              <w:rPr>
                <w:rFonts w:ascii="Arial"/>
                <w:sz w:val="21"/>
              </w:rPr>
            </w:pPr>
            <w:r/>
          </w:p>
        </w:tc>
        <w:tc>
          <w:tcPr>
            <w:tcW w:w="989" w:type="dxa"/>
            <w:vAlign w:val="top"/>
            <w:vMerge w:val="continue"/>
            <w:tcBorders>
              <w:top w:val="nil"/>
              <w:bottom w:val="nil"/>
            </w:tcBorders>
          </w:tcPr>
          <w:p>
            <w:pPr>
              <w:rPr>
                <w:rFonts w:ascii="Arial"/>
                <w:sz w:val="21"/>
              </w:rPr>
            </w:pPr>
            <w:r/>
          </w:p>
        </w:tc>
        <w:tc>
          <w:tcPr>
            <w:tcW w:w="959" w:type="dxa"/>
            <w:vAlign w:val="top"/>
            <w:vMerge w:val="continue"/>
            <w:tcBorders>
              <w:top w:val="nil"/>
            </w:tcBorders>
          </w:tcPr>
          <w:p>
            <w:pPr>
              <w:rPr>
                <w:rFonts w:ascii="Arial"/>
                <w:sz w:val="21"/>
              </w:rPr>
            </w:pPr>
            <w:r/>
          </w:p>
        </w:tc>
        <w:tc>
          <w:tcPr>
            <w:tcW w:w="2017" w:type="dxa"/>
            <w:vAlign w:val="top"/>
          </w:tcPr>
          <w:p>
            <w:pPr>
              <w:pStyle w:val="TableText"/>
              <w:ind w:left="262"/>
              <w:spacing w:before="35" w:line="214" w:lineRule="auto"/>
              <w:rPr>
                <w:sz w:val="21"/>
                <w:szCs w:val="21"/>
              </w:rPr>
            </w:pPr>
            <w:r>
              <w:rPr>
                <w:sz w:val="21"/>
                <w:szCs w:val="21"/>
                <w:spacing w:val="5"/>
              </w:rPr>
              <w:t>排放速率(</w:t>
            </w:r>
            <w:r>
              <w:rPr>
                <w:sz w:val="21"/>
                <w:szCs w:val="21"/>
              </w:rPr>
              <w:t>kg</w:t>
            </w:r>
            <w:r>
              <w:rPr>
                <w:sz w:val="21"/>
                <w:szCs w:val="21"/>
                <w:spacing w:val="5"/>
              </w:rPr>
              <w:t>/h)</w:t>
            </w:r>
          </w:p>
        </w:tc>
        <w:tc>
          <w:tcPr>
            <w:tcW w:w="979" w:type="dxa"/>
            <w:vAlign w:val="top"/>
          </w:tcPr>
          <w:p>
            <w:pPr>
              <w:pStyle w:val="TableText"/>
              <w:spacing w:before="60" w:line="212" w:lineRule="auto"/>
              <w:jc w:val="right"/>
              <w:rPr>
                <w:sz w:val="19"/>
                <w:szCs w:val="19"/>
              </w:rPr>
            </w:pPr>
            <w:r>
              <w:rPr>
                <w:sz w:val="19"/>
                <w:szCs w:val="19"/>
                <w:spacing w:val="-10"/>
              </w:rPr>
              <w:t>4.576×10-²</w:t>
            </w:r>
          </w:p>
        </w:tc>
        <w:tc>
          <w:tcPr>
            <w:tcW w:w="1028" w:type="dxa"/>
            <w:vAlign w:val="top"/>
          </w:tcPr>
          <w:p>
            <w:pPr>
              <w:pStyle w:val="TableText"/>
              <w:spacing w:before="60" w:line="212" w:lineRule="auto"/>
              <w:jc w:val="right"/>
              <w:rPr>
                <w:sz w:val="19"/>
                <w:szCs w:val="19"/>
              </w:rPr>
            </w:pPr>
            <w:r>
              <w:rPr>
                <w:sz w:val="19"/>
                <w:szCs w:val="19"/>
                <w:spacing w:val="-5"/>
              </w:rPr>
              <w:t>5.607×10-²</w:t>
            </w:r>
          </w:p>
        </w:tc>
        <w:tc>
          <w:tcPr>
            <w:tcW w:w="979" w:type="dxa"/>
            <w:vAlign w:val="top"/>
          </w:tcPr>
          <w:p>
            <w:pPr>
              <w:pStyle w:val="TableText"/>
              <w:spacing w:before="60" w:line="212" w:lineRule="auto"/>
              <w:jc w:val="right"/>
              <w:rPr>
                <w:sz w:val="19"/>
                <w:szCs w:val="19"/>
              </w:rPr>
            </w:pPr>
            <w:r>
              <w:rPr>
                <w:sz w:val="19"/>
                <w:szCs w:val="19"/>
                <w:spacing w:val="-10"/>
              </w:rPr>
              <w:t>5.474×10-²</w:t>
            </w:r>
          </w:p>
        </w:tc>
        <w:tc>
          <w:tcPr>
            <w:tcW w:w="534" w:type="dxa"/>
            <w:vAlign w:val="top"/>
          </w:tcPr>
          <w:p>
            <w:pPr>
              <w:pStyle w:val="TableText"/>
              <w:ind w:left="160"/>
              <w:spacing w:before="142" w:line="136" w:lineRule="exact"/>
              <w:rPr>
                <w:sz w:val="21"/>
                <w:szCs w:val="21"/>
              </w:rPr>
            </w:pPr>
            <w:r>
              <w:rPr>
                <w:sz w:val="21"/>
                <w:szCs w:val="21"/>
                <w:position w:val="-5"/>
              </w:rPr>
              <w:t>一</w:t>
            </w:r>
          </w:p>
        </w:tc>
      </w:tr>
      <w:tr>
        <w:trPr>
          <w:trHeight w:val="260" w:hRule="atLeast"/>
        </w:trPr>
        <w:tc>
          <w:tcPr>
            <w:tcW w:w="1004" w:type="dxa"/>
            <w:vAlign w:val="top"/>
            <w:vMerge w:val="restart"/>
            <w:tcBorders>
              <w:bottom w:val="nil"/>
            </w:tcBorders>
          </w:tcPr>
          <w:p>
            <w:pPr>
              <w:spacing w:line="403" w:lineRule="auto"/>
              <w:rPr>
                <w:rFonts w:ascii="Arial"/>
                <w:sz w:val="21"/>
              </w:rPr>
            </w:pPr>
            <w:r/>
          </w:p>
          <w:p>
            <w:pPr>
              <w:pStyle w:val="TableText"/>
              <w:spacing w:before="69" w:line="239" w:lineRule="auto"/>
              <w:jc w:val="right"/>
              <w:rPr>
                <w:sz w:val="21"/>
                <w:szCs w:val="21"/>
              </w:rPr>
            </w:pPr>
            <w:r>
              <w:rPr>
                <w:sz w:val="21"/>
                <w:szCs w:val="21"/>
                <w:spacing w:val="-8"/>
              </w:rPr>
              <w:t>2024.06.16</w:t>
            </w:r>
          </w:p>
        </w:tc>
        <w:tc>
          <w:tcPr>
            <w:tcW w:w="989" w:type="dxa"/>
            <w:vAlign w:val="top"/>
            <w:vMerge w:val="continue"/>
            <w:tcBorders>
              <w:top w:val="nil"/>
              <w:bottom w:val="nil"/>
            </w:tcBorders>
          </w:tcPr>
          <w:p>
            <w:pPr>
              <w:rPr>
                <w:rFonts w:ascii="Arial"/>
                <w:sz w:val="21"/>
              </w:rPr>
            </w:pPr>
            <w:r/>
          </w:p>
        </w:tc>
        <w:tc>
          <w:tcPr>
            <w:tcW w:w="959" w:type="dxa"/>
            <w:vAlign w:val="top"/>
          </w:tcPr>
          <w:p>
            <w:pPr>
              <w:pStyle w:val="TableText"/>
              <w:ind w:left="51"/>
              <w:spacing w:before="33" w:line="190" w:lineRule="auto"/>
              <w:rPr>
                <w:sz w:val="21"/>
                <w:szCs w:val="21"/>
              </w:rPr>
            </w:pPr>
            <w:r>
              <w:rPr>
                <w:sz w:val="21"/>
                <w:szCs w:val="21"/>
                <w:spacing w:val="-2"/>
              </w:rPr>
              <w:t>标杆流量</w:t>
            </w:r>
          </w:p>
        </w:tc>
        <w:tc>
          <w:tcPr>
            <w:tcW w:w="2017" w:type="dxa"/>
            <w:vAlign w:val="top"/>
          </w:tcPr>
          <w:p>
            <w:pPr>
              <w:pStyle w:val="TableText"/>
              <w:ind w:left="732"/>
              <w:spacing w:before="39" w:line="185" w:lineRule="auto"/>
              <w:rPr>
                <w:sz w:val="21"/>
                <w:szCs w:val="21"/>
              </w:rPr>
            </w:pPr>
            <w:r>
              <w:rPr>
                <w:sz w:val="21"/>
                <w:szCs w:val="21"/>
                <w:spacing w:val="-1"/>
              </w:rPr>
              <w:t>m³/h</w:t>
            </w:r>
          </w:p>
        </w:tc>
        <w:tc>
          <w:tcPr>
            <w:tcW w:w="979" w:type="dxa"/>
            <w:vAlign w:val="top"/>
          </w:tcPr>
          <w:p>
            <w:pPr>
              <w:pStyle w:val="TableText"/>
              <w:ind w:left="325"/>
              <w:spacing w:before="54" w:line="172" w:lineRule="auto"/>
              <w:rPr>
                <w:sz w:val="21"/>
                <w:szCs w:val="21"/>
              </w:rPr>
            </w:pPr>
            <w:r>
              <w:rPr>
                <w:sz w:val="21"/>
                <w:szCs w:val="21"/>
                <w:spacing w:val="-3"/>
              </w:rPr>
              <w:t>940</w:t>
            </w:r>
          </w:p>
        </w:tc>
        <w:tc>
          <w:tcPr>
            <w:tcW w:w="1028" w:type="dxa"/>
            <w:vAlign w:val="top"/>
          </w:tcPr>
          <w:p>
            <w:pPr>
              <w:pStyle w:val="TableText"/>
              <w:ind w:left="346"/>
              <w:spacing w:before="54" w:line="172" w:lineRule="auto"/>
              <w:rPr>
                <w:sz w:val="21"/>
                <w:szCs w:val="21"/>
              </w:rPr>
            </w:pPr>
            <w:r>
              <w:rPr>
                <w:sz w:val="21"/>
                <w:szCs w:val="21"/>
                <w:spacing w:val="-3"/>
              </w:rPr>
              <w:t>915</w:t>
            </w:r>
          </w:p>
        </w:tc>
        <w:tc>
          <w:tcPr>
            <w:tcW w:w="979" w:type="dxa"/>
            <w:vAlign w:val="top"/>
          </w:tcPr>
          <w:p>
            <w:pPr>
              <w:pStyle w:val="TableText"/>
              <w:ind w:left="329"/>
              <w:spacing w:before="54" w:line="172" w:lineRule="auto"/>
              <w:rPr>
                <w:sz w:val="21"/>
                <w:szCs w:val="21"/>
              </w:rPr>
            </w:pPr>
            <w:r>
              <w:rPr>
                <w:sz w:val="21"/>
                <w:szCs w:val="21"/>
                <w:spacing w:val="-3"/>
              </w:rPr>
              <w:t>958</w:t>
            </w:r>
          </w:p>
        </w:tc>
        <w:tc>
          <w:tcPr>
            <w:tcW w:w="534" w:type="dxa"/>
            <w:vAlign w:val="top"/>
          </w:tcPr>
          <w:p>
            <w:pPr>
              <w:pStyle w:val="TableText"/>
              <w:ind w:left="160"/>
              <w:spacing w:before="133" w:line="116" w:lineRule="exact"/>
              <w:rPr>
                <w:sz w:val="21"/>
                <w:szCs w:val="21"/>
              </w:rPr>
            </w:pPr>
            <w:r>
              <w:rPr>
                <w:sz w:val="21"/>
                <w:szCs w:val="21"/>
                <w:position w:val="-5"/>
              </w:rPr>
              <w:t>一</w:t>
            </w:r>
          </w:p>
        </w:tc>
      </w:tr>
      <w:tr>
        <w:trPr>
          <w:trHeight w:val="279" w:hRule="atLeast"/>
        </w:trPr>
        <w:tc>
          <w:tcPr>
            <w:tcW w:w="1004" w:type="dxa"/>
            <w:vAlign w:val="top"/>
            <w:vMerge w:val="continue"/>
            <w:tcBorders>
              <w:top w:val="nil"/>
              <w:bottom w:val="nil"/>
            </w:tcBorders>
          </w:tcPr>
          <w:p>
            <w:pPr>
              <w:rPr>
                <w:rFonts w:ascii="Arial"/>
                <w:sz w:val="21"/>
              </w:rPr>
            </w:pPr>
            <w:r/>
          </w:p>
        </w:tc>
        <w:tc>
          <w:tcPr>
            <w:tcW w:w="989" w:type="dxa"/>
            <w:vAlign w:val="top"/>
            <w:vMerge w:val="continue"/>
            <w:tcBorders>
              <w:top w:val="nil"/>
              <w:bottom w:val="nil"/>
            </w:tcBorders>
          </w:tcPr>
          <w:p>
            <w:pPr>
              <w:rPr>
                <w:rFonts w:ascii="Arial"/>
                <w:sz w:val="21"/>
              </w:rPr>
            </w:pPr>
            <w:r/>
          </w:p>
        </w:tc>
        <w:tc>
          <w:tcPr>
            <w:tcW w:w="959" w:type="dxa"/>
            <w:vAlign w:val="top"/>
            <w:vMerge w:val="restart"/>
            <w:tcBorders>
              <w:bottom w:val="nil"/>
            </w:tcBorders>
          </w:tcPr>
          <w:p>
            <w:pPr>
              <w:spacing w:line="254" w:lineRule="auto"/>
              <w:rPr>
                <w:rFonts w:ascii="Arial"/>
                <w:sz w:val="21"/>
              </w:rPr>
            </w:pPr>
            <w:r/>
          </w:p>
          <w:p>
            <w:pPr>
              <w:pStyle w:val="TableText"/>
              <w:ind w:left="151"/>
              <w:spacing w:before="68" w:line="220" w:lineRule="auto"/>
              <w:rPr>
                <w:sz w:val="21"/>
                <w:szCs w:val="21"/>
              </w:rPr>
            </w:pPr>
            <w:r>
              <w:rPr>
                <w:sz w:val="21"/>
                <w:szCs w:val="21"/>
                <w:spacing w:val="-2"/>
              </w:rPr>
              <w:t>颗粒物</w:t>
            </w:r>
          </w:p>
        </w:tc>
        <w:tc>
          <w:tcPr>
            <w:tcW w:w="2017" w:type="dxa"/>
            <w:vAlign w:val="top"/>
          </w:tcPr>
          <w:p>
            <w:pPr>
              <w:pStyle w:val="TableText"/>
              <w:ind w:left="162"/>
              <w:spacing w:before="36" w:line="204" w:lineRule="auto"/>
              <w:rPr>
                <w:sz w:val="21"/>
                <w:szCs w:val="21"/>
              </w:rPr>
            </w:pPr>
            <w:r>
              <w:rPr>
                <w:sz w:val="21"/>
                <w:szCs w:val="21"/>
                <w:spacing w:val="16"/>
              </w:rPr>
              <w:t>实测浓度(</w:t>
            </w:r>
            <w:r>
              <w:rPr>
                <w:sz w:val="21"/>
                <w:szCs w:val="21"/>
              </w:rPr>
              <w:t>mg</w:t>
            </w:r>
            <w:r>
              <w:rPr>
                <w:sz w:val="21"/>
                <w:szCs w:val="21"/>
                <w:spacing w:val="16"/>
              </w:rPr>
              <w:t>/m³)</w:t>
            </w:r>
          </w:p>
        </w:tc>
        <w:tc>
          <w:tcPr>
            <w:tcW w:w="979" w:type="dxa"/>
            <w:vAlign w:val="top"/>
          </w:tcPr>
          <w:p>
            <w:pPr>
              <w:pStyle w:val="TableText"/>
              <w:ind w:left="216"/>
              <w:spacing w:before="64" w:line="180" w:lineRule="auto"/>
              <w:rPr>
                <w:sz w:val="21"/>
                <w:szCs w:val="21"/>
              </w:rPr>
            </w:pPr>
            <w:r>
              <w:rPr>
                <w:sz w:val="21"/>
                <w:szCs w:val="21"/>
                <w:spacing w:val="-4"/>
              </w:rPr>
              <w:t>12.29</w:t>
            </w:r>
          </w:p>
        </w:tc>
        <w:tc>
          <w:tcPr>
            <w:tcW w:w="1028" w:type="dxa"/>
            <w:vAlign w:val="top"/>
          </w:tcPr>
          <w:p>
            <w:pPr>
              <w:pStyle w:val="TableText"/>
              <w:ind w:left="246"/>
              <w:spacing w:before="64" w:line="180" w:lineRule="auto"/>
              <w:rPr>
                <w:sz w:val="21"/>
                <w:szCs w:val="21"/>
              </w:rPr>
            </w:pPr>
            <w:r>
              <w:rPr>
                <w:sz w:val="21"/>
                <w:szCs w:val="21"/>
                <w:spacing w:val="-4"/>
              </w:rPr>
              <w:t>14.98</w:t>
            </w:r>
          </w:p>
        </w:tc>
        <w:tc>
          <w:tcPr>
            <w:tcW w:w="979" w:type="dxa"/>
            <w:vAlign w:val="top"/>
          </w:tcPr>
          <w:p>
            <w:pPr>
              <w:pStyle w:val="TableText"/>
              <w:ind w:left="218"/>
              <w:spacing w:before="64" w:line="180" w:lineRule="auto"/>
              <w:rPr>
                <w:sz w:val="21"/>
                <w:szCs w:val="21"/>
              </w:rPr>
            </w:pPr>
            <w:r>
              <w:rPr>
                <w:sz w:val="21"/>
                <w:szCs w:val="21"/>
                <w:spacing w:val="-4"/>
              </w:rPr>
              <w:t>13.46</w:t>
            </w:r>
          </w:p>
        </w:tc>
        <w:tc>
          <w:tcPr>
            <w:tcW w:w="534" w:type="dxa"/>
            <w:vAlign w:val="top"/>
          </w:tcPr>
          <w:p>
            <w:pPr>
              <w:pStyle w:val="TableText"/>
              <w:ind w:left="160"/>
              <w:spacing w:before="143" w:line="125" w:lineRule="exact"/>
              <w:rPr>
                <w:sz w:val="21"/>
                <w:szCs w:val="21"/>
              </w:rPr>
            </w:pPr>
            <w:r>
              <w:rPr>
                <w:sz w:val="21"/>
                <w:szCs w:val="21"/>
                <w:position w:val="-5"/>
              </w:rPr>
              <w:t>一</w:t>
            </w:r>
          </w:p>
        </w:tc>
      </w:tr>
      <w:tr>
        <w:trPr>
          <w:trHeight w:val="270" w:hRule="atLeast"/>
        </w:trPr>
        <w:tc>
          <w:tcPr>
            <w:tcW w:w="1004" w:type="dxa"/>
            <w:vAlign w:val="top"/>
            <w:vMerge w:val="continue"/>
            <w:tcBorders>
              <w:top w:val="nil"/>
              <w:bottom w:val="nil"/>
            </w:tcBorders>
          </w:tcPr>
          <w:p>
            <w:pPr>
              <w:rPr>
                <w:rFonts w:ascii="Arial"/>
                <w:sz w:val="21"/>
              </w:rPr>
            </w:pPr>
            <w:r/>
          </w:p>
        </w:tc>
        <w:tc>
          <w:tcPr>
            <w:tcW w:w="989"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2017" w:type="dxa"/>
            <w:vAlign w:val="top"/>
          </w:tcPr>
          <w:p>
            <w:pPr>
              <w:pStyle w:val="TableText"/>
              <w:ind w:left="162"/>
              <w:spacing w:before="27" w:line="204" w:lineRule="auto"/>
              <w:rPr>
                <w:sz w:val="21"/>
                <w:szCs w:val="21"/>
              </w:rPr>
            </w:pPr>
            <w:r>
              <w:rPr>
                <w:sz w:val="21"/>
                <w:szCs w:val="21"/>
                <w:spacing w:val="16"/>
              </w:rPr>
              <w:t>排放浓度(</w:t>
            </w:r>
            <w:r>
              <w:rPr>
                <w:sz w:val="21"/>
                <w:szCs w:val="21"/>
              </w:rPr>
              <w:t>mg</w:t>
            </w:r>
            <w:r>
              <w:rPr>
                <w:sz w:val="21"/>
                <w:szCs w:val="21"/>
                <w:spacing w:val="16"/>
              </w:rPr>
              <w:t>/m³)</w:t>
            </w:r>
          </w:p>
        </w:tc>
        <w:tc>
          <w:tcPr>
            <w:tcW w:w="979" w:type="dxa"/>
            <w:vAlign w:val="top"/>
          </w:tcPr>
          <w:p>
            <w:pPr>
              <w:pStyle w:val="TableText"/>
              <w:ind w:left="275"/>
              <w:spacing w:before="55" w:line="180" w:lineRule="auto"/>
              <w:rPr>
                <w:sz w:val="21"/>
                <w:szCs w:val="21"/>
              </w:rPr>
            </w:pPr>
            <w:r>
              <w:rPr>
                <w:sz w:val="21"/>
                <w:szCs w:val="21"/>
                <w:spacing w:val="-2"/>
              </w:rPr>
              <w:t>4.52</w:t>
            </w:r>
          </w:p>
        </w:tc>
        <w:tc>
          <w:tcPr>
            <w:tcW w:w="1028" w:type="dxa"/>
            <w:vAlign w:val="top"/>
          </w:tcPr>
          <w:p>
            <w:pPr>
              <w:pStyle w:val="TableText"/>
              <w:ind w:left="297"/>
              <w:spacing w:before="55" w:line="180" w:lineRule="auto"/>
              <w:rPr>
                <w:sz w:val="21"/>
                <w:szCs w:val="21"/>
              </w:rPr>
            </w:pPr>
            <w:r>
              <w:rPr>
                <w:sz w:val="21"/>
                <w:szCs w:val="21"/>
                <w:spacing w:val="-3"/>
              </w:rPr>
              <w:t>5.51</w:t>
            </w:r>
          </w:p>
        </w:tc>
        <w:tc>
          <w:tcPr>
            <w:tcW w:w="979" w:type="dxa"/>
            <w:vAlign w:val="top"/>
          </w:tcPr>
          <w:p>
            <w:pPr>
              <w:pStyle w:val="TableText"/>
              <w:ind w:left="278"/>
              <w:spacing w:before="55" w:line="180" w:lineRule="auto"/>
              <w:rPr>
                <w:sz w:val="21"/>
                <w:szCs w:val="21"/>
              </w:rPr>
            </w:pPr>
            <w:r>
              <w:rPr>
                <w:sz w:val="21"/>
                <w:szCs w:val="21"/>
                <w:spacing w:val="-2"/>
              </w:rPr>
              <w:t>4.92</w:t>
            </w:r>
          </w:p>
        </w:tc>
        <w:tc>
          <w:tcPr>
            <w:tcW w:w="534" w:type="dxa"/>
            <w:vAlign w:val="top"/>
          </w:tcPr>
          <w:p>
            <w:pPr>
              <w:pStyle w:val="TableText"/>
              <w:ind w:left="160"/>
              <w:spacing w:before="55" w:line="180" w:lineRule="auto"/>
              <w:rPr>
                <w:sz w:val="21"/>
                <w:szCs w:val="21"/>
              </w:rPr>
            </w:pPr>
            <w:r>
              <w:rPr>
                <w:sz w:val="21"/>
                <w:szCs w:val="21"/>
                <w:spacing w:val="-3"/>
              </w:rPr>
              <w:t>20</w:t>
            </w:r>
          </w:p>
        </w:tc>
      </w:tr>
      <w:tr>
        <w:trPr>
          <w:trHeight w:val="269" w:hRule="atLeast"/>
        </w:trPr>
        <w:tc>
          <w:tcPr>
            <w:tcW w:w="1004" w:type="dxa"/>
            <w:vAlign w:val="top"/>
            <w:vMerge w:val="continue"/>
            <w:tcBorders>
              <w:top w:val="nil"/>
            </w:tcBorders>
          </w:tcPr>
          <w:p>
            <w:pPr>
              <w:rPr>
                <w:rFonts w:ascii="Arial"/>
                <w:sz w:val="21"/>
              </w:rPr>
            </w:pPr>
            <w:r/>
          </w:p>
        </w:tc>
        <w:tc>
          <w:tcPr>
            <w:tcW w:w="989" w:type="dxa"/>
            <w:vAlign w:val="top"/>
            <w:vMerge w:val="continue"/>
            <w:tcBorders>
              <w:top w:val="nil"/>
              <w:bottom w:val="nil"/>
            </w:tcBorders>
          </w:tcPr>
          <w:p>
            <w:pPr>
              <w:rPr>
                <w:rFonts w:ascii="Arial"/>
                <w:sz w:val="21"/>
              </w:rPr>
            </w:pPr>
            <w:r/>
          </w:p>
        </w:tc>
        <w:tc>
          <w:tcPr>
            <w:tcW w:w="959" w:type="dxa"/>
            <w:vAlign w:val="top"/>
            <w:vMerge w:val="continue"/>
            <w:tcBorders>
              <w:top w:val="nil"/>
            </w:tcBorders>
          </w:tcPr>
          <w:p>
            <w:pPr>
              <w:rPr>
                <w:rFonts w:ascii="Arial"/>
                <w:sz w:val="21"/>
              </w:rPr>
            </w:pPr>
            <w:r/>
          </w:p>
        </w:tc>
        <w:tc>
          <w:tcPr>
            <w:tcW w:w="2017" w:type="dxa"/>
            <w:vAlign w:val="top"/>
          </w:tcPr>
          <w:p>
            <w:pPr>
              <w:pStyle w:val="TableText"/>
              <w:ind w:left="262"/>
              <w:spacing w:before="28" w:line="203" w:lineRule="auto"/>
              <w:rPr>
                <w:sz w:val="21"/>
                <w:szCs w:val="21"/>
              </w:rPr>
            </w:pPr>
            <w:r>
              <w:rPr>
                <w:sz w:val="21"/>
                <w:szCs w:val="21"/>
                <w:spacing w:val="5"/>
              </w:rPr>
              <w:t>排放速率(</w:t>
            </w:r>
            <w:r>
              <w:rPr>
                <w:sz w:val="21"/>
                <w:szCs w:val="21"/>
              </w:rPr>
              <w:t>kg</w:t>
            </w:r>
            <w:r>
              <w:rPr>
                <w:sz w:val="21"/>
                <w:szCs w:val="21"/>
                <w:spacing w:val="5"/>
              </w:rPr>
              <w:t>/h)</w:t>
            </w:r>
          </w:p>
        </w:tc>
        <w:tc>
          <w:tcPr>
            <w:tcW w:w="979" w:type="dxa"/>
            <w:vAlign w:val="top"/>
          </w:tcPr>
          <w:p>
            <w:pPr>
              <w:pStyle w:val="TableText"/>
              <w:spacing w:before="53" w:line="200" w:lineRule="auto"/>
              <w:jc w:val="right"/>
              <w:rPr>
                <w:sz w:val="19"/>
                <w:szCs w:val="19"/>
              </w:rPr>
            </w:pPr>
            <w:r>
              <w:rPr>
                <w:sz w:val="19"/>
                <w:szCs w:val="19"/>
                <w:spacing w:val="-10"/>
              </w:rPr>
              <w:t>1.155×10-²</w:t>
            </w:r>
          </w:p>
        </w:tc>
        <w:tc>
          <w:tcPr>
            <w:tcW w:w="1028" w:type="dxa"/>
            <w:vAlign w:val="top"/>
          </w:tcPr>
          <w:p>
            <w:pPr>
              <w:pStyle w:val="TableText"/>
              <w:spacing w:before="53" w:line="200" w:lineRule="auto"/>
              <w:jc w:val="right"/>
              <w:rPr>
                <w:sz w:val="19"/>
                <w:szCs w:val="19"/>
              </w:rPr>
            </w:pPr>
            <w:r>
              <w:rPr>
                <w:sz w:val="19"/>
                <w:szCs w:val="19"/>
                <w:color w:val="404040"/>
                <w:spacing w:val="-5"/>
              </w:rPr>
              <w:t>1.371×10-²</w:t>
            </w:r>
          </w:p>
        </w:tc>
        <w:tc>
          <w:tcPr>
            <w:tcW w:w="979" w:type="dxa"/>
            <w:vAlign w:val="top"/>
          </w:tcPr>
          <w:p>
            <w:pPr>
              <w:pStyle w:val="TableText"/>
              <w:spacing w:before="53" w:line="200" w:lineRule="auto"/>
              <w:jc w:val="right"/>
              <w:rPr>
                <w:sz w:val="19"/>
                <w:szCs w:val="19"/>
              </w:rPr>
            </w:pPr>
            <w:r>
              <w:rPr>
                <w:sz w:val="19"/>
                <w:szCs w:val="19"/>
                <w:spacing w:val="-10"/>
              </w:rPr>
              <w:t>1.289×10-²</w:t>
            </w:r>
          </w:p>
        </w:tc>
        <w:tc>
          <w:tcPr>
            <w:tcW w:w="534" w:type="dxa"/>
            <w:vAlign w:val="top"/>
          </w:tcPr>
          <w:p>
            <w:pPr>
              <w:pStyle w:val="TableText"/>
              <w:ind w:left="160"/>
              <w:spacing w:before="134" w:line="124" w:lineRule="exact"/>
              <w:rPr>
                <w:sz w:val="21"/>
                <w:szCs w:val="21"/>
              </w:rPr>
            </w:pPr>
            <w:r>
              <w:rPr>
                <w:sz w:val="21"/>
                <w:szCs w:val="21"/>
                <w:position w:val="-5"/>
              </w:rPr>
              <w:t>一</w:t>
            </w:r>
          </w:p>
        </w:tc>
      </w:tr>
      <w:tr>
        <w:trPr>
          <w:trHeight w:val="279" w:hRule="atLeast"/>
        </w:trPr>
        <w:tc>
          <w:tcPr>
            <w:tcW w:w="1004" w:type="dxa"/>
            <w:vAlign w:val="top"/>
            <w:vMerge w:val="restart"/>
            <w:tcBorders>
              <w:bottom w:val="nil"/>
            </w:tcBorders>
          </w:tcPr>
          <w:p>
            <w:pPr>
              <w:spacing w:line="415" w:lineRule="auto"/>
              <w:rPr>
                <w:rFonts w:ascii="Arial"/>
                <w:sz w:val="21"/>
              </w:rPr>
            </w:pPr>
            <w:r/>
          </w:p>
          <w:p>
            <w:pPr>
              <w:pStyle w:val="TableText"/>
              <w:spacing w:before="68" w:line="239" w:lineRule="auto"/>
              <w:jc w:val="right"/>
              <w:rPr>
                <w:sz w:val="21"/>
                <w:szCs w:val="21"/>
              </w:rPr>
            </w:pPr>
            <w:r>
              <w:rPr>
                <w:sz w:val="21"/>
                <w:szCs w:val="21"/>
                <w:spacing w:val="-8"/>
              </w:rPr>
              <w:t>2024.06.16</w:t>
            </w:r>
          </w:p>
        </w:tc>
        <w:tc>
          <w:tcPr>
            <w:tcW w:w="989" w:type="dxa"/>
            <w:vAlign w:val="top"/>
            <w:vMerge w:val="continue"/>
            <w:tcBorders>
              <w:top w:val="nil"/>
              <w:bottom w:val="nil"/>
            </w:tcBorders>
          </w:tcPr>
          <w:p>
            <w:pPr>
              <w:rPr>
                <w:rFonts w:ascii="Arial"/>
                <w:sz w:val="21"/>
              </w:rPr>
            </w:pPr>
            <w:r/>
          </w:p>
        </w:tc>
        <w:tc>
          <w:tcPr>
            <w:tcW w:w="959" w:type="dxa"/>
            <w:vAlign w:val="top"/>
            <w:vMerge w:val="restart"/>
            <w:tcBorders>
              <w:bottom w:val="nil"/>
            </w:tcBorders>
          </w:tcPr>
          <w:p>
            <w:pPr>
              <w:spacing w:line="254" w:lineRule="auto"/>
              <w:rPr>
                <w:rFonts w:ascii="Arial"/>
                <w:sz w:val="21"/>
              </w:rPr>
            </w:pPr>
            <w:r/>
          </w:p>
          <w:p>
            <w:pPr>
              <w:pStyle w:val="TableText"/>
              <w:ind w:left="51"/>
              <w:spacing w:before="68" w:line="219" w:lineRule="auto"/>
              <w:rPr>
                <w:sz w:val="21"/>
                <w:szCs w:val="21"/>
              </w:rPr>
            </w:pPr>
            <w:r>
              <w:rPr>
                <w:sz w:val="21"/>
                <w:szCs w:val="21"/>
                <w:spacing w:val="2"/>
              </w:rPr>
              <w:t>二氧化硫</w:t>
            </w:r>
          </w:p>
        </w:tc>
        <w:tc>
          <w:tcPr>
            <w:tcW w:w="2017" w:type="dxa"/>
            <w:vAlign w:val="top"/>
          </w:tcPr>
          <w:p>
            <w:pPr>
              <w:pStyle w:val="TableText"/>
              <w:ind w:left="162"/>
              <w:spacing w:before="39" w:line="202" w:lineRule="auto"/>
              <w:rPr>
                <w:sz w:val="21"/>
                <w:szCs w:val="21"/>
              </w:rPr>
            </w:pPr>
            <w:r>
              <w:rPr>
                <w:sz w:val="21"/>
                <w:szCs w:val="21"/>
                <w:spacing w:val="16"/>
              </w:rPr>
              <w:t>实测浓度(</w:t>
            </w:r>
            <w:r>
              <w:rPr>
                <w:sz w:val="21"/>
                <w:szCs w:val="21"/>
              </w:rPr>
              <w:t>mg</w:t>
            </w:r>
            <w:r>
              <w:rPr>
                <w:sz w:val="21"/>
                <w:szCs w:val="21"/>
                <w:spacing w:val="16"/>
              </w:rPr>
              <w:t>/m³)</w:t>
            </w:r>
          </w:p>
        </w:tc>
        <w:tc>
          <w:tcPr>
            <w:tcW w:w="979" w:type="dxa"/>
            <w:vAlign w:val="top"/>
          </w:tcPr>
          <w:p>
            <w:pPr>
              <w:pStyle w:val="TableText"/>
              <w:ind w:left="165"/>
              <w:spacing w:before="46" w:line="196" w:lineRule="auto"/>
              <w:rPr>
                <w:sz w:val="21"/>
                <w:szCs w:val="21"/>
              </w:rPr>
            </w:pPr>
            <w:r>
              <w:rPr>
                <w:sz w:val="21"/>
                <w:szCs w:val="21"/>
                <w:color w:val="404040"/>
                <w:spacing w:val="8"/>
              </w:rPr>
              <w:t>未检出</w:t>
            </w:r>
          </w:p>
        </w:tc>
        <w:tc>
          <w:tcPr>
            <w:tcW w:w="1028" w:type="dxa"/>
            <w:vAlign w:val="top"/>
          </w:tcPr>
          <w:p>
            <w:pPr>
              <w:pStyle w:val="TableText"/>
              <w:ind w:left="196"/>
              <w:spacing w:before="46" w:line="196" w:lineRule="auto"/>
              <w:rPr>
                <w:sz w:val="21"/>
                <w:szCs w:val="21"/>
              </w:rPr>
            </w:pPr>
            <w:r>
              <w:rPr>
                <w:sz w:val="21"/>
                <w:szCs w:val="21"/>
                <w:color w:val="504040"/>
                <w:spacing w:val="8"/>
              </w:rPr>
              <w:t>未检出</w:t>
            </w:r>
          </w:p>
        </w:tc>
        <w:tc>
          <w:tcPr>
            <w:tcW w:w="979" w:type="dxa"/>
            <w:vAlign w:val="top"/>
          </w:tcPr>
          <w:p>
            <w:pPr>
              <w:pStyle w:val="TableText"/>
              <w:ind w:left="168"/>
              <w:spacing w:before="46" w:line="196" w:lineRule="auto"/>
              <w:rPr>
                <w:sz w:val="21"/>
                <w:szCs w:val="21"/>
              </w:rPr>
            </w:pPr>
            <w:r>
              <w:rPr>
                <w:sz w:val="21"/>
                <w:szCs w:val="21"/>
                <w:color w:val="505040"/>
                <w:spacing w:val="8"/>
              </w:rPr>
              <w:t>未检出</w:t>
            </w:r>
          </w:p>
        </w:tc>
        <w:tc>
          <w:tcPr>
            <w:tcW w:w="534" w:type="dxa"/>
            <w:vAlign w:val="top"/>
          </w:tcPr>
          <w:p>
            <w:pPr>
              <w:pStyle w:val="TableText"/>
              <w:ind w:left="160"/>
              <w:spacing w:before="145" w:line="123" w:lineRule="exact"/>
              <w:rPr>
                <w:sz w:val="21"/>
                <w:szCs w:val="21"/>
              </w:rPr>
            </w:pPr>
            <w:r>
              <w:rPr>
                <w:sz w:val="21"/>
                <w:szCs w:val="21"/>
                <w:position w:val="-5"/>
              </w:rPr>
              <w:t>一</w:t>
            </w:r>
          </w:p>
        </w:tc>
      </w:tr>
      <w:tr>
        <w:trPr>
          <w:trHeight w:val="260" w:hRule="atLeast"/>
        </w:trPr>
        <w:tc>
          <w:tcPr>
            <w:tcW w:w="1004" w:type="dxa"/>
            <w:vAlign w:val="top"/>
            <w:vMerge w:val="continue"/>
            <w:tcBorders>
              <w:top w:val="nil"/>
              <w:bottom w:val="nil"/>
            </w:tcBorders>
          </w:tcPr>
          <w:p>
            <w:pPr>
              <w:rPr>
                <w:rFonts w:ascii="Arial"/>
                <w:sz w:val="21"/>
              </w:rPr>
            </w:pPr>
            <w:r/>
          </w:p>
        </w:tc>
        <w:tc>
          <w:tcPr>
            <w:tcW w:w="989"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2017" w:type="dxa"/>
            <w:vAlign w:val="top"/>
          </w:tcPr>
          <w:p>
            <w:pPr>
              <w:pStyle w:val="TableText"/>
              <w:ind w:left="162"/>
              <w:spacing w:before="30" w:line="193" w:lineRule="auto"/>
              <w:rPr>
                <w:sz w:val="21"/>
                <w:szCs w:val="21"/>
              </w:rPr>
            </w:pPr>
            <w:r>
              <w:rPr>
                <w:sz w:val="21"/>
                <w:szCs w:val="21"/>
                <w:spacing w:val="16"/>
              </w:rPr>
              <w:t>排放浓度(</w:t>
            </w:r>
            <w:r>
              <w:rPr>
                <w:sz w:val="21"/>
                <w:szCs w:val="21"/>
              </w:rPr>
              <w:t>mg</w:t>
            </w:r>
            <w:r>
              <w:rPr>
                <w:sz w:val="21"/>
                <w:szCs w:val="21"/>
                <w:spacing w:val="16"/>
              </w:rPr>
              <w:t>/m³)</w:t>
            </w:r>
          </w:p>
        </w:tc>
        <w:tc>
          <w:tcPr>
            <w:tcW w:w="979" w:type="dxa"/>
            <w:vAlign w:val="top"/>
          </w:tcPr>
          <w:p>
            <w:pPr>
              <w:pStyle w:val="TableText"/>
              <w:ind w:left="165"/>
              <w:spacing w:before="36" w:line="188" w:lineRule="auto"/>
              <w:rPr>
                <w:sz w:val="21"/>
                <w:szCs w:val="21"/>
              </w:rPr>
            </w:pPr>
            <w:r>
              <w:rPr>
                <w:sz w:val="21"/>
                <w:szCs w:val="21"/>
                <w:spacing w:val="8"/>
              </w:rPr>
              <w:t>未检出</w:t>
            </w:r>
          </w:p>
        </w:tc>
        <w:tc>
          <w:tcPr>
            <w:tcW w:w="1028" w:type="dxa"/>
            <w:vAlign w:val="top"/>
          </w:tcPr>
          <w:p>
            <w:pPr>
              <w:pStyle w:val="TableText"/>
              <w:ind w:left="196"/>
              <w:spacing w:before="36" w:line="188" w:lineRule="auto"/>
              <w:rPr>
                <w:sz w:val="21"/>
                <w:szCs w:val="21"/>
              </w:rPr>
            </w:pPr>
            <w:r>
              <w:rPr>
                <w:sz w:val="21"/>
                <w:szCs w:val="21"/>
                <w:spacing w:val="8"/>
              </w:rPr>
              <w:t>未检出</w:t>
            </w:r>
          </w:p>
        </w:tc>
        <w:tc>
          <w:tcPr>
            <w:tcW w:w="979" w:type="dxa"/>
            <w:vAlign w:val="top"/>
          </w:tcPr>
          <w:p>
            <w:pPr>
              <w:pStyle w:val="TableText"/>
              <w:ind w:left="168"/>
              <w:spacing w:before="36" w:line="188" w:lineRule="auto"/>
              <w:rPr>
                <w:sz w:val="21"/>
                <w:szCs w:val="21"/>
              </w:rPr>
            </w:pPr>
            <w:r>
              <w:rPr>
                <w:sz w:val="21"/>
                <w:szCs w:val="21"/>
                <w:spacing w:val="8"/>
              </w:rPr>
              <w:t>未检出</w:t>
            </w:r>
          </w:p>
        </w:tc>
        <w:tc>
          <w:tcPr>
            <w:tcW w:w="534" w:type="dxa"/>
            <w:vAlign w:val="top"/>
          </w:tcPr>
          <w:p>
            <w:pPr>
              <w:pStyle w:val="TableText"/>
              <w:ind w:left="160"/>
              <w:spacing w:before="57" w:line="169" w:lineRule="auto"/>
              <w:rPr>
                <w:sz w:val="21"/>
                <w:szCs w:val="21"/>
              </w:rPr>
            </w:pPr>
            <w:r>
              <w:rPr>
                <w:sz w:val="21"/>
                <w:szCs w:val="21"/>
                <w:spacing w:val="-4"/>
              </w:rPr>
              <w:t>50</w:t>
            </w:r>
          </w:p>
        </w:tc>
      </w:tr>
      <w:tr>
        <w:trPr>
          <w:trHeight w:val="279" w:hRule="atLeast"/>
        </w:trPr>
        <w:tc>
          <w:tcPr>
            <w:tcW w:w="1004" w:type="dxa"/>
            <w:vAlign w:val="top"/>
            <w:vMerge w:val="continue"/>
            <w:tcBorders>
              <w:top w:val="nil"/>
              <w:bottom w:val="nil"/>
            </w:tcBorders>
          </w:tcPr>
          <w:p>
            <w:pPr>
              <w:rPr>
                <w:rFonts w:ascii="Arial"/>
                <w:sz w:val="21"/>
              </w:rPr>
            </w:pPr>
            <w:r/>
          </w:p>
        </w:tc>
        <w:tc>
          <w:tcPr>
            <w:tcW w:w="989" w:type="dxa"/>
            <w:vAlign w:val="top"/>
            <w:vMerge w:val="continue"/>
            <w:tcBorders>
              <w:top w:val="nil"/>
              <w:bottom w:val="nil"/>
            </w:tcBorders>
          </w:tcPr>
          <w:p>
            <w:pPr>
              <w:rPr>
                <w:rFonts w:ascii="Arial"/>
                <w:sz w:val="21"/>
              </w:rPr>
            </w:pPr>
            <w:r/>
          </w:p>
        </w:tc>
        <w:tc>
          <w:tcPr>
            <w:tcW w:w="959" w:type="dxa"/>
            <w:vAlign w:val="top"/>
            <w:vMerge w:val="continue"/>
            <w:tcBorders>
              <w:top w:val="nil"/>
            </w:tcBorders>
          </w:tcPr>
          <w:p>
            <w:pPr>
              <w:rPr>
                <w:rFonts w:ascii="Arial"/>
                <w:sz w:val="21"/>
              </w:rPr>
            </w:pPr>
            <w:r/>
          </w:p>
        </w:tc>
        <w:tc>
          <w:tcPr>
            <w:tcW w:w="2017" w:type="dxa"/>
            <w:vAlign w:val="top"/>
          </w:tcPr>
          <w:p>
            <w:pPr>
              <w:pStyle w:val="TableText"/>
              <w:ind w:left="262"/>
              <w:spacing w:before="40" w:line="201" w:lineRule="auto"/>
              <w:rPr>
                <w:sz w:val="21"/>
                <w:szCs w:val="21"/>
              </w:rPr>
            </w:pPr>
            <w:r>
              <w:rPr>
                <w:sz w:val="21"/>
                <w:szCs w:val="21"/>
                <w:spacing w:val="5"/>
              </w:rPr>
              <w:t>排放速率(</w:t>
            </w:r>
            <w:r>
              <w:rPr>
                <w:sz w:val="21"/>
                <w:szCs w:val="21"/>
              </w:rPr>
              <w:t>kg</w:t>
            </w:r>
            <w:r>
              <w:rPr>
                <w:sz w:val="21"/>
                <w:szCs w:val="21"/>
                <w:spacing w:val="5"/>
              </w:rPr>
              <w:t>/h)</w:t>
            </w:r>
          </w:p>
        </w:tc>
        <w:tc>
          <w:tcPr>
            <w:tcW w:w="979" w:type="dxa"/>
            <w:vAlign w:val="top"/>
          </w:tcPr>
          <w:p>
            <w:pPr>
              <w:pStyle w:val="TableText"/>
              <w:ind w:left="425"/>
              <w:spacing w:before="52" w:line="190" w:lineRule="auto"/>
              <w:rPr>
                <w:sz w:val="21"/>
                <w:szCs w:val="21"/>
              </w:rPr>
            </w:pPr>
            <w:r>
              <w:rPr>
                <w:sz w:val="21"/>
                <w:szCs w:val="21"/>
              </w:rPr>
              <w:t>/</w:t>
            </w:r>
          </w:p>
        </w:tc>
        <w:tc>
          <w:tcPr>
            <w:tcW w:w="1028" w:type="dxa"/>
            <w:vAlign w:val="top"/>
          </w:tcPr>
          <w:p>
            <w:pPr>
              <w:pStyle w:val="TableText"/>
              <w:ind w:left="456"/>
              <w:spacing w:before="52" w:line="190" w:lineRule="auto"/>
              <w:rPr>
                <w:sz w:val="21"/>
                <w:szCs w:val="21"/>
              </w:rPr>
            </w:pPr>
            <w:r>
              <w:rPr>
                <w:sz w:val="21"/>
                <w:szCs w:val="21"/>
              </w:rPr>
              <w:t>/</w:t>
            </w:r>
          </w:p>
        </w:tc>
        <w:tc>
          <w:tcPr>
            <w:tcW w:w="979" w:type="dxa"/>
            <w:vAlign w:val="top"/>
          </w:tcPr>
          <w:p>
            <w:pPr>
              <w:pStyle w:val="TableText"/>
              <w:ind w:left="428"/>
              <w:spacing w:before="52" w:line="190" w:lineRule="auto"/>
              <w:rPr>
                <w:sz w:val="21"/>
                <w:szCs w:val="21"/>
              </w:rPr>
            </w:pPr>
            <w:r>
              <w:rPr>
                <w:sz w:val="21"/>
                <w:szCs w:val="21"/>
              </w:rPr>
              <w:t>/</w:t>
            </w:r>
          </w:p>
        </w:tc>
        <w:tc>
          <w:tcPr>
            <w:tcW w:w="534" w:type="dxa"/>
            <w:vAlign w:val="top"/>
          </w:tcPr>
          <w:p>
            <w:pPr>
              <w:pStyle w:val="TableText"/>
              <w:ind w:left="160"/>
              <w:spacing w:before="146" w:line="122" w:lineRule="exact"/>
              <w:rPr>
                <w:sz w:val="21"/>
                <w:szCs w:val="21"/>
              </w:rPr>
            </w:pPr>
            <w:r>
              <w:rPr>
                <w:sz w:val="21"/>
                <w:szCs w:val="21"/>
                <w:position w:val="-5"/>
              </w:rPr>
              <w:t>一</w:t>
            </w:r>
          </w:p>
        </w:tc>
      </w:tr>
      <w:tr>
        <w:trPr>
          <w:trHeight w:val="284" w:hRule="atLeast"/>
        </w:trPr>
        <w:tc>
          <w:tcPr>
            <w:tcW w:w="1004" w:type="dxa"/>
            <w:vAlign w:val="top"/>
            <w:vMerge w:val="continue"/>
            <w:tcBorders>
              <w:top w:val="nil"/>
            </w:tcBorders>
          </w:tcPr>
          <w:p>
            <w:pPr>
              <w:rPr>
                <w:rFonts w:ascii="Arial"/>
                <w:sz w:val="21"/>
              </w:rPr>
            </w:pPr>
            <w:r/>
          </w:p>
        </w:tc>
        <w:tc>
          <w:tcPr>
            <w:tcW w:w="989" w:type="dxa"/>
            <w:vAlign w:val="top"/>
            <w:vMerge w:val="continue"/>
            <w:tcBorders>
              <w:top w:val="nil"/>
            </w:tcBorders>
          </w:tcPr>
          <w:p>
            <w:pPr>
              <w:rPr>
                <w:rFonts w:ascii="Arial"/>
                <w:sz w:val="21"/>
              </w:rPr>
            </w:pPr>
            <w:r/>
          </w:p>
        </w:tc>
        <w:tc>
          <w:tcPr>
            <w:tcW w:w="2976" w:type="dxa"/>
            <w:vAlign w:val="top"/>
            <w:gridSpan w:val="2"/>
          </w:tcPr>
          <w:p>
            <w:pPr>
              <w:pStyle w:val="TableText"/>
              <w:ind w:left="1061"/>
              <w:spacing w:before="48" w:line="198" w:lineRule="auto"/>
              <w:rPr>
                <w:sz w:val="21"/>
                <w:szCs w:val="21"/>
              </w:rPr>
            </w:pPr>
            <w:r>
              <w:rPr>
                <w:sz w:val="21"/>
                <w:szCs w:val="21"/>
                <w:color w:val="404040"/>
                <w:spacing w:val="3"/>
              </w:rPr>
              <w:t>烟气黑度</w:t>
            </w:r>
          </w:p>
        </w:tc>
        <w:tc>
          <w:tcPr>
            <w:tcW w:w="979" w:type="dxa"/>
            <w:vAlign w:val="top"/>
          </w:tcPr>
          <w:p>
            <w:pPr>
              <w:pStyle w:val="TableText"/>
              <w:ind w:left="375"/>
              <w:spacing w:before="68" w:line="181" w:lineRule="auto"/>
              <w:rPr>
                <w:sz w:val="21"/>
                <w:szCs w:val="21"/>
              </w:rPr>
            </w:pPr>
            <w:r>
              <w:rPr>
                <w:sz w:val="21"/>
                <w:szCs w:val="21"/>
                <w:spacing w:val="-4"/>
              </w:rPr>
              <w:t>&lt;1</w:t>
            </w:r>
          </w:p>
        </w:tc>
        <w:tc>
          <w:tcPr>
            <w:tcW w:w="1028" w:type="dxa"/>
            <w:vAlign w:val="top"/>
          </w:tcPr>
          <w:p>
            <w:pPr>
              <w:pStyle w:val="TableText"/>
              <w:ind w:left="406"/>
              <w:spacing w:before="68" w:line="181" w:lineRule="auto"/>
              <w:rPr>
                <w:sz w:val="21"/>
                <w:szCs w:val="21"/>
              </w:rPr>
            </w:pPr>
            <w:r>
              <w:rPr>
                <w:sz w:val="21"/>
                <w:szCs w:val="21"/>
                <w:spacing w:val="-4"/>
              </w:rPr>
              <w:t>&lt;1</w:t>
            </w:r>
          </w:p>
        </w:tc>
        <w:tc>
          <w:tcPr>
            <w:tcW w:w="979" w:type="dxa"/>
            <w:vAlign w:val="top"/>
          </w:tcPr>
          <w:p>
            <w:pPr>
              <w:pStyle w:val="TableText"/>
              <w:ind w:left="379"/>
              <w:spacing w:before="68" w:line="181" w:lineRule="auto"/>
              <w:rPr>
                <w:sz w:val="21"/>
                <w:szCs w:val="21"/>
              </w:rPr>
            </w:pPr>
            <w:r>
              <w:rPr>
                <w:sz w:val="21"/>
                <w:szCs w:val="21"/>
                <w:spacing w:val="-4"/>
              </w:rPr>
              <w:t>&lt;1</w:t>
            </w:r>
          </w:p>
        </w:tc>
        <w:tc>
          <w:tcPr>
            <w:tcW w:w="534" w:type="dxa"/>
            <w:vAlign w:val="top"/>
          </w:tcPr>
          <w:p>
            <w:pPr>
              <w:pStyle w:val="TableText"/>
              <w:ind w:left="99"/>
              <w:spacing w:before="65" w:line="183" w:lineRule="auto"/>
              <w:rPr>
                <w:sz w:val="21"/>
                <w:szCs w:val="21"/>
              </w:rPr>
            </w:pPr>
            <w:r>
              <w:rPr>
                <w:sz w:val="21"/>
                <w:szCs w:val="21"/>
                <w:color w:val="505040"/>
                <w:spacing w:val="-8"/>
              </w:rPr>
              <w:t>≤1</w:t>
            </w:r>
          </w:p>
        </w:tc>
      </w:tr>
    </w:tbl>
    <w:p>
      <w:pPr>
        <w:pStyle w:val="BodyText"/>
        <w:rPr/>
      </w:pPr>
      <w:r/>
    </w:p>
    <w:p>
      <w:pPr>
        <w:sectPr>
          <w:headerReference w:type="default" r:id="rId178"/>
          <w:footerReference w:type="default" r:id="rId179"/>
          <w:pgSz w:w="11910" w:h="16840"/>
          <w:pgMar w:top="1210" w:right="1707" w:bottom="991" w:left="1685" w:header="902" w:footer="732" w:gutter="0"/>
        </w:sectPr>
        <w:rPr/>
      </w:pPr>
    </w:p>
    <w:p>
      <w:pPr>
        <w:spacing w:before="6"/>
        <w:rPr/>
      </w:pPr>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14"/>
        <w:gridCol w:w="979"/>
        <w:gridCol w:w="969"/>
        <w:gridCol w:w="2007"/>
        <w:gridCol w:w="979"/>
        <w:gridCol w:w="1028"/>
        <w:gridCol w:w="979"/>
        <w:gridCol w:w="544"/>
      </w:tblGrid>
      <w:tr>
        <w:trPr>
          <w:trHeight w:val="265" w:hRule="atLeast"/>
        </w:trPr>
        <w:tc>
          <w:tcPr>
            <w:tcW w:w="1014" w:type="dxa"/>
            <w:vAlign w:val="top"/>
          </w:tcPr>
          <w:p>
            <w:pPr>
              <w:rPr>
                <w:rFonts w:ascii="Arial"/>
                <w:sz w:val="21"/>
              </w:rPr>
            </w:pPr>
            <w:r/>
          </w:p>
        </w:tc>
        <w:tc>
          <w:tcPr>
            <w:tcW w:w="979" w:type="dxa"/>
            <w:vAlign w:val="top"/>
          </w:tcPr>
          <w:p>
            <w:pPr>
              <w:rPr>
                <w:rFonts w:ascii="Arial"/>
                <w:sz w:val="21"/>
              </w:rPr>
            </w:pPr>
            <w:r/>
          </w:p>
        </w:tc>
        <w:tc>
          <w:tcPr>
            <w:tcW w:w="2976" w:type="dxa"/>
            <w:vAlign w:val="top"/>
            <w:gridSpan w:val="2"/>
          </w:tcPr>
          <w:p>
            <w:pPr>
              <w:pStyle w:val="TableText"/>
              <w:ind w:left="631"/>
              <w:spacing w:before="33" w:line="195" w:lineRule="auto"/>
              <w:rPr>
                <w:sz w:val="21"/>
                <w:szCs w:val="21"/>
              </w:rPr>
            </w:pPr>
            <w:r>
              <w:rPr>
                <w:sz w:val="21"/>
                <w:szCs w:val="21"/>
                <w:spacing w:val="5"/>
              </w:rPr>
              <w:t>(林格曼黑度，级)</w:t>
            </w:r>
          </w:p>
        </w:tc>
        <w:tc>
          <w:tcPr>
            <w:tcW w:w="979" w:type="dxa"/>
            <w:vAlign w:val="top"/>
          </w:tcPr>
          <w:p>
            <w:pPr>
              <w:rPr>
                <w:rFonts w:ascii="Arial"/>
                <w:sz w:val="21"/>
              </w:rPr>
            </w:pPr>
            <w:r/>
          </w:p>
        </w:tc>
        <w:tc>
          <w:tcPr>
            <w:tcW w:w="1028" w:type="dxa"/>
            <w:vAlign w:val="top"/>
          </w:tcPr>
          <w:p>
            <w:pPr>
              <w:rPr>
                <w:rFonts w:ascii="Arial"/>
                <w:sz w:val="21"/>
              </w:rPr>
            </w:pPr>
            <w:r/>
          </w:p>
        </w:tc>
        <w:tc>
          <w:tcPr>
            <w:tcW w:w="979" w:type="dxa"/>
            <w:vAlign w:val="top"/>
          </w:tcPr>
          <w:p>
            <w:pPr>
              <w:rPr>
                <w:rFonts w:ascii="Arial"/>
                <w:sz w:val="21"/>
              </w:rPr>
            </w:pPr>
            <w:r/>
          </w:p>
        </w:tc>
        <w:tc>
          <w:tcPr>
            <w:tcW w:w="544" w:type="dxa"/>
            <w:vAlign w:val="top"/>
          </w:tcPr>
          <w:p>
            <w:pPr>
              <w:rPr>
                <w:rFonts w:ascii="Arial"/>
                <w:sz w:val="21"/>
              </w:rPr>
            </w:pPr>
            <w:r/>
          </w:p>
        </w:tc>
      </w:tr>
      <w:tr>
        <w:trPr>
          <w:trHeight w:val="818" w:hRule="atLeast"/>
        </w:trPr>
        <w:tc>
          <w:tcPr>
            <w:tcW w:w="1014" w:type="dxa"/>
            <w:vAlign w:val="top"/>
          </w:tcPr>
          <w:p>
            <w:pPr>
              <w:rPr>
                <w:rFonts w:ascii="Arial"/>
                <w:sz w:val="21"/>
              </w:rPr>
            </w:pPr>
            <w:r/>
          </w:p>
          <w:p>
            <w:pPr>
              <w:pStyle w:val="TableText"/>
              <w:ind w:left="285"/>
              <w:spacing w:before="68" w:line="221" w:lineRule="auto"/>
              <w:rPr>
                <w:sz w:val="21"/>
                <w:szCs w:val="21"/>
              </w:rPr>
            </w:pPr>
            <w:r>
              <w:rPr>
                <w:sz w:val="21"/>
                <w:szCs w:val="21"/>
                <w:spacing w:val="4"/>
              </w:rPr>
              <w:t>结论</w:t>
            </w:r>
          </w:p>
        </w:tc>
        <w:tc>
          <w:tcPr>
            <w:tcW w:w="7485" w:type="dxa"/>
            <w:vAlign w:val="top"/>
            <w:gridSpan w:val="7"/>
          </w:tcPr>
          <w:p>
            <w:pPr>
              <w:pStyle w:val="TableText"/>
              <w:ind w:left="10" w:right="96"/>
              <w:spacing w:before="27"/>
              <w:rPr>
                <w:sz w:val="21"/>
                <w:szCs w:val="21"/>
              </w:rPr>
            </w:pPr>
            <w:r>
              <w:rPr>
                <w:sz w:val="21"/>
                <w:szCs w:val="21"/>
              </w:rPr>
              <w:t>以上检测结果表明：本次检测时，所检项目：氮氧化物、颗粒物、二氧化硫检测</w:t>
            </w:r>
            <w:r>
              <w:rPr>
                <w:sz w:val="21"/>
                <w:szCs w:val="21"/>
                <w:spacing w:val="16"/>
              </w:rPr>
              <w:t xml:space="preserve"> </w:t>
            </w:r>
            <w:r>
              <w:rPr>
                <w:sz w:val="21"/>
                <w:szCs w:val="21"/>
              </w:rPr>
              <w:t>结果均符合《锅炉大气污染物排放标准》(GB 13271-2014)表3中大气污染物特</w:t>
            </w:r>
          </w:p>
          <w:p>
            <w:pPr>
              <w:pStyle w:val="TableText"/>
              <w:ind w:left="10"/>
              <w:spacing w:before="4" w:line="202" w:lineRule="auto"/>
              <w:rPr>
                <w:sz w:val="21"/>
                <w:szCs w:val="21"/>
              </w:rPr>
            </w:pPr>
            <w:r>
              <w:rPr>
                <w:sz w:val="21"/>
                <w:szCs w:val="21"/>
                <w:spacing w:val="-1"/>
              </w:rPr>
              <w:t>别排放限值。</w:t>
            </w:r>
          </w:p>
        </w:tc>
      </w:tr>
      <w:tr>
        <w:trPr>
          <w:trHeight w:val="259" w:hRule="atLeast"/>
        </w:trPr>
        <w:tc>
          <w:tcPr>
            <w:shd w:val="clear" w:fill="BDBDBD"/>
            <w:tcW w:w="1014" w:type="dxa"/>
            <w:vAlign w:val="top"/>
            <w:vMerge w:val="restart"/>
            <w:tcBorders>
              <w:bottom w:val="nil"/>
            </w:tcBorders>
          </w:tcPr>
          <w:p>
            <w:pPr>
              <w:pStyle w:val="TableText"/>
              <w:ind w:left="77"/>
              <w:spacing w:before="156" w:line="219" w:lineRule="auto"/>
              <w:rPr>
                <w:sz w:val="21"/>
                <w:szCs w:val="21"/>
              </w:rPr>
            </w:pPr>
            <w:r>
              <w:rPr>
                <w:sz w:val="21"/>
                <w:szCs w:val="21"/>
                <w:b/>
                <w:bCs/>
                <w:spacing w:val="-4"/>
              </w:rPr>
              <w:t>采样日期</w:t>
            </w:r>
          </w:p>
        </w:tc>
        <w:tc>
          <w:tcPr>
            <w:shd w:val="clear" w:fill="BDBDBD"/>
            <w:tcW w:w="979" w:type="dxa"/>
            <w:vAlign w:val="top"/>
            <w:vMerge w:val="restart"/>
            <w:tcBorders>
              <w:bottom w:val="nil"/>
            </w:tcBorders>
          </w:tcPr>
          <w:p>
            <w:pPr>
              <w:pStyle w:val="TableText"/>
              <w:ind w:left="64"/>
              <w:spacing w:before="158" w:line="221" w:lineRule="auto"/>
              <w:rPr>
                <w:sz w:val="21"/>
                <w:szCs w:val="21"/>
              </w:rPr>
            </w:pPr>
            <w:r>
              <w:rPr>
                <w:sz w:val="21"/>
                <w:szCs w:val="21"/>
                <w:b/>
                <w:bCs/>
                <w:spacing w:val="-2"/>
              </w:rPr>
              <w:t>点位名称</w:t>
            </w:r>
          </w:p>
        </w:tc>
        <w:tc>
          <w:tcPr>
            <w:shd w:val="clear" w:fill="BDBDBD"/>
            <w:tcW w:w="969" w:type="dxa"/>
            <w:vAlign w:val="top"/>
            <w:vMerge w:val="restart"/>
            <w:tcBorders>
              <w:bottom w:val="nil"/>
            </w:tcBorders>
          </w:tcPr>
          <w:p>
            <w:pPr>
              <w:pStyle w:val="TableText"/>
              <w:ind w:left="54"/>
              <w:spacing w:before="157" w:line="219" w:lineRule="auto"/>
              <w:rPr>
                <w:sz w:val="21"/>
                <w:szCs w:val="21"/>
              </w:rPr>
            </w:pPr>
            <w:r>
              <w:rPr>
                <w:sz w:val="21"/>
                <w:szCs w:val="21"/>
                <w:b/>
                <w:bCs/>
                <w:spacing w:val="6"/>
              </w:rPr>
              <w:t>检测项目</w:t>
            </w:r>
          </w:p>
        </w:tc>
        <w:tc>
          <w:tcPr>
            <w:shd w:val="clear" w:fill="BDBDBD"/>
            <w:tcW w:w="4993" w:type="dxa"/>
            <w:vAlign w:val="top"/>
            <w:gridSpan w:val="4"/>
          </w:tcPr>
          <w:p>
            <w:pPr>
              <w:pStyle w:val="TableText"/>
              <w:ind w:left="2055"/>
              <w:spacing w:before="27" w:line="195" w:lineRule="auto"/>
              <w:rPr>
                <w:sz w:val="21"/>
                <w:szCs w:val="21"/>
              </w:rPr>
            </w:pPr>
            <w:r>
              <w:rPr>
                <w:sz w:val="21"/>
                <w:szCs w:val="21"/>
                <w:b/>
                <w:bCs/>
                <w:spacing w:val="-4"/>
              </w:rPr>
              <w:t>检测结果</w:t>
            </w:r>
          </w:p>
        </w:tc>
        <w:tc>
          <w:tcPr>
            <w:shd w:val="clear" w:fill="BDBDBD"/>
            <w:tcW w:w="544" w:type="dxa"/>
            <w:vAlign w:val="top"/>
            <w:vMerge w:val="restart"/>
            <w:tcBorders>
              <w:bottom w:val="nil"/>
            </w:tcBorders>
          </w:tcPr>
          <w:p>
            <w:pPr>
              <w:pStyle w:val="TableText"/>
              <w:ind w:left="62"/>
              <w:spacing w:before="157" w:line="219" w:lineRule="auto"/>
              <w:rPr>
                <w:sz w:val="21"/>
                <w:szCs w:val="21"/>
              </w:rPr>
            </w:pPr>
            <w:r>
              <w:rPr>
                <w:sz w:val="21"/>
                <w:szCs w:val="21"/>
                <w:b/>
                <w:bCs/>
                <w:spacing w:val="-2"/>
              </w:rPr>
              <w:t>限值</w:t>
            </w:r>
          </w:p>
        </w:tc>
      </w:tr>
      <w:tr>
        <w:trPr>
          <w:trHeight w:val="259" w:hRule="atLeast"/>
        </w:trPr>
        <w:tc>
          <w:tcPr>
            <w:tcW w:w="1014" w:type="dxa"/>
            <w:vAlign w:val="top"/>
            <w:vMerge w:val="continue"/>
            <w:tcBorders>
              <w:top w:val="nil"/>
            </w:tcBorders>
          </w:tcPr>
          <w:p>
            <w:pPr>
              <w:rPr>
                <w:rFonts w:ascii="Arial"/>
                <w:sz w:val="21"/>
              </w:rPr>
            </w:pPr>
            <w:r/>
          </w:p>
        </w:tc>
        <w:tc>
          <w:tcPr>
            <w:tcW w:w="979" w:type="dxa"/>
            <w:vAlign w:val="top"/>
            <w:vMerge w:val="continue"/>
            <w:tcBorders>
              <w:top w:val="nil"/>
            </w:tcBorders>
          </w:tcPr>
          <w:p>
            <w:pPr>
              <w:rPr>
                <w:rFonts w:ascii="Arial"/>
                <w:sz w:val="21"/>
              </w:rPr>
            </w:pPr>
            <w:r/>
          </w:p>
        </w:tc>
        <w:tc>
          <w:tcPr>
            <w:tcW w:w="969" w:type="dxa"/>
            <w:vAlign w:val="top"/>
            <w:vMerge w:val="continue"/>
            <w:tcBorders>
              <w:top w:val="nil"/>
            </w:tcBorders>
          </w:tcPr>
          <w:p>
            <w:pPr>
              <w:rPr>
                <w:rFonts w:ascii="Arial"/>
                <w:sz w:val="21"/>
              </w:rPr>
            </w:pPr>
            <w:r/>
          </w:p>
        </w:tc>
        <w:tc>
          <w:tcPr>
            <w:shd w:val="clear" w:fill="BDBDBD"/>
            <w:tcW w:w="2007" w:type="dxa"/>
            <w:vAlign w:val="top"/>
          </w:tcPr>
          <w:p>
            <w:pPr>
              <w:pStyle w:val="TableText"/>
              <w:ind w:left="785"/>
              <w:spacing w:before="28" w:line="194" w:lineRule="auto"/>
              <w:rPr>
                <w:sz w:val="21"/>
                <w:szCs w:val="21"/>
              </w:rPr>
            </w:pPr>
            <w:r>
              <w:rPr>
                <w:sz w:val="21"/>
                <w:szCs w:val="21"/>
                <w:b/>
                <w:bCs/>
              </w:rPr>
              <w:t>内容</w:t>
            </w:r>
          </w:p>
        </w:tc>
        <w:tc>
          <w:tcPr>
            <w:shd w:val="clear" w:fill="BDBDBD"/>
            <w:tcW w:w="979" w:type="dxa"/>
            <w:vAlign w:val="top"/>
          </w:tcPr>
          <w:p>
            <w:pPr>
              <w:pStyle w:val="TableText"/>
              <w:ind w:left="169"/>
              <w:spacing w:before="28" w:line="194" w:lineRule="auto"/>
              <w:rPr>
                <w:sz w:val="21"/>
                <w:szCs w:val="21"/>
              </w:rPr>
            </w:pPr>
            <w:r>
              <w:rPr>
                <w:sz w:val="21"/>
                <w:szCs w:val="21"/>
                <w:b/>
                <w:bCs/>
                <w:spacing w:val="-5"/>
              </w:rPr>
              <w:t>第一次</w:t>
            </w:r>
          </w:p>
        </w:tc>
        <w:tc>
          <w:tcPr>
            <w:shd w:val="clear" w:fill="BDBDBD"/>
            <w:tcW w:w="1028" w:type="dxa"/>
            <w:vAlign w:val="top"/>
          </w:tcPr>
          <w:p>
            <w:pPr>
              <w:pStyle w:val="TableText"/>
              <w:ind w:left="199"/>
              <w:spacing w:before="28" w:line="194" w:lineRule="auto"/>
              <w:rPr>
                <w:sz w:val="21"/>
                <w:szCs w:val="21"/>
              </w:rPr>
            </w:pPr>
            <w:r>
              <w:rPr>
                <w:sz w:val="21"/>
                <w:szCs w:val="21"/>
                <w:b/>
                <w:bCs/>
                <w:spacing w:val="-5"/>
              </w:rPr>
              <w:t>第二次</w:t>
            </w:r>
          </w:p>
        </w:tc>
        <w:tc>
          <w:tcPr>
            <w:shd w:val="clear" w:fill="BDBDBD"/>
            <w:tcW w:w="979" w:type="dxa"/>
            <w:vAlign w:val="top"/>
          </w:tcPr>
          <w:p>
            <w:pPr>
              <w:pStyle w:val="TableText"/>
              <w:ind w:left="171"/>
              <w:spacing w:before="28" w:line="194" w:lineRule="auto"/>
              <w:rPr>
                <w:sz w:val="21"/>
                <w:szCs w:val="21"/>
              </w:rPr>
            </w:pPr>
            <w:r>
              <w:rPr>
                <w:sz w:val="21"/>
                <w:szCs w:val="21"/>
                <w:b/>
                <w:bCs/>
                <w:spacing w:val="-5"/>
              </w:rPr>
              <w:t>第三次</w:t>
            </w:r>
          </w:p>
        </w:tc>
        <w:tc>
          <w:tcPr>
            <w:tcW w:w="544" w:type="dxa"/>
            <w:vAlign w:val="top"/>
            <w:vMerge w:val="continue"/>
            <w:tcBorders>
              <w:top w:val="nil"/>
            </w:tcBorders>
          </w:tcPr>
          <w:p>
            <w:pPr>
              <w:rPr>
                <w:rFonts w:ascii="Arial"/>
                <w:sz w:val="21"/>
              </w:rPr>
            </w:pPr>
            <w:r/>
          </w:p>
        </w:tc>
      </w:tr>
      <w:tr>
        <w:trPr>
          <w:trHeight w:val="289" w:hRule="atLeast"/>
        </w:trPr>
        <w:tc>
          <w:tcPr>
            <w:tcW w:w="1014" w:type="dxa"/>
            <w:vAlign w:val="top"/>
            <w:vMerge w:val="restart"/>
            <w:tcBorders>
              <w:bottom w:val="nil"/>
            </w:tcBorders>
          </w:tcPr>
          <w:p>
            <w:pPr>
              <w:spacing w:line="412" w:lineRule="auto"/>
              <w:rPr>
                <w:rFonts w:ascii="Arial"/>
                <w:sz w:val="21"/>
              </w:rPr>
            </w:pPr>
            <w:r/>
          </w:p>
          <w:p>
            <w:pPr>
              <w:pStyle w:val="TableText"/>
              <w:spacing w:before="68" w:line="239" w:lineRule="auto"/>
              <w:jc w:val="right"/>
              <w:rPr>
                <w:sz w:val="21"/>
                <w:szCs w:val="21"/>
              </w:rPr>
            </w:pPr>
            <w:r>
              <w:rPr>
                <w:sz w:val="21"/>
                <w:szCs w:val="21"/>
                <w:spacing w:val="-7"/>
              </w:rPr>
              <w:t>2024.12.18</w:t>
            </w:r>
          </w:p>
        </w:tc>
        <w:tc>
          <w:tcPr>
            <w:tcW w:w="979" w:type="dxa"/>
            <w:vAlign w:val="top"/>
            <w:vMerge w:val="restart"/>
            <w:tcBorders>
              <w:bottom w:val="nil"/>
            </w:tcBorders>
          </w:tcPr>
          <w:p>
            <w:pPr>
              <w:spacing w:line="262" w:lineRule="auto"/>
              <w:rPr>
                <w:rFonts w:ascii="Arial"/>
                <w:sz w:val="21"/>
              </w:rPr>
            </w:pPr>
            <w:r/>
          </w:p>
          <w:p>
            <w:pPr>
              <w:pStyle w:val="TableText"/>
              <w:ind w:right="9" w:firstLine="60"/>
              <w:spacing w:before="68" w:line="248" w:lineRule="auto"/>
              <w:rPr>
                <w:sz w:val="21"/>
                <w:szCs w:val="21"/>
              </w:rPr>
            </w:pPr>
            <w:r>
              <w:rPr>
                <w:sz w:val="21"/>
                <w:szCs w:val="21"/>
                <w:spacing w:val="3"/>
              </w:rPr>
              <w:t>天然气烟</w:t>
            </w:r>
            <w:r>
              <w:rPr>
                <w:sz w:val="21"/>
                <w:szCs w:val="21"/>
              </w:rPr>
              <w:t xml:space="preserve"> </w:t>
            </w:r>
            <w:r>
              <w:rPr>
                <w:sz w:val="21"/>
                <w:szCs w:val="21"/>
                <w:spacing w:val="2"/>
              </w:rPr>
              <w:t>囱高度8米</w:t>
            </w:r>
          </w:p>
        </w:tc>
        <w:tc>
          <w:tcPr>
            <w:tcW w:w="969" w:type="dxa"/>
            <w:vAlign w:val="top"/>
          </w:tcPr>
          <w:p>
            <w:pPr>
              <w:pStyle w:val="TableText"/>
              <w:ind w:left="51"/>
              <w:spacing w:before="42" w:line="208" w:lineRule="auto"/>
              <w:rPr>
                <w:sz w:val="21"/>
                <w:szCs w:val="21"/>
              </w:rPr>
            </w:pPr>
            <w:r>
              <w:rPr>
                <w:sz w:val="21"/>
                <w:szCs w:val="21"/>
                <w:spacing w:val="-2"/>
              </w:rPr>
              <w:t>标杆流量</w:t>
            </w:r>
          </w:p>
        </w:tc>
        <w:tc>
          <w:tcPr>
            <w:tcW w:w="2007" w:type="dxa"/>
            <w:vAlign w:val="top"/>
          </w:tcPr>
          <w:p>
            <w:pPr>
              <w:pStyle w:val="TableText"/>
              <w:ind w:left="732"/>
              <w:spacing w:before="48" w:line="203" w:lineRule="auto"/>
              <w:rPr>
                <w:sz w:val="21"/>
                <w:szCs w:val="21"/>
              </w:rPr>
            </w:pPr>
            <w:r>
              <w:rPr>
                <w:sz w:val="21"/>
                <w:szCs w:val="21"/>
                <w:spacing w:val="-1"/>
              </w:rPr>
              <w:t>m³/h</w:t>
            </w:r>
          </w:p>
        </w:tc>
        <w:tc>
          <w:tcPr>
            <w:tcW w:w="979" w:type="dxa"/>
            <w:vAlign w:val="top"/>
          </w:tcPr>
          <w:p>
            <w:pPr>
              <w:pStyle w:val="TableText"/>
              <w:ind w:left="325"/>
              <w:spacing w:before="64" w:line="189" w:lineRule="auto"/>
              <w:rPr>
                <w:sz w:val="21"/>
                <w:szCs w:val="21"/>
              </w:rPr>
            </w:pPr>
            <w:r>
              <w:rPr>
                <w:sz w:val="21"/>
                <w:szCs w:val="21"/>
                <w:spacing w:val="-3"/>
              </w:rPr>
              <w:t>784</w:t>
            </w:r>
          </w:p>
        </w:tc>
        <w:tc>
          <w:tcPr>
            <w:tcW w:w="1028" w:type="dxa"/>
            <w:vAlign w:val="top"/>
          </w:tcPr>
          <w:p>
            <w:pPr>
              <w:pStyle w:val="TableText"/>
              <w:ind w:left="346"/>
              <w:spacing w:before="64" w:line="189" w:lineRule="auto"/>
              <w:rPr>
                <w:sz w:val="21"/>
                <w:szCs w:val="21"/>
              </w:rPr>
            </w:pPr>
            <w:r>
              <w:rPr>
                <w:sz w:val="21"/>
                <w:szCs w:val="21"/>
                <w:spacing w:val="-3"/>
              </w:rPr>
              <w:t>761</w:t>
            </w:r>
          </w:p>
        </w:tc>
        <w:tc>
          <w:tcPr>
            <w:tcW w:w="979" w:type="dxa"/>
            <w:vAlign w:val="top"/>
          </w:tcPr>
          <w:p>
            <w:pPr>
              <w:pStyle w:val="TableText"/>
              <w:ind w:left="329"/>
              <w:spacing w:before="64" w:line="189" w:lineRule="auto"/>
              <w:rPr>
                <w:sz w:val="21"/>
                <w:szCs w:val="21"/>
              </w:rPr>
            </w:pPr>
            <w:r>
              <w:rPr>
                <w:sz w:val="21"/>
                <w:szCs w:val="21"/>
                <w:spacing w:val="-3"/>
              </w:rPr>
              <w:t>804</w:t>
            </w:r>
          </w:p>
        </w:tc>
        <w:tc>
          <w:tcPr>
            <w:tcW w:w="544" w:type="dxa"/>
            <w:vAlign w:val="top"/>
          </w:tcPr>
          <w:p>
            <w:pPr>
              <w:pStyle w:val="TableText"/>
              <w:ind w:left="160"/>
              <w:spacing w:before="142" w:line="137" w:lineRule="exact"/>
              <w:rPr>
                <w:sz w:val="21"/>
                <w:szCs w:val="21"/>
              </w:rPr>
            </w:pPr>
            <w:r>
              <w:rPr>
                <w:sz w:val="21"/>
                <w:szCs w:val="21"/>
                <w:position w:val="-5"/>
              </w:rPr>
              <w:t>一</w:t>
            </w:r>
          </w:p>
        </w:tc>
      </w:tr>
      <w:tr>
        <w:trPr>
          <w:trHeight w:val="259" w:hRule="atLeast"/>
        </w:trPr>
        <w:tc>
          <w:tcPr>
            <w:tcW w:w="1014" w:type="dxa"/>
            <w:vAlign w:val="top"/>
            <w:vMerge w:val="continue"/>
            <w:tcBorders>
              <w:top w:val="nil"/>
              <w:bottom w:val="nil"/>
            </w:tcBorders>
          </w:tcPr>
          <w:p>
            <w:pPr>
              <w:rPr>
                <w:rFonts w:ascii="Arial"/>
                <w:sz w:val="21"/>
              </w:rPr>
            </w:pPr>
            <w:r/>
          </w:p>
        </w:tc>
        <w:tc>
          <w:tcPr>
            <w:tcW w:w="979" w:type="dxa"/>
            <w:vAlign w:val="top"/>
            <w:vMerge w:val="continue"/>
            <w:tcBorders>
              <w:top w:val="nil"/>
              <w:bottom w:val="nil"/>
            </w:tcBorders>
          </w:tcPr>
          <w:p>
            <w:pPr>
              <w:rPr>
                <w:rFonts w:ascii="Arial"/>
                <w:sz w:val="21"/>
              </w:rPr>
            </w:pPr>
            <w:r/>
          </w:p>
        </w:tc>
        <w:tc>
          <w:tcPr>
            <w:tcW w:w="969" w:type="dxa"/>
            <w:vAlign w:val="top"/>
            <w:vMerge w:val="restart"/>
            <w:tcBorders>
              <w:bottom w:val="nil"/>
            </w:tcBorders>
          </w:tcPr>
          <w:p>
            <w:pPr>
              <w:spacing w:line="242" w:lineRule="auto"/>
              <w:rPr>
                <w:rFonts w:ascii="Arial"/>
                <w:sz w:val="21"/>
              </w:rPr>
            </w:pPr>
            <w:r/>
          </w:p>
          <w:p>
            <w:pPr>
              <w:pStyle w:val="TableText"/>
              <w:ind w:left="51"/>
              <w:spacing w:before="68" w:line="219" w:lineRule="auto"/>
              <w:rPr>
                <w:sz w:val="21"/>
                <w:szCs w:val="21"/>
              </w:rPr>
            </w:pPr>
            <w:r>
              <w:rPr>
                <w:sz w:val="21"/>
                <w:szCs w:val="21"/>
                <w:spacing w:val="-2"/>
              </w:rPr>
              <w:t>氮氧化物</w:t>
            </w:r>
          </w:p>
        </w:tc>
        <w:tc>
          <w:tcPr>
            <w:tcW w:w="2007" w:type="dxa"/>
            <w:vAlign w:val="top"/>
          </w:tcPr>
          <w:p>
            <w:pPr>
              <w:pStyle w:val="TableText"/>
              <w:ind w:left="152"/>
              <w:spacing w:before="27" w:line="195" w:lineRule="auto"/>
              <w:rPr>
                <w:sz w:val="21"/>
                <w:szCs w:val="21"/>
              </w:rPr>
            </w:pPr>
            <w:r>
              <w:rPr>
                <w:sz w:val="21"/>
                <w:szCs w:val="21"/>
                <w:spacing w:val="16"/>
              </w:rPr>
              <w:t>实测浓度(</w:t>
            </w:r>
            <w:r>
              <w:rPr>
                <w:sz w:val="21"/>
                <w:szCs w:val="21"/>
              </w:rPr>
              <w:t>mg</w:t>
            </w:r>
            <w:r>
              <w:rPr>
                <w:sz w:val="21"/>
                <w:szCs w:val="21"/>
                <w:spacing w:val="16"/>
              </w:rPr>
              <w:t>/m³)</w:t>
            </w:r>
          </w:p>
        </w:tc>
        <w:tc>
          <w:tcPr>
            <w:tcW w:w="979" w:type="dxa"/>
            <w:vAlign w:val="top"/>
          </w:tcPr>
          <w:p>
            <w:pPr>
              <w:pStyle w:val="TableText"/>
              <w:ind w:left="375"/>
              <w:spacing w:before="54" w:line="171" w:lineRule="auto"/>
              <w:rPr>
                <w:sz w:val="21"/>
                <w:szCs w:val="21"/>
              </w:rPr>
            </w:pPr>
            <w:r>
              <w:rPr>
                <w:sz w:val="21"/>
                <w:szCs w:val="21"/>
                <w:spacing w:val="-3"/>
              </w:rPr>
              <w:t>61</w:t>
            </w:r>
          </w:p>
        </w:tc>
        <w:tc>
          <w:tcPr>
            <w:tcW w:w="1028" w:type="dxa"/>
            <w:vAlign w:val="top"/>
          </w:tcPr>
          <w:p>
            <w:pPr>
              <w:pStyle w:val="TableText"/>
              <w:ind w:left="406"/>
              <w:spacing w:before="54" w:line="171" w:lineRule="auto"/>
              <w:rPr>
                <w:sz w:val="21"/>
                <w:szCs w:val="21"/>
              </w:rPr>
            </w:pPr>
            <w:r>
              <w:rPr>
                <w:sz w:val="21"/>
                <w:szCs w:val="21"/>
                <w:spacing w:val="-4"/>
              </w:rPr>
              <w:t>59</w:t>
            </w:r>
          </w:p>
        </w:tc>
        <w:tc>
          <w:tcPr>
            <w:tcW w:w="979" w:type="dxa"/>
            <w:vAlign w:val="top"/>
          </w:tcPr>
          <w:p>
            <w:pPr>
              <w:pStyle w:val="TableText"/>
              <w:ind w:left="379"/>
              <w:spacing w:before="54" w:line="171" w:lineRule="auto"/>
              <w:rPr>
                <w:sz w:val="21"/>
                <w:szCs w:val="21"/>
              </w:rPr>
            </w:pPr>
            <w:r>
              <w:rPr>
                <w:sz w:val="21"/>
                <w:szCs w:val="21"/>
                <w:spacing w:val="-3"/>
              </w:rPr>
              <w:t>66</w:t>
            </w:r>
          </w:p>
        </w:tc>
        <w:tc>
          <w:tcPr>
            <w:tcW w:w="544" w:type="dxa"/>
            <w:vAlign w:val="top"/>
          </w:tcPr>
          <w:p>
            <w:pPr>
              <w:pStyle w:val="TableText"/>
              <w:ind w:left="160"/>
              <w:spacing w:before="133" w:line="116" w:lineRule="exact"/>
              <w:rPr>
                <w:sz w:val="21"/>
                <w:szCs w:val="21"/>
              </w:rPr>
            </w:pPr>
            <w:r>
              <w:rPr>
                <w:sz w:val="21"/>
                <w:szCs w:val="21"/>
                <w:position w:val="-6"/>
              </w:rPr>
              <w:t>一</w:t>
            </w:r>
          </w:p>
        </w:tc>
      </w:tr>
      <w:tr>
        <w:trPr>
          <w:trHeight w:val="279" w:hRule="atLeast"/>
        </w:trPr>
        <w:tc>
          <w:tcPr>
            <w:tcW w:w="1014" w:type="dxa"/>
            <w:vAlign w:val="top"/>
            <w:vMerge w:val="continue"/>
            <w:tcBorders>
              <w:top w:val="nil"/>
              <w:bottom w:val="nil"/>
            </w:tcBorders>
          </w:tcPr>
          <w:p>
            <w:pPr>
              <w:rPr>
                <w:rFonts w:ascii="Arial"/>
                <w:sz w:val="21"/>
              </w:rPr>
            </w:pPr>
            <w:r/>
          </w:p>
        </w:tc>
        <w:tc>
          <w:tcPr>
            <w:tcW w:w="979" w:type="dxa"/>
            <w:vAlign w:val="top"/>
            <w:vMerge w:val="continue"/>
            <w:tcBorders>
              <w:top w:val="nil"/>
              <w:bottom w:val="nil"/>
            </w:tcBorders>
          </w:tcPr>
          <w:p>
            <w:pPr>
              <w:rPr>
                <w:rFonts w:ascii="Arial"/>
                <w:sz w:val="21"/>
              </w:rPr>
            </w:pPr>
            <w:r/>
          </w:p>
        </w:tc>
        <w:tc>
          <w:tcPr>
            <w:tcW w:w="969" w:type="dxa"/>
            <w:vAlign w:val="top"/>
            <w:vMerge w:val="continue"/>
            <w:tcBorders>
              <w:top w:val="nil"/>
              <w:bottom w:val="nil"/>
            </w:tcBorders>
          </w:tcPr>
          <w:p>
            <w:pPr>
              <w:rPr>
                <w:rFonts w:ascii="Arial"/>
                <w:sz w:val="21"/>
              </w:rPr>
            </w:pPr>
            <w:r/>
          </w:p>
        </w:tc>
        <w:tc>
          <w:tcPr>
            <w:tcW w:w="2007" w:type="dxa"/>
            <w:vAlign w:val="top"/>
          </w:tcPr>
          <w:p>
            <w:pPr>
              <w:pStyle w:val="TableText"/>
              <w:ind w:left="152"/>
              <w:spacing w:before="38" w:line="203" w:lineRule="auto"/>
              <w:rPr>
                <w:sz w:val="21"/>
                <w:szCs w:val="21"/>
              </w:rPr>
            </w:pPr>
            <w:r>
              <w:rPr>
                <w:sz w:val="21"/>
                <w:szCs w:val="21"/>
                <w:spacing w:val="16"/>
              </w:rPr>
              <w:t>排放浓度(</w:t>
            </w:r>
            <w:r>
              <w:rPr>
                <w:sz w:val="21"/>
                <w:szCs w:val="21"/>
              </w:rPr>
              <w:t>mg</w:t>
            </w:r>
            <w:r>
              <w:rPr>
                <w:sz w:val="21"/>
                <w:szCs w:val="21"/>
                <w:spacing w:val="16"/>
              </w:rPr>
              <w:t>/m³)</w:t>
            </w:r>
          </w:p>
        </w:tc>
        <w:tc>
          <w:tcPr>
            <w:tcW w:w="979" w:type="dxa"/>
            <w:vAlign w:val="top"/>
          </w:tcPr>
          <w:p>
            <w:pPr>
              <w:pStyle w:val="TableText"/>
              <w:ind w:left="375"/>
              <w:spacing w:before="65" w:line="179" w:lineRule="auto"/>
              <w:rPr>
                <w:sz w:val="21"/>
                <w:szCs w:val="21"/>
              </w:rPr>
            </w:pPr>
            <w:r>
              <w:rPr>
                <w:sz w:val="21"/>
                <w:szCs w:val="21"/>
                <w:spacing w:val="-3"/>
              </w:rPr>
              <w:t>64</w:t>
            </w:r>
          </w:p>
        </w:tc>
        <w:tc>
          <w:tcPr>
            <w:tcW w:w="1028" w:type="dxa"/>
            <w:vAlign w:val="top"/>
          </w:tcPr>
          <w:p>
            <w:pPr>
              <w:pStyle w:val="TableText"/>
              <w:ind w:left="406"/>
              <w:spacing w:before="65" w:line="179" w:lineRule="auto"/>
              <w:rPr>
                <w:sz w:val="21"/>
                <w:szCs w:val="21"/>
              </w:rPr>
            </w:pPr>
            <w:r>
              <w:rPr>
                <w:sz w:val="21"/>
                <w:szCs w:val="21"/>
                <w:spacing w:val="-3"/>
              </w:rPr>
              <w:t>63</w:t>
            </w:r>
          </w:p>
        </w:tc>
        <w:tc>
          <w:tcPr>
            <w:tcW w:w="979" w:type="dxa"/>
            <w:vAlign w:val="top"/>
          </w:tcPr>
          <w:p>
            <w:pPr>
              <w:pStyle w:val="TableText"/>
              <w:ind w:left="379"/>
              <w:spacing w:before="65" w:line="179" w:lineRule="auto"/>
              <w:rPr>
                <w:sz w:val="21"/>
                <w:szCs w:val="21"/>
              </w:rPr>
            </w:pPr>
            <w:r>
              <w:rPr>
                <w:sz w:val="21"/>
                <w:szCs w:val="21"/>
                <w:spacing w:val="-4"/>
              </w:rPr>
              <w:t>70</w:t>
            </w:r>
          </w:p>
        </w:tc>
        <w:tc>
          <w:tcPr>
            <w:tcW w:w="544" w:type="dxa"/>
            <w:vAlign w:val="top"/>
          </w:tcPr>
          <w:p>
            <w:pPr>
              <w:pStyle w:val="TableText"/>
              <w:ind w:left="109"/>
              <w:spacing w:before="65" w:line="179" w:lineRule="auto"/>
              <w:rPr>
                <w:sz w:val="21"/>
                <w:szCs w:val="21"/>
              </w:rPr>
            </w:pPr>
            <w:r>
              <w:rPr>
                <w:sz w:val="21"/>
                <w:szCs w:val="21"/>
                <w:spacing w:val="-6"/>
              </w:rPr>
              <w:t>150</w:t>
            </w:r>
          </w:p>
        </w:tc>
      </w:tr>
      <w:tr>
        <w:trPr>
          <w:trHeight w:val="269" w:hRule="atLeast"/>
        </w:trPr>
        <w:tc>
          <w:tcPr>
            <w:tcW w:w="1014" w:type="dxa"/>
            <w:vAlign w:val="top"/>
            <w:vMerge w:val="continue"/>
            <w:tcBorders>
              <w:top w:val="nil"/>
            </w:tcBorders>
          </w:tcPr>
          <w:p>
            <w:pPr>
              <w:rPr>
                <w:rFonts w:ascii="Arial"/>
                <w:sz w:val="21"/>
              </w:rPr>
            </w:pPr>
            <w:r/>
          </w:p>
        </w:tc>
        <w:tc>
          <w:tcPr>
            <w:tcW w:w="979" w:type="dxa"/>
            <w:vAlign w:val="top"/>
            <w:vMerge w:val="continue"/>
            <w:tcBorders>
              <w:top w:val="nil"/>
            </w:tcBorders>
          </w:tcPr>
          <w:p>
            <w:pPr>
              <w:rPr>
                <w:rFonts w:ascii="Arial"/>
                <w:sz w:val="21"/>
              </w:rPr>
            </w:pPr>
            <w:r/>
          </w:p>
        </w:tc>
        <w:tc>
          <w:tcPr>
            <w:tcW w:w="969" w:type="dxa"/>
            <w:vAlign w:val="top"/>
            <w:vMerge w:val="continue"/>
            <w:tcBorders>
              <w:top w:val="nil"/>
            </w:tcBorders>
          </w:tcPr>
          <w:p>
            <w:pPr>
              <w:rPr>
                <w:rFonts w:ascii="Arial"/>
                <w:sz w:val="21"/>
              </w:rPr>
            </w:pPr>
            <w:r/>
          </w:p>
        </w:tc>
        <w:tc>
          <w:tcPr>
            <w:tcW w:w="2007" w:type="dxa"/>
            <w:vAlign w:val="top"/>
          </w:tcPr>
          <w:p>
            <w:pPr>
              <w:pStyle w:val="TableText"/>
              <w:ind w:left="262"/>
              <w:spacing w:before="29" w:line="202" w:lineRule="auto"/>
              <w:rPr>
                <w:sz w:val="21"/>
                <w:szCs w:val="21"/>
              </w:rPr>
            </w:pPr>
            <w:r>
              <w:rPr>
                <w:sz w:val="21"/>
                <w:szCs w:val="21"/>
                <w:spacing w:val="5"/>
              </w:rPr>
              <w:t>排放速率(</w:t>
            </w:r>
            <w:r>
              <w:rPr>
                <w:sz w:val="21"/>
                <w:szCs w:val="21"/>
              </w:rPr>
              <w:t>kg</w:t>
            </w:r>
            <w:r>
              <w:rPr>
                <w:sz w:val="21"/>
                <w:szCs w:val="21"/>
                <w:spacing w:val="5"/>
              </w:rPr>
              <w:t>/h)</w:t>
            </w:r>
          </w:p>
        </w:tc>
        <w:tc>
          <w:tcPr>
            <w:tcW w:w="979" w:type="dxa"/>
            <w:vAlign w:val="top"/>
          </w:tcPr>
          <w:p>
            <w:pPr>
              <w:pStyle w:val="TableText"/>
              <w:spacing w:before="55" w:line="188" w:lineRule="auto"/>
              <w:jc w:val="right"/>
              <w:rPr>
                <w:sz w:val="20"/>
                <w:szCs w:val="20"/>
              </w:rPr>
            </w:pPr>
            <w:r>
              <w:rPr>
                <w:sz w:val="20"/>
                <w:szCs w:val="20"/>
                <w:spacing w:val="-16"/>
              </w:rPr>
              <w:t>4.</w:t>
            </w:r>
            <w:r>
              <w:rPr>
                <w:sz w:val="20"/>
                <w:szCs w:val="20"/>
                <w:spacing w:val="-15"/>
              </w:rPr>
              <w:t>782×10-</w:t>
            </w:r>
            <w:r>
              <w:rPr>
                <w:sz w:val="20"/>
                <w:szCs w:val="20"/>
                <w:spacing w:val="-13"/>
              </w:rPr>
              <w:t>2</w:t>
            </w:r>
          </w:p>
        </w:tc>
        <w:tc>
          <w:tcPr>
            <w:tcW w:w="1028" w:type="dxa"/>
            <w:vAlign w:val="top"/>
          </w:tcPr>
          <w:p>
            <w:pPr>
              <w:pStyle w:val="TableText"/>
              <w:spacing w:before="54" w:line="199" w:lineRule="auto"/>
              <w:jc w:val="right"/>
              <w:rPr>
                <w:sz w:val="19"/>
                <w:szCs w:val="19"/>
              </w:rPr>
            </w:pPr>
            <w:r>
              <w:rPr>
                <w:sz w:val="19"/>
                <w:szCs w:val="19"/>
                <w:spacing w:val="-5"/>
              </w:rPr>
              <w:t>4.490×10-²</w:t>
            </w:r>
          </w:p>
        </w:tc>
        <w:tc>
          <w:tcPr>
            <w:tcW w:w="979" w:type="dxa"/>
            <w:vAlign w:val="top"/>
          </w:tcPr>
          <w:p>
            <w:pPr>
              <w:pStyle w:val="TableText"/>
              <w:spacing w:before="54" w:line="199" w:lineRule="auto"/>
              <w:jc w:val="right"/>
              <w:rPr>
                <w:sz w:val="19"/>
                <w:szCs w:val="19"/>
              </w:rPr>
            </w:pPr>
            <w:r>
              <w:rPr>
                <w:sz w:val="19"/>
                <w:szCs w:val="19"/>
                <w:spacing w:val="-10"/>
              </w:rPr>
              <w:t>5.306×10-²</w:t>
            </w:r>
          </w:p>
        </w:tc>
        <w:tc>
          <w:tcPr>
            <w:tcW w:w="544" w:type="dxa"/>
            <w:vAlign w:val="top"/>
          </w:tcPr>
          <w:p>
            <w:pPr>
              <w:pStyle w:val="TableText"/>
              <w:ind w:left="160"/>
              <w:spacing w:before="135" w:line="124" w:lineRule="exact"/>
              <w:rPr>
                <w:sz w:val="21"/>
                <w:szCs w:val="21"/>
              </w:rPr>
            </w:pPr>
            <w:r>
              <w:rPr>
                <w:sz w:val="21"/>
                <w:szCs w:val="21"/>
                <w:position w:val="-5"/>
              </w:rPr>
              <w:t>一</w:t>
            </w:r>
          </w:p>
        </w:tc>
      </w:tr>
      <w:tr>
        <w:trPr>
          <w:trHeight w:val="553" w:hRule="atLeast"/>
        </w:trPr>
        <w:tc>
          <w:tcPr>
            <w:tcW w:w="1014" w:type="dxa"/>
            <w:vAlign w:val="top"/>
          </w:tcPr>
          <w:p>
            <w:pPr>
              <w:pStyle w:val="TableText"/>
              <w:ind w:left="285"/>
              <w:spacing w:before="177" w:line="221" w:lineRule="auto"/>
              <w:rPr>
                <w:sz w:val="21"/>
                <w:szCs w:val="21"/>
              </w:rPr>
            </w:pPr>
            <w:r>
              <w:rPr>
                <w:sz w:val="21"/>
                <w:szCs w:val="21"/>
                <w:spacing w:val="4"/>
              </w:rPr>
              <w:t>结论</w:t>
            </w:r>
          </w:p>
        </w:tc>
        <w:tc>
          <w:tcPr>
            <w:tcW w:w="7485" w:type="dxa"/>
            <w:vAlign w:val="top"/>
            <w:gridSpan w:val="7"/>
          </w:tcPr>
          <w:p>
            <w:pPr>
              <w:pStyle w:val="TableText"/>
              <w:ind w:left="10" w:right="104"/>
              <w:spacing w:before="56" w:line="214" w:lineRule="auto"/>
              <w:rPr>
                <w:sz w:val="21"/>
                <w:szCs w:val="21"/>
              </w:rPr>
            </w:pPr>
            <w:r>
              <w:rPr>
                <w:sz w:val="21"/>
                <w:szCs w:val="21"/>
              </w:rPr>
              <w:t>以上检测结果表明：本次检测时，所检项目：氮氧化物检测结果均符合《锅炉大</w:t>
            </w:r>
            <w:r>
              <w:rPr>
                <w:sz w:val="21"/>
                <w:szCs w:val="21"/>
                <w:spacing w:val="8"/>
              </w:rPr>
              <w:t xml:space="preserve"> </w:t>
            </w:r>
            <w:r>
              <w:rPr>
                <w:sz w:val="21"/>
                <w:szCs w:val="21"/>
              </w:rPr>
              <w:t>气污染物排放标准》(GB13271-2014)表3中大气污染物特别排放限值。</w:t>
            </w:r>
          </w:p>
        </w:tc>
      </w:tr>
    </w:tbl>
    <w:p>
      <w:pPr>
        <w:ind w:left="2818"/>
        <w:spacing w:before="71" w:line="214" w:lineRule="auto"/>
        <w:rPr>
          <w:rFonts w:ascii="SimSun" w:hAnsi="SimSun" w:eastAsia="SimSun" w:cs="SimSun"/>
          <w:sz w:val="24"/>
          <w:szCs w:val="24"/>
        </w:rPr>
      </w:pPr>
      <w:r>
        <w:rPr>
          <w:rFonts w:ascii="SimSun" w:hAnsi="SimSun" w:eastAsia="SimSun" w:cs="SimSun"/>
          <w:sz w:val="24"/>
          <w:szCs w:val="24"/>
          <w:b/>
          <w:bCs/>
          <w:spacing w:val="-4"/>
        </w:rPr>
        <w:t>表2.4-3无组织废气检测结果</w:t>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944"/>
        <w:gridCol w:w="1139"/>
        <w:gridCol w:w="979"/>
        <w:gridCol w:w="1179"/>
        <w:gridCol w:w="1218"/>
        <w:gridCol w:w="1178"/>
        <w:gridCol w:w="1328"/>
        <w:gridCol w:w="534"/>
      </w:tblGrid>
      <w:tr>
        <w:trPr>
          <w:trHeight w:val="284" w:hRule="atLeast"/>
        </w:trPr>
        <w:tc>
          <w:tcPr>
            <w:shd w:val="clear" w:fill="BDBDBD"/>
            <w:tcW w:w="944" w:type="dxa"/>
            <w:vAlign w:val="top"/>
            <w:vMerge w:val="restart"/>
            <w:tcBorders>
              <w:bottom w:val="nil"/>
            </w:tcBorders>
          </w:tcPr>
          <w:p>
            <w:pPr>
              <w:pStyle w:val="TableText"/>
              <w:ind w:left="48"/>
              <w:spacing w:before="169" w:line="219" w:lineRule="auto"/>
              <w:rPr>
                <w:sz w:val="21"/>
                <w:szCs w:val="21"/>
              </w:rPr>
            </w:pPr>
            <w:r>
              <w:rPr>
                <w:sz w:val="21"/>
                <w:szCs w:val="21"/>
                <w:b/>
                <w:bCs/>
                <w:spacing w:val="-4"/>
              </w:rPr>
              <w:t>采样日期</w:t>
            </w:r>
          </w:p>
        </w:tc>
        <w:tc>
          <w:tcPr>
            <w:shd w:val="clear" w:fill="BDBDBD"/>
            <w:tcW w:w="1139" w:type="dxa"/>
            <w:vAlign w:val="top"/>
            <w:vMerge w:val="restart"/>
            <w:tcBorders>
              <w:bottom w:val="nil"/>
            </w:tcBorders>
          </w:tcPr>
          <w:p>
            <w:pPr>
              <w:pStyle w:val="TableText"/>
              <w:ind w:left="144"/>
              <w:spacing w:before="170" w:line="219" w:lineRule="auto"/>
              <w:rPr>
                <w:sz w:val="21"/>
                <w:szCs w:val="21"/>
              </w:rPr>
            </w:pPr>
            <w:r>
              <w:rPr>
                <w:sz w:val="21"/>
                <w:szCs w:val="21"/>
                <w:b/>
                <w:bCs/>
                <w:spacing w:val="6"/>
              </w:rPr>
              <w:t>检测项目</w:t>
            </w:r>
          </w:p>
        </w:tc>
        <w:tc>
          <w:tcPr>
            <w:shd w:val="clear" w:fill="BDBDBD"/>
            <w:tcW w:w="5882" w:type="dxa"/>
            <w:vAlign w:val="top"/>
            <w:gridSpan w:val="5"/>
          </w:tcPr>
          <w:p>
            <w:pPr>
              <w:pStyle w:val="TableText"/>
              <w:ind w:left="2015"/>
              <w:spacing w:before="33" w:line="211" w:lineRule="auto"/>
              <w:rPr>
                <w:sz w:val="21"/>
                <w:szCs w:val="21"/>
              </w:rPr>
            </w:pPr>
            <w:r>
              <w:rPr>
                <w:sz w:val="21"/>
                <w:szCs w:val="21"/>
                <w:b/>
                <w:bCs/>
                <w:spacing w:val="13"/>
              </w:rPr>
              <w:t>检测结果(</w:t>
            </w:r>
            <w:r>
              <w:rPr>
                <w:sz w:val="21"/>
                <w:szCs w:val="21"/>
                <w:b/>
                <w:bCs/>
              </w:rPr>
              <w:t>mg</w:t>
            </w:r>
            <w:r>
              <w:rPr>
                <w:sz w:val="21"/>
                <w:szCs w:val="21"/>
                <w:b/>
                <w:bCs/>
                <w:spacing w:val="13"/>
              </w:rPr>
              <w:t>/m³)</w:t>
            </w:r>
          </w:p>
        </w:tc>
        <w:tc>
          <w:tcPr>
            <w:shd w:val="clear" w:fill="BDBDBD"/>
            <w:tcW w:w="534" w:type="dxa"/>
            <w:vAlign w:val="top"/>
            <w:vMerge w:val="restart"/>
            <w:tcBorders>
              <w:bottom w:val="nil"/>
            </w:tcBorders>
          </w:tcPr>
          <w:p>
            <w:pPr>
              <w:pStyle w:val="TableText"/>
              <w:ind w:left="52"/>
              <w:spacing w:before="170" w:line="219" w:lineRule="auto"/>
              <w:rPr>
                <w:sz w:val="21"/>
                <w:szCs w:val="21"/>
              </w:rPr>
            </w:pPr>
            <w:r>
              <w:rPr>
                <w:sz w:val="21"/>
                <w:szCs w:val="21"/>
                <w:b/>
                <w:bCs/>
                <w:spacing w:val="-2"/>
              </w:rPr>
              <w:t>限值</w:t>
            </w:r>
          </w:p>
        </w:tc>
      </w:tr>
      <w:tr>
        <w:trPr>
          <w:trHeight w:val="259" w:hRule="atLeast"/>
        </w:trPr>
        <w:tc>
          <w:tcPr>
            <w:tcW w:w="944" w:type="dxa"/>
            <w:vAlign w:val="top"/>
            <w:vMerge w:val="continue"/>
            <w:tcBorders>
              <w:top w:val="nil"/>
            </w:tcBorders>
          </w:tcPr>
          <w:p>
            <w:pPr>
              <w:rPr>
                <w:rFonts w:ascii="Arial"/>
                <w:sz w:val="21"/>
              </w:rPr>
            </w:pPr>
            <w:r/>
          </w:p>
        </w:tc>
        <w:tc>
          <w:tcPr>
            <w:tcW w:w="1139" w:type="dxa"/>
            <w:vAlign w:val="top"/>
            <w:vMerge w:val="continue"/>
            <w:tcBorders>
              <w:top w:val="nil"/>
            </w:tcBorders>
          </w:tcPr>
          <w:p>
            <w:pPr>
              <w:rPr>
                <w:rFonts w:ascii="Arial"/>
                <w:sz w:val="21"/>
              </w:rPr>
            </w:pPr>
            <w:r/>
          </w:p>
        </w:tc>
        <w:tc>
          <w:tcPr>
            <w:shd w:val="clear" w:fill="BDBDBD"/>
            <w:tcW w:w="979" w:type="dxa"/>
            <w:vAlign w:val="top"/>
          </w:tcPr>
          <w:p>
            <w:pPr>
              <w:pStyle w:val="TableText"/>
              <w:ind w:left="274"/>
              <w:spacing w:before="26" w:line="196" w:lineRule="auto"/>
              <w:rPr>
                <w:sz w:val="21"/>
                <w:szCs w:val="21"/>
              </w:rPr>
            </w:pPr>
            <w:r>
              <w:rPr>
                <w:sz w:val="21"/>
                <w:szCs w:val="21"/>
                <w:b/>
                <w:bCs/>
                <w:spacing w:val="-6"/>
              </w:rPr>
              <w:t>次数</w:t>
            </w:r>
          </w:p>
        </w:tc>
        <w:tc>
          <w:tcPr>
            <w:shd w:val="clear" w:fill="BDBDBD"/>
            <w:tcW w:w="1179" w:type="dxa"/>
            <w:vAlign w:val="top"/>
          </w:tcPr>
          <w:p>
            <w:pPr>
              <w:pStyle w:val="TableText"/>
              <w:ind w:left="165"/>
              <w:spacing w:before="27" w:line="195" w:lineRule="auto"/>
              <w:rPr>
                <w:sz w:val="21"/>
                <w:szCs w:val="21"/>
              </w:rPr>
            </w:pPr>
            <w:r>
              <w:rPr>
                <w:sz w:val="21"/>
                <w:szCs w:val="21"/>
                <w:b/>
                <w:bCs/>
                <w:spacing w:val="1"/>
              </w:rPr>
              <w:t>1#下风向</w:t>
            </w:r>
          </w:p>
        </w:tc>
        <w:tc>
          <w:tcPr>
            <w:shd w:val="clear" w:fill="BDBDBD"/>
            <w:tcW w:w="1218" w:type="dxa"/>
            <w:vAlign w:val="top"/>
          </w:tcPr>
          <w:p>
            <w:pPr>
              <w:pStyle w:val="TableText"/>
              <w:ind w:left="186"/>
              <w:spacing w:before="27" w:line="195" w:lineRule="auto"/>
              <w:rPr>
                <w:sz w:val="21"/>
                <w:szCs w:val="21"/>
              </w:rPr>
            </w:pPr>
            <w:r>
              <w:rPr>
                <w:sz w:val="21"/>
                <w:szCs w:val="21"/>
                <w:b/>
                <w:bCs/>
                <w:spacing w:val="1"/>
              </w:rPr>
              <w:t>2#下风向</w:t>
            </w:r>
          </w:p>
        </w:tc>
        <w:tc>
          <w:tcPr>
            <w:shd w:val="clear" w:fill="BDBDBD"/>
            <w:tcW w:w="1178" w:type="dxa"/>
            <w:vAlign w:val="top"/>
          </w:tcPr>
          <w:p>
            <w:pPr>
              <w:pStyle w:val="TableText"/>
              <w:ind w:left="168"/>
              <w:spacing w:before="27" w:line="195" w:lineRule="auto"/>
              <w:rPr>
                <w:sz w:val="21"/>
                <w:szCs w:val="21"/>
              </w:rPr>
            </w:pPr>
            <w:r>
              <w:rPr>
                <w:sz w:val="21"/>
                <w:szCs w:val="21"/>
                <w:b/>
                <w:bCs/>
                <w:spacing w:val="1"/>
              </w:rPr>
              <w:t>3#下风向</w:t>
            </w:r>
          </w:p>
        </w:tc>
        <w:tc>
          <w:tcPr>
            <w:shd w:val="clear" w:fill="BDBDBD"/>
            <w:tcW w:w="1328" w:type="dxa"/>
            <w:vAlign w:val="top"/>
          </w:tcPr>
          <w:p>
            <w:pPr>
              <w:pStyle w:val="TableText"/>
              <w:ind w:left="240"/>
              <w:spacing w:before="27" w:line="195" w:lineRule="auto"/>
              <w:rPr>
                <w:sz w:val="21"/>
                <w:szCs w:val="21"/>
              </w:rPr>
            </w:pPr>
            <w:r>
              <w:rPr>
                <w:sz w:val="21"/>
                <w:szCs w:val="21"/>
                <w:b/>
                <w:bCs/>
                <w:spacing w:val="1"/>
              </w:rPr>
              <w:t>4#下风向</w:t>
            </w:r>
          </w:p>
        </w:tc>
        <w:tc>
          <w:tcPr>
            <w:tcW w:w="534" w:type="dxa"/>
            <w:vAlign w:val="top"/>
            <w:vMerge w:val="continue"/>
            <w:tcBorders>
              <w:top w:val="nil"/>
            </w:tcBorders>
          </w:tcPr>
          <w:p>
            <w:pPr>
              <w:rPr>
                <w:rFonts w:ascii="Arial"/>
                <w:sz w:val="21"/>
              </w:rPr>
            </w:pPr>
            <w:r/>
          </w:p>
        </w:tc>
      </w:tr>
      <w:tr>
        <w:trPr>
          <w:trHeight w:val="279" w:hRule="atLeast"/>
        </w:trPr>
        <w:tc>
          <w:tcPr>
            <w:tcW w:w="944" w:type="dxa"/>
            <w:vAlign w:val="top"/>
            <w:vMerge w:val="restart"/>
            <w:tcBorders>
              <w:bottom w:val="nil"/>
            </w:tcBorders>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spacing w:before="68" w:line="239" w:lineRule="auto"/>
              <w:jc w:val="right"/>
              <w:rPr>
                <w:sz w:val="21"/>
                <w:szCs w:val="21"/>
              </w:rPr>
            </w:pPr>
            <w:r>
              <w:rPr>
                <w:sz w:val="21"/>
                <w:szCs w:val="21"/>
                <w:spacing w:val="-15"/>
              </w:rPr>
              <w:t>202</w:t>
            </w:r>
            <w:r>
              <w:rPr>
                <w:sz w:val="21"/>
                <w:szCs w:val="21"/>
                <w:spacing w:val="-14"/>
              </w:rPr>
              <w:t>4.10.3</w:t>
            </w:r>
            <w:r>
              <w:rPr>
                <w:sz w:val="21"/>
                <w:szCs w:val="21"/>
                <w:spacing w:val="-11"/>
              </w:rPr>
              <w:t>0</w:t>
            </w:r>
          </w:p>
        </w:tc>
        <w:tc>
          <w:tcPr>
            <w:tcW w:w="1139" w:type="dxa"/>
            <w:vAlign w:val="top"/>
            <w:vMerge w:val="restart"/>
            <w:tcBorders>
              <w:bottom w:val="nil"/>
            </w:tcBorders>
          </w:tcPr>
          <w:p>
            <w:pPr>
              <w:spacing w:line="390" w:lineRule="auto"/>
              <w:rPr>
                <w:rFonts w:ascii="Arial"/>
                <w:sz w:val="21"/>
              </w:rPr>
            </w:pPr>
            <w:r/>
          </w:p>
          <w:p>
            <w:pPr>
              <w:pStyle w:val="TableText"/>
              <w:ind w:left="451"/>
              <w:spacing w:before="68" w:line="220" w:lineRule="auto"/>
              <w:rPr>
                <w:sz w:val="21"/>
                <w:szCs w:val="21"/>
              </w:rPr>
            </w:pPr>
            <w:r>
              <w:rPr>
                <w:sz w:val="21"/>
                <w:szCs w:val="21"/>
              </w:rPr>
              <w:t>氨</w:t>
            </w:r>
          </w:p>
        </w:tc>
        <w:tc>
          <w:tcPr>
            <w:tcW w:w="979" w:type="dxa"/>
            <w:vAlign w:val="top"/>
          </w:tcPr>
          <w:p>
            <w:pPr>
              <w:pStyle w:val="TableText"/>
              <w:ind w:left="161"/>
              <w:spacing w:before="40" w:line="201" w:lineRule="auto"/>
              <w:rPr>
                <w:sz w:val="21"/>
                <w:szCs w:val="21"/>
              </w:rPr>
            </w:pPr>
            <w:r>
              <w:rPr>
                <w:sz w:val="21"/>
                <w:szCs w:val="21"/>
                <w:spacing w:val="-3"/>
              </w:rPr>
              <w:t>第一次</w:t>
            </w:r>
          </w:p>
        </w:tc>
        <w:tc>
          <w:tcPr>
            <w:tcW w:w="1179" w:type="dxa"/>
            <w:vAlign w:val="top"/>
          </w:tcPr>
          <w:p>
            <w:pPr>
              <w:pStyle w:val="TableText"/>
              <w:ind w:left="372"/>
              <w:spacing w:before="61" w:line="182" w:lineRule="auto"/>
              <w:rPr>
                <w:sz w:val="21"/>
                <w:szCs w:val="21"/>
              </w:rPr>
            </w:pPr>
            <w:r>
              <w:rPr>
                <w:sz w:val="21"/>
                <w:szCs w:val="21"/>
                <w:spacing w:val="-2"/>
              </w:rPr>
              <w:t>0.06</w:t>
            </w:r>
          </w:p>
        </w:tc>
        <w:tc>
          <w:tcPr>
            <w:tcW w:w="1218" w:type="dxa"/>
            <w:vAlign w:val="top"/>
          </w:tcPr>
          <w:p>
            <w:pPr>
              <w:pStyle w:val="TableText"/>
              <w:ind w:left="394"/>
              <w:spacing w:before="61" w:line="182" w:lineRule="auto"/>
              <w:rPr>
                <w:sz w:val="21"/>
                <w:szCs w:val="21"/>
              </w:rPr>
            </w:pPr>
            <w:r>
              <w:rPr>
                <w:sz w:val="21"/>
                <w:szCs w:val="21"/>
                <w:spacing w:val="-2"/>
              </w:rPr>
              <w:t>0.07</w:t>
            </w:r>
          </w:p>
        </w:tc>
        <w:tc>
          <w:tcPr>
            <w:tcW w:w="1178" w:type="dxa"/>
            <w:vAlign w:val="top"/>
          </w:tcPr>
          <w:p>
            <w:pPr>
              <w:pStyle w:val="TableText"/>
              <w:ind w:left="375"/>
              <w:spacing w:before="61" w:line="182" w:lineRule="auto"/>
              <w:rPr>
                <w:sz w:val="21"/>
                <w:szCs w:val="21"/>
              </w:rPr>
            </w:pPr>
            <w:r>
              <w:rPr>
                <w:sz w:val="21"/>
                <w:szCs w:val="21"/>
                <w:spacing w:val="-2"/>
              </w:rPr>
              <w:t>0.12</w:t>
            </w:r>
          </w:p>
        </w:tc>
        <w:tc>
          <w:tcPr>
            <w:tcW w:w="1328" w:type="dxa"/>
            <w:vAlign w:val="top"/>
          </w:tcPr>
          <w:p>
            <w:pPr>
              <w:pStyle w:val="TableText"/>
              <w:ind w:left="448"/>
              <w:spacing w:before="61" w:line="182" w:lineRule="auto"/>
              <w:rPr>
                <w:sz w:val="21"/>
                <w:szCs w:val="21"/>
              </w:rPr>
            </w:pPr>
            <w:r>
              <w:rPr>
                <w:sz w:val="21"/>
                <w:szCs w:val="21"/>
                <w:spacing w:val="-2"/>
              </w:rPr>
              <w:t>0.10</w:t>
            </w:r>
          </w:p>
        </w:tc>
        <w:tc>
          <w:tcPr>
            <w:tcW w:w="534" w:type="dxa"/>
            <w:vAlign w:val="top"/>
            <w:vMerge w:val="restart"/>
            <w:tcBorders>
              <w:bottom w:val="nil"/>
            </w:tcBorders>
          </w:tcPr>
          <w:p>
            <w:pPr>
              <w:spacing w:line="410" w:lineRule="auto"/>
              <w:rPr>
                <w:rFonts w:ascii="Arial"/>
                <w:sz w:val="21"/>
              </w:rPr>
            </w:pPr>
            <w:r/>
          </w:p>
          <w:p>
            <w:pPr>
              <w:pStyle w:val="TableText"/>
              <w:ind w:left="99"/>
              <w:spacing w:before="68" w:line="239" w:lineRule="auto"/>
              <w:rPr>
                <w:sz w:val="21"/>
                <w:szCs w:val="21"/>
              </w:rPr>
            </w:pPr>
            <w:r>
              <w:rPr>
                <w:sz w:val="21"/>
                <w:szCs w:val="21"/>
                <w:spacing w:val="-6"/>
              </w:rPr>
              <w:t>1.5</w:t>
            </w:r>
          </w:p>
        </w:tc>
      </w:tr>
      <w:tr>
        <w:trPr>
          <w:trHeight w:val="270" w:hRule="atLeast"/>
        </w:trPr>
        <w:tc>
          <w:tcPr>
            <w:tcW w:w="944" w:type="dxa"/>
            <w:vAlign w:val="top"/>
            <w:vMerge w:val="continue"/>
            <w:tcBorders>
              <w:top w:val="nil"/>
              <w:bottom w:val="nil"/>
            </w:tcBorders>
          </w:tcPr>
          <w:p>
            <w:pPr>
              <w:rPr>
                <w:rFonts w:ascii="Arial"/>
                <w:sz w:val="21"/>
              </w:rPr>
            </w:pPr>
            <w:r/>
          </w:p>
        </w:tc>
        <w:tc>
          <w:tcPr>
            <w:tcW w:w="1139" w:type="dxa"/>
            <w:vAlign w:val="top"/>
            <w:vMerge w:val="continue"/>
            <w:tcBorders>
              <w:top w:val="nil"/>
              <w:bottom w:val="nil"/>
            </w:tcBorders>
          </w:tcPr>
          <w:p>
            <w:pPr>
              <w:rPr>
                <w:rFonts w:ascii="Arial"/>
                <w:sz w:val="21"/>
              </w:rPr>
            </w:pPr>
            <w:r/>
          </w:p>
        </w:tc>
        <w:tc>
          <w:tcPr>
            <w:tcW w:w="979" w:type="dxa"/>
            <w:vAlign w:val="top"/>
          </w:tcPr>
          <w:p>
            <w:pPr>
              <w:pStyle w:val="TableText"/>
              <w:ind w:left="161"/>
              <w:spacing w:before="31" w:line="201" w:lineRule="auto"/>
              <w:rPr>
                <w:sz w:val="21"/>
                <w:szCs w:val="21"/>
              </w:rPr>
            </w:pPr>
            <w:r>
              <w:rPr>
                <w:sz w:val="21"/>
                <w:szCs w:val="21"/>
                <w:color w:val="304050"/>
                <w:spacing w:val="-2"/>
              </w:rPr>
              <w:t>第二次</w:t>
            </w:r>
          </w:p>
        </w:tc>
        <w:tc>
          <w:tcPr>
            <w:tcW w:w="1179" w:type="dxa"/>
            <w:vAlign w:val="top"/>
          </w:tcPr>
          <w:p>
            <w:pPr>
              <w:pStyle w:val="TableText"/>
              <w:ind w:left="372"/>
              <w:spacing w:before="52" w:line="182" w:lineRule="auto"/>
              <w:rPr>
                <w:sz w:val="21"/>
                <w:szCs w:val="21"/>
              </w:rPr>
            </w:pPr>
            <w:r>
              <w:rPr>
                <w:sz w:val="21"/>
                <w:szCs w:val="21"/>
                <w:spacing w:val="-2"/>
              </w:rPr>
              <w:t>0.07</w:t>
            </w:r>
          </w:p>
        </w:tc>
        <w:tc>
          <w:tcPr>
            <w:tcW w:w="1218" w:type="dxa"/>
            <w:vAlign w:val="top"/>
          </w:tcPr>
          <w:p>
            <w:pPr>
              <w:pStyle w:val="TableText"/>
              <w:ind w:left="394"/>
              <w:spacing w:before="52" w:line="182" w:lineRule="auto"/>
              <w:rPr>
                <w:sz w:val="21"/>
                <w:szCs w:val="21"/>
              </w:rPr>
            </w:pPr>
            <w:r>
              <w:rPr>
                <w:sz w:val="21"/>
                <w:szCs w:val="21"/>
                <w:spacing w:val="-2"/>
              </w:rPr>
              <w:t>0.07</w:t>
            </w:r>
          </w:p>
        </w:tc>
        <w:tc>
          <w:tcPr>
            <w:tcW w:w="1178" w:type="dxa"/>
            <w:vAlign w:val="top"/>
          </w:tcPr>
          <w:p>
            <w:pPr>
              <w:pStyle w:val="TableText"/>
              <w:ind w:left="375"/>
              <w:spacing w:before="52" w:line="182" w:lineRule="auto"/>
              <w:rPr>
                <w:sz w:val="21"/>
                <w:szCs w:val="21"/>
              </w:rPr>
            </w:pPr>
            <w:r>
              <w:rPr>
                <w:sz w:val="21"/>
                <w:szCs w:val="21"/>
                <w:spacing w:val="-2"/>
              </w:rPr>
              <w:t>0.11</w:t>
            </w:r>
          </w:p>
        </w:tc>
        <w:tc>
          <w:tcPr>
            <w:tcW w:w="1328" w:type="dxa"/>
            <w:vAlign w:val="top"/>
          </w:tcPr>
          <w:p>
            <w:pPr>
              <w:pStyle w:val="TableText"/>
              <w:ind w:left="448"/>
              <w:spacing w:before="52" w:line="182" w:lineRule="auto"/>
              <w:rPr>
                <w:sz w:val="21"/>
                <w:szCs w:val="21"/>
              </w:rPr>
            </w:pPr>
            <w:r>
              <w:rPr>
                <w:sz w:val="21"/>
                <w:szCs w:val="21"/>
                <w:spacing w:val="-2"/>
              </w:rPr>
              <w:t>0.10</w:t>
            </w:r>
          </w:p>
        </w:tc>
        <w:tc>
          <w:tcPr>
            <w:tcW w:w="534" w:type="dxa"/>
            <w:vAlign w:val="top"/>
            <w:vMerge w:val="continue"/>
            <w:tcBorders>
              <w:top w:val="nil"/>
              <w:bottom w:val="nil"/>
            </w:tcBorders>
          </w:tcPr>
          <w:p>
            <w:pPr>
              <w:rPr>
                <w:rFonts w:ascii="Arial"/>
                <w:sz w:val="21"/>
              </w:rPr>
            </w:pPr>
            <w:r/>
          </w:p>
        </w:tc>
      </w:tr>
      <w:tr>
        <w:trPr>
          <w:trHeight w:val="279" w:hRule="atLeast"/>
        </w:trPr>
        <w:tc>
          <w:tcPr>
            <w:tcW w:w="944" w:type="dxa"/>
            <w:vAlign w:val="top"/>
            <w:vMerge w:val="continue"/>
            <w:tcBorders>
              <w:top w:val="nil"/>
              <w:bottom w:val="nil"/>
            </w:tcBorders>
          </w:tcPr>
          <w:p>
            <w:pPr>
              <w:rPr>
                <w:rFonts w:ascii="Arial"/>
                <w:sz w:val="21"/>
              </w:rPr>
            </w:pPr>
            <w:r/>
          </w:p>
        </w:tc>
        <w:tc>
          <w:tcPr>
            <w:tcW w:w="1139" w:type="dxa"/>
            <w:vAlign w:val="top"/>
            <w:vMerge w:val="continue"/>
            <w:tcBorders>
              <w:top w:val="nil"/>
              <w:bottom w:val="nil"/>
            </w:tcBorders>
          </w:tcPr>
          <w:p>
            <w:pPr>
              <w:rPr>
                <w:rFonts w:ascii="Arial"/>
                <w:sz w:val="21"/>
              </w:rPr>
            </w:pPr>
            <w:r/>
          </w:p>
        </w:tc>
        <w:tc>
          <w:tcPr>
            <w:tcW w:w="979" w:type="dxa"/>
            <w:vAlign w:val="top"/>
          </w:tcPr>
          <w:p>
            <w:pPr>
              <w:pStyle w:val="TableText"/>
              <w:ind w:left="161"/>
              <w:spacing w:before="41" w:line="200" w:lineRule="auto"/>
              <w:rPr>
                <w:sz w:val="21"/>
                <w:szCs w:val="21"/>
              </w:rPr>
            </w:pPr>
            <w:r>
              <w:rPr>
                <w:sz w:val="21"/>
                <w:szCs w:val="21"/>
                <w:spacing w:val="-2"/>
              </w:rPr>
              <w:t>第三次</w:t>
            </w:r>
          </w:p>
        </w:tc>
        <w:tc>
          <w:tcPr>
            <w:tcW w:w="1179" w:type="dxa"/>
            <w:vAlign w:val="top"/>
          </w:tcPr>
          <w:p>
            <w:pPr>
              <w:pStyle w:val="TableText"/>
              <w:ind w:left="372"/>
              <w:spacing w:before="63" w:line="181" w:lineRule="auto"/>
              <w:rPr>
                <w:sz w:val="21"/>
                <w:szCs w:val="21"/>
              </w:rPr>
            </w:pPr>
            <w:r>
              <w:rPr>
                <w:sz w:val="21"/>
                <w:szCs w:val="21"/>
                <w:spacing w:val="-2"/>
              </w:rPr>
              <w:t>0.07</w:t>
            </w:r>
          </w:p>
        </w:tc>
        <w:tc>
          <w:tcPr>
            <w:tcW w:w="1218" w:type="dxa"/>
            <w:vAlign w:val="top"/>
          </w:tcPr>
          <w:p>
            <w:pPr>
              <w:pStyle w:val="TableText"/>
              <w:ind w:left="394"/>
              <w:spacing w:before="63" w:line="181" w:lineRule="auto"/>
              <w:rPr>
                <w:sz w:val="21"/>
                <w:szCs w:val="21"/>
              </w:rPr>
            </w:pPr>
            <w:r>
              <w:rPr>
                <w:sz w:val="21"/>
                <w:szCs w:val="21"/>
                <w:spacing w:val="-2"/>
              </w:rPr>
              <w:t>0.07</w:t>
            </w:r>
          </w:p>
        </w:tc>
        <w:tc>
          <w:tcPr>
            <w:tcW w:w="1178" w:type="dxa"/>
            <w:vAlign w:val="top"/>
          </w:tcPr>
          <w:p>
            <w:pPr>
              <w:pStyle w:val="TableText"/>
              <w:ind w:left="375"/>
              <w:spacing w:before="63" w:line="181" w:lineRule="auto"/>
              <w:rPr>
                <w:sz w:val="21"/>
                <w:szCs w:val="21"/>
              </w:rPr>
            </w:pPr>
            <w:r>
              <w:rPr>
                <w:sz w:val="21"/>
                <w:szCs w:val="21"/>
                <w:spacing w:val="-2"/>
              </w:rPr>
              <w:t>0.11</w:t>
            </w:r>
          </w:p>
        </w:tc>
        <w:tc>
          <w:tcPr>
            <w:tcW w:w="1328" w:type="dxa"/>
            <w:vAlign w:val="top"/>
          </w:tcPr>
          <w:p>
            <w:pPr>
              <w:pStyle w:val="TableText"/>
              <w:ind w:left="448"/>
              <w:spacing w:before="63" w:line="181" w:lineRule="auto"/>
              <w:rPr>
                <w:sz w:val="21"/>
                <w:szCs w:val="21"/>
              </w:rPr>
            </w:pPr>
            <w:r>
              <w:rPr>
                <w:sz w:val="21"/>
                <w:szCs w:val="21"/>
                <w:spacing w:val="-2"/>
              </w:rPr>
              <w:t>0.10</w:t>
            </w:r>
          </w:p>
        </w:tc>
        <w:tc>
          <w:tcPr>
            <w:tcW w:w="534" w:type="dxa"/>
            <w:vAlign w:val="top"/>
            <w:vMerge w:val="continue"/>
            <w:tcBorders>
              <w:top w:val="nil"/>
              <w:bottom w:val="nil"/>
            </w:tcBorders>
          </w:tcPr>
          <w:p>
            <w:pPr>
              <w:rPr>
                <w:rFonts w:ascii="Arial"/>
                <w:sz w:val="21"/>
              </w:rPr>
            </w:pPr>
            <w:r/>
          </w:p>
        </w:tc>
      </w:tr>
      <w:tr>
        <w:trPr>
          <w:trHeight w:val="269" w:hRule="atLeast"/>
        </w:trPr>
        <w:tc>
          <w:tcPr>
            <w:tcW w:w="944" w:type="dxa"/>
            <w:vAlign w:val="top"/>
            <w:vMerge w:val="continue"/>
            <w:tcBorders>
              <w:top w:val="nil"/>
              <w:bottom w:val="nil"/>
            </w:tcBorders>
          </w:tcPr>
          <w:p>
            <w:pPr>
              <w:rPr>
                <w:rFonts w:ascii="Arial"/>
                <w:sz w:val="21"/>
              </w:rPr>
            </w:pPr>
            <w:r/>
          </w:p>
        </w:tc>
        <w:tc>
          <w:tcPr>
            <w:tcW w:w="1139" w:type="dxa"/>
            <w:vAlign w:val="top"/>
            <w:vMerge w:val="continue"/>
            <w:tcBorders>
              <w:top w:val="nil"/>
            </w:tcBorders>
          </w:tcPr>
          <w:p>
            <w:pPr>
              <w:rPr>
                <w:rFonts w:ascii="Arial"/>
                <w:sz w:val="21"/>
              </w:rPr>
            </w:pPr>
            <w:r/>
          </w:p>
        </w:tc>
        <w:tc>
          <w:tcPr>
            <w:tcW w:w="979" w:type="dxa"/>
            <w:vAlign w:val="top"/>
          </w:tcPr>
          <w:p>
            <w:pPr>
              <w:pStyle w:val="TableText"/>
              <w:ind w:left="161"/>
              <w:spacing w:before="32" w:line="199" w:lineRule="auto"/>
              <w:rPr>
                <w:sz w:val="21"/>
                <w:szCs w:val="21"/>
              </w:rPr>
            </w:pPr>
            <w:r>
              <w:rPr>
                <w:sz w:val="21"/>
                <w:szCs w:val="21"/>
                <w:color w:val="808070"/>
                <w:spacing w:val="-2"/>
              </w:rPr>
              <w:t>第四次</w:t>
            </w:r>
          </w:p>
        </w:tc>
        <w:tc>
          <w:tcPr>
            <w:tcW w:w="1179" w:type="dxa"/>
            <w:vAlign w:val="top"/>
          </w:tcPr>
          <w:p>
            <w:pPr>
              <w:pStyle w:val="TableText"/>
              <w:ind w:left="372"/>
              <w:spacing w:before="53" w:line="181" w:lineRule="auto"/>
              <w:rPr>
                <w:sz w:val="21"/>
                <w:szCs w:val="21"/>
              </w:rPr>
            </w:pPr>
            <w:r>
              <w:rPr>
                <w:sz w:val="21"/>
                <w:szCs w:val="21"/>
                <w:spacing w:val="-2"/>
              </w:rPr>
              <w:t>0.07</w:t>
            </w:r>
          </w:p>
        </w:tc>
        <w:tc>
          <w:tcPr>
            <w:tcW w:w="1218" w:type="dxa"/>
            <w:vAlign w:val="top"/>
          </w:tcPr>
          <w:p>
            <w:pPr>
              <w:pStyle w:val="TableText"/>
              <w:ind w:left="394"/>
              <w:spacing w:before="53" w:line="181" w:lineRule="auto"/>
              <w:rPr>
                <w:sz w:val="21"/>
                <w:szCs w:val="21"/>
              </w:rPr>
            </w:pPr>
            <w:r>
              <w:rPr>
                <w:sz w:val="21"/>
                <w:szCs w:val="21"/>
                <w:spacing w:val="-2"/>
              </w:rPr>
              <w:t>0.07</w:t>
            </w:r>
          </w:p>
        </w:tc>
        <w:tc>
          <w:tcPr>
            <w:tcW w:w="1178" w:type="dxa"/>
            <w:vAlign w:val="top"/>
          </w:tcPr>
          <w:p>
            <w:pPr>
              <w:pStyle w:val="TableText"/>
              <w:ind w:left="375"/>
              <w:spacing w:before="53" w:line="181" w:lineRule="auto"/>
              <w:rPr>
                <w:sz w:val="21"/>
                <w:szCs w:val="21"/>
              </w:rPr>
            </w:pPr>
            <w:r>
              <w:rPr>
                <w:sz w:val="21"/>
                <w:szCs w:val="21"/>
                <w:spacing w:val="-2"/>
              </w:rPr>
              <w:t>0.11</w:t>
            </w:r>
          </w:p>
        </w:tc>
        <w:tc>
          <w:tcPr>
            <w:tcW w:w="1328" w:type="dxa"/>
            <w:vAlign w:val="top"/>
          </w:tcPr>
          <w:p>
            <w:pPr>
              <w:pStyle w:val="TableText"/>
              <w:ind w:left="448"/>
              <w:spacing w:before="53" w:line="181" w:lineRule="auto"/>
              <w:rPr>
                <w:sz w:val="21"/>
                <w:szCs w:val="21"/>
              </w:rPr>
            </w:pPr>
            <w:r>
              <w:rPr>
                <w:sz w:val="21"/>
                <w:szCs w:val="21"/>
                <w:spacing w:val="-2"/>
              </w:rPr>
              <w:t>0.10</w:t>
            </w:r>
          </w:p>
        </w:tc>
        <w:tc>
          <w:tcPr>
            <w:tcW w:w="534" w:type="dxa"/>
            <w:vAlign w:val="top"/>
            <w:vMerge w:val="continue"/>
            <w:tcBorders>
              <w:top w:val="nil"/>
            </w:tcBorders>
          </w:tcPr>
          <w:p>
            <w:pPr>
              <w:rPr>
                <w:rFonts w:ascii="Arial"/>
                <w:sz w:val="21"/>
              </w:rPr>
            </w:pPr>
            <w:r/>
          </w:p>
        </w:tc>
      </w:tr>
      <w:tr>
        <w:trPr>
          <w:trHeight w:val="259" w:hRule="atLeast"/>
        </w:trPr>
        <w:tc>
          <w:tcPr>
            <w:tcW w:w="944" w:type="dxa"/>
            <w:vAlign w:val="top"/>
            <w:vMerge w:val="continue"/>
            <w:tcBorders>
              <w:top w:val="nil"/>
              <w:bottom w:val="nil"/>
            </w:tcBorders>
          </w:tcPr>
          <w:p>
            <w:pPr>
              <w:rPr>
                <w:rFonts w:ascii="Arial"/>
                <w:sz w:val="21"/>
              </w:rPr>
            </w:pPr>
            <w:r/>
          </w:p>
        </w:tc>
        <w:tc>
          <w:tcPr>
            <w:tcW w:w="1139" w:type="dxa"/>
            <w:vAlign w:val="top"/>
            <w:vMerge w:val="restart"/>
            <w:tcBorders>
              <w:bottom w:val="nil"/>
            </w:tcBorders>
          </w:tcPr>
          <w:p>
            <w:pPr>
              <w:spacing w:line="394" w:lineRule="auto"/>
              <w:rPr>
                <w:rFonts w:ascii="Arial"/>
                <w:sz w:val="21"/>
              </w:rPr>
            </w:pPr>
            <w:r/>
          </w:p>
          <w:p>
            <w:pPr>
              <w:pStyle w:val="TableText"/>
              <w:ind w:left="240"/>
              <w:spacing w:before="68" w:line="221" w:lineRule="auto"/>
              <w:rPr>
                <w:sz w:val="21"/>
                <w:szCs w:val="21"/>
              </w:rPr>
            </w:pPr>
            <w:r>
              <w:rPr>
                <w:sz w:val="21"/>
                <w:szCs w:val="21"/>
                <w:spacing w:val="-2"/>
              </w:rPr>
              <w:t>硫化氢</w:t>
            </w:r>
          </w:p>
        </w:tc>
        <w:tc>
          <w:tcPr>
            <w:tcW w:w="979" w:type="dxa"/>
            <w:vAlign w:val="top"/>
          </w:tcPr>
          <w:p>
            <w:pPr>
              <w:pStyle w:val="TableText"/>
              <w:ind w:left="161"/>
              <w:spacing w:before="32" w:line="190" w:lineRule="auto"/>
              <w:rPr>
                <w:sz w:val="21"/>
                <w:szCs w:val="21"/>
              </w:rPr>
            </w:pPr>
            <w:r>
              <w:rPr>
                <w:sz w:val="21"/>
                <w:szCs w:val="21"/>
                <w:spacing w:val="-3"/>
              </w:rPr>
              <w:t>第一次</w:t>
            </w:r>
          </w:p>
        </w:tc>
        <w:tc>
          <w:tcPr>
            <w:tcW w:w="1179" w:type="dxa"/>
            <w:vAlign w:val="top"/>
          </w:tcPr>
          <w:p>
            <w:pPr>
              <w:pStyle w:val="TableText"/>
              <w:ind w:left="312"/>
              <w:spacing w:before="54" w:line="171" w:lineRule="auto"/>
              <w:rPr>
                <w:sz w:val="21"/>
                <w:szCs w:val="21"/>
              </w:rPr>
            </w:pPr>
            <w:r>
              <w:rPr>
                <w:sz w:val="21"/>
                <w:szCs w:val="21"/>
                <w:spacing w:val="-2"/>
              </w:rPr>
              <w:t>0.002</w:t>
            </w:r>
          </w:p>
        </w:tc>
        <w:tc>
          <w:tcPr>
            <w:tcW w:w="1218" w:type="dxa"/>
            <w:vAlign w:val="top"/>
          </w:tcPr>
          <w:p>
            <w:pPr>
              <w:pStyle w:val="TableText"/>
              <w:ind w:left="333"/>
              <w:spacing w:before="54" w:line="171" w:lineRule="auto"/>
              <w:rPr>
                <w:sz w:val="21"/>
                <w:szCs w:val="21"/>
              </w:rPr>
            </w:pPr>
            <w:r>
              <w:rPr>
                <w:sz w:val="21"/>
                <w:szCs w:val="21"/>
                <w:spacing w:val="-2"/>
              </w:rPr>
              <w:t>0.002</w:t>
            </w:r>
          </w:p>
        </w:tc>
        <w:tc>
          <w:tcPr>
            <w:tcW w:w="1178" w:type="dxa"/>
            <w:vAlign w:val="top"/>
          </w:tcPr>
          <w:p>
            <w:pPr>
              <w:pStyle w:val="TableText"/>
              <w:ind w:left="315"/>
              <w:spacing w:before="54" w:line="171" w:lineRule="auto"/>
              <w:rPr>
                <w:sz w:val="21"/>
                <w:szCs w:val="21"/>
              </w:rPr>
            </w:pPr>
            <w:r>
              <w:rPr>
                <w:sz w:val="21"/>
                <w:szCs w:val="21"/>
                <w:spacing w:val="-2"/>
              </w:rPr>
              <w:t>0.003</w:t>
            </w:r>
          </w:p>
        </w:tc>
        <w:tc>
          <w:tcPr>
            <w:tcW w:w="1328" w:type="dxa"/>
            <w:vAlign w:val="top"/>
          </w:tcPr>
          <w:p>
            <w:pPr>
              <w:pStyle w:val="TableText"/>
              <w:ind w:left="398"/>
              <w:spacing w:before="54" w:line="171" w:lineRule="auto"/>
              <w:rPr>
                <w:sz w:val="21"/>
                <w:szCs w:val="21"/>
              </w:rPr>
            </w:pPr>
            <w:r>
              <w:rPr>
                <w:sz w:val="21"/>
                <w:szCs w:val="21"/>
                <w:spacing w:val="-2"/>
              </w:rPr>
              <w:t>0.003</w:t>
            </w:r>
          </w:p>
        </w:tc>
        <w:tc>
          <w:tcPr>
            <w:tcW w:w="534" w:type="dxa"/>
            <w:vAlign w:val="top"/>
            <w:vMerge w:val="restart"/>
            <w:tcBorders>
              <w:bottom w:val="nil"/>
            </w:tcBorders>
          </w:tcPr>
          <w:p>
            <w:pPr>
              <w:spacing w:line="413" w:lineRule="auto"/>
              <w:rPr>
                <w:rFonts w:ascii="Arial"/>
                <w:sz w:val="21"/>
              </w:rPr>
            </w:pPr>
            <w:r/>
          </w:p>
          <w:p>
            <w:pPr>
              <w:pStyle w:val="TableText"/>
              <w:ind w:left="49"/>
              <w:spacing w:before="68" w:line="239" w:lineRule="auto"/>
              <w:rPr>
                <w:sz w:val="21"/>
                <w:szCs w:val="21"/>
              </w:rPr>
            </w:pPr>
            <w:r>
              <w:rPr>
                <w:sz w:val="21"/>
                <w:szCs w:val="21"/>
                <w:spacing w:val="-2"/>
              </w:rPr>
              <w:t>0.06</w:t>
            </w:r>
          </w:p>
        </w:tc>
      </w:tr>
      <w:tr>
        <w:trPr>
          <w:trHeight w:val="279" w:hRule="atLeast"/>
        </w:trPr>
        <w:tc>
          <w:tcPr>
            <w:tcW w:w="944" w:type="dxa"/>
            <w:vAlign w:val="top"/>
            <w:vMerge w:val="continue"/>
            <w:tcBorders>
              <w:top w:val="nil"/>
              <w:bottom w:val="nil"/>
            </w:tcBorders>
          </w:tcPr>
          <w:p>
            <w:pPr>
              <w:rPr>
                <w:rFonts w:ascii="Arial"/>
                <w:sz w:val="21"/>
              </w:rPr>
            </w:pPr>
            <w:r/>
          </w:p>
        </w:tc>
        <w:tc>
          <w:tcPr>
            <w:tcW w:w="1139" w:type="dxa"/>
            <w:vAlign w:val="top"/>
            <w:vMerge w:val="continue"/>
            <w:tcBorders>
              <w:top w:val="nil"/>
              <w:bottom w:val="nil"/>
            </w:tcBorders>
          </w:tcPr>
          <w:p>
            <w:pPr>
              <w:rPr>
                <w:rFonts w:ascii="Arial"/>
                <w:sz w:val="21"/>
              </w:rPr>
            </w:pPr>
            <w:r/>
          </w:p>
        </w:tc>
        <w:tc>
          <w:tcPr>
            <w:tcW w:w="979" w:type="dxa"/>
            <w:vAlign w:val="top"/>
          </w:tcPr>
          <w:p>
            <w:pPr>
              <w:pStyle w:val="TableText"/>
              <w:ind w:left="161"/>
              <w:spacing w:before="44" w:line="197" w:lineRule="auto"/>
              <w:rPr>
                <w:sz w:val="21"/>
                <w:szCs w:val="21"/>
              </w:rPr>
            </w:pPr>
            <w:r>
              <w:rPr>
                <w:sz w:val="21"/>
                <w:szCs w:val="21"/>
                <w:spacing w:val="-2"/>
              </w:rPr>
              <w:t>第二次</w:t>
            </w:r>
          </w:p>
        </w:tc>
        <w:tc>
          <w:tcPr>
            <w:tcW w:w="1179" w:type="dxa"/>
            <w:vAlign w:val="top"/>
          </w:tcPr>
          <w:p>
            <w:pPr>
              <w:pStyle w:val="TableText"/>
              <w:ind w:left="312"/>
              <w:spacing w:before="65" w:line="179" w:lineRule="auto"/>
              <w:rPr>
                <w:sz w:val="21"/>
                <w:szCs w:val="21"/>
              </w:rPr>
            </w:pPr>
            <w:r>
              <w:rPr>
                <w:sz w:val="21"/>
                <w:szCs w:val="21"/>
                <w:spacing w:val="-2"/>
              </w:rPr>
              <w:t>0.002</w:t>
            </w:r>
          </w:p>
        </w:tc>
        <w:tc>
          <w:tcPr>
            <w:tcW w:w="1218" w:type="dxa"/>
            <w:vAlign w:val="top"/>
          </w:tcPr>
          <w:p>
            <w:pPr>
              <w:pStyle w:val="TableText"/>
              <w:ind w:left="333"/>
              <w:spacing w:before="65" w:line="179" w:lineRule="auto"/>
              <w:rPr>
                <w:sz w:val="21"/>
                <w:szCs w:val="21"/>
              </w:rPr>
            </w:pPr>
            <w:r>
              <w:rPr>
                <w:sz w:val="21"/>
                <w:szCs w:val="21"/>
                <w:spacing w:val="-2"/>
              </w:rPr>
              <w:t>0.004</w:t>
            </w:r>
          </w:p>
        </w:tc>
        <w:tc>
          <w:tcPr>
            <w:tcW w:w="1178" w:type="dxa"/>
            <w:vAlign w:val="top"/>
          </w:tcPr>
          <w:p>
            <w:pPr>
              <w:pStyle w:val="TableText"/>
              <w:ind w:left="315"/>
              <w:spacing w:before="65" w:line="179" w:lineRule="auto"/>
              <w:rPr>
                <w:sz w:val="21"/>
                <w:szCs w:val="21"/>
              </w:rPr>
            </w:pPr>
            <w:r>
              <w:rPr>
                <w:sz w:val="21"/>
                <w:szCs w:val="21"/>
                <w:color w:val="404040"/>
                <w:spacing w:val="-2"/>
              </w:rPr>
              <w:t>0.001</w:t>
            </w:r>
          </w:p>
        </w:tc>
        <w:tc>
          <w:tcPr>
            <w:tcW w:w="1328" w:type="dxa"/>
            <w:vAlign w:val="top"/>
          </w:tcPr>
          <w:p>
            <w:pPr>
              <w:pStyle w:val="TableText"/>
              <w:ind w:left="398"/>
              <w:spacing w:before="65" w:line="179" w:lineRule="auto"/>
              <w:rPr>
                <w:sz w:val="21"/>
                <w:szCs w:val="21"/>
              </w:rPr>
            </w:pPr>
            <w:r>
              <w:rPr>
                <w:sz w:val="21"/>
                <w:szCs w:val="21"/>
                <w:spacing w:val="-2"/>
              </w:rPr>
              <w:t>0.002</w:t>
            </w:r>
          </w:p>
        </w:tc>
        <w:tc>
          <w:tcPr>
            <w:tcW w:w="534" w:type="dxa"/>
            <w:vAlign w:val="top"/>
            <w:vMerge w:val="continue"/>
            <w:tcBorders>
              <w:top w:val="nil"/>
              <w:bottom w:val="nil"/>
            </w:tcBorders>
          </w:tcPr>
          <w:p>
            <w:pPr>
              <w:rPr>
                <w:rFonts w:ascii="Arial"/>
                <w:sz w:val="21"/>
              </w:rPr>
            </w:pPr>
            <w:r/>
          </w:p>
        </w:tc>
      </w:tr>
      <w:tr>
        <w:trPr>
          <w:trHeight w:val="270" w:hRule="atLeast"/>
        </w:trPr>
        <w:tc>
          <w:tcPr>
            <w:tcW w:w="944" w:type="dxa"/>
            <w:vAlign w:val="top"/>
            <w:vMerge w:val="continue"/>
            <w:tcBorders>
              <w:top w:val="nil"/>
              <w:bottom w:val="nil"/>
            </w:tcBorders>
          </w:tcPr>
          <w:p>
            <w:pPr>
              <w:rPr>
                <w:rFonts w:ascii="Arial"/>
                <w:sz w:val="21"/>
              </w:rPr>
            </w:pPr>
            <w:r/>
          </w:p>
        </w:tc>
        <w:tc>
          <w:tcPr>
            <w:tcW w:w="1139" w:type="dxa"/>
            <w:vAlign w:val="top"/>
            <w:vMerge w:val="continue"/>
            <w:tcBorders>
              <w:top w:val="nil"/>
              <w:bottom w:val="nil"/>
            </w:tcBorders>
          </w:tcPr>
          <w:p>
            <w:pPr>
              <w:rPr>
                <w:rFonts w:ascii="Arial"/>
                <w:sz w:val="21"/>
              </w:rPr>
            </w:pPr>
            <w:r/>
          </w:p>
        </w:tc>
        <w:tc>
          <w:tcPr>
            <w:tcW w:w="979" w:type="dxa"/>
            <w:vAlign w:val="top"/>
          </w:tcPr>
          <w:p>
            <w:pPr>
              <w:pStyle w:val="TableText"/>
              <w:ind w:left="161"/>
              <w:spacing w:before="35" w:line="197" w:lineRule="auto"/>
              <w:rPr>
                <w:sz w:val="21"/>
                <w:szCs w:val="21"/>
              </w:rPr>
            </w:pPr>
            <w:r>
              <w:rPr>
                <w:sz w:val="21"/>
                <w:szCs w:val="21"/>
                <w:spacing w:val="-2"/>
              </w:rPr>
              <w:t>第三次</w:t>
            </w:r>
          </w:p>
        </w:tc>
        <w:tc>
          <w:tcPr>
            <w:tcW w:w="1179" w:type="dxa"/>
            <w:vAlign w:val="top"/>
          </w:tcPr>
          <w:p>
            <w:pPr>
              <w:pStyle w:val="TableText"/>
              <w:ind w:left="312"/>
              <w:spacing w:before="56" w:line="179" w:lineRule="auto"/>
              <w:rPr>
                <w:sz w:val="21"/>
                <w:szCs w:val="21"/>
              </w:rPr>
            </w:pPr>
            <w:r>
              <w:rPr>
                <w:sz w:val="21"/>
                <w:szCs w:val="21"/>
                <w:color w:val="405040"/>
                <w:spacing w:val="-2"/>
              </w:rPr>
              <w:t>0.001</w:t>
            </w:r>
          </w:p>
        </w:tc>
        <w:tc>
          <w:tcPr>
            <w:tcW w:w="1218" w:type="dxa"/>
            <w:vAlign w:val="top"/>
          </w:tcPr>
          <w:p>
            <w:pPr>
              <w:pStyle w:val="TableText"/>
              <w:ind w:left="333"/>
              <w:spacing w:before="56" w:line="179" w:lineRule="auto"/>
              <w:rPr>
                <w:sz w:val="21"/>
                <w:szCs w:val="21"/>
              </w:rPr>
            </w:pPr>
            <w:r>
              <w:rPr>
                <w:sz w:val="21"/>
                <w:szCs w:val="21"/>
                <w:color w:val="706070"/>
                <w:spacing w:val="-2"/>
              </w:rPr>
              <w:t>0.002</w:t>
            </w:r>
          </w:p>
        </w:tc>
        <w:tc>
          <w:tcPr>
            <w:tcW w:w="1178" w:type="dxa"/>
            <w:vAlign w:val="top"/>
          </w:tcPr>
          <w:p>
            <w:pPr>
              <w:pStyle w:val="TableText"/>
              <w:ind w:left="315"/>
              <w:spacing w:before="56" w:line="179" w:lineRule="auto"/>
              <w:rPr>
                <w:sz w:val="21"/>
                <w:szCs w:val="21"/>
              </w:rPr>
            </w:pPr>
            <w:r>
              <w:rPr>
                <w:sz w:val="21"/>
                <w:szCs w:val="21"/>
                <w:color w:val="606060"/>
                <w:spacing w:val="-2"/>
              </w:rPr>
              <w:t>0.002</w:t>
            </w:r>
          </w:p>
        </w:tc>
        <w:tc>
          <w:tcPr>
            <w:tcW w:w="1328" w:type="dxa"/>
            <w:vAlign w:val="top"/>
          </w:tcPr>
          <w:p>
            <w:pPr>
              <w:pStyle w:val="TableText"/>
              <w:ind w:left="398"/>
              <w:spacing w:before="56" w:line="179" w:lineRule="auto"/>
              <w:rPr>
                <w:sz w:val="21"/>
                <w:szCs w:val="21"/>
              </w:rPr>
            </w:pPr>
            <w:r>
              <w:rPr>
                <w:sz w:val="21"/>
                <w:szCs w:val="21"/>
                <w:spacing w:val="-2"/>
              </w:rPr>
              <w:t>0.002</w:t>
            </w:r>
          </w:p>
        </w:tc>
        <w:tc>
          <w:tcPr>
            <w:tcW w:w="534" w:type="dxa"/>
            <w:vAlign w:val="top"/>
            <w:vMerge w:val="continue"/>
            <w:tcBorders>
              <w:top w:val="nil"/>
              <w:bottom w:val="nil"/>
            </w:tcBorders>
          </w:tcPr>
          <w:p>
            <w:pPr>
              <w:rPr>
                <w:rFonts w:ascii="Arial"/>
                <w:sz w:val="21"/>
              </w:rPr>
            </w:pPr>
            <w:r/>
          </w:p>
        </w:tc>
      </w:tr>
      <w:tr>
        <w:trPr>
          <w:trHeight w:val="279" w:hRule="atLeast"/>
        </w:trPr>
        <w:tc>
          <w:tcPr>
            <w:tcW w:w="944" w:type="dxa"/>
            <w:vAlign w:val="top"/>
            <w:vMerge w:val="continue"/>
            <w:tcBorders>
              <w:top w:val="nil"/>
              <w:bottom w:val="nil"/>
            </w:tcBorders>
          </w:tcPr>
          <w:p>
            <w:pPr>
              <w:rPr>
                <w:rFonts w:ascii="Arial"/>
                <w:sz w:val="21"/>
              </w:rPr>
            </w:pPr>
            <w:r/>
          </w:p>
        </w:tc>
        <w:tc>
          <w:tcPr>
            <w:tcW w:w="1139" w:type="dxa"/>
            <w:vAlign w:val="top"/>
            <w:vMerge w:val="continue"/>
            <w:tcBorders>
              <w:top w:val="nil"/>
            </w:tcBorders>
          </w:tcPr>
          <w:p>
            <w:pPr>
              <w:rPr>
                <w:rFonts w:ascii="Arial"/>
                <w:sz w:val="21"/>
              </w:rPr>
            </w:pPr>
            <w:r/>
          </w:p>
        </w:tc>
        <w:tc>
          <w:tcPr>
            <w:tcW w:w="979" w:type="dxa"/>
            <w:vAlign w:val="top"/>
          </w:tcPr>
          <w:p>
            <w:pPr>
              <w:pStyle w:val="TableText"/>
              <w:ind w:left="161"/>
              <w:spacing w:before="44" w:line="197" w:lineRule="auto"/>
              <w:rPr>
                <w:sz w:val="21"/>
                <w:szCs w:val="21"/>
              </w:rPr>
            </w:pPr>
            <w:r>
              <w:rPr>
                <w:sz w:val="21"/>
                <w:szCs w:val="21"/>
                <w:spacing w:val="-2"/>
              </w:rPr>
              <w:t>第四次</w:t>
            </w:r>
          </w:p>
        </w:tc>
        <w:tc>
          <w:tcPr>
            <w:tcW w:w="1179" w:type="dxa"/>
            <w:vAlign w:val="top"/>
          </w:tcPr>
          <w:p>
            <w:pPr>
              <w:pStyle w:val="TableText"/>
              <w:ind w:left="312"/>
              <w:spacing w:before="66" w:line="178" w:lineRule="auto"/>
              <w:rPr>
                <w:sz w:val="21"/>
                <w:szCs w:val="21"/>
              </w:rPr>
            </w:pPr>
            <w:r>
              <w:rPr>
                <w:sz w:val="21"/>
                <w:szCs w:val="21"/>
                <w:spacing w:val="-2"/>
              </w:rPr>
              <w:t>0.002</w:t>
            </w:r>
          </w:p>
        </w:tc>
        <w:tc>
          <w:tcPr>
            <w:tcW w:w="1218" w:type="dxa"/>
            <w:vAlign w:val="top"/>
          </w:tcPr>
          <w:p>
            <w:pPr>
              <w:pStyle w:val="TableText"/>
              <w:ind w:left="333"/>
              <w:spacing w:before="66" w:line="178" w:lineRule="auto"/>
              <w:rPr>
                <w:sz w:val="21"/>
                <w:szCs w:val="21"/>
              </w:rPr>
            </w:pPr>
            <w:r>
              <w:rPr>
                <w:sz w:val="21"/>
                <w:szCs w:val="21"/>
                <w:spacing w:val="-2"/>
              </w:rPr>
              <w:t>0.002</w:t>
            </w:r>
          </w:p>
        </w:tc>
        <w:tc>
          <w:tcPr>
            <w:tcW w:w="1178" w:type="dxa"/>
            <w:vAlign w:val="top"/>
          </w:tcPr>
          <w:p>
            <w:pPr>
              <w:pStyle w:val="TableText"/>
              <w:ind w:left="315"/>
              <w:spacing w:before="66" w:line="178" w:lineRule="auto"/>
              <w:rPr>
                <w:sz w:val="21"/>
                <w:szCs w:val="21"/>
              </w:rPr>
            </w:pPr>
            <w:r>
              <w:rPr>
                <w:sz w:val="21"/>
                <w:szCs w:val="21"/>
                <w:spacing w:val="-2"/>
              </w:rPr>
              <w:t>0.002</w:t>
            </w:r>
          </w:p>
        </w:tc>
        <w:tc>
          <w:tcPr>
            <w:tcW w:w="1328" w:type="dxa"/>
            <w:vAlign w:val="top"/>
          </w:tcPr>
          <w:p>
            <w:pPr>
              <w:pStyle w:val="TableText"/>
              <w:ind w:left="398"/>
              <w:spacing w:before="66" w:line="178" w:lineRule="auto"/>
              <w:rPr>
                <w:sz w:val="21"/>
                <w:szCs w:val="21"/>
              </w:rPr>
            </w:pPr>
            <w:r>
              <w:rPr>
                <w:sz w:val="21"/>
                <w:szCs w:val="21"/>
                <w:spacing w:val="-2"/>
              </w:rPr>
              <w:t>0.002</w:t>
            </w:r>
          </w:p>
        </w:tc>
        <w:tc>
          <w:tcPr>
            <w:tcW w:w="534" w:type="dxa"/>
            <w:vAlign w:val="top"/>
            <w:vMerge w:val="continue"/>
            <w:tcBorders>
              <w:top w:val="nil"/>
            </w:tcBorders>
          </w:tcPr>
          <w:p>
            <w:pPr>
              <w:rPr>
                <w:rFonts w:ascii="Arial"/>
                <w:sz w:val="21"/>
              </w:rPr>
            </w:pPr>
            <w:r/>
          </w:p>
        </w:tc>
      </w:tr>
      <w:tr>
        <w:trPr>
          <w:trHeight w:val="270" w:hRule="atLeast"/>
        </w:trPr>
        <w:tc>
          <w:tcPr>
            <w:tcW w:w="944" w:type="dxa"/>
            <w:vAlign w:val="top"/>
            <w:vMerge w:val="continue"/>
            <w:tcBorders>
              <w:top w:val="nil"/>
              <w:bottom w:val="nil"/>
            </w:tcBorders>
          </w:tcPr>
          <w:p>
            <w:pPr>
              <w:rPr>
                <w:rFonts w:ascii="Arial"/>
                <w:sz w:val="21"/>
              </w:rPr>
            </w:pPr>
            <w:r/>
          </w:p>
        </w:tc>
        <w:tc>
          <w:tcPr>
            <w:tcW w:w="1139" w:type="dxa"/>
            <w:vAlign w:val="top"/>
            <w:vMerge w:val="restart"/>
            <w:tcBorders>
              <w:bottom w:val="nil"/>
            </w:tcBorders>
          </w:tcPr>
          <w:p>
            <w:pPr>
              <w:spacing w:line="256" w:lineRule="auto"/>
              <w:rPr>
                <w:rFonts w:ascii="Arial"/>
                <w:sz w:val="21"/>
              </w:rPr>
            </w:pPr>
            <w:r/>
          </w:p>
          <w:p>
            <w:pPr>
              <w:pStyle w:val="TableText"/>
              <w:ind w:left="141"/>
              <w:spacing w:before="69" w:line="219" w:lineRule="auto"/>
              <w:rPr>
                <w:sz w:val="21"/>
                <w:szCs w:val="21"/>
              </w:rPr>
            </w:pPr>
            <w:r>
              <w:rPr>
                <w:sz w:val="21"/>
                <w:szCs w:val="21"/>
                <w:spacing w:val="3"/>
              </w:rPr>
              <w:t>臭气浓度</w:t>
            </w:r>
          </w:p>
          <w:p>
            <w:pPr>
              <w:pStyle w:val="TableText"/>
              <w:ind w:left="141"/>
              <w:spacing w:before="21" w:line="220" w:lineRule="auto"/>
              <w:rPr>
                <w:sz w:val="21"/>
                <w:szCs w:val="21"/>
              </w:rPr>
            </w:pPr>
            <w:r>
              <w:rPr>
                <w:sz w:val="21"/>
                <w:szCs w:val="21"/>
                <w:spacing w:val="9"/>
              </w:rPr>
              <w:t>(无量纲)</w:t>
            </w:r>
          </w:p>
        </w:tc>
        <w:tc>
          <w:tcPr>
            <w:tcW w:w="979" w:type="dxa"/>
            <w:vAlign w:val="top"/>
          </w:tcPr>
          <w:p>
            <w:pPr>
              <w:pStyle w:val="TableText"/>
              <w:ind w:left="161"/>
              <w:spacing w:before="35" w:line="197" w:lineRule="auto"/>
              <w:rPr>
                <w:sz w:val="21"/>
                <w:szCs w:val="21"/>
              </w:rPr>
            </w:pPr>
            <w:r>
              <w:rPr>
                <w:sz w:val="21"/>
                <w:szCs w:val="21"/>
                <w:spacing w:val="-3"/>
              </w:rPr>
              <w:t>第一次</w:t>
            </w:r>
          </w:p>
        </w:tc>
        <w:tc>
          <w:tcPr>
            <w:tcW w:w="1179" w:type="dxa"/>
            <w:vAlign w:val="top"/>
          </w:tcPr>
          <w:p>
            <w:pPr>
              <w:pStyle w:val="TableText"/>
              <w:ind w:left="422"/>
              <w:spacing w:before="57" w:line="178" w:lineRule="auto"/>
              <w:rPr>
                <w:sz w:val="21"/>
                <w:szCs w:val="21"/>
              </w:rPr>
            </w:pPr>
            <w:r>
              <w:rPr>
                <w:sz w:val="21"/>
                <w:szCs w:val="21"/>
                <w:spacing w:val="-3"/>
              </w:rPr>
              <w:t>&lt;10</w:t>
            </w:r>
          </w:p>
        </w:tc>
        <w:tc>
          <w:tcPr>
            <w:tcW w:w="1218" w:type="dxa"/>
            <w:vAlign w:val="top"/>
          </w:tcPr>
          <w:p>
            <w:pPr>
              <w:pStyle w:val="TableText"/>
              <w:ind w:left="443"/>
              <w:spacing w:before="57" w:line="178" w:lineRule="auto"/>
              <w:rPr>
                <w:sz w:val="21"/>
                <w:szCs w:val="21"/>
              </w:rPr>
            </w:pPr>
            <w:r>
              <w:rPr>
                <w:sz w:val="21"/>
                <w:szCs w:val="21"/>
                <w:spacing w:val="-3"/>
              </w:rPr>
              <w:t>&lt;10</w:t>
            </w:r>
          </w:p>
        </w:tc>
        <w:tc>
          <w:tcPr>
            <w:tcW w:w="1178" w:type="dxa"/>
            <w:vAlign w:val="top"/>
          </w:tcPr>
          <w:p>
            <w:pPr>
              <w:pStyle w:val="TableText"/>
              <w:ind w:left="425"/>
              <w:spacing w:before="57" w:line="178" w:lineRule="auto"/>
              <w:rPr>
                <w:sz w:val="21"/>
                <w:szCs w:val="21"/>
              </w:rPr>
            </w:pPr>
            <w:r>
              <w:rPr>
                <w:sz w:val="21"/>
                <w:szCs w:val="21"/>
                <w:spacing w:val="-3"/>
              </w:rPr>
              <w:t>&lt;10</w:t>
            </w:r>
          </w:p>
        </w:tc>
        <w:tc>
          <w:tcPr>
            <w:tcW w:w="1328" w:type="dxa"/>
            <w:vAlign w:val="top"/>
          </w:tcPr>
          <w:p>
            <w:pPr>
              <w:pStyle w:val="TableText"/>
              <w:ind w:left="497"/>
              <w:spacing w:before="57" w:line="178" w:lineRule="auto"/>
              <w:rPr>
                <w:sz w:val="21"/>
                <w:szCs w:val="21"/>
              </w:rPr>
            </w:pPr>
            <w:r>
              <w:rPr>
                <w:sz w:val="21"/>
                <w:szCs w:val="21"/>
                <w:spacing w:val="-3"/>
              </w:rPr>
              <w:t>&lt;10</w:t>
            </w:r>
          </w:p>
        </w:tc>
        <w:tc>
          <w:tcPr>
            <w:tcW w:w="534" w:type="dxa"/>
            <w:vAlign w:val="top"/>
            <w:vMerge w:val="restart"/>
            <w:tcBorders>
              <w:bottom w:val="nil"/>
            </w:tcBorders>
          </w:tcPr>
          <w:p>
            <w:pPr>
              <w:spacing w:line="406" w:lineRule="auto"/>
              <w:rPr>
                <w:rFonts w:ascii="Arial"/>
                <w:sz w:val="21"/>
              </w:rPr>
            </w:pPr>
            <w:r/>
          </w:p>
          <w:p>
            <w:pPr>
              <w:pStyle w:val="TableText"/>
              <w:ind w:left="160"/>
              <w:spacing w:before="68"/>
              <w:rPr>
                <w:sz w:val="21"/>
                <w:szCs w:val="21"/>
              </w:rPr>
            </w:pPr>
            <w:r>
              <w:rPr>
                <w:sz w:val="21"/>
                <w:szCs w:val="21"/>
                <w:spacing w:val="-3"/>
              </w:rPr>
              <w:t>20</w:t>
            </w:r>
          </w:p>
        </w:tc>
      </w:tr>
      <w:tr>
        <w:trPr>
          <w:trHeight w:val="279" w:hRule="atLeast"/>
        </w:trPr>
        <w:tc>
          <w:tcPr>
            <w:tcW w:w="944" w:type="dxa"/>
            <w:vAlign w:val="top"/>
            <w:vMerge w:val="continue"/>
            <w:tcBorders>
              <w:top w:val="nil"/>
              <w:bottom w:val="nil"/>
            </w:tcBorders>
          </w:tcPr>
          <w:p>
            <w:pPr>
              <w:rPr>
                <w:rFonts w:ascii="Arial"/>
                <w:sz w:val="21"/>
              </w:rPr>
            </w:pPr>
            <w:r/>
          </w:p>
        </w:tc>
        <w:tc>
          <w:tcPr>
            <w:tcW w:w="1139" w:type="dxa"/>
            <w:vAlign w:val="top"/>
            <w:vMerge w:val="continue"/>
            <w:tcBorders>
              <w:top w:val="nil"/>
              <w:bottom w:val="nil"/>
            </w:tcBorders>
          </w:tcPr>
          <w:p>
            <w:pPr>
              <w:rPr>
                <w:rFonts w:ascii="Arial"/>
                <w:sz w:val="21"/>
              </w:rPr>
            </w:pPr>
            <w:r/>
          </w:p>
        </w:tc>
        <w:tc>
          <w:tcPr>
            <w:tcW w:w="979" w:type="dxa"/>
            <w:vAlign w:val="top"/>
          </w:tcPr>
          <w:p>
            <w:pPr>
              <w:pStyle w:val="TableText"/>
              <w:ind w:left="161"/>
              <w:spacing w:before="46" w:line="196" w:lineRule="auto"/>
              <w:rPr>
                <w:sz w:val="21"/>
                <w:szCs w:val="21"/>
              </w:rPr>
            </w:pPr>
            <w:r>
              <w:rPr>
                <w:sz w:val="21"/>
                <w:szCs w:val="21"/>
                <w:spacing w:val="-2"/>
              </w:rPr>
              <w:t>第二次</w:t>
            </w:r>
          </w:p>
        </w:tc>
        <w:tc>
          <w:tcPr>
            <w:tcW w:w="1179" w:type="dxa"/>
            <w:vAlign w:val="top"/>
          </w:tcPr>
          <w:p>
            <w:pPr>
              <w:pStyle w:val="TableText"/>
              <w:ind w:left="372"/>
              <w:spacing w:before="65" w:line="179" w:lineRule="auto"/>
              <w:rPr>
                <w:sz w:val="21"/>
                <w:szCs w:val="21"/>
              </w:rPr>
            </w:pPr>
            <w:r>
              <w:rPr>
                <w:sz w:val="21"/>
                <w:szCs w:val="21"/>
                <w:spacing w:val="-6"/>
              </w:rPr>
              <w:t>≤10</w:t>
            </w:r>
          </w:p>
        </w:tc>
        <w:tc>
          <w:tcPr>
            <w:tcW w:w="1218" w:type="dxa"/>
            <w:vAlign w:val="top"/>
          </w:tcPr>
          <w:p>
            <w:pPr>
              <w:pStyle w:val="TableText"/>
              <w:ind w:left="443"/>
              <w:spacing w:before="67" w:line="177" w:lineRule="auto"/>
              <w:rPr>
                <w:sz w:val="21"/>
                <w:szCs w:val="21"/>
              </w:rPr>
            </w:pPr>
            <w:r>
              <w:rPr>
                <w:sz w:val="21"/>
                <w:szCs w:val="21"/>
                <w:color w:val="907060"/>
                <w:spacing w:val="-3"/>
              </w:rPr>
              <w:t>&lt;10</w:t>
            </w:r>
          </w:p>
        </w:tc>
        <w:tc>
          <w:tcPr>
            <w:tcW w:w="1178" w:type="dxa"/>
            <w:vAlign w:val="top"/>
          </w:tcPr>
          <w:p>
            <w:pPr>
              <w:pStyle w:val="TableText"/>
              <w:ind w:left="425"/>
              <w:spacing w:before="67" w:line="177" w:lineRule="auto"/>
              <w:rPr>
                <w:sz w:val="21"/>
                <w:szCs w:val="21"/>
              </w:rPr>
            </w:pPr>
            <w:r>
              <w:rPr>
                <w:sz w:val="21"/>
                <w:szCs w:val="21"/>
                <w:color w:val="403030"/>
                <w:spacing w:val="-3"/>
              </w:rPr>
              <w:t>&lt;10</w:t>
            </w:r>
          </w:p>
        </w:tc>
        <w:tc>
          <w:tcPr>
            <w:tcW w:w="1328" w:type="dxa"/>
            <w:vAlign w:val="top"/>
          </w:tcPr>
          <w:p>
            <w:pPr>
              <w:pStyle w:val="TableText"/>
              <w:ind w:left="497"/>
              <w:spacing w:before="67" w:line="177" w:lineRule="auto"/>
              <w:rPr>
                <w:sz w:val="21"/>
                <w:szCs w:val="21"/>
              </w:rPr>
            </w:pPr>
            <w:r>
              <w:rPr>
                <w:sz w:val="21"/>
                <w:szCs w:val="21"/>
                <w:spacing w:val="-3"/>
              </w:rPr>
              <w:t>&lt;10</w:t>
            </w:r>
          </w:p>
        </w:tc>
        <w:tc>
          <w:tcPr>
            <w:tcW w:w="534" w:type="dxa"/>
            <w:vAlign w:val="top"/>
            <w:vMerge w:val="continue"/>
            <w:tcBorders>
              <w:top w:val="nil"/>
              <w:bottom w:val="nil"/>
            </w:tcBorders>
          </w:tcPr>
          <w:p>
            <w:pPr>
              <w:rPr>
                <w:rFonts w:ascii="Arial"/>
                <w:sz w:val="21"/>
              </w:rPr>
            </w:pPr>
            <w:r/>
          </w:p>
        </w:tc>
      </w:tr>
      <w:tr>
        <w:trPr>
          <w:trHeight w:val="259" w:hRule="atLeast"/>
        </w:trPr>
        <w:tc>
          <w:tcPr>
            <w:tcW w:w="944" w:type="dxa"/>
            <w:vAlign w:val="top"/>
            <w:vMerge w:val="continue"/>
            <w:tcBorders>
              <w:top w:val="nil"/>
              <w:bottom w:val="nil"/>
            </w:tcBorders>
          </w:tcPr>
          <w:p>
            <w:pPr>
              <w:rPr>
                <w:rFonts w:ascii="Arial"/>
                <w:sz w:val="21"/>
              </w:rPr>
            </w:pPr>
            <w:r/>
          </w:p>
        </w:tc>
        <w:tc>
          <w:tcPr>
            <w:tcW w:w="1139" w:type="dxa"/>
            <w:vAlign w:val="top"/>
            <w:vMerge w:val="continue"/>
            <w:tcBorders>
              <w:top w:val="nil"/>
              <w:bottom w:val="nil"/>
            </w:tcBorders>
          </w:tcPr>
          <w:p>
            <w:pPr>
              <w:rPr>
                <w:rFonts w:ascii="Arial"/>
                <w:sz w:val="21"/>
              </w:rPr>
            </w:pPr>
            <w:r/>
          </w:p>
        </w:tc>
        <w:tc>
          <w:tcPr>
            <w:tcW w:w="979" w:type="dxa"/>
            <w:vAlign w:val="top"/>
          </w:tcPr>
          <w:p>
            <w:pPr>
              <w:pStyle w:val="TableText"/>
              <w:ind w:left="161"/>
              <w:spacing w:before="37" w:line="186" w:lineRule="auto"/>
              <w:rPr>
                <w:sz w:val="21"/>
                <w:szCs w:val="21"/>
              </w:rPr>
            </w:pPr>
            <w:r>
              <w:rPr>
                <w:sz w:val="21"/>
                <w:szCs w:val="21"/>
                <w:spacing w:val="-2"/>
              </w:rPr>
              <w:t>第三次</w:t>
            </w:r>
          </w:p>
        </w:tc>
        <w:tc>
          <w:tcPr>
            <w:tcW w:w="1179" w:type="dxa"/>
            <w:vAlign w:val="top"/>
          </w:tcPr>
          <w:p>
            <w:pPr>
              <w:pStyle w:val="TableText"/>
              <w:ind w:left="422"/>
              <w:spacing w:before="59" w:line="167" w:lineRule="auto"/>
              <w:rPr>
                <w:sz w:val="21"/>
                <w:szCs w:val="21"/>
              </w:rPr>
            </w:pPr>
            <w:r>
              <w:rPr>
                <w:sz w:val="21"/>
                <w:szCs w:val="21"/>
                <w:spacing w:val="-3"/>
              </w:rPr>
              <w:t>&lt;10</w:t>
            </w:r>
          </w:p>
        </w:tc>
        <w:tc>
          <w:tcPr>
            <w:tcW w:w="1218" w:type="dxa"/>
            <w:vAlign w:val="top"/>
          </w:tcPr>
          <w:p>
            <w:pPr>
              <w:pStyle w:val="TableText"/>
              <w:ind w:left="443"/>
              <w:spacing w:before="59" w:line="167" w:lineRule="auto"/>
              <w:rPr>
                <w:sz w:val="21"/>
                <w:szCs w:val="21"/>
              </w:rPr>
            </w:pPr>
            <w:r>
              <w:rPr>
                <w:sz w:val="21"/>
                <w:szCs w:val="21"/>
                <w:color w:val="404040"/>
                <w:spacing w:val="-3"/>
              </w:rPr>
              <w:t>&lt;10</w:t>
            </w:r>
          </w:p>
        </w:tc>
        <w:tc>
          <w:tcPr>
            <w:tcW w:w="1178" w:type="dxa"/>
            <w:vAlign w:val="top"/>
          </w:tcPr>
          <w:p>
            <w:pPr>
              <w:pStyle w:val="TableText"/>
              <w:ind w:left="425"/>
              <w:spacing w:before="59" w:line="167" w:lineRule="auto"/>
              <w:rPr>
                <w:sz w:val="21"/>
                <w:szCs w:val="21"/>
              </w:rPr>
            </w:pPr>
            <w:r>
              <w:rPr>
                <w:sz w:val="21"/>
                <w:szCs w:val="21"/>
                <w:color w:val="504040"/>
                <w:spacing w:val="-3"/>
              </w:rPr>
              <w:t>&lt;10</w:t>
            </w:r>
          </w:p>
        </w:tc>
        <w:tc>
          <w:tcPr>
            <w:tcW w:w="1328" w:type="dxa"/>
            <w:vAlign w:val="top"/>
          </w:tcPr>
          <w:p>
            <w:pPr>
              <w:pStyle w:val="TableText"/>
              <w:ind w:left="497"/>
              <w:spacing w:before="59" w:line="167" w:lineRule="auto"/>
              <w:rPr>
                <w:sz w:val="21"/>
                <w:szCs w:val="21"/>
              </w:rPr>
            </w:pPr>
            <w:r>
              <w:rPr>
                <w:sz w:val="21"/>
                <w:szCs w:val="21"/>
                <w:spacing w:val="-3"/>
              </w:rPr>
              <w:t>&lt;10</w:t>
            </w:r>
          </w:p>
        </w:tc>
        <w:tc>
          <w:tcPr>
            <w:tcW w:w="534" w:type="dxa"/>
            <w:vAlign w:val="top"/>
            <w:vMerge w:val="continue"/>
            <w:tcBorders>
              <w:top w:val="nil"/>
              <w:bottom w:val="nil"/>
            </w:tcBorders>
          </w:tcPr>
          <w:p>
            <w:pPr>
              <w:rPr>
                <w:rFonts w:ascii="Arial"/>
                <w:sz w:val="21"/>
              </w:rPr>
            </w:pPr>
            <w:r/>
          </w:p>
        </w:tc>
      </w:tr>
      <w:tr>
        <w:trPr>
          <w:trHeight w:val="270" w:hRule="atLeast"/>
        </w:trPr>
        <w:tc>
          <w:tcPr>
            <w:tcW w:w="944" w:type="dxa"/>
            <w:vAlign w:val="top"/>
            <w:vMerge w:val="continue"/>
            <w:tcBorders>
              <w:top w:val="nil"/>
            </w:tcBorders>
          </w:tcPr>
          <w:p>
            <w:pPr>
              <w:rPr>
                <w:rFonts w:ascii="Arial"/>
                <w:sz w:val="21"/>
              </w:rPr>
            </w:pPr>
            <w:r/>
          </w:p>
        </w:tc>
        <w:tc>
          <w:tcPr>
            <w:tcW w:w="1139" w:type="dxa"/>
            <w:vAlign w:val="top"/>
            <w:vMerge w:val="continue"/>
            <w:tcBorders>
              <w:top w:val="nil"/>
            </w:tcBorders>
          </w:tcPr>
          <w:p>
            <w:pPr>
              <w:rPr>
                <w:rFonts w:ascii="Arial"/>
                <w:sz w:val="21"/>
              </w:rPr>
            </w:pPr>
            <w:r/>
          </w:p>
        </w:tc>
        <w:tc>
          <w:tcPr>
            <w:tcW w:w="979" w:type="dxa"/>
            <w:vAlign w:val="top"/>
          </w:tcPr>
          <w:p>
            <w:pPr>
              <w:pStyle w:val="TableText"/>
              <w:ind w:left="161"/>
              <w:spacing w:before="38" w:line="195" w:lineRule="auto"/>
              <w:rPr>
                <w:sz w:val="21"/>
                <w:szCs w:val="21"/>
              </w:rPr>
            </w:pPr>
            <w:r>
              <w:rPr>
                <w:sz w:val="21"/>
                <w:szCs w:val="21"/>
                <w:color w:val="404050"/>
                <w:spacing w:val="-2"/>
              </w:rPr>
              <w:t>第四次</w:t>
            </w:r>
          </w:p>
        </w:tc>
        <w:tc>
          <w:tcPr>
            <w:tcW w:w="1179" w:type="dxa"/>
            <w:vAlign w:val="top"/>
          </w:tcPr>
          <w:p>
            <w:pPr>
              <w:pStyle w:val="TableText"/>
              <w:ind w:left="422"/>
              <w:spacing w:before="59" w:line="176" w:lineRule="auto"/>
              <w:rPr>
                <w:sz w:val="21"/>
                <w:szCs w:val="21"/>
              </w:rPr>
            </w:pPr>
            <w:r>
              <w:rPr>
                <w:sz w:val="21"/>
                <w:szCs w:val="21"/>
                <w:spacing w:val="-3"/>
              </w:rPr>
              <w:t>&lt;10</w:t>
            </w:r>
          </w:p>
        </w:tc>
        <w:tc>
          <w:tcPr>
            <w:tcW w:w="1218" w:type="dxa"/>
            <w:vAlign w:val="top"/>
          </w:tcPr>
          <w:p>
            <w:pPr>
              <w:pStyle w:val="TableText"/>
              <w:ind w:left="443"/>
              <w:spacing w:before="59" w:line="176" w:lineRule="auto"/>
              <w:rPr>
                <w:sz w:val="21"/>
                <w:szCs w:val="21"/>
              </w:rPr>
            </w:pPr>
            <w:r>
              <w:rPr>
                <w:sz w:val="21"/>
                <w:szCs w:val="21"/>
                <w:spacing w:val="-3"/>
              </w:rPr>
              <w:t>&lt;10</w:t>
            </w:r>
          </w:p>
        </w:tc>
        <w:tc>
          <w:tcPr>
            <w:tcW w:w="1178" w:type="dxa"/>
            <w:vAlign w:val="top"/>
          </w:tcPr>
          <w:p>
            <w:pPr>
              <w:pStyle w:val="TableText"/>
              <w:ind w:left="425"/>
              <w:spacing w:before="59" w:line="176" w:lineRule="auto"/>
              <w:rPr>
                <w:sz w:val="21"/>
                <w:szCs w:val="21"/>
              </w:rPr>
            </w:pPr>
            <w:r>
              <w:rPr>
                <w:sz w:val="21"/>
                <w:szCs w:val="21"/>
                <w:spacing w:val="-3"/>
              </w:rPr>
              <w:t>&lt;10</w:t>
            </w:r>
          </w:p>
        </w:tc>
        <w:tc>
          <w:tcPr>
            <w:tcW w:w="1328" w:type="dxa"/>
            <w:vAlign w:val="top"/>
          </w:tcPr>
          <w:p>
            <w:pPr>
              <w:pStyle w:val="TableText"/>
              <w:ind w:left="497"/>
              <w:spacing w:before="59" w:line="176" w:lineRule="auto"/>
              <w:rPr>
                <w:sz w:val="21"/>
                <w:szCs w:val="21"/>
              </w:rPr>
            </w:pPr>
            <w:r>
              <w:rPr>
                <w:sz w:val="21"/>
                <w:szCs w:val="21"/>
                <w:spacing w:val="-3"/>
              </w:rPr>
              <w:t>&lt;10</w:t>
            </w:r>
          </w:p>
        </w:tc>
        <w:tc>
          <w:tcPr>
            <w:tcW w:w="534" w:type="dxa"/>
            <w:vAlign w:val="top"/>
            <w:vMerge w:val="continue"/>
            <w:tcBorders>
              <w:top w:val="nil"/>
            </w:tcBorders>
          </w:tcPr>
          <w:p>
            <w:pPr>
              <w:rPr>
                <w:rFonts w:ascii="Arial"/>
                <w:sz w:val="21"/>
              </w:rPr>
            </w:pPr>
            <w:r/>
          </w:p>
        </w:tc>
      </w:tr>
      <w:tr>
        <w:trPr>
          <w:trHeight w:val="554" w:hRule="atLeast"/>
        </w:trPr>
        <w:tc>
          <w:tcPr>
            <w:tcW w:w="944" w:type="dxa"/>
            <w:vAlign w:val="top"/>
          </w:tcPr>
          <w:p>
            <w:pPr>
              <w:pStyle w:val="TableText"/>
              <w:ind w:left="254"/>
              <w:spacing w:before="179" w:line="221" w:lineRule="auto"/>
              <w:rPr>
                <w:sz w:val="21"/>
                <w:szCs w:val="21"/>
              </w:rPr>
            </w:pPr>
            <w:r>
              <w:rPr>
                <w:sz w:val="21"/>
                <w:szCs w:val="21"/>
                <w:spacing w:val="4"/>
              </w:rPr>
              <w:t>结论</w:t>
            </w:r>
          </w:p>
        </w:tc>
        <w:tc>
          <w:tcPr>
            <w:tcW w:w="7555" w:type="dxa"/>
            <w:vAlign w:val="top"/>
            <w:gridSpan w:val="7"/>
          </w:tcPr>
          <w:p>
            <w:pPr>
              <w:pStyle w:val="TableText"/>
              <w:ind w:left="10" w:right="5"/>
              <w:spacing w:before="47" w:line="211" w:lineRule="auto"/>
              <w:rPr>
                <w:sz w:val="21"/>
                <w:szCs w:val="21"/>
              </w:rPr>
            </w:pPr>
            <w:r>
              <w:rPr>
                <w:sz w:val="21"/>
                <w:szCs w:val="21"/>
                <w:spacing w:val="-1"/>
              </w:rPr>
              <w:t>以上检测结果表明：本次检测时，所检项目：氨、硫化氢、臭气浓度检测结果均符</w:t>
            </w:r>
            <w:r>
              <w:rPr>
                <w:sz w:val="21"/>
                <w:szCs w:val="21"/>
                <w:spacing w:val="3"/>
              </w:rPr>
              <w:t xml:space="preserve"> </w:t>
            </w:r>
            <w:r>
              <w:rPr>
                <w:sz w:val="21"/>
                <w:szCs w:val="21"/>
              </w:rPr>
              <w:t>合《恶臭污染物排放标准》(GB14554-93)表1中恶臭污染物厂界标准值二级。</w:t>
            </w:r>
          </w:p>
        </w:tc>
      </w:tr>
    </w:tbl>
    <w:p>
      <w:pPr>
        <w:ind w:left="585"/>
        <w:spacing w:before="65" w:line="219" w:lineRule="auto"/>
        <w:rPr>
          <w:rFonts w:ascii="SimSun" w:hAnsi="SimSun" w:eastAsia="SimSun" w:cs="SimSun"/>
          <w:sz w:val="24"/>
          <w:szCs w:val="24"/>
        </w:rPr>
      </w:pPr>
      <w:r>
        <w:rPr>
          <w:rFonts w:ascii="SimSun" w:hAnsi="SimSun" w:eastAsia="SimSun" w:cs="SimSun"/>
          <w:sz w:val="24"/>
          <w:szCs w:val="24"/>
        </w:rPr>
        <w:t>综上，现有工程有组织废气符合《锅炉大气污染物排放标准》(GB13271-</w:t>
      </w:r>
    </w:p>
    <w:p>
      <w:pPr>
        <w:ind w:left="94" w:right="115"/>
        <w:spacing w:before="145" w:line="367" w:lineRule="auto"/>
        <w:rPr>
          <w:rFonts w:ascii="SimSun" w:hAnsi="SimSun" w:eastAsia="SimSun" w:cs="SimSun"/>
          <w:sz w:val="24"/>
          <w:szCs w:val="24"/>
        </w:rPr>
      </w:pPr>
      <w:r>
        <w:rPr>
          <w:rFonts w:ascii="SimSun" w:hAnsi="SimSun" w:eastAsia="SimSun" w:cs="SimSun"/>
          <w:sz w:val="24"/>
          <w:szCs w:val="24"/>
          <w:spacing w:val="6"/>
        </w:rPr>
        <w:t>2014);厂界无组织废气氨的浓度低于1.5</w:t>
      </w:r>
      <w:r>
        <w:rPr>
          <w:rFonts w:ascii="Times New Roman" w:hAnsi="Times New Roman" w:eastAsia="Times New Roman" w:cs="Times New Roman"/>
          <w:sz w:val="24"/>
          <w:szCs w:val="24"/>
        </w:rPr>
        <w:t>mg</w:t>
      </w:r>
      <w:r>
        <w:rPr>
          <w:rFonts w:ascii="Times New Roman" w:hAnsi="Times New Roman" w:eastAsia="Times New Roman" w:cs="Times New Roman"/>
          <w:sz w:val="24"/>
          <w:szCs w:val="24"/>
          <w:spacing w:val="6"/>
        </w:rPr>
        <w:t>/m³,H₂S   </w:t>
      </w:r>
      <w:r>
        <w:rPr>
          <w:rFonts w:ascii="SimSun" w:hAnsi="SimSun" w:eastAsia="SimSun" w:cs="SimSun"/>
          <w:sz w:val="24"/>
          <w:szCs w:val="24"/>
          <w:spacing w:val="6"/>
        </w:rPr>
        <w:t>的浓度低于0.06</w:t>
      </w:r>
      <w:r>
        <w:rPr>
          <w:rFonts w:ascii="Times New Roman" w:hAnsi="Times New Roman" w:eastAsia="Times New Roman" w:cs="Times New Roman"/>
          <w:sz w:val="24"/>
          <w:szCs w:val="24"/>
        </w:rPr>
        <w:t>mg</w:t>
      </w:r>
      <w:r>
        <w:rPr>
          <w:rFonts w:ascii="Times New Roman" w:hAnsi="Times New Roman" w:eastAsia="Times New Roman" w:cs="Times New Roman"/>
          <w:sz w:val="24"/>
          <w:szCs w:val="24"/>
          <w:spacing w:val="6"/>
        </w:rPr>
        <w:t>/m³,</w:t>
      </w:r>
      <w:r>
        <w:rPr>
          <w:rFonts w:ascii="Times New Roman" w:hAnsi="Times New Roman" w:eastAsia="Times New Roman" w:cs="Times New Roman"/>
          <w:sz w:val="24"/>
          <w:szCs w:val="24"/>
          <w:spacing w:val="3"/>
        </w:rPr>
        <w:t xml:space="preserve">    </w:t>
      </w:r>
      <w:r>
        <w:rPr>
          <w:rFonts w:ascii="SimSun" w:hAnsi="SimSun" w:eastAsia="SimSun" w:cs="SimSun"/>
          <w:sz w:val="24"/>
          <w:szCs w:val="24"/>
          <w:spacing w:val="4"/>
        </w:rPr>
        <w:t>能够满足《恶臭污染物排放标准》</w:t>
      </w:r>
      <w:r>
        <w:rPr>
          <w:rFonts w:ascii="SimSun" w:hAnsi="SimSun" w:eastAsia="SimSun" w:cs="SimSun"/>
          <w:sz w:val="24"/>
          <w:szCs w:val="24"/>
          <w:spacing w:val="80"/>
        </w:rPr>
        <w:t xml:space="preserve"> </w:t>
      </w:r>
      <w:r>
        <w:rPr>
          <w:rFonts w:ascii="Times New Roman" w:hAnsi="Times New Roman" w:eastAsia="Times New Roman" w:cs="Times New Roman"/>
          <w:sz w:val="24"/>
          <w:szCs w:val="24"/>
          <w:spacing w:val="4"/>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4"/>
        </w:rPr>
        <w:t xml:space="preserve">    14</w:t>
      </w:r>
      <w:r>
        <w:rPr>
          <w:rFonts w:ascii="Times New Roman" w:hAnsi="Times New Roman" w:eastAsia="Times New Roman" w:cs="Times New Roman"/>
          <w:sz w:val="24"/>
          <w:szCs w:val="24"/>
          <w:spacing w:val="3"/>
        </w:rPr>
        <w:t>554-93) </w:t>
      </w:r>
      <w:r>
        <w:rPr>
          <w:rFonts w:ascii="SimSun" w:hAnsi="SimSun" w:eastAsia="SimSun" w:cs="SimSun"/>
          <w:sz w:val="24"/>
          <w:szCs w:val="24"/>
          <w:spacing w:val="3"/>
        </w:rPr>
        <w:t>中限值要求，实现达标排</w:t>
      </w:r>
      <w:r>
        <w:rPr>
          <w:rFonts w:ascii="SimSun" w:hAnsi="SimSun" w:eastAsia="SimSun" w:cs="SimSun"/>
          <w:sz w:val="24"/>
          <w:szCs w:val="24"/>
        </w:rPr>
        <w:t xml:space="preserve"> </w:t>
      </w:r>
      <w:r>
        <w:rPr>
          <w:rFonts w:ascii="SimSun" w:hAnsi="SimSun" w:eastAsia="SimSun" w:cs="SimSun"/>
          <w:sz w:val="24"/>
          <w:szCs w:val="24"/>
          <w:spacing w:val="-4"/>
        </w:rPr>
        <w:t>放，无相关环境遗留问题。</w:t>
      </w:r>
    </w:p>
    <w:p>
      <w:pPr>
        <w:ind w:left="98"/>
        <w:spacing w:before="32" w:line="221" w:lineRule="auto"/>
        <w:rPr>
          <w:rFonts w:ascii="SimHei" w:hAnsi="SimHei" w:eastAsia="SimHei" w:cs="SimHei"/>
          <w:sz w:val="24"/>
          <w:szCs w:val="24"/>
        </w:rPr>
      </w:pPr>
      <w:r>
        <w:rPr>
          <w:rFonts w:ascii="SimHei" w:hAnsi="SimHei" w:eastAsia="SimHei" w:cs="SimHei"/>
          <w:sz w:val="24"/>
          <w:szCs w:val="24"/>
          <w:b/>
          <w:bCs/>
          <w:spacing w:val="23"/>
        </w:rPr>
        <w:t>2.4.3噪声污染源排放及治理措施</w:t>
      </w:r>
    </w:p>
    <w:p>
      <w:pPr>
        <w:ind w:left="585"/>
        <w:spacing w:before="236" w:line="219" w:lineRule="auto"/>
        <w:rPr>
          <w:rFonts w:ascii="SimSun" w:hAnsi="SimSun" w:eastAsia="SimSun" w:cs="SimSun"/>
          <w:sz w:val="24"/>
          <w:szCs w:val="24"/>
        </w:rPr>
      </w:pPr>
      <w:r>
        <w:rPr>
          <w:rFonts w:ascii="SimSun" w:hAnsi="SimSun" w:eastAsia="SimSun" w:cs="SimSun"/>
          <w:sz w:val="24"/>
          <w:szCs w:val="24"/>
        </w:rPr>
        <w:t>现有工程运营期噪声源主要为输送机、鼓风</w:t>
      </w:r>
      <w:r>
        <w:rPr>
          <w:rFonts w:ascii="SimSun" w:hAnsi="SimSun" w:eastAsia="SimSun" w:cs="SimSun"/>
          <w:sz w:val="24"/>
          <w:szCs w:val="24"/>
          <w:spacing w:val="-1"/>
        </w:rPr>
        <w:t>机、引风机、水泵等设备噪</w:t>
      </w:r>
    </w:p>
    <w:p>
      <w:pPr>
        <w:ind w:left="94" w:right="246"/>
        <w:spacing w:before="178" w:line="366" w:lineRule="auto"/>
        <w:rPr>
          <w:rFonts w:ascii="SimSun" w:hAnsi="SimSun" w:eastAsia="SimSun" w:cs="SimSun"/>
          <w:sz w:val="19"/>
          <w:szCs w:val="19"/>
        </w:rPr>
      </w:pPr>
      <w:r>
        <w:rPr>
          <w:rFonts w:ascii="SimSun" w:hAnsi="SimSun" w:eastAsia="SimSun" w:cs="SimSun"/>
          <w:sz w:val="24"/>
          <w:szCs w:val="24"/>
          <w:spacing w:val="-1"/>
        </w:rPr>
        <w:t>声；猪运送过程及屠宰时产生的鸣叫声；职工的生活娱乐噪声；运输车辆交通</w:t>
      </w:r>
      <w:r>
        <w:rPr>
          <w:rFonts w:ascii="SimSun" w:hAnsi="SimSun" w:eastAsia="SimSun" w:cs="SimSun"/>
          <w:sz w:val="24"/>
          <w:szCs w:val="24"/>
          <w:spacing w:val="18"/>
        </w:rPr>
        <w:t xml:space="preserve"> </w:t>
      </w:r>
      <w:r>
        <w:rPr>
          <w:rFonts w:ascii="SimSun" w:hAnsi="SimSun" w:eastAsia="SimSun" w:cs="SimSun"/>
          <w:sz w:val="24"/>
          <w:szCs w:val="24"/>
        </w:rPr>
        <w:t>噪声。通过采取选用低噪声设备，从源头降低噪声源强；对于有管路相连的设 </w:t>
      </w:r>
      <w:r>
        <w:rPr>
          <w:rFonts w:ascii="SimSun" w:hAnsi="SimSun" w:eastAsia="SimSun" w:cs="SimSun"/>
          <w:sz w:val="24"/>
          <w:szCs w:val="24"/>
        </w:rPr>
        <w:t>备，对管路进行可靠的隔声包扎，降低噪声源</w:t>
      </w:r>
      <w:r>
        <w:rPr>
          <w:rFonts w:ascii="SimSun" w:hAnsi="SimSun" w:eastAsia="SimSun" w:cs="SimSun"/>
          <w:sz w:val="24"/>
          <w:szCs w:val="24"/>
          <w:spacing w:val="-1"/>
        </w:rPr>
        <w:t>强；对于车间采用墙体隔声，合</w:t>
      </w:r>
      <w:r>
        <w:rPr>
          <w:rFonts w:ascii="SimSun" w:hAnsi="SimSun" w:eastAsia="SimSun" w:cs="SimSun"/>
          <w:sz w:val="24"/>
          <w:szCs w:val="24"/>
        </w:rPr>
        <w:t xml:space="preserve"> </w:t>
      </w:r>
      <w:r>
        <w:rPr>
          <w:rFonts w:ascii="SimSun" w:hAnsi="SimSun" w:eastAsia="SimSun" w:cs="SimSun"/>
          <w:sz w:val="24"/>
          <w:szCs w:val="24"/>
        </w:rPr>
        <w:t>理布置噪声源，将高噪声设备布置在厂区中部并利用建筑隔声，减少对环境的</w:t>
      </w:r>
      <w:r>
        <w:rPr>
          <w:rFonts w:ascii="SimSun" w:hAnsi="SimSun" w:eastAsia="SimSun" w:cs="SimSun"/>
          <w:sz w:val="24"/>
          <w:szCs w:val="24"/>
          <w:spacing w:val="7"/>
        </w:rPr>
        <w:t xml:space="preserve"> </w:t>
      </w:r>
      <w:r>
        <w:rPr>
          <w:rFonts w:ascii="SimSun" w:hAnsi="SimSun" w:eastAsia="SimSun" w:cs="SimSun"/>
          <w:sz w:val="19"/>
          <w:szCs w:val="19"/>
          <w:spacing w:val="-9"/>
        </w:rPr>
        <w:t>影 响</w:t>
      </w:r>
      <w:r>
        <w:rPr>
          <w:rFonts w:ascii="SimSun" w:hAnsi="SimSun" w:eastAsia="SimSun" w:cs="SimSun"/>
          <w:sz w:val="19"/>
          <w:szCs w:val="19"/>
          <w:spacing w:val="-23"/>
        </w:rPr>
        <w:t xml:space="preserve"> </w:t>
      </w:r>
      <w:r>
        <w:rPr>
          <w:rFonts w:ascii="SimSun" w:hAnsi="SimSun" w:eastAsia="SimSun" w:cs="SimSun"/>
          <w:sz w:val="19"/>
          <w:szCs w:val="19"/>
          <w:spacing w:val="-9"/>
        </w:rPr>
        <w:t>。</w:t>
      </w:r>
    </w:p>
    <w:p>
      <w:pPr>
        <w:ind w:left="575"/>
        <w:spacing w:before="60" w:line="219" w:lineRule="auto"/>
        <w:rPr>
          <w:rFonts w:ascii="SimSun" w:hAnsi="SimSun" w:eastAsia="SimSun" w:cs="SimSun"/>
          <w:sz w:val="24"/>
          <w:szCs w:val="24"/>
        </w:rPr>
      </w:pPr>
      <w:r>
        <w:rPr>
          <w:rFonts w:ascii="SimSun" w:hAnsi="SimSun" w:eastAsia="SimSun" w:cs="SimSun"/>
          <w:sz w:val="24"/>
          <w:szCs w:val="24"/>
          <w:spacing w:val="4"/>
        </w:rPr>
        <w:t>绵阳柒鑫食品有限公司委托四川良测检测技术有限公司于2024年10月</w:t>
      </w:r>
      <w:r>
        <w:rPr>
          <w:rFonts w:ascii="SimSun" w:hAnsi="SimSun" w:eastAsia="SimSun" w:cs="SimSun"/>
          <w:sz w:val="24"/>
          <w:szCs w:val="24"/>
          <w:spacing w:val="3"/>
        </w:rPr>
        <w:t>30日</w:t>
      </w:r>
    </w:p>
    <w:p>
      <w:pPr>
        <w:spacing w:line="219" w:lineRule="auto"/>
        <w:sectPr>
          <w:headerReference w:type="default" r:id="rId180"/>
          <w:footerReference w:type="default" r:id="rId181"/>
          <w:pgSz w:w="11910" w:h="16840"/>
          <w:pgMar w:top="1197" w:right="1715" w:bottom="983" w:left="1685" w:header="905" w:footer="736" w:gutter="0"/>
        </w:sectPr>
        <w:rPr>
          <w:rFonts w:ascii="SimSun" w:hAnsi="SimSun" w:eastAsia="SimSun" w:cs="SimSun"/>
          <w:sz w:val="24"/>
          <w:szCs w:val="24"/>
        </w:rPr>
      </w:pPr>
    </w:p>
    <w:p>
      <w:pPr>
        <w:ind w:left="94"/>
        <w:spacing w:before="312" w:line="219" w:lineRule="auto"/>
        <w:rPr>
          <w:rFonts w:ascii="SimSun" w:hAnsi="SimSun" w:eastAsia="SimSun" w:cs="SimSun"/>
          <w:sz w:val="23"/>
          <w:szCs w:val="23"/>
        </w:rPr>
      </w:pPr>
      <w:r>
        <w:rPr>
          <w:rFonts w:ascii="SimSun" w:hAnsi="SimSun" w:eastAsia="SimSun" w:cs="SimSun"/>
          <w:sz w:val="23"/>
          <w:szCs w:val="23"/>
          <w:spacing w:val="7"/>
        </w:rPr>
        <w:t>对厂界噪声进行了检测，现有工程厂界噪声检测结果见下表。</w:t>
      </w:r>
    </w:p>
    <w:p>
      <w:pPr>
        <w:ind w:left="2958"/>
        <w:spacing w:before="135" w:line="221" w:lineRule="auto"/>
        <w:rPr>
          <w:rFonts w:ascii="SimSun" w:hAnsi="SimSun" w:eastAsia="SimSun" w:cs="SimSun"/>
          <w:sz w:val="24"/>
          <w:szCs w:val="24"/>
        </w:rPr>
      </w:pPr>
      <w:bookmarkStart w:name="bookmark97" w:id="49"/>
      <w:bookmarkEnd w:id="49"/>
      <w:r>
        <w:rPr>
          <w:rFonts w:ascii="SimSun" w:hAnsi="SimSun" w:eastAsia="SimSun" w:cs="SimSun"/>
          <w:sz w:val="24"/>
          <w:szCs w:val="24"/>
          <w:b/>
          <w:bCs/>
          <w:spacing w:val="-1"/>
        </w:rPr>
        <w:t>表2.4-4厂界噪声检测结果</w:t>
      </w:r>
      <w:r>
        <w:rPr>
          <w:rFonts w:ascii="SimSun" w:hAnsi="SimSun" w:eastAsia="SimSun" w:cs="SimSun"/>
          <w:sz w:val="24"/>
          <w:szCs w:val="24"/>
          <w:spacing w:val="12"/>
        </w:rPr>
        <w:t xml:space="preserve">        </w:t>
      </w:r>
      <w:r>
        <w:rPr>
          <w:rFonts w:ascii="SimSun" w:hAnsi="SimSun" w:eastAsia="SimSun" w:cs="SimSun"/>
          <w:sz w:val="24"/>
          <w:szCs w:val="24"/>
          <w:b/>
          <w:bCs/>
          <w:spacing w:val="-1"/>
          <w:position w:val="1"/>
        </w:rPr>
        <w:t>单位：dB(A)</w:t>
      </w:r>
    </w:p>
    <w:tbl>
      <w:tblPr>
        <w:tblStyle w:val="TableNormal"/>
        <w:tblW w:w="848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34"/>
        <w:gridCol w:w="3376"/>
        <w:gridCol w:w="1298"/>
        <w:gridCol w:w="689"/>
        <w:gridCol w:w="1358"/>
        <w:gridCol w:w="734"/>
      </w:tblGrid>
      <w:tr>
        <w:trPr>
          <w:trHeight w:val="284" w:hRule="atLeast"/>
        </w:trPr>
        <w:tc>
          <w:tcPr>
            <w:shd w:val="clear" w:fill="BDBDBD"/>
            <w:tcW w:w="4410" w:type="dxa"/>
            <w:vAlign w:val="top"/>
            <w:gridSpan w:val="2"/>
          </w:tcPr>
          <w:p>
            <w:pPr>
              <w:pStyle w:val="TableText"/>
              <w:ind w:left="1777"/>
              <w:spacing w:before="40" w:line="205" w:lineRule="auto"/>
              <w:rPr>
                <w:sz w:val="21"/>
                <w:szCs w:val="21"/>
              </w:rPr>
            </w:pPr>
            <w:r>
              <w:rPr>
                <w:sz w:val="21"/>
                <w:szCs w:val="21"/>
                <w:b/>
                <w:bCs/>
              </w:rPr>
              <w:t>点位信息</w:t>
            </w:r>
          </w:p>
        </w:tc>
        <w:tc>
          <w:tcPr>
            <w:shd w:val="clear" w:fill="BDBDBD"/>
            <w:tcW w:w="4079" w:type="dxa"/>
            <w:vAlign w:val="top"/>
            <w:gridSpan w:val="4"/>
          </w:tcPr>
          <w:p>
            <w:pPr>
              <w:pStyle w:val="TableText"/>
              <w:ind w:left="1608"/>
              <w:spacing w:before="40" w:line="205" w:lineRule="auto"/>
              <w:rPr>
                <w:sz w:val="21"/>
                <w:szCs w:val="21"/>
              </w:rPr>
            </w:pPr>
            <w:r>
              <w:rPr>
                <w:sz w:val="21"/>
                <w:szCs w:val="21"/>
                <w:b/>
                <w:bCs/>
                <w:spacing w:val="-4"/>
              </w:rPr>
              <w:t>检测结果</w:t>
            </w:r>
          </w:p>
        </w:tc>
      </w:tr>
      <w:tr>
        <w:trPr>
          <w:trHeight w:val="259" w:hRule="atLeast"/>
        </w:trPr>
        <w:tc>
          <w:tcPr>
            <w:shd w:val="clear" w:fill="BDBDBD"/>
            <w:tcW w:w="1034" w:type="dxa"/>
            <w:vAlign w:val="top"/>
            <w:vMerge w:val="restart"/>
            <w:tcBorders>
              <w:bottom w:val="nil"/>
            </w:tcBorders>
          </w:tcPr>
          <w:p>
            <w:pPr>
              <w:pStyle w:val="TableText"/>
              <w:ind w:left="87"/>
              <w:spacing w:before="166" w:line="219" w:lineRule="auto"/>
              <w:rPr>
                <w:sz w:val="21"/>
                <w:szCs w:val="21"/>
              </w:rPr>
            </w:pPr>
            <w:r>
              <w:rPr>
                <w:sz w:val="21"/>
                <w:szCs w:val="21"/>
                <w:b/>
                <w:bCs/>
                <w:spacing w:val="-4"/>
              </w:rPr>
              <w:t>检测日期</w:t>
            </w:r>
          </w:p>
        </w:tc>
        <w:tc>
          <w:tcPr>
            <w:shd w:val="clear" w:fill="BDBDBD"/>
            <w:tcW w:w="3376" w:type="dxa"/>
            <w:vAlign w:val="top"/>
            <w:vMerge w:val="restart"/>
            <w:tcBorders>
              <w:bottom w:val="nil"/>
            </w:tcBorders>
          </w:tcPr>
          <w:p>
            <w:pPr>
              <w:pStyle w:val="TableText"/>
              <w:ind w:left="843"/>
              <w:spacing w:before="167" w:line="220" w:lineRule="auto"/>
              <w:rPr>
                <w:sz w:val="21"/>
                <w:szCs w:val="21"/>
              </w:rPr>
            </w:pPr>
            <w:r>
              <w:rPr>
                <w:sz w:val="21"/>
                <w:szCs w:val="21"/>
                <w:b/>
                <w:bCs/>
                <w:spacing w:val="1"/>
              </w:rPr>
              <w:t>点位名称(外1m处)</w:t>
            </w:r>
          </w:p>
        </w:tc>
        <w:tc>
          <w:tcPr>
            <w:shd w:val="clear" w:fill="BDBDBD"/>
            <w:tcW w:w="1987" w:type="dxa"/>
            <w:vAlign w:val="top"/>
            <w:gridSpan w:val="2"/>
          </w:tcPr>
          <w:p>
            <w:pPr>
              <w:pStyle w:val="TableText"/>
              <w:ind w:left="778"/>
              <w:spacing w:before="29" w:line="193" w:lineRule="auto"/>
              <w:rPr>
                <w:sz w:val="21"/>
                <w:szCs w:val="21"/>
              </w:rPr>
            </w:pPr>
            <w:r>
              <w:rPr>
                <w:sz w:val="21"/>
                <w:szCs w:val="21"/>
                <w:b/>
                <w:bCs/>
                <w:spacing w:val="5"/>
              </w:rPr>
              <w:t>昼间</w:t>
            </w:r>
          </w:p>
        </w:tc>
        <w:tc>
          <w:tcPr>
            <w:shd w:val="clear" w:fill="BDBDBD"/>
            <w:tcW w:w="2092" w:type="dxa"/>
            <w:vAlign w:val="top"/>
            <w:gridSpan w:val="2"/>
          </w:tcPr>
          <w:p>
            <w:pPr>
              <w:pStyle w:val="TableText"/>
              <w:ind w:left="830"/>
              <w:spacing w:before="26" w:line="196" w:lineRule="auto"/>
              <w:rPr>
                <w:sz w:val="21"/>
                <w:szCs w:val="21"/>
              </w:rPr>
            </w:pPr>
            <w:r>
              <w:rPr>
                <w:sz w:val="21"/>
                <w:szCs w:val="21"/>
                <w:b/>
                <w:bCs/>
                <w:spacing w:val="5"/>
              </w:rPr>
              <w:t>夜间</w:t>
            </w:r>
          </w:p>
        </w:tc>
      </w:tr>
      <w:tr>
        <w:trPr>
          <w:trHeight w:val="269" w:hRule="atLeast"/>
        </w:trPr>
        <w:tc>
          <w:tcPr>
            <w:tcW w:w="1034" w:type="dxa"/>
            <w:vAlign w:val="top"/>
            <w:vMerge w:val="continue"/>
            <w:tcBorders>
              <w:top w:val="nil"/>
            </w:tcBorders>
          </w:tcPr>
          <w:p>
            <w:pPr>
              <w:rPr>
                <w:rFonts w:ascii="Arial"/>
                <w:sz w:val="21"/>
              </w:rPr>
            </w:pPr>
            <w:r/>
          </w:p>
        </w:tc>
        <w:tc>
          <w:tcPr>
            <w:tcW w:w="3376" w:type="dxa"/>
            <w:vAlign w:val="top"/>
            <w:vMerge w:val="continue"/>
            <w:tcBorders>
              <w:top w:val="nil"/>
            </w:tcBorders>
          </w:tcPr>
          <w:p>
            <w:pPr>
              <w:rPr>
                <w:rFonts w:ascii="Arial"/>
                <w:sz w:val="21"/>
              </w:rPr>
            </w:pPr>
            <w:r/>
          </w:p>
        </w:tc>
        <w:tc>
          <w:tcPr>
            <w:shd w:val="clear" w:fill="BDBDBD"/>
            <w:tcW w:w="1298" w:type="dxa"/>
            <w:vAlign w:val="top"/>
          </w:tcPr>
          <w:p>
            <w:pPr>
              <w:pStyle w:val="TableText"/>
              <w:ind w:left="228"/>
              <w:spacing w:before="26" w:line="204" w:lineRule="auto"/>
              <w:rPr>
                <w:sz w:val="21"/>
                <w:szCs w:val="21"/>
              </w:rPr>
            </w:pPr>
            <w:r>
              <w:rPr>
                <w:sz w:val="21"/>
                <w:szCs w:val="21"/>
                <w:b/>
                <w:bCs/>
                <w:spacing w:val="1"/>
              </w:rPr>
              <w:t>检测时间</w:t>
            </w:r>
          </w:p>
        </w:tc>
        <w:tc>
          <w:tcPr>
            <w:shd w:val="clear" w:fill="BDBDBD"/>
            <w:tcW w:w="689" w:type="dxa"/>
            <w:vAlign w:val="top"/>
          </w:tcPr>
          <w:p>
            <w:pPr>
              <w:pStyle w:val="TableText"/>
              <w:ind w:left="129"/>
              <w:spacing w:before="28" w:line="203" w:lineRule="auto"/>
              <w:rPr>
                <w:sz w:val="21"/>
                <w:szCs w:val="21"/>
              </w:rPr>
            </w:pPr>
            <w:r>
              <w:rPr>
                <w:sz w:val="21"/>
                <w:szCs w:val="21"/>
                <w:b/>
                <w:bCs/>
                <w:spacing w:val="-6"/>
              </w:rPr>
              <w:t>结果</w:t>
            </w:r>
          </w:p>
        </w:tc>
        <w:tc>
          <w:tcPr>
            <w:shd w:val="clear" w:fill="BDBDBD"/>
            <w:tcW w:w="1358" w:type="dxa"/>
            <w:vAlign w:val="top"/>
          </w:tcPr>
          <w:p>
            <w:pPr>
              <w:pStyle w:val="TableText"/>
              <w:ind w:left="260"/>
              <w:spacing w:before="26" w:line="204" w:lineRule="auto"/>
              <w:rPr>
                <w:sz w:val="21"/>
                <w:szCs w:val="21"/>
              </w:rPr>
            </w:pPr>
            <w:r>
              <w:rPr>
                <w:sz w:val="21"/>
                <w:szCs w:val="21"/>
                <w:b/>
                <w:bCs/>
                <w:spacing w:val="1"/>
              </w:rPr>
              <w:t>检测时间</w:t>
            </w:r>
          </w:p>
        </w:tc>
        <w:tc>
          <w:tcPr>
            <w:shd w:val="clear" w:fill="BDBDBD"/>
            <w:tcW w:w="734" w:type="dxa"/>
            <w:vAlign w:val="top"/>
          </w:tcPr>
          <w:p>
            <w:pPr>
              <w:pStyle w:val="TableText"/>
              <w:ind w:left="153"/>
              <w:spacing w:before="28" w:line="203" w:lineRule="auto"/>
              <w:rPr>
                <w:sz w:val="21"/>
                <w:szCs w:val="21"/>
              </w:rPr>
            </w:pPr>
            <w:r>
              <w:rPr>
                <w:sz w:val="21"/>
                <w:szCs w:val="21"/>
                <w:b/>
                <w:bCs/>
                <w:spacing w:val="-6"/>
              </w:rPr>
              <w:t>结果</w:t>
            </w:r>
          </w:p>
        </w:tc>
      </w:tr>
      <w:tr>
        <w:trPr>
          <w:trHeight w:val="279" w:hRule="atLeast"/>
        </w:trPr>
        <w:tc>
          <w:tcPr>
            <w:tcW w:w="1034" w:type="dxa"/>
            <w:vAlign w:val="top"/>
            <w:vMerge w:val="restart"/>
            <w:tcBorders>
              <w:bottom w:val="nil"/>
            </w:tcBorders>
          </w:tcPr>
          <w:p>
            <w:pPr>
              <w:spacing w:line="411" w:lineRule="auto"/>
              <w:rPr>
                <w:rFonts w:ascii="Arial"/>
                <w:sz w:val="21"/>
              </w:rPr>
            </w:pPr>
            <w:r/>
          </w:p>
          <w:p>
            <w:pPr>
              <w:pStyle w:val="TableText"/>
              <w:spacing w:before="68" w:line="239" w:lineRule="auto"/>
              <w:jc w:val="right"/>
              <w:rPr>
                <w:sz w:val="21"/>
                <w:szCs w:val="21"/>
              </w:rPr>
            </w:pPr>
            <w:r>
              <w:rPr>
                <w:sz w:val="21"/>
                <w:szCs w:val="21"/>
                <w:spacing w:val="-5"/>
              </w:rPr>
              <w:t>2024.10.30</w:t>
            </w:r>
          </w:p>
        </w:tc>
        <w:tc>
          <w:tcPr>
            <w:tcW w:w="3376" w:type="dxa"/>
            <w:vAlign w:val="top"/>
          </w:tcPr>
          <w:p>
            <w:pPr>
              <w:pStyle w:val="TableText"/>
              <w:ind w:left="1050"/>
              <w:spacing w:before="41" w:line="200" w:lineRule="auto"/>
              <w:rPr>
                <w:sz w:val="21"/>
                <w:szCs w:val="21"/>
              </w:rPr>
            </w:pPr>
            <w:r>
              <w:rPr>
                <w:sz w:val="21"/>
                <w:szCs w:val="21"/>
                <w:spacing w:val="2"/>
              </w:rPr>
              <w:t>1#厂界西南侧</w:t>
            </w:r>
          </w:p>
        </w:tc>
        <w:tc>
          <w:tcPr>
            <w:tcW w:w="1298" w:type="dxa"/>
            <w:vAlign w:val="top"/>
          </w:tcPr>
          <w:p>
            <w:pPr>
              <w:pStyle w:val="TableText"/>
              <w:ind w:left="64"/>
              <w:spacing w:before="63" w:line="181" w:lineRule="auto"/>
              <w:rPr>
                <w:sz w:val="21"/>
                <w:szCs w:val="21"/>
              </w:rPr>
            </w:pPr>
            <w:r>
              <w:rPr>
                <w:sz w:val="21"/>
                <w:szCs w:val="21"/>
                <w:spacing w:val="-3"/>
              </w:rPr>
              <w:t>11:45-11:55</w:t>
            </w:r>
          </w:p>
        </w:tc>
        <w:tc>
          <w:tcPr>
            <w:tcW w:w="689" w:type="dxa"/>
            <w:vAlign w:val="top"/>
          </w:tcPr>
          <w:p>
            <w:pPr>
              <w:pStyle w:val="TableText"/>
              <w:ind w:left="236"/>
              <w:spacing w:before="63" w:line="181" w:lineRule="auto"/>
              <w:rPr>
                <w:sz w:val="21"/>
                <w:szCs w:val="21"/>
              </w:rPr>
            </w:pPr>
            <w:r>
              <w:rPr>
                <w:sz w:val="21"/>
                <w:szCs w:val="21"/>
                <w:spacing w:val="-4"/>
              </w:rPr>
              <w:t>56</w:t>
            </w:r>
          </w:p>
        </w:tc>
        <w:tc>
          <w:tcPr>
            <w:tcW w:w="1358" w:type="dxa"/>
            <w:vAlign w:val="top"/>
          </w:tcPr>
          <w:p>
            <w:pPr>
              <w:pStyle w:val="TableText"/>
              <w:ind w:left="98"/>
              <w:spacing w:before="63" w:line="181" w:lineRule="auto"/>
              <w:rPr>
                <w:sz w:val="21"/>
                <w:szCs w:val="21"/>
              </w:rPr>
            </w:pPr>
            <w:r>
              <w:rPr>
                <w:sz w:val="21"/>
                <w:szCs w:val="21"/>
                <w:spacing w:val="-1"/>
              </w:rPr>
              <w:t>22:00-22:10</w:t>
            </w:r>
          </w:p>
        </w:tc>
        <w:tc>
          <w:tcPr>
            <w:tcW w:w="734" w:type="dxa"/>
            <w:vAlign w:val="top"/>
          </w:tcPr>
          <w:p>
            <w:pPr>
              <w:pStyle w:val="TableText"/>
              <w:ind w:left="259"/>
              <w:spacing w:before="63" w:line="181" w:lineRule="auto"/>
              <w:rPr>
                <w:sz w:val="21"/>
                <w:szCs w:val="21"/>
              </w:rPr>
            </w:pPr>
            <w:r>
              <w:rPr>
                <w:sz w:val="21"/>
                <w:szCs w:val="21"/>
                <w:spacing w:val="-2"/>
              </w:rPr>
              <w:t>49</w:t>
            </w:r>
          </w:p>
        </w:tc>
      </w:tr>
      <w:tr>
        <w:trPr>
          <w:trHeight w:val="259" w:hRule="atLeast"/>
        </w:trPr>
        <w:tc>
          <w:tcPr>
            <w:tcW w:w="1034" w:type="dxa"/>
            <w:vAlign w:val="top"/>
            <w:vMerge w:val="continue"/>
            <w:tcBorders>
              <w:top w:val="nil"/>
              <w:bottom w:val="nil"/>
            </w:tcBorders>
          </w:tcPr>
          <w:p>
            <w:pPr>
              <w:rPr>
                <w:rFonts w:ascii="Arial"/>
                <w:sz w:val="21"/>
              </w:rPr>
            </w:pPr>
            <w:r/>
          </w:p>
        </w:tc>
        <w:tc>
          <w:tcPr>
            <w:tcW w:w="3376" w:type="dxa"/>
            <w:vAlign w:val="top"/>
          </w:tcPr>
          <w:p>
            <w:pPr>
              <w:pStyle w:val="TableText"/>
              <w:ind w:left="1050"/>
              <w:spacing w:before="32" w:line="190" w:lineRule="auto"/>
              <w:rPr>
                <w:sz w:val="21"/>
                <w:szCs w:val="21"/>
              </w:rPr>
            </w:pPr>
            <w:r>
              <w:rPr>
                <w:sz w:val="21"/>
                <w:szCs w:val="21"/>
                <w:spacing w:val="2"/>
              </w:rPr>
              <w:t>2#厂界西北侧</w:t>
            </w:r>
          </w:p>
        </w:tc>
        <w:tc>
          <w:tcPr>
            <w:tcW w:w="1298" w:type="dxa"/>
            <w:vAlign w:val="top"/>
          </w:tcPr>
          <w:p>
            <w:pPr>
              <w:pStyle w:val="TableText"/>
              <w:ind w:left="64"/>
              <w:spacing w:before="53" w:line="172" w:lineRule="auto"/>
              <w:rPr>
                <w:sz w:val="21"/>
                <w:szCs w:val="21"/>
              </w:rPr>
            </w:pPr>
            <w:r>
              <w:rPr>
                <w:sz w:val="21"/>
                <w:szCs w:val="21"/>
                <w:spacing w:val="-3"/>
              </w:rPr>
              <w:t>12:00-12:10</w:t>
            </w:r>
          </w:p>
        </w:tc>
        <w:tc>
          <w:tcPr>
            <w:tcW w:w="689" w:type="dxa"/>
            <w:vAlign w:val="top"/>
          </w:tcPr>
          <w:p>
            <w:pPr>
              <w:pStyle w:val="TableText"/>
              <w:ind w:left="236"/>
              <w:spacing w:before="53" w:line="172" w:lineRule="auto"/>
              <w:rPr>
                <w:sz w:val="21"/>
                <w:szCs w:val="21"/>
              </w:rPr>
            </w:pPr>
            <w:r>
              <w:rPr>
                <w:sz w:val="21"/>
                <w:szCs w:val="21"/>
                <w:spacing w:val="-4"/>
              </w:rPr>
              <w:t>54</w:t>
            </w:r>
          </w:p>
        </w:tc>
        <w:tc>
          <w:tcPr>
            <w:tcW w:w="1358" w:type="dxa"/>
            <w:vAlign w:val="top"/>
          </w:tcPr>
          <w:p>
            <w:pPr>
              <w:pStyle w:val="TableText"/>
              <w:ind w:left="98"/>
              <w:spacing w:before="53" w:line="172" w:lineRule="auto"/>
              <w:rPr>
                <w:sz w:val="21"/>
                <w:szCs w:val="21"/>
              </w:rPr>
            </w:pPr>
            <w:r>
              <w:rPr>
                <w:sz w:val="21"/>
                <w:szCs w:val="21"/>
                <w:spacing w:val="-1"/>
              </w:rPr>
              <w:t>22:16-22:26</w:t>
            </w:r>
          </w:p>
        </w:tc>
        <w:tc>
          <w:tcPr>
            <w:tcW w:w="734" w:type="dxa"/>
            <w:vAlign w:val="top"/>
          </w:tcPr>
          <w:p>
            <w:pPr>
              <w:pStyle w:val="TableText"/>
              <w:ind w:left="259"/>
              <w:spacing w:before="53" w:line="172" w:lineRule="auto"/>
              <w:rPr>
                <w:sz w:val="21"/>
                <w:szCs w:val="21"/>
              </w:rPr>
            </w:pPr>
            <w:r>
              <w:rPr>
                <w:sz w:val="21"/>
                <w:szCs w:val="21"/>
                <w:spacing w:val="-2"/>
              </w:rPr>
              <w:t>48</w:t>
            </w:r>
          </w:p>
        </w:tc>
      </w:tr>
      <w:tr>
        <w:trPr>
          <w:trHeight w:val="289" w:hRule="atLeast"/>
        </w:trPr>
        <w:tc>
          <w:tcPr>
            <w:tcW w:w="1034" w:type="dxa"/>
            <w:vAlign w:val="top"/>
            <w:vMerge w:val="continue"/>
            <w:tcBorders>
              <w:top w:val="nil"/>
              <w:bottom w:val="nil"/>
            </w:tcBorders>
          </w:tcPr>
          <w:p>
            <w:pPr>
              <w:rPr>
                <w:rFonts w:ascii="Arial"/>
                <w:sz w:val="21"/>
              </w:rPr>
            </w:pPr>
            <w:r/>
          </w:p>
        </w:tc>
        <w:tc>
          <w:tcPr>
            <w:tcW w:w="3376" w:type="dxa"/>
            <w:vAlign w:val="top"/>
          </w:tcPr>
          <w:p>
            <w:pPr>
              <w:pStyle w:val="TableText"/>
              <w:ind w:left="1050"/>
              <w:spacing w:before="43" w:line="207" w:lineRule="auto"/>
              <w:rPr>
                <w:sz w:val="21"/>
                <w:szCs w:val="21"/>
              </w:rPr>
            </w:pPr>
            <w:r>
              <w:rPr>
                <w:sz w:val="21"/>
                <w:szCs w:val="21"/>
                <w:spacing w:val="2"/>
              </w:rPr>
              <w:t>3#厂界东北侧</w:t>
            </w:r>
          </w:p>
        </w:tc>
        <w:tc>
          <w:tcPr>
            <w:tcW w:w="1298" w:type="dxa"/>
            <w:vAlign w:val="top"/>
          </w:tcPr>
          <w:p>
            <w:pPr>
              <w:pStyle w:val="TableText"/>
              <w:ind w:left="64"/>
              <w:spacing w:before="65" w:line="188" w:lineRule="auto"/>
              <w:rPr>
                <w:sz w:val="21"/>
                <w:szCs w:val="21"/>
              </w:rPr>
            </w:pPr>
            <w:r>
              <w:rPr>
                <w:sz w:val="21"/>
                <w:szCs w:val="21"/>
                <w:spacing w:val="-3"/>
              </w:rPr>
              <w:t>12:55-13:05</w:t>
            </w:r>
          </w:p>
        </w:tc>
        <w:tc>
          <w:tcPr>
            <w:tcW w:w="689" w:type="dxa"/>
            <w:vAlign w:val="top"/>
          </w:tcPr>
          <w:p>
            <w:pPr>
              <w:pStyle w:val="TableText"/>
              <w:ind w:left="236"/>
              <w:spacing w:before="65" w:line="188" w:lineRule="auto"/>
              <w:rPr>
                <w:sz w:val="21"/>
                <w:szCs w:val="21"/>
              </w:rPr>
            </w:pPr>
            <w:r>
              <w:rPr>
                <w:sz w:val="21"/>
                <w:szCs w:val="21"/>
                <w:spacing w:val="-4"/>
              </w:rPr>
              <w:t>52</w:t>
            </w:r>
          </w:p>
        </w:tc>
        <w:tc>
          <w:tcPr>
            <w:tcW w:w="1358" w:type="dxa"/>
            <w:vAlign w:val="top"/>
          </w:tcPr>
          <w:p>
            <w:pPr>
              <w:pStyle w:val="TableText"/>
              <w:ind w:left="98"/>
              <w:spacing w:before="65" w:line="188" w:lineRule="auto"/>
              <w:rPr>
                <w:sz w:val="21"/>
                <w:szCs w:val="21"/>
              </w:rPr>
            </w:pPr>
            <w:r>
              <w:rPr>
                <w:sz w:val="21"/>
                <w:szCs w:val="21"/>
                <w:spacing w:val="-1"/>
              </w:rPr>
              <w:t>22:32-22:42</w:t>
            </w:r>
          </w:p>
        </w:tc>
        <w:tc>
          <w:tcPr>
            <w:tcW w:w="734" w:type="dxa"/>
            <w:vAlign w:val="top"/>
          </w:tcPr>
          <w:p>
            <w:pPr>
              <w:pStyle w:val="TableText"/>
              <w:ind w:left="259"/>
              <w:spacing w:before="65" w:line="188" w:lineRule="auto"/>
              <w:rPr>
                <w:sz w:val="21"/>
                <w:szCs w:val="21"/>
              </w:rPr>
            </w:pPr>
            <w:r>
              <w:rPr>
                <w:sz w:val="21"/>
                <w:szCs w:val="21"/>
                <w:spacing w:val="-2"/>
              </w:rPr>
              <w:t>47</w:t>
            </w:r>
          </w:p>
        </w:tc>
      </w:tr>
      <w:tr>
        <w:trPr>
          <w:trHeight w:val="259" w:hRule="atLeast"/>
        </w:trPr>
        <w:tc>
          <w:tcPr>
            <w:tcW w:w="1034" w:type="dxa"/>
            <w:vAlign w:val="top"/>
            <w:vMerge w:val="continue"/>
            <w:tcBorders>
              <w:top w:val="nil"/>
            </w:tcBorders>
          </w:tcPr>
          <w:p>
            <w:pPr>
              <w:rPr>
                <w:rFonts w:ascii="Arial"/>
                <w:sz w:val="21"/>
              </w:rPr>
            </w:pPr>
            <w:r/>
          </w:p>
        </w:tc>
        <w:tc>
          <w:tcPr>
            <w:tcW w:w="3376" w:type="dxa"/>
            <w:vAlign w:val="top"/>
          </w:tcPr>
          <w:p>
            <w:pPr>
              <w:pStyle w:val="TableText"/>
              <w:ind w:left="1050"/>
              <w:spacing w:before="34" w:line="189" w:lineRule="auto"/>
              <w:rPr>
                <w:sz w:val="21"/>
                <w:szCs w:val="21"/>
              </w:rPr>
            </w:pPr>
            <w:r>
              <w:rPr>
                <w:sz w:val="21"/>
                <w:szCs w:val="21"/>
                <w:spacing w:val="2"/>
              </w:rPr>
              <w:t>4#厂界东南侧</w:t>
            </w:r>
          </w:p>
        </w:tc>
        <w:tc>
          <w:tcPr>
            <w:tcW w:w="1298" w:type="dxa"/>
            <w:vAlign w:val="top"/>
          </w:tcPr>
          <w:p>
            <w:pPr>
              <w:pStyle w:val="TableText"/>
              <w:ind w:left="64"/>
              <w:spacing w:before="55" w:line="170" w:lineRule="auto"/>
              <w:rPr>
                <w:sz w:val="21"/>
                <w:szCs w:val="21"/>
              </w:rPr>
            </w:pPr>
            <w:r>
              <w:rPr>
                <w:sz w:val="21"/>
                <w:szCs w:val="21"/>
                <w:spacing w:val="-3"/>
              </w:rPr>
              <w:t>13:11-13:21</w:t>
            </w:r>
          </w:p>
        </w:tc>
        <w:tc>
          <w:tcPr>
            <w:tcW w:w="689" w:type="dxa"/>
            <w:vAlign w:val="top"/>
          </w:tcPr>
          <w:p>
            <w:pPr>
              <w:pStyle w:val="TableText"/>
              <w:ind w:left="236"/>
              <w:spacing w:before="55" w:line="170" w:lineRule="auto"/>
              <w:rPr>
                <w:sz w:val="21"/>
                <w:szCs w:val="21"/>
              </w:rPr>
            </w:pPr>
            <w:r>
              <w:rPr>
                <w:sz w:val="21"/>
                <w:szCs w:val="21"/>
                <w:spacing w:val="-4"/>
              </w:rPr>
              <w:t>52</w:t>
            </w:r>
          </w:p>
        </w:tc>
        <w:tc>
          <w:tcPr>
            <w:tcW w:w="1358" w:type="dxa"/>
            <w:vAlign w:val="top"/>
          </w:tcPr>
          <w:p>
            <w:pPr>
              <w:pStyle w:val="TableText"/>
              <w:ind w:left="98"/>
              <w:spacing w:before="55" w:line="170" w:lineRule="auto"/>
              <w:rPr>
                <w:sz w:val="21"/>
                <w:szCs w:val="21"/>
              </w:rPr>
            </w:pPr>
            <w:r>
              <w:rPr>
                <w:sz w:val="21"/>
                <w:szCs w:val="21"/>
                <w:spacing w:val="-1"/>
              </w:rPr>
              <w:t>22:49-22:59</w:t>
            </w:r>
          </w:p>
        </w:tc>
        <w:tc>
          <w:tcPr>
            <w:tcW w:w="734" w:type="dxa"/>
            <w:vAlign w:val="top"/>
          </w:tcPr>
          <w:p>
            <w:pPr>
              <w:pStyle w:val="TableText"/>
              <w:ind w:left="259"/>
              <w:spacing w:before="55" w:line="170" w:lineRule="auto"/>
              <w:rPr>
                <w:sz w:val="21"/>
                <w:szCs w:val="21"/>
              </w:rPr>
            </w:pPr>
            <w:r>
              <w:rPr>
                <w:sz w:val="21"/>
                <w:szCs w:val="21"/>
                <w:spacing w:val="-2"/>
              </w:rPr>
              <w:t>46</w:t>
            </w:r>
          </w:p>
        </w:tc>
      </w:tr>
      <w:tr>
        <w:trPr>
          <w:trHeight w:val="279" w:hRule="atLeast"/>
        </w:trPr>
        <w:tc>
          <w:tcPr>
            <w:tcW w:w="4410" w:type="dxa"/>
            <w:vAlign w:val="top"/>
            <w:gridSpan w:val="2"/>
          </w:tcPr>
          <w:p>
            <w:pPr>
              <w:pStyle w:val="TableText"/>
              <w:ind w:left="1774"/>
              <w:spacing w:before="44" w:line="197" w:lineRule="auto"/>
              <w:rPr>
                <w:sz w:val="21"/>
                <w:szCs w:val="21"/>
              </w:rPr>
            </w:pPr>
            <w:r>
              <w:rPr>
                <w:sz w:val="21"/>
                <w:szCs w:val="21"/>
                <w:spacing w:val="-2"/>
              </w:rPr>
              <w:t>标准限值</w:t>
            </w:r>
          </w:p>
        </w:tc>
        <w:tc>
          <w:tcPr>
            <w:tcW w:w="1987" w:type="dxa"/>
            <w:vAlign w:val="top"/>
            <w:gridSpan w:val="2"/>
          </w:tcPr>
          <w:p>
            <w:pPr>
              <w:pStyle w:val="TableText"/>
              <w:ind w:left="884"/>
              <w:spacing w:before="66" w:line="178" w:lineRule="auto"/>
              <w:rPr>
                <w:sz w:val="21"/>
                <w:szCs w:val="21"/>
              </w:rPr>
            </w:pPr>
            <w:r>
              <w:rPr>
                <w:sz w:val="21"/>
                <w:szCs w:val="21"/>
                <w:spacing w:val="-3"/>
              </w:rPr>
              <w:t>60</w:t>
            </w:r>
          </w:p>
        </w:tc>
        <w:tc>
          <w:tcPr>
            <w:tcW w:w="2092" w:type="dxa"/>
            <w:vAlign w:val="top"/>
            <w:gridSpan w:val="2"/>
          </w:tcPr>
          <w:p>
            <w:pPr>
              <w:pStyle w:val="TableText"/>
              <w:ind w:left="938"/>
              <w:spacing w:before="66" w:line="178" w:lineRule="auto"/>
              <w:rPr>
                <w:sz w:val="21"/>
                <w:szCs w:val="21"/>
              </w:rPr>
            </w:pPr>
            <w:r>
              <w:rPr>
                <w:sz w:val="21"/>
                <w:szCs w:val="21"/>
                <w:spacing w:val="-4"/>
              </w:rPr>
              <w:t>50</w:t>
            </w:r>
          </w:p>
        </w:tc>
      </w:tr>
      <w:tr>
        <w:trPr>
          <w:trHeight w:val="553" w:hRule="atLeast"/>
        </w:trPr>
        <w:tc>
          <w:tcPr>
            <w:tcW w:w="1034" w:type="dxa"/>
            <w:vAlign w:val="top"/>
          </w:tcPr>
          <w:p>
            <w:pPr>
              <w:pStyle w:val="TableText"/>
              <w:ind w:left="295"/>
              <w:spacing w:before="177" w:line="221" w:lineRule="auto"/>
              <w:rPr>
                <w:sz w:val="21"/>
                <w:szCs w:val="21"/>
              </w:rPr>
            </w:pPr>
            <w:r>
              <w:rPr>
                <w:sz w:val="21"/>
                <w:szCs w:val="21"/>
                <w:spacing w:val="4"/>
              </w:rPr>
              <w:t>结论</w:t>
            </w:r>
          </w:p>
        </w:tc>
        <w:tc>
          <w:tcPr>
            <w:tcW w:w="7455" w:type="dxa"/>
            <w:vAlign w:val="top"/>
            <w:gridSpan w:val="5"/>
          </w:tcPr>
          <w:p>
            <w:pPr>
              <w:pStyle w:val="TableText"/>
              <w:ind w:left="2140" w:right="1172" w:hanging="890"/>
              <w:spacing w:before="26" w:line="227" w:lineRule="auto"/>
              <w:rPr>
                <w:sz w:val="21"/>
                <w:szCs w:val="21"/>
              </w:rPr>
            </w:pPr>
            <w:r>
              <w:rPr>
                <w:sz w:val="21"/>
                <w:szCs w:val="21"/>
                <w:spacing w:val="-1"/>
              </w:rPr>
              <w:t>厂界检测结果符合《工业企业厂界环境噪声排放标准》</w:t>
            </w:r>
            <w:r>
              <w:rPr>
                <w:sz w:val="21"/>
                <w:szCs w:val="21"/>
                <w:spacing w:val="4"/>
              </w:rPr>
              <w:t xml:space="preserve"> </w:t>
            </w:r>
            <w:r>
              <w:rPr>
                <w:sz w:val="21"/>
                <w:szCs w:val="21"/>
              </w:rPr>
              <w:t>(GB12348-2008)表1中2类排放限值</w:t>
            </w:r>
          </w:p>
        </w:tc>
      </w:tr>
    </w:tbl>
    <w:p>
      <w:pPr>
        <w:ind w:left="704"/>
        <w:spacing w:before="55" w:line="220" w:lineRule="auto"/>
        <w:rPr>
          <w:rFonts w:ascii="SimSun" w:hAnsi="SimSun" w:eastAsia="SimSun" w:cs="SimSun"/>
          <w:sz w:val="24"/>
          <w:szCs w:val="24"/>
        </w:rPr>
      </w:pPr>
      <w:r>
        <w:rPr>
          <w:rFonts w:ascii="SimSun" w:hAnsi="SimSun" w:eastAsia="SimSun" w:cs="SimSun"/>
          <w:sz w:val="24"/>
          <w:szCs w:val="24"/>
        </w:rPr>
        <w:t>综上，现有工程厂区噪声实现达标排放，无相关环境遗留问</w:t>
      </w:r>
      <w:r>
        <w:rPr>
          <w:rFonts w:ascii="SimSun" w:hAnsi="SimSun" w:eastAsia="SimSun" w:cs="SimSun"/>
          <w:sz w:val="24"/>
          <w:szCs w:val="24"/>
          <w:spacing w:val="-1"/>
        </w:rPr>
        <w:t>题。</w:t>
      </w:r>
    </w:p>
    <w:p>
      <w:pPr>
        <w:ind w:left="98"/>
        <w:spacing w:before="238" w:line="221" w:lineRule="auto"/>
        <w:rPr>
          <w:rFonts w:ascii="SimHei" w:hAnsi="SimHei" w:eastAsia="SimHei" w:cs="SimHei"/>
          <w:sz w:val="27"/>
          <w:szCs w:val="27"/>
        </w:rPr>
      </w:pPr>
      <w:r>
        <w:rPr>
          <w:rFonts w:ascii="SimHei" w:hAnsi="SimHei" w:eastAsia="SimHei" w:cs="SimHei"/>
          <w:sz w:val="27"/>
          <w:szCs w:val="27"/>
          <w:b/>
          <w:bCs/>
          <w:spacing w:val="-4"/>
        </w:rPr>
        <w:t>2.4.4固废污染源排放及治理措施</w:t>
      </w:r>
    </w:p>
    <w:p>
      <w:pPr>
        <w:ind w:left="94" w:right="83" w:firstLine="470"/>
        <w:spacing w:before="226" w:line="370" w:lineRule="auto"/>
        <w:jc w:val="both"/>
        <w:rPr>
          <w:rFonts w:ascii="SimSun" w:hAnsi="SimSun" w:eastAsia="SimSun" w:cs="SimSun"/>
          <w:sz w:val="23"/>
          <w:szCs w:val="23"/>
        </w:rPr>
      </w:pPr>
      <w:r>
        <w:rPr>
          <w:rFonts w:ascii="SimSun" w:hAnsi="SimSun" w:eastAsia="SimSun" w:cs="SimSun"/>
          <w:sz w:val="23"/>
          <w:szCs w:val="23"/>
          <w:spacing w:val="15"/>
        </w:rPr>
        <w:t>现有工程运营期固废主要为生活垃圾、污水处理站污泥以及猪粪、肠胃内</w:t>
      </w:r>
      <w:r>
        <w:rPr>
          <w:rFonts w:ascii="SimSun" w:hAnsi="SimSun" w:eastAsia="SimSun" w:cs="SimSun"/>
          <w:sz w:val="23"/>
          <w:szCs w:val="23"/>
          <w:spacing w:val="10"/>
        </w:rPr>
        <w:t xml:space="preserve"> </w:t>
      </w:r>
      <w:r>
        <w:rPr>
          <w:rFonts w:ascii="SimSun" w:hAnsi="SimSun" w:eastAsia="SimSun" w:cs="SimSun"/>
          <w:sz w:val="23"/>
          <w:szCs w:val="23"/>
          <w:spacing w:val="14"/>
        </w:rPr>
        <w:t>容物、猪血、猪毛等。采取及时清理，确保日产日清，猪粪收集后由绵阳市恒</w:t>
      </w:r>
      <w:r>
        <w:rPr>
          <w:rFonts w:ascii="SimSun" w:hAnsi="SimSun" w:eastAsia="SimSun" w:cs="SimSun"/>
          <w:sz w:val="23"/>
          <w:szCs w:val="23"/>
          <w:spacing w:val="3"/>
        </w:rPr>
        <w:t xml:space="preserve"> </w:t>
      </w:r>
      <w:r>
        <w:rPr>
          <w:rFonts w:ascii="SimSun" w:hAnsi="SimSun" w:eastAsia="SimSun" w:cs="SimSun"/>
          <w:sz w:val="23"/>
          <w:szCs w:val="23"/>
          <w:spacing w:val="14"/>
        </w:rPr>
        <w:t>泰芊隆农业科技有限公司每日定时定点清运；胃肠容物外售绵阳市恒泰芊隆农</w:t>
      </w:r>
      <w:r>
        <w:rPr>
          <w:rFonts w:ascii="SimSun" w:hAnsi="SimSun" w:eastAsia="SimSun" w:cs="SimSun"/>
          <w:sz w:val="23"/>
          <w:szCs w:val="23"/>
          <w:spacing w:val="6"/>
        </w:rPr>
        <w:t xml:space="preserve"> </w:t>
      </w:r>
      <w:r>
        <w:rPr>
          <w:rFonts w:ascii="SimSun" w:hAnsi="SimSun" w:eastAsia="SimSun" w:cs="SimSun"/>
          <w:sz w:val="23"/>
          <w:szCs w:val="23"/>
          <w:spacing w:val="14"/>
        </w:rPr>
        <w:t>业科技有限公司制作有机肥料；猪血、猪毛集中收集，作为副产品出售；猪蹄</w:t>
      </w:r>
      <w:r>
        <w:rPr>
          <w:rFonts w:ascii="SimSun" w:hAnsi="SimSun" w:eastAsia="SimSun" w:cs="SimSun"/>
          <w:sz w:val="23"/>
          <w:szCs w:val="23"/>
          <w:spacing w:val="5"/>
        </w:rPr>
        <w:t xml:space="preserve"> </w:t>
      </w:r>
      <w:r>
        <w:rPr>
          <w:rFonts w:ascii="SimSun" w:hAnsi="SimSun" w:eastAsia="SimSun" w:cs="SimSun"/>
          <w:sz w:val="23"/>
          <w:szCs w:val="23"/>
          <w:spacing w:val="14"/>
        </w:rPr>
        <w:t>壳袋装收集外售绵阳市恒泰芊隆农业科技有限公司综合利用；生活垃圾袋装收</w:t>
      </w:r>
      <w:r>
        <w:rPr>
          <w:rFonts w:ascii="SimSun" w:hAnsi="SimSun" w:eastAsia="SimSun" w:cs="SimSun"/>
          <w:sz w:val="23"/>
          <w:szCs w:val="23"/>
          <w:spacing w:val="2"/>
        </w:rPr>
        <w:t xml:space="preserve"> </w:t>
      </w:r>
      <w:r>
        <w:rPr>
          <w:rFonts w:ascii="SimSun" w:hAnsi="SimSun" w:eastAsia="SimSun" w:cs="SimSun"/>
          <w:sz w:val="23"/>
          <w:szCs w:val="23"/>
          <w:spacing w:val="14"/>
        </w:rPr>
        <w:t>集后由环卫部门送至当地垃圾填埋场；污水处理设施污泥外售绵阳市恒泰苹隆</w:t>
      </w:r>
      <w:r>
        <w:rPr>
          <w:rFonts w:ascii="SimSun" w:hAnsi="SimSun" w:eastAsia="SimSun" w:cs="SimSun"/>
          <w:sz w:val="23"/>
          <w:szCs w:val="23"/>
          <w:spacing w:val="5"/>
        </w:rPr>
        <w:t xml:space="preserve"> </w:t>
      </w:r>
      <w:r>
        <w:rPr>
          <w:rFonts w:ascii="SimSun" w:hAnsi="SimSun" w:eastAsia="SimSun" w:cs="SimSun"/>
          <w:sz w:val="23"/>
          <w:szCs w:val="23"/>
          <w:spacing w:val="14"/>
        </w:rPr>
        <w:t>农业科技有限公司制作有机肥料；疫病猪、病胴体、病内脏交三台县盛德祥生</w:t>
      </w:r>
      <w:r>
        <w:rPr>
          <w:rFonts w:ascii="SimSun" w:hAnsi="SimSun" w:eastAsia="SimSun" w:cs="SimSun"/>
          <w:sz w:val="23"/>
          <w:szCs w:val="23"/>
          <w:spacing w:val="3"/>
        </w:rPr>
        <w:t xml:space="preserve"> </w:t>
      </w:r>
      <w:r>
        <w:rPr>
          <w:rFonts w:ascii="SimSun" w:hAnsi="SimSun" w:eastAsia="SimSun" w:cs="SimSun"/>
          <w:sz w:val="23"/>
          <w:szCs w:val="23"/>
          <w:spacing w:val="8"/>
        </w:rPr>
        <w:t>物科技有限公司进行无害化处置。</w:t>
      </w:r>
    </w:p>
    <w:p>
      <w:pPr>
        <w:ind w:left="2358"/>
        <w:spacing w:before="4" w:line="220" w:lineRule="auto"/>
        <w:rPr>
          <w:rFonts w:ascii="SimSun" w:hAnsi="SimSun" w:eastAsia="SimSun" w:cs="SimSun"/>
          <w:sz w:val="24"/>
          <w:szCs w:val="24"/>
        </w:rPr>
      </w:pPr>
      <w:r>
        <w:rPr>
          <w:rFonts w:ascii="SimSun" w:hAnsi="SimSun" w:eastAsia="SimSun" w:cs="SimSun"/>
          <w:sz w:val="24"/>
          <w:szCs w:val="24"/>
          <w:b/>
          <w:bCs/>
          <w:spacing w:val="-3"/>
        </w:rPr>
        <w:t>表2.4-5现有工程固废排放情况一览表</w:t>
      </w:r>
    </w:p>
    <w:p>
      <w:pPr>
        <w:spacing w:line="27" w:lineRule="auto"/>
        <w:rPr>
          <w:rFonts w:ascii="Arial"/>
          <w:sz w:val="2"/>
        </w:rPr>
      </w:pPr>
      <w:r>
        <w:rPr>
          <w:rFonts w:ascii="Arial"/>
          <w:sz w:val="2"/>
        </w:rPr>
      </w:r>
    </w:p>
    <w:tbl>
      <w:tblPr>
        <w:tblStyle w:val="TableNormal"/>
        <w:tblW w:w="8400" w:type="dxa"/>
        <w:tblInd w:w="5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85"/>
        <w:gridCol w:w="1408"/>
        <w:gridCol w:w="1029"/>
        <w:gridCol w:w="509"/>
        <w:gridCol w:w="739"/>
        <w:gridCol w:w="4230"/>
      </w:tblGrid>
      <w:tr>
        <w:trPr>
          <w:trHeight w:val="294" w:hRule="atLeast"/>
        </w:trPr>
        <w:tc>
          <w:tcPr>
            <w:shd w:val="clear" w:fill="BDBDBD"/>
            <w:tcW w:w="485" w:type="dxa"/>
            <w:vAlign w:val="top"/>
          </w:tcPr>
          <w:p>
            <w:pPr>
              <w:pStyle w:val="TableText"/>
              <w:ind w:left="27"/>
              <w:spacing w:before="41" w:line="213" w:lineRule="auto"/>
              <w:rPr>
                <w:sz w:val="21"/>
                <w:szCs w:val="21"/>
              </w:rPr>
            </w:pPr>
            <w:r>
              <w:rPr>
                <w:sz w:val="21"/>
                <w:szCs w:val="21"/>
                <w:b/>
                <w:bCs/>
                <w:spacing w:val="-5"/>
              </w:rPr>
              <w:t>序号</w:t>
            </w:r>
          </w:p>
        </w:tc>
        <w:tc>
          <w:tcPr>
            <w:shd w:val="clear" w:fill="BDBDBD"/>
            <w:tcW w:w="1408" w:type="dxa"/>
            <w:vAlign w:val="top"/>
          </w:tcPr>
          <w:p>
            <w:pPr>
              <w:pStyle w:val="TableText"/>
              <w:ind w:left="482"/>
              <w:spacing w:before="40" w:line="214" w:lineRule="auto"/>
              <w:rPr>
                <w:sz w:val="21"/>
                <w:szCs w:val="21"/>
              </w:rPr>
            </w:pPr>
            <w:r>
              <w:rPr>
                <w:sz w:val="21"/>
                <w:szCs w:val="21"/>
                <w:b/>
                <w:bCs/>
                <w:spacing w:val="-5"/>
              </w:rPr>
              <w:t>种类</w:t>
            </w:r>
          </w:p>
        </w:tc>
        <w:tc>
          <w:tcPr>
            <w:shd w:val="clear" w:fill="BDBDBD"/>
            <w:tcW w:w="1029" w:type="dxa"/>
            <w:vAlign w:val="top"/>
          </w:tcPr>
          <w:p>
            <w:pPr>
              <w:pStyle w:val="TableText"/>
              <w:ind w:left="84"/>
              <w:spacing w:before="40" w:line="214" w:lineRule="auto"/>
              <w:rPr>
                <w:sz w:val="21"/>
                <w:szCs w:val="21"/>
              </w:rPr>
            </w:pPr>
            <w:r>
              <w:rPr>
                <w:sz w:val="21"/>
                <w:szCs w:val="21"/>
                <w:b/>
                <w:bCs/>
                <w:spacing w:val="-4"/>
              </w:rPr>
              <w:t>产生位置</w:t>
            </w:r>
          </w:p>
        </w:tc>
        <w:tc>
          <w:tcPr>
            <w:shd w:val="clear" w:fill="BDBDBD"/>
            <w:tcW w:w="509" w:type="dxa"/>
            <w:vAlign w:val="top"/>
          </w:tcPr>
          <w:p>
            <w:pPr>
              <w:pStyle w:val="TableText"/>
              <w:ind w:left="35"/>
              <w:spacing w:before="40" w:line="214" w:lineRule="auto"/>
              <w:rPr>
                <w:sz w:val="21"/>
                <w:szCs w:val="21"/>
              </w:rPr>
            </w:pPr>
            <w:r>
              <w:rPr>
                <w:sz w:val="21"/>
                <w:szCs w:val="21"/>
                <w:b/>
                <w:bCs/>
                <w:spacing w:val="-5"/>
              </w:rPr>
              <w:t>单位</w:t>
            </w:r>
          </w:p>
        </w:tc>
        <w:tc>
          <w:tcPr>
            <w:shd w:val="clear" w:fill="BDBDBD"/>
            <w:tcW w:w="739" w:type="dxa"/>
            <w:vAlign w:val="top"/>
          </w:tcPr>
          <w:p>
            <w:pPr>
              <w:pStyle w:val="TableText"/>
              <w:ind w:left="46"/>
              <w:spacing w:before="40" w:line="214" w:lineRule="auto"/>
              <w:rPr>
                <w:sz w:val="21"/>
                <w:szCs w:val="21"/>
              </w:rPr>
            </w:pPr>
            <w:r>
              <w:rPr>
                <w:sz w:val="21"/>
                <w:szCs w:val="21"/>
                <w:b/>
                <w:bCs/>
                <w:spacing w:val="-5"/>
              </w:rPr>
              <w:t>产生量</w:t>
            </w:r>
          </w:p>
        </w:tc>
        <w:tc>
          <w:tcPr>
            <w:shd w:val="clear" w:fill="BDBDBD"/>
            <w:tcW w:w="4230" w:type="dxa"/>
            <w:vAlign w:val="top"/>
          </w:tcPr>
          <w:p>
            <w:pPr>
              <w:pStyle w:val="TableText"/>
              <w:ind w:left="1687"/>
              <w:spacing w:before="40" w:line="214" w:lineRule="auto"/>
              <w:rPr>
                <w:sz w:val="21"/>
                <w:szCs w:val="21"/>
              </w:rPr>
            </w:pPr>
            <w:r>
              <w:rPr>
                <w:sz w:val="21"/>
                <w:szCs w:val="21"/>
                <w:b/>
                <w:bCs/>
                <w:spacing w:val="-5"/>
              </w:rPr>
              <w:t>处置措施</w:t>
            </w:r>
          </w:p>
        </w:tc>
      </w:tr>
      <w:tr>
        <w:trPr>
          <w:trHeight w:val="529" w:hRule="atLeast"/>
        </w:trPr>
        <w:tc>
          <w:tcPr>
            <w:tcW w:w="485" w:type="dxa"/>
            <w:vAlign w:val="top"/>
            <w:textDirection w:val="tbRlV"/>
          </w:tcPr>
          <w:p>
            <w:pPr>
              <w:pStyle w:val="TableText"/>
              <w:ind w:left="114"/>
              <w:spacing w:before="213" w:line="126" w:lineRule="exact"/>
              <w:rPr>
                <w:sz w:val="21"/>
                <w:szCs w:val="21"/>
              </w:rPr>
            </w:pPr>
            <w:r>
              <w:rPr>
                <w:sz w:val="21"/>
                <w:szCs w:val="21"/>
                <w:color w:val="606050"/>
                <w:spacing w:val="50"/>
                <w:w w:val="125"/>
                <w:position w:val="-3"/>
              </w:rPr>
              <w:t>1</w:t>
            </w:r>
          </w:p>
        </w:tc>
        <w:tc>
          <w:tcPr>
            <w:tcW w:w="1408" w:type="dxa"/>
            <w:vAlign w:val="top"/>
          </w:tcPr>
          <w:p>
            <w:pPr>
              <w:pStyle w:val="TableText"/>
              <w:ind w:left="479"/>
              <w:spacing w:before="159" w:line="219" w:lineRule="auto"/>
              <w:rPr>
                <w:sz w:val="21"/>
                <w:szCs w:val="21"/>
              </w:rPr>
            </w:pPr>
            <w:r>
              <w:rPr>
                <w:sz w:val="21"/>
                <w:szCs w:val="21"/>
                <w:spacing w:val="-3"/>
              </w:rPr>
              <w:t>猪粪</w:t>
            </w:r>
          </w:p>
        </w:tc>
        <w:tc>
          <w:tcPr>
            <w:tcW w:w="1029" w:type="dxa"/>
            <w:vAlign w:val="top"/>
          </w:tcPr>
          <w:p>
            <w:pPr>
              <w:pStyle w:val="TableText"/>
              <w:ind w:left="191"/>
              <w:spacing w:before="159" w:line="219" w:lineRule="auto"/>
              <w:rPr>
                <w:sz w:val="21"/>
                <w:szCs w:val="21"/>
              </w:rPr>
            </w:pPr>
            <w:r>
              <w:rPr>
                <w:sz w:val="21"/>
                <w:szCs w:val="21"/>
                <w:spacing w:val="6"/>
              </w:rPr>
              <w:t>待宰间</w:t>
            </w:r>
          </w:p>
        </w:tc>
        <w:tc>
          <w:tcPr>
            <w:tcW w:w="509" w:type="dxa"/>
            <w:vAlign w:val="top"/>
          </w:tcPr>
          <w:p>
            <w:pPr>
              <w:pStyle w:val="TableText"/>
              <w:ind w:left="82"/>
              <w:spacing w:before="165" w:line="224" w:lineRule="auto"/>
              <w:rPr>
                <w:sz w:val="21"/>
                <w:szCs w:val="21"/>
              </w:rPr>
            </w:pPr>
            <w:r>
              <w:rPr>
                <w:sz w:val="21"/>
                <w:szCs w:val="21"/>
                <w:spacing w:val="-3"/>
              </w:rPr>
              <w:t>t/a</w:t>
            </w:r>
          </w:p>
        </w:tc>
        <w:tc>
          <w:tcPr>
            <w:tcW w:w="739" w:type="dxa"/>
            <w:vAlign w:val="top"/>
          </w:tcPr>
          <w:p>
            <w:pPr>
              <w:pStyle w:val="TableText"/>
              <w:ind w:left="253"/>
              <w:spacing w:before="180"/>
              <w:rPr>
                <w:sz w:val="21"/>
                <w:szCs w:val="21"/>
              </w:rPr>
            </w:pPr>
            <w:r>
              <w:rPr>
                <w:sz w:val="21"/>
                <w:szCs w:val="21"/>
                <w:spacing w:val="-3"/>
              </w:rPr>
              <w:t>90</w:t>
            </w:r>
          </w:p>
        </w:tc>
        <w:tc>
          <w:tcPr>
            <w:tcW w:w="4230" w:type="dxa"/>
            <w:vAlign w:val="top"/>
          </w:tcPr>
          <w:p>
            <w:pPr>
              <w:pStyle w:val="TableText"/>
              <w:ind w:left="1374" w:right="5" w:hanging="1370"/>
              <w:spacing w:before="38" w:line="211" w:lineRule="auto"/>
              <w:rPr>
                <w:sz w:val="21"/>
                <w:szCs w:val="21"/>
              </w:rPr>
            </w:pPr>
            <w:r>
              <w:rPr>
                <w:sz w:val="21"/>
                <w:szCs w:val="21"/>
              </w:rPr>
              <w:t>收集后由绵阳市恒泰芊隆农业科技有限公司每</w:t>
            </w:r>
            <w:r>
              <w:rPr>
                <w:sz w:val="21"/>
                <w:szCs w:val="21"/>
                <w:spacing w:val="8"/>
              </w:rPr>
              <w:t xml:space="preserve"> </w:t>
            </w:r>
            <w:r>
              <w:rPr>
                <w:sz w:val="21"/>
                <w:szCs w:val="21"/>
                <w:spacing w:val="1"/>
              </w:rPr>
              <w:t>日定时定点清运</w:t>
            </w:r>
          </w:p>
        </w:tc>
      </w:tr>
      <w:tr>
        <w:trPr>
          <w:trHeight w:val="548" w:hRule="atLeast"/>
        </w:trPr>
        <w:tc>
          <w:tcPr>
            <w:tcW w:w="485" w:type="dxa"/>
            <w:vAlign w:val="top"/>
          </w:tcPr>
          <w:p>
            <w:pPr>
              <w:pStyle w:val="TableText"/>
              <w:ind w:left="174"/>
              <w:spacing w:before="191" w:line="241" w:lineRule="auto"/>
              <w:rPr>
                <w:sz w:val="21"/>
                <w:szCs w:val="21"/>
              </w:rPr>
            </w:pPr>
            <w:r>
              <w:rPr>
                <w:sz w:val="21"/>
                <w:szCs w:val="21"/>
              </w:rPr>
              <w:t>2</w:t>
            </w:r>
          </w:p>
        </w:tc>
        <w:tc>
          <w:tcPr>
            <w:tcW w:w="1408" w:type="dxa"/>
            <w:vAlign w:val="top"/>
          </w:tcPr>
          <w:p>
            <w:pPr>
              <w:pStyle w:val="TableText"/>
              <w:ind w:left="60"/>
              <w:spacing w:before="169" w:line="219" w:lineRule="auto"/>
              <w:rPr>
                <w:sz w:val="21"/>
                <w:szCs w:val="21"/>
              </w:rPr>
            </w:pPr>
            <w:r>
              <w:rPr>
                <w:sz w:val="21"/>
                <w:szCs w:val="21"/>
                <w:spacing w:val="-2"/>
              </w:rPr>
              <w:t>猪胃内容物等</w:t>
            </w:r>
          </w:p>
        </w:tc>
        <w:tc>
          <w:tcPr>
            <w:tcW w:w="1029" w:type="dxa"/>
            <w:vAlign w:val="top"/>
          </w:tcPr>
          <w:p>
            <w:pPr>
              <w:pStyle w:val="TableText"/>
              <w:ind w:left="81"/>
              <w:spacing w:before="170" w:line="219" w:lineRule="auto"/>
              <w:rPr>
                <w:sz w:val="21"/>
                <w:szCs w:val="21"/>
              </w:rPr>
            </w:pPr>
            <w:r>
              <w:rPr>
                <w:sz w:val="21"/>
                <w:szCs w:val="21"/>
                <w:spacing w:val="5"/>
              </w:rPr>
              <w:t>屠宰车间</w:t>
            </w:r>
          </w:p>
        </w:tc>
        <w:tc>
          <w:tcPr>
            <w:tcW w:w="509" w:type="dxa"/>
            <w:vAlign w:val="top"/>
          </w:tcPr>
          <w:p>
            <w:pPr>
              <w:pStyle w:val="TableText"/>
              <w:ind w:left="82"/>
              <w:spacing w:before="176" w:line="224" w:lineRule="auto"/>
              <w:rPr>
                <w:sz w:val="21"/>
                <w:szCs w:val="21"/>
              </w:rPr>
            </w:pPr>
            <w:r>
              <w:rPr>
                <w:sz w:val="21"/>
                <w:szCs w:val="21"/>
                <w:spacing w:val="-3"/>
              </w:rPr>
              <w:t>t/a</w:t>
            </w:r>
          </w:p>
        </w:tc>
        <w:tc>
          <w:tcPr>
            <w:tcW w:w="739" w:type="dxa"/>
            <w:vAlign w:val="top"/>
          </w:tcPr>
          <w:p>
            <w:pPr>
              <w:pStyle w:val="TableText"/>
              <w:ind w:left="153"/>
              <w:spacing w:before="191" w:line="239" w:lineRule="auto"/>
              <w:rPr>
                <w:sz w:val="21"/>
                <w:szCs w:val="21"/>
              </w:rPr>
            </w:pPr>
            <w:r>
              <w:rPr>
                <w:sz w:val="21"/>
                <w:szCs w:val="21"/>
                <w:spacing w:val="-5"/>
              </w:rPr>
              <w:t>1.08</w:t>
            </w:r>
          </w:p>
        </w:tc>
        <w:tc>
          <w:tcPr>
            <w:tcW w:w="4230" w:type="dxa"/>
            <w:vAlign w:val="top"/>
          </w:tcPr>
          <w:p>
            <w:pPr>
              <w:pStyle w:val="TableText"/>
              <w:ind w:left="1794" w:right="4" w:hanging="1790"/>
              <w:spacing w:before="48" w:line="215" w:lineRule="auto"/>
              <w:rPr>
                <w:sz w:val="21"/>
                <w:szCs w:val="21"/>
              </w:rPr>
            </w:pPr>
            <w:r>
              <w:rPr>
                <w:sz w:val="21"/>
                <w:szCs w:val="21"/>
              </w:rPr>
              <w:t>外售绵阳市恒泰芊隆农业科技有限公司制作有</w:t>
            </w:r>
            <w:r>
              <w:rPr>
                <w:sz w:val="21"/>
                <w:szCs w:val="21"/>
                <w:spacing w:val="9"/>
              </w:rPr>
              <w:t xml:space="preserve"> </w:t>
            </w:r>
            <w:r>
              <w:rPr>
                <w:sz w:val="21"/>
                <w:szCs w:val="21"/>
                <w:spacing w:val="-2"/>
              </w:rPr>
              <w:t>机肥料</w:t>
            </w:r>
          </w:p>
        </w:tc>
      </w:tr>
      <w:tr>
        <w:trPr>
          <w:trHeight w:val="279" w:hRule="atLeast"/>
        </w:trPr>
        <w:tc>
          <w:tcPr>
            <w:tcW w:w="485" w:type="dxa"/>
            <w:vAlign w:val="top"/>
            <w:textDirection w:val="tbRlV"/>
          </w:tcPr>
          <w:p>
            <w:pPr>
              <w:pStyle w:val="TableText"/>
              <w:spacing w:before="205" w:line="144" w:lineRule="exact"/>
              <w:rPr>
                <w:sz w:val="21"/>
                <w:szCs w:val="21"/>
              </w:rPr>
            </w:pPr>
            <w:r>
              <w:rPr>
                <w:sz w:val="21"/>
                <w:szCs w:val="21"/>
                <w:spacing w:val="48"/>
                <w:w w:val="125"/>
                <w:position w:val="-3"/>
              </w:rPr>
              <w:t>3</w:t>
            </w:r>
          </w:p>
        </w:tc>
        <w:tc>
          <w:tcPr>
            <w:tcW w:w="1408" w:type="dxa"/>
            <w:vAlign w:val="top"/>
          </w:tcPr>
          <w:p>
            <w:pPr>
              <w:pStyle w:val="TableText"/>
              <w:ind w:left="169"/>
              <w:spacing w:before="43" w:line="198" w:lineRule="auto"/>
              <w:rPr>
                <w:sz w:val="21"/>
                <w:szCs w:val="21"/>
              </w:rPr>
            </w:pPr>
            <w:r>
              <w:rPr>
                <w:sz w:val="21"/>
                <w:szCs w:val="21"/>
                <w:spacing w:val="-2"/>
              </w:rPr>
              <w:t>猪血、猪毛</w:t>
            </w:r>
          </w:p>
        </w:tc>
        <w:tc>
          <w:tcPr>
            <w:tcW w:w="1029" w:type="dxa"/>
            <w:vAlign w:val="top"/>
          </w:tcPr>
          <w:p>
            <w:pPr>
              <w:pStyle w:val="TableText"/>
              <w:ind w:left="81"/>
              <w:spacing w:before="42" w:line="199" w:lineRule="auto"/>
              <w:rPr>
                <w:sz w:val="21"/>
                <w:szCs w:val="21"/>
              </w:rPr>
            </w:pPr>
            <w:r>
              <w:rPr>
                <w:sz w:val="21"/>
                <w:szCs w:val="21"/>
                <w:spacing w:val="5"/>
              </w:rPr>
              <w:t>屠宰车间</w:t>
            </w:r>
          </w:p>
        </w:tc>
        <w:tc>
          <w:tcPr>
            <w:tcW w:w="509" w:type="dxa"/>
            <w:vAlign w:val="top"/>
          </w:tcPr>
          <w:p>
            <w:pPr>
              <w:pStyle w:val="TableText"/>
              <w:ind w:left="82"/>
              <w:spacing w:before="48" w:line="194" w:lineRule="auto"/>
              <w:rPr>
                <w:sz w:val="21"/>
                <w:szCs w:val="21"/>
              </w:rPr>
            </w:pPr>
            <w:r>
              <w:rPr>
                <w:sz w:val="21"/>
                <w:szCs w:val="21"/>
                <w:spacing w:val="-3"/>
              </w:rPr>
              <w:t>t/a</w:t>
            </w:r>
          </w:p>
        </w:tc>
        <w:tc>
          <w:tcPr>
            <w:tcW w:w="739" w:type="dxa"/>
            <w:vAlign w:val="top"/>
          </w:tcPr>
          <w:p>
            <w:pPr>
              <w:pStyle w:val="TableText"/>
              <w:ind w:left="203"/>
              <w:spacing w:before="63" w:line="181" w:lineRule="auto"/>
              <w:rPr>
                <w:sz w:val="21"/>
                <w:szCs w:val="21"/>
              </w:rPr>
            </w:pPr>
            <w:r>
              <w:rPr>
                <w:sz w:val="21"/>
                <w:szCs w:val="21"/>
                <w:spacing w:val="-6"/>
              </w:rPr>
              <w:t>120</w:t>
            </w:r>
          </w:p>
        </w:tc>
        <w:tc>
          <w:tcPr>
            <w:tcW w:w="4230" w:type="dxa"/>
            <w:vAlign w:val="top"/>
          </w:tcPr>
          <w:p>
            <w:pPr>
              <w:pStyle w:val="TableText"/>
              <w:ind w:left="1374"/>
              <w:spacing w:before="42" w:line="199" w:lineRule="auto"/>
              <w:rPr>
                <w:sz w:val="21"/>
                <w:szCs w:val="21"/>
              </w:rPr>
            </w:pPr>
            <w:r>
              <w:rPr>
                <w:sz w:val="21"/>
                <w:szCs w:val="21"/>
                <w:spacing w:val="1"/>
              </w:rPr>
              <w:t>作为副产品出售</w:t>
            </w:r>
          </w:p>
        </w:tc>
      </w:tr>
      <w:tr>
        <w:trPr>
          <w:trHeight w:val="548" w:hRule="atLeast"/>
        </w:trPr>
        <w:tc>
          <w:tcPr>
            <w:tcW w:w="485" w:type="dxa"/>
            <w:vAlign w:val="top"/>
            <w:textDirection w:val="tbRlV"/>
          </w:tcPr>
          <w:p>
            <w:pPr>
              <w:pStyle w:val="TableText"/>
              <w:ind w:left="127"/>
              <w:spacing w:before="199" w:line="157" w:lineRule="exact"/>
              <w:rPr>
                <w:sz w:val="21"/>
                <w:szCs w:val="21"/>
              </w:rPr>
            </w:pPr>
            <w:r>
              <w:rPr>
                <w:sz w:val="21"/>
                <w:szCs w:val="21"/>
                <w:spacing w:val="50"/>
                <w:w w:val="125"/>
                <w:position w:val="-3"/>
              </w:rPr>
              <w:t>4</w:t>
            </w:r>
          </w:p>
        </w:tc>
        <w:tc>
          <w:tcPr>
            <w:tcW w:w="1408" w:type="dxa"/>
            <w:vAlign w:val="top"/>
          </w:tcPr>
          <w:p>
            <w:pPr>
              <w:pStyle w:val="TableText"/>
              <w:ind w:left="379"/>
              <w:spacing w:before="173" w:line="219" w:lineRule="auto"/>
              <w:rPr>
                <w:sz w:val="21"/>
                <w:szCs w:val="21"/>
              </w:rPr>
            </w:pPr>
            <w:r>
              <w:rPr>
                <w:sz w:val="21"/>
                <w:szCs w:val="21"/>
                <w:spacing w:val="-2"/>
              </w:rPr>
              <w:t>猪蹄壳</w:t>
            </w:r>
          </w:p>
        </w:tc>
        <w:tc>
          <w:tcPr>
            <w:tcW w:w="1029" w:type="dxa"/>
            <w:vAlign w:val="top"/>
          </w:tcPr>
          <w:p>
            <w:pPr>
              <w:pStyle w:val="TableText"/>
              <w:ind w:left="81"/>
              <w:spacing w:before="173" w:line="219" w:lineRule="auto"/>
              <w:rPr>
                <w:sz w:val="21"/>
                <w:szCs w:val="21"/>
              </w:rPr>
            </w:pPr>
            <w:r>
              <w:rPr>
                <w:sz w:val="21"/>
                <w:szCs w:val="21"/>
                <w:spacing w:val="5"/>
              </w:rPr>
              <w:t>屠宰车间</w:t>
            </w:r>
          </w:p>
        </w:tc>
        <w:tc>
          <w:tcPr>
            <w:tcW w:w="509" w:type="dxa"/>
            <w:vAlign w:val="top"/>
          </w:tcPr>
          <w:p>
            <w:pPr>
              <w:pStyle w:val="TableText"/>
              <w:ind w:left="82"/>
              <w:spacing w:before="179" w:line="224" w:lineRule="auto"/>
              <w:rPr>
                <w:sz w:val="21"/>
                <w:szCs w:val="21"/>
              </w:rPr>
            </w:pPr>
            <w:r>
              <w:rPr>
                <w:sz w:val="21"/>
                <w:szCs w:val="21"/>
                <w:spacing w:val="-3"/>
              </w:rPr>
              <w:t>t/a</w:t>
            </w:r>
          </w:p>
        </w:tc>
        <w:tc>
          <w:tcPr>
            <w:tcW w:w="739" w:type="dxa"/>
            <w:vAlign w:val="top"/>
          </w:tcPr>
          <w:p>
            <w:pPr>
              <w:pStyle w:val="TableText"/>
              <w:ind w:left="203"/>
              <w:spacing w:before="194" w:line="239" w:lineRule="auto"/>
              <w:rPr>
                <w:sz w:val="21"/>
                <w:szCs w:val="21"/>
              </w:rPr>
            </w:pPr>
            <w:r>
              <w:rPr>
                <w:sz w:val="21"/>
                <w:szCs w:val="21"/>
                <w:spacing w:val="-3"/>
              </w:rPr>
              <w:t>0.5</w:t>
            </w:r>
          </w:p>
        </w:tc>
        <w:tc>
          <w:tcPr>
            <w:tcW w:w="4230" w:type="dxa"/>
            <w:vAlign w:val="top"/>
          </w:tcPr>
          <w:p>
            <w:pPr>
              <w:pStyle w:val="TableText"/>
              <w:ind w:left="1794" w:right="5" w:hanging="1790"/>
              <w:spacing w:before="32" w:line="217" w:lineRule="auto"/>
              <w:rPr>
                <w:sz w:val="21"/>
                <w:szCs w:val="21"/>
              </w:rPr>
            </w:pPr>
            <w:r>
              <w:rPr>
                <w:sz w:val="21"/>
                <w:szCs w:val="21"/>
              </w:rPr>
              <w:t>收集外售绵阳市恒泰芊隆农业科技有限公司综</w:t>
            </w:r>
            <w:r>
              <w:rPr>
                <w:sz w:val="21"/>
                <w:szCs w:val="21"/>
                <w:spacing w:val="8"/>
              </w:rPr>
              <w:t xml:space="preserve"> </w:t>
            </w:r>
            <w:r>
              <w:rPr>
                <w:sz w:val="21"/>
                <w:szCs w:val="21"/>
                <w:spacing w:val="8"/>
              </w:rPr>
              <w:t>合利用</w:t>
            </w:r>
          </w:p>
        </w:tc>
      </w:tr>
      <w:tr>
        <w:trPr>
          <w:trHeight w:val="259" w:hRule="atLeast"/>
        </w:trPr>
        <w:tc>
          <w:tcPr>
            <w:tcW w:w="485" w:type="dxa"/>
            <w:vAlign w:val="top"/>
            <w:textDirection w:val="tbRlV"/>
          </w:tcPr>
          <w:p>
            <w:pPr>
              <w:pStyle w:val="TableText"/>
              <w:spacing w:before="205" w:line="144" w:lineRule="exact"/>
              <w:rPr>
                <w:sz w:val="21"/>
                <w:szCs w:val="21"/>
              </w:rPr>
            </w:pPr>
            <w:r>
              <w:rPr>
                <w:sz w:val="21"/>
                <w:szCs w:val="21"/>
                <w:spacing w:val="39"/>
                <w:w w:val="125"/>
                <w:position w:val="-3"/>
              </w:rPr>
              <w:t>5</w:t>
            </w:r>
          </w:p>
        </w:tc>
        <w:tc>
          <w:tcPr>
            <w:tcW w:w="1408" w:type="dxa"/>
            <w:vAlign w:val="top"/>
          </w:tcPr>
          <w:p>
            <w:pPr>
              <w:pStyle w:val="TableText"/>
              <w:ind w:left="60"/>
              <w:spacing w:before="35" w:line="188" w:lineRule="auto"/>
              <w:rPr>
                <w:sz w:val="21"/>
                <w:szCs w:val="21"/>
              </w:rPr>
            </w:pPr>
            <w:r>
              <w:rPr>
                <w:sz w:val="21"/>
                <w:szCs w:val="21"/>
                <w:spacing w:val="1"/>
              </w:rPr>
              <w:t>办公生活垃圾</w:t>
            </w:r>
          </w:p>
        </w:tc>
        <w:tc>
          <w:tcPr>
            <w:tcW w:w="1029" w:type="dxa"/>
            <w:vAlign w:val="top"/>
          </w:tcPr>
          <w:p>
            <w:pPr>
              <w:pStyle w:val="TableText"/>
              <w:ind w:left="191"/>
              <w:spacing w:before="35" w:line="188" w:lineRule="auto"/>
              <w:rPr>
                <w:sz w:val="21"/>
                <w:szCs w:val="21"/>
              </w:rPr>
            </w:pPr>
            <w:r>
              <w:rPr>
                <w:sz w:val="21"/>
                <w:szCs w:val="21"/>
                <w:spacing w:val="3"/>
              </w:rPr>
              <w:t>办公楼</w:t>
            </w:r>
          </w:p>
        </w:tc>
        <w:tc>
          <w:tcPr>
            <w:tcW w:w="509" w:type="dxa"/>
            <w:vAlign w:val="top"/>
          </w:tcPr>
          <w:p>
            <w:pPr>
              <w:pStyle w:val="TableText"/>
              <w:ind w:left="82"/>
              <w:spacing w:before="40" w:line="183" w:lineRule="auto"/>
              <w:rPr>
                <w:sz w:val="21"/>
                <w:szCs w:val="21"/>
              </w:rPr>
            </w:pPr>
            <w:r>
              <w:rPr>
                <w:sz w:val="21"/>
                <w:szCs w:val="21"/>
                <w:spacing w:val="-3"/>
              </w:rPr>
              <w:t>t/a</w:t>
            </w:r>
          </w:p>
        </w:tc>
        <w:tc>
          <w:tcPr>
            <w:tcW w:w="739" w:type="dxa"/>
            <w:vAlign w:val="top"/>
          </w:tcPr>
          <w:p>
            <w:pPr>
              <w:pStyle w:val="TableText"/>
              <w:ind w:left="303"/>
              <w:spacing w:before="56" w:line="169" w:lineRule="auto"/>
              <w:rPr>
                <w:sz w:val="21"/>
                <w:szCs w:val="21"/>
              </w:rPr>
            </w:pPr>
            <w:r>
              <w:rPr>
                <w:sz w:val="21"/>
                <w:szCs w:val="21"/>
              </w:rPr>
              <w:t>9</w:t>
            </w:r>
          </w:p>
        </w:tc>
        <w:tc>
          <w:tcPr>
            <w:tcW w:w="4230" w:type="dxa"/>
            <w:vAlign w:val="top"/>
          </w:tcPr>
          <w:p>
            <w:pPr>
              <w:pStyle w:val="TableText"/>
              <w:ind w:left="114"/>
              <w:spacing w:before="35" w:line="188" w:lineRule="auto"/>
              <w:rPr>
                <w:sz w:val="21"/>
                <w:szCs w:val="21"/>
              </w:rPr>
            </w:pPr>
            <w:r>
              <w:rPr>
                <w:sz w:val="21"/>
                <w:szCs w:val="21"/>
              </w:rPr>
              <w:t>集中收集后，由环卫部门送当地垃圾填埋场</w:t>
            </w:r>
          </w:p>
        </w:tc>
      </w:tr>
      <w:tr>
        <w:trPr>
          <w:trHeight w:val="549" w:hRule="atLeast"/>
        </w:trPr>
        <w:tc>
          <w:tcPr>
            <w:tcW w:w="485" w:type="dxa"/>
            <w:vAlign w:val="top"/>
          </w:tcPr>
          <w:p>
            <w:pPr>
              <w:pStyle w:val="TableText"/>
              <w:ind w:left="174"/>
              <w:spacing w:before="197"/>
              <w:rPr>
                <w:sz w:val="21"/>
                <w:szCs w:val="21"/>
              </w:rPr>
            </w:pPr>
            <w:r>
              <w:rPr>
                <w:sz w:val="21"/>
                <w:szCs w:val="21"/>
              </w:rPr>
              <w:t>6</w:t>
            </w:r>
          </w:p>
        </w:tc>
        <w:tc>
          <w:tcPr>
            <w:tcW w:w="1408" w:type="dxa"/>
            <w:vAlign w:val="top"/>
          </w:tcPr>
          <w:p>
            <w:pPr>
              <w:pStyle w:val="TableText"/>
              <w:ind w:left="479"/>
              <w:spacing w:before="179" w:line="221" w:lineRule="auto"/>
              <w:rPr>
                <w:sz w:val="21"/>
                <w:szCs w:val="21"/>
              </w:rPr>
            </w:pPr>
            <w:r>
              <w:rPr>
                <w:sz w:val="21"/>
                <w:szCs w:val="21"/>
                <w:spacing w:val="5"/>
              </w:rPr>
              <w:t>污泥</w:t>
            </w:r>
          </w:p>
        </w:tc>
        <w:tc>
          <w:tcPr>
            <w:tcW w:w="1029" w:type="dxa"/>
            <w:vAlign w:val="top"/>
          </w:tcPr>
          <w:p>
            <w:pPr>
              <w:pStyle w:val="TableText"/>
              <w:spacing w:before="176" w:line="219" w:lineRule="auto"/>
              <w:jc w:val="right"/>
              <w:rPr>
                <w:sz w:val="21"/>
                <w:szCs w:val="21"/>
              </w:rPr>
            </w:pPr>
            <w:r>
              <w:rPr>
                <w:sz w:val="21"/>
                <w:szCs w:val="21"/>
                <w:spacing w:val="-9"/>
              </w:rPr>
              <w:t>污水处理站</w:t>
            </w:r>
          </w:p>
        </w:tc>
        <w:tc>
          <w:tcPr>
            <w:tcW w:w="509" w:type="dxa"/>
            <w:vAlign w:val="top"/>
          </w:tcPr>
          <w:p>
            <w:pPr>
              <w:pStyle w:val="TableText"/>
              <w:ind w:left="82"/>
              <w:spacing w:before="182" w:line="224" w:lineRule="auto"/>
              <w:rPr>
                <w:sz w:val="21"/>
                <w:szCs w:val="21"/>
              </w:rPr>
            </w:pPr>
            <w:r>
              <w:rPr>
                <w:sz w:val="21"/>
                <w:szCs w:val="21"/>
                <w:spacing w:val="-3"/>
              </w:rPr>
              <w:t>t/a</w:t>
            </w:r>
          </w:p>
        </w:tc>
        <w:tc>
          <w:tcPr>
            <w:tcW w:w="739" w:type="dxa"/>
            <w:vAlign w:val="top"/>
          </w:tcPr>
          <w:p>
            <w:pPr>
              <w:pStyle w:val="TableText"/>
              <w:ind w:left="203"/>
              <w:spacing w:before="197" w:line="239" w:lineRule="auto"/>
              <w:rPr>
                <w:sz w:val="21"/>
                <w:szCs w:val="21"/>
              </w:rPr>
            </w:pPr>
            <w:r>
              <w:rPr>
                <w:sz w:val="21"/>
                <w:szCs w:val="21"/>
                <w:spacing w:val="-6"/>
              </w:rPr>
              <w:t>1.0</w:t>
            </w:r>
          </w:p>
        </w:tc>
        <w:tc>
          <w:tcPr>
            <w:tcW w:w="4230" w:type="dxa"/>
            <w:vAlign w:val="top"/>
          </w:tcPr>
          <w:p>
            <w:pPr>
              <w:pStyle w:val="TableText"/>
              <w:ind w:left="1794" w:right="4" w:hanging="1790"/>
              <w:spacing w:before="45" w:line="217" w:lineRule="auto"/>
              <w:rPr>
                <w:sz w:val="21"/>
                <w:szCs w:val="21"/>
              </w:rPr>
            </w:pPr>
            <w:r>
              <w:rPr>
                <w:sz w:val="21"/>
                <w:szCs w:val="21"/>
              </w:rPr>
              <w:t>外售绵阳市恒泰芊隆农业科技有限公司制作有</w:t>
            </w:r>
            <w:r>
              <w:rPr>
                <w:sz w:val="21"/>
                <w:szCs w:val="21"/>
                <w:spacing w:val="9"/>
              </w:rPr>
              <w:t xml:space="preserve"> </w:t>
            </w:r>
            <w:r>
              <w:rPr>
                <w:sz w:val="21"/>
                <w:szCs w:val="21"/>
                <w:spacing w:val="-2"/>
              </w:rPr>
              <w:t>机肥料</w:t>
            </w:r>
          </w:p>
        </w:tc>
      </w:tr>
      <w:tr>
        <w:trPr>
          <w:trHeight w:val="553" w:hRule="atLeast"/>
        </w:trPr>
        <w:tc>
          <w:tcPr>
            <w:tcW w:w="485" w:type="dxa"/>
            <w:vAlign w:val="top"/>
          </w:tcPr>
          <w:p>
            <w:pPr>
              <w:pStyle w:val="TableText"/>
              <w:ind w:left="174"/>
              <w:spacing w:before="198"/>
              <w:rPr>
                <w:sz w:val="21"/>
                <w:szCs w:val="21"/>
              </w:rPr>
            </w:pPr>
            <w:r>
              <w:rPr>
                <w:sz w:val="21"/>
                <w:szCs w:val="21"/>
              </w:rPr>
              <w:t>7</w:t>
            </w:r>
          </w:p>
        </w:tc>
        <w:tc>
          <w:tcPr>
            <w:tcW w:w="1408" w:type="dxa"/>
            <w:vAlign w:val="top"/>
          </w:tcPr>
          <w:p>
            <w:pPr>
              <w:pStyle w:val="TableText"/>
              <w:ind w:left="169" w:right="62" w:hanging="109"/>
              <w:spacing w:before="37" w:line="222" w:lineRule="auto"/>
              <w:rPr>
                <w:sz w:val="21"/>
                <w:szCs w:val="21"/>
              </w:rPr>
            </w:pPr>
            <w:r>
              <w:rPr>
                <w:sz w:val="21"/>
                <w:szCs w:val="21"/>
                <w:spacing w:val="2"/>
              </w:rPr>
              <w:t>疫病猪、病胴 </w:t>
            </w:r>
            <w:r>
              <w:rPr>
                <w:sz w:val="21"/>
                <w:szCs w:val="21"/>
                <w:spacing w:val="-2"/>
              </w:rPr>
              <w:t>体、病内脏</w:t>
            </w:r>
          </w:p>
        </w:tc>
        <w:tc>
          <w:tcPr>
            <w:tcW w:w="1029" w:type="dxa"/>
            <w:vAlign w:val="top"/>
          </w:tcPr>
          <w:p>
            <w:pPr>
              <w:pStyle w:val="TableText"/>
              <w:ind w:left="81"/>
              <w:spacing w:before="177" w:line="219" w:lineRule="auto"/>
              <w:rPr>
                <w:sz w:val="21"/>
                <w:szCs w:val="21"/>
              </w:rPr>
            </w:pPr>
            <w:r>
              <w:rPr>
                <w:sz w:val="21"/>
                <w:szCs w:val="21"/>
                <w:spacing w:val="5"/>
              </w:rPr>
              <w:t>屠宰车间</w:t>
            </w:r>
          </w:p>
        </w:tc>
        <w:tc>
          <w:tcPr>
            <w:tcW w:w="509" w:type="dxa"/>
            <w:vAlign w:val="top"/>
          </w:tcPr>
          <w:p>
            <w:pPr>
              <w:pStyle w:val="TableText"/>
              <w:ind w:left="82"/>
              <w:spacing w:before="183" w:line="224" w:lineRule="auto"/>
              <w:rPr>
                <w:sz w:val="21"/>
                <w:szCs w:val="21"/>
              </w:rPr>
            </w:pPr>
            <w:r>
              <w:rPr>
                <w:sz w:val="21"/>
                <w:szCs w:val="21"/>
                <w:spacing w:val="-3"/>
              </w:rPr>
              <w:t>t/a</w:t>
            </w:r>
          </w:p>
        </w:tc>
        <w:tc>
          <w:tcPr>
            <w:tcW w:w="739" w:type="dxa"/>
            <w:vAlign w:val="top"/>
          </w:tcPr>
          <w:p>
            <w:pPr>
              <w:pStyle w:val="TableText"/>
              <w:ind w:left="253"/>
              <w:spacing w:before="198"/>
              <w:rPr>
                <w:sz w:val="21"/>
                <w:szCs w:val="21"/>
              </w:rPr>
            </w:pPr>
            <w:r>
              <w:rPr>
                <w:sz w:val="21"/>
                <w:szCs w:val="21"/>
                <w:spacing w:val="-6"/>
              </w:rPr>
              <w:t>10</w:t>
            </w:r>
          </w:p>
        </w:tc>
        <w:tc>
          <w:tcPr>
            <w:tcW w:w="4230" w:type="dxa"/>
            <w:vAlign w:val="top"/>
          </w:tcPr>
          <w:p>
            <w:pPr>
              <w:pStyle w:val="TableText"/>
              <w:ind w:left="1893" w:right="5" w:hanging="1889"/>
              <w:spacing w:before="35" w:line="223" w:lineRule="auto"/>
              <w:rPr>
                <w:sz w:val="21"/>
                <w:szCs w:val="21"/>
              </w:rPr>
            </w:pPr>
            <w:r>
              <w:rPr>
                <w:sz w:val="21"/>
                <w:szCs w:val="21"/>
              </w:rPr>
              <w:t>交三台县盛德祥生物科技有限公司进行无害化</w:t>
            </w:r>
            <w:r>
              <w:rPr>
                <w:sz w:val="21"/>
                <w:szCs w:val="21"/>
                <w:spacing w:val="8"/>
              </w:rPr>
              <w:t xml:space="preserve"> </w:t>
            </w:r>
            <w:r>
              <w:rPr>
                <w:sz w:val="21"/>
                <w:szCs w:val="21"/>
                <w:spacing w:val="-4"/>
              </w:rPr>
              <w:t>处置</w:t>
            </w:r>
          </w:p>
        </w:tc>
      </w:tr>
    </w:tbl>
    <w:p>
      <w:pPr>
        <w:ind w:left="94" w:right="230" w:firstLine="480"/>
        <w:spacing w:before="53" w:line="363" w:lineRule="auto"/>
        <w:jc w:val="both"/>
        <w:rPr>
          <w:rFonts w:ascii="SimSun" w:hAnsi="SimSun" w:eastAsia="SimSun" w:cs="SimSun"/>
          <w:sz w:val="23"/>
          <w:szCs w:val="23"/>
        </w:rPr>
      </w:pPr>
      <w:r>
        <w:rPr>
          <w:rFonts w:ascii="SimSun" w:hAnsi="SimSun" w:eastAsia="SimSun" w:cs="SimSun"/>
          <w:sz w:val="24"/>
          <w:szCs w:val="24"/>
        </w:rPr>
        <w:t>现有工程运营期产生的固体废弃物均为一般固废，无危险废物产生，无需</w:t>
      </w:r>
      <w:r>
        <w:rPr>
          <w:rFonts w:ascii="SimSun" w:hAnsi="SimSun" w:eastAsia="SimSun" w:cs="SimSun"/>
          <w:sz w:val="24"/>
          <w:szCs w:val="24"/>
          <w:spacing w:val="13"/>
        </w:rPr>
        <w:t xml:space="preserve"> </w:t>
      </w:r>
      <w:r>
        <w:rPr>
          <w:rFonts w:ascii="SimSun" w:hAnsi="SimSun" w:eastAsia="SimSun" w:cs="SimSun"/>
          <w:sz w:val="23"/>
          <w:szCs w:val="23"/>
          <w:spacing w:val="9"/>
        </w:rPr>
        <w:t>设置危废暂存间，现有工程一般固废去向明确，处置措施合理可行，可有效防</w:t>
      </w:r>
      <w:r>
        <w:rPr>
          <w:rFonts w:ascii="SimSun" w:hAnsi="SimSun" w:eastAsia="SimSun" w:cs="SimSun"/>
          <w:sz w:val="23"/>
          <w:szCs w:val="23"/>
          <w:spacing w:val="5"/>
        </w:rPr>
        <w:t xml:space="preserve"> </w:t>
      </w:r>
      <w:r>
        <w:rPr>
          <w:rFonts w:ascii="SimSun" w:hAnsi="SimSun" w:eastAsia="SimSun" w:cs="SimSun"/>
          <w:sz w:val="23"/>
          <w:szCs w:val="23"/>
          <w:spacing w:val="8"/>
        </w:rPr>
        <w:t>止固体废物的逸散和对环境的二次污染，不会对周围环境造成明显不利影响，</w:t>
      </w:r>
    </w:p>
    <w:p>
      <w:pPr>
        <w:spacing w:line="363" w:lineRule="auto"/>
        <w:sectPr>
          <w:headerReference w:type="default" r:id="rId182"/>
          <w:footerReference w:type="default" r:id="rId183"/>
          <w:pgSz w:w="11910" w:h="16840"/>
          <w:pgMar w:top="1207" w:right="1725" w:bottom="983" w:left="1685" w:header="915" w:footer="736" w:gutter="0"/>
        </w:sectPr>
        <w:rPr>
          <w:rFonts w:ascii="SimSun" w:hAnsi="SimSun" w:eastAsia="SimSun" w:cs="SimSun"/>
          <w:sz w:val="23"/>
          <w:szCs w:val="23"/>
        </w:rPr>
      </w:pPr>
    </w:p>
    <w:p>
      <w:pPr>
        <w:ind w:left="94"/>
        <w:spacing w:before="270" w:line="220" w:lineRule="auto"/>
        <w:rPr>
          <w:rFonts w:ascii="SimSun" w:hAnsi="SimSun" w:eastAsia="SimSun" w:cs="SimSun"/>
          <w:sz w:val="23"/>
          <w:szCs w:val="23"/>
        </w:rPr>
      </w:pPr>
      <w:r>
        <w:rPr>
          <w:rFonts w:ascii="SimSun" w:hAnsi="SimSun" w:eastAsia="SimSun" w:cs="SimSun"/>
          <w:sz w:val="23"/>
          <w:szCs w:val="23"/>
          <w:spacing w:val="4"/>
        </w:rPr>
        <w:t>无相关环境遗留问题。</w:t>
      </w:r>
    </w:p>
    <w:p>
      <w:pPr>
        <w:ind w:left="98"/>
        <w:spacing w:before="220" w:line="221" w:lineRule="auto"/>
        <w:rPr>
          <w:rFonts w:ascii="SimHei" w:hAnsi="SimHei" w:eastAsia="SimHei" w:cs="SimHei"/>
          <w:sz w:val="27"/>
          <w:szCs w:val="27"/>
        </w:rPr>
      </w:pPr>
      <w:r>
        <w:rPr>
          <w:rFonts w:ascii="SimHei" w:hAnsi="SimHei" w:eastAsia="SimHei" w:cs="SimHei"/>
          <w:sz w:val="27"/>
          <w:szCs w:val="27"/>
          <w:b/>
          <w:bCs/>
          <w:spacing w:val="-7"/>
        </w:rPr>
        <w:t>2.4.5地下水防范措施</w:t>
      </w:r>
    </w:p>
    <w:p>
      <w:pPr>
        <w:ind w:left="94" w:right="281" w:firstLine="480"/>
        <w:spacing w:before="200" w:line="380" w:lineRule="auto"/>
        <w:rPr>
          <w:rFonts w:ascii="SimSun" w:hAnsi="SimSun" w:eastAsia="SimSun" w:cs="SimSun"/>
          <w:sz w:val="23"/>
          <w:szCs w:val="23"/>
        </w:rPr>
      </w:pPr>
      <w:r>
        <w:rPr>
          <w:rFonts w:ascii="SimSun" w:hAnsi="SimSun" w:eastAsia="SimSun" w:cs="SimSun"/>
          <w:sz w:val="23"/>
          <w:szCs w:val="23"/>
          <w:spacing w:val="9"/>
        </w:rPr>
        <w:t>现有工程运营期产生的固体废物、生活垃圾及污水，如果管</w:t>
      </w:r>
      <w:r>
        <w:rPr>
          <w:rFonts w:ascii="SimSun" w:hAnsi="SimSun" w:eastAsia="SimSun" w:cs="SimSun"/>
          <w:sz w:val="23"/>
          <w:szCs w:val="23"/>
          <w:spacing w:val="8"/>
        </w:rPr>
        <w:t>理不善，会因</w:t>
      </w:r>
      <w:r>
        <w:rPr>
          <w:rFonts w:ascii="SimSun" w:hAnsi="SimSun" w:eastAsia="SimSun" w:cs="SimSun"/>
          <w:sz w:val="23"/>
          <w:szCs w:val="23"/>
        </w:rPr>
        <w:t xml:space="preserve"> </w:t>
      </w:r>
      <w:r>
        <w:rPr>
          <w:rFonts w:ascii="SimSun" w:hAnsi="SimSun" w:eastAsia="SimSun" w:cs="SimSun"/>
          <w:sz w:val="23"/>
          <w:szCs w:val="23"/>
          <w:spacing w:val="2"/>
        </w:rPr>
        <w:t>为渗漏而污染地下水。</w:t>
      </w:r>
    </w:p>
    <w:p>
      <w:pPr>
        <w:ind w:left="94" w:right="294" w:firstLine="480"/>
        <w:spacing w:before="4" w:line="369" w:lineRule="auto"/>
        <w:rPr>
          <w:rFonts w:ascii="SimSun" w:hAnsi="SimSun" w:eastAsia="SimSun" w:cs="SimSun"/>
          <w:sz w:val="23"/>
          <w:szCs w:val="23"/>
        </w:rPr>
      </w:pPr>
      <w:r>
        <w:rPr>
          <w:rFonts w:ascii="SimSun" w:hAnsi="SimSun" w:eastAsia="SimSun" w:cs="SimSun"/>
          <w:sz w:val="23"/>
          <w:szCs w:val="23"/>
          <w:spacing w:val="8"/>
        </w:rPr>
        <w:t>现有工程固体废物均属于可降解有机物，其在自然腐烂的过程中会放出大</w:t>
      </w:r>
      <w:r>
        <w:rPr>
          <w:rFonts w:ascii="SimSun" w:hAnsi="SimSun" w:eastAsia="SimSun" w:cs="SimSun"/>
          <w:sz w:val="23"/>
          <w:szCs w:val="23"/>
          <w:spacing w:val="13"/>
        </w:rPr>
        <w:t xml:space="preserve"> </w:t>
      </w:r>
      <w:r>
        <w:rPr>
          <w:rFonts w:ascii="SimSun" w:hAnsi="SimSun" w:eastAsia="SimSun" w:cs="SimSun"/>
          <w:sz w:val="23"/>
          <w:szCs w:val="23"/>
          <w:spacing w:val="8"/>
        </w:rPr>
        <w:t>量热，使作物嫩芽死亡，降低作物产量，同时，病胴体、牲畜</w:t>
      </w:r>
      <w:r>
        <w:rPr>
          <w:rFonts w:ascii="SimSun" w:hAnsi="SimSun" w:eastAsia="SimSun" w:cs="SimSun"/>
          <w:sz w:val="23"/>
          <w:szCs w:val="23"/>
          <w:spacing w:val="7"/>
        </w:rPr>
        <w:t>粪便等携带有病</w:t>
      </w:r>
      <w:r>
        <w:rPr>
          <w:rFonts w:ascii="SimSun" w:hAnsi="SimSun" w:eastAsia="SimSun" w:cs="SimSun"/>
          <w:sz w:val="23"/>
          <w:szCs w:val="23"/>
        </w:rPr>
        <w:t xml:space="preserve"> </w:t>
      </w:r>
      <w:r>
        <w:rPr>
          <w:rFonts w:ascii="SimSun" w:hAnsi="SimSun" w:eastAsia="SimSun" w:cs="SimSun"/>
          <w:sz w:val="23"/>
          <w:szCs w:val="23"/>
          <w:spacing w:val="7"/>
        </w:rPr>
        <w:t>毒、病菌的传播源，随雨水的淋溶作用渗入地下，污染地下水；污水中含有</w:t>
      </w:r>
    </w:p>
    <w:p>
      <w:pPr>
        <w:ind w:left="94" w:right="175"/>
        <w:spacing w:before="1" w:line="369" w:lineRule="auto"/>
        <w:rPr>
          <w:rFonts w:ascii="SimSun" w:hAnsi="SimSun" w:eastAsia="SimSun" w:cs="SimSun"/>
          <w:sz w:val="23"/>
          <w:szCs w:val="23"/>
        </w:rPr>
      </w:pPr>
      <w:r>
        <w:rPr>
          <w:rFonts w:ascii="Times New Roman" w:hAnsi="Times New Roman" w:eastAsia="Times New Roman" w:cs="Times New Roman"/>
          <w:sz w:val="23"/>
          <w:szCs w:val="23"/>
        </w:rPr>
        <w:t>COD</w:t>
      </w:r>
      <w:r>
        <w:rPr>
          <w:rFonts w:ascii="Times New Roman" w:hAnsi="Times New Roman" w:eastAsia="Times New Roman" w:cs="Times New Roman"/>
          <w:sz w:val="23"/>
          <w:szCs w:val="23"/>
          <w:spacing w:val="-19"/>
        </w:rPr>
        <w:t xml:space="preserve"> </w:t>
      </w:r>
      <w:r>
        <w:rPr>
          <w:rFonts w:ascii="SimSun" w:hAnsi="SimSun" w:eastAsia="SimSun" w:cs="SimSun"/>
          <w:sz w:val="23"/>
          <w:szCs w:val="23"/>
          <w:spacing w:val="4"/>
        </w:rPr>
        <w:t>、</w:t>
      </w:r>
      <w:r>
        <w:rPr>
          <w:rFonts w:ascii="Times New Roman" w:hAnsi="Times New Roman" w:eastAsia="Times New Roman" w:cs="Times New Roman"/>
          <w:sz w:val="23"/>
          <w:szCs w:val="23"/>
        </w:rPr>
        <w:t>BOD</w:t>
      </w:r>
      <w:r>
        <w:rPr>
          <w:rFonts w:ascii="Times New Roman" w:hAnsi="Times New Roman" w:eastAsia="Times New Roman" w:cs="Times New Roman"/>
          <w:sz w:val="23"/>
          <w:szCs w:val="23"/>
          <w:spacing w:val="4"/>
        </w:rPr>
        <w:t>₅</w:t>
      </w:r>
      <w:r>
        <w:rPr>
          <w:rFonts w:ascii="Times New Roman" w:hAnsi="Times New Roman" w:eastAsia="Times New Roman" w:cs="Times New Roman"/>
          <w:sz w:val="23"/>
          <w:szCs w:val="23"/>
          <w:spacing w:val="-33"/>
        </w:rPr>
        <w:t xml:space="preserve"> </w:t>
      </w:r>
      <w:r>
        <w:rPr>
          <w:rFonts w:ascii="SimSun" w:hAnsi="SimSun" w:eastAsia="SimSun" w:cs="SimSun"/>
          <w:sz w:val="23"/>
          <w:szCs w:val="23"/>
          <w:spacing w:val="4"/>
        </w:rPr>
        <w:t>、</w:t>
      </w:r>
      <w:r>
        <w:rPr>
          <w:rFonts w:ascii="Times New Roman" w:hAnsi="Times New Roman" w:eastAsia="Times New Roman" w:cs="Times New Roman"/>
          <w:sz w:val="23"/>
          <w:szCs w:val="23"/>
        </w:rPr>
        <w:t>SS</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4"/>
        </w:rPr>
        <w:t>、</w:t>
      </w:r>
      <w:r>
        <w:rPr>
          <w:rFonts w:ascii="SimSun" w:hAnsi="SimSun" w:eastAsia="SimSun" w:cs="SimSun"/>
          <w:sz w:val="23"/>
          <w:szCs w:val="23"/>
          <w:spacing w:val="-62"/>
        </w:rPr>
        <w:t xml:space="preserve"> </w:t>
      </w:r>
      <w:r>
        <w:rPr>
          <w:rFonts w:ascii="SimSun" w:hAnsi="SimSun" w:eastAsia="SimSun" w:cs="SimSun"/>
          <w:sz w:val="23"/>
          <w:szCs w:val="23"/>
          <w:spacing w:val="4"/>
        </w:rPr>
        <w:t>氨氮、肠胃病菌和寄生虫卵等多种污染因子，将对地下水造</w:t>
      </w:r>
      <w:r>
        <w:rPr>
          <w:rFonts w:ascii="SimSun" w:hAnsi="SimSun" w:eastAsia="SimSun" w:cs="SimSun"/>
          <w:sz w:val="23"/>
          <w:szCs w:val="23"/>
        </w:rPr>
        <w:t xml:space="preserve"> </w:t>
      </w:r>
      <w:r>
        <w:rPr>
          <w:rFonts w:ascii="SimSun" w:hAnsi="SimSun" w:eastAsia="SimSun" w:cs="SimSun"/>
          <w:sz w:val="23"/>
          <w:szCs w:val="23"/>
          <w:spacing w:val="8"/>
        </w:rPr>
        <w:t>成严重污染；生活垃圾堆存过程中能渗滤溶出，在土层的渗漏过</w:t>
      </w:r>
      <w:r>
        <w:rPr>
          <w:rFonts w:ascii="SimSun" w:hAnsi="SimSun" w:eastAsia="SimSun" w:cs="SimSun"/>
          <w:sz w:val="23"/>
          <w:szCs w:val="23"/>
          <w:spacing w:val="7"/>
        </w:rPr>
        <w:t>程中会发生硝</w:t>
      </w:r>
      <w:r>
        <w:rPr>
          <w:rFonts w:ascii="SimSun" w:hAnsi="SimSun" w:eastAsia="SimSun" w:cs="SimSun"/>
          <w:sz w:val="23"/>
          <w:szCs w:val="23"/>
        </w:rPr>
        <w:t xml:space="preserve">  </w:t>
      </w:r>
      <w:r>
        <w:rPr>
          <w:rFonts w:ascii="SimSun" w:hAnsi="SimSun" w:eastAsia="SimSun" w:cs="SimSun"/>
          <w:sz w:val="23"/>
          <w:szCs w:val="23"/>
          <w:spacing w:val="7"/>
        </w:rPr>
        <w:t>化作用，使地下水的硝酸盐氮浓度升高。为保护该地区地下水，现有屠宰车</w:t>
      </w:r>
    </w:p>
    <w:p>
      <w:pPr>
        <w:ind w:left="94" w:right="324"/>
        <w:spacing w:before="2" w:line="370" w:lineRule="auto"/>
        <w:rPr>
          <w:rFonts w:ascii="SimSun" w:hAnsi="SimSun" w:eastAsia="SimSun" w:cs="SimSun"/>
          <w:sz w:val="23"/>
          <w:szCs w:val="23"/>
        </w:rPr>
      </w:pPr>
      <w:r>
        <w:rPr>
          <w:rFonts w:ascii="SimSun" w:hAnsi="SimSun" w:eastAsia="SimSun" w:cs="SimSun"/>
          <w:sz w:val="23"/>
          <w:szCs w:val="23"/>
          <w:spacing w:val="8"/>
        </w:rPr>
        <w:t>间、待宰圈、污水处理站各处理池和处理设施等</w:t>
      </w:r>
      <w:r>
        <w:rPr>
          <w:rFonts w:ascii="SimSun" w:hAnsi="SimSun" w:eastAsia="SimSun" w:cs="SimSun"/>
          <w:sz w:val="23"/>
          <w:szCs w:val="23"/>
          <w:spacing w:val="7"/>
        </w:rPr>
        <w:t>进行重点防渗处理；生活垃圾</w:t>
      </w:r>
      <w:r>
        <w:rPr>
          <w:rFonts w:ascii="SimSun" w:hAnsi="SimSun" w:eastAsia="SimSun" w:cs="SimSun"/>
          <w:sz w:val="23"/>
          <w:szCs w:val="23"/>
        </w:rPr>
        <w:t xml:space="preserve"> </w:t>
      </w:r>
      <w:r>
        <w:rPr>
          <w:rFonts w:ascii="SimSun" w:hAnsi="SimSun" w:eastAsia="SimSun" w:cs="SimSun"/>
          <w:sz w:val="23"/>
          <w:szCs w:val="23"/>
          <w:spacing w:val="8"/>
        </w:rPr>
        <w:t>不能随意丢弃，堆放场地、垃圾集中箱放置场</w:t>
      </w:r>
      <w:r>
        <w:rPr>
          <w:rFonts w:ascii="SimSun" w:hAnsi="SimSun" w:eastAsia="SimSun" w:cs="SimSun"/>
          <w:sz w:val="23"/>
          <w:szCs w:val="23"/>
          <w:spacing w:val="7"/>
        </w:rPr>
        <w:t>地要做好简单防渗处理，减少垃</w:t>
      </w:r>
      <w:r>
        <w:rPr>
          <w:rFonts w:ascii="SimSun" w:hAnsi="SimSun" w:eastAsia="SimSun" w:cs="SimSun"/>
          <w:sz w:val="23"/>
          <w:szCs w:val="23"/>
        </w:rPr>
        <w:t xml:space="preserve"> </w:t>
      </w:r>
      <w:r>
        <w:rPr>
          <w:rFonts w:ascii="SimSun" w:hAnsi="SimSun" w:eastAsia="SimSun" w:cs="SimSun"/>
          <w:sz w:val="23"/>
          <w:szCs w:val="23"/>
          <w:spacing w:val="6"/>
        </w:rPr>
        <w:t>圾堆放的时间，及时清运，禁止露天堆放、填埋垃圾渣土。</w:t>
      </w:r>
    </w:p>
    <w:p>
      <w:pPr>
        <w:ind w:left="94" w:right="115" w:firstLine="480"/>
        <w:spacing w:before="44" w:line="372" w:lineRule="auto"/>
        <w:rPr>
          <w:rFonts w:ascii="SimSun" w:hAnsi="SimSun" w:eastAsia="SimSun" w:cs="SimSun"/>
          <w:sz w:val="23"/>
          <w:szCs w:val="23"/>
        </w:rPr>
      </w:pPr>
      <w:r>
        <w:rPr>
          <w:rFonts w:ascii="SimSun" w:hAnsi="SimSun" w:eastAsia="SimSun" w:cs="SimSun"/>
          <w:sz w:val="23"/>
          <w:szCs w:val="23"/>
          <w:spacing w:val="14"/>
        </w:rPr>
        <w:t>现有工程采取的各项地下水防护措施合理，不会对区域地下水、土壤环境</w:t>
      </w:r>
      <w:r>
        <w:rPr>
          <w:rFonts w:ascii="SimSun" w:hAnsi="SimSun" w:eastAsia="SimSun" w:cs="SimSun"/>
          <w:sz w:val="23"/>
          <w:szCs w:val="23"/>
        </w:rPr>
        <w:t xml:space="preserve"> </w:t>
      </w:r>
      <w:r>
        <w:rPr>
          <w:rFonts w:ascii="SimSun" w:hAnsi="SimSun" w:eastAsia="SimSun" w:cs="SimSun"/>
          <w:sz w:val="23"/>
          <w:szCs w:val="23"/>
          <w:spacing w:val="7"/>
        </w:rPr>
        <w:t>产生明显不利影响，无相关环境遗留问题。</w:t>
      </w:r>
    </w:p>
    <w:p>
      <w:pPr>
        <w:ind w:left="98"/>
        <w:spacing w:before="10" w:line="222" w:lineRule="auto"/>
        <w:outlineLvl w:val="1"/>
        <w:rPr>
          <w:rFonts w:ascii="SimHei" w:hAnsi="SimHei" w:eastAsia="SimHei" w:cs="SimHei"/>
          <w:sz w:val="27"/>
          <w:szCs w:val="27"/>
        </w:rPr>
      </w:pPr>
      <w:bookmarkStart w:name="bookmark25" w:id="50"/>
      <w:bookmarkEnd w:id="50"/>
      <w:r>
        <w:rPr>
          <w:rFonts w:ascii="SimHei" w:hAnsi="SimHei" w:eastAsia="SimHei" w:cs="SimHei"/>
          <w:sz w:val="27"/>
          <w:szCs w:val="27"/>
          <w:b/>
          <w:bCs/>
          <w:spacing w:val="-1"/>
        </w:rPr>
        <w:t>2.5现有工程污染物排放汇总</w:t>
      </w:r>
    </w:p>
    <w:p>
      <w:pPr>
        <w:ind w:left="2238"/>
        <w:spacing w:before="187" w:line="214" w:lineRule="auto"/>
        <w:rPr>
          <w:rFonts w:ascii="SimSun" w:hAnsi="SimSun" w:eastAsia="SimSun" w:cs="SimSun"/>
          <w:sz w:val="24"/>
          <w:szCs w:val="24"/>
        </w:rPr>
      </w:pPr>
      <w:r>
        <w:rPr>
          <w:rFonts w:ascii="SimSun" w:hAnsi="SimSun" w:eastAsia="SimSun" w:cs="SimSun"/>
          <w:sz w:val="24"/>
          <w:szCs w:val="24"/>
          <w:b/>
          <w:bCs/>
          <w:spacing w:val="-3"/>
        </w:rPr>
        <w:t>表2.5-1现有工程污染物排放情况一览表</w:t>
      </w:r>
    </w:p>
    <w:tbl>
      <w:tblPr>
        <w:tblStyle w:val="TableNormal"/>
        <w:tblW w:w="848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04"/>
        <w:gridCol w:w="899"/>
        <w:gridCol w:w="1498"/>
        <w:gridCol w:w="4185"/>
        <w:gridCol w:w="609"/>
        <w:gridCol w:w="694"/>
      </w:tblGrid>
      <w:tr>
        <w:trPr>
          <w:trHeight w:val="284" w:hRule="atLeast"/>
        </w:trPr>
        <w:tc>
          <w:tcPr>
            <w:shd w:val="clear" w:fill="BDBDBD"/>
            <w:tcW w:w="1503" w:type="dxa"/>
            <w:vAlign w:val="top"/>
            <w:gridSpan w:val="2"/>
          </w:tcPr>
          <w:p>
            <w:pPr>
              <w:pStyle w:val="TableText"/>
              <w:ind w:left="197"/>
              <w:spacing w:before="40" w:line="205" w:lineRule="auto"/>
              <w:rPr>
                <w:sz w:val="21"/>
                <w:szCs w:val="21"/>
              </w:rPr>
            </w:pPr>
            <w:r>
              <w:rPr>
                <w:sz w:val="21"/>
                <w:szCs w:val="21"/>
                <w:b/>
                <w:bCs/>
                <w:spacing w:val="-4"/>
              </w:rPr>
              <w:t>污染物种类</w:t>
            </w:r>
          </w:p>
        </w:tc>
        <w:tc>
          <w:tcPr>
            <w:shd w:val="clear" w:fill="BDBDBD"/>
            <w:tcW w:w="5683" w:type="dxa"/>
            <w:vAlign w:val="top"/>
            <w:gridSpan w:val="2"/>
          </w:tcPr>
          <w:p>
            <w:pPr>
              <w:pStyle w:val="TableText"/>
              <w:ind w:left="2414"/>
              <w:spacing w:before="40" w:line="205" w:lineRule="auto"/>
              <w:rPr>
                <w:sz w:val="21"/>
                <w:szCs w:val="21"/>
              </w:rPr>
            </w:pPr>
            <w:r>
              <w:rPr>
                <w:sz w:val="21"/>
                <w:szCs w:val="21"/>
                <w:b/>
                <w:bCs/>
                <w:spacing w:val="-5"/>
              </w:rPr>
              <w:t>治理措施</w:t>
            </w:r>
          </w:p>
        </w:tc>
        <w:tc>
          <w:tcPr>
            <w:shd w:val="clear" w:fill="BDBDBD"/>
            <w:tcW w:w="1303" w:type="dxa"/>
            <w:vAlign w:val="top"/>
            <w:gridSpan w:val="2"/>
          </w:tcPr>
          <w:p>
            <w:pPr>
              <w:pStyle w:val="TableText"/>
              <w:ind w:left="71"/>
              <w:spacing w:before="41" w:line="204" w:lineRule="auto"/>
              <w:rPr>
                <w:sz w:val="21"/>
                <w:szCs w:val="21"/>
              </w:rPr>
            </w:pPr>
            <w:r>
              <w:rPr>
                <w:sz w:val="21"/>
                <w:szCs w:val="21"/>
                <w:b/>
                <w:bCs/>
                <w:spacing w:val="2"/>
              </w:rPr>
              <w:t>排放量(t/a)</w:t>
            </w:r>
          </w:p>
        </w:tc>
      </w:tr>
      <w:tr>
        <w:trPr>
          <w:trHeight w:val="279" w:hRule="atLeast"/>
        </w:trPr>
        <w:tc>
          <w:tcPr>
            <w:tcW w:w="604" w:type="dxa"/>
            <w:vAlign w:val="top"/>
            <w:vMerge w:val="restart"/>
            <w:tcBorders>
              <w:bottom w:val="nil"/>
            </w:tcBorders>
          </w:tcPr>
          <w:p>
            <w:pPr>
              <w:spacing w:line="379" w:lineRule="auto"/>
              <w:rPr>
                <w:rFonts w:ascii="Arial"/>
                <w:sz w:val="21"/>
              </w:rPr>
            </w:pPr>
            <w:r/>
          </w:p>
          <w:p>
            <w:pPr>
              <w:pStyle w:val="TableText"/>
              <w:ind w:left="84"/>
              <w:spacing w:before="68" w:line="219" w:lineRule="auto"/>
              <w:rPr>
                <w:sz w:val="21"/>
                <w:szCs w:val="21"/>
              </w:rPr>
            </w:pPr>
            <w:r>
              <w:rPr>
                <w:sz w:val="21"/>
                <w:szCs w:val="21"/>
                <w:spacing w:val="-2"/>
              </w:rPr>
              <w:t>废水</w:t>
            </w:r>
          </w:p>
        </w:tc>
        <w:tc>
          <w:tcPr>
            <w:tcW w:w="899" w:type="dxa"/>
            <w:vAlign w:val="top"/>
          </w:tcPr>
          <w:p>
            <w:pPr>
              <w:pStyle w:val="TableText"/>
              <w:ind w:left="20"/>
              <w:spacing w:before="39" w:line="202" w:lineRule="auto"/>
              <w:rPr>
                <w:sz w:val="21"/>
                <w:szCs w:val="21"/>
              </w:rPr>
            </w:pPr>
            <w:r>
              <w:rPr>
                <w:sz w:val="21"/>
                <w:szCs w:val="21"/>
                <w:spacing w:val="-2"/>
              </w:rPr>
              <w:t>生活污水</w:t>
            </w:r>
          </w:p>
        </w:tc>
        <w:tc>
          <w:tcPr>
            <w:tcW w:w="5683" w:type="dxa"/>
            <w:vAlign w:val="top"/>
            <w:gridSpan w:val="2"/>
          </w:tcPr>
          <w:p>
            <w:pPr>
              <w:pStyle w:val="TableText"/>
              <w:ind w:left="361"/>
              <w:spacing w:before="39" w:line="202" w:lineRule="auto"/>
              <w:rPr>
                <w:sz w:val="21"/>
                <w:szCs w:val="21"/>
              </w:rPr>
            </w:pPr>
            <w:r>
              <w:rPr>
                <w:sz w:val="21"/>
                <w:szCs w:val="21"/>
                <w:spacing w:val="5"/>
              </w:rPr>
              <w:t>经化粪池(容积为20m³)与处理后，进入园区污水管网</w:t>
            </w:r>
          </w:p>
        </w:tc>
        <w:tc>
          <w:tcPr>
            <w:tcW w:w="1303" w:type="dxa"/>
            <w:vAlign w:val="top"/>
            <w:gridSpan w:val="2"/>
          </w:tcPr>
          <w:p>
            <w:pPr>
              <w:pStyle w:val="TableText"/>
              <w:ind w:left="169"/>
              <w:spacing w:before="44" w:line="197" w:lineRule="auto"/>
              <w:rPr>
                <w:sz w:val="21"/>
                <w:szCs w:val="21"/>
              </w:rPr>
            </w:pPr>
            <w:r>
              <w:rPr>
                <w:sz w:val="21"/>
                <w:szCs w:val="21"/>
                <w:spacing w:val="-3"/>
              </w:rPr>
              <w:t>1040m³/a</w:t>
            </w:r>
          </w:p>
        </w:tc>
      </w:tr>
      <w:tr>
        <w:trPr>
          <w:trHeight w:val="808" w:hRule="atLeast"/>
        </w:trPr>
        <w:tc>
          <w:tcPr>
            <w:tcW w:w="604" w:type="dxa"/>
            <w:vAlign w:val="top"/>
            <w:vMerge w:val="continue"/>
            <w:tcBorders>
              <w:top w:val="nil"/>
            </w:tcBorders>
          </w:tcPr>
          <w:p>
            <w:pPr>
              <w:rPr>
                <w:rFonts w:ascii="Arial"/>
                <w:sz w:val="21"/>
              </w:rPr>
            </w:pPr>
            <w:r/>
          </w:p>
        </w:tc>
        <w:tc>
          <w:tcPr>
            <w:tcW w:w="899" w:type="dxa"/>
            <w:vAlign w:val="top"/>
          </w:tcPr>
          <w:p>
            <w:pPr>
              <w:pStyle w:val="TableText"/>
              <w:spacing w:before="300" w:line="219" w:lineRule="auto"/>
              <w:jc w:val="right"/>
              <w:rPr>
                <w:sz w:val="20"/>
                <w:szCs w:val="20"/>
              </w:rPr>
            </w:pPr>
            <w:r>
              <w:rPr>
                <w:sz w:val="20"/>
                <w:szCs w:val="20"/>
                <w:spacing w:val="-18"/>
                <w:w w:val="95"/>
              </w:rPr>
              <w:t>生产</w:t>
            </w:r>
            <w:r>
              <w:rPr>
                <w:sz w:val="20"/>
                <w:szCs w:val="20"/>
                <w:spacing w:val="-17"/>
                <w:w w:val="95"/>
              </w:rPr>
              <w:t>废水</w:t>
            </w:r>
            <w:r>
              <w:rPr>
                <w:sz w:val="20"/>
                <w:szCs w:val="20"/>
                <w:spacing w:val="-10"/>
                <w:w w:val="95"/>
              </w:rPr>
              <w:t>准</w:t>
            </w:r>
          </w:p>
        </w:tc>
        <w:tc>
          <w:tcPr>
            <w:tcW w:w="5683" w:type="dxa"/>
            <w:vAlign w:val="top"/>
            <w:gridSpan w:val="2"/>
          </w:tcPr>
          <w:p>
            <w:pPr>
              <w:pStyle w:val="TableText"/>
              <w:spacing w:before="20" w:line="219" w:lineRule="auto"/>
              <w:jc w:val="right"/>
              <w:rPr>
                <w:sz w:val="21"/>
                <w:szCs w:val="21"/>
              </w:rPr>
            </w:pPr>
            <w:r>
              <w:rPr>
                <w:sz w:val="21"/>
                <w:szCs w:val="21"/>
                <w:spacing w:val="-1"/>
              </w:rPr>
              <w:t>经厂内污水处理站处理后达到《肉类加工工业水污染物排放标</w:t>
            </w:r>
          </w:p>
          <w:p>
            <w:pPr>
              <w:pStyle w:val="TableText"/>
              <w:ind w:left="11" w:right="362" w:firstLine="350"/>
              <w:spacing w:before="29" w:line="219" w:lineRule="auto"/>
              <w:rPr>
                <w:sz w:val="21"/>
                <w:szCs w:val="21"/>
              </w:rPr>
            </w:pPr>
            <w:r>
              <w:rPr>
                <w:sz w:val="21"/>
                <w:szCs w:val="21"/>
                <w:spacing w:val="-3"/>
              </w:rPr>
              <w:t>》(GB13457-92)中的一级标准后排入安州区第三</w:t>
            </w:r>
            <w:r>
              <w:rPr>
                <w:sz w:val="21"/>
                <w:szCs w:val="21"/>
                <w:spacing w:val="-4"/>
              </w:rPr>
              <w:t>污水处</w:t>
            </w:r>
            <w:r>
              <w:rPr>
                <w:sz w:val="21"/>
                <w:szCs w:val="21"/>
              </w:rPr>
              <w:t xml:space="preserve"> </w:t>
            </w:r>
            <w:r>
              <w:rPr>
                <w:sz w:val="21"/>
                <w:szCs w:val="21"/>
                <w:spacing w:val="-2"/>
              </w:rPr>
              <w:t>理厂。</w:t>
            </w:r>
          </w:p>
        </w:tc>
        <w:tc>
          <w:tcPr>
            <w:tcW w:w="1303" w:type="dxa"/>
            <w:vAlign w:val="top"/>
            <w:gridSpan w:val="2"/>
          </w:tcPr>
          <w:p>
            <w:pPr>
              <w:pStyle w:val="TableText"/>
              <w:ind w:left="119"/>
              <w:spacing w:before="306" w:line="224" w:lineRule="auto"/>
              <w:rPr>
                <w:sz w:val="21"/>
                <w:szCs w:val="21"/>
              </w:rPr>
            </w:pPr>
            <w:r>
              <w:rPr>
                <w:sz w:val="21"/>
                <w:szCs w:val="21"/>
                <w:spacing w:val="-2"/>
              </w:rPr>
              <w:t>37440m³/a</w:t>
            </w:r>
          </w:p>
        </w:tc>
      </w:tr>
      <w:tr>
        <w:trPr>
          <w:trHeight w:val="270" w:hRule="atLeast"/>
        </w:trPr>
        <w:tc>
          <w:tcPr>
            <w:tcW w:w="604" w:type="dxa"/>
            <w:vAlign w:val="top"/>
            <w:vMerge w:val="restart"/>
            <w:tcBorders>
              <w:bottom w:val="nil"/>
            </w:tcBorders>
          </w:tcPr>
          <w:p>
            <w:pPr>
              <w:spacing w:line="313" w:lineRule="auto"/>
              <w:rPr>
                <w:rFonts w:ascii="Arial"/>
                <w:sz w:val="21"/>
              </w:rPr>
            </w:pPr>
            <w:r/>
          </w:p>
          <w:p>
            <w:pPr>
              <w:spacing w:line="313" w:lineRule="auto"/>
              <w:rPr>
                <w:rFonts w:ascii="Arial"/>
                <w:sz w:val="21"/>
              </w:rPr>
            </w:pPr>
            <w:r/>
          </w:p>
          <w:p>
            <w:pPr>
              <w:spacing w:line="313" w:lineRule="auto"/>
              <w:rPr>
                <w:rFonts w:ascii="Arial"/>
                <w:sz w:val="21"/>
              </w:rPr>
            </w:pPr>
            <w:r/>
          </w:p>
          <w:p>
            <w:pPr>
              <w:pStyle w:val="TableText"/>
              <w:ind w:left="84"/>
              <w:spacing w:before="68" w:line="220" w:lineRule="auto"/>
              <w:rPr>
                <w:sz w:val="21"/>
                <w:szCs w:val="21"/>
              </w:rPr>
            </w:pPr>
            <w:r>
              <w:rPr>
                <w:sz w:val="21"/>
                <w:szCs w:val="21"/>
                <w:spacing w:val="6"/>
              </w:rPr>
              <w:t>废气</w:t>
            </w:r>
          </w:p>
        </w:tc>
        <w:tc>
          <w:tcPr>
            <w:tcW w:w="899" w:type="dxa"/>
            <w:vAlign w:val="top"/>
            <w:vMerge w:val="restart"/>
            <w:tcBorders>
              <w:bottom w:val="nil"/>
            </w:tcBorders>
          </w:tcPr>
          <w:p>
            <w:pPr>
              <w:spacing w:line="243" w:lineRule="auto"/>
              <w:rPr>
                <w:rFonts w:ascii="Arial"/>
                <w:sz w:val="21"/>
              </w:rPr>
            </w:pPr>
            <w:r/>
          </w:p>
          <w:p>
            <w:pPr>
              <w:pStyle w:val="TableText"/>
              <w:spacing w:before="68" w:line="220" w:lineRule="auto"/>
              <w:jc w:val="right"/>
              <w:rPr>
                <w:sz w:val="21"/>
                <w:szCs w:val="21"/>
              </w:rPr>
            </w:pPr>
            <w:r>
              <w:rPr>
                <w:sz w:val="21"/>
                <w:szCs w:val="21"/>
                <w:spacing w:val="-14"/>
              </w:rPr>
              <w:t>锅炉废气[</w:t>
            </w:r>
          </w:p>
        </w:tc>
        <w:tc>
          <w:tcPr>
            <w:tcW w:w="1498" w:type="dxa"/>
            <w:vAlign w:val="top"/>
          </w:tcPr>
          <w:p>
            <w:pPr>
              <w:pStyle w:val="TableText"/>
              <w:ind w:left="422"/>
              <w:spacing w:before="33" w:line="199" w:lineRule="auto"/>
              <w:rPr>
                <w:sz w:val="21"/>
                <w:szCs w:val="21"/>
              </w:rPr>
            </w:pPr>
            <w:r>
              <w:rPr>
                <w:sz w:val="21"/>
                <w:szCs w:val="21"/>
                <w:spacing w:val="-2"/>
              </w:rPr>
              <w:t>颗粒物</w:t>
            </w:r>
          </w:p>
        </w:tc>
        <w:tc>
          <w:tcPr>
            <w:tcW w:w="4185" w:type="dxa"/>
            <w:vAlign w:val="top"/>
            <w:vMerge w:val="restart"/>
            <w:tcBorders>
              <w:bottom w:val="nil"/>
            </w:tcBorders>
          </w:tcPr>
          <w:p>
            <w:pPr>
              <w:spacing w:line="242" w:lineRule="auto"/>
              <w:rPr>
                <w:rFonts w:ascii="Arial"/>
                <w:sz w:val="21"/>
              </w:rPr>
            </w:pPr>
            <w:r/>
          </w:p>
          <w:p>
            <w:pPr>
              <w:pStyle w:val="TableText"/>
              <w:ind w:left="1243"/>
              <w:spacing w:before="69" w:line="219" w:lineRule="auto"/>
              <w:rPr>
                <w:sz w:val="21"/>
                <w:szCs w:val="21"/>
              </w:rPr>
            </w:pPr>
            <w:r>
              <w:rPr>
                <w:sz w:val="21"/>
                <w:szCs w:val="21"/>
                <w:spacing w:val="-1"/>
              </w:rPr>
              <w:t>通过8m高烟囱排放</w:t>
            </w:r>
          </w:p>
        </w:tc>
        <w:tc>
          <w:tcPr>
            <w:tcW w:w="1303" w:type="dxa"/>
            <w:vAlign w:val="top"/>
            <w:gridSpan w:val="2"/>
          </w:tcPr>
          <w:p>
            <w:pPr>
              <w:pStyle w:val="TableText"/>
              <w:ind w:left="328"/>
              <w:spacing w:before="52" w:line="182" w:lineRule="auto"/>
              <w:rPr>
                <w:sz w:val="21"/>
                <w:szCs w:val="21"/>
              </w:rPr>
            </w:pPr>
            <w:r>
              <w:rPr>
                <w:sz w:val="21"/>
                <w:szCs w:val="21"/>
                <w:spacing w:val="-2"/>
              </w:rPr>
              <w:t>0.0183</w:t>
            </w:r>
          </w:p>
        </w:tc>
      </w:tr>
      <w:tr>
        <w:trPr>
          <w:trHeight w:val="279" w:hRule="atLeast"/>
        </w:trPr>
        <w:tc>
          <w:tcPr>
            <w:tcW w:w="604" w:type="dxa"/>
            <w:vAlign w:val="top"/>
            <w:vMerge w:val="continue"/>
            <w:tcBorders>
              <w:top w:val="nil"/>
              <w:bottom w:val="nil"/>
            </w:tcBorders>
          </w:tcPr>
          <w:p>
            <w:pPr>
              <w:rPr>
                <w:rFonts w:ascii="Arial"/>
                <w:sz w:val="21"/>
              </w:rPr>
            </w:pPr>
            <w:r/>
          </w:p>
        </w:tc>
        <w:tc>
          <w:tcPr>
            <w:tcW w:w="899" w:type="dxa"/>
            <w:vAlign w:val="top"/>
            <w:vMerge w:val="continue"/>
            <w:tcBorders>
              <w:top w:val="nil"/>
              <w:bottom w:val="nil"/>
            </w:tcBorders>
          </w:tcPr>
          <w:p>
            <w:pPr>
              <w:rPr>
                <w:rFonts w:ascii="Arial"/>
                <w:sz w:val="21"/>
              </w:rPr>
            </w:pPr>
            <w:r/>
          </w:p>
        </w:tc>
        <w:tc>
          <w:tcPr>
            <w:tcW w:w="1498" w:type="dxa"/>
            <w:vAlign w:val="top"/>
          </w:tcPr>
          <w:p>
            <w:pPr>
              <w:pStyle w:val="TableText"/>
              <w:ind w:left="321"/>
              <w:spacing w:before="41" w:line="200" w:lineRule="auto"/>
              <w:rPr>
                <w:sz w:val="21"/>
                <w:szCs w:val="21"/>
              </w:rPr>
            </w:pPr>
            <w:r>
              <w:rPr>
                <w:sz w:val="21"/>
                <w:szCs w:val="21"/>
                <w:spacing w:val="2"/>
              </w:rPr>
              <w:t>二氧化硫</w:t>
            </w:r>
          </w:p>
        </w:tc>
        <w:tc>
          <w:tcPr>
            <w:tcW w:w="4185" w:type="dxa"/>
            <w:vAlign w:val="top"/>
            <w:vMerge w:val="continue"/>
            <w:tcBorders>
              <w:top w:val="nil"/>
              <w:bottom w:val="nil"/>
            </w:tcBorders>
          </w:tcPr>
          <w:p>
            <w:pPr>
              <w:rPr>
                <w:rFonts w:ascii="Arial"/>
                <w:sz w:val="21"/>
              </w:rPr>
            </w:pPr>
            <w:r/>
          </w:p>
        </w:tc>
        <w:tc>
          <w:tcPr>
            <w:tcW w:w="1303" w:type="dxa"/>
            <w:vAlign w:val="top"/>
            <w:gridSpan w:val="2"/>
          </w:tcPr>
          <w:p>
            <w:pPr>
              <w:pStyle w:val="TableText"/>
              <w:ind w:left="328"/>
              <w:spacing w:before="63" w:line="181" w:lineRule="auto"/>
              <w:rPr>
                <w:sz w:val="21"/>
                <w:szCs w:val="21"/>
              </w:rPr>
            </w:pPr>
            <w:r>
              <w:rPr>
                <w:sz w:val="21"/>
                <w:szCs w:val="21"/>
                <w:color w:val="303040"/>
                <w:spacing w:val="-2"/>
              </w:rPr>
              <w:t>0.0020</w:t>
            </w:r>
          </w:p>
        </w:tc>
      </w:tr>
      <w:tr>
        <w:trPr>
          <w:trHeight w:val="259" w:hRule="atLeast"/>
        </w:trPr>
        <w:tc>
          <w:tcPr>
            <w:tcW w:w="604" w:type="dxa"/>
            <w:vAlign w:val="top"/>
            <w:vMerge w:val="continue"/>
            <w:tcBorders>
              <w:top w:val="nil"/>
              <w:bottom w:val="nil"/>
            </w:tcBorders>
          </w:tcPr>
          <w:p>
            <w:pPr>
              <w:rPr>
                <w:rFonts w:ascii="Arial"/>
                <w:sz w:val="21"/>
              </w:rPr>
            </w:pPr>
            <w:r/>
          </w:p>
        </w:tc>
        <w:tc>
          <w:tcPr>
            <w:tcW w:w="899" w:type="dxa"/>
            <w:vAlign w:val="top"/>
            <w:vMerge w:val="continue"/>
            <w:tcBorders>
              <w:top w:val="nil"/>
            </w:tcBorders>
          </w:tcPr>
          <w:p>
            <w:pPr>
              <w:rPr>
                <w:rFonts w:ascii="Arial"/>
                <w:sz w:val="21"/>
              </w:rPr>
            </w:pPr>
            <w:r/>
          </w:p>
        </w:tc>
        <w:tc>
          <w:tcPr>
            <w:tcW w:w="1498" w:type="dxa"/>
            <w:vAlign w:val="top"/>
          </w:tcPr>
          <w:p>
            <w:pPr>
              <w:pStyle w:val="TableText"/>
              <w:ind w:left="321"/>
              <w:spacing w:before="32" w:line="190" w:lineRule="auto"/>
              <w:rPr>
                <w:sz w:val="21"/>
                <w:szCs w:val="21"/>
              </w:rPr>
            </w:pPr>
            <w:r>
              <w:rPr>
                <w:sz w:val="21"/>
                <w:szCs w:val="21"/>
                <w:spacing w:val="-2"/>
              </w:rPr>
              <w:t>氮氧化物</w:t>
            </w:r>
          </w:p>
        </w:tc>
        <w:tc>
          <w:tcPr>
            <w:tcW w:w="4185" w:type="dxa"/>
            <w:vAlign w:val="top"/>
            <w:vMerge w:val="continue"/>
            <w:tcBorders>
              <w:top w:val="nil"/>
            </w:tcBorders>
          </w:tcPr>
          <w:p>
            <w:pPr>
              <w:rPr>
                <w:rFonts w:ascii="Arial"/>
                <w:sz w:val="21"/>
              </w:rPr>
            </w:pPr>
            <w:r/>
          </w:p>
        </w:tc>
        <w:tc>
          <w:tcPr>
            <w:tcW w:w="1303" w:type="dxa"/>
            <w:vAlign w:val="top"/>
            <w:gridSpan w:val="2"/>
          </w:tcPr>
          <w:p>
            <w:pPr>
              <w:pStyle w:val="TableText"/>
              <w:ind w:left="328"/>
              <w:spacing w:before="54" w:line="171" w:lineRule="auto"/>
              <w:rPr>
                <w:sz w:val="21"/>
                <w:szCs w:val="21"/>
              </w:rPr>
            </w:pPr>
            <w:r>
              <w:rPr>
                <w:sz w:val="21"/>
                <w:szCs w:val="21"/>
                <w:spacing w:val="-2"/>
              </w:rPr>
              <w:t>0.1011</w:t>
            </w:r>
          </w:p>
        </w:tc>
      </w:tr>
      <w:tr>
        <w:trPr>
          <w:trHeight w:val="290" w:hRule="atLeast"/>
        </w:trPr>
        <w:tc>
          <w:tcPr>
            <w:tcW w:w="604" w:type="dxa"/>
            <w:vAlign w:val="top"/>
            <w:vMerge w:val="continue"/>
            <w:tcBorders>
              <w:top w:val="nil"/>
              <w:bottom w:val="nil"/>
            </w:tcBorders>
          </w:tcPr>
          <w:p>
            <w:pPr>
              <w:rPr>
                <w:rFonts w:ascii="Arial"/>
                <w:sz w:val="21"/>
              </w:rPr>
            </w:pPr>
            <w:r/>
          </w:p>
        </w:tc>
        <w:tc>
          <w:tcPr>
            <w:tcW w:w="899" w:type="dxa"/>
            <w:vAlign w:val="top"/>
          </w:tcPr>
          <w:p>
            <w:pPr>
              <w:pStyle w:val="TableText"/>
              <w:ind w:left="20"/>
              <w:spacing w:before="44" w:line="207" w:lineRule="auto"/>
              <w:rPr>
                <w:sz w:val="21"/>
                <w:szCs w:val="21"/>
              </w:rPr>
            </w:pPr>
            <w:r>
              <w:rPr>
                <w:sz w:val="21"/>
                <w:szCs w:val="21"/>
                <w:spacing w:val="3"/>
              </w:rPr>
              <w:t>汽车尾气</w:t>
            </w:r>
          </w:p>
        </w:tc>
        <w:tc>
          <w:tcPr>
            <w:tcW w:w="5683" w:type="dxa"/>
            <w:vAlign w:val="top"/>
            <w:gridSpan w:val="2"/>
          </w:tcPr>
          <w:p>
            <w:pPr>
              <w:pStyle w:val="TableText"/>
              <w:ind w:left="2201"/>
              <w:spacing w:before="43" w:line="208" w:lineRule="auto"/>
              <w:rPr>
                <w:sz w:val="21"/>
                <w:szCs w:val="21"/>
              </w:rPr>
            </w:pPr>
            <w:r>
              <w:rPr>
                <w:sz w:val="21"/>
                <w:szCs w:val="21"/>
                <w:spacing w:val="-2"/>
              </w:rPr>
              <w:t>采取地面硬化</w:t>
            </w:r>
          </w:p>
        </w:tc>
        <w:tc>
          <w:tcPr>
            <w:tcW w:w="1303" w:type="dxa"/>
            <w:vAlign w:val="top"/>
            <w:gridSpan w:val="2"/>
          </w:tcPr>
          <w:p>
            <w:pPr>
              <w:pStyle w:val="TableText"/>
              <w:ind w:left="439"/>
              <w:spacing w:before="46" w:line="205" w:lineRule="auto"/>
              <w:rPr>
                <w:sz w:val="21"/>
                <w:szCs w:val="21"/>
              </w:rPr>
            </w:pPr>
            <w:r>
              <w:rPr>
                <w:sz w:val="21"/>
                <w:szCs w:val="21"/>
                <w:spacing w:val="-3"/>
              </w:rPr>
              <w:t>少量</w:t>
            </w:r>
          </w:p>
        </w:tc>
      </w:tr>
      <w:tr>
        <w:trPr>
          <w:trHeight w:val="230" w:hRule="atLeast"/>
        </w:trPr>
        <w:tc>
          <w:tcPr>
            <w:tcW w:w="604" w:type="dxa"/>
            <w:vAlign w:val="top"/>
            <w:vMerge w:val="continue"/>
            <w:tcBorders>
              <w:top w:val="nil"/>
              <w:bottom w:val="nil"/>
            </w:tcBorders>
          </w:tcPr>
          <w:p>
            <w:pPr>
              <w:rPr>
                <w:rFonts w:ascii="Arial"/>
                <w:sz w:val="21"/>
              </w:rPr>
            </w:pPr>
            <w:r/>
          </w:p>
        </w:tc>
        <w:tc>
          <w:tcPr>
            <w:tcW w:w="899" w:type="dxa"/>
            <w:vAlign w:val="top"/>
            <w:vMerge w:val="restart"/>
            <w:tcBorders>
              <w:bottom w:val="nil"/>
            </w:tcBorders>
          </w:tcPr>
          <w:p>
            <w:pPr>
              <w:pStyle w:val="TableText"/>
              <w:ind w:left="120" w:right="126" w:firstLine="110"/>
              <w:spacing w:before="13" w:line="222" w:lineRule="auto"/>
              <w:rPr>
                <w:sz w:val="21"/>
                <w:szCs w:val="21"/>
              </w:rPr>
            </w:pPr>
            <w:r>
              <w:rPr>
                <w:sz w:val="21"/>
                <w:szCs w:val="21"/>
                <w:spacing w:val="-5"/>
              </w:rPr>
              <w:t>污水</w:t>
            </w:r>
            <w:r>
              <w:rPr>
                <w:sz w:val="21"/>
                <w:szCs w:val="21"/>
              </w:rPr>
              <w:t xml:space="preserve">  </w:t>
            </w:r>
            <w:r>
              <w:rPr>
                <w:sz w:val="21"/>
                <w:szCs w:val="21"/>
                <w:spacing w:val="3"/>
              </w:rPr>
              <w:t>处理站</w:t>
            </w:r>
          </w:p>
        </w:tc>
        <w:tc>
          <w:tcPr>
            <w:tcW w:w="5683" w:type="dxa"/>
            <w:vAlign w:val="top"/>
            <w:gridSpan w:val="2"/>
            <w:vMerge w:val="restart"/>
            <w:tcBorders>
              <w:bottom w:val="nil"/>
            </w:tcBorders>
          </w:tcPr>
          <w:p>
            <w:pPr>
              <w:pStyle w:val="TableText"/>
              <w:ind w:left="1151"/>
              <w:spacing w:before="164" w:line="219" w:lineRule="auto"/>
              <w:rPr>
                <w:sz w:val="21"/>
                <w:szCs w:val="21"/>
              </w:rPr>
            </w:pPr>
            <w:r>
              <w:rPr>
                <w:sz w:val="21"/>
                <w:szCs w:val="21"/>
                <w:spacing w:val="-1"/>
              </w:rPr>
              <w:t>污水中污泥及时清运，加强厂区绿化</w:t>
            </w:r>
          </w:p>
        </w:tc>
        <w:tc>
          <w:tcPr>
            <w:tcW w:w="609" w:type="dxa"/>
            <w:vAlign w:val="top"/>
          </w:tcPr>
          <w:p>
            <w:pPr>
              <w:pStyle w:val="TableText"/>
              <w:ind w:left="88"/>
              <w:spacing w:before="68" w:line="151" w:lineRule="exact"/>
              <w:rPr>
                <w:rFonts w:ascii="Calibri" w:hAnsi="Calibri" w:eastAsia="Calibri" w:cs="Calibri"/>
                <w:sz w:val="21"/>
                <w:szCs w:val="21"/>
              </w:rPr>
            </w:pPr>
            <w:r>
              <w:rPr>
                <w:sz w:val="21"/>
                <w:szCs w:val="21"/>
                <w:spacing w:val="-1"/>
                <w:position w:val="-2"/>
              </w:rPr>
              <w:t>NH</w:t>
            </w:r>
            <w:r>
              <w:rPr>
                <w:rFonts w:ascii="Calibri" w:hAnsi="Calibri" w:eastAsia="Calibri" w:cs="Calibri"/>
                <w:sz w:val="21"/>
                <w:szCs w:val="21"/>
                <w:spacing w:val="-1"/>
                <w:position w:val="-2"/>
              </w:rPr>
              <w:t>₃</w:t>
            </w:r>
          </w:p>
        </w:tc>
        <w:tc>
          <w:tcPr>
            <w:tcW w:w="694" w:type="dxa"/>
            <w:vAlign w:val="top"/>
          </w:tcPr>
          <w:p>
            <w:pPr>
              <w:pStyle w:val="TableText"/>
              <w:ind w:left="80"/>
              <w:spacing w:before="55" w:line="165" w:lineRule="exact"/>
              <w:rPr>
                <w:sz w:val="21"/>
                <w:szCs w:val="21"/>
              </w:rPr>
            </w:pPr>
            <w:r>
              <w:rPr>
                <w:sz w:val="21"/>
                <w:szCs w:val="21"/>
                <w:spacing w:val="-2"/>
                <w:position w:val="-2"/>
              </w:rPr>
              <w:t>0.059</w:t>
            </w:r>
          </w:p>
        </w:tc>
      </w:tr>
      <w:tr>
        <w:trPr>
          <w:trHeight w:val="289" w:hRule="atLeast"/>
        </w:trPr>
        <w:tc>
          <w:tcPr>
            <w:tcW w:w="604" w:type="dxa"/>
            <w:vAlign w:val="top"/>
            <w:vMerge w:val="continue"/>
            <w:tcBorders>
              <w:top w:val="nil"/>
              <w:bottom w:val="nil"/>
            </w:tcBorders>
          </w:tcPr>
          <w:p>
            <w:pPr>
              <w:rPr>
                <w:rFonts w:ascii="Arial"/>
                <w:sz w:val="21"/>
              </w:rPr>
            </w:pPr>
            <w:r/>
          </w:p>
        </w:tc>
        <w:tc>
          <w:tcPr>
            <w:tcW w:w="899" w:type="dxa"/>
            <w:vAlign w:val="top"/>
            <w:vMerge w:val="continue"/>
            <w:tcBorders>
              <w:top w:val="nil"/>
            </w:tcBorders>
          </w:tcPr>
          <w:p>
            <w:pPr>
              <w:rPr>
                <w:rFonts w:ascii="Arial"/>
                <w:sz w:val="21"/>
              </w:rPr>
            </w:pPr>
            <w:r/>
          </w:p>
        </w:tc>
        <w:tc>
          <w:tcPr>
            <w:tcW w:w="5683" w:type="dxa"/>
            <w:vAlign w:val="top"/>
            <w:gridSpan w:val="2"/>
            <w:vMerge w:val="continue"/>
            <w:tcBorders>
              <w:top w:val="nil"/>
            </w:tcBorders>
          </w:tcPr>
          <w:p>
            <w:pPr>
              <w:rPr>
                <w:rFonts w:ascii="Arial"/>
                <w:sz w:val="21"/>
              </w:rPr>
            </w:pPr>
            <w:r/>
          </w:p>
        </w:tc>
        <w:tc>
          <w:tcPr>
            <w:tcW w:w="609" w:type="dxa"/>
            <w:vAlign w:val="top"/>
          </w:tcPr>
          <w:p>
            <w:pPr>
              <w:pStyle w:val="TableText"/>
              <w:ind w:left="88"/>
              <w:spacing w:before="77" w:line="177"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694" w:type="dxa"/>
            <w:vAlign w:val="top"/>
          </w:tcPr>
          <w:p>
            <w:pPr>
              <w:pStyle w:val="TableText"/>
              <w:ind w:left="80"/>
              <w:spacing w:before="65" w:line="188" w:lineRule="auto"/>
              <w:rPr>
                <w:sz w:val="21"/>
                <w:szCs w:val="21"/>
              </w:rPr>
            </w:pPr>
            <w:r>
              <w:rPr>
                <w:sz w:val="21"/>
                <w:szCs w:val="21"/>
                <w:spacing w:val="-2"/>
              </w:rPr>
              <w:t>0.006</w:t>
            </w:r>
          </w:p>
        </w:tc>
      </w:tr>
      <w:tr>
        <w:trPr>
          <w:trHeight w:val="240" w:hRule="atLeast"/>
        </w:trPr>
        <w:tc>
          <w:tcPr>
            <w:tcW w:w="604" w:type="dxa"/>
            <w:vAlign w:val="top"/>
            <w:vMerge w:val="continue"/>
            <w:tcBorders>
              <w:top w:val="nil"/>
              <w:bottom w:val="nil"/>
            </w:tcBorders>
          </w:tcPr>
          <w:p>
            <w:pPr>
              <w:rPr>
                <w:rFonts w:ascii="Arial"/>
                <w:sz w:val="21"/>
              </w:rPr>
            </w:pPr>
            <w:r/>
          </w:p>
        </w:tc>
        <w:tc>
          <w:tcPr>
            <w:tcW w:w="899" w:type="dxa"/>
            <w:vAlign w:val="top"/>
            <w:vMerge w:val="restart"/>
            <w:tcBorders>
              <w:bottom w:val="nil"/>
            </w:tcBorders>
          </w:tcPr>
          <w:p>
            <w:pPr>
              <w:pStyle w:val="TableText"/>
              <w:ind w:left="20"/>
              <w:spacing w:before="36" w:line="217" w:lineRule="auto"/>
              <w:rPr>
                <w:sz w:val="21"/>
                <w:szCs w:val="21"/>
              </w:rPr>
            </w:pPr>
            <w:r>
              <w:rPr>
                <w:sz w:val="21"/>
                <w:szCs w:val="21"/>
                <w:spacing w:val="-4"/>
              </w:rPr>
              <w:t>待宰圈</w:t>
            </w:r>
            <w:r>
              <w:rPr>
                <w:sz w:val="21"/>
                <w:szCs w:val="21"/>
                <w:spacing w:val="-62"/>
              </w:rPr>
              <w:t xml:space="preserve"> </w:t>
            </w:r>
            <w:r>
              <w:rPr>
                <w:sz w:val="21"/>
                <w:szCs w:val="21"/>
                <w:spacing w:val="-4"/>
              </w:rPr>
              <w:t>、</w:t>
            </w:r>
            <w:r>
              <w:rPr>
                <w:sz w:val="21"/>
                <w:szCs w:val="21"/>
              </w:rPr>
              <w:t xml:space="preserve"> </w:t>
            </w:r>
            <w:r>
              <w:rPr>
                <w:sz w:val="21"/>
                <w:szCs w:val="21"/>
                <w:spacing w:val="-10"/>
              </w:rPr>
              <w:t>屠宰车间</w:t>
            </w:r>
          </w:p>
        </w:tc>
        <w:tc>
          <w:tcPr>
            <w:tcW w:w="5683" w:type="dxa"/>
            <w:vAlign w:val="top"/>
            <w:gridSpan w:val="2"/>
            <w:vMerge w:val="restart"/>
            <w:tcBorders>
              <w:bottom w:val="nil"/>
            </w:tcBorders>
          </w:tcPr>
          <w:p>
            <w:pPr>
              <w:pStyle w:val="TableText"/>
              <w:ind w:left="1680" w:hanging="1669"/>
              <w:spacing w:before="45" w:line="213" w:lineRule="auto"/>
              <w:rPr>
                <w:sz w:val="21"/>
                <w:szCs w:val="21"/>
              </w:rPr>
            </w:pPr>
            <w:r>
              <w:rPr>
                <w:sz w:val="21"/>
                <w:szCs w:val="21"/>
                <w:spacing w:val="-1"/>
              </w:rPr>
              <w:t>及时清理待宰圈、屠宰车间内的猪便、胃内容物、碎肉和碎骨</w:t>
            </w:r>
            <w:r>
              <w:rPr>
                <w:sz w:val="21"/>
                <w:szCs w:val="21"/>
                <w:spacing w:val="17"/>
              </w:rPr>
              <w:t xml:space="preserve"> </w:t>
            </w:r>
            <w:r>
              <w:rPr>
                <w:sz w:val="21"/>
                <w:szCs w:val="21"/>
                <w:spacing w:val="-1"/>
              </w:rPr>
              <w:t>等废弃物，加强车间通风</w:t>
            </w:r>
          </w:p>
        </w:tc>
        <w:tc>
          <w:tcPr>
            <w:tcW w:w="609" w:type="dxa"/>
            <w:vAlign w:val="top"/>
          </w:tcPr>
          <w:p>
            <w:pPr>
              <w:pStyle w:val="TableText"/>
              <w:ind w:left="88"/>
              <w:spacing w:before="59" w:line="171" w:lineRule="exact"/>
              <w:rPr>
                <w:rFonts w:ascii="Calibri" w:hAnsi="Calibri" w:eastAsia="Calibri" w:cs="Calibri"/>
                <w:sz w:val="21"/>
                <w:szCs w:val="21"/>
              </w:rPr>
            </w:pPr>
            <w:r>
              <w:rPr>
                <w:sz w:val="21"/>
                <w:szCs w:val="21"/>
                <w:spacing w:val="-1"/>
                <w:position w:val="-1"/>
              </w:rPr>
              <w:t>NH</w:t>
            </w:r>
            <w:r>
              <w:rPr>
                <w:rFonts w:ascii="Calibri" w:hAnsi="Calibri" w:eastAsia="Calibri" w:cs="Calibri"/>
                <w:sz w:val="21"/>
                <w:szCs w:val="21"/>
                <w:spacing w:val="-1"/>
                <w:position w:val="-1"/>
              </w:rPr>
              <w:t>₃</w:t>
            </w:r>
          </w:p>
        </w:tc>
        <w:tc>
          <w:tcPr>
            <w:tcW w:w="694" w:type="dxa"/>
            <w:vAlign w:val="top"/>
          </w:tcPr>
          <w:p>
            <w:pPr>
              <w:pStyle w:val="TableText"/>
              <w:ind w:left="80"/>
              <w:spacing w:before="46" w:line="161" w:lineRule="auto"/>
              <w:rPr>
                <w:sz w:val="21"/>
                <w:szCs w:val="21"/>
              </w:rPr>
            </w:pPr>
            <w:r>
              <w:rPr>
                <w:sz w:val="21"/>
                <w:szCs w:val="21"/>
                <w:spacing w:val="-2"/>
              </w:rPr>
              <w:t>0.168</w:t>
            </w:r>
          </w:p>
        </w:tc>
      </w:tr>
      <w:tr>
        <w:trPr>
          <w:trHeight w:val="290" w:hRule="atLeast"/>
        </w:trPr>
        <w:tc>
          <w:tcPr>
            <w:tcW w:w="604" w:type="dxa"/>
            <w:vAlign w:val="top"/>
            <w:vMerge w:val="continue"/>
            <w:tcBorders>
              <w:top w:val="nil"/>
            </w:tcBorders>
          </w:tcPr>
          <w:p>
            <w:pPr>
              <w:rPr>
                <w:rFonts w:ascii="Arial"/>
                <w:sz w:val="21"/>
              </w:rPr>
            </w:pPr>
            <w:r/>
          </w:p>
        </w:tc>
        <w:tc>
          <w:tcPr>
            <w:tcW w:w="899" w:type="dxa"/>
            <w:vAlign w:val="top"/>
            <w:vMerge w:val="continue"/>
            <w:tcBorders>
              <w:top w:val="nil"/>
            </w:tcBorders>
          </w:tcPr>
          <w:p>
            <w:pPr>
              <w:rPr>
                <w:rFonts w:ascii="Arial"/>
                <w:sz w:val="21"/>
              </w:rPr>
            </w:pPr>
            <w:r/>
          </w:p>
        </w:tc>
        <w:tc>
          <w:tcPr>
            <w:tcW w:w="5683" w:type="dxa"/>
            <w:vAlign w:val="top"/>
            <w:gridSpan w:val="2"/>
            <w:vMerge w:val="continue"/>
            <w:tcBorders>
              <w:top w:val="nil"/>
            </w:tcBorders>
          </w:tcPr>
          <w:p>
            <w:pPr>
              <w:rPr>
                <w:rFonts w:ascii="Arial"/>
                <w:sz w:val="21"/>
              </w:rPr>
            </w:pPr>
            <w:r/>
          </w:p>
        </w:tc>
        <w:tc>
          <w:tcPr>
            <w:tcW w:w="609" w:type="dxa"/>
            <w:vAlign w:val="top"/>
          </w:tcPr>
          <w:p>
            <w:pPr>
              <w:pStyle w:val="TableText"/>
              <w:ind w:left="88"/>
              <w:spacing w:before="78" w:line="177"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694" w:type="dxa"/>
            <w:vAlign w:val="top"/>
          </w:tcPr>
          <w:p>
            <w:pPr>
              <w:pStyle w:val="TableText"/>
              <w:ind w:left="80"/>
              <w:spacing w:before="66" w:line="188" w:lineRule="auto"/>
              <w:rPr>
                <w:sz w:val="21"/>
                <w:szCs w:val="21"/>
              </w:rPr>
            </w:pPr>
            <w:r>
              <w:rPr>
                <w:sz w:val="21"/>
                <w:szCs w:val="21"/>
                <w:spacing w:val="-2"/>
              </w:rPr>
              <w:t>0.025</w:t>
            </w:r>
          </w:p>
        </w:tc>
      </w:tr>
      <w:tr>
        <w:trPr>
          <w:trHeight w:val="539" w:hRule="atLeast"/>
        </w:trPr>
        <w:tc>
          <w:tcPr>
            <w:tcW w:w="604" w:type="dxa"/>
            <w:vAlign w:val="top"/>
            <w:vMerge w:val="restart"/>
            <w:tcBorders>
              <w:bottom w:val="nil"/>
            </w:tcBorders>
          </w:tcPr>
          <w:p>
            <w:pPr>
              <w:spacing w:line="314" w:lineRule="auto"/>
              <w:rPr>
                <w:rFonts w:ascii="Arial"/>
                <w:sz w:val="21"/>
              </w:rPr>
            </w:pPr>
            <w:r/>
          </w:p>
          <w:p>
            <w:pPr>
              <w:spacing w:line="314" w:lineRule="auto"/>
              <w:rPr>
                <w:rFonts w:ascii="Arial"/>
                <w:sz w:val="21"/>
              </w:rPr>
            </w:pPr>
            <w:r/>
          </w:p>
          <w:p>
            <w:pPr>
              <w:spacing w:line="314" w:lineRule="auto"/>
              <w:rPr>
                <w:rFonts w:ascii="Arial"/>
                <w:sz w:val="21"/>
              </w:rPr>
            </w:pPr>
            <w:r/>
          </w:p>
          <w:p>
            <w:pPr>
              <w:pStyle w:val="TableText"/>
              <w:ind w:left="84"/>
              <w:spacing w:before="68" w:line="220" w:lineRule="auto"/>
              <w:rPr>
                <w:sz w:val="21"/>
                <w:szCs w:val="21"/>
              </w:rPr>
            </w:pPr>
            <w:r>
              <w:rPr>
                <w:sz w:val="21"/>
                <w:szCs w:val="21"/>
                <w:spacing w:val="5"/>
              </w:rPr>
              <w:t>固废</w:t>
            </w:r>
          </w:p>
        </w:tc>
        <w:tc>
          <w:tcPr>
            <w:tcW w:w="899" w:type="dxa"/>
            <w:vAlign w:val="top"/>
            <w:vMerge w:val="restart"/>
            <w:tcBorders>
              <w:bottom w:val="nil"/>
            </w:tcBorders>
          </w:tcPr>
          <w:p>
            <w:pPr>
              <w:spacing w:line="313" w:lineRule="auto"/>
              <w:rPr>
                <w:rFonts w:ascii="Arial"/>
                <w:sz w:val="21"/>
              </w:rPr>
            </w:pPr>
            <w:r/>
          </w:p>
          <w:p>
            <w:pPr>
              <w:spacing w:line="314" w:lineRule="auto"/>
              <w:rPr>
                <w:rFonts w:ascii="Arial"/>
                <w:sz w:val="21"/>
              </w:rPr>
            </w:pPr>
            <w:r/>
          </w:p>
          <w:p>
            <w:pPr>
              <w:spacing w:line="314" w:lineRule="auto"/>
              <w:rPr>
                <w:rFonts w:ascii="Arial"/>
                <w:sz w:val="21"/>
              </w:rPr>
            </w:pPr>
            <w:r/>
          </w:p>
          <w:p>
            <w:pPr>
              <w:pStyle w:val="TableText"/>
              <w:ind w:left="20"/>
              <w:spacing w:before="68" w:line="219" w:lineRule="auto"/>
              <w:rPr>
                <w:sz w:val="21"/>
                <w:szCs w:val="21"/>
              </w:rPr>
            </w:pPr>
            <w:r>
              <w:rPr>
                <w:sz w:val="21"/>
                <w:szCs w:val="21"/>
                <w:spacing w:val="2"/>
              </w:rPr>
              <w:t>生产固废</w:t>
            </w:r>
          </w:p>
        </w:tc>
        <w:tc>
          <w:tcPr>
            <w:tcW w:w="1498" w:type="dxa"/>
            <w:vAlign w:val="top"/>
          </w:tcPr>
          <w:p>
            <w:pPr>
              <w:pStyle w:val="TableText"/>
              <w:ind w:left="531"/>
              <w:spacing w:before="175" w:line="219" w:lineRule="auto"/>
              <w:rPr>
                <w:sz w:val="21"/>
                <w:szCs w:val="21"/>
              </w:rPr>
            </w:pPr>
            <w:r>
              <w:rPr>
                <w:sz w:val="21"/>
                <w:szCs w:val="21"/>
                <w:spacing w:val="-3"/>
              </w:rPr>
              <w:t>猪粪</w:t>
            </w:r>
          </w:p>
        </w:tc>
        <w:tc>
          <w:tcPr>
            <w:tcW w:w="4185" w:type="dxa"/>
            <w:vAlign w:val="top"/>
          </w:tcPr>
          <w:p>
            <w:pPr>
              <w:pStyle w:val="TableText"/>
              <w:ind w:left="1142" w:right="188" w:hanging="949"/>
              <w:spacing w:before="44" w:line="213" w:lineRule="auto"/>
              <w:rPr>
                <w:sz w:val="21"/>
                <w:szCs w:val="21"/>
              </w:rPr>
            </w:pPr>
            <w:r>
              <w:rPr>
                <w:sz w:val="21"/>
                <w:szCs w:val="21"/>
              </w:rPr>
              <w:t>收集后由绵阳市恒泰芊隆农业科技有限公</w:t>
            </w:r>
            <w:r>
              <w:rPr>
                <w:sz w:val="21"/>
                <w:szCs w:val="21"/>
                <w:spacing w:val="11"/>
              </w:rPr>
              <w:t xml:space="preserve"> </w:t>
            </w:r>
            <w:r>
              <w:rPr>
                <w:sz w:val="21"/>
                <w:szCs w:val="21"/>
              </w:rPr>
              <w:t>司每日定时定点清运</w:t>
            </w:r>
          </w:p>
        </w:tc>
        <w:tc>
          <w:tcPr>
            <w:tcW w:w="1303" w:type="dxa"/>
            <w:vAlign w:val="top"/>
            <w:gridSpan w:val="2"/>
          </w:tcPr>
          <w:p>
            <w:pPr>
              <w:pStyle w:val="TableText"/>
              <w:ind w:left="538"/>
              <w:spacing w:before="196"/>
              <w:rPr>
                <w:sz w:val="21"/>
                <w:szCs w:val="21"/>
              </w:rPr>
            </w:pPr>
            <w:r>
              <w:rPr>
                <w:sz w:val="21"/>
                <w:szCs w:val="21"/>
                <w:spacing w:val="-3"/>
              </w:rPr>
              <w:t>90</w:t>
            </w:r>
          </w:p>
        </w:tc>
      </w:tr>
      <w:tr>
        <w:trPr>
          <w:trHeight w:val="559" w:hRule="atLeast"/>
        </w:trPr>
        <w:tc>
          <w:tcPr>
            <w:tcW w:w="604" w:type="dxa"/>
            <w:vAlign w:val="top"/>
            <w:vMerge w:val="continue"/>
            <w:tcBorders>
              <w:top w:val="nil"/>
              <w:bottom w:val="nil"/>
            </w:tcBorders>
          </w:tcPr>
          <w:p>
            <w:pPr>
              <w:rPr>
                <w:rFonts w:ascii="Arial"/>
                <w:sz w:val="21"/>
              </w:rPr>
            </w:pPr>
            <w:r/>
          </w:p>
        </w:tc>
        <w:tc>
          <w:tcPr>
            <w:tcW w:w="899" w:type="dxa"/>
            <w:vAlign w:val="top"/>
            <w:vMerge w:val="continue"/>
            <w:tcBorders>
              <w:top w:val="nil"/>
              <w:bottom w:val="nil"/>
            </w:tcBorders>
          </w:tcPr>
          <w:p>
            <w:pPr>
              <w:rPr>
                <w:rFonts w:ascii="Arial"/>
                <w:sz w:val="21"/>
              </w:rPr>
            </w:pPr>
            <w:r/>
          </w:p>
        </w:tc>
        <w:tc>
          <w:tcPr>
            <w:tcW w:w="1498" w:type="dxa"/>
            <w:vAlign w:val="top"/>
          </w:tcPr>
          <w:p>
            <w:pPr>
              <w:pStyle w:val="TableText"/>
              <w:ind w:left="111"/>
              <w:spacing w:before="185" w:line="219" w:lineRule="auto"/>
              <w:rPr>
                <w:sz w:val="21"/>
                <w:szCs w:val="21"/>
              </w:rPr>
            </w:pPr>
            <w:r>
              <w:rPr>
                <w:sz w:val="21"/>
                <w:szCs w:val="21"/>
                <w:spacing w:val="-2"/>
              </w:rPr>
              <w:t>猪胃内容物等</w:t>
            </w:r>
          </w:p>
        </w:tc>
        <w:tc>
          <w:tcPr>
            <w:tcW w:w="4185" w:type="dxa"/>
            <w:vAlign w:val="top"/>
          </w:tcPr>
          <w:p>
            <w:pPr>
              <w:pStyle w:val="TableText"/>
              <w:ind w:left="1563" w:right="182" w:hanging="1370"/>
              <w:spacing w:before="55" w:line="217" w:lineRule="auto"/>
              <w:rPr>
                <w:sz w:val="21"/>
                <w:szCs w:val="21"/>
              </w:rPr>
            </w:pPr>
            <w:r>
              <w:rPr>
                <w:sz w:val="21"/>
                <w:szCs w:val="21"/>
                <w:spacing w:val="1"/>
              </w:rPr>
              <w:t>外售绵阳市恒泰芊隆农业科技有限公司制</w:t>
            </w:r>
            <w:r>
              <w:rPr>
                <w:sz w:val="21"/>
                <w:szCs w:val="21"/>
              </w:rPr>
              <w:t xml:space="preserve"> </w:t>
            </w:r>
            <w:r>
              <w:rPr>
                <w:sz w:val="21"/>
                <w:szCs w:val="21"/>
                <w:spacing w:val="-2"/>
              </w:rPr>
              <w:t>作有机肥料</w:t>
            </w:r>
          </w:p>
        </w:tc>
        <w:tc>
          <w:tcPr>
            <w:tcW w:w="1303" w:type="dxa"/>
            <w:vAlign w:val="top"/>
            <w:gridSpan w:val="2"/>
          </w:tcPr>
          <w:p>
            <w:pPr>
              <w:pStyle w:val="TableText"/>
              <w:ind w:left="439"/>
              <w:spacing w:before="207" w:line="239" w:lineRule="auto"/>
              <w:rPr>
                <w:sz w:val="21"/>
                <w:szCs w:val="21"/>
              </w:rPr>
            </w:pPr>
            <w:r>
              <w:rPr>
                <w:sz w:val="21"/>
                <w:szCs w:val="21"/>
                <w:spacing w:val="-5"/>
              </w:rPr>
              <w:t>1.08</w:t>
            </w:r>
          </w:p>
        </w:tc>
      </w:tr>
      <w:tr>
        <w:trPr>
          <w:trHeight w:val="260" w:hRule="atLeast"/>
        </w:trPr>
        <w:tc>
          <w:tcPr>
            <w:tcW w:w="604" w:type="dxa"/>
            <w:vAlign w:val="top"/>
            <w:vMerge w:val="continue"/>
            <w:tcBorders>
              <w:top w:val="nil"/>
              <w:bottom w:val="nil"/>
            </w:tcBorders>
          </w:tcPr>
          <w:p>
            <w:pPr>
              <w:rPr>
                <w:rFonts w:ascii="Arial"/>
                <w:sz w:val="21"/>
              </w:rPr>
            </w:pPr>
            <w:r/>
          </w:p>
        </w:tc>
        <w:tc>
          <w:tcPr>
            <w:tcW w:w="899" w:type="dxa"/>
            <w:vAlign w:val="top"/>
            <w:vMerge w:val="continue"/>
            <w:tcBorders>
              <w:top w:val="nil"/>
              <w:bottom w:val="nil"/>
            </w:tcBorders>
          </w:tcPr>
          <w:p>
            <w:pPr>
              <w:rPr>
                <w:rFonts w:ascii="Arial"/>
                <w:sz w:val="21"/>
              </w:rPr>
            </w:pPr>
            <w:r/>
          </w:p>
        </w:tc>
        <w:tc>
          <w:tcPr>
            <w:tcW w:w="1498" w:type="dxa"/>
            <w:vAlign w:val="top"/>
          </w:tcPr>
          <w:p>
            <w:pPr>
              <w:pStyle w:val="TableText"/>
              <w:ind w:left="211"/>
              <w:spacing w:before="38" w:line="186" w:lineRule="auto"/>
              <w:rPr>
                <w:sz w:val="21"/>
                <w:szCs w:val="21"/>
              </w:rPr>
            </w:pPr>
            <w:r>
              <w:rPr>
                <w:sz w:val="21"/>
                <w:szCs w:val="21"/>
                <w:spacing w:val="-2"/>
              </w:rPr>
              <w:t>猪血、猪毛</w:t>
            </w:r>
          </w:p>
        </w:tc>
        <w:tc>
          <w:tcPr>
            <w:tcW w:w="4185" w:type="dxa"/>
            <w:vAlign w:val="top"/>
          </w:tcPr>
          <w:p>
            <w:pPr>
              <w:pStyle w:val="TableText"/>
              <w:ind w:left="1354"/>
              <w:spacing w:before="37" w:line="187" w:lineRule="auto"/>
              <w:rPr>
                <w:sz w:val="21"/>
                <w:szCs w:val="21"/>
              </w:rPr>
            </w:pPr>
            <w:r>
              <w:rPr>
                <w:sz w:val="21"/>
                <w:szCs w:val="21"/>
                <w:spacing w:val="1"/>
              </w:rPr>
              <w:t>作为副产品出售</w:t>
            </w:r>
          </w:p>
        </w:tc>
        <w:tc>
          <w:tcPr>
            <w:tcW w:w="1303" w:type="dxa"/>
            <w:vAlign w:val="top"/>
            <w:gridSpan w:val="2"/>
          </w:tcPr>
          <w:p>
            <w:pPr>
              <w:pStyle w:val="TableText"/>
              <w:ind w:left="488"/>
              <w:spacing w:before="58" w:line="168" w:lineRule="auto"/>
              <w:rPr>
                <w:sz w:val="21"/>
                <w:szCs w:val="21"/>
              </w:rPr>
            </w:pPr>
            <w:r>
              <w:rPr>
                <w:sz w:val="21"/>
                <w:szCs w:val="21"/>
                <w:spacing w:val="-6"/>
              </w:rPr>
              <w:t>120</w:t>
            </w:r>
          </w:p>
        </w:tc>
      </w:tr>
      <w:tr>
        <w:trPr>
          <w:trHeight w:val="539" w:hRule="atLeast"/>
        </w:trPr>
        <w:tc>
          <w:tcPr>
            <w:tcW w:w="604" w:type="dxa"/>
            <w:vAlign w:val="top"/>
            <w:vMerge w:val="continue"/>
            <w:tcBorders>
              <w:top w:val="nil"/>
              <w:bottom w:val="nil"/>
            </w:tcBorders>
          </w:tcPr>
          <w:p>
            <w:pPr>
              <w:rPr>
                <w:rFonts w:ascii="Arial"/>
                <w:sz w:val="21"/>
              </w:rPr>
            </w:pPr>
            <w:r/>
          </w:p>
        </w:tc>
        <w:tc>
          <w:tcPr>
            <w:tcW w:w="899" w:type="dxa"/>
            <w:vAlign w:val="top"/>
            <w:vMerge w:val="continue"/>
            <w:tcBorders>
              <w:top w:val="nil"/>
              <w:bottom w:val="nil"/>
            </w:tcBorders>
          </w:tcPr>
          <w:p>
            <w:pPr>
              <w:rPr>
                <w:rFonts w:ascii="Arial"/>
                <w:sz w:val="21"/>
              </w:rPr>
            </w:pPr>
            <w:r/>
          </w:p>
        </w:tc>
        <w:tc>
          <w:tcPr>
            <w:tcW w:w="1498" w:type="dxa"/>
            <w:vAlign w:val="top"/>
          </w:tcPr>
          <w:p>
            <w:pPr>
              <w:pStyle w:val="TableText"/>
              <w:ind w:left="422"/>
              <w:spacing w:before="177" w:line="219" w:lineRule="auto"/>
              <w:rPr>
                <w:sz w:val="21"/>
                <w:szCs w:val="21"/>
              </w:rPr>
            </w:pPr>
            <w:r>
              <w:rPr>
                <w:sz w:val="21"/>
                <w:szCs w:val="21"/>
                <w:spacing w:val="-2"/>
              </w:rPr>
              <w:t>猪蹄壳</w:t>
            </w:r>
          </w:p>
        </w:tc>
        <w:tc>
          <w:tcPr>
            <w:tcW w:w="4185" w:type="dxa"/>
            <w:vAlign w:val="top"/>
          </w:tcPr>
          <w:p>
            <w:pPr>
              <w:pStyle w:val="TableText"/>
              <w:ind w:left="1563" w:right="188" w:hanging="1370"/>
              <w:spacing w:before="55" w:line="208" w:lineRule="auto"/>
              <w:rPr>
                <w:sz w:val="21"/>
                <w:szCs w:val="21"/>
              </w:rPr>
            </w:pPr>
            <w:r>
              <w:rPr>
                <w:sz w:val="21"/>
                <w:szCs w:val="21"/>
              </w:rPr>
              <w:t>收集外售绵阳市恒泰芊隆农业科技有限公</w:t>
            </w:r>
            <w:r>
              <w:rPr>
                <w:sz w:val="21"/>
                <w:szCs w:val="21"/>
                <w:spacing w:val="11"/>
              </w:rPr>
              <w:t xml:space="preserve"> </w:t>
            </w:r>
            <w:r>
              <w:rPr>
                <w:sz w:val="21"/>
                <w:szCs w:val="21"/>
                <w:spacing w:val="5"/>
              </w:rPr>
              <w:t>司综合利用</w:t>
            </w:r>
          </w:p>
        </w:tc>
        <w:tc>
          <w:tcPr>
            <w:tcW w:w="1303" w:type="dxa"/>
            <w:vAlign w:val="top"/>
            <w:gridSpan w:val="2"/>
          </w:tcPr>
          <w:p>
            <w:pPr>
              <w:pStyle w:val="TableText"/>
              <w:ind w:left="488"/>
              <w:spacing w:before="198" w:line="239" w:lineRule="auto"/>
              <w:rPr>
                <w:sz w:val="21"/>
                <w:szCs w:val="21"/>
              </w:rPr>
            </w:pPr>
            <w:r>
              <w:rPr>
                <w:sz w:val="21"/>
                <w:szCs w:val="21"/>
                <w:spacing w:val="-3"/>
              </w:rPr>
              <w:t>0.5</w:t>
            </w:r>
          </w:p>
        </w:tc>
      </w:tr>
      <w:tr>
        <w:trPr>
          <w:trHeight w:val="284" w:hRule="atLeast"/>
        </w:trPr>
        <w:tc>
          <w:tcPr>
            <w:tcW w:w="604" w:type="dxa"/>
            <w:vAlign w:val="top"/>
            <w:vMerge w:val="continue"/>
            <w:tcBorders>
              <w:top w:val="nil"/>
            </w:tcBorders>
          </w:tcPr>
          <w:p>
            <w:pPr>
              <w:rPr>
                <w:rFonts w:ascii="Arial"/>
                <w:sz w:val="21"/>
              </w:rPr>
            </w:pPr>
            <w:r/>
          </w:p>
        </w:tc>
        <w:tc>
          <w:tcPr>
            <w:tcW w:w="899" w:type="dxa"/>
            <w:vAlign w:val="top"/>
            <w:vMerge w:val="continue"/>
            <w:tcBorders>
              <w:top w:val="nil"/>
            </w:tcBorders>
          </w:tcPr>
          <w:p>
            <w:pPr>
              <w:rPr>
                <w:rFonts w:ascii="Arial"/>
                <w:sz w:val="21"/>
              </w:rPr>
            </w:pPr>
            <w:r/>
          </w:p>
        </w:tc>
        <w:tc>
          <w:tcPr>
            <w:tcW w:w="1498" w:type="dxa"/>
            <w:vAlign w:val="top"/>
          </w:tcPr>
          <w:p>
            <w:pPr>
              <w:pStyle w:val="TableText"/>
              <w:ind w:left="111"/>
              <w:spacing w:before="48" w:line="198" w:lineRule="auto"/>
              <w:rPr>
                <w:sz w:val="21"/>
                <w:szCs w:val="21"/>
              </w:rPr>
            </w:pPr>
            <w:r>
              <w:rPr>
                <w:sz w:val="21"/>
                <w:szCs w:val="21"/>
                <w:spacing w:val="2"/>
              </w:rPr>
              <w:t>疫病猪、病胴</w:t>
            </w:r>
          </w:p>
        </w:tc>
        <w:tc>
          <w:tcPr>
            <w:tcW w:w="4185" w:type="dxa"/>
            <w:vAlign w:val="top"/>
          </w:tcPr>
          <w:p>
            <w:pPr>
              <w:pStyle w:val="TableText"/>
              <w:spacing w:before="47" w:line="199" w:lineRule="auto"/>
              <w:jc w:val="right"/>
              <w:rPr>
                <w:sz w:val="21"/>
                <w:szCs w:val="21"/>
              </w:rPr>
            </w:pPr>
            <w:r>
              <w:rPr>
                <w:sz w:val="21"/>
                <w:szCs w:val="21"/>
                <w:spacing w:val="-2"/>
              </w:rPr>
              <w:t>交三台县盛德祥生物科技有限公司进行无害化</w:t>
            </w:r>
          </w:p>
        </w:tc>
        <w:tc>
          <w:tcPr>
            <w:tcW w:w="1303" w:type="dxa"/>
            <w:vAlign w:val="top"/>
            <w:gridSpan w:val="2"/>
          </w:tcPr>
          <w:p>
            <w:pPr>
              <w:pStyle w:val="TableText"/>
              <w:ind w:left="538"/>
              <w:spacing w:before="69" w:line="180" w:lineRule="auto"/>
              <w:rPr>
                <w:sz w:val="21"/>
                <w:szCs w:val="21"/>
              </w:rPr>
            </w:pPr>
            <w:r>
              <w:rPr>
                <w:sz w:val="21"/>
                <w:szCs w:val="21"/>
                <w:color w:val="303050"/>
                <w:spacing w:val="-6"/>
              </w:rPr>
              <w:t>10</w:t>
            </w:r>
          </w:p>
        </w:tc>
      </w:tr>
    </w:tbl>
    <w:p>
      <w:pPr>
        <w:pStyle w:val="BodyText"/>
        <w:rPr/>
      </w:pPr>
      <w:r/>
    </w:p>
    <w:p>
      <w:pPr>
        <w:sectPr>
          <w:headerReference w:type="default" r:id="rId184"/>
          <w:footerReference w:type="default" r:id="rId185"/>
          <w:pgSz w:w="11910" w:h="16840"/>
          <w:pgMar w:top="1219" w:right="1725" w:bottom="1017" w:left="1685" w:header="865" w:footer="719" w:gutter="0"/>
        </w:sectPr>
        <w:rPr/>
      </w:pPr>
    </w:p>
    <w:p>
      <w:pPr>
        <w:spacing w:line="235" w:lineRule="exact"/>
        <w:rPr/>
      </w:pPr>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14"/>
        <w:gridCol w:w="889"/>
        <w:gridCol w:w="1508"/>
        <w:gridCol w:w="4195"/>
        <w:gridCol w:w="1303"/>
      </w:tblGrid>
      <w:tr>
        <w:trPr>
          <w:trHeight w:val="263" w:hRule="atLeast"/>
        </w:trPr>
        <w:tc>
          <w:tcPr>
            <w:tcW w:w="614" w:type="dxa"/>
            <w:vAlign w:val="top"/>
            <w:vMerge w:val="restart"/>
            <w:tcBorders>
              <w:bottom w:val="nil"/>
            </w:tcBorders>
          </w:tcPr>
          <w:p>
            <w:pPr>
              <w:rPr>
                <w:rFonts w:ascii="Arial"/>
                <w:sz w:val="21"/>
              </w:rPr>
            </w:pPr>
            <w:r/>
          </w:p>
        </w:tc>
        <w:tc>
          <w:tcPr>
            <w:tcW w:w="889" w:type="dxa"/>
            <w:vAlign w:val="top"/>
          </w:tcPr>
          <w:p>
            <w:pPr>
              <w:rPr>
                <w:rFonts w:ascii="Arial"/>
                <w:sz w:val="21"/>
              </w:rPr>
            </w:pPr>
            <w:r/>
          </w:p>
        </w:tc>
        <w:tc>
          <w:tcPr>
            <w:tcW w:w="1508" w:type="dxa"/>
            <w:vAlign w:val="top"/>
          </w:tcPr>
          <w:p>
            <w:pPr>
              <w:pStyle w:val="TableText"/>
              <w:ind w:left="221"/>
              <w:spacing w:before="33" w:line="193" w:lineRule="auto"/>
              <w:rPr>
                <w:sz w:val="21"/>
                <w:szCs w:val="21"/>
              </w:rPr>
            </w:pPr>
            <w:bookmarkStart w:name="bookmark98" w:id="51"/>
            <w:bookmarkEnd w:id="51"/>
            <w:r>
              <w:rPr>
                <w:sz w:val="21"/>
                <w:szCs w:val="21"/>
                <w:spacing w:val="-2"/>
              </w:rPr>
              <w:t>体、病内脏</w:t>
            </w:r>
          </w:p>
        </w:tc>
        <w:tc>
          <w:tcPr>
            <w:tcW w:w="4195" w:type="dxa"/>
            <w:vAlign w:val="top"/>
          </w:tcPr>
          <w:p>
            <w:pPr>
              <w:pStyle w:val="TableText"/>
              <w:ind w:left="14"/>
              <w:spacing w:before="38" w:line="189" w:lineRule="auto"/>
              <w:rPr>
                <w:sz w:val="21"/>
                <w:szCs w:val="21"/>
              </w:rPr>
            </w:pPr>
            <w:r>
              <w:rPr>
                <w:sz w:val="21"/>
                <w:szCs w:val="21"/>
                <w:spacing w:val="-4"/>
              </w:rPr>
              <w:t>处置</w:t>
            </w:r>
          </w:p>
        </w:tc>
        <w:tc>
          <w:tcPr>
            <w:tcW w:w="1303" w:type="dxa"/>
            <w:vAlign w:val="top"/>
          </w:tcPr>
          <w:p>
            <w:pPr>
              <w:rPr>
                <w:rFonts w:ascii="Arial"/>
                <w:sz w:val="21"/>
              </w:rPr>
            </w:pPr>
            <w:r/>
          </w:p>
        </w:tc>
      </w:tr>
      <w:tr>
        <w:trPr>
          <w:trHeight w:val="537" w:hRule="atLeast"/>
        </w:trPr>
        <w:tc>
          <w:tcPr>
            <w:tcW w:w="614" w:type="dxa"/>
            <w:vAlign w:val="top"/>
            <w:vMerge w:val="continue"/>
            <w:tcBorders>
              <w:top w:val="nil"/>
              <w:bottom w:val="nil"/>
            </w:tcBorders>
          </w:tcPr>
          <w:p>
            <w:pPr>
              <w:rPr>
                <w:rFonts w:ascii="Arial"/>
                <w:sz w:val="21"/>
              </w:rPr>
            </w:pPr>
            <w:r/>
          </w:p>
        </w:tc>
        <w:tc>
          <w:tcPr>
            <w:tcW w:w="889" w:type="dxa"/>
            <w:vAlign w:val="top"/>
          </w:tcPr>
          <w:p>
            <w:pPr>
              <w:pStyle w:val="TableText"/>
              <w:ind w:left="120" w:right="37" w:hanging="110"/>
              <w:spacing w:before="31" w:line="218" w:lineRule="auto"/>
              <w:rPr>
                <w:sz w:val="21"/>
                <w:szCs w:val="21"/>
              </w:rPr>
            </w:pPr>
            <w:r>
              <w:rPr>
                <w:sz w:val="21"/>
                <w:szCs w:val="21"/>
                <w:spacing w:val="-3"/>
              </w:rPr>
              <w:t>污水处理</w:t>
            </w:r>
            <w:r>
              <w:rPr>
                <w:sz w:val="21"/>
                <w:szCs w:val="21"/>
                <w:spacing w:val="1"/>
              </w:rPr>
              <w:t xml:space="preserve"> </w:t>
            </w:r>
            <w:r>
              <w:rPr>
                <w:sz w:val="21"/>
                <w:szCs w:val="21"/>
                <w:spacing w:val="3"/>
              </w:rPr>
              <w:t>站污泥</w:t>
            </w:r>
          </w:p>
        </w:tc>
        <w:tc>
          <w:tcPr>
            <w:tcW w:w="5703" w:type="dxa"/>
            <w:vAlign w:val="top"/>
            <w:gridSpan w:val="2"/>
          </w:tcPr>
          <w:p>
            <w:pPr>
              <w:pStyle w:val="TableText"/>
              <w:ind w:left="432"/>
              <w:spacing w:before="169" w:line="219" w:lineRule="auto"/>
              <w:rPr>
                <w:sz w:val="21"/>
                <w:szCs w:val="21"/>
              </w:rPr>
            </w:pPr>
            <w:r>
              <w:rPr>
                <w:sz w:val="21"/>
                <w:szCs w:val="21"/>
                <w:spacing w:val="-1"/>
              </w:rPr>
              <w:t>外售绵阳市恒泰芊隆农业科技有限公司制作有机肥料</w:t>
            </w:r>
          </w:p>
        </w:tc>
        <w:tc>
          <w:tcPr>
            <w:tcW w:w="1303" w:type="dxa"/>
            <w:vAlign w:val="top"/>
          </w:tcPr>
          <w:p>
            <w:pPr>
              <w:pStyle w:val="TableText"/>
              <w:ind w:left="488"/>
              <w:spacing w:before="191" w:line="239" w:lineRule="auto"/>
              <w:rPr>
                <w:sz w:val="21"/>
                <w:szCs w:val="21"/>
              </w:rPr>
            </w:pPr>
            <w:r>
              <w:rPr>
                <w:sz w:val="21"/>
                <w:szCs w:val="21"/>
                <w:spacing w:val="-6"/>
              </w:rPr>
              <w:t>1.0</w:t>
            </w:r>
          </w:p>
        </w:tc>
      </w:tr>
      <w:tr>
        <w:trPr>
          <w:trHeight w:val="268" w:hRule="atLeast"/>
        </w:trPr>
        <w:tc>
          <w:tcPr>
            <w:tcW w:w="614" w:type="dxa"/>
            <w:vAlign w:val="top"/>
            <w:vMerge w:val="continue"/>
            <w:tcBorders>
              <w:top w:val="nil"/>
            </w:tcBorders>
          </w:tcPr>
          <w:p>
            <w:pPr>
              <w:rPr>
                <w:rFonts w:ascii="Arial"/>
                <w:sz w:val="21"/>
              </w:rPr>
            </w:pPr>
            <w:r/>
          </w:p>
        </w:tc>
        <w:tc>
          <w:tcPr>
            <w:tcW w:w="889" w:type="dxa"/>
            <w:vAlign w:val="top"/>
          </w:tcPr>
          <w:p>
            <w:pPr>
              <w:pStyle w:val="TableText"/>
              <w:ind w:left="10"/>
              <w:spacing w:before="33" w:line="197" w:lineRule="auto"/>
              <w:rPr>
                <w:sz w:val="21"/>
                <w:szCs w:val="21"/>
              </w:rPr>
            </w:pPr>
            <w:r>
              <w:rPr>
                <w:sz w:val="21"/>
                <w:szCs w:val="21"/>
                <w:spacing w:val="-2"/>
              </w:rPr>
              <w:t>生活垃圾</w:t>
            </w:r>
          </w:p>
        </w:tc>
        <w:tc>
          <w:tcPr>
            <w:tcW w:w="5703" w:type="dxa"/>
            <w:vAlign w:val="top"/>
            <w:gridSpan w:val="2"/>
          </w:tcPr>
          <w:p>
            <w:pPr>
              <w:pStyle w:val="TableText"/>
              <w:ind w:left="851"/>
              <w:spacing w:before="33" w:line="197" w:lineRule="auto"/>
              <w:rPr>
                <w:sz w:val="21"/>
                <w:szCs w:val="21"/>
              </w:rPr>
            </w:pPr>
            <w:r>
              <w:rPr>
                <w:sz w:val="21"/>
                <w:szCs w:val="21"/>
              </w:rPr>
              <w:t>集中收集后，由环卫部门送当地垃圾填埋场</w:t>
            </w:r>
          </w:p>
        </w:tc>
        <w:tc>
          <w:tcPr>
            <w:tcW w:w="1303" w:type="dxa"/>
            <w:vAlign w:val="top"/>
          </w:tcPr>
          <w:p>
            <w:pPr>
              <w:pStyle w:val="TableText"/>
              <w:ind w:left="488"/>
              <w:spacing w:before="54" w:line="179" w:lineRule="auto"/>
              <w:rPr>
                <w:sz w:val="21"/>
                <w:szCs w:val="21"/>
              </w:rPr>
            </w:pPr>
            <w:r>
              <w:rPr>
                <w:sz w:val="21"/>
                <w:szCs w:val="21"/>
                <w:spacing w:val="-3"/>
              </w:rPr>
              <w:t>9.0</w:t>
            </w:r>
          </w:p>
        </w:tc>
      </w:tr>
      <w:tr>
        <w:trPr>
          <w:trHeight w:val="552" w:hRule="atLeast"/>
        </w:trPr>
        <w:tc>
          <w:tcPr>
            <w:tcW w:w="614" w:type="dxa"/>
            <w:vAlign w:val="top"/>
          </w:tcPr>
          <w:p>
            <w:pPr>
              <w:pStyle w:val="TableText"/>
              <w:ind w:left="55"/>
              <w:spacing w:before="176" w:line="220" w:lineRule="auto"/>
              <w:rPr>
                <w:sz w:val="21"/>
                <w:szCs w:val="21"/>
              </w:rPr>
            </w:pPr>
            <w:r>
              <w:rPr>
                <w:sz w:val="21"/>
                <w:szCs w:val="21"/>
                <w:spacing w:val="6"/>
              </w:rPr>
              <w:t>噪声</w:t>
            </w:r>
          </w:p>
        </w:tc>
        <w:tc>
          <w:tcPr>
            <w:tcW w:w="7895" w:type="dxa"/>
            <w:vAlign w:val="top"/>
            <w:gridSpan w:val="4"/>
          </w:tcPr>
          <w:p>
            <w:pPr>
              <w:pStyle w:val="TableText"/>
              <w:ind w:left="10" w:right="89"/>
              <w:spacing w:before="43" w:line="219" w:lineRule="auto"/>
              <w:rPr>
                <w:sz w:val="21"/>
                <w:szCs w:val="21"/>
              </w:rPr>
            </w:pPr>
            <w:r>
              <w:rPr>
                <w:sz w:val="21"/>
                <w:szCs w:val="21"/>
              </w:rPr>
              <w:t>本项目产生的噪声可归纳为屠宰设备、污水处理站运行噪声、动物鸣叫等。通过厂房</w:t>
            </w:r>
            <w:r>
              <w:rPr>
                <w:sz w:val="21"/>
                <w:szCs w:val="21"/>
                <w:spacing w:val="13"/>
              </w:rPr>
              <w:t xml:space="preserve"> </w:t>
            </w:r>
            <w:r>
              <w:rPr>
                <w:sz w:val="21"/>
                <w:szCs w:val="21"/>
              </w:rPr>
              <w:t>隔噪、减振和距离衰减等措施后，不会对周围声学环境产</w:t>
            </w:r>
            <w:r>
              <w:rPr>
                <w:sz w:val="21"/>
                <w:szCs w:val="21"/>
                <w:spacing w:val="-1"/>
              </w:rPr>
              <w:t>生明显影响。</w:t>
            </w:r>
          </w:p>
        </w:tc>
      </w:tr>
    </w:tbl>
    <w:p>
      <w:pPr>
        <w:ind w:left="595"/>
        <w:spacing w:before="64" w:line="219" w:lineRule="auto"/>
        <w:rPr>
          <w:rFonts w:ascii="SimSun" w:hAnsi="SimSun" w:eastAsia="SimSun" w:cs="SimSun"/>
          <w:sz w:val="24"/>
          <w:szCs w:val="24"/>
        </w:rPr>
      </w:pPr>
      <w:r>
        <w:rPr>
          <w:rFonts w:ascii="SimSun" w:hAnsi="SimSun" w:eastAsia="SimSun" w:cs="SimSun"/>
          <w:sz w:val="24"/>
          <w:szCs w:val="24"/>
        </w:rPr>
        <w:t>根据绵阳柒鑫食品有限公司现有排污许可证：证件编</w:t>
      </w:r>
      <w:r>
        <w:rPr>
          <w:rFonts w:ascii="SimSun" w:hAnsi="SimSun" w:eastAsia="SimSun" w:cs="SimSun"/>
          <w:sz w:val="24"/>
          <w:szCs w:val="24"/>
          <w:spacing w:val="-1"/>
        </w:rPr>
        <w:t>号：</w:t>
      </w:r>
    </w:p>
    <w:p>
      <w:pPr>
        <w:ind w:left="104" w:right="513"/>
        <w:spacing w:before="191" w:line="366" w:lineRule="auto"/>
        <w:rPr>
          <w:rFonts w:ascii="SimSun" w:hAnsi="SimSun" w:eastAsia="SimSun" w:cs="SimSun"/>
          <w:sz w:val="23"/>
          <w:szCs w:val="23"/>
        </w:rPr>
      </w:pPr>
      <w:r>
        <w:rPr>
          <w:rFonts w:ascii="SimSun" w:hAnsi="SimSun" w:eastAsia="SimSun" w:cs="SimSun"/>
          <w:sz w:val="23"/>
          <w:szCs w:val="23"/>
          <w:spacing w:val="6"/>
        </w:rPr>
        <w:t>91510724</w:t>
      </w:r>
      <w:r>
        <w:rPr>
          <w:rFonts w:ascii="SimSun" w:hAnsi="SimSun" w:eastAsia="SimSun" w:cs="SimSun"/>
          <w:sz w:val="23"/>
          <w:szCs w:val="23"/>
        </w:rPr>
        <w:t>MA</w:t>
      </w:r>
      <w:r>
        <w:rPr>
          <w:rFonts w:ascii="SimSun" w:hAnsi="SimSun" w:eastAsia="SimSun" w:cs="SimSun"/>
          <w:sz w:val="23"/>
          <w:szCs w:val="23"/>
          <w:spacing w:val="6"/>
        </w:rPr>
        <w:t>62442Y33001Z,   有效时限：自2022年6月24日至2027年6月23日</w:t>
      </w:r>
      <w:r>
        <w:rPr>
          <w:rFonts w:ascii="SimSun" w:hAnsi="SimSun" w:eastAsia="SimSun" w:cs="SimSun"/>
          <w:sz w:val="23"/>
          <w:szCs w:val="23"/>
          <w:spacing w:val="4"/>
        </w:rPr>
        <w:t xml:space="preserve"> </w:t>
      </w:r>
      <w:r>
        <w:rPr>
          <w:rFonts w:ascii="SimSun" w:hAnsi="SimSun" w:eastAsia="SimSun" w:cs="SimSun"/>
          <w:sz w:val="23"/>
          <w:szCs w:val="23"/>
          <w:spacing w:val="8"/>
        </w:rPr>
        <w:t>止。绵阳柒鑫食品有限公司现有工程环评批复核定总量控制指</w:t>
      </w:r>
      <w:r>
        <w:rPr>
          <w:rFonts w:ascii="SimSun" w:hAnsi="SimSun" w:eastAsia="SimSun" w:cs="SimSun"/>
          <w:sz w:val="23"/>
          <w:szCs w:val="23"/>
          <w:spacing w:val="7"/>
        </w:rPr>
        <w:t>标如下。</w:t>
      </w:r>
    </w:p>
    <w:p>
      <w:pPr>
        <w:ind w:left="2818"/>
        <w:spacing w:before="29" w:line="190" w:lineRule="auto"/>
        <w:rPr>
          <w:rFonts w:ascii="SimSun" w:hAnsi="SimSun" w:eastAsia="SimSun" w:cs="SimSun"/>
          <w:sz w:val="26"/>
          <w:szCs w:val="26"/>
        </w:rPr>
      </w:pPr>
      <w:r>
        <w:rPr>
          <w:rFonts w:ascii="SimSun" w:hAnsi="SimSun" w:eastAsia="SimSun" w:cs="SimSun"/>
          <w:sz w:val="26"/>
          <w:szCs w:val="26"/>
          <w:b/>
          <w:bCs/>
          <w:spacing w:val="-4"/>
        </w:rPr>
        <w:t>表2.5-2项目环评批复总量一览表</w:t>
      </w:r>
    </w:p>
    <w:tbl>
      <w:tblPr>
        <w:tblStyle w:val="TableNormal"/>
        <w:tblW w:w="8499" w:type="dxa"/>
        <w:tblInd w:w="1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333"/>
        <w:gridCol w:w="1318"/>
        <w:gridCol w:w="2926"/>
        <w:gridCol w:w="2922"/>
      </w:tblGrid>
      <w:tr>
        <w:trPr>
          <w:trHeight w:val="281" w:hRule="atLeast"/>
        </w:trPr>
        <w:tc>
          <w:tcPr>
            <w:shd w:val="clear" w:fill="BDBDBD"/>
            <w:tcW w:w="2651" w:type="dxa"/>
            <w:vAlign w:val="top"/>
            <w:gridSpan w:val="2"/>
          </w:tcPr>
          <w:p>
            <w:pPr>
              <w:pStyle w:val="TableText"/>
              <w:ind w:left="687"/>
              <w:spacing w:before="41" w:line="202" w:lineRule="auto"/>
              <w:rPr>
                <w:sz w:val="21"/>
                <w:szCs w:val="21"/>
              </w:rPr>
            </w:pPr>
            <w:r>
              <w:rPr>
                <w:sz w:val="21"/>
                <w:szCs w:val="21"/>
                <w:b/>
                <w:bCs/>
                <w:spacing w:val="-5"/>
              </w:rPr>
              <w:t>总量控制指标</w:t>
            </w:r>
          </w:p>
        </w:tc>
        <w:tc>
          <w:tcPr>
            <w:shd w:val="clear" w:fill="BDBDBD"/>
            <w:tcW w:w="2926" w:type="dxa"/>
            <w:vAlign w:val="top"/>
          </w:tcPr>
          <w:p>
            <w:pPr>
              <w:pStyle w:val="TableText"/>
              <w:ind w:left="566"/>
              <w:spacing w:before="41" w:line="202" w:lineRule="auto"/>
              <w:rPr>
                <w:sz w:val="21"/>
                <w:szCs w:val="21"/>
              </w:rPr>
            </w:pPr>
            <w:r>
              <w:rPr>
                <w:sz w:val="21"/>
                <w:szCs w:val="21"/>
                <w:b/>
                <w:bCs/>
              </w:rPr>
              <w:t>环评批复总量(t/a)</w:t>
            </w:r>
          </w:p>
        </w:tc>
        <w:tc>
          <w:tcPr>
            <w:shd w:val="clear" w:fill="BDBDBD"/>
            <w:tcW w:w="2922" w:type="dxa"/>
            <w:vAlign w:val="top"/>
          </w:tcPr>
          <w:p>
            <w:pPr>
              <w:pStyle w:val="TableText"/>
              <w:ind w:left="560"/>
              <w:spacing w:before="40" w:line="203" w:lineRule="auto"/>
              <w:rPr>
                <w:sz w:val="21"/>
                <w:szCs w:val="21"/>
              </w:rPr>
            </w:pPr>
            <w:r>
              <w:rPr>
                <w:sz w:val="21"/>
                <w:szCs w:val="21"/>
                <w:b/>
                <w:bCs/>
                <w:spacing w:val="1"/>
              </w:rPr>
              <w:t>现状产污总量(t/a)</w:t>
            </w:r>
          </w:p>
        </w:tc>
      </w:tr>
      <w:tr>
        <w:trPr>
          <w:trHeight w:val="237" w:hRule="atLeast"/>
        </w:trPr>
        <w:tc>
          <w:tcPr>
            <w:tcW w:w="1333" w:type="dxa"/>
            <w:vAlign w:val="top"/>
            <w:vMerge w:val="restart"/>
            <w:tcBorders>
              <w:bottom w:val="nil"/>
            </w:tcBorders>
          </w:tcPr>
          <w:p>
            <w:pPr>
              <w:pStyle w:val="TableText"/>
              <w:ind w:left="404"/>
              <w:spacing w:before="152" w:line="219" w:lineRule="auto"/>
              <w:rPr>
                <w:sz w:val="21"/>
                <w:szCs w:val="21"/>
              </w:rPr>
            </w:pPr>
            <w:r>
              <w:rPr>
                <w:sz w:val="21"/>
                <w:szCs w:val="21"/>
                <w:spacing w:val="-2"/>
              </w:rPr>
              <w:t>废水</w:t>
            </w:r>
          </w:p>
        </w:tc>
        <w:tc>
          <w:tcPr>
            <w:tcW w:w="1318" w:type="dxa"/>
            <w:vAlign w:val="top"/>
          </w:tcPr>
          <w:p>
            <w:pPr>
              <w:pStyle w:val="TableText"/>
              <w:ind w:left="491"/>
              <w:spacing w:before="76" w:line="150" w:lineRule="exact"/>
              <w:rPr>
                <w:sz w:val="21"/>
                <w:szCs w:val="21"/>
              </w:rPr>
            </w:pPr>
            <w:r>
              <w:rPr>
                <w:sz w:val="21"/>
                <w:szCs w:val="21"/>
                <w:spacing w:val="-2"/>
                <w:position w:val="-3"/>
              </w:rPr>
              <w:t>COD</w:t>
            </w:r>
          </w:p>
        </w:tc>
        <w:tc>
          <w:tcPr>
            <w:tcW w:w="2926" w:type="dxa"/>
            <w:vAlign w:val="top"/>
          </w:tcPr>
          <w:p>
            <w:pPr>
              <w:pStyle w:val="TableText"/>
              <w:ind w:left="1194"/>
              <w:spacing w:before="43" w:line="161" w:lineRule="auto"/>
              <w:rPr>
                <w:sz w:val="21"/>
                <w:szCs w:val="21"/>
              </w:rPr>
            </w:pPr>
            <w:r>
              <w:rPr>
                <w:sz w:val="21"/>
                <w:szCs w:val="21"/>
                <w:spacing w:val="-4"/>
              </w:rPr>
              <w:t>14.98</w:t>
            </w:r>
          </w:p>
        </w:tc>
        <w:tc>
          <w:tcPr>
            <w:tcW w:w="2922" w:type="dxa"/>
            <w:vAlign w:val="top"/>
          </w:tcPr>
          <w:p>
            <w:pPr>
              <w:pStyle w:val="TableText"/>
              <w:ind w:left="1248"/>
              <w:spacing w:before="43" w:line="161" w:lineRule="auto"/>
              <w:rPr>
                <w:sz w:val="21"/>
                <w:szCs w:val="21"/>
              </w:rPr>
            </w:pPr>
            <w:r>
              <w:rPr>
                <w:sz w:val="21"/>
                <w:szCs w:val="21"/>
                <w:spacing w:val="-2"/>
              </w:rPr>
              <w:t>8.64</w:t>
            </w:r>
          </w:p>
        </w:tc>
      </w:tr>
      <w:tr>
        <w:trPr>
          <w:trHeight w:val="252" w:hRule="atLeast"/>
        </w:trPr>
        <w:tc>
          <w:tcPr>
            <w:tcW w:w="1333" w:type="dxa"/>
            <w:vAlign w:val="top"/>
            <w:vMerge w:val="continue"/>
            <w:tcBorders>
              <w:top w:val="nil"/>
            </w:tcBorders>
          </w:tcPr>
          <w:p>
            <w:pPr>
              <w:rPr>
                <w:rFonts w:ascii="Arial"/>
                <w:sz w:val="21"/>
              </w:rPr>
            </w:pPr>
            <w:r/>
          </w:p>
        </w:tc>
        <w:tc>
          <w:tcPr>
            <w:tcW w:w="1318" w:type="dxa"/>
            <w:vAlign w:val="top"/>
          </w:tcPr>
          <w:p>
            <w:pPr>
              <w:pStyle w:val="TableText"/>
              <w:ind w:left="332"/>
              <w:spacing w:before="59" w:line="160" w:lineRule="auto"/>
              <w:rPr>
                <w:sz w:val="21"/>
                <w:szCs w:val="21"/>
              </w:rPr>
            </w:pPr>
            <w:r>
              <w:rPr>
                <w:sz w:val="21"/>
                <w:szCs w:val="21"/>
                <w:color w:val="504040"/>
                <w:spacing w:val="-1"/>
              </w:rPr>
              <w:t>NH</w:t>
            </w:r>
            <w:r>
              <w:rPr>
                <w:rFonts w:ascii="Calibri" w:hAnsi="Calibri" w:eastAsia="Calibri" w:cs="Calibri"/>
                <w:sz w:val="21"/>
                <w:szCs w:val="21"/>
                <w:color w:val="504040"/>
                <w:spacing w:val="-1"/>
              </w:rPr>
              <w:t>₃</w:t>
            </w:r>
            <w:r>
              <w:rPr>
                <w:sz w:val="21"/>
                <w:szCs w:val="21"/>
                <w:color w:val="504040"/>
                <w:spacing w:val="-1"/>
              </w:rPr>
              <w:t>-N</w:t>
            </w:r>
          </w:p>
        </w:tc>
        <w:tc>
          <w:tcPr>
            <w:tcW w:w="2926" w:type="dxa"/>
            <w:vAlign w:val="top"/>
          </w:tcPr>
          <w:p>
            <w:pPr>
              <w:pStyle w:val="TableText"/>
              <w:ind w:left="1243"/>
              <w:spacing w:before="46" w:line="172" w:lineRule="auto"/>
              <w:rPr>
                <w:sz w:val="21"/>
                <w:szCs w:val="21"/>
              </w:rPr>
            </w:pPr>
            <w:r>
              <w:rPr>
                <w:sz w:val="21"/>
                <w:szCs w:val="21"/>
                <w:color w:val="605050"/>
                <w:spacing w:val="-5"/>
              </w:rPr>
              <w:t>1.12</w:t>
            </w:r>
          </w:p>
        </w:tc>
        <w:tc>
          <w:tcPr>
            <w:tcW w:w="2922" w:type="dxa"/>
            <w:vAlign w:val="top"/>
          </w:tcPr>
          <w:p>
            <w:pPr>
              <w:pStyle w:val="TableText"/>
              <w:ind w:left="1188"/>
              <w:spacing w:before="46" w:line="172" w:lineRule="auto"/>
              <w:rPr>
                <w:sz w:val="21"/>
                <w:szCs w:val="21"/>
              </w:rPr>
            </w:pPr>
            <w:r>
              <w:rPr>
                <w:sz w:val="21"/>
                <w:szCs w:val="21"/>
                <w:color w:val="605050"/>
                <w:spacing w:val="-2"/>
              </w:rPr>
              <w:t>0.172</w:t>
            </w:r>
          </w:p>
        </w:tc>
      </w:tr>
    </w:tbl>
    <w:p>
      <w:pPr>
        <w:ind w:left="118"/>
        <w:spacing w:before="72" w:line="220" w:lineRule="auto"/>
        <w:outlineLvl w:val="1"/>
        <w:rPr>
          <w:rFonts w:ascii="SimSun" w:hAnsi="SimSun" w:eastAsia="SimSun" w:cs="SimSun"/>
          <w:sz w:val="26"/>
          <w:szCs w:val="26"/>
        </w:rPr>
      </w:pPr>
      <w:bookmarkStart w:name="bookmark26" w:id="52"/>
      <w:bookmarkEnd w:id="52"/>
      <w:r>
        <w:rPr>
          <w:rFonts w:ascii="SimSun" w:hAnsi="SimSun" w:eastAsia="SimSun" w:cs="SimSun"/>
          <w:sz w:val="26"/>
          <w:szCs w:val="26"/>
          <w:b/>
          <w:bCs/>
          <w:spacing w:val="-2"/>
        </w:rPr>
        <w:t>2.6现有工程监测计划</w:t>
      </w:r>
    </w:p>
    <w:p>
      <w:pPr>
        <w:ind w:left="575"/>
        <w:spacing w:before="203" w:line="220" w:lineRule="auto"/>
        <w:rPr>
          <w:rFonts w:ascii="SimSun" w:hAnsi="SimSun" w:eastAsia="SimSun" w:cs="SimSun"/>
          <w:sz w:val="23"/>
          <w:szCs w:val="23"/>
        </w:rPr>
      </w:pPr>
      <w:r>
        <w:rPr>
          <w:rFonts w:ascii="SimSun" w:hAnsi="SimSun" w:eastAsia="SimSun" w:cs="SimSun"/>
          <w:sz w:val="23"/>
          <w:szCs w:val="23"/>
          <w:spacing w:val="5"/>
        </w:rPr>
        <w:t>现有工程已有自行监测计划如下表所示。</w:t>
      </w:r>
    </w:p>
    <w:p>
      <w:pPr>
        <w:ind w:left="2838"/>
        <w:spacing w:before="202" w:line="214" w:lineRule="auto"/>
        <w:rPr>
          <w:rFonts w:ascii="SimSun" w:hAnsi="SimSun" w:eastAsia="SimSun" w:cs="SimSun"/>
          <w:sz w:val="24"/>
          <w:szCs w:val="24"/>
        </w:rPr>
      </w:pPr>
      <w:r>
        <w:rPr>
          <w:rFonts w:ascii="SimSun" w:hAnsi="SimSun" w:eastAsia="SimSun" w:cs="SimSun"/>
          <w:sz w:val="24"/>
          <w:szCs w:val="24"/>
          <w:b/>
          <w:bCs/>
          <w:spacing w:val="-4"/>
        </w:rPr>
        <w:t>表2.6-1现有工程监测计划表</w:t>
      </w:r>
    </w:p>
    <w:tbl>
      <w:tblPr>
        <w:tblStyle w:val="TableNormal"/>
        <w:tblW w:w="8499" w:type="dxa"/>
        <w:tblInd w:w="1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313"/>
        <w:gridCol w:w="929"/>
        <w:gridCol w:w="4754"/>
        <w:gridCol w:w="1009"/>
        <w:gridCol w:w="494"/>
      </w:tblGrid>
      <w:tr>
        <w:trPr>
          <w:trHeight w:val="284" w:hRule="atLeast"/>
        </w:trPr>
        <w:tc>
          <w:tcPr>
            <w:shd w:val="clear" w:fill="BDBDBD"/>
            <w:tcW w:w="1313" w:type="dxa"/>
            <w:vAlign w:val="top"/>
          </w:tcPr>
          <w:p>
            <w:pPr>
              <w:pStyle w:val="TableText"/>
              <w:ind w:left="127"/>
              <w:spacing w:before="40" w:line="205" w:lineRule="auto"/>
              <w:rPr>
                <w:sz w:val="21"/>
                <w:szCs w:val="21"/>
              </w:rPr>
            </w:pPr>
            <w:r>
              <w:rPr>
                <w:sz w:val="21"/>
                <w:szCs w:val="21"/>
                <w:b/>
                <w:bCs/>
              </w:rPr>
              <w:t>污染源类别</w:t>
            </w:r>
          </w:p>
        </w:tc>
        <w:tc>
          <w:tcPr>
            <w:shd w:val="clear" w:fill="BDBDBD"/>
            <w:tcW w:w="929" w:type="dxa"/>
            <w:vAlign w:val="top"/>
          </w:tcPr>
          <w:p>
            <w:pPr>
              <w:pStyle w:val="TableText"/>
              <w:ind w:left="35"/>
              <w:spacing w:before="41" w:line="204" w:lineRule="auto"/>
              <w:rPr>
                <w:sz w:val="21"/>
                <w:szCs w:val="21"/>
              </w:rPr>
            </w:pPr>
            <w:r>
              <w:rPr>
                <w:sz w:val="21"/>
                <w:szCs w:val="21"/>
                <w:b/>
                <w:bCs/>
                <w:spacing w:val="-4"/>
              </w:rPr>
              <w:t>监测点位</w:t>
            </w:r>
          </w:p>
        </w:tc>
        <w:tc>
          <w:tcPr>
            <w:shd w:val="clear" w:fill="BDBDBD"/>
            <w:tcW w:w="4754" w:type="dxa"/>
            <w:vAlign w:val="top"/>
          </w:tcPr>
          <w:p>
            <w:pPr>
              <w:pStyle w:val="TableText"/>
              <w:ind w:left="1955"/>
              <w:spacing w:before="40" w:line="205" w:lineRule="auto"/>
              <w:rPr>
                <w:sz w:val="21"/>
                <w:szCs w:val="21"/>
              </w:rPr>
            </w:pPr>
            <w:r>
              <w:rPr>
                <w:sz w:val="21"/>
                <w:szCs w:val="21"/>
                <w:b/>
                <w:bCs/>
                <w:spacing w:val="-4"/>
              </w:rPr>
              <w:t>监测指标</w:t>
            </w:r>
          </w:p>
        </w:tc>
        <w:tc>
          <w:tcPr>
            <w:shd w:val="clear" w:fill="BDBDBD"/>
            <w:tcW w:w="1009" w:type="dxa"/>
            <w:vAlign w:val="top"/>
          </w:tcPr>
          <w:p>
            <w:pPr>
              <w:pStyle w:val="TableText"/>
              <w:ind w:left="82"/>
              <w:spacing w:before="40" w:line="205" w:lineRule="auto"/>
              <w:rPr>
                <w:sz w:val="21"/>
                <w:szCs w:val="21"/>
              </w:rPr>
            </w:pPr>
            <w:r>
              <w:rPr>
                <w:sz w:val="21"/>
                <w:szCs w:val="21"/>
                <w:b/>
                <w:bCs/>
                <w:spacing w:val="-4"/>
              </w:rPr>
              <w:t>监测频次</w:t>
            </w:r>
          </w:p>
        </w:tc>
        <w:tc>
          <w:tcPr>
            <w:shd w:val="clear" w:fill="BDBDBD"/>
            <w:tcW w:w="494" w:type="dxa"/>
            <w:vAlign w:val="top"/>
          </w:tcPr>
          <w:p>
            <w:pPr>
              <w:pStyle w:val="TableText"/>
              <w:ind w:left="32"/>
              <w:spacing w:before="41" w:line="204" w:lineRule="auto"/>
              <w:rPr>
                <w:sz w:val="21"/>
                <w:szCs w:val="21"/>
              </w:rPr>
            </w:pPr>
            <w:r>
              <w:rPr>
                <w:sz w:val="21"/>
                <w:szCs w:val="21"/>
                <w:b/>
                <w:bCs/>
                <w:spacing w:val="-5"/>
              </w:rPr>
              <w:t>备注</w:t>
            </w:r>
          </w:p>
        </w:tc>
      </w:tr>
      <w:tr>
        <w:trPr>
          <w:trHeight w:val="805" w:hRule="atLeast"/>
        </w:trPr>
        <w:tc>
          <w:tcPr>
            <w:tcW w:w="1313" w:type="dxa"/>
            <w:vAlign w:val="top"/>
          </w:tcPr>
          <w:p>
            <w:pPr>
              <w:pStyle w:val="TableText"/>
              <w:ind w:left="434"/>
              <w:spacing w:before="299" w:line="219" w:lineRule="auto"/>
              <w:rPr>
                <w:sz w:val="21"/>
                <w:szCs w:val="21"/>
              </w:rPr>
            </w:pPr>
            <w:r>
              <w:rPr>
                <w:sz w:val="21"/>
                <w:szCs w:val="21"/>
                <w:spacing w:val="-2"/>
              </w:rPr>
              <w:t>废水</w:t>
            </w:r>
          </w:p>
        </w:tc>
        <w:tc>
          <w:tcPr>
            <w:tcW w:w="929" w:type="dxa"/>
            <w:vAlign w:val="top"/>
          </w:tcPr>
          <w:p>
            <w:pPr>
              <w:pStyle w:val="TableText"/>
              <w:ind w:left="140" w:right="37" w:hanging="109"/>
              <w:spacing w:before="169" w:line="233" w:lineRule="auto"/>
              <w:rPr>
                <w:sz w:val="21"/>
                <w:szCs w:val="21"/>
              </w:rPr>
            </w:pPr>
            <w:r>
              <w:rPr>
                <w:sz w:val="21"/>
                <w:szCs w:val="21"/>
                <w:spacing w:val="2"/>
              </w:rPr>
              <w:t>综合污水</w:t>
            </w:r>
            <w:r>
              <w:rPr>
                <w:sz w:val="21"/>
                <w:szCs w:val="21"/>
              </w:rPr>
              <w:t xml:space="preserve"> </w:t>
            </w:r>
            <w:r>
              <w:rPr>
                <w:sz w:val="21"/>
                <w:szCs w:val="21"/>
                <w:spacing w:val="10"/>
              </w:rPr>
              <w:t>排放口</w:t>
            </w:r>
          </w:p>
        </w:tc>
        <w:tc>
          <w:tcPr>
            <w:tcW w:w="4754" w:type="dxa"/>
            <w:vAlign w:val="top"/>
          </w:tcPr>
          <w:p>
            <w:pPr>
              <w:pStyle w:val="TableText"/>
              <w:ind w:left="62"/>
              <w:spacing w:before="34" w:line="214" w:lineRule="auto"/>
              <w:rPr>
                <w:sz w:val="21"/>
                <w:szCs w:val="21"/>
              </w:rPr>
            </w:pPr>
            <w:r>
              <w:rPr>
                <w:sz w:val="21"/>
                <w:szCs w:val="21"/>
              </w:rPr>
              <w:t>pH值、悬浮物、五日生化需氧量、化学需氧量、总</w:t>
            </w:r>
          </w:p>
          <w:p>
            <w:pPr>
              <w:pStyle w:val="TableText"/>
              <w:ind w:left="372"/>
              <w:spacing w:before="30" w:line="219" w:lineRule="auto"/>
              <w:rPr>
                <w:sz w:val="21"/>
                <w:szCs w:val="21"/>
              </w:rPr>
            </w:pPr>
            <w:r>
              <w:rPr>
                <w:sz w:val="21"/>
                <w:szCs w:val="21"/>
                <w:spacing w:val="9"/>
              </w:rPr>
              <w:t>氮(以N计)、氨氮(</w:t>
            </w:r>
            <w:r>
              <w:rPr>
                <w:sz w:val="21"/>
                <w:szCs w:val="21"/>
              </w:rPr>
              <w:t>NH</w:t>
            </w:r>
            <w:r>
              <w:rPr>
                <w:rFonts w:ascii="Calibri" w:hAnsi="Calibri" w:eastAsia="Calibri" w:cs="Calibri"/>
                <w:sz w:val="21"/>
                <w:szCs w:val="21"/>
                <w:spacing w:val="9"/>
              </w:rPr>
              <w:t>₃</w:t>
            </w:r>
            <w:r>
              <w:rPr>
                <w:sz w:val="21"/>
                <w:szCs w:val="21"/>
                <w:spacing w:val="9"/>
              </w:rPr>
              <w:t>-N)、总磷(以P计)、</w:t>
            </w:r>
          </w:p>
          <w:p>
            <w:pPr>
              <w:pStyle w:val="TableText"/>
              <w:ind w:left="1003"/>
              <w:spacing w:before="12" w:line="198" w:lineRule="auto"/>
              <w:rPr>
                <w:sz w:val="21"/>
                <w:szCs w:val="21"/>
              </w:rPr>
            </w:pPr>
            <w:r>
              <w:rPr>
                <w:sz w:val="21"/>
                <w:szCs w:val="21"/>
                <w:spacing w:val="-1"/>
              </w:rPr>
              <w:t>动植物油、流量、大肠菌群数</w:t>
            </w:r>
          </w:p>
        </w:tc>
        <w:tc>
          <w:tcPr>
            <w:tcW w:w="1009" w:type="dxa"/>
            <w:vAlign w:val="top"/>
          </w:tcPr>
          <w:p>
            <w:pPr>
              <w:pStyle w:val="TableText"/>
              <w:ind w:left="79"/>
              <w:spacing w:before="299" w:line="219" w:lineRule="auto"/>
              <w:rPr>
                <w:sz w:val="21"/>
                <w:szCs w:val="21"/>
              </w:rPr>
            </w:pPr>
            <w:r>
              <w:rPr>
                <w:sz w:val="21"/>
                <w:szCs w:val="21"/>
                <w:spacing w:val="1"/>
              </w:rPr>
              <w:t>1次/半年</w:t>
            </w:r>
          </w:p>
        </w:tc>
        <w:tc>
          <w:tcPr>
            <w:tcW w:w="494" w:type="dxa"/>
            <w:vAlign w:val="top"/>
          </w:tcPr>
          <w:p>
            <w:pPr>
              <w:pStyle w:val="TableText"/>
              <w:ind w:left="189"/>
              <w:spacing w:before="305" w:line="224" w:lineRule="auto"/>
              <w:rPr>
                <w:sz w:val="21"/>
                <w:szCs w:val="21"/>
              </w:rPr>
            </w:pPr>
            <w:r>
              <w:rPr>
                <w:sz w:val="21"/>
                <w:szCs w:val="21"/>
              </w:rPr>
              <w:t>/</w:t>
            </w:r>
          </w:p>
        </w:tc>
      </w:tr>
      <w:tr>
        <w:trPr>
          <w:trHeight w:val="288" w:hRule="atLeast"/>
        </w:trPr>
        <w:tc>
          <w:tcPr>
            <w:tcW w:w="1313" w:type="dxa"/>
            <w:vAlign w:val="top"/>
            <w:vMerge w:val="restart"/>
            <w:tcBorders>
              <w:bottom w:val="nil"/>
            </w:tcBorders>
          </w:tcPr>
          <w:p>
            <w:pPr>
              <w:pStyle w:val="TableText"/>
              <w:ind w:left="434"/>
              <w:spacing w:before="185" w:line="220" w:lineRule="auto"/>
              <w:rPr>
                <w:sz w:val="21"/>
                <w:szCs w:val="21"/>
              </w:rPr>
            </w:pPr>
            <w:r>
              <w:rPr>
                <w:sz w:val="21"/>
                <w:szCs w:val="21"/>
                <w:spacing w:val="6"/>
              </w:rPr>
              <w:t>废气</w:t>
            </w:r>
          </w:p>
        </w:tc>
        <w:tc>
          <w:tcPr>
            <w:tcW w:w="929" w:type="dxa"/>
            <w:vAlign w:val="top"/>
          </w:tcPr>
          <w:p>
            <w:pPr>
              <w:pStyle w:val="TableText"/>
              <w:ind w:left="241"/>
              <w:spacing w:before="44" w:line="205" w:lineRule="auto"/>
              <w:rPr>
                <w:sz w:val="21"/>
                <w:szCs w:val="21"/>
              </w:rPr>
            </w:pPr>
            <w:r>
              <w:rPr>
                <w:sz w:val="21"/>
                <w:szCs w:val="21"/>
                <w:spacing w:val="-3"/>
              </w:rPr>
              <w:t>厂界</w:t>
            </w:r>
          </w:p>
        </w:tc>
        <w:tc>
          <w:tcPr>
            <w:tcW w:w="4754" w:type="dxa"/>
            <w:vAlign w:val="top"/>
          </w:tcPr>
          <w:p>
            <w:pPr>
              <w:pStyle w:val="TableText"/>
              <w:ind w:left="1003"/>
              <w:spacing w:before="44" w:line="205" w:lineRule="auto"/>
              <w:rPr>
                <w:sz w:val="21"/>
                <w:szCs w:val="21"/>
              </w:rPr>
            </w:pPr>
            <w:r>
              <w:rPr>
                <w:sz w:val="21"/>
                <w:szCs w:val="21"/>
                <w:spacing w:val="-1"/>
              </w:rPr>
              <w:t>臭气浓度、氨(氨气)、硫化氢</w:t>
            </w:r>
          </w:p>
        </w:tc>
        <w:tc>
          <w:tcPr>
            <w:tcW w:w="1009" w:type="dxa"/>
            <w:vAlign w:val="top"/>
          </w:tcPr>
          <w:p>
            <w:pPr>
              <w:pStyle w:val="TableText"/>
              <w:ind w:left="128"/>
              <w:spacing w:before="44" w:line="205" w:lineRule="auto"/>
              <w:rPr>
                <w:sz w:val="21"/>
                <w:szCs w:val="21"/>
              </w:rPr>
            </w:pPr>
            <w:r>
              <w:rPr>
                <w:sz w:val="21"/>
                <w:szCs w:val="21"/>
                <w:spacing w:val="3"/>
              </w:rPr>
              <w:t>1次半年</w:t>
            </w:r>
          </w:p>
        </w:tc>
        <w:tc>
          <w:tcPr>
            <w:tcW w:w="494" w:type="dxa"/>
            <w:vAlign w:val="top"/>
          </w:tcPr>
          <w:p>
            <w:pPr>
              <w:pStyle w:val="TableText"/>
              <w:ind w:left="189"/>
              <w:spacing w:before="50" w:line="200" w:lineRule="auto"/>
              <w:rPr>
                <w:sz w:val="21"/>
                <w:szCs w:val="21"/>
              </w:rPr>
            </w:pPr>
            <w:r>
              <w:rPr>
                <w:sz w:val="21"/>
                <w:szCs w:val="21"/>
              </w:rPr>
              <w:t>/</w:t>
            </w:r>
          </w:p>
        </w:tc>
      </w:tr>
      <w:tr>
        <w:trPr>
          <w:trHeight w:val="273" w:hRule="atLeast"/>
        </w:trPr>
        <w:tc>
          <w:tcPr>
            <w:tcW w:w="1313" w:type="dxa"/>
            <w:vAlign w:val="top"/>
            <w:vMerge w:val="continue"/>
            <w:tcBorders>
              <w:top w:val="nil"/>
            </w:tcBorders>
          </w:tcPr>
          <w:p>
            <w:pPr>
              <w:rPr>
                <w:rFonts w:ascii="Arial"/>
                <w:sz w:val="21"/>
              </w:rPr>
            </w:pPr>
            <w:r/>
          </w:p>
        </w:tc>
        <w:tc>
          <w:tcPr>
            <w:tcW w:w="929" w:type="dxa"/>
            <w:vAlign w:val="top"/>
          </w:tcPr>
          <w:p>
            <w:pPr>
              <w:pStyle w:val="TableText"/>
              <w:ind w:left="141"/>
              <w:spacing w:before="36" w:line="199" w:lineRule="auto"/>
              <w:rPr>
                <w:sz w:val="21"/>
                <w:szCs w:val="21"/>
              </w:rPr>
            </w:pPr>
            <w:r>
              <w:rPr>
                <w:sz w:val="21"/>
                <w:szCs w:val="21"/>
                <w:color w:val="506050"/>
                <w:spacing w:val="4"/>
              </w:rPr>
              <w:t>排气筒</w:t>
            </w:r>
          </w:p>
        </w:tc>
        <w:tc>
          <w:tcPr>
            <w:tcW w:w="4754" w:type="dxa"/>
            <w:vAlign w:val="top"/>
          </w:tcPr>
          <w:p>
            <w:pPr>
              <w:pStyle w:val="TableText"/>
              <w:ind w:left="483"/>
              <w:spacing w:before="35" w:line="200" w:lineRule="auto"/>
              <w:rPr>
                <w:sz w:val="21"/>
                <w:szCs w:val="21"/>
              </w:rPr>
            </w:pPr>
            <w:r>
              <w:rPr>
                <w:sz w:val="21"/>
                <w:szCs w:val="21"/>
                <w:spacing w:val="-1"/>
              </w:rPr>
              <w:t>颗粒物、二氧化硫、氮氧化物、烟气黑度</w:t>
            </w:r>
          </w:p>
        </w:tc>
        <w:tc>
          <w:tcPr>
            <w:tcW w:w="1009" w:type="dxa"/>
            <w:vAlign w:val="top"/>
          </w:tcPr>
          <w:p>
            <w:pPr>
              <w:pStyle w:val="TableText"/>
              <w:ind w:left="128"/>
              <w:spacing w:before="36" w:line="199" w:lineRule="auto"/>
              <w:rPr>
                <w:sz w:val="21"/>
                <w:szCs w:val="21"/>
              </w:rPr>
            </w:pPr>
            <w:r>
              <w:rPr>
                <w:sz w:val="21"/>
                <w:szCs w:val="21"/>
                <w:color w:val="504040"/>
                <w:spacing w:val="3"/>
              </w:rPr>
              <w:t>1次半年</w:t>
            </w:r>
          </w:p>
        </w:tc>
        <w:tc>
          <w:tcPr>
            <w:tcW w:w="494" w:type="dxa"/>
            <w:vAlign w:val="top"/>
          </w:tcPr>
          <w:p>
            <w:pPr>
              <w:pStyle w:val="TableText"/>
              <w:ind w:left="189"/>
              <w:spacing w:before="42" w:line="194" w:lineRule="auto"/>
              <w:rPr>
                <w:sz w:val="21"/>
                <w:szCs w:val="21"/>
              </w:rPr>
            </w:pPr>
            <w:r>
              <w:rPr>
                <w:sz w:val="21"/>
                <w:szCs w:val="21"/>
                <w:color w:val="403040"/>
              </w:rPr>
              <w:t>/</w:t>
            </w:r>
          </w:p>
        </w:tc>
      </w:tr>
    </w:tbl>
    <w:p>
      <w:pPr>
        <w:ind w:left="108"/>
        <w:spacing w:before="61" w:line="222" w:lineRule="auto"/>
        <w:outlineLvl w:val="1"/>
        <w:rPr>
          <w:rFonts w:ascii="SimHei" w:hAnsi="SimHei" w:eastAsia="SimHei" w:cs="SimHei"/>
          <w:sz w:val="28"/>
          <w:szCs w:val="28"/>
        </w:rPr>
      </w:pPr>
      <w:bookmarkStart w:name="bookmark27" w:id="53"/>
      <w:bookmarkEnd w:id="53"/>
      <w:r>
        <w:rPr>
          <w:rFonts w:ascii="SimHei" w:hAnsi="SimHei" w:eastAsia="SimHei" w:cs="SimHei"/>
          <w:sz w:val="28"/>
          <w:szCs w:val="28"/>
          <w:b/>
          <w:bCs/>
          <w:spacing w:val="-8"/>
        </w:rPr>
        <w:t>2.7与项目有关的原有环境污染问题</w:t>
      </w:r>
    </w:p>
    <w:p>
      <w:pPr>
        <w:ind w:left="708"/>
        <w:spacing w:before="215" w:line="220" w:lineRule="auto"/>
        <w:rPr>
          <w:rFonts w:ascii="SimSun" w:hAnsi="SimSun" w:eastAsia="SimSun" w:cs="SimSun"/>
          <w:sz w:val="23"/>
          <w:szCs w:val="23"/>
        </w:rPr>
      </w:pPr>
      <w:r>
        <w:rPr>
          <w:rFonts w:ascii="SimSun" w:hAnsi="SimSun" w:eastAsia="SimSun" w:cs="SimSun"/>
          <w:sz w:val="23"/>
          <w:szCs w:val="23"/>
          <w:b/>
          <w:bCs/>
          <w:spacing w:val="13"/>
        </w:rPr>
        <w:t>(1)现有工程遗留环境问题</w:t>
      </w:r>
    </w:p>
    <w:p>
      <w:pPr>
        <w:ind w:left="104" w:right="334" w:firstLine="470"/>
        <w:spacing w:before="196" w:line="371" w:lineRule="auto"/>
        <w:jc w:val="both"/>
        <w:rPr>
          <w:rFonts w:ascii="SimSun" w:hAnsi="SimSun" w:eastAsia="SimSun" w:cs="SimSun"/>
          <w:sz w:val="23"/>
          <w:szCs w:val="23"/>
        </w:rPr>
      </w:pPr>
      <w:r>
        <w:rPr>
          <w:rFonts w:ascii="SimSun" w:hAnsi="SimSun" w:eastAsia="SimSun" w:cs="SimSun"/>
          <w:sz w:val="23"/>
          <w:szCs w:val="23"/>
          <w:spacing w:val="8"/>
        </w:rPr>
        <w:t>经分析，绵阳柒鑫食品有限公司废水、废气、噪声均</w:t>
      </w:r>
      <w:r>
        <w:rPr>
          <w:rFonts w:ascii="SimSun" w:hAnsi="SimSun" w:eastAsia="SimSun" w:cs="SimSun"/>
          <w:sz w:val="23"/>
          <w:szCs w:val="23"/>
          <w:spacing w:val="7"/>
        </w:rPr>
        <w:t>实现了污染物达标排</w:t>
      </w:r>
      <w:r>
        <w:rPr>
          <w:rFonts w:ascii="SimSun" w:hAnsi="SimSun" w:eastAsia="SimSun" w:cs="SimSun"/>
          <w:sz w:val="23"/>
          <w:szCs w:val="23"/>
        </w:rPr>
        <w:t xml:space="preserve"> </w:t>
      </w:r>
      <w:r>
        <w:rPr>
          <w:rFonts w:ascii="SimSun" w:hAnsi="SimSun" w:eastAsia="SimSun" w:cs="SimSun"/>
          <w:sz w:val="23"/>
          <w:szCs w:val="23"/>
          <w:spacing w:val="8"/>
        </w:rPr>
        <w:t>放；固体废物处理措施合理，对外环境影响小，</w:t>
      </w:r>
      <w:r>
        <w:rPr>
          <w:rFonts w:ascii="SimSun" w:hAnsi="SimSun" w:eastAsia="SimSun" w:cs="SimSun"/>
          <w:sz w:val="23"/>
          <w:szCs w:val="23"/>
          <w:spacing w:val="7"/>
        </w:rPr>
        <w:t>未改变区域环境功能区的环境</w:t>
      </w:r>
      <w:r>
        <w:rPr>
          <w:rFonts w:ascii="SimSun" w:hAnsi="SimSun" w:eastAsia="SimSun" w:cs="SimSun"/>
          <w:sz w:val="23"/>
          <w:szCs w:val="23"/>
        </w:rPr>
        <w:t xml:space="preserve"> </w:t>
      </w:r>
      <w:r>
        <w:rPr>
          <w:rFonts w:ascii="SimSun" w:hAnsi="SimSun" w:eastAsia="SimSun" w:cs="SimSun"/>
          <w:sz w:val="23"/>
          <w:szCs w:val="23"/>
          <w:spacing w:val="6"/>
        </w:rPr>
        <w:t>质量目标；现有工程环境风险防范措施可靠，具可操作性。</w:t>
      </w:r>
    </w:p>
    <w:p>
      <w:pPr>
        <w:ind w:left="104" w:right="124" w:firstLine="470"/>
        <w:spacing w:before="16" w:line="369" w:lineRule="auto"/>
        <w:rPr>
          <w:rFonts w:ascii="SimSun" w:hAnsi="SimSun" w:eastAsia="SimSun" w:cs="SimSun"/>
          <w:sz w:val="23"/>
          <w:szCs w:val="23"/>
        </w:rPr>
      </w:pPr>
      <w:r>
        <w:rPr>
          <w:rFonts w:ascii="SimSun" w:hAnsi="SimSun" w:eastAsia="SimSun" w:cs="SimSun"/>
          <w:sz w:val="23"/>
          <w:szCs w:val="23"/>
          <w:spacing w:val="9"/>
        </w:rPr>
        <w:t>通过现场踏勘以及相关资料收集分析，绵阳柒鑫食品有限公司</w:t>
      </w:r>
      <w:r>
        <w:rPr>
          <w:rFonts w:ascii="Times New Roman" w:hAnsi="Times New Roman" w:eastAsia="Times New Roman" w:cs="Times New Roman"/>
          <w:sz w:val="23"/>
          <w:szCs w:val="23"/>
          <w:spacing w:val="9"/>
        </w:rPr>
        <w:t>A</w:t>
      </w:r>
      <w:r>
        <w:rPr>
          <w:rFonts w:ascii="SimSun" w:hAnsi="SimSun" w:eastAsia="SimSun" w:cs="SimSun"/>
          <w:sz w:val="23"/>
          <w:szCs w:val="23"/>
          <w:spacing w:val="9"/>
        </w:rPr>
        <w:t>级</w:t>
      </w:r>
      <w:r>
        <w:rPr>
          <w:rFonts w:ascii="SimSun" w:hAnsi="SimSun" w:eastAsia="SimSun" w:cs="SimSun"/>
          <w:sz w:val="23"/>
          <w:szCs w:val="23"/>
          <w:spacing w:val="8"/>
        </w:rPr>
        <w:t>生猪定点</w:t>
      </w:r>
      <w:r>
        <w:rPr>
          <w:rFonts w:ascii="SimSun" w:hAnsi="SimSun" w:eastAsia="SimSun" w:cs="SimSun"/>
          <w:sz w:val="23"/>
          <w:szCs w:val="23"/>
        </w:rPr>
        <w:t xml:space="preserve"> </w:t>
      </w:r>
      <w:r>
        <w:rPr>
          <w:rFonts w:ascii="SimSun" w:hAnsi="SimSun" w:eastAsia="SimSun" w:cs="SimSun"/>
          <w:sz w:val="23"/>
          <w:szCs w:val="23"/>
          <w:spacing w:val="9"/>
        </w:rPr>
        <w:t>屠宰及食品加工项目于2019年4月25日进行</w:t>
      </w:r>
      <w:r>
        <w:rPr>
          <w:rFonts w:ascii="SimSun" w:hAnsi="SimSun" w:eastAsia="SimSun" w:cs="SimSun"/>
          <w:sz w:val="23"/>
          <w:szCs w:val="23"/>
          <w:spacing w:val="8"/>
        </w:rPr>
        <w:t>验收，验收时冷库未进行建设，不在</w:t>
      </w:r>
      <w:r>
        <w:rPr>
          <w:rFonts w:ascii="SimSun" w:hAnsi="SimSun" w:eastAsia="SimSun" w:cs="SimSun"/>
          <w:sz w:val="23"/>
          <w:szCs w:val="23"/>
        </w:rPr>
        <w:t xml:space="preserve"> </w:t>
      </w:r>
      <w:r>
        <w:rPr>
          <w:rFonts w:ascii="SimSun" w:hAnsi="SimSun" w:eastAsia="SimSun" w:cs="SimSun"/>
          <w:sz w:val="23"/>
          <w:szCs w:val="23"/>
          <w:spacing w:val="9"/>
        </w:rPr>
        <w:t>其验收范围内，冷库于2021年3月建设完工，冷库属于辅助设施，无污染物产</w:t>
      </w:r>
    </w:p>
    <w:p>
      <w:pPr>
        <w:ind w:left="104" w:right="252"/>
        <w:spacing w:before="1" w:line="371" w:lineRule="auto"/>
        <w:rPr>
          <w:rFonts w:ascii="SimSun" w:hAnsi="SimSun" w:eastAsia="SimSun" w:cs="SimSun"/>
          <w:sz w:val="23"/>
          <w:szCs w:val="23"/>
        </w:rPr>
      </w:pPr>
      <w:r>
        <w:rPr>
          <w:rFonts w:ascii="SimSun" w:hAnsi="SimSun" w:eastAsia="SimSun" w:cs="SimSun"/>
          <w:sz w:val="23"/>
          <w:szCs w:val="23"/>
          <w:spacing w:val="10"/>
        </w:rPr>
        <w:t>生，不需配套设置环保治理设备，同时，冷库不属于环保治理设备，无需单独</w:t>
      </w:r>
      <w:r>
        <w:rPr>
          <w:rFonts w:ascii="SimSun" w:hAnsi="SimSun" w:eastAsia="SimSun" w:cs="SimSun"/>
          <w:sz w:val="23"/>
          <w:szCs w:val="23"/>
          <w:spacing w:val="1"/>
        </w:rPr>
        <w:t xml:space="preserve"> </w:t>
      </w:r>
      <w:r>
        <w:rPr>
          <w:rFonts w:ascii="SimSun" w:hAnsi="SimSun" w:eastAsia="SimSun" w:cs="SimSun"/>
          <w:sz w:val="23"/>
          <w:szCs w:val="23"/>
          <w:spacing w:val="5"/>
        </w:rPr>
        <w:t>进行验收。</w:t>
      </w:r>
    </w:p>
    <w:p>
      <w:pPr>
        <w:ind w:left="104" w:right="327" w:firstLine="470"/>
        <w:spacing w:before="22" w:line="371" w:lineRule="auto"/>
        <w:jc w:val="both"/>
        <w:rPr>
          <w:rFonts w:ascii="SimSun" w:hAnsi="SimSun" w:eastAsia="SimSun" w:cs="SimSun"/>
          <w:sz w:val="23"/>
          <w:szCs w:val="23"/>
        </w:rPr>
      </w:pPr>
      <w:r>
        <w:rPr>
          <w:rFonts w:ascii="SimSun" w:hAnsi="SimSun" w:eastAsia="SimSun" w:cs="SimSun"/>
          <w:sz w:val="23"/>
          <w:szCs w:val="23"/>
          <w:spacing w:val="8"/>
        </w:rPr>
        <w:t>绵阳柒鑫食品有限公司现有项目均已履行了环境影响评价和竣工环境保护</w:t>
      </w:r>
      <w:r>
        <w:rPr>
          <w:rFonts w:ascii="SimSun" w:hAnsi="SimSun" w:eastAsia="SimSun" w:cs="SimSun"/>
          <w:sz w:val="23"/>
          <w:szCs w:val="23"/>
        </w:rPr>
        <w:t xml:space="preserve"> </w:t>
      </w:r>
      <w:r>
        <w:rPr>
          <w:rFonts w:ascii="SimSun" w:hAnsi="SimSun" w:eastAsia="SimSun" w:cs="SimSun"/>
          <w:sz w:val="23"/>
          <w:szCs w:val="23"/>
          <w:spacing w:val="8"/>
        </w:rPr>
        <w:t>验收手续，根据现有工程竣工环境保护验收报告和排</w:t>
      </w:r>
      <w:r>
        <w:rPr>
          <w:rFonts w:ascii="SimSun" w:hAnsi="SimSun" w:eastAsia="SimSun" w:cs="SimSun"/>
          <w:sz w:val="23"/>
          <w:szCs w:val="23"/>
          <w:spacing w:val="7"/>
        </w:rPr>
        <w:t>污许可证等资料，现有工</w:t>
      </w:r>
      <w:r>
        <w:rPr>
          <w:rFonts w:ascii="SimSun" w:hAnsi="SimSun" w:eastAsia="SimSun" w:cs="SimSun"/>
          <w:sz w:val="23"/>
          <w:szCs w:val="23"/>
        </w:rPr>
        <w:t xml:space="preserve"> </w:t>
      </w:r>
      <w:r>
        <w:rPr>
          <w:rFonts w:ascii="SimSun" w:hAnsi="SimSun" w:eastAsia="SimSun" w:cs="SimSun"/>
          <w:sz w:val="23"/>
          <w:szCs w:val="23"/>
          <w:spacing w:val="8"/>
        </w:rPr>
        <w:t>程建设和运行过程中基本落实了环评及批复中</w:t>
      </w:r>
      <w:r>
        <w:rPr>
          <w:rFonts w:ascii="SimSun" w:hAnsi="SimSun" w:eastAsia="SimSun" w:cs="SimSun"/>
          <w:sz w:val="23"/>
          <w:szCs w:val="23"/>
          <w:spacing w:val="7"/>
        </w:rPr>
        <w:t>提出的各项环境保护措施，并建</w:t>
      </w:r>
      <w:r>
        <w:rPr>
          <w:rFonts w:ascii="SimSun" w:hAnsi="SimSun" w:eastAsia="SimSun" w:cs="SimSun"/>
          <w:sz w:val="23"/>
          <w:szCs w:val="23"/>
        </w:rPr>
        <w:t xml:space="preserve"> </w:t>
      </w:r>
      <w:r>
        <w:rPr>
          <w:rFonts w:ascii="SimSun" w:hAnsi="SimSun" w:eastAsia="SimSun" w:cs="SimSun"/>
          <w:sz w:val="23"/>
          <w:szCs w:val="23"/>
          <w:spacing w:val="8"/>
        </w:rPr>
        <w:t>立了日常环境保护管理制度，各污染源均可以实现达标排放，无环境遗留问</w:t>
      </w:r>
    </w:p>
    <w:p>
      <w:pPr>
        <w:spacing w:line="371" w:lineRule="auto"/>
        <w:sectPr>
          <w:headerReference w:type="default" r:id="rId186"/>
          <w:footerReference w:type="default" r:id="rId187"/>
          <w:pgSz w:w="11910" w:h="16840"/>
          <w:pgMar w:top="1209" w:right="1715" w:bottom="1017" w:left="1675" w:header="855" w:footer="719" w:gutter="0"/>
        </w:sectPr>
        <w:rPr>
          <w:rFonts w:ascii="SimSun" w:hAnsi="SimSun" w:eastAsia="SimSun" w:cs="SimSun"/>
          <w:sz w:val="23"/>
          <w:szCs w:val="23"/>
        </w:rPr>
      </w:pPr>
    </w:p>
    <w:p>
      <w:pPr>
        <w:pStyle w:val="BodyText"/>
        <w:spacing w:line="273" w:lineRule="auto"/>
        <w:rPr/>
      </w:pPr>
      <w:r/>
    </w:p>
    <w:p>
      <w:pPr>
        <w:ind w:left="94"/>
        <w:spacing w:before="65" w:line="221" w:lineRule="auto"/>
        <w:rPr>
          <w:rFonts w:ascii="SimSun" w:hAnsi="SimSun" w:eastAsia="SimSun" w:cs="SimSun"/>
          <w:sz w:val="20"/>
          <w:szCs w:val="20"/>
        </w:rPr>
      </w:pPr>
      <w:r>
        <w:rPr>
          <w:rFonts w:ascii="SimSun" w:hAnsi="SimSun" w:eastAsia="SimSun" w:cs="SimSun"/>
          <w:sz w:val="20"/>
          <w:szCs w:val="20"/>
          <w:spacing w:val="-4"/>
        </w:rPr>
        <w:t>题 。</w:t>
      </w:r>
    </w:p>
    <w:p>
      <w:pPr>
        <w:ind w:left="698"/>
        <w:spacing w:before="146" w:line="220" w:lineRule="auto"/>
        <w:rPr>
          <w:rFonts w:ascii="SimSun" w:hAnsi="SimSun" w:eastAsia="SimSun" w:cs="SimSun"/>
          <w:sz w:val="24"/>
          <w:szCs w:val="24"/>
        </w:rPr>
      </w:pPr>
      <w:r>
        <w:rPr>
          <w:rFonts w:ascii="SimSun" w:hAnsi="SimSun" w:eastAsia="SimSun" w:cs="SimSun"/>
          <w:sz w:val="24"/>
          <w:szCs w:val="24"/>
          <w:b/>
          <w:bCs/>
          <w:spacing w:val="4"/>
        </w:rPr>
        <w:t>(2)项目选址遗留环境问题</w:t>
      </w:r>
    </w:p>
    <w:p>
      <w:pPr>
        <w:ind w:left="94" w:right="249" w:firstLine="490"/>
        <w:spacing w:before="207" w:line="353" w:lineRule="auto"/>
        <w:rPr>
          <w:rFonts w:ascii="SimSun" w:hAnsi="SimSun" w:eastAsia="SimSun" w:cs="SimSun"/>
          <w:sz w:val="24"/>
          <w:szCs w:val="24"/>
        </w:rPr>
      </w:pPr>
      <w:r>
        <w:rPr>
          <w:rFonts w:ascii="SimSun" w:hAnsi="SimSun" w:eastAsia="SimSun" w:cs="SimSun"/>
          <w:sz w:val="24"/>
          <w:szCs w:val="24"/>
        </w:rPr>
        <w:t>本项目为改扩建项目，选址于四川绵阳安州工</w:t>
      </w:r>
      <w:r>
        <w:rPr>
          <w:rFonts w:ascii="SimSun" w:hAnsi="SimSun" w:eastAsia="SimSun" w:cs="SimSun"/>
          <w:sz w:val="24"/>
          <w:szCs w:val="24"/>
          <w:spacing w:val="-1"/>
        </w:rPr>
        <w:t>业园内，位于绵阳市安州区</w:t>
      </w:r>
      <w:r>
        <w:rPr>
          <w:rFonts w:ascii="SimSun" w:hAnsi="SimSun" w:eastAsia="SimSun" w:cs="SimSun"/>
          <w:sz w:val="24"/>
          <w:szCs w:val="24"/>
        </w:rPr>
        <w:t xml:space="preserve"> </w:t>
      </w:r>
      <w:r>
        <w:rPr>
          <w:rFonts w:ascii="SimSun" w:hAnsi="SimSun" w:eastAsia="SimSun" w:cs="SimSun"/>
          <w:sz w:val="24"/>
          <w:szCs w:val="24"/>
          <w:spacing w:val="10"/>
        </w:rPr>
        <w:t>花芗镇前进村(横二路南侧),在紧挨原有厂房东北侧新购置土地，规划用地</w:t>
      </w:r>
      <w:r>
        <w:rPr>
          <w:rFonts w:ascii="SimSun" w:hAnsi="SimSun" w:eastAsia="SimSun" w:cs="SimSun"/>
          <w:sz w:val="24"/>
          <w:szCs w:val="24"/>
          <w:spacing w:val="18"/>
        </w:rPr>
        <w:t xml:space="preserve"> </w:t>
      </w:r>
      <w:r>
        <w:rPr>
          <w:rFonts w:ascii="SimSun" w:hAnsi="SimSun" w:eastAsia="SimSun" w:cs="SimSun"/>
          <w:sz w:val="24"/>
          <w:szCs w:val="24"/>
          <w:spacing w:val="9"/>
        </w:rPr>
        <w:t>面积为6670.12平方米，绵阳柒鑫食品有限公司于2020年11月13日取得由绵</w:t>
      </w:r>
      <w:r>
        <w:rPr>
          <w:rFonts w:ascii="SimSun" w:hAnsi="SimSun" w:eastAsia="SimSun" w:cs="SimSun"/>
          <w:sz w:val="24"/>
          <w:szCs w:val="24"/>
          <w:spacing w:val="4"/>
        </w:rPr>
        <w:t xml:space="preserve"> </w:t>
      </w:r>
      <w:r>
        <w:rPr>
          <w:rFonts w:ascii="SimSun" w:hAnsi="SimSun" w:eastAsia="SimSun" w:cs="SimSun"/>
          <w:sz w:val="24"/>
          <w:szCs w:val="24"/>
          <w:spacing w:val="10"/>
        </w:rPr>
        <w:t>阳市安州区自然资源局颁发的不动产权证书(川(2020)安州</w:t>
      </w:r>
      <w:r>
        <w:rPr>
          <w:rFonts w:ascii="SimSun" w:hAnsi="SimSun" w:eastAsia="SimSun" w:cs="SimSun"/>
          <w:sz w:val="24"/>
          <w:szCs w:val="24"/>
          <w:spacing w:val="9"/>
        </w:rPr>
        <w:t>区不动产权第</w:t>
      </w:r>
    </w:p>
    <w:p>
      <w:pPr>
        <w:ind w:left="94" w:right="144"/>
        <w:spacing w:before="2" w:line="354" w:lineRule="auto"/>
        <w:rPr>
          <w:rFonts w:ascii="SimSun" w:hAnsi="SimSun" w:eastAsia="SimSun" w:cs="SimSun"/>
          <w:sz w:val="24"/>
          <w:szCs w:val="24"/>
        </w:rPr>
      </w:pPr>
      <w:r>
        <w:rPr>
          <w:rFonts w:ascii="SimSun" w:hAnsi="SimSun" w:eastAsia="SimSun" w:cs="SimSun"/>
          <w:sz w:val="24"/>
          <w:szCs w:val="24"/>
          <w:spacing w:val="14"/>
        </w:rPr>
        <w:t>0004103号),地类(用途)为二类工业用地。根据现场调查，项目厂址原为</w:t>
      </w:r>
      <w:r>
        <w:rPr>
          <w:rFonts w:ascii="SimSun" w:hAnsi="SimSun" w:eastAsia="SimSun" w:cs="SimSun"/>
          <w:sz w:val="24"/>
          <w:szCs w:val="24"/>
          <w:spacing w:val="1"/>
        </w:rPr>
        <w:t xml:space="preserve">  </w:t>
      </w:r>
      <w:r>
        <w:rPr>
          <w:rFonts w:ascii="SimSun" w:hAnsi="SimSun" w:eastAsia="SimSun" w:cs="SimSun"/>
          <w:sz w:val="24"/>
          <w:szCs w:val="24"/>
          <w:spacing w:val="3"/>
        </w:rPr>
        <w:t>锯木加工厂，主要为木材切割加工，于2008年建成，由于市场因素以及企业经</w:t>
      </w:r>
      <w:r>
        <w:rPr>
          <w:rFonts w:ascii="SimSun" w:hAnsi="SimSun" w:eastAsia="SimSun" w:cs="SimSun"/>
          <w:sz w:val="24"/>
          <w:szCs w:val="24"/>
          <w:spacing w:val="1"/>
        </w:rPr>
        <w:t xml:space="preserve"> </w:t>
      </w:r>
      <w:r>
        <w:rPr>
          <w:rFonts w:ascii="SimSun" w:hAnsi="SimSun" w:eastAsia="SimSun" w:cs="SimSun"/>
          <w:sz w:val="24"/>
          <w:szCs w:val="24"/>
          <w:spacing w:val="3"/>
        </w:rPr>
        <w:t>营不善，导致2013年关闭，厂区内机械设备</w:t>
      </w:r>
      <w:r>
        <w:rPr>
          <w:rFonts w:ascii="SimSun" w:hAnsi="SimSun" w:eastAsia="SimSun" w:cs="SimSun"/>
          <w:sz w:val="24"/>
          <w:szCs w:val="24"/>
          <w:spacing w:val="2"/>
        </w:rPr>
        <w:t>早已拆除，当前只剩钢结构生产厂</w:t>
      </w:r>
      <w:r>
        <w:rPr>
          <w:rFonts w:ascii="SimSun" w:hAnsi="SimSun" w:eastAsia="SimSun" w:cs="SimSun"/>
          <w:sz w:val="24"/>
          <w:szCs w:val="24"/>
        </w:rPr>
        <w:t xml:space="preserve"> </w:t>
      </w:r>
      <w:r>
        <w:rPr>
          <w:rFonts w:ascii="SimSun" w:hAnsi="SimSun" w:eastAsia="SimSun" w:cs="SimSun"/>
          <w:sz w:val="24"/>
          <w:szCs w:val="24"/>
        </w:rPr>
        <w:t>房，至今已停产多年，该企业无相关环保手续；</w:t>
      </w:r>
      <w:r>
        <w:rPr>
          <w:rFonts w:ascii="SimSun" w:hAnsi="SimSun" w:eastAsia="SimSun" w:cs="SimSun"/>
          <w:sz w:val="24"/>
          <w:szCs w:val="24"/>
          <w:spacing w:val="-1"/>
        </w:rPr>
        <w:t>根据类比调查同类锯木加工</w:t>
      </w:r>
    </w:p>
    <w:p>
      <w:pPr>
        <w:ind w:left="94" w:right="144"/>
        <w:spacing w:before="1" w:line="355" w:lineRule="auto"/>
        <w:rPr>
          <w:rFonts w:ascii="SimSun" w:hAnsi="SimSun" w:eastAsia="SimSun" w:cs="SimSun"/>
          <w:sz w:val="24"/>
          <w:szCs w:val="24"/>
        </w:rPr>
      </w:pPr>
      <w:r>
        <w:rPr>
          <w:rFonts w:ascii="SimSun" w:hAnsi="SimSun" w:eastAsia="SimSun" w:cs="SimSun"/>
          <w:sz w:val="24"/>
          <w:szCs w:val="24"/>
          <w:spacing w:val="7"/>
        </w:rPr>
        <w:t>厂，产生的污染物主要为废气(颗粒物)、生活污水、噪声，其污染物随着停</w:t>
      </w:r>
      <w:r>
        <w:rPr>
          <w:rFonts w:ascii="SimSun" w:hAnsi="SimSun" w:eastAsia="SimSun" w:cs="SimSun"/>
          <w:sz w:val="24"/>
          <w:szCs w:val="24"/>
          <w:spacing w:val="2"/>
        </w:rPr>
        <w:t xml:space="preserve">  </w:t>
      </w:r>
      <w:r>
        <w:rPr>
          <w:rFonts w:ascii="SimSun" w:hAnsi="SimSun" w:eastAsia="SimSun" w:cs="SimSun"/>
          <w:sz w:val="24"/>
          <w:szCs w:val="24"/>
          <w:spacing w:val="9"/>
        </w:rPr>
        <w:t>产已消失；2023年10月该钢结构生产厂房已拆除，该地块从2023年10月</w:t>
      </w:r>
      <w:r>
        <w:rPr>
          <w:rFonts w:ascii="SimSun" w:hAnsi="SimSun" w:eastAsia="SimSun" w:cs="SimSun"/>
          <w:sz w:val="24"/>
          <w:szCs w:val="24"/>
          <w:spacing w:val="8"/>
        </w:rPr>
        <w:t>至今</w:t>
      </w:r>
      <w:r>
        <w:rPr>
          <w:rFonts w:ascii="SimSun" w:hAnsi="SimSun" w:eastAsia="SimSun" w:cs="SimSun"/>
          <w:sz w:val="24"/>
          <w:szCs w:val="24"/>
        </w:rPr>
        <w:t xml:space="preserve"> </w:t>
      </w:r>
      <w:r>
        <w:rPr>
          <w:rFonts w:ascii="SimSun" w:hAnsi="SimSun" w:eastAsia="SimSun" w:cs="SimSun"/>
          <w:sz w:val="24"/>
          <w:szCs w:val="24"/>
          <w:spacing w:val="-3"/>
        </w:rPr>
        <w:t>处于空置状态，根据现场踏勘，无遗留环境问题。</w:t>
      </w:r>
    </w:p>
    <w:p>
      <w:pPr>
        <w:spacing w:line="110" w:lineRule="auto"/>
        <w:rPr>
          <w:rFonts w:ascii="Arial"/>
          <w:sz w:val="2"/>
        </w:rPr>
      </w:pPr>
      <w:r>
        <w:rPr>
          <w:rFonts w:ascii="Arial"/>
          <w:sz w:val="2"/>
        </w:rPr>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240"/>
        <w:gridCol w:w="4259"/>
      </w:tblGrid>
      <w:tr>
        <w:trPr>
          <w:trHeight w:val="2350" w:hRule="atLeast"/>
        </w:trPr>
        <w:tc>
          <w:tcPr>
            <w:tcW w:w="4240" w:type="dxa"/>
            <w:vAlign w:val="top"/>
          </w:tcPr>
          <w:p>
            <w:pPr>
              <w:ind w:firstLine="55"/>
              <w:spacing w:before="24" w:line="2300" w:lineRule="exact"/>
              <w:rPr/>
            </w:pPr>
            <w:r>
              <w:rPr>
                <w:position w:val="-46"/>
              </w:rPr>
              <w:drawing>
                <wp:inline distT="0" distB="0" distL="0" distR="0">
                  <wp:extent cx="2559041" cy="1460504"/>
                  <wp:effectExtent l="0" t="0" r="0" b="0"/>
                  <wp:docPr id="40" name="IM 40"/>
                  <wp:cNvGraphicFramePr/>
                  <a:graphic>
                    <a:graphicData uri="http://schemas.openxmlformats.org/drawingml/2006/picture">
                      <pic:pic>
                        <pic:nvPicPr>
                          <pic:cNvPr id="40" name="IM 40"/>
                          <pic:cNvPicPr/>
                        </pic:nvPicPr>
                        <pic:blipFill>
                          <a:blip r:embed="rId189"/>
                          <a:stretch>
                            <a:fillRect/>
                          </a:stretch>
                        </pic:blipFill>
                        <pic:spPr>
                          <a:xfrm rot="0">
                            <a:off x="0" y="0"/>
                            <a:ext cx="2559041" cy="1460504"/>
                          </a:xfrm>
                          <a:prstGeom prst="rect">
                            <a:avLst/>
                          </a:prstGeom>
                        </pic:spPr>
                      </pic:pic>
                    </a:graphicData>
                  </a:graphic>
                </wp:inline>
              </w:drawing>
            </w:r>
          </w:p>
        </w:tc>
        <w:tc>
          <w:tcPr>
            <w:tcW w:w="4259" w:type="dxa"/>
            <w:vAlign w:val="top"/>
          </w:tcPr>
          <w:p>
            <w:pPr>
              <w:ind w:firstLine="95"/>
              <w:spacing w:before="24" w:line="2300" w:lineRule="exact"/>
              <w:rPr/>
            </w:pPr>
            <w:r>
              <w:rPr>
                <w:position w:val="-46"/>
              </w:rPr>
              <w:drawing>
                <wp:inline distT="0" distB="0" distL="0" distR="0">
                  <wp:extent cx="2565394" cy="1460504"/>
                  <wp:effectExtent l="0" t="0" r="0" b="0"/>
                  <wp:docPr id="42" name="IM 42"/>
                  <wp:cNvGraphicFramePr/>
                  <a:graphic>
                    <a:graphicData uri="http://schemas.openxmlformats.org/drawingml/2006/picture">
                      <pic:pic>
                        <pic:nvPicPr>
                          <pic:cNvPr id="42" name="IM 42"/>
                          <pic:cNvPicPr/>
                        </pic:nvPicPr>
                        <pic:blipFill>
                          <a:blip r:embed="rId190"/>
                          <a:stretch>
                            <a:fillRect/>
                          </a:stretch>
                        </pic:blipFill>
                        <pic:spPr>
                          <a:xfrm rot="0">
                            <a:off x="0" y="0"/>
                            <a:ext cx="2565394" cy="1460504"/>
                          </a:xfrm>
                          <a:prstGeom prst="rect">
                            <a:avLst/>
                          </a:prstGeom>
                        </pic:spPr>
                      </pic:pic>
                    </a:graphicData>
                  </a:graphic>
                </wp:inline>
              </w:drawing>
            </w:r>
          </w:p>
        </w:tc>
      </w:tr>
      <w:tr>
        <w:trPr>
          <w:trHeight w:val="280" w:hRule="atLeast"/>
        </w:trPr>
        <w:tc>
          <w:tcPr>
            <w:tcW w:w="4240" w:type="dxa"/>
            <w:vAlign w:val="top"/>
          </w:tcPr>
          <w:p>
            <w:pPr>
              <w:pStyle w:val="TableText"/>
              <w:ind w:left="904"/>
              <w:spacing w:before="34" w:line="189" w:lineRule="auto"/>
              <w:rPr>
                <w:sz w:val="23"/>
                <w:szCs w:val="23"/>
              </w:rPr>
            </w:pPr>
            <w:r>
              <w:rPr>
                <w:sz w:val="23"/>
                <w:szCs w:val="23"/>
                <w:spacing w:val="1"/>
              </w:rPr>
              <w:t>2005年4月13日卫星截图</w:t>
            </w:r>
          </w:p>
        </w:tc>
        <w:tc>
          <w:tcPr>
            <w:tcW w:w="4259" w:type="dxa"/>
            <w:vAlign w:val="top"/>
          </w:tcPr>
          <w:p>
            <w:pPr>
              <w:pStyle w:val="TableText"/>
              <w:ind w:left="915"/>
              <w:spacing w:before="34" w:line="189" w:lineRule="auto"/>
              <w:rPr>
                <w:sz w:val="23"/>
                <w:szCs w:val="23"/>
              </w:rPr>
            </w:pPr>
            <w:r>
              <w:rPr>
                <w:sz w:val="23"/>
                <w:szCs w:val="23"/>
                <w:spacing w:val="1"/>
              </w:rPr>
              <w:t>2010年10月2日卫星截图</w:t>
            </w:r>
          </w:p>
        </w:tc>
      </w:tr>
      <w:tr>
        <w:trPr>
          <w:trHeight w:val="2236" w:hRule="atLeast"/>
        </w:trPr>
        <w:tc>
          <w:tcPr>
            <w:tcW w:w="4240" w:type="dxa"/>
            <w:vAlign w:val="top"/>
          </w:tcPr>
          <w:p>
            <w:pPr>
              <w:ind w:firstLine="25"/>
              <w:spacing w:before="25" w:line="2189" w:lineRule="exact"/>
              <w:rPr/>
            </w:pPr>
            <w:r>
              <w:rPr>
                <w:position w:val="-43"/>
              </w:rPr>
              <w:drawing>
                <wp:inline distT="0" distB="0" distL="0" distR="0">
                  <wp:extent cx="2622493" cy="1390569"/>
                  <wp:effectExtent l="0" t="0" r="0" b="0"/>
                  <wp:docPr id="44" name="IM 44"/>
                  <wp:cNvGraphicFramePr/>
                  <a:graphic>
                    <a:graphicData uri="http://schemas.openxmlformats.org/drawingml/2006/picture">
                      <pic:pic>
                        <pic:nvPicPr>
                          <pic:cNvPr id="44" name="IM 44"/>
                          <pic:cNvPicPr/>
                        </pic:nvPicPr>
                        <pic:blipFill>
                          <a:blip r:embed="rId191"/>
                          <a:stretch>
                            <a:fillRect/>
                          </a:stretch>
                        </pic:blipFill>
                        <pic:spPr>
                          <a:xfrm rot="0">
                            <a:off x="0" y="0"/>
                            <a:ext cx="2622493" cy="1390569"/>
                          </a:xfrm>
                          <a:prstGeom prst="rect">
                            <a:avLst/>
                          </a:prstGeom>
                        </pic:spPr>
                      </pic:pic>
                    </a:graphicData>
                  </a:graphic>
                </wp:inline>
              </w:drawing>
            </w:r>
          </w:p>
        </w:tc>
        <w:tc>
          <w:tcPr>
            <w:tcW w:w="4259" w:type="dxa"/>
            <w:vAlign w:val="top"/>
          </w:tcPr>
          <w:p>
            <w:pPr>
              <w:ind w:firstLine="54"/>
              <w:spacing w:before="25" w:line="2189" w:lineRule="exact"/>
              <w:rPr/>
            </w:pPr>
            <w:r>
              <w:rPr>
                <w:position w:val="-43"/>
              </w:rPr>
              <w:drawing>
                <wp:inline distT="0" distB="0" distL="0" distR="0">
                  <wp:extent cx="2647904" cy="1390569"/>
                  <wp:effectExtent l="0" t="0" r="0" b="0"/>
                  <wp:docPr id="46" name="IM 46"/>
                  <wp:cNvGraphicFramePr/>
                  <a:graphic>
                    <a:graphicData uri="http://schemas.openxmlformats.org/drawingml/2006/picture">
                      <pic:pic>
                        <pic:nvPicPr>
                          <pic:cNvPr id="46" name="IM 46"/>
                          <pic:cNvPicPr/>
                        </pic:nvPicPr>
                        <pic:blipFill>
                          <a:blip r:embed="rId192"/>
                          <a:stretch>
                            <a:fillRect/>
                          </a:stretch>
                        </pic:blipFill>
                        <pic:spPr>
                          <a:xfrm rot="0">
                            <a:off x="0" y="0"/>
                            <a:ext cx="2647904" cy="1390569"/>
                          </a:xfrm>
                          <a:prstGeom prst="rect">
                            <a:avLst/>
                          </a:prstGeom>
                        </pic:spPr>
                      </pic:pic>
                    </a:graphicData>
                  </a:graphic>
                </wp:inline>
              </w:drawing>
            </w:r>
          </w:p>
        </w:tc>
      </w:tr>
      <w:tr>
        <w:trPr>
          <w:trHeight w:val="284" w:hRule="atLeast"/>
        </w:trPr>
        <w:tc>
          <w:tcPr>
            <w:tcW w:w="4240" w:type="dxa"/>
            <w:vAlign w:val="top"/>
          </w:tcPr>
          <w:p>
            <w:pPr>
              <w:pStyle w:val="TableText"/>
              <w:ind w:left="845"/>
              <w:spacing w:before="38" w:line="189" w:lineRule="auto"/>
              <w:rPr>
                <w:sz w:val="23"/>
                <w:szCs w:val="23"/>
              </w:rPr>
            </w:pPr>
            <w:r>
              <w:rPr>
                <w:sz w:val="23"/>
                <w:szCs w:val="23"/>
                <w:spacing w:val="1"/>
              </w:rPr>
              <w:t>2023年10月14日卫星截图</w:t>
            </w:r>
          </w:p>
        </w:tc>
        <w:tc>
          <w:tcPr>
            <w:tcW w:w="4259" w:type="dxa"/>
            <w:vAlign w:val="top"/>
          </w:tcPr>
          <w:p>
            <w:pPr>
              <w:pStyle w:val="TableText"/>
              <w:ind w:left="915"/>
              <w:spacing w:before="38" w:line="189" w:lineRule="auto"/>
              <w:rPr>
                <w:sz w:val="23"/>
                <w:szCs w:val="23"/>
              </w:rPr>
            </w:pPr>
            <w:r>
              <w:rPr>
                <w:sz w:val="23"/>
                <w:szCs w:val="23"/>
                <w:spacing w:val="1"/>
              </w:rPr>
              <w:t>2024年5月13日卫星截图</w:t>
            </w:r>
          </w:p>
        </w:tc>
      </w:tr>
    </w:tbl>
    <w:p>
      <w:pPr>
        <w:ind w:left="108"/>
        <w:spacing w:before="82" w:line="219" w:lineRule="auto"/>
        <w:outlineLvl w:val="1"/>
        <w:rPr>
          <w:rFonts w:ascii="SimSun" w:hAnsi="SimSun" w:eastAsia="SimSun" w:cs="SimSun"/>
          <w:sz w:val="27"/>
          <w:szCs w:val="27"/>
        </w:rPr>
      </w:pPr>
      <w:bookmarkStart w:name="bookmark28" w:id="54"/>
      <w:bookmarkEnd w:id="54"/>
      <w:r>
        <w:rPr>
          <w:rFonts w:ascii="SimSun" w:hAnsi="SimSun" w:eastAsia="SimSun" w:cs="SimSun"/>
          <w:sz w:val="27"/>
          <w:szCs w:val="27"/>
          <w:b/>
          <w:bCs/>
          <w:spacing w:val="-5"/>
        </w:rPr>
        <w:t>2.8以新带老措施</w:t>
      </w:r>
    </w:p>
    <w:p>
      <w:pPr>
        <w:ind w:left="94" w:right="294" w:firstLine="590"/>
        <w:spacing w:before="222" w:line="347" w:lineRule="auto"/>
        <w:rPr>
          <w:rFonts w:ascii="SimSun" w:hAnsi="SimSun" w:eastAsia="SimSun" w:cs="SimSun"/>
          <w:sz w:val="24"/>
          <w:szCs w:val="24"/>
        </w:rPr>
      </w:pPr>
      <w:r>
        <w:rPr>
          <w:rFonts w:ascii="SimSun" w:hAnsi="SimSun" w:eastAsia="SimSun" w:cs="SimSun"/>
          <w:sz w:val="24"/>
          <w:szCs w:val="24"/>
          <w:spacing w:val="2"/>
        </w:rPr>
        <w:t>(1)绵阳柒鑫食品有限公司原项目屠宰车间、待宰圈舍恶臭为无组织排  </w:t>
      </w:r>
      <w:r>
        <w:rPr>
          <w:rFonts w:ascii="SimSun" w:hAnsi="SimSun" w:eastAsia="SimSun" w:cs="SimSun"/>
          <w:sz w:val="24"/>
          <w:szCs w:val="24"/>
          <w:spacing w:val="-1"/>
        </w:rPr>
        <w:t>放，为降低屠宰车间、待宰圈舍恶臭对周边环境的影响，改扩</w:t>
      </w:r>
      <w:r>
        <w:rPr>
          <w:rFonts w:ascii="SimSun" w:hAnsi="SimSun" w:eastAsia="SimSun" w:cs="SimSun"/>
          <w:sz w:val="24"/>
          <w:szCs w:val="24"/>
          <w:spacing w:val="-2"/>
        </w:rPr>
        <w:t>建完成后，生猪</w:t>
      </w:r>
      <w:r>
        <w:rPr>
          <w:rFonts w:ascii="SimSun" w:hAnsi="SimSun" w:eastAsia="SimSun" w:cs="SimSun"/>
          <w:sz w:val="24"/>
          <w:szCs w:val="24"/>
        </w:rPr>
        <w:t xml:space="preserve"> </w:t>
      </w:r>
      <w:r>
        <w:rPr>
          <w:rFonts w:ascii="SimSun" w:hAnsi="SimSun" w:eastAsia="SimSun" w:cs="SimSun"/>
          <w:sz w:val="24"/>
          <w:szCs w:val="24"/>
        </w:rPr>
        <w:t>待宰圈舍恶臭经负压密闭抽风系统引入“喷淋+</w:t>
      </w:r>
      <w:r>
        <w:rPr>
          <w:rFonts w:ascii="Times New Roman" w:hAnsi="Times New Roman" w:eastAsia="Times New Roman" w:cs="Times New Roman"/>
          <w:sz w:val="24"/>
          <w:szCs w:val="24"/>
        </w:rPr>
        <w:t>UV</w:t>
      </w:r>
      <w:r>
        <w:rPr>
          <w:rFonts w:ascii="SimSun" w:hAnsi="SimSun" w:eastAsia="SimSun" w:cs="SimSun"/>
          <w:sz w:val="24"/>
          <w:szCs w:val="24"/>
        </w:rPr>
        <w:t>光</w:t>
      </w:r>
      <w:r>
        <w:rPr>
          <w:rFonts w:ascii="SimSun" w:hAnsi="SimSun" w:eastAsia="SimSun" w:cs="SimSun"/>
          <w:sz w:val="24"/>
          <w:szCs w:val="24"/>
          <w:spacing w:val="-1"/>
        </w:rPr>
        <w:t>解+活性炭吸附装置</w:t>
      </w:r>
    </w:p>
    <w:p>
      <w:pPr>
        <w:ind w:left="234"/>
        <w:spacing w:line="212" w:lineRule="auto"/>
        <w:rPr>
          <w:rFonts w:ascii="SimSun" w:hAnsi="SimSun" w:eastAsia="SimSun" w:cs="SimSun"/>
          <w:sz w:val="24"/>
          <w:szCs w:val="24"/>
        </w:rPr>
      </w:pP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TA</w:t>
      </w:r>
      <w:r>
        <w:rPr>
          <w:rFonts w:ascii="Times New Roman" w:hAnsi="Times New Roman" w:eastAsia="Times New Roman" w:cs="Times New Roman"/>
          <w:sz w:val="24"/>
          <w:szCs w:val="24"/>
          <w:spacing w:val="2"/>
        </w:rPr>
        <w:t>001)”     </w:t>
      </w:r>
      <w:r>
        <w:rPr>
          <w:rFonts w:ascii="SimSun" w:hAnsi="SimSun" w:eastAsia="SimSun" w:cs="SimSun"/>
          <w:sz w:val="24"/>
          <w:szCs w:val="24"/>
          <w:spacing w:val="2"/>
        </w:rPr>
        <w:t>处理后，通过1根15</w:t>
      </w:r>
      <w:r>
        <w:rPr>
          <w:rFonts w:ascii="Times New Roman" w:hAnsi="Times New Roman" w:eastAsia="Times New Roman" w:cs="Times New Roman"/>
          <w:sz w:val="24"/>
          <w:szCs w:val="24"/>
          <w:spacing w:val="2"/>
        </w:rPr>
        <w:t>m</w:t>
      </w:r>
      <w:r>
        <w:rPr>
          <w:rFonts w:ascii="SimSun" w:hAnsi="SimSun" w:eastAsia="SimSun" w:cs="SimSun"/>
          <w:sz w:val="24"/>
          <w:szCs w:val="24"/>
          <w:spacing w:val="2"/>
        </w:rPr>
        <w:t>高排气筒</w:t>
      </w:r>
      <w:r>
        <w:rPr>
          <w:rFonts w:ascii="SimSun" w:hAnsi="SimSun" w:eastAsia="SimSun" w:cs="SimSun"/>
          <w:sz w:val="24"/>
          <w:szCs w:val="24"/>
          <w:spacing w:val="-24"/>
        </w:rPr>
        <w:t xml:space="preserve"> </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2"/>
        </w:rPr>
        <w:t>00</w:t>
      </w:r>
      <w:r>
        <w:rPr>
          <w:rFonts w:ascii="Times New Roman" w:hAnsi="Times New Roman" w:eastAsia="Times New Roman" w:cs="Times New Roman"/>
          <w:sz w:val="24"/>
          <w:szCs w:val="24"/>
          <w:spacing w:val="1"/>
        </w:rPr>
        <w:t>1)   </w:t>
      </w:r>
      <w:r>
        <w:rPr>
          <w:rFonts w:ascii="SimSun" w:hAnsi="SimSun" w:eastAsia="SimSun" w:cs="SimSun"/>
          <w:sz w:val="24"/>
          <w:szCs w:val="24"/>
          <w:spacing w:val="1"/>
        </w:rPr>
        <w:t>达标排放；生猪屠宰车</w:t>
      </w:r>
    </w:p>
    <w:p>
      <w:pPr>
        <w:spacing w:line="212" w:lineRule="auto"/>
        <w:sectPr>
          <w:headerReference w:type="default" r:id="rId99"/>
          <w:footerReference w:type="default" r:id="rId188"/>
          <w:pgSz w:w="11910" w:h="16840"/>
          <w:pgMar w:top="1210" w:right="1715" w:bottom="991" w:left="1685" w:header="902" w:footer="732" w:gutter="0"/>
        </w:sectPr>
        <w:rPr>
          <w:rFonts w:ascii="SimSun" w:hAnsi="SimSun" w:eastAsia="SimSun" w:cs="SimSun"/>
          <w:sz w:val="24"/>
          <w:szCs w:val="24"/>
        </w:rPr>
      </w:pPr>
    </w:p>
    <w:p>
      <w:pPr>
        <w:ind w:left="104"/>
        <w:spacing w:before="255" w:line="212" w:lineRule="auto"/>
        <w:rPr>
          <w:rFonts w:ascii="Times New Roman" w:hAnsi="Times New Roman" w:eastAsia="Times New Roman" w:cs="Times New Roman"/>
          <w:sz w:val="24"/>
          <w:szCs w:val="24"/>
        </w:rPr>
      </w:pPr>
      <w:r>
        <w:rPr>
          <w:rFonts w:ascii="SimSun" w:hAnsi="SimSun" w:eastAsia="SimSun" w:cs="SimSun"/>
          <w:sz w:val="24"/>
          <w:szCs w:val="24"/>
          <w:spacing w:val="2"/>
        </w:rPr>
        <w:t>间恶臭经负压密闭抽风系统引入“喷淋+</w:t>
      </w:r>
      <w:r>
        <w:rPr>
          <w:rFonts w:ascii="Times New Roman" w:hAnsi="Times New Roman" w:eastAsia="Times New Roman" w:cs="Times New Roman"/>
          <w:sz w:val="24"/>
          <w:szCs w:val="24"/>
        </w:rPr>
        <w:t>UV</w:t>
      </w:r>
      <w:r>
        <w:rPr>
          <w:rFonts w:ascii="SimSun" w:hAnsi="SimSun" w:eastAsia="SimSun" w:cs="SimSun"/>
          <w:sz w:val="24"/>
          <w:szCs w:val="24"/>
          <w:spacing w:val="2"/>
        </w:rPr>
        <w:t>光解+活性炭吸附装置</w:t>
      </w:r>
      <w:r>
        <w:rPr>
          <w:rFonts w:ascii="SimSun" w:hAnsi="SimSun" w:eastAsia="SimSun" w:cs="SimSun"/>
          <w:sz w:val="24"/>
          <w:szCs w:val="24"/>
          <w:spacing w:val="-43"/>
        </w:rPr>
        <w:t xml:space="preserve"> </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TA</w:t>
      </w:r>
      <w:r>
        <w:rPr>
          <w:rFonts w:ascii="Times New Roman" w:hAnsi="Times New Roman" w:eastAsia="Times New Roman" w:cs="Times New Roman"/>
          <w:sz w:val="24"/>
          <w:szCs w:val="24"/>
          <w:spacing w:val="2"/>
        </w:rPr>
        <w:t>002)”</w:t>
      </w:r>
    </w:p>
    <w:p>
      <w:pPr>
        <w:ind w:left="104" w:right="189"/>
        <w:spacing w:before="192" w:line="364" w:lineRule="auto"/>
        <w:rPr>
          <w:rFonts w:ascii="SimSun" w:hAnsi="SimSun" w:eastAsia="SimSun" w:cs="SimSun"/>
          <w:sz w:val="24"/>
          <w:szCs w:val="24"/>
        </w:rPr>
      </w:pPr>
      <w:r>
        <w:rPr>
          <w:rFonts w:ascii="SimSun" w:hAnsi="SimSun" w:eastAsia="SimSun" w:cs="SimSun"/>
          <w:sz w:val="24"/>
          <w:szCs w:val="24"/>
          <w:spacing w:val="1"/>
        </w:rPr>
        <w:t>处理后，通过1根15</w:t>
      </w:r>
      <w:r>
        <w:rPr>
          <w:rFonts w:ascii="Times New Roman" w:hAnsi="Times New Roman" w:eastAsia="Times New Roman" w:cs="Times New Roman"/>
          <w:sz w:val="24"/>
          <w:szCs w:val="24"/>
          <w:spacing w:val="1"/>
        </w:rPr>
        <w:t>m</w:t>
      </w:r>
      <w:r>
        <w:rPr>
          <w:rFonts w:ascii="SimSun" w:hAnsi="SimSun" w:eastAsia="SimSun" w:cs="SimSun"/>
          <w:sz w:val="24"/>
          <w:szCs w:val="24"/>
          <w:spacing w:val="1"/>
        </w:rPr>
        <w:t>高排气筒</w:t>
      </w:r>
      <w:r>
        <w:rPr>
          <w:rFonts w:ascii="SimSun" w:hAnsi="SimSun" w:eastAsia="SimSun" w:cs="SimSun"/>
          <w:sz w:val="24"/>
          <w:szCs w:val="24"/>
          <w:spacing w:val="-30"/>
        </w:rPr>
        <w:t xml:space="preserve"> </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1"/>
        </w:rPr>
        <w:t>002)   </w:t>
      </w:r>
      <w:r>
        <w:rPr>
          <w:rFonts w:ascii="SimSun" w:hAnsi="SimSun" w:eastAsia="SimSun" w:cs="SimSun"/>
          <w:sz w:val="24"/>
          <w:szCs w:val="24"/>
          <w:spacing w:val="1"/>
        </w:rPr>
        <w:t>达标排放；肉牛待宰圈舍、屠宰车间</w:t>
      </w:r>
      <w:r>
        <w:rPr>
          <w:rFonts w:ascii="SimSun" w:hAnsi="SimSun" w:eastAsia="SimSun" w:cs="SimSun"/>
          <w:sz w:val="24"/>
          <w:szCs w:val="24"/>
        </w:rPr>
        <w:t xml:space="preserve"> </w:t>
      </w:r>
      <w:r>
        <w:rPr>
          <w:rFonts w:ascii="SimSun" w:hAnsi="SimSun" w:eastAsia="SimSun" w:cs="SimSun"/>
          <w:sz w:val="24"/>
          <w:szCs w:val="24"/>
          <w:spacing w:val="1"/>
        </w:rPr>
        <w:t>恶臭经负压密闭抽风系统引入“喷淋+</w:t>
      </w:r>
      <w:r>
        <w:rPr>
          <w:rFonts w:ascii="Times New Roman" w:hAnsi="Times New Roman" w:eastAsia="Times New Roman" w:cs="Times New Roman"/>
          <w:sz w:val="24"/>
          <w:szCs w:val="24"/>
        </w:rPr>
        <w:t>UV</w:t>
      </w:r>
      <w:r>
        <w:rPr>
          <w:rFonts w:ascii="SimSun" w:hAnsi="SimSun" w:eastAsia="SimSun" w:cs="SimSun"/>
          <w:sz w:val="24"/>
          <w:szCs w:val="24"/>
          <w:spacing w:val="1"/>
        </w:rPr>
        <w:t>光解+</w:t>
      </w:r>
      <w:r>
        <w:rPr>
          <w:rFonts w:ascii="SimSun" w:hAnsi="SimSun" w:eastAsia="SimSun" w:cs="SimSun"/>
          <w:sz w:val="24"/>
          <w:szCs w:val="24"/>
        </w:rPr>
        <w:t>活性炭吸附装置</w:t>
      </w:r>
      <w:r>
        <w:rPr>
          <w:rFonts w:ascii="SimSun" w:hAnsi="SimSun" w:eastAsia="SimSun" w:cs="SimSun"/>
          <w:sz w:val="24"/>
          <w:szCs w:val="24"/>
          <w:spacing w:val="-59"/>
        </w:rPr>
        <w:t xml:space="preserve"> </w:t>
      </w:r>
      <w:r>
        <w:rPr>
          <w:rFonts w:ascii="Times New Roman" w:hAnsi="Times New Roman" w:eastAsia="Times New Roman" w:cs="Times New Roman"/>
          <w:sz w:val="24"/>
          <w:szCs w:val="24"/>
        </w:rPr>
        <w:t>(TA003)”      </w:t>
      </w:r>
      <w:r>
        <w:rPr>
          <w:rFonts w:ascii="SimSun" w:hAnsi="SimSun" w:eastAsia="SimSun" w:cs="SimSun"/>
          <w:sz w:val="24"/>
          <w:szCs w:val="24"/>
        </w:rPr>
        <w:t>处 </w:t>
      </w:r>
      <w:r>
        <w:rPr>
          <w:rFonts w:ascii="SimSun" w:hAnsi="SimSun" w:eastAsia="SimSun" w:cs="SimSun"/>
          <w:sz w:val="24"/>
          <w:szCs w:val="24"/>
          <w:spacing w:val="1"/>
        </w:rPr>
        <w:t>理后，通过1根15</w:t>
      </w:r>
      <w:r>
        <w:rPr>
          <w:rFonts w:ascii="Times New Roman" w:hAnsi="Times New Roman" w:eastAsia="Times New Roman" w:cs="Times New Roman"/>
          <w:sz w:val="24"/>
          <w:szCs w:val="24"/>
          <w:spacing w:val="1"/>
        </w:rPr>
        <w:t>m</w:t>
      </w:r>
      <w:r>
        <w:rPr>
          <w:rFonts w:ascii="SimSun" w:hAnsi="SimSun" w:eastAsia="SimSun" w:cs="SimSun"/>
          <w:sz w:val="24"/>
          <w:szCs w:val="24"/>
          <w:spacing w:val="1"/>
        </w:rPr>
        <w:t>高排气筒</w:t>
      </w:r>
      <w:r>
        <w:rPr>
          <w:rFonts w:ascii="SimSun" w:hAnsi="SimSun" w:eastAsia="SimSun" w:cs="SimSun"/>
          <w:sz w:val="24"/>
          <w:szCs w:val="24"/>
          <w:spacing w:val="-45"/>
        </w:rPr>
        <w:t xml:space="preserve"> </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1"/>
        </w:rPr>
        <w:t>003)   </w:t>
      </w:r>
      <w:r>
        <w:rPr>
          <w:rFonts w:ascii="SimSun" w:hAnsi="SimSun" w:eastAsia="SimSun" w:cs="SimSun"/>
          <w:sz w:val="24"/>
          <w:szCs w:val="24"/>
          <w:spacing w:val="1"/>
        </w:rPr>
        <w:t>达标排放；设置双开门</w:t>
      </w:r>
      <w:r>
        <w:rPr>
          <w:rFonts w:ascii="SimSun" w:hAnsi="SimSun" w:eastAsia="SimSun" w:cs="SimSun"/>
          <w:sz w:val="24"/>
          <w:szCs w:val="24"/>
        </w:rPr>
        <w:t>密闭厂房，定期 </w:t>
      </w:r>
      <w:r>
        <w:rPr>
          <w:rFonts w:ascii="SimSun" w:hAnsi="SimSun" w:eastAsia="SimSun" w:cs="SimSun"/>
          <w:sz w:val="24"/>
          <w:szCs w:val="24"/>
        </w:rPr>
        <w:t>喷洒微生物除臭剂，采用干清粪工艺，干粪日产日清。</w:t>
      </w:r>
    </w:p>
    <w:p>
      <w:pPr>
        <w:ind w:left="104" w:right="134" w:firstLine="600"/>
        <w:spacing w:before="56" w:line="353" w:lineRule="auto"/>
        <w:rPr>
          <w:rFonts w:ascii="SimSun" w:hAnsi="SimSun" w:eastAsia="SimSun" w:cs="SimSun"/>
          <w:sz w:val="24"/>
          <w:szCs w:val="24"/>
        </w:rPr>
      </w:pPr>
      <w:r>
        <w:rPr>
          <w:rFonts w:ascii="SimSun" w:hAnsi="SimSun" w:eastAsia="SimSun" w:cs="SimSun"/>
          <w:sz w:val="24"/>
          <w:szCs w:val="24"/>
          <w:spacing w:val="4"/>
        </w:rPr>
        <w:t>(2)绵阳柒鑫食品有限公司现拟建</w:t>
      </w:r>
      <w:r>
        <w:rPr>
          <w:rFonts w:ascii="SimSun" w:hAnsi="SimSun" w:eastAsia="SimSun" w:cs="SimSun"/>
          <w:sz w:val="24"/>
          <w:szCs w:val="24"/>
          <w:spacing w:val="-40"/>
        </w:rPr>
        <w:t xml:space="preserve"> </w:t>
      </w:r>
      <w:r>
        <w:rPr>
          <w:rFonts w:ascii="Times New Roman" w:hAnsi="Times New Roman" w:eastAsia="Times New Roman" w:cs="Times New Roman"/>
          <w:sz w:val="24"/>
          <w:szCs w:val="24"/>
          <w:spacing w:val="4"/>
        </w:rPr>
        <w:t>“A </w:t>
      </w:r>
      <w:r>
        <w:rPr>
          <w:rFonts w:ascii="SimSun" w:hAnsi="SimSun" w:eastAsia="SimSun" w:cs="SimSun"/>
          <w:sz w:val="24"/>
          <w:szCs w:val="24"/>
          <w:spacing w:val="4"/>
        </w:rPr>
        <w:t>级</w:t>
      </w:r>
      <w:r>
        <w:rPr>
          <w:rFonts w:ascii="SimSun" w:hAnsi="SimSun" w:eastAsia="SimSun" w:cs="SimSun"/>
          <w:sz w:val="24"/>
          <w:szCs w:val="24"/>
          <w:spacing w:val="3"/>
        </w:rPr>
        <w:t>生猪、肉牛定点屠宰及食品加工</w:t>
      </w:r>
      <w:r>
        <w:rPr>
          <w:rFonts w:ascii="SimSun" w:hAnsi="SimSun" w:eastAsia="SimSun" w:cs="SimSun"/>
          <w:sz w:val="24"/>
          <w:szCs w:val="24"/>
        </w:rPr>
        <w:t xml:space="preserve"> </w:t>
      </w:r>
      <w:r>
        <w:rPr>
          <w:rFonts w:ascii="SimSun" w:hAnsi="SimSun" w:eastAsia="SimSun" w:cs="SimSun"/>
          <w:sz w:val="24"/>
          <w:szCs w:val="24"/>
          <w:spacing w:val="10"/>
        </w:rPr>
        <w:t>项目”,将原项目污水处理站(工艺为“二级生化</w:t>
      </w:r>
      <w:r>
        <w:rPr>
          <w:rFonts w:ascii="SimSun" w:hAnsi="SimSun" w:eastAsia="SimSun" w:cs="SimSun"/>
          <w:sz w:val="24"/>
          <w:szCs w:val="24"/>
          <w:spacing w:val="9"/>
        </w:rPr>
        <w:t>”)拆除后新建一座污水处</w:t>
      </w:r>
      <w:r>
        <w:rPr>
          <w:rFonts w:ascii="SimSun" w:hAnsi="SimSun" w:eastAsia="SimSun" w:cs="SimSun"/>
          <w:sz w:val="24"/>
          <w:szCs w:val="24"/>
        </w:rPr>
        <w:t xml:space="preserve">  </w:t>
      </w:r>
      <w:r>
        <w:rPr>
          <w:rFonts w:ascii="SimSun" w:hAnsi="SimSun" w:eastAsia="SimSun" w:cs="SimSun"/>
          <w:sz w:val="24"/>
          <w:szCs w:val="24"/>
          <w:spacing w:val="1"/>
        </w:rPr>
        <w:t>理站，设计处理规模为1100</w:t>
      </w:r>
      <w:r>
        <w:rPr>
          <w:rFonts w:ascii="Times New Roman" w:hAnsi="Times New Roman" w:eastAsia="Times New Roman" w:cs="Times New Roman"/>
          <w:sz w:val="24"/>
          <w:szCs w:val="24"/>
          <w:spacing w:val="1"/>
        </w:rPr>
        <w:t>t/d,</w:t>
      </w:r>
      <w:r>
        <w:rPr>
          <w:rFonts w:ascii="Times New Roman" w:hAnsi="Times New Roman" w:eastAsia="Times New Roman" w:cs="Times New Roman"/>
          <w:sz w:val="24"/>
          <w:szCs w:val="24"/>
          <w:spacing w:val="33"/>
        </w:rPr>
        <w:t xml:space="preserve">  </w:t>
      </w:r>
      <w:r>
        <w:rPr>
          <w:rFonts w:ascii="SimSun" w:hAnsi="SimSun" w:eastAsia="SimSun" w:cs="SimSun"/>
          <w:sz w:val="24"/>
          <w:szCs w:val="24"/>
          <w:spacing w:val="1"/>
        </w:rPr>
        <w:t>采用“格栅+调节+气浮+厌氧接触池+</w:t>
      </w:r>
      <w:r>
        <w:rPr>
          <w:rFonts w:ascii="Times New Roman" w:hAnsi="Times New Roman" w:eastAsia="Times New Roman" w:cs="Times New Roman"/>
          <w:sz w:val="24"/>
          <w:szCs w:val="24"/>
        </w:rPr>
        <w:t>AOAO</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rPr>
        <w:t xml:space="preserve">    </w:t>
      </w:r>
      <w:r>
        <w:rPr>
          <w:rFonts w:ascii="SimSun" w:hAnsi="SimSun" w:eastAsia="SimSun" w:cs="SimSun"/>
          <w:sz w:val="24"/>
          <w:szCs w:val="24"/>
        </w:rPr>
        <w:t>沉淀+消毒”处理工艺，同时污水处理站恶臭气体通过</w:t>
      </w:r>
      <w:r>
        <w:rPr>
          <w:rFonts w:ascii="SimSun" w:hAnsi="SimSun" w:eastAsia="SimSun" w:cs="SimSun"/>
          <w:sz w:val="24"/>
          <w:szCs w:val="24"/>
          <w:spacing w:val="-1"/>
        </w:rPr>
        <w:t>加盖收集，并对各单元分</w:t>
      </w:r>
      <w:r>
        <w:rPr>
          <w:rFonts w:ascii="SimSun" w:hAnsi="SimSun" w:eastAsia="SimSun" w:cs="SimSun"/>
          <w:sz w:val="24"/>
          <w:szCs w:val="24"/>
        </w:rPr>
        <w:t xml:space="preserve"> </w:t>
      </w:r>
      <w:r>
        <w:rPr>
          <w:rFonts w:ascii="SimSun" w:hAnsi="SimSun" w:eastAsia="SimSun" w:cs="SimSun"/>
          <w:sz w:val="24"/>
          <w:szCs w:val="24"/>
          <w:spacing w:val="-1"/>
        </w:rPr>
        <w:t>别采取负压抽风系统，设置“喷淋+</w:t>
      </w:r>
      <w:r>
        <w:rPr>
          <w:rFonts w:ascii="Times New Roman" w:hAnsi="Times New Roman" w:eastAsia="Times New Roman" w:cs="Times New Roman"/>
          <w:sz w:val="24"/>
          <w:szCs w:val="24"/>
          <w:spacing w:val="-1"/>
        </w:rPr>
        <w:t>UV</w:t>
      </w:r>
      <w:r>
        <w:rPr>
          <w:rFonts w:ascii="SimSun" w:hAnsi="SimSun" w:eastAsia="SimSun" w:cs="SimSun"/>
          <w:sz w:val="24"/>
          <w:szCs w:val="24"/>
          <w:spacing w:val="-1"/>
        </w:rPr>
        <w:t>光解+活性炭吸附装置 </w:t>
      </w:r>
      <w:r>
        <w:rPr>
          <w:rFonts w:ascii="Times New Roman" w:hAnsi="Times New Roman" w:eastAsia="Times New Roman" w:cs="Times New Roman"/>
          <w:sz w:val="24"/>
          <w:szCs w:val="24"/>
          <w:spacing w:val="-1"/>
        </w:rPr>
        <w:t>(TA004)”      </w:t>
      </w:r>
      <w:r>
        <w:rPr>
          <w:rFonts w:ascii="SimSun" w:hAnsi="SimSun" w:eastAsia="SimSun" w:cs="SimSun"/>
          <w:sz w:val="24"/>
          <w:szCs w:val="24"/>
          <w:spacing w:val="-1"/>
        </w:rPr>
        <w:t>处理</w:t>
      </w:r>
      <w:r>
        <w:rPr>
          <w:rFonts w:ascii="SimSun" w:hAnsi="SimSun" w:eastAsia="SimSun" w:cs="SimSun"/>
          <w:sz w:val="24"/>
          <w:szCs w:val="24"/>
          <w:spacing w:val="16"/>
        </w:rPr>
        <w:t xml:space="preserve"> </w:t>
      </w:r>
      <w:r>
        <w:rPr>
          <w:rFonts w:ascii="SimSun" w:hAnsi="SimSun" w:eastAsia="SimSun" w:cs="SimSun"/>
          <w:sz w:val="24"/>
          <w:szCs w:val="24"/>
          <w:spacing w:val="1"/>
        </w:rPr>
        <w:t>后，通过1根15</w:t>
      </w:r>
      <w:r>
        <w:rPr>
          <w:rFonts w:ascii="Times New Roman" w:hAnsi="Times New Roman" w:eastAsia="Times New Roman" w:cs="Times New Roman"/>
          <w:sz w:val="24"/>
          <w:szCs w:val="24"/>
          <w:spacing w:val="1"/>
        </w:rPr>
        <w:t>m</w:t>
      </w:r>
      <w:r>
        <w:rPr>
          <w:rFonts w:ascii="SimSun" w:hAnsi="SimSun" w:eastAsia="SimSun" w:cs="SimSun"/>
          <w:sz w:val="24"/>
          <w:szCs w:val="24"/>
          <w:spacing w:val="1"/>
        </w:rPr>
        <w:t>高排气筒</w:t>
      </w:r>
      <w:r>
        <w:rPr>
          <w:rFonts w:ascii="SimSun" w:hAnsi="SimSun" w:eastAsia="SimSun" w:cs="SimSun"/>
          <w:sz w:val="24"/>
          <w:szCs w:val="24"/>
          <w:spacing w:val="-15"/>
        </w:rPr>
        <w:t xml:space="preserve"> </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1"/>
        </w:rPr>
        <w:t>004)   </w:t>
      </w:r>
      <w:r>
        <w:rPr>
          <w:rFonts w:ascii="SimSun" w:hAnsi="SimSun" w:eastAsia="SimSun" w:cs="SimSun"/>
          <w:sz w:val="24"/>
          <w:szCs w:val="24"/>
          <w:spacing w:val="1"/>
        </w:rPr>
        <w:t>达标排放，污水处理站恶臭由原项目无组</w:t>
      </w:r>
      <w:r>
        <w:rPr>
          <w:rFonts w:ascii="SimSun" w:hAnsi="SimSun" w:eastAsia="SimSun" w:cs="SimSun"/>
          <w:sz w:val="24"/>
          <w:szCs w:val="24"/>
        </w:rPr>
        <w:t xml:space="preserve"> </w:t>
      </w:r>
      <w:r>
        <w:rPr>
          <w:rFonts w:ascii="SimSun" w:hAnsi="SimSun" w:eastAsia="SimSun" w:cs="SimSun"/>
          <w:sz w:val="24"/>
          <w:szCs w:val="24"/>
          <w:spacing w:val="-4"/>
        </w:rPr>
        <w:t>织排放改为有组织排放。</w:t>
      </w:r>
    </w:p>
    <w:p>
      <w:pPr>
        <w:ind w:left="108"/>
        <w:spacing w:before="42" w:line="221" w:lineRule="auto"/>
        <w:outlineLvl w:val="1"/>
        <w:rPr>
          <w:rFonts w:ascii="SimHei" w:hAnsi="SimHei" w:eastAsia="SimHei" w:cs="SimHei"/>
          <w:sz w:val="28"/>
          <w:szCs w:val="28"/>
        </w:rPr>
      </w:pPr>
      <w:bookmarkStart w:name="bookmark29" w:id="55"/>
      <w:bookmarkEnd w:id="55"/>
      <w:r>
        <w:rPr>
          <w:rFonts w:ascii="SimHei" w:hAnsi="SimHei" w:eastAsia="SimHei" w:cs="SimHei"/>
          <w:sz w:val="28"/>
          <w:szCs w:val="28"/>
          <w:b/>
          <w:bCs/>
          <w:spacing w:val="-9"/>
        </w:rPr>
        <w:t>2.9“三本账”分析</w:t>
      </w:r>
    </w:p>
    <w:p>
      <w:pPr>
        <w:ind w:left="595"/>
        <w:spacing w:before="208" w:line="219" w:lineRule="auto"/>
        <w:rPr>
          <w:rFonts w:ascii="SimSun" w:hAnsi="SimSun" w:eastAsia="SimSun" w:cs="SimSun"/>
          <w:sz w:val="24"/>
          <w:szCs w:val="24"/>
        </w:rPr>
      </w:pPr>
      <w:r>
        <w:rPr>
          <w:rFonts w:ascii="SimSun" w:hAnsi="SimSun" w:eastAsia="SimSun" w:cs="SimSun"/>
          <w:sz w:val="24"/>
          <w:szCs w:val="24"/>
          <w:spacing w:val="-3"/>
        </w:rPr>
        <w:t>改扩建前后污染源“三本账”分析见下表。</w:t>
      </w:r>
    </w:p>
    <w:p>
      <w:pPr>
        <w:spacing w:before="162" w:line="220" w:lineRule="auto"/>
        <w:jc w:val="right"/>
        <w:rPr>
          <w:rFonts w:ascii="SimSun" w:hAnsi="SimSun" w:eastAsia="SimSun" w:cs="SimSun"/>
          <w:sz w:val="24"/>
          <w:szCs w:val="24"/>
        </w:rPr>
      </w:pPr>
      <w:r>
        <w:rPr>
          <w:rFonts w:ascii="SimSun" w:hAnsi="SimSun" w:eastAsia="SimSun" w:cs="SimSun"/>
          <w:sz w:val="24"/>
          <w:szCs w:val="24"/>
          <w:b/>
          <w:bCs/>
          <w:spacing w:val="-4"/>
        </w:rPr>
        <w:t>表2.7-1污染物排放量三本账统计表</w:t>
      </w:r>
      <w:r>
        <w:rPr>
          <w:rFonts w:ascii="SimSun" w:hAnsi="SimSun" w:eastAsia="SimSun" w:cs="SimSun"/>
          <w:sz w:val="24"/>
          <w:szCs w:val="24"/>
          <w:spacing w:val="15"/>
        </w:rPr>
        <w:t xml:space="preserve">      </w:t>
      </w:r>
      <w:r>
        <w:rPr>
          <w:rFonts w:ascii="SimSun" w:hAnsi="SimSun" w:eastAsia="SimSun" w:cs="SimSun"/>
          <w:sz w:val="24"/>
          <w:szCs w:val="24"/>
          <w:b/>
          <w:bCs/>
          <w:spacing w:val="-4"/>
        </w:rPr>
        <w:t>单位：t/a</w:t>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14"/>
        <w:gridCol w:w="2717"/>
        <w:gridCol w:w="849"/>
        <w:gridCol w:w="1148"/>
        <w:gridCol w:w="1039"/>
        <w:gridCol w:w="1049"/>
        <w:gridCol w:w="1283"/>
      </w:tblGrid>
      <w:tr>
        <w:trPr>
          <w:trHeight w:val="828" w:hRule="atLeast"/>
        </w:trPr>
        <w:tc>
          <w:tcPr>
            <w:shd w:val="clear" w:fill="BDBDBD"/>
            <w:tcW w:w="414" w:type="dxa"/>
            <w:vAlign w:val="top"/>
            <w:textDirection w:val="tbRlV"/>
          </w:tcPr>
          <w:p>
            <w:pPr>
              <w:pStyle w:val="TableText"/>
              <w:spacing w:before="127" w:line="202" w:lineRule="auto"/>
              <w:rPr>
                <w:sz w:val="21"/>
                <w:szCs w:val="21"/>
              </w:rPr>
            </w:pPr>
            <w:r>
              <w:rPr>
                <w:sz w:val="21"/>
                <w:szCs w:val="21"/>
                <w:b/>
                <w:bCs/>
                <w:spacing w:val="-4"/>
              </w:rPr>
              <w:t>污</w:t>
            </w:r>
            <w:r>
              <w:rPr>
                <w:sz w:val="21"/>
                <w:szCs w:val="21"/>
                <w:spacing w:val="-10"/>
              </w:rPr>
              <w:t xml:space="preserve"> </w:t>
            </w:r>
            <w:r>
              <w:rPr>
                <w:sz w:val="21"/>
                <w:szCs w:val="21"/>
                <w:b/>
                <w:bCs/>
                <w:spacing w:val="-4"/>
              </w:rPr>
              <w:t>染</w:t>
            </w:r>
            <w:r>
              <w:rPr>
                <w:sz w:val="21"/>
                <w:szCs w:val="21"/>
                <w:spacing w:val="-10"/>
              </w:rPr>
              <w:t xml:space="preserve"> </w:t>
            </w:r>
            <w:r>
              <w:rPr>
                <w:sz w:val="21"/>
                <w:szCs w:val="21"/>
                <w:b/>
                <w:bCs/>
                <w:spacing w:val="-4"/>
              </w:rPr>
              <w:t>源</w:t>
            </w:r>
          </w:p>
        </w:tc>
        <w:tc>
          <w:tcPr>
            <w:shd w:val="clear" w:fill="BDBDBD"/>
            <w:tcW w:w="2717" w:type="dxa"/>
            <w:vAlign w:val="top"/>
          </w:tcPr>
          <w:p>
            <w:pPr>
              <w:spacing w:line="245" w:lineRule="auto"/>
              <w:rPr>
                <w:rFonts w:ascii="Arial"/>
                <w:sz w:val="21"/>
              </w:rPr>
            </w:pPr>
            <w:r/>
          </w:p>
          <w:p>
            <w:pPr>
              <w:pStyle w:val="TableText"/>
              <w:ind w:left="1033"/>
              <w:spacing w:before="68" w:line="220" w:lineRule="auto"/>
              <w:rPr>
                <w:sz w:val="21"/>
                <w:szCs w:val="21"/>
              </w:rPr>
            </w:pPr>
            <w:r>
              <w:rPr>
                <w:sz w:val="21"/>
                <w:szCs w:val="21"/>
                <w:b/>
                <w:bCs/>
                <w:spacing w:val="-5"/>
              </w:rPr>
              <w:t>污染物</w:t>
            </w:r>
          </w:p>
        </w:tc>
        <w:tc>
          <w:tcPr>
            <w:shd w:val="clear" w:fill="BDBDBD"/>
            <w:tcW w:w="849" w:type="dxa"/>
            <w:vAlign w:val="top"/>
          </w:tcPr>
          <w:p>
            <w:pPr>
              <w:pStyle w:val="TableText"/>
              <w:ind w:left="105" w:hanging="89"/>
              <w:spacing w:before="216" w:line="207" w:lineRule="auto"/>
              <w:rPr>
                <w:sz w:val="21"/>
                <w:szCs w:val="21"/>
              </w:rPr>
            </w:pPr>
            <w:r>
              <w:rPr>
                <w:sz w:val="21"/>
                <w:szCs w:val="21"/>
                <w:b/>
                <w:bCs/>
                <w:spacing w:val="-7"/>
              </w:rPr>
              <w:t>现有工程</w:t>
            </w:r>
            <w:r>
              <w:rPr>
                <w:sz w:val="21"/>
                <w:szCs w:val="21"/>
              </w:rPr>
              <w:t xml:space="preserve"> </w:t>
            </w:r>
            <w:r>
              <w:rPr>
                <w:sz w:val="21"/>
                <w:szCs w:val="21"/>
                <w:b/>
                <w:bCs/>
                <w:spacing w:val="-6"/>
              </w:rPr>
              <w:t>排放量</w:t>
            </w:r>
          </w:p>
        </w:tc>
        <w:tc>
          <w:tcPr>
            <w:shd w:val="clear" w:fill="BDBDBD"/>
            <w:tcW w:w="1148" w:type="dxa"/>
            <w:vAlign w:val="top"/>
          </w:tcPr>
          <w:p>
            <w:pPr>
              <w:pStyle w:val="TableText"/>
              <w:ind w:left="147" w:right="49" w:hanging="100"/>
              <w:spacing w:before="203" w:line="216" w:lineRule="auto"/>
              <w:rPr>
                <w:sz w:val="21"/>
                <w:szCs w:val="21"/>
              </w:rPr>
            </w:pPr>
            <w:r>
              <w:rPr>
                <w:sz w:val="21"/>
                <w:szCs w:val="21"/>
                <w:b/>
                <w:bCs/>
                <w:spacing w:val="-5"/>
              </w:rPr>
              <w:t>现有工程排</w:t>
            </w:r>
            <w:r>
              <w:rPr>
                <w:sz w:val="21"/>
                <w:szCs w:val="21"/>
                <w:spacing w:val="3"/>
              </w:rPr>
              <w:t xml:space="preserve"> </w:t>
            </w:r>
            <w:r>
              <w:rPr>
                <w:sz w:val="21"/>
                <w:szCs w:val="21"/>
                <w:b/>
                <w:bCs/>
                <w:spacing w:val="-5"/>
              </w:rPr>
              <w:t>污许可量</w:t>
            </w:r>
          </w:p>
        </w:tc>
        <w:tc>
          <w:tcPr>
            <w:shd w:val="clear" w:fill="BDBDBD"/>
            <w:tcW w:w="1039" w:type="dxa"/>
            <w:vAlign w:val="top"/>
          </w:tcPr>
          <w:p>
            <w:pPr>
              <w:pStyle w:val="TableText"/>
              <w:ind w:left="99"/>
              <w:spacing w:before="163" w:line="219" w:lineRule="auto"/>
              <w:rPr>
                <w:sz w:val="21"/>
                <w:szCs w:val="21"/>
              </w:rPr>
            </w:pPr>
            <w:r>
              <w:rPr>
                <w:sz w:val="21"/>
                <w:szCs w:val="21"/>
                <w:b/>
                <w:bCs/>
                <w:spacing w:val="-4"/>
              </w:rPr>
              <w:t>本项目排</w:t>
            </w:r>
          </w:p>
          <w:p>
            <w:pPr>
              <w:pStyle w:val="TableText"/>
              <w:ind w:left="310"/>
              <w:spacing w:before="13" w:line="221" w:lineRule="auto"/>
              <w:rPr>
                <w:sz w:val="21"/>
                <w:szCs w:val="21"/>
              </w:rPr>
            </w:pPr>
            <w:r>
              <w:rPr>
                <w:sz w:val="21"/>
                <w:szCs w:val="21"/>
                <w:b/>
                <w:bCs/>
                <w:spacing w:val="-5"/>
              </w:rPr>
              <w:t>放量</w:t>
            </w:r>
          </w:p>
        </w:tc>
        <w:tc>
          <w:tcPr>
            <w:shd w:val="clear" w:fill="BDBDBD"/>
            <w:tcW w:w="1049" w:type="dxa"/>
            <w:vAlign w:val="top"/>
          </w:tcPr>
          <w:p>
            <w:pPr>
              <w:pStyle w:val="TableText"/>
              <w:ind w:left="101"/>
              <w:spacing w:before="33" w:line="219" w:lineRule="auto"/>
              <w:rPr>
                <w:sz w:val="21"/>
                <w:szCs w:val="21"/>
              </w:rPr>
            </w:pPr>
            <w:r>
              <w:rPr>
                <w:sz w:val="21"/>
                <w:szCs w:val="21"/>
                <w:b/>
                <w:bCs/>
                <w:spacing w:val="-4"/>
              </w:rPr>
              <w:t>本项目实</w:t>
            </w:r>
          </w:p>
          <w:p>
            <w:pPr>
              <w:pStyle w:val="TableText"/>
              <w:ind w:left="210" w:right="105" w:hanging="109"/>
              <w:spacing w:before="3" w:line="234" w:lineRule="auto"/>
              <w:rPr>
                <w:sz w:val="21"/>
                <w:szCs w:val="21"/>
              </w:rPr>
            </w:pPr>
            <w:r>
              <w:rPr>
                <w:sz w:val="21"/>
                <w:szCs w:val="21"/>
                <w:b/>
                <w:bCs/>
                <w:spacing w:val="-5"/>
              </w:rPr>
              <w:t>施后全厂</w:t>
            </w:r>
            <w:r>
              <w:rPr>
                <w:sz w:val="21"/>
                <w:szCs w:val="21"/>
                <w:spacing w:val="2"/>
              </w:rPr>
              <w:t xml:space="preserve"> </w:t>
            </w:r>
            <w:r>
              <w:rPr>
                <w:sz w:val="21"/>
                <w:szCs w:val="21"/>
                <w:b/>
                <w:bCs/>
                <w:spacing w:val="-5"/>
              </w:rPr>
              <w:t>排放量</w:t>
            </w:r>
          </w:p>
        </w:tc>
        <w:tc>
          <w:tcPr>
            <w:shd w:val="clear" w:fill="BEBEBE"/>
            <w:tcW w:w="1283" w:type="dxa"/>
            <w:vAlign w:val="top"/>
          </w:tcPr>
          <w:p>
            <w:pPr>
              <w:pStyle w:val="TableText"/>
              <w:ind w:left="111" w:hanging="90"/>
              <w:spacing w:before="174" w:line="242" w:lineRule="auto"/>
              <w:rPr>
                <w:sz w:val="21"/>
                <w:szCs w:val="21"/>
              </w:rPr>
            </w:pPr>
            <w:r>
              <w:rPr>
                <w:sz w:val="21"/>
                <w:szCs w:val="21"/>
                <w:b/>
                <w:bCs/>
                <w:spacing w:val="-4"/>
              </w:rPr>
              <w:t>本项目实施后</w:t>
            </w:r>
            <w:r>
              <w:rPr>
                <w:sz w:val="21"/>
                <w:szCs w:val="21"/>
              </w:rPr>
              <w:t xml:space="preserve"> </w:t>
            </w:r>
            <w:r>
              <w:rPr>
                <w:sz w:val="21"/>
                <w:szCs w:val="21"/>
                <w:b/>
                <w:bCs/>
                <w:spacing w:val="-4"/>
              </w:rPr>
              <w:t>排放量增减</w:t>
            </w:r>
          </w:p>
        </w:tc>
      </w:tr>
      <w:tr>
        <w:trPr>
          <w:trHeight w:val="269" w:hRule="atLeast"/>
        </w:trPr>
        <w:tc>
          <w:tcPr>
            <w:tcW w:w="414" w:type="dxa"/>
            <w:vAlign w:val="top"/>
            <w:vMerge w:val="restart"/>
            <w:textDirection w:val="tbRlV"/>
            <w:tcBorders>
              <w:bottom w:val="nil"/>
            </w:tcBorders>
          </w:tcPr>
          <w:p>
            <w:pPr>
              <w:pStyle w:val="TableText"/>
              <w:ind w:left="181"/>
              <w:spacing w:before="129" w:line="200" w:lineRule="auto"/>
              <w:rPr>
                <w:sz w:val="21"/>
                <w:szCs w:val="21"/>
              </w:rPr>
            </w:pPr>
            <w:r>
              <w:rPr>
                <w:sz w:val="21"/>
                <w:szCs w:val="21"/>
              </w:rPr>
              <w:t>废水</w:t>
            </w:r>
          </w:p>
        </w:tc>
        <w:tc>
          <w:tcPr>
            <w:tcW w:w="2717" w:type="dxa"/>
            <w:vAlign w:val="top"/>
          </w:tcPr>
          <w:p>
            <w:pPr>
              <w:pStyle w:val="TableText"/>
              <w:ind w:left="1030"/>
              <w:spacing w:before="29" w:line="202" w:lineRule="auto"/>
              <w:rPr>
                <w:sz w:val="21"/>
                <w:szCs w:val="21"/>
              </w:rPr>
            </w:pPr>
            <w:r>
              <w:rPr>
                <w:sz w:val="21"/>
                <w:szCs w:val="21"/>
                <w:spacing w:val="-2"/>
              </w:rPr>
              <w:t>废水量</w:t>
            </w:r>
          </w:p>
        </w:tc>
        <w:tc>
          <w:tcPr>
            <w:tcW w:w="849" w:type="dxa"/>
            <w:vAlign w:val="top"/>
          </w:tcPr>
          <w:p>
            <w:pPr>
              <w:pStyle w:val="TableText"/>
              <w:ind w:left="154"/>
              <w:spacing w:before="50" w:line="183" w:lineRule="auto"/>
              <w:rPr>
                <w:sz w:val="21"/>
                <w:szCs w:val="21"/>
              </w:rPr>
            </w:pPr>
            <w:r>
              <w:rPr>
                <w:sz w:val="21"/>
                <w:szCs w:val="21"/>
                <w:spacing w:val="-2"/>
              </w:rPr>
              <w:t>38480</w:t>
            </w:r>
          </w:p>
        </w:tc>
        <w:tc>
          <w:tcPr>
            <w:tcW w:w="1148" w:type="dxa"/>
            <w:vAlign w:val="top"/>
          </w:tcPr>
          <w:p>
            <w:pPr>
              <w:pStyle w:val="TableText"/>
              <w:ind w:left="514"/>
              <w:spacing w:before="34" w:line="197" w:lineRule="auto"/>
              <w:rPr>
                <w:sz w:val="21"/>
                <w:szCs w:val="21"/>
              </w:rPr>
            </w:pPr>
            <w:r>
              <w:rPr>
                <w:sz w:val="21"/>
                <w:szCs w:val="21"/>
              </w:rPr>
              <w:t>/</w:t>
            </w:r>
          </w:p>
        </w:tc>
        <w:tc>
          <w:tcPr>
            <w:tcW w:w="1039" w:type="dxa"/>
            <w:vAlign w:val="top"/>
          </w:tcPr>
          <w:p>
            <w:pPr>
              <w:pStyle w:val="TableText"/>
              <w:ind w:left="37"/>
              <w:spacing w:before="50" w:line="183" w:lineRule="auto"/>
              <w:rPr>
                <w:sz w:val="21"/>
                <w:szCs w:val="21"/>
              </w:rPr>
            </w:pPr>
            <w:r>
              <w:rPr>
                <w:sz w:val="21"/>
                <w:szCs w:val="21"/>
                <w:spacing w:val="-2"/>
              </w:rPr>
              <w:t>265008.96</w:t>
            </w:r>
          </w:p>
        </w:tc>
        <w:tc>
          <w:tcPr>
            <w:tcW w:w="1049" w:type="dxa"/>
            <w:vAlign w:val="top"/>
          </w:tcPr>
          <w:p>
            <w:pPr>
              <w:pStyle w:val="TableText"/>
              <w:ind w:left="47"/>
              <w:spacing w:before="50" w:line="183" w:lineRule="auto"/>
              <w:rPr>
                <w:sz w:val="21"/>
                <w:szCs w:val="21"/>
              </w:rPr>
            </w:pPr>
            <w:r>
              <w:rPr>
                <w:sz w:val="21"/>
                <w:szCs w:val="21"/>
                <w:spacing w:val="-2"/>
              </w:rPr>
              <w:t>265008.96</w:t>
            </w:r>
          </w:p>
        </w:tc>
        <w:tc>
          <w:tcPr>
            <w:tcW w:w="1283" w:type="dxa"/>
            <w:vAlign w:val="top"/>
          </w:tcPr>
          <w:p>
            <w:pPr>
              <w:pStyle w:val="TableText"/>
              <w:ind w:left="109"/>
              <w:spacing w:before="50" w:line="183" w:lineRule="auto"/>
              <w:rPr>
                <w:sz w:val="21"/>
                <w:szCs w:val="21"/>
              </w:rPr>
            </w:pPr>
            <w:r>
              <w:rPr>
                <w:sz w:val="21"/>
                <w:szCs w:val="21"/>
                <w:spacing w:val="-1"/>
              </w:rPr>
              <w:t>+226528.96</w:t>
            </w:r>
          </w:p>
        </w:tc>
      </w:tr>
      <w:tr>
        <w:trPr>
          <w:trHeight w:val="250" w:hRule="atLeast"/>
        </w:trPr>
        <w:tc>
          <w:tcPr>
            <w:tcW w:w="414" w:type="dxa"/>
            <w:vAlign w:val="top"/>
            <w:vMerge w:val="continue"/>
            <w:textDirection w:val="tbRlV"/>
            <w:tcBorders>
              <w:top w:val="nil"/>
              <w:bottom w:val="nil"/>
            </w:tcBorders>
          </w:tcPr>
          <w:p>
            <w:pPr>
              <w:rPr>
                <w:rFonts w:ascii="Arial"/>
                <w:sz w:val="21"/>
              </w:rPr>
            </w:pPr>
            <w:r/>
          </w:p>
        </w:tc>
        <w:tc>
          <w:tcPr>
            <w:tcW w:w="2717" w:type="dxa"/>
            <w:vAlign w:val="top"/>
          </w:tcPr>
          <w:p>
            <w:pPr>
              <w:pStyle w:val="TableText"/>
              <w:ind w:left="1190"/>
              <w:spacing w:before="74" w:line="166" w:lineRule="exact"/>
              <w:rPr>
                <w:sz w:val="21"/>
                <w:szCs w:val="21"/>
              </w:rPr>
            </w:pPr>
            <w:r>
              <w:rPr>
                <w:sz w:val="21"/>
                <w:szCs w:val="21"/>
                <w:spacing w:val="-2"/>
                <w:position w:val="-2"/>
              </w:rPr>
              <w:t>COD</w:t>
            </w:r>
          </w:p>
        </w:tc>
        <w:tc>
          <w:tcPr>
            <w:tcW w:w="849" w:type="dxa"/>
            <w:vAlign w:val="top"/>
          </w:tcPr>
          <w:p>
            <w:pPr>
              <w:pStyle w:val="TableText"/>
              <w:ind w:left="203"/>
              <w:spacing w:before="40" w:line="175" w:lineRule="auto"/>
              <w:rPr>
                <w:sz w:val="21"/>
                <w:szCs w:val="21"/>
              </w:rPr>
            </w:pPr>
            <w:r>
              <w:rPr>
                <w:sz w:val="21"/>
                <w:szCs w:val="21"/>
                <w:spacing w:val="-2"/>
              </w:rPr>
              <w:t>8.64</w:t>
            </w:r>
          </w:p>
        </w:tc>
        <w:tc>
          <w:tcPr>
            <w:tcW w:w="1148" w:type="dxa"/>
            <w:vAlign w:val="top"/>
          </w:tcPr>
          <w:p>
            <w:pPr>
              <w:pStyle w:val="TableText"/>
              <w:ind w:left="304"/>
              <w:spacing w:before="40" w:line="175" w:lineRule="auto"/>
              <w:rPr>
                <w:sz w:val="21"/>
                <w:szCs w:val="21"/>
              </w:rPr>
            </w:pPr>
            <w:r>
              <w:rPr>
                <w:sz w:val="21"/>
                <w:szCs w:val="21"/>
                <w:spacing w:val="-4"/>
              </w:rPr>
              <w:t>14.98</w:t>
            </w:r>
          </w:p>
        </w:tc>
        <w:tc>
          <w:tcPr>
            <w:tcW w:w="1039" w:type="dxa"/>
            <w:vAlign w:val="top"/>
          </w:tcPr>
          <w:p>
            <w:pPr>
              <w:pStyle w:val="TableText"/>
              <w:ind w:left="96"/>
              <w:spacing w:before="40" w:line="175" w:lineRule="auto"/>
              <w:rPr>
                <w:sz w:val="21"/>
                <w:szCs w:val="21"/>
              </w:rPr>
            </w:pPr>
            <w:r>
              <w:rPr>
                <w:sz w:val="21"/>
                <w:szCs w:val="21"/>
                <w:spacing w:val="-3"/>
              </w:rPr>
              <w:t>131.3640</w:t>
            </w:r>
          </w:p>
        </w:tc>
        <w:tc>
          <w:tcPr>
            <w:tcW w:w="1049" w:type="dxa"/>
            <w:vAlign w:val="top"/>
          </w:tcPr>
          <w:p>
            <w:pPr>
              <w:pStyle w:val="TableText"/>
              <w:ind w:left="98"/>
              <w:spacing w:before="40" w:line="175" w:lineRule="auto"/>
              <w:rPr>
                <w:sz w:val="21"/>
                <w:szCs w:val="21"/>
              </w:rPr>
            </w:pPr>
            <w:r>
              <w:rPr>
                <w:sz w:val="21"/>
                <w:szCs w:val="21"/>
                <w:spacing w:val="-3"/>
              </w:rPr>
              <w:t>131.3640</w:t>
            </w:r>
          </w:p>
        </w:tc>
        <w:tc>
          <w:tcPr>
            <w:tcW w:w="1283" w:type="dxa"/>
            <w:vAlign w:val="top"/>
          </w:tcPr>
          <w:p>
            <w:pPr>
              <w:pStyle w:val="TableText"/>
              <w:ind w:left="218"/>
              <w:spacing w:before="40" w:line="175" w:lineRule="auto"/>
              <w:rPr>
                <w:sz w:val="21"/>
                <w:szCs w:val="21"/>
              </w:rPr>
            </w:pPr>
            <w:r>
              <w:rPr>
                <w:sz w:val="21"/>
                <w:szCs w:val="21"/>
                <w:spacing w:val="-1"/>
              </w:rPr>
              <w:t>+122.724</w:t>
            </w:r>
          </w:p>
        </w:tc>
      </w:tr>
      <w:tr>
        <w:trPr>
          <w:trHeight w:val="270" w:hRule="atLeast"/>
        </w:trPr>
        <w:tc>
          <w:tcPr>
            <w:tcW w:w="414" w:type="dxa"/>
            <w:vAlign w:val="top"/>
            <w:vMerge w:val="continue"/>
            <w:textDirection w:val="tbRlV"/>
            <w:tcBorders>
              <w:top w:val="nil"/>
            </w:tcBorders>
          </w:tcPr>
          <w:p>
            <w:pPr>
              <w:rPr>
                <w:rFonts w:ascii="Arial"/>
                <w:sz w:val="21"/>
              </w:rPr>
            </w:pPr>
            <w:r/>
          </w:p>
        </w:tc>
        <w:tc>
          <w:tcPr>
            <w:tcW w:w="2717" w:type="dxa"/>
            <w:vAlign w:val="top"/>
          </w:tcPr>
          <w:p>
            <w:pPr>
              <w:pStyle w:val="TableText"/>
              <w:ind w:left="1140"/>
              <w:spacing w:before="30" w:line="202" w:lineRule="auto"/>
              <w:rPr>
                <w:sz w:val="21"/>
                <w:szCs w:val="21"/>
              </w:rPr>
            </w:pPr>
            <w:r>
              <w:rPr>
                <w:sz w:val="21"/>
                <w:szCs w:val="21"/>
                <w:spacing w:val="-3"/>
              </w:rPr>
              <w:t>氨氮</w:t>
            </w:r>
          </w:p>
        </w:tc>
        <w:tc>
          <w:tcPr>
            <w:tcW w:w="849" w:type="dxa"/>
            <w:vAlign w:val="top"/>
          </w:tcPr>
          <w:p>
            <w:pPr>
              <w:pStyle w:val="TableText"/>
              <w:ind w:left="154"/>
              <w:spacing w:before="51" w:line="183" w:lineRule="auto"/>
              <w:rPr>
                <w:sz w:val="21"/>
                <w:szCs w:val="21"/>
              </w:rPr>
            </w:pPr>
            <w:r>
              <w:rPr>
                <w:sz w:val="21"/>
                <w:szCs w:val="21"/>
                <w:spacing w:val="-2"/>
              </w:rPr>
              <w:t>0.172</w:t>
            </w:r>
          </w:p>
        </w:tc>
        <w:tc>
          <w:tcPr>
            <w:tcW w:w="1148" w:type="dxa"/>
            <w:vAlign w:val="top"/>
          </w:tcPr>
          <w:p>
            <w:pPr>
              <w:pStyle w:val="TableText"/>
              <w:ind w:left="355"/>
              <w:spacing w:before="51" w:line="183" w:lineRule="auto"/>
              <w:rPr>
                <w:sz w:val="21"/>
                <w:szCs w:val="21"/>
              </w:rPr>
            </w:pPr>
            <w:r>
              <w:rPr>
                <w:sz w:val="21"/>
                <w:szCs w:val="21"/>
                <w:spacing w:val="-5"/>
              </w:rPr>
              <w:t>1.12</w:t>
            </w:r>
          </w:p>
        </w:tc>
        <w:tc>
          <w:tcPr>
            <w:tcW w:w="1039" w:type="dxa"/>
            <w:vAlign w:val="top"/>
          </w:tcPr>
          <w:p>
            <w:pPr>
              <w:pStyle w:val="TableText"/>
              <w:ind w:left="146"/>
              <w:spacing w:before="51" w:line="183" w:lineRule="auto"/>
              <w:rPr>
                <w:sz w:val="21"/>
                <w:szCs w:val="21"/>
              </w:rPr>
            </w:pPr>
            <w:r>
              <w:rPr>
                <w:sz w:val="21"/>
                <w:szCs w:val="21"/>
                <w:spacing w:val="-3"/>
              </w:rPr>
              <w:t>11.8476</w:t>
            </w:r>
          </w:p>
        </w:tc>
        <w:tc>
          <w:tcPr>
            <w:tcW w:w="1049" w:type="dxa"/>
            <w:vAlign w:val="top"/>
          </w:tcPr>
          <w:p>
            <w:pPr>
              <w:pStyle w:val="TableText"/>
              <w:ind w:left="147"/>
              <w:spacing w:before="51" w:line="183" w:lineRule="auto"/>
              <w:rPr>
                <w:sz w:val="21"/>
                <w:szCs w:val="21"/>
              </w:rPr>
            </w:pPr>
            <w:r>
              <w:rPr>
                <w:sz w:val="21"/>
                <w:szCs w:val="21"/>
                <w:spacing w:val="-3"/>
              </w:rPr>
              <w:t>11.8476</w:t>
            </w:r>
          </w:p>
        </w:tc>
        <w:tc>
          <w:tcPr>
            <w:tcW w:w="1283" w:type="dxa"/>
            <w:vAlign w:val="top"/>
          </w:tcPr>
          <w:p>
            <w:pPr>
              <w:pStyle w:val="TableText"/>
              <w:ind w:left="218"/>
              <w:spacing w:before="51" w:line="183" w:lineRule="auto"/>
              <w:rPr>
                <w:sz w:val="21"/>
                <w:szCs w:val="21"/>
              </w:rPr>
            </w:pPr>
            <w:r>
              <w:rPr>
                <w:sz w:val="21"/>
                <w:szCs w:val="21"/>
                <w:spacing w:val="-1"/>
              </w:rPr>
              <w:t>+11.6756</w:t>
            </w:r>
          </w:p>
        </w:tc>
      </w:tr>
      <w:tr>
        <w:trPr>
          <w:trHeight w:val="279" w:hRule="atLeast"/>
        </w:trPr>
        <w:tc>
          <w:tcPr>
            <w:tcW w:w="414" w:type="dxa"/>
            <w:vAlign w:val="top"/>
            <w:vMerge w:val="restart"/>
            <w:textDirection w:val="tbRlV"/>
            <w:tcBorders>
              <w:bottom w:val="nil"/>
            </w:tcBorders>
          </w:tcPr>
          <w:p>
            <w:pPr>
              <w:pStyle w:val="TableText"/>
              <w:ind w:left="492"/>
              <w:spacing w:before="149" w:line="200" w:lineRule="auto"/>
              <w:rPr>
                <w:sz w:val="21"/>
                <w:szCs w:val="21"/>
              </w:rPr>
            </w:pPr>
            <w:r>
              <w:rPr>
                <w:sz w:val="21"/>
                <w:szCs w:val="21"/>
              </w:rPr>
              <w:t>废</w:t>
            </w:r>
            <w:r>
              <w:rPr>
                <w:sz w:val="21"/>
                <w:szCs w:val="21"/>
                <w:spacing w:val="29"/>
              </w:rPr>
              <w:t xml:space="preserve"> </w:t>
            </w:r>
            <w:r>
              <w:rPr>
                <w:sz w:val="21"/>
                <w:szCs w:val="21"/>
              </w:rPr>
              <w:t>气</w:t>
            </w:r>
          </w:p>
        </w:tc>
        <w:tc>
          <w:tcPr>
            <w:tcW w:w="2717" w:type="dxa"/>
            <w:vAlign w:val="top"/>
          </w:tcPr>
          <w:p>
            <w:pPr>
              <w:pStyle w:val="TableText"/>
              <w:ind w:left="1030"/>
              <w:spacing w:before="41" w:line="200" w:lineRule="auto"/>
              <w:rPr>
                <w:sz w:val="21"/>
                <w:szCs w:val="21"/>
              </w:rPr>
            </w:pPr>
            <w:r>
              <w:rPr>
                <w:sz w:val="21"/>
                <w:szCs w:val="21"/>
                <w:color w:val="404050"/>
                <w:spacing w:val="-2"/>
              </w:rPr>
              <w:t>颗粒物</w:t>
            </w:r>
          </w:p>
        </w:tc>
        <w:tc>
          <w:tcPr>
            <w:tcW w:w="849" w:type="dxa"/>
            <w:vAlign w:val="top"/>
          </w:tcPr>
          <w:p>
            <w:pPr>
              <w:pStyle w:val="TableText"/>
              <w:ind w:left="103"/>
              <w:spacing w:before="61" w:line="182" w:lineRule="auto"/>
              <w:rPr>
                <w:sz w:val="21"/>
                <w:szCs w:val="21"/>
              </w:rPr>
            </w:pPr>
            <w:r>
              <w:rPr>
                <w:sz w:val="21"/>
                <w:szCs w:val="21"/>
                <w:spacing w:val="-2"/>
              </w:rPr>
              <w:t>0.0183</w:t>
            </w:r>
          </w:p>
        </w:tc>
        <w:tc>
          <w:tcPr>
            <w:tcW w:w="1148" w:type="dxa"/>
            <w:vAlign w:val="top"/>
          </w:tcPr>
          <w:p>
            <w:pPr>
              <w:pStyle w:val="TableText"/>
              <w:ind w:left="514"/>
              <w:spacing w:before="46" w:line="196" w:lineRule="auto"/>
              <w:rPr>
                <w:sz w:val="21"/>
                <w:szCs w:val="21"/>
              </w:rPr>
            </w:pPr>
            <w:r>
              <w:rPr>
                <w:sz w:val="21"/>
                <w:szCs w:val="21"/>
              </w:rPr>
              <w:t>/</w:t>
            </w:r>
          </w:p>
        </w:tc>
        <w:tc>
          <w:tcPr>
            <w:tcW w:w="1039" w:type="dxa"/>
            <w:vAlign w:val="top"/>
          </w:tcPr>
          <w:p>
            <w:pPr>
              <w:pStyle w:val="TableText"/>
              <w:ind w:left="196"/>
              <w:spacing w:before="61" w:line="182" w:lineRule="auto"/>
              <w:rPr>
                <w:sz w:val="21"/>
                <w:szCs w:val="21"/>
              </w:rPr>
            </w:pPr>
            <w:r>
              <w:rPr>
                <w:sz w:val="21"/>
                <w:szCs w:val="21"/>
                <w:spacing w:val="-2"/>
              </w:rPr>
              <w:t>0.0659</w:t>
            </w:r>
          </w:p>
        </w:tc>
        <w:tc>
          <w:tcPr>
            <w:tcW w:w="1049" w:type="dxa"/>
            <w:vAlign w:val="top"/>
          </w:tcPr>
          <w:p>
            <w:pPr>
              <w:pStyle w:val="TableText"/>
              <w:ind w:left="207"/>
              <w:spacing w:before="61" w:line="182" w:lineRule="auto"/>
              <w:rPr>
                <w:sz w:val="21"/>
                <w:szCs w:val="21"/>
              </w:rPr>
            </w:pPr>
            <w:r>
              <w:rPr>
                <w:sz w:val="21"/>
                <w:szCs w:val="21"/>
                <w:spacing w:val="-2"/>
              </w:rPr>
              <w:t>0.0659</w:t>
            </w:r>
          </w:p>
        </w:tc>
        <w:tc>
          <w:tcPr>
            <w:tcW w:w="1283" w:type="dxa"/>
            <w:vAlign w:val="top"/>
          </w:tcPr>
          <w:p>
            <w:pPr>
              <w:pStyle w:val="TableText"/>
              <w:ind w:left="268"/>
              <w:spacing w:before="61" w:line="182" w:lineRule="auto"/>
              <w:rPr>
                <w:sz w:val="21"/>
                <w:szCs w:val="21"/>
              </w:rPr>
            </w:pPr>
            <w:r>
              <w:rPr>
                <w:sz w:val="21"/>
                <w:szCs w:val="21"/>
                <w:spacing w:val="-2"/>
              </w:rPr>
              <w:t>+0.0476</w:t>
            </w:r>
          </w:p>
        </w:tc>
      </w:tr>
      <w:tr>
        <w:trPr>
          <w:trHeight w:val="230" w:hRule="atLeast"/>
        </w:trPr>
        <w:tc>
          <w:tcPr>
            <w:tcW w:w="414" w:type="dxa"/>
            <w:vAlign w:val="top"/>
            <w:vMerge w:val="continue"/>
            <w:textDirection w:val="tbRlV"/>
            <w:tcBorders>
              <w:top w:val="nil"/>
              <w:bottom w:val="nil"/>
            </w:tcBorders>
          </w:tcPr>
          <w:p>
            <w:pPr>
              <w:rPr>
                <w:rFonts w:ascii="Arial"/>
                <w:sz w:val="21"/>
              </w:rPr>
            </w:pPr>
            <w:r/>
          </w:p>
        </w:tc>
        <w:tc>
          <w:tcPr>
            <w:tcW w:w="2717" w:type="dxa"/>
            <w:vAlign w:val="top"/>
          </w:tcPr>
          <w:p>
            <w:pPr>
              <w:pStyle w:val="TableText"/>
              <w:ind w:left="1190"/>
              <w:spacing w:before="85" w:line="135" w:lineRule="exact"/>
              <w:rPr>
                <w:sz w:val="21"/>
                <w:szCs w:val="21"/>
              </w:rPr>
            </w:pPr>
            <w:r>
              <w:rPr>
                <w:sz w:val="21"/>
                <w:szCs w:val="21"/>
                <w:color w:val="504040"/>
                <w:spacing w:val="-1"/>
                <w:position w:val="-3"/>
              </w:rPr>
              <w:t>NOx</w:t>
            </w:r>
          </w:p>
        </w:tc>
        <w:tc>
          <w:tcPr>
            <w:tcW w:w="849" w:type="dxa"/>
            <w:vAlign w:val="top"/>
          </w:tcPr>
          <w:p>
            <w:pPr>
              <w:pStyle w:val="TableText"/>
              <w:ind w:left="103"/>
              <w:spacing w:before="52" w:line="167" w:lineRule="exact"/>
              <w:rPr>
                <w:sz w:val="21"/>
                <w:szCs w:val="21"/>
              </w:rPr>
            </w:pPr>
            <w:r>
              <w:rPr>
                <w:sz w:val="21"/>
                <w:szCs w:val="21"/>
                <w:spacing w:val="-2"/>
                <w:position w:val="-2"/>
              </w:rPr>
              <w:t>0.1011</w:t>
            </w:r>
          </w:p>
        </w:tc>
        <w:tc>
          <w:tcPr>
            <w:tcW w:w="1148" w:type="dxa"/>
            <w:vAlign w:val="top"/>
          </w:tcPr>
          <w:p>
            <w:pPr>
              <w:pStyle w:val="TableText"/>
              <w:ind w:left="514"/>
              <w:spacing w:before="36" w:line="161" w:lineRule="auto"/>
              <w:rPr>
                <w:sz w:val="21"/>
                <w:szCs w:val="21"/>
              </w:rPr>
            </w:pPr>
            <w:r>
              <w:rPr>
                <w:sz w:val="21"/>
                <w:szCs w:val="21"/>
              </w:rPr>
              <w:t>/</w:t>
            </w:r>
          </w:p>
        </w:tc>
        <w:tc>
          <w:tcPr>
            <w:tcW w:w="1039" w:type="dxa"/>
            <w:vAlign w:val="top"/>
          </w:tcPr>
          <w:p>
            <w:pPr>
              <w:pStyle w:val="TableText"/>
              <w:ind w:left="196"/>
              <w:spacing w:before="52" w:line="167" w:lineRule="exact"/>
              <w:rPr>
                <w:sz w:val="21"/>
                <w:szCs w:val="21"/>
              </w:rPr>
            </w:pPr>
            <w:r>
              <w:rPr>
                <w:sz w:val="21"/>
                <w:szCs w:val="21"/>
                <w:spacing w:val="-2"/>
                <w:position w:val="-2"/>
              </w:rPr>
              <w:t>0.2156</w:t>
            </w:r>
          </w:p>
        </w:tc>
        <w:tc>
          <w:tcPr>
            <w:tcW w:w="1049" w:type="dxa"/>
            <w:vAlign w:val="top"/>
          </w:tcPr>
          <w:p>
            <w:pPr>
              <w:pStyle w:val="TableText"/>
              <w:ind w:left="207"/>
              <w:spacing w:before="52" w:line="167" w:lineRule="exact"/>
              <w:rPr>
                <w:sz w:val="21"/>
                <w:szCs w:val="21"/>
              </w:rPr>
            </w:pPr>
            <w:r>
              <w:rPr>
                <w:sz w:val="21"/>
                <w:szCs w:val="21"/>
                <w:spacing w:val="-2"/>
                <w:position w:val="-2"/>
              </w:rPr>
              <w:t>0.2156</w:t>
            </w:r>
          </w:p>
        </w:tc>
        <w:tc>
          <w:tcPr>
            <w:tcW w:w="1283" w:type="dxa"/>
            <w:vAlign w:val="top"/>
          </w:tcPr>
          <w:p>
            <w:pPr>
              <w:pStyle w:val="TableText"/>
              <w:ind w:left="268"/>
              <w:spacing w:before="52" w:line="167" w:lineRule="exact"/>
              <w:rPr>
                <w:sz w:val="21"/>
                <w:szCs w:val="21"/>
              </w:rPr>
            </w:pPr>
            <w:r>
              <w:rPr>
                <w:sz w:val="21"/>
                <w:szCs w:val="21"/>
                <w:spacing w:val="-2"/>
                <w:position w:val="-2"/>
              </w:rPr>
              <w:t>+0.1145</w:t>
            </w:r>
          </w:p>
        </w:tc>
      </w:tr>
      <w:tr>
        <w:trPr>
          <w:trHeight w:val="240" w:hRule="atLeast"/>
        </w:trPr>
        <w:tc>
          <w:tcPr>
            <w:tcW w:w="414" w:type="dxa"/>
            <w:vAlign w:val="top"/>
            <w:vMerge w:val="continue"/>
            <w:textDirection w:val="tbRlV"/>
            <w:tcBorders>
              <w:top w:val="nil"/>
              <w:bottom w:val="nil"/>
            </w:tcBorders>
          </w:tcPr>
          <w:p>
            <w:pPr>
              <w:rPr>
                <w:rFonts w:ascii="Arial"/>
                <w:sz w:val="21"/>
              </w:rPr>
            </w:pPr>
            <w:r/>
          </w:p>
        </w:tc>
        <w:tc>
          <w:tcPr>
            <w:tcW w:w="2717" w:type="dxa"/>
            <w:vAlign w:val="top"/>
          </w:tcPr>
          <w:p>
            <w:pPr>
              <w:pStyle w:val="TableText"/>
              <w:ind w:left="1140"/>
              <w:spacing w:before="55" w:line="175" w:lineRule="exact"/>
              <w:rPr>
                <w:rFonts w:ascii="Calibri" w:hAnsi="Calibri" w:eastAsia="Calibri" w:cs="Calibri"/>
                <w:sz w:val="21"/>
                <w:szCs w:val="21"/>
              </w:rPr>
            </w:pPr>
            <w:r>
              <w:rPr>
                <w:sz w:val="21"/>
                <w:szCs w:val="21"/>
                <w:spacing w:val="-4"/>
                <w:position w:val="-1"/>
              </w:rPr>
              <w:t>SO</w:t>
            </w:r>
            <w:r>
              <w:rPr>
                <w:rFonts w:ascii="Calibri" w:hAnsi="Calibri" w:eastAsia="Calibri" w:cs="Calibri"/>
                <w:sz w:val="21"/>
                <w:szCs w:val="21"/>
                <w:spacing w:val="-4"/>
                <w:position w:val="-1"/>
              </w:rPr>
              <w:t>₂</w:t>
            </w:r>
          </w:p>
        </w:tc>
        <w:tc>
          <w:tcPr>
            <w:tcW w:w="849" w:type="dxa"/>
            <w:vAlign w:val="top"/>
          </w:tcPr>
          <w:p>
            <w:pPr>
              <w:pStyle w:val="TableText"/>
              <w:ind w:left="103"/>
              <w:spacing w:before="42" w:line="165" w:lineRule="auto"/>
              <w:rPr>
                <w:sz w:val="21"/>
                <w:szCs w:val="21"/>
              </w:rPr>
            </w:pPr>
            <w:r>
              <w:rPr>
                <w:sz w:val="21"/>
                <w:szCs w:val="21"/>
                <w:spacing w:val="-2"/>
              </w:rPr>
              <w:t>0.0020</w:t>
            </w:r>
          </w:p>
        </w:tc>
        <w:tc>
          <w:tcPr>
            <w:tcW w:w="1148" w:type="dxa"/>
            <w:vAlign w:val="top"/>
            <w:textDirection w:val="tbRlV"/>
          </w:tcPr>
          <w:p>
            <w:pPr>
              <w:spacing w:line="444" w:lineRule="auto"/>
              <w:rPr>
                <w:rFonts w:ascii="Arial"/>
                <w:sz w:val="21"/>
              </w:rPr>
            </w:pPr>
            <w:r/>
          </w:p>
          <w:p>
            <w:pPr>
              <w:pStyle w:val="TableText"/>
              <w:spacing w:before="71" w:line="136" w:lineRule="exact"/>
              <w:rPr>
                <w:sz w:val="21"/>
                <w:szCs w:val="21"/>
              </w:rPr>
            </w:pPr>
            <w:r>
              <w:rPr>
                <w:sz w:val="21"/>
                <w:szCs w:val="21"/>
                <w:spacing w:val="52"/>
                <w:w w:val="135"/>
                <w:position w:val="-1"/>
              </w:rPr>
              <w:t>/</w:t>
            </w:r>
          </w:p>
        </w:tc>
        <w:tc>
          <w:tcPr>
            <w:tcW w:w="1039" w:type="dxa"/>
            <w:vAlign w:val="top"/>
          </w:tcPr>
          <w:p>
            <w:pPr>
              <w:pStyle w:val="TableText"/>
              <w:ind w:left="196"/>
              <w:spacing w:before="42" w:line="165" w:lineRule="auto"/>
              <w:rPr>
                <w:sz w:val="21"/>
                <w:szCs w:val="21"/>
              </w:rPr>
            </w:pPr>
            <w:r>
              <w:rPr>
                <w:sz w:val="21"/>
                <w:szCs w:val="21"/>
                <w:spacing w:val="-2"/>
              </w:rPr>
              <w:t>0.0461</w:t>
            </w:r>
          </w:p>
        </w:tc>
        <w:tc>
          <w:tcPr>
            <w:tcW w:w="1049" w:type="dxa"/>
            <w:vAlign w:val="top"/>
          </w:tcPr>
          <w:p>
            <w:pPr>
              <w:pStyle w:val="TableText"/>
              <w:ind w:left="207"/>
              <w:spacing w:before="42" w:line="165" w:lineRule="auto"/>
              <w:rPr>
                <w:sz w:val="21"/>
                <w:szCs w:val="21"/>
              </w:rPr>
            </w:pPr>
            <w:r>
              <w:rPr>
                <w:sz w:val="21"/>
                <w:szCs w:val="21"/>
                <w:spacing w:val="-2"/>
              </w:rPr>
              <w:t>0.0461</w:t>
            </w:r>
          </w:p>
        </w:tc>
        <w:tc>
          <w:tcPr>
            <w:tcW w:w="1283" w:type="dxa"/>
            <w:vAlign w:val="top"/>
          </w:tcPr>
          <w:p>
            <w:pPr>
              <w:pStyle w:val="TableText"/>
              <w:ind w:left="268"/>
              <w:spacing w:before="42" w:line="165" w:lineRule="auto"/>
              <w:rPr>
                <w:sz w:val="21"/>
                <w:szCs w:val="21"/>
              </w:rPr>
            </w:pPr>
            <w:r>
              <w:rPr>
                <w:sz w:val="21"/>
                <w:szCs w:val="21"/>
                <w:spacing w:val="-2"/>
              </w:rPr>
              <w:t>+0.0441</w:t>
            </w:r>
          </w:p>
        </w:tc>
      </w:tr>
      <w:tr>
        <w:trPr>
          <w:trHeight w:val="250" w:hRule="atLeast"/>
        </w:trPr>
        <w:tc>
          <w:tcPr>
            <w:tcW w:w="414" w:type="dxa"/>
            <w:vAlign w:val="top"/>
            <w:vMerge w:val="continue"/>
            <w:textDirection w:val="tbRlV"/>
            <w:tcBorders>
              <w:top w:val="nil"/>
              <w:bottom w:val="nil"/>
            </w:tcBorders>
          </w:tcPr>
          <w:p>
            <w:pPr>
              <w:rPr>
                <w:rFonts w:ascii="Arial"/>
                <w:sz w:val="21"/>
              </w:rPr>
            </w:pPr>
            <w:r/>
          </w:p>
        </w:tc>
        <w:tc>
          <w:tcPr>
            <w:tcW w:w="2717" w:type="dxa"/>
            <w:vAlign w:val="top"/>
          </w:tcPr>
          <w:p>
            <w:pPr>
              <w:pStyle w:val="TableText"/>
              <w:ind w:left="1140"/>
              <w:spacing w:before="55" w:line="162"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849" w:type="dxa"/>
            <w:vAlign w:val="top"/>
          </w:tcPr>
          <w:p>
            <w:pPr>
              <w:pStyle w:val="TableText"/>
              <w:ind w:left="363"/>
              <w:spacing w:before="42" w:line="174" w:lineRule="auto"/>
              <w:rPr>
                <w:sz w:val="21"/>
                <w:szCs w:val="21"/>
              </w:rPr>
            </w:pPr>
            <w:r>
              <w:rPr>
                <w:sz w:val="21"/>
                <w:szCs w:val="21"/>
              </w:rPr>
              <w:t>1</w:t>
            </w:r>
          </w:p>
        </w:tc>
        <w:tc>
          <w:tcPr>
            <w:tcW w:w="1148" w:type="dxa"/>
            <w:vAlign w:val="top"/>
            <w:textDirection w:val="tbRlV"/>
          </w:tcPr>
          <w:p>
            <w:pPr>
              <w:spacing w:line="444" w:lineRule="auto"/>
              <w:rPr>
                <w:rFonts w:ascii="Arial"/>
                <w:sz w:val="21"/>
              </w:rPr>
            </w:pPr>
            <w:r/>
          </w:p>
          <w:p>
            <w:pPr>
              <w:pStyle w:val="TableText"/>
              <w:spacing w:before="71" w:line="136" w:lineRule="exact"/>
              <w:rPr>
                <w:sz w:val="21"/>
                <w:szCs w:val="21"/>
              </w:rPr>
            </w:pPr>
            <w:r>
              <w:rPr>
                <w:sz w:val="21"/>
                <w:szCs w:val="21"/>
                <w:spacing w:val="52"/>
                <w:w w:val="135"/>
                <w:position w:val="-1"/>
              </w:rPr>
              <w:t>/</w:t>
            </w:r>
          </w:p>
        </w:tc>
        <w:tc>
          <w:tcPr>
            <w:tcW w:w="1039" w:type="dxa"/>
            <w:vAlign w:val="top"/>
          </w:tcPr>
          <w:p>
            <w:pPr>
              <w:pStyle w:val="TableText"/>
              <w:ind w:left="196"/>
              <w:spacing w:before="42" w:line="174" w:lineRule="auto"/>
              <w:rPr>
                <w:sz w:val="21"/>
                <w:szCs w:val="21"/>
              </w:rPr>
            </w:pPr>
            <w:r>
              <w:rPr>
                <w:sz w:val="21"/>
                <w:szCs w:val="21"/>
                <w:spacing w:val="-2"/>
              </w:rPr>
              <w:t>0.0729</w:t>
            </w:r>
          </w:p>
        </w:tc>
        <w:tc>
          <w:tcPr>
            <w:tcW w:w="1049" w:type="dxa"/>
            <w:vAlign w:val="top"/>
          </w:tcPr>
          <w:p>
            <w:pPr>
              <w:pStyle w:val="TableText"/>
              <w:ind w:left="207"/>
              <w:spacing w:before="42" w:line="174" w:lineRule="auto"/>
              <w:rPr>
                <w:sz w:val="21"/>
                <w:szCs w:val="21"/>
              </w:rPr>
            </w:pPr>
            <w:r>
              <w:rPr>
                <w:sz w:val="21"/>
                <w:szCs w:val="21"/>
                <w:spacing w:val="-2"/>
              </w:rPr>
              <w:t>0.0729</w:t>
            </w:r>
          </w:p>
        </w:tc>
        <w:tc>
          <w:tcPr>
            <w:tcW w:w="1283" w:type="dxa"/>
            <w:vAlign w:val="top"/>
          </w:tcPr>
          <w:p>
            <w:pPr>
              <w:pStyle w:val="TableText"/>
              <w:ind w:left="268"/>
              <w:spacing w:before="42" w:line="174" w:lineRule="auto"/>
              <w:rPr>
                <w:sz w:val="21"/>
                <w:szCs w:val="21"/>
              </w:rPr>
            </w:pPr>
            <w:r>
              <w:rPr>
                <w:sz w:val="21"/>
                <w:szCs w:val="21"/>
                <w:spacing w:val="-2"/>
              </w:rPr>
              <w:t>+0.0729</w:t>
            </w:r>
          </w:p>
        </w:tc>
      </w:tr>
      <w:tr>
        <w:trPr>
          <w:trHeight w:val="239" w:hRule="atLeast"/>
        </w:trPr>
        <w:tc>
          <w:tcPr>
            <w:tcW w:w="414" w:type="dxa"/>
            <w:vAlign w:val="top"/>
            <w:vMerge w:val="continue"/>
            <w:textDirection w:val="tbRlV"/>
            <w:tcBorders>
              <w:top w:val="nil"/>
              <w:bottom w:val="nil"/>
            </w:tcBorders>
          </w:tcPr>
          <w:p>
            <w:pPr>
              <w:rPr>
                <w:rFonts w:ascii="Arial"/>
                <w:sz w:val="21"/>
              </w:rPr>
            </w:pPr>
            <w:r/>
          </w:p>
        </w:tc>
        <w:tc>
          <w:tcPr>
            <w:tcW w:w="2717" w:type="dxa"/>
            <w:vAlign w:val="top"/>
          </w:tcPr>
          <w:p>
            <w:pPr>
              <w:pStyle w:val="TableText"/>
              <w:ind w:left="1140"/>
              <w:spacing w:before="55" w:line="174" w:lineRule="exact"/>
              <w:rPr>
                <w:sz w:val="21"/>
                <w:szCs w:val="21"/>
              </w:rPr>
            </w:pPr>
            <w:r>
              <w:rPr>
                <w:sz w:val="21"/>
                <w:szCs w:val="21"/>
                <w:spacing w:val="-2"/>
                <w:position w:val="-1"/>
              </w:rPr>
              <w:t>H</w:t>
            </w:r>
            <w:r>
              <w:rPr>
                <w:rFonts w:ascii="Calibri" w:hAnsi="Calibri" w:eastAsia="Calibri" w:cs="Calibri"/>
                <w:sz w:val="21"/>
                <w:szCs w:val="21"/>
                <w:spacing w:val="-2"/>
                <w:position w:val="-1"/>
              </w:rPr>
              <w:t>₂</w:t>
            </w:r>
            <w:r>
              <w:rPr>
                <w:sz w:val="21"/>
                <w:szCs w:val="21"/>
                <w:spacing w:val="-2"/>
                <w:position w:val="-1"/>
              </w:rPr>
              <w:t>S</w:t>
            </w:r>
          </w:p>
        </w:tc>
        <w:tc>
          <w:tcPr>
            <w:tcW w:w="849" w:type="dxa"/>
            <w:vAlign w:val="top"/>
          </w:tcPr>
          <w:p>
            <w:pPr>
              <w:pStyle w:val="TableText"/>
              <w:ind w:left="363"/>
              <w:spacing w:before="42" w:line="164" w:lineRule="auto"/>
              <w:rPr>
                <w:sz w:val="21"/>
                <w:szCs w:val="21"/>
              </w:rPr>
            </w:pPr>
            <w:r>
              <w:rPr>
                <w:sz w:val="21"/>
                <w:szCs w:val="21"/>
              </w:rPr>
              <w:t>1</w:t>
            </w:r>
          </w:p>
        </w:tc>
        <w:tc>
          <w:tcPr>
            <w:tcW w:w="1148" w:type="dxa"/>
            <w:vAlign w:val="top"/>
            <w:textDirection w:val="tbRlV"/>
          </w:tcPr>
          <w:p>
            <w:pPr>
              <w:spacing w:line="444" w:lineRule="auto"/>
              <w:rPr>
                <w:rFonts w:ascii="Arial"/>
                <w:sz w:val="21"/>
              </w:rPr>
            </w:pPr>
            <w:r/>
          </w:p>
          <w:p>
            <w:pPr>
              <w:pStyle w:val="TableText"/>
              <w:spacing w:before="71" w:line="136" w:lineRule="exact"/>
              <w:rPr>
                <w:sz w:val="21"/>
                <w:szCs w:val="21"/>
              </w:rPr>
            </w:pPr>
            <w:r>
              <w:rPr>
                <w:sz w:val="21"/>
                <w:szCs w:val="21"/>
                <w:color w:val="404050"/>
                <w:spacing w:val="52"/>
                <w:w w:val="135"/>
                <w:position w:val="-1"/>
              </w:rPr>
              <w:t>/</w:t>
            </w:r>
          </w:p>
        </w:tc>
        <w:tc>
          <w:tcPr>
            <w:tcW w:w="1039" w:type="dxa"/>
            <w:vAlign w:val="top"/>
          </w:tcPr>
          <w:p>
            <w:pPr>
              <w:pStyle w:val="TableText"/>
              <w:ind w:left="196"/>
              <w:spacing w:before="42" w:line="164" w:lineRule="auto"/>
              <w:rPr>
                <w:sz w:val="21"/>
                <w:szCs w:val="21"/>
              </w:rPr>
            </w:pPr>
            <w:r>
              <w:rPr>
                <w:sz w:val="21"/>
                <w:szCs w:val="21"/>
                <w:color w:val="605050"/>
                <w:spacing w:val="-2"/>
              </w:rPr>
              <w:t>0.0158</w:t>
            </w:r>
          </w:p>
        </w:tc>
        <w:tc>
          <w:tcPr>
            <w:tcW w:w="1049" w:type="dxa"/>
            <w:vAlign w:val="top"/>
          </w:tcPr>
          <w:p>
            <w:pPr>
              <w:pStyle w:val="TableText"/>
              <w:ind w:left="207"/>
              <w:spacing w:before="42" w:line="164" w:lineRule="auto"/>
              <w:rPr>
                <w:sz w:val="21"/>
                <w:szCs w:val="21"/>
              </w:rPr>
            </w:pPr>
            <w:r>
              <w:rPr>
                <w:sz w:val="21"/>
                <w:szCs w:val="21"/>
                <w:color w:val="605050"/>
                <w:spacing w:val="-2"/>
              </w:rPr>
              <w:t>0.0158</w:t>
            </w:r>
          </w:p>
        </w:tc>
        <w:tc>
          <w:tcPr>
            <w:tcW w:w="1283" w:type="dxa"/>
            <w:vAlign w:val="top"/>
          </w:tcPr>
          <w:p>
            <w:pPr>
              <w:pStyle w:val="TableText"/>
              <w:ind w:left="268"/>
              <w:spacing w:before="42" w:line="164" w:lineRule="auto"/>
              <w:rPr>
                <w:sz w:val="21"/>
                <w:szCs w:val="21"/>
              </w:rPr>
            </w:pPr>
            <w:r>
              <w:rPr>
                <w:sz w:val="21"/>
                <w:szCs w:val="21"/>
                <w:spacing w:val="-2"/>
              </w:rPr>
              <w:t>+0.0158</w:t>
            </w:r>
          </w:p>
        </w:tc>
      </w:tr>
      <w:tr>
        <w:trPr>
          <w:trHeight w:val="270" w:hRule="atLeast"/>
        </w:trPr>
        <w:tc>
          <w:tcPr>
            <w:tcW w:w="414" w:type="dxa"/>
            <w:vAlign w:val="top"/>
            <w:vMerge w:val="continue"/>
            <w:textDirection w:val="tbRlV"/>
            <w:tcBorders>
              <w:top w:val="nil"/>
            </w:tcBorders>
          </w:tcPr>
          <w:p>
            <w:pPr>
              <w:rPr>
                <w:rFonts w:ascii="Arial"/>
                <w:sz w:val="21"/>
              </w:rPr>
            </w:pPr>
            <w:r/>
          </w:p>
        </w:tc>
        <w:tc>
          <w:tcPr>
            <w:tcW w:w="2717" w:type="dxa"/>
            <w:vAlign w:val="top"/>
          </w:tcPr>
          <w:p>
            <w:pPr>
              <w:pStyle w:val="TableText"/>
              <w:ind w:left="1140"/>
              <w:spacing w:before="33" w:line="199" w:lineRule="auto"/>
              <w:rPr>
                <w:sz w:val="21"/>
                <w:szCs w:val="21"/>
              </w:rPr>
            </w:pPr>
            <w:r>
              <w:rPr>
                <w:sz w:val="21"/>
                <w:szCs w:val="21"/>
                <w:spacing w:val="6"/>
              </w:rPr>
              <w:t>油烟</w:t>
            </w:r>
          </w:p>
        </w:tc>
        <w:tc>
          <w:tcPr>
            <w:tcW w:w="849" w:type="dxa"/>
            <w:vAlign w:val="top"/>
          </w:tcPr>
          <w:p>
            <w:pPr>
              <w:pStyle w:val="TableText"/>
              <w:ind w:left="363"/>
              <w:spacing w:before="38" w:line="195" w:lineRule="auto"/>
              <w:rPr>
                <w:sz w:val="21"/>
                <w:szCs w:val="21"/>
              </w:rPr>
            </w:pPr>
            <w:r>
              <w:rPr>
                <w:sz w:val="21"/>
                <w:szCs w:val="21"/>
                <w:color w:val="303050"/>
              </w:rPr>
              <w:t>/</w:t>
            </w:r>
          </w:p>
        </w:tc>
        <w:tc>
          <w:tcPr>
            <w:tcW w:w="1148" w:type="dxa"/>
            <w:vAlign w:val="top"/>
          </w:tcPr>
          <w:p>
            <w:pPr>
              <w:pStyle w:val="TableText"/>
              <w:ind w:left="514"/>
              <w:spacing w:before="38" w:line="195" w:lineRule="auto"/>
              <w:rPr>
                <w:sz w:val="21"/>
                <w:szCs w:val="21"/>
              </w:rPr>
            </w:pPr>
            <w:r>
              <w:rPr>
                <w:sz w:val="21"/>
                <w:szCs w:val="21"/>
              </w:rPr>
              <w:t>/</w:t>
            </w:r>
          </w:p>
        </w:tc>
        <w:tc>
          <w:tcPr>
            <w:tcW w:w="1039" w:type="dxa"/>
            <w:vAlign w:val="top"/>
          </w:tcPr>
          <w:p>
            <w:pPr>
              <w:pStyle w:val="TableText"/>
              <w:ind w:left="246"/>
              <w:spacing w:before="52" w:line="182" w:lineRule="auto"/>
              <w:rPr>
                <w:sz w:val="21"/>
                <w:szCs w:val="21"/>
              </w:rPr>
            </w:pPr>
            <w:r>
              <w:rPr>
                <w:sz w:val="21"/>
                <w:szCs w:val="21"/>
                <w:spacing w:val="-2"/>
              </w:rPr>
              <w:t>0.009</w:t>
            </w:r>
          </w:p>
        </w:tc>
        <w:tc>
          <w:tcPr>
            <w:tcW w:w="1049" w:type="dxa"/>
            <w:vAlign w:val="top"/>
          </w:tcPr>
          <w:p>
            <w:pPr>
              <w:pStyle w:val="TableText"/>
              <w:ind w:left="257"/>
              <w:spacing w:before="52" w:line="182" w:lineRule="auto"/>
              <w:rPr>
                <w:sz w:val="21"/>
                <w:szCs w:val="21"/>
              </w:rPr>
            </w:pPr>
            <w:r>
              <w:rPr>
                <w:sz w:val="21"/>
                <w:szCs w:val="21"/>
                <w:spacing w:val="-2"/>
              </w:rPr>
              <w:t>0.009</w:t>
            </w:r>
          </w:p>
        </w:tc>
        <w:tc>
          <w:tcPr>
            <w:tcW w:w="1283" w:type="dxa"/>
            <w:vAlign w:val="top"/>
          </w:tcPr>
          <w:p>
            <w:pPr>
              <w:pStyle w:val="TableText"/>
              <w:ind w:left="318"/>
              <w:spacing w:before="52" w:line="182" w:lineRule="auto"/>
              <w:rPr>
                <w:sz w:val="21"/>
                <w:szCs w:val="21"/>
              </w:rPr>
            </w:pPr>
            <w:r>
              <w:rPr>
                <w:sz w:val="21"/>
                <w:szCs w:val="21"/>
                <w:spacing w:val="-2"/>
              </w:rPr>
              <w:t>+0.009</w:t>
            </w:r>
          </w:p>
        </w:tc>
      </w:tr>
      <w:tr>
        <w:trPr>
          <w:trHeight w:val="270" w:hRule="atLeast"/>
        </w:trPr>
        <w:tc>
          <w:tcPr>
            <w:tcW w:w="414" w:type="dxa"/>
            <w:vAlign w:val="top"/>
            <w:vMerge w:val="restart"/>
            <w:textDirection w:val="tbRlV"/>
            <w:tcBorders>
              <w:bottom w:val="nil"/>
            </w:tcBorders>
          </w:tcPr>
          <w:p>
            <w:pPr>
              <w:pStyle w:val="TableText"/>
              <w:ind w:left="1611"/>
              <w:spacing w:before="149" w:line="200" w:lineRule="auto"/>
              <w:rPr>
                <w:sz w:val="21"/>
                <w:szCs w:val="21"/>
              </w:rPr>
            </w:pPr>
            <w:r>
              <w:rPr>
                <w:sz w:val="21"/>
                <w:szCs w:val="21"/>
              </w:rPr>
              <w:t>固废</w:t>
            </w:r>
          </w:p>
        </w:tc>
        <w:tc>
          <w:tcPr>
            <w:tcW w:w="2717" w:type="dxa"/>
            <w:vAlign w:val="top"/>
          </w:tcPr>
          <w:p>
            <w:pPr>
              <w:pStyle w:val="TableText"/>
              <w:ind w:left="721"/>
              <w:spacing w:before="32" w:line="200" w:lineRule="auto"/>
              <w:rPr>
                <w:sz w:val="21"/>
                <w:szCs w:val="21"/>
              </w:rPr>
            </w:pPr>
            <w:r>
              <w:rPr>
                <w:sz w:val="21"/>
                <w:szCs w:val="21"/>
                <w:spacing w:val="1"/>
              </w:rPr>
              <w:t>办公生活垃圾</w:t>
            </w:r>
          </w:p>
        </w:tc>
        <w:tc>
          <w:tcPr>
            <w:tcW w:w="849" w:type="dxa"/>
            <w:vAlign w:val="top"/>
          </w:tcPr>
          <w:p>
            <w:pPr>
              <w:pStyle w:val="TableText"/>
              <w:ind w:left="363"/>
              <w:spacing w:before="52" w:line="182" w:lineRule="auto"/>
              <w:rPr>
                <w:sz w:val="21"/>
                <w:szCs w:val="21"/>
              </w:rPr>
            </w:pPr>
            <w:r>
              <w:rPr>
                <w:sz w:val="21"/>
                <w:szCs w:val="21"/>
              </w:rPr>
              <w:t>9</w:t>
            </w:r>
          </w:p>
        </w:tc>
        <w:tc>
          <w:tcPr>
            <w:tcW w:w="1148" w:type="dxa"/>
            <w:vAlign w:val="top"/>
          </w:tcPr>
          <w:p>
            <w:pPr>
              <w:rPr>
                <w:rFonts w:ascii="Arial"/>
                <w:sz w:val="21"/>
              </w:rPr>
            </w:pPr>
            <w:r/>
          </w:p>
        </w:tc>
        <w:tc>
          <w:tcPr>
            <w:tcW w:w="1039" w:type="dxa"/>
            <w:vAlign w:val="top"/>
          </w:tcPr>
          <w:p>
            <w:pPr>
              <w:pStyle w:val="TableText"/>
              <w:ind w:left="406"/>
              <w:spacing w:before="52" w:line="182" w:lineRule="auto"/>
              <w:rPr>
                <w:sz w:val="21"/>
                <w:szCs w:val="21"/>
              </w:rPr>
            </w:pPr>
            <w:r>
              <w:rPr>
                <w:sz w:val="21"/>
                <w:szCs w:val="21"/>
                <w:spacing w:val="-4"/>
              </w:rPr>
              <w:t>36</w:t>
            </w:r>
          </w:p>
        </w:tc>
        <w:tc>
          <w:tcPr>
            <w:tcW w:w="1049" w:type="dxa"/>
            <w:vAlign w:val="top"/>
          </w:tcPr>
          <w:p>
            <w:pPr>
              <w:pStyle w:val="TableText"/>
              <w:ind w:left="417"/>
              <w:spacing w:before="52" w:line="182" w:lineRule="auto"/>
              <w:rPr>
                <w:sz w:val="21"/>
                <w:szCs w:val="21"/>
              </w:rPr>
            </w:pPr>
            <w:r>
              <w:rPr>
                <w:sz w:val="21"/>
                <w:szCs w:val="21"/>
                <w:spacing w:val="-4"/>
              </w:rPr>
              <w:t>36</w:t>
            </w:r>
          </w:p>
        </w:tc>
        <w:tc>
          <w:tcPr>
            <w:tcW w:w="1283" w:type="dxa"/>
            <w:vAlign w:val="top"/>
          </w:tcPr>
          <w:p>
            <w:pPr>
              <w:pStyle w:val="TableText"/>
              <w:ind w:left="478"/>
              <w:spacing w:before="52" w:line="182" w:lineRule="auto"/>
              <w:rPr>
                <w:sz w:val="21"/>
                <w:szCs w:val="21"/>
              </w:rPr>
            </w:pPr>
            <w:r>
              <w:rPr>
                <w:sz w:val="21"/>
                <w:szCs w:val="21"/>
                <w:spacing w:val="-3"/>
              </w:rPr>
              <w:t>+27</w:t>
            </w:r>
          </w:p>
        </w:tc>
      </w:tr>
      <w:tr>
        <w:trPr>
          <w:trHeight w:val="279" w:hRule="atLeast"/>
        </w:trPr>
        <w:tc>
          <w:tcPr>
            <w:tcW w:w="414" w:type="dxa"/>
            <w:vAlign w:val="top"/>
            <w:vMerge w:val="continue"/>
            <w:textDirection w:val="tbRlV"/>
            <w:tcBorders>
              <w:top w:val="nil"/>
              <w:bottom w:val="nil"/>
            </w:tcBorders>
          </w:tcPr>
          <w:p>
            <w:pPr>
              <w:rPr>
                <w:rFonts w:ascii="Arial"/>
                <w:sz w:val="21"/>
              </w:rPr>
            </w:pPr>
            <w:r/>
          </w:p>
        </w:tc>
        <w:tc>
          <w:tcPr>
            <w:tcW w:w="2717" w:type="dxa"/>
            <w:vAlign w:val="top"/>
          </w:tcPr>
          <w:p>
            <w:pPr>
              <w:pStyle w:val="TableText"/>
              <w:ind w:left="610"/>
              <w:spacing w:before="42" w:line="199" w:lineRule="auto"/>
              <w:rPr>
                <w:sz w:val="21"/>
                <w:szCs w:val="21"/>
              </w:rPr>
            </w:pPr>
            <w:r>
              <w:rPr>
                <w:sz w:val="21"/>
                <w:szCs w:val="21"/>
                <w:spacing w:val="-2"/>
              </w:rPr>
              <w:t>生猪待宰圈粪便</w:t>
            </w:r>
          </w:p>
        </w:tc>
        <w:tc>
          <w:tcPr>
            <w:tcW w:w="849" w:type="dxa"/>
            <w:vAlign w:val="top"/>
          </w:tcPr>
          <w:p>
            <w:pPr>
              <w:pStyle w:val="TableText"/>
              <w:ind w:left="313"/>
              <w:spacing w:before="63" w:line="181" w:lineRule="auto"/>
              <w:rPr>
                <w:sz w:val="21"/>
                <w:szCs w:val="21"/>
              </w:rPr>
            </w:pPr>
            <w:r>
              <w:rPr>
                <w:sz w:val="21"/>
                <w:szCs w:val="21"/>
                <w:spacing w:val="-3"/>
              </w:rPr>
              <w:t>90</w:t>
            </w:r>
          </w:p>
        </w:tc>
        <w:tc>
          <w:tcPr>
            <w:tcW w:w="1148" w:type="dxa"/>
            <w:vAlign w:val="top"/>
            <w:textDirection w:val="tbRlV"/>
          </w:tcPr>
          <w:p>
            <w:pPr>
              <w:spacing w:line="444" w:lineRule="auto"/>
              <w:rPr>
                <w:rFonts w:ascii="Arial"/>
                <w:sz w:val="21"/>
              </w:rPr>
            </w:pPr>
            <w:r/>
          </w:p>
          <w:p>
            <w:pPr>
              <w:pStyle w:val="TableText"/>
              <w:ind w:left="14"/>
              <w:spacing w:before="71" w:line="136" w:lineRule="exact"/>
              <w:rPr>
                <w:sz w:val="21"/>
                <w:szCs w:val="21"/>
              </w:rPr>
            </w:pPr>
            <w:r>
              <w:rPr>
                <w:sz w:val="21"/>
                <w:szCs w:val="21"/>
                <w:color w:val="303040"/>
                <w:spacing w:val="52"/>
                <w:w w:val="141"/>
                <w:position w:val="-1"/>
              </w:rPr>
              <w:t>/</w:t>
            </w:r>
          </w:p>
        </w:tc>
        <w:tc>
          <w:tcPr>
            <w:tcW w:w="1039" w:type="dxa"/>
            <w:vAlign w:val="top"/>
          </w:tcPr>
          <w:p>
            <w:pPr>
              <w:pStyle w:val="TableText"/>
              <w:ind w:left="357"/>
              <w:spacing w:before="63" w:line="181" w:lineRule="auto"/>
              <w:rPr>
                <w:sz w:val="21"/>
                <w:szCs w:val="21"/>
              </w:rPr>
            </w:pPr>
            <w:r>
              <w:rPr>
                <w:sz w:val="21"/>
                <w:szCs w:val="21"/>
                <w:spacing w:val="-2"/>
              </w:rPr>
              <w:t>496</w:t>
            </w:r>
          </w:p>
        </w:tc>
        <w:tc>
          <w:tcPr>
            <w:tcW w:w="1049" w:type="dxa"/>
            <w:vAlign w:val="top"/>
          </w:tcPr>
          <w:p>
            <w:pPr>
              <w:pStyle w:val="TableText"/>
              <w:ind w:left="358"/>
              <w:spacing w:before="63" w:line="181" w:lineRule="auto"/>
              <w:rPr>
                <w:sz w:val="21"/>
                <w:szCs w:val="21"/>
              </w:rPr>
            </w:pPr>
            <w:r>
              <w:rPr>
                <w:sz w:val="21"/>
                <w:szCs w:val="21"/>
                <w:spacing w:val="-2"/>
              </w:rPr>
              <w:t>496</w:t>
            </w:r>
          </w:p>
        </w:tc>
        <w:tc>
          <w:tcPr>
            <w:tcW w:w="1283" w:type="dxa"/>
            <w:vAlign w:val="top"/>
          </w:tcPr>
          <w:p>
            <w:pPr>
              <w:pStyle w:val="TableText"/>
              <w:ind w:left="429"/>
              <w:spacing w:before="63" w:line="181" w:lineRule="auto"/>
              <w:rPr>
                <w:sz w:val="21"/>
                <w:szCs w:val="21"/>
              </w:rPr>
            </w:pPr>
            <w:r>
              <w:rPr>
                <w:sz w:val="21"/>
                <w:szCs w:val="21"/>
                <w:spacing w:val="-2"/>
              </w:rPr>
              <w:t>+406</w:t>
            </w:r>
          </w:p>
        </w:tc>
      </w:tr>
      <w:tr>
        <w:trPr>
          <w:trHeight w:val="270" w:hRule="atLeast"/>
        </w:trPr>
        <w:tc>
          <w:tcPr>
            <w:tcW w:w="414" w:type="dxa"/>
            <w:vAlign w:val="top"/>
            <w:vMerge w:val="continue"/>
            <w:textDirection w:val="tbRlV"/>
            <w:tcBorders>
              <w:top w:val="nil"/>
              <w:bottom w:val="nil"/>
            </w:tcBorders>
          </w:tcPr>
          <w:p>
            <w:pPr>
              <w:rPr>
                <w:rFonts w:ascii="Arial"/>
                <w:sz w:val="21"/>
              </w:rPr>
            </w:pPr>
            <w:r/>
          </w:p>
        </w:tc>
        <w:tc>
          <w:tcPr>
            <w:tcW w:w="2717" w:type="dxa"/>
            <w:vAlign w:val="top"/>
          </w:tcPr>
          <w:p>
            <w:pPr>
              <w:pStyle w:val="TableText"/>
              <w:ind w:left="191"/>
              <w:spacing w:before="33" w:line="199" w:lineRule="auto"/>
              <w:rPr>
                <w:sz w:val="21"/>
                <w:szCs w:val="21"/>
              </w:rPr>
            </w:pPr>
            <w:r>
              <w:rPr>
                <w:sz w:val="21"/>
                <w:szCs w:val="21"/>
                <w:spacing w:val="-1"/>
              </w:rPr>
              <w:t>疫病猪、病胴体、病内脏</w:t>
            </w:r>
          </w:p>
        </w:tc>
        <w:tc>
          <w:tcPr>
            <w:tcW w:w="849" w:type="dxa"/>
            <w:vAlign w:val="top"/>
          </w:tcPr>
          <w:p>
            <w:pPr>
              <w:pStyle w:val="TableText"/>
              <w:ind w:left="313"/>
              <w:spacing w:before="54" w:line="181" w:lineRule="auto"/>
              <w:rPr>
                <w:sz w:val="21"/>
                <w:szCs w:val="21"/>
              </w:rPr>
            </w:pPr>
            <w:r>
              <w:rPr>
                <w:sz w:val="21"/>
                <w:szCs w:val="21"/>
                <w:spacing w:val="-6"/>
              </w:rPr>
              <w:t>10</w:t>
            </w:r>
          </w:p>
        </w:tc>
        <w:tc>
          <w:tcPr>
            <w:tcW w:w="1148" w:type="dxa"/>
            <w:vAlign w:val="top"/>
          </w:tcPr>
          <w:p>
            <w:pPr>
              <w:pStyle w:val="TableText"/>
              <w:ind w:left="514"/>
              <w:spacing w:before="39" w:line="194" w:lineRule="auto"/>
              <w:rPr>
                <w:sz w:val="21"/>
                <w:szCs w:val="21"/>
              </w:rPr>
            </w:pPr>
            <w:r>
              <w:rPr>
                <w:sz w:val="21"/>
                <w:szCs w:val="21"/>
                <w:color w:val="303040"/>
              </w:rPr>
              <w:t>/</w:t>
            </w:r>
          </w:p>
        </w:tc>
        <w:tc>
          <w:tcPr>
            <w:tcW w:w="1039" w:type="dxa"/>
            <w:vAlign w:val="top"/>
          </w:tcPr>
          <w:p>
            <w:pPr>
              <w:pStyle w:val="TableText"/>
              <w:ind w:left="357"/>
              <w:spacing w:before="54" w:line="181" w:lineRule="auto"/>
              <w:rPr>
                <w:sz w:val="21"/>
                <w:szCs w:val="21"/>
              </w:rPr>
            </w:pPr>
            <w:r>
              <w:rPr>
                <w:sz w:val="21"/>
                <w:szCs w:val="21"/>
                <w:spacing w:val="-3"/>
              </w:rPr>
              <w:t>344</w:t>
            </w:r>
          </w:p>
        </w:tc>
        <w:tc>
          <w:tcPr>
            <w:tcW w:w="1049" w:type="dxa"/>
            <w:vAlign w:val="top"/>
          </w:tcPr>
          <w:p>
            <w:pPr>
              <w:pStyle w:val="TableText"/>
              <w:ind w:left="358"/>
              <w:spacing w:before="54" w:line="181" w:lineRule="auto"/>
              <w:rPr>
                <w:sz w:val="21"/>
                <w:szCs w:val="21"/>
              </w:rPr>
            </w:pPr>
            <w:r>
              <w:rPr>
                <w:sz w:val="21"/>
                <w:szCs w:val="21"/>
                <w:spacing w:val="-3"/>
              </w:rPr>
              <w:t>344</w:t>
            </w:r>
          </w:p>
        </w:tc>
        <w:tc>
          <w:tcPr>
            <w:tcW w:w="1283" w:type="dxa"/>
            <w:vAlign w:val="top"/>
          </w:tcPr>
          <w:p>
            <w:pPr>
              <w:pStyle w:val="TableText"/>
              <w:ind w:left="429"/>
              <w:spacing w:before="54" w:line="181" w:lineRule="auto"/>
              <w:rPr>
                <w:sz w:val="21"/>
                <w:szCs w:val="21"/>
              </w:rPr>
            </w:pPr>
            <w:r>
              <w:rPr>
                <w:sz w:val="21"/>
                <w:szCs w:val="21"/>
                <w:spacing w:val="-2"/>
              </w:rPr>
              <w:t>+334</w:t>
            </w:r>
          </w:p>
        </w:tc>
      </w:tr>
      <w:tr>
        <w:trPr>
          <w:trHeight w:val="269" w:hRule="atLeast"/>
        </w:trPr>
        <w:tc>
          <w:tcPr>
            <w:tcW w:w="414" w:type="dxa"/>
            <w:vAlign w:val="top"/>
            <w:vMerge w:val="continue"/>
            <w:textDirection w:val="tbRlV"/>
            <w:tcBorders>
              <w:top w:val="nil"/>
              <w:bottom w:val="nil"/>
            </w:tcBorders>
          </w:tcPr>
          <w:p>
            <w:pPr>
              <w:rPr>
                <w:rFonts w:ascii="Arial"/>
                <w:sz w:val="21"/>
              </w:rPr>
            </w:pPr>
            <w:r/>
          </w:p>
        </w:tc>
        <w:tc>
          <w:tcPr>
            <w:tcW w:w="2717" w:type="dxa"/>
            <w:vAlign w:val="top"/>
          </w:tcPr>
          <w:p>
            <w:pPr>
              <w:pStyle w:val="TableText"/>
              <w:ind w:left="610"/>
              <w:spacing w:before="32" w:line="199" w:lineRule="auto"/>
              <w:rPr>
                <w:sz w:val="21"/>
                <w:szCs w:val="21"/>
              </w:rPr>
            </w:pPr>
            <w:r>
              <w:rPr>
                <w:sz w:val="21"/>
                <w:szCs w:val="21"/>
                <w:spacing w:val="-2"/>
              </w:rPr>
              <w:t>生猪胃内容物等</w:t>
            </w:r>
          </w:p>
        </w:tc>
        <w:tc>
          <w:tcPr>
            <w:tcW w:w="849" w:type="dxa"/>
            <w:vAlign w:val="top"/>
          </w:tcPr>
          <w:p>
            <w:pPr>
              <w:pStyle w:val="TableText"/>
              <w:ind w:left="203"/>
              <w:spacing w:before="54" w:line="180" w:lineRule="auto"/>
              <w:rPr>
                <w:sz w:val="21"/>
                <w:szCs w:val="21"/>
              </w:rPr>
            </w:pPr>
            <w:r>
              <w:rPr>
                <w:sz w:val="21"/>
                <w:szCs w:val="21"/>
                <w:spacing w:val="-5"/>
              </w:rPr>
              <w:t>1.08</w:t>
            </w:r>
          </w:p>
        </w:tc>
        <w:tc>
          <w:tcPr>
            <w:tcW w:w="1148" w:type="dxa"/>
            <w:vAlign w:val="top"/>
            <w:textDirection w:val="tbRlV"/>
          </w:tcPr>
          <w:p>
            <w:pPr>
              <w:spacing w:line="444" w:lineRule="auto"/>
              <w:rPr>
                <w:rFonts w:ascii="Arial"/>
                <w:sz w:val="21"/>
              </w:rPr>
            </w:pPr>
            <w:r/>
          </w:p>
          <w:p>
            <w:pPr>
              <w:pStyle w:val="TableText"/>
              <w:ind w:left="5"/>
              <w:spacing w:before="71" w:line="136" w:lineRule="exact"/>
              <w:rPr>
                <w:sz w:val="21"/>
                <w:szCs w:val="21"/>
              </w:rPr>
            </w:pPr>
            <w:r>
              <w:rPr>
                <w:sz w:val="21"/>
                <w:szCs w:val="21"/>
                <w:spacing w:val="52"/>
                <w:w w:val="141"/>
                <w:position w:val="-1"/>
              </w:rPr>
              <w:t>/</w:t>
            </w:r>
          </w:p>
        </w:tc>
        <w:tc>
          <w:tcPr>
            <w:tcW w:w="1039" w:type="dxa"/>
            <w:vAlign w:val="top"/>
          </w:tcPr>
          <w:p>
            <w:pPr>
              <w:pStyle w:val="TableText"/>
              <w:ind w:left="307"/>
              <w:spacing w:before="54" w:line="180" w:lineRule="auto"/>
              <w:rPr>
                <w:sz w:val="21"/>
                <w:szCs w:val="21"/>
              </w:rPr>
            </w:pPr>
            <w:r>
              <w:rPr>
                <w:sz w:val="21"/>
                <w:szCs w:val="21"/>
                <w:spacing w:val="-5"/>
              </w:rPr>
              <w:t>1080</w:t>
            </w:r>
          </w:p>
        </w:tc>
        <w:tc>
          <w:tcPr>
            <w:tcW w:w="1049" w:type="dxa"/>
            <w:vAlign w:val="top"/>
          </w:tcPr>
          <w:p>
            <w:pPr>
              <w:pStyle w:val="TableText"/>
              <w:ind w:left="307"/>
              <w:spacing w:before="54" w:line="180" w:lineRule="auto"/>
              <w:rPr>
                <w:sz w:val="21"/>
                <w:szCs w:val="21"/>
              </w:rPr>
            </w:pPr>
            <w:r>
              <w:rPr>
                <w:sz w:val="21"/>
                <w:szCs w:val="21"/>
                <w:spacing w:val="-5"/>
              </w:rPr>
              <w:t>1080</w:t>
            </w:r>
          </w:p>
        </w:tc>
        <w:tc>
          <w:tcPr>
            <w:tcW w:w="1283" w:type="dxa"/>
            <w:vAlign w:val="top"/>
          </w:tcPr>
          <w:p>
            <w:pPr>
              <w:pStyle w:val="TableText"/>
              <w:ind w:left="218"/>
              <w:spacing w:before="54" w:line="180" w:lineRule="auto"/>
              <w:rPr>
                <w:sz w:val="21"/>
                <w:szCs w:val="21"/>
              </w:rPr>
            </w:pPr>
            <w:r>
              <w:rPr>
                <w:sz w:val="21"/>
                <w:szCs w:val="21"/>
                <w:spacing w:val="-1"/>
              </w:rPr>
              <w:t>+1078.92</w:t>
            </w:r>
          </w:p>
        </w:tc>
      </w:tr>
      <w:tr>
        <w:trPr>
          <w:trHeight w:val="279" w:hRule="atLeast"/>
        </w:trPr>
        <w:tc>
          <w:tcPr>
            <w:tcW w:w="414" w:type="dxa"/>
            <w:vAlign w:val="top"/>
            <w:vMerge w:val="continue"/>
            <w:textDirection w:val="tbRlV"/>
            <w:tcBorders>
              <w:top w:val="nil"/>
              <w:bottom w:val="nil"/>
            </w:tcBorders>
          </w:tcPr>
          <w:p>
            <w:pPr>
              <w:rPr>
                <w:rFonts w:ascii="Arial"/>
                <w:sz w:val="21"/>
              </w:rPr>
            </w:pPr>
            <w:r/>
          </w:p>
        </w:tc>
        <w:tc>
          <w:tcPr>
            <w:tcW w:w="2717" w:type="dxa"/>
            <w:vAlign w:val="top"/>
          </w:tcPr>
          <w:p>
            <w:pPr>
              <w:pStyle w:val="TableText"/>
              <w:ind w:left="721"/>
              <w:spacing w:before="43" w:line="198" w:lineRule="auto"/>
              <w:rPr>
                <w:sz w:val="21"/>
                <w:szCs w:val="21"/>
              </w:rPr>
            </w:pPr>
            <w:r>
              <w:rPr>
                <w:sz w:val="21"/>
                <w:szCs w:val="21"/>
                <w:spacing w:val="-2"/>
              </w:rPr>
              <w:t>生猪屠宰废料</w:t>
            </w:r>
          </w:p>
        </w:tc>
        <w:tc>
          <w:tcPr>
            <w:tcW w:w="849" w:type="dxa"/>
            <w:vAlign w:val="top"/>
          </w:tcPr>
          <w:p>
            <w:pPr>
              <w:pStyle w:val="TableText"/>
              <w:ind w:left="253"/>
              <w:spacing w:before="65" w:line="179" w:lineRule="auto"/>
              <w:rPr>
                <w:sz w:val="21"/>
                <w:szCs w:val="21"/>
              </w:rPr>
            </w:pPr>
            <w:r>
              <w:rPr>
                <w:sz w:val="21"/>
                <w:szCs w:val="21"/>
                <w:spacing w:val="-3"/>
              </w:rPr>
              <w:t>0.5</w:t>
            </w:r>
          </w:p>
        </w:tc>
        <w:tc>
          <w:tcPr>
            <w:tcW w:w="1148" w:type="dxa"/>
            <w:vAlign w:val="top"/>
          </w:tcPr>
          <w:p>
            <w:pPr>
              <w:pStyle w:val="TableText"/>
              <w:ind w:left="514"/>
              <w:spacing w:before="50" w:line="192" w:lineRule="auto"/>
              <w:rPr>
                <w:sz w:val="21"/>
                <w:szCs w:val="21"/>
              </w:rPr>
            </w:pPr>
            <w:r>
              <w:rPr>
                <w:sz w:val="21"/>
                <w:szCs w:val="21"/>
              </w:rPr>
              <w:t>/</w:t>
            </w:r>
          </w:p>
        </w:tc>
        <w:tc>
          <w:tcPr>
            <w:tcW w:w="1039" w:type="dxa"/>
            <w:vAlign w:val="top"/>
          </w:tcPr>
          <w:p>
            <w:pPr>
              <w:pStyle w:val="TableText"/>
              <w:ind w:left="357"/>
              <w:spacing w:before="65" w:line="179" w:lineRule="auto"/>
              <w:rPr>
                <w:sz w:val="21"/>
                <w:szCs w:val="21"/>
              </w:rPr>
            </w:pPr>
            <w:r>
              <w:rPr>
                <w:sz w:val="21"/>
                <w:szCs w:val="21"/>
                <w:spacing w:val="-3"/>
              </w:rPr>
              <w:t>220</w:t>
            </w:r>
          </w:p>
        </w:tc>
        <w:tc>
          <w:tcPr>
            <w:tcW w:w="1049" w:type="dxa"/>
            <w:vAlign w:val="top"/>
          </w:tcPr>
          <w:p>
            <w:pPr>
              <w:pStyle w:val="TableText"/>
              <w:ind w:left="358"/>
              <w:spacing w:before="65" w:line="179" w:lineRule="auto"/>
              <w:rPr>
                <w:sz w:val="21"/>
                <w:szCs w:val="21"/>
              </w:rPr>
            </w:pPr>
            <w:r>
              <w:rPr>
                <w:sz w:val="21"/>
                <w:szCs w:val="21"/>
                <w:spacing w:val="-3"/>
              </w:rPr>
              <w:t>220</w:t>
            </w:r>
          </w:p>
        </w:tc>
        <w:tc>
          <w:tcPr>
            <w:tcW w:w="1283" w:type="dxa"/>
            <w:vAlign w:val="top"/>
          </w:tcPr>
          <w:p>
            <w:pPr>
              <w:pStyle w:val="TableText"/>
              <w:ind w:left="318"/>
              <w:spacing w:before="65" w:line="179" w:lineRule="auto"/>
              <w:rPr>
                <w:sz w:val="21"/>
                <w:szCs w:val="21"/>
              </w:rPr>
            </w:pPr>
            <w:r>
              <w:rPr>
                <w:sz w:val="21"/>
                <w:szCs w:val="21"/>
                <w:spacing w:val="-2"/>
              </w:rPr>
              <w:t>+219.5</w:t>
            </w:r>
          </w:p>
        </w:tc>
      </w:tr>
      <w:tr>
        <w:trPr>
          <w:trHeight w:val="270" w:hRule="atLeast"/>
        </w:trPr>
        <w:tc>
          <w:tcPr>
            <w:tcW w:w="414" w:type="dxa"/>
            <w:vAlign w:val="top"/>
            <w:vMerge w:val="continue"/>
            <w:textDirection w:val="tbRlV"/>
            <w:tcBorders>
              <w:top w:val="nil"/>
              <w:bottom w:val="nil"/>
            </w:tcBorders>
          </w:tcPr>
          <w:p>
            <w:pPr>
              <w:rPr>
                <w:rFonts w:ascii="Arial"/>
                <w:sz w:val="21"/>
              </w:rPr>
            </w:pPr>
            <w:r/>
          </w:p>
        </w:tc>
        <w:tc>
          <w:tcPr>
            <w:tcW w:w="2717" w:type="dxa"/>
            <w:vAlign w:val="top"/>
          </w:tcPr>
          <w:p>
            <w:pPr>
              <w:pStyle w:val="TableText"/>
              <w:ind w:left="610"/>
              <w:spacing w:before="34" w:line="198" w:lineRule="auto"/>
              <w:rPr>
                <w:sz w:val="21"/>
                <w:szCs w:val="21"/>
              </w:rPr>
            </w:pPr>
            <w:r>
              <w:rPr>
                <w:sz w:val="21"/>
                <w:szCs w:val="21"/>
                <w:spacing w:val="1"/>
              </w:rPr>
              <w:t>肉牛待宰圈粪便</w:t>
            </w:r>
          </w:p>
        </w:tc>
        <w:tc>
          <w:tcPr>
            <w:tcW w:w="849" w:type="dxa"/>
            <w:vAlign w:val="top"/>
            <w:textDirection w:val="tbRlV"/>
          </w:tcPr>
          <w:p>
            <w:pPr>
              <w:spacing w:line="301" w:lineRule="auto"/>
              <w:rPr>
                <w:rFonts w:ascii="Arial"/>
                <w:sz w:val="21"/>
              </w:rPr>
            </w:pPr>
            <w:r/>
          </w:p>
          <w:p>
            <w:pPr>
              <w:pStyle w:val="TableText"/>
              <w:ind w:left="7"/>
              <w:spacing w:before="70" w:line="137" w:lineRule="exact"/>
              <w:rPr>
                <w:sz w:val="21"/>
                <w:szCs w:val="21"/>
              </w:rPr>
            </w:pPr>
            <w:r>
              <w:rPr>
                <w:sz w:val="21"/>
                <w:szCs w:val="21"/>
                <w:spacing w:val="52"/>
                <w:w w:val="141"/>
                <w:position w:val="-1"/>
              </w:rPr>
              <w:t>/</w:t>
            </w:r>
          </w:p>
        </w:tc>
        <w:tc>
          <w:tcPr>
            <w:tcW w:w="1148" w:type="dxa"/>
            <w:vAlign w:val="top"/>
          </w:tcPr>
          <w:p>
            <w:pPr>
              <w:pStyle w:val="TableText"/>
              <w:ind w:left="514"/>
              <w:spacing w:before="41" w:line="192" w:lineRule="auto"/>
              <w:rPr>
                <w:sz w:val="21"/>
                <w:szCs w:val="21"/>
              </w:rPr>
            </w:pPr>
            <w:r>
              <w:rPr>
                <w:sz w:val="21"/>
                <w:szCs w:val="21"/>
              </w:rPr>
              <w:t>/</w:t>
            </w:r>
          </w:p>
        </w:tc>
        <w:tc>
          <w:tcPr>
            <w:tcW w:w="1039" w:type="dxa"/>
            <w:vAlign w:val="top"/>
          </w:tcPr>
          <w:p>
            <w:pPr>
              <w:pStyle w:val="TableText"/>
              <w:ind w:left="246"/>
              <w:spacing w:before="56" w:line="179" w:lineRule="auto"/>
              <w:rPr>
                <w:sz w:val="21"/>
                <w:szCs w:val="21"/>
              </w:rPr>
            </w:pPr>
            <w:r>
              <w:rPr>
                <w:sz w:val="21"/>
                <w:szCs w:val="21"/>
                <w:spacing w:val="-2"/>
              </w:rPr>
              <w:t>435.2</w:t>
            </w:r>
          </w:p>
        </w:tc>
        <w:tc>
          <w:tcPr>
            <w:tcW w:w="1049" w:type="dxa"/>
            <w:vAlign w:val="top"/>
          </w:tcPr>
          <w:p>
            <w:pPr>
              <w:pStyle w:val="TableText"/>
              <w:ind w:left="257"/>
              <w:spacing w:before="56" w:line="179" w:lineRule="auto"/>
              <w:rPr>
                <w:sz w:val="21"/>
                <w:szCs w:val="21"/>
              </w:rPr>
            </w:pPr>
            <w:r>
              <w:rPr>
                <w:sz w:val="21"/>
                <w:szCs w:val="21"/>
                <w:spacing w:val="-2"/>
              </w:rPr>
              <w:t>435.2</w:t>
            </w:r>
          </w:p>
        </w:tc>
        <w:tc>
          <w:tcPr>
            <w:tcW w:w="1283" w:type="dxa"/>
            <w:vAlign w:val="top"/>
          </w:tcPr>
          <w:p>
            <w:pPr>
              <w:pStyle w:val="TableText"/>
              <w:ind w:left="318"/>
              <w:spacing w:before="56" w:line="179" w:lineRule="auto"/>
              <w:rPr>
                <w:sz w:val="21"/>
                <w:szCs w:val="21"/>
              </w:rPr>
            </w:pPr>
            <w:r>
              <w:rPr>
                <w:sz w:val="21"/>
                <w:szCs w:val="21"/>
                <w:spacing w:val="-2"/>
              </w:rPr>
              <w:t>+435.2</w:t>
            </w:r>
          </w:p>
        </w:tc>
      </w:tr>
      <w:tr>
        <w:trPr>
          <w:trHeight w:val="259" w:hRule="atLeast"/>
        </w:trPr>
        <w:tc>
          <w:tcPr>
            <w:tcW w:w="414" w:type="dxa"/>
            <w:vAlign w:val="top"/>
            <w:vMerge w:val="continue"/>
            <w:textDirection w:val="tbRlV"/>
            <w:tcBorders>
              <w:top w:val="nil"/>
              <w:bottom w:val="nil"/>
            </w:tcBorders>
          </w:tcPr>
          <w:p>
            <w:pPr>
              <w:rPr>
                <w:rFonts w:ascii="Arial"/>
                <w:sz w:val="21"/>
              </w:rPr>
            </w:pPr>
            <w:r/>
          </w:p>
        </w:tc>
        <w:tc>
          <w:tcPr>
            <w:tcW w:w="2717" w:type="dxa"/>
            <w:vAlign w:val="top"/>
          </w:tcPr>
          <w:p>
            <w:pPr>
              <w:pStyle w:val="TableText"/>
              <w:ind w:left="610"/>
              <w:spacing w:before="34" w:line="189" w:lineRule="auto"/>
              <w:rPr>
                <w:sz w:val="21"/>
                <w:szCs w:val="21"/>
              </w:rPr>
            </w:pPr>
            <w:r>
              <w:rPr>
                <w:sz w:val="21"/>
                <w:szCs w:val="21"/>
                <w:spacing w:val="1"/>
              </w:rPr>
              <w:t>肉牛胃内容物等</w:t>
            </w:r>
          </w:p>
        </w:tc>
        <w:tc>
          <w:tcPr>
            <w:tcW w:w="849" w:type="dxa"/>
            <w:vAlign w:val="top"/>
            <w:textDirection w:val="tbRlV"/>
          </w:tcPr>
          <w:p>
            <w:pPr>
              <w:spacing w:line="301" w:lineRule="auto"/>
              <w:rPr>
                <w:rFonts w:ascii="Arial"/>
                <w:sz w:val="21"/>
              </w:rPr>
            </w:pPr>
            <w:r/>
          </w:p>
          <w:p>
            <w:pPr>
              <w:pStyle w:val="TableText"/>
              <w:ind w:left="7"/>
              <w:spacing w:before="70" w:line="137" w:lineRule="exact"/>
              <w:rPr>
                <w:sz w:val="21"/>
                <w:szCs w:val="21"/>
              </w:rPr>
            </w:pPr>
            <w:r>
              <w:rPr>
                <w:sz w:val="21"/>
                <w:szCs w:val="21"/>
                <w:spacing w:val="52"/>
                <w:w w:val="141"/>
                <w:position w:val="-1"/>
              </w:rPr>
              <w:t>/</w:t>
            </w:r>
          </w:p>
        </w:tc>
        <w:tc>
          <w:tcPr>
            <w:tcW w:w="1148" w:type="dxa"/>
            <w:vAlign w:val="top"/>
            <w:textDirection w:val="tbRlV"/>
          </w:tcPr>
          <w:p>
            <w:pPr>
              <w:spacing w:line="444" w:lineRule="auto"/>
              <w:rPr>
                <w:rFonts w:ascii="Arial"/>
                <w:sz w:val="21"/>
              </w:rPr>
            </w:pPr>
            <w:r/>
          </w:p>
          <w:p>
            <w:pPr>
              <w:pStyle w:val="TableText"/>
              <w:ind w:left="7"/>
              <w:spacing w:before="71" w:line="136" w:lineRule="exact"/>
              <w:rPr>
                <w:sz w:val="21"/>
                <w:szCs w:val="21"/>
              </w:rPr>
            </w:pPr>
            <w:r>
              <w:rPr>
                <w:sz w:val="21"/>
                <w:szCs w:val="21"/>
                <w:spacing w:val="52"/>
                <w:w w:val="141"/>
                <w:position w:val="-1"/>
              </w:rPr>
              <w:t>/</w:t>
            </w:r>
          </w:p>
        </w:tc>
        <w:tc>
          <w:tcPr>
            <w:tcW w:w="1039" w:type="dxa"/>
            <w:vAlign w:val="top"/>
          </w:tcPr>
          <w:p>
            <w:pPr>
              <w:pStyle w:val="TableText"/>
              <w:ind w:left="357"/>
              <w:spacing w:before="56" w:line="169" w:lineRule="auto"/>
              <w:rPr>
                <w:sz w:val="21"/>
                <w:szCs w:val="21"/>
              </w:rPr>
            </w:pPr>
            <w:r>
              <w:rPr>
                <w:sz w:val="21"/>
                <w:szCs w:val="21"/>
                <w:spacing w:val="-3"/>
              </w:rPr>
              <w:t>800</w:t>
            </w:r>
          </w:p>
        </w:tc>
        <w:tc>
          <w:tcPr>
            <w:tcW w:w="1049" w:type="dxa"/>
            <w:vAlign w:val="top"/>
          </w:tcPr>
          <w:p>
            <w:pPr>
              <w:pStyle w:val="TableText"/>
              <w:ind w:left="358"/>
              <w:spacing w:before="56" w:line="169" w:lineRule="auto"/>
              <w:rPr>
                <w:sz w:val="21"/>
                <w:szCs w:val="21"/>
              </w:rPr>
            </w:pPr>
            <w:r>
              <w:rPr>
                <w:sz w:val="21"/>
                <w:szCs w:val="21"/>
                <w:spacing w:val="-3"/>
              </w:rPr>
              <w:t>800</w:t>
            </w:r>
          </w:p>
        </w:tc>
        <w:tc>
          <w:tcPr>
            <w:tcW w:w="1283" w:type="dxa"/>
            <w:vAlign w:val="top"/>
          </w:tcPr>
          <w:p>
            <w:pPr>
              <w:pStyle w:val="TableText"/>
              <w:ind w:left="429"/>
              <w:spacing w:before="56" w:line="169" w:lineRule="auto"/>
              <w:rPr>
                <w:sz w:val="21"/>
                <w:szCs w:val="21"/>
              </w:rPr>
            </w:pPr>
            <w:r>
              <w:rPr>
                <w:sz w:val="21"/>
                <w:szCs w:val="21"/>
                <w:spacing w:val="-2"/>
              </w:rPr>
              <w:t>+800</w:t>
            </w:r>
          </w:p>
        </w:tc>
      </w:tr>
      <w:tr>
        <w:trPr>
          <w:trHeight w:val="290" w:hRule="atLeast"/>
        </w:trPr>
        <w:tc>
          <w:tcPr>
            <w:tcW w:w="414" w:type="dxa"/>
            <w:vAlign w:val="top"/>
            <w:vMerge w:val="continue"/>
            <w:textDirection w:val="tbRlV"/>
            <w:tcBorders>
              <w:top w:val="nil"/>
              <w:bottom w:val="nil"/>
            </w:tcBorders>
          </w:tcPr>
          <w:p>
            <w:pPr>
              <w:rPr>
                <w:rFonts w:ascii="Arial"/>
                <w:sz w:val="21"/>
              </w:rPr>
            </w:pPr>
            <w:r/>
          </w:p>
        </w:tc>
        <w:tc>
          <w:tcPr>
            <w:tcW w:w="2717" w:type="dxa"/>
            <w:vAlign w:val="top"/>
          </w:tcPr>
          <w:p>
            <w:pPr>
              <w:pStyle w:val="TableText"/>
              <w:ind w:left="721"/>
              <w:spacing w:before="45" w:line="206" w:lineRule="auto"/>
              <w:rPr>
                <w:sz w:val="21"/>
                <w:szCs w:val="21"/>
              </w:rPr>
            </w:pPr>
            <w:r>
              <w:rPr>
                <w:sz w:val="21"/>
                <w:szCs w:val="21"/>
                <w:spacing w:val="1"/>
              </w:rPr>
              <w:t>肉牛屠宰废料</w:t>
            </w:r>
          </w:p>
        </w:tc>
        <w:tc>
          <w:tcPr>
            <w:tcW w:w="849" w:type="dxa"/>
            <w:vAlign w:val="top"/>
            <w:textDirection w:val="tbRlV"/>
          </w:tcPr>
          <w:p>
            <w:pPr>
              <w:spacing w:line="301" w:lineRule="auto"/>
              <w:rPr>
                <w:rFonts w:ascii="Arial"/>
                <w:sz w:val="21"/>
              </w:rPr>
            </w:pPr>
            <w:r/>
          </w:p>
          <w:p>
            <w:pPr>
              <w:pStyle w:val="TableText"/>
              <w:ind w:left="18"/>
              <w:spacing w:before="70" w:line="137" w:lineRule="exact"/>
              <w:rPr>
                <w:sz w:val="21"/>
                <w:szCs w:val="21"/>
              </w:rPr>
            </w:pPr>
            <w:r>
              <w:rPr>
                <w:sz w:val="21"/>
                <w:szCs w:val="21"/>
                <w:color w:val="505050"/>
                <w:spacing w:val="52"/>
                <w:w w:val="141"/>
                <w:position w:val="-1"/>
              </w:rPr>
              <w:t>/</w:t>
            </w:r>
          </w:p>
        </w:tc>
        <w:tc>
          <w:tcPr>
            <w:tcW w:w="1148" w:type="dxa"/>
            <w:vAlign w:val="top"/>
            <w:textDirection w:val="tbRlV"/>
          </w:tcPr>
          <w:p>
            <w:pPr>
              <w:spacing w:line="444" w:lineRule="auto"/>
              <w:rPr>
                <w:rFonts w:ascii="Arial"/>
                <w:sz w:val="21"/>
              </w:rPr>
            </w:pPr>
            <w:r/>
          </w:p>
          <w:p>
            <w:pPr>
              <w:pStyle w:val="TableText"/>
              <w:ind w:left="18"/>
              <w:spacing w:before="71" w:line="136" w:lineRule="exact"/>
              <w:rPr>
                <w:sz w:val="21"/>
                <w:szCs w:val="21"/>
              </w:rPr>
            </w:pPr>
            <w:r>
              <w:rPr>
                <w:sz w:val="21"/>
                <w:szCs w:val="21"/>
                <w:color w:val="404040"/>
                <w:spacing w:val="52"/>
                <w:w w:val="141"/>
                <w:position w:val="-1"/>
              </w:rPr>
              <w:t>/</w:t>
            </w:r>
          </w:p>
        </w:tc>
        <w:tc>
          <w:tcPr>
            <w:tcW w:w="1039" w:type="dxa"/>
            <w:vAlign w:val="top"/>
          </w:tcPr>
          <w:p>
            <w:pPr>
              <w:pStyle w:val="TableText"/>
              <w:ind w:left="357"/>
              <w:spacing w:before="67" w:line="187" w:lineRule="auto"/>
              <w:rPr>
                <w:sz w:val="21"/>
                <w:szCs w:val="21"/>
              </w:rPr>
            </w:pPr>
            <w:r>
              <w:rPr>
                <w:sz w:val="21"/>
                <w:szCs w:val="21"/>
                <w:spacing w:val="-3"/>
              </w:rPr>
              <w:t>360</w:t>
            </w:r>
          </w:p>
        </w:tc>
        <w:tc>
          <w:tcPr>
            <w:tcW w:w="1049" w:type="dxa"/>
            <w:vAlign w:val="top"/>
          </w:tcPr>
          <w:p>
            <w:pPr>
              <w:pStyle w:val="TableText"/>
              <w:ind w:left="358"/>
              <w:spacing w:before="67" w:line="187" w:lineRule="auto"/>
              <w:rPr>
                <w:sz w:val="21"/>
                <w:szCs w:val="21"/>
              </w:rPr>
            </w:pPr>
            <w:r>
              <w:rPr>
                <w:sz w:val="21"/>
                <w:szCs w:val="21"/>
                <w:spacing w:val="-3"/>
              </w:rPr>
              <w:t>360</w:t>
            </w:r>
          </w:p>
        </w:tc>
        <w:tc>
          <w:tcPr>
            <w:tcW w:w="1283" w:type="dxa"/>
            <w:vAlign w:val="top"/>
          </w:tcPr>
          <w:p>
            <w:pPr>
              <w:pStyle w:val="TableText"/>
              <w:ind w:left="429"/>
              <w:spacing w:before="67" w:line="187" w:lineRule="auto"/>
              <w:rPr>
                <w:sz w:val="21"/>
                <w:szCs w:val="21"/>
              </w:rPr>
            </w:pPr>
            <w:r>
              <w:rPr>
                <w:sz w:val="21"/>
                <w:szCs w:val="21"/>
                <w:spacing w:val="-2"/>
              </w:rPr>
              <w:t>+360</w:t>
            </w:r>
          </w:p>
        </w:tc>
      </w:tr>
      <w:tr>
        <w:trPr>
          <w:trHeight w:val="259" w:hRule="atLeast"/>
        </w:trPr>
        <w:tc>
          <w:tcPr>
            <w:tcW w:w="414" w:type="dxa"/>
            <w:vAlign w:val="top"/>
            <w:vMerge w:val="continue"/>
            <w:textDirection w:val="tbRlV"/>
            <w:tcBorders>
              <w:top w:val="nil"/>
              <w:bottom w:val="nil"/>
            </w:tcBorders>
          </w:tcPr>
          <w:p>
            <w:pPr>
              <w:rPr>
                <w:rFonts w:ascii="Arial"/>
                <w:sz w:val="21"/>
              </w:rPr>
            </w:pPr>
            <w:r/>
          </w:p>
        </w:tc>
        <w:tc>
          <w:tcPr>
            <w:tcW w:w="2717" w:type="dxa"/>
            <w:vAlign w:val="top"/>
          </w:tcPr>
          <w:p>
            <w:pPr>
              <w:pStyle w:val="TableText"/>
              <w:spacing w:before="36" w:line="187" w:lineRule="auto"/>
              <w:jc w:val="right"/>
              <w:rPr>
                <w:sz w:val="21"/>
                <w:szCs w:val="21"/>
              </w:rPr>
            </w:pPr>
            <w:r>
              <w:rPr>
                <w:sz w:val="21"/>
                <w:szCs w:val="21"/>
                <w:spacing w:val="-3"/>
              </w:rPr>
              <w:t>疫病牛、病牛四分体、病内脏</w:t>
            </w:r>
          </w:p>
        </w:tc>
        <w:tc>
          <w:tcPr>
            <w:tcW w:w="849" w:type="dxa"/>
            <w:vAlign w:val="top"/>
            <w:textDirection w:val="tbRlV"/>
          </w:tcPr>
          <w:p>
            <w:pPr>
              <w:spacing w:line="301" w:lineRule="auto"/>
              <w:rPr>
                <w:rFonts w:ascii="Arial"/>
                <w:sz w:val="21"/>
              </w:rPr>
            </w:pPr>
            <w:r/>
          </w:p>
          <w:p>
            <w:pPr>
              <w:pStyle w:val="TableText"/>
              <w:ind w:left="8"/>
              <w:spacing w:before="70" w:line="137" w:lineRule="exact"/>
              <w:rPr>
                <w:sz w:val="21"/>
                <w:szCs w:val="21"/>
              </w:rPr>
            </w:pPr>
            <w:r>
              <w:rPr>
                <w:sz w:val="21"/>
                <w:szCs w:val="21"/>
                <w:color w:val="404040"/>
                <w:spacing w:val="52"/>
                <w:w w:val="141"/>
                <w:position w:val="-1"/>
              </w:rPr>
              <w:t>/</w:t>
            </w:r>
          </w:p>
        </w:tc>
        <w:tc>
          <w:tcPr>
            <w:tcW w:w="1148" w:type="dxa"/>
            <w:vAlign w:val="top"/>
          </w:tcPr>
          <w:p>
            <w:pPr>
              <w:pStyle w:val="TableText"/>
              <w:ind w:left="514"/>
              <w:spacing w:before="41" w:line="182" w:lineRule="auto"/>
              <w:rPr>
                <w:sz w:val="21"/>
                <w:szCs w:val="21"/>
              </w:rPr>
            </w:pPr>
            <w:r>
              <w:rPr>
                <w:sz w:val="21"/>
                <w:szCs w:val="21"/>
                <w:color w:val="303040"/>
              </w:rPr>
              <w:t>/</w:t>
            </w:r>
          </w:p>
        </w:tc>
        <w:tc>
          <w:tcPr>
            <w:tcW w:w="1039" w:type="dxa"/>
            <w:vAlign w:val="top"/>
          </w:tcPr>
          <w:p>
            <w:pPr>
              <w:pStyle w:val="TableText"/>
              <w:ind w:left="357"/>
              <w:spacing w:before="57" w:line="168" w:lineRule="auto"/>
              <w:rPr>
                <w:sz w:val="21"/>
                <w:szCs w:val="21"/>
              </w:rPr>
            </w:pPr>
            <w:r>
              <w:rPr>
                <w:sz w:val="21"/>
                <w:szCs w:val="21"/>
                <w:spacing w:val="-2"/>
              </w:rPr>
              <w:t>420</w:t>
            </w:r>
          </w:p>
        </w:tc>
        <w:tc>
          <w:tcPr>
            <w:tcW w:w="1049" w:type="dxa"/>
            <w:vAlign w:val="top"/>
          </w:tcPr>
          <w:p>
            <w:pPr>
              <w:pStyle w:val="TableText"/>
              <w:ind w:left="358"/>
              <w:spacing w:before="57" w:line="168" w:lineRule="auto"/>
              <w:rPr>
                <w:sz w:val="21"/>
                <w:szCs w:val="21"/>
              </w:rPr>
            </w:pPr>
            <w:r>
              <w:rPr>
                <w:sz w:val="21"/>
                <w:szCs w:val="21"/>
                <w:spacing w:val="-2"/>
              </w:rPr>
              <w:t>420</w:t>
            </w:r>
          </w:p>
        </w:tc>
        <w:tc>
          <w:tcPr>
            <w:tcW w:w="1283" w:type="dxa"/>
            <w:vAlign w:val="top"/>
          </w:tcPr>
          <w:p>
            <w:pPr>
              <w:pStyle w:val="TableText"/>
              <w:ind w:left="429"/>
              <w:spacing w:before="57" w:line="168" w:lineRule="auto"/>
              <w:rPr>
                <w:sz w:val="21"/>
                <w:szCs w:val="21"/>
              </w:rPr>
            </w:pPr>
            <w:r>
              <w:rPr>
                <w:sz w:val="21"/>
                <w:szCs w:val="21"/>
                <w:spacing w:val="-2"/>
              </w:rPr>
              <w:t>+420</w:t>
            </w:r>
          </w:p>
        </w:tc>
      </w:tr>
      <w:tr>
        <w:trPr>
          <w:trHeight w:val="270" w:hRule="atLeast"/>
        </w:trPr>
        <w:tc>
          <w:tcPr>
            <w:tcW w:w="414" w:type="dxa"/>
            <w:vAlign w:val="top"/>
            <w:vMerge w:val="continue"/>
            <w:textDirection w:val="tbRlV"/>
            <w:tcBorders>
              <w:top w:val="nil"/>
              <w:bottom w:val="nil"/>
            </w:tcBorders>
          </w:tcPr>
          <w:p>
            <w:pPr>
              <w:rPr>
                <w:rFonts w:ascii="Arial"/>
                <w:sz w:val="21"/>
              </w:rPr>
            </w:pPr>
            <w:r/>
          </w:p>
        </w:tc>
        <w:tc>
          <w:tcPr>
            <w:tcW w:w="2717" w:type="dxa"/>
            <w:vAlign w:val="top"/>
          </w:tcPr>
          <w:p>
            <w:pPr>
              <w:pStyle w:val="TableText"/>
              <w:ind w:left="820"/>
              <w:spacing w:before="37" w:line="196" w:lineRule="auto"/>
              <w:rPr>
                <w:sz w:val="21"/>
                <w:szCs w:val="21"/>
              </w:rPr>
            </w:pPr>
            <w:r>
              <w:rPr>
                <w:sz w:val="21"/>
                <w:szCs w:val="21"/>
                <w:spacing w:val="-2"/>
              </w:rPr>
              <w:t>栅渣和污泥</w:t>
            </w:r>
          </w:p>
        </w:tc>
        <w:tc>
          <w:tcPr>
            <w:tcW w:w="849" w:type="dxa"/>
            <w:vAlign w:val="top"/>
          </w:tcPr>
          <w:p>
            <w:pPr>
              <w:pStyle w:val="TableText"/>
              <w:ind w:left="253"/>
              <w:spacing w:before="58" w:line="177" w:lineRule="auto"/>
              <w:rPr>
                <w:sz w:val="21"/>
                <w:szCs w:val="21"/>
              </w:rPr>
            </w:pPr>
            <w:r>
              <w:rPr>
                <w:sz w:val="21"/>
                <w:szCs w:val="21"/>
                <w:spacing w:val="-6"/>
              </w:rPr>
              <w:t>1.0</w:t>
            </w:r>
          </w:p>
        </w:tc>
        <w:tc>
          <w:tcPr>
            <w:tcW w:w="1148" w:type="dxa"/>
            <w:vAlign w:val="top"/>
            <w:textDirection w:val="tbRlV"/>
          </w:tcPr>
          <w:p>
            <w:pPr>
              <w:spacing w:line="444" w:lineRule="auto"/>
              <w:rPr>
                <w:rFonts w:ascii="Arial"/>
                <w:sz w:val="21"/>
              </w:rPr>
            </w:pPr>
            <w:r/>
          </w:p>
          <w:p>
            <w:pPr>
              <w:pStyle w:val="TableText"/>
              <w:ind w:left="9"/>
              <w:spacing w:before="71" w:line="136" w:lineRule="exact"/>
              <w:rPr>
                <w:sz w:val="21"/>
                <w:szCs w:val="21"/>
              </w:rPr>
            </w:pPr>
            <w:r>
              <w:rPr>
                <w:sz w:val="21"/>
                <w:szCs w:val="21"/>
                <w:color w:val="303040"/>
                <w:spacing w:val="52"/>
                <w:w w:val="141"/>
                <w:position w:val="-1"/>
              </w:rPr>
              <w:t>/</w:t>
            </w:r>
          </w:p>
        </w:tc>
        <w:tc>
          <w:tcPr>
            <w:tcW w:w="1039" w:type="dxa"/>
            <w:vAlign w:val="top"/>
          </w:tcPr>
          <w:p>
            <w:pPr>
              <w:pStyle w:val="TableText"/>
              <w:ind w:left="406"/>
              <w:spacing w:before="58" w:line="177" w:lineRule="auto"/>
              <w:rPr>
                <w:sz w:val="21"/>
                <w:szCs w:val="21"/>
              </w:rPr>
            </w:pPr>
            <w:r>
              <w:rPr>
                <w:sz w:val="21"/>
                <w:szCs w:val="21"/>
                <w:spacing w:val="-3"/>
              </w:rPr>
              <w:t>80</w:t>
            </w:r>
          </w:p>
        </w:tc>
        <w:tc>
          <w:tcPr>
            <w:tcW w:w="1049" w:type="dxa"/>
            <w:vAlign w:val="top"/>
          </w:tcPr>
          <w:p>
            <w:pPr>
              <w:pStyle w:val="TableText"/>
              <w:ind w:left="417"/>
              <w:spacing w:before="58" w:line="177" w:lineRule="auto"/>
              <w:rPr>
                <w:sz w:val="21"/>
                <w:szCs w:val="21"/>
              </w:rPr>
            </w:pPr>
            <w:r>
              <w:rPr>
                <w:sz w:val="21"/>
                <w:szCs w:val="21"/>
                <w:spacing w:val="-3"/>
              </w:rPr>
              <w:t>80</w:t>
            </w:r>
          </w:p>
        </w:tc>
        <w:tc>
          <w:tcPr>
            <w:tcW w:w="1283" w:type="dxa"/>
            <w:vAlign w:val="top"/>
          </w:tcPr>
          <w:p>
            <w:pPr>
              <w:pStyle w:val="TableText"/>
              <w:ind w:left="478"/>
              <w:spacing w:before="58" w:line="177" w:lineRule="auto"/>
              <w:rPr>
                <w:sz w:val="21"/>
                <w:szCs w:val="21"/>
              </w:rPr>
            </w:pPr>
            <w:r>
              <w:rPr>
                <w:sz w:val="21"/>
                <w:szCs w:val="21"/>
                <w:spacing w:val="-3"/>
              </w:rPr>
              <w:t>+79</w:t>
            </w:r>
          </w:p>
        </w:tc>
      </w:tr>
      <w:tr>
        <w:trPr>
          <w:trHeight w:val="289" w:hRule="atLeast"/>
        </w:trPr>
        <w:tc>
          <w:tcPr>
            <w:tcW w:w="414" w:type="dxa"/>
            <w:vAlign w:val="top"/>
            <w:vMerge w:val="continue"/>
            <w:textDirection w:val="tbRlV"/>
            <w:tcBorders>
              <w:top w:val="nil"/>
              <w:bottom w:val="nil"/>
            </w:tcBorders>
          </w:tcPr>
          <w:p>
            <w:pPr>
              <w:rPr>
                <w:rFonts w:ascii="Arial"/>
                <w:sz w:val="21"/>
              </w:rPr>
            </w:pPr>
            <w:r/>
          </w:p>
        </w:tc>
        <w:tc>
          <w:tcPr>
            <w:tcW w:w="2717" w:type="dxa"/>
            <w:vAlign w:val="top"/>
          </w:tcPr>
          <w:p>
            <w:pPr>
              <w:pStyle w:val="TableText"/>
              <w:ind w:left="820"/>
              <w:spacing w:before="46" w:line="204" w:lineRule="auto"/>
              <w:rPr>
                <w:sz w:val="21"/>
                <w:szCs w:val="21"/>
              </w:rPr>
            </w:pPr>
            <w:r>
              <w:rPr>
                <w:sz w:val="21"/>
                <w:szCs w:val="21"/>
                <w:spacing w:val="-2"/>
              </w:rPr>
              <w:t>生猪含毛蜡</w:t>
            </w:r>
          </w:p>
        </w:tc>
        <w:tc>
          <w:tcPr>
            <w:tcW w:w="849" w:type="dxa"/>
            <w:vAlign w:val="top"/>
            <w:textDirection w:val="tbRlV"/>
          </w:tcPr>
          <w:p>
            <w:pPr>
              <w:spacing w:line="301" w:lineRule="auto"/>
              <w:rPr>
                <w:rFonts w:ascii="Arial"/>
                <w:sz w:val="21"/>
              </w:rPr>
            </w:pPr>
            <w:r/>
          </w:p>
          <w:p>
            <w:pPr>
              <w:pStyle w:val="TableText"/>
              <w:ind w:left="19"/>
              <w:spacing w:before="70" w:line="137" w:lineRule="exact"/>
              <w:rPr>
                <w:sz w:val="21"/>
                <w:szCs w:val="21"/>
              </w:rPr>
            </w:pPr>
            <w:r>
              <w:rPr>
                <w:sz w:val="21"/>
                <w:szCs w:val="21"/>
                <w:spacing w:val="52"/>
                <w:w w:val="141"/>
                <w:position w:val="-1"/>
              </w:rPr>
              <w:t>/</w:t>
            </w:r>
          </w:p>
        </w:tc>
        <w:tc>
          <w:tcPr>
            <w:tcW w:w="1148" w:type="dxa"/>
            <w:vAlign w:val="top"/>
          </w:tcPr>
          <w:p>
            <w:pPr>
              <w:pStyle w:val="TableText"/>
              <w:ind w:left="514"/>
              <w:spacing w:before="52" w:line="199" w:lineRule="auto"/>
              <w:rPr>
                <w:sz w:val="21"/>
                <w:szCs w:val="21"/>
              </w:rPr>
            </w:pPr>
            <w:r>
              <w:rPr>
                <w:sz w:val="21"/>
                <w:szCs w:val="21"/>
                <w:color w:val="303040"/>
              </w:rPr>
              <w:t>/</w:t>
            </w:r>
          </w:p>
        </w:tc>
        <w:tc>
          <w:tcPr>
            <w:tcW w:w="1039" w:type="dxa"/>
            <w:vAlign w:val="top"/>
          </w:tcPr>
          <w:p>
            <w:pPr>
              <w:pStyle w:val="TableText"/>
              <w:ind w:left="456"/>
              <w:spacing w:before="68" w:line="185" w:lineRule="auto"/>
              <w:rPr>
                <w:sz w:val="21"/>
                <w:szCs w:val="21"/>
              </w:rPr>
            </w:pPr>
            <w:r>
              <w:rPr>
                <w:sz w:val="21"/>
                <w:szCs w:val="21"/>
              </w:rPr>
              <w:t>2</w:t>
            </w:r>
          </w:p>
        </w:tc>
        <w:tc>
          <w:tcPr>
            <w:tcW w:w="1049" w:type="dxa"/>
            <w:vAlign w:val="top"/>
          </w:tcPr>
          <w:p>
            <w:pPr>
              <w:pStyle w:val="TableText"/>
              <w:ind w:left="467"/>
              <w:spacing w:before="68" w:line="185" w:lineRule="auto"/>
              <w:rPr>
                <w:sz w:val="21"/>
                <w:szCs w:val="21"/>
              </w:rPr>
            </w:pPr>
            <w:r>
              <w:rPr>
                <w:sz w:val="21"/>
                <w:szCs w:val="21"/>
              </w:rPr>
              <w:t>2</w:t>
            </w:r>
          </w:p>
        </w:tc>
        <w:tc>
          <w:tcPr>
            <w:tcW w:w="1283" w:type="dxa"/>
            <w:vAlign w:val="top"/>
          </w:tcPr>
          <w:p>
            <w:pPr>
              <w:pStyle w:val="TableText"/>
              <w:ind w:left="528"/>
              <w:spacing w:before="68" w:line="185" w:lineRule="auto"/>
              <w:rPr>
                <w:sz w:val="21"/>
                <w:szCs w:val="21"/>
              </w:rPr>
            </w:pPr>
            <w:r>
              <w:rPr>
                <w:sz w:val="21"/>
                <w:szCs w:val="21"/>
                <w:spacing w:val="-3"/>
              </w:rPr>
              <w:t>+2</w:t>
            </w:r>
          </w:p>
        </w:tc>
      </w:tr>
      <w:tr>
        <w:trPr>
          <w:trHeight w:val="260" w:hRule="atLeast"/>
        </w:trPr>
        <w:tc>
          <w:tcPr>
            <w:tcW w:w="414" w:type="dxa"/>
            <w:vAlign w:val="top"/>
            <w:vMerge w:val="continue"/>
            <w:textDirection w:val="tbRlV"/>
            <w:tcBorders>
              <w:top w:val="nil"/>
              <w:bottom w:val="nil"/>
            </w:tcBorders>
          </w:tcPr>
          <w:p>
            <w:pPr>
              <w:rPr>
                <w:rFonts w:ascii="Arial"/>
                <w:sz w:val="21"/>
              </w:rPr>
            </w:pPr>
            <w:r/>
          </w:p>
        </w:tc>
        <w:tc>
          <w:tcPr>
            <w:tcW w:w="2717" w:type="dxa"/>
            <w:vAlign w:val="top"/>
          </w:tcPr>
          <w:p>
            <w:pPr>
              <w:pStyle w:val="TableText"/>
              <w:ind w:left="610"/>
              <w:spacing w:before="38" w:line="186" w:lineRule="auto"/>
              <w:rPr>
                <w:sz w:val="21"/>
                <w:szCs w:val="21"/>
              </w:rPr>
            </w:pPr>
            <w:r>
              <w:rPr>
                <w:sz w:val="21"/>
                <w:szCs w:val="21"/>
                <w:spacing w:val="-1"/>
              </w:rPr>
              <w:t>废离子交换树脂</w:t>
            </w:r>
          </w:p>
        </w:tc>
        <w:tc>
          <w:tcPr>
            <w:tcW w:w="849" w:type="dxa"/>
            <w:vAlign w:val="top"/>
          </w:tcPr>
          <w:p>
            <w:pPr>
              <w:pStyle w:val="TableText"/>
              <w:ind w:left="363"/>
              <w:spacing w:before="44" w:line="181" w:lineRule="auto"/>
              <w:rPr>
                <w:sz w:val="21"/>
                <w:szCs w:val="21"/>
              </w:rPr>
            </w:pPr>
            <w:r>
              <w:rPr>
                <w:sz w:val="21"/>
                <w:szCs w:val="21"/>
                <w:color w:val="504050"/>
              </w:rPr>
              <w:t>/</w:t>
            </w:r>
          </w:p>
        </w:tc>
        <w:tc>
          <w:tcPr>
            <w:tcW w:w="1148" w:type="dxa"/>
            <w:vAlign w:val="top"/>
          </w:tcPr>
          <w:p>
            <w:pPr>
              <w:pStyle w:val="TableText"/>
              <w:ind w:left="514"/>
              <w:spacing w:before="44" w:line="181" w:lineRule="auto"/>
              <w:rPr>
                <w:sz w:val="21"/>
                <w:szCs w:val="21"/>
              </w:rPr>
            </w:pPr>
            <w:r>
              <w:rPr>
                <w:sz w:val="21"/>
                <w:szCs w:val="21"/>
              </w:rPr>
              <w:t>/</w:t>
            </w:r>
          </w:p>
        </w:tc>
        <w:tc>
          <w:tcPr>
            <w:tcW w:w="1039" w:type="dxa"/>
            <w:vAlign w:val="top"/>
          </w:tcPr>
          <w:p>
            <w:pPr>
              <w:pStyle w:val="TableText"/>
              <w:ind w:left="307"/>
              <w:spacing w:before="60" w:line="167" w:lineRule="auto"/>
              <w:rPr>
                <w:sz w:val="21"/>
                <w:szCs w:val="21"/>
              </w:rPr>
            </w:pPr>
            <w:r>
              <w:rPr>
                <w:sz w:val="21"/>
                <w:szCs w:val="21"/>
                <w:spacing w:val="-2"/>
              </w:rPr>
              <w:t>0.04</w:t>
            </w:r>
          </w:p>
        </w:tc>
        <w:tc>
          <w:tcPr>
            <w:tcW w:w="1049" w:type="dxa"/>
            <w:vAlign w:val="top"/>
          </w:tcPr>
          <w:p>
            <w:pPr>
              <w:pStyle w:val="TableText"/>
              <w:ind w:left="307"/>
              <w:spacing w:before="60" w:line="167" w:lineRule="auto"/>
              <w:rPr>
                <w:sz w:val="21"/>
                <w:szCs w:val="21"/>
              </w:rPr>
            </w:pPr>
            <w:r>
              <w:rPr>
                <w:sz w:val="21"/>
                <w:szCs w:val="21"/>
                <w:spacing w:val="-2"/>
              </w:rPr>
              <w:t>0.04</w:t>
            </w:r>
          </w:p>
        </w:tc>
        <w:tc>
          <w:tcPr>
            <w:tcW w:w="1283" w:type="dxa"/>
            <w:vAlign w:val="top"/>
          </w:tcPr>
          <w:p>
            <w:pPr>
              <w:pStyle w:val="TableText"/>
              <w:ind w:left="369"/>
              <w:spacing w:before="60" w:line="167" w:lineRule="auto"/>
              <w:rPr>
                <w:sz w:val="21"/>
                <w:szCs w:val="21"/>
              </w:rPr>
            </w:pPr>
            <w:r>
              <w:rPr>
                <w:sz w:val="21"/>
                <w:szCs w:val="21"/>
                <w:spacing w:val="-2"/>
              </w:rPr>
              <w:t>+0.04</w:t>
            </w:r>
          </w:p>
        </w:tc>
      </w:tr>
      <w:tr>
        <w:trPr>
          <w:trHeight w:val="284" w:hRule="atLeast"/>
        </w:trPr>
        <w:tc>
          <w:tcPr>
            <w:tcW w:w="414" w:type="dxa"/>
            <w:vAlign w:val="top"/>
            <w:vMerge w:val="continue"/>
            <w:textDirection w:val="tbRlV"/>
            <w:tcBorders>
              <w:top w:val="nil"/>
            </w:tcBorders>
          </w:tcPr>
          <w:p>
            <w:pPr>
              <w:rPr>
                <w:rFonts w:ascii="Arial"/>
                <w:sz w:val="21"/>
              </w:rPr>
            </w:pPr>
            <w:r/>
          </w:p>
        </w:tc>
        <w:tc>
          <w:tcPr>
            <w:tcW w:w="2717" w:type="dxa"/>
            <w:vAlign w:val="top"/>
          </w:tcPr>
          <w:p>
            <w:pPr>
              <w:pStyle w:val="TableText"/>
              <w:ind w:left="191"/>
              <w:spacing w:before="47" w:line="199" w:lineRule="auto"/>
              <w:rPr>
                <w:sz w:val="21"/>
                <w:szCs w:val="21"/>
              </w:rPr>
            </w:pPr>
            <w:r>
              <w:rPr>
                <w:sz w:val="21"/>
                <w:szCs w:val="21"/>
                <w:spacing w:val="3"/>
              </w:rPr>
              <w:t>餐厨垃圾(含隔油池浮油)</w:t>
            </w:r>
          </w:p>
        </w:tc>
        <w:tc>
          <w:tcPr>
            <w:tcW w:w="849" w:type="dxa"/>
            <w:vAlign w:val="top"/>
            <w:textDirection w:val="tbRlV"/>
          </w:tcPr>
          <w:p>
            <w:pPr>
              <w:spacing w:line="301" w:lineRule="auto"/>
              <w:rPr>
                <w:rFonts w:ascii="Arial"/>
                <w:sz w:val="21"/>
              </w:rPr>
            </w:pPr>
            <w:r/>
          </w:p>
          <w:p>
            <w:pPr>
              <w:pStyle w:val="TableText"/>
              <w:ind w:left="20"/>
              <w:spacing w:before="70" w:line="137" w:lineRule="exact"/>
              <w:rPr>
                <w:sz w:val="21"/>
                <w:szCs w:val="21"/>
              </w:rPr>
            </w:pPr>
            <w:r>
              <w:rPr>
                <w:sz w:val="21"/>
                <w:szCs w:val="21"/>
                <w:color w:val="606060"/>
                <w:spacing w:val="52"/>
                <w:w w:val="141"/>
                <w:position w:val="-1"/>
              </w:rPr>
              <w:t>/</w:t>
            </w:r>
          </w:p>
        </w:tc>
        <w:tc>
          <w:tcPr>
            <w:tcW w:w="1148" w:type="dxa"/>
            <w:vAlign w:val="top"/>
          </w:tcPr>
          <w:p>
            <w:pPr>
              <w:pStyle w:val="TableText"/>
              <w:ind w:left="514"/>
              <w:spacing w:before="54" w:line="193" w:lineRule="auto"/>
              <w:rPr>
                <w:sz w:val="21"/>
                <w:szCs w:val="21"/>
              </w:rPr>
            </w:pPr>
            <w:r>
              <w:rPr>
                <w:sz w:val="21"/>
                <w:szCs w:val="21"/>
                <w:color w:val="404050"/>
              </w:rPr>
              <w:t>/</w:t>
            </w:r>
          </w:p>
        </w:tc>
        <w:tc>
          <w:tcPr>
            <w:tcW w:w="1039" w:type="dxa"/>
            <w:vAlign w:val="top"/>
          </w:tcPr>
          <w:p>
            <w:pPr>
              <w:pStyle w:val="TableText"/>
              <w:ind w:left="406"/>
              <w:spacing w:before="69" w:line="180" w:lineRule="auto"/>
              <w:rPr>
                <w:sz w:val="21"/>
                <w:szCs w:val="21"/>
              </w:rPr>
            </w:pPr>
            <w:r>
              <w:rPr>
                <w:sz w:val="21"/>
                <w:szCs w:val="21"/>
                <w:spacing w:val="-6"/>
              </w:rPr>
              <w:t>10</w:t>
            </w:r>
          </w:p>
        </w:tc>
        <w:tc>
          <w:tcPr>
            <w:tcW w:w="1049" w:type="dxa"/>
            <w:vAlign w:val="top"/>
          </w:tcPr>
          <w:p>
            <w:pPr>
              <w:pStyle w:val="TableText"/>
              <w:ind w:left="417"/>
              <w:spacing w:before="69" w:line="180" w:lineRule="auto"/>
              <w:rPr>
                <w:sz w:val="21"/>
                <w:szCs w:val="21"/>
              </w:rPr>
            </w:pPr>
            <w:r>
              <w:rPr>
                <w:sz w:val="21"/>
                <w:szCs w:val="21"/>
                <w:color w:val="404040"/>
                <w:spacing w:val="-6"/>
              </w:rPr>
              <w:t>10</w:t>
            </w:r>
          </w:p>
        </w:tc>
        <w:tc>
          <w:tcPr>
            <w:tcW w:w="1283" w:type="dxa"/>
            <w:vAlign w:val="top"/>
          </w:tcPr>
          <w:p>
            <w:pPr>
              <w:pStyle w:val="TableText"/>
              <w:ind w:left="478"/>
              <w:spacing w:before="69" w:line="180" w:lineRule="auto"/>
              <w:rPr>
                <w:sz w:val="21"/>
                <w:szCs w:val="21"/>
              </w:rPr>
            </w:pPr>
            <w:r>
              <w:rPr>
                <w:sz w:val="21"/>
                <w:szCs w:val="21"/>
                <w:spacing w:val="-3"/>
              </w:rPr>
              <w:t>+10</w:t>
            </w:r>
          </w:p>
        </w:tc>
      </w:tr>
    </w:tbl>
    <w:p>
      <w:pPr>
        <w:pStyle w:val="BodyText"/>
        <w:rPr/>
      </w:pPr>
      <w:r/>
    </w:p>
    <w:p>
      <w:pPr>
        <w:sectPr>
          <w:headerReference w:type="default" r:id="rId193"/>
          <w:footerReference w:type="default" r:id="rId194"/>
          <w:pgSz w:w="11910" w:h="16840"/>
          <w:pgMar w:top="1207" w:right="1725" w:bottom="983" w:left="1675" w:header="915" w:footer="736" w:gutter="0"/>
        </w:sectPr>
        <w:rPr/>
      </w:pPr>
    </w:p>
    <w:p>
      <w:pPr>
        <w:spacing w:line="224" w:lineRule="exact"/>
        <w:rPr/>
      </w:pPr>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04"/>
        <w:gridCol w:w="2727"/>
        <w:gridCol w:w="839"/>
        <w:gridCol w:w="1158"/>
        <w:gridCol w:w="1039"/>
        <w:gridCol w:w="1039"/>
        <w:gridCol w:w="1293"/>
      </w:tblGrid>
      <w:tr>
        <w:trPr>
          <w:trHeight w:val="283" w:hRule="atLeast"/>
        </w:trPr>
        <w:tc>
          <w:tcPr>
            <w:tcW w:w="404" w:type="dxa"/>
            <w:vAlign w:val="top"/>
            <w:vMerge w:val="restart"/>
            <w:tcBorders>
              <w:bottom w:val="nil"/>
            </w:tcBorders>
          </w:tcPr>
          <w:p>
            <w:pPr>
              <w:rPr>
                <w:rFonts w:ascii="Arial"/>
                <w:sz w:val="21"/>
              </w:rPr>
            </w:pPr>
            <w:r/>
          </w:p>
        </w:tc>
        <w:tc>
          <w:tcPr>
            <w:tcW w:w="2727" w:type="dxa"/>
            <w:vAlign w:val="top"/>
          </w:tcPr>
          <w:p>
            <w:pPr>
              <w:pStyle w:val="TableText"/>
              <w:ind w:left="930"/>
              <w:spacing w:before="43" w:line="202" w:lineRule="auto"/>
              <w:rPr>
                <w:sz w:val="21"/>
                <w:szCs w:val="21"/>
              </w:rPr>
            </w:pPr>
            <w:r>
              <w:rPr>
                <w:sz w:val="21"/>
                <w:szCs w:val="21"/>
                <w:spacing w:val="-2"/>
              </w:rPr>
              <w:t>废脱硫剂</w:t>
            </w:r>
          </w:p>
        </w:tc>
        <w:tc>
          <w:tcPr>
            <w:tcW w:w="839" w:type="dxa"/>
            <w:vAlign w:val="top"/>
          </w:tcPr>
          <w:p>
            <w:pPr>
              <w:pStyle w:val="TableText"/>
              <w:ind w:left="353"/>
              <w:spacing w:before="64" w:line="183" w:lineRule="auto"/>
              <w:rPr>
                <w:sz w:val="21"/>
                <w:szCs w:val="21"/>
              </w:rPr>
            </w:pPr>
            <w:r>
              <w:rPr>
                <w:sz w:val="21"/>
                <w:szCs w:val="21"/>
              </w:rPr>
              <w:t>I</w:t>
            </w:r>
          </w:p>
        </w:tc>
        <w:tc>
          <w:tcPr>
            <w:tcW w:w="1158" w:type="dxa"/>
            <w:vAlign w:val="top"/>
          </w:tcPr>
          <w:p>
            <w:pPr>
              <w:pStyle w:val="TableText"/>
              <w:ind w:left="514"/>
              <w:spacing w:before="48" w:line="197" w:lineRule="auto"/>
              <w:rPr>
                <w:sz w:val="21"/>
                <w:szCs w:val="21"/>
              </w:rPr>
            </w:pPr>
            <w:r>
              <w:rPr>
                <w:sz w:val="21"/>
                <w:szCs w:val="21"/>
              </w:rPr>
              <w:t>/</w:t>
            </w:r>
          </w:p>
        </w:tc>
        <w:tc>
          <w:tcPr>
            <w:tcW w:w="1039" w:type="dxa"/>
            <w:vAlign w:val="top"/>
          </w:tcPr>
          <w:p>
            <w:pPr>
              <w:pStyle w:val="TableText"/>
              <w:ind w:left="307"/>
              <w:spacing w:before="64" w:line="183" w:lineRule="auto"/>
              <w:rPr>
                <w:sz w:val="21"/>
                <w:szCs w:val="21"/>
              </w:rPr>
            </w:pPr>
            <w:r>
              <w:rPr>
                <w:sz w:val="21"/>
                <w:szCs w:val="21"/>
                <w:spacing w:val="-5"/>
              </w:rPr>
              <w:t>1.47</w:t>
            </w:r>
          </w:p>
        </w:tc>
        <w:tc>
          <w:tcPr>
            <w:tcW w:w="1039" w:type="dxa"/>
            <w:vAlign w:val="top"/>
          </w:tcPr>
          <w:p>
            <w:pPr>
              <w:pStyle w:val="TableText"/>
              <w:ind w:left="307"/>
              <w:spacing w:before="64" w:line="183" w:lineRule="auto"/>
              <w:rPr>
                <w:sz w:val="21"/>
                <w:szCs w:val="21"/>
              </w:rPr>
            </w:pPr>
            <w:r>
              <w:rPr>
                <w:sz w:val="21"/>
                <w:szCs w:val="21"/>
                <w:spacing w:val="-5"/>
              </w:rPr>
              <w:t>1.47</w:t>
            </w:r>
          </w:p>
        </w:tc>
        <w:tc>
          <w:tcPr>
            <w:tcW w:w="1293" w:type="dxa"/>
            <w:vAlign w:val="top"/>
          </w:tcPr>
          <w:p>
            <w:pPr>
              <w:pStyle w:val="TableText"/>
              <w:ind w:left="379"/>
              <w:spacing w:before="64" w:line="183" w:lineRule="auto"/>
              <w:rPr>
                <w:sz w:val="21"/>
                <w:szCs w:val="21"/>
              </w:rPr>
            </w:pPr>
            <w:r>
              <w:rPr>
                <w:sz w:val="21"/>
                <w:szCs w:val="21"/>
                <w:spacing w:val="-2"/>
              </w:rPr>
              <w:t>+1.47</w:t>
            </w:r>
          </w:p>
        </w:tc>
      </w:tr>
      <w:tr>
        <w:trPr>
          <w:trHeight w:val="278" w:hRule="atLeast"/>
        </w:trPr>
        <w:tc>
          <w:tcPr>
            <w:tcW w:w="404" w:type="dxa"/>
            <w:vAlign w:val="top"/>
            <w:vMerge w:val="continue"/>
            <w:tcBorders>
              <w:top w:val="nil"/>
              <w:bottom w:val="nil"/>
            </w:tcBorders>
          </w:tcPr>
          <w:p>
            <w:pPr>
              <w:rPr>
                <w:rFonts w:ascii="Arial"/>
                <w:sz w:val="21"/>
              </w:rPr>
            </w:pPr>
            <w:r/>
          </w:p>
        </w:tc>
        <w:tc>
          <w:tcPr>
            <w:tcW w:w="2727" w:type="dxa"/>
            <w:vAlign w:val="top"/>
          </w:tcPr>
          <w:p>
            <w:pPr>
              <w:pStyle w:val="TableText"/>
              <w:ind w:left="930"/>
              <w:spacing w:before="41" w:line="199" w:lineRule="auto"/>
              <w:rPr>
                <w:sz w:val="21"/>
                <w:szCs w:val="21"/>
              </w:rPr>
            </w:pPr>
            <w:r>
              <w:rPr>
                <w:sz w:val="21"/>
                <w:szCs w:val="21"/>
                <w:spacing w:val="3"/>
              </w:rPr>
              <w:t>废活性炭</w:t>
            </w:r>
          </w:p>
        </w:tc>
        <w:tc>
          <w:tcPr>
            <w:tcW w:w="839" w:type="dxa"/>
            <w:vAlign w:val="top"/>
          </w:tcPr>
          <w:p>
            <w:pPr>
              <w:pStyle w:val="TableText"/>
              <w:ind w:left="353"/>
              <w:spacing w:before="46" w:line="195" w:lineRule="auto"/>
              <w:rPr>
                <w:sz w:val="21"/>
                <w:szCs w:val="21"/>
              </w:rPr>
            </w:pPr>
            <w:r>
              <w:rPr>
                <w:sz w:val="21"/>
                <w:szCs w:val="21"/>
              </w:rPr>
              <w:t>/</w:t>
            </w:r>
          </w:p>
        </w:tc>
        <w:tc>
          <w:tcPr>
            <w:tcW w:w="1158" w:type="dxa"/>
            <w:vAlign w:val="top"/>
          </w:tcPr>
          <w:p>
            <w:pPr>
              <w:pStyle w:val="TableText"/>
              <w:ind w:left="514"/>
              <w:spacing w:before="46" w:line="195" w:lineRule="auto"/>
              <w:rPr>
                <w:sz w:val="21"/>
                <w:szCs w:val="21"/>
              </w:rPr>
            </w:pPr>
            <w:r>
              <w:rPr>
                <w:sz w:val="21"/>
                <w:szCs w:val="21"/>
                <w:color w:val="303040"/>
              </w:rPr>
              <w:t>/</w:t>
            </w:r>
          </w:p>
        </w:tc>
        <w:tc>
          <w:tcPr>
            <w:tcW w:w="1039" w:type="dxa"/>
            <w:vAlign w:val="top"/>
          </w:tcPr>
          <w:p>
            <w:pPr>
              <w:pStyle w:val="TableText"/>
              <w:ind w:left="356"/>
              <w:spacing w:before="62" w:line="181" w:lineRule="auto"/>
              <w:rPr>
                <w:sz w:val="21"/>
                <w:szCs w:val="21"/>
              </w:rPr>
            </w:pPr>
            <w:r>
              <w:rPr>
                <w:sz w:val="21"/>
                <w:szCs w:val="21"/>
                <w:spacing w:val="-6"/>
              </w:rPr>
              <w:t>1.2</w:t>
            </w:r>
          </w:p>
        </w:tc>
        <w:tc>
          <w:tcPr>
            <w:tcW w:w="1039" w:type="dxa"/>
            <w:vAlign w:val="top"/>
          </w:tcPr>
          <w:p>
            <w:pPr>
              <w:pStyle w:val="TableText"/>
              <w:ind w:left="358"/>
              <w:spacing w:before="62" w:line="181" w:lineRule="auto"/>
              <w:rPr>
                <w:sz w:val="21"/>
                <w:szCs w:val="21"/>
              </w:rPr>
            </w:pPr>
            <w:r>
              <w:rPr>
                <w:sz w:val="21"/>
                <w:szCs w:val="21"/>
                <w:spacing w:val="-6"/>
              </w:rPr>
              <w:t>1.2</w:t>
            </w:r>
          </w:p>
        </w:tc>
        <w:tc>
          <w:tcPr>
            <w:tcW w:w="1293" w:type="dxa"/>
            <w:vAlign w:val="top"/>
          </w:tcPr>
          <w:p>
            <w:pPr>
              <w:pStyle w:val="TableText"/>
              <w:ind w:left="429"/>
              <w:spacing w:before="62" w:line="181" w:lineRule="auto"/>
              <w:rPr>
                <w:sz w:val="21"/>
                <w:szCs w:val="21"/>
              </w:rPr>
            </w:pPr>
            <w:r>
              <w:rPr>
                <w:sz w:val="21"/>
                <w:szCs w:val="21"/>
                <w:spacing w:val="-2"/>
              </w:rPr>
              <w:t>+1.2</w:t>
            </w:r>
          </w:p>
        </w:tc>
      </w:tr>
      <w:tr>
        <w:trPr>
          <w:trHeight w:val="269" w:hRule="atLeast"/>
        </w:trPr>
        <w:tc>
          <w:tcPr>
            <w:tcW w:w="404" w:type="dxa"/>
            <w:vAlign w:val="top"/>
            <w:vMerge w:val="continue"/>
            <w:tcBorders>
              <w:top w:val="nil"/>
              <w:bottom w:val="nil"/>
            </w:tcBorders>
          </w:tcPr>
          <w:p>
            <w:pPr>
              <w:rPr>
                <w:rFonts w:ascii="Arial"/>
                <w:sz w:val="21"/>
              </w:rPr>
            </w:pPr>
            <w:r/>
          </w:p>
        </w:tc>
        <w:tc>
          <w:tcPr>
            <w:tcW w:w="2727" w:type="dxa"/>
            <w:vAlign w:val="top"/>
          </w:tcPr>
          <w:p>
            <w:pPr>
              <w:pStyle w:val="TableText"/>
              <w:ind w:left="930"/>
              <w:spacing w:before="32" w:line="199" w:lineRule="auto"/>
              <w:rPr>
                <w:sz w:val="21"/>
                <w:szCs w:val="21"/>
              </w:rPr>
            </w:pPr>
            <w:r>
              <w:rPr>
                <w:sz w:val="21"/>
                <w:szCs w:val="21"/>
                <w:spacing w:val="-2"/>
              </w:rPr>
              <w:t>废UV灯管</w:t>
            </w:r>
          </w:p>
        </w:tc>
        <w:tc>
          <w:tcPr>
            <w:tcW w:w="839" w:type="dxa"/>
            <w:vAlign w:val="top"/>
            <w:textDirection w:val="tbRlV"/>
          </w:tcPr>
          <w:p>
            <w:pPr>
              <w:spacing w:line="296" w:lineRule="auto"/>
              <w:rPr>
                <w:rFonts w:ascii="Arial"/>
                <w:sz w:val="21"/>
              </w:rPr>
            </w:pPr>
            <w:r/>
          </w:p>
          <w:p>
            <w:pPr>
              <w:pStyle w:val="TableText"/>
              <w:ind w:left="4"/>
              <w:spacing w:before="70" w:line="137" w:lineRule="exact"/>
              <w:rPr>
                <w:sz w:val="21"/>
                <w:szCs w:val="21"/>
              </w:rPr>
            </w:pPr>
            <w:r>
              <w:rPr>
                <w:sz w:val="21"/>
                <w:szCs w:val="21"/>
                <w:color w:val="404040"/>
                <w:spacing w:val="52"/>
                <w:w w:val="141"/>
                <w:position w:val="-1"/>
              </w:rPr>
              <w:t>/</w:t>
            </w:r>
          </w:p>
        </w:tc>
        <w:tc>
          <w:tcPr>
            <w:tcW w:w="1158" w:type="dxa"/>
            <w:vAlign w:val="top"/>
            <w:textDirection w:val="tbRlV"/>
          </w:tcPr>
          <w:p>
            <w:pPr>
              <w:spacing w:line="449" w:lineRule="auto"/>
              <w:rPr>
                <w:rFonts w:ascii="Arial"/>
                <w:sz w:val="21"/>
              </w:rPr>
            </w:pPr>
            <w:r/>
          </w:p>
          <w:p>
            <w:pPr>
              <w:pStyle w:val="TableText"/>
              <w:ind w:left="4"/>
              <w:spacing w:before="70" w:line="137" w:lineRule="exact"/>
              <w:rPr>
                <w:sz w:val="21"/>
                <w:szCs w:val="21"/>
              </w:rPr>
            </w:pPr>
            <w:r>
              <w:rPr>
                <w:sz w:val="21"/>
                <w:szCs w:val="21"/>
                <w:spacing w:val="52"/>
                <w:w w:val="141"/>
                <w:position w:val="-1"/>
              </w:rPr>
              <w:t>/</w:t>
            </w:r>
          </w:p>
        </w:tc>
        <w:tc>
          <w:tcPr>
            <w:tcW w:w="1039" w:type="dxa"/>
            <w:vAlign w:val="top"/>
          </w:tcPr>
          <w:p>
            <w:pPr>
              <w:pStyle w:val="TableText"/>
              <w:ind w:left="246"/>
              <w:spacing w:before="53" w:line="181" w:lineRule="auto"/>
              <w:rPr>
                <w:sz w:val="21"/>
                <w:szCs w:val="21"/>
              </w:rPr>
            </w:pPr>
            <w:r>
              <w:rPr>
                <w:sz w:val="21"/>
                <w:szCs w:val="21"/>
                <w:spacing w:val="-2"/>
              </w:rPr>
              <w:t>0.002</w:t>
            </w:r>
          </w:p>
        </w:tc>
        <w:tc>
          <w:tcPr>
            <w:tcW w:w="1039" w:type="dxa"/>
            <w:vAlign w:val="top"/>
          </w:tcPr>
          <w:p>
            <w:pPr>
              <w:pStyle w:val="TableText"/>
              <w:ind w:left="247"/>
              <w:spacing w:before="53" w:line="181" w:lineRule="auto"/>
              <w:rPr>
                <w:sz w:val="21"/>
                <w:szCs w:val="21"/>
              </w:rPr>
            </w:pPr>
            <w:r>
              <w:rPr>
                <w:sz w:val="21"/>
                <w:szCs w:val="21"/>
                <w:spacing w:val="-2"/>
              </w:rPr>
              <w:t>0.002</w:t>
            </w:r>
          </w:p>
        </w:tc>
        <w:tc>
          <w:tcPr>
            <w:tcW w:w="1293" w:type="dxa"/>
            <w:vAlign w:val="top"/>
          </w:tcPr>
          <w:p>
            <w:pPr>
              <w:pStyle w:val="TableText"/>
              <w:ind w:left="328"/>
              <w:spacing w:before="53" w:line="181" w:lineRule="auto"/>
              <w:rPr>
                <w:sz w:val="21"/>
                <w:szCs w:val="21"/>
              </w:rPr>
            </w:pPr>
            <w:r>
              <w:rPr>
                <w:sz w:val="21"/>
                <w:szCs w:val="21"/>
                <w:spacing w:val="-2"/>
              </w:rPr>
              <w:t>+0.002</w:t>
            </w:r>
          </w:p>
        </w:tc>
      </w:tr>
      <w:tr>
        <w:trPr>
          <w:trHeight w:val="279" w:hRule="atLeast"/>
        </w:trPr>
        <w:tc>
          <w:tcPr>
            <w:tcW w:w="404" w:type="dxa"/>
            <w:vAlign w:val="top"/>
            <w:vMerge w:val="continue"/>
            <w:tcBorders>
              <w:top w:val="nil"/>
              <w:bottom w:val="nil"/>
            </w:tcBorders>
          </w:tcPr>
          <w:p>
            <w:pPr>
              <w:rPr>
                <w:rFonts w:ascii="Arial"/>
                <w:sz w:val="21"/>
              </w:rPr>
            </w:pPr>
            <w:r/>
          </w:p>
        </w:tc>
        <w:tc>
          <w:tcPr>
            <w:tcW w:w="2727" w:type="dxa"/>
            <w:vAlign w:val="top"/>
          </w:tcPr>
          <w:p>
            <w:pPr>
              <w:pStyle w:val="TableText"/>
              <w:ind w:left="411"/>
              <w:spacing w:before="42" w:line="199" w:lineRule="auto"/>
              <w:rPr>
                <w:sz w:val="21"/>
                <w:szCs w:val="21"/>
              </w:rPr>
            </w:pPr>
            <w:r>
              <w:rPr>
                <w:sz w:val="21"/>
                <w:szCs w:val="21"/>
                <w:spacing w:val="-1"/>
              </w:rPr>
              <w:t>废消毒药品包装材料</w:t>
            </w:r>
          </w:p>
        </w:tc>
        <w:tc>
          <w:tcPr>
            <w:tcW w:w="839" w:type="dxa"/>
            <w:vAlign w:val="top"/>
          </w:tcPr>
          <w:p>
            <w:pPr>
              <w:pStyle w:val="TableText"/>
              <w:ind w:left="353"/>
              <w:spacing w:before="49" w:line="193" w:lineRule="auto"/>
              <w:rPr>
                <w:sz w:val="21"/>
                <w:szCs w:val="21"/>
              </w:rPr>
            </w:pPr>
            <w:r>
              <w:rPr>
                <w:sz w:val="21"/>
                <w:szCs w:val="21"/>
                <w:color w:val="504050"/>
              </w:rPr>
              <w:t>/</w:t>
            </w:r>
          </w:p>
        </w:tc>
        <w:tc>
          <w:tcPr>
            <w:tcW w:w="1158" w:type="dxa"/>
            <w:vAlign w:val="top"/>
            <w:textDirection w:val="tbRlV"/>
          </w:tcPr>
          <w:p>
            <w:pPr>
              <w:spacing w:line="449" w:lineRule="auto"/>
              <w:rPr>
                <w:rFonts w:ascii="Arial"/>
                <w:sz w:val="21"/>
              </w:rPr>
            </w:pPr>
            <w:r/>
          </w:p>
          <w:p>
            <w:pPr>
              <w:pStyle w:val="TableText"/>
              <w:ind w:left="15"/>
              <w:spacing w:before="70" w:line="137" w:lineRule="exact"/>
              <w:rPr>
                <w:sz w:val="21"/>
                <w:szCs w:val="21"/>
              </w:rPr>
            </w:pPr>
            <w:r>
              <w:rPr>
                <w:sz w:val="21"/>
                <w:szCs w:val="21"/>
                <w:spacing w:val="52"/>
                <w:w w:val="141"/>
                <w:position w:val="-1"/>
              </w:rPr>
              <w:t>/</w:t>
            </w:r>
          </w:p>
        </w:tc>
        <w:tc>
          <w:tcPr>
            <w:tcW w:w="1039" w:type="dxa"/>
            <w:vAlign w:val="top"/>
          </w:tcPr>
          <w:p>
            <w:pPr>
              <w:pStyle w:val="TableText"/>
              <w:ind w:left="307"/>
              <w:spacing w:before="64" w:line="180" w:lineRule="auto"/>
              <w:rPr>
                <w:sz w:val="21"/>
                <w:szCs w:val="21"/>
              </w:rPr>
            </w:pPr>
            <w:r>
              <w:rPr>
                <w:sz w:val="21"/>
                <w:szCs w:val="21"/>
                <w:spacing w:val="-2"/>
              </w:rPr>
              <w:t>0.05</w:t>
            </w:r>
          </w:p>
        </w:tc>
        <w:tc>
          <w:tcPr>
            <w:tcW w:w="1039" w:type="dxa"/>
            <w:vAlign w:val="top"/>
          </w:tcPr>
          <w:p>
            <w:pPr>
              <w:pStyle w:val="TableText"/>
              <w:ind w:left="307"/>
              <w:spacing w:before="64" w:line="180" w:lineRule="auto"/>
              <w:rPr>
                <w:sz w:val="21"/>
                <w:szCs w:val="21"/>
              </w:rPr>
            </w:pPr>
            <w:r>
              <w:rPr>
                <w:sz w:val="21"/>
                <w:szCs w:val="21"/>
                <w:spacing w:val="-2"/>
              </w:rPr>
              <w:t>0.05</w:t>
            </w:r>
          </w:p>
        </w:tc>
        <w:tc>
          <w:tcPr>
            <w:tcW w:w="1293" w:type="dxa"/>
            <w:vAlign w:val="top"/>
          </w:tcPr>
          <w:p>
            <w:pPr>
              <w:pStyle w:val="TableText"/>
              <w:ind w:left="379"/>
              <w:spacing w:before="64" w:line="180" w:lineRule="auto"/>
              <w:rPr>
                <w:sz w:val="21"/>
                <w:szCs w:val="21"/>
              </w:rPr>
            </w:pPr>
            <w:r>
              <w:rPr>
                <w:sz w:val="21"/>
                <w:szCs w:val="21"/>
                <w:spacing w:val="-2"/>
              </w:rPr>
              <w:t>+0.05</w:t>
            </w:r>
          </w:p>
        </w:tc>
      </w:tr>
      <w:tr>
        <w:trPr>
          <w:trHeight w:val="259" w:hRule="atLeast"/>
        </w:trPr>
        <w:tc>
          <w:tcPr>
            <w:tcW w:w="404" w:type="dxa"/>
            <w:vAlign w:val="top"/>
            <w:vMerge w:val="continue"/>
            <w:tcBorders>
              <w:top w:val="nil"/>
              <w:bottom w:val="nil"/>
            </w:tcBorders>
          </w:tcPr>
          <w:p>
            <w:pPr>
              <w:rPr>
                <w:rFonts w:ascii="Arial"/>
                <w:sz w:val="21"/>
              </w:rPr>
            </w:pPr>
            <w:r/>
          </w:p>
        </w:tc>
        <w:tc>
          <w:tcPr>
            <w:tcW w:w="2727" w:type="dxa"/>
            <w:vAlign w:val="top"/>
          </w:tcPr>
          <w:p>
            <w:pPr>
              <w:pStyle w:val="TableText"/>
              <w:ind w:left="721"/>
              <w:spacing w:before="35" w:line="188" w:lineRule="auto"/>
              <w:rPr>
                <w:sz w:val="21"/>
                <w:szCs w:val="21"/>
              </w:rPr>
            </w:pPr>
            <w:r>
              <w:rPr>
                <w:sz w:val="21"/>
                <w:szCs w:val="21"/>
                <w:spacing w:val="-2"/>
              </w:rPr>
              <w:t>在线监测废液</w:t>
            </w:r>
          </w:p>
        </w:tc>
        <w:tc>
          <w:tcPr>
            <w:tcW w:w="839" w:type="dxa"/>
            <w:vAlign w:val="top"/>
            <w:textDirection w:val="tbRlV"/>
          </w:tcPr>
          <w:p>
            <w:pPr>
              <w:spacing w:line="296" w:lineRule="auto"/>
              <w:rPr>
                <w:rFonts w:ascii="Arial"/>
                <w:sz w:val="21"/>
              </w:rPr>
            </w:pPr>
            <w:r/>
          </w:p>
          <w:p>
            <w:pPr>
              <w:pStyle w:val="TableText"/>
              <w:ind w:left="6"/>
              <w:spacing w:before="70" w:line="137" w:lineRule="exact"/>
              <w:rPr>
                <w:sz w:val="21"/>
                <w:szCs w:val="21"/>
              </w:rPr>
            </w:pPr>
            <w:r>
              <w:rPr>
                <w:sz w:val="21"/>
                <w:szCs w:val="21"/>
                <w:spacing w:val="52"/>
                <w:w w:val="141"/>
                <w:position w:val="-1"/>
              </w:rPr>
              <w:t>/</w:t>
            </w:r>
          </w:p>
        </w:tc>
        <w:tc>
          <w:tcPr>
            <w:tcW w:w="1158" w:type="dxa"/>
            <w:vAlign w:val="top"/>
          </w:tcPr>
          <w:p>
            <w:pPr>
              <w:pStyle w:val="TableText"/>
              <w:ind w:left="514"/>
              <w:spacing w:before="39" w:line="184" w:lineRule="auto"/>
              <w:rPr>
                <w:sz w:val="21"/>
                <w:szCs w:val="21"/>
              </w:rPr>
            </w:pPr>
            <w:r>
              <w:rPr>
                <w:sz w:val="21"/>
                <w:szCs w:val="21"/>
              </w:rPr>
              <w:t>/</w:t>
            </w:r>
          </w:p>
        </w:tc>
        <w:tc>
          <w:tcPr>
            <w:tcW w:w="1039" w:type="dxa"/>
            <w:vAlign w:val="top"/>
          </w:tcPr>
          <w:p>
            <w:pPr>
              <w:pStyle w:val="TableText"/>
              <w:ind w:left="356"/>
              <w:spacing w:before="55" w:line="170" w:lineRule="auto"/>
              <w:rPr>
                <w:sz w:val="21"/>
                <w:szCs w:val="21"/>
              </w:rPr>
            </w:pPr>
            <w:r>
              <w:rPr>
                <w:sz w:val="21"/>
                <w:szCs w:val="21"/>
                <w:color w:val="404040"/>
                <w:spacing w:val="-3"/>
              </w:rPr>
              <w:t>0.1</w:t>
            </w:r>
          </w:p>
        </w:tc>
        <w:tc>
          <w:tcPr>
            <w:tcW w:w="1039" w:type="dxa"/>
            <w:vAlign w:val="top"/>
          </w:tcPr>
          <w:p>
            <w:pPr>
              <w:pStyle w:val="TableText"/>
              <w:ind w:left="358"/>
              <w:spacing w:before="55" w:line="170" w:lineRule="auto"/>
              <w:rPr>
                <w:sz w:val="21"/>
                <w:szCs w:val="21"/>
              </w:rPr>
            </w:pPr>
            <w:r>
              <w:rPr>
                <w:sz w:val="21"/>
                <w:szCs w:val="21"/>
                <w:color w:val="506070"/>
                <w:spacing w:val="-3"/>
              </w:rPr>
              <w:t>0.1</w:t>
            </w:r>
          </w:p>
        </w:tc>
        <w:tc>
          <w:tcPr>
            <w:tcW w:w="1293" w:type="dxa"/>
            <w:vAlign w:val="top"/>
          </w:tcPr>
          <w:p>
            <w:pPr>
              <w:pStyle w:val="TableText"/>
              <w:ind w:left="429"/>
              <w:spacing w:before="55" w:line="170" w:lineRule="auto"/>
              <w:rPr>
                <w:sz w:val="21"/>
                <w:szCs w:val="21"/>
              </w:rPr>
            </w:pPr>
            <w:r>
              <w:rPr>
                <w:sz w:val="21"/>
                <w:szCs w:val="21"/>
                <w:color w:val="706050"/>
                <w:spacing w:val="-2"/>
              </w:rPr>
              <w:t>+0.1</w:t>
            </w:r>
          </w:p>
        </w:tc>
      </w:tr>
      <w:tr>
        <w:trPr>
          <w:trHeight w:val="269" w:hRule="atLeast"/>
        </w:trPr>
        <w:tc>
          <w:tcPr>
            <w:tcW w:w="404" w:type="dxa"/>
            <w:vAlign w:val="top"/>
            <w:vMerge w:val="continue"/>
            <w:tcBorders>
              <w:top w:val="nil"/>
              <w:bottom w:val="nil"/>
            </w:tcBorders>
          </w:tcPr>
          <w:p>
            <w:pPr>
              <w:rPr>
                <w:rFonts w:ascii="Arial"/>
                <w:sz w:val="21"/>
              </w:rPr>
            </w:pPr>
            <w:r/>
          </w:p>
        </w:tc>
        <w:tc>
          <w:tcPr>
            <w:tcW w:w="2727" w:type="dxa"/>
            <w:vAlign w:val="top"/>
          </w:tcPr>
          <w:p>
            <w:pPr>
              <w:pStyle w:val="TableText"/>
              <w:ind w:left="830"/>
              <w:spacing w:before="36" w:line="196" w:lineRule="auto"/>
              <w:rPr>
                <w:sz w:val="21"/>
                <w:szCs w:val="21"/>
              </w:rPr>
            </w:pPr>
            <w:r>
              <w:rPr>
                <w:sz w:val="21"/>
                <w:szCs w:val="21"/>
                <w:spacing w:val="-2"/>
              </w:rPr>
              <w:t>检疫废弃物</w:t>
            </w:r>
          </w:p>
        </w:tc>
        <w:tc>
          <w:tcPr>
            <w:tcW w:w="839" w:type="dxa"/>
            <w:vAlign w:val="top"/>
          </w:tcPr>
          <w:p>
            <w:pPr>
              <w:pStyle w:val="TableText"/>
              <w:ind w:left="353"/>
              <w:spacing w:before="41" w:line="191" w:lineRule="auto"/>
              <w:rPr>
                <w:sz w:val="21"/>
                <w:szCs w:val="21"/>
              </w:rPr>
            </w:pPr>
            <w:r>
              <w:rPr>
                <w:sz w:val="21"/>
                <w:szCs w:val="21"/>
                <w:color w:val="403050"/>
              </w:rPr>
              <w:t>/</w:t>
            </w:r>
          </w:p>
        </w:tc>
        <w:tc>
          <w:tcPr>
            <w:tcW w:w="1158" w:type="dxa"/>
            <w:vAlign w:val="top"/>
          </w:tcPr>
          <w:p>
            <w:pPr>
              <w:pStyle w:val="TableText"/>
              <w:ind w:left="514"/>
              <w:spacing w:before="41" w:line="191" w:lineRule="auto"/>
              <w:rPr>
                <w:sz w:val="21"/>
                <w:szCs w:val="21"/>
              </w:rPr>
            </w:pPr>
            <w:r>
              <w:rPr>
                <w:sz w:val="21"/>
                <w:szCs w:val="21"/>
              </w:rPr>
              <w:t>/</w:t>
            </w:r>
          </w:p>
        </w:tc>
        <w:tc>
          <w:tcPr>
            <w:tcW w:w="1039" w:type="dxa"/>
            <w:vAlign w:val="top"/>
          </w:tcPr>
          <w:p>
            <w:pPr>
              <w:pStyle w:val="TableText"/>
              <w:ind w:left="307"/>
              <w:spacing w:before="56" w:line="178" w:lineRule="auto"/>
              <w:rPr>
                <w:sz w:val="21"/>
                <w:szCs w:val="21"/>
              </w:rPr>
            </w:pPr>
            <w:r>
              <w:rPr>
                <w:sz w:val="21"/>
                <w:szCs w:val="21"/>
                <w:spacing w:val="-2"/>
              </w:rPr>
              <w:t>0.02</w:t>
            </w:r>
          </w:p>
        </w:tc>
        <w:tc>
          <w:tcPr>
            <w:tcW w:w="1039" w:type="dxa"/>
            <w:vAlign w:val="top"/>
          </w:tcPr>
          <w:p>
            <w:pPr>
              <w:pStyle w:val="TableText"/>
              <w:ind w:left="307"/>
              <w:spacing w:before="56" w:line="178" w:lineRule="auto"/>
              <w:rPr>
                <w:sz w:val="21"/>
                <w:szCs w:val="21"/>
              </w:rPr>
            </w:pPr>
            <w:r>
              <w:rPr>
                <w:sz w:val="21"/>
                <w:szCs w:val="21"/>
                <w:spacing w:val="-2"/>
              </w:rPr>
              <w:t>0.02</w:t>
            </w:r>
          </w:p>
        </w:tc>
        <w:tc>
          <w:tcPr>
            <w:tcW w:w="1293" w:type="dxa"/>
            <w:vAlign w:val="top"/>
          </w:tcPr>
          <w:p>
            <w:pPr>
              <w:pStyle w:val="TableText"/>
              <w:ind w:left="379"/>
              <w:spacing w:before="56" w:line="178" w:lineRule="auto"/>
              <w:rPr>
                <w:sz w:val="21"/>
                <w:szCs w:val="21"/>
              </w:rPr>
            </w:pPr>
            <w:r>
              <w:rPr>
                <w:sz w:val="21"/>
                <w:szCs w:val="21"/>
                <w:spacing w:val="-2"/>
              </w:rPr>
              <w:t>+0.02</w:t>
            </w:r>
          </w:p>
        </w:tc>
      </w:tr>
      <w:tr>
        <w:trPr>
          <w:trHeight w:val="279" w:hRule="atLeast"/>
        </w:trPr>
        <w:tc>
          <w:tcPr>
            <w:tcW w:w="404" w:type="dxa"/>
            <w:vAlign w:val="top"/>
            <w:vMerge w:val="continue"/>
            <w:tcBorders>
              <w:top w:val="nil"/>
              <w:bottom w:val="nil"/>
            </w:tcBorders>
          </w:tcPr>
          <w:p>
            <w:pPr>
              <w:rPr>
                <w:rFonts w:ascii="Arial"/>
                <w:sz w:val="21"/>
              </w:rPr>
            </w:pPr>
            <w:r/>
          </w:p>
        </w:tc>
        <w:tc>
          <w:tcPr>
            <w:tcW w:w="2727" w:type="dxa"/>
            <w:vAlign w:val="top"/>
          </w:tcPr>
          <w:p>
            <w:pPr>
              <w:pStyle w:val="TableText"/>
              <w:ind w:left="1040"/>
              <w:spacing w:before="46" w:line="196" w:lineRule="auto"/>
              <w:rPr>
                <w:sz w:val="21"/>
                <w:szCs w:val="21"/>
              </w:rPr>
            </w:pPr>
            <w:r>
              <w:rPr>
                <w:sz w:val="21"/>
                <w:szCs w:val="21"/>
                <w:color w:val="505050"/>
                <w:spacing w:val="7"/>
              </w:rPr>
              <w:t>废机油</w:t>
            </w:r>
          </w:p>
        </w:tc>
        <w:tc>
          <w:tcPr>
            <w:tcW w:w="839" w:type="dxa"/>
            <w:vAlign w:val="top"/>
          </w:tcPr>
          <w:p>
            <w:pPr>
              <w:pStyle w:val="TableText"/>
              <w:ind w:left="353"/>
              <w:spacing w:before="52" w:line="190" w:lineRule="auto"/>
              <w:rPr>
                <w:sz w:val="21"/>
                <w:szCs w:val="21"/>
              </w:rPr>
            </w:pPr>
            <w:r>
              <w:rPr>
                <w:sz w:val="21"/>
                <w:szCs w:val="21"/>
              </w:rPr>
              <w:t>/</w:t>
            </w:r>
          </w:p>
        </w:tc>
        <w:tc>
          <w:tcPr>
            <w:tcW w:w="1158" w:type="dxa"/>
            <w:vAlign w:val="top"/>
          </w:tcPr>
          <w:p>
            <w:pPr>
              <w:pStyle w:val="TableText"/>
              <w:ind w:left="514"/>
              <w:spacing w:before="52" w:line="190" w:lineRule="auto"/>
              <w:rPr>
                <w:sz w:val="21"/>
                <w:szCs w:val="21"/>
              </w:rPr>
            </w:pPr>
            <w:r>
              <w:rPr>
                <w:sz w:val="21"/>
                <w:szCs w:val="21"/>
              </w:rPr>
              <w:t>/</w:t>
            </w:r>
          </w:p>
        </w:tc>
        <w:tc>
          <w:tcPr>
            <w:tcW w:w="1039" w:type="dxa"/>
            <w:vAlign w:val="top"/>
          </w:tcPr>
          <w:p>
            <w:pPr>
              <w:pStyle w:val="TableText"/>
              <w:ind w:left="356"/>
              <w:spacing w:before="67" w:line="177" w:lineRule="auto"/>
              <w:rPr>
                <w:sz w:val="21"/>
                <w:szCs w:val="21"/>
              </w:rPr>
            </w:pPr>
            <w:r>
              <w:rPr>
                <w:sz w:val="21"/>
                <w:szCs w:val="21"/>
                <w:spacing w:val="-3"/>
              </w:rPr>
              <w:t>0.2</w:t>
            </w:r>
          </w:p>
        </w:tc>
        <w:tc>
          <w:tcPr>
            <w:tcW w:w="1039" w:type="dxa"/>
            <w:vAlign w:val="top"/>
          </w:tcPr>
          <w:p>
            <w:pPr>
              <w:pStyle w:val="TableText"/>
              <w:ind w:left="358"/>
              <w:spacing w:before="67" w:line="177" w:lineRule="auto"/>
              <w:rPr>
                <w:sz w:val="21"/>
                <w:szCs w:val="21"/>
              </w:rPr>
            </w:pPr>
            <w:r>
              <w:rPr>
                <w:sz w:val="21"/>
                <w:szCs w:val="21"/>
                <w:color w:val="404050"/>
                <w:spacing w:val="-3"/>
              </w:rPr>
              <w:t>0.2</w:t>
            </w:r>
          </w:p>
        </w:tc>
        <w:tc>
          <w:tcPr>
            <w:tcW w:w="1293" w:type="dxa"/>
            <w:vAlign w:val="top"/>
          </w:tcPr>
          <w:p>
            <w:pPr>
              <w:pStyle w:val="TableText"/>
              <w:ind w:left="429"/>
              <w:spacing w:before="67" w:line="177" w:lineRule="auto"/>
              <w:rPr>
                <w:sz w:val="21"/>
                <w:szCs w:val="21"/>
              </w:rPr>
            </w:pPr>
            <w:r>
              <w:rPr>
                <w:sz w:val="21"/>
                <w:szCs w:val="21"/>
                <w:spacing w:val="-2"/>
              </w:rPr>
              <w:t>+0.2</w:t>
            </w:r>
          </w:p>
        </w:tc>
      </w:tr>
      <w:tr>
        <w:trPr>
          <w:trHeight w:val="283" w:hRule="atLeast"/>
        </w:trPr>
        <w:tc>
          <w:tcPr>
            <w:tcW w:w="404" w:type="dxa"/>
            <w:vAlign w:val="top"/>
            <w:vMerge w:val="continue"/>
            <w:tcBorders>
              <w:top w:val="nil"/>
            </w:tcBorders>
          </w:tcPr>
          <w:p>
            <w:pPr>
              <w:rPr>
                <w:rFonts w:ascii="Arial"/>
                <w:sz w:val="21"/>
              </w:rPr>
            </w:pPr>
            <w:r/>
          </w:p>
        </w:tc>
        <w:tc>
          <w:tcPr>
            <w:tcW w:w="2727" w:type="dxa"/>
            <w:vAlign w:val="top"/>
          </w:tcPr>
          <w:p>
            <w:pPr>
              <w:pStyle w:val="TableText"/>
              <w:ind w:left="721"/>
              <w:spacing w:before="47" w:line="198" w:lineRule="auto"/>
              <w:rPr>
                <w:sz w:val="21"/>
                <w:szCs w:val="21"/>
              </w:rPr>
            </w:pPr>
            <w:r>
              <w:rPr>
                <w:sz w:val="21"/>
                <w:szCs w:val="21"/>
                <w:spacing w:val="-2"/>
              </w:rPr>
              <w:t>含油棉纱手套</w:t>
            </w:r>
          </w:p>
        </w:tc>
        <w:tc>
          <w:tcPr>
            <w:tcW w:w="839" w:type="dxa"/>
            <w:vAlign w:val="top"/>
          </w:tcPr>
          <w:p>
            <w:pPr>
              <w:pStyle w:val="TableText"/>
              <w:ind w:left="353"/>
              <w:spacing w:before="53" w:line="193" w:lineRule="auto"/>
              <w:rPr>
                <w:sz w:val="21"/>
                <w:szCs w:val="21"/>
              </w:rPr>
            </w:pPr>
            <w:r>
              <w:rPr>
                <w:sz w:val="21"/>
                <w:szCs w:val="21"/>
              </w:rPr>
              <w:t>/</w:t>
            </w:r>
          </w:p>
        </w:tc>
        <w:tc>
          <w:tcPr>
            <w:tcW w:w="1158" w:type="dxa"/>
            <w:vAlign w:val="top"/>
            <w:textDirection w:val="tbRlV"/>
          </w:tcPr>
          <w:p>
            <w:pPr>
              <w:spacing w:line="449" w:lineRule="auto"/>
              <w:rPr>
                <w:rFonts w:ascii="Arial"/>
                <w:sz w:val="21"/>
              </w:rPr>
            </w:pPr>
            <w:r/>
          </w:p>
          <w:p>
            <w:pPr>
              <w:pStyle w:val="TableText"/>
              <w:ind w:left="19"/>
              <w:spacing w:before="70" w:line="137" w:lineRule="exact"/>
              <w:rPr>
                <w:sz w:val="21"/>
                <w:szCs w:val="21"/>
              </w:rPr>
            </w:pPr>
            <w:r>
              <w:rPr>
                <w:sz w:val="21"/>
                <w:szCs w:val="21"/>
                <w:color w:val="504050"/>
                <w:spacing w:val="52"/>
                <w:w w:val="141"/>
                <w:position w:val="-1"/>
              </w:rPr>
              <w:t>/</w:t>
            </w:r>
          </w:p>
        </w:tc>
        <w:tc>
          <w:tcPr>
            <w:tcW w:w="1039" w:type="dxa"/>
            <w:vAlign w:val="top"/>
          </w:tcPr>
          <w:p>
            <w:pPr>
              <w:pStyle w:val="TableText"/>
              <w:ind w:left="356"/>
              <w:spacing w:before="68" w:line="180" w:lineRule="auto"/>
              <w:rPr>
                <w:sz w:val="21"/>
                <w:szCs w:val="21"/>
              </w:rPr>
            </w:pPr>
            <w:r>
              <w:rPr>
                <w:sz w:val="21"/>
                <w:szCs w:val="21"/>
                <w:spacing w:val="-3"/>
              </w:rPr>
              <w:t>0.1</w:t>
            </w:r>
          </w:p>
        </w:tc>
        <w:tc>
          <w:tcPr>
            <w:tcW w:w="1039" w:type="dxa"/>
            <w:vAlign w:val="top"/>
          </w:tcPr>
          <w:p>
            <w:pPr>
              <w:pStyle w:val="TableText"/>
              <w:ind w:left="358"/>
              <w:spacing w:before="68" w:line="180" w:lineRule="auto"/>
              <w:rPr>
                <w:sz w:val="21"/>
                <w:szCs w:val="21"/>
              </w:rPr>
            </w:pPr>
            <w:r>
              <w:rPr>
                <w:sz w:val="21"/>
                <w:szCs w:val="21"/>
                <w:color w:val="404040"/>
                <w:spacing w:val="-3"/>
              </w:rPr>
              <w:t>0.1</w:t>
            </w:r>
          </w:p>
        </w:tc>
        <w:tc>
          <w:tcPr>
            <w:tcW w:w="1293" w:type="dxa"/>
            <w:vAlign w:val="top"/>
          </w:tcPr>
          <w:p>
            <w:pPr>
              <w:pStyle w:val="TableText"/>
              <w:ind w:left="429"/>
              <w:spacing w:before="68" w:line="180" w:lineRule="auto"/>
              <w:rPr>
                <w:sz w:val="21"/>
                <w:szCs w:val="21"/>
              </w:rPr>
            </w:pPr>
            <w:r>
              <w:rPr>
                <w:sz w:val="21"/>
                <w:szCs w:val="21"/>
                <w:color w:val="806060"/>
                <w:spacing w:val="-2"/>
              </w:rPr>
              <w:t>+0.1</w:t>
            </w:r>
          </w:p>
        </w:tc>
      </w:tr>
    </w:tbl>
    <w:p>
      <w:pPr>
        <w:pStyle w:val="BodyText"/>
        <w:rPr/>
      </w:pPr>
      <w:r/>
    </w:p>
    <w:p>
      <w:pPr>
        <w:sectPr>
          <w:headerReference w:type="default" r:id="rId99"/>
          <w:footerReference w:type="default" r:id="rId195"/>
          <w:pgSz w:w="11910" w:h="16840"/>
          <w:pgMar w:top="1210" w:right="1715" w:bottom="971" w:left="1685" w:header="902" w:footer="712" w:gutter="0"/>
        </w:sectPr>
        <w:rPr/>
      </w:pPr>
    </w:p>
    <w:p>
      <w:pPr>
        <w:ind w:left="2259"/>
        <w:spacing w:before="275" w:line="221" w:lineRule="auto"/>
        <w:outlineLvl w:val="0"/>
        <w:rPr>
          <w:rFonts w:ascii="SimHei" w:hAnsi="SimHei" w:eastAsia="SimHei" w:cs="SimHei"/>
          <w:sz w:val="30"/>
          <w:szCs w:val="30"/>
        </w:rPr>
      </w:pPr>
      <w:bookmarkStart w:name="bookmark30" w:id="56"/>
      <w:bookmarkEnd w:id="56"/>
      <w:r>
        <w:rPr>
          <w:rFonts w:ascii="SimHei" w:hAnsi="SimHei" w:eastAsia="SimHei" w:cs="SimHei"/>
          <w:sz w:val="30"/>
          <w:szCs w:val="30"/>
          <w:b/>
          <w:bCs/>
          <w:spacing w:val="-6"/>
        </w:rPr>
        <w:t>第3章建设项目概况及工程分析</w:t>
      </w:r>
    </w:p>
    <w:p>
      <w:pPr>
        <w:ind w:left="108"/>
        <w:spacing w:before="230" w:line="221" w:lineRule="auto"/>
        <w:outlineLvl w:val="1"/>
        <w:rPr>
          <w:rFonts w:ascii="SimHei" w:hAnsi="SimHei" w:eastAsia="SimHei" w:cs="SimHei"/>
          <w:sz w:val="27"/>
          <w:szCs w:val="27"/>
        </w:rPr>
      </w:pPr>
      <w:bookmarkStart w:name="bookmark31" w:id="57"/>
      <w:bookmarkEnd w:id="57"/>
      <w:r>
        <w:rPr>
          <w:rFonts w:ascii="SimHei" w:hAnsi="SimHei" w:eastAsia="SimHei" w:cs="SimHei"/>
          <w:sz w:val="27"/>
          <w:szCs w:val="27"/>
          <w:b/>
          <w:bCs/>
          <w:spacing w:val="-4"/>
        </w:rPr>
        <w:t>3.1项目概况</w:t>
      </w:r>
    </w:p>
    <w:p>
      <w:pPr>
        <w:ind w:left="104"/>
        <w:spacing w:before="237" w:line="222" w:lineRule="auto"/>
        <w:rPr>
          <w:rFonts w:ascii="SimHei" w:hAnsi="SimHei" w:eastAsia="SimHei" w:cs="SimHei"/>
          <w:sz w:val="27"/>
          <w:szCs w:val="27"/>
        </w:rPr>
      </w:pPr>
      <w:r>
        <w:rPr>
          <w:rFonts w:ascii="Times New Roman" w:hAnsi="Times New Roman" w:eastAsia="Times New Roman" w:cs="Times New Roman"/>
          <w:sz w:val="27"/>
          <w:szCs w:val="27"/>
          <w:spacing w:val="-5"/>
        </w:rPr>
        <w:t>3</w:t>
      </w:r>
      <w:r>
        <w:rPr>
          <w:rFonts w:ascii="SimHei" w:hAnsi="SimHei" w:eastAsia="SimHei" w:cs="SimHei"/>
          <w:sz w:val="27"/>
          <w:szCs w:val="27"/>
          <w:b/>
          <w:bCs/>
          <w:spacing w:val="-5"/>
        </w:rPr>
        <w:t>.1.1项目名称、建设性质</w:t>
      </w:r>
    </w:p>
    <w:p>
      <w:pPr>
        <w:ind w:left="578"/>
        <w:spacing w:before="217" w:line="219" w:lineRule="auto"/>
        <w:rPr>
          <w:rFonts w:ascii="SimSun" w:hAnsi="SimSun" w:eastAsia="SimSun" w:cs="SimSun"/>
          <w:sz w:val="23"/>
          <w:szCs w:val="23"/>
        </w:rPr>
      </w:pPr>
      <w:r>
        <w:rPr>
          <w:rFonts w:ascii="SimSun" w:hAnsi="SimSun" w:eastAsia="SimSun" w:cs="SimSun"/>
          <w:sz w:val="23"/>
          <w:szCs w:val="23"/>
          <w:b/>
          <w:bCs/>
          <w:spacing w:val="9"/>
        </w:rPr>
        <w:t>项目名称：</w:t>
      </w:r>
      <w:r>
        <w:rPr>
          <w:rFonts w:ascii="Times New Roman" w:hAnsi="Times New Roman" w:eastAsia="Times New Roman" w:cs="Times New Roman"/>
          <w:sz w:val="23"/>
          <w:szCs w:val="23"/>
          <w:spacing w:val="9"/>
        </w:rPr>
        <w:t>A</w:t>
      </w:r>
      <w:r>
        <w:rPr>
          <w:rFonts w:ascii="Times New Roman" w:hAnsi="Times New Roman" w:eastAsia="Times New Roman" w:cs="Times New Roman"/>
          <w:sz w:val="23"/>
          <w:szCs w:val="23"/>
          <w:spacing w:val="-22"/>
        </w:rPr>
        <w:t xml:space="preserve"> </w:t>
      </w:r>
      <w:r>
        <w:rPr>
          <w:rFonts w:ascii="SimSun" w:hAnsi="SimSun" w:eastAsia="SimSun" w:cs="SimSun"/>
          <w:sz w:val="23"/>
          <w:szCs w:val="23"/>
          <w:spacing w:val="9"/>
        </w:rPr>
        <w:t>级生猪、肉牛定点屠宰及食品加工</w:t>
      </w:r>
      <w:r>
        <w:rPr>
          <w:rFonts w:ascii="SimSun" w:hAnsi="SimSun" w:eastAsia="SimSun" w:cs="SimSun"/>
          <w:sz w:val="23"/>
          <w:szCs w:val="23"/>
          <w:spacing w:val="8"/>
        </w:rPr>
        <w:t>项目</w:t>
      </w:r>
    </w:p>
    <w:p>
      <w:pPr>
        <w:ind w:left="578"/>
        <w:spacing w:before="177" w:line="219" w:lineRule="auto"/>
        <w:rPr>
          <w:rFonts w:ascii="SimSun" w:hAnsi="SimSun" w:eastAsia="SimSun" w:cs="SimSun"/>
          <w:sz w:val="23"/>
          <w:szCs w:val="23"/>
        </w:rPr>
      </w:pPr>
      <w:r>
        <w:rPr>
          <w:rFonts w:ascii="SimSun" w:hAnsi="SimSun" w:eastAsia="SimSun" w:cs="SimSun"/>
          <w:sz w:val="23"/>
          <w:szCs w:val="23"/>
          <w:b/>
          <w:bCs/>
          <w:spacing w:val="6"/>
        </w:rPr>
        <w:t>建设性质：</w:t>
      </w:r>
      <w:r>
        <w:rPr>
          <w:rFonts w:ascii="SimSun" w:hAnsi="SimSun" w:eastAsia="SimSun" w:cs="SimSun"/>
          <w:sz w:val="23"/>
          <w:szCs w:val="23"/>
          <w:spacing w:val="6"/>
        </w:rPr>
        <w:t>改扩建</w:t>
      </w:r>
    </w:p>
    <w:p>
      <w:pPr>
        <w:ind w:left="578"/>
        <w:spacing w:before="187" w:line="219" w:lineRule="auto"/>
        <w:rPr>
          <w:rFonts w:ascii="SimSun" w:hAnsi="SimSun" w:eastAsia="SimSun" w:cs="SimSun"/>
          <w:sz w:val="23"/>
          <w:szCs w:val="23"/>
        </w:rPr>
      </w:pPr>
      <w:r>
        <w:rPr>
          <w:rFonts w:ascii="SimSun" w:hAnsi="SimSun" w:eastAsia="SimSun" w:cs="SimSun"/>
          <w:sz w:val="23"/>
          <w:szCs w:val="23"/>
          <w:b/>
          <w:bCs/>
          <w:spacing w:val="8"/>
        </w:rPr>
        <w:t>建设单位：</w:t>
      </w:r>
      <w:r>
        <w:rPr>
          <w:rFonts w:ascii="SimSun" w:hAnsi="SimSun" w:eastAsia="SimSun" w:cs="SimSun"/>
          <w:sz w:val="23"/>
          <w:szCs w:val="23"/>
          <w:spacing w:val="8"/>
        </w:rPr>
        <w:t>绵阳柒鑫食品有限公司</w:t>
      </w:r>
    </w:p>
    <w:p>
      <w:pPr>
        <w:ind w:left="578"/>
        <w:spacing w:before="214" w:line="212" w:lineRule="auto"/>
        <w:rPr>
          <w:rFonts w:ascii="Times New Roman" w:hAnsi="Times New Roman" w:eastAsia="Times New Roman" w:cs="Times New Roman"/>
          <w:sz w:val="23"/>
          <w:szCs w:val="23"/>
        </w:rPr>
      </w:pPr>
      <w:r>
        <w:rPr>
          <w:rFonts w:ascii="SimSun" w:hAnsi="SimSun" w:eastAsia="SimSun" w:cs="SimSun"/>
          <w:sz w:val="23"/>
          <w:szCs w:val="23"/>
          <w:b/>
          <w:bCs/>
          <w:spacing w:val="3"/>
        </w:rPr>
        <w:t>建设地点：</w:t>
      </w:r>
      <w:r>
        <w:rPr>
          <w:rFonts w:ascii="SimSun" w:hAnsi="SimSun" w:eastAsia="SimSun" w:cs="SimSun"/>
          <w:sz w:val="23"/>
          <w:szCs w:val="23"/>
          <w:spacing w:val="-55"/>
        </w:rPr>
        <w:t xml:space="preserve"> </w:t>
      </w:r>
      <w:r>
        <w:rPr>
          <w:rFonts w:ascii="SimSun" w:hAnsi="SimSun" w:eastAsia="SimSun" w:cs="SimSun"/>
          <w:sz w:val="23"/>
          <w:szCs w:val="23"/>
          <w:spacing w:val="3"/>
        </w:rPr>
        <w:t>四川绵阳安州工业园，中心经纬度</w:t>
      </w:r>
      <w:r>
        <w:rPr>
          <w:rFonts w:ascii="Times New Roman" w:hAnsi="Times New Roman" w:eastAsia="Times New Roman" w:cs="Times New Roman"/>
          <w:sz w:val="23"/>
          <w:szCs w:val="23"/>
          <w:spacing w:val="3"/>
        </w:rPr>
        <w:t>E:104.536812°,N:</w:t>
      </w:r>
    </w:p>
    <w:p>
      <w:pPr>
        <w:ind w:left="104"/>
        <w:spacing w:before="188" w:line="216" w:lineRule="auto"/>
        <w:rPr>
          <w:rFonts w:ascii="SimSun" w:hAnsi="SimSun" w:eastAsia="SimSun" w:cs="SimSun"/>
          <w:sz w:val="23"/>
          <w:szCs w:val="23"/>
        </w:rPr>
      </w:pPr>
      <w:r>
        <w:rPr>
          <w:rFonts w:ascii="SimSun" w:hAnsi="SimSun" w:eastAsia="SimSun" w:cs="SimSun"/>
          <w:sz w:val="23"/>
          <w:szCs w:val="23"/>
        </w:rPr>
        <w:t>31.539123°,地理位置见附图1。</w:t>
      </w:r>
    </w:p>
    <w:p>
      <w:pPr>
        <w:ind w:left="578"/>
        <w:spacing w:before="222" w:line="219" w:lineRule="auto"/>
        <w:rPr>
          <w:rFonts w:ascii="SimSun" w:hAnsi="SimSun" w:eastAsia="SimSun" w:cs="SimSun"/>
          <w:sz w:val="23"/>
          <w:szCs w:val="23"/>
        </w:rPr>
      </w:pPr>
      <w:r>
        <w:rPr>
          <w:rFonts w:ascii="SimSun" w:hAnsi="SimSun" w:eastAsia="SimSun" w:cs="SimSun"/>
          <w:sz w:val="23"/>
          <w:szCs w:val="23"/>
          <w:b/>
          <w:bCs/>
          <w:spacing w:val="8"/>
        </w:rPr>
        <w:t>总投资：</w:t>
      </w:r>
      <w:r>
        <w:rPr>
          <w:rFonts w:ascii="SimSun" w:hAnsi="SimSun" w:eastAsia="SimSun" w:cs="SimSun"/>
          <w:sz w:val="23"/>
          <w:szCs w:val="23"/>
          <w:spacing w:val="8"/>
        </w:rPr>
        <w:t>4600万元，资金主要来源于业主自筹</w:t>
      </w:r>
    </w:p>
    <w:p>
      <w:pPr>
        <w:ind w:left="578"/>
        <w:spacing w:before="173" w:line="212" w:lineRule="auto"/>
        <w:rPr>
          <w:rFonts w:ascii="Times New Roman" w:hAnsi="Times New Roman" w:eastAsia="Times New Roman" w:cs="Times New Roman"/>
          <w:sz w:val="23"/>
          <w:szCs w:val="23"/>
        </w:rPr>
      </w:pPr>
      <w:r>
        <w:rPr>
          <w:rFonts w:ascii="SimSun" w:hAnsi="SimSun" w:eastAsia="SimSun" w:cs="SimSun"/>
          <w:sz w:val="23"/>
          <w:szCs w:val="23"/>
          <w:b/>
          <w:bCs/>
          <w:spacing w:val="1"/>
        </w:rPr>
        <w:t>占地面积：</w:t>
      </w:r>
      <w:r>
        <w:rPr>
          <w:rFonts w:ascii="Times New Roman" w:hAnsi="Times New Roman" w:eastAsia="Times New Roman" w:cs="Times New Roman"/>
          <w:sz w:val="23"/>
          <w:szCs w:val="23"/>
          <w:spacing w:val="1"/>
        </w:rPr>
        <w:t>13340.12 m²  </w:t>
      </w:r>
      <w:r>
        <w:rPr>
          <w:rFonts w:ascii="SimSun" w:hAnsi="SimSun" w:eastAsia="SimSun" w:cs="SimSun"/>
          <w:sz w:val="23"/>
          <w:szCs w:val="23"/>
          <w:spacing w:val="1"/>
        </w:rPr>
        <w:t>(原项目6670</w:t>
      </w:r>
      <w:r>
        <w:rPr>
          <w:rFonts w:ascii="Times New Roman" w:hAnsi="Times New Roman" w:eastAsia="Times New Roman" w:cs="Times New Roman"/>
          <w:sz w:val="23"/>
          <w:szCs w:val="23"/>
          <w:spacing w:val="1"/>
        </w:rPr>
        <w:t>m²</w:t>
      </w:r>
      <w:r>
        <w:rPr>
          <w:rFonts w:ascii="Times New Roman" w:hAnsi="Times New Roman" w:eastAsia="Times New Roman" w:cs="Times New Roman"/>
          <w:sz w:val="23"/>
          <w:szCs w:val="23"/>
          <w:spacing w:val="-14"/>
        </w:rPr>
        <w:t xml:space="preserve"> </w:t>
      </w:r>
      <w:r>
        <w:rPr>
          <w:rFonts w:ascii="SimSun" w:hAnsi="SimSun" w:eastAsia="SimSun" w:cs="SimSun"/>
          <w:sz w:val="23"/>
          <w:szCs w:val="23"/>
          <w:spacing w:val="1"/>
        </w:rPr>
        <w:t>、新增6670.12</w:t>
      </w:r>
      <w:r>
        <w:rPr>
          <w:rFonts w:ascii="Times New Roman" w:hAnsi="Times New Roman" w:eastAsia="Times New Roman" w:cs="Times New Roman"/>
          <w:sz w:val="23"/>
          <w:szCs w:val="23"/>
          <w:spacing w:val="1"/>
        </w:rPr>
        <w:t>m²)</w:t>
      </w:r>
    </w:p>
    <w:p>
      <w:pPr>
        <w:ind w:left="104" w:right="133" w:firstLine="473"/>
        <w:spacing w:before="208" w:line="362" w:lineRule="auto"/>
        <w:rPr>
          <w:rFonts w:ascii="SimSun" w:hAnsi="SimSun" w:eastAsia="SimSun" w:cs="SimSun"/>
          <w:sz w:val="23"/>
          <w:szCs w:val="23"/>
        </w:rPr>
      </w:pPr>
      <w:r>
        <w:rPr>
          <w:rFonts w:ascii="SimSun" w:hAnsi="SimSun" w:eastAsia="SimSun" w:cs="SimSun"/>
          <w:sz w:val="23"/>
          <w:szCs w:val="23"/>
          <w:b/>
          <w:bCs/>
          <w:spacing w:val="28"/>
        </w:rPr>
        <w:t>劳动定员及工作制度：</w:t>
      </w:r>
      <w:r>
        <w:rPr>
          <w:rFonts w:ascii="SimSun" w:hAnsi="SimSun" w:eastAsia="SimSun" w:cs="SimSun"/>
          <w:sz w:val="23"/>
          <w:szCs w:val="23"/>
          <w:spacing w:val="-41"/>
        </w:rPr>
        <w:t xml:space="preserve"> </w:t>
      </w:r>
      <w:r>
        <w:rPr>
          <w:rFonts w:ascii="SimSun" w:hAnsi="SimSun" w:eastAsia="SimSun" w:cs="SimSun"/>
          <w:sz w:val="23"/>
          <w:szCs w:val="23"/>
          <w:spacing w:val="28"/>
        </w:rPr>
        <w:t>本项目建成后，全厂劳动定员200人(新增150</w:t>
      </w:r>
      <w:r>
        <w:rPr>
          <w:rFonts w:ascii="SimSun" w:hAnsi="SimSun" w:eastAsia="SimSun" w:cs="SimSun"/>
          <w:sz w:val="23"/>
          <w:szCs w:val="23"/>
        </w:rPr>
        <w:t xml:space="preserve"> </w:t>
      </w:r>
      <w:r>
        <w:rPr>
          <w:rFonts w:ascii="SimSun" w:hAnsi="SimSun" w:eastAsia="SimSun" w:cs="SimSun"/>
          <w:sz w:val="23"/>
          <w:szCs w:val="23"/>
          <w:spacing w:val="15"/>
        </w:rPr>
        <w:t>人),每天工作24</w:t>
      </w:r>
      <w:r>
        <w:rPr>
          <w:rFonts w:ascii="Times New Roman" w:hAnsi="Times New Roman" w:eastAsia="Times New Roman" w:cs="Times New Roman"/>
          <w:sz w:val="23"/>
          <w:szCs w:val="23"/>
          <w:spacing w:val="15"/>
        </w:rPr>
        <w:t>h,</w:t>
      </w:r>
      <w:r>
        <w:rPr>
          <w:rFonts w:ascii="Times New Roman" w:hAnsi="Times New Roman" w:eastAsia="Times New Roman" w:cs="Times New Roman"/>
          <w:sz w:val="23"/>
          <w:szCs w:val="23"/>
          <w:spacing w:val="2"/>
        </w:rPr>
        <w:t xml:space="preserve">   </w:t>
      </w:r>
      <w:r>
        <w:rPr>
          <w:rFonts w:ascii="SimSun" w:hAnsi="SimSun" w:eastAsia="SimSun" w:cs="SimSun"/>
          <w:sz w:val="23"/>
          <w:szCs w:val="23"/>
          <w:spacing w:val="15"/>
        </w:rPr>
        <w:t>年工作360天，分为淡季和旺季，具体工作制度</w:t>
      </w:r>
      <w:r>
        <w:rPr>
          <w:rFonts w:ascii="SimSun" w:hAnsi="SimSun" w:eastAsia="SimSun" w:cs="SimSun"/>
          <w:sz w:val="23"/>
          <w:szCs w:val="23"/>
          <w:spacing w:val="14"/>
        </w:rPr>
        <w:t>如下。</w:t>
      </w:r>
    </w:p>
    <w:p>
      <w:pPr>
        <w:ind w:left="3178"/>
        <w:spacing w:before="1" w:line="213" w:lineRule="auto"/>
        <w:rPr>
          <w:rFonts w:ascii="SimSun" w:hAnsi="SimSun" w:eastAsia="SimSun" w:cs="SimSun"/>
          <w:sz w:val="24"/>
          <w:szCs w:val="24"/>
        </w:rPr>
      </w:pPr>
      <w:r>
        <w:rPr>
          <w:rFonts w:ascii="SimSun" w:hAnsi="SimSun" w:eastAsia="SimSun" w:cs="SimSun"/>
          <w:sz w:val="24"/>
          <w:szCs w:val="24"/>
          <w:b/>
          <w:bCs/>
          <w:spacing w:val="-4"/>
        </w:rPr>
        <w:t>表3.1-1项目工作制度</w:t>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944"/>
        <w:gridCol w:w="1398"/>
        <w:gridCol w:w="1099"/>
        <w:gridCol w:w="1388"/>
        <w:gridCol w:w="879"/>
        <w:gridCol w:w="2801"/>
      </w:tblGrid>
      <w:tr>
        <w:trPr>
          <w:trHeight w:val="284" w:hRule="atLeast"/>
        </w:trPr>
        <w:tc>
          <w:tcPr>
            <w:shd w:val="clear" w:fill="BDBDBD"/>
            <w:tcW w:w="944" w:type="dxa"/>
            <w:vAlign w:val="top"/>
          </w:tcPr>
          <w:p>
            <w:pPr>
              <w:pStyle w:val="TableText"/>
              <w:ind w:left="48"/>
              <w:spacing w:before="40" w:line="205" w:lineRule="auto"/>
              <w:rPr>
                <w:sz w:val="21"/>
                <w:szCs w:val="21"/>
              </w:rPr>
            </w:pPr>
            <w:r>
              <w:rPr>
                <w:sz w:val="21"/>
                <w:szCs w:val="21"/>
                <w:b/>
                <w:bCs/>
              </w:rPr>
              <w:t>屠宰类别</w:t>
            </w:r>
          </w:p>
        </w:tc>
        <w:tc>
          <w:tcPr>
            <w:shd w:val="clear" w:fill="BDBDBD"/>
            <w:tcW w:w="1398" w:type="dxa"/>
            <w:vAlign w:val="top"/>
          </w:tcPr>
          <w:p>
            <w:pPr>
              <w:pStyle w:val="TableText"/>
              <w:ind w:left="484"/>
              <w:spacing w:before="40" w:line="205" w:lineRule="auto"/>
              <w:rPr>
                <w:sz w:val="21"/>
                <w:szCs w:val="21"/>
              </w:rPr>
            </w:pPr>
            <w:r>
              <w:rPr>
                <w:sz w:val="21"/>
                <w:szCs w:val="21"/>
                <w:b/>
                <w:bCs/>
                <w:spacing w:val="1"/>
              </w:rPr>
              <w:t>时期</w:t>
            </w:r>
          </w:p>
        </w:tc>
        <w:tc>
          <w:tcPr>
            <w:shd w:val="clear" w:fill="BDBDBD"/>
            <w:tcW w:w="1099" w:type="dxa"/>
            <w:vAlign w:val="top"/>
          </w:tcPr>
          <w:p>
            <w:pPr>
              <w:pStyle w:val="TableText"/>
              <w:ind w:left="106"/>
              <w:spacing w:before="40" w:line="205" w:lineRule="auto"/>
              <w:rPr>
                <w:sz w:val="21"/>
                <w:szCs w:val="21"/>
              </w:rPr>
            </w:pPr>
            <w:r>
              <w:rPr>
                <w:sz w:val="21"/>
                <w:szCs w:val="21"/>
                <w:b/>
                <w:bCs/>
                <w:spacing w:val="-4"/>
              </w:rPr>
              <w:t>屠宰天数</w:t>
            </w:r>
          </w:p>
        </w:tc>
        <w:tc>
          <w:tcPr>
            <w:shd w:val="clear" w:fill="BDBDBD"/>
            <w:tcW w:w="1388" w:type="dxa"/>
            <w:vAlign w:val="top"/>
          </w:tcPr>
          <w:p>
            <w:pPr>
              <w:pStyle w:val="TableText"/>
              <w:ind w:left="266"/>
              <w:spacing w:before="40" w:line="205" w:lineRule="auto"/>
              <w:rPr>
                <w:sz w:val="21"/>
                <w:szCs w:val="21"/>
              </w:rPr>
            </w:pPr>
            <w:r>
              <w:rPr>
                <w:sz w:val="21"/>
                <w:szCs w:val="21"/>
                <w:b/>
                <w:bCs/>
                <w:spacing w:val="-4"/>
              </w:rPr>
              <w:t>屠宰规模</w:t>
            </w:r>
          </w:p>
        </w:tc>
        <w:tc>
          <w:tcPr>
            <w:shd w:val="clear" w:fill="BDBDBD"/>
            <w:tcW w:w="879" w:type="dxa"/>
            <w:vAlign w:val="top"/>
          </w:tcPr>
          <w:p>
            <w:pPr>
              <w:pStyle w:val="TableText"/>
              <w:ind w:left="228"/>
              <w:spacing w:before="40" w:line="205" w:lineRule="auto"/>
              <w:rPr>
                <w:sz w:val="21"/>
                <w:szCs w:val="21"/>
              </w:rPr>
            </w:pPr>
            <w:r>
              <w:rPr>
                <w:sz w:val="21"/>
                <w:szCs w:val="21"/>
                <w:b/>
                <w:bCs/>
                <w:spacing w:val="-5"/>
              </w:rPr>
              <w:t>班次</w:t>
            </w:r>
          </w:p>
        </w:tc>
        <w:tc>
          <w:tcPr>
            <w:shd w:val="clear" w:fill="BDBDBD"/>
            <w:tcW w:w="2801" w:type="dxa"/>
            <w:vAlign w:val="top"/>
          </w:tcPr>
          <w:p>
            <w:pPr>
              <w:pStyle w:val="TableText"/>
              <w:ind w:left="1060"/>
              <w:spacing w:before="41" w:line="204" w:lineRule="auto"/>
              <w:rPr>
                <w:sz w:val="21"/>
                <w:szCs w:val="21"/>
              </w:rPr>
            </w:pPr>
            <w:r>
              <w:rPr>
                <w:sz w:val="21"/>
                <w:szCs w:val="21"/>
                <w:b/>
                <w:bCs/>
                <w:spacing w:val="-2"/>
              </w:rPr>
              <w:t>时间段</w:t>
            </w:r>
          </w:p>
        </w:tc>
      </w:tr>
      <w:tr>
        <w:trPr>
          <w:trHeight w:val="538" w:hRule="atLeast"/>
        </w:trPr>
        <w:tc>
          <w:tcPr>
            <w:tcW w:w="944" w:type="dxa"/>
            <w:vAlign w:val="top"/>
            <w:vMerge w:val="restart"/>
            <w:tcBorders>
              <w:bottom w:val="nil"/>
            </w:tcBorders>
          </w:tcPr>
          <w:p>
            <w:pPr>
              <w:spacing w:line="379" w:lineRule="auto"/>
              <w:rPr>
                <w:rFonts w:ascii="Arial"/>
                <w:sz w:val="21"/>
              </w:rPr>
            </w:pPr>
            <w:r/>
          </w:p>
          <w:p>
            <w:pPr>
              <w:pStyle w:val="TableText"/>
              <w:ind w:left="254"/>
              <w:spacing w:before="68" w:line="220" w:lineRule="auto"/>
              <w:rPr>
                <w:sz w:val="21"/>
                <w:szCs w:val="21"/>
              </w:rPr>
            </w:pPr>
            <w:r>
              <w:rPr>
                <w:sz w:val="21"/>
                <w:szCs w:val="21"/>
                <w:spacing w:val="-3"/>
              </w:rPr>
              <w:t>生猪</w:t>
            </w:r>
          </w:p>
        </w:tc>
        <w:tc>
          <w:tcPr>
            <w:tcW w:w="1398" w:type="dxa"/>
            <w:vAlign w:val="top"/>
          </w:tcPr>
          <w:p>
            <w:pPr>
              <w:pStyle w:val="TableText"/>
              <w:ind w:left="481"/>
              <w:spacing w:before="38" w:line="219" w:lineRule="auto"/>
              <w:rPr>
                <w:sz w:val="21"/>
                <w:szCs w:val="21"/>
              </w:rPr>
            </w:pPr>
            <w:r>
              <w:rPr>
                <w:sz w:val="21"/>
                <w:szCs w:val="21"/>
                <w:color w:val="605060"/>
                <w:spacing w:val="4"/>
              </w:rPr>
              <w:t>淡季</w:t>
            </w:r>
          </w:p>
          <w:p>
            <w:pPr>
              <w:pStyle w:val="TableText"/>
              <w:ind w:left="211"/>
              <w:spacing w:before="12" w:line="201" w:lineRule="auto"/>
              <w:rPr>
                <w:sz w:val="21"/>
                <w:szCs w:val="21"/>
              </w:rPr>
            </w:pPr>
            <w:r>
              <w:rPr>
                <w:sz w:val="21"/>
                <w:szCs w:val="21"/>
                <w:spacing w:val="7"/>
              </w:rPr>
              <w:t>(1月~9月)</w:t>
            </w:r>
          </w:p>
        </w:tc>
        <w:tc>
          <w:tcPr>
            <w:tcW w:w="1099" w:type="dxa"/>
            <w:vAlign w:val="top"/>
          </w:tcPr>
          <w:p>
            <w:pPr>
              <w:pStyle w:val="TableText"/>
              <w:ind w:left="12"/>
              <w:spacing w:before="172" w:line="222" w:lineRule="auto"/>
              <w:rPr>
                <w:sz w:val="21"/>
                <w:szCs w:val="21"/>
              </w:rPr>
            </w:pPr>
            <w:r>
              <w:rPr>
                <w:sz w:val="21"/>
                <w:szCs w:val="21"/>
                <w:spacing w:val="-2"/>
              </w:rPr>
              <w:t>270(d/a)</w:t>
            </w:r>
          </w:p>
        </w:tc>
        <w:tc>
          <w:tcPr>
            <w:tcW w:w="1388" w:type="dxa"/>
            <w:vAlign w:val="top"/>
          </w:tcPr>
          <w:p>
            <w:pPr>
              <w:pStyle w:val="TableText"/>
              <w:ind w:left="163"/>
              <w:spacing w:before="169" w:line="219" w:lineRule="auto"/>
              <w:rPr>
                <w:sz w:val="21"/>
                <w:szCs w:val="21"/>
              </w:rPr>
            </w:pPr>
            <w:r>
              <w:rPr>
                <w:sz w:val="21"/>
                <w:szCs w:val="21"/>
                <w:spacing w:val="5"/>
              </w:rPr>
              <w:t>1000(头/d)</w:t>
            </w:r>
          </w:p>
        </w:tc>
        <w:tc>
          <w:tcPr>
            <w:tcW w:w="879" w:type="dxa"/>
            <w:vAlign w:val="top"/>
            <w:vMerge w:val="restart"/>
            <w:tcBorders>
              <w:bottom w:val="nil"/>
            </w:tcBorders>
          </w:tcPr>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pStyle w:val="TableText"/>
              <w:ind w:left="114" w:hanging="99"/>
              <w:spacing w:before="68" w:line="286" w:lineRule="auto"/>
              <w:rPr>
                <w:sz w:val="21"/>
                <w:szCs w:val="21"/>
              </w:rPr>
            </w:pPr>
            <w:r>
              <w:rPr>
                <w:sz w:val="21"/>
                <w:szCs w:val="21"/>
                <w:spacing w:val="3"/>
              </w:rPr>
              <w:t>每天工作</w:t>
            </w:r>
            <w:r>
              <w:rPr>
                <w:sz w:val="21"/>
                <w:szCs w:val="21"/>
              </w:rPr>
              <w:t xml:space="preserve"> </w:t>
            </w:r>
            <w:r>
              <w:rPr>
                <w:sz w:val="21"/>
                <w:szCs w:val="21"/>
                <w:spacing w:val="-2"/>
              </w:rPr>
              <w:t>8h-16h</w:t>
            </w:r>
          </w:p>
        </w:tc>
        <w:tc>
          <w:tcPr>
            <w:tcW w:w="2801" w:type="dxa"/>
            <w:vAlign w:val="top"/>
          </w:tcPr>
          <w:p>
            <w:pPr>
              <w:pStyle w:val="TableText"/>
              <w:ind w:left="27" w:right="59" w:firstLine="39"/>
              <w:spacing w:before="50" w:line="210" w:lineRule="auto"/>
              <w:rPr>
                <w:sz w:val="21"/>
                <w:szCs w:val="21"/>
              </w:rPr>
            </w:pPr>
            <w:r>
              <w:rPr>
                <w:sz w:val="21"/>
                <w:szCs w:val="21"/>
                <w:spacing w:val="2"/>
              </w:rPr>
              <w:t>屠宰时段为22:00~次日6:00; </w:t>
            </w:r>
            <w:r>
              <w:rPr>
                <w:sz w:val="21"/>
                <w:szCs w:val="21"/>
                <w:spacing w:val="-1"/>
              </w:rPr>
              <w:t>生猪入场时间为10:00~18:00</w:t>
            </w:r>
          </w:p>
        </w:tc>
      </w:tr>
      <w:tr>
        <w:trPr>
          <w:trHeight w:val="557" w:hRule="atLeast"/>
        </w:trPr>
        <w:tc>
          <w:tcPr>
            <w:tcW w:w="944" w:type="dxa"/>
            <w:vAlign w:val="top"/>
            <w:vMerge w:val="continue"/>
            <w:tcBorders>
              <w:top w:val="nil"/>
            </w:tcBorders>
          </w:tcPr>
          <w:p>
            <w:pPr>
              <w:rPr>
                <w:rFonts w:ascii="Arial"/>
                <w:sz w:val="21"/>
              </w:rPr>
            </w:pPr>
            <w:r/>
          </w:p>
        </w:tc>
        <w:tc>
          <w:tcPr>
            <w:tcW w:w="1398" w:type="dxa"/>
            <w:vAlign w:val="top"/>
          </w:tcPr>
          <w:p>
            <w:pPr>
              <w:pStyle w:val="TableText"/>
              <w:ind w:left="481"/>
              <w:spacing w:before="41" w:line="219" w:lineRule="auto"/>
              <w:rPr>
                <w:sz w:val="21"/>
                <w:szCs w:val="21"/>
              </w:rPr>
            </w:pPr>
            <w:r>
              <w:rPr>
                <w:sz w:val="21"/>
                <w:szCs w:val="21"/>
                <w:color w:val="505060"/>
                <w:spacing w:val="4"/>
              </w:rPr>
              <w:t>旺季</w:t>
            </w:r>
          </w:p>
          <w:p>
            <w:pPr>
              <w:pStyle w:val="TableText"/>
              <w:ind w:left="110"/>
              <w:spacing w:before="20" w:line="207" w:lineRule="auto"/>
              <w:rPr>
                <w:sz w:val="21"/>
                <w:szCs w:val="21"/>
              </w:rPr>
            </w:pPr>
            <w:r>
              <w:rPr>
                <w:sz w:val="21"/>
                <w:szCs w:val="21"/>
                <w:spacing w:val="4"/>
              </w:rPr>
              <w:t>(10月~12月)</w:t>
            </w:r>
          </w:p>
        </w:tc>
        <w:tc>
          <w:tcPr>
            <w:tcW w:w="1099" w:type="dxa"/>
            <w:vAlign w:val="top"/>
          </w:tcPr>
          <w:p>
            <w:pPr>
              <w:pStyle w:val="TableText"/>
              <w:ind w:left="12"/>
              <w:spacing w:before="185" w:line="222" w:lineRule="auto"/>
              <w:rPr>
                <w:sz w:val="21"/>
                <w:szCs w:val="21"/>
              </w:rPr>
            </w:pPr>
            <w:r>
              <w:rPr>
                <w:sz w:val="21"/>
                <w:szCs w:val="21"/>
                <w:spacing w:val="-2"/>
              </w:rPr>
              <w:t>90(d/a)</w:t>
            </w:r>
          </w:p>
        </w:tc>
        <w:tc>
          <w:tcPr>
            <w:tcW w:w="1388" w:type="dxa"/>
            <w:vAlign w:val="top"/>
          </w:tcPr>
          <w:p>
            <w:pPr>
              <w:pStyle w:val="TableText"/>
              <w:ind w:left="163"/>
              <w:spacing w:before="181" w:line="219" w:lineRule="auto"/>
              <w:rPr>
                <w:sz w:val="21"/>
                <w:szCs w:val="21"/>
              </w:rPr>
            </w:pPr>
            <w:r>
              <w:rPr>
                <w:sz w:val="21"/>
                <w:szCs w:val="21"/>
                <w:spacing w:val="5"/>
              </w:rPr>
              <w:t>1444(头/d)</w:t>
            </w:r>
          </w:p>
        </w:tc>
        <w:tc>
          <w:tcPr>
            <w:tcW w:w="879" w:type="dxa"/>
            <w:vAlign w:val="top"/>
            <w:vMerge w:val="continue"/>
            <w:tcBorders>
              <w:top w:val="nil"/>
              <w:bottom w:val="nil"/>
            </w:tcBorders>
          </w:tcPr>
          <w:p>
            <w:pPr>
              <w:rPr>
                <w:rFonts w:ascii="Arial"/>
                <w:sz w:val="21"/>
              </w:rPr>
            </w:pPr>
            <w:r/>
          </w:p>
        </w:tc>
        <w:tc>
          <w:tcPr>
            <w:tcW w:w="2801" w:type="dxa"/>
            <w:vAlign w:val="top"/>
          </w:tcPr>
          <w:p>
            <w:pPr>
              <w:pStyle w:val="TableText"/>
              <w:ind w:left="27" w:right="69" w:firstLine="29"/>
              <w:spacing w:before="41" w:line="222" w:lineRule="auto"/>
              <w:rPr>
                <w:sz w:val="21"/>
                <w:szCs w:val="21"/>
              </w:rPr>
            </w:pPr>
            <w:r>
              <w:rPr>
                <w:sz w:val="21"/>
                <w:szCs w:val="21"/>
                <w:spacing w:val="2"/>
              </w:rPr>
              <w:t>屠宰时段为22:00~次日6:00; </w:t>
            </w:r>
            <w:r>
              <w:rPr>
                <w:sz w:val="21"/>
                <w:szCs w:val="21"/>
                <w:spacing w:val="-1"/>
              </w:rPr>
              <w:t>生猪入场时间为10:00~18:00</w:t>
            </w:r>
          </w:p>
        </w:tc>
      </w:tr>
      <w:tr>
        <w:trPr>
          <w:trHeight w:val="538" w:hRule="atLeast"/>
        </w:trPr>
        <w:tc>
          <w:tcPr>
            <w:tcW w:w="944" w:type="dxa"/>
            <w:vAlign w:val="top"/>
            <w:vMerge w:val="restart"/>
            <w:tcBorders>
              <w:bottom w:val="nil"/>
            </w:tcBorders>
          </w:tcPr>
          <w:p>
            <w:pPr>
              <w:spacing w:line="375" w:lineRule="auto"/>
              <w:rPr>
                <w:rFonts w:ascii="Arial"/>
                <w:sz w:val="21"/>
              </w:rPr>
            </w:pPr>
            <w:r/>
          </w:p>
          <w:p>
            <w:pPr>
              <w:pStyle w:val="TableText"/>
              <w:ind w:left="254"/>
              <w:spacing w:before="68" w:line="221" w:lineRule="auto"/>
              <w:rPr>
                <w:sz w:val="21"/>
                <w:szCs w:val="21"/>
              </w:rPr>
            </w:pPr>
            <w:r>
              <w:rPr>
                <w:sz w:val="21"/>
                <w:szCs w:val="21"/>
                <w:spacing w:val="6"/>
              </w:rPr>
              <w:t>肉牛</w:t>
            </w:r>
          </w:p>
        </w:tc>
        <w:tc>
          <w:tcPr>
            <w:tcW w:w="1398" w:type="dxa"/>
            <w:vAlign w:val="top"/>
          </w:tcPr>
          <w:p>
            <w:pPr>
              <w:pStyle w:val="TableText"/>
              <w:ind w:left="481"/>
              <w:spacing w:before="13" w:line="219" w:lineRule="auto"/>
              <w:rPr>
                <w:sz w:val="21"/>
                <w:szCs w:val="21"/>
              </w:rPr>
            </w:pPr>
            <w:r>
              <w:rPr>
                <w:sz w:val="21"/>
                <w:szCs w:val="21"/>
                <w:spacing w:val="4"/>
              </w:rPr>
              <w:t>淡季</w:t>
            </w:r>
          </w:p>
          <w:p>
            <w:pPr>
              <w:pStyle w:val="TableText"/>
              <w:ind w:left="191"/>
              <w:spacing w:before="22" w:line="214" w:lineRule="auto"/>
              <w:rPr>
                <w:sz w:val="21"/>
                <w:szCs w:val="21"/>
              </w:rPr>
            </w:pPr>
            <w:r>
              <w:rPr>
                <w:sz w:val="21"/>
                <w:szCs w:val="21"/>
                <w:spacing w:val="5"/>
              </w:rPr>
              <w:t>(1月~9月)</w:t>
            </w:r>
          </w:p>
        </w:tc>
        <w:tc>
          <w:tcPr>
            <w:tcW w:w="1099" w:type="dxa"/>
            <w:vAlign w:val="top"/>
          </w:tcPr>
          <w:p>
            <w:pPr>
              <w:pStyle w:val="TableText"/>
              <w:ind w:left="12"/>
              <w:spacing w:before="177" w:line="222" w:lineRule="auto"/>
              <w:rPr>
                <w:sz w:val="21"/>
                <w:szCs w:val="21"/>
              </w:rPr>
            </w:pPr>
            <w:r>
              <w:rPr>
                <w:sz w:val="21"/>
                <w:szCs w:val="21"/>
                <w:spacing w:val="-2"/>
              </w:rPr>
              <w:t>270(d/a)</w:t>
            </w:r>
          </w:p>
        </w:tc>
        <w:tc>
          <w:tcPr>
            <w:tcW w:w="1388" w:type="dxa"/>
            <w:vAlign w:val="top"/>
          </w:tcPr>
          <w:p>
            <w:pPr>
              <w:pStyle w:val="TableText"/>
              <w:ind w:left="213"/>
              <w:spacing w:before="174" w:line="219" w:lineRule="auto"/>
              <w:rPr>
                <w:sz w:val="21"/>
                <w:szCs w:val="21"/>
              </w:rPr>
            </w:pPr>
            <w:r>
              <w:rPr>
                <w:sz w:val="21"/>
                <w:szCs w:val="21"/>
                <w:spacing w:val="5"/>
              </w:rPr>
              <w:t>100(头/d)</w:t>
            </w:r>
          </w:p>
        </w:tc>
        <w:tc>
          <w:tcPr>
            <w:tcW w:w="879" w:type="dxa"/>
            <w:vAlign w:val="top"/>
            <w:vMerge w:val="continue"/>
            <w:tcBorders>
              <w:top w:val="nil"/>
              <w:bottom w:val="nil"/>
            </w:tcBorders>
          </w:tcPr>
          <w:p>
            <w:pPr>
              <w:rPr>
                <w:rFonts w:ascii="Arial"/>
                <w:sz w:val="21"/>
              </w:rPr>
            </w:pPr>
            <w:r/>
          </w:p>
        </w:tc>
        <w:tc>
          <w:tcPr>
            <w:tcW w:w="2801" w:type="dxa"/>
            <w:vAlign w:val="top"/>
          </w:tcPr>
          <w:p>
            <w:pPr>
              <w:pStyle w:val="TableText"/>
              <w:ind w:left="47" w:right="59" w:firstLine="19"/>
              <w:spacing w:before="43" w:line="213" w:lineRule="auto"/>
              <w:rPr>
                <w:sz w:val="21"/>
                <w:szCs w:val="21"/>
              </w:rPr>
            </w:pPr>
            <w:r>
              <w:rPr>
                <w:sz w:val="21"/>
                <w:szCs w:val="21"/>
                <w:spacing w:val="2"/>
              </w:rPr>
              <w:t>屠宰时段为22:00~次日6:00; </w:t>
            </w:r>
            <w:r>
              <w:rPr>
                <w:sz w:val="21"/>
                <w:szCs w:val="21"/>
              </w:rPr>
              <w:t>肉牛入场时间为10:00~18:00</w:t>
            </w:r>
          </w:p>
        </w:tc>
      </w:tr>
      <w:tr>
        <w:trPr>
          <w:trHeight w:val="543" w:hRule="atLeast"/>
        </w:trPr>
        <w:tc>
          <w:tcPr>
            <w:tcW w:w="944" w:type="dxa"/>
            <w:vAlign w:val="top"/>
            <w:vMerge w:val="continue"/>
            <w:tcBorders>
              <w:top w:val="nil"/>
            </w:tcBorders>
          </w:tcPr>
          <w:p>
            <w:pPr>
              <w:rPr>
                <w:rFonts w:ascii="Arial"/>
                <w:sz w:val="21"/>
              </w:rPr>
            </w:pPr>
            <w:r/>
          </w:p>
        </w:tc>
        <w:tc>
          <w:tcPr>
            <w:tcW w:w="1398" w:type="dxa"/>
            <w:vAlign w:val="top"/>
          </w:tcPr>
          <w:p>
            <w:pPr>
              <w:pStyle w:val="TableText"/>
              <w:ind w:left="481"/>
              <w:spacing w:before="36" w:line="219" w:lineRule="auto"/>
              <w:rPr>
                <w:sz w:val="21"/>
                <w:szCs w:val="21"/>
              </w:rPr>
            </w:pPr>
            <w:r>
              <w:rPr>
                <w:sz w:val="21"/>
                <w:szCs w:val="21"/>
                <w:color w:val="505060"/>
                <w:spacing w:val="4"/>
              </w:rPr>
              <w:t>旺季</w:t>
            </w:r>
          </w:p>
          <w:p>
            <w:pPr>
              <w:pStyle w:val="TableText"/>
              <w:ind w:left="110"/>
              <w:spacing w:before="20" w:line="199" w:lineRule="auto"/>
              <w:rPr>
                <w:sz w:val="21"/>
                <w:szCs w:val="21"/>
              </w:rPr>
            </w:pPr>
            <w:r>
              <w:rPr>
                <w:sz w:val="21"/>
                <w:szCs w:val="21"/>
                <w:spacing w:val="4"/>
              </w:rPr>
              <w:t>(10月~12月)</w:t>
            </w:r>
          </w:p>
        </w:tc>
        <w:tc>
          <w:tcPr>
            <w:tcW w:w="1099" w:type="dxa"/>
            <w:vAlign w:val="top"/>
          </w:tcPr>
          <w:p>
            <w:pPr>
              <w:pStyle w:val="TableText"/>
              <w:ind w:left="12"/>
              <w:spacing w:before="179" w:line="222" w:lineRule="auto"/>
              <w:rPr>
                <w:sz w:val="21"/>
                <w:szCs w:val="21"/>
              </w:rPr>
            </w:pPr>
            <w:r>
              <w:rPr>
                <w:sz w:val="21"/>
                <w:szCs w:val="21"/>
                <w:spacing w:val="-2"/>
              </w:rPr>
              <w:t>90(d/a)</w:t>
            </w:r>
          </w:p>
        </w:tc>
        <w:tc>
          <w:tcPr>
            <w:tcW w:w="1388" w:type="dxa"/>
            <w:vAlign w:val="top"/>
          </w:tcPr>
          <w:p>
            <w:pPr>
              <w:pStyle w:val="TableText"/>
              <w:ind w:left="213"/>
              <w:spacing w:before="176" w:line="219" w:lineRule="auto"/>
              <w:rPr>
                <w:sz w:val="21"/>
                <w:szCs w:val="21"/>
              </w:rPr>
            </w:pPr>
            <w:r>
              <w:rPr>
                <w:sz w:val="21"/>
                <w:szCs w:val="21"/>
                <w:spacing w:val="5"/>
              </w:rPr>
              <w:t>144(头/d)</w:t>
            </w:r>
          </w:p>
        </w:tc>
        <w:tc>
          <w:tcPr>
            <w:tcW w:w="879" w:type="dxa"/>
            <w:vAlign w:val="top"/>
            <w:vMerge w:val="continue"/>
            <w:tcBorders>
              <w:top w:val="nil"/>
            </w:tcBorders>
          </w:tcPr>
          <w:p>
            <w:pPr>
              <w:rPr>
                <w:rFonts w:ascii="Arial"/>
                <w:sz w:val="21"/>
              </w:rPr>
            </w:pPr>
            <w:r/>
          </w:p>
        </w:tc>
        <w:tc>
          <w:tcPr>
            <w:tcW w:w="2801" w:type="dxa"/>
            <w:vAlign w:val="top"/>
          </w:tcPr>
          <w:p>
            <w:pPr>
              <w:pStyle w:val="TableText"/>
              <w:ind w:left="27" w:right="69" w:firstLine="29"/>
              <w:spacing w:before="46" w:line="214" w:lineRule="auto"/>
              <w:rPr>
                <w:sz w:val="21"/>
                <w:szCs w:val="21"/>
              </w:rPr>
            </w:pPr>
            <w:r>
              <w:rPr>
                <w:sz w:val="21"/>
                <w:szCs w:val="21"/>
                <w:spacing w:val="2"/>
              </w:rPr>
              <w:t>屠宰时段为22:00~次日6:00; </w:t>
            </w:r>
            <w:r>
              <w:rPr>
                <w:sz w:val="21"/>
                <w:szCs w:val="21"/>
              </w:rPr>
              <w:t>肉牛入场时间为10:00~18:00</w:t>
            </w:r>
          </w:p>
        </w:tc>
      </w:tr>
    </w:tbl>
    <w:p>
      <w:pPr>
        <w:ind w:left="118"/>
        <w:spacing w:before="71" w:line="219" w:lineRule="auto"/>
        <w:rPr>
          <w:rFonts w:ascii="SimSun" w:hAnsi="SimSun" w:eastAsia="SimSun" w:cs="SimSun"/>
          <w:sz w:val="24"/>
          <w:szCs w:val="24"/>
        </w:rPr>
      </w:pPr>
      <w:r>
        <w:rPr>
          <w:rFonts w:ascii="SimSun" w:hAnsi="SimSun" w:eastAsia="SimSun" w:cs="SimSun"/>
          <w:sz w:val="24"/>
          <w:szCs w:val="24"/>
          <w:b/>
          <w:bCs/>
          <w:spacing w:val="-4"/>
        </w:rPr>
        <w:t>3.1.2建设内容及规模</w:t>
      </w:r>
    </w:p>
    <w:p>
      <w:pPr>
        <w:ind w:left="104" w:right="95" w:firstLine="470"/>
        <w:spacing w:before="298" w:line="359" w:lineRule="auto"/>
        <w:jc w:val="both"/>
        <w:rPr>
          <w:rFonts w:ascii="SimSun" w:hAnsi="SimSun" w:eastAsia="SimSun" w:cs="SimSun"/>
          <w:sz w:val="23"/>
          <w:szCs w:val="23"/>
        </w:rPr>
      </w:pPr>
      <w:r>
        <w:rPr>
          <w:rFonts w:ascii="SimSun" w:hAnsi="SimSun" w:eastAsia="SimSun" w:cs="SimSun"/>
          <w:sz w:val="23"/>
          <w:szCs w:val="23"/>
          <w:spacing w:val="15"/>
        </w:rPr>
        <w:t>绵阳柒鑫食品有限公司拟对原有厂房进行改扩建，将原</w:t>
      </w:r>
      <w:r>
        <w:rPr>
          <w:rFonts w:ascii="SimSun" w:hAnsi="SimSun" w:eastAsia="SimSun" w:cs="SimSun"/>
          <w:sz w:val="23"/>
          <w:szCs w:val="23"/>
          <w:spacing w:val="14"/>
        </w:rPr>
        <w:t>有厂房改建成肉牛</w:t>
      </w:r>
      <w:r>
        <w:rPr>
          <w:rFonts w:ascii="SimSun" w:hAnsi="SimSun" w:eastAsia="SimSun" w:cs="SimSun"/>
          <w:sz w:val="23"/>
          <w:szCs w:val="23"/>
        </w:rPr>
        <w:t xml:space="preserve"> </w:t>
      </w:r>
      <w:r>
        <w:rPr>
          <w:rFonts w:ascii="SimSun" w:hAnsi="SimSun" w:eastAsia="SimSun" w:cs="SimSun"/>
          <w:sz w:val="23"/>
          <w:szCs w:val="23"/>
          <w:spacing w:val="11"/>
        </w:rPr>
        <w:t>待宰圈舍、屠宰车间，预计建成后年屠宰肉牛规模将</w:t>
      </w:r>
      <w:r>
        <w:rPr>
          <w:rFonts w:ascii="SimSun" w:hAnsi="SimSun" w:eastAsia="SimSun" w:cs="SimSun"/>
          <w:sz w:val="23"/>
          <w:szCs w:val="23"/>
          <w:spacing w:val="10"/>
        </w:rPr>
        <w:t>达到4万头，同时在紧挨原</w:t>
      </w:r>
      <w:r>
        <w:rPr>
          <w:rFonts w:ascii="SimSun" w:hAnsi="SimSun" w:eastAsia="SimSun" w:cs="SimSun"/>
          <w:sz w:val="23"/>
          <w:szCs w:val="23"/>
        </w:rPr>
        <w:t xml:space="preserve"> </w:t>
      </w:r>
      <w:r>
        <w:rPr>
          <w:rFonts w:ascii="SimSun" w:hAnsi="SimSun" w:eastAsia="SimSun" w:cs="SimSun"/>
          <w:sz w:val="23"/>
          <w:szCs w:val="23"/>
          <w:spacing w:val="16"/>
        </w:rPr>
        <w:t>有厂房东北侧新购置土地，规划用地面积为6670.12平方米，建筑总面积约为</w:t>
      </w:r>
      <w:r>
        <w:rPr>
          <w:rFonts w:ascii="SimSun" w:hAnsi="SimSun" w:eastAsia="SimSun" w:cs="SimSun"/>
          <w:sz w:val="23"/>
          <w:szCs w:val="23"/>
          <w:spacing w:val="4"/>
        </w:rPr>
        <w:t xml:space="preserve"> </w:t>
      </w:r>
      <w:r>
        <w:rPr>
          <w:rFonts w:ascii="SimSun" w:hAnsi="SimSun" w:eastAsia="SimSun" w:cs="SimSun"/>
          <w:sz w:val="23"/>
          <w:szCs w:val="23"/>
          <w:spacing w:val="14"/>
        </w:rPr>
        <w:t>8500平方米，在新购置土地上修建生猪待宰圈舍、屠宰车间、交</w:t>
      </w:r>
      <w:r>
        <w:rPr>
          <w:rFonts w:ascii="SimSun" w:hAnsi="SimSun" w:eastAsia="SimSun" w:cs="SimSun"/>
          <w:sz w:val="23"/>
          <w:szCs w:val="23"/>
          <w:spacing w:val="13"/>
        </w:rPr>
        <w:t>易区、污水处</w:t>
      </w:r>
      <w:r>
        <w:rPr>
          <w:rFonts w:ascii="SimSun" w:hAnsi="SimSun" w:eastAsia="SimSun" w:cs="SimSun"/>
          <w:sz w:val="23"/>
          <w:szCs w:val="23"/>
        </w:rPr>
        <w:t xml:space="preserve"> </w:t>
      </w:r>
      <w:r>
        <w:rPr>
          <w:rFonts w:ascii="SimSun" w:hAnsi="SimSun" w:eastAsia="SimSun" w:cs="SimSun"/>
          <w:sz w:val="23"/>
          <w:szCs w:val="23"/>
          <w:spacing w:val="17"/>
        </w:rPr>
        <w:t>理站等相关配套设施，预计建成后生猪屠宰规模为40万头/年，总占地面积为</w:t>
      </w:r>
      <w:r>
        <w:rPr>
          <w:rFonts w:ascii="SimSun" w:hAnsi="SimSun" w:eastAsia="SimSun" w:cs="SimSun"/>
          <w:sz w:val="23"/>
          <w:szCs w:val="23"/>
        </w:rPr>
        <w:t xml:space="preserve"> </w:t>
      </w:r>
      <w:r>
        <w:rPr>
          <w:rFonts w:ascii="Times New Roman" w:hAnsi="Times New Roman" w:eastAsia="Times New Roman" w:cs="Times New Roman"/>
          <w:sz w:val="23"/>
          <w:szCs w:val="23"/>
          <w:spacing w:val="-3"/>
        </w:rPr>
        <w:t>13340.12m²</w:t>
      </w:r>
      <w:r>
        <w:rPr>
          <w:rFonts w:ascii="SimSun" w:hAnsi="SimSun" w:eastAsia="SimSun" w:cs="SimSun"/>
          <w:sz w:val="23"/>
          <w:szCs w:val="23"/>
          <w:spacing w:val="-3"/>
        </w:rPr>
        <w:t>。</w:t>
      </w:r>
    </w:p>
    <w:p>
      <w:pPr>
        <w:ind w:left="104"/>
        <w:spacing w:before="82" w:line="221" w:lineRule="auto"/>
        <w:rPr>
          <w:rFonts w:ascii="SimHei" w:hAnsi="SimHei" w:eastAsia="SimHei" w:cs="SimHei"/>
          <w:sz w:val="27"/>
          <w:szCs w:val="27"/>
        </w:rPr>
      </w:pPr>
      <w:r>
        <w:rPr>
          <w:rFonts w:ascii="Times New Roman" w:hAnsi="Times New Roman" w:eastAsia="Times New Roman" w:cs="Times New Roman"/>
          <w:sz w:val="27"/>
          <w:szCs w:val="27"/>
          <w:spacing w:val="-1"/>
        </w:rPr>
        <w:t>3.</w:t>
      </w:r>
      <w:r>
        <w:rPr>
          <w:rFonts w:ascii="SimHei" w:hAnsi="SimHei" w:eastAsia="SimHei" w:cs="SimHei"/>
          <w:sz w:val="27"/>
          <w:szCs w:val="27"/>
          <w:b/>
          <w:bCs/>
          <w:spacing w:val="-1"/>
        </w:rPr>
        <w:t>1.3产品方案及质量标准</w:t>
      </w:r>
    </w:p>
    <w:p>
      <w:pPr>
        <w:ind w:left="104" w:right="269" w:firstLine="470"/>
        <w:spacing w:before="260" w:line="363" w:lineRule="auto"/>
        <w:jc w:val="both"/>
        <w:rPr>
          <w:rFonts w:ascii="SimSun" w:hAnsi="SimSun" w:eastAsia="SimSun" w:cs="SimSun"/>
          <w:sz w:val="23"/>
          <w:szCs w:val="23"/>
        </w:rPr>
      </w:pPr>
      <w:r>
        <w:rPr>
          <w:rFonts w:ascii="SimSun" w:hAnsi="SimSun" w:eastAsia="SimSun" w:cs="SimSun"/>
          <w:sz w:val="23"/>
          <w:szCs w:val="23"/>
          <w:spacing w:val="10"/>
        </w:rPr>
        <w:t>本项目为生猪、肉牛屠宰，屠宰前的生猪、肉牛</w:t>
      </w:r>
      <w:r>
        <w:rPr>
          <w:rFonts w:ascii="SimSun" w:hAnsi="SimSun" w:eastAsia="SimSun" w:cs="SimSun"/>
          <w:sz w:val="23"/>
          <w:szCs w:val="23"/>
          <w:spacing w:val="9"/>
        </w:rPr>
        <w:t>应经动物卫生监督机构检</w:t>
      </w:r>
      <w:r>
        <w:rPr>
          <w:rFonts w:ascii="SimSun" w:hAnsi="SimSun" w:eastAsia="SimSun" w:cs="SimSun"/>
          <w:sz w:val="23"/>
          <w:szCs w:val="23"/>
        </w:rPr>
        <w:t xml:space="preserve"> </w:t>
      </w:r>
      <w:r>
        <w:rPr>
          <w:rFonts w:ascii="SimSun" w:hAnsi="SimSun" w:eastAsia="SimSun" w:cs="SimSun"/>
          <w:sz w:val="23"/>
          <w:szCs w:val="23"/>
          <w:spacing w:val="9"/>
        </w:rPr>
        <w:t>疫、检验合格。主要产品为猪白条胴体、牛四分体和分割肉，副产品为内脏、</w:t>
      </w:r>
      <w:r>
        <w:rPr>
          <w:rFonts w:ascii="SimSun" w:hAnsi="SimSun" w:eastAsia="SimSun" w:cs="SimSun"/>
          <w:sz w:val="23"/>
          <w:szCs w:val="23"/>
          <w:spacing w:val="18"/>
        </w:rPr>
        <w:t xml:space="preserve"> </w:t>
      </w:r>
      <w:r>
        <w:rPr>
          <w:rFonts w:ascii="SimSun" w:hAnsi="SimSun" w:eastAsia="SimSun" w:cs="SimSun"/>
          <w:sz w:val="23"/>
          <w:szCs w:val="23"/>
          <w:spacing w:val="9"/>
        </w:rPr>
        <w:t>血、皮、毛、头、蹄、尾等。根据《排放源统计调查产排污核算方法和系数手</w:t>
      </w:r>
    </w:p>
    <w:p>
      <w:pPr>
        <w:spacing w:line="363" w:lineRule="auto"/>
        <w:sectPr>
          <w:headerReference w:type="default" r:id="rId175"/>
          <w:footerReference w:type="default" r:id="rId196"/>
          <w:pgSz w:w="11910" w:h="16840"/>
          <w:pgMar w:top="1219" w:right="1715" w:bottom="987" w:left="1675" w:header="865" w:footer="689" w:gutter="0"/>
        </w:sectPr>
        <w:rPr>
          <w:rFonts w:ascii="SimSun" w:hAnsi="SimSun" w:eastAsia="SimSun" w:cs="SimSun"/>
          <w:sz w:val="23"/>
          <w:szCs w:val="23"/>
        </w:rPr>
      </w:pPr>
    </w:p>
    <w:p>
      <w:pPr>
        <w:ind w:left="104" w:right="265"/>
        <w:spacing w:before="277" w:line="356" w:lineRule="auto"/>
        <w:rPr>
          <w:rFonts w:ascii="SimSun" w:hAnsi="SimSun" w:eastAsia="SimSun" w:cs="SimSun"/>
          <w:sz w:val="24"/>
          <w:szCs w:val="24"/>
        </w:rPr>
      </w:pPr>
      <w:r>
        <w:rPr>
          <w:rFonts w:ascii="SimSun" w:hAnsi="SimSun" w:eastAsia="SimSun" w:cs="SimSun"/>
          <w:sz w:val="24"/>
          <w:szCs w:val="24"/>
          <w:spacing w:val="12"/>
        </w:rPr>
        <w:t>册》(环境部公告2021年第24号)-135屠宰及肉类加工行业系数手册，本次 </w:t>
      </w:r>
      <w:r>
        <w:rPr>
          <w:rFonts w:ascii="SimSun" w:hAnsi="SimSun" w:eastAsia="SimSun" w:cs="SimSun"/>
          <w:sz w:val="24"/>
          <w:szCs w:val="24"/>
          <w:spacing w:val="-1"/>
        </w:rPr>
        <w:t>评价活屠重以110千克/头-生猪，500千克/头-肉牛计。本项目为</w:t>
      </w:r>
      <w:r>
        <w:rPr>
          <w:rFonts w:ascii="SimSun" w:hAnsi="SimSun" w:eastAsia="SimSun" w:cs="SimSun"/>
          <w:sz w:val="24"/>
          <w:szCs w:val="24"/>
          <w:spacing w:val="-2"/>
        </w:rPr>
        <w:t>规模化生猪、</w:t>
      </w:r>
      <w:r>
        <w:rPr>
          <w:rFonts w:ascii="SimSun" w:hAnsi="SimSun" w:eastAsia="SimSun" w:cs="SimSun"/>
          <w:sz w:val="24"/>
          <w:szCs w:val="24"/>
        </w:rPr>
        <w:t xml:space="preserve"> </w:t>
      </w:r>
      <w:r>
        <w:rPr>
          <w:rFonts w:ascii="SimSun" w:hAnsi="SimSun" w:eastAsia="SimSun" w:cs="SimSun"/>
          <w:sz w:val="24"/>
          <w:szCs w:val="24"/>
          <w:spacing w:val="-2"/>
        </w:rPr>
        <w:t>肉牛屠宰场，配套建设有冷库，最大产能情形下设计方案及产品方案见下表：</w:t>
      </w:r>
    </w:p>
    <w:p>
      <w:pPr>
        <w:ind w:left="1618"/>
        <w:spacing w:line="214" w:lineRule="auto"/>
        <w:rPr>
          <w:rFonts w:ascii="SimSun" w:hAnsi="SimSun" w:eastAsia="SimSun" w:cs="SimSun"/>
          <w:sz w:val="24"/>
          <w:szCs w:val="24"/>
        </w:rPr>
      </w:pPr>
      <w:bookmarkStart w:name="bookmark99" w:id="58"/>
      <w:bookmarkEnd w:id="58"/>
      <w:r>
        <w:rPr>
          <w:rFonts w:ascii="SimSun" w:hAnsi="SimSun" w:eastAsia="SimSun" w:cs="SimSun"/>
          <w:sz w:val="24"/>
          <w:szCs w:val="24"/>
          <w:b/>
          <w:bCs/>
          <w:spacing w:val="-3"/>
        </w:rPr>
        <w:t>表3.1-2项目设计屠宰方案(最大生产能力)一览表</w:t>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84"/>
        <w:gridCol w:w="1138"/>
        <w:gridCol w:w="629"/>
        <w:gridCol w:w="709"/>
        <w:gridCol w:w="1029"/>
        <w:gridCol w:w="1118"/>
        <w:gridCol w:w="1069"/>
        <w:gridCol w:w="959"/>
        <w:gridCol w:w="974"/>
      </w:tblGrid>
      <w:tr>
        <w:trPr>
          <w:trHeight w:val="553" w:hRule="atLeast"/>
        </w:trPr>
        <w:tc>
          <w:tcPr>
            <w:shd w:val="clear" w:fill="BDBDBD"/>
            <w:tcW w:w="884" w:type="dxa"/>
            <w:vAlign w:val="top"/>
          </w:tcPr>
          <w:p>
            <w:pPr>
              <w:pStyle w:val="TableText"/>
              <w:ind w:left="117"/>
              <w:spacing w:before="170" w:line="219" w:lineRule="auto"/>
              <w:rPr>
                <w:sz w:val="21"/>
                <w:szCs w:val="21"/>
              </w:rPr>
            </w:pPr>
            <w:r>
              <w:rPr>
                <w:sz w:val="21"/>
                <w:szCs w:val="21"/>
                <w:b/>
                <w:bCs/>
                <w:spacing w:val="-5"/>
              </w:rPr>
              <w:t>生产线</w:t>
            </w:r>
          </w:p>
        </w:tc>
        <w:tc>
          <w:tcPr>
            <w:shd w:val="clear" w:fill="BDBDBD"/>
            <w:tcW w:w="1138" w:type="dxa"/>
            <w:vAlign w:val="top"/>
          </w:tcPr>
          <w:p>
            <w:pPr>
              <w:pStyle w:val="TableText"/>
              <w:ind w:left="353"/>
              <w:spacing w:before="170" w:line="219" w:lineRule="auto"/>
              <w:rPr>
                <w:sz w:val="21"/>
                <w:szCs w:val="21"/>
              </w:rPr>
            </w:pPr>
            <w:r>
              <w:rPr>
                <w:sz w:val="21"/>
                <w:szCs w:val="21"/>
                <w:b/>
                <w:bCs/>
                <w:spacing w:val="-5"/>
              </w:rPr>
              <w:t>种类</w:t>
            </w:r>
          </w:p>
        </w:tc>
        <w:tc>
          <w:tcPr>
            <w:shd w:val="clear" w:fill="BDBDBD"/>
            <w:tcW w:w="629" w:type="dxa"/>
            <w:vAlign w:val="top"/>
          </w:tcPr>
          <w:p>
            <w:pPr>
              <w:pStyle w:val="TableText"/>
              <w:ind w:left="95"/>
              <w:spacing w:before="171" w:line="220" w:lineRule="auto"/>
              <w:rPr>
                <w:sz w:val="21"/>
                <w:szCs w:val="21"/>
              </w:rPr>
            </w:pPr>
            <w:r>
              <w:rPr>
                <w:sz w:val="21"/>
                <w:szCs w:val="21"/>
                <w:b/>
                <w:bCs/>
                <w:spacing w:val="1"/>
              </w:rPr>
              <w:t>时期</w:t>
            </w:r>
          </w:p>
        </w:tc>
        <w:tc>
          <w:tcPr>
            <w:shd w:val="clear" w:fill="BDBDBD"/>
            <w:tcW w:w="709" w:type="dxa"/>
            <w:vAlign w:val="top"/>
          </w:tcPr>
          <w:p>
            <w:pPr>
              <w:pStyle w:val="TableText"/>
              <w:ind w:left="136"/>
              <w:spacing w:before="30" w:line="219" w:lineRule="auto"/>
              <w:rPr>
                <w:sz w:val="21"/>
                <w:szCs w:val="21"/>
              </w:rPr>
            </w:pPr>
            <w:r>
              <w:rPr>
                <w:sz w:val="21"/>
                <w:szCs w:val="21"/>
                <w:b/>
                <w:bCs/>
                <w:spacing w:val="-6"/>
              </w:rPr>
              <w:t>天数</w:t>
            </w:r>
          </w:p>
          <w:p>
            <w:pPr>
              <w:pStyle w:val="TableText"/>
              <w:ind w:left="87"/>
              <w:spacing w:before="53" w:line="184" w:lineRule="auto"/>
              <w:rPr>
                <w:sz w:val="21"/>
                <w:szCs w:val="21"/>
              </w:rPr>
            </w:pPr>
            <w:r>
              <w:rPr>
                <w:sz w:val="21"/>
                <w:szCs w:val="21"/>
                <w:b/>
                <w:bCs/>
                <w:spacing w:val="-10"/>
              </w:rPr>
              <w:t>(d/a)</w:t>
            </w:r>
          </w:p>
        </w:tc>
        <w:tc>
          <w:tcPr>
            <w:shd w:val="clear" w:fill="BDBDBD"/>
            <w:tcW w:w="1029" w:type="dxa"/>
            <w:vAlign w:val="top"/>
          </w:tcPr>
          <w:p>
            <w:pPr>
              <w:pStyle w:val="TableText"/>
              <w:ind w:left="198"/>
              <w:spacing w:before="30" w:line="219" w:lineRule="auto"/>
              <w:rPr>
                <w:sz w:val="21"/>
                <w:szCs w:val="21"/>
              </w:rPr>
            </w:pPr>
            <w:r>
              <w:rPr>
                <w:sz w:val="21"/>
                <w:szCs w:val="21"/>
                <w:b/>
                <w:bCs/>
                <w:spacing w:val="-5"/>
              </w:rPr>
              <w:t>屠宰量</w:t>
            </w:r>
          </w:p>
          <w:p>
            <w:pPr>
              <w:pStyle w:val="TableText"/>
              <w:ind w:left="87"/>
              <w:spacing w:before="31" w:line="204" w:lineRule="auto"/>
              <w:rPr>
                <w:sz w:val="21"/>
                <w:szCs w:val="21"/>
              </w:rPr>
            </w:pPr>
            <w:r>
              <w:rPr>
                <w:sz w:val="21"/>
                <w:szCs w:val="21"/>
                <w:b/>
                <w:bCs/>
                <w:spacing w:val="4"/>
              </w:rPr>
              <w:t>(万头/a)</w:t>
            </w:r>
          </w:p>
        </w:tc>
        <w:tc>
          <w:tcPr>
            <w:shd w:val="clear" w:fill="BDBDBD"/>
            <w:tcW w:w="1118" w:type="dxa"/>
            <w:vAlign w:val="top"/>
          </w:tcPr>
          <w:p>
            <w:pPr>
              <w:pStyle w:val="TableText"/>
              <w:ind w:left="239"/>
              <w:spacing w:before="30" w:line="219" w:lineRule="auto"/>
              <w:rPr>
                <w:sz w:val="21"/>
                <w:szCs w:val="21"/>
              </w:rPr>
            </w:pPr>
            <w:r>
              <w:rPr>
                <w:sz w:val="21"/>
                <w:szCs w:val="21"/>
                <w:b/>
                <w:bCs/>
                <w:spacing w:val="-5"/>
              </w:rPr>
              <w:t>屠宰量</w:t>
            </w:r>
          </w:p>
          <w:p>
            <w:pPr>
              <w:pStyle w:val="TableText"/>
              <w:ind w:left="239"/>
              <w:spacing w:before="31" w:line="204" w:lineRule="auto"/>
              <w:rPr>
                <w:sz w:val="21"/>
                <w:szCs w:val="21"/>
              </w:rPr>
            </w:pPr>
            <w:r>
              <w:rPr>
                <w:sz w:val="21"/>
                <w:szCs w:val="21"/>
                <w:b/>
                <w:bCs/>
                <w:spacing w:val="5"/>
              </w:rPr>
              <w:t>(头/d)</w:t>
            </w:r>
          </w:p>
        </w:tc>
        <w:tc>
          <w:tcPr>
            <w:shd w:val="clear" w:fill="BDBDBD"/>
            <w:tcW w:w="1069" w:type="dxa"/>
            <w:vAlign w:val="top"/>
          </w:tcPr>
          <w:p>
            <w:pPr>
              <w:pStyle w:val="TableText"/>
              <w:ind w:left="221"/>
              <w:spacing w:before="31" w:line="220" w:lineRule="auto"/>
              <w:rPr>
                <w:sz w:val="21"/>
                <w:szCs w:val="21"/>
              </w:rPr>
            </w:pPr>
            <w:r>
              <w:rPr>
                <w:sz w:val="21"/>
                <w:szCs w:val="21"/>
                <w:b/>
                <w:bCs/>
                <w:spacing w:val="-5"/>
              </w:rPr>
              <w:t>活屠重</w:t>
            </w:r>
          </w:p>
          <w:p>
            <w:pPr>
              <w:pStyle w:val="TableText"/>
              <w:ind w:left="160"/>
              <w:spacing w:before="22" w:line="210" w:lineRule="auto"/>
              <w:rPr>
                <w:sz w:val="21"/>
                <w:szCs w:val="21"/>
              </w:rPr>
            </w:pPr>
            <w:r>
              <w:rPr>
                <w:sz w:val="21"/>
                <w:szCs w:val="21"/>
                <w:b/>
                <w:bCs/>
                <w:spacing w:val="7"/>
              </w:rPr>
              <w:t>(</w:t>
            </w:r>
            <w:r>
              <w:rPr>
                <w:sz w:val="21"/>
                <w:szCs w:val="21"/>
                <w:b/>
                <w:bCs/>
              </w:rPr>
              <w:t>kg</w:t>
            </w:r>
            <w:r>
              <w:rPr>
                <w:sz w:val="21"/>
                <w:szCs w:val="21"/>
                <w:b/>
                <w:bCs/>
                <w:spacing w:val="7"/>
              </w:rPr>
              <w:t>/头)</w:t>
            </w:r>
          </w:p>
        </w:tc>
        <w:tc>
          <w:tcPr>
            <w:shd w:val="clear" w:fill="BDBDBD"/>
            <w:tcW w:w="959" w:type="dxa"/>
            <w:vAlign w:val="top"/>
          </w:tcPr>
          <w:p>
            <w:pPr>
              <w:pStyle w:val="TableText"/>
              <w:ind w:left="161"/>
              <w:spacing w:before="31" w:line="213" w:lineRule="auto"/>
              <w:rPr>
                <w:sz w:val="21"/>
                <w:szCs w:val="21"/>
              </w:rPr>
            </w:pPr>
            <w:r>
              <w:rPr>
                <w:sz w:val="21"/>
                <w:szCs w:val="21"/>
                <w:b/>
                <w:bCs/>
                <w:spacing w:val="-5"/>
              </w:rPr>
              <w:t>活屠重</w:t>
            </w:r>
          </w:p>
          <w:p>
            <w:pPr>
              <w:pStyle w:val="TableText"/>
              <w:ind w:left="212"/>
              <w:spacing w:line="222" w:lineRule="auto"/>
              <w:rPr>
                <w:sz w:val="21"/>
                <w:szCs w:val="21"/>
              </w:rPr>
            </w:pPr>
            <w:r>
              <w:rPr>
                <w:sz w:val="21"/>
                <w:szCs w:val="21"/>
                <w:b/>
                <w:bCs/>
                <w:spacing w:val="-10"/>
              </w:rPr>
              <w:t>(t/a)</w:t>
            </w:r>
          </w:p>
        </w:tc>
        <w:tc>
          <w:tcPr>
            <w:shd w:val="clear" w:fill="BDBDBD"/>
            <w:tcW w:w="974" w:type="dxa"/>
            <w:vAlign w:val="top"/>
          </w:tcPr>
          <w:p>
            <w:pPr>
              <w:pStyle w:val="TableText"/>
              <w:ind w:left="63"/>
              <w:spacing w:before="30" w:line="214" w:lineRule="auto"/>
              <w:rPr>
                <w:sz w:val="21"/>
                <w:szCs w:val="21"/>
              </w:rPr>
            </w:pPr>
            <w:r>
              <w:rPr>
                <w:sz w:val="21"/>
                <w:szCs w:val="21"/>
                <w:b/>
                <w:bCs/>
                <w:spacing w:val="-4"/>
              </w:rPr>
              <w:t>屠宰规模</w:t>
            </w:r>
          </w:p>
          <w:p>
            <w:pPr>
              <w:pStyle w:val="TableText"/>
              <w:ind w:left="222"/>
              <w:spacing w:line="222" w:lineRule="auto"/>
              <w:rPr>
                <w:sz w:val="21"/>
                <w:szCs w:val="21"/>
              </w:rPr>
            </w:pPr>
            <w:r>
              <w:rPr>
                <w:sz w:val="21"/>
                <w:szCs w:val="21"/>
                <w:b/>
                <w:bCs/>
                <w:spacing w:val="-10"/>
              </w:rPr>
              <w:t>(t/d)</w:t>
            </w:r>
          </w:p>
        </w:tc>
      </w:tr>
      <w:tr>
        <w:trPr>
          <w:trHeight w:val="269" w:hRule="atLeast"/>
        </w:trPr>
        <w:tc>
          <w:tcPr>
            <w:tcW w:w="884" w:type="dxa"/>
            <w:vAlign w:val="top"/>
            <w:vMerge w:val="restart"/>
            <w:tcBorders>
              <w:bottom w:val="nil"/>
            </w:tcBorders>
          </w:tcPr>
          <w:p>
            <w:pPr>
              <w:pStyle w:val="TableText"/>
              <w:ind w:left="15"/>
              <w:spacing w:before="170" w:line="219" w:lineRule="auto"/>
              <w:rPr>
                <w:sz w:val="21"/>
                <w:szCs w:val="21"/>
              </w:rPr>
            </w:pPr>
            <w:r>
              <w:rPr>
                <w:sz w:val="21"/>
                <w:szCs w:val="21"/>
                <w:spacing w:val="4"/>
              </w:rPr>
              <w:t>生猪屠宰</w:t>
            </w:r>
          </w:p>
        </w:tc>
        <w:tc>
          <w:tcPr>
            <w:tcW w:w="1138" w:type="dxa"/>
            <w:vAlign w:val="top"/>
            <w:vMerge w:val="restart"/>
            <w:tcBorders>
              <w:bottom w:val="nil"/>
            </w:tcBorders>
          </w:tcPr>
          <w:p>
            <w:pPr>
              <w:pStyle w:val="TableText"/>
              <w:ind w:left="350"/>
              <w:spacing w:before="171" w:line="220" w:lineRule="auto"/>
              <w:rPr>
                <w:sz w:val="21"/>
                <w:szCs w:val="21"/>
              </w:rPr>
            </w:pPr>
            <w:r>
              <w:rPr>
                <w:sz w:val="21"/>
                <w:szCs w:val="21"/>
                <w:spacing w:val="-3"/>
              </w:rPr>
              <w:t>生猪</w:t>
            </w:r>
          </w:p>
        </w:tc>
        <w:tc>
          <w:tcPr>
            <w:tcW w:w="629" w:type="dxa"/>
            <w:vAlign w:val="top"/>
          </w:tcPr>
          <w:p>
            <w:pPr>
              <w:pStyle w:val="TableText"/>
              <w:ind w:left="92"/>
              <w:spacing w:before="29" w:line="202" w:lineRule="auto"/>
              <w:rPr>
                <w:sz w:val="21"/>
                <w:szCs w:val="21"/>
              </w:rPr>
            </w:pPr>
            <w:r>
              <w:rPr>
                <w:sz w:val="21"/>
                <w:szCs w:val="21"/>
                <w:spacing w:val="4"/>
              </w:rPr>
              <w:t>淡季</w:t>
            </w:r>
          </w:p>
        </w:tc>
        <w:tc>
          <w:tcPr>
            <w:tcW w:w="709" w:type="dxa"/>
            <w:vAlign w:val="top"/>
          </w:tcPr>
          <w:p>
            <w:pPr>
              <w:pStyle w:val="TableText"/>
              <w:ind w:left="183"/>
              <w:spacing w:before="51" w:line="182" w:lineRule="auto"/>
              <w:rPr>
                <w:sz w:val="21"/>
                <w:szCs w:val="21"/>
              </w:rPr>
            </w:pPr>
            <w:r>
              <w:rPr>
                <w:sz w:val="21"/>
                <w:szCs w:val="21"/>
                <w:spacing w:val="-3"/>
              </w:rPr>
              <w:t>270</w:t>
            </w:r>
          </w:p>
        </w:tc>
        <w:tc>
          <w:tcPr>
            <w:tcW w:w="1029" w:type="dxa"/>
            <w:vAlign w:val="top"/>
          </w:tcPr>
          <w:p>
            <w:pPr>
              <w:pStyle w:val="TableText"/>
              <w:ind w:left="404"/>
              <w:spacing w:before="51" w:line="182" w:lineRule="auto"/>
              <w:rPr>
                <w:sz w:val="21"/>
                <w:szCs w:val="21"/>
              </w:rPr>
            </w:pPr>
            <w:r>
              <w:rPr>
                <w:sz w:val="21"/>
                <w:szCs w:val="21"/>
                <w:spacing w:val="-3"/>
              </w:rPr>
              <w:t>27</w:t>
            </w:r>
          </w:p>
        </w:tc>
        <w:tc>
          <w:tcPr>
            <w:tcW w:w="1118" w:type="dxa"/>
            <w:vAlign w:val="top"/>
          </w:tcPr>
          <w:p>
            <w:pPr>
              <w:pStyle w:val="TableText"/>
              <w:ind w:left="345"/>
              <w:spacing w:before="51" w:line="182" w:lineRule="auto"/>
              <w:rPr>
                <w:sz w:val="21"/>
                <w:szCs w:val="21"/>
              </w:rPr>
            </w:pPr>
            <w:r>
              <w:rPr>
                <w:sz w:val="21"/>
                <w:szCs w:val="21"/>
                <w:spacing w:val="-5"/>
              </w:rPr>
              <w:t>1000</w:t>
            </w:r>
          </w:p>
        </w:tc>
        <w:tc>
          <w:tcPr>
            <w:tcW w:w="1069" w:type="dxa"/>
            <w:vAlign w:val="top"/>
            <w:vMerge w:val="restart"/>
            <w:tcBorders>
              <w:bottom w:val="nil"/>
            </w:tcBorders>
          </w:tcPr>
          <w:p>
            <w:pPr>
              <w:pStyle w:val="TableText"/>
              <w:ind w:left="367"/>
              <w:spacing w:before="191"/>
              <w:rPr>
                <w:sz w:val="21"/>
                <w:szCs w:val="21"/>
              </w:rPr>
            </w:pPr>
            <w:r>
              <w:rPr>
                <w:sz w:val="21"/>
                <w:szCs w:val="21"/>
                <w:spacing w:val="-6"/>
              </w:rPr>
              <w:t>110</w:t>
            </w:r>
          </w:p>
        </w:tc>
        <w:tc>
          <w:tcPr>
            <w:tcW w:w="959" w:type="dxa"/>
            <w:vAlign w:val="top"/>
          </w:tcPr>
          <w:p>
            <w:pPr>
              <w:pStyle w:val="TableText"/>
              <w:ind w:left="209"/>
              <w:spacing w:before="51" w:line="182" w:lineRule="auto"/>
              <w:rPr>
                <w:sz w:val="21"/>
                <w:szCs w:val="21"/>
              </w:rPr>
            </w:pPr>
            <w:r>
              <w:rPr>
                <w:sz w:val="21"/>
                <w:szCs w:val="21"/>
                <w:spacing w:val="-2"/>
              </w:rPr>
              <w:t>29700</w:t>
            </w:r>
          </w:p>
        </w:tc>
        <w:tc>
          <w:tcPr>
            <w:tcW w:w="974" w:type="dxa"/>
            <w:vAlign w:val="top"/>
          </w:tcPr>
          <w:p>
            <w:pPr>
              <w:pStyle w:val="TableText"/>
              <w:ind w:left="320"/>
              <w:spacing w:before="51" w:line="182" w:lineRule="auto"/>
              <w:rPr>
                <w:sz w:val="21"/>
                <w:szCs w:val="21"/>
              </w:rPr>
            </w:pPr>
            <w:r>
              <w:rPr>
                <w:sz w:val="21"/>
                <w:szCs w:val="21"/>
                <w:spacing w:val="-6"/>
              </w:rPr>
              <w:t>110</w:t>
            </w:r>
          </w:p>
        </w:tc>
      </w:tr>
      <w:tr>
        <w:trPr>
          <w:trHeight w:val="269" w:hRule="atLeast"/>
        </w:trPr>
        <w:tc>
          <w:tcPr>
            <w:tcW w:w="884" w:type="dxa"/>
            <w:vAlign w:val="top"/>
            <w:vMerge w:val="continue"/>
            <w:tcBorders>
              <w:top w:val="nil"/>
            </w:tcBorders>
          </w:tcPr>
          <w:p>
            <w:pPr>
              <w:rPr>
                <w:rFonts w:ascii="Arial"/>
                <w:sz w:val="21"/>
              </w:rPr>
            </w:pPr>
            <w:r/>
          </w:p>
        </w:tc>
        <w:tc>
          <w:tcPr>
            <w:tcW w:w="1138" w:type="dxa"/>
            <w:vAlign w:val="top"/>
            <w:vMerge w:val="continue"/>
            <w:tcBorders>
              <w:top w:val="nil"/>
            </w:tcBorders>
          </w:tcPr>
          <w:p>
            <w:pPr>
              <w:rPr>
                <w:rFonts w:ascii="Arial"/>
                <w:sz w:val="21"/>
              </w:rPr>
            </w:pPr>
            <w:r/>
          </w:p>
        </w:tc>
        <w:tc>
          <w:tcPr>
            <w:tcW w:w="629" w:type="dxa"/>
            <w:vAlign w:val="top"/>
          </w:tcPr>
          <w:p>
            <w:pPr>
              <w:pStyle w:val="TableText"/>
              <w:ind w:left="92"/>
              <w:spacing w:before="31" w:line="200" w:lineRule="auto"/>
              <w:rPr>
                <w:sz w:val="21"/>
                <w:szCs w:val="21"/>
              </w:rPr>
            </w:pPr>
            <w:r>
              <w:rPr>
                <w:sz w:val="21"/>
                <w:szCs w:val="21"/>
                <w:color w:val="606060"/>
                <w:spacing w:val="4"/>
              </w:rPr>
              <w:t>旺季</w:t>
            </w:r>
          </w:p>
        </w:tc>
        <w:tc>
          <w:tcPr>
            <w:tcW w:w="709" w:type="dxa"/>
            <w:vAlign w:val="top"/>
          </w:tcPr>
          <w:p>
            <w:pPr>
              <w:pStyle w:val="TableText"/>
              <w:ind w:left="243"/>
              <w:spacing w:before="53" w:line="181" w:lineRule="auto"/>
              <w:rPr>
                <w:sz w:val="21"/>
                <w:szCs w:val="21"/>
              </w:rPr>
            </w:pPr>
            <w:r>
              <w:rPr>
                <w:sz w:val="21"/>
                <w:szCs w:val="21"/>
                <w:spacing w:val="-3"/>
              </w:rPr>
              <w:t>90</w:t>
            </w:r>
          </w:p>
        </w:tc>
        <w:tc>
          <w:tcPr>
            <w:tcW w:w="1029" w:type="dxa"/>
            <w:vAlign w:val="top"/>
          </w:tcPr>
          <w:p>
            <w:pPr>
              <w:pStyle w:val="TableText"/>
              <w:ind w:left="404"/>
              <w:spacing w:before="53" w:line="181" w:lineRule="auto"/>
              <w:rPr>
                <w:sz w:val="21"/>
                <w:szCs w:val="21"/>
              </w:rPr>
            </w:pPr>
            <w:r>
              <w:rPr>
                <w:sz w:val="21"/>
                <w:szCs w:val="21"/>
                <w:spacing w:val="-6"/>
              </w:rPr>
              <w:t>13</w:t>
            </w:r>
          </w:p>
        </w:tc>
        <w:tc>
          <w:tcPr>
            <w:tcW w:w="1118" w:type="dxa"/>
            <w:vAlign w:val="top"/>
          </w:tcPr>
          <w:p>
            <w:pPr>
              <w:pStyle w:val="TableText"/>
              <w:ind w:left="345"/>
              <w:spacing w:before="53" w:line="181" w:lineRule="auto"/>
              <w:rPr>
                <w:sz w:val="21"/>
                <w:szCs w:val="21"/>
              </w:rPr>
            </w:pPr>
            <w:r>
              <w:rPr>
                <w:sz w:val="21"/>
                <w:szCs w:val="21"/>
                <w:spacing w:val="-5"/>
              </w:rPr>
              <w:t>1444</w:t>
            </w:r>
          </w:p>
        </w:tc>
        <w:tc>
          <w:tcPr>
            <w:tcW w:w="1069" w:type="dxa"/>
            <w:vAlign w:val="top"/>
            <w:vMerge w:val="continue"/>
            <w:tcBorders>
              <w:top w:val="nil"/>
            </w:tcBorders>
          </w:tcPr>
          <w:p>
            <w:pPr>
              <w:rPr>
                <w:rFonts w:ascii="Arial"/>
                <w:sz w:val="21"/>
              </w:rPr>
            </w:pPr>
            <w:r/>
          </w:p>
        </w:tc>
        <w:tc>
          <w:tcPr>
            <w:tcW w:w="959" w:type="dxa"/>
            <w:vAlign w:val="top"/>
          </w:tcPr>
          <w:p>
            <w:pPr>
              <w:pStyle w:val="TableText"/>
              <w:ind w:left="209"/>
              <w:spacing w:before="53" w:line="181" w:lineRule="auto"/>
              <w:rPr>
                <w:sz w:val="21"/>
                <w:szCs w:val="21"/>
              </w:rPr>
            </w:pPr>
            <w:r>
              <w:rPr>
                <w:sz w:val="21"/>
                <w:szCs w:val="21"/>
                <w:spacing w:val="-4"/>
              </w:rPr>
              <w:t>14300</w:t>
            </w:r>
          </w:p>
        </w:tc>
        <w:tc>
          <w:tcPr>
            <w:tcW w:w="974" w:type="dxa"/>
            <w:vAlign w:val="top"/>
          </w:tcPr>
          <w:p>
            <w:pPr>
              <w:pStyle w:val="TableText"/>
              <w:ind w:left="320"/>
              <w:spacing w:before="53" w:line="181" w:lineRule="auto"/>
              <w:rPr>
                <w:sz w:val="21"/>
                <w:szCs w:val="21"/>
              </w:rPr>
            </w:pPr>
            <w:r>
              <w:rPr>
                <w:sz w:val="21"/>
                <w:szCs w:val="21"/>
                <w:spacing w:val="-6"/>
              </w:rPr>
              <w:t>159</w:t>
            </w:r>
          </w:p>
        </w:tc>
      </w:tr>
      <w:tr>
        <w:trPr>
          <w:trHeight w:val="279" w:hRule="atLeast"/>
        </w:trPr>
        <w:tc>
          <w:tcPr>
            <w:tcW w:w="2651" w:type="dxa"/>
            <w:vAlign w:val="top"/>
            <w:gridSpan w:val="3"/>
          </w:tcPr>
          <w:p>
            <w:pPr>
              <w:pStyle w:val="TableText"/>
              <w:ind w:left="897"/>
              <w:spacing w:before="40" w:line="201" w:lineRule="auto"/>
              <w:rPr>
                <w:sz w:val="21"/>
                <w:szCs w:val="21"/>
              </w:rPr>
            </w:pPr>
            <w:r>
              <w:rPr>
                <w:sz w:val="21"/>
                <w:szCs w:val="21"/>
                <w:b/>
                <w:bCs/>
                <w:spacing w:val="-5"/>
              </w:rPr>
              <w:t>生猪合计</w:t>
            </w:r>
          </w:p>
        </w:tc>
        <w:tc>
          <w:tcPr>
            <w:tcW w:w="709" w:type="dxa"/>
            <w:vAlign w:val="top"/>
          </w:tcPr>
          <w:p>
            <w:pPr>
              <w:pStyle w:val="TableText"/>
              <w:ind w:left="186"/>
              <w:spacing w:before="61" w:line="182" w:lineRule="auto"/>
              <w:rPr>
                <w:sz w:val="21"/>
                <w:szCs w:val="21"/>
              </w:rPr>
            </w:pPr>
            <w:r>
              <w:rPr>
                <w:sz w:val="21"/>
                <w:szCs w:val="21"/>
                <w:b/>
                <w:bCs/>
                <w:spacing w:val="-5"/>
              </w:rPr>
              <w:t>360</w:t>
            </w:r>
          </w:p>
        </w:tc>
        <w:tc>
          <w:tcPr>
            <w:tcW w:w="1029" w:type="dxa"/>
            <w:vAlign w:val="top"/>
          </w:tcPr>
          <w:p>
            <w:pPr>
              <w:pStyle w:val="TableText"/>
              <w:ind w:left="407"/>
              <w:spacing w:before="61" w:line="182" w:lineRule="auto"/>
              <w:rPr>
                <w:sz w:val="21"/>
                <w:szCs w:val="21"/>
              </w:rPr>
            </w:pPr>
            <w:r>
              <w:rPr>
                <w:sz w:val="21"/>
                <w:szCs w:val="21"/>
                <w:b/>
                <w:bCs/>
                <w:spacing w:val="-5"/>
              </w:rPr>
              <w:t>40</w:t>
            </w:r>
          </w:p>
        </w:tc>
        <w:tc>
          <w:tcPr>
            <w:tcW w:w="1118" w:type="dxa"/>
            <w:vAlign w:val="top"/>
          </w:tcPr>
          <w:p>
            <w:pPr>
              <w:pStyle w:val="TableText"/>
              <w:ind w:left="496"/>
              <w:spacing w:before="48" w:line="194" w:lineRule="auto"/>
              <w:rPr>
                <w:sz w:val="21"/>
                <w:szCs w:val="21"/>
              </w:rPr>
            </w:pPr>
            <w:r>
              <w:rPr>
                <w:sz w:val="21"/>
                <w:szCs w:val="21"/>
                <w:color w:val="304040"/>
              </w:rPr>
              <w:t>/</w:t>
            </w:r>
          </w:p>
        </w:tc>
        <w:tc>
          <w:tcPr>
            <w:tcW w:w="1069" w:type="dxa"/>
            <w:vAlign w:val="top"/>
            <w:textDirection w:val="tbRlV"/>
          </w:tcPr>
          <w:p>
            <w:pPr>
              <w:spacing w:line="403" w:lineRule="auto"/>
              <w:rPr>
                <w:rFonts w:ascii="Arial"/>
                <w:sz w:val="21"/>
              </w:rPr>
            </w:pPr>
            <w:r/>
          </w:p>
          <w:p>
            <w:pPr>
              <w:pStyle w:val="TableText"/>
              <w:ind w:left="14"/>
              <w:spacing w:before="71" w:line="136" w:lineRule="exact"/>
              <w:rPr>
                <w:sz w:val="21"/>
                <w:szCs w:val="21"/>
              </w:rPr>
            </w:pPr>
            <w:r>
              <w:rPr>
                <w:sz w:val="21"/>
                <w:szCs w:val="21"/>
                <w:color w:val="404050"/>
                <w:spacing w:val="52"/>
                <w:w w:val="141"/>
                <w:position w:val="-1"/>
              </w:rPr>
              <w:t>/</w:t>
            </w:r>
          </w:p>
        </w:tc>
        <w:tc>
          <w:tcPr>
            <w:tcW w:w="959" w:type="dxa"/>
            <w:vAlign w:val="top"/>
          </w:tcPr>
          <w:p>
            <w:pPr>
              <w:pStyle w:val="TableText"/>
              <w:ind w:left="212"/>
              <w:spacing w:before="61" w:line="182" w:lineRule="auto"/>
              <w:rPr>
                <w:sz w:val="21"/>
                <w:szCs w:val="21"/>
              </w:rPr>
            </w:pPr>
            <w:r>
              <w:rPr>
                <w:sz w:val="21"/>
                <w:szCs w:val="21"/>
                <w:b/>
                <w:bCs/>
                <w:spacing w:val="-4"/>
              </w:rPr>
              <w:t>44000</w:t>
            </w:r>
          </w:p>
        </w:tc>
        <w:tc>
          <w:tcPr>
            <w:tcW w:w="974" w:type="dxa"/>
            <w:vAlign w:val="top"/>
            <w:textDirection w:val="tbRlV"/>
          </w:tcPr>
          <w:p>
            <w:pPr>
              <w:spacing w:line="358" w:lineRule="auto"/>
              <w:rPr>
                <w:rFonts w:ascii="Arial"/>
                <w:sz w:val="21"/>
              </w:rPr>
            </w:pPr>
            <w:r/>
          </w:p>
          <w:p>
            <w:pPr>
              <w:pStyle w:val="TableText"/>
              <w:ind w:left="14"/>
              <w:spacing w:before="70" w:line="137" w:lineRule="exact"/>
              <w:rPr>
                <w:sz w:val="21"/>
                <w:szCs w:val="21"/>
              </w:rPr>
            </w:pPr>
            <w:r>
              <w:rPr>
                <w:sz w:val="21"/>
                <w:szCs w:val="21"/>
                <w:spacing w:val="52"/>
                <w:w w:val="141"/>
                <w:position w:val="-1"/>
              </w:rPr>
              <w:t>/</w:t>
            </w:r>
          </w:p>
        </w:tc>
      </w:tr>
      <w:tr>
        <w:trPr>
          <w:trHeight w:val="538" w:hRule="atLeast"/>
        </w:trPr>
        <w:tc>
          <w:tcPr>
            <w:shd w:val="clear" w:fill="BDBDBD"/>
            <w:tcW w:w="884" w:type="dxa"/>
            <w:vAlign w:val="top"/>
          </w:tcPr>
          <w:p>
            <w:pPr>
              <w:pStyle w:val="TableText"/>
              <w:ind w:left="117"/>
              <w:spacing w:before="170" w:line="219" w:lineRule="auto"/>
              <w:rPr>
                <w:sz w:val="21"/>
                <w:szCs w:val="21"/>
              </w:rPr>
            </w:pPr>
            <w:r>
              <w:rPr>
                <w:sz w:val="21"/>
                <w:szCs w:val="21"/>
                <w:b/>
                <w:bCs/>
                <w:spacing w:val="-5"/>
              </w:rPr>
              <w:t>生产线</w:t>
            </w:r>
          </w:p>
        </w:tc>
        <w:tc>
          <w:tcPr>
            <w:shd w:val="clear" w:fill="BDBDBD"/>
            <w:tcW w:w="1138" w:type="dxa"/>
            <w:vAlign w:val="top"/>
          </w:tcPr>
          <w:p>
            <w:pPr>
              <w:pStyle w:val="TableText"/>
              <w:ind w:left="353"/>
              <w:spacing w:before="170" w:line="219" w:lineRule="auto"/>
              <w:rPr>
                <w:sz w:val="21"/>
                <w:szCs w:val="21"/>
              </w:rPr>
            </w:pPr>
            <w:r>
              <w:rPr>
                <w:sz w:val="21"/>
                <w:szCs w:val="21"/>
                <w:b/>
                <w:bCs/>
                <w:spacing w:val="-5"/>
              </w:rPr>
              <w:t>种类</w:t>
            </w:r>
          </w:p>
        </w:tc>
        <w:tc>
          <w:tcPr>
            <w:shd w:val="clear" w:fill="BEBEBE"/>
            <w:tcW w:w="629" w:type="dxa"/>
            <w:vAlign w:val="top"/>
          </w:tcPr>
          <w:p>
            <w:pPr>
              <w:pStyle w:val="TableText"/>
              <w:ind w:left="95"/>
              <w:spacing w:before="171" w:line="220" w:lineRule="auto"/>
              <w:rPr>
                <w:sz w:val="21"/>
                <w:szCs w:val="21"/>
              </w:rPr>
            </w:pPr>
            <w:r>
              <w:rPr>
                <w:sz w:val="21"/>
                <w:szCs w:val="21"/>
                <w:b/>
                <w:bCs/>
                <w:spacing w:val="1"/>
              </w:rPr>
              <w:t>时期</w:t>
            </w:r>
          </w:p>
        </w:tc>
        <w:tc>
          <w:tcPr>
            <w:shd w:val="clear" w:fill="BDBDBD"/>
            <w:tcW w:w="709" w:type="dxa"/>
            <w:vAlign w:val="top"/>
          </w:tcPr>
          <w:p>
            <w:pPr>
              <w:pStyle w:val="TableText"/>
              <w:ind w:left="136"/>
              <w:spacing w:before="20" w:line="219" w:lineRule="auto"/>
              <w:rPr>
                <w:sz w:val="21"/>
                <w:szCs w:val="21"/>
              </w:rPr>
            </w:pPr>
            <w:r>
              <w:rPr>
                <w:sz w:val="21"/>
                <w:szCs w:val="21"/>
                <w:b/>
                <w:bCs/>
                <w:spacing w:val="-6"/>
              </w:rPr>
              <w:t>天数</w:t>
            </w:r>
          </w:p>
          <w:p>
            <w:pPr>
              <w:pStyle w:val="TableText"/>
              <w:ind w:left="87"/>
              <w:spacing w:before="23" w:line="206" w:lineRule="auto"/>
              <w:rPr>
                <w:sz w:val="21"/>
                <w:szCs w:val="21"/>
              </w:rPr>
            </w:pPr>
            <w:r>
              <w:rPr>
                <w:sz w:val="21"/>
                <w:szCs w:val="21"/>
                <w:b/>
                <w:bCs/>
                <w:spacing w:val="-10"/>
              </w:rPr>
              <w:t>(d/a)</w:t>
            </w:r>
          </w:p>
        </w:tc>
        <w:tc>
          <w:tcPr>
            <w:shd w:val="clear" w:fill="BDBDBD"/>
            <w:tcW w:w="1029" w:type="dxa"/>
            <w:vAlign w:val="top"/>
          </w:tcPr>
          <w:p>
            <w:pPr>
              <w:pStyle w:val="TableText"/>
              <w:ind w:left="198"/>
              <w:spacing w:before="30" w:line="219" w:lineRule="auto"/>
              <w:rPr>
                <w:sz w:val="21"/>
                <w:szCs w:val="21"/>
              </w:rPr>
            </w:pPr>
            <w:r>
              <w:rPr>
                <w:sz w:val="21"/>
                <w:szCs w:val="21"/>
                <w:b/>
                <w:bCs/>
                <w:spacing w:val="-5"/>
              </w:rPr>
              <w:t>屠宰量</w:t>
            </w:r>
          </w:p>
          <w:p>
            <w:pPr>
              <w:pStyle w:val="TableText"/>
              <w:ind w:left="87"/>
              <w:spacing w:before="20" w:line="200" w:lineRule="auto"/>
              <w:rPr>
                <w:sz w:val="21"/>
                <w:szCs w:val="21"/>
              </w:rPr>
            </w:pPr>
            <w:r>
              <w:rPr>
                <w:sz w:val="21"/>
                <w:szCs w:val="21"/>
                <w:b/>
                <w:bCs/>
                <w:spacing w:val="4"/>
              </w:rPr>
              <w:t>(万头/a)</w:t>
            </w:r>
          </w:p>
        </w:tc>
        <w:tc>
          <w:tcPr>
            <w:shd w:val="clear" w:fill="BDBDBD"/>
            <w:tcW w:w="1118" w:type="dxa"/>
            <w:vAlign w:val="top"/>
          </w:tcPr>
          <w:p>
            <w:pPr>
              <w:pStyle w:val="TableText"/>
              <w:ind w:left="239"/>
              <w:spacing w:before="20" w:line="219" w:lineRule="auto"/>
              <w:rPr>
                <w:sz w:val="21"/>
                <w:szCs w:val="21"/>
              </w:rPr>
            </w:pPr>
            <w:r>
              <w:rPr>
                <w:sz w:val="21"/>
                <w:szCs w:val="21"/>
                <w:b/>
                <w:bCs/>
                <w:spacing w:val="-5"/>
              </w:rPr>
              <w:t>屠宰量</w:t>
            </w:r>
          </w:p>
          <w:p>
            <w:pPr>
              <w:pStyle w:val="TableText"/>
              <w:ind w:left="239"/>
              <w:spacing w:before="20" w:line="209" w:lineRule="auto"/>
              <w:rPr>
                <w:sz w:val="21"/>
                <w:szCs w:val="21"/>
              </w:rPr>
            </w:pPr>
            <w:r>
              <w:rPr>
                <w:sz w:val="21"/>
                <w:szCs w:val="21"/>
                <w:b/>
                <w:bCs/>
                <w:spacing w:val="5"/>
              </w:rPr>
              <w:t>(头/d)</w:t>
            </w:r>
          </w:p>
        </w:tc>
        <w:tc>
          <w:tcPr>
            <w:shd w:val="clear" w:fill="BDBDBD"/>
            <w:tcW w:w="1069" w:type="dxa"/>
            <w:vAlign w:val="top"/>
          </w:tcPr>
          <w:p>
            <w:pPr>
              <w:pStyle w:val="TableText"/>
              <w:ind w:left="221"/>
              <w:spacing w:before="31" w:line="220" w:lineRule="auto"/>
              <w:rPr>
                <w:sz w:val="21"/>
                <w:szCs w:val="21"/>
              </w:rPr>
            </w:pPr>
            <w:r>
              <w:rPr>
                <w:sz w:val="21"/>
                <w:szCs w:val="21"/>
                <w:b/>
                <w:bCs/>
                <w:spacing w:val="-5"/>
              </w:rPr>
              <w:t>活屠重</w:t>
            </w:r>
          </w:p>
          <w:p>
            <w:pPr>
              <w:pStyle w:val="TableText"/>
              <w:ind w:left="160"/>
              <w:spacing w:before="1" w:line="214" w:lineRule="auto"/>
              <w:rPr>
                <w:sz w:val="21"/>
                <w:szCs w:val="21"/>
              </w:rPr>
            </w:pPr>
            <w:r>
              <w:rPr>
                <w:sz w:val="21"/>
                <w:szCs w:val="21"/>
                <w:b/>
                <w:bCs/>
                <w:spacing w:val="7"/>
              </w:rPr>
              <w:t>(</w:t>
            </w:r>
            <w:r>
              <w:rPr>
                <w:sz w:val="21"/>
                <w:szCs w:val="21"/>
                <w:b/>
                <w:bCs/>
              </w:rPr>
              <w:t>kg</w:t>
            </w:r>
            <w:r>
              <w:rPr>
                <w:sz w:val="21"/>
                <w:szCs w:val="21"/>
                <w:b/>
                <w:bCs/>
                <w:spacing w:val="7"/>
              </w:rPr>
              <w:t>/头)</w:t>
            </w:r>
          </w:p>
        </w:tc>
        <w:tc>
          <w:tcPr>
            <w:shd w:val="clear" w:fill="BDBDBD"/>
            <w:tcW w:w="959" w:type="dxa"/>
            <w:vAlign w:val="top"/>
          </w:tcPr>
          <w:p>
            <w:pPr>
              <w:pStyle w:val="TableText"/>
              <w:ind w:left="161"/>
              <w:spacing w:before="21" w:line="220" w:lineRule="auto"/>
              <w:rPr>
                <w:sz w:val="21"/>
                <w:szCs w:val="21"/>
              </w:rPr>
            </w:pPr>
            <w:r>
              <w:rPr>
                <w:sz w:val="21"/>
                <w:szCs w:val="21"/>
                <w:b/>
                <w:bCs/>
                <w:spacing w:val="-5"/>
              </w:rPr>
              <w:t>活屠重</w:t>
            </w:r>
          </w:p>
          <w:p>
            <w:pPr>
              <w:pStyle w:val="TableText"/>
              <w:ind w:left="209"/>
              <w:spacing w:before="25" w:line="203" w:lineRule="auto"/>
              <w:rPr>
                <w:sz w:val="21"/>
                <w:szCs w:val="21"/>
              </w:rPr>
            </w:pPr>
            <w:r>
              <w:rPr>
                <w:sz w:val="21"/>
                <w:szCs w:val="21"/>
                <w:spacing w:val="-8"/>
              </w:rPr>
              <w:t>(t/a)</w:t>
            </w:r>
          </w:p>
        </w:tc>
        <w:tc>
          <w:tcPr>
            <w:shd w:val="clear" w:fill="BDBDBD"/>
            <w:tcW w:w="974" w:type="dxa"/>
            <w:vAlign w:val="top"/>
          </w:tcPr>
          <w:p>
            <w:pPr>
              <w:pStyle w:val="TableText"/>
              <w:ind w:left="63"/>
              <w:spacing w:before="20" w:line="219" w:lineRule="auto"/>
              <w:rPr>
                <w:sz w:val="21"/>
                <w:szCs w:val="21"/>
              </w:rPr>
            </w:pPr>
            <w:r>
              <w:rPr>
                <w:sz w:val="21"/>
                <w:szCs w:val="21"/>
                <w:b/>
                <w:bCs/>
                <w:spacing w:val="-4"/>
              </w:rPr>
              <w:t>屠宰规模</w:t>
            </w:r>
          </w:p>
          <w:p>
            <w:pPr>
              <w:pStyle w:val="TableText"/>
              <w:ind w:left="222"/>
              <w:spacing w:before="23" w:line="206" w:lineRule="auto"/>
              <w:rPr>
                <w:sz w:val="21"/>
                <w:szCs w:val="21"/>
              </w:rPr>
            </w:pPr>
            <w:r>
              <w:rPr>
                <w:sz w:val="21"/>
                <w:szCs w:val="21"/>
                <w:b/>
                <w:bCs/>
                <w:spacing w:val="-10"/>
              </w:rPr>
              <w:t>(t/d)</w:t>
            </w:r>
          </w:p>
        </w:tc>
      </w:tr>
      <w:tr>
        <w:trPr>
          <w:trHeight w:val="269" w:hRule="atLeast"/>
        </w:trPr>
        <w:tc>
          <w:tcPr>
            <w:tcW w:w="884" w:type="dxa"/>
            <w:vAlign w:val="top"/>
            <w:vMerge w:val="restart"/>
            <w:tcBorders>
              <w:bottom w:val="nil"/>
            </w:tcBorders>
          </w:tcPr>
          <w:p>
            <w:pPr>
              <w:pStyle w:val="TableText"/>
              <w:ind w:left="15"/>
              <w:spacing w:before="175" w:line="219" w:lineRule="auto"/>
              <w:rPr>
                <w:sz w:val="21"/>
                <w:szCs w:val="21"/>
              </w:rPr>
            </w:pPr>
            <w:r>
              <w:rPr>
                <w:sz w:val="21"/>
                <w:szCs w:val="21"/>
                <w:spacing w:val="4"/>
              </w:rPr>
              <w:t>肉牛屠宰</w:t>
            </w:r>
          </w:p>
        </w:tc>
        <w:tc>
          <w:tcPr>
            <w:tcW w:w="1138" w:type="dxa"/>
            <w:vAlign w:val="top"/>
            <w:vMerge w:val="restart"/>
            <w:tcBorders>
              <w:bottom w:val="nil"/>
            </w:tcBorders>
          </w:tcPr>
          <w:p>
            <w:pPr>
              <w:pStyle w:val="TableText"/>
              <w:ind w:left="350"/>
              <w:spacing w:before="176" w:line="221" w:lineRule="auto"/>
              <w:rPr>
                <w:sz w:val="21"/>
                <w:szCs w:val="21"/>
              </w:rPr>
            </w:pPr>
            <w:r>
              <w:rPr>
                <w:sz w:val="21"/>
                <w:szCs w:val="21"/>
                <w:spacing w:val="6"/>
              </w:rPr>
              <w:t>肉牛</w:t>
            </w:r>
          </w:p>
        </w:tc>
        <w:tc>
          <w:tcPr>
            <w:tcW w:w="629" w:type="dxa"/>
            <w:vAlign w:val="top"/>
          </w:tcPr>
          <w:p>
            <w:pPr>
              <w:pStyle w:val="TableText"/>
              <w:ind w:left="92"/>
              <w:spacing w:before="34" w:line="197" w:lineRule="auto"/>
              <w:rPr>
                <w:sz w:val="21"/>
                <w:szCs w:val="21"/>
              </w:rPr>
            </w:pPr>
            <w:r>
              <w:rPr>
                <w:sz w:val="21"/>
                <w:szCs w:val="21"/>
                <w:spacing w:val="4"/>
              </w:rPr>
              <w:t>淡季</w:t>
            </w:r>
          </w:p>
        </w:tc>
        <w:tc>
          <w:tcPr>
            <w:tcW w:w="709" w:type="dxa"/>
            <w:vAlign w:val="top"/>
          </w:tcPr>
          <w:p>
            <w:pPr>
              <w:pStyle w:val="TableText"/>
              <w:ind w:left="183"/>
              <w:spacing w:before="56" w:line="178" w:lineRule="auto"/>
              <w:rPr>
                <w:sz w:val="21"/>
                <w:szCs w:val="21"/>
              </w:rPr>
            </w:pPr>
            <w:r>
              <w:rPr>
                <w:sz w:val="21"/>
                <w:szCs w:val="21"/>
                <w:spacing w:val="-3"/>
              </w:rPr>
              <w:t>270</w:t>
            </w:r>
          </w:p>
        </w:tc>
        <w:tc>
          <w:tcPr>
            <w:tcW w:w="1029" w:type="dxa"/>
            <w:vAlign w:val="top"/>
          </w:tcPr>
          <w:p>
            <w:pPr>
              <w:pStyle w:val="TableText"/>
              <w:ind w:left="344"/>
              <w:spacing w:before="56" w:line="178" w:lineRule="auto"/>
              <w:rPr>
                <w:sz w:val="21"/>
                <w:szCs w:val="21"/>
              </w:rPr>
            </w:pPr>
            <w:r>
              <w:rPr>
                <w:sz w:val="21"/>
                <w:szCs w:val="21"/>
                <w:spacing w:val="-3"/>
              </w:rPr>
              <w:t>2.7</w:t>
            </w:r>
          </w:p>
        </w:tc>
        <w:tc>
          <w:tcPr>
            <w:tcW w:w="1118" w:type="dxa"/>
            <w:vAlign w:val="top"/>
          </w:tcPr>
          <w:p>
            <w:pPr>
              <w:pStyle w:val="TableText"/>
              <w:ind w:left="395"/>
              <w:spacing w:before="56" w:line="178" w:lineRule="auto"/>
              <w:rPr>
                <w:sz w:val="21"/>
                <w:szCs w:val="21"/>
              </w:rPr>
            </w:pPr>
            <w:r>
              <w:rPr>
                <w:sz w:val="21"/>
                <w:szCs w:val="21"/>
                <w:spacing w:val="-6"/>
              </w:rPr>
              <w:t>100</w:t>
            </w:r>
          </w:p>
        </w:tc>
        <w:tc>
          <w:tcPr>
            <w:tcW w:w="1069" w:type="dxa"/>
            <w:vAlign w:val="top"/>
            <w:vMerge w:val="restart"/>
            <w:tcBorders>
              <w:bottom w:val="nil"/>
            </w:tcBorders>
          </w:tcPr>
          <w:p>
            <w:pPr>
              <w:pStyle w:val="TableText"/>
              <w:ind w:left="367"/>
              <w:spacing w:before="195"/>
              <w:rPr>
                <w:sz w:val="21"/>
                <w:szCs w:val="21"/>
              </w:rPr>
            </w:pPr>
            <w:r>
              <w:rPr>
                <w:sz w:val="21"/>
                <w:szCs w:val="21"/>
                <w:spacing w:val="-3"/>
              </w:rPr>
              <w:t>500</w:t>
            </w:r>
          </w:p>
        </w:tc>
        <w:tc>
          <w:tcPr>
            <w:tcW w:w="959" w:type="dxa"/>
            <w:vAlign w:val="top"/>
          </w:tcPr>
          <w:p>
            <w:pPr>
              <w:pStyle w:val="TableText"/>
              <w:ind w:left="209"/>
              <w:spacing w:before="56" w:line="178" w:lineRule="auto"/>
              <w:rPr>
                <w:sz w:val="21"/>
                <w:szCs w:val="21"/>
              </w:rPr>
            </w:pPr>
            <w:r>
              <w:rPr>
                <w:sz w:val="21"/>
                <w:szCs w:val="21"/>
                <w:spacing w:val="-4"/>
              </w:rPr>
              <w:t>13500</w:t>
            </w:r>
          </w:p>
        </w:tc>
        <w:tc>
          <w:tcPr>
            <w:tcW w:w="974" w:type="dxa"/>
            <w:vAlign w:val="top"/>
          </w:tcPr>
          <w:p>
            <w:pPr>
              <w:pStyle w:val="TableText"/>
              <w:ind w:left="380"/>
              <w:spacing w:before="56" w:line="178" w:lineRule="auto"/>
              <w:rPr>
                <w:sz w:val="21"/>
                <w:szCs w:val="21"/>
              </w:rPr>
            </w:pPr>
            <w:r>
              <w:rPr>
                <w:sz w:val="21"/>
                <w:szCs w:val="21"/>
                <w:spacing w:val="-4"/>
              </w:rPr>
              <w:t>50</w:t>
            </w:r>
          </w:p>
        </w:tc>
      </w:tr>
      <w:tr>
        <w:trPr>
          <w:trHeight w:val="268" w:hRule="atLeast"/>
        </w:trPr>
        <w:tc>
          <w:tcPr>
            <w:tcW w:w="884" w:type="dxa"/>
            <w:vAlign w:val="top"/>
            <w:vMerge w:val="continue"/>
            <w:tcBorders>
              <w:top w:val="nil"/>
            </w:tcBorders>
          </w:tcPr>
          <w:p>
            <w:pPr>
              <w:rPr>
                <w:rFonts w:ascii="Arial"/>
                <w:sz w:val="21"/>
              </w:rPr>
            </w:pPr>
            <w:r/>
          </w:p>
        </w:tc>
        <w:tc>
          <w:tcPr>
            <w:tcW w:w="1138" w:type="dxa"/>
            <w:vAlign w:val="top"/>
            <w:vMerge w:val="continue"/>
            <w:tcBorders>
              <w:top w:val="nil"/>
            </w:tcBorders>
          </w:tcPr>
          <w:p>
            <w:pPr>
              <w:rPr>
                <w:rFonts w:ascii="Arial"/>
                <w:sz w:val="21"/>
              </w:rPr>
            </w:pPr>
            <w:r/>
          </w:p>
        </w:tc>
        <w:tc>
          <w:tcPr>
            <w:tcW w:w="629" w:type="dxa"/>
            <w:vAlign w:val="top"/>
          </w:tcPr>
          <w:p>
            <w:pPr>
              <w:pStyle w:val="TableText"/>
              <w:ind w:left="92"/>
              <w:spacing w:before="36" w:line="195" w:lineRule="auto"/>
              <w:rPr>
                <w:sz w:val="21"/>
                <w:szCs w:val="21"/>
              </w:rPr>
            </w:pPr>
            <w:r>
              <w:rPr>
                <w:sz w:val="21"/>
                <w:szCs w:val="21"/>
                <w:color w:val="506060"/>
                <w:spacing w:val="4"/>
              </w:rPr>
              <w:t>旺季</w:t>
            </w:r>
          </w:p>
        </w:tc>
        <w:tc>
          <w:tcPr>
            <w:tcW w:w="709" w:type="dxa"/>
            <w:vAlign w:val="top"/>
          </w:tcPr>
          <w:p>
            <w:pPr>
              <w:pStyle w:val="TableText"/>
              <w:ind w:left="243"/>
              <w:spacing w:before="57" w:line="176" w:lineRule="auto"/>
              <w:rPr>
                <w:sz w:val="21"/>
                <w:szCs w:val="21"/>
              </w:rPr>
            </w:pPr>
            <w:r>
              <w:rPr>
                <w:sz w:val="21"/>
                <w:szCs w:val="21"/>
                <w:spacing w:val="-3"/>
              </w:rPr>
              <w:t>90</w:t>
            </w:r>
          </w:p>
        </w:tc>
        <w:tc>
          <w:tcPr>
            <w:tcW w:w="1029" w:type="dxa"/>
            <w:vAlign w:val="top"/>
          </w:tcPr>
          <w:p>
            <w:pPr>
              <w:pStyle w:val="TableText"/>
              <w:ind w:left="344"/>
              <w:spacing w:before="57" w:line="176" w:lineRule="auto"/>
              <w:rPr>
                <w:sz w:val="21"/>
                <w:szCs w:val="21"/>
              </w:rPr>
            </w:pPr>
            <w:r>
              <w:rPr>
                <w:sz w:val="21"/>
                <w:szCs w:val="21"/>
                <w:spacing w:val="-6"/>
              </w:rPr>
              <w:t>1.3</w:t>
            </w:r>
          </w:p>
        </w:tc>
        <w:tc>
          <w:tcPr>
            <w:tcW w:w="1118" w:type="dxa"/>
            <w:vAlign w:val="top"/>
          </w:tcPr>
          <w:p>
            <w:pPr>
              <w:pStyle w:val="TableText"/>
              <w:ind w:left="395"/>
              <w:spacing w:before="57" w:line="176" w:lineRule="auto"/>
              <w:rPr>
                <w:sz w:val="21"/>
                <w:szCs w:val="21"/>
              </w:rPr>
            </w:pPr>
            <w:r>
              <w:rPr>
                <w:sz w:val="21"/>
                <w:szCs w:val="21"/>
                <w:spacing w:val="-6"/>
              </w:rPr>
              <w:t>144</w:t>
            </w:r>
          </w:p>
        </w:tc>
        <w:tc>
          <w:tcPr>
            <w:tcW w:w="1069" w:type="dxa"/>
            <w:vAlign w:val="top"/>
            <w:vMerge w:val="continue"/>
            <w:tcBorders>
              <w:top w:val="nil"/>
            </w:tcBorders>
          </w:tcPr>
          <w:p>
            <w:pPr>
              <w:rPr>
                <w:rFonts w:ascii="Arial"/>
                <w:sz w:val="21"/>
              </w:rPr>
            </w:pPr>
            <w:r/>
          </w:p>
        </w:tc>
        <w:tc>
          <w:tcPr>
            <w:tcW w:w="959" w:type="dxa"/>
            <w:vAlign w:val="top"/>
          </w:tcPr>
          <w:p>
            <w:pPr>
              <w:pStyle w:val="TableText"/>
              <w:ind w:left="268"/>
              <w:spacing w:before="57" w:line="176" w:lineRule="auto"/>
              <w:rPr>
                <w:sz w:val="21"/>
                <w:szCs w:val="21"/>
              </w:rPr>
            </w:pPr>
            <w:r>
              <w:rPr>
                <w:sz w:val="21"/>
                <w:szCs w:val="21"/>
                <w:spacing w:val="-2"/>
              </w:rPr>
              <w:t>6500</w:t>
            </w:r>
          </w:p>
        </w:tc>
        <w:tc>
          <w:tcPr>
            <w:tcW w:w="974" w:type="dxa"/>
            <w:vAlign w:val="top"/>
          </w:tcPr>
          <w:p>
            <w:pPr>
              <w:pStyle w:val="TableText"/>
              <w:ind w:left="380"/>
              <w:spacing w:before="57" w:line="176" w:lineRule="auto"/>
              <w:rPr>
                <w:sz w:val="21"/>
                <w:szCs w:val="21"/>
              </w:rPr>
            </w:pPr>
            <w:r>
              <w:rPr>
                <w:sz w:val="21"/>
                <w:szCs w:val="21"/>
                <w:spacing w:val="-4"/>
              </w:rPr>
              <w:t>72</w:t>
            </w:r>
          </w:p>
        </w:tc>
      </w:tr>
      <w:tr>
        <w:trPr>
          <w:trHeight w:val="274" w:hRule="atLeast"/>
        </w:trPr>
        <w:tc>
          <w:tcPr>
            <w:tcW w:w="2651" w:type="dxa"/>
            <w:vAlign w:val="top"/>
            <w:gridSpan w:val="3"/>
          </w:tcPr>
          <w:p>
            <w:pPr>
              <w:pStyle w:val="TableText"/>
              <w:ind w:left="897"/>
              <w:spacing w:before="36" w:line="200" w:lineRule="auto"/>
              <w:rPr>
                <w:sz w:val="21"/>
                <w:szCs w:val="21"/>
              </w:rPr>
            </w:pPr>
            <w:r>
              <w:rPr>
                <w:sz w:val="21"/>
                <w:szCs w:val="21"/>
                <w:b/>
                <w:bCs/>
                <w:spacing w:val="-2"/>
              </w:rPr>
              <w:t>肉牛合计</w:t>
            </w:r>
          </w:p>
        </w:tc>
        <w:tc>
          <w:tcPr>
            <w:tcW w:w="709" w:type="dxa"/>
            <w:vAlign w:val="top"/>
          </w:tcPr>
          <w:p>
            <w:pPr>
              <w:pStyle w:val="TableText"/>
              <w:ind w:left="186"/>
              <w:spacing w:before="58" w:line="181" w:lineRule="auto"/>
              <w:rPr>
                <w:sz w:val="21"/>
                <w:szCs w:val="21"/>
              </w:rPr>
            </w:pPr>
            <w:r>
              <w:rPr>
                <w:sz w:val="21"/>
                <w:szCs w:val="21"/>
                <w:b/>
                <w:bCs/>
                <w:spacing w:val="-5"/>
              </w:rPr>
              <w:t>360</w:t>
            </w:r>
          </w:p>
        </w:tc>
        <w:tc>
          <w:tcPr>
            <w:tcW w:w="1029" w:type="dxa"/>
            <w:vAlign w:val="top"/>
          </w:tcPr>
          <w:p>
            <w:pPr>
              <w:pStyle w:val="TableText"/>
              <w:ind w:left="458"/>
              <w:spacing w:before="59" w:line="180" w:lineRule="auto"/>
              <w:rPr>
                <w:sz w:val="21"/>
                <w:szCs w:val="21"/>
              </w:rPr>
            </w:pPr>
            <w:r>
              <w:rPr>
                <w:sz w:val="21"/>
                <w:szCs w:val="21"/>
                <w:b/>
                <w:bCs/>
                <w:spacing w:val="-3"/>
              </w:rPr>
              <w:t>4</w:t>
            </w:r>
          </w:p>
        </w:tc>
        <w:tc>
          <w:tcPr>
            <w:tcW w:w="1118" w:type="dxa"/>
            <w:vAlign w:val="top"/>
          </w:tcPr>
          <w:p>
            <w:pPr>
              <w:pStyle w:val="TableText"/>
              <w:ind w:left="496"/>
              <w:spacing w:before="44" w:line="193" w:lineRule="auto"/>
              <w:rPr>
                <w:sz w:val="21"/>
                <w:szCs w:val="21"/>
              </w:rPr>
            </w:pPr>
            <w:r>
              <w:rPr>
                <w:sz w:val="21"/>
                <w:szCs w:val="21"/>
              </w:rPr>
              <w:t>/</w:t>
            </w:r>
          </w:p>
        </w:tc>
        <w:tc>
          <w:tcPr>
            <w:tcW w:w="1069" w:type="dxa"/>
            <w:vAlign w:val="top"/>
            <w:textDirection w:val="tbRlV"/>
          </w:tcPr>
          <w:p>
            <w:pPr>
              <w:spacing w:line="403" w:lineRule="auto"/>
              <w:rPr>
                <w:rFonts w:ascii="Arial"/>
                <w:sz w:val="21"/>
              </w:rPr>
            </w:pPr>
            <w:r/>
          </w:p>
          <w:p>
            <w:pPr>
              <w:pStyle w:val="TableText"/>
              <w:ind w:left="10"/>
              <w:spacing w:before="71" w:line="136" w:lineRule="exact"/>
              <w:rPr>
                <w:sz w:val="21"/>
                <w:szCs w:val="21"/>
              </w:rPr>
            </w:pPr>
            <w:r>
              <w:rPr>
                <w:sz w:val="21"/>
                <w:szCs w:val="21"/>
                <w:spacing w:val="52"/>
                <w:w w:val="141"/>
                <w:position w:val="-1"/>
              </w:rPr>
              <w:t>/</w:t>
            </w:r>
          </w:p>
        </w:tc>
        <w:tc>
          <w:tcPr>
            <w:tcW w:w="959" w:type="dxa"/>
            <w:vAlign w:val="top"/>
          </w:tcPr>
          <w:p>
            <w:pPr>
              <w:pStyle w:val="TableText"/>
              <w:ind w:left="212"/>
              <w:spacing w:before="58" w:line="181" w:lineRule="auto"/>
              <w:rPr>
                <w:sz w:val="21"/>
                <w:szCs w:val="21"/>
              </w:rPr>
            </w:pPr>
            <w:r>
              <w:rPr>
                <w:sz w:val="21"/>
                <w:szCs w:val="21"/>
                <w:b/>
                <w:bCs/>
                <w:spacing w:val="-4"/>
              </w:rPr>
              <w:t>20000</w:t>
            </w:r>
          </w:p>
        </w:tc>
        <w:tc>
          <w:tcPr>
            <w:tcW w:w="974" w:type="dxa"/>
            <w:vAlign w:val="top"/>
          </w:tcPr>
          <w:p>
            <w:pPr>
              <w:pStyle w:val="TableText"/>
              <w:ind w:left="429"/>
              <w:spacing w:before="44" w:line="193" w:lineRule="auto"/>
              <w:rPr>
                <w:sz w:val="21"/>
                <w:szCs w:val="21"/>
              </w:rPr>
            </w:pPr>
            <w:r>
              <w:rPr>
                <w:sz w:val="21"/>
                <w:szCs w:val="21"/>
              </w:rPr>
              <w:t>/</w:t>
            </w:r>
          </w:p>
        </w:tc>
      </w:tr>
    </w:tbl>
    <w:p>
      <w:pPr>
        <w:ind w:left="2788"/>
        <w:spacing w:before="71" w:line="214" w:lineRule="auto"/>
        <w:rPr>
          <w:rFonts w:ascii="SimSun" w:hAnsi="SimSun" w:eastAsia="SimSun" w:cs="SimSun"/>
          <w:sz w:val="24"/>
          <w:szCs w:val="24"/>
        </w:rPr>
      </w:pPr>
      <w:r>
        <w:rPr>
          <w:rFonts w:ascii="SimSun" w:hAnsi="SimSun" w:eastAsia="SimSun" w:cs="SimSun"/>
          <w:sz w:val="24"/>
          <w:szCs w:val="24"/>
          <w:b/>
          <w:bCs/>
          <w:spacing w:val="-1"/>
          <w:position w:val="-1"/>
        </w:rPr>
        <w:t>表3.1-3项目产品方案一览表</w:t>
      </w:r>
      <w:r>
        <w:rPr>
          <w:rFonts w:ascii="SimSun" w:hAnsi="SimSun" w:eastAsia="SimSun" w:cs="SimSun"/>
          <w:sz w:val="24"/>
          <w:szCs w:val="24"/>
          <w:spacing w:val="9"/>
          <w:position w:val="-1"/>
        </w:rPr>
        <w:t xml:space="preserve">          </w:t>
      </w:r>
      <w:r>
        <w:rPr>
          <w:rFonts w:ascii="SimSun" w:hAnsi="SimSun" w:eastAsia="SimSun" w:cs="SimSun"/>
          <w:sz w:val="24"/>
          <w:szCs w:val="24"/>
          <w:b/>
          <w:bCs/>
          <w:spacing w:val="-1"/>
          <w:position w:val="1"/>
        </w:rPr>
        <w:t>(单位：t/a)</w:t>
      </w:r>
    </w:p>
    <w:tbl>
      <w:tblPr>
        <w:tblStyle w:val="TableNormal"/>
        <w:tblW w:w="8499" w:type="dxa"/>
        <w:tblInd w:w="1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43"/>
        <w:gridCol w:w="1438"/>
        <w:gridCol w:w="839"/>
        <w:gridCol w:w="849"/>
        <w:gridCol w:w="979"/>
        <w:gridCol w:w="939"/>
        <w:gridCol w:w="1348"/>
        <w:gridCol w:w="864"/>
      </w:tblGrid>
      <w:tr>
        <w:trPr>
          <w:trHeight w:val="275" w:hRule="atLeast"/>
        </w:trPr>
        <w:tc>
          <w:tcPr>
            <w:shd w:val="clear" w:fill="BDBDBD"/>
            <w:tcW w:w="1243" w:type="dxa"/>
            <w:vAlign w:val="top"/>
          </w:tcPr>
          <w:p>
            <w:pPr>
              <w:pStyle w:val="TableText"/>
              <w:ind w:left="398"/>
              <w:spacing w:before="30" w:line="197" w:lineRule="auto"/>
              <w:rPr>
                <w:sz w:val="22"/>
                <w:szCs w:val="22"/>
              </w:rPr>
            </w:pPr>
            <w:r>
              <w:rPr>
                <w:sz w:val="22"/>
                <w:szCs w:val="22"/>
                <w:b/>
                <w:bCs/>
                <w:spacing w:val="3"/>
              </w:rPr>
              <w:t>类别</w:t>
            </w:r>
          </w:p>
        </w:tc>
        <w:tc>
          <w:tcPr>
            <w:shd w:val="clear" w:fill="BDBDBD"/>
            <w:tcW w:w="3126" w:type="dxa"/>
            <w:vAlign w:val="top"/>
            <w:gridSpan w:val="3"/>
          </w:tcPr>
          <w:p>
            <w:pPr>
              <w:pStyle w:val="TableText"/>
              <w:ind w:left="1115"/>
              <w:spacing w:before="30" w:line="197" w:lineRule="auto"/>
              <w:rPr>
                <w:sz w:val="22"/>
                <w:szCs w:val="22"/>
              </w:rPr>
            </w:pPr>
            <w:r>
              <w:rPr>
                <w:sz w:val="22"/>
                <w:szCs w:val="22"/>
                <w:b/>
                <w:bCs/>
                <w:spacing w:val="-4"/>
              </w:rPr>
              <w:t>产品名称</w:t>
            </w:r>
          </w:p>
        </w:tc>
        <w:tc>
          <w:tcPr>
            <w:shd w:val="clear" w:fill="BDBDBD"/>
            <w:tcW w:w="1918" w:type="dxa"/>
            <w:vAlign w:val="top"/>
            <w:gridSpan w:val="2"/>
          </w:tcPr>
          <w:p>
            <w:pPr>
              <w:pStyle w:val="TableText"/>
              <w:ind w:left="409"/>
              <w:spacing w:before="30" w:line="197" w:lineRule="auto"/>
              <w:rPr>
                <w:sz w:val="22"/>
                <w:szCs w:val="22"/>
              </w:rPr>
            </w:pPr>
            <w:r>
              <w:rPr>
                <w:sz w:val="22"/>
                <w:szCs w:val="22"/>
                <w:b/>
                <w:bCs/>
                <w:spacing w:val="-4"/>
              </w:rPr>
              <w:t>主产品产量</w:t>
            </w:r>
          </w:p>
        </w:tc>
        <w:tc>
          <w:tcPr>
            <w:shd w:val="clear" w:fill="BDBDBD"/>
            <w:tcW w:w="1348" w:type="dxa"/>
            <w:vAlign w:val="top"/>
          </w:tcPr>
          <w:p>
            <w:pPr>
              <w:pStyle w:val="TableText"/>
              <w:ind w:left="121"/>
              <w:spacing w:before="30" w:line="197" w:lineRule="auto"/>
              <w:rPr>
                <w:sz w:val="22"/>
                <w:szCs w:val="22"/>
              </w:rPr>
            </w:pPr>
            <w:r>
              <w:rPr>
                <w:sz w:val="22"/>
                <w:szCs w:val="22"/>
                <w:b/>
                <w:bCs/>
                <w:spacing w:val="-5"/>
              </w:rPr>
              <w:t>副产品产量</w:t>
            </w:r>
          </w:p>
        </w:tc>
        <w:tc>
          <w:tcPr>
            <w:shd w:val="clear" w:fill="BDBDBD"/>
            <w:tcW w:w="864" w:type="dxa"/>
            <w:vAlign w:val="top"/>
          </w:tcPr>
          <w:p>
            <w:pPr>
              <w:pStyle w:val="TableText"/>
              <w:ind w:left="213"/>
              <w:spacing w:before="32" w:line="195" w:lineRule="auto"/>
              <w:rPr>
                <w:sz w:val="22"/>
                <w:szCs w:val="22"/>
              </w:rPr>
            </w:pPr>
            <w:r>
              <w:rPr>
                <w:sz w:val="22"/>
                <w:szCs w:val="22"/>
                <w:b/>
                <w:bCs/>
                <w:spacing w:val="-5"/>
              </w:rPr>
              <w:t>合计</w:t>
            </w:r>
          </w:p>
        </w:tc>
      </w:tr>
      <w:tr>
        <w:trPr>
          <w:trHeight w:val="279" w:hRule="atLeast"/>
        </w:trPr>
        <w:tc>
          <w:tcPr>
            <w:tcW w:w="1243" w:type="dxa"/>
            <w:vAlign w:val="top"/>
            <w:vMerge w:val="restart"/>
            <w:tcBorders>
              <w:bottom w:val="nil"/>
            </w:tcBorders>
          </w:tcPr>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pStyle w:val="TableText"/>
              <w:ind w:left="394"/>
              <w:spacing w:before="72" w:line="220" w:lineRule="auto"/>
              <w:rPr>
                <w:sz w:val="22"/>
                <w:szCs w:val="22"/>
              </w:rPr>
            </w:pPr>
            <w:r>
              <w:rPr>
                <w:sz w:val="22"/>
                <w:szCs w:val="22"/>
                <w:spacing w:val="-3"/>
              </w:rPr>
              <w:t>生猪</w:t>
            </w:r>
          </w:p>
        </w:tc>
        <w:tc>
          <w:tcPr>
            <w:tcW w:w="1438" w:type="dxa"/>
            <w:vAlign w:val="top"/>
            <w:vMerge w:val="restart"/>
            <w:tcBorders>
              <w:bottom w:val="nil"/>
            </w:tcBorders>
          </w:tcPr>
          <w:p>
            <w:pPr>
              <w:spacing w:line="385" w:lineRule="auto"/>
              <w:rPr>
                <w:rFonts w:ascii="Arial"/>
                <w:sz w:val="21"/>
              </w:rPr>
            </w:pPr>
            <w:r/>
          </w:p>
          <w:p>
            <w:pPr>
              <w:pStyle w:val="TableText"/>
              <w:ind w:left="382"/>
              <w:spacing w:before="71" w:line="219" w:lineRule="auto"/>
              <w:rPr>
                <w:sz w:val="22"/>
                <w:szCs w:val="22"/>
              </w:rPr>
            </w:pPr>
            <w:r>
              <w:rPr>
                <w:sz w:val="22"/>
                <w:szCs w:val="22"/>
                <w:spacing w:val="7"/>
              </w:rPr>
              <w:t>主产品</w:t>
            </w:r>
          </w:p>
        </w:tc>
        <w:tc>
          <w:tcPr>
            <w:tcW w:w="1688" w:type="dxa"/>
            <w:vAlign w:val="top"/>
            <w:gridSpan w:val="2"/>
          </w:tcPr>
          <w:p>
            <w:pPr>
              <w:pStyle w:val="TableText"/>
              <w:ind w:left="393"/>
              <w:spacing w:before="29" w:line="201" w:lineRule="auto"/>
              <w:rPr>
                <w:sz w:val="22"/>
                <w:szCs w:val="22"/>
              </w:rPr>
            </w:pPr>
            <w:r>
              <w:rPr>
                <w:sz w:val="22"/>
                <w:szCs w:val="22"/>
                <w:spacing w:val="2"/>
              </w:rPr>
              <w:t>白条胴体</w:t>
            </w:r>
          </w:p>
        </w:tc>
        <w:tc>
          <w:tcPr>
            <w:tcW w:w="979" w:type="dxa"/>
            <w:vAlign w:val="top"/>
          </w:tcPr>
          <w:p>
            <w:pPr>
              <w:pStyle w:val="TableText"/>
              <w:ind w:left="205"/>
              <w:spacing w:before="50" w:line="183" w:lineRule="auto"/>
              <w:rPr>
                <w:sz w:val="22"/>
                <w:szCs w:val="22"/>
              </w:rPr>
            </w:pPr>
            <w:r>
              <w:rPr>
                <w:sz w:val="22"/>
                <w:szCs w:val="22"/>
                <w:spacing w:val="-2"/>
              </w:rPr>
              <w:t>24000</w:t>
            </w:r>
          </w:p>
        </w:tc>
        <w:tc>
          <w:tcPr>
            <w:tcW w:w="939" w:type="dxa"/>
            <w:vAlign w:val="top"/>
          </w:tcPr>
          <w:p>
            <w:pPr>
              <w:pStyle w:val="TableText"/>
              <w:ind w:left="406"/>
              <w:spacing w:before="154" w:line="115" w:lineRule="exact"/>
              <w:rPr>
                <w:sz w:val="22"/>
                <w:szCs w:val="22"/>
              </w:rPr>
            </w:pPr>
            <w:r>
              <w:rPr>
                <w:sz w:val="22"/>
                <w:szCs w:val="22"/>
                <w:position w:val="-5"/>
              </w:rPr>
              <w:t>-</w:t>
            </w:r>
          </w:p>
        </w:tc>
        <w:tc>
          <w:tcPr>
            <w:tcW w:w="1348" w:type="dxa"/>
            <w:vAlign w:val="top"/>
          </w:tcPr>
          <w:p>
            <w:pPr>
              <w:pStyle w:val="TableText"/>
              <w:ind w:left="617"/>
              <w:spacing w:before="154" w:line="115" w:lineRule="exact"/>
              <w:rPr>
                <w:sz w:val="22"/>
                <w:szCs w:val="22"/>
              </w:rPr>
            </w:pPr>
            <w:r>
              <w:rPr>
                <w:sz w:val="22"/>
                <w:szCs w:val="22"/>
                <w:position w:val="-5"/>
              </w:rPr>
              <w:t>-</w:t>
            </w:r>
          </w:p>
        </w:tc>
        <w:tc>
          <w:tcPr>
            <w:tcW w:w="864" w:type="dxa"/>
            <w:vAlign w:val="top"/>
          </w:tcPr>
          <w:p>
            <w:pPr>
              <w:pStyle w:val="TableText"/>
              <w:ind w:left="149"/>
              <w:spacing w:before="50" w:line="183" w:lineRule="auto"/>
              <w:rPr>
                <w:sz w:val="22"/>
                <w:szCs w:val="22"/>
              </w:rPr>
            </w:pPr>
            <w:r>
              <w:rPr>
                <w:sz w:val="22"/>
                <w:szCs w:val="22"/>
                <w:spacing w:val="-2"/>
              </w:rPr>
              <w:t>24000</w:t>
            </w:r>
          </w:p>
        </w:tc>
      </w:tr>
      <w:tr>
        <w:trPr>
          <w:trHeight w:val="270" w:hRule="atLeast"/>
        </w:trPr>
        <w:tc>
          <w:tcPr>
            <w:tcW w:w="1243" w:type="dxa"/>
            <w:vAlign w:val="top"/>
            <w:vMerge w:val="continue"/>
            <w:tcBorders>
              <w:top w:val="nil"/>
              <w:bottom w:val="nil"/>
            </w:tcBorders>
          </w:tcPr>
          <w:p>
            <w:pPr>
              <w:rPr>
                <w:rFonts w:ascii="Arial"/>
                <w:sz w:val="21"/>
              </w:rPr>
            </w:pPr>
            <w:r/>
          </w:p>
        </w:tc>
        <w:tc>
          <w:tcPr>
            <w:tcW w:w="1438" w:type="dxa"/>
            <w:vAlign w:val="top"/>
            <w:vMerge w:val="continue"/>
            <w:tcBorders>
              <w:top w:val="nil"/>
              <w:bottom w:val="nil"/>
            </w:tcBorders>
          </w:tcPr>
          <w:p>
            <w:pPr>
              <w:rPr>
                <w:rFonts w:ascii="Arial"/>
                <w:sz w:val="21"/>
              </w:rPr>
            </w:pPr>
            <w:r/>
          </w:p>
        </w:tc>
        <w:tc>
          <w:tcPr>
            <w:tcW w:w="839" w:type="dxa"/>
            <w:vAlign w:val="top"/>
            <w:vMerge w:val="restart"/>
            <w:tcBorders>
              <w:bottom w:val="nil"/>
            </w:tcBorders>
          </w:tcPr>
          <w:p>
            <w:pPr>
              <w:pStyle w:val="TableText"/>
              <w:ind w:left="84"/>
              <w:spacing w:before="310" w:line="219" w:lineRule="auto"/>
              <w:rPr>
                <w:sz w:val="22"/>
                <w:szCs w:val="22"/>
              </w:rPr>
            </w:pPr>
            <w:r>
              <w:rPr>
                <w:sz w:val="22"/>
                <w:szCs w:val="22"/>
                <w:spacing w:val="3"/>
              </w:rPr>
              <w:t>分割类</w:t>
            </w:r>
          </w:p>
        </w:tc>
        <w:tc>
          <w:tcPr>
            <w:tcW w:w="849" w:type="dxa"/>
            <w:vAlign w:val="top"/>
          </w:tcPr>
          <w:p>
            <w:pPr>
              <w:pStyle w:val="TableText"/>
              <w:ind w:left="194"/>
              <w:spacing w:before="30" w:line="193" w:lineRule="auto"/>
              <w:rPr>
                <w:sz w:val="22"/>
                <w:szCs w:val="22"/>
              </w:rPr>
            </w:pPr>
            <w:r>
              <w:rPr>
                <w:sz w:val="22"/>
                <w:szCs w:val="22"/>
                <w:color w:val="506060"/>
                <w:spacing w:val="6"/>
              </w:rPr>
              <w:t>排骨</w:t>
            </w:r>
          </w:p>
        </w:tc>
        <w:tc>
          <w:tcPr>
            <w:tcW w:w="979" w:type="dxa"/>
            <w:vAlign w:val="top"/>
          </w:tcPr>
          <w:p>
            <w:pPr>
              <w:pStyle w:val="TableText"/>
              <w:ind w:left="465"/>
              <w:spacing w:before="140" w:line="54" w:lineRule="exact"/>
              <w:rPr>
                <w:sz w:val="8"/>
                <w:szCs w:val="8"/>
              </w:rPr>
            </w:pPr>
            <w:r>
              <w:rPr>
                <w:sz w:val="8"/>
                <w:szCs w:val="8"/>
                <w:position w:val="-1"/>
              </w:rPr>
              <w:t>-</w:t>
            </w:r>
          </w:p>
        </w:tc>
        <w:tc>
          <w:tcPr>
            <w:tcW w:w="939" w:type="dxa"/>
            <w:vAlign w:val="top"/>
          </w:tcPr>
          <w:p>
            <w:pPr>
              <w:pStyle w:val="TableText"/>
              <w:ind w:left="246"/>
              <w:spacing w:before="52" w:line="174" w:lineRule="auto"/>
              <w:rPr>
                <w:sz w:val="22"/>
                <w:szCs w:val="22"/>
              </w:rPr>
            </w:pPr>
            <w:r>
              <w:rPr>
                <w:sz w:val="22"/>
                <w:szCs w:val="22"/>
                <w:spacing w:val="-2"/>
              </w:rPr>
              <w:t>6400</w:t>
            </w:r>
          </w:p>
        </w:tc>
        <w:tc>
          <w:tcPr>
            <w:tcW w:w="1348" w:type="dxa"/>
            <w:vAlign w:val="top"/>
          </w:tcPr>
          <w:p>
            <w:pPr>
              <w:pStyle w:val="TableText"/>
              <w:ind w:left="617"/>
              <w:spacing w:before="155" w:line="105" w:lineRule="exact"/>
              <w:rPr>
                <w:sz w:val="22"/>
                <w:szCs w:val="22"/>
              </w:rPr>
            </w:pPr>
            <w:r>
              <w:rPr>
                <w:sz w:val="22"/>
                <w:szCs w:val="22"/>
                <w:position w:val="-5"/>
              </w:rPr>
              <w:t>-</w:t>
            </w:r>
          </w:p>
        </w:tc>
        <w:tc>
          <w:tcPr>
            <w:tcW w:w="864" w:type="dxa"/>
            <w:vAlign w:val="top"/>
          </w:tcPr>
          <w:p>
            <w:pPr>
              <w:pStyle w:val="TableText"/>
              <w:ind w:left="210"/>
              <w:spacing w:before="52" w:line="174" w:lineRule="auto"/>
              <w:rPr>
                <w:sz w:val="22"/>
                <w:szCs w:val="22"/>
              </w:rPr>
            </w:pPr>
            <w:r>
              <w:rPr>
                <w:sz w:val="22"/>
                <w:szCs w:val="22"/>
                <w:spacing w:val="-2"/>
              </w:rPr>
              <w:t>6400</w:t>
            </w:r>
          </w:p>
        </w:tc>
      </w:tr>
      <w:tr>
        <w:trPr>
          <w:trHeight w:val="270" w:hRule="atLeast"/>
        </w:trPr>
        <w:tc>
          <w:tcPr>
            <w:tcW w:w="1243" w:type="dxa"/>
            <w:vAlign w:val="top"/>
            <w:vMerge w:val="continue"/>
            <w:tcBorders>
              <w:top w:val="nil"/>
              <w:bottom w:val="nil"/>
            </w:tcBorders>
          </w:tcPr>
          <w:p>
            <w:pPr>
              <w:rPr>
                <w:rFonts w:ascii="Arial"/>
                <w:sz w:val="21"/>
              </w:rPr>
            </w:pPr>
            <w:r/>
          </w:p>
        </w:tc>
        <w:tc>
          <w:tcPr>
            <w:tcW w:w="1438" w:type="dxa"/>
            <w:vAlign w:val="top"/>
            <w:vMerge w:val="continue"/>
            <w:tcBorders>
              <w:top w:val="nil"/>
              <w:bottom w:val="nil"/>
            </w:tcBorders>
          </w:tcPr>
          <w:p>
            <w:pPr>
              <w:rPr>
                <w:rFonts w:ascii="Arial"/>
                <w:sz w:val="21"/>
              </w:rPr>
            </w:pPr>
            <w:r/>
          </w:p>
        </w:tc>
        <w:tc>
          <w:tcPr>
            <w:tcW w:w="839" w:type="dxa"/>
            <w:vAlign w:val="top"/>
            <w:vMerge w:val="continue"/>
            <w:tcBorders>
              <w:top w:val="nil"/>
              <w:bottom w:val="nil"/>
            </w:tcBorders>
          </w:tcPr>
          <w:p>
            <w:pPr>
              <w:rPr>
                <w:rFonts w:ascii="Arial"/>
                <w:sz w:val="21"/>
              </w:rPr>
            </w:pPr>
            <w:r/>
          </w:p>
        </w:tc>
        <w:tc>
          <w:tcPr>
            <w:tcW w:w="849" w:type="dxa"/>
            <w:vAlign w:val="top"/>
          </w:tcPr>
          <w:p>
            <w:pPr>
              <w:pStyle w:val="TableText"/>
              <w:ind w:left="194"/>
              <w:spacing w:before="30" w:line="193" w:lineRule="auto"/>
              <w:rPr>
                <w:sz w:val="22"/>
                <w:szCs w:val="22"/>
              </w:rPr>
            </w:pPr>
            <w:r>
              <w:rPr>
                <w:sz w:val="22"/>
                <w:szCs w:val="22"/>
                <w:color w:val="706060"/>
                <w:spacing w:val="6"/>
              </w:rPr>
              <w:t>筒骨</w:t>
            </w:r>
          </w:p>
        </w:tc>
        <w:tc>
          <w:tcPr>
            <w:tcW w:w="979" w:type="dxa"/>
            <w:vAlign w:val="top"/>
          </w:tcPr>
          <w:p>
            <w:pPr>
              <w:pStyle w:val="TableText"/>
              <w:ind w:left="465"/>
              <w:spacing w:before="140" w:line="54" w:lineRule="exact"/>
              <w:rPr>
                <w:sz w:val="8"/>
                <w:szCs w:val="8"/>
              </w:rPr>
            </w:pPr>
            <w:r>
              <w:rPr>
                <w:sz w:val="8"/>
                <w:szCs w:val="8"/>
                <w:position w:val="-1"/>
              </w:rPr>
              <w:t>-</w:t>
            </w:r>
          </w:p>
        </w:tc>
        <w:tc>
          <w:tcPr>
            <w:tcW w:w="939" w:type="dxa"/>
            <w:vAlign w:val="top"/>
          </w:tcPr>
          <w:p>
            <w:pPr>
              <w:pStyle w:val="TableText"/>
              <w:ind w:left="246"/>
              <w:spacing w:before="52" w:line="174" w:lineRule="auto"/>
              <w:rPr>
                <w:sz w:val="22"/>
                <w:szCs w:val="22"/>
              </w:rPr>
            </w:pPr>
            <w:r>
              <w:rPr>
                <w:sz w:val="22"/>
                <w:szCs w:val="22"/>
                <w:spacing w:val="-5"/>
              </w:rPr>
              <w:t>1120</w:t>
            </w:r>
          </w:p>
        </w:tc>
        <w:tc>
          <w:tcPr>
            <w:tcW w:w="1348" w:type="dxa"/>
            <w:vAlign w:val="top"/>
          </w:tcPr>
          <w:p>
            <w:pPr>
              <w:rPr>
                <w:rFonts w:ascii="Arial"/>
                <w:sz w:val="21"/>
              </w:rPr>
            </w:pPr>
            <w:r/>
          </w:p>
        </w:tc>
        <w:tc>
          <w:tcPr>
            <w:tcW w:w="864" w:type="dxa"/>
            <w:vAlign w:val="top"/>
          </w:tcPr>
          <w:p>
            <w:pPr>
              <w:pStyle w:val="TableText"/>
              <w:ind w:left="210"/>
              <w:spacing w:before="52" w:line="174" w:lineRule="auto"/>
              <w:rPr>
                <w:sz w:val="22"/>
                <w:szCs w:val="22"/>
              </w:rPr>
            </w:pPr>
            <w:r>
              <w:rPr>
                <w:sz w:val="22"/>
                <w:szCs w:val="22"/>
                <w:spacing w:val="-5"/>
              </w:rPr>
              <w:t>1120</w:t>
            </w:r>
          </w:p>
        </w:tc>
      </w:tr>
      <w:tr>
        <w:trPr>
          <w:trHeight w:val="279" w:hRule="atLeast"/>
        </w:trPr>
        <w:tc>
          <w:tcPr>
            <w:tcW w:w="1243" w:type="dxa"/>
            <w:vAlign w:val="top"/>
            <w:vMerge w:val="continue"/>
            <w:tcBorders>
              <w:top w:val="nil"/>
              <w:bottom w:val="nil"/>
            </w:tcBorders>
          </w:tcPr>
          <w:p>
            <w:pPr>
              <w:rPr>
                <w:rFonts w:ascii="Arial"/>
                <w:sz w:val="21"/>
              </w:rPr>
            </w:pPr>
            <w:r/>
          </w:p>
        </w:tc>
        <w:tc>
          <w:tcPr>
            <w:tcW w:w="1438" w:type="dxa"/>
            <w:vAlign w:val="top"/>
            <w:vMerge w:val="continue"/>
            <w:tcBorders>
              <w:top w:val="nil"/>
            </w:tcBorders>
          </w:tcPr>
          <w:p>
            <w:pPr>
              <w:rPr>
                <w:rFonts w:ascii="Arial"/>
                <w:sz w:val="21"/>
              </w:rPr>
            </w:pPr>
            <w:r/>
          </w:p>
        </w:tc>
        <w:tc>
          <w:tcPr>
            <w:tcW w:w="839" w:type="dxa"/>
            <w:vAlign w:val="top"/>
            <w:vMerge w:val="continue"/>
            <w:tcBorders>
              <w:top w:val="nil"/>
            </w:tcBorders>
          </w:tcPr>
          <w:p>
            <w:pPr>
              <w:rPr>
                <w:rFonts w:ascii="Arial"/>
                <w:sz w:val="21"/>
              </w:rPr>
            </w:pPr>
            <w:r/>
          </w:p>
        </w:tc>
        <w:tc>
          <w:tcPr>
            <w:tcW w:w="849" w:type="dxa"/>
            <w:vAlign w:val="top"/>
          </w:tcPr>
          <w:p>
            <w:pPr>
              <w:pStyle w:val="TableText"/>
              <w:ind w:left="194"/>
              <w:spacing w:before="29" w:line="201" w:lineRule="auto"/>
              <w:rPr>
                <w:sz w:val="22"/>
                <w:szCs w:val="22"/>
              </w:rPr>
            </w:pPr>
            <w:r>
              <w:rPr>
                <w:sz w:val="22"/>
                <w:szCs w:val="22"/>
                <w:spacing w:val="6"/>
              </w:rPr>
              <w:t>猪脚</w:t>
            </w:r>
          </w:p>
        </w:tc>
        <w:tc>
          <w:tcPr>
            <w:tcW w:w="979" w:type="dxa"/>
            <w:vAlign w:val="top"/>
          </w:tcPr>
          <w:p>
            <w:pPr>
              <w:pStyle w:val="TableText"/>
              <w:ind w:left="465"/>
              <w:spacing w:before="140" w:line="54" w:lineRule="exact"/>
              <w:rPr>
                <w:sz w:val="8"/>
                <w:szCs w:val="8"/>
              </w:rPr>
            </w:pPr>
            <w:r>
              <w:rPr>
                <w:sz w:val="8"/>
                <w:szCs w:val="8"/>
                <w:position w:val="-1"/>
              </w:rPr>
              <w:t>-</w:t>
            </w:r>
          </w:p>
        </w:tc>
        <w:tc>
          <w:tcPr>
            <w:tcW w:w="939" w:type="dxa"/>
            <w:vAlign w:val="top"/>
          </w:tcPr>
          <w:p>
            <w:pPr>
              <w:pStyle w:val="TableText"/>
              <w:ind w:left="246"/>
              <w:spacing w:before="52" w:line="182" w:lineRule="auto"/>
              <w:rPr>
                <w:sz w:val="22"/>
                <w:szCs w:val="22"/>
              </w:rPr>
            </w:pPr>
            <w:r>
              <w:rPr>
                <w:sz w:val="22"/>
                <w:szCs w:val="22"/>
                <w:spacing w:val="-5"/>
              </w:rPr>
              <w:t>1936</w:t>
            </w:r>
          </w:p>
        </w:tc>
        <w:tc>
          <w:tcPr>
            <w:tcW w:w="1348" w:type="dxa"/>
            <w:vAlign w:val="top"/>
          </w:tcPr>
          <w:p>
            <w:pPr>
              <w:pStyle w:val="TableText"/>
              <w:ind w:left="617"/>
              <w:spacing w:before="155" w:line="114" w:lineRule="exact"/>
              <w:rPr>
                <w:sz w:val="22"/>
                <w:szCs w:val="22"/>
              </w:rPr>
            </w:pPr>
            <w:r>
              <w:rPr>
                <w:sz w:val="22"/>
                <w:szCs w:val="22"/>
                <w:position w:val="-5"/>
              </w:rPr>
              <w:t>-</w:t>
            </w:r>
          </w:p>
        </w:tc>
        <w:tc>
          <w:tcPr>
            <w:tcW w:w="864" w:type="dxa"/>
            <w:vAlign w:val="top"/>
          </w:tcPr>
          <w:p>
            <w:pPr>
              <w:pStyle w:val="TableText"/>
              <w:ind w:left="210"/>
              <w:spacing w:before="52" w:line="182" w:lineRule="auto"/>
              <w:rPr>
                <w:sz w:val="22"/>
                <w:szCs w:val="22"/>
              </w:rPr>
            </w:pPr>
            <w:r>
              <w:rPr>
                <w:sz w:val="22"/>
                <w:szCs w:val="22"/>
                <w:spacing w:val="-5"/>
              </w:rPr>
              <w:t>1936</w:t>
            </w:r>
          </w:p>
        </w:tc>
      </w:tr>
      <w:tr>
        <w:trPr>
          <w:trHeight w:val="269" w:hRule="atLeast"/>
        </w:trPr>
        <w:tc>
          <w:tcPr>
            <w:tcW w:w="1243" w:type="dxa"/>
            <w:vAlign w:val="top"/>
            <w:vMerge w:val="continue"/>
            <w:tcBorders>
              <w:top w:val="nil"/>
              <w:bottom w:val="nil"/>
            </w:tcBorders>
          </w:tcPr>
          <w:p>
            <w:pPr>
              <w:rPr>
                <w:rFonts w:ascii="Arial"/>
                <w:sz w:val="21"/>
              </w:rPr>
            </w:pPr>
            <w:r/>
          </w:p>
        </w:tc>
        <w:tc>
          <w:tcPr>
            <w:tcW w:w="1438" w:type="dxa"/>
            <w:vAlign w:val="top"/>
            <w:vMerge w:val="restart"/>
            <w:tcBorders>
              <w:bottom w:val="nil"/>
            </w:tcBorders>
          </w:tcPr>
          <w:p>
            <w:pPr>
              <w:spacing w:line="258" w:lineRule="auto"/>
              <w:rPr>
                <w:rFonts w:ascii="Arial"/>
                <w:sz w:val="21"/>
              </w:rPr>
            </w:pPr>
            <w:r/>
          </w:p>
          <w:p>
            <w:pPr>
              <w:spacing w:line="258" w:lineRule="auto"/>
              <w:rPr>
                <w:rFonts w:ascii="Arial"/>
                <w:sz w:val="21"/>
              </w:rPr>
            </w:pPr>
            <w:r/>
          </w:p>
          <w:p>
            <w:pPr>
              <w:pStyle w:val="TableText"/>
              <w:ind w:left="382"/>
              <w:spacing w:before="72" w:line="219" w:lineRule="auto"/>
              <w:rPr>
                <w:sz w:val="22"/>
                <w:szCs w:val="22"/>
              </w:rPr>
            </w:pPr>
            <w:r>
              <w:rPr>
                <w:sz w:val="22"/>
                <w:szCs w:val="22"/>
                <w:spacing w:val="7"/>
              </w:rPr>
              <w:t>副产品</w:t>
            </w:r>
          </w:p>
        </w:tc>
        <w:tc>
          <w:tcPr>
            <w:tcW w:w="1688" w:type="dxa"/>
            <w:vAlign w:val="top"/>
            <w:gridSpan w:val="2"/>
          </w:tcPr>
          <w:p>
            <w:pPr>
              <w:pStyle w:val="TableText"/>
              <w:ind w:left="503"/>
              <w:spacing w:before="31" w:line="191" w:lineRule="auto"/>
              <w:rPr>
                <w:sz w:val="22"/>
                <w:szCs w:val="22"/>
              </w:rPr>
            </w:pPr>
            <w:r>
              <w:rPr>
                <w:sz w:val="22"/>
                <w:szCs w:val="22"/>
                <w:spacing w:val="-2"/>
              </w:rPr>
              <w:t>猪皮毛</w:t>
            </w:r>
          </w:p>
        </w:tc>
        <w:tc>
          <w:tcPr>
            <w:tcW w:w="979" w:type="dxa"/>
            <w:vAlign w:val="top"/>
          </w:tcPr>
          <w:p>
            <w:pPr>
              <w:pStyle w:val="TableText"/>
              <w:ind w:left="465"/>
              <w:spacing w:before="141" w:line="54" w:lineRule="exact"/>
              <w:rPr>
                <w:sz w:val="8"/>
                <w:szCs w:val="8"/>
              </w:rPr>
            </w:pPr>
            <w:r>
              <w:rPr>
                <w:sz w:val="8"/>
                <w:szCs w:val="8"/>
                <w:position w:val="-1"/>
              </w:rPr>
              <w:t>-</w:t>
            </w:r>
          </w:p>
        </w:tc>
        <w:tc>
          <w:tcPr>
            <w:tcW w:w="939" w:type="dxa"/>
            <w:vAlign w:val="top"/>
          </w:tcPr>
          <w:p>
            <w:pPr>
              <w:rPr>
                <w:rFonts w:ascii="Arial"/>
                <w:sz w:val="21"/>
              </w:rPr>
            </w:pPr>
            <w:r/>
          </w:p>
        </w:tc>
        <w:tc>
          <w:tcPr>
            <w:tcW w:w="1348" w:type="dxa"/>
            <w:vAlign w:val="top"/>
          </w:tcPr>
          <w:p>
            <w:pPr>
              <w:pStyle w:val="TableText"/>
              <w:ind w:left="508"/>
              <w:spacing w:before="52" w:line="173" w:lineRule="auto"/>
              <w:rPr>
                <w:sz w:val="22"/>
                <w:szCs w:val="22"/>
              </w:rPr>
            </w:pPr>
            <w:r>
              <w:rPr>
                <w:sz w:val="22"/>
                <w:szCs w:val="22"/>
                <w:spacing w:val="-3"/>
              </w:rPr>
              <w:t>347</w:t>
            </w:r>
          </w:p>
        </w:tc>
        <w:tc>
          <w:tcPr>
            <w:tcW w:w="864" w:type="dxa"/>
            <w:vAlign w:val="top"/>
          </w:tcPr>
          <w:p>
            <w:pPr>
              <w:pStyle w:val="TableText"/>
              <w:ind w:left="260"/>
              <w:spacing w:before="52" w:line="173" w:lineRule="auto"/>
              <w:rPr>
                <w:sz w:val="22"/>
                <w:szCs w:val="22"/>
              </w:rPr>
            </w:pPr>
            <w:r>
              <w:rPr>
                <w:sz w:val="22"/>
                <w:szCs w:val="22"/>
                <w:spacing w:val="-3"/>
              </w:rPr>
              <w:t>347</w:t>
            </w:r>
          </w:p>
        </w:tc>
      </w:tr>
      <w:tr>
        <w:trPr>
          <w:trHeight w:val="270" w:hRule="atLeast"/>
        </w:trPr>
        <w:tc>
          <w:tcPr>
            <w:tcW w:w="1243" w:type="dxa"/>
            <w:vAlign w:val="top"/>
            <w:vMerge w:val="continue"/>
            <w:tcBorders>
              <w:top w:val="nil"/>
              <w:bottom w:val="nil"/>
            </w:tcBorders>
          </w:tcPr>
          <w:p>
            <w:pPr>
              <w:rPr>
                <w:rFonts w:ascii="Arial"/>
                <w:sz w:val="21"/>
              </w:rPr>
            </w:pPr>
            <w:r/>
          </w:p>
        </w:tc>
        <w:tc>
          <w:tcPr>
            <w:tcW w:w="1438" w:type="dxa"/>
            <w:vAlign w:val="top"/>
            <w:vMerge w:val="continue"/>
            <w:tcBorders>
              <w:top w:val="nil"/>
              <w:bottom w:val="nil"/>
            </w:tcBorders>
          </w:tcPr>
          <w:p>
            <w:pPr>
              <w:rPr>
                <w:rFonts w:ascii="Arial"/>
                <w:sz w:val="21"/>
              </w:rPr>
            </w:pPr>
            <w:r/>
          </w:p>
        </w:tc>
        <w:tc>
          <w:tcPr>
            <w:tcW w:w="1688" w:type="dxa"/>
            <w:vAlign w:val="top"/>
            <w:gridSpan w:val="2"/>
          </w:tcPr>
          <w:p>
            <w:pPr>
              <w:pStyle w:val="TableText"/>
              <w:ind w:left="614"/>
              <w:spacing w:before="31" w:line="192" w:lineRule="auto"/>
              <w:rPr>
                <w:sz w:val="22"/>
                <w:szCs w:val="22"/>
              </w:rPr>
            </w:pPr>
            <w:r>
              <w:rPr>
                <w:sz w:val="22"/>
                <w:szCs w:val="22"/>
                <w:spacing w:val="11"/>
              </w:rPr>
              <w:t>板油</w:t>
            </w:r>
          </w:p>
        </w:tc>
        <w:tc>
          <w:tcPr>
            <w:tcW w:w="979" w:type="dxa"/>
            <w:vAlign w:val="top"/>
          </w:tcPr>
          <w:p>
            <w:pPr>
              <w:pStyle w:val="TableText"/>
              <w:ind w:left="465"/>
              <w:spacing w:before="141" w:line="55" w:lineRule="exact"/>
              <w:rPr>
                <w:sz w:val="8"/>
                <w:szCs w:val="8"/>
              </w:rPr>
            </w:pPr>
            <w:r>
              <w:rPr>
                <w:sz w:val="8"/>
                <w:szCs w:val="8"/>
                <w:position w:val="-1"/>
              </w:rPr>
              <w:t>-</w:t>
            </w:r>
          </w:p>
        </w:tc>
        <w:tc>
          <w:tcPr>
            <w:tcW w:w="939" w:type="dxa"/>
            <w:vAlign w:val="top"/>
          </w:tcPr>
          <w:p>
            <w:pPr>
              <w:rPr>
                <w:rFonts w:ascii="Arial"/>
                <w:sz w:val="21"/>
              </w:rPr>
            </w:pPr>
            <w:r/>
          </w:p>
        </w:tc>
        <w:tc>
          <w:tcPr>
            <w:tcW w:w="1348" w:type="dxa"/>
            <w:vAlign w:val="top"/>
          </w:tcPr>
          <w:p>
            <w:pPr>
              <w:pStyle w:val="TableText"/>
              <w:ind w:left="508"/>
              <w:spacing w:before="53" w:line="173" w:lineRule="auto"/>
              <w:rPr>
                <w:sz w:val="22"/>
                <w:szCs w:val="22"/>
              </w:rPr>
            </w:pPr>
            <w:r>
              <w:rPr>
                <w:sz w:val="22"/>
                <w:szCs w:val="22"/>
                <w:spacing w:val="-4"/>
              </w:rPr>
              <w:t>789</w:t>
            </w:r>
          </w:p>
        </w:tc>
        <w:tc>
          <w:tcPr>
            <w:tcW w:w="864" w:type="dxa"/>
            <w:vAlign w:val="top"/>
          </w:tcPr>
          <w:p>
            <w:pPr>
              <w:pStyle w:val="TableText"/>
              <w:ind w:left="260"/>
              <w:spacing w:before="53" w:line="173" w:lineRule="auto"/>
              <w:rPr>
                <w:sz w:val="22"/>
                <w:szCs w:val="22"/>
              </w:rPr>
            </w:pPr>
            <w:r>
              <w:rPr>
                <w:sz w:val="22"/>
                <w:szCs w:val="22"/>
                <w:spacing w:val="-4"/>
              </w:rPr>
              <w:t>789</w:t>
            </w:r>
          </w:p>
        </w:tc>
      </w:tr>
      <w:tr>
        <w:trPr>
          <w:trHeight w:val="260" w:hRule="atLeast"/>
        </w:trPr>
        <w:tc>
          <w:tcPr>
            <w:tcW w:w="1243" w:type="dxa"/>
            <w:vAlign w:val="top"/>
            <w:vMerge w:val="continue"/>
            <w:tcBorders>
              <w:top w:val="nil"/>
              <w:bottom w:val="nil"/>
            </w:tcBorders>
          </w:tcPr>
          <w:p>
            <w:pPr>
              <w:rPr>
                <w:rFonts w:ascii="Arial"/>
                <w:sz w:val="21"/>
              </w:rPr>
            </w:pPr>
            <w:r/>
          </w:p>
        </w:tc>
        <w:tc>
          <w:tcPr>
            <w:tcW w:w="1438" w:type="dxa"/>
            <w:vAlign w:val="top"/>
            <w:vMerge w:val="continue"/>
            <w:tcBorders>
              <w:top w:val="nil"/>
              <w:bottom w:val="nil"/>
            </w:tcBorders>
          </w:tcPr>
          <w:p>
            <w:pPr>
              <w:rPr>
                <w:rFonts w:ascii="Arial"/>
                <w:sz w:val="21"/>
              </w:rPr>
            </w:pPr>
            <w:r/>
          </w:p>
        </w:tc>
        <w:tc>
          <w:tcPr>
            <w:tcW w:w="1688" w:type="dxa"/>
            <w:vAlign w:val="top"/>
            <w:gridSpan w:val="2"/>
          </w:tcPr>
          <w:p>
            <w:pPr>
              <w:pStyle w:val="TableText"/>
              <w:ind w:left="614"/>
              <w:spacing w:before="22" w:line="191" w:lineRule="auto"/>
              <w:rPr>
                <w:sz w:val="22"/>
                <w:szCs w:val="22"/>
              </w:rPr>
            </w:pPr>
            <w:r>
              <w:rPr>
                <w:sz w:val="22"/>
                <w:szCs w:val="22"/>
                <w:color w:val="505050"/>
                <w:spacing w:val="4"/>
              </w:rPr>
              <w:t>内脏</w:t>
            </w:r>
          </w:p>
        </w:tc>
        <w:tc>
          <w:tcPr>
            <w:tcW w:w="979" w:type="dxa"/>
            <w:vAlign w:val="top"/>
          </w:tcPr>
          <w:p>
            <w:pPr>
              <w:pStyle w:val="TableText"/>
              <w:ind w:left="465"/>
              <w:spacing w:before="132" w:line="54" w:lineRule="exact"/>
              <w:rPr>
                <w:sz w:val="8"/>
                <w:szCs w:val="8"/>
              </w:rPr>
            </w:pPr>
            <w:r>
              <w:rPr>
                <w:sz w:val="8"/>
                <w:szCs w:val="8"/>
                <w:position w:val="-1"/>
              </w:rPr>
              <w:t>-</w:t>
            </w:r>
          </w:p>
        </w:tc>
        <w:tc>
          <w:tcPr>
            <w:tcW w:w="939" w:type="dxa"/>
            <w:vAlign w:val="top"/>
          </w:tcPr>
          <w:p>
            <w:pPr>
              <w:rPr>
                <w:rFonts w:ascii="Arial"/>
                <w:sz w:val="21"/>
              </w:rPr>
            </w:pPr>
            <w:r/>
          </w:p>
        </w:tc>
        <w:tc>
          <w:tcPr>
            <w:tcW w:w="1348" w:type="dxa"/>
            <w:vAlign w:val="top"/>
          </w:tcPr>
          <w:p>
            <w:pPr>
              <w:pStyle w:val="TableText"/>
              <w:ind w:left="447"/>
              <w:spacing w:before="43" w:line="173" w:lineRule="auto"/>
              <w:rPr>
                <w:sz w:val="22"/>
                <w:szCs w:val="22"/>
              </w:rPr>
            </w:pPr>
            <w:r>
              <w:rPr>
                <w:sz w:val="22"/>
                <w:szCs w:val="22"/>
                <w:spacing w:val="-3"/>
              </w:rPr>
              <w:t>3263</w:t>
            </w:r>
          </w:p>
        </w:tc>
        <w:tc>
          <w:tcPr>
            <w:tcW w:w="864" w:type="dxa"/>
            <w:vAlign w:val="top"/>
          </w:tcPr>
          <w:p>
            <w:pPr>
              <w:pStyle w:val="TableText"/>
              <w:ind w:left="210"/>
              <w:spacing w:before="43" w:line="173" w:lineRule="auto"/>
              <w:rPr>
                <w:sz w:val="22"/>
                <w:szCs w:val="22"/>
              </w:rPr>
            </w:pPr>
            <w:r>
              <w:rPr>
                <w:sz w:val="22"/>
                <w:szCs w:val="22"/>
                <w:spacing w:val="-3"/>
              </w:rPr>
              <w:t>3263</w:t>
            </w:r>
          </w:p>
        </w:tc>
      </w:tr>
      <w:tr>
        <w:trPr>
          <w:trHeight w:val="289" w:hRule="atLeast"/>
        </w:trPr>
        <w:tc>
          <w:tcPr>
            <w:tcW w:w="1243" w:type="dxa"/>
            <w:vAlign w:val="top"/>
            <w:vMerge w:val="continue"/>
            <w:tcBorders>
              <w:top w:val="nil"/>
              <w:bottom w:val="nil"/>
            </w:tcBorders>
          </w:tcPr>
          <w:p>
            <w:pPr>
              <w:rPr>
                <w:rFonts w:ascii="Arial"/>
                <w:sz w:val="21"/>
              </w:rPr>
            </w:pPr>
            <w:r/>
          </w:p>
        </w:tc>
        <w:tc>
          <w:tcPr>
            <w:tcW w:w="1438" w:type="dxa"/>
            <w:vAlign w:val="top"/>
            <w:vMerge w:val="continue"/>
            <w:tcBorders>
              <w:top w:val="nil"/>
              <w:bottom w:val="nil"/>
            </w:tcBorders>
          </w:tcPr>
          <w:p>
            <w:pPr>
              <w:rPr>
                <w:rFonts w:ascii="Arial"/>
                <w:sz w:val="21"/>
              </w:rPr>
            </w:pPr>
            <w:r/>
          </w:p>
        </w:tc>
        <w:tc>
          <w:tcPr>
            <w:tcW w:w="1688" w:type="dxa"/>
            <w:vAlign w:val="top"/>
            <w:gridSpan w:val="2"/>
          </w:tcPr>
          <w:p>
            <w:pPr>
              <w:pStyle w:val="TableText"/>
              <w:ind w:left="614"/>
              <w:spacing w:before="43" w:line="198" w:lineRule="auto"/>
              <w:rPr>
                <w:sz w:val="22"/>
                <w:szCs w:val="22"/>
              </w:rPr>
            </w:pPr>
            <w:r>
              <w:rPr>
                <w:sz w:val="22"/>
                <w:szCs w:val="22"/>
                <w:spacing w:val="-3"/>
              </w:rPr>
              <w:t>猪血</w:t>
            </w:r>
          </w:p>
        </w:tc>
        <w:tc>
          <w:tcPr>
            <w:tcW w:w="979" w:type="dxa"/>
            <w:vAlign w:val="top"/>
          </w:tcPr>
          <w:p>
            <w:pPr>
              <w:pStyle w:val="TableText"/>
              <w:ind w:left="465"/>
              <w:spacing w:before="152" w:line="54" w:lineRule="exact"/>
              <w:rPr>
                <w:sz w:val="8"/>
                <w:szCs w:val="8"/>
              </w:rPr>
            </w:pPr>
            <w:r>
              <w:rPr>
                <w:sz w:val="8"/>
                <w:szCs w:val="8"/>
                <w:position w:val="-1"/>
              </w:rPr>
              <w:t>-</w:t>
            </w:r>
          </w:p>
        </w:tc>
        <w:tc>
          <w:tcPr>
            <w:tcW w:w="939" w:type="dxa"/>
            <w:vAlign w:val="top"/>
          </w:tcPr>
          <w:p>
            <w:pPr>
              <w:pStyle w:val="TableText"/>
              <w:ind w:left="406"/>
              <w:spacing w:before="167" w:line="112" w:lineRule="exact"/>
              <w:rPr>
                <w:sz w:val="22"/>
                <w:szCs w:val="22"/>
              </w:rPr>
            </w:pPr>
            <w:r>
              <w:rPr>
                <w:sz w:val="22"/>
                <w:szCs w:val="22"/>
                <w:position w:val="-5"/>
              </w:rPr>
              <w:t>-</w:t>
            </w:r>
          </w:p>
        </w:tc>
        <w:tc>
          <w:tcPr>
            <w:tcW w:w="1348" w:type="dxa"/>
            <w:vAlign w:val="top"/>
          </w:tcPr>
          <w:p>
            <w:pPr>
              <w:pStyle w:val="TableText"/>
              <w:ind w:left="447"/>
              <w:spacing w:before="64" w:line="180" w:lineRule="auto"/>
              <w:rPr>
                <w:sz w:val="22"/>
                <w:szCs w:val="22"/>
              </w:rPr>
            </w:pPr>
            <w:r>
              <w:rPr>
                <w:sz w:val="22"/>
                <w:szCs w:val="22"/>
                <w:spacing w:val="-5"/>
              </w:rPr>
              <w:t>1632</w:t>
            </w:r>
          </w:p>
        </w:tc>
        <w:tc>
          <w:tcPr>
            <w:tcW w:w="864" w:type="dxa"/>
            <w:vAlign w:val="top"/>
          </w:tcPr>
          <w:p>
            <w:pPr>
              <w:pStyle w:val="TableText"/>
              <w:ind w:left="210"/>
              <w:spacing w:before="64" w:line="180" w:lineRule="auto"/>
              <w:rPr>
                <w:sz w:val="22"/>
                <w:szCs w:val="22"/>
              </w:rPr>
            </w:pPr>
            <w:r>
              <w:rPr>
                <w:sz w:val="22"/>
                <w:szCs w:val="22"/>
                <w:spacing w:val="-5"/>
              </w:rPr>
              <w:t>1632</w:t>
            </w:r>
          </w:p>
        </w:tc>
      </w:tr>
      <w:tr>
        <w:trPr>
          <w:trHeight w:val="259" w:hRule="atLeast"/>
        </w:trPr>
        <w:tc>
          <w:tcPr>
            <w:tcW w:w="1243" w:type="dxa"/>
            <w:vAlign w:val="top"/>
            <w:vMerge w:val="continue"/>
            <w:tcBorders>
              <w:top w:val="nil"/>
            </w:tcBorders>
          </w:tcPr>
          <w:p>
            <w:pPr>
              <w:rPr>
                <w:rFonts w:ascii="Arial"/>
                <w:sz w:val="21"/>
              </w:rPr>
            </w:pPr>
            <w:r/>
          </w:p>
        </w:tc>
        <w:tc>
          <w:tcPr>
            <w:tcW w:w="1438" w:type="dxa"/>
            <w:vAlign w:val="top"/>
            <w:vMerge w:val="continue"/>
            <w:tcBorders>
              <w:top w:val="nil"/>
            </w:tcBorders>
          </w:tcPr>
          <w:p>
            <w:pPr>
              <w:rPr>
                <w:rFonts w:ascii="Arial"/>
                <w:sz w:val="21"/>
              </w:rPr>
            </w:pPr>
            <w:r/>
          </w:p>
        </w:tc>
        <w:tc>
          <w:tcPr>
            <w:tcW w:w="1688" w:type="dxa"/>
            <w:vAlign w:val="top"/>
            <w:gridSpan w:val="2"/>
          </w:tcPr>
          <w:p>
            <w:pPr>
              <w:pStyle w:val="TableText"/>
              <w:ind w:left="503"/>
              <w:spacing w:before="22" w:line="190" w:lineRule="auto"/>
              <w:rPr>
                <w:sz w:val="22"/>
                <w:szCs w:val="22"/>
              </w:rPr>
            </w:pPr>
            <w:r>
              <w:rPr>
                <w:sz w:val="22"/>
                <w:szCs w:val="22"/>
                <w:spacing w:val="3"/>
              </w:rPr>
              <w:t>头蹄尾</w:t>
            </w:r>
          </w:p>
        </w:tc>
        <w:tc>
          <w:tcPr>
            <w:tcW w:w="979" w:type="dxa"/>
            <w:vAlign w:val="top"/>
          </w:tcPr>
          <w:p>
            <w:pPr>
              <w:pStyle w:val="TableText"/>
              <w:ind w:left="465"/>
              <w:spacing w:before="132" w:line="55" w:lineRule="exact"/>
              <w:rPr>
                <w:sz w:val="8"/>
                <w:szCs w:val="8"/>
              </w:rPr>
            </w:pPr>
            <w:r>
              <w:rPr>
                <w:sz w:val="8"/>
                <w:szCs w:val="8"/>
                <w:position w:val="-1"/>
              </w:rPr>
              <w:t>-</w:t>
            </w:r>
          </w:p>
        </w:tc>
        <w:tc>
          <w:tcPr>
            <w:tcW w:w="939" w:type="dxa"/>
            <w:vAlign w:val="top"/>
          </w:tcPr>
          <w:p>
            <w:pPr>
              <w:pStyle w:val="TableText"/>
              <w:ind w:left="406"/>
              <w:spacing w:before="148" w:line="101" w:lineRule="exact"/>
              <w:rPr>
                <w:sz w:val="22"/>
                <w:szCs w:val="22"/>
              </w:rPr>
            </w:pPr>
            <w:r>
              <w:rPr>
                <w:sz w:val="22"/>
                <w:szCs w:val="22"/>
                <w:position w:val="-5"/>
              </w:rPr>
              <w:t>-</w:t>
            </w:r>
          </w:p>
        </w:tc>
        <w:tc>
          <w:tcPr>
            <w:tcW w:w="1348" w:type="dxa"/>
            <w:vAlign w:val="top"/>
          </w:tcPr>
          <w:p>
            <w:pPr>
              <w:pStyle w:val="TableText"/>
              <w:ind w:left="447"/>
              <w:spacing w:before="45" w:line="171" w:lineRule="auto"/>
              <w:rPr>
                <w:sz w:val="22"/>
                <w:szCs w:val="22"/>
              </w:rPr>
            </w:pPr>
            <w:r>
              <w:rPr>
                <w:sz w:val="22"/>
                <w:szCs w:val="22"/>
                <w:spacing w:val="-5"/>
              </w:rPr>
              <w:t>1895</w:t>
            </w:r>
          </w:p>
        </w:tc>
        <w:tc>
          <w:tcPr>
            <w:tcW w:w="864" w:type="dxa"/>
            <w:vAlign w:val="top"/>
          </w:tcPr>
          <w:p>
            <w:pPr>
              <w:pStyle w:val="TableText"/>
              <w:ind w:left="210"/>
              <w:spacing w:before="45" w:line="171" w:lineRule="auto"/>
              <w:rPr>
                <w:sz w:val="22"/>
                <w:szCs w:val="22"/>
              </w:rPr>
            </w:pPr>
            <w:r>
              <w:rPr>
                <w:sz w:val="22"/>
                <w:szCs w:val="22"/>
                <w:spacing w:val="-5"/>
              </w:rPr>
              <w:t>1895</w:t>
            </w:r>
          </w:p>
        </w:tc>
      </w:tr>
      <w:tr>
        <w:trPr>
          <w:trHeight w:val="270" w:hRule="atLeast"/>
        </w:trPr>
        <w:tc>
          <w:tcPr>
            <w:tcW w:w="4369" w:type="dxa"/>
            <w:vAlign w:val="top"/>
            <w:gridSpan w:val="4"/>
          </w:tcPr>
          <w:p>
            <w:pPr>
              <w:pStyle w:val="TableText"/>
              <w:ind w:left="1738"/>
              <w:spacing w:before="31" w:line="192" w:lineRule="auto"/>
              <w:rPr>
                <w:sz w:val="22"/>
                <w:szCs w:val="22"/>
              </w:rPr>
            </w:pPr>
            <w:r>
              <w:rPr>
                <w:sz w:val="22"/>
                <w:szCs w:val="22"/>
                <w:b/>
                <w:bCs/>
                <w:spacing w:val="-5"/>
              </w:rPr>
              <w:t>生猪合计</w:t>
            </w:r>
          </w:p>
        </w:tc>
        <w:tc>
          <w:tcPr>
            <w:tcW w:w="979" w:type="dxa"/>
            <w:vAlign w:val="top"/>
          </w:tcPr>
          <w:p>
            <w:pPr>
              <w:pStyle w:val="TableText"/>
              <w:ind w:left="209"/>
              <w:spacing w:before="55" w:line="172" w:lineRule="auto"/>
              <w:rPr>
                <w:sz w:val="22"/>
                <w:szCs w:val="22"/>
              </w:rPr>
            </w:pPr>
            <w:r>
              <w:rPr>
                <w:sz w:val="22"/>
                <w:szCs w:val="22"/>
                <w:b/>
                <w:bCs/>
                <w:spacing w:val="-5"/>
              </w:rPr>
              <w:t>24000</w:t>
            </w:r>
          </w:p>
        </w:tc>
        <w:tc>
          <w:tcPr>
            <w:tcW w:w="939" w:type="dxa"/>
            <w:vAlign w:val="top"/>
          </w:tcPr>
          <w:p>
            <w:pPr>
              <w:pStyle w:val="TableText"/>
              <w:ind w:left="250"/>
              <w:spacing w:before="55" w:line="172" w:lineRule="auto"/>
              <w:rPr>
                <w:sz w:val="22"/>
                <w:szCs w:val="22"/>
              </w:rPr>
            </w:pPr>
            <w:r>
              <w:rPr>
                <w:sz w:val="22"/>
                <w:szCs w:val="22"/>
                <w:b/>
                <w:bCs/>
                <w:spacing w:val="-5"/>
              </w:rPr>
              <w:t>9456</w:t>
            </w:r>
          </w:p>
        </w:tc>
        <w:tc>
          <w:tcPr>
            <w:tcW w:w="1348" w:type="dxa"/>
            <w:vAlign w:val="top"/>
          </w:tcPr>
          <w:p>
            <w:pPr>
              <w:pStyle w:val="TableText"/>
              <w:ind w:left="451"/>
              <w:spacing w:before="55" w:line="172" w:lineRule="auto"/>
              <w:rPr>
                <w:sz w:val="22"/>
                <w:szCs w:val="22"/>
              </w:rPr>
            </w:pPr>
            <w:r>
              <w:rPr>
                <w:sz w:val="22"/>
                <w:szCs w:val="22"/>
                <w:b/>
                <w:bCs/>
                <w:spacing w:val="-5"/>
              </w:rPr>
              <w:t>7926</w:t>
            </w:r>
          </w:p>
        </w:tc>
        <w:tc>
          <w:tcPr>
            <w:tcW w:w="864" w:type="dxa"/>
            <w:vAlign w:val="top"/>
          </w:tcPr>
          <w:p>
            <w:pPr>
              <w:pStyle w:val="TableText"/>
              <w:ind w:left="153"/>
              <w:spacing w:before="55" w:line="172" w:lineRule="auto"/>
              <w:rPr>
                <w:sz w:val="22"/>
                <w:szCs w:val="22"/>
              </w:rPr>
            </w:pPr>
            <w:r>
              <w:rPr>
                <w:sz w:val="22"/>
                <w:szCs w:val="22"/>
                <w:b/>
                <w:bCs/>
                <w:spacing w:val="-4"/>
              </w:rPr>
              <w:t>41382</w:t>
            </w:r>
          </w:p>
        </w:tc>
      </w:tr>
      <w:tr>
        <w:trPr>
          <w:trHeight w:val="279" w:hRule="atLeast"/>
        </w:trPr>
        <w:tc>
          <w:tcPr>
            <w:shd w:val="clear" w:fill="BDBDBD"/>
            <w:tcW w:w="1243" w:type="dxa"/>
            <w:vAlign w:val="top"/>
          </w:tcPr>
          <w:p>
            <w:pPr>
              <w:pStyle w:val="TableText"/>
              <w:ind w:left="398"/>
              <w:spacing w:before="30" w:line="200" w:lineRule="auto"/>
              <w:rPr>
                <w:sz w:val="22"/>
                <w:szCs w:val="22"/>
              </w:rPr>
            </w:pPr>
            <w:r>
              <w:rPr>
                <w:sz w:val="22"/>
                <w:szCs w:val="22"/>
                <w:b/>
                <w:bCs/>
                <w:spacing w:val="3"/>
              </w:rPr>
              <w:t>类别</w:t>
            </w:r>
          </w:p>
        </w:tc>
        <w:tc>
          <w:tcPr>
            <w:shd w:val="clear" w:fill="BDBDBD"/>
            <w:tcW w:w="3126" w:type="dxa"/>
            <w:vAlign w:val="top"/>
            <w:gridSpan w:val="3"/>
          </w:tcPr>
          <w:p>
            <w:pPr>
              <w:pStyle w:val="TableText"/>
              <w:ind w:left="1115"/>
              <w:spacing w:before="30" w:line="200" w:lineRule="auto"/>
              <w:rPr>
                <w:sz w:val="22"/>
                <w:szCs w:val="22"/>
              </w:rPr>
            </w:pPr>
            <w:r>
              <w:rPr>
                <w:sz w:val="22"/>
                <w:szCs w:val="22"/>
                <w:b/>
                <w:bCs/>
                <w:spacing w:val="-4"/>
              </w:rPr>
              <w:t>产品名称</w:t>
            </w:r>
          </w:p>
        </w:tc>
        <w:tc>
          <w:tcPr>
            <w:shd w:val="clear" w:fill="BDBDBD"/>
            <w:tcW w:w="1918" w:type="dxa"/>
            <w:vAlign w:val="top"/>
            <w:gridSpan w:val="2"/>
          </w:tcPr>
          <w:p>
            <w:pPr>
              <w:pStyle w:val="TableText"/>
              <w:ind w:left="409"/>
              <w:spacing w:before="30" w:line="200" w:lineRule="auto"/>
              <w:rPr>
                <w:sz w:val="22"/>
                <w:szCs w:val="22"/>
              </w:rPr>
            </w:pPr>
            <w:r>
              <w:rPr>
                <w:sz w:val="22"/>
                <w:szCs w:val="22"/>
                <w:b/>
                <w:bCs/>
                <w:spacing w:val="-4"/>
              </w:rPr>
              <w:t>主产品产量</w:t>
            </w:r>
          </w:p>
        </w:tc>
        <w:tc>
          <w:tcPr>
            <w:shd w:val="clear" w:fill="BDBDBD"/>
            <w:tcW w:w="1348" w:type="dxa"/>
            <w:vAlign w:val="top"/>
          </w:tcPr>
          <w:p>
            <w:pPr>
              <w:pStyle w:val="TableText"/>
              <w:ind w:left="121"/>
              <w:spacing w:before="30" w:line="200" w:lineRule="auto"/>
              <w:rPr>
                <w:sz w:val="22"/>
                <w:szCs w:val="22"/>
              </w:rPr>
            </w:pPr>
            <w:r>
              <w:rPr>
                <w:sz w:val="22"/>
                <w:szCs w:val="22"/>
                <w:b/>
                <w:bCs/>
                <w:spacing w:val="-5"/>
              </w:rPr>
              <w:t>副产品产量</w:t>
            </w:r>
          </w:p>
        </w:tc>
        <w:tc>
          <w:tcPr>
            <w:shd w:val="clear" w:fill="BDBDBD"/>
            <w:tcW w:w="864" w:type="dxa"/>
            <w:vAlign w:val="top"/>
          </w:tcPr>
          <w:p>
            <w:pPr>
              <w:pStyle w:val="TableText"/>
              <w:ind w:left="213"/>
              <w:spacing w:before="33" w:line="198" w:lineRule="auto"/>
              <w:rPr>
                <w:sz w:val="22"/>
                <w:szCs w:val="22"/>
              </w:rPr>
            </w:pPr>
            <w:r>
              <w:rPr>
                <w:sz w:val="22"/>
                <w:szCs w:val="22"/>
                <w:b/>
                <w:bCs/>
                <w:spacing w:val="-5"/>
              </w:rPr>
              <w:t>合计</w:t>
            </w:r>
          </w:p>
        </w:tc>
      </w:tr>
      <w:tr>
        <w:trPr>
          <w:trHeight w:val="270" w:hRule="atLeast"/>
        </w:trPr>
        <w:tc>
          <w:tcPr>
            <w:tcW w:w="1243" w:type="dxa"/>
            <w:vAlign w:val="top"/>
            <w:vMerge w:val="restart"/>
            <w:tcBorders>
              <w:bottom w:val="nil"/>
            </w:tcBorders>
          </w:tcPr>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394"/>
              <w:spacing w:before="71" w:line="221" w:lineRule="auto"/>
              <w:rPr>
                <w:sz w:val="22"/>
                <w:szCs w:val="22"/>
              </w:rPr>
            </w:pPr>
            <w:r>
              <w:rPr>
                <w:sz w:val="22"/>
                <w:szCs w:val="22"/>
                <w:spacing w:val="6"/>
              </w:rPr>
              <w:t>肉牛</w:t>
            </w:r>
          </w:p>
        </w:tc>
        <w:tc>
          <w:tcPr>
            <w:tcW w:w="1438" w:type="dxa"/>
            <w:vAlign w:val="top"/>
            <w:vMerge w:val="restart"/>
            <w:tcBorders>
              <w:bottom w:val="nil"/>
            </w:tcBorders>
          </w:tcPr>
          <w:p>
            <w:pPr>
              <w:spacing w:line="381" w:lineRule="auto"/>
              <w:rPr>
                <w:rFonts w:ascii="Arial"/>
                <w:sz w:val="21"/>
              </w:rPr>
            </w:pPr>
            <w:r/>
          </w:p>
          <w:p>
            <w:pPr>
              <w:pStyle w:val="TableText"/>
              <w:ind w:left="382"/>
              <w:spacing w:before="71" w:line="219" w:lineRule="auto"/>
              <w:rPr>
                <w:sz w:val="22"/>
                <w:szCs w:val="22"/>
              </w:rPr>
            </w:pPr>
            <w:r>
              <w:rPr>
                <w:sz w:val="22"/>
                <w:szCs w:val="22"/>
                <w:spacing w:val="7"/>
              </w:rPr>
              <w:t>主产品</w:t>
            </w:r>
          </w:p>
        </w:tc>
        <w:tc>
          <w:tcPr>
            <w:tcW w:w="1688" w:type="dxa"/>
            <w:vAlign w:val="top"/>
            <w:gridSpan w:val="2"/>
          </w:tcPr>
          <w:p>
            <w:pPr>
              <w:pStyle w:val="TableText"/>
              <w:ind w:left="393"/>
              <w:spacing w:before="35" w:line="188" w:lineRule="auto"/>
              <w:rPr>
                <w:sz w:val="22"/>
                <w:szCs w:val="22"/>
              </w:rPr>
            </w:pPr>
            <w:r>
              <w:rPr>
                <w:sz w:val="22"/>
                <w:szCs w:val="22"/>
                <w:spacing w:val="2"/>
              </w:rPr>
              <w:t>牛四分体</w:t>
            </w:r>
          </w:p>
        </w:tc>
        <w:tc>
          <w:tcPr>
            <w:tcW w:w="979" w:type="dxa"/>
            <w:vAlign w:val="top"/>
          </w:tcPr>
          <w:p>
            <w:pPr>
              <w:pStyle w:val="TableText"/>
              <w:ind w:left="266"/>
              <w:spacing w:before="57" w:line="170" w:lineRule="auto"/>
              <w:rPr>
                <w:sz w:val="22"/>
                <w:szCs w:val="22"/>
              </w:rPr>
            </w:pPr>
            <w:r>
              <w:rPr>
                <w:sz w:val="22"/>
                <w:szCs w:val="22"/>
                <w:spacing w:val="-2"/>
              </w:rPr>
              <w:t>8000</w:t>
            </w:r>
          </w:p>
        </w:tc>
        <w:tc>
          <w:tcPr>
            <w:tcW w:w="939" w:type="dxa"/>
            <w:vAlign w:val="top"/>
          </w:tcPr>
          <w:p>
            <w:pPr>
              <w:pStyle w:val="TableText"/>
              <w:ind w:left="406"/>
              <w:spacing w:before="160" w:line="100" w:lineRule="exact"/>
              <w:rPr>
                <w:sz w:val="22"/>
                <w:szCs w:val="22"/>
              </w:rPr>
            </w:pPr>
            <w:r>
              <w:rPr>
                <w:sz w:val="22"/>
                <w:szCs w:val="22"/>
                <w:position w:val="-5"/>
              </w:rPr>
              <w:t>-</w:t>
            </w:r>
          </w:p>
        </w:tc>
        <w:tc>
          <w:tcPr>
            <w:tcW w:w="1348" w:type="dxa"/>
            <w:vAlign w:val="top"/>
          </w:tcPr>
          <w:p>
            <w:pPr>
              <w:pStyle w:val="TableText"/>
              <w:ind w:left="617"/>
              <w:spacing w:before="160" w:line="100" w:lineRule="exact"/>
              <w:rPr>
                <w:sz w:val="22"/>
                <w:szCs w:val="22"/>
              </w:rPr>
            </w:pPr>
            <w:r>
              <w:rPr>
                <w:sz w:val="22"/>
                <w:szCs w:val="22"/>
                <w:position w:val="-5"/>
              </w:rPr>
              <w:t>-</w:t>
            </w:r>
          </w:p>
        </w:tc>
        <w:tc>
          <w:tcPr>
            <w:tcW w:w="864" w:type="dxa"/>
            <w:vAlign w:val="top"/>
          </w:tcPr>
          <w:p>
            <w:pPr>
              <w:pStyle w:val="TableText"/>
              <w:ind w:left="210"/>
              <w:spacing w:before="57" w:line="170" w:lineRule="auto"/>
              <w:rPr>
                <w:sz w:val="22"/>
                <w:szCs w:val="22"/>
              </w:rPr>
            </w:pPr>
            <w:r>
              <w:rPr>
                <w:sz w:val="22"/>
                <w:szCs w:val="22"/>
                <w:spacing w:val="-2"/>
              </w:rPr>
              <w:t>8000</w:t>
            </w:r>
          </w:p>
        </w:tc>
      </w:tr>
      <w:tr>
        <w:trPr>
          <w:trHeight w:val="270" w:hRule="atLeast"/>
        </w:trPr>
        <w:tc>
          <w:tcPr>
            <w:tcW w:w="1243" w:type="dxa"/>
            <w:vAlign w:val="top"/>
            <w:vMerge w:val="continue"/>
            <w:tcBorders>
              <w:top w:val="nil"/>
              <w:bottom w:val="nil"/>
            </w:tcBorders>
          </w:tcPr>
          <w:p>
            <w:pPr>
              <w:rPr>
                <w:rFonts w:ascii="Arial"/>
                <w:sz w:val="21"/>
              </w:rPr>
            </w:pPr>
            <w:r/>
          </w:p>
        </w:tc>
        <w:tc>
          <w:tcPr>
            <w:tcW w:w="1438" w:type="dxa"/>
            <w:vAlign w:val="top"/>
            <w:vMerge w:val="continue"/>
            <w:tcBorders>
              <w:top w:val="nil"/>
              <w:bottom w:val="nil"/>
            </w:tcBorders>
          </w:tcPr>
          <w:p>
            <w:pPr>
              <w:rPr>
                <w:rFonts w:ascii="Arial"/>
                <w:sz w:val="21"/>
              </w:rPr>
            </w:pPr>
            <w:r/>
          </w:p>
        </w:tc>
        <w:tc>
          <w:tcPr>
            <w:tcW w:w="839" w:type="dxa"/>
            <w:vAlign w:val="top"/>
            <w:vMerge w:val="restart"/>
            <w:tcBorders>
              <w:bottom w:val="nil"/>
            </w:tcBorders>
          </w:tcPr>
          <w:p>
            <w:pPr>
              <w:spacing w:line="242" w:lineRule="auto"/>
              <w:rPr>
                <w:rFonts w:ascii="Arial"/>
                <w:sz w:val="21"/>
              </w:rPr>
            </w:pPr>
            <w:r/>
          </w:p>
          <w:p>
            <w:pPr>
              <w:pStyle w:val="TableText"/>
              <w:ind w:left="84"/>
              <w:spacing w:before="71" w:line="219" w:lineRule="auto"/>
              <w:rPr>
                <w:sz w:val="22"/>
                <w:szCs w:val="22"/>
              </w:rPr>
            </w:pPr>
            <w:r>
              <w:rPr>
                <w:sz w:val="22"/>
                <w:szCs w:val="22"/>
                <w:spacing w:val="3"/>
              </w:rPr>
              <w:t>分割类</w:t>
            </w:r>
          </w:p>
        </w:tc>
        <w:tc>
          <w:tcPr>
            <w:tcW w:w="849" w:type="dxa"/>
            <w:vAlign w:val="top"/>
          </w:tcPr>
          <w:p>
            <w:pPr>
              <w:pStyle w:val="TableText"/>
              <w:ind w:left="194"/>
              <w:spacing w:before="34" w:line="189" w:lineRule="auto"/>
              <w:rPr>
                <w:sz w:val="22"/>
                <w:szCs w:val="22"/>
              </w:rPr>
            </w:pPr>
            <w:r>
              <w:rPr>
                <w:sz w:val="22"/>
                <w:szCs w:val="22"/>
                <w:spacing w:val="6"/>
              </w:rPr>
              <w:t>排骨</w:t>
            </w:r>
          </w:p>
        </w:tc>
        <w:tc>
          <w:tcPr>
            <w:tcW w:w="979" w:type="dxa"/>
            <w:vAlign w:val="top"/>
          </w:tcPr>
          <w:p>
            <w:pPr>
              <w:pStyle w:val="TableText"/>
              <w:ind w:left="465"/>
              <w:spacing w:before="145" w:line="54" w:lineRule="exact"/>
              <w:rPr>
                <w:sz w:val="8"/>
                <w:szCs w:val="8"/>
              </w:rPr>
            </w:pPr>
            <w:r>
              <w:rPr>
                <w:sz w:val="8"/>
                <w:szCs w:val="8"/>
                <w:position w:val="-1"/>
              </w:rPr>
              <w:t>-</w:t>
            </w:r>
          </w:p>
        </w:tc>
        <w:tc>
          <w:tcPr>
            <w:tcW w:w="939" w:type="dxa"/>
            <w:vAlign w:val="top"/>
          </w:tcPr>
          <w:p>
            <w:pPr>
              <w:pStyle w:val="TableText"/>
              <w:ind w:left="246"/>
              <w:spacing w:before="57" w:line="170" w:lineRule="auto"/>
              <w:rPr>
                <w:sz w:val="22"/>
                <w:szCs w:val="22"/>
              </w:rPr>
            </w:pPr>
            <w:r>
              <w:rPr>
                <w:sz w:val="22"/>
                <w:szCs w:val="22"/>
                <w:spacing w:val="-5"/>
              </w:rPr>
              <w:t>1000</w:t>
            </w:r>
          </w:p>
        </w:tc>
        <w:tc>
          <w:tcPr>
            <w:tcW w:w="1348" w:type="dxa"/>
            <w:vAlign w:val="top"/>
          </w:tcPr>
          <w:p>
            <w:pPr>
              <w:pStyle w:val="TableText"/>
              <w:ind w:left="617"/>
              <w:spacing w:before="160" w:line="100" w:lineRule="exact"/>
              <w:rPr>
                <w:sz w:val="22"/>
                <w:szCs w:val="22"/>
              </w:rPr>
            </w:pPr>
            <w:r>
              <w:rPr>
                <w:sz w:val="22"/>
                <w:szCs w:val="22"/>
                <w:position w:val="-5"/>
              </w:rPr>
              <w:t>-</w:t>
            </w:r>
          </w:p>
        </w:tc>
        <w:tc>
          <w:tcPr>
            <w:tcW w:w="864" w:type="dxa"/>
            <w:vAlign w:val="top"/>
          </w:tcPr>
          <w:p>
            <w:pPr>
              <w:pStyle w:val="TableText"/>
              <w:ind w:left="210"/>
              <w:spacing w:before="57" w:line="170" w:lineRule="auto"/>
              <w:rPr>
                <w:sz w:val="22"/>
                <w:szCs w:val="22"/>
              </w:rPr>
            </w:pPr>
            <w:r>
              <w:rPr>
                <w:sz w:val="22"/>
                <w:szCs w:val="22"/>
                <w:spacing w:val="-5"/>
              </w:rPr>
              <w:t>1000</w:t>
            </w:r>
          </w:p>
        </w:tc>
      </w:tr>
      <w:tr>
        <w:trPr>
          <w:trHeight w:val="279" w:hRule="atLeast"/>
        </w:trPr>
        <w:tc>
          <w:tcPr>
            <w:tcW w:w="1243" w:type="dxa"/>
            <w:vAlign w:val="top"/>
            <w:vMerge w:val="continue"/>
            <w:tcBorders>
              <w:top w:val="nil"/>
              <w:bottom w:val="nil"/>
            </w:tcBorders>
          </w:tcPr>
          <w:p>
            <w:pPr>
              <w:rPr>
                <w:rFonts w:ascii="Arial"/>
                <w:sz w:val="21"/>
              </w:rPr>
            </w:pPr>
            <w:r/>
          </w:p>
        </w:tc>
        <w:tc>
          <w:tcPr>
            <w:tcW w:w="1438" w:type="dxa"/>
            <w:vAlign w:val="top"/>
            <w:vMerge w:val="continue"/>
            <w:tcBorders>
              <w:top w:val="nil"/>
              <w:bottom w:val="nil"/>
            </w:tcBorders>
          </w:tcPr>
          <w:p>
            <w:pPr>
              <w:rPr>
                <w:rFonts w:ascii="Arial"/>
                <w:sz w:val="21"/>
              </w:rPr>
            </w:pPr>
            <w:r/>
          </w:p>
        </w:tc>
        <w:tc>
          <w:tcPr>
            <w:tcW w:w="839" w:type="dxa"/>
            <w:vAlign w:val="top"/>
            <w:vMerge w:val="continue"/>
            <w:tcBorders>
              <w:top w:val="nil"/>
              <w:bottom w:val="nil"/>
            </w:tcBorders>
          </w:tcPr>
          <w:p>
            <w:pPr>
              <w:rPr>
                <w:rFonts w:ascii="Arial"/>
                <w:sz w:val="21"/>
              </w:rPr>
            </w:pPr>
            <w:r/>
          </w:p>
        </w:tc>
        <w:tc>
          <w:tcPr>
            <w:tcW w:w="849" w:type="dxa"/>
            <w:vAlign w:val="top"/>
          </w:tcPr>
          <w:p>
            <w:pPr>
              <w:pStyle w:val="TableText"/>
              <w:ind w:left="194"/>
              <w:spacing w:before="35" w:line="196" w:lineRule="auto"/>
              <w:rPr>
                <w:sz w:val="22"/>
                <w:szCs w:val="22"/>
              </w:rPr>
            </w:pPr>
            <w:r>
              <w:rPr>
                <w:sz w:val="22"/>
                <w:szCs w:val="22"/>
                <w:spacing w:val="6"/>
              </w:rPr>
              <w:t>筒骨</w:t>
            </w:r>
          </w:p>
        </w:tc>
        <w:tc>
          <w:tcPr>
            <w:tcW w:w="979" w:type="dxa"/>
            <w:vAlign w:val="top"/>
          </w:tcPr>
          <w:p>
            <w:pPr>
              <w:pStyle w:val="TableText"/>
              <w:ind w:left="465"/>
              <w:spacing w:before="144" w:line="55" w:lineRule="exact"/>
              <w:rPr>
                <w:sz w:val="8"/>
                <w:szCs w:val="8"/>
              </w:rPr>
            </w:pPr>
            <w:r>
              <w:rPr>
                <w:sz w:val="8"/>
                <w:szCs w:val="8"/>
                <w:position w:val="-1"/>
              </w:rPr>
              <w:t>-</w:t>
            </w:r>
          </w:p>
        </w:tc>
        <w:tc>
          <w:tcPr>
            <w:tcW w:w="939" w:type="dxa"/>
            <w:vAlign w:val="top"/>
          </w:tcPr>
          <w:p>
            <w:pPr>
              <w:pStyle w:val="TableText"/>
              <w:ind w:left="296"/>
              <w:spacing w:before="56" w:line="178" w:lineRule="auto"/>
              <w:rPr>
                <w:sz w:val="22"/>
                <w:szCs w:val="22"/>
              </w:rPr>
            </w:pPr>
            <w:r>
              <w:rPr>
                <w:sz w:val="22"/>
                <w:szCs w:val="22"/>
                <w:spacing w:val="-3"/>
              </w:rPr>
              <w:t>800</w:t>
            </w:r>
          </w:p>
        </w:tc>
        <w:tc>
          <w:tcPr>
            <w:tcW w:w="1348" w:type="dxa"/>
            <w:vAlign w:val="top"/>
          </w:tcPr>
          <w:p>
            <w:pPr>
              <w:rPr>
                <w:rFonts w:ascii="Arial"/>
                <w:sz w:val="21"/>
              </w:rPr>
            </w:pPr>
            <w:r/>
          </w:p>
        </w:tc>
        <w:tc>
          <w:tcPr>
            <w:tcW w:w="864" w:type="dxa"/>
            <w:vAlign w:val="top"/>
          </w:tcPr>
          <w:p>
            <w:pPr>
              <w:pStyle w:val="TableText"/>
              <w:ind w:left="260"/>
              <w:spacing w:before="56" w:line="178" w:lineRule="auto"/>
              <w:rPr>
                <w:sz w:val="22"/>
                <w:szCs w:val="22"/>
              </w:rPr>
            </w:pPr>
            <w:r>
              <w:rPr>
                <w:sz w:val="22"/>
                <w:szCs w:val="22"/>
                <w:spacing w:val="-3"/>
              </w:rPr>
              <w:t>800</w:t>
            </w:r>
          </w:p>
        </w:tc>
      </w:tr>
      <w:tr>
        <w:trPr>
          <w:trHeight w:val="269" w:hRule="atLeast"/>
        </w:trPr>
        <w:tc>
          <w:tcPr>
            <w:tcW w:w="1243" w:type="dxa"/>
            <w:vAlign w:val="top"/>
            <w:vMerge w:val="continue"/>
            <w:tcBorders>
              <w:top w:val="nil"/>
              <w:bottom w:val="nil"/>
            </w:tcBorders>
          </w:tcPr>
          <w:p>
            <w:pPr>
              <w:rPr>
                <w:rFonts w:ascii="Arial"/>
                <w:sz w:val="21"/>
              </w:rPr>
            </w:pPr>
            <w:r/>
          </w:p>
        </w:tc>
        <w:tc>
          <w:tcPr>
            <w:tcW w:w="1438" w:type="dxa"/>
            <w:vAlign w:val="top"/>
            <w:vMerge w:val="continue"/>
            <w:tcBorders>
              <w:top w:val="nil"/>
            </w:tcBorders>
          </w:tcPr>
          <w:p>
            <w:pPr>
              <w:rPr>
                <w:rFonts w:ascii="Arial"/>
                <w:sz w:val="21"/>
              </w:rPr>
            </w:pPr>
            <w:r/>
          </w:p>
        </w:tc>
        <w:tc>
          <w:tcPr>
            <w:tcW w:w="839" w:type="dxa"/>
            <w:vAlign w:val="top"/>
            <w:vMerge w:val="continue"/>
            <w:tcBorders>
              <w:top w:val="nil"/>
            </w:tcBorders>
          </w:tcPr>
          <w:p>
            <w:pPr>
              <w:rPr>
                <w:rFonts w:ascii="Arial"/>
                <w:sz w:val="21"/>
              </w:rPr>
            </w:pPr>
            <w:r/>
          </w:p>
        </w:tc>
        <w:tc>
          <w:tcPr>
            <w:tcW w:w="849" w:type="dxa"/>
            <w:vAlign w:val="top"/>
          </w:tcPr>
          <w:p>
            <w:pPr>
              <w:pStyle w:val="TableText"/>
              <w:ind w:left="194"/>
              <w:spacing w:before="34" w:line="188" w:lineRule="auto"/>
              <w:rPr>
                <w:sz w:val="22"/>
                <w:szCs w:val="22"/>
              </w:rPr>
            </w:pPr>
            <w:r>
              <w:rPr>
                <w:sz w:val="22"/>
                <w:szCs w:val="22"/>
                <w:spacing w:val="6"/>
              </w:rPr>
              <w:t>牛脚</w:t>
            </w:r>
          </w:p>
        </w:tc>
        <w:tc>
          <w:tcPr>
            <w:tcW w:w="979" w:type="dxa"/>
            <w:vAlign w:val="top"/>
          </w:tcPr>
          <w:p>
            <w:pPr>
              <w:pStyle w:val="TableText"/>
              <w:ind w:left="465"/>
              <w:spacing w:before="145" w:line="55" w:lineRule="exact"/>
              <w:rPr>
                <w:sz w:val="8"/>
                <w:szCs w:val="8"/>
              </w:rPr>
            </w:pPr>
            <w:r>
              <w:rPr>
                <w:sz w:val="8"/>
                <w:szCs w:val="8"/>
                <w:position w:val="-1"/>
              </w:rPr>
              <w:t>-</w:t>
            </w:r>
          </w:p>
        </w:tc>
        <w:tc>
          <w:tcPr>
            <w:tcW w:w="939" w:type="dxa"/>
            <w:vAlign w:val="top"/>
          </w:tcPr>
          <w:p>
            <w:pPr>
              <w:pStyle w:val="TableText"/>
              <w:ind w:left="296"/>
              <w:spacing w:before="57" w:line="169" w:lineRule="auto"/>
              <w:rPr>
                <w:sz w:val="22"/>
                <w:szCs w:val="22"/>
              </w:rPr>
            </w:pPr>
            <w:r>
              <w:rPr>
                <w:sz w:val="22"/>
                <w:szCs w:val="22"/>
                <w:spacing w:val="-3"/>
              </w:rPr>
              <w:t>600</w:t>
            </w:r>
          </w:p>
        </w:tc>
        <w:tc>
          <w:tcPr>
            <w:tcW w:w="1348" w:type="dxa"/>
            <w:vAlign w:val="top"/>
          </w:tcPr>
          <w:p>
            <w:pPr>
              <w:pStyle w:val="TableText"/>
              <w:ind w:left="617"/>
              <w:spacing w:before="161" w:line="98" w:lineRule="exact"/>
              <w:rPr>
                <w:sz w:val="22"/>
                <w:szCs w:val="22"/>
              </w:rPr>
            </w:pPr>
            <w:r>
              <w:rPr>
                <w:sz w:val="22"/>
                <w:szCs w:val="22"/>
                <w:position w:val="-5"/>
              </w:rPr>
              <w:t>-</w:t>
            </w:r>
          </w:p>
        </w:tc>
        <w:tc>
          <w:tcPr>
            <w:tcW w:w="864" w:type="dxa"/>
            <w:vAlign w:val="top"/>
          </w:tcPr>
          <w:p>
            <w:pPr>
              <w:pStyle w:val="TableText"/>
              <w:ind w:left="260"/>
              <w:spacing w:before="57" w:line="169" w:lineRule="auto"/>
              <w:rPr>
                <w:sz w:val="22"/>
                <w:szCs w:val="22"/>
              </w:rPr>
            </w:pPr>
            <w:r>
              <w:rPr>
                <w:sz w:val="22"/>
                <w:szCs w:val="22"/>
                <w:spacing w:val="-3"/>
              </w:rPr>
              <w:t>600</w:t>
            </w:r>
          </w:p>
        </w:tc>
      </w:tr>
      <w:tr>
        <w:trPr>
          <w:trHeight w:val="310" w:hRule="atLeast"/>
        </w:trPr>
        <w:tc>
          <w:tcPr>
            <w:tcW w:w="1243" w:type="dxa"/>
            <w:vAlign w:val="top"/>
            <w:vMerge w:val="continue"/>
            <w:tcBorders>
              <w:top w:val="nil"/>
              <w:bottom w:val="nil"/>
            </w:tcBorders>
          </w:tcPr>
          <w:p>
            <w:pPr>
              <w:rPr>
                <w:rFonts w:ascii="Arial"/>
                <w:sz w:val="21"/>
              </w:rPr>
            </w:pPr>
            <w:r/>
          </w:p>
        </w:tc>
        <w:tc>
          <w:tcPr>
            <w:tcW w:w="1438" w:type="dxa"/>
            <w:vAlign w:val="top"/>
            <w:vMerge w:val="restart"/>
            <w:tcBorders>
              <w:bottom w:val="nil"/>
            </w:tcBorders>
          </w:tcPr>
          <w:p>
            <w:pPr>
              <w:spacing w:line="271" w:lineRule="auto"/>
              <w:rPr>
                <w:rFonts w:ascii="Arial"/>
                <w:sz w:val="21"/>
              </w:rPr>
            </w:pPr>
            <w:r/>
          </w:p>
          <w:p>
            <w:pPr>
              <w:spacing w:line="271" w:lineRule="auto"/>
              <w:rPr>
                <w:rFonts w:ascii="Arial"/>
                <w:sz w:val="21"/>
              </w:rPr>
            </w:pPr>
            <w:r/>
          </w:p>
          <w:p>
            <w:pPr>
              <w:pStyle w:val="TableText"/>
              <w:ind w:left="382"/>
              <w:spacing w:before="71" w:line="219" w:lineRule="auto"/>
              <w:rPr>
                <w:sz w:val="22"/>
                <w:szCs w:val="22"/>
              </w:rPr>
            </w:pPr>
            <w:r>
              <w:rPr>
                <w:sz w:val="22"/>
                <w:szCs w:val="22"/>
                <w:spacing w:val="7"/>
              </w:rPr>
              <w:t>副产品</w:t>
            </w:r>
          </w:p>
        </w:tc>
        <w:tc>
          <w:tcPr>
            <w:tcW w:w="1688" w:type="dxa"/>
            <w:vAlign w:val="top"/>
            <w:gridSpan w:val="2"/>
          </w:tcPr>
          <w:p>
            <w:pPr>
              <w:pStyle w:val="TableText"/>
              <w:ind w:left="503"/>
              <w:spacing w:before="58" w:line="203" w:lineRule="auto"/>
              <w:rPr>
                <w:sz w:val="22"/>
                <w:szCs w:val="22"/>
              </w:rPr>
            </w:pPr>
            <w:r>
              <w:rPr>
                <w:sz w:val="22"/>
                <w:szCs w:val="22"/>
                <w:spacing w:val="3"/>
              </w:rPr>
              <w:t>牛皮毛</w:t>
            </w:r>
          </w:p>
        </w:tc>
        <w:tc>
          <w:tcPr>
            <w:tcW w:w="979" w:type="dxa"/>
            <w:vAlign w:val="top"/>
          </w:tcPr>
          <w:p>
            <w:pPr>
              <w:pStyle w:val="TableText"/>
              <w:ind w:left="465"/>
              <w:spacing w:before="167" w:line="54" w:lineRule="exact"/>
              <w:rPr>
                <w:sz w:val="8"/>
                <w:szCs w:val="8"/>
              </w:rPr>
            </w:pPr>
            <w:r>
              <w:rPr>
                <w:sz w:val="8"/>
                <w:szCs w:val="8"/>
                <w:position w:val="-1"/>
              </w:rPr>
              <w:t>-</w:t>
            </w:r>
          </w:p>
        </w:tc>
        <w:tc>
          <w:tcPr>
            <w:tcW w:w="939" w:type="dxa"/>
            <w:vAlign w:val="top"/>
          </w:tcPr>
          <w:p>
            <w:pPr>
              <w:pStyle w:val="TableText"/>
              <w:ind w:left="406"/>
              <w:spacing w:before="182" w:line="118" w:lineRule="exact"/>
              <w:rPr>
                <w:sz w:val="22"/>
                <w:szCs w:val="22"/>
              </w:rPr>
            </w:pPr>
            <w:r>
              <w:rPr>
                <w:sz w:val="22"/>
                <w:szCs w:val="22"/>
                <w:position w:val="-5"/>
              </w:rPr>
              <w:t>-</w:t>
            </w:r>
          </w:p>
        </w:tc>
        <w:tc>
          <w:tcPr>
            <w:tcW w:w="1348" w:type="dxa"/>
            <w:vAlign w:val="top"/>
          </w:tcPr>
          <w:p>
            <w:pPr>
              <w:pStyle w:val="TableText"/>
              <w:ind w:left="508"/>
              <w:spacing w:before="79" w:line="185" w:lineRule="auto"/>
              <w:rPr>
                <w:sz w:val="22"/>
                <w:szCs w:val="22"/>
              </w:rPr>
            </w:pPr>
            <w:r>
              <w:rPr>
                <w:sz w:val="22"/>
                <w:szCs w:val="22"/>
                <w:spacing w:val="-2"/>
              </w:rPr>
              <w:t>400</w:t>
            </w:r>
          </w:p>
        </w:tc>
        <w:tc>
          <w:tcPr>
            <w:tcW w:w="864" w:type="dxa"/>
            <w:vAlign w:val="top"/>
          </w:tcPr>
          <w:p>
            <w:pPr>
              <w:pStyle w:val="TableText"/>
              <w:ind w:left="260"/>
              <w:spacing w:before="79" w:line="185" w:lineRule="auto"/>
              <w:rPr>
                <w:sz w:val="22"/>
                <w:szCs w:val="22"/>
              </w:rPr>
            </w:pPr>
            <w:r>
              <w:rPr>
                <w:sz w:val="22"/>
                <w:szCs w:val="22"/>
                <w:spacing w:val="-2"/>
              </w:rPr>
              <w:t>400</w:t>
            </w:r>
          </w:p>
        </w:tc>
      </w:tr>
      <w:tr>
        <w:trPr>
          <w:trHeight w:val="280" w:hRule="atLeast"/>
        </w:trPr>
        <w:tc>
          <w:tcPr>
            <w:tcW w:w="1243" w:type="dxa"/>
            <w:vAlign w:val="top"/>
            <w:vMerge w:val="continue"/>
            <w:tcBorders>
              <w:top w:val="nil"/>
              <w:bottom w:val="nil"/>
            </w:tcBorders>
          </w:tcPr>
          <w:p>
            <w:pPr>
              <w:rPr>
                <w:rFonts w:ascii="Arial"/>
                <w:sz w:val="21"/>
              </w:rPr>
            </w:pPr>
            <w:r/>
          </w:p>
        </w:tc>
        <w:tc>
          <w:tcPr>
            <w:tcW w:w="1438" w:type="dxa"/>
            <w:vAlign w:val="top"/>
            <w:vMerge w:val="continue"/>
            <w:tcBorders>
              <w:top w:val="nil"/>
              <w:bottom w:val="nil"/>
            </w:tcBorders>
          </w:tcPr>
          <w:p>
            <w:pPr>
              <w:rPr>
                <w:rFonts w:ascii="Arial"/>
                <w:sz w:val="21"/>
              </w:rPr>
            </w:pPr>
            <w:r/>
          </w:p>
        </w:tc>
        <w:tc>
          <w:tcPr>
            <w:tcW w:w="1688" w:type="dxa"/>
            <w:vAlign w:val="top"/>
            <w:gridSpan w:val="2"/>
          </w:tcPr>
          <w:p>
            <w:pPr>
              <w:pStyle w:val="TableText"/>
              <w:ind w:left="614"/>
              <w:spacing w:before="38" w:line="194" w:lineRule="auto"/>
              <w:rPr>
                <w:sz w:val="22"/>
                <w:szCs w:val="22"/>
              </w:rPr>
            </w:pPr>
            <w:r>
              <w:rPr>
                <w:sz w:val="22"/>
                <w:szCs w:val="22"/>
                <w:color w:val="605050"/>
                <w:spacing w:val="11"/>
              </w:rPr>
              <w:t>牛油</w:t>
            </w:r>
          </w:p>
        </w:tc>
        <w:tc>
          <w:tcPr>
            <w:tcW w:w="979" w:type="dxa"/>
            <w:vAlign w:val="top"/>
          </w:tcPr>
          <w:p>
            <w:pPr>
              <w:rPr>
                <w:rFonts w:ascii="Arial"/>
                <w:sz w:val="21"/>
              </w:rPr>
            </w:pPr>
            <w:r/>
          </w:p>
        </w:tc>
        <w:tc>
          <w:tcPr>
            <w:tcW w:w="939" w:type="dxa"/>
            <w:vAlign w:val="top"/>
          </w:tcPr>
          <w:p>
            <w:pPr>
              <w:rPr>
                <w:rFonts w:ascii="Arial"/>
                <w:sz w:val="21"/>
              </w:rPr>
            </w:pPr>
            <w:r/>
          </w:p>
        </w:tc>
        <w:tc>
          <w:tcPr>
            <w:tcW w:w="1348" w:type="dxa"/>
            <w:vAlign w:val="top"/>
          </w:tcPr>
          <w:p>
            <w:pPr>
              <w:pStyle w:val="TableText"/>
              <w:ind w:left="508"/>
              <w:spacing w:before="59" w:line="177" w:lineRule="auto"/>
              <w:rPr>
                <w:sz w:val="22"/>
                <w:szCs w:val="22"/>
              </w:rPr>
            </w:pPr>
            <w:r>
              <w:rPr>
                <w:sz w:val="22"/>
                <w:szCs w:val="22"/>
                <w:spacing w:val="-3"/>
              </w:rPr>
              <w:t>200</w:t>
            </w:r>
          </w:p>
        </w:tc>
        <w:tc>
          <w:tcPr>
            <w:tcW w:w="864" w:type="dxa"/>
            <w:vAlign w:val="top"/>
          </w:tcPr>
          <w:p>
            <w:pPr>
              <w:pStyle w:val="TableText"/>
              <w:ind w:left="260"/>
              <w:spacing w:before="59" w:line="177" w:lineRule="auto"/>
              <w:rPr>
                <w:sz w:val="22"/>
                <w:szCs w:val="22"/>
              </w:rPr>
            </w:pPr>
            <w:r>
              <w:rPr>
                <w:sz w:val="22"/>
                <w:szCs w:val="22"/>
                <w:spacing w:val="-3"/>
              </w:rPr>
              <w:t>200</w:t>
            </w:r>
          </w:p>
        </w:tc>
      </w:tr>
      <w:tr>
        <w:trPr>
          <w:trHeight w:val="259" w:hRule="atLeast"/>
        </w:trPr>
        <w:tc>
          <w:tcPr>
            <w:tcW w:w="1243" w:type="dxa"/>
            <w:vAlign w:val="top"/>
            <w:vMerge w:val="continue"/>
            <w:tcBorders>
              <w:top w:val="nil"/>
              <w:bottom w:val="nil"/>
            </w:tcBorders>
          </w:tcPr>
          <w:p>
            <w:pPr>
              <w:rPr>
                <w:rFonts w:ascii="Arial"/>
                <w:sz w:val="21"/>
              </w:rPr>
            </w:pPr>
            <w:r/>
          </w:p>
        </w:tc>
        <w:tc>
          <w:tcPr>
            <w:tcW w:w="1438" w:type="dxa"/>
            <w:vAlign w:val="top"/>
            <w:vMerge w:val="continue"/>
            <w:tcBorders>
              <w:top w:val="nil"/>
              <w:bottom w:val="nil"/>
            </w:tcBorders>
          </w:tcPr>
          <w:p>
            <w:pPr>
              <w:rPr>
                <w:rFonts w:ascii="Arial"/>
                <w:sz w:val="21"/>
              </w:rPr>
            </w:pPr>
            <w:r/>
          </w:p>
        </w:tc>
        <w:tc>
          <w:tcPr>
            <w:tcW w:w="1688" w:type="dxa"/>
            <w:vAlign w:val="top"/>
            <w:gridSpan w:val="2"/>
          </w:tcPr>
          <w:p>
            <w:pPr>
              <w:pStyle w:val="TableText"/>
              <w:ind w:left="614"/>
              <w:spacing w:before="27" w:line="186" w:lineRule="auto"/>
              <w:rPr>
                <w:sz w:val="22"/>
                <w:szCs w:val="22"/>
              </w:rPr>
            </w:pPr>
            <w:r>
              <w:rPr>
                <w:sz w:val="22"/>
                <w:szCs w:val="22"/>
                <w:color w:val="405050"/>
                <w:spacing w:val="4"/>
              </w:rPr>
              <w:t>内脏</w:t>
            </w:r>
          </w:p>
        </w:tc>
        <w:tc>
          <w:tcPr>
            <w:tcW w:w="979" w:type="dxa"/>
            <w:vAlign w:val="top"/>
          </w:tcPr>
          <w:p>
            <w:pPr>
              <w:pStyle w:val="TableText"/>
              <w:ind w:left="465"/>
              <w:spacing w:before="137" w:line="54" w:lineRule="exact"/>
              <w:rPr>
                <w:sz w:val="8"/>
                <w:szCs w:val="8"/>
              </w:rPr>
            </w:pPr>
            <w:r>
              <w:rPr>
                <w:sz w:val="8"/>
                <w:szCs w:val="8"/>
                <w:position w:val="-1"/>
              </w:rPr>
              <w:t>-</w:t>
            </w:r>
          </w:p>
        </w:tc>
        <w:tc>
          <w:tcPr>
            <w:tcW w:w="939" w:type="dxa"/>
            <w:vAlign w:val="top"/>
          </w:tcPr>
          <w:p>
            <w:pPr>
              <w:pStyle w:val="TableText"/>
              <w:ind w:left="406"/>
              <w:spacing w:before="152" w:line="96" w:lineRule="exact"/>
              <w:rPr>
                <w:sz w:val="22"/>
                <w:szCs w:val="22"/>
              </w:rPr>
            </w:pPr>
            <w:r>
              <w:rPr>
                <w:sz w:val="22"/>
                <w:szCs w:val="22"/>
                <w:position w:val="-5"/>
              </w:rPr>
              <w:t>-</w:t>
            </w:r>
          </w:p>
        </w:tc>
        <w:tc>
          <w:tcPr>
            <w:tcW w:w="1348" w:type="dxa"/>
            <w:vAlign w:val="top"/>
          </w:tcPr>
          <w:p>
            <w:pPr>
              <w:pStyle w:val="TableText"/>
              <w:ind w:left="447"/>
              <w:spacing w:before="48" w:line="168" w:lineRule="auto"/>
              <w:rPr>
                <w:sz w:val="22"/>
                <w:szCs w:val="22"/>
              </w:rPr>
            </w:pPr>
            <w:r>
              <w:rPr>
                <w:sz w:val="22"/>
                <w:szCs w:val="22"/>
                <w:spacing w:val="-3"/>
              </w:rPr>
              <w:t>5000</w:t>
            </w:r>
          </w:p>
        </w:tc>
        <w:tc>
          <w:tcPr>
            <w:tcW w:w="864" w:type="dxa"/>
            <w:vAlign w:val="top"/>
          </w:tcPr>
          <w:p>
            <w:pPr>
              <w:pStyle w:val="TableText"/>
              <w:ind w:left="210"/>
              <w:spacing w:before="48" w:line="168" w:lineRule="auto"/>
              <w:rPr>
                <w:sz w:val="22"/>
                <w:szCs w:val="22"/>
              </w:rPr>
            </w:pPr>
            <w:r>
              <w:rPr>
                <w:sz w:val="22"/>
                <w:szCs w:val="22"/>
                <w:spacing w:val="-3"/>
              </w:rPr>
              <w:t>5000</w:t>
            </w:r>
          </w:p>
        </w:tc>
      </w:tr>
      <w:tr>
        <w:trPr>
          <w:trHeight w:val="270" w:hRule="atLeast"/>
        </w:trPr>
        <w:tc>
          <w:tcPr>
            <w:tcW w:w="1243" w:type="dxa"/>
            <w:vAlign w:val="top"/>
            <w:vMerge w:val="continue"/>
            <w:tcBorders>
              <w:top w:val="nil"/>
              <w:bottom w:val="nil"/>
            </w:tcBorders>
          </w:tcPr>
          <w:p>
            <w:pPr>
              <w:rPr>
                <w:rFonts w:ascii="Arial"/>
                <w:sz w:val="21"/>
              </w:rPr>
            </w:pPr>
            <w:r/>
          </w:p>
        </w:tc>
        <w:tc>
          <w:tcPr>
            <w:tcW w:w="1438" w:type="dxa"/>
            <w:vAlign w:val="top"/>
            <w:vMerge w:val="continue"/>
            <w:tcBorders>
              <w:top w:val="nil"/>
              <w:bottom w:val="nil"/>
            </w:tcBorders>
          </w:tcPr>
          <w:p>
            <w:pPr>
              <w:rPr>
                <w:rFonts w:ascii="Arial"/>
                <w:sz w:val="21"/>
              </w:rPr>
            </w:pPr>
            <w:r/>
          </w:p>
        </w:tc>
        <w:tc>
          <w:tcPr>
            <w:tcW w:w="1688" w:type="dxa"/>
            <w:vAlign w:val="top"/>
            <w:gridSpan w:val="2"/>
          </w:tcPr>
          <w:p>
            <w:pPr>
              <w:pStyle w:val="TableText"/>
              <w:ind w:left="614"/>
              <w:spacing w:before="39" w:line="185" w:lineRule="auto"/>
              <w:rPr>
                <w:sz w:val="22"/>
                <w:szCs w:val="22"/>
              </w:rPr>
            </w:pPr>
            <w:r>
              <w:rPr>
                <w:sz w:val="22"/>
                <w:szCs w:val="22"/>
                <w:spacing w:val="4"/>
              </w:rPr>
              <w:t>牛血</w:t>
            </w:r>
          </w:p>
        </w:tc>
        <w:tc>
          <w:tcPr>
            <w:tcW w:w="979" w:type="dxa"/>
            <w:vAlign w:val="top"/>
          </w:tcPr>
          <w:p>
            <w:pPr>
              <w:pStyle w:val="TableText"/>
              <w:ind w:left="465"/>
              <w:spacing w:before="148" w:line="54" w:lineRule="exact"/>
              <w:rPr>
                <w:sz w:val="8"/>
                <w:szCs w:val="8"/>
              </w:rPr>
            </w:pPr>
            <w:r>
              <w:rPr>
                <w:sz w:val="8"/>
                <w:szCs w:val="8"/>
                <w:position w:val="-1"/>
              </w:rPr>
              <w:t>-</w:t>
            </w:r>
          </w:p>
        </w:tc>
        <w:tc>
          <w:tcPr>
            <w:tcW w:w="939" w:type="dxa"/>
            <w:vAlign w:val="top"/>
          </w:tcPr>
          <w:p>
            <w:pPr>
              <w:pStyle w:val="TableText"/>
              <w:ind w:left="406"/>
              <w:spacing w:before="163" w:line="96" w:lineRule="exact"/>
              <w:rPr>
                <w:sz w:val="22"/>
                <w:szCs w:val="22"/>
              </w:rPr>
            </w:pPr>
            <w:r>
              <w:rPr>
                <w:sz w:val="22"/>
                <w:szCs w:val="22"/>
                <w:position w:val="-5"/>
              </w:rPr>
              <w:t>-</w:t>
            </w:r>
          </w:p>
        </w:tc>
        <w:tc>
          <w:tcPr>
            <w:tcW w:w="1348" w:type="dxa"/>
            <w:vAlign w:val="top"/>
          </w:tcPr>
          <w:p>
            <w:pPr>
              <w:pStyle w:val="TableText"/>
              <w:ind w:left="508"/>
              <w:spacing w:before="59" w:line="168" w:lineRule="auto"/>
              <w:rPr>
                <w:sz w:val="22"/>
                <w:szCs w:val="22"/>
              </w:rPr>
            </w:pPr>
            <w:r>
              <w:rPr>
                <w:sz w:val="22"/>
                <w:szCs w:val="22"/>
                <w:spacing w:val="-4"/>
              </w:rPr>
              <w:t>760</w:t>
            </w:r>
          </w:p>
        </w:tc>
        <w:tc>
          <w:tcPr>
            <w:tcW w:w="864" w:type="dxa"/>
            <w:vAlign w:val="top"/>
          </w:tcPr>
          <w:p>
            <w:pPr>
              <w:pStyle w:val="TableText"/>
              <w:ind w:left="260"/>
              <w:spacing w:before="59" w:line="168" w:lineRule="auto"/>
              <w:rPr>
                <w:sz w:val="22"/>
                <w:szCs w:val="22"/>
              </w:rPr>
            </w:pPr>
            <w:r>
              <w:rPr>
                <w:sz w:val="22"/>
                <w:szCs w:val="22"/>
                <w:spacing w:val="-4"/>
              </w:rPr>
              <w:t>760</w:t>
            </w:r>
          </w:p>
        </w:tc>
      </w:tr>
      <w:tr>
        <w:trPr>
          <w:trHeight w:val="279" w:hRule="atLeast"/>
        </w:trPr>
        <w:tc>
          <w:tcPr>
            <w:tcW w:w="1243" w:type="dxa"/>
            <w:vAlign w:val="top"/>
            <w:vMerge w:val="continue"/>
            <w:tcBorders>
              <w:top w:val="nil"/>
            </w:tcBorders>
          </w:tcPr>
          <w:p>
            <w:pPr>
              <w:rPr>
                <w:rFonts w:ascii="Arial"/>
                <w:sz w:val="21"/>
              </w:rPr>
            </w:pPr>
            <w:r/>
          </w:p>
        </w:tc>
        <w:tc>
          <w:tcPr>
            <w:tcW w:w="1438" w:type="dxa"/>
            <w:vAlign w:val="top"/>
            <w:vMerge w:val="continue"/>
            <w:tcBorders>
              <w:top w:val="nil"/>
            </w:tcBorders>
          </w:tcPr>
          <w:p>
            <w:pPr>
              <w:rPr>
                <w:rFonts w:ascii="Arial"/>
                <w:sz w:val="21"/>
              </w:rPr>
            </w:pPr>
            <w:r/>
          </w:p>
        </w:tc>
        <w:tc>
          <w:tcPr>
            <w:tcW w:w="1688" w:type="dxa"/>
            <w:vAlign w:val="top"/>
            <w:gridSpan w:val="2"/>
          </w:tcPr>
          <w:p>
            <w:pPr>
              <w:pStyle w:val="TableText"/>
              <w:ind w:left="503"/>
              <w:spacing w:before="37" w:line="194" w:lineRule="auto"/>
              <w:rPr>
                <w:sz w:val="22"/>
                <w:szCs w:val="22"/>
              </w:rPr>
            </w:pPr>
            <w:r>
              <w:rPr>
                <w:sz w:val="22"/>
                <w:szCs w:val="22"/>
                <w:color w:val="606050"/>
                <w:spacing w:val="3"/>
              </w:rPr>
              <w:t>头蹄尾</w:t>
            </w:r>
          </w:p>
        </w:tc>
        <w:tc>
          <w:tcPr>
            <w:tcW w:w="979" w:type="dxa"/>
            <w:vAlign w:val="top"/>
          </w:tcPr>
          <w:p>
            <w:pPr>
              <w:pStyle w:val="TableText"/>
              <w:ind w:left="465"/>
              <w:spacing w:before="148" w:line="54" w:lineRule="exact"/>
              <w:rPr>
                <w:sz w:val="8"/>
                <w:szCs w:val="8"/>
              </w:rPr>
            </w:pPr>
            <w:r>
              <w:rPr>
                <w:sz w:val="8"/>
                <w:szCs w:val="8"/>
                <w:position w:val="-1"/>
              </w:rPr>
              <w:t>-</w:t>
            </w:r>
          </w:p>
        </w:tc>
        <w:tc>
          <w:tcPr>
            <w:tcW w:w="939" w:type="dxa"/>
            <w:vAlign w:val="top"/>
          </w:tcPr>
          <w:p>
            <w:pPr>
              <w:rPr>
                <w:rFonts w:ascii="Arial"/>
                <w:sz w:val="21"/>
              </w:rPr>
            </w:pPr>
            <w:r/>
          </w:p>
        </w:tc>
        <w:tc>
          <w:tcPr>
            <w:tcW w:w="1348" w:type="dxa"/>
            <w:vAlign w:val="top"/>
          </w:tcPr>
          <w:p>
            <w:pPr>
              <w:pStyle w:val="TableText"/>
              <w:ind w:left="508"/>
              <w:spacing w:before="60" w:line="175" w:lineRule="auto"/>
              <w:rPr>
                <w:sz w:val="22"/>
                <w:szCs w:val="22"/>
              </w:rPr>
            </w:pPr>
            <w:r>
              <w:rPr>
                <w:sz w:val="22"/>
                <w:szCs w:val="22"/>
                <w:spacing w:val="-4"/>
              </w:rPr>
              <w:t>710</w:t>
            </w:r>
          </w:p>
        </w:tc>
        <w:tc>
          <w:tcPr>
            <w:tcW w:w="864" w:type="dxa"/>
            <w:vAlign w:val="top"/>
          </w:tcPr>
          <w:p>
            <w:pPr>
              <w:pStyle w:val="TableText"/>
              <w:ind w:left="260"/>
              <w:spacing w:before="60" w:line="175" w:lineRule="auto"/>
              <w:rPr>
                <w:sz w:val="22"/>
                <w:szCs w:val="22"/>
              </w:rPr>
            </w:pPr>
            <w:r>
              <w:rPr>
                <w:sz w:val="22"/>
                <w:szCs w:val="22"/>
                <w:spacing w:val="-4"/>
              </w:rPr>
              <w:t>710</w:t>
            </w:r>
          </w:p>
        </w:tc>
      </w:tr>
      <w:tr>
        <w:trPr>
          <w:trHeight w:val="274" w:hRule="atLeast"/>
        </w:trPr>
        <w:tc>
          <w:tcPr>
            <w:tcW w:w="4369" w:type="dxa"/>
            <w:vAlign w:val="top"/>
            <w:gridSpan w:val="4"/>
          </w:tcPr>
          <w:p>
            <w:pPr>
              <w:pStyle w:val="TableText"/>
              <w:ind w:left="1738"/>
              <w:spacing w:before="37" w:line="190" w:lineRule="auto"/>
              <w:rPr>
                <w:sz w:val="22"/>
                <w:szCs w:val="22"/>
              </w:rPr>
            </w:pPr>
            <w:r>
              <w:rPr>
                <w:sz w:val="22"/>
                <w:szCs w:val="22"/>
                <w:b/>
                <w:bCs/>
                <w:spacing w:val="-2"/>
              </w:rPr>
              <w:t>肉牛合计</w:t>
            </w:r>
          </w:p>
        </w:tc>
        <w:tc>
          <w:tcPr>
            <w:tcW w:w="979" w:type="dxa"/>
            <w:vAlign w:val="top"/>
          </w:tcPr>
          <w:p>
            <w:pPr>
              <w:pStyle w:val="TableText"/>
              <w:ind w:left="269"/>
              <w:spacing w:before="60" w:line="171" w:lineRule="auto"/>
              <w:rPr>
                <w:sz w:val="22"/>
                <w:szCs w:val="22"/>
              </w:rPr>
            </w:pPr>
            <w:r>
              <w:rPr>
                <w:sz w:val="22"/>
                <w:szCs w:val="22"/>
                <w:b/>
                <w:bCs/>
                <w:spacing w:val="-5"/>
              </w:rPr>
              <w:t>8000</w:t>
            </w:r>
          </w:p>
        </w:tc>
        <w:tc>
          <w:tcPr>
            <w:tcW w:w="939" w:type="dxa"/>
            <w:vAlign w:val="top"/>
          </w:tcPr>
          <w:p>
            <w:pPr>
              <w:pStyle w:val="TableText"/>
              <w:ind w:left="250"/>
              <w:spacing w:before="60" w:line="171" w:lineRule="auto"/>
              <w:rPr>
                <w:sz w:val="22"/>
                <w:szCs w:val="22"/>
              </w:rPr>
            </w:pPr>
            <w:r>
              <w:rPr>
                <w:sz w:val="22"/>
                <w:szCs w:val="22"/>
                <w:b/>
                <w:bCs/>
                <w:spacing w:val="-5"/>
              </w:rPr>
              <w:t>2400</w:t>
            </w:r>
          </w:p>
        </w:tc>
        <w:tc>
          <w:tcPr>
            <w:tcW w:w="1348" w:type="dxa"/>
            <w:vAlign w:val="top"/>
          </w:tcPr>
          <w:p>
            <w:pPr>
              <w:pStyle w:val="TableText"/>
              <w:ind w:left="451"/>
              <w:spacing w:before="60" w:line="171" w:lineRule="auto"/>
              <w:rPr>
                <w:sz w:val="22"/>
                <w:szCs w:val="22"/>
              </w:rPr>
            </w:pPr>
            <w:r>
              <w:rPr>
                <w:sz w:val="22"/>
                <w:szCs w:val="22"/>
                <w:b/>
                <w:bCs/>
                <w:spacing w:val="-5"/>
              </w:rPr>
              <w:t>7070</w:t>
            </w:r>
          </w:p>
        </w:tc>
        <w:tc>
          <w:tcPr>
            <w:tcW w:w="864" w:type="dxa"/>
            <w:vAlign w:val="top"/>
          </w:tcPr>
          <w:p>
            <w:pPr>
              <w:pStyle w:val="TableText"/>
              <w:ind w:left="153"/>
              <w:spacing w:before="60" w:line="171" w:lineRule="auto"/>
              <w:rPr>
                <w:sz w:val="22"/>
                <w:szCs w:val="22"/>
              </w:rPr>
            </w:pPr>
            <w:r>
              <w:rPr>
                <w:sz w:val="22"/>
                <w:szCs w:val="22"/>
                <w:b/>
                <w:bCs/>
                <w:spacing w:val="-7"/>
              </w:rPr>
              <w:t>17470</w:t>
            </w:r>
          </w:p>
        </w:tc>
      </w:tr>
    </w:tbl>
    <w:p>
      <w:pPr>
        <w:ind w:left="605"/>
        <w:spacing w:before="63" w:line="219" w:lineRule="auto"/>
        <w:rPr>
          <w:rFonts w:ascii="SimSun" w:hAnsi="SimSun" w:eastAsia="SimSun" w:cs="SimSun"/>
          <w:sz w:val="24"/>
          <w:szCs w:val="24"/>
        </w:rPr>
      </w:pPr>
      <w:r>
        <w:rPr>
          <w:rFonts w:ascii="SimSun" w:hAnsi="SimSun" w:eastAsia="SimSun" w:cs="SimSun"/>
          <w:sz w:val="24"/>
          <w:szCs w:val="24"/>
        </w:rPr>
        <w:t>本项目年屠宰加工生猪40万头，淡季(270天)生猪</w:t>
      </w:r>
      <w:r>
        <w:rPr>
          <w:rFonts w:ascii="SimSun" w:hAnsi="SimSun" w:eastAsia="SimSun" w:cs="SimSun"/>
          <w:sz w:val="24"/>
          <w:szCs w:val="24"/>
          <w:spacing w:val="-1"/>
        </w:rPr>
        <w:t>屠宰量为27万头、旺季</w:t>
      </w:r>
    </w:p>
    <w:p>
      <w:pPr>
        <w:ind w:left="104" w:right="92" w:firstLine="140"/>
        <w:spacing w:before="201" w:line="351" w:lineRule="auto"/>
        <w:rPr>
          <w:rFonts w:ascii="SimSun" w:hAnsi="SimSun" w:eastAsia="SimSun" w:cs="SimSun"/>
          <w:sz w:val="24"/>
          <w:szCs w:val="24"/>
        </w:rPr>
      </w:pPr>
      <w:r>
        <w:rPr>
          <w:rFonts w:ascii="SimSun" w:hAnsi="SimSun" w:eastAsia="SimSun" w:cs="SimSun"/>
          <w:sz w:val="24"/>
          <w:szCs w:val="24"/>
          <w:spacing w:val="10"/>
        </w:rPr>
        <w:t>(90天)生猪屠宰量为13万头，每头猪重量约为110</w:t>
      </w:r>
      <w:r>
        <w:rPr>
          <w:rFonts w:ascii="SimSun" w:hAnsi="SimSun" w:eastAsia="SimSun" w:cs="SimSun"/>
          <w:sz w:val="24"/>
          <w:szCs w:val="24"/>
        </w:rPr>
        <w:t>kg</w:t>
      </w:r>
      <w:r>
        <w:rPr>
          <w:rFonts w:ascii="SimSun" w:hAnsi="SimSun" w:eastAsia="SimSun" w:cs="SimSun"/>
          <w:sz w:val="24"/>
          <w:szCs w:val="24"/>
          <w:spacing w:val="10"/>
        </w:rPr>
        <w:t>, 年屠宰生猪重量约为</w:t>
      </w:r>
      <w:r>
        <w:rPr>
          <w:rFonts w:ascii="SimSun" w:hAnsi="SimSun" w:eastAsia="SimSun" w:cs="SimSun"/>
          <w:sz w:val="24"/>
          <w:szCs w:val="24"/>
          <w:spacing w:val="11"/>
        </w:rPr>
        <w:t xml:space="preserve"> </w:t>
      </w:r>
      <w:r>
        <w:rPr>
          <w:rFonts w:ascii="SimSun" w:hAnsi="SimSun" w:eastAsia="SimSun" w:cs="SimSun"/>
          <w:sz w:val="24"/>
          <w:szCs w:val="24"/>
          <w:spacing w:val="3"/>
        </w:rPr>
        <w:t>44000t,</w:t>
      </w:r>
      <w:r>
        <w:rPr>
          <w:rFonts w:ascii="SimSun" w:hAnsi="SimSun" w:eastAsia="SimSun" w:cs="SimSun"/>
          <w:sz w:val="24"/>
          <w:szCs w:val="24"/>
          <w:spacing w:val="-51"/>
        </w:rPr>
        <w:t xml:space="preserve"> </w:t>
      </w:r>
      <w:r>
        <w:rPr>
          <w:rFonts w:ascii="SimSun" w:hAnsi="SimSun" w:eastAsia="SimSun" w:cs="SimSun"/>
          <w:sz w:val="24"/>
          <w:szCs w:val="24"/>
          <w:spacing w:val="3"/>
        </w:rPr>
        <w:t>其中白条胴体为24000t、分</w:t>
      </w:r>
      <w:r>
        <w:rPr>
          <w:rFonts w:ascii="SimSun" w:hAnsi="SimSun" w:eastAsia="SimSun" w:cs="SimSun"/>
          <w:sz w:val="24"/>
          <w:szCs w:val="24"/>
          <w:spacing w:val="2"/>
        </w:rPr>
        <w:t>割类为9456t,</w:t>
      </w:r>
      <w:r>
        <w:rPr>
          <w:rFonts w:ascii="SimSun" w:hAnsi="SimSun" w:eastAsia="SimSun" w:cs="SimSun"/>
          <w:sz w:val="24"/>
          <w:szCs w:val="24"/>
          <w:spacing w:val="-35"/>
        </w:rPr>
        <w:t xml:space="preserve"> </w:t>
      </w:r>
      <w:r>
        <w:rPr>
          <w:rFonts w:ascii="SimSun" w:hAnsi="SimSun" w:eastAsia="SimSun" w:cs="SimSun"/>
          <w:sz w:val="24"/>
          <w:szCs w:val="24"/>
          <w:spacing w:val="2"/>
        </w:rPr>
        <w:t>根据业主提供资料，生猪待</w:t>
      </w:r>
      <w:r>
        <w:rPr>
          <w:rFonts w:ascii="SimSun" w:hAnsi="SimSun" w:eastAsia="SimSun" w:cs="SimSun"/>
          <w:sz w:val="24"/>
          <w:szCs w:val="24"/>
        </w:rPr>
        <w:t xml:space="preserve"> </w:t>
      </w:r>
      <w:r>
        <w:rPr>
          <w:rFonts w:ascii="SimSun" w:hAnsi="SimSun" w:eastAsia="SimSun" w:cs="SimSun"/>
          <w:sz w:val="24"/>
          <w:szCs w:val="24"/>
          <w:spacing w:val="3"/>
        </w:rPr>
        <w:t>宰圈共2层，面积约1080</w:t>
      </w:r>
      <w:r>
        <w:rPr>
          <w:rFonts w:ascii="Times New Roman" w:hAnsi="Times New Roman" w:eastAsia="Times New Roman" w:cs="Times New Roman"/>
          <w:sz w:val="24"/>
          <w:szCs w:val="24"/>
          <w:spacing w:val="3"/>
        </w:rPr>
        <w:t>m²,   </w:t>
      </w:r>
      <w:r>
        <w:rPr>
          <w:rFonts w:ascii="SimSun" w:hAnsi="SimSun" w:eastAsia="SimSun" w:cs="SimSun"/>
          <w:sz w:val="24"/>
          <w:szCs w:val="24"/>
          <w:spacing w:val="3"/>
        </w:rPr>
        <w:t>存栏能力共计2000头/</w:t>
      </w:r>
      <w:r>
        <w:rPr>
          <w:rFonts w:ascii="Times New Roman" w:hAnsi="Times New Roman" w:eastAsia="Times New Roman" w:cs="Times New Roman"/>
          <w:sz w:val="24"/>
          <w:szCs w:val="24"/>
          <w:spacing w:val="2"/>
        </w:rPr>
        <w:t>d,   </w:t>
      </w:r>
      <w:r>
        <w:rPr>
          <w:rFonts w:ascii="SimSun" w:hAnsi="SimSun" w:eastAsia="SimSun" w:cs="SimSun"/>
          <w:sz w:val="24"/>
          <w:szCs w:val="24"/>
          <w:spacing w:val="2"/>
        </w:rPr>
        <w:t>存放时间小于12</w:t>
      </w:r>
      <w:r>
        <w:rPr>
          <w:rFonts w:ascii="Times New Roman" w:hAnsi="Times New Roman" w:eastAsia="Times New Roman" w:cs="Times New Roman"/>
          <w:sz w:val="24"/>
          <w:szCs w:val="24"/>
          <w:spacing w:val="2"/>
        </w:rPr>
        <w:t>h/d;   </w:t>
      </w:r>
      <w:r>
        <w:rPr>
          <w:rFonts w:ascii="SimSun" w:hAnsi="SimSun" w:eastAsia="SimSun" w:cs="SimSun"/>
          <w:sz w:val="24"/>
          <w:szCs w:val="24"/>
          <w:spacing w:val="2"/>
        </w:rPr>
        <w:t>生</w:t>
      </w:r>
      <w:r>
        <w:rPr>
          <w:rFonts w:ascii="SimSun" w:hAnsi="SimSun" w:eastAsia="SimSun" w:cs="SimSun"/>
          <w:sz w:val="24"/>
          <w:szCs w:val="24"/>
        </w:rPr>
        <w:t xml:space="preserve"> </w:t>
      </w:r>
      <w:r>
        <w:rPr>
          <w:rFonts w:ascii="SimSun" w:hAnsi="SimSun" w:eastAsia="SimSun" w:cs="SimSun"/>
          <w:sz w:val="24"/>
          <w:szCs w:val="24"/>
        </w:rPr>
        <w:t>猪屠宰区共2层，面积为806</w:t>
      </w:r>
      <w:r>
        <w:rPr>
          <w:rFonts w:ascii="Times New Roman" w:hAnsi="Times New Roman" w:eastAsia="Times New Roman" w:cs="Times New Roman"/>
          <w:sz w:val="24"/>
          <w:szCs w:val="24"/>
        </w:rPr>
        <w:t>m²,</w:t>
      </w:r>
      <w:r>
        <w:rPr>
          <w:rFonts w:ascii="Times New Roman" w:hAnsi="Times New Roman" w:eastAsia="Times New Roman" w:cs="Times New Roman"/>
          <w:sz w:val="24"/>
          <w:szCs w:val="24"/>
          <w:spacing w:val="31"/>
        </w:rPr>
        <w:t xml:space="preserve">  </w:t>
      </w:r>
      <w:r>
        <w:rPr>
          <w:rFonts w:ascii="SimSun" w:hAnsi="SimSun" w:eastAsia="SimSun" w:cs="SimSun"/>
          <w:sz w:val="24"/>
          <w:szCs w:val="24"/>
        </w:rPr>
        <w:t>安装4条生猪宰杀自动生产线，最大屠宰量1600 </w:t>
      </w:r>
      <w:r>
        <w:rPr>
          <w:rFonts w:ascii="SimSun" w:hAnsi="SimSun" w:eastAsia="SimSun" w:cs="SimSun"/>
          <w:sz w:val="24"/>
          <w:szCs w:val="24"/>
        </w:rPr>
        <w:t>头/</w:t>
      </w:r>
      <w:r>
        <w:rPr>
          <w:rFonts w:ascii="Times New Roman" w:hAnsi="Times New Roman" w:eastAsia="Times New Roman" w:cs="Times New Roman"/>
          <w:sz w:val="24"/>
          <w:szCs w:val="24"/>
        </w:rPr>
        <w:t>d;   </w:t>
      </w:r>
      <w:r>
        <w:rPr>
          <w:rFonts w:ascii="SimSun" w:hAnsi="SimSun" w:eastAsia="SimSun" w:cs="SimSun"/>
          <w:sz w:val="24"/>
          <w:szCs w:val="24"/>
        </w:rPr>
        <w:t>分割区共1层，面积为250</w:t>
      </w:r>
      <w:r>
        <w:rPr>
          <w:rFonts w:ascii="Times New Roman" w:hAnsi="Times New Roman" w:eastAsia="Times New Roman" w:cs="Times New Roman"/>
          <w:sz w:val="24"/>
          <w:szCs w:val="24"/>
        </w:rPr>
        <w:t>m²,   </w:t>
      </w:r>
      <w:r>
        <w:rPr>
          <w:rFonts w:ascii="SimSun" w:hAnsi="SimSun" w:eastAsia="SimSun" w:cs="SimSun"/>
          <w:sz w:val="24"/>
          <w:szCs w:val="24"/>
        </w:rPr>
        <w:t>安装2条分割包装生产线，最大分割量1600</w:t>
      </w:r>
    </w:p>
    <w:p>
      <w:pPr>
        <w:spacing w:line="351" w:lineRule="auto"/>
        <w:sectPr>
          <w:headerReference w:type="default" r:id="rId197"/>
          <w:footerReference w:type="default" r:id="rId198"/>
          <w:pgSz w:w="11910" w:h="16840"/>
          <w:pgMar w:top="1210" w:right="1715" w:bottom="951" w:left="1675" w:header="902" w:footer="692" w:gutter="0"/>
        </w:sectPr>
        <w:rPr>
          <w:rFonts w:ascii="SimSun" w:hAnsi="SimSun" w:eastAsia="SimSun" w:cs="SimSun"/>
          <w:sz w:val="24"/>
          <w:szCs w:val="24"/>
        </w:rPr>
      </w:pPr>
    </w:p>
    <w:p>
      <w:pPr>
        <w:spacing w:before="253" w:line="212" w:lineRule="auto"/>
        <w:rPr>
          <w:rFonts w:ascii="SimSun" w:hAnsi="SimSun" w:eastAsia="SimSun" w:cs="SimSun"/>
          <w:sz w:val="24"/>
          <w:szCs w:val="24"/>
        </w:rPr>
      </w:pPr>
      <w:r>
        <w:rPr>
          <w:rFonts w:ascii="SimSun" w:hAnsi="SimSun" w:eastAsia="SimSun" w:cs="SimSun"/>
          <w:sz w:val="24"/>
          <w:szCs w:val="24"/>
          <w:spacing w:val="-4"/>
        </w:rPr>
        <w:t>头/</w:t>
      </w:r>
      <w:r>
        <w:rPr>
          <w:rFonts w:ascii="Times New Roman" w:hAnsi="Times New Roman" w:eastAsia="Times New Roman" w:cs="Times New Roman"/>
          <w:sz w:val="24"/>
          <w:szCs w:val="24"/>
          <w:spacing w:val="-4"/>
        </w:rPr>
        <w:t>d,   </w:t>
      </w:r>
      <w:r>
        <w:rPr>
          <w:rFonts w:ascii="SimSun" w:hAnsi="SimSun" w:eastAsia="SimSun" w:cs="SimSun"/>
          <w:sz w:val="24"/>
          <w:szCs w:val="24"/>
          <w:spacing w:val="-4"/>
        </w:rPr>
        <w:t>能满足本项目产品需求，产品方案设置合理。</w:t>
      </w:r>
    </w:p>
    <w:p>
      <w:pPr>
        <w:ind w:right="36" w:firstLine="480"/>
        <w:spacing w:before="209" w:line="351" w:lineRule="auto"/>
        <w:rPr>
          <w:rFonts w:ascii="SimSun" w:hAnsi="SimSun" w:eastAsia="SimSun" w:cs="SimSun"/>
          <w:sz w:val="24"/>
          <w:szCs w:val="24"/>
        </w:rPr>
      </w:pPr>
      <w:r>
        <w:rPr>
          <w:rFonts w:ascii="SimSun" w:hAnsi="SimSun" w:eastAsia="SimSun" w:cs="SimSun"/>
          <w:sz w:val="24"/>
          <w:szCs w:val="24"/>
          <w:spacing w:val="17"/>
        </w:rPr>
        <w:t>本项目屠宰加工肉牛4万头；淡季(270天)屠宰量为2.7万头、旺季(90</w:t>
      </w:r>
      <w:r>
        <w:rPr>
          <w:rFonts w:ascii="SimSun" w:hAnsi="SimSun" w:eastAsia="SimSun" w:cs="SimSun"/>
          <w:sz w:val="24"/>
          <w:szCs w:val="24"/>
          <w:spacing w:val="9"/>
        </w:rPr>
        <w:t xml:space="preserve"> </w:t>
      </w:r>
      <w:r>
        <w:rPr>
          <w:rFonts w:ascii="SimSun" w:hAnsi="SimSun" w:eastAsia="SimSun" w:cs="SimSun"/>
          <w:sz w:val="24"/>
          <w:szCs w:val="24"/>
          <w:spacing w:val="1"/>
        </w:rPr>
        <w:t>天)屠宰量为1.3万头，每头肉牛重量约为500</w:t>
      </w:r>
      <w:r>
        <w:rPr>
          <w:rFonts w:ascii="SimSun" w:hAnsi="SimSun" w:eastAsia="SimSun" w:cs="SimSun"/>
          <w:sz w:val="24"/>
          <w:szCs w:val="24"/>
        </w:rPr>
        <w:t>kg</w:t>
      </w:r>
      <w:r>
        <w:rPr>
          <w:rFonts w:ascii="SimSun" w:hAnsi="SimSun" w:eastAsia="SimSun" w:cs="SimSun"/>
          <w:sz w:val="24"/>
          <w:szCs w:val="24"/>
          <w:spacing w:val="1"/>
        </w:rPr>
        <w:t>, 年屠宰肉牛重量约为20000t,  </w:t>
      </w:r>
      <w:r>
        <w:rPr>
          <w:rFonts w:ascii="SimSun" w:hAnsi="SimSun" w:eastAsia="SimSun" w:cs="SimSun"/>
          <w:sz w:val="24"/>
          <w:szCs w:val="24"/>
        </w:rPr>
        <w:t>其中牛四分体为8000</w:t>
      </w:r>
      <w:r>
        <w:rPr>
          <w:rFonts w:ascii="Times New Roman" w:hAnsi="Times New Roman" w:eastAsia="Times New Roman" w:cs="Times New Roman"/>
          <w:sz w:val="24"/>
          <w:szCs w:val="24"/>
        </w:rPr>
        <w:t>t</w:t>
      </w:r>
      <w:r>
        <w:rPr>
          <w:rFonts w:ascii="SimSun" w:hAnsi="SimSun" w:eastAsia="SimSun" w:cs="SimSun"/>
          <w:sz w:val="24"/>
          <w:szCs w:val="24"/>
        </w:rPr>
        <w:t>、分割类为2400</w:t>
      </w:r>
      <w:r>
        <w:rPr>
          <w:rFonts w:ascii="Times New Roman" w:hAnsi="Times New Roman" w:eastAsia="Times New Roman" w:cs="Times New Roman"/>
          <w:sz w:val="24"/>
          <w:szCs w:val="24"/>
        </w:rPr>
        <w:t>t,   </w:t>
      </w:r>
      <w:r>
        <w:rPr>
          <w:rFonts w:ascii="SimSun" w:hAnsi="SimSun" w:eastAsia="SimSun" w:cs="SimSun"/>
          <w:sz w:val="24"/>
          <w:szCs w:val="24"/>
        </w:rPr>
        <w:t>根据业主提供资料，原生猪屠宰车间改</w:t>
      </w:r>
      <w:r>
        <w:rPr>
          <w:rFonts w:ascii="SimSun" w:hAnsi="SimSun" w:eastAsia="SimSun" w:cs="SimSun"/>
          <w:sz w:val="24"/>
          <w:szCs w:val="24"/>
          <w:spacing w:val="6"/>
        </w:rPr>
        <w:t xml:space="preserve"> </w:t>
      </w:r>
      <w:r>
        <w:rPr>
          <w:rFonts w:ascii="SimSun" w:hAnsi="SimSun" w:eastAsia="SimSun" w:cs="SimSun"/>
          <w:sz w:val="24"/>
          <w:szCs w:val="24"/>
        </w:rPr>
        <w:t>建为肉牛屠宰车间，肉牛待宰圈共1层，面积约350</w:t>
      </w:r>
      <w:r>
        <w:rPr>
          <w:rFonts w:ascii="Times New Roman" w:hAnsi="Times New Roman" w:eastAsia="Times New Roman" w:cs="Times New Roman"/>
          <w:sz w:val="24"/>
          <w:szCs w:val="24"/>
        </w:rPr>
        <w:t>m²,</w:t>
      </w:r>
      <w:r>
        <w:rPr>
          <w:rFonts w:ascii="Times New Roman" w:hAnsi="Times New Roman" w:eastAsia="Times New Roman" w:cs="Times New Roman"/>
          <w:sz w:val="24"/>
          <w:szCs w:val="24"/>
          <w:spacing w:val="22"/>
        </w:rPr>
        <w:t xml:space="preserve">  </w:t>
      </w:r>
      <w:r>
        <w:rPr>
          <w:rFonts w:ascii="SimSun" w:hAnsi="SimSun" w:eastAsia="SimSun" w:cs="SimSun"/>
          <w:sz w:val="24"/>
          <w:szCs w:val="24"/>
        </w:rPr>
        <w:t>存栏能力共计160头/</w:t>
      </w:r>
      <w:r>
        <w:rPr>
          <w:rFonts w:ascii="Times New Roman" w:hAnsi="Times New Roman" w:eastAsia="Times New Roman" w:cs="Times New Roman"/>
          <w:sz w:val="24"/>
          <w:szCs w:val="24"/>
          <w:spacing w:val="-1"/>
        </w:rPr>
        <w:t>d,</w:t>
      </w:r>
      <w:r>
        <w:rPr>
          <w:rFonts w:ascii="Times New Roman" w:hAnsi="Times New Roman" w:eastAsia="Times New Roman" w:cs="Times New Roman"/>
          <w:sz w:val="24"/>
          <w:szCs w:val="24"/>
        </w:rPr>
        <w:t xml:space="preserve">    </w:t>
      </w:r>
      <w:r>
        <w:rPr>
          <w:rFonts w:ascii="SimSun" w:hAnsi="SimSun" w:eastAsia="SimSun" w:cs="SimSun"/>
          <w:sz w:val="24"/>
          <w:szCs w:val="24"/>
          <w:spacing w:val="7"/>
        </w:rPr>
        <w:t>存放时间小于12</w:t>
      </w:r>
      <w:r>
        <w:rPr>
          <w:rFonts w:ascii="Times New Roman" w:hAnsi="Times New Roman" w:eastAsia="Times New Roman" w:cs="Times New Roman"/>
          <w:sz w:val="24"/>
          <w:szCs w:val="24"/>
          <w:spacing w:val="7"/>
        </w:rPr>
        <w:t>h/d;</w:t>
      </w:r>
      <w:r>
        <w:rPr>
          <w:rFonts w:ascii="Times New Roman" w:hAnsi="Times New Roman" w:eastAsia="Times New Roman" w:cs="Times New Roman"/>
          <w:sz w:val="24"/>
          <w:szCs w:val="24"/>
          <w:spacing w:val="25"/>
        </w:rPr>
        <w:t xml:space="preserve">  </w:t>
      </w:r>
      <w:r>
        <w:rPr>
          <w:rFonts w:ascii="SimSun" w:hAnsi="SimSun" w:eastAsia="SimSun" w:cs="SimSun"/>
          <w:sz w:val="24"/>
          <w:szCs w:val="24"/>
          <w:spacing w:val="7"/>
        </w:rPr>
        <w:t>肉牛屠宰区共1层，面积为925</w:t>
      </w:r>
      <w:r>
        <w:rPr>
          <w:rFonts w:ascii="Times New Roman" w:hAnsi="Times New Roman" w:eastAsia="Times New Roman" w:cs="Times New Roman"/>
          <w:sz w:val="24"/>
          <w:szCs w:val="24"/>
          <w:spacing w:val="7"/>
        </w:rPr>
        <w:t>m²,</w:t>
      </w:r>
      <w:r>
        <w:rPr>
          <w:rFonts w:ascii="Times New Roman" w:hAnsi="Times New Roman" w:eastAsia="Times New Roman" w:cs="Times New Roman"/>
          <w:sz w:val="24"/>
          <w:szCs w:val="24"/>
          <w:spacing w:val="23"/>
          <w:w w:val="101"/>
        </w:rPr>
        <w:t xml:space="preserve"> </w:t>
      </w:r>
      <w:r>
        <w:rPr>
          <w:rFonts w:ascii="SimSun" w:hAnsi="SimSun" w:eastAsia="SimSun" w:cs="SimSun"/>
          <w:sz w:val="24"/>
          <w:szCs w:val="24"/>
          <w:spacing w:val="7"/>
        </w:rPr>
        <w:t>安装2条肉牛宰杀自动</w:t>
      </w:r>
      <w:r>
        <w:rPr>
          <w:rFonts w:ascii="SimSun" w:hAnsi="SimSun" w:eastAsia="SimSun" w:cs="SimSun"/>
          <w:sz w:val="24"/>
          <w:szCs w:val="24"/>
        </w:rPr>
        <w:t xml:space="preserve"> </w:t>
      </w:r>
      <w:r>
        <w:rPr>
          <w:rFonts w:ascii="SimSun" w:hAnsi="SimSun" w:eastAsia="SimSun" w:cs="SimSun"/>
          <w:sz w:val="24"/>
          <w:szCs w:val="24"/>
          <w:spacing w:val="3"/>
        </w:rPr>
        <w:t>生产线，最大屠宰量160头/</w:t>
      </w:r>
      <w:r>
        <w:rPr>
          <w:rFonts w:ascii="Times New Roman" w:hAnsi="Times New Roman" w:eastAsia="Times New Roman" w:cs="Times New Roman"/>
          <w:sz w:val="24"/>
          <w:szCs w:val="24"/>
          <w:spacing w:val="3"/>
        </w:rPr>
        <w:t>d;</w:t>
      </w:r>
      <w:r>
        <w:rPr>
          <w:rFonts w:ascii="Times New Roman" w:hAnsi="Times New Roman" w:eastAsia="Times New Roman" w:cs="Times New Roman"/>
          <w:sz w:val="24"/>
          <w:szCs w:val="24"/>
          <w:spacing w:val="26"/>
        </w:rPr>
        <w:t xml:space="preserve">  </w:t>
      </w:r>
      <w:r>
        <w:rPr>
          <w:rFonts w:ascii="SimSun" w:hAnsi="SimSun" w:eastAsia="SimSun" w:cs="SimSun"/>
          <w:sz w:val="24"/>
          <w:szCs w:val="24"/>
          <w:spacing w:val="3"/>
        </w:rPr>
        <w:t>分割区共1层，面积为410</w:t>
      </w:r>
      <w:r>
        <w:rPr>
          <w:rFonts w:ascii="Times New Roman" w:hAnsi="Times New Roman" w:eastAsia="Times New Roman" w:cs="Times New Roman"/>
          <w:sz w:val="24"/>
          <w:szCs w:val="24"/>
          <w:spacing w:val="3"/>
        </w:rPr>
        <w:t>m²,   </w:t>
      </w:r>
      <w:r>
        <w:rPr>
          <w:rFonts w:ascii="SimSun" w:hAnsi="SimSun" w:eastAsia="SimSun" w:cs="SimSun"/>
          <w:sz w:val="24"/>
          <w:szCs w:val="24"/>
          <w:spacing w:val="3"/>
        </w:rPr>
        <w:t>安装</w:t>
      </w:r>
      <w:r>
        <w:rPr>
          <w:rFonts w:ascii="SimSun" w:hAnsi="SimSun" w:eastAsia="SimSun" w:cs="SimSun"/>
          <w:sz w:val="24"/>
          <w:szCs w:val="24"/>
          <w:spacing w:val="2"/>
        </w:rPr>
        <w:t>2条分割包装</w:t>
      </w:r>
      <w:r>
        <w:rPr>
          <w:rFonts w:ascii="SimSun" w:hAnsi="SimSun" w:eastAsia="SimSun" w:cs="SimSun"/>
          <w:sz w:val="24"/>
          <w:szCs w:val="24"/>
        </w:rPr>
        <w:t xml:space="preserve"> </w:t>
      </w:r>
      <w:r>
        <w:rPr>
          <w:rFonts w:ascii="SimSun" w:hAnsi="SimSun" w:eastAsia="SimSun" w:cs="SimSun"/>
          <w:sz w:val="24"/>
          <w:szCs w:val="24"/>
          <w:spacing w:val="-2"/>
        </w:rPr>
        <w:t>生产线，最大分割量160头/</w:t>
      </w:r>
      <w:r>
        <w:rPr>
          <w:rFonts w:ascii="Times New Roman" w:hAnsi="Times New Roman" w:eastAsia="Times New Roman" w:cs="Times New Roman"/>
          <w:sz w:val="24"/>
          <w:szCs w:val="24"/>
          <w:spacing w:val="-2"/>
        </w:rPr>
        <w:t>d,   </w:t>
      </w:r>
      <w:r>
        <w:rPr>
          <w:rFonts w:ascii="SimSun" w:hAnsi="SimSun" w:eastAsia="SimSun" w:cs="SimSun"/>
          <w:sz w:val="24"/>
          <w:szCs w:val="24"/>
          <w:spacing w:val="-2"/>
        </w:rPr>
        <w:t>能满足本项目产品需求，产品方案设置合</w:t>
      </w:r>
      <w:r>
        <w:rPr>
          <w:rFonts w:ascii="SimSun" w:hAnsi="SimSun" w:eastAsia="SimSun" w:cs="SimSun"/>
          <w:sz w:val="24"/>
          <w:szCs w:val="24"/>
          <w:spacing w:val="-3"/>
        </w:rPr>
        <w:t>理。</w:t>
      </w:r>
    </w:p>
    <w:p>
      <w:pPr>
        <w:ind w:right="35" w:firstLine="480"/>
        <w:spacing w:before="73" w:line="355" w:lineRule="auto"/>
        <w:tabs>
          <w:tab w:val="left" w:pos="130"/>
        </w:tabs>
        <w:rPr>
          <w:rFonts w:ascii="SimSun" w:hAnsi="SimSun" w:eastAsia="SimSun" w:cs="SimSun"/>
          <w:sz w:val="24"/>
          <w:szCs w:val="24"/>
        </w:rPr>
      </w:pPr>
      <w:r>
        <w:rPr>
          <w:rFonts w:ascii="SimSun" w:hAnsi="SimSun" w:eastAsia="SimSun" w:cs="SimSun"/>
          <w:sz w:val="24"/>
          <w:szCs w:val="24"/>
          <w:spacing w:val="28"/>
        </w:rPr>
        <w:t>本项目生猪产品质量执行《食品安全国家标准鲜(冻)畜、禽产</w:t>
      </w:r>
      <w:r>
        <w:rPr>
          <w:rFonts w:ascii="SimSun" w:hAnsi="SimSun" w:eastAsia="SimSun" w:cs="SimSun"/>
          <w:sz w:val="24"/>
          <w:szCs w:val="24"/>
          <w:spacing w:val="27"/>
        </w:rPr>
        <w:t>品》</w:t>
      </w:r>
      <w:r>
        <w:rPr>
          <w:rFonts w:ascii="SimSun" w:hAnsi="SimSun" w:eastAsia="SimSun" w:cs="SimSun"/>
          <w:sz w:val="24"/>
          <w:szCs w:val="24"/>
        </w:rPr>
        <w:t xml:space="preserve"> </w:t>
      </w:r>
      <w:r>
        <w:rPr>
          <w:rFonts w:ascii="Times New Roman" w:hAnsi="Times New Roman" w:eastAsia="Times New Roman" w:cs="Times New Roman"/>
          <w:sz w:val="24"/>
          <w:szCs w:val="24"/>
        </w:rPr>
        <w:tab/>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2"/>
        </w:rPr>
        <w:t>2707-2016)</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2"/>
        </w:rPr>
        <w:t>、  《</w:t>
      </w:r>
      <w:r>
        <w:rPr>
          <w:rFonts w:ascii="SimSun" w:hAnsi="SimSun" w:eastAsia="SimSun" w:cs="SimSun"/>
          <w:sz w:val="24"/>
          <w:szCs w:val="24"/>
          <w:spacing w:val="-56"/>
        </w:rPr>
        <w:t xml:space="preserve"> </w:t>
      </w:r>
      <w:r>
        <w:rPr>
          <w:rFonts w:ascii="SimSun" w:hAnsi="SimSun" w:eastAsia="SimSun" w:cs="SimSun"/>
          <w:sz w:val="24"/>
          <w:szCs w:val="24"/>
          <w:spacing w:val="2"/>
        </w:rPr>
        <w:t>鲜冻猪肉及猪副产品》</w:t>
      </w:r>
      <w:r>
        <w:rPr>
          <w:rFonts w:ascii="SimSun" w:hAnsi="SimSun" w:eastAsia="SimSun" w:cs="SimSun"/>
          <w:sz w:val="24"/>
          <w:szCs w:val="24"/>
          <w:spacing w:val="90"/>
        </w:rPr>
        <w:t xml:space="preserve"> </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1"/>
        </w:rPr>
        <w:t>/T9559.3-2019)</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1"/>
        </w:rPr>
        <w:t>、  《分割</w:t>
      </w:r>
      <w:r>
        <w:rPr>
          <w:rFonts w:ascii="SimSun" w:hAnsi="SimSun" w:eastAsia="SimSun" w:cs="SimSun"/>
          <w:sz w:val="24"/>
          <w:szCs w:val="24"/>
        </w:rPr>
        <w:t xml:space="preserve"> </w:t>
      </w:r>
      <w:r>
        <w:rPr>
          <w:rFonts w:ascii="SimSun" w:hAnsi="SimSun" w:eastAsia="SimSun" w:cs="SimSun"/>
          <w:sz w:val="24"/>
          <w:szCs w:val="24"/>
          <w:spacing w:val="-1"/>
        </w:rPr>
        <w:t>鲜、冻猪瘦肉》</w:t>
      </w:r>
      <w:r>
        <w:rPr>
          <w:rFonts w:ascii="SimSun" w:hAnsi="SimSun" w:eastAsia="SimSun" w:cs="SimSun"/>
          <w:sz w:val="24"/>
          <w:szCs w:val="24"/>
          <w:spacing w:val="60"/>
        </w:rPr>
        <w:t xml:space="preserve"> </w:t>
      </w:r>
      <w:r>
        <w:rPr>
          <w:rFonts w:ascii="Times New Roman" w:hAnsi="Times New Roman" w:eastAsia="Times New Roman" w:cs="Times New Roman"/>
          <w:sz w:val="24"/>
          <w:szCs w:val="24"/>
          <w:spacing w:val="-1"/>
        </w:rPr>
        <w:t>(GB/T9559.2-2008</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1"/>
        </w:rPr>
        <w:t>)、《</w:t>
      </w:r>
      <w:r>
        <w:rPr>
          <w:rFonts w:ascii="SimSun" w:hAnsi="SimSun" w:eastAsia="SimSun" w:cs="SimSun"/>
          <w:sz w:val="24"/>
          <w:szCs w:val="24"/>
          <w:spacing w:val="31"/>
        </w:rPr>
        <w:t xml:space="preserve"> </w:t>
      </w:r>
      <w:r>
        <w:rPr>
          <w:rFonts w:ascii="SimSun" w:hAnsi="SimSun" w:eastAsia="SimSun" w:cs="SimSun"/>
          <w:sz w:val="24"/>
          <w:szCs w:val="24"/>
          <w:spacing w:val="-1"/>
        </w:rPr>
        <w:t>分部位分割冻猪肉》</w:t>
      </w:r>
      <w:r>
        <w:rPr>
          <w:rFonts w:ascii="SimSun" w:hAnsi="SimSun" w:eastAsia="SimSun" w:cs="SimSun"/>
          <w:sz w:val="24"/>
          <w:szCs w:val="24"/>
          <w:spacing w:val="90"/>
        </w:rPr>
        <w:t xml:space="preserve"> </w:t>
      </w:r>
      <w:r>
        <w:rPr>
          <w:rFonts w:ascii="Times New Roman" w:hAnsi="Times New Roman" w:eastAsia="Times New Roman" w:cs="Times New Roman"/>
          <w:sz w:val="24"/>
          <w:szCs w:val="24"/>
          <w:spacing w:val="-1"/>
        </w:rPr>
        <w:t>(GB/T9</w:t>
      </w:r>
      <w:r>
        <w:rPr>
          <w:rFonts w:ascii="Times New Roman" w:hAnsi="Times New Roman" w:eastAsia="Times New Roman" w:cs="Times New Roman"/>
          <w:sz w:val="24"/>
          <w:szCs w:val="24"/>
          <w:spacing w:val="-2"/>
        </w:rPr>
        <w:t>559.3-</w:t>
      </w:r>
      <w:r>
        <w:rPr>
          <w:rFonts w:ascii="Times New Roman" w:hAnsi="Times New Roman" w:eastAsia="Times New Roman" w:cs="Times New Roman"/>
          <w:sz w:val="24"/>
          <w:szCs w:val="24"/>
        </w:rPr>
        <w:t xml:space="preserve">  </w:t>
      </w:r>
      <w:r>
        <w:rPr>
          <w:rFonts w:ascii="SimSun" w:hAnsi="SimSun" w:eastAsia="SimSun" w:cs="SimSun"/>
          <w:sz w:val="24"/>
          <w:szCs w:val="24"/>
          <w:spacing w:val="22"/>
        </w:rPr>
        <w:t>88)等相关要求；肉牛产品质量执行《食品安全国家标准鲜(冻</w:t>
      </w:r>
      <w:r>
        <w:rPr>
          <w:rFonts w:ascii="SimSun" w:hAnsi="SimSun" w:eastAsia="SimSun" w:cs="SimSun"/>
          <w:sz w:val="24"/>
          <w:szCs w:val="24"/>
          <w:spacing w:val="21"/>
        </w:rPr>
        <w:t>)畜、禽产</w:t>
      </w:r>
      <w:r>
        <w:rPr>
          <w:rFonts w:ascii="SimSun" w:hAnsi="SimSun" w:eastAsia="SimSun" w:cs="SimSun"/>
          <w:sz w:val="24"/>
          <w:szCs w:val="24"/>
        </w:rPr>
        <w:t xml:space="preserve"> </w:t>
      </w:r>
      <w:r>
        <w:rPr>
          <w:rFonts w:ascii="SimSun" w:hAnsi="SimSun" w:eastAsia="SimSun" w:cs="SimSun"/>
          <w:sz w:val="24"/>
          <w:szCs w:val="24"/>
          <w:spacing w:val="1"/>
        </w:rPr>
        <w:t>品 》 </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1"/>
        </w:rPr>
        <w:t>2707-2016)</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1"/>
        </w:rPr>
        <w:t>、  《</w:t>
      </w:r>
      <w:r>
        <w:rPr>
          <w:rFonts w:ascii="SimSun" w:hAnsi="SimSun" w:eastAsia="SimSun" w:cs="SimSun"/>
          <w:sz w:val="24"/>
          <w:szCs w:val="24"/>
          <w:spacing w:val="-26"/>
        </w:rPr>
        <w:t xml:space="preserve"> </w:t>
      </w:r>
      <w:r>
        <w:rPr>
          <w:rFonts w:ascii="SimSun" w:hAnsi="SimSun" w:eastAsia="SimSun" w:cs="SimSun"/>
          <w:sz w:val="24"/>
          <w:szCs w:val="24"/>
          <w:spacing w:val="1"/>
        </w:rPr>
        <w:t>畜禽</w:t>
      </w:r>
      <w:r>
        <w:rPr>
          <w:rFonts w:ascii="SimSun" w:hAnsi="SimSun" w:eastAsia="SimSun" w:cs="SimSun"/>
          <w:sz w:val="24"/>
          <w:szCs w:val="24"/>
        </w:rPr>
        <w:t>肉质量分级-牛肉》 </w:t>
      </w:r>
      <w:r>
        <w:rPr>
          <w:rFonts w:ascii="Times New Roman" w:hAnsi="Times New Roman" w:eastAsia="Times New Roman" w:cs="Times New Roman"/>
          <w:sz w:val="24"/>
          <w:szCs w:val="24"/>
        </w:rPr>
        <w:t>(GB/T       29392-2022)</w:t>
      </w:r>
      <w:r>
        <w:rPr>
          <w:rFonts w:ascii="Times New Roman" w:hAnsi="Times New Roman" w:eastAsia="Times New Roman" w:cs="Times New Roman"/>
          <w:sz w:val="24"/>
          <w:szCs w:val="24"/>
          <w:spacing w:val="-34"/>
        </w:rPr>
        <w:t xml:space="preserve"> </w:t>
      </w:r>
      <w:r>
        <w:rPr>
          <w:rFonts w:ascii="SimSun" w:hAnsi="SimSun" w:eastAsia="SimSun" w:cs="SimSun"/>
          <w:sz w:val="24"/>
          <w:szCs w:val="24"/>
        </w:rPr>
        <w:t>、 </w:t>
      </w:r>
      <w:r>
        <w:rPr>
          <w:rFonts w:ascii="SimSun" w:hAnsi="SimSun" w:eastAsia="SimSun" w:cs="SimSun"/>
          <w:sz w:val="24"/>
          <w:szCs w:val="24"/>
          <w:spacing w:val="2"/>
        </w:rPr>
        <w:t>《鲜、冻分割牛肉》</w:t>
      </w:r>
      <w:r>
        <w:rPr>
          <w:rFonts w:ascii="SimSun" w:hAnsi="SimSun" w:eastAsia="SimSun" w:cs="SimSun"/>
          <w:sz w:val="24"/>
          <w:szCs w:val="24"/>
          <w:spacing w:val="94"/>
        </w:rPr>
        <w:t xml:space="preserve"> </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2"/>
        </w:rPr>
        <w:t>/T       17238-2022)</w:t>
      </w:r>
      <w:r>
        <w:rPr>
          <w:rFonts w:ascii="SimSun" w:hAnsi="SimSun" w:eastAsia="SimSun" w:cs="SimSun"/>
          <w:sz w:val="24"/>
          <w:szCs w:val="24"/>
          <w:spacing w:val="2"/>
        </w:rPr>
        <w:t>、《鲜、冻四分体牛肉》</w:t>
      </w:r>
      <w:r>
        <w:rPr>
          <w:rFonts w:ascii="SimSun" w:hAnsi="SimSun" w:eastAsia="SimSun" w:cs="SimSun"/>
          <w:sz w:val="24"/>
          <w:szCs w:val="24"/>
          <w:spacing w:val="80"/>
        </w:rPr>
        <w:t xml:space="preserve"> </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2"/>
        </w:rPr>
        <w:t>/T</w:t>
      </w:r>
      <w:r>
        <w:rPr>
          <w:rFonts w:ascii="Times New Roman" w:hAnsi="Times New Roman" w:eastAsia="Times New Roman" w:cs="Times New Roman"/>
          <w:sz w:val="24"/>
          <w:szCs w:val="24"/>
        </w:rPr>
        <w:t xml:space="preserve">  </w:t>
      </w:r>
      <w:r>
        <w:rPr>
          <w:rFonts w:ascii="SimSun" w:hAnsi="SimSun" w:eastAsia="SimSun" w:cs="SimSun"/>
          <w:sz w:val="24"/>
          <w:szCs w:val="24"/>
          <w:spacing w:val="-1"/>
        </w:rPr>
        <w:t>9960-2008)、《畜禽肉质量分级牛肉》</w:t>
      </w:r>
      <w:r>
        <w:rPr>
          <w:rFonts w:ascii="SimSun" w:hAnsi="SimSun" w:eastAsia="SimSun" w:cs="SimSun"/>
          <w:sz w:val="24"/>
          <w:szCs w:val="24"/>
          <w:spacing w:val="70"/>
        </w:rPr>
        <w:t xml:space="preserve"> </w:t>
      </w:r>
      <w:r>
        <w:rPr>
          <w:rFonts w:ascii="SimSun" w:hAnsi="SimSun" w:eastAsia="SimSun" w:cs="SimSun"/>
          <w:sz w:val="24"/>
          <w:szCs w:val="24"/>
          <w:spacing w:val="-1"/>
        </w:rPr>
        <w:t>(GB/T</w:t>
      </w:r>
      <w:r>
        <w:rPr>
          <w:rFonts w:ascii="SimSun" w:hAnsi="SimSun" w:eastAsia="SimSun" w:cs="SimSun"/>
          <w:sz w:val="24"/>
          <w:szCs w:val="24"/>
          <w:spacing w:val="39"/>
        </w:rPr>
        <w:t xml:space="preserve">  </w:t>
      </w:r>
      <w:r>
        <w:rPr>
          <w:rFonts w:ascii="SimSun" w:hAnsi="SimSun" w:eastAsia="SimSun" w:cs="SimSun"/>
          <w:sz w:val="24"/>
          <w:szCs w:val="24"/>
          <w:spacing w:val="-1"/>
        </w:rPr>
        <w:t>2</w:t>
      </w:r>
      <w:r>
        <w:rPr>
          <w:rFonts w:ascii="SimSun" w:hAnsi="SimSun" w:eastAsia="SimSun" w:cs="SimSun"/>
          <w:sz w:val="24"/>
          <w:szCs w:val="24"/>
          <w:spacing w:val="-2"/>
        </w:rPr>
        <w:t>9392-2022)。</w:t>
      </w:r>
    </w:p>
    <w:p>
      <w:pPr>
        <w:ind w:left="3"/>
        <w:spacing w:before="68" w:line="222" w:lineRule="auto"/>
        <w:outlineLvl w:val="1"/>
        <w:rPr>
          <w:rFonts w:ascii="SimHei" w:hAnsi="SimHei" w:eastAsia="SimHei" w:cs="SimHei"/>
          <w:sz w:val="24"/>
          <w:szCs w:val="24"/>
        </w:rPr>
      </w:pPr>
      <w:bookmarkStart w:name="bookmark32" w:id="59"/>
      <w:bookmarkEnd w:id="59"/>
      <w:r>
        <w:rPr>
          <w:rFonts w:ascii="SimHei" w:hAnsi="SimHei" w:eastAsia="SimHei" w:cs="SimHei"/>
          <w:sz w:val="24"/>
          <w:szCs w:val="24"/>
          <w:b/>
          <w:bCs/>
          <w:spacing w:val="19"/>
        </w:rPr>
        <w:t>3.2项目组成</w:t>
      </w:r>
    </w:p>
    <w:p>
      <w:pPr>
        <w:ind w:right="39" w:firstLine="480"/>
        <w:spacing w:before="228" w:line="354" w:lineRule="auto"/>
        <w:jc w:val="both"/>
        <w:rPr>
          <w:rFonts w:ascii="SimSun" w:hAnsi="SimSun" w:eastAsia="SimSun" w:cs="SimSun"/>
          <w:sz w:val="24"/>
          <w:szCs w:val="24"/>
        </w:rPr>
      </w:pPr>
      <w:r>
        <w:rPr>
          <w:rFonts w:ascii="SimSun" w:hAnsi="SimSun" w:eastAsia="SimSun" w:cs="SimSun"/>
          <w:sz w:val="24"/>
          <w:szCs w:val="24"/>
          <w:spacing w:val="4"/>
        </w:rPr>
        <w:t>为保证绵阳柒鑫食品有限公司改扩建过程中安州区生猪供给，本项目建设</w:t>
      </w:r>
      <w:r>
        <w:rPr>
          <w:rFonts w:ascii="SimSun" w:hAnsi="SimSun" w:eastAsia="SimSun" w:cs="SimSun"/>
          <w:sz w:val="24"/>
          <w:szCs w:val="24"/>
          <w:spacing w:val="12"/>
        </w:rPr>
        <w:t xml:space="preserve"> </w:t>
      </w:r>
      <w:r>
        <w:rPr>
          <w:rFonts w:ascii="SimSun" w:hAnsi="SimSun" w:eastAsia="SimSun" w:cs="SimSun"/>
          <w:sz w:val="24"/>
          <w:szCs w:val="24"/>
          <w:spacing w:val="11"/>
        </w:rPr>
        <w:t>时序为先进行生猪屠宰车间、交易区、污水处理站等相关环保配套设施的建</w:t>
      </w:r>
      <w:r>
        <w:rPr>
          <w:rFonts w:ascii="SimSun" w:hAnsi="SimSun" w:eastAsia="SimSun" w:cs="SimSun"/>
          <w:sz w:val="24"/>
          <w:szCs w:val="24"/>
          <w:spacing w:val="16"/>
        </w:rPr>
        <w:t xml:space="preserve"> </w:t>
      </w:r>
      <w:r>
        <w:rPr>
          <w:rFonts w:ascii="SimSun" w:hAnsi="SimSun" w:eastAsia="SimSun" w:cs="SimSun"/>
          <w:sz w:val="24"/>
          <w:szCs w:val="24"/>
          <w:spacing w:val="4"/>
        </w:rPr>
        <w:t>设，待生猪屠宰工程以及相关环保配套设施</w:t>
      </w:r>
      <w:r>
        <w:rPr>
          <w:rFonts w:ascii="SimSun" w:hAnsi="SimSun" w:eastAsia="SimSun" w:cs="SimSun"/>
          <w:sz w:val="24"/>
          <w:szCs w:val="24"/>
          <w:spacing w:val="3"/>
        </w:rPr>
        <w:t>建成、竣工验收以及投产后，才能</w:t>
      </w:r>
      <w:r>
        <w:rPr>
          <w:rFonts w:ascii="SimSun" w:hAnsi="SimSun" w:eastAsia="SimSun" w:cs="SimSun"/>
          <w:sz w:val="24"/>
          <w:szCs w:val="24"/>
        </w:rPr>
        <w:t xml:space="preserve"> </w:t>
      </w:r>
      <w:r>
        <w:rPr>
          <w:rFonts w:ascii="SimSun" w:hAnsi="SimSun" w:eastAsia="SimSun" w:cs="SimSun"/>
          <w:sz w:val="24"/>
          <w:szCs w:val="24"/>
          <w:spacing w:val="8"/>
        </w:rPr>
        <w:t>关停并拆除现有工程(生猪屠宰车间内屠宰设备、</w:t>
      </w:r>
      <w:r>
        <w:rPr>
          <w:rFonts w:ascii="SimSun" w:hAnsi="SimSun" w:eastAsia="SimSun" w:cs="SimSun"/>
          <w:sz w:val="24"/>
          <w:szCs w:val="24"/>
          <w:spacing w:val="7"/>
        </w:rPr>
        <w:t>污水处理站、锅炉房及相关</w:t>
      </w:r>
      <w:r>
        <w:rPr>
          <w:rFonts w:ascii="SimSun" w:hAnsi="SimSun" w:eastAsia="SimSun" w:cs="SimSun"/>
          <w:sz w:val="24"/>
          <w:szCs w:val="24"/>
        </w:rPr>
        <w:t xml:space="preserve"> </w:t>
      </w:r>
      <w:r>
        <w:rPr>
          <w:rFonts w:ascii="SimSun" w:hAnsi="SimSun" w:eastAsia="SimSun" w:cs="SimSun"/>
          <w:sz w:val="24"/>
          <w:szCs w:val="24"/>
          <w:spacing w:val="11"/>
        </w:rPr>
        <w:t>配套环保设施等),将原项目生猪屠宰车间利旧改造为肉牛屠宰车间，提供安</w:t>
      </w:r>
      <w:r>
        <w:rPr>
          <w:rFonts w:ascii="SimSun" w:hAnsi="SimSun" w:eastAsia="SimSun" w:cs="SimSun"/>
          <w:sz w:val="24"/>
          <w:szCs w:val="24"/>
          <w:spacing w:val="8"/>
        </w:rPr>
        <w:t xml:space="preserve"> </w:t>
      </w:r>
      <w:r>
        <w:rPr>
          <w:rFonts w:ascii="SimSun" w:hAnsi="SimSun" w:eastAsia="SimSun" w:cs="SimSun"/>
          <w:sz w:val="24"/>
          <w:szCs w:val="24"/>
          <w:spacing w:val="-1"/>
        </w:rPr>
        <w:t>州区生猪、肉牛屠宰和鲜肉供应的社会责任，致力打造标准化屠宰场。</w:t>
      </w:r>
    </w:p>
    <w:p>
      <w:pPr>
        <w:ind w:left="480"/>
        <w:spacing w:before="34" w:line="219" w:lineRule="auto"/>
        <w:rPr>
          <w:rFonts w:ascii="SimSun" w:hAnsi="SimSun" w:eastAsia="SimSun" w:cs="SimSun"/>
          <w:sz w:val="24"/>
          <w:szCs w:val="24"/>
        </w:rPr>
      </w:pPr>
      <w:r>
        <w:rPr>
          <w:rFonts w:ascii="SimSun" w:hAnsi="SimSun" w:eastAsia="SimSun" w:cs="SimSun"/>
          <w:sz w:val="24"/>
          <w:szCs w:val="24"/>
          <w:spacing w:val="-3"/>
        </w:rPr>
        <w:t>本项目组成及产生主要环境问题见下表。</w:t>
      </w:r>
    </w:p>
    <w:p>
      <w:pPr>
        <w:spacing w:line="219" w:lineRule="auto"/>
        <w:sectPr>
          <w:headerReference w:type="default" r:id="rId199"/>
          <w:footerReference w:type="default" r:id="rId200"/>
          <w:pgSz w:w="11910" w:h="16840"/>
          <w:pgMar w:top="1200" w:right="1786" w:bottom="961" w:left="1779" w:header="892" w:footer="702" w:gutter="0"/>
        </w:sectPr>
        <w:rPr>
          <w:rFonts w:ascii="SimSun" w:hAnsi="SimSun" w:eastAsia="SimSun" w:cs="SimSun"/>
          <w:sz w:val="24"/>
          <w:szCs w:val="24"/>
        </w:rPr>
      </w:pPr>
    </w:p>
    <w:p>
      <w:pPr>
        <w:pStyle w:val="BodyText"/>
        <w:spacing w:line="278" w:lineRule="auto"/>
        <w:rPr/>
      </w:pPr>
      <w:r/>
    </w:p>
    <w:p>
      <w:pPr>
        <w:pStyle w:val="BodyText"/>
        <w:spacing w:line="279" w:lineRule="auto"/>
        <w:rPr/>
      </w:pPr>
      <w:r/>
    </w:p>
    <w:p>
      <w:pPr>
        <w:ind w:left="6018"/>
        <w:spacing w:before="75" w:line="219" w:lineRule="auto"/>
        <w:rPr>
          <w:rFonts w:ascii="SimSun" w:hAnsi="SimSun" w:eastAsia="SimSun" w:cs="SimSun"/>
          <w:sz w:val="23"/>
          <w:szCs w:val="23"/>
        </w:rPr>
      </w:pPr>
      <w:r>
        <w:rPr>
          <w:rFonts w:ascii="SimSun" w:hAnsi="SimSun" w:eastAsia="SimSun" w:cs="SimSun"/>
          <w:sz w:val="23"/>
          <w:szCs w:val="23"/>
          <w:b/>
          <w:bCs/>
          <w:spacing w:val="-3"/>
        </w:rPr>
        <w:t>表3.2-1项目组成及工程建设内容</w:t>
      </w:r>
    </w:p>
    <w:p>
      <w:pPr>
        <w:spacing w:line="61" w:lineRule="auto"/>
        <w:rPr>
          <w:rFonts w:ascii="Arial"/>
          <w:sz w:val="2"/>
        </w:rPr>
      </w:pPr>
      <w:r>
        <w:rPr>
          <w:rFonts w:ascii="Arial"/>
          <w:sz w:val="2"/>
        </w:rPr>
      </w:r>
    </w:p>
    <w:tbl>
      <w:tblPr>
        <w:tblStyle w:val="TableNormal"/>
        <w:tblW w:w="153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64"/>
        <w:gridCol w:w="1729"/>
        <w:gridCol w:w="360"/>
        <w:gridCol w:w="10163"/>
        <w:gridCol w:w="799"/>
        <w:gridCol w:w="1169"/>
        <w:gridCol w:w="645"/>
      </w:tblGrid>
      <w:tr>
        <w:trPr>
          <w:trHeight w:val="265" w:hRule="atLeast"/>
        </w:trPr>
        <w:tc>
          <w:tcPr>
            <w:shd w:val="clear" w:fill="BDBDBD"/>
            <w:tcW w:w="464" w:type="dxa"/>
            <w:vAlign w:val="top"/>
            <w:vMerge w:val="restart"/>
            <w:tcBorders>
              <w:bottom w:val="nil"/>
            </w:tcBorders>
          </w:tcPr>
          <w:p>
            <w:pPr>
              <w:pStyle w:val="TableText"/>
              <w:ind w:left="17"/>
              <w:spacing w:before="11" w:line="219" w:lineRule="auto"/>
              <w:rPr>
                <w:sz w:val="21"/>
                <w:szCs w:val="21"/>
              </w:rPr>
            </w:pPr>
            <w:r>
              <w:rPr>
                <w:sz w:val="21"/>
                <w:szCs w:val="21"/>
                <w:b/>
                <w:bCs/>
                <w:spacing w:val="-5"/>
              </w:rPr>
              <w:t>工程</w:t>
            </w:r>
          </w:p>
          <w:p>
            <w:pPr>
              <w:pStyle w:val="TableText"/>
              <w:ind w:left="17"/>
              <w:spacing w:line="219" w:lineRule="auto"/>
              <w:rPr>
                <w:sz w:val="21"/>
                <w:szCs w:val="21"/>
              </w:rPr>
            </w:pPr>
            <w:r>
              <w:rPr>
                <w:sz w:val="21"/>
                <w:szCs w:val="21"/>
                <w:b/>
                <w:bCs/>
                <w:spacing w:val="-5"/>
              </w:rPr>
              <w:t>分类</w:t>
            </w:r>
          </w:p>
        </w:tc>
        <w:tc>
          <w:tcPr>
            <w:shd w:val="clear" w:fill="BDBDBD"/>
            <w:tcW w:w="1729" w:type="dxa"/>
            <w:vAlign w:val="top"/>
            <w:vMerge w:val="restart"/>
            <w:tcBorders>
              <w:bottom w:val="nil"/>
            </w:tcBorders>
          </w:tcPr>
          <w:p>
            <w:pPr>
              <w:pStyle w:val="TableText"/>
              <w:ind w:left="443"/>
              <w:spacing w:before="171" w:line="220" w:lineRule="auto"/>
              <w:rPr>
                <w:sz w:val="21"/>
                <w:szCs w:val="21"/>
              </w:rPr>
            </w:pPr>
            <w:r>
              <w:rPr>
                <w:sz w:val="21"/>
                <w:szCs w:val="21"/>
                <w:b/>
                <w:bCs/>
                <w:spacing w:val="-5"/>
              </w:rPr>
              <w:t>项目名称</w:t>
            </w:r>
          </w:p>
        </w:tc>
        <w:tc>
          <w:tcPr>
            <w:shd w:val="clear" w:fill="BDBDBD"/>
            <w:tcW w:w="10523" w:type="dxa"/>
            <w:vAlign w:val="top"/>
            <w:gridSpan w:val="2"/>
            <w:vMerge w:val="restart"/>
            <w:tcBorders>
              <w:bottom w:val="nil"/>
            </w:tcBorders>
          </w:tcPr>
          <w:p>
            <w:pPr>
              <w:pStyle w:val="TableText"/>
              <w:ind w:left="4854"/>
              <w:spacing w:before="170" w:line="219" w:lineRule="auto"/>
              <w:rPr>
                <w:sz w:val="21"/>
                <w:szCs w:val="21"/>
              </w:rPr>
            </w:pPr>
            <w:r>
              <w:rPr>
                <w:sz w:val="21"/>
                <w:szCs w:val="21"/>
                <w:b/>
                <w:bCs/>
                <w:spacing w:val="-5"/>
              </w:rPr>
              <w:t>建设内容</w:t>
            </w:r>
          </w:p>
        </w:tc>
        <w:tc>
          <w:tcPr>
            <w:shd w:val="clear" w:fill="BDBDBD"/>
            <w:tcW w:w="1968" w:type="dxa"/>
            <w:vAlign w:val="top"/>
            <w:gridSpan w:val="2"/>
          </w:tcPr>
          <w:p>
            <w:pPr>
              <w:pStyle w:val="TableText"/>
              <w:ind w:left="42"/>
              <w:spacing w:before="30" w:line="197" w:lineRule="auto"/>
              <w:rPr>
                <w:sz w:val="21"/>
                <w:szCs w:val="21"/>
              </w:rPr>
            </w:pPr>
            <w:r>
              <w:rPr>
                <w:sz w:val="21"/>
                <w:szCs w:val="21"/>
                <w:b/>
                <w:bCs/>
                <w:spacing w:val="-4"/>
              </w:rPr>
              <w:t>可能产生的环境问题</w:t>
            </w:r>
          </w:p>
        </w:tc>
        <w:tc>
          <w:tcPr>
            <w:shd w:val="clear" w:fill="BDBDBD"/>
            <w:tcW w:w="645" w:type="dxa"/>
            <w:vAlign w:val="top"/>
            <w:vMerge w:val="restart"/>
            <w:tcBorders>
              <w:bottom w:val="nil"/>
            </w:tcBorders>
          </w:tcPr>
          <w:p>
            <w:pPr>
              <w:pStyle w:val="TableText"/>
              <w:ind w:left="114"/>
              <w:spacing w:before="171" w:line="221" w:lineRule="auto"/>
              <w:rPr>
                <w:sz w:val="21"/>
                <w:szCs w:val="21"/>
              </w:rPr>
            </w:pPr>
            <w:r>
              <w:rPr>
                <w:sz w:val="21"/>
                <w:szCs w:val="21"/>
                <w:b/>
                <w:bCs/>
                <w:spacing w:val="-5"/>
              </w:rPr>
              <w:t>备注</w:t>
            </w:r>
          </w:p>
        </w:tc>
      </w:tr>
      <w:tr>
        <w:trPr>
          <w:trHeight w:val="270" w:hRule="atLeast"/>
        </w:trPr>
        <w:tc>
          <w:tcPr>
            <w:tcW w:w="464" w:type="dxa"/>
            <w:vAlign w:val="top"/>
            <w:vMerge w:val="continue"/>
            <w:tcBorders>
              <w:top w:val="nil"/>
            </w:tcBorders>
          </w:tcPr>
          <w:p>
            <w:pPr>
              <w:rPr>
                <w:rFonts w:ascii="Arial"/>
                <w:sz w:val="21"/>
              </w:rPr>
            </w:pPr>
            <w:r/>
          </w:p>
        </w:tc>
        <w:tc>
          <w:tcPr>
            <w:tcW w:w="1729" w:type="dxa"/>
            <w:vAlign w:val="top"/>
            <w:vMerge w:val="continue"/>
            <w:tcBorders>
              <w:top w:val="nil"/>
            </w:tcBorders>
          </w:tcPr>
          <w:p>
            <w:pPr>
              <w:rPr>
                <w:rFonts w:ascii="Arial"/>
                <w:sz w:val="21"/>
              </w:rPr>
            </w:pPr>
            <w:r/>
          </w:p>
        </w:tc>
        <w:tc>
          <w:tcPr>
            <w:tcW w:w="10523" w:type="dxa"/>
            <w:vAlign w:val="top"/>
            <w:gridSpan w:val="2"/>
            <w:vMerge w:val="continue"/>
            <w:tcBorders>
              <w:top w:val="nil"/>
            </w:tcBorders>
          </w:tcPr>
          <w:p>
            <w:pPr>
              <w:rPr>
                <w:rFonts w:ascii="Arial"/>
                <w:sz w:val="21"/>
              </w:rPr>
            </w:pPr>
            <w:r/>
          </w:p>
        </w:tc>
        <w:tc>
          <w:tcPr>
            <w:shd w:val="clear" w:fill="BDBDBD"/>
            <w:tcW w:w="799" w:type="dxa"/>
            <w:vAlign w:val="top"/>
          </w:tcPr>
          <w:p>
            <w:pPr>
              <w:pStyle w:val="TableText"/>
              <w:ind w:left="81"/>
              <w:spacing w:before="25" w:line="206" w:lineRule="auto"/>
              <w:rPr>
                <w:sz w:val="21"/>
                <w:szCs w:val="21"/>
              </w:rPr>
            </w:pPr>
            <w:r>
              <w:rPr>
                <w:sz w:val="21"/>
                <w:szCs w:val="21"/>
                <w:b/>
                <w:bCs/>
                <w:spacing w:val="-4"/>
              </w:rPr>
              <w:t>施工期</w:t>
            </w:r>
          </w:p>
        </w:tc>
        <w:tc>
          <w:tcPr>
            <w:shd w:val="clear" w:fill="BDBDBD"/>
            <w:tcW w:w="1169" w:type="dxa"/>
            <w:vAlign w:val="top"/>
          </w:tcPr>
          <w:p>
            <w:pPr>
              <w:pStyle w:val="TableText"/>
              <w:ind w:left="272"/>
              <w:spacing w:before="25" w:line="206" w:lineRule="auto"/>
              <w:rPr>
                <w:sz w:val="21"/>
                <w:szCs w:val="21"/>
              </w:rPr>
            </w:pPr>
            <w:r>
              <w:rPr>
                <w:sz w:val="21"/>
                <w:szCs w:val="21"/>
                <w:b/>
                <w:bCs/>
                <w:spacing w:val="-5"/>
              </w:rPr>
              <w:t>运营期</w:t>
            </w:r>
          </w:p>
        </w:tc>
        <w:tc>
          <w:tcPr>
            <w:tcW w:w="645" w:type="dxa"/>
            <w:vAlign w:val="top"/>
            <w:vMerge w:val="continue"/>
            <w:tcBorders>
              <w:top w:val="nil"/>
            </w:tcBorders>
          </w:tcPr>
          <w:p>
            <w:pPr>
              <w:rPr>
                <w:rFonts w:ascii="Arial"/>
                <w:sz w:val="21"/>
              </w:rPr>
            </w:pPr>
            <w:r/>
          </w:p>
        </w:tc>
      </w:tr>
      <w:tr>
        <w:trPr>
          <w:trHeight w:val="819" w:hRule="atLeast"/>
        </w:trPr>
        <w:tc>
          <w:tcPr>
            <w:tcW w:w="464" w:type="dxa"/>
            <w:vAlign w:val="top"/>
            <w:vMerge w:val="restart"/>
            <w:tcBorders>
              <w:bottom w:val="nil"/>
            </w:tcBorders>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pStyle w:val="TableText"/>
              <w:ind w:left="14"/>
              <w:spacing w:before="68" w:line="221" w:lineRule="auto"/>
              <w:rPr>
                <w:sz w:val="21"/>
                <w:szCs w:val="21"/>
              </w:rPr>
            </w:pPr>
            <w:r>
              <w:rPr>
                <w:sz w:val="21"/>
                <w:szCs w:val="21"/>
                <w:spacing w:val="-3"/>
              </w:rPr>
              <w:t>主体</w:t>
            </w:r>
          </w:p>
          <w:p>
            <w:pPr>
              <w:pStyle w:val="TableText"/>
              <w:ind w:left="14"/>
              <w:spacing w:before="18" w:line="220" w:lineRule="auto"/>
              <w:rPr>
                <w:sz w:val="21"/>
                <w:szCs w:val="21"/>
              </w:rPr>
            </w:pPr>
            <w:r>
              <w:rPr>
                <w:sz w:val="21"/>
                <w:szCs w:val="21"/>
                <w:spacing w:val="-3"/>
              </w:rPr>
              <w:t>工程</w:t>
            </w:r>
          </w:p>
        </w:tc>
        <w:tc>
          <w:tcPr>
            <w:tcW w:w="1729" w:type="dxa"/>
            <w:vAlign w:val="top"/>
          </w:tcPr>
          <w:p>
            <w:pPr>
              <w:pStyle w:val="TableText"/>
              <w:ind w:left="440"/>
              <w:spacing w:before="308" w:line="219" w:lineRule="auto"/>
              <w:rPr>
                <w:sz w:val="21"/>
                <w:szCs w:val="21"/>
              </w:rPr>
            </w:pPr>
            <w:r>
              <w:rPr>
                <w:sz w:val="21"/>
                <w:szCs w:val="21"/>
                <w:spacing w:val="-2"/>
              </w:rPr>
              <w:t>拆除工程</w:t>
            </w:r>
          </w:p>
        </w:tc>
        <w:tc>
          <w:tcPr>
            <w:tcW w:w="10523" w:type="dxa"/>
            <w:vAlign w:val="top"/>
            <w:gridSpan w:val="2"/>
          </w:tcPr>
          <w:p>
            <w:pPr>
              <w:pStyle w:val="TableText"/>
              <w:ind w:left="11"/>
              <w:spacing w:before="37" w:line="226" w:lineRule="auto"/>
              <w:jc w:val="both"/>
              <w:rPr>
                <w:sz w:val="21"/>
                <w:szCs w:val="21"/>
              </w:rPr>
            </w:pPr>
            <w:r>
              <w:rPr>
                <w:sz w:val="21"/>
                <w:szCs w:val="21"/>
              </w:rPr>
              <w:t>拆除原项目污水处理站、锅炉房、生猪屠宰车间内屠宰设备及配套设施等，将原项目生猪屠宰车间利旧改造为本项 </w:t>
            </w:r>
            <w:r>
              <w:rPr>
                <w:sz w:val="21"/>
                <w:szCs w:val="21"/>
              </w:rPr>
              <w:t>目肉牛屠宰车间，拆除过程采用湿作业方法，拆除后清理场地。拆除的污水处理站设备、锅炉、屠宰设备等直接外 </w:t>
            </w:r>
            <w:r>
              <w:rPr>
                <w:sz w:val="21"/>
                <w:szCs w:val="21"/>
                <w:spacing w:val="-1"/>
              </w:rPr>
              <w:t>售，拆除的建筑垃圾送城市建设部门指定的地点堆放。</w:t>
            </w:r>
          </w:p>
        </w:tc>
        <w:tc>
          <w:tcPr>
            <w:tcW w:w="799" w:type="dxa"/>
            <w:vAlign w:val="top"/>
            <w:vMerge w:val="restart"/>
            <w:tcBorders>
              <w:bottom w:val="nil"/>
            </w:tcBorders>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spacing w:before="69" w:line="219" w:lineRule="auto"/>
              <w:jc w:val="right"/>
              <w:rPr>
                <w:sz w:val="21"/>
                <w:szCs w:val="21"/>
              </w:rPr>
            </w:pPr>
            <w:r>
              <w:rPr>
                <w:sz w:val="21"/>
                <w:szCs w:val="21"/>
                <w:spacing w:val="-23"/>
              </w:rPr>
              <w:t>废</w:t>
            </w:r>
            <w:r>
              <w:rPr>
                <w:sz w:val="21"/>
                <w:szCs w:val="21"/>
                <w:spacing w:val="-26"/>
              </w:rPr>
              <w:t xml:space="preserve"> </w:t>
            </w:r>
            <w:r>
              <w:rPr>
                <w:sz w:val="21"/>
                <w:szCs w:val="21"/>
                <w:spacing w:val="-23"/>
              </w:rPr>
              <w:t>水</w:t>
            </w:r>
            <w:r>
              <w:rPr>
                <w:sz w:val="21"/>
                <w:szCs w:val="21"/>
                <w:spacing w:val="-36"/>
              </w:rPr>
              <w:t xml:space="preserve"> </w:t>
            </w:r>
            <w:r>
              <w:rPr>
                <w:sz w:val="21"/>
                <w:szCs w:val="21"/>
                <w:spacing w:val="-23"/>
              </w:rPr>
              <w:t>、</w:t>
            </w:r>
          </w:p>
          <w:p>
            <w:pPr>
              <w:pStyle w:val="TableText"/>
              <w:spacing w:before="41" w:line="220" w:lineRule="auto"/>
              <w:jc w:val="right"/>
              <w:rPr>
                <w:sz w:val="21"/>
                <w:szCs w:val="21"/>
              </w:rPr>
            </w:pPr>
            <w:r>
              <w:rPr>
                <w:sz w:val="21"/>
                <w:szCs w:val="21"/>
                <w:spacing w:val="-28"/>
              </w:rPr>
              <w:t>固</w:t>
            </w:r>
            <w:r>
              <w:rPr>
                <w:sz w:val="21"/>
                <w:szCs w:val="21"/>
                <w:spacing w:val="-20"/>
              </w:rPr>
              <w:t xml:space="preserve"> </w:t>
            </w:r>
            <w:r>
              <w:rPr>
                <w:sz w:val="21"/>
                <w:szCs w:val="21"/>
                <w:spacing w:val="-28"/>
              </w:rPr>
              <w:t>废</w:t>
            </w:r>
            <w:r>
              <w:rPr>
                <w:sz w:val="21"/>
                <w:szCs w:val="21"/>
                <w:spacing w:val="-27"/>
              </w:rPr>
              <w:t xml:space="preserve"> </w:t>
            </w:r>
            <w:r>
              <w:rPr>
                <w:sz w:val="21"/>
                <w:szCs w:val="21"/>
                <w:spacing w:val="-28"/>
              </w:rPr>
              <w:t>、</w:t>
            </w:r>
          </w:p>
          <w:p>
            <w:pPr>
              <w:pStyle w:val="TableText"/>
              <w:spacing w:before="9" w:line="220" w:lineRule="auto"/>
              <w:jc w:val="right"/>
              <w:rPr>
                <w:sz w:val="21"/>
                <w:szCs w:val="21"/>
              </w:rPr>
            </w:pPr>
            <w:r>
              <w:rPr>
                <w:sz w:val="21"/>
                <w:szCs w:val="21"/>
                <w:spacing w:val="-27"/>
              </w:rPr>
              <w:t>噪</w:t>
            </w:r>
            <w:r>
              <w:rPr>
                <w:sz w:val="21"/>
                <w:szCs w:val="21"/>
                <w:spacing w:val="-19"/>
              </w:rPr>
              <w:t xml:space="preserve"> </w:t>
            </w:r>
            <w:r>
              <w:rPr>
                <w:sz w:val="21"/>
                <w:szCs w:val="21"/>
                <w:spacing w:val="-27"/>
              </w:rPr>
              <w:t>声</w:t>
            </w:r>
            <w:r>
              <w:rPr>
                <w:sz w:val="21"/>
                <w:szCs w:val="21"/>
                <w:spacing w:val="-31"/>
              </w:rPr>
              <w:t xml:space="preserve"> </w:t>
            </w:r>
            <w:r>
              <w:rPr>
                <w:sz w:val="21"/>
                <w:szCs w:val="21"/>
                <w:spacing w:val="-27"/>
              </w:rPr>
              <w:t>、</w:t>
            </w:r>
          </w:p>
          <w:p>
            <w:pPr>
              <w:pStyle w:val="TableText"/>
              <w:ind w:left="78"/>
              <w:spacing w:before="19" w:line="219" w:lineRule="auto"/>
              <w:rPr>
                <w:sz w:val="21"/>
                <w:szCs w:val="21"/>
              </w:rPr>
            </w:pPr>
            <w:r>
              <w:rPr>
                <w:sz w:val="21"/>
                <w:szCs w:val="21"/>
                <w:spacing w:val="-3"/>
              </w:rPr>
              <w:t>水土流</w:t>
            </w:r>
          </w:p>
          <w:p>
            <w:pPr>
              <w:pStyle w:val="TableText"/>
              <w:ind w:left="128"/>
              <w:spacing w:before="20" w:line="219" w:lineRule="auto"/>
              <w:rPr>
                <w:sz w:val="21"/>
                <w:szCs w:val="21"/>
              </w:rPr>
            </w:pPr>
            <w:r>
              <w:rPr>
                <w:sz w:val="21"/>
                <w:szCs w:val="21"/>
                <w:spacing w:val="1"/>
              </w:rPr>
              <w:t>失等。</w:t>
            </w:r>
          </w:p>
        </w:tc>
        <w:tc>
          <w:tcPr>
            <w:tcW w:w="1169" w:type="dxa"/>
            <w:vAlign w:val="top"/>
          </w:tcPr>
          <w:p>
            <w:pPr>
              <w:spacing w:line="244" w:lineRule="auto"/>
              <w:rPr>
                <w:rFonts w:ascii="Arial"/>
                <w:sz w:val="21"/>
              </w:rPr>
            </w:pPr>
            <w:r/>
          </w:p>
          <w:p>
            <w:pPr>
              <w:pStyle w:val="TableText"/>
              <w:ind w:left="529"/>
              <w:spacing w:before="69" w:line="224" w:lineRule="auto"/>
              <w:rPr>
                <w:sz w:val="21"/>
                <w:szCs w:val="21"/>
              </w:rPr>
            </w:pPr>
            <w:r>
              <w:rPr>
                <w:sz w:val="21"/>
                <w:szCs w:val="21"/>
                <w:color w:val="404050"/>
              </w:rPr>
              <w:t>/</w:t>
            </w:r>
          </w:p>
        </w:tc>
        <w:tc>
          <w:tcPr>
            <w:tcW w:w="645" w:type="dxa"/>
            <w:vAlign w:val="top"/>
          </w:tcPr>
          <w:p>
            <w:pPr>
              <w:pStyle w:val="TableText"/>
              <w:ind w:left="111"/>
              <w:spacing w:before="308" w:line="219" w:lineRule="auto"/>
              <w:rPr>
                <w:sz w:val="21"/>
                <w:szCs w:val="21"/>
              </w:rPr>
            </w:pPr>
            <w:r>
              <w:rPr>
                <w:sz w:val="21"/>
                <w:szCs w:val="21"/>
                <w:spacing w:val="-3"/>
              </w:rPr>
              <w:t>拆除</w:t>
            </w:r>
          </w:p>
        </w:tc>
      </w:tr>
      <w:tr>
        <w:trPr>
          <w:trHeight w:val="549" w:hRule="atLeast"/>
        </w:trPr>
        <w:tc>
          <w:tcPr>
            <w:tcW w:w="464" w:type="dxa"/>
            <w:vAlign w:val="top"/>
            <w:vMerge w:val="continue"/>
            <w:tcBorders>
              <w:top w:val="nil"/>
              <w:bottom w:val="nil"/>
            </w:tcBorders>
          </w:tcPr>
          <w:p>
            <w:pPr>
              <w:rPr>
                <w:rFonts w:ascii="Arial"/>
                <w:sz w:val="21"/>
              </w:rPr>
            </w:pPr>
            <w:r/>
          </w:p>
        </w:tc>
        <w:tc>
          <w:tcPr>
            <w:tcW w:w="1729" w:type="dxa"/>
            <w:vAlign w:val="top"/>
            <w:vMerge w:val="restart"/>
            <w:tcBorders>
              <w:bottom w:val="nil"/>
            </w:tcBorders>
          </w:tcPr>
          <w:p>
            <w:pPr>
              <w:spacing w:line="338" w:lineRule="auto"/>
              <w:rPr>
                <w:rFonts w:ascii="Arial"/>
                <w:sz w:val="21"/>
              </w:rPr>
            </w:pPr>
            <w:r/>
          </w:p>
          <w:p>
            <w:pPr>
              <w:spacing w:line="339" w:lineRule="auto"/>
              <w:rPr>
                <w:rFonts w:ascii="Arial"/>
                <w:sz w:val="21"/>
              </w:rPr>
            </w:pPr>
            <w:r/>
          </w:p>
          <w:p>
            <w:pPr>
              <w:pStyle w:val="TableText"/>
              <w:ind w:left="10"/>
              <w:spacing w:before="68" w:line="219" w:lineRule="auto"/>
              <w:rPr>
                <w:sz w:val="21"/>
                <w:szCs w:val="21"/>
              </w:rPr>
            </w:pPr>
            <w:r>
              <w:rPr>
                <w:sz w:val="21"/>
                <w:szCs w:val="21"/>
                <w:spacing w:val="-1"/>
              </w:rPr>
              <w:t>生猪屠宰车间：</w:t>
            </w:r>
          </w:p>
          <w:p>
            <w:pPr>
              <w:pStyle w:val="TableText"/>
              <w:ind w:left="10"/>
              <w:spacing w:before="26" w:line="233" w:lineRule="auto"/>
              <w:rPr>
                <w:sz w:val="21"/>
                <w:szCs w:val="21"/>
              </w:rPr>
            </w:pPr>
            <w:r>
              <w:rPr>
                <w:sz w:val="21"/>
                <w:szCs w:val="21"/>
                <w:spacing w:val="17"/>
                <w:w w:val="111"/>
              </w:rPr>
              <w:t>H=15m,共2F,框</w:t>
            </w:r>
            <w:r>
              <w:rPr>
                <w:sz w:val="21"/>
                <w:szCs w:val="21"/>
                <w:spacing w:val="4"/>
              </w:rPr>
              <w:t xml:space="preserve"> </w:t>
            </w:r>
            <w:r>
              <w:rPr>
                <w:sz w:val="21"/>
                <w:szCs w:val="21"/>
                <w:spacing w:val="1"/>
              </w:rPr>
              <w:t>架结构，建筑面积</w:t>
            </w:r>
            <w:r>
              <w:rPr>
                <w:sz w:val="21"/>
                <w:szCs w:val="21"/>
                <w:spacing w:val="4"/>
              </w:rPr>
              <w:t xml:space="preserve"> </w:t>
            </w:r>
            <w:r>
              <w:rPr>
                <w:sz w:val="21"/>
                <w:szCs w:val="21"/>
                <w:spacing w:val="9"/>
              </w:rPr>
              <w:t>约6580.12m²。</w:t>
            </w:r>
          </w:p>
          <w:p>
            <w:pPr>
              <w:pStyle w:val="TableText"/>
              <w:ind w:left="10" w:right="227"/>
              <w:spacing w:before="1" w:line="241" w:lineRule="auto"/>
              <w:rPr>
                <w:sz w:val="21"/>
                <w:szCs w:val="21"/>
              </w:rPr>
            </w:pPr>
            <w:r>
              <w:rPr>
                <w:sz w:val="21"/>
                <w:szCs w:val="21"/>
                <w:spacing w:val="1"/>
              </w:rPr>
              <w:t>1F建筑面积约为 </w:t>
            </w:r>
            <w:r>
              <w:rPr>
                <w:sz w:val="21"/>
                <w:szCs w:val="21"/>
                <w:spacing w:val="-2"/>
              </w:rPr>
              <w:t>3200m²;</w:t>
            </w:r>
          </w:p>
          <w:p>
            <w:pPr>
              <w:pStyle w:val="TableText"/>
              <w:ind w:left="10" w:right="227"/>
              <w:spacing w:before="1" w:line="265" w:lineRule="auto"/>
              <w:rPr>
                <w:sz w:val="21"/>
                <w:szCs w:val="21"/>
              </w:rPr>
            </w:pPr>
            <w:r>
              <w:rPr>
                <w:sz w:val="21"/>
                <w:szCs w:val="21"/>
                <w:spacing w:val="1"/>
              </w:rPr>
              <w:t>2F建筑面积约为 </w:t>
            </w:r>
            <w:r>
              <w:rPr>
                <w:sz w:val="21"/>
                <w:szCs w:val="21"/>
                <w:spacing w:val="-5"/>
              </w:rPr>
              <w:t>3200m²。</w:t>
            </w:r>
          </w:p>
        </w:tc>
        <w:tc>
          <w:tcPr>
            <w:tcW w:w="360" w:type="dxa"/>
            <w:vAlign w:val="top"/>
            <w:vMerge w:val="restart"/>
            <w:tcBorders>
              <w:bottom w:val="nil"/>
            </w:tcBorders>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31"/>
              <w:spacing w:before="68" w:line="184" w:lineRule="auto"/>
              <w:rPr>
                <w:sz w:val="21"/>
                <w:szCs w:val="21"/>
              </w:rPr>
            </w:pPr>
            <w:r>
              <w:rPr>
                <w:sz w:val="21"/>
                <w:szCs w:val="21"/>
                <w:spacing w:val="-6"/>
              </w:rPr>
              <w:t>1F</w:t>
            </w:r>
          </w:p>
        </w:tc>
        <w:tc>
          <w:tcPr>
            <w:tcW w:w="10163" w:type="dxa"/>
            <w:vAlign w:val="top"/>
          </w:tcPr>
          <w:p>
            <w:pPr>
              <w:pStyle w:val="TableText"/>
              <w:ind w:left="11" w:right="275"/>
              <w:spacing w:before="45" w:line="217" w:lineRule="auto"/>
              <w:rPr>
                <w:sz w:val="21"/>
                <w:szCs w:val="21"/>
              </w:rPr>
            </w:pPr>
            <w:r>
              <w:rPr>
                <w:sz w:val="21"/>
                <w:szCs w:val="21"/>
                <w:spacing w:val="2"/>
              </w:rPr>
              <w:t>生猪待宰圈：位于生猪屠宰车间内北侧，密闭框架结构，层高约H=7.5m,面积约576m²,用于</w:t>
            </w:r>
            <w:r>
              <w:rPr>
                <w:sz w:val="21"/>
                <w:szCs w:val="21"/>
                <w:spacing w:val="1"/>
              </w:rPr>
              <w:t>待宰生猪暂养，</w:t>
            </w:r>
            <w:r>
              <w:rPr>
                <w:sz w:val="21"/>
                <w:szCs w:val="21"/>
              </w:rPr>
              <w:t xml:space="preserve"> </w:t>
            </w:r>
            <w:r>
              <w:rPr>
                <w:sz w:val="21"/>
                <w:szCs w:val="21"/>
              </w:rPr>
              <w:t>存栏能力2000头/d,存放时间小于12h,共设置51个猪存栏舍(包括观察舍)</w:t>
            </w:r>
            <w:r>
              <w:rPr>
                <w:sz w:val="21"/>
                <w:szCs w:val="21"/>
                <w:spacing w:val="-1"/>
              </w:rPr>
              <w:t>,内设冲淋区。</w:t>
            </w:r>
          </w:p>
        </w:tc>
        <w:tc>
          <w:tcPr>
            <w:tcW w:w="799" w:type="dxa"/>
            <w:vAlign w:val="top"/>
            <w:vMerge w:val="continue"/>
            <w:tcBorders>
              <w:top w:val="nil"/>
              <w:bottom w:val="nil"/>
            </w:tcBorders>
          </w:tcPr>
          <w:p>
            <w:pPr>
              <w:rPr>
                <w:rFonts w:ascii="Arial"/>
                <w:sz w:val="21"/>
              </w:rPr>
            </w:pPr>
            <w:r/>
          </w:p>
        </w:tc>
        <w:tc>
          <w:tcPr>
            <w:tcW w:w="1169" w:type="dxa"/>
            <w:vAlign w:val="top"/>
            <w:vMerge w:val="restart"/>
            <w:tcBorders>
              <w:bottom w:val="nil"/>
            </w:tcBorders>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59" w:firstLine="95"/>
              <w:spacing w:before="68" w:line="238" w:lineRule="auto"/>
              <w:rPr>
                <w:sz w:val="21"/>
                <w:szCs w:val="21"/>
              </w:rPr>
            </w:pPr>
            <w:r>
              <w:rPr>
                <w:sz w:val="21"/>
                <w:szCs w:val="21"/>
                <w:spacing w:val="-12"/>
              </w:rPr>
              <w:t>废水、废</w:t>
            </w:r>
            <w:r>
              <w:rPr>
                <w:sz w:val="21"/>
                <w:szCs w:val="21"/>
              </w:rPr>
              <w:t xml:space="preserve">   </w:t>
            </w:r>
            <w:r>
              <w:rPr>
                <w:sz w:val="21"/>
                <w:szCs w:val="21"/>
                <w:spacing w:val="9"/>
              </w:rPr>
              <w:t>气、固废、</w:t>
            </w:r>
          </w:p>
          <w:p>
            <w:pPr>
              <w:pStyle w:val="TableText"/>
              <w:ind w:left="369"/>
              <w:spacing w:line="220" w:lineRule="auto"/>
              <w:rPr>
                <w:sz w:val="21"/>
                <w:szCs w:val="21"/>
              </w:rPr>
            </w:pPr>
            <w:r>
              <w:rPr>
                <w:sz w:val="21"/>
                <w:szCs w:val="21"/>
                <w:spacing w:val="6"/>
              </w:rPr>
              <w:t>噪声</w:t>
            </w:r>
          </w:p>
        </w:tc>
        <w:tc>
          <w:tcPr>
            <w:tcW w:w="645" w:type="dxa"/>
            <w:vAlign w:val="top"/>
            <w:vMerge w:val="restart"/>
            <w:tcBorders>
              <w:bottom w:val="nil"/>
            </w:tcBorders>
          </w:tcPr>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111"/>
              <w:spacing w:before="68" w:line="220" w:lineRule="auto"/>
              <w:rPr>
                <w:sz w:val="21"/>
                <w:szCs w:val="21"/>
              </w:rPr>
            </w:pPr>
            <w:r>
              <w:rPr>
                <w:sz w:val="21"/>
                <w:szCs w:val="21"/>
                <w:spacing w:val="-3"/>
              </w:rPr>
              <w:t>新建</w:t>
            </w:r>
          </w:p>
        </w:tc>
      </w:tr>
      <w:tr>
        <w:trPr>
          <w:trHeight w:val="539" w:hRule="atLeast"/>
        </w:trPr>
        <w:tc>
          <w:tcPr>
            <w:tcW w:w="464" w:type="dxa"/>
            <w:vAlign w:val="top"/>
            <w:vMerge w:val="continue"/>
            <w:tcBorders>
              <w:top w:val="nil"/>
              <w:bottom w:val="nil"/>
            </w:tcBorders>
          </w:tcPr>
          <w:p>
            <w:pPr>
              <w:rPr>
                <w:rFonts w:ascii="Arial"/>
                <w:sz w:val="21"/>
              </w:rPr>
            </w:pPr>
            <w:r/>
          </w:p>
        </w:tc>
        <w:tc>
          <w:tcPr>
            <w:tcW w:w="1729" w:type="dxa"/>
            <w:vAlign w:val="top"/>
            <w:vMerge w:val="continue"/>
            <w:tcBorders>
              <w:top w:val="nil"/>
              <w:bottom w:val="nil"/>
            </w:tcBorders>
          </w:tcPr>
          <w:p>
            <w:pPr>
              <w:rPr>
                <w:rFonts w:ascii="Arial"/>
                <w:sz w:val="21"/>
              </w:rPr>
            </w:pPr>
            <w:r/>
          </w:p>
        </w:tc>
        <w:tc>
          <w:tcPr>
            <w:tcW w:w="360" w:type="dxa"/>
            <w:vAlign w:val="top"/>
            <w:vMerge w:val="continue"/>
            <w:tcBorders>
              <w:top w:val="nil"/>
              <w:bottom w:val="nil"/>
            </w:tcBorders>
          </w:tcPr>
          <w:p>
            <w:pPr>
              <w:rPr>
                <w:rFonts w:ascii="Arial"/>
                <w:sz w:val="21"/>
              </w:rPr>
            </w:pPr>
            <w:r/>
          </w:p>
        </w:tc>
        <w:tc>
          <w:tcPr>
            <w:tcW w:w="10163" w:type="dxa"/>
            <w:vAlign w:val="top"/>
          </w:tcPr>
          <w:p>
            <w:pPr>
              <w:pStyle w:val="TableText"/>
              <w:ind w:left="11" w:right="161"/>
              <w:spacing w:before="37" w:line="216" w:lineRule="auto"/>
              <w:rPr>
                <w:sz w:val="21"/>
                <w:szCs w:val="21"/>
              </w:rPr>
            </w:pPr>
            <w:r>
              <w:rPr>
                <w:sz w:val="21"/>
                <w:szCs w:val="21"/>
                <w:spacing w:val="2"/>
              </w:rPr>
              <w:t>生猪屠宰区：位于生猪屠宰车间中部，面积约1355m²,内设淋浴待宰间、自动化宰杀机械化生产线4条，生猪</w:t>
            </w:r>
            <w:r>
              <w:rPr>
                <w:sz w:val="21"/>
                <w:szCs w:val="21"/>
                <w:spacing w:val="6"/>
              </w:rPr>
              <w:t xml:space="preserve"> </w:t>
            </w:r>
            <w:r>
              <w:rPr>
                <w:sz w:val="21"/>
                <w:szCs w:val="21"/>
              </w:rPr>
              <w:t>屠宰能力为日最大屠宰量1800头/d,包括电麻、屠宰、放血、烫毛、脱毛、劈半等工</w:t>
            </w:r>
            <w:r>
              <w:rPr>
                <w:sz w:val="21"/>
                <w:szCs w:val="21"/>
                <w:spacing w:val="-1"/>
              </w:rPr>
              <w:t>艺。</w:t>
            </w:r>
          </w:p>
        </w:tc>
        <w:tc>
          <w:tcPr>
            <w:tcW w:w="799" w:type="dxa"/>
            <w:vAlign w:val="top"/>
            <w:vMerge w:val="continue"/>
            <w:tcBorders>
              <w:top w:val="nil"/>
              <w:bottom w:val="nil"/>
            </w:tcBorders>
          </w:tcPr>
          <w:p>
            <w:pPr>
              <w:rPr>
                <w:rFonts w:ascii="Arial"/>
                <w:sz w:val="21"/>
              </w:rPr>
            </w:pPr>
            <w:r/>
          </w:p>
        </w:tc>
        <w:tc>
          <w:tcPr>
            <w:tcW w:w="1169" w:type="dxa"/>
            <w:vAlign w:val="top"/>
            <w:vMerge w:val="continue"/>
            <w:tcBorders>
              <w:top w:val="nil"/>
              <w:bottom w:val="nil"/>
            </w:tcBorders>
          </w:tcPr>
          <w:p>
            <w:pPr>
              <w:rPr>
                <w:rFonts w:ascii="Arial"/>
                <w:sz w:val="21"/>
              </w:rPr>
            </w:pPr>
            <w:r/>
          </w:p>
        </w:tc>
        <w:tc>
          <w:tcPr>
            <w:tcW w:w="645" w:type="dxa"/>
            <w:vAlign w:val="top"/>
            <w:vMerge w:val="continue"/>
            <w:tcBorders>
              <w:top w:val="nil"/>
              <w:bottom w:val="nil"/>
            </w:tcBorders>
          </w:tcPr>
          <w:p>
            <w:pPr>
              <w:rPr>
                <w:rFonts w:ascii="Arial"/>
                <w:sz w:val="21"/>
              </w:rPr>
            </w:pPr>
            <w:r/>
          </w:p>
        </w:tc>
      </w:tr>
      <w:tr>
        <w:trPr>
          <w:trHeight w:val="549" w:hRule="atLeast"/>
        </w:trPr>
        <w:tc>
          <w:tcPr>
            <w:tcW w:w="464" w:type="dxa"/>
            <w:vAlign w:val="top"/>
            <w:vMerge w:val="continue"/>
            <w:tcBorders>
              <w:top w:val="nil"/>
              <w:bottom w:val="nil"/>
            </w:tcBorders>
          </w:tcPr>
          <w:p>
            <w:pPr>
              <w:rPr>
                <w:rFonts w:ascii="Arial"/>
                <w:sz w:val="21"/>
              </w:rPr>
            </w:pPr>
            <w:r/>
          </w:p>
        </w:tc>
        <w:tc>
          <w:tcPr>
            <w:tcW w:w="1729" w:type="dxa"/>
            <w:vAlign w:val="top"/>
            <w:vMerge w:val="continue"/>
            <w:tcBorders>
              <w:top w:val="nil"/>
              <w:bottom w:val="nil"/>
            </w:tcBorders>
          </w:tcPr>
          <w:p>
            <w:pPr>
              <w:rPr>
                <w:rFonts w:ascii="Arial"/>
                <w:sz w:val="21"/>
              </w:rPr>
            </w:pPr>
            <w:r/>
          </w:p>
        </w:tc>
        <w:tc>
          <w:tcPr>
            <w:tcW w:w="360" w:type="dxa"/>
            <w:vAlign w:val="top"/>
            <w:vMerge w:val="continue"/>
            <w:tcBorders>
              <w:top w:val="nil"/>
              <w:bottom w:val="nil"/>
            </w:tcBorders>
          </w:tcPr>
          <w:p>
            <w:pPr>
              <w:rPr>
                <w:rFonts w:ascii="Arial"/>
                <w:sz w:val="21"/>
              </w:rPr>
            </w:pPr>
            <w:r/>
          </w:p>
        </w:tc>
        <w:tc>
          <w:tcPr>
            <w:tcW w:w="10163" w:type="dxa"/>
            <w:vAlign w:val="top"/>
          </w:tcPr>
          <w:p>
            <w:pPr>
              <w:pStyle w:val="TableText"/>
              <w:ind w:left="11" w:right="462"/>
              <w:spacing w:before="31" w:line="223" w:lineRule="auto"/>
              <w:rPr>
                <w:sz w:val="21"/>
                <w:szCs w:val="21"/>
              </w:rPr>
            </w:pPr>
            <w:r>
              <w:rPr>
                <w:sz w:val="21"/>
                <w:szCs w:val="21"/>
              </w:rPr>
              <w:t>生猪副产品处理区：副产品处理区位于生猪屠宰车间1F西侧，分为红内脏处理区和白内脏处理区，面积约</w:t>
            </w:r>
            <w:r>
              <w:rPr>
                <w:sz w:val="21"/>
                <w:szCs w:val="21"/>
                <w:spacing w:val="17"/>
              </w:rPr>
              <w:t xml:space="preserve"> </w:t>
            </w:r>
            <w:r>
              <w:rPr>
                <w:sz w:val="21"/>
                <w:szCs w:val="21"/>
                <w:spacing w:val="3"/>
              </w:rPr>
              <w:t>200m²,用于处理屠宰后的内脏，主要为清洗包装、不涉及深加工。</w:t>
            </w:r>
          </w:p>
        </w:tc>
        <w:tc>
          <w:tcPr>
            <w:tcW w:w="799" w:type="dxa"/>
            <w:vAlign w:val="top"/>
            <w:vMerge w:val="continue"/>
            <w:tcBorders>
              <w:top w:val="nil"/>
              <w:bottom w:val="nil"/>
            </w:tcBorders>
          </w:tcPr>
          <w:p>
            <w:pPr>
              <w:rPr>
                <w:rFonts w:ascii="Arial"/>
                <w:sz w:val="21"/>
              </w:rPr>
            </w:pPr>
            <w:r/>
          </w:p>
        </w:tc>
        <w:tc>
          <w:tcPr>
            <w:tcW w:w="1169" w:type="dxa"/>
            <w:vAlign w:val="top"/>
            <w:vMerge w:val="continue"/>
            <w:tcBorders>
              <w:top w:val="nil"/>
              <w:bottom w:val="nil"/>
            </w:tcBorders>
          </w:tcPr>
          <w:p>
            <w:pPr>
              <w:rPr>
                <w:rFonts w:ascii="Arial"/>
                <w:sz w:val="21"/>
              </w:rPr>
            </w:pPr>
            <w:r/>
          </w:p>
        </w:tc>
        <w:tc>
          <w:tcPr>
            <w:tcW w:w="645" w:type="dxa"/>
            <w:vAlign w:val="top"/>
            <w:vMerge w:val="continue"/>
            <w:tcBorders>
              <w:top w:val="nil"/>
              <w:bottom w:val="nil"/>
            </w:tcBorders>
          </w:tcPr>
          <w:p>
            <w:pPr>
              <w:rPr>
                <w:rFonts w:ascii="Arial"/>
                <w:sz w:val="21"/>
              </w:rPr>
            </w:pPr>
            <w:r/>
          </w:p>
        </w:tc>
      </w:tr>
      <w:tr>
        <w:trPr>
          <w:trHeight w:val="549" w:hRule="atLeast"/>
        </w:trPr>
        <w:tc>
          <w:tcPr>
            <w:tcW w:w="464" w:type="dxa"/>
            <w:vAlign w:val="top"/>
            <w:vMerge w:val="continue"/>
            <w:tcBorders>
              <w:top w:val="nil"/>
              <w:bottom w:val="nil"/>
            </w:tcBorders>
          </w:tcPr>
          <w:p>
            <w:pPr>
              <w:rPr>
                <w:rFonts w:ascii="Arial"/>
                <w:sz w:val="21"/>
              </w:rPr>
            </w:pPr>
            <w:r/>
          </w:p>
        </w:tc>
        <w:tc>
          <w:tcPr>
            <w:tcW w:w="1729" w:type="dxa"/>
            <w:vAlign w:val="top"/>
            <w:vMerge w:val="continue"/>
            <w:tcBorders>
              <w:top w:val="nil"/>
              <w:bottom w:val="nil"/>
            </w:tcBorders>
          </w:tcPr>
          <w:p>
            <w:pPr>
              <w:rPr>
                <w:rFonts w:ascii="Arial"/>
                <w:sz w:val="21"/>
              </w:rPr>
            </w:pPr>
            <w:r/>
          </w:p>
        </w:tc>
        <w:tc>
          <w:tcPr>
            <w:tcW w:w="360" w:type="dxa"/>
            <w:vAlign w:val="top"/>
            <w:vMerge w:val="continue"/>
            <w:tcBorders>
              <w:top w:val="nil"/>
            </w:tcBorders>
          </w:tcPr>
          <w:p>
            <w:pPr>
              <w:rPr>
                <w:rFonts w:ascii="Arial"/>
                <w:sz w:val="21"/>
              </w:rPr>
            </w:pPr>
            <w:r/>
          </w:p>
        </w:tc>
        <w:tc>
          <w:tcPr>
            <w:tcW w:w="10163" w:type="dxa"/>
            <w:vAlign w:val="top"/>
          </w:tcPr>
          <w:p>
            <w:pPr>
              <w:pStyle w:val="TableText"/>
              <w:ind w:left="11" w:right="68"/>
              <w:spacing w:before="31" w:line="223" w:lineRule="auto"/>
              <w:rPr>
                <w:sz w:val="21"/>
                <w:szCs w:val="21"/>
              </w:rPr>
            </w:pPr>
            <w:r>
              <w:rPr>
                <w:sz w:val="21"/>
                <w:szCs w:val="21"/>
              </w:rPr>
              <w:t>病体暂存间、检疫室、鲜销大厅、排酸间、快速预冷间、办公区、发货大厅、头蹄处理间</w:t>
            </w:r>
            <w:r>
              <w:rPr>
                <w:sz w:val="21"/>
                <w:szCs w:val="21"/>
                <w:spacing w:val="-1"/>
              </w:rPr>
              <w:t>、皮张间、冻库、淋</w:t>
            </w:r>
            <w:r>
              <w:rPr>
                <w:sz w:val="21"/>
                <w:szCs w:val="21"/>
              </w:rPr>
              <w:t xml:space="preserve"> </w:t>
            </w:r>
            <w:r>
              <w:rPr>
                <w:sz w:val="21"/>
                <w:szCs w:val="21"/>
                <w:spacing w:val="-1"/>
              </w:rPr>
              <w:t>浴间、卫生间、更衣间、洗手间。</w:t>
            </w:r>
          </w:p>
        </w:tc>
        <w:tc>
          <w:tcPr>
            <w:tcW w:w="799" w:type="dxa"/>
            <w:vAlign w:val="top"/>
            <w:vMerge w:val="continue"/>
            <w:tcBorders>
              <w:top w:val="nil"/>
              <w:bottom w:val="nil"/>
            </w:tcBorders>
          </w:tcPr>
          <w:p>
            <w:pPr>
              <w:rPr>
                <w:rFonts w:ascii="Arial"/>
                <w:sz w:val="21"/>
              </w:rPr>
            </w:pPr>
            <w:r/>
          </w:p>
        </w:tc>
        <w:tc>
          <w:tcPr>
            <w:tcW w:w="1169" w:type="dxa"/>
            <w:vAlign w:val="top"/>
            <w:vMerge w:val="continue"/>
            <w:tcBorders>
              <w:top w:val="nil"/>
              <w:bottom w:val="nil"/>
            </w:tcBorders>
          </w:tcPr>
          <w:p>
            <w:pPr>
              <w:rPr>
                <w:rFonts w:ascii="Arial"/>
                <w:sz w:val="21"/>
              </w:rPr>
            </w:pPr>
            <w:r/>
          </w:p>
        </w:tc>
        <w:tc>
          <w:tcPr>
            <w:tcW w:w="645" w:type="dxa"/>
            <w:vAlign w:val="top"/>
            <w:vMerge w:val="continue"/>
            <w:tcBorders>
              <w:top w:val="nil"/>
              <w:bottom w:val="nil"/>
            </w:tcBorders>
          </w:tcPr>
          <w:p>
            <w:pPr>
              <w:rPr>
                <w:rFonts w:ascii="Arial"/>
                <w:sz w:val="21"/>
              </w:rPr>
            </w:pPr>
            <w:r/>
          </w:p>
        </w:tc>
      </w:tr>
      <w:tr>
        <w:trPr>
          <w:trHeight w:val="509" w:hRule="atLeast"/>
        </w:trPr>
        <w:tc>
          <w:tcPr>
            <w:tcW w:w="464" w:type="dxa"/>
            <w:vAlign w:val="top"/>
            <w:vMerge w:val="continue"/>
            <w:tcBorders>
              <w:top w:val="nil"/>
              <w:bottom w:val="nil"/>
            </w:tcBorders>
          </w:tcPr>
          <w:p>
            <w:pPr>
              <w:rPr>
                <w:rFonts w:ascii="Arial"/>
                <w:sz w:val="21"/>
              </w:rPr>
            </w:pPr>
            <w:r/>
          </w:p>
        </w:tc>
        <w:tc>
          <w:tcPr>
            <w:tcW w:w="1729" w:type="dxa"/>
            <w:vAlign w:val="top"/>
            <w:vMerge w:val="continue"/>
            <w:tcBorders>
              <w:top w:val="nil"/>
              <w:bottom w:val="nil"/>
            </w:tcBorders>
          </w:tcPr>
          <w:p>
            <w:pPr>
              <w:rPr>
                <w:rFonts w:ascii="Arial"/>
                <w:sz w:val="21"/>
              </w:rPr>
            </w:pPr>
            <w:r/>
          </w:p>
        </w:tc>
        <w:tc>
          <w:tcPr>
            <w:tcW w:w="360" w:type="dxa"/>
            <w:vAlign w:val="top"/>
            <w:vMerge w:val="restart"/>
            <w:tcBorders>
              <w:bottom w:val="nil"/>
            </w:tcBorders>
          </w:tcPr>
          <w:p>
            <w:pPr>
              <w:spacing w:line="283" w:lineRule="auto"/>
              <w:rPr>
                <w:rFonts w:ascii="Arial"/>
                <w:sz w:val="21"/>
              </w:rPr>
            </w:pPr>
            <w:r/>
          </w:p>
          <w:p>
            <w:pPr>
              <w:spacing w:line="283" w:lineRule="auto"/>
              <w:rPr>
                <w:rFonts w:ascii="Arial"/>
                <w:sz w:val="21"/>
              </w:rPr>
            </w:pPr>
            <w:r/>
          </w:p>
          <w:p>
            <w:pPr>
              <w:pStyle w:val="TableText"/>
              <w:ind w:right="13"/>
              <w:spacing w:before="68" w:line="183" w:lineRule="auto"/>
              <w:jc w:val="right"/>
              <w:rPr>
                <w:sz w:val="21"/>
                <w:szCs w:val="21"/>
              </w:rPr>
            </w:pPr>
            <w:r>
              <w:rPr>
                <w:sz w:val="21"/>
                <w:szCs w:val="21"/>
                <w:spacing w:val="-3"/>
              </w:rPr>
              <w:t>2F</w:t>
            </w:r>
          </w:p>
        </w:tc>
        <w:tc>
          <w:tcPr>
            <w:tcW w:w="10163" w:type="dxa"/>
            <w:vAlign w:val="top"/>
          </w:tcPr>
          <w:p>
            <w:pPr>
              <w:pStyle w:val="TableText"/>
              <w:ind w:left="11" w:right="275"/>
              <w:spacing w:before="21" w:line="210" w:lineRule="auto"/>
              <w:rPr>
                <w:sz w:val="21"/>
                <w:szCs w:val="21"/>
              </w:rPr>
            </w:pPr>
            <w:r>
              <w:rPr>
                <w:sz w:val="21"/>
                <w:szCs w:val="21"/>
                <w:spacing w:val="2"/>
              </w:rPr>
              <w:t>生猪待宰圈：位于生猪屠宰车间内北侧，密闭框架结构，层高约H=7.5m,面积约576m²,用于</w:t>
            </w:r>
            <w:r>
              <w:rPr>
                <w:sz w:val="21"/>
                <w:szCs w:val="21"/>
                <w:spacing w:val="1"/>
              </w:rPr>
              <w:t>待宰生猪暂养，</w:t>
            </w:r>
            <w:r>
              <w:rPr>
                <w:sz w:val="21"/>
                <w:szCs w:val="21"/>
              </w:rPr>
              <w:t xml:space="preserve"> </w:t>
            </w:r>
            <w:r>
              <w:rPr>
                <w:sz w:val="21"/>
                <w:szCs w:val="21"/>
              </w:rPr>
              <w:t>存栏能力2000头/d,存放时间小于12h,共设置51个猪存栏舍(包括观察舍)</w:t>
            </w:r>
            <w:r>
              <w:rPr>
                <w:sz w:val="21"/>
                <w:szCs w:val="21"/>
                <w:spacing w:val="-1"/>
              </w:rPr>
              <w:t>,内设冲淋区。</w:t>
            </w:r>
          </w:p>
        </w:tc>
        <w:tc>
          <w:tcPr>
            <w:tcW w:w="799" w:type="dxa"/>
            <w:vAlign w:val="top"/>
            <w:vMerge w:val="continue"/>
            <w:tcBorders>
              <w:top w:val="nil"/>
              <w:bottom w:val="nil"/>
            </w:tcBorders>
          </w:tcPr>
          <w:p>
            <w:pPr>
              <w:rPr>
                <w:rFonts w:ascii="Arial"/>
                <w:sz w:val="21"/>
              </w:rPr>
            </w:pPr>
            <w:r/>
          </w:p>
        </w:tc>
        <w:tc>
          <w:tcPr>
            <w:tcW w:w="1169" w:type="dxa"/>
            <w:vAlign w:val="top"/>
            <w:vMerge w:val="continue"/>
            <w:tcBorders>
              <w:top w:val="nil"/>
              <w:bottom w:val="nil"/>
            </w:tcBorders>
          </w:tcPr>
          <w:p>
            <w:pPr>
              <w:rPr>
                <w:rFonts w:ascii="Arial"/>
                <w:sz w:val="21"/>
              </w:rPr>
            </w:pPr>
            <w:r/>
          </w:p>
        </w:tc>
        <w:tc>
          <w:tcPr>
            <w:tcW w:w="645" w:type="dxa"/>
            <w:vAlign w:val="top"/>
            <w:vMerge w:val="continue"/>
            <w:tcBorders>
              <w:top w:val="nil"/>
              <w:bottom w:val="nil"/>
            </w:tcBorders>
          </w:tcPr>
          <w:p>
            <w:pPr>
              <w:rPr>
                <w:rFonts w:ascii="Arial"/>
                <w:sz w:val="21"/>
              </w:rPr>
            </w:pPr>
            <w:r/>
          </w:p>
        </w:tc>
      </w:tr>
      <w:tr>
        <w:trPr>
          <w:trHeight w:val="549" w:hRule="atLeast"/>
        </w:trPr>
        <w:tc>
          <w:tcPr>
            <w:tcW w:w="464" w:type="dxa"/>
            <w:vAlign w:val="top"/>
            <w:vMerge w:val="continue"/>
            <w:tcBorders>
              <w:top w:val="nil"/>
              <w:bottom w:val="nil"/>
            </w:tcBorders>
          </w:tcPr>
          <w:p>
            <w:pPr>
              <w:rPr>
                <w:rFonts w:ascii="Arial"/>
                <w:sz w:val="21"/>
              </w:rPr>
            </w:pPr>
            <w:r/>
          </w:p>
        </w:tc>
        <w:tc>
          <w:tcPr>
            <w:tcW w:w="1729" w:type="dxa"/>
            <w:vAlign w:val="top"/>
            <w:vMerge w:val="continue"/>
            <w:tcBorders>
              <w:top w:val="nil"/>
              <w:bottom w:val="nil"/>
            </w:tcBorders>
          </w:tcPr>
          <w:p>
            <w:pPr>
              <w:rPr>
                <w:rFonts w:ascii="Arial"/>
                <w:sz w:val="21"/>
              </w:rPr>
            </w:pPr>
            <w:r/>
          </w:p>
        </w:tc>
        <w:tc>
          <w:tcPr>
            <w:tcW w:w="360" w:type="dxa"/>
            <w:vAlign w:val="top"/>
            <w:vMerge w:val="continue"/>
            <w:tcBorders>
              <w:top w:val="nil"/>
              <w:bottom w:val="nil"/>
            </w:tcBorders>
          </w:tcPr>
          <w:p>
            <w:pPr>
              <w:rPr>
                <w:rFonts w:ascii="Arial"/>
                <w:sz w:val="21"/>
              </w:rPr>
            </w:pPr>
            <w:r/>
          </w:p>
        </w:tc>
        <w:tc>
          <w:tcPr>
            <w:tcW w:w="10163" w:type="dxa"/>
            <w:vAlign w:val="top"/>
          </w:tcPr>
          <w:p>
            <w:pPr>
              <w:pStyle w:val="TableText"/>
              <w:ind w:left="11" w:right="261"/>
              <w:spacing w:before="52" w:line="214" w:lineRule="auto"/>
              <w:rPr>
                <w:sz w:val="21"/>
                <w:szCs w:val="21"/>
              </w:rPr>
            </w:pPr>
            <w:r>
              <w:rPr>
                <w:sz w:val="21"/>
                <w:szCs w:val="21"/>
                <w:spacing w:val="2"/>
              </w:rPr>
              <w:t>生猪分割区：位于生猪屠宰车间中部，密闭框架结构，层高约H=7.5m,面积约820m²,内设分割输送机、肥膘</w:t>
            </w:r>
            <w:r>
              <w:rPr>
                <w:sz w:val="21"/>
                <w:szCs w:val="21"/>
                <w:spacing w:val="7"/>
              </w:rPr>
              <w:t xml:space="preserve"> </w:t>
            </w:r>
            <w:r>
              <w:rPr>
                <w:sz w:val="21"/>
                <w:szCs w:val="21"/>
                <w:spacing w:val="-1"/>
              </w:rPr>
              <w:t>加工设备。</w:t>
            </w:r>
          </w:p>
        </w:tc>
        <w:tc>
          <w:tcPr>
            <w:tcW w:w="799" w:type="dxa"/>
            <w:vAlign w:val="top"/>
            <w:vMerge w:val="continue"/>
            <w:tcBorders>
              <w:top w:val="nil"/>
              <w:bottom w:val="nil"/>
            </w:tcBorders>
          </w:tcPr>
          <w:p>
            <w:pPr>
              <w:rPr>
                <w:rFonts w:ascii="Arial"/>
                <w:sz w:val="21"/>
              </w:rPr>
            </w:pPr>
            <w:r/>
          </w:p>
        </w:tc>
        <w:tc>
          <w:tcPr>
            <w:tcW w:w="1169" w:type="dxa"/>
            <w:vAlign w:val="top"/>
            <w:vMerge w:val="continue"/>
            <w:tcBorders>
              <w:top w:val="nil"/>
              <w:bottom w:val="nil"/>
            </w:tcBorders>
          </w:tcPr>
          <w:p>
            <w:pPr>
              <w:rPr>
                <w:rFonts w:ascii="Arial"/>
                <w:sz w:val="21"/>
              </w:rPr>
            </w:pPr>
            <w:r/>
          </w:p>
        </w:tc>
        <w:tc>
          <w:tcPr>
            <w:tcW w:w="645" w:type="dxa"/>
            <w:vAlign w:val="top"/>
            <w:vMerge w:val="continue"/>
            <w:tcBorders>
              <w:top w:val="nil"/>
              <w:bottom w:val="nil"/>
            </w:tcBorders>
          </w:tcPr>
          <w:p>
            <w:pPr>
              <w:rPr>
                <w:rFonts w:ascii="Arial"/>
                <w:sz w:val="21"/>
              </w:rPr>
            </w:pPr>
            <w:r/>
          </w:p>
        </w:tc>
      </w:tr>
      <w:tr>
        <w:trPr>
          <w:trHeight w:val="280" w:hRule="atLeast"/>
        </w:trPr>
        <w:tc>
          <w:tcPr>
            <w:tcW w:w="464" w:type="dxa"/>
            <w:vAlign w:val="top"/>
            <w:vMerge w:val="continue"/>
            <w:tcBorders>
              <w:top w:val="nil"/>
              <w:bottom w:val="nil"/>
            </w:tcBorders>
          </w:tcPr>
          <w:p>
            <w:pPr>
              <w:rPr>
                <w:rFonts w:ascii="Arial"/>
                <w:sz w:val="21"/>
              </w:rPr>
            </w:pPr>
            <w:r/>
          </w:p>
        </w:tc>
        <w:tc>
          <w:tcPr>
            <w:tcW w:w="1729" w:type="dxa"/>
            <w:vAlign w:val="top"/>
            <w:vMerge w:val="continue"/>
            <w:tcBorders>
              <w:top w:val="nil"/>
            </w:tcBorders>
          </w:tcPr>
          <w:p>
            <w:pPr>
              <w:rPr>
                <w:rFonts w:ascii="Arial"/>
                <w:sz w:val="21"/>
              </w:rPr>
            </w:pPr>
            <w:r/>
          </w:p>
        </w:tc>
        <w:tc>
          <w:tcPr>
            <w:tcW w:w="360" w:type="dxa"/>
            <w:vAlign w:val="top"/>
            <w:vMerge w:val="continue"/>
            <w:tcBorders>
              <w:top w:val="nil"/>
            </w:tcBorders>
          </w:tcPr>
          <w:p>
            <w:pPr>
              <w:rPr>
                <w:rFonts w:ascii="Arial"/>
                <w:sz w:val="21"/>
              </w:rPr>
            </w:pPr>
            <w:r/>
          </w:p>
        </w:tc>
        <w:tc>
          <w:tcPr>
            <w:tcW w:w="10163" w:type="dxa"/>
            <w:vAlign w:val="top"/>
          </w:tcPr>
          <w:p>
            <w:pPr>
              <w:pStyle w:val="TableText"/>
              <w:ind w:left="571"/>
              <w:spacing w:before="44" w:line="198" w:lineRule="auto"/>
              <w:rPr>
                <w:sz w:val="21"/>
                <w:szCs w:val="21"/>
              </w:rPr>
            </w:pPr>
            <w:r>
              <w:rPr>
                <w:sz w:val="21"/>
                <w:szCs w:val="21"/>
              </w:rPr>
              <w:t>冷藏库、速冻库、包装间、清洗间、包装材料间、预冷间、车辆消毒间磨刀消毒间、</w:t>
            </w:r>
            <w:r>
              <w:rPr>
                <w:sz w:val="21"/>
                <w:szCs w:val="21"/>
                <w:spacing w:val="-1"/>
              </w:rPr>
              <w:t>冻盘清洗间。</w:t>
            </w:r>
          </w:p>
        </w:tc>
        <w:tc>
          <w:tcPr>
            <w:tcW w:w="799" w:type="dxa"/>
            <w:vAlign w:val="top"/>
            <w:vMerge w:val="continue"/>
            <w:tcBorders>
              <w:top w:val="nil"/>
              <w:bottom w:val="nil"/>
            </w:tcBorders>
          </w:tcPr>
          <w:p>
            <w:pPr>
              <w:rPr>
                <w:rFonts w:ascii="Arial"/>
                <w:sz w:val="21"/>
              </w:rPr>
            </w:pPr>
            <w:r/>
          </w:p>
        </w:tc>
        <w:tc>
          <w:tcPr>
            <w:tcW w:w="1169" w:type="dxa"/>
            <w:vAlign w:val="top"/>
            <w:vMerge w:val="continue"/>
            <w:tcBorders>
              <w:top w:val="nil"/>
              <w:bottom w:val="nil"/>
            </w:tcBorders>
          </w:tcPr>
          <w:p>
            <w:pPr>
              <w:rPr>
                <w:rFonts w:ascii="Arial"/>
                <w:sz w:val="21"/>
              </w:rPr>
            </w:pPr>
            <w:r/>
          </w:p>
        </w:tc>
        <w:tc>
          <w:tcPr>
            <w:tcW w:w="645" w:type="dxa"/>
            <w:vAlign w:val="top"/>
            <w:vMerge w:val="continue"/>
            <w:tcBorders>
              <w:top w:val="nil"/>
            </w:tcBorders>
          </w:tcPr>
          <w:p>
            <w:pPr>
              <w:rPr>
                <w:rFonts w:ascii="Arial"/>
                <w:sz w:val="21"/>
              </w:rPr>
            </w:pPr>
            <w:r/>
          </w:p>
        </w:tc>
      </w:tr>
      <w:tr>
        <w:trPr>
          <w:trHeight w:val="539" w:hRule="atLeast"/>
        </w:trPr>
        <w:tc>
          <w:tcPr>
            <w:tcW w:w="464" w:type="dxa"/>
            <w:vAlign w:val="top"/>
            <w:vMerge w:val="continue"/>
            <w:tcBorders>
              <w:top w:val="nil"/>
              <w:bottom w:val="nil"/>
            </w:tcBorders>
          </w:tcPr>
          <w:p>
            <w:pPr>
              <w:rPr>
                <w:rFonts w:ascii="Arial"/>
                <w:sz w:val="21"/>
              </w:rPr>
            </w:pPr>
            <w:r/>
          </w:p>
        </w:tc>
        <w:tc>
          <w:tcPr>
            <w:tcW w:w="1729" w:type="dxa"/>
            <w:vAlign w:val="top"/>
            <w:vMerge w:val="restart"/>
            <w:tcBorders>
              <w:bottom w:val="nil"/>
            </w:tcBorders>
          </w:tcPr>
          <w:p>
            <w:pPr>
              <w:spacing w:line="326" w:lineRule="auto"/>
              <w:rPr>
                <w:rFonts w:ascii="Arial"/>
                <w:sz w:val="21"/>
              </w:rPr>
            </w:pPr>
            <w:r/>
          </w:p>
          <w:p>
            <w:pPr>
              <w:spacing w:line="327" w:lineRule="auto"/>
              <w:rPr>
                <w:rFonts w:ascii="Arial"/>
                <w:sz w:val="21"/>
              </w:rPr>
            </w:pPr>
            <w:r/>
          </w:p>
          <w:p>
            <w:pPr>
              <w:pStyle w:val="TableText"/>
              <w:ind w:left="10"/>
              <w:spacing w:before="68" w:line="219" w:lineRule="auto"/>
              <w:rPr>
                <w:sz w:val="21"/>
                <w:szCs w:val="21"/>
              </w:rPr>
            </w:pPr>
            <w:r>
              <w:rPr>
                <w:sz w:val="21"/>
                <w:szCs w:val="21"/>
                <w:spacing w:val="-1"/>
              </w:rPr>
              <w:t>肉牛屠宰车间：</w:t>
            </w:r>
          </w:p>
          <w:p>
            <w:pPr>
              <w:pStyle w:val="TableText"/>
              <w:ind w:left="10" w:right="14"/>
              <w:spacing w:before="25" w:line="260" w:lineRule="auto"/>
              <w:rPr>
                <w:sz w:val="21"/>
                <w:szCs w:val="21"/>
              </w:rPr>
            </w:pPr>
            <w:r>
              <w:rPr>
                <w:sz w:val="21"/>
                <w:szCs w:val="21"/>
                <w:spacing w:val="21"/>
              </w:rPr>
              <w:t>H=8</w:t>
            </w:r>
            <w:r>
              <w:rPr>
                <w:sz w:val="21"/>
                <w:szCs w:val="21"/>
                <w:spacing w:val="-55"/>
              </w:rPr>
              <w:t xml:space="preserve"> </w:t>
            </w:r>
            <w:r>
              <w:rPr>
                <w:sz w:val="21"/>
                <w:szCs w:val="21"/>
                <w:spacing w:val="21"/>
              </w:rPr>
              <w:t>.</w:t>
            </w:r>
            <w:r>
              <w:rPr>
                <w:sz w:val="21"/>
                <w:szCs w:val="21"/>
                <w:spacing w:val="-59"/>
              </w:rPr>
              <w:t xml:space="preserve"> </w:t>
            </w:r>
            <w:r>
              <w:rPr>
                <w:sz w:val="21"/>
                <w:szCs w:val="21"/>
                <w:spacing w:val="21"/>
              </w:rPr>
              <w:t>3m,1F,轻</w:t>
            </w:r>
            <w:r>
              <w:rPr>
                <w:sz w:val="21"/>
                <w:szCs w:val="21"/>
              </w:rPr>
              <w:t xml:space="preserve">  </w:t>
            </w:r>
            <w:r>
              <w:rPr>
                <w:sz w:val="21"/>
                <w:szCs w:val="21"/>
                <w:spacing w:val="1"/>
              </w:rPr>
              <w:t>钢结构，建筑面积</w:t>
            </w:r>
            <w:r>
              <w:rPr>
                <w:sz w:val="21"/>
                <w:szCs w:val="21"/>
                <w:spacing w:val="4"/>
              </w:rPr>
              <w:t xml:space="preserve"> </w:t>
            </w:r>
            <w:r>
              <w:rPr>
                <w:sz w:val="21"/>
                <w:szCs w:val="21"/>
                <w:spacing w:val="-6"/>
              </w:rPr>
              <w:t>1775m²。</w:t>
            </w:r>
          </w:p>
        </w:tc>
        <w:tc>
          <w:tcPr>
            <w:tcW w:w="10523" w:type="dxa"/>
            <w:vAlign w:val="top"/>
            <w:gridSpan w:val="2"/>
          </w:tcPr>
          <w:p>
            <w:pPr>
              <w:pStyle w:val="TableText"/>
              <w:ind w:left="11" w:right="192"/>
              <w:spacing w:before="51" w:line="210" w:lineRule="auto"/>
              <w:rPr>
                <w:sz w:val="21"/>
                <w:szCs w:val="21"/>
              </w:rPr>
            </w:pPr>
            <w:r>
              <w:rPr>
                <w:sz w:val="21"/>
                <w:szCs w:val="21"/>
                <w:spacing w:val="2"/>
              </w:rPr>
              <w:t>肉牛待宰圈：位于肉牛屠宰车间内北侧，密闭钢结构，层高H=8.3m,面积约750m²,用于待宰肉牛暂养，存栏能力</w:t>
            </w:r>
            <w:r>
              <w:rPr>
                <w:sz w:val="21"/>
                <w:szCs w:val="21"/>
                <w:spacing w:val="12"/>
              </w:rPr>
              <w:t xml:space="preserve"> </w:t>
            </w:r>
            <w:r>
              <w:rPr>
                <w:sz w:val="21"/>
                <w:szCs w:val="21"/>
                <w:spacing w:val="-1"/>
              </w:rPr>
              <w:t>160头/d,存放时间小于12h。</w:t>
            </w:r>
          </w:p>
        </w:tc>
        <w:tc>
          <w:tcPr>
            <w:tcW w:w="799" w:type="dxa"/>
            <w:vAlign w:val="top"/>
            <w:vMerge w:val="continue"/>
            <w:tcBorders>
              <w:top w:val="nil"/>
              <w:bottom w:val="nil"/>
            </w:tcBorders>
          </w:tcPr>
          <w:p>
            <w:pPr>
              <w:rPr>
                <w:rFonts w:ascii="Arial"/>
                <w:sz w:val="21"/>
              </w:rPr>
            </w:pPr>
            <w:r/>
          </w:p>
        </w:tc>
        <w:tc>
          <w:tcPr>
            <w:tcW w:w="1169" w:type="dxa"/>
            <w:vAlign w:val="top"/>
            <w:vMerge w:val="continue"/>
            <w:tcBorders>
              <w:top w:val="nil"/>
              <w:bottom w:val="nil"/>
            </w:tcBorders>
          </w:tcPr>
          <w:p>
            <w:pPr>
              <w:rPr>
                <w:rFonts w:ascii="Arial"/>
                <w:sz w:val="21"/>
              </w:rPr>
            </w:pPr>
            <w:r/>
          </w:p>
        </w:tc>
        <w:tc>
          <w:tcPr>
            <w:tcW w:w="645" w:type="dxa"/>
            <w:vAlign w:val="top"/>
            <w:vMerge w:val="restart"/>
            <w:tcBorders>
              <w:bottom w:val="nil"/>
            </w:tcBorders>
          </w:tcPr>
          <w:p>
            <w:pPr>
              <w:spacing w:line="321" w:lineRule="auto"/>
              <w:rPr>
                <w:rFonts w:ascii="Arial"/>
                <w:sz w:val="21"/>
              </w:rPr>
            </w:pPr>
            <w:r/>
          </w:p>
          <w:p>
            <w:pPr>
              <w:spacing w:line="322" w:lineRule="auto"/>
              <w:rPr>
                <w:rFonts w:ascii="Arial"/>
                <w:sz w:val="21"/>
              </w:rPr>
            </w:pPr>
            <w:r/>
          </w:p>
          <w:p>
            <w:pPr>
              <w:pStyle w:val="TableText"/>
              <w:spacing w:before="68" w:line="219" w:lineRule="auto"/>
              <w:jc w:val="right"/>
              <w:rPr>
                <w:sz w:val="21"/>
                <w:szCs w:val="21"/>
              </w:rPr>
            </w:pPr>
            <w:r>
              <w:rPr>
                <w:sz w:val="21"/>
                <w:szCs w:val="21"/>
                <w:spacing w:val="-6"/>
              </w:rPr>
              <w:t>利旧车</w:t>
            </w:r>
          </w:p>
          <w:p>
            <w:pPr>
              <w:pStyle w:val="TableText"/>
              <w:spacing w:before="31" w:line="220" w:lineRule="auto"/>
              <w:jc w:val="right"/>
              <w:rPr>
                <w:sz w:val="21"/>
                <w:szCs w:val="21"/>
              </w:rPr>
            </w:pPr>
            <w:r>
              <w:rPr>
                <w:sz w:val="21"/>
                <w:szCs w:val="21"/>
                <w:spacing w:val="-6"/>
              </w:rPr>
              <w:t>间；新</w:t>
            </w:r>
          </w:p>
          <w:p>
            <w:pPr>
              <w:pStyle w:val="TableText"/>
              <w:ind w:left="208" w:hanging="188"/>
              <w:spacing w:before="19" w:line="249" w:lineRule="auto"/>
              <w:rPr>
                <w:sz w:val="21"/>
                <w:szCs w:val="21"/>
              </w:rPr>
            </w:pPr>
            <w:r>
              <w:rPr>
                <w:sz w:val="21"/>
                <w:szCs w:val="21"/>
                <w:spacing w:val="-6"/>
              </w:rPr>
              <w:t>建生产</w:t>
            </w:r>
            <w:r>
              <w:rPr>
                <w:sz w:val="21"/>
                <w:szCs w:val="21"/>
                <w:spacing w:val="1"/>
              </w:rPr>
              <w:t xml:space="preserve"> </w:t>
            </w:r>
            <w:r>
              <w:rPr>
                <w:sz w:val="21"/>
                <w:szCs w:val="21"/>
              </w:rPr>
              <w:t>线</w:t>
            </w:r>
          </w:p>
        </w:tc>
      </w:tr>
      <w:tr>
        <w:trPr>
          <w:trHeight w:val="1628" w:hRule="atLeast"/>
        </w:trPr>
        <w:tc>
          <w:tcPr>
            <w:tcW w:w="464" w:type="dxa"/>
            <w:vAlign w:val="top"/>
            <w:vMerge w:val="continue"/>
            <w:tcBorders>
              <w:top w:val="nil"/>
              <w:bottom w:val="nil"/>
            </w:tcBorders>
          </w:tcPr>
          <w:p>
            <w:pPr>
              <w:rPr>
                <w:rFonts w:ascii="Arial"/>
                <w:sz w:val="21"/>
              </w:rPr>
            </w:pPr>
            <w:r/>
          </w:p>
        </w:tc>
        <w:tc>
          <w:tcPr>
            <w:tcW w:w="1729" w:type="dxa"/>
            <w:vAlign w:val="top"/>
            <w:vMerge w:val="continue"/>
            <w:tcBorders>
              <w:top w:val="nil"/>
              <w:bottom w:val="nil"/>
            </w:tcBorders>
          </w:tcPr>
          <w:p>
            <w:pPr>
              <w:rPr>
                <w:rFonts w:ascii="Arial"/>
                <w:sz w:val="21"/>
              </w:rPr>
            </w:pPr>
            <w:r/>
          </w:p>
        </w:tc>
        <w:tc>
          <w:tcPr>
            <w:tcW w:w="10523" w:type="dxa"/>
            <w:vAlign w:val="top"/>
            <w:gridSpan w:val="2"/>
          </w:tcPr>
          <w:p>
            <w:pPr>
              <w:pStyle w:val="TableText"/>
              <w:ind w:left="11"/>
              <w:spacing w:before="64" w:line="234" w:lineRule="auto"/>
              <w:rPr>
                <w:sz w:val="21"/>
                <w:szCs w:val="21"/>
              </w:rPr>
            </w:pPr>
            <w:r>
              <w:rPr>
                <w:sz w:val="21"/>
                <w:szCs w:val="21"/>
              </w:rPr>
              <w:t>肉牛屠宰区、肉牛分割区、副产品处理区、病体暂存间、皮张暂存间、检疫室、头蹄暂存间、配电间、排酸间，层 </w:t>
            </w:r>
            <w:r>
              <w:rPr>
                <w:sz w:val="21"/>
                <w:szCs w:val="21"/>
                <w:spacing w:val="4"/>
              </w:rPr>
              <w:t>高H=8.3m,面积870m²。肉牛屠宰区位于肉牛屠宰车间</w:t>
            </w:r>
            <w:r>
              <w:rPr>
                <w:sz w:val="21"/>
                <w:szCs w:val="21"/>
                <w:spacing w:val="3"/>
              </w:rPr>
              <w:t>东侧，面积450m²,设置机械化屠宰生产线1条，屠宰能力为</w:t>
            </w:r>
            <w:r>
              <w:rPr>
                <w:sz w:val="21"/>
                <w:szCs w:val="21"/>
              </w:rPr>
              <w:t xml:space="preserve">  </w:t>
            </w:r>
            <w:r>
              <w:rPr>
                <w:sz w:val="21"/>
                <w:szCs w:val="21"/>
              </w:rPr>
              <w:t>旧最大屠宰肉牛量100头/d,包括电麻、屠宰、放血、烫毛、脱毛等工艺；肉牛分割区位于肉牛屠宰车间</w:t>
            </w:r>
            <w:r>
              <w:rPr>
                <w:sz w:val="21"/>
                <w:szCs w:val="21"/>
                <w:spacing w:val="-1"/>
              </w:rPr>
              <w:t>中侧，面</w:t>
            </w:r>
          </w:p>
          <w:p>
            <w:pPr>
              <w:pStyle w:val="TableText"/>
              <w:ind w:left="11"/>
              <w:spacing w:line="221" w:lineRule="auto"/>
              <w:rPr>
                <w:sz w:val="21"/>
                <w:szCs w:val="21"/>
              </w:rPr>
            </w:pPr>
            <w:r>
              <w:rPr>
                <w:sz w:val="21"/>
                <w:szCs w:val="21"/>
              </w:rPr>
              <w:t>积282m²,内设分割包装生产线1条，对胴体进行小毛处理、开膛去脏、内脏处理、分割处理等工艺；副产品处理区</w:t>
            </w:r>
            <w:r>
              <w:rPr>
                <w:sz w:val="21"/>
                <w:szCs w:val="21"/>
                <w:spacing w:val="9"/>
              </w:rPr>
              <w:t xml:space="preserve">  </w:t>
            </w:r>
            <w:r>
              <w:rPr>
                <w:sz w:val="21"/>
                <w:szCs w:val="21"/>
                <w:spacing w:val="2"/>
              </w:rPr>
              <w:t>位于肉牛屠宰车间北侧，分为红内脏处理区和白内脏处理区面积63m²,用于处理屠宰后的内脏，主要为清洗包装、</w:t>
            </w:r>
            <w:r>
              <w:rPr>
                <w:sz w:val="21"/>
                <w:szCs w:val="21"/>
                <w:spacing w:val="1"/>
              </w:rPr>
              <w:t xml:space="preserve"> </w:t>
            </w:r>
            <w:r>
              <w:rPr>
                <w:sz w:val="21"/>
                <w:szCs w:val="21"/>
                <w:spacing w:val="-3"/>
              </w:rPr>
              <w:t>不涉及深加工。</w:t>
            </w:r>
          </w:p>
        </w:tc>
        <w:tc>
          <w:tcPr>
            <w:tcW w:w="799" w:type="dxa"/>
            <w:vAlign w:val="top"/>
            <w:vMerge w:val="continue"/>
            <w:tcBorders>
              <w:top w:val="nil"/>
              <w:bottom w:val="nil"/>
            </w:tcBorders>
          </w:tcPr>
          <w:p>
            <w:pPr>
              <w:rPr>
                <w:rFonts w:ascii="Arial"/>
                <w:sz w:val="21"/>
              </w:rPr>
            </w:pPr>
            <w:r/>
          </w:p>
        </w:tc>
        <w:tc>
          <w:tcPr>
            <w:tcW w:w="1169" w:type="dxa"/>
            <w:vAlign w:val="top"/>
            <w:vMerge w:val="continue"/>
            <w:tcBorders>
              <w:top w:val="nil"/>
              <w:bottom w:val="nil"/>
            </w:tcBorders>
          </w:tcPr>
          <w:p>
            <w:pPr>
              <w:rPr>
                <w:rFonts w:ascii="Arial"/>
                <w:sz w:val="21"/>
              </w:rPr>
            </w:pPr>
            <w:r/>
          </w:p>
        </w:tc>
        <w:tc>
          <w:tcPr>
            <w:tcW w:w="645" w:type="dxa"/>
            <w:vAlign w:val="top"/>
            <w:vMerge w:val="continue"/>
            <w:tcBorders>
              <w:top w:val="nil"/>
              <w:bottom w:val="nil"/>
            </w:tcBorders>
          </w:tcPr>
          <w:p>
            <w:pPr>
              <w:rPr>
                <w:rFonts w:ascii="Arial"/>
                <w:sz w:val="21"/>
              </w:rPr>
            </w:pPr>
            <w:r/>
          </w:p>
        </w:tc>
      </w:tr>
      <w:tr>
        <w:trPr>
          <w:trHeight w:val="299" w:hRule="atLeast"/>
        </w:trPr>
        <w:tc>
          <w:tcPr>
            <w:tcW w:w="464" w:type="dxa"/>
            <w:vAlign w:val="top"/>
            <w:vMerge w:val="continue"/>
            <w:tcBorders>
              <w:top w:val="nil"/>
            </w:tcBorders>
          </w:tcPr>
          <w:p>
            <w:pPr>
              <w:rPr>
                <w:rFonts w:ascii="Arial"/>
                <w:sz w:val="21"/>
              </w:rPr>
            </w:pPr>
            <w:r/>
          </w:p>
        </w:tc>
        <w:tc>
          <w:tcPr>
            <w:tcW w:w="1729" w:type="dxa"/>
            <w:vAlign w:val="top"/>
            <w:vMerge w:val="continue"/>
            <w:tcBorders>
              <w:top w:val="nil"/>
            </w:tcBorders>
          </w:tcPr>
          <w:p>
            <w:pPr>
              <w:rPr>
                <w:rFonts w:ascii="Arial"/>
                <w:sz w:val="21"/>
              </w:rPr>
            </w:pPr>
            <w:r/>
          </w:p>
        </w:tc>
        <w:tc>
          <w:tcPr>
            <w:tcW w:w="10523" w:type="dxa"/>
            <w:vAlign w:val="top"/>
            <w:gridSpan w:val="2"/>
          </w:tcPr>
          <w:p>
            <w:pPr>
              <w:pStyle w:val="TableText"/>
              <w:ind w:left="2731"/>
              <w:spacing w:before="56" w:line="204" w:lineRule="auto"/>
              <w:rPr>
                <w:sz w:val="21"/>
                <w:szCs w:val="21"/>
              </w:rPr>
            </w:pPr>
            <w:r>
              <w:rPr>
                <w:sz w:val="21"/>
                <w:szCs w:val="21"/>
                <w:spacing w:val="1"/>
              </w:rPr>
              <w:t>鲜销大厅、发货室、淋浴间、卫生间、更衣</w:t>
            </w:r>
            <w:r>
              <w:rPr>
                <w:sz w:val="21"/>
                <w:szCs w:val="21"/>
              </w:rPr>
              <w:t>间、洗手间</w:t>
            </w:r>
          </w:p>
        </w:tc>
        <w:tc>
          <w:tcPr>
            <w:tcW w:w="799" w:type="dxa"/>
            <w:vAlign w:val="top"/>
            <w:vMerge w:val="continue"/>
            <w:tcBorders>
              <w:top w:val="nil"/>
              <w:bottom w:val="nil"/>
            </w:tcBorders>
          </w:tcPr>
          <w:p>
            <w:pPr>
              <w:rPr>
                <w:rFonts w:ascii="Arial"/>
                <w:sz w:val="21"/>
              </w:rPr>
            </w:pPr>
            <w:r/>
          </w:p>
        </w:tc>
        <w:tc>
          <w:tcPr>
            <w:tcW w:w="1169" w:type="dxa"/>
            <w:vAlign w:val="top"/>
            <w:vMerge w:val="continue"/>
            <w:tcBorders>
              <w:top w:val="nil"/>
            </w:tcBorders>
          </w:tcPr>
          <w:p>
            <w:pPr>
              <w:rPr>
                <w:rFonts w:ascii="Arial"/>
                <w:sz w:val="21"/>
              </w:rPr>
            </w:pPr>
            <w:r/>
          </w:p>
        </w:tc>
        <w:tc>
          <w:tcPr>
            <w:tcW w:w="645" w:type="dxa"/>
            <w:vAlign w:val="top"/>
            <w:vMerge w:val="continue"/>
            <w:tcBorders>
              <w:top w:val="nil"/>
            </w:tcBorders>
          </w:tcPr>
          <w:p>
            <w:pPr>
              <w:rPr>
                <w:rFonts w:ascii="Arial"/>
                <w:sz w:val="21"/>
              </w:rPr>
            </w:pPr>
            <w:r/>
          </w:p>
        </w:tc>
      </w:tr>
      <w:tr>
        <w:trPr>
          <w:trHeight w:val="265" w:hRule="atLeast"/>
        </w:trPr>
        <w:tc>
          <w:tcPr>
            <w:tcW w:w="464" w:type="dxa"/>
            <w:vAlign w:val="top"/>
          </w:tcPr>
          <w:p>
            <w:pPr>
              <w:pStyle w:val="TableText"/>
              <w:ind w:left="14"/>
              <w:spacing w:before="40" w:line="189" w:lineRule="auto"/>
              <w:rPr>
                <w:sz w:val="21"/>
                <w:szCs w:val="21"/>
              </w:rPr>
            </w:pPr>
            <w:r>
              <w:rPr>
                <w:sz w:val="21"/>
                <w:szCs w:val="21"/>
                <w:spacing w:val="6"/>
              </w:rPr>
              <w:t>辅助</w:t>
            </w:r>
          </w:p>
        </w:tc>
        <w:tc>
          <w:tcPr>
            <w:tcW w:w="1729" w:type="dxa"/>
            <w:vAlign w:val="top"/>
          </w:tcPr>
          <w:p>
            <w:pPr>
              <w:pStyle w:val="TableText"/>
              <w:ind w:left="240"/>
              <w:spacing w:before="40" w:line="189" w:lineRule="auto"/>
              <w:rPr>
                <w:sz w:val="21"/>
                <w:szCs w:val="21"/>
              </w:rPr>
            </w:pPr>
            <w:r>
              <w:rPr>
                <w:sz w:val="21"/>
                <w:szCs w:val="21"/>
                <w:spacing w:val="2"/>
              </w:rPr>
              <w:t>蒸汽发生器房</w:t>
            </w:r>
          </w:p>
        </w:tc>
        <w:tc>
          <w:tcPr>
            <w:tcW w:w="10523" w:type="dxa"/>
            <w:vAlign w:val="top"/>
            <w:gridSpan w:val="2"/>
          </w:tcPr>
          <w:p>
            <w:pPr>
              <w:pStyle w:val="TableText"/>
              <w:ind w:left="831"/>
              <w:spacing w:before="38" w:line="190" w:lineRule="auto"/>
              <w:rPr>
                <w:sz w:val="21"/>
                <w:szCs w:val="21"/>
              </w:rPr>
            </w:pPr>
            <w:r>
              <w:rPr>
                <w:sz w:val="21"/>
                <w:szCs w:val="21"/>
              </w:rPr>
              <w:t>蒸汽发生器房内设1.5t/h蒸汽发生器1台，蒸汽发生器配套设有1套软水制备系统，供</w:t>
            </w:r>
            <w:r>
              <w:rPr>
                <w:sz w:val="21"/>
                <w:szCs w:val="21"/>
                <w:spacing w:val="-1"/>
              </w:rPr>
              <w:t>生产用蒸汽。</w:t>
            </w:r>
          </w:p>
        </w:tc>
        <w:tc>
          <w:tcPr>
            <w:tcW w:w="799" w:type="dxa"/>
            <w:vAlign w:val="top"/>
            <w:vMerge w:val="continue"/>
            <w:tcBorders>
              <w:top w:val="nil"/>
            </w:tcBorders>
          </w:tcPr>
          <w:p>
            <w:pPr>
              <w:rPr>
                <w:rFonts w:ascii="Arial"/>
                <w:sz w:val="21"/>
              </w:rPr>
            </w:pPr>
            <w:r/>
          </w:p>
        </w:tc>
        <w:tc>
          <w:tcPr>
            <w:tcW w:w="1169" w:type="dxa"/>
            <w:vAlign w:val="top"/>
          </w:tcPr>
          <w:p>
            <w:pPr>
              <w:pStyle w:val="TableText"/>
              <w:ind w:left="159"/>
              <w:spacing w:before="40" w:line="189" w:lineRule="auto"/>
              <w:rPr>
                <w:sz w:val="21"/>
                <w:szCs w:val="21"/>
              </w:rPr>
            </w:pPr>
            <w:r>
              <w:rPr>
                <w:sz w:val="21"/>
                <w:szCs w:val="21"/>
                <w:spacing w:val="-2"/>
              </w:rPr>
              <w:t>废气、废</w:t>
            </w:r>
          </w:p>
        </w:tc>
        <w:tc>
          <w:tcPr>
            <w:tcW w:w="645" w:type="dxa"/>
            <w:vAlign w:val="top"/>
          </w:tcPr>
          <w:p>
            <w:pPr>
              <w:pStyle w:val="TableText"/>
              <w:spacing w:before="40" w:line="189" w:lineRule="auto"/>
              <w:jc w:val="right"/>
              <w:rPr>
                <w:sz w:val="21"/>
                <w:szCs w:val="21"/>
              </w:rPr>
            </w:pPr>
            <w:r>
              <w:rPr>
                <w:sz w:val="21"/>
                <w:szCs w:val="21"/>
                <w:color w:val="606050"/>
                <w:spacing w:val="-6"/>
              </w:rPr>
              <w:t>拆除后</w:t>
            </w:r>
          </w:p>
        </w:tc>
      </w:tr>
    </w:tbl>
    <w:p>
      <w:pPr>
        <w:pStyle w:val="BodyText"/>
        <w:rPr/>
      </w:pPr>
      <w:r/>
    </w:p>
    <w:p>
      <w:pPr>
        <w:sectPr>
          <w:headerReference w:type="default" r:id="rId201"/>
          <w:footerReference w:type="default" r:id="rId202"/>
          <w:pgSz w:w="16840" w:h="11910"/>
          <w:pgMar w:top="1210" w:right="784" w:bottom="961" w:left="715" w:header="902" w:footer="702" w:gutter="0"/>
        </w:sectPr>
        <w:rPr/>
      </w:pPr>
    </w:p>
    <w:p>
      <w:pPr>
        <w:spacing w:before="52"/>
        <w:rPr/>
      </w:pPr>
      <w:r/>
    </w:p>
    <w:p>
      <w:pPr>
        <w:spacing w:before="52"/>
        <w:rPr/>
      </w:pPr>
      <w:r/>
    </w:p>
    <w:tbl>
      <w:tblPr>
        <w:tblStyle w:val="TableNormal"/>
        <w:tblW w:w="153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65"/>
        <w:gridCol w:w="550"/>
        <w:gridCol w:w="1159"/>
        <w:gridCol w:w="10543"/>
        <w:gridCol w:w="799"/>
        <w:gridCol w:w="1159"/>
        <w:gridCol w:w="644"/>
      </w:tblGrid>
      <w:tr>
        <w:trPr>
          <w:trHeight w:val="274" w:hRule="atLeast"/>
        </w:trPr>
        <w:tc>
          <w:tcPr>
            <w:tcW w:w="465" w:type="dxa"/>
            <w:vAlign w:val="top"/>
            <w:vMerge w:val="restart"/>
            <w:tcBorders>
              <w:bottom w:val="nil"/>
            </w:tcBorders>
          </w:tcPr>
          <w:p>
            <w:pPr>
              <w:pStyle w:val="TableText"/>
              <w:ind w:left="14"/>
              <w:spacing w:before="14" w:line="220" w:lineRule="auto"/>
              <w:rPr>
                <w:sz w:val="21"/>
                <w:szCs w:val="21"/>
              </w:rPr>
            </w:pPr>
            <w:bookmarkStart w:name="bookmark100" w:id="60"/>
            <w:bookmarkEnd w:id="60"/>
            <w:r>
              <w:rPr>
                <w:sz w:val="21"/>
                <w:szCs w:val="21"/>
                <w:spacing w:val="-2"/>
              </w:rPr>
              <w:t>仓储</w:t>
            </w:r>
          </w:p>
          <w:p>
            <w:pPr>
              <w:pStyle w:val="TableText"/>
              <w:ind w:left="14"/>
              <w:spacing w:line="220" w:lineRule="auto"/>
              <w:rPr>
                <w:sz w:val="21"/>
                <w:szCs w:val="21"/>
              </w:rPr>
            </w:pPr>
            <w:r>
              <w:rPr>
                <w:sz w:val="21"/>
                <w:szCs w:val="21"/>
                <w:spacing w:val="-3"/>
              </w:rPr>
              <w:t>工程</w:t>
            </w:r>
          </w:p>
        </w:tc>
        <w:tc>
          <w:tcPr>
            <w:tcW w:w="1709" w:type="dxa"/>
            <w:vAlign w:val="top"/>
            <w:gridSpan w:val="2"/>
          </w:tcPr>
          <w:p>
            <w:pPr>
              <w:pStyle w:val="TableText"/>
              <w:ind w:left="9"/>
              <w:spacing w:before="38" w:line="198" w:lineRule="auto"/>
              <w:rPr>
                <w:sz w:val="21"/>
                <w:szCs w:val="21"/>
              </w:rPr>
            </w:pPr>
            <w:r>
              <w:rPr>
                <w:sz w:val="21"/>
                <w:szCs w:val="21"/>
              </w:rPr>
              <w:t>[</w:t>
            </w:r>
          </w:p>
        </w:tc>
        <w:tc>
          <w:tcPr>
            <w:tcW w:w="10543" w:type="dxa"/>
            <w:vAlign w:val="top"/>
          </w:tcPr>
          <w:p>
            <w:pPr>
              <w:rPr>
                <w:rFonts w:ascii="Arial"/>
                <w:sz w:val="21"/>
              </w:rPr>
            </w:pPr>
            <w:r/>
          </w:p>
        </w:tc>
        <w:tc>
          <w:tcPr>
            <w:tcW w:w="799" w:type="dxa"/>
            <w:vAlign w:val="top"/>
            <w:vMerge w:val="restart"/>
            <w:tcBorders>
              <w:bottom w:val="nil"/>
            </w:tcBorders>
          </w:tcPr>
          <w:p>
            <w:pPr>
              <w:rPr>
                <w:rFonts w:ascii="Arial"/>
                <w:sz w:val="21"/>
              </w:rPr>
            </w:pPr>
            <w:r/>
          </w:p>
        </w:tc>
        <w:tc>
          <w:tcPr>
            <w:tcW w:w="1159" w:type="dxa"/>
            <w:vAlign w:val="top"/>
          </w:tcPr>
          <w:p>
            <w:pPr>
              <w:pStyle w:val="TableText"/>
              <w:ind w:left="158"/>
              <w:spacing w:before="33" w:line="203" w:lineRule="auto"/>
              <w:rPr>
                <w:sz w:val="21"/>
                <w:szCs w:val="21"/>
              </w:rPr>
            </w:pPr>
            <w:r>
              <w:rPr>
                <w:sz w:val="21"/>
                <w:szCs w:val="21"/>
                <w:spacing w:val="3"/>
              </w:rPr>
              <w:t>水、噪声</w:t>
            </w:r>
          </w:p>
        </w:tc>
        <w:tc>
          <w:tcPr>
            <w:tcW w:w="644" w:type="dxa"/>
            <w:vAlign w:val="top"/>
          </w:tcPr>
          <w:p>
            <w:pPr>
              <w:pStyle w:val="TableText"/>
              <w:ind w:left="109"/>
              <w:spacing w:before="34" w:line="202" w:lineRule="auto"/>
              <w:rPr>
                <w:sz w:val="21"/>
                <w:szCs w:val="21"/>
              </w:rPr>
            </w:pPr>
            <w:r>
              <w:rPr>
                <w:sz w:val="21"/>
                <w:szCs w:val="21"/>
                <w:spacing w:val="-3"/>
              </w:rPr>
              <w:t>新建</w:t>
            </w:r>
          </w:p>
        </w:tc>
      </w:tr>
      <w:tr>
        <w:trPr>
          <w:trHeight w:val="260" w:hRule="atLeast"/>
        </w:trPr>
        <w:tc>
          <w:tcPr>
            <w:tcW w:w="465" w:type="dxa"/>
            <w:vAlign w:val="top"/>
            <w:vMerge w:val="continue"/>
            <w:tcBorders>
              <w:top w:val="nil"/>
              <w:bottom w:val="nil"/>
            </w:tcBorders>
          </w:tcPr>
          <w:p>
            <w:pPr>
              <w:rPr>
                <w:rFonts w:ascii="Arial"/>
                <w:sz w:val="21"/>
              </w:rPr>
            </w:pPr>
            <w:r/>
          </w:p>
        </w:tc>
        <w:tc>
          <w:tcPr>
            <w:tcW w:w="1709" w:type="dxa"/>
            <w:vAlign w:val="top"/>
            <w:gridSpan w:val="2"/>
          </w:tcPr>
          <w:p>
            <w:pPr>
              <w:pStyle w:val="TableText"/>
              <w:ind w:left="9"/>
              <w:spacing w:before="15" w:line="206" w:lineRule="auto"/>
              <w:rPr>
                <w:sz w:val="21"/>
                <w:szCs w:val="21"/>
              </w:rPr>
            </w:pPr>
            <w:r>
              <w:rPr>
                <w:sz w:val="21"/>
                <w:szCs w:val="21"/>
                <w:spacing w:val="-6"/>
              </w:rPr>
              <w:t>[</w:t>
            </w:r>
            <w:r>
              <w:rPr>
                <w:sz w:val="21"/>
                <w:szCs w:val="21"/>
                <w:spacing w:val="9"/>
              </w:rPr>
              <w:t xml:space="preserve">    </w:t>
            </w:r>
            <w:r>
              <w:rPr>
                <w:sz w:val="21"/>
                <w:szCs w:val="21"/>
                <w:color w:val="506060"/>
                <w:spacing w:val="-6"/>
              </w:rPr>
              <w:t>洗车区</w:t>
            </w:r>
          </w:p>
        </w:tc>
        <w:tc>
          <w:tcPr>
            <w:tcW w:w="10543" w:type="dxa"/>
            <w:vAlign w:val="top"/>
          </w:tcPr>
          <w:p>
            <w:pPr>
              <w:pStyle w:val="TableText"/>
              <w:ind w:left="2580"/>
              <w:spacing w:before="29" w:line="194" w:lineRule="auto"/>
              <w:rPr>
                <w:sz w:val="21"/>
                <w:szCs w:val="21"/>
              </w:rPr>
            </w:pPr>
            <w:r>
              <w:rPr>
                <w:sz w:val="21"/>
                <w:szCs w:val="21"/>
              </w:rPr>
              <w:t>砖混结构，主要对卸猪、卸牛及运输车辆进行冲洗、消毒。</w:t>
            </w:r>
          </w:p>
        </w:tc>
        <w:tc>
          <w:tcPr>
            <w:tcW w:w="799" w:type="dxa"/>
            <w:vAlign w:val="top"/>
            <w:vMerge w:val="continue"/>
            <w:tcBorders>
              <w:top w:val="nil"/>
              <w:bottom w:val="nil"/>
            </w:tcBorders>
          </w:tcPr>
          <w:p>
            <w:pPr>
              <w:rPr>
                <w:rFonts w:ascii="Arial"/>
                <w:sz w:val="21"/>
              </w:rPr>
            </w:pPr>
            <w:r/>
          </w:p>
        </w:tc>
        <w:tc>
          <w:tcPr>
            <w:tcW w:w="1159" w:type="dxa"/>
            <w:vAlign w:val="top"/>
          </w:tcPr>
          <w:p>
            <w:pPr>
              <w:pStyle w:val="TableText"/>
              <w:ind w:left="368"/>
              <w:spacing w:before="29" w:line="194" w:lineRule="auto"/>
              <w:rPr>
                <w:sz w:val="21"/>
                <w:szCs w:val="21"/>
              </w:rPr>
            </w:pPr>
            <w:r>
              <w:rPr>
                <w:sz w:val="21"/>
                <w:szCs w:val="21"/>
                <w:spacing w:val="-2"/>
              </w:rPr>
              <w:t>废水</w:t>
            </w:r>
          </w:p>
        </w:tc>
        <w:tc>
          <w:tcPr>
            <w:tcW w:w="644" w:type="dxa"/>
            <w:vAlign w:val="top"/>
            <w:vMerge w:val="restart"/>
            <w:tcBorders>
              <w:bottom w:val="nil"/>
            </w:tcBorders>
          </w:tcPr>
          <w:p>
            <w:pPr>
              <w:spacing w:line="308" w:lineRule="auto"/>
              <w:rPr>
                <w:rFonts w:ascii="Arial"/>
                <w:sz w:val="21"/>
              </w:rPr>
            </w:pPr>
            <w:r/>
          </w:p>
          <w:p>
            <w:pPr>
              <w:spacing w:line="308" w:lineRule="auto"/>
              <w:rPr>
                <w:rFonts w:ascii="Arial"/>
                <w:sz w:val="21"/>
              </w:rPr>
            </w:pPr>
            <w:r/>
          </w:p>
          <w:p>
            <w:pPr>
              <w:spacing w:line="308" w:lineRule="auto"/>
              <w:rPr>
                <w:rFonts w:ascii="Arial"/>
                <w:sz w:val="21"/>
              </w:rPr>
            </w:pPr>
            <w:r/>
          </w:p>
          <w:p>
            <w:pPr>
              <w:pStyle w:val="TableText"/>
              <w:ind w:left="109"/>
              <w:spacing w:before="68" w:line="219" w:lineRule="auto"/>
              <w:rPr>
                <w:sz w:val="21"/>
                <w:szCs w:val="21"/>
              </w:rPr>
            </w:pPr>
            <w:r>
              <w:rPr>
                <w:sz w:val="21"/>
                <w:szCs w:val="21"/>
                <w:spacing w:val="-3"/>
              </w:rPr>
              <w:t>依托</w:t>
            </w:r>
          </w:p>
        </w:tc>
      </w:tr>
      <w:tr>
        <w:trPr>
          <w:trHeight w:val="829" w:hRule="atLeast"/>
        </w:trPr>
        <w:tc>
          <w:tcPr>
            <w:tcW w:w="465" w:type="dxa"/>
            <w:vAlign w:val="top"/>
            <w:vMerge w:val="continue"/>
            <w:tcBorders>
              <w:top w:val="nil"/>
              <w:bottom w:val="nil"/>
            </w:tcBorders>
          </w:tcPr>
          <w:p>
            <w:pPr>
              <w:rPr>
                <w:rFonts w:ascii="Arial"/>
                <w:sz w:val="21"/>
              </w:rPr>
            </w:pPr>
            <w:r/>
          </w:p>
        </w:tc>
        <w:tc>
          <w:tcPr>
            <w:tcW w:w="1709" w:type="dxa"/>
            <w:vAlign w:val="top"/>
            <w:gridSpan w:val="2"/>
          </w:tcPr>
          <w:p>
            <w:pPr>
              <w:rPr>
                <w:rFonts w:ascii="Arial"/>
                <w:sz w:val="21"/>
              </w:rPr>
            </w:pPr>
            <w:r/>
          </w:p>
          <w:p>
            <w:pPr>
              <w:pStyle w:val="TableText"/>
              <w:ind w:left="529"/>
              <w:spacing w:before="68" w:line="219" w:lineRule="auto"/>
              <w:rPr>
                <w:sz w:val="21"/>
                <w:szCs w:val="21"/>
              </w:rPr>
            </w:pPr>
            <w:r>
              <w:rPr>
                <w:sz w:val="21"/>
                <w:szCs w:val="21"/>
                <w:spacing w:val="4"/>
              </w:rPr>
              <w:t>急冻库</w:t>
            </w:r>
          </w:p>
        </w:tc>
        <w:tc>
          <w:tcPr>
            <w:tcW w:w="10543" w:type="dxa"/>
            <w:vAlign w:val="top"/>
          </w:tcPr>
          <w:p>
            <w:pPr>
              <w:pStyle w:val="TableText"/>
              <w:ind w:left="10" w:right="56" w:firstLine="50"/>
              <w:spacing w:before="37" w:line="229" w:lineRule="auto"/>
              <w:jc w:val="both"/>
              <w:rPr>
                <w:sz w:val="21"/>
                <w:szCs w:val="21"/>
              </w:rPr>
            </w:pPr>
            <w:r>
              <w:rPr>
                <w:sz w:val="21"/>
                <w:szCs w:val="21"/>
                <w:spacing w:val="2"/>
              </w:rPr>
              <w:t>份为生猪和肉牛冻库。肉牛急冻库依托原项目已建冷库间200m²,位于办公楼1F东南侧，用于肉牛分割加工完成后</w:t>
            </w:r>
            <w:r>
              <w:rPr>
                <w:sz w:val="21"/>
                <w:szCs w:val="21"/>
                <w:spacing w:val="18"/>
              </w:rPr>
              <w:t xml:space="preserve"> </w:t>
            </w:r>
            <w:r>
              <w:rPr>
                <w:sz w:val="21"/>
                <w:szCs w:val="21"/>
                <w:spacing w:val="3"/>
              </w:rPr>
              <w:t>的产品冷冻储藏；生猪急冻库分别位于生猪待宰圈舍1F、2F南侧，面积共约630m²,生猪分割加工完成后的产品冷</w:t>
            </w:r>
            <w:r>
              <w:rPr>
                <w:sz w:val="21"/>
                <w:szCs w:val="21"/>
                <w:spacing w:val="5"/>
              </w:rPr>
              <w:t xml:space="preserve"> </w:t>
            </w:r>
            <w:r>
              <w:rPr>
                <w:sz w:val="21"/>
                <w:szCs w:val="21"/>
                <w:spacing w:val="-1"/>
              </w:rPr>
              <w:t>冻储藏。</w:t>
            </w:r>
          </w:p>
        </w:tc>
        <w:tc>
          <w:tcPr>
            <w:tcW w:w="799" w:type="dxa"/>
            <w:vAlign w:val="top"/>
            <w:vMerge w:val="continue"/>
            <w:tcBorders>
              <w:top w:val="nil"/>
              <w:bottom w:val="nil"/>
            </w:tcBorders>
          </w:tcPr>
          <w:p>
            <w:pPr>
              <w:rPr>
                <w:rFonts w:ascii="Arial"/>
                <w:sz w:val="21"/>
              </w:rPr>
            </w:pPr>
            <w:r/>
          </w:p>
        </w:tc>
        <w:tc>
          <w:tcPr>
            <w:tcW w:w="1159" w:type="dxa"/>
            <w:vAlign w:val="top"/>
          </w:tcPr>
          <w:p>
            <w:pPr>
              <w:spacing w:line="245" w:lineRule="auto"/>
              <w:rPr>
                <w:rFonts w:ascii="Arial"/>
                <w:sz w:val="21"/>
              </w:rPr>
            </w:pPr>
            <w:r/>
          </w:p>
          <w:p>
            <w:pPr>
              <w:pStyle w:val="TableText"/>
              <w:ind w:left="518"/>
              <w:spacing w:before="69" w:line="224" w:lineRule="auto"/>
              <w:rPr>
                <w:sz w:val="21"/>
                <w:szCs w:val="21"/>
              </w:rPr>
            </w:pPr>
            <w:r>
              <w:rPr>
                <w:sz w:val="21"/>
                <w:szCs w:val="21"/>
                <w:color w:val="403040"/>
              </w:rPr>
              <w:t>/</w:t>
            </w:r>
          </w:p>
        </w:tc>
        <w:tc>
          <w:tcPr>
            <w:tcW w:w="644" w:type="dxa"/>
            <w:vAlign w:val="top"/>
            <w:vMerge w:val="continue"/>
            <w:tcBorders>
              <w:top w:val="nil"/>
              <w:bottom w:val="nil"/>
            </w:tcBorders>
          </w:tcPr>
          <w:p>
            <w:pPr>
              <w:rPr>
                <w:rFonts w:ascii="Arial"/>
                <w:sz w:val="21"/>
              </w:rPr>
            </w:pPr>
            <w:r/>
          </w:p>
        </w:tc>
      </w:tr>
      <w:tr>
        <w:trPr>
          <w:trHeight w:val="270" w:hRule="atLeast"/>
        </w:trPr>
        <w:tc>
          <w:tcPr>
            <w:tcW w:w="465" w:type="dxa"/>
            <w:vAlign w:val="top"/>
            <w:vMerge w:val="continue"/>
            <w:tcBorders>
              <w:top w:val="nil"/>
              <w:bottom w:val="nil"/>
            </w:tcBorders>
          </w:tcPr>
          <w:p>
            <w:pPr>
              <w:rPr>
                <w:rFonts w:ascii="Arial"/>
                <w:sz w:val="21"/>
              </w:rPr>
            </w:pPr>
            <w:r/>
          </w:p>
        </w:tc>
        <w:tc>
          <w:tcPr>
            <w:tcW w:w="1709" w:type="dxa"/>
            <w:vAlign w:val="top"/>
            <w:gridSpan w:val="2"/>
          </w:tcPr>
          <w:p>
            <w:pPr>
              <w:pStyle w:val="TableText"/>
              <w:ind w:left="629"/>
              <w:spacing w:before="30" w:line="202" w:lineRule="auto"/>
              <w:rPr>
                <w:sz w:val="21"/>
                <w:szCs w:val="21"/>
              </w:rPr>
            </w:pPr>
            <w:r>
              <w:rPr>
                <w:sz w:val="21"/>
                <w:szCs w:val="21"/>
                <w:spacing w:val="6"/>
              </w:rPr>
              <w:t>仓库</w:t>
            </w:r>
          </w:p>
        </w:tc>
        <w:tc>
          <w:tcPr>
            <w:tcW w:w="10543" w:type="dxa"/>
            <w:vAlign w:val="top"/>
          </w:tcPr>
          <w:p>
            <w:pPr>
              <w:pStyle w:val="TableText"/>
              <w:ind w:left="2110"/>
              <w:spacing w:before="26" w:line="205" w:lineRule="auto"/>
              <w:rPr>
                <w:sz w:val="21"/>
                <w:szCs w:val="21"/>
              </w:rPr>
            </w:pPr>
            <w:r>
              <w:rPr>
                <w:sz w:val="21"/>
                <w:szCs w:val="21"/>
                <w:spacing w:val="3"/>
              </w:rPr>
              <w:t>依托原项目已建仓库252m²,位于办公楼1F中部，用于原辅材料存储。</w:t>
            </w:r>
          </w:p>
        </w:tc>
        <w:tc>
          <w:tcPr>
            <w:tcW w:w="799" w:type="dxa"/>
            <w:vAlign w:val="top"/>
            <w:vMerge w:val="continue"/>
            <w:tcBorders>
              <w:top w:val="nil"/>
              <w:bottom w:val="nil"/>
            </w:tcBorders>
          </w:tcPr>
          <w:p>
            <w:pPr>
              <w:rPr>
                <w:rFonts w:ascii="Arial"/>
                <w:sz w:val="21"/>
              </w:rPr>
            </w:pPr>
            <w:r/>
          </w:p>
        </w:tc>
        <w:tc>
          <w:tcPr>
            <w:tcW w:w="1159" w:type="dxa"/>
            <w:vAlign w:val="top"/>
          </w:tcPr>
          <w:p>
            <w:pPr>
              <w:pStyle w:val="TableText"/>
              <w:ind w:left="518"/>
              <w:spacing w:before="35" w:line="197" w:lineRule="auto"/>
              <w:rPr>
                <w:sz w:val="21"/>
                <w:szCs w:val="21"/>
              </w:rPr>
            </w:pPr>
            <w:r>
              <w:rPr>
                <w:sz w:val="21"/>
                <w:szCs w:val="21"/>
              </w:rPr>
              <w:t>/</w:t>
            </w:r>
          </w:p>
        </w:tc>
        <w:tc>
          <w:tcPr>
            <w:tcW w:w="644" w:type="dxa"/>
            <w:vAlign w:val="top"/>
            <w:vMerge w:val="continue"/>
            <w:tcBorders>
              <w:top w:val="nil"/>
              <w:bottom w:val="nil"/>
            </w:tcBorders>
          </w:tcPr>
          <w:p>
            <w:pPr>
              <w:rPr>
                <w:rFonts w:ascii="Arial"/>
                <w:sz w:val="21"/>
              </w:rPr>
            </w:pPr>
            <w:r/>
          </w:p>
        </w:tc>
      </w:tr>
      <w:tr>
        <w:trPr>
          <w:trHeight w:val="260" w:hRule="atLeast"/>
        </w:trPr>
        <w:tc>
          <w:tcPr>
            <w:tcW w:w="465" w:type="dxa"/>
            <w:vAlign w:val="top"/>
            <w:vMerge w:val="continue"/>
            <w:tcBorders>
              <w:top w:val="nil"/>
              <w:bottom w:val="nil"/>
            </w:tcBorders>
          </w:tcPr>
          <w:p>
            <w:pPr>
              <w:rPr>
                <w:rFonts w:ascii="Arial"/>
                <w:sz w:val="21"/>
              </w:rPr>
            </w:pPr>
            <w:r/>
          </w:p>
        </w:tc>
        <w:tc>
          <w:tcPr>
            <w:tcW w:w="1709" w:type="dxa"/>
            <w:vAlign w:val="top"/>
            <w:gridSpan w:val="2"/>
          </w:tcPr>
          <w:p>
            <w:pPr>
              <w:pStyle w:val="TableText"/>
              <w:ind w:left="319"/>
              <w:spacing w:before="30" w:line="193" w:lineRule="auto"/>
              <w:rPr>
                <w:sz w:val="21"/>
                <w:szCs w:val="21"/>
              </w:rPr>
            </w:pPr>
            <w:r>
              <w:rPr>
                <w:sz w:val="21"/>
                <w:szCs w:val="21"/>
                <w:spacing w:val="-2"/>
              </w:rPr>
              <w:t>检验检疫室</w:t>
            </w:r>
          </w:p>
        </w:tc>
        <w:tc>
          <w:tcPr>
            <w:tcW w:w="10543" w:type="dxa"/>
            <w:vAlign w:val="top"/>
          </w:tcPr>
          <w:p>
            <w:pPr>
              <w:pStyle w:val="TableText"/>
              <w:ind w:left="1011"/>
              <w:spacing w:before="27" w:line="196" w:lineRule="auto"/>
              <w:rPr>
                <w:sz w:val="21"/>
                <w:szCs w:val="21"/>
              </w:rPr>
            </w:pPr>
            <w:r>
              <w:rPr>
                <w:sz w:val="21"/>
                <w:szCs w:val="21"/>
                <w:spacing w:val="2"/>
              </w:rPr>
              <w:t>依托原项目已建检验检疫室70m²,位于办公楼1F东北侧，用于生猪、肉牛进场前的检验检疫。</w:t>
            </w:r>
          </w:p>
        </w:tc>
        <w:tc>
          <w:tcPr>
            <w:tcW w:w="799" w:type="dxa"/>
            <w:vAlign w:val="top"/>
            <w:vMerge w:val="continue"/>
            <w:tcBorders>
              <w:top w:val="nil"/>
              <w:bottom w:val="nil"/>
            </w:tcBorders>
          </w:tcPr>
          <w:p>
            <w:pPr>
              <w:rPr>
                <w:rFonts w:ascii="Arial"/>
                <w:sz w:val="21"/>
              </w:rPr>
            </w:pPr>
            <w:r/>
          </w:p>
        </w:tc>
        <w:tc>
          <w:tcPr>
            <w:tcW w:w="1159" w:type="dxa"/>
            <w:vAlign w:val="top"/>
          </w:tcPr>
          <w:p>
            <w:pPr>
              <w:pStyle w:val="TableText"/>
              <w:ind w:left="368"/>
              <w:spacing w:before="31" w:line="192" w:lineRule="auto"/>
              <w:rPr>
                <w:sz w:val="21"/>
                <w:szCs w:val="21"/>
              </w:rPr>
            </w:pPr>
            <w:r>
              <w:rPr>
                <w:sz w:val="21"/>
                <w:szCs w:val="21"/>
                <w:spacing w:val="5"/>
              </w:rPr>
              <w:t>固废</w:t>
            </w:r>
          </w:p>
        </w:tc>
        <w:tc>
          <w:tcPr>
            <w:tcW w:w="644" w:type="dxa"/>
            <w:vAlign w:val="top"/>
            <w:vMerge w:val="continue"/>
            <w:tcBorders>
              <w:top w:val="nil"/>
              <w:bottom w:val="nil"/>
            </w:tcBorders>
          </w:tcPr>
          <w:p>
            <w:pPr>
              <w:rPr>
                <w:rFonts w:ascii="Arial"/>
                <w:sz w:val="21"/>
              </w:rPr>
            </w:pPr>
            <w:r/>
          </w:p>
        </w:tc>
      </w:tr>
      <w:tr>
        <w:trPr>
          <w:trHeight w:val="270" w:hRule="atLeast"/>
        </w:trPr>
        <w:tc>
          <w:tcPr>
            <w:tcW w:w="465" w:type="dxa"/>
            <w:vAlign w:val="top"/>
            <w:vMerge w:val="continue"/>
            <w:tcBorders>
              <w:top w:val="nil"/>
              <w:bottom w:val="nil"/>
            </w:tcBorders>
          </w:tcPr>
          <w:p>
            <w:pPr>
              <w:rPr>
                <w:rFonts w:ascii="Arial"/>
                <w:sz w:val="21"/>
              </w:rPr>
            </w:pPr>
            <w:r/>
          </w:p>
        </w:tc>
        <w:tc>
          <w:tcPr>
            <w:tcW w:w="1709" w:type="dxa"/>
            <w:vAlign w:val="top"/>
            <w:gridSpan w:val="2"/>
          </w:tcPr>
          <w:p>
            <w:pPr>
              <w:pStyle w:val="TableText"/>
              <w:ind w:left="529"/>
              <w:spacing w:before="30" w:line="202" w:lineRule="auto"/>
              <w:rPr>
                <w:sz w:val="21"/>
                <w:szCs w:val="21"/>
              </w:rPr>
            </w:pPr>
            <w:r>
              <w:rPr>
                <w:sz w:val="21"/>
                <w:szCs w:val="21"/>
                <w:spacing w:val="3"/>
              </w:rPr>
              <w:t>消毒池</w:t>
            </w:r>
          </w:p>
        </w:tc>
        <w:tc>
          <w:tcPr>
            <w:tcW w:w="10543" w:type="dxa"/>
            <w:vAlign w:val="top"/>
          </w:tcPr>
          <w:p>
            <w:pPr>
              <w:pStyle w:val="TableText"/>
              <w:ind w:left="1950"/>
              <w:spacing w:before="26" w:line="205" w:lineRule="auto"/>
              <w:rPr>
                <w:sz w:val="21"/>
                <w:szCs w:val="21"/>
              </w:rPr>
            </w:pPr>
            <w:r>
              <w:rPr>
                <w:sz w:val="21"/>
                <w:szCs w:val="21"/>
                <w:spacing w:val="3"/>
              </w:rPr>
              <w:t>依托原项目已建消毒池50m²,位于厂区内东北侧，对进出车辆进行消毒。</w:t>
            </w:r>
          </w:p>
        </w:tc>
        <w:tc>
          <w:tcPr>
            <w:tcW w:w="799" w:type="dxa"/>
            <w:vAlign w:val="top"/>
            <w:vMerge w:val="continue"/>
            <w:tcBorders>
              <w:top w:val="nil"/>
              <w:bottom w:val="nil"/>
            </w:tcBorders>
          </w:tcPr>
          <w:p>
            <w:pPr>
              <w:rPr>
                <w:rFonts w:ascii="Arial"/>
                <w:sz w:val="21"/>
              </w:rPr>
            </w:pPr>
            <w:r/>
          </w:p>
        </w:tc>
        <w:tc>
          <w:tcPr>
            <w:tcW w:w="1159" w:type="dxa"/>
            <w:vAlign w:val="top"/>
          </w:tcPr>
          <w:p>
            <w:pPr>
              <w:pStyle w:val="TableText"/>
              <w:ind w:left="518"/>
              <w:spacing w:before="35" w:line="197" w:lineRule="auto"/>
              <w:rPr>
                <w:sz w:val="21"/>
                <w:szCs w:val="21"/>
              </w:rPr>
            </w:pPr>
            <w:r>
              <w:rPr>
                <w:sz w:val="21"/>
                <w:szCs w:val="21"/>
                <w:color w:val="303040"/>
              </w:rPr>
              <w:t>/</w:t>
            </w:r>
          </w:p>
        </w:tc>
        <w:tc>
          <w:tcPr>
            <w:tcW w:w="644" w:type="dxa"/>
            <w:vAlign w:val="top"/>
            <w:vMerge w:val="continue"/>
            <w:tcBorders>
              <w:top w:val="nil"/>
              <w:bottom w:val="nil"/>
            </w:tcBorders>
          </w:tcPr>
          <w:p>
            <w:pPr>
              <w:rPr>
                <w:rFonts w:ascii="Arial"/>
                <w:sz w:val="21"/>
              </w:rPr>
            </w:pPr>
            <w:r/>
          </w:p>
        </w:tc>
      </w:tr>
      <w:tr>
        <w:trPr>
          <w:trHeight w:val="269" w:hRule="atLeast"/>
        </w:trPr>
        <w:tc>
          <w:tcPr>
            <w:tcW w:w="465" w:type="dxa"/>
            <w:vAlign w:val="top"/>
            <w:vMerge w:val="continue"/>
            <w:tcBorders>
              <w:top w:val="nil"/>
              <w:bottom w:val="nil"/>
            </w:tcBorders>
          </w:tcPr>
          <w:p>
            <w:pPr>
              <w:rPr>
                <w:rFonts w:ascii="Arial"/>
                <w:sz w:val="21"/>
              </w:rPr>
            </w:pPr>
            <w:r/>
          </w:p>
        </w:tc>
        <w:tc>
          <w:tcPr>
            <w:tcW w:w="1709" w:type="dxa"/>
            <w:vAlign w:val="top"/>
            <w:gridSpan w:val="2"/>
          </w:tcPr>
          <w:p>
            <w:pPr>
              <w:pStyle w:val="TableText"/>
              <w:ind w:left="419"/>
              <w:spacing w:before="30" w:line="201" w:lineRule="auto"/>
              <w:rPr>
                <w:sz w:val="21"/>
                <w:szCs w:val="21"/>
              </w:rPr>
            </w:pPr>
            <w:r>
              <w:rPr>
                <w:sz w:val="21"/>
                <w:szCs w:val="21"/>
                <w:spacing w:val="3"/>
              </w:rPr>
              <w:t>消防水箱</w:t>
            </w:r>
          </w:p>
        </w:tc>
        <w:tc>
          <w:tcPr>
            <w:tcW w:w="10543" w:type="dxa"/>
            <w:vAlign w:val="top"/>
          </w:tcPr>
          <w:p>
            <w:pPr>
              <w:pStyle w:val="TableText"/>
              <w:ind w:left="2950"/>
              <w:spacing w:before="26" w:line="204" w:lineRule="auto"/>
              <w:rPr>
                <w:sz w:val="21"/>
                <w:szCs w:val="21"/>
              </w:rPr>
            </w:pPr>
            <w:r>
              <w:rPr>
                <w:sz w:val="21"/>
                <w:szCs w:val="21"/>
                <w:spacing w:val="4"/>
              </w:rPr>
              <w:t>依托原项目已建消防水箱160m³,位于办公楼东侧。</w:t>
            </w:r>
          </w:p>
        </w:tc>
        <w:tc>
          <w:tcPr>
            <w:tcW w:w="799" w:type="dxa"/>
            <w:vAlign w:val="top"/>
            <w:vMerge w:val="continue"/>
            <w:tcBorders>
              <w:top w:val="nil"/>
              <w:bottom w:val="nil"/>
            </w:tcBorders>
          </w:tcPr>
          <w:p>
            <w:pPr>
              <w:rPr>
                <w:rFonts w:ascii="Arial"/>
                <w:sz w:val="21"/>
              </w:rPr>
            </w:pPr>
            <w:r/>
          </w:p>
        </w:tc>
        <w:tc>
          <w:tcPr>
            <w:tcW w:w="1159" w:type="dxa"/>
            <w:vAlign w:val="top"/>
          </w:tcPr>
          <w:p>
            <w:pPr>
              <w:pStyle w:val="TableText"/>
              <w:ind w:left="158"/>
              <w:spacing w:before="30" w:line="201" w:lineRule="auto"/>
              <w:rPr>
                <w:sz w:val="21"/>
                <w:szCs w:val="21"/>
              </w:rPr>
            </w:pPr>
            <w:r>
              <w:rPr>
                <w:sz w:val="21"/>
                <w:szCs w:val="21"/>
                <w:spacing w:val="2"/>
              </w:rPr>
              <w:t>消防废水</w:t>
            </w:r>
          </w:p>
        </w:tc>
        <w:tc>
          <w:tcPr>
            <w:tcW w:w="644" w:type="dxa"/>
            <w:vAlign w:val="top"/>
            <w:vMerge w:val="continue"/>
            <w:tcBorders>
              <w:top w:val="nil"/>
            </w:tcBorders>
          </w:tcPr>
          <w:p>
            <w:pPr>
              <w:rPr>
                <w:rFonts w:ascii="Arial"/>
                <w:sz w:val="21"/>
              </w:rPr>
            </w:pPr>
            <w:r/>
          </w:p>
        </w:tc>
      </w:tr>
      <w:tr>
        <w:trPr>
          <w:trHeight w:val="279" w:hRule="atLeast"/>
        </w:trPr>
        <w:tc>
          <w:tcPr>
            <w:tcW w:w="465" w:type="dxa"/>
            <w:vAlign w:val="top"/>
            <w:vMerge w:val="continue"/>
            <w:tcBorders>
              <w:top w:val="nil"/>
              <w:bottom w:val="nil"/>
            </w:tcBorders>
          </w:tcPr>
          <w:p>
            <w:pPr>
              <w:rPr>
                <w:rFonts w:ascii="Arial"/>
                <w:sz w:val="21"/>
              </w:rPr>
            </w:pPr>
            <w:r/>
          </w:p>
        </w:tc>
        <w:tc>
          <w:tcPr>
            <w:tcW w:w="1709" w:type="dxa"/>
            <w:vAlign w:val="top"/>
            <w:gridSpan w:val="2"/>
          </w:tcPr>
          <w:p>
            <w:pPr>
              <w:pStyle w:val="TableText"/>
              <w:ind w:left="319"/>
              <w:spacing w:before="42" w:line="199" w:lineRule="auto"/>
              <w:rPr>
                <w:sz w:val="21"/>
                <w:szCs w:val="21"/>
              </w:rPr>
            </w:pPr>
            <w:r>
              <w:rPr>
                <w:sz w:val="21"/>
                <w:szCs w:val="21"/>
                <w:spacing w:val="-2"/>
              </w:rPr>
              <w:t>事故应急池</w:t>
            </w:r>
          </w:p>
        </w:tc>
        <w:tc>
          <w:tcPr>
            <w:tcW w:w="10543" w:type="dxa"/>
            <w:vAlign w:val="top"/>
          </w:tcPr>
          <w:p>
            <w:pPr>
              <w:pStyle w:val="TableText"/>
              <w:ind w:left="3160"/>
              <w:spacing w:before="38" w:line="203" w:lineRule="auto"/>
              <w:rPr>
                <w:sz w:val="21"/>
                <w:szCs w:val="21"/>
              </w:rPr>
            </w:pPr>
            <w:r>
              <w:rPr>
                <w:sz w:val="21"/>
                <w:szCs w:val="21"/>
                <w:spacing w:val="4"/>
              </w:rPr>
              <w:t>项目新建事故应急池200m³,位于办公楼东侧。</w:t>
            </w:r>
          </w:p>
        </w:tc>
        <w:tc>
          <w:tcPr>
            <w:tcW w:w="799" w:type="dxa"/>
            <w:vAlign w:val="top"/>
            <w:vMerge w:val="continue"/>
            <w:tcBorders>
              <w:top w:val="nil"/>
              <w:bottom w:val="nil"/>
            </w:tcBorders>
          </w:tcPr>
          <w:p>
            <w:pPr>
              <w:rPr>
                <w:rFonts w:ascii="Arial"/>
                <w:sz w:val="21"/>
              </w:rPr>
            </w:pPr>
            <w:r/>
          </w:p>
        </w:tc>
        <w:tc>
          <w:tcPr>
            <w:tcW w:w="1159" w:type="dxa"/>
            <w:vAlign w:val="top"/>
          </w:tcPr>
          <w:p>
            <w:pPr>
              <w:pStyle w:val="TableText"/>
              <w:ind w:left="158"/>
              <w:spacing w:before="41" w:line="200" w:lineRule="auto"/>
              <w:rPr>
                <w:sz w:val="21"/>
                <w:szCs w:val="21"/>
              </w:rPr>
            </w:pPr>
            <w:r>
              <w:rPr>
                <w:sz w:val="21"/>
                <w:szCs w:val="21"/>
                <w:spacing w:val="-2"/>
              </w:rPr>
              <w:t>事故废水</w:t>
            </w:r>
          </w:p>
        </w:tc>
        <w:tc>
          <w:tcPr>
            <w:tcW w:w="644" w:type="dxa"/>
            <w:vAlign w:val="top"/>
          </w:tcPr>
          <w:p>
            <w:pPr>
              <w:pStyle w:val="TableText"/>
              <w:ind w:left="109"/>
              <w:spacing w:before="42" w:line="199" w:lineRule="auto"/>
              <w:rPr>
                <w:sz w:val="21"/>
                <w:szCs w:val="21"/>
              </w:rPr>
            </w:pPr>
            <w:r>
              <w:rPr>
                <w:sz w:val="21"/>
                <w:szCs w:val="21"/>
                <w:spacing w:val="-3"/>
              </w:rPr>
              <w:t>新建</w:t>
            </w:r>
          </w:p>
        </w:tc>
      </w:tr>
      <w:tr>
        <w:trPr>
          <w:trHeight w:val="279" w:hRule="atLeast"/>
        </w:trPr>
        <w:tc>
          <w:tcPr>
            <w:tcW w:w="465" w:type="dxa"/>
            <w:vAlign w:val="top"/>
            <w:vMerge w:val="continue"/>
            <w:tcBorders>
              <w:top w:val="nil"/>
              <w:bottom w:val="nil"/>
            </w:tcBorders>
          </w:tcPr>
          <w:p>
            <w:pPr>
              <w:rPr>
                <w:rFonts w:ascii="Arial"/>
                <w:sz w:val="21"/>
              </w:rPr>
            </w:pPr>
            <w:r/>
          </w:p>
        </w:tc>
        <w:tc>
          <w:tcPr>
            <w:tcW w:w="550" w:type="dxa"/>
            <w:vAlign w:val="top"/>
            <w:vMerge w:val="restart"/>
            <w:tcBorders>
              <w:bottom w:val="nil"/>
            </w:tcBorders>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49"/>
              <w:spacing w:before="68" w:line="220" w:lineRule="auto"/>
              <w:rPr>
                <w:sz w:val="21"/>
                <w:szCs w:val="21"/>
              </w:rPr>
            </w:pPr>
            <w:r>
              <w:rPr>
                <w:sz w:val="21"/>
                <w:szCs w:val="21"/>
                <w:spacing w:val="-3"/>
              </w:rPr>
              <w:t>生猪</w:t>
            </w:r>
          </w:p>
        </w:tc>
        <w:tc>
          <w:tcPr>
            <w:tcW w:w="1159" w:type="dxa"/>
            <w:vAlign w:val="top"/>
          </w:tcPr>
          <w:p>
            <w:pPr>
              <w:pStyle w:val="TableText"/>
              <w:ind w:left="249"/>
              <w:spacing w:before="43" w:line="198" w:lineRule="auto"/>
              <w:rPr>
                <w:sz w:val="21"/>
                <w:szCs w:val="21"/>
              </w:rPr>
            </w:pPr>
            <w:r>
              <w:rPr>
                <w:sz w:val="21"/>
                <w:szCs w:val="21"/>
                <w:color w:val="606060"/>
                <w:spacing w:val="6"/>
              </w:rPr>
              <w:t>病体间</w:t>
            </w:r>
          </w:p>
        </w:tc>
        <w:tc>
          <w:tcPr>
            <w:tcW w:w="10543" w:type="dxa"/>
            <w:vAlign w:val="top"/>
          </w:tcPr>
          <w:p>
            <w:pPr>
              <w:pStyle w:val="TableText"/>
              <w:ind w:left="640"/>
              <w:spacing w:before="39" w:line="202" w:lineRule="auto"/>
              <w:rPr>
                <w:sz w:val="21"/>
                <w:szCs w:val="21"/>
              </w:rPr>
            </w:pPr>
            <w:r>
              <w:rPr>
                <w:sz w:val="21"/>
                <w:szCs w:val="21"/>
                <w:spacing w:val="2"/>
              </w:rPr>
              <w:t>设置1间，面积约为21m²,位于生猪屠宰车间内红脏处理间旁，对疫病猪、病胴体、病内脏进行暂存。</w:t>
            </w:r>
          </w:p>
        </w:tc>
        <w:tc>
          <w:tcPr>
            <w:tcW w:w="799" w:type="dxa"/>
            <w:vAlign w:val="top"/>
            <w:vMerge w:val="continue"/>
            <w:tcBorders>
              <w:top w:val="nil"/>
              <w:bottom w:val="nil"/>
            </w:tcBorders>
          </w:tcPr>
          <w:p>
            <w:pPr>
              <w:rPr>
                <w:rFonts w:ascii="Arial"/>
                <w:sz w:val="21"/>
              </w:rPr>
            </w:pPr>
            <w:r/>
          </w:p>
        </w:tc>
        <w:tc>
          <w:tcPr>
            <w:tcW w:w="1159" w:type="dxa"/>
            <w:vAlign w:val="top"/>
            <w:vMerge w:val="restart"/>
            <w:tcBorders>
              <w:bottom w:val="nil"/>
            </w:tcBorders>
          </w:tcPr>
          <w:p>
            <w:pPr>
              <w:pStyle w:val="TableText"/>
              <w:ind w:left="48"/>
              <w:spacing w:before="182" w:line="219" w:lineRule="auto"/>
              <w:rPr>
                <w:sz w:val="21"/>
                <w:szCs w:val="21"/>
              </w:rPr>
            </w:pPr>
            <w:r>
              <w:rPr>
                <w:sz w:val="21"/>
                <w:szCs w:val="21"/>
                <w:spacing w:val="-2"/>
              </w:rPr>
              <w:t>废水、固废</w:t>
            </w:r>
          </w:p>
        </w:tc>
        <w:tc>
          <w:tcPr>
            <w:tcW w:w="644" w:type="dxa"/>
            <w:vAlign w:val="top"/>
            <w:vMerge w:val="restart"/>
            <w:tcBorders>
              <w:bottom w:val="nil"/>
            </w:tcBorders>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109"/>
              <w:spacing w:before="68" w:line="220" w:lineRule="auto"/>
              <w:rPr>
                <w:sz w:val="21"/>
                <w:szCs w:val="21"/>
              </w:rPr>
            </w:pPr>
            <w:r>
              <w:rPr>
                <w:sz w:val="21"/>
                <w:szCs w:val="21"/>
                <w:spacing w:val="-3"/>
              </w:rPr>
              <w:t>新建</w:t>
            </w:r>
          </w:p>
        </w:tc>
      </w:tr>
      <w:tr>
        <w:trPr>
          <w:trHeight w:val="270" w:hRule="atLeast"/>
        </w:trPr>
        <w:tc>
          <w:tcPr>
            <w:tcW w:w="465" w:type="dxa"/>
            <w:vAlign w:val="top"/>
            <w:vMerge w:val="continue"/>
            <w:tcBorders>
              <w:top w:val="nil"/>
              <w:bottom w:val="nil"/>
            </w:tcBorders>
          </w:tcPr>
          <w:p>
            <w:pPr>
              <w:rPr>
                <w:rFonts w:ascii="Arial"/>
                <w:sz w:val="21"/>
              </w:rPr>
            </w:pPr>
            <w:r/>
          </w:p>
        </w:tc>
        <w:tc>
          <w:tcPr>
            <w:tcW w:w="550" w:type="dxa"/>
            <w:vAlign w:val="top"/>
            <w:vMerge w:val="continue"/>
            <w:tcBorders>
              <w:top w:val="nil"/>
              <w:bottom w:val="nil"/>
            </w:tcBorders>
          </w:tcPr>
          <w:p>
            <w:pPr>
              <w:rPr>
                <w:rFonts w:ascii="Arial"/>
                <w:sz w:val="21"/>
              </w:rPr>
            </w:pPr>
            <w:r/>
          </w:p>
        </w:tc>
        <w:tc>
          <w:tcPr>
            <w:tcW w:w="1159" w:type="dxa"/>
            <w:vAlign w:val="top"/>
          </w:tcPr>
          <w:p>
            <w:pPr>
              <w:pStyle w:val="TableText"/>
              <w:ind w:left="249"/>
              <w:spacing w:before="33" w:line="199" w:lineRule="auto"/>
              <w:rPr>
                <w:sz w:val="21"/>
                <w:szCs w:val="21"/>
              </w:rPr>
            </w:pPr>
            <w:r>
              <w:rPr>
                <w:sz w:val="21"/>
                <w:szCs w:val="21"/>
                <w:spacing w:val="-2"/>
              </w:rPr>
              <w:t>检疫室</w:t>
            </w:r>
          </w:p>
        </w:tc>
        <w:tc>
          <w:tcPr>
            <w:tcW w:w="10543" w:type="dxa"/>
            <w:vAlign w:val="top"/>
          </w:tcPr>
          <w:p>
            <w:pPr>
              <w:pStyle w:val="TableText"/>
              <w:ind w:left="960"/>
              <w:spacing w:before="30" w:line="202" w:lineRule="auto"/>
              <w:rPr>
                <w:sz w:val="21"/>
                <w:szCs w:val="21"/>
              </w:rPr>
            </w:pPr>
            <w:r>
              <w:rPr>
                <w:sz w:val="21"/>
                <w:szCs w:val="21"/>
                <w:spacing w:val="2"/>
              </w:rPr>
              <w:t>设置2间，面积约为18m²,位于生猪屠宰车间内白脏处理间旁，对宰杀后胴体、内脏进行复检。</w:t>
            </w:r>
          </w:p>
        </w:tc>
        <w:tc>
          <w:tcPr>
            <w:tcW w:w="799" w:type="dxa"/>
            <w:vAlign w:val="top"/>
            <w:vMerge w:val="continue"/>
            <w:tcBorders>
              <w:top w:val="nil"/>
              <w:bottom w:val="nil"/>
            </w:tcBorders>
          </w:tcPr>
          <w:p>
            <w:pPr>
              <w:rPr>
                <w:rFonts w:ascii="Arial"/>
                <w:sz w:val="21"/>
              </w:rPr>
            </w:pPr>
            <w:r/>
          </w:p>
        </w:tc>
        <w:tc>
          <w:tcPr>
            <w:tcW w:w="1159" w:type="dxa"/>
            <w:vAlign w:val="top"/>
            <w:vMerge w:val="continue"/>
            <w:tcBorders>
              <w:top w:val="nil"/>
            </w:tcBorders>
          </w:tcPr>
          <w:p>
            <w:pPr>
              <w:rPr>
                <w:rFonts w:ascii="Arial"/>
                <w:sz w:val="21"/>
              </w:rPr>
            </w:pPr>
            <w:r/>
          </w:p>
        </w:tc>
        <w:tc>
          <w:tcPr>
            <w:tcW w:w="644" w:type="dxa"/>
            <w:vAlign w:val="top"/>
            <w:vMerge w:val="continue"/>
            <w:tcBorders>
              <w:top w:val="nil"/>
              <w:bottom w:val="nil"/>
            </w:tcBorders>
          </w:tcPr>
          <w:p>
            <w:pPr>
              <w:rPr>
                <w:rFonts w:ascii="Arial"/>
                <w:sz w:val="21"/>
              </w:rPr>
            </w:pPr>
            <w:r/>
          </w:p>
        </w:tc>
      </w:tr>
      <w:tr>
        <w:trPr>
          <w:trHeight w:val="270" w:hRule="atLeast"/>
        </w:trPr>
        <w:tc>
          <w:tcPr>
            <w:tcW w:w="465" w:type="dxa"/>
            <w:vAlign w:val="top"/>
            <w:vMerge w:val="continue"/>
            <w:tcBorders>
              <w:top w:val="nil"/>
              <w:bottom w:val="nil"/>
            </w:tcBorders>
          </w:tcPr>
          <w:p>
            <w:pPr>
              <w:rPr>
                <w:rFonts w:ascii="Arial"/>
                <w:sz w:val="21"/>
              </w:rPr>
            </w:pPr>
            <w:r/>
          </w:p>
        </w:tc>
        <w:tc>
          <w:tcPr>
            <w:tcW w:w="550" w:type="dxa"/>
            <w:vAlign w:val="top"/>
            <w:vMerge w:val="continue"/>
            <w:tcBorders>
              <w:top w:val="nil"/>
              <w:bottom w:val="nil"/>
            </w:tcBorders>
          </w:tcPr>
          <w:p>
            <w:pPr>
              <w:rPr>
                <w:rFonts w:ascii="Arial"/>
                <w:sz w:val="21"/>
              </w:rPr>
            </w:pPr>
            <w:r/>
          </w:p>
        </w:tc>
        <w:tc>
          <w:tcPr>
            <w:tcW w:w="1159" w:type="dxa"/>
            <w:vAlign w:val="top"/>
          </w:tcPr>
          <w:p>
            <w:pPr>
              <w:pStyle w:val="TableText"/>
              <w:ind w:left="149"/>
              <w:spacing w:before="34" w:line="198" w:lineRule="auto"/>
              <w:rPr>
                <w:sz w:val="21"/>
                <w:szCs w:val="21"/>
              </w:rPr>
            </w:pPr>
            <w:r>
              <w:rPr>
                <w:sz w:val="21"/>
                <w:szCs w:val="21"/>
                <w:color w:val="405050"/>
                <w:spacing w:val="-2"/>
              </w:rPr>
              <w:t>鲜销大厅</w:t>
            </w:r>
          </w:p>
        </w:tc>
        <w:tc>
          <w:tcPr>
            <w:tcW w:w="10543" w:type="dxa"/>
            <w:vAlign w:val="top"/>
          </w:tcPr>
          <w:p>
            <w:pPr>
              <w:pStyle w:val="TableText"/>
              <w:ind w:left="2270"/>
              <w:spacing w:before="33" w:line="199" w:lineRule="auto"/>
              <w:rPr>
                <w:sz w:val="21"/>
                <w:szCs w:val="21"/>
              </w:rPr>
            </w:pPr>
            <w:r>
              <w:rPr>
                <w:sz w:val="21"/>
                <w:szCs w:val="21"/>
              </w:rPr>
              <w:t>位于1F生猪屠宰车间内最西侧，用于生猪屠宰、分割</w:t>
            </w:r>
            <w:r>
              <w:rPr>
                <w:sz w:val="21"/>
                <w:szCs w:val="21"/>
                <w:spacing w:val="-1"/>
              </w:rPr>
              <w:t>后产品销售。</w:t>
            </w:r>
          </w:p>
        </w:tc>
        <w:tc>
          <w:tcPr>
            <w:tcW w:w="799" w:type="dxa"/>
            <w:vAlign w:val="top"/>
            <w:vMerge w:val="continue"/>
            <w:tcBorders>
              <w:top w:val="nil"/>
              <w:bottom w:val="nil"/>
            </w:tcBorders>
          </w:tcPr>
          <w:p>
            <w:pPr>
              <w:rPr>
                <w:rFonts w:ascii="Arial"/>
                <w:sz w:val="21"/>
              </w:rPr>
            </w:pPr>
            <w:r/>
          </w:p>
        </w:tc>
        <w:tc>
          <w:tcPr>
            <w:tcW w:w="1159" w:type="dxa"/>
            <w:vAlign w:val="top"/>
          </w:tcPr>
          <w:p>
            <w:pPr>
              <w:pStyle w:val="TableText"/>
              <w:ind w:left="518"/>
              <w:spacing w:before="39" w:line="194" w:lineRule="auto"/>
              <w:rPr>
                <w:sz w:val="21"/>
                <w:szCs w:val="21"/>
              </w:rPr>
            </w:pPr>
            <w:r>
              <w:rPr>
                <w:sz w:val="21"/>
                <w:szCs w:val="21"/>
                <w:color w:val="303040"/>
              </w:rPr>
              <w:t>/</w:t>
            </w:r>
          </w:p>
        </w:tc>
        <w:tc>
          <w:tcPr>
            <w:tcW w:w="644" w:type="dxa"/>
            <w:vAlign w:val="top"/>
            <w:vMerge w:val="continue"/>
            <w:tcBorders>
              <w:top w:val="nil"/>
              <w:bottom w:val="nil"/>
            </w:tcBorders>
          </w:tcPr>
          <w:p>
            <w:pPr>
              <w:rPr>
                <w:rFonts w:ascii="Arial"/>
                <w:sz w:val="21"/>
              </w:rPr>
            </w:pPr>
            <w:r/>
          </w:p>
        </w:tc>
      </w:tr>
      <w:tr>
        <w:trPr>
          <w:trHeight w:val="270" w:hRule="atLeast"/>
        </w:trPr>
        <w:tc>
          <w:tcPr>
            <w:tcW w:w="465" w:type="dxa"/>
            <w:vAlign w:val="top"/>
            <w:vMerge w:val="continue"/>
            <w:tcBorders>
              <w:top w:val="nil"/>
              <w:bottom w:val="nil"/>
            </w:tcBorders>
          </w:tcPr>
          <w:p>
            <w:pPr>
              <w:rPr>
                <w:rFonts w:ascii="Arial"/>
                <w:sz w:val="21"/>
              </w:rPr>
            </w:pPr>
            <w:r/>
          </w:p>
        </w:tc>
        <w:tc>
          <w:tcPr>
            <w:tcW w:w="550" w:type="dxa"/>
            <w:vAlign w:val="top"/>
            <w:vMerge w:val="continue"/>
            <w:tcBorders>
              <w:top w:val="nil"/>
              <w:bottom w:val="nil"/>
            </w:tcBorders>
          </w:tcPr>
          <w:p>
            <w:pPr>
              <w:rPr>
                <w:rFonts w:ascii="Arial"/>
                <w:sz w:val="21"/>
              </w:rPr>
            </w:pPr>
            <w:r/>
          </w:p>
        </w:tc>
        <w:tc>
          <w:tcPr>
            <w:tcW w:w="1159" w:type="dxa"/>
            <w:vAlign w:val="top"/>
          </w:tcPr>
          <w:p>
            <w:pPr>
              <w:pStyle w:val="TableText"/>
              <w:ind w:left="249"/>
              <w:spacing w:before="34" w:line="198" w:lineRule="auto"/>
              <w:rPr>
                <w:sz w:val="21"/>
                <w:szCs w:val="21"/>
              </w:rPr>
            </w:pPr>
            <w:r>
              <w:rPr>
                <w:sz w:val="21"/>
                <w:szCs w:val="21"/>
                <w:color w:val="606050"/>
                <w:spacing w:val="6"/>
              </w:rPr>
              <w:t>排酸间</w:t>
            </w:r>
          </w:p>
        </w:tc>
        <w:tc>
          <w:tcPr>
            <w:tcW w:w="10543" w:type="dxa"/>
            <w:vAlign w:val="top"/>
          </w:tcPr>
          <w:p>
            <w:pPr>
              <w:pStyle w:val="TableText"/>
              <w:ind w:left="2320"/>
              <w:spacing w:before="30" w:line="202" w:lineRule="auto"/>
              <w:rPr>
                <w:sz w:val="21"/>
                <w:szCs w:val="21"/>
              </w:rPr>
            </w:pPr>
            <w:r>
              <w:rPr>
                <w:sz w:val="21"/>
                <w:szCs w:val="21"/>
                <w:spacing w:val="3"/>
              </w:rPr>
              <w:t>位于鲜销大厅北侧，面积约410m²,用于生猪屠宰、分割后排酸。</w:t>
            </w:r>
          </w:p>
        </w:tc>
        <w:tc>
          <w:tcPr>
            <w:tcW w:w="799" w:type="dxa"/>
            <w:vAlign w:val="top"/>
            <w:vMerge w:val="continue"/>
            <w:tcBorders>
              <w:top w:val="nil"/>
              <w:bottom w:val="nil"/>
            </w:tcBorders>
          </w:tcPr>
          <w:p>
            <w:pPr>
              <w:rPr>
                <w:rFonts w:ascii="Arial"/>
                <w:sz w:val="21"/>
              </w:rPr>
            </w:pPr>
            <w:r/>
          </w:p>
        </w:tc>
        <w:tc>
          <w:tcPr>
            <w:tcW w:w="1159" w:type="dxa"/>
            <w:vAlign w:val="top"/>
            <w:vMerge w:val="restart"/>
            <w:tcBorders>
              <w:bottom w:val="nil"/>
            </w:tcBorders>
          </w:tcPr>
          <w:p>
            <w:pPr>
              <w:pStyle w:val="TableText"/>
              <w:ind w:left="48"/>
              <w:spacing w:before="173" w:line="219" w:lineRule="auto"/>
              <w:rPr>
                <w:sz w:val="21"/>
                <w:szCs w:val="21"/>
              </w:rPr>
            </w:pPr>
            <w:r>
              <w:rPr>
                <w:sz w:val="21"/>
                <w:szCs w:val="21"/>
                <w:spacing w:val="-2"/>
              </w:rPr>
              <w:t>废水、固废</w:t>
            </w:r>
          </w:p>
        </w:tc>
        <w:tc>
          <w:tcPr>
            <w:tcW w:w="644" w:type="dxa"/>
            <w:vAlign w:val="top"/>
            <w:vMerge w:val="continue"/>
            <w:tcBorders>
              <w:top w:val="nil"/>
              <w:bottom w:val="nil"/>
            </w:tcBorders>
          </w:tcPr>
          <w:p>
            <w:pPr>
              <w:rPr>
                <w:rFonts w:ascii="Arial"/>
                <w:sz w:val="21"/>
              </w:rPr>
            </w:pPr>
            <w:r/>
          </w:p>
        </w:tc>
      </w:tr>
      <w:tr>
        <w:trPr>
          <w:trHeight w:val="270" w:hRule="atLeast"/>
        </w:trPr>
        <w:tc>
          <w:tcPr>
            <w:tcW w:w="465" w:type="dxa"/>
            <w:vAlign w:val="top"/>
            <w:vMerge w:val="continue"/>
            <w:tcBorders>
              <w:top w:val="nil"/>
              <w:bottom w:val="nil"/>
            </w:tcBorders>
          </w:tcPr>
          <w:p>
            <w:pPr>
              <w:rPr>
                <w:rFonts w:ascii="Arial"/>
                <w:sz w:val="21"/>
              </w:rPr>
            </w:pPr>
            <w:r/>
          </w:p>
        </w:tc>
        <w:tc>
          <w:tcPr>
            <w:tcW w:w="550" w:type="dxa"/>
            <w:vAlign w:val="top"/>
            <w:vMerge w:val="continue"/>
            <w:tcBorders>
              <w:top w:val="nil"/>
              <w:bottom w:val="nil"/>
            </w:tcBorders>
          </w:tcPr>
          <w:p>
            <w:pPr>
              <w:rPr>
                <w:rFonts w:ascii="Arial"/>
                <w:sz w:val="21"/>
              </w:rPr>
            </w:pPr>
            <w:r/>
          </w:p>
        </w:tc>
        <w:tc>
          <w:tcPr>
            <w:tcW w:w="1159" w:type="dxa"/>
            <w:vAlign w:val="top"/>
          </w:tcPr>
          <w:p>
            <w:pPr>
              <w:pStyle w:val="TableText"/>
              <w:ind w:left="39"/>
              <w:spacing w:before="34" w:line="198" w:lineRule="auto"/>
              <w:rPr>
                <w:sz w:val="21"/>
                <w:szCs w:val="21"/>
              </w:rPr>
            </w:pPr>
            <w:r>
              <w:rPr>
                <w:sz w:val="21"/>
                <w:szCs w:val="21"/>
                <w:spacing w:val="4"/>
              </w:rPr>
              <w:t>快速预冷间</w:t>
            </w:r>
          </w:p>
        </w:tc>
        <w:tc>
          <w:tcPr>
            <w:tcW w:w="10543" w:type="dxa"/>
            <w:vAlign w:val="top"/>
          </w:tcPr>
          <w:p>
            <w:pPr>
              <w:pStyle w:val="TableText"/>
              <w:ind w:left="2580"/>
              <w:spacing w:before="33" w:line="199" w:lineRule="auto"/>
              <w:rPr>
                <w:sz w:val="21"/>
                <w:szCs w:val="21"/>
              </w:rPr>
            </w:pPr>
            <w:r>
              <w:rPr>
                <w:sz w:val="21"/>
                <w:szCs w:val="21"/>
              </w:rPr>
              <w:t>位于生猪屠宰车间内西南侧，用于生猪屠宰、分割后预冷。</w:t>
            </w:r>
          </w:p>
        </w:tc>
        <w:tc>
          <w:tcPr>
            <w:tcW w:w="799" w:type="dxa"/>
            <w:vAlign w:val="top"/>
            <w:vMerge w:val="continue"/>
            <w:tcBorders>
              <w:top w:val="nil"/>
              <w:bottom w:val="nil"/>
            </w:tcBorders>
          </w:tcPr>
          <w:p>
            <w:pPr>
              <w:rPr>
                <w:rFonts w:ascii="Arial"/>
                <w:sz w:val="21"/>
              </w:rPr>
            </w:pPr>
            <w:r/>
          </w:p>
        </w:tc>
        <w:tc>
          <w:tcPr>
            <w:tcW w:w="1159" w:type="dxa"/>
            <w:vAlign w:val="top"/>
            <w:vMerge w:val="continue"/>
            <w:tcBorders>
              <w:top w:val="nil"/>
            </w:tcBorders>
          </w:tcPr>
          <w:p>
            <w:pPr>
              <w:rPr>
                <w:rFonts w:ascii="Arial"/>
                <w:sz w:val="21"/>
              </w:rPr>
            </w:pPr>
            <w:r/>
          </w:p>
        </w:tc>
        <w:tc>
          <w:tcPr>
            <w:tcW w:w="644" w:type="dxa"/>
            <w:vAlign w:val="top"/>
            <w:vMerge w:val="continue"/>
            <w:tcBorders>
              <w:top w:val="nil"/>
              <w:bottom w:val="nil"/>
            </w:tcBorders>
          </w:tcPr>
          <w:p>
            <w:pPr>
              <w:rPr>
                <w:rFonts w:ascii="Arial"/>
                <w:sz w:val="21"/>
              </w:rPr>
            </w:pPr>
            <w:r/>
          </w:p>
        </w:tc>
      </w:tr>
      <w:tr>
        <w:trPr>
          <w:trHeight w:val="270" w:hRule="atLeast"/>
        </w:trPr>
        <w:tc>
          <w:tcPr>
            <w:tcW w:w="465" w:type="dxa"/>
            <w:vAlign w:val="top"/>
            <w:vMerge w:val="continue"/>
            <w:tcBorders>
              <w:top w:val="nil"/>
              <w:bottom w:val="nil"/>
            </w:tcBorders>
          </w:tcPr>
          <w:p>
            <w:pPr>
              <w:rPr>
                <w:rFonts w:ascii="Arial"/>
                <w:sz w:val="21"/>
              </w:rPr>
            </w:pPr>
            <w:r/>
          </w:p>
        </w:tc>
        <w:tc>
          <w:tcPr>
            <w:tcW w:w="550" w:type="dxa"/>
            <w:vAlign w:val="top"/>
            <w:vMerge w:val="continue"/>
            <w:tcBorders>
              <w:top w:val="nil"/>
              <w:bottom w:val="nil"/>
            </w:tcBorders>
          </w:tcPr>
          <w:p>
            <w:pPr>
              <w:rPr>
                <w:rFonts w:ascii="Arial"/>
                <w:sz w:val="21"/>
              </w:rPr>
            </w:pPr>
            <w:r/>
          </w:p>
        </w:tc>
        <w:tc>
          <w:tcPr>
            <w:tcW w:w="1159" w:type="dxa"/>
            <w:vAlign w:val="top"/>
          </w:tcPr>
          <w:p>
            <w:pPr>
              <w:pStyle w:val="TableText"/>
              <w:ind w:left="249"/>
              <w:spacing w:before="33" w:line="199" w:lineRule="auto"/>
              <w:rPr>
                <w:sz w:val="21"/>
                <w:szCs w:val="21"/>
              </w:rPr>
            </w:pPr>
            <w:r>
              <w:rPr>
                <w:sz w:val="21"/>
                <w:szCs w:val="21"/>
                <w:color w:val="707060"/>
                <w:spacing w:val="6"/>
              </w:rPr>
              <w:t>头蹄间</w:t>
            </w:r>
          </w:p>
        </w:tc>
        <w:tc>
          <w:tcPr>
            <w:tcW w:w="10543" w:type="dxa"/>
            <w:vAlign w:val="top"/>
          </w:tcPr>
          <w:p>
            <w:pPr>
              <w:pStyle w:val="TableText"/>
              <w:ind w:left="3000"/>
              <w:spacing w:before="33" w:line="199" w:lineRule="auto"/>
              <w:rPr>
                <w:sz w:val="21"/>
                <w:szCs w:val="21"/>
              </w:rPr>
            </w:pPr>
            <w:r>
              <w:rPr>
                <w:sz w:val="21"/>
                <w:szCs w:val="21"/>
              </w:rPr>
              <w:t>位于生猪屠宰车间内东北侧，用于生猪头蹄暂存。</w:t>
            </w:r>
          </w:p>
        </w:tc>
        <w:tc>
          <w:tcPr>
            <w:tcW w:w="799" w:type="dxa"/>
            <w:vAlign w:val="top"/>
            <w:vMerge w:val="continue"/>
            <w:tcBorders>
              <w:top w:val="nil"/>
              <w:bottom w:val="nil"/>
            </w:tcBorders>
          </w:tcPr>
          <w:p>
            <w:pPr>
              <w:rPr>
                <w:rFonts w:ascii="Arial"/>
                <w:sz w:val="21"/>
              </w:rPr>
            </w:pPr>
            <w:r/>
          </w:p>
        </w:tc>
        <w:tc>
          <w:tcPr>
            <w:tcW w:w="1159" w:type="dxa"/>
            <w:vAlign w:val="top"/>
          </w:tcPr>
          <w:p>
            <w:pPr>
              <w:pStyle w:val="TableText"/>
              <w:ind w:left="368"/>
              <w:spacing w:before="34" w:line="198" w:lineRule="auto"/>
              <w:rPr>
                <w:sz w:val="21"/>
                <w:szCs w:val="21"/>
              </w:rPr>
            </w:pPr>
            <w:r>
              <w:rPr>
                <w:sz w:val="21"/>
                <w:szCs w:val="21"/>
                <w:spacing w:val="5"/>
              </w:rPr>
              <w:t>固废</w:t>
            </w:r>
          </w:p>
        </w:tc>
        <w:tc>
          <w:tcPr>
            <w:tcW w:w="644" w:type="dxa"/>
            <w:vAlign w:val="top"/>
            <w:vMerge w:val="continue"/>
            <w:tcBorders>
              <w:top w:val="nil"/>
              <w:bottom w:val="nil"/>
            </w:tcBorders>
          </w:tcPr>
          <w:p>
            <w:pPr>
              <w:rPr>
                <w:rFonts w:ascii="Arial"/>
                <w:sz w:val="21"/>
              </w:rPr>
            </w:pPr>
            <w:r/>
          </w:p>
        </w:tc>
      </w:tr>
      <w:tr>
        <w:trPr>
          <w:trHeight w:val="270" w:hRule="atLeast"/>
        </w:trPr>
        <w:tc>
          <w:tcPr>
            <w:tcW w:w="465" w:type="dxa"/>
            <w:vAlign w:val="top"/>
            <w:vMerge w:val="continue"/>
            <w:tcBorders>
              <w:top w:val="nil"/>
              <w:bottom w:val="nil"/>
            </w:tcBorders>
          </w:tcPr>
          <w:p>
            <w:pPr>
              <w:rPr>
                <w:rFonts w:ascii="Arial"/>
                <w:sz w:val="21"/>
              </w:rPr>
            </w:pPr>
            <w:r/>
          </w:p>
        </w:tc>
        <w:tc>
          <w:tcPr>
            <w:tcW w:w="550" w:type="dxa"/>
            <w:vAlign w:val="top"/>
            <w:vMerge w:val="continue"/>
            <w:tcBorders>
              <w:top w:val="nil"/>
              <w:bottom w:val="nil"/>
            </w:tcBorders>
          </w:tcPr>
          <w:p>
            <w:pPr>
              <w:rPr>
                <w:rFonts w:ascii="Arial"/>
                <w:sz w:val="21"/>
              </w:rPr>
            </w:pPr>
            <w:r/>
          </w:p>
        </w:tc>
        <w:tc>
          <w:tcPr>
            <w:tcW w:w="1159" w:type="dxa"/>
            <w:vAlign w:val="top"/>
          </w:tcPr>
          <w:p>
            <w:pPr>
              <w:pStyle w:val="TableText"/>
              <w:ind w:left="249"/>
              <w:spacing w:before="34" w:line="198" w:lineRule="auto"/>
              <w:rPr>
                <w:sz w:val="21"/>
                <w:szCs w:val="21"/>
              </w:rPr>
            </w:pPr>
            <w:r>
              <w:rPr>
                <w:sz w:val="21"/>
                <w:szCs w:val="21"/>
                <w:spacing w:val="6"/>
              </w:rPr>
              <w:t>皮张间</w:t>
            </w:r>
          </w:p>
        </w:tc>
        <w:tc>
          <w:tcPr>
            <w:tcW w:w="10543" w:type="dxa"/>
            <w:vAlign w:val="top"/>
          </w:tcPr>
          <w:p>
            <w:pPr>
              <w:pStyle w:val="TableText"/>
              <w:ind w:left="3000"/>
              <w:spacing w:before="33" w:line="199" w:lineRule="auto"/>
              <w:rPr>
                <w:sz w:val="21"/>
                <w:szCs w:val="21"/>
              </w:rPr>
            </w:pPr>
            <w:r>
              <w:rPr>
                <w:sz w:val="21"/>
                <w:szCs w:val="21"/>
              </w:rPr>
              <w:t>位于生猪屠宰车间内东北侧，用于生猪皮张暂存。</w:t>
            </w:r>
          </w:p>
        </w:tc>
        <w:tc>
          <w:tcPr>
            <w:tcW w:w="799" w:type="dxa"/>
            <w:vAlign w:val="top"/>
            <w:vMerge w:val="continue"/>
            <w:tcBorders>
              <w:top w:val="nil"/>
              <w:bottom w:val="nil"/>
            </w:tcBorders>
          </w:tcPr>
          <w:p>
            <w:pPr>
              <w:rPr>
                <w:rFonts w:ascii="Arial"/>
                <w:sz w:val="21"/>
              </w:rPr>
            </w:pPr>
            <w:r/>
          </w:p>
        </w:tc>
        <w:tc>
          <w:tcPr>
            <w:tcW w:w="1159" w:type="dxa"/>
            <w:vAlign w:val="top"/>
          </w:tcPr>
          <w:p>
            <w:pPr>
              <w:pStyle w:val="TableText"/>
              <w:ind w:left="368"/>
              <w:spacing w:before="34" w:line="198" w:lineRule="auto"/>
              <w:rPr>
                <w:sz w:val="21"/>
                <w:szCs w:val="21"/>
              </w:rPr>
            </w:pPr>
            <w:r>
              <w:rPr>
                <w:sz w:val="21"/>
                <w:szCs w:val="21"/>
                <w:spacing w:val="5"/>
              </w:rPr>
              <w:t>固废</w:t>
            </w:r>
          </w:p>
        </w:tc>
        <w:tc>
          <w:tcPr>
            <w:tcW w:w="644" w:type="dxa"/>
            <w:vAlign w:val="top"/>
            <w:vMerge w:val="continue"/>
            <w:tcBorders>
              <w:top w:val="nil"/>
              <w:bottom w:val="nil"/>
            </w:tcBorders>
          </w:tcPr>
          <w:p>
            <w:pPr>
              <w:rPr>
                <w:rFonts w:ascii="Arial"/>
                <w:sz w:val="21"/>
              </w:rPr>
            </w:pPr>
            <w:r/>
          </w:p>
        </w:tc>
      </w:tr>
      <w:tr>
        <w:trPr>
          <w:trHeight w:val="539" w:hRule="atLeast"/>
        </w:trPr>
        <w:tc>
          <w:tcPr>
            <w:tcW w:w="465" w:type="dxa"/>
            <w:vAlign w:val="top"/>
            <w:vMerge w:val="continue"/>
            <w:tcBorders>
              <w:top w:val="nil"/>
              <w:bottom w:val="nil"/>
            </w:tcBorders>
          </w:tcPr>
          <w:p>
            <w:pPr>
              <w:rPr>
                <w:rFonts w:ascii="Arial"/>
                <w:sz w:val="21"/>
              </w:rPr>
            </w:pPr>
            <w:r/>
          </w:p>
        </w:tc>
        <w:tc>
          <w:tcPr>
            <w:tcW w:w="550" w:type="dxa"/>
            <w:vAlign w:val="top"/>
            <w:vMerge w:val="continue"/>
            <w:tcBorders>
              <w:top w:val="nil"/>
              <w:bottom w:val="nil"/>
            </w:tcBorders>
          </w:tcPr>
          <w:p>
            <w:pPr>
              <w:rPr>
                <w:rFonts w:ascii="Arial"/>
                <w:sz w:val="21"/>
              </w:rPr>
            </w:pPr>
            <w:r/>
          </w:p>
        </w:tc>
        <w:tc>
          <w:tcPr>
            <w:tcW w:w="1159" w:type="dxa"/>
            <w:vAlign w:val="top"/>
          </w:tcPr>
          <w:p>
            <w:pPr>
              <w:pStyle w:val="TableText"/>
              <w:ind w:left="249"/>
              <w:spacing w:before="173" w:line="219" w:lineRule="auto"/>
              <w:rPr>
                <w:sz w:val="21"/>
                <w:szCs w:val="21"/>
              </w:rPr>
            </w:pPr>
            <w:r>
              <w:rPr>
                <w:sz w:val="21"/>
                <w:szCs w:val="21"/>
                <w:spacing w:val="6"/>
              </w:rPr>
              <w:t>办公区</w:t>
            </w:r>
          </w:p>
        </w:tc>
        <w:tc>
          <w:tcPr>
            <w:tcW w:w="10543" w:type="dxa"/>
            <w:vAlign w:val="top"/>
          </w:tcPr>
          <w:p>
            <w:pPr>
              <w:pStyle w:val="TableText"/>
              <w:ind w:left="10" w:right="112" w:firstLine="109"/>
              <w:spacing w:before="51" w:line="210" w:lineRule="auto"/>
              <w:rPr>
                <w:sz w:val="21"/>
                <w:szCs w:val="21"/>
              </w:rPr>
            </w:pPr>
            <w:r>
              <w:rPr>
                <w:sz w:val="21"/>
                <w:szCs w:val="21"/>
                <w:spacing w:val="2"/>
              </w:rPr>
              <w:t>位于生猪屠宰车间1层及2层夹层，密闭框架结构，面积约740.24m²,内设参观通道、办公室、会议室、男女卫生</w:t>
            </w:r>
            <w:r>
              <w:rPr>
                <w:sz w:val="21"/>
                <w:szCs w:val="21"/>
                <w:spacing w:val="5"/>
              </w:rPr>
              <w:t xml:space="preserve"> </w:t>
            </w:r>
            <w:r>
              <w:rPr>
                <w:sz w:val="21"/>
                <w:szCs w:val="21"/>
                <w:spacing w:val="-1"/>
              </w:rPr>
              <w:t>间、开水间。</w:t>
            </w:r>
          </w:p>
        </w:tc>
        <w:tc>
          <w:tcPr>
            <w:tcW w:w="799" w:type="dxa"/>
            <w:vAlign w:val="top"/>
            <w:vMerge w:val="continue"/>
            <w:tcBorders>
              <w:top w:val="nil"/>
              <w:bottom w:val="nil"/>
            </w:tcBorders>
          </w:tcPr>
          <w:p>
            <w:pPr>
              <w:rPr>
                <w:rFonts w:ascii="Arial"/>
                <w:sz w:val="21"/>
              </w:rPr>
            </w:pPr>
            <w:r/>
          </w:p>
        </w:tc>
        <w:tc>
          <w:tcPr>
            <w:tcW w:w="1159" w:type="dxa"/>
            <w:vAlign w:val="top"/>
            <w:vMerge w:val="restart"/>
            <w:tcBorders>
              <w:bottom w:val="nil"/>
            </w:tcBorders>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48"/>
              <w:spacing w:before="69" w:line="219" w:lineRule="auto"/>
              <w:rPr>
                <w:sz w:val="21"/>
                <w:szCs w:val="21"/>
              </w:rPr>
            </w:pPr>
            <w:r>
              <w:rPr>
                <w:sz w:val="21"/>
                <w:szCs w:val="21"/>
                <w:spacing w:val="-2"/>
              </w:rPr>
              <w:t>废水、固废</w:t>
            </w:r>
          </w:p>
        </w:tc>
        <w:tc>
          <w:tcPr>
            <w:tcW w:w="644" w:type="dxa"/>
            <w:vAlign w:val="top"/>
            <w:vMerge w:val="continue"/>
            <w:tcBorders>
              <w:top w:val="nil"/>
              <w:bottom w:val="nil"/>
            </w:tcBorders>
          </w:tcPr>
          <w:p>
            <w:pPr>
              <w:rPr>
                <w:rFonts w:ascii="Arial"/>
                <w:sz w:val="21"/>
              </w:rPr>
            </w:pPr>
            <w:r/>
          </w:p>
        </w:tc>
      </w:tr>
      <w:tr>
        <w:trPr>
          <w:trHeight w:val="549" w:hRule="atLeast"/>
        </w:trPr>
        <w:tc>
          <w:tcPr>
            <w:tcW w:w="465" w:type="dxa"/>
            <w:vAlign w:val="top"/>
            <w:vMerge w:val="continue"/>
            <w:tcBorders>
              <w:top w:val="nil"/>
              <w:bottom w:val="nil"/>
            </w:tcBorders>
          </w:tcPr>
          <w:p>
            <w:pPr>
              <w:rPr>
                <w:rFonts w:ascii="Arial"/>
                <w:sz w:val="21"/>
              </w:rPr>
            </w:pPr>
            <w:r/>
          </w:p>
        </w:tc>
        <w:tc>
          <w:tcPr>
            <w:tcW w:w="550" w:type="dxa"/>
            <w:vAlign w:val="top"/>
            <w:vMerge w:val="continue"/>
            <w:tcBorders>
              <w:top w:val="nil"/>
              <w:bottom w:val="nil"/>
            </w:tcBorders>
          </w:tcPr>
          <w:p>
            <w:pPr>
              <w:rPr>
                <w:rFonts w:ascii="Arial"/>
                <w:sz w:val="21"/>
              </w:rPr>
            </w:pPr>
            <w:r/>
          </w:p>
        </w:tc>
        <w:tc>
          <w:tcPr>
            <w:tcW w:w="1159" w:type="dxa"/>
            <w:vAlign w:val="top"/>
          </w:tcPr>
          <w:p>
            <w:pPr>
              <w:pStyle w:val="TableText"/>
              <w:ind w:left="39"/>
              <w:spacing w:before="174" w:line="219" w:lineRule="auto"/>
              <w:rPr>
                <w:sz w:val="21"/>
                <w:szCs w:val="21"/>
              </w:rPr>
            </w:pPr>
            <w:r>
              <w:rPr>
                <w:sz w:val="21"/>
                <w:szCs w:val="21"/>
                <w:spacing w:val="3"/>
              </w:rPr>
              <w:t>清洗消毒区</w:t>
            </w:r>
          </w:p>
        </w:tc>
        <w:tc>
          <w:tcPr>
            <w:tcW w:w="10543" w:type="dxa"/>
            <w:vAlign w:val="top"/>
          </w:tcPr>
          <w:p>
            <w:pPr>
              <w:pStyle w:val="TableText"/>
              <w:ind w:left="10" w:right="62" w:firstLine="50"/>
              <w:spacing w:before="40" w:line="219" w:lineRule="auto"/>
              <w:rPr>
                <w:sz w:val="21"/>
                <w:szCs w:val="21"/>
              </w:rPr>
            </w:pPr>
            <w:r>
              <w:rPr>
                <w:sz w:val="21"/>
                <w:szCs w:val="21"/>
                <w:spacing w:val="2"/>
              </w:rPr>
              <w:t>位于生猪屠宰车间，密闭框架结构，面积约359m²,内设发货大厅、男更衣室、女更衣室、卫生间、淋浴间、集血</w:t>
            </w:r>
            <w:r>
              <w:rPr>
                <w:sz w:val="21"/>
                <w:szCs w:val="21"/>
                <w:spacing w:val="14"/>
              </w:rPr>
              <w:t xml:space="preserve"> </w:t>
            </w:r>
            <w:r>
              <w:rPr>
                <w:sz w:val="21"/>
                <w:szCs w:val="21"/>
              </w:rPr>
              <w:t>间等，人员进出及洗手消毒采用聚维酮碘溶液、车间及刀具消毒采用二氯</w:t>
            </w:r>
            <w:r>
              <w:rPr>
                <w:sz w:val="21"/>
                <w:szCs w:val="21"/>
                <w:spacing w:val="-1"/>
              </w:rPr>
              <w:t>异氰尿酸钠。</w:t>
            </w:r>
          </w:p>
        </w:tc>
        <w:tc>
          <w:tcPr>
            <w:tcW w:w="799" w:type="dxa"/>
            <w:vAlign w:val="top"/>
            <w:vMerge w:val="continue"/>
            <w:tcBorders>
              <w:top w:val="nil"/>
              <w:bottom w:val="nil"/>
            </w:tcBorders>
          </w:tcPr>
          <w:p>
            <w:pPr>
              <w:rPr>
                <w:rFonts w:ascii="Arial"/>
                <w:sz w:val="21"/>
              </w:rPr>
            </w:pPr>
            <w:r/>
          </w:p>
        </w:tc>
        <w:tc>
          <w:tcPr>
            <w:tcW w:w="1159" w:type="dxa"/>
            <w:vAlign w:val="top"/>
            <w:vMerge w:val="continue"/>
            <w:tcBorders>
              <w:top w:val="nil"/>
              <w:bottom w:val="nil"/>
            </w:tcBorders>
          </w:tcPr>
          <w:p>
            <w:pPr>
              <w:rPr>
                <w:rFonts w:ascii="Arial"/>
                <w:sz w:val="21"/>
              </w:rPr>
            </w:pPr>
            <w:r/>
          </w:p>
        </w:tc>
        <w:tc>
          <w:tcPr>
            <w:tcW w:w="644" w:type="dxa"/>
            <w:vAlign w:val="top"/>
            <w:vMerge w:val="continue"/>
            <w:tcBorders>
              <w:top w:val="nil"/>
              <w:bottom w:val="nil"/>
            </w:tcBorders>
          </w:tcPr>
          <w:p>
            <w:pPr>
              <w:rPr>
                <w:rFonts w:ascii="Arial"/>
                <w:sz w:val="21"/>
              </w:rPr>
            </w:pPr>
            <w:r/>
          </w:p>
        </w:tc>
      </w:tr>
      <w:tr>
        <w:trPr>
          <w:trHeight w:val="270" w:hRule="atLeast"/>
        </w:trPr>
        <w:tc>
          <w:tcPr>
            <w:tcW w:w="465" w:type="dxa"/>
            <w:vAlign w:val="top"/>
            <w:vMerge w:val="continue"/>
            <w:tcBorders>
              <w:top w:val="nil"/>
              <w:bottom w:val="nil"/>
            </w:tcBorders>
          </w:tcPr>
          <w:p>
            <w:pPr>
              <w:rPr>
                <w:rFonts w:ascii="Arial"/>
                <w:sz w:val="21"/>
              </w:rPr>
            </w:pPr>
            <w:r/>
          </w:p>
        </w:tc>
        <w:tc>
          <w:tcPr>
            <w:tcW w:w="550" w:type="dxa"/>
            <w:vAlign w:val="top"/>
            <w:vMerge w:val="continue"/>
            <w:tcBorders>
              <w:top w:val="nil"/>
              <w:bottom w:val="nil"/>
            </w:tcBorders>
          </w:tcPr>
          <w:p>
            <w:pPr>
              <w:rPr>
                <w:rFonts w:ascii="Arial"/>
                <w:sz w:val="21"/>
              </w:rPr>
            </w:pPr>
            <w:r/>
          </w:p>
        </w:tc>
        <w:tc>
          <w:tcPr>
            <w:tcW w:w="1159" w:type="dxa"/>
            <w:vAlign w:val="top"/>
          </w:tcPr>
          <w:p>
            <w:pPr>
              <w:pStyle w:val="TableText"/>
              <w:ind w:left="39"/>
              <w:spacing w:before="34" w:line="198" w:lineRule="auto"/>
              <w:rPr>
                <w:sz w:val="21"/>
                <w:szCs w:val="21"/>
              </w:rPr>
            </w:pPr>
            <w:r>
              <w:rPr>
                <w:sz w:val="21"/>
                <w:szCs w:val="21"/>
                <w:spacing w:val="4"/>
              </w:rPr>
              <w:t>材料包装间</w:t>
            </w:r>
          </w:p>
        </w:tc>
        <w:tc>
          <w:tcPr>
            <w:tcW w:w="10543" w:type="dxa"/>
            <w:vAlign w:val="top"/>
          </w:tcPr>
          <w:p>
            <w:pPr>
              <w:pStyle w:val="TableText"/>
              <w:ind w:left="1900"/>
              <w:spacing w:before="32" w:line="200" w:lineRule="auto"/>
              <w:rPr>
                <w:sz w:val="21"/>
                <w:szCs w:val="21"/>
              </w:rPr>
            </w:pPr>
            <w:r>
              <w:rPr>
                <w:sz w:val="21"/>
                <w:szCs w:val="21"/>
                <w:spacing w:val="3"/>
              </w:rPr>
              <w:t>位于生猪屠宰车间2F内分割车间西侧，面积约495m²,用于材料</w:t>
            </w:r>
            <w:r>
              <w:rPr>
                <w:sz w:val="21"/>
                <w:szCs w:val="21"/>
                <w:spacing w:val="2"/>
              </w:rPr>
              <w:t>包装贮存。</w:t>
            </w:r>
          </w:p>
        </w:tc>
        <w:tc>
          <w:tcPr>
            <w:tcW w:w="799" w:type="dxa"/>
            <w:vAlign w:val="top"/>
            <w:vMerge w:val="continue"/>
            <w:tcBorders>
              <w:top w:val="nil"/>
              <w:bottom w:val="nil"/>
            </w:tcBorders>
          </w:tcPr>
          <w:p>
            <w:pPr>
              <w:rPr>
                <w:rFonts w:ascii="Arial"/>
                <w:sz w:val="21"/>
              </w:rPr>
            </w:pPr>
            <w:r/>
          </w:p>
        </w:tc>
        <w:tc>
          <w:tcPr>
            <w:tcW w:w="1159" w:type="dxa"/>
            <w:vAlign w:val="top"/>
            <w:vMerge w:val="continue"/>
            <w:tcBorders>
              <w:top w:val="nil"/>
              <w:bottom w:val="nil"/>
            </w:tcBorders>
          </w:tcPr>
          <w:p>
            <w:pPr>
              <w:rPr>
                <w:rFonts w:ascii="Arial"/>
                <w:sz w:val="21"/>
              </w:rPr>
            </w:pPr>
            <w:r/>
          </w:p>
        </w:tc>
        <w:tc>
          <w:tcPr>
            <w:tcW w:w="644" w:type="dxa"/>
            <w:vAlign w:val="top"/>
            <w:vMerge w:val="continue"/>
            <w:tcBorders>
              <w:top w:val="nil"/>
              <w:bottom w:val="nil"/>
            </w:tcBorders>
          </w:tcPr>
          <w:p>
            <w:pPr>
              <w:rPr>
                <w:rFonts w:ascii="Arial"/>
                <w:sz w:val="21"/>
              </w:rPr>
            </w:pPr>
            <w:r/>
          </w:p>
        </w:tc>
      </w:tr>
      <w:tr>
        <w:trPr>
          <w:trHeight w:val="539" w:hRule="atLeast"/>
        </w:trPr>
        <w:tc>
          <w:tcPr>
            <w:tcW w:w="465" w:type="dxa"/>
            <w:vAlign w:val="top"/>
            <w:vMerge w:val="continue"/>
            <w:tcBorders>
              <w:top w:val="nil"/>
              <w:bottom w:val="nil"/>
            </w:tcBorders>
          </w:tcPr>
          <w:p>
            <w:pPr>
              <w:rPr>
                <w:rFonts w:ascii="Arial"/>
                <w:sz w:val="21"/>
              </w:rPr>
            </w:pPr>
            <w:r/>
          </w:p>
        </w:tc>
        <w:tc>
          <w:tcPr>
            <w:tcW w:w="550" w:type="dxa"/>
            <w:vAlign w:val="top"/>
            <w:vMerge w:val="continue"/>
            <w:tcBorders>
              <w:top w:val="nil"/>
              <w:bottom w:val="nil"/>
            </w:tcBorders>
          </w:tcPr>
          <w:p>
            <w:pPr>
              <w:rPr>
                <w:rFonts w:ascii="Arial"/>
                <w:sz w:val="21"/>
              </w:rPr>
            </w:pPr>
            <w:r/>
          </w:p>
        </w:tc>
        <w:tc>
          <w:tcPr>
            <w:tcW w:w="1159" w:type="dxa"/>
            <w:vAlign w:val="top"/>
          </w:tcPr>
          <w:p>
            <w:pPr>
              <w:pStyle w:val="TableText"/>
              <w:ind w:left="39"/>
              <w:spacing w:before="45" w:line="219" w:lineRule="auto"/>
              <w:rPr>
                <w:sz w:val="21"/>
                <w:szCs w:val="21"/>
              </w:rPr>
            </w:pPr>
            <w:r>
              <w:rPr>
                <w:sz w:val="21"/>
                <w:szCs w:val="21"/>
                <w:spacing w:val="4"/>
              </w:rPr>
              <w:t>车辆清洗消</w:t>
            </w:r>
          </w:p>
          <w:p>
            <w:pPr>
              <w:pStyle w:val="TableText"/>
              <w:ind w:left="359"/>
              <w:spacing w:before="9" w:line="197" w:lineRule="auto"/>
              <w:rPr>
                <w:sz w:val="21"/>
                <w:szCs w:val="21"/>
              </w:rPr>
            </w:pPr>
            <w:r>
              <w:rPr>
                <w:sz w:val="21"/>
                <w:szCs w:val="21"/>
                <w:spacing w:val="10"/>
              </w:rPr>
              <w:t>毒间</w:t>
            </w:r>
          </w:p>
        </w:tc>
        <w:tc>
          <w:tcPr>
            <w:tcW w:w="10543" w:type="dxa"/>
            <w:vAlign w:val="top"/>
          </w:tcPr>
          <w:p>
            <w:pPr>
              <w:pStyle w:val="TableText"/>
              <w:ind w:left="1220"/>
              <w:spacing w:before="172" w:line="216" w:lineRule="auto"/>
              <w:rPr>
                <w:sz w:val="21"/>
                <w:szCs w:val="21"/>
              </w:rPr>
            </w:pPr>
            <w:r>
              <w:rPr>
                <w:sz w:val="21"/>
                <w:szCs w:val="21"/>
                <w:spacing w:val="2"/>
              </w:rPr>
              <w:t>位于生猪屠宰车间2F内分割车间北侧，面积约27.5m²,用于运输生猪分割肉小车的清洗。</w:t>
            </w:r>
          </w:p>
        </w:tc>
        <w:tc>
          <w:tcPr>
            <w:tcW w:w="799" w:type="dxa"/>
            <w:vAlign w:val="top"/>
            <w:vMerge w:val="continue"/>
            <w:tcBorders>
              <w:top w:val="nil"/>
              <w:bottom w:val="nil"/>
            </w:tcBorders>
          </w:tcPr>
          <w:p>
            <w:pPr>
              <w:rPr>
                <w:rFonts w:ascii="Arial"/>
                <w:sz w:val="21"/>
              </w:rPr>
            </w:pPr>
            <w:r/>
          </w:p>
        </w:tc>
        <w:tc>
          <w:tcPr>
            <w:tcW w:w="1159" w:type="dxa"/>
            <w:vAlign w:val="top"/>
            <w:vMerge w:val="continue"/>
            <w:tcBorders>
              <w:top w:val="nil"/>
              <w:bottom w:val="nil"/>
            </w:tcBorders>
          </w:tcPr>
          <w:p>
            <w:pPr>
              <w:rPr>
                <w:rFonts w:ascii="Arial"/>
                <w:sz w:val="21"/>
              </w:rPr>
            </w:pPr>
            <w:r/>
          </w:p>
        </w:tc>
        <w:tc>
          <w:tcPr>
            <w:tcW w:w="644" w:type="dxa"/>
            <w:vAlign w:val="top"/>
            <w:vMerge w:val="continue"/>
            <w:tcBorders>
              <w:top w:val="nil"/>
              <w:bottom w:val="nil"/>
            </w:tcBorders>
          </w:tcPr>
          <w:p>
            <w:pPr>
              <w:rPr>
                <w:rFonts w:ascii="Arial"/>
                <w:sz w:val="21"/>
              </w:rPr>
            </w:pPr>
            <w:r/>
          </w:p>
        </w:tc>
      </w:tr>
      <w:tr>
        <w:trPr>
          <w:trHeight w:val="289" w:hRule="atLeast"/>
        </w:trPr>
        <w:tc>
          <w:tcPr>
            <w:tcW w:w="465" w:type="dxa"/>
            <w:vAlign w:val="top"/>
            <w:vMerge w:val="continue"/>
            <w:tcBorders>
              <w:top w:val="nil"/>
              <w:bottom w:val="nil"/>
            </w:tcBorders>
          </w:tcPr>
          <w:p>
            <w:pPr>
              <w:rPr>
                <w:rFonts w:ascii="Arial"/>
                <w:sz w:val="21"/>
              </w:rPr>
            </w:pPr>
            <w:r/>
          </w:p>
        </w:tc>
        <w:tc>
          <w:tcPr>
            <w:tcW w:w="550" w:type="dxa"/>
            <w:vAlign w:val="top"/>
            <w:vMerge w:val="continue"/>
            <w:tcBorders>
              <w:top w:val="nil"/>
              <w:bottom w:val="nil"/>
            </w:tcBorders>
          </w:tcPr>
          <w:p>
            <w:pPr>
              <w:rPr>
                <w:rFonts w:ascii="Arial"/>
                <w:sz w:val="21"/>
              </w:rPr>
            </w:pPr>
            <w:r/>
          </w:p>
        </w:tc>
        <w:tc>
          <w:tcPr>
            <w:tcW w:w="1159" w:type="dxa"/>
            <w:vAlign w:val="top"/>
          </w:tcPr>
          <w:p>
            <w:pPr>
              <w:pStyle w:val="TableText"/>
              <w:ind w:left="39"/>
              <w:spacing w:before="46" w:line="204" w:lineRule="auto"/>
              <w:rPr>
                <w:sz w:val="21"/>
                <w:szCs w:val="21"/>
              </w:rPr>
            </w:pPr>
            <w:r>
              <w:rPr>
                <w:sz w:val="21"/>
                <w:szCs w:val="21"/>
                <w:spacing w:val="4"/>
              </w:rPr>
              <w:t>磨刀消毒间</w:t>
            </w:r>
          </w:p>
        </w:tc>
        <w:tc>
          <w:tcPr>
            <w:tcW w:w="10543" w:type="dxa"/>
            <w:vAlign w:val="top"/>
          </w:tcPr>
          <w:p>
            <w:pPr>
              <w:pStyle w:val="TableText"/>
              <w:ind w:left="2060"/>
              <w:spacing w:before="43" w:line="207" w:lineRule="auto"/>
              <w:rPr>
                <w:sz w:val="21"/>
                <w:szCs w:val="21"/>
              </w:rPr>
            </w:pPr>
            <w:r>
              <w:rPr>
                <w:sz w:val="21"/>
                <w:szCs w:val="21"/>
                <w:spacing w:val="3"/>
              </w:rPr>
              <w:t>位于生猪屠宰车间2F内分割车间北侧，面积约27.5m²,用</w:t>
            </w:r>
            <w:r>
              <w:rPr>
                <w:sz w:val="21"/>
                <w:szCs w:val="21"/>
                <w:spacing w:val="2"/>
              </w:rPr>
              <w:t>于刀具消毒。</w:t>
            </w:r>
          </w:p>
        </w:tc>
        <w:tc>
          <w:tcPr>
            <w:tcW w:w="799" w:type="dxa"/>
            <w:vAlign w:val="top"/>
            <w:vMerge w:val="continue"/>
            <w:tcBorders>
              <w:top w:val="nil"/>
              <w:bottom w:val="nil"/>
            </w:tcBorders>
          </w:tcPr>
          <w:p>
            <w:pPr>
              <w:rPr>
                <w:rFonts w:ascii="Arial"/>
                <w:sz w:val="21"/>
              </w:rPr>
            </w:pPr>
            <w:r/>
          </w:p>
        </w:tc>
        <w:tc>
          <w:tcPr>
            <w:tcW w:w="1159" w:type="dxa"/>
            <w:vAlign w:val="top"/>
            <w:vMerge w:val="continue"/>
            <w:tcBorders>
              <w:top w:val="nil"/>
              <w:bottom w:val="nil"/>
            </w:tcBorders>
          </w:tcPr>
          <w:p>
            <w:pPr>
              <w:rPr>
                <w:rFonts w:ascii="Arial"/>
                <w:sz w:val="21"/>
              </w:rPr>
            </w:pPr>
            <w:r/>
          </w:p>
        </w:tc>
        <w:tc>
          <w:tcPr>
            <w:tcW w:w="644" w:type="dxa"/>
            <w:vAlign w:val="top"/>
            <w:vMerge w:val="continue"/>
            <w:tcBorders>
              <w:top w:val="nil"/>
              <w:bottom w:val="nil"/>
            </w:tcBorders>
          </w:tcPr>
          <w:p>
            <w:pPr>
              <w:rPr>
                <w:rFonts w:ascii="Arial"/>
                <w:sz w:val="21"/>
              </w:rPr>
            </w:pPr>
            <w:r/>
          </w:p>
        </w:tc>
      </w:tr>
      <w:tr>
        <w:trPr>
          <w:trHeight w:val="279" w:hRule="atLeast"/>
        </w:trPr>
        <w:tc>
          <w:tcPr>
            <w:tcW w:w="465" w:type="dxa"/>
            <w:vAlign w:val="top"/>
            <w:vMerge w:val="continue"/>
            <w:tcBorders>
              <w:top w:val="nil"/>
              <w:bottom w:val="nil"/>
            </w:tcBorders>
          </w:tcPr>
          <w:p>
            <w:pPr>
              <w:rPr>
                <w:rFonts w:ascii="Arial"/>
                <w:sz w:val="21"/>
              </w:rPr>
            </w:pPr>
            <w:r/>
          </w:p>
        </w:tc>
        <w:tc>
          <w:tcPr>
            <w:tcW w:w="550" w:type="dxa"/>
            <w:vAlign w:val="top"/>
            <w:vMerge w:val="continue"/>
            <w:tcBorders>
              <w:top w:val="nil"/>
              <w:bottom w:val="nil"/>
            </w:tcBorders>
          </w:tcPr>
          <w:p>
            <w:pPr>
              <w:rPr>
                <w:rFonts w:ascii="Arial"/>
                <w:sz w:val="21"/>
              </w:rPr>
            </w:pPr>
            <w:r/>
          </w:p>
        </w:tc>
        <w:tc>
          <w:tcPr>
            <w:tcW w:w="1159" w:type="dxa"/>
            <w:vAlign w:val="top"/>
          </w:tcPr>
          <w:p>
            <w:pPr>
              <w:pStyle w:val="TableText"/>
              <w:ind w:left="39"/>
              <w:spacing w:before="48" w:line="194" w:lineRule="auto"/>
              <w:rPr>
                <w:sz w:val="21"/>
                <w:szCs w:val="21"/>
              </w:rPr>
            </w:pPr>
            <w:r>
              <w:rPr>
                <w:sz w:val="21"/>
                <w:szCs w:val="21"/>
                <w:spacing w:val="4"/>
              </w:rPr>
              <w:t>冻盘清洗间</w:t>
            </w:r>
          </w:p>
        </w:tc>
        <w:tc>
          <w:tcPr>
            <w:tcW w:w="10543" w:type="dxa"/>
            <w:vAlign w:val="top"/>
          </w:tcPr>
          <w:p>
            <w:pPr>
              <w:pStyle w:val="TableText"/>
              <w:ind w:left="2060"/>
              <w:spacing w:before="43" w:line="198" w:lineRule="auto"/>
              <w:rPr>
                <w:sz w:val="21"/>
                <w:szCs w:val="21"/>
              </w:rPr>
            </w:pPr>
            <w:r>
              <w:rPr>
                <w:sz w:val="21"/>
                <w:szCs w:val="21"/>
                <w:spacing w:val="3"/>
              </w:rPr>
              <w:t>位于生猪屠宰车间2F内分割车间北侧，面积约55.5m²,用</w:t>
            </w:r>
            <w:r>
              <w:rPr>
                <w:sz w:val="21"/>
                <w:szCs w:val="21"/>
                <w:spacing w:val="2"/>
              </w:rPr>
              <w:t>于动盘清洗。</w:t>
            </w:r>
          </w:p>
        </w:tc>
        <w:tc>
          <w:tcPr>
            <w:tcW w:w="799" w:type="dxa"/>
            <w:vAlign w:val="top"/>
            <w:vMerge w:val="continue"/>
            <w:tcBorders>
              <w:top w:val="nil"/>
              <w:bottom w:val="nil"/>
            </w:tcBorders>
          </w:tcPr>
          <w:p>
            <w:pPr>
              <w:rPr>
                <w:rFonts w:ascii="Arial"/>
                <w:sz w:val="21"/>
              </w:rPr>
            </w:pPr>
            <w:r/>
          </w:p>
        </w:tc>
        <w:tc>
          <w:tcPr>
            <w:tcW w:w="1159" w:type="dxa"/>
            <w:vAlign w:val="top"/>
            <w:vMerge w:val="continue"/>
            <w:tcBorders>
              <w:top w:val="nil"/>
              <w:bottom w:val="nil"/>
            </w:tcBorders>
          </w:tcPr>
          <w:p>
            <w:pPr>
              <w:rPr>
                <w:rFonts w:ascii="Arial"/>
                <w:sz w:val="21"/>
              </w:rPr>
            </w:pPr>
            <w:r/>
          </w:p>
        </w:tc>
        <w:tc>
          <w:tcPr>
            <w:tcW w:w="644" w:type="dxa"/>
            <w:vAlign w:val="top"/>
            <w:vMerge w:val="continue"/>
            <w:tcBorders>
              <w:top w:val="nil"/>
              <w:bottom w:val="nil"/>
            </w:tcBorders>
          </w:tcPr>
          <w:p>
            <w:pPr>
              <w:rPr>
                <w:rFonts w:ascii="Arial"/>
                <w:sz w:val="21"/>
              </w:rPr>
            </w:pPr>
            <w:r/>
          </w:p>
        </w:tc>
      </w:tr>
      <w:tr>
        <w:trPr>
          <w:trHeight w:val="270" w:hRule="atLeast"/>
        </w:trPr>
        <w:tc>
          <w:tcPr>
            <w:tcW w:w="465" w:type="dxa"/>
            <w:vAlign w:val="top"/>
            <w:vMerge w:val="continue"/>
            <w:tcBorders>
              <w:top w:val="nil"/>
              <w:bottom w:val="nil"/>
            </w:tcBorders>
          </w:tcPr>
          <w:p>
            <w:pPr>
              <w:rPr>
                <w:rFonts w:ascii="Arial"/>
                <w:sz w:val="21"/>
              </w:rPr>
            </w:pPr>
            <w:r/>
          </w:p>
        </w:tc>
        <w:tc>
          <w:tcPr>
            <w:tcW w:w="550" w:type="dxa"/>
            <w:vAlign w:val="top"/>
            <w:vMerge w:val="continue"/>
            <w:tcBorders>
              <w:top w:val="nil"/>
            </w:tcBorders>
          </w:tcPr>
          <w:p>
            <w:pPr>
              <w:rPr>
                <w:rFonts w:ascii="Arial"/>
                <w:sz w:val="21"/>
              </w:rPr>
            </w:pPr>
            <w:r/>
          </w:p>
        </w:tc>
        <w:tc>
          <w:tcPr>
            <w:tcW w:w="1159" w:type="dxa"/>
            <w:vAlign w:val="top"/>
          </w:tcPr>
          <w:p>
            <w:pPr>
              <w:pStyle w:val="TableText"/>
              <w:ind w:left="249"/>
              <w:spacing w:before="39" w:line="194" w:lineRule="auto"/>
              <w:rPr>
                <w:sz w:val="21"/>
                <w:szCs w:val="21"/>
              </w:rPr>
            </w:pPr>
            <w:r>
              <w:rPr>
                <w:sz w:val="21"/>
                <w:szCs w:val="21"/>
                <w:spacing w:val="6"/>
              </w:rPr>
              <w:t>包装间</w:t>
            </w:r>
          </w:p>
        </w:tc>
        <w:tc>
          <w:tcPr>
            <w:tcW w:w="10543" w:type="dxa"/>
            <w:vAlign w:val="top"/>
          </w:tcPr>
          <w:p>
            <w:pPr>
              <w:pStyle w:val="TableText"/>
              <w:ind w:left="1270"/>
              <w:spacing w:before="35" w:line="197" w:lineRule="auto"/>
              <w:rPr>
                <w:sz w:val="21"/>
                <w:szCs w:val="21"/>
              </w:rPr>
            </w:pPr>
            <w:r>
              <w:rPr>
                <w:sz w:val="21"/>
                <w:szCs w:val="21"/>
                <w:spacing w:val="3"/>
              </w:rPr>
              <w:t>位于生猪屠宰车间2F内分割车间北侧，面</w:t>
            </w:r>
            <w:r>
              <w:rPr>
                <w:sz w:val="21"/>
                <w:szCs w:val="21"/>
                <w:spacing w:val="2"/>
              </w:rPr>
              <w:t>积约110m²,用于运输生猪分割肉小车的清洗。</w:t>
            </w:r>
          </w:p>
        </w:tc>
        <w:tc>
          <w:tcPr>
            <w:tcW w:w="799" w:type="dxa"/>
            <w:vAlign w:val="top"/>
            <w:vMerge w:val="continue"/>
            <w:tcBorders>
              <w:top w:val="nil"/>
              <w:bottom w:val="nil"/>
            </w:tcBorders>
          </w:tcPr>
          <w:p>
            <w:pPr>
              <w:rPr>
                <w:rFonts w:ascii="Arial"/>
                <w:sz w:val="21"/>
              </w:rPr>
            </w:pPr>
            <w:r/>
          </w:p>
        </w:tc>
        <w:tc>
          <w:tcPr>
            <w:tcW w:w="1159" w:type="dxa"/>
            <w:vAlign w:val="top"/>
            <w:vMerge w:val="continue"/>
            <w:tcBorders>
              <w:top w:val="nil"/>
            </w:tcBorders>
          </w:tcPr>
          <w:p>
            <w:pPr>
              <w:rPr>
                <w:rFonts w:ascii="Arial"/>
                <w:sz w:val="21"/>
              </w:rPr>
            </w:pPr>
            <w:r/>
          </w:p>
        </w:tc>
        <w:tc>
          <w:tcPr>
            <w:tcW w:w="644" w:type="dxa"/>
            <w:vAlign w:val="top"/>
            <w:vMerge w:val="continue"/>
            <w:tcBorders>
              <w:top w:val="nil"/>
            </w:tcBorders>
          </w:tcPr>
          <w:p>
            <w:pPr>
              <w:rPr>
                <w:rFonts w:ascii="Arial"/>
                <w:sz w:val="21"/>
              </w:rPr>
            </w:pPr>
            <w:r/>
          </w:p>
        </w:tc>
      </w:tr>
      <w:tr>
        <w:trPr>
          <w:trHeight w:val="260" w:hRule="atLeast"/>
        </w:trPr>
        <w:tc>
          <w:tcPr>
            <w:tcW w:w="465" w:type="dxa"/>
            <w:vAlign w:val="top"/>
            <w:vMerge w:val="continue"/>
            <w:tcBorders>
              <w:top w:val="nil"/>
              <w:bottom w:val="nil"/>
            </w:tcBorders>
          </w:tcPr>
          <w:p>
            <w:pPr>
              <w:rPr>
                <w:rFonts w:ascii="Arial"/>
                <w:sz w:val="21"/>
              </w:rPr>
            </w:pPr>
            <w:r/>
          </w:p>
        </w:tc>
        <w:tc>
          <w:tcPr>
            <w:tcW w:w="550" w:type="dxa"/>
            <w:vAlign w:val="top"/>
            <w:vMerge w:val="restart"/>
            <w:tcBorders>
              <w:bottom w:val="nil"/>
            </w:tcBorders>
          </w:tcPr>
          <w:p>
            <w:pPr>
              <w:pStyle w:val="TableText"/>
              <w:ind w:left="49"/>
              <w:spacing w:before="179" w:line="221" w:lineRule="auto"/>
              <w:rPr>
                <w:sz w:val="21"/>
                <w:szCs w:val="21"/>
              </w:rPr>
            </w:pPr>
            <w:r>
              <w:rPr>
                <w:sz w:val="21"/>
                <w:szCs w:val="21"/>
                <w:spacing w:val="6"/>
              </w:rPr>
              <w:t>肉牛</w:t>
            </w:r>
          </w:p>
        </w:tc>
        <w:tc>
          <w:tcPr>
            <w:tcW w:w="1159" w:type="dxa"/>
            <w:vAlign w:val="top"/>
          </w:tcPr>
          <w:p>
            <w:pPr>
              <w:pStyle w:val="TableText"/>
              <w:ind w:left="249"/>
              <w:spacing w:before="39" w:line="185" w:lineRule="auto"/>
              <w:rPr>
                <w:sz w:val="21"/>
                <w:szCs w:val="21"/>
              </w:rPr>
            </w:pPr>
            <w:r>
              <w:rPr>
                <w:sz w:val="21"/>
                <w:szCs w:val="21"/>
                <w:color w:val="505060"/>
                <w:spacing w:val="6"/>
              </w:rPr>
              <w:t>病体间</w:t>
            </w:r>
          </w:p>
        </w:tc>
        <w:tc>
          <w:tcPr>
            <w:tcW w:w="10543" w:type="dxa"/>
            <w:vAlign w:val="top"/>
          </w:tcPr>
          <w:p>
            <w:pPr>
              <w:pStyle w:val="TableText"/>
              <w:ind w:left="430"/>
              <w:spacing w:before="35" w:line="189" w:lineRule="auto"/>
              <w:rPr>
                <w:sz w:val="21"/>
                <w:szCs w:val="21"/>
              </w:rPr>
            </w:pPr>
            <w:r>
              <w:rPr>
                <w:sz w:val="21"/>
                <w:szCs w:val="21"/>
                <w:spacing w:val="2"/>
              </w:rPr>
              <w:t>设置1间，面积约为18m²,位于肉牛屠宰车间内红脏处理间旁，对疫病牛、病牛四分体、病内脏进行暂存。</w:t>
            </w:r>
          </w:p>
        </w:tc>
        <w:tc>
          <w:tcPr>
            <w:tcW w:w="799" w:type="dxa"/>
            <w:vAlign w:val="top"/>
            <w:vMerge w:val="continue"/>
            <w:tcBorders>
              <w:top w:val="nil"/>
              <w:bottom w:val="nil"/>
            </w:tcBorders>
          </w:tcPr>
          <w:p>
            <w:pPr>
              <w:rPr>
                <w:rFonts w:ascii="Arial"/>
                <w:sz w:val="21"/>
              </w:rPr>
            </w:pPr>
            <w:r/>
          </w:p>
        </w:tc>
        <w:tc>
          <w:tcPr>
            <w:tcW w:w="1159" w:type="dxa"/>
            <w:vAlign w:val="top"/>
            <w:vMerge w:val="restart"/>
            <w:tcBorders>
              <w:bottom w:val="nil"/>
            </w:tcBorders>
          </w:tcPr>
          <w:p>
            <w:pPr>
              <w:pStyle w:val="TableText"/>
              <w:ind w:left="48"/>
              <w:spacing w:before="178" w:line="219" w:lineRule="auto"/>
              <w:rPr>
                <w:sz w:val="21"/>
                <w:szCs w:val="21"/>
              </w:rPr>
            </w:pPr>
            <w:r>
              <w:rPr>
                <w:sz w:val="21"/>
                <w:szCs w:val="21"/>
                <w:spacing w:val="-2"/>
              </w:rPr>
              <w:t>废水、固废</w:t>
            </w:r>
          </w:p>
        </w:tc>
        <w:tc>
          <w:tcPr>
            <w:tcW w:w="644" w:type="dxa"/>
            <w:vAlign w:val="top"/>
            <w:vMerge w:val="restart"/>
            <w:tcBorders>
              <w:bottom w:val="nil"/>
            </w:tcBorders>
          </w:tcPr>
          <w:p>
            <w:pPr>
              <w:pStyle w:val="TableText"/>
              <w:ind w:left="109"/>
              <w:spacing w:before="179" w:line="220" w:lineRule="auto"/>
              <w:rPr>
                <w:sz w:val="21"/>
                <w:szCs w:val="21"/>
              </w:rPr>
            </w:pPr>
            <w:r>
              <w:rPr>
                <w:sz w:val="21"/>
                <w:szCs w:val="21"/>
                <w:spacing w:val="-3"/>
              </w:rPr>
              <w:t>新建</w:t>
            </w:r>
          </w:p>
        </w:tc>
      </w:tr>
      <w:tr>
        <w:trPr>
          <w:trHeight w:val="274" w:hRule="atLeast"/>
        </w:trPr>
        <w:tc>
          <w:tcPr>
            <w:tcW w:w="465" w:type="dxa"/>
            <w:vAlign w:val="top"/>
            <w:vMerge w:val="continue"/>
            <w:tcBorders>
              <w:top w:val="nil"/>
            </w:tcBorders>
          </w:tcPr>
          <w:p>
            <w:pPr>
              <w:rPr>
                <w:rFonts w:ascii="Arial"/>
                <w:sz w:val="21"/>
              </w:rPr>
            </w:pPr>
            <w:r/>
          </w:p>
        </w:tc>
        <w:tc>
          <w:tcPr>
            <w:tcW w:w="550" w:type="dxa"/>
            <w:vAlign w:val="top"/>
            <w:vMerge w:val="continue"/>
            <w:tcBorders>
              <w:top w:val="nil"/>
            </w:tcBorders>
          </w:tcPr>
          <w:p>
            <w:pPr>
              <w:rPr>
                <w:rFonts w:ascii="Arial"/>
                <w:sz w:val="21"/>
              </w:rPr>
            </w:pPr>
            <w:r/>
          </w:p>
        </w:tc>
        <w:tc>
          <w:tcPr>
            <w:tcW w:w="1159" w:type="dxa"/>
            <w:vAlign w:val="top"/>
          </w:tcPr>
          <w:p>
            <w:pPr>
              <w:pStyle w:val="TableText"/>
              <w:ind w:left="249"/>
              <w:spacing w:before="38" w:line="198" w:lineRule="auto"/>
              <w:rPr>
                <w:sz w:val="21"/>
                <w:szCs w:val="21"/>
              </w:rPr>
            </w:pPr>
            <w:r>
              <w:rPr>
                <w:sz w:val="21"/>
                <w:szCs w:val="21"/>
                <w:color w:val="606060"/>
                <w:spacing w:val="-2"/>
              </w:rPr>
              <w:t>检疫室</w:t>
            </w:r>
          </w:p>
        </w:tc>
        <w:tc>
          <w:tcPr>
            <w:tcW w:w="10543" w:type="dxa"/>
            <w:vAlign w:val="top"/>
          </w:tcPr>
          <w:p>
            <w:pPr>
              <w:pStyle w:val="TableText"/>
              <w:ind w:left="850"/>
              <w:spacing w:before="35" w:line="201" w:lineRule="auto"/>
              <w:rPr>
                <w:sz w:val="21"/>
                <w:szCs w:val="21"/>
              </w:rPr>
            </w:pPr>
            <w:r>
              <w:rPr>
                <w:sz w:val="21"/>
                <w:szCs w:val="21"/>
                <w:spacing w:val="2"/>
              </w:rPr>
              <w:t>设置1间，面积约为11.4m²,位于肉牛屠宰车间内白脏处理间旁，对宰杀后胴体、内脏进行复检。</w:t>
            </w:r>
          </w:p>
        </w:tc>
        <w:tc>
          <w:tcPr>
            <w:tcW w:w="799" w:type="dxa"/>
            <w:vAlign w:val="top"/>
            <w:vMerge w:val="continue"/>
            <w:tcBorders>
              <w:top w:val="nil"/>
            </w:tcBorders>
          </w:tcPr>
          <w:p>
            <w:pPr>
              <w:rPr>
                <w:rFonts w:ascii="Arial"/>
                <w:sz w:val="21"/>
              </w:rPr>
            </w:pPr>
            <w:r/>
          </w:p>
        </w:tc>
        <w:tc>
          <w:tcPr>
            <w:tcW w:w="1159" w:type="dxa"/>
            <w:vAlign w:val="top"/>
            <w:vMerge w:val="continue"/>
            <w:tcBorders>
              <w:top w:val="nil"/>
            </w:tcBorders>
          </w:tcPr>
          <w:p>
            <w:pPr>
              <w:rPr>
                <w:rFonts w:ascii="Arial"/>
                <w:sz w:val="21"/>
              </w:rPr>
            </w:pPr>
            <w:r/>
          </w:p>
        </w:tc>
        <w:tc>
          <w:tcPr>
            <w:tcW w:w="644" w:type="dxa"/>
            <w:vAlign w:val="top"/>
            <w:vMerge w:val="continue"/>
            <w:tcBorders>
              <w:top w:val="nil"/>
            </w:tcBorders>
          </w:tcPr>
          <w:p>
            <w:pPr>
              <w:rPr>
                <w:rFonts w:ascii="Arial"/>
                <w:sz w:val="21"/>
              </w:rPr>
            </w:pPr>
            <w:r/>
          </w:p>
        </w:tc>
      </w:tr>
    </w:tbl>
    <w:p>
      <w:pPr>
        <w:pStyle w:val="BodyText"/>
        <w:rPr/>
      </w:pPr>
      <w:r/>
    </w:p>
    <w:p>
      <w:pPr>
        <w:sectPr>
          <w:headerReference w:type="default" r:id="rId203"/>
          <w:footerReference w:type="default" r:id="rId204"/>
          <w:pgSz w:w="16840" w:h="11910"/>
          <w:pgMar w:top="1207" w:right="795" w:bottom="952" w:left="715" w:header="915" w:footer="767" w:gutter="0"/>
        </w:sectPr>
        <w:rPr/>
      </w:pPr>
    </w:p>
    <w:p>
      <w:pPr>
        <w:spacing w:before="57"/>
        <w:rPr/>
      </w:pPr>
      <w:r/>
    </w:p>
    <w:p>
      <w:pPr>
        <w:spacing w:before="57"/>
        <w:rPr/>
      </w:pPr>
      <w:r/>
    </w:p>
    <w:tbl>
      <w:tblPr>
        <w:tblStyle w:val="TableNormal"/>
        <w:tblW w:w="1532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95"/>
        <w:gridCol w:w="530"/>
        <w:gridCol w:w="1159"/>
        <w:gridCol w:w="10563"/>
        <w:gridCol w:w="769"/>
        <w:gridCol w:w="1159"/>
        <w:gridCol w:w="645"/>
      </w:tblGrid>
      <w:tr>
        <w:trPr>
          <w:trHeight w:val="274" w:hRule="atLeast"/>
        </w:trPr>
        <w:tc>
          <w:tcPr>
            <w:tcW w:w="495" w:type="dxa"/>
            <w:vAlign w:val="top"/>
            <w:vMerge w:val="restart"/>
            <w:tcBorders>
              <w:bottom w:val="nil"/>
            </w:tcBorders>
          </w:tcPr>
          <w:p>
            <w:pPr>
              <w:rPr>
                <w:rFonts w:ascii="Arial"/>
                <w:sz w:val="21"/>
              </w:rPr>
            </w:pPr>
            <w:r/>
          </w:p>
        </w:tc>
        <w:tc>
          <w:tcPr>
            <w:tcW w:w="530" w:type="dxa"/>
            <w:vAlign w:val="top"/>
            <w:vMerge w:val="restart"/>
            <w:tcBorders>
              <w:bottom w:val="nil"/>
            </w:tcBorders>
          </w:tcPr>
          <w:p>
            <w:pPr>
              <w:rPr>
                <w:rFonts w:ascii="Arial"/>
                <w:sz w:val="21"/>
              </w:rPr>
            </w:pPr>
            <w:r/>
          </w:p>
        </w:tc>
        <w:tc>
          <w:tcPr>
            <w:tcW w:w="1159" w:type="dxa"/>
            <w:vAlign w:val="top"/>
          </w:tcPr>
          <w:p>
            <w:pPr>
              <w:pStyle w:val="TableText"/>
              <w:ind w:left="149"/>
              <w:spacing w:before="34" w:line="202" w:lineRule="auto"/>
              <w:rPr>
                <w:sz w:val="21"/>
                <w:szCs w:val="21"/>
              </w:rPr>
            </w:pPr>
            <w:r>
              <w:rPr>
                <w:sz w:val="21"/>
                <w:szCs w:val="21"/>
                <w:spacing w:val="-2"/>
              </w:rPr>
              <w:t>鲜销大厅</w:t>
            </w:r>
          </w:p>
        </w:tc>
        <w:tc>
          <w:tcPr>
            <w:tcW w:w="10563" w:type="dxa"/>
            <w:vAlign w:val="top"/>
          </w:tcPr>
          <w:p>
            <w:pPr>
              <w:pStyle w:val="TableText"/>
              <w:ind w:left="2281"/>
              <w:spacing w:before="33" w:line="203" w:lineRule="auto"/>
              <w:rPr>
                <w:sz w:val="21"/>
                <w:szCs w:val="21"/>
              </w:rPr>
            </w:pPr>
            <w:r>
              <w:rPr>
                <w:sz w:val="21"/>
                <w:szCs w:val="21"/>
              </w:rPr>
              <w:t>位于1F肉牛屠宰车间内最南侧，用于肉牛屠宰、分割</w:t>
            </w:r>
            <w:r>
              <w:rPr>
                <w:sz w:val="21"/>
                <w:szCs w:val="21"/>
                <w:spacing w:val="-1"/>
              </w:rPr>
              <w:t>后产品销售。</w:t>
            </w:r>
          </w:p>
        </w:tc>
        <w:tc>
          <w:tcPr>
            <w:tcW w:w="769" w:type="dxa"/>
            <w:vAlign w:val="top"/>
            <w:vMerge w:val="restart"/>
            <w:tcBorders>
              <w:bottom w:val="nil"/>
            </w:tcBorders>
          </w:tcPr>
          <w:p>
            <w:pPr>
              <w:rPr>
                <w:rFonts w:ascii="Arial"/>
                <w:sz w:val="21"/>
              </w:rPr>
            </w:pPr>
            <w:r/>
          </w:p>
        </w:tc>
        <w:tc>
          <w:tcPr>
            <w:tcW w:w="1159" w:type="dxa"/>
            <w:vAlign w:val="top"/>
          </w:tcPr>
          <w:p>
            <w:pPr>
              <w:pStyle w:val="TableText"/>
              <w:ind w:left="519"/>
              <w:spacing w:before="38" w:line="198" w:lineRule="auto"/>
              <w:rPr>
                <w:sz w:val="21"/>
                <w:szCs w:val="21"/>
              </w:rPr>
            </w:pPr>
            <w:r>
              <w:rPr>
                <w:sz w:val="21"/>
                <w:szCs w:val="21"/>
                <w:color w:val="303040"/>
              </w:rPr>
              <w:t>/</w:t>
            </w:r>
          </w:p>
        </w:tc>
        <w:tc>
          <w:tcPr>
            <w:tcW w:w="645" w:type="dxa"/>
            <w:vAlign w:val="top"/>
            <w:vMerge w:val="restart"/>
            <w:tcBorders>
              <w:bottom w:val="nil"/>
            </w:tcBorders>
          </w:tcPr>
          <w:p>
            <w:pPr>
              <w:rPr>
                <w:rFonts w:ascii="Arial"/>
                <w:sz w:val="21"/>
              </w:rPr>
            </w:pPr>
            <w:r/>
          </w:p>
        </w:tc>
      </w:tr>
      <w:tr>
        <w:trPr>
          <w:trHeight w:val="270" w:hRule="atLeast"/>
        </w:trPr>
        <w:tc>
          <w:tcPr>
            <w:tcW w:w="495" w:type="dxa"/>
            <w:vAlign w:val="top"/>
            <w:vMerge w:val="continue"/>
            <w:tcBorders>
              <w:top w:val="nil"/>
              <w:bottom w:val="nil"/>
            </w:tcBorders>
          </w:tcPr>
          <w:p>
            <w:pPr>
              <w:rPr>
                <w:rFonts w:ascii="Arial"/>
                <w:sz w:val="21"/>
              </w:rPr>
            </w:pPr>
            <w:r/>
          </w:p>
        </w:tc>
        <w:tc>
          <w:tcPr>
            <w:tcW w:w="530" w:type="dxa"/>
            <w:vAlign w:val="top"/>
            <w:vMerge w:val="continue"/>
            <w:tcBorders>
              <w:top w:val="nil"/>
              <w:bottom w:val="nil"/>
            </w:tcBorders>
          </w:tcPr>
          <w:p>
            <w:pPr>
              <w:rPr>
                <w:rFonts w:ascii="Arial"/>
                <w:sz w:val="21"/>
              </w:rPr>
            </w:pPr>
            <w:r/>
          </w:p>
        </w:tc>
        <w:tc>
          <w:tcPr>
            <w:tcW w:w="1159" w:type="dxa"/>
            <w:vAlign w:val="top"/>
          </w:tcPr>
          <w:p>
            <w:pPr>
              <w:pStyle w:val="TableText"/>
              <w:ind w:left="250"/>
              <w:spacing w:before="31" w:line="201" w:lineRule="auto"/>
              <w:rPr>
                <w:sz w:val="21"/>
                <w:szCs w:val="21"/>
              </w:rPr>
            </w:pPr>
            <w:r>
              <w:rPr>
                <w:sz w:val="21"/>
                <w:szCs w:val="21"/>
                <w:color w:val="807070"/>
                <w:spacing w:val="6"/>
              </w:rPr>
              <w:t>排酸间</w:t>
            </w:r>
          </w:p>
        </w:tc>
        <w:tc>
          <w:tcPr>
            <w:tcW w:w="10563" w:type="dxa"/>
            <w:vAlign w:val="top"/>
          </w:tcPr>
          <w:p>
            <w:pPr>
              <w:pStyle w:val="TableText"/>
              <w:ind w:left="3011"/>
              <w:spacing w:before="29" w:line="203" w:lineRule="auto"/>
              <w:rPr>
                <w:sz w:val="21"/>
                <w:szCs w:val="21"/>
              </w:rPr>
            </w:pPr>
            <w:r>
              <w:rPr>
                <w:sz w:val="21"/>
                <w:szCs w:val="21"/>
              </w:rPr>
              <w:t>位于鲜销大厅北侧，用于肉牛屠宰、分割后排酸。</w:t>
            </w:r>
          </w:p>
        </w:tc>
        <w:tc>
          <w:tcPr>
            <w:tcW w:w="769" w:type="dxa"/>
            <w:vAlign w:val="top"/>
            <w:vMerge w:val="continue"/>
            <w:tcBorders>
              <w:top w:val="nil"/>
              <w:bottom w:val="nil"/>
            </w:tcBorders>
          </w:tcPr>
          <w:p>
            <w:pPr>
              <w:rPr>
                <w:rFonts w:ascii="Arial"/>
                <w:sz w:val="21"/>
              </w:rPr>
            </w:pPr>
            <w:r/>
          </w:p>
        </w:tc>
        <w:tc>
          <w:tcPr>
            <w:tcW w:w="1159" w:type="dxa"/>
            <w:vAlign w:val="top"/>
            <w:vMerge w:val="restart"/>
            <w:tcBorders>
              <w:bottom w:val="nil"/>
            </w:tcBorders>
          </w:tcPr>
          <w:p>
            <w:pPr>
              <w:pStyle w:val="TableText"/>
              <w:ind w:left="49"/>
              <w:spacing w:before="169" w:line="219" w:lineRule="auto"/>
              <w:rPr>
                <w:sz w:val="21"/>
                <w:szCs w:val="21"/>
              </w:rPr>
            </w:pPr>
            <w:r>
              <w:rPr>
                <w:sz w:val="21"/>
                <w:szCs w:val="21"/>
                <w:spacing w:val="-2"/>
              </w:rPr>
              <w:t>废水、固废</w:t>
            </w:r>
          </w:p>
        </w:tc>
        <w:tc>
          <w:tcPr>
            <w:tcW w:w="645" w:type="dxa"/>
            <w:vAlign w:val="top"/>
            <w:vMerge w:val="continue"/>
            <w:tcBorders>
              <w:top w:val="nil"/>
              <w:bottom w:val="nil"/>
            </w:tcBorders>
          </w:tcPr>
          <w:p>
            <w:pPr>
              <w:rPr>
                <w:rFonts w:ascii="Arial"/>
                <w:sz w:val="21"/>
              </w:rPr>
            </w:pPr>
            <w:r/>
          </w:p>
        </w:tc>
      </w:tr>
      <w:tr>
        <w:trPr>
          <w:trHeight w:val="270" w:hRule="atLeast"/>
        </w:trPr>
        <w:tc>
          <w:tcPr>
            <w:tcW w:w="495" w:type="dxa"/>
            <w:vAlign w:val="top"/>
            <w:vMerge w:val="continue"/>
            <w:tcBorders>
              <w:top w:val="nil"/>
              <w:bottom w:val="nil"/>
            </w:tcBorders>
          </w:tcPr>
          <w:p>
            <w:pPr>
              <w:rPr>
                <w:rFonts w:ascii="Arial"/>
                <w:sz w:val="21"/>
              </w:rPr>
            </w:pPr>
            <w:r/>
          </w:p>
        </w:tc>
        <w:tc>
          <w:tcPr>
            <w:tcW w:w="530" w:type="dxa"/>
            <w:vAlign w:val="top"/>
            <w:vMerge w:val="continue"/>
            <w:tcBorders>
              <w:top w:val="nil"/>
              <w:bottom w:val="nil"/>
            </w:tcBorders>
          </w:tcPr>
          <w:p>
            <w:pPr>
              <w:rPr>
                <w:rFonts w:ascii="Arial"/>
                <w:sz w:val="21"/>
              </w:rPr>
            </w:pPr>
            <w:r/>
          </w:p>
        </w:tc>
        <w:tc>
          <w:tcPr>
            <w:tcW w:w="1159" w:type="dxa"/>
            <w:vAlign w:val="top"/>
          </w:tcPr>
          <w:p>
            <w:pPr>
              <w:pStyle w:val="TableText"/>
              <w:ind w:left="40"/>
              <w:spacing w:before="30" w:line="202" w:lineRule="auto"/>
              <w:rPr>
                <w:sz w:val="21"/>
                <w:szCs w:val="21"/>
              </w:rPr>
            </w:pPr>
            <w:r>
              <w:rPr>
                <w:sz w:val="21"/>
                <w:szCs w:val="21"/>
                <w:spacing w:val="4"/>
              </w:rPr>
              <w:t>快速预冷间</w:t>
            </w:r>
          </w:p>
        </w:tc>
        <w:tc>
          <w:tcPr>
            <w:tcW w:w="10563" w:type="dxa"/>
            <w:vAlign w:val="top"/>
          </w:tcPr>
          <w:p>
            <w:pPr>
              <w:pStyle w:val="TableText"/>
              <w:ind w:left="2700"/>
              <w:spacing w:before="29" w:line="203" w:lineRule="auto"/>
              <w:rPr>
                <w:sz w:val="21"/>
                <w:szCs w:val="21"/>
              </w:rPr>
            </w:pPr>
            <w:r>
              <w:rPr>
                <w:sz w:val="21"/>
                <w:szCs w:val="21"/>
              </w:rPr>
              <w:t>位于肉牛屠宰车间内西侧，用于肉牛屠宰、</w:t>
            </w:r>
            <w:r>
              <w:rPr>
                <w:sz w:val="21"/>
                <w:szCs w:val="21"/>
                <w:spacing w:val="-1"/>
              </w:rPr>
              <w:t>分割后预冷。</w:t>
            </w:r>
          </w:p>
        </w:tc>
        <w:tc>
          <w:tcPr>
            <w:tcW w:w="769" w:type="dxa"/>
            <w:vAlign w:val="top"/>
            <w:vMerge w:val="continue"/>
            <w:tcBorders>
              <w:top w:val="nil"/>
              <w:bottom w:val="nil"/>
            </w:tcBorders>
          </w:tcPr>
          <w:p>
            <w:pPr>
              <w:rPr>
                <w:rFonts w:ascii="Arial"/>
                <w:sz w:val="21"/>
              </w:rPr>
            </w:pPr>
            <w:r/>
          </w:p>
        </w:tc>
        <w:tc>
          <w:tcPr>
            <w:tcW w:w="1159" w:type="dxa"/>
            <w:vAlign w:val="top"/>
            <w:vMerge w:val="continue"/>
            <w:tcBorders>
              <w:top w:val="nil"/>
            </w:tcBorders>
          </w:tcPr>
          <w:p>
            <w:pPr>
              <w:rPr>
                <w:rFonts w:ascii="Arial"/>
                <w:sz w:val="21"/>
              </w:rPr>
            </w:pPr>
            <w:r/>
          </w:p>
        </w:tc>
        <w:tc>
          <w:tcPr>
            <w:tcW w:w="645" w:type="dxa"/>
            <w:vAlign w:val="top"/>
            <w:vMerge w:val="continue"/>
            <w:tcBorders>
              <w:top w:val="nil"/>
              <w:bottom w:val="nil"/>
            </w:tcBorders>
          </w:tcPr>
          <w:p>
            <w:pPr>
              <w:rPr>
                <w:rFonts w:ascii="Arial"/>
                <w:sz w:val="21"/>
              </w:rPr>
            </w:pPr>
            <w:r/>
          </w:p>
        </w:tc>
      </w:tr>
      <w:tr>
        <w:trPr>
          <w:trHeight w:val="289" w:hRule="atLeast"/>
        </w:trPr>
        <w:tc>
          <w:tcPr>
            <w:tcW w:w="495" w:type="dxa"/>
            <w:vAlign w:val="top"/>
            <w:vMerge w:val="continue"/>
            <w:tcBorders>
              <w:top w:val="nil"/>
              <w:bottom w:val="nil"/>
            </w:tcBorders>
          </w:tcPr>
          <w:p>
            <w:pPr>
              <w:rPr>
                <w:rFonts w:ascii="Arial"/>
                <w:sz w:val="21"/>
              </w:rPr>
            </w:pPr>
            <w:r/>
          </w:p>
        </w:tc>
        <w:tc>
          <w:tcPr>
            <w:tcW w:w="530" w:type="dxa"/>
            <w:vAlign w:val="top"/>
            <w:vMerge w:val="continue"/>
            <w:tcBorders>
              <w:top w:val="nil"/>
              <w:bottom w:val="nil"/>
            </w:tcBorders>
          </w:tcPr>
          <w:p>
            <w:pPr>
              <w:rPr>
                <w:rFonts w:ascii="Arial"/>
                <w:sz w:val="21"/>
              </w:rPr>
            </w:pPr>
            <w:r/>
          </w:p>
        </w:tc>
        <w:tc>
          <w:tcPr>
            <w:tcW w:w="1159" w:type="dxa"/>
            <w:vAlign w:val="top"/>
          </w:tcPr>
          <w:p>
            <w:pPr>
              <w:pStyle w:val="TableText"/>
              <w:ind w:left="40"/>
              <w:spacing w:before="38" w:line="211" w:lineRule="auto"/>
              <w:rPr>
                <w:sz w:val="21"/>
                <w:szCs w:val="21"/>
              </w:rPr>
            </w:pPr>
            <w:r>
              <w:rPr>
                <w:sz w:val="21"/>
                <w:szCs w:val="21"/>
                <w:spacing w:val="4"/>
              </w:rPr>
              <w:t>头蹄暂存间</w:t>
            </w:r>
          </w:p>
        </w:tc>
        <w:tc>
          <w:tcPr>
            <w:tcW w:w="10563" w:type="dxa"/>
            <w:vAlign w:val="top"/>
          </w:tcPr>
          <w:p>
            <w:pPr>
              <w:pStyle w:val="TableText"/>
              <w:ind w:left="3120"/>
              <w:spacing w:before="38" w:line="211" w:lineRule="auto"/>
              <w:rPr>
                <w:sz w:val="21"/>
                <w:szCs w:val="21"/>
              </w:rPr>
            </w:pPr>
            <w:r>
              <w:rPr>
                <w:sz w:val="21"/>
                <w:szCs w:val="21"/>
                <w:spacing w:val="-1"/>
              </w:rPr>
              <w:t>位于肉牛屠宰车间内北侧，用于肉牛头蹄暂存。</w:t>
            </w:r>
          </w:p>
        </w:tc>
        <w:tc>
          <w:tcPr>
            <w:tcW w:w="769" w:type="dxa"/>
            <w:vAlign w:val="top"/>
            <w:vMerge w:val="continue"/>
            <w:tcBorders>
              <w:top w:val="nil"/>
              <w:bottom w:val="nil"/>
            </w:tcBorders>
          </w:tcPr>
          <w:p>
            <w:pPr>
              <w:rPr>
                <w:rFonts w:ascii="Arial"/>
                <w:sz w:val="21"/>
              </w:rPr>
            </w:pPr>
            <w:r/>
          </w:p>
        </w:tc>
        <w:tc>
          <w:tcPr>
            <w:tcW w:w="1159" w:type="dxa"/>
            <w:vAlign w:val="top"/>
          </w:tcPr>
          <w:p>
            <w:pPr>
              <w:pStyle w:val="TableText"/>
              <w:ind w:left="368"/>
              <w:spacing w:before="40" w:line="210" w:lineRule="auto"/>
              <w:rPr>
                <w:sz w:val="21"/>
                <w:szCs w:val="21"/>
              </w:rPr>
            </w:pPr>
            <w:r>
              <w:rPr>
                <w:sz w:val="21"/>
                <w:szCs w:val="21"/>
                <w:spacing w:val="5"/>
              </w:rPr>
              <w:t>固废</w:t>
            </w:r>
          </w:p>
        </w:tc>
        <w:tc>
          <w:tcPr>
            <w:tcW w:w="645" w:type="dxa"/>
            <w:vAlign w:val="top"/>
            <w:vMerge w:val="continue"/>
            <w:tcBorders>
              <w:top w:val="nil"/>
              <w:bottom w:val="nil"/>
            </w:tcBorders>
          </w:tcPr>
          <w:p>
            <w:pPr>
              <w:rPr>
                <w:rFonts w:ascii="Arial"/>
                <w:sz w:val="21"/>
              </w:rPr>
            </w:pPr>
            <w:r/>
          </w:p>
        </w:tc>
      </w:tr>
      <w:tr>
        <w:trPr>
          <w:trHeight w:val="270" w:hRule="atLeast"/>
        </w:trPr>
        <w:tc>
          <w:tcPr>
            <w:tcW w:w="495" w:type="dxa"/>
            <w:vAlign w:val="top"/>
            <w:vMerge w:val="continue"/>
            <w:tcBorders>
              <w:top w:val="nil"/>
              <w:bottom w:val="nil"/>
            </w:tcBorders>
          </w:tcPr>
          <w:p>
            <w:pPr>
              <w:rPr>
                <w:rFonts w:ascii="Arial"/>
                <w:sz w:val="21"/>
              </w:rPr>
            </w:pPr>
            <w:r/>
          </w:p>
        </w:tc>
        <w:tc>
          <w:tcPr>
            <w:tcW w:w="530" w:type="dxa"/>
            <w:vAlign w:val="top"/>
            <w:vMerge w:val="continue"/>
            <w:tcBorders>
              <w:top w:val="nil"/>
              <w:bottom w:val="nil"/>
            </w:tcBorders>
          </w:tcPr>
          <w:p>
            <w:pPr>
              <w:rPr>
                <w:rFonts w:ascii="Arial"/>
                <w:sz w:val="21"/>
              </w:rPr>
            </w:pPr>
            <w:r/>
          </w:p>
        </w:tc>
        <w:tc>
          <w:tcPr>
            <w:tcW w:w="1159" w:type="dxa"/>
            <w:vAlign w:val="top"/>
          </w:tcPr>
          <w:p>
            <w:pPr>
              <w:pStyle w:val="TableText"/>
              <w:ind w:left="250"/>
              <w:spacing w:before="31" w:line="201" w:lineRule="auto"/>
              <w:rPr>
                <w:sz w:val="21"/>
                <w:szCs w:val="21"/>
              </w:rPr>
            </w:pPr>
            <w:r>
              <w:rPr>
                <w:sz w:val="21"/>
                <w:szCs w:val="21"/>
                <w:spacing w:val="6"/>
              </w:rPr>
              <w:t>皮张间</w:t>
            </w:r>
          </w:p>
        </w:tc>
        <w:tc>
          <w:tcPr>
            <w:tcW w:w="10563" w:type="dxa"/>
            <w:vAlign w:val="top"/>
          </w:tcPr>
          <w:p>
            <w:pPr>
              <w:pStyle w:val="TableText"/>
              <w:ind w:left="2700"/>
              <w:spacing w:before="30" w:line="202" w:lineRule="auto"/>
              <w:rPr>
                <w:sz w:val="21"/>
                <w:szCs w:val="21"/>
              </w:rPr>
            </w:pPr>
            <w:r>
              <w:rPr>
                <w:sz w:val="21"/>
                <w:szCs w:val="21"/>
              </w:rPr>
              <w:t>位于肉牛屠宰车间内头蹄暂存间旁，用于肉</w:t>
            </w:r>
            <w:r>
              <w:rPr>
                <w:sz w:val="21"/>
                <w:szCs w:val="21"/>
                <w:spacing w:val="-1"/>
              </w:rPr>
              <w:t>牛皮张暂存。</w:t>
            </w:r>
          </w:p>
        </w:tc>
        <w:tc>
          <w:tcPr>
            <w:tcW w:w="769" w:type="dxa"/>
            <w:vAlign w:val="top"/>
            <w:vMerge w:val="continue"/>
            <w:tcBorders>
              <w:top w:val="nil"/>
              <w:bottom w:val="nil"/>
            </w:tcBorders>
          </w:tcPr>
          <w:p>
            <w:pPr>
              <w:rPr>
                <w:rFonts w:ascii="Arial"/>
                <w:sz w:val="21"/>
              </w:rPr>
            </w:pPr>
            <w:r/>
          </w:p>
        </w:tc>
        <w:tc>
          <w:tcPr>
            <w:tcW w:w="1159" w:type="dxa"/>
            <w:vAlign w:val="top"/>
          </w:tcPr>
          <w:p>
            <w:pPr>
              <w:pStyle w:val="TableText"/>
              <w:ind w:left="368"/>
              <w:spacing w:before="31" w:line="201" w:lineRule="auto"/>
              <w:rPr>
                <w:sz w:val="21"/>
                <w:szCs w:val="21"/>
              </w:rPr>
            </w:pPr>
            <w:r>
              <w:rPr>
                <w:sz w:val="21"/>
                <w:szCs w:val="21"/>
                <w:spacing w:val="5"/>
              </w:rPr>
              <w:t>固废</w:t>
            </w:r>
          </w:p>
        </w:tc>
        <w:tc>
          <w:tcPr>
            <w:tcW w:w="645" w:type="dxa"/>
            <w:vAlign w:val="top"/>
            <w:vMerge w:val="continue"/>
            <w:tcBorders>
              <w:top w:val="nil"/>
              <w:bottom w:val="nil"/>
            </w:tcBorders>
          </w:tcPr>
          <w:p>
            <w:pPr>
              <w:rPr>
                <w:rFonts w:ascii="Arial"/>
                <w:sz w:val="21"/>
              </w:rPr>
            </w:pPr>
            <w:r/>
          </w:p>
        </w:tc>
      </w:tr>
      <w:tr>
        <w:trPr>
          <w:trHeight w:val="549" w:hRule="atLeast"/>
        </w:trPr>
        <w:tc>
          <w:tcPr>
            <w:tcW w:w="495" w:type="dxa"/>
            <w:vAlign w:val="top"/>
            <w:vMerge w:val="continue"/>
            <w:tcBorders>
              <w:top w:val="nil"/>
            </w:tcBorders>
          </w:tcPr>
          <w:p>
            <w:pPr>
              <w:rPr>
                <w:rFonts w:ascii="Arial"/>
                <w:sz w:val="21"/>
              </w:rPr>
            </w:pPr>
            <w:r/>
          </w:p>
        </w:tc>
        <w:tc>
          <w:tcPr>
            <w:tcW w:w="530" w:type="dxa"/>
            <w:vAlign w:val="top"/>
            <w:vMerge w:val="continue"/>
            <w:tcBorders>
              <w:top w:val="nil"/>
            </w:tcBorders>
          </w:tcPr>
          <w:p>
            <w:pPr>
              <w:rPr>
                <w:rFonts w:ascii="Arial"/>
                <w:sz w:val="21"/>
              </w:rPr>
            </w:pPr>
            <w:r/>
          </w:p>
        </w:tc>
        <w:tc>
          <w:tcPr>
            <w:tcW w:w="1159" w:type="dxa"/>
            <w:vAlign w:val="top"/>
          </w:tcPr>
          <w:p>
            <w:pPr>
              <w:pStyle w:val="TableText"/>
              <w:ind w:left="40"/>
              <w:spacing w:before="170" w:line="219" w:lineRule="auto"/>
              <w:rPr>
                <w:sz w:val="21"/>
                <w:szCs w:val="21"/>
              </w:rPr>
            </w:pPr>
            <w:r>
              <w:rPr>
                <w:sz w:val="21"/>
                <w:szCs w:val="21"/>
                <w:spacing w:val="3"/>
              </w:rPr>
              <w:t>清洗消毒区</w:t>
            </w:r>
          </w:p>
        </w:tc>
        <w:tc>
          <w:tcPr>
            <w:tcW w:w="10563" w:type="dxa"/>
            <w:vAlign w:val="top"/>
          </w:tcPr>
          <w:p>
            <w:pPr>
              <w:pStyle w:val="TableText"/>
              <w:ind w:left="10" w:right="123" w:firstLine="120"/>
              <w:spacing w:before="18" w:line="229" w:lineRule="auto"/>
              <w:rPr>
                <w:sz w:val="21"/>
                <w:szCs w:val="21"/>
              </w:rPr>
            </w:pPr>
            <w:r>
              <w:rPr>
                <w:sz w:val="21"/>
                <w:szCs w:val="21"/>
                <w:spacing w:val="2"/>
              </w:rPr>
              <w:t>位于肉牛屠宰车间最南侧，密闭钢结构，面积约125.44m²,内设发货大厅、男更衣室、女更衣室、卫生间、淋浴</w:t>
            </w:r>
            <w:r>
              <w:rPr>
                <w:sz w:val="21"/>
                <w:szCs w:val="21"/>
                <w:spacing w:val="6"/>
              </w:rPr>
              <w:t xml:space="preserve"> </w:t>
            </w:r>
            <w:r>
              <w:rPr>
                <w:sz w:val="21"/>
                <w:szCs w:val="21"/>
              </w:rPr>
              <w:t>间、集血间等，人员进出及洗手消毒采用聚维酮碘溶液、车间及刀具消毒采用二氯</w:t>
            </w:r>
            <w:r>
              <w:rPr>
                <w:sz w:val="21"/>
                <w:szCs w:val="21"/>
                <w:spacing w:val="-1"/>
              </w:rPr>
              <w:t>异氰尿酸钠。</w:t>
            </w:r>
          </w:p>
        </w:tc>
        <w:tc>
          <w:tcPr>
            <w:tcW w:w="769" w:type="dxa"/>
            <w:vAlign w:val="top"/>
            <w:vMerge w:val="continue"/>
            <w:tcBorders>
              <w:top w:val="nil"/>
              <w:bottom w:val="nil"/>
            </w:tcBorders>
          </w:tcPr>
          <w:p>
            <w:pPr>
              <w:rPr>
                <w:rFonts w:ascii="Arial"/>
                <w:sz w:val="21"/>
              </w:rPr>
            </w:pPr>
            <w:r/>
          </w:p>
        </w:tc>
        <w:tc>
          <w:tcPr>
            <w:tcW w:w="1159" w:type="dxa"/>
            <w:vAlign w:val="top"/>
          </w:tcPr>
          <w:p>
            <w:pPr>
              <w:pStyle w:val="TableText"/>
              <w:ind w:left="49"/>
              <w:spacing w:before="170" w:line="219" w:lineRule="auto"/>
              <w:rPr>
                <w:sz w:val="21"/>
                <w:szCs w:val="21"/>
              </w:rPr>
            </w:pPr>
            <w:r>
              <w:rPr>
                <w:sz w:val="21"/>
                <w:szCs w:val="21"/>
                <w:spacing w:val="-2"/>
              </w:rPr>
              <w:t>废水、固废</w:t>
            </w:r>
          </w:p>
        </w:tc>
        <w:tc>
          <w:tcPr>
            <w:tcW w:w="645" w:type="dxa"/>
            <w:vAlign w:val="top"/>
            <w:vMerge w:val="continue"/>
            <w:tcBorders>
              <w:top w:val="nil"/>
            </w:tcBorders>
          </w:tcPr>
          <w:p>
            <w:pPr>
              <w:rPr>
                <w:rFonts w:ascii="Arial"/>
                <w:sz w:val="21"/>
              </w:rPr>
            </w:pPr>
            <w:r/>
          </w:p>
        </w:tc>
      </w:tr>
      <w:tr>
        <w:trPr>
          <w:trHeight w:val="270" w:hRule="atLeast"/>
        </w:trPr>
        <w:tc>
          <w:tcPr>
            <w:tcW w:w="495" w:type="dxa"/>
            <w:vAlign w:val="top"/>
            <w:vMerge w:val="restart"/>
            <w:tcBorders>
              <w:bottom w:val="nil"/>
            </w:tcBorders>
          </w:tcPr>
          <w:p>
            <w:pPr>
              <w:spacing w:line="243" w:lineRule="auto"/>
              <w:rPr>
                <w:rFonts w:ascii="Arial"/>
                <w:sz w:val="21"/>
              </w:rPr>
            </w:pPr>
            <w:r/>
          </w:p>
          <w:p>
            <w:pPr>
              <w:pStyle w:val="TableText"/>
              <w:ind w:left="5" w:right="14" w:firstLine="19"/>
              <w:spacing w:before="69" w:line="230" w:lineRule="auto"/>
              <w:rPr>
                <w:sz w:val="21"/>
                <w:szCs w:val="21"/>
              </w:rPr>
            </w:pPr>
            <w:r>
              <w:rPr>
                <w:sz w:val="21"/>
                <w:szCs w:val="21"/>
                <w:spacing w:val="12"/>
              </w:rPr>
              <w:t>公用</w:t>
            </w:r>
            <w:r>
              <w:rPr>
                <w:sz w:val="21"/>
                <w:szCs w:val="21"/>
              </w:rPr>
              <w:t xml:space="preserve"> </w:t>
            </w:r>
            <w:r>
              <w:rPr>
                <w:sz w:val="21"/>
                <w:szCs w:val="21"/>
                <w:spacing w:val="-3"/>
              </w:rPr>
              <w:t>工程</w:t>
            </w:r>
          </w:p>
        </w:tc>
        <w:tc>
          <w:tcPr>
            <w:tcW w:w="1689" w:type="dxa"/>
            <w:vAlign w:val="top"/>
            <w:gridSpan w:val="2"/>
          </w:tcPr>
          <w:p>
            <w:pPr>
              <w:pStyle w:val="TableText"/>
              <w:ind w:left="620"/>
              <w:spacing w:before="30" w:line="202" w:lineRule="auto"/>
              <w:rPr>
                <w:sz w:val="21"/>
                <w:szCs w:val="21"/>
              </w:rPr>
            </w:pPr>
            <w:r>
              <w:rPr>
                <w:sz w:val="21"/>
                <w:szCs w:val="21"/>
                <w:spacing w:val="-3"/>
              </w:rPr>
              <w:t>供水</w:t>
            </w:r>
          </w:p>
        </w:tc>
        <w:tc>
          <w:tcPr>
            <w:tcW w:w="10563" w:type="dxa"/>
            <w:vAlign w:val="top"/>
          </w:tcPr>
          <w:p>
            <w:pPr>
              <w:pStyle w:val="TableText"/>
              <w:ind w:left="3960"/>
              <w:spacing w:before="30" w:line="202" w:lineRule="auto"/>
              <w:rPr>
                <w:sz w:val="21"/>
                <w:szCs w:val="21"/>
              </w:rPr>
            </w:pPr>
            <w:r>
              <w:rPr>
                <w:sz w:val="21"/>
                <w:szCs w:val="21"/>
                <w:spacing w:val="-1"/>
              </w:rPr>
              <w:t>采用当地市政给水管网供水。</w:t>
            </w:r>
          </w:p>
        </w:tc>
        <w:tc>
          <w:tcPr>
            <w:tcW w:w="769" w:type="dxa"/>
            <w:vAlign w:val="top"/>
            <w:vMerge w:val="continue"/>
            <w:tcBorders>
              <w:top w:val="nil"/>
              <w:bottom w:val="nil"/>
            </w:tcBorders>
          </w:tcPr>
          <w:p>
            <w:pPr>
              <w:rPr>
                <w:rFonts w:ascii="Arial"/>
                <w:sz w:val="21"/>
              </w:rPr>
            </w:pPr>
            <w:r/>
          </w:p>
        </w:tc>
        <w:tc>
          <w:tcPr>
            <w:tcW w:w="1159" w:type="dxa"/>
            <w:vAlign w:val="top"/>
          </w:tcPr>
          <w:p>
            <w:pPr>
              <w:pStyle w:val="TableText"/>
              <w:ind w:left="519"/>
              <w:spacing w:before="37" w:line="196" w:lineRule="auto"/>
              <w:rPr>
                <w:sz w:val="21"/>
                <w:szCs w:val="21"/>
              </w:rPr>
            </w:pPr>
            <w:r>
              <w:rPr>
                <w:sz w:val="21"/>
                <w:szCs w:val="21"/>
              </w:rPr>
              <w:t>/</w:t>
            </w:r>
          </w:p>
        </w:tc>
        <w:tc>
          <w:tcPr>
            <w:tcW w:w="645" w:type="dxa"/>
            <w:vAlign w:val="top"/>
            <w:vMerge w:val="restart"/>
            <w:tcBorders>
              <w:bottom w:val="nil"/>
            </w:tcBorders>
          </w:tcPr>
          <w:p>
            <w:pPr>
              <w:pStyle w:val="TableText"/>
              <w:ind w:left="99" w:right="48" w:hanging="50"/>
              <w:spacing w:before="309" w:line="224" w:lineRule="auto"/>
              <w:rPr>
                <w:sz w:val="21"/>
                <w:szCs w:val="21"/>
              </w:rPr>
            </w:pPr>
            <w:r>
              <w:rPr>
                <w:sz w:val="21"/>
                <w:szCs w:val="21"/>
                <w:spacing w:val="3"/>
              </w:rPr>
              <w:t>依托+</w:t>
            </w:r>
            <w:r>
              <w:rPr>
                <w:sz w:val="21"/>
                <w:szCs w:val="21"/>
                <w:spacing w:val="1"/>
              </w:rPr>
              <w:t xml:space="preserve"> </w:t>
            </w:r>
            <w:r>
              <w:rPr>
                <w:sz w:val="21"/>
                <w:szCs w:val="21"/>
                <w:spacing w:val="-3"/>
              </w:rPr>
              <w:t>新建</w:t>
            </w:r>
          </w:p>
        </w:tc>
      </w:tr>
      <w:tr>
        <w:trPr>
          <w:trHeight w:val="260" w:hRule="atLeast"/>
        </w:trPr>
        <w:tc>
          <w:tcPr>
            <w:tcW w:w="495" w:type="dxa"/>
            <w:vAlign w:val="top"/>
            <w:vMerge w:val="continue"/>
            <w:tcBorders>
              <w:top w:val="nil"/>
              <w:bottom w:val="nil"/>
            </w:tcBorders>
          </w:tcPr>
          <w:p>
            <w:pPr>
              <w:rPr>
                <w:rFonts w:ascii="Arial"/>
                <w:sz w:val="21"/>
              </w:rPr>
            </w:pPr>
            <w:r/>
          </w:p>
        </w:tc>
        <w:tc>
          <w:tcPr>
            <w:tcW w:w="1689" w:type="dxa"/>
            <w:vAlign w:val="top"/>
            <w:gridSpan w:val="2"/>
          </w:tcPr>
          <w:p>
            <w:pPr>
              <w:pStyle w:val="TableText"/>
              <w:ind w:left="620"/>
              <w:spacing w:before="30" w:line="193" w:lineRule="auto"/>
              <w:rPr>
                <w:sz w:val="21"/>
                <w:szCs w:val="21"/>
              </w:rPr>
            </w:pPr>
            <w:r>
              <w:rPr>
                <w:sz w:val="21"/>
                <w:szCs w:val="21"/>
                <w:spacing w:val="6"/>
              </w:rPr>
              <w:t>供电</w:t>
            </w:r>
          </w:p>
        </w:tc>
        <w:tc>
          <w:tcPr>
            <w:tcW w:w="10563" w:type="dxa"/>
            <w:vAlign w:val="top"/>
          </w:tcPr>
          <w:p>
            <w:pPr>
              <w:pStyle w:val="TableText"/>
              <w:ind w:left="2491"/>
              <w:spacing w:before="30" w:line="193" w:lineRule="auto"/>
              <w:rPr>
                <w:sz w:val="21"/>
                <w:szCs w:val="21"/>
              </w:rPr>
            </w:pPr>
            <w:r>
              <w:rPr>
                <w:sz w:val="21"/>
                <w:szCs w:val="21"/>
              </w:rPr>
              <w:t>采用当地电网供电，拟建配电房1间、备用柴油发</w:t>
            </w:r>
            <w:r>
              <w:rPr>
                <w:sz w:val="21"/>
                <w:szCs w:val="21"/>
                <w:spacing w:val="-1"/>
              </w:rPr>
              <w:t>电机房1间。</w:t>
            </w:r>
          </w:p>
        </w:tc>
        <w:tc>
          <w:tcPr>
            <w:tcW w:w="769" w:type="dxa"/>
            <w:vAlign w:val="top"/>
            <w:vMerge w:val="continue"/>
            <w:tcBorders>
              <w:top w:val="nil"/>
              <w:bottom w:val="nil"/>
            </w:tcBorders>
          </w:tcPr>
          <w:p>
            <w:pPr>
              <w:rPr>
                <w:rFonts w:ascii="Arial"/>
                <w:sz w:val="21"/>
              </w:rPr>
            </w:pPr>
            <w:r/>
          </w:p>
        </w:tc>
        <w:tc>
          <w:tcPr>
            <w:tcW w:w="1159" w:type="dxa"/>
            <w:vAlign w:val="top"/>
          </w:tcPr>
          <w:p>
            <w:pPr>
              <w:pStyle w:val="TableText"/>
              <w:ind w:left="519"/>
              <w:spacing w:before="37" w:line="187" w:lineRule="auto"/>
              <w:rPr>
                <w:sz w:val="21"/>
                <w:szCs w:val="21"/>
              </w:rPr>
            </w:pPr>
            <w:r>
              <w:rPr>
                <w:sz w:val="21"/>
                <w:szCs w:val="21"/>
              </w:rPr>
              <w:t>/</w:t>
            </w:r>
          </w:p>
        </w:tc>
        <w:tc>
          <w:tcPr>
            <w:tcW w:w="645" w:type="dxa"/>
            <w:vAlign w:val="top"/>
            <w:vMerge w:val="continue"/>
            <w:tcBorders>
              <w:top w:val="nil"/>
              <w:bottom w:val="nil"/>
            </w:tcBorders>
          </w:tcPr>
          <w:p>
            <w:pPr>
              <w:rPr>
                <w:rFonts w:ascii="Arial"/>
                <w:sz w:val="21"/>
              </w:rPr>
            </w:pPr>
            <w:r/>
          </w:p>
        </w:tc>
      </w:tr>
      <w:tr>
        <w:trPr>
          <w:trHeight w:val="270" w:hRule="atLeast"/>
        </w:trPr>
        <w:tc>
          <w:tcPr>
            <w:tcW w:w="495" w:type="dxa"/>
            <w:vAlign w:val="top"/>
            <w:vMerge w:val="continue"/>
            <w:tcBorders>
              <w:top w:val="nil"/>
              <w:bottom w:val="nil"/>
            </w:tcBorders>
          </w:tcPr>
          <w:p>
            <w:pPr>
              <w:rPr>
                <w:rFonts w:ascii="Arial"/>
                <w:sz w:val="21"/>
              </w:rPr>
            </w:pPr>
            <w:r/>
          </w:p>
        </w:tc>
        <w:tc>
          <w:tcPr>
            <w:tcW w:w="1689" w:type="dxa"/>
            <w:vAlign w:val="top"/>
            <w:gridSpan w:val="2"/>
          </w:tcPr>
          <w:p>
            <w:pPr>
              <w:pStyle w:val="TableText"/>
              <w:ind w:left="10"/>
              <w:spacing w:before="17" w:line="213" w:lineRule="auto"/>
              <w:rPr>
                <w:sz w:val="21"/>
                <w:szCs w:val="21"/>
              </w:rPr>
            </w:pPr>
            <w:r>
              <w:rPr>
                <w:sz w:val="21"/>
                <w:szCs w:val="21"/>
                <w:spacing w:val="-10"/>
              </w:rPr>
              <w:t>[</w:t>
            </w:r>
            <w:r>
              <w:rPr>
                <w:sz w:val="21"/>
                <w:szCs w:val="21"/>
                <w:spacing w:val="4"/>
              </w:rPr>
              <w:t xml:space="preserve">     </w:t>
            </w:r>
            <w:r>
              <w:rPr>
                <w:sz w:val="21"/>
                <w:szCs w:val="21"/>
                <w:color w:val="605050"/>
                <w:spacing w:val="-10"/>
              </w:rPr>
              <w:t>供气</w:t>
            </w:r>
          </w:p>
        </w:tc>
        <w:tc>
          <w:tcPr>
            <w:tcW w:w="10563" w:type="dxa"/>
            <w:vAlign w:val="top"/>
          </w:tcPr>
          <w:p>
            <w:pPr>
              <w:pStyle w:val="TableText"/>
              <w:ind w:left="4060"/>
              <w:spacing w:before="31" w:line="201" w:lineRule="auto"/>
              <w:rPr>
                <w:sz w:val="21"/>
                <w:szCs w:val="21"/>
              </w:rPr>
            </w:pPr>
            <w:r>
              <w:rPr>
                <w:sz w:val="21"/>
                <w:szCs w:val="21"/>
              </w:rPr>
              <w:t>采用当地天然气管网供气。</w:t>
            </w:r>
          </w:p>
        </w:tc>
        <w:tc>
          <w:tcPr>
            <w:tcW w:w="769" w:type="dxa"/>
            <w:vAlign w:val="top"/>
            <w:vMerge w:val="continue"/>
            <w:tcBorders>
              <w:top w:val="nil"/>
              <w:bottom w:val="nil"/>
            </w:tcBorders>
          </w:tcPr>
          <w:p>
            <w:pPr>
              <w:rPr>
                <w:rFonts w:ascii="Arial"/>
                <w:sz w:val="21"/>
              </w:rPr>
            </w:pPr>
            <w:r/>
          </w:p>
        </w:tc>
        <w:tc>
          <w:tcPr>
            <w:tcW w:w="1159" w:type="dxa"/>
            <w:vAlign w:val="top"/>
          </w:tcPr>
          <w:p>
            <w:pPr>
              <w:pStyle w:val="TableText"/>
              <w:ind w:left="519"/>
              <w:spacing w:before="37" w:line="196" w:lineRule="auto"/>
              <w:rPr>
                <w:sz w:val="21"/>
                <w:szCs w:val="21"/>
              </w:rPr>
            </w:pPr>
            <w:r>
              <w:rPr>
                <w:sz w:val="21"/>
                <w:szCs w:val="21"/>
              </w:rPr>
              <w:t>/</w:t>
            </w:r>
          </w:p>
        </w:tc>
        <w:tc>
          <w:tcPr>
            <w:tcW w:w="645" w:type="dxa"/>
            <w:vAlign w:val="top"/>
            <w:vMerge w:val="continue"/>
            <w:tcBorders>
              <w:top w:val="nil"/>
              <w:bottom w:val="nil"/>
            </w:tcBorders>
          </w:tcPr>
          <w:p>
            <w:pPr>
              <w:rPr>
                <w:rFonts w:ascii="Arial"/>
                <w:sz w:val="21"/>
              </w:rPr>
            </w:pPr>
            <w:r/>
          </w:p>
        </w:tc>
      </w:tr>
      <w:tr>
        <w:trPr>
          <w:trHeight w:val="270" w:hRule="atLeast"/>
        </w:trPr>
        <w:tc>
          <w:tcPr>
            <w:tcW w:w="495" w:type="dxa"/>
            <w:vAlign w:val="top"/>
            <w:vMerge w:val="continue"/>
            <w:tcBorders>
              <w:top w:val="nil"/>
            </w:tcBorders>
          </w:tcPr>
          <w:p>
            <w:pPr>
              <w:rPr>
                <w:rFonts w:ascii="Arial"/>
                <w:sz w:val="21"/>
              </w:rPr>
            </w:pPr>
            <w:r/>
          </w:p>
        </w:tc>
        <w:tc>
          <w:tcPr>
            <w:tcW w:w="1689" w:type="dxa"/>
            <w:vAlign w:val="top"/>
            <w:gridSpan w:val="2"/>
          </w:tcPr>
          <w:p>
            <w:pPr>
              <w:pStyle w:val="TableText"/>
              <w:ind w:left="620"/>
              <w:spacing w:before="31" w:line="201" w:lineRule="auto"/>
              <w:rPr>
                <w:sz w:val="21"/>
                <w:szCs w:val="21"/>
              </w:rPr>
            </w:pPr>
            <w:r>
              <w:rPr>
                <w:sz w:val="21"/>
                <w:szCs w:val="21"/>
                <w:spacing w:val="7"/>
              </w:rPr>
              <w:t>泵房</w:t>
            </w:r>
          </w:p>
        </w:tc>
        <w:tc>
          <w:tcPr>
            <w:tcW w:w="10563" w:type="dxa"/>
            <w:vAlign w:val="top"/>
          </w:tcPr>
          <w:p>
            <w:pPr>
              <w:pStyle w:val="TableText"/>
              <w:ind w:left="1491"/>
              <w:spacing w:before="27" w:line="204" w:lineRule="auto"/>
              <w:rPr>
                <w:sz w:val="21"/>
                <w:szCs w:val="21"/>
              </w:rPr>
            </w:pPr>
            <w:r>
              <w:rPr>
                <w:sz w:val="21"/>
                <w:szCs w:val="21"/>
                <w:spacing w:val="2"/>
              </w:rPr>
              <w:t>拟建泵房1间，1F,层高H=3.75m,建筑面积102m²,用于控制消防泵等，位于设备房。</w:t>
            </w:r>
          </w:p>
        </w:tc>
        <w:tc>
          <w:tcPr>
            <w:tcW w:w="769" w:type="dxa"/>
            <w:vAlign w:val="top"/>
            <w:vMerge w:val="continue"/>
            <w:tcBorders>
              <w:top w:val="nil"/>
              <w:bottom w:val="nil"/>
            </w:tcBorders>
          </w:tcPr>
          <w:p>
            <w:pPr>
              <w:rPr>
                <w:rFonts w:ascii="Arial"/>
                <w:sz w:val="21"/>
              </w:rPr>
            </w:pPr>
            <w:r/>
          </w:p>
        </w:tc>
        <w:tc>
          <w:tcPr>
            <w:tcW w:w="1159" w:type="dxa"/>
            <w:vAlign w:val="top"/>
          </w:tcPr>
          <w:p>
            <w:pPr>
              <w:pStyle w:val="TableText"/>
              <w:ind w:left="519"/>
              <w:spacing w:before="37" w:line="196" w:lineRule="auto"/>
              <w:rPr>
                <w:sz w:val="21"/>
                <w:szCs w:val="21"/>
              </w:rPr>
            </w:pPr>
            <w:r>
              <w:rPr>
                <w:sz w:val="21"/>
                <w:szCs w:val="21"/>
                <w:color w:val="504060"/>
              </w:rPr>
              <w:t>/</w:t>
            </w:r>
          </w:p>
        </w:tc>
        <w:tc>
          <w:tcPr>
            <w:tcW w:w="645" w:type="dxa"/>
            <w:vAlign w:val="top"/>
            <w:vMerge w:val="continue"/>
            <w:tcBorders>
              <w:top w:val="nil"/>
            </w:tcBorders>
          </w:tcPr>
          <w:p>
            <w:pPr>
              <w:rPr>
                <w:rFonts w:ascii="Arial"/>
                <w:sz w:val="21"/>
              </w:rPr>
            </w:pPr>
            <w:r/>
          </w:p>
        </w:tc>
      </w:tr>
      <w:tr>
        <w:trPr>
          <w:trHeight w:val="549" w:hRule="atLeast"/>
        </w:trPr>
        <w:tc>
          <w:tcPr>
            <w:tcW w:w="495" w:type="dxa"/>
            <w:vAlign w:val="top"/>
            <w:vMerge w:val="restart"/>
            <w:tcBorders>
              <w:bottom w:val="nil"/>
            </w:tcBorders>
          </w:tcPr>
          <w:p>
            <w:pPr>
              <w:pStyle w:val="TableText"/>
              <w:ind w:left="5"/>
              <w:spacing w:before="31" w:line="219" w:lineRule="auto"/>
              <w:rPr>
                <w:sz w:val="21"/>
                <w:szCs w:val="21"/>
              </w:rPr>
            </w:pPr>
            <w:r>
              <w:rPr>
                <w:sz w:val="21"/>
                <w:szCs w:val="21"/>
                <w:spacing w:val="6"/>
              </w:rPr>
              <w:t>办公</w:t>
            </w:r>
          </w:p>
          <w:p>
            <w:pPr>
              <w:pStyle w:val="TableText"/>
              <w:ind w:left="15"/>
              <w:spacing w:before="34" w:line="222" w:lineRule="auto"/>
              <w:rPr>
                <w:sz w:val="21"/>
                <w:szCs w:val="21"/>
              </w:rPr>
            </w:pPr>
            <w:r>
              <w:rPr>
                <w:sz w:val="21"/>
                <w:szCs w:val="21"/>
                <w:spacing w:val="-2"/>
              </w:rPr>
              <w:t>及生</w:t>
            </w:r>
          </w:p>
          <w:p>
            <w:pPr>
              <w:pStyle w:val="TableText"/>
              <w:ind w:left="114" w:right="50" w:hanging="109"/>
              <w:spacing w:before="15" w:line="222" w:lineRule="auto"/>
              <w:rPr>
                <w:sz w:val="21"/>
                <w:szCs w:val="21"/>
              </w:rPr>
            </w:pPr>
            <w:r>
              <w:rPr>
                <w:sz w:val="21"/>
                <w:szCs w:val="21"/>
                <w:spacing w:val="4"/>
              </w:rPr>
              <w:t>活设</w:t>
            </w:r>
            <w:r>
              <w:rPr>
                <w:sz w:val="21"/>
                <w:szCs w:val="21"/>
              </w:rPr>
              <w:t xml:space="preserve"> </w:t>
            </w:r>
            <w:r>
              <w:rPr>
                <w:sz w:val="21"/>
                <w:szCs w:val="21"/>
              </w:rPr>
              <w:t>施</w:t>
            </w:r>
          </w:p>
        </w:tc>
        <w:tc>
          <w:tcPr>
            <w:tcW w:w="1689" w:type="dxa"/>
            <w:vAlign w:val="top"/>
            <w:gridSpan w:val="2"/>
          </w:tcPr>
          <w:p>
            <w:pPr>
              <w:pStyle w:val="TableText"/>
              <w:ind w:left="310"/>
              <w:spacing w:before="171" w:line="219" w:lineRule="auto"/>
              <w:rPr>
                <w:sz w:val="21"/>
                <w:szCs w:val="21"/>
              </w:rPr>
            </w:pPr>
            <w:r>
              <w:rPr>
                <w:sz w:val="21"/>
                <w:szCs w:val="21"/>
                <w:spacing w:val="1"/>
              </w:rPr>
              <w:t>综合办公室</w:t>
            </w:r>
          </w:p>
        </w:tc>
        <w:tc>
          <w:tcPr>
            <w:tcW w:w="10563" w:type="dxa"/>
            <w:vAlign w:val="top"/>
          </w:tcPr>
          <w:p>
            <w:pPr>
              <w:pStyle w:val="TableText"/>
              <w:ind w:left="2121"/>
              <w:spacing w:before="170" w:line="219" w:lineRule="auto"/>
              <w:rPr>
                <w:sz w:val="21"/>
                <w:szCs w:val="21"/>
              </w:rPr>
            </w:pPr>
            <w:r>
              <w:rPr>
                <w:sz w:val="21"/>
                <w:szCs w:val="21"/>
                <w:spacing w:val="3"/>
              </w:rPr>
              <w:t>依托原项目已建综合办公室，位于办公楼1F西南侧，占地面积50m²。</w:t>
            </w:r>
          </w:p>
        </w:tc>
        <w:tc>
          <w:tcPr>
            <w:tcW w:w="769" w:type="dxa"/>
            <w:vAlign w:val="top"/>
            <w:vMerge w:val="continue"/>
            <w:tcBorders>
              <w:top w:val="nil"/>
              <w:bottom w:val="nil"/>
            </w:tcBorders>
          </w:tcPr>
          <w:p>
            <w:pPr>
              <w:rPr>
                <w:rFonts w:ascii="Arial"/>
                <w:sz w:val="21"/>
              </w:rPr>
            </w:pPr>
            <w:r/>
          </w:p>
        </w:tc>
        <w:tc>
          <w:tcPr>
            <w:tcW w:w="1159" w:type="dxa"/>
            <w:vAlign w:val="top"/>
          </w:tcPr>
          <w:p>
            <w:pPr>
              <w:pStyle w:val="TableText"/>
              <w:ind w:left="153" w:hanging="104"/>
              <w:spacing w:before="40" w:line="219" w:lineRule="auto"/>
              <w:rPr>
                <w:sz w:val="21"/>
                <w:szCs w:val="21"/>
              </w:rPr>
            </w:pPr>
            <w:r>
              <w:rPr>
                <w:sz w:val="21"/>
                <w:szCs w:val="21"/>
                <w:spacing w:val="9"/>
              </w:rPr>
              <w:t>生活污水、</w:t>
            </w:r>
            <w:r>
              <w:rPr>
                <w:sz w:val="21"/>
                <w:szCs w:val="21"/>
                <w:spacing w:val="3"/>
              </w:rPr>
              <w:t xml:space="preserve"> </w:t>
            </w:r>
            <w:r>
              <w:rPr>
                <w:sz w:val="21"/>
                <w:szCs w:val="21"/>
                <w:spacing w:val="-10"/>
              </w:rPr>
              <w:t>生活垃圾</w:t>
            </w:r>
          </w:p>
        </w:tc>
        <w:tc>
          <w:tcPr>
            <w:tcW w:w="645" w:type="dxa"/>
            <w:vAlign w:val="top"/>
          </w:tcPr>
          <w:p>
            <w:pPr>
              <w:pStyle w:val="TableText"/>
              <w:ind w:left="110"/>
              <w:spacing w:before="170" w:line="219" w:lineRule="auto"/>
              <w:rPr>
                <w:sz w:val="21"/>
                <w:szCs w:val="21"/>
              </w:rPr>
            </w:pPr>
            <w:r>
              <w:rPr>
                <w:sz w:val="21"/>
                <w:szCs w:val="21"/>
                <w:spacing w:val="-3"/>
              </w:rPr>
              <w:t>依托</w:t>
            </w:r>
          </w:p>
        </w:tc>
      </w:tr>
      <w:tr>
        <w:trPr>
          <w:trHeight w:val="539" w:hRule="atLeast"/>
        </w:trPr>
        <w:tc>
          <w:tcPr>
            <w:tcW w:w="495" w:type="dxa"/>
            <w:vAlign w:val="top"/>
            <w:vMerge w:val="continue"/>
            <w:tcBorders>
              <w:top w:val="nil"/>
            </w:tcBorders>
          </w:tcPr>
          <w:p>
            <w:pPr>
              <w:rPr>
                <w:rFonts w:ascii="Arial"/>
                <w:sz w:val="21"/>
              </w:rPr>
            </w:pPr>
            <w:r/>
          </w:p>
        </w:tc>
        <w:tc>
          <w:tcPr>
            <w:tcW w:w="1689" w:type="dxa"/>
            <w:vAlign w:val="top"/>
            <w:gridSpan w:val="2"/>
          </w:tcPr>
          <w:p>
            <w:pPr>
              <w:pStyle w:val="TableText"/>
              <w:ind w:left="410"/>
              <w:spacing w:before="173" w:line="220" w:lineRule="auto"/>
              <w:rPr>
                <w:sz w:val="21"/>
                <w:szCs w:val="21"/>
              </w:rPr>
            </w:pPr>
            <w:r>
              <w:rPr>
                <w:sz w:val="21"/>
                <w:szCs w:val="21"/>
                <w:spacing w:val="2"/>
              </w:rPr>
              <w:t>员工食堂</w:t>
            </w:r>
          </w:p>
        </w:tc>
        <w:tc>
          <w:tcPr>
            <w:tcW w:w="10563" w:type="dxa"/>
            <w:vAlign w:val="top"/>
          </w:tcPr>
          <w:p>
            <w:pPr>
              <w:pStyle w:val="TableText"/>
              <w:ind w:left="2491"/>
              <w:spacing w:before="171" w:line="219" w:lineRule="auto"/>
              <w:rPr>
                <w:sz w:val="21"/>
                <w:szCs w:val="21"/>
              </w:rPr>
            </w:pPr>
            <w:r>
              <w:rPr>
                <w:sz w:val="21"/>
                <w:szCs w:val="21"/>
                <w:spacing w:val="3"/>
              </w:rPr>
              <w:t>依托原项目办公楼，位于办公楼3F西北侧，占地面积200m²。</w:t>
            </w:r>
          </w:p>
        </w:tc>
        <w:tc>
          <w:tcPr>
            <w:tcW w:w="769" w:type="dxa"/>
            <w:vAlign w:val="top"/>
            <w:vMerge w:val="continue"/>
            <w:tcBorders>
              <w:top w:val="nil"/>
              <w:bottom w:val="nil"/>
            </w:tcBorders>
          </w:tcPr>
          <w:p>
            <w:pPr>
              <w:rPr>
                <w:rFonts w:ascii="Arial"/>
                <w:sz w:val="21"/>
              </w:rPr>
            </w:pPr>
            <w:r/>
          </w:p>
        </w:tc>
        <w:tc>
          <w:tcPr>
            <w:tcW w:w="1159" w:type="dxa"/>
            <w:vAlign w:val="top"/>
          </w:tcPr>
          <w:p>
            <w:pPr>
              <w:pStyle w:val="TableText"/>
              <w:ind w:left="158"/>
              <w:spacing w:before="53" w:line="219" w:lineRule="auto"/>
              <w:rPr>
                <w:sz w:val="21"/>
                <w:szCs w:val="21"/>
              </w:rPr>
            </w:pPr>
            <w:r>
              <w:rPr>
                <w:sz w:val="21"/>
                <w:szCs w:val="21"/>
                <w:spacing w:val="-2"/>
              </w:rPr>
              <w:t>废气、废</w:t>
            </w:r>
          </w:p>
          <w:p>
            <w:pPr>
              <w:pStyle w:val="TableText"/>
              <w:ind w:left="158"/>
              <w:spacing w:line="199" w:lineRule="auto"/>
              <w:rPr>
                <w:sz w:val="21"/>
                <w:szCs w:val="21"/>
              </w:rPr>
            </w:pPr>
            <w:r>
              <w:rPr>
                <w:sz w:val="21"/>
                <w:szCs w:val="21"/>
                <w:spacing w:val="2"/>
              </w:rPr>
              <w:t>水、固废</w:t>
            </w:r>
          </w:p>
        </w:tc>
        <w:tc>
          <w:tcPr>
            <w:tcW w:w="645" w:type="dxa"/>
            <w:vAlign w:val="top"/>
          </w:tcPr>
          <w:p>
            <w:pPr>
              <w:pStyle w:val="TableText"/>
              <w:ind w:left="110"/>
              <w:spacing w:before="173" w:line="220" w:lineRule="auto"/>
              <w:rPr>
                <w:sz w:val="21"/>
                <w:szCs w:val="21"/>
              </w:rPr>
            </w:pPr>
            <w:r>
              <w:rPr>
                <w:sz w:val="21"/>
                <w:szCs w:val="21"/>
                <w:spacing w:val="-3"/>
              </w:rPr>
              <w:t>新建</w:t>
            </w:r>
          </w:p>
        </w:tc>
      </w:tr>
      <w:tr>
        <w:trPr>
          <w:trHeight w:val="549" w:hRule="atLeast"/>
        </w:trPr>
        <w:tc>
          <w:tcPr>
            <w:tcW w:w="495" w:type="dxa"/>
            <w:vAlign w:val="top"/>
            <w:vMerge w:val="restart"/>
            <w:tcBorders>
              <w:bottom w:val="nil"/>
            </w:tcBorders>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pStyle w:val="TableText"/>
              <w:ind w:left="5"/>
              <w:spacing w:before="68" w:line="220" w:lineRule="auto"/>
              <w:rPr>
                <w:sz w:val="21"/>
                <w:szCs w:val="21"/>
              </w:rPr>
            </w:pPr>
            <w:r>
              <w:rPr>
                <w:sz w:val="21"/>
                <w:szCs w:val="21"/>
                <w:spacing w:val="-3"/>
              </w:rPr>
              <w:t>环保</w:t>
            </w:r>
          </w:p>
          <w:p>
            <w:pPr>
              <w:pStyle w:val="TableText"/>
              <w:ind w:left="15"/>
              <w:spacing w:line="220" w:lineRule="auto"/>
              <w:rPr>
                <w:sz w:val="21"/>
                <w:szCs w:val="21"/>
              </w:rPr>
            </w:pPr>
            <w:r>
              <w:rPr>
                <w:sz w:val="21"/>
                <w:szCs w:val="21"/>
                <w:spacing w:val="-3"/>
              </w:rPr>
              <w:t>工程</w:t>
            </w:r>
          </w:p>
        </w:tc>
        <w:tc>
          <w:tcPr>
            <w:tcW w:w="1689" w:type="dxa"/>
            <w:vAlign w:val="top"/>
            <w:gridSpan w:val="2"/>
            <w:vMerge w:val="restart"/>
            <w:tcBorders>
              <w:bottom w:val="nil"/>
            </w:tcBorders>
          </w:tcPr>
          <w:p>
            <w:pPr>
              <w:spacing w:line="313" w:lineRule="auto"/>
              <w:rPr>
                <w:rFonts w:ascii="Arial"/>
                <w:sz w:val="21"/>
              </w:rPr>
            </w:pPr>
            <w:r/>
          </w:p>
          <w:p>
            <w:pPr>
              <w:spacing w:line="313" w:lineRule="auto"/>
              <w:rPr>
                <w:rFonts w:ascii="Arial"/>
                <w:sz w:val="21"/>
              </w:rPr>
            </w:pPr>
            <w:r/>
          </w:p>
          <w:p>
            <w:pPr>
              <w:spacing w:line="313" w:lineRule="auto"/>
              <w:rPr>
                <w:rFonts w:ascii="Arial"/>
                <w:sz w:val="21"/>
              </w:rPr>
            </w:pPr>
            <w:r/>
          </w:p>
          <w:p>
            <w:pPr>
              <w:pStyle w:val="TableText"/>
              <w:ind w:left="410"/>
              <w:spacing w:before="68" w:line="219" w:lineRule="auto"/>
              <w:rPr>
                <w:sz w:val="21"/>
                <w:szCs w:val="21"/>
              </w:rPr>
            </w:pPr>
            <w:r>
              <w:rPr>
                <w:sz w:val="21"/>
                <w:szCs w:val="21"/>
                <w:spacing w:val="-2"/>
              </w:rPr>
              <w:t>废水治理</w:t>
            </w:r>
          </w:p>
        </w:tc>
        <w:tc>
          <w:tcPr>
            <w:tcW w:w="10563" w:type="dxa"/>
            <w:vAlign w:val="top"/>
          </w:tcPr>
          <w:p>
            <w:pPr>
              <w:pStyle w:val="TableText"/>
              <w:ind w:left="10" w:right="70" w:firstLine="60"/>
              <w:spacing w:before="40" w:line="219" w:lineRule="auto"/>
              <w:rPr>
                <w:sz w:val="21"/>
                <w:szCs w:val="21"/>
              </w:rPr>
            </w:pPr>
            <w:r>
              <w:rPr>
                <w:sz w:val="21"/>
                <w:szCs w:val="21"/>
                <w:spacing w:val="4"/>
              </w:rPr>
              <w:t>设置废水处理站1座，位于厂区内北侧，占地面积300m²,设计规模为1600m³/d,采用“格栅+调节+</w:t>
            </w:r>
            <w:r>
              <w:rPr>
                <w:sz w:val="21"/>
                <w:szCs w:val="21"/>
                <w:spacing w:val="3"/>
              </w:rPr>
              <w:t>气浮+厌氧接触</w:t>
            </w:r>
            <w:r>
              <w:rPr>
                <w:sz w:val="21"/>
                <w:szCs w:val="21"/>
              </w:rPr>
              <w:t xml:space="preserve"> </w:t>
            </w:r>
            <w:r>
              <w:rPr>
                <w:sz w:val="21"/>
                <w:szCs w:val="21"/>
              </w:rPr>
              <w:t>池+AOAO+沉淀+消毒”处理工艺，生产废水进入污水处理站处</w:t>
            </w:r>
            <w:r>
              <w:rPr>
                <w:sz w:val="21"/>
                <w:szCs w:val="21"/>
                <w:spacing w:val="-1"/>
              </w:rPr>
              <w:t>理。</w:t>
            </w:r>
          </w:p>
        </w:tc>
        <w:tc>
          <w:tcPr>
            <w:tcW w:w="769" w:type="dxa"/>
            <w:vAlign w:val="top"/>
            <w:vMerge w:val="continue"/>
            <w:tcBorders>
              <w:top w:val="nil"/>
              <w:bottom w:val="nil"/>
            </w:tcBorders>
          </w:tcPr>
          <w:p>
            <w:pPr>
              <w:rPr>
                <w:rFonts w:ascii="Arial"/>
                <w:sz w:val="21"/>
              </w:rPr>
            </w:pPr>
            <w:r/>
          </w:p>
        </w:tc>
        <w:tc>
          <w:tcPr>
            <w:tcW w:w="1159" w:type="dxa"/>
            <w:vAlign w:val="top"/>
          </w:tcPr>
          <w:p>
            <w:pPr>
              <w:pStyle w:val="TableText"/>
              <w:ind w:left="49"/>
              <w:spacing w:before="173" w:line="219" w:lineRule="auto"/>
              <w:rPr>
                <w:sz w:val="21"/>
                <w:szCs w:val="21"/>
              </w:rPr>
            </w:pPr>
            <w:r>
              <w:rPr>
                <w:sz w:val="21"/>
                <w:szCs w:val="21"/>
                <w:spacing w:val="2"/>
              </w:rPr>
              <w:t>恶臭、污泥</w:t>
            </w:r>
          </w:p>
        </w:tc>
        <w:tc>
          <w:tcPr>
            <w:tcW w:w="645" w:type="dxa"/>
            <w:vAlign w:val="top"/>
          </w:tcPr>
          <w:p>
            <w:pPr>
              <w:pStyle w:val="TableText"/>
              <w:ind w:left="108" w:hanging="89"/>
              <w:spacing w:before="43" w:line="218" w:lineRule="auto"/>
              <w:rPr>
                <w:sz w:val="21"/>
                <w:szCs w:val="21"/>
              </w:rPr>
            </w:pPr>
            <w:r>
              <w:rPr>
                <w:sz w:val="21"/>
                <w:szCs w:val="21"/>
                <w:spacing w:val="-5"/>
              </w:rPr>
              <w:t>拆除后</w:t>
            </w:r>
            <w:r>
              <w:rPr>
                <w:sz w:val="21"/>
                <w:szCs w:val="21"/>
              </w:rPr>
              <w:t xml:space="preserve"> </w:t>
            </w:r>
            <w:r>
              <w:rPr>
                <w:sz w:val="21"/>
                <w:szCs w:val="21"/>
                <w:spacing w:val="-4"/>
              </w:rPr>
              <w:t>新建</w:t>
            </w:r>
          </w:p>
        </w:tc>
      </w:tr>
      <w:tr>
        <w:trPr>
          <w:trHeight w:val="549" w:hRule="atLeast"/>
        </w:trPr>
        <w:tc>
          <w:tcPr>
            <w:tcW w:w="495" w:type="dxa"/>
            <w:vAlign w:val="top"/>
            <w:vMerge w:val="continue"/>
            <w:tcBorders>
              <w:top w:val="nil"/>
              <w:bottom w:val="nil"/>
            </w:tcBorders>
          </w:tcPr>
          <w:p>
            <w:pPr>
              <w:rPr>
                <w:rFonts w:ascii="Arial"/>
                <w:sz w:val="21"/>
              </w:rPr>
            </w:pPr>
            <w:r/>
          </w:p>
        </w:tc>
        <w:tc>
          <w:tcPr>
            <w:tcW w:w="1689" w:type="dxa"/>
            <w:vAlign w:val="top"/>
            <w:gridSpan w:val="2"/>
            <w:vMerge w:val="continue"/>
            <w:tcBorders>
              <w:top w:val="nil"/>
              <w:bottom w:val="nil"/>
            </w:tcBorders>
          </w:tcPr>
          <w:p>
            <w:pPr>
              <w:rPr>
                <w:rFonts w:ascii="Arial"/>
                <w:sz w:val="21"/>
              </w:rPr>
            </w:pPr>
            <w:r/>
          </w:p>
        </w:tc>
        <w:tc>
          <w:tcPr>
            <w:tcW w:w="10563" w:type="dxa"/>
            <w:vAlign w:val="top"/>
          </w:tcPr>
          <w:p>
            <w:pPr>
              <w:pStyle w:val="TableText"/>
              <w:ind w:left="2591"/>
              <w:spacing w:before="173" w:line="219" w:lineRule="auto"/>
              <w:rPr>
                <w:sz w:val="21"/>
                <w:szCs w:val="21"/>
              </w:rPr>
            </w:pPr>
            <w:r>
              <w:rPr>
                <w:sz w:val="21"/>
                <w:szCs w:val="21"/>
              </w:rPr>
              <w:t>监测废液：在线监测设施1套(含COD、氨氮、总氮、总磷)。</w:t>
            </w:r>
          </w:p>
        </w:tc>
        <w:tc>
          <w:tcPr>
            <w:tcW w:w="769" w:type="dxa"/>
            <w:vAlign w:val="top"/>
            <w:vMerge w:val="continue"/>
            <w:tcBorders>
              <w:top w:val="nil"/>
              <w:bottom w:val="nil"/>
            </w:tcBorders>
          </w:tcPr>
          <w:p>
            <w:pPr>
              <w:rPr>
                <w:rFonts w:ascii="Arial"/>
                <w:sz w:val="21"/>
              </w:rPr>
            </w:pPr>
            <w:r/>
          </w:p>
        </w:tc>
        <w:tc>
          <w:tcPr>
            <w:tcW w:w="1159" w:type="dxa"/>
            <w:vAlign w:val="top"/>
          </w:tcPr>
          <w:p>
            <w:pPr>
              <w:pStyle w:val="TableText"/>
              <w:ind w:left="158"/>
              <w:spacing w:before="175" w:line="220" w:lineRule="auto"/>
              <w:rPr>
                <w:sz w:val="21"/>
                <w:szCs w:val="21"/>
              </w:rPr>
            </w:pPr>
            <w:r>
              <w:rPr>
                <w:sz w:val="21"/>
                <w:szCs w:val="21"/>
                <w:spacing w:val="-2"/>
              </w:rPr>
              <w:t>监测废液</w:t>
            </w:r>
          </w:p>
        </w:tc>
        <w:tc>
          <w:tcPr>
            <w:tcW w:w="645" w:type="dxa"/>
            <w:vAlign w:val="top"/>
          </w:tcPr>
          <w:p>
            <w:pPr>
              <w:pStyle w:val="TableText"/>
              <w:ind w:left="108" w:hanging="89"/>
              <w:spacing w:before="33" w:line="222" w:lineRule="auto"/>
              <w:rPr>
                <w:sz w:val="21"/>
                <w:szCs w:val="21"/>
              </w:rPr>
            </w:pPr>
            <w:r>
              <w:rPr>
                <w:sz w:val="21"/>
                <w:szCs w:val="21"/>
                <w:spacing w:val="-5"/>
              </w:rPr>
              <w:t>拆除后</w:t>
            </w:r>
            <w:r>
              <w:rPr>
                <w:sz w:val="21"/>
                <w:szCs w:val="21"/>
              </w:rPr>
              <w:t xml:space="preserve"> </w:t>
            </w:r>
            <w:r>
              <w:rPr>
                <w:sz w:val="21"/>
                <w:szCs w:val="21"/>
                <w:spacing w:val="-4"/>
              </w:rPr>
              <w:t>新建</w:t>
            </w:r>
          </w:p>
        </w:tc>
      </w:tr>
      <w:tr>
        <w:trPr>
          <w:trHeight w:val="539" w:hRule="atLeast"/>
        </w:trPr>
        <w:tc>
          <w:tcPr>
            <w:tcW w:w="495" w:type="dxa"/>
            <w:vAlign w:val="top"/>
            <w:vMerge w:val="continue"/>
            <w:tcBorders>
              <w:top w:val="nil"/>
              <w:bottom w:val="nil"/>
            </w:tcBorders>
          </w:tcPr>
          <w:p>
            <w:pPr>
              <w:rPr>
                <w:rFonts w:ascii="Arial"/>
                <w:sz w:val="21"/>
              </w:rPr>
            </w:pPr>
            <w:r/>
          </w:p>
        </w:tc>
        <w:tc>
          <w:tcPr>
            <w:tcW w:w="1689" w:type="dxa"/>
            <w:vAlign w:val="top"/>
            <w:gridSpan w:val="2"/>
            <w:vMerge w:val="continue"/>
            <w:tcBorders>
              <w:top w:val="nil"/>
              <w:bottom w:val="nil"/>
            </w:tcBorders>
          </w:tcPr>
          <w:p>
            <w:pPr>
              <w:rPr>
                <w:rFonts w:ascii="Arial"/>
                <w:sz w:val="21"/>
              </w:rPr>
            </w:pPr>
            <w:r/>
          </w:p>
        </w:tc>
        <w:tc>
          <w:tcPr>
            <w:tcW w:w="10563" w:type="dxa"/>
            <w:vAlign w:val="top"/>
          </w:tcPr>
          <w:p>
            <w:pPr>
              <w:pStyle w:val="TableText"/>
              <w:ind w:left="2071"/>
              <w:spacing w:before="175" w:line="219" w:lineRule="auto"/>
              <w:rPr>
                <w:sz w:val="21"/>
                <w:szCs w:val="21"/>
              </w:rPr>
            </w:pPr>
            <w:r>
              <w:rPr>
                <w:sz w:val="21"/>
                <w:szCs w:val="21"/>
                <w:spacing w:val="3"/>
              </w:rPr>
              <w:t>食堂废水：新建食堂隔油池1座、紧邻办公生活区，有效容积为15m³。</w:t>
            </w:r>
          </w:p>
        </w:tc>
        <w:tc>
          <w:tcPr>
            <w:tcW w:w="769" w:type="dxa"/>
            <w:vAlign w:val="top"/>
            <w:vMerge w:val="continue"/>
            <w:tcBorders>
              <w:top w:val="nil"/>
              <w:bottom w:val="nil"/>
            </w:tcBorders>
          </w:tcPr>
          <w:p>
            <w:pPr>
              <w:rPr>
                <w:rFonts w:ascii="Arial"/>
                <w:sz w:val="21"/>
              </w:rPr>
            </w:pPr>
            <w:r/>
          </w:p>
        </w:tc>
        <w:tc>
          <w:tcPr>
            <w:tcW w:w="1159" w:type="dxa"/>
            <w:vAlign w:val="top"/>
          </w:tcPr>
          <w:p>
            <w:pPr>
              <w:pStyle w:val="TableText"/>
              <w:ind w:left="153" w:hanging="104"/>
              <w:spacing w:before="55" w:line="208" w:lineRule="auto"/>
              <w:rPr>
                <w:sz w:val="21"/>
                <w:szCs w:val="21"/>
              </w:rPr>
            </w:pPr>
            <w:r>
              <w:rPr>
                <w:sz w:val="21"/>
                <w:szCs w:val="21"/>
                <w:spacing w:val="9"/>
              </w:rPr>
              <w:t>餐饮废水、</w:t>
            </w:r>
            <w:r>
              <w:rPr>
                <w:sz w:val="21"/>
                <w:szCs w:val="21"/>
                <w:spacing w:val="3"/>
              </w:rPr>
              <w:t xml:space="preserve"> </w:t>
            </w:r>
            <w:r>
              <w:rPr>
                <w:sz w:val="21"/>
                <w:szCs w:val="21"/>
                <w:spacing w:val="-10"/>
              </w:rPr>
              <w:t>餐厨垃圾</w:t>
            </w:r>
          </w:p>
        </w:tc>
        <w:tc>
          <w:tcPr>
            <w:tcW w:w="645" w:type="dxa"/>
            <w:vAlign w:val="top"/>
          </w:tcPr>
          <w:p>
            <w:pPr>
              <w:pStyle w:val="TableText"/>
              <w:ind w:left="110"/>
              <w:spacing w:before="176" w:line="220" w:lineRule="auto"/>
              <w:rPr>
                <w:sz w:val="21"/>
                <w:szCs w:val="21"/>
              </w:rPr>
            </w:pPr>
            <w:r>
              <w:rPr>
                <w:sz w:val="21"/>
                <w:szCs w:val="21"/>
                <w:spacing w:val="-3"/>
              </w:rPr>
              <w:t>新建</w:t>
            </w:r>
          </w:p>
        </w:tc>
      </w:tr>
      <w:tr>
        <w:trPr>
          <w:trHeight w:val="270" w:hRule="atLeast"/>
        </w:trPr>
        <w:tc>
          <w:tcPr>
            <w:tcW w:w="495" w:type="dxa"/>
            <w:vAlign w:val="top"/>
            <w:vMerge w:val="continue"/>
            <w:tcBorders>
              <w:top w:val="nil"/>
              <w:bottom w:val="nil"/>
            </w:tcBorders>
          </w:tcPr>
          <w:p>
            <w:pPr>
              <w:rPr>
                <w:rFonts w:ascii="Arial"/>
                <w:sz w:val="21"/>
              </w:rPr>
            </w:pPr>
            <w:r/>
          </w:p>
        </w:tc>
        <w:tc>
          <w:tcPr>
            <w:tcW w:w="1689" w:type="dxa"/>
            <w:vAlign w:val="top"/>
            <w:gridSpan w:val="2"/>
            <w:vMerge w:val="continue"/>
            <w:tcBorders>
              <w:top w:val="nil"/>
              <w:bottom w:val="nil"/>
            </w:tcBorders>
          </w:tcPr>
          <w:p>
            <w:pPr>
              <w:rPr>
                <w:rFonts w:ascii="Arial"/>
                <w:sz w:val="21"/>
              </w:rPr>
            </w:pPr>
            <w:r/>
          </w:p>
        </w:tc>
        <w:tc>
          <w:tcPr>
            <w:tcW w:w="10563" w:type="dxa"/>
            <w:vAlign w:val="top"/>
          </w:tcPr>
          <w:p>
            <w:pPr>
              <w:pStyle w:val="TableText"/>
              <w:ind w:left="2591"/>
              <w:spacing w:before="35" w:line="197" w:lineRule="auto"/>
              <w:rPr>
                <w:sz w:val="21"/>
                <w:szCs w:val="21"/>
              </w:rPr>
            </w:pPr>
            <w:r>
              <w:rPr>
                <w:sz w:val="21"/>
                <w:szCs w:val="21"/>
                <w:spacing w:val="4"/>
              </w:rPr>
              <w:t>生活污水：依托原项目已建生活污水预处理池1座、2</w:t>
            </w:r>
            <w:r>
              <w:rPr>
                <w:sz w:val="21"/>
                <w:szCs w:val="21"/>
                <w:spacing w:val="3"/>
              </w:rPr>
              <w:t>0m³。</w:t>
            </w:r>
          </w:p>
        </w:tc>
        <w:tc>
          <w:tcPr>
            <w:tcW w:w="769" w:type="dxa"/>
            <w:vAlign w:val="top"/>
            <w:vMerge w:val="continue"/>
            <w:tcBorders>
              <w:top w:val="nil"/>
              <w:bottom w:val="nil"/>
            </w:tcBorders>
          </w:tcPr>
          <w:p>
            <w:pPr>
              <w:rPr>
                <w:rFonts w:ascii="Arial"/>
                <w:sz w:val="21"/>
              </w:rPr>
            </w:pPr>
            <w:r/>
          </w:p>
        </w:tc>
        <w:tc>
          <w:tcPr>
            <w:tcW w:w="1159" w:type="dxa"/>
            <w:vAlign w:val="top"/>
          </w:tcPr>
          <w:p>
            <w:pPr>
              <w:pStyle w:val="TableText"/>
              <w:ind w:left="49"/>
              <w:spacing w:before="35" w:line="197" w:lineRule="auto"/>
              <w:rPr>
                <w:sz w:val="21"/>
                <w:szCs w:val="21"/>
              </w:rPr>
            </w:pPr>
            <w:r>
              <w:rPr>
                <w:sz w:val="21"/>
                <w:szCs w:val="21"/>
                <w:spacing w:val="2"/>
              </w:rPr>
              <w:t>污水、污泥</w:t>
            </w:r>
          </w:p>
        </w:tc>
        <w:tc>
          <w:tcPr>
            <w:tcW w:w="645" w:type="dxa"/>
            <w:vAlign w:val="top"/>
          </w:tcPr>
          <w:p>
            <w:pPr>
              <w:pStyle w:val="TableText"/>
              <w:ind w:left="110"/>
              <w:spacing w:before="35" w:line="197" w:lineRule="auto"/>
              <w:rPr>
                <w:sz w:val="21"/>
                <w:szCs w:val="21"/>
              </w:rPr>
            </w:pPr>
            <w:r>
              <w:rPr>
                <w:sz w:val="21"/>
                <w:szCs w:val="21"/>
                <w:spacing w:val="-3"/>
              </w:rPr>
              <w:t>依托</w:t>
            </w:r>
          </w:p>
        </w:tc>
      </w:tr>
      <w:tr>
        <w:trPr>
          <w:trHeight w:val="270" w:hRule="atLeast"/>
        </w:trPr>
        <w:tc>
          <w:tcPr>
            <w:tcW w:w="495" w:type="dxa"/>
            <w:vAlign w:val="top"/>
            <w:vMerge w:val="continue"/>
            <w:tcBorders>
              <w:top w:val="nil"/>
              <w:bottom w:val="nil"/>
            </w:tcBorders>
          </w:tcPr>
          <w:p>
            <w:pPr>
              <w:rPr>
                <w:rFonts w:ascii="Arial"/>
                <w:sz w:val="21"/>
              </w:rPr>
            </w:pPr>
            <w:r/>
          </w:p>
        </w:tc>
        <w:tc>
          <w:tcPr>
            <w:tcW w:w="1689" w:type="dxa"/>
            <w:vAlign w:val="top"/>
            <w:gridSpan w:val="2"/>
            <w:vMerge w:val="continue"/>
            <w:tcBorders>
              <w:top w:val="nil"/>
            </w:tcBorders>
          </w:tcPr>
          <w:p>
            <w:pPr>
              <w:rPr>
                <w:rFonts w:ascii="Arial"/>
                <w:sz w:val="21"/>
              </w:rPr>
            </w:pPr>
            <w:r/>
          </w:p>
        </w:tc>
        <w:tc>
          <w:tcPr>
            <w:tcW w:w="10563" w:type="dxa"/>
            <w:vAlign w:val="top"/>
          </w:tcPr>
          <w:p>
            <w:pPr>
              <w:pStyle w:val="TableText"/>
              <w:ind w:left="3330"/>
              <w:spacing w:before="35" w:line="197" w:lineRule="auto"/>
              <w:rPr>
                <w:sz w:val="21"/>
                <w:szCs w:val="21"/>
              </w:rPr>
            </w:pPr>
            <w:r>
              <w:rPr>
                <w:sz w:val="21"/>
                <w:szCs w:val="21"/>
                <w:spacing w:val="4"/>
              </w:rPr>
              <w:t>初期雨水：新建初期雨水池1座、约65m³。</w:t>
            </w:r>
          </w:p>
        </w:tc>
        <w:tc>
          <w:tcPr>
            <w:tcW w:w="769" w:type="dxa"/>
            <w:vAlign w:val="top"/>
            <w:vMerge w:val="continue"/>
            <w:tcBorders>
              <w:top w:val="nil"/>
              <w:bottom w:val="nil"/>
            </w:tcBorders>
          </w:tcPr>
          <w:p>
            <w:pPr>
              <w:rPr>
                <w:rFonts w:ascii="Arial"/>
                <w:sz w:val="21"/>
              </w:rPr>
            </w:pPr>
            <w:r/>
          </w:p>
        </w:tc>
        <w:tc>
          <w:tcPr>
            <w:tcW w:w="1159" w:type="dxa"/>
            <w:vAlign w:val="top"/>
          </w:tcPr>
          <w:p>
            <w:pPr>
              <w:pStyle w:val="TableText"/>
              <w:ind w:left="158"/>
              <w:spacing w:before="35" w:line="197" w:lineRule="auto"/>
              <w:rPr>
                <w:sz w:val="21"/>
                <w:szCs w:val="21"/>
              </w:rPr>
            </w:pPr>
            <w:r>
              <w:rPr>
                <w:sz w:val="21"/>
                <w:szCs w:val="21"/>
                <w:spacing w:val="-2"/>
              </w:rPr>
              <w:t>初期雨水</w:t>
            </w:r>
          </w:p>
        </w:tc>
        <w:tc>
          <w:tcPr>
            <w:tcW w:w="645" w:type="dxa"/>
            <w:vAlign w:val="top"/>
          </w:tcPr>
          <w:p>
            <w:pPr>
              <w:pStyle w:val="TableText"/>
              <w:ind w:left="110"/>
              <w:spacing w:before="37" w:line="196" w:lineRule="auto"/>
              <w:rPr>
                <w:sz w:val="21"/>
                <w:szCs w:val="21"/>
              </w:rPr>
            </w:pPr>
            <w:r>
              <w:rPr>
                <w:sz w:val="21"/>
                <w:szCs w:val="21"/>
                <w:color w:val="505060"/>
                <w:spacing w:val="-3"/>
              </w:rPr>
              <w:t>新建</w:t>
            </w:r>
          </w:p>
        </w:tc>
      </w:tr>
      <w:tr>
        <w:trPr>
          <w:trHeight w:val="549" w:hRule="atLeast"/>
        </w:trPr>
        <w:tc>
          <w:tcPr>
            <w:tcW w:w="495" w:type="dxa"/>
            <w:vAlign w:val="top"/>
            <w:vMerge w:val="continue"/>
            <w:tcBorders>
              <w:top w:val="nil"/>
              <w:bottom w:val="nil"/>
            </w:tcBorders>
          </w:tcPr>
          <w:p>
            <w:pPr>
              <w:rPr>
                <w:rFonts w:ascii="Arial"/>
                <w:sz w:val="21"/>
              </w:rPr>
            </w:pPr>
            <w:r/>
          </w:p>
        </w:tc>
        <w:tc>
          <w:tcPr>
            <w:tcW w:w="1689" w:type="dxa"/>
            <w:vAlign w:val="top"/>
            <w:gridSpan w:val="2"/>
            <w:vMerge w:val="restart"/>
            <w:tcBorders>
              <w:bottom w:val="nil"/>
            </w:tcBorders>
          </w:tcPr>
          <w:p>
            <w:pPr>
              <w:spacing w:line="332" w:lineRule="auto"/>
              <w:rPr>
                <w:rFonts w:ascii="Arial"/>
                <w:sz w:val="21"/>
              </w:rPr>
            </w:pPr>
            <w:r/>
          </w:p>
          <w:p>
            <w:pPr>
              <w:spacing w:line="332" w:lineRule="auto"/>
              <w:rPr>
                <w:rFonts w:ascii="Arial"/>
                <w:sz w:val="21"/>
              </w:rPr>
            </w:pPr>
            <w:r/>
          </w:p>
          <w:p>
            <w:pPr>
              <w:pStyle w:val="TableText"/>
              <w:ind w:left="410"/>
              <w:spacing w:before="69" w:line="220" w:lineRule="auto"/>
              <w:rPr>
                <w:sz w:val="21"/>
                <w:szCs w:val="21"/>
              </w:rPr>
            </w:pPr>
            <w:r>
              <w:rPr>
                <w:sz w:val="21"/>
                <w:szCs w:val="21"/>
                <w:spacing w:val="-2"/>
              </w:rPr>
              <w:t>废气治理</w:t>
            </w:r>
          </w:p>
        </w:tc>
        <w:tc>
          <w:tcPr>
            <w:tcW w:w="10563" w:type="dxa"/>
            <w:vAlign w:val="top"/>
          </w:tcPr>
          <w:p>
            <w:pPr>
              <w:pStyle w:val="TableText"/>
              <w:ind w:left="10" w:right="118" w:firstLine="120"/>
              <w:spacing w:before="45" w:line="217" w:lineRule="auto"/>
              <w:rPr>
                <w:sz w:val="21"/>
                <w:szCs w:val="21"/>
              </w:rPr>
            </w:pPr>
            <w:r>
              <w:rPr>
                <w:sz w:val="21"/>
                <w:szCs w:val="21"/>
              </w:rPr>
              <w:t>生猪、肉牛待宰圈舍、生猪屠宰车间、肉牛屠宰车间废气：分别经密闭负压系统收集后由“喷淋+UV光解+活性炭</w:t>
            </w:r>
            <w:r>
              <w:rPr>
                <w:sz w:val="21"/>
                <w:szCs w:val="21"/>
                <w:spacing w:val="12"/>
              </w:rPr>
              <w:t xml:space="preserve"> </w:t>
            </w:r>
            <w:r>
              <w:rPr>
                <w:sz w:val="21"/>
                <w:szCs w:val="21"/>
              </w:rPr>
              <w:t>吸附装置(TA001、TA002、TA003)”处理后由同1根15m排气筒(D</w:t>
            </w:r>
            <w:r>
              <w:rPr>
                <w:sz w:val="21"/>
                <w:szCs w:val="21"/>
                <w:spacing w:val="-1"/>
              </w:rPr>
              <w:t>A001)。</w:t>
            </w:r>
          </w:p>
        </w:tc>
        <w:tc>
          <w:tcPr>
            <w:tcW w:w="769" w:type="dxa"/>
            <w:vAlign w:val="top"/>
            <w:vMerge w:val="continue"/>
            <w:tcBorders>
              <w:top w:val="nil"/>
              <w:bottom w:val="nil"/>
            </w:tcBorders>
          </w:tcPr>
          <w:p>
            <w:pPr>
              <w:rPr>
                <w:rFonts w:ascii="Arial"/>
                <w:sz w:val="21"/>
              </w:rPr>
            </w:pPr>
            <w:r/>
          </w:p>
        </w:tc>
        <w:tc>
          <w:tcPr>
            <w:tcW w:w="1159" w:type="dxa"/>
            <w:vAlign w:val="top"/>
            <w:vMerge w:val="restart"/>
            <w:tcBorders>
              <w:bottom w:val="nil"/>
            </w:tcBorders>
          </w:tcPr>
          <w:p>
            <w:pPr>
              <w:spacing w:line="257" w:lineRule="auto"/>
              <w:rPr>
                <w:rFonts w:ascii="Arial"/>
                <w:sz w:val="21"/>
              </w:rPr>
            </w:pPr>
            <w:r/>
          </w:p>
          <w:p>
            <w:pPr>
              <w:pStyle w:val="TableText"/>
              <w:spacing w:before="68" w:line="220" w:lineRule="auto"/>
              <w:jc w:val="right"/>
              <w:rPr>
                <w:sz w:val="21"/>
                <w:szCs w:val="21"/>
              </w:rPr>
            </w:pPr>
            <w:r>
              <w:rPr>
                <w:sz w:val="21"/>
                <w:szCs w:val="21"/>
                <w:spacing w:val="9"/>
              </w:rPr>
              <w:t>废活性炭、</w:t>
            </w:r>
          </w:p>
          <w:p>
            <w:pPr>
              <w:pStyle w:val="TableText"/>
              <w:spacing w:before="19" w:line="219" w:lineRule="auto"/>
              <w:jc w:val="right"/>
              <w:rPr>
                <w:sz w:val="21"/>
                <w:szCs w:val="21"/>
              </w:rPr>
            </w:pPr>
            <w:r>
              <w:rPr>
                <w:sz w:val="21"/>
                <w:szCs w:val="21"/>
                <w:spacing w:val="12"/>
              </w:rPr>
              <w:t>废</w:t>
            </w:r>
            <w:r>
              <w:rPr>
                <w:sz w:val="21"/>
                <w:szCs w:val="21"/>
              </w:rPr>
              <w:t>UV</w:t>
            </w:r>
            <w:r>
              <w:rPr>
                <w:sz w:val="21"/>
                <w:szCs w:val="21"/>
                <w:spacing w:val="12"/>
              </w:rPr>
              <w:t>灯管、</w:t>
            </w:r>
          </w:p>
          <w:p>
            <w:pPr>
              <w:pStyle w:val="TableText"/>
              <w:ind w:left="353" w:hanging="304"/>
              <w:spacing w:before="38" w:line="224" w:lineRule="auto"/>
              <w:rPr>
                <w:sz w:val="21"/>
                <w:szCs w:val="21"/>
              </w:rPr>
            </w:pPr>
            <w:r>
              <w:rPr>
                <w:sz w:val="21"/>
                <w:szCs w:val="21"/>
                <w:spacing w:val="9"/>
              </w:rPr>
              <w:t>废脱硫剂、</w:t>
            </w:r>
            <w:r>
              <w:rPr>
                <w:sz w:val="21"/>
                <w:szCs w:val="21"/>
                <w:spacing w:val="3"/>
              </w:rPr>
              <w:t xml:space="preserve"> </w:t>
            </w:r>
            <w:r>
              <w:rPr>
                <w:sz w:val="21"/>
                <w:szCs w:val="21"/>
                <w:spacing w:val="-2"/>
              </w:rPr>
              <w:t>噪声</w:t>
            </w:r>
          </w:p>
        </w:tc>
        <w:tc>
          <w:tcPr>
            <w:tcW w:w="645" w:type="dxa"/>
            <w:vAlign w:val="top"/>
            <w:vMerge w:val="restart"/>
            <w:tcBorders>
              <w:bottom w:val="nil"/>
            </w:tcBorders>
          </w:tcPr>
          <w:p>
            <w:pPr>
              <w:spacing w:line="332" w:lineRule="auto"/>
              <w:rPr>
                <w:rFonts w:ascii="Arial"/>
                <w:sz w:val="21"/>
              </w:rPr>
            </w:pPr>
            <w:r/>
          </w:p>
          <w:p>
            <w:pPr>
              <w:spacing w:line="332" w:lineRule="auto"/>
              <w:rPr>
                <w:rFonts w:ascii="Arial"/>
                <w:sz w:val="21"/>
              </w:rPr>
            </w:pPr>
            <w:r/>
          </w:p>
          <w:p>
            <w:pPr>
              <w:pStyle w:val="TableText"/>
              <w:ind w:left="110"/>
              <w:spacing w:before="69" w:line="220" w:lineRule="auto"/>
              <w:rPr>
                <w:sz w:val="21"/>
                <w:szCs w:val="21"/>
              </w:rPr>
            </w:pPr>
            <w:r>
              <w:rPr>
                <w:sz w:val="21"/>
                <w:szCs w:val="21"/>
                <w:spacing w:val="-3"/>
              </w:rPr>
              <w:t>新建</w:t>
            </w:r>
          </w:p>
        </w:tc>
      </w:tr>
      <w:tr>
        <w:trPr>
          <w:trHeight w:val="539" w:hRule="atLeast"/>
        </w:trPr>
        <w:tc>
          <w:tcPr>
            <w:tcW w:w="495" w:type="dxa"/>
            <w:vAlign w:val="top"/>
            <w:vMerge w:val="continue"/>
            <w:tcBorders>
              <w:top w:val="nil"/>
              <w:bottom w:val="nil"/>
            </w:tcBorders>
          </w:tcPr>
          <w:p>
            <w:pPr>
              <w:rPr>
                <w:rFonts w:ascii="Arial"/>
                <w:sz w:val="21"/>
              </w:rPr>
            </w:pPr>
            <w:r/>
          </w:p>
        </w:tc>
        <w:tc>
          <w:tcPr>
            <w:tcW w:w="1689" w:type="dxa"/>
            <w:vAlign w:val="top"/>
            <w:gridSpan w:val="2"/>
            <w:vMerge w:val="continue"/>
            <w:tcBorders>
              <w:top w:val="nil"/>
              <w:bottom w:val="nil"/>
            </w:tcBorders>
          </w:tcPr>
          <w:p>
            <w:pPr>
              <w:rPr>
                <w:rFonts w:ascii="Arial"/>
                <w:sz w:val="21"/>
              </w:rPr>
            </w:pPr>
            <w:r/>
          </w:p>
        </w:tc>
        <w:tc>
          <w:tcPr>
            <w:tcW w:w="10563" w:type="dxa"/>
            <w:vAlign w:val="top"/>
          </w:tcPr>
          <w:p>
            <w:pPr>
              <w:pStyle w:val="TableText"/>
              <w:ind w:left="81" w:right="406" w:firstLine="310"/>
              <w:spacing w:before="46" w:line="212" w:lineRule="auto"/>
              <w:rPr>
                <w:sz w:val="21"/>
                <w:szCs w:val="21"/>
              </w:rPr>
            </w:pPr>
            <w:r>
              <w:rPr>
                <w:sz w:val="21"/>
                <w:szCs w:val="21"/>
              </w:rPr>
              <w:t>污水处理站恶臭：经“密闭池体+风管收集+喷淋+UV光解+活性炭吸附装置(TA004)”处</w:t>
            </w:r>
            <w:r>
              <w:rPr>
                <w:sz w:val="21"/>
                <w:szCs w:val="21"/>
                <w:spacing w:val="-1"/>
              </w:rPr>
              <w:t>理后由1根15m排气筒</w:t>
            </w:r>
            <w:r>
              <w:rPr>
                <w:sz w:val="21"/>
                <w:szCs w:val="21"/>
              </w:rPr>
              <w:t xml:space="preserve"> </w:t>
            </w:r>
            <w:r>
              <w:rPr>
                <w:sz w:val="21"/>
                <w:szCs w:val="21"/>
                <w:spacing w:val="-8"/>
              </w:rPr>
              <w:t>(DA004)。</w:t>
            </w:r>
          </w:p>
        </w:tc>
        <w:tc>
          <w:tcPr>
            <w:tcW w:w="769" w:type="dxa"/>
            <w:vAlign w:val="top"/>
            <w:vMerge w:val="continue"/>
            <w:tcBorders>
              <w:top w:val="nil"/>
              <w:bottom w:val="nil"/>
            </w:tcBorders>
          </w:tcPr>
          <w:p>
            <w:pPr>
              <w:rPr>
                <w:rFonts w:ascii="Arial"/>
                <w:sz w:val="21"/>
              </w:rPr>
            </w:pPr>
            <w:r/>
          </w:p>
        </w:tc>
        <w:tc>
          <w:tcPr>
            <w:tcW w:w="1159" w:type="dxa"/>
            <w:vAlign w:val="top"/>
            <w:vMerge w:val="continue"/>
            <w:tcBorders>
              <w:top w:val="nil"/>
              <w:bottom w:val="nil"/>
            </w:tcBorders>
          </w:tcPr>
          <w:p>
            <w:pPr>
              <w:rPr>
                <w:rFonts w:ascii="Arial"/>
                <w:sz w:val="21"/>
              </w:rPr>
            </w:pPr>
            <w:r/>
          </w:p>
        </w:tc>
        <w:tc>
          <w:tcPr>
            <w:tcW w:w="645" w:type="dxa"/>
            <w:vAlign w:val="top"/>
            <w:vMerge w:val="continue"/>
            <w:tcBorders>
              <w:top w:val="nil"/>
              <w:bottom w:val="nil"/>
            </w:tcBorders>
          </w:tcPr>
          <w:p>
            <w:pPr>
              <w:rPr>
                <w:rFonts w:ascii="Arial"/>
                <w:sz w:val="21"/>
              </w:rPr>
            </w:pPr>
            <w:r/>
          </w:p>
        </w:tc>
      </w:tr>
      <w:tr>
        <w:trPr>
          <w:trHeight w:val="270" w:hRule="atLeast"/>
        </w:trPr>
        <w:tc>
          <w:tcPr>
            <w:tcW w:w="495" w:type="dxa"/>
            <w:vAlign w:val="top"/>
            <w:vMerge w:val="continue"/>
            <w:tcBorders>
              <w:top w:val="nil"/>
              <w:bottom w:val="nil"/>
            </w:tcBorders>
          </w:tcPr>
          <w:p>
            <w:pPr>
              <w:rPr>
                <w:rFonts w:ascii="Arial"/>
                <w:sz w:val="21"/>
              </w:rPr>
            </w:pPr>
            <w:r/>
          </w:p>
        </w:tc>
        <w:tc>
          <w:tcPr>
            <w:tcW w:w="1689" w:type="dxa"/>
            <w:vAlign w:val="top"/>
            <w:gridSpan w:val="2"/>
            <w:vMerge w:val="continue"/>
            <w:tcBorders>
              <w:top w:val="nil"/>
              <w:bottom w:val="nil"/>
            </w:tcBorders>
          </w:tcPr>
          <w:p>
            <w:pPr>
              <w:rPr>
                <w:rFonts w:ascii="Arial"/>
                <w:sz w:val="21"/>
              </w:rPr>
            </w:pPr>
            <w:r/>
          </w:p>
        </w:tc>
        <w:tc>
          <w:tcPr>
            <w:tcW w:w="10563" w:type="dxa"/>
            <w:vAlign w:val="top"/>
          </w:tcPr>
          <w:p>
            <w:pPr>
              <w:pStyle w:val="TableText"/>
              <w:ind w:left="2331"/>
              <w:spacing w:before="38" w:line="195" w:lineRule="auto"/>
              <w:rPr>
                <w:sz w:val="21"/>
                <w:szCs w:val="21"/>
              </w:rPr>
            </w:pPr>
            <w:r>
              <w:rPr>
                <w:sz w:val="21"/>
                <w:szCs w:val="21"/>
              </w:rPr>
              <w:t>蒸汽发生器燃烧废气：采用低氮燃烧+18m高排气筒直排(DA005</w:t>
            </w:r>
            <w:r>
              <w:rPr>
                <w:sz w:val="21"/>
                <w:szCs w:val="21"/>
                <w:spacing w:val="-1"/>
              </w:rPr>
              <w:t>)。</w:t>
            </w:r>
          </w:p>
        </w:tc>
        <w:tc>
          <w:tcPr>
            <w:tcW w:w="769" w:type="dxa"/>
            <w:vAlign w:val="top"/>
            <w:vMerge w:val="continue"/>
            <w:tcBorders>
              <w:top w:val="nil"/>
              <w:bottom w:val="nil"/>
            </w:tcBorders>
          </w:tcPr>
          <w:p>
            <w:pPr>
              <w:rPr>
                <w:rFonts w:ascii="Arial"/>
                <w:sz w:val="21"/>
              </w:rPr>
            </w:pPr>
            <w:r/>
          </w:p>
        </w:tc>
        <w:tc>
          <w:tcPr>
            <w:tcW w:w="1159" w:type="dxa"/>
            <w:vAlign w:val="top"/>
            <w:vMerge w:val="continue"/>
            <w:tcBorders>
              <w:top w:val="nil"/>
              <w:bottom w:val="nil"/>
            </w:tcBorders>
          </w:tcPr>
          <w:p>
            <w:pPr>
              <w:rPr>
                <w:rFonts w:ascii="Arial"/>
                <w:sz w:val="21"/>
              </w:rPr>
            </w:pPr>
            <w:r/>
          </w:p>
        </w:tc>
        <w:tc>
          <w:tcPr>
            <w:tcW w:w="645" w:type="dxa"/>
            <w:vAlign w:val="top"/>
            <w:vMerge w:val="continue"/>
            <w:tcBorders>
              <w:top w:val="nil"/>
              <w:bottom w:val="nil"/>
            </w:tcBorders>
          </w:tcPr>
          <w:p>
            <w:pPr>
              <w:rPr>
                <w:rFonts w:ascii="Arial"/>
                <w:sz w:val="21"/>
              </w:rPr>
            </w:pPr>
            <w:r/>
          </w:p>
        </w:tc>
      </w:tr>
      <w:tr>
        <w:trPr>
          <w:trHeight w:val="274" w:hRule="atLeast"/>
        </w:trPr>
        <w:tc>
          <w:tcPr>
            <w:tcW w:w="495" w:type="dxa"/>
            <w:vAlign w:val="top"/>
            <w:vMerge w:val="continue"/>
            <w:tcBorders>
              <w:top w:val="nil"/>
            </w:tcBorders>
          </w:tcPr>
          <w:p>
            <w:pPr>
              <w:rPr>
                <w:rFonts w:ascii="Arial"/>
                <w:sz w:val="21"/>
              </w:rPr>
            </w:pPr>
            <w:r/>
          </w:p>
        </w:tc>
        <w:tc>
          <w:tcPr>
            <w:tcW w:w="1689" w:type="dxa"/>
            <w:vAlign w:val="top"/>
            <w:gridSpan w:val="2"/>
            <w:vMerge w:val="continue"/>
            <w:tcBorders>
              <w:top w:val="nil"/>
            </w:tcBorders>
          </w:tcPr>
          <w:p>
            <w:pPr>
              <w:rPr>
                <w:rFonts w:ascii="Arial"/>
                <w:sz w:val="21"/>
              </w:rPr>
            </w:pPr>
            <w:r/>
          </w:p>
        </w:tc>
        <w:tc>
          <w:tcPr>
            <w:tcW w:w="10563" w:type="dxa"/>
            <w:vAlign w:val="top"/>
          </w:tcPr>
          <w:p>
            <w:pPr>
              <w:pStyle w:val="TableText"/>
              <w:ind w:left="1441"/>
              <w:spacing w:before="37" w:line="199" w:lineRule="auto"/>
              <w:rPr>
                <w:sz w:val="21"/>
                <w:szCs w:val="21"/>
              </w:rPr>
            </w:pPr>
            <w:r>
              <w:rPr>
                <w:sz w:val="21"/>
                <w:szCs w:val="21"/>
              </w:rPr>
              <w:t>固废暂存间：采用机械通风，产生少量的恶臭进入屠宰车间恶臭处理设</w:t>
            </w:r>
            <w:r>
              <w:rPr>
                <w:sz w:val="21"/>
                <w:szCs w:val="21"/>
                <w:spacing w:val="-1"/>
              </w:rPr>
              <w:t>施进行处理。</w:t>
            </w:r>
          </w:p>
        </w:tc>
        <w:tc>
          <w:tcPr>
            <w:tcW w:w="769" w:type="dxa"/>
            <w:vAlign w:val="top"/>
            <w:vMerge w:val="continue"/>
            <w:tcBorders>
              <w:top w:val="nil"/>
            </w:tcBorders>
          </w:tcPr>
          <w:p>
            <w:pPr>
              <w:rPr>
                <w:rFonts w:ascii="Arial"/>
                <w:sz w:val="21"/>
              </w:rPr>
            </w:pPr>
            <w:r/>
          </w:p>
        </w:tc>
        <w:tc>
          <w:tcPr>
            <w:tcW w:w="1159" w:type="dxa"/>
            <w:vAlign w:val="top"/>
            <w:vMerge w:val="continue"/>
            <w:tcBorders>
              <w:top w:val="nil"/>
            </w:tcBorders>
          </w:tcPr>
          <w:p>
            <w:pPr>
              <w:rPr>
                <w:rFonts w:ascii="Arial"/>
                <w:sz w:val="21"/>
              </w:rPr>
            </w:pPr>
            <w:r/>
          </w:p>
        </w:tc>
        <w:tc>
          <w:tcPr>
            <w:tcW w:w="645" w:type="dxa"/>
            <w:vAlign w:val="top"/>
            <w:vMerge w:val="continue"/>
            <w:tcBorders>
              <w:top w:val="nil"/>
            </w:tcBorders>
          </w:tcPr>
          <w:p>
            <w:pPr>
              <w:rPr>
                <w:rFonts w:ascii="Arial"/>
                <w:sz w:val="21"/>
              </w:rPr>
            </w:pPr>
            <w:r/>
          </w:p>
        </w:tc>
      </w:tr>
    </w:tbl>
    <w:p>
      <w:pPr>
        <w:pStyle w:val="BodyText"/>
        <w:rPr/>
      </w:pPr>
      <w:r/>
    </w:p>
    <w:p>
      <w:pPr>
        <w:sectPr>
          <w:headerReference w:type="default" r:id="rId205"/>
          <w:footerReference w:type="default" r:id="rId206"/>
          <w:pgSz w:w="16840" w:h="11910"/>
          <w:pgMar w:top="1207" w:right="805" w:bottom="952" w:left="704" w:header="915" w:footer="767" w:gutter="0"/>
        </w:sectPr>
        <w:rPr/>
      </w:pPr>
    </w:p>
    <w:p>
      <w:pPr>
        <w:spacing w:before="57"/>
        <w:rPr/>
      </w:pPr>
      <w:r/>
    </w:p>
    <w:p>
      <w:pPr>
        <w:spacing w:before="57"/>
        <w:rPr/>
      </w:pPr>
      <w:r/>
    </w:p>
    <w:tbl>
      <w:tblPr>
        <w:tblStyle w:val="TableNormal"/>
        <w:tblW w:w="153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64"/>
        <w:gridCol w:w="1719"/>
        <w:gridCol w:w="10543"/>
        <w:gridCol w:w="799"/>
        <w:gridCol w:w="1159"/>
        <w:gridCol w:w="645"/>
      </w:tblGrid>
      <w:tr>
        <w:trPr>
          <w:trHeight w:val="274" w:hRule="atLeast"/>
        </w:trPr>
        <w:tc>
          <w:tcPr>
            <w:tcW w:w="464" w:type="dxa"/>
            <w:vAlign w:val="top"/>
            <w:vMerge w:val="restart"/>
            <w:tcBorders>
              <w:bottom w:val="nil"/>
            </w:tcBorders>
          </w:tcPr>
          <w:p>
            <w:pPr>
              <w:rPr>
                <w:rFonts w:ascii="Arial"/>
                <w:sz w:val="21"/>
              </w:rPr>
            </w:pPr>
            <w:r/>
          </w:p>
        </w:tc>
        <w:tc>
          <w:tcPr>
            <w:tcW w:w="1719" w:type="dxa"/>
            <w:vAlign w:val="top"/>
            <w:vMerge w:val="restart"/>
            <w:tcBorders>
              <w:bottom w:val="nil"/>
            </w:tcBorders>
          </w:tcPr>
          <w:p>
            <w:pPr>
              <w:rPr>
                <w:rFonts w:ascii="Arial"/>
                <w:sz w:val="21"/>
              </w:rPr>
            </w:pPr>
            <w:r/>
          </w:p>
        </w:tc>
        <w:tc>
          <w:tcPr>
            <w:tcW w:w="10543" w:type="dxa"/>
            <w:vAlign w:val="top"/>
          </w:tcPr>
          <w:p>
            <w:pPr>
              <w:pStyle w:val="TableText"/>
              <w:ind w:left="2691"/>
              <w:spacing w:before="33" w:line="203" w:lineRule="auto"/>
              <w:rPr>
                <w:sz w:val="21"/>
                <w:szCs w:val="21"/>
              </w:rPr>
            </w:pPr>
            <w:r>
              <w:rPr>
                <w:sz w:val="21"/>
                <w:szCs w:val="21"/>
              </w:rPr>
              <w:t>污水处理站沼气：脱硫净化+食堂燃烧或火炬燃烧排</w:t>
            </w:r>
            <w:r>
              <w:rPr>
                <w:sz w:val="21"/>
                <w:szCs w:val="21"/>
                <w:spacing w:val="-1"/>
              </w:rPr>
              <w:t>放。</w:t>
            </w:r>
          </w:p>
        </w:tc>
        <w:tc>
          <w:tcPr>
            <w:tcW w:w="799" w:type="dxa"/>
            <w:vAlign w:val="top"/>
            <w:vMerge w:val="restart"/>
            <w:tcBorders>
              <w:bottom w:val="nil"/>
            </w:tcBorders>
          </w:tcPr>
          <w:p>
            <w:pPr>
              <w:rPr>
                <w:rFonts w:ascii="Arial"/>
                <w:sz w:val="21"/>
              </w:rPr>
            </w:pPr>
            <w:r/>
          </w:p>
        </w:tc>
        <w:tc>
          <w:tcPr>
            <w:tcW w:w="1159" w:type="dxa"/>
            <w:vAlign w:val="top"/>
            <w:vMerge w:val="restart"/>
            <w:tcBorders>
              <w:bottom w:val="nil"/>
            </w:tcBorders>
          </w:tcPr>
          <w:p>
            <w:pPr>
              <w:rPr>
                <w:rFonts w:ascii="Arial"/>
                <w:sz w:val="21"/>
              </w:rPr>
            </w:pPr>
            <w:r/>
          </w:p>
        </w:tc>
        <w:tc>
          <w:tcPr>
            <w:tcW w:w="645" w:type="dxa"/>
            <w:vAlign w:val="top"/>
            <w:vMerge w:val="restart"/>
            <w:tcBorders>
              <w:bottom w:val="nil"/>
            </w:tcBorders>
          </w:tcPr>
          <w:p>
            <w:pPr>
              <w:rPr>
                <w:rFonts w:ascii="Arial"/>
                <w:sz w:val="21"/>
              </w:rPr>
            </w:pPr>
            <w:r/>
          </w:p>
        </w:tc>
      </w:tr>
      <w:tr>
        <w:trPr>
          <w:trHeight w:val="270" w:hRule="atLeast"/>
        </w:trPr>
        <w:tc>
          <w:tcPr>
            <w:tcW w:w="464" w:type="dxa"/>
            <w:vAlign w:val="top"/>
            <w:vMerge w:val="continue"/>
            <w:tcBorders>
              <w:top w:val="nil"/>
              <w:bottom w:val="nil"/>
            </w:tcBorders>
          </w:tcPr>
          <w:p>
            <w:pPr>
              <w:rPr>
                <w:rFonts w:ascii="Arial"/>
                <w:sz w:val="21"/>
              </w:rPr>
            </w:pPr>
            <w:r/>
          </w:p>
        </w:tc>
        <w:tc>
          <w:tcPr>
            <w:tcW w:w="1719" w:type="dxa"/>
            <w:vAlign w:val="top"/>
            <w:vMerge w:val="continue"/>
            <w:tcBorders>
              <w:top w:val="nil"/>
              <w:bottom w:val="nil"/>
            </w:tcBorders>
          </w:tcPr>
          <w:p>
            <w:pPr>
              <w:rPr>
                <w:rFonts w:ascii="Arial"/>
                <w:sz w:val="21"/>
              </w:rPr>
            </w:pPr>
            <w:r/>
          </w:p>
        </w:tc>
        <w:tc>
          <w:tcPr>
            <w:tcW w:w="10543" w:type="dxa"/>
            <w:vAlign w:val="top"/>
          </w:tcPr>
          <w:p>
            <w:pPr>
              <w:pStyle w:val="TableText"/>
              <w:ind w:left="2451"/>
              <w:spacing w:before="29" w:line="203" w:lineRule="auto"/>
              <w:rPr>
                <w:sz w:val="21"/>
                <w:szCs w:val="21"/>
              </w:rPr>
            </w:pPr>
            <w:r>
              <w:rPr>
                <w:sz w:val="21"/>
                <w:szCs w:val="21"/>
              </w:rPr>
              <w:t>柴油发电机废气：经设备自带净化装置处置后引</w:t>
            </w:r>
            <w:r>
              <w:rPr>
                <w:sz w:val="21"/>
                <w:szCs w:val="21"/>
                <w:spacing w:val="-1"/>
              </w:rPr>
              <w:t>至屋顶排放。</w:t>
            </w:r>
          </w:p>
        </w:tc>
        <w:tc>
          <w:tcPr>
            <w:tcW w:w="799" w:type="dxa"/>
            <w:vAlign w:val="top"/>
            <w:vMerge w:val="continue"/>
            <w:tcBorders>
              <w:top w:val="nil"/>
              <w:bottom w:val="nil"/>
            </w:tcBorders>
          </w:tcPr>
          <w:p>
            <w:pPr>
              <w:rPr>
                <w:rFonts w:ascii="Arial"/>
                <w:sz w:val="21"/>
              </w:rPr>
            </w:pPr>
            <w:r/>
          </w:p>
        </w:tc>
        <w:tc>
          <w:tcPr>
            <w:tcW w:w="1159" w:type="dxa"/>
            <w:vAlign w:val="top"/>
            <w:vMerge w:val="continue"/>
            <w:tcBorders>
              <w:top w:val="nil"/>
              <w:bottom w:val="nil"/>
            </w:tcBorders>
          </w:tcPr>
          <w:p>
            <w:pPr>
              <w:rPr>
                <w:rFonts w:ascii="Arial"/>
                <w:sz w:val="21"/>
              </w:rPr>
            </w:pPr>
            <w:r/>
          </w:p>
        </w:tc>
        <w:tc>
          <w:tcPr>
            <w:tcW w:w="645" w:type="dxa"/>
            <w:vAlign w:val="top"/>
            <w:vMerge w:val="continue"/>
            <w:tcBorders>
              <w:top w:val="nil"/>
              <w:bottom w:val="nil"/>
            </w:tcBorders>
          </w:tcPr>
          <w:p>
            <w:pPr>
              <w:rPr>
                <w:rFonts w:ascii="Arial"/>
                <w:sz w:val="21"/>
              </w:rPr>
            </w:pPr>
            <w:r/>
          </w:p>
        </w:tc>
      </w:tr>
      <w:tr>
        <w:trPr>
          <w:trHeight w:val="279" w:hRule="atLeast"/>
        </w:trPr>
        <w:tc>
          <w:tcPr>
            <w:tcW w:w="464" w:type="dxa"/>
            <w:vAlign w:val="top"/>
            <w:vMerge w:val="continue"/>
            <w:tcBorders>
              <w:top w:val="nil"/>
              <w:bottom w:val="nil"/>
            </w:tcBorders>
          </w:tcPr>
          <w:p>
            <w:pPr>
              <w:rPr>
                <w:rFonts w:ascii="Arial"/>
                <w:sz w:val="21"/>
              </w:rPr>
            </w:pPr>
            <w:r/>
          </w:p>
        </w:tc>
        <w:tc>
          <w:tcPr>
            <w:tcW w:w="1719" w:type="dxa"/>
            <w:vAlign w:val="top"/>
            <w:vMerge w:val="continue"/>
            <w:tcBorders>
              <w:top w:val="nil"/>
            </w:tcBorders>
          </w:tcPr>
          <w:p>
            <w:pPr>
              <w:rPr>
                <w:rFonts w:ascii="Arial"/>
                <w:sz w:val="21"/>
              </w:rPr>
            </w:pPr>
            <w:r/>
          </w:p>
        </w:tc>
        <w:tc>
          <w:tcPr>
            <w:tcW w:w="10543" w:type="dxa"/>
            <w:vAlign w:val="top"/>
          </w:tcPr>
          <w:p>
            <w:pPr>
              <w:pStyle w:val="TableText"/>
              <w:ind w:left="2251"/>
              <w:spacing w:before="39" w:line="202" w:lineRule="auto"/>
              <w:rPr>
                <w:sz w:val="21"/>
                <w:szCs w:val="21"/>
              </w:rPr>
            </w:pPr>
            <w:r>
              <w:rPr>
                <w:sz w:val="21"/>
                <w:szCs w:val="21"/>
              </w:rPr>
              <w:t>食堂油烟废气：经油烟净化装置处置后引至屋顶(DA006)排</w:t>
            </w:r>
            <w:r>
              <w:rPr>
                <w:sz w:val="21"/>
                <w:szCs w:val="21"/>
                <w:spacing w:val="-1"/>
              </w:rPr>
              <w:t>放。</w:t>
            </w:r>
          </w:p>
        </w:tc>
        <w:tc>
          <w:tcPr>
            <w:tcW w:w="799" w:type="dxa"/>
            <w:vAlign w:val="top"/>
            <w:vMerge w:val="continue"/>
            <w:tcBorders>
              <w:top w:val="nil"/>
              <w:bottom w:val="nil"/>
            </w:tcBorders>
          </w:tcPr>
          <w:p>
            <w:pPr>
              <w:rPr>
                <w:rFonts w:ascii="Arial"/>
                <w:sz w:val="21"/>
              </w:rPr>
            </w:pPr>
            <w:r/>
          </w:p>
        </w:tc>
        <w:tc>
          <w:tcPr>
            <w:tcW w:w="1159" w:type="dxa"/>
            <w:vAlign w:val="top"/>
            <w:vMerge w:val="continue"/>
            <w:tcBorders>
              <w:top w:val="nil"/>
            </w:tcBorders>
          </w:tcPr>
          <w:p>
            <w:pPr>
              <w:rPr>
                <w:rFonts w:ascii="Arial"/>
                <w:sz w:val="21"/>
              </w:rPr>
            </w:pPr>
            <w:r/>
          </w:p>
        </w:tc>
        <w:tc>
          <w:tcPr>
            <w:tcW w:w="645" w:type="dxa"/>
            <w:vAlign w:val="top"/>
            <w:vMerge w:val="continue"/>
            <w:tcBorders>
              <w:top w:val="nil"/>
            </w:tcBorders>
          </w:tcPr>
          <w:p>
            <w:pPr>
              <w:rPr>
                <w:rFonts w:ascii="Arial"/>
                <w:sz w:val="21"/>
              </w:rPr>
            </w:pPr>
            <w:r/>
          </w:p>
        </w:tc>
      </w:tr>
      <w:tr>
        <w:trPr>
          <w:trHeight w:val="529" w:hRule="atLeast"/>
        </w:trPr>
        <w:tc>
          <w:tcPr>
            <w:tcW w:w="464" w:type="dxa"/>
            <w:vAlign w:val="top"/>
            <w:vMerge w:val="continue"/>
            <w:tcBorders>
              <w:top w:val="nil"/>
              <w:bottom w:val="nil"/>
            </w:tcBorders>
          </w:tcPr>
          <w:p>
            <w:pPr>
              <w:rPr>
                <w:rFonts w:ascii="Arial"/>
                <w:sz w:val="21"/>
              </w:rPr>
            </w:pPr>
            <w:r/>
          </w:p>
        </w:tc>
        <w:tc>
          <w:tcPr>
            <w:tcW w:w="1719" w:type="dxa"/>
            <w:vAlign w:val="top"/>
            <w:vMerge w:val="restart"/>
            <w:tcBorders>
              <w:bottom w:val="nil"/>
            </w:tcBorders>
          </w:tcPr>
          <w:p>
            <w:pPr>
              <w:spacing w:line="251" w:lineRule="auto"/>
              <w:rPr>
                <w:rFonts w:ascii="Arial"/>
                <w:sz w:val="21"/>
              </w:rPr>
            </w:pPr>
            <w:r/>
          </w:p>
          <w:p>
            <w:pPr>
              <w:pStyle w:val="TableText"/>
              <w:ind w:left="430"/>
              <w:spacing w:before="68" w:line="220" w:lineRule="auto"/>
              <w:rPr>
                <w:sz w:val="21"/>
                <w:szCs w:val="21"/>
              </w:rPr>
            </w:pPr>
            <w:r>
              <w:rPr>
                <w:sz w:val="21"/>
                <w:szCs w:val="21"/>
                <w:spacing w:val="1"/>
              </w:rPr>
              <w:t>噪声治理</w:t>
            </w:r>
          </w:p>
        </w:tc>
        <w:tc>
          <w:tcPr>
            <w:tcW w:w="10543" w:type="dxa"/>
            <w:vAlign w:val="top"/>
          </w:tcPr>
          <w:p>
            <w:pPr>
              <w:pStyle w:val="TableText"/>
              <w:ind w:left="1" w:right="28" w:firstLine="10"/>
              <w:spacing w:before="29" w:line="215" w:lineRule="auto"/>
              <w:rPr>
                <w:sz w:val="21"/>
                <w:szCs w:val="21"/>
              </w:rPr>
            </w:pPr>
            <w:r>
              <w:rPr>
                <w:sz w:val="21"/>
                <w:szCs w:val="21"/>
              </w:rPr>
              <w:t>选用低噪声设备、采取基座减振，隔声门窗，安装消声器，水泵进出口设软接头、安装橡胶减</w:t>
            </w:r>
            <w:r>
              <w:rPr>
                <w:sz w:val="21"/>
                <w:szCs w:val="21"/>
                <w:spacing w:val="-1"/>
              </w:rPr>
              <w:t>震接头及加装减振垫</w:t>
            </w:r>
            <w:r>
              <w:rPr>
                <w:sz w:val="21"/>
                <w:szCs w:val="21"/>
              </w:rPr>
              <w:t xml:space="preserve"> </w:t>
            </w:r>
            <w:r>
              <w:rPr>
                <w:sz w:val="21"/>
                <w:szCs w:val="21"/>
              </w:rPr>
              <w:t>等降噪措施，合理布置高噪设备，通过距离衰减。</w:t>
            </w:r>
          </w:p>
        </w:tc>
        <w:tc>
          <w:tcPr>
            <w:tcW w:w="799" w:type="dxa"/>
            <w:vAlign w:val="top"/>
            <w:vMerge w:val="continue"/>
            <w:tcBorders>
              <w:top w:val="nil"/>
              <w:bottom w:val="nil"/>
            </w:tcBorders>
          </w:tcPr>
          <w:p>
            <w:pPr>
              <w:rPr>
                <w:rFonts w:ascii="Arial"/>
                <w:sz w:val="21"/>
              </w:rPr>
            </w:pPr>
            <w:r/>
          </w:p>
        </w:tc>
        <w:tc>
          <w:tcPr>
            <w:tcW w:w="1159" w:type="dxa"/>
            <w:vAlign w:val="top"/>
            <w:vMerge w:val="restart"/>
            <w:tcBorders>
              <w:bottom w:val="nil"/>
            </w:tcBorders>
          </w:tcPr>
          <w:p>
            <w:pPr>
              <w:spacing w:line="251" w:lineRule="auto"/>
              <w:rPr>
                <w:rFonts w:ascii="Arial"/>
                <w:sz w:val="21"/>
              </w:rPr>
            </w:pPr>
            <w:r/>
          </w:p>
          <w:p>
            <w:pPr>
              <w:pStyle w:val="TableText"/>
              <w:ind w:left="369"/>
              <w:spacing w:before="68" w:line="220" w:lineRule="auto"/>
              <w:rPr>
                <w:sz w:val="21"/>
                <w:szCs w:val="21"/>
              </w:rPr>
            </w:pPr>
            <w:r>
              <w:rPr>
                <w:sz w:val="21"/>
                <w:szCs w:val="21"/>
                <w:spacing w:val="6"/>
              </w:rPr>
              <w:t>噪声</w:t>
            </w:r>
          </w:p>
        </w:tc>
        <w:tc>
          <w:tcPr>
            <w:tcW w:w="645" w:type="dxa"/>
            <w:vAlign w:val="top"/>
            <w:vMerge w:val="restart"/>
            <w:tcBorders>
              <w:bottom w:val="nil"/>
            </w:tcBorders>
          </w:tcPr>
          <w:p>
            <w:pPr>
              <w:spacing w:line="256" w:lineRule="auto"/>
              <w:rPr>
                <w:rFonts w:ascii="Arial"/>
                <w:sz w:val="21"/>
              </w:rPr>
            </w:pPr>
            <w:r/>
          </w:p>
          <w:p>
            <w:pPr>
              <w:pStyle w:val="TableText"/>
              <w:ind w:left="260"/>
              <w:spacing w:before="69" w:line="224" w:lineRule="auto"/>
              <w:rPr>
                <w:sz w:val="21"/>
                <w:szCs w:val="21"/>
              </w:rPr>
            </w:pPr>
            <w:r>
              <w:rPr>
                <w:sz w:val="21"/>
                <w:szCs w:val="21"/>
              </w:rPr>
              <w:t>/</w:t>
            </w:r>
          </w:p>
        </w:tc>
      </w:tr>
      <w:tr>
        <w:trPr>
          <w:trHeight w:val="299" w:hRule="atLeast"/>
        </w:trPr>
        <w:tc>
          <w:tcPr>
            <w:tcW w:w="464" w:type="dxa"/>
            <w:vAlign w:val="top"/>
            <w:vMerge w:val="continue"/>
            <w:tcBorders>
              <w:top w:val="nil"/>
              <w:bottom w:val="nil"/>
            </w:tcBorders>
          </w:tcPr>
          <w:p>
            <w:pPr>
              <w:rPr>
                <w:rFonts w:ascii="Arial"/>
                <w:sz w:val="21"/>
              </w:rPr>
            </w:pPr>
            <w:r/>
          </w:p>
        </w:tc>
        <w:tc>
          <w:tcPr>
            <w:tcW w:w="1719" w:type="dxa"/>
            <w:vAlign w:val="top"/>
            <w:vMerge w:val="continue"/>
            <w:tcBorders>
              <w:top w:val="nil"/>
            </w:tcBorders>
          </w:tcPr>
          <w:p>
            <w:pPr>
              <w:rPr>
                <w:rFonts w:ascii="Arial"/>
                <w:sz w:val="21"/>
              </w:rPr>
            </w:pPr>
            <w:r/>
          </w:p>
        </w:tc>
        <w:tc>
          <w:tcPr>
            <w:tcW w:w="10543" w:type="dxa"/>
            <w:vAlign w:val="top"/>
          </w:tcPr>
          <w:p>
            <w:pPr>
              <w:pStyle w:val="TableText"/>
              <w:ind w:left="3341"/>
              <w:spacing w:before="51" w:line="209" w:lineRule="auto"/>
              <w:rPr>
                <w:sz w:val="21"/>
                <w:szCs w:val="21"/>
              </w:rPr>
            </w:pPr>
            <w:r>
              <w:rPr>
                <w:sz w:val="21"/>
                <w:szCs w:val="21"/>
                <w:spacing w:val="-1"/>
              </w:rPr>
              <w:t>厂房隔声，加强管理，设置绿化隔声带。</w:t>
            </w:r>
          </w:p>
        </w:tc>
        <w:tc>
          <w:tcPr>
            <w:tcW w:w="799" w:type="dxa"/>
            <w:vAlign w:val="top"/>
            <w:vMerge w:val="continue"/>
            <w:tcBorders>
              <w:top w:val="nil"/>
              <w:bottom w:val="nil"/>
            </w:tcBorders>
          </w:tcPr>
          <w:p>
            <w:pPr>
              <w:rPr>
                <w:rFonts w:ascii="Arial"/>
                <w:sz w:val="21"/>
              </w:rPr>
            </w:pPr>
            <w:r/>
          </w:p>
        </w:tc>
        <w:tc>
          <w:tcPr>
            <w:tcW w:w="1159" w:type="dxa"/>
            <w:vAlign w:val="top"/>
            <w:vMerge w:val="continue"/>
            <w:tcBorders>
              <w:top w:val="nil"/>
            </w:tcBorders>
          </w:tcPr>
          <w:p>
            <w:pPr>
              <w:rPr>
                <w:rFonts w:ascii="Arial"/>
                <w:sz w:val="21"/>
              </w:rPr>
            </w:pPr>
            <w:r/>
          </w:p>
        </w:tc>
        <w:tc>
          <w:tcPr>
            <w:tcW w:w="645" w:type="dxa"/>
            <w:vAlign w:val="top"/>
            <w:vMerge w:val="continue"/>
            <w:tcBorders>
              <w:top w:val="nil"/>
            </w:tcBorders>
          </w:tcPr>
          <w:p>
            <w:pPr>
              <w:rPr>
                <w:rFonts w:ascii="Arial"/>
                <w:sz w:val="21"/>
              </w:rPr>
            </w:pPr>
            <w:r/>
          </w:p>
        </w:tc>
      </w:tr>
      <w:tr>
        <w:trPr>
          <w:trHeight w:val="270" w:hRule="atLeast"/>
        </w:trPr>
        <w:tc>
          <w:tcPr>
            <w:tcW w:w="464" w:type="dxa"/>
            <w:vAlign w:val="top"/>
            <w:vMerge w:val="continue"/>
            <w:tcBorders>
              <w:top w:val="nil"/>
              <w:bottom w:val="nil"/>
            </w:tcBorders>
          </w:tcPr>
          <w:p>
            <w:pPr>
              <w:rPr>
                <w:rFonts w:ascii="Arial"/>
                <w:sz w:val="21"/>
              </w:rPr>
            </w:pPr>
            <w:r/>
          </w:p>
        </w:tc>
        <w:tc>
          <w:tcPr>
            <w:tcW w:w="1719" w:type="dxa"/>
            <w:vAlign w:val="top"/>
            <w:vMerge w:val="restart"/>
            <w:tcBorders>
              <w:bottom w:val="nil"/>
            </w:tcBorders>
          </w:tcPr>
          <w:p>
            <w:pPr>
              <w:spacing w:line="330" w:lineRule="auto"/>
              <w:rPr>
                <w:rFonts w:ascii="Arial"/>
                <w:sz w:val="21"/>
              </w:rPr>
            </w:pPr>
            <w:r/>
          </w:p>
          <w:p>
            <w:pPr>
              <w:spacing w:line="331" w:lineRule="auto"/>
              <w:rPr>
                <w:rFonts w:ascii="Arial"/>
                <w:sz w:val="21"/>
              </w:rPr>
            </w:pPr>
            <w:r/>
          </w:p>
          <w:p>
            <w:pPr>
              <w:pStyle w:val="TableText"/>
              <w:ind w:left="430"/>
              <w:spacing w:before="68" w:line="220" w:lineRule="auto"/>
              <w:rPr>
                <w:sz w:val="21"/>
                <w:szCs w:val="21"/>
              </w:rPr>
            </w:pPr>
            <w:r>
              <w:rPr>
                <w:sz w:val="21"/>
                <w:szCs w:val="21"/>
                <w:spacing w:val="1"/>
              </w:rPr>
              <w:t>固废治理</w:t>
            </w:r>
          </w:p>
        </w:tc>
        <w:tc>
          <w:tcPr>
            <w:tcW w:w="10543" w:type="dxa"/>
            <w:vAlign w:val="top"/>
          </w:tcPr>
          <w:p>
            <w:pPr>
              <w:pStyle w:val="TableText"/>
              <w:ind w:left="231"/>
              <w:spacing w:before="29" w:line="203" w:lineRule="auto"/>
              <w:rPr>
                <w:sz w:val="21"/>
                <w:szCs w:val="21"/>
              </w:rPr>
            </w:pPr>
            <w:r>
              <w:rPr>
                <w:sz w:val="21"/>
                <w:szCs w:val="21"/>
                <w:color w:val="303838"/>
                <w:spacing w:val="2"/>
              </w:rPr>
              <w:t>固废暂存间1间(建筑面积约15m²),位于生猪待宰圈舍外北侧，用于暂存宰杀后的固废暂存，暂存时</w:t>
            </w:r>
            <w:r>
              <w:rPr>
                <w:sz w:val="21"/>
                <w:szCs w:val="21"/>
                <w:color w:val="303838"/>
                <w:spacing w:val="1"/>
              </w:rPr>
              <w:t>间&lt;8h。</w:t>
            </w:r>
          </w:p>
        </w:tc>
        <w:tc>
          <w:tcPr>
            <w:tcW w:w="799" w:type="dxa"/>
            <w:vAlign w:val="top"/>
            <w:vMerge w:val="continue"/>
            <w:tcBorders>
              <w:top w:val="nil"/>
              <w:bottom w:val="nil"/>
            </w:tcBorders>
          </w:tcPr>
          <w:p>
            <w:pPr>
              <w:rPr>
                <w:rFonts w:ascii="Arial"/>
                <w:sz w:val="21"/>
              </w:rPr>
            </w:pPr>
            <w:r/>
          </w:p>
        </w:tc>
        <w:tc>
          <w:tcPr>
            <w:tcW w:w="1159" w:type="dxa"/>
            <w:vAlign w:val="top"/>
          </w:tcPr>
          <w:p>
            <w:pPr>
              <w:pStyle w:val="TableText"/>
              <w:ind w:left="369"/>
              <w:spacing w:before="33" w:line="199" w:lineRule="auto"/>
              <w:rPr>
                <w:sz w:val="21"/>
                <w:szCs w:val="21"/>
              </w:rPr>
            </w:pPr>
            <w:r>
              <w:rPr>
                <w:sz w:val="21"/>
                <w:szCs w:val="21"/>
                <w:spacing w:val="5"/>
              </w:rPr>
              <w:t>固废</w:t>
            </w:r>
          </w:p>
        </w:tc>
        <w:tc>
          <w:tcPr>
            <w:tcW w:w="645" w:type="dxa"/>
            <w:vAlign w:val="top"/>
            <w:vMerge w:val="restart"/>
            <w:tcBorders>
              <w:bottom w:val="nil"/>
            </w:tcBorders>
          </w:tcPr>
          <w:p>
            <w:pPr>
              <w:spacing w:line="330" w:lineRule="auto"/>
              <w:rPr>
                <w:rFonts w:ascii="Arial"/>
                <w:sz w:val="21"/>
              </w:rPr>
            </w:pPr>
            <w:r/>
          </w:p>
          <w:p>
            <w:pPr>
              <w:spacing w:line="331" w:lineRule="auto"/>
              <w:rPr>
                <w:rFonts w:ascii="Arial"/>
                <w:sz w:val="21"/>
              </w:rPr>
            </w:pPr>
            <w:r/>
          </w:p>
          <w:p>
            <w:pPr>
              <w:pStyle w:val="TableText"/>
              <w:ind w:left="111"/>
              <w:spacing w:before="68" w:line="220" w:lineRule="auto"/>
              <w:rPr>
                <w:sz w:val="21"/>
                <w:szCs w:val="21"/>
              </w:rPr>
            </w:pPr>
            <w:r>
              <w:rPr>
                <w:sz w:val="21"/>
                <w:szCs w:val="21"/>
                <w:spacing w:val="-3"/>
              </w:rPr>
              <w:t>新建</w:t>
            </w:r>
          </w:p>
        </w:tc>
      </w:tr>
      <w:tr>
        <w:trPr>
          <w:trHeight w:val="539" w:hRule="atLeast"/>
        </w:trPr>
        <w:tc>
          <w:tcPr>
            <w:tcW w:w="464" w:type="dxa"/>
            <w:vAlign w:val="top"/>
            <w:vMerge w:val="continue"/>
            <w:tcBorders>
              <w:top w:val="nil"/>
              <w:bottom w:val="nil"/>
            </w:tcBorders>
          </w:tcPr>
          <w:p>
            <w:pPr>
              <w:rPr>
                <w:rFonts w:ascii="Arial"/>
                <w:sz w:val="21"/>
              </w:rPr>
            </w:pPr>
            <w:r/>
          </w:p>
        </w:tc>
        <w:tc>
          <w:tcPr>
            <w:tcW w:w="1719" w:type="dxa"/>
            <w:vAlign w:val="top"/>
            <w:vMerge w:val="continue"/>
            <w:tcBorders>
              <w:top w:val="nil"/>
              <w:bottom w:val="nil"/>
            </w:tcBorders>
          </w:tcPr>
          <w:p>
            <w:pPr>
              <w:rPr>
                <w:rFonts w:ascii="Arial"/>
                <w:sz w:val="21"/>
              </w:rPr>
            </w:pPr>
            <w:r/>
          </w:p>
        </w:tc>
        <w:tc>
          <w:tcPr>
            <w:tcW w:w="10543" w:type="dxa"/>
            <w:vAlign w:val="top"/>
          </w:tcPr>
          <w:p>
            <w:pPr>
              <w:pStyle w:val="TableText"/>
              <w:ind w:left="1" w:right="225"/>
              <w:spacing w:before="28" w:line="220" w:lineRule="auto"/>
              <w:rPr>
                <w:sz w:val="21"/>
                <w:szCs w:val="21"/>
              </w:rPr>
            </w:pPr>
            <w:r>
              <w:rPr>
                <w:sz w:val="21"/>
                <w:szCs w:val="21"/>
                <w:spacing w:val="2"/>
              </w:rPr>
              <w:t>病体暂存间2间(建筑总面积约39m²),生猪、肉牛屠宰车间各设置1间，位于内脏处理旁，用于暂存病猪、病牛胴</w:t>
            </w:r>
            <w:r>
              <w:rPr>
                <w:sz w:val="21"/>
                <w:szCs w:val="21"/>
                <w:spacing w:val="13"/>
              </w:rPr>
              <w:t xml:space="preserve"> </w:t>
            </w:r>
            <w:r>
              <w:rPr>
                <w:sz w:val="21"/>
                <w:szCs w:val="21"/>
              </w:rPr>
              <w:t>体及不可食用肉。</w:t>
            </w:r>
          </w:p>
        </w:tc>
        <w:tc>
          <w:tcPr>
            <w:tcW w:w="799" w:type="dxa"/>
            <w:vAlign w:val="top"/>
            <w:vMerge w:val="continue"/>
            <w:tcBorders>
              <w:top w:val="nil"/>
              <w:bottom w:val="nil"/>
            </w:tcBorders>
          </w:tcPr>
          <w:p>
            <w:pPr>
              <w:rPr>
                <w:rFonts w:ascii="Arial"/>
                <w:sz w:val="21"/>
              </w:rPr>
            </w:pPr>
            <w:r/>
          </w:p>
        </w:tc>
        <w:tc>
          <w:tcPr>
            <w:tcW w:w="1159" w:type="dxa"/>
            <w:vAlign w:val="top"/>
          </w:tcPr>
          <w:p>
            <w:pPr>
              <w:pStyle w:val="TableText"/>
              <w:ind w:left="369"/>
              <w:spacing w:before="173" w:line="220" w:lineRule="auto"/>
              <w:rPr>
                <w:sz w:val="21"/>
                <w:szCs w:val="21"/>
              </w:rPr>
            </w:pPr>
            <w:r>
              <w:rPr>
                <w:sz w:val="21"/>
                <w:szCs w:val="21"/>
                <w:spacing w:val="5"/>
              </w:rPr>
              <w:t>固废</w:t>
            </w:r>
          </w:p>
        </w:tc>
        <w:tc>
          <w:tcPr>
            <w:tcW w:w="645" w:type="dxa"/>
            <w:vAlign w:val="top"/>
            <w:vMerge w:val="continue"/>
            <w:tcBorders>
              <w:top w:val="nil"/>
              <w:bottom w:val="nil"/>
            </w:tcBorders>
          </w:tcPr>
          <w:p>
            <w:pPr>
              <w:rPr>
                <w:rFonts w:ascii="Arial"/>
                <w:sz w:val="21"/>
              </w:rPr>
            </w:pPr>
            <w:r/>
          </w:p>
        </w:tc>
      </w:tr>
      <w:tr>
        <w:trPr>
          <w:trHeight w:val="270" w:hRule="atLeast"/>
        </w:trPr>
        <w:tc>
          <w:tcPr>
            <w:tcW w:w="464" w:type="dxa"/>
            <w:vAlign w:val="top"/>
            <w:vMerge w:val="continue"/>
            <w:tcBorders>
              <w:top w:val="nil"/>
              <w:bottom w:val="nil"/>
            </w:tcBorders>
          </w:tcPr>
          <w:p>
            <w:pPr>
              <w:rPr>
                <w:rFonts w:ascii="Arial"/>
                <w:sz w:val="21"/>
              </w:rPr>
            </w:pPr>
            <w:r/>
          </w:p>
        </w:tc>
        <w:tc>
          <w:tcPr>
            <w:tcW w:w="1719" w:type="dxa"/>
            <w:vAlign w:val="top"/>
            <w:vMerge w:val="continue"/>
            <w:tcBorders>
              <w:top w:val="nil"/>
              <w:bottom w:val="nil"/>
            </w:tcBorders>
          </w:tcPr>
          <w:p>
            <w:pPr>
              <w:rPr>
                <w:rFonts w:ascii="Arial"/>
                <w:sz w:val="21"/>
              </w:rPr>
            </w:pPr>
            <w:r/>
          </w:p>
        </w:tc>
        <w:tc>
          <w:tcPr>
            <w:tcW w:w="10543" w:type="dxa"/>
            <w:vAlign w:val="top"/>
          </w:tcPr>
          <w:p>
            <w:pPr>
              <w:pStyle w:val="TableText"/>
              <w:ind w:left="1051"/>
              <w:spacing w:before="30" w:line="202" w:lineRule="auto"/>
              <w:rPr>
                <w:sz w:val="21"/>
                <w:szCs w:val="21"/>
              </w:rPr>
            </w:pPr>
            <w:r>
              <w:rPr>
                <w:sz w:val="21"/>
                <w:szCs w:val="21"/>
                <w:spacing w:val="2"/>
              </w:rPr>
              <w:t>集血间1处(建筑面积约18m²),位于生猪屠宰车间，采用真空泵收集血液、暂存时间&lt;8h。</w:t>
            </w:r>
          </w:p>
        </w:tc>
        <w:tc>
          <w:tcPr>
            <w:tcW w:w="799" w:type="dxa"/>
            <w:vAlign w:val="top"/>
            <w:vMerge w:val="continue"/>
            <w:tcBorders>
              <w:top w:val="nil"/>
              <w:bottom w:val="nil"/>
            </w:tcBorders>
          </w:tcPr>
          <w:p>
            <w:pPr>
              <w:rPr>
                <w:rFonts w:ascii="Arial"/>
                <w:sz w:val="21"/>
              </w:rPr>
            </w:pPr>
            <w:r/>
          </w:p>
        </w:tc>
        <w:tc>
          <w:tcPr>
            <w:tcW w:w="1159" w:type="dxa"/>
            <w:vAlign w:val="top"/>
          </w:tcPr>
          <w:p>
            <w:pPr>
              <w:pStyle w:val="TableText"/>
              <w:ind w:left="519"/>
              <w:spacing w:before="39" w:line="194" w:lineRule="auto"/>
              <w:rPr>
                <w:sz w:val="21"/>
                <w:szCs w:val="21"/>
              </w:rPr>
            </w:pPr>
            <w:r>
              <w:rPr>
                <w:sz w:val="21"/>
                <w:szCs w:val="21"/>
              </w:rPr>
              <w:t>/</w:t>
            </w:r>
          </w:p>
        </w:tc>
        <w:tc>
          <w:tcPr>
            <w:tcW w:w="645" w:type="dxa"/>
            <w:vAlign w:val="top"/>
            <w:vMerge w:val="continue"/>
            <w:tcBorders>
              <w:top w:val="nil"/>
              <w:bottom w:val="nil"/>
            </w:tcBorders>
          </w:tcPr>
          <w:p>
            <w:pPr>
              <w:rPr>
                <w:rFonts w:ascii="Arial"/>
                <w:sz w:val="21"/>
              </w:rPr>
            </w:pPr>
            <w:r/>
          </w:p>
        </w:tc>
      </w:tr>
      <w:tr>
        <w:trPr>
          <w:trHeight w:val="549" w:hRule="atLeast"/>
        </w:trPr>
        <w:tc>
          <w:tcPr>
            <w:tcW w:w="464" w:type="dxa"/>
            <w:vAlign w:val="top"/>
            <w:vMerge w:val="continue"/>
            <w:tcBorders>
              <w:top w:val="nil"/>
              <w:bottom w:val="nil"/>
            </w:tcBorders>
          </w:tcPr>
          <w:p>
            <w:pPr>
              <w:rPr>
                <w:rFonts w:ascii="Arial"/>
                <w:sz w:val="21"/>
              </w:rPr>
            </w:pPr>
            <w:r/>
          </w:p>
        </w:tc>
        <w:tc>
          <w:tcPr>
            <w:tcW w:w="1719" w:type="dxa"/>
            <w:vAlign w:val="top"/>
            <w:vMerge w:val="continue"/>
            <w:tcBorders>
              <w:top w:val="nil"/>
            </w:tcBorders>
          </w:tcPr>
          <w:p>
            <w:pPr>
              <w:rPr>
                <w:rFonts w:ascii="Arial"/>
                <w:sz w:val="21"/>
              </w:rPr>
            </w:pPr>
            <w:r/>
          </w:p>
        </w:tc>
        <w:tc>
          <w:tcPr>
            <w:tcW w:w="10543" w:type="dxa"/>
            <w:vAlign w:val="top"/>
          </w:tcPr>
          <w:p>
            <w:pPr>
              <w:pStyle w:val="TableText"/>
              <w:ind w:left="1" w:right="332"/>
              <w:spacing w:before="29" w:line="224" w:lineRule="auto"/>
              <w:rPr>
                <w:sz w:val="21"/>
                <w:szCs w:val="21"/>
              </w:rPr>
            </w:pPr>
            <w:r>
              <w:rPr>
                <w:sz w:val="21"/>
                <w:szCs w:val="21"/>
                <w:spacing w:val="2"/>
              </w:rPr>
              <w:t>危废暂存间1间(建筑面积约20m²),位于生猪待宰圈舍外北侧，分类收集，定期交由具有危废处理资质的单位处</w:t>
            </w:r>
            <w:r>
              <w:rPr>
                <w:sz w:val="21"/>
                <w:szCs w:val="21"/>
                <w:spacing w:val="13"/>
              </w:rPr>
              <w:t xml:space="preserve"> </w:t>
            </w:r>
            <w:r>
              <w:rPr>
                <w:sz w:val="21"/>
                <w:szCs w:val="21"/>
                <w:spacing w:val="2"/>
              </w:rPr>
              <w:t>置。</w:t>
            </w:r>
          </w:p>
        </w:tc>
        <w:tc>
          <w:tcPr>
            <w:tcW w:w="799" w:type="dxa"/>
            <w:vAlign w:val="top"/>
            <w:vMerge w:val="continue"/>
            <w:tcBorders>
              <w:top w:val="nil"/>
              <w:bottom w:val="nil"/>
            </w:tcBorders>
          </w:tcPr>
          <w:p>
            <w:pPr>
              <w:rPr>
                <w:rFonts w:ascii="Arial"/>
                <w:sz w:val="21"/>
              </w:rPr>
            </w:pPr>
            <w:r/>
          </w:p>
        </w:tc>
        <w:tc>
          <w:tcPr>
            <w:tcW w:w="1159" w:type="dxa"/>
            <w:vAlign w:val="top"/>
          </w:tcPr>
          <w:p>
            <w:pPr>
              <w:pStyle w:val="TableText"/>
              <w:ind w:left="369"/>
              <w:spacing w:before="174" w:line="220" w:lineRule="auto"/>
              <w:rPr>
                <w:sz w:val="21"/>
                <w:szCs w:val="21"/>
              </w:rPr>
            </w:pPr>
            <w:r>
              <w:rPr>
                <w:sz w:val="21"/>
                <w:szCs w:val="21"/>
                <w:spacing w:val="5"/>
              </w:rPr>
              <w:t>固废</w:t>
            </w:r>
          </w:p>
        </w:tc>
        <w:tc>
          <w:tcPr>
            <w:tcW w:w="645" w:type="dxa"/>
            <w:vAlign w:val="top"/>
            <w:vMerge w:val="continue"/>
            <w:tcBorders>
              <w:top w:val="nil"/>
            </w:tcBorders>
          </w:tcPr>
          <w:p>
            <w:pPr>
              <w:rPr>
                <w:rFonts w:ascii="Arial"/>
                <w:sz w:val="21"/>
              </w:rPr>
            </w:pPr>
            <w:r/>
          </w:p>
        </w:tc>
      </w:tr>
      <w:tr>
        <w:trPr>
          <w:trHeight w:val="2181" w:hRule="atLeast"/>
        </w:trPr>
        <w:tc>
          <w:tcPr>
            <w:tcW w:w="464" w:type="dxa"/>
            <w:vAlign w:val="top"/>
            <w:vMerge w:val="continue"/>
            <w:tcBorders>
              <w:top w:val="nil"/>
            </w:tcBorders>
          </w:tcPr>
          <w:p>
            <w:pPr>
              <w:rPr>
                <w:rFonts w:ascii="Arial"/>
                <w:sz w:val="21"/>
              </w:rPr>
            </w:pPr>
            <w:r/>
          </w:p>
        </w:tc>
        <w:tc>
          <w:tcPr>
            <w:tcW w:w="1719" w:type="dxa"/>
            <w:vAlign w:val="top"/>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639" w:right="26" w:hanging="629"/>
              <w:spacing w:before="68" w:line="258" w:lineRule="auto"/>
              <w:rPr>
                <w:sz w:val="21"/>
                <w:szCs w:val="21"/>
              </w:rPr>
            </w:pPr>
            <w:r>
              <w:rPr>
                <w:sz w:val="21"/>
                <w:szCs w:val="21"/>
                <w:spacing w:val="-2"/>
              </w:rPr>
              <w:t>地下水、土壤污染</w:t>
            </w:r>
            <w:r>
              <w:rPr>
                <w:sz w:val="21"/>
                <w:szCs w:val="21"/>
                <w:spacing w:val="6"/>
              </w:rPr>
              <w:t xml:space="preserve"> </w:t>
            </w:r>
            <w:r>
              <w:rPr>
                <w:sz w:val="21"/>
                <w:szCs w:val="21"/>
                <w:spacing w:val="9"/>
              </w:rPr>
              <w:t>防治</w:t>
            </w:r>
          </w:p>
        </w:tc>
        <w:tc>
          <w:tcPr>
            <w:tcW w:w="10543" w:type="dxa"/>
            <w:vAlign w:val="top"/>
          </w:tcPr>
          <w:p>
            <w:pPr>
              <w:pStyle w:val="TableText"/>
              <w:ind w:left="1"/>
              <w:spacing w:before="45" w:line="220" w:lineRule="auto"/>
              <w:rPr>
                <w:sz w:val="21"/>
                <w:szCs w:val="21"/>
              </w:rPr>
            </w:pPr>
            <w:r>
              <w:rPr>
                <w:sz w:val="21"/>
                <w:szCs w:val="21"/>
                <w:spacing w:val="1"/>
              </w:rPr>
              <w:t>分区防渗。</w:t>
            </w:r>
          </w:p>
          <w:p>
            <w:pPr>
              <w:pStyle w:val="TableText"/>
              <w:ind w:left="1"/>
              <w:spacing w:before="17" w:line="219" w:lineRule="auto"/>
              <w:rPr>
                <w:sz w:val="21"/>
                <w:szCs w:val="21"/>
              </w:rPr>
            </w:pPr>
            <w:r>
              <w:rPr>
                <w:sz w:val="21"/>
                <w:szCs w:val="21"/>
              </w:rPr>
              <w:t>重点防渗区：柴油发电机房、污水处理站(含污泥脱水间)、隔油池、固废暂存间等，地面采</w:t>
            </w:r>
            <w:r>
              <w:rPr>
                <w:sz w:val="21"/>
                <w:szCs w:val="21"/>
                <w:spacing w:val="-1"/>
              </w:rPr>
              <w:t>用防渗粘土层+C30</w:t>
            </w:r>
          </w:p>
          <w:p>
            <w:pPr>
              <w:pStyle w:val="TableText"/>
              <w:ind w:left="1" w:right="21"/>
              <w:spacing w:before="11" w:line="248" w:lineRule="auto"/>
              <w:rPr>
                <w:sz w:val="21"/>
                <w:szCs w:val="21"/>
              </w:rPr>
            </w:pPr>
            <w:r>
              <w:rPr>
                <w:sz w:val="21"/>
                <w:szCs w:val="21"/>
              </w:rPr>
              <w:t>防渗混凝土+人工材料防渗层，等效粘土防渗层Mb≥6.0m、防渗系数K≤1×10-7cm/s;危废暂存间地面采用防渗粘土</w:t>
            </w:r>
            <w:r>
              <w:rPr>
                <w:sz w:val="21"/>
                <w:szCs w:val="21"/>
                <w:spacing w:val="8"/>
              </w:rPr>
              <w:t xml:space="preserve"> </w:t>
            </w:r>
            <w:r>
              <w:rPr>
                <w:sz w:val="21"/>
                <w:szCs w:val="21"/>
              </w:rPr>
              <w:t>层+C30防渗混凝土+人工材料防渗层+环氧树脂层，按照《危险废物贮存污染控制标准》(GB18597-2023)要求，</w:t>
            </w:r>
          </w:p>
          <w:p>
            <w:pPr>
              <w:pStyle w:val="TableText"/>
              <w:ind w:left="1"/>
              <w:spacing w:before="6" w:line="219" w:lineRule="auto"/>
              <w:rPr>
                <w:sz w:val="21"/>
                <w:szCs w:val="21"/>
              </w:rPr>
            </w:pPr>
            <w:r>
              <w:rPr>
                <w:sz w:val="21"/>
                <w:szCs w:val="21"/>
                <w:spacing w:val="3"/>
              </w:rPr>
              <w:t>确保防渗系数K≤10-10</w:t>
            </w:r>
            <w:r>
              <w:rPr>
                <w:sz w:val="21"/>
                <w:szCs w:val="21"/>
              </w:rPr>
              <w:t>cm</w:t>
            </w:r>
            <w:r>
              <w:rPr>
                <w:sz w:val="21"/>
                <w:szCs w:val="21"/>
                <w:spacing w:val="3"/>
              </w:rPr>
              <w:t>/s;</w:t>
            </w:r>
          </w:p>
          <w:p>
            <w:pPr>
              <w:pStyle w:val="TableText"/>
              <w:ind w:left="1" w:right="230"/>
              <w:spacing w:before="1" w:line="241" w:lineRule="auto"/>
              <w:rPr>
                <w:sz w:val="21"/>
                <w:szCs w:val="21"/>
              </w:rPr>
            </w:pPr>
            <w:r>
              <w:rPr>
                <w:sz w:val="21"/>
                <w:szCs w:val="21"/>
              </w:rPr>
              <w:t>一般防渗区：预处理池、屠宰车间、待宰圈、排酸间等，采用C30防渗混凝土+防渗粘土层进行防渗处理，确保等</w:t>
            </w:r>
            <w:r>
              <w:rPr>
                <w:sz w:val="21"/>
                <w:szCs w:val="21"/>
                <w:spacing w:val="9"/>
              </w:rPr>
              <w:t xml:space="preserve"> </w:t>
            </w:r>
            <w:r>
              <w:rPr>
                <w:sz w:val="21"/>
                <w:szCs w:val="21"/>
                <w:spacing w:val="2"/>
              </w:rPr>
              <w:t>效粘土防渗层</w:t>
            </w:r>
            <w:r>
              <w:rPr>
                <w:sz w:val="21"/>
                <w:szCs w:val="21"/>
              </w:rPr>
              <w:t>Mb</w:t>
            </w:r>
            <w:r>
              <w:rPr>
                <w:sz w:val="21"/>
                <w:szCs w:val="21"/>
                <w:spacing w:val="2"/>
              </w:rPr>
              <w:t>≥1.5m、防渗系数K≤1×1</w:t>
            </w:r>
            <w:r>
              <w:rPr>
                <w:sz w:val="21"/>
                <w:szCs w:val="21"/>
                <w:spacing w:val="1"/>
              </w:rPr>
              <w:t>0-7</w:t>
            </w:r>
            <w:r>
              <w:rPr>
                <w:sz w:val="21"/>
                <w:szCs w:val="21"/>
              </w:rPr>
              <w:t>cm</w:t>
            </w:r>
            <w:r>
              <w:rPr>
                <w:sz w:val="21"/>
                <w:szCs w:val="21"/>
                <w:spacing w:val="1"/>
              </w:rPr>
              <w:t>/s;</w:t>
            </w:r>
          </w:p>
          <w:p>
            <w:pPr>
              <w:pStyle w:val="TableText"/>
              <w:ind w:left="1"/>
              <w:spacing w:before="1" w:line="199" w:lineRule="auto"/>
              <w:rPr>
                <w:sz w:val="21"/>
                <w:szCs w:val="21"/>
              </w:rPr>
            </w:pPr>
            <w:r>
              <w:rPr>
                <w:sz w:val="21"/>
                <w:szCs w:val="21"/>
              </w:rPr>
              <w:t>简单防渗区：办公区及其他区域，一般水泥硬化。</w:t>
            </w:r>
          </w:p>
        </w:tc>
        <w:tc>
          <w:tcPr>
            <w:tcW w:w="799" w:type="dxa"/>
            <w:vAlign w:val="top"/>
            <w:vMerge w:val="continue"/>
            <w:tcBorders>
              <w:top w:val="nil"/>
            </w:tcBorders>
          </w:tcPr>
          <w:p>
            <w:pPr>
              <w:rPr>
                <w:rFonts w:ascii="Arial"/>
                <w:sz w:val="21"/>
              </w:rPr>
            </w:pPr>
            <w:r/>
          </w:p>
        </w:tc>
        <w:tc>
          <w:tcPr>
            <w:tcW w:w="1159" w:type="dxa"/>
            <w:vAlign w:val="top"/>
          </w:tcPr>
          <w:p>
            <w:pPr>
              <w:spacing w:line="308" w:lineRule="auto"/>
              <w:rPr>
                <w:rFonts w:ascii="Arial"/>
                <w:sz w:val="21"/>
              </w:rPr>
            </w:pPr>
            <w:r/>
          </w:p>
          <w:p>
            <w:pPr>
              <w:spacing w:line="309" w:lineRule="auto"/>
              <w:rPr>
                <w:rFonts w:ascii="Arial"/>
                <w:sz w:val="21"/>
              </w:rPr>
            </w:pPr>
            <w:r/>
          </w:p>
          <w:p>
            <w:pPr>
              <w:spacing w:line="309" w:lineRule="auto"/>
              <w:rPr>
                <w:rFonts w:ascii="Arial"/>
                <w:sz w:val="21"/>
              </w:rPr>
            </w:pPr>
            <w:r/>
          </w:p>
          <w:p>
            <w:pPr>
              <w:pStyle w:val="TableText"/>
              <w:ind w:left="519"/>
              <w:spacing w:before="68" w:line="224" w:lineRule="auto"/>
              <w:rPr>
                <w:sz w:val="21"/>
                <w:szCs w:val="21"/>
              </w:rPr>
            </w:pPr>
            <w:r>
              <w:rPr>
                <w:sz w:val="21"/>
                <w:szCs w:val="21"/>
                <w:color w:val="404040"/>
              </w:rPr>
              <w:t>/</w:t>
            </w:r>
          </w:p>
        </w:tc>
        <w:tc>
          <w:tcPr>
            <w:tcW w:w="645" w:type="dxa"/>
            <w:vAlign w:val="top"/>
          </w:tcPr>
          <w:p>
            <w:pPr>
              <w:spacing w:line="308" w:lineRule="auto"/>
              <w:rPr>
                <w:rFonts w:ascii="Arial"/>
                <w:sz w:val="21"/>
              </w:rPr>
            </w:pPr>
            <w:r/>
          </w:p>
          <w:p>
            <w:pPr>
              <w:spacing w:line="309" w:lineRule="auto"/>
              <w:rPr>
                <w:rFonts w:ascii="Arial"/>
                <w:sz w:val="21"/>
              </w:rPr>
            </w:pPr>
            <w:r/>
          </w:p>
          <w:p>
            <w:pPr>
              <w:spacing w:line="309" w:lineRule="auto"/>
              <w:rPr>
                <w:rFonts w:ascii="Arial"/>
                <w:sz w:val="21"/>
              </w:rPr>
            </w:pPr>
            <w:r/>
          </w:p>
          <w:p>
            <w:pPr>
              <w:pStyle w:val="TableText"/>
              <w:ind w:left="260"/>
              <w:spacing w:before="68" w:line="224" w:lineRule="auto"/>
              <w:rPr>
                <w:sz w:val="21"/>
                <w:szCs w:val="21"/>
              </w:rPr>
            </w:pPr>
            <w:r>
              <w:rPr>
                <w:sz w:val="21"/>
                <w:szCs w:val="21"/>
                <w:color w:val="404050"/>
              </w:rPr>
              <w:t>/</w:t>
            </w:r>
          </w:p>
        </w:tc>
      </w:tr>
    </w:tbl>
    <w:p>
      <w:pPr>
        <w:pStyle w:val="BodyText"/>
        <w:rPr/>
      </w:pPr>
      <w:r/>
    </w:p>
    <w:p>
      <w:pPr>
        <w:sectPr>
          <w:headerReference w:type="default" r:id="rId207"/>
          <w:footerReference w:type="default" r:id="rId208"/>
          <w:pgSz w:w="16840" w:h="11910"/>
          <w:pgMar w:top="1207" w:right="784" w:bottom="962" w:left="715" w:header="915" w:footer="777" w:gutter="0"/>
        </w:sectPr>
        <w:rPr/>
      </w:pPr>
    </w:p>
    <w:p>
      <w:pPr>
        <w:ind w:left="98"/>
        <w:spacing w:before="316" w:line="221" w:lineRule="auto"/>
        <w:outlineLvl w:val="1"/>
        <w:rPr>
          <w:rFonts w:ascii="SimHei" w:hAnsi="SimHei" w:eastAsia="SimHei" w:cs="SimHei"/>
          <w:sz w:val="24"/>
          <w:szCs w:val="24"/>
        </w:rPr>
      </w:pPr>
      <w:bookmarkStart w:name="bookmark33" w:id="61"/>
      <w:bookmarkEnd w:id="61"/>
      <w:r>
        <w:rPr>
          <w:rFonts w:ascii="SimHei" w:hAnsi="SimHei" w:eastAsia="SimHei" w:cs="SimHei"/>
          <w:sz w:val="24"/>
          <w:szCs w:val="24"/>
          <w:b/>
          <w:bCs/>
          <w:spacing w:val="21"/>
        </w:rPr>
        <w:t>3</w:t>
      </w:r>
      <w:r>
        <w:rPr>
          <w:rFonts w:ascii="SimHei" w:hAnsi="SimHei" w:eastAsia="SimHei" w:cs="SimHei"/>
          <w:sz w:val="24"/>
          <w:szCs w:val="24"/>
          <w:spacing w:val="-68"/>
        </w:rPr>
        <w:t xml:space="preserve"> </w:t>
      </w:r>
      <w:r>
        <w:rPr>
          <w:rFonts w:ascii="SimHei" w:hAnsi="SimHei" w:eastAsia="SimHei" w:cs="SimHei"/>
          <w:sz w:val="24"/>
          <w:szCs w:val="24"/>
          <w:b/>
          <w:bCs/>
          <w:spacing w:val="21"/>
        </w:rPr>
        <w:t>.3原辅材料及能源消耗</w:t>
      </w:r>
    </w:p>
    <w:p>
      <w:pPr>
        <w:ind w:left="2818" w:right="1710" w:hanging="2223"/>
        <w:spacing w:before="217" w:line="281" w:lineRule="auto"/>
        <w:rPr>
          <w:rFonts w:ascii="SimSun" w:hAnsi="SimSun" w:eastAsia="SimSun" w:cs="SimSun"/>
          <w:sz w:val="25"/>
          <w:szCs w:val="25"/>
        </w:rPr>
      </w:pPr>
      <w:r>
        <w:rPr>
          <w:rFonts w:ascii="SimSun" w:hAnsi="SimSun" w:eastAsia="SimSun" w:cs="SimSun"/>
          <w:sz w:val="24"/>
          <w:szCs w:val="24"/>
          <w:spacing w:val="-2"/>
        </w:rPr>
        <w:t>本项目所需原辅材料均外购，主要原辅材料消耗详见下表。</w:t>
      </w:r>
      <w:r>
        <w:rPr>
          <w:rFonts w:ascii="SimSun" w:hAnsi="SimSun" w:eastAsia="SimSun" w:cs="SimSun"/>
          <w:sz w:val="24"/>
          <w:szCs w:val="24"/>
          <w:spacing w:val="5"/>
        </w:rPr>
        <w:t xml:space="preserve"> </w:t>
      </w:r>
      <w:r>
        <w:rPr>
          <w:rFonts w:ascii="SimSun" w:hAnsi="SimSun" w:eastAsia="SimSun" w:cs="SimSun"/>
          <w:sz w:val="25"/>
          <w:szCs w:val="25"/>
          <w:b/>
          <w:bCs/>
          <w:spacing w:val="-4"/>
        </w:rPr>
        <w:t>表3.3-1主要原辅材料情况表</w:t>
      </w:r>
    </w:p>
    <w:tbl>
      <w:tblPr>
        <w:tblStyle w:val="TableNormal"/>
        <w:tblW w:w="848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44"/>
        <w:gridCol w:w="1278"/>
        <w:gridCol w:w="1129"/>
        <w:gridCol w:w="1079"/>
        <w:gridCol w:w="1318"/>
        <w:gridCol w:w="2157"/>
        <w:gridCol w:w="1084"/>
      </w:tblGrid>
      <w:tr>
        <w:trPr>
          <w:trHeight w:val="554" w:hRule="atLeast"/>
        </w:trPr>
        <w:tc>
          <w:tcPr>
            <w:shd w:val="clear" w:fill="BEBEBE"/>
            <w:tcW w:w="444" w:type="dxa"/>
            <w:vAlign w:val="top"/>
          </w:tcPr>
          <w:p>
            <w:pPr>
              <w:pStyle w:val="TableText"/>
              <w:spacing w:before="171" w:line="221" w:lineRule="auto"/>
              <w:jc w:val="right"/>
              <w:rPr>
                <w:sz w:val="21"/>
                <w:szCs w:val="21"/>
              </w:rPr>
            </w:pPr>
            <w:r>
              <w:rPr>
                <w:sz w:val="21"/>
                <w:szCs w:val="21"/>
                <w:b/>
                <w:bCs/>
                <w:spacing w:val="-6"/>
              </w:rPr>
              <w:t>序号</w:t>
            </w:r>
          </w:p>
        </w:tc>
        <w:tc>
          <w:tcPr>
            <w:shd w:val="clear" w:fill="BEBEBE"/>
            <w:tcW w:w="1278" w:type="dxa"/>
            <w:vAlign w:val="top"/>
          </w:tcPr>
          <w:p>
            <w:pPr>
              <w:pStyle w:val="TableText"/>
              <w:ind w:left="13"/>
              <w:spacing w:before="169" w:line="219" w:lineRule="auto"/>
              <w:rPr>
                <w:sz w:val="21"/>
                <w:szCs w:val="21"/>
              </w:rPr>
            </w:pPr>
            <w:r>
              <w:rPr>
                <w:sz w:val="21"/>
                <w:szCs w:val="21"/>
                <w:b/>
                <w:bCs/>
                <w:spacing w:val="-5"/>
              </w:rPr>
              <w:t>原辅材料名称</w:t>
            </w:r>
          </w:p>
        </w:tc>
        <w:tc>
          <w:tcPr>
            <w:shd w:val="clear" w:fill="BEBEBE"/>
            <w:tcW w:w="1129" w:type="dxa"/>
            <w:vAlign w:val="top"/>
          </w:tcPr>
          <w:p>
            <w:pPr>
              <w:pStyle w:val="TableText"/>
              <w:ind w:left="35" w:right="21"/>
              <w:spacing w:before="29" w:line="226" w:lineRule="auto"/>
              <w:rPr>
                <w:sz w:val="21"/>
                <w:szCs w:val="21"/>
              </w:rPr>
            </w:pPr>
            <w:r>
              <w:rPr>
                <w:sz w:val="21"/>
                <w:szCs w:val="21"/>
                <w:b/>
                <w:bCs/>
              </w:rPr>
              <w:t>改扩建前原</w:t>
            </w:r>
            <w:r>
              <w:rPr>
                <w:sz w:val="21"/>
                <w:szCs w:val="21"/>
              </w:rPr>
              <w:t xml:space="preserve"> </w:t>
            </w:r>
            <w:r>
              <w:rPr>
                <w:sz w:val="21"/>
                <w:szCs w:val="21"/>
                <w:b/>
                <w:bCs/>
                <w:spacing w:val="-5"/>
              </w:rPr>
              <w:t>项目年用量</w:t>
            </w:r>
          </w:p>
        </w:tc>
        <w:tc>
          <w:tcPr>
            <w:shd w:val="clear" w:fill="BDBDBD"/>
            <w:tcW w:w="1079" w:type="dxa"/>
            <w:vAlign w:val="top"/>
          </w:tcPr>
          <w:p>
            <w:pPr>
              <w:pStyle w:val="TableText"/>
              <w:ind w:left="116" w:right="27" w:hanging="110"/>
              <w:spacing w:before="29" w:line="226" w:lineRule="auto"/>
              <w:rPr>
                <w:sz w:val="21"/>
                <w:szCs w:val="21"/>
              </w:rPr>
            </w:pPr>
            <w:r>
              <w:rPr>
                <w:sz w:val="21"/>
                <w:szCs w:val="21"/>
                <w:b/>
                <w:bCs/>
                <w:spacing w:val="-6"/>
              </w:rPr>
              <w:t>改扩建后全</w:t>
            </w:r>
            <w:r>
              <w:rPr>
                <w:sz w:val="21"/>
                <w:szCs w:val="21"/>
                <w:spacing w:val="2"/>
              </w:rPr>
              <w:t xml:space="preserve"> </w:t>
            </w:r>
            <w:r>
              <w:rPr>
                <w:sz w:val="21"/>
                <w:szCs w:val="21"/>
                <w:b/>
                <w:bCs/>
                <w:spacing w:val="-5"/>
              </w:rPr>
              <w:t>厂年用量</w:t>
            </w:r>
          </w:p>
        </w:tc>
        <w:tc>
          <w:tcPr>
            <w:shd w:val="clear" w:fill="BDBDBD"/>
            <w:tcW w:w="1318" w:type="dxa"/>
            <w:vAlign w:val="top"/>
          </w:tcPr>
          <w:p>
            <w:pPr>
              <w:pStyle w:val="TableText"/>
              <w:ind w:left="337"/>
              <w:spacing w:before="171" w:line="221" w:lineRule="auto"/>
              <w:rPr>
                <w:sz w:val="21"/>
                <w:szCs w:val="21"/>
              </w:rPr>
            </w:pPr>
            <w:r>
              <w:rPr>
                <w:sz w:val="21"/>
                <w:szCs w:val="21"/>
                <w:b/>
                <w:bCs/>
                <w:spacing w:val="-5"/>
              </w:rPr>
              <w:t>变化量</w:t>
            </w:r>
          </w:p>
        </w:tc>
        <w:tc>
          <w:tcPr>
            <w:shd w:val="clear" w:fill="BDBDBD"/>
            <w:tcW w:w="2157" w:type="dxa"/>
            <w:vAlign w:val="top"/>
          </w:tcPr>
          <w:p>
            <w:pPr>
              <w:pStyle w:val="TableText"/>
              <w:ind w:left="869"/>
              <w:spacing w:before="170" w:line="219" w:lineRule="auto"/>
              <w:rPr>
                <w:sz w:val="21"/>
                <w:szCs w:val="21"/>
              </w:rPr>
            </w:pPr>
            <w:r>
              <w:rPr>
                <w:sz w:val="21"/>
                <w:szCs w:val="21"/>
                <w:b/>
                <w:bCs/>
                <w:spacing w:val="-5"/>
              </w:rPr>
              <w:t>来源</w:t>
            </w:r>
          </w:p>
        </w:tc>
        <w:tc>
          <w:tcPr>
            <w:shd w:val="clear" w:fill="BDBDBD"/>
            <w:tcW w:w="1084" w:type="dxa"/>
            <w:vAlign w:val="top"/>
          </w:tcPr>
          <w:p>
            <w:pPr>
              <w:pStyle w:val="TableText"/>
              <w:ind w:left="332"/>
              <w:spacing w:before="171" w:line="221" w:lineRule="auto"/>
              <w:rPr>
                <w:sz w:val="21"/>
                <w:szCs w:val="21"/>
              </w:rPr>
            </w:pPr>
            <w:r>
              <w:rPr>
                <w:sz w:val="21"/>
                <w:szCs w:val="21"/>
                <w:b/>
                <w:bCs/>
                <w:spacing w:val="-5"/>
              </w:rPr>
              <w:t>备注</w:t>
            </w:r>
          </w:p>
        </w:tc>
      </w:tr>
      <w:tr>
        <w:trPr>
          <w:trHeight w:val="539" w:hRule="atLeast"/>
        </w:trPr>
        <w:tc>
          <w:tcPr>
            <w:tcW w:w="444" w:type="dxa"/>
            <w:vAlign w:val="top"/>
          </w:tcPr>
          <w:p>
            <w:pPr>
              <w:pStyle w:val="TableText"/>
              <w:ind w:left="154"/>
              <w:spacing w:before="190" w:line="241" w:lineRule="auto"/>
              <w:rPr>
                <w:sz w:val="21"/>
                <w:szCs w:val="21"/>
              </w:rPr>
            </w:pPr>
            <w:r>
              <w:rPr>
                <w:sz w:val="21"/>
                <w:szCs w:val="21"/>
                <w:color w:val="606060"/>
              </w:rPr>
              <w:t>1</w:t>
            </w:r>
          </w:p>
        </w:tc>
        <w:tc>
          <w:tcPr>
            <w:tcW w:w="1278" w:type="dxa"/>
            <w:vAlign w:val="top"/>
          </w:tcPr>
          <w:p>
            <w:pPr>
              <w:pStyle w:val="TableText"/>
              <w:ind w:left="421"/>
              <w:spacing w:before="170" w:line="220" w:lineRule="auto"/>
              <w:rPr>
                <w:sz w:val="21"/>
                <w:szCs w:val="21"/>
              </w:rPr>
            </w:pPr>
            <w:r>
              <w:rPr>
                <w:sz w:val="21"/>
                <w:szCs w:val="21"/>
                <w:spacing w:val="-3"/>
              </w:rPr>
              <w:t>生猪</w:t>
            </w:r>
          </w:p>
        </w:tc>
        <w:tc>
          <w:tcPr>
            <w:tcW w:w="1129" w:type="dxa"/>
            <w:vAlign w:val="top"/>
          </w:tcPr>
          <w:p>
            <w:pPr>
              <w:pStyle w:val="TableText"/>
              <w:ind w:left="82"/>
              <w:spacing w:before="169" w:line="219" w:lineRule="auto"/>
              <w:rPr>
                <w:sz w:val="21"/>
                <w:szCs w:val="21"/>
              </w:rPr>
            </w:pPr>
            <w:r>
              <w:rPr>
                <w:sz w:val="21"/>
                <w:szCs w:val="21"/>
                <w:spacing w:val="-2"/>
              </w:rPr>
              <w:t>7.8万头/a</w:t>
            </w:r>
          </w:p>
        </w:tc>
        <w:tc>
          <w:tcPr>
            <w:tcW w:w="1079" w:type="dxa"/>
            <w:vAlign w:val="top"/>
          </w:tcPr>
          <w:p>
            <w:pPr>
              <w:pStyle w:val="TableText"/>
              <w:ind w:left="113"/>
              <w:spacing w:before="169" w:line="219" w:lineRule="auto"/>
              <w:rPr>
                <w:sz w:val="21"/>
                <w:szCs w:val="21"/>
              </w:rPr>
            </w:pPr>
            <w:r>
              <w:rPr>
                <w:sz w:val="21"/>
                <w:szCs w:val="21"/>
                <w:spacing w:val="-2"/>
              </w:rPr>
              <w:t>40万头/a</w:t>
            </w:r>
          </w:p>
        </w:tc>
        <w:tc>
          <w:tcPr>
            <w:tcW w:w="1318" w:type="dxa"/>
            <w:vAlign w:val="top"/>
          </w:tcPr>
          <w:p>
            <w:pPr>
              <w:pStyle w:val="TableText"/>
              <w:ind w:left="74"/>
              <w:spacing w:before="169" w:line="219" w:lineRule="auto"/>
              <w:rPr>
                <w:sz w:val="21"/>
                <w:szCs w:val="21"/>
              </w:rPr>
            </w:pPr>
            <w:r>
              <w:rPr>
                <w:sz w:val="21"/>
                <w:szCs w:val="21"/>
                <w:spacing w:val="-1"/>
              </w:rPr>
              <w:t>+32.2万头/a</w:t>
            </w:r>
          </w:p>
        </w:tc>
        <w:tc>
          <w:tcPr>
            <w:tcW w:w="2157" w:type="dxa"/>
            <w:vAlign w:val="top"/>
          </w:tcPr>
          <w:p>
            <w:pPr>
              <w:pStyle w:val="TableText"/>
              <w:ind w:left="26"/>
              <w:spacing w:before="39" w:line="219" w:lineRule="auto"/>
              <w:rPr>
                <w:sz w:val="21"/>
                <w:szCs w:val="21"/>
              </w:rPr>
            </w:pPr>
            <w:r>
              <w:rPr>
                <w:sz w:val="21"/>
                <w:szCs w:val="21"/>
                <w:spacing w:val="1"/>
              </w:rPr>
              <w:t>外购，周边区县养殖场</w:t>
            </w:r>
          </w:p>
          <w:p>
            <w:pPr>
              <w:pStyle w:val="TableText"/>
              <w:ind w:left="286"/>
              <w:spacing w:before="10" w:line="202" w:lineRule="auto"/>
              <w:rPr>
                <w:sz w:val="21"/>
                <w:szCs w:val="21"/>
              </w:rPr>
            </w:pPr>
            <w:r>
              <w:rPr>
                <w:sz w:val="21"/>
                <w:szCs w:val="21"/>
                <w:spacing w:val="-1"/>
              </w:rPr>
              <w:t>合作，定向供给。</w:t>
            </w:r>
          </w:p>
        </w:tc>
        <w:tc>
          <w:tcPr>
            <w:tcW w:w="1084" w:type="dxa"/>
            <w:vAlign w:val="top"/>
          </w:tcPr>
          <w:p>
            <w:pPr>
              <w:pStyle w:val="TableText"/>
              <w:ind w:left="480"/>
              <w:spacing w:before="175" w:line="224" w:lineRule="auto"/>
              <w:rPr>
                <w:sz w:val="21"/>
                <w:szCs w:val="21"/>
              </w:rPr>
            </w:pPr>
            <w:r>
              <w:rPr>
                <w:sz w:val="21"/>
                <w:szCs w:val="21"/>
              </w:rPr>
              <w:t>/</w:t>
            </w:r>
          </w:p>
        </w:tc>
      </w:tr>
      <w:tr>
        <w:trPr>
          <w:trHeight w:val="559" w:hRule="atLeast"/>
        </w:trPr>
        <w:tc>
          <w:tcPr>
            <w:tcW w:w="444" w:type="dxa"/>
            <w:vAlign w:val="top"/>
          </w:tcPr>
          <w:p>
            <w:pPr>
              <w:pStyle w:val="TableText"/>
              <w:ind w:left="154"/>
              <w:spacing w:before="201" w:line="241" w:lineRule="auto"/>
              <w:rPr>
                <w:sz w:val="21"/>
                <w:szCs w:val="21"/>
              </w:rPr>
            </w:pPr>
            <w:r>
              <w:rPr>
                <w:sz w:val="21"/>
                <w:szCs w:val="21"/>
              </w:rPr>
              <w:t>2</w:t>
            </w:r>
          </w:p>
        </w:tc>
        <w:tc>
          <w:tcPr>
            <w:tcW w:w="1278" w:type="dxa"/>
            <w:vAlign w:val="top"/>
          </w:tcPr>
          <w:p>
            <w:pPr>
              <w:pStyle w:val="TableText"/>
              <w:ind w:left="421"/>
              <w:spacing w:before="181" w:line="221" w:lineRule="auto"/>
              <w:rPr>
                <w:sz w:val="21"/>
                <w:szCs w:val="21"/>
              </w:rPr>
            </w:pPr>
            <w:r>
              <w:rPr>
                <w:sz w:val="21"/>
                <w:szCs w:val="21"/>
                <w:spacing w:val="6"/>
              </w:rPr>
              <w:t>肉牛</w:t>
            </w:r>
          </w:p>
        </w:tc>
        <w:tc>
          <w:tcPr>
            <w:tcW w:w="1129" w:type="dxa"/>
            <w:vAlign w:val="top"/>
          </w:tcPr>
          <w:p>
            <w:pPr>
              <w:pStyle w:val="TableText"/>
              <w:ind w:left="503"/>
              <w:spacing w:before="186" w:line="224" w:lineRule="auto"/>
              <w:rPr>
                <w:sz w:val="21"/>
                <w:szCs w:val="21"/>
              </w:rPr>
            </w:pPr>
            <w:r>
              <w:rPr>
                <w:sz w:val="21"/>
                <w:szCs w:val="21"/>
              </w:rPr>
              <w:t>/</w:t>
            </w:r>
          </w:p>
        </w:tc>
        <w:tc>
          <w:tcPr>
            <w:tcW w:w="1079" w:type="dxa"/>
            <w:vAlign w:val="top"/>
          </w:tcPr>
          <w:p>
            <w:pPr>
              <w:pStyle w:val="TableText"/>
              <w:ind w:left="164"/>
              <w:spacing w:before="180" w:line="219" w:lineRule="auto"/>
              <w:rPr>
                <w:sz w:val="21"/>
                <w:szCs w:val="21"/>
              </w:rPr>
            </w:pPr>
            <w:r>
              <w:rPr>
                <w:sz w:val="21"/>
                <w:szCs w:val="21"/>
                <w:spacing w:val="-2"/>
              </w:rPr>
              <w:t>4万头/a</w:t>
            </w:r>
          </w:p>
        </w:tc>
        <w:tc>
          <w:tcPr>
            <w:tcW w:w="1318" w:type="dxa"/>
            <w:vAlign w:val="top"/>
          </w:tcPr>
          <w:p>
            <w:pPr>
              <w:pStyle w:val="TableText"/>
              <w:ind w:left="234"/>
              <w:spacing w:before="180" w:line="219" w:lineRule="auto"/>
              <w:rPr>
                <w:sz w:val="21"/>
                <w:szCs w:val="21"/>
              </w:rPr>
            </w:pPr>
            <w:r>
              <w:rPr>
                <w:sz w:val="21"/>
                <w:szCs w:val="21"/>
                <w:spacing w:val="-2"/>
              </w:rPr>
              <w:t>+4万头/a</w:t>
            </w:r>
          </w:p>
        </w:tc>
        <w:tc>
          <w:tcPr>
            <w:tcW w:w="2157" w:type="dxa"/>
            <w:vAlign w:val="top"/>
          </w:tcPr>
          <w:p>
            <w:pPr>
              <w:pStyle w:val="TableText"/>
              <w:ind w:left="26"/>
              <w:spacing w:before="40" w:line="219" w:lineRule="auto"/>
              <w:rPr>
                <w:sz w:val="21"/>
                <w:szCs w:val="21"/>
              </w:rPr>
            </w:pPr>
            <w:r>
              <w:rPr>
                <w:sz w:val="21"/>
                <w:szCs w:val="21"/>
                <w:spacing w:val="1"/>
              </w:rPr>
              <w:t>外购，周边区县养殖场</w:t>
            </w:r>
          </w:p>
          <w:p>
            <w:pPr>
              <w:pStyle w:val="TableText"/>
              <w:ind w:left="286"/>
              <w:spacing w:before="30" w:line="201" w:lineRule="auto"/>
              <w:rPr>
                <w:sz w:val="21"/>
                <w:szCs w:val="21"/>
              </w:rPr>
            </w:pPr>
            <w:r>
              <w:rPr>
                <w:sz w:val="21"/>
                <w:szCs w:val="21"/>
                <w:spacing w:val="-1"/>
              </w:rPr>
              <w:t>合作，定向供给。</w:t>
            </w:r>
          </w:p>
        </w:tc>
        <w:tc>
          <w:tcPr>
            <w:tcW w:w="1084" w:type="dxa"/>
            <w:vAlign w:val="top"/>
          </w:tcPr>
          <w:p>
            <w:pPr>
              <w:pStyle w:val="TableText"/>
              <w:ind w:left="480"/>
              <w:spacing w:before="186" w:line="224" w:lineRule="auto"/>
              <w:rPr>
                <w:sz w:val="21"/>
                <w:szCs w:val="21"/>
              </w:rPr>
            </w:pPr>
            <w:r>
              <w:rPr>
                <w:sz w:val="21"/>
                <w:szCs w:val="21"/>
              </w:rPr>
              <w:t>/</w:t>
            </w:r>
          </w:p>
        </w:tc>
      </w:tr>
      <w:tr>
        <w:trPr>
          <w:trHeight w:val="529" w:hRule="atLeast"/>
        </w:trPr>
        <w:tc>
          <w:tcPr>
            <w:tcW w:w="444" w:type="dxa"/>
            <w:vAlign w:val="top"/>
          </w:tcPr>
          <w:p>
            <w:pPr>
              <w:pStyle w:val="TableText"/>
              <w:ind w:left="154"/>
              <w:spacing w:before="182"/>
              <w:rPr>
                <w:sz w:val="21"/>
                <w:szCs w:val="21"/>
              </w:rPr>
            </w:pPr>
            <w:r>
              <w:rPr>
                <w:sz w:val="21"/>
                <w:szCs w:val="21"/>
              </w:rPr>
              <w:t>3</w:t>
            </w:r>
          </w:p>
        </w:tc>
        <w:tc>
          <w:tcPr>
            <w:tcW w:w="1278" w:type="dxa"/>
            <w:vAlign w:val="top"/>
          </w:tcPr>
          <w:p>
            <w:pPr>
              <w:pStyle w:val="TableText"/>
              <w:spacing w:before="162" w:line="220" w:lineRule="auto"/>
              <w:jc w:val="right"/>
              <w:rPr>
                <w:sz w:val="21"/>
                <w:szCs w:val="21"/>
              </w:rPr>
            </w:pPr>
            <w:r>
              <w:rPr>
                <w:sz w:val="21"/>
                <w:szCs w:val="21"/>
                <w:spacing w:val="-1"/>
              </w:rPr>
              <w:t>聚维酮碘溶液</w:t>
            </w:r>
          </w:p>
        </w:tc>
        <w:tc>
          <w:tcPr>
            <w:tcW w:w="1129" w:type="dxa"/>
            <w:vAlign w:val="top"/>
          </w:tcPr>
          <w:p>
            <w:pPr>
              <w:pStyle w:val="TableText"/>
              <w:ind w:left="183"/>
              <w:spacing w:before="167" w:line="224" w:lineRule="auto"/>
              <w:rPr>
                <w:sz w:val="21"/>
                <w:szCs w:val="21"/>
              </w:rPr>
            </w:pPr>
            <w:r>
              <w:rPr>
                <w:sz w:val="21"/>
                <w:szCs w:val="21"/>
                <w:spacing w:val="-2"/>
              </w:rPr>
              <w:t>0.05t/a</w:t>
            </w:r>
          </w:p>
        </w:tc>
        <w:tc>
          <w:tcPr>
            <w:tcW w:w="1079" w:type="dxa"/>
            <w:vAlign w:val="top"/>
          </w:tcPr>
          <w:p>
            <w:pPr>
              <w:pStyle w:val="TableText"/>
              <w:ind w:left="164"/>
              <w:spacing w:before="167" w:line="224" w:lineRule="auto"/>
              <w:rPr>
                <w:sz w:val="21"/>
                <w:szCs w:val="21"/>
              </w:rPr>
            </w:pPr>
            <w:r>
              <w:rPr>
                <w:sz w:val="21"/>
                <w:szCs w:val="21"/>
                <w:spacing w:val="-1"/>
              </w:rPr>
              <w:t>0.15t/a</w:t>
            </w:r>
          </w:p>
        </w:tc>
        <w:tc>
          <w:tcPr>
            <w:tcW w:w="1318" w:type="dxa"/>
            <w:vAlign w:val="top"/>
          </w:tcPr>
          <w:p>
            <w:pPr>
              <w:pStyle w:val="TableText"/>
              <w:ind w:left="284"/>
              <w:spacing w:before="167" w:line="224" w:lineRule="auto"/>
              <w:rPr>
                <w:sz w:val="21"/>
                <w:szCs w:val="21"/>
              </w:rPr>
            </w:pPr>
            <w:r>
              <w:rPr>
                <w:sz w:val="21"/>
                <w:szCs w:val="21"/>
                <w:spacing w:val="-1"/>
              </w:rPr>
              <w:t>+0.1t/a</w:t>
            </w:r>
          </w:p>
        </w:tc>
        <w:tc>
          <w:tcPr>
            <w:tcW w:w="2157" w:type="dxa"/>
            <w:vAlign w:val="top"/>
          </w:tcPr>
          <w:p>
            <w:pPr>
              <w:pStyle w:val="TableText"/>
              <w:ind w:left="26" w:right="8"/>
              <w:spacing w:before="20" w:line="219" w:lineRule="auto"/>
              <w:rPr>
                <w:sz w:val="21"/>
                <w:szCs w:val="21"/>
              </w:rPr>
            </w:pPr>
            <w:r>
              <w:rPr>
                <w:sz w:val="21"/>
                <w:szCs w:val="21"/>
              </w:rPr>
              <w:t>外购，用于员工进出车</w:t>
            </w:r>
            <w:r>
              <w:rPr>
                <w:sz w:val="21"/>
                <w:szCs w:val="21"/>
                <w:spacing w:val="8"/>
              </w:rPr>
              <w:t xml:space="preserve"> </w:t>
            </w:r>
            <w:r>
              <w:rPr>
                <w:sz w:val="21"/>
                <w:szCs w:val="21"/>
                <w:spacing w:val="1"/>
              </w:rPr>
              <w:t>间人员消毒、洗手消毒</w:t>
            </w:r>
          </w:p>
        </w:tc>
        <w:tc>
          <w:tcPr>
            <w:tcW w:w="1084" w:type="dxa"/>
            <w:vAlign w:val="top"/>
          </w:tcPr>
          <w:p>
            <w:pPr>
              <w:pStyle w:val="TableText"/>
              <w:ind w:left="480"/>
              <w:spacing w:before="167" w:line="224" w:lineRule="auto"/>
              <w:rPr>
                <w:sz w:val="21"/>
                <w:szCs w:val="21"/>
              </w:rPr>
            </w:pPr>
            <w:r>
              <w:rPr>
                <w:sz w:val="21"/>
                <w:szCs w:val="21"/>
              </w:rPr>
              <w:t>/</w:t>
            </w:r>
          </w:p>
        </w:tc>
      </w:tr>
      <w:tr>
        <w:trPr>
          <w:trHeight w:val="539" w:hRule="atLeast"/>
        </w:trPr>
        <w:tc>
          <w:tcPr>
            <w:tcW w:w="444" w:type="dxa"/>
            <w:vAlign w:val="top"/>
          </w:tcPr>
          <w:p>
            <w:pPr>
              <w:pStyle w:val="TableText"/>
              <w:ind w:left="154"/>
              <w:spacing w:before="193" w:line="241" w:lineRule="auto"/>
              <w:rPr>
                <w:sz w:val="21"/>
                <w:szCs w:val="21"/>
              </w:rPr>
            </w:pPr>
            <w:r>
              <w:rPr>
                <w:sz w:val="21"/>
                <w:szCs w:val="21"/>
              </w:rPr>
              <w:t>4</w:t>
            </w:r>
          </w:p>
        </w:tc>
        <w:tc>
          <w:tcPr>
            <w:tcW w:w="1278" w:type="dxa"/>
            <w:vAlign w:val="top"/>
          </w:tcPr>
          <w:p>
            <w:pPr>
              <w:pStyle w:val="TableText"/>
              <w:ind w:left="210" w:right="224" w:firstLine="100"/>
              <w:spacing w:before="33" w:line="218" w:lineRule="auto"/>
              <w:rPr>
                <w:sz w:val="21"/>
                <w:szCs w:val="21"/>
              </w:rPr>
            </w:pPr>
            <w:r>
              <w:rPr>
                <w:sz w:val="21"/>
                <w:szCs w:val="21"/>
                <w:spacing w:val="4"/>
              </w:rPr>
              <w:t>二氯异</w:t>
            </w:r>
            <w:r>
              <w:rPr>
                <w:sz w:val="21"/>
                <w:szCs w:val="21"/>
              </w:rPr>
              <w:t xml:space="preserve">  </w:t>
            </w:r>
            <w:r>
              <w:rPr>
                <w:sz w:val="21"/>
                <w:szCs w:val="21"/>
                <w:spacing w:val="-2"/>
              </w:rPr>
              <w:t>氰尿酸钠</w:t>
            </w:r>
          </w:p>
        </w:tc>
        <w:tc>
          <w:tcPr>
            <w:tcW w:w="1129" w:type="dxa"/>
            <w:vAlign w:val="top"/>
          </w:tcPr>
          <w:p>
            <w:pPr>
              <w:pStyle w:val="TableText"/>
              <w:ind w:left="183"/>
              <w:spacing w:before="178" w:line="224" w:lineRule="auto"/>
              <w:rPr>
                <w:sz w:val="21"/>
                <w:szCs w:val="21"/>
              </w:rPr>
            </w:pPr>
            <w:r>
              <w:rPr>
                <w:sz w:val="21"/>
                <w:szCs w:val="21"/>
                <w:spacing w:val="-2"/>
              </w:rPr>
              <w:t>0.01t/a</w:t>
            </w:r>
          </w:p>
        </w:tc>
        <w:tc>
          <w:tcPr>
            <w:tcW w:w="1079" w:type="dxa"/>
            <w:vAlign w:val="top"/>
          </w:tcPr>
          <w:p>
            <w:pPr>
              <w:pStyle w:val="TableText"/>
              <w:ind w:left="213"/>
              <w:spacing w:before="178" w:line="224" w:lineRule="auto"/>
              <w:rPr>
                <w:sz w:val="21"/>
                <w:szCs w:val="21"/>
              </w:rPr>
            </w:pPr>
            <w:r>
              <w:rPr>
                <w:sz w:val="21"/>
                <w:szCs w:val="21"/>
                <w:spacing w:val="-1"/>
              </w:rPr>
              <w:t>0.1t/a</w:t>
            </w:r>
          </w:p>
        </w:tc>
        <w:tc>
          <w:tcPr>
            <w:tcW w:w="1318" w:type="dxa"/>
            <w:vAlign w:val="top"/>
          </w:tcPr>
          <w:p>
            <w:pPr>
              <w:pStyle w:val="TableText"/>
              <w:ind w:left="234"/>
              <w:spacing w:before="178" w:line="224" w:lineRule="auto"/>
              <w:rPr>
                <w:sz w:val="21"/>
                <w:szCs w:val="21"/>
              </w:rPr>
            </w:pPr>
            <w:r>
              <w:rPr>
                <w:sz w:val="21"/>
                <w:szCs w:val="21"/>
                <w:spacing w:val="-1"/>
              </w:rPr>
              <w:t>+0.09t/a</w:t>
            </w:r>
          </w:p>
        </w:tc>
        <w:tc>
          <w:tcPr>
            <w:tcW w:w="2157" w:type="dxa"/>
            <w:vAlign w:val="top"/>
          </w:tcPr>
          <w:p>
            <w:pPr>
              <w:pStyle w:val="TableText"/>
              <w:ind w:left="656" w:right="8" w:hanging="630"/>
              <w:spacing w:before="33" w:line="218" w:lineRule="auto"/>
              <w:rPr>
                <w:sz w:val="21"/>
                <w:szCs w:val="21"/>
              </w:rPr>
            </w:pPr>
            <w:r>
              <w:rPr>
                <w:sz w:val="21"/>
                <w:szCs w:val="21"/>
                <w:spacing w:val="1"/>
              </w:rPr>
              <w:t>外购用于刀具、车间及</w:t>
            </w:r>
            <w:r>
              <w:rPr>
                <w:sz w:val="21"/>
                <w:szCs w:val="21"/>
              </w:rPr>
              <w:t xml:space="preserve"> </w:t>
            </w:r>
            <w:r>
              <w:rPr>
                <w:sz w:val="21"/>
                <w:szCs w:val="21"/>
                <w:spacing w:val="2"/>
              </w:rPr>
              <w:t>车辆消毒</w:t>
            </w:r>
          </w:p>
        </w:tc>
        <w:tc>
          <w:tcPr>
            <w:tcW w:w="1084" w:type="dxa"/>
            <w:vAlign w:val="top"/>
          </w:tcPr>
          <w:p>
            <w:pPr>
              <w:pStyle w:val="TableText"/>
              <w:ind w:left="480"/>
              <w:spacing w:before="178" w:line="224" w:lineRule="auto"/>
              <w:rPr>
                <w:sz w:val="21"/>
                <w:szCs w:val="21"/>
              </w:rPr>
            </w:pPr>
            <w:r>
              <w:rPr>
                <w:sz w:val="21"/>
                <w:szCs w:val="21"/>
              </w:rPr>
              <w:t>/</w:t>
            </w:r>
          </w:p>
        </w:tc>
      </w:tr>
      <w:tr>
        <w:trPr>
          <w:trHeight w:val="559" w:hRule="atLeast"/>
        </w:trPr>
        <w:tc>
          <w:tcPr>
            <w:tcW w:w="444" w:type="dxa"/>
            <w:vAlign w:val="top"/>
          </w:tcPr>
          <w:p>
            <w:pPr>
              <w:pStyle w:val="TableText"/>
              <w:ind w:left="154"/>
              <w:spacing w:before="204"/>
              <w:rPr>
                <w:sz w:val="21"/>
                <w:szCs w:val="21"/>
              </w:rPr>
            </w:pPr>
            <w:r>
              <w:rPr>
                <w:sz w:val="21"/>
                <w:szCs w:val="21"/>
              </w:rPr>
              <w:t>5</w:t>
            </w:r>
          </w:p>
        </w:tc>
        <w:tc>
          <w:tcPr>
            <w:tcW w:w="1278" w:type="dxa"/>
            <w:vAlign w:val="top"/>
          </w:tcPr>
          <w:p>
            <w:pPr>
              <w:pStyle w:val="TableText"/>
              <w:ind w:left="310"/>
              <w:spacing w:before="32" w:line="219" w:lineRule="auto"/>
              <w:rPr>
                <w:sz w:val="21"/>
                <w:szCs w:val="21"/>
              </w:rPr>
            </w:pPr>
            <w:r>
              <w:rPr>
                <w:sz w:val="21"/>
                <w:szCs w:val="21"/>
                <w:spacing w:val="4"/>
              </w:rPr>
              <w:t>制冷剂</w:t>
            </w:r>
          </w:p>
          <w:p>
            <w:pPr>
              <w:pStyle w:val="TableText"/>
              <w:ind w:left="310"/>
              <w:spacing w:before="45" w:line="195" w:lineRule="auto"/>
              <w:rPr>
                <w:sz w:val="21"/>
                <w:szCs w:val="21"/>
              </w:rPr>
            </w:pPr>
            <w:r>
              <w:rPr>
                <w:sz w:val="21"/>
                <w:szCs w:val="21"/>
                <w:spacing w:val="-7"/>
              </w:rPr>
              <w:t>(R507)</w:t>
            </w:r>
          </w:p>
        </w:tc>
        <w:tc>
          <w:tcPr>
            <w:tcW w:w="1129" w:type="dxa"/>
            <w:vAlign w:val="top"/>
          </w:tcPr>
          <w:p>
            <w:pPr>
              <w:pStyle w:val="TableText"/>
              <w:ind w:left="183"/>
              <w:spacing w:before="189" w:line="224" w:lineRule="auto"/>
              <w:rPr>
                <w:sz w:val="21"/>
                <w:szCs w:val="21"/>
              </w:rPr>
            </w:pPr>
            <w:r>
              <w:rPr>
                <w:sz w:val="21"/>
                <w:szCs w:val="21"/>
                <w:spacing w:val="-2"/>
              </w:rPr>
              <w:t>0.01t/a</w:t>
            </w:r>
          </w:p>
        </w:tc>
        <w:tc>
          <w:tcPr>
            <w:tcW w:w="1079" w:type="dxa"/>
            <w:vAlign w:val="top"/>
          </w:tcPr>
          <w:p>
            <w:pPr>
              <w:pStyle w:val="TableText"/>
              <w:ind w:left="213"/>
              <w:spacing w:before="189" w:line="224" w:lineRule="auto"/>
              <w:rPr>
                <w:sz w:val="21"/>
                <w:szCs w:val="21"/>
              </w:rPr>
            </w:pPr>
            <w:r>
              <w:rPr>
                <w:sz w:val="21"/>
                <w:szCs w:val="21"/>
                <w:spacing w:val="-1"/>
              </w:rPr>
              <w:t>0.1t/a</w:t>
            </w:r>
          </w:p>
        </w:tc>
        <w:tc>
          <w:tcPr>
            <w:tcW w:w="1318" w:type="dxa"/>
            <w:vAlign w:val="top"/>
          </w:tcPr>
          <w:p>
            <w:pPr>
              <w:pStyle w:val="TableText"/>
              <w:ind w:left="234"/>
              <w:spacing w:before="189" w:line="224" w:lineRule="auto"/>
              <w:rPr>
                <w:sz w:val="21"/>
                <w:szCs w:val="21"/>
              </w:rPr>
            </w:pPr>
            <w:r>
              <w:rPr>
                <w:sz w:val="21"/>
                <w:szCs w:val="21"/>
                <w:spacing w:val="-1"/>
              </w:rPr>
              <w:t>+0.09t/a</w:t>
            </w:r>
          </w:p>
        </w:tc>
        <w:tc>
          <w:tcPr>
            <w:tcW w:w="2157" w:type="dxa"/>
            <w:vAlign w:val="top"/>
          </w:tcPr>
          <w:p>
            <w:pPr>
              <w:pStyle w:val="TableText"/>
              <w:ind w:left="866" w:right="6" w:hanging="840"/>
              <w:spacing w:before="55" w:line="217" w:lineRule="auto"/>
              <w:rPr>
                <w:sz w:val="21"/>
                <w:szCs w:val="21"/>
              </w:rPr>
            </w:pPr>
            <w:r>
              <w:rPr>
                <w:sz w:val="21"/>
                <w:szCs w:val="21"/>
                <w:spacing w:val="1"/>
              </w:rPr>
              <w:t>外购，由专业厂家定期</w:t>
            </w:r>
            <w:r>
              <w:rPr>
                <w:sz w:val="21"/>
                <w:szCs w:val="21"/>
                <w:spacing w:val="2"/>
              </w:rPr>
              <w:t xml:space="preserve"> </w:t>
            </w:r>
            <w:r>
              <w:rPr>
                <w:sz w:val="21"/>
                <w:szCs w:val="21"/>
                <w:spacing w:val="8"/>
              </w:rPr>
              <w:t>添加</w:t>
            </w:r>
          </w:p>
        </w:tc>
        <w:tc>
          <w:tcPr>
            <w:tcW w:w="1084" w:type="dxa"/>
            <w:vAlign w:val="top"/>
          </w:tcPr>
          <w:p>
            <w:pPr>
              <w:pStyle w:val="TableText"/>
              <w:ind w:left="329"/>
              <w:spacing w:before="183" w:line="219" w:lineRule="auto"/>
              <w:rPr>
                <w:sz w:val="21"/>
                <w:szCs w:val="21"/>
              </w:rPr>
            </w:pPr>
            <w:r>
              <w:rPr>
                <w:sz w:val="21"/>
                <w:szCs w:val="21"/>
                <w:spacing w:val="6"/>
              </w:rPr>
              <w:t>冷库</w:t>
            </w:r>
          </w:p>
        </w:tc>
      </w:tr>
      <w:tr>
        <w:trPr>
          <w:trHeight w:val="260" w:hRule="atLeast"/>
        </w:trPr>
        <w:tc>
          <w:tcPr>
            <w:tcW w:w="444" w:type="dxa"/>
            <w:vAlign w:val="top"/>
          </w:tcPr>
          <w:p>
            <w:pPr>
              <w:pStyle w:val="TableText"/>
              <w:ind w:left="154"/>
              <w:spacing w:before="55" w:line="171" w:lineRule="auto"/>
              <w:rPr>
                <w:sz w:val="21"/>
                <w:szCs w:val="21"/>
              </w:rPr>
            </w:pPr>
            <w:r>
              <w:rPr>
                <w:sz w:val="21"/>
                <w:szCs w:val="21"/>
              </w:rPr>
              <w:t>6</w:t>
            </w:r>
          </w:p>
        </w:tc>
        <w:tc>
          <w:tcPr>
            <w:tcW w:w="1278" w:type="dxa"/>
            <w:vAlign w:val="top"/>
          </w:tcPr>
          <w:p>
            <w:pPr>
              <w:pStyle w:val="TableText"/>
              <w:ind w:left="421"/>
              <w:spacing w:before="35" w:line="189" w:lineRule="auto"/>
              <w:rPr>
                <w:sz w:val="21"/>
                <w:szCs w:val="21"/>
              </w:rPr>
            </w:pPr>
            <w:r>
              <w:rPr>
                <w:sz w:val="21"/>
                <w:szCs w:val="21"/>
                <w:color w:val="607070"/>
                <w:spacing w:val="10"/>
              </w:rPr>
              <w:t>柴油</w:t>
            </w:r>
          </w:p>
        </w:tc>
        <w:tc>
          <w:tcPr>
            <w:tcW w:w="1129" w:type="dxa"/>
            <w:vAlign w:val="top"/>
          </w:tcPr>
          <w:p>
            <w:pPr>
              <w:pStyle w:val="TableText"/>
              <w:ind w:left="503"/>
              <w:spacing w:before="40" w:line="184" w:lineRule="auto"/>
              <w:rPr>
                <w:sz w:val="21"/>
                <w:szCs w:val="21"/>
              </w:rPr>
            </w:pPr>
            <w:r>
              <w:rPr>
                <w:sz w:val="21"/>
                <w:szCs w:val="21"/>
              </w:rPr>
              <w:t>/</w:t>
            </w:r>
          </w:p>
        </w:tc>
        <w:tc>
          <w:tcPr>
            <w:tcW w:w="1079" w:type="dxa"/>
            <w:vAlign w:val="top"/>
          </w:tcPr>
          <w:p>
            <w:pPr>
              <w:pStyle w:val="TableText"/>
              <w:ind w:left="213"/>
              <w:spacing w:before="40" w:line="184" w:lineRule="auto"/>
              <w:rPr>
                <w:sz w:val="21"/>
                <w:szCs w:val="21"/>
              </w:rPr>
            </w:pPr>
            <w:r>
              <w:rPr>
                <w:sz w:val="21"/>
                <w:szCs w:val="21"/>
                <w:spacing w:val="-1"/>
              </w:rPr>
              <w:t>0.1t/a</w:t>
            </w:r>
          </w:p>
        </w:tc>
        <w:tc>
          <w:tcPr>
            <w:tcW w:w="1318" w:type="dxa"/>
            <w:vAlign w:val="top"/>
          </w:tcPr>
          <w:p>
            <w:pPr>
              <w:pStyle w:val="TableText"/>
              <w:ind w:left="284"/>
              <w:spacing w:before="40" w:line="184" w:lineRule="auto"/>
              <w:rPr>
                <w:sz w:val="21"/>
                <w:szCs w:val="21"/>
              </w:rPr>
            </w:pPr>
            <w:r>
              <w:rPr>
                <w:sz w:val="21"/>
                <w:szCs w:val="21"/>
                <w:spacing w:val="-1"/>
              </w:rPr>
              <w:t>+0.1t/a</w:t>
            </w:r>
          </w:p>
        </w:tc>
        <w:tc>
          <w:tcPr>
            <w:tcW w:w="2157" w:type="dxa"/>
            <w:vAlign w:val="top"/>
          </w:tcPr>
          <w:p>
            <w:pPr>
              <w:pStyle w:val="TableText"/>
              <w:ind w:left="866"/>
              <w:spacing w:before="35" w:line="189" w:lineRule="auto"/>
              <w:rPr>
                <w:sz w:val="21"/>
                <w:szCs w:val="21"/>
              </w:rPr>
            </w:pPr>
            <w:r>
              <w:rPr>
                <w:sz w:val="21"/>
                <w:szCs w:val="21"/>
                <w:spacing w:val="5"/>
              </w:rPr>
              <w:t>外购</w:t>
            </w:r>
          </w:p>
        </w:tc>
        <w:tc>
          <w:tcPr>
            <w:tcW w:w="1084" w:type="dxa"/>
            <w:vAlign w:val="top"/>
            <w:vMerge w:val="restart"/>
            <w:tcBorders>
              <w:bottom w:val="nil"/>
            </w:tcBorders>
          </w:tcPr>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119"/>
              <w:spacing w:before="68" w:line="220" w:lineRule="auto"/>
              <w:rPr>
                <w:sz w:val="21"/>
                <w:szCs w:val="21"/>
              </w:rPr>
            </w:pPr>
            <w:r>
              <w:rPr>
                <w:sz w:val="21"/>
                <w:szCs w:val="21"/>
                <w:spacing w:val="2"/>
              </w:rPr>
              <w:t>公辅设施</w:t>
            </w:r>
          </w:p>
        </w:tc>
      </w:tr>
      <w:tr>
        <w:trPr>
          <w:trHeight w:val="539" w:hRule="atLeast"/>
        </w:trPr>
        <w:tc>
          <w:tcPr>
            <w:tcW w:w="444" w:type="dxa"/>
            <w:vAlign w:val="top"/>
          </w:tcPr>
          <w:p>
            <w:pPr>
              <w:pStyle w:val="TableText"/>
              <w:ind w:left="154"/>
              <w:spacing w:before="195"/>
              <w:rPr>
                <w:sz w:val="21"/>
                <w:szCs w:val="21"/>
              </w:rPr>
            </w:pPr>
            <w:r>
              <w:rPr>
                <w:sz w:val="21"/>
                <w:szCs w:val="21"/>
              </w:rPr>
              <w:t>7</w:t>
            </w:r>
          </w:p>
        </w:tc>
        <w:tc>
          <w:tcPr>
            <w:tcW w:w="1278" w:type="dxa"/>
            <w:vAlign w:val="top"/>
          </w:tcPr>
          <w:p>
            <w:pPr>
              <w:pStyle w:val="TableText"/>
              <w:ind w:left="210"/>
              <w:spacing w:before="174" w:line="219" w:lineRule="auto"/>
              <w:rPr>
                <w:sz w:val="21"/>
                <w:szCs w:val="21"/>
              </w:rPr>
            </w:pPr>
            <w:r>
              <w:rPr>
                <w:sz w:val="21"/>
                <w:szCs w:val="21"/>
                <w:spacing w:val="2"/>
              </w:rPr>
              <w:t>次氯酸钠</w:t>
            </w:r>
          </w:p>
        </w:tc>
        <w:tc>
          <w:tcPr>
            <w:tcW w:w="1129" w:type="dxa"/>
            <w:vAlign w:val="top"/>
          </w:tcPr>
          <w:p>
            <w:pPr>
              <w:pStyle w:val="TableText"/>
              <w:ind w:left="242"/>
              <w:spacing w:before="180" w:line="224" w:lineRule="auto"/>
              <w:rPr>
                <w:sz w:val="21"/>
                <w:szCs w:val="21"/>
              </w:rPr>
            </w:pPr>
            <w:r>
              <w:rPr>
                <w:sz w:val="21"/>
                <w:szCs w:val="21"/>
                <w:spacing w:val="-4"/>
              </w:rPr>
              <w:t>1.0t/a</w:t>
            </w:r>
          </w:p>
        </w:tc>
        <w:tc>
          <w:tcPr>
            <w:tcW w:w="1079" w:type="dxa"/>
            <w:vAlign w:val="top"/>
          </w:tcPr>
          <w:p>
            <w:pPr>
              <w:pStyle w:val="TableText"/>
              <w:ind w:left="213"/>
              <w:spacing w:before="180" w:line="224" w:lineRule="auto"/>
              <w:rPr>
                <w:sz w:val="21"/>
                <w:szCs w:val="21"/>
              </w:rPr>
            </w:pPr>
            <w:r>
              <w:rPr>
                <w:sz w:val="21"/>
                <w:szCs w:val="21"/>
                <w:spacing w:val="-2"/>
              </w:rPr>
              <w:t>5.0t/a</w:t>
            </w:r>
          </w:p>
        </w:tc>
        <w:tc>
          <w:tcPr>
            <w:tcW w:w="1318" w:type="dxa"/>
            <w:vAlign w:val="top"/>
          </w:tcPr>
          <w:p>
            <w:pPr>
              <w:pStyle w:val="TableText"/>
              <w:ind w:left="284"/>
              <w:spacing w:before="180" w:line="224" w:lineRule="auto"/>
              <w:rPr>
                <w:sz w:val="21"/>
                <w:szCs w:val="21"/>
              </w:rPr>
            </w:pPr>
            <w:r>
              <w:rPr>
                <w:sz w:val="21"/>
                <w:szCs w:val="21"/>
                <w:spacing w:val="-1"/>
              </w:rPr>
              <w:t>+4.0t/a</w:t>
            </w:r>
          </w:p>
        </w:tc>
        <w:tc>
          <w:tcPr>
            <w:tcW w:w="2157" w:type="dxa"/>
            <w:vAlign w:val="top"/>
          </w:tcPr>
          <w:p>
            <w:pPr>
              <w:pStyle w:val="TableText"/>
              <w:ind w:left="656" w:right="8" w:hanging="630"/>
              <w:spacing w:before="35" w:line="217" w:lineRule="auto"/>
              <w:rPr>
                <w:sz w:val="21"/>
                <w:szCs w:val="21"/>
              </w:rPr>
            </w:pPr>
            <w:r>
              <w:rPr>
                <w:sz w:val="21"/>
                <w:szCs w:val="21"/>
                <w:spacing w:val="1"/>
              </w:rPr>
              <w:t>外购，用于污水处理站</w:t>
            </w:r>
            <w:r>
              <w:rPr>
                <w:sz w:val="21"/>
                <w:szCs w:val="21"/>
              </w:rPr>
              <w:t xml:space="preserve"> </w:t>
            </w:r>
            <w:r>
              <w:rPr>
                <w:sz w:val="21"/>
                <w:szCs w:val="21"/>
                <w:spacing w:val="-2"/>
              </w:rPr>
              <w:t>废水消毒</w:t>
            </w:r>
          </w:p>
        </w:tc>
        <w:tc>
          <w:tcPr>
            <w:tcW w:w="1084" w:type="dxa"/>
            <w:vAlign w:val="top"/>
            <w:vMerge w:val="continue"/>
            <w:tcBorders>
              <w:top w:val="nil"/>
              <w:bottom w:val="nil"/>
            </w:tcBorders>
          </w:tcPr>
          <w:p>
            <w:pPr>
              <w:rPr>
                <w:rFonts w:ascii="Arial"/>
                <w:sz w:val="21"/>
              </w:rPr>
            </w:pPr>
            <w:r/>
          </w:p>
        </w:tc>
      </w:tr>
      <w:tr>
        <w:trPr>
          <w:trHeight w:val="559" w:hRule="atLeast"/>
        </w:trPr>
        <w:tc>
          <w:tcPr>
            <w:tcW w:w="444" w:type="dxa"/>
            <w:vAlign w:val="top"/>
          </w:tcPr>
          <w:p>
            <w:pPr>
              <w:pStyle w:val="TableText"/>
              <w:ind w:left="154"/>
              <w:spacing w:before="206"/>
              <w:rPr>
                <w:sz w:val="21"/>
                <w:szCs w:val="21"/>
              </w:rPr>
            </w:pPr>
            <w:r>
              <w:rPr>
                <w:sz w:val="21"/>
                <w:szCs w:val="21"/>
              </w:rPr>
              <w:t>8</w:t>
            </w:r>
          </w:p>
        </w:tc>
        <w:tc>
          <w:tcPr>
            <w:tcW w:w="1278" w:type="dxa"/>
            <w:vAlign w:val="top"/>
          </w:tcPr>
          <w:p>
            <w:pPr>
              <w:pStyle w:val="TableText"/>
              <w:ind w:left="310"/>
              <w:spacing w:before="44" w:line="219" w:lineRule="auto"/>
              <w:rPr>
                <w:sz w:val="21"/>
                <w:szCs w:val="21"/>
              </w:rPr>
            </w:pPr>
            <w:r>
              <w:rPr>
                <w:sz w:val="21"/>
                <w:szCs w:val="21"/>
                <w:spacing w:val="4"/>
              </w:rPr>
              <w:t>混凝剂</w:t>
            </w:r>
          </w:p>
          <w:p>
            <w:pPr>
              <w:pStyle w:val="TableText"/>
              <w:ind w:left="361"/>
              <w:spacing w:before="34" w:line="194" w:lineRule="auto"/>
              <w:rPr>
                <w:sz w:val="21"/>
                <w:szCs w:val="21"/>
              </w:rPr>
            </w:pPr>
            <w:r>
              <w:rPr>
                <w:sz w:val="21"/>
                <w:szCs w:val="21"/>
                <w:spacing w:val="-8"/>
              </w:rPr>
              <w:t>(PAC)</w:t>
            </w:r>
          </w:p>
        </w:tc>
        <w:tc>
          <w:tcPr>
            <w:tcW w:w="1129" w:type="dxa"/>
            <w:vAlign w:val="top"/>
          </w:tcPr>
          <w:p>
            <w:pPr>
              <w:pStyle w:val="TableText"/>
              <w:ind w:left="342"/>
              <w:spacing w:before="191" w:line="224" w:lineRule="auto"/>
              <w:rPr>
                <w:sz w:val="21"/>
                <w:szCs w:val="21"/>
              </w:rPr>
            </w:pPr>
            <w:r>
              <w:rPr>
                <w:sz w:val="21"/>
                <w:szCs w:val="21"/>
                <w:spacing w:val="-3"/>
              </w:rPr>
              <w:t>3t/a</w:t>
            </w:r>
          </w:p>
        </w:tc>
        <w:tc>
          <w:tcPr>
            <w:tcW w:w="1079" w:type="dxa"/>
            <w:vAlign w:val="top"/>
          </w:tcPr>
          <w:p>
            <w:pPr>
              <w:pStyle w:val="TableText"/>
              <w:ind w:left="263"/>
              <w:spacing w:before="191" w:line="224" w:lineRule="auto"/>
              <w:rPr>
                <w:sz w:val="21"/>
                <w:szCs w:val="21"/>
              </w:rPr>
            </w:pPr>
            <w:r>
              <w:rPr>
                <w:sz w:val="21"/>
                <w:szCs w:val="21"/>
                <w:spacing w:val="-4"/>
              </w:rPr>
              <w:t>15t/a</w:t>
            </w:r>
          </w:p>
        </w:tc>
        <w:tc>
          <w:tcPr>
            <w:tcW w:w="1318" w:type="dxa"/>
            <w:vAlign w:val="top"/>
          </w:tcPr>
          <w:p>
            <w:pPr>
              <w:pStyle w:val="TableText"/>
              <w:ind w:left="334"/>
              <w:spacing w:before="191" w:line="224" w:lineRule="auto"/>
              <w:rPr>
                <w:sz w:val="21"/>
                <w:szCs w:val="21"/>
              </w:rPr>
            </w:pPr>
            <w:r>
              <w:rPr>
                <w:sz w:val="21"/>
                <w:szCs w:val="21"/>
                <w:spacing w:val="-2"/>
              </w:rPr>
              <w:t>+12t/a</w:t>
            </w:r>
          </w:p>
        </w:tc>
        <w:tc>
          <w:tcPr>
            <w:tcW w:w="2157" w:type="dxa"/>
            <w:vAlign w:val="top"/>
          </w:tcPr>
          <w:p>
            <w:pPr>
              <w:pStyle w:val="TableText"/>
              <w:ind w:left="656" w:right="8" w:hanging="630"/>
              <w:spacing w:before="46" w:line="221" w:lineRule="auto"/>
              <w:rPr>
                <w:sz w:val="21"/>
                <w:szCs w:val="21"/>
              </w:rPr>
            </w:pPr>
            <w:r>
              <w:rPr>
                <w:sz w:val="21"/>
                <w:szCs w:val="21"/>
                <w:spacing w:val="1"/>
              </w:rPr>
              <w:t>外购，用于污水处理站</w:t>
            </w:r>
            <w:r>
              <w:rPr>
                <w:sz w:val="21"/>
                <w:szCs w:val="21"/>
              </w:rPr>
              <w:t xml:space="preserve"> </w:t>
            </w:r>
            <w:r>
              <w:rPr>
                <w:sz w:val="21"/>
                <w:szCs w:val="21"/>
                <w:spacing w:val="-2"/>
              </w:rPr>
              <w:t>废水处理</w:t>
            </w:r>
          </w:p>
        </w:tc>
        <w:tc>
          <w:tcPr>
            <w:tcW w:w="1084" w:type="dxa"/>
            <w:vAlign w:val="top"/>
            <w:vMerge w:val="continue"/>
            <w:tcBorders>
              <w:top w:val="nil"/>
              <w:bottom w:val="nil"/>
            </w:tcBorders>
          </w:tcPr>
          <w:p>
            <w:pPr>
              <w:rPr>
                <w:rFonts w:ascii="Arial"/>
                <w:sz w:val="21"/>
              </w:rPr>
            </w:pPr>
            <w:r/>
          </w:p>
        </w:tc>
      </w:tr>
      <w:tr>
        <w:trPr>
          <w:trHeight w:val="539" w:hRule="atLeast"/>
        </w:trPr>
        <w:tc>
          <w:tcPr>
            <w:tcW w:w="444" w:type="dxa"/>
            <w:vAlign w:val="top"/>
          </w:tcPr>
          <w:p>
            <w:pPr>
              <w:pStyle w:val="TableText"/>
              <w:ind w:left="154"/>
              <w:spacing w:before="197"/>
              <w:rPr>
                <w:sz w:val="21"/>
                <w:szCs w:val="21"/>
              </w:rPr>
            </w:pPr>
            <w:r>
              <w:rPr>
                <w:sz w:val="21"/>
                <w:szCs w:val="21"/>
              </w:rPr>
              <w:t>9</w:t>
            </w:r>
          </w:p>
        </w:tc>
        <w:tc>
          <w:tcPr>
            <w:tcW w:w="1278" w:type="dxa"/>
            <w:vAlign w:val="top"/>
          </w:tcPr>
          <w:p>
            <w:pPr>
              <w:pStyle w:val="TableText"/>
              <w:ind w:left="310"/>
              <w:spacing w:before="35" w:line="219" w:lineRule="auto"/>
              <w:rPr>
                <w:sz w:val="21"/>
                <w:szCs w:val="21"/>
              </w:rPr>
            </w:pPr>
            <w:r>
              <w:rPr>
                <w:sz w:val="21"/>
                <w:szCs w:val="21"/>
                <w:spacing w:val="4"/>
              </w:rPr>
              <w:t>絮凝剂</w:t>
            </w:r>
          </w:p>
          <w:p>
            <w:pPr>
              <w:pStyle w:val="TableText"/>
              <w:ind w:left="361"/>
              <w:spacing w:before="25" w:line="193" w:lineRule="auto"/>
              <w:rPr>
                <w:sz w:val="21"/>
                <w:szCs w:val="21"/>
              </w:rPr>
            </w:pPr>
            <w:r>
              <w:rPr>
                <w:sz w:val="21"/>
                <w:szCs w:val="21"/>
                <w:spacing w:val="-8"/>
              </w:rPr>
              <w:t>(PAM)</w:t>
            </w:r>
          </w:p>
        </w:tc>
        <w:tc>
          <w:tcPr>
            <w:tcW w:w="1129" w:type="dxa"/>
            <w:vAlign w:val="top"/>
          </w:tcPr>
          <w:p>
            <w:pPr>
              <w:pStyle w:val="TableText"/>
              <w:ind w:left="242"/>
              <w:spacing w:before="182" w:line="224" w:lineRule="auto"/>
              <w:rPr>
                <w:sz w:val="21"/>
                <w:szCs w:val="21"/>
              </w:rPr>
            </w:pPr>
            <w:r>
              <w:rPr>
                <w:sz w:val="21"/>
                <w:szCs w:val="21"/>
                <w:spacing w:val="-1"/>
              </w:rPr>
              <w:t>0.1t/a</w:t>
            </w:r>
          </w:p>
        </w:tc>
        <w:tc>
          <w:tcPr>
            <w:tcW w:w="1079" w:type="dxa"/>
            <w:vAlign w:val="top"/>
          </w:tcPr>
          <w:p>
            <w:pPr>
              <w:pStyle w:val="TableText"/>
              <w:ind w:left="323"/>
              <w:spacing w:before="182" w:line="224" w:lineRule="auto"/>
              <w:rPr>
                <w:sz w:val="21"/>
                <w:szCs w:val="21"/>
              </w:rPr>
            </w:pPr>
            <w:r>
              <w:rPr>
                <w:sz w:val="21"/>
                <w:szCs w:val="21"/>
                <w:spacing w:val="-5"/>
              </w:rPr>
              <w:t>1t/a</w:t>
            </w:r>
          </w:p>
        </w:tc>
        <w:tc>
          <w:tcPr>
            <w:tcW w:w="1318" w:type="dxa"/>
            <w:vAlign w:val="top"/>
          </w:tcPr>
          <w:p>
            <w:pPr>
              <w:pStyle w:val="TableText"/>
              <w:ind w:left="284"/>
              <w:spacing w:before="182" w:line="224" w:lineRule="auto"/>
              <w:rPr>
                <w:sz w:val="21"/>
                <w:szCs w:val="21"/>
              </w:rPr>
            </w:pPr>
            <w:r>
              <w:rPr>
                <w:sz w:val="21"/>
                <w:szCs w:val="21"/>
                <w:spacing w:val="-1"/>
              </w:rPr>
              <w:t>+0.9t/a</w:t>
            </w:r>
          </w:p>
        </w:tc>
        <w:tc>
          <w:tcPr>
            <w:tcW w:w="2157" w:type="dxa"/>
            <w:vAlign w:val="top"/>
          </w:tcPr>
          <w:p>
            <w:pPr>
              <w:pStyle w:val="TableText"/>
              <w:ind w:left="656" w:right="8" w:hanging="630"/>
              <w:spacing w:before="26" w:line="221" w:lineRule="auto"/>
              <w:rPr>
                <w:sz w:val="21"/>
                <w:szCs w:val="21"/>
              </w:rPr>
            </w:pPr>
            <w:r>
              <w:rPr>
                <w:sz w:val="21"/>
                <w:szCs w:val="21"/>
                <w:spacing w:val="1"/>
              </w:rPr>
              <w:t>外购，用于污水处理站</w:t>
            </w:r>
            <w:r>
              <w:rPr>
                <w:sz w:val="21"/>
                <w:szCs w:val="21"/>
              </w:rPr>
              <w:t xml:space="preserve"> </w:t>
            </w:r>
            <w:r>
              <w:rPr>
                <w:sz w:val="21"/>
                <w:szCs w:val="21"/>
                <w:spacing w:val="-2"/>
              </w:rPr>
              <w:t>废水处理</w:t>
            </w:r>
          </w:p>
        </w:tc>
        <w:tc>
          <w:tcPr>
            <w:tcW w:w="1084" w:type="dxa"/>
            <w:vAlign w:val="top"/>
            <w:vMerge w:val="continue"/>
            <w:tcBorders>
              <w:top w:val="nil"/>
              <w:bottom w:val="nil"/>
            </w:tcBorders>
          </w:tcPr>
          <w:p>
            <w:pPr>
              <w:rPr>
                <w:rFonts w:ascii="Arial"/>
                <w:sz w:val="21"/>
              </w:rPr>
            </w:pPr>
            <w:r/>
          </w:p>
        </w:tc>
      </w:tr>
      <w:tr>
        <w:trPr>
          <w:trHeight w:val="280" w:hRule="atLeast"/>
        </w:trPr>
        <w:tc>
          <w:tcPr>
            <w:tcW w:w="444" w:type="dxa"/>
            <w:vAlign w:val="top"/>
          </w:tcPr>
          <w:p>
            <w:pPr>
              <w:pStyle w:val="TableText"/>
              <w:ind w:left="104"/>
              <w:spacing w:before="68" w:line="177" w:lineRule="auto"/>
              <w:rPr>
                <w:sz w:val="21"/>
                <w:szCs w:val="21"/>
              </w:rPr>
            </w:pPr>
            <w:r>
              <w:rPr>
                <w:sz w:val="21"/>
                <w:szCs w:val="21"/>
                <w:spacing w:val="-6"/>
              </w:rPr>
              <w:t>10</w:t>
            </w:r>
          </w:p>
        </w:tc>
        <w:tc>
          <w:tcPr>
            <w:tcW w:w="1278" w:type="dxa"/>
            <w:vAlign w:val="top"/>
          </w:tcPr>
          <w:p>
            <w:pPr>
              <w:pStyle w:val="TableText"/>
              <w:ind w:left="310"/>
              <w:spacing w:before="47" w:line="196" w:lineRule="auto"/>
              <w:rPr>
                <w:sz w:val="21"/>
                <w:szCs w:val="21"/>
              </w:rPr>
            </w:pPr>
            <w:r>
              <w:rPr>
                <w:sz w:val="21"/>
                <w:szCs w:val="21"/>
                <w:spacing w:val="4"/>
              </w:rPr>
              <w:t>脱硫剂</w:t>
            </w:r>
          </w:p>
        </w:tc>
        <w:tc>
          <w:tcPr>
            <w:tcW w:w="1129" w:type="dxa"/>
            <w:vAlign w:val="top"/>
          </w:tcPr>
          <w:p>
            <w:pPr>
              <w:pStyle w:val="TableText"/>
              <w:ind w:left="503"/>
              <w:spacing w:before="52" w:line="191" w:lineRule="auto"/>
              <w:rPr>
                <w:sz w:val="21"/>
                <w:szCs w:val="21"/>
              </w:rPr>
            </w:pPr>
            <w:r>
              <w:rPr>
                <w:sz w:val="21"/>
                <w:szCs w:val="21"/>
              </w:rPr>
              <w:t>/</w:t>
            </w:r>
          </w:p>
        </w:tc>
        <w:tc>
          <w:tcPr>
            <w:tcW w:w="1079" w:type="dxa"/>
            <w:vAlign w:val="top"/>
          </w:tcPr>
          <w:p>
            <w:pPr>
              <w:pStyle w:val="TableText"/>
              <w:ind w:left="213"/>
              <w:spacing w:before="52" w:line="191" w:lineRule="auto"/>
              <w:rPr>
                <w:sz w:val="21"/>
                <w:szCs w:val="21"/>
              </w:rPr>
            </w:pPr>
            <w:r>
              <w:rPr>
                <w:sz w:val="21"/>
                <w:szCs w:val="21"/>
                <w:spacing w:val="-4"/>
              </w:rPr>
              <w:t>1.2t/a</w:t>
            </w:r>
          </w:p>
        </w:tc>
        <w:tc>
          <w:tcPr>
            <w:tcW w:w="1318" w:type="dxa"/>
            <w:vAlign w:val="top"/>
          </w:tcPr>
          <w:p>
            <w:pPr>
              <w:pStyle w:val="TableText"/>
              <w:ind w:left="284"/>
              <w:spacing w:before="52" w:line="191" w:lineRule="auto"/>
              <w:rPr>
                <w:sz w:val="21"/>
                <w:szCs w:val="21"/>
              </w:rPr>
            </w:pPr>
            <w:r>
              <w:rPr>
                <w:sz w:val="21"/>
                <w:szCs w:val="21"/>
                <w:spacing w:val="-1"/>
              </w:rPr>
              <w:t>+1.2t/a</w:t>
            </w:r>
          </w:p>
        </w:tc>
        <w:tc>
          <w:tcPr>
            <w:tcW w:w="2157" w:type="dxa"/>
            <w:vAlign w:val="top"/>
          </w:tcPr>
          <w:p>
            <w:pPr>
              <w:pStyle w:val="TableText"/>
              <w:ind w:left="126"/>
              <w:spacing w:before="48" w:line="195" w:lineRule="auto"/>
              <w:rPr>
                <w:sz w:val="21"/>
                <w:szCs w:val="21"/>
              </w:rPr>
            </w:pPr>
            <w:r>
              <w:rPr>
                <w:sz w:val="21"/>
                <w:szCs w:val="21"/>
                <w:spacing w:val="1"/>
              </w:rPr>
              <w:t>外购，用于沼气净化</w:t>
            </w:r>
          </w:p>
        </w:tc>
        <w:tc>
          <w:tcPr>
            <w:tcW w:w="1084" w:type="dxa"/>
            <w:vAlign w:val="top"/>
            <w:vMerge w:val="continue"/>
            <w:tcBorders>
              <w:top w:val="nil"/>
              <w:bottom w:val="nil"/>
            </w:tcBorders>
          </w:tcPr>
          <w:p>
            <w:pPr>
              <w:rPr>
                <w:rFonts w:ascii="Arial"/>
                <w:sz w:val="21"/>
              </w:rPr>
            </w:pPr>
            <w:r/>
          </w:p>
        </w:tc>
      </w:tr>
      <w:tr>
        <w:trPr>
          <w:trHeight w:val="260" w:hRule="atLeast"/>
        </w:trPr>
        <w:tc>
          <w:tcPr>
            <w:tcW w:w="444" w:type="dxa"/>
            <w:vAlign w:val="top"/>
          </w:tcPr>
          <w:p>
            <w:pPr>
              <w:pStyle w:val="TableText"/>
              <w:ind w:left="104"/>
              <w:spacing w:before="58" w:line="168" w:lineRule="auto"/>
              <w:rPr>
                <w:sz w:val="21"/>
                <w:szCs w:val="21"/>
              </w:rPr>
            </w:pPr>
            <w:r>
              <w:rPr>
                <w:sz w:val="21"/>
                <w:szCs w:val="21"/>
                <w:color w:val="404050"/>
                <w:spacing w:val="-6"/>
              </w:rPr>
              <w:t>11</w:t>
            </w:r>
          </w:p>
        </w:tc>
        <w:tc>
          <w:tcPr>
            <w:tcW w:w="1278" w:type="dxa"/>
            <w:vAlign w:val="top"/>
          </w:tcPr>
          <w:p>
            <w:pPr>
              <w:pStyle w:val="TableText"/>
              <w:ind w:left="421"/>
              <w:spacing w:before="37" w:line="187" w:lineRule="auto"/>
              <w:rPr>
                <w:sz w:val="21"/>
                <w:szCs w:val="21"/>
              </w:rPr>
            </w:pPr>
            <w:r>
              <w:rPr>
                <w:sz w:val="21"/>
                <w:szCs w:val="21"/>
                <w:spacing w:val="10"/>
              </w:rPr>
              <w:t>机油</w:t>
            </w:r>
          </w:p>
        </w:tc>
        <w:tc>
          <w:tcPr>
            <w:tcW w:w="1129" w:type="dxa"/>
            <w:vAlign w:val="top"/>
          </w:tcPr>
          <w:p>
            <w:pPr>
              <w:pStyle w:val="TableText"/>
              <w:ind w:left="183"/>
              <w:spacing w:before="42" w:line="182" w:lineRule="auto"/>
              <w:rPr>
                <w:sz w:val="21"/>
                <w:szCs w:val="21"/>
              </w:rPr>
            </w:pPr>
            <w:r>
              <w:rPr>
                <w:sz w:val="21"/>
                <w:szCs w:val="21"/>
                <w:spacing w:val="-2"/>
              </w:rPr>
              <w:t>0.05t/a</w:t>
            </w:r>
          </w:p>
        </w:tc>
        <w:tc>
          <w:tcPr>
            <w:tcW w:w="1079" w:type="dxa"/>
            <w:vAlign w:val="top"/>
          </w:tcPr>
          <w:p>
            <w:pPr>
              <w:pStyle w:val="TableText"/>
              <w:ind w:left="213"/>
              <w:spacing w:before="42" w:line="182" w:lineRule="auto"/>
              <w:rPr>
                <w:sz w:val="21"/>
                <w:szCs w:val="21"/>
              </w:rPr>
            </w:pPr>
            <w:r>
              <w:rPr>
                <w:sz w:val="21"/>
                <w:szCs w:val="21"/>
                <w:spacing w:val="-2"/>
              </w:rPr>
              <w:t>0.2t/a</w:t>
            </w:r>
          </w:p>
        </w:tc>
        <w:tc>
          <w:tcPr>
            <w:tcW w:w="1318" w:type="dxa"/>
            <w:vAlign w:val="top"/>
          </w:tcPr>
          <w:p>
            <w:pPr>
              <w:pStyle w:val="TableText"/>
              <w:ind w:left="234"/>
              <w:spacing w:before="42" w:line="182" w:lineRule="auto"/>
              <w:rPr>
                <w:sz w:val="21"/>
                <w:szCs w:val="21"/>
              </w:rPr>
            </w:pPr>
            <w:r>
              <w:rPr>
                <w:sz w:val="21"/>
                <w:szCs w:val="21"/>
                <w:spacing w:val="-1"/>
              </w:rPr>
              <w:t>+0.15t/a</w:t>
            </w:r>
          </w:p>
        </w:tc>
        <w:tc>
          <w:tcPr>
            <w:tcW w:w="2157" w:type="dxa"/>
            <w:vAlign w:val="top"/>
          </w:tcPr>
          <w:p>
            <w:pPr>
              <w:pStyle w:val="TableText"/>
              <w:ind w:left="126"/>
              <w:spacing w:before="37" w:line="187" w:lineRule="auto"/>
              <w:rPr>
                <w:sz w:val="21"/>
                <w:szCs w:val="21"/>
              </w:rPr>
            </w:pPr>
            <w:r>
              <w:rPr>
                <w:sz w:val="21"/>
                <w:szCs w:val="21"/>
                <w:spacing w:val="1"/>
              </w:rPr>
              <w:t>外购，设备保养维护</w:t>
            </w:r>
          </w:p>
        </w:tc>
        <w:tc>
          <w:tcPr>
            <w:tcW w:w="1084" w:type="dxa"/>
            <w:vAlign w:val="top"/>
            <w:vMerge w:val="continue"/>
            <w:tcBorders>
              <w:top w:val="nil"/>
              <w:bottom w:val="nil"/>
            </w:tcBorders>
          </w:tcPr>
          <w:p>
            <w:pPr>
              <w:rPr>
                <w:rFonts w:ascii="Arial"/>
                <w:sz w:val="21"/>
              </w:rPr>
            </w:pPr>
            <w:r/>
          </w:p>
        </w:tc>
      </w:tr>
      <w:tr>
        <w:trPr>
          <w:trHeight w:val="270" w:hRule="atLeast"/>
        </w:trPr>
        <w:tc>
          <w:tcPr>
            <w:tcW w:w="444" w:type="dxa"/>
            <w:vAlign w:val="top"/>
          </w:tcPr>
          <w:p>
            <w:pPr>
              <w:pStyle w:val="TableText"/>
              <w:ind w:left="104"/>
              <w:spacing w:before="58" w:line="177" w:lineRule="auto"/>
              <w:rPr>
                <w:sz w:val="21"/>
                <w:szCs w:val="21"/>
              </w:rPr>
            </w:pPr>
            <w:r>
              <w:rPr>
                <w:sz w:val="21"/>
                <w:szCs w:val="21"/>
                <w:spacing w:val="-6"/>
              </w:rPr>
              <w:t>12</w:t>
            </w:r>
          </w:p>
        </w:tc>
        <w:tc>
          <w:tcPr>
            <w:tcW w:w="1278" w:type="dxa"/>
            <w:vAlign w:val="top"/>
          </w:tcPr>
          <w:p>
            <w:pPr>
              <w:pStyle w:val="TableText"/>
              <w:ind w:left="210"/>
              <w:spacing w:before="37" w:line="196" w:lineRule="auto"/>
              <w:rPr>
                <w:sz w:val="21"/>
                <w:szCs w:val="21"/>
              </w:rPr>
            </w:pPr>
            <w:r>
              <w:rPr>
                <w:sz w:val="21"/>
                <w:szCs w:val="21"/>
                <w:spacing w:val="-2"/>
              </w:rPr>
              <w:t>棉纱手套</w:t>
            </w:r>
          </w:p>
        </w:tc>
        <w:tc>
          <w:tcPr>
            <w:tcW w:w="1129" w:type="dxa"/>
            <w:vAlign w:val="top"/>
          </w:tcPr>
          <w:p>
            <w:pPr>
              <w:pStyle w:val="TableText"/>
              <w:ind w:left="183"/>
              <w:spacing w:before="42" w:line="191" w:lineRule="auto"/>
              <w:rPr>
                <w:sz w:val="21"/>
                <w:szCs w:val="21"/>
              </w:rPr>
            </w:pPr>
            <w:r>
              <w:rPr>
                <w:sz w:val="21"/>
                <w:szCs w:val="21"/>
                <w:spacing w:val="-2"/>
              </w:rPr>
              <w:t>0.02t/a</w:t>
            </w:r>
          </w:p>
        </w:tc>
        <w:tc>
          <w:tcPr>
            <w:tcW w:w="1079" w:type="dxa"/>
            <w:vAlign w:val="top"/>
          </w:tcPr>
          <w:p>
            <w:pPr>
              <w:pStyle w:val="TableText"/>
              <w:ind w:left="213"/>
              <w:spacing w:before="42" w:line="191" w:lineRule="auto"/>
              <w:rPr>
                <w:sz w:val="21"/>
                <w:szCs w:val="21"/>
              </w:rPr>
            </w:pPr>
            <w:r>
              <w:rPr>
                <w:sz w:val="21"/>
                <w:szCs w:val="21"/>
                <w:spacing w:val="-1"/>
              </w:rPr>
              <w:t>0.1t/a</w:t>
            </w:r>
          </w:p>
        </w:tc>
        <w:tc>
          <w:tcPr>
            <w:tcW w:w="1318" w:type="dxa"/>
            <w:vAlign w:val="top"/>
          </w:tcPr>
          <w:p>
            <w:pPr>
              <w:pStyle w:val="TableText"/>
              <w:ind w:left="234"/>
              <w:spacing w:before="42" w:line="191" w:lineRule="auto"/>
              <w:rPr>
                <w:sz w:val="21"/>
                <w:szCs w:val="21"/>
              </w:rPr>
            </w:pPr>
            <w:r>
              <w:rPr>
                <w:sz w:val="21"/>
                <w:szCs w:val="21"/>
                <w:spacing w:val="-1"/>
              </w:rPr>
              <w:t>+0.08t/a</w:t>
            </w:r>
          </w:p>
        </w:tc>
        <w:tc>
          <w:tcPr>
            <w:tcW w:w="2157" w:type="dxa"/>
            <w:vAlign w:val="top"/>
          </w:tcPr>
          <w:p>
            <w:pPr>
              <w:pStyle w:val="TableText"/>
              <w:ind w:left="126"/>
              <w:spacing w:before="37" w:line="196" w:lineRule="auto"/>
              <w:rPr>
                <w:sz w:val="21"/>
                <w:szCs w:val="21"/>
              </w:rPr>
            </w:pPr>
            <w:r>
              <w:rPr>
                <w:sz w:val="21"/>
                <w:szCs w:val="21"/>
                <w:spacing w:val="1"/>
              </w:rPr>
              <w:t>外购，设备保养维护</w:t>
            </w:r>
          </w:p>
        </w:tc>
        <w:tc>
          <w:tcPr>
            <w:tcW w:w="1084" w:type="dxa"/>
            <w:vAlign w:val="top"/>
            <w:vMerge w:val="continue"/>
            <w:tcBorders>
              <w:top w:val="nil"/>
            </w:tcBorders>
          </w:tcPr>
          <w:p>
            <w:pPr>
              <w:rPr>
                <w:rFonts w:ascii="Arial"/>
                <w:sz w:val="21"/>
              </w:rPr>
            </w:pPr>
            <w:r/>
          </w:p>
        </w:tc>
      </w:tr>
      <w:tr>
        <w:trPr>
          <w:trHeight w:val="280" w:hRule="atLeast"/>
        </w:trPr>
        <w:tc>
          <w:tcPr>
            <w:tcW w:w="444" w:type="dxa"/>
            <w:vAlign w:val="top"/>
          </w:tcPr>
          <w:p>
            <w:pPr>
              <w:pStyle w:val="TableText"/>
              <w:ind w:left="104"/>
              <w:spacing w:before="68" w:line="177" w:lineRule="auto"/>
              <w:rPr>
                <w:sz w:val="21"/>
                <w:szCs w:val="21"/>
              </w:rPr>
            </w:pPr>
            <w:r>
              <w:rPr>
                <w:sz w:val="21"/>
                <w:szCs w:val="21"/>
                <w:spacing w:val="-6"/>
              </w:rPr>
              <w:t>13</w:t>
            </w:r>
          </w:p>
        </w:tc>
        <w:tc>
          <w:tcPr>
            <w:tcW w:w="1278" w:type="dxa"/>
            <w:vAlign w:val="top"/>
          </w:tcPr>
          <w:p>
            <w:pPr>
              <w:pStyle w:val="TableText"/>
              <w:ind w:left="310"/>
              <w:spacing w:before="48" w:line="195" w:lineRule="auto"/>
              <w:rPr>
                <w:sz w:val="21"/>
                <w:szCs w:val="21"/>
              </w:rPr>
            </w:pPr>
            <w:r>
              <w:rPr>
                <w:sz w:val="21"/>
                <w:szCs w:val="21"/>
                <w:color w:val="505050"/>
                <w:spacing w:val="-3"/>
              </w:rPr>
              <w:t>脱毛蜡</w:t>
            </w:r>
          </w:p>
        </w:tc>
        <w:tc>
          <w:tcPr>
            <w:tcW w:w="1129" w:type="dxa"/>
            <w:vAlign w:val="top"/>
          </w:tcPr>
          <w:p>
            <w:pPr>
              <w:pStyle w:val="TableText"/>
              <w:ind w:left="503"/>
              <w:spacing w:before="53" w:line="190" w:lineRule="auto"/>
              <w:rPr>
                <w:sz w:val="21"/>
                <w:szCs w:val="21"/>
              </w:rPr>
            </w:pPr>
            <w:r>
              <w:rPr>
                <w:sz w:val="21"/>
                <w:szCs w:val="21"/>
              </w:rPr>
              <w:t>/</w:t>
            </w:r>
          </w:p>
        </w:tc>
        <w:tc>
          <w:tcPr>
            <w:tcW w:w="1079" w:type="dxa"/>
            <w:vAlign w:val="top"/>
          </w:tcPr>
          <w:p>
            <w:pPr>
              <w:pStyle w:val="TableText"/>
              <w:ind w:left="213"/>
              <w:spacing w:before="53" w:line="190" w:lineRule="auto"/>
              <w:rPr>
                <w:sz w:val="21"/>
                <w:szCs w:val="21"/>
              </w:rPr>
            </w:pPr>
            <w:r>
              <w:rPr>
                <w:sz w:val="21"/>
                <w:szCs w:val="21"/>
                <w:spacing w:val="-2"/>
              </w:rPr>
              <w:t>0.5t/a</w:t>
            </w:r>
          </w:p>
        </w:tc>
        <w:tc>
          <w:tcPr>
            <w:tcW w:w="1318" w:type="dxa"/>
            <w:vAlign w:val="top"/>
          </w:tcPr>
          <w:p>
            <w:pPr>
              <w:pStyle w:val="TableText"/>
              <w:ind w:left="284"/>
              <w:spacing w:before="53" w:line="190" w:lineRule="auto"/>
              <w:rPr>
                <w:sz w:val="21"/>
                <w:szCs w:val="21"/>
              </w:rPr>
            </w:pPr>
            <w:r>
              <w:rPr>
                <w:sz w:val="21"/>
                <w:szCs w:val="21"/>
                <w:spacing w:val="-1"/>
              </w:rPr>
              <w:t>+0.5t/a</w:t>
            </w:r>
          </w:p>
        </w:tc>
        <w:tc>
          <w:tcPr>
            <w:tcW w:w="2157" w:type="dxa"/>
            <w:vAlign w:val="top"/>
          </w:tcPr>
          <w:p>
            <w:pPr>
              <w:pStyle w:val="TableText"/>
              <w:ind w:left="336"/>
              <w:spacing w:before="48" w:line="195" w:lineRule="auto"/>
              <w:rPr>
                <w:sz w:val="21"/>
                <w:szCs w:val="21"/>
              </w:rPr>
            </w:pPr>
            <w:r>
              <w:rPr>
                <w:sz w:val="21"/>
                <w:szCs w:val="21"/>
                <w:spacing w:val="1"/>
              </w:rPr>
              <w:t>外购，生猪脱毛</w:t>
            </w:r>
          </w:p>
        </w:tc>
        <w:tc>
          <w:tcPr>
            <w:tcW w:w="1084" w:type="dxa"/>
            <w:vAlign w:val="top"/>
          </w:tcPr>
          <w:p>
            <w:pPr>
              <w:pStyle w:val="TableText"/>
              <w:ind w:left="480"/>
              <w:spacing w:before="53" w:line="190" w:lineRule="auto"/>
              <w:rPr>
                <w:sz w:val="21"/>
                <w:szCs w:val="21"/>
              </w:rPr>
            </w:pPr>
            <w:r>
              <w:rPr>
                <w:sz w:val="21"/>
                <w:szCs w:val="21"/>
              </w:rPr>
              <w:t>/</w:t>
            </w:r>
          </w:p>
        </w:tc>
      </w:tr>
      <w:tr>
        <w:trPr>
          <w:trHeight w:val="259" w:hRule="atLeast"/>
        </w:trPr>
        <w:tc>
          <w:tcPr>
            <w:tcW w:w="444" w:type="dxa"/>
            <w:vAlign w:val="top"/>
          </w:tcPr>
          <w:p>
            <w:pPr>
              <w:pStyle w:val="TableText"/>
              <w:ind w:left="104"/>
              <w:spacing w:before="59" w:line="167" w:lineRule="auto"/>
              <w:rPr>
                <w:sz w:val="21"/>
                <w:szCs w:val="21"/>
              </w:rPr>
            </w:pPr>
            <w:r>
              <w:rPr>
                <w:sz w:val="21"/>
                <w:szCs w:val="21"/>
                <w:spacing w:val="-6"/>
              </w:rPr>
              <w:t>14</w:t>
            </w:r>
          </w:p>
        </w:tc>
        <w:tc>
          <w:tcPr>
            <w:tcW w:w="1278" w:type="dxa"/>
            <w:vAlign w:val="top"/>
          </w:tcPr>
          <w:p>
            <w:pPr>
              <w:pStyle w:val="TableText"/>
              <w:ind w:left="520"/>
              <w:spacing w:before="37" w:line="186" w:lineRule="auto"/>
              <w:rPr>
                <w:sz w:val="21"/>
                <w:szCs w:val="21"/>
              </w:rPr>
            </w:pPr>
            <w:r>
              <w:rPr>
                <w:sz w:val="21"/>
                <w:szCs w:val="21"/>
              </w:rPr>
              <w:t>水</w:t>
            </w:r>
          </w:p>
        </w:tc>
        <w:tc>
          <w:tcPr>
            <w:tcW w:w="1129" w:type="dxa"/>
            <w:vAlign w:val="top"/>
          </w:tcPr>
          <w:p>
            <w:pPr>
              <w:pStyle w:val="TableText"/>
              <w:ind w:left="82"/>
              <w:spacing w:before="38" w:line="185" w:lineRule="auto"/>
              <w:rPr>
                <w:sz w:val="21"/>
                <w:szCs w:val="21"/>
              </w:rPr>
            </w:pPr>
            <w:r>
              <w:rPr>
                <w:sz w:val="21"/>
                <w:szCs w:val="21"/>
                <w:spacing w:val="21"/>
              </w:rPr>
              <w:t>4.68万m³</w:t>
            </w:r>
          </w:p>
        </w:tc>
        <w:tc>
          <w:tcPr>
            <w:tcW w:w="1079" w:type="dxa"/>
            <w:vAlign w:val="top"/>
          </w:tcPr>
          <w:p>
            <w:pPr>
              <w:pStyle w:val="TableText"/>
              <w:ind w:left="53"/>
              <w:spacing w:before="38" w:line="185" w:lineRule="auto"/>
              <w:rPr>
                <w:sz w:val="21"/>
                <w:szCs w:val="21"/>
              </w:rPr>
            </w:pPr>
            <w:r>
              <w:rPr>
                <w:sz w:val="21"/>
                <w:szCs w:val="21"/>
                <w:spacing w:val="16"/>
              </w:rPr>
              <w:t>37</w:t>
            </w:r>
            <w:r>
              <w:rPr>
                <w:sz w:val="21"/>
                <w:szCs w:val="21"/>
                <w:spacing w:val="-57"/>
              </w:rPr>
              <w:t xml:space="preserve"> </w:t>
            </w:r>
            <w:r>
              <w:rPr>
                <w:sz w:val="21"/>
                <w:szCs w:val="21"/>
                <w:spacing w:val="16"/>
              </w:rPr>
              <w:t>.5万m³</w:t>
            </w:r>
          </w:p>
        </w:tc>
        <w:tc>
          <w:tcPr>
            <w:tcW w:w="1318" w:type="dxa"/>
            <w:vAlign w:val="top"/>
          </w:tcPr>
          <w:p>
            <w:pPr>
              <w:pStyle w:val="TableText"/>
              <w:ind w:left="74"/>
              <w:spacing w:before="38" w:line="185" w:lineRule="auto"/>
              <w:rPr>
                <w:sz w:val="21"/>
                <w:szCs w:val="21"/>
              </w:rPr>
            </w:pPr>
            <w:r>
              <w:rPr>
                <w:sz w:val="21"/>
                <w:szCs w:val="21"/>
                <w:spacing w:val="16"/>
              </w:rPr>
              <w:t>+32.82万m³</w:t>
            </w:r>
          </w:p>
        </w:tc>
        <w:tc>
          <w:tcPr>
            <w:tcW w:w="2157" w:type="dxa"/>
            <w:vAlign w:val="top"/>
          </w:tcPr>
          <w:p>
            <w:pPr>
              <w:pStyle w:val="TableText"/>
              <w:ind w:left="656"/>
              <w:spacing w:before="36" w:line="187" w:lineRule="auto"/>
              <w:rPr>
                <w:sz w:val="21"/>
                <w:szCs w:val="21"/>
              </w:rPr>
            </w:pPr>
            <w:r>
              <w:rPr>
                <w:sz w:val="21"/>
                <w:szCs w:val="21"/>
                <w:spacing w:val="2"/>
              </w:rPr>
              <w:t>市政供水</w:t>
            </w:r>
          </w:p>
        </w:tc>
        <w:tc>
          <w:tcPr>
            <w:tcW w:w="1084" w:type="dxa"/>
            <w:vAlign w:val="top"/>
          </w:tcPr>
          <w:p>
            <w:pPr>
              <w:pStyle w:val="TableText"/>
              <w:ind w:left="9"/>
              <w:spacing w:before="37" w:line="186" w:lineRule="auto"/>
              <w:rPr>
                <w:sz w:val="21"/>
                <w:szCs w:val="21"/>
              </w:rPr>
            </w:pPr>
            <w:r>
              <w:rPr>
                <w:sz w:val="21"/>
                <w:szCs w:val="21"/>
                <w:spacing w:val="-2"/>
              </w:rPr>
              <w:t>最大用水量</w:t>
            </w:r>
          </w:p>
        </w:tc>
      </w:tr>
      <w:tr>
        <w:trPr>
          <w:trHeight w:val="290" w:hRule="atLeast"/>
        </w:trPr>
        <w:tc>
          <w:tcPr>
            <w:tcW w:w="444" w:type="dxa"/>
            <w:vAlign w:val="top"/>
          </w:tcPr>
          <w:p>
            <w:pPr>
              <w:pStyle w:val="TableText"/>
              <w:ind w:left="104"/>
              <w:spacing w:before="69" w:line="185" w:lineRule="auto"/>
              <w:rPr>
                <w:sz w:val="21"/>
                <w:szCs w:val="21"/>
              </w:rPr>
            </w:pPr>
            <w:r>
              <w:rPr>
                <w:sz w:val="21"/>
                <w:szCs w:val="21"/>
                <w:spacing w:val="-6"/>
              </w:rPr>
              <w:t>15</w:t>
            </w:r>
          </w:p>
        </w:tc>
        <w:tc>
          <w:tcPr>
            <w:tcW w:w="1278" w:type="dxa"/>
            <w:vAlign w:val="top"/>
          </w:tcPr>
          <w:p>
            <w:pPr>
              <w:pStyle w:val="TableText"/>
              <w:ind w:left="520"/>
              <w:spacing w:before="54" w:line="198" w:lineRule="auto"/>
              <w:rPr>
                <w:sz w:val="21"/>
                <w:szCs w:val="21"/>
              </w:rPr>
            </w:pPr>
            <w:r>
              <w:rPr>
                <w:sz w:val="21"/>
                <w:szCs w:val="21"/>
              </w:rPr>
              <w:t>电</w:t>
            </w:r>
          </w:p>
        </w:tc>
        <w:tc>
          <w:tcPr>
            <w:tcW w:w="1129" w:type="dxa"/>
            <w:vAlign w:val="top"/>
          </w:tcPr>
          <w:p>
            <w:pPr>
              <w:pStyle w:val="TableText"/>
              <w:ind w:left="32"/>
              <w:spacing w:before="49" w:line="203" w:lineRule="auto"/>
              <w:rPr>
                <w:sz w:val="21"/>
                <w:szCs w:val="21"/>
              </w:rPr>
            </w:pPr>
            <w:r>
              <w:rPr>
                <w:sz w:val="21"/>
                <w:szCs w:val="21"/>
                <w:spacing w:val="-2"/>
              </w:rPr>
              <w:t>.2万kW.h/a</w:t>
            </w:r>
          </w:p>
        </w:tc>
        <w:tc>
          <w:tcPr>
            <w:tcW w:w="1079" w:type="dxa"/>
            <w:vAlign w:val="top"/>
          </w:tcPr>
          <w:p>
            <w:pPr>
              <w:pStyle w:val="TableText"/>
              <w:ind w:left="3"/>
              <w:spacing w:before="49" w:line="203" w:lineRule="auto"/>
              <w:rPr>
                <w:sz w:val="21"/>
                <w:szCs w:val="21"/>
              </w:rPr>
            </w:pPr>
            <w:r>
              <w:rPr>
                <w:sz w:val="21"/>
                <w:szCs w:val="21"/>
                <w:spacing w:val="-2"/>
              </w:rPr>
              <w:t>35万kW.h/a</w:t>
            </w:r>
          </w:p>
        </w:tc>
        <w:tc>
          <w:tcPr>
            <w:tcW w:w="1318" w:type="dxa"/>
            <w:vAlign w:val="top"/>
          </w:tcPr>
          <w:p>
            <w:pPr>
              <w:pStyle w:val="TableText"/>
              <w:ind w:left="24"/>
              <w:spacing w:before="49" w:line="203" w:lineRule="auto"/>
              <w:rPr>
                <w:sz w:val="21"/>
                <w:szCs w:val="21"/>
              </w:rPr>
            </w:pPr>
            <w:r>
              <w:rPr>
                <w:sz w:val="21"/>
                <w:szCs w:val="21"/>
                <w:spacing w:val="-1"/>
              </w:rPr>
              <w:t>+338万kW.h/a</w:t>
            </w:r>
          </w:p>
        </w:tc>
        <w:tc>
          <w:tcPr>
            <w:tcW w:w="2157" w:type="dxa"/>
            <w:vAlign w:val="top"/>
          </w:tcPr>
          <w:p>
            <w:pPr>
              <w:pStyle w:val="TableText"/>
              <w:ind w:left="656"/>
              <w:spacing w:before="47" w:line="204" w:lineRule="auto"/>
              <w:rPr>
                <w:sz w:val="21"/>
                <w:szCs w:val="21"/>
              </w:rPr>
            </w:pPr>
            <w:r>
              <w:rPr>
                <w:sz w:val="21"/>
                <w:szCs w:val="21"/>
                <w:spacing w:val="3"/>
              </w:rPr>
              <w:t>市政供电</w:t>
            </w:r>
          </w:p>
        </w:tc>
        <w:tc>
          <w:tcPr>
            <w:tcW w:w="1084" w:type="dxa"/>
            <w:vAlign w:val="top"/>
          </w:tcPr>
          <w:p>
            <w:pPr>
              <w:pStyle w:val="TableText"/>
              <w:ind w:left="480"/>
              <w:spacing w:before="54" w:line="198" w:lineRule="auto"/>
              <w:rPr>
                <w:sz w:val="21"/>
                <w:szCs w:val="21"/>
              </w:rPr>
            </w:pPr>
            <w:r>
              <w:rPr>
                <w:sz w:val="21"/>
                <w:szCs w:val="21"/>
              </w:rPr>
              <w:t>/</w:t>
            </w:r>
          </w:p>
        </w:tc>
      </w:tr>
      <w:tr>
        <w:trPr>
          <w:trHeight w:val="259" w:hRule="atLeast"/>
        </w:trPr>
        <w:tc>
          <w:tcPr>
            <w:tcW w:w="444" w:type="dxa"/>
            <w:vAlign w:val="top"/>
          </w:tcPr>
          <w:p>
            <w:pPr>
              <w:pStyle w:val="TableText"/>
              <w:ind w:left="104"/>
              <w:spacing w:before="59" w:line="167" w:lineRule="auto"/>
              <w:rPr>
                <w:sz w:val="21"/>
                <w:szCs w:val="21"/>
              </w:rPr>
            </w:pPr>
            <w:r>
              <w:rPr>
                <w:sz w:val="21"/>
                <w:szCs w:val="21"/>
                <w:spacing w:val="-6"/>
              </w:rPr>
              <w:t>16</w:t>
            </w:r>
          </w:p>
        </w:tc>
        <w:tc>
          <w:tcPr>
            <w:tcW w:w="1278" w:type="dxa"/>
            <w:vAlign w:val="top"/>
          </w:tcPr>
          <w:p>
            <w:pPr>
              <w:pStyle w:val="TableText"/>
              <w:ind w:left="310"/>
              <w:spacing w:before="39" w:line="184" w:lineRule="auto"/>
              <w:rPr>
                <w:sz w:val="21"/>
                <w:szCs w:val="21"/>
              </w:rPr>
            </w:pPr>
            <w:r>
              <w:rPr>
                <w:sz w:val="21"/>
                <w:szCs w:val="21"/>
                <w:spacing w:val="4"/>
              </w:rPr>
              <w:t>天然气</w:t>
            </w:r>
          </w:p>
        </w:tc>
        <w:tc>
          <w:tcPr>
            <w:tcW w:w="1129" w:type="dxa"/>
            <w:vAlign w:val="top"/>
          </w:tcPr>
          <w:p>
            <w:pPr>
              <w:pStyle w:val="TableText"/>
              <w:ind w:left="242"/>
              <w:spacing w:before="39" w:line="184" w:lineRule="auto"/>
              <w:rPr>
                <w:sz w:val="21"/>
                <w:szCs w:val="21"/>
              </w:rPr>
            </w:pPr>
            <w:r>
              <w:rPr>
                <w:sz w:val="21"/>
                <w:szCs w:val="21"/>
                <w:spacing w:val="-7"/>
              </w:rPr>
              <w:t>8</w:t>
            </w:r>
            <w:r>
              <w:rPr>
                <w:sz w:val="21"/>
                <w:szCs w:val="21"/>
                <w:spacing w:val="-35"/>
              </w:rPr>
              <w:t xml:space="preserve"> </w:t>
            </w:r>
            <w:r>
              <w:rPr>
                <w:sz w:val="21"/>
                <w:szCs w:val="21"/>
                <w:spacing w:val="-7"/>
              </w:rPr>
              <w:t>万</w:t>
            </w:r>
            <w:r>
              <w:rPr>
                <w:sz w:val="21"/>
                <w:szCs w:val="21"/>
                <w:spacing w:val="-47"/>
              </w:rPr>
              <w:t xml:space="preserve"> </w:t>
            </w:r>
            <w:r>
              <w:rPr>
                <w:sz w:val="21"/>
                <w:szCs w:val="21"/>
                <w:spacing w:val="-7"/>
              </w:rPr>
              <w:t>m</w:t>
            </w:r>
            <w:r>
              <w:rPr>
                <w:sz w:val="21"/>
                <w:szCs w:val="21"/>
                <w:spacing w:val="-45"/>
              </w:rPr>
              <w:t xml:space="preserve"> </w:t>
            </w:r>
            <w:r>
              <w:rPr>
                <w:sz w:val="21"/>
                <w:szCs w:val="21"/>
                <w:spacing w:val="-7"/>
              </w:rPr>
              <w:t>³</w:t>
            </w:r>
          </w:p>
        </w:tc>
        <w:tc>
          <w:tcPr>
            <w:tcW w:w="1079" w:type="dxa"/>
            <w:vAlign w:val="top"/>
          </w:tcPr>
          <w:p>
            <w:pPr>
              <w:pStyle w:val="TableText"/>
              <w:spacing w:before="39" w:line="184" w:lineRule="auto"/>
              <w:jc w:val="right"/>
              <w:rPr>
                <w:sz w:val="21"/>
                <w:szCs w:val="21"/>
              </w:rPr>
            </w:pPr>
            <w:r>
              <w:rPr>
                <w:sz w:val="21"/>
                <w:szCs w:val="21"/>
                <w:spacing w:val="9"/>
              </w:rPr>
              <w:t>20.</w:t>
            </w:r>
            <w:r>
              <w:rPr>
                <w:sz w:val="21"/>
                <w:szCs w:val="21"/>
                <w:spacing w:val="-58"/>
              </w:rPr>
              <w:t xml:space="preserve"> </w:t>
            </w:r>
            <w:r>
              <w:rPr>
                <w:sz w:val="21"/>
                <w:szCs w:val="21"/>
                <w:spacing w:val="9"/>
              </w:rPr>
              <w:t>16万m³</w:t>
            </w:r>
          </w:p>
        </w:tc>
        <w:tc>
          <w:tcPr>
            <w:tcW w:w="1318" w:type="dxa"/>
            <w:vAlign w:val="top"/>
          </w:tcPr>
          <w:p>
            <w:pPr>
              <w:pStyle w:val="TableText"/>
              <w:ind w:left="74"/>
              <w:spacing w:before="39" w:line="184" w:lineRule="auto"/>
              <w:rPr>
                <w:sz w:val="21"/>
                <w:szCs w:val="21"/>
              </w:rPr>
            </w:pPr>
            <w:r>
              <w:rPr>
                <w:sz w:val="21"/>
                <w:szCs w:val="21"/>
                <w:spacing w:val="11"/>
              </w:rPr>
              <w:t>+12.</w:t>
            </w:r>
            <w:r>
              <w:rPr>
                <w:sz w:val="21"/>
                <w:szCs w:val="21"/>
                <w:spacing w:val="-54"/>
              </w:rPr>
              <w:t xml:space="preserve"> </w:t>
            </w:r>
            <w:r>
              <w:rPr>
                <w:sz w:val="21"/>
                <w:szCs w:val="21"/>
                <w:spacing w:val="11"/>
              </w:rPr>
              <w:t>16万m³</w:t>
            </w:r>
          </w:p>
        </w:tc>
        <w:tc>
          <w:tcPr>
            <w:tcW w:w="2157" w:type="dxa"/>
            <w:vAlign w:val="top"/>
          </w:tcPr>
          <w:p>
            <w:pPr>
              <w:pStyle w:val="TableText"/>
              <w:ind w:left="656"/>
              <w:spacing w:before="38" w:line="185" w:lineRule="auto"/>
              <w:rPr>
                <w:sz w:val="21"/>
                <w:szCs w:val="21"/>
              </w:rPr>
            </w:pPr>
            <w:r>
              <w:rPr>
                <w:sz w:val="21"/>
                <w:szCs w:val="21"/>
                <w:spacing w:val="3"/>
              </w:rPr>
              <w:t>市政燃气</w:t>
            </w:r>
          </w:p>
        </w:tc>
        <w:tc>
          <w:tcPr>
            <w:tcW w:w="1084" w:type="dxa"/>
            <w:vAlign w:val="top"/>
          </w:tcPr>
          <w:p>
            <w:pPr>
              <w:pStyle w:val="TableText"/>
              <w:ind w:left="480"/>
              <w:spacing w:before="44" w:line="180" w:lineRule="auto"/>
              <w:rPr>
                <w:sz w:val="21"/>
                <w:szCs w:val="21"/>
              </w:rPr>
            </w:pPr>
            <w:r>
              <w:rPr>
                <w:sz w:val="21"/>
                <w:szCs w:val="21"/>
              </w:rPr>
              <w:t>/</w:t>
            </w:r>
          </w:p>
        </w:tc>
      </w:tr>
      <w:tr>
        <w:trPr>
          <w:trHeight w:val="285" w:hRule="atLeast"/>
        </w:trPr>
        <w:tc>
          <w:tcPr>
            <w:tcW w:w="444" w:type="dxa"/>
            <w:vAlign w:val="top"/>
          </w:tcPr>
          <w:p>
            <w:pPr>
              <w:pStyle w:val="TableText"/>
              <w:ind w:left="104"/>
              <w:spacing w:before="70" w:line="180" w:lineRule="auto"/>
              <w:rPr>
                <w:sz w:val="21"/>
                <w:szCs w:val="21"/>
              </w:rPr>
            </w:pPr>
            <w:r>
              <w:rPr>
                <w:sz w:val="21"/>
                <w:szCs w:val="21"/>
                <w:spacing w:val="-6"/>
              </w:rPr>
              <w:t>17</w:t>
            </w:r>
          </w:p>
        </w:tc>
        <w:tc>
          <w:tcPr>
            <w:tcW w:w="1278" w:type="dxa"/>
            <w:vAlign w:val="top"/>
          </w:tcPr>
          <w:p>
            <w:pPr>
              <w:pStyle w:val="TableText"/>
              <w:ind w:left="421"/>
              <w:spacing w:before="50" w:line="197" w:lineRule="auto"/>
              <w:rPr>
                <w:sz w:val="21"/>
                <w:szCs w:val="21"/>
              </w:rPr>
            </w:pPr>
            <w:r>
              <w:rPr>
                <w:sz w:val="21"/>
                <w:szCs w:val="21"/>
                <w:spacing w:val="6"/>
              </w:rPr>
              <w:t>沼气</w:t>
            </w:r>
          </w:p>
        </w:tc>
        <w:tc>
          <w:tcPr>
            <w:tcW w:w="1129" w:type="dxa"/>
            <w:vAlign w:val="top"/>
          </w:tcPr>
          <w:p>
            <w:pPr>
              <w:pStyle w:val="TableText"/>
              <w:ind w:left="503"/>
              <w:spacing w:before="55" w:line="193" w:lineRule="auto"/>
              <w:rPr>
                <w:sz w:val="21"/>
                <w:szCs w:val="21"/>
              </w:rPr>
            </w:pPr>
            <w:r>
              <w:rPr>
                <w:sz w:val="21"/>
                <w:szCs w:val="21"/>
              </w:rPr>
              <w:t>/</w:t>
            </w:r>
          </w:p>
        </w:tc>
        <w:tc>
          <w:tcPr>
            <w:tcW w:w="1079" w:type="dxa"/>
            <w:vAlign w:val="top"/>
          </w:tcPr>
          <w:p>
            <w:pPr>
              <w:pStyle w:val="TableText"/>
              <w:ind w:left="113"/>
              <w:spacing w:before="49" w:line="198" w:lineRule="auto"/>
              <w:rPr>
                <w:sz w:val="21"/>
                <w:szCs w:val="21"/>
              </w:rPr>
            </w:pPr>
            <w:r>
              <w:rPr>
                <w:sz w:val="21"/>
                <w:szCs w:val="21"/>
                <w:spacing w:val="8"/>
              </w:rPr>
              <w:t>7</w:t>
            </w:r>
            <w:r>
              <w:rPr>
                <w:sz w:val="21"/>
                <w:szCs w:val="21"/>
                <w:spacing w:val="-56"/>
              </w:rPr>
              <w:t xml:space="preserve"> </w:t>
            </w:r>
            <w:r>
              <w:rPr>
                <w:sz w:val="21"/>
                <w:szCs w:val="21"/>
                <w:spacing w:val="8"/>
              </w:rPr>
              <w:t>.</w:t>
            </w:r>
            <w:r>
              <w:rPr>
                <w:sz w:val="21"/>
                <w:szCs w:val="21"/>
                <w:spacing w:val="-47"/>
              </w:rPr>
              <w:t xml:space="preserve"> </w:t>
            </w:r>
            <w:r>
              <w:rPr>
                <w:sz w:val="21"/>
                <w:szCs w:val="21"/>
                <w:spacing w:val="8"/>
              </w:rPr>
              <w:t>1万m³</w:t>
            </w:r>
          </w:p>
        </w:tc>
        <w:tc>
          <w:tcPr>
            <w:tcW w:w="1318" w:type="dxa"/>
            <w:vAlign w:val="top"/>
          </w:tcPr>
          <w:p>
            <w:pPr>
              <w:pStyle w:val="TableText"/>
              <w:ind w:left="175"/>
              <w:spacing w:before="49" w:line="198" w:lineRule="auto"/>
              <w:rPr>
                <w:sz w:val="21"/>
                <w:szCs w:val="21"/>
              </w:rPr>
            </w:pPr>
            <w:r>
              <w:rPr>
                <w:sz w:val="21"/>
                <w:szCs w:val="21"/>
                <w:spacing w:val="9"/>
              </w:rPr>
              <w:t>+7</w:t>
            </w:r>
            <w:r>
              <w:rPr>
                <w:sz w:val="21"/>
                <w:szCs w:val="21"/>
                <w:spacing w:val="-60"/>
              </w:rPr>
              <w:t xml:space="preserve"> </w:t>
            </w:r>
            <w:r>
              <w:rPr>
                <w:sz w:val="21"/>
                <w:szCs w:val="21"/>
                <w:spacing w:val="9"/>
              </w:rPr>
              <w:t>.</w:t>
            </w:r>
            <w:r>
              <w:rPr>
                <w:sz w:val="21"/>
                <w:szCs w:val="21"/>
                <w:spacing w:val="-53"/>
              </w:rPr>
              <w:t xml:space="preserve"> </w:t>
            </w:r>
            <w:r>
              <w:rPr>
                <w:sz w:val="21"/>
                <w:szCs w:val="21"/>
                <w:spacing w:val="9"/>
              </w:rPr>
              <w:t>1万m³</w:t>
            </w:r>
          </w:p>
        </w:tc>
        <w:tc>
          <w:tcPr>
            <w:tcW w:w="2157" w:type="dxa"/>
            <w:vAlign w:val="top"/>
          </w:tcPr>
          <w:p>
            <w:pPr>
              <w:pStyle w:val="TableText"/>
              <w:ind w:left="546"/>
              <w:spacing w:before="49" w:line="198" w:lineRule="auto"/>
              <w:rPr>
                <w:sz w:val="21"/>
                <w:szCs w:val="21"/>
              </w:rPr>
            </w:pPr>
            <w:r>
              <w:rPr>
                <w:sz w:val="21"/>
                <w:szCs w:val="21"/>
                <w:spacing w:val="2"/>
              </w:rPr>
              <w:t>污水处理站</w:t>
            </w:r>
          </w:p>
        </w:tc>
        <w:tc>
          <w:tcPr>
            <w:tcW w:w="1084" w:type="dxa"/>
            <w:vAlign w:val="top"/>
          </w:tcPr>
          <w:p>
            <w:pPr>
              <w:pStyle w:val="TableText"/>
              <w:ind w:left="329"/>
              <w:spacing w:before="49" w:line="198" w:lineRule="auto"/>
              <w:rPr>
                <w:sz w:val="21"/>
                <w:szCs w:val="21"/>
              </w:rPr>
            </w:pPr>
            <w:r>
              <w:rPr>
                <w:sz w:val="21"/>
                <w:szCs w:val="21"/>
                <w:color w:val="504030"/>
                <w:spacing w:val="-22"/>
              </w:rPr>
              <w:t>自</w:t>
            </w:r>
            <w:r>
              <w:rPr>
                <w:sz w:val="21"/>
                <w:szCs w:val="21"/>
                <w:color w:val="504030"/>
                <w:spacing w:val="-27"/>
              </w:rPr>
              <w:t xml:space="preserve"> </w:t>
            </w:r>
            <w:r>
              <w:rPr>
                <w:sz w:val="21"/>
                <w:szCs w:val="21"/>
                <w:color w:val="504030"/>
                <w:spacing w:val="-22"/>
              </w:rPr>
              <w:t>用</w:t>
            </w:r>
          </w:p>
        </w:tc>
      </w:tr>
    </w:tbl>
    <w:p>
      <w:pPr>
        <w:ind w:left="108"/>
        <w:spacing w:before="72" w:line="219" w:lineRule="auto"/>
        <w:rPr>
          <w:rFonts w:ascii="SimSun" w:hAnsi="SimSun" w:eastAsia="SimSun" w:cs="SimSun"/>
          <w:sz w:val="25"/>
          <w:szCs w:val="25"/>
        </w:rPr>
      </w:pPr>
      <w:r>
        <w:rPr>
          <w:rFonts w:ascii="SimSun" w:hAnsi="SimSun" w:eastAsia="SimSun" w:cs="SimSun"/>
          <w:sz w:val="25"/>
          <w:szCs w:val="25"/>
          <w:b/>
          <w:bCs/>
          <w:spacing w:val="-4"/>
        </w:rPr>
        <w:t>3.3.1生猪及肉牛来源</w:t>
      </w:r>
    </w:p>
    <w:p>
      <w:pPr>
        <w:ind w:left="94" w:right="94" w:firstLine="490"/>
        <w:spacing w:before="249" w:line="354" w:lineRule="auto"/>
        <w:rPr>
          <w:rFonts w:ascii="SimSun" w:hAnsi="SimSun" w:eastAsia="SimSun" w:cs="SimSun"/>
          <w:sz w:val="24"/>
          <w:szCs w:val="24"/>
        </w:rPr>
      </w:pPr>
      <w:r>
        <w:rPr>
          <w:rFonts w:ascii="SimSun" w:hAnsi="SimSun" w:eastAsia="SimSun" w:cs="SimSun"/>
          <w:sz w:val="24"/>
          <w:szCs w:val="24"/>
          <w:spacing w:val="8"/>
        </w:rPr>
        <w:t>本项目生猪及肉牛主要外购于周边市县养殖场(主要来源于各地方养</w:t>
      </w:r>
      <w:r>
        <w:rPr>
          <w:rFonts w:ascii="SimSun" w:hAnsi="SimSun" w:eastAsia="SimSun" w:cs="SimSun"/>
          <w:sz w:val="24"/>
          <w:szCs w:val="24"/>
          <w:spacing w:val="7"/>
        </w:rPr>
        <w:t>殖场</w:t>
      </w:r>
      <w:r>
        <w:rPr>
          <w:rFonts w:ascii="SimSun" w:hAnsi="SimSun" w:eastAsia="SimSun" w:cs="SimSun"/>
          <w:sz w:val="24"/>
          <w:szCs w:val="24"/>
        </w:rPr>
        <w:t xml:space="preserve"> </w:t>
      </w:r>
      <w:r>
        <w:rPr>
          <w:rFonts w:ascii="SimSun" w:hAnsi="SimSun" w:eastAsia="SimSun" w:cs="SimSun"/>
          <w:sz w:val="24"/>
          <w:szCs w:val="24"/>
          <w:spacing w:val="8"/>
        </w:rPr>
        <w:t>及收购农户养殖的生猪和肉牛，采取定向合作方式)。</w:t>
      </w:r>
      <w:r>
        <w:rPr>
          <w:rFonts w:ascii="SimSun" w:hAnsi="SimSun" w:eastAsia="SimSun" w:cs="SimSun"/>
          <w:sz w:val="24"/>
          <w:szCs w:val="24"/>
          <w:spacing w:val="7"/>
        </w:rPr>
        <w:t>建设单位不负责运输工</w:t>
      </w:r>
      <w:r>
        <w:rPr>
          <w:rFonts w:ascii="SimSun" w:hAnsi="SimSun" w:eastAsia="SimSun" w:cs="SimSun"/>
          <w:sz w:val="24"/>
          <w:szCs w:val="24"/>
        </w:rPr>
        <w:t xml:space="preserve"> </w:t>
      </w:r>
      <w:r>
        <w:rPr>
          <w:rFonts w:ascii="SimSun" w:hAnsi="SimSun" w:eastAsia="SimSun" w:cs="SimSun"/>
          <w:sz w:val="24"/>
          <w:szCs w:val="24"/>
          <w:spacing w:val="3"/>
        </w:rPr>
        <w:t>作，项目生猪及肉牛主要由第三方运输车辆进行运输，运输车辆运输的生猪、</w:t>
      </w:r>
      <w:r>
        <w:rPr>
          <w:rFonts w:ascii="SimSun" w:hAnsi="SimSun" w:eastAsia="SimSun" w:cs="SimSun"/>
          <w:sz w:val="24"/>
          <w:szCs w:val="24"/>
          <w:spacing w:val="6"/>
        </w:rPr>
        <w:t xml:space="preserve"> </w:t>
      </w:r>
      <w:r>
        <w:rPr>
          <w:rFonts w:ascii="SimSun" w:hAnsi="SimSun" w:eastAsia="SimSun" w:cs="SimSun"/>
          <w:sz w:val="24"/>
          <w:szCs w:val="24"/>
          <w:spacing w:val="4"/>
        </w:rPr>
        <w:t>肉牛均须在畜牧局防疫部门进行检疫，经检疫合格的生猪、肉牛由畜牧部门制</w:t>
      </w:r>
      <w:r>
        <w:rPr>
          <w:rFonts w:ascii="SimSun" w:hAnsi="SimSun" w:eastAsia="SimSun" w:cs="SimSun"/>
          <w:sz w:val="24"/>
          <w:szCs w:val="24"/>
          <w:spacing w:val="13"/>
        </w:rPr>
        <w:t xml:space="preserve"> </w:t>
      </w:r>
      <w:r>
        <w:rPr>
          <w:rFonts w:ascii="SimSun" w:hAnsi="SimSun" w:eastAsia="SimSun" w:cs="SimSun"/>
          <w:sz w:val="24"/>
          <w:szCs w:val="24"/>
          <w:spacing w:val="4"/>
        </w:rPr>
        <w:t>定运输线路进入本项目，要求第三方运输车辆运</w:t>
      </w:r>
      <w:r>
        <w:rPr>
          <w:rFonts w:ascii="SimSun" w:hAnsi="SimSun" w:eastAsia="SimSun" w:cs="SimSun"/>
          <w:sz w:val="24"/>
          <w:szCs w:val="24"/>
          <w:spacing w:val="3"/>
        </w:rPr>
        <w:t>输过程中，应采取控制运输时</w:t>
      </w:r>
      <w:r>
        <w:rPr>
          <w:rFonts w:ascii="SimSun" w:hAnsi="SimSun" w:eastAsia="SimSun" w:cs="SimSun"/>
          <w:sz w:val="24"/>
          <w:szCs w:val="24"/>
        </w:rPr>
        <w:t xml:space="preserve"> </w:t>
      </w:r>
      <w:r>
        <w:rPr>
          <w:rFonts w:ascii="SimSun" w:hAnsi="SimSun" w:eastAsia="SimSun" w:cs="SimSun"/>
          <w:sz w:val="24"/>
          <w:szCs w:val="24"/>
          <w:spacing w:val="4"/>
        </w:rPr>
        <w:t>间、控制运输次数对运输车辆做好防护措施，</w:t>
      </w:r>
      <w:r>
        <w:rPr>
          <w:rFonts w:ascii="SimSun" w:hAnsi="SimSun" w:eastAsia="SimSun" w:cs="SimSun"/>
          <w:sz w:val="24"/>
          <w:szCs w:val="24"/>
          <w:spacing w:val="3"/>
        </w:rPr>
        <w:t>运输的时间应尽量控制在居民日</w:t>
      </w:r>
      <w:r>
        <w:rPr>
          <w:rFonts w:ascii="SimSun" w:hAnsi="SimSun" w:eastAsia="SimSun" w:cs="SimSun"/>
          <w:sz w:val="24"/>
          <w:szCs w:val="24"/>
        </w:rPr>
        <w:t xml:space="preserve"> </w:t>
      </w:r>
      <w:r>
        <w:rPr>
          <w:rFonts w:ascii="SimSun" w:hAnsi="SimSun" w:eastAsia="SimSun" w:cs="SimSun"/>
          <w:sz w:val="24"/>
          <w:szCs w:val="24"/>
          <w:spacing w:val="2"/>
        </w:rPr>
        <w:t>常活动的高峰期以及就餐时间以外；减少运输的次数，压缩恶臭的产生次数；</w:t>
      </w:r>
      <w:r>
        <w:rPr>
          <w:rFonts w:ascii="SimSun" w:hAnsi="SimSun" w:eastAsia="SimSun" w:cs="SimSun"/>
          <w:sz w:val="24"/>
          <w:szCs w:val="24"/>
          <w:spacing w:val="10"/>
        </w:rPr>
        <w:t xml:space="preserve"> </w:t>
      </w:r>
      <w:r>
        <w:rPr>
          <w:rFonts w:ascii="SimSun" w:hAnsi="SimSun" w:eastAsia="SimSun" w:cs="SimSun"/>
          <w:sz w:val="24"/>
          <w:szCs w:val="24"/>
          <w:spacing w:val="4"/>
        </w:rPr>
        <w:t>运输车辆应做好防护措施，防止牲畜排泄物漏出车外，应在每辆运输车上铺上</w:t>
      </w:r>
      <w:r>
        <w:rPr>
          <w:rFonts w:ascii="SimSun" w:hAnsi="SimSun" w:eastAsia="SimSun" w:cs="SimSun"/>
          <w:sz w:val="24"/>
          <w:szCs w:val="24"/>
          <w:spacing w:val="3"/>
        </w:rPr>
        <w:t xml:space="preserve"> </w:t>
      </w:r>
      <w:r>
        <w:rPr>
          <w:rFonts w:ascii="SimSun" w:hAnsi="SimSun" w:eastAsia="SimSun" w:cs="SimSun"/>
          <w:sz w:val="24"/>
          <w:szCs w:val="24"/>
          <w:spacing w:val="4"/>
        </w:rPr>
        <w:t>细沙，既能减少恶臭的产生，又能减少排泄物泄漏的可能性；运输过程中车辆</w:t>
      </w:r>
    </w:p>
    <w:p>
      <w:pPr>
        <w:spacing w:line="354" w:lineRule="auto"/>
        <w:sectPr>
          <w:headerReference w:type="default" r:id="rId209"/>
          <w:footerReference w:type="default" r:id="rId210"/>
          <w:pgSz w:w="11910" w:h="16840"/>
          <w:pgMar w:top="1197" w:right="1725" w:bottom="962" w:left="1685" w:header="905" w:footer="777" w:gutter="0"/>
        </w:sectPr>
        <w:rPr>
          <w:rFonts w:ascii="SimSun" w:hAnsi="SimSun" w:eastAsia="SimSun" w:cs="SimSun"/>
          <w:sz w:val="24"/>
          <w:szCs w:val="24"/>
        </w:rPr>
      </w:pPr>
    </w:p>
    <w:p>
      <w:pPr>
        <w:ind w:left="64" w:right="91"/>
        <w:spacing w:before="288" w:line="371" w:lineRule="auto"/>
        <w:jc w:val="both"/>
        <w:rPr>
          <w:rFonts w:ascii="SimSun" w:hAnsi="SimSun" w:eastAsia="SimSun" w:cs="SimSun"/>
          <w:sz w:val="23"/>
          <w:szCs w:val="23"/>
        </w:rPr>
      </w:pPr>
      <w:r>
        <w:rPr>
          <w:rFonts w:ascii="SimSun" w:hAnsi="SimSun" w:eastAsia="SimSun" w:cs="SimSun"/>
          <w:sz w:val="23"/>
          <w:szCs w:val="23"/>
          <w:spacing w:val="14"/>
        </w:rPr>
        <w:t>应注意消毒，运输生猪、肉牛装车前应进行彻底清洗，冲净粪便和生</w:t>
      </w:r>
      <w:r>
        <w:rPr>
          <w:rFonts w:ascii="SimSun" w:hAnsi="SimSun" w:eastAsia="SimSun" w:cs="SimSun"/>
          <w:sz w:val="23"/>
          <w:szCs w:val="23"/>
          <w:spacing w:val="13"/>
        </w:rPr>
        <w:t>猪、肉牛</w:t>
      </w:r>
      <w:r>
        <w:rPr>
          <w:rFonts w:ascii="SimSun" w:hAnsi="SimSun" w:eastAsia="SimSun" w:cs="SimSun"/>
          <w:sz w:val="23"/>
          <w:szCs w:val="23"/>
        </w:rPr>
        <w:t xml:space="preserve"> </w:t>
      </w:r>
      <w:r>
        <w:rPr>
          <w:rFonts w:ascii="SimSun" w:hAnsi="SimSun" w:eastAsia="SimSun" w:cs="SimSun"/>
          <w:sz w:val="23"/>
          <w:szCs w:val="23"/>
          <w:spacing w:val="14"/>
        </w:rPr>
        <w:t>身上的污物，最大可能地防止恶臭对沿线居民区的影响。通</w:t>
      </w:r>
      <w:r>
        <w:rPr>
          <w:rFonts w:ascii="SimSun" w:hAnsi="SimSun" w:eastAsia="SimSun" w:cs="SimSun"/>
          <w:sz w:val="23"/>
          <w:szCs w:val="23"/>
          <w:spacing w:val="13"/>
        </w:rPr>
        <w:t>过以上措施，将牲</w:t>
      </w:r>
      <w:r>
        <w:rPr>
          <w:rFonts w:ascii="SimSun" w:hAnsi="SimSun" w:eastAsia="SimSun" w:cs="SimSun"/>
          <w:sz w:val="23"/>
          <w:szCs w:val="23"/>
        </w:rPr>
        <w:t xml:space="preserve"> </w:t>
      </w:r>
      <w:r>
        <w:rPr>
          <w:rFonts w:ascii="SimSun" w:hAnsi="SimSun" w:eastAsia="SimSun" w:cs="SimSun"/>
          <w:sz w:val="23"/>
          <w:szCs w:val="23"/>
          <w:spacing w:val="6"/>
        </w:rPr>
        <w:t>畜运输对沿线居民区造成的影响降到最低。</w:t>
      </w:r>
    </w:p>
    <w:p>
      <w:pPr>
        <w:ind w:left="68"/>
        <w:spacing w:before="23" w:line="222" w:lineRule="auto"/>
        <w:rPr>
          <w:rFonts w:ascii="SimHei" w:hAnsi="SimHei" w:eastAsia="SimHei" w:cs="SimHei"/>
          <w:sz w:val="27"/>
          <w:szCs w:val="27"/>
        </w:rPr>
      </w:pPr>
      <w:r>
        <w:rPr>
          <w:rFonts w:ascii="SimHei" w:hAnsi="SimHei" w:eastAsia="SimHei" w:cs="SimHei"/>
          <w:sz w:val="27"/>
          <w:szCs w:val="27"/>
          <w:b/>
          <w:bCs/>
          <w:spacing w:val="-7"/>
        </w:rPr>
        <w:t>3.3.2原辅材料理化性质</w:t>
      </w:r>
    </w:p>
    <w:p>
      <w:pPr>
        <w:ind w:left="548"/>
        <w:spacing w:before="192" w:line="219" w:lineRule="auto"/>
        <w:rPr>
          <w:rFonts w:ascii="SimSun" w:hAnsi="SimSun" w:eastAsia="SimSun" w:cs="SimSun"/>
          <w:sz w:val="23"/>
          <w:szCs w:val="23"/>
        </w:rPr>
      </w:pPr>
      <w:r>
        <w:rPr>
          <w:rFonts w:ascii="SimSun" w:hAnsi="SimSun" w:eastAsia="SimSun" w:cs="SimSun"/>
          <w:sz w:val="23"/>
          <w:szCs w:val="23"/>
          <w:b/>
          <w:bCs/>
          <w:spacing w:val="-3"/>
        </w:rPr>
        <w:t>1、制冷剂</w:t>
      </w:r>
      <w:r>
        <w:rPr>
          <w:rFonts w:ascii="SimSun" w:hAnsi="SimSun" w:eastAsia="SimSun" w:cs="SimSun"/>
          <w:sz w:val="23"/>
          <w:szCs w:val="23"/>
          <w:spacing w:val="-26"/>
        </w:rPr>
        <w:t xml:space="preserve"> </w:t>
      </w:r>
      <w:r>
        <w:rPr>
          <w:rFonts w:ascii="SimSun" w:hAnsi="SimSun" w:eastAsia="SimSun" w:cs="SimSun"/>
          <w:sz w:val="23"/>
          <w:szCs w:val="23"/>
          <w:b/>
          <w:bCs/>
          <w:spacing w:val="-3"/>
        </w:rPr>
        <w:t>(R507)</w:t>
      </w:r>
    </w:p>
    <w:p>
      <w:pPr>
        <w:ind w:left="64" w:right="71" w:firstLine="480"/>
        <w:spacing w:before="222" w:line="370" w:lineRule="auto"/>
        <w:jc w:val="both"/>
        <w:rPr>
          <w:rFonts w:ascii="SimSun" w:hAnsi="SimSun" w:eastAsia="SimSun" w:cs="SimSun"/>
          <w:sz w:val="23"/>
          <w:szCs w:val="23"/>
        </w:rPr>
      </w:pPr>
      <w:r>
        <w:rPr>
          <w:rFonts w:ascii="Times New Roman" w:hAnsi="Times New Roman" w:eastAsia="Times New Roman" w:cs="Times New Roman"/>
          <w:sz w:val="23"/>
          <w:szCs w:val="23"/>
          <w:spacing w:val="7"/>
        </w:rPr>
        <w:t>R507</w:t>
      </w:r>
      <w:r>
        <w:rPr>
          <w:rFonts w:ascii="Times New Roman" w:hAnsi="Times New Roman" w:eastAsia="Times New Roman" w:cs="Times New Roman"/>
          <w:sz w:val="23"/>
          <w:szCs w:val="23"/>
          <w:spacing w:val="2"/>
        </w:rPr>
        <w:t xml:space="preserve"> </w:t>
      </w:r>
      <w:r>
        <w:rPr>
          <w:rFonts w:ascii="SimSun" w:hAnsi="SimSun" w:eastAsia="SimSun" w:cs="SimSun"/>
          <w:sz w:val="23"/>
          <w:szCs w:val="23"/>
          <w:spacing w:val="7"/>
        </w:rPr>
        <w:t>是</w:t>
      </w:r>
      <w:r>
        <w:rPr>
          <w:rFonts w:ascii="Times New Roman" w:hAnsi="Times New Roman" w:eastAsia="Times New Roman" w:cs="Times New Roman"/>
          <w:sz w:val="23"/>
          <w:szCs w:val="23"/>
          <w:spacing w:val="7"/>
        </w:rPr>
        <w:t>R-502</w:t>
      </w:r>
      <w:r>
        <w:rPr>
          <w:rFonts w:ascii="Times New Roman" w:hAnsi="Times New Roman" w:eastAsia="Times New Roman" w:cs="Times New Roman"/>
          <w:sz w:val="23"/>
          <w:szCs w:val="23"/>
          <w:spacing w:val="-8"/>
        </w:rPr>
        <w:t xml:space="preserve"> </w:t>
      </w:r>
      <w:r>
        <w:rPr>
          <w:rFonts w:ascii="SimSun" w:hAnsi="SimSun" w:eastAsia="SimSun" w:cs="SimSun"/>
          <w:sz w:val="23"/>
          <w:szCs w:val="23"/>
          <w:spacing w:val="7"/>
        </w:rPr>
        <w:t>制冷剂的长期替代品， </w:t>
      </w:r>
      <w:r>
        <w:rPr>
          <w:rFonts w:ascii="Times New Roman" w:hAnsi="Times New Roman" w:eastAsia="Times New Roman" w:cs="Times New Roman"/>
          <w:sz w:val="23"/>
          <w:szCs w:val="23"/>
        </w:rPr>
        <w:t>ODP</w:t>
      </w:r>
      <w:r>
        <w:rPr>
          <w:rFonts w:ascii="Times New Roman" w:hAnsi="Times New Roman" w:eastAsia="Times New Roman" w:cs="Times New Roman"/>
          <w:sz w:val="23"/>
          <w:szCs w:val="23"/>
          <w:spacing w:val="7"/>
        </w:rPr>
        <w:t xml:space="preserve"> </w:t>
      </w:r>
      <w:r>
        <w:rPr>
          <w:rFonts w:ascii="SimSun" w:hAnsi="SimSun" w:eastAsia="SimSun" w:cs="SimSun"/>
          <w:sz w:val="23"/>
          <w:szCs w:val="23"/>
          <w:spacing w:val="7"/>
        </w:rPr>
        <w:t>值为零，不含任何破坏臭氧层的</w:t>
      </w:r>
      <w:r>
        <w:rPr>
          <w:rFonts w:ascii="SimSun" w:hAnsi="SimSun" w:eastAsia="SimSun" w:cs="SimSun"/>
          <w:sz w:val="23"/>
          <w:szCs w:val="23"/>
        </w:rPr>
        <w:t xml:space="preserve"> </w:t>
      </w:r>
      <w:r>
        <w:rPr>
          <w:rFonts w:ascii="SimSun" w:hAnsi="SimSun" w:eastAsia="SimSun" w:cs="SimSun"/>
          <w:sz w:val="23"/>
          <w:szCs w:val="23"/>
          <w:spacing w:val="9"/>
        </w:rPr>
        <w:t>物质。由于</w:t>
      </w:r>
      <w:r>
        <w:rPr>
          <w:rFonts w:ascii="Times New Roman" w:hAnsi="Times New Roman" w:eastAsia="Times New Roman" w:cs="Times New Roman"/>
          <w:sz w:val="23"/>
          <w:szCs w:val="23"/>
          <w:spacing w:val="9"/>
        </w:rPr>
        <w:t>R507</w:t>
      </w:r>
      <w:r>
        <w:rPr>
          <w:rFonts w:ascii="Times New Roman" w:hAnsi="Times New Roman" w:eastAsia="Times New Roman" w:cs="Times New Roman"/>
          <w:sz w:val="23"/>
          <w:szCs w:val="23"/>
          <w:spacing w:val="-12"/>
        </w:rPr>
        <w:t xml:space="preserve"> </w:t>
      </w:r>
      <w:r>
        <w:rPr>
          <w:rFonts w:ascii="SimSun" w:hAnsi="SimSun" w:eastAsia="SimSun" w:cs="SimSun"/>
          <w:sz w:val="23"/>
          <w:szCs w:val="23"/>
          <w:spacing w:val="9"/>
        </w:rPr>
        <w:t>制冷剂的制冷量及效率与</w:t>
      </w:r>
      <w:r>
        <w:rPr>
          <w:rFonts w:ascii="Times New Roman" w:hAnsi="Times New Roman" w:eastAsia="Times New Roman" w:cs="Times New Roman"/>
          <w:sz w:val="23"/>
          <w:szCs w:val="23"/>
          <w:spacing w:val="9"/>
        </w:rPr>
        <w:t>R502</w:t>
      </w:r>
      <w:r>
        <w:rPr>
          <w:rFonts w:ascii="Times New Roman" w:hAnsi="Times New Roman" w:eastAsia="Times New Roman" w:cs="Times New Roman"/>
          <w:sz w:val="23"/>
          <w:szCs w:val="23"/>
          <w:spacing w:val="-22"/>
        </w:rPr>
        <w:t xml:space="preserve"> </w:t>
      </w:r>
      <w:r>
        <w:rPr>
          <w:rFonts w:ascii="SimSun" w:hAnsi="SimSun" w:eastAsia="SimSun" w:cs="SimSun"/>
          <w:sz w:val="23"/>
          <w:szCs w:val="23"/>
          <w:spacing w:val="9"/>
        </w:rPr>
        <w:t>非常接近，并</w:t>
      </w:r>
      <w:r>
        <w:rPr>
          <w:rFonts w:ascii="SimSun" w:hAnsi="SimSun" w:eastAsia="SimSun" w:cs="SimSun"/>
          <w:sz w:val="23"/>
          <w:szCs w:val="23"/>
          <w:spacing w:val="8"/>
        </w:rPr>
        <w:t>且具有优异的传热</w:t>
      </w:r>
      <w:r>
        <w:rPr>
          <w:rFonts w:ascii="SimSun" w:hAnsi="SimSun" w:eastAsia="SimSun" w:cs="SimSun"/>
          <w:sz w:val="23"/>
          <w:szCs w:val="23"/>
        </w:rPr>
        <w:t xml:space="preserve"> </w:t>
      </w:r>
      <w:r>
        <w:rPr>
          <w:rFonts w:ascii="SimSun" w:hAnsi="SimSun" w:eastAsia="SimSun" w:cs="SimSun"/>
          <w:sz w:val="23"/>
          <w:szCs w:val="23"/>
          <w:spacing w:val="14"/>
        </w:rPr>
        <w:t>性能和低毒性，因此R507</w:t>
      </w:r>
      <w:r>
        <w:rPr>
          <w:rFonts w:ascii="SimSun" w:hAnsi="SimSun" w:eastAsia="SimSun" w:cs="SimSun"/>
          <w:sz w:val="23"/>
          <w:szCs w:val="23"/>
          <w:spacing w:val="-38"/>
        </w:rPr>
        <w:t xml:space="preserve"> </w:t>
      </w:r>
      <w:r>
        <w:rPr>
          <w:rFonts w:ascii="SimSun" w:hAnsi="SimSun" w:eastAsia="SimSun" w:cs="SimSun"/>
          <w:sz w:val="23"/>
          <w:szCs w:val="23"/>
          <w:spacing w:val="14"/>
        </w:rPr>
        <w:t>比其他任何所</w:t>
      </w:r>
      <w:r>
        <w:rPr>
          <w:rFonts w:ascii="SimSun" w:hAnsi="SimSun" w:eastAsia="SimSun" w:cs="SimSun"/>
          <w:sz w:val="23"/>
          <w:szCs w:val="23"/>
          <w:spacing w:val="13"/>
        </w:rPr>
        <w:t>知的R-502的替代物更适合中低温冷冻</w:t>
      </w:r>
      <w:r>
        <w:rPr>
          <w:rFonts w:ascii="SimSun" w:hAnsi="SimSun" w:eastAsia="SimSun" w:cs="SimSun"/>
          <w:sz w:val="23"/>
          <w:szCs w:val="23"/>
        </w:rPr>
        <w:t xml:space="preserve"> </w:t>
      </w:r>
      <w:r>
        <w:rPr>
          <w:rFonts w:ascii="SimSun" w:hAnsi="SimSun" w:eastAsia="SimSun" w:cs="SimSun"/>
          <w:sz w:val="23"/>
          <w:szCs w:val="23"/>
          <w:spacing w:val="6"/>
        </w:rPr>
        <w:t>领域应用。</w:t>
      </w:r>
      <w:r>
        <w:rPr>
          <w:rFonts w:ascii="Times New Roman" w:hAnsi="Times New Roman" w:eastAsia="Times New Roman" w:cs="Times New Roman"/>
          <w:sz w:val="23"/>
          <w:szCs w:val="23"/>
          <w:spacing w:val="6"/>
        </w:rPr>
        <w:t>R507 </w:t>
      </w:r>
      <w:r>
        <w:rPr>
          <w:rFonts w:ascii="SimSun" w:hAnsi="SimSun" w:eastAsia="SimSun" w:cs="SimSun"/>
          <w:sz w:val="23"/>
          <w:szCs w:val="23"/>
          <w:spacing w:val="6"/>
        </w:rPr>
        <w:t>和</w:t>
      </w:r>
      <w:r>
        <w:rPr>
          <w:rFonts w:ascii="Times New Roman" w:hAnsi="Times New Roman" w:eastAsia="Times New Roman" w:cs="Times New Roman"/>
          <w:sz w:val="23"/>
          <w:szCs w:val="23"/>
          <w:spacing w:val="6"/>
        </w:rPr>
        <w:t>R404A</w:t>
      </w:r>
      <w:r>
        <w:rPr>
          <w:rFonts w:ascii="Times New Roman" w:hAnsi="Times New Roman" w:eastAsia="Times New Roman" w:cs="Times New Roman"/>
          <w:sz w:val="23"/>
          <w:szCs w:val="23"/>
          <w:spacing w:val="-18"/>
        </w:rPr>
        <w:t xml:space="preserve"> </w:t>
      </w:r>
      <w:r>
        <w:rPr>
          <w:rFonts w:ascii="SimSun" w:hAnsi="SimSun" w:eastAsia="SimSun" w:cs="SimSun"/>
          <w:sz w:val="23"/>
          <w:szCs w:val="23"/>
          <w:spacing w:val="6"/>
        </w:rPr>
        <w:t>一样是用于替代</w:t>
      </w:r>
      <w:r>
        <w:rPr>
          <w:rFonts w:ascii="Times New Roman" w:hAnsi="Times New Roman" w:eastAsia="Times New Roman" w:cs="Times New Roman"/>
          <w:sz w:val="23"/>
          <w:szCs w:val="23"/>
          <w:spacing w:val="6"/>
        </w:rPr>
        <w:t>R502</w:t>
      </w:r>
      <w:r>
        <w:rPr>
          <w:rFonts w:ascii="SimSun" w:hAnsi="SimSun" w:eastAsia="SimSun" w:cs="SimSun"/>
          <w:sz w:val="23"/>
          <w:szCs w:val="23"/>
          <w:spacing w:val="6"/>
        </w:rPr>
        <w:t>的环保制冷剂</w:t>
      </w:r>
      <w:r>
        <w:rPr>
          <w:rFonts w:ascii="SimSun" w:hAnsi="SimSun" w:eastAsia="SimSun" w:cs="SimSun"/>
          <w:sz w:val="23"/>
          <w:szCs w:val="23"/>
          <w:spacing w:val="5"/>
        </w:rPr>
        <w:t>，但是</w:t>
      </w:r>
      <w:r>
        <w:rPr>
          <w:rFonts w:ascii="Times New Roman" w:hAnsi="Times New Roman" w:eastAsia="Times New Roman" w:cs="Times New Roman"/>
          <w:sz w:val="23"/>
          <w:szCs w:val="23"/>
          <w:spacing w:val="5"/>
        </w:rPr>
        <w:t>R507</w:t>
      </w:r>
      <w:r>
        <w:rPr>
          <w:rFonts w:ascii="Times New Roman" w:hAnsi="Times New Roman" w:eastAsia="Times New Roman" w:cs="Times New Roman"/>
          <w:sz w:val="23"/>
          <w:szCs w:val="23"/>
          <w:spacing w:val="-22"/>
        </w:rPr>
        <w:t xml:space="preserve"> </w:t>
      </w:r>
      <w:r>
        <w:rPr>
          <w:rFonts w:ascii="SimSun" w:hAnsi="SimSun" w:eastAsia="SimSun" w:cs="SimSun"/>
          <w:sz w:val="23"/>
          <w:szCs w:val="23"/>
          <w:spacing w:val="5"/>
        </w:rPr>
        <w:t>通常能</w:t>
      </w:r>
      <w:r>
        <w:rPr>
          <w:rFonts w:ascii="SimSun" w:hAnsi="SimSun" w:eastAsia="SimSun" w:cs="SimSun"/>
          <w:sz w:val="23"/>
          <w:szCs w:val="23"/>
        </w:rPr>
        <w:t xml:space="preserve"> </w:t>
      </w:r>
      <w:r>
        <w:rPr>
          <w:rFonts w:ascii="SimSun" w:hAnsi="SimSun" w:eastAsia="SimSun" w:cs="SimSun"/>
          <w:sz w:val="23"/>
          <w:szCs w:val="23"/>
          <w:spacing w:val="10"/>
        </w:rPr>
        <w:t>比</w:t>
      </w:r>
      <w:r>
        <w:rPr>
          <w:rFonts w:ascii="Times New Roman" w:hAnsi="Times New Roman" w:eastAsia="Times New Roman" w:cs="Times New Roman"/>
          <w:sz w:val="23"/>
          <w:szCs w:val="23"/>
          <w:spacing w:val="10"/>
        </w:rPr>
        <w:t>R404A</w:t>
      </w:r>
      <w:r>
        <w:rPr>
          <w:rFonts w:ascii="Times New Roman" w:hAnsi="Times New Roman" w:eastAsia="Times New Roman" w:cs="Times New Roman"/>
          <w:sz w:val="23"/>
          <w:szCs w:val="23"/>
          <w:spacing w:val="-17"/>
        </w:rPr>
        <w:t xml:space="preserve"> </w:t>
      </w:r>
      <w:r>
        <w:rPr>
          <w:rFonts w:ascii="SimSun" w:hAnsi="SimSun" w:eastAsia="SimSun" w:cs="SimSun"/>
          <w:sz w:val="23"/>
          <w:szCs w:val="23"/>
          <w:spacing w:val="10"/>
        </w:rPr>
        <w:t>达到更低的温度。</w:t>
      </w:r>
      <w:r>
        <w:rPr>
          <w:rFonts w:ascii="SimSun" w:hAnsi="SimSun" w:eastAsia="SimSun" w:cs="SimSun"/>
          <w:sz w:val="23"/>
          <w:szCs w:val="23"/>
          <w:spacing w:val="-25"/>
        </w:rPr>
        <w:t xml:space="preserve"> </w:t>
      </w:r>
      <w:r>
        <w:rPr>
          <w:rFonts w:ascii="Times New Roman" w:hAnsi="Times New Roman" w:eastAsia="Times New Roman" w:cs="Times New Roman"/>
          <w:sz w:val="23"/>
          <w:szCs w:val="23"/>
          <w:spacing w:val="10"/>
        </w:rPr>
        <w:t>R507 </w:t>
      </w:r>
      <w:r>
        <w:rPr>
          <w:rFonts w:ascii="SimSun" w:hAnsi="SimSun" w:eastAsia="SimSun" w:cs="SimSun"/>
          <w:sz w:val="23"/>
          <w:szCs w:val="23"/>
          <w:spacing w:val="10"/>
        </w:rPr>
        <w:t>适用于中低温的新型商用制冷设备(超市冷冻</w:t>
      </w:r>
      <w:r>
        <w:rPr>
          <w:rFonts w:ascii="SimSun" w:hAnsi="SimSun" w:eastAsia="SimSun" w:cs="SimSun"/>
          <w:sz w:val="23"/>
          <w:szCs w:val="23"/>
        </w:rPr>
        <w:t xml:space="preserve"> </w:t>
      </w:r>
      <w:r>
        <w:rPr>
          <w:rFonts w:ascii="SimSun" w:hAnsi="SimSun" w:eastAsia="SimSun" w:cs="SimSun"/>
          <w:sz w:val="23"/>
          <w:szCs w:val="23"/>
          <w:spacing w:val="17"/>
        </w:rPr>
        <w:t>冷藏柜、冷库、陈列展示柜、运输)、制冰设备、交通运输制冷设备、船用制</w:t>
      </w:r>
      <w:r>
        <w:rPr>
          <w:rFonts w:ascii="SimSun" w:hAnsi="SimSun" w:eastAsia="SimSun" w:cs="SimSun"/>
          <w:sz w:val="23"/>
          <w:szCs w:val="23"/>
          <w:spacing w:val="16"/>
        </w:rPr>
        <w:t xml:space="preserve"> </w:t>
      </w:r>
      <w:r>
        <w:rPr>
          <w:rFonts w:ascii="SimSun" w:hAnsi="SimSun" w:eastAsia="SimSun" w:cs="SimSun"/>
          <w:sz w:val="23"/>
          <w:szCs w:val="23"/>
          <w:spacing w:val="6"/>
        </w:rPr>
        <w:t>冷设备或更新设备。</w:t>
      </w:r>
    </w:p>
    <w:p>
      <w:pPr>
        <w:ind w:left="64" w:right="78" w:firstLine="480"/>
        <w:spacing w:before="31" w:line="370" w:lineRule="auto"/>
        <w:jc w:val="both"/>
        <w:rPr>
          <w:rFonts w:ascii="SimSun" w:hAnsi="SimSun" w:eastAsia="SimSun" w:cs="SimSun"/>
          <w:sz w:val="23"/>
          <w:szCs w:val="23"/>
        </w:rPr>
      </w:pPr>
      <w:r>
        <w:rPr>
          <w:rFonts w:ascii="SimSun" w:hAnsi="SimSun" w:eastAsia="SimSun" w:cs="SimSun"/>
          <w:sz w:val="23"/>
          <w:szCs w:val="23"/>
          <w:spacing w:val="19"/>
        </w:rPr>
        <w:t>按照《中国受控消耗臭氧层物质清单》(公告202</w:t>
      </w:r>
      <w:r>
        <w:rPr>
          <w:rFonts w:ascii="SimSun" w:hAnsi="SimSun" w:eastAsia="SimSun" w:cs="SimSun"/>
          <w:sz w:val="23"/>
          <w:szCs w:val="23"/>
          <w:spacing w:val="18"/>
        </w:rPr>
        <w:t>1年第44号)相关规定，</w:t>
      </w:r>
      <w:r>
        <w:rPr>
          <w:rFonts w:ascii="SimSun" w:hAnsi="SimSun" w:eastAsia="SimSun" w:cs="SimSun"/>
          <w:sz w:val="23"/>
          <w:szCs w:val="23"/>
        </w:rPr>
        <w:t xml:space="preserve"> </w:t>
      </w:r>
      <w:r>
        <w:rPr>
          <w:rFonts w:ascii="SimSun" w:hAnsi="SimSun" w:eastAsia="SimSun" w:cs="SimSun"/>
          <w:sz w:val="23"/>
          <w:szCs w:val="23"/>
          <w:spacing w:val="10"/>
        </w:rPr>
        <w:t>以</w:t>
      </w:r>
      <w:r>
        <w:rPr>
          <w:rFonts w:ascii="Times New Roman" w:hAnsi="Times New Roman" w:eastAsia="Times New Roman" w:cs="Times New Roman"/>
          <w:sz w:val="23"/>
          <w:szCs w:val="23"/>
          <w:spacing w:val="10"/>
        </w:rPr>
        <w:t>R507</w:t>
      </w:r>
      <w:r>
        <w:rPr>
          <w:rFonts w:ascii="Times New Roman" w:hAnsi="Times New Roman" w:eastAsia="Times New Roman" w:cs="Times New Roman"/>
          <w:sz w:val="23"/>
          <w:szCs w:val="23"/>
          <w:spacing w:val="-22"/>
        </w:rPr>
        <w:t xml:space="preserve"> </w:t>
      </w:r>
      <w:r>
        <w:rPr>
          <w:rFonts w:ascii="SimSun" w:hAnsi="SimSun" w:eastAsia="SimSun" w:cs="SimSun"/>
          <w:sz w:val="23"/>
          <w:szCs w:val="23"/>
          <w:spacing w:val="10"/>
        </w:rPr>
        <w:t>为主的</w:t>
      </w:r>
      <w:r>
        <w:rPr>
          <w:rFonts w:ascii="Times New Roman" w:hAnsi="Times New Roman" w:eastAsia="Times New Roman" w:cs="Times New Roman"/>
          <w:sz w:val="23"/>
          <w:szCs w:val="23"/>
        </w:rPr>
        <w:t>HFC</w:t>
      </w:r>
      <w:r>
        <w:rPr>
          <w:rFonts w:ascii="Times New Roman" w:hAnsi="Times New Roman" w:eastAsia="Times New Roman" w:cs="Times New Roman"/>
          <w:sz w:val="23"/>
          <w:szCs w:val="23"/>
          <w:spacing w:val="-21"/>
        </w:rPr>
        <w:t xml:space="preserve"> </w:t>
      </w:r>
      <w:r>
        <w:rPr>
          <w:rFonts w:ascii="SimSun" w:hAnsi="SimSun" w:eastAsia="SimSun" w:cs="SimSun"/>
          <w:sz w:val="23"/>
          <w:szCs w:val="23"/>
          <w:spacing w:val="10"/>
        </w:rPr>
        <w:t>类制冷剂是零</w:t>
      </w:r>
      <w:r>
        <w:rPr>
          <w:rFonts w:ascii="Times New Roman" w:hAnsi="Times New Roman" w:eastAsia="Times New Roman" w:cs="Times New Roman"/>
          <w:sz w:val="23"/>
          <w:szCs w:val="23"/>
        </w:rPr>
        <w:t>ODP</w:t>
      </w:r>
      <w:r>
        <w:rPr>
          <w:rFonts w:ascii="SimSun" w:hAnsi="SimSun" w:eastAsia="SimSun" w:cs="SimSun"/>
          <w:sz w:val="23"/>
          <w:szCs w:val="23"/>
          <w:spacing w:val="10"/>
        </w:rPr>
        <w:t>的</w:t>
      </w:r>
      <w:r>
        <w:rPr>
          <w:rFonts w:ascii="Times New Roman" w:hAnsi="Times New Roman" w:eastAsia="Times New Roman" w:cs="Times New Roman"/>
          <w:sz w:val="23"/>
          <w:szCs w:val="23"/>
          <w:spacing w:val="10"/>
        </w:rPr>
        <w:t>A1</w:t>
      </w:r>
      <w:r>
        <w:rPr>
          <w:rFonts w:ascii="SimSun" w:hAnsi="SimSun" w:eastAsia="SimSun" w:cs="SimSun"/>
          <w:sz w:val="23"/>
          <w:szCs w:val="23"/>
          <w:spacing w:val="10"/>
        </w:rPr>
        <w:t>类制冷剂，基本</w:t>
      </w:r>
      <w:r>
        <w:rPr>
          <w:rFonts w:ascii="SimSun" w:hAnsi="SimSun" w:eastAsia="SimSun" w:cs="SimSun"/>
          <w:sz w:val="23"/>
          <w:szCs w:val="23"/>
          <w:spacing w:val="9"/>
        </w:rPr>
        <w:t>没有安全问题，与环</w:t>
      </w:r>
      <w:r>
        <w:rPr>
          <w:rFonts w:ascii="SimSun" w:hAnsi="SimSun" w:eastAsia="SimSun" w:cs="SimSun"/>
          <w:sz w:val="23"/>
          <w:szCs w:val="23"/>
        </w:rPr>
        <w:t xml:space="preserve"> </w:t>
      </w:r>
      <w:r>
        <w:rPr>
          <w:rFonts w:ascii="SimSun" w:hAnsi="SimSun" w:eastAsia="SimSun" w:cs="SimSun"/>
          <w:sz w:val="23"/>
          <w:szCs w:val="23"/>
          <w:spacing w:val="13"/>
        </w:rPr>
        <w:t>保在中短期内淘汰</w:t>
      </w:r>
      <w:r>
        <w:rPr>
          <w:rFonts w:ascii="Times New Roman" w:hAnsi="Times New Roman" w:eastAsia="Times New Roman" w:cs="Times New Roman"/>
          <w:sz w:val="23"/>
          <w:szCs w:val="23"/>
        </w:rPr>
        <w:t>ODP</w:t>
      </w:r>
      <w:r>
        <w:rPr>
          <w:rFonts w:ascii="Times New Roman" w:hAnsi="Times New Roman" w:eastAsia="Times New Roman" w:cs="Times New Roman"/>
          <w:sz w:val="23"/>
          <w:szCs w:val="23"/>
          <w:spacing w:val="-2"/>
        </w:rPr>
        <w:t xml:space="preserve"> </w:t>
      </w:r>
      <w:r>
        <w:rPr>
          <w:rFonts w:ascii="SimSun" w:hAnsi="SimSun" w:eastAsia="SimSun" w:cs="SimSun"/>
          <w:sz w:val="23"/>
          <w:szCs w:val="23"/>
          <w:spacing w:val="13"/>
        </w:rPr>
        <w:t>物质的政策目标也不冲突，但是不符合环保在中长期限</w:t>
      </w:r>
      <w:r>
        <w:rPr>
          <w:rFonts w:ascii="SimSun" w:hAnsi="SimSun" w:eastAsia="SimSun" w:cs="SimSun"/>
          <w:sz w:val="23"/>
          <w:szCs w:val="23"/>
        </w:rPr>
        <w:t xml:space="preserve"> </w:t>
      </w:r>
      <w:r>
        <w:rPr>
          <w:rFonts w:ascii="SimSun" w:hAnsi="SimSun" w:eastAsia="SimSun" w:cs="SimSun"/>
          <w:sz w:val="23"/>
          <w:szCs w:val="23"/>
          <w:spacing w:val="11"/>
        </w:rPr>
        <w:t>制高</w:t>
      </w:r>
      <w:r>
        <w:rPr>
          <w:rFonts w:ascii="Times New Roman" w:hAnsi="Times New Roman" w:eastAsia="Times New Roman" w:cs="Times New Roman"/>
          <w:sz w:val="23"/>
          <w:szCs w:val="23"/>
        </w:rPr>
        <w:t>GWP</w:t>
      </w:r>
      <w:r>
        <w:rPr>
          <w:rFonts w:ascii="Times New Roman" w:hAnsi="Times New Roman" w:eastAsia="Times New Roman" w:cs="Times New Roman"/>
          <w:sz w:val="23"/>
          <w:szCs w:val="23"/>
          <w:spacing w:val="11"/>
        </w:rPr>
        <w:t xml:space="preserve"> </w:t>
      </w:r>
      <w:r>
        <w:rPr>
          <w:rFonts w:ascii="SimSun" w:hAnsi="SimSun" w:eastAsia="SimSun" w:cs="SimSun"/>
          <w:sz w:val="23"/>
          <w:szCs w:val="23"/>
          <w:spacing w:val="11"/>
        </w:rPr>
        <w:t>物质的政策目标。评价要求，项目应按照《中国受控消耗臭氧层物质</w:t>
      </w:r>
      <w:r>
        <w:rPr>
          <w:rFonts w:ascii="SimSun" w:hAnsi="SimSun" w:eastAsia="SimSun" w:cs="SimSun"/>
          <w:sz w:val="23"/>
          <w:szCs w:val="23"/>
          <w:spacing w:val="13"/>
        </w:rPr>
        <w:t xml:space="preserve"> </w:t>
      </w:r>
      <w:r>
        <w:rPr>
          <w:rFonts w:ascii="SimSun" w:hAnsi="SimSun" w:eastAsia="SimSun" w:cs="SimSun"/>
          <w:sz w:val="23"/>
          <w:szCs w:val="23"/>
          <w:spacing w:val="8"/>
        </w:rPr>
        <w:t>清单》等相关技术规范在规定年限使用合规的制冷剂。</w:t>
      </w:r>
    </w:p>
    <w:p>
      <w:pPr>
        <w:ind w:left="2998"/>
        <w:spacing w:before="3" w:line="214" w:lineRule="auto"/>
        <w:rPr>
          <w:rFonts w:ascii="SimSun" w:hAnsi="SimSun" w:eastAsia="SimSun" w:cs="SimSun"/>
          <w:sz w:val="24"/>
          <w:szCs w:val="24"/>
        </w:rPr>
      </w:pPr>
      <w:r>
        <w:rPr>
          <w:rFonts w:ascii="SimSun" w:hAnsi="SimSun" w:eastAsia="SimSun" w:cs="SimSun"/>
          <w:sz w:val="24"/>
          <w:szCs w:val="24"/>
          <w:b/>
          <w:bCs/>
          <w:spacing w:val="-4"/>
        </w:rPr>
        <w:t>表3.3-2R507理化性质表</w:t>
      </w:r>
    </w:p>
    <w:tbl>
      <w:tblPr>
        <w:tblStyle w:val="TableNormal"/>
        <w:tblW w:w="843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763"/>
        <w:gridCol w:w="2796"/>
        <w:gridCol w:w="2077"/>
        <w:gridCol w:w="1803"/>
      </w:tblGrid>
      <w:tr>
        <w:trPr>
          <w:trHeight w:val="633" w:hRule="atLeast"/>
        </w:trPr>
        <w:tc>
          <w:tcPr>
            <w:shd w:val="clear" w:fill="BDBDBD"/>
            <w:tcW w:w="1763" w:type="dxa"/>
            <w:vAlign w:val="top"/>
          </w:tcPr>
          <w:p>
            <w:pPr>
              <w:pStyle w:val="TableText"/>
              <w:ind w:left="438"/>
              <w:spacing w:before="209" w:line="219" w:lineRule="auto"/>
              <w:rPr>
                <w:sz w:val="22"/>
                <w:szCs w:val="22"/>
              </w:rPr>
            </w:pPr>
            <w:r>
              <w:rPr>
                <w:sz w:val="22"/>
                <w:szCs w:val="22"/>
                <w:b/>
                <w:bCs/>
                <w:spacing w:val="-5"/>
              </w:rPr>
              <w:t>冷媒名称</w:t>
            </w:r>
          </w:p>
        </w:tc>
        <w:tc>
          <w:tcPr>
            <w:tcW w:w="2796" w:type="dxa"/>
            <w:vAlign w:val="top"/>
          </w:tcPr>
          <w:p>
            <w:pPr>
              <w:pStyle w:val="TableText"/>
              <w:ind w:left="125"/>
              <w:spacing w:before="69" w:line="219" w:lineRule="auto"/>
              <w:rPr>
                <w:sz w:val="22"/>
                <w:szCs w:val="22"/>
              </w:rPr>
            </w:pPr>
            <w:r>
              <w:rPr>
                <w:sz w:val="22"/>
                <w:szCs w:val="22"/>
                <w:b/>
                <w:bCs/>
                <w:spacing w:val="-3"/>
              </w:rPr>
              <w:t>共沸剂R507(R125五氟乙烷</w:t>
            </w:r>
          </w:p>
          <w:p>
            <w:pPr>
              <w:pStyle w:val="TableText"/>
              <w:ind w:left="625"/>
              <w:spacing w:before="30" w:line="219" w:lineRule="auto"/>
              <w:rPr>
                <w:sz w:val="22"/>
                <w:szCs w:val="22"/>
              </w:rPr>
            </w:pPr>
            <w:r>
              <w:rPr>
                <w:sz w:val="22"/>
                <w:szCs w:val="22"/>
                <w:b/>
                <w:bCs/>
                <w:spacing w:val="1"/>
              </w:rPr>
              <w:t>/R143三氟乙烷)</w:t>
            </w:r>
          </w:p>
        </w:tc>
        <w:tc>
          <w:tcPr>
            <w:shd w:val="clear" w:fill="BDBDBD"/>
            <w:tcW w:w="2077" w:type="dxa"/>
            <w:vAlign w:val="top"/>
          </w:tcPr>
          <w:p>
            <w:pPr>
              <w:pStyle w:val="TableText"/>
              <w:ind w:left="159"/>
              <w:spacing w:before="61" w:line="220" w:lineRule="auto"/>
              <w:rPr>
                <w:sz w:val="22"/>
                <w:szCs w:val="22"/>
              </w:rPr>
            </w:pPr>
            <w:r>
              <w:rPr>
                <w:sz w:val="22"/>
                <w:szCs w:val="22"/>
                <w:b/>
                <w:bCs/>
              </w:rPr>
              <w:t>饱和液体密度30℃</w:t>
            </w:r>
          </w:p>
          <w:p>
            <w:pPr>
              <w:pStyle w:val="TableText"/>
              <w:ind w:left="599"/>
              <w:spacing w:before="29" w:line="214" w:lineRule="auto"/>
              <w:rPr>
                <w:sz w:val="22"/>
                <w:szCs w:val="22"/>
              </w:rPr>
            </w:pPr>
            <w:r>
              <w:rPr>
                <w:sz w:val="22"/>
                <w:szCs w:val="22"/>
                <w:b/>
                <w:bCs/>
                <w:spacing w:val="-9"/>
              </w:rPr>
              <w:t>(kg/m³)</w:t>
            </w:r>
          </w:p>
        </w:tc>
        <w:tc>
          <w:tcPr>
            <w:tcW w:w="1803" w:type="dxa"/>
            <w:vAlign w:val="top"/>
          </w:tcPr>
          <w:p>
            <w:pPr>
              <w:pStyle w:val="TableText"/>
              <w:ind w:left="572"/>
              <w:spacing w:before="233" w:line="239" w:lineRule="auto"/>
              <w:rPr>
                <w:sz w:val="22"/>
                <w:szCs w:val="22"/>
              </w:rPr>
            </w:pPr>
            <w:r>
              <w:rPr>
                <w:sz w:val="22"/>
                <w:szCs w:val="22"/>
                <w:b/>
                <w:bCs/>
                <w:spacing w:val="-6"/>
              </w:rPr>
              <w:t>1021.9</w:t>
            </w:r>
          </w:p>
        </w:tc>
      </w:tr>
      <w:tr>
        <w:trPr>
          <w:trHeight w:val="638" w:hRule="atLeast"/>
        </w:trPr>
        <w:tc>
          <w:tcPr>
            <w:shd w:val="clear" w:fill="BDBDBD"/>
            <w:tcW w:w="1763" w:type="dxa"/>
            <w:vAlign w:val="top"/>
          </w:tcPr>
          <w:p>
            <w:pPr>
              <w:pStyle w:val="TableText"/>
              <w:ind w:left="108"/>
              <w:spacing w:before="88" w:line="220" w:lineRule="auto"/>
              <w:rPr>
                <w:sz w:val="22"/>
                <w:szCs w:val="22"/>
              </w:rPr>
            </w:pPr>
            <w:r>
              <w:rPr>
                <w:sz w:val="22"/>
                <w:szCs w:val="22"/>
                <w:b/>
                <w:bCs/>
                <w:spacing w:val="2"/>
              </w:rPr>
              <w:t>液体密度(25℃)</w:t>
            </w:r>
          </w:p>
          <w:p>
            <w:pPr>
              <w:pStyle w:val="TableText"/>
              <w:ind w:left="438"/>
              <w:spacing w:before="9" w:line="214" w:lineRule="auto"/>
              <w:rPr>
                <w:sz w:val="22"/>
                <w:szCs w:val="22"/>
              </w:rPr>
            </w:pPr>
            <w:r>
              <w:rPr>
                <w:sz w:val="22"/>
                <w:szCs w:val="22"/>
                <w:b/>
                <w:bCs/>
                <w:spacing w:val="-9"/>
              </w:rPr>
              <w:t>(kg/m³)</w:t>
            </w:r>
          </w:p>
        </w:tc>
        <w:tc>
          <w:tcPr>
            <w:tcW w:w="2796" w:type="dxa"/>
            <w:vAlign w:val="top"/>
          </w:tcPr>
          <w:p>
            <w:pPr>
              <w:pStyle w:val="TableText"/>
              <w:ind w:left="1061"/>
              <w:spacing w:before="232" w:line="239" w:lineRule="auto"/>
              <w:rPr>
                <w:sz w:val="22"/>
                <w:szCs w:val="22"/>
              </w:rPr>
            </w:pPr>
            <w:r>
              <w:rPr>
                <w:sz w:val="22"/>
                <w:szCs w:val="22"/>
                <w:spacing w:val="-4"/>
              </w:rPr>
              <w:t>1047.9</w:t>
            </w:r>
          </w:p>
        </w:tc>
        <w:tc>
          <w:tcPr>
            <w:shd w:val="clear" w:fill="BDBDBD"/>
            <w:tcW w:w="2077" w:type="dxa"/>
            <w:vAlign w:val="top"/>
          </w:tcPr>
          <w:p>
            <w:pPr>
              <w:pStyle w:val="TableText"/>
              <w:ind w:left="599"/>
              <w:spacing w:before="78" w:line="219" w:lineRule="auto"/>
              <w:rPr>
                <w:sz w:val="22"/>
                <w:szCs w:val="22"/>
              </w:rPr>
            </w:pPr>
            <w:r>
              <w:rPr>
                <w:sz w:val="22"/>
                <w:szCs w:val="22"/>
                <w:b/>
                <w:bCs/>
                <w:spacing w:val="-1"/>
              </w:rPr>
              <w:t>临界密度</w:t>
            </w:r>
          </w:p>
          <w:p>
            <w:pPr>
              <w:pStyle w:val="TableText"/>
              <w:ind w:left="599"/>
              <w:spacing w:before="21" w:line="214" w:lineRule="auto"/>
              <w:rPr>
                <w:sz w:val="22"/>
                <w:szCs w:val="22"/>
              </w:rPr>
            </w:pPr>
            <w:r>
              <w:rPr>
                <w:sz w:val="22"/>
                <w:szCs w:val="22"/>
                <w:b/>
                <w:bCs/>
                <w:spacing w:val="-9"/>
              </w:rPr>
              <w:t>(kg/m³)</w:t>
            </w:r>
          </w:p>
        </w:tc>
        <w:tc>
          <w:tcPr>
            <w:tcW w:w="1803" w:type="dxa"/>
            <w:vAlign w:val="top"/>
          </w:tcPr>
          <w:p>
            <w:pPr>
              <w:pStyle w:val="TableText"/>
              <w:ind w:left="568"/>
              <w:spacing w:before="232" w:line="239" w:lineRule="auto"/>
              <w:rPr>
                <w:sz w:val="22"/>
                <w:szCs w:val="22"/>
              </w:rPr>
            </w:pPr>
            <w:r>
              <w:rPr>
                <w:sz w:val="22"/>
                <w:szCs w:val="22"/>
                <w:spacing w:val="-2"/>
              </w:rPr>
              <w:t>490.77</w:t>
            </w:r>
          </w:p>
        </w:tc>
      </w:tr>
      <w:tr>
        <w:trPr>
          <w:trHeight w:val="599" w:hRule="atLeast"/>
        </w:trPr>
        <w:tc>
          <w:tcPr>
            <w:shd w:val="clear" w:fill="BDBDBD"/>
            <w:tcW w:w="1763" w:type="dxa"/>
            <w:vAlign w:val="top"/>
          </w:tcPr>
          <w:p>
            <w:pPr>
              <w:pStyle w:val="TableText"/>
              <w:ind w:left="438"/>
              <w:spacing w:before="191" w:line="221" w:lineRule="auto"/>
              <w:rPr>
                <w:sz w:val="22"/>
                <w:szCs w:val="22"/>
              </w:rPr>
            </w:pPr>
            <w:r>
              <w:rPr>
                <w:sz w:val="22"/>
                <w:szCs w:val="22"/>
                <w:b/>
                <w:bCs/>
                <w:spacing w:val="6"/>
              </w:rPr>
              <w:t>沸点(℃)</w:t>
            </w:r>
          </w:p>
        </w:tc>
        <w:tc>
          <w:tcPr>
            <w:tcW w:w="2796" w:type="dxa"/>
            <w:vAlign w:val="top"/>
          </w:tcPr>
          <w:p>
            <w:pPr>
              <w:pStyle w:val="TableText"/>
              <w:ind w:left="1061"/>
              <w:spacing w:before="214" w:line="239" w:lineRule="auto"/>
              <w:rPr>
                <w:sz w:val="22"/>
                <w:szCs w:val="22"/>
              </w:rPr>
            </w:pPr>
            <w:r>
              <w:rPr>
                <w:sz w:val="22"/>
                <w:szCs w:val="22"/>
                <w:spacing w:val="-1"/>
              </w:rPr>
              <w:t>-46.75</w:t>
            </w:r>
          </w:p>
        </w:tc>
        <w:tc>
          <w:tcPr>
            <w:shd w:val="clear" w:fill="BDBDBD"/>
            <w:tcW w:w="2077" w:type="dxa"/>
            <w:vAlign w:val="top"/>
          </w:tcPr>
          <w:p>
            <w:pPr>
              <w:pStyle w:val="TableText"/>
              <w:ind w:left="599"/>
              <w:spacing w:before="70" w:line="220" w:lineRule="auto"/>
              <w:rPr>
                <w:sz w:val="22"/>
                <w:szCs w:val="22"/>
              </w:rPr>
            </w:pPr>
            <w:r>
              <w:rPr>
                <w:sz w:val="22"/>
                <w:szCs w:val="22"/>
                <w:b/>
                <w:bCs/>
                <w:spacing w:val="-5"/>
              </w:rPr>
              <w:t>液体比热</w:t>
            </w:r>
          </w:p>
          <w:p>
            <w:pPr>
              <w:pStyle w:val="TableText"/>
              <w:ind w:left="159"/>
              <w:spacing w:before="9" w:line="207" w:lineRule="auto"/>
              <w:rPr>
                <w:sz w:val="22"/>
                <w:szCs w:val="22"/>
              </w:rPr>
            </w:pPr>
            <w:r>
              <w:rPr>
                <w:sz w:val="22"/>
                <w:szCs w:val="22"/>
                <w:b/>
                <w:bCs/>
                <w:spacing w:val="-10"/>
              </w:rPr>
              <w:t>30℃[KJ/(Kg</w:t>
            </w:r>
            <w:r>
              <w:rPr>
                <w:sz w:val="22"/>
                <w:szCs w:val="22"/>
                <w:spacing w:val="-17"/>
              </w:rPr>
              <w:t xml:space="preserve"> </w:t>
            </w:r>
            <w:r>
              <w:rPr>
                <w:sz w:val="22"/>
                <w:szCs w:val="22"/>
                <w:b/>
                <w:bCs/>
                <w:spacing w:val="-10"/>
              </w:rPr>
              <w:t>·K)]</w:t>
            </w:r>
          </w:p>
        </w:tc>
        <w:tc>
          <w:tcPr>
            <w:tcW w:w="1803" w:type="dxa"/>
            <w:vAlign w:val="top"/>
          </w:tcPr>
          <w:p>
            <w:pPr>
              <w:pStyle w:val="TableText"/>
              <w:ind w:left="679"/>
              <w:spacing w:before="214" w:line="239" w:lineRule="auto"/>
              <w:rPr>
                <w:sz w:val="22"/>
                <w:szCs w:val="22"/>
              </w:rPr>
            </w:pPr>
            <w:r>
              <w:rPr>
                <w:sz w:val="22"/>
                <w:szCs w:val="22"/>
                <w:spacing w:val="-5"/>
              </w:rPr>
              <w:t>1.47</w:t>
            </w:r>
          </w:p>
        </w:tc>
      </w:tr>
      <w:tr>
        <w:trPr>
          <w:trHeight w:val="639" w:hRule="atLeast"/>
        </w:trPr>
        <w:tc>
          <w:tcPr>
            <w:shd w:val="clear" w:fill="BDBDBD"/>
            <w:tcW w:w="1763" w:type="dxa"/>
            <w:vAlign w:val="top"/>
          </w:tcPr>
          <w:p>
            <w:pPr>
              <w:pStyle w:val="TableText"/>
              <w:ind w:left="108"/>
              <w:spacing w:before="79" w:line="219" w:lineRule="auto"/>
              <w:rPr>
                <w:sz w:val="22"/>
                <w:szCs w:val="22"/>
              </w:rPr>
            </w:pPr>
            <w:r>
              <w:rPr>
                <w:sz w:val="22"/>
                <w:szCs w:val="22"/>
                <w:b/>
                <w:bCs/>
                <w:spacing w:val="-4"/>
              </w:rPr>
              <w:t>破坏臭氧潜能值</w:t>
            </w:r>
          </w:p>
          <w:p>
            <w:pPr>
              <w:pStyle w:val="TableText"/>
              <w:ind w:left="598"/>
              <w:spacing w:before="23" w:line="222" w:lineRule="auto"/>
              <w:rPr>
                <w:sz w:val="22"/>
                <w:szCs w:val="22"/>
              </w:rPr>
            </w:pPr>
            <w:r>
              <w:rPr>
                <w:sz w:val="22"/>
                <w:szCs w:val="22"/>
                <w:b/>
                <w:bCs/>
                <w:spacing w:val="-12"/>
              </w:rPr>
              <w:t>(ODP)</w:t>
            </w:r>
          </w:p>
        </w:tc>
        <w:tc>
          <w:tcPr>
            <w:tcW w:w="2796" w:type="dxa"/>
            <w:vAlign w:val="top"/>
          </w:tcPr>
          <w:p>
            <w:pPr>
              <w:pStyle w:val="TableText"/>
              <w:ind w:left="1331"/>
              <w:spacing w:before="235"/>
              <w:rPr>
                <w:sz w:val="22"/>
                <w:szCs w:val="22"/>
              </w:rPr>
            </w:pPr>
            <w:r>
              <w:rPr>
                <w:sz w:val="22"/>
                <w:szCs w:val="22"/>
              </w:rPr>
              <w:t>0</w:t>
            </w:r>
          </w:p>
        </w:tc>
        <w:tc>
          <w:tcPr>
            <w:shd w:val="clear" w:fill="BDBDBD"/>
            <w:tcW w:w="2077" w:type="dxa"/>
            <w:vAlign w:val="top"/>
          </w:tcPr>
          <w:p>
            <w:pPr>
              <w:pStyle w:val="TableText"/>
              <w:ind w:left="269"/>
              <w:spacing w:before="81" w:line="219" w:lineRule="auto"/>
              <w:rPr>
                <w:sz w:val="22"/>
                <w:szCs w:val="22"/>
              </w:rPr>
            </w:pPr>
            <w:r>
              <w:rPr>
                <w:sz w:val="22"/>
                <w:szCs w:val="22"/>
                <w:b/>
                <w:bCs/>
                <w:spacing w:val="-4"/>
              </w:rPr>
              <w:t>全球变暖系数值</w:t>
            </w:r>
          </w:p>
          <w:p>
            <w:pPr>
              <w:pStyle w:val="TableText"/>
              <w:ind w:left="379"/>
              <w:spacing w:before="22" w:line="222" w:lineRule="auto"/>
              <w:rPr>
                <w:sz w:val="22"/>
                <w:szCs w:val="22"/>
              </w:rPr>
            </w:pPr>
            <w:r>
              <w:rPr>
                <w:sz w:val="22"/>
                <w:szCs w:val="22"/>
                <w:b/>
                <w:bCs/>
                <w:spacing w:val="-6"/>
              </w:rPr>
              <w:t>(GWP)(CO2=1)</w:t>
            </w:r>
          </w:p>
        </w:tc>
        <w:tc>
          <w:tcPr>
            <w:tcW w:w="1803" w:type="dxa"/>
            <w:vAlign w:val="top"/>
          </w:tcPr>
          <w:p>
            <w:pPr>
              <w:pStyle w:val="TableText"/>
              <w:ind w:left="679"/>
              <w:spacing w:before="235"/>
              <w:rPr>
                <w:sz w:val="22"/>
                <w:szCs w:val="22"/>
              </w:rPr>
            </w:pPr>
            <w:r>
              <w:rPr>
                <w:sz w:val="22"/>
                <w:szCs w:val="22"/>
                <w:spacing w:val="-3"/>
              </w:rPr>
              <w:t>3985</w:t>
            </w:r>
          </w:p>
        </w:tc>
      </w:tr>
      <w:tr>
        <w:trPr>
          <w:trHeight w:val="638" w:hRule="atLeast"/>
        </w:trPr>
        <w:tc>
          <w:tcPr>
            <w:shd w:val="clear" w:fill="BDBDBD"/>
            <w:tcW w:w="1763" w:type="dxa"/>
            <w:vAlign w:val="top"/>
          </w:tcPr>
          <w:p>
            <w:pPr>
              <w:pStyle w:val="TableText"/>
              <w:ind w:left="548"/>
              <w:spacing w:before="212" w:line="220" w:lineRule="auto"/>
              <w:rPr>
                <w:sz w:val="22"/>
                <w:szCs w:val="22"/>
              </w:rPr>
            </w:pPr>
            <w:r>
              <w:rPr>
                <w:sz w:val="22"/>
                <w:szCs w:val="22"/>
                <w:b/>
                <w:bCs/>
                <w:spacing w:val="-5"/>
              </w:rPr>
              <w:t>分子量</w:t>
            </w:r>
          </w:p>
        </w:tc>
        <w:tc>
          <w:tcPr>
            <w:tcW w:w="2796" w:type="dxa"/>
            <w:vAlign w:val="top"/>
          </w:tcPr>
          <w:p>
            <w:pPr>
              <w:pStyle w:val="TableText"/>
              <w:ind w:left="1171"/>
              <w:spacing w:before="236" w:line="239" w:lineRule="auto"/>
              <w:rPr>
                <w:sz w:val="22"/>
                <w:szCs w:val="22"/>
              </w:rPr>
            </w:pPr>
            <w:r>
              <w:rPr>
                <w:sz w:val="22"/>
                <w:szCs w:val="22"/>
                <w:spacing w:val="-2"/>
              </w:rPr>
              <w:t>98.9</w:t>
            </w:r>
          </w:p>
        </w:tc>
        <w:tc>
          <w:tcPr>
            <w:shd w:val="clear" w:fill="BDBDBD"/>
            <w:tcW w:w="2077" w:type="dxa"/>
            <w:vAlign w:val="top"/>
          </w:tcPr>
          <w:p>
            <w:pPr>
              <w:pStyle w:val="TableText"/>
              <w:ind w:left="269"/>
              <w:spacing w:before="82" w:line="220" w:lineRule="auto"/>
              <w:rPr>
                <w:sz w:val="22"/>
                <w:szCs w:val="22"/>
              </w:rPr>
            </w:pPr>
            <w:r>
              <w:rPr>
                <w:sz w:val="22"/>
                <w:szCs w:val="22"/>
                <w:b/>
                <w:bCs/>
                <w:spacing w:val="-4"/>
              </w:rPr>
              <w:t>沸点下蒸发潜能</w:t>
            </w:r>
          </w:p>
          <w:p>
            <w:pPr>
              <w:pStyle w:val="TableText"/>
              <w:ind w:left="649"/>
              <w:spacing w:before="9" w:line="214" w:lineRule="auto"/>
              <w:rPr>
                <w:sz w:val="22"/>
                <w:szCs w:val="22"/>
              </w:rPr>
            </w:pPr>
            <w:r>
              <w:rPr>
                <w:sz w:val="22"/>
                <w:szCs w:val="22"/>
                <w:b/>
                <w:bCs/>
                <w:spacing w:val="-9"/>
              </w:rPr>
              <w:t>(KJ/Kg)</w:t>
            </w:r>
          </w:p>
        </w:tc>
        <w:tc>
          <w:tcPr>
            <w:tcW w:w="1803" w:type="dxa"/>
            <w:vAlign w:val="top"/>
          </w:tcPr>
          <w:p>
            <w:pPr>
              <w:pStyle w:val="TableText"/>
              <w:ind w:left="568"/>
              <w:spacing w:before="236" w:line="239" w:lineRule="auto"/>
              <w:rPr>
                <w:sz w:val="22"/>
                <w:szCs w:val="22"/>
              </w:rPr>
            </w:pPr>
            <w:r>
              <w:rPr>
                <w:sz w:val="22"/>
                <w:szCs w:val="22"/>
                <w:spacing w:val="-4"/>
              </w:rPr>
              <w:t>196.94</w:t>
            </w:r>
          </w:p>
        </w:tc>
      </w:tr>
      <w:tr>
        <w:trPr>
          <w:trHeight w:val="359" w:hRule="atLeast"/>
        </w:trPr>
        <w:tc>
          <w:tcPr>
            <w:shd w:val="clear" w:fill="BDBDBD"/>
            <w:tcW w:w="1763" w:type="dxa"/>
            <w:vAlign w:val="top"/>
          </w:tcPr>
          <w:p>
            <w:pPr>
              <w:pStyle w:val="TableText"/>
              <w:ind w:left="218"/>
              <w:spacing w:before="73" w:line="219" w:lineRule="auto"/>
              <w:rPr>
                <w:sz w:val="22"/>
                <w:szCs w:val="22"/>
              </w:rPr>
            </w:pPr>
            <w:r>
              <w:rPr>
                <w:sz w:val="22"/>
                <w:szCs w:val="22"/>
                <w:b/>
                <w:bCs/>
                <w:spacing w:val="3"/>
              </w:rPr>
              <w:t>临界温度(℃)</w:t>
            </w:r>
          </w:p>
        </w:tc>
        <w:tc>
          <w:tcPr>
            <w:tcW w:w="2796" w:type="dxa"/>
            <w:vAlign w:val="top"/>
          </w:tcPr>
          <w:p>
            <w:pPr>
              <w:pStyle w:val="TableText"/>
              <w:ind w:left="1111"/>
              <w:spacing w:before="98" w:line="210" w:lineRule="auto"/>
              <w:rPr>
                <w:sz w:val="22"/>
                <w:szCs w:val="22"/>
              </w:rPr>
            </w:pPr>
            <w:r>
              <w:rPr>
                <w:sz w:val="22"/>
                <w:szCs w:val="22"/>
                <w:spacing w:val="-3"/>
              </w:rPr>
              <w:t>70.62</w:t>
            </w:r>
          </w:p>
        </w:tc>
        <w:tc>
          <w:tcPr>
            <w:shd w:val="clear" w:fill="BDBDBD"/>
            <w:tcW w:w="2077" w:type="dxa"/>
            <w:vAlign w:val="top"/>
          </w:tcPr>
          <w:p>
            <w:pPr>
              <w:pStyle w:val="TableText"/>
              <w:ind w:left="319"/>
              <w:spacing w:before="73" w:line="219" w:lineRule="auto"/>
              <w:rPr>
                <w:sz w:val="22"/>
                <w:szCs w:val="22"/>
              </w:rPr>
            </w:pPr>
            <w:r>
              <w:rPr>
                <w:sz w:val="22"/>
                <w:szCs w:val="22"/>
                <w:b/>
                <w:bCs/>
                <w:spacing w:val="3"/>
              </w:rPr>
              <w:t>临界压力(</w:t>
            </w:r>
            <w:r>
              <w:rPr>
                <w:sz w:val="22"/>
                <w:szCs w:val="22"/>
                <w:b/>
                <w:bCs/>
              </w:rPr>
              <w:t>kPa</w:t>
            </w:r>
            <w:r>
              <w:rPr>
                <w:sz w:val="22"/>
                <w:szCs w:val="22"/>
                <w:b/>
                <w:bCs/>
                <w:spacing w:val="3"/>
              </w:rPr>
              <w:t>)</w:t>
            </w:r>
          </w:p>
        </w:tc>
        <w:tc>
          <w:tcPr>
            <w:tcW w:w="1803" w:type="dxa"/>
            <w:vAlign w:val="top"/>
          </w:tcPr>
          <w:p>
            <w:pPr>
              <w:pStyle w:val="TableText"/>
              <w:ind w:left="568"/>
              <w:spacing w:before="98" w:line="210" w:lineRule="auto"/>
              <w:rPr>
                <w:sz w:val="22"/>
                <w:szCs w:val="22"/>
              </w:rPr>
            </w:pPr>
            <w:r>
              <w:rPr>
                <w:sz w:val="22"/>
                <w:szCs w:val="22"/>
                <w:spacing w:val="-2"/>
              </w:rPr>
              <w:t>3792.1</w:t>
            </w:r>
          </w:p>
        </w:tc>
      </w:tr>
      <w:tr>
        <w:trPr>
          <w:trHeight w:val="364" w:hRule="atLeast"/>
        </w:trPr>
        <w:tc>
          <w:tcPr>
            <w:shd w:val="clear" w:fill="BDBDBD"/>
            <w:tcW w:w="1763" w:type="dxa"/>
            <w:vAlign w:val="top"/>
          </w:tcPr>
          <w:p>
            <w:pPr>
              <w:pStyle w:val="TableText"/>
              <w:ind w:left="328"/>
              <w:spacing w:before="75" w:line="219" w:lineRule="auto"/>
              <w:rPr>
                <w:sz w:val="22"/>
                <w:szCs w:val="22"/>
              </w:rPr>
            </w:pPr>
            <w:r>
              <w:rPr>
                <w:sz w:val="22"/>
                <w:szCs w:val="22"/>
                <w:b/>
                <w:bCs/>
                <w:spacing w:val="-5"/>
              </w:rPr>
              <w:t>外观与性状</w:t>
            </w:r>
          </w:p>
        </w:tc>
        <w:tc>
          <w:tcPr>
            <w:tcW w:w="2796" w:type="dxa"/>
            <w:vAlign w:val="top"/>
          </w:tcPr>
          <w:p>
            <w:pPr>
              <w:pStyle w:val="TableText"/>
              <w:ind w:left="731"/>
              <w:spacing w:before="78" w:line="219" w:lineRule="auto"/>
              <w:rPr>
                <w:sz w:val="22"/>
                <w:szCs w:val="22"/>
              </w:rPr>
            </w:pPr>
            <w:r>
              <w:rPr>
                <w:sz w:val="22"/>
                <w:szCs w:val="22"/>
                <w:spacing w:val="2"/>
              </w:rPr>
              <w:t>无色，不浑浊</w:t>
            </w:r>
          </w:p>
        </w:tc>
        <w:tc>
          <w:tcPr>
            <w:shd w:val="clear" w:fill="BDBDBD"/>
            <w:tcW w:w="2077" w:type="dxa"/>
            <w:vAlign w:val="top"/>
          </w:tcPr>
          <w:p>
            <w:pPr>
              <w:pStyle w:val="TableText"/>
              <w:ind w:left="269"/>
              <w:spacing w:before="75" w:line="220" w:lineRule="auto"/>
              <w:rPr>
                <w:sz w:val="22"/>
                <w:szCs w:val="22"/>
              </w:rPr>
            </w:pPr>
            <w:r>
              <w:rPr>
                <w:sz w:val="22"/>
                <w:szCs w:val="22"/>
                <w:b/>
                <w:bCs/>
                <w:spacing w:val="-3"/>
              </w:rPr>
              <w:t>ASHRAE安全级别</w:t>
            </w:r>
          </w:p>
        </w:tc>
        <w:tc>
          <w:tcPr>
            <w:tcW w:w="1803" w:type="dxa"/>
            <w:vAlign w:val="top"/>
          </w:tcPr>
          <w:p>
            <w:pPr>
              <w:pStyle w:val="TableText"/>
              <w:ind w:left="129"/>
              <w:spacing w:before="78" w:line="219" w:lineRule="auto"/>
              <w:rPr>
                <w:sz w:val="22"/>
                <w:szCs w:val="22"/>
              </w:rPr>
            </w:pPr>
            <w:r>
              <w:rPr>
                <w:sz w:val="22"/>
                <w:szCs w:val="22"/>
                <w:spacing w:val="5"/>
              </w:rPr>
              <w:t>A1(低毒不易燃)</w:t>
            </w:r>
          </w:p>
        </w:tc>
      </w:tr>
    </w:tbl>
    <w:p>
      <w:pPr>
        <w:ind w:left="548"/>
        <w:spacing w:before="62" w:line="219" w:lineRule="auto"/>
        <w:rPr>
          <w:rFonts w:ascii="SimSun" w:hAnsi="SimSun" w:eastAsia="SimSun" w:cs="SimSun"/>
          <w:sz w:val="24"/>
          <w:szCs w:val="24"/>
        </w:rPr>
      </w:pPr>
      <w:r>
        <w:rPr>
          <w:rFonts w:ascii="SimSun" w:hAnsi="SimSun" w:eastAsia="SimSun" w:cs="SimSun"/>
          <w:sz w:val="24"/>
          <w:szCs w:val="24"/>
          <w:b/>
          <w:bCs/>
          <w:spacing w:val="-4"/>
        </w:rPr>
        <w:t>2、二氯异氰尿酸钠</w:t>
      </w:r>
    </w:p>
    <w:p>
      <w:pPr>
        <w:ind w:left="194" w:right="154" w:firstLine="350"/>
        <w:spacing w:before="197" w:line="375" w:lineRule="auto"/>
        <w:rPr>
          <w:rFonts w:ascii="Times New Roman" w:hAnsi="Times New Roman" w:eastAsia="Times New Roman" w:cs="Times New Roman"/>
          <w:sz w:val="23"/>
          <w:szCs w:val="23"/>
        </w:rPr>
      </w:pPr>
      <w:r>
        <w:rPr>
          <w:rFonts w:ascii="SimSun" w:hAnsi="SimSun" w:eastAsia="SimSun" w:cs="SimSun"/>
          <w:sz w:val="23"/>
          <w:szCs w:val="23"/>
          <w:spacing w:val="11"/>
        </w:rPr>
        <w:t>本品为白色结晶粉末，有氯气味、助燃，熔点225℃、有效氯61%、溶于水</w:t>
      </w:r>
      <w:r>
        <w:rPr>
          <w:rFonts w:ascii="SimSun" w:hAnsi="SimSun" w:eastAsia="SimSun" w:cs="SimSun"/>
          <w:sz w:val="23"/>
          <w:szCs w:val="23"/>
          <w:spacing w:val="4"/>
        </w:rPr>
        <w:t xml:space="preserve"> </w:t>
      </w:r>
      <w:r>
        <w:rPr>
          <w:rFonts w:ascii="Times New Roman" w:hAnsi="Times New Roman" w:eastAsia="Times New Roman" w:cs="Times New Roman"/>
          <w:sz w:val="23"/>
          <w:szCs w:val="23"/>
        </w:rPr>
        <w:t>(1:4,25℃)</w:t>
      </w:r>
      <w:r>
        <w:rPr>
          <w:rFonts w:ascii="Times New Roman" w:hAnsi="Times New Roman" w:eastAsia="Times New Roman" w:cs="Times New Roman"/>
          <w:sz w:val="23"/>
          <w:szCs w:val="23"/>
          <w:spacing w:val="-32"/>
        </w:rPr>
        <w:t xml:space="preserve"> </w:t>
      </w:r>
      <w:r>
        <w:rPr>
          <w:rFonts w:ascii="SimSun" w:hAnsi="SimSun" w:eastAsia="SimSun" w:cs="SimSun"/>
          <w:sz w:val="23"/>
          <w:szCs w:val="23"/>
        </w:rPr>
        <w:t>、</w:t>
      </w:r>
      <w:r>
        <w:rPr>
          <w:rFonts w:ascii="Times New Roman" w:hAnsi="Times New Roman" w:eastAsia="Times New Roman" w:cs="Times New Roman"/>
          <w:sz w:val="23"/>
          <w:szCs w:val="23"/>
        </w:rPr>
        <w:t>pH        </w:t>
      </w:r>
      <w:r>
        <w:rPr>
          <w:rFonts w:ascii="SimSun" w:hAnsi="SimSun" w:eastAsia="SimSun" w:cs="SimSun"/>
          <w:sz w:val="23"/>
          <w:szCs w:val="23"/>
        </w:rPr>
        <w:t>值</w:t>
      </w:r>
      <w:r>
        <w:rPr>
          <w:rFonts w:ascii="SimSun" w:hAnsi="SimSun" w:eastAsia="SimSun" w:cs="SimSun"/>
          <w:sz w:val="23"/>
          <w:szCs w:val="23"/>
          <w:spacing w:val="-1"/>
        </w:rPr>
        <w:t>5.5～6.5、危险类别为第5.1类氧化剂、急性毒性</w:t>
      </w:r>
      <w:r>
        <w:rPr>
          <w:rFonts w:ascii="Times New Roman" w:hAnsi="Times New Roman" w:eastAsia="Times New Roman" w:cs="Times New Roman"/>
          <w:sz w:val="23"/>
          <w:szCs w:val="23"/>
          <w:spacing w:val="-1"/>
        </w:rPr>
        <w:t>LD50:</w:t>
      </w:r>
    </w:p>
    <w:p>
      <w:pPr>
        <w:spacing w:line="375" w:lineRule="auto"/>
        <w:sectPr>
          <w:headerReference w:type="default" r:id="rId211"/>
          <w:footerReference w:type="default" r:id="rId212"/>
          <w:pgSz w:w="11910" w:h="16840"/>
          <w:pgMar w:top="1219" w:right="1745" w:bottom="990" w:left="1715" w:header="865" w:footer="765" w:gutter="0"/>
        </w:sectPr>
        <w:rPr>
          <w:rFonts w:ascii="Times New Roman" w:hAnsi="Times New Roman" w:eastAsia="Times New Roman" w:cs="Times New Roman"/>
          <w:sz w:val="23"/>
          <w:szCs w:val="23"/>
        </w:rPr>
      </w:pPr>
    </w:p>
    <w:p>
      <w:pPr>
        <w:ind w:left="54" w:right="212"/>
        <w:spacing w:before="267" w:line="357" w:lineRule="auto"/>
        <w:jc w:val="both"/>
        <w:rPr>
          <w:rFonts w:ascii="SimSun" w:hAnsi="SimSun" w:eastAsia="SimSun" w:cs="SimSun"/>
          <w:sz w:val="24"/>
          <w:szCs w:val="24"/>
        </w:rPr>
      </w:pPr>
      <w:r>
        <w:rPr>
          <w:rFonts w:ascii="Times New Roman" w:hAnsi="Times New Roman" w:eastAsia="Times New Roman" w:cs="Times New Roman"/>
          <w:sz w:val="24"/>
          <w:szCs w:val="24"/>
          <w:spacing w:val="3"/>
        </w:rPr>
        <w:t>1670</w:t>
      </w:r>
      <w:r>
        <w:rPr>
          <w:rFonts w:ascii="Times New Roman" w:hAnsi="Times New Roman" w:eastAsia="Times New Roman" w:cs="Times New Roman"/>
          <w:sz w:val="24"/>
          <w:szCs w:val="24"/>
        </w:rPr>
        <w:t>mg</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kg</w:t>
      </w:r>
      <w:r>
        <w:rPr>
          <w:rFonts w:ascii="Times New Roman" w:hAnsi="Times New Roman" w:eastAsia="Times New Roman" w:cs="Times New Roman"/>
          <w:sz w:val="24"/>
          <w:szCs w:val="24"/>
          <w:spacing w:val="3"/>
        </w:rPr>
        <w:t xml:space="preserve">    </w:t>
      </w:r>
      <w:r>
        <w:rPr>
          <w:rFonts w:ascii="SimSun" w:hAnsi="SimSun" w:eastAsia="SimSun" w:cs="SimSun"/>
          <w:sz w:val="24"/>
          <w:szCs w:val="24"/>
          <w:spacing w:val="3"/>
        </w:rPr>
        <w:t>(大鼠经口)。二氯异氰尿酸钠为白色粉末状或颗粒状的固体，是</w:t>
      </w:r>
      <w:r>
        <w:rPr>
          <w:rFonts w:ascii="SimSun" w:hAnsi="SimSun" w:eastAsia="SimSun" w:cs="SimSun"/>
          <w:sz w:val="24"/>
          <w:szCs w:val="24"/>
          <w:spacing w:val="13"/>
        </w:rPr>
        <w:t xml:space="preserve"> </w:t>
      </w:r>
      <w:r>
        <w:rPr>
          <w:rFonts w:ascii="SimSun" w:hAnsi="SimSun" w:eastAsia="SimSun" w:cs="SimSun"/>
          <w:sz w:val="24"/>
          <w:szCs w:val="24"/>
        </w:rPr>
        <w:t>氧化型杀菌剂中杀菌中广谱、高水平、低毒、中等</w:t>
      </w:r>
      <w:r>
        <w:rPr>
          <w:rFonts w:ascii="SimSun" w:hAnsi="SimSun" w:eastAsia="SimSun" w:cs="SimSun"/>
          <w:sz w:val="24"/>
          <w:szCs w:val="24"/>
          <w:spacing w:val="-1"/>
        </w:rPr>
        <w:t>刺激性的消毒剂，也是氯代</w:t>
      </w:r>
      <w:r>
        <w:rPr>
          <w:rFonts w:ascii="SimSun" w:hAnsi="SimSun" w:eastAsia="SimSun" w:cs="SimSun"/>
          <w:sz w:val="24"/>
          <w:szCs w:val="24"/>
        </w:rPr>
        <w:t xml:space="preserve"> </w:t>
      </w:r>
      <w:r>
        <w:rPr>
          <w:rFonts w:ascii="SimSun" w:hAnsi="SimSun" w:eastAsia="SimSun" w:cs="SimSun"/>
          <w:sz w:val="24"/>
          <w:szCs w:val="24"/>
        </w:rPr>
        <w:t>异氰尿酸类中的主导产品。可杀灭细菌芽孢、</w:t>
      </w:r>
      <w:r>
        <w:rPr>
          <w:rFonts w:ascii="SimSun" w:hAnsi="SimSun" w:eastAsia="SimSun" w:cs="SimSun"/>
          <w:sz w:val="24"/>
          <w:szCs w:val="24"/>
          <w:spacing w:val="-1"/>
        </w:rPr>
        <w:t>细菌繁殖体、真菌等多种致病性</w:t>
      </w:r>
      <w:r>
        <w:rPr>
          <w:rFonts w:ascii="SimSun" w:hAnsi="SimSun" w:eastAsia="SimSun" w:cs="SimSun"/>
          <w:sz w:val="24"/>
          <w:szCs w:val="24"/>
        </w:rPr>
        <w:t xml:space="preserve"> </w:t>
      </w:r>
      <w:r>
        <w:rPr>
          <w:rFonts w:ascii="SimSun" w:hAnsi="SimSun" w:eastAsia="SimSun" w:cs="SimSun"/>
          <w:sz w:val="24"/>
          <w:szCs w:val="24"/>
        </w:rPr>
        <w:t>微生物，对肝炎病毒有一定杀灭作用，对抑制循环水</w:t>
      </w:r>
      <w:r>
        <w:rPr>
          <w:rFonts w:ascii="SimSun" w:hAnsi="SimSun" w:eastAsia="SimSun" w:cs="SimSun"/>
          <w:sz w:val="24"/>
          <w:szCs w:val="24"/>
          <w:spacing w:val="-1"/>
        </w:rPr>
        <w:t>、冷却塔、水池等系统的</w:t>
      </w:r>
      <w:r>
        <w:rPr>
          <w:rFonts w:ascii="SimSun" w:hAnsi="SimSun" w:eastAsia="SimSun" w:cs="SimSun"/>
          <w:sz w:val="24"/>
          <w:szCs w:val="24"/>
        </w:rPr>
        <w:t xml:space="preserve"> </w:t>
      </w:r>
      <w:r>
        <w:rPr>
          <w:rFonts w:ascii="SimSun" w:hAnsi="SimSun" w:eastAsia="SimSun" w:cs="SimSun"/>
          <w:sz w:val="24"/>
          <w:szCs w:val="24"/>
        </w:rPr>
        <w:t>蓝绿藻、红藻、海藻等藻类植物有一定作用。对循</w:t>
      </w:r>
      <w:r>
        <w:rPr>
          <w:rFonts w:ascii="SimSun" w:hAnsi="SimSun" w:eastAsia="SimSun" w:cs="SimSun"/>
          <w:sz w:val="24"/>
          <w:szCs w:val="24"/>
          <w:spacing w:val="-1"/>
        </w:rPr>
        <w:t>环水系统的硫酸还原菌、铁</w:t>
      </w:r>
      <w:r>
        <w:rPr>
          <w:rFonts w:ascii="SimSun" w:hAnsi="SimSun" w:eastAsia="SimSun" w:cs="SimSun"/>
          <w:sz w:val="24"/>
          <w:szCs w:val="24"/>
        </w:rPr>
        <w:t xml:space="preserve"> </w:t>
      </w:r>
      <w:r>
        <w:rPr>
          <w:rFonts w:ascii="SimSun" w:hAnsi="SimSun" w:eastAsia="SimSun" w:cs="SimSun"/>
          <w:sz w:val="24"/>
          <w:szCs w:val="24"/>
        </w:rPr>
        <w:t>细菌、真菌等有杀灭作用。强氧化剂，与易燃物、有机物接触易着火燃烧，与</w:t>
      </w:r>
      <w:r>
        <w:rPr>
          <w:rFonts w:ascii="SimSun" w:hAnsi="SimSun" w:eastAsia="SimSun" w:cs="SimSun"/>
          <w:sz w:val="24"/>
          <w:szCs w:val="24"/>
          <w:spacing w:val="8"/>
        </w:rPr>
        <w:t xml:space="preserve"> </w:t>
      </w:r>
      <w:r>
        <w:rPr>
          <w:rFonts w:ascii="SimSun" w:hAnsi="SimSun" w:eastAsia="SimSun" w:cs="SimSun"/>
          <w:sz w:val="24"/>
          <w:szCs w:val="24"/>
          <w:spacing w:val="7"/>
        </w:rPr>
        <w:t>含氮化合物(如氨、尿素等)反应生成易爆炸的三氯化氮。受热或遇潮易分解</w:t>
      </w:r>
      <w:r>
        <w:rPr>
          <w:rFonts w:ascii="SimSun" w:hAnsi="SimSun" w:eastAsia="SimSun" w:cs="SimSun"/>
          <w:sz w:val="24"/>
          <w:szCs w:val="24"/>
        </w:rPr>
        <w:t xml:space="preserve"> </w:t>
      </w:r>
      <w:r>
        <w:rPr>
          <w:rFonts w:ascii="SimSun" w:hAnsi="SimSun" w:eastAsia="SimSun" w:cs="SimSun"/>
          <w:sz w:val="24"/>
          <w:szCs w:val="24"/>
          <w:spacing w:val="-2"/>
        </w:rPr>
        <w:t>释出剧毒的烟气。</w:t>
      </w:r>
    </w:p>
    <w:p>
      <w:pPr>
        <w:ind w:left="2408"/>
        <w:spacing w:before="28" w:line="219" w:lineRule="auto"/>
        <w:rPr>
          <w:rFonts w:ascii="SimSun" w:hAnsi="SimSun" w:eastAsia="SimSun" w:cs="SimSun"/>
          <w:sz w:val="23"/>
          <w:szCs w:val="23"/>
        </w:rPr>
      </w:pPr>
      <w:r>
        <w:rPr>
          <w:rFonts w:ascii="SimSun" w:hAnsi="SimSun" w:eastAsia="SimSun" w:cs="SimSun"/>
          <w:sz w:val="23"/>
          <w:szCs w:val="23"/>
          <w:b/>
          <w:bCs/>
          <w:spacing w:val="-3"/>
        </w:rPr>
        <w:t>表3.3-3二氯异氰尿酸钠理化性质表</w:t>
      </w:r>
    </w:p>
    <w:p>
      <w:pPr>
        <w:spacing w:line="60" w:lineRule="auto"/>
        <w:rPr>
          <w:rFonts w:ascii="Arial"/>
          <w:sz w:val="2"/>
        </w:rPr>
      </w:pPr>
      <w:r>
        <w:rPr>
          <w:rFonts w:ascii="Arial"/>
          <w:sz w:val="2"/>
        </w:rPr>
      </w:r>
    </w:p>
    <w:tbl>
      <w:tblPr>
        <w:tblStyle w:val="TableNormal"/>
        <w:tblW w:w="843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653"/>
        <w:gridCol w:w="2726"/>
        <w:gridCol w:w="1978"/>
        <w:gridCol w:w="2082"/>
      </w:tblGrid>
      <w:tr>
        <w:trPr>
          <w:trHeight w:val="363" w:hRule="atLeast"/>
        </w:trPr>
        <w:tc>
          <w:tcPr>
            <w:shd w:val="clear" w:fill="BDBDBD"/>
            <w:tcW w:w="1653" w:type="dxa"/>
            <w:vAlign w:val="top"/>
          </w:tcPr>
          <w:p>
            <w:pPr>
              <w:pStyle w:val="TableText"/>
              <w:ind w:left="607"/>
              <w:spacing w:before="83" w:line="221" w:lineRule="auto"/>
              <w:rPr>
                <w:sz w:val="21"/>
                <w:szCs w:val="21"/>
              </w:rPr>
            </w:pPr>
            <w:r>
              <w:rPr>
                <w:sz w:val="21"/>
                <w:szCs w:val="21"/>
                <w:b/>
                <w:bCs/>
                <w:spacing w:val="-5"/>
              </w:rPr>
              <w:t>名称</w:t>
            </w:r>
          </w:p>
        </w:tc>
        <w:tc>
          <w:tcPr>
            <w:tcW w:w="2726" w:type="dxa"/>
            <w:vAlign w:val="top"/>
          </w:tcPr>
          <w:p>
            <w:pPr>
              <w:pStyle w:val="TableText"/>
              <w:ind w:left="621"/>
              <w:spacing w:before="83" w:line="219" w:lineRule="auto"/>
              <w:rPr>
                <w:sz w:val="21"/>
                <w:szCs w:val="21"/>
              </w:rPr>
            </w:pPr>
            <w:r>
              <w:rPr>
                <w:sz w:val="21"/>
                <w:szCs w:val="21"/>
                <w:spacing w:val="1"/>
              </w:rPr>
              <w:t>二氯异氰尿酸钠</w:t>
            </w:r>
          </w:p>
        </w:tc>
        <w:tc>
          <w:tcPr>
            <w:shd w:val="clear" w:fill="BDBDBD"/>
            <w:tcW w:w="1978" w:type="dxa"/>
            <w:vAlign w:val="top"/>
          </w:tcPr>
          <w:p>
            <w:pPr>
              <w:pStyle w:val="TableText"/>
              <w:ind w:left="658"/>
              <w:spacing w:before="81" w:line="221" w:lineRule="auto"/>
              <w:rPr>
                <w:sz w:val="21"/>
                <w:szCs w:val="21"/>
              </w:rPr>
            </w:pPr>
            <w:r>
              <w:rPr>
                <w:sz w:val="21"/>
                <w:szCs w:val="21"/>
                <w:b/>
                <w:bCs/>
                <w:spacing w:val="-7"/>
              </w:rPr>
              <w:t>C</w:t>
            </w:r>
            <w:r>
              <w:rPr>
                <w:sz w:val="21"/>
                <w:szCs w:val="21"/>
                <w:spacing w:val="-53"/>
              </w:rPr>
              <w:t xml:space="preserve"> </w:t>
            </w:r>
            <w:r>
              <w:rPr>
                <w:sz w:val="21"/>
                <w:szCs w:val="21"/>
                <w:b/>
                <w:bCs/>
                <w:spacing w:val="-7"/>
              </w:rPr>
              <w:t>A</w:t>
            </w:r>
            <w:r>
              <w:rPr>
                <w:sz w:val="21"/>
                <w:szCs w:val="21"/>
                <w:spacing w:val="-47"/>
              </w:rPr>
              <w:t xml:space="preserve"> </w:t>
            </w:r>
            <w:r>
              <w:rPr>
                <w:sz w:val="21"/>
                <w:szCs w:val="21"/>
                <w:b/>
                <w:bCs/>
                <w:spacing w:val="-7"/>
              </w:rPr>
              <w:t>S</w:t>
            </w:r>
            <w:r>
              <w:rPr>
                <w:sz w:val="21"/>
                <w:szCs w:val="21"/>
                <w:spacing w:val="-42"/>
              </w:rPr>
              <w:t xml:space="preserve"> </w:t>
            </w:r>
            <w:r>
              <w:rPr>
                <w:sz w:val="21"/>
                <w:szCs w:val="21"/>
                <w:b/>
                <w:bCs/>
                <w:spacing w:val="-7"/>
              </w:rPr>
              <w:t>号</w:t>
            </w:r>
          </w:p>
        </w:tc>
        <w:tc>
          <w:tcPr>
            <w:tcW w:w="2082" w:type="dxa"/>
            <w:vAlign w:val="top"/>
          </w:tcPr>
          <w:p>
            <w:pPr>
              <w:pStyle w:val="TableText"/>
              <w:ind w:left="557"/>
              <w:spacing w:before="105" w:line="218" w:lineRule="auto"/>
              <w:rPr>
                <w:sz w:val="21"/>
                <w:szCs w:val="21"/>
              </w:rPr>
            </w:pPr>
            <w:r>
              <w:rPr>
                <w:sz w:val="21"/>
                <w:szCs w:val="21"/>
                <w:spacing w:val="-2"/>
              </w:rPr>
              <w:t>2893-78-9</w:t>
            </w:r>
          </w:p>
        </w:tc>
      </w:tr>
      <w:tr>
        <w:trPr>
          <w:trHeight w:val="369" w:hRule="atLeast"/>
        </w:trPr>
        <w:tc>
          <w:tcPr>
            <w:shd w:val="clear" w:fill="BDBDBD"/>
            <w:tcW w:w="1653" w:type="dxa"/>
            <w:vAlign w:val="top"/>
          </w:tcPr>
          <w:p>
            <w:pPr>
              <w:pStyle w:val="TableText"/>
              <w:ind w:left="397"/>
              <w:spacing w:before="78" w:line="220" w:lineRule="auto"/>
              <w:rPr>
                <w:sz w:val="21"/>
                <w:szCs w:val="21"/>
              </w:rPr>
            </w:pPr>
            <w:r>
              <w:rPr>
                <w:sz w:val="21"/>
                <w:szCs w:val="21"/>
                <w:b/>
                <w:bCs/>
                <w:spacing w:val="5"/>
              </w:rPr>
              <w:t>熔点(℃)</w:t>
            </w:r>
          </w:p>
        </w:tc>
        <w:tc>
          <w:tcPr>
            <w:tcW w:w="2726" w:type="dxa"/>
            <w:vAlign w:val="top"/>
          </w:tcPr>
          <w:p>
            <w:pPr>
              <w:pStyle w:val="TableText"/>
              <w:ind w:left="1191"/>
              <w:spacing w:before="101" w:line="226" w:lineRule="auto"/>
              <w:rPr>
                <w:sz w:val="21"/>
                <w:szCs w:val="21"/>
              </w:rPr>
            </w:pPr>
            <w:r>
              <w:rPr>
                <w:sz w:val="21"/>
                <w:szCs w:val="21"/>
                <w:spacing w:val="-3"/>
              </w:rPr>
              <w:t>225</w:t>
            </w:r>
          </w:p>
        </w:tc>
        <w:tc>
          <w:tcPr>
            <w:shd w:val="clear" w:fill="BDBDBD"/>
            <w:tcW w:w="1978" w:type="dxa"/>
            <w:vAlign w:val="top"/>
          </w:tcPr>
          <w:p>
            <w:pPr>
              <w:pStyle w:val="TableText"/>
              <w:ind w:left="668"/>
              <w:spacing w:before="78" w:line="220" w:lineRule="auto"/>
              <w:rPr>
                <w:sz w:val="21"/>
                <w:szCs w:val="21"/>
              </w:rPr>
            </w:pPr>
            <w:r>
              <w:rPr>
                <w:sz w:val="21"/>
                <w:szCs w:val="21"/>
                <w:b/>
                <w:bCs/>
                <w:spacing w:val="-5"/>
              </w:rPr>
              <w:t>分子式</w:t>
            </w:r>
          </w:p>
        </w:tc>
        <w:tc>
          <w:tcPr>
            <w:tcW w:w="2082" w:type="dxa"/>
            <w:vAlign w:val="top"/>
          </w:tcPr>
          <w:p>
            <w:pPr>
              <w:pStyle w:val="TableText"/>
              <w:ind w:left="247"/>
              <w:spacing w:before="79" w:line="219" w:lineRule="auto"/>
              <w:rPr>
                <w:rFonts w:ascii="Calibri" w:hAnsi="Calibri" w:eastAsia="Calibri" w:cs="Calibri"/>
                <w:sz w:val="21"/>
                <w:szCs w:val="21"/>
              </w:rPr>
            </w:pPr>
            <w:r>
              <w:rPr>
                <w:sz w:val="21"/>
                <w:szCs w:val="21"/>
                <w:spacing w:val="-1"/>
              </w:rPr>
              <w:t>C</w:t>
            </w:r>
            <w:r>
              <w:rPr>
                <w:rFonts w:ascii="Calibri" w:hAnsi="Calibri" w:eastAsia="Calibri" w:cs="Calibri"/>
                <w:sz w:val="21"/>
                <w:szCs w:val="21"/>
                <w:spacing w:val="-1"/>
              </w:rPr>
              <w:t>₃</w:t>
            </w:r>
            <w:r>
              <w:rPr>
                <w:sz w:val="21"/>
                <w:szCs w:val="21"/>
                <w:spacing w:val="-1"/>
              </w:rPr>
              <w:t>Cl</w:t>
            </w:r>
            <w:r>
              <w:rPr>
                <w:rFonts w:ascii="Calibri" w:hAnsi="Calibri" w:eastAsia="Calibri" w:cs="Calibri"/>
                <w:sz w:val="21"/>
                <w:szCs w:val="21"/>
                <w:spacing w:val="-1"/>
              </w:rPr>
              <w:t>₂</w:t>
            </w:r>
            <w:r>
              <w:rPr>
                <w:sz w:val="21"/>
                <w:szCs w:val="21"/>
                <w:spacing w:val="-1"/>
              </w:rPr>
              <w:t>N</w:t>
            </w:r>
            <w:r>
              <w:rPr>
                <w:rFonts w:ascii="Calibri" w:hAnsi="Calibri" w:eastAsia="Calibri" w:cs="Calibri"/>
                <w:sz w:val="21"/>
                <w:szCs w:val="21"/>
                <w:spacing w:val="-1"/>
              </w:rPr>
              <w:t>₃</w:t>
            </w:r>
            <w:r>
              <w:rPr>
                <w:sz w:val="21"/>
                <w:szCs w:val="21"/>
                <w:spacing w:val="-1"/>
              </w:rPr>
              <w:t>NaO</w:t>
            </w:r>
            <w:r>
              <w:rPr>
                <w:rFonts w:ascii="Calibri" w:hAnsi="Calibri" w:eastAsia="Calibri" w:cs="Calibri"/>
                <w:sz w:val="21"/>
                <w:szCs w:val="21"/>
                <w:spacing w:val="-1"/>
              </w:rPr>
              <w:t>₃</w:t>
            </w:r>
          </w:p>
        </w:tc>
      </w:tr>
      <w:tr>
        <w:trPr>
          <w:trHeight w:val="358" w:hRule="atLeast"/>
        </w:trPr>
        <w:tc>
          <w:tcPr>
            <w:shd w:val="clear" w:fill="BDBDBD"/>
            <w:tcW w:w="1653" w:type="dxa"/>
            <w:vAlign w:val="top"/>
          </w:tcPr>
          <w:p>
            <w:pPr>
              <w:pStyle w:val="TableText"/>
              <w:ind w:left="507"/>
              <w:spacing w:before="78" w:line="219" w:lineRule="auto"/>
              <w:rPr>
                <w:sz w:val="21"/>
                <w:szCs w:val="21"/>
              </w:rPr>
            </w:pPr>
            <w:r>
              <w:rPr>
                <w:sz w:val="21"/>
                <w:szCs w:val="21"/>
                <w:b/>
                <w:bCs/>
                <w:spacing w:val="-5"/>
              </w:rPr>
              <w:t>水溶性</w:t>
            </w:r>
          </w:p>
        </w:tc>
        <w:tc>
          <w:tcPr>
            <w:tcW w:w="2726" w:type="dxa"/>
            <w:vAlign w:val="top"/>
          </w:tcPr>
          <w:p>
            <w:pPr>
              <w:pStyle w:val="TableText"/>
              <w:ind w:left="561"/>
              <w:spacing w:before="74" w:line="214" w:lineRule="auto"/>
              <w:rPr>
                <w:sz w:val="21"/>
                <w:szCs w:val="21"/>
              </w:rPr>
            </w:pPr>
            <w:r>
              <w:rPr>
                <w:sz w:val="21"/>
                <w:szCs w:val="21"/>
                <w:spacing w:val="-1"/>
              </w:rPr>
              <w:t>30g/100mL(25℃)</w:t>
            </w:r>
          </w:p>
        </w:tc>
        <w:tc>
          <w:tcPr>
            <w:shd w:val="clear" w:fill="BDBDBD"/>
            <w:tcW w:w="1978" w:type="dxa"/>
            <w:vAlign w:val="top"/>
          </w:tcPr>
          <w:p>
            <w:pPr>
              <w:pStyle w:val="TableText"/>
              <w:ind w:left="878"/>
              <w:spacing w:before="106" w:line="182" w:lineRule="auto"/>
              <w:rPr>
                <w:sz w:val="21"/>
                <w:szCs w:val="21"/>
              </w:rPr>
            </w:pPr>
            <w:r>
              <w:rPr>
                <w:sz w:val="21"/>
                <w:szCs w:val="21"/>
                <w:b/>
                <w:bCs/>
                <w:spacing w:val="-4"/>
              </w:rPr>
              <w:t>pH</w:t>
            </w:r>
          </w:p>
        </w:tc>
        <w:tc>
          <w:tcPr>
            <w:tcW w:w="2082" w:type="dxa"/>
            <w:vAlign w:val="top"/>
          </w:tcPr>
          <w:p>
            <w:pPr>
              <w:pStyle w:val="TableText"/>
              <w:ind w:left="667"/>
              <w:spacing w:before="102" w:line="216" w:lineRule="auto"/>
              <w:rPr>
                <w:sz w:val="21"/>
                <w:szCs w:val="21"/>
              </w:rPr>
            </w:pPr>
            <w:r>
              <w:rPr>
                <w:sz w:val="21"/>
                <w:szCs w:val="21"/>
                <w:spacing w:val="-2"/>
              </w:rPr>
              <w:t>5.5~6.5</w:t>
            </w:r>
          </w:p>
        </w:tc>
      </w:tr>
      <w:tr>
        <w:trPr>
          <w:trHeight w:val="369" w:hRule="atLeast"/>
        </w:trPr>
        <w:tc>
          <w:tcPr>
            <w:shd w:val="clear" w:fill="BDBDBD"/>
            <w:tcW w:w="1653" w:type="dxa"/>
            <w:vAlign w:val="top"/>
          </w:tcPr>
          <w:p>
            <w:pPr>
              <w:pStyle w:val="TableText"/>
              <w:ind w:left="507"/>
              <w:spacing w:before="81" w:line="220" w:lineRule="auto"/>
              <w:rPr>
                <w:sz w:val="21"/>
                <w:szCs w:val="21"/>
              </w:rPr>
            </w:pPr>
            <w:r>
              <w:rPr>
                <w:sz w:val="21"/>
                <w:szCs w:val="21"/>
                <w:b/>
                <w:bCs/>
                <w:spacing w:val="-5"/>
              </w:rPr>
              <w:t>有效氯</w:t>
            </w:r>
          </w:p>
        </w:tc>
        <w:tc>
          <w:tcPr>
            <w:tcW w:w="2726" w:type="dxa"/>
            <w:vAlign w:val="top"/>
          </w:tcPr>
          <w:p>
            <w:pPr>
              <w:pStyle w:val="TableText"/>
              <w:ind w:left="1091"/>
              <w:spacing w:before="104" w:line="224" w:lineRule="auto"/>
              <w:rPr>
                <w:sz w:val="21"/>
                <w:szCs w:val="21"/>
              </w:rPr>
            </w:pPr>
            <w:r>
              <w:rPr>
                <w:sz w:val="21"/>
                <w:szCs w:val="21"/>
                <w:spacing w:val="-6"/>
              </w:rPr>
              <w:t>≥58%</w:t>
            </w:r>
          </w:p>
        </w:tc>
        <w:tc>
          <w:tcPr>
            <w:shd w:val="clear" w:fill="BDBDBD"/>
            <w:tcW w:w="1978" w:type="dxa"/>
            <w:vAlign w:val="top"/>
          </w:tcPr>
          <w:p>
            <w:pPr>
              <w:pStyle w:val="TableText"/>
              <w:ind w:left="458"/>
              <w:spacing w:before="80" w:line="219" w:lineRule="auto"/>
              <w:rPr>
                <w:sz w:val="21"/>
                <w:szCs w:val="21"/>
              </w:rPr>
            </w:pPr>
            <w:r>
              <w:rPr>
                <w:sz w:val="21"/>
                <w:szCs w:val="21"/>
                <w:b/>
                <w:bCs/>
              </w:rPr>
              <w:t>危险性类别</w:t>
            </w:r>
          </w:p>
        </w:tc>
        <w:tc>
          <w:tcPr>
            <w:tcW w:w="2082" w:type="dxa"/>
            <w:vAlign w:val="top"/>
          </w:tcPr>
          <w:p>
            <w:pPr>
              <w:pStyle w:val="TableText"/>
              <w:ind w:left="347"/>
              <w:spacing w:before="82" w:line="219" w:lineRule="auto"/>
              <w:rPr>
                <w:sz w:val="21"/>
                <w:szCs w:val="21"/>
              </w:rPr>
            </w:pPr>
            <w:r>
              <w:rPr>
                <w:sz w:val="21"/>
                <w:szCs w:val="21"/>
                <w:spacing w:val="2"/>
              </w:rPr>
              <w:t>第5.1类氧化剂</w:t>
            </w:r>
          </w:p>
        </w:tc>
      </w:tr>
      <w:tr>
        <w:trPr>
          <w:trHeight w:val="338" w:hRule="atLeast"/>
        </w:trPr>
        <w:tc>
          <w:tcPr>
            <w:shd w:val="clear" w:fill="BDBDBD"/>
            <w:tcW w:w="1653" w:type="dxa"/>
            <w:vAlign w:val="top"/>
          </w:tcPr>
          <w:p>
            <w:pPr>
              <w:pStyle w:val="TableText"/>
              <w:ind w:left="298"/>
              <w:spacing w:before="71" w:line="219" w:lineRule="auto"/>
              <w:rPr>
                <w:sz w:val="21"/>
                <w:szCs w:val="21"/>
              </w:rPr>
            </w:pPr>
            <w:r>
              <w:rPr>
                <w:sz w:val="21"/>
                <w:szCs w:val="21"/>
                <w:b/>
                <w:bCs/>
                <w:spacing w:val="-5"/>
              </w:rPr>
              <w:t>外观与性状</w:t>
            </w:r>
          </w:p>
        </w:tc>
        <w:tc>
          <w:tcPr>
            <w:tcW w:w="2726" w:type="dxa"/>
            <w:vAlign w:val="top"/>
          </w:tcPr>
          <w:p>
            <w:pPr>
              <w:pStyle w:val="TableText"/>
              <w:ind w:left="351"/>
              <w:spacing w:before="75" w:line="220" w:lineRule="auto"/>
              <w:rPr>
                <w:sz w:val="21"/>
                <w:szCs w:val="21"/>
              </w:rPr>
            </w:pPr>
            <w:r>
              <w:rPr>
                <w:sz w:val="21"/>
                <w:szCs w:val="21"/>
              </w:rPr>
              <w:t>白色晶体，有氯气味。</w:t>
            </w:r>
          </w:p>
        </w:tc>
        <w:tc>
          <w:tcPr>
            <w:shd w:val="clear" w:fill="BDBDBD"/>
            <w:tcW w:w="1978" w:type="dxa"/>
            <w:vAlign w:val="top"/>
          </w:tcPr>
          <w:p>
            <w:pPr>
              <w:pStyle w:val="TableText"/>
              <w:ind w:left="668"/>
              <w:spacing w:before="70" w:line="219" w:lineRule="auto"/>
              <w:rPr>
                <w:sz w:val="21"/>
                <w:szCs w:val="21"/>
              </w:rPr>
            </w:pPr>
            <w:r>
              <w:rPr>
                <w:sz w:val="21"/>
                <w:szCs w:val="21"/>
                <w:b/>
                <w:bCs/>
                <w:spacing w:val="-5"/>
              </w:rPr>
              <w:t>燃烧性</w:t>
            </w:r>
          </w:p>
        </w:tc>
        <w:tc>
          <w:tcPr>
            <w:tcW w:w="2082" w:type="dxa"/>
            <w:vAlign w:val="top"/>
          </w:tcPr>
          <w:p>
            <w:pPr>
              <w:pStyle w:val="TableText"/>
              <w:ind w:left="827"/>
              <w:spacing w:before="75" w:line="220" w:lineRule="auto"/>
              <w:rPr>
                <w:sz w:val="21"/>
                <w:szCs w:val="21"/>
              </w:rPr>
            </w:pPr>
            <w:r>
              <w:rPr>
                <w:sz w:val="21"/>
                <w:szCs w:val="21"/>
                <w:spacing w:val="-3"/>
              </w:rPr>
              <w:t>助燃</w:t>
            </w:r>
          </w:p>
        </w:tc>
      </w:tr>
      <w:tr>
        <w:trPr>
          <w:trHeight w:val="383" w:hRule="atLeast"/>
        </w:trPr>
        <w:tc>
          <w:tcPr>
            <w:shd w:val="clear" w:fill="BDBDBD"/>
            <w:tcW w:w="1653" w:type="dxa"/>
            <w:vAlign w:val="top"/>
          </w:tcPr>
          <w:p>
            <w:pPr>
              <w:pStyle w:val="TableText"/>
              <w:ind w:left="397"/>
              <w:spacing w:before="93" w:line="219" w:lineRule="auto"/>
              <w:rPr>
                <w:sz w:val="21"/>
                <w:szCs w:val="21"/>
              </w:rPr>
            </w:pPr>
            <w:r>
              <w:rPr>
                <w:sz w:val="21"/>
                <w:szCs w:val="21"/>
                <w:b/>
                <w:bCs/>
                <w:spacing w:val="-5"/>
              </w:rPr>
              <w:t>急性毒性</w:t>
            </w:r>
          </w:p>
        </w:tc>
        <w:tc>
          <w:tcPr>
            <w:tcW w:w="6786" w:type="dxa"/>
            <w:vAlign w:val="top"/>
            <w:gridSpan w:val="3"/>
          </w:tcPr>
          <w:p>
            <w:pPr>
              <w:pStyle w:val="TableText"/>
              <w:ind w:left="1872"/>
              <w:spacing w:before="89" w:line="214" w:lineRule="auto"/>
              <w:rPr>
                <w:sz w:val="21"/>
                <w:szCs w:val="21"/>
              </w:rPr>
            </w:pPr>
            <w:r>
              <w:rPr>
                <w:sz w:val="21"/>
                <w:szCs w:val="21"/>
              </w:rPr>
              <w:t>LDso</w:t>
            </w:r>
            <w:r>
              <w:rPr>
                <w:sz w:val="21"/>
                <w:szCs w:val="21"/>
                <w:spacing w:val="3"/>
              </w:rPr>
              <w:t>:1670</w:t>
            </w:r>
            <w:r>
              <w:rPr>
                <w:sz w:val="21"/>
                <w:szCs w:val="21"/>
              </w:rPr>
              <w:t>mg</w:t>
            </w:r>
            <w:r>
              <w:rPr>
                <w:sz w:val="21"/>
                <w:szCs w:val="21"/>
                <w:spacing w:val="3"/>
              </w:rPr>
              <w:t>/</w:t>
            </w:r>
            <w:r>
              <w:rPr>
                <w:sz w:val="21"/>
                <w:szCs w:val="21"/>
              </w:rPr>
              <w:t>kg</w:t>
            </w:r>
            <w:r>
              <w:rPr>
                <w:sz w:val="21"/>
                <w:szCs w:val="21"/>
                <w:spacing w:val="3"/>
              </w:rPr>
              <w:t>(大鼠经口)</w:t>
            </w:r>
          </w:p>
        </w:tc>
      </w:tr>
    </w:tbl>
    <w:p>
      <w:pPr>
        <w:ind w:left="538"/>
        <w:spacing w:before="61" w:line="220" w:lineRule="auto"/>
        <w:rPr>
          <w:rFonts w:ascii="SimSun" w:hAnsi="SimSun" w:eastAsia="SimSun" w:cs="SimSun"/>
          <w:sz w:val="23"/>
          <w:szCs w:val="23"/>
        </w:rPr>
      </w:pPr>
      <w:r>
        <w:rPr>
          <w:rFonts w:ascii="SimSun" w:hAnsi="SimSun" w:eastAsia="SimSun" w:cs="SimSun"/>
          <w:sz w:val="23"/>
          <w:szCs w:val="23"/>
          <w:b/>
          <w:bCs/>
          <w:spacing w:val="-5"/>
        </w:rPr>
        <w:t>3、聚维酮碘</w:t>
      </w:r>
    </w:p>
    <w:p>
      <w:pPr>
        <w:ind w:left="54" w:right="223" w:firstLine="470"/>
        <w:spacing w:before="190" w:line="362" w:lineRule="auto"/>
        <w:rPr>
          <w:rFonts w:ascii="SimSun" w:hAnsi="SimSun" w:eastAsia="SimSun" w:cs="SimSun"/>
          <w:sz w:val="24"/>
          <w:szCs w:val="24"/>
        </w:rPr>
      </w:pPr>
      <w:r>
        <w:rPr>
          <w:rFonts w:ascii="SimSun" w:hAnsi="SimSun" w:eastAsia="SimSun" w:cs="SimSun"/>
          <w:sz w:val="24"/>
          <w:szCs w:val="24"/>
          <w:spacing w:val="-2"/>
        </w:rPr>
        <w:t>聚维酮碘为1-乙烯基-2-吡咯烷酮均聚物 </w:t>
      </w:r>
      <w:r>
        <w:rPr>
          <w:rFonts w:ascii="Times New Roman" w:hAnsi="Times New Roman" w:eastAsia="Times New Roman" w:cs="Times New Roman"/>
          <w:sz w:val="24"/>
          <w:szCs w:val="24"/>
          <w:spacing w:val="-2"/>
        </w:rPr>
        <w:t>(polyviny</w:t>
      </w:r>
      <w:r>
        <w:rPr>
          <w:rFonts w:ascii="Times New Roman" w:hAnsi="Times New Roman" w:eastAsia="Times New Roman" w:cs="Times New Roman"/>
          <w:sz w:val="24"/>
          <w:szCs w:val="24"/>
          <w:spacing w:val="-3"/>
        </w:rPr>
        <w:t>lpyrrolidone,PVP),      </w:t>
      </w:r>
      <w:r>
        <w:rPr>
          <w:rFonts w:ascii="SimSun" w:hAnsi="SimSun" w:eastAsia="SimSun" w:cs="SimSun"/>
          <w:sz w:val="24"/>
          <w:szCs w:val="24"/>
          <w:spacing w:val="-3"/>
        </w:rPr>
        <w:t>是</w:t>
      </w:r>
      <w:r>
        <w:rPr>
          <w:rFonts w:ascii="SimSun" w:hAnsi="SimSun" w:eastAsia="SimSun" w:cs="SimSun"/>
          <w:sz w:val="24"/>
          <w:szCs w:val="24"/>
        </w:rPr>
        <w:t xml:space="preserve">  </w:t>
      </w:r>
      <w:r>
        <w:rPr>
          <w:rFonts w:ascii="SimSun" w:hAnsi="SimSun" w:eastAsia="SimSun" w:cs="SimSun"/>
          <w:sz w:val="24"/>
          <w:szCs w:val="24"/>
        </w:rPr>
        <w:t>元素碘和聚合物载体相结合而成的疏松复合物，</w:t>
      </w:r>
      <w:r>
        <w:rPr>
          <w:rFonts w:ascii="SimSun" w:hAnsi="SimSun" w:eastAsia="SimSun" w:cs="SimSun"/>
          <w:sz w:val="24"/>
          <w:szCs w:val="24"/>
          <w:spacing w:val="-1"/>
        </w:rPr>
        <w:t>聚维酮起载体和助溶作用。常</w:t>
      </w:r>
      <w:r>
        <w:rPr>
          <w:rFonts w:ascii="SimSun" w:hAnsi="SimSun" w:eastAsia="SimSun" w:cs="SimSun"/>
          <w:sz w:val="24"/>
          <w:szCs w:val="24"/>
        </w:rPr>
        <w:t xml:space="preserve"> </w:t>
      </w:r>
      <w:r>
        <w:rPr>
          <w:rFonts w:ascii="SimSun" w:hAnsi="SimSun" w:eastAsia="SimSun" w:cs="SimSun"/>
          <w:sz w:val="24"/>
          <w:szCs w:val="24"/>
          <w:spacing w:val="-1"/>
        </w:rPr>
        <w:t>温下为黄棕色至棕红色无定形粉末。微臭，易溶于水或乙醇，水溶液呈酸性，</w:t>
      </w:r>
      <w:r>
        <w:rPr>
          <w:rFonts w:ascii="SimSun" w:hAnsi="SimSun" w:eastAsia="SimSun" w:cs="SimSun"/>
          <w:sz w:val="24"/>
          <w:szCs w:val="24"/>
          <w:spacing w:val="3"/>
        </w:rPr>
        <w:t xml:space="preserve"> </w:t>
      </w:r>
      <w:r>
        <w:rPr>
          <w:rFonts w:ascii="SimSun" w:hAnsi="SimSun" w:eastAsia="SimSun" w:cs="SimSun"/>
          <w:sz w:val="24"/>
          <w:szCs w:val="24"/>
        </w:rPr>
        <w:t>不溶于乙醚、氯仿、丙酮、乙烷及四氯化碳</w:t>
      </w:r>
      <w:r>
        <w:rPr>
          <w:rFonts w:ascii="SimSun" w:hAnsi="SimSun" w:eastAsia="SimSun" w:cs="SimSun"/>
          <w:sz w:val="24"/>
          <w:szCs w:val="24"/>
          <w:spacing w:val="-1"/>
        </w:rPr>
        <w:t>。聚维酮碘水溶液无碘酊缺点，着</w:t>
      </w:r>
      <w:r>
        <w:rPr>
          <w:rFonts w:ascii="SimSun" w:hAnsi="SimSun" w:eastAsia="SimSun" w:cs="SimSun"/>
          <w:sz w:val="24"/>
          <w:szCs w:val="24"/>
        </w:rPr>
        <w:t xml:space="preserve"> </w:t>
      </w:r>
      <w:r>
        <w:rPr>
          <w:rFonts w:ascii="SimSun" w:hAnsi="SimSun" w:eastAsia="SimSun" w:cs="SimSun"/>
          <w:sz w:val="24"/>
          <w:szCs w:val="24"/>
        </w:rPr>
        <w:t>色浅，易洗脱，对黏膜刺激小，不需乙醇脱碘，无腐蚀作用，且毒性低。熔点</w:t>
      </w:r>
      <w:r>
        <w:rPr>
          <w:rFonts w:ascii="SimSun" w:hAnsi="SimSun" w:eastAsia="SimSun" w:cs="SimSun"/>
          <w:sz w:val="24"/>
          <w:szCs w:val="24"/>
          <w:spacing w:val="10"/>
        </w:rPr>
        <w:t xml:space="preserve"> </w:t>
      </w:r>
      <w:r>
        <w:rPr>
          <w:rFonts w:ascii="SimSun" w:hAnsi="SimSun" w:eastAsia="SimSun" w:cs="SimSun"/>
          <w:sz w:val="24"/>
          <w:szCs w:val="24"/>
          <w:spacing w:val="-4"/>
        </w:rPr>
        <w:t>300℃、闪点93.9℃、蒸汽压：0.132</w:t>
      </w:r>
      <w:r>
        <w:rPr>
          <w:rFonts w:ascii="Times New Roman" w:hAnsi="Times New Roman" w:eastAsia="Times New Roman" w:cs="Times New Roman"/>
          <w:sz w:val="24"/>
          <w:szCs w:val="24"/>
          <w:spacing w:val="-4"/>
        </w:rPr>
        <w:t>mmHga</w:t>
      </w:r>
      <w:r>
        <w:rPr>
          <w:rFonts w:ascii="Times New Roman" w:hAnsi="Times New Roman" w:eastAsia="Times New Roman" w:cs="Times New Roman"/>
          <w:sz w:val="24"/>
          <w:szCs w:val="24"/>
          <w:spacing w:val="-5"/>
        </w:rPr>
        <w:t>t25℃</w:t>
      </w:r>
      <w:r>
        <w:rPr>
          <w:rFonts w:ascii="SimSun" w:hAnsi="SimSun" w:eastAsia="SimSun" w:cs="SimSun"/>
          <w:sz w:val="24"/>
          <w:szCs w:val="24"/>
          <w:spacing w:val="-5"/>
        </w:rPr>
        <w:t>。</w:t>
      </w:r>
    </w:p>
    <w:p>
      <w:pPr>
        <w:ind w:left="54" w:right="174" w:firstLine="470"/>
        <w:spacing w:before="4" w:line="355" w:lineRule="auto"/>
        <w:jc w:val="both"/>
        <w:rPr>
          <w:rFonts w:ascii="SimSun" w:hAnsi="SimSun" w:eastAsia="SimSun" w:cs="SimSun"/>
          <w:sz w:val="24"/>
          <w:szCs w:val="24"/>
        </w:rPr>
      </w:pPr>
      <w:r>
        <w:rPr>
          <w:rFonts w:ascii="SimSun" w:hAnsi="SimSun" w:eastAsia="SimSun" w:cs="SimSun"/>
          <w:sz w:val="24"/>
          <w:szCs w:val="24"/>
          <w:spacing w:val="-1"/>
        </w:rPr>
        <w:t>按干燥品计算，应含有效碘9.0%-12.0%。1-乙烯基-</w:t>
      </w:r>
      <w:r>
        <w:rPr>
          <w:rFonts w:ascii="SimSun" w:hAnsi="SimSun" w:eastAsia="SimSun" w:cs="SimSun"/>
          <w:sz w:val="24"/>
          <w:szCs w:val="24"/>
          <w:spacing w:val="-2"/>
        </w:rPr>
        <w:t>2-吡咯烷酮均聚物为非</w:t>
      </w:r>
      <w:r>
        <w:rPr>
          <w:rFonts w:ascii="SimSun" w:hAnsi="SimSun" w:eastAsia="SimSun" w:cs="SimSun"/>
          <w:sz w:val="24"/>
          <w:szCs w:val="24"/>
        </w:rPr>
        <w:t xml:space="preserve"> </w:t>
      </w:r>
      <w:r>
        <w:rPr>
          <w:rFonts w:ascii="SimSun" w:hAnsi="SimSun" w:eastAsia="SimSun" w:cs="SimSun"/>
          <w:sz w:val="24"/>
          <w:szCs w:val="24"/>
        </w:rPr>
        <w:t>离子表面活性剂，在消毒剂中不仅作为载体</w:t>
      </w:r>
      <w:r>
        <w:rPr>
          <w:rFonts w:ascii="SimSun" w:hAnsi="SimSun" w:eastAsia="SimSun" w:cs="SimSun"/>
          <w:sz w:val="24"/>
          <w:szCs w:val="24"/>
          <w:spacing w:val="-1"/>
        </w:rPr>
        <w:t>并有助溶作用。因此，聚维酮碘除</w:t>
      </w:r>
      <w:r>
        <w:rPr>
          <w:rFonts w:ascii="SimSun" w:hAnsi="SimSun" w:eastAsia="SimSun" w:cs="SimSun"/>
          <w:sz w:val="24"/>
          <w:szCs w:val="24"/>
        </w:rPr>
        <w:t xml:space="preserve"> </w:t>
      </w:r>
      <w:r>
        <w:rPr>
          <w:rFonts w:ascii="SimSun" w:hAnsi="SimSun" w:eastAsia="SimSun" w:cs="SimSun"/>
          <w:sz w:val="24"/>
          <w:szCs w:val="24"/>
          <w:spacing w:val="-6"/>
        </w:rPr>
        <w:t>溶于乙醇外亦易溶于水，水溶液呈红棕色，pH</w:t>
      </w:r>
      <w:r>
        <w:rPr>
          <w:rFonts w:ascii="SimSun" w:hAnsi="SimSun" w:eastAsia="SimSun" w:cs="SimSun"/>
          <w:sz w:val="24"/>
          <w:szCs w:val="24"/>
          <w:spacing w:val="-9"/>
        </w:rPr>
        <w:t xml:space="preserve"> </w:t>
      </w:r>
      <w:r>
        <w:rPr>
          <w:rFonts w:ascii="SimSun" w:hAnsi="SimSun" w:eastAsia="SimSun" w:cs="SimSun"/>
          <w:sz w:val="24"/>
          <w:szCs w:val="24"/>
          <w:spacing w:val="-6"/>
        </w:rPr>
        <w:t>值为5.0-6.5。在其水溶液中，碘</w:t>
      </w:r>
      <w:r>
        <w:rPr>
          <w:rFonts w:ascii="SimSun" w:hAnsi="SimSun" w:eastAsia="SimSun" w:cs="SimSun"/>
          <w:sz w:val="24"/>
          <w:szCs w:val="24"/>
        </w:rPr>
        <w:t xml:space="preserve"> </w:t>
      </w:r>
      <w:r>
        <w:rPr>
          <w:rFonts w:ascii="SimSun" w:hAnsi="SimSun" w:eastAsia="SimSun" w:cs="SimSun"/>
          <w:sz w:val="24"/>
          <w:szCs w:val="24"/>
          <w:spacing w:val="-3"/>
        </w:rPr>
        <w:t>可逐渐释放以保持较长时间的杀菌作用。</w:t>
      </w:r>
    </w:p>
    <w:p>
      <w:pPr>
        <w:ind w:left="524"/>
        <w:spacing w:before="23" w:line="219" w:lineRule="auto"/>
        <w:rPr>
          <w:rFonts w:ascii="SimSun" w:hAnsi="SimSun" w:eastAsia="SimSun" w:cs="SimSun"/>
          <w:sz w:val="24"/>
          <w:szCs w:val="24"/>
        </w:rPr>
      </w:pPr>
      <w:r>
        <w:rPr>
          <w:rFonts w:ascii="SimSun" w:hAnsi="SimSun" w:eastAsia="SimSun" w:cs="SimSun"/>
          <w:sz w:val="24"/>
          <w:szCs w:val="24"/>
          <w:spacing w:val="2"/>
        </w:rPr>
        <w:t>一般制成10%的溶液，用作消毒剂。有效杀灭：新城疫，法氏囊，禽流</w:t>
      </w:r>
    </w:p>
    <w:p>
      <w:pPr>
        <w:ind w:left="54" w:right="245"/>
        <w:spacing w:before="167" w:line="348" w:lineRule="auto"/>
        <w:rPr>
          <w:rFonts w:ascii="SimSun" w:hAnsi="SimSun" w:eastAsia="SimSun" w:cs="SimSun"/>
          <w:sz w:val="24"/>
          <w:szCs w:val="24"/>
        </w:rPr>
      </w:pPr>
      <w:r>
        <w:rPr>
          <w:rFonts w:ascii="SimSun" w:hAnsi="SimSun" w:eastAsia="SimSun" w:cs="SimSun"/>
          <w:sz w:val="24"/>
          <w:szCs w:val="24"/>
        </w:rPr>
        <w:t>感，支原体，大肠杆菌，沙门氏菌，流感，蓝耳病</w:t>
      </w:r>
      <w:r>
        <w:rPr>
          <w:rFonts w:ascii="SimSun" w:hAnsi="SimSun" w:eastAsia="SimSun" w:cs="SimSun"/>
          <w:sz w:val="24"/>
          <w:szCs w:val="24"/>
          <w:spacing w:val="-1"/>
        </w:rPr>
        <w:t>等。还能杀灭畜禽寄生虫虫</w:t>
      </w:r>
      <w:r>
        <w:rPr>
          <w:rFonts w:ascii="SimSun" w:hAnsi="SimSun" w:eastAsia="SimSun" w:cs="SimSun"/>
          <w:sz w:val="24"/>
          <w:szCs w:val="24"/>
        </w:rPr>
        <w:t xml:space="preserve"> </w:t>
      </w:r>
      <w:r>
        <w:rPr>
          <w:rFonts w:ascii="SimSun" w:hAnsi="SimSun" w:eastAsia="SimSun" w:cs="SimSun"/>
          <w:sz w:val="24"/>
          <w:szCs w:val="24"/>
          <w:spacing w:val="-4"/>
        </w:rPr>
        <w:t>卵，并能抑制蚊蝇等昆虫的滋生。</w:t>
      </w:r>
    </w:p>
    <w:p>
      <w:pPr>
        <w:ind w:left="524"/>
        <w:spacing w:before="28" w:line="212" w:lineRule="auto"/>
        <w:rPr>
          <w:rFonts w:ascii="SimSun" w:hAnsi="SimSun" w:eastAsia="SimSun" w:cs="SimSun"/>
          <w:sz w:val="24"/>
          <w:szCs w:val="24"/>
        </w:rPr>
      </w:pPr>
      <w:r>
        <w:rPr>
          <w:rFonts w:ascii="SimSun" w:hAnsi="SimSun" w:eastAsia="SimSun" w:cs="SimSun"/>
          <w:sz w:val="24"/>
          <w:szCs w:val="24"/>
          <w:spacing w:val="5"/>
        </w:rPr>
        <w:t>急性毒性：</w:t>
      </w:r>
      <w:r>
        <w:rPr>
          <w:rFonts w:ascii="Times New Roman" w:hAnsi="Times New Roman" w:eastAsia="Times New Roman" w:cs="Times New Roman"/>
          <w:sz w:val="24"/>
          <w:szCs w:val="24"/>
        </w:rPr>
        <w:t>LDs</w:t>
      </w:r>
      <w:r>
        <w:rPr>
          <w:rFonts w:ascii="Times New Roman" w:hAnsi="Times New Roman" w:eastAsia="Times New Roman" w:cs="Times New Roman"/>
          <w:sz w:val="24"/>
          <w:szCs w:val="24"/>
          <w:spacing w:val="5"/>
        </w:rPr>
        <w:t>0:8.1g/</w:t>
      </w:r>
      <w:r>
        <w:rPr>
          <w:rFonts w:ascii="Times New Roman" w:hAnsi="Times New Roman" w:eastAsia="Times New Roman" w:cs="Times New Roman"/>
          <w:sz w:val="24"/>
          <w:szCs w:val="24"/>
        </w:rPr>
        <w:t>kg</w:t>
      </w:r>
      <w:r>
        <w:rPr>
          <w:rFonts w:ascii="Times New Roman" w:hAnsi="Times New Roman" w:eastAsia="Times New Roman" w:cs="Times New Roman"/>
          <w:sz w:val="24"/>
          <w:szCs w:val="24"/>
          <w:spacing w:val="19"/>
        </w:rPr>
        <w:t xml:space="preserve">   </w:t>
      </w:r>
      <w:r>
        <w:rPr>
          <w:rFonts w:ascii="SimSun" w:hAnsi="SimSun" w:eastAsia="SimSun" w:cs="SimSun"/>
          <w:sz w:val="24"/>
          <w:szCs w:val="24"/>
          <w:spacing w:val="5"/>
        </w:rPr>
        <w:t>(小鼠经口)。</w:t>
      </w:r>
    </w:p>
    <w:p>
      <w:pPr>
        <w:ind w:left="528"/>
        <w:spacing w:before="179" w:line="219" w:lineRule="auto"/>
        <w:rPr>
          <w:rFonts w:ascii="SimSun" w:hAnsi="SimSun" w:eastAsia="SimSun" w:cs="SimSun"/>
          <w:sz w:val="24"/>
          <w:szCs w:val="24"/>
        </w:rPr>
      </w:pPr>
      <w:r>
        <w:rPr>
          <w:rFonts w:ascii="SimSun" w:hAnsi="SimSun" w:eastAsia="SimSun" w:cs="SimSun"/>
          <w:sz w:val="24"/>
          <w:szCs w:val="24"/>
          <w:b/>
          <w:bCs/>
          <w:spacing w:val="1"/>
        </w:rPr>
        <w:t>4、次氯酸钠</w:t>
      </w:r>
    </w:p>
    <w:p>
      <w:pPr>
        <w:spacing w:line="219" w:lineRule="auto"/>
        <w:sectPr>
          <w:headerReference w:type="default" r:id="rId213"/>
          <w:footerReference w:type="default" r:id="rId214"/>
          <w:pgSz w:w="11910" w:h="16840"/>
          <w:pgMar w:top="1207" w:right="1735" w:bottom="962" w:left="1725" w:header="915" w:footer="777" w:gutter="0"/>
        </w:sectPr>
        <w:rPr>
          <w:rFonts w:ascii="SimSun" w:hAnsi="SimSun" w:eastAsia="SimSun" w:cs="SimSun"/>
          <w:sz w:val="24"/>
          <w:szCs w:val="24"/>
        </w:rPr>
      </w:pPr>
    </w:p>
    <w:p>
      <w:pPr>
        <w:ind w:right="41" w:firstLine="480"/>
        <w:spacing w:before="298" w:line="354" w:lineRule="auto"/>
        <w:rPr>
          <w:rFonts w:ascii="SimSun" w:hAnsi="SimSun" w:eastAsia="SimSun" w:cs="SimSun"/>
          <w:sz w:val="24"/>
          <w:szCs w:val="24"/>
        </w:rPr>
      </w:pPr>
      <w:r>
        <w:rPr>
          <w:rFonts w:ascii="SimSun" w:hAnsi="SimSun" w:eastAsia="SimSun" w:cs="SimSun"/>
          <w:sz w:val="24"/>
          <w:szCs w:val="24"/>
          <w:spacing w:val="4"/>
        </w:rPr>
        <w:t>无色至浅黄绿色液体。熔点-6℃,沸点102.2℃。有氯臭。有1、2.</w:t>
      </w:r>
      <w:r>
        <w:rPr>
          <w:rFonts w:ascii="SimSun" w:hAnsi="SimSun" w:eastAsia="SimSun" w:cs="SimSun"/>
          <w:sz w:val="24"/>
          <w:szCs w:val="24"/>
          <w:spacing w:val="3"/>
        </w:rPr>
        <w:t>5、5、6</w:t>
      </w:r>
      <w:r>
        <w:rPr>
          <w:rFonts w:ascii="SimSun" w:hAnsi="SimSun" w:eastAsia="SimSun" w:cs="SimSun"/>
          <w:sz w:val="24"/>
          <w:szCs w:val="24"/>
        </w:rPr>
        <w:t xml:space="preserve"> </w:t>
      </w:r>
      <w:r>
        <w:rPr>
          <w:rFonts w:ascii="SimSun" w:hAnsi="SimSun" w:eastAsia="SimSun" w:cs="SimSun"/>
          <w:sz w:val="24"/>
          <w:szCs w:val="24"/>
          <w:spacing w:val="20"/>
        </w:rPr>
        <w:t>或7四种水合物。七水盐(熔点19℃)及五水盐(熔点27℃)为极不稳定的结</w:t>
      </w:r>
      <w:r>
        <w:rPr>
          <w:rFonts w:ascii="SimSun" w:hAnsi="SimSun" w:eastAsia="SimSun" w:cs="SimSun"/>
          <w:sz w:val="24"/>
          <w:szCs w:val="24"/>
          <w:spacing w:val="12"/>
        </w:rPr>
        <w:t xml:space="preserve"> </w:t>
      </w:r>
      <w:r>
        <w:rPr>
          <w:rFonts w:ascii="SimSun" w:hAnsi="SimSun" w:eastAsia="SimSun" w:cs="SimSun"/>
          <w:sz w:val="24"/>
          <w:szCs w:val="24"/>
          <w:spacing w:val="1"/>
        </w:rPr>
        <w:t>晶，遇空气中二氧化碳则分解。</w:t>
      </w:r>
      <w:r>
        <w:rPr>
          <w:rFonts w:ascii="SimSun" w:hAnsi="SimSun" w:eastAsia="SimSun" w:cs="SimSun"/>
          <w:sz w:val="24"/>
          <w:szCs w:val="24"/>
          <w:spacing w:val="-45"/>
        </w:rPr>
        <w:t xml:space="preserve"> </w:t>
      </w:r>
      <w:r>
        <w:rPr>
          <w:rFonts w:ascii="SimSun" w:hAnsi="SimSun" w:eastAsia="SimSun" w:cs="SimSun"/>
          <w:sz w:val="24"/>
          <w:szCs w:val="24"/>
          <w:spacing w:val="1"/>
        </w:rPr>
        <w:t>一般以水溶液的形式存在。存在铁时呈红色。</w:t>
      </w:r>
      <w:r>
        <w:rPr>
          <w:rFonts w:ascii="SimSun" w:hAnsi="SimSun" w:eastAsia="SimSun" w:cs="SimSun"/>
          <w:sz w:val="24"/>
          <w:szCs w:val="24"/>
        </w:rPr>
        <w:t xml:space="preserve"> </w:t>
      </w:r>
      <w:r>
        <w:rPr>
          <w:rFonts w:ascii="SimSun" w:hAnsi="SimSun" w:eastAsia="SimSun" w:cs="SimSun"/>
          <w:sz w:val="24"/>
          <w:szCs w:val="24"/>
          <w:spacing w:val="4"/>
        </w:rPr>
        <w:t>溶于冷水，在热水中分解，如混有苛性钠则在空气中不稳定</w:t>
      </w:r>
      <w:r>
        <w:rPr>
          <w:rFonts w:ascii="SimSun" w:hAnsi="SimSun" w:eastAsia="SimSun" w:cs="SimSun"/>
          <w:sz w:val="24"/>
          <w:szCs w:val="24"/>
          <w:spacing w:val="3"/>
        </w:rPr>
        <w:t>。能使红色石蕊试</w:t>
      </w:r>
      <w:r>
        <w:rPr>
          <w:rFonts w:ascii="SimSun" w:hAnsi="SimSun" w:eastAsia="SimSun" w:cs="SimSun"/>
          <w:sz w:val="24"/>
          <w:szCs w:val="24"/>
        </w:rPr>
        <w:t xml:space="preserve"> </w:t>
      </w:r>
      <w:r>
        <w:rPr>
          <w:rFonts w:ascii="SimSun" w:hAnsi="SimSun" w:eastAsia="SimSun" w:cs="SimSun"/>
          <w:sz w:val="24"/>
          <w:szCs w:val="24"/>
          <w:spacing w:val="7"/>
        </w:rPr>
        <w:t>纸变蓝，继而褪色。相对密度1.1(液体时)。其氯消毒能力强。水溶液会</w:t>
      </w:r>
      <w:r>
        <w:rPr>
          <w:rFonts w:ascii="SimSun" w:hAnsi="SimSun" w:eastAsia="SimSun" w:cs="SimSun"/>
          <w:sz w:val="24"/>
          <w:szCs w:val="24"/>
          <w:spacing w:val="6"/>
        </w:rPr>
        <w:t>产生</w:t>
      </w:r>
      <w:r>
        <w:rPr>
          <w:rFonts w:ascii="SimSun" w:hAnsi="SimSun" w:eastAsia="SimSun" w:cs="SimSun"/>
          <w:sz w:val="24"/>
          <w:szCs w:val="24"/>
        </w:rPr>
        <w:t xml:space="preserve"> </w:t>
      </w:r>
      <w:r>
        <w:rPr>
          <w:rFonts w:ascii="SimSun" w:hAnsi="SimSun" w:eastAsia="SimSun" w:cs="SimSun"/>
          <w:sz w:val="24"/>
          <w:szCs w:val="24"/>
          <w:spacing w:val="1"/>
        </w:rPr>
        <w:t>游离氧，显示强的氧化、漂白、杀菌作用。</w:t>
      </w:r>
      <w:r>
        <w:rPr>
          <w:rFonts w:ascii="Times New Roman" w:hAnsi="Times New Roman" w:eastAsia="Times New Roman" w:cs="Times New Roman"/>
          <w:sz w:val="24"/>
          <w:szCs w:val="24"/>
        </w:rPr>
        <w:t>pH</w:t>
      </w:r>
      <w:r>
        <w:rPr>
          <w:rFonts w:ascii="SimSun" w:hAnsi="SimSun" w:eastAsia="SimSun" w:cs="SimSun"/>
          <w:sz w:val="24"/>
          <w:szCs w:val="24"/>
          <w:spacing w:val="1"/>
        </w:rPr>
        <w:t>值低则杀菌力强。</w:t>
      </w:r>
      <w:r>
        <w:rPr>
          <w:rFonts w:ascii="SimSun" w:hAnsi="SimSun" w:eastAsia="SimSun" w:cs="SimSun"/>
          <w:sz w:val="24"/>
          <w:szCs w:val="24"/>
          <w:spacing w:val="-67"/>
        </w:rPr>
        <w:t xml:space="preserve"> </w:t>
      </w:r>
      <w:r>
        <w:rPr>
          <w:rFonts w:ascii="SimSun" w:hAnsi="SimSun" w:eastAsia="SimSun" w:cs="SimSun"/>
          <w:sz w:val="24"/>
          <w:szCs w:val="24"/>
          <w:spacing w:val="1"/>
        </w:rPr>
        <w:t>一般市售</w:t>
      </w:r>
      <w:r>
        <w:rPr>
          <w:rFonts w:ascii="SimSun" w:hAnsi="SimSun" w:eastAsia="SimSun" w:cs="SimSun"/>
          <w:sz w:val="24"/>
          <w:szCs w:val="24"/>
        </w:rPr>
        <w:t>品的 </w:t>
      </w:r>
      <w:r>
        <w:rPr>
          <w:rFonts w:ascii="SimSun" w:hAnsi="SimSun" w:eastAsia="SimSun" w:cs="SimSun"/>
          <w:sz w:val="24"/>
          <w:szCs w:val="24"/>
          <w:spacing w:val="10"/>
        </w:rPr>
        <w:t>有效氯含量为4%～6%。</w:t>
      </w:r>
    </w:p>
    <w:p>
      <w:pPr>
        <w:ind w:right="63" w:firstLine="480"/>
        <w:spacing w:before="48" w:line="356" w:lineRule="auto"/>
        <w:rPr>
          <w:rFonts w:ascii="SimSun" w:hAnsi="SimSun" w:eastAsia="SimSun" w:cs="SimSun"/>
          <w:sz w:val="24"/>
          <w:szCs w:val="24"/>
        </w:rPr>
      </w:pPr>
      <w:r>
        <w:rPr>
          <w:rFonts w:ascii="SimSun" w:hAnsi="SimSun" w:eastAsia="SimSun" w:cs="SimSun"/>
          <w:sz w:val="24"/>
          <w:szCs w:val="24"/>
        </w:rPr>
        <w:t>危险性类别：第8.3类其它腐蚀品。燃爆危险：本品不燃，具腐蚀性，可致</w:t>
      </w:r>
      <w:r>
        <w:rPr>
          <w:rFonts w:ascii="SimSun" w:hAnsi="SimSun" w:eastAsia="SimSun" w:cs="SimSun"/>
          <w:sz w:val="24"/>
          <w:szCs w:val="24"/>
          <w:spacing w:val="8"/>
        </w:rPr>
        <w:t xml:space="preserve"> </w:t>
      </w:r>
      <w:r>
        <w:rPr>
          <w:rFonts w:ascii="SimSun" w:hAnsi="SimSun" w:eastAsia="SimSun" w:cs="SimSun"/>
          <w:sz w:val="24"/>
          <w:szCs w:val="24"/>
          <w:spacing w:val="3"/>
        </w:rPr>
        <w:t>人体灼伤，具致敏性。急性毒性：</w:t>
      </w:r>
      <w:r>
        <w:rPr>
          <w:rFonts w:ascii="SimSun" w:hAnsi="SimSun" w:eastAsia="SimSun" w:cs="SimSun"/>
          <w:sz w:val="24"/>
          <w:szCs w:val="24"/>
        </w:rPr>
        <w:t>LD</w:t>
      </w:r>
      <w:r>
        <w:rPr>
          <w:rFonts w:ascii="SimSun" w:hAnsi="SimSun" w:eastAsia="SimSun" w:cs="SimSun"/>
          <w:sz w:val="24"/>
          <w:szCs w:val="24"/>
          <w:spacing w:val="3"/>
        </w:rPr>
        <w:t>50:5800</w:t>
      </w:r>
      <w:r>
        <w:rPr>
          <w:rFonts w:ascii="SimSun" w:hAnsi="SimSun" w:eastAsia="SimSun" w:cs="SimSun"/>
          <w:sz w:val="24"/>
          <w:szCs w:val="24"/>
        </w:rPr>
        <w:t>mg</w:t>
      </w:r>
      <w:r>
        <w:rPr>
          <w:rFonts w:ascii="SimSun" w:hAnsi="SimSun" w:eastAsia="SimSun" w:cs="SimSun"/>
          <w:sz w:val="24"/>
          <w:szCs w:val="24"/>
          <w:spacing w:val="3"/>
        </w:rPr>
        <w:t>/</w:t>
      </w:r>
      <w:r>
        <w:rPr>
          <w:rFonts w:ascii="SimSun" w:hAnsi="SimSun" w:eastAsia="SimSun" w:cs="SimSun"/>
          <w:sz w:val="24"/>
          <w:szCs w:val="24"/>
        </w:rPr>
        <w:t>kg</w:t>
      </w:r>
      <w:r>
        <w:rPr>
          <w:rFonts w:ascii="SimSun" w:hAnsi="SimSun" w:eastAsia="SimSun" w:cs="SimSun"/>
          <w:sz w:val="24"/>
          <w:szCs w:val="24"/>
          <w:spacing w:val="49"/>
        </w:rPr>
        <w:t xml:space="preserve">  </w:t>
      </w:r>
      <w:r>
        <w:rPr>
          <w:rFonts w:ascii="SimSun" w:hAnsi="SimSun" w:eastAsia="SimSun" w:cs="SimSun"/>
          <w:sz w:val="24"/>
          <w:szCs w:val="24"/>
          <w:spacing w:val="3"/>
        </w:rPr>
        <w:t>(小鼠经口)。</w:t>
      </w:r>
    </w:p>
    <w:p>
      <w:pPr>
        <w:ind w:left="480"/>
        <w:spacing w:before="44" w:line="1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b/>
          <w:bCs/>
          <w:spacing w:val="-7"/>
        </w:rPr>
        <w:t>5</w:t>
      </w:r>
      <w:r>
        <w:rPr>
          <w:rFonts w:ascii="Times New Roman" w:hAnsi="Times New Roman" w:eastAsia="Times New Roman" w:cs="Times New Roman"/>
          <w:sz w:val="24"/>
          <w:szCs w:val="24"/>
          <w:b/>
          <w:bCs/>
          <w:spacing w:val="-34"/>
        </w:rPr>
        <w:t xml:space="preserve"> </w:t>
      </w:r>
      <w:r>
        <w:rPr>
          <w:rFonts w:ascii="SimSun" w:hAnsi="SimSun" w:eastAsia="SimSun" w:cs="SimSun"/>
          <w:sz w:val="24"/>
          <w:szCs w:val="24"/>
          <w:b/>
          <w:bCs/>
          <w:spacing w:val="-7"/>
        </w:rPr>
        <w:t>、</w:t>
      </w:r>
      <w:r>
        <w:rPr>
          <w:rFonts w:ascii="Times New Roman" w:hAnsi="Times New Roman" w:eastAsia="Times New Roman" w:cs="Times New Roman"/>
          <w:sz w:val="24"/>
          <w:szCs w:val="24"/>
          <w:b/>
          <w:bCs/>
          <w:spacing w:val="-7"/>
        </w:rPr>
        <w:t>PAC</w:t>
      </w:r>
    </w:p>
    <w:p>
      <w:pPr>
        <w:ind w:right="59" w:firstLine="480"/>
        <w:spacing w:before="135" w:line="357" w:lineRule="auto"/>
        <w:jc w:val="both"/>
        <w:rPr>
          <w:rFonts w:ascii="SimSun" w:hAnsi="SimSun" w:eastAsia="SimSun" w:cs="SimSun"/>
          <w:sz w:val="24"/>
          <w:szCs w:val="24"/>
        </w:rPr>
      </w:pPr>
      <w:r>
        <w:rPr>
          <w:rFonts w:ascii="SimSun" w:hAnsi="SimSun" w:eastAsia="SimSun" w:cs="SimSun"/>
          <w:sz w:val="24"/>
          <w:szCs w:val="24"/>
          <w:spacing w:val="6"/>
        </w:rPr>
        <w:t>聚合氯化铝</w:t>
      </w:r>
      <w:r>
        <w:rPr>
          <w:rFonts w:ascii="SimSun" w:hAnsi="SimSun" w:eastAsia="SimSun" w:cs="SimSun"/>
          <w:sz w:val="24"/>
          <w:szCs w:val="24"/>
          <w:spacing w:val="-34"/>
        </w:rPr>
        <w:t xml:space="preserve"> </w:t>
      </w:r>
      <w:r>
        <w:rPr>
          <w:rFonts w:ascii="Times New Roman" w:hAnsi="Times New Roman" w:eastAsia="Times New Roman" w:cs="Times New Roman"/>
          <w:sz w:val="24"/>
          <w:szCs w:val="24"/>
          <w:spacing w:val="6"/>
        </w:rPr>
        <w:t>(</w:t>
      </w:r>
      <w:r>
        <w:rPr>
          <w:rFonts w:ascii="Times New Roman" w:hAnsi="Times New Roman" w:eastAsia="Times New Roman" w:cs="Times New Roman"/>
          <w:sz w:val="24"/>
          <w:szCs w:val="24"/>
        </w:rPr>
        <w:t>PAC</w:t>
      </w:r>
      <w:r>
        <w:rPr>
          <w:rFonts w:ascii="Times New Roman" w:hAnsi="Times New Roman" w:eastAsia="Times New Roman" w:cs="Times New Roman"/>
          <w:sz w:val="24"/>
          <w:szCs w:val="24"/>
          <w:spacing w:val="6"/>
        </w:rPr>
        <w:t>)   </w:t>
      </w:r>
      <w:r>
        <w:rPr>
          <w:rFonts w:ascii="SimSun" w:hAnsi="SimSun" w:eastAsia="SimSun" w:cs="SimSun"/>
          <w:sz w:val="24"/>
          <w:szCs w:val="24"/>
          <w:spacing w:val="6"/>
        </w:rPr>
        <w:t>是一种新型净化材料，无机高分子混凝剂，又被简称</w:t>
      </w:r>
      <w:r>
        <w:rPr>
          <w:rFonts w:ascii="SimSun" w:hAnsi="SimSun" w:eastAsia="SimSun" w:cs="SimSun"/>
          <w:sz w:val="24"/>
          <w:szCs w:val="24"/>
        </w:rPr>
        <w:t xml:space="preserve"> </w:t>
      </w:r>
      <w:r>
        <w:rPr>
          <w:rFonts w:ascii="SimSun" w:hAnsi="SimSun" w:eastAsia="SimSun" w:cs="SimSun"/>
          <w:sz w:val="24"/>
          <w:szCs w:val="24"/>
          <w:spacing w:val="4"/>
        </w:rPr>
        <w:t>为聚铝，它是由于氢氧根离子的架桥作用和多价阴离子的聚合</w:t>
      </w:r>
      <w:r>
        <w:rPr>
          <w:rFonts w:ascii="SimSun" w:hAnsi="SimSun" w:eastAsia="SimSun" w:cs="SimSun"/>
          <w:sz w:val="24"/>
          <w:szCs w:val="24"/>
          <w:spacing w:val="3"/>
        </w:rPr>
        <w:t>作用而产生的分</w:t>
      </w:r>
      <w:r>
        <w:rPr>
          <w:rFonts w:ascii="SimSun" w:hAnsi="SimSun" w:eastAsia="SimSun" w:cs="SimSun"/>
          <w:sz w:val="24"/>
          <w:szCs w:val="24"/>
        </w:rPr>
        <w:t xml:space="preserve"> </w:t>
      </w:r>
      <w:r>
        <w:rPr>
          <w:rFonts w:ascii="SimSun" w:hAnsi="SimSun" w:eastAsia="SimSun" w:cs="SimSun"/>
          <w:sz w:val="24"/>
          <w:szCs w:val="24"/>
          <w:spacing w:val="11"/>
        </w:rPr>
        <w:t>子量较大、电荷较高的无机高分子水处理药剂。聚合氯化铝呈金黄色、土黄</w:t>
      </w:r>
      <w:r>
        <w:rPr>
          <w:rFonts w:ascii="SimSun" w:hAnsi="SimSun" w:eastAsia="SimSun" w:cs="SimSun"/>
          <w:sz w:val="24"/>
          <w:szCs w:val="24"/>
          <w:spacing w:val="5"/>
        </w:rPr>
        <w:t xml:space="preserve"> </w:t>
      </w:r>
      <w:r>
        <w:rPr>
          <w:rFonts w:ascii="SimSun" w:hAnsi="SimSun" w:eastAsia="SimSun" w:cs="SimSun"/>
          <w:sz w:val="24"/>
          <w:szCs w:val="24"/>
        </w:rPr>
        <w:t>色、褐色、红色颗粒状/片状，净化后的水质优于硫酸铝混凝剂，净水成本与之</w:t>
      </w:r>
      <w:r>
        <w:rPr>
          <w:rFonts w:ascii="SimSun" w:hAnsi="SimSun" w:eastAsia="SimSun" w:cs="SimSun"/>
          <w:sz w:val="24"/>
          <w:szCs w:val="24"/>
          <w:spacing w:val="8"/>
        </w:rPr>
        <w:t xml:space="preserve"> </w:t>
      </w:r>
      <w:r>
        <w:rPr>
          <w:rFonts w:ascii="SimSun" w:hAnsi="SimSun" w:eastAsia="SimSun" w:cs="SimSun"/>
          <w:sz w:val="24"/>
          <w:szCs w:val="24"/>
          <w:spacing w:val="6"/>
        </w:rPr>
        <w:t>相低15-30%,絮凝体形成快、沉降速度快，比硫酸铝等传统产品处理能力大，</w:t>
      </w:r>
      <w:r>
        <w:rPr>
          <w:rFonts w:ascii="SimSun" w:hAnsi="SimSun" w:eastAsia="SimSun" w:cs="SimSun"/>
          <w:sz w:val="24"/>
          <w:szCs w:val="24"/>
          <w:spacing w:val="7"/>
        </w:rPr>
        <w:t xml:space="preserve"> </w:t>
      </w:r>
      <w:r>
        <w:rPr>
          <w:rFonts w:ascii="SimSun" w:hAnsi="SimSun" w:eastAsia="SimSun" w:cs="SimSun"/>
          <w:sz w:val="24"/>
          <w:szCs w:val="24"/>
          <w:spacing w:val="4"/>
        </w:rPr>
        <w:t>它能消耗水中碱度低于各种无机混凝剂，因而可不投或少投碱剂</w:t>
      </w:r>
      <w:r>
        <w:rPr>
          <w:rFonts w:ascii="SimSun" w:hAnsi="SimSun" w:eastAsia="SimSun" w:cs="SimSun"/>
          <w:sz w:val="24"/>
          <w:szCs w:val="24"/>
          <w:spacing w:val="3"/>
        </w:rPr>
        <w:t>，适用的原水</w:t>
      </w:r>
      <w:r>
        <w:rPr>
          <w:rFonts w:ascii="SimSun" w:hAnsi="SimSun" w:eastAsia="SimSun" w:cs="SimSun"/>
          <w:sz w:val="24"/>
          <w:szCs w:val="24"/>
        </w:rPr>
        <w:t xml:space="preserve"> </w:t>
      </w:r>
      <w:r>
        <w:rPr>
          <w:rFonts w:ascii="Times New Roman" w:hAnsi="Times New Roman" w:eastAsia="Times New Roman" w:cs="Times New Roman"/>
          <w:sz w:val="24"/>
          <w:szCs w:val="24"/>
        </w:rPr>
        <w:t>pH</w:t>
      </w:r>
      <w:r>
        <w:rPr>
          <w:rFonts w:ascii="SimSun" w:hAnsi="SimSun" w:eastAsia="SimSun" w:cs="SimSun"/>
          <w:sz w:val="24"/>
          <w:szCs w:val="24"/>
          <w:spacing w:val="2"/>
        </w:rPr>
        <w:t>范围为5.0-9.0,其腐蚀性小，操作条件好，溶解性优于硫酸铝，对源头温度</w:t>
      </w:r>
      <w:r>
        <w:rPr>
          <w:rFonts w:ascii="SimSun" w:hAnsi="SimSun" w:eastAsia="SimSun" w:cs="SimSun"/>
          <w:sz w:val="24"/>
          <w:szCs w:val="24"/>
          <w:spacing w:val="5"/>
        </w:rPr>
        <w:t xml:space="preserve"> </w:t>
      </w:r>
      <w:r>
        <w:rPr>
          <w:rFonts w:ascii="SimSun" w:hAnsi="SimSun" w:eastAsia="SimSun" w:cs="SimSun"/>
          <w:sz w:val="24"/>
          <w:szCs w:val="24"/>
          <w:spacing w:val="-2"/>
        </w:rPr>
        <w:t>的适用性优于硫酸铝等无机混凝剂。</w:t>
      </w:r>
    </w:p>
    <w:p>
      <w:pPr>
        <w:ind w:left="480"/>
        <w:spacing w:before="117" w:line="1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b/>
          <w:bCs/>
          <w:spacing w:val="-8"/>
        </w:rPr>
        <w:t>6</w:t>
      </w:r>
      <w:r>
        <w:rPr>
          <w:rFonts w:ascii="Times New Roman" w:hAnsi="Times New Roman" w:eastAsia="Times New Roman" w:cs="Times New Roman"/>
          <w:sz w:val="24"/>
          <w:szCs w:val="24"/>
          <w:b/>
          <w:bCs/>
          <w:spacing w:val="-31"/>
        </w:rPr>
        <w:t xml:space="preserve"> </w:t>
      </w:r>
      <w:r>
        <w:rPr>
          <w:rFonts w:ascii="SimSun" w:hAnsi="SimSun" w:eastAsia="SimSun" w:cs="SimSun"/>
          <w:sz w:val="24"/>
          <w:szCs w:val="24"/>
          <w:b/>
          <w:bCs/>
          <w:spacing w:val="-8"/>
        </w:rPr>
        <w:t>、</w:t>
      </w:r>
      <w:r>
        <w:rPr>
          <w:rFonts w:ascii="Times New Roman" w:hAnsi="Times New Roman" w:eastAsia="Times New Roman" w:cs="Times New Roman"/>
          <w:sz w:val="24"/>
          <w:szCs w:val="24"/>
          <w:b/>
          <w:bCs/>
          <w:spacing w:val="-8"/>
        </w:rPr>
        <w:t>PAM</w:t>
      </w:r>
    </w:p>
    <w:p>
      <w:pPr>
        <w:ind w:right="47" w:firstLine="480"/>
        <w:spacing w:before="160" w:line="360" w:lineRule="auto"/>
        <w:jc w:val="both"/>
        <w:rPr>
          <w:rFonts w:ascii="SimSun" w:hAnsi="SimSun" w:eastAsia="SimSun" w:cs="SimSun"/>
          <w:sz w:val="24"/>
          <w:szCs w:val="24"/>
        </w:rPr>
      </w:pPr>
      <w:r>
        <w:rPr>
          <w:rFonts w:ascii="SimSun" w:hAnsi="SimSun" w:eastAsia="SimSun" w:cs="SimSun"/>
          <w:sz w:val="24"/>
          <w:szCs w:val="24"/>
          <w:spacing w:val="3"/>
        </w:rPr>
        <w:t>聚丙烯酰胺</w:t>
      </w:r>
      <w:r>
        <w:rPr>
          <w:rFonts w:ascii="SimSun" w:hAnsi="SimSun" w:eastAsia="SimSun" w:cs="SimSun"/>
          <w:sz w:val="24"/>
          <w:szCs w:val="24"/>
          <w:spacing w:val="-11"/>
        </w:rPr>
        <w:t xml:space="preserve"> </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PAM</w:t>
      </w:r>
      <w:r>
        <w:rPr>
          <w:rFonts w:ascii="Times New Roman" w:hAnsi="Times New Roman" w:eastAsia="Times New Roman" w:cs="Times New Roman"/>
          <w:sz w:val="24"/>
          <w:szCs w:val="24"/>
          <w:spacing w:val="3"/>
        </w:rPr>
        <w:t>)   </w:t>
      </w:r>
      <w:r>
        <w:rPr>
          <w:rFonts w:ascii="SimSun" w:hAnsi="SimSun" w:eastAsia="SimSun" w:cs="SimSun"/>
          <w:sz w:val="24"/>
          <w:szCs w:val="24"/>
          <w:spacing w:val="3"/>
        </w:rPr>
        <w:t>是丙烯酰胺均聚物或与其他单体共聚的聚合物统称，</w:t>
      </w:r>
      <w:r>
        <w:rPr>
          <w:rFonts w:ascii="SimSun" w:hAnsi="SimSun" w:eastAsia="SimSun" w:cs="SimSun"/>
          <w:sz w:val="24"/>
          <w:szCs w:val="24"/>
        </w:rPr>
        <w:t xml:space="preserve"> </w:t>
      </w:r>
      <w:r>
        <w:rPr>
          <w:rFonts w:ascii="SimSun" w:hAnsi="SimSun" w:eastAsia="SimSun" w:cs="SimSun"/>
          <w:sz w:val="24"/>
          <w:szCs w:val="24"/>
          <w:spacing w:val="6"/>
        </w:rPr>
        <w:t>为白色粉状物，密度为1.320g/</w:t>
      </w:r>
      <w:r>
        <w:rPr>
          <w:rFonts w:ascii="SimSun" w:hAnsi="SimSun" w:eastAsia="SimSun" w:cs="SimSun"/>
          <w:sz w:val="24"/>
          <w:szCs w:val="24"/>
        </w:rPr>
        <w:t>cm</w:t>
      </w:r>
      <w:r>
        <w:rPr>
          <w:rFonts w:ascii="SimSun" w:hAnsi="SimSun" w:eastAsia="SimSun" w:cs="SimSun"/>
          <w:sz w:val="24"/>
          <w:szCs w:val="24"/>
          <w:spacing w:val="6"/>
        </w:rPr>
        <w:t>³(23℃),玻璃化温度为188℃,软化温度近于</w:t>
      </w:r>
      <w:r>
        <w:rPr>
          <w:rFonts w:ascii="SimSun" w:hAnsi="SimSun" w:eastAsia="SimSun" w:cs="SimSun"/>
          <w:sz w:val="24"/>
          <w:szCs w:val="24"/>
          <w:spacing w:val="7"/>
        </w:rPr>
        <w:t xml:space="preserve"> </w:t>
      </w:r>
      <w:r>
        <w:rPr>
          <w:rFonts w:ascii="SimSun" w:hAnsi="SimSun" w:eastAsia="SimSun" w:cs="SimSun"/>
          <w:sz w:val="24"/>
          <w:szCs w:val="24"/>
        </w:rPr>
        <w:t>210℃,一般方法干燥时含有少量的水。干时又会很快从环境中吸取水分。</w:t>
      </w:r>
      <w:r>
        <w:rPr>
          <w:rFonts w:ascii="SimSun" w:hAnsi="SimSun" w:eastAsia="SimSun" w:cs="SimSun"/>
          <w:sz w:val="24"/>
          <w:szCs w:val="24"/>
          <w:spacing w:val="-16"/>
        </w:rPr>
        <w:t xml:space="preserve"> </w:t>
      </w:r>
      <w:r>
        <w:rPr>
          <w:rFonts w:ascii="Times New Roman" w:hAnsi="Times New Roman" w:eastAsia="Times New Roman" w:cs="Times New Roman"/>
          <w:sz w:val="24"/>
          <w:szCs w:val="24"/>
        </w:rPr>
        <w:t>PAM </w:t>
      </w:r>
      <w:r>
        <w:rPr>
          <w:rFonts w:ascii="SimSun" w:hAnsi="SimSun" w:eastAsia="SimSun" w:cs="SimSun"/>
          <w:sz w:val="24"/>
          <w:szCs w:val="24"/>
          <w:spacing w:val="-1"/>
        </w:rPr>
        <w:t>能使悬浮物质通过电中和，桥架吸附作用，起絮凝作用。</w:t>
      </w:r>
    </w:p>
    <w:p>
      <w:pPr>
        <w:ind w:left="480"/>
        <w:spacing w:before="28" w:line="212" w:lineRule="auto"/>
        <w:rPr>
          <w:rFonts w:ascii="SimSun" w:hAnsi="SimSun" w:eastAsia="SimSun" w:cs="SimSun"/>
          <w:sz w:val="24"/>
          <w:szCs w:val="24"/>
        </w:rPr>
      </w:pPr>
      <w:r>
        <w:rPr>
          <w:rFonts w:ascii="SimSun" w:hAnsi="SimSun" w:eastAsia="SimSun" w:cs="SimSun"/>
          <w:sz w:val="24"/>
          <w:szCs w:val="24"/>
          <w:spacing w:val="9"/>
        </w:rPr>
        <w:t>急性毒性：</w:t>
      </w:r>
      <w:r>
        <w:rPr>
          <w:rFonts w:ascii="Times New Roman" w:hAnsi="Times New Roman" w:eastAsia="Times New Roman" w:cs="Times New Roman"/>
          <w:sz w:val="24"/>
          <w:szCs w:val="24"/>
        </w:rPr>
        <w:t>LDso</w:t>
      </w:r>
      <w:r>
        <w:rPr>
          <w:rFonts w:ascii="Times New Roman" w:hAnsi="Times New Roman" w:eastAsia="Times New Roman" w:cs="Times New Roman"/>
          <w:sz w:val="24"/>
          <w:szCs w:val="24"/>
          <w:spacing w:val="9"/>
        </w:rPr>
        <w:t>:3600</w:t>
      </w:r>
      <w:r>
        <w:rPr>
          <w:rFonts w:ascii="Times New Roman" w:hAnsi="Times New Roman" w:eastAsia="Times New Roman" w:cs="Times New Roman"/>
          <w:sz w:val="24"/>
          <w:szCs w:val="24"/>
        </w:rPr>
        <w:t>mg</w:t>
      </w:r>
      <w:r>
        <w:rPr>
          <w:rFonts w:ascii="Times New Roman" w:hAnsi="Times New Roman" w:eastAsia="Times New Roman" w:cs="Times New Roman"/>
          <w:sz w:val="24"/>
          <w:szCs w:val="24"/>
          <w:spacing w:val="9"/>
        </w:rPr>
        <w:t>/</w:t>
      </w:r>
      <w:r>
        <w:rPr>
          <w:rFonts w:ascii="Times New Roman" w:hAnsi="Times New Roman" w:eastAsia="Times New Roman" w:cs="Times New Roman"/>
          <w:sz w:val="24"/>
          <w:szCs w:val="24"/>
        </w:rPr>
        <w:t>kg</w:t>
      </w:r>
      <w:r>
        <w:rPr>
          <w:rFonts w:ascii="Times New Roman" w:hAnsi="Times New Roman" w:eastAsia="Times New Roman" w:cs="Times New Roman"/>
          <w:sz w:val="24"/>
          <w:szCs w:val="24"/>
          <w:spacing w:val="9"/>
        </w:rPr>
        <w:t xml:space="preserve">   </w:t>
      </w:r>
      <w:r>
        <w:rPr>
          <w:rFonts w:ascii="SimSun" w:hAnsi="SimSun" w:eastAsia="SimSun" w:cs="SimSun"/>
          <w:sz w:val="24"/>
          <w:szCs w:val="24"/>
          <w:spacing w:val="9"/>
        </w:rPr>
        <w:t>(大鼠经口);</w:t>
      </w:r>
      <w:r>
        <w:rPr>
          <w:rFonts w:ascii="SimSun" w:hAnsi="SimSun" w:eastAsia="SimSun" w:cs="SimSun"/>
          <w:sz w:val="24"/>
          <w:szCs w:val="24"/>
          <w:spacing w:val="-51"/>
        </w:rPr>
        <w:t xml:space="preserve"> </w:t>
      </w:r>
      <w:r>
        <w:rPr>
          <w:rFonts w:ascii="Times New Roman" w:hAnsi="Times New Roman" w:eastAsia="Times New Roman" w:cs="Times New Roman"/>
          <w:sz w:val="24"/>
          <w:szCs w:val="24"/>
        </w:rPr>
        <w:t>LDso</w:t>
      </w:r>
      <w:r>
        <w:rPr>
          <w:rFonts w:ascii="Times New Roman" w:hAnsi="Times New Roman" w:eastAsia="Times New Roman" w:cs="Times New Roman"/>
          <w:sz w:val="24"/>
          <w:szCs w:val="24"/>
          <w:spacing w:val="9"/>
        </w:rPr>
        <w:t>:&gt;1g/</w:t>
      </w:r>
      <w:r>
        <w:rPr>
          <w:rFonts w:ascii="Times New Roman" w:hAnsi="Times New Roman" w:eastAsia="Times New Roman" w:cs="Times New Roman"/>
          <w:sz w:val="24"/>
          <w:szCs w:val="24"/>
        </w:rPr>
        <w:t>kg</w:t>
      </w:r>
      <w:r>
        <w:rPr>
          <w:rFonts w:ascii="Times New Roman" w:hAnsi="Times New Roman" w:eastAsia="Times New Roman" w:cs="Times New Roman"/>
          <w:sz w:val="24"/>
          <w:szCs w:val="24"/>
          <w:spacing w:val="9"/>
        </w:rPr>
        <w:t xml:space="preserve">  </w:t>
      </w:r>
      <w:r>
        <w:rPr>
          <w:rFonts w:ascii="Times New Roman" w:hAnsi="Times New Roman" w:eastAsia="Times New Roman" w:cs="Times New Roman"/>
          <w:sz w:val="24"/>
          <w:szCs w:val="24"/>
          <w:spacing w:val="8"/>
        </w:rPr>
        <w:t xml:space="preserve">  </w:t>
      </w:r>
      <w:r>
        <w:rPr>
          <w:rFonts w:ascii="SimSun" w:hAnsi="SimSun" w:eastAsia="SimSun" w:cs="SimSun"/>
          <w:sz w:val="24"/>
          <w:szCs w:val="24"/>
          <w:spacing w:val="8"/>
        </w:rPr>
        <w:t>(大鼠吸入)。</w:t>
      </w:r>
    </w:p>
    <w:p>
      <w:pPr>
        <w:ind w:left="3"/>
        <w:spacing w:before="197" w:line="222" w:lineRule="auto"/>
        <w:outlineLvl w:val="1"/>
        <w:rPr>
          <w:rFonts w:ascii="SimHei" w:hAnsi="SimHei" w:eastAsia="SimHei" w:cs="SimHei"/>
          <w:sz w:val="24"/>
          <w:szCs w:val="24"/>
        </w:rPr>
      </w:pPr>
      <w:bookmarkStart w:name="bookmark34" w:id="62"/>
      <w:bookmarkEnd w:id="62"/>
      <w:r>
        <w:rPr>
          <w:rFonts w:ascii="SimHei" w:hAnsi="SimHei" w:eastAsia="SimHei" w:cs="SimHei"/>
          <w:sz w:val="24"/>
          <w:szCs w:val="24"/>
          <w:b/>
          <w:bCs/>
          <w:spacing w:val="17"/>
        </w:rPr>
        <w:t>3</w:t>
      </w:r>
      <w:r>
        <w:rPr>
          <w:rFonts w:ascii="SimHei" w:hAnsi="SimHei" w:eastAsia="SimHei" w:cs="SimHei"/>
          <w:sz w:val="24"/>
          <w:szCs w:val="24"/>
          <w:spacing w:val="-66"/>
        </w:rPr>
        <w:t xml:space="preserve"> </w:t>
      </w:r>
      <w:r>
        <w:rPr>
          <w:rFonts w:ascii="SimHei" w:hAnsi="SimHei" w:eastAsia="SimHei" w:cs="SimHei"/>
          <w:sz w:val="24"/>
          <w:szCs w:val="24"/>
          <w:b/>
          <w:bCs/>
          <w:spacing w:val="17"/>
        </w:rPr>
        <w:t>.4项目主要设备</w:t>
      </w:r>
    </w:p>
    <w:p>
      <w:pPr>
        <w:ind w:right="40" w:firstLine="480"/>
        <w:spacing w:before="246" w:line="347" w:lineRule="auto"/>
        <w:jc w:val="both"/>
        <w:rPr>
          <w:rFonts w:ascii="SimSun" w:hAnsi="SimSun" w:eastAsia="SimSun" w:cs="SimSun"/>
          <w:sz w:val="24"/>
          <w:szCs w:val="24"/>
        </w:rPr>
      </w:pPr>
      <w:r>
        <w:rPr>
          <w:rFonts w:ascii="SimSun" w:hAnsi="SimSun" w:eastAsia="SimSun" w:cs="SimSun"/>
          <w:sz w:val="24"/>
          <w:szCs w:val="24"/>
          <w:spacing w:val="5"/>
        </w:rPr>
        <w:t>本项目为改扩建项目，拆除原项目污水处理站、锅炉</w:t>
      </w:r>
      <w:r>
        <w:rPr>
          <w:rFonts w:ascii="SimSun" w:hAnsi="SimSun" w:eastAsia="SimSun" w:cs="SimSun"/>
          <w:sz w:val="24"/>
          <w:szCs w:val="24"/>
          <w:spacing w:val="4"/>
        </w:rPr>
        <w:t>房、生猪屠宰车间内</w:t>
      </w:r>
      <w:r>
        <w:rPr>
          <w:rFonts w:ascii="SimSun" w:hAnsi="SimSun" w:eastAsia="SimSun" w:cs="SimSun"/>
          <w:sz w:val="24"/>
          <w:szCs w:val="24"/>
        </w:rPr>
        <w:t xml:space="preserve"> </w:t>
      </w:r>
      <w:r>
        <w:rPr>
          <w:rFonts w:ascii="SimSun" w:hAnsi="SimSun" w:eastAsia="SimSun" w:cs="SimSun"/>
          <w:sz w:val="24"/>
          <w:szCs w:val="24"/>
          <w:spacing w:val="4"/>
        </w:rPr>
        <w:t>屠宰设备及配套设施等，拆除的污水处理站设备、锅炉、生猪屠宰设备</w:t>
      </w:r>
      <w:r>
        <w:rPr>
          <w:rFonts w:ascii="SimSun" w:hAnsi="SimSun" w:eastAsia="SimSun" w:cs="SimSun"/>
          <w:sz w:val="24"/>
          <w:szCs w:val="24"/>
          <w:spacing w:val="3"/>
        </w:rPr>
        <w:t>直接外</w:t>
      </w:r>
      <w:r>
        <w:rPr>
          <w:rFonts w:ascii="SimSun" w:hAnsi="SimSun" w:eastAsia="SimSun" w:cs="SimSun"/>
          <w:sz w:val="24"/>
          <w:szCs w:val="24"/>
        </w:rPr>
        <w:t xml:space="preserve"> </w:t>
      </w:r>
      <w:r>
        <w:rPr>
          <w:rFonts w:ascii="SimSun" w:hAnsi="SimSun" w:eastAsia="SimSun" w:cs="SimSun"/>
          <w:sz w:val="24"/>
          <w:szCs w:val="24"/>
          <w:spacing w:val="-1"/>
        </w:rPr>
        <w:t>售，本项目生猪、肉牛设备均为新增，主要设备一览表见下表。</w:t>
      </w:r>
    </w:p>
    <w:p>
      <w:pPr>
        <w:spacing w:line="347" w:lineRule="auto"/>
        <w:sectPr>
          <w:headerReference w:type="default" r:id="rId123"/>
          <w:footerReference w:type="default" r:id="rId215"/>
          <w:pgSz w:w="11910" w:h="16840"/>
          <w:pgMar w:top="1210" w:right="1786" w:bottom="939" w:left="1769" w:header="902" w:footer="744" w:gutter="0"/>
        </w:sectPr>
        <w:rPr>
          <w:rFonts w:ascii="SimSun" w:hAnsi="SimSun" w:eastAsia="SimSun" w:cs="SimSun"/>
          <w:sz w:val="24"/>
          <w:szCs w:val="24"/>
        </w:rPr>
      </w:pPr>
    </w:p>
    <w:p>
      <w:pPr>
        <w:pStyle w:val="BodyText"/>
        <w:spacing w:line="278" w:lineRule="auto"/>
        <w:rPr/>
      </w:pPr>
      <w:r/>
    </w:p>
    <w:p>
      <w:pPr>
        <w:pStyle w:val="BodyText"/>
        <w:spacing w:line="279" w:lineRule="auto"/>
        <w:rPr/>
      </w:pPr>
      <w:r/>
    </w:p>
    <w:p>
      <w:pPr>
        <w:ind w:left="5398"/>
        <w:spacing w:before="78" w:line="219" w:lineRule="auto"/>
        <w:rPr>
          <w:rFonts w:ascii="SimSun" w:hAnsi="SimSun" w:eastAsia="SimSun" w:cs="SimSun"/>
          <w:sz w:val="24"/>
          <w:szCs w:val="24"/>
        </w:rPr>
      </w:pPr>
      <w:bookmarkStart w:name="bookmark101" w:id="63"/>
      <w:bookmarkEnd w:id="63"/>
      <w:r>
        <w:rPr>
          <w:rFonts w:ascii="SimSun" w:hAnsi="SimSun" w:eastAsia="SimSun" w:cs="SimSun"/>
          <w:sz w:val="24"/>
          <w:szCs w:val="24"/>
          <w:b/>
          <w:bCs/>
          <w:spacing w:val="-4"/>
        </w:rPr>
        <w:t>表3.4-1项目主要生产设备一览表</w:t>
      </w:r>
    </w:p>
    <w:p>
      <w:pPr>
        <w:spacing w:line="38" w:lineRule="auto"/>
        <w:rPr>
          <w:rFonts w:ascii="Arial"/>
          <w:sz w:val="2"/>
        </w:rPr>
      </w:pPr>
      <w:r>
        <w:rPr>
          <w:rFonts w:ascii="Arial"/>
          <w:sz w:val="2"/>
        </w:rPr>
      </w:r>
    </w:p>
    <w:tbl>
      <w:tblPr>
        <w:tblStyle w:val="TableNormal"/>
        <w:tblW w:w="1414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85"/>
        <w:gridCol w:w="3188"/>
        <w:gridCol w:w="480"/>
        <w:gridCol w:w="1739"/>
        <w:gridCol w:w="2548"/>
        <w:gridCol w:w="2188"/>
        <w:gridCol w:w="2498"/>
        <w:gridCol w:w="1114"/>
      </w:tblGrid>
      <w:tr>
        <w:trPr>
          <w:trHeight w:val="554" w:hRule="atLeast"/>
        </w:trPr>
        <w:tc>
          <w:tcPr>
            <w:shd w:val="clear" w:fill="BDBDBD"/>
            <w:tcW w:w="385" w:type="dxa"/>
            <w:vAlign w:val="top"/>
            <w:textDirection w:val="tbRlV"/>
          </w:tcPr>
          <w:p>
            <w:pPr>
              <w:pStyle w:val="TableText"/>
              <w:ind w:left="1"/>
              <w:spacing w:before="102" w:line="199" w:lineRule="auto"/>
              <w:rPr>
                <w:sz w:val="21"/>
                <w:szCs w:val="21"/>
              </w:rPr>
            </w:pPr>
            <w:r>
              <w:rPr>
                <w:sz w:val="21"/>
                <w:szCs w:val="21"/>
                <w:b/>
                <w:bCs/>
                <w:spacing w:val="-3"/>
              </w:rPr>
              <w:t>序</w:t>
            </w:r>
            <w:r>
              <w:rPr>
                <w:sz w:val="21"/>
                <w:szCs w:val="21"/>
                <w:spacing w:val="12"/>
              </w:rPr>
              <w:t xml:space="preserve"> </w:t>
            </w:r>
            <w:r>
              <w:rPr>
                <w:sz w:val="21"/>
                <w:szCs w:val="21"/>
                <w:b/>
                <w:bCs/>
                <w:spacing w:val="-3"/>
              </w:rPr>
              <w:t>号</w:t>
            </w:r>
          </w:p>
        </w:tc>
        <w:tc>
          <w:tcPr>
            <w:shd w:val="clear" w:fill="BDBDBD"/>
            <w:tcW w:w="3188" w:type="dxa"/>
            <w:vAlign w:val="top"/>
          </w:tcPr>
          <w:p>
            <w:pPr>
              <w:pStyle w:val="TableText"/>
              <w:ind w:left="1162"/>
              <w:spacing w:before="171" w:line="221" w:lineRule="auto"/>
              <w:rPr>
                <w:sz w:val="21"/>
                <w:szCs w:val="21"/>
              </w:rPr>
            </w:pPr>
            <w:r>
              <w:rPr>
                <w:sz w:val="21"/>
                <w:szCs w:val="21"/>
                <w:b/>
                <w:bCs/>
                <w:spacing w:val="-5"/>
              </w:rPr>
              <w:t>设备名称</w:t>
            </w:r>
          </w:p>
        </w:tc>
        <w:tc>
          <w:tcPr>
            <w:shd w:val="clear" w:fill="BDBDBD"/>
            <w:tcW w:w="480" w:type="dxa"/>
            <w:vAlign w:val="top"/>
          </w:tcPr>
          <w:p>
            <w:pPr>
              <w:pStyle w:val="TableText"/>
              <w:ind w:left="25"/>
              <w:spacing w:before="171" w:line="220" w:lineRule="auto"/>
              <w:rPr>
                <w:sz w:val="21"/>
                <w:szCs w:val="21"/>
              </w:rPr>
            </w:pPr>
            <w:r>
              <w:rPr>
                <w:sz w:val="21"/>
                <w:szCs w:val="21"/>
                <w:b/>
                <w:bCs/>
                <w:spacing w:val="-5"/>
              </w:rPr>
              <w:t>单位</w:t>
            </w:r>
          </w:p>
        </w:tc>
        <w:tc>
          <w:tcPr>
            <w:shd w:val="clear" w:fill="BDBDBD"/>
            <w:tcW w:w="1739" w:type="dxa"/>
            <w:vAlign w:val="top"/>
          </w:tcPr>
          <w:p>
            <w:pPr>
              <w:pStyle w:val="TableText"/>
              <w:ind w:left="125"/>
              <w:spacing w:before="170" w:line="219" w:lineRule="auto"/>
              <w:rPr>
                <w:sz w:val="21"/>
                <w:szCs w:val="21"/>
              </w:rPr>
            </w:pPr>
            <w:r>
              <w:rPr>
                <w:sz w:val="21"/>
                <w:szCs w:val="21"/>
                <w:b/>
                <w:bCs/>
                <w:spacing w:val="-4"/>
              </w:rPr>
              <w:t>现有工程设备数</w:t>
            </w:r>
          </w:p>
        </w:tc>
        <w:tc>
          <w:tcPr>
            <w:shd w:val="clear" w:fill="BDBDBD"/>
            <w:tcW w:w="2548" w:type="dxa"/>
            <w:vAlign w:val="top"/>
          </w:tcPr>
          <w:p>
            <w:pPr>
              <w:pStyle w:val="TableText"/>
              <w:spacing w:before="169" w:line="219" w:lineRule="auto"/>
              <w:jc w:val="right"/>
              <w:rPr>
                <w:sz w:val="21"/>
                <w:szCs w:val="21"/>
              </w:rPr>
            </w:pPr>
            <w:r>
              <w:rPr>
                <w:sz w:val="21"/>
                <w:szCs w:val="21"/>
                <w:b/>
                <w:bCs/>
                <w:spacing w:val="-20"/>
              </w:rPr>
              <w:t>量本项目建成后全厂设</w:t>
            </w:r>
            <w:r>
              <w:rPr>
                <w:sz w:val="21"/>
                <w:szCs w:val="21"/>
                <w:b/>
                <w:bCs/>
                <w:spacing w:val="-19"/>
              </w:rPr>
              <w:t>备数</w:t>
            </w:r>
            <w:r>
              <w:rPr>
                <w:sz w:val="21"/>
                <w:szCs w:val="21"/>
                <w:b/>
                <w:bCs/>
                <w:spacing w:val="-9"/>
              </w:rPr>
              <w:t>量</w:t>
            </w:r>
          </w:p>
        </w:tc>
        <w:tc>
          <w:tcPr>
            <w:shd w:val="clear" w:fill="BDBDBD"/>
            <w:tcW w:w="2188" w:type="dxa"/>
            <w:vAlign w:val="top"/>
          </w:tcPr>
          <w:p>
            <w:pPr>
              <w:pStyle w:val="TableText"/>
              <w:ind w:left="37"/>
              <w:spacing w:before="170" w:line="219" w:lineRule="auto"/>
              <w:rPr>
                <w:sz w:val="21"/>
                <w:szCs w:val="21"/>
              </w:rPr>
            </w:pPr>
            <w:r>
              <w:rPr>
                <w:sz w:val="21"/>
                <w:szCs w:val="21"/>
                <w:b/>
                <w:bCs/>
                <w:spacing w:val="-4"/>
              </w:rPr>
              <w:t>项目设备数量变化情况</w:t>
            </w:r>
          </w:p>
        </w:tc>
        <w:tc>
          <w:tcPr>
            <w:shd w:val="clear" w:fill="BDBDBD"/>
            <w:tcW w:w="2498" w:type="dxa"/>
            <w:vAlign w:val="top"/>
          </w:tcPr>
          <w:p>
            <w:pPr>
              <w:pStyle w:val="TableText"/>
              <w:ind w:left="1039"/>
              <w:spacing w:before="171" w:line="221" w:lineRule="auto"/>
              <w:rPr>
                <w:sz w:val="21"/>
                <w:szCs w:val="21"/>
              </w:rPr>
            </w:pPr>
            <w:r>
              <w:rPr>
                <w:sz w:val="21"/>
                <w:szCs w:val="21"/>
                <w:b/>
                <w:bCs/>
                <w:spacing w:val="-5"/>
              </w:rPr>
              <w:t>用途</w:t>
            </w:r>
          </w:p>
        </w:tc>
        <w:tc>
          <w:tcPr>
            <w:shd w:val="clear" w:fill="BDBDBD"/>
            <w:tcW w:w="1114" w:type="dxa"/>
            <w:vAlign w:val="top"/>
          </w:tcPr>
          <w:p>
            <w:pPr>
              <w:pStyle w:val="TableText"/>
              <w:ind w:left="361"/>
              <w:spacing w:before="171" w:line="221" w:lineRule="auto"/>
              <w:rPr>
                <w:sz w:val="21"/>
                <w:szCs w:val="21"/>
              </w:rPr>
            </w:pPr>
            <w:r>
              <w:rPr>
                <w:sz w:val="21"/>
                <w:szCs w:val="21"/>
                <w:b/>
                <w:bCs/>
                <w:spacing w:val="-5"/>
              </w:rPr>
              <w:t>备注</w:t>
            </w:r>
          </w:p>
        </w:tc>
      </w:tr>
      <w:tr>
        <w:trPr>
          <w:trHeight w:val="279" w:hRule="atLeast"/>
        </w:trPr>
        <w:tc>
          <w:tcPr>
            <w:tcW w:w="14140" w:type="dxa"/>
            <w:vAlign w:val="top"/>
            <w:gridSpan w:val="8"/>
          </w:tcPr>
          <w:p>
            <w:pPr>
              <w:pStyle w:val="TableText"/>
              <w:ind w:left="5817"/>
              <w:spacing w:before="36" w:line="204" w:lineRule="auto"/>
              <w:rPr>
                <w:sz w:val="21"/>
                <w:szCs w:val="21"/>
              </w:rPr>
            </w:pPr>
            <w:r>
              <w:rPr>
                <w:sz w:val="21"/>
                <w:szCs w:val="21"/>
                <w:b/>
                <w:bCs/>
                <w:spacing w:val="-3"/>
              </w:rPr>
              <w:t>生猪屠宰车间屠宰设备清单</w:t>
            </w:r>
          </w:p>
        </w:tc>
      </w:tr>
      <w:tr>
        <w:trPr>
          <w:trHeight w:val="270" w:hRule="atLeast"/>
        </w:trPr>
        <w:tc>
          <w:tcPr>
            <w:tcW w:w="385" w:type="dxa"/>
            <w:vAlign w:val="top"/>
          </w:tcPr>
          <w:p>
            <w:pPr>
              <w:pStyle w:val="TableText"/>
              <w:ind w:left="125"/>
              <w:spacing w:before="51" w:line="183" w:lineRule="auto"/>
              <w:rPr>
                <w:sz w:val="21"/>
                <w:szCs w:val="21"/>
              </w:rPr>
            </w:pPr>
            <w:r>
              <w:rPr>
                <w:sz w:val="21"/>
                <w:szCs w:val="21"/>
              </w:rPr>
              <w:t>1</w:t>
            </w:r>
          </w:p>
        </w:tc>
        <w:tc>
          <w:tcPr>
            <w:tcW w:w="3188" w:type="dxa"/>
            <w:vAlign w:val="top"/>
          </w:tcPr>
          <w:p>
            <w:pPr>
              <w:pStyle w:val="TableText"/>
              <w:ind w:left="849"/>
              <w:spacing w:before="30" w:line="202" w:lineRule="auto"/>
              <w:rPr>
                <w:sz w:val="21"/>
                <w:szCs w:val="21"/>
              </w:rPr>
            </w:pPr>
            <w:r>
              <w:rPr>
                <w:sz w:val="21"/>
                <w:szCs w:val="21"/>
                <w:spacing w:val="-2"/>
              </w:rPr>
              <w:t>手持式电麻设备</w:t>
            </w:r>
          </w:p>
        </w:tc>
        <w:tc>
          <w:tcPr>
            <w:tcW w:w="480" w:type="dxa"/>
            <w:vAlign w:val="top"/>
          </w:tcPr>
          <w:p>
            <w:pPr>
              <w:pStyle w:val="TableText"/>
              <w:ind w:left="121"/>
              <w:spacing w:before="32" w:line="200" w:lineRule="auto"/>
              <w:rPr>
                <w:sz w:val="21"/>
                <w:szCs w:val="21"/>
              </w:rPr>
            </w:pPr>
            <w:r>
              <w:rPr>
                <w:sz w:val="21"/>
                <w:szCs w:val="21"/>
              </w:rPr>
              <w:t>台</w:t>
            </w:r>
          </w:p>
        </w:tc>
        <w:tc>
          <w:tcPr>
            <w:tcW w:w="1739" w:type="dxa"/>
            <w:vAlign w:val="top"/>
          </w:tcPr>
          <w:p>
            <w:pPr>
              <w:rPr>
                <w:rFonts w:ascii="Arial"/>
                <w:sz w:val="21"/>
              </w:rPr>
            </w:pPr>
            <w:r/>
          </w:p>
        </w:tc>
        <w:tc>
          <w:tcPr>
            <w:tcW w:w="2548" w:type="dxa"/>
            <w:vAlign w:val="top"/>
          </w:tcPr>
          <w:p>
            <w:pPr>
              <w:pStyle w:val="TableText"/>
              <w:ind w:left="1212"/>
              <w:spacing w:before="51" w:line="183" w:lineRule="auto"/>
              <w:rPr>
                <w:sz w:val="21"/>
                <w:szCs w:val="21"/>
              </w:rPr>
            </w:pPr>
            <w:r>
              <w:rPr>
                <w:sz w:val="21"/>
                <w:szCs w:val="21"/>
              </w:rPr>
              <w:t>0</w:t>
            </w:r>
          </w:p>
        </w:tc>
        <w:tc>
          <w:tcPr>
            <w:tcW w:w="2188" w:type="dxa"/>
            <w:vAlign w:val="top"/>
          </w:tcPr>
          <w:p>
            <w:pPr>
              <w:pStyle w:val="TableText"/>
              <w:ind w:left="985"/>
              <w:spacing w:before="51" w:line="183" w:lineRule="auto"/>
              <w:rPr>
                <w:sz w:val="21"/>
                <w:szCs w:val="21"/>
              </w:rPr>
            </w:pPr>
            <w:r>
              <w:rPr>
                <w:sz w:val="21"/>
                <w:szCs w:val="21"/>
                <w:spacing w:val="-2"/>
              </w:rPr>
              <w:t>-1</w:t>
            </w:r>
          </w:p>
        </w:tc>
        <w:tc>
          <w:tcPr>
            <w:tcW w:w="2498" w:type="dxa"/>
            <w:vAlign w:val="top"/>
            <w:vMerge w:val="restart"/>
            <w:tcBorders>
              <w:bottom w:val="nil"/>
            </w:tcBorders>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406"/>
              <w:spacing w:before="69" w:line="219" w:lineRule="auto"/>
              <w:rPr>
                <w:sz w:val="21"/>
                <w:szCs w:val="21"/>
              </w:rPr>
            </w:pPr>
            <w:r>
              <w:rPr>
                <w:sz w:val="21"/>
                <w:szCs w:val="21"/>
                <w:spacing w:val="1"/>
              </w:rPr>
              <w:t>改扩建前主要设备</w:t>
            </w:r>
          </w:p>
        </w:tc>
        <w:tc>
          <w:tcPr>
            <w:tcW w:w="1114" w:type="dxa"/>
            <w:vAlign w:val="top"/>
            <w:vMerge w:val="restart"/>
            <w:tcBorders>
              <w:bottom w:val="nil"/>
            </w:tcBorders>
          </w:tcPr>
          <w:p>
            <w:pPr>
              <w:spacing w:line="339" w:lineRule="auto"/>
              <w:rPr>
                <w:rFonts w:ascii="Arial"/>
                <w:sz w:val="21"/>
              </w:rPr>
            </w:pPr>
            <w:r/>
          </w:p>
          <w:p>
            <w:pPr>
              <w:spacing w:line="339" w:lineRule="auto"/>
              <w:rPr>
                <w:rFonts w:ascii="Arial"/>
                <w:sz w:val="21"/>
              </w:rPr>
            </w:pPr>
            <w:r/>
          </w:p>
          <w:p>
            <w:pPr>
              <w:pStyle w:val="TableText"/>
              <w:ind w:left="9" w:right="35"/>
              <w:spacing w:before="69" w:line="237" w:lineRule="auto"/>
              <w:rPr>
                <w:sz w:val="21"/>
                <w:szCs w:val="21"/>
              </w:rPr>
            </w:pPr>
            <w:r>
              <w:rPr>
                <w:sz w:val="21"/>
                <w:szCs w:val="21"/>
                <w:spacing w:val="-2"/>
              </w:rPr>
              <w:t>全部拆除，</w:t>
            </w:r>
            <w:r>
              <w:rPr>
                <w:sz w:val="21"/>
                <w:szCs w:val="21"/>
                <w:spacing w:val="3"/>
              </w:rPr>
              <w:t xml:space="preserve"> </w:t>
            </w:r>
            <w:r>
              <w:rPr>
                <w:sz w:val="21"/>
                <w:szCs w:val="21"/>
                <w:spacing w:val="1"/>
              </w:rPr>
              <w:t>不利旧，拆</w:t>
            </w:r>
          </w:p>
          <w:p>
            <w:pPr>
              <w:pStyle w:val="TableText"/>
              <w:ind w:left="18"/>
              <w:spacing w:line="219" w:lineRule="auto"/>
              <w:rPr>
                <w:sz w:val="21"/>
                <w:szCs w:val="21"/>
              </w:rPr>
            </w:pPr>
            <w:r>
              <w:rPr>
                <w:sz w:val="21"/>
                <w:szCs w:val="21"/>
                <w:spacing w:val="2"/>
              </w:rPr>
              <w:t>除的设备及</w:t>
            </w:r>
          </w:p>
          <w:p>
            <w:pPr>
              <w:pStyle w:val="TableText"/>
              <w:ind w:left="9" w:right="31"/>
              <w:spacing w:before="21" w:line="241" w:lineRule="auto"/>
              <w:rPr>
                <w:sz w:val="21"/>
                <w:szCs w:val="21"/>
              </w:rPr>
            </w:pPr>
            <w:r>
              <w:rPr>
                <w:sz w:val="21"/>
                <w:szCs w:val="21"/>
                <w:spacing w:val="2"/>
              </w:rPr>
              <w:t>锅炉直接外 </w:t>
            </w:r>
            <w:r>
              <w:rPr>
                <w:sz w:val="21"/>
                <w:szCs w:val="21"/>
                <w:spacing w:val="-2"/>
              </w:rPr>
              <w:t>售。</w:t>
            </w:r>
          </w:p>
        </w:tc>
      </w:tr>
      <w:tr>
        <w:trPr>
          <w:trHeight w:val="270" w:hRule="atLeast"/>
        </w:trPr>
        <w:tc>
          <w:tcPr>
            <w:tcW w:w="385" w:type="dxa"/>
            <w:vAlign w:val="top"/>
          </w:tcPr>
          <w:p>
            <w:pPr>
              <w:pStyle w:val="TableText"/>
              <w:ind w:left="125"/>
              <w:spacing w:before="51" w:line="183" w:lineRule="auto"/>
              <w:rPr>
                <w:sz w:val="21"/>
                <w:szCs w:val="21"/>
              </w:rPr>
            </w:pPr>
            <w:r>
              <w:rPr>
                <w:sz w:val="21"/>
                <w:szCs w:val="21"/>
              </w:rPr>
              <w:t>2</w:t>
            </w:r>
          </w:p>
        </w:tc>
        <w:tc>
          <w:tcPr>
            <w:tcW w:w="3188" w:type="dxa"/>
            <w:vAlign w:val="top"/>
          </w:tcPr>
          <w:p>
            <w:pPr>
              <w:pStyle w:val="TableText"/>
              <w:ind w:left="1059"/>
              <w:spacing w:before="30" w:line="202" w:lineRule="auto"/>
              <w:rPr>
                <w:sz w:val="21"/>
                <w:szCs w:val="21"/>
              </w:rPr>
            </w:pPr>
            <w:r>
              <w:rPr>
                <w:sz w:val="21"/>
                <w:szCs w:val="21"/>
                <w:spacing w:val="1"/>
              </w:rPr>
              <w:t>白条提升机</w:t>
            </w:r>
          </w:p>
        </w:tc>
        <w:tc>
          <w:tcPr>
            <w:tcW w:w="480" w:type="dxa"/>
            <w:vAlign w:val="top"/>
          </w:tcPr>
          <w:p>
            <w:pPr>
              <w:pStyle w:val="TableText"/>
              <w:ind w:left="121"/>
              <w:spacing w:before="32" w:line="200" w:lineRule="auto"/>
              <w:rPr>
                <w:sz w:val="21"/>
                <w:szCs w:val="21"/>
              </w:rPr>
            </w:pPr>
            <w:r>
              <w:rPr>
                <w:sz w:val="21"/>
                <w:szCs w:val="21"/>
              </w:rPr>
              <w:t>台</w:t>
            </w:r>
          </w:p>
        </w:tc>
        <w:tc>
          <w:tcPr>
            <w:tcW w:w="1739" w:type="dxa"/>
            <w:vAlign w:val="top"/>
            <w:textDirection w:val="tbRlV"/>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spacing w:before="70" w:line="126" w:lineRule="exact"/>
              <w:rPr>
                <w:sz w:val="21"/>
                <w:szCs w:val="21"/>
              </w:rPr>
            </w:pPr>
            <w:r>
              <w:rPr>
                <w:sz w:val="21"/>
                <w:szCs w:val="21"/>
                <w:color w:val="606050"/>
                <w:spacing w:val="35"/>
                <w:w w:val="125"/>
                <w:position w:val="-3"/>
              </w:rPr>
              <w:t>1</w:t>
            </w:r>
          </w:p>
        </w:tc>
        <w:tc>
          <w:tcPr>
            <w:tcW w:w="2548" w:type="dxa"/>
            <w:vAlign w:val="top"/>
          </w:tcPr>
          <w:p>
            <w:pPr>
              <w:pStyle w:val="TableText"/>
              <w:ind w:left="1212"/>
              <w:spacing w:before="51" w:line="183" w:lineRule="auto"/>
              <w:rPr>
                <w:sz w:val="21"/>
                <w:szCs w:val="21"/>
              </w:rPr>
            </w:pPr>
            <w:r>
              <w:rPr>
                <w:sz w:val="21"/>
                <w:szCs w:val="21"/>
              </w:rPr>
              <w:t>0</w:t>
            </w:r>
          </w:p>
        </w:tc>
        <w:tc>
          <w:tcPr>
            <w:tcW w:w="2188" w:type="dxa"/>
            <w:vAlign w:val="top"/>
          </w:tcPr>
          <w:p>
            <w:pPr>
              <w:pStyle w:val="TableText"/>
              <w:ind w:left="985"/>
              <w:spacing w:before="51" w:line="183" w:lineRule="auto"/>
              <w:rPr>
                <w:sz w:val="21"/>
                <w:szCs w:val="21"/>
              </w:rPr>
            </w:pPr>
            <w:r>
              <w:rPr>
                <w:sz w:val="21"/>
                <w:szCs w:val="21"/>
                <w:spacing w:val="-2"/>
              </w:rPr>
              <w:t>-1</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80" w:hRule="atLeast"/>
        </w:trPr>
        <w:tc>
          <w:tcPr>
            <w:tcW w:w="385" w:type="dxa"/>
            <w:vAlign w:val="top"/>
          </w:tcPr>
          <w:p>
            <w:pPr>
              <w:pStyle w:val="TableText"/>
              <w:ind w:left="125"/>
              <w:spacing w:before="61" w:line="183" w:lineRule="auto"/>
              <w:rPr>
                <w:sz w:val="21"/>
                <w:szCs w:val="21"/>
              </w:rPr>
            </w:pPr>
            <w:r>
              <w:rPr>
                <w:sz w:val="21"/>
                <w:szCs w:val="21"/>
              </w:rPr>
              <w:t>3</w:t>
            </w:r>
          </w:p>
        </w:tc>
        <w:tc>
          <w:tcPr>
            <w:tcW w:w="3188" w:type="dxa"/>
            <w:vAlign w:val="top"/>
          </w:tcPr>
          <w:p>
            <w:pPr>
              <w:pStyle w:val="TableText"/>
              <w:ind w:left="999"/>
              <w:spacing w:before="40" w:line="202" w:lineRule="auto"/>
              <w:rPr>
                <w:sz w:val="21"/>
                <w:szCs w:val="21"/>
              </w:rPr>
            </w:pPr>
            <w:r>
              <w:rPr>
                <w:sz w:val="21"/>
                <w:szCs w:val="21"/>
                <w:spacing w:val="1"/>
              </w:rPr>
              <w:t>300型创毛机</w:t>
            </w:r>
          </w:p>
        </w:tc>
        <w:tc>
          <w:tcPr>
            <w:tcW w:w="480" w:type="dxa"/>
            <w:vAlign w:val="top"/>
          </w:tcPr>
          <w:p>
            <w:pPr>
              <w:pStyle w:val="TableText"/>
              <w:ind w:left="121"/>
              <w:spacing w:before="42" w:line="200" w:lineRule="auto"/>
              <w:rPr>
                <w:sz w:val="21"/>
                <w:szCs w:val="21"/>
              </w:rPr>
            </w:pPr>
            <w:r>
              <w:rPr>
                <w:sz w:val="21"/>
                <w:szCs w:val="21"/>
              </w:rPr>
              <w:t>台</w:t>
            </w:r>
          </w:p>
        </w:tc>
        <w:tc>
          <w:tcPr>
            <w:tcW w:w="1739" w:type="dxa"/>
            <w:vAlign w:val="top"/>
            <w:textDirection w:val="tbRlV"/>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spacing w:before="70" w:line="126" w:lineRule="exact"/>
              <w:rPr>
                <w:sz w:val="21"/>
                <w:szCs w:val="21"/>
              </w:rPr>
            </w:pPr>
            <w:r>
              <w:rPr>
                <w:sz w:val="21"/>
                <w:szCs w:val="21"/>
                <w:color w:val="506040"/>
                <w:spacing w:val="45"/>
                <w:w w:val="125"/>
                <w:position w:val="-3"/>
              </w:rPr>
              <w:t>1</w:t>
            </w:r>
          </w:p>
        </w:tc>
        <w:tc>
          <w:tcPr>
            <w:tcW w:w="2548" w:type="dxa"/>
            <w:vAlign w:val="top"/>
            <w:textDirection w:val="tbRlV"/>
          </w:tcPr>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pStyle w:val="TableText"/>
              <w:spacing w:before="70" w:line="149" w:lineRule="exact"/>
              <w:rPr>
                <w:sz w:val="21"/>
                <w:szCs w:val="21"/>
              </w:rPr>
            </w:pPr>
            <w:r>
              <w:rPr>
                <w:sz w:val="21"/>
                <w:szCs w:val="21"/>
                <w:spacing w:val="46"/>
                <w:w w:val="125"/>
                <w:position w:val="-3"/>
              </w:rPr>
              <w:t>0</w:t>
            </w:r>
          </w:p>
        </w:tc>
        <w:tc>
          <w:tcPr>
            <w:tcW w:w="2188" w:type="dxa"/>
            <w:vAlign w:val="top"/>
          </w:tcPr>
          <w:p>
            <w:pPr>
              <w:pStyle w:val="TableText"/>
              <w:ind w:left="985"/>
              <w:spacing w:before="61" w:line="183" w:lineRule="auto"/>
              <w:rPr>
                <w:sz w:val="21"/>
                <w:szCs w:val="21"/>
              </w:rPr>
            </w:pPr>
            <w:r>
              <w:rPr>
                <w:sz w:val="21"/>
                <w:szCs w:val="21"/>
                <w:spacing w:val="-2"/>
              </w:rPr>
              <w:t>-1</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60" w:hRule="atLeast"/>
        </w:trPr>
        <w:tc>
          <w:tcPr>
            <w:tcW w:w="385" w:type="dxa"/>
            <w:vAlign w:val="top"/>
          </w:tcPr>
          <w:p>
            <w:pPr>
              <w:pStyle w:val="TableText"/>
              <w:ind w:left="125"/>
              <w:spacing w:before="52" w:line="174" w:lineRule="auto"/>
              <w:rPr>
                <w:sz w:val="21"/>
                <w:szCs w:val="21"/>
              </w:rPr>
            </w:pPr>
            <w:r>
              <w:rPr>
                <w:sz w:val="21"/>
                <w:szCs w:val="21"/>
              </w:rPr>
              <w:t>4</w:t>
            </w:r>
          </w:p>
        </w:tc>
        <w:tc>
          <w:tcPr>
            <w:tcW w:w="3188" w:type="dxa"/>
            <w:vAlign w:val="top"/>
          </w:tcPr>
          <w:p>
            <w:pPr>
              <w:pStyle w:val="TableText"/>
              <w:ind w:left="1369"/>
              <w:spacing w:before="31" w:line="192" w:lineRule="auto"/>
              <w:rPr>
                <w:sz w:val="21"/>
                <w:szCs w:val="21"/>
              </w:rPr>
            </w:pPr>
            <w:r>
              <w:rPr>
                <w:sz w:val="21"/>
                <w:szCs w:val="21"/>
                <w:spacing w:val="-3"/>
              </w:rPr>
              <w:t>轨道</w:t>
            </w:r>
          </w:p>
        </w:tc>
        <w:tc>
          <w:tcPr>
            <w:tcW w:w="480" w:type="dxa"/>
            <w:vAlign w:val="top"/>
          </w:tcPr>
          <w:p>
            <w:pPr>
              <w:pStyle w:val="TableText"/>
              <w:ind w:left="121"/>
              <w:spacing w:before="30" w:line="193" w:lineRule="auto"/>
              <w:rPr>
                <w:sz w:val="21"/>
                <w:szCs w:val="21"/>
              </w:rPr>
            </w:pPr>
            <w:r>
              <w:rPr>
                <w:sz w:val="21"/>
                <w:szCs w:val="21"/>
              </w:rPr>
              <w:t>米</w:t>
            </w:r>
          </w:p>
        </w:tc>
        <w:tc>
          <w:tcPr>
            <w:tcW w:w="1739" w:type="dxa"/>
            <w:vAlign w:val="top"/>
          </w:tcPr>
          <w:p>
            <w:pPr>
              <w:pStyle w:val="TableText"/>
              <w:ind w:left="701"/>
              <w:spacing w:before="52" w:line="174" w:lineRule="auto"/>
              <w:rPr>
                <w:sz w:val="21"/>
                <w:szCs w:val="21"/>
              </w:rPr>
            </w:pPr>
            <w:r>
              <w:rPr>
                <w:sz w:val="21"/>
                <w:szCs w:val="21"/>
                <w:spacing w:val="-6"/>
              </w:rPr>
              <w:t>120</w:t>
            </w:r>
          </w:p>
        </w:tc>
        <w:tc>
          <w:tcPr>
            <w:tcW w:w="2548" w:type="dxa"/>
            <w:vAlign w:val="top"/>
            <w:textDirection w:val="tbRlV"/>
          </w:tcPr>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pStyle w:val="TableText"/>
              <w:spacing w:before="70" w:line="149" w:lineRule="exact"/>
              <w:rPr>
                <w:sz w:val="21"/>
                <w:szCs w:val="21"/>
              </w:rPr>
            </w:pPr>
            <w:r>
              <w:rPr>
                <w:sz w:val="21"/>
                <w:szCs w:val="21"/>
                <w:spacing w:val="36"/>
                <w:w w:val="125"/>
                <w:position w:val="-3"/>
              </w:rPr>
              <w:t>0</w:t>
            </w:r>
          </w:p>
        </w:tc>
        <w:tc>
          <w:tcPr>
            <w:tcW w:w="2188" w:type="dxa"/>
            <w:vAlign w:val="top"/>
          </w:tcPr>
          <w:p>
            <w:pPr>
              <w:pStyle w:val="TableText"/>
              <w:ind w:left="874"/>
              <w:spacing w:before="52" w:line="174" w:lineRule="auto"/>
              <w:rPr>
                <w:sz w:val="21"/>
                <w:szCs w:val="21"/>
              </w:rPr>
            </w:pPr>
            <w:r>
              <w:rPr>
                <w:sz w:val="21"/>
                <w:szCs w:val="21"/>
                <w:spacing w:val="-2"/>
              </w:rPr>
              <w:t>-120</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60" w:hRule="atLeast"/>
        </w:trPr>
        <w:tc>
          <w:tcPr>
            <w:tcW w:w="385" w:type="dxa"/>
            <w:vAlign w:val="top"/>
            <w:textDirection w:val="tbRlV"/>
          </w:tcPr>
          <w:p>
            <w:pPr>
              <w:pStyle w:val="TableText"/>
              <w:spacing w:before="155" w:line="144" w:lineRule="exact"/>
              <w:rPr>
                <w:sz w:val="21"/>
                <w:szCs w:val="21"/>
              </w:rPr>
            </w:pPr>
            <w:r>
              <w:rPr>
                <w:sz w:val="21"/>
                <w:szCs w:val="21"/>
                <w:spacing w:val="34"/>
                <w:w w:val="125"/>
                <w:position w:val="-3"/>
              </w:rPr>
              <w:t>5</w:t>
            </w:r>
          </w:p>
        </w:tc>
        <w:tc>
          <w:tcPr>
            <w:tcW w:w="3188" w:type="dxa"/>
            <w:vAlign w:val="top"/>
          </w:tcPr>
          <w:p>
            <w:pPr>
              <w:pStyle w:val="TableText"/>
              <w:ind w:left="1159"/>
              <w:spacing w:before="31" w:line="192" w:lineRule="auto"/>
              <w:rPr>
                <w:sz w:val="21"/>
                <w:szCs w:val="21"/>
              </w:rPr>
            </w:pPr>
            <w:r>
              <w:rPr>
                <w:sz w:val="21"/>
                <w:szCs w:val="21"/>
                <w:spacing w:val="-2"/>
              </w:rPr>
              <w:t>双轨滑轮</w:t>
            </w:r>
          </w:p>
        </w:tc>
        <w:tc>
          <w:tcPr>
            <w:tcW w:w="480" w:type="dxa"/>
            <w:vAlign w:val="top"/>
          </w:tcPr>
          <w:p>
            <w:pPr>
              <w:pStyle w:val="TableText"/>
              <w:ind w:left="121"/>
              <w:spacing w:before="31" w:line="192" w:lineRule="auto"/>
              <w:rPr>
                <w:sz w:val="21"/>
                <w:szCs w:val="21"/>
              </w:rPr>
            </w:pPr>
            <w:r>
              <w:rPr>
                <w:sz w:val="21"/>
                <w:szCs w:val="21"/>
                <w:color w:val="604050"/>
              </w:rPr>
              <w:t>套</w:t>
            </w:r>
          </w:p>
        </w:tc>
        <w:tc>
          <w:tcPr>
            <w:tcW w:w="1739" w:type="dxa"/>
            <w:vAlign w:val="top"/>
          </w:tcPr>
          <w:p>
            <w:pPr>
              <w:pStyle w:val="TableText"/>
              <w:ind w:left="752"/>
              <w:spacing w:before="52" w:line="174" w:lineRule="auto"/>
              <w:rPr>
                <w:sz w:val="21"/>
                <w:szCs w:val="21"/>
              </w:rPr>
            </w:pPr>
            <w:r>
              <w:rPr>
                <w:sz w:val="21"/>
                <w:szCs w:val="21"/>
                <w:spacing w:val="-3"/>
              </w:rPr>
              <w:t>80</w:t>
            </w:r>
          </w:p>
        </w:tc>
        <w:tc>
          <w:tcPr>
            <w:tcW w:w="2548" w:type="dxa"/>
            <w:vAlign w:val="top"/>
          </w:tcPr>
          <w:p>
            <w:pPr>
              <w:pStyle w:val="TableText"/>
              <w:ind w:left="1212"/>
              <w:spacing w:before="52" w:line="174" w:lineRule="auto"/>
              <w:rPr>
                <w:sz w:val="21"/>
                <w:szCs w:val="21"/>
              </w:rPr>
            </w:pPr>
            <w:r>
              <w:rPr>
                <w:sz w:val="21"/>
                <w:szCs w:val="21"/>
              </w:rPr>
              <w:t>0</w:t>
            </w:r>
          </w:p>
        </w:tc>
        <w:tc>
          <w:tcPr>
            <w:tcW w:w="2188" w:type="dxa"/>
            <w:vAlign w:val="top"/>
          </w:tcPr>
          <w:p>
            <w:pPr>
              <w:pStyle w:val="TableText"/>
              <w:ind w:left="924"/>
              <w:spacing w:before="52" w:line="174" w:lineRule="auto"/>
              <w:rPr>
                <w:sz w:val="21"/>
                <w:szCs w:val="21"/>
              </w:rPr>
            </w:pPr>
            <w:r>
              <w:rPr>
                <w:sz w:val="21"/>
                <w:szCs w:val="21"/>
                <w:spacing w:val="-2"/>
              </w:rPr>
              <w:t>-80</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125"/>
              <w:spacing w:before="51" w:line="183" w:lineRule="auto"/>
              <w:rPr>
                <w:sz w:val="21"/>
                <w:szCs w:val="21"/>
              </w:rPr>
            </w:pPr>
            <w:r>
              <w:rPr>
                <w:sz w:val="21"/>
                <w:szCs w:val="21"/>
              </w:rPr>
              <w:t>6</w:t>
            </w:r>
          </w:p>
        </w:tc>
        <w:tc>
          <w:tcPr>
            <w:tcW w:w="3188" w:type="dxa"/>
            <w:vAlign w:val="top"/>
          </w:tcPr>
          <w:p>
            <w:pPr>
              <w:pStyle w:val="TableText"/>
              <w:ind w:left="1369"/>
              <w:spacing w:before="31" w:line="201" w:lineRule="auto"/>
              <w:rPr>
                <w:sz w:val="21"/>
                <w:szCs w:val="21"/>
              </w:rPr>
            </w:pPr>
            <w:r>
              <w:rPr>
                <w:sz w:val="21"/>
                <w:szCs w:val="21"/>
                <w:color w:val="504050"/>
                <w:spacing w:val="4"/>
              </w:rPr>
              <w:t>弯轨</w:t>
            </w:r>
          </w:p>
        </w:tc>
        <w:tc>
          <w:tcPr>
            <w:tcW w:w="480" w:type="dxa"/>
            <w:vAlign w:val="top"/>
          </w:tcPr>
          <w:p>
            <w:pPr>
              <w:pStyle w:val="TableText"/>
              <w:ind w:left="121"/>
              <w:spacing w:before="30" w:line="202" w:lineRule="auto"/>
              <w:rPr>
                <w:sz w:val="21"/>
                <w:szCs w:val="21"/>
              </w:rPr>
            </w:pPr>
            <w:r>
              <w:rPr>
                <w:sz w:val="21"/>
                <w:szCs w:val="21"/>
              </w:rPr>
              <w:t>付</w:t>
            </w:r>
          </w:p>
        </w:tc>
        <w:tc>
          <w:tcPr>
            <w:tcW w:w="1739" w:type="dxa"/>
            <w:vAlign w:val="top"/>
          </w:tcPr>
          <w:p>
            <w:pPr>
              <w:pStyle w:val="TableText"/>
              <w:ind w:left="752"/>
              <w:spacing w:before="51" w:line="183" w:lineRule="auto"/>
              <w:rPr>
                <w:sz w:val="21"/>
                <w:szCs w:val="21"/>
              </w:rPr>
            </w:pPr>
            <w:r>
              <w:rPr>
                <w:sz w:val="21"/>
                <w:szCs w:val="21"/>
                <w:spacing w:val="-6"/>
              </w:rPr>
              <w:t>12</w:t>
            </w:r>
          </w:p>
        </w:tc>
        <w:tc>
          <w:tcPr>
            <w:tcW w:w="2548" w:type="dxa"/>
            <w:vAlign w:val="top"/>
          </w:tcPr>
          <w:p>
            <w:pPr>
              <w:pStyle w:val="TableText"/>
              <w:ind w:left="1212"/>
              <w:spacing w:before="51" w:line="183" w:lineRule="auto"/>
              <w:rPr>
                <w:sz w:val="21"/>
                <w:szCs w:val="21"/>
              </w:rPr>
            </w:pPr>
            <w:r>
              <w:rPr>
                <w:sz w:val="21"/>
                <w:szCs w:val="21"/>
              </w:rPr>
              <w:t>0</w:t>
            </w:r>
          </w:p>
        </w:tc>
        <w:tc>
          <w:tcPr>
            <w:tcW w:w="2188" w:type="dxa"/>
            <w:vAlign w:val="top"/>
          </w:tcPr>
          <w:p>
            <w:pPr>
              <w:pStyle w:val="TableText"/>
              <w:ind w:left="924"/>
              <w:spacing w:before="51" w:line="183" w:lineRule="auto"/>
              <w:rPr>
                <w:sz w:val="21"/>
                <w:szCs w:val="21"/>
              </w:rPr>
            </w:pPr>
            <w:r>
              <w:rPr>
                <w:sz w:val="21"/>
                <w:szCs w:val="21"/>
                <w:spacing w:val="-2"/>
              </w:rPr>
              <w:t>-12</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79" w:hRule="atLeast"/>
        </w:trPr>
        <w:tc>
          <w:tcPr>
            <w:tcW w:w="385" w:type="dxa"/>
            <w:vAlign w:val="top"/>
          </w:tcPr>
          <w:p>
            <w:pPr>
              <w:pStyle w:val="TableText"/>
              <w:ind w:left="125"/>
              <w:spacing w:before="61" w:line="182" w:lineRule="auto"/>
              <w:rPr>
                <w:sz w:val="21"/>
                <w:szCs w:val="21"/>
              </w:rPr>
            </w:pPr>
            <w:r>
              <w:rPr>
                <w:sz w:val="21"/>
                <w:szCs w:val="21"/>
              </w:rPr>
              <w:t>7</w:t>
            </w:r>
          </w:p>
        </w:tc>
        <w:tc>
          <w:tcPr>
            <w:tcW w:w="3188" w:type="dxa"/>
            <w:vAlign w:val="top"/>
          </w:tcPr>
          <w:p>
            <w:pPr>
              <w:pStyle w:val="TableText"/>
              <w:ind w:left="1059"/>
              <w:spacing w:before="41" w:line="200" w:lineRule="auto"/>
              <w:rPr>
                <w:sz w:val="21"/>
                <w:szCs w:val="21"/>
              </w:rPr>
            </w:pPr>
            <w:r>
              <w:rPr>
                <w:sz w:val="21"/>
                <w:szCs w:val="21"/>
                <w:spacing w:val="-2"/>
              </w:rPr>
              <w:t>手动劈半器</w:t>
            </w:r>
          </w:p>
        </w:tc>
        <w:tc>
          <w:tcPr>
            <w:tcW w:w="480" w:type="dxa"/>
            <w:vAlign w:val="top"/>
          </w:tcPr>
          <w:p>
            <w:pPr>
              <w:pStyle w:val="TableText"/>
              <w:ind w:left="121"/>
              <w:spacing w:before="42" w:line="199" w:lineRule="auto"/>
              <w:rPr>
                <w:sz w:val="21"/>
                <w:szCs w:val="21"/>
              </w:rPr>
            </w:pPr>
            <w:r>
              <w:rPr>
                <w:sz w:val="21"/>
                <w:szCs w:val="21"/>
              </w:rPr>
              <w:t>台</w:t>
            </w:r>
          </w:p>
        </w:tc>
        <w:tc>
          <w:tcPr>
            <w:tcW w:w="1739" w:type="dxa"/>
            <w:vAlign w:val="top"/>
          </w:tcPr>
          <w:p>
            <w:pPr>
              <w:pStyle w:val="TableText"/>
              <w:ind w:left="802"/>
              <w:spacing w:before="61" w:line="182" w:lineRule="auto"/>
              <w:rPr>
                <w:sz w:val="21"/>
                <w:szCs w:val="21"/>
              </w:rPr>
            </w:pPr>
            <w:r>
              <w:rPr>
                <w:sz w:val="21"/>
                <w:szCs w:val="21"/>
                <w:color w:val="505050"/>
              </w:rPr>
              <w:t>1</w:t>
            </w:r>
          </w:p>
        </w:tc>
        <w:tc>
          <w:tcPr>
            <w:tcW w:w="2548" w:type="dxa"/>
            <w:vAlign w:val="top"/>
          </w:tcPr>
          <w:p>
            <w:pPr>
              <w:pStyle w:val="TableText"/>
              <w:ind w:left="1212"/>
              <w:spacing w:before="61" w:line="182" w:lineRule="auto"/>
              <w:rPr>
                <w:sz w:val="21"/>
                <w:szCs w:val="21"/>
              </w:rPr>
            </w:pPr>
            <w:r>
              <w:rPr>
                <w:sz w:val="21"/>
                <w:szCs w:val="21"/>
              </w:rPr>
              <w:t>0</w:t>
            </w:r>
          </w:p>
        </w:tc>
        <w:tc>
          <w:tcPr>
            <w:tcW w:w="2188" w:type="dxa"/>
            <w:vAlign w:val="top"/>
          </w:tcPr>
          <w:p>
            <w:pPr>
              <w:pStyle w:val="TableText"/>
              <w:ind w:left="985"/>
              <w:spacing w:before="61" w:line="182" w:lineRule="auto"/>
              <w:rPr>
                <w:sz w:val="21"/>
                <w:szCs w:val="21"/>
              </w:rPr>
            </w:pPr>
            <w:r>
              <w:rPr>
                <w:sz w:val="21"/>
                <w:szCs w:val="21"/>
                <w:spacing w:val="-2"/>
              </w:rPr>
              <w:t>-1</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125"/>
              <w:spacing w:before="52" w:line="182" w:lineRule="auto"/>
              <w:rPr>
                <w:sz w:val="21"/>
                <w:szCs w:val="21"/>
              </w:rPr>
            </w:pPr>
            <w:r>
              <w:rPr>
                <w:sz w:val="21"/>
                <w:szCs w:val="21"/>
              </w:rPr>
              <w:t>8</w:t>
            </w:r>
          </w:p>
        </w:tc>
        <w:tc>
          <w:tcPr>
            <w:tcW w:w="3188" w:type="dxa"/>
            <w:vAlign w:val="top"/>
          </w:tcPr>
          <w:p>
            <w:pPr>
              <w:pStyle w:val="TableText"/>
              <w:ind w:left="1059"/>
              <w:spacing w:before="32" w:line="200" w:lineRule="auto"/>
              <w:rPr>
                <w:sz w:val="21"/>
                <w:szCs w:val="21"/>
              </w:rPr>
            </w:pPr>
            <w:r>
              <w:rPr>
                <w:sz w:val="21"/>
                <w:szCs w:val="21"/>
                <w:spacing w:val="2"/>
              </w:rPr>
              <w:t>手动放血线</w:t>
            </w:r>
          </w:p>
        </w:tc>
        <w:tc>
          <w:tcPr>
            <w:tcW w:w="480" w:type="dxa"/>
            <w:vAlign w:val="top"/>
          </w:tcPr>
          <w:p>
            <w:pPr>
              <w:pStyle w:val="TableText"/>
              <w:ind w:left="121"/>
              <w:spacing w:before="32" w:line="200" w:lineRule="auto"/>
              <w:rPr>
                <w:sz w:val="21"/>
                <w:szCs w:val="21"/>
              </w:rPr>
            </w:pPr>
            <w:r>
              <w:rPr>
                <w:sz w:val="21"/>
                <w:szCs w:val="21"/>
              </w:rPr>
              <w:t>套</w:t>
            </w:r>
          </w:p>
        </w:tc>
        <w:tc>
          <w:tcPr>
            <w:tcW w:w="1739" w:type="dxa"/>
            <w:vAlign w:val="top"/>
          </w:tcPr>
          <w:p>
            <w:pPr>
              <w:pStyle w:val="TableText"/>
              <w:ind w:left="802"/>
              <w:spacing w:before="52" w:line="182" w:lineRule="auto"/>
              <w:rPr>
                <w:sz w:val="21"/>
                <w:szCs w:val="21"/>
              </w:rPr>
            </w:pPr>
            <w:r>
              <w:rPr>
                <w:sz w:val="21"/>
                <w:szCs w:val="21"/>
                <w:color w:val="606050"/>
              </w:rPr>
              <w:t>1</w:t>
            </w:r>
          </w:p>
        </w:tc>
        <w:tc>
          <w:tcPr>
            <w:tcW w:w="2548" w:type="dxa"/>
            <w:vAlign w:val="top"/>
          </w:tcPr>
          <w:p>
            <w:pPr>
              <w:pStyle w:val="TableText"/>
              <w:ind w:left="1212"/>
              <w:spacing w:before="52" w:line="182" w:lineRule="auto"/>
              <w:rPr>
                <w:sz w:val="21"/>
                <w:szCs w:val="21"/>
              </w:rPr>
            </w:pPr>
            <w:r>
              <w:rPr>
                <w:sz w:val="21"/>
                <w:szCs w:val="21"/>
              </w:rPr>
              <w:t>0</w:t>
            </w:r>
          </w:p>
        </w:tc>
        <w:tc>
          <w:tcPr>
            <w:tcW w:w="2188" w:type="dxa"/>
            <w:vAlign w:val="top"/>
          </w:tcPr>
          <w:p>
            <w:pPr>
              <w:pStyle w:val="TableText"/>
              <w:ind w:left="985"/>
              <w:spacing w:before="52" w:line="182" w:lineRule="auto"/>
              <w:rPr>
                <w:sz w:val="21"/>
                <w:szCs w:val="21"/>
              </w:rPr>
            </w:pPr>
            <w:r>
              <w:rPr>
                <w:sz w:val="21"/>
                <w:szCs w:val="21"/>
                <w:spacing w:val="-2"/>
              </w:rPr>
              <w:t>-1</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79" w:hRule="atLeast"/>
        </w:trPr>
        <w:tc>
          <w:tcPr>
            <w:tcW w:w="385" w:type="dxa"/>
            <w:vAlign w:val="top"/>
            <w:textDirection w:val="tbRlV"/>
          </w:tcPr>
          <w:p>
            <w:pPr>
              <w:pStyle w:val="TableText"/>
              <w:spacing w:before="154" w:line="148" w:lineRule="exact"/>
              <w:rPr>
                <w:sz w:val="21"/>
                <w:szCs w:val="21"/>
              </w:rPr>
            </w:pPr>
            <w:r>
              <w:rPr>
                <w:sz w:val="21"/>
                <w:szCs w:val="21"/>
                <w:spacing w:val="47"/>
                <w:w w:val="125"/>
                <w:position w:val="-3"/>
              </w:rPr>
              <w:t>9</w:t>
            </w:r>
          </w:p>
        </w:tc>
        <w:tc>
          <w:tcPr>
            <w:tcW w:w="3188" w:type="dxa"/>
            <w:vAlign w:val="top"/>
          </w:tcPr>
          <w:p>
            <w:pPr>
              <w:pStyle w:val="TableText"/>
              <w:ind w:left="1059"/>
              <w:spacing w:before="40" w:line="201" w:lineRule="auto"/>
              <w:rPr>
                <w:sz w:val="21"/>
                <w:szCs w:val="21"/>
              </w:rPr>
            </w:pPr>
            <w:r>
              <w:rPr>
                <w:sz w:val="21"/>
                <w:szCs w:val="21"/>
                <w:spacing w:val="-2"/>
              </w:rPr>
              <w:t>毛猪扣脚链</w:t>
            </w:r>
          </w:p>
        </w:tc>
        <w:tc>
          <w:tcPr>
            <w:tcW w:w="480" w:type="dxa"/>
            <w:vAlign w:val="top"/>
          </w:tcPr>
          <w:p>
            <w:pPr>
              <w:pStyle w:val="TableText"/>
              <w:ind w:left="121"/>
              <w:spacing w:before="42" w:line="199" w:lineRule="auto"/>
              <w:rPr>
                <w:sz w:val="21"/>
                <w:szCs w:val="21"/>
              </w:rPr>
            </w:pPr>
            <w:r>
              <w:rPr>
                <w:sz w:val="21"/>
                <w:szCs w:val="21"/>
              </w:rPr>
              <w:t>根</w:t>
            </w:r>
          </w:p>
        </w:tc>
        <w:tc>
          <w:tcPr>
            <w:tcW w:w="1739" w:type="dxa"/>
            <w:vAlign w:val="top"/>
          </w:tcPr>
          <w:p>
            <w:pPr>
              <w:pStyle w:val="TableText"/>
              <w:ind w:left="701"/>
              <w:spacing w:before="63" w:line="181" w:lineRule="auto"/>
              <w:rPr>
                <w:sz w:val="21"/>
                <w:szCs w:val="21"/>
              </w:rPr>
            </w:pPr>
            <w:r>
              <w:rPr>
                <w:sz w:val="21"/>
                <w:szCs w:val="21"/>
                <w:spacing w:val="-3"/>
              </w:rPr>
              <w:t>200</w:t>
            </w:r>
          </w:p>
        </w:tc>
        <w:tc>
          <w:tcPr>
            <w:tcW w:w="2548" w:type="dxa"/>
            <w:vAlign w:val="top"/>
          </w:tcPr>
          <w:p>
            <w:pPr>
              <w:pStyle w:val="TableText"/>
              <w:ind w:left="1212"/>
              <w:spacing w:before="63" w:line="181" w:lineRule="auto"/>
              <w:rPr>
                <w:sz w:val="21"/>
                <w:szCs w:val="21"/>
              </w:rPr>
            </w:pPr>
            <w:r>
              <w:rPr>
                <w:sz w:val="21"/>
                <w:szCs w:val="21"/>
              </w:rPr>
              <w:t>0</w:t>
            </w:r>
          </w:p>
        </w:tc>
        <w:tc>
          <w:tcPr>
            <w:tcW w:w="2188" w:type="dxa"/>
            <w:vAlign w:val="top"/>
          </w:tcPr>
          <w:p>
            <w:pPr>
              <w:pStyle w:val="TableText"/>
              <w:ind w:left="874"/>
              <w:spacing w:before="63" w:line="181" w:lineRule="auto"/>
              <w:rPr>
                <w:sz w:val="21"/>
                <w:szCs w:val="21"/>
              </w:rPr>
            </w:pPr>
            <w:r>
              <w:rPr>
                <w:sz w:val="21"/>
                <w:szCs w:val="21"/>
                <w:spacing w:val="-2"/>
              </w:rPr>
              <w:t>-200</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74"/>
              <w:spacing w:before="54" w:line="181" w:lineRule="auto"/>
              <w:rPr>
                <w:sz w:val="21"/>
                <w:szCs w:val="21"/>
              </w:rPr>
            </w:pPr>
            <w:r>
              <w:rPr>
                <w:sz w:val="21"/>
                <w:szCs w:val="21"/>
                <w:spacing w:val="-6"/>
              </w:rPr>
              <w:t>10</w:t>
            </w:r>
          </w:p>
        </w:tc>
        <w:tc>
          <w:tcPr>
            <w:tcW w:w="3188" w:type="dxa"/>
            <w:vAlign w:val="top"/>
          </w:tcPr>
          <w:p>
            <w:pPr>
              <w:pStyle w:val="TableText"/>
              <w:ind w:left="1369"/>
              <w:spacing w:before="33" w:line="199" w:lineRule="auto"/>
              <w:rPr>
                <w:sz w:val="21"/>
                <w:szCs w:val="21"/>
              </w:rPr>
            </w:pPr>
            <w:r>
              <w:rPr>
                <w:sz w:val="21"/>
                <w:szCs w:val="21"/>
                <w:spacing w:val="7"/>
              </w:rPr>
              <w:t>锅炉</w:t>
            </w:r>
          </w:p>
        </w:tc>
        <w:tc>
          <w:tcPr>
            <w:tcW w:w="480" w:type="dxa"/>
            <w:vAlign w:val="top"/>
          </w:tcPr>
          <w:p>
            <w:pPr>
              <w:pStyle w:val="TableText"/>
              <w:ind w:left="121"/>
              <w:spacing w:before="32" w:line="200" w:lineRule="auto"/>
              <w:rPr>
                <w:sz w:val="21"/>
                <w:szCs w:val="21"/>
              </w:rPr>
            </w:pPr>
            <w:r>
              <w:rPr>
                <w:sz w:val="21"/>
                <w:szCs w:val="21"/>
              </w:rPr>
              <w:t>个</w:t>
            </w:r>
          </w:p>
        </w:tc>
        <w:tc>
          <w:tcPr>
            <w:tcW w:w="1739" w:type="dxa"/>
            <w:vAlign w:val="top"/>
            <w:textDirection w:val="tbRlV"/>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spacing w:before="70" w:line="126" w:lineRule="exact"/>
              <w:rPr>
                <w:sz w:val="21"/>
                <w:szCs w:val="21"/>
              </w:rPr>
            </w:pPr>
            <w:r>
              <w:rPr>
                <w:sz w:val="21"/>
                <w:szCs w:val="21"/>
                <w:spacing w:val="37"/>
                <w:w w:val="125"/>
                <w:position w:val="-3"/>
              </w:rPr>
              <w:t>1</w:t>
            </w:r>
          </w:p>
        </w:tc>
        <w:tc>
          <w:tcPr>
            <w:tcW w:w="2548" w:type="dxa"/>
            <w:vAlign w:val="top"/>
            <w:textDirection w:val="tbRlV"/>
          </w:tcPr>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pStyle w:val="TableText"/>
              <w:spacing w:before="70" w:line="149" w:lineRule="exact"/>
              <w:rPr>
                <w:sz w:val="21"/>
                <w:szCs w:val="21"/>
              </w:rPr>
            </w:pPr>
            <w:r>
              <w:rPr>
                <w:sz w:val="21"/>
                <w:szCs w:val="21"/>
                <w:spacing w:val="38"/>
                <w:w w:val="125"/>
                <w:position w:val="-3"/>
              </w:rPr>
              <w:t>0</w:t>
            </w:r>
          </w:p>
        </w:tc>
        <w:tc>
          <w:tcPr>
            <w:tcW w:w="2188" w:type="dxa"/>
            <w:vAlign w:val="top"/>
          </w:tcPr>
          <w:p>
            <w:pPr>
              <w:pStyle w:val="TableText"/>
              <w:ind w:left="985"/>
              <w:spacing w:before="54" w:line="181" w:lineRule="auto"/>
              <w:rPr>
                <w:sz w:val="21"/>
                <w:szCs w:val="21"/>
              </w:rPr>
            </w:pPr>
            <w:r>
              <w:rPr>
                <w:sz w:val="21"/>
                <w:szCs w:val="21"/>
                <w:spacing w:val="-2"/>
              </w:rPr>
              <w:t>-1</w:t>
            </w:r>
          </w:p>
        </w:tc>
        <w:tc>
          <w:tcPr>
            <w:tcW w:w="2498" w:type="dxa"/>
            <w:vAlign w:val="top"/>
            <w:vMerge w:val="continue"/>
            <w:tcBorders>
              <w:top w:val="nil"/>
            </w:tcBorders>
          </w:tcPr>
          <w:p>
            <w:pPr>
              <w:rPr>
                <w:rFonts w:ascii="Arial"/>
                <w:sz w:val="21"/>
              </w:rPr>
            </w:pPr>
            <w:r/>
          </w:p>
        </w:tc>
        <w:tc>
          <w:tcPr>
            <w:tcW w:w="1114" w:type="dxa"/>
            <w:vAlign w:val="top"/>
            <w:vMerge w:val="continue"/>
            <w:tcBorders>
              <w:top w:val="nil"/>
            </w:tcBorders>
          </w:tcPr>
          <w:p>
            <w:pPr>
              <w:rPr>
                <w:rFonts w:ascii="Arial"/>
                <w:sz w:val="21"/>
              </w:rPr>
            </w:pPr>
            <w:r/>
          </w:p>
        </w:tc>
      </w:tr>
      <w:tr>
        <w:trPr>
          <w:trHeight w:val="279" w:hRule="atLeast"/>
        </w:trPr>
        <w:tc>
          <w:tcPr>
            <w:tcW w:w="385" w:type="dxa"/>
            <w:vAlign w:val="top"/>
          </w:tcPr>
          <w:p>
            <w:pPr>
              <w:pStyle w:val="TableText"/>
              <w:ind w:left="74"/>
              <w:spacing w:before="63" w:line="181" w:lineRule="auto"/>
              <w:rPr>
                <w:sz w:val="21"/>
                <w:szCs w:val="21"/>
              </w:rPr>
            </w:pPr>
            <w:r>
              <w:rPr>
                <w:sz w:val="21"/>
                <w:szCs w:val="21"/>
                <w:spacing w:val="-6"/>
              </w:rPr>
              <w:t>11</w:t>
            </w:r>
          </w:p>
        </w:tc>
        <w:tc>
          <w:tcPr>
            <w:tcW w:w="3188" w:type="dxa"/>
            <w:vAlign w:val="top"/>
          </w:tcPr>
          <w:p>
            <w:pPr>
              <w:pStyle w:val="TableText"/>
              <w:ind w:left="1159"/>
              <w:spacing w:before="43" w:line="198" w:lineRule="auto"/>
              <w:rPr>
                <w:sz w:val="21"/>
                <w:szCs w:val="21"/>
              </w:rPr>
            </w:pPr>
            <w:r>
              <w:rPr>
                <w:sz w:val="21"/>
                <w:szCs w:val="21"/>
                <w:spacing w:val="-2"/>
              </w:rPr>
              <w:t>赶猪通道</w:t>
            </w:r>
          </w:p>
        </w:tc>
        <w:tc>
          <w:tcPr>
            <w:tcW w:w="480" w:type="dxa"/>
            <w:vAlign w:val="top"/>
          </w:tcPr>
          <w:p>
            <w:pPr>
              <w:pStyle w:val="TableText"/>
              <w:ind w:left="121"/>
              <w:spacing w:before="44" w:line="197" w:lineRule="auto"/>
              <w:rPr>
                <w:sz w:val="21"/>
                <w:szCs w:val="21"/>
              </w:rPr>
            </w:pPr>
            <w:r>
              <w:rPr>
                <w:sz w:val="21"/>
                <w:szCs w:val="21"/>
              </w:rPr>
              <w:t>台</w:t>
            </w:r>
          </w:p>
        </w:tc>
        <w:tc>
          <w:tcPr>
            <w:tcW w:w="1739" w:type="dxa"/>
            <w:vAlign w:val="top"/>
          </w:tcPr>
          <w:p>
            <w:pPr>
              <w:pStyle w:val="TableText"/>
              <w:ind w:left="802"/>
              <w:spacing w:before="63" w:line="181" w:lineRule="auto"/>
              <w:rPr>
                <w:sz w:val="21"/>
                <w:szCs w:val="21"/>
              </w:rPr>
            </w:pPr>
            <w:r>
              <w:rPr>
                <w:sz w:val="21"/>
                <w:szCs w:val="21"/>
              </w:rPr>
              <w:t>0</w:t>
            </w:r>
          </w:p>
        </w:tc>
        <w:tc>
          <w:tcPr>
            <w:tcW w:w="2548" w:type="dxa"/>
            <w:vAlign w:val="top"/>
          </w:tcPr>
          <w:p>
            <w:pPr>
              <w:pStyle w:val="TableText"/>
              <w:ind w:left="1212"/>
              <w:spacing w:before="63" w:line="181" w:lineRule="auto"/>
              <w:rPr>
                <w:sz w:val="21"/>
                <w:szCs w:val="21"/>
              </w:rPr>
            </w:pPr>
            <w:r>
              <w:rPr>
                <w:sz w:val="21"/>
                <w:szCs w:val="21"/>
              </w:rPr>
              <w:t>2</w:t>
            </w:r>
          </w:p>
        </w:tc>
        <w:tc>
          <w:tcPr>
            <w:tcW w:w="2188" w:type="dxa"/>
            <w:vAlign w:val="top"/>
          </w:tcPr>
          <w:p>
            <w:pPr>
              <w:pStyle w:val="TableText"/>
              <w:ind w:left="985"/>
              <w:spacing w:before="63" w:line="181" w:lineRule="auto"/>
              <w:rPr>
                <w:sz w:val="21"/>
                <w:szCs w:val="21"/>
              </w:rPr>
            </w:pPr>
            <w:r>
              <w:rPr>
                <w:sz w:val="21"/>
                <w:szCs w:val="21"/>
                <w:spacing w:val="-3"/>
              </w:rPr>
              <w:t>+2</w:t>
            </w:r>
          </w:p>
        </w:tc>
        <w:tc>
          <w:tcPr>
            <w:tcW w:w="2498" w:type="dxa"/>
            <w:vAlign w:val="top"/>
            <w:vMerge w:val="restart"/>
            <w:tcBorders>
              <w:bottom w:val="nil"/>
            </w:tcBorders>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506"/>
              <w:spacing w:before="68" w:line="220" w:lineRule="auto"/>
              <w:rPr>
                <w:sz w:val="21"/>
                <w:szCs w:val="21"/>
              </w:rPr>
            </w:pPr>
            <w:r>
              <w:rPr>
                <w:sz w:val="21"/>
                <w:szCs w:val="21"/>
                <w:spacing w:val="-1"/>
              </w:rPr>
              <w:t>击晕、放血区域</w:t>
            </w:r>
          </w:p>
        </w:tc>
        <w:tc>
          <w:tcPr>
            <w:tcW w:w="1114" w:type="dxa"/>
            <w:vAlign w:val="top"/>
            <w:vMerge w:val="restart"/>
            <w:tcBorders>
              <w:bottom w:val="nil"/>
            </w:tcBorders>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148"/>
              <w:spacing w:before="68" w:line="220" w:lineRule="auto"/>
              <w:rPr>
                <w:sz w:val="21"/>
                <w:szCs w:val="21"/>
              </w:rPr>
            </w:pPr>
            <w:r>
              <w:rPr>
                <w:sz w:val="21"/>
                <w:szCs w:val="21"/>
                <w:spacing w:val="-2"/>
              </w:rPr>
              <w:t>新购设备</w:t>
            </w:r>
          </w:p>
        </w:tc>
      </w:tr>
      <w:tr>
        <w:trPr>
          <w:trHeight w:val="270" w:hRule="atLeast"/>
        </w:trPr>
        <w:tc>
          <w:tcPr>
            <w:tcW w:w="385" w:type="dxa"/>
            <w:vAlign w:val="top"/>
          </w:tcPr>
          <w:p>
            <w:pPr>
              <w:pStyle w:val="TableText"/>
              <w:ind w:left="74"/>
              <w:spacing w:before="54" w:line="181" w:lineRule="auto"/>
              <w:rPr>
                <w:sz w:val="21"/>
                <w:szCs w:val="21"/>
              </w:rPr>
            </w:pPr>
            <w:r>
              <w:rPr>
                <w:sz w:val="21"/>
                <w:szCs w:val="21"/>
                <w:spacing w:val="-6"/>
              </w:rPr>
              <w:t>12</w:t>
            </w:r>
          </w:p>
        </w:tc>
        <w:tc>
          <w:tcPr>
            <w:tcW w:w="3188" w:type="dxa"/>
            <w:vAlign w:val="top"/>
          </w:tcPr>
          <w:p>
            <w:pPr>
              <w:pStyle w:val="TableText"/>
              <w:ind w:left="849"/>
              <w:spacing w:before="32" w:line="200" w:lineRule="auto"/>
              <w:rPr>
                <w:sz w:val="21"/>
                <w:szCs w:val="21"/>
              </w:rPr>
            </w:pPr>
            <w:r>
              <w:rPr>
                <w:sz w:val="21"/>
                <w:szCs w:val="21"/>
                <w:spacing w:val="-2"/>
              </w:rPr>
              <w:t>托胸活挂输送机</w:t>
            </w:r>
          </w:p>
        </w:tc>
        <w:tc>
          <w:tcPr>
            <w:tcW w:w="480" w:type="dxa"/>
            <w:vAlign w:val="top"/>
          </w:tcPr>
          <w:p>
            <w:pPr>
              <w:pStyle w:val="TableText"/>
              <w:ind w:left="121"/>
              <w:spacing w:before="35" w:line="197" w:lineRule="auto"/>
              <w:rPr>
                <w:sz w:val="21"/>
                <w:szCs w:val="21"/>
              </w:rPr>
            </w:pPr>
            <w:r>
              <w:rPr>
                <w:sz w:val="21"/>
                <w:szCs w:val="21"/>
              </w:rPr>
              <w:t>台</w:t>
            </w:r>
          </w:p>
        </w:tc>
        <w:tc>
          <w:tcPr>
            <w:tcW w:w="1739" w:type="dxa"/>
            <w:vAlign w:val="top"/>
          </w:tcPr>
          <w:p>
            <w:pPr>
              <w:pStyle w:val="TableText"/>
              <w:ind w:left="802"/>
              <w:spacing w:before="54" w:line="181" w:lineRule="auto"/>
              <w:rPr>
                <w:sz w:val="21"/>
                <w:szCs w:val="21"/>
              </w:rPr>
            </w:pPr>
            <w:r>
              <w:rPr>
                <w:sz w:val="21"/>
                <w:szCs w:val="21"/>
              </w:rPr>
              <w:t>0</w:t>
            </w:r>
          </w:p>
        </w:tc>
        <w:tc>
          <w:tcPr>
            <w:tcW w:w="2548" w:type="dxa"/>
            <w:vAlign w:val="top"/>
            <w:textDirection w:val="tbRlV"/>
          </w:tcPr>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spacing w:before="70" w:line="126" w:lineRule="exact"/>
              <w:rPr>
                <w:sz w:val="21"/>
                <w:szCs w:val="21"/>
              </w:rPr>
            </w:pPr>
            <w:r>
              <w:rPr>
                <w:sz w:val="21"/>
                <w:szCs w:val="21"/>
                <w:spacing w:val="38"/>
                <w:w w:val="125"/>
                <w:position w:val="-3"/>
              </w:rPr>
              <w:t>1</w:t>
            </w:r>
          </w:p>
        </w:tc>
        <w:tc>
          <w:tcPr>
            <w:tcW w:w="2188" w:type="dxa"/>
            <w:vAlign w:val="top"/>
          </w:tcPr>
          <w:p>
            <w:pPr>
              <w:pStyle w:val="TableText"/>
              <w:ind w:left="985"/>
              <w:spacing w:before="54" w:line="181"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79" w:hRule="atLeast"/>
        </w:trPr>
        <w:tc>
          <w:tcPr>
            <w:tcW w:w="385" w:type="dxa"/>
            <w:vAlign w:val="top"/>
          </w:tcPr>
          <w:p>
            <w:pPr>
              <w:pStyle w:val="TableText"/>
              <w:ind w:left="74"/>
              <w:spacing w:before="64" w:line="180" w:lineRule="auto"/>
              <w:rPr>
                <w:sz w:val="21"/>
                <w:szCs w:val="21"/>
              </w:rPr>
            </w:pPr>
            <w:r>
              <w:rPr>
                <w:sz w:val="21"/>
                <w:szCs w:val="21"/>
                <w:spacing w:val="-6"/>
              </w:rPr>
              <w:t>13</w:t>
            </w:r>
          </w:p>
        </w:tc>
        <w:tc>
          <w:tcPr>
            <w:tcW w:w="3188" w:type="dxa"/>
            <w:vAlign w:val="top"/>
          </w:tcPr>
          <w:p>
            <w:pPr>
              <w:pStyle w:val="TableText"/>
              <w:ind w:left="529"/>
              <w:spacing w:before="42" w:line="199" w:lineRule="auto"/>
              <w:rPr>
                <w:sz w:val="21"/>
                <w:szCs w:val="21"/>
              </w:rPr>
            </w:pPr>
            <w:r>
              <w:rPr>
                <w:sz w:val="21"/>
                <w:szCs w:val="21"/>
                <w:spacing w:val="4"/>
              </w:rPr>
              <w:t>活挂毛猪提升机(管轨)</w:t>
            </w:r>
          </w:p>
        </w:tc>
        <w:tc>
          <w:tcPr>
            <w:tcW w:w="480" w:type="dxa"/>
            <w:vAlign w:val="top"/>
          </w:tcPr>
          <w:p>
            <w:pPr>
              <w:pStyle w:val="TableText"/>
              <w:ind w:left="121"/>
              <w:spacing w:before="46" w:line="196" w:lineRule="auto"/>
              <w:rPr>
                <w:sz w:val="21"/>
                <w:szCs w:val="21"/>
              </w:rPr>
            </w:pPr>
            <w:r>
              <w:rPr>
                <w:sz w:val="21"/>
                <w:szCs w:val="21"/>
              </w:rPr>
              <w:t>台</w:t>
            </w:r>
          </w:p>
        </w:tc>
        <w:tc>
          <w:tcPr>
            <w:tcW w:w="1739" w:type="dxa"/>
            <w:vAlign w:val="top"/>
          </w:tcPr>
          <w:p>
            <w:pPr>
              <w:pStyle w:val="TableText"/>
              <w:ind w:left="802"/>
              <w:spacing w:before="64" w:line="180" w:lineRule="auto"/>
              <w:rPr>
                <w:sz w:val="21"/>
                <w:szCs w:val="21"/>
              </w:rPr>
            </w:pPr>
            <w:r>
              <w:rPr>
                <w:sz w:val="21"/>
                <w:szCs w:val="21"/>
              </w:rPr>
              <w:t>0</w:t>
            </w:r>
          </w:p>
        </w:tc>
        <w:tc>
          <w:tcPr>
            <w:tcW w:w="2548" w:type="dxa"/>
            <w:vAlign w:val="top"/>
            <w:textDirection w:val="tbRlV"/>
          </w:tcPr>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spacing w:before="70" w:line="126" w:lineRule="exact"/>
              <w:rPr>
                <w:sz w:val="21"/>
                <w:szCs w:val="21"/>
              </w:rPr>
            </w:pPr>
            <w:r>
              <w:rPr>
                <w:sz w:val="21"/>
                <w:szCs w:val="21"/>
                <w:color w:val="505040"/>
                <w:spacing w:val="48"/>
                <w:w w:val="125"/>
                <w:position w:val="-3"/>
              </w:rPr>
              <w:t>1</w:t>
            </w:r>
          </w:p>
        </w:tc>
        <w:tc>
          <w:tcPr>
            <w:tcW w:w="2188" w:type="dxa"/>
            <w:vAlign w:val="top"/>
          </w:tcPr>
          <w:p>
            <w:pPr>
              <w:pStyle w:val="TableText"/>
              <w:ind w:left="985"/>
              <w:spacing w:before="64" w:line="180"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69" w:hRule="atLeast"/>
        </w:trPr>
        <w:tc>
          <w:tcPr>
            <w:tcW w:w="385" w:type="dxa"/>
            <w:vAlign w:val="top"/>
          </w:tcPr>
          <w:p>
            <w:pPr>
              <w:pStyle w:val="TableText"/>
              <w:ind w:left="74"/>
              <w:spacing w:before="55" w:line="179" w:lineRule="auto"/>
              <w:rPr>
                <w:sz w:val="21"/>
                <w:szCs w:val="21"/>
              </w:rPr>
            </w:pPr>
            <w:r>
              <w:rPr>
                <w:sz w:val="21"/>
                <w:szCs w:val="21"/>
                <w:spacing w:val="-6"/>
              </w:rPr>
              <w:t>14</w:t>
            </w:r>
          </w:p>
        </w:tc>
        <w:tc>
          <w:tcPr>
            <w:tcW w:w="3188" w:type="dxa"/>
            <w:vAlign w:val="top"/>
          </w:tcPr>
          <w:p>
            <w:pPr>
              <w:pStyle w:val="TableText"/>
              <w:ind w:left="949"/>
              <w:spacing w:before="34" w:line="197" w:lineRule="auto"/>
              <w:rPr>
                <w:sz w:val="21"/>
                <w:szCs w:val="21"/>
              </w:rPr>
            </w:pPr>
            <w:r>
              <w:rPr>
                <w:sz w:val="21"/>
                <w:szCs w:val="21"/>
                <w:spacing w:val="-2"/>
              </w:rPr>
              <w:t>手持式麻电器</w:t>
            </w:r>
          </w:p>
        </w:tc>
        <w:tc>
          <w:tcPr>
            <w:tcW w:w="480" w:type="dxa"/>
            <w:vAlign w:val="top"/>
          </w:tcPr>
          <w:p>
            <w:pPr>
              <w:pStyle w:val="TableText"/>
              <w:ind w:left="121"/>
              <w:spacing w:before="37" w:line="195" w:lineRule="auto"/>
              <w:rPr>
                <w:sz w:val="21"/>
                <w:szCs w:val="21"/>
              </w:rPr>
            </w:pPr>
            <w:r>
              <w:rPr>
                <w:sz w:val="21"/>
                <w:szCs w:val="21"/>
              </w:rPr>
              <w:t>台</w:t>
            </w:r>
          </w:p>
        </w:tc>
        <w:tc>
          <w:tcPr>
            <w:tcW w:w="1739" w:type="dxa"/>
            <w:vAlign w:val="top"/>
          </w:tcPr>
          <w:p>
            <w:pPr>
              <w:pStyle w:val="TableText"/>
              <w:ind w:left="802"/>
              <w:spacing w:before="55" w:line="179" w:lineRule="auto"/>
              <w:rPr>
                <w:sz w:val="21"/>
                <w:szCs w:val="21"/>
              </w:rPr>
            </w:pPr>
            <w:r>
              <w:rPr>
                <w:sz w:val="21"/>
                <w:szCs w:val="21"/>
              </w:rPr>
              <w:t>0</w:t>
            </w:r>
          </w:p>
        </w:tc>
        <w:tc>
          <w:tcPr>
            <w:tcW w:w="2548" w:type="dxa"/>
            <w:vAlign w:val="top"/>
            <w:textDirection w:val="tbRlV"/>
          </w:tcPr>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spacing w:before="70" w:line="126" w:lineRule="exact"/>
              <w:rPr>
                <w:sz w:val="21"/>
                <w:szCs w:val="21"/>
              </w:rPr>
            </w:pPr>
            <w:r>
              <w:rPr>
                <w:sz w:val="21"/>
                <w:szCs w:val="21"/>
                <w:color w:val="404040"/>
                <w:spacing w:val="39"/>
                <w:w w:val="125"/>
                <w:position w:val="-3"/>
              </w:rPr>
              <w:t>1</w:t>
            </w:r>
          </w:p>
        </w:tc>
        <w:tc>
          <w:tcPr>
            <w:tcW w:w="2188" w:type="dxa"/>
            <w:vAlign w:val="top"/>
          </w:tcPr>
          <w:p>
            <w:pPr>
              <w:pStyle w:val="TableText"/>
              <w:ind w:left="985"/>
              <w:spacing w:before="55" w:line="179"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50" w:hRule="atLeast"/>
        </w:trPr>
        <w:tc>
          <w:tcPr>
            <w:tcW w:w="385" w:type="dxa"/>
            <w:vAlign w:val="top"/>
          </w:tcPr>
          <w:p>
            <w:pPr>
              <w:pStyle w:val="TableText"/>
              <w:ind w:left="74"/>
              <w:spacing w:before="46" w:line="170" w:lineRule="auto"/>
              <w:rPr>
                <w:sz w:val="21"/>
                <w:szCs w:val="21"/>
              </w:rPr>
            </w:pPr>
            <w:r>
              <w:rPr>
                <w:sz w:val="21"/>
                <w:szCs w:val="21"/>
                <w:spacing w:val="-6"/>
              </w:rPr>
              <w:t>15</w:t>
            </w:r>
          </w:p>
        </w:tc>
        <w:tc>
          <w:tcPr>
            <w:tcW w:w="3188" w:type="dxa"/>
            <w:vAlign w:val="top"/>
          </w:tcPr>
          <w:p>
            <w:pPr>
              <w:pStyle w:val="TableText"/>
              <w:ind w:left="739"/>
              <w:spacing w:before="25" w:line="189" w:lineRule="auto"/>
              <w:rPr>
                <w:sz w:val="21"/>
                <w:szCs w:val="21"/>
              </w:rPr>
            </w:pPr>
            <w:r>
              <w:rPr>
                <w:sz w:val="21"/>
                <w:szCs w:val="21"/>
                <w:spacing w:val="-1"/>
              </w:rPr>
              <w:t>三点式麻电输送机</w:t>
            </w:r>
          </w:p>
        </w:tc>
        <w:tc>
          <w:tcPr>
            <w:tcW w:w="480" w:type="dxa"/>
            <w:vAlign w:val="top"/>
          </w:tcPr>
          <w:p>
            <w:pPr>
              <w:pStyle w:val="TableText"/>
              <w:ind w:left="121"/>
              <w:spacing w:before="28" w:line="186" w:lineRule="auto"/>
              <w:rPr>
                <w:sz w:val="21"/>
                <w:szCs w:val="21"/>
              </w:rPr>
            </w:pPr>
            <w:r>
              <w:rPr>
                <w:sz w:val="21"/>
                <w:szCs w:val="21"/>
              </w:rPr>
              <w:t>台</w:t>
            </w:r>
          </w:p>
        </w:tc>
        <w:tc>
          <w:tcPr>
            <w:tcW w:w="1739" w:type="dxa"/>
            <w:vAlign w:val="top"/>
          </w:tcPr>
          <w:p>
            <w:pPr>
              <w:pStyle w:val="TableText"/>
              <w:ind w:left="802"/>
              <w:spacing w:before="46" w:line="170" w:lineRule="auto"/>
              <w:rPr>
                <w:sz w:val="21"/>
                <w:szCs w:val="21"/>
              </w:rPr>
            </w:pPr>
            <w:r>
              <w:rPr>
                <w:sz w:val="21"/>
                <w:szCs w:val="21"/>
              </w:rPr>
              <w:t>0</w:t>
            </w:r>
          </w:p>
        </w:tc>
        <w:tc>
          <w:tcPr>
            <w:tcW w:w="2548" w:type="dxa"/>
            <w:vAlign w:val="top"/>
            <w:textDirection w:val="tbRlV"/>
          </w:tcPr>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spacing w:before="70" w:line="126" w:lineRule="exact"/>
              <w:rPr>
                <w:sz w:val="21"/>
                <w:szCs w:val="21"/>
              </w:rPr>
            </w:pPr>
            <w:r>
              <w:rPr>
                <w:sz w:val="21"/>
                <w:szCs w:val="21"/>
                <w:color w:val="505040"/>
                <w:spacing w:val="30"/>
                <w:w w:val="125"/>
                <w:position w:val="-3"/>
              </w:rPr>
              <w:t>1</w:t>
            </w:r>
          </w:p>
        </w:tc>
        <w:tc>
          <w:tcPr>
            <w:tcW w:w="2188" w:type="dxa"/>
            <w:vAlign w:val="top"/>
          </w:tcPr>
          <w:p>
            <w:pPr>
              <w:pStyle w:val="TableText"/>
              <w:ind w:left="985"/>
              <w:spacing w:before="46" w:line="170"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69" w:hRule="atLeast"/>
        </w:trPr>
        <w:tc>
          <w:tcPr>
            <w:tcW w:w="385" w:type="dxa"/>
            <w:vAlign w:val="top"/>
          </w:tcPr>
          <w:p>
            <w:pPr>
              <w:pStyle w:val="TableText"/>
              <w:ind w:left="74"/>
              <w:spacing w:before="56" w:line="178" w:lineRule="auto"/>
              <w:rPr>
                <w:sz w:val="21"/>
                <w:szCs w:val="21"/>
              </w:rPr>
            </w:pPr>
            <w:r>
              <w:rPr>
                <w:sz w:val="21"/>
                <w:szCs w:val="21"/>
                <w:spacing w:val="-6"/>
              </w:rPr>
              <w:t>16</w:t>
            </w:r>
          </w:p>
        </w:tc>
        <w:tc>
          <w:tcPr>
            <w:tcW w:w="3188" w:type="dxa"/>
            <w:vAlign w:val="top"/>
          </w:tcPr>
          <w:p>
            <w:pPr>
              <w:pStyle w:val="TableText"/>
              <w:ind w:left="849"/>
              <w:spacing w:before="34" w:line="197" w:lineRule="auto"/>
              <w:rPr>
                <w:sz w:val="21"/>
                <w:szCs w:val="21"/>
              </w:rPr>
            </w:pPr>
            <w:r>
              <w:rPr>
                <w:sz w:val="21"/>
                <w:szCs w:val="21"/>
                <w:spacing w:val="-2"/>
              </w:rPr>
              <w:t>麻电机接收滑槽</w:t>
            </w:r>
          </w:p>
        </w:tc>
        <w:tc>
          <w:tcPr>
            <w:tcW w:w="480" w:type="dxa"/>
            <w:vAlign w:val="top"/>
          </w:tcPr>
          <w:p>
            <w:pPr>
              <w:pStyle w:val="TableText"/>
              <w:ind w:left="121"/>
              <w:spacing w:before="34" w:line="197" w:lineRule="auto"/>
              <w:rPr>
                <w:sz w:val="21"/>
                <w:szCs w:val="21"/>
              </w:rPr>
            </w:pPr>
            <w:r>
              <w:rPr>
                <w:sz w:val="21"/>
                <w:szCs w:val="21"/>
              </w:rPr>
              <w:t>个</w:t>
            </w:r>
          </w:p>
        </w:tc>
        <w:tc>
          <w:tcPr>
            <w:tcW w:w="1739" w:type="dxa"/>
            <w:vAlign w:val="top"/>
          </w:tcPr>
          <w:p>
            <w:pPr>
              <w:pStyle w:val="TableText"/>
              <w:ind w:left="802"/>
              <w:spacing w:before="56" w:line="178" w:lineRule="auto"/>
              <w:rPr>
                <w:sz w:val="21"/>
                <w:szCs w:val="21"/>
              </w:rPr>
            </w:pPr>
            <w:r>
              <w:rPr>
                <w:sz w:val="21"/>
                <w:szCs w:val="21"/>
              </w:rPr>
              <w:t>0</w:t>
            </w:r>
          </w:p>
        </w:tc>
        <w:tc>
          <w:tcPr>
            <w:tcW w:w="2548" w:type="dxa"/>
            <w:vAlign w:val="top"/>
            <w:textDirection w:val="tbRlV"/>
          </w:tcPr>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spacing w:before="70" w:line="126" w:lineRule="exact"/>
              <w:rPr>
                <w:sz w:val="21"/>
                <w:szCs w:val="21"/>
              </w:rPr>
            </w:pPr>
            <w:r>
              <w:rPr>
                <w:sz w:val="21"/>
                <w:szCs w:val="21"/>
                <w:color w:val="505040"/>
                <w:spacing w:val="40"/>
                <w:w w:val="125"/>
                <w:position w:val="-3"/>
              </w:rPr>
              <w:t>1</w:t>
            </w:r>
          </w:p>
        </w:tc>
        <w:tc>
          <w:tcPr>
            <w:tcW w:w="2188" w:type="dxa"/>
            <w:vAlign w:val="top"/>
          </w:tcPr>
          <w:p>
            <w:pPr>
              <w:pStyle w:val="TableText"/>
              <w:ind w:left="985"/>
              <w:spacing w:before="56" w:line="178"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79" w:hRule="atLeast"/>
        </w:trPr>
        <w:tc>
          <w:tcPr>
            <w:tcW w:w="385" w:type="dxa"/>
            <w:vAlign w:val="top"/>
          </w:tcPr>
          <w:p>
            <w:pPr>
              <w:pStyle w:val="TableText"/>
              <w:ind w:left="74"/>
              <w:spacing w:before="67" w:line="177" w:lineRule="auto"/>
              <w:rPr>
                <w:sz w:val="21"/>
                <w:szCs w:val="21"/>
              </w:rPr>
            </w:pPr>
            <w:r>
              <w:rPr>
                <w:sz w:val="21"/>
                <w:szCs w:val="21"/>
                <w:spacing w:val="-6"/>
              </w:rPr>
              <w:t>17</w:t>
            </w:r>
          </w:p>
        </w:tc>
        <w:tc>
          <w:tcPr>
            <w:tcW w:w="3188" w:type="dxa"/>
            <w:vAlign w:val="top"/>
          </w:tcPr>
          <w:p>
            <w:pPr>
              <w:pStyle w:val="TableText"/>
              <w:ind w:left="319"/>
              <w:spacing w:before="46" w:line="196" w:lineRule="auto"/>
              <w:rPr>
                <w:sz w:val="21"/>
                <w:szCs w:val="21"/>
              </w:rPr>
            </w:pPr>
            <w:r>
              <w:rPr>
                <w:sz w:val="21"/>
                <w:szCs w:val="21"/>
                <w:spacing w:val="3"/>
              </w:rPr>
              <w:t>卧式放血平板输送机(L=6m)</w:t>
            </w:r>
          </w:p>
        </w:tc>
        <w:tc>
          <w:tcPr>
            <w:tcW w:w="480" w:type="dxa"/>
            <w:vAlign w:val="top"/>
          </w:tcPr>
          <w:p>
            <w:pPr>
              <w:pStyle w:val="TableText"/>
              <w:ind w:left="121"/>
              <w:spacing w:before="49" w:line="193" w:lineRule="auto"/>
              <w:rPr>
                <w:sz w:val="21"/>
                <w:szCs w:val="21"/>
              </w:rPr>
            </w:pPr>
            <w:r>
              <w:rPr>
                <w:sz w:val="21"/>
                <w:szCs w:val="21"/>
              </w:rPr>
              <w:t>台</w:t>
            </w:r>
          </w:p>
        </w:tc>
        <w:tc>
          <w:tcPr>
            <w:tcW w:w="1739" w:type="dxa"/>
            <w:vAlign w:val="top"/>
          </w:tcPr>
          <w:p>
            <w:pPr>
              <w:pStyle w:val="TableText"/>
              <w:ind w:left="802"/>
              <w:spacing w:before="67" w:line="177" w:lineRule="auto"/>
              <w:rPr>
                <w:sz w:val="21"/>
                <w:szCs w:val="21"/>
              </w:rPr>
            </w:pPr>
            <w:r>
              <w:rPr>
                <w:sz w:val="21"/>
                <w:szCs w:val="21"/>
              </w:rPr>
              <w:t>0</w:t>
            </w:r>
          </w:p>
        </w:tc>
        <w:tc>
          <w:tcPr>
            <w:tcW w:w="2548" w:type="dxa"/>
            <w:vAlign w:val="top"/>
            <w:textDirection w:val="tbRlV"/>
          </w:tcPr>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ind w:left="1"/>
              <w:spacing w:before="70" w:line="126" w:lineRule="exact"/>
              <w:rPr>
                <w:sz w:val="21"/>
                <w:szCs w:val="21"/>
              </w:rPr>
            </w:pPr>
            <w:r>
              <w:rPr>
                <w:sz w:val="21"/>
                <w:szCs w:val="21"/>
                <w:color w:val="505040"/>
                <w:spacing w:val="50"/>
                <w:w w:val="125"/>
                <w:position w:val="-3"/>
              </w:rPr>
              <w:t>1</w:t>
            </w:r>
          </w:p>
        </w:tc>
        <w:tc>
          <w:tcPr>
            <w:tcW w:w="2188" w:type="dxa"/>
            <w:vAlign w:val="top"/>
          </w:tcPr>
          <w:p>
            <w:pPr>
              <w:pStyle w:val="TableText"/>
              <w:ind w:left="985"/>
              <w:spacing w:before="67" w:line="177"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74"/>
              <w:spacing w:before="58" w:line="177" w:lineRule="auto"/>
              <w:rPr>
                <w:sz w:val="21"/>
                <w:szCs w:val="21"/>
              </w:rPr>
            </w:pPr>
            <w:r>
              <w:rPr>
                <w:sz w:val="21"/>
                <w:szCs w:val="21"/>
                <w:spacing w:val="-6"/>
              </w:rPr>
              <w:t>18</w:t>
            </w:r>
          </w:p>
        </w:tc>
        <w:tc>
          <w:tcPr>
            <w:tcW w:w="3188" w:type="dxa"/>
            <w:vAlign w:val="top"/>
          </w:tcPr>
          <w:p>
            <w:pPr>
              <w:pStyle w:val="TableText"/>
              <w:ind w:left="529"/>
              <w:spacing w:before="37" w:line="196" w:lineRule="auto"/>
              <w:rPr>
                <w:sz w:val="21"/>
                <w:szCs w:val="21"/>
              </w:rPr>
            </w:pPr>
            <w:r>
              <w:rPr>
                <w:sz w:val="21"/>
                <w:szCs w:val="21"/>
                <w:spacing w:val="4"/>
              </w:rPr>
              <w:t>平板毛猪提升机(管轨)</w:t>
            </w:r>
          </w:p>
        </w:tc>
        <w:tc>
          <w:tcPr>
            <w:tcW w:w="480" w:type="dxa"/>
            <w:vAlign w:val="top"/>
          </w:tcPr>
          <w:p>
            <w:pPr>
              <w:pStyle w:val="TableText"/>
              <w:ind w:left="121"/>
              <w:spacing w:before="40" w:line="193" w:lineRule="auto"/>
              <w:rPr>
                <w:sz w:val="21"/>
                <w:szCs w:val="21"/>
              </w:rPr>
            </w:pPr>
            <w:r>
              <w:rPr>
                <w:sz w:val="21"/>
                <w:szCs w:val="21"/>
              </w:rPr>
              <w:t>台</w:t>
            </w:r>
          </w:p>
        </w:tc>
        <w:tc>
          <w:tcPr>
            <w:tcW w:w="1739" w:type="dxa"/>
            <w:vAlign w:val="top"/>
          </w:tcPr>
          <w:p>
            <w:pPr>
              <w:pStyle w:val="TableText"/>
              <w:ind w:left="802"/>
              <w:spacing w:before="58" w:line="177" w:lineRule="auto"/>
              <w:rPr>
                <w:sz w:val="21"/>
                <w:szCs w:val="21"/>
              </w:rPr>
            </w:pPr>
            <w:r>
              <w:rPr>
                <w:sz w:val="21"/>
                <w:szCs w:val="21"/>
              </w:rPr>
              <w:t>0</w:t>
            </w:r>
          </w:p>
        </w:tc>
        <w:tc>
          <w:tcPr>
            <w:tcW w:w="2548" w:type="dxa"/>
            <w:vAlign w:val="top"/>
            <w:textDirection w:val="tbRlV"/>
          </w:tcPr>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spacing w:before="70" w:line="126" w:lineRule="exact"/>
              <w:rPr>
                <w:sz w:val="21"/>
                <w:szCs w:val="21"/>
              </w:rPr>
            </w:pPr>
            <w:r>
              <w:rPr>
                <w:sz w:val="21"/>
                <w:szCs w:val="21"/>
                <w:color w:val="504040"/>
                <w:spacing w:val="42"/>
                <w:w w:val="125"/>
                <w:position w:val="-3"/>
              </w:rPr>
              <w:t>1</w:t>
            </w:r>
          </w:p>
        </w:tc>
        <w:tc>
          <w:tcPr>
            <w:tcW w:w="2188" w:type="dxa"/>
            <w:vAlign w:val="top"/>
          </w:tcPr>
          <w:p>
            <w:pPr>
              <w:pStyle w:val="TableText"/>
              <w:ind w:left="985"/>
              <w:spacing w:before="58" w:line="177"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79" w:hRule="atLeast"/>
        </w:trPr>
        <w:tc>
          <w:tcPr>
            <w:tcW w:w="385" w:type="dxa"/>
            <w:vAlign w:val="top"/>
          </w:tcPr>
          <w:p>
            <w:pPr>
              <w:pStyle w:val="TableText"/>
              <w:ind w:left="74"/>
              <w:spacing w:before="68" w:line="176" w:lineRule="auto"/>
              <w:rPr>
                <w:sz w:val="21"/>
                <w:szCs w:val="21"/>
              </w:rPr>
            </w:pPr>
            <w:r>
              <w:rPr>
                <w:sz w:val="21"/>
                <w:szCs w:val="21"/>
                <w:spacing w:val="-6"/>
              </w:rPr>
              <w:t>19</w:t>
            </w:r>
          </w:p>
        </w:tc>
        <w:tc>
          <w:tcPr>
            <w:tcW w:w="3188" w:type="dxa"/>
            <w:vAlign w:val="top"/>
          </w:tcPr>
          <w:p>
            <w:pPr>
              <w:pStyle w:val="TableText"/>
              <w:ind w:left="639"/>
              <w:spacing w:before="47" w:line="195" w:lineRule="auto"/>
              <w:rPr>
                <w:sz w:val="21"/>
                <w:szCs w:val="21"/>
              </w:rPr>
            </w:pPr>
            <w:r>
              <w:rPr>
                <w:sz w:val="21"/>
                <w:szCs w:val="21"/>
                <w:spacing w:val="4"/>
              </w:rPr>
              <w:t>气动喂入装置(管轨)</w:t>
            </w:r>
          </w:p>
        </w:tc>
        <w:tc>
          <w:tcPr>
            <w:tcW w:w="480" w:type="dxa"/>
            <w:vAlign w:val="top"/>
          </w:tcPr>
          <w:p>
            <w:pPr>
              <w:pStyle w:val="TableText"/>
              <w:ind w:left="121"/>
              <w:spacing w:before="48" w:line="194" w:lineRule="auto"/>
              <w:rPr>
                <w:sz w:val="21"/>
                <w:szCs w:val="21"/>
              </w:rPr>
            </w:pPr>
            <w:r>
              <w:rPr>
                <w:sz w:val="21"/>
                <w:szCs w:val="21"/>
              </w:rPr>
              <w:t>套</w:t>
            </w:r>
          </w:p>
        </w:tc>
        <w:tc>
          <w:tcPr>
            <w:tcW w:w="1739" w:type="dxa"/>
            <w:vAlign w:val="top"/>
          </w:tcPr>
          <w:p>
            <w:pPr>
              <w:pStyle w:val="TableText"/>
              <w:ind w:left="802"/>
              <w:spacing w:before="68" w:line="176" w:lineRule="auto"/>
              <w:rPr>
                <w:sz w:val="21"/>
                <w:szCs w:val="21"/>
              </w:rPr>
            </w:pPr>
            <w:r>
              <w:rPr>
                <w:sz w:val="21"/>
                <w:szCs w:val="21"/>
              </w:rPr>
              <w:t>0</w:t>
            </w:r>
          </w:p>
        </w:tc>
        <w:tc>
          <w:tcPr>
            <w:tcW w:w="2548" w:type="dxa"/>
            <w:vAlign w:val="top"/>
            <w:textDirection w:val="tbRlV"/>
          </w:tcPr>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ind w:left="2"/>
              <w:spacing w:before="70" w:line="126" w:lineRule="exact"/>
              <w:rPr>
                <w:sz w:val="21"/>
                <w:szCs w:val="21"/>
              </w:rPr>
            </w:pPr>
            <w:r>
              <w:rPr>
                <w:sz w:val="21"/>
                <w:szCs w:val="21"/>
                <w:spacing w:val="50"/>
                <w:w w:val="125"/>
                <w:position w:val="-3"/>
              </w:rPr>
              <w:t>1</w:t>
            </w:r>
          </w:p>
        </w:tc>
        <w:tc>
          <w:tcPr>
            <w:tcW w:w="2188" w:type="dxa"/>
            <w:vAlign w:val="top"/>
          </w:tcPr>
          <w:p>
            <w:pPr>
              <w:pStyle w:val="TableText"/>
              <w:ind w:left="985"/>
              <w:spacing w:before="68" w:line="176"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74"/>
              <w:spacing w:before="59" w:line="176" w:lineRule="auto"/>
              <w:rPr>
                <w:sz w:val="21"/>
                <w:szCs w:val="21"/>
              </w:rPr>
            </w:pPr>
            <w:r>
              <w:rPr>
                <w:sz w:val="21"/>
                <w:szCs w:val="21"/>
                <w:spacing w:val="-3"/>
              </w:rPr>
              <w:t>20</w:t>
            </w:r>
          </w:p>
        </w:tc>
        <w:tc>
          <w:tcPr>
            <w:tcW w:w="3188" w:type="dxa"/>
            <w:vAlign w:val="top"/>
          </w:tcPr>
          <w:p>
            <w:pPr>
              <w:pStyle w:val="TableText"/>
              <w:ind w:left="529"/>
              <w:spacing w:before="38" w:line="195" w:lineRule="auto"/>
              <w:rPr>
                <w:sz w:val="21"/>
                <w:szCs w:val="21"/>
              </w:rPr>
            </w:pPr>
            <w:r>
              <w:rPr>
                <w:sz w:val="21"/>
                <w:szCs w:val="21"/>
                <w:spacing w:val="4"/>
              </w:rPr>
              <w:t>欧式自动放血线(管轨)</w:t>
            </w:r>
          </w:p>
        </w:tc>
        <w:tc>
          <w:tcPr>
            <w:tcW w:w="480" w:type="dxa"/>
            <w:vAlign w:val="top"/>
          </w:tcPr>
          <w:p>
            <w:pPr>
              <w:pStyle w:val="TableText"/>
              <w:ind w:left="121"/>
              <w:spacing w:before="38" w:line="195" w:lineRule="auto"/>
              <w:rPr>
                <w:sz w:val="21"/>
                <w:szCs w:val="21"/>
              </w:rPr>
            </w:pPr>
            <w:r>
              <w:rPr>
                <w:sz w:val="21"/>
                <w:szCs w:val="21"/>
              </w:rPr>
              <w:t>米</w:t>
            </w:r>
          </w:p>
        </w:tc>
        <w:tc>
          <w:tcPr>
            <w:tcW w:w="1739" w:type="dxa"/>
            <w:vAlign w:val="top"/>
          </w:tcPr>
          <w:p>
            <w:pPr>
              <w:pStyle w:val="TableText"/>
              <w:ind w:left="802"/>
              <w:spacing w:before="59" w:line="176" w:lineRule="auto"/>
              <w:rPr>
                <w:sz w:val="21"/>
                <w:szCs w:val="21"/>
              </w:rPr>
            </w:pPr>
            <w:r>
              <w:rPr>
                <w:sz w:val="21"/>
                <w:szCs w:val="21"/>
              </w:rPr>
              <w:t>0</w:t>
            </w:r>
          </w:p>
        </w:tc>
        <w:tc>
          <w:tcPr>
            <w:tcW w:w="2548" w:type="dxa"/>
            <w:vAlign w:val="top"/>
          </w:tcPr>
          <w:p>
            <w:pPr>
              <w:pStyle w:val="TableText"/>
              <w:ind w:left="1162"/>
              <w:spacing w:before="59" w:line="176" w:lineRule="auto"/>
              <w:rPr>
                <w:sz w:val="21"/>
                <w:szCs w:val="21"/>
              </w:rPr>
            </w:pPr>
            <w:r>
              <w:rPr>
                <w:sz w:val="21"/>
                <w:szCs w:val="21"/>
                <w:spacing w:val="-4"/>
              </w:rPr>
              <w:t>36</w:t>
            </w:r>
          </w:p>
        </w:tc>
        <w:tc>
          <w:tcPr>
            <w:tcW w:w="2188" w:type="dxa"/>
            <w:vAlign w:val="top"/>
          </w:tcPr>
          <w:p>
            <w:pPr>
              <w:pStyle w:val="TableText"/>
              <w:ind w:left="924"/>
              <w:spacing w:before="59" w:line="176" w:lineRule="auto"/>
              <w:rPr>
                <w:sz w:val="21"/>
                <w:szCs w:val="21"/>
              </w:rPr>
            </w:pPr>
            <w:r>
              <w:rPr>
                <w:sz w:val="21"/>
                <w:szCs w:val="21"/>
                <w:spacing w:val="-3"/>
              </w:rPr>
              <w:t>+36</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80" w:hRule="atLeast"/>
        </w:trPr>
        <w:tc>
          <w:tcPr>
            <w:tcW w:w="385" w:type="dxa"/>
            <w:vAlign w:val="top"/>
          </w:tcPr>
          <w:p>
            <w:pPr>
              <w:pStyle w:val="TableText"/>
              <w:ind w:left="74"/>
              <w:spacing w:before="69" w:line="176" w:lineRule="auto"/>
              <w:rPr>
                <w:sz w:val="21"/>
                <w:szCs w:val="21"/>
              </w:rPr>
            </w:pPr>
            <w:r>
              <w:rPr>
                <w:sz w:val="21"/>
                <w:szCs w:val="21"/>
                <w:spacing w:val="-3"/>
              </w:rPr>
              <w:t>21</w:t>
            </w:r>
          </w:p>
        </w:tc>
        <w:tc>
          <w:tcPr>
            <w:tcW w:w="3188" w:type="dxa"/>
            <w:vAlign w:val="top"/>
          </w:tcPr>
          <w:p>
            <w:pPr>
              <w:pStyle w:val="TableText"/>
              <w:ind w:left="1159"/>
              <w:spacing w:before="49" w:line="194" w:lineRule="auto"/>
              <w:rPr>
                <w:sz w:val="21"/>
                <w:szCs w:val="21"/>
              </w:rPr>
            </w:pPr>
            <w:r>
              <w:rPr>
                <w:sz w:val="21"/>
                <w:szCs w:val="21"/>
                <w:spacing w:val="-3"/>
              </w:rPr>
              <w:t>驱动装置</w:t>
            </w:r>
          </w:p>
        </w:tc>
        <w:tc>
          <w:tcPr>
            <w:tcW w:w="480" w:type="dxa"/>
            <w:vAlign w:val="top"/>
          </w:tcPr>
          <w:p>
            <w:pPr>
              <w:pStyle w:val="TableText"/>
              <w:ind w:left="121"/>
              <w:spacing w:before="50" w:line="193" w:lineRule="auto"/>
              <w:rPr>
                <w:sz w:val="21"/>
                <w:szCs w:val="21"/>
              </w:rPr>
            </w:pPr>
            <w:r>
              <w:rPr>
                <w:sz w:val="21"/>
                <w:szCs w:val="21"/>
              </w:rPr>
              <w:t>台</w:t>
            </w:r>
          </w:p>
        </w:tc>
        <w:tc>
          <w:tcPr>
            <w:tcW w:w="1739" w:type="dxa"/>
            <w:vAlign w:val="top"/>
          </w:tcPr>
          <w:p>
            <w:pPr>
              <w:pStyle w:val="TableText"/>
              <w:ind w:left="802"/>
              <w:spacing w:before="69" w:line="176" w:lineRule="auto"/>
              <w:rPr>
                <w:sz w:val="21"/>
                <w:szCs w:val="21"/>
              </w:rPr>
            </w:pPr>
            <w:r>
              <w:rPr>
                <w:sz w:val="21"/>
                <w:szCs w:val="21"/>
              </w:rPr>
              <w:t>0</w:t>
            </w:r>
          </w:p>
        </w:tc>
        <w:tc>
          <w:tcPr>
            <w:tcW w:w="2548" w:type="dxa"/>
            <w:vAlign w:val="top"/>
          </w:tcPr>
          <w:p>
            <w:pPr>
              <w:pStyle w:val="TableText"/>
              <w:ind w:left="1212"/>
              <w:spacing w:before="69" w:line="176" w:lineRule="auto"/>
              <w:rPr>
                <w:sz w:val="21"/>
                <w:szCs w:val="21"/>
              </w:rPr>
            </w:pPr>
            <w:r>
              <w:rPr>
                <w:sz w:val="21"/>
                <w:szCs w:val="21"/>
                <w:color w:val="505040"/>
              </w:rPr>
              <w:t>1</w:t>
            </w:r>
          </w:p>
        </w:tc>
        <w:tc>
          <w:tcPr>
            <w:tcW w:w="2188" w:type="dxa"/>
            <w:vAlign w:val="top"/>
          </w:tcPr>
          <w:p>
            <w:pPr>
              <w:pStyle w:val="TableText"/>
              <w:ind w:left="985"/>
              <w:spacing w:before="69" w:line="176"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74"/>
              <w:spacing w:before="59" w:line="176" w:lineRule="auto"/>
              <w:rPr>
                <w:sz w:val="21"/>
                <w:szCs w:val="21"/>
              </w:rPr>
            </w:pPr>
            <w:r>
              <w:rPr>
                <w:sz w:val="21"/>
                <w:szCs w:val="21"/>
                <w:spacing w:val="-3"/>
              </w:rPr>
              <w:t>22</w:t>
            </w:r>
          </w:p>
        </w:tc>
        <w:tc>
          <w:tcPr>
            <w:tcW w:w="3188" w:type="dxa"/>
            <w:vAlign w:val="top"/>
          </w:tcPr>
          <w:p>
            <w:pPr>
              <w:pStyle w:val="TableText"/>
              <w:ind w:left="1159"/>
              <w:spacing w:before="38" w:line="195" w:lineRule="auto"/>
              <w:rPr>
                <w:sz w:val="21"/>
                <w:szCs w:val="21"/>
              </w:rPr>
            </w:pPr>
            <w:r>
              <w:rPr>
                <w:sz w:val="21"/>
                <w:szCs w:val="21"/>
                <w:spacing w:val="-2"/>
              </w:rPr>
              <w:t>涨紧装置</w:t>
            </w:r>
          </w:p>
        </w:tc>
        <w:tc>
          <w:tcPr>
            <w:tcW w:w="480" w:type="dxa"/>
            <w:vAlign w:val="top"/>
          </w:tcPr>
          <w:p>
            <w:pPr>
              <w:pStyle w:val="TableText"/>
              <w:ind w:left="121"/>
              <w:spacing w:before="40" w:line="193" w:lineRule="auto"/>
              <w:rPr>
                <w:sz w:val="21"/>
                <w:szCs w:val="21"/>
              </w:rPr>
            </w:pPr>
            <w:r>
              <w:rPr>
                <w:sz w:val="21"/>
                <w:szCs w:val="21"/>
              </w:rPr>
              <w:t>台</w:t>
            </w:r>
          </w:p>
        </w:tc>
        <w:tc>
          <w:tcPr>
            <w:tcW w:w="1739" w:type="dxa"/>
            <w:vAlign w:val="top"/>
          </w:tcPr>
          <w:p>
            <w:pPr>
              <w:pStyle w:val="TableText"/>
              <w:ind w:left="802"/>
              <w:spacing w:before="59" w:line="176" w:lineRule="auto"/>
              <w:rPr>
                <w:sz w:val="21"/>
                <w:szCs w:val="21"/>
              </w:rPr>
            </w:pPr>
            <w:r>
              <w:rPr>
                <w:sz w:val="21"/>
                <w:szCs w:val="21"/>
              </w:rPr>
              <w:t>0</w:t>
            </w:r>
          </w:p>
        </w:tc>
        <w:tc>
          <w:tcPr>
            <w:tcW w:w="2548" w:type="dxa"/>
            <w:vAlign w:val="top"/>
            <w:textDirection w:val="tbRlV"/>
          </w:tcPr>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spacing w:before="70" w:line="126" w:lineRule="exact"/>
              <w:rPr>
                <w:sz w:val="21"/>
                <w:szCs w:val="21"/>
              </w:rPr>
            </w:pPr>
            <w:r>
              <w:rPr>
                <w:sz w:val="21"/>
                <w:szCs w:val="21"/>
                <w:color w:val="405040"/>
                <w:spacing w:val="43"/>
                <w:w w:val="125"/>
                <w:position w:val="-3"/>
              </w:rPr>
              <w:t>1</w:t>
            </w:r>
          </w:p>
        </w:tc>
        <w:tc>
          <w:tcPr>
            <w:tcW w:w="2188" w:type="dxa"/>
            <w:vAlign w:val="top"/>
          </w:tcPr>
          <w:p>
            <w:pPr>
              <w:pStyle w:val="TableText"/>
              <w:ind w:left="985"/>
              <w:spacing w:before="59" w:line="176"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80" w:hRule="atLeast"/>
        </w:trPr>
        <w:tc>
          <w:tcPr>
            <w:tcW w:w="385" w:type="dxa"/>
            <w:vAlign w:val="top"/>
          </w:tcPr>
          <w:p>
            <w:pPr>
              <w:pStyle w:val="TableText"/>
              <w:ind w:left="74"/>
              <w:spacing w:before="69" w:line="176" w:lineRule="auto"/>
              <w:rPr>
                <w:sz w:val="21"/>
                <w:szCs w:val="21"/>
              </w:rPr>
            </w:pPr>
            <w:r>
              <w:rPr>
                <w:sz w:val="21"/>
                <w:szCs w:val="21"/>
                <w:spacing w:val="-3"/>
              </w:rPr>
              <w:t>23</w:t>
            </w:r>
          </w:p>
        </w:tc>
        <w:tc>
          <w:tcPr>
            <w:tcW w:w="3188" w:type="dxa"/>
            <w:vAlign w:val="top"/>
          </w:tcPr>
          <w:p>
            <w:pPr>
              <w:pStyle w:val="TableText"/>
              <w:ind w:left="1159"/>
              <w:spacing w:before="49" w:line="194" w:lineRule="auto"/>
              <w:rPr>
                <w:sz w:val="21"/>
                <w:szCs w:val="21"/>
              </w:rPr>
            </w:pPr>
            <w:r>
              <w:rPr>
                <w:sz w:val="21"/>
                <w:szCs w:val="21"/>
                <w:spacing w:val="1"/>
              </w:rPr>
              <w:t>导向装置</w:t>
            </w:r>
          </w:p>
        </w:tc>
        <w:tc>
          <w:tcPr>
            <w:tcW w:w="480" w:type="dxa"/>
            <w:vAlign w:val="top"/>
          </w:tcPr>
          <w:p>
            <w:pPr>
              <w:pStyle w:val="TableText"/>
              <w:ind w:left="121"/>
              <w:spacing w:before="50" w:line="193" w:lineRule="auto"/>
              <w:rPr>
                <w:sz w:val="21"/>
                <w:szCs w:val="21"/>
              </w:rPr>
            </w:pPr>
            <w:r>
              <w:rPr>
                <w:sz w:val="21"/>
                <w:szCs w:val="21"/>
              </w:rPr>
              <w:t>台</w:t>
            </w:r>
          </w:p>
        </w:tc>
        <w:tc>
          <w:tcPr>
            <w:tcW w:w="1739" w:type="dxa"/>
            <w:vAlign w:val="top"/>
          </w:tcPr>
          <w:p>
            <w:pPr>
              <w:pStyle w:val="TableText"/>
              <w:ind w:left="802"/>
              <w:spacing w:before="69" w:line="176" w:lineRule="auto"/>
              <w:rPr>
                <w:sz w:val="21"/>
                <w:szCs w:val="21"/>
              </w:rPr>
            </w:pPr>
            <w:r>
              <w:rPr>
                <w:sz w:val="21"/>
                <w:szCs w:val="21"/>
              </w:rPr>
              <w:t>0</w:t>
            </w:r>
          </w:p>
        </w:tc>
        <w:tc>
          <w:tcPr>
            <w:tcW w:w="2548" w:type="dxa"/>
            <w:vAlign w:val="top"/>
            <w:textDirection w:val="tbRlV"/>
          </w:tcPr>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pStyle w:val="TableText"/>
              <w:ind w:left="2"/>
              <w:spacing w:before="70" w:line="149" w:lineRule="exact"/>
              <w:rPr>
                <w:sz w:val="21"/>
                <w:szCs w:val="21"/>
              </w:rPr>
            </w:pPr>
            <w:r>
              <w:rPr>
                <w:sz w:val="21"/>
                <w:szCs w:val="21"/>
                <w:spacing w:val="51"/>
                <w:w w:val="125"/>
                <w:position w:val="-3"/>
              </w:rPr>
              <w:t>6</w:t>
            </w:r>
          </w:p>
        </w:tc>
        <w:tc>
          <w:tcPr>
            <w:tcW w:w="2188" w:type="dxa"/>
            <w:vAlign w:val="top"/>
          </w:tcPr>
          <w:p>
            <w:pPr>
              <w:pStyle w:val="TableText"/>
              <w:ind w:left="985"/>
              <w:spacing w:before="69" w:line="176" w:lineRule="auto"/>
              <w:rPr>
                <w:sz w:val="21"/>
                <w:szCs w:val="21"/>
              </w:rPr>
            </w:pPr>
            <w:r>
              <w:rPr>
                <w:sz w:val="21"/>
                <w:szCs w:val="21"/>
                <w:spacing w:val="-3"/>
              </w:rPr>
              <w:t>+9</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74"/>
              <w:spacing w:before="59" w:line="176" w:lineRule="auto"/>
              <w:rPr>
                <w:sz w:val="21"/>
                <w:szCs w:val="21"/>
              </w:rPr>
            </w:pPr>
            <w:r>
              <w:rPr>
                <w:sz w:val="21"/>
                <w:szCs w:val="21"/>
                <w:spacing w:val="-3"/>
              </w:rPr>
              <w:t>24</w:t>
            </w:r>
          </w:p>
        </w:tc>
        <w:tc>
          <w:tcPr>
            <w:tcW w:w="3188" w:type="dxa"/>
            <w:vAlign w:val="top"/>
          </w:tcPr>
          <w:p>
            <w:pPr>
              <w:pStyle w:val="TableText"/>
              <w:ind w:left="1269"/>
              <w:spacing w:before="38" w:line="195" w:lineRule="auto"/>
              <w:rPr>
                <w:sz w:val="21"/>
                <w:szCs w:val="21"/>
              </w:rPr>
            </w:pPr>
            <w:r>
              <w:rPr>
                <w:sz w:val="21"/>
                <w:szCs w:val="21"/>
                <w:spacing w:val="-2"/>
              </w:rPr>
              <w:t>放血槽</w:t>
            </w:r>
          </w:p>
        </w:tc>
        <w:tc>
          <w:tcPr>
            <w:tcW w:w="480" w:type="dxa"/>
            <w:vAlign w:val="top"/>
          </w:tcPr>
          <w:p>
            <w:pPr>
              <w:pStyle w:val="TableText"/>
              <w:ind w:left="121"/>
              <w:spacing w:before="38" w:line="195" w:lineRule="auto"/>
              <w:rPr>
                <w:sz w:val="21"/>
                <w:szCs w:val="21"/>
              </w:rPr>
            </w:pPr>
            <w:r>
              <w:rPr>
                <w:sz w:val="21"/>
                <w:szCs w:val="21"/>
              </w:rPr>
              <w:t>个</w:t>
            </w:r>
          </w:p>
        </w:tc>
        <w:tc>
          <w:tcPr>
            <w:tcW w:w="1739" w:type="dxa"/>
            <w:vAlign w:val="top"/>
          </w:tcPr>
          <w:p>
            <w:pPr>
              <w:pStyle w:val="TableText"/>
              <w:ind w:left="802"/>
              <w:spacing w:before="59" w:line="176" w:lineRule="auto"/>
              <w:rPr>
                <w:sz w:val="21"/>
                <w:szCs w:val="21"/>
              </w:rPr>
            </w:pPr>
            <w:r>
              <w:rPr>
                <w:sz w:val="21"/>
                <w:szCs w:val="21"/>
              </w:rPr>
              <w:t>0</w:t>
            </w:r>
          </w:p>
        </w:tc>
        <w:tc>
          <w:tcPr>
            <w:tcW w:w="2548" w:type="dxa"/>
            <w:vAlign w:val="top"/>
            <w:textDirection w:val="tbRlV"/>
          </w:tcPr>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spacing w:before="70" w:line="126" w:lineRule="exact"/>
              <w:rPr>
                <w:sz w:val="21"/>
                <w:szCs w:val="21"/>
              </w:rPr>
            </w:pPr>
            <w:r>
              <w:rPr>
                <w:sz w:val="21"/>
                <w:szCs w:val="21"/>
                <w:color w:val="505040"/>
                <w:spacing w:val="43"/>
                <w:w w:val="125"/>
                <w:position w:val="-3"/>
              </w:rPr>
              <w:t>1</w:t>
            </w:r>
          </w:p>
        </w:tc>
        <w:tc>
          <w:tcPr>
            <w:tcW w:w="2188" w:type="dxa"/>
            <w:vAlign w:val="top"/>
          </w:tcPr>
          <w:p>
            <w:pPr>
              <w:pStyle w:val="TableText"/>
              <w:ind w:left="985"/>
              <w:spacing w:before="59" w:line="176"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75" w:hRule="atLeast"/>
        </w:trPr>
        <w:tc>
          <w:tcPr>
            <w:tcW w:w="385" w:type="dxa"/>
            <w:vAlign w:val="top"/>
          </w:tcPr>
          <w:p>
            <w:pPr>
              <w:pStyle w:val="TableText"/>
              <w:ind w:left="74"/>
              <w:spacing w:before="59" w:line="181" w:lineRule="auto"/>
              <w:rPr>
                <w:sz w:val="21"/>
                <w:szCs w:val="21"/>
              </w:rPr>
            </w:pPr>
            <w:r>
              <w:rPr>
                <w:sz w:val="21"/>
                <w:szCs w:val="21"/>
                <w:spacing w:val="-3"/>
              </w:rPr>
              <w:t>25</w:t>
            </w:r>
          </w:p>
        </w:tc>
        <w:tc>
          <w:tcPr>
            <w:tcW w:w="3188" w:type="dxa"/>
            <w:vAlign w:val="top"/>
          </w:tcPr>
          <w:p>
            <w:pPr>
              <w:pStyle w:val="TableText"/>
              <w:ind w:left="949"/>
              <w:spacing w:before="37" w:line="200" w:lineRule="auto"/>
              <w:rPr>
                <w:sz w:val="21"/>
                <w:szCs w:val="21"/>
              </w:rPr>
            </w:pPr>
            <w:r>
              <w:rPr>
                <w:sz w:val="21"/>
                <w:szCs w:val="21"/>
                <w:spacing w:val="-2"/>
              </w:rPr>
              <w:t>毛猪预清洗机</w:t>
            </w:r>
          </w:p>
        </w:tc>
        <w:tc>
          <w:tcPr>
            <w:tcW w:w="480" w:type="dxa"/>
            <w:vAlign w:val="top"/>
          </w:tcPr>
          <w:p>
            <w:pPr>
              <w:pStyle w:val="TableText"/>
              <w:ind w:left="121"/>
              <w:spacing w:before="40" w:line="197" w:lineRule="auto"/>
              <w:rPr>
                <w:sz w:val="21"/>
                <w:szCs w:val="21"/>
              </w:rPr>
            </w:pPr>
            <w:r>
              <w:rPr>
                <w:sz w:val="21"/>
                <w:szCs w:val="21"/>
              </w:rPr>
              <w:t>台</w:t>
            </w:r>
          </w:p>
        </w:tc>
        <w:tc>
          <w:tcPr>
            <w:tcW w:w="1739" w:type="dxa"/>
            <w:vAlign w:val="top"/>
          </w:tcPr>
          <w:p>
            <w:pPr>
              <w:pStyle w:val="TableText"/>
              <w:ind w:left="802"/>
              <w:spacing w:before="59" w:line="181" w:lineRule="auto"/>
              <w:rPr>
                <w:sz w:val="21"/>
                <w:szCs w:val="21"/>
              </w:rPr>
            </w:pPr>
            <w:r>
              <w:rPr>
                <w:sz w:val="21"/>
                <w:szCs w:val="21"/>
              </w:rPr>
              <w:t>0</w:t>
            </w:r>
          </w:p>
        </w:tc>
        <w:tc>
          <w:tcPr>
            <w:tcW w:w="2548" w:type="dxa"/>
            <w:vAlign w:val="top"/>
          </w:tcPr>
          <w:p>
            <w:pPr>
              <w:pStyle w:val="TableText"/>
              <w:ind w:left="1212"/>
              <w:spacing w:before="59" w:line="181" w:lineRule="auto"/>
              <w:rPr>
                <w:sz w:val="21"/>
                <w:szCs w:val="21"/>
              </w:rPr>
            </w:pPr>
            <w:r>
              <w:rPr>
                <w:sz w:val="21"/>
                <w:szCs w:val="21"/>
                <w:color w:val="303050"/>
              </w:rPr>
              <w:t>1</w:t>
            </w:r>
          </w:p>
        </w:tc>
        <w:tc>
          <w:tcPr>
            <w:tcW w:w="2188" w:type="dxa"/>
            <w:vAlign w:val="top"/>
          </w:tcPr>
          <w:p>
            <w:pPr>
              <w:pStyle w:val="TableText"/>
              <w:ind w:left="985"/>
              <w:spacing w:before="59" w:line="181" w:lineRule="auto"/>
              <w:rPr>
                <w:sz w:val="21"/>
                <w:szCs w:val="21"/>
              </w:rPr>
            </w:pPr>
            <w:r>
              <w:rPr>
                <w:sz w:val="21"/>
                <w:szCs w:val="21"/>
                <w:spacing w:val="-3"/>
              </w:rPr>
              <w:t>+1</w:t>
            </w:r>
          </w:p>
        </w:tc>
        <w:tc>
          <w:tcPr>
            <w:tcW w:w="2498" w:type="dxa"/>
            <w:vAlign w:val="top"/>
            <w:vMerge w:val="continue"/>
            <w:tcBorders>
              <w:top w:val="nil"/>
            </w:tcBorders>
          </w:tcPr>
          <w:p>
            <w:pPr>
              <w:rPr>
                <w:rFonts w:ascii="Arial"/>
                <w:sz w:val="21"/>
              </w:rPr>
            </w:pPr>
            <w:r/>
          </w:p>
        </w:tc>
        <w:tc>
          <w:tcPr>
            <w:tcW w:w="1114" w:type="dxa"/>
            <w:vAlign w:val="top"/>
            <w:vMerge w:val="continue"/>
            <w:tcBorders>
              <w:top w:val="nil"/>
            </w:tcBorders>
          </w:tcPr>
          <w:p>
            <w:pPr>
              <w:rPr>
                <w:rFonts w:ascii="Arial"/>
                <w:sz w:val="21"/>
              </w:rPr>
            </w:pPr>
            <w:r/>
          </w:p>
        </w:tc>
      </w:tr>
    </w:tbl>
    <w:p>
      <w:pPr>
        <w:pStyle w:val="BodyText"/>
        <w:rPr/>
      </w:pPr>
      <w:r/>
    </w:p>
    <w:p>
      <w:pPr>
        <w:sectPr>
          <w:headerReference w:type="default" r:id="rId216"/>
          <w:footerReference w:type="default" r:id="rId217"/>
          <w:pgSz w:w="16840" w:h="11910"/>
          <w:pgMar w:top="1177" w:right="1364" w:bottom="922" w:left="1325" w:header="885" w:footer="751" w:gutter="0"/>
        </w:sectPr>
        <w:rPr/>
      </w:pPr>
    </w:p>
    <w:p>
      <w:pPr>
        <w:spacing w:before="77"/>
        <w:rPr/>
      </w:pPr>
      <w:r/>
    </w:p>
    <w:p>
      <w:pPr>
        <w:spacing w:before="77"/>
        <w:rPr/>
      </w:pPr>
      <w:r/>
    </w:p>
    <w:tbl>
      <w:tblPr>
        <w:tblStyle w:val="TableNormal"/>
        <w:tblW w:w="1414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05"/>
        <w:gridCol w:w="3148"/>
        <w:gridCol w:w="490"/>
        <w:gridCol w:w="1749"/>
        <w:gridCol w:w="2568"/>
        <w:gridCol w:w="2178"/>
        <w:gridCol w:w="2498"/>
        <w:gridCol w:w="1104"/>
      </w:tblGrid>
      <w:tr>
        <w:trPr>
          <w:trHeight w:val="554" w:hRule="atLeast"/>
        </w:trPr>
        <w:tc>
          <w:tcPr>
            <w:shd w:val="clear" w:fill="BDBDBD"/>
            <w:tcW w:w="405" w:type="dxa"/>
            <w:vAlign w:val="top"/>
            <w:textDirection w:val="tbRlV"/>
          </w:tcPr>
          <w:p>
            <w:pPr>
              <w:pStyle w:val="TableText"/>
              <w:ind w:left="104"/>
              <w:spacing w:before="129" w:line="199" w:lineRule="auto"/>
              <w:rPr>
                <w:sz w:val="16"/>
                <w:szCs w:val="16"/>
              </w:rPr>
            </w:pPr>
            <w:r>
              <w:rPr>
                <w:sz w:val="16"/>
                <w:szCs w:val="16"/>
                <w:b/>
                <w:bCs/>
                <w:spacing w:val="-2"/>
              </w:rPr>
              <w:t>序号</w:t>
            </w:r>
          </w:p>
        </w:tc>
        <w:tc>
          <w:tcPr>
            <w:shd w:val="clear" w:fill="BDBDBD"/>
            <w:tcW w:w="3148" w:type="dxa"/>
            <w:vAlign w:val="top"/>
          </w:tcPr>
          <w:p>
            <w:pPr>
              <w:pStyle w:val="TableText"/>
              <w:ind w:left="1143"/>
              <w:spacing w:before="171" w:line="221" w:lineRule="auto"/>
              <w:rPr>
                <w:sz w:val="21"/>
                <w:szCs w:val="21"/>
              </w:rPr>
            </w:pPr>
            <w:r>
              <w:rPr>
                <w:sz w:val="21"/>
                <w:szCs w:val="21"/>
                <w:b/>
                <w:bCs/>
                <w:spacing w:val="-5"/>
              </w:rPr>
              <w:t>设备名称</w:t>
            </w:r>
          </w:p>
        </w:tc>
        <w:tc>
          <w:tcPr>
            <w:shd w:val="clear" w:fill="BDBDBD"/>
            <w:tcW w:w="490" w:type="dxa"/>
            <w:vAlign w:val="top"/>
          </w:tcPr>
          <w:p>
            <w:pPr>
              <w:pStyle w:val="TableText"/>
              <w:ind w:left="25"/>
              <w:spacing w:before="171" w:line="220" w:lineRule="auto"/>
              <w:rPr>
                <w:sz w:val="21"/>
                <w:szCs w:val="21"/>
              </w:rPr>
            </w:pPr>
            <w:r>
              <w:rPr>
                <w:sz w:val="21"/>
                <w:szCs w:val="21"/>
                <w:b/>
                <w:bCs/>
                <w:spacing w:val="-5"/>
              </w:rPr>
              <w:t>单位</w:t>
            </w:r>
          </w:p>
        </w:tc>
        <w:tc>
          <w:tcPr>
            <w:shd w:val="clear" w:fill="BDBDBD"/>
            <w:tcW w:w="1749" w:type="dxa"/>
            <w:vAlign w:val="top"/>
          </w:tcPr>
          <w:p>
            <w:pPr>
              <w:pStyle w:val="TableText"/>
              <w:ind w:left="25"/>
              <w:spacing w:before="170" w:line="219" w:lineRule="auto"/>
              <w:rPr>
                <w:sz w:val="21"/>
                <w:szCs w:val="21"/>
              </w:rPr>
            </w:pPr>
            <w:r>
              <w:rPr>
                <w:sz w:val="21"/>
                <w:szCs w:val="21"/>
                <w:b/>
                <w:bCs/>
                <w:spacing w:val="-4"/>
              </w:rPr>
              <w:t>现有工程设备数量</w:t>
            </w:r>
          </w:p>
        </w:tc>
        <w:tc>
          <w:tcPr>
            <w:shd w:val="clear" w:fill="BDBDBD"/>
            <w:tcW w:w="2568" w:type="dxa"/>
            <w:vAlign w:val="top"/>
          </w:tcPr>
          <w:p>
            <w:pPr>
              <w:pStyle w:val="TableText"/>
              <w:ind w:left="15"/>
              <w:spacing w:before="169" w:line="219" w:lineRule="auto"/>
              <w:rPr>
                <w:sz w:val="21"/>
                <w:szCs w:val="21"/>
              </w:rPr>
            </w:pPr>
            <w:r>
              <w:rPr>
                <w:sz w:val="21"/>
                <w:szCs w:val="21"/>
                <w:b/>
                <w:bCs/>
                <w:spacing w:val="-3"/>
              </w:rPr>
              <w:t>本项目建成后全厂设备数量</w:t>
            </w:r>
          </w:p>
        </w:tc>
        <w:tc>
          <w:tcPr>
            <w:shd w:val="clear" w:fill="BDBDBD"/>
            <w:tcW w:w="2178" w:type="dxa"/>
            <w:vAlign w:val="top"/>
          </w:tcPr>
          <w:p>
            <w:pPr>
              <w:pStyle w:val="TableText"/>
              <w:ind w:left="37"/>
              <w:spacing w:before="170" w:line="219" w:lineRule="auto"/>
              <w:rPr>
                <w:sz w:val="21"/>
                <w:szCs w:val="21"/>
              </w:rPr>
            </w:pPr>
            <w:r>
              <w:rPr>
                <w:sz w:val="21"/>
                <w:szCs w:val="21"/>
                <w:b/>
                <w:bCs/>
                <w:spacing w:val="-4"/>
              </w:rPr>
              <w:t>项目设备数量变化情况</w:t>
            </w:r>
          </w:p>
        </w:tc>
        <w:tc>
          <w:tcPr>
            <w:shd w:val="clear" w:fill="BDBDBD"/>
            <w:tcW w:w="2498" w:type="dxa"/>
            <w:vAlign w:val="top"/>
          </w:tcPr>
          <w:p>
            <w:pPr>
              <w:pStyle w:val="TableText"/>
              <w:ind w:left="1040"/>
              <w:spacing w:before="171" w:line="221" w:lineRule="auto"/>
              <w:rPr>
                <w:sz w:val="21"/>
                <w:szCs w:val="21"/>
              </w:rPr>
            </w:pPr>
            <w:r>
              <w:rPr>
                <w:sz w:val="21"/>
                <w:szCs w:val="21"/>
                <w:b/>
                <w:bCs/>
                <w:spacing w:val="-5"/>
              </w:rPr>
              <w:t>用途</w:t>
            </w:r>
          </w:p>
        </w:tc>
        <w:tc>
          <w:tcPr>
            <w:shd w:val="clear" w:fill="BDBDBD"/>
            <w:tcW w:w="1104" w:type="dxa"/>
            <w:vAlign w:val="top"/>
          </w:tcPr>
          <w:p>
            <w:pPr>
              <w:pStyle w:val="TableText"/>
              <w:ind w:left="351"/>
              <w:spacing w:before="171" w:line="221" w:lineRule="auto"/>
              <w:rPr>
                <w:sz w:val="21"/>
                <w:szCs w:val="21"/>
              </w:rPr>
            </w:pPr>
            <w:r>
              <w:rPr>
                <w:sz w:val="21"/>
                <w:szCs w:val="21"/>
                <w:b/>
                <w:bCs/>
                <w:spacing w:val="-5"/>
              </w:rPr>
              <w:t>备注</w:t>
            </w:r>
          </w:p>
        </w:tc>
      </w:tr>
      <w:tr>
        <w:trPr>
          <w:trHeight w:val="280" w:hRule="atLeast"/>
        </w:trPr>
        <w:tc>
          <w:tcPr>
            <w:tcW w:w="405" w:type="dxa"/>
            <w:vAlign w:val="top"/>
          </w:tcPr>
          <w:p>
            <w:pPr>
              <w:pStyle w:val="TableText"/>
              <w:ind w:left="85"/>
              <w:spacing w:before="60" w:line="184" w:lineRule="auto"/>
              <w:rPr>
                <w:sz w:val="21"/>
                <w:szCs w:val="21"/>
              </w:rPr>
            </w:pPr>
            <w:r>
              <w:rPr>
                <w:sz w:val="21"/>
                <w:szCs w:val="21"/>
                <w:spacing w:val="-3"/>
              </w:rPr>
              <w:t>26</w:t>
            </w:r>
          </w:p>
        </w:tc>
        <w:tc>
          <w:tcPr>
            <w:tcW w:w="3148" w:type="dxa"/>
            <w:vAlign w:val="top"/>
          </w:tcPr>
          <w:p>
            <w:pPr>
              <w:pStyle w:val="TableText"/>
              <w:ind w:left="509"/>
              <w:spacing w:before="39" w:line="203" w:lineRule="auto"/>
              <w:rPr>
                <w:sz w:val="21"/>
                <w:szCs w:val="21"/>
              </w:rPr>
            </w:pPr>
            <w:r>
              <w:rPr>
                <w:sz w:val="21"/>
                <w:szCs w:val="21"/>
                <w:spacing w:val="4"/>
              </w:rPr>
              <w:t>放血区缓冲轨道(管轨)</w:t>
            </w:r>
          </w:p>
        </w:tc>
        <w:tc>
          <w:tcPr>
            <w:tcW w:w="490" w:type="dxa"/>
            <w:vAlign w:val="top"/>
          </w:tcPr>
          <w:p>
            <w:pPr>
              <w:pStyle w:val="TableText"/>
              <w:ind w:left="131"/>
              <w:spacing w:before="39" w:line="203" w:lineRule="auto"/>
              <w:rPr>
                <w:sz w:val="21"/>
                <w:szCs w:val="21"/>
              </w:rPr>
            </w:pPr>
            <w:r>
              <w:rPr>
                <w:sz w:val="21"/>
                <w:szCs w:val="21"/>
              </w:rPr>
              <w:t>米</w:t>
            </w:r>
          </w:p>
        </w:tc>
        <w:tc>
          <w:tcPr>
            <w:tcW w:w="1749" w:type="dxa"/>
            <w:vAlign w:val="top"/>
          </w:tcPr>
          <w:p>
            <w:pPr>
              <w:pStyle w:val="TableText"/>
              <w:ind w:left="812"/>
              <w:spacing w:before="60" w:line="184" w:lineRule="auto"/>
              <w:rPr>
                <w:sz w:val="21"/>
                <w:szCs w:val="21"/>
              </w:rPr>
            </w:pPr>
            <w:r>
              <w:rPr>
                <w:sz w:val="21"/>
                <w:szCs w:val="21"/>
              </w:rPr>
              <w:t>0</w:t>
            </w:r>
          </w:p>
        </w:tc>
        <w:tc>
          <w:tcPr>
            <w:tcW w:w="2568" w:type="dxa"/>
            <w:vAlign w:val="top"/>
          </w:tcPr>
          <w:p>
            <w:pPr>
              <w:pStyle w:val="TableText"/>
              <w:ind w:left="1173"/>
              <w:spacing w:before="60" w:line="184" w:lineRule="auto"/>
              <w:rPr>
                <w:sz w:val="21"/>
                <w:szCs w:val="21"/>
              </w:rPr>
            </w:pPr>
            <w:r>
              <w:rPr>
                <w:sz w:val="21"/>
                <w:szCs w:val="21"/>
                <w:spacing w:val="-6"/>
              </w:rPr>
              <w:t>18</w:t>
            </w:r>
          </w:p>
        </w:tc>
        <w:tc>
          <w:tcPr>
            <w:tcW w:w="2178" w:type="dxa"/>
            <w:vAlign w:val="top"/>
          </w:tcPr>
          <w:p>
            <w:pPr>
              <w:pStyle w:val="TableText"/>
              <w:ind w:left="925"/>
              <w:spacing w:before="60" w:line="184" w:lineRule="auto"/>
              <w:rPr>
                <w:sz w:val="21"/>
                <w:szCs w:val="21"/>
              </w:rPr>
            </w:pPr>
            <w:r>
              <w:rPr>
                <w:sz w:val="21"/>
                <w:szCs w:val="21"/>
                <w:spacing w:val="-3"/>
              </w:rPr>
              <w:t>+18</w:t>
            </w:r>
          </w:p>
        </w:tc>
        <w:tc>
          <w:tcPr>
            <w:tcW w:w="2498" w:type="dxa"/>
            <w:vAlign w:val="top"/>
            <w:vMerge w:val="restart"/>
            <w:tcBorders>
              <w:bottom w:val="nil"/>
            </w:tcBorders>
          </w:tcPr>
          <w:p>
            <w:pPr>
              <w:rPr>
                <w:rFonts w:ascii="Arial"/>
                <w:sz w:val="21"/>
              </w:rPr>
            </w:pPr>
            <w:r/>
          </w:p>
        </w:tc>
        <w:tc>
          <w:tcPr>
            <w:tcW w:w="1104" w:type="dxa"/>
            <w:vAlign w:val="top"/>
            <w:vMerge w:val="restart"/>
            <w:tcBorders>
              <w:bottom w:val="nil"/>
            </w:tcBorders>
          </w:tcPr>
          <w:p>
            <w:pPr>
              <w:rPr>
                <w:rFonts w:ascii="Arial"/>
                <w:sz w:val="21"/>
              </w:rPr>
            </w:pPr>
            <w:r/>
          </w:p>
        </w:tc>
      </w:tr>
      <w:tr>
        <w:trPr>
          <w:trHeight w:val="270" w:hRule="atLeast"/>
        </w:trPr>
        <w:tc>
          <w:tcPr>
            <w:tcW w:w="405" w:type="dxa"/>
            <w:vAlign w:val="top"/>
          </w:tcPr>
          <w:p>
            <w:pPr>
              <w:pStyle w:val="TableText"/>
              <w:ind w:left="85"/>
              <w:spacing w:before="50" w:line="184" w:lineRule="auto"/>
              <w:rPr>
                <w:sz w:val="21"/>
                <w:szCs w:val="21"/>
              </w:rPr>
            </w:pPr>
            <w:r>
              <w:rPr>
                <w:sz w:val="21"/>
                <w:szCs w:val="21"/>
                <w:spacing w:val="-3"/>
              </w:rPr>
              <w:t>27</w:t>
            </w:r>
          </w:p>
        </w:tc>
        <w:tc>
          <w:tcPr>
            <w:tcW w:w="3148" w:type="dxa"/>
            <w:vAlign w:val="top"/>
          </w:tcPr>
          <w:p>
            <w:pPr>
              <w:pStyle w:val="TableText"/>
              <w:ind w:left="929"/>
              <w:spacing w:before="29" w:line="203" w:lineRule="auto"/>
              <w:rPr>
                <w:sz w:val="21"/>
                <w:szCs w:val="21"/>
              </w:rPr>
            </w:pPr>
            <w:r>
              <w:rPr>
                <w:sz w:val="21"/>
                <w:szCs w:val="21"/>
                <w:spacing w:val="1"/>
              </w:rPr>
              <w:t>管轨放血吊链</w:t>
            </w:r>
          </w:p>
        </w:tc>
        <w:tc>
          <w:tcPr>
            <w:tcW w:w="490" w:type="dxa"/>
            <w:vAlign w:val="top"/>
          </w:tcPr>
          <w:p>
            <w:pPr>
              <w:pStyle w:val="TableText"/>
              <w:ind w:left="131"/>
              <w:spacing w:before="30" w:line="202" w:lineRule="auto"/>
              <w:rPr>
                <w:sz w:val="21"/>
                <w:szCs w:val="21"/>
              </w:rPr>
            </w:pPr>
            <w:r>
              <w:rPr>
                <w:sz w:val="21"/>
                <w:szCs w:val="21"/>
              </w:rPr>
              <w:t>根</w:t>
            </w:r>
          </w:p>
        </w:tc>
        <w:tc>
          <w:tcPr>
            <w:tcW w:w="1749" w:type="dxa"/>
            <w:vAlign w:val="top"/>
          </w:tcPr>
          <w:p>
            <w:pPr>
              <w:pStyle w:val="TableText"/>
              <w:ind w:left="812"/>
              <w:spacing w:before="50" w:line="184" w:lineRule="auto"/>
              <w:rPr>
                <w:sz w:val="21"/>
                <w:szCs w:val="21"/>
              </w:rPr>
            </w:pPr>
            <w:r>
              <w:rPr>
                <w:sz w:val="21"/>
                <w:szCs w:val="21"/>
              </w:rPr>
              <w:t>0</w:t>
            </w:r>
          </w:p>
        </w:tc>
        <w:tc>
          <w:tcPr>
            <w:tcW w:w="2568" w:type="dxa"/>
            <w:vAlign w:val="top"/>
          </w:tcPr>
          <w:p>
            <w:pPr>
              <w:pStyle w:val="TableText"/>
              <w:ind w:left="1173"/>
              <w:spacing w:before="50" w:line="184" w:lineRule="auto"/>
              <w:rPr>
                <w:sz w:val="21"/>
                <w:szCs w:val="21"/>
              </w:rPr>
            </w:pPr>
            <w:r>
              <w:rPr>
                <w:sz w:val="21"/>
                <w:szCs w:val="21"/>
                <w:spacing w:val="-3"/>
              </w:rPr>
              <w:t>60</w:t>
            </w:r>
          </w:p>
        </w:tc>
        <w:tc>
          <w:tcPr>
            <w:tcW w:w="2178" w:type="dxa"/>
            <w:vAlign w:val="top"/>
          </w:tcPr>
          <w:p>
            <w:pPr>
              <w:pStyle w:val="TableText"/>
              <w:ind w:left="925"/>
              <w:spacing w:before="50" w:line="184" w:lineRule="auto"/>
              <w:rPr>
                <w:sz w:val="21"/>
                <w:szCs w:val="21"/>
              </w:rPr>
            </w:pPr>
            <w:r>
              <w:rPr>
                <w:sz w:val="21"/>
                <w:szCs w:val="21"/>
                <w:spacing w:val="-3"/>
              </w:rPr>
              <w:t>+60</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0" w:line="183" w:lineRule="auto"/>
              <w:rPr>
                <w:sz w:val="21"/>
                <w:szCs w:val="21"/>
              </w:rPr>
            </w:pPr>
            <w:r>
              <w:rPr>
                <w:sz w:val="21"/>
                <w:szCs w:val="21"/>
                <w:spacing w:val="-3"/>
              </w:rPr>
              <w:t>28</w:t>
            </w:r>
          </w:p>
        </w:tc>
        <w:tc>
          <w:tcPr>
            <w:tcW w:w="3148" w:type="dxa"/>
            <w:vAlign w:val="top"/>
          </w:tcPr>
          <w:p>
            <w:pPr>
              <w:pStyle w:val="TableText"/>
              <w:ind w:left="719"/>
              <w:spacing w:before="41" w:line="200" w:lineRule="auto"/>
              <w:rPr>
                <w:sz w:val="21"/>
                <w:szCs w:val="21"/>
              </w:rPr>
            </w:pPr>
            <w:r>
              <w:rPr>
                <w:sz w:val="21"/>
                <w:szCs w:val="21"/>
                <w:spacing w:val="-1"/>
              </w:rPr>
              <w:t>放血吊链返回系统</w:t>
            </w:r>
          </w:p>
        </w:tc>
        <w:tc>
          <w:tcPr>
            <w:tcW w:w="490" w:type="dxa"/>
            <w:vAlign w:val="top"/>
          </w:tcPr>
          <w:p>
            <w:pPr>
              <w:pStyle w:val="TableText"/>
              <w:ind w:left="131"/>
              <w:spacing w:before="40" w:line="201" w:lineRule="auto"/>
              <w:rPr>
                <w:sz w:val="21"/>
                <w:szCs w:val="21"/>
              </w:rPr>
            </w:pPr>
            <w:r>
              <w:rPr>
                <w:sz w:val="21"/>
                <w:szCs w:val="21"/>
                <w:color w:val="403040"/>
              </w:rPr>
              <w:t>项</w:t>
            </w:r>
          </w:p>
        </w:tc>
        <w:tc>
          <w:tcPr>
            <w:tcW w:w="1749" w:type="dxa"/>
            <w:vAlign w:val="top"/>
          </w:tcPr>
          <w:p>
            <w:pPr>
              <w:pStyle w:val="TableText"/>
              <w:ind w:left="812"/>
              <w:spacing w:before="60" w:line="183"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5050"/>
                <w:spacing w:val="44"/>
                <w:w w:val="125"/>
                <w:position w:val="-3"/>
              </w:rPr>
              <w:t>1</w:t>
            </w:r>
          </w:p>
        </w:tc>
        <w:tc>
          <w:tcPr>
            <w:tcW w:w="2178" w:type="dxa"/>
            <w:vAlign w:val="top"/>
          </w:tcPr>
          <w:p>
            <w:pPr>
              <w:pStyle w:val="TableText"/>
              <w:ind w:left="974"/>
              <w:spacing w:before="60" w:line="183"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1" w:line="183" w:lineRule="auto"/>
              <w:rPr>
                <w:sz w:val="21"/>
                <w:szCs w:val="21"/>
              </w:rPr>
            </w:pPr>
            <w:r>
              <w:rPr>
                <w:sz w:val="21"/>
                <w:szCs w:val="21"/>
                <w:spacing w:val="-3"/>
              </w:rPr>
              <w:t>29</w:t>
            </w:r>
          </w:p>
        </w:tc>
        <w:tc>
          <w:tcPr>
            <w:tcW w:w="3148" w:type="dxa"/>
            <w:vAlign w:val="top"/>
          </w:tcPr>
          <w:p>
            <w:pPr>
              <w:pStyle w:val="TableText"/>
              <w:ind w:left="1140"/>
              <w:spacing w:before="31" w:line="201" w:lineRule="auto"/>
              <w:rPr>
                <w:sz w:val="21"/>
                <w:szCs w:val="21"/>
              </w:rPr>
            </w:pPr>
            <w:r>
              <w:rPr>
                <w:sz w:val="21"/>
                <w:szCs w:val="21"/>
                <w:spacing w:val="-2"/>
              </w:rPr>
              <w:t>平衡道岔</w:t>
            </w:r>
          </w:p>
        </w:tc>
        <w:tc>
          <w:tcPr>
            <w:tcW w:w="490" w:type="dxa"/>
            <w:vAlign w:val="top"/>
          </w:tcPr>
          <w:p>
            <w:pPr>
              <w:pStyle w:val="TableText"/>
              <w:ind w:left="131"/>
              <w:spacing w:before="31" w:line="201" w:lineRule="auto"/>
              <w:rPr>
                <w:sz w:val="21"/>
                <w:szCs w:val="21"/>
              </w:rPr>
            </w:pPr>
            <w:r>
              <w:rPr>
                <w:sz w:val="21"/>
                <w:szCs w:val="21"/>
              </w:rPr>
              <w:t>套</w:t>
            </w:r>
          </w:p>
        </w:tc>
        <w:tc>
          <w:tcPr>
            <w:tcW w:w="1749" w:type="dxa"/>
            <w:vAlign w:val="top"/>
          </w:tcPr>
          <w:p>
            <w:pPr>
              <w:pStyle w:val="TableText"/>
              <w:ind w:left="812"/>
              <w:spacing w:before="51" w:line="183"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605050"/>
                <w:spacing w:val="35"/>
                <w:w w:val="125"/>
                <w:position w:val="-3"/>
              </w:rPr>
              <w:t>1</w:t>
            </w:r>
          </w:p>
        </w:tc>
        <w:tc>
          <w:tcPr>
            <w:tcW w:w="2178" w:type="dxa"/>
            <w:vAlign w:val="top"/>
          </w:tcPr>
          <w:p>
            <w:pPr>
              <w:pStyle w:val="TableText"/>
              <w:ind w:left="974"/>
              <w:spacing w:before="51" w:line="183"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80" w:hRule="atLeast"/>
        </w:trPr>
        <w:tc>
          <w:tcPr>
            <w:tcW w:w="405" w:type="dxa"/>
            <w:vAlign w:val="top"/>
          </w:tcPr>
          <w:p>
            <w:pPr>
              <w:pStyle w:val="TableText"/>
              <w:ind w:left="85"/>
              <w:spacing w:before="61" w:line="183" w:lineRule="auto"/>
              <w:rPr>
                <w:sz w:val="21"/>
                <w:szCs w:val="21"/>
              </w:rPr>
            </w:pPr>
            <w:r>
              <w:rPr>
                <w:sz w:val="21"/>
                <w:szCs w:val="21"/>
                <w:spacing w:val="-4"/>
              </w:rPr>
              <w:t>30</w:t>
            </w:r>
          </w:p>
        </w:tc>
        <w:tc>
          <w:tcPr>
            <w:tcW w:w="3148" w:type="dxa"/>
            <w:vAlign w:val="top"/>
          </w:tcPr>
          <w:p>
            <w:pPr>
              <w:pStyle w:val="TableText"/>
              <w:ind w:left="929"/>
              <w:spacing w:before="40" w:line="202" w:lineRule="auto"/>
              <w:rPr>
                <w:sz w:val="21"/>
                <w:szCs w:val="21"/>
              </w:rPr>
            </w:pPr>
            <w:r>
              <w:rPr>
                <w:sz w:val="21"/>
                <w:szCs w:val="21"/>
                <w:spacing w:val="-2"/>
              </w:rPr>
              <w:t>放血缓冲护栏</w:t>
            </w:r>
          </w:p>
        </w:tc>
        <w:tc>
          <w:tcPr>
            <w:tcW w:w="490" w:type="dxa"/>
            <w:vAlign w:val="top"/>
          </w:tcPr>
          <w:p>
            <w:pPr>
              <w:pStyle w:val="TableText"/>
              <w:ind w:left="131"/>
              <w:spacing w:before="41" w:line="201" w:lineRule="auto"/>
              <w:rPr>
                <w:sz w:val="21"/>
                <w:szCs w:val="21"/>
              </w:rPr>
            </w:pPr>
            <w:r>
              <w:rPr>
                <w:sz w:val="21"/>
                <w:szCs w:val="21"/>
              </w:rPr>
              <w:t>套</w:t>
            </w:r>
          </w:p>
        </w:tc>
        <w:tc>
          <w:tcPr>
            <w:tcW w:w="1749" w:type="dxa"/>
            <w:vAlign w:val="top"/>
          </w:tcPr>
          <w:p>
            <w:pPr>
              <w:pStyle w:val="TableText"/>
              <w:ind w:left="812"/>
              <w:spacing w:before="61" w:line="183" w:lineRule="auto"/>
              <w:rPr>
                <w:sz w:val="21"/>
                <w:szCs w:val="21"/>
              </w:rPr>
            </w:pPr>
            <w:r>
              <w:rPr>
                <w:sz w:val="21"/>
                <w:szCs w:val="21"/>
              </w:rPr>
              <w:t>0</w:t>
            </w:r>
          </w:p>
        </w:tc>
        <w:tc>
          <w:tcPr>
            <w:tcW w:w="2568" w:type="dxa"/>
            <w:vAlign w:val="top"/>
            <w:textDirection w:val="tbRlV"/>
          </w:tcPr>
          <w:p>
            <w:pPr>
              <w:spacing w:line="292" w:lineRule="auto"/>
              <w:rPr>
                <w:rFonts w:ascii="Arial"/>
                <w:sz w:val="21"/>
              </w:rPr>
            </w:pPr>
            <w:r/>
          </w:p>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24"/>
              <w:spacing w:before="54" w:line="96" w:lineRule="exact"/>
              <w:rPr>
                <w:sz w:val="16"/>
                <w:szCs w:val="16"/>
              </w:rPr>
            </w:pPr>
            <w:r>
              <w:rPr>
                <w:sz w:val="16"/>
                <w:szCs w:val="16"/>
                <w:color w:val="504040"/>
                <w:spacing w:val="38"/>
                <w:w w:val="125"/>
                <w:position w:val="-2"/>
              </w:rPr>
              <w:t>1</w:t>
            </w:r>
          </w:p>
        </w:tc>
        <w:tc>
          <w:tcPr>
            <w:tcW w:w="2178" w:type="dxa"/>
            <w:vAlign w:val="top"/>
          </w:tcPr>
          <w:p>
            <w:pPr>
              <w:pStyle w:val="TableText"/>
              <w:ind w:left="974"/>
              <w:spacing w:before="61" w:line="183" w:lineRule="auto"/>
              <w:rPr>
                <w:sz w:val="21"/>
                <w:szCs w:val="21"/>
              </w:rPr>
            </w:pPr>
            <w:r>
              <w:rPr>
                <w:sz w:val="21"/>
                <w:szCs w:val="21"/>
                <w:spacing w:val="-3"/>
              </w:rPr>
              <w:t>+1</w:t>
            </w:r>
          </w:p>
        </w:tc>
        <w:tc>
          <w:tcPr>
            <w:tcW w:w="2498" w:type="dxa"/>
            <w:vAlign w:val="top"/>
            <w:vMerge w:val="continue"/>
            <w:tcBorders>
              <w:top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1" w:line="183" w:lineRule="auto"/>
              <w:rPr>
                <w:sz w:val="21"/>
                <w:szCs w:val="21"/>
              </w:rPr>
            </w:pPr>
            <w:r>
              <w:rPr>
                <w:sz w:val="21"/>
                <w:szCs w:val="21"/>
                <w:spacing w:val="-4"/>
              </w:rPr>
              <w:t>31</w:t>
            </w:r>
          </w:p>
        </w:tc>
        <w:tc>
          <w:tcPr>
            <w:tcW w:w="3148" w:type="dxa"/>
            <w:vAlign w:val="top"/>
          </w:tcPr>
          <w:p>
            <w:pPr>
              <w:pStyle w:val="TableText"/>
              <w:ind w:left="620"/>
              <w:spacing w:before="30" w:line="202" w:lineRule="auto"/>
              <w:rPr>
                <w:sz w:val="21"/>
                <w:szCs w:val="21"/>
              </w:rPr>
            </w:pPr>
            <w:r>
              <w:rPr>
                <w:sz w:val="21"/>
                <w:szCs w:val="21"/>
                <w:spacing w:val="4"/>
              </w:rPr>
              <w:t>气动喂入装置(管轨)</w:t>
            </w:r>
          </w:p>
        </w:tc>
        <w:tc>
          <w:tcPr>
            <w:tcW w:w="490" w:type="dxa"/>
            <w:vAlign w:val="top"/>
          </w:tcPr>
          <w:p>
            <w:pPr>
              <w:pStyle w:val="TableText"/>
              <w:ind w:left="131"/>
              <w:spacing w:before="31" w:line="201" w:lineRule="auto"/>
              <w:rPr>
                <w:sz w:val="21"/>
                <w:szCs w:val="21"/>
              </w:rPr>
            </w:pPr>
            <w:r>
              <w:rPr>
                <w:sz w:val="21"/>
                <w:szCs w:val="21"/>
              </w:rPr>
              <w:t>套</w:t>
            </w:r>
          </w:p>
        </w:tc>
        <w:tc>
          <w:tcPr>
            <w:tcW w:w="1749" w:type="dxa"/>
            <w:vAlign w:val="top"/>
          </w:tcPr>
          <w:p>
            <w:pPr>
              <w:pStyle w:val="TableText"/>
              <w:ind w:left="812"/>
              <w:spacing w:before="51" w:line="183"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5040"/>
                <w:spacing w:val="35"/>
                <w:w w:val="125"/>
                <w:position w:val="-3"/>
              </w:rPr>
              <w:t>1</w:t>
            </w:r>
          </w:p>
        </w:tc>
        <w:tc>
          <w:tcPr>
            <w:tcW w:w="2178" w:type="dxa"/>
            <w:vAlign w:val="top"/>
          </w:tcPr>
          <w:p>
            <w:pPr>
              <w:pStyle w:val="TableText"/>
              <w:ind w:left="974"/>
              <w:spacing w:before="51" w:line="183" w:lineRule="auto"/>
              <w:rPr>
                <w:sz w:val="21"/>
                <w:szCs w:val="21"/>
              </w:rPr>
            </w:pPr>
            <w:r>
              <w:rPr>
                <w:sz w:val="21"/>
                <w:szCs w:val="21"/>
                <w:spacing w:val="-3"/>
              </w:rPr>
              <w:t>+1</w:t>
            </w:r>
          </w:p>
        </w:tc>
        <w:tc>
          <w:tcPr>
            <w:tcW w:w="2498" w:type="dxa"/>
            <w:vAlign w:val="top"/>
            <w:vMerge w:val="restart"/>
            <w:tcBorders>
              <w:bottom w:val="nil"/>
            </w:tcBorders>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717"/>
              <w:spacing w:before="68" w:line="220" w:lineRule="auto"/>
              <w:rPr>
                <w:sz w:val="21"/>
                <w:szCs w:val="21"/>
              </w:rPr>
            </w:pPr>
            <w:r>
              <w:rPr>
                <w:sz w:val="21"/>
                <w:szCs w:val="21"/>
                <w:spacing w:val="-2"/>
              </w:rPr>
              <w:t>运河烫区域</w:t>
            </w:r>
          </w:p>
        </w:tc>
        <w:tc>
          <w:tcPr>
            <w:tcW w:w="1104" w:type="dxa"/>
            <w:vAlign w:val="top"/>
            <w:vMerge w:val="continue"/>
            <w:tcBorders>
              <w:top w:val="nil"/>
              <w:bottom w:val="nil"/>
            </w:tcBorders>
          </w:tcPr>
          <w:p>
            <w:pPr>
              <w:rPr>
                <w:rFonts w:ascii="Arial"/>
                <w:sz w:val="21"/>
              </w:rPr>
            </w:pPr>
            <w:r/>
          </w:p>
        </w:tc>
      </w:tr>
      <w:tr>
        <w:trPr>
          <w:trHeight w:val="280" w:hRule="atLeast"/>
        </w:trPr>
        <w:tc>
          <w:tcPr>
            <w:tcW w:w="405" w:type="dxa"/>
            <w:vAlign w:val="top"/>
          </w:tcPr>
          <w:p>
            <w:pPr>
              <w:pStyle w:val="TableText"/>
              <w:ind w:left="85"/>
              <w:spacing w:before="61" w:line="183" w:lineRule="auto"/>
              <w:rPr>
                <w:sz w:val="21"/>
                <w:szCs w:val="21"/>
              </w:rPr>
            </w:pPr>
            <w:r>
              <w:rPr>
                <w:sz w:val="21"/>
                <w:szCs w:val="21"/>
                <w:spacing w:val="-4"/>
              </w:rPr>
              <w:t>32</w:t>
            </w:r>
          </w:p>
        </w:tc>
        <w:tc>
          <w:tcPr>
            <w:tcW w:w="3148" w:type="dxa"/>
            <w:vAlign w:val="top"/>
          </w:tcPr>
          <w:p>
            <w:pPr>
              <w:pStyle w:val="TableText"/>
              <w:ind w:left="929"/>
              <w:spacing w:before="41" w:line="201" w:lineRule="auto"/>
              <w:rPr>
                <w:sz w:val="21"/>
                <w:szCs w:val="21"/>
              </w:rPr>
            </w:pPr>
            <w:r>
              <w:rPr>
                <w:sz w:val="21"/>
                <w:szCs w:val="21"/>
                <w:spacing w:val="2"/>
              </w:rPr>
              <w:t>运河烫自动线</w:t>
            </w:r>
          </w:p>
        </w:tc>
        <w:tc>
          <w:tcPr>
            <w:tcW w:w="490" w:type="dxa"/>
            <w:vAlign w:val="top"/>
          </w:tcPr>
          <w:p>
            <w:pPr>
              <w:pStyle w:val="TableText"/>
              <w:ind w:left="131"/>
              <w:spacing w:before="40" w:line="202" w:lineRule="auto"/>
              <w:rPr>
                <w:sz w:val="21"/>
                <w:szCs w:val="21"/>
              </w:rPr>
            </w:pPr>
            <w:r>
              <w:rPr>
                <w:sz w:val="21"/>
                <w:szCs w:val="21"/>
              </w:rPr>
              <w:t>米</w:t>
            </w:r>
          </w:p>
        </w:tc>
        <w:tc>
          <w:tcPr>
            <w:tcW w:w="1749" w:type="dxa"/>
            <w:vAlign w:val="top"/>
          </w:tcPr>
          <w:p>
            <w:pPr>
              <w:pStyle w:val="TableText"/>
              <w:ind w:left="812"/>
              <w:spacing w:before="61" w:line="183" w:lineRule="auto"/>
              <w:rPr>
                <w:sz w:val="21"/>
                <w:szCs w:val="21"/>
              </w:rPr>
            </w:pPr>
            <w:r>
              <w:rPr>
                <w:sz w:val="21"/>
                <w:szCs w:val="21"/>
              </w:rPr>
              <w:t>0</w:t>
            </w:r>
          </w:p>
        </w:tc>
        <w:tc>
          <w:tcPr>
            <w:tcW w:w="2568" w:type="dxa"/>
            <w:vAlign w:val="top"/>
          </w:tcPr>
          <w:p>
            <w:pPr>
              <w:pStyle w:val="TableText"/>
              <w:ind w:left="1173"/>
              <w:spacing w:before="61" w:line="183" w:lineRule="auto"/>
              <w:rPr>
                <w:sz w:val="21"/>
                <w:szCs w:val="21"/>
              </w:rPr>
            </w:pPr>
            <w:r>
              <w:rPr>
                <w:sz w:val="21"/>
                <w:szCs w:val="21"/>
                <w:spacing w:val="-2"/>
              </w:rPr>
              <w:t>48</w:t>
            </w:r>
          </w:p>
        </w:tc>
        <w:tc>
          <w:tcPr>
            <w:tcW w:w="2178" w:type="dxa"/>
            <w:vAlign w:val="top"/>
          </w:tcPr>
          <w:p>
            <w:pPr>
              <w:pStyle w:val="TableText"/>
              <w:ind w:left="925"/>
              <w:spacing w:before="61" w:line="183" w:lineRule="auto"/>
              <w:rPr>
                <w:sz w:val="21"/>
                <w:szCs w:val="21"/>
              </w:rPr>
            </w:pPr>
            <w:r>
              <w:rPr>
                <w:sz w:val="21"/>
                <w:szCs w:val="21"/>
                <w:spacing w:val="-3"/>
              </w:rPr>
              <w:t>+48</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40" w:hRule="atLeast"/>
        </w:trPr>
        <w:tc>
          <w:tcPr>
            <w:tcW w:w="405" w:type="dxa"/>
            <w:vAlign w:val="top"/>
          </w:tcPr>
          <w:p>
            <w:pPr>
              <w:pStyle w:val="TableText"/>
              <w:ind w:left="85"/>
              <w:spacing w:before="41" w:line="166" w:lineRule="auto"/>
              <w:rPr>
                <w:sz w:val="21"/>
                <w:szCs w:val="21"/>
              </w:rPr>
            </w:pPr>
            <w:r>
              <w:rPr>
                <w:sz w:val="21"/>
                <w:szCs w:val="21"/>
                <w:spacing w:val="-4"/>
              </w:rPr>
              <w:t>33</w:t>
            </w:r>
          </w:p>
        </w:tc>
        <w:tc>
          <w:tcPr>
            <w:tcW w:w="3148" w:type="dxa"/>
            <w:vAlign w:val="top"/>
          </w:tcPr>
          <w:p>
            <w:pPr>
              <w:pStyle w:val="TableText"/>
              <w:ind w:left="1140"/>
              <w:spacing w:before="21" w:line="183" w:lineRule="auto"/>
              <w:rPr>
                <w:sz w:val="21"/>
                <w:szCs w:val="21"/>
              </w:rPr>
            </w:pPr>
            <w:r>
              <w:rPr>
                <w:sz w:val="21"/>
                <w:szCs w:val="21"/>
                <w:spacing w:val="-3"/>
              </w:rPr>
              <w:t>驱动装置</w:t>
            </w:r>
          </w:p>
        </w:tc>
        <w:tc>
          <w:tcPr>
            <w:tcW w:w="490" w:type="dxa"/>
            <w:vAlign w:val="top"/>
          </w:tcPr>
          <w:p>
            <w:pPr>
              <w:pStyle w:val="TableText"/>
              <w:ind w:left="131"/>
              <w:spacing w:before="22" w:line="182" w:lineRule="auto"/>
              <w:rPr>
                <w:sz w:val="21"/>
                <w:szCs w:val="21"/>
              </w:rPr>
            </w:pPr>
            <w:r>
              <w:rPr>
                <w:sz w:val="21"/>
                <w:szCs w:val="21"/>
              </w:rPr>
              <w:t>台</w:t>
            </w:r>
          </w:p>
        </w:tc>
        <w:tc>
          <w:tcPr>
            <w:tcW w:w="1749" w:type="dxa"/>
            <w:vAlign w:val="top"/>
          </w:tcPr>
          <w:p>
            <w:pPr>
              <w:pStyle w:val="TableText"/>
              <w:ind w:left="812"/>
              <w:spacing w:before="41" w:line="166"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spacing w:val="25"/>
                <w:w w:val="125"/>
                <w:position w:val="-3"/>
              </w:rPr>
              <w:t>1</w:t>
            </w:r>
          </w:p>
        </w:tc>
        <w:tc>
          <w:tcPr>
            <w:tcW w:w="2178" w:type="dxa"/>
            <w:vAlign w:val="top"/>
          </w:tcPr>
          <w:p>
            <w:pPr>
              <w:pStyle w:val="TableText"/>
              <w:ind w:left="974"/>
              <w:spacing w:before="41" w:line="166"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1" w:line="182" w:lineRule="auto"/>
              <w:rPr>
                <w:sz w:val="21"/>
                <w:szCs w:val="21"/>
              </w:rPr>
            </w:pPr>
            <w:r>
              <w:rPr>
                <w:sz w:val="21"/>
                <w:szCs w:val="21"/>
                <w:spacing w:val="-4"/>
              </w:rPr>
              <w:t>34</w:t>
            </w:r>
          </w:p>
        </w:tc>
        <w:tc>
          <w:tcPr>
            <w:tcW w:w="3148" w:type="dxa"/>
            <w:vAlign w:val="top"/>
          </w:tcPr>
          <w:p>
            <w:pPr>
              <w:pStyle w:val="TableText"/>
              <w:ind w:left="1140"/>
              <w:spacing w:before="40" w:line="201" w:lineRule="auto"/>
              <w:rPr>
                <w:sz w:val="21"/>
                <w:szCs w:val="21"/>
              </w:rPr>
            </w:pPr>
            <w:r>
              <w:rPr>
                <w:sz w:val="21"/>
                <w:szCs w:val="21"/>
                <w:color w:val="404050"/>
                <w:spacing w:val="-2"/>
              </w:rPr>
              <w:t>涨紧装置</w:t>
            </w:r>
          </w:p>
        </w:tc>
        <w:tc>
          <w:tcPr>
            <w:tcW w:w="490" w:type="dxa"/>
            <w:vAlign w:val="top"/>
          </w:tcPr>
          <w:p>
            <w:pPr>
              <w:pStyle w:val="TableText"/>
              <w:ind w:left="131"/>
              <w:spacing w:before="42" w:line="199" w:lineRule="auto"/>
              <w:rPr>
                <w:sz w:val="21"/>
                <w:szCs w:val="21"/>
              </w:rPr>
            </w:pPr>
            <w:r>
              <w:rPr>
                <w:sz w:val="21"/>
                <w:szCs w:val="21"/>
              </w:rPr>
              <w:t>台</w:t>
            </w:r>
          </w:p>
        </w:tc>
        <w:tc>
          <w:tcPr>
            <w:tcW w:w="1749" w:type="dxa"/>
            <w:vAlign w:val="top"/>
          </w:tcPr>
          <w:p>
            <w:pPr>
              <w:pStyle w:val="TableText"/>
              <w:ind w:left="812"/>
              <w:spacing w:before="61" w:line="182"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404040"/>
                <w:spacing w:val="45"/>
                <w:w w:val="125"/>
                <w:position w:val="-3"/>
              </w:rPr>
              <w:t>1</w:t>
            </w:r>
          </w:p>
        </w:tc>
        <w:tc>
          <w:tcPr>
            <w:tcW w:w="2178" w:type="dxa"/>
            <w:vAlign w:val="top"/>
          </w:tcPr>
          <w:p>
            <w:pPr>
              <w:pStyle w:val="TableText"/>
              <w:ind w:left="974"/>
              <w:spacing w:before="61" w:line="182"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2" w:line="182" w:lineRule="auto"/>
              <w:rPr>
                <w:sz w:val="21"/>
                <w:szCs w:val="21"/>
              </w:rPr>
            </w:pPr>
            <w:r>
              <w:rPr>
                <w:sz w:val="21"/>
                <w:szCs w:val="21"/>
                <w:spacing w:val="-4"/>
              </w:rPr>
              <w:t>35</w:t>
            </w:r>
          </w:p>
        </w:tc>
        <w:tc>
          <w:tcPr>
            <w:tcW w:w="3148" w:type="dxa"/>
            <w:vAlign w:val="top"/>
          </w:tcPr>
          <w:p>
            <w:pPr>
              <w:pStyle w:val="TableText"/>
              <w:ind w:left="410"/>
              <w:spacing w:before="32" w:line="200" w:lineRule="auto"/>
              <w:rPr>
                <w:sz w:val="21"/>
                <w:szCs w:val="21"/>
              </w:rPr>
            </w:pPr>
            <w:r>
              <w:rPr>
                <w:sz w:val="21"/>
                <w:szCs w:val="21"/>
              </w:rPr>
              <w:t>欧式宽体运河式烫毛隧道</w:t>
            </w:r>
          </w:p>
        </w:tc>
        <w:tc>
          <w:tcPr>
            <w:tcW w:w="490" w:type="dxa"/>
            <w:vAlign w:val="top"/>
          </w:tcPr>
          <w:p>
            <w:pPr>
              <w:pStyle w:val="TableText"/>
              <w:ind w:left="131"/>
              <w:spacing w:before="33" w:line="199" w:lineRule="auto"/>
              <w:rPr>
                <w:sz w:val="21"/>
                <w:szCs w:val="21"/>
              </w:rPr>
            </w:pPr>
            <w:r>
              <w:rPr>
                <w:sz w:val="21"/>
                <w:szCs w:val="21"/>
              </w:rPr>
              <w:t>台</w:t>
            </w:r>
          </w:p>
        </w:tc>
        <w:tc>
          <w:tcPr>
            <w:tcW w:w="1749" w:type="dxa"/>
            <w:vAlign w:val="top"/>
          </w:tcPr>
          <w:p>
            <w:pPr>
              <w:pStyle w:val="TableText"/>
              <w:ind w:left="812"/>
              <w:spacing w:before="52" w:line="182" w:lineRule="auto"/>
              <w:rPr>
                <w:sz w:val="21"/>
                <w:szCs w:val="21"/>
              </w:rPr>
            </w:pPr>
            <w:r>
              <w:rPr>
                <w:sz w:val="21"/>
                <w:szCs w:val="21"/>
              </w:rPr>
              <w:t>0</w:t>
            </w:r>
          </w:p>
        </w:tc>
        <w:tc>
          <w:tcPr>
            <w:tcW w:w="2568" w:type="dxa"/>
            <w:vAlign w:val="top"/>
            <w:textDirection w:val="tbRlV"/>
          </w:tcPr>
          <w:p>
            <w:pPr>
              <w:spacing w:line="292" w:lineRule="auto"/>
              <w:rPr>
                <w:rFonts w:ascii="Arial"/>
                <w:sz w:val="21"/>
              </w:rPr>
            </w:pPr>
            <w:r/>
          </w:p>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25"/>
              <w:spacing w:before="54" w:line="96" w:lineRule="exact"/>
              <w:rPr>
                <w:sz w:val="16"/>
                <w:szCs w:val="16"/>
              </w:rPr>
            </w:pPr>
            <w:r>
              <w:rPr>
                <w:sz w:val="16"/>
                <w:szCs w:val="16"/>
                <w:color w:val="505040"/>
                <w:spacing w:val="38"/>
                <w:w w:val="125"/>
                <w:position w:val="-2"/>
              </w:rPr>
              <w:t>1</w:t>
            </w:r>
          </w:p>
        </w:tc>
        <w:tc>
          <w:tcPr>
            <w:tcW w:w="2178" w:type="dxa"/>
            <w:vAlign w:val="top"/>
          </w:tcPr>
          <w:p>
            <w:pPr>
              <w:pStyle w:val="TableText"/>
              <w:ind w:left="974"/>
              <w:spacing w:before="52" w:line="182"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3" w:line="181" w:lineRule="auto"/>
              <w:rPr>
                <w:sz w:val="21"/>
                <w:szCs w:val="21"/>
              </w:rPr>
            </w:pPr>
            <w:r>
              <w:rPr>
                <w:sz w:val="21"/>
                <w:szCs w:val="21"/>
                <w:spacing w:val="-4"/>
              </w:rPr>
              <w:t>36</w:t>
            </w:r>
          </w:p>
        </w:tc>
        <w:tc>
          <w:tcPr>
            <w:tcW w:w="3148" w:type="dxa"/>
            <w:vAlign w:val="top"/>
          </w:tcPr>
          <w:p>
            <w:pPr>
              <w:pStyle w:val="TableText"/>
              <w:ind w:left="1040"/>
              <w:spacing w:before="41" w:line="200" w:lineRule="auto"/>
              <w:rPr>
                <w:sz w:val="21"/>
                <w:szCs w:val="21"/>
              </w:rPr>
            </w:pPr>
            <w:r>
              <w:rPr>
                <w:sz w:val="21"/>
                <w:szCs w:val="21"/>
                <w:spacing w:val="-2"/>
              </w:rPr>
              <w:t>水循环装置</w:t>
            </w:r>
          </w:p>
        </w:tc>
        <w:tc>
          <w:tcPr>
            <w:tcW w:w="490" w:type="dxa"/>
            <w:vAlign w:val="top"/>
          </w:tcPr>
          <w:p>
            <w:pPr>
              <w:pStyle w:val="TableText"/>
              <w:ind w:left="131"/>
              <w:spacing w:before="42" w:line="199" w:lineRule="auto"/>
              <w:rPr>
                <w:sz w:val="21"/>
                <w:szCs w:val="21"/>
              </w:rPr>
            </w:pPr>
            <w:r>
              <w:rPr>
                <w:sz w:val="21"/>
                <w:szCs w:val="21"/>
              </w:rPr>
              <w:t>套</w:t>
            </w:r>
          </w:p>
        </w:tc>
        <w:tc>
          <w:tcPr>
            <w:tcW w:w="1749" w:type="dxa"/>
            <w:vAlign w:val="top"/>
          </w:tcPr>
          <w:p>
            <w:pPr>
              <w:pStyle w:val="TableText"/>
              <w:ind w:left="812"/>
              <w:spacing w:before="63" w:line="181" w:lineRule="auto"/>
              <w:rPr>
                <w:sz w:val="21"/>
                <w:szCs w:val="21"/>
              </w:rPr>
            </w:pPr>
            <w:r>
              <w:rPr>
                <w:sz w:val="21"/>
                <w:szCs w:val="21"/>
              </w:rPr>
              <w:t>0</w:t>
            </w:r>
          </w:p>
        </w:tc>
        <w:tc>
          <w:tcPr>
            <w:tcW w:w="2568" w:type="dxa"/>
            <w:vAlign w:val="top"/>
            <w:textDirection w:val="tbRlV"/>
          </w:tcPr>
          <w:p>
            <w:pPr>
              <w:spacing w:line="292" w:lineRule="auto"/>
              <w:rPr>
                <w:rFonts w:ascii="Arial"/>
                <w:sz w:val="21"/>
              </w:rPr>
            </w:pPr>
            <w:r/>
          </w:p>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25"/>
              <w:spacing w:before="54" w:line="96" w:lineRule="exact"/>
              <w:rPr>
                <w:sz w:val="16"/>
                <w:szCs w:val="16"/>
              </w:rPr>
            </w:pPr>
            <w:r>
              <w:rPr>
                <w:sz w:val="16"/>
                <w:szCs w:val="16"/>
                <w:color w:val="505050"/>
                <w:spacing w:val="38"/>
                <w:w w:val="125"/>
                <w:position w:val="-2"/>
              </w:rPr>
              <w:t>1</w:t>
            </w:r>
          </w:p>
        </w:tc>
        <w:tc>
          <w:tcPr>
            <w:tcW w:w="2178" w:type="dxa"/>
            <w:vAlign w:val="top"/>
          </w:tcPr>
          <w:p>
            <w:pPr>
              <w:pStyle w:val="TableText"/>
              <w:ind w:left="974"/>
              <w:spacing w:before="63" w:line="181"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4" w:line="181" w:lineRule="auto"/>
              <w:rPr>
                <w:sz w:val="21"/>
                <w:szCs w:val="21"/>
              </w:rPr>
            </w:pPr>
            <w:r>
              <w:rPr>
                <w:sz w:val="21"/>
                <w:szCs w:val="21"/>
                <w:spacing w:val="-4"/>
              </w:rPr>
              <w:t>37</w:t>
            </w:r>
          </w:p>
        </w:tc>
        <w:tc>
          <w:tcPr>
            <w:tcW w:w="3148" w:type="dxa"/>
            <w:vAlign w:val="top"/>
          </w:tcPr>
          <w:p>
            <w:pPr>
              <w:pStyle w:val="TableText"/>
              <w:ind w:left="1040"/>
              <w:spacing w:before="33" w:line="199" w:lineRule="auto"/>
              <w:rPr>
                <w:sz w:val="21"/>
                <w:szCs w:val="21"/>
              </w:rPr>
            </w:pPr>
            <w:r>
              <w:rPr>
                <w:sz w:val="21"/>
                <w:szCs w:val="21"/>
                <w:spacing w:val="-2"/>
              </w:rPr>
              <w:t>气动卸猪器</w:t>
            </w:r>
          </w:p>
        </w:tc>
        <w:tc>
          <w:tcPr>
            <w:tcW w:w="490" w:type="dxa"/>
            <w:vAlign w:val="top"/>
          </w:tcPr>
          <w:p>
            <w:pPr>
              <w:pStyle w:val="TableText"/>
              <w:ind w:left="131"/>
              <w:spacing w:before="34" w:line="198" w:lineRule="auto"/>
              <w:rPr>
                <w:sz w:val="21"/>
                <w:szCs w:val="21"/>
              </w:rPr>
            </w:pPr>
            <w:r>
              <w:rPr>
                <w:sz w:val="21"/>
                <w:szCs w:val="21"/>
              </w:rPr>
              <w:t>台</w:t>
            </w:r>
          </w:p>
        </w:tc>
        <w:tc>
          <w:tcPr>
            <w:tcW w:w="1749" w:type="dxa"/>
            <w:vAlign w:val="top"/>
          </w:tcPr>
          <w:p>
            <w:pPr>
              <w:pStyle w:val="TableText"/>
              <w:ind w:left="812"/>
              <w:spacing w:before="54" w:line="181"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404030"/>
                <w:spacing w:val="37"/>
                <w:w w:val="125"/>
                <w:position w:val="-3"/>
              </w:rPr>
              <w:t>1</w:t>
            </w:r>
          </w:p>
        </w:tc>
        <w:tc>
          <w:tcPr>
            <w:tcW w:w="2178" w:type="dxa"/>
            <w:vAlign w:val="top"/>
          </w:tcPr>
          <w:p>
            <w:pPr>
              <w:pStyle w:val="TableText"/>
              <w:ind w:left="974"/>
              <w:spacing w:before="54" w:line="181"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3" w:line="181" w:lineRule="auto"/>
              <w:rPr>
                <w:sz w:val="21"/>
                <w:szCs w:val="21"/>
              </w:rPr>
            </w:pPr>
            <w:r>
              <w:rPr>
                <w:sz w:val="21"/>
                <w:szCs w:val="21"/>
                <w:spacing w:val="-4"/>
              </w:rPr>
              <w:t>38</w:t>
            </w:r>
          </w:p>
        </w:tc>
        <w:tc>
          <w:tcPr>
            <w:tcW w:w="3148" w:type="dxa"/>
            <w:vAlign w:val="top"/>
          </w:tcPr>
          <w:p>
            <w:pPr>
              <w:pStyle w:val="TableText"/>
              <w:ind w:left="830"/>
              <w:spacing w:before="41" w:line="200" w:lineRule="auto"/>
              <w:rPr>
                <w:sz w:val="21"/>
                <w:szCs w:val="21"/>
              </w:rPr>
            </w:pPr>
            <w:r>
              <w:rPr>
                <w:sz w:val="21"/>
                <w:szCs w:val="21"/>
                <w:spacing w:val="-2"/>
              </w:rPr>
              <w:t>刨毛机进猪滑槽</w:t>
            </w:r>
          </w:p>
        </w:tc>
        <w:tc>
          <w:tcPr>
            <w:tcW w:w="490" w:type="dxa"/>
            <w:vAlign w:val="top"/>
          </w:tcPr>
          <w:p>
            <w:pPr>
              <w:pStyle w:val="TableText"/>
              <w:ind w:left="131"/>
              <w:spacing w:before="43" w:line="198" w:lineRule="auto"/>
              <w:rPr>
                <w:sz w:val="21"/>
                <w:szCs w:val="21"/>
              </w:rPr>
            </w:pPr>
            <w:r>
              <w:rPr>
                <w:sz w:val="21"/>
                <w:szCs w:val="21"/>
              </w:rPr>
              <w:t>套</w:t>
            </w:r>
          </w:p>
        </w:tc>
        <w:tc>
          <w:tcPr>
            <w:tcW w:w="1749" w:type="dxa"/>
            <w:vAlign w:val="top"/>
          </w:tcPr>
          <w:p>
            <w:pPr>
              <w:pStyle w:val="TableText"/>
              <w:ind w:left="812"/>
              <w:spacing w:before="63" w:line="181" w:lineRule="auto"/>
              <w:rPr>
                <w:sz w:val="21"/>
                <w:szCs w:val="21"/>
              </w:rPr>
            </w:pPr>
            <w:r>
              <w:rPr>
                <w:sz w:val="21"/>
                <w:szCs w:val="21"/>
              </w:rPr>
              <w:t>0</w:t>
            </w:r>
          </w:p>
        </w:tc>
        <w:tc>
          <w:tcPr>
            <w:tcW w:w="2568" w:type="dxa"/>
            <w:vAlign w:val="top"/>
            <w:textDirection w:val="tbRlV"/>
          </w:tcPr>
          <w:p>
            <w:pPr>
              <w:spacing w:line="289" w:lineRule="auto"/>
              <w:rPr>
                <w:rFonts w:ascii="Arial"/>
                <w:sz w:val="21"/>
              </w:rPr>
            </w:pPr>
            <w:r/>
          </w:p>
          <w:p>
            <w:pPr>
              <w:spacing w:line="289"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69"/>
              <w:spacing w:before="37" w:line="211" w:lineRule="auto"/>
              <w:rPr>
                <w:sz w:val="11"/>
                <w:szCs w:val="11"/>
              </w:rPr>
            </w:pPr>
            <w:r>
              <w:rPr>
                <w:sz w:val="11"/>
                <w:szCs w:val="11"/>
              </w:rPr>
              <w:t>工</w:t>
            </w:r>
          </w:p>
        </w:tc>
        <w:tc>
          <w:tcPr>
            <w:tcW w:w="2178" w:type="dxa"/>
            <w:vAlign w:val="top"/>
          </w:tcPr>
          <w:p>
            <w:pPr>
              <w:pStyle w:val="TableText"/>
              <w:ind w:left="974"/>
              <w:spacing w:before="63" w:line="181"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4" w:line="181" w:lineRule="auto"/>
              <w:rPr>
                <w:sz w:val="21"/>
                <w:szCs w:val="21"/>
              </w:rPr>
            </w:pPr>
            <w:r>
              <w:rPr>
                <w:sz w:val="21"/>
                <w:szCs w:val="21"/>
                <w:spacing w:val="-4"/>
              </w:rPr>
              <w:t>39</w:t>
            </w:r>
          </w:p>
        </w:tc>
        <w:tc>
          <w:tcPr>
            <w:tcW w:w="3148" w:type="dxa"/>
            <w:vAlign w:val="top"/>
          </w:tcPr>
          <w:p>
            <w:pPr>
              <w:pStyle w:val="TableText"/>
              <w:ind w:left="830"/>
              <w:spacing w:before="32" w:line="200" w:lineRule="auto"/>
              <w:rPr>
                <w:sz w:val="21"/>
                <w:szCs w:val="21"/>
              </w:rPr>
            </w:pPr>
            <w:r>
              <w:rPr>
                <w:sz w:val="21"/>
                <w:szCs w:val="21"/>
                <w:spacing w:val="-2"/>
              </w:rPr>
              <w:t>双级螺旋脱毛机</w:t>
            </w:r>
          </w:p>
        </w:tc>
        <w:tc>
          <w:tcPr>
            <w:tcW w:w="490" w:type="dxa"/>
            <w:vAlign w:val="top"/>
          </w:tcPr>
          <w:p>
            <w:pPr>
              <w:pStyle w:val="TableText"/>
              <w:ind w:left="131"/>
              <w:spacing w:before="35" w:line="197" w:lineRule="auto"/>
              <w:rPr>
                <w:sz w:val="21"/>
                <w:szCs w:val="21"/>
              </w:rPr>
            </w:pPr>
            <w:r>
              <w:rPr>
                <w:sz w:val="21"/>
                <w:szCs w:val="21"/>
              </w:rPr>
              <w:t>台</w:t>
            </w:r>
          </w:p>
        </w:tc>
        <w:tc>
          <w:tcPr>
            <w:tcW w:w="1749" w:type="dxa"/>
            <w:vAlign w:val="top"/>
          </w:tcPr>
          <w:p>
            <w:pPr>
              <w:pStyle w:val="TableText"/>
              <w:ind w:left="812"/>
              <w:spacing w:before="54" w:line="181" w:lineRule="auto"/>
              <w:rPr>
                <w:sz w:val="21"/>
                <w:szCs w:val="21"/>
              </w:rPr>
            </w:pPr>
            <w:r>
              <w:rPr>
                <w:sz w:val="21"/>
                <w:szCs w:val="21"/>
              </w:rPr>
              <w:t>0</w:t>
            </w:r>
          </w:p>
        </w:tc>
        <w:tc>
          <w:tcPr>
            <w:tcW w:w="2568" w:type="dxa"/>
            <w:vAlign w:val="top"/>
          </w:tcPr>
          <w:p>
            <w:pPr>
              <w:pStyle w:val="TableText"/>
              <w:ind w:left="1223"/>
              <w:spacing w:before="54" w:line="181" w:lineRule="auto"/>
              <w:rPr>
                <w:sz w:val="21"/>
                <w:szCs w:val="21"/>
              </w:rPr>
            </w:pPr>
            <w:r>
              <w:rPr>
                <w:sz w:val="21"/>
                <w:szCs w:val="21"/>
              </w:rPr>
              <w:t>2</w:t>
            </w:r>
          </w:p>
        </w:tc>
        <w:tc>
          <w:tcPr>
            <w:tcW w:w="2178" w:type="dxa"/>
            <w:vAlign w:val="top"/>
          </w:tcPr>
          <w:p>
            <w:pPr>
              <w:pStyle w:val="TableText"/>
              <w:ind w:left="974"/>
              <w:spacing w:before="54" w:line="181" w:lineRule="auto"/>
              <w:rPr>
                <w:sz w:val="21"/>
                <w:szCs w:val="21"/>
              </w:rPr>
            </w:pPr>
            <w:r>
              <w:rPr>
                <w:sz w:val="21"/>
                <w:szCs w:val="21"/>
                <w:spacing w:val="-3"/>
              </w:rPr>
              <w:t>+2</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4" w:line="180" w:lineRule="auto"/>
              <w:rPr>
                <w:sz w:val="21"/>
                <w:szCs w:val="21"/>
              </w:rPr>
            </w:pPr>
            <w:r>
              <w:rPr>
                <w:sz w:val="21"/>
                <w:szCs w:val="21"/>
                <w:spacing w:val="-2"/>
              </w:rPr>
              <w:t>40</w:t>
            </w:r>
          </w:p>
        </w:tc>
        <w:tc>
          <w:tcPr>
            <w:tcW w:w="3148" w:type="dxa"/>
            <w:vAlign w:val="top"/>
          </w:tcPr>
          <w:p>
            <w:pPr>
              <w:pStyle w:val="TableText"/>
              <w:ind w:left="509"/>
              <w:spacing w:before="41" w:line="200" w:lineRule="auto"/>
              <w:rPr>
                <w:sz w:val="21"/>
                <w:szCs w:val="21"/>
              </w:rPr>
            </w:pPr>
            <w:r>
              <w:rPr>
                <w:sz w:val="21"/>
                <w:szCs w:val="21"/>
                <w:spacing w:val="4"/>
              </w:rPr>
              <w:t>喷淋水循环水池(土建)</w:t>
            </w:r>
          </w:p>
        </w:tc>
        <w:tc>
          <w:tcPr>
            <w:tcW w:w="490" w:type="dxa"/>
            <w:vAlign w:val="top"/>
          </w:tcPr>
          <w:p>
            <w:pPr>
              <w:pStyle w:val="TableText"/>
              <w:ind w:left="131"/>
              <w:spacing w:before="43" w:line="198" w:lineRule="auto"/>
              <w:rPr>
                <w:sz w:val="21"/>
                <w:szCs w:val="21"/>
              </w:rPr>
            </w:pPr>
            <w:r>
              <w:rPr>
                <w:sz w:val="21"/>
                <w:szCs w:val="21"/>
              </w:rPr>
              <w:t>套</w:t>
            </w:r>
          </w:p>
        </w:tc>
        <w:tc>
          <w:tcPr>
            <w:tcW w:w="1749" w:type="dxa"/>
            <w:vAlign w:val="top"/>
          </w:tcPr>
          <w:p>
            <w:pPr>
              <w:pStyle w:val="TableText"/>
              <w:ind w:left="812"/>
              <w:spacing w:before="64" w:line="180"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5040"/>
                <w:spacing w:val="48"/>
                <w:w w:val="125"/>
                <w:position w:val="-3"/>
              </w:rPr>
              <w:t>1</w:t>
            </w:r>
          </w:p>
        </w:tc>
        <w:tc>
          <w:tcPr>
            <w:tcW w:w="2178" w:type="dxa"/>
            <w:vAlign w:val="top"/>
          </w:tcPr>
          <w:p>
            <w:pPr>
              <w:pStyle w:val="TableText"/>
              <w:ind w:left="974"/>
              <w:spacing w:before="64" w:line="180"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69" w:hRule="atLeast"/>
        </w:trPr>
        <w:tc>
          <w:tcPr>
            <w:tcW w:w="405" w:type="dxa"/>
            <w:vAlign w:val="top"/>
          </w:tcPr>
          <w:p>
            <w:pPr>
              <w:pStyle w:val="TableText"/>
              <w:ind w:left="85"/>
              <w:spacing w:before="55" w:line="179" w:lineRule="auto"/>
              <w:rPr>
                <w:sz w:val="21"/>
                <w:szCs w:val="21"/>
              </w:rPr>
            </w:pPr>
            <w:r>
              <w:rPr>
                <w:sz w:val="21"/>
                <w:szCs w:val="21"/>
                <w:spacing w:val="-2"/>
              </w:rPr>
              <w:t>41</w:t>
            </w:r>
          </w:p>
        </w:tc>
        <w:tc>
          <w:tcPr>
            <w:tcW w:w="3148" w:type="dxa"/>
            <w:vAlign w:val="top"/>
          </w:tcPr>
          <w:p>
            <w:pPr>
              <w:pStyle w:val="TableText"/>
              <w:ind w:left="830"/>
              <w:spacing w:before="32" w:line="199" w:lineRule="auto"/>
              <w:rPr>
                <w:sz w:val="21"/>
                <w:szCs w:val="21"/>
              </w:rPr>
            </w:pPr>
            <w:r>
              <w:rPr>
                <w:sz w:val="21"/>
                <w:szCs w:val="21"/>
                <w:spacing w:val="1"/>
              </w:rPr>
              <w:t>喷淋水循环装置</w:t>
            </w:r>
          </w:p>
        </w:tc>
        <w:tc>
          <w:tcPr>
            <w:tcW w:w="490" w:type="dxa"/>
            <w:vAlign w:val="top"/>
          </w:tcPr>
          <w:p>
            <w:pPr>
              <w:pStyle w:val="TableText"/>
              <w:ind w:left="131"/>
              <w:spacing w:before="34" w:line="197" w:lineRule="auto"/>
              <w:rPr>
                <w:sz w:val="21"/>
                <w:szCs w:val="21"/>
              </w:rPr>
            </w:pPr>
            <w:r>
              <w:rPr>
                <w:sz w:val="21"/>
                <w:szCs w:val="21"/>
              </w:rPr>
              <w:t>套</w:t>
            </w:r>
          </w:p>
        </w:tc>
        <w:tc>
          <w:tcPr>
            <w:tcW w:w="1749" w:type="dxa"/>
            <w:vAlign w:val="top"/>
          </w:tcPr>
          <w:p>
            <w:pPr>
              <w:pStyle w:val="TableText"/>
              <w:ind w:left="812"/>
              <w:spacing w:before="55" w:line="179"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4040"/>
                <w:spacing w:val="39"/>
                <w:w w:val="125"/>
                <w:position w:val="-3"/>
              </w:rPr>
              <w:t>1</w:t>
            </w:r>
          </w:p>
        </w:tc>
        <w:tc>
          <w:tcPr>
            <w:tcW w:w="2178" w:type="dxa"/>
            <w:vAlign w:val="top"/>
          </w:tcPr>
          <w:p>
            <w:pPr>
              <w:pStyle w:val="TableText"/>
              <w:ind w:left="974"/>
              <w:spacing w:before="55" w:line="179"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6" w:line="178" w:lineRule="auto"/>
              <w:rPr>
                <w:sz w:val="21"/>
                <w:szCs w:val="21"/>
              </w:rPr>
            </w:pPr>
            <w:r>
              <w:rPr>
                <w:sz w:val="21"/>
                <w:szCs w:val="21"/>
                <w:spacing w:val="-2"/>
              </w:rPr>
              <w:t>42</w:t>
            </w:r>
          </w:p>
        </w:tc>
        <w:tc>
          <w:tcPr>
            <w:tcW w:w="3148" w:type="dxa"/>
            <w:vAlign w:val="top"/>
          </w:tcPr>
          <w:p>
            <w:pPr>
              <w:pStyle w:val="TableText"/>
              <w:ind w:left="620"/>
              <w:spacing w:before="43" w:line="198" w:lineRule="auto"/>
              <w:rPr>
                <w:sz w:val="21"/>
                <w:szCs w:val="21"/>
              </w:rPr>
            </w:pPr>
            <w:r>
              <w:rPr>
                <w:sz w:val="21"/>
                <w:szCs w:val="21"/>
                <w:spacing w:val="1"/>
              </w:rPr>
              <w:t>喷淋水温度控制系统</w:t>
            </w:r>
          </w:p>
        </w:tc>
        <w:tc>
          <w:tcPr>
            <w:tcW w:w="490" w:type="dxa"/>
            <w:vAlign w:val="top"/>
          </w:tcPr>
          <w:p>
            <w:pPr>
              <w:pStyle w:val="TableText"/>
              <w:ind w:left="131"/>
              <w:spacing w:before="46" w:line="196" w:lineRule="auto"/>
              <w:rPr>
                <w:sz w:val="21"/>
                <w:szCs w:val="21"/>
              </w:rPr>
            </w:pPr>
            <w:r>
              <w:rPr>
                <w:sz w:val="21"/>
                <w:szCs w:val="21"/>
                <w:color w:val="604060"/>
              </w:rPr>
              <w:t>套</w:t>
            </w:r>
          </w:p>
        </w:tc>
        <w:tc>
          <w:tcPr>
            <w:tcW w:w="1749" w:type="dxa"/>
            <w:vAlign w:val="top"/>
          </w:tcPr>
          <w:p>
            <w:pPr>
              <w:pStyle w:val="TableText"/>
              <w:ind w:left="812"/>
              <w:spacing w:before="66" w:line="178"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5040"/>
                <w:spacing w:val="50"/>
                <w:w w:val="125"/>
                <w:position w:val="-3"/>
              </w:rPr>
              <w:t>1</w:t>
            </w:r>
          </w:p>
        </w:tc>
        <w:tc>
          <w:tcPr>
            <w:tcW w:w="2178" w:type="dxa"/>
            <w:vAlign w:val="top"/>
          </w:tcPr>
          <w:p>
            <w:pPr>
              <w:pStyle w:val="TableText"/>
              <w:ind w:left="974"/>
              <w:spacing w:before="66" w:line="178"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50" w:hRule="atLeast"/>
        </w:trPr>
        <w:tc>
          <w:tcPr>
            <w:tcW w:w="405" w:type="dxa"/>
            <w:vAlign w:val="top"/>
          </w:tcPr>
          <w:p>
            <w:pPr>
              <w:pStyle w:val="TableText"/>
              <w:ind w:left="85"/>
              <w:spacing w:before="47" w:line="169" w:lineRule="auto"/>
              <w:rPr>
                <w:sz w:val="21"/>
                <w:szCs w:val="21"/>
              </w:rPr>
            </w:pPr>
            <w:r>
              <w:rPr>
                <w:sz w:val="21"/>
                <w:szCs w:val="21"/>
                <w:spacing w:val="-2"/>
              </w:rPr>
              <w:t>43</w:t>
            </w:r>
          </w:p>
        </w:tc>
        <w:tc>
          <w:tcPr>
            <w:tcW w:w="3148" w:type="dxa"/>
            <w:vAlign w:val="top"/>
          </w:tcPr>
          <w:p>
            <w:pPr>
              <w:pStyle w:val="TableText"/>
              <w:ind w:left="719"/>
              <w:spacing w:before="26" w:line="188" w:lineRule="auto"/>
              <w:rPr>
                <w:sz w:val="21"/>
                <w:szCs w:val="21"/>
              </w:rPr>
            </w:pPr>
            <w:r>
              <w:rPr>
                <w:sz w:val="21"/>
                <w:szCs w:val="21"/>
                <w:spacing w:val="-2"/>
              </w:rPr>
              <w:t>螺旋式猪毛输送机</w:t>
            </w:r>
          </w:p>
        </w:tc>
        <w:tc>
          <w:tcPr>
            <w:tcW w:w="490" w:type="dxa"/>
            <w:vAlign w:val="top"/>
          </w:tcPr>
          <w:p>
            <w:pPr>
              <w:pStyle w:val="TableText"/>
              <w:ind w:left="131"/>
              <w:spacing w:before="29" w:line="185" w:lineRule="auto"/>
              <w:rPr>
                <w:sz w:val="21"/>
                <w:szCs w:val="21"/>
              </w:rPr>
            </w:pPr>
            <w:r>
              <w:rPr>
                <w:sz w:val="21"/>
                <w:szCs w:val="21"/>
              </w:rPr>
              <w:t>台</w:t>
            </w:r>
          </w:p>
        </w:tc>
        <w:tc>
          <w:tcPr>
            <w:tcW w:w="1749" w:type="dxa"/>
            <w:vAlign w:val="top"/>
          </w:tcPr>
          <w:p>
            <w:pPr>
              <w:pStyle w:val="TableText"/>
              <w:ind w:left="812"/>
              <w:spacing w:before="47" w:line="169" w:lineRule="auto"/>
              <w:rPr>
                <w:sz w:val="21"/>
                <w:szCs w:val="21"/>
              </w:rPr>
            </w:pPr>
            <w:r>
              <w:rPr>
                <w:sz w:val="21"/>
                <w:szCs w:val="21"/>
              </w:rPr>
              <w:t>0</w:t>
            </w:r>
          </w:p>
        </w:tc>
        <w:tc>
          <w:tcPr>
            <w:tcW w:w="2568" w:type="dxa"/>
            <w:vAlign w:val="top"/>
            <w:textDirection w:val="tbRlV"/>
          </w:tcPr>
          <w:p>
            <w:pPr>
              <w:spacing w:line="292" w:lineRule="auto"/>
              <w:rPr>
                <w:rFonts w:ascii="Arial"/>
                <w:sz w:val="21"/>
              </w:rPr>
            </w:pPr>
            <w:r/>
          </w:p>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20"/>
              <w:spacing w:before="54" w:line="96" w:lineRule="exact"/>
              <w:rPr>
                <w:sz w:val="16"/>
                <w:szCs w:val="16"/>
              </w:rPr>
            </w:pPr>
            <w:r>
              <w:rPr>
                <w:sz w:val="16"/>
                <w:szCs w:val="16"/>
                <w:color w:val="404040"/>
                <w:spacing w:val="38"/>
                <w:w w:val="125"/>
                <w:position w:val="-2"/>
              </w:rPr>
              <w:t>1</w:t>
            </w:r>
          </w:p>
        </w:tc>
        <w:tc>
          <w:tcPr>
            <w:tcW w:w="2178" w:type="dxa"/>
            <w:vAlign w:val="top"/>
          </w:tcPr>
          <w:p>
            <w:pPr>
              <w:pStyle w:val="TableText"/>
              <w:ind w:left="974"/>
              <w:spacing w:before="47" w:line="169"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7" w:line="178" w:lineRule="auto"/>
              <w:rPr>
                <w:sz w:val="21"/>
                <w:szCs w:val="21"/>
              </w:rPr>
            </w:pPr>
            <w:r>
              <w:rPr>
                <w:sz w:val="21"/>
                <w:szCs w:val="21"/>
                <w:color w:val="504050"/>
                <w:spacing w:val="-2"/>
              </w:rPr>
              <w:t>44</w:t>
            </w:r>
          </w:p>
        </w:tc>
        <w:tc>
          <w:tcPr>
            <w:tcW w:w="3148" w:type="dxa"/>
            <w:vAlign w:val="top"/>
          </w:tcPr>
          <w:p>
            <w:pPr>
              <w:pStyle w:val="TableText"/>
              <w:ind w:left="929"/>
              <w:spacing w:before="37" w:line="196" w:lineRule="auto"/>
              <w:rPr>
                <w:sz w:val="21"/>
                <w:szCs w:val="21"/>
              </w:rPr>
            </w:pPr>
            <w:r>
              <w:rPr>
                <w:sz w:val="21"/>
                <w:szCs w:val="21"/>
                <w:spacing w:val="-2"/>
              </w:rPr>
              <w:t>猪毛风送系统</w:t>
            </w:r>
          </w:p>
        </w:tc>
        <w:tc>
          <w:tcPr>
            <w:tcW w:w="490" w:type="dxa"/>
            <w:vAlign w:val="top"/>
          </w:tcPr>
          <w:p>
            <w:pPr>
              <w:pStyle w:val="TableText"/>
              <w:ind w:left="131"/>
              <w:spacing w:before="37" w:line="196" w:lineRule="auto"/>
              <w:rPr>
                <w:sz w:val="21"/>
                <w:szCs w:val="21"/>
              </w:rPr>
            </w:pPr>
            <w:r>
              <w:rPr>
                <w:sz w:val="21"/>
                <w:szCs w:val="21"/>
              </w:rPr>
              <w:t>套</w:t>
            </w:r>
          </w:p>
        </w:tc>
        <w:tc>
          <w:tcPr>
            <w:tcW w:w="1749" w:type="dxa"/>
            <w:vAlign w:val="top"/>
          </w:tcPr>
          <w:p>
            <w:pPr>
              <w:pStyle w:val="TableText"/>
              <w:ind w:left="812"/>
              <w:spacing w:before="57" w:line="178"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404030"/>
                <w:spacing w:val="41"/>
                <w:w w:val="125"/>
                <w:position w:val="-3"/>
              </w:rPr>
              <w:t>1</w:t>
            </w:r>
          </w:p>
        </w:tc>
        <w:tc>
          <w:tcPr>
            <w:tcW w:w="2178" w:type="dxa"/>
            <w:vAlign w:val="top"/>
          </w:tcPr>
          <w:p>
            <w:pPr>
              <w:pStyle w:val="TableText"/>
              <w:ind w:left="974"/>
              <w:spacing w:before="57" w:line="178"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7" w:line="178" w:lineRule="auto"/>
              <w:rPr>
                <w:sz w:val="21"/>
                <w:szCs w:val="21"/>
              </w:rPr>
            </w:pPr>
            <w:r>
              <w:rPr>
                <w:sz w:val="21"/>
                <w:szCs w:val="21"/>
                <w:spacing w:val="-2"/>
              </w:rPr>
              <w:t>45</w:t>
            </w:r>
          </w:p>
        </w:tc>
        <w:tc>
          <w:tcPr>
            <w:tcW w:w="3148" w:type="dxa"/>
            <w:vAlign w:val="top"/>
          </w:tcPr>
          <w:p>
            <w:pPr>
              <w:pStyle w:val="TableText"/>
              <w:ind w:left="1140"/>
              <w:spacing w:before="37" w:line="196" w:lineRule="auto"/>
              <w:rPr>
                <w:sz w:val="21"/>
                <w:szCs w:val="21"/>
              </w:rPr>
            </w:pPr>
            <w:r>
              <w:rPr>
                <w:sz w:val="21"/>
                <w:szCs w:val="21"/>
                <w:spacing w:val="-2"/>
              </w:rPr>
              <w:t>风送管道</w:t>
            </w:r>
          </w:p>
        </w:tc>
        <w:tc>
          <w:tcPr>
            <w:tcW w:w="490" w:type="dxa"/>
            <w:vAlign w:val="top"/>
          </w:tcPr>
          <w:p>
            <w:pPr>
              <w:pStyle w:val="TableText"/>
              <w:ind w:left="131"/>
              <w:spacing w:before="37" w:line="196" w:lineRule="auto"/>
              <w:rPr>
                <w:sz w:val="21"/>
                <w:szCs w:val="21"/>
              </w:rPr>
            </w:pPr>
            <w:r>
              <w:rPr>
                <w:sz w:val="21"/>
                <w:szCs w:val="21"/>
              </w:rPr>
              <w:t>米</w:t>
            </w:r>
          </w:p>
        </w:tc>
        <w:tc>
          <w:tcPr>
            <w:tcW w:w="1749" w:type="dxa"/>
            <w:vAlign w:val="top"/>
          </w:tcPr>
          <w:p>
            <w:pPr>
              <w:pStyle w:val="TableText"/>
              <w:ind w:left="812"/>
              <w:spacing w:before="57" w:line="178" w:lineRule="auto"/>
              <w:rPr>
                <w:sz w:val="21"/>
                <w:szCs w:val="21"/>
              </w:rPr>
            </w:pPr>
            <w:r>
              <w:rPr>
                <w:sz w:val="21"/>
                <w:szCs w:val="21"/>
              </w:rPr>
              <w:t>0</w:t>
            </w:r>
          </w:p>
        </w:tc>
        <w:tc>
          <w:tcPr>
            <w:tcW w:w="2568" w:type="dxa"/>
            <w:vAlign w:val="top"/>
          </w:tcPr>
          <w:p>
            <w:pPr>
              <w:pStyle w:val="TableText"/>
              <w:ind w:left="1173"/>
              <w:spacing w:before="57" w:line="178" w:lineRule="auto"/>
              <w:rPr>
                <w:sz w:val="21"/>
                <w:szCs w:val="21"/>
              </w:rPr>
            </w:pPr>
            <w:r>
              <w:rPr>
                <w:sz w:val="21"/>
                <w:szCs w:val="21"/>
                <w:spacing w:val="-4"/>
              </w:rPr>
              <w:t>50</w:t>
            </w:r>
          </w:p>
        </w:tc>
        <w:tc>
          <w:tcPr>
            <w:tcW w:w="2178" w:type="dxa"/>
            <w:vAlign w:val="top"/>
          </w:tcPr>
          <w:p>
            <w:pPr>
              <w:pStyle w:val="TableText"/>
              <w:ind w:left="925"/>
              <w:spacing w:before="57" w:line="178" w:lineRule="auto"/>
              <w:rPr>
                <w:sz w:val="21"/>
                <w:szCs w:val="21"/>
              </w:rPr>
            </w:pPr>
            <w:r>
              <w:rPr>
                <w:sz w:val="21"/>
                <w:szCs w:val="21"/>
                <w:spacing w:val="-3"/>
              </w:rPr>
              <w:t>+50</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7" w:line="177" w:lineRule="auto"/>
              <w:rPr>
                <w:sz w:val="21"/>
                <w:szCs w:val="21"/>
              </w:rPr>
            </w:pPr>
            <w:r>
              <w:rPr>
                <w:sz w:val="21"/>
                <w:szCs w:val="21"/>
                <w:spacing w:val="-2"/>
              </w:rPr>
              <w:t>46</w:t>
            </w:r>
          </w:p>
        </w:tc>
        <w:tc>
          <w:tcPr>
            <w:tcW w:w="3148" w:type="dxa"/>
            <w:vAlign w:val="top"/>
          </w:tcPr>
          <w:p>
            <w:pPr>
              <w:pStyle w:val="TableText"/>
              <w:ind w:left="830"/>
              <w:spacing w:before="46" w:line="196" w:lineRule="auto"/>
              <w:rPr>
                <w:sz w:val="21"/>
                <w:szCs w:val="21"/>
              </w:rPr>
            </w:pPr>
            <w:r>
              <w:rPr>
                <w:sz w:val="21"/>
                <w:szCs w:val="21"/>
                <w:spacing w:val="-2"/>
              </w:rPr>
              <w:t>刨毛机连接滑槽</w:t>
            </w:r>
          </w:p>
        </w:tc>
        <w:tc>
          <w:tcPr>
            <w:tcW w:w="490" w:type="dxa"/>
            <w:vAlign w:val="top"/>
          </w:tcPr>
          <w:p>
            <w:pPr>
              <w:pStyle w:val="TableText"/>
              <w:ind w:left="131"/>
              <w:spacing w:before="47" w:line="195" w:lineRule="auto"/>
              <w:rPr>
                <w:sz w:val="21"/>
                <w:szCs w:val="21"/>
              </w:rPr>
            </w:pPr>
            <w:r>
              <w:rPr>
                <w:sz w:val="21"/>
                <w:szCs w:val="21"/>
                <w:color w:val="604050"/>
              </w:rPr>
              <w:t>套</w:t>
            </w:r>
          </w:p>
        </w:tc>
        <w:tc>
          <w:tcPr>
            <w:tcW w:w="1749" w:type="dxa"/>
            <w:vAlign w:val="top"/>
          </w:tcPr>
          <w:p>
            <w:pPr>
              <w:pStyle w:val="TableText"/>
              <w:ind w:left="812"/>
              <w:spacing w:before="67" w:line="177"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1"/>
              <w:spacing w:before="70" w:line="126" w:lineRule="exact"/>
              <w:rPr>
                <w:sz w:val="21"/>
                <w:szCs w:val="21"/>
              </w:rPr>
            </w:pPr>
            <w:r>
              <w:rPr>
                <w:sz w:val="21"/>
                <w:szCs w:val="21"/>
                <w:color w:val="505040"/>
                <w:spacing w:val="50"/>
                <w:w w:val="125"/>
                <w:position w:val="-3"/>
              </w:rPr>
              <w:t>1</w:t>
            </w:r>
          </w:p>
        </w:tc>
        <w:tc>
          <w:tcPr>
            <w:tcW w:w="2178" w:type="dxa"/>
            <w:vAlign w:val="top"/>
          </w:tcPr>
          <w:p>
            <w:pPr>
              <w:pStyle w:val="TableText"/>
              <w:ind w:left="974"/>
              <w:spacing w:before="67" w:line="177"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8" w:line="177" w:lineRule="auto"/>
              <w:rPr>
                <w:sz w:val="21"/>
                <w:szCs w:val="21"/>
              </w:rPr>
            </w:pPr>
            <w:r>
              <w:rPr>
                <w:sz w:val="21"/>
                <w:szCs w:val="21"/>
                <w:spacing w:val="-2"/>
              </w:rPr>
              <w:t>47</w:t>
            </w:r>
          </w:p>
        </w:tc>
        <w:tc>
          <w:tcPr>
            <w:tcW w:w="3148" w:type="dxa"/>
            <w:vAlign w:val="top"/>
          </w:tcPr>
          <w:p>
            <w:pPr>
              <w:pStyle w:val="TableText"/>
              <w:ind w:left="830"/>
              <w:spacing w:before="37" w:line="196" w:lineRule="auto"/>
              <w:rPr>
                <w:sz w:val="21"/>
                <w:szCs w:val="21"/>
              </w:rPr>
            </w:pPr>
            <w:r>
              <w:rPr>
                <w:sz w:val="21"/>
                <w:szCs w:val="21"/>
                <w:spacing w:val="-2"/>
              </w:rPr>
              <w:t>刨毛机出猪滑槽</w:t>
            </w:r>
          </w:p>
        </w:tc>
        <w:tc>
          <w:tcPr>
            <w:tcW w:w="490" w:type="dxa"/>
            <w:vAlign w:val="top"/>
          </w:tcPr>
          <w:p>
            <w:pPr>
              <w:pStyle w:val="TableText"/>
              <w:ind w:left="131"/>
              <w:spacing w:before="38" w:line="195" w:lineRule="auto"/>
              <w:rPr>
                <w:sz w:val="21"/>
                <w:szCs w:val="21"/>
              </w:rPr>
            </w:pPr>
            <w:r>
              <w:rPr>
                <w:sz w:val="21"/>
                <w:szCs w:val="21"/>
              </w:rPr>
              <w:t>套</w:t>
            </w:r>
          </w:p>
        </w:tc>
        <w:tc>
          <w:tcPr>
            <w:tcW w:w="1749" w:type="dxa"/>
            <w:vAlign w:val="top"/>
          </w:tcPr>
          <w:p>
            <w:pPr>
              <w:pStyle w:val="TableText"/>
              <w:ind w:left="812"/>
              <w:spacing w:before="58" w:line="177"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5040"/>
                <w:spacing w:val="42"/>
                <w:w w:val="125"/>
                <w:position w:val="-3"/>
              </w:rPr>
              <w:t>1</w:t>
            </w:r>
          </w:p>
        </w:tc>
        <w:tc>
          <w:tcPr>
            <w:tcW w:w="2178" w:type="dxa"/>
            <w:vAlign w:val="top"/>
          </w:tcPr>
          <w:p>
            <w:pPr>
              <w:pStyle w:val="TableText"/>
              <w:ind w:left="974"/>
              <w:spacing w:before="58" w:line="177"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8" w:line="176" w:lineRule="auto"/>
              <w:rPr>
                <w:sz w:val="21"/>
                <w:szCs w:val="21"/>
              </w:rPr>
            </w:pPr>
            <w:r>
              <w:rPr>
                <w:sz w:val="21"/>
                <w:szCs w:val="21"/>
                <w:spacing w:val="-2"/>
              </w:rPr>
              <w:t>48</w:t>
            </w:r>
          </w:p>
        </w:tc>
        <w:tc>
          <w:tcPr>
            <w:tcW w:w="3148" w:type="dxa"/>
            <w:vAlign w:val="top"/>
          </w:tcPr>
          <w:p>
            <w:pPr>
              <w:pStyle w:val="TableText"/>
              <w:ind w:left="830"/>
              <w:spacing w:before="47" w:line="195" w:lineRule="auto"/>
              <w:rPr>
                <w:sz w:val="21"/>
                <w:szCs w:val="21"/>
              </w:rPr>
            </w:pPr>
            <w:r>
              <w:rPr>
                <w:sz w:val="21"/>
                <w:szCs w:val="21"/>
                <w:spacing w:val="4"/>
              </w:rPr>
              <w:t>清水池(L=5.5m)</w:t>
            </w:r>
          </w:p>
        </w:tc>
        <w:tc>
          <w:tcPr>
            <w:tcW w:w="490" w:type="dxa"/>
            <w:vAlign w:val="top"/>
          </w:tcPr>
          <w:p>
            <w:pPr>
              <w:pStyle w:val="TableText"/>
              <w:ind w:left="131"/>
              <w:spacing w:before="49" w:line="193" w:lineRule="auto"/>
              <w:rPr>
                <w:sz w:val="21"/>
                <w:szCs w:val="21"/>
              </w:rPr>
            </w:pPr>
            <w:r>
              <w:rPr>
                <w:sz w:val="21"/>
                <w:szCs w:val="21"/>
              </w:rPr>
              <w:t>台</w:t>
            </w:r>
          </w:p>
        </w:tc>
        <w:tc>
          <w:tcPr>
            <w:tcW w:w="1749" w:type="dxa"/>
            <w:vAlign w:val="top"/>
          </w:tcPr>
          <w:p>
            <w:pPr>
              <w:pStyle w:val="TableText"/>
              <w:ind w:left="812"/>
              <w:spacing w:before="68" w:line="176"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2"/>
              <w:spacing w:before="70" w:line="126" w:lineRule="exact"/>
              <w:rPr>
                <w:sz w:val="21"/>
                <w:szCs w:val="21"/>
              </w:rPr>
            </w:pPr>
            <w:r>
              <w:rPr>
                <w:sz w:val="21"/>
                <w:szCs w:val="21"/>
                <w:color w:val="404040"/>
                <w:spacing w:val="50"/>
                <w:w w:val="125"/>
                <w:position w:val="-3"/>
              </w:rPr>
              <w:t>1</w:t>
            </w:r>
          </w:p>
        </w:tc>
        <w:tc>
          <w:tcPr>
            <w:tcW w:w="2178" w:type="dxa"/>
            <w:vAlign w:val="top"/>
          </w:tcPr>
          <w:p>
            <w:pPr>
              <w:pStyle w:val="TableText"/>
              <w:ind w:left="974"/>
              <w:spacing w:before="68" w:line="176"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80" w:hRule="atLeast"/>
        </w:trPr>
        <w:tc>
          <w:tcPr>
            <w:tcW w:w="405" w:type="dxa"/>
            <w:vAlign w:val="top"/>
          </w:tcPr>
          <w:p>
            <w:pPr>
              <w:pStyle w:val="TableText"/>
              <w:ind w:left="85"/>
              <w:spacing w:before="69" w:line="176" w:lineRule="auto"/>
              <w:rPr>
                <w:sz w:val="21"/>
                <w:szCs w:val="21"/>
              </w:rPr>
            </w:pPr>
            <w:r>
              <w:rPr>
                <w:sz w:val="21"/>
                <w:szCs w:val="21"/>
                <w:spacing w:val="-2"/>
              </w:rPr>
              <w:t>49</w:t>
            </w:r>
          </w:p>
        </w:tc>
        <w:tc>
          <w:tcPr>
            <w:tcW w:w="3148" w:type="dxa"/>
            <w:vAlign w:val="top"/>
          </w:tcPr>
          <w:p>
            <w:pPr>
              <w:pStyle w:val="TableText"/>
              <w:ind w:left="719"/>
              <w:spacing w:before="48" w:line="195" w:lineRule="auto"/>
              <w:rPr>
                <w:sz w:val="21"/>
                <w:szCs w:val="21"/>
              </w:rPr>
            </w:pPr>
            <w:r>
              <w:rPr>
                <w:sz w:val="21"/>
                <w:szCs w:val="21"/>
                <w:spacing w:val="5"/>
              </w:rPr>
              <w:t>白条提升机(双轨)</w:t>
            </w:r>
          </w:p>
        </w:tc>
        <w:tc>
          <w:tcPr>
            <w:tcW w:w="490" w:type="dxa"/>
            <w:vAlign w:val="top"/>
          </w:tcPr>
          <w:p>
            <w:pPr>
              <w:pStyle w:val="TableText"/>
              <w:ind w:left="131"/>
              <w:spacing w:before="50" w:line="193" w:lineRule="auto"/>
              <w:rPr>
                <w:sz w:val="21"/>
                <w:szCs w:val="21"/>
              </w:rPr>
            </w:pPr>
            <w:r>
              <w:rPr>
                <w:sz w:val="21"/>
                <w:szCs w:val="21"/>
              </w:rPr>
              <w:t>台</w:t>
            </w:r>
          </w:p>
        </w:tc>
        <w:tc>
          <w:tcPr>
            <w:tcW w:w="1749" w:type="dxa"/>
            <w:vAlign w:val="top"/>
          </w:tcPr>
          <w:p>
            <w:pPr>
              <w:pStyle w:val="TableText"/>
              <w:ind w:left="812"/>
              <w:spacing w:before="69" w:line="176" w:lineRule="auto"/>
              <w:rPr>
                <w:sz w:val="21"/>
                <w:szCs w:val="21"/>
              </w:rPr>
            </w:pPr>
            <w:r>
              <w:rPr>
                <w:sz w:val="21"/>
                <w:szCs w:val="21"/>
              </w:rPr>
              <w:t>0</w:t>
            </w:r>
          </w:p>
        </w:tc>
        <w:tc>
          <w:tcPr>
            <w:tcW w:w="2568" w:type="dxa"/>
            <w:vAlign w:val="top"/>
          </w:tcPr>
          <w:p>
            <w:pPr>
              <w:pStyle w:val="TableText"/>
              <w:ind w:left="1223"/>
              <w:spacing w:before="69" w:line="176" w:lineRule="auto"/>
              <w:rPr>
                <w:sz w:val="21"/>
                <w:szCs w:val="21"/>
              </w:rPr>
            </w:pPr>
            <w:r>
              <w:rPr>
                <w:sz w:val="21"/>
                <w:szCs w:val="21"/>
                <w:color w:val="505050"/>
              </w:rPr>
              <w:t>1</w:t>
            </w:r>
          </w:p>
        </w:tc>
        <w:tc>
          <w:tcPr>
            <w:tcW w:w="2178" w:type="dxa"/>
            <w:vAlign w:val="top"/>
          </w:tcPr>
          <w:p>
            <w:pPr>
              <w:pStyle w:val="TableText"/>
              <w:ind w:left="974"/>
              <w:spacing w:before="69" w:line="176"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9" w:line="176" w:lineRule="auto"/>
              <w:rPr>
                <w:sz w:val="21"/>
                <w:szCs w:val="21"/>
              </w:rPr>
            </w:pPr>
            <w:r>
              <w:rPr>
                <w:sz w:val="21"/>
                <w:szCs w:val="21"/>
                <w:spacing w:val="-4"/>
              </w:rPr>
              <w:t>50</w:t>
            </w:r>
          </w:p>
        </w:tc>
        <w:tc>
          <w:tcPr>
            <w:tcW w:w="3148" w:type="dxa"/>
            <w:vAlign w:val="top"/>
          </w:tcPr>
          <w:p>
            <w:pPr>
              <w:pStyle w:val="TableText"/>
              <w:ind w:left="620"/>
              <w:spacing w:before="39" w:line="194" w:lineRule="auto"/>
              <w:rPr>
                <w:sz w:val="21"/>
                <w:szCs w:val="21"/>
              </w:rPr>
            </w:pPr>
            <w:r>
              <w:rPr>
                <w:sz w:val="21"/>
                <w:szCs w:val="21"/>
                <w:spacing w:val="4"/>
              </w:rPr>
              <w:t>气动喂入装置(双轨)</w:t>
            </w:r>
          </w:p>
        </w:tc>
        <w:tc>
          <w:tcPr>
            <w:tcW w:w="490" w:type="dxa"/>
            <w:vAlign w:val="top"/>
          </w:tcPr>
          <w:p>
            <w:pPr>
              <w:pStyle w:val="TableText"/>
              <w:ind w:left="131"/>
              <w:spacing w:before="39" w:line="194" w:lineRule="auto"/>
              <w:rPr>
                <w:sz w:val="21"/>
                <w:szCs w:val="21"/>
              </w:rPr>
            </w:pPr>
            <w:r>
              <w:rPr>
                <w:sz w:val="21"/>
                <w:szCs w:val="21"/>
              </w:rPr>
              <w:t>套</w:t>
            </w:r>
          </w:p>
        </w:tc>
        <w:tc>
          <w:tcPr>
            <w:tcW w:w="1749" w:type="dxa"/>
            <w:vAlign w:val="top"/>
          </w:tcPr>
          <w:p>
            <w:pPr>
              <w:pStyle w:val="TableText"/>
              <w:ind w:left="812"/>
              <w:spacing w:before="59" w:line="176"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spacing w:val="43"/>
                <w:w w:val="125"/>
                <w:position w:val="-3"/>
              </w:rPr>
              <w:t>1</w:t>
            </w:r>
          </w:p>
        </w:tc>
        <w:tc>
          <w:tcPr>
            <w:tcW w:w="2178" w:type="dxa"/>
            <w:vAlign w:val="top"/>
          </w:tcPr>
          <w:p>
            <w:pPr>
              <w:pStyle w:val="TableText"/>
              <w:ind w:left="974"/>
              <w:spacing w:before="59" w:line="176"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9" w:line="176" w:lineRule="auto"/>
              <w:rPr>
                <w:sz w:val="21"/>
                <w:szCs w:val="21"/>
              </w:rPr>
            </w:pPr>
            <w:r>
              <w:rPr>
                <w:sz w:val="21"/>
                <w:szCs w:val="21"/>
                <w:spacing w:val="-4"/>
              </w:rPr>
              <w:t>51</w:t>
            </w:r>
          </w:p>
        </w:tc>
        <w:tc>
          <w:tcPr>
            <w:tcW w:w="3148" w:type="dxa"/>
            <w:vAlign w:val="top"/>
          </w:tcPr>
          <w:p>
            <w:pPr>
              <w:pStyle w:val="TableText"/>
              <w:ind w:left="139"/>
              <w:spacing w:before="38" w:line="195" w:lineRule="auto"/>
              <w:rPr>
                <w:sz w:val="21"/>
                <w:szCs w:val="21"/>
              </w:rPr>
            </w:pPr>
            <w:r>
              <w:rPr>
                <w:sz w:val="21"/>
                <w:szCs w:val="21"/>
                <w:spacing w:val="3"/>
              </w:rPr>
              <w:t>胴体立式输送机(双轨、L=12m)</w:t>
            </w:r>
          </w:p>
        </w:tc>
        <w:tc>
          <w:tcPr>
            <w:tcW w:w="490" w:type="dxa"/>
            <w:vAlign w:val="top"/>
          </w:tcPr>
          <w:p>
            <w:pPr>
              <w:pStyle w:val="TableText"/>
              <w:ind w:left="131"/>
              <w:spacing w:before="40" w:line="193" w:lineRule="auto"/>
              <w:rPr>
                <w:sz w:val="21"/>
                <w:szCs w:val="21"/>
              </w:rPr>
            </w:pPr>
            <w:r>
              <w:rPr>
                <w:sz w:val="21"/>
                <w:szCs w:val="21"/>
              </w:rPr>
              <w:t>台</w:t>
            </w:r>
          </w:p>
        </w:tc>
        <w:tc>
          <w:tcPr>
            <w:tcW w:w="1749" w:type="dxa"/>
            <w:vAlign w:val="top"/>
          </w:tcPr>
          <w:p>
            <w:pPr>
              <w:pStyle w:val="TableText"/>
              <w:ind w:left="812"/>
              <w:spacing w:before="59" w:line="176"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5040"/>
                <w:spacing w:val="43"/>
                <w:w w:val="125"/>
                <w:position w:val="-3"/>
              </w:rPr>
              <w:t>1</w:t>
            </w:r>
          </w:p>
        </w:tc>
        <w:tc>
          <w:tcPr>
            <w:tcW w:w="2178" w:type="dxa"/>
            <w:vAlign w:val="top"/>
          </w:tcPr>
          <w:p>
            <w:pPr>
              <w:pStyle w:val="TableText"/>
              <w:ind w:left="974"/>
              <w:spacing w:before="59" w:line="176" w:lineRule="auto"/>
              <w:rPr>
                <w:sz w:val="21"/>
                <w:szCs w:val="21"/>
              </w:rPr>
            </w:pPr>
            <w:r>
              <w:rPr>
                <w:sz w:val="21"/>
                <w:szCs w:val="21"/>
                <w:spacing w:val="-3"/>
              </w:rPr>
              <w:t>+1</w:t>
            </w:r>
          </w:p>
        </w:tc>
        <w:tc>
          <w:tcPr>
            <w:tcW w:w="2498" w:type="dxa"/>
            <w:vAlign w:val="top"/>
            <w:vMerge w:val="continue"/>
            <w:tcBorders>
              <w:top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5" w:hRule="atLeast"/>
        </w:trPr>
        <w:tc>
          <w:tcPr>
            <w:tcW w:w="405" w:type="dxa"/>
            <w:vAlign w:val="top"/>
          </w:tcPr>
          <w:p>
            <w:pPr>
              <w:pStyle w:val="TableText"/>
              <w:ind w:left="85"/>
              <w:spacing w:before="59" w:line="181" w:lineRule="auto"/>
              <w:rPr>
                <w:sz w:val="21"/>
                <w:szCs w:val="21"/>
              </w:rPr>
            </w:pPr>
            <w:r>
              <w:rPr>
                <w:sz w:val="21"/>
                <w:szCs w:val="21"/>
                <w:spacing w:val="-4"/>
              </w:rPr>
              <w:t>52</w:t>
            </w:r>
          </w:p>
        </w:tc>
        <w:tc>
          <w:tcPr>
            <w:tcW w:w="3148" w:type="dxa"/>
            <w:vAlign w:val="top"/>
          </w:tcPr>
          <w:p>
            <w:pPr>
              <w:pStyle w:val="TableText"/>
              <w:ind w:left="1040"/>
              <w:spacing w:before="39" w:line="198" w:lineRule="auto"/>
              <w:rPr>
                <w:sz w:val="21"/>
                <w:szCs w:val="21"/>
              </w:rPr>
            </w:pPr>
            <w:r>
              <w:rPr>
                <w:sz w:val="21"/>
                <w:szCs w:val="21"/>
                <w:spacing w:val="2"/>
              </w:rPr>
              <w:t>自动放血线</w:t>
            </w:r>
          </w:p>
        </w:tc>
        <w:tc>
          <w:tcPr>
            <w:tcW w:w="490" w:type="dxa"/>
            <w:vAlign w:val="top"/>
          </w:tcPr>
          <w:p>
            <w:pPr>
              <w:pStyle w:val="TableText"/>
              <w:ind w:left="131"/>
              <w:spacing w:before="38" w:line="199" w:lineRule="auto"/>
              <w:rPr>
                <w:sz w:val="21"/>
                <w:szCs w:val="21"/>
              </w:rPr>
            </w:pPr>
            <w:r>
              <w:rPr>
                <w:sz w:val="21"/>
                <w:szCs w:val="21"/>
                <w:color w:val="806060"/>
              </w:rPr>
              <w:t>米</w:t>
            </w:r>
          </w:p>
        </w:tc>
        <w:tc>
          <w:tcPr>
            <w:tcW w:w="1749" w:type="dxa"/>
            <w:vAlign w:val="top"/>
          </w:tcPr>
          <w:p>
            <w:pPr>
              <w:pStyle w:val="TableText"/>
              <w:ind w:left="812"/>
              <w:spacing w:before="59" w:line="181" w:lineRule="auto"/>
              <w:rPr>
                <w:sz w:val="21"/>
                <w:szCs w:val="21"/>
              </w:rPr>
            </w:pPr>
            <w:r>
              <w:rPr>
                <w:sz w:val="21"/>
                <w:szCs w:val="21"/>
              </w:rPr>
              <w:t>0</w:t>
            </w:r>
          </w:p>
        </w:tc>
        <w:tc>
          <w:tcPr>
            <w:tcW w:w="2568" w:type="dxa"/>
            <w:vAlign w:val="top"/>
          </w:tcPr>
          <w:p>
            <w:pPr>
              <w:pStyle w:val="TableText"/>
              <w:ind w:left="1173"/>
              <w:spacing w:before="59" w:line="181" w:lineRule="auto"/>
              <w:rPr>
                <w:sz w:val="21"/>
                <w:szCs w:val="21"/>
              </w:rPr>
            </w:pPr>
            <w:r>
              <w:rPr>
                <w:sz w:val="21"/>
                <w:szCs w:val="21"/>
                <w:spacing w:val="-3"/>
              </w:rPr>
              <w:t>66</w:t>
            </w:r>
          </w:p>
        </w:tc>
        <w:tc>
          <w:tcPr>
            <w:tcW w:w="2178" w:type="dxa"/>
            <w:vAlign w:val="top"/>
          </w:tcPr>
          <w:p>
            <w:pPr>
              <w:pStyle w:val="TableText"/>
              <w:ind w:left="925"/>
              <w:spacing w:before="59" w:line="181" w:lineRule="auto"/>
              <w:rPr>
                <w:sz w:val="21"/>
                <w:szCs w:val="21"/>
              </w:rPr>
            </w:pPr>
            <w:r>
              <w:rPr>
                <w:sz w:val="21"/>
                <w:szCs w:val="21"/>
                <w:spacing w:val="-3"/>
              </w:rPr>
              <w:t>+66</w:t>
            </w:r>
          </w:p>
        </w:tc>
        <w:tc>
          <w:tcPr>
            <w:tcW w:w="2498" w:type="dxa"/>
            <w:vAlign w:val="top"/>
          </w:tcPr>
          <w:p>
            <w:pPr>
              <w:pStyle w:val="TableText"/>
              <w:ind w:left="617"/>
              <w:spacing w:before="38" w:line="199" w:lineRule="auto"/>
              <w:rPr>
                <w:sz w:val="21"/>
                <w:szCs w:val="21"/>
              </w:rPr>
            </w:pPr>
            <w:r>
              <w:rPr>
                <w:sz w:val="21"/>
                <w:szCs w:val="21"/>
                <w:spacing w:val="-2"/>
              </w:rPr>
              <w:t>普通水烫区域</w:t>
            </w:r>
          </w:p>
        </w:tc>
        <w:tc>
          <w:tcPr>
            <w:tcW w:w="1104" w:type="dxa"/>
            <w:vAlign w:val="top"/>
            <w:vMerge w:val="continue"/>
            <w:tcBorders>
              <w:top w:val="nil"/>
            </w:tcBorders>
          </w:tcPr>
          <w:p>
            <w:pPr>
              <w:rPr>
                <w:rFonts w:ascii="Arial"/>
                <w:sz w:val="21"/>
              </w:rPr>
            </w:pPr>
            <w:r/>
          </w:p>
        </w:tc>
      </w:tr>
    </w:tbl>
    <w:p>
      <w:pPr>
        <w:pStyle w:val="BodyText"/>
        <w:rPr/>
      </w:pPr>
      <w:r/>
    </w:p>
    <w:p>
      <w:pPr>
        <w:sectPr>
          <w:headerReference w:type="default" r:id="rId218"/>
          <w:footerReference w:type="default" r:id="rId219"/>
          <w:pgSz w:w="16840" w:h="11910"/>
          <w:pgMar w:top="1177" w:right="1354" w:bottom="922" w:left="1334" w:header="885" w:footer="751" w:gutter="0"/>
        </w:sectPr>
        <w:rPr/>
      </w:pPr>
    </w:p>
    <w:p>
      <w:pPr>
        <w:spacing w:before="72"/>
        <w:rPr/>
      </w:pPr>
      <w:r/>
    </w:p>
    <w:p>
      <w:pPr>
        <w:spacing w:before="72"/>
        <w:rPr/>
      </w:pPr>
      <w:r/>
    </w:p>
    <w:tbl>
      <w:tblPr>
        <w:tblStyle w:val="TableNormal"/>
        <w:tblW w:w="1414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05"/>
        <w:gridCol w:w="3148"/>
        <w:gridCol w:w="490"/>
        <w:gridCol w:w="1749"/>
        <w:gridCol w:w="2568"/>
        <w:gridCol w:w="2178"/>
        <w:gridCol w:w="2498"/>
        <w:gridCol w:w="1104"/>
      </w:tblGrid>
      <w:tr>
        <w:trPr>
          <w:trHeight w:val="564" w:hRule="atLeast"/>
        </w:trPr>
        <w:tc>
          <w:tcPr>
            <w:shd w:val="clear" w:fill="BDBDBD"/>
            <w:tcW w:w="405" w:type="dxa"/>
            <w:vAlign w:val="top"/>
            <w:textDirection w:val="tbRlV"/>
          </w:tcPr>
          <w:p>
            <w:pPr>
              <w:pStyle w:val="TableText"/>
              <w:ind w:left="51"/>
              <w:spacing w:before="112" w:line="199" w:lineRule="auto"/>
              <w:rPr>
                <w:sz w:val="21"/>
                <w:szCs w:val="21"/>
              </w:rPr>
            </w:pPr>
            <w:r>
              <w:rPr>
                <w:sz w:val="21"/>
                <w:szCs w:val="21"/>
                <w:b/>
                <w:bCs/>
                <w:spacing w:val="-3"/>
              </w:rPr>
              <w:t>序号</w:t>
            </w:r>
          </w:p>
        </w:tc>
        <w:tc>
          <w:tcPr>
            <w:shd w:val="clear" w:fill="BDBDBD"/>
            <w:tcW w:w="3148" w:type="dxa"/>
            <w:vAlign w:val="top"/>
          </w:tcPr>
          <w:p>
            <w:pPr>
              <w:pStyle w:val="TableText"/>
              <w:ind w:left="1143"/>
              <w:spacing w:before="181" w:line="221" w:lineRule="auto"/>
              <w:rPr>
                <w:sz w:val="21"/>
                <w:szCs w:val="21"/>
              </w:rPr>
            </w:pPr>
            <w:r>
              <w:rPr>
                <w:sz w:val="21"/>
                <w:szCs w:val="21"/>
                <w:b/>
                <w:bCs/>
                <w:spacing w:val="-5"/>
              </w:rPr>
              <w:t>设备名称</w:t>
            </w:r>
          </w:p>
        </w:tc>
        <w:tc>
          <w:tcPr>
            <w:shd w:val="clear" w:fill="BDBDBD"/>
            <w:tcW w:w="490" w:type="dxa"/>
            <w:vAlign w:val="top"/>
          </w:tcPr>
          <w:p>
            <w:pPr>
              <w:pStyle w:val="TableText"/>
              <w:ind w:left="25"/>
              <w:spacing w:before="181" w:line="220" w:lineRule="auto"/>
              <w:rPr>
                <w:sz w:val="21"/>
                <w:szCs w:val="21"/>
              </w:rPr>
            </w:pPr>
            <w:r>
              <w:rPr>
                <w:sz w:val="21"/>
                <w:szCs w:val="21"/>
                <w:b/>
                <w:bCs/>
                <w:spacing w:val="-5"/>
              </w:rPr>
              <w:t>单位</w:t>
            </w:r>
          </w:p>
        </w:tc>
        <w:tc>
          <w:tcPr>
            <w:shd w:val="clear" w:fill="BDBDBD"/>
            <w:tcW w:w="1749" w:type="dxa"/>
            <w:vAlign w:val="top"/>
          </w:tcPr>
          <w:p>
            <w:pPr>
              <w:pStyle w:val="TableText"/>
              <w:ind w:left="25"/>
              <w:spacing w:before="180" w:line="219" w:lineRule="auto"/>
              <w:rPr>
                <w:sz w:val="21"/>
                <w:szCs w:val="21"/>
              </w:rPr>
            </w:pPr>
            <w:r>
              <w:rPr>
                <w:sz w:val="21"/>
                <w:szCs w:val="21"/>
                <w:b/>
                <w:bCs/>
                <w:spacing w:val="-4"/>
              </w:rPr>
              <w:t>现有工程设备数量</w:t>
            </w:r>
          </w:p>
        </w:tc>
        <w:tc>
          <w:tcPr>
            <w:shd w:val="clear" w:fill="BDBDBD"/>
            <w:tcW w:w="2568" w:type="dxa"/>
            <w:vAlign w:val="top"/>
          </w:tcPr>
          <w:p>
            <w:pPr>
              <w:pStyle w:val="TableText"/>
              <w:ind w:left="15"/>
              <w:spacing w:before="179" w:line="219" w:lineRule="auto"/>
              <w:rPr>
                <w:sz w:val="21"/>
                <w:szCs w:val="21"/>
              </w:rPr>
            </w:pPr>
            <w:r>
              <w:rPr>
                <w:sz w:val="21"/>
                <w:szCs w:val="21"/>
                <w:b/>
                <w:bCs/>
                <w:spacing w:val="-3"/>
              </w:rPr>
              <w:t>本项目建成后全厂设备数量</w:t>
            </w:r>
          </w:p>
        </w:tc>
        <w:tc>
          <w:tcPr>
            <w:shd w:val="clear" w:fill="BDBDBD"/>
            <w:tcW w:w="2178" w:type="dxa"/>
            <w:vAlign w:val="top"/>
          </w:tcPr>
          <w:p>
            <w:pPr>
              <w:pStyle w:val="TableText"/>
              <w:ind w:left="37"/>
              <w:spacing w:before="180" w:line="219" w:lineRule="auto"/>
              <w:rPr>
                <w:sz w:val="21"/>
                <w:szCs w:val="21"/>
              </w:rPr>
            </w:pPr>
            <w:r>
              <w:rPr>
                <w:sz w:val="21"/>
                <w:szCs w:val="21"/>
                <w:b/>
                <w:bCs/>
                <w:spacing w:val="-4"/>
              </w:rPr>
              <w:t>项目设备数量变化情况</w:t>
            </w:r>
          </w:p>
        </w:tc>
        <w:tc>
          <w:tcPr>
            <w:shd w:val="clear" w:fill="BDBDBD"/>
            <w:tcW w:w="2498" w:type="dxa"/>
            <w:vAlign w:val="top"/>
          </w:tcPr>
          <w:p>
            <w:pPr>
              <w:pStyle w:val="TableText"/>
              <w:ind w:left="1040"/>
              <w:spacing w:before="181" w:line="221" w:lineRule="auto"/>
              <w:rPr>
                <w:sz w:val="21"/>
                <w:szCs w:val="21"/>
              </w:rPr>
            </w:pPr>
            <w:r>
              <w:rPr>
                <w:sz w:val="21"/>
                <w:szCs w:val="21"/>
                <w:b/>
                <w:bCs/>
                <w:spacing w:val="-5"/>
              </w:rPr>
              <w:t>用途</w:t>
            </w:r>
          </w:p>
        </w:tc>
        <w:tc>
          <w:tcPr>
            <w:shd w:val="clear" w:fill="BDBDBD"/>
            <w:tcW w:w="1104" w:type="dxa"/>
            <w:vAlign w:val="top"/>
          </w:tcPr>
          <w:p>
            <w:pPr>
              <w:pStyle w:val="TableText"/>
              <w:ind w:left="351"/>
              <w:spacing w:before="181" w:line="221" w:lineRule="auto"/>
              <w:rPr>
                <w:sz w:val="21"/>
                <w:szCs w:val="21"/>
              </w:rPr>
            </w:pPr>
            <w:r>
              <w:rPr>
                <w:sz w:val="21"/>
                <w:szCs w:val="21"/>
                <w:b/>
                <w:bCs/>
                <w:spacing w:val="-5"/>
              </w:rPr>
              <w:t>备注</w:t>
            </w:r>
          </w:p>
        </w:tc>
      </w:tr>
      <w:tr>
        <w:trPr>
          <w:trHeight w:val="270" w:hRule="atLeast"/>
        </w:trPr>
        <w:tc>
          <w:tcPr>
            <w:tcW w:w="405" w:type="dxa"/>
            <w:vAlign w:val="top"/>
          </w:tcPr>
          <w:p>
            <w:pPr>
              <w:pStyle w:val="TableText"/>
              <w:ind w:left="85"/>
              <w:spacing w:before="50" w:line="184" w:lineRule="auto"/>
              <w:rPr>
                <w:sz w:val="21"/>
                <w:szCs w:val="21"/>
              </w:rPr>
            </w:pPr>
            <w:r>
              <w:rPr>
                <w:sz w:val="21"/>
                <w:szCs w:val="21"/>
                <w:spacing w:val="-4"/>
              </w:rPr>
              <w:t>53</w:t>
            </w:r>
          </w:p>
        </w:tc>
        <w:tc>
          <w:tcPr>
            <w:tcW w:w="3148" w:type="dxa"/>
            <w:vAlign w:val="top"/>
          </w:tcPr>
          <w:p>
            <w:pPr>
              <w:pStyle w:val="TableText"/>
              <w:ind w:left="1140"/>
              <w:spacing w:before="30" w:line="202" w:lineRule="auto"/>
              <w:rPr>
                <w:sz w:val="21"/>
                <w:szCs w:val="21"/>
              </w:rPr>
            </w:pPr>
            <w:r>
              <w:rPr>
                <w:sz w:val="21"/>
                <w:szCs w:val="21"/>
                <w:spacing w:val="-3"/>
              </w:rPr>
              <w:t>驱动装置</w:t>
            </w:r>
          </w:p>
        </w:tc>
        <w:tc>
          <w:tcPr>
            <w:tcW w:w="490" w:type="dxa"/>
            <w:vAlign w:val="top"/>
          </w:tcPr>
          <w:p>
            <w:pPr>
              <w:pStyle w:val="TableText"/>
              <w:ind w:left="131"/>
              <w:spacing w:before="31" w:line="201" w:lineRule="auto"/>
              <w:rPr>
                <w:sz w:val="21"/>
                <w:szCs w:val="21"/>
              </w:rPr>
            </w:pPr>
            <w:r>
              <w:rPr>
                <w:sz w:val="21"/>
                <w:szCs w:val="21"/>
              </w:rPr>
              <w:t>台</w:t>
            </w:r>
          </w:p>
        </w:tc>
        <w:tc>
          <w:tcPr>
            <w:tcW w:w="1749" w:type="dxa"/>
            <w:vAlign w:val="top"/>
          </w:tcPr>
          <w:p>
            <w:pPr>
              <w:pStyle w:val="TableText"/>
              <w:ind w:left="812"/>
              <w:spacing w:before="50" w:line="184"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5040"/>
                <w:spacing w:val="34"/>
                <w:w w:val="125"/>
                <w:position w:val="-3"/>
              </w:rPr>
              <w:t>1</w:t>
            </w:r>
          </w:p>
        </w:tc>
        <w:tc>
          <w:tcPr>
            <w:tcW w:w="2178" w:type="dxa"/>
            <w:vAlign w:val="top"/>
          </w:tcPr>
          <w:p>
            <w:pPr>
              <w:pStyle w:val="TableText"/>
              <w:ind w:left="974"/>
              <w:spacing w:before="50" w:line="184" w:lineRule="auto"/>
              <w:rPr>
                <w:sz w:val="21"/>
                <w:szCs w:val="21"/>
              </w:rPr>
            </w:pPr>
            <w:r>
              <w:rPr>
                <w:sz w:val="21"/>
                <w:szCs w:val="21"/>
                <w:spacing w:val="-3"/>
              </w:rPr>
              <w:t>+1</w:t>
            </w:r>
          </w:p>
        </w:tc>
        <w:tc>
          <w:tcPr>
            <w:tcW w:w="2498" w:type="dxa"/>
            <w:vAlign w:val="top"/>
            <w:vMerge w:val="restart"/>
            <w:tcBorders>
              <w:bottom w:val="nil"/>
            </w:tcBorders>
          </w:tcPr>
          <w:p>
            <w:pPr>
              <w:rPr>
                <w:rFonts w:ascii="Arial"/>
                <w:sz w:val="21"/>
              </w:rPr>
            </w:pPr>
            <w:r/>
          </w:p>
        </w:tc>
        <w:tc>
          <w:tcPr>
            <w:tcW w:w="1104" w:type="dxa"/>
            <w:vAlign w:val="top"/>
            <w:vMerge w:val="restart"/>
            <w:tcBorders>
              <w:bottom w:val="nil"/>
            </w:tcBorders>
          </w:tcPr>
          <w:p>
            <w:pPr>
              <w:rPr>
                <w:rFonts w:ascii="Arial"/>
                <w:sz w:val="21"/>
              </w:rPr>
            </w:pPr>
            <w:r/>
          </w:p>
        </w:tc>
      </w:tr>
      <w:tr>
        <w:trPr>
          <w:trHeight w:val="270" w:hRule="atLeast"/>
        </w:trPr>
        <w:tc>
          <w:tcPr>
            <w:tcW w:w="405" w:type="dxa"/>
            <w:vAlign w:val="top"/>
          </w:tcPr>
          <w:p>
            <w:pPr>
              <w:pStyle w:val="TableText"/>
              <w:ind w:left="85"/>
              <w:spacing w:before="50" w:line="184" w:lineRule="auto"/>
              <w:rPr>
                <w:sz w:val="21"/>
                <w:szCs w:val="21"/>
              </w:rPr>
            </w:pPr>
            <w:r>
              <w:rPr>
                <w:sz w:val="21"/>
                <w:szCs w:val="21"/>
                <w:spacing w:val="-4"/>
              </w:rPr>
              <w:t>54</w:t>
            </w:r>
          </w:p>
        </w:tc>
        <w:tc>
          <w:tcPr>
            <w:tcW w:w="3148" w:type="dxa"/>
            <w:vAlign w:val="top"/>
          </w:tcPr>
          <w:p>
            <w:pPr>
              <w:pStyle w:val="TableText"/>
              <w:ind w:left="1140"/>
              <w:spacing w:before="29" w:line="203" w:lineRule="auto"/>
              <w:rPr>
                <w:sz w:val="21"/>
                <w:szCs w:val="21"/>
              </w:rPr>
            </w:pPr>
            <w:r>
              <w:rPr>
                <w:sz w:val="21"/>
                <w:szCs w:val="21"/>
                <w:spacing w:val="-2"/>
              </w:rPr>
              <w:t>涨紧装置</w:t>
            </w:r>
          </w:p>
        </w:tc>
        <w:tc>
          <w:tcPr>
            <w:tcW w:w="490" w:type="dxa"/>
            <w:vAlign w:val="top"/>
          </w:tcPr>
          <w:p>
            <w:pPr>
              <w:pStyle w:val="TableText"/>
              <w:ind w:left="131"/>
              <w:spacing w:before="31" w:line="201" w:lineRule="auto"/>
              <w:rPr>
                <w:sz w:val="21"/>
                <w:szCs w:val="21"/>
              </w:rPr>
            </w:pPr>
            <w:r>
              <w:rPr>
                <w:sz w:val="21"/>
                <w:szCs w:val="21"/>
              </w:rPr>
              <w:t>台</w:t>
            </w:r>
          </w:p>
        </w:tc>
        <w:tc>
          <w:tcPr>
            <w:tcW w:w="1749" w:type="dxa"/>
            <w:vAlign w:val="top"/>
          </w:tcPr>
          <w:p>
            <w:pPr>
              <w:pStyle w:val="TableText"/>
              <w:ind w:left="812"/>
              <w:spacing w:before="50" w:line="184"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404040"/>
                <w:spacing w:val="34"/>
                <w:w w:val="125"/>
                <w:position w:val="-3"/>
              </w:rPr>
              <w:t>1</w:t>
            </w:r>
          </w:p>
        </w:tc>
        <w:tc>
          <w:tcPr>
            <w:tcW w:w="2178" w:type="dxa"/>
            <w:vAlign w:val="top"/>
          </w:tcPr>
          <w:p>
            <w:pPr>
              <w:pStyle w:val="TableText"/>
              <w:ind w:left="974"/>
              <w:spacing w:before="50" w:line="184"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50" w:hRule="atLeast"/>
        </w:trPr>
        <w:tc>
          <w:tcPr>
            <w:tcW w:w="405" w:type="dxa"/>
            <w:vAlign w:val="top"/>
          </w:tcPr>
          <w:p>
            <w:pPr>
              <w:pStyle w:val="TableText"/>
              <w:ind w:left="85"/>
              <w:spacing w:before="40" w:line="175" w:lineRule="auto"/>
              <w:rPr>
                <w:sz w:val="21"/>
                <w:szCs w:val="21"/>
              </w:rPr>
            </w:pPr>
            <w:r>
              <w:rPr>
                <w:sz w:val="21"/>
                <w:szCs w:val="21"/>
                <w:spacing w:val="-4"/>
              </w:rPr>
              <w:t>55</w:t>
            </w:r>
          </w:p>
        </w:tc>
        <w:tc>
          <w:tcPr>
            <w:tcW w:w="3148" w:type="dxa"/>
            <w:vAlign w:val="top"/>
          </w:tcPr>
          <w:p>
            <w:pPr>
              <w:pStyle w:val="TableText"/>
              <w:ind w:left="1250"/>
              <w:spacing w:before="20" w:line="193" w:lineRule="auto"/>
              <w:rPr>
                <w:sz w:val="21"/>
                <w:szCs w:val="21"/>
              </w:rPr>
            </w:pPr>
            <w:r>
              <w:rPr>
                <w:sz w:val="21"/>
                <w:szCs w:val="21"/>
                <w:spacing w:val="3"/>
              </w:rPr>
              <w:t>卸猪器</w:t>
            </w:r>
          </w:p>
        </w:tc>
        <w:tc>
          <w:tcPr>
            <w:tcW w:w="490" w:type="dxa"/>
            <w:vAlign w:val="top"/>
          </w:tcPr>
          <w:p>
            <w:pPr>
              <w:pStyle w:val="TableText"/>
              <w:ind w:left="131"/>
              <w:spacing w:before="21" w:line="192" w:lineRule="auto"/>
              <w:rPr>
                <w:sz w:val="21"/>
                <w:szCs w:val="21"/>
              </w:rPr>
            </w:pPr>
            <w:r>
              <w:rPr>
                <w:sz w:val="21"/>
                <w:szCs w:val="21"/>
              </w:rPr>
              <w:t>台</w:t>
            </w:r>
          </w:p>
        </w:tc>
        <w:tc>
          <w:tcPr>
            <w:tcW w:w="1749" w:type="dxa"/>
            <w:vAlign w:val="top"/>
          </w:tcPr>
          <w:p>
            <w:pPr>
              <w:pStyle w:val="TableText"/>
              <w:ind w:left="812"/>
              <w:spacing w:before="40" w:line="175"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4040"/>
                <w:spacing w:val="26"/>
                <w:w w:val="123"/>
                <w:position w:val="-3"/>
              </w:rPr>
              <w:t>1</w:t>
            </w:r>
          </w:p>
        </w:tc>
        <w:tc>
          <w:tcPr>
            <w:tcW w:w="2178" w:type="dxa"/>
            <w:vAlign w:val="top"/>
          </w:tcPr>
          <w:p>
            <w:pPr>
              <w:pStyle w:val="TableText"/>
              <w:ind w:left="974"/>
              <w:spacing w:before="40" w:line="175"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0" w:line="183" w:lineRule="auto"/>
              <w:rPr>
                <w:sz w:val="21"/>
                <w:szCs w:val="21"/>
              </w:rPr>
            </w:pPr>
            <w:r>
              <w:rPr>
                <w:sz w:val="21"/>
                <w:szCs w:val="21"/>
                <w:spacing w:val="-4"/>
              </w:rPr>
              <w:t>56</w:t>
            </w:r>
          </w:p>
        </w:tc>
        <w:tc>
          <w:tcPr>
            <w:tcW w:w="3148" w:type="dxa"/>
            <w:vAlign w:val="top"/>
          </w:tcPr>
          <w:p>
            <w:pPr>
              <w:pStyle w:val="TableText"/>
              <w:ind w:left="1350"/>
              <w:spacing w:before="41" w:line="200" w:lineRule="auto"/>
              <w:rPr>
                <w:sz w:val="21"/>
                <w:szCs w:val="21"/>
              </w:rPr>
            </w:pPr>
            <w:r>
              <w:rPr>
                <w:sz w:val="21"/>
                <w:szCs w:val="21"/>
                <w:color w:val="404040"/>
                <w:spacing w:val="4"/>
              </w:rPr>
              <w:t>烫池</w:t>
            </w:r>
          </w:p>
        </w:tc>
        <w:tc>
          <w:tcPr>
            <w:tcW w:w="490" w:type="dxa"/>
            <w:vAlign w:val="top"/>
          </w:tcPr>
          <w:p>
            <w:pPr>
              <w:pStyle w:val="TableText"/>
              <w:ind w:left="131"/>
              <w:spacing w:before="39" w:line="202" w:lineRule="auto"/>
              <w:rPr>
                <w:sz w:val="21"/>
                <w:szCs w:val="21"/>
              </w:rPr>
            </w:pPr>
            <w:r>
              <w:rPr>
                <w:sz w:val="21"/>
                <w:szCs w:val="21"/>
              </w:rPr>
              <w:t>个</w:t>
            </w:r>
          </w:p>
        </w:tc>
        <w:tc>
          <w:tcPr>
            <w:tcW w:w="1749" w:type="dxa"/>
            <w:vAlign w:val="top"/>
          </w:tcPr>
          <w:p>
            <w:pPr>
              <w:pStyle w:val="TableText"/>
              <w:ind w:left="812"/>
              <w:spacing w:before="60" w:line="183"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5040"/>
                <w:spacing w:val="44"/>
                <w:w w:val="125"/>
                <w:position w:val="-3"/>
              </w:rPr>
              <w:t>1</w:t>
            </w:r>
          </w:p>
        </w:tc>
        <w:tc>
          <w:tcPr>
            <w:tcW w:w="2178" w:type="dxa"/>
            <w:vAlign w:val="top"/>
          </w:tcPr>
          <w:p>
            <w:pPr>
              <w:pStyle w:val="TableText"/>
              <w:ind w:left="974"/>
              <w:spacing w:before="60" w:line="183"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1" w:line="183" w:lineRule="auto"/>
              <w:rPr>
                <w:sz w:val="21"/>
                <w:szCs w:val="21"/>
              </w:rPr>
            </w:pPr>
            <w:r>
              <w:rPr>
                <w:sz w:val="21"/>
                <w:szCs w:val="21"/>
                <w:spacing w:val="-4"/>
              </w:rPr>
              <w:t>57</w:t>
            </w:r>
          </w:p>
        </w:tc>
        <w:tc>
          <w:tcPr>
            <w:tcW w:w="3148" w:type="dxa"/>
            <w:vAlign w:val="top"/>
          </w:tcPr>
          <w:p>
            <w:pPr>
              <w:pStyle w:val="TableText"/>
              <w:ind w:left="769"/>
              <w:spacing w:before="30" w:line="202" w:lineRule="auto"/>
              <w:rPr>
                <w:sz w:val="21"/>
                <w:szCs w:val="21"/>
              </w:rPr>
            </w:pPr>
            <w:r>
              <w:rPr>
                <w:sz w:val="21"/>
                <w:szCs w:val="21"/>
                <w:spacing w:val="1"/>
              </w:rPr>
              <w:t>400型液压刨毛机</w:t>
            </w:r>
          </w:p>
        </w:tc>
        <w:tc>
          <w:tcPr>
            <w:tcW w:w="490" w:type="dxa"/>
            <w:vAlign w:val="top"/>
          </w:tcPr>
          <w:p>
            <w:pPr>
              <w:pStyle w:val="TableText"/>
              <w:ind w:left="131"/>
              <w:spacing w:before="32" w:line="200" w:lineRule="auto"/>
              <w:rPr>
                <w:sz w:val="21"/>
                <w:szCs w:val="21"/>
              </w:rPr>
            </w:pPr>
            <w:r>
              <w:rPr>
                <w:sz w:val="21"/>
                <w:szCs w:val="21"/>
              </w:rPr>
              <w:t>台</w:t>
            </w:r>
          </w:p>
        </w:tc>
        <w:tc>
          <w:tcPr>
            <w:tcW w:w="1749" w:type="dxa"/>
            <w:vAlign w:val="top"/>
          </w:tcPr>
          <w:p>
            <w:pPr>
              <w:pStyle w:val="TableText"/>
              <w:ind w:left="812"/>
              <w:spacing w:before="51" w:line="183"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4040"/>
                <w:spacing w:val="35"/>
                <w:w w:val="125"/>
                <w:position w:val="-3"/>
              </w:rPr>
              <w:t>1</w:t>
            </w:r>
          </w:p>
        </w:tc>
        <w:tc>
          <w:tcPr>
            <w:tcW w:w="2178" w:type="dxa"/>
            <w:vAlign w:val="top"/>
          </w:tcPr>
          <w:p>
            <w:pPr>
              <w:pStyle w:val="TableText"/>
              <w:ind w:left="974"/>
              <w:spacing w:before="51" w:line="183"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1" w:line="183" w:lineRule="auto"/>
              <w:rPr>
                <w:sz w:val="21"/>
                <w:szCs w:val="21"/>
              </w:rPr>
            </w:pPr>
            <w:r>
              <w:rPr>
                <w:sz w:val="21"/>
                <w:szCs w:val="21"/>
                <w:spacing w:val="-4"/>
              </w:rPr>
              <w:t>58</w:t>
            </w:r>
          </w:p>
        </w:tc>
        <w:tc>
          <w:tcPr>
            <w:tcW w:w="3148" w:type="dxa"/>
            <w:vAlign w:val="top"/>
          </w:tcPr>
          <w:p>
            <w:pPr>
              <w:pStyle w:val="TableText"/>
              <w:ind w:left="1250"/>
              <w:spacing w:before="30" w:line="202" w:lineRule="auto"/>
              <w:rPr>
                <w:sz w:val="21"/>
                <w:szCs w:val="21"/>
              </w:rPr>
            </w:pPr>
            <w:r>
              <w:rPr>
                <w:sz w:val="21"/>
                <w:szCs w:val="21"/>
                <w:color w:val="404040"/>
                <w:spacing w:val="-2"/>
              </w:rPr>
              <w:t>清水池</w:t>
            </w:r>
          </w:p>
        </w:tc>
        <w:tc>
          <w:tcPr>
            <w:tcW w:w="490" w:type="dxa"/>
            <w:vAlign w:val="top"/>
          </w:tcPr>
          <w:p>
            <w:pPr>
              <w:pStyle w:val="TableText"/>
              <w:ind w:left="131"/>
              <w:spacing w:before="30" w:line="202" w:lineRule="auto"/>
              <w:rPr>
                <w:sz w:val="21"/>
                <w:szCs w:val="21"/>
              </w:rPr>
            </w:pPr>
            <w:r>
              <w:rPr>
                <w:sz w:val="21"/>
                <w:szCs w:val="21"/>
              </w:rPr>
              <w:t>个</w:t>
            </w:r>
          </w:p>
        </w:tc>
        <w:tc>
          <w:tcPr>
            <w:tcW w:w="1749" w:type="dxa"/>
            <w:vAlign w:val="top"/>
          </w:tcPr>
          <w:p>
            <w:pPr>
              <w:pStyle w:val="TableText"/>
              <w:ind w:left="812"/>
              <w:spacing w:before="51" w:line="183"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5040"/>
                <w:spacing w:val="35"/>
                <w:w w:val="125"/>
                <w:position w:val="-3"/>
              </w:rPr>
              <w:t>1</w:t>
            </w:r>
          </w:p>
        </w:tc>
        <w:tc>
          <w:tcPr>
            <w:tcW w:w="2178" w:type="dxa"/>
            <w:vAlign w:val="top"/>
          </w:tcPr>
          <w:p>
            <w:pPr>
              <w:pStyle w:val="TableText"/>
              <w:ind w:left="974"/>
              <w:spacing w:before="51" w:line="183"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1" w:line="182" w:lineRule="auto"/>
              <w:rPr>
                <w:sz w:val="21"/>
                <w:szCs w:val="21"/>
              </w:rPr>
            </w:pPr>
            <w:r>
              <w:rPr>
                <w:sz w:val="21"/>
                <w:szCs w:val="21"/>
                <w:spacing w:val="-4"/>
              </w:rPr>
              <w:t>59</w:t>
            </w:r>
          </w:p>
        </w:tc>
        <w:tc>
          <w:tcPr>
            <w:tcW w:w="3148" w:type="dxa"/>
            <w:vAlign w:val="top"/>
          </w:tcPr>
          <w:p>
            <w:pPr>
              <w:pStyle w:val="TableText"/>
              <w:ind w:left="719"/>
              <w:spacing w:before="39" w:line="202" w:lineRule="auto"/>
              <w:rPr>
                <w:sz w:val="21"/>
                <w:szCs w:val="21"/>
              </w:rPr>
            </w:pPr>
            <w:r>
              <w:rPr>
                <w:sz w:val="21"/>
                <w:szCs w:val="21"/>
                <w:spacing w:val="5"/>
              </w:rPr>
              <w:t>白条提升机(双轨)</w:t>
            </w:r>
          </w:p>
        </w:tc>
        <w:tc>
          <w:tcPr>
            <w:tcW w:w="490" w:type="dxa"/>
            <w:vAlign w:val="top"/>
          </w:tcPr>
          <w:p>
            <w:pPr>
              <w:pStyle w:val="TableText"/>
              <w:ind w:left="131"/>
              <w:spacing w:before="42" w:line="199" w:lineRule="auto"/>
              <w:rPr>
                <w:sz w:val="21"/>
                <w:szCs w:val="21"/>
              </w:rPr>
            </w:pPr>
            <w:r>
              <w:rPr>
                <w:sz w:val="21"/>
                <w:szCs w:val="21"/>
              </w:rPr>
              <w:t>台</w:t>
            </w:r>
          </w:p>
        </w:tc>
        <w:tc>
          <w:tcPr>
            <w:tcW w:w="1749" w:type="dxa"/>
            <w:vAlign w:val="top"/>
          </w:tcPr>
          <w:p>
            <w:pPr>
              <w:pStyle w:val="TableText"/>
              <w:ind w:left="812"/>
              <w:spacing w:before="61" w:line="182"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404030"/>
                <w:spacing w:val="45"/>
                <w:w w:val="125"/>
                <w:position w:val="-3"/>
              </w:rPr>
              <w:t>1</w:t>
            </w:r>
          </w:p>
        </w:tc>
        <w:tc>
          <w:tcPr>
            <w:tcW w:w="2178" w:type="dxa"/>
            <w:vAlign w:val="top"/>
          </w:tcPr>
          <w:p>
            <w:pPr>
              <w:pStyle w:val="TableText"/>
              <w:ind w:left="974"/>
              <w:spacing w:before="61" w:line="182" w:lineRule="auto"/>
              <w:rPr>
                <w:sz w:val="21"/>
                <w:szCs w:val="21"/>
              </w:rPr>
            </w:pPr>
            <w:r>
              <w:rPr>
                <w:sz w:val="21"/>
                <w:szCs w:val="21"/>
                <w:spacing w:val="-3"/>
              </w:rPr>
              <w:t>+1</w:t>
            </w:r>
          </w:p>
        </w:tc>
        <w:tc>
          <w:tcPr>
            <w:tcW w:w="2498" w:type="dxa"/>
            <w:vAlign w:val="top"/>
            <w:vMerge w:val="continue"/>
            <w:tcBorders>
              <w:top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2" w:line="182" w:lineRule="auto"/>
              <w:rPr>
                <w:sz w:val="21"/>
                <w:szCs w:val="21"/>
              </w:rPr>
            </w:pPr>
            <w:r>
              <w:rPr>
                <w:sz w:val="21"/>
                <w:szCs w:val="21"/>
                <w:spacing w:val="-3"/>
              </w:rPr>
              <w:t>60</w:t>
            </w:r>
          </w:p>
        </w:tc>
        <w:tc>
          <w:tcPr>
            <w:tcW w:w="3148" w:type="dxa"/>
            <w:vAlign w:val="top"/>
          </w:tcPr>
          <w:p>
            <w:pPr>
              <w:pStyle w:val="TableText"/>
              <w:ind w:left="620"/>
              <w:spacing w:before="32" w:line="200" w:lineRule="auto"/>
              <w:rPr>
                <w:sz w:val="21"/>
                <w:szCs w:val="21"/>
              </w:rPr>
            </w:pPr>
            <w:r>
              <w:rPr>
                <w:sz w:val="21"/>
                <w:szCs w:val="21"/>
                <w:spacing w:val="4"/>
              </w:rPr>
              <w:t>气动喂入装置(双轨)</w:t>
            </w:r>
          </w:p>
        </w:tc>
        <w:tc>
          <w:tcPr>
            <w:tcW w:w="490" w:type="dxa"/>
            <w:vAlign w:val="top"/>
          </w:tcPr>
          <w:p>
            <w:pPr>
              <w:pStyle w:val="TableText"/>
              <w:ind w:left="131"/>
              <w:spacing w:before="32" w:line="200" w:lineRule="auto"/>
              <w:rPr>
                <w:sz w:val="21"/>
                <w:szCs w:val="21"/>
              </w:rPr>
            </w:pPr>
            <w:r>
              <w:rPr>
                <w:sz w:val="21"/>
                <w:szCs w:val="21"/>
                <w:color w:val="504040"/>
              </w:rPr>
              <w:t>套</w:t>
            </w:r>
          </w:p>
        </w:tc>
        <w:tc>
          <w:tcPr>
            <w:tcW w:w="1749" w:type="dxa"/>
            <w:vAlign w:val="top"/>
          </w:tcPr>
          <w:p>
            <w:pPr>
              <w:pStyle w:val="TableText"/>
              <w:ind w:left="812"/>
              <w:spacing w:before="52" w:line="182"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spacing w:val="36"/>
                <w:w w:val="125"/>
                <w:position w:val="-3"/>
              </w:rPr>
              <w:t>1</w:t>
            </w:r>
          </w:p>
        </w:tc>
        <w:tc>
          <w:tcPr>
            <w:tcW w:w="2178" w:type="dxa"/>
            <w:vAlign w:val="top"/>
          </w:tcPr>
          <w:p>
            <w:pPr>
              <w:pStyle w:val="TableText"/>
              <w:ind w:left="974"/>
              <w:spacing w:before="52" w:line="182" w:lineRule="auto"/>
              <w:rPr>
                <w:sz w:val="21"/>
                <w:szCs w:val="21"/>
              </w:rPr>
            </w:pPr>
            <w:r>
              <w:rPr>
                <w:sz w:val="21"/>
                <w:szCs w:val="21"/>
                <w:spacing w:val="-3"/>
              </w:rPr>
              <w:t>+1</w:t>
            </w:r>
          </w:p>
        </w:tc>
        <w:tc>
          <w:tcPr>
            <w:tcW w:w="2498" w:type="dxa"/>
            <w:vAlign w:val="top"/>
            <w:vMerge w:val="restart"/>
            <w:tcBorders>
              <w:bottom w:val="nil"/>
            </w:tcBorders>
          </w:tcPr>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pStyle w:val="TableText"/>
              <w:ind w:left="617"/>
              <w:spacing w:before="69" w:line="220" w:lineRule="auto"/>
              <w:rPr>
                <w:sz w:val="21"/>
                <w:szCs w:val="21"/>
              </w:rPr>
            </w:pPr>
            <w:r>
              <w:rPr>
                <w:sz w:val="21"/>
                <w:szCs w:val="21"/>
                <w:spacing w:val="-2"/>
              </w:rPr>
              <w:t>胴体加工区域</w:t>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3" w:line="181" w:lineRule="auto"/>
              <w:rPr>
                <w:sz w:val="21"/>
                <w:szCs w:val="21"/>
              </w:rPr>
            </w:pPr>
            <w:r>
              <w:rPr>
                <w:sz w:val="21"/>
                <w:szCs w:val="21"/>
                <w:spacing w:val="-3"/>
              </w:rPr>
              <w:t>61</w:t>
            </w:r>
          </w:p>
        </w:tc>
        <w:tc>
          <w:tcPr>
            <w:tcW w:w="3148" w:type="dxa"/>
            <w:vAlign w:val="top"/>
          </w:tcPr>
          <w:p>
            <w:pPr>
              <w:pStyle w:val="TableText"/>
              <w:ind w:left="299"/>
              <w:spacing w:before="42" w:line="199" w:lineRule="auto"/>
              <w:rPr>
                <w:sz w:val="21"/>
                <w:szCs w:val="21"/>
              </w:rPr>
            </w:pPr>
            <w:r>
              <w:rPr>
                <w:sz w:val="21"/>
                <w:szCs w:val="21"/>
                <w:spacing w:val="3"/>
              </w:rPr>
              <w:t>欧式胴体加工自动线(双轨)</w:t>
            </w:r>
          </w:p>
        </w:tc>
        <w:tc>
          <w:tcPr>
            <w:tcW w:w="490" w:type="dxa"/>
            <w:vAlign w:val="top"/>
          </w:tcPr>
          <w:p>
            <w:pPr>
              <w:pStyle w:val="TableText"/>
              <w:ind w:left="131"/>
              <w:spacing w:before="41" w:line="200" w:lineRule="auto"/>
              <w:rPr>
                <w:sz w:val="21"/>
                <w:szCs w:val="21"/>
              </w:rPr>
            </w:pPr>
            <w:r>
              <w:rPr>
                <w:sz w:val="21"/>
                <w:szCs w:val="21"/>
              </w:rPr>
              <w:t>米</w:t>
            </w:r>
          </w:p>
        </w:tc>
        <w:tc>
          <w:tcPr>
            <w:tcW w:w="1749" w:type="dxa"/>
            <w:vAlign w:val="top"/>
          </w:tcPr>
          <w:p>
            <w:pPr>
              <w:pStyle w:val="TableText"/>
              <w:ind w:left="812"/>
              <w:spacing w:before="63" w:line="181" w:lineRule="auto"/>
              <w:rPr>
                <w:sz w:val="21"/>
                <w:szCs w:val="21"/>
              </w:rPr>
            </w:pPr>
            <w:r>
              <w:rPr>
                <w:sz w:val="21"/>
                <w:szCs w:val="21"/>
              </w:rPr>
              <w:t>0</w:t>
            </w:r>
          </w:p>
        </w:tc>
        <w:tc>
          <w:tcPr>
            <w:tcW w:w="2568" w:type="dxa"/>
            <w:vAlign w:val="top"/>
          </w:tcPr>
          <w:p>
            <w:pPr>
              <w:pStyle w:val="TableText"/>
              <w:ind w:left="1173"/>
              <w:spacing w:before="63" w:line="181" w:lineRule="auto"/>
              <w:rPr>
                <w:sz w:val="21"/>
                <w:szCs w:val="21"/>
              </w:rPr>
            </w:pPr>
            <w:r>
              <w:rPr>
                <w:sz w:val="21"/>
                <w:szCs w:val="21"/>
                <w:color w:val="606060"/>
                <w:spacing w:val="-2"/>
              </w:rPr>
              <w:t>44</w:t>
            </w:r>
          </w:p>
        </w:tc>
        <w:tc>
          <w:tcPr>
            <w:tcW w:w="2178" w:type="dxa"/>
            <w:vAlign w:val="top"/>
          </w:tcPr>
          <w:p>
            <w:pPr>
              <w:pStyle w:val="TableText"/>
              <w:ind w:left="925"/>
              <w:spacing w:before="63" w:line="181" w:lineRule="auto"/>
              <w:rPr>
                <w:sz w:val="21"/>
                <w:szCs w:val="21"/>
              </w:rPr>
            </w:pPr>
            <w:r>
              <w:rPr>
                <w:sz w:val="21"/>
                <w:szCs w:val="21"/>
                <w:spacing w:val="-3"/>
              </w:rPr>
              <w:t>+44</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4" w:line="181" w:lineRule="auto"/>
              <w:rPr>
                <w:sz w:val="21"/>
                <w:szCs w:val="21"/>
              </w:rPr>
            </w:pPr>
            <w:r>
              <w:rPr>
                <w:sz w:val="21"/>
                <w:szCs w:val="21"/>
                <w:spacing w:val="-3"/>
              </w:rPr>
              <w:t>62</w:t>
            </w:r>
          </w:p>
        </w:tc>
        <w:tc>
          <w:tcPr>
            <w:tcW w:w="3148" w:type="dxa"/>
            <w:vAlign w:val="top"/>
          </w:tcPr>
          <w:p>
            <w:pPr>
              <w:pStyle w:val="TableText"/>
              <w:ind w:left="1140"/>
              <w:spacing w:before="33" w:line="199" w:lineRule="auto"/>
              <w:rPr>
                <w:sz w:val="21"/>
                <w:szCs w:val="21"/>
              </w:rPr>
            </w:pPr>
            <w:r>
              <w:rPr>
                <w:sz w:val="21"/>
                <w:szCs w:val="21"/>
                <w:spacing w:val="-3"/>
              </w:rPr>
              <w:t>驱动装置</w:t>
            </w:r>
          </w:p>
        </w:tc>
        <w:tc>
          <w:tcPr>
            <w:tcW w:w="490" w:type="dxa"/>
            <w:vAlign w:val="top"/>
          </w:tcPr>
          <w:p>
            <w:pPr>
              <w:pStyle w:val="TableText"/>
              <w:ind w:left="131"/>
              <w:spacing w:before="34" w:line="198" w:lineRule="auto"/>
              <w:rPr>
                <w:sz w:val="21"/>
                <w:szCs w:val="21"/>
              </w:rPr>
            </w:pPr>
            <w:r>
              <w:rPr>
                <w:sz w:val="21"/>
                <w:szCs w:val="21"/>
              </w:rPr>
              <w:t>台</w:t>
            </w:r>
          </w:p>
        </w:tc>
        <w:tc>
          <w:tcPr>
            <w:tcW w:w="1749" w:type="dxa"/>
            <w:vAlign w:val="top"/>
          </w:tcPr>
          <w:p>
            <w:pPr>
              <w:pStyle w:val="TableText"/>
              <w:ind w:left="812"/>
              <w:spacing w:before="54" w:line="181"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5040"/>
                <w:spacing w:val="37"/>
                <w:w w:val="125"/>
                <w:position w:val="-3"/>
              </w:rPr>
              <w:t>1</w:t>
            </w:r>
          </w:p>
        </w:tc>
        <w:tc>
          <w:tcPr>
            <w:tcW w:w="2178" w:type="dxa"/>
            <w:vAlign w:val="top"/>
          </w:tcPr>
          <w:p>
            <w:pPr>
              <w:pStyle w:val="TableText"/>
              <w:ind w:left="974"/>
              <w:spacing w:before="54" w:line="181"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80" w:hRule="atLeast"/>
        </w:trPr>
        <w:tc>
          <w:tcPr>
            <w:tcW w:w="405" w:type="dxa"/>
            <w:vAlign w:val="top"/>
          </w:tcPr>
          <w:p>
            <w:pPr>
              <w:pStyle w:val="TableText"/>
              <w:ind w:left="85"/>
              <w:spacing w:before="64" w:line="181" w:lineRule="auto"/>
              <w:rPr>
                <w:sz w:val="21"/>
                <w:szCs w:val="21"/>
              </w:rPr>
            </w:pPr>
            <w:r>
              <w:rPr>
                <w:sz w:val="21"/>
                <w:szCs w:val="21"/>
                <w:spacing w:val="-3"/>
              </w:rPr>
              <w:t>63</w:t>
            </w:r>
          </w:p>
        </w:tc>
        <w:tc>
          <w:tcPr>
            <w:tcW w:w="3148" w:type="dxa"/>
            <w:vAlign w:val="top"/>
          </w:tcPr>
          <w:p>
            <w:pPr>
              <w:pStyle w:val="TableText"/>
              <w:ind w:left="1140"/>
              <w:spacing w:before="42" w:line="200" w:lineRule="auto"/>
              <w:rPr>
                <w:sz w:val="21"/>
                <w:szCs w:val="21"/>
              </w:rPr>
            </w:pPr>
            <w:r>
              <w:rPr>
                <w:sz w:val="21"/>
                <w:szCs w:val="21"/>
                <w:spacing w:val="-2"/>
              </w:rPr>
              <w:t>涨紧装置</w:t>
            </w:r>
          </w:p>
        </w:tc>
        <w:tc>
          <w:tcPr>
            <w:tcW w:w="490" w:type="dxa"/>
            <w:vAlign w:val="top"/>
          </w:tcPr>
          <w:p>
            <w:pPr>
              <w:pStyle w:val="TableText"/>
              <w:ind w:left="131"/>
              <w:spacing w:before="44" w:line="198" w:lineRule="auto"/>
              <w:rPr>
                <w:sz w:val="21"/>
                <w:szCs w:val="21"/>
              </w:rPr>
            </w:pPr>
            <w:r>
              <w:rPr>
                <w:sz w:val="21"/>
                <w:szCs w:val="21"/>
              </w:rPr>
              <w:t>台</w:t>
            </w:r>
          </w:p>
        </w:tc>
        <w:tc>
          <w:tcPr>
            <w:tcW w:w="1749" w:type="dxa"/>
            <w:vAlign w:val="top"/>
          </w:tcPr>
          <w:p>
            <w:pPr>
              <w:pStyle w:val="TableText"/>
              <w:ind w:left="812"/>
              <w:spacing w:before="64" w:line="181" w:lineRule="auto"/>
              <w:rPr>
                <w:sz w:val="21"/>
                <w:szCs w:val="21"/>
              </w:rPr>
            </w:pPr>
            <w:r>
              <w:rPr>
                <w:sz w:val="21"/>
                <w:szCs w:val="21"/>
              </w:rPr>
              <w:t>0</w:t>
            </w:r>
          </w:p>
        </w:tc>
        <w:tc>
          <w:tcPr>
            <w:tcW w:w="2568" w:type="dxa"/>
            <w:vAlign w:val="top"/>
            <w:textDirection w:val="tbRlV"/>
          </w:tcPr>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pStyle w:val="TableText"/>
              <w:ind w:left="6"/>
              <w:spacing w:before="70" w:line="211" w:lineRule="auto"/>
              <w:rPr>
                <w:sz w:val="21"/>
                <w:szCs w:val="21"/>
              </w:rPr>
            </w:pPr>
            <w:r>
              <w:rPr>
                <w:sz w:val="21"/>
                <w:szCs w:val="21"/>
                <w:color w:val="404040"/>
              </w:rPr>
              <w:t>工</w:t>
            </w:r>
          </w:p>
        </w:tc>
        <w:tc>
          <w:tcPr>
            <w:tcW w:w="2178" w:type="dxa"/>
            <w:vAlign w:val="top"/>
          </w:tcPr>
          <w:p>
            <w:pPr>
              <w:pStyle w:val="TableText"/>
              <w:ind w:left="974"/>
              <w:spacing w:before="64" w:line="181"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4" w:line="181" w:lineRule="auto"/>
              <w:rPr>
                <w:sz w:val="21"/>
                <w:szCs w:val="21"/>
              </w:rPr>
            </w:pPr>
            <w:r>
              <w:rPr>
                <w:sz w:val="21"/>
                <w:szCs w:val="21"/>
                <w:spacing w:val="-3"/>
              </w:rPr>
              <w:t>64</w:t>
            </w:r>
          </w:p>
        </w:tc>
        <w:tc>
          <w:tcPr>
            <w:tcW w:w="3148" w:type="dxa"/>
            <w:vAlign w:val="top"/>
          </w:tcPr>
          <w:p>
            <w:pPr>
              <w:pStyle w:val="TableText"/>
              <w:ind w:left="1140"/>
              <w:spacing w:before="33" w:line="199" w:lineRule="auto"/>
              <w:rPr>
                <w:sz w:val="21"/>
                <w:szCs w:val="21"/>
              </w:rPr>
            </w:pPr>
            <w:r>
              <w:rPr>
                <w:sz w:val="21"/>
                <w:szCs w:val="21"/>
                <w:spacing w:val="1"/>
              </w:rPr>
              <w:t>导向装置</w:t>
            </w:r>
          </w:p>
        </w:tc>
        <w:tc>
          <w:tcPr>
            <w:tcW w:w="490" w:type="dxa"/>
            <w:vAlign w:val="top"/>
          </w:tcPr>
          <w:p>
            <w:pPr>
              <w:pStyle w:val="TableText"/>
              <w:ind w:left="131"/>
              <w:spacing w:before="34" w:line="198" w:lineRule="auto"/>
              <w:rPr>
                <w:sz w:val="21"/>
                <w:szCs w:val="21"/>
              </w:rPr>
            </w:pPr>
            <w:r>
              <w:rPr>
                <w:sz w:val="21"/>
                <w:szCs w:val="21"/>
              </w:rPr>
              <w:t>台</w:t>
            </w:r>
          </w:p>
        </w:tc>
        <w:tc>
          <w:tcPr>
            <w:tcW w:w="1749" w:type="dxa"/>
            <w:vAlign w:val="top"/>
          </w:tcPr>
          <w:p>
            <w:pPr>
              <w:pStyle w:val="TableText"/>
              <w:ind w:left="812"/>
              <w:spacing w:before="54" w:line="181" w:lineRule="auto"/>
              <w:rPr>
                <w:sz w:val="21"/>
                <w:szCs w:val="21"/>
              </w:rPr>
            </w:pPr>
            <w:r>
              <w:rPr>
                <w:sz w:val="21"/>
                <w:szCs w:val="21"/>
              </w:rPr>
              <w:t>0</w:t>
            </w:r>
          </w:p>
        </w:tc>
        <w:tc>
          <w:tcPr>
            <w:tcW w:w="2568" w:type="dxa"/>
            <w:vAlign w:val="top"/>
          </w:tcPr>
          <w:p>
            <w:pPr>
              <w:pStyle w:val="TableText"/>
              <w:ind w:left="1223"/>
              <w:spacing w:before="54" w:line="181" w:lineRule="auto"/>
              <w:rPr>
                <w:sz w:val="21"/>
                <w:szCs w:val="21"/>
              </w:rPr>
            </w:pPr>
            <w:r>
              <w:rPr>
                <w:sz w:val="21"/>
                <w:szCs w:val="21"/>
              </w:rPr>
              <w:t>4</w:t>
            </w:r>
          </w:p>
        </w:tc>
        <w:tc>
          <w:tcPr>
            <w:tcW w:w="2178" w:type="dxa"/>
            <w:vAlign w:val="top"/>
          </w:tcPr>
          <w:p>
            <w:pPr>
              <w:pStyle w:val="TableText"/>
              <w:ind w:left="974"/>
              <w:spacing w:before="54" w:line="181" w:lineRule="auto"/>
              <w:rPr>
                <w:sz w:val="21"/>
                <w:szCs w:val="21"/>
              </w:rPr>
            </w:pPr>
            <w:r>
              <w:rPr>
                <w:sz w:val="21"/>
                <w:szCs w:val="21"/>
                <w:spacing w:val="-3"/>
              </w:rPr>
              <w:t>+4</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4" w:line="181" w:lineRule="auto"/>
              <w:rPr>
                <w:sz w:val="21"/>
                <w:szCs w:val="21"/>
              </w:rPr>
            </w:pPr>
            <w:r>
              <w:rPr>
                <w:sz w:val="21"/>
                <w:szCs w:val="21"/>
                <w:spacing w:val="-3"/>
              </w:rPr>
              <w:t>65</w:t>
            </w:r>
          </w:p>
        </w:tc>
        <w:tc>
          <w:tcPr>
            <w:tcW w:w="3148" w:type="dxa"/>
            <w:vAlign w:val="top"/>
          </w:tcPr>
          <w:p>
            <w:pPr>
              <w:pStyle w:val="TableText"/>
              <w:ind w:left="830"/>
              <w:spacing w:before="32" w:line="200" w:lineRule="auto"/>
              <w:rPr>
                <w:sz w:val="21"/>
                <w:szCs w:val="21"/>
              </w:rPr>
            </w:pPr>
            <w:r>
              <w:rPr>
                <w:sz w:val="21"/>
                <w:szCs w:val="21"/>
                <w:spacing w:val="-2"/>
              </w:rPr>
              <w:t>悬挂式同步卫检</w:t>
            </w:r>
          </w:p>
        </w:tc>
        <w:tc>
          <w:tcPr>
            <w:tcW w:w="490" w:type="dxa"/>
            <w:vAlign w:val="top"/>
          </w:tcPr>
          <w:p>
            <w:pPr>
              <w:pStyle w:val="TableText"/>
              <w:ind w:left="131"/>
              <w:spacing w:before="33" w:line="199" w:lineRule="auto"/>
              <w:rPr>
                <w:sz w:val="21"/>
                <w:szCs w:val="21"/>
              </w:rPr>
            </w:pPr>
            <w:r>
              <w:rPr>
                <w:sz w:val="21"/>
                <w:szCs w:val="21"/>
              </w:rPr>
              <w:t>套</w:t>
            </w:r>
          </w:p>
        </w:tc>
        <w:tc>
          <w:tcPr>
            <w:tcW w:w="1749" w:type="dxa"/>
            <w:vAlign w:val="top"/>
          </w:tcPr>
          <w:p>
            <w:pPr>
              <w:pStyle w:val="TableText"/>
              <w:ind w:left="812"/>
              <w:spacing w:before="54" w:line="181"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4040"/>
                <w:spacing w:val="37"/>
                <w:w w:val="125"/>
                <w:position w:val="-3"/>
              </w:rPr>
              <w:t>1</w:t>
            </w:r>
          </w:p>
        </w:tc>
        <w:tc>
          <w:tcPr>
            <w:tcW w:w="2178" w:type="dxa"/>
            <w:vAlign w:val="top"/>
          </w:tcPr>
          <w:p>
            <w:pPr>
              <w:pStyle w:val="TableText"/>
              <w:ind w:left="974"/>
              <w:spacing w:before="54" w:line="181"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50" w:hRule="atLeast"/>
        </w:trPr>
        <w:tc>
          <w:tcPr>
            <w:tcW w:w="405" w:type="dxa"/>
            <w:vAlign w:val="top"/>
          </w:tcPr>
          <w:p>
            <w:pPr>
              <w:pStyle w:val="TableText"/>
              <w:ind w:left="85"/>
              <w:spacing w:before="43" w:line="173" w:lineRule="auto"/>
              <w:rPr>
                <w:sz w:val="21"/>
                <w:szCs w:val="21"/>
              </w:rPr>
            </w:pPr>
            <w:r>
              <w:rPr>
                <w:sz w:val="21"/>
                <w:szCs w:val="21"/>
                <w:spacing w:val="-3"/>
              </w:rPr>
              <w:t>66</w:t>
            </w:r>
          </w:p>
        </w:tc>
        <w:tc>
          <w:tcPr>
            <w:tcW w:w="3148" w:type="dxa"/>
            <w:vAlign w:val="top"/>
          </w:tcPr>
          <w:p>
            <w:pPr>
              <w:pStyle w:val="TableText"/>
              <w:ind w:left="1140"/>
              <w:spacing w:before="22" w:line="191" w:lineRule="auto"/>
              <w:rPr>
                <w:sz w:val="21"/>
                <w:szCs w:val="21"/>
              </w:rPr>
            </w:pPr>
            <w:r>
              <w:rPr>
                <w:sz w:val="21"/>
                <w:szCs w:val="21"/>
                <w:spacing w:val="-3"/>
              </w:rPr>
              <w:t>驱动装置</w:t>
            </w:r>
          </w:p>
        </w:tc>
        <w:tc>
          <w:tcPr>
            <w:tcW w:w="490" w:type="dxa"/>
            <w:vAlign w:val="top"/>
          </w:tcPr>
          <w:p>
            <w:pPr>
              <w:pStyle w:val="TableText"/>
              <w:ind w:left="131"/>
              <w:spacing w:before="25" w:line="189" w:lineRule="auto"/>
              <w:rPr>
                <w:sz w:val="21"/>
                <w:szCs w:val="21"/>
              </w:rPr>
            </w:pPr>
            <w:r>
              <w:rPr>
                <w:sz w:val="21"/>
                <w:szCs w:val="21"/>
              </w:rPr>
              <w:t>台</w:t>
            </w:r>
          </w:p>
        </w:tc>
        <w:tc>
          <w:tcPr>
            <w:tcW w:w="1749" w:type="dxa"/>
            <w:vAlign w:val="top"/>
          </w:tcPr>
          <w:p>
            <w:pPr>
              <w:pStyle w:val="TableText"/>
              <w:ind w:left="812"/>
              <w:spacing w:before="43" w:line="173"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404030"/>
                <w:spacing w:val="27"/>
                <w:w w:val="125"/>
                <w:position w:val="-3"/>
              </w:rPr>
              <w:t>1</w:t>
            </w:r>
          </w:p>
        </w:tc>
        <w:tc>
          <w:tcPr>
            <w:tcW w:w="2178" w:type="dxa"/>
            <w:vAlign w:val="top"/>
          </w:tcPr>
          <w:p>
            <w:pPr>
              <w:pStyle w:val="TableText"/>
              <w:ind w:left="974"/>
              <w:spacing w:before="43" w:line="173"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80" w:hRule="atLeast"/>
        </w:trPr>
        <w:tc>
          <w:tcPr>
            <w:tcW w:w="405" w:type="dxa"/>
            <w:vAlign w:val="top"/>
          </w:tcPr>
          <w:p>
            <w:pPr>
              <w:pStyle w:val="TableText"/>
              <w:ind w:left="85"/>
              <w:spacing w:before="64" w:line="181" w:lineRule="auto"/>
              <w:rPr>
                <w:sz w:val="21"/>
                <w:szCs w:val="21"/>
              </w:rPr>
            </w:pPr>
            <w:r>
              <w:rPr>
                <w:sz w:val="21"/>
                <w:szCs w:val="21"/>
                <w:spacing w:val="-3"/>
              </w:rPr>
              <w:t>67</w:t>
            </w:r>
          </w:p>
        </w:tc>
        <w:tc>
          <w:tcPr>
            <w:tcW w:w="3148" w:type="dxa"/>
            <w:vAlign w:val="top"/>
          </w:tcPr>
          <w:p>
            <w:pPr>
              <w:pStyle w:val="TableText"/>
              <w:ind w:left="1140"/>
              <w:spacing w:before="42" w:line="200" w:lineRule="auto"/>
              <w:rPr>
                <w:sz w:val="21"/>
                <w:szCs w:val="21"/>
              </w:rPr>
            </w:pPr>
            <w:r>
              <w:rPr>
                <w:sz w:val="21"/>
                <w:szCs w:val="21"/>
                <w:spacing w:val="-2"/>
              </w:rPr>
              <w:t>涨紧装置</w:t>
            </w:r>
          </w:p>
        </w:tc>
        <w:tc>
          <w:tcPr>
            <w:tcW w:w="490" w:type="dxa"/>
            <w:vAlign w:val="top"/>
          </w:tcPr>
          <w:p>
            <w:pPr>
              <w:pStyle w:val="TableText"/>
              <w:ind w:left="131"/>
              <w:spacing w:before="44" w:line="198" w:lineRule="auto"/>
              <w:rPr>
                <w:sz w:val="21"/>
                <w:szCs w:val="21"/>
              </w:rPr>
            </w:pPr>
            <w:r>
              <w:rPr>
                <w:sz w:val="21"/>
                <w:szCs w:val="21"/>
              </w:rPr>
              <w:t>台</w:t>
            </w:r>
          </w:p>
        </w:tc>
        <w:tc>
          <w:tcPr>
            <w:tcW w:w="1749" w:type="dxa"/>
            <w:vAlign w:val="top"/>
          </w:tcPr>
          <w:p>
            <w:pPr>
              <w:pStyle w:val="TableText"/>
              <w:ind w:left="812"/>
              <w:spacing w:before="64" w:line="181"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5040"/>
                <w:spacing w:val="47"/>
                <w:w w:val="125"/>
                <w:position w:val="-3"/>
              </w:rPr>
              <w:t>1</w:t>
            </w:r>
          </w:p>
        </w:tc>
        <w:tc>
          <w:tcPr>
            <w:tcW w:w="2178" w:type="dxa"/>
            <w:vAlign w:val="top"/>
          </w:tcPr>
          <w:p>
            <w:pPr>
              <w:pStyle w:val="TableText"/>
              <w:ind w:left="974"/>
              <w:spacing w:before="64" w:line="181"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4" w:line="181" w:lineRule="auto"/>
              <w:rPr>
                <w:sz w:val="21"/>
                <w:szCs w:val="21"/>
              </w:rPr>
            </w:pPr>
            <w:r>
              <w:rPr>
                <w:sz w:val="21"/>
                <w:szCs w:val="21"/>
                <w:spacing w:val="-3"/>
              </w:rPr>
              <w:t>68</w:t>
            </w:r>
          </w:p>
        </w:tc>
        <w:tc>
          <w:tcPr>
            <w:tcW w:w="3148" w:type="dxa"/>
            <w:vAlign w:val="top"/>
          </w:tcPr>
          <w:p>
            <w:pPr>
              <w:pStyle w:val="TableText"/>
              <w:ind w:left="1140"/>
              <w:spacing w:before="32" w:line="200" w:lineRule="auto"/>
              <w:rPr>
                <w:sz w:val="21"/>
                <w:szCs w:val="21"/>
              </w:rPr>
            </w:pPr>
            <w:r>
              <w:rPr>
                <w:sz w:val="21"/>
                <w:szCs w:val="21"/>
                <w:spacing w:val="2"/>
              </w:rPr>
              <w:t>白脏滑槽</w:t>
            </w:r>
          </w:p>
        </w:tc>
        <w:tc>
          <w:tcPr>
            <w:tcW w:w="490" w:type="dxa"/>
            <w:vAlign w:val="top"/>
          </w:tcPr>
          <w:p>
            <w:pPr>
              <w:pStyle w:val="TableText"/>
              <w:ind w:left="131"/>
              <w:spacing w:before="32" w:line="200" w:lineRule="auto"/>
              <w:rPr>
                <w:sz w:val="21"/>
                <w:szCs w:val="21"/>
              </w:rPr>
            </w:pPr>
            <w:r>
              <w:rPr>
                <w:sz w:val="21"/>
                <w:szCs w:val="21"/>
              </w:rPr>
              <w:t>个</w:t>
            </w:r>
          </w:p>
        </w:tc>
        <w:tc>
          <w:tcPr>
            <w:tcW w:w="1749" w:type="dxa"/>
            <w:vAlign w:val="top"/>
          </w:tcPr>
          <w:p>
            <w:pPr>
              <w:pStyle w:val="TableText"/>
              <w:ind w:left="812"/>
              <w:spacing w:before="54" w:line="181"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4040"/>
                <w:spacing w:val="37"/>
                <w:w w:val="125"/>
                <w:position w:val="-3"/>
              </w:rPr>
              <w:t>1</w:t>
            </w:r>
          </w:p>
        </w:tc>
        <w:tc>
          <w:tcPr>
            <w:tcW w:w="2178" w:type="dxa"/>
            <w:vAlign w:val="top"/>
          </w:tcPr>
          <w:p>
            <w:pPr>
              <w:pStyle w:val="TableText"/>
              <w:ind w:left="974"/>
              <w:spacing w:before="54" w:line="181"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4" w:line="181" w:lineRule="auto"/>
              <w:rPr>
                <w:sz w:val="21"/>
                <w:szCs w:val="21"/>
              </w:rPr>
            </w:pPr>
            <w:r>
              <w:rPr>
                <w:sz w:val="21"/>
                <w:szCs w:val="21"/>
                <w:spacing w:val="-3"/>
              </w:rPr>
              <w:t>69</w:t>
            </w:r>
          </w:p>
        </w:tc>
        <w:tc>
          <w:tcPr>
            <w:tcW w:w="3148" w:type="dxa"/>
            <w:vAlign w:val="top"/>
          </w:tcPr>
          <w:p>
            <w:pPr>
              <w:pStyle w:val="TableText"/>
              <w:ind w:left="1140"/>
              <w:spacing w:before="32" w:line="200" w:lineRule="auto"/>
              <w:rPr>
                <w:sz w:val="21"/>
                <w:szCs w:val="21"/>
              </w:rPr>
            </w:pPr>
            <w:r>
              <w:rPr>
                <w:sz w:val="21"/>
                <w:szCs w:val="21"/>
                <w:spacing w:val="2"/>
              </w:rPr>
              <w:t>红脏滑槽</w:t>
            </w:r>
          </w:p>
        </w:tc>
        <w:tc>
          <w:tcPr>
            <w:tcW w:w="490" w:type="dxa"/>
            <w:vAlign w:val="top"/>
          </w:tcPr>
          <w:p>
            <w:pPr>
              <w:pStyle w:val="TableText"/>
              <w:ind w:left="131"/>
              <w:spacing w:before="32" w:line="200" w:lineRule="auto"/>
              <w:rPr>
                <w:sz w:val="21"/>
                <w:szCs w:val="21"/>
              </w:rPr>
            </w:pPr>
            <w:r>
              <w:rPr>
                <w:sz w:val="21"/>
                <w:szCs w:val="21"/>
              </w:rPr>
              <w:t>个</w:t>
            </w:r>
          </w:p>
        </w:tc>
        <w:tc>
          <w:tcPr>
            <w:tcW w:w="1749" w:type="dxa"/>
            <w:vAlign w:val="top"/>
          </w:tcPr>
          <w:p>
            <w:pPr>
              <w:pStyle w:val="TableText"/>
              <w:ind w:left="812"/>
              <w:spacing w:before="54" w:line="181"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5040"/>
                <w:spacing w:val="37"/>
                <w:w w:val="125"/>
                <w:position w:val="-3"/>
              </w:rPr>
              <w:t>1</w:t>
            </w:r>
          </w:p>
        </w:tc>
        <w:tc>
          <w:tcPr>
            <w:tcW w:w="2178" w:type="dxa"/>
            <w:vAlign w:val="top"/>
          </w:tcPr>
          <w:p>
            <w:pPr>
              <w:pStyle w:val="TableText"/>
              <w:ind w:left="974"/>
              <w:spacing w:before="54" w:line="181"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4" w:line="180" w:lineRule="auto"/>
              <w:rPr>
                <w:sz w:val="21"/>
                <w:szCs w:val="21"/>
              </w:rPr>
            </w:pPr>
            <w:r>
              <w:rPr>
                <w:sz w:val="21"/>
                <w:szCs w:val="21"/>
                <w:spacing w:val="-4"/>
              </w:rPr>
              <w:t>70</w:t>
            </w:r>
          </w:p>
        </w:tc>
        <w:tc>
          <w:tcPr>
            <w:tcW w:w="3148" w:type="dxa"/>
            <w:vAlign w:val="top"/>
          </w:tcPr>
          <w:p>
            <w:pPr>
              <w:pStyle w:val="TableText"/>
              <w:ind w:left="719"/>
              <w:spacing w:before="42" w:line="199" w:lineRule="auto"/>
              <w:rPr>
                <w:sz w:val="21"/>
                <w:szCs w:val="21"/>
              </w:rPr>
            </w:pPr>
            <w:r>
              <w:rPr>
                <w:sz w:val="21"/>
                <w:szCs w:val="21"/>
                <w:spacing w:val="5"/>
              </w:rPr>
              <w:t>带式劈半锯(国产)</w:t>
            </w:r>
          </w:p>
        </w:tc>
        <w:tc>
          <w:tcPr>
            <w:tcW w:w="490" w:type="dxa"/>
            <w:vAlign w:val="top"/>
          </w:tcPr>
          <w:p>
            <w:pPr>
              <w:pStyle w:val="TableText"/>
              <w:ind w:left="131"/>
              <w:spacing w:before="44" w:line="197" w:lineRule="auto"/>
              <w:rPr>
                <w:sz w:val="21"/>
                <w:szCs w:val="21"/>
              </w:rPr>
            </w:pPr>
            <w:r>
              <w:rPr>
                <w:sz w:val="21"/>
                <w:szCs w:val="21"/>
              </w:rPr>
              <w:t>台</w:t>
            </w:r>
          </w:p>
        </w:tc>
        <w:tc>
          <w:tcPr>
            <w:tcW w:w="1749" w:type="dxa"/>
            <w:vAlign w:val="top"/>
          </w:tcPr>
          <w:p>
            <w:pPr>
              <w:pStyle w:val="TableText"/>
              <w:ind w:left="812"/>
              <w:spacing w:before="64" w:line="180"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404040"/>
                <w:spacing w:val="47"/>
                <w:w w:val="125"/>
                <w:position w:val="-3"/>
              </w:rPr>
              <w:t>1</w:t>
            </w:r>
          </w:p>
        </w:tc>
        <w:tc>
          <w:tcPr>
            <w:tcW w:w="2178" w:type="dxa"/>
            <w:vAlign w:val="top"/>
          </w:tcPr>
          <w:p>
            <w:pPr>
              <w:pStyle w:val="TableText"/>
              <w:ind w:left="974"/>
              <w:spacing w:before="64" w:line="180"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69" w:hRule="atLeast"/>
        </w:trPr>
        <w:tc>
          <w:tcPr>
            <w:tcW w:w="405" w:type="dxa"/>
            <w:vAlign w:val="top"/>
          </w:tcPr>
          <w:p>
            <w:pPr>
              <w:pStyle w:val="TableText"/>
              <w:ind w:left="85"/>
              <w:spacing w:before="54" w:line="180" w:lineRule="auto"/>
              <w:rPr>
                <w:sz w:val="21"/>
                <w:szCs w:val="21"/>
              </w:rPr>
            </w:pPr>
            <w:r>
              <w:rPr>
                <w:sz w:val="21"/>
                <w:szCs w:val="21"/>
                <w:spacing w:val="-4"/>
              </w:rPr>
              <w:t>71</w:t>
            </w:r>
          </w:p>
        </w:tc>
        <w:tc>
          <w:tcPr>
            <w:tcW w:w="3148" w:type="dxa"/>
            <w:vAlign w:val="top"/>
          </w:tcPr>
          <w:p>
            <w:pPr>
              <w:pStyle w:val="TableText"/>
              <w:ind w:left="1040"/>
              <w:spacing w:before="31" w:line="200" w:lineRule="auto"/>
              <w:rPr>
                <w:sz w:val="21"/>
                <w:szCs w:val="21"/>
              </w:rPr>
            </w:pPr>
            <w:r>
              <w:rPr>
                <w:sz w:val="21"/>
                <w:szCs w:val="21"/>
                <w:spacing w:val="2"/>
              </w:rPr>
              <w:t>劈半防溅屏</w:t>
            </w:r>
          </w:p>
        </w:tc>
        <w:tc>
          <w:tcPr>
            <w:tcW w:w="490" w:type="dxa"/>
            <w:vAlign w:val="top"/>
          </w:tcPr>
          <w:p>
            <w:pPr>
              <w:pStyle w:val="TableText"/>
              <w:ind w:left="131"/>
              <w:spacing w:before="33" w:line="198" w:lineRule="auto"/>
              <w:rPr>
                <w:sz w:val="21"/>
                <w:szCs w:val="21"/>
              </w:rPr>
            </w:pPr>
            <w:r>
              <w:rPr>
                <w:sz w:val="21"/>
                <w:szCs w:val="21"/>
              </w:rPr>
              <w:t>个</w:t>
            </w:r>
          </w:p>
        </w:tc>
        <w:tc>
          <w:tcPr>
            <w:tcW w:w="1749" w:type="dxa"/>
            <w:vAlign w:val="top"/>
          </w:tcPr>
          <w:p>
            <w:pPr>
              <w:pStyle w:val="TableText"/>
              <w:ind w:left="812"/>
              <w:spacing w:before="54" w:line="180"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5050"/>
                <w:spacing w:val="38"/>
                <w:w w:val="125"/>
                <w:position w:val="-3"/>
              </w:rPr>
              <w:t>1</w:t>
            </w:r>
          </w:p>
        </w:tc>
        <w:tc>
          <w:tcPr>
            <w:tcW w:w="2178" w:type="dxa"/>
            <w:vAlign w:val="top"/>
          </w:tcPr>
          <w:p>
            <w:pPr>
              <w:pStyle w:val="TableText"/>
              <w:ind w:left="974"/>
              <w:spacing w:before="54" w:line="180"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5" w:line="179" w:lineRule="auto"/>
              <w:rPr>
                <w:sz w:val="21"/>
                <w:szCs w:val="21"/>
              </w:rPr>
            </w:pPr>
            <w:r>
              <w:rPr>
                <w:sz w:val="21"/>
                <w:szCs w:val="21"/>
                <w:spacing w:val="-4"/>
              </w:rPr>
              <w:t>72</w:t>
            </w:r>
          </w:p>
        </w:tc>
        <w:tc>
          <w:tcPr>
            <w:tcW w:w="3148" w:type="dxa"/>
            <w:vAlign w:val="top"/>
          </w:tcPr>
          <w:p>
            <w:pPr>
              <w:pStyle w:val="TableText"/>
              <w:ind w:left="1040"/>
              <w:spacing w:before="43" w:line="198" w:lineRule="auto"/>
              <w:rPr>
                <w:sz w:val="21"/>
                <w:szCs w:val="21"/>
              </w:rPr>
            </w:pPr>
            <w:r>
              <w:rPr>
                <w:sz w:val="21"/>
                <w:szCs w:val="21"/>
                <w:spacing w:val="-2"/>
              </w:rPr>
              <w:t>胴体刷白机</w:t>
            </w:r>
          </w:p>
        </w:tc>
        <w:tc>
          <w:tcPr>
            <w:tcW w:w="490" w:type="dxa"/>
            <w:vAlign w:val="top"/>
          </w:tcPr>
          <w:p>
            <w:pPr>
              <w:pStyle w:val="TableText"/>
              <w:ind w:left="131"/>
              <w:spacing w:before="47" w:line="195" w:lineRule="auto"/>
              <w:rPr>
                <w:sz w:val="21"/>
                <w:szCs w:val="21"/>
              </w:rPr>
            </w:pPr>
            <w:r>
              <w:rPr>
                <w:sz w:val="21"/>
                <w:szCs w:val="21"/>
              </w:rPr>
              <w:t>台</w:t>
            </w:r>
          </w:p>
        </w:tc>
        <w:tc>
          <w:tcPr>
            <w:tcW w:w="1749" w:type="dxa"/>
            <w:vAlign w:val="top"/>
          </w:tcPr>
          <w:p>
            <w:pPr>
              <w:pStyle w:val="TableText"/>
              <w:ind w:left="812"/>
              <w:spacing w:before="65" w:line="179"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404040"/>
                <w:spacing w:val="49"/>
                <w:w w:val="125"/>
                <w:position w:val="-3"/>
              </w:rPr>
              <w:t>1</w:t>
            </w:r>
          </w:p>
        </w:tc>
        <w:tc>
          <w:tcPr>
            <w:tcW w:w="2178" w:type="dxa"/>
            <w:vAlign w:val="top"/>
          </w:tcPr>
          <w:p>
            <w:pPr>
              <w:pStyle w:val="TableText"/>
              <w:ind w:left="974"/>
              <w:spacing w:before="65" w:line="179" w:lineRule="auto"/>
              <w:rPr>
                <w:sz w:val="21"/>
                <w:szCs w:val="21"/>
              </w:rPr>
            </w:pPr>
            <w:r>
              <w:rPr>
                <w:sz w:val="21"/>
                <w:szCs w:val="21"/>
                <w:spacing w:val="-3"/>
              </w:rPr>
              <w:t>+1</w:t>
            </w:r>
          </w:p>
        </w:tc>
        <w:tc>
          <w:tcPr>
            <w:tcW w:w="2498" w:type="dxa"/>
            <w:vAlign w:val="top"/>
            <w:vMerge w:val="continue"/>
            <w:tcBorders>
              <w:top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6" w:line="179" w:lineRule="auto"/>
              <w:rPr>
                <w:sz w:val="21"/>
                <w:szCs w:val="21"/>
              </w:rPr>
            </w:pPr>
            <w:r>
              <w:rPr>
                <w:sz w:val="21"/>
                <w:szCs w:val="21"/>
                <w:spacing w:val="-4"/>
              </w:rPr>
              <w:t>73</w:t>
            </w:r>
          </w:p>
        </w:tc>
        <w:tc>
          <w:tcPr>
            <w:tcW w:w="3148" w:type="dxa"/>
            <w:vAlign w:val="top"/>
          </w:tcPr>
          <w:p>
            <w:pPr>
              <w:pStyle w:val="TableText"/>
              <w:ind w:left="929"/>
              <w:spacing w:before="35" w:line="197" w:lineRule="auto"/>
              <w:rPr>
                <w:sz w:val="21"/>
                <w:szCs w:val="21"/>
              </w:rPr>
            </w:pPr>
            <w:r>
              <w:rPr>
                <w:sz w:val="21"/>
                <w:szCs w:val="21"/>
                <w:spacing w:val="2"/>
              </w:rPr>
              <w:t>排酸间手推线</w:t>
            </w:r>
          </w:p>
        </w:tc>
        <w:tc>
          <w:tcPr>
            <w:tcW w:w="490" w:type="dxa"/>
            <w:vAlign w:val="top"/>
          </w:tcPr>
          <w:p>
            <w:pPr>
              <w:pStyle w:val="TableText"/>
              <w:ind w:left="131"/>
              <w:spacing w:before="35" w:line="197" w:lineRule="auto"/>
              <w:rPr>
                <w:sz w:val="21"/>
                <w:szCs w:val="21"/>
              </w:rPr>
            </w:pPr>
            <w:r>
              <w:rPr>
                <w:sz w:val="21"/>
                <w:szCs w:val="21"/>
              </w:rPr>
              <w:t>米</w:t>
            </w:r>
          </w:p>
        </w:tc>
        <w:tc>
          <w:tcPr>
            <w:tcW w:w="1749" w:type="dxa"/>
            <w:vAlign w:val="top"/>
          </w:tcPr>
          <w:p>
            <w:pPr>
              <w:pStyle w:val="TableText"/>
              <w:ind w:left="812"/>
              <w:spacing w:before="56" w:line="179" w:lineRule="auto"/>
              <w:rPr>
                <w:sz w:val="21"/>
                <w:szCs w:val="21"/>
              </w:rPr>
            </w:pPr>
            <w:r>
              <w:rPr>
                <w:sz w:val="21"/>
                <w:szCs w:val="21"/>
              </w:rPr>
              <w:t>0</w:t>
            </w:r>
          </w:p>
        </w:tc>
        <w:tc>
          <w:tcPr>
            <w:tcW w:w="2568" w:type="dxa"/>
            <w:vAlign w:val="top"/>
          </w:tcPr>
          <w:p>
            <w:pPr>
              <w:pStyle w:val="TableText"/>
              <w:ind w:left="1112"/>
              <w:spacing w:before="56" w:line="179" w:lineRule="auto"/>
              <w:rPr>
                <w:sz w:val="21"/>
                <w:szCs w:val="21"/>
              </w:rPr>
            </w:pPr>
            <w:r>
              <w:rPr>
                <w:sz w:val="21"/>
                <w:szCs w:val="21"/>
                <w:spacing w:val="-6"/>
              </w:rPr>
              <w:t>166</w:t>
            </w:r>
          </w:p>
        </w:tc>
        <w:tc>
          <w:tcPr>
            <w:tcW w:w="2178" w:type="dxa"/>
            <w:vAlign w:val="top"/>
          </w:tcPr>
          <w:p>
            <w:pPr>
              <w:pStyle w:val="TableText"/>
              <w:ind w:left="875"/>
              <w:spacing w:before="56" w:line="179" w:lineRule="auto"/>
              <w:rPr>
                <w:sz w:val="21"/>
                <w:szCs w:val="21"/>
              </w:rPr>
            </w:pPr>
            <w:r>
              <w:rPr>
                <w:sz w:val="21"/>
                <w:szCs w:val="21"/>
                <w:spacing w:val="-2"/>
              </w:rPr>
              <w:t>+166</w:t>
            </w:r>
          </w:p>
        </w:tc>
        <w:tc>
          <w:tcPr>
            <w:tcW w:w="2498" w:type="dxa"/>
            <w:vAlign w:val="top"/>
            <w:vMerge w:val="restart"/>
            <w:tcBorders>
              <w:bottom w:val="nil"/>
            </w:tcBorders>
          </w:tcPr>
          <w:p>
            <w:pPr>
              <w:spacing w:line="267" w:lineRule="auto"/>
              <w:rPr>
                <w:rFonts w:ascii="Arial"/>
                <w:sz w:val="21"/>
              </w:rPr>
            </w:pPr>
            <w:r/>
          </w:p>
          <w:p>
            <w:pPr>
              <w:spacing w:line="267" w:lineRule="auto"/>
              <w:rPr>
                <w:rFonts w:ascii="Arial"/>
                <w:sz w:val="21"/>
              </w:rPr>
            </w:pPr>
            <w:r/>
          </w:p>
          <w:p>
            <w:pPr>
              <w:pStyle w:val="TableText"/>
              <w:ind w:left="197"/>
              <w:spacing w:before="68" w:line="220" w:lineRule="auto"/>
              <w:rPr>
                <w:sz w:val="21"/>
                <w:szCs w:val="21"/>
              </w:rPr>
            </w:pPr>
            <w:r>
              <w:rPr>
                <w:sz w:val="21"/>
                <w:szCs w:val="21"/>
                <w:spacing w:val="-1"/>
              </w:rPr>
              <w:t>排酸、鲜销、回空区域</w:t>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6" w:line="178" w:lineRule="auto"/>
              <w:rPr>
                <w:sz w:val="21"/>
                <w:szCs w:val="21"/>
              </w:rPr>
            </w:pPr>
            <w:r>
              <w:rPr>
                <w:sz w:val="21"/>
                <w:szCs w:val="21"/>
                <w:spacing w:val="-4"/>
              </w:rPr>
              <w:t>74</w:t>
            </w:r>
          </w:p>
        </w:tc>
        <w:tc>
          <w:tcPr>
            <w:tcW w:w="3148" w:type="dxa"/>
            <w:vAlign w:val="top"/>
          </w:tcPr>
          <w:p>
            <w:pPr>
              <w:pStyle w:val="TableText"/>
              <w:ind w:left="1040"/>
              <w:spacing w:before="46" w:line="196" w:lineRule="auto"/>
              <w:rPr>
                <w:sz w:val="21"/>
                <w:szCs w:val="21"/>
              </w:rPr>
            </w:pPr>
            <w:r>
              <w:rPr>
                <w:sz w:val="21"/>
                <w:szCs w:val="21"/>
                <w:spacing w:val="2"/>
              </w:rPr>
              <w:t>双轨手推线</w:t>
            </w:r>
          </w:p>
        </w:tc>
        <w:tc>
          <w:tcPr>
            <w:tcW w:w="490" w:type="dxa"/>
            <w:vAlign w:val="top"/>
          </w:tcPr>
          <w:p>
            <w:pPr>
              <w:pStyle w:val="TableText"/>
              <w:ind w:left="131"/>
              <w:spacing w:before="44" w:line="197" w:lineRule="auto"/>
              <w:rPr>
                <w:sz w:val="21"/>
                <w:szCs w:val="21"/>
              </w:rPr>
            </w:pPr>
            <w:r>
              <w:rPr>
                <w:sz w:val="21"/>
                <w:szCs w:val="21"/>
              </w:rPr>
              <w:t>米</w:t>
            </w:r>
          </w:p>
        </w:tc>
        <w:tc>
          <w:tcPr>
            <w:tcW w:w="1749" w:type="dxa"/>
            <w:vAlign w:val="top"/>
          </w:tcPr>
          <w:p>
            <w:pPr>
              <w:pStyle w:val="TableText"/>
              <w:ind w:left="812"/>
              <w:spacing w:before="66" w:line="178" w:lineRule="auto"/>
              <w:rPr>
                <w:sz w:val="21"/>
                <w:szCs w:val="21"/>
              </w:rPr>
            </w:pPr>
            <w:r>
              <w:rPr>
                <w:sz w:val="21"/>
                <w:szCs w:val="21"/>
              </w:rPr>
              <w:t>0</w:t>
            </w:r>
          </w:p>
        </w:tc>
        <w:tc>
          <w:tcPr>
            <w:tcW w:w="2568" w:type="dxa"/>
            <w:vAlign w:val="top"/>
          </w:tcPr>
          <w:p>
            <w:pPr>
              <w:pStyle w:val="TableText"/>
              <w:ind w:left="1112"/>
              <w:spacing w:before="66" w:line="178" w:lineRule="auto"/>
              <w:rPr>
                <w:sz w:val="21"/>
                <w:szCs w:val="21"/>
              </w:rPr>
            </w:pPr>
            <w:r>
              <w:rPr>
                <w:sz w:val="21"/>
                <w:szCs w:val="21"/>
                <w:spacing w:val="-3"/>
              </w:rPr>
              <w:t>518</w:t>
            </w:r>
          </w:p>
        </w:tc>
        <w:tc>
          <w:tcPr>
            <w:tcW w:w="2178" w:type="dxa"/>
            <w:vAlign w:val="top"/>
          </w:tcPr>
          <w:p>
            <w:pPr>
              <w:pStyle w:val="TableText"/>
              <w:ind w:left="875"/>
              <w:spacing w:before="66" w:line="178" w:lineRule="auto"/>
              <w:rPr>
                <w:sz w:val="21"/>
                <w:szCs w:val="21"/>
              </w:rPr>
            </w:pPr>
            <w:r>
              <w:rPr>
                <w:sz w:val="21"/>
                <w:szCs w:val="21"/>
                <w:spacing w:val="-2"/>
              </w:rPr>
              <w:t>+518</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7" w:line="178" w:lineRule="auto"/>
              <w:rPr>
                <w:sz w:val="21"/>
                <w:szCs w:val="21"/>
              </w:rPr>
            </w:pPr>
            <w:r>
              <w:rPr>
                <w:sz w:val="21"/>
                <w:szCs w:val="21"/>
                <w:spacing w:val="-4"/>
              </w:rPr>
              <w:t>75</w:t>
            </w:r>
          </w:p>
        </w:tc>
        <w:tc>
          <w:tcPr>
            <w:tcW w:w="3148" w:type="dxa"/>
            <w:vAlign w:val="top"/>
          </w:tcPr>
          <w:p>
            <w:pPr>
              <w:pStyle w:val="TableText"/>
              <w:ind w:left="1140"/>
              <w:spacing w:before="38" w:line="195" w:lineRule="auto"/>
              <w:rPr>
                <w:sz w:val="21"/>
                <w:szCs w:val="21"/>
              </w:rPr>
            </w:pPr>
            <w:r>
              <w:rPr>
                <w:sz w:val="21"/>
                <w:szCs w:val="21"/>
                <w:spacing w:val="-2"/>
              </w:rPr>
              <w:t>双轨滑轮</w:t>
            </w:r>
          </w:p>
        </w:tc>
        <w:tc>
          <w:tcPr>
            <w:tcW w:w="490" w:type="dxa"/>
            <w:vAlign w:val="top"/>
          </w:tcPr>
          <w:p>
            <w:pPr>
              <w:pStyle w:val="TableText"/>
              <w:ind w:left="131"/>
              <w:spacing w:before="37" w:line="196" w:lineRule="auto"/>
              <w:rPr>
                <w:sz w:val="21"/>
                <w:szCs w:val="21"/>
              </w:rPr>
            </w:pPr>
            <w:r>
              <w:rPr>
                <w:sz w:val="21"/>
                <w:szCs w:val="21"/>
              </w:rPr>
              <w:t>套</w:t>
            </w:r>
          </w:p>
        </w:tc>
        <w:tc>
          <w:tcPr>
            <w:tcW w:w="1749" w:type="dxa"/>
            <w:vAlign w:val="top"/>
          </w:tcPr>
          <w:p>
            <w:pPr>
              <w:pStyle w:val="TableText"/>
              <w:ind w:left="812"/>
              <w:spacing w:before="57" w:line="178" w:lineRule="auto"/>
              <w:rPr>
                <w:sz w:val="21"/>
                <w:szCs w:val="21"/>
              </w:rPr>
            </w:pPr>
            <w:r>
              <w:rPr>
                <w:sz w:val="21"/>
                <w:szCs w:val="21"/>
              </w:rPr>
              <w:t>0</w:t>
            </w:r>
          </w:p>
        </w:tc>
        <w:tc>
          <w:tcPr>
            <w:tcW w:w="2568" w:type="dxa"/>
            <w:vAlign w:val="top"/>
          </w:tcPr>
          <w:p>
            <w:pPr>
              <w:pStyle w:val="TableText"/>
              <w:ind w:left="1112"/>
              <w:spacing w:before="57" w:line="178" w:lineRule="auto"/>
              <w:rPr>
                <w:sz w:val="21"/>
                <w:szCs w:val="21"/>
              </w:rPr>
            </w:pPr>
            <w:r>
              <w:rPr>
                <w:sz w:val="21"/>
                <w:szCs w:val="21"/>
                <w:spacing w:val="-2"/>
              </w:rPr>
              <w:t>400</w:t>
            </w:r>
          </w:p>
        </w:tc>
        <w:tc>
          <w:tcPr>
            <w:tcW w:w="2178" w:type="dxa"/>
            <w:vAlign w:val="top"/>
          </w:tcPr>
          <w:p>
            <w:pPr>
              <w:pStyle w:val="TableText"/>
              <w:ind w:left="875"/>
              <w:spacing w:before="57" w:line="178" w:lineRule="auto"/>
              <w:rPr>
                <w:sz w:val="21"/>
                <w:szCs w:val="21"/>
              </w:rPr>
            </w:pPr>
            <w:r>
              <w:rPr>
                <w:sz w:val="21"/>
                <w:szCs w:val="21"/>
                <w:spacing w:val="-2"/>
              </w:rPr>
              <w:t>+400</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7" w:line="177" w:lineRule="auto"/>
              <w:rPr>
                <w:sz w:val="21"/>
                <w:szCs w:val="21"/>
              </w:rPr>
            </w:pPr>
            <w:r>
              <w:rPr>
                <w:sz w:val="21"/>
                <w:szCs w:val="21"/>
                <w:spacing w:val="-4"/>
              </w:rPr>
              <w:t>76</w:t>
            </w:r>
          </w:p>
        </w:tc>
        <w:tc>
          <w:tcPr>
            <w:tcW w:w="3148" w:type="dxa"/>
            <w:vAlign w:val="top"/>
          </w:tcPr>
          <w:p>
            <w:pPr>
              <w:pStyle w:val="TableText"/>
              <w:ind w:left="929"/>
              <w:spacing w:before="46" w:line="196" w:lineRule="auto"/>
              <w:rPr>
                <w:sz w:val="21"/>
                <w:szCs w:val="21"/>
              </w:rPr>
            </w:pPr>
            <w:r>
              <w:rPr>
                <w:sz w:val="21"/>
                <w:szCs w:val="21"/>
                <w:spacing w:val="1"/>
              </w:rPr>
              <w:t>人字形扁担钩</w:t>
            </w:r>
          </w:p>
        </w:tc>
        <w:tc>
          <w:tcPr>
            <w:tcW w:w="490" w:type="dxa"/>
            <w:vAlign w:val="top"/>
          </w:tcPr>
          <w:p>
            <w:pPr>
              <w:pStyle w:val="TableText"/>
              <w:ind w:left="131"/>
              <w:spacing w:before="47" w:line="195" w:lineRule="auto"/>
              <w:rPr>
                <w:sz w:val="21"/>
                <w:szCs w:val="21"/>
              </w:rPr>
            </w:pPr>
            <w:r>
              <w:rPr>
                <w:sz w:val="21"/>
                <w:szCs w:val="21"/>
              </w:rPr>
              <w:t>套</w:t>
            </w:r>
          </w:p>
        </w:tc>
        <w:tc>
          <w:tcPr>
            <w:tcW w:w="1749" w:type="dxa"/>
            <w:vAlign w:val="top"/>
          </w:tcPr>
          <w:p>
            <w:pPr>
              <w:pStyle w:val="TableText"/>
              <w:ind w:left="812"/>
              <w:spacing w:before="67" w:line="177" w:lineRule="auto"/>
              <w:rPr>
                <w:sz w:val="21"/>
                <w:szCs w:val="21"/>
              </w:rPr>
            </w:pPr>
            <w:r>
              <w:rPr>
                <w:sz w:val="21"/>
                <w:szCs w:val="21"/>
              </w:rPr>
              <w:t>0</w:t>
            </w:r>
          </w:p>
        </w:tc>
        <w:tc>
          <w:tcPr>
            <w:tcW w:w="2568" w:type="dxa"/>
            <w:vAlign w:val="top"/>
          </w:tcPr>
          <w:p>
            <w:pPr>
              <w:pStyle w:val="TableText"/>
              <w:ind w:left="1112"/>
              <w:spacing w:before="67" w:line="177" w:lineRule="auto"/>
              <w:rPr>
                <w:sz w:val="21"/>
                <w:szCs w:val="21"/>
              </w:rPr>
            </w:pPr>
            <w:r>
              <w:rPr>
                <w:sz w:val="21"/>
                <w:szCs w:val="21"/>
                <w:spacing w:val="-2"/>
              </w:rPr>
              <w:t>400</w:t>
            </w:r>
          </w:p>
        </w:tc>
        <w:tc>
          <w:tcPr>
            <w:tcW w:w="2178" w:type="dxa"/>
            <w:vAlign w:val="top"/>
          </w:tcPr>
          <w:p>
            <w:pPr>
              <w:pStyle w:val="TableText"/>
              <w:ind w:left="875"/>
              <w:spacing w:before="67" w:line="177" w:lineRule="auto"/>
              <w:rPr>
                <w:sz w:val="21"/>
                <w:szCs w:val="21"/>
              </w:rPr>
            </w:pPr>
            <w:r>
              <w:rPr>
                <w:sz w:val="21"/>
                <w:szCs w:val="21"/>
                <w:spacing w:val="-2"/>
              </w:rPr>
              <w:t>+400</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8" w:line="177" w:lineRule="auto"/>
              <w:rPr>
                <w:sz w:val="21"/>
                <w:szCs w:val="21"/>
              </w:rPr>
            </w:pPr>
            <w:r>
              <w:rPr>
                <w:sz w:val="21"/>
                <w:szCs w:val="21"/>
                <w:spacing w:val="-4"/>
              </w:rPr>
              <w:t>77</w:t>
            </w:r>
          </w:p>
        </w:tc>
        <w:tc>
          <w:tcPr>
            <w:tcW w:w="3148" w:type="dxa"/>
            <w:vAlign w:val="top"/>
          </w:tcPr>
          <w:p>
            <w:pPr>
              <w:pStyle w:val="TableText"/>
              <w:ind w:left="1250"/>
              <w:spacing w:before="37" w:line="196" w:lineRule="auto"/>
              <w:rPr>
                <w:sz w:val="21"/>
                <w:szCs w:val="21"/>
              </w:rPr>
            </w:pPr>
            <w:r>
              <w:rPr>
                <w:sz w:val="21"/>
                <w:szCs w:val="21"/>
                <w:spacing w:val="3"/>
              </w:rPr>
              <w:t>断轨器</w:t>
            </w:r>
          </w:p>
        </w:tc>
        <w:tc>
          <w:tcPr>
            <w:tcW w:w="490" w:type="dxa"/>
            <w:vAlign w:val="top"/>
          </w:tcPr>
          <w:p>
            <w:pPr>
              <w:pStyle w:val="TableText"/>
              <w:ind w:left="131"/>
              <w:spacing w:before="38" w:line="195" w:lineRule="auto"/>
              <w:rPr>
                <w:sz w:val="21"/>
                <w:szCs w:val="21"/>
              </w:rPr>
            </w:pPr>
            <w:r>
              <w:rPr>
                <w:sz w:val="21"/>
                <w:szCs w:val="21"/>
              </w:rPr>
              <w:t>套</w:t>
            </w:r>
          </w:p>
        </w:tc>
        <w:tc>
          <w:tcPr>
            <w:tcW w:w="1749" w:type="dxa"/>
            <w:vAlign w:val="top"/>
          </w:tcPr>
          <w:p>
            <w:pPr>
              <w:pStyle w:val="TableText"/>
              <w:ind w:left="812"/>
              <w:spacing w:before="58" w:line="177" w:lineRule="auto"/>
              <w:rPr>
                <w:sz w:val="21"/>
                <w:szCs w:val="21"/>
              </w:rPr>
            </w:pPr>
            <w:r>
              <w:rPr>
                <w:sz w:val="21"/>
                <w:szCs w:val="21"/>
              </w:rPr>
              <w:t>0</w:t>
            </w:r>
          </w:p>
        </w:tc>
        <w:tc>
          <w:tcPr>
            <w:tcW w:w="2568" w:type="dxa"/>
            <w:vAlign w:val="top"/>
            <w:textDirection w:val="tbRlV"/>
          </w:tcPr>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spacing w:before="71" w:line="147" w:lineRule="exact"/>
              <w:rPr>
                <w:sz w:val="21"/>
                <w:szCs w:val="21"/>
              </w:rPr>
            </w:pPr>
            <w:r>
              <w:rPr>
                <w:sz w:val="21"/>
                <w:szCs w:val="21"/>
                <w:spacing w:val="41"/>
                <w:w w:val="125"/>
                <w:position w:val="-3"/>
              </w:rPr>
              <w:t>2</w:t>
            </w:r>
          </w:p>
        </w:tc>
        <w:tc>
          <w:tcPr>
            <w:tcW w:w="2178" w:type="dxa"/>
            <w:vAlign w:val="top"/>
          </w:tcPr>
          <w:p>
            <w:pPr>
              <w:pStyle w:val="TableText"/>
              <w:ind w:left="974"/>
              <w:spacing w:before="58" w:line="177" w:lineRule="auto"/>
              <w:rPr>
                <w:sz w:val="21"/>
                <w:szCs w:val="21"/>
              </w:rPr>
            </w:pPr>
            <w:r>
              <w:rPr>
                <w:sz w:val="21"/>
                <w:szCs w:val="21"/>
                <w:spacing w:val="-3"/>
              </w:rPr>
              <w:t>+2</w:t>
            </w:r>
          </w:p>
        </w:tc>
        <w:tc>
          <w:tcPr>
            <w:tcW w:w="2498" w:type="dxa"/>
            <w:vAlign w:val="top"/>
            <w:vMerge w:val="continue"/>
            <w:tcBorders>
              <w:top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8" w:line="177" w:lineRule="auto"/>
              <w:rPr>
                <w:sz w:val="21"/>
                <w:szCs w:val="21"/>
              </w:rPr>
            </w:pPr>
            <w:r>
              <w:rPr>
                <w:sz w:val="21"/>
                <w:szCs w:val="21"/>
                <w:spacing w:val="-4"/>
              </w:rPr>
              <w:t>78</w:t>
            </w:r>
          </w:p>
        </w:tc>
        <w:tc>
          <w:tcPr>
            <w:tcW w:w="3148" w:type="dxa"/>
            <w:vAlign w:val="top"/>
          </w:tcPr>
          <w:p>
            <w:pPr>
              <w:pStyle w:val="TableText"/>
              <w:ind w:left="929"/>
              <w:spacing w:before="37" w:line="196" w:lineRule="auto"/>
              <w:rPr>
                <w:sz w:val="21"/>
                <w:szCs w:val="21"/>
              </w:rPr>
            </w:pPr>
            <w:r>
              <w:rPr>
                <w:sz w:val="21"/>
                <w:szCs w:val="21"/>
                <w:spacing w:val="3"/>
              </w:rPr>
              <w:t>修刮工作站台</w:t>
            </w:r>
          </w:p>
        </w:tc>
        <w:tc>
          <w:tcPr>
            <w:tcW w:w="490" w:type="dxa"/>
            <w:vAlign w:val="top"/>
          </w:tcPr>
          <w:p>
            <w:pPr>
              <w:pStyle w:val="TableText"/>
              <w:ind w:left="131"/>
              <w:spacing w:before="40" w:line="193" w:lineRule="auto"/>
              <w:rPr>
                <w:sz w:val="21"/>
                <w:szCs w:val="21"/>
              </w:rPr>
            </w:pPr>
            <w:r>
              <w:rPr>
                <w:sz w:val="21"/>
                <w:szCs w:val="21"/>
                <w:color w:val="504060"/>
              </w:rPr>
              <w:t>张</w:t>
            </w:r>
          </w:p>
        </w:tc>
        <w:tc>
          <w:tcPr>
            <w:tcW w:w="1749" w:type="dxa"/>
            <w:vAlign w:val="top"/>
          </w:tcPr>
          <w:p>
            <w:pPr>
              <w:pStyle w:val="TableText"/>
              <w:ind w:left="812"/>
              <w:spacing w:before="58" w:line="177" w:lineRule="auto"/>
              <w:rPr>
                <w:sz w:val="21"/>
                <w:szCs w:val="21"/>
              </w:rPr>
            </w:pPr>
            <w:r>
              <w:rPr>
                <w:sz w:val="21"/>
                <w:szCs w:val="21"/>
              </w:rPr>
              <w:t>0</w:t>
            </w:r>
          </w:p>
        </w:tc>
        <w:tc>
          <w:tcPr>
            <w:tcW w:w="2568" w:type="dxa"/>
            <w:vAlign w:val="top"/>
          </w:tcPr>
          <w:p>
            <w:pPr>
              <w:pStyle w:val="TableText"/>
              <w:ind w:left="1223"/>
              <w:spacing w:before="58" w:line="177" w:lineRule="auto"/>
              <w:rPr>
                <w:sz w:val="21"/>
                <w:szCs w:val="21"/>
              </w:rPr>
            </w:pPr>
            <w:r>
              <w:rPr>
                <w:sz w:val="21"/>
                <w:szCs w:val="21"/>
              </w:rPr>
              <w:t>2</w:t>
            </w:r>
          </w:p>
        </w:tc>
        <w:tc>
          <w:tcPr>
            <w:tcW w:w="2178" w:type="dxa"/>
            <w:vAlign w:val="top"/>
          </w:tcPr>
          <w:p>
            <w:pPr>
              <w:pStyle w:val="TableText"/>
              <w:ind w:left="974"/>
              <w:spacing w:before="58" w:line="177" w:lineRule="auto"/>
              <w:rPr>
                <w:sz w:val="21"/>
                <w:szCs w:val="21"/>
              </w:rPr>
            </w:pPr>
            <w:r>
              <w:rPr>
                <w:sz w:val="21"/>
                <w:szCs w:val="21"/>
                <w:spacing w:val="-3"/>
              </w:rPr>
              <w:t>+2</w:t>
            </w:r>
          </w:p>
        </w:tc>
        <w:tc>
          <w:tcPr>
            <w:tcW w:w="2498" w:type="dxa"/>
            <w:vAlign w:val="top"/>
            <w:vMerge w:val="restart"/>
            <w:tcBorders>
              <w:bottom w:val="nil"/>
            </w:tcBorders>
          </w:tcPr>
          <w:p>
            <w:pPr>
              <w:pStyle w:val="TableText"/>
              <w:ind w:left="827"/>
              <w:spacing w:before="178" w:line="220" w:lineRule="auto"/>
              <w:rPr>
                <w:sz w:val="21"/>
                <w:szCs w:val="21"/>
              </w:rPr>
            </w:pPr>
            <w:r>
              <w:rPr>
                <w:sz w:val="21"/>
                <w:szCs w:val="21"/>
                <w:spacing w:val="5"/>
              </w:rPr>
              <w:t>工作站台</w:t>
            </w:r>
          </w:p>
        </w:tc>
        <w:tc>
          <w:tcPr>
            <w:tcW w:w="1104" w:type="dxa"/>
            <w:vAlign w:val="top"/>
            <w:vMerge w:val="continue"/>
            <w:tcBorders>
              <w:top w:val="nil"/>
              <w:bottom w:val="nil"/>
            </w:tcBorders>
          </w:tcPr>
          <w:p>
            <w:pPr>
              <w:rPr>
                <w:rFonts w:ascii="Arial"/>
                <w:sz w:val="21"/>
              </w:rPr>
            </w:pPr>
            <w:r/>
          </w:p>
        </w:tc>
      </w:tr>
      <w:tr>
        <w:trPr>
          <w:trHeight w:val="274" w:hRule="atLeast"/>
        </w:trPr>
        <w:tc>
          <w:tcPr>
            <w:tcW w:w="405" w:type="dxa"/>
            <w:vAlign w:val="top"/>
          </w:tcPr>
          <w:p>
            <w:pPr>
              <w:pStyle w:val="TableText"/>
              <w:ind w:left="85"/>
              <w:spacing w:before="58" w:line="181" w:lineRule="auto"/>
              <w:rPr>
                <w:sz w:val="21"/>
                <w:szCs w:val="21"/>
              </w:rPr>
            </w:pPr>
            <w:r>
              <w:rPr>
                <w:sz w:val="21"/>
                <w:szCs w:val="21"/>
                <w:spacing w:val="-4"/>
              </w:rPr>
              <w:t>79</w:t>
            </w:r>
          </w:p>
        </w:tc>
        <w:tc>
          <w:tcPr>
            <w:tcW w:w="3148" w:type="dxa"/>
            <w:vAlign w:val="top"/>
          </w:tcPr>
          <w:p>
            <w:pPr>
              <w:pStyle w:val="TableText"/>
              <w:ind w:left="719"/>
              <w:spacing w:before="37" w:line="199" w:lineRule="auto"/>
              <w:rPr>
                <w:sz w:val="21"/>
                <w:szCs w:val="21"/>
              </w:rPr>
            </w:pPr>
            <w:r>
              <w:rPr>
                <w:sz w:val="21"/>
                <w:szCs w:val="21"/>
                <w:spacing w:val="2"/>
              </w:rPr>
              <w:t>人工修刮工作站台</w:t>
            </w:r>
          </w:p>
        </w:tc>
        <w:tc>
          <w:tcPr>
            <w:tcW w:w="490" w:type="dxa"/>
            <w:vAlign w:val="top"/>
          </w:tcPr>
          <w:p>
            <w:pPr>
              <w:pStyle w:val="TableText"/>
              <w:ind w:left="131"/>
              <w:spacing w:before="39" w:line="197" w:lineRule="auto"/>
              <w:rPr>
                <w:sz w:val="21"/>
                <w:szCs w:val="21"/>
              </w:rPr>
            </w:pPr>
            <w:r>
              <w:rPr>
                <w:sz w:val="21"/>
                <w:szCs w:val="21"/>
                <w:color w:val="907080"/>
              </w:rPr>
              <w:t>张</w:t>
            </w:r>
          </w:p>
        </w:tc>
        <w:tc>
          <w:tcPr>
            <w:tcW w:w="1749" w:type="dxa"/>
            <w:vAlign w:val="top"/>
          </w:tcPr>
          <w:p>
            <w:pPr>
              <w:pStyle w:val="TableText"/>
              <w:ind w:left="812"/>
              <w:spacing w:before="58" w:line="181" w:lineRule="auto"/>
              <w:rPr>
                <w:sz w:val="21"/>
                <w:szCs w:val="21"/>
              </w:rPr>
            </w:pPr>
            <w:r>
              <w:rPr>
                <w:sz w:val="21"/>
                <w:szCs w:val="21"/>
              </w:rPr>
              <w:t>0</w:t>
            </w:r>
          </w:p>
        </w:tc>
        <w:tc>
          <w:tcPr>
            <w:tcW w:w="2568" w:type="dxa"/>
            <w:vAlign w:val="top"/>
            <w:textDirection w:val="tbRlV"/>
          </w:tcPr>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spacing w:before="71" w:line="144" w:lineRule="exact"/>
              <w:rPr>
                <w:sz w:val="21"/>
                <w:szCs w:val="21"/>
              </w:rPr>
            </w:pPr>
            <w:r>
              <w:rPr>
                <w:sz w:val="21"/>
                <w:szCs w:val="21"/>
                <w:color w:val="707060"/>
                <w:spacing w:val="43"/>
                <w:w w:val="125"/>
                <w:position w:val="-3"/>
              </w:rPr>
              <w:t>3</w:t>
            </w:r>
          </w:p>
        </w:tc>
        <w:tc>
          <w:tcPr>
            <w:tcW w:w="2178" w:type="dxa"/>
            <w:vAlign w:val="top"/>
          </w:tcPr>
          <w:p>
            <w:pPr>
              <w:pStyle w:val="TableText"/>
              <w:ind w:left="974"/>
              <w:spacing w:before="58" w:line="181" w:lineRule="auto"/>
              <w:rPr>
                <w:sz w:val="21"/>
                <w:szCs w:val="21"/>
              </w:rPr>
            </w:pPr>
            <w:r>
              <w:rPr>
                <w:sz w:val="21"/>
                <w:szCs w:val="21"/>
                <w:spacing w:val="-3"/>
              </w:rPr>
              <w:t>+3</w:t>
            </w:r>
          </w:p>
        </w:tc>
        <w:tc>
          <w:tcPr>
            <w:tcW w:w="2498" w:type="dxa"/>
            <w:vAlign w:val="top"/>
            <w:vMerge w:val="continue"/>
            <w:tcBorders>
              <w:top w:val="nil"/>
            </w:tcBorders>
          </w:tcPr>
          <w:p>
            <w:pPr>
              <w:rPr>
                <w:rFonts w:ascii="Arial"/>
                <w:sz w:val="21"/>
              </w:rPr>
            </w:pPr>
            <w:r/>
          </w:p>
        </w:tc>
        <w:tc>
          <w:tcPr>
            <w:tcW w:w="1104" w:type="dxa"/>
            <w:vAlign w:val="top"/>
            <w:vMerge w:val="continue"/>
            <w:tcBorders>
              <w:top w:val="nil"/>
            </w:tcBorders>
          </w:tcPr>
          <w:p>
            <w:pPr>
              <w:rPr>
                <w:rFonts w:ascii="Arial"/>
                <w:sz w:val="21"/>
              </w:rPr>
            </w:pPr>
            <w:r/>
          </w:p>
        </w:tc>
      </w:tr>
    </w:tbl>
    <w:p>
      <w:pPr>
        <w:pStyle w:val="BodyText"/>
        <w:rPr/>
      </w:pPr>
      <w:r/>
    </w:p>
    <w:p>
      <w:pPr>
        <w:sectPr>
          <w:footerReference w:type="default" r:id="rId220"/>
          <w:pgSz w:w="16840" w:h="11910"/>
          <w:pgMar w:top="1177" w:right="1354" w:bottom="922" w:left="1334" w:header="885" w:footer="751" w:gutter="0"/>
        </w:sectPr>
        <w:rPr/>
      </w:pPr>
    </w:p>
    <w:p>
      <w:pPr>
        <w:spacing w:before="77"/>
        <w:rPr/>
      </w:pPr>
      <w:r/>
    </w:p>
    <w:p>
      <w:pPr>
        <w:spacing w:before="77"/>
        <w:rPr/>
      </w:pPr>
      <w:r/>
    </w:p>
    <w:tbl>
      <w:tblPr>
        <w:tblStyle w:val="TableNormal"/>
        <w:tblW w:w="1414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05"/>
        <w:gridCol w:w="3158"/>
        <w:gridCol w:w="480"/>
        <w:gridCol w:w="1749"/>
        <w:gridCol w:w="2568"/>
        <w:gridCol w:w="2178"/>
        <w:gridCol w:w="2498"/>
        <w:gridCol w:w="1104"/>
      </w:tblGrid>
      <w:tr>
        <w:trPr>
          <w:trHeight w:val="554" w:hRule="atLeast"/>
        </w:trPr>
        <w:tc>
          <w:tcPr>
            <w:shd w:val="clear" w:fill="BDBDBD"/>
            <w:tcW w:w="405" w:type="dxa"/>
            <w:vAlign w:val="top"/>
            <w:textDirection w:val="tbRlV"/>
          </w:tcPr>
          <w:p>
            <w:pPr>
              <w:pStyle w:val="TableText"/>
              <w:ind w:left="104"/>
              <w:spacing w:before="129" w:line="199" w:lineRule="auto"/>
              <w:rPr>
                <w:sz w:val="16"/>
                <w:szCs w:val="16"/>
              </w:rPr>
            </w:pPr>
            <w:r>
              <w:rPr>
                <w:sz w:val="16"/>
                <w:szCs w:val="16"/>
                <w:b/>
                <w:bCs/>
                <w:spacing w:val="-2"/>
              </w:rPr>
              <w:t>序号</w:t>
            </w:r>
          </w:p>
        </w:tc>
        <w:tc>
          <w:tcPr>
            <w:shd w:val="clear" w:fill="BDBDBD"/>
            <w:tcW w:w="3158" w:type="dxa"/>
            <w:vAlign w:val="top"/>
          </w:tcPr>
          <w:p>
            <w:pPr>
              <w:pStyle w:val="TableText"/>
              <w:ind w:left="1153"/>
              <w:spacing w:before="171" w:line="221" w:lineRule="auto"/>
              <w:rPr>
                <w:sz w:val="21"/>
                <w:szCs w:val="21"/>
              </w:rPr>
            </w:pPr>
            <w:r>
              <w:rPr>
                <w:sz w:val="21"/>
                <w:szCs w:val="21"/>
                <w:b/>
                <w:bCs/>
                <w:spacing w:val="-5"/>
              </w:rPr>
              <w:t>设备名称</w:t>
            </w:r>
          </w:p>
        </w:tc>
        <w:tc>
          <w:tcPr>
            <w:shd w:val="clear" w:fill="BDBDBD"/>
            <w:tcW w:w="480" w:type="dxa"/>
            <w:vAlign w:val="top"/>
          </w:tcPr>
          <w:p>
            <w:pPr>
              <w:pStyle w:val="TableText"/>
              <w:ind w:left="25"/>
              <w:spacing w:before="171" w:line="220" w:lineRule="auto"/>
              <w:rPr>
                <w:sz w:val="21"/>
                <w:szCs w:val="21"/>
              </w:rPr>
            </w:pPr>
            <w:r>
              <w:rPr>
                <w:sz w:val="21"/>
                <w:szCs w:val="21"/>
                <w:b/>
                <w:bCs/>
                <w:spacing w:val="-5"/>
              </w:rPr>
              <w:t>单位</w:t>
            </w:r>
          </w:p>
        </w:tc>
        <w:tc>
          <w:tcPr>
            <w:shd w:val="clear" w:fill="BDBDBD"/>
            <w:tcW w:w="1749" w:type="dxa"/>
            <w:vAlign w:val="top"/>
          </w:tcPr>
          <w:p>
            <w:pPr>
              <w:pStyle w:val="TableText"/>
              <w:ind w:left="25"/>
              <w:spacing w:before="170" w:line="219" w:lineRule="auto"/>
              <w:rPr>
                <w:sz w:val="21"/>
                <w:szCs w:val="21"/>
              </w:rPr>
            </w:pPr>
            <w:r>
              <w:rPr>
                <w:sz w:val="21"/>
                <w:szCs w:val="21"/>
                <w:b/>
                <w:bCs/>
                <w:spacing w:val="-4"/>
              </w:rPr>
              <w:t>现有工程设备数量</w:t>
            </w:r>
          </w:p>
        </w:tc>
        <w:tc>
          <w:tcPr>
            <w:shd w:val="clear" w:fill="BDBDBD"/>
            <w:tcW w:w="2568" w:type="dxa"/>
            <w:vAlign w:val="top"/>
          </w:tcPr>
          <w:p>
            <w:pPr>
              <w:pStyle w:val="TableText"/>
              <w:ind w:left="15"/>
              <w:spacing w:before="169" w:line="219" w:lineRule="auto"/>
              <w:rPr>
                <w:sz w:val="21"/>
                <w:szCs w:val="21"/>
              </w:rPr>
            </w:pPr>
            <w:r>
              <w:rPr>
                <w:sz w:val="21"/>
                <w:szCs w:val="21"/>
                <w:b/>
                <w:bCs/>
                <w:spacing w:val="-3"/>
              </w:rPr>
              <w:t>本项目建成后全厂设备数量</w:t>
            </w:r>
          </w:p>
        </w:tc>
        <w:tc>
          <w:tcPr>
            <w:shd w:val="clear" w:fill="BDBDBD"/>
            <w:tcW w:w="2178" w:type="dxa"/>
            <w:vAlign w:val="top"/>
          </w:tcPr>
          <w:p>
            <w:pPr>
              <w:pStyle w:val="TableText"/>
              <w:ind w:left="37"/>
              <w:spacing w:before="170" w:line="219" w:lineRule="auto"/>
              <w:rPr>
                <w:sz w:val="21"/>
                <w:szCs w:val="21"/>
              </w:rPr>
            </w:pPr>
            <w:r>
              <w:rPr>
                <w:sz w:val="21"/>
                <w:szCs w:val="21"/>
                <w:b/>
                <w:bCs/>
                <w:spacing w:val="-4"/>
              </w:rPr>
              <w:t>项目设备数量变化情况</w:t>
            </w:r>
          </w:p>
        </w:tc>
        <w:tc>
          <w:tcPr>
            <w:shd w:val="clear" w:fill="BDBDBD"/>
            <w:tcW w:w="2498" w:type="dxa"/>
            <w:vAlign w:val="top"/>
          </w:tcPr>
          <w:p>
            <w:pPr>
              <w:pStyle w:val="TableText"/>
              <w:ind w:left="1040"/>
              <w:spacing w:before="171" w:line="221" w:lineRule="auto"/>
              <w:rPr>
                <w:sz w:val="21"/>
                <w:szCs w:val="21"/>
              </w:rPr>
            </w:pPr>
            <w:r>
              <w:rPr>
                <w:sz w:val="21"/>
                <w:szCs w:val="21"/>
                <w:b/>
                <w:bCs/>
                <w:spacing w:val="-5"/>
              </w:rPr>
              <w:t>用途</w:t>
            </w:r>
          </w:p>
        </w:tc>
        <w:tc>
          <w:tcPr>
            <w:shd w:val="clear" w:fill="BDBDBD"/>
            <w:tcW w:w="1104" w:type="dxa"/>
            <w:vAlign w:val="top"/>
          </w:tcPr>
          <w:p>
            <w:pPr>
              <w:pStyle w:val="TableText"/>
              <w:ind w:left="342"/>
              <w:spacing w:before="171" w:line="221" w:lineRule="auto"/>
              <w:rPr>
                <w:sz w:val="21"/>
                <w:szCs w:val="21"/>
              </w:rPr>
            </w:pPr>
            <w:r>
              <w:rPr>
                <w:sz w:val="21"/>
                <w:szCs w:val="21"/>
                <w:b/>
                <w:bCs/>
                <w:spacing w:val="-5"/>
              </w:rPr>
              <w:t>备注</w:t>
            </w:r>
          </w:p>
        </w:tc>
      </w:tr>
      <w:tr>
        <w:trPr>
          <w:trHeight w:val="280" w:hRule="atLeast"/>
        </w:trPr>
        <w:tc>
          <w:tcPr>
            <w:tcW w:w="405" w:type="dxa"/>
            <w:vAlign w:val="top"/>
          </w:tcPr>
          <w:p>
            <w:pPr>
              <w:pStyle w:val="TableText"/>
              <w:ind w:left="85"/>
              <w:spacing w:before="60" w:line="184" w:lineRule="auto"/>
              <w:rPr>
                <w:sz w:val="21"/>
                <w:szCs w:val="21"/>
              </w:rPr>
            </w:pPr>
            <w:r>
              <w:rPr>
                <w:sz w:val="21"/>
                <w:szCs w:val="21"/>
                <w:spacing w:val="-3"/>
              </w:rPr>
              <w:t>80</w:t>
            </w:r>
          </w:p>
        </w:tc>
        <w:tc>
          <w:tcPr>
            <w:tcW w:w="3158" w:type="dxa"/>
            <w:vAlign w:val="top"/>
          </w:tcPr>
          <w:p>
            <w:pPr>
              <w:pStyle w:val="TableText"/>
              <w:ind w:left="410"/>
              <w:spacing w:before="39" w:line="203" w:lineRule="auto"/>
              <w:rPr>
                <w:sz w:val="21"/>
                <w:szCs w:val="21"/>
              </w:rPr>
            </w:pPr>
            <w:r>
              <w:rPr>
                <w:sz w:val="21"/>
                <w:szCs w:val="21"/>
                <w:spacing w:val="2"/>
              </w:rPr>
              <w:t>未脱钩紧急处理工作站台</w:t>
            </w:r>
          </w:p>
        </w:tc>
        <w:tc>
          <w:tcPr>
            <w:tcW w:w="480" w:type="dxa"/>
            <w:vAlign w:val="top"/>
          </w:tcPr>
          <w:p>
            <w:pPr>
              <w:pStyle w:val="TableText"/>
              <w:ind w:left="121"/>
              <w:spacing w:before="41" w:line="201" w:lineRule="auto"/>
              <w:rPr>
                <w:sz w:val="21"/>
                <w:szCs w:val="21"/>
              </w:rPr>
            </w:pPr>
            <w:r>
              <w:rPr>
                <w:sz w:val="21"/>
                <w:szCs w:val="21"/>
              </w:rPr>
              <w:t>张</w:t>
            </w:r>
          </w:p>
        </w:tc>
        <w:tc>
          <w:tcPr>
            <w:tcW w:w="1749" w:type="dxa"/>
            <w:vAlign w:val="top"/>
          </w:tcPr>
          <w:p>
            <w:pPr>
              <w:pStyle w:val="TableText"/>
              <w:ind w:left="812"/>
              <w:spacing w:before="60" w:line="184"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5040"/>
                <w:spacing w:val="44"/>
                <w:w w:val="125"/>
                <w:position w:val="-3"/>
              </w:rPr>
              <w:t>1</w:t>
            </w:r>
          </w:p>
        </w:tc>
        <w:tc>
          <w:tcPr>
            <w:tcW w:w="2178" w:type="dxa"/>
            <w:vAlign w:val="top"/>
          </w:tcPr>
          <w:p>
            <w:pPr>
              <w:pStyle w:val="TableText"/>
              <w:ind w:left="974"/>
              <w:spacing w:before="60" w:line="184" w:lineRule="auto"/>
              <w:rPr>
                <w:sz w:val="21"/>
                <w:szCs w:val="21"/>
              </w:rPr>
            </w:pPr>
            <w:r>
              <w:rPr>
                <w:sz w:val="21"/>
                <w:szCs w:val="21"/>
                <w:spacing w:val="-3"/>
              </w:rPr>
              <w:t>+1</w:t>
            </w:r>
          </w:p>
        </w:tc>
        <w:tc>
          <w:tcPr>
            <w:tcW w:w="2498" w:type="dxa"/>
            <w:vAlign w:val="top"/>
            <w:vMerge w:val="restart"/>
            <w:tcBorders>
              <w:bottom w:val="nil"/>
            </w:tcBorders>
          </w:tcPr>
          <w:p>
            <w:pPr>
              <w:rPr>
                <w:rFonts w:ascii="Arial"/>
                <w:sz w:val="21"/>
              </w:rPr>
            </w:pPr>
            <w:r/>
          </w:p>
        </w:tc>
        <w:tc>
          <w:tcPr>
            <w:tcW w:w="1104" w:type="dxa"/>
            <w:vAlign w:val="top"/>
            <w:vMerge w:val="restart"/>
            <w:tcBorders>
              <w:bottom w:val="nil"/>
            </w:tcBorders>
          </w:tcPr>
          <w:p>
            <w:pPr>
              <w:rPr>
                <w:rFonts w:ascii="Arial"/>
                <w:sz w:val="21"/>
              </w:rPr>
            </w:pPr>
            <w:r/>
          </w:p>
        </w:tc>
      </w:tr>
      <w:tr>
        <w:trPr>
          <w:trHeight w:val="270" w:hRule="atLeast"/>
        </w:trPr>
        <w:tc>
          <w:tcPr>
            <w:tcW w:w="405" w:type="dxa"/>
            <w:vAlign w:val="top"/>
          </w:tcPr>
          <w:p>
            <w:pPr>
              <w:pStyle w:val="TableText"/>
              <w:ind w:left="85"/>
              <w:spacing w:before="50" w:line="184" w:lineRule="auto"/>
              <w:rPr>
                <w:sz w:val="21"/>
                <w:szCs w:val="21"/>
              </w:rPr>
            </w:pPr>
            <w:r>
              <w:rPr>
                <w:sz w:val="21"/>
                <w:szCs w:val="21"/>
                <w:spacing w:val="-3"/>
              </w:rPr>
              <w:t>81</w:t>
            </w:r>
          </w:p>
        </w:tc>
        <w:tc>
          <w:tcPr>
            <w:tcW w:w="3158" w:type="dxa"/>
            <w:vAlign w:val="top"/>
          </w:tcPr>
          <w:p>
            <w:pPr>
              <w:pStyle w:val="TableText"/>
              <w:ind w:left="620"/>
              <w:spacing w:before="29" w:line="203" w:lineRule="auto"/>
              <w:rPr>
                <w:sz w:val="21"/>
                <w:szCs w:val="21"/>
              </w:rPr>
            </w:pPr>
            <w:r>
              <w:rPr>
                <w:sz w:val="21"/>
                <w:szCs w:val="21"/>
                <w:spacing w:val="2"/>
              </w:rPr>
              <w:t>打毛机维护工作站台</w:t>
            </w:r>
          </w:p>
        </w:tc>
        <w:tc>
          <w:tcPr>
            <w:tcW w:w="480" w:type="dxa"/>
            <w:vAlign w:val="top"/>
          </w:tcPr>
          <w:p>
            <w:pPr>
              <w:pStyle w:val="TableText"/>
              <w:ind w:left="121"/>
              <w:spacing w:before="31" w:line="201" w:lineRule="auto"/>
              <w:rPr>
                <w:sz w:val="21"/>
                <w:szCs w:val="21"/>
              </w:rPr>
            </w:pPr>
            <w:r>
              <w:rPr>
                <w:sz w:val="21"/>
                <w:szCs w:val="21"/>
                <w:color w:val="504060"/>
              </w:rPr>
              <w:t>张</w:t>
            </w:r>
          </w:p>
        </w:tc>
        <w:tc>
          <w:tcPr>
            <w:tcW w:w="1749" w:type="dxa"/>
            <w:vAlign w:val="top"/>
          </w:tcPr>
          <w:p>
            <w:pPr>
              <w:pStyle w:val="TableText"/>
              <w:ind w:left="812"/>
              <w:spacing w:before="50" w:line="184" w:lineRule="auto"/>
              <w:rPr>
                <w:sz w:val="21"/>
                <w:szCs w:val="21"/>
              </w:rPr>
            </w:pPr>
            <w:r>
              <w:rPr>
                <w:sz w:val="21"/>
                <w:szCs w:val="21"/>
              </w:rPr>
              <w:t>0</w:t>
            </w:r>
          </w:p>
        </w:tc>
        <w:tc>
          <w:tcPr>
            <w:tcW w:w="2568" w:type="dxa"/>
            <w:vAlign w:val="top"/>
          </w:tcPr>
          <w:p>
            <w:pPr>
              <w:pStyle w:val="TableText"/>
              <w:ind w:left="1223"/>
              <w:spacing w:before="50" w:line="184" w:lineRule="auto"/>
              <w:rPr>
                <w:sz w:val="21"/>
                <w:szCs w:val="21"/>
              </w:rPr>
            </w:pPr>
            <w:r>
              <w:rPr>
                <w:sz w:val="21"/>
                <w:szCs w:val="21"/>
              </w:rPr>
              <w:t>4</w:t>
            </w:r>
          </w:p>
        </w:tc>
        <w:tc>
          <w:tcPr>
            <w:tcW w:w="2178" w:type="dxa"/>
            <w:vAlign w:val="top"/>
          </w:tcPr>
          <w:p>
            <w:pPr>
              <w:pStyle w:val="TableText"/>
              <w:ind w:left="974"/>
              <w:spacing w:before="50" w:line="184" w:lineRule="auto"/>
              <w:rPr>
                <w:sz w:val="21"/>
                <w:szCs w:val="21"/>
              </w:rPr>
            </w:pPr>
            <w:r>
              <w:rPr>
                <w:sz w:val="21"/>
                <w:szCs w:val="21"/>
                <w:spacing w:val="-3"/>
              </w:rPr>
              <w:t>+4</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0" w:line="183" w:lineRule="auto"/>
              <w:rPr>
                <w:sz w:val="21"/>
                <w:szCs w:val="21"/>
              </w:rPr>
            </w:pPr>
            <w:r>
              <w:rPr>
                <w:sz w:val="21"/>
                <w:szCs w:val="21"/>
                <w:spacing w:val="-3"/>
              </w:rPr>
              <w:t>82</w:t>
            </w:r>
          </w:p>
        </w:tc>
        <w:tc>
          <w:tcPr>
            <w:tcW w:w="3158" w:type="dxa"/>
            <w:vAlign w:val="top"/>
          </w:tcPr>
          <w:p>
            <w:pPr>
              <w:pStyle w:val="TableText"/>
              <w:ind w:left="940"/>
              <w:spacing w:before="39" w:line="202" w:lineRule="auto"/>
              <w:rPr>
                <w:sz w:val="21"/>
                <w:szCs w:val="21"/>
              </w:rPr>
            </w:pPr>
            <w:r>
              <w:rPr>
                <w:sz w:val="21"/>
                <w:szCs w:val="21"/>
                <w:spacing w:val="3"/>
              </w:rPr>
              <w:t>去头工作站台</w:t>
            </w:r>
          </w:p>
        </w:tc>
        <w:tc>
          <w:tcPr>
            <w:tcW w:w="480" w:type="dxa"/>
            <w:vAlign w:val="top"/>
          </w:tcPr>
          <w:p>
            <w:pPr>
              <w:pStyle w:val="TableText"/>
              <w:ind w:left="121"/>
              <w:spacing w:before="41" w:line="200" w:lineRule="auto"/>
              <w:rPr>
                <w:sz w:val="21"/>
                <w:szCs w:val="21"/>
              </w:rPr>
            </w:pPr>
            <w:r>
              <w:rPr>
                <w:sz w:val="21"/>
                <w:szCs w:val="21"/>
              </w:rPr>
              <w:t>张</w:t>
            </w:r>
          </w:p>
        </w:tc>
        <w:tc>
          <w:tcPr>
            <w:tcW w:w="1749" w:type="dxa"/>
            <w:vAlign w:val="top"/>
          </w:tcPr>
          <w:p>
            <w:pPr>
              <w:pStyle w:val="TableText"/>
              <w:ind w:left="812"/>
              <w:spacing w:before="60" w:line="183"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4040"/>
                <w:spacing w:val="44"/>
                <w:w w:val="125"/>
                <w:position w:val="-3"/>
              </w:rPr>
              <w:t>1</w:t>
            </w:r>
          </w:p>
        </w:tc>
        <w:tc>
          <w:tcPr>
            <w:tcW w:w="2178" w:type="dxa"/>
            <w:vAlign w:val="top"/>
          </w:tcPr>
          <w:p>
            <w:pPr>
              <w:pStyle w:val="TableText"/>
              <w:ind w:left="974"/>
              <w:spacing w:before="60" w:line="183"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1" w:line="183" w:lineRule="auto"/>
              <w:rPr>
                <w:sz w:val="21"/>
                <w:szCs w:val="21"/>
              </w:rPr>
            </w:pPr>
            <w:r>
              <w:rPr>
                <w:sz w:val="21"/>
                <w:szCs w:val="21"/>
                <w:spacing w:val="-3"/>
              </w:rPr>
              <w:t>83</w:t>
            </w:r>
          </w:p>
        </w:tc>
        <w:tc>
          <w:tcPr>
            <w:tcW w:w="3158" w:type="dxa"/>
            <w:vAlign w:val="top"/>
          </w:tcPr>
          <w:p>
            <w:pPr>
              <w:pStyle w:val="TableText"/>
              <w:ind w:left="940"/>
              <w:spacing w:before="31" w:line="201" w:lineRule="auto"/>
              <w:rPr>
                <w:sz w:val="21"/>
                <w:szCs w:val="21"/>
              </w:rPr>
            </w:pPr>
            <w:r>
              <w:rPr>
                <w:sz w:val="21"/>
                <w:szCs w:val="21"/>
                <w:spacing w:val="3"/>
              </w:rPr>
              <w:t>雕圈工作站台</w:t>
            </w:r>
          </w:p>
        </w:tc>
        <w:tc>
          <w:tcPr>
            <w:tcW w:w="480" w:type="dxa"/>
            <w:vAlign w:val="top"/>
          </w:tcPr>
          <w:p>
            <w:pPr>
              <w:pStyle w:val="TableText"/>
              <w:ind w:left="121"/>
              <w:spacing w:before="32" w:line="200" w:lineRule="auto"/>
              <w:rPr>
                <w:sz w:val="21"/>
                <w:szCs w:val="21"/>
              </w:rPr>
            </w:pPr>
            <w:r>
              <w:rPr>
                <w:sz w:val="21"/>
                <w:szCs w:val="21"/>
              </w:rPr>
              <w:t>张</w:t>
            </w:r>
          </w:p>
        </w:tc>
        <w:tc>
          <w:tcPr>
            <w:tcW w:w="1749" w:type="dxa"/>
            <w:vAlign w:val="top"/>
          </w:tcPr>
          <w:p>
            <w:pPr>
              <w:pStyle w:val="TableText"/>
              <w:ind w:left="812"/>
              <w:spacing w:before="51" w:line="183" w:lineRule="auto"/>
              <w:rPr>
                <w:sz w:val="21"/>
                <w:szCs w:val="21"/>
              </w:rPr>
            </w:pPr>
            <w:r>
              <w:rPr>
                <w:sz w:val="21"/>
                <w:szCs w:val="21"/>
              </w:rPr>
              <w:t>0</w:t>
            </w:r>
          </w:p>
        </w:tc>
        <w:tc>
          <w:tcPr>
            <w:tcW w:w="2568" w:type="dxa"/>
            <w:vAlign w:val="top"/>
            <w:textDirection w:val="tbRlV"/>
          </w:tcPr>
          <w:p>
            <w:pPr>
              <w:spacing w:line="292" w:lineRule="auto"/>
              <w:rPr>
                <w:rFonts w:ascii="Arial"/>
                <w:sz w:val="21"/>
              </w:rPr>
            </w:pPr>
            <w:r/>
          </w:p>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24"/>
              <w:spacing w:before="54" w:line="96" w:lineRule="exact"/>
              <w:rPr>
                <w:sz w:val="16"/>
                <w:szCs w:val="16"/>
              </w:rPr>
            </w:pPr>
            <w:r>
              <w:rPr>
                <w:sz w:val="16"/>
                <w:szCs w:val="16"/>
                <w:color w:val="505040"/>
                <w:spacing w:val="38"/>
                <w:w w:val="125"/>
                <w:position w:val="-2"/>
              </w:rPr>
              <w:t>1</w:t>
            </w:r>
          </w:p>
        </w:tc>
        <w:tc>
          <w:tcPr>
            <w:tcW w:w="2178" w:type="dxa"/>
            <w:vAlign w:val="top"/>
          </w:tcPr>
          <w:p>
            <w:pPr>
              <w:pStyle w:val="TableText"/>
              <w:ind w:left="974"/>
              <w:spacing w:before="51" w:line="183"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80" w:hRule="atLeast"/>
        </w:trPr>
        <w:tc>
          <w:tcPr>
            <w:tcW w:w="405" w:type="dxa"/>
            <w:vAlign w:val="top"/>
          </w:tcPr>
          <w:p>
            <w:pPr>
              <w:pStyle w:val="TableText"/>
              <w:ind w:left="85"/>
              <w:spacing w:before="61" w:line="183" w:lineRule="auto"/>
              <w:rPr>
                <w:sz w:val="21"/>
                <w:szCs w:val="21"/>
              </w:rPr>
            </w:pPr>
            <w:r>
              <w:rPr>
                <w:sz w:val="21"/>
                <w:szCs w:val="21"/>
                <w:spacing w:val="-3"/>
              </w:rPr>
              <w:t>84</w:t>
            </w:r>
          </w:p>
        </w:tc>
        <w:tc>
          <w:tcPr>
            <w:tcW w:w="3158" w:type="dxa"/>
            <w:vAlign w:val="top"/>
          </w:tcPr>
          <w:p>
            <w:pPr>
              <w:pStyle w:val="TableText"/>
              <w:ind w:left="940"/>
              <w:spacing w:before="41" w:line="201" w:lineRule="auto"/>
              <w:rPr>
                <w:sz w:val="21"/>
                <w:szCs w:val="21"/>
              </w:rPr>
            </w:pPr>
            <w:r>
              <w:rPr>
                <w:sz w:val="21"/>
                <w:szCs w:val="21"/>
                <w:spacing w:val="3"/>
              </w:rPr>
              <w:t>开胸工作站台</w:t>
            </w:r>
          </w:p>
        </w:tc>
        <w:tc>
          <w:tcPr>
            <w:tcW w:w="480" w:type="dxa"/>
            <w:vAlign w:val="top"/>
          </w:tcPr>
          <w:p>
            <w:pPr>
              <w:pStyle w:val="TableText"/>
              <w:ind w:left="121"/>
              <w:spacing w:before="42" w:line="200" w:lineRule="auto"/>
              <w:rPr>
                <w:sz w:val="21"/>
                <w:szCs w:val="21"/>
              </w:rPr>
            </w:pPr>
            <w:r>
              <w:rPr>
                <w:sz w:val="21"/>
                <w:szCs w:val="21"/>
              </w:rPr>
              <w:t>张</w:t>
            </w:r>
          </w:p>
        </w:tc>
        <w:tc>
          <w:tcPr>
            <w:tcW w:w="1749" w:type="dxa"/>
            <w:vAlign w:val="top"/>
          </w:tcPr>
          <w:p>
            <w:pPr>
              <w:pStyle w:val="TableText"/>
              <w:ind w:left="812"/>
              <w:spacing w:before="61" w:line="183" w:lineRule="auto"/>
              <w:rPr>
                <w:sz w:val="21"/>
                <w:szCs w:val="21"/>
              </w:rPr>
            </w:pPr>
            <w:r>
              <w:rPr>
                <w:sz w:val="21"/>
                <w:szCs w:val="21"/>
              </w:rPr>
              <w:t>0</w:t>
            </w:r>
          </w:p>
        </w:tc>
        <w:tc>
          <w:tcPr>
            <w:tcW w:w="2568" w:type="dxa"/>
            <w:vAlign w:val="top"/>
            <w:textDirection w:val="tbRlV"/>
          </w:tcPr>
          <w:p>
            <w:pPr>
              <w:spacing w:line="292" w:lineRule="auto"/>
              <w:rPr>
                <w:rFonts w:ascii="Arial"/>
                <w:sz w:val="21"/>
              </w:rPr>
            </w:pPr>
            <w:r/>
          </w:p>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24"/>
              <w:spacing w:before="54" w:line="96" w:lineRule="exact"/>
              <w:rPr>
                <w:sz w:val="16"/>
                <w:szCs w:val="16"/>
              </w:rPr>
            </w:pPr>
            <w:r>
              <w:rPr>
                <w:sz w:val="16"/>
                <w:szCs w:val="16"/>
                <w:color w:val="504040"/>
                <w:spacing w:val="38"/>
                <w:w w:val="125"/>
                <w:position w:val="-2"/>
              </w:rPr>
              <w:t>1</w:t>
            </w:r>
          </w:p>
        </w:tc>
        <w:tc>
          <w:tcPr>
            <w:tcW w:w="2178" w:type="dxa"/>
            <w:vAlign w:val="top"/>
          </w:tcPr>
          <w:p>
            <w:pPr>
              <w:pStyle w:val="TableText"/>
              <w:ind w:left="974"/>
              <w:spacing w:before="61" w:line="183"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1" w:line="183" w:lineRule="auto"/>
              <w:rPr>
                <w:sz w:val="21"/>
                <w:szCs w:val="21"/>
              </w:rPr>
            </w:pPr>
            <w:r>
              <w:rPr>
                <w:sz w:val="21"/>
                <w:szCs w:val="21"/>
                <w:spacing w:val="-3"/>
              </w:rPr>
              <w:t>85</w:t>
            </w:r>
          </w:p>
        </w:tc>
        <w:tc>
          <w:tcPr>
            <w:tcW w:w="3158" w:type="dxa"/>
            <w:vAlign w:val="top"/>
          </w:tcPr>
          <w:p>
            <w:pPr>
              <w:pStyle w:val="TableText"/>
              <w:ind w:left="830"/>
              <w:spacing w:before="31" w:line="201" w:lineRule="auto"/>
              <w:rPr>
                <w:sz w:val="21"/>
                <w:szCs w:val="21"/>
              </w:rPr>
            </w:pPr>
            <w:r>
              <w:rPr>
                <w:sz w:val="21"/>
                <w:szCs w:val="21"/>
                <w:spacing w:val="3"/>
              </w:rPr>
              <w:t>取白脏工作站台</w:t>
            </w:r>
          </w:p>
        </w:tc>
        <w:tc>
          <w:tcPr>
            <w:tcW w:w="480" w:type="dxa"/>
            <w:vAlign w:val="top"/>
          </w:tcPr>
          <w:p>
            <w:pPr>
              <w:pStyle w:val="TableText"/>
              <w:ind w:left="121"/>
              <w:spacing w:before="32" w:line="200" w:lineRule="auto"/>
              <w:rPr>
                <w:sz w:val="21"/>
                <w:szCs w:val="21"/>
              </w:rPr>
            </w:pPr>
            <w:r>
              <w:rPr>
                <w:sz w:val="21"/>
                <w:szCs w:val="21"/>
                <w:color w:val="505060"/>
              </w:rPr>
              <w:t>张</w:t>
            </w:r>
          </w:p>
        </w:tc>
        <w:tc>
          <w:tcPr>
            <w:tcW w:w="1749" w:type="dxa"/>
            <w:vAlign w:val="top"/>
          </w:tcPr>
          <w:p>
            <w:pPr>
              <w:pStyle w:val="TableText"/>
              <w:ind w:left="812"/>
              <w:spacing w:before="51" w:line="183"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5040"/>
                <w:spacing w:val="35"/>
                <w:w w:val="125"/>
                <w:position w:val="-3"/>
              </w:rPr>
              <w:t>1</w:t>
            </w:r>
          </w:p>
        </w:tc>
        <w:tc>
          <w:tcPr>
            <w:tcW w:w="2178" w:type="dxa"/>
            <w:vAlign w:val="top"/>
          </w:tcPr>
          <w:p>
            <w:pPr>
              <w:pStyle w:val="TableText"/>
              <w:ind w:left="974"/>
              <w:spacing w:before="51" w:line="183"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80" w:hRule="atLeast"/>
        </w:trPr>
        <w:tc>
          <w:tcPr>
            <w:tcW w:w="405" w:type="dxa"/>
            <w:vAlign w:val="top"/>
          </w:tcPr>
          <w:p>
            <w:pPr>
              <w:pStyle w:val="TableText"/>
              <w:ind w:left="85"/>
              <w:spacing w:before="61" w:line="183" w:lineRule="auto"/>
              <w:rPr>
                <w:sz w:val="21"/>
                <w:szCs w:val="21"/>
              </w:rPr>
            </w:pPr>
            <w:r>
              <w:rPr>
                <w:sz w:val="21"/>
                <w:szCs w:val="21"/>
                <w:spacing w:val="-3"/>
              </w:rPr>
              <w:t>86</w:t>
            </w:r>
          </w:p>
        </w:tc>
        <w:tc>
          <w:tcPr>
            <w:tcW w:w="3158" w:type="dxa"/>
            <w:vAlign w:val="top"/>
          </w:tcPr>
          <w:p>
            <w:pPr>
              <w:pStyle w:val="TableText"/>
              <w:ind w:left="830"/>
              <w:spacing w:before="41" w:line="201" w:lineRule="auto"/>
              <w:rPr>
                <w:sz w:val="21"/>
                <w:szCs w:val="21"/>
              </w:rPr>
            </w:pPr>
            <w:r>
              <w:rPr>
                <w:sz w:val="21"/>
                <w:szCs w:val="21"/>
                <w:spacing w:val="3"/>
              </w:rPr>
              <w:t>取红脏工作站台</w:t>
            </w:r>
          </w:p>
        </w:tc>
        <w:tc>
          <w:tcPr>
            <w:tcW w:w="480" w:type="dxa"/>
            <w:vAlign w:val="top"/>
          </w:tcPr>
          <w:p>
            <w:pPr>
              <w:pStyle w:val="TableText"/>
              <w:ind w:left="121"/>
              <w:spacing w:before="42" w:line="200" w:lineRule="auto"/>
              <w:rPr>
                <w:sz w:val="21"/>
                <w:szCs w:val="21"/>
              </w:rPr>
            </w:pPr>
            <w:r>
              <w:rPr>
                <w:sz w:val="21"/>
                <w:szCs w:val="21"/>
                <w:color w:val="303040"/>
              </w:rPr>
              <w:t>张</w:t>
            </w:r>
          </w:p>
        </w:tc>
        <w:tc>
          <w:tcPr>
            <w:tcW w:w="1749" w:type="dxa"/>
            <w:vAlign w:val="top"/>
          </w:tcPr>
          <w:p>
            <w:pPr>
              <w:pStyle w:val="TableText"/>
              <w:ind w:left="812"/>
              <w:spacing w:before="61" w:line="183" w:lineRule="auto"/>
              <w:rPr>
                <w:sz w:val="21"/>
                <w:szCs w:val="21"/>
              </w:rPr>
            </w:pPr>
            <w:r>
              <w:rPr>
                <w:sz w:val="21"/>
                <w:szCs w:val="21"/>
              </w:rPr>
              <w:t>0</w:t>
            </w:r>
          </w:p>
        </w:tc>
        <w:tc>
          <w:tcPr>
            <w:tcW w:w="2568" w:type="dxa"/>
            <w:vAlign w:val="top"/>
            <w:textDirection w:val="tbRlV"/>
          </w:tcPr>
          <w:p>
            <w:pPr>
              <w:spacing w:line="292" w:lineRule="auto"/>
              <w:rPr>
                <w:rFonts w:ascii="Arial"/>
                <w:sz w:val="21"/>
              </w:rPr>
            </w:pPr>
            <w:r/>
          </w:p>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24"/>
              <w:spacing w:before="54" w:line="96" w:lineRule="exact"/>
              <w:rPr>
                <w:sz w:val="16"/>
                <w:szCs w:val="16"/>
              </w:rPr>
            </w:pPr>
            <w:r>
              <w:rPr>
                <w:sz w:val="16"/>
                <w:szCs w:val="16"/>
                <w:color w:val="404030"/>
                <w:spacing w:val="38"/>
                <w:w w:val="125"/>
                <w:position w:val="-2"/>
              </w:rPr>
              <w:t>1</w:t>
            </w:r>
          </w:p>
        </w:tc>
        <w:tc>
          <w:tcPr>
            <w:tcW w:w="2178" w:type="dxa"/>
            <w:vAlign w:val="top"/>
          </w:tcPr>
          <w:p>
            <w:pPr>
              <w:pStyle w:val="TableText"/>
              <w:ind w:left="974"/>
              <w:spacing w:before="61" w:line="183"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40" w:hRule="atLeast"/>
        </w:trPr>
        <w:tc>
          <w:tcPr>
            <w:tcW w:w="405" w:type="dxa"/>
            <w:vAlign w:val="top"/>
          </w:tcPr>
          <w:p>
            <w:pPr>
              <w:pStyle w:val="TableText"/>
              <w:ind w:left="85"/>
              <w:spacing w:before="41" w:line="166" w:lineRule="auto"/>
              <w:rPr>
                <w:sz w:val="21"/>
                <w:szCs w:val="21"/>
              </w:rPr>
            </w:pPr>
            <w:r>
              <w:rPr>
                <w:sz w:val="21"/>
                <w:szCs w:val="21"/>
                <w:spacing w:val="-3"/>
              </w:rPr>
              <w:t>87</w:t>
            </w:r>
          </w:p>
        </w:tc>
        <w:tc>
          <w:tcPr>
            <w:tcW w:w="3158" w:type="dxa"/>
            <w:vAlign w:val="top"/>
          </w:tcPr>
          <w:p>
            <w:pPr>
              <w:pStyle w:val="TableText"/>
              <w:ind w:left="730"/>
              <w:spacing w:before="20" w:line="184" w:lineRule="auto"/>
              <w:rPr>
                <w:sz w:val="21"/>
                <w:szCs w:val="21"/>
              </w:rPr>
            </w:pPr>
            <w:r>
              <w:rPr>
                <w:sz w:val="21"/>
                <w:szCs w:val="21"/>
                <w:spacing w:val="2"/>
              </w:rPr>
              <w:t>旋检取样工作站台</w:t>
            </w:r>
          </w:p>
        </w:tc>
        <w:tc>
          <w:tcPr>
            <w:tcW w:w="480" w:type="dxa"/>
            <w:vAlign w:val="top"/>
          </w:tcPr>
          <w:p>
            <w:pPr>
              <w:pStyle w:val="TableText"/>
              <w:ind w:left="121"/>
              <w:spacing w:before="22" w:line="182" w:lineRule="auto"/>
              <w:rPr>
                <w:sz w:val="21"/>
                <w:szCs w:val="21"/>
              </w:rPr>
            </w:pPr>
            <w:r>
              <w:rPr>
                <w:sz w:val="21"/>
                <w:szCs w:val="21"/>
              </w:rPr>
              <w:t>张</w:t>
            </w:r>
          </w:p>
        </w:tc>
        <w:tc>
          <w:tcPr>
            <w:tcW w:w="1749" w:type="dxa"/>
            <w:vAlign w:val="top"/>
          </w:tcPr>
          <w:p>
            <w:pPr>
              <w:pStyle w:val="TableText"/>
              <w:ind w:left="812"/>
              <w:spacing w:before="41" w:line="166" w:lineRule="auto"/>
              <w:rPr>
                <w:sz w:val="21"/>
                <w:szCs w:val="21"/>
              </w:rPr>
            </w:pPr>
            <w:r>
              <w:rPr>
                <w:sz w:val="21"/>
                <w:szCs w:val="21"/>
              </w:rPr>
              <w:t>0</w:t>
            </w:r>
          </w:p>
        </w:tc>
        <w:tc>
          <w:tcPr>
            <w:tcW w:w="2568" w:type="dxa"/>
            <w:vAlign w:val="top"/>
          </w:tcPr>
          <w:p>
            <w:pPr>
              <w:pStyle w:val="TableText"/>
              <w:ind w:left="1223"/>
              <w:spacing w:before="41" w:line="166" w:lineRule="auto"/>
              <w:rPr>
                <w:sz w:val="21"/>
                <w:szCs w:val="21"/>
              </w:rPr>
            </w:pPr>
            <w:r>
              <w:rPr>
                <w:sz w:val="21"/>
                <w:szCs w:val="21"/>
                <w:color w:val="404040"/>
              </w:rPr>
              <w:t>1</w:t>
            </w:r>
          </w:p>
        </w:tc>
        <w:tc>
          <w:tcPr>
            <w:tcW w:w="2178" w:type="dxa"/>
            <w:vAlign w:val="top"/>
          </w:tcPr>
          <w:p>
            <w:pPr>
              <w:pStyle w:val="TableText"/>
              <w:ind w:left="974"/>
              <w:spacing w:before="41" w:line="166"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1" w:line="182" w:lineRule="auto"/>
              <w:rPr>
                <w:sz w:val="21"/>
                <w:szCs w:val="21"/>
              </w:rPr>
            </w:pPr>
            <w:r>
              <w:rPr>
                <w:sz w:val="21"/>
                <w:szCs w:val="21"/>
                <w:spacing w:val="-3"/>
              </w:rPr>
              <w:t>88</w:t>
            </w:r>
          </w:p>
        </w:tc>
        <w:tc>
          <w:tcPr>
            <w:tcW w:w="3158" w:type="dxa"/>
            <w:vAlign w:val="top"/>
          </w:tcPr>
          <w:p>
            <w:pPr>
              <w:pStyle w:val="TableText"/>
              <w:ind w:left="940"/>
              <w:spacing w:before="41" w:line="200" w:lineRule="auto"/>
              <w:rPr>
                <w:sz w:val="21"/>
                <w:szCs w:val="21"/>
              </w:rPr>
            </w:pPr>
            <w:r>
              <w:rPr>
                <w:sz w:val="21"/>
                <w:szCs w:val="21"/>
                <w:spacing w:val="3"/>
              </w:rPr>
              <w:t>劈半工作站台</w:t>
            </w:r>
          </w:p>
        </w:tc>
        <w:tc>
          <w:tcPr>
            <w:tcW w:w="480" w:type="dxa"/>
            <w:vAlign w:val="top"/>
          </w:tcPr>
          <w:p>
            <w:pPr>
              <w:pStyle w:val="TableText"/>
              <w:ind w:left="121"/>
              <w:spacing w:before="42" w:line="199" w:lineRule="auto"/>
              <w:rPr>
                <w:sz w:val="21"/>
                <w:szCs w:val="21"/>
              </w:rPr>
            </w:pPr>
            <w:r>
              <w:rPr>
                <w:sz w:val="21"/>
                <w:szCs w:val="21"/>
                <w:color w:val="404050"/>
              </w:rPr>
              <w:t>张</w:t>
            </w:r>
          </w:p>
        </w:tc>
        <w:tc>
          <w:tcPr>
            <w:tcW w:w="1749" w:type="dxa"/>
            <w:vAlign w:val="top"/>
          </w:tcPr>
          <w:p>
            <w:pPr>
              <w:pStyle w:val="TableText"/>
              <w:ind w:left="812"/>
              <w:spacing w:before="61" w:line="182"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404040"/>
                <w:spacing w:val="45"/>
                <w:w w:val="125"/>
                <w:position w:val="-3"/>
              </w:rPr>
              <w:t>1</w:t>
            </w:r>
          </w:p>
        </w:tc>
        <w:tc>
          <w:tcPr>
            <w:tcW w:w="2178" w:type="dxa"/>
            <w:vAlign w:val="top"/>
          </w:tcPr>
          <w:p>
            <w:pPr>
              <w:pStyle w:val="TableText"/>
              <w:ind w:left="974"/>
              <w:spacing w:before="61" w:line="182"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2" w:line="182" w:lineRule="auto"/>
              <w:rPr>
                <w:sz w:val="21"/>
                <w:szCs w:val="21"/>
              </w:rPr>
            </w:pPr>
            <w:r>
              <w:rPr>
                <w:sz w:val="21"/>
                <w:szCs w:val="21"/>
                <w:spacing w:val="-3"/>
              </w:rPr>
              <w:t>89</w:t>
            </w:r>
          </w:p>
        </w:tc>
        <w:tc>
          <w:tcPr>
            <w:tcW w:w="3158" w:type="dxa"/>
            <w:vAlign w:val="top"/>
          </w:tcPr>
          <w:p>
            <w:pPr>
              <w:pStyle w:val="TableText"/>
              <w:ind w:left="730"/>
              <w:spacing w:before="31" w:line="201" w:lineRule="auto"/>
              <w:rPr>
                <w:sz w:val="21"/>
                <w:szCs w:val="21"/>
              </w:rPr>
            </w:pPr>
            <w:r>
              <w:rPr>
                <w:sz w:val="21"/>
                <w:szCs w:val="21"/>
                <w:spacing w:val="2"/>
              </w:rPr>
              <w:t>胴体检疫工作站台</w:t>
            </w:r>
          </w:p>
        </w:tc>
        <w:tc>
          <w:tcPr>
            <w:tcW w:w="480" w:type="dxa"/>
            <w:vAlign w:val="top"/>
          </w:tcPr>
          <w:p>
            <w:pPr>
              <w:pStyle w:val="TableText"/>
              <w:ind w:left="121"/>
              <w:spacing w:before="33" w:line="199" w:lineRule="auto"/>
              <w:rPr>
                <w:sz w:val="21"/>
                <w:szCs w:val="21"/>
              </w:rPr>
            </w:pPr>
            <w:r>
              <w:rPr>
                <w:sz w:val="21"/>
                <w:szCs w:val="21"/>
                <w:color w:val="504050"/>
              </w:rPr>
              <w:t>张</w:t>
            </w:r>
          </w:p>
        </w:tc>
        <w:tc>
          <w:tcPr>
            <w:tcW w:w="1749" w:type="dxa"/>
            <w:vAlign w:val="top"/>
          </w:tcPr>
          <w:p>
            <w:pPr>
              <w:pStyle w:val="TableText"/>
              <w:ind w:left="812"/>
              <w:spacing w:before="52" w:line="182" w:lineRule="auto"/>
              <w:rPr>
                <w:sz w:val="21"/>
                <w:szCs w:val="21"/>
              </w:rPr>
            </w:pPr>
            <w:r>
              <w:rPr>
                <w:sz w:val="21"/>
                <w:szCs w:val="21"/>
              </w:rPr>
              <w:t>0</w:t>
            </w:r>
          </w:p>
        </w:tc>
        <w:tc>
          <w:tcPr>
            <w:tcW w:w="2568" w:type="dxa"/>
            <w:vAlign w:val="top"/>
            <w:textDirection w:val="tbRlV"/>
          </w:tcPr>
          <w:p>
            <w:pPr>
              <w:spacing w:line="292" w:lineRule="auto"/>
              <w:rPr>
                <w:rFonts w:ascii="Arial"/>
                <w:sz w:val="21"/>
              </w:rPr>
            </w:pPr>
            <w:r/>
          </w:p>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25"/>
              <w:spacing w:before="54" w:line="96" w:lineRule="exact"/>
              <w:rPr>
                <w:sz w:val="16"/>
                <w:szCs w:val="16"/>
              </w:rPr>
            </w:pPr>
            <w:r>
              <w:rPr>
                <w:sz w:val="16"/>
                <w:szCs w:val="16"/>
                <w:color w:val="505040"/>
                <w:spacing w:val="38"/>
                <w:w w:val="125"/>
                <w:position w:val="-2"/>
              </w:rPr>
              <w:t>1</w:t>
            </w:r>
          </w:p>
        </w:tc>
        <w:tc>
          <w:tcPr>
            <w:tcW w:w="2178" w:type="dxa"/>
            <w:vAlign w:val="top"/>
          </w:tcPr>
          <w:p>
            <w:pPr>
              <w:pStyle w:val="TableText"/>
              <w:ind w:left="974"/>
              <w:spacing w:before="52" w:line="182"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3" w:line="181" w:lineRule="auto"/>
              <w:rPr>
                <w:sz w:val="21"/>
                <w:szCs w:val="21"/>
              </w:rPr>
            </w:pPr>
            <w:r>
              <w:rPr>
                <w:sz w:val="21"/>
                <w:szCs w:val="21"/>
                <w:spacing w:val="-3"/>
              </w:rPr>
              <w:t>90</w:t>
            </w:r>
          </w:p>
        </w:tc>
        <w:tc>
          <w:tcPr>
            <w:tcW w:w="3158" w:type="dxa"/>
            <w:vAlign w:val="top"/>
          </w:tcPr>
          <w:p>
            <w:pPr>
              <w:pStyle w:val="TableText"/>
              <w:ind w:left="730"/>
              <w:spacing w:before="41" w:line="200" w:lineRule="auto"/>
              <w:rPr>
                <w:sz w:val="21"/>
                <w:szCs w:val="21"/>
              </w:rPr>
            </w:pPr>
            <w:r>
              <w:rPr>
                <w:sz w:val="21"/>
                <w:szCs w:val="21"/>
                <w:spacing w:val="2"/>
              </w:rPr>
              <w:t>内脏检疫工作站台</w:t>
            </w:r>
          </w:p>
        </w:tc>
        <w:tc>
          <w:tcPr>
            <w:tcW w:w="480" w:type="dxa"/>
            <w:vAlign w:val="top"/>
          </w:tcPr>
          <w:p>
            <w:pPr>
              <w:pStyle w:val="TableText"/>
              <w:ind w:left="121"/>
              <w:spacing w:before="43" w:line="198" w:lineRule="auto"/>
              <w:rPr>
                <w:sz w:val="21"/>
                <w:szCs w:val="21"/>
              </w:rPr>
            </w:pPr>
            <w:r>
              <w:rPr>
                <w:sz w:val="21"/>
                <w:szCs w:val="21"/>
              </w:rPr>
              <w:t>张</w:t>
            </w:r>
          </w:p>
        </w:tc>
        <w:tc>
          <w:tcPr>
            <w:tcW w:w="1749" w:type="dxa"/>
            <w:vAlign w:val="top"/>
          </w:tcPr>
          <w:p>
            <w:pPr>
              <w:pStyle w:val="TableText"/>
              <w:ind w:left="812"/>
              <w:spacing w:before="63" w:line="181" w:lineRule="auto"/>
              <w:rPr>
                <w:sz w:val="21"/>
                <w:szCs w:val="21"/>
              </w:rPr>
            </w:pPr>
            <w:r>
              <w:rPr>
                <w:sz w:val="21"/>
                <w:szCs w:val="21"/>
              </w:rPr>
              <w:t>0</w:t>
            </w:r>
          </w:p>
        </w:tc>
        <w:tc>
          <w:tcPr>
            <w:tcW w:w="2568" w:type="dxa"/>
            <w:vAlign w:val="top"/>
            <w:textDirection w:val="tbRlV"/>
          </w:tcPr>
          <w:p>
            <w:pPr>
              <w:spacing w:line="289" w:lineRule="auto"/>
              <w:rPr>
                <w:rFonts w:ascii="Arial"/>
                <w:sz w:val="21"/>
              </w:rPr>
            </w:pPr>
            <w:r/>
          </w:p>
          <w:p>
            <w:pPr>
              <w:spacing w:line="289"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68"/>
              <w:spacing w:before="37" w:line="211" w:lineRule="auto"/>
              <w:rPr>
                <w:sz w:val="11"/>
                <w:szCs w:val="11"/>
              </w:rPr>
            </w:pPr>
            <w:r>
              <w:rPr>
                <w:sz w:val="11"/>
                <w:szCs w:val="11"/>
                <w:color w:val="404040"/>
              </w:rPr>
              <w:t>工</w:t>
            </w:r>
          </w:p>
        </w:tc>
        <w:tc>
          <w:tcPr>
            <w:tcW w:w="2178" w:type="dxa"/>
            <w:vAlign w:val="top"/>
          </w:tcPr>
          <w:p>
            <w:pPr>
              <w:pStyle w:val="TableText"/>
              <w:ind w:left="974"/>
              <w:spacing w:before="63" w:line="181"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4" w:line="181" w:lineRule="auto"/>
              <w:rPr>
                <w:sz w:val="21"/>
                <w:szCs w:val="21"/>
              </w:rPr>
            </w:pPr>
            <w:r>
              <w:rPr>
                <w:sz w:val="21"/>
                <w:szCs w:val="21"/>
                <w:spacing w:val="-3"/>
              </w:rPr>
              <w:t>91</w:t>
            </w:r>
          </w:p>
        </w:tc>
        <w:tc>
          <w:tcPr>
            <w:tcW w:w="3158" w:type="dxa"/>
            <w:vAlign w:val="top"/>
          </w:tcPr>
          <w:p>
            <w:pPr>
              <w:pStyle w:val="TableText"/>
              <w:ind w:left="730"/>
              <w:spacing w:before="32" w:line="200" w:lineRule="auto"/>
              <w:rPr>
                <w:sz w:val="21"/>
                <w:szCs w:val="21"/>
              </w:rPr>
            </w:pPr>
            <w:r>
              <w:rPr>
                <w:sz w:val="21"/>
                <w:szCs w:val="21"/>
                <w:spacing w:val="-2"/>
              </w:rPr>
              <w:t>组合式刀具消毒器</w:t>
            </w:r>
          </w:p>
        </w:tc>
        <w:tc>
          <w:tcPr>
            <w:tcW w:w="480" w:type="dxa"/>
            <w:vAlign w:val="top"/>
          </w:tcPr>
          <w:p>
            <w:pPr>
              <w:pStyle w:val="TableText"/>
              <w:ind w:left="121"/>
              <w:spacing w:before="33" w:line="199" w:lineRule="auto"/>
              <w:rPr>
                <w:sz w:val="21"/>
                <w:szCs w:val="21"/>
              </w:rPr>
            </w:pPr>
            <w:r>
              <w:rPr>
                <w:sz w:val="21"/>
                <w:szCs w:val="21"/>
              </w:rPr>
              <w:t>套</w:t>
            </w:r>
          </w:p>
        </w:tc>
        <w:tc>
          <w:tcPr>
            <w:tcW w:w="1749" w:type="dxa"/>
            <w:vAlign w:val="top"/>
          </w:tcPr>
          <w:p>
            <w:pPr>
              <w:pStyle w:val="TableText"/>
              <w:ind w:left="812"/>
              <w:spacing w:before="54" w:line="181" w:lineRule="auto"/>
              <w:rPr>
                <w:sz w:val="21"/>
                <w:szCs w:val="21"/>
              </w:rPr>
            </w:pPr>
            <w:r>
              <w:rPr>
                <w:sz w:val="21"/>
                <w:szCs w:val="21"/>
              </w:rPr>
              <w:t>0</w:t>
            </w:r>
          </w:p>
        </w:tc>
        <w:tc>
          <w:tcPr>
            <w:tcW w:w="2568" w:type="dxa"/>
            <w:vAlign w:val="top"/>
            <w:textDirection w:val="tbRlV"/>
          </w:tcPr>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spacing w:before="71" w:line="144" w:lineRule="exact"/>
              <w:rPr>
                <w:sz w:val="21"/>
                <w:szCs w:val="21"/>
              </w:rPr>
            </w:pPr>
            <w:r>
              <w:rPr>
                <w:sz w:val="21"/>
                <w:szCs w:val="21"/>
                <w:spacing w:val="38"/>
                <w:w w:val="125"/>
                <w:position w:val="-3"/>
              </w:rPr>
              <w:t>3</w:t>
            </w:r>
          </w:p>
        </w:tc>
        <w:tc>
          <w:tcPr>
            <w:tcW w:w="2178" w:type="dxa"/>
            <w:vAlign w:val="top"/>
          </w:tcPr>
          <w:p>
            <w:pPr>
              <w:pStyle w:val="TableText"/>
              <w:ind w:left="974"/>
              <w:spacing w:before="54" w:line="181" w:lineRule="auto"/>
              <w:rPr>
                <w:sz w:val="21"/>
                <w:szCs w:val="21"/>
              </w:rPr>
            </w:pPr>
            <w:r>
              <w:rPr>
                <w:sz w:val="21"/>
                <w:szCs w:val="21"/>
                <w:spacing w:val="-3"/>
              </w:rPr>
              <w:t>+3</w:t>
            </w:r>
          </w:p>
        </w:tc>
        <w:tc>
          <w:tcPr>
            <w:tcW w:w="2498" w:type="dxa"/>
            <w:vAlign w:val="top"/>
            <w:vMerge w:val="continue"/>
            <w:tcBorders>
              <w:top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3" w:line="181" w:lineRule="auto"/>
              <w:rPr>
                <w:sz w:val="21"/>
                <w:szCs w:val="21"/>
              </w:rPr>
            </w:pPr>
            <w:r>
              <w:rPr>
                <w:sz w:val="21"/>
                <w:szCs w:val="21"/>
                <w:spacing w:val="-3"/>
              </w:rPr>
              <w:t>92</w:t>
            </w:r>
          </w:p>
        </w:tc>
        <w:tc>
          <w:tcPr>
            <w:tcW w:w="3158" w:type="dxa"/>
            <w:vAlign w:val="top"/>
          </w:tcPr>
          <w:p>
            <w:pPr>
              <w:pStyle w:val="TableText"/>
              <w:ind w:left="1250"/>
              <w:spacing w:before="41" w:line="200" w:lineRule="auto"/>
              <w:rPr>
                <w:sz w:val="21"/>
                <w:szCs w:val="21"/>
              </w:rPr>
            </w:pPr>
            <w:r>
              <w:rPr>
                <w:sz w:val="21"/>
                <w:szCs w:val="21"/>
                <w:color w:val="606050"/>
                <w:spacing w:val="2"/>
              </w:rPr>
              <w:t>下降机</w:t>
            </w:r>
          </w:p>
        </w:tc>
        <w:tc>
          <w:tcPr>
            <w:tcW w:w="480" w:type="dxa"/>
            <w:vAlign w:val="top"/>
          </w:tcPr>
          <w:p>
            <w:pPr>
              <w:pStyle w:val="TableText"/>
              <w:ind w:left="121"/>
              <w:spacing w:before="44" w:line="197" w:lineRule="auto"/>
              <w:rPr>
                <w:sz w:val="21"/>
                <w:szCs w:val="21"/>
              </w:rPr>
            </w:pPr>
            <w:r>
              <w:rPr>
                <w:sz w:val="21"/>
                <w:szCs w:val="21"/>
              </w:rPr>
              <w:t>台</w:t>
            </w:r>
          </w:p>
        </w:tc>
        <w:tc>
          <w:tcPr>
            <w:tcW w:w="1749" w:type="dxa"/>
            <w:vAlign w:val="top"/>
          </w:tcPr>
          <w:p>
            <w:pPr>
              <w:pStyle w:val="TableText"/>
              <w:ind w:left="812"/>
              <w:spacing w:before="63" w:line="181"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4040"/>
                <w:spacing w:val="47"/>
                <w:w w:val="125"/>
                <w:position w:val="-3"/>
              </w:rPr>
              <w:t>1</w:t>
            </w:r>
          </w:p>
        </w:tc>
        <w:tc>
          <w:tcPr>
            <w:tcW w:w="2178" w:type="dxa"/>
            <w:vAlign w:val="top"/>
          </w:tcPr>
          <w:p>
            <w:pPr>
              <w:pStyle w:val="TableText"/>
              <w:ind w:left="974"/>
              <w:spacing w:before="63" w:line="181" w:lineRule="auto"/>
              <w:rPr>
                <w:sz w:val="21"/>
                <w:szCs w:val="21"/>
              </w:rPr>
            </w:pPr>
            <w:r>
              <w:rPr>
                <w:sz w:val="21"/>
                <w:szCs w:val="21"/>
                <w:spacing w:val="-3"/>
              </w:rPr>
              <w:t>+1</w:t>
            </w:r>
          </w:p>
        </w:tc>
        <w:tc>
          <w:tcPr>
            <w:tcW w:w="2498" w:type="dxa"/>
            <w:vAlign w:val="top"/>
            <w:vMerge w:val="restart"/>
            <w:tcBorders>
              <w:bottom w:val="nil"/>
            </w:tcBorders>
          </w:tcPr>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pStyle w:val="TableText"/>
              <w:ind w:left="827"/>
              <w:spacing w:before="68" w:line="220" w:lineRule="auto"/>
              <w:rPr>
                <w:sz w:val="21"/>
                <w:szCs w:val="21"/>
              </w:rPr>
            </w:pPr>
            <w:r>
              <w:rPr>
                <w:sz w:val="21"/>
                <w:szCs w:val="21"/>
                <w:spacing w:val="2"/>
              </w:rPr>
              <w:t>分割设备</w:t>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4" w:line="181" w:lineRule="auto"/>
              <w:rPr>
                <w:sz w:val="21"/>
                <w:szCs w:val="21"/>
              </w:rPr>
            </w:pPr>
            <w:r>
              <w:rPr>
                <w:sz w:val="21"/>
                <w:szCs w:val="21"/>
                <w:spacing w:val="-3"/>
              </w:rPr>
              <w:t>93</w:t>
            </w:r>
          </w:p>
        </w:tc>
        <w:tc>
          <w:tcPr>
            <w:tcW w:w="3158" w:type="dxa"/>
            <w:vAlign w:val="top"/>
          </w:tcPr>
          <w:p>
            <w:pPr>
              <w:pStyle w:val="TableText"/>
              <w:ind w:left="1040"/>
              <w:spacing w:before="32" w:line="200" w:lineRule="auto"/>
              <w:rPr>
                <w:sz w:val="21"/>
                <w:szCs w:val="21"/>
              </w:rPr>
            </w:pPr>
            <w:r>
              <w:rPr>
                <w:sz w:val="21"/>
                <w:szCs w:val="21"/>
                <w:spacing w:val="-2"/>
              </w:rPr>
              <w:t>接收输送机</w:t>
            </w:r>
          </w:p>
        </w:tc>
        <w:tc>
          <w:tcPr>
            <w:tcW w:w="480" w:type="dxa"/>
            <w:vAlign w:val="top"/>
          </w:tcPr>
          <w:p>
            <w:pPr>
              <w:pStyle w:val="TableText"/>
              <w:ind w:left="121"/>
              <w:spacing w:before="35" w:line="197" w:lineRule="auto"/>
              <w:rPr>
                <w:sz w:val="21"/>
                <w:szCs w:val="21"/>
              </w:rPr>
            </w:pPr>
            <w:r>
              <w:rPr>
                <w:sz w:val="21"/>
                <w:szCs w:val="21"/>
              </w:rPr>
              <w:t>台</w:t>
            </w:r>
          </w:p>
        </w:tc>
        <w:tc>
          <w:tcPr>
            <w:tcW w:w="1749" w:type="dxa"/>
            <w:vAlign w:val="top"/>
          </w:tcPr>
          <w:p>
            <w:pPr>
              <w:pStyle w:val="TableText"/>
              <w:ind w:left="812"/>
              <w:spacing w:before="54" w:line="181"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5050"/>
                <w:spacing w:val="38"/>
                <w:w w:val="125"/>
                <w:position w:val="-3"/>
              </w:rPr>
              <w:t>1</w:t>
            </w:r>
          </w:p>
        </w:tc>
        <w:tc>
          <w:tcPr>
            <w:tcW w:w="2178" w:type="dxa"/>
            <w:vAlign w:val="top"/>
          </w:tcPr>
          <w:p>
            <w:pPr>
              <w:pStyle w:val="TableText"/>
              <w:ind w:left="974"/>
              <w:spacing w:before="54" w:line="181"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4" w:line="180" w:lineRule="auto"/>
              <w:rPr>
                <w:sz w:val="21"/>
                <w:szCs w:val="21"/>
              </w:rPr>
            </w:pPr>
            <w:r>
              <w:rPr>
                <w:sz w:val="21"/>
                <w:szCs w:val="21"/>
                <w:spacing w:val="-3"/>
              </w:rPr>
              <w:t>94</w:t>
            </w:r>
          </w:p>
        </w:tc>
        <w:tc>
          <w:tcPr>
            <w:tcW w:w="3158" w:type="dxa"/>
            <w:vAlign w:val="top"/>
          </w:tcPr>
          <w:p>
            <w:pPr>
              <w:pStyle w:val="TableText"/>
              <w:ind w:left="1040"/>
              <w:spacing w:before="43" w:line="198" w:lineRule="auto"/>
              <w:rPr>
                <w:sz w:val="21"/>
                <w:szCs w:val="21"/>
              </w:rPr>
            </w:pPr>
            <w:r>
              <w:rPr>
                <w:sz w:val="21"/>
                <w:szCs w:val="21"/>
                <w:spacing w:val="1"/>
              </w:rPr>
              <w:t>卧式分段锯</w:t>
            </w:r>
          </w:p>
        </w:tc>
        <w:tc>
          <w:tcPr>
            <w:tcW w:w="480" w:type="dxa"/>
            <w:vAlign w:val="top"/>
          </w:tcPr>
          <w:p>
            <w:pPr>
              <w:pStyle w:val="TableText"/>
              <w:ind w:left="121"/>
              <w:spacing w:before="46" w:line="196" w:lineRule="auto"/>
              <w:rPr>
                <w:sz w:val="21"/>
                <w:szCs w:val="21"/>
              </w:rPr>
            </w:pPr>
            <w:r>
              <w:rPr>
                <w:sz w:val="21"/>
                <w:szCs w:val="21"/>
              </w:rPr>
              <w:t>台</w:t>
            </w:r>
          </w:p>
        </w:tc>
        <w:tc>
          <w:tcPr>
            <w:tcW w:w="1749" w:type="dxa"/>
            <w:vAlign w:val="top"/>
          </w:tcPr>
          <w:p>
            <w:pPr>
              <w:pStyle w:val="TableText"/>
              <w:ind w:left="812"/>
              <w:spacing w:before="64" w:line="180"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404040"/>
                <w:spacing w:val="48"/>
                <w:w w:val="125"/>
                <w:position w:val="-3"/>
              </w:rPr>
              <w:t>1</w:t>
            </w:r>
          </w:p>
        </w:tc>
        <w:tc>
          <w:tcPr>
            <w:tcW w:w="2178" w:type="dxa"/>
            <w:vAlign w:val="top"/>
          </w:tcPr>
          <w:p>
            <w:pPr>
              <w:pStyle w:val="TableText"/>
              <w:ind w:left="974"/>
              <w:spacing w:before="64" w:line="180"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69" w:hRule="atLeast"/>
        </w:trPr>
        <w:tc>
          <w:tcPr>
            <w:tcW w:w="405" w:type="dxa"/>
            <w:vAlign w:val="top"/>
          </w:tcPr>
          <w:p>
            <w:pPr>
              <w:pStyle w:val="TableText"/>
              <w:ind w:left="85"/>
              <w:spacing w:before="55" w:line="179" w:lineRule="auto"/>
              <w:rPr>
                <w:sz w:val="21"/>
                <w:szCs w:val="21"/>
              </w:rPr>
            </w:pPr>
            <w:r>
              <w:rPr>
                <w:sz w:val="21"/>
                <w:szCs w:val="21"/>
                <w:spacing w:val="-3"/>
              </w:rPr>
              <w:t>95</w:t>
            </w:r>
          </w:p>
        </w:tc>
        <w:tc>
          <w:tcPr>
            <w:tcW w:w="3158" w:type="dxa"/>
            <w:vAlign w:val="top"/>
          </w:tcPr>
          <w:p>
            <w:pPr>
              <w:pStyle w:val="TableText"/>
              <w:ind w:left="1040"/>
              <w:spacing w:before="33" w:line="198" w:lineRule="auto"/>
              <w:rPr>
                <w:sz w:val="21"/>
                <w:szCs w:val="21"/>
              </w:rPr>
            </w:pPr>
            <w:r>
              <w:rPr>
                <w:sz w:val="21"/>
                <w:szCs w:val="21"/>
                <w:spacing w:val="-2"/>
              </w:rPr>
              <w:t>分割输送机</w:t>
            </w:r>
          </w:p>
        </w:tc>
        <w:tc>
          <w:tcPr>
            <w:tcW w:w="480" w:type="dxa"/>
            <w:vAlign w:val="top"/>
          </w:tcPr>
          <w:p>
            <w:pPr>
              <w:pStyle w:val="TableText"/>
              <w:ind w:left="121"/>
              <w:spacing w:before="37" w:line="195" w:lineRule="auto"/>
              <w:rPr>
                <w:sz w:val="21"/>
                <w:szCs w:val="21"/>
              </w:rPr>
            </w:pPr>
            <w:r>
              <w:rPr>
                <w:sz w:val="21"/>
                <w:szCs w:val="21"/>
              </w:rPr>
              <w:t>台</w:t>
            </w:r>
          </w:p>
        </w:tc>
        <w:tc>
          <w:tcPr>
            <w:tcW w:w="1749" w:type="dxa"/>
            <w:vAlign w:val="top"/>
          </w:tcPr>
          <w:p>
            <w:pPr>
              <w:pStyle w:val="TableText"/>
              <w:ind w:left="812"/>
              <w:spacing w:before="55" w:line="179" w:lineRule="auto"/>
              <w:rPr>
                <w:sz w:val="21"/>
                <w:szCs w:val="21"/>
              </w:rPr>
            </w:pPr>
            <w:r>
              <w:rPr>
                <w:sz w:val="21"/>
                <w:szCs w:val="21"/>
              </w:rPr>
              <w:t>0</w:t>
            </w:r>
          </w:p>
        </w:tc>
        <w:tc>
          <w:tcPr>
            <w:tcW w:w="2568" w:type="dxa"/>
            <w:vAlign w:val="top"/>
            <w:textDirection w:val="tbRlV"/>
          </w:tcPr>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spacing w:before="71" w:line="147" w:lineRule="exact"/>
              <w:rPr>
                <w:sz w:val="21"/>
                <w:szCs w:val="21"/>
              </w:rPr>
            </w:pPr>
            <w:r>
              <w:rPr>
                <w:sz w:val="21"/>
                <w:szCs w:val="21"/>
                <w:spacing w:val="38"/>
                <w:w w:val="125"/>
                <w:position w:val="-3"/>
              </w:rPr>
              <w:t>2</w:t>
            </w:r>
          </w:p>
        </w:tc>
        <w:tc>
          <w:tcPr>
            <w:tcW w:w="2178" w:type="dxa"/>
            <w:vAlign w:val="top"/>
          </w:tcPr>
          <w:p>
            <w:pPr>
              <w:pStyle w:val="TableText"/>
              <w:ind w:left="974"/>
              <w:spacing w:before="55" w:line="179" w:lineRule="auto"/>
              <w:rPr>
                <w:sz w:val="21"/>
                <w:szCs w:val="21"/>
              </w:rPr>
            </w:pPr>
            <w:r>
              <w:rPr>
                <w:sz w:val="21"/>
                <w:szCs w:val="21"/>
                <w:spacing w:val="-3"/>
              </w:rPr>
              <w:t>+2</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85"/>
              <w:spacing w:before="66" w:line="178" w:lineRule="auto"/>
              <w:rPr>
                <w:sz w:val="21"/>
                <w:szCs w:val="21"/>
              </w:rPr>
            </w:pPr>
            <w:r>
              <w:rPr>
                <w:sz w:val="21"/>
                <w:szCs w:val="21"/>
                <w:spacing w:val="-3"/>
              </w:rPr>
              <w:t>96</w:t>
            </w:r>
          </w:p>
        </w:tc>
        <w:tc>
          <w:tcPr>
            <w:tcW w:w="3158" w:type="dxa"/>
            <w:vAlign w:val="top"/>
          </w:tcPr>
          <w:p>
            <w:pPr>
              <w:pStyle w:val="TableText"/>
              <w:ind w:left="1040"/>
              <w:spacing w:before="46" w:line="196" w:lineRule="auto"/>
              <w:rPr>
                <w:sz w:val="21"/>
                <w:szCs w:val="21"/>
              </w:rPr>
            </w:pPr>
            <w:r>
              <w:rPr>
                <w:sz w:val="21"/>
                <w:szCs w:val="21"/>
                <w:spacing w:val="4"/>
              </w:rPr>
              <w:t>分割工作台</w:t>
            </w:r>
          </w:p>
        </w:tc>
        <w:tc>
          <w:tcPr>
            <w:tcW w:w="480" w:type="dxa"/>
            <w:vAlign w:val="top"/>
          </w:tcPr>
          <w:p>
            <w:pPr>
              <w:pStyle w:val="TableText"/>
              <w:ind w:left="121"/>
              <w:spacing w:before="48" w:line="194" w:lineRule="auto"/>
              <w:rPr>
                <w:sz w:val="21"/>
                <w:szCs w:val="21"/>
              </w:rPr>
            </w:pPr>
            <w:r>
              <w:rPr>
                <w:sz w:val="21"/>
                <w:szCs w:val="21"/>
                <w:color w:val="504060"/>
              </w:rPr>
              <w:t>张</w:t>
            </w:r>
          </w:p>
        </w:tc>
        <w:tc>
          <w:tcPr>
            <w:tcW w:w="1749" w:type="dxa"/>
            <w:vAlign w:val="top"/>
          </w:tcPr>
          <w:p>
            <w:pPr>
              <w:pStyle w:val="TableText"/>
              <w:ind w:left="812"/>
              <w:spacing w:before="66" w:line="178" w:lineRule="auto"/>
              <w:rPr>
                <w:sz w:val="21"/>
                <w:szCs w:val="21"/>
              </w:rPr>
            </w:pPr>
            <w:r>
              <w:rPr>
                <w:sz w:val="21"/>
                <w:szCs w:val="21"/>
              </w:rPr>
              <w:t>0</w:t>
            </w:r>
          </w:p>
        </w:tc>
        <w:tc>
          <w:tcPr>
            <w:tcW w:w="2568" w:type="dxa"/>
            <w:vAlign w:val="top"/>
          </w:tcPr>
          <w:p>
            <w:pPr>
              <w:pStyle w:val="TableText"/>
              <w:ind w:left="1173"/>
              <w:spacing w:before="66" w:line="178" w:lineRule="auto"/>
              <w:rPr>
                <w:sz w:val="21"/>
                <w:szCs w:val="21"/>
              </w:rPr>
            </w:pPr>
            <w:r>
              <w:rPr>
                <w:sz w:val="21"/>
                <w:szCs w:val="21"/>
                <w:spacing w:val="-3"/>
              </w:rPr>
              <w:t>24</w:t>
            </w:r>
          </w:p>
        </w:tc>
        <w:tc>
          <w:tcPr>
            <w:tcW w:w="2178" w:type="dxa"/>
            <w:vAlign w:val="top"/>
          </w:tcPr>
          <w:p>
            <w:pPr>
              <w:pStyle w:val="TableText"/>
              <w:ind w:left="925"/>
              <w:spacing w:before="66" w:line="178" w:lineRule="auto"/>
              <w:rPr>
                <w:sz w:val="21"/>
                <w:szCs w:val="21"/>
              </w:rPr>
            </w:pPr>
            <w:r>
              <w:rPr>
                <w:sz w:val="21"/>
                <w:szCs w:val="21"/>
                <w:spacing w:val="-3"/>
              </w:rPr>
              <w:t>+24</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50" w:hRule="atLeast"/>
        </w:trPr>
        <w:tc>
          <w:tcPr>
            <w:tcW w:w="405" w:type="dxa"/>
            <w:vAlign w:val="top"/>
          </w:tcPr>
          <w:p>
            <w:pPr>
              <w:pStyle w:val="TableText"/>
              <w:ind w:left="85"/>
              <w:spacing w:before="47" w:line="169" w:lineRule="auto"/>
              <w:rPr>
                <w:sz w:val="21"/>
                <w:szCs w:val="21"/>
              </w:rPr>
            </w:pPr>
            <w:r>
              <w:rPr>
                <w:sz w:val="21"/>
                <w:szCs w:val="21"/>
                <w:spacing w:val="-3"/>
              </w:rPr>
              <w:t>97</w:t>
            </w:r>
          </w:p>
        </w:tc>
        <w:tc>
          <w:tcPr>
            <w:tcW w:w="3158" w:type="dxa"/>
            <w:vAlign w:val="top"/>
          </w:tcPr>
          <w:p>
            <w:pPr>
              <w:pStyle w:val="TableText"/>
              <w:ind w:left="1250"/>
              <w:spacing w:before="26" w:line="188" w:lineRule="auto"/>
              <w:rPr>
                <w:sz w:val="21"/>
                <w:szCs w:val="21"/>
              </w:rPr>
            </w:pPr>
            <w:r>
              <w:rPr>
                <w:sz w:val="21"/>
                <w:szCs w:val="21"/>
                <w:spacing w:val="-3"/>
              </w:rPr>
              <w:t>分拣机</w:t>
            </w:r>
          </w:p>
        </w:tc>
        <w:tc>
          <w:tcPr>
            <w:tcW w:w="480" w:type="dxa"/>
            <w:vAlign w:val="top"/>
          </w:tcPr>
          <w:p>
            <w:pPr>
              <w:pStyle w:val="TableText"/>
              <w:ind w:left="121"/>
              <w:spacing w:before="29" w:line="185" w:lineRule="auto"/>
              <w:rPr>
                <w:sz w:val="21"/>
                <w:szCs w:val="21"/>
              </w:rPr>
            </w:pPr>
            <w:r>
              <w:rPr>
                <w:sz w:val="21"/>
                <w:szCs w:val="21"/>
              </w:rPr>
              <w:t>台</w:t>
            </w:r>
          </w:p>
        </w:tc>
        <w:tc>
          <w:tcPr>
            <w:tcW w:w="1749" w:type="dxa"/>
            <w:vAlign w:val="top"/>
          </w:tcPr>
          <w:p>
            <w:pPr>
              <w:pStyle w:val="TableText"/>
              <w:ind w:left="812"/>
              <w:spacing w:before="47" w:line="169" w:lineRule="auto"/>
              <w:rPr>
                <w:sz w:val="21"/>
                <w:szCs w:val="21"/>
              </w:rPr>
            </w:pPr>
            <w:r>
              <w:rPr>
                <w:sz w:val="21"/>
                <w:szCs w:val="21"/>
              </w:rPr>
              <w:t>0</w:t>
            </w:r>
          </w:p>
        </w:tc>
        <w:tc>
          <w:tcPr>
            <w:tcW w:w="2568" w:type="dxa"/>
            <w:vAlign w:val="top"/>
          </w:tcPr>
          <w:p>
            <w:pPr>
              <w:pStyle w:val="TableText"/>
              <w:ind w:left="1223"/>
              <w:spacing w:before="47" w:line="169" w:lineRule="auto"/>
              <w:rPr>
                <w:sz w:val="21"/>
                <w:szCs w:val="21"/>
              </w:rPr>
            </w:pPr>
            <w:r>
              <w:rPr>
                <w:sz w:val="21"/>
                <w:szCs w:val="21"/>
              </w:rPr>
              <w:t>2</w:t>
            </w:r>
          </w:p>
        </w:tc>
        <w:tc>
          <w:tcPr>
            <w:tcW w:w="2178" w:type="dxa"/>
            <w:vAlign w:val="top"/>
          </w:tcPr>
          <w:p>
            <w:pPr>
              <w:pStyle w:val="TableText"/>
              <w:ind w:left="974"/>
              <w:spacing w:before="47" w:line="169" w:lineRule="auto"/>
              <w:rPr>
                <w:sz w:val="21"/>
                <w:szCs w:val="21"/>
              </w:rPr>
            </w:pPr>
            <w:r>
              <w:rPr>
                <w:sz w:val="21"/>
                <w:szCs w:val="21"/>
                <w:spacing w:val="-3"/>
              </w:rPr>
              <w:t>+2</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85"/>
              <w:spacing w:before="57" w:line="178" w:lineRule="auto"/>
              <w:rPr>
                <w:sz w:val="21"/>
                <w:szCs w:val="21"/>
              </w:rPr>
            </w:pPr>
            <w:r>
              <w:rPr>
                <w:sz w:val="21"/>
                <w:szCs w:val="21"/>
                <w:spacing w:val="-3"/>
              </w:rPr>
              <w:t>98</w:t>
            </w:r>
          </w:p>
        </w:tc>
        <w:tc>
          <w:tcPr>
            <w:tcW w:w="3158" w:type="dxa"/>
            <w:vAlign w:val="top"/>
          </w:tcPr>
          <w:p>
            <w:pPr>
              <w:pStyle w:val="TableText"/>
              <w:ind w:left="1040"/>
              <w:spacing w:before="37" w:line="196" w:lineRule="auto"/>
              <w:rPr>
                <w:sz w:val="21"/>
                <w:szCs w:val="21"/>
              </w:rPr>
            </w:pPr>
            <w:r>
              <w:rPr>
                <w:sz w:val="21"/>
                <w:szCs w:val="21"/>
                <w:spacing w:val="4"/>
              </w:rPr>
              <w:t>包装工作台</w:t>
            </w:r>
          </w:p>
        </w:tc>
        <w:tc>
          <w:tcPr>
            <w:tcW w:w="480" w:type="dxa"/>
            <w:vAlign w:val="top"/>
          </w:tcPr>
          <w:p>
            <w:pPr>
              <w:pStyle w:val="TableText"/>
              <w:ind w:left="121"/>
              <w:spacing w:before="39" w:line="194" w:lineRule="auto"/>
              <w:rPr>
                <w:sz w:val="21"/>
                <w:szCs w:val="21"/>
              </w:rPr>
            </w:pPr>
            <w:r>
              <w:rPr>
                <w:sz w:val="21"/>
                <w:szCs w:val="21"/>
                <w:color w:val="504050"/>
              </w:rPr>
              <w:t>张</w:t>
            </w:r>
          </w:p>
        </w:tc>
        <w:tc>
          <w:tcPr>
            <w:tcW w:w="1749" w:type="dxa"/>
            <w:vAlign w:val="top"/>
          </w:tcPr>
          <w:p>
            <w:pPr>
              <w:pStyle w:val="TableText"/>
              <w:ind w:left="812"/>
              <w:spacing w:before="57" w:line="178" w:lineRule="auto"/>
              <w:rPr>
                <w:sz w:val="21"/>
                <w:szCs w:val="21"/>
              </w:rPr>
            </w:pPr>
            <w:r>
              <w:rPr>
                <w:sz w:val="21"/>
                <w:szCs w:val="21"/>
              </w:rPr>
              <w:t>0</w:t>
            </w:r>
          </w:p>
        </w:tc>
        <w:tc>
          <w:tcPr>
            <w:tcW w:w="2568" w:type="dxa"/>
            <w:vAlign w:val="top"/>
          </w:tcPr>
          <w:p>
            <w:pPr>
              <w:pStyle w:val="TableText"/>
              <w:ind w:left="1223"/>
              <w:spacing w:before="57" w:line="178" w:lineRule="auto"/>
              <w:rPr>
                <w:sz w:val="21"/>
                <w:szCs w:val="21"/>
              </w:rPr>
            </w:pPr>
            <w:r>
              <w:rPr>
                <w:sz w:val="21"/>
                <w:szCs w:val="21"/>
              </w:rPr>
              <w:t>2</w:t>
            </w:r>
          </w:p>
        </w:tc>
        <w:tc>
          <w:tcPr>
            <w:tcW w:w="2178" w:type="dxa"/>
            <w:vAlign w:val="top"/>
          </w:tcPr>
          <w:p>
            <w:pPr>
              <w:pStyle w:val="TableText"/>
              <w:ind w:left="974"/>
              <w:spacing w:before="57" w:line="178" w:lineRule="auto"/>
              <w:rPr>
                <w:sz w:val="21"/>
                <w:szCs w:val="21"/>
              </w:rPr>
            </w:pPr>
            <w:r>
              <w:rPr>
                <w:sz w:val="21"/>
                <w:szCs w:val="21"/>
                <w:spacing w:val="-3"/>
              </w:rPr>
              <w:t>+2</w:t>
            </w:r>
          </w:p>
        </w:tc>
        <w:tc>
          <w:tcPr>
            <w:tcW w:w="2498" w:type="dxa"/>
            <w:vAlign w:val="top"/>
            <w:vMerge w:val="continue"/>
            <w:tcBorders>
              <w:top w:val="nil"/>
            </w:tcBorders>
          </w:tcPr>
          <w:p>
            <w:pPr>
              <w:rPr>
                <w:rFonts w:ascii="Arial"/>
                <w:sz w:val="21"/>
              </w:rPr>
            </w:pPr>
            <w:r/>
          </w:p>
        </w:tc>
        <w:tc>
          <w:tcPr>
            <w:tcW w:w="1104" w:type="dxa"/>
            <w:vAlign w:val="top"/>
            <w:vMerge w:val="continue"/>
            <w:tcBorders>
              <w:top w:val="nil"/>
            </w:tcBorders>
          </w:tcPr>
          <w:p>
            <w:pPr>
              <w:rPr>
                <w:rFonts w:ascii="Arial"/>
                <w:sz w:val="21"/>
              </w:rPr>
            </w:pPr>
            <w:r/>
          </w:p>
        </w:tc>
      </w:tr>
      <w:tr>
        <w:trPr>
          <w:trHeight w:val="270" w:hRule="atLeast"/>
        </w:trPr>
        <w:tc>
          <w:tcPr>
            <w:tcW w:w="14140" w:type="dxa"/>
            <w:vAlign w:val="top"/>
            <w:gridSpan w:val="8"/>
          </w:tcPr>
          <w:p>
            <w:pPr>
              <w:pStyle w:val="TableText"/>
              <w:ind w:left="5828"/>
              <w:spacing w:before="33" w:line="199" w:lineRule="auto"/>
              <w:rPr>
                <w:sz w:val="21"/>
                <w:szCs w:val="21"/>
              </w:rPr>
            </w:pPr>
            <w:r>
              <w:rPr>
                <w:sz w:val="21"/>
                <w:szCs w:val="21"/>
                <w:b/>
                <w:bCs/>
                <w:spacing w:val="-2"/>
              </w:rPr>
              <w:t>肉牛屠宰车间屠宰设备清单</w:t>
            </w:r>
          </w:p>
        </w:tc>
      </w:tr>
      <w:tr>
        <w:trPr>
          <w:trHeight w:val="270" w:hRule="atLeast"/>
        </w:trPr>
        <w:tc>
          <w:tcPr>
            <w:tcW w:w="405" w:type="dxa"/>
            <w:vAlign w:val="top"/>
          </w:tcPr>
          <w:p>
            <w:pPr>
              <w:pStyle w:val="TableText"/>
              <w:ind w:left="85"/>
              <w:spacing w:before="57" w:line="178" w:lineRule="auto"/>
              <w:rPr>
                <w:sz w:val="21"/>
                <w:szCs w:val="21"/>
              </w:rPr>
            </w:pPr>
            <w:r>
              <w:rPr>
                <w:sz w:val="21"/>
                <w:szCs w:val="21"/>
                <w:spacing w:val="-3"/>
              </w:rPr>
              <w:t>99</w:t>
            </w:r>
          </w:p>
        </w:tc>
        <w:tc>
          <w:tcPr>
            <w:tcW w:w="3158" w:type="dxa"/>
            <w:vAlign w:val="top"/>
          </w:tcPr>
          <w:p>
            <w:pPr>
              <w:pStyle w:val="TableText"/>
              <w:ind w:left="1250"/>
              <w:spacing w:before="35" w:line="197" w:lineRule="auto"/>
              <w:rPr>
                <w:sz w:val="21"/>
                <w:szCs w:val="21"/>
              </w:rPr>
            </w:pPr>
            <w:r>
              <w:rPr>
                <w:sz w:val="21"/>
                <w:szCs w:val="21"/>
                <w:spacing w:val="-3"/>
              </w:rPr>
              <w:t>牵牛机</w:t>
            </w:r>
          </w:p>
        </w:tc>
        <w:tc>
          <w:tcPr>
            <w:tcW w:w="480" w:type="dxa"/>
            <w:vAlign w:val="top"/>
          </w:tcPr>
          <w:p>
            <w:pPr>
              <w:pStyle w:val="TableText"/>
              <w:ind w:left="121"/>
              <w:spacing w:before="37" w:line="196" w:lineRule="auto"/>
              <w:rPr>
                <w:sz w:val="21"/>
                <w:szCs w:val="21"/>
              </w:rPr>
            </w:pPr>
            <w:r>
              <w:rPr>
                <w:sz w:val="21"/>
                <w:szCs w:val="21"/>
                <w:color w:val="604050"/>
              </w:rPr>
              <w:t>套</w:t>
            </w:r>
          </w:p>
        </w:tc>
        <w:tc>
          <w:tcPr>
            <w:tcW w:w="1749" w:type="dxa"/>
            <w:vAlign w:val="top"/>
          </w:tcPr>
          <w:p>
            <w:pPr>
              <w:pStyle w:val="TableText"/>
              <w:ind w:left="812"/>
              <w:spacing w:before="57" w:line="178" w:lineRule="auto"/>
              <w:rPr>
                <w:sz w:val="21"/>
                <w:szCs w:val="21"/>
              </w:rPr>
            </w:pPr>
            <w:r>
              <w:rPr>
                <w:sz w:val="21"/>
                <w:szCs w:val="21"/>
              </w:rPr>
              <w:t>0</w:t>
            </w:r>
          </w:p>
        </w:tc>
        <w:tc>
          <w:tcPr>
            <w:tcW w:w="2568" w:type="dxa"/>
            <w:vAlign w:val="top"/>
          </w:tcPr>
          <w:p>
            <w:pPr>
              <w:pStyle w:val="TableText"/>
              <w:ind w:left="1223"/>
              <w:spacing w:before="57" w:line="178" w:lineRule="auto"/>
              <w:rPr>
                <w:sz w:val="21"/>
                <w:szCs w:val="21"/>
              </w:rPr>
            </w:pPr>
            <w:r>
              <w:rPr>
                <w:sz w:val="21"/>
                <w:szCs w:val="21"/>
              </w:rPr>
              <w:t>1</w:t>
            </w:r>
          </w:p>
        </w:tc>
        <w:tc>
          <w:tcPr>
            <w:tcW w:w="2178" w:type="dxa"/>
            <w:vAlign w:val="top"/>
          </w:tcPr>
          <w:p>
            <w:pPr>
              <w:pStyle w:val="TableText"/>
              <w:ind w:left="974"/>
              <w:spacing w:before="57" w:line="178" w:lineRule="auto"/>
              <w:rPr>
                <w:sz w:val="21"/>
                <w:szCs w:val="21"/>
              </w:rPr>
            </w:pPr>
            <w:r>
              <w:rPr>
                <w:sz w:val="21"/>
                <w:szCs w:val="21"/>
                <w:spacing w:val="-3"/>
              </w:rPr>
              <w:t>+1</w:t>
            </w:r>
          </w:p>
        </w:tc>
        <w:tc>
          <w:tcPr>
            <w:tcW w:w="2498" w:type="dxa"/>
            <w:vAlign w:val="top"/>
            <w:vMerge w:val="restart"/>
            <w:tcBorders>
              <w:bottom w:val="nil"/>
            </w:tcBorders>
          </w:tcPr>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pStyle w:val="TableText"/>
              <w:ind w:left="507"/>
              <w:spacing w:before="68" w:line="219" w:lineRule="auto"/>
              <w:rPr>
                <w:sz w:val="21"/>
                <w:szCs w:val="21"/>
              </w:rPr>
            </w:pPr>
            <w:r>
              <w:rPr>
                <w:sz w:val="21"/>
                <w:szCs w:val="21"/>
                <w:spacing w:val="1"/>
              </w:rPr>
              <w:t>肉牛宰杀线设备</w:t>
            </w:r>
          </w:p>
        </w:tc>
        <w:tc>
          <w:tcPr>
            <w:tcW w:w="1104" w:type="dxa"/>
            <w:vAlign w:val="top"/>
            <w:vMerge w:val="restart"/>
            <w:tcBorders>
              <w:bottom w:val="nil"/>
            </w:tcBorders>
          </w:tcPr>
          <w:p>
            <w:pPr>
              <w:spacing w:line="271" w:lineRule="auto"/>
              <w:rPr>
                <w:rFonts w:ascii="Arial"/>
                <w:sz w:val="21"/>
              </w:rPr>
            </w:pPr>
            <w:r/>
          </w:p>
          <w:p>
            <w:pPr>
              <w:spacing w:line="271" w:lineRule="auto"/>
              <w:rPr>
                <w:rFonts w:ascii="Arial"/>
                <w:sz w:val="21"/>
              </w:rPr>
            </w:pPr>
            <w:r/>
          </w:p>
          <w:p>
            <w:pPr>
              <w:spacing w:line="272" w:lineRule="auto"/>
              <w:rPr>
                <w:rFonts w:ascii="Arial"/>
                <w:sz w:val="21"/>
              </w:rPr>
            </w:pPr>
            <w:r/>
          </w:p>
          <w:p>
            <w:pPr>
              <w:pStyle w:val="TableText"/>
              <w:ind w:left="129"/>
              <w:spacing w:before="68" w:line="220" w:lineRule="auto"/>
              <w:rPr>
                <w:sz w:val="21"/>
                <w:szCs w:val="21"/>
              </w:rPr>
            </w:pPr>
            <w:r>
              <w:rPr>
                <w:sz w:val="21"/>
                <w:szCs w:val="21"/>
                <w:spacing w:val="-2"/>
              </w:rPr>
              <w:t>新购设备</w:t>
            </w:r>
          </w:p>
        </w:tc>
      </w:tr>
      <w:tr>
        <w:trPr>
          <w:trHeight w:val="279" w:hRule="atLeast"/>
        </w:trPr>
        <w:tc>
          <w:tcPr>
            <w:tcW w:w="405" w:type="dxa"/>
            <w:vAlign w:val="top"/>
          </w:tcPr>
          <w:p>
            <w:pPr>
              <w:pStyle w:val="TableText"/>
              <w:ind w:left="35"/>
              <w:spacing w:before="67" w:line="177" w:lineRule="auto"/>
              <w:rPr>
                <w:sz w:val="21"/>
                <w:szCs w:val="21"/>
              </w:rPr>
            </w:pPr>
            <w:r>
              <w:rPr>
                <w:sz w:val="21"/>
                <w:szCs w:val="21"/>
                <w:spacing w:val="-6"/>
              </w:rPr>
              <w:t>100</w:t>
            </w:r>
          </w:p>
        </w:tc>
        <w:tc>
          <w:tcPr>
            <w:tcW w:w="3158" w:type="dxa"/>
            <w:vAlign w:val="top"/>
          </w:tcPr>
          <w:p>
            <w:pPr>
              <w:pStyle w:val="TableText"/>
              <w:ind w:left="1040"/>
              <w:spacing w:before="46" w:line="196" w:lineRule="auto"/>
              <w:rPr>
                <w:sz w:val="21"/>
                <w:szCs w:val="21"/>
              </w:rPr>
            </w:pPr>
            <w:r>
              <w:rPr>
                <w:sz w:val="21"/>
                <w:szCs w:val="21"/>
                <w:spacing w:val="2"/>
              </w:rPr>
              <w:t>气动翻板箱</w:t>
            </w:r>
          </w:p>
        </w:tc>
        <w:tc>
          <w:tcPr>
            <w:tcW w:w="480" w:type="dxa"/>
            <w:vAlign w:val="top"/>
          </w:tcPr>
          <w:p>
            <w:pPr>
              <w:pStyle w:val="TableText"/>
              <w:ind w:left="121"/>
              <w:spacing w:before="49" w:line="193" w:lineRule="auto"/>
              <w:rPr>
                <w:sz w:val="21"/>
                <w:szCs w:val="21"/>
              </w:rPr>
            </w:pPr>
            <w:r>
              <w:rPr>
                <w:sz w:val="21"/>
                <w:szCs w:val="21"/>
              </w:rPr>
              <w:t>台</w:t>
            </w:r>
          </w:p>
        </w:tc>
        <w:tc>
          <w:tcPr>
            <w:tcW w:w="1749" w:type="dxa"/>
            <w:vAlign w:val="top"/>
          </w:tcPr>
          <w:p>
            <w:pPr>
              <w:pStyle w:val="TableText"/>
              <w:ind w:left="812"/>
              <w:spacing w:before="67" w:line="177"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1"/>
              <w:spacing w:before="70" w:line="126" w:lineRule="exact"/>
              <w:rPr>
                <w:sz w:val="21"/>
                <w:szCs w:val="21"/>
              </w:rPr>
            </w:pPr>
            <w:r>
              <w:rPr>
                <w:sz w:val="21"/>
                <w:szCs w:val="21"/>
                <w:color w:val="405040"/>
                <w:spacing w:val="50"/>
                <w:w w:val="125"/>
                <w:position w:val="-3"/>
              </w:rPr>
              <w:t>1</w:t>
            </w:r>
          </w:p>
        </w:tc>
        <w:tc>
          <w:tcPr>
            <w:tcW w:w="2178" w:type="dxa"/>
            <w:vAlign w:val="top"/>
          </w:tcPr>
          <w:p>
            <w:pPr>
              <w:pStyle w:val="TableText"/>
              <w:ind w:left="974"/>
              <w:spacing w:before="67" w:line="177"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35"/>
              <w:spacing w:before="58" w:line="177" w:lineRule="auto"/>
              <w:rPr>
                <w:sz w:val="21"/>
                <w:szCs w:val="21"/>
              </w:rPr>
            </w:pPr>
            <w:r>
              <w:rPr>
                <w:sz w:val="21"/>
                <w:szCs w:val="21"/>
                <w:spacing w:val="-6"/>
              </w:rPr>
              <w:t>101</w:t>
            </w:r>
          </w:p>
        </w:tc>
        <w:tc>
          <w:tcPr>
            <w:tcW w:w="3158" w:type="dxa"/>
            <w:vAlign w:val="top"/>
          </w:tcPr>
          <w:p>
            <w:pPr>
              <w:pStyle w:val="TableText"/>
              <w:ind w:left="1150"/>
              <w:spacing w:before="38" w:line="195" w:lineRule="auto"/>
              <w:rPr>
                <w:sz w:val="21"/>
                <w:szCs w:val="21"/>
              </w:rPr>
            </w:pPr>
            <w:r>
              <w:rPr>
                <w:sz w:val="21"/>
                <w:szCs w:val="21"/>
                <w:spacing w:val="5"/>
              </w:rPr>
              <w:t>击晕站台</w:t>
            </w:r>
          </w:p>
        </w:tc>
        <w:tc>
          <w:tcPr>
            <w:tcW w:w="480" w:type="dxa"/>
            <w:vAlign w:val="top"/>
          </w:tcPr>
          <w:p>
            <w:pPr>
              <w:pStyle w:val="TableText"/>
              <w:ind w:left="121"/>
              <w:spacing w:before="40" w:line="193" w:lineRule="auto"/>
              <w:rPr>
                <w:sz w:val="21"/>
                <w:szCs w:val="21"/>
              </w:rPr>
            </w:pPr>
            <w:r>
              <w:rPr>
                <w:sz w:val="21"/>
                <w:szCs w:val="21"/>
              </w:rPr>
              <w:t>张</w:t>
            </w:r>
          </w:p>
        </w:tc>
        <w:tc>
          <w:tcPr>
            <w:tcW w:w="1749" w:type="dxa"/>
            <w:vAlign w:val="top"/>
          </w:tcPr>
          <w:p>
            <w:pPr>
              <w:pStyle w:val="TableText"/>
              <w:ind w:left="812"/>
              <w:spacing w:before="58" w:line="177"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405050"/>
                <w:spacing w:val="42"/>
                <w:w w:val="125"/>
                <w:position w:val="-3"/>
              </w:rPr>
              <w:t>1</w:t>
            </w:r>
          </w:p>
        </w:tc>
        <w:tc>
          <w:tcPr>
            <w:tcW w:w="2178" w:type="dxa"/>
            <w:vAlign w:val="top"/>
          </w:tcPr>
          <w:p>
            <w:pPr>
              <w:pStyle w:val="TableText"/>
              <w:ind w:left="974"/>
              <w:spacing w:before="58" w:line="177"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80" w:hRule="atLeast"/>
        </w:trPr>
        <w:tc>
          <w:tcPr>
            <w:tcW w:w="405" w:type="dxa"/>
            <w:vAlign w:val="top"/>
          </w:tcPr>
          <w:p>
            <w:pPr>
              <w:pStyle w:val="TableText"/>
              <w:ind w:left="35"/>
              <w:spacing w:before="68" w:line="177" w:lineRule="auto"/>
              <w:rPr>
                <w:sz w:val="21"/>
                <w:szCs w:val="21"/>
              </w:rPr>
            </w:pPr>
            <w:r>
              <w:rPr>
                <w:sz w:val="21"/>
                <w:szCs w:val="21"/>
                <w:spacing w:val="-6"/>
              </w:rPr>
              <w:t>102</w:t>
            </w:r>
          </w:p>
        </w:tc>
        <w:tc>
          <w:tcPr>
            <w:tcW w:w="3158" w:type="dxa"/>
            <w:vAlign w:val="top"/>
          </w:tcPr>
          <w:p>
            <w:pPr>
              <w:pStyle w:val="TableText"/>
              <w:ind w:left="1250"/>
              <w:spacing w:before="48" w:line="195" w:lineRule="auto"/>
              <w:rPr>
                <w:sz w:val="21"/>
                <w:szCs w:val="21"/>
              </w:rPr>
            </w:pPr>
            <w:r>
              <w:rPr>
                <w:sz w:val="21"/>
                <w:szCs w:val="21"/>
                <w:color w:val="404040"/>
                <w:spacing w:val="-2"/>
              </w:rPr>
              <w:t>接牛栏</w:t>
            </w:r>
          </w:p>
        </w:tc>
        <w:tc>
          <w:tcPr>
            <w:tcW w:w="480" w:type="dxa"/>
            <w:vAlign w:val="top"/>
          </w:tcPr>
          <w:p>
            <w:pPr>
              <w:pStyle w:val="TableText"/>
              <w:ind w:left="121"/>
              <w:spacing w:before="47" w:line="196" w:lineRule="auto"/>
              <w:rPr>
                <w:sz w:val="21"/>
                <w:szCs w:val="21"/>
              </w:rPr>
            </w:pPr>
            <w:r>
              <w:rPr>
                <w:sz w:val="21"/>
                <w:szCs w:val="21"/>
              </w:rPr>
              <w:t>个</w:t>
            </w:r>
          </w:p>
        </w:tc>
        <w:tc>
          <w:tcPr>
            <w:tcW w:w="1749" w:type="dxa"/>
            <w:vAlign w:val="top"/>
          </w:tcPr>
          <w:p>
            <w:pPr>
              <w:pStyle w:val="TableText"/>
              <w:ind w:left="812"/>
              <w:spacing w:before="68" w:line="177"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2"/>
              <w:spacing w:before="70" w:line="126" w:lineRule="exact"/>
              <w:rPr>
                <w:sz w:val="21"/>
                <w:szCs w:val="21"/>
              </w:rPr>
            </w:pPr>
            <w:r>
              <w:rPr>
                <w:sz w:val="21"/>
                <w:szCs w:val="21"/>
                <w:color w:val="404040"/>
                <w:spacing w:val="50"/>
                <w:w w:val="125"/>
                <w:position w:val="-3"/>
              </w:rPr>
              <w:t>1</w:t>
            </w:r>
          </w:p>
        </w:tc>
        <w:tc>
          <w:tcPr>
            <w:tcW w:w="2178" w:type="dxa"/>
            <w:vAlign w:val="top"/>
          </w:tcPr>
          <w:p>
            <w:pPr>
              <w:pStyle w:val="TableText"/>
              <w:ind w:left="974"/>
              <w:spacing w:before="68" w:line="177"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05" w:type="dxa"/>
            <w:vAlign w:val="top"/>
          </w:tcPr>
          <w:p>
            <w:pPr>
              <w:pStyle w:val="TableText"/>
              <w:ind w:left="35"/>
              <w:spacing w:before="58" w:line="177" w:lineRule="auto"/>
              <w:rPr>
                <w:sz w:val="21"/>
                <w:szCs w:val="21"/>
              </w:rPr>
            </w:pPr>
            <w:r>
              <w:rPr>
                <w:sz w:val="21"/>
                <w:szCs w:val="21"/>
                <w:spacing w:val="-6"/>
              </w:rPr>
              <w:t>103</w:t>
            </w:r>
          </w:p>
        </w:tc>
        <w:tc>
          <w:tcPr>
            <w:tcW w:w="3158" w:type="dxa"/>
            <w:vAlign w:val="top"/>
          </w:tcPr>
          <w:p>
            <w:pPr>
              <w:pStyle w:val="TableText"/>
              <w:ind w:left="1250"/>
              <w:spacing w:before="37" w:line="196" w:lineRule="auto"/>
              <w:rPr>
                <w:sz w:val="21"/>
                <w:szCs w:val="21"/>
              </w:rPr>
            </w:pPr>
            <w:r>
              <w:rPr>
                <w:sz w:val="21"/>
                <w:szCs w:val="21"/>
                <w:spacing w:val="3"/>
              </w:rPr>
              <w:t>安全桩</w:t>
            </w:r>
          </w:p>
        </w:tc>
        <w:tc>
          <w:tcPr>
            <w:tcW w:w="480" w:type="dxa"/>
            <w:vAlign w:val="top"/>
          </w:tcPr>
          <w:p>
            <w:pPr>
              <w:pStyle w:val="TableText"/>
              <w:ind w:left="121"/>
              <w:spacing w:before="38" w:line="195" w:lineRule="auto"/>
              <w:rPr>
                <w:sz w:val="21"/>
                <w:szCs w:val="21"/>
              </w:rPr>
            </w:pPr>
            <w:r>
              <w:rPr>
                <w:sz w:val="21"/>
                <w:szCs w:val="21"/>
              </w:rPr>
              <w:t>根</w:t>
            </w:r>
          </w:p>
        </w:tc>
        <w:tc>
          <w:tcPr>
            <w:tcW w:w="1749" w:type="dxa"/>
            <w:vAlign w:val="top"/>
          </w:tcPr>
          <w:p>
            <w:pPr>
              <w:pStyle w:val="TableText"/>
              <w:ind w:left="812"/>
              <w:spacing w:before="58" w:line="177" w:lineRule="auto"/>
              <w:rPr>
                <w:sz w:val="21"/>
                <w:szCs w:val="21"/>
              </w:rPr>
            </w:pPr>
            <w:r>
              <w:rPr>
                <w:sz w:val="21"/>
                <w:szCs w:val="21"/>
              </w:rPr>
              <w:t>0</w:t>
            </w:r>
          </w:p>
        </w:tc>
        <w:tc>
          <w:tcPr>
            <w:tcW w:w="2568" w:type="dxa"/>
            <w:vAlign w:val="top"/>
          </w:tcPr>
          <w:p>
            <w:pPr>
              <w:pStyle w:val="TableText"/>
              <w:ind w:left="1173"/>
              <w:spacing w:before="58" w:line="177" w:lineRule="auto"/>
              <w:rPr>
                <w:sz w:val="21"/>
                <w:szCs w:val="21"/>
              </w:rPr>
            </w:pPr>
            <w:r>
              <w:rPr>
                <w:sz w:val="21"/>
                <w:szCs w:val="21"/>
                <w:spacing w:val="-3"/>
              </w:rPr>
              <w:t>20</w:t>
            </w:r>
          </w:p>
        </w:tc>
        <w:tc>
          <w:tcPr>
            <w:tcW w:w="2178" w:type="dxa"/>
            <w:vAlign w:val="top"/>
          </w:tcPr>
          <w:p>
            <w:pPr>
              <w:pStyle w:val="TableText"/>
              <w:ind w:left="925"/>
              <w:spacing w:before="58" w:line="177" w:lineRule="auto"/>
              <w:rPr>
                <w:sz w:val="21"/>
                <w:szCs w:val="21"/>
              </w:rPr>
            </w:pPr>
            <w:r>
              <w:rPr>
                <w:sz w:val="21"/>
                <w:szCs w:val="21"/>
                <w:spacing w:val="-3"/>
              </w:rPr>
              <w:t>+20</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05" w:type="dxa"/>
            <w:vAlign w:val="top"/>
          </w:tcPr>
          <w:p>
            <w:pPr>
              <w:pStyle w:val="TableText"/>
              <w:ind w:left="35"/>
              <w:spacing w:before="68" w:line="176" w:lineRule="auto"/>
              <w:rPr>
                <w:sz w:val="21"/>
                <w:szCs w:val="21"/>
              </w:rPr>
            </w:pPr>
            <w:r>
              <w:rPr>
                <w:sz w:val="21"/>
                <w:szCs w:val="21"/>
                <w:color w:val="806070"/>
                <w:spacing w:val="-6"/>
              </w:rPr>
              <w:t>104</w:t>
            </w:r>
          </w:p>
        </w:tc>
        <w:tc>
          <w:tcPr>
            <w:tcW w:w="3158" w:type="dxa"/>
            <w:vAlign w:val="top"/>
          </w:tcPr>
          <w:p>
            <w:pPr>
              <w:pStyle w:val="TableText"/>
              <w:ind w:left="1040"/>
              <w:spacing w:before="47" w:line="195" w:lineRule="auto"/>
              <w:rPr>
                <w:sz w:val="21"/>
                <w:szCs w:val="21"/>
              </w:rPr>
            </w:pPr>
            <w:r>
              <w:rPr>
                <w:sz w:val="21"/>
                <w:szCs w:val="21"/>
                <w:spacing w:val="-2"/>
              </w:rPr>
              <w:t>坡式提升机</w:t>
            </w:r>
          </w:p>
        </w:tc>
        <w:tc>
          <w:tcPr>
            <w:tcW w:w="480" w:type="dxa"/>
            <w:vAlign w:val="top"/>
          </w:tcPr>
          <w:p>
            <w:pPr>
              <w:pStyle w:val="TableText"/>
              <w:ind w:left="121"/>
              <w:spacing w:before="49" w:line="193" w:lineRule="auto"/>
              <w:rPr>
                <w:sz w:val="21"/>
                <w:szCs w:val="21"/>
              </w:rPr>
            </w:pPr>
            <w:r>
              <w:rPr>
                <w:sz w:val="21"/>
                <w:szCs w:val="21"/>
              </w:rPr>
              <w:t>台</w:t>
            </w:r>
          </w:p>
        </w:tc>
        <w:tc>
          <w:tcPr>
            <w:tcW w:w="1749" w:type="dxa"/>
            <w:vAlign w:val="top"/>
          </w:tcPr>
          <w:p>
            <w:pPr>
              <w:pStyle w:val="TableText"/>
              <w:ind w:left="812"/>
              <w:spacing w:before="68" w:line="176" w:lineRule="auto"/>
              <w:rPr>
                <w:sz w:val="21"/>
                <w:szCs w:val="21"/>
              </w:rPr>
            </w:pPr>
            <w:r>
              <w:rPr>
                <w:sz w:val="21"/>
                <w:szCs w:val="21"/>
              </w:rPr>
              <w:t>0</w:t>
            </w:r>
          </w:p>
        </w:tc>
        <w:tc>
          <w:tcPr>
            <w:tcW w:w="2568" w:type="dxa"/>
            <w:vAlign w:val="top"/>
          </w:tcPr>
          <w:p>
            <w:pPr>
              <w:pStyle w:val="TableText"/>
              <w:ind w:left="1223"/>
              <w:spacing w:before="68" w:line="176" w:lineRule="auto"/>
              <w:rPr>
                <w:sz w:val="21"/>
                <w:szCs w:val="21"/>
              </w:rPr>
            </w:pPr>
            <w:r>
              <w:rPr>
                <w:sz w:val="21"/>
                <w:szCs w:val="21"/>
                <w:color w:val="504040"/>
              </w:rPr>
              <w:t>1</w:t>
            </w:r>
          </w:p>
        </w:tc>
        <w:tc>
          <w:tcPr>
            <w:tcW w:w="2178" w:type="dxa"/>
            <w:vAlign w:val="top"/>
          </w:tcPr>
          <w:p>
            <w:pPr>
              <w:pStyle w:val="TableText"/>
              <w:ind w:left="974"/>
              <w:spacing w:before="68" w:line="176"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65" w:hRule="atLeast"/>
        </w:trPr>
        <w:tc>
          <w:tcPr>
            <w:tcW w:w="405" w:type="dxa"/>
            <w:vAlign w:val="top"/>
          </w:tcPr>
          <w:p>
            <w:pPr>
              <w:pStyle w:val="TableText"/>
              <w:ind w:left="35"/>
              <w:spacing w:before="59" w:line="172" w:lineRule="auto"/>
              <w:rPr>
                <w:sz w:val="21"/>
                <w:szCs w:val="21"/>
              </w:rPr>
            </w:pPr>
            <w:r>
              <w:rPr>
                <w:sz w:val="21"/>
                <w:szCs w:val="21"/>
                <w:spacing w:val="-6"/>
              </w:rPr>
              <w:t>105</w:t>
            </w:r>
          </w:p>
        </w:tc>
        <w:tc>
          <w:tcPr>
            <w:tcW w:w="3158" w:type="dxa"/>
            <w:vAlign w:val="top"/>
          </w:tcPr>
          <w:p>
            <w:pPr>
              <w:pStyle w:val="TableText"/>
              <w:ind w:left="1040"/>
              <w:spacing w:before="37" w:line="191" w:lineRule="auto"/>
              <w:rPr>
                <w:sz w:val="21"/>
                <w:szCs w:val="21"/>
              </w:rPr>
            </w:pPr>
            <w:r>
              <w:rPr>
                <w:sz w:val="21"/>
                <w:szCs w:val="21"/>
                <w:color w:val="405040"/>
                <w:spacing w:val="-2"/>
              </w:rPr>
              <w:t>放血输送机</w:t>
            </w:r>
          </w:p>
        </w:tc>
        <w:tc>
          <w:tcPr>
            <w:tcW w:w="480" w:type="dxa"/>
            <w:vAlign w:val="top"/>
          </w:tcPr>
          <w:p>
            <w:pPr>
              <w:pStyle w:val="TableText"/>
              <w:ind w:left="121"/>
              <w:spacing w:before="41" w:line="188" w:lineRule="auto"/>
              <w:rPr>
                <w:sz w:val="21"/>
                <w:szCs w:val="21"/>
              </w:rPr>
            </w:pPr>
            <w:r>
              <w:rPr>
                <w:sz w:val="21"/>
                <w:szCs w:val="21"/>
              </w:rPr>
              <w:t>台</w:t>
            </w:r>
          </w:p>
        </w:tc>
        <w:tc>
          <w:tcPr>
            <w:tcW w:w="1749" w:type="dxa"/>
            <w:vAlign w:val="top"/>
          </w:tcPr>
          <w:p>
            <w:pPr>
              <w:pStyle w:val="TableText"/>
              <w:ind w:left="812"/>
              <w:spacing w:before="59" w:line="172" w:lineRule="auto"/>
              <w:rPr>
                <w:sz w:val="21"/>
                <w:szCs w:val="21"/>
              </w:rPr>
            </w:pPr>
            <w:r>
              <w:rPr>
                <w:sz w:val="21"/>
                <w:szCs w:val="21"/>
              </w:rPr>
              <w:t>0</w:t>
            </w:r>
          </w:p>
        </w:tc>
        <w:tc>
          <w:tcPr>
            <w:tcW w:w="2568" w:type="dxa"/>
            <w:vAlign w:val="top"/>
            <w:textDirection w:val="tbRlV"/>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304040"/>
                <w:spacing w:val="43"/>
                <w:w w:val="125"/>
                <w:position w:val="-3"/>
              </w:rPr>
              <w:t>1</w:t>
            </w:r>
          </w:p>
        </w:tc>
        <w:tc>
          <w:tcPr>
            <w:tcW w:w="2178" w:type="dxa"/>
            <w:vAlign w:val="top"/>
          </w:tcPr>
          <w:p>
            <w:pPr>
              <w:pStyle w:val="TableText"/>
              <w:ind w:left="974"/>
              <w:spacing w:before="59" w:line="172" w:lineRule="auto"/>
              <w:rPr>
                <w:sz w:val="21"/>
                <w:szCs w:val="21"/>
              </w:rPr>
            </w:pPr>
            <w:r>
              <w:rPr>
                <w:sz w:val="21"/>
                <w:szCs w:val="21"/>
                <w:spacing w:val="-3"/>
              </w:rPr>
              <w:t>+1</w:t>
            </w:r>
          </w:p>
        </w:tc>
        <w:tc>
          <w:tcPr>
            <w:tcW w:w="2498" w:type="dxa"/>
            <w:vAlign w:val="top"/>
            <w:vMerge w:val="continue"/>
            <w:tcBorders>
              <w:top w:val="nil"/>
            </w:tcBorders>
          </w:tcPr>
          <w:p>
            <w:pPr>
              <w:rPr>
                <w:rFonts w:ascii="Arial"/>
                <w:sz w:val="21"/>
              </w:rPr>
            </w:pPr>
            <w:r/>
          </w:p>
        </w:tc>
        <w:tc>
          <w:tcPr>
            <w:tcW w:w="1104" w:type="dxa"/>
            <w:vAlign w:val="top"/>
            <w:vMerge w:val="continue"/>
            <w:tcBorders>
              <w:top w:val="nil"/>
            </w:tcBorders>
          </w:tcPr>
          <w:p>
            <w:pPr>
              <w:rPr>
                <w:rFonts w:ascii="Arial"/>
                <w:sz w:val="21"/>
              </w:rPr>
            </w:pPr>
            <w:r/>
          </w:p>
        </w:tc>
      </w:tr>
    </w:tbl>
    <w:p>
      <w:pPr>
        <w:pStyle w:val="BodyText"/>
        <w:rPr/>
      </w:pPr>
      <w:r/>
    </w:p>
    <w:p>
      <w:pPr>
        <w:sectPr>
          <w:footerReference w:type="default" r:id="rId221"/>
          <w:pgSz w:w="16840" w:h="11910"/>
          <w:pgMar w:top="1177" w:right="1354" w:bottom="922" w:left="1334" w:header="885" w:footer="751" w:gutter="0"/>
        </w:sectPr>
        <w:rPr/>
      </w:pPr>
    </w:p>
    <w:p>
      <w:pPr>
        <w:spacing w:before="72"/>
        <w:rPr/>
      </w:pPr>
      <w:r/>
    </w:p>
    <w:p>
      <w:pPr>
        <w:spacing w:before="72"/>
        <w:rPr/>
      </w:pPr>
      <w:r/>
    </w:p>
    <w:tbl>
      <w:tblPr>
        <w:tblStyle w:val="TableNormal"/>
        <w:tblW w:w="1414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85"/>
        <w:gridCol w:w="3188"/>
        <w:gridCol w:w="480"/>
        <w:gridCol w:w="1739"/>
        <w:gridCol w:w="2558"/>
        <w:gridCol w:w="2178"/>
        <w:gridCol w:w="2508"/>
        <w:gridCol w:w="1104"/>
      </w:tblGrid>
      <w:tr>
        <w:trPr>
          <w:trHeight w:val="564" w:hRule="atLeast"/>
        </w:trPr>
        <w:tc>
          <w:tcPr>
            <w:shd w:val="clear" w:fill="BDBDBD"/>
            <w:tcW w:w="385" w:type="dxa"/>
            <w:vAlign w:val="top"/>
            <w:textDirection w:val="tbRlV"/>
          </w:tcPr>
          <w:p>
            <w:pPr>
              <w:pStyle w:val="TableText"/>
              <w:ind w:left="51"/>
              <w:spacing w:before="102" w:line="199" w:lineRule="auto"/>
              <w:rPr>
                <w:sz w:val="21"/>
                <w:szCs w:val="21"/>
              </w:rPr>
            </w:pPr>
            <w:r>
              <w:rPr>
                <w:sz w:val="21"/>
                <w:szCs w:val="21"/>
                <w:b/>
                <w:bCs/>
                <w:spacing w:val="-3"/>
              </w:rPr>
              <w:t>序号</w:t>
            </w:r>
          </w:p>
        </w:tc>
        <w:tc>
          <w:tcPr>
            <w:shd w:val="clear" w:fill="BDBDBD"/>
            <w:tcW w:w="3188" w:type="dxa"/>
            <w:vAlign w:val="top"/>
          </w:tcPr>
          <w:p>
            <w:pPr>
              <w:pStyle w:val="TableText"/>
              <w:ind w:left="1163"/>
              <w:spacing w:before="181" w:line="221" w:lineRule="auto"/>
              <w:rPr>
                <w:sz w:val="21"/>
                <w:szCs w:val="21"/>
              </w:rPr>
            </w:pPr>
            <w:r>
              <w:rPr>
                <w:sz w:val="21"/>
                <w:szCs w:val="21"/>
                <w:b/>
                <w:bCs/>
                <w:spacing w:val="-5"/>
              </w:rPr>
              <w:t>设备名称</w:t>
            </w:r>
          </w:p>
        </w:tc>
        <w:tc>
          <w:tcPr>
            <w:shd w:val="clear" w:fill="BDBDBD"/>
            <w:tcW w:w="480" w:type="dxa"/>
            <w:vAlign w:val="top"/>
          </w:tcPr>
          <w:p>
            <w:pPr>
              <w:pStyle w:val="TableText"/>
              <w:ind w:left="25"/>
              <w:spacing w:before="181" w:line="220" w:lineRule="auto"/>
              <w:rPr>
                <w:sz w:val="21"/>
                <w:szCs w:val="21"/>
              </w:rPr>
            </w:pPr>
            <w:r>
              <w:rPr>
                <w:sz w:val="21"/>
                <w:szCs w:val="21"/>
                <w:b/>
                <w:bCs/>
                <w:spacing w:val="-5"/>
              </w:rPr>
              <w:t>单位</w:t>
            </w:r>
          </w:p>
        </w:tc>
        <w:tc>
          <w:tcPr>
            <w:shd w:val="clear" w:fill="BDBDBD"/>
            <w:tcW w:w="1739" w:type="dxa"/>
            <w:vAlign w:val="top"/>
          </w:tcPr>
          <w:p>
            <w:pPr>
              <w:pStyle w:val="TableText"/>
              <w:ind w:left="25"/>
              <w:spacing w:before="180" w:line="219" w:lineRule="auto"/>
              <w:rPr>
                <w:sz w:val="21"/>
                <w:szCs w:val="21"/>
              </w:rPr>
            </w:pPr>
            <w:r>
              <w:rPr>
                <w:sz w:val="21"/>
                <w:szCs w:val="21"/>
                <w:b/>
                <w:bCs/>
                <w:spacing w:val="-4"/>
              </w:rPr>
              <w:t>现有工程设备数量</w:t>
            </w:r>
          </w:p>
        </w:tc>
        <w:tc>
          <w:tcPr>
            <w:shd w:val="clear" w:fill="BDBDBD"/>
            <w:tcW w:w="2558" w:type="dxa"/>
            <w:vAlign w:val="top"/>
          </w:tcPr>
          <w:p>
            <w:pPr>
              <w:pStyle w:val="TableText"/>
              <w:ind w:left="16"/>
              <w:spacing w:before="179" w:line="219" w:lineRule="auto"/>
              <w:rPr>
                <w:sz w:val="21"/>
                <w:szCs w:val="21"/>
              </w:rPr>
            </w:pPr>
            <w:r>
              <w:rPr>
                <w:sz w:val="21"/>
                <w:szCs w:val="21"/>
                <w:b/>
                <w:bCs/>
                <w:spacing w:val="-3"/>
              </w:rPr>
              <w:t>本项目建成后全厂设备数量</w:t>
            </w:r>
          </w:p>
        </w:tc>
        <w:tc>
          <w:tcPr>
            <w:shd w:val="clear" w:fill="BDBDBD"/>
            <w:tcW w:w="2178" w:type="dxa"/>
            <w:vAlign w:val="top"/>
          </w:tcPr>
          <w:p>
            <w:pPr>
              <w:pStyle w:val="TableText"/>
              <w:ind w:left="38"/>
              <w:spacing w:before="180" w:line="219" w:lineRule="auto"/>
              <w:rPr>
                <w:sz w:val="21"/>
                <w:szCs w:val="21"/>
              </w:rPr>
            </w:pPr>
            <w:r>
              <w:rPr>
                <w:sz w:val="21"/>
                <w:szCs w:val="21"/>
                <w:b/>
                <w:bCs/>
                <w:spacing w:val="-4"/>
              </w:rPr>
              <w:t>项目设备数量变化情况</w:t>
            </w:r>
          </w:p>
        </w:tc>
        <w:tc>
          <w:tcPr>
            <w:shd w:val="clear" w:fill="BDBDBD"/>
            <w:tcW w:w="2508" w:type="dxa"/>
            <w:vAlign w:val="top"/>
          </w:tcPr>
          <w:p>
            <w:pPr>
              <w:pStyle w:val="TableText"/>
              <w:ind w:left="1050"/>
              <w:spacing w:before="181" w:line="221" w:lineRule="auto"/>
              <w:rPr>
                <w:sz w:val="21"/>
                <w:szCs w:val="21"/>
              </w:rPr>
            </w:pPr>
            <w:r>
              <w:rPr>
                <w:sz w:val="21"/>
                <w:szCs w:val="21"/>
                <w:b/>
                <w:bCs/>
                <w:spacing w:val="-5"/>
              </w:rPr>
              <w:t>用途</w:t>
            </w:r>
          </w:p>
        </w:tc>
        <w:tc>
          <w:tcPr>
            <w:shd w:val="clear" w:fill="BDBDBD"/>
            <w:tcW w:w="1104" w:type="dxa"/>
            <w:vAlign w:val="top"/>
          </w:tcPr>
          <w:p>
            <w:pPr>
              <w:pStyle w:val="TableText"/>
              <w:ind w:left="352"/>
              <w:spacing w:before="181" w:line="221" w:lineRule="auto"/>
              <w:rPr>
                <w:sz w:val="21"/>
                <w:szCs w:val="21"/>
              </w:rPr>
            </w:pPr>
            <w:r>
              <w:rPr>
                <w:sz w:val="21"/>
                <w:szCs w:val="21"/>
                <w:b/>
                <w:bCs/>
                <w:spacing w:val="-5"/>
              </w:rPr>
              <w:t>备注</w:t>
            </w:r>
          </w:p>
        </w:tc>
      </w:tr>
      <w:tr>
        <w:trPr>
          <w:trHeight w:val="270" w:hRule="atLeast"/>
        </w:trPr>
        <w:tc>
          <w:tcPr>
            <w:tcW w:w="385" w:type="dxa"/>
            <w:vAlign w:val="top"/>
          </w:tcPr>
          <w:p>
            <w:pPr>
              <w:pStyle w:val="TableText"/>
              <w:ind w:left="25"/>
              <w:spacing w:before="50" w:line="184" w:lineRule="auto"/>
              <w:rPr>
                <w:sz w:val="21"/>
                <w:szCs w:val="21"/>
              </w:rPr>
            </w:pPr>
            <w:r>
              <w:rPr>
                <w:sz w:val="21"/>
                <w:szCs w:val="21"/>
                <w:spacing w:val="-6"/>
              </w:rPr>
              <w:t>106</w:t>
            </w:r>
          </w:p>
        </w:tc>
        <w:tc>
          <w:tcPr>
            <w:tcW w:w="3188" w:type="dxa"/>
            <w:vAlign w:val="top"/>
          </w:tcPr>
          <w:p>
            <w:pPr>
              <w:pStyle w:val="TableText"/>
              <w:ind w:left="740"/>
              <w:spacing w:before="31" w:line="201" w:lineRule="auto"/>
              <w:rPr>
                <w:sz w:val="21"/>
                <w:szCs w:val="21"/>
              </w:rPr>
            </w:pPr>
            <w:r>
              <w:rPr>
                <w:sz w:val="21"/>
                <w:szCs w:val="21"/>
                <w:spacing w:val="-1"/>
              </w:rPr>
              <w:t>放血吊链返回系统</w:t>
            </w:r>
          </w:p>
        </w:tc>
        <w:tc>
          <w:tcPr>
            <w:tcW w:w="480" w:type="dxa"/>
            <w:vAlign w:val="top"/>
          </w:tcPr>
          <w:p>
            <w:pPr>
              <w:pStyle w:val="TableText"/>
              <w:ind w:left="122"/>
              <w:spacing w:before="29" w:line="203" w:lineRule="auto"/>
              <w:rPr>
                <w:sz w:val="21"/>
                <w:szCs w:val="21"/>
              </w:rPr>
            </w:pPr>
            <w:r>
              <w:rPr>
                <w:sz w:val="21"/>
                <w:szCs w:val="21"/>
              </w:rPr>
              <w:t>米</w:t>
            </w:r>
          </w:p>
        </w:tc>
        <w:tc>
          <w:tcPr>
            <w:tcW w:w="1739" w:type="dxa"/>
            <w:vAlign w:val="top"/>
          </w:tcPr>
          <w:p>
            <w:pPr>
              <w:pStyle w:val="TableText"/>
              <w:ind w:left="802"/>
              <w:spacing w:before="50" w:line="184" w:lineRule="auto"/>
              <w:rPr>
                <w:sz w:val="21"/>
                <w:szCs w:val="21"/>
              </w:rPr>
            </w:pPr>
            <w:r>
              <w:rPr>
                <w:sz w:val="21"/>
                <w:szCs w:val="21"/>
              </w:rPr>
              <w:t>0</w:t>
            </w:r>
          </w:p>
        </w:tc>
        <w:tc>
          <w:tcPr>
            <w:tcW w:w="2558" w:type="dxa"/>
            <w:vAlign w:val="top"/>
          </w:tcPr>
          <w:p>
            <w:pPr>
              <w:pStyle w:val="TableText"/>
              <w:ind w:left="1163"/>
              <w:spacing w:before="50" w:line="184" w:lineRule="auto"/>
              <w:rPr>
                <w:sz w:val="21"/>
                <w:szCs w:val="21"/>
              </w:rPr>
            </w:pPr>
            <w:r>
              <w:rPr>
                <w:sz w:val="21"/>
                <w:szCs w:val="21"/>
                <w:spacing w:val="-4"/>
              </w:rPr>
              <w:t>30</w:t>
            </w:r>
          </w:p>
        </w:tc>
        <w:tc>
          <w:tcPr>
            <w:tcW w:w="2178" w:type="dxa"/>
            <w:vAlign w:val="top"/>
          </w:tcPr>
          <w:p>
            <w:pPr>
              <w:pStyle w:val="TableText"/>
              <w:ind w:left="925"/>
              <w:spacing w:before="50" w:line="184" w:lineRule="auto"/>
              <w:rPr>
                <w:sz w:val="21"/>
                <w:szCs w:val="21"/>
              </w:rPr>
            </w:pPr>
            <w:r>
              <w:rPr>
                <w:sz w:val="21"/>
                <w:szCs w:val="21"/>
                <w:spacing w:val="-3"/>
              </w:rPr>
              <w:t>+30</w:t>
            </w:r>
          </w:p>
        </w:tc>
        <w:tc>
          <w:tcPr>
            <w:tcW w:w="2508" w:type="dxa"/>
            <w:vAlign w:val="top"/>
            <w:vMerge w:val="restart"/>
            <w:tcBorders>
              <w:bottom w:val="nil"/>
            </w:tcBorders>
          </w:tcPr>
          <w:p>
            <w:pPr>
              <w:rPr>
                <w:rFonts w:ascii="Arial"/>
                <w:sz w:val="21"/>
              </w:rPr>
            </w:pPr>
            <w:r/>
          </w:p>
        </w:tc>
        <w:tc>
          <w:tcPr>
            <w:tcW w:w="1104" w:type="dxa"/>
            <w:vAlign w:val="top"/>
            <w:vMerge w:val="restart"/>
            <w:tcBorders>
              <w:bottom w:val="nil"/>
            </w:tcBorders>
          </w:tcPr>
          <w:p>
            <w:pPr>
              <w:rPr>
                <w:rFonts w:ascii="Arial"/>
                <w:sz w:val="21"/>
              </w:rPr>
            </w:pPr>
            <w:r/>
          </w:p>
        </w:tc>
      </w:tr>
      <w:tr>
        <w:trPr>
          <w:trHeight w:val="270" w:hRule="atLeast"/>
        </w:trPr>
        <w:tc>
          <w:tcPr>
            <w:tcW w:w="385" w:type="dxa"/>
            <w:vAlign w:val="top"/>
          </w:tcPr>
          <w:p>
            <w:pPr>
              <w:pStyle w:val="TableText"/>
              <w:ind w:left="25"/>
              <w:spacing w:before="50" w:line="184" w:lineRule="auto"/>
              <w:rPr>
                <w:sz w:val="21"/>
                <w:szCs w:val="21"/>
              </w:rPr>
            </w:pPr>
            <w:r>
              <w:rPr>
                <w:sz w:val="21"/>
                <w:szCs w:val="21"/>
                <w:color w:val="504050"/>
                <w:spacing w:val="-6"/>
              </w:rPr>
              <w:t>107</w:t>
            </w:r>
          </w:p>
        </w:tc>
        <w:tc>
          <w:tcPr>
            <w:tcW w:w="3188" w:type="dxa"/>
            <w:vAlign w:val="top"/>
          </w:tcPr>
          <w:p>
            <w:pPr>
              <w:pStyle w:val="TableText"/>
              <w:ind w:left="1160"/>
              <w:spacing w:before="31" w:line="201" w:lineRule="auto"/>
              <w:rPr>
                <w:sz w:val="21"/>
                <w:szCs w:val="21"/>
              </w:rPr>
            </w:pPr>
            <w:r>
              <w:rPr>
                <w:sz w:val="21"/>
                <w:szCs w:val="21"/>
                <w:spacing w:val="-2"/>
              </w:rPr>
              <w:t>放血吊链</w:t>
            </w:r>
          </w:p>
        </w:tc>
        <w:tc>
          <w:tcPr>
            <w:tcW w:w="480" w:type="dxa"/>
            <w:vAlign w:val="top"/>
          </w:tcPr>
          <w:p>
            <w:pPr>
              <w:pStyle w:val="TableText"/>
              <w:ind w:left="122"/>
              <w:spacing w:before="32" w:line="200" w:lineRule="auto"/>
              <w:rPr>
                <w:sz w:val="21"/>
                <w:szCs w:val="21"/>
              </w:rPr>
            </w:pPr>
            <w:r>
              <w:rPr>
                <w:sz w:val="21"/>
                <w:szCs w:val="21"/>
                <w:color w:val="403040"/>
              </w:rPr>
              <w:t>只</w:t>
            </w:r>
          </w:p>
        </w:tc>
        <w:tc>
          <w:tcPr>
            <w:tcW w:w="1739" w:type="dxa"/>
            <w:vAlign w:val="top"/>
          </w:tcPr>
          <w:p>
            <w:pPr>
              <w:pStyle w:val="TableText"/>
              <w:ind w:left="802"/>
              <w:spacing w:before="50" w:line="184" w:lineRule="auto"/>
              <w:rPr>
                <w:sz w:val="21"/>
                <w:szCs w:val="21"/>
              </w:rPr>
            </w:pPr>
            <w:r>
              <w:rPr>
                <w:sz w:val="21"/>
                <w:szCs w:val="21"/>
              </w:rPr>
              <w:t>0</w:t>
            </w:r>
          </w:p>
        </w:tc>
        <w:tc>
          <w:tcPr>
            <w:tcW w:w="2558" w:type="dxa"/>
            <w:vAlign w:val="top"/>
          </w:tcPr>
          <w:p>
            <w:pPr>
              <w:pStyle w:val="TableText"/>
              <w:ind w:left="1163"/>
              <w:spacing w:before="50" w:line="184" w:lineRule="auto"/>
              <w:rPr>
                <w:sz w:val="21"/>
                <w:szCs w:val="21"/>
              </w:rPr>
            </w:pPr>
            <w:r>
              <w:rPr>
                <w:sz w:val="21"/>
                <w:szCs w:val="21"/>
                <w:spacing w:val="-4"/>
              </w:rPr>
              <w:t>30</w:t>
            </w:r>
          </w:p>
        </w:tc>
        <w:tc>
          <w:tcPr>
            <w:tcW w:w="2178" w:type="dxa"/>
            <w:vAlign w:val="top"/>
          </w:tcPr>
          <w:p>
            <w:pPr>
              <w:pStyle w:val="TableText"/>
              <w:ind w:left="925"/>
              <w:spacing w:before="50" w:line="184" w:lineRule="auto"/>
              <w:rPr>
                <w:sz w:val="21"/>
                <w:szCs w:val="21"/>
              </w:rPr>
            </w:pPr>
            <w:r>
              <w:rPr>
                <w:sz w:val="21"/>
                <w:szCs w:val="21"/>
                <w:spacing w:val="-3"/>
              </w:rPr>
              <w:t>+30</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50" w:hRule="atLeast"/>
        </w:trPr>
        <w:tc>
          <w:tcPr>
            <w:tcW w:w="385" w:type="dxa"/>
            <w:vAlign w:val="top"/>
          </w:tcPr>
          <w:p>
            <w:pPr>
              <w:pStyle w:val="TableText"/>
              <w:ind w:left="25"/>
              <w:spacing w:before="40" w:line="175" w:lineRule="auto"/>
              <w:rPr>
                <w:sz w:val="21"/>
                <w:szCs w:val="21"/>
              </w:rPr>
            </w:pPr>
            <w:r>
              <w:rPr>
                <w:sz w:val="21"/>
                <w:szCs w:val="21"/>
                <w:color w:val="404050"/>
                <w:spacing w:val="-6"/>
              </w:rPr>
              <w:t>108</w:t>
            </w:r>
          </w:p>
        </w:tc>
        <w:tc>
          <w:tcPr>
            <w:tcW w:w="3188" w:type="dxa"/>
            <w:vAlign w:val="top"/>
          </w:tcPr>
          <w:p>
            <w:pPr>
              <w:pStyle w:val="TableText"/>
              <w:ind w:left="850"/>
              <w:spacing w:before="19" w:line="194" w:lineRule="auto"/>
              <w:rPr>
                <w:sz w:val="21"/>
                <w:szCs w:val="21"/>
              </w:rPr>
            </w:pPr>
            <w:r>
              <w:rPr>
                <w:sz w:val="21"/>
                <w:szCs w:val="21"/>
                <w:spacing w:val="-2"/>
              </w:rPr>
              <w:t>集血、水排放槽</w:t>
            </w:r>
          </w:p>
        </w:tc>
        <w:tc>
          <w:tcPr>
            <w:tcW w:w="480" w:type="dxa"/>
            <w:vAlign w:val="top"/>
          </w:tcPr>
          <w:p>
            <w:pPr>
              <w:pStyle w:val="TableText"/>
              <w:ind w:left="122"/>
              <w:spacing w:before="20" w:line="193" w:lineRule="auto"/>
              <w:rPr>
                <w:sz w:val="21"/>
                <w:szCs w:val="21"/>
              </w:rPr>
            </w:pPr>
            <w:r>
              <w:rPr>
                <w:sz w:val="21"/>
                <w:szCs w:val="21"/>
              </w:rPr>
              <w:t>套</w:t>
            </w:r>
          </w:p>
        </w:tc>
        <w:tc>
          <w:tcPr>
            <w:tcW w:w="1739" w:type="dxa"/>
            <w:vAlign w:val="top"/>
          </w:tcPr>
          <w:p>
            <w:pPr>
              <w:pStyle w:val="TableText"/>
              <w:ind w:left="802"/>
              <w:spacing w:before="40" w:line="175" w:lineRule="auto"/>
              <w:rPr>
                <w:sz w:val="21"/>
                <w:szCs w:val="21"/>
              </w:rPr>
            </w:pPr>
            <w:r>
              <w:rPr>
                <w:sz w:val="21"/>
                <w:szCs w:val="21"/>
              </w:rPr>
              <w:t>0</w:t>
            </w:r>
          </w:p>
        </w:tc>
        <w:tc>
          <w:tcPr>
            <w:tcW w:w="2558" w:type="dxa"/>
            <w:vAlign w:val="top"/>
            <w:textDirection w:val="tbRlV"/>
          </w:tcPr>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spacing w:before="70" w:line="126" w:lineRule="exact"/>
              <w:rPr>
                <w:sz w:val="21"/>
                <w:szCs w:val="21"/>
              </w:rPr>
            </w:pPr>
            <w:r>
              <w:rPr>
                <w:sz w:val="21"/>
                <w:szCs w:val="21"/>
                <w:color w:val="505050"/>
                <w:spacing w:val="26"/>
                <w:w w:val="123"/>
                <w:position w:val="-3"/>
              </w:rPr>
              <w:t>1</w:t>
            </w:r>
          </w:p>
        </w:tc>
        <w:tc>
          <w:tcPr>
            <w:tcW w:w="2178" w:type="dxa"/>
            <w:vAlign w:val="top"/>
          </w:tcPr>
          <w:p>
            <w:pPr>
              <w:pStyle w:val="TableText"/>
              <w:ind w:left="975"/>
              <w:spacing w:before="40" w:line="175" w:lineRule="auto"/>
              <w:rPr>
                <w:sz w:val="21"/>
                <w:szCs w:val="21"/>
              </w:rPr>
            </w:pPr>
            <w:r>
              <w:rPr>
                <w:sz w:val="21"/>
                <w:szCs w:val="21"/>
                <w:spacing w:val="-3"/>
              </w:rPr>
              <w:t>+1</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385" w:type="dxa"/>
            <w:vAlign w:val="top"/>
          </w:tcPr>
          <w:p>
            <w:pPr>
              <w:pStyle w:val="TableText"/>
              <w:ind w:left="25"/>
              <w:spacing w:before="60" w:line="183" w:lineRule="auto"/>
              <w:rPr>
                <w:sz w:val="21"/>
                <w:szCs w:val="21"/>
              </w:rPr>
            </w:pPr>
            <w:r>
              <w:rPr>
                <w:sz w:val="21"/>
                <w:szCs w:val="21"/>
                <w:spacing w:val="-6"/>
              </w:rPr>
              <w:t>109</w:t>
            </w:r>
          </w:p>
        </w:tc>
        <w:tc>
          <w:tcPr>
            <w:tcW w:w="3188" w:type="dxa"/>
            <w:vAlign w:val="top"/>
          </w:tcPr>
          <w:p>
            <w:pPr>
              <w:pStyle w:val="TableText"/>
              <w:ind w:left="1160"/>
              <w:spacing w:before="40" w:line="201" w:lineRule="auto"/>
              <w:rPr>
                <w:sz w:val="21"/>
                <w:szCs w:val="21"/>
              </w:rPr>
            </w:pPr>
            <w:r>
              <w:rPr>
                <w:sz w:val="21"/>
                <w:szCs w:val="21"/>
                <w:spacing w:val="5"/>
              </w:rPr>
              <w:t>转挂平台</w:t>
            </w:r>
          </w:p>
        </w:tc>
        <w:tc>
          <w:tcPr>
            <w:tcW w:w="480" w:type="dxa"/>
            <w:vAlign w:val="top"/>
          </w:tcPr>
          <w:p>
            <w:pPr>
              <w:pStyle w:val="TableText"/>
              <w:ind w:left="122"/>
              <w:spacing w:before="40" w:line="201" w:lineRule="auto"/>
              <w:rPr>
                <w:sz w:val="21"/>
                <w:szCs w:val="21"/>
              </w:rPr>
            </w:pPr>
            <w:r>
              <w:rPr>
                <w:sz w:val="21"/>
                <w:szCs w:val="21"/>
              </w:rPr>
              <w:t>套</w:t>
            </w:r>
          </w:p>
        </w:tc>
        <w:tc>
          <w:tcPr>
            <w:tcW w:w="1739" w:type="dxa"/>
            <w:vAlign w:val="top"/>
          </w:tcPr>
          <w:p>
            <w:pPr>
              <w:pStyle w:val="TableText"/>
              <w:ind w:left="802"/>
              <w:spacing w:before="60" w:line="183" w:lineRule="auto"/>
              <w:rPr>
                <w:sz w:val="21"/>
                <w:szCs w:val="21"/>
              </w:rPr>
            </w:pPr>
            <w:r>
              <w:rPr>
                <w:sz w:val="21"/>
                <w:szCs w:val="21"/>
              </w:rPr>
              <w:t>0</w:t>
            </w:r>
          </w:p>
        </w:tc>
        <w:tc>
          <w:tcPr>
            <w:tcW w:w="2558" w:type="dxa"/>
            <w:vAlign w:val="top"/>
            <w:textDirection w:val="tbRlV"/>
          </w:tcPr>
          <w:p>
            <w:pPr>
              <w:spacing w:line="283" w:lineRule="auto"/>
              <w:rPr>
                <w:rFonts w:ascii="Arial"/>
                <w:sz w:val="21"/>
              </w:rPr>
            </w:pPr>
            <w:r/>
          </w:p>
          <w:p>
            <w:pPr>
              <w:spacing w:line="284" w:lineRule="auto"/>
              <w:rPr>
                <w:rFonts w:ascii="Arial"/>
                <w:sz w:val="21"/>
              </w:rPr>
            </w:pPr>
            <w:r/>
          </w:p>
          <w:p>
            <w:pPr>
              <w:spacing w:line="284" w:lineRule="auto"/>
              <w:rPr>
                <w:rFonts w:ascii="Arial"/>
                <w:sz w:val="21"/>
              </w:rPr>
            </w:pPr>
            <w:r/>
          </w:p>
          <w:p>
            <w:pPr>
              <w:spacing w:line="284" w:lineRule="auto"/>
              <w:rPr>
                <w:rFonts w:ascii="Arial"/>
                <w:sz w:val="21"/>
              </w:rPr>
            </w:pPr>
            <w:r/>
          </w:p>
          <w:p>
            <w:pPr>
              <w:pStyle w:val="TableText"/>
              <w:spacing w:before="70" w:line="147" w:lineRule="exact"/>
              <w:rPr>
                <w:sz w:val="21"/>
                <w:szCs w:val="21"/>
              </w:rPr>
            </w:pPr>
            <w:r>
              <w:rPr>
                <w:sz w:val="21"/>
                <w:szCs w:val="21"/>
                <w:spacing w:val="43"/>
                <w:w w:val="125"/>
                <w:position w:val="-3"/>
              </w:rPr>
              <w:t>2</w:t>
            </w:r>
          </w:p>
        </w:tc>
        <w:tc>
          <w:tcPr>
            <w:tcW w:w="2178" w:type="dxa"/>
            <w:vAlign w:val="top"/>
          </w:tcPr>
          <w:p>
            <w:pPr>
              <w:pStyle w:val="TableText"/>
              <w:ind w:left="975"/>
              <w:spacing w:before="60" w:line="183" w:lineRule="auto"/>
              <w:rPr>
                <w:sz w:val="21"/>
                <w:szCs w:val="21"/>
              </w:rPr>
            </w:pPr>
            <w:r>
              <w:rPr>
                <w:sz w:val="21"/>
                <w:szCs w:val="21"/>
                <w:spacing w:val="-3"/>
              </w:rPr>
              <w:t>+2</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25"/>
              <w:spacing w:before="51" w:line="183" w:lineRule="auto"/>
              <w:rPr>
                <w:sz w:val="21"/>
                <w:szCs w:val="21"/>
              </w:rPr>
            </w:pPr>
            <w:r>
              <w:rPr>
                <w:sz w:val="21"/>
                <w:szCs w:val="21"/>
                <w:spacing w:val="-6"/>
              </w:rPr>
              <w:t>110</w:t>
            </w:r>
          </w:p>
        </w:tc>
        <w:tc>
          <w:tcPr>
            <w:tcW w:w="3188" w:type="dxa"/>
            <w:vAlign w:val="top"/>
          </w:tcPr>
          <w:p>
            <w:pPr>
              <w:pStyle w:val="TableText"/>
              <w:ind w:left="1160"/>
              <w:spacing w:before="30" w:line="202" w:lineRule="auto"/>
              <w:rPr>
                <w:sz w:val="21"/>
                <w:szCs w:val="21"/>
              </w:rPr>
            </w:pPr>
            <w:r>
              <w:rPr>
                <w:sz w:val="21"/>
                <w:szCs w:val="21"/>
                <w:spacing w:val="-2"/>
              </w:rPr>
              <w:t>后蹄滑槽</w:t>
            </w:r>
          </w:p>
        </w:tc>
        <w:tc>
          <w:tcPr>
            <w:tcW w:w="480" w:type="dxa"/>
            <w:vAlign w:val="top"/>
          </w:tcPr>
          <w:p>
            <w:pPr>
              <w:pStyle w:val="TableText"/>
              <w:ind w:left="122"/>
              <w:spacing w:before="30" w:line="202" w:lineRule="auto"/>
              <w:rPr>
                <w:sz w:val="21"/>
                <w:szCs w:val="21"/>
              </w:rPr>
            </w:pPr>
            <w:r>
              <w:rPr>
                <w:sz w:val="21"/>
                <w:szCs w:val="21"/>
              </w:rPr>
              <w:t>件</w:t>
            </w:r>
          </w:p>
        </w:tc>
        <w:tc>
          <w:tcPr>
            <w:tcW w:w="1739" w:type="dxa"/>
            <w:vAlign w:val="top"/>
          </w:tcPr>
          <w:p>
            <w:pPr>
              <w:pStyle w:val="TableText"/>
              <w:ind w:left="802"/>
              <w:spacing w:before="51" w:line="183" w:lineRule="auto"/>
              <w:rPr>
                <w:sz w:val="21"/>
                <w:szCs w:val="21"/>
              </w:rPr>
            </w:pPr>
            <w:r>
              <w:rPr>
                <w:sz w:val="21"/>
                <w:szCs w:val="21"/>
              </w:rPr>
              <w:t>0</w:t>
            </w:r>
          </w:p>
        </w:tc>
        <w:tc>
          <w:tcPr>
            <w:tcW w:w="2558" w:type="dxa"/>
            <w:vAlign w:val="top"/>
            <w:textDirection w:val="tbRlV"/>
          </w:tcPr>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spacing w:before="70" w:line="126" w:lineRule="exact"/>
              <w:rPr>
                <w:sz w:val="21"/>
                <w:szCs w:val="21"/>
              </w:rPr>
            </w:pPr>
            <w:r>
              <w:rPr>
                <w:sz w:val="21"/>
                <w:szCs w:val="21"/>
                <w:color w:val="504040"/>
                <w:spacing w:val="35"/>
                <w:w w:val="125"/>
                <w:position w:val="-3"/>
              </w:rPr>
              <w:t>1</w:t>
            </w:r>
          </w:p>
        </w:tc>
        <w:tc>
          <w:tcPr>
            <w:tcW w:w="2178" w:type="dxa"/>
            <w:vAlign w:val="top"/>
          </w:tcPr>
          <w:p>
            <w:pPr>
              <w:pStyle w:val="TableText"/>
              <w:ind w:left="975"/>
              <w:spacing w:before="51" w:line="183" w:lineRule="auto"/>
              <w:rPr>
                <w:sz w:val="21"/>
                <w:szCs w:val="21"/>
              </w:rPr>
            </w:pPr>
            <w:r>
              <w:rPr>
                <w:sz w:val="21"/>
                <w:szCs w:val="21"/>
                <w:spacing w:val="-3"/>
              </w:rPr>
              <w:t>+1</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25"/>
              <w:spacing w:before="51" w:line="183" w:lineRule="auto"/>
              <w:rPr>
                <w:sz w:val="21"/>
                <w:szCs w:val="21"/>
              </w:rPr>
            </w:pPr>
            <w:r>
              <w:rPr>
                <w:sz w:val="21"/>
                <w:szCs w:val="21"/>
                <w:spacing w:val="-6"/>
              </w:rPr>
              <w:t>111</w:t>
            </w:r>
          </w:p>
        </w:tc>
        <w:tc>
          <w:tcPr>
            <w:tcW w:w="3188" w:type="dxa"/>
            <w:vAlign w:val="top"/>
          </w:tcPr>
          <w:p>
            <w:pPr>
              <w:pStyle w:val="TableText"/>
              <w:ind w:left="1160"/>
              <w:spacing w:before="30" w:line="202" w:lineRule="auto"/>
              <w:rPr>
                <w:sz w:val="21"/>
                <w:szCs w:val="21"/>
              </w:rPr>
            </w:pPr>
            <w:r>
              <w:rPr>
                <w:sz w:val="21"/>
                <w:szCs w:val="21"/>
                <w:spacing w:val="2"/>
              </w:rPr>
              <w:t>管轨滑轮</w:t>
            </w:r>
          </w:p>
        </w:tc>
        <w:tc>
          <w:tcPr>
            <w:tcW w:w="480" w:type="dxa"/>
            <w:vAlign w:val="top"/>
          </w:tcPr>
          <w:p>
            <w:pPr>
              <w:pStyle w:val="TableText"/>
              <w:ind w:left="122"/>
              <w:spacing w:before="30" w:line="202" w:lineRule="auto"/>
              <w:rPr>
                <w:sz w:val="21"/>
                <w:szCs w:val="21"/>
              </w:rPr>
            </w:pPr>
            <w:r>
              <w:rPr>
                <w:sz w:val="21"/>
                <w:szCs w:val="21"/>
              </w:rPr>
              <w:t>个</w:t>
            </w:r>
          </w:p>
        </w:tc>
        <w:tc>
          <w:tcPr>
            <w:tcW w:w="1739" w:type="dxa"/>
            <w:vAlign w:val="top"/>
          </w:tcPr>
          <w:p>
            <w:pPr>
              <w:pStyle w:val="TableText"/>
              <w:ind w:left="802"/>
              <w:spacing w:before="51" w:line="183" w:lineRule="auto"/>
              <w:rPr>
                <w:sz w:val="21"/>
                <w:szCs w:val="21"/>
              </w:rPr>
            </w:pPr>
            <w:r>
              <w:rPr>
                <w:sz w:val="21"/>
                <w:szCs w:val="21"/>
              </w:rPr>
              <w:t>0</w:t>
            </w:r>
          </w:p>
        </w:tc>
        <w:tc>
          <w:tcPr>
            <w:tcW w:w="2558" w:type="dxa"/>
            <w:vAlign w:val="top"/>
          </w:tcPr>
          <w:p>
            <w:pPr>
              <w:pStyle w:val="TableText"/>
              <w:ind w:left="1113"/>
              <w:spacing w:before="51" w:line="183" w:lineRule="auto"/>
              <w:rPr>
                <w:sz w:val="21"/>
                <w:szCs w:val="21"/>
              </w:rPr>
            </w:pPr>
            <w:r>
              <w:rPr>
                <w:sz w:val="21"/>
                <w:szCs w:val="21"/>
                <w:spacing w:val="-2"/>
              </w:rPr>
              <w:t>400</w:t>
            </w:r>
          </w:p>
        </w:tc>
        <w:tc>
          <w:tcPr>
            <w:tcW w:w="2178" w:type="dxa"/>
            <w:vAlign w:val="top"/>
          </w:tcPr>
          <w:p>
            <w:pPr>
              <w:pStyle w:val="TableText"/>
              <w:ind w:left="875"/>
              <w:spacing w:before="51" w:line="183" w:lineRule="auto"/>
              <w:rPr>
                <w:sz w:val="21"/>
                <w:szCs w:val="21"/>
              </w:rPr>
            </w:pPr>
            <w:r>
              <w:rPr>
                <w:sz w:val="21"/>
                <w:szCs w:val="21"/>
                <w:spacing w:val="-2"/>
              </w:rPr>
              <w:t>+400</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385" w:type="dxa"/>
            <w:vAlign w:val="top"/>
          </w:tcPr>
          <w:p>
            <w:pPr>
              <w:pStyle w:val="TableText"/>
              <w:ind w:left="25"/>
              <w:spacing w:before="61" w:line="182" w:lineRule="auto"/>
              <w:rPr>
                <w:sz w:val="21"/>
                <w:szCs w:val="21"/>
              </w:rPr>
            </w:pPr>
            <w:r>
              <w:rPr>
                <w:sz w:val="21"/>
                <w:szCs w:val="21"/>
                <w:spacing w:val="-6"/>
              </w:rPr>
              <w:t>112</w:t>
            </w:r>
          </w:p>
        </w:tc>
        <w:tc>
          <w:tcPr>
            <w:tcW w:w="3188" w:type="dxa"/>
            <w:vAlign w:val="top"/>
          </w:tcPr>
          <w:p>
            <w:pPr>
              <w:pStyle w:val="TableText"/>
              <w:ind w:left="950"/>
              <w:spacing w:before="41" w:line="200" w:lineRule="auto"/>
              <w:rPr>
                <w:sz w:val="21"/>
                <w:szCs w:val="21"/>
              </w:rPr>
            </w:pPr>
            <w:r>
              <w:rPr>
                <w:sz w:val="21"/>
                <w:szCs w:val="21"/>
                <w:spacing w:val="-2"/>
              </w:rPr>
              <w:t>液压转挂装置</w:t>
            </w:r>
          </w:p>
        </w:tc>
        <w:tc>
          <w:tcPr>
            <w:tcW w:w="480" w:type="dxa"/>
            <w:vAlign w:val="top"/>
          </w:tcPr>
          <w:p>
            <w:pPr>
              <w:pStyle w:val="TableText"/>
              <w:ind w:left="122"/>
              <w:spacing w:before="42" w:line="199" w:lineRule="auto"/>
              <w:rPr>
                <w:sz w:val="21"/>
                <w:szCs w:val="21"/>
              </w:rPr>
            </w:pPr>
            <w:r>
              <w:rPr>
                <w:sz w:val="21"/>
                <w:szCs w:val="21"/>
                <w:color w:val="404060"/>
              </w:rPr>
              <w:t>对</w:t>
            </w:r>
          </w:p>
        </w:tc>
        <w:tc>
          <w:tcPr>
            <w:tcW w:w="1739" w:type="dxa"/>
            <w:vAlign w:val="top"/>
          </w:tcPr>
          <w:p>
            <w:pPr>
              <w:pStyle w:val="TableText"/>
              <w:ind w:left="802"/>
              <w:spacing w:before="61" w:line="182" w:lineRule="auto"/>
              <w:rPr>
                <w:sz w:val="21"/>
                <w:szCs w:val="21"/>
              </w:rPr>
            </w:pPr>
            <w:r>
              <w:rPr>
                <w:sz w:val="21"/>
                <w:szCs w:val="21"/>
              </w:rPr>
              <w:t>0</w:t>
            </w:r>
          </w:p>
        </w:tc>
        <w:tc>
          <w:tcPr>
            <w:tcW w:w="2558" w:type="dxa"/>
            <w:vAlign w:val="top"/>
          </w:tcPr>
          <w:p>
            <w:pPr>
              <w:pStyle w:val="TableText"/>
              <w:ind w:left="1213"/>
              <w:spacing w:before="61" w:line="182" w:lineRule="auto"/>
              <w:rPr>
                <w:sz w:val="21"/>
                <w:szCs w:val="21"/>
              </w:rPr>
            </w:pPr>
            <w:r>
              <w:rPr>
                <w:sz w:val="21"/>
                <w:szCs w:val="21"/>
                <w:color w:val="505040"/>
              </w:rPr>
              <w:t>1</w:t>
            </w:r>
          </w:p>
        </w:tc>
        <w:tc>
          <w:tcPr>
            <w:tcW w:w="2178" w:type="dxa"/>
            <w:vAlign w:val="top"/>
          </w:tcPr>
          <w:p>
            <w:pPr>
              <w:pStyle w:val="TableText"/>
              <w:ind w:left="975"/>
              <w:spacing w:before="61" w:line="182" w:lineRule="auto"/>
              <w:rPr>
                <w:sz w:val="21"/>
                <w:szCs w:val="21"/>
              </w:rPr>
            </w:pPr>
            <w:r>
              <w:rPr>
                <w:sz w:val="21"/>
                <w:szCs w:val="21"/>
                <w:spacing w:val="-3"/>
              </w:rPr>
              <w:t>+1</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25"/>
              <w:spacing w:before="52" w:line="182" w:lineRule="auto"/>
              <w:rPr>
                <w:sz w:val="21"/>
                <w:szCs w:val="21"/>
              </w:rPr>
            </w:pPr>
            <w:r>
              <w:rPr>
                <w:sz w:val="21"/>
                <w:szCs w:val="21"/>
                <w:spacing w:val="-6"/>
              </w:rPr>
              <w:t>113</w:t>
            </w:r>
          </w:p>
        </w:tc>
        <w:tc>
          <w:tcPr>
            <w:tcW w:w="3188" w:type="dxa"/>
            <w:vAlign w:val="top"/>
          </w:tcPr>
          <w:p>
            <w:pPr>
              <w:pStyle w:val="TableText"/>
              <w:ind w:left="740"/>
              <w:spacing w:before="31" w:line="201" w:lineRule="auto"/>
              <w:rPr>
                <w:sz w:val="21"/>
                <w:szCs w:val="21"/>
              </w:rPr>
            </w:pPr>
            <w:r>
              <w:rPr>
                <w:sz w:val="21"/>
                <w:szCs w:val="21"/>
                <w:spacing w:val="1"/>
              </w:rPr>
              <w:t>空滑轮挂车提升机</w:t>
            </w:r>
          </w:p>
        </w:tc>
        <w:tc>
          <w:tcPr>
            <w:tcW w:w="480" w:type="dxa"/>
            <w:vAlign w:val="top"/>
          </w:tcPr>
          <w:p>
            <w:pPr>
              <w:pStyle w:val="TableText"/>
              <w:ind w:left="122"/>
              <w:spacing w:before="33" w:line="199" w:lineRule="auto"/>
              <w:rPr>
                <w:sz w:val="21"/>
                <w:szCs w:val="21"/>
              </w:rPr>
            </w:pPr>
            <w:r>
              <w:rPr>
                <w:sz w:val="21"/>
                <w:szCs w:val="21"/>
              </w:rPr>
              <w:t>台</w:t>
            </w:r>
          </w:p>
        </w:tc>
        <w:tc>
          <w:tcPr>
            <w:tcW w:w="1739" w:type="dxa"/>
            <w:vAlign w:val="top"/>
          </w:tcPr>
          <w:p>
            <w:pPr>
              <w:pStyle w:val="TableText"/>
              <w:ind w:left="802"/>
              <w:spacing w:before="52" w:line="182" w:lineRule="auto"/>
              <w:rPr>
                <w:sz w:val="21"/>
                <w:szCs w:val="21"/>
              </w:rPr>
            </w:pPr>
            <w:r>
              <w:rPr>
                <w:sz w:val="21"/>
                <w:szCs w:val="21"/>
              </w:rPr>
              <w:t>0</w:t>
            </w:r>
          </w:p>
        </w:tc>
        <w:tc>
          <w:tcPr>
            <w:tcW w:w="2558" w:type="dxa"/>
            <w:vAlign w:val="top"/>
            <w:textDirection w:val="tbRlV"/>
          </w:tcPr>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spacing w:before="70" w:line="126" w:lineRule="exact"/>
              <w:rPr>
                <w:sz w:val="21"/>
                <w:szCs w:val="21"/>
              </w:rPr>
            </w:pPr>
            <w:r>
              <w:rPr>
                <w:sz w:val="21"/>
                <w:szCs w:val="21"/>
                <w:spacing w:val="36"/>
                <w:w w:val="125"/>
                <w:position w:val="-3"/>
              </w:rPr>
              <w:t>1</w:t>
            </w:r>
          </w:p>
        </w:tc>
        <w:tc>
          <w:tcPr>
            <w:tcW w:w="2178" w:type="dxa"/>
            <w:vAlign w:val="top"/>
          </w:tcPr>
          <w:p>
            <w:pPr>
              <w:pStyle w:val="TableText"/>
              <w:ind w:left="975"/>
              <w:spacing w:before="52" w:line="182" w:lineRule="auto"/>
              <w:rPr>
                <w:sz w:val="21"/>
                <w:szCs w:val="21"/>
              </w:rPr>
            </w:pPr>
            <w:r>
              <w:rPr>
                <w:sz w:val="21"/>
                <w:szCs w:val="21"/>
                <w:spacing w:val="-3"/>
              </w:rPr>
              <w:t>+1</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385" w:type="dxa"/>
            <w:vAlign w:val="top"/>
          </w:tcPr>
          <w:p>
            <w:pPr>
              <w:pStyle w:val="TableText"/>
              <w:ind w:left="25"/>
              <w:spacing w:before="63" w:line="181" w:lineRule="auto"/>
              <w:rPr>
                <w:sz w:val="21"/>
                <w:szCs w:val="21"/>
              </w:rPr>
            </w:pPr>
            <w:r>
              <w:rPr>
                <w:sz w:val="21"/>
                <w:szCs w:val="21"/>
                <w:color w:val="504040"/>
                <w:spacing w:val="-6"/>
              </w:rPr>
              <w:t>114</w:t>
            </w:r>
          </w:p>
        </w:tc>
        <w:tc>
          <w:tcPr>
            <w:tcW w:w="3188" w:type="dxa"/>
            <w:vAlign w:val="top"/>
          </w:tcPr>
          <w:p>
            <w:pPr>
              <w:pStyle w:val="TableText"/>
              <w:ind w:left="640"/>
              <w:spacing w:before="40" w:line="201" w:lineRule="auto"/>
              <w:rPr>
                <w:sz w:val="21"/>
                <w:szCs w:val="21"/>
              </w:rPr>
            </w:pPr>
            <w:r>
              <w:rPr>
                <w:sz w:val="21"/>
                <w:szCs w:val="21"/>
              </w:rPr>
              <w:t>红脏同步检疫输送机</w:t>
            </w:r>
          </w:p>
        </w:tc>
        <w:tc>
          <w:tcPr>
            <w:tcW w:w="480" w:type="dxa"/>
            <w:vAlign w:val="top"/>
          </w:tcPr>
          <w:p>
            <w:pPr>
              <w:pStyle w:val="TableText"/>
              <w:ind w:left="122"/>
              <w:spacing w:before="41" w:line="200" w:lineRule="auto"/>
              <w:rPr>
                <w:sz w:val="21"/>
                <w:szCs w:val="21"/>
              </w:rPr>
            </w:pPr>
            <w:r>
              <w:rPr>
                <w:sz w:val="21"/>
                <w:szCs w:val="21"/>
              </w:rPr>
              <w:t>米</w:t>
            </w:r>
          </w:p>
        </w:tc>
        <w:tc>
          <w:tcPr>
            <w:tcW w:w="1739" w:type="dxa"/>
            <w:vAlign w:val="top"/>
          </w:tcPr>
          <w:p>
            <w:pPr>
              <w:pStyle w:val="TableText"/>
              <w:ind w:left="802"/>
              <w:spacing w:before="63" w:line="181" w:lineRule="auto"/>
              <w:rPr>
                <w:sz w:val="21"/>
                <w:szCs w:val="21"/>
              </w:rPr>
            </w:pPr>
            <w:r>
              <w:rPr>
                <w:sz w:val="21"/>
                <w:szCs w:val="21"/>
              </w:rPr>
              <w:t>0</w:t>
            </w:r>
          </w:p>
        </w:tc>
        <w:tc>
          <w:tcPr>
            <w:tcW w:w="2558" w:type="dxa"/>
            <w:vAlign w:val="top"/>
          </w:tcPr>
          <w:p>
            <w:pPr>
              <w:pStyle w:val="TableText"/>
              <w:ind w:left="1163"/>
              <w:spacing w:before="63" w:line="181" w:lineRule="auto"/>
              <w:rPr>
                <w:sz w:val="21"/>
                <w:szCs w:val="21"/>
              </w:rPr>
            </w:pPr>
            <w:r>
              <w:rPr>
                <w:sz w:val="21"/>
                <w:szCs w:val="21"/>
                <w:spacing w:val="-4"/>
              </w:rPr>
              <w:t>36</w:t>
            </w:r>
          </w:p>
        </w:tc>
        <w:tc>
          <w:tcPr>
            <w:tcW w:w="2178" w:type="dxa"/>
            <w:vAlign w:val="top"/>
          </w:tcPr>
          <w:p>
            <w:pPr>
              <w:pStyle w:val="TableText"/>
              <w:ind w:left="925"/>
              <w:spacing w:before="63" w:line="181" w:lineRule="auto"/>
              <w:rPr>
                <w:sz w:val="21"/>
                <w:szCs w:val="21"/>
              </w:rPr>
            </w:pPr>
            <w:r>
              <w:rPr>
                <w:sz w:val="21"/>
                <w:szCs w:val="21"/>
                <w:spacing w:val="-3"/>
              </w:rPr>
              <w:t>+36</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25"/>
              <w:spacing w:before="54" w:line="181" w:lineRule="auto"/>
              <w:rPr>
                <w:sz w:val="21"/>
                <w:szCs w:val="21"/>
              </w:rPr>
            </w:pPr>
            <w:r>
              <w:rPr>
                <w:sz w:val="21"/>
                <w:szCs w:val="21"/>
                <w:spacing w:val="-6"/>
              </w:rPr>
              <w:t>115</w:t>
            </w:r>
          </w:p>
        </w:tc>
        <w:tc>
          <w:tcPr>
            <w:tcW w:w="3188" w:type="dxa"/>
            <w:vAlign w:val="top"/>
          </w:tcPr>
          <w:p>
            <w:pPr>
              <w:pStyle w:val="TableText"/>
              <w:ind w:left="640"/>
              <w:spacing w:before="31" w:line="201" w:lineRule="auto"/>
              <w:rPr>
                <w:sz w:val="21"/>
                <w:szCs w:val="21"/>
              </w:rPr>
            </w:pPr>
            <w:r>
              <w:rPr>
                <w:sz w:val="21"/>
                <w:szCs w:val="21"/>
                <w:spacing w:val="-1"/>
              </w:rPr>
              <w:t>十二工位胴体步进机</w:t>
            </w:r>
          </w:p>
        </w:tc>
        <w:tc>
          <w:tcPr>
            <w:tcW w:w="480" w:type="dxa"/>
            <w:vAlign w:val="top"/>
          </w:tcPr>
          <w:p>
            <w:pPr>
              <w:pStyle w:val="TableText"/>
              <w:ind w:left="122"/>
              <w:spacing w:before="34" w:line="198" w:lineRule="auto"/>
              <w:rPr>
                <w:sz w:val="21"/>
                <w:szCs w:val="21"/>
              </w:rPr>
            </w:pPr>
            <w:r>
              <w:rPr>
                <w:sz w:val="21"/>
                <w:szCs w:val="21"/>
              </w:rPr>
              <w:t>台</w:t>
            </w:r>
          </w:p>
        </w:tc>
        <w:tc>
          <w:tcPr>
            <w:tcW w:w="1739" w:type="dxa"/>
            <w:vAlign w:val="top"/>
          </w:tcPr>
          <w:p>
            <w:pPr>
              <w:pStyle w:val="TableText"/>
              <w:ind w:left="802"/>
              <w:spacing w:before="54" w:line="181" w:lineRule="auto"/>
              <w:rPr>
                <w:sz w:val="21"/>
                <w:szCs w:val="21"/>
              </w:rPr>
            </w:pPr>
            <w:r>
              <w:rPr>
                <w:sz w:val="21"/>
                <w:szCs w:val="21"/>
              </w:rPr>
              <w:t>0</w:t>
            </w:r>
          </w:p>
        </w:tc>
        <w:tc>
          <w:tcPr>
            <w:tcW w:w="2558" w:type="dxa"/>
            <w:vAlign w:val="top"/>
            <w:textDirection w:val="tbRlV"/>
          </w:tcPr>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spacing w:before="70" w:line="126" w:lineRule="exact"/>
              <w:rPr>
                <w:sz w:val="21"/>
                <w:szCs w:val="21"/>
              </w:rPr>
            </w:pPr>
            <w:r>
              <w:rPr>
                <w:sz w:val="21"/>
                <w:szCs w:val="21"/>
                <w:color w:val="505040"/>
                <w:spacing w:val="37"/>
                <w:w w:val="125"/>
                <w:position w:val="-3"/>
              </w:rPr>
              <w:t>1</w:t>
            </w:r>
          </w:p>
        </w:tc>
        <w:tc>
          <w:tcPr>
            <w:tcW w:w="2178" w:type="dxa"/>
            <w:vAlign w:val="top"/>
          </w:tcPr>
          <w:p>
            <w:pPr>
              <w:pStyle w:val="TableText"/>
              <w:ind w:left="975"/>
              <w:spacing w:before="54" w:line="181" w:lineRule="auto"/>
              <w:rPr>
                <w:sz w:val="21"/>
                <w:szCs w:val="21"/>
              </w:rPr>
            </w:pPr>
            <w:r>
              <w:rPr>
                <w:sz w:val="21"/>
                <w:szCs w:val="21"/>
                <w:spacing w:val="-3"/>
              </w:rPr>
              <w:t>+1</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80" w:hRule="atLeast"/>
        </w:trPr>
        <w:tc>
          <w:tcPr>
            <w:tcW w:w="385" w:type="dxa"/>
            <w:vAlign w:val="top"/>
          </w:tcPr>
          <w:p>
            <w:pPr>
              <w:pStyle w:val="TableText"/>
              <w:ind w:left="25"/>
              <w:spacing w:before="64" w:line="181" w:lineRule="auto"/>
              <w:rPr>
                <w:sz w:val="21"/>
                <w:szCs w:val="21"/>
              </w:rPr>
            </w:pPr>
            <w:r>
              <w:rPr>
                <w:sz w:val="21"/>
                <w:szCs w:val="21"/>
                <w:spacing w:val="-6"/>
              </w:rPr>
              <w:t>116</w:t>
            </w:r>
          </w:p>
        </w:tc>
        <w:tc>
          <w:tcPr>
            <w:tcW w:w="3188" w:type="dxa"/>
            <w:vAlign w:val="top"/>
          </w:tcPr>
          <w:p>
            <w:pPr>
              <w:pStyle w:val="TableText"/>
              <w:ind w:left="850"/>
              <w:spacing w:before="41" w:line="201" w:lineRule="auto"/>
              <w:rPr>
                <w:sz w:val="21"/>
                <w:szCs w:val="21"/>
              </w:rPr>
            </w:pPr>
            <w:r>
              <w:rPr>
                <w:sz w:val="21"/>
                <w:szCs w:val="21"/>
                <w:spacing w:val="-2"/>
              </w:rPr>
              <w:t>气动双柱升降机</w:t>
            </w:r>
          </w:p>
        </w:tc>
        <w:tc>
          <w:tcPr>
            <w:tcW w:w="480" w:type="dxa"/>
            <w:vAlign w:val="top"/>
          </w:tcPr>
          <w:p>
            <w:pPr>
              <w:pStyle w:val="TableText"/>
              <w:ind w:left="122"/>
              <w:spacing w:before="44" w:line="198" w:lineRule="auto"/>
              <w:rPr>
                <w:sz w:val="21"/>
                <w:szCs w:val="21"/>
              </w:rPr>
            </w:pPr>
            <w:r>
              <w:rPr>
                <w:sz w:val="21"/>
                <w:szCs w:val="21"/>
              </w:rPr>
              <w:t>张</w:t>
            </w:r>
          </w:p>
        </w:tc>
        <w:tc>
          <w:tcPr>
            <w:tcW w:w="1739" w:type="dxa"/>
            <w:vAlign w:val="top"/>
          </w:tcPr>
          <w:p>
            <w:pPr>
              <w:pStyle w:val="TableText"/>
              <w:ind w:left="802"/>
              <w:spacing w:before="64" w:line="181" w:lineRule="auto"/>
              <w:rPr>
                <w:sz w:val="21"/>
                <w:szCs w:val="21"/>
              </w:rPr>
            </w:pPr>
            <w:r>
              <w:rPr>
                <w:sz w:val="21"/>
                <w:szCs w:val="21"/>
              </w:rPr>
              <w:t>0</w:t>
            </w:r>
          </w:p>
        </w:tc>
        <w:tc>
          <w:tcPr>
            <w:tcW w:w="2558" w:type="dxa"/>
            <w:vAlign w:val="top"/>
          </w:tcPr>
          <w:p>
            <w:pPr>
              <w:pStyle w:val="TableText"/>
              <w:ind w:left="1213"/>
              <w:spacing w:before="64" w:line="181" w:lineRule="auto"/>
              <w:rPr>
                <w:sz w:val="21"/>
                <w:szCs w:val="21"/>
              </w:rPr>
            </w:pPr>
            <w:r>
              <w:rPr>
                <w:sz w:val="21"/>
                <w:szCs w:val="21"/>
              </w:rPr>
              <w:t>7</w:t>
            </w:r>
          </w:p>
        </w:tc>
        <w:tc>
          <w:tcPr>
            <w:tcW w:w="2178" w:type="dxa"/>
            <w:vAlign w:val="top"/>
          </w:tcPr>
          <w:p>
            <w:pPr>
              <w:pStyle w:val="TableText"/>
              <w:ind w:left="975"/>
              <w:spacing w:before="64" w:line="181" w:lineRule="auto"/>
              <w:rPr>
                <w:sz w:val="21"/>
                <w:szCs w:val="21"/>
              </w:rPr>
            </w:pPr>
            <w:r>
              <w:rPr>
                <w:sz w:val="21"/>
                <w:szCs w:val="21"/>
                <w:spacing w:val="-3"/>
              </w:rPr>
              <w:t>+7</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25"/>
              <w:spacing w:before="54" w:line="181" w:lineRule="auto"/>
              <w:rPr>
                <w:sz w:val="21"/>
                <w:szCs w:val="21"/>
              </w:rPr>
            </w:pPr>
            <w:r>
              <w:rPr>
                <w:sz w:val="21"/>
                <w:szCs w:val="21"/>
                <w:color w:val="403050"/>
                <w:spacing w:val="-6"/>
              </w:rPr>
              <w:t>117</w:t>
            </w:r>
          </w:p>
        </w:tc>
        <w:tc>
          <w:tcPr>
            <w:tcW w:w="3188" w:type="dxa"/>
            <w:vAlign w:val="top"/>
          </w:tcPr>
          <w:p>
            <w:pPr>
              <w:pStyle w:val="TableText"/>
              <w:ind w:left="1060"/>
              <w:spacing w:before="31" w:line="201" w:lineRule="auto"/>
              <w:rPr>
                <w:sz w:val="21"/>
                <w:szCs w:val="21"/>
              </w:rPr>
            </w:pPr>
            <w:r>
              <w:rPr>
                <w:sz w:val="21"/>
                <w:szCs w:val="21"/>
                <w:spacing w:val="-2"/>
              </w:rPr>
              <w:t>液压扯皮机</w:t>
            </w:r>
          </w:p>
        </w:tc>
        <w:tc>
          <w:tcPr>
            <w:tcW w:w="480" w:type="dxa"/>
            <w:vAlign w:val="top"/>
          </w:tcPr>
          <w:p>
            <w:pPr>
              <w:pStyle w:val="TableText"/>
              <w:ind w:left="122"/>
              <w:spacing w:before="34" w:line="198" w:lineRule="auto"/>
              <w:rPr>
                <w:sz w:val="21"/>
                <w:szCs w:val="21"/>
              </w:rPr>
            </w:pPr>
            <w:r>
              <w:rPr>
                <w:sz w:val="21"/>
                <w:szCs w:val="21"/>
              </w:rPr>
              <w:t>台</w:t>
            </w:r>
          </w:p>
        </w:tc>
        <w:tc>
          <w:tcPr>
            <w:tcW w:w="1739" w:type="dxa"/>
            <w:vAlign w:val="top"/>
          </w:tcPr>
          <w:p>
            <w:pPr>
              <w:pStyle w:val="TableText"/>
              <w:ind w:left="802"/>
              <w:spacing w:before="54" w:line="181" w:lineRule="auto"/>
              <w:rPr>
                <w:sz w:val="21"/>
                <w:szCs w:val="21"/>
              </w:rPr>
            </w:pPr>
            <w:r>
              <w:rPr>
                <w:sz w:val="21"/>
                <w:szCs w:val="21"/>
              </w:rPr>
              <w:t>0</w:t>
            </w:r>
          </w:p>
        </w:tc>
        <w:tc>
          <w:tcPr>
            <w:tcW w:w="2558" w:type="dxa"/>
            <w:vAlign w:val="top"/>
            <w:textDirection w:val="tbRlV"/>
          </w:tcPr>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spacing w:before="70" w:line="126" w:lineRule="exact"/>
              <w:rPr>
                <w:sz w:val="21"/>
                <w:szCs w:val="21"/>
              </w:rPr>
            </w:pPr>
            <w:r>
              <w:rPr>
                <w:sz w:val="21"/>
                <w:szCs w:val="21"/>
                <w:color w:val="404030"/>
                <w:spacing w:val="37"/>
                <w:w w:val="125"/>
                <w:position w:val="-3"/>
              </w:rPr>
              <w:t>1</w:t>
            </w:r>
          </w:p>
        </w:tc>
        <w:tc>
          <w:tcPr>
            <w:tcW w:w="2178" w:type="dxa"/>
            <w:vAlign w:val="top"/>
          </w:tcPr>
          <w:p>
            <w:pPr>
              <w:pStyle w:val="TableText"/>
              <w:ind w:left="975"/>
              <w:spacing w:before="54" w:line="181" w:lineRule="auto"/>
              <w:rPr>
                <w:sz w:val="21"/>
                <w:szCs w:val="21"/>
              </w:rPr>
            </w:pPr>
            <w:r>
              <w:rPr>
                <w:sz w:val="21"/>
                <w:szCs w:val="21"/>
                <w:spacing w:val="-3"/>
              </w:rPr>
              <w:t>+1</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25"/>
              <w:spacing w:before="54" w:line="181" w:lineRule="auto"/>
              <w:rPr>
                <w:sz w:val="21"/>
                <w:szCs w:val="21"/>
              </w:rPr>
            </w:pPr>
            <w:r>
              <w:rPr>
                <w:sz w:val="21"/>
                <w:szCs w:val="21"/>
                <w:color w:val="706070"/>
                <w:spacing w:val="-6"/>
              </w:rPr>
              <w:t>118</w:t>
            </w:r>
          </w:p>
        </w:tc>
        <w:tc>
          <w:tcPr>
            <w:tcW w:w="3188" w:type="dxa"/>
            <w:vAlign w:val="top"/>
          </w:tcPr>
          <w:p>
            <w:pPr>
              <w:pStyle w:val="TableText"/>
              <w:ind w:left="950"/>
              <w:spacing w:before="32" w:line="200" w:lineRule="auto"/>
              <w:rPr>
                <w:sz w:val="21"/>
                <w:szCs w:val="21"/>
              </w:rPr>
            </w:pPr>
            <w:r>
              <w:rPr>
                <w:sz w:val="21"/>
                <w:szCs w:val="21"/>
                <w:spacing w:val="1"/>
              </w:rPr>
              <w:t>牛头清洗装置</w:t>
            </w:r>
          </w:p>
        </w:tc>
        <w:tc>
          <w:tcPr>
            <w:tcW w:w="480" w:type="dxa"/>
            <w:vAlign w:val="top"/>
          </w:tcPr>
          <w:p>
            <w:pPr>
              <w:pStyle w:val="TableText"/>
              <w:ind w:left="122"/>
              <w:spacing w:before="33" w:line="199" w:lineRule="auto"/>
              <w:rPr>
                <w:sz w:val="21"/>
                <w:szCs w:val="21"/>
              </w:rPr>
            </w:pPr>
            <w:r>
              <w:rPr>
                <w:sz w:val="21"/>
                <w:szCs w:val="21"/>
              </w:rPr>
              <w:t>套</w:t>
            </w:r>
          </w:p>
        </w:tc>
        <w:tc>
          <w:tcPr>
            <w:tcW w:w="1739" w:type="dxa"/>
            <w:vAlign w:val="top"/>
          </w:tcPr>
          <w:p>
            <w:pPr>
              <w:pStyle w:val="TableText"/>
              <w:ind w:left="802"/>
              <w:spacing w:before="54" w:line="181" w:lineRule="auto"/>
              <w:rPr>
                <w:sz w:val="21"/>
                <w:szCs w:val="21"/>
              </w:rPr>
            </w:pPr>
            <w:r>
              <w:rPr>
                <w:sz w:val="21"/>
                <w:szCs w:val="21"/>
              </w:rPr>
              <w:t>0</w:t>
            </w:r>
          </w:p>
        </w:tc>
        <w:tc>
          <w:tcPr>
            <w:tcW w:w="2558" w:type="dxa"/>
            <w:vAlign w:val="top"/>
            <w:textDirection w:val="tbRlV"/>
          </w:tcPr>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spacing w:before="70" w:line="126" w:lineRule="exact"/>
              <w:rPr>
                <w:sz w:val="21"/>
                <w:szCs w:val="21"/>
              </w:rPr>
            </w:pPr>
            <w:r>
              <w:rPr>
                <w:sz w:val="21"/>
                <w:szCs w:val="21"/>
                <w:color w:val="504040"/>
                <w:spacing w:val="37"/>
                <w:w w:val="125"/>
                <w:position w:val="-3"/>
              </w:rPr>
              <w:t>1</w:t>
            </w:r>
          </w:p>
        </w:tc>
        <w:tc>
          <w:tcPr>
            <w:tcW w:w="2178" w:type="dxa"/>
            <w:vAlign w:val="top"/>
          </w:tcPr>
          <w:p>
            <w:pPr>
              <w:pStyle w:val="TableText"/>
              <w:ind w:left="975"/>
              <w:spacing w:before="54" w:line="181" w:lineRule="auto"/>
              <w:rPr>
                <w:sz w:val="21"/>
                <w:szCs w:val="21"/>
              </w:rPr>
            </w:pPr>
            <w:r>
              <w:rPr>
                <w:sz w:val="21"/>
                <w:szCs w:val="21"/>
                <w:spacing w:val="-3"/>
              </w:rPr>
              <w:t>+1</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60" w:hRule="atLeast"/>
        </w:trPr>
        <w:tc>
          <w:tcPr>
            <w:tcW w:w="385" w:type="dxa"/>
            <w:vAlign w:val="top"/>
          </w:tcPr>
          <w:p>
            <w:pPr>
              <w:pStyle w:val="TableText"/>
              <w:ind w:left="25"/>
              <w:spacing w:before="53" w:line="173" w:lineRule="auto"/>
              <w:rPr>
                <w:sz w:val="21"/>
                <w:szCs w:val="21"/>
              </w:rPr>
            </w:pPr>
            <w:r>
              <w:rPr>
                <w:sz w:val="21"/>
                <w:szCs w:val="21"/>
                <w:spacing w:val="-6"/>
              </w:rPr>
              <w:t>119</w:t>
            </w:r>
          </w:p>
        </w:tc>
        <w:tc>
          <w:tcPr>
            <w:tcW w:w="3188" w:type="dxa"/>
            <w:vAlign w:val="top"/>
          </w:tcPr>
          <w:p>
            <w:pPr>
              <w:pStyle w:val="TableText"/>
              <w:ind w:left="1060"/>
              <w:spacing w:before="32" w:line="191" w:lineRule="auto"/>
              <w:rPr>
                <w:sz w:val="21"/>
                <w:szCs w:val="21"/>
              </w:rPr>
            </w:pPr>
            <w:r>
              <w:rPr>
                <w:sz w:val="21"/>
                <w:szCs w:val="21"/>
                <w:spacing w:val="4"/>
              </w:rPr>
              <w:t>单柱升降台</w:t>
            </w:r>
          </w:p>
        </w:tc>
        <w:tc>
          <w:tcPr>
            <w:tcW w:w="480" w:type="dxa"/>
            <w:vAlign w:val="top"/>
          </w:tcPr>
          <w:p>
            <w:pPr>
              <w:pStyle w:val="TableText"/>
              <w:ind w:left="122"/>
              <w:spacing w:before="32" w:line="191" w:lineRule="auto"/>
              <w:rPr>
                <w:sz w:val="21"/>
                <w:szCs w:val="21"/>
              </w:rPr>
            </w:pPr>
            <w:r>
              <w:rPr>
                <w:sz w:val="21"/>
                <w:szCs w:val="21"/>
              </w:rPr>
              <w:t>个</w:t>
            </w:r>
          </w:p>
        </w:tc>
        <w:tc>
          <w:tcPr>
            <w:tcW w:w="1739" w:type="dxa"/>
            <w:vAlign w:val="top"/>
          </w:tcPr>
          <w:p>
            <w:pPr>
              <w:pStyle w:val="TableText"/>
              <w:ind w:left="802"/>
              <w:spacing w:before="53" w:line="173" w:lineRule="auto"/>
              <w:rPr>
                <w:sz w:val="21"/>
                <w:szCs w:val="21"/>
              </w:rPr>
            </w:pPr>
            <w:r>
              <w:rPr>
                <w:sz w:val="21"/>
                <w:szCs w:val="21"/>
              </w:rPr>
              <w:t>0</w:t>
            </w:r>
          </w:p>
        </w:tc>
        <w:tc>
          <w:tcPr>
            <w:tcW w:w="2558" w:type="dxa"/>
            <w:vAlign w:val="top"/>
          </w:tcPr>
          <w:p>
            <w:pPr>
              <w:pStyle w:val="TableText"/>
              <w:ind w:left="1213"/>
              <w:spacing w:before="53" w:line="173" w:lineRule="auto"/>
              <w:rPr>
                <w:sz w:val="21"/>
                <w:szCs w:val="21"/>
              </w:rPr>
            </w:pPr>
            <w:r>
              <w:rPr>
                <w:sz w:val="21"/>
                <w:szCs w:val="21"/>
              </w:rPr>
              <w:t>2</w:t>
            </w:r>
          </w:p>
        </w:tc>
        <w:tc>
          <w:tcPr>
            <w:tcW w:w="2178" w:type="dxa"/>
            <w:vAlign w:val="top"/>
          </w:tcPr>
          <w:p>
            <w:pPr>
              <w:pStyle w:val="TableText"/>
              <w:ind w:left="975"/>
              <w:spacing w:before="53" w:line="173" w:lineRule="auto"/>
              <w:rPr>
                <w:sz w:val="21"/>
                <w:szCs w:val="21"/>
              </w:rPr>
            </w:pPr>
            <w:r>
              <w:rPr>
                <w:sz w:val="21"/>
                <w:szCs w:val="21"/>
                <w:spacing w:val="-3"/>
              </w:rPr>
              <w:t>+2</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25"/>
              <w:spacing w:before="54" w:line="181" w:lineRule="auto"/>
              <w:rPr>
                <w:sz w:val="21"/>
                <w:szCs w:val="21"/>
              </w:rPr>
            </w:pPr>
            <w:r>
              <w:rPr>
                <w:sz w:val="21"/>
                <w:szCs w:val="21"/>
                <w:spacing w:val="-6"/>
              </w:rPr>
              <w:t>120</w:t>
            </w:r>
          </w:p>
        </w:tc>
        <w:tc>
          <w:tcPr>
            <w:tcW w:w="3188" w:type="dxa"/>
            <w:vAlign w:val="top"/>
          </w:tcPr>
          <w:p>
            <w:pPr>
              <w:pStyle w:val="TableText"/>
              <w:ind w:left="950"/>
              <w:spacing w:before="33" w:line="199" w:lineRule="auto"/>
              <w:rPr>
                <w:sz w:val="21"/>
                <w:szCs w:val="21"/>
              </w:rPr>
            </w:pPr>
            <w:r>
              <w:rPr>
                <w:sz w:val="21"/>
                <w:szCs w:val="21"/>
                <w:spacing w:val="1"/>
              </w:rPr>
              <w:t>牛皮风送系统</w:t>
            </w:r>
          </w:p>
        </w:tc>
        <w:tc>
          <w:tcPr>
            <w:tcW w:w="480" w:type="dxa"/>
            <w:vAlign w:val="top"/>
          </w:tcPr>
          <w:p>
            <w:pPr>
              <w:pStyle w:val="TableText"/>
              <w:ind w:left="122"/>
              <w:spacing w:before="33" w:line="199" w:lineRule="auto"/>
              <w:rPr>
                <w:sz w:val="21"/>
                <w:szCs w:val="21"/>
              </w:rPr>
            </w:pPr>
            <w:r>
              <w:rPr>
                <w:sz w:val="21"/>
                <w:szCs w:val="21"/>
                <w:color w:val="705060"/>
              </w:rPr>
              <w:t>套</w:t>
            </w:r>
          </w:p>
        </w:tc>
        <w:tc>
          <w:tcPr>
            <w:tcW w:w="1739" w:type="dxa"/>
            <w:vAlign w:val="top"/>
          </w:tcPr>
          <w:p>
            <w:pPr>
              <w:pStyle w:val="TableText"/>
              <w:ind w:left="802"/>
              <w:spacing w:before="54" w:line="181" w:lineRule="auto"/>
              <w:rPr>
                <w:sz w:val="21"/>
                <w:szCs w:val="21"/>
              </w:rPr>
            </w:pPr>
            <w:r>
              <w:rPr>
                <w:sz w:val="21"/>
                <w:szCs w:val="21"/>
              </w:rPr>
              <w:t>0</w:t>
            </w:r>
          </w:p>
        </w:tc>
        <w:tc>
          <w:tcPr>
            <w:tcW w:w="2558" w:type="dxa"/>
            <w:vAlign w:val="top"/>
            <w:textDirection w:val="tbRlV"/>
          </w:tcPr>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spacing w:before="70" w:line="126" w:lineRule="exact"/>
              <w:rPr>
                <w:sz w:val="21"/>
                <w:szCs w:val="21"/>
              </w:rPr>
            </w:pPr>
            <w:r>
              <w:rPr>
                <w:sz w:val="21"/>
                <w:szCs w:val="21"/>
                <w:color w:val="505040"/>
                <w:spacing w:val="37"/>
                <w:w w:val="125"/>
                <w:position w:val="-3"/>
              </w:rPr>
              <w:t>1</w:t>
            </w:r>
          </w:p>
        </w:tc>
        <w:tc>
          <w:tcPr>
            <w:tcW w:w="2178" w:type="dxa"/>
            <w:vAlign w:val="top"/>
          </w:tcPr>
          <w:p>
            <w:pPr>
              <w:pStyle w:val="TableText"/>
              <w:ind w:left="975"/>
              <w:spacing w:before="54" w:line="181" w:lineRule="auto"/>
              <w:rPr>
                <w:sz w:val="21"/>
                <w:szCs w:val="21"/>
              </w:rPr>
            </w:pPr>
            <w:r>
              <w:rPr>
                <w:sz w:val="21"/>
                <w:szCs w:val="21"/>
                <w:spacing w:val="-3"/>
              </w:rPr>
              <w:t>+1</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25"/>
              <w:spacing w:before="54" w:line="181" w:lineRule="auto"/>
              <w:rPr>
                <w:sz w:val="21"/>
                <w:szCs w:val="21"/>
              </w:rPr>
            </w:pPr>
            <w:r>
              <w:rPr>
                <w:sz w:val="21"/>
                <w:szCs w:val="21"/>
                <w:spacing w:val="-6"/>
              </w:rPr>
              <w:t>121</w:t>
            </w:r>
          </w:p>
        </w:tc>
        <w:tc>
          <w:tcPr>
            <w:tcW w:w="3188" w:type="dxa"/>
            <w:vAlign w:val="top"/>
          </w:tcPr>
          <w:p>
            <w:pPr>
              <w:pStyle w:val="TableText"/>
              <w:ind w:left="1060"/>
              <w:spacing w:before="33" w:line="199" w:lineRule="auto"/>
              <w:rPr>
                <w:sz w:val="21"/>
                <w:szCs w:val="21"/>
              </w:rPr>
            </w:pPr>
            <w:r>
              <w:rPr>
                <w:sz w:val="21"/>
                <w:szCs w:val="21"/>
                <w:spacing w:val="4"/>
              </w:rPr>
              <w:t>固定式站台</w:t>
            </w:r>
          </w:p>
        </w:tc>
        <w:tc>
          <w:tcPr>
            <w:tcW w:w="480" w:type="dxa"/>
            <w:vAlign w:val="top"/>
          </w:tcPr>
          <w:p>
            <w:pPr>
              <w:pStyle w:val="TableText"/>
              <w:ind w:left="122"/>
              <w:spacing w:before="33" w:line="199" w:lineRule="auto"/>
              <w:rPr>
                <w:sz w:val="21"/>
                <w:szCs w:val="21"/>
              </w:rPr>
            </w:pPr>
            <w:r>
              <w:rPr>
                <w:sz w:val="21"/>
                <w:szCs w:val="21"/>
              </w:rPr>
              <w:t>套</w:t>
            </w:r>
          </w:p>
        </w:tc>
        <w:tc>
          <w:tcPr>
            <w:tcW w:w="1739" w:type="dxa"/>
            <w:vAlign w:val="top"/>
          </w:tcPr>
          <w:p>
            <w:pPr>
              <w:pStyle w:val="TableText"/>
              <w:ind w:left="802"/>
              <w:spacing w:before="54" w:line="181" w:lineRule="auto"/>
              <w:rPr>
                <w:sz w:val="21"/>
                <w:szCs w:val="21"/>
              </w:rPr>
            </w:pPr>
            <w:r>
              <w:rPr>
                <w:sz w:val="21"/>
                <w:szCs w:val="21"/>
              </w:rPr>
              <w:t>0</w:t>
            </w:r>
          </w:p>
        </w:tc>
        <w:tc>
          <w:tcPr>
            <w:tcW w:w="2558" w:type="dxa"/>
            <w:vAlign w:val="top"/>
          </w:tcPr>
          <w:p>
            <w:pPr>
              <w:pStyle w:val="TableText"/>
              <w:ind w:left="1213"/>
              <w:spacing w:before="54" w:line="181" w:lineRule="auto"/>
              <w:rPr>
                <w:sz w:val="21"/>
                <w:szCs w:val="21"/>
              </w:rPr>
            </w:pPr>
            <w:r>
              <w:rPr>
                <w:sz w:val="21"/>
                <w:szCs w:val="21"/>
              </w:rPr>
              <w:t>6</w:t>
            </w:r>
          </w:p>
        </w:tc>
        <w:tc>
          <w:tcPr>
            <w:tcW w:w="2178" w:type="dxa"/>
            <w:vAlign w:val="top"/>
          </w:tcPr>
          <w:p>
            <w:pPr>
              <w:pStyle w:val="TableText"/>
              <w:ind w:left="975"/>
              <w:spacing w:before="54" w:line="181" w:lineRule="auto"/>
              <w:rPr>
                <w:sz w:val="21"/>
                <w:szCs w:val="21"/>
              </w:rPr>
            </w:pPr>
            <w:r>
              <w:rPr>
                <w:sz w:val="21"/>
                <w:szCs w:val="21"/>
                <w:spacing w:val="-3"/>
              </w:rPr>
              <w:t>+6</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25"/>
              <w:spacing w:before="54" w:line="181" w:lineRule="auto"/>
              <w:rPr>
                <w:sz w:val="21"/>
                <w:szCs w:val="21"/>
              </w:rPr>
            </w:pPr>
            <w:r>
              <w:rPr>
                <w:sz w:val="21"/>
                <w:szCs w:val="21"/>
                <w:spacing w:val="-6"/>
              </w:rPr>
              <w:t>122</w:t>
            </w:r>
          </w:p>
        </w:tc>
        <w:tc>
          <w:tcPr>
            <w:tcW w:w="3188" w:type="dxa"/>
            <w:vAlign w:val="top"/>
          </w:tcPr>
          <w:p>
            <w:pPr>
              <w:pStyle w:val="TableText"/>
              <w:ind w:left="740"/>
              <w:spacing w:before="32" w:line="200" w:lineRule="auto"/>
              <w:rPr>
                <w:sz w:val="21"/>
                <w:szCs w:val="21"/>
              </w:rPr>
            </w:pPr>
            <w:r>
              <w:rPr>
                <w:sz w:val="21"/>
                <w:szCs w:val="21"/>
                <w:spacing w:val="2"/>
              </w:rPr>
              <w:t>取白脏气动升降台</w:t>
            </w:r>
          </w:p>
        </w:tc>
        <w:tc>
          <w:tcPr>
            <w:tcW w:w="480" w:type="dxa"/>
            <w:vAlign w:val="top"/>
          </w:tcPr>
          <w:p>
            <w:pPr>
              <w:pStyle w:val="TableText"/>
              <w:ind w:left="122"/>
              <w:spacing w:before="34" w:line="198" w:lineRule="auto"/>
              <w:rPr>
                <w:sz w:val="21"/>
                <w:szCs w:val="21"/>
              </w:rPr>
            </w:pPr>
            <w:r>
              <w:rPr>
                <w:sz w:val="21"/>
                <w:szCs w:val="21"/>
              </w:rPr>
              <w:t>台</w:t>
            </w:r>
          </w:p>
        </w:tc>
        <w:tc>
          <w:tcPr>
            <w:tcW w:w="1739" w:type="dxa"/>
            <w:vAlign w:val="top"/>
          </w:tcPr>
          <w:p>
            <w:pPr>
              <w:pStyle w:val="TableText"/>
              <w:ind w:left="802"/>
              <w:spacing w:before="54" w:line="181" w:lineRule="auto"/>
              <w:rPr>
                <w:sz w:val="21"/>
                <w:szCs w:val="21"/>
              </w:rPr>
            </w:pPr>
            <w:r>
              <w:rPr>
                <w:sz w:val="21"/>
                <w:szCs w:val="21"/>
              </w:rPr>
              <w:t>0</w:t>
            </w:r>
          </w:p>
        </w:tc>
        <w:tc>
          <w:tcPr>
            <w:tcW w:w="2558" w:type="dxa"/>
            <w:vAlign w:val="top"/>
            <w:textDirection w:val="tbRlV"/>
          </w:tcPr>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spacing w:before="70" w:line="126" w:lineRule="exact"/>
              <w:rPr>
                <w:sz w:val="21"/>
                <w:szCs w:val="21"/>
              </w:rPr>
            </w:pPr>
            <w:r>
              <w:rPr>
                <w:sz w:val="21"/>
                <w:szCs w:val="21"/>
                <w:color w:val="505040"/>
                <w:spacing w:val="37"/>
                <w:w w:val="125"/>
                <w:position w:val="-3"/>
              </w:rPr>
              <w:t>1</w:t>
            </w:r>
          </w:p>
        </w:tc>
        <w:tc>
          <w:tcPr>
            <w:tcW w:w="2178" w:type="dxa"/>
            <w:vAlign w:val="top"/>
          </w:tcPr>
          <w:p>
            <w:pPr>
              <w:pStyle w:val="TableText"/>
              <w:ind w:left="975"/>
              <w:spacing w:before="54" w:line="181" w:lineRule="auto"/>
              <w:rPr>
                <w:sz w:val="21"/>
                <w:szCs w:val="21"/>
              </w:rPr>
            </w:pPr>
            <w:r>
              <w:rPr>
                <w:sz w:val="21"/>
                <w:szCs w:val="21"/>
                <w:spacing w:val="-3"/>
              </w:rPr>
              <w:t>+1</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385" w:type="dxa"/>
            <w:vAlign w:val="top"/>
          </w:tcPr>
          <w:p>
            <w:pPr>
              <w:pStyle w:val="TableText"/>
              <w:ind w:left="25"/>
              <w:spacing w:before="64" w:line="180" w:lineRule="auto"/>
              <w:rPr>
                <w:sz w:val="21"/>
                <w:szCs w:val="21"/>
              </w:rPr>
            </w:pPr>
            <w:r>
              <w:rPr>
                <w:sz w:val="21"/>
                <w:szCs w:val="21"/>
                <w:spacing w:val="-6"/>
              </w:rPr>
              <w:t>123</w:t>
            </w:r>
          </w:p>
        </w:tc>
        <w:tc>
          <w:tcPr>
            <w:tcW w:w="3188" w:type="dxa"/>
            <w:vAlign w:val="top"/>
          </w:tcPr>
          <w:p>
            <w:pPr>
              <w:pStyle w:val="TableText"/>
              <w:ind w:left="1160"/>
              <w:spacing w:before="42" w:line="199" w:lineRule="auto"/>
              <w:rPr>
                <w:sz w:val="21"/>
                <w:szCs w:val="21"/>
              </w:rPr>
            </w:pPr>
            <w:r>
              <w:rPr>
                <w:sz w:val="21"/>
                <w:szCs w:val="21"/>
                <w:color w:val="506050"/>
                <w:spacing w:val="2"/>
              </w:rPr>
              <w:t>白脏滑槽</w:t>
            </w:r>
          </w:p>
        </w:tc>
        <w:tc>
          <w:tcPr>
            <w:tcW w:w="480" w:type="dxa"/>
            <w:vAlign w:val="top"/>
          </w:tcPr>
          <w:p>
            <w:pPr>
              <w:pStyle w:val="TableText"/>
              <w:ind w:left="122"/>
              <w:spacing w:before="42" w:line="199" w:lineRule="auto"/>
              <w:rPr>
                <w:sz w:val="21"/>
                <w:szCs w:val="21"/>
              </w:rPr>
            </w:pPr>
            <w:r>
              <w:rPr>
                <w:sz w:val="21"/>
                <w:szCs w:val="21"/>
              </w:rPr>
              <w:t>个</w:t>
            </w:r>
          </w:p>
        </w:tc>
        <w:tc>
          <w:tcPr>
            <w:tcW w:w="1739" w:type="dxa"/>
            <w:vAlign w:val="top"/>
          </w:tcPr>
          <w:p>
            <w:pPr>
              <w:pStyle w:val="TableText"/>
              <w:ind w:left="802"/>
              <w:spacing w:before="64" w:line="180" w:lineRule="auto"/>
              <w:rPr>
                <w:sz w:val="21"/>
                <w:szCs w:val="21"/>
              </w:rPr>
            </w:pPr>
            <w:r>
              <w:rPr>
                <w:sz w:val="21"/>
                <w:szCs w:val="21"/>
              </w:rPr>
              <w:t>0</w:t>
            </w:r>
          </w:p>
        </w:tc>
        <w:tc>
          <w:tcPr>
            <w:tcW w:w="2558" w:type="dxa"/>
            <w:vAlign w:val="top"/>
            <w:textDirection w:val="tbRlV"/>
          </w:tcPr>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spacing w:before="70" w:line="126" w:lineRule="exact"/>
              <w:rPr>
                <w:sz w:val="21"/>
                <w:szCs w:val="21"/>
              </w:rPr>
            </w:pPr>
            <w:r>
              <w:rPr>
                <w:sz w:val="21"/>
                <w:szCs w:val="21"/>
                <w:color w:val="404040"/>
                <w:spacing w:val="47"/>
                <w:w w:val="125"/>
                <w:position w:val="-3"/>
              </w:rPr>
              <w:t>1</w:t>
            </w:r>
          </w:p>
        </w:tc>
        <w:tc>
          <w:tcPr>
            <w:tcW w:w="2178" w:type="dxa"/>
            <w:vAlign w:val="top"/>
          </w:tcPr>
          <w:p>
            <w:pPr>
              <w:pStyle w:val="TableText"/>
              <w:ind w:left="975"/>
              <w:spacing w:before="64" w:line="180" w:lineRule="auto"/>
              <w:rPr>
                <w:sz w:val="21"/>
                <w:szCs w:val="21"/>
              </w:rPr>
            </w:pPr>
            <w:r>
              <w:rPr>
                <w:sz w:val="21"/>
                <w:szCs w:val="21"/>
                <w:spacing w:val="-3"/>
              </w:rPr>
              <w:t>+1</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69" w:hRule="atLeast"/>
        </w:trPr>
        <w:tc>
          <w:tcPr>
            <w:tcW w:w="385" w:type="dxa"/>
            <w:vAlign w:val="top"/>
          </w:tcPr>
          <w:p>
            <w:pPr>
              <w:pStyle w:val="TableText"/>
              <w:ind w:left="25"/>
              <w:spacing w:before="54" w:line="180" w:lineRule="auto"/>
              <w:rPr>
                <w:sz w:val="21"/>
                <w:szCs w:val="21"/>
              </w:rPr>
            </w:pPr>
            <w:r>
              <w:rPr>
                <w:sz w:val="21"/>
                <w:szCs w:val="21"/>
                <w:color w:val="302040"/>
                <w:spacing w:val="-6"/>
              </w:rPr>
              <w:t>124</w:t>
            </w:r>
          </w:p>
        </w:tc>
        <w:tc>
          <w:tcPr>
            <w:tcW w:w="3188" w:type="dxa"/>
            <w:vAlign w:val="top"/>
          </w:tcPr>
          <w:p>
            <w:pPr>
              <w:pStyle w:val="TableText"/>
              <w:ind w:left="850"/>
              <w:spacing w:before="32" w:line="199" w:lineRule="auto"/>
              <w:rPr>
                <w:sz w:val="21"/>
                <w:szCs w:val="21"/>
              </w:rPr>
            </w:pPr>
            <w:r>
              <w:rPr>
                <w:sz w:val="21"/>
                <w:szCs w:val="21"/>
                <w:spacing w:val="1"/>
              </w:rPr>
              <w:t>白脏检疫输送机</w:t>
            </w:r>
          </w:p>
        </w:tc>
        <w:tc>
          <w:tcPr>
            <w:tcW w:w="480" w:type="dxa"/>
            <w:vAlign w:val="top"/>
          </w:tcPr>
          <w:p>
            <w:pPr>
              <w:pStyle w:val="TableText"/>
              <w:ind w:left="122"/>
              <w:spacing w:before="36" w:line="196" w:lineRule="auto"/>
              <w:rPr>
                <w:sz w:val="21"/>
                <w:szCs w:val="21"/>
              </w:rPr>
            </w:pPr>
            <w:r>
              <w:rPr>
                <w:sz w:val="21"/>
                <w:szCs w:val="21"/>
              </w:rPr>
              <w:t>台</w:t>
            </w:r>
          </w:p>
        </w:tc>
        <w:tc>
          <w:tcPr>
            <w:tcW w:w="1739" w:type="dxa"/>
            <w:vAlign w:val="top"/>
          </w:tcPr>
          <w:p>
            <w:pPr>
              <w:pStyle w:val="TableText"/>
              <w:ind w:left="802"/>
              <w:spacing w:before="54" w:line="180" w:lineRule="auto"/>
              <w:rPr>
                <w:sz w:val="21"/>
                <w:szCs w:val="21"/>
              </w:rPr>
            </w:pPr>
            <w:r>
              <w:rPr>
                <w:sz w:val="21"/>
                <w:szCs w:val="21"/>
              </w:rPr>
              <w:t>0</w:t>
            </w:r>
          </w:p>
        </w:tc>
        <w:tc>
          <w:tcPr>
            <w:tcW w:w="2558" w:type="dxa"/>
            <w:vAlign w:val="top"/>
            <w:textDirection w:val="tbRlV"/>
          </w:tcPr>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spacing w:before="70" w:line="126" w:lineRule="exact"/>
              <w:rPr>
                <w:sz w:val="21"/>
                <w:szCs w:val="21"/>
              </w:rPr>
            </w:pPr>
            <w:r>
              <w:rPr>
                <w:sz w:val="21"/>
                <w:szCs w:val="21"/>
                <w:color w:val="404030"/>
                <w:spacing w:val="38"/>
                <w:w w:val="125"/>
                <w:position w:val="-3"/>
              </w:rPr>
              <w:t>1</w:t>
            </w:r>
          </w:p>
        </w:tc>
        <w:tc>
          <w:tcPr>
            <w:tcW w:w="2178" w:type="dxa"/>
            <w:vAlign w:val="top"/>
          </w:tcPr>
          <w:p>
            <w:pPr>
              <w:pStyle w:val="TableText"/>
              <w:ind w:left="975"/>
              <w:spacing w:before="54" w:line="180" w:lineRule="auto"/>
              <w:rPr>
                <w:sz w:val="21"/>
                <w:szCs w:val="21"/>
              </w:rPr>
            </w:pPr>
            <w:r>
              <w:rPr>
                <w:sz w:val="21"/>
                <w:szCs w:val="21"/>
                <w:spacing w:val="-3"/>
              </w:rPr>
              <w:t>+1</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385" w:type="dxa"/>
            <w:vAlign w:val="top"/>
          </w:tcPr>
          <w:p>
            <w:pPr>
              <w:pStyle w:val="TableText"/>
              <w:ind w:left="25"/>
              <w:spacing w:before="65" w:line="179" w:lineRule="auto"/>
              <w:rPr>
                <w:sz w:val="21"/>
                <w:szCs w:val="21"/>
              </w:rPr>
            </w:pPr>
            <w:r>
              <w:rPr>
                <w:sz w:val="21"/>
                <w:szCs w:val="21"/>
                <w:spacing w:val="-6"/>
              </w:rPr>
              <w:t>125</w:t>
            </w:r>
          </w:p>
        </w:tc>
        <w:tc>
          <w:tcPr>
            <w:tcW w:w="3188" w:type="dxa"/>
            <w:vAlign w:val="top"/>
          </w:tcPr>
          <w:p>
            <w:pPr>
              <w:pStyle w:val="TableText"/>
              <w:ind w:left="1060"/>
              <w:spacing w:before="42" w:line="199" w:lineRule="auto"/>
              <w:rPr>
                <w:sz w:val="21"/>
                <w:szCs w:val="21"/>
              </w:rPr>
            </w:pPr>
            <w:r>
              <w:rPr>
                <w:sz w:val="21"/>
                <w:szCs w:val="21"/>
                <w:color w:val="000010"/>
                <w:spacing w:val="2"/>
              </w:rPr>
              <w:t>劈半防溅屏</w:t>
            </w:r>
          </w:p>
        </w:tc>
        <w:tc>
          <w:tcPr>
            <w:tcW w:w="480" w:type="dxa"/>
            <w:vAlign w:val="top"/>
          </w:tcPr>
          <w:p>
            <w:pPr>
              <w:pStyle w:val="TableText"/>
              <w:ind w:left="122"/>
              <w:spacing w:before="44" w:line="197" w:lineRule="auto"/>
              <w:rPr>
                <w:sz w:val="21"/>
                <w:szCs w:val="21"/>
              </w:rPr>
            </w:pPr>
            <w:r>
              <w:rPr>
                <w:sz w:val="21"/>
                <w:szCs w:val="21"/>
              </w:rPr>
              <w:t>个</w:t>
            </w:r>
          </w:p>
        </w:tc>
        <w:tc>
          <w:tcPr>
            <w:tcW w:w="1739" w:type="dxa"/>
            <w:vAlign w:val="top"/>
          </w:tcPr>
          <w:p>
            <w:pPr>
              <w:pStyle w:val="TableText"/>
              <w:ind w:left="802"/>
              <w:spacing w:before="65" w:line="179" w:lineRule="auto"/>
              <w:rPr>
                <w:sz w:val="21"/>
                <w:szCs w:val="21"/>
              </w:rPr>
            </w:pPr>
            <w:r>
              <w:rPr>
                <w:sz w:val="21"/>
                <w:szCs w:val="21"/>
              </w:rPr>
              <w:t>0</w:t>
            </w:r>
          </w:p>
        </w:tc>
        <w:tc>
          <w:tcPr>
            <w:tcW w:w="2558" w:type="dxa"/>
            <w:vAlign w:val="top"/>
            <w:textDirection w:val="tbRlV"/>
          </w:tcPr>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spacing w:before="70" w:line="126" w:lineRule="exact"/>
              <w:rPr>
                <w:sz w:val="21"/>
                <w:szCs w:val="21"/>
              </w:rPr>
            </w:pPr>
            <w:r>
              <w:rPr>
                <w:sz w:val="21"/>
                <w:szCs w:val="21"/>
                <w:color w:val="505040"/>
                <w:spacing w:val="49"/>
                <w:w w:val="125"/>
                <w:position w:val="-3"/>
              </w:rPr>
              <w:t>1</w:t>
            </w:r>
          </w:p>
        </w:tc>
        <w:tc>
          <w:tcPr>
            <w:tcW w:w="2178" w:type="dxa"/>
            <w:vAlign w:val="top"/>
          </w:tcPr>
          <w:p>
            <w:pPr>
              <w:pStyle w:val="TableText"/>
              <w:ind w:left="975"/>
              <w:spacing w:before="65" w:line="179" w:lineRule="auto"/>
              <w:rPr>
                <w:sz w:val="21"/>
                <w:szCs w:val="21"/>
              </w:rPr>
            </w:pPr>
            <w:r>
              <w:rPr>
                <w:sz w:val="21"/>
                <w:szCs w:val="21"/>
                <w:spacing w:val="-3"/>
              </w:rPr>
              <w:t>+1</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25"/>
              <w:spacing w:before="56" w:line="179" w:lineRule="auto"/>
              <w:rPr>
                <w:sz w:val="21"/>
                <w:szCs w:val="21"/>
              </w:rPr>
            </w:pPr>
            <w:r>
              <w:rPr>
                <w:sz w:val="21"/>
                <w:szCs w:val="21"/>
                <w:color w:val="302040"/>
                <w:spacing w:val="-6"/>
              </w:rPr>
              <w:t>126</w:t>
            </w:r>
          </w:p>
        </w:tc>
        <w:tc>
          <w:tcPr>
            <w:tcW w:w="3188" w:type="dxa"/>
            <w:vAlign w:val="top"/>
          </w:tcPr>
          <w:p>
            <w:pPr>
              <w:pStyle w:val="TableText"/>
              <w:ind w:left="850"/>
              <w:spacing w:before="35" w:line="197" w:lineRule="auto"/>
              <w:rPr>
                <w:sz w:val="21"/>
                <w:szCs w:val="21"/>
              </w:rPr>
            </w:pPr>
            <w:r>
              <w:rPr>
                <w:sz w:val="21"/>
                <w:szCs w:val="21"/>
                <w:spacing w:val="3"/>
              </w:rPr>
              <w:t>白脏接收工作台</w:t>
            </w:r>
          </w:p>
        </w:tc>
        <w:tc>
          <w:tcPr>
            <w:tcW w:w="480" w:type="dxa"/>
            <w:vAlign w:val="top"/>
          </w:tcPr>
          <w:p>
            <w:pPr>
              <w:pStyle w:val="TableText"/>
              <w:ind w:left="122"/>
              <w:spacing w:before="35" w:line="197" w:lineRule="auto"/>
              <w:rPr>
                <w:sz w:val="21"/>
                <w:szCs w:val="21"/>
              </w:rPr>
            </w:pPr>
            <w:r>
              <w:rPr>
                <w:sz w:val="21"/>
                <w:szCs w:val="21"/>
                <w:color w:val="302040"/>
              </w:rPr>
              <w:t>件</w:t>
            </w:r>
          </w:p>
        </w:tc>
        <w:tc>
          <w:tcPr>
            <w:tcW w:w="1739" w:type="dxa"/>
            <w:vAlign w:val="top"/>
          </w:tcPr>
          <w:p>
            <w:pPr>
              <w:pStyle w:val="TableText"/>
              <w:ind w:left="802"/>
              <w:spacing w:before="56" w:line="179" w:lineRule="auto"/>
              <w:rPr>
                <w:sz w:val="21"/>
                <w:szCs w:val="21"/>
              </w:rPr>
            </w:pPr>
            <w:r>
              <w:rPr>
                <w:sz w:val="21"/>
                <w:szCs w:val="21"/>
              </w:rPr>
              <w:t>0</w:t>
            </w:r>
          </w:p>
        </w:tc>
        <w:tc>
          <w:tcPr>
            <w:tcW w:w="2558" w:type="dxa"/>
            <w:vAlign w:val="top"/>
            <w:textDirection w:val="tbRlV"/>
          </w:tcPr>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spacing w:before="70" w:line="126" w:lineRule="exact"/>
              <w:rPr>
                <w:sz w:val="21"/>
                <w:szCs w:val="21"/>
              </w:rPr>
            </w:pPr>
            <w:r>
              <w:rPr>
                <w:sz w:val="21"/>
                <w:szCs w:val="21"/>
                <w:color w:val="404040"/>
                <w:spacing w:val="40"/>
                <w:w w:val="125"/>
                <w:position w:val="-3"/>
              </w:rPr>
              <w:t>1</w:t>
            </w:r>
          </w:p>
        </w:tc>
        <w:tc>
          <w:tcPr>
            <w:tcW w:w="2178" w:type="dxa"/>
            <w:vAlign w:val="top"/>
          </w:tcPr>
          <w:p>
            <w:pPr>
              <w:pStyle w:val="TableText"/>
              <w:ind w:left="975"/>
              <w:spacing w:before="56" w:line="179" w:lineRule="auto"/>
              <w:rPr>
                <w:sz w:val="21"/>
                <w:szCs w:val="21"/>
              </w:rPr>
            </w:pPr>
            <w:r>
              <w:rPr>
                <w:sz w:val="21"/>
                <w:szCs w:val="21"/>
                <w:spacing w:val="-3"/>
              </w:rPr>
              <w:t>+1</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385" w:type="dxa"/>
            <w:vAlign w:val="top"/>
          </w:tcPr>
          <w:p>
            <w:pPr>
              <w:pStyle w:val="TableText"/>
              <w:ind w:left="25"/>
              <w:spacing w:before="66" w:line="178" w:lineRule="auto"/>
              <w:rPr>
                <w:sz w:val="21"/>
                <w:szCs w:val="21"/>
              </w:rPr>
            </w:pPr>
            <w:r>
              <w:rPr>
                <w:sz w:val="21"/>
                <w:szCs w:val="21"/>
                <w:spacing w:val="-6"/>
              </w:rPr>
              <w:t>127</w:t>
            </w:r>
          </w:p>
        </w:tc>
        <w:tc>
          <w:tcPr>
            <w:tcW w:w="3188" w:type="dxa"/>
            <w:vAlign w:val="top"/>
          </w:tcPr>
          <w:p>
            <w:pPr>
              <w:pStyle w:val="TableText"/>
              <w:ind w:left="1160"/>
              <w:spacing w:before="44" w:line="197" w:lineRule="auto"/>
              <w:rPr>
                <w:sz w:val="21"/>
                <w:szCs w:val="21"/>
              </w:rPr>
            </w:pPr>
            <w:r>
              <w:rPr>
                <w:sz w:val="21"/>
                <w:szCs w:val="21"/>
                <w:spacing w:val="2"/>
              </w:rPr>
              <w:t>红脏滑槽</w:t>
            </w:r>
          </w:p>
        </w:tc>
        <w:tc>
          <w:tcPr>
            <w:tcW w:w="480" w:type="dxa"/>
            <w:vAlign w:val="top"/>
          </w:tcPr>
          <w:p>
            <w:pPr>
              <w:pStyle w:val="TableText"/>
              <w:ind w:left="122"/>
              <w:spacing w:before="44" w:line="197" w:lineRule="auto"/>
              <w:rPr>
                <w:sz w:val="21"/>
                <w:szCs w:val="21"/>
              </w:rPr>
            </w:pPr>
            <w:r>
              <w:rPr>
                <w:sz w:val="21"/>
                <w:szCs w:val="21"/>
              </w:rPr>
              <w:t>件</w:t>
            </w:r>
          </w:p>
        </w:tc>
        <w:tc>
          <w:tcPr>
            <w:tcW w:w="1739" w:type="dxa"/>
            <w:vAlign w:val="top"/>
          </w:tcPr>
          <w:p>
            <w:pPr>
              <w:pStyle w:val="TableText"/>
              <w:ind w:left="802"/>
              <w:spacing w:before="66" w:line="178" w:lineRule="auto"/>
              <w:rPr>
                <w:sz w:val="21"/>
                <w:szCs w:val="21"/>
              </w:rPr>
            </w:pPr>
            <w:r>
              <w:rPr>
                <w:sz w:val="21"/>
                <w:szCs w:val="21"/>
              </w:rPr>
              <w:t>0</w:t>
            </w:r>
          </w:p>
        </w:tc>
        <w:tc>
          <w:tcPr>
            <w:tcW w:w="2558" w:type="dxa"/>
            <w:vAlign w:val="top"/>
            <w:textDirection w:val="tbRlV"/>
          </w:tcPr>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spacing w:before="70" w:line="126" w:lineRule="exact"/>
              <w:rPr>
                <w:sz w:val="21"/>
                <w:szCs w:val="21"/>
              </w:rPr>
            </w:pPr>
            <w:r>
              <w:rPr>
                <w:sz w:val="21"/>
                <w:szCs w:val="21"/>
                <w:color w:val="505040"/>
                <w:spacing w:val="50"/>
                <w:w w:val="125"/>
                <w:position w:val="-3"/>
              </w:rPr>
              <w:t>1</w:t>
            </w:r>
          </w:p>
        </w:tc>
        <w:tc>
          <w:tcPr>
            <w:tcW w:w="2178" w:type="dxa"/>
            <w:vAlign w:val="top"/>
          </w:tcPr>
          <w:p>
            <w:pPr>
              <w:pStyle w:val="TableText"/>
              <w:ind w:left="975"/>
              <w:spacing w:before="66" w:line="178" w:lineRule="auto"/>
              <w:rPr>
                <w:sz w:val="21"/>
                <w:szCs w:val="21"/>
              </w:rPr>
            </w:pPr>
            <w:r>
              <w:rPr>
                <w:sz w:val="21"/>
                <w:szCs w:val="21"/>
                <w:spacing w:val="-3"/>
              </w:rPr>
              <w:t>+1</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25"/>
              <w:spacing w:before="57" w:line="178" w:lineRule="auto"/>
              <w:rPr>
                <w:sz w:val="21"/>
                <w:szCs w:val="21"/>
              </w:rPr>
            </w:pPr>
            <w:r>
              <w:rPr>
                <w:sz w:val="21"/>
                <w:szCs w:val="21"/>
                <w:spacing w:val="-6"/>
              </w:rPr>
              <w:t>128</w:t>
            </w:r>
          </w:p>
        </w:tc>
        <w:tc>
          <w:tcPr>
            <w:tcW w:w="3188" w:type="dxa"/>
            <w:vAlign w:val="top"/>
          </w:tcPr>
          <w:p>
            <w:pPr>
              <w:pStyle w:val="TableText"/>
              <w:ind w:left="850"/>
              <w:spacing w:before="35" w:line="197" w:lineRule="auto"/>
              <w:rPr>
                <w:sz w:val="21"/>
                <w:szCs w:val="21"/>
              </w:rPr>
            </w:pPr>
            <w:r>
              <w:rPr>
                <w:sz w:val="21"/>
                <w:szCs w:val="21"/>
                <w:spacing w:val="3"/>
              </w:rPr>
              <w:t>红脏接收工作台</w:t>
            </w:r>
          </w:p>
        </w:tc>
        <w:tc>
          <w:tcPr>
            <w:tcW w:w="480" w:type="dxa"/>
            <w:vAlign w:val="top"/>
          </w:tcPr>
          <w:p>
            <w:pPr>
              <w:pStyle w:val="TableText"/>
              <w:ind w:left="122"/>
              <w:spacing w:before="35" w:line="197" w:lineRule="auto"/>
              <w:rPr>
                <w:sz w:val="21"/>
                <w:szCs w:val="21"/>
              </w:rPr>
            </w:pPr>
            <w:r>
              <w:rPr>
                <w:sz w:val="21"/>
                <w:szCs w:val="21"/>
              </w:rPr>
              <w:t>件</w:t>
            </w:r>
          </w:p>
        </w:tc>
        <w:tc>
          <w:tcPr>
            <w:tcW w:w="1739" w:type="dxa"/>
            <w:vAlign w:val="top"/>
          </w:tcPr>
          <w:p>
            <w:pPr>
              <w:pStyle w:val="TableText"/>
              <w:ind w:left="802"/>
              <w:spacing w:before="57" w:line="178" w:lineRule="auto"/>
              <w:rPr>
                <w:sz w:val="21"/>
                <w:szCs w:val="21"/>
              </w:rPr>
            </w:pPr>
            <w:r>
              <w:rPr>
                <w:sz w:val="21"/>
                <w:szCs w:val="21"/>
              </w:rPr>
              <w:t>0</w:t>
            </w:r>
          </w:p>
        </w:tc>
        <w:tc>
          <w:tcPr>
            <w:tcW w:w="2558" w:type="dxa"/>
            <w:vAlign w:val="top"/>
            <w:textDirection w:val="tbRlV"/>
          </w:tcPr>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spacing w:before="70" w:line="126" w:lineRule="exact"/>
              <w:rPr>
                <w:sz w:val="21"/>
                <w:szCs w:val="21"/>
              </w:rPr>
            </w:pPr>
            <w:r>
              <w:rPr>
                <w:sz w:val="21"/>
                <w:szCs w:val="21"/>
                <w:color w:val="404040"/>
                <w:spacing w:val="41"/>
                <w:w w:val="125"/>
                <w:position w:val="-3"/>
              </w:rPr>
              <w:t>1</w:t>
            </w:r>
          </w:p>
        </w:tc>
        <w:tc>
          <w:tcPr>
            <w:tcW w:w="2178" w:type="dxa"/>
            <w:vAlign w:val="top"/>
          </w:tcPr>
          <w:p>
            <w:pPr>
              <w:pStyle w:val="TableText"/>
              <w:ind w:left="975"/>
              <w:spacing w:before="57" w:line="178" w:lineRule="auto"/>
              <w:rPr>
                <w:sz w:val="21"/>
                <w:szCs w:val="21"/>
              </w:rPr>
            </w:pPr>
            <w:r>
              <w:rPr>
                <w:sz w:val="21"/>
                <w:szCs w:val="21"/>
                <w:spacing w:val="-3"/>
              </w:rPr>
              <w:t>+1</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385" w:type="dxa"/>
            <w:vAlign w:val="top"/>
          </w:tcPr>
          <w:p>
            <w:pPr>
              <w:pStyle w:val="TableText"/>
              <w:ind w:left="25"/>
              <w:spacing w:before="67" w:line="177" w:lineRule="auto"/>
              <w:rPr>
                <w:sz w:val="21"/>
                <w:szCs w:val="21"/>
              </w:rPr>
            </w:pPr>
            <w:r>
              <w:rPr>
                <w:sz w:val="21"/>
                <w:szCs w:val="21"/>
                <w:spacing w:val="-6"/>
              </w:rPr>
              <w:t>129</w:t>
            </w:r>
          </w:p>
        </w:tc>
        <w:tc>
          <w:tcPr>
            <w:tcW w:w="3188" w:type="dxa"/>
            <w:vAlign w:val="top"/>
          </w:tcPr>
          <w:p>
            <w:pPr>
              <w:pStyle w:val="TableText"/>
              <w:ind w:left="740"/>
              <w:spacing w:before="46" w:line="196" w:lineRule="auto"/>
              <w:rPr>
                <w:sz w:val="21"/>
                <w:szCs w:val="21"/>
              </w:rPr>
            </w:pPr>
            <w:r>
              <w:rPr>
                <w:sz w:val="21"/>
                <w:szCs w:val="21"/>
                <w:spacing w:val="1"/>
              </w:rPr>
              <w:t>疑病暂存轨道系统</w:t>
            </w:r>
          </w:p>
        </w:tc>
        <w:tc>
          <w:tcPr>
            <w:tcW w:w="480" w:type="dxa"/>
            <w:vAlign w:val="top"/>
          </w:tcPr>
          <w:p>
            <w:pPr>
              <w:pStyle w:val="TableText"/>
              <w:ind w:left="122"/>
              <w:spacing w:before="46" w:line="196" w:lineRule="auto"/>
              <w:rPr>
                <w:sz w:val="21"/>
                <w:szCs w:val="21"/>
              </w:rPr>
            </w:pPr>
            <w:r>
              <w:rPr>
                <w:sz w:val="21"/>
                <w:szCs w:val="21"/>
                <w:color w:val="404040"/>
              </w:rPr>
              <w:t>米</w:t>
            </w:r>
          </w:p>
        </w:tc>
        <w:tc>
          <w:tcPr>
            <w:tcW w:w="1739" w:type="dxa"/>
            <w:vAlign w:val="top"/>
          </w:tcPr>
          <w:p>
            <w:pPr>
              <w:pStyle w:val="TableText"/>
              <w:ind w:left="802"/>
              <w:spacing w:before="67" w:line="177" w:lineRule="auto"/>
              <w:rPr>
                <w:sz w:val="21"/>
                <w:szCs w:val="21"/>
              </w:rPr>
            </w:pPr>
            <w:r>
              <w:rPr>
                <w:sz w:val="21"/>
                <w:szCs w:val="21"/>
              </w:rPr>
              <w:t>0</w:t>
            </w:r>
          </w:p>
        </w:tc>
        <w:tc>
          <w:tcPr>
            <w:tcW w:w="2558" w:type="dxa"/>
            <w:vAlign w:val="top"/>
          </w:tcPr>
          <w:p>
            <w:pPr>
              <w:pStyle w:val="TableText"/>
              <w:ind w:left="1163"/>
              <w:spacing w:before="67" w:line="177" w:lineRule="auto"/>
              <w:rPr>
                <w:sz w:val="21"/>
                <w:szCs w:val="21"/>
              </w:rPr>
            </w:pPr>
            <w:r>
              <w:rPr>
                <w:sz w:val="21"/>
                <w:szCs w:val="21"/>
                <w:spacing w:val="-3"/>
              </w:rPr>
              <w:t>24</w:t>
            </w:r>
          </w:p>
        </w:tc>
        <w:tc>
          <w:tcPr>
            <w:tcW w:w="2178" w:type="dxa"/>
            <w:vAlign w:val="top"/>
          </w:tcPr>
          <w:p>
            <w:pPr>
              <w:pStyle w:val="TableText"/>
              <w:ind w:left="925"/>
              <w:spacing w:before="67" w:line="177" w:lineRule="auto"/>
              <w:rPr>
                <w:sz w:val="21"/>
                <w:szCs w:val="21"/>
              </w:rPr>
            </w:pPr>
            <w:r>
              <w:rPr>
                <w:sz w:val="21"/>
                <w:szCs w:val="21"/>
                <w:spacing w:val="-3"/>
              </w:rPr>
              <w:t>+24</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25"/>
              <w:spacing w:before="58" w:line="177" w:lineRule="auto"/>
              <w:rPr>
                <w:sz w:val="21"/>
                <w:szCs w:val="21"/>
              </w:rPr>
            </w:pPr>
            <w:r>
              <w:rPr>
                <w:sz w:val="21"/>
                <w:szCs w:val="21"/>
                <w:spacing w:val="-6"/>
              </w:rPr>
              <w:t>130</w:t>
            </w:r>
          </w:p>
        </w:tc>
        <w:tc>
          <w:tcPr>
            <w:tcW w:w="3188" w:type="dxa"/>
            <w:vAlign w:val="top"/>
          </w:tcPr>
          <w:p>
            <w:pPr>
              <w:pStyle w:val="TableText"/>
              <w:ind w:left="950"/>
              <w:spacing w:before="37" w:line="196" w:lineRule="auto"/>
              <w:rPr>
                <w:sz w:val="21"/>
                <w:szCs w:val="21"/>
              </w:rPr>
            </w:pPr>
            <w:r>
              <w:rPr>
                <w:sz w:val="21"/>
                <w:szCs w:val="21"/>
                <w:spacing w:val="-2"/>
              </w:rPr>
              <w:t>胴体修整轨道</w:t>
            </w:r>
          </w:p>
        </w:tc>
        <w:tc>
          <w:tcPr>
            <w:tcW w:w="480" w:type="dxa"/>
            <w:vAlign w:val="top"/>
          </w:tcPr>
          <w:p>
            <w:pPr>
              <w:pStyle w:val="TableText"/>
              <w:ind w:left="122"/>
              <w:spacing w:before="37" w:line="196" w:lineRule="auto"/>
              <w:rPr>
                <w:sz w:val="21"/>
                <w:szCs w:val="21"/>
              </w:rPr>
            </w:pPr>
            <w:r>
              <w:rPr>
                <w:sz w:val="21"/>
                <w:szCs w:val="21"/>
              </w:rPr>
              <w:t>米</w:t>
            </w:r>
          </w:p>
        </w:tc>
        <w:tc>
          <w:tcPr>
            <w:tcW w:w="1739" w:type="dxa"/>
            <w:vAlign w:val="top"/>
          </w:tcPr>
          <w:p>
            <w:pPr>
              <w:pStyle w:val="TableText"/>
              <w:ind w:left="802"/>
              <w:spacing w:before="58" w:line="177" w:lineRule="auto"/>
              <w:rPr>
                <w:sz w:val="21"/>
                <w:szCs w:val="21"/>
              </w:rPr>
            </w:pPr>
            <w:r>
              <w:rPr>
                <w:sz w:val="21"/>
                <w:szCs w:val="21"/>
              </w:rPr>
              <w:t>0</w:t>
            </w:r>
          </w:p>
        </w:tc>
        <w:tc>
          <w:tcPr>
            <w:tcW w:w="2558" w:type="dxa"/>
            <w:vAlign w:val="top"/>
          </w:tcPr>
          <w:p>
            <w:pPr>
              <w:pStyle w:val="TableText"/>
              <w:ind w:left="1163"/>
              <w:spacing w:before="58" w:line="177" w:lineRule="auto"/>
              <w:rPr>
                <w:sz w:val="21"/>
                <w:szCs w:val="21"/>
              </w:rPr>
            </w:pPr>
            <w:r>
              <w:rPr>
                <w:sz w:val="21"/>
                <w:szCs w:val="21"/>
                <w:spacing w:val="-3"/>
              </w:rPr>
              <w:t>20</w:t>
            </w:r>
          </w:p>
        </w:tc>
        <w:tc>
          <w:tcPr>
            <w:tcW w:w="2178" w:type="dxa"/>
            <w:vAlign w:val="top"/>
          </w:tcPr>
          <w:p>
            <w:pPr>
              <w:pStyle w:val="TableText"/>
              <w:ind w:left="925"/>
              <w:spacing w:before="58" w:line="177" w:lineRule="auto"/>
              <w:rPr>
                <w:sz w:val="21"/>
                <w:szCs w:val="21"/>
              </w:rPr>
            </w:pPr>
            <w:r>
              <w:rPr>
                <w:sz w:val="21"/>
                <w:szCs w:val="21"/>
                <w:spacing w:val="-3"/>
              </w:rPr>
              <w:t>+20</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385" w:type="dxa"/>
            <w:vAlign w:val="top"/>
          </w:tcPr>
          <w:p>
            <w:pPr>
              <w:pStyle w:val="TableText"/>
              <w:ind w:left="25"/>
              <w:spacing w:before="58" w:line="177" w:lineRule="auto"/>
              <w:rPr>
                <w:sz w:val="21"/>
                <w:szCs w:val="21"/>
              </w:rPr>
            </w:pPr>
            <w:r>
              <w:rPr>
                <w:sz w:val="21"/>
                <w:szCs w:val="21"/>
                <w:color w:val="605060"/>
                <w:spacing w:val="-6"/>
              </w:rPr>
              <w:t>131</w:t>
            </w:r>
          </w:p>
        </w:tc>
        <w:tc>
          <w:tcPr>
            <w:tcW w:w="3188" w:type="dxa"/>
            <w:vAlign w:val="top"/>
          </w:tcPr>
          <w:p>
            <w:pPr>
              <w:pStyle w:val="TableText"/>
              <w:ind w:left="950"/>
              <w:spacing w:before="38" w:line="195" w:lineRule="auto"/>
              <w:rPr>
                <w:sz w:val="21"/>
                <w:szCs w:val="21"/>
              </w:rPr>
            </w:pPr>
            <w:r>
              <w:rPr>
                <w:sz w:val="21"/>
                <w:szCs w:val="21"/>
                <w:spacing w:val="1"/>
              </w:rPr>
              <w:t>自动冲洗装置</w:t>
            </w:r>
          </w:p>
        </w:tc>
        <w:tc>
          <w:tcPr>
            <w:tcW w:w="480" w:type="dxa"/>
            <w:vAlign w:val="top"/>
          </w:tcPr>
          <w:p>
            <w:pPr>
              <w:pStyle w:val="TableText"/>
              <w:ind w:left="122"/>
              <w:spacing w:before="38" w:line="195" w:lineRule="auto"/>
              <w:rPr>
                <w:sz w:val="21"/>
                <w:szCs w:val="21"/>
              </w:rPr>
            </w:pPr>
            <w:r>
              <w:rPr>
                <w:sz w:val="21"/>
                <w:szCs w:val="21"/>
                <w:color w:val="604060"/>
              </w:rPr>
              <w:t>套</w:t>
            </w:r>
          </w:p>
        </w:tc>
        <w:tc>
          <w:tcPr>
            <w:tcW w:w="1739" w:type="dxa"/>
            <w:vAlign w:val="top"/>
          </w:tcPr>
          <w:p>
            <w:pPr>
              <w:pStyle w:val="TableText"/>
              <w:ind w:left="802"/>
              <w:spacing w:before="58" w:line="177" w:lineRule="auto"/>
              <w:rPr>
                <w:sz w:val="21"/>
                <w:szCs w:val="21"/>
              </w:rPr>
            </w:pPr>
            <w:r>
              <w:rPr>
                <w:sz w:val="21"/>
                <w:szCs w:val="21"/>
              </w:rPr>
              <w:t>0</w:t>
            </w:r>
          </w:p>
        </w:tc>
        <w:tc>
          <w:tcPr>
            <w:tcW w:w="2558" w:type="dxa"/>
            <w:vAlign w:val="top"/>
            <w:textDirection w:val="tbRlV"/>
          </w:tcPr>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spacing w:before="70" w:line="126" w:lineRule="exact"/>
              <w:rPr>
                <w:sz w:val="21"/>
                <w:szCs w:val="21"/>
              </w:rPr>
            </w:pPr>
            <w:r>
              <w:rPr>
                <w:sz w:val="21"/>
                <w:szCs w:val="21"/>
                <w:color w:val="505040"/>
                <w:spacing w:val="42"/>
                <w:w w:val="125"/>
                <w:position w:val="-3"/>
              </w:rPr>
              <w:t>1</w:t>
            </w:r>
          </w:p>
        </w:tc>
        <w:tc>
          <w:tcPr>
            <w:tcW w:w="2178" w:type="dxa"/>
            <w:vAlign w:val="top"/>
          </w:tcPr>
          <w:p>
            <w:pPr>
              <w:pStyle w:val="TableText"/>
              <w:ind w:left="975"/>
              <w:spacing w:before="58" w:line="177" w:lineRule="auto"/>
              <w:rPr>
                <w:sz w:val="21"/>
                <w:szCs w:val="21"/>
              </w:rPr>
            </w:pPr>
            <w:r>
              <w:rPr>
                <w:sz w:val="21"/>
                <w:szCs w:val="21"/>
                <w:spacing w:val="-3"/>
              </w:rPr>
              <w:t>+1</w:t>
            </w:r>
          </w:p>
        </w:tc>
        <w:tc>
          <w:tcPr>
            <w:tcW w:w="250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4" w:hRule="atLeast"/>
        </w:trPr>
        <w:tc>
          <w:tcPr>
            <w:tcW w:w="385" w:type="dxa"/>
            <w:vAlign w:val="top"/>
          </w:tcPr>
          <w:p>
            <w:pPr>
              <w:pStyle w:val="TableText"/>
              <w:ind w:left="25"/>
              <w:spacing w:before="58" w:line="181" w:lineRule="auto"/>
              <w:rPr>
                <w:sz w:val="21"/>
                <w:szCs w:val="21"/>
              </w:rPr>
            </w:pPr>
            <w:r>
              <w:rPr>
                <w:sz w:val="21"/>
                <w:szCs w:val="21"/>
                <w:spacing w:val="-6"/>
              </w:rPr>
              <w:t>132</w:t>
            </w:r>
          </w:p>
        </w:tc>
        <w:tc>
          <w:tcPr>
            <w:tcW w:w="3188" w:type="dxa"/>
            <w:vAlign w:val="top"/>
          </w:tcPr>
          <w:p>
            <w:pPr>
              <w:pStyle w:val="TableText"/>
              <w:ind w:left="640"/>
              <w:spacing w:before="36" w:line="200" w:lineRule="auto"/>
              <w:rPr>
                <w:sz w:val="21"/>
                <w:szCs w:val="21"/>
              </w:rPr>
            </w:pPr>
            <w:r>
              <w:rPr>
                <w:sz w:val="21"/>
                <w:szCs w:val="21"/>
              </w:rPr>
              <w:t>四分体下降、提升机</w:t>
            </w:r>
          </w:p>
        </w:tc>
        <w:tc>
          <w:tcPr>
            <w:tcW w:w="480" w:type="dxa"/>
            <w:vAlign w:val="top"/>
          </w:tcPr>
          <w:p>
            <w:pPr>
              <w:pStyle w:val="TableText"/>
              <w:ind w:left="122"/>
              <w:spacing w:before="39" w:line="197" w:lineRule="auto"/>
              <w:rPr>
                <w:sz w:val="21"/>
                <w:szCs w:val="21"/>
              </w:rPr>
            </w:pPr>
            <w:r>
              <w:rPr>
                <w:sz w:val="21"/>
                <w:szCs w:val="21"/>
              </w:rPr>
              <w:t>台</w:t>
            </w:r>
          </w:p>
        </w:tc>
        <w:tc>
          <w:tcPr>
            <w:tcW w:w="1739" w:type="dxa"/>
            <w:vAlign w:val="top"/>
          </w:tcPr>
          <w:p>
            <w:pPr>
              <w:pStyle w:val="TableText"/>
              <w:ind w:left="802"/>
              <w:spacing w:before="58" w:line="181" w:lineRule="auto"/>
              <w:rPr>
                <w:sz w:val="21"/>
                <w:szCs w:val="21"/>
              </w:rPr>
            </w:pPr>
            <w:r>
              <w:rPr>
                <w:sz w:val="21"/>
                <w:szCs w:val="21"/>
              </w:rPr>
              <w:t>0</w:t>
            </w:r>
          </w:p>
        </w:tc>
        <w:tc>
          <w:tcPr>
            <w:tcW w:w="2558" w:type="dxa"/>
            <w:vAlign w:val="top"/>
            <w:textDirection w:val="tbRlV"/>
          </w:tcPr>
          <w:p>
            <w:pPr>
              <w:spacing w:line="283" w:lineRule="auto"/>
              <w:rPr>
                <w:rFonts w:ascii="Arial"/>
                <w:sz w:val="21"/>
              </w:rPr>
            </w:pPr>
            <w:r/>
          </w:p>
          <w:p>
            <w:pPr>
              <w:spacing w:line="284" w:lineRule="auto"/>
              <w:rPr>
                <w:rFonts w:ascii="Arial"/>
                <w:sz w:val="21"/>
              </w:rPr>
            </w:pPr>
            <w:r/>
          </w:p>
          <w:p>
            <w:pPr>
              <w:spacing w:line="284" w:lineRule="auto"/>
              <w:rPr>
                <w:rFonts w:ascii="Arial"/>
                <w:sz w:val="21"/>
              </w:rPr>
            </w:pPr>
            <w:r/>
          </w:p>
          <w:p>
            <w:pPr>
              <w:spacing w:line="284" w:lineRule="auto"/>
              <w:rPr>
                <w:rFonts w:ascii="Arial"/>
                <w:sz w:val="21"/>
              </w:rPr>
            </w:pPr>
            <w:r/>
          </w:p>
          <w:p>
            <w:pPr>
              <w:pStyle w:val="TableText"/>
              <w:spacing w:before="70" w:line="147" w:lineRule="exact"/>
              <w:rPr>
                <w:sz w:val="21"/>
                <w:szCs w:val="21"/>
              </w:rPr>
            </w:pPr>
            <w:r>
              <w:rPr>
                <w:sz w:val="21"/>
                <w:szCs w:val="21"/>
                <w:spacing w:val="41"/>
                <w:w w:val="125"/>
                <w:position w:val="-3"/>
              </w:rPr>
              <w:t>2</w:t>
            </w:r>
          </w:p>
        </w:tc>
        <w:tc>
          <w:tcPr>
            <w:tcW w:w="2178" w:type="dxa"/>
            <w:vAlign w:val="top"/>
          </w:tcPr>
          <w:p>
            <w:pPr>
              <w:pStyle w:val="TableText"/>
              <w:ind w:left="975"/>
              <w:spacing w:before="58" w:line="181" w:lineRule="auto"/>
              <w:rPr>
                <w:sz w:val="21"/>
                <w:szCs w:val="21"/>
              </w:rPr>
            </w:pPr>
            <w:r>
              <w:rPr>
                <w:sz w:val="21"/>
                <w:szCs w:val="21"/>
                <w:spacing w:val="-3"/>
              </w:rPr>
              <w:t>+2</w:t>
            </w:r>
          </w:p>
        </w:tc>
        <w:tc>
          <w:tcPr>
            <w:tcW w:w="2508" w:type="dxa"/>
            <w:vAlign w:val="top"/>
            <w:vMerge w:val="continue"/>
            <w:tcBorders>
              <w:top w:val="nil"/>
            </w:tcBorders>
          </w:tcPr>
          <w:p>
            <w:pPr>
              <w:rPr>
                <w:rFonts w:ascii="Arial"/>
                <w:sz w:val="21"/>
              </w:rPr>
            </w:pPr>
            <w:r/>
          </w:p>
        </w:tc>
        <w:tc>
          <w:tcPr>
            <w:tcW w:w="1104" w:type="dxa"/>
            <w:vAlign w:val="top"/>
            <w:vMerge w:val="continue"/>
            <w:tcBorders>
              <w:top w:val="nil"/>
            </w:tcBorders>
          </w:tcPr>
          <w:p>
            <w:pPr>
              <w:rPr>
                <w:rFonts w:ascii="Arial"/>
                <w:sz w:val="21"/>
              </w:rPr>
            </w:pPr>
            <w:r/>
          </w:p>
        </w:tc>
      </w:tr>
    </w:tbl>
    <w:p>
      <w:pPr>
        <w:pStyle w:val="BodyText"/>
        <w:rPr/>
      </w:pPr>
      <w:r/>
    </w:p>
    <w:p>
      <w:pPr>
        <w:sectPr>
          <w:headerReference w:type="default" r:id="rId222"/>
          <w:footerReference w:type="default" r:id="rId223"/>
          <w:pgSz w:w="16840" w:h="11910"/>
          <w:pgMar w:top="1177" w:right="1375" w:bottom="920" w:left="1314" w:header="885" w:footer="734" w:gutter="0"/>
        </w:sectPr>
        <w:rPr/>
      </w:pPr>
    </w:p>
    <w:p>
      <w:pPr>
        <w:spacing w:before="77"/>
        <w:rPr/>
      </w:pPr>
      <w:r/>
    </w:p>
    <w:p>
      <w:pPr>
        <w:spacing w:before="77"/>
        <w:rPr/>
      </w:pPr>
      <w:r/>
    </w:p>
    <w:tbl>
      <w:tblPr>
        <w:tblStyle w:val="TableNormal"/>
        <w:tblW w:w="1414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15"/>
        <w:gridCol w:w="3147"/>
        <w:gridCol w:w="480"/>
        <w:gridCol w:w="1749"/>
        <w:gridCol w:w="2568"/>
        <w:gridCol w:w="2188"/>
        <w:gridCol w:w="2498"/>
        <w:gridCol w:w="1104"/>
      </w:tblGrid>
      <w:tr>
        <w:trPr>
          <w:trHeight w:val="524" w:hRule="atLeast"/>
        </w:trPr>
        <w:tc>
          <w:tcPr>
            <w:shd w:val="clear" w:fill="BDBDBD"/>
            <w:tcW w:w="415" w:type="dxa"/>
            <w:vAlign w:val="top"/>
            <w:textDirection w:val="tbRlV"/>
          </w:tcPr>
          <w:p>
            <w:pPr>
              <w:pStyle w:val="TableText"/>
              <w:ind w:left="31"/>
              <w:spacing w:before="112" w:line="199" w:lineRule="auto"/>
              <w:rPr>
                <w:sz w:val="21"/>
                <w:szCs w:val="21"/>
              </w:rPr>
            </w:pPr>
            <w:r>
              <w:rPr>
                <w:sz w:val="21"/>
                <w:szCs w:val="21"/>
                <w:b/>
                <w:bCs/>
                <w:spacing w:val="-3"/>
              </w:rPr>
              <w:t>序号</w:t>
            </w:r>
          </w:p>
        </w:tc>
        <w:tc>
          <w:tcPr>
            <w:shd w:val="clear" w:fill="BDBDBD"/>
            <w:tcW w:w="3147" w:type="dxa"/>
            <w:vAlign w:val="top"/>
          </w:tcPr>
          <w:p>
            <w:pPr>
              <w:pStyle w:val="TableText"/>
              <w:ind w:left="1143"/>
              <w:spacing w:before="161" w:line="221" w:lineRule="auto"/>
              <w:rPr>
                <w:sz w:val="21"/>
                <w:szCs w:val="21"/>
              </w:rPr>
            </w:pPr>
            <w:r>
              <w:rPr>
                <w:sz w:val="21"/>
                <w:szCs w:val="21"/>
                <w:b/>
                <w:bCs/>
                <w:spacing w:val="-5"/>
              </w:rPr>
              <w:t>设备名称</w:t>
            </w:r>
          </w:p>
        </w:tc>
        <w:tc>
          <w:tcPr>
            <w:shd w:val="clear" w:fill="BDBDBD"/>
            <w:tcW w:w="480" w:type="dxa"/>
            <w:vAlign w:val="top"/>
          </w:tcPr>
          <w:p>
            <w:pPr>
              <w:pStyle w:val="TableText"/>
              <w:ind w:left="26"/>
              <w:spacing w:before="161" w:line="220" w:lineRule="auto"/>
              <w:rPr>
                <w:sz w:val="21"/>
                <w:szCs w:val="21"/>
              </w:rPr>
            </w:pPr>
            <w:r>
              <w:rPr>
                <w:sz w:val="21"/>
                <w:szCs w:val="21"/>
                <w:b/>
                <w:bCs/>
                <w:spacing w:val="-5"/>
              </w:rPr>
              <w:t>单位</w:t>
            </w:r>
          </w:p>
        </w:tc>
        <w:tc>
          <w:tcPr>
            <w:shd w:val="clear" w:fill="BDBDBD"/>
            <w:tcW w:w="1749" w:type="dxa"/>
            <w:vAlign w:val="top"/>
          </w:tcPr>
          <w:p>
            <w:pPr>
              <w:pStyle w:val="TableText"/>
              <w:ind w:left="26"/>
              <w:spacing w:before="160" w:line="219" w:lineRule="auto"/>
              <w:rPr>
                <w:sz w:val="21"/>
                <w:szCs w:val="21"/>
              </w:rPr>
            </w:pPr>
            <w:r>
              <w:rPr>
                <w:sz w:val="21"/>
                <w:szCs w:val="21"/>
                <w:b/>
                <w:bCs/>
                <w:spacing w:val="-4"/>
              </w:rPr>
              <w:t>现有工程设备数量</w:t>
            </w:r>
          </w:p>
        </w:tc>
        <w:tc>
          <w:tcPr>
            <w:shd w:val="clear" w:fill="BDBDBD"/>
            <w:tcW w:w="2568" w:type="dxa"/>
            <w:vAlign w:val="top"/>
          </w:tcPr>
          <w:p>
            <w:pPr>
              <w:pStyle w:val="TableText"/>
              <w:ind w:left="16"/>
              <w:spacing w:before="159" w:line="219" w:lineRule="auto"/>
              <w:rPr>
                <w:sz w:val="21"/>
                <w:szCs w:val="21"/>
              </w:rPr>
            </w:pPr>
            <w:r>
              <w:rPr>
                <w:sz w:val="21"/>
                <w:szCs w:val="21"/>
                <w:b/>
                <w:bCs/>
                <w:spacing w:val="-3"/>
              </w:rPr>
              <w:t>本项目建成后全厂设备数量</w:t>
            </w:r>
          </w:p>
        </w:tc>
        <w:tc>
          <w:tcPr>
            <w:shd w:val="clear" w:fill="BDBDBD"/>
            <w:tcW w:w="2188" w:type="dxa"/>
            <w:vAlign w:val="top"/>
          </w:tcPr>
          <w:p>
            <w:pPr>
              <w:pStyle w:val="TableText"/>
              <w:ind w:left="38"/>
              <w:spacing w:before="160" w:line="219" w:lineRule="auto"/>
              <w:rPr>
                <w:sz w:val="21"/>
                <w:szCs w:val="21"/>
              </w:rPr>
            </w:pPr>
            <w:r>
              <w:rPr>
                <w:sz w:val="21"/>
                <w:szCs w:val="21"/>
                <w:b/>
                <w:bCs/>
                <w:spacing w:val="-4"/>
              </w:rPr>
              <w:t>项目设备数量变化情况</w:t>
            </w:r>
          </w:p>
        </w:tc>
        <w:tc>
          <w:tcPr>
            <w:shd w:val="clear" w:fill="BDBDBD"/>
            <w:tcW w:w="2498" w:type="dxa"/>
            <w:vAlign w:val="top"/>
          </w:tcPr>
          <w:p>
            <w:pPr>
              <w:pStyle w:val="TableText"/>
              <w:ind w:left="1040"/>
              <w:spacing w:before="161" w:line="221" w:lineRule="auto"/>
              <w:rPr>
                <w:sz w:val="21"/>
                <w:szCs w:val="21"/>
              </w:rPr>
            </w:pPr>
            <w:r>
              <w:rPr>
                <w:sz w:val="21"/>
                <w:szCs w:val="21"/>
                <w:b/>
                <w:bCs/>
                <w:spacing w:val="-5"/>
              </w:rPr>
              <w:t>用途</w:t>
            </w:r>
          </w:p>
        </w:tc>
        <w:tc>
          <w:tcPr>
            <w:shd w:val="clear" w:fill="BDBDBD"/>
            <w:tcW w:w="1104" w:type="dxa"/>
            <w:vAlign w:val="top"/>
          </w:tcPr>
          <w:p>
            <w:pPr>
              <w:pStyle w:val="TableText"/>
              <w:ind w:left="342"/>
              <w:spacing w:before="161" w:line="221" w:lineRule="auto"/>
              <w:rPr>
                <w:sz w:val="21"/>
                <w:szCs w:val="21"/>
              </w:rPr>
            </w:pPr>
            <w:r>
              <w:rPr>
                <w:sz w:val="21"/>
                <w:szCs w:val="21"/>
                <w:b/>
                <w:bCs/>
                <w:spacing w:val="-5"/>
              </w:rPr>
              <w:t>备注</w:t>
            </w:r>
          </w:p>
        </w:tc>
      </w:tr>
      <w:tr>
        <w:trPr>
          <w:trHeight w:val="279" w:hRule="atLeast"/>
        </w:trPr>
        <w:tc>
          <w:tcPr>
            <w:tcW w:w="415" w:type="dxa"/>
            <w:vAlign w:val="top"/>
          </w:tcPr>
          <w:p>
            <w:pPr>
              <w:pStyle w:val="TableText"/>
              <w:ind w:left="35"/>
              <w:spacing w:before="60" w:line="183" w:lineRule="auto"/>
              <w:rPr>
                <w:sz w:val="21"/>
                <w:szCs w:val="21"/>
              </w:rPr>
            </w:pPr>
            <w:r>
              <w:rPr>
                <w:sz w:val="21"/>
                <w:szCs w:val="21"/>
                <w:spacing w:val="-6"/>
              </w:rPr>
              <w:t>133</w:t>
            </w:r>
          </w:p>
        </w:tc>
        <w:tc>
          <w:tcPr>
            <w:tcW w:w="3147" w:type="dxa"/>
            <w:vAlign w:val="top"/>
          </w:tcPr>
          <w:p>
            <w:pPr>
              <w:pStyle w:val="TableText"/>
              <w:ind w:left="1250"/>
              <w:spacing w:before="40" w:line="201" w:lineRule="auto"/>
              <w:rPr>
                <w:sz w:val="21"/>
                <w:szCs w:val="21"/>
              </w:rPr>
            </w:pPr>
            <w:r>
              <w:rPr>
                <w:sz w:val="21"/>
                <w:szCs w:val="21"/>
                <w:spacing w:val="3"/>
              </w:rPr>
              <w:t>电控柜</w:t>
            </w:r>
          </w:p>
        </w:tc>
        <w:tc>
          <w:tcPr>
            <w:tcW w:w="480" w:type="dxa"/>
            <w:vAlign w:val="top"/>
          </w:tcPr>
          <w:p>
            <w:pPr>
              <w:pStyle w:val="TableText"/>
              <w:ind w:left="122"/>
              <w:spacing w:before="41" w:line="200" w:lineRule="auto"/>
              <w:rPr>
                <w:sz w:val="21"/>
                <w:szCs w:val="21"/>
              </w:rPr>
            </w:pPr>
            <w:r>
              <w:rPr>
                <w:sz w:val="21"/>
                <w:szCs w:val="21"/>
              </w:rPr>
              <w:t>台</w:t>
            </w:r>
          </w:p>
        </w:tc>
        <w:tc>
          <w:tcPr>
            <w:tcW w:w="1749" w:type="dxa"/>
            <w:vAlign w:val="top"/>
          </w:tcPr>
          <w:p>
            <w:pPr>
              <w:pStyle w:val="TableText"/>
              <w:ind w:left="813"/>
              <w:spacing w:before="60" w:line="183" w:lineRule="auto"/>
              <w:rPr>
                <w:sz w:val="21"/>
                <w:szCs w:val="21"/>
              </w:rPr>
            </w:pPr>
            <w:r>
              <w:rPr>
                <w:sz w:val="21"/>
                <w:szCs w:val="21"/>
              </w:rPr>
              <w:t>0</w:t>
            </w:r>
          </w:p>
        </w:tc>
        <w:tc>
          <w:tcPr>
            <w:tcW w:w="2568" w:type="dxa"/>
            <w:vAlign w:val="top"/>
          </w:tcPr>
          <w:p>
            <w:pPr>
              <w:pStyle w:val="TableText"/>
              <w:ind w:left="1224"/>
              <w:spacing w:before="60" w:line="183" w:lineRule="auto"/>
              <w:rPr>
                <w:sz w:val="21"/>
                <w:szCs w:val="21"/>
              </w:rPr>
            </w:pPr>
            <w:r>
              <w:rPr>
                <w:sz w:val="21"/>
                <w:szCs w:val="21"/>
              </w:rPr>
              <w:t>6</w:t>
            </w:r>
          </w:p>
        </w:tc>
        <w:tc>
          <w:tcPr>
            <w:tcW w:w="2188" w:type="dxa"/>
            <w:vAlign w:val="top"/>
          </w:tcPr>
          <w:p>
            <w:pPr>
              <w:pStyle w:val="TableText"/>
              <w:ind w:left="986"/>
              <w:spacing w:before="60" w:line="183" w:lineRule="auto"/>
              <w:rPr>
                <w:sz w:val="21"/>
                <w:szCs w:val="21"/>
              </w:rPr>
            </w:pPr>
            <w:r>
              <w:rPr>
                <w:sz w:val="21"/>
                <w:szCs w:val="21"/>
                <w:spacing w:val="-3"/>
              </w:rPr>
              <w:t>+6</w:t>
            </w:r>
          </w:p>
        </w:tc>
        <w:tc>
          <w:tcPr>
            <w:tcW w:w="2498" w:type="dxa"/>
            <w:vAlign w:val="top"/>
            <w:vMerge w:val="restart"/>
            <w:tcBorders>
              <w:bottom w:val="nil"/>
            </w:tcBorders>
          </w:tcPr>
          <w:p>
            <w:pPr>
              <w:rPr>
                <w:rFonts w:ascii="Arial"/>
                <w:sz w:val="21"/>
              </w:rPr>
            </w:pPr>
            <w:r/>
          </w:p>
        </w:tc>
        <w:tc>
          <w:tcPr>
            <w:tcW w:w="1104" w:type="dxa"/>
            <w:vAlign w:val="top"/>
            <w:vMerge w:val="restart"/>
            <w:tcBorders>
              <w:bottom w:val="nil"/>
            </w:tcBorders>
          </w:tcPr>
          <w:p>
            <w:pPr>
              <w:rPr>
                <w:rFonts w:ascii="Arial"/>
                <w:sz w:val="21"/>
              </w:rPr>
            </w:pPr>
            <w:r/>
          </w:p>
        </w:tc>
      </w:tr>
      <w:tr>
        <w:trPr>
          <w:trHeight w:val="269" w:hRule="atLeast"/>
        </w:trPr>
        <w:tc>
          <w:tcPr>
            <w:tcW w:w="415" w:type="dxa"/>
            <w:vAlign w:val="top"/>
          </w:tcPr>
          <w:p>
            <w:pPr>
              <w:pStyle w:val="TableText"/>
              <w:ind w:left="35"/>
              <w:spacing w:before="51" w:line="182" w:lineRule="auto"/>
              <w:rPr>
                <w:sz w:val="21"/>
                <w:szCs w:val="21"/>
              </w:rPr>
            </w:pPr>
            <w:r>
              <w:rPr>
                <w:sz w:val="21"/>
                <w:szCs w:val="21"/>
                <w:color w:val="605070"/>
                <w:spacing w:val="-6"/>
              </w:rPr>
              <w:t>134</w:t>
            </w:r>
          </w:p>
        </w:tc>
        <w:tc>
          <w:tcPr>
            <w:tcW w:w="3147" w:type="dxa"/>
            <w:vAlign w:val="top"/>
          </w:tcPr>
          <w:p>
            <w:pPr>
              <w:pStyle w:val="TableText"/>
              <w:ind w:left="1040"/>
              <w:spacing w:before="30" w:line="201" w:lineRule="auto"/>
              <w:rPr>
                <w:sz w:val="21"/>
                <w:szCs w:val="21"/>
              </w:rPr>
            </w:pPr>
            <w:r>
              <w:rPr>
                <w:sz w:val="21"/>
                <w:szCs w:val="21"/>
                <w:spacing w:val="1"/>
              </w:rPr>
              <w:t>刀具消毒器</w:t>
            </w:r>
          </w:p>
        </w:tc>
        <w:tc>
          <w:tcPr>
            <w:tcW w:w="480" w:type="dxa"/>
            <w:vAlign w:val="top"/>
          </w:tcPr>
          <w:p>
            <w:pPr>
              <w:pStyle w:val="TableText"/>
              <w:ind w:left="122"/>
              <w:spacing w:before="32" w:line="199" w:lineRule="auto"/>
              <w:rPr>
                <w:sz w:val="21"/>
                <w:szCs w:val="21"/>
              </w:rPr>
            </w:pPr>
            <w:r>
              <w:rPr>
                <w:sz w:val="21"/>
                <w:szCs w:val="21"/>
              </w:rPr>
              <w:t>台</w:t>
            </w:r>
          </w:p>
        </w:tc>
        <w:tc>
          <w:tcPr>
            <w:tcW w:w="1749" w:type="dxa"/>
            <w:vAlign w:val="top"/>
          </w:tcPr>
          <w:p>
            <w:pPr>
              <w:pStyle w:val="TableText"/>
              <w:ind w:left="813"/>
              <w:spacing w:before="51" w:line="182" w:lineRule="auto"/>
              <w:rPr>
                <w:sz w:val="21"/>
                <w:szCs w:val="21"/>
              </w:rPr>
            </w:pPr>
            <w:r>
              <w:rPr>
                <w:sz w:val="21"/>
                <w:szCs w:val="21"/>
              </w:rPr>
              <w:t>0</w:t>
            </w:r>
          </w:p>
        </w:tc>
        <w:tc>
          <w:tcPr>
            <w:tcW w:w="2568" w:type="dxa"/>
            <w:vAlign w:val="top"/>
            <w:textDirection w:val="tbRlV"/>
          </w:tcPr>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spacing w:before="70" w:line="144" w:lineRule="exact"/>
              <w:rPr>
                <w:sz w:val="21"/>
                <w:szCs w:val="21"/>
              </w:rPr>
            </w:pPr>
            <w:r>
              <w:rPr>
                <w:sz w:val="21"/>
                <w:szCs w:val="21"/>
                <w:spacing w:val="36"/>
                <w:w w:val="125"/>
                <w:position w:val="-3"/>
              </w:rPr>
              <w:t>3</w:t>
            </w:r>
          </w:p>
        </w:tc>
        <w:tc>
          <w:tcPr>
            <w:tcW w:w="2188" w:type="dxa"/>
            <w:vAlign w:val="top"/>
          </w:tcPr>
          <w:p>
            <w:pPr>
              <w:pStyle w:val="TableText"/>
              <w:ind w:left="986"/>
              <w:spacing w:before="51" w:line="182" w:lineRule="auto"/>
              <w:rPr>
                <w:sz w:val="21"/>
                <w:szCs w:val="21"/>
              </w:rPr>
            </w:pPr>
            <w:r>
              <w:rPr>
                <w:sz w:val="21"/>
                <w:szCs w:val="21"/>
                <w:spacing w:val="-3"/>
              </w:rPr>
              <w:t>+3</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15" w:type="dxa"/>
            <w:vAlign w:val="top"/>
          </w:tcPr>
          <w:p>
            <w:pPr>
              <w:pStyle w:val="TableText"/>
              <w:ind w:left="35"/>
              <w:spacing w:before="63" w:line="181" w:lineRule="auto"/>
              <w:rPr>
                <w:sz w:val="21"/>
                <w:szCs w:val="21"/>
              </w:rPr>
            </w:pPr>
            <w:r>
              <w:rPr>
                <w:sz w:val="21"/>
                <w:szCs w:val="21"/>
                <w:color w:val="403050"/>
                <w:spacing w:val="-6"/>
              </w:rPr>
              <w:t>135</w:t>
            </w:r>
          </w:p>
        </w:tc>
        <w:tc>
          <w:tcPr>
            <w:tcW w:w="3147" w:type="dxa"/>
            <w:vAlign w:val="top"/>
          </w:tcPr>
          <w:p>
            <w:pPr>
              <w:pStyle w:val="TableText"/>
              <w:ind w:left="1040"/>
              <w:spacing w:before="40" w:line="201" w:lineRule="auto"/>
              <w:rPr>
                <w:sz w:val="21"/>
                <w:szCs w:val="21"/>
              </w:rPr>
            </w:pPr>
            <w:r>
              <w:rPr>
                <w:sz w:val="21"/>
                <w:szCs w:val="21"/>
                <w:spacing w:val="-2"/>
              </w:rPr>
              <w:t>病牛下降机</w:t>
            </w:r>
          </w:p>
        </w:tc>
        <w:tc>
          <w:tcPr>
            <w:tcW w:w="480" w:type="dxa"/>
            <w:vAlign w:val="top"/>
          </w:tcPr>
          <w:p>
            <w:pPr>
              <w:pStyle w:val="TableText"/>
              <w:ind w:left="122"/>
              <w:spacing w:before="43" w:line="198" w:lineRule="auto"/>
              <w:rPr>
                <w:sz w:val="21"/>
                <w:szCs w:val="21"/>
              </w:rPr>
            </w:pPr>
            <w:r>
              <w:rPr>
                <w:sz w:val="21"/>
                <w:szCs w:val="21"/>
              </w:rPr>
              <w:t>台</w:t>
            </w:r>
          </w:p>
        </w:tc>
        <w:tc>
          <w:tcPr>
            <w:tcW w:w="1749" w:type="dxa"/>
            <w:vAlign w:val="top"/>
          </w:tcPr>
          <w:p>
            <w:pPr>
              <w:pStyle w:val="TableText"/>
              <w:ind w:left="813"/>
              <w:spacing w:before="63" w:line="181" w:lineRule="auto"/>
              <w:rPr>
                <w:sz w:val="21"/>
                <w:szCs w:val="21"/>
              </w:rPr>
            </w:pPr>
            <w:r>
              <w:rPr>
                <w:sz w:val="21"/>
                <w:szCs w:val="21"/>
              </w:rPr>
              <w:t>0</w:t>
            </w:r>
          </w:p>
        </w:tc>
        <w:tc>
          <w:tcPr>
            <w:tcW w:w="2568" w:type="dxa"/>
            <w:vAlign w:val="top"/>
            <w:textDirection w:val="tbRlV"/>
          </w:tcPr>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5050"/>
                <w:spacing w:val="46"/>
                <w:w w:val="125"/>
                <w:position w:val="-3"/>
              </w:rPr>
              <w:t>1</w:t>
            </w:r>
          </w:p>
        </w:tc>
        <w:tc>
          <w:tcPr>
            <w:tcW w:w="2188" w:type="dxa"/>
            <w:vAlign w:val="top"/>
          </w:tcPr>
          <w:p>
            <w:pPr>
              <w:pStyle w:val="TableText"/>
              <w:ind w:left="986"/>
              <w:spacing w:before="63" w:line="181" w:lineRule="auto"/>
              <w:rPr>
                <w:sz w:val="21"/>
                <w:szCs w:val="21"/>
              </w:rPr>
            </w:pPr>
            <w:r>
              <w:rPr>
                <w:sz w:val="21"/>
                <w:szCs w:val="21"/>
                <w:spacing w:val="-3"/>
              </w:rPr>
              <w:t>+1</w:t>
            </w:r>
          </w:p>
        </w:tc>
        <w:tc>
          <w:tcPr>
            <w:tcW w:w="2498" w:type="dxa"/>
            <w:vAlign w:val="top"/>
            <w:vMerge w:val="continue"/>
            <w:tcBorders>
              <w:top w:val="nil"/>
              <w:bottom w:val="nil"/>
            </w:tcBorders>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0" w:hRule="atLeast"/>
        </w:trPr>
        <w:tc>
          <w:tcPr>
            <w:tcW w:w="415" w:type="dxa"/>
            <w:vAlign w:val="top"/>
          </w:tcPr>
          <w:p>
            <w:pPr>
              <w:pStyle w:val="TableText"/>
              <w:ind w:left="35"/>
              <w:spacing w:before="54" w:line="181" w:lineRule="auto"/>
              <w:rPr>
                <w:sz w:val="21"/>
                <w:szCs w:val="21"/>
              </w:rPr>
            </w:pPr>
            <w:r>
              <w:rPr>
                <w:sz w:val="21"/>
                <w:szCs w:val="21"/>
                <w:spacing w:val="-6"/>
              </w:rPr>
              <w:t>136</w:t>
            </w:r>
          </w:p>
        </w:tc>
        <w:tc>
          <w:tcPr>
            <w:tcW w:w="3147" w:type="dxa"/>
            <w:vAlign w:val="top"/>
          </w:tcPr>
          <w:p>
            <w:pPr>
              <w:pStyle w:val="TableText"/>
              <w:ind w:left="1140"/>
              <w:spacing w:before="32" w:line="200" w:lineRule="auto"/>
              <w:rPr>
                <w:sz w:val="21"/>
                <w:szCs w:val="21"/>
              </w:rPr>
            </w:pPr>
            <w:r>
              <w:rPr>
                <w:sz w:val="21"/>
                <w:szCs w:val="21"/>
                <w:spacing w:val="2"/>
              </w:rPr>
              <w:t>管轨挂车</w:t>
            </w:r>
          </w:p>
        </w:tc>
        <w:tc>
          <w:tcPr>
            <w:tcW w:w="480" w:type="dxa"/>
            <w:vAlign w:val="top"/>
          </w:tcPr>
          <w:p>
            <w:pPr>
              <w:pStyle w:val="TableText"/>
              <w:ind w:left="122"/>
              <w:spacing w:before="32" w:line="200" w:lineRule="auto"/>
              <w:rPr>
                <w:sz w:val="21"/>
                <w:szCs w:val="21"/>
              </w:rPr>
            </w:pPr>
            <w:r>
              <w:rPr>
                <w:sz w:val="21"/>
                <w:szCs w:val="21"/>
              </w:rPr>
              <w:t>辆</w:t>
            </w:r>
          </w:p>
        </w:tc>
        <w:tc>
          <w:tcPr>
            <w:tcW w:w="1749" w:type="dxa"/>
            <w:vAlign w:val="top"/>
          </w:tcPr>
          <w:p>
            <w:pPr>
              <w:pStyle w:val="TableText"/>
              <w:ind w:left="813"/>
              <w:spacing w:before="54" w:line="181" w:lineRule="auto"/>
              <w:rPr>
                <w:sz w:val="21"/>
                <w:szCs w:val="21"/>
              </w:rPr>
            </w:pPr>
            <w:r>
              <w:rPr>
                <w:sz w:val="21"/>
                <w:szCs w:val="21"/>
              </w:rPr>
              <w:t>0</w:t>
            </w:r>
          </w:p>
        </w:tc>
        <w:tc>
          <w:tcPr>
            <w:tcW w:w="2568" w:type="dxa"/>
            <w:vAlign w:val="top"/>
            <w:textDirection w:val="tbRlV"/>
          </w:tcPr>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spacing w:before="70" w:line="147" w:lineRule="exact"/>
              <w:rPr>
                <w:sz w:val="21"/>
                <w:szCs w:val="21"/>
              </w:rPr>
            </w:pPr>
            <w:r>
              <w:rPr>
                <w:sz w:val="21"/>
                <w:szCs w:val="21"/>
                <w:spacing w:val="36"/>
                <w:w w:val="125"/>
                <w:position w:val="-3"/>
              </w:rPr>
              <w:t>2</w:t>
            </w:r>
          </w:p>
        </w:tc>
        <w:tc>
          <w:tcPr>
            <w:tcW w:w="2188" w:type="dxa"/>
            <w:vAlign w:val="top"/>
          </w:tcPr>
          <w:p>
            <w:pPr>
              <w:pStyle w:val="TableText"/>
              <w:ind w:left="986"/>
              <w:spacing w:before="54" w:line="181" w:lineRule="auto"/>
              <w:rPr>
                <w:sz w:val="21"/>
                <w:szCs w:val="21"/>
              </w:rPr>
            </w:pPr>
            <w:r>
              <w:rPr>
                <w:sz w:val="21"/>
                <w:szCs w:val="21"/>
                <w:spacing w:val="-3"/>
              </w:rPr>
              <w:t>+2</w:t>
            </w:r>
          </w:p>
        </w:tc>
        <w:tc>
          <w:tcPr>
            <w:tcW w:w="2498" w:type="dxa"/>
            <w:vAlign w:val="top"/>
            <w:vMerge w:val="continue"/>
            <w:tcBorders>
              <w:top w:val="nil"/>
            </w:tcBorders>
          </w:tcPr>
          <w:p>
            <w:pPr>
              <w:rPr>
                <w:rFonts w:ascii="Arial"/>
                <w:sz w:val="21"/>
              </w:rPr>
            </w:pPr>
            <w:r/>
          </w:p>
        </w:tc>
        <w:tc>
          <w:tcPr>
            <w:tcW w:w="1104" w:type="dxa"/>
            <w:vAlign w:val="top"/>
            <w:vMerge w:val="continue"/>
            <w:tcBorders>
              <w:top w:val="nil"/>
            </w:tcBorders>
          </w:tcPr>
          <w:p>
            <w:pPr>
              <w:rPr>
                <w:rFonts w:ascii="Arial"/>
                <w:sz w:val="21"/>
              </w:rPr>
            </w:pPr>
            <w:r/>
          </w:p>
        </w:tc>
      </w:tr>
      <w:tr>
        <w:trPr>
          <w:trHeight w:val="270" w:hRule="atLeast"/>
        </w:trPr>
        <w:tc>
          <w:tcPr>
            <w:tcW w:w="14149" w:type="dxa"/>
            <w:vAlign w:val="top"/>
            <w:gridSpan w:val="8"/>
          </w:tcPr>
          <w:p>
            <w:pPr>
              <w:pStyle w:val="TableText"/>
              <w:ind w:left="6648"/>
              <w:spacing w:before="30" w:line="202" w:lineRule="auto"/>
              <w:rPr>
                <w:sz w:val="21"/>
                <w:szCs w:val="21"/>
              </w:rPr>
            </w:pPr>
            <w:r>
              <w:rPr>
                <w:sz w:val="21"/>
                <w:szCs w:val="21"/>
                <w:b/>
                <w:bCs/>
                <w:spacing w:val="-4"/>
              </w:rPr>
              <w:t>环保设施</w:t>
            </w:r>
          </w:p>
        </w:tc>
      </w:tr>
      <w:tr>
        <w:trPr>
          <w:trHeight w:val="269" w:hRule="atLeast"/>
        </w:trPr>
        <w:tc>
          <w:tcPr>
            <w:tcW w:w="415" w:type="dxa"/>
            <w:vAlign w:val="top"/>
          </w:tcPr>
          <w:p>
            <w:pPr>
              <w:pStyle w:val="TableText"/>
              <w:ind w:left="35"/>
              <w:spacing w:before="53" w:line="181" w:lineRule="auto"/>
              <w:rPr>
                <w:sz w:val="21"/>
                <w:szCs w:val="21"/>
              </w:rPr>
            </w:pPr>
            <w:r>
              <w:rPr>
                <w:sz w:val="21"/>
                <w:szCs w:val="21"/>
                <w:spacing w:val="-6"/>
              </w:rPr>
              <w:t>137</w:t>
            </w:r>
          </w:p>
        </w:tc>
        <w:tc>
          <w:tcPr>
            <w:tcW w:w="3147" w:type="dxa"/>
            <w:vAlign w:val="top"/>
          </w:tcPr>
          <w:p>
            <w:pPr>
              <w:pStyle w:val="TableText"/>
              <w:ind w:left="1040"/>
              <w:spacing w:before="33" w:line="198" w:lineRule="auto"/>
              <w:rPr>
                <w:sz w:val="21"/>
                <w:szCs w:val="21"/>
              </w:rPr>
            </w:pPr>
            <w:r>
              <w:rPr>
                <w:sz w:val="21"/>
                <w:szCs w:val="21"/>
                <w:spacing w:val="-2"/>
              </w:rPr>
              <w:t>蒸汽发生器</w:t>
            </w:r>
          </w:p>
        </w:tc>
        <w:tc>
          <w:tcPr>
            <w:tcW w:w="480" w:type="dxa"/>
            <w:vAlign w:val="top"/>
          </w:tcPr>
          <w:p>
            <w:pPr>
              <w:pStyle w:val="TableText"/>
              <w:ind w:left="122"/>
              <w:spacing w:before="34" w:line="197" w:lineRule="auto"/>
              <w:rPr>
                <w:sz w:val="21"/>
                <w:szCs w:val="21"/>
              </w:rPr>
            </w:pPr>
            <w:r>
              <w:rPr>
                <w:sz w:val="21"/>
                <w:szCs w:val="21"/>
              </w:rPr>
              <w:t>台</w:t>
            </w:r>
          </w:p>
        </w:tc>
        <w:tc>
          <w:tcPr>
            <w:tcW w:w="1749" w:type="dxa"/>
            <w:vAlign w:val="top"/>
          </w:tcPr>
          <w:p>
            <w:pPr>
              <w:pStyle w:val="TableText"/>
              <w:ind w:left="813"/>
              <w:spacing w:before="53" w:line="181" w:lineRule="auto"/>
              <w:rPr>
                <w:sz w:val="21"/>
                <w:szCs w:val="21"/>
              </w:rPr>
            </w:pPr>
            <w:r>
              <w:rPr>
                <w:sz w:val="21"/>
                <w:szCs w:val="21"/>
              </w:rPr>
              <w:t>0</w:t>
            </w:r>
          </w:p>
        </w:tc>
        <w:tc>
          <w:tcPr>
            <w:tcW w:w="2568" w:type="dxa"/>
            <w:vAlign w:val="top"/>
            <w:textDirection w:val="tbRlV"/>
          </w:tcPr>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404040"/>
                <w:spacing w:val="37"/>
                <w:w w:val="125"/>
                <w:position w:val="-3"/>
              </w:rPr>
              <w:t>1</w:t>
            </w:r>
          </w:p>
        </w:tc>
        <w:tc>
          <w:tcPr>
            <w:tcW w:w="2188" w:type="dxa"/>
            <w:vAlign w:val="top"/>
          </w:tcPr>
          <w:p>
            <w:pPr>
              <w:pStyle w:val="TableText"/>
              <w:ind w:left="986"/>
              <w:spacing w:before="53" w:line="181" w:lineRule="auto"/>
              <w:rPr>
                <w:sz w:val="21"/>
                <w:szCs w:val="21"/>
              </w:rPr>
            </w:pPr>
            <w:r>
              <w:rPr>
                <w:sz w:val="21"/>
                <w:szCs w:val="21"/>
                <w:spacing w:val="-3"/>
              </w:rPr>
              <w:t>+1</w:t>
            </w:r>
          </w:p>
        </w:tc>
        <w:tc>
          <w:tcPr>
            <w:tcW w:w="2498" w:type="dxa"/>
            <w:vAlign w:val="top"/>
          </w:tcPr>
          <w:p>
            <w:pPr>
              <w:pStyle w:val="TableText"/>
              <w:ind w:left="927"/>
              <w:spacing w:before="38" w:line="194" w:lineRule="auto"/>
              <w:rPr>
                <w:sz w:val="21"/>
                <w:szCs w:val="21"/>
              </w:rPr>
            </w:pPr>
            <w:r>
              <w:rPr>
                <w:sz w:val="21"/>
                <w:szCs w:val="21"/>
                <w:color w:val="504050"/>
                <w:spacing w:val="-4"/>
              </w:rPr>
              <w:t>1.5t/h</w:t>
            </w:r>
          </w:p>
        </w:tc>
        <w:tc>
          <w:tcPr>
            <w:tcW w:w="1104" w:type="dxa"/>
            <w:vAlign w:val="top"/>
            <w:vMerge w:val="restart"/>
            <w:tcBorders>
              <w:bottom w:val="nil"/>
            </w:tcBorders>
          </w:tcPr>
          <w:p>
            <w:pPr>
              <w:spacing w:line="316" w:lineRule="auto"/>
              <w:rPr>
                <w:rFonts w:ascii="Arial"/>
                <w:sz w:val="21"/>
              </w:rPr>
            </w:pPr>
            <w:r/>
          </w:p>
          <w:p>
            <w:pPr>
              <w:spacing w:line="316" w:lineRule="auto"/>
              <w:rPr>
                <w:rFonts w:ascii="Arial"/>
                <w:sz w:val="21"/>
              </w:rPr>
            </w:pPr>
            <w:r/>
          </w:p>
          <w:p>
            <w:pPr>
              <w:spacing w:line="317" w:lineRule="auto"/>
              <w:rPr>
                <w:rFonts w:ascii="Arial"/>
                <w:sz w:val="21"/>
              </w:rPr>
            </w:pPr>
            <w:r/>
          </w:p>
          <w:p>
            <w:pPr>
              <w:pStyle w:val="TableText"/>
              <w:ind w:left="129"/>
              <w:spacing w:before="68" w:line="220" w:lineRule="auto"/>
              <w:rPr>
                <w:sz w:val="21"/>
                <w:szCs w:val="21"/>
              </w:rPr>
            </w:pPr>
            <w:r>
              <w:rPr>
                <w:sz w:val="21"/>
                <w:szCs w:val="21"/>
                <w:spacing w:val="-2"/>
              </w:rPr>
              <w:t>新购设备</w:t>
            </w:r>
          </w:p>
        </w:tc>
      </w:tr>
      <w:tr>
        <w:trPr>
          <w:trHeight w:val="279" w:hRule="atLeast"/>
        </w:trPr>
        <w:tc>
          <w:tcPr>
            <w:tcW w:w="415" w:type="dxa"/>
            <w:vAlign w:val="top"/>
          </w:tcPr>
          <w:p>
            <w:pPr>
              <w:pStyle w:val="TableText"/>
              <w:ind w:left="35"/>
              <w:spacing w:before="64" w:line="180" w:lineRule="auto"/>
              <w:rPr>
                <w:sz w:val="21"/>
                <w:szCs w:val="21"/>
              </w:rPr>
            </w:pPr>
            <w:r>
              <w:rPr>
                <w:sz w:val="21"/>
                <w:szCs w:val="21"/>
                <w:spacing w:val="-6"/>
              </w:rPr>
              <w:t>138</w:t>
            </w:r>
          </w:p>
        </w:tc>
        <w:tc>
          <w:tcPr>
            <w:tcW w:w="3147" w:type="dxa"/>
            <w:vAlign w:val="top"/>
          </w:tcPr>
          <w:p>
            <w:pPr>
              <w:pStyle w:val="TableText"/>
              <w:ind w:left="720"/>
              <w:spacing w:before="43" w:line="198" w:lineRule="auto"/>
              <w:rPr>
                <w:sz w:val="21"/>
                <w:szCs w:val="21"/>
              </w:rPr>
            </w:pPr>
            <w:r>
              <w:rPr>
                <w:sz w:val="21"/>
                <w:szCs w:val="21"/>
                <w:spacing w:val="-2"/>
              </w:rPr>
              <w:t>污水处理系统设施</w:t>
            </w:r>
          </w:p>
        </w:tc>
        <w:tc>
          <w:tcPr>
            <w:tcW w:w="480" w:type="dxa"/>
            <w:vAlign w:val="top"/>
          </w:tcPr>
          <w:p>
            <w:pPr>
              <w:pStyle w:val="TableText"/>
              <w:ind w:left="122"/>
              <w:spacing w:before="43" w:line="198" w:lineRule="auto"/>
              <w:rPr>
                <w:sz w:val="21"/>
                <w:szCs w:val="21"/>
              </w:rPr>
            </w:pPr>
            <w:r>
              <w:rPr>
                <w:sz w:val="21"/>
                <w:szCs w:val="21"/>
              </w:rPr>
              <w:t>套</w:t>
            </w:r>
          </w:p>
        </w:tc>
        <w:tc>
          <w:tcPr>
            <w:tcW w:w="1749" w:type="dxa"/>
            <w:vAlign w:val="top"/>
          </w:tcPr>
          <w:p>
            <w:pPr>
              <w:pStyle w:val="TableText"/>
              <w:ind w:left="813"/>
              <w:spacing w:before="64" w:line="180" w:lineRule="auto"/>
              <w:rPr>
                <w:sz w:val="21"/>
                <w:szCs w:val="21"/>
              </w:rPr>
            </w:pPr>
            <w:r>
              <w:rPr>
                <w:sz w:val="21"/>
                <w:szCs w:val="21"/>
              </w:rPr>
              <w:t>0</w:t>
            </w:r>
          </w:p>
        </w:tc>
        <w:tc>
          <w:tcPr>
            <w:tcW w:w="2568" w:type="dxa"/>
            <w:vAlign w:val="top"/>
          </w:tcPr>
          <w:p>
            <w:pPr>
              <w:pStyle w:val="TableText"/>
              <w:ind w:left="1224"/>
              <w:spacing w:before="64" w:line="180" w:lineRule="auto"/>
              <w:rPr>
                <w:sz w:val="21"/>
                <w:szCs w:val="21"/>
              </w:rPr>
            </w:pPr>
            <w:r>
              <w:rPr>
                <w:sz w:val="21"/>
                <w:szCs w:val="21"/>
                <w:color w:val="505040"/>
              </w:rPr>
              <w:t>1</w:t>
            </w:r>
          </w:p>
        </w:tc>
        <w:tc>
          <w:tcPr>
            <w:tcW w:w="2188" w:type="dxa"/>
            <w:vAlign w:val="top"/>
          </w:tcPr>
          <w:p>
            <w:pPr>
              <w:pStyle w:val="TableText"/>
              <w:ind w:left="986"/>
              <w:spacing w:before="64" w:line="180" w:lineRule="auto"/>
              <w:rPr>
                <w:sz w:val="21"/>
                <w:szCs w:val="21"/>
              </w:rPr>
            </w:pPr>
            <w:r>
              <w:rPr>
                <w:sz w:val="21"/>
                <w:szCs w:val="21"/>
                <w:spacing w:val="-3"/>
              </w:rPr>
              <w:t>+1</w:t>
            </w:r>
          </w:p>
        </w:tc>
        <w:tc>
          <w:tcPr>
            <w:tcW w:w="2498" w:type="dxa"/>
            <w:vAlign w:val="top"/>
          </w:tcPr>
          <w:p>
            <w:pPr>
              <w:pStyle w:val="TableText"/>
              <w:ind w:left="138"/>
              <w:spacing w:before="43" w:line="198" w:lineRule="auto"/>
              <w:rPr>
                <w:sz w:val="21"/>
                <w:szCs w:val="21"/>
              </w:rPr>
            </w:pPr>
            <w:r>
              <w:rPr>
                <w:sz w:val="21"/>
                <w:szCs w:val="21"/>
                <w:spacing w:val="10"/>
              </w:rPr>
              <w:t>处理能力为(1100m³/d)</w:t>
            </w:r>
          </w:p>
        </w:tc>
        <w:tc>
          <w:tcPr>
            <w:tcW w:w="1104" w:type="dxa"/>
            <w:vAlign w:val="top"/>
            <w:vMerge w:val="continue"/>
            <w:tcBorders>
              <w:top w:val="nil"/>
              <w:bottom w:val="nil"/>
            </w:tcBorders>
          </w:tcPr>
          <w:p>
            <w:pPr>
              <w:rPr>
                <w:rFonts w:ascii="Arial"/>
                <w:sz w:val="21"/>
              </w:rPr>
            </w:pPr>
            <w:r/>
          </w:p>
        </w:tc>
      </w:tr>
      <w:tr>
        <w:trPr>
          <w:trHeight w:val="269" w:hRule="atLeast"/>
        </w:trPr>
        <w:tc>
          <w:tcPr>
            <w:tcW w:w="415" w:type="dxa"/>
            <w:vAlign w:val="top"/>
          </w:tcPr>
          <w:p>
            <w:pPr>
              <w:pStyle w:val="TableText"/>
              <w:ind w:left="35"/>
              <w:spacing w:before="55" w:line="179" w:lineRule="auto"/>
              <w:rPr>
                <w:sz w:val="21"/>
                <w:szCs w:val="21"/>
              </w:rPr>
            </w:pPr>
            <w:r>
              <w:rPr>
                <w:sz w:val="21"/>
                <w:szCs w:val="21"/>
                <w:spacing w:val="-6"/>
              </w:rPr>
              <w:t>139</w:t>
            </w:r>
          </w:p>
        </w:tc>
        <w:tc>
          <w:tcPr>
            <w:tcW w:w="3147" w:type="dxa"/>
            <w:vAlign w:val="top"/>
          </w:tcPr>
          <w:p>
            <w:pPr>
              <w:pStyle w:val="TableText"/>
              <w:ind w:left="930"/>
              <w:spacing w:before="34" w:line="197" w:lineRule="auto"/>
              <w:rPr>
                <w:sz w:val="21"/>
                <w:szCs w:val="21"/>
              </w:rPr>
            </w:pPr>
            <w:r>
              <w:rPr>
                <w:sz w:val="21"/>
                <w:szCs w:val="21"/>
                <w:spacing w:val="-2"/>
              </w:rPr>
              <w:t>汽车洗消设备</w:t>
            </w:r>
          </w:p>
        </w:tc>
        <w:tc>
          <w:tcPr>
            <w:tcW w:w="480" w:type="dxa"/>
            <w:vAlign w:val="top"/>
          </w:tcPr>
          <w:p>
            <w:pPr>
              <w:pStyle w:val="TableText"/>
              <w:ind w:left="122"/>
              <w:spacing w:before="34" w:line="197" w:lineRule="auto"/>
              <w:rPr>
                <w:sz w:val="21"/>
                <w:szCs w:val="21"/>
              </w:rPr>
            </w:pPr>
            <w:r>
              <w:rPr>
                <w:sz w:val="21"/>
                <w:szCs w:val="21"/>
                <w:color w:val="504040"/>
              </w:rPr>
              <w:t>套</w:t>
            </w:r>
          </w:p>
        </w:tc>
        <w:tc>
          <w:tcPr>
            <w:tcW w:w="1749" w:type="dxa"/>
            <w:vAlign w:val="top"/>
          </w:tcPr>
          <w:p>
            <w:pPr>
              <w:pStyle w:val="TableText"/>
              <w:ind w:left="813"/>
              <w:spacing w:before="55" w:line="179" w:lineRule="auto"/>
              <w:rPr>
                <w:sz w:val="21"/>
                <w:szCs w:val="21"/>
              </w:rPr>
            </w:pPr>
            <w:r>
              <w:rPr>
                <w:sz w:val="21"/>
                <w:szCs w:val="21"/>
              </w:rPr>
              <w:t>0</w:t>
            </w:r>
          </w:p>
        </w:tc>
        <w:tc>
          <w:tcPr>
            <w:tcW w:w="2568" w:type="dxa"/>
            <w:vAlign w:val="top"/>
            <w:textDirection w:val="tbRlV"/>
          </w:tcPr>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spacing w:val="39"/>
                <w:w w:val="125"/>
                <w:position w:val="-3"/>
              </w:rPr>
              <w:t>1</w:t>
            </w:r>
          </w:p>
        </w:tc>
        <w:tc>
          <w:tcPr>
            <w:tcW w:w="2188" w:type="dxa"/>
            <w:vAlign w:val="top"/>
          </w:tcPr>
          <w:p>
            <w:pPr>
              <w:pStyle w:val="TableText"/>
              <w:ind w:left="986"/>
              <w:spacing w:before="55" w:line="179" w:lineRule="auto"/>
              <w:rPr>
                <w:sz w:val="21"/>
                <w:szCs w:val="21"/>
              </w:rPr>
            </w:pPr>
            <w:r>
              <w:rPr>
                <w:sz w:val="21"/>
                <w:szCs w:val="21"/>
                <w:spacing w:val="-3"/>
              </w:rPr>
              <w:t>+1</w:t>
            </w:r>
          </w:p>
        </w:tc>
        <w:tc>
          <w:tcPr>
            <w:tcW w:w="2498" w:type="dxa"/>
            <w:vAlign w:val="top"/>
          </w:tcPr>
          <w:p>
            <w:pPr>
              <w:rPr>
                <w:rFonts w:ascii="Arial"/>
                <w:sz w:val="21"/>
              </w:rPr>
            </w:pPr>
            <w:r/>
          </w:p>
        </w:tc>
        <w:tc>
          <w:tcPr>
            <w:tcW w:w="1104" w:type="dxa"/>
            <w:vAlign w:val="top"/>
            <w:vMerge w:val="continue"/>
            <w:tcBorders>
              <w:top w:val="nil"/>
              <w:bottom w:val="nil"/>
            </w:tcBorders>
          </w:tcPr>
          <w:p>
            <w:pPr>
              <w:rPr>
                <w:rFonts w:ascii="Arial"/>
                <w:sz w:val="21"/>
              </w:rPr>
            </w:pPr>
            <w:r/>
          </w:p>
        </w:tc>
      </w:tr>
      <w:tr>
        <w:trPr>
          <w:trHeight w:val="279" w:hRule="atLeast"/>
        </w:trPr>
        <w:tc>
          <w:tcPr>
            <w:tcW w:w="415" w:type="dxa"/>
            <w:vAlign w:val="top"/>
          </w:tcPr>
          <w:p>
            <w:pPr>
              <w:pStyle w:val="TableText"/>
              <w:ind w:left="35"/>
              <w:spacing w:before="66" w:line="178" w:lineRule="auto"/>
              <w:rPr>
                <w:sz w:val="21"/>
                <w:szCs w:val="21"/>
              </w:rPr>
            </w:pPr>
            <w:r>
              <w:rPr>
                <w:sz w:val="21"/>
                <w:szCs w:val="21"/>
                <w:color w:val="404050"/>
                <w:spacing w:val="-6"/>
              </w:rPr>
              <w:t>140</w:t>
            </w:r>
          </w:p>
        </w:tc>
        <w:tc>
          <w:tcPr>
            <w:tcW w:w="3147" w:type="dxa"/>
            <w:vAlign w:val="top"/>
          </w:tcPr>
          <w:p>
            <w:pPr>
              <w:pStyle w:val="TableText"/>
              <w:spacing w:before="44" w:line="197" w:lineRule="auto"/>
              <w:jc w:val="right"/>
              <w:rPr>
                <w:sz w:val="21"/>
                <w:szCs w:val="21"/>
              </w:rPr>
            </w:pPr>
            <w:r>
              <w:rPr>
                <w:sz w:val="21"/>
                <w:szCs w:val="21"/>
                <w:spacing w:val="-2"/>
              </w:rPr>
              <w:t>屠宰车间、待宰圈舍恶臭处理设施</w:t>
            </w:r>
          </w:p>
        </w:tc>
        <w:tc>
          <w:tcPr>
            <w:tcW w:w="480" w:type="dxa"/>
            <w:vAlign w:val="top"/>
          </w:tcPr>
          <w:p>
            <w:pPr>
              <w:pStyle w:val="TableText"/>
              <w:ind w:left="122"/>
              <w:spacing w:before="46" w:line="196" w:lineRule="auto"/>
              <w:rPr>
                <w:sz w:val="21"/>
                <w:szCs w:val="21"/>
              </w:rPr>
            </w:pPr>
            <w:r>
              <w:rPr>
                <w:sz w:val="21"/>
                <w:szCs w:val="21"/>
              </w:rPr>
              <w:t>套</w:t>
            </w:r>
          </w:p>
        </w:tc>
        <w:tc>
          <w:tcPr>
            <w:tcW w:w="1749" w:type="dxa"/>
            <w:vAlign w:val="top"/>
          </w:tcPr>
          <w:p>
            <w:pPr>
              <w:pStyle w:val="TableText"/>
              <w:ind w:left="813"/>
              <w:spacing w:before="66" w:line="178" w:lineRule="auto"/>
              <w:rPr>
                <w:sz w:val="21"/>
                <w:szCs w:val="21"/>
              </w:rPr>
            </w:pPr>
            <w:r>
              <w:rPr>
                <w:sz w:val="21"/>
                <w:szCs w:val="21"/>
              </w:rPr>
              <w:t>0</w:t>
            </w:r>
          </w:p>
        </w:tc>
        <w:tc>
          <w:tcPr>
            <w:tcW w:w="2568" w:type="dxa"/>
            <w:vAlign w:val="top"/>
          </w:tcPr>
          <w:p>
            <w:pPr>
              <w:pStyle w:val="TableText"/>
              <w:ind w:left="1224"/>
              <w:spacing w:before="66" w:line="178" w:lineRule="auto"/>
              <w:rPr>
                <w:sz w:val="21"/>
                <w:szCs w:val="21"/>
              </w:rPr>
            </w:pPr>
            <w:r>
              <w:rPr>
                <w:sz w:val="21"/>
                <w:szCs w:val="21"/>
              </w:rPr>
              <w:t>3</w:t>
            </w:r>
          </w:p>
        </w:tc>
        <w:tc>
          <w:tcPr>
            <w:tcW w:w="2188" w:type="dxa"/>
            <w:vAlign w:val="top"/>
          </w:tcPr>
          <w:p>
            <w:pPr>
              <w:pStyle w:val="TableText"/>
              <w:ind w:left="986"/>
              <w:spacing w:before="66" w:line="178" w:lineRule="auto"/>
              <w:rPr>
                <w:sz w:val="21"/>
                <w:szCs w:val="21"/>
              </w:rPr>
            </w:pPr>
            <w:r>
              <w:rPr>
                <w:sz w:val="21"/>
                <w:szCs w:val="21"/>
                <w:spacing w:val="-3"/>
              </w:rPr>
              <w:t>+3</w:t>
            </w:r>
          </w:p>
        </w:tc>
        <w:tc>
          <w:tcPr>
            <w:tcW w:w="2498" w:type="dxa"/>
            <w:vAlign w:val="top"/>
          </w:tcPr>
          <w:p>
            <w:pPr>
              <w:pStyle w:val="TableText"/>
              <w:ind w:left="88"/>
              <w:spacing w:before="43" w:line="198" w:lineRule="auto"/>
              <w:rPr>
                <w:sz w:val="21"/>
                <w:szCs w:val="21"/>
              </w:rPr>
            </w:pPr>
            <w:r>
              <w:rPr>
                <w:sz w:val="21"/>
                <w:szCs w:val="21"/>
              </w:rPr>
              <w:t>喷淋+UV光解+活性炭吸附</w:t>
            </w:r>
          </w:p>
        </w:tc>
        <w:tc>
          <w:tcPr>
            <w:tcW w:w="1104" w:type="dxa"/>
            <w:vAlign w:val="top"/>
            <w:vMerge w:val="continue"/>
            <w:tcBorders>
              <w:top w:val="nil"/>
              <w:bottom w:val="nil"/>
            </w:tcBorders>
          </w:tcPr>
          <w:p>
            <w:pPr>
              <w:rPr>
                <w:rFonts w:ascii="Arial"/>
                <w:sz w:val="21"/>
              </w:rPr>
            </w:pPr>
            <w:r/>
          </w:p>
        </w:tc>
      </w:tr>
      <w:tr>
        <w:trPr>
          <w:trHeight w:val="250" w:hRule="atLeast"/>
        </w:trPr>
        <w:tc>
          <w:tcPr>
            <w:tcW w:w="415" w:type="dxa"/>
            <w:vAlign w:val="top"/>
          </w:tcPr>
          <w:p>
            <w:pPr>
              <w:pStyle w:val="TableText"/>
              <w:ind w:left="35"/>
              <w:spacing w:before="47" w:line="169" w:lineRule="auto"/>
              <w:rPr>
                <w:sz w:val="21"/>
                <w:szCs w:val="21"/>
              </w:rPr>
            </w:pPr>
            <w:r>
              <w:rPr>
                <w:sz w:val="21"/>
                <w:szCs w:val="21"/>
                <w:spacing w:val="-6"/>
              </w:rPr>
              <w:t>141</w:t>
            </w:r>
          </w:p>
        </w:tc>
        <w:tc>
          <w:tcPr>
            <w:tcW w:w="3147" w:type="dxa"/>
            <w:vAlign w:val="top"/>
          </w:tcPr>
          <w:p>
            <w:pPr>
              <w:pStyle w:val="TableText"/>
              <w:ind w:left="410"/>
              <w:spacing w:before="26" w:line="188" w:lineRule="auto"/>
              <w:rPr>
                <w:sz w:val="21"/>
                <w:szCs w:val="21"/>
              </w:rPr>
            </w:pPr>
            <w:r>
              <w:rPr>
                <w:sz w:val="21"/>
                <w:szCs w:val="21"/>
                <w:spacing w:val="-1"/>
              </w:rPr>
              <w:t>污水处理站恶臭处理设施</w:t>
            </w:r>
          </w:p>
        </w:tc>
        <w:tc>
          <w:tcPr>
            <w:tcW w:w="480" w:type="dxa"/>
            <w:vAlign w:val="top"/>
          </w:tcPr>
          <w:p>
            <w:pPr>
              <w:pStyle w:val="TableText"/>
              <w:ind w:left="122"/>
              <w:spacing w:before="27" w:line="187" w:lineRule="auto"/>
              <w:rPr>
                <w:sz w:val="21"/>
                <w:szCs w:val="21"/>
              </w:rPr>
            </w:pPr>
            <w:r>
              <w:rPr>
                <w:sz w:val="21"/>
                <w:szCs w:val="21"/>
                <w:color w:val="705060"/>
              </w:rPr>
              <w:t>套</w:t>
            </w:r>
          </w:p>
        </w:tc>
        <w:tc>
          <w:tcPr>
            <w:tcW w:w="1749" w:type="dxa"/>
            <w:vAlign w:val="top"/>
          </w:tcPr>
          <w:p>
            <w:pPr>
              <w:pStyle w:val="TableText"/>
              <w:ind w:left="813"/>
              <w:spacing w:before="47" w:line="169" w:lineRule="auto"/>
              <w:rPr>
                <w:sz w:val="21"/>
                <w:szCs w:val="21"/>
              </w:rPr>
            </w:pPr>
            <w:r>
              <w:rPr>
                <w:sz w:val="21"/>
                <w:szCs w:val="21"/>
              </w:rPr>
              <w:t>0</w:t>
            </w:r>
          </w:p>
        </w:tc>
        <w:tc>
          <w:tcPr>
            <w:tcW w:w="2568" w:type="dxa"/>
            <w:vAlign w:val="top"/>
            <w:textDirection w:val="tbRlV"/>
          </w:tcPr>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5040"/>
                <w:spacing w:val="31"/>
                <w:w w:val="125"/>
                <w:position w:val="-3"/>
              </w:rPr>
              <w:t>1</w:t>
            </w:r>
          </w:p>
        </w:tc>
        <w:tc>
          <w:tcPr>
            <w:tcW w:w="2188" w:type="dxa"/>
            <w:vAlign w:val="top"/>
          </w:tcPr>
          <w:p>
            <w:pPr>
              <w:pStyle w:val="TableText"/>
              <w:ind w:left="986"/>
              <w:spacing w:before="47" w:line="169" w:lineRule="auto"/>
              <w:rPr>
                <w:sz w:val="21"/>
                <w:szCs w:val="21"/>
              </w:rPr>
            </w:pPr>
            <w:r>
              <w:rPr>
                <w:sz w:val="21"/>
                <w:szCs w:val="21"/>
                <w:spacing w:val="-3"/>
              </w:rPr>
              <w:t>+1</w:t>
            </w:r>
          </w:p>
        </w:tc>
        <w:tc>
          <w:tcPr>
            <w:tcW w:w="2498" w:type="dxa"/>
            <w:vAlign w:val="top"/>
          </w:tcPr>
          <w:p>
            <w:pPr>
              <w:pStyle w:val="TableText"/>
              <w:ind w:left="88"/>
              <w:spacing w:before="25" w:line="189" w:lineRule="auto"/>
              <w:rPr>
                <w:sz w:val="21"/>
                <w:szCs w:val="21"/>
              </w:rPr>
            </w:pPr>
            <w:r>
              <w:rPr>
                <w:sz w:val="21"/>
                <w:szCs w:val="21"/>
              </w:rPr>
              <w:t>喷淋+UV光解+活性炭吸附</w:t>
            </w:r>
          </w:p>
        </w:tc>
        <w:tc>
          <w:tcPr>
            <w:tcW w:w="1104" w:type="dxa"/>
            <w:vAlign w:val="top"/>
            <w:vMerge w:val="continue"/>
            <w:tcBorders>
              <w:top w:val="nil"/>
              <w:bottom w:val="nil"/>
            </w:tcBorders>
          </w:tcPr>
          <w:p>
            <w:pPr>
              <w:rPr>
                <w:rFonts w:ascii="Arial"/>
                <w:sz w:val="21"/>
              </w:rPr>
            </w:pPr>
            <w:r/>
          </w:p>
        </w:tc>
      </w:tr>
      <w:tr>
        <w:trPr>
          <w:trHeight w:val="269" w:hRule="atLeast"/>
        </w:trPr>
        <w:tc>
          <w:tcPr>
            <w:tcW w:w="415" w:type="dxa"/>
            <w:vAlign w:val="top"/>
          </w:tcPr>
          <w:p>
            <w:pPr>
              <w:pStyle w:val="TableText"/>
              <w:ind w:left="35"/>
              <w:spacing w:before="57" w:line="177" w:lineRule="auto"/>
              <w:rPr>
                <w:sz w:val="21"/>
                <w:szCs w:val="21"/>
              </w:rPr>
            </w:pPr>
            <w:r>
              <w:rPr>
                <w:sz w:val="21"/>
                <w:szCs w:val="21"/>
                <w:spacing w:val="-6"/>
              </w:rPr>
              <w:t>142</w:t>
            </w:r>
          </w:p>
        </w:tc>
        <w:tc>
          <w:tcPr>
            <w:tcW w:w="3147" w:type="dxa"/>
            <w:vAlign w:val="top"/>
          </w:tcPr>
          <w:p>
            <w:pPr>
              <w:pStyle w:val="TableText"/>
              <w:ind w:left="620"/>
              <w:spacing w:before="36" w:line="196" w:lineRule="auto"/>
              <w:rPr>
                <w:sz w:val="21"/>
                <w:szCs w:val="21"/>
              </w:rPr>
            </w:pPr>
            <w:r>
              <w:rPr>
                <w:sz w:val="21"/>
                <w:szCs w:val="21"/>
                <w:spacing w:val="1"/>
              </w:rPr>
              <w:t>沼气净化和收集系统</w:t>
            </w:r>
          </w:p>
        </w:tc>
        <w:tc>
          <w:tcPr>
            <w:tcW w:w="480" w:type="dxa"/>
            <w:vAlign w:val="top"/>
          </w:tcPr>
          <w:p>
            <w:pPr>
              <w:pStyle w:val="TableText"/>
              <w:ind w:left="122"/>
              <w:spacing w:before="37" w:line="195" w:lineRule="auto"/>
              <w:rPr>
                <w:sz w:val="21"/>
                <w:szCs w:val="21"/>
              </w:rPr>
            </w:pPr>
            <w:r>
              <w:rPr>
                <w:sz w:val="21"/>
                <w:szCs w:val="21"/>
              </w:rPr>
              <w:t>套</w:t>
            </w:r>
          </w:p>
        </w:tc>
        <w:tc>
          <w:tcPr>
            <w:tcW w:w="1749" w:type="dxa"/>
            <w:vAlign w:val="top"/>
          </w:tcPr>
          <w:p>
            <w:pPr>
              <w:pStyle w:val="TableText"/>
              <w:ind w:left="813"/>
              <w:spacing w:before="57" w:line="177" w:lineRule="auto"/>
              <w:rPr>
                <w:sz w:val="21"/>
                <w:szCs w:val="21"/>
              </w:rPr>
            </w:pPr>
            <w:r>
              <w:rPr>
                <w:sz w:val="21"/>
                <w:szCs w:val="21"/>
              </w:rPr>
              <w:t>0</w:t>
            </w:r>
          </w:p>
        </w:tc>
        <w:tc>
          <w:tcPr>
            <w:tcW w:w="2568" w:type="dxa"/>
            <w:vAlign w:val="top"/>
            <w:textDirection w:val="tbRlV"/>
          </w:tcPr>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5050"/>
                <w:spacing w:val="41"/>
                <w:w w:val="125"/>
                <w:position w:val="-3"/>
              </w:rPr>
              <w:t>1</w:t>
            </w:r>
          </w:p>
        </w:tc>
        <w:tc>
          <w:tcPr>
            <w:tcW w:w="2188" w:type="dxa"/>
            <w:vAlign w:val="top"/>
          </w:tcPr>
          <w:p>
            <w:pPr>
              <w:pStyle w:val="TableText"/>
              <w:ind w:left="986"/>
              <w:spacing w:before="57" w:line="177" w:lineRule="auto"/>
              <w:rPr>
                <w:sz w:val="21"/>
                <w:szCs w:val="21"/>
              </w:rPr>
            </w:pPr>
            <w:r>
              <w:rPr>
                <w:sz w:val="21"/>
                <w:szCs w:val="21"/>
                <w:spacing w:val="-3"/>
              </w:rPr>
              <w:t>+1</w:t>
            </w:r>
          </w:p>
        </w:tc>
        <w:tc>
          <w:tcPr>
            <w:tcW w:w="2498" w:type="dxa"/>
            <w:vAlign w:val="top"/>
          </w:tcPr>
          <w:p>
            <w:pPr>
              <w:pStyle w:val="TableText"/>
              <w:ind w:left="1188"/>
              <w:spacing w:before="42" w:line="190" w:lineRule="auto"/>
              <w:rPr>
                <w:sz w:val="21"/>
                <w:szCs w:val="21"/>
              </w:rPr>
            </w:pPr>
            <w:r>
              <w:rPr>
                <w:sz w:val="21"/>
                <w:szCs w:val="21"/>
                <w:color w:val="403060"/>
              </w:rPr>
              <w:t>/</w:t>
            </w:r>
          </w:p>
        </w:tc>
        <w:tc>
          <w:tcPr>
            <w:tcW w:w="1104" w:type="dxa"/>
            <w:vAlign w:val="top"/>
            <w:vMerge w:val="continue"/>
            <w:tcBorders>
              <w:top w:val="nil"/>
              <w:bottom w:val="nil"/>
            </w:tcBorders>
          </w:tcPr>
          <w:p>
            <w:pPr>
              <w:rPr>
                <w:rFonts w:ascii="Arial"/>
                <w:sz w:val="21"/>
              </w:rPr>
            </w:pPr>
            <w:r/>
          </w:p>
        </w:tc>
      </w:tr>
      <w:tr>
        <w:trPr>
          <w:trHeight w:val="270" w:hRule="atLeast"/>
        </w:trPr>
        <w:tc>
          <w:tcPr>
            <w:tcW w:w="415" w:type="dxa"/>
            <w:vAlign w:val="top"/>
          </w:tcPr>
          <w:p>
            <w:pPr>
              <w:pStyle w:val="TableText"/>
              <w:ind w:left="35"/>
              <w:spacing w:before="58" w:line="177" w:lineRule="auto"/>
              <w:rPr>
                <w:sz w:val="21"/>
                <w:szCs w:val="21"/>
              </w:rPr>
            </w:pPr>
            <w:r>
              <w:rPr>
                <w:sz w:val="21"/>
                <w:szCs w:val="21"/>
                <w:spacing w:val="-6"/>
              </w:rPr>
              <w:t>143</w:t>
            </w:r>
          </w:p>
        </w:tc>
        <w:tc>
          <w:tcPr>
            <w:tcW w:w="3147" w:type="dxa"/>
            <w:vAlign w:val="top"/>
          </w:tcPr>
          <w:p>
            <w:pPr>
              <w:pStyle w:val="TableText"/>
              <w:ind w:left="1040"/>
              <w:spacing w:before="38" w:line="195" w:lineRule="auto"/>
              <w:rPr>
                <w:sz w:val="21"/>
                <w:szCs w:val="21"/>
              </w:rPr>
            </w:pPr>
            <w:r>
              <w:rPr>
                <w:sz w:val="21"/>
                <w:szCs w:val="21"/>
                <w:spacing w:val="1"/>
              </w:rPr>
              <w:t>油烟净化器</w:t>
            </w:r>
          </w:p>
        </w:tc>
        <w:tc>
          <w:tcPr>
            <w:tcW w:w="480" w:type="dxa"/>
            <w:vAlign w:val="top"/>
          </w:tcPr>
          <w:p>
            <w:pPr>
              <w:pStyle w:val="TableText"/>
              <w:ind w:left="122"/>
              <w:spacing w:before="40" w:line="193" w:lineRule="auto"/>
              <w:rPr>
                <w:sz w:val="21"/>
                <w:szCs w:val="21"/>
              </w:rPr>
            </w:pPr>
            <w:r>
              <w:rPr>
                <w:sz w:val="21"/>
                <w:szCs w:val="21"/>
              </w:rPr>
              <w:t>台</w:t>
            </w:r>
          </w:p>
        </w:tc>
        <w:tc>
          <w:tcPr>
            <w:tcW w:w="1749" w:type="dxa"/>
            <w:vAlign w:val="top"/>
          </w:tcPr>
          <w:p>
            <w:pPr>
              <w:pStyle w:val="TableText"/>
              <w:ind w:left="813"/>
              <w:spacing w:before="58" w:line="177" w:lineRule="auto"/>
              <w:rPr>
                <w:sz w:val="21"/>
                <w:szCs w:val="21"/>
              </w:rPr>
            </w:pPr>
            <w:r>
              <w:rPr>
                <w:sz w:val="21"/>
                <w:szCs w:val="21"/>
              </w:rPr>
              <w:t>0</w:t>
            </w:r>
          </w:p>
        </w:tc>
        <w:tc>
          <w:tcPr>
            <w:tcW w:w="2568" w:type="dxa"/>
            <w:vAlign w:val="top"/>
            <w:textDirection w:val="tbRlV"/>
          </w:tcPr>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spacing w:before="70" w:line="126" w:lineRule="exact"/>
              <w:rPr>
                <w:sz w:val="21"/>
                <w:szCs w:val="21"/>
              </w:rPr>
            </w:pPr>
            <w:r>
              <w:rPr>
                <w:sz w:val="21"/>
                <w:szCs w:val="21"/>
                <w:color w:val="504040"/>
                <w:spacing w:val="42"/>
                <w:w w:val="125"/>
                <w:position w:val="-3"/>
              </w:rPr>
              <w:t>1</w:t>
            </w:r>
          </w:p>
        </w:tc>
        <w:tc>
          <w:tcPr>
            <w:tcW w:w="2188" w:type="dxa"/>
            <w:vAlign w:val="top"/>
          </w:tcPr>
          <w:p>
            <w:pPr>
              <w:pStyle w:val="TableText"/>
              <w:ind w:left="986"/>
              <w:spacing w:before="58" w:line="177" w:lineRule="auto"/>
              <w:rPr>
                <w:sz w:val="21"/>
                <w:szCs w:val="21"/>
              </w:rPr>
            </w:pPr>
            <w:r>
              <w:rPr>
                <w:sz w:val="21"/>
                <w:szCs w:val="21"/>
                <w:spacing w:val="-3"/>
              </w:rPr>
              <w:t>+1</w:t>
            </w:r>
          </w:p>
        </w:tc>
        <w:tc>
          <w:tcPr>
            <w:tcW w:w="2498" w:type="dxa"/>
            <w:vAlign w:val="top"/>
          </w:tcPr>
          <w:p>
            <w:pPr>
              <w:pStyle w:val="TableText"/>
              <w:ind w:left="1188"/>
              <w:spacing w:before="43" w:line="190" w:lineRule="auto"/>
              <w:rPr>
                <w:sz w:val="21"/>
                <w:szCs w:val="21"/>
              </w:rPr>
            </w:pPr>
            <w:r>
              <w:rPr>
                <w:sz w:val="21"/>
                <w:szCs w:val="21"/>
                <w:color w:val="403040"/>
              </w:rPr>
              <w:t>/</w:t>
            </w:r>
          </w:p>
        </w:tc>
        <w:tc>
          <w:tcPr>
            <w:tcW w:w="1104" w:type="dxa"/>
            <w:vAlign w:val="top"/>
            <w:vMerge w:val="continue"/>
            <w:tcBorders>
              <w:top w:val="nil"/>
              <w:bottom w:val="nil"/>
            </w:tcBorders>
          </w:tcPr>
          <w:p>
            <w:pPr>
              <w:rPr>
                <w:rFonts w:ascii="Arial"/>
                <w:sz w:val="21"/>
              </w:rPr>
            </w:pPr>
            <w:r/>
          </w:p>
        </w:tc>
      </w:tr>
      <w:tr>
        <w:trPr>
          <w:trHeight w:val="294" w:hRule="atLeast"/>
        </w:trPr>
        <w:tc>
          <w:tcPr>
            <w:tcW w:w="415" w:type="dxa"/>
            <w:vAlign w:val="top"/>
          </w:tcPr>
          <w:p>
            <w:pPr>
              <w:pStyle w:val="TableText"/>
              <w:ind w:left="35"/>
              <w:spacing w:before="69" w:line="189" w:lineRule="auto"/>
              <w:rPr>
                <w:sz w:val="21"/>
                <w:szCs w:val="21"/>
              </w:rPr>
            </w:pPr>
            <w:r>
              <w:rPr>
                <w:sz w:val="21"/>
                <w:szCs w:val="21"/>
                <w:spacing w:val="-6"/>
              </w:rPr>
              <w:t>144</w:t>
            </w:r>
          </w:p>
        </w:tc>
        <w:tc>
          <w:tcPr>
            <w:tcW w:w="3147" w:type="dxa"/>
            <w:vAlign w:val="top"/>
          </w:tcPr>
          <w:p>
            <w:pPr>
              <w:pStyle w:val="TableText"/>
              <w:ind w:left="1040"/>
              <w:spacing w:before="46" w:line="209" w:lineRule="auto"/>
              <w:rPr>
                <w:sz w:val="21"/>
                <w:szCs w:val="21"/>
              </w:rPr>
            </w:pPr>
            <w:r>
              <w:rPr>
                <w:sz w:val="21"/>
                <w:szCs w:val="21"/>
                <w:spacing w:val="-2"/>
              </w:rPr>
              <w:t>柴油发电机</w:t>
            </w:r>
          </w:p>
        </w:tc>
        <w:tc>
          <w:tcPr>
            <w:tcW w:w="480" w:type="dxa"/>
            <w:vAlign w:val="top"/>
          </w:tcPr>
          <w:p>
            <w:pPr>
              <w:pStyle w:val="TableText"/>
              <w:ind w:left="122"/>
              <w:spacing w:before="49" w:line="206" w:lineRule="auto"/>
              <w:rPr>
                <w:sz w:val="21"/>
                <w:szCs w:val="21"/>
              </w:rPr>
            </w:pPr>
            <w:r>
              <w:rPr>
                <w:sz w:val="21"/>
                <w:szCs w:val="21"/>
              </w:rPr>
              <w:t>台</w:t>
            </w:r>
          </w:p>
        </w:tc>
        <w:tc>
          <w:tcPr>
            <w:tcW w:w="1749" w:type="dxa"/>
            <w:vAlign w:val="top"/>
          </w:tcPr>
          <w:p>
            <w:pPr>
              <w:pStyle w:val="TableText"/>
              <w:ind w:left="813"/>
              <w:spacing w:before="69" w:line="189" w:lineRule="auto"/>
              <w:rPr>
                <w:sz w:val="21"/>
                <w:szCs w:val="21"/>
              </w:rPr>
            </w:pPr>
            <w:r>
              <w:rPr>
                <w:sz w:val="21"/>
                <w:szCs w:val="21"/>
              </w:rPr>
              <w:t>0</w:t>
            </w:r>
          </w:p>
        </w:tc>
        <w:tc>
          <w:tcPr>
            <w:tcW w:w="2568" w:type="dxa"/>
            <w:vAlign w:val="top"/>
            <w:textDirection w:val="tbRlV"/>
          </w:tcPr>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2"/>
              <w:spacing w:before="70" w:line="126" w:lineRule="exact"/>
              <w:rPr>
                <w:sz w:val="21"/>
                <w:szCs w:val="21"/>
              </w:rPr>
            </w:pPr>
            <w:r>
              <w:rPr>
                <w:sz w:val="21"/>
                <w:szCs w:val="21"/>
                <w:color w:val="504040"/>
                <w:spacing w:val="50"/>
                <w:w w:val="125"/>
                <w:position w:val="-3"/>
              </w:rPr>
              <w:t>1</w:t>
            </w:r>
          </w:p>
        </w:tc>
        <w:tc>
          <w:tcPr>
            <w:tcW w:w="2188" w:type="dxa"/>
            <w:vAlign w:val="top"/>
          </w:tcPr>
          <w:p>
            <w:pPr>
              <w:pStyle w:val="TableText"/>
              <w:ind w:left="986"/>
              <w:spacing w:before="69" w:line="189" w:lineRule="auto"/>
              <w:rPr>
                <w:sz w:val="21"/>
                <w:szCs w:val="21"/>
              </w:rPr>
            </w:pPr>
            <w:r>
              <w:rPr>
                <w:sz w:val="21"/>
                <w:szCs w:val="21"/>
                <w:spacing w:val="-3"/>
              </w:rPr>
              <w:t>+1</w:t>
            </w:r>
          </w:p>
        </w:tc>
        <w:tc>
          <w:tcPr>
            <w:tcW w:w="2498" w:type="dxa"/>
            <w:vAlign w:val="top"/>
          </w:tcPr>
          <w:p>
            <w:pPr>
              <w:pStyle w:val="TableText"/>
              <w:ind w:left="1188"/>
              <w:spacing w:before="53" w:line="203" w:lineRule="auto"/>
              <w:rPr>
                <w:sz w:val="21"/>
                <w:szCs w:val="21"/>
              </w:rPr>
            </w:pPr>
            <w:r>
              <w:rPr>
                <w:sz w:val="21"/>
                <w:szCs w:val="21"/>
                <w:color w:val="404060"/>
              </w:rPr>
              <w:t>/</w:t>
            </w:r>
          </w:p>
        </w:tc>
        <w:tc>
          <w:tcPr>
            <w:tcW w:w="1104" w:type="dxa"/>
            <w:vAlign w:val="top"/>
            <w:vMerge w:val="continue"/>
            <w:tcBorders>
              <w:top w:val="nil"/>
            </w:tcBorders>
          </w:tcPr>
          <w:p>
            <w:pPr>
              <w:rPr>
                <w:rFonts w:ascii="Arial"/>
                <w:sz w:val="21"/>
              </w:rPr>
            </w:pPr>
            <w:r/>
          </w:p>
        </w:tc>
      </w:tr>
    </w:tbl>
    <w:p>
      <w:pPr>
        <w:pStyle w:val="BodyText"/>
        <w:rPr/>
      </w:pPr>
      <w:r/>
    </w:p>
    <w:p>
      <w:pPr>
        <w:sectPr>
          <w:headerReference w:type="default" r:id="rId224"/>
          <w:footerReference w:type="default" r:id="rId225"/>
          <w:pgSz w:w="16840" w:h="11910"/>
          <w:pgMar w:top="1177" w:right="1345" w:bottom="960" w:left="1334" w:header="885" w:footer="774" w:gutter="0"/>
        </w:sectPr>
        <w:rPr/>
      </w:pPr>
    </w:p>
    <w:p>
      <w:pPr>
        <w:pStyle w:val="BodyText"/>
        <w:spacing w:line="267" w:lineRule="auto"/>
        <w:rPr/>
      </w:pPr>
      <w:r/>
    </w:p>
    <w:p>
      <w:pPr>
        <w:ind w:left="3"/>
        <w:spacing w:before="78" w:line="222" w:lineRule="auto"/>
        <w:outlineLvl w:val="1"/>
        <w:rPr>
          <w:rFonts w:ascii="SimHei" w:hAnsi="SimHei" w:eastAsia="SimHei" w:cs="SimHei"/>
          <w:sz w:val="24"/>
          <w:szCs w:val="24"/>
        </w:rPr>
      </w:pPr>
      <w:bookmarkStart w:name="bookmark35" w:id="64"/>
      <w:bookmarkEnd w:id="64"/>
      <w:r>
        <w:rPr>
          <w:rFonts w:ascii="SimHei" w:hAnsi="SimHei" w:eastAsia="SimHei" w:cs="SimHei"/>
          <w:sz w:val="24"/>
          <w:szCs w:val="24"/>
          <w:b/>
          <w:bCs/>
          <w:spacing w:val="20"/>
        </w:rPr>
        <w:t>3</w:t>
      </w:r>
      <w:r>
        <w:rPr>
          <w:rFonts w:ascii="SimHei" w:hAnsi="SimHei" w:eastAsia="SimHei" w:cs="SimHei"/>
          <w:sz w:val="24"/>
          <w:szCs w:val="24"/>
          <w:spacing w:val="-70"/>
        </w:rPr>
        <w:t xml:space="preserve"> </w:t>
      </w:r>
      <w:r>
        <w:rPr>
          <w:rFonts w:ascii="SimHei" w:hAnsi="SimHei" w:eastAsia="SimHei" w:cs="SimHei"/>
          <w:sz w:val="24"/>
          <w:szCs w:val="24"/>
          <w:b/>
          <w:bCs/>
          <w:spacing w:val="20"/>
        </w:rPr>
        <w:t>.5占地及拆迁安置工程</w:t>
      </w:r>
    </w:p>
    <w:p>
      <w:pPr>
        <w:ind w:right="39" w:firstLine="480"/>
        <w:spacing w:before="180" w:line="364" w:lineRule="auto"/>
        <w:rPr>
          <w:rFonts w:ascii="SimSun" w:hAnsi="SimSun" w:eastAsia="SimSun" w:cs="SimSun"/>
          <w:sz w:val="24"/>
          <w:szCs w:val="24"/>
        </w:rPr>
      </w:pPr>
      <w:r>
        <w:rPr>
          <w:rFonts w:ascii="SimSun" w:hAnsi="SimSun" w:eastAsia="SimSun" w:cs="SimSun"/>
          <w:sz w:val="24"/>
          <w:szCs w:val="24"/>
        </w:rPr>
        <w:t>本项目新增占地约6670.12</w:t>
      </w:r>
      <w:r>
        <w:rPr>
          <w:rFonts w:ascii="Times New Roman" w:hAnsi="Times New Roman" w:eastAsia="Times New Roman" w:cs="Times New Roman"/>
          <w:sz w:val="24"/>
          <w:szCs w:val="24"/>
        </w:rPr>
        <w:t>m²,   </w:t>
      </w:r>
      <w:r>
        <w:rPr>
          <w:rFonts w:ascii="SimSun" w:hAnsi="SimSun" w:eastAsia="SimSun" w:cs="SimSun"/>
          <w:sz w:val="24"/>
          <w:szCs w:val="24"/>
        </w:rPr>
        <w:t>改扩建完成后总占地约13340.12</w:t>
      </w:r>
      <w:r>
        <w:rPr>
          <w:rFonts w:ascii="Times New Roman" w:hAnsi="Times New Roman" w:eastAsia="Times New Roman" w:cs="Times New Roman"/>
          <w:sz w:val="24"/>
          <w:szCs w:val="24"/>
        </w:rPr>
        <w:t>m², </w:t>
      </w:r>
      <w:r>
        <w:rPr>
          <w:rFonts w:ascii="Times New Roman" w:hAnsi="Times New Roman" w:eastAsia="Times New Roman" w:cs="Times New Roman"/>
          <w:sz w:val="24"/>
          <w:szCs w:val="24"/>
          <w:spacing w:val="-1"/>
        </w:rPr>
        <w:t xml:space="preserve">  </w:t>
      </w:r>
      <w:r>
        <w:rPr>
          <w:rFonts w:ascii="SimSun" w:hAnsi="SimSun" w:eastAsia="SimSun" w:cs="SimSun"/>
          <w:sz w:val="24"/>
          <w:szCs w:val="24"/>
          <w:spacing w:val="-1"/>
        </w:rPr>
        <w:t>占地范</w:t>
      </w:r>
      <w:r>
        <w:rPr>
          <w:rFonts w:ascii="SimSun" w:hAnsi="SimSun" w:eastAsia="SimSun" w:cs="SimSun"/>
          <w:sz w:val="24"/>
          <w:szCs w:val="24"/>
        </w:rPr>
        <w:t xml:space="preserve"> </w:t>
      </w:r>
      <w:r>
        <w:rPr>
          <w:rFonts w:ascii="SimSun" w:hAnsi="SimSun" w:eastAsia="SimSun" w:cs="SimSun"/>
          <w:sz w:val="24"/>
          <w:szCs w:val="24"/>
          <w:spacing w:val="-3"/>
        </w:rPr>
        <w:t>围内为工业用地、不涉及拆迁安置工程。</w:t>
      </w:r>
    </w:p>
    <w:p>
      <w:pPr>
        <w:ind w:left="3"/>
        <w:spacing w:before="54" w:line="222" w:lineRule="auto"/>
        <w:outlineLvl w:val="1"/>
        <w:rPr>
          <w:rFonts w:ascii="SimHei" w:hAnsi="SimHei" w:eastAsia="SimHei" w:cs="SimHei"/>
          <w:sz w:val="24"/>
          <w:szCs w:val="24"/>
        </w:rPr>
      </w:pPr>
      <w:bookmarkStart w:name="bookmark36" w:id="65"/>
      <w:bookmarkEnd w:id="65"/>
      <w:r>
        <w:rPr>
          <w:rFonts w:ascii="SimHei" w:hAnsi="SimHei" w:eastAsia="SimHei" w:cs="SimHei"/>
          <w:sz w:val="24"/>
          <w:szCs w:val="24"/>
          <w:b/>
          <w:bCs/>
          <w:spacing w:val="18"/>
        </w:rPr>
        <w:t>3</w:t>
      </w:r>
      <w:r>
        <w:rPr>
          <w:rFonts w:ascii="SimHei" w:hAnsi="SimHei" w:eastAsia="SimHei" w:cs="SimHei"/>
          <w:sz w:val="24"/>
          <w:szCs w:val="24"/>
          <w:spacing w:val="-65"/>
        </w:rPr>
        <w:t xml:space="preserve"> </w:t>
      </w:r>
      <w:r>
        <w:rPr>
          <w:rFonts w:ascii="SimHei" w:hAnsi="SimHei" w:eastAsia="SimHei" w:cs="SimHei"/>
          <w:sz w:val="24"/>
          <w:szCs w:val="24"/>
          <w:b/>
          <w:bCs/>
          <w:spacing w:val="18"/>
        </w:rPr>
        <w:t>.6辅助及公用工程</w:t>
      </w:r>
    </w:p>
    <w:p>
      <w:pPr>
        <w:ind w:left="3"/>
        <w:spacing w:before="251" w:line="222" w:lineRule="auto"/>
        <w:rPr>
          <w:rFonts w:ascii="SimHei" w:hAnsi="SimHei" w:eastAsia="SimHei" w:cs="SimHei"/>
          <w:sz w:val="24"/>
          <w:szCs w:val="24"/>
        </w:rPr>
      </w:pPr>
      <w:r>
        <w:rPr>
          <w:rFonts w:ascii="SimHei" w:hAnsi="SimHei" w:eastAsia="SimHei" w:cs="SimHei"/>
          <w:sz w:val="24"/>
          <w:szCs w:val="24"/>
          <w:b/>
          <w:bCs/>
          <w:spacing w:val="6"/>
        </w:rPr>
        <w:t>3.6.1给排水</w:t>
      </w:r>
    </w:p>
    <w:p>
      <w:pPr>
        <w:ind w:left="613"/>
        <w:spacing w:before="173" w:line="219" w:lineRule="auto"/>
        <w:rPr>
          <w:rFonts w:ascii="SimSun" w:hAnsi="SimSun" w:eastAsia="SimSun" w:cs="SimSun"/>
          <w:sz w:val="24"/>
          <w:szCs w:val="24"/>
        </w:rPr>
      </w:pPr>
      <w:r>
        <w:rPr>
          <w:rFonts w:ascii="SimSun" w:hAnsi="SimSun" w:eastAsia="SimSun" w:cs="SimSun"/>
          <w:sz w:val="24"/>
          <w:szCs w:val="24"/>
          <w:b/>
          <w:bCs/>
          <w:spacing w:val="22"/>
        </w:rPr>
        <w:t>(1)给水</w:t>
      </w:r>
    </w:p>
    <w:p>
      <w:pPr>
        <w:ind w:right="81" w:firstLine="480"/>
        <w:spacing w:before="218" w:line="352" w:lineRule="auto"/>
        <w:rPr>
          <w:rFonts w:ascii="SimSun" w:hAnsi="SimSun" w:eastAsia="SimSun" w:cs="SimSun"/>
          <w:sz w:val="24"/>
          <w:szCs w:val="24"/>
        </w:rPr>
      </w:pPr>
      <w:r>
        <w:rPr>
          <w:rFonts w:ascii="SimSun" w:hAnsi="SimSun" w:eastAsia="SimSun" w:cs="SimSun"/>
          <w:sz w:val="24"/>
          <w:szCs w:val="24"/>
        </w:rPr>
        <w:t>本项目生产、生活、消防用水均由市政给水管</w:t>
      </w:r>
      <w:r>
        <w:rPr>
          <w:rFonts w:ascii="SimSun" w:hAnsi="SimSun" w:eastAsia="SimSun" w:cs="SimSun"/>
          <w:sz w:val="24"/>
          <w:szCs w:val="24"/>
          <w:spacing w:val="-1"/>
        </w:rPr>
        <w:t>网统一供给，厂区内给水设</w:t>
      </w:r>
      <w:r>
        <w:rPr>
          <w:rFonts w:ascii="SimSun" w:hAnsi="SimSun" w:eastAsia="SimSun" w:cs="SimSun"/>
          <w:sz w:val="24"/>
          <w:szCs w:val="24"/>
        </w:rPr>
        <w:t xml:space="preserve">  </w:t>
      </w:r>
      <w:r>
        <w:rPr>
          <w:rFonts w:ascii="SimSun" w:hAnsi="SimSun" w:eastAsia="SimSun" w:cs="SimSun"/>
          <w:sz w:val="24"/>
          <w:szCs w:val="24"/>
        </w:rPr>
        <w:t>置环状管网，生产车间及附属建筑物内设置枝状给水管线</w:t>
      </w:r>
      <w:r>
        <w:rPr>
          <w:rFonts w:ascii="SimSun" w:hAnsi="SimSun" w:eastAsia="SimSun" w:cs="SimSun"/>
          <w:sz w:val="24"/>
          <w:szCs w:val="24"/>
          <w:spacing w:val="-1"/>
        </w:rPr>
        <w:t>。项目用水包括生活</w:t>
      </w:r>
      <w:r>
        <w:rPr>
          <w:rFonts w:ascii="SimSun" w:hAnsi="SimSun" w:eastAsia="SimSun" w:cs="SimSun"/>
          <w:sz w:val="24"/>
          <w:szCs w:val="24"/>
        </w:rPr>
        <w:t xml:space="preserve">  </w:t>
      </w:r>
      <w:r>
        <w:rPr>
          <w:rFonts w:ascii="SimSun" w:hAnsi="SimSun" w:eastAsia="SimSun" w:cs="SimSun"/>
          <w:sz w:val="24"/>
          <w:szCs w:val="24"/>
        </w:rPr>
        <w:t>用水、生产用水和绿化用水，生活用水包括职工办公和生活用水，生产用水包</w:t>
      </w:r>
      <w:r>
        <w:rPr>
          <w:rFonts w:ascii="SimSun" w:hAnsi="SimSun" w:eastAsia="SimSun" w:cs="SimSun"/>
          <w:sz w:val="24"/>
          <w:szCs w:val="24"/>
          <w:spacing w:val="5"/>
        </w:rPr>
        <w:t xml:space="preserve">  </w:t>
      </w:r>
      <w:r>
        <w:rPr>
          <w:rFonts w:ascii="SimSun" w:hAnsi="SimSun" w:eastAsia="SimSun" w:cs="SimSun"/>
          <w:sz w:val="24"/>
          <w:szCs w:val="24"/>
        </w:rPr>
        <w:t>括屠宰用水、车辆冲洗用水、消毒用水、冷却系统补</w:t>
      </w:r>
      <w:r>
        <w:rPr>
          <w:rFonts w:ascii="SimSun" w:hAnsi="SimSun" w:eastAsia="SimSun" w:cs="SimSun"/>
          <w:sz w:val="24"/>
          <w:szCs w:val="24"/>
          <w:spacing w:val="-1"/>
        </w:rPr>
        <w:t>充用水、喷淋塔用水、蒸</w:t>
      </w:r>
      <w:r>
        <w:rPr>
          <w:rFonts w:ascii="SimSun" w:hAnsi="SimSun" w:eastAsia="SimSun" w:cs="SimSun"/>
          <w:sz w:val="24"/>
          <w:szCs w:val="24"/>
        </w:rPr>
        <w:t xml:space="preserve">  </w:t>
      </w:r>
      <w:r>
        <w:rPr>
          <w:rFonts w:ascii="SimSun" w:hAnsi="SimSun" w:eastAsia="SimSun" w:cs="SimSun"/>
          <w:sz w:val="24"/>
          <w:szCs w:val="24"/>
          <w:spacing w:val="-1"/>
        </w:rPr>
        <w:t>汽发生器用水等。本项目全年用水量为35</w:t>
      </w:r>
      <w:r>
        <w:rPr>
          <w:rFonts w:ascii="SimSun" w:hAnsi="SimSun" w:eastAsia="SimSun" w:cs="SimSun"/>
          <w:sz w:val="24"/>
          <w:szCs w:val="24"/>
          <w:spacing w:val="-2"/>
        </w:rPr>
        <w:t>1257.14</w:t>
      </w:r>
      <w:r>
        <w:rPr>
          <w:rFonts w:ascii="Times New Roman" w:hAnsi="Times New Roman" w:eastAsia="Times New Roman" w:cs="Times New Roman"/>
          <w:sz w:val="24"/>
          <w:szCs w:val="24"/>
          <w:spacing w:val="-2"/>
        </w:rPr>
        <w:t>m³/a,</w:t>
      </w:r>
      <w:r>
        <w:rPr>
          <w:rFonts w:ascii="Times New Roman" w:hAnsi="Times New Roman" w:eastAsia="Times New Roman" w:cs="Times New Roman"/>
          <w:sz w:val="24"/>
          <w:szCs w:val="24"/>
          <w:spacing w:val="25"/>
          <w:w w:val="101"/>
        </w:rPr>
        <w:t xml:space="preserve">  </w:t>
      </w:r>
      <w:r>
        <w:rPr>
          <w:rFonts w:ascii="SimSun" w:hAnsi="SimSun" w:eastAsia="SimSun" w:cs="SimSun"/>
          <w:sz w:val="24"/>
          <w:szCs w:val="24"/>
          <w:spacing w:val="-2"/>
        </w:rPr>
        <w:t>废水产生量为265008.96</w:t>
      </w:r>
      <w:r>
        <w:rPr>
          <w:rFonts w:ascii="SimSun" w:hAnsi="SimSun" w:eastAsia="SimSun" w:cs="SimSun"/>
          <w:sz w:val="24"/>
          <w:szCs w:val="24"/>
        </w:rPr>
        <w:t xml:space="preserve"> </w:t>
      </w:r>
      <w:r>
        <w:rPr>
          <w:rFonts w:ascii="Times New Roman" w:hAnsi="Times New Roman" w:eastAsia="Times New Roman" w:cs="Times New Roman"/>
          <w:sz w:val="24"/>
          <w:szCs w:val="24"/>
          <w:spacing w:val="-1"/>
        </w:rPr>
        <w:t>m³/a</w:t>
      </w:r>
      <w:r>
        <w:rPr>
          <w:rFonts w:ascii="SimSun" w:hAnsi="SimSun" w:eastAsia="SimSun" w:cs="SimSun"/>
          <w:sz w:val="24"/>
          <w:szCs w:val="24"/>
          <w:spacing w:val="-1"/>
        </w:rPr>
        <w:t>。</w:t>
      </w:r>
    </w:p>
    <w:p>
      <w:pPr>
        <w:ind w:left="523"/>
        <w:spacing w:before="32" w:line="219" w:lineRule="auto"/>
        <w:rPr>
          <w:rFonts w:ascii="SimSun" w:hAnsi="SimSun" w:eastAsia="SimSun" w:cs="SimSun"/>
          <w:sz w:val="24"/>
          <w:szCs w:val="24"/>
        </w:rPr>
      </w:pPr>
      <w:r>
        <w:rPr>
          <w:rFonts w:ascii="SimSun" w:hAnsi="SimSun" w:eastAsia="SimSun" w:cs="SimSun"/>
          <w:sz w:val="24"/>
          <w:szCs w:val="24"/>
          <w:b/>
          <w:bCs/>
          <w:spacing w:val="8"/>
        </w:rPr>
        <w:t>1)生活污水、餐饮废水</w:t>
      </w:r>
    </w:p>
    <w:p>
      <w:pPr>
        <w:ind w:right="86" w:firstLine="480"/>
        <w:spacing w:before="206" w:line="353" w:lineRule="auto"/>
        <w:rPr>
          <w:rFonts w:ascii="SimSun" w:hAnsi="SimSun" w:eastAsia="SimSun" w:cs="SimSun"/>
          <w:sz w:val="24"/>
          <w:szCs w:val="24"/>
        </w:rPr>
      </w:pPr>
      <w:r>
        <w:rPr>
          <w:rFonts w:ascii="SimSun" w:hAnsi="SimSun" w:eastAsia="SimSun" w:cs="SimSun"/>
          <w:sz w:val="24"/>
          <w:szCs w:val="24"/>
        </w:rPr>
        <w:t>项目建成后劳动定员200人，采用8小时工作</w:t>
      </w:r>
      <w:r>
        <w:rPr>
          <w:rFonts w:ascii="SimSun" w:hAnsi="SimSun" w:eastAsia="SimSun" w:cs="SimSun"/>
          <w:sz w:val="24"/>
          <w:szCs w:val="24"/>
          <w:spacing w:val="-1"/>
        </w:rPr>
        <w:t>制度，年工作360天。企业设食</w:t>
      </w:r>
      <w:r>
        <w:rPr>
          <w:rFonts w:ascii="SimSun" w:hAnsi="SimSun" w:eastAsia="SimSun" w:cs="SimSun"/>
          <w:sz w:val="24"/>
          <w:szCs w:val="24"/>
        </w:rPr>
        <w:t xml:space="preserve"> </w:t>
      </w:r>
      <w:r>
        <w:rPr>
          <w:rFonts w:ascii="SimSun" w:hAnsi="SimSun" w:eastAsia="SimSun" w:cs="SimSun"/>
          <w:sz w:val="24"/>
          <w:szCs w:val="24"/>
          <w:spacing w:val="1"/>
        </w:rPr>
        <w:t>堂，食堂供给一日三餐，不设住宿。参考《四川省用水定额》(川府函[2021]8</w:t>
      </w:r>
      <w:r>
        <w:rPr>
          <w:rFonts w:ascii="SimSun" w:hAnsi="SimSun" w:eastAsia="SimSun" w:cs="SimSun"/>
          <w:sz w:val="24"/>
          <w:szCs w:val="24"/>
          <w:spacing w:val="15"/>
        </w:rPr>
        <w:t xml:space="preserve"> </w:t>
      </w:r>
      <w:r>
        <w:rPr>
          <w:rFonts w:ascii="SimSun" w:hAnsi="SimSun" w:eastAsia="SimSun" w:cs="SimSun"/>
          <w:sz w:val="24"/>
          <w:szCs w:val="24"/>
          <w:spacing w:val="1"/>
        </w:rPr>
        <w:t>号)及《建筑给水排水设计标准》</w:t>
      </w:r>
      <w:r>
        <w:rPr>
          <w:rFonts w:ascii="SimSun" w:hAnsi="SimSun" w:eastAsia="SimSun" w:cs="SimSun"/>
          <w:sz w:val="24"/>
          <w:szCs w:val="24"/>
          <w:spacing w:val="87"/>
        </w:rPr>
        <w:t xml:space="preserve"> </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1"/>
        </w:rPr>
        <w:t>50015-2019),      </w:t>
      </w:r>
      <w:r>
        <w:rPr>
          <w:rFonts w:ascii="SimSun" w:hAnsi="SimSun" w:eastAsia="SimSun" w:cs="SimSun"/>
          <w:sz w:val="24"/>
          <w:szCs w:val="24"/>
          <w:spacing w:val="1"/>
        </w:rPr>
        <w:t>结合项目实际情况核</w:t>
      </w:r>
    </w:p>
    <w:p>
      <w:pPr>
        <w:ind w:right="103"/>
        <w:spacing w:before="8" w:line="337" w:lineRule="auto"/>
        <w:rPr>
          <w:rFonts w:ascii="Times New Roman" w:hAnsi="Times New Roman" w:eastAsia="Times New Roman" w:cs="Times New Roman"/>
          <w:sz w:val="24"/>
          <w:szCs w:val="24"/>
        </w:rPr>
      </w:pPr>
      <w:r>
        <w:rPr>
          <w:rFonts w:ascii="SimSun" w:hAnsi="SimSun" w:eastAsia="SimSun" w:cs="SimSun"/>
          <w:sz w:val="24"/>
          <w:szCs w:val="24"/>
          <w:spacing w:val="-3"/>
        </w:rPr>
        <w:t>算：办公人员用水标准按60</w:t>
      </w:r>
      <w:r>
        <w:rPr>
          <w:rFonts w:ascii="Times New Roman" w:hAnsi="Times New Roman" w:eastAsia="Times New Roman" w:cs="Times New Roman"/>
          <w:sz w:val="24"/>
          <w:szCs w:val="24"/>
          <w:spacing w:val="-3"/>
        </w:rPr>
        <w:t>L/</w:t>
      </w:r>
      <w:r>
        <w:rPr>
          <w:rFonts w:ascii="SimSun" w:hAnsi="SimSun" w:eastAsia="SimSun" w:cs="SimSun"/>
          <w:sz w:val="24"/>
          <w:szCs w:val="24"/>
          <w:spacing w:val="-3"/>
        </w:rPr>
        <w:t>人·</w:t>
      </w:r>
      <w:r>
        <w:rPr>
          <w:rFonts w:ascii="Times New Roman" w:hAnsi="Times New Roman" w:eastAsia="Times New Roman" w:cs="Times New Roman"/>
          <w:sz w:val="24"/>
          <w:szCs w:val="24"/>
          <w:spacing w:val="-3"/>
        </w:rPr>
        <w:t>d</w:t>
      </w:r>
      <w:r>
        <w:rPr>
          <w:rFonts w:ascii="SimSun" w:hAnsi="SimSun" w:eastAsia="SimSun" w:cs="SimSun"/>
          <w:sz w:val="24"/>
          <w:szCs w:val="24"/>
          <w:spacing w:val="-3"/>
        </w:rPr>
        <w:t>计，用水量为12</w:t>
      </w:r>
      <w:r>
        <w:rPr>
          <w:rFonts w:ascii="Times New Roman" w:hAnsi="Times New Roman" w:eastAsia="Times New Roman" w:cs="Times New Roman"/>
          <w:sz w:val="24"/>
          <w:szCs w:val="24"/>
          <w:spacing w:val="-3"/>
        </w:rPr>
        <w:t>m³/d(4320m³/a),        </w:t>
      </w:r>
      <w:r>
        <w:rPr>
          <w:rFonts w:ascii="SimSun" w:hAnsi="SimSun" w:eastAsia="SimSun" w:cs="SimSun"/>
          <w:sz w:val="24"/>
          <w:szCs w:val="24"/>
          <w:spacing w:val="-3"/>
        </w:rPr>
        <w:t>排放系数</w:t>
      </w:r>
      <w:r>
        <w:rPr>
          <w:rFonts w:ascii="SimSun" w:hAnsi="SimSun" w:eastAsia="SimSun" w:cs="SimSun"/>
          <w:sz w:val="24"/>
          <w:szCs w:val="24"/>
          <w:spacing w:val="18"/>
        </w:rPr>
        <w:t xml:space="preserve"> </w:t>
      </w:r>
      <w:r>
        <w:rPr>
          <w:rFonts w:ascii="SimSun" w:hAnsi="SimSun" w:eastAsia="SimSun" w:cs="SimSun"/>
          <w:sz w:val="24"/>
          <w:szCs w:val="24"/>
          <w:spacing w:val="-2"/>
        </w:rPr>
        <w:t>按0.8计，职工生活污水排放量约9.6</w:t>
      </w:r>
      <w:r>
        <w:rPr>
          <w:rFonts w:ascii="Times New Roman" w:hAnsi="Times New Roman" w:eastAsia="Times New Roman" w:cs="Times New Roman"/>
          <w:sz w:val="24"/>
          <w:szCs w:val="24"/>
          <w:spacing w:val="-2"/>
        </w:rPr>
        <w:t>m³/d(3</w:t>
      </w:r>
      <w:r>
        <w:rPr>
          <w:rFonts w:ascii="Times New Roman" w:hAnsi="Times New Roman" w:eastAsia="Times New Roman" w:cs="Times New Roman"/>
          <w:sz w:val="24"/>
          <w:szCs w:val="24"/>
          <w:spacing w:val="-3"/>
        </w:rPr>
        <w:t>456m³/a);        </w:t>
      </w:r>
      <w:r>
        <w:rPr>
          <w:rFonts w:ascii="SimSun" w:hAnsi="SimSun" w:eastAsia="SimSun" w:cs="SimSun"/>
          <w:sz w:val="24"/>
          <w:szCs w:val="24"/>
          <w:spacing w:val="-3"/>
        </w:rPr>
        <w:t>食堂餐饮用水按10</w:t>
      </w:r>
      <w:r>
        <w:rPr>
          <w:rFonts w:ascii="Times New Roman" w:hAnsi="Times New Roman" w:eastAsia="Times New Roman" w:cs="Times New Roman"/>
          <w:sz w:val="24"/>
          <w:szCs w:val="24"/>
          <w:spacing w:val="-3"/>
        </w:rPr>
        <w:t>L/</w:t>
      </w:r>
    </w:p>
    <w:p>
      <w:pPr>
        <w:ind w:right="284"/>
        <w:spacing w:before="33" w:line="367" w:lineRule="auto"/>
        <w:rPr>
          <w:rFonts w:ascii="SimSun" w:hAnsi="SimSun" w:eastAsia="SimSun" w:cs="SimSun"/>
          <w:sz w:val="24"/>
          <w:szCs w:val="24"/>
        </w:rPr>
      </w:pPr>
      <w:r>
        <w:rPr>
          <w:rFonts w:ascii="SimSun" w:hAnsi="SimSun" w:eastAsia="SimSun" w:cs="SimSun"/>
          <w:sz w:val="24"/>
          <w:szCs w:val="24"/>
          <w:spacing w:val="-6"/>
        </w:rPr>
        <w:t>人</w:t>
      </w:r>
      <w:r>
        <w:rPr>
          <w:rFonts w:ascii="SimSun" w:hAnsi="SimSun" w:eastAsia="SimSun" w:cs="SimSun"/>
          <w:sz w:val="24"/>
          <w:szCs w:val="24"/>
          <w:spacing w:val="-33"/>
        </w:rPr>
        <w:t xml:space="preserve"> </w:t>
      </w:r>
      <w:r>
        <w:rPr>
          <w:rFonts w:ascii="SimSun" w:hAnsi="SimSun" w:eastAsia="SimSun" w:cs="SimSun"/>
          <w:sz w:val="24"/>
          <w:szCs w:val="24"/>
          <w:spacing w:val="-6"/>
        </w:rPr>
        <w:t>·餐计，则餐饮用水量为6</w:t>
      </w:r>
      <w:r>
        <w:rPr>
          <w:rFonts w:ascii="Times New Roman" w:hAnsi="Times New Roman" w:eastAsia="Times New Roman" w:cs="Times New Roman"/>
          <w:sz w:val="24"/>
          <w:szCs w:val="24"/>
          <w:spacing w:val="-6"/>
        </w:rPr>
        <w:t>m³/d(2160m³/a),        </w:t>
      </w:r>
      <w:r>
        <w:rPr>
          <w:rFonts w:ascii="SimSun" w:hAnsi="SimSun" w:eastAsia="SimSun" w:cs="SimSun"/>
          <w:sz w:val="24"/>
          <w:szCs w:val="24"/>
          <w:spacing w:val="-6"/>
        </w:rPr>
        <w:t>排放系数按</w:t>
      </w:r>
      <w:r>
        <w:rPr>
          <w:rFonts w:ascii="SimSun" w:hAnsi="SimSun" w:eastAsia="SimSun" w:cs="SimSun"/>
          <w:sz w:val="24"/>
          <w:szCs w:val="24"/>
          <w:spacing w:val="-7"/>
        </w:rPr>
        <w:t>0.8计，餐饮废水排</w:t>
      </w:r>
      <w:r>
        <w:rPr>
          <w:rFonts w:ascii="SimSun" w:hAnsi="SimSun" w:eastAsia="SimSun" w:cs="SimSun"/>
          <w:sz w:val="24"/>
          <w:szCs w:val="24"/>
        </w:rPr>
        <w:t xml:space="preserve"> </w:t>
      </w:r>
      <w:r>
        <w:rPr>
          <w:rFonts w:ascii="SimSun" w:hAnsi="SimSun" w:eastAsia="SimSun" w:cs="SimSun"/>
          <w:sz w:val="24"/>
          <w:szCs w:val="24"/>
          <w:spacing w:val="-5"/>
        </w:rPr>
        <w:t>放量约4.8m³/d(1728m³/a)。</w:t>
      </w:r>
    </w:p>
    <w:p>
      <w:pPr>
        <w:ind w:left="483"/>
        <w:spacing w:before="1" w:line="219" w:lineRule="auto"/>
        <w:rPr>
          <w:rFonts w:ascii="SimSun" w:hAnsi="SimSun" w:eastAsia="SimSun" w:cs="SimSun"/>
          <w:sz w:val="24"/>
          <w:szCs w:val="24"/>
        </w:rPr>
      </w:pPr>
      <w:r>
        <w:rPr>
          <w:rFonts w:ascii="SimSun" w:hAnsi="SimSun" w:eastAsia="SimSun" w:cs="SimSun"/>
          <w:sz w:val="24"/>
          <w:szCs w:val="24"/>
          <w:b/>
          <w:bCs/>
          <w:spacing w:val="19"/>
        </w:rPr>
        <w:t>2)生产用水</w:t>
      </w:r>
    </w:p>
    <w:p>
      <w:pPr>
        <w:ind w:left="483"/>
        <w:spacing w:before="172" w:line="217" w:lineRule="auto"/>
        <w:rPr>
          <w:rFonts w:ascii="SimSun" w:hAnsi="SimSun" w:eastAsia="SimSun" w:cs="SimSun"/>
          <w:sz w:val="24"/>
          <w:szCs w:val="24"/>
        </w:rPr>
      </w:pPr>
      <w:r>
        <w:rPr>
          <w:rFonts w:ascii="SimSun" w:hAnsi="SimSun" w:eastAsia="SimSun" w:cs="SimSun"/>
          <w:sz w:val="24"/>
          <w:szCs w:val="24"/>
          <w:b/>
          <w:bCs/>
        </w:rPr>
        <w:t>①生猪屠宰废水</w:t>
      </w:r>
    </w:p>
    <w:p>
      <w:pPr>
        <w:ind w:right="127" w:firstLine="480"/>
        <w:spacing w:before="218" w:line="353" w:lineRule="auto"/>
        <w:rPr>
          <w:rFonts w:ascii="Times New Roman" w:hAnsi="Times New Roman" w:eastAsia="Times New Roman" w:cs="Times New Roman"/>
          <w:sz w:val="24"/>
          <w:szCs w:val="24"/>
        </w:rPr>
      </w:pPr>
      <w:r>
        <w:rPr>
          <w:rFonts w:ascii="SimSun" w:hAnsi="SimSun" w:eastAsia="SimSun" w:cs="SimSun"/>
          <w:sz w:val="24"/>
          <w:szCs w:val="24"/>
        </w:rPr>
        <w:t>生猪屠宰用水主要包括待宰圈用水、待宰猪排放的畜粪冲洗水、生猪清洗</w:t>
      </w:r>
      <w:r>
        <w:rPr>
          <w:rFonts w:ascii="SimSun" w:hAnsi="SimSun" w:eastAsia="SimSun" w:cs="SimSun"/>
          <w:sz w:val="24"/>
          <w:szCs w:val="24"/>
          <w:spacing w:val="8"/>
        </w:rPr>
        <w:t xml:space="preserve"> </w:t>
      </w:r>
      <w:r>
        <w:rPr>
          <w:rFonts w:ascii="SimSun" w:hAnsi="SimSun" w:eastAsia="SimSun" w:cs="SimSun"/>
          <w:sz w:val="24"/>
          <w:szCs w:val="24"/>
        </w:rPr>
        <w:t>水、烫毛用水、内脏清洗水和车间地面、设备</w:t>
      </w:r>
      <w:r>
        <w:rPr>
          <w:rFonts w:ascii="SimSun" w:hAnsi="SimSun" w:eastAsia="SimSun" w:cs="SimSun"/>
          <w:sz w:val="24"/>
          <w:szCs w:val="24"/>
          <w:spacing w:val="-1"/>
        </w:rPr>
        <w:t>冲洗水等，参照《屠宰与肉类加</w:t>
      </w:r>
      <w:r>
        <w:rPr>
          <w:rFonts w:ascii="SimSun" w:hAnsi="SimSun" w:eastAsia="SimSun" w:cs="SimSun"/>
          <w:sz w:val="24"/>
          <w:szCs w:val="24"/>
        </w:rPr>
        <w:t xml:space="preserve"> </w:t>
      </w:r>
      <w:r>
        <w:rPr>
          <w:rFonts w:ascii="SimSun" w:hAnsi="SimSun" w:eastAsia="SimSun" w:cs="SimSun"/>
          <w:sz w:val="24"/>
          <w:szCs w:val="24"/>
          <w:spacing w:val="-4"/>
        </w:rPr>
        <w:t>工废水治理工程技术规范》 </w:t>
      </w:r>
      <w:r>
        <w:rPr>
          <w:rFonts w:ascii="Times New Roman" w:hAnsi="Times New Roman" w:eastAsia="Times New Roman" w:cs="Times New Roman"/>
          <w:sz w:val="24"/>
          <w:szCs w:val="24"/>
          <w:spacing w:val="-4"/>
        </w:rPr>
        <w:t>(HJ2004-2010)</w:t>
      </w:r>
      <w:r>
        <w:rPr>
          <w:rFonts w:ascii="Times New Roman" w:hAnsi="Times New Roman" w:eastAsia="Times New Roman" w:cs="Times New Roman"/>
          <w:sz w:val="24"/>
          <w:szCs w:val="24"/>
          <w:spacing w:val="14"/>
        </w:rPr>
        <w:t xml:space="preserve">   </w:t>
      </w:r>
      <w:r>
        <w:rPr>
          <w:rFonts w:ascii="SimSun" w:hAnsi="SimSun" w:eastAsia="SimSun" w:cs="SimSun"/>
          <w:sz w:val="24"/>
          <w:szCs w:val="24"/>
          <w:spacing w:val="-5"/>
        </w:rPr>
        <w:t>中生猪屠宰废水产生量为0.5-0.7</w:t>
      </w:r>
      <w:r>
        <w:rPr>
          <w:rFonts w:ascii="Times New Roman" w:hAnsi="Times New Roman" w:eastAsia="Times New Roman" w:cs="Times New Roman"/>
          <w:sz w:val="24"/>
          <w:szCs w:val="24"/>
          <w:spacing w:val="-5"/>
        </w:rPr>
        <w:t>m³</w:t>
      </w:r>
      <w:r>
        <w:rPr>
          <w:rFonts w:ascii="Times New Roman" w:hAnsi="Times New Roman" w:eastAsia="Times New Roman" w:cs="Times New Roman"/>
          <w:sz w:val="24"/>
          <w:szCs w:val="24"/>
          <w:spacing w:val="2"/>
        </w:rPr>
        <w:t xml:space="preserve"> </w:t>
      </w:r>
      <w:r>
        <w:rPr>
          <w:rFonts w:ascii="SimSun" w:hAnsi="SimSun" w:eastAsia="SimSun" w:cs="SimSun"/>
          <w:sz w:val="24"/>
          <w:szCs w:val="24"/>
          <w:spacing w:val="10"/>
        </w:rPr>
        <w:t>/头，废水量约为用水量的85%;《四川省用水定额》(川府函[2021]8号),猪</w:t>
      </w:r>
      <w:r>
        <w:rPr>
          <w:rFonts w:ascii="SimSun" w:hAnsi="SimSun" w:eastAsia="SimSun" w:cs="SimSun"/>
          <w:sz w:val="24"/>
          <w:szCs w:val="24"/>
          <w:spacing w:val="9"/>
        </w:rPr>
        <w:t xml:space="preserve"> </w:t>
      </w:r>
      <w:r>
        <w:rPr>
          <w:rFonts w:ascii="SimSun" w:hAnsi="SimSun" w:eastAsia="SimSun" w:cs="SimSun"/>
          <w:sz w:val="24"/>
          <w:szCs w:val="24"/>
          <w:spacing w:val="-6"/>
        </w:rPr>
        <w:t>屠宰加工用水定额为0.5-0.6m³/</w:t>
      </w:r>
      <w:r>
        <w:rPr>
          <w:rFonts w:ascii="SimSun" w:hAnsi="SimSun" w:eastAsia="SimSun" w:cs="SimSun"/>
          <w:sz w:val="24"/>
          <w:szCs w:val="24"/>
          <w:spacing w:val="-67"/>
        </w:rPr>
        <w:t xml:space="preserve"> </w:t>
      </w:r>
      <w:r>
        <w:rPr>
          <w:rFonts w:ascii="SimSun" w:hAnsi="SimSun" w:eastAsia="SimSun" w:cs="SimSun"/>
          <w:sz w:val="24"/>
          <w:szCs w:val="24"/>
          <w:spacing w:val="-6"/>
        </w:rPr>
        <w:t>头；《猪屠宰与分割车间设计规范》</w:t>
      </w:r>
      <w:r>
        <w:rPr>
          <w:rFonts w:ascii="SimSun" w:hAnsi="SimSun" w:eastAsia="SimSun" w:cs="SimSun"/>
          <w:sz w:val="24"/>
          <w:szCs w:val="24"/>
          <w:spacing w:val="-36"/>
        </w:rPr>
        <w:t xml:space="preserve"> </w:t>
      </w:r>
      <w:r>
        <w:rPr>
          <w:rFonts w:ascii="SimSun" w:hAnsi="SimSun" w:eastAsia="SimSun" w:cs="SimSun"/>
          <w:sz w:val="24"/>
          <w:szCs w:val="24"/>
          <w:spacing w:val="-6"/>
        </w:rPr>
        <w:t>(GB</w:t>
      </w:r>
      <w:r>
        <w:rPr>
          <w:rFonts w:ascii="SimSun" w:hAnsi="SimSun" w:eastAsia="SimSun" w:cs="SimSun"/>
          <w:sz w:val="24"/>
          <w:szCs w:val="24"/>
          <w:spacing w:val="-7"/>
        </w:rPr>
        <w:t>50317-</w:t>
      </w:r>
      <w:r>
        <w:rPr>
          <w:rFonts w:ascii="SimSun" w:hAnsi="SimSun" w:eastAsia="SimSun" w:cs="SimSun"/>
          <w:sz w:val="24"/>
          <w:szCs w:val="24"/>
        </w:rPr>
        <w:t xml:space="preserve"> </w:t>
      </w:r>
      <w:r>
        <w:rPr>
          <w:rFonts w:ascii="SimSun" w:hAnsi="SimSun" w:eastAsia="SimSun" w:cs="SimSun"/>
          <w:sz w:val="24"/>
          <w:szCs w:val="24"/>
          <w:spacing w:val="3"/>
        </w:rPr>
        <w:t>2009)第8章给水排水：屠宰与分割车间每头猪的生产用水量按(0.40~0.60</w:t>
      </w:r>
      <w:r>
        <w:rPr>
          <w:rFonts w:ascii="Times New Roman" w:hAnsi="Times New Roman" w:eastAsia="Times New Roman" w:cs="Times New Roman"/>
          <w:sz w:val="24"/>
          <w:szCs w:val="24"/>
          <w:spacing w:val="3"/>
        </w:rPr>
        <w:t>m</w:t>
      </w:r>
    </w:p>
    <w:p>
      <w:pPr>
        <w:spacing w:before="41" w:line="218" w:lineRule="auto"/>
        <w:rPr>
          <w:rFonts w:ascii="SimSun" w:hAnsi="SimSun" w:eastAsia="SimSun" w:cs="SimSun"/>
          <w:sz w:val="24"/>
          <w:szCs w:val="24"/>
        </w:rPr>
      </w:pPr>
      <w:r>
        <w:rPr>
          <w:rFonts w:ascii="SimSun" w:hAnsi="SimSun" w:eastAsia="SimSun" w:cs="SimSun"/>
          <w:sz w:val="24"/>
          <w:szCs w:val="24"/>
          <w:spacing w:val="6"/>
        </w:rPr>
        <w:t>3)计算；《排放源统计调查产排污核算方法和系数手</w:t>
      </w:r>
      <w:r>
        <w:rPr>
          <w:rFonts w:ascii="SimSun" w:hAnsi="SimSun" w:eastAsia="SimSun" w:cs="SimSun"/>
          <w:sz w:val="24"/>
          <w:szCs w:val="24"/>
          <w:spacing w:val="5"/>
        </w:rPr>
        <w:t>册》(环境部公告2021年</w:t>
      </w:r>
    </w:p>
    <w:p>
      <w:pPr>
        <w:spacing w:line="218" w:lineRule="auto"/>
        <w:sectPr>
          <w:headerReference w:type="default" r:id="rId226"/>
          <w:footerReference w:type="default" r:id="rId227"/>
          <w:pgSz w:w="11910" w:h="16840"/>
          <w:pgMar w:top="1207" w:right="1786" w:bottom="962" w:left="1769" w:header="915" w:footer="777" w:gutter="0"/>
        </w:sectPr>
        <w:rPr>
          <w:rFonts w:ascii="SimSun" w:hAnsi="SimSun" w:eastAsia="SimSun" w:cs="SimSun"/>
          <w:sz w:val="24"/>
          <w:szCs w:val="24"/>
        </w:rPr>
      </w:pPr>
    </w:p>
    <w:p>
      <w:pPr>
        <w:ind w:right="225"/>
        <w:spacing w:before="299" w:line="365" w:lineRule="auto"/>
        <w:rPr>
          <w:rFonts w:ascii="SimSun" w:hAnsi="SimSun" w:eastAsia="SimSun" w:cs="SimSun"/>
          <w:sz w:val="23"/>
          <w:szCs w:val="23"/>
        </w:rPr>
      </w:pPr>
      <w:r>
        <w:rPr>
          <w:rFonts w:ascii="SimSun" w:hAnsi="SimSun" w:eastAsia="SimSun" w:cs="SimSun"/>
          <w:sz w:val="23"/>
          <w:szCs w:val="23"/>
          <w:spacing w:val="11"/>
        </w:rPr>
        <w:t>第24号)中135屠宰及肉类加工行业系数手</w:t>
      </w:r>
      <w:r>
        <w:rPr>
          <w:rFonts w:ascii="SimSun" w:hAnsi="SimSun" w:eastAsia="SimSun" w:cs="SimSun"/>
          <w:sz w:val="23"/>
          <w:szCs w:val="23"/>
          <w:spacing w:val="10"/>
        </w:rPr>
        <w:t>册中1351牲畜屠宰行业产污系数表-</w:t>
      </w:r>
      <w:r>
        <w:rPr>
          <w:rFonts w:ascii="SimSun" w:hAnsi="SimSun" w:eastAsia="SimSun" w:cs="SimSun"/>
          <w:sz w:val="23"/>
          <w:szCs w:val="23"/>
        </w:rPr>
        <w:t xml:space="preserve"> </w:t>
      </w:r>
      <w:r>
        <w:rPr>
          <w:rFonts w:ascii="SimSun" w:hAnsi="SimSun" w:eastAsia="SimSun" w:cs="SimSun"/>
          <w:sz w:val="23"/>
          <w:szCs w:val="23"/>
          <w:spacing w:val="-4"/>
        </w:rPr>
        <w:t>白条肉-生猪-半机械化屠宰-70-1500头/天-废水产生系数：0.535t/头。</w:t>
      </w:r>
    </w:p>
    <w:p>
      <w:pPr>
        <w:ind w:right="189" w:firstLine="470"/>
        <w:spacing w:before="1" w:line="377" w:lineRule="auto"/>
        <w:rPr>
          <w:rFonts w:ascii="SimSun" w:hAnsi="SimSun" w:eastAsia="SimSun" w:cs="SimSun"/>
          <w:sz w:val="23"/>
          <w:szCs w:val="23"/>
        </w:rPr>
      </w:pPr>
      <w:r>
        <w:rPr>
          <w:rFonts w:ascii="SimSun" w:hAnsi="SimSun" w:eastAsia="SimSun" w:cs="SimSun"/>
          <w:sz w:val="23"/>
          <w:szCs w:val="23"/>
          <w:spacing w:val="10"/>
        </w:rPr>
        <w:t>本项目生猪采取机械化屠宰，屠宰设备为节能节水型</w:t>
      </w:r>
      <w:r>
        <w:rPr>
          <w:rFonts w:ascii="SimSun" w:hAnsi="SimSun" w:eastAsia="SimSun" w:cs="SimSun"/>
          <w:sz w:val="23"/>
          <w:szCs w:val="23"/>
          <w:spacing w:val="9"/>
        </w:rPr>
        <w:t>，设计年屠宰生猪40</w:t>
      </w:r>
      <w:r>
        <w:rPr>
          <w:rFonts w:ascii="SimSun" w:hAnsi="SimSun" w:eastAsia="SimSun" w:cs="SimSun"/>
          <w:sz w:val="23"/>
          <w:szCs w:val="23"/>
        </w:rPr>
        <w:t xml:space="preserve"> </w:t>
      </w:r>
      <w:r>
        <w:rPr>
          <w:rFonts w:ascii="SimSun" w:hAnsi="SimSun" w:eastAsia="SimSun" w:cs="SimSun"/>
          <w:sz w:val="23"/>
          <w:szCs w:val="23"/>
          <w:spacing w:val="13"/>
        </w:rPr>
        <w:t>万头，用水量根据《排放源统计调查产排污核算方法和系数手册》(环境部公</w:t>
      </w:r>
      <w:r>
        <w:rPr>
          <w:rFonts w:ascii="SimSun" w:hAnsi="SimSun" w:eastAsia="SimSun" w:cs="SimSun"/>
          <w:sz w:val="23"/>
          <w:szCs w:val="23"/>
          <w:spacing w:val="5"/>
        </w:rPr>
        <w:t xml:space="preserve"> </w:t>
      </w:r>
      <w:r>
        <w:rPr>
          <w:rFonts w:ascii="SimSun" w:hAnsi="SimSun" w:eastAsia="SimSun" w:cs="SimSun"/>
          <w:sz w:val="23"/>
          <w:szCs w:val="23"/>
          <w:spacing w:val="14"/>
        </w:rPr>
        <w:t>告2021年第24号)中废水产生系数及</w:t>
      </w:r>
      <w:r>
        <w:rPr>
          <w:rFonts w:ascii="SimSun" w:hAnsi="SimSun" w:eastAsia="SimSun" w:cs="SimSun"/>
          <w:sz w:val="23"/>
          <w:szCs w:val="23"/>
          <w:spacing w:val="13"/>
        </w:rPr>
        <w:t>排放系数85%进行核算，淡季屠宰量为</w:t>
      </w:r>
    </w:p>
    <w:p>
      <w:pPr>
        <w:ind w:right="371"/>
        <w:spacing w:before="2" w:line="362" w:lineRule="auto"/>
        <w:rPr>
          <w:rFonts w:ascii="SimSun" w:hAnsi="SimSun" w:eastAsia="SimSun" w:cs="SimSun"/>
          <w:sz w:val="23"/>
          <w:szCs w:val="23"/>
        </w:rPr>
      </w:pPr>
      <w:r>
        <w:rPr>
          <w:rFonts w:ascii="SimSun" w:hAnsi="SimSun" w:eastAsia="SimSun" w:cs="SimSun"/>
          <w:sz w:val="23"/>
          <w:szCs w:val="23"/>
          <w:spacing w:val="3"/>
        </w:rPr>
        <w:t>1000头/天，废水产生系数：0.535</w:t>
      </w:r>
      <w:r>
        <w:rPr>
          <w:rFonts w:ascii="Times New Roman" w:hAnsi="Times New Roman" w:eastAsia="Times New Roman" w:cs="Times New Roman"/>
          <w:sz w:val="23"/>
          <w:szCs w:val="23"/>
          <w:spacing w:val="3"/>
        </w:rPr>
        <w:t>t/</w:t>
      </w:r>
      <w:r>
        <w:rPr>
          <w:rFonts w:ascii="SimSun" w:hAnsi="SimSun" w:eastAsia="SimSun" w:cs="SimSun"/>
          <w:sz w:val="23"/>
          <w:szCs w:val="23"/>
          <w:spacing w:val="3"/>
        </w:rPr>
        <w:t>头；旺季屠宰量为1444头/天，废水产生系</w:t>
      </w:r>
      <w:r>
        <w:rPr>
          <w:rFonts w:ascii="SimSun" w:hAnsi="SimSun" w:eastAsia="SimSun" w:cs="SimSun"/>
          <w:sz w:val="23"/>
          <w:szCs w:val="23"/>
          <w:spacing w:val="8"/>
        </w:rPr>
        <w:t xml:space="preserve"> </w:t>
      </w:r>
      <w:r>
        <w:rPr>
          <w:rFonts w:ascii="SimSun" w:hAnsi="SimSun" w:eastAsia="SimSun" w:cs="SimSun"/>
          <w:sz w:val="23"/>
          <w:szCs w:val="23"/>
          <w:spacing w:val="1"/>
        </w:rPr>
        <w:t>数：0.535</w:t>
      </w:r>
      <w:r>
        <w:rPr>
          <w:rFonts w:ascii="Times New Roman" w:hAnsi="Times New Roman" w:eastAsia="Times New Roman" w:cs="Times New Roman"/>
          <w:sz w:val="23"/>
          <w:szCs w:val="23"/>
          <w:spacing w:val="1"/>
        </w:rPr>
        <w:t>t/</w:t>
      </w:r>
      <w:r>
        <w:rPr>
          <w:rFonts w:ascii="SimSun" w:hAnsi="SimSun" w:eastAsia="SimSun" w:cs="SimSun"/>
          <w:sz w:val="23"/>
          <w:szCs w:val="23"/>
          <w:spacing w:val="1"/>
        </w:rPr>
        <w:t>头，则屠宰废水量为213978.6</w:t>
      </w:r>
      <w:r>
        <w:rPr>
          <w:rFonts w:ascii="Times New Roman" w:hAnsi="Times New Roman" w:eastAsia="Times New Roman" w:cs="Times New Roman"/>
          <w:sz w:val="23"/>
          <w:szCs w:val="23"/>
          <w:spacing w:val="1"/>
        </w:rPr>
        <w:t>m³/a</w:t>
      </w:r>
      <w:r>
        <w:rPr>
          <w:rFonts w:ascii="Times New Roman" w:hAnsi="Times New Roman" w:eastAsia="Times New Roman" w:cs="Times New Roman"/>
          <w:sz w:val="23"/>
          <w:szCs w:val="23"/>
          <w:spacing w:val="-18"/>
        </w:rPr>
        <w:t xml:space="preserve"> </w:t>
      </w:r>
      <w:r>
        <w:rPr>
          <w:rFonts w:ascii="SimSun" w:hAnsi="SimSun" w:eastAsia="SimSun" w:cs="SimSun"/>
          <w:sz w:val="23"/>
          <w:szCs w:val="23"/>
          <w:spacing w:val="1"/>
        </w:rPr>
        <w:t>、屠宰用水量为251739.53</w:t>
      </w:r>
      <w:r>
        <w:rPr>
          <w:rFonts w:ascii="Times New Roman" w:hAnsi="Times New Roman" w:eastAsia="Times New Roman" w:cs="Times New Roman"/>
          <w:sz w:val="23"/>
          <w:szCs w:val="23"/>
          <w:spacing w:val="1"/>
        </w:rPr>
        <w:t>m³/a</w:t>
      </w:r>
      <w:r>
        <w:rPr>
          <w:rFonts w:ascii="SimSun" w:hAnsi="SimSun" w:eastAsia="SimSun" w:cs="SimSun"/>
          <w:sz w:val="23"/>
          <w:szCs w:val="23"/>
          <w:spacing w:val="1"/>
        </w:rPr>
        <w:t>。</w:t>
      </w:r>
    </w:p>
    <w:p>
      <w:pPr>
        <w:ind w:left="473"/>
        <w:spacing w:line="217" w:lineRule="auto"/>
        <w:rPr>
          <w:rFonts w:ascii="SimSun" w:hAnsi="SimSun" w:eastAsia="SimSun" w:cs="SimSun"/>
          <w:sz w:val="23"/>
          <w:szCs w:val="23"/>
        </w:rPr>
      </w:pPr>
      <w:r>
        <w:rPr>
          <w:rFonts w:ascii="SimSun" w:hAnsi="SimSun" w:eastAsia="SimSun" w:cs="SimSun"/>
          <w:sz w:val="23"/>
          <w:szCs w:val="23"/>
          <w:b/>
          <w:bCs/>
          <w:spacing w:val="11"/>
        </w:rPr>
        <w:t>②肉牛屠宰废水</w:t>
      </w:r>
    </w:p>
    <w:p>
      <w:pPr>
        <w:ind w:right="185" w:firstLine="470"/>
        <w:spacing w:before="226" w:line="368" w:lineRule="auto"/>
        <w:rPr>
          <w:rFonts w:ascii="Times New Roman" w:hAnsi="Times New Roman" w:eastAsia="Times New Roman" w:cs="Times New Roman"/>
          <w:sz w:val="23"/>
          <w:szCs w:val="23"/>
        </w:rPr>
      </w:pPr>
      <w:r>
        <w:rPr>
          <w:rFonts w:ascii="SimSun" w:hAnsi="SimSun" w:eastAsia="SimSun" w:cs="SimSun"/>
          <w:sz w:val="23"/>
          <w:szCs w:val="23"/>
          <w:spacing w:val="10"/>
        </w:rPr>
        <w:t>肉牛屠宰用水主要包括待宰圈用水、待宰牛排放的畜粪冲洗水、肉</w:t>
      </w:r>
      <w:r>
        <w:rPr>
          <w:rFonts w:ascii="SimSun" w:hAnsi="SimSun" w:eastAsia="SimSun" w:cs="SimSun"/>
          <w:sz w:val="23"/>
          <w:szCs w:val="23"/>
          <w:spacing w:val="9"/>
        </w:rPr>
        <w:t>牛清洗</w:t>
      </w:r>
      <w:r>
        <w:rPr>
          <w:rFonts w:ascii="SimSun" w:hAnsi="SimSun" w:eastAsia="SimSun" w:cs="SimSun"/>
          <w:sz w:val="23"/>
          <w:szCs w:val="23"/>
        </w:rPr>
        <w:t xml:space="preserve"> </w:t>
      </w:r>
      <w:r>
        <w:rPr>
          <w:rFonts w:ascii="SimSun" w:hAnsi="SimSun" w:eastAsia="SimSun" w:cs="SimSun"/>
          <w:sz w:val="23"/>
          <w:szCs w:val="23"/>
          <w:spacing w:val="10"/>
        </w:rPr>
        <w:t>水、烫毛用水、内脏清洗水和车间地面、设备冲洗水等，参照《屠宰与</w:t>
      </w:r>
      <w:r>
        <w:rPr>
          <w:rFonts w:ascii="SimSun" w:hAnsi="SimSun" w:eastAsia="SimSun" w:cs="SimSun"/>
          <w:sz w:val="23"/>
          <w:szCs w:val="23"/>
          <w:spacing w:val="9"/>
        </w:rPr>
        <w:t>肉类加</w:t>
      </w:r>
      <w:r>
        <w:rPr>
          <w:rFonts w:ascii="SimSun" w:hAnsi="SimSun" w:eastAsia="SimSun" w:cs="SimSun"/>
          <w:sz w:val="23"/>
          <w:szCs w:val="23"/>
        </w:rPr>
        <w:t xml:space="preserve"> </w:t>
      </w:r>
      <w:r>
        <w:rPr>
          <w:rFonts w:ascii="SimSun" w:hAnsi="SimSun" w:eastAsia="SimSun" w:cs="SimSun"/>
          <w:sz w:val="23"/>
          <w:szCs w:val="23"/>
        </w:rPr>
        <w:t>工废水治理工程技术规范》</w:t>
      </w:r>
      <w:r>
        <w:rPr>
          <w:rFonts w:ascii="SimSun" w:hAnsi="SimSun" w:eastAsia="SimSun" w:cs="SimSun"/>
          <w:sz w:val="23"/>
          <w:szCs w:val="23"/>
          <w:spacing w:val="75"/>
        </w:rPr>
        <w:t xml:space="preserve"> </w:t>
      </w:r>
      <w:r>
        <w:rPr>
          <w:rFonts w:ascii="Times New Roman" w:hAnsi="Times New Roman" w:eastAsia="Times New Roman" w:cs="Times New Roman"/>
          <w:sz w:val="23"/>
          <w:szCs w:val="23"/>
        </w:rPr>
        <w:t>(HJ2004-20</w:t>
      </w:r>
      <w:r>
        <w:rPr>
          <w:rFonts w:ascii="Times New Roman" w:hAnsi="Times New Roman" w:eastAsia="Times New Roman" w:cs="Times New Roman"/>
          <w:sz w:val="23"/>
          <w:szCs w:val="23"/>
          <w:spacing w:val="-1"/>
        </w:rPr>
        <w:t>10)     </w:t>
      </w:r>
      <w:r>
        <w:rPr>
          <w:rFonts w:ascii="SimSun" w:hAnsi="SimSun" w:eastAsia="SimSun" w:cs="SimSun"/>
          <w:sz w:val="23"/>
          <w:szCs w:val="23"/>
          <w:spacing w:val="-1"/>
        </w:rPr>
        <w:t>中牛屠宰废水产生量为1.0-1.5</w:t>
      </w:r>
      <w:r>
        <w:rPr>
          <w:rFonts w:ascii="Times New Roman" w:hAnsi="Times New Roman" w:eastAsia="Times New Roman" w:cs="Times New Roman"/>
          <w:sz w:val="23"/>
          <w:szCs w:val="23"/>
          <w:spacing w:val="-1"/>
        </w:rPr>
        <w:t>m³/</w:t>
      </w:r>
    </w:p>
    <w:p>
      <w:pPr>
        <w:ind w:right="189"/>
        <w:spacing w:before="30" w:line="368" w:lineRule="auto"/>
        <w:rPr>
          <w:rFonts w:ascii="SimSun" w:hAnsi="SimSun" w:eastAsia="SimSun" w:cs="SimSun"/>
          <w:sz w:val="23"/>
          <w:szCs w:val="23"/>
        </w:rPr>
      </w:pPr>
      <w:r>
        <w:rPr>
          <w:rFonts w:ascii="SimSun" w:hAnsi="SimSun" w:eastAsia="SimSun" w:cs="SimSun"/>
          <w:sz w:val="23"/>
          <w:szCs w:val="23"/>
          <w:spacing w:val="20"/>
        </w:rPr>
        <w:t>头，废水量约为用水量的85%;《四川省用水定额》(川府函[2021]8号),牛</w:t>
      </w:r>
      <w:r>
        <w:rPr>
          <w:rFonts w:ascii="SimSun" w:hAnsi="SimSun" w:eastAsia="SimSun" w:cs="SimSun"/>
          <w:sz w:val="23"/>
          <w:szCs w:val="23"/>
          <w:spacing w:val="12"/>
        </w:rPr>
        <w:t xml:space="preserve"> </w:t>
      </w:r>
      <w:r>
        <w:rPr>
          <w:rFonts w:ascii="SimSun" w:hAnsi="SimSun" w:eastAsia="SimSun" w:cs="SimSun"/>
          <w:sz w:val="23"/>
          <w:szCs w:val="23"/>
          <w:spacing w:val="5"/>
        </w:rPr>
        <w:t>屠宰加工用水定额为0.8-1m³/头；《牛羊屠宰与分割</w:t>
      </w:r>
      <w:r>
        <w:rPr>
          <w:rFonts w:ascii="SimSun" w:hAnsi="SimSun" w:eastAsia="SimSun" w:cs="SimSun"/>
          <w:sz w:val="23"/>
          <w:szCs w:val="23"/>
          <w:spacing w:val="4"/>
        </w:rPr>
        <w:t>车间设计规范》</w:t>
      </w:r>
    </w:p>
    <w:p>
      <w:pPr>
        <w:ind w:left="120"/>
        <w:spacing w:before="1" w:line="212" w:lineRule="auto"/>
        <w:rPr>
          <w:rFonts w:ascii="SimSun" w:hAnsi="SimSun" w:eastAsia="SimSun" w:cs="SimSun"/>
          <w:sz w:val="23"/>
          <w:szCs w:val="23"/>
        </w:rPr>
      </w:pP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7"/>
        </w:rPr>
        <w:t>51225-2017)    </w:t>
      </w:r>
      <w:r>
        <w:rPr>
          <w:rFonts w:ascii="SimSun" w:hAnsi="SimSun" w:eastAsia="SimSun" w:cs="SimSun"/>
          <w:sz w:val="23"/>
          <w:szCs w:val="23"/>
          <w:spacing w:val="7"/>
        </w:rPr>
        <w:t>第9章给水排水：屠宰与分割车间每头牛的生产用水量按</w:t>
      </w:r>
    </w:p>
    <w:p>
      <w:pPr>
        <w:ind w:right="65" w:firstLine="130"/>
        <w:spacing w:before="232" w:line="362" w:lineRule="auto"/>
        <w:rPr>
          <w:rFonts w:ascii="SimSun" w:hAnsi="SimSun" w:eastAsia="SimSun" w:cs="SimSun"/>
          <w:sz w:val="23"/>
          <w:szCs w:val="23"/>
        </w:rPr>
      </w:pPr>
      <w:r>
        <w:rPr>
          <w:rFonts w:ascii="SimSun" w:hAnsi="SimSun" w:eastAsia="SimSun" w:cs="SimSun"/>
          <w:sz w:val="23"/>
          <w:szCs w:val="23"/>
          <w:spacing w:val="5"/>
        </w:rPr>
        <w:t>(1.00~1.40m³) 计算； 《排放源统计调查产排污核算方法和系数手册》(环境</w:t>
      </w:r>
      <w:r>
        <w:rPr>
          <w:rFonts w:ascii="SimSun" w:hAnsi="SimSun" w:eastAsia="SimSun" w:cs="SimSun"/>
          <w:sz w:val="23"/>
          <w:szCs w:val="23"/>
          <w:spacing w:val="4"/>
        </w:rPr>
        <w:t xml:space="preserve">  </w:t>
      </w:r>
      <w:r>
        <w:rPr>
          <w:rFonts w:ascii="SimSun" w:hAnsi="SimSun" w:eastAsia="SimSun" w:cs="SimSun"/>
          <w:sz w:val="23"/>
          <w:szCs w:val="23"/>
          <w:spacing w:val="11"/>
        </w:rPr>
        <w:t>部公告2021年第24号)中135屠宰及肉类加工行业系数手册中1351牲畜屠宰行业</w:t>
      </w:r>
      <w:r>
        <w:rPr>
          <w:rFonts w:ascii="SimSun" w:hAnsi="SimSun" w:eastAsia="SimSun" w:cs="SimSun"/>
          <w:sz w:val="23"/>
          <w:szCs w:val="23"/>
          <w:spacing w:val="5"/>
        </w:rPr>
        <w:t xml:space="preserve"> </w:t>
      </w:r>
      <w:r>
        <w:rPr>
          <w:rFonts w:ascii="SimSun" w:hAnsi="SimSun" w:eastAsia="SimSun" w:cs="SimSun"/>
          <w:sz w:val="23"/>
          <w:szCs w:val="23"/>
          <w:spacing w:val="9"/>
        </w:rPr>
        <w:t>产污系数表-牛肉(含牛四分体)-活牛-半机械化屠宰/</w:t>
      </w:r>
      <w:r>
        <w:rPr>
          <w:rFonts w:ascii="SimSun" w:hAnsi="SimSun" w:eastAsia="SimSun" w:cs="SimSun"/>
          <w:sz w:val="23"/>
          <w:szCs w:val="23"/>
          <w:spacing w:val="8"/>
        </w:rPr>
        <w:t>机械化屠宰-所有规模-废</w:t>
      </w:r>
      <w:r>
        <w:rPr>
          <w:rFonts w:ascii="SimSun" w:hAnsi="SimSun" w:eastAsia="SimSun" w:cs="SimSun"/>
          <w:sz w:val="23"/>
          <w:szCs w:val="23"/>
        </w:rPr>
        <w:t xml:space="preserve">  </w:t>
      </w:r>
      <w:r>
        <w:rPr>
          <w:rFonts w:ascii="SimSun" w:hAnsi="SimSun" w:eastAsia="SimSun" w:cs="SimSun"/>
          <w:sz w:val="23"/>
          <w:szCs w:val="23"/>
        </w:rPr>
        <w:t>水产生系数：0.941</w:t>
      </w:r>
      <w:r>
        <w:rPr>
          <w:rFonts w:ascii="Times New Roman" w:hAnsi="Times New Roman" w:eastAsia="Times New Roman" w:cs="Times New Roman"/>
          <w:sz w:val="23"/>
          <w:szCs w:val="23"/>
        </w:rPr>
        <w:t>t/</w:t>
      </w:r>
      <w:r>
        <w:rPr>
          <w:rFonts w:ascii="SimSun" w:hAnsi="SimSun" w:eastAsia="SimSun" w:cs="SimSun"/>
          <w:sz w:val="23"/>
          <w:szCs w:val="23"/>
        </w:rPr>
        <w:t>头。</w:t>
      </w:r>
    </w:p>
    <w:p>
      <w:pPr>
        <w:ind w:right="21" w:firstLine="470"/>
        <w:spacing w:before="35" w:line="370" w:lineRule="auto"/>
        <w:jc w:val="both"/>
        <w:rPr>
          <w:rFonts w:ascii="SimSun" w:hAnsi="SimSun" w:eastAsia="SimSun" w:cs="SimSun"/>
          <w:sz w:val="23"/>
          <w:szCs w:val="23"/>
        </w:rPr>
      </w:pPr>
      <w:r>
        <w:rPr>
          <w:rFonts w:ascii="SimSun" w:hAnsi="SimSun" w:eastAsia="SimSun" w:cs="SimSun"/>
          <w:sz w:val="23"/>
          <w:szCs w:val="23"/>
          <w:spacing w:val="10"/>
        </w:rPr>
        <w:t>本项目肉牛采取机械化屠宰，屠宰设备为节能节水型，设计年屠宰肉牛4万</w:t>
      </w:r>
      <w:r>
        <w:rPr>
          <w:rFonts w:ascii="SimSun" w:hAnsi="SimSun" w:eastAsia="SimSun" w:cs="SimSun"/>
          <w:sz w:val="23"/>
          <w:szCs w:val="23"/>
          <w:spacing w:val="8"/>
        </w:rPr>
        <w:t xml:space="preserve"> </w:t>
      </w:r>
      <w:r>
        <w:rPr>
          <w:rFonts w:ascii="SimSun" w:hAnsi="SimSun" w:eastAsia="SimSun" w:cs="SimSun"/>
          <w:sz w:val="23"/>
          <w:szCs w:val="23"/>
          <w:spacing w:val="17"/>
        </w:rPr>
        <w:t>头，用水量根据《排放源统计调查产排污核算方法和系数手册》(环境部公告</w:t>
      </w:r>
      <w:r>
        <w:rPr>
          <w:rFonts w:ascii="SimSun" w:hAnsi="SimSun" w:eastAsia="SimSun" w:cs="SimSun"/>
          <w:sz w:val="23"/>
          <w:szCs w:val="23"/>
          <w:spacing w:val="2"/>
        </w:rPr>
        <w:t xml:space="preserve"> </w:t>
      </w:r>
      <w:r>
        <w:rPr>
          <w:rFonts w:ascii="SimSun" w:hAnsi="SimSun" w:eastAsia="SimSun" w:cs="SimSun"/>
          <w:sz w:val="23"/>
          <w:szCs w:val="23"/>
          <w:spacing w:val="19"/>
        </w:rPr>
        <w:t>2021年第24号)中废水产生系数及排放系数85%进行核算，淡旺季废水产生系</w:t>
      </w:r>
      <w:r>
        <w:rPr>
          <w:rFonts w:ascii="SimSun" w:hAnsi="SimSun" w:eastAsia="SimSun" w:cs="SimSun"/>
          <w:sz w:val="23"/>
          <w:szCs w:val="23"/>
          <w:spacing w:val="8"/>
        </w:rPr>
        <w:t xml:space="preserve"> </w:t>
      </w:r>
      <w:r>
        <w:rPr>
          <w:rFonts w:ascii="SimSun" w:hAnsi="SimSun" w:eastAsia="SimSun" w:cs="SimSun"/>
          <w:sz w:val="23"/>
          <w:szCs w:val="23"/>
          <w:spacing w:val="-1"/>
        </w:rPr>
        <w:t>数：0.941t/头，则屠宰废水量为37602.36m³/a、屠宰用水量为44238.07m³/a。</w:t>
      </w:r>
    </w:p>
    <w:p>
      <w:pPr>
        <w:ind w:left="473"/>
        <w:spacing w:before="1" w:line="217" w:lineRule="auto"/>
        <w:rPr>
          <w:rFonts w:ascii="SimSun" w:hAnsi="SimSun" w:eastAsia="SimSun" w:cs="SimSun"/>
          <w:sz w:val="23"/>
          <w:szCs w:val="23"/>
        </w:rPr>
      </w:pPr>
      <w:r>
        <w:rPr>
          <w:rFonts w:ascii="SimSun" w:hAnsi="SimSun" w:eastAsia="SimSun" w:cs="SimSun"/>
          <w:sz w:val="23"/>
          <w:szCs w:val="23"/>
          <w:b/>
          <w:bCs/>
          <w:spacing w:val="8"/>
        </w:rPr>
        <w:t>③车辆冲洗废水</w:t>
      </w:r>
    </w:p>
    <w:p>
      <w:pPr>
        <w:ind w:right="89" w:firstLine="470"/>
        <w:spacing w:before="213" w:line="364" w:lineRule="auto"/>
        <w:jc w:val="both"/>
        <w:rPr>
          <w:rFonts w:ascii="SimSun" w:hAnsi="SimSun" w:eastAsia="SimSun" w:cs="SimSun"/>
          <w:sz w:val="23"/>
          <w:szCs w:val="23"/>
        </w:rPr>
      </w:pPr>
      <w:r>
        <w:rPr>
          <w:rFonts w:ascii="SimSun" w:hAnsi="SimSun" w:eastAsia="SimSun" w:cs="SimSun"/>
          <w:sz w:val="23"/>
          <w:szCs w:val="23"/>
          <w:spacing w:val="11"/>
        </w:rPr>
        <w:t>运输车辆每次出厂前和进厂后均须进行清洗，项目淡季运输车辆平均为30</w:t>
      </w:r>
      <w:r>
        <w:rPr>
          <w:rFonts w:ascii="SimSun" w:hAnsi="SimSun" w:eastAsia="SimSun" w:cs="SimSun"/>
          <w:sz w:val="23"/>
          <w:szCs w:val="23"/>
          <w:spacing w:val="17"/>
        </w:rPr>
        <w:t xml:space="preserve"> </w:t>
      </w:r>
      <w:r>
        <w:rPr>
          <w:rFonts w:ascii="SimSun" w:hAnsi="SimSun" w:eastAsia="SimSun" w:cs="SimSun"/>
          <w:sz w:val="23"/>
          <w:szCs w:val="23"/>
          <w:spacing w:val="15"/>
        </w:rPr>
        <w:t>辆/</w:t>
      </w:r>
      <w:r>
        <w:rPr>
          <w:rFonts w:ascii="Times New Roman" w:hAnsi="Times New Roman" w:eastAsia="Times New Roman" w:cs="Times New Roman"/>
          <w:sz w:val="23"/>
          <w:szCs w:val="23"/>
          <w:spacing w:val="15"/>
        </w:rPr>
        <w:t>d,</w:t>
      </w:r>
      <w:r>
        <w:rPr>
          <w:rFonts w:ascii="Times New Roman" w:hAnsi="Times New Roman" w:eastAsia="Times New Roman" w:cs="Times New Roman"/>
          <w:sz w:val="23"/>
          <w:szCs w:val="23"/>
          <w:spacing w:val="4"/>
        </w:rPr>
        <w:t xml:space="preserve">   </w:t>
      </w:r>
      <w:r>
        <w:rPr>
          <w:rFonts w:ascii="SimSun" w:hAnsi="SimSun" w:eastAsia="SimSun" w:cs="SimSun"/>
          <w:sz w:val="23"/>
          <w:szCs w:val="23"/>
          <w:spacing w:val="15"/>
        </w:rPr>
        <w:t>旺季为40辆/</w:t>
      </w:r>
      <w:r>
        <w:rPr>
          <w:rFonts w:ascii="Times New Roman" w:hAnsi="Times New Roman" w:eastAsia="Times New Roman" w:cs="Times New Roman"/>
          <w:sz w:val="23"/>
          <w:szCs w:val="23"/>
          <w:spacing w:val="15"/>
        </w:rPr>
        <w:t>d,   </w:t>
      </w:r>
      <w:r>
        <w:rPr>
          <w:rFonts w:ascii="SimSun" w:hAnsi="SimSun" w:eastAsia="SimSun" w:cs="SimSun"/>
          <w:sz w:val="23"/>
          <w:szCs w:val="23"/>
          <w:spacing w:val="15"/>
        </w:rPr>
        <w:t>参考《四川省用水定额》(川府函[20</w:t>
      </w:r>
      <w:r>
        <w:rPr>
          <w:rFonts w:ascii="SimSun" w:hAnsi="SimSun" w:eastAsia="SimSun" w:cs="SimSun"/>
          <w:sz w:val="23"/>
          <w:szCs w:val="23"/>
          <w:spacing w:val="14"/>
        </w:rPr>
        <w:t>21]8号),载重汽</w:t>
      </w:r>
      <w:r>
        <w:rPr>
          <w:rFonts w:ascii="SimSun" w:hAnsi="SimSun" w:eastAsia="SimSun" w:cs="SimSun"/>
          <w:sz w:val="23"/>
          <w:szCs w:val="23"/>
          <w:spacing w:val="1"/>
        </w:rPr>
        <w:t xml:space="preserve"> </w:t>
      </w:r>
      <w:r>
        <w:rPr>
          <w:rFonts w:ascii="SimSun" w:hAnsi="SimSun" w:eastAsia="SimSun" w:cs="SimSun"/>
          <w:sz w:val="23"/>
          <w:szCs w:val="23"/>
          <w:spacing w:val="-2"/>
        </w:rPr>
        <w:t>车冲洗用水量定额为0.1</w:t>
      </w:r>
      <w:r>
        <w:rPr>
          <w:rFonts w:ascii="Times New Roman" w:hAnsi="Times New Roman" w:eastAsia="Times New Roman" w:cs="Times New Roman"/>
          <w:sz w:val="23"/>
          <w:szCs w:val="23"/>
          <w:spacing w:val="-2"/>
        </w:rPr>
        <w:t>m³/</w:t>
      </w:r>
      <w:r>
        <w:rPr>
          <w:rFonts w:ascii="Times New Roman" w:hAnsi="Times New Roman" w:eastAsia="Times New Roman" w:cs="Times New Roman"/>
          <w:sz w:val="23"/>
          <w:szCs w:val="23"/>
          <w:spacing w:val="54"/>
        </w:rPr>
        <w:t xml:space="preserve"> </w:t>
      </w:r>
      <w:r>
        <w:rPr>
          <w:rFonts w:ascii="SimSun" w:hAnsi="SimSun" w:eastAsia="SimSun" w:cs="SimSun"/>
          <w:sz w:val="23"/>
          <w:szCs w:val="23"/>
          <w:spacing w:val="-2"/>
        </w:rPr>
        <w:t>辆</w:t>
      </w:r>
      <w:r>
        <w:rPr>
          <w:rFonts w:ascii="SimSun" w:hAnsi="SimSun" w:eastAsia="SimSun" w:cs="SimSun"/>
          <w:sz w:val="23"/>
          <w:szCs w:val="23"/>
          <w:spacing w:val="-28"/>
        </w:rPr>
        <w:t xml:space="preserve"> </w:t>
      </w:r>
      <w:r>
        <w:rPr>
          <w:rFonts w:ascii="SimSun" w:hAnsi="SimSun" w:eastAsia="SimSun" w:cs="SimSun"/>
          <w:sz w:val="23"/>
          <w:szCs w:val="23"/>
          <w:spacing w:val="-2"/>
        </w:rPr>
        <w:t>·次，项目淡季汽车冲洗用水量为6.00</w:t>
      </w:r>
      <w:r>
        <w:rPr>
          <w:rFonts w:ascii="Times New Roman" w:hAnsi="Times New Roman" w:eastAsia="Times New Roman" w:cs="Times New Roman"/>
          <w:sz w:val="23"/>
          <w:szCs w:val="23"/>
          <w:spacing w:val="-2"/>
        </w:rPr>
        <w:t>m³/d,  </w:t>
      </w:r>
      <w:r>
        <w:rPr>
          <w:rFonts w:ascii="SimSun" w:hAnsi="SimSun" w:eastAsia="SimSun" w:cs="SimSun"/>
          <w:sz w:val="23"/>
          <w:szCs w:val="23"/>
          <w:spacing w:val="-2"/>
        </w:rPr>
        <w:t>废 水</w:t>
      </w:r>
      <w:r>
        <w:rPr>
          <w:rFonts w:ascii="SimSun" w:hAnsi="SimSun" w:eastAsia="SimSun" w:cs="SimSun"/>
          <w:sz w:val="23"/>
          <w:szCs w:val="23"/>
        </w:rPr>
        <w:t xml:space="preserve">  </w:t>
      </w:r>
      <w:r>
        <w:rPr>
          <w:rFonts w:ascii="SimSun" w:hAnsi="SimSun" w:eastAsia="SimSun" w:cs="SimSun"/>
          <w:sz w:val="23"/>
          <w:szCs w:val="23"/>
          <w:spacing w:val="12"/>
        </w:rPr>
        <w:t>排放量按80%计，废水排放量为4.80</w:t>
      </w:r>
      <w:r>
        <w:rPr>
          <w:rFonts w:ascii="Times New Roman" w:hAnsi="Times New Roman" w:eastAsia="Times New Roman" w:cs="Times New Roman"/>
          <w:sz w:val="23"/>
          <w:szCs w:val="23"/>
          <w:spacing w:val="12"/>
        </w:rPr>
        <w:t>m³/d;</w:t>
      </w:r>
      <w:r>
        <w:rPr>
          <w:rFonts w:ascii="Times New Roman" w:hAnsi="Times New Roman" w:eastAsia="Times New Roman" w:cs="Times New Roman"/>
          <w:sz w:val="23"/>
          <w:szCs w:val="23"/>
          <w:spacing w:val="3"/>
        </w:rPr>
        <w:t xml:space="preserve">   </w:t>
      </w:r>
      <w:r>
        <w:rPr>
          <w:rFonts w:ascii="SimSun" w:hAnsi="SimSun" w:eastAsia="SimSun" w:cs="SimSun"/>
          <w:sz w:val="23"/>
          <w:szCs w:val="23"/>
          <w:spacing w:val="12"/>
        </w:rPr>
        <w:t>项目旺季汽车冲洗用水量为</w:t>
      </w:r>
    </w:p>
    <w:p>
      <w:pPr>
        <w:spacing w:before="25" w:line="216" w:lineRule="auto"/>
        <w:rPr>
          <w:rFonts w:ascii="SimSun" w:hAnsi="SimSun" w:eastAsia="SimSun" w:cs="SimSun"/>
          <w:sz w:val="23"/>
          <w:szCs w:val="23"/>
        </w:rPr>
      </w:pPr>
      <w:r>
        <w:rPr>
          <w:rFonts w:ascii="SimSun" w:hAnsi="SimSun" w:eastAsia="SimSun" w:cs="SimSun"/>
          <w:sz w:val="23"/>
          <w:szCs w:val="23"/>
          <w:spacing w:val="10"/>
        </w:rPr>
        <w:t>8.00m³/d,废水排放量按80%计，废水排放量为6.40m³/d。</w:t>
      </w:r>
    </w:p>
    <w:p>
      <w:pPr>
        <w:ind w:left="473"/>
        <w:spacing w:before="218" w:line="217" w:lineRule="auto"/>
        <w:rPr>
          <w:rFonts w:ascii="SimSun" w:hAnsi="SimSun" w:eastAsia="SimSun" w:cs="SimSun"/>
          <w:sz w:val="23"/>
          <w:szCs w:val="23"/>
        </w:rPr>
      </w:pPr>
      <w:r>
        <w:rPr>
          <w:rFonts w:ascii="SimSun" w:hAnsi="SimSun" w:eastAsia="SimSun" w:cs="SimSun"/>
          <w:sz w:val="23"/>
          <w:szCs w:val="23"/>
          <w:b/>
          <w:bCs/>
          <w:spacing w:val="10"/>
        </w:rPr>
        <w:t>④消毒用水</w:t>
      </w:r>
    </w:p>
    <w:p>
      <w:pPr>
        <w:ind w:left="470"/>
        <w:spacing w:before="226" w:line="219" w:lineRule="auto"/>
        <w:rPr>
          <w:rFonts w:ascii="Times New Roman" w:hAnsi="Times New Roman" w:eastAsia="Times New Roman" w:cs="Times New Roman"/>
          <w:sz w:val="23"/>
          <w:szCs w:val="23"/>
        </w:rPr>
      </w:pPr>
      <w:r>
        <w:rPr>
          <w:rFonts w:ascii="SimSun" w:hAnsi="SimSun" w:eastAsia="SimSun" w:cs="SimSun"/>
          <w:sz w:val="23"/>
          <w:szCs w:val="23"/>
          <w:spacing w:val="24"/>
        </w:rPr>
        <w:t>项目生产人员进入屠宰分割车间之前须消毒，消毒用水量约为0.05</w:t>
      </w:r>
      <w:r>
        <w:rPr>
          <w:rFonts w:ascii="Times New Roman" w:hAnsi="Times New Roman" w:eastAsia="Times New Roman" w:cs="Times New Roman"/>
          <w:sz w:val="23"/>
          <w:szCs w:val="23"/>
          <w:spacing w:val="24"/>
        </w:rPr>
        <w:t>m³/</w:t>
      </w:r>
    </w:p>
    <w:p>
      <w:pPr>
        <w:spacing w:line="219" w:lineRule="auto"/>
        <w:sectPr>
          <w:headerReference w:type="default" r:id="rId13"/>
          <w:footerReference w:type="default" r:id="rId228"/>
          <w:pgSz w:w="11910" w:h="16840"/>
          <w:pgMar w:top="1219" w:right="1786" w:bottom="987" w:left="1779" w:header="865" w:footer="763" w:gutter="0"/>
        </w:sectPr>
        <w:rPr>
          <w:rFonts w:ascii="Times New Roman" w:hAnsi="Times New Roman" w:eastAsia="Times New Roman" w:cs="Times New Roman"/>
          <w:sz w:val="23"/>
          <w:szCs w:val="23"/>
        </w:rPr>
      </w:pPr>
    </w:p>
    <w:p>
      <w:pPr>
        <w:spacing w:before="246" w:line="212" w:lineRule="auto"/>
        <w:rPr>
          <w:rFonts w:ascii="SimSun" w:hAnsi="SimSun" w:eastAsia="SimSun" w:cs="SimSun"/>
          <w:sz w:val="25"/>
          <w:szCs w:val="25"/>
        </w:rPr>
      </w:pPr>
      <w:r>
        <w:rPr>
          <w:rFonts w:ascii="SimSun" w:hAnsi="SimSun" w:eastAsia="SimSun" w:cs="SimSun"/>
          <w:sz w:val="25"/>
          <w:szCs w:val="25"/>
          <w:spacing w:val="-5"/>
        </w:rPr>
        <w:t>人·</w:t>
      </w:r>
      <w:r>
        <w:rPr>
          <w:rFonts w:ascii="Times New Roman" w:hAnsi="Times New Roman" w:eastAsia="Times New Roman" w:cs="Times New Roman"/>
          <w:sz w:val="25"/>
          <w:szCs w:val="25"/>
          <w:spacing w:val="-5"/>
        </w:rPr>
        <w:t>d,   </w:t>
      </w:r>
      <w:r>
        <w:rPr>
          <w:rFonts w:ascii="SimSun" w:hAnsi="SimSun" w:eastAsia="SimSun" w:cs="SimSun"/>
          <w:sz w:val="25"/>
          <w:szCs w:val="25"/>
          <w:spacing w:val="-5"/>
        </w:rPr>
        <w:t>按120人/</w:t>
      </w:r>
      <w:r>
        <w:rPr>
          <w:rFonts w:ascii="Times New Roman" w:hAnsi="Times New Roman" w:eastAsia="Times New Roman" w:cs="Times New Roman"/>
          <w:sz w:val="25"/>
          <w:szCs w:val="25"/>
          <w:spacing w:val="-5"/>
        </w:rPr>
        <w:t>d </w:t>
      </w:r>
      <w:r>
        <w:rPr>
          <w:rFonts w:ascii="SimSun" w:hAnsi="SimSun" w:eastAsia="SimSun" w:cs="SimSun"/>
          <w:sz w:val="25"/>
          <w:szCs w:val="25"/>
          <w:spacing w:val="-5"/>
        </w:rPr>
        <w:t>进行核算，则消毒用水为6.0</w:t>
      </w:r>
      <w:r>
        <w:rPr>
          <w:rFonts w:ascii="SimSun" w:hAnsi="SimSun" w:eastAsia="SimSun" w:cs="SimSun"/>
          <w:sz w:val="25"/>
          <w:szCs w:val="25"/>
          <w:spacing w:val="-6"/>
        </w:rPr>
        <w:t>0</w:t>
      </w:r>
      <w:r>
        <w:rPr>
          <w:rFonts w:ascii="Times New Roman" w:hAnsi="Times New Roman" w:eastAsia="Times New Roman" w:cs="Times New Roman"/>
          <w:sz w:val="25"/>
          <w:szCs w:val="25"/>
          <w:spacing w:val="-6"/>
        </w:rPr>
        <w:t>m³/d</w:t>
      </w:r>
      <w:r>
        <w:rPr>
          <w:rFonts w:ascii="SimSun" w:hAnsi="SimSun" w:eastAsia="SimSun" w:cs="SimSun"/>
          <w:sz w:val="25"/>
          <w:szCs w:val="25"/>
          <w:spacing w:val="-6"/>
        </w:rPr>
        <w:t>。淡旺季消毒用水量基本</w:t>
      </w:r>
    </w:p>
    <w:p>
      <w:pPr>
        <w:spacing w:before="237" w:line="220" w:lineRule="auto"/>
        <w:rPr>
          <w:rFonts w:ascii="SimSun" w:hAnsi="SimSun" w:eastAsia="SimSun" w:cs="SimSun"/>
          <w:sz w:val="19"/>
          <w:szCs w:val="19"/>
        </w:rPr>
      </w:pPr>
      <w:r>
        <w:rPr>
          <w:rFonts w:ascii="SimSun" w:hAnsi="SimSun" w:eastAsia="SimSun" w:cs="SimSun"/>
          <w:sz w:val="19"/>
          <w:szCs w:val="19"/>
          <w:spacing w:val="-6"/>
        </w:rPr>
        <w:t>一</w:t>
      </w:r>
      <w:r>
        <w:rPr>
          <w:rFonts w:ascii="SimSun" w:hAnsi="SimSun" w:eastAsia="SimSun" w:cs="SimSun"/>
          <w:sz w:val="19"/>
          <w:szCs w:val="19"/>
          <w:spacing w:val="-17"/>
        </w:rPr>
        <w:t xml:space="preserve"> </w:t>
      </w:r>
      <w:r>
        <w:rPr>
          <w:rFonts w:ascii="SimSun" w:hAnsi="SimSun" w:eastAsia="SimSun" w:cs="SimSun"/>
          <w:sz w:val="19"/>
          <w:szCs w:val="19"/>
          <w:spacing w:val="-6"/>
        </w:rPr>
        <w:t>致</w:t>
      </w:r>
      <w:r>
        <w:rPr>
          <w:rFonts w:ascii="SimSun" w:hAnsi="SimSun" w:eastAsia="SimSun" w:cs="SimSun"/>
          <w:sz w:val="19"/>
          <w:szCs w:val="19"/>
          <w:spacing w:val="-24"/>
        </w:rPr>
        <w:t xml:space="preserve"> </w:t>
      </w:r>
      <w:r>
        <w:rPr>
          <w:rFonts w:ascii="SimSun" w:hAnsi="SimSun" w:eastAsia="SimSun" w:cs="SimSun"/>
          <w:sz w:val="19"/>
          <w:szCs w:val="19"/>
          <w:spacing w:val="-6"/>
        </w:rPr>
        <w:t>。</w:t>
      </w:r>
    </w:p>
    <w:p>
      <w:pPr>
        <w:ind w:left="473"/>
        <w:spacing w:before="199" w:line="217" w:lineRule="auto"/>
        <w:rPr>
          <w:rFonts w:ascii="SimSun" w:hAnsi="SimSun" w:eastAsia="SimSun" w:cs="SimSun"/>
          <w:sz w:val="25"/>
          <w:szCs w:val="25"/>
        </w:rPr>
      </w:pPr>
      <w:r>
        <w:rPr>
          <w:rFonts w:ascii="SimSun" w:hAnsi="SimSun" w:eastAsia="SimSun" w:cs="SimSun"/>
          <w:sz w:val="25"/>
          <w:szCs w:val="25"/>
          <w:b/>
          <w:bCs/>
          <w:spacing w:val="-9"/>
        </w:rPr>
        <w:t>⑤冷却系统排水</w:t>
      </w:r>
    </w:p>
    <w:p>
      <w:pPr>
        <w:ind w:right="9" w:firstLine="470"/>
        <w:spacing w:before="180" w:line="340" w:lineRule="auto"/>
        <w:jc w:val="both"/>
        <w:rPr>
          <w:rFonts w:ascii="SimSun" w:hAnsi="SimSun" w:eastAsia="SimSun" w:cs="SimSun"/>
          <w:sz w:val="25"/>
          <w:szCs w:val="25"/>
        </w:rPr>
      </w:pPr>
      <w:r>
        <w:rPr>
          <w:rFonts w:ascii="SimSun" w:hAnsi="SimSun" w:eastAsia="SimSun" w:cs="SimSun"/>
          <w:sz w:val="25"/>
          <w:szCs w:val="25"/>
          <w:spacing w:val="-5"/>
        </w:rPr>
        <w:t>项目制冷系统冷凝器冷却水由冷凝器自带循环</w:t>
      </w:r>
      <w:r>
        <w:rPr>
          <w:rFonts w:ascii="SimSun" w:hAnsi="SimSun" w:eastAsia="SimSun" w:cs="SimSun"/>
          <w:sz w:val="25"/>
          <w:szCs w:val="25"/>
          <w:spacing w:val="-6"/>
        </w:rPr>
        <w:t>水泵循环使用，制冷系统冷</w:t>
      </w:r>
      <w:r>
        <w:rPr>
          <w:rFonts w:ascii="SimSun" w:hAnsi="SimSun" w:eastAsia="SimSun" w:cs="SimSun"/>
          <w:sz w:val="25"/>
          <w:szCs w:val="25"/>
        </w:rPr>
        <w:t xml:space="preserve"> </w:t>
      </w:r>
      <w:r>
        <w:rPr>
          <w:rFonts w:ascii="SimSun" w:hAnsi="SimSun" w:eastAsia="SimSun" w:cs="SimSun"/>
          <w:sz w:val="25"/>
          <w:szCs w:val="25"/>
          <w:spacing w:val="21"/>
        </w:rPr>
        <w:t>凝器循环水量为600</w:t>
      </w:r>
      <w:r>
        <w:rPr>
          <w:rFonts w:ascii="Times New Roman" w:hAnsi="Times New Roman" w:eastAsia="Times New Roman" w:cs="Times New Roman"/>
          <w:sz w:val="25"/>
          <w:szCs w:val="25"/>
          <w:spacing w:val="21"/>
        </w:rPr>
        <w:t>m³,   </w:t>
      </w:r>
      <w:r>
        <w:rPr>
          <w:rFonts w:ascii="SimSun" w:hAnsi="SimSun" w:eastAsia="SimSun" w:cs="SimSun"/>
          <w:sz w:val="25"/>
          <w:szCs w:val="25"/>
          <w:spacing w:val="21"/>
        </w:rPr>
        <w:t>在循环过程中，损耗量约为1%,补充用水量为</w:t>
      </w:r>
      <w:r>
        <w:rPr>
          <w:rFonts w:ascii="SimSun" w:hAnsi="SimSun" w:eastAsia="SimSun" w:cs="SimSun"/>
          <w:sz w:val="25"/>
          <w:szCs w:val="25"/>
          <w:spacing w:val="5"/>
        </w:rPr>
        <w:t xml:space="preserve"> </w:t>
      </w:r>
      <w:r>
        <w:rPr>
          <w:rFonts w:ascii="Times New Roman" w:hAnsi="Times New Roman" w:eastAsia="Times New Roman" w:cs="Times New Roman"/>
          <w:sz w:val="25"/>
          <w:szCs w:val="25"/>
          <w:spacing w:val="2"/>
        </w:rPr>
        <w:t>6.00m³/d, </w:t>
      </w:r>
      <w:r>
        <w:rPr>
          <w:rFonts w:ascii="SimSun" w:hAnsi="SimSun" w:eastAsia="SimSun" w:cs="SimSun"/>
          <w:sz w:val="25"/>
          <w:szCs w:val="25"/>
          <w:spacing w:val="2"/>
        </w:rPr>
        <w:t>排放为2%,排水量为12.00</w:t>
      </w:r>
      <w:r>
        <w:rPr>
          <w:rFonts w:ascii="Times New Roman" w:hAnsi="Times New Roman" w:eastAsia="Times New Roman" w:cs="Times New Roman"/>
          <w:sz w:val="25"/>
          <w:szCs w:val="25"/>
          <w:spacing w:val="2"/>
        </w:rPr>
        <w:t>m³/d</w:t>
      </w:r>
      <w:r>
        <w:rPr>
          <w:rFonts w:ascii="SimSun" w:hAnsi="SimSun" w:eastAsia="SimSun" w:cs="SimSun"/>
          <w:sz w:val="25"/>
          <w:szCs w:val="25"/>
          <w:spacing w:val="2"/>
        </w:rPr>
        <w:t>。淡旺季冷却系统补充用水量基本一 </w:t>
      </w:r>
      <w:r>
        <w:rPr>
          <w:rFonts w:ascii="SimSun" w:hAnsi="SimSun" w:eastAsia="SimSun" w:cs="SimSun"/>
          <w:sz w:val="25"/>
          <w:szCs w:val="25"/>
          <w:spacing w:val="-12"/>
        </w:rPr>
        <w:t>致。</w:t>
      </w:r>
    </w:p>
    <w:p>
      <w:pPr>
        <w:ind w:left="473"/>
        <w:spacing w:before="23" w:line="217" w:lineRule="auto"/>
        <w:rPr>
          <w:rFonts w:ascii="SimSun" w:hAnsi="SimSun" w:eastAsia="SimSun" w:cs="SimSun"/>
          <w:sz w:val="25"/>
          <w:szCs w:val="25"/>
        </w:rPr>
      </w:pPr>
      <w:r>
        <w:rPr>
          <w:rFonts w:ascii="SimSun" w:hAnsi="SimSun" w:eastAsia="SimSun" w:cs="SimSun"/>
          <w:sz w:val="25"/>
          <w:szCs w:val="25"/>
          <w:b/>
          <w:bCs/>
          <w:spacing w:val="-9"/>
        </w:rPr>
        <w:t>⑥喷淋塔用水</w:t>
      </w:r>
    </w:p>
    <w:p>
      <w:pPr>
        <w:ind w:right="12" w:firstLine="470"/>
        <w:spacing w:before="165" w:line="339" w:lineRule="auto"/>
        <w:tabs>
          <w:tab w:val="left" w:pos="120"/>
        </w:tabs>
        <w:jc w:val="both"/>
        <w:rPr>
          <w:rFonts w:ascii="SimSun" w:hAnsi="SimSun" w:eastAsia="SimSun" w:cs="SimSun"/>
          <w:sz w:val="25"/>
          <w:szCs w:val="25"/>
        </w:rPr>
      </w:pPr>
      <w:r>
        <w:rPr>
          <w:rFonts w:ascii="SimSun" w:hAnsi="SimSun" w:eastAsia="SimSun" w:cs="SimSun"/>
          <w:sz w:val="25"/>
          <w:szCs w:val="25"/>
          <w:spacing w:val="-8"/>
        </w:rPr>
        <w:t>项目生猪待宰圈舍恶臭经负压密闭抽风系统引入“喷淋</w:t>
      </w:r>
      <w:r>
        <w:rPr>
          <w:rFonts w:ascii="SimSun" w:hAnsi="SimSun" w:eastAsia="SimSun" w:cs="SimSun"/>
          <w:sz w:val="25"/>
          <w:szCs w:val="25"/>
          <w:spacing w:val="-9"/>
        </w:rPr>
        <w:t>+</w:t>
      </w:r>
      <w:r>
        <w:rPr>
          <w:rFonts w:ascii="Times New Roman" w:hAnsi="Times New Roman" w:eastAsia="Times New Roman" w:cs="Times New Roman"/>
          <w:sz w:val="25"/>
          <w:szCs w:val="25"/>
          <w:spacing w:val="-9"/>
        </w:rPr>
        <w:t>UV</w:t>
      </w:r>
      <w:r>
        <w:rPr>
          <w:rFonts w:ascii="SimSun" w:hAnsi="SimSun" w:eastAsia="SimSun" w:cs="SimSun"/>
          <w:sz w:val="25"/>
          <w:szCs w:val="25"/>
          <w:spacing w:val="-9"/>
        </w:rPr>
        <w:t>光解+活性炭吸</w:t>
      </w:r>
      <w:r>
        <w:rPr>
          <w:rFonts w:ascii="SimSun" w:hAnsi="SimSun" w:eastAsia="SimSun" w:cs="SimSun"/>
          <w:sz w:val="25"/>
          <w:szCs w:val="25"/>
        </w:rPr>
        <w:t xml:space="preserve"> </w:t>
      </w:r>
      <w:r>
        <w:rPr>
          <w:rFonts w:ascii="SimSun" w:hAnsi="SimSun" w:eastAsia="SimSun" w:cs="SimSun"/>
          <w:sz w:val="25"/>
          <w:szCs w:val="25"/>
          <w:spacing w:val="-1"/>
        </w:rPr>
        <w:t>附装置</w:t>
      </w:r>
      <w:r>
        <w:rPr>
          <w:rFonts w:ascii="SimSun" w:hAnsi="SimSun" w:eastAsia="SimSun" w:cs="SimSun"/>
          <w:sz w:val="25"/>
          <w:szCs w:val="25"/>
          <w:spacing w:val="-25"/>
        </w:rPr>
        <w:t xml:space="preserve"> </w:t>
      </w:r>
      <w:r>
        <w:rPr>
          <w:rFonts w:ascii="Times New Roman" w:hAnsi="Times New Roman" w:eastAsia="Times New Roman" w:cs="Times New Roman"/>
          <w:sz w:val="25"/>
          <w:szCs w:val="25"/>
          <w:spacing w:val="-1"/>
        </w:rPr>
        <w:t>(TA001)”     </w:t>
      </w:r>
      <w:r>
        <w:rPr>
          <w:rFonts w:ascii="SimSun" w:hAnsi="SimSun" w:eastAsia="SimSun" w:cs="SimSun"/>
          <w:sz w:val="25"/>
          <w:szCs w:val="25"/>
          <w:spacing w:val="-1"/>
        </w:rPr>
        <w:t>处理后，通过</w:t>
      </w:r>
      <w:r>
        <w:rPr>
          <w:rFonts w:ascii="SimSun" w:hAnsi="SimSun" w:eastAsia="SimSun" w:cs="SimSun"/>
          <w:sz w:val="25"/>
          <w:szCs w:val="25"/>
          <w:spacing w:val="-2"/>
        </w:rPr>
        <w:t>1根15</w:t>
      </w:r>
      <w:r>
        <w:rPr>
          <w:rFonts w:ascii="Times New Roman" w:hAnsi="Times New Roman" w:eastAsia="Times New Roman" w:cs="Times New Roman"/>
          <w:sz w:val="25"/>
          <w:szCs w:val="25"/>
          <w:spacing w:val="-2"/>
        </w:rPr>
        <w:t>m</w:t>
      </w:r>
      <w:r>
        <w:rPr>
          <w:rFonts w:ascii="SimSun" w:hAnsi="SimSun" w:eastAsia="SimSun" w:cs="SimSun"/>
          <w:sz w:val="25"/>
          <w:szCs w:val="25"/>
          <w:spacing w:val="-2"/>
        </w:rPr>
        <w:t>高排气筒</w:t>
      </w:r>
      <w:r>
        <w:rPr>
          <w:rFonts w:ascii="SimSun" w:hAnsi="SimSun" w:eastAsia="SimSun" w:cs="SimSun"/>
          <w:sz w:val="25"/>
          <w:szCs w:val="25"/>
          <w:spacing w:val="-49"/>
        </w:rPr>
        <w:t xml:space="preserve"> </w:t>
      </w:r>
      <w:r>
        <w:rPr>
          <w:rFonts w:ascii="Times New Roman" w:hAnsi="Times New Roman" w:eastAsia="Times New Roman" w:cs="Times New Roman"/>
          <w:sz w:val="25"/>
          <w:szCs w:val="25"/>
          <w:spacing w:val="-2"/>
        </w:rPr>
        <w:t>(DA001)   </w:t>
      </w:r>
      <w:r>
        <w:rPr>
          <w:rFonts w:ascii="SimSun" w:hAnsi="SimSun" w:eastAsia="SimSun" w:cs="SimSun"/>
          <w:sz w:val="25"/>
          <w:szCs w:val="25"/>
          <w:spacing w:val="-2"/>
        </w:rPr>
        <w:t>达标排放；生猪</w:t>
      </w:r>
      <w:r>
        <w:rPr>
          <w:rFonts w:ascii="SimSun" w:hAnsi="SimSun" w:eastAsia="SimSun" w:cs="SimSun"/>
          <w:sz w:val="25"/>
          <w:szCs w:val="25"/>
        </w:rPr>
        <w:t xml:space="preserve"> </w:t>
      </w:r>
      <w:r>
        <w:rPr>
          <w:rFonts w:ascii="SimSun" w:hAnsi="SimSun" w:eastAsia="SimSun" w:cs="SimSun"/>
          <w:sz w:val="25"/>
          <w:szCs w:val="25"/>
          <w:spacing w:val="14"/>
        </w:rPr>
        <w:t>屠宰车间恶臭经负压密闭抽风系统引入“喷淋+</w:t>
      </w:r>
      <w:r>
        <w:rPr>
          <w:rFonts w:ascii="Times New Roman" w:hAnsi="Times New Roman" w:eastAsia="Times New Roman" w:cs="Times New Roman"/>
          <w:sz w:val="25"/>
          <w:szCs w:val="25"/>
        </w:rPr>
        <w:t>UV</w:t>
      </w:r>
      <w:r>
        <w:rPr>
          <w:rFonts w:ascii="SimSun" w:hAnsi="SimSun" w:eastAsia="SimSun" w:cs="SimSun"/>
          <w:sz w:val="25"/>
          <w:szCs w:val="25"/>
          <w:spacing w:val="14"/>
        </w:rPr>
        <w:t>光解+活性炭吸附装置</w:t>
      </w:r>
      <w:r>
        <w:rPr>
          <w:rFonts w:ascii="SimSun" w:hAnsi="SimSun" w:eastAsia="SimSun" w:cs="SimSun"/>
          <w:sz w:val="25"/>
          <w:szCs w:val="25"/>
          <w:spacing w:val="2"/>
        </w:rPr>
        <w:t xml:space="preserve"> </w:t>
      </w:r>
      <w:r>
        <w:rPr>
          <w:rFonts w:ascii="Times New Roman" w:hAnsi="Times New Roman" w:eastAsia="Times New Roman" w:cs="Times New Roman"/>
          <w:sz w:val="25"/>
          <w:szCs w:val="25"/>
        </w:rPr>
        <w:tab/>
      </w:r>
      <w:r>
        <w:rPr>
          <w:rFonts w:ascii="Times New Roman" w:hAnsi="Times New Roman" w:eastAsia="Times New Roman" w:cs="Times New Roman"/>
          <w:sz w:val="25"/>
          <w:szCs w:val="25"/>
        </w:rPr>
        <w:t>(TA002)”    </w:t>
      </w:r>
      <w:r>
        <w:rPr>
          <w:rFonts w:ascii="SimSun" w:hAnsi="SimSun" w:eastAsia="SimSun" w:cs="SimSun"/>
          <w:sz w:val="25"/>
          <w:szCs w:val="25"/>
        </w:rPr>
        <w:t>处理后，通过1根15</w:t>
      </w:r>
      <w:r>
        <w:rPr>
          <w:rFonts w:ascii="Times New Roman" w:hAnsi="Times New Roman" w:eastAsia="Times New Roman" w:cs="Times New Roman"/>
          <w:sz w:val="25"/>
          <w:szCs w:val="25"/>
        </w:rPr>
        <w:t>m</w:t>
      </w:r>
      <w:r>
        <w:rPr>
          <w:rFonts w:ascii="SimSun" w:hAnsi="SimSun" w:eastAsia="SimSun" w:cs="SimSun"/>
          <w:sz w:val="25"/>
          <w:szCs w:val="25"/>
        </w:rPr>
        <w:t>高排</w:t>
      </w:r>
      <w:r>
        <w:rPr>
          <w:rFonts w:ascii="SimSun" w:hAnsi="SimSun" w:eastAsia="SimSun" w:cs="SimSun"/>
          <w:sz w:val="25"/>
          <w:szCs w:val="25"/>
          <w:spacing w:val="-1"/>
        </w:rPr>
        <w:t>气筒</w:t>
      </w:r>
      <w:r>
        <w:rPr>
          <w:rFonts w:ascii="SimSun" w:hAnsi="SimSun" w:eastAsia="SimSun" w:cs="SimSun"/>
          <w:sz w:val="25"/>
          <w:szCs w:val="25"/>
          <w:spacing w:val="-38"/>
        </w:rPr>
        <w:t xml:space="preserve"> </w:t>
      </w:r>
      <w:r>
        <w:rPr>
          <w:rFonts w:ascii="Times New Roman" w:hAnsi="Times New Roman" w:eastAsia="Times New Roman" w:cs="Times New Roman"/>
          <w:sz w:val="25"/>
          <w:szCs w:val="25"/>
          <w:spacing w:val="-1"/>
        </w:rPr>
        <w:t>(DA002)   </w:t>
      </w:r>
      <w:r>
        <w:rPr>
          <w:rFonts w:ascii="SimSun" w:hAnsi="SimSun" w:eastAsia="SimSun" w:cs="SimSun"/>
          <w:sz w:val="25"/>
          <w:szCs w:val="25"/>
          <w:spacing w:val="-1"/>
        </w:rPr>
        <w:t>达标排放；肉牛待宰圈</w:t>
      </w:r>
      <w:r>
        <w:rPr>
          <w:rFonts w:ascii="SimSun" w:hAnsi="SimSun" w:eastAsia="SimSun" w:cs="SimSun"/>
          <w:sz w:val="25"/>
          <w:szCs w:val="25"/>
        </w:rPr>
        <w:t xml:space="preserve"> </w:t>
      </w:r>
      <w:r>
        <w:rPr>
          <w:rFonts w:ascii="SimSun" w:hAnsi="SimSun" w:eastAsia="SimSun" w:cs="SimSun"/>
          <w:sz w:val="25"/>
          <w:szCs w:val="25"/>
          <w:spacing w:val="-2"/>
        </w:rPr>
        <w:t>舍、屠宰车间恶臭经负压密闭抽风系统引入“喷淋+</w:t>
      </w:r>
      <w:r>
        <w:rPr>
          <w:rFonts w:ascii="Times New Roman" w:hAnsi="Times New Roman" w:eastAsia="Times New Roman" w:cs="Times New Roman"/>
          <w:sz w:val="25"/>
          <w:szCs w:val="25"/>
          <w:spacing w:val="-2"/>
        </w:rPr>
        <w:t>UV</w:t>
      </w:r>
      <w:r>
        <w:rPr>
          <w:rFonts w:ascii="SimSun" w:hAnsi="SimSun" w:eastAsia="SimSun" w:cs="SimSun"/>
          <w:sz w:val="25"/>
          <w:szCs w:val="25"/>
          <w:spacing w:val="-2"/>
        </w:rPr>
        <w:t>光</w:t>
      </w:r>
      <w:r>
        <w:rPr>
          <w:rFonts w:ascii="SimSun" w:hAnsi="SimSun" w:eastAsia="SimSun" w:cs="SimSun"/>
          <w:sz w:val="25"/>
          <w:szCs w:val="25"/>
          <w:spacing w:val="-3"/>
        </w:rPr>
        <w:t>解+活性炭吸附装置</w:t>
      </w:r>
      <w:r>
        <w:rPr>
          <w:rFonts w:ascii="SimSun" w:hAnsi="SimSun" w:eastAsia="SimSun" w:cs="SimSun"/>
          <w:sz w:val="25"/>
          <w:szCs w:val="25"/>
        </w:rPr>
        <w:t xml:space="preserve"> </w:t>
      </w:r>
      <w:r>
        <w:rPr>
          <w:rFonts w:ascii="Times New Roman" w:hAnsi="Times New Roman" w:eastAsia="Times New Roman" w:cs="Times New Roman"/>
          <w:sz w:val="25"/>
          <w:szCs w:val="25"/>
        </w:rPr>
        <w:tab/>
      </w:r>
      <w:r>
        <w:rPr>
          <w:rFonts w:ascii="Times New Roman" w:hAnsi="Times New Roman" w:eastAsia="Times New Roman" w:cs="Times New Roman"/>
          <w:sz w:val="25"/>
          <w:szCs w:val="25"/>
          <w:spacing w:val="-1"/>
        </w:rPr>
        <w:t>(TA003)”    </w:t>
      </w:r>
      <w:r>
        <w:rPr>
          <w:rFonts w:ascii="SimSun" w:hAnsi="SimSun" w:eastAsia="SimSun" w:cs="SimSun"/>
          <w:sz w:val="25"/>
          <w:szCs w:val="25"/>
          <w:spacing w:val="-1"/>
        </w:rPr>
        <w:t>处理后，通过1根15</w:t>
      </w:r>
      <w:r>
        <w:rPr>
          <w:rFonts w:ascii="Times New Roman" w:hAnsi="Times New Roman" w:eastAsia="Times New Roman" w:cs="Times New Roman"/>
          <w:sz w:val="25"/>
          <w:szCs w:val="25"/>
          <w:spacing w:val="-1"/>
        </w:rPr>
        <w:t>m</w:t>
      </w:r>
      <w:r>
        <w:rPr>
          <w:rFonts w:ascii="SimSun" w:hAnsi="SimSun" w:eastAsia="SimSun" w:cs="SimSun"/>
          <w:sz w:val="25"/>
          <w:szCs w:val="25"/>
          <w:spacing w:val="-1"/>
        </w:rPr>
        <w:t>高排气筒</w:t>
      </w:r>
      <w:r>
        <w:rPr>
          <w:rFonts w:ascii="SimSun" w:hAnsi="SimSun" w:eastAsia="SimSun" w:cs="SimSun"/>
          <w:sz w:val="25"/>
          <w:szCs w:val="25"/>
          <w:spacing w:val="-48"/>
        </w:rPr>
        <w:t xml:space="preserve"> </w:t>
      </w:r>
      <w:r>
        <w:rPr>
          <w:rFonts w:ascii="Times New Roman" w:hAnsi="Times New Roman" w:eastAsia="Times New Roman" w:cs="Times New Roman"/>
          <w:sz w:val="25"/>
          <w:szCs w:val="25"/>
          <w:spacing w:val="-1"/>
        </w:rPr>
        <w:t>(DA003)</w:t>
      </w:r>
      <w:r>
        <w:rPr>
          <w:rFonts w:ascii="Times New Roman" w:hAnsi="Times New Roman" w:eastAsia="Times New Roman" w:cs="Times New Roman"/>
          <w:sz w:val="25"/>
          <w:szCs w:val="25"/>
          <w:spacing w:val="3"/>
        </w:rPr>
        <w:t xml:space="preserve">   </w:t>
      </w:r>
      <w:r>
        <w:rPr>
          <w:rFonts w:ascii="SimSun" w:hAnsi="SimSun" w:eastAsia="SimSun" w:cs="SimSun"/>
          <w:sz w:val="25"/>
          <w:szCs w:val="25"/>
          <w:spacing w:val="-1"/>
        </w:rPr>
        <w:t>达标排放</w:t>
      </w:r>
      <w:r>
        <w:rPr>
          <w:rFonts w:ascii="SimSun" w:hAnsi="SimSun" w:eastAsia="SimSun" w:cs="SimSun"/>
          <w:sz w:val="25"/>
          <w:szCs w:val="25"/>
          <w:spacing w:val="-2"/>
        </w:rPr>
        <w:t>；污水处理站</w:t>
      </w:r>
      <w:r>
        <w:rPr>
          <w:rFonts w:ascii="SimSun" w:hAnsi="SimSun" w:eastAsia="SimSun" w:cs="SimSun"/>
          <w:sz w:val="25"/>
          <w:szCs w:val="25"/>
          <w:spacing w:val="1"/>
        </w:rPr>
        <w:t xml:space="preserve"> </w:t>
      </w:r>
      <w:r>
        <w:rPr>
          <w:rFonts w:ascii="SimSun" w:hAnsi="SimSun" w:eastAsia="SimSun" w:cs="SimSun"/>
          <w:sz w:val="25"/>
          <w:szCs w:val="25"/>
          <w:spacing w:val="5"/>
        </w:rPr>
        <w:t>废气通过“负压收集+喷淋+</w:t>
      </w:r>
      <w:r>
        <w:rPr>
          <w:rFonts w:ascii="Times New Roman" w:hAnsi="Times New Roman" w:eastAsia="Times New Roman" w:cs="Times New Roman"/>
          <w:sz w:val="25"/>
          <w:szCs w:val="25"/>
        </w:rPr>
        <w:t>UV</w:t>
      </w:r>
      <w:r>
        <w:rPr>
          <w:rFonts w:ascii="SimSun" w:hAnsi="SimSun" w:eastAsia="SimSun" w:cs="SimSun"/>
          <w:sz w:val="25"/>
          <w:szCs w:val="25"/>
          <w:spacing w:val="5"/>
        </w:rPr>
        <w:t>光解+活性炭吸附装置</w:t>
      </w:r>
      <w:r>
        <w:rPr>
          <w:rFonts w:ascii="SimSun" w:hAnsi="SimSun" w:eastAsia="SimSun" w:cs="SimSun"/>
          <w:sz w:val="25"/>
          <w:szCs w:val="25"/>
          <w:spacing w:val="-44"/>
        </w:rPr>
        <w:t xml:space="preserve"> </w:t>
      </w:r>
      <w:r>
        <w:rPr>
          <w:rFonts w:ascii="Times New Roman" w:hAnsi="Times New Roman" w:eastAsia="Times New Roman" w:cs="Times New Roman"/>
          <w:sz w:val="25"/>
          <w:szCs w:val="25"/>
          <w:spacing w:val="5"/>
        </w:rPr>
        <w:t>(</w:t>
      </w:r>
      <w:r>
        <w:rPr>
          <w:rFonts w:ascii="Times New Roman" w:hAnsi="Times New Roman" w:eastAsia="Times New Roman" w:cs="Times New Roman"/>
          <w:sz w:val="25"/>
          <w:szCs w:val="25"/>
        </w:rPr>
        <w:t>TA</w:t>
      </w:r>
      <w:r>
        <w:rPr>
          <w:rFonts w:ascii="Times New Roman" w:hAnsi="Times New Roman" w:eastAsia="Times New Roman" w:cs="Times New Roman"/>
          <w:sz w:val="25"/>
          <w:szCs w:val="25"/>
          <w:spacing w:val="5"/>
        </w:rPr>
        <w:t>004)”   </w:t>
      </w:r>
      <w:r>
        <w:rPr>
          <w:rFonts w:ascii="Times New Roman" w:hAnsi="Times New Roman" w:eastAsia="Times New Roman" w:cs="Times New Roman"/>
          <w:sz w:val="25"/>
          <w:szCs w:val="25"/>
          <w:spacing w:val="4"/>
        </w:rPr>
        <w:t xml:space="preserve">  </w:t>
      </w:r>
      <w:r>
        <w:rPr>
          <w:rFonts w:ascii="SimSun" w:hAnsi="SimSun" w:eastAsia="SimSun" w:cs="SimSun"/>
          <w:sz w:val="25"/>
          <w:szCs w:val="25"/>
          <w:spacing w:val="4"/>
        </w:rPr>
        <w:t>处理后经</w:t>
      </w:r>
      <w:r>
        <w:rPr>
          <w:rFonts w:ascii="SimSun" w:hAnsi="SimSun" w:eastAsia="SimSun" w:cs="SimSun"/>
          <w:sz w:val="25"/>
          <w:szCs w:val="25"/>
        </w:rPr>
        <w:t xml:space="preserve"> </w:t>
      </w:r>
      <w:r>
        <w:rPr>
          <w:rFonts w:ascii="Times New Roman" w:hAnsi="Times New Roman" w:eastAsia="Times New Roman" w:cs="Times New Roman"/>
          <w:sz w:val="25"/>
          <w:szCs w:val="25"/>
          <w:spacing w:val="-4"/>
        </w:rPr>
        <w:t>15m</w:t>
      </w:r>
      <w:r>
        <w:rPr>
          <w:rFonts w:ascii="SimSun" w:hAnsi="SimSun" w:eastAsia="SimSun" w:cs="SimSun"/>
          <w:sz w:val="25"/>
          <w:szCs w:val="25"/>
          <w:spacing w:val="-4"/>
        </w:rPr>
        <w:t>高排气筒</w:t>
      </w:r>
      <w:r>
        <w:rPr>
          <w:rFonts w:ascii="SimSun" w:hAnsi="SimSun" w:eastAsia="SimSun" w:cs="SimSun"/>
          <w:sz w:val="25"/>
          <w:szCs w:val="25"/>
          <w:spacing w:val="-58"/>
        </w:rPr>
        <w:t xml:space="preserve"> </w:t>
      </w:r>
      <w:r>
        <w:rPr>
          <w:rFonts w:ascii="Times New Roman" w:hAnsi="Times New Roman" w:eastAsia="Times New Roman" w:cs="Times New Roman"/>
          <w:sz w:val="25"/>
          <w:szCs w:val="25"/>
          <w:spacing w:val="-4"/>
        </w:rPr>
        <w:t>(DA004)   </w:t>
      </w:r>
      <w:r>
        <w:rPr>
          <w:rFonts w:ascii="SimSun" w:hAnsi="SimSun" w:eastAsia="SimSun" w:cs="SimSun"/>
          <w:sz w:val="25"/>
          <w:szCs w:val="25"/>
          <w:spacing w:val="-4"/>
        </w:rPr>
        <w:t>达标排放，本项目共设置4套</w:t>
      </w:r>
      <w:r>
        <w:rPr>
          <w:rFonts w:ascii="SimSun" w:hAnsi="SimSun" w:eastAsia="SimSun" w:cs="SimSun"/>
          <w:sz w:val="25"/>
          <w:szCs w:val="25"/>
          <w:spacing w:val="-5"/>
        </w:rPr>
        <w:t>喷淋装置，喷淋塔水循环</w:t>
      </w:r>
      <w:r>
        <w:rPr>
          <w:rFonts w:ascii="SimSun" w:hAnsi="SimSun" w:eastAsia="SimSun" w:cs="SimSun"/>
          <w:sz w:val="25"/>
          <w:szCs w:val="25"/>
        </w:rPr>
        <w:t xml:space="preserve"> </w:t>
      </w:r>
      <w:r>
        <w:rPr>
          <w:rFonts w:ascii="SimSun" w:hAnsi="SimSun" w:eastAsia="SimSun" w:cs="SimSun"/>
          <w:sz w:val="25"/>
          <w:szCs w:val="25"/>
          <w:spacing w:val="-7"/>
        </w:rPr>
        <w:t>使用，4套喷淋塔循环水箱容积总共为3.6m³,</w:t>
      </w:r>
      <w:r>
        <w:rPr>
          <w:rFonts w:ascii="SimSun" w:hAnsi="SimSun" w:eastAsia="SimSun" w:cs="SimSun"/>
          <w:sz w:val="25"/>
          <w:szCs w:val="25"/>
          <w:spacing w:val="-27"/>
        </w:rPr>
        <w:t xml:space="preserve"> </w:t>
      </w:r>
      <w:r>
        <w:rPr>
          <w:rFonts w:ascii="SimSun" w:hAnsi="SimSun" w:eastAsia="SimSun" w:cs="SimSun"/>
          <w:sz w:val="25"/>
          <w:szCs w:val="25"/>
          <w:spacing w:val="-7"/>
        </w:rPr>
        <w:t>总储水量约3</w:t>
      </w:r>
      <w:r>
        <w:rPr>
          <w:rFonts w:ascii="SimSun" w:hAnsi="SimSun" w:eastAsia="SimSun" w:cs="SimSun"/>
          <w:sz w:val="25"/>
          <w:szCs w:val="25"/>
          <w:spacing w:val="-8"/>
        </w:rPr>
        <w:t>.0m³, 喷淋水在循环</w:t>
      </w:r>
      <w:r>
        <w:rPr>
          <w:rFonts w:ascii="SimSun" w:hAnsi="SimSun" w:eastAsia="SimSun" w:cs="SimSun"/>
          <w:sz w:val="25"/>
          <w:szCs w:val="25"/>
        </w:rPr>
        <w:t xml:space="preserve"> </w:t>
      </w:r>
      <w:r>
        <w:rPr>
          <w:rFonts w:ascii="SimSun" w:hAnsi="SimSun" w:eastAsia="SimSun" w:cs="SimSun"/>
          <w:sz w:val="25"/>
          <w:szCs w:val="25"/>
          <w:spacing w:val="-6"/>
        </w:rPr>
        <w:t>过程中有蒸发损耗，需每天补充新鲜用水，按2%计，则项目喷淋补充用水量为</w:t>
      </w:r>
    </w:p>
    <w:p>
      <w:pPr>
        <w:spacing w:before="61" w:line="212" w:lineRule="auto"/>
        <w:rPr>
          <w:rFonts w:ascii="SimSun" w:hAnsi="SimSun" w:eastAsia="SimSun" w:cs="SimSun"/>
          <w:sz w:val="25"/>
          <w:szCs w:val="25"/>
        </w:rPr>
      </w:pPr>
      <w:r>
        <w:rPr>
          <w:rFonts w:ascii="Times New Roman" w:hAnsi="Times New Roman" w:eastAsia="Times New Roman" w:cs="Times New Roman"/>
          <w:sz w:val="25"/>
          <w:szCs w:val="25"/>
          <w:spacing w:val="-5"/>
        </w:rPr>
        <w:t>0.06m³/d,  </w:t>
      </w:r>
      <w:r>
        <w:rPr>
          <w:rFonts w:ascii="SimSun" w:hAnsi="SimSun" w:eastAsia="SimSun" w:cs="SimSun"/>
          <w:sz w:val="25"/>
          <w:szCs w:val="25"/>
          <w:spacing w:val="-5"/>
        </w:rPr>
        <w:t>淡旺季喷淋塔用水量基本一致。</w:t>
      </w:r>
    </w:p>
    <w:p>
      <w:pPr>
        <w:ind w:left="473"/>
        <w:spacing w:before="192" w:line="217" w:lineRule="auto"/>
        <w:rPr>
          <w:rFonts w:ascii="SimSun" w:hAnsi="SimSun" w:eastAsia="SimSun" w:cs="SimSun"/>
          <w:sz w:val="25"/>
          <w:szCs w:val="25"/>
        </w:rPr>
      </w:pPr>
      <w:r>
        <w:rPr>
          <w:rFonts w:ascii="SimSun" w:hAnsi="SimSun" w:eastAsia="SimSun" w:cs="SimSun"/>
          <w:sz w:val="25"/>
          <w:szCs w:val="25"/>
          <w:b/>
          <w:bCs/>
          <w:spacing w:val="-9"/>
        </w:rPr>
        <w:t>⑦蒸汽发生器用水</w:t>
      </w:r>
    </w:p>
    <w:p>
      <w:pPr>
        <w:ind w:right="32" w:firstLine="470"/>
        <w:spacing w:before="183" w:line="339" w:lineRule="auto"/>
        <w:jc w:val="both"/>
        <w:rPr>
          <w:rFonts w:ascii="SimSun" w:hAnsi="SimSun" w:eastAsia="SimSun" w:cs="SimSun"/>
          <w:sz w:val="25"/>
          <w:szCs w:val="25"/>
        </w:rPr>
      </w:pPr>
      <w:r>
        <w:rPr>
          <w:rFonts w:ascii="SimSun" w:hAnsi="SimSun" w:eastAsia="SimSun" w:cs="SimSun"/>
          <w:sz w:val="25"/>
          <w:szCs w:val="25"/>
          <w:spacing w:val="6"/>
        </w:rPr>
        <w:t>项目设有1台1.5</w:t>
      </w:r>
      <w:r>
        <w:rPr>
          <w:rFonts w:ascii="Times New Roman" w:hAnsi="Times New Roman" w:eastAsia="Times New Roman" w:cs="Times New Roman"/>
          <w:sz w:val="25"/>
          <w:szCs w:val="25"/>
          <w:spacing w:val="6"/>
        </w:rPr>
        <w:t>t/h</w:t>
      </w:r>
      <w:r>
        <w:rPr>
          <w:rFonts w:ascii="SimSun" w:hAnsi="SimSun" w:eastAsia="SimSun" w:cs="SimSun"/>
          <w:sz w:val="25"/>
          <w:szCs w:val="25"/>
          <w:spacing w:val="6"/>
        </w:rPr>
        <w:t>蒸汽发生器，配套设有1套软水</w:t>
      </w:r>
      <w:r>
        <w:rPr>
          <w:rFonts w:ascii="SimSun" w:hAnsi="SimSun" w:eastAsia="SimSun" w:cs="SimSun"/>
          <w:sz w:val="25"/>
          <w:szCs w:val="25"/>
          <w:spacing w:val="5"/>
        </w:rPr>
        <w:t>制备系统，制备能力</w:t>
      </w:r>
      <w:r>
        <w:rPr>
          <w:rFonts w:ascii="SimSun" w:hAnsi="SimSun" w:eastAsia="SimSun" w:cs="SimSun"/>
          <w:sz w:val="25"/>
          <w:szCs w:val="25"/>
        </w:rPr>
        <w:t xml:space="preserve"> </w:t>
      </w:r>
      <w:r>
        <w:rPr>
          <w:rFonts w:ascii="Times New Roman" w:hAnsi="Times New Roman" w:eastAsia="Times New Roman" w:cs="Times New Roman"/>
          <w:sz w:val="25"/>
          <w:szCs w:val="25"/>
          <w:spacing w:val="3"/>
        </w:rPr>
        <w:t>1.5t/h,</w:t>
      </w:r>
      <w:r>
        <w:rPr>
          <w:rFonts w:ascii="Times New Roman" w:hAnsi="Times New Roman" w:eastAsia="Times New Roman" w:cs="Times New Roman"/>
          <w:sz w:val="25"/>
          <w:szCs w:val="25"/>
          <w:spacing w:val="18"/>
          <w:w w:val="101"/>
        </w:rPr>
        <w:t xml:space="preserve"> </w:t>
      </w:r>
      <w:r>
        <w:rPr>
          <w:rFonts w:ascii="SimSun" w:hAnsi="SimSun" w:eastAsia="SimSun" w:cs="SimSun"/>
          <w:sz w:val="25"/>
          <w:szCs w:val="25"/>
          <w:spacing w:val="3"/>
        </w:rPr>
        <w:t>采用反渗透工艺，每天制备软水12</w:t>
      </w:r>
      <w:r>
        <w:rPr>
          <w:rFonts w:ascii="Times New Roman" w:hAnsi="Times New Roman" w:eastAsia="Times New Roman" w:cs="Times New Roman"/>
          <w:sz w:val="25"/>
          <w:szCs w:val="25"/>
          <w:spacing w:val="3"/>
        </w:rPr>
        <w:t>t,</w:t>
      </w:r>
      <w:r>
        <w:rPr>
          <w:rFonts w:ascii="Times New Roman" w:hAnsi="Times New Roman" w:eastAsia="Times New Roman" w:cs="Times New Roman"/>
          <w:sz w:val="25"/>
          <w:szCs w:val="25"/>
          <w:spacing w:val="28"/>
        </w:rPr>
        <w:t xml:space="preserve"> </w:t>
      </w:r>
      <w:r>
        <w:rPr>
          <w:rFonts w:ascii="SimSun" w:hAnsi="SimSun" w:eastAsia="SimSun" w:cs="SimSun"/>
          <w:sz w:val="25"/>
          <w:szCs w:val="25"/>
          <w:spacing w:val="3"/>
        </w:rPr>
        <w:t>产生废水4</w:t>
      </w:r>
      <w:r>
        <w:rPr>
          <w:rFonts w:ascii="Times New Roman" w:hAnsi="Times New Roman" w:eastAsia="Times New Roman" w:cs="Times New Roman"/>
          <w:sz w:val="25"/>
          <w:szCs w:val="25"/>
          <w:spacing w:val="3"/>
        </w:rPr>
        <w:t>m³/d, </w:t>
      </w:r>
      <w:r>
        <w:rPr>
          <w:rFonts w:ascii="SimSun" w:hAnsi="SimSun" w:eastAsia="SimSun" w:cs="SimSun"/>
          <w:sz w:val="25"/>
          <w:szCs w:val="25"/>
          <w:spacing w:val="3"/>
        </w:rPr>
        <w:t>蒸汽</w:t>
      </w:r>
      <w:r>
        <w:rPr>
          <w:rFonts w:ascii="SimSun" w:hAnsi="SimSun" w:eastAsia="SimSun" w:cs="SimSun"/>
          <w:sz w:val="25"/>
          <w:szCs w:val="25"/>
          <w:spacing w:val="2"/>
        </w:rPr>
        <w:t>发生器软水</w:t>
      </w:r>
      <w:r>
        <w:rPr>
          <w:rFonts w:ascii="SimSun" w:hAnsi="SimSun" w:eastAsia="SimSun" w:cs="SimSun"/>
          <w:sz w:val="25"/>
          <w:szCs w:val="25"/>
        </w:rPr>
        <w:t xml:space="preserve"> </w:t>
      </w:r>
      <w:r>
        <w:rPr>
          <w:rFonts w:ascii="SimSun" w:hAnsi="SimSun" w:eastAsia="SimSun" w:cs="SimSun"/>
          <w:sz w:val="25"/>
          <w:szCs w:val="25"/>
          <w:spacing w:val="-11"/>
        </w:rPr>
        <w:t>系统消耗新水量为16m³/d。淡旺季蒸汽发生器用水量基本一致。</w:t>
      </w:r>
    </w:p>
    <w:p>
      <w:pPr>
        <w:ind w:left="473"/>
        <w:spacing w:before="29" w:line="219" w:lineRule="auto"/>
        <w:rPr>
          <w:rFonts w:ascii="SimSun" w:hAnsi="SimSun" w:eastAsia="SimSun" w:cs="SimSun"/>
          <w:sz w:val="25"/>
          <w:szCs w:val="25"/>
        </w:rPr>
      </w:pPr>
      <w:r>
        <w:rPr>
          <w:rFonts w:ascii="SimSun" w:hAnsi="SimSun" w:eastAsia="SimSun" w:cs="SimSun"/>
          <w:sz w:val="25"/>
          <w:szCs w:val="25"/>
          <w:b/>
          <w:bCs/>
          <w:spacing w:val="13"/>
        </w:rPr>
        <w:t>3)绿化用水</w:t>
      </w:r>
    </w:p>
    <w:p>
      <w:pPr>
        <w:ind w:right="33" w:firstLine="470"/>
        <w:spacing w:before="148" w:line="348" w:lineRule="auto"/>
        <w:jc w:val="both"/>
        <w:rPr>
          <w:rFonts w:ascii="SimSun" w:hAnsi="SimSun" w:eastAsia="SimSun" w:cs="SimSun"/>
          <w:sz w:val="25"/>
          <w:szCs w:val="25"/>
        </w:rPr>
      </w:pPr>
      <w:r>
        <w:rPr>
          <w:rFonts w:ascii="SimSun" w:hAnsi="SimSun" w:eastAsia="SimSun" w:cs="SimSun"/>
          <w:sz w:val="25"/>
          <w:szCs w:val="25"/>
          <w:spacing w:val="-6"/>
        </w:rPr>
        <w:t>项目绿化面积约2000</w:t>
      </w:r>
      <w:r>
        <w:rPr>
          <w:rFonts w:ascii="Times New Roman" w:hAnsi="Times New Roman" w:eastAsia="Times New Roman" w:cs="Times New Roman"/>
          <w:sz w:val="25"/>
          <w:szCs w:val="25"/>
          <w:spacing w:val="-6"/>
        </w:rPr>
        <w:t>m²,</w:t>
      </w:r>
      <w:r>
        <w:rPr>
          <w:rFonts w:ascii="Times New Roman" w:hAnsi="Times New Roman" w:eastAsia="Times New Roman" w:cs="Times New Roman"/>
          <w:sz w:val="25"/>
          <w:szCs w:val="25"/>
          <w:spacing w:val="31"/>
          <w:w w:val="101"/>
        </w:rPr>
        <w:t xml:space="preserve">  </w:t>
      </w:r>
      <w:r>
        <w:rPr>
          <w:rFonts w:ascii="SimSun" w:hAnsi="SimSun" w:eastAsia="SimSun" w:cs="SimSun"/>
          <w:sz w:val="25"/>
          <w:szCs w:val="25"/>
          <w:spacing w:val="-6"/>
        </w:rPr>
        <w:t>一周对绿化带进行一次浇灌。参考《四川省用水</w:t>
      </w:r>
      <w:r>
        <w:rPr>
          <w:rFonts w:ascii="SimSun" w:hAnsi="SimSun" w:eastAsia="SimSun" w:cs="SimSun"/>
          <w:sz w:val="25"/>
          <w:szCs w:val="25"/>
        </w:rPr>
        <w:t xml:space="preserve"> </w:t>
      </w:r>
      <w:r>
        <w:rPr>
          <w:rFonts w:ascii="SimSun" w:hAnsi="SimSun" w:eastAsia="SimSun" w:cs="SimSun"/>
          <w:sz w:val="25"/>
          <w:szCs w:val="25"/>
          <w:spacing w:val="-2"/>
        </w:rPr>
        <w:t>定额》(川府函[2021]8号),按每次绿化用水约1.0L/次·m²计算，则绿化需用</w:t>
      </w:r>
      <w:r>
        <w:rPr>
          <w:rFonts w:ascii="SimSun" w:hAnsi="SimSun" w:eastAsia="SimSun" w:cs="SimSun"/>
          <w:sz w:val="25"/>
          <w:szCs w:val="25"/>
          <w:spacing w:val="18"/>
        </w:rPr>
        <w:t xml:space="preserve"> </w:t>
      </w:r>
      <w:r>
        <w:rPr>
          <w:rFonts w:ascii="SimSun" w:hAnsi="SimSun" w:eastAsia="SimSun" w:cs="SimSun"/>
          <w:sz w:val="25"/>
          <w:szCs w:val="25"/>
          <w:spacing w:val="-5"/>
        </w:rPr>
        <w:t>水量约为2</w:t>
      </w:r>
      <w:r>
        <w:rPr>
          <w:rFonts w:ascii="Times New Roman" w:hAnsi="Times New Roman" w:eastAsia="Times New Roman" w:cs="Times New Roman"/>
          <w:sz w:val="25"/>
          <w:szCs w:val="25"/>
          <w:spacing w:val="-5"/>
        </w:rPr>
        <w:t>m³/ </w:t>
      </w:r>
      <w:r>
        <w:rPr>
          <w:rFonts w:ascii="SimSun" w:hAnsi="SimSun" w:eastAsia="SimSun" w:cs="SimSun"/>
          <w:sz w:val="25"/>
          <w:szCs w:val="25"/>
          <w:spacing w:val="-5"/>
        </w:rPr>
        <w:t>周，项目绿化年用水量104</w:t>
      </w:r>
      <w:r>
        <w:rPr>
          <w:rFonts w:ascii="Times New Roman" w:hAnsi="Times New Roman" w:eastAsia="Times New Roman" w:cs="Times New Roman"/>
          <w:sz w:val="25"/>
          <w:szCs w:val="25"/>
          <w:spacing w:val="-5"/>
        </w:rPr>
        <w:t>m³/a</w:t>
      </w:r>
      <w:r>
        <w:rPr>
          <w:rFonts w:ascii="Times New Roman" w:hAnsi="Times New Roman" w:eastAsia="Times New Roman" w:cs="Times New Roman"/>
          <w:sz w:val="25"/>
          <w:szCs w:val="25"/>
          <w:spacing w:val="31"/>
        </w:rPr>
        <w:t xml:space="preserve"> </w:t>
      </w:r>
      <w:r>
        <w:rPr>
          <w:rFonts w:ascii="SimSun" w:hAnsi="SimSun" w:eastAsia="SimSun" w:cs="SimSun"/>
          <w:sz w:val="25"/>
          <w:szCs w:val="25"/>
          <w:spacing w:val="-5"/>
        </w:rPr>
        <w:t>(约0.29</w:t>
      </w:r>
      <w:r>
        <w:rPr>
          <w:rFonts w:ascii="Times New Roman" w:hAnsi="Times New Roman" w:eastAsia="Times New Roman" w:cs="Times New Roman"/>
          <w:sz w:val="25"/>
          <w:szCs w:val="25"/>
          <w:spacing w:val="-5"/>
        </w:rPr>
        <w:t>m³/d)</w:t>
      </w:r>
      <w:r>
        <w:rPr>
          <w:rFonts w:ascii="Times New Roman" w:hAnsi="Times New Roman" w:eastAsia="Times New Roman" w:cs="Times New Roman"/>
          <w:sz w:val="25"/>
          <w:szCs w:val="25"/>
          <w:spacing w:val="-29"/>
        </w:rPr>
        <w:t xml:space="preserve"> </w:t>
      </w:r>
      <w:r>
        <w:rPr>
          <w:rFonts w:ascii="SimSun" w:hAnsi="SimSun" w:eastAsia="SimSun" w:cs="SimSun"/>
          <w:sz w:val="25"/>
          <w:szCs w:val="25"/>
          <w:spacing w:val="-6"/>
        </w:rPr>
        <w:t>。 绿化洒水全部渗</w:t>
      </w:r>
      <w:r>
        <w:rPr>
          <w:rFonts w:ascii="SimSun" w:hAnsi="SimSun" w:eastAsia="SimSun" w:cs="SimSun"/>
          <w:sz w:val="25"/>
          <w:szCs w:val="25"/>
        </w:rPr>
        <w:t xml:space="preserve"> </w:t>
      </w:r>
      <w:r>
        <w:rPr>
          <w:rFonts w:ascii="SimSun" w:hAnsi="SimSun" w:eastAsia="SimSun" w:cs="SimSun"/>
          <w:sz w:val="25"/>
          <w:szCs w:val="25"/>
          <w:spacing w:val="-11"/>
        </w:rPr>
        <w:t>透和蒸发，不外排。淡旺季绿化用水量基本一致。</w:t>
      </w:r>
    </w:p>
    <w:p>
      <w:pPr>
        <w:ind w:left="470"/>
        <w:spacing w:before="1" w:line="219" w:lineRule="auto"/>
        <w:rPr>
          <w:rFonts w:ascii="SimSun" w:hAnsi="SimSun" w:eastAsia="SimSun" w:cs="SimSun"/>
          <w:sz w:val="25"/>
          <w:szCs w:val="25"/>
        </w:rPr>
      </w:pPr>
      <w:r>
        <w:rPr>
          <w:rFonts w:ascii="Times New Roman" w:hAnsi="Times New Roman" w:eastAsia="Times New Roman" w:cs="Times New Roman"/>
          <w:sz w:val="25"/>
          <w:szCs w:val="25"/>
          <w:b/>
          <w:bCs/>
          <w:spacing w:val="3"/>
        </w:rPr>
        <w:t>4</w:t>
      </w:r>
      <w:r>
        <w:rPr>
          <w:rFonts w:ascii="Times New Roman" w:hAnsi="Times New Roman" w:eastAsia="Times New Roman" w:cs="Times New Roman"/>
          <w:sz w:val="25"/>
          <w:szCs w:val="25"/>
          <w:b/>
          <w:bCs/>
          <w:spacing w:val="-28"/>
        </w:rPr>
        <w:t xml:space="preserve"> </w:t>
      </w:r>
      <w:r>
        <w:rPr>
          <w:rFonts w:ascii="SimSun" w:hAnsi="SimSun" w:eastAsia="SimSun" w:cs="SimSun"/>
          <w:sz w:val="25"/>
          <w:szCs w:val="25"/>
          <w:b/>
          <w:bCs/>
          <w:spacing w:val="3"/>
        </w:rPr>
        <w:t>)不可预计用水</w:t>
      </w:r>
    </w:p>
    <w:p>
      <w:pPr>
        <w:ind w:left="470"/>
        <w:spacing w:before="155" w:line="219" w:lineRule="auto"/>
        <w:rPr>
          <w:rFonts w:ascii="Times New Roman" w:hAnsi="Times New Roman" w:eastAsia="Times New Roman" w:cs="Times New Roman"/>
          <w:sz w:val="25"/>
          <w:szCs w:val="25"/>
        </w:rPr>
      </w:pPr>
      <w:r>
        <w:rPr>
          <w:rFonts w:ascii="SimSun" w:hAnsi="SimSun" w:eastAsia="SimSun" w:cs="SimSun"/>
          <w:sz w:val="25"/>
          <w:szCs w:val="25"/>
          <w:spacing w:val="3"/>
        </w:rPr>
        <w:t>不可预见用水按总用水量10%计算，则淡季不可预见用水量为80.45</w:t>
      </w:r>
      <w:r>
        <w:rPr>
          <w:rFonts w:ascii="Times New Roman" w:hAnsi="Times New Roman" w:eastAsia="Times New Roman" w:cs="Times New Roman"/>
          <w:sz w:val="25"/>
          <w:szCs w:val="25"/>
          <w:spacing w:val="3"/>
        </w:rPr>
        <w:t>m³/d</w:t>
      </w:r>
    </w:p>
    <w:p>
      <w:pPr>
        <w:spacing w:line="219" w:lineRule="auto"/>
        <w:sectPr>
          <w:headerReference w:type="default" r:id="rId229"/>
          <w:footerReference w:type="default" r:id="rId230"/>
          <w:pgSz w:w="11910" w:h="16840"/>
          <w:pgMar w:top="1197" w:right="1786" w:bottom="962" w:left="1779" w:header="905" w:footer="791" w:gutter="0"/>
        </w:sectPr>
        <w:rPr>
          <w:rFonts w:ascii="Times New Roman" w:hAnsi="Times New Roman" w:eastAsia="Times New Roman" w:cs="Times New Roman"/>
          <w:sz w:val="25"/>
          <w:szCs w:val="25"/>
        </w:rPr>
      </w:pPr>
    </w:p>
    <w:p>
      <w:pPr>
        <w:ind w:left="174"/>
        <w:spacing w:before="274" w:line="212" w:lineRule="auto"/>
        <w:rPr>
          <w:rFonts w:ascii="SimSun" w:hAnsi="SimSun" w:eastAsia="SimSun" w:cs="SimSun"/>
          <w:sz w:val="23"/>
          <w:szCs w:val="23"/>
        </w:rPr>
      </w:pPr>
      <w:r>
        <w:rPr>
          <w:rFonts w:ascii="Times New Roman" w:hAnsi="Times New Roman" w:eastAsia="Times New Roman" w:cs="Times New Roman"/>
          <w:sz w:val="23"/>
          <w:szCs w:val="23"/>
          <w:spacing w:val="2"/>
        </w:rPr>
        <w:t>(21720.73m³/a),       </w:t>
      </w:r>
      <w:r>
        <w:rPr>
          <w:rFonts w:ascii="SimSun" w:hAnsi="SimSun" w:eastAsia="SimSun" w:cs="SimSun"/>
          <w:sz w:val="23"/>
          <w:szCs w:val="23"/>
          <w:spacing w:val="2"/>
        </w:rPr>
        <w:t>旺季不可预见用水量为113.46</w:t>
      </w:r>
      <w:r>
        <w:rPr>
          <w:rFonts w:ascii="Times New Roman" w:hAnsi="Times New Roman" w:eastAsia="Times New Roman" w:cs="Times New Roman"/>
          <w:sz w:val="23"/>
          <w:szCs w:val="23"/>
          <w:spacing w:val="2"/>
        </w:rPr>
        <w:t>m³/d(10211.</w:t>
      </w:r>
      <w:r>
        <w:rPr>
          <w:rFonts w:ascii="Times New Roman" w:hAnsi="Times New Roman" w:eastAsia="Times New Roman" w:cs="Times New Roman"/>
          <w:sz w:val="23"/>
          <w:szCs w:val="23"/>
          <w:spacing w:val="1"/>
        </w:rPr>
        <w:t>77m³/a)</w:t>
      </w:r>
      <w:r>
        <w:rPr>
          <w:rFonts w:ascii="SimSun" w:hAnsi="SimSun" w:eastAsia="SimSun" w:cs="SimSun"/>
          <w:sz w:val="23"/>
          <w:szCs w:val="23"/>
          <w:spacing w:val="1"/>
        </w:rPr>
        <w:t>。</w:t>
      </w:r>
    </w:p>
    <w:p>
      <w:pPr>
        <w:ind w:left="2288"/>
        <w:spacing w:before="187" w:line="215" w:lineRule="auto"/>
        <w:rPr>
          <w:rFonts w:ascii="SimSun" w:hAnsi="SimSun" w:eastAsia="SimSun" w:cs="SimSun"/>
          <w:sz w:val="24"/>
          <w:szCs w:val="24"/>
        </w:rPr>
      </w:pPr>
      <w:bookmarkStart w:name="bookmark102" w:id="66"/>
      <w:bookmarkEnd w:id="66"/>
      <w:r>
        <w:rPr>
          <w:rFonts w:ascii="SimSun" w:hAnsi="SimSun" w:eastAsia="SimSun" w:cs="SimSun"/>
          <w:sz w:val="24"/>
          <w:szCs w:val="24"/>
          <w:b/>
          <w:bCs/>
          <w:spacing w:val="-3"/>
        </w:rPr>
        <w:t>表3.6-1本项目用水量预测及分配情况</w:t>
      </w:r>
    </w:p>
    <w:tbl>
      <w:tblPr>
        <w:tblStyle w:val="TableNormal"/>
        <w:tblW w:w="842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4"/>
        <w:gridCol w:w="1748"/>
        <w:gridCol w:w="1358"/>
        <w:gridCol w:w="1818"/>
        <w:gridCol w:w="1129"/>
        <w:gridCol w:w="1049"/>
        <w:gridCol w:w="1034"/>
      </w:tblGrid>
      <w:tr>
        <w:trPr>
          <w:trHeight w:val="554" w:hRule="atLeast"/>
        </w:trPr>
        <w:tc>
          <w:tcPr>
            <w:shd w:val="clear" w:fill="BDBDBD"/>
            <w:tcW w:w="284" w:type="dxa"/>
            <w:vAlign w:val="top"/>
            <w:textDirection w:val="tbRlV"/>
          </w:tcPr>
          <w:p>
            <w:pPr>
              <w:pStyle w:val="TableText"/>
              <w:spacing w:before="51" w:line="199" w:lineRule="auto"/>
              <w:rPr>
                <w:sz w:val="21"/>
                <w:szCs w:val="21"/>
              </w:rPr>
            </w:pPr>
            <w:r>
              <w:rPr>
                <w:sz w:val="21"/>
                <w:szCs w:val="21"/>
                <w:b/>
                <w:bCs/>
                <w:spacing w:val="-4"/>
              </w:rPr>
              <w:t>序</w:t>
            </w:r>
            <w:r>
              <w:rPr>
                <w:sz w:val="21"/>
                <w:szCs w:val="21"/>
                <w:spacing w:val="29"/>
              </w:rPr>
              <w:t xml:space="preserve"> </w:t>
            </w:r>
            <w:r>
              <w:rPr>
                <w:sz w:val="21"/>
                <w:szCs w:val="21"/>
                <w:b/>
                <w:bCs/>
                <w:spacing w:val="-4"/>
              </w:rPr>
              <w:t>号</w:t>
            </w:r>
          </w:p>
        </w:tc>
        <w:tc>
          <w:tcPr>
            <w:shd w:val="clear" w:fill="BDBDBD"/>
            <w:tcW w:w="1748" w:type="dxa"/>
            <w:vAlign w:val="top"/>
          </w:tcPr>
          <w:p>
            <w:pPr>
              <w:pStyle w:val="TableText"/>
              <w:ind w:left="653"/>
              <w:spacing w:before="170" w:line="219" w:lineRule="auto"/>
              <w:rPr>
                <w:sz w:val="21"/>
                <w:szCs w:val="21"/>
              </w:rPr>
            </w:pPr>
            <w:r>
              <w:rPr>
                <w:sz w:val="21"/>
                <w:szCs w:val="21"/>
                <w:b/>
                <w:bCs/>
                <w:spacing w:val="-5"/>
              </w:rPr>
              <w:t>类别</w:t>
            </w:r>
          </w:p>
        </w:tc>
        <w:tc>
          <w:tcPr>
            <w:shd w:val="clear" w:fill="BDBDBD"/>
            <w:tcW w:w="1358" w:type="dxa"/>
            <w:vAlign w:val="top"/>
          </w:tcPr>
          <w:p>
            <w:pPr>
              <w:pStyle w:val="TableText"/>
              <w:ind w:left="255" w:right="261" w:firstLine="100"/>
              <w:spacing w:before="20" w:line="230" w:lineRule="auto"/>
              <w:rPr>
                <w:sz w:val="21"/>
                <w:szCs w:val="21"/>
              </w:rPr>
            </w:pPr>
            <w:r>
              <w:rPr>
                <w:sz w:val="21"/>
                <w:szCs w:val="21"/>
                <w:b/>
                <w:bCs/>
                <w:spacing w:val="-1"/>
              </w:rPr>
              <w:t>日最大</w:t>
            </w:r>
            <w:r>
              <w:rPr>
                <w:sz w:val="21"/>
                <w:szCs w:val="21"/>
              </w:rPr>
              <w:t xml:space="preserve">  </w:t>
            </w:r>
            <w:r>
              <w:rPr>
                <w:sz w:val="21"/>
                <w:szCs w:val="21"/>
                <w:b/>
                <w:bCs/>
                <w:spacing w:val="-5"/>
              </w:rPr>
              <w:t>用水规格</w:t>
            </w:r>
          </w:p>
        </w:tc>
        <w:tc>
          <w:tcPr>
            <w:shd w:val="clear" w:fill="BDBDBD"/>
            <w:tcW w:w="1818" w:type="dxa"/>
            <w:vAlign w:val="top"/>
          </w:tcPr>
          <w:p>
            <w:pPr>
              <w:pStyle w:val="TableText"/>
              <w:ind w:left="377"/>
              <w:spacing w:before="170" w:line="219" w:lineRule="auto"/>
              <w:rPr>
                <w:sz w:val="21"/>
                <w:szCs w:val="21"/>
              </w:rPr>
            </w:pPr>
            <w:r>
              <w:rPr>
                <w:sz w:val="21"/>
                <w:szCs w:val="21"/>
                <w:b/>
                <w:bCs/>
                <w:spacing w:val="-4"/>
              </w:rPr>
              <w:t>用水量标准</w:t>
            </w:r>
          </w:p>
        </w:tc>
        <w:tc>
          <w:tcPr>
            <w:shd w:val="clear" w:fill="BDBDBD"/>
            <w:tcW w:w="1129" w:type="dxa"/>
            <w:vAlign w:val="top"/>
          </w:tcPr>
          <w:p>
            <w:pPr>
              <w:pStyle w:val="TableText"/>
              <w:ind w:left="349"/>
              <w:spacing w:before="9" w:line="219" w:lineRule="auto"/>
              <w:rPr>
                <w:sz w:val="21"/>
                <w:szCs w:val="21"/>
              </w:rPr>
            </w:pPr>
            <w:r>
              <w:rPr>
                <w:sz w:val="21"/>
                <w:szCs w:val="21"/>
                <w:b/>
                <w:bCs/>
                <w:spacing w:val="-6"/>
              </w:rPr>
              <w:t>淡季</w:t>
            </w:r>
          </w:p>
          <w:p>
            <w:pPr>
              <w:pStyle w:val="TableText"/>
              <w:ind w:left="89"/>
              <w:spacing w:before="52" w:line="205" w:lineRule="auto"/>
              <w:rPr>
                <w:sz w:val="21"/>
                <w:szCs w:val="21"/>
              </w:rPr>
            </w:pPr>
            <w:r>
              <w:rPr>
                <w:sz w:val="21"/>
                <w:szCs w:val="21"/>
                <w:b/>
                <w:bCs/>
                <w:spacing w:val="26"/>
              </w:rPr>
              <w:t>用水量m³</w:t>
            </w:r>
          </w:p>
        </w:tc>
        <w:tc>
          <w:tcPr>
            <w:shd w:val="clear" w:fill="BDBDBD"/>
            <w:tcW w:w="1049" w:type="dxa"/>
            <w:vAlign w:val="top"/>
          </w:tcPr>
          <w:p>
            <w:pPr>
              <w:pStyle w:val="TableText"/>
              <w:ind w:left="310"/>
              <w:spacing w:before="10" w:line="219" w:lineRule="auto"/>
              <w:rPr>
                <w:sz w:val="21"/>
                <w:szCs w:val="21"/>
              </w:rPr>
            </w:pPr>
            <w:r>
              <w:rPr>
                <w:sz w:val="21"/>
                <w:szCs w:val="21"/>
                <w:b/>
                <w:bCs/>
                <w:spacing w:val="-2"/>
              </w:rPr>
              <w:t>旺季</w:t>
            </w:r>
          </w:p>
          <w:p>
            <w:pPr>
              <w:pStyle w:val="TableText"/>
              <w:ind w:right="2"/>
              <w:spacing w:before="50" w:line="205" w:lineRule="auto"/>
              <w:jc w:val="right"/>
              <w:rPr>
                <w:sz w:val="21"/>
                <w:szCs w:val="21"/>
              </w:rPr>
            </w:pPr>
            <w:r>
              <w:rPr>
                <w:sz w:val="21"/>
                <w:szCs w:val="21"/>
                <w:b/>
                <w:bCs/>
                <w:spacing w:val="26"/>
              </w:rPr>
              <w:t>用水量m³</w:t>
            </w:r>
          </w:p>
        </w:tc>
        <w:tc>
          <w:tcPr>
            <w:shd w:val="clear" w:fill="BDBDBD"/>
            <w:tcW w:w="1034" w:type="dxa"/>
            <w:vAlign w:val="top"/>
          </w:tcPr>
          <w:p>
            <w:pPr>
              <w:pStyle w:val="TableText"/>
              <w:ind w:left="250" w:right="101" w:hanging="159"/>
              <w:spacing w:before="50" w:line="217" w:lineRule="auto"/>
              <w:rPr>
                <w:sz w:val="21"/>
                <w:szCs w:val="21"/>
              </w:rPr>
            </w:pPr>
            <w:r>
              <w:rPr>
                <w:sz w:val="21"/>
                <w:szCs w:val="21"/>
                <w:b/>
                <w:bCs/>
                <w:spacing w:val="-5"/>
              </w:rPr>
              <w:t>年用水量</w:t>
            </w:r>
            <w:r>
              <w:rPr>
                <w:sz w:val="21"/>
                <w:szCs w:val="21"/>
                <w:spacing w:val="1"/>
              </w:rPr>
              <w:t xml:space="preserve"> </w:t>
            </w:r>
            <w:r>
              <w:rPr>
                <w:sz w:val="21"/>
                <w:szCs w:val="21"/>
                <w:b/>
                <w:bCs/>
                <w:spacing w:val="-3"/>
              </w:rPr>
              <w:t>m³/a</w:t>
            </w:r>
          </w:p>
        </w:tc>
      </w:tr>
      <w:tr>
        <w:trPr>
          <w:trHeight w:val="259" w:hRule="atLeast"/>
        </w:trPr>
        <w:tc>
          <w:tcPr>
            <w:tcW w:w="284" w:type="dxa"/>
            <w:vAlign w:val="top"/>
          </w:tcPr>
          <w:p>
            <w:pPr>
              <w:pStyle w:val="TableText"/>
              <w:ind w:left="54"/>
              <w:spacing w:before="51" w:line="174" w:lineRule="auto"/>
              <w:rPr>
                <w:sz w:val="21"/>
                <w:szCs w:val="21"/>
              </w:rPr>
            </w:pPr>
            <w:r>
              <w:rPr>
                <w:sz w:val="21"/>
                <w:szCs w:val="21"/>
              </w:rPr>
              <w:t>1</w:t>
            </w:r>
          </w:p>
        </w:tc>
        <w:tc>
          <w:tcPr>
            <w:tcW w:w="1748" w:type="dxa"/>
            <w:vAlign w:val="top"/>
          </w:tcPr>
          <w:p>
            <w:pPr>
              <w:pStyle w:val="TableText"/>
              <w:ind w:left="440"/>
              <w:spacing w:before="29" w:line="193" w:lineRule="auto"/>
              <w:rPr>
                <w:sz w:val="21"/>
                <w:szCs w:val="21"/>
              </w:rPr>
            </w:pPr>
            <w:r>
              <w:rPr>
                <w:sz w:val="21"/>
                <w:szCs w:val="21"/>
                <w:spacing w:val="2"/>
              </w:rPr>
              <w:t>办公用水</w:t>
            </w:r>
          </w:p>
        </w:tc>
        <w:tc>
          <w:tcPr>
            <w:tcW w:w="1358" w:type="dxa"/>
            <w:vAlign w:val="top"/>
          </w:tcPr>
          <w:p>
            <w:pPr>
              <w:pStyle w:val="TableText"/>
              <w:ind w:left="302"/>
              <w:spacing w:before="32" w:line="190" w:lineRule="auto"/>
              <w:rPr>
                <w:sz w:val="21"/>
                <w:szCs w:val="21"/>
              </w:rPr>
            </w:pPr>
            <w:r>
              <w:rPr>
                <w:sz w:val="21"/>
                <w:szCs w:val="21"/>
                <w:spacing w:val="-2"/>
              </w:rPr>
              <w:t>200人/d</w:t>
            </w:r>
          </w:p>
        </w:tc>
        <w:tc>
          <w:tcPr>
            <w:tcW w:w="1818" w:type="dxa"/>
            <w:vAlign w:val="top"/>
          </w:tcPr>
          <w:p>
            <w:pPr>
              <w:pStyle w:val="TableText"/>
              <w:ind w:left="424"/>
              <w:spacing w:before="32" w:line="190" w:lineRule="auto"/>
              <w:rPr>
                <w:sz w:val="21"/>
                <w:szCs w:val="21"/>
              </w:rPr>
            </w:pPr>
            <w:r>
              <w:rPr>
                <w:sz w:val="21"/>
                <w:szCs w:val="21"/>
                <w:spacing w:val="-9"/>
              </w:rPr>
              <w:t>60L/人</w:t>
            </w:r>
            <w:r>
              <w:rPr>
                <w:sz w:val="21"/>
                <w:szCs w:val="21"/>
                <w:spacing w:val="-20"/>
              </w:rPr>
              <w:t xml:space="preserve"> </w:t>
            </w:r>
            <w:r>
              <w:rPr>
                <w:sz w:val="21"/>
                <w:szCs w:val="21"/>
                <w:spacing w:val="-9"/>
              </w:rPr>
              <w:t>·d</w:t>
            </w:r>
          </w:p>
        </w:tc>
        <w:tc>
          <w:tcPr>
            <w:tcW w:w="1129" w:type="dxa"/>
            <w:vAlign w:val="top"/>
          </w:tcPr>
          <w:p>
            <w:pPr>
              <w:pStyle w:val="TableText"/>
              <w:ind w:left="346"/>
              <w:spacing w:before="51" w:line="174" w:lineRule="auto"/>
              <w:rPr>
                <w:sz w:val="21"/>
                <w:szCs w:val="21"/>
              </w:rPr>
            </w:pPr>
            <w:r>
              <w:rPr>
                <w:sz w:val="21"/>
                <w:szCs w:val="21"/>
                <w:spacing w:val="-3"/>
              </w:rPr>
              <w:t>3240</w:t>
            </w:r>
          </w:p>
        </w:tc>
        <w:tc>
          <w:tcPr>
            <w:tcW w:w="1049" w:type="dxa"/>
            <w:vAlign w:val="top"/>
          </w:tcPr>
          <w:p>
            <w:pPr>
              <w:pStyle w:val="TableText"/>
              <w:ind w:left="307"/>
              <w:spacing w:before="51" w:line="174" w:lineRule="auto"/>
              <w:rPr>
                <w:sz w:val="21"/>
                <w:szCs w:val="21"/>
              </w:rPr>
            </w:pPr>
            <w:r>
              <w:rPr>
                <w:sz w:val="21"/>
                <w:szCs w:val="21"/>
                <w:spacing w:val="-5"/>
              </w:rPr>
              <w:t>1080</w:t>
            </w:r>
          </w:p>
        </w:tc>
        <w:tc>
          <w:tcPr>
            <w:tcW w:w="1034" w:type="dxa"/>
            <w:vAlign w:val="top"/>
          </w:tcPr>
          <w:p>
            <w:pPr>
              <w:pStyle w:val="TableText"/>
              <w:ind w:left="298"/>
              <w:spacing w:before="51" w:line="174" w:lineRule="auto"/>
              <w:rPr>
                <w:sz w:val="21"/>
                <w:szCs w:val="21"/>
              </w:rPr>
            </w:pPr>
            <w:r>
              <w:rPr>
                <w:sz w:val="21"/>
                <w:szCs w:val="21"/>
                <w:spacing w:val="-2"/>
              </w:rPr>
              <w:t>4320</w:t>
            </w:r>
          </w:p>
        </w:tc>
      </w:tr>
      <w:tr>
        <w:trPr>
          <w:trHeight w:val="549" w:hRule="atLeast"/>
        </w:trPr>
        <w:tc>
          <w:tcPr>
            <w:tcW w:w="284" w:type="dxa"/>
            <w:vAlign w:val="top"/>
          </w:tcPr>
          <w:p>
            <w:pPr>
              <w:pStyle w:val="TableText"/>
              <w:ind w:left="74"/>
              <w:spacing w:before="191" w:line="241" w:lineRule="auto"/>
              <w:rPr>
                <w:sz w:val="21"/>
                <w:szCs w:val="21"/>
              </w:rPr>
            </w:pPr>
            <w:r>
              <w:rPr>
                <w:sz w:val="21"/>
                <w:szCs w:val="21"/>
              </w:rPr>
              <w:t>2</w:t>
            </w:r>
          </w:p>
        </w:tc>
        <w:tc>
          <w:tcPr>
            <w:tcW w:w="1748" w:type="dxa"/>
            <w:vAlign w:val="top"/>
          </w:tcPr>
          <w:p>
            <w:pPr>
              <w:pStyle w:val="TableText"/>
              <w:ind w:left="440"/>
              <w:spacing w:before="170" w:line="219" w:lineRule="auto"/>
              <w:rPr>
                <w:sz w:val="21"/>
                <w:szCs w:val="21"/>
              </w:rPr>
            </w:pPr>
            <w:r>
              <w:rPr>
                <w:sz w:val="21"/>
                <w:szCs w:val="21"/>
                <w:spacing w:val="-2"/>
              </w:rPr>
              <w:t>餐饮用水</w:t>
            </w:r>
          </w:p>
        </w:tc>
        <w:tc>
          <w:tcPr>
            <w:tcW w:w="1358" w:type="dxa"/>
            <w:vAlign w:val="top"/>
          </w:tcPr>
          <w:p>
            <w:pPr>
              <w:pStyle w:val="TableText"/>
              <w:ind w:left="42" w:right="54" w:firstLine="50"/>
              <w:spacing w:before="40" w:line="219" w:lineRule="auto"/>
              <w:rPr>
                <w:sz w:val="21"/>
                <w:szCs w:val="21"/>
              </w:rPr>
            </w:pPr>
            <w:r>
              <w:rPr>
                <w:sz w:val="21"/>
                <w:szCs w:val="21"/>
                <w:spacing w:val="-2"/>
              </w:rPr>
              <w:t>就餐人数200</w:t>
            </w:r>
            <w:r>
              <w:rPr>
                <w:sz w:val="21"/>
                <w:szCs w:val="21"/>
                <w:spacing w:val="3"/>
              </w:rPr>
              <w:t xml:space="preserve"> </w:t>
            </w:r>
            <w:r>
              <w:rPr>
                <w:sz w:val="21"/>
                <w:szCs w:val="21"/>
                <w:spacing w:val="-2"/>
              </w:rPr>
              <w:t>人、一日三餐</w:t>
            </w:r>
          </w:p>
        </w:tc>
        <w:tc>
          <w:tcPr>
            <w:tcW w:w="1818" w:type="dxa"/>
            <w:vAlign w:val="top"/>
          </w:tcPr>
          <w:p>
            <w:pPr>
              <w:pStyle w:val="TableText"/>
              <w:ind w:left="374"/>
              <w:spacing w:before="170" w:line="219" w:lineRule="auto"/>
              <w:rPr>
                <w:sz w:val="21"/>
                <w:szCs w:val="21"/>
              </w:rPr>
            </w:pPr>
            <w:r>
              <w:rPr>
                <w:sz w:val="21"/>
                <w:szCs w:val="21"/>
                <w:spacing w:val="-10"/>
              </w:rPr>
              <w:t>10L/人</w:t>
            </w:r>
            <w:r>
              <w:rPr>
                <w:sz w:val="21"/>
                <w:szCs w:val="21"/>
                <w:spacing w:val="-18"/>
              </w:rPr>
              <w:t xml:space="preserve"> </w:t>
            </w:r>
            <w:r>
              <w:rPr>
                <w:sz w:val="21"/>
                <w:szCs w:val="21"/>
                <w:spacing w:val="-10"/>
              </w:rPr>
              <w:t>·餐</w:t>
            </w:r>
          </w:p>
        </w:tc>
        <w:tc>
          <w:tcPr>
            <w:tcW w:w="1129" w:type="dxa"/>
            <w:vAlign w:val="top"/>
          </w:tcPr>
          <w:p>
            <w:pPr>
              <w:pStyle w:val="TableText"/>
              <w:ind w:left="346"/>
              <w:spacing w:before="191"/>
              <w:rPr>
                <w:sz w:val="21"/>
                <w:szCs w:val="21"/>
              </w:rPr>
            </w:pPr>
            <w:r>
              <w:rPr>
                <w:sz w:val="21"/>
                <w:szCs w:val="21"/>
                <w:spacing w:val="-5"/>
              </w:rPr>
              <w:t>1620</w:t>
            </w:r>
          </w:p>
        </w:tc>
        <w:tc>
          <w:tcPr>
            <w:tcW w:w="1049" w:type="dxa"/>
            <w:vAlign w:val="top"/>
          </w:tcPr>
          <w:p>
            <w:pPr>
              <w:pStyle w:val="TableText"/>
              <w:ind w:left="357"/>
              <w:spacing w:before="191"/>
              <w:rPr>
                <w:sz w:val="21"/>
                <w:szCs w:val="21"/>
              </w:rPr>
            </w:pPr>
            <w:r>
              <w:rPr>
                <w:sz w:val="21"/>
                <w:szCs w:val="21"/>
                <w:spacing w:val="-3"/>
              </w:rPr>
              <w:t>540</w:t>
            </w:r>
          </w:p>
        </w:tc>
        <w:tc>
          <w:tcPr>
            <w:tcW w:w="1034" w:type="dxa"/>
            <w:vAlign w:val="top"/>
          </w:tcPr>
          <w:p>
            <w:pPr>
              <w:pStyle w:val="TableText"/>
              <w:ind w:left="298"/>
              <w:spacing w:before="191"/>
              <w:rPr>
                <w:sz w:val="21"/>
                <w:szCs w:val="21"/>
              </w:rPr>
            </w:pPr>
            <w:r>
              <w:rPr>
                <w:sz w:val="21"/>
                <w:szCs w:val="21"/>
                <w:spacing w:val="-3"/>
              </w:rPr>
              <w:t>2160</w:t>
            </w:r>
          </w:p>
        </w:tc>
      </w:tr>
      <w:tr>
        <w:trPr>
          <w:trHeight w:val="399" w:hRule="atLeast"/>
        </w:trPr>
        <w:tc>
          <w:tcPr>
            <w:tcW w:w="284" w:type="dxa"/>
            <w:vAlign w:val="top"/>
            <w:vMerge w:val="restart"/>
            <w:tcBorders>
              <w:bottom w:val="nil"/>
            </w:tcBorders>
          </w:tcPr>
          <w:p>
            <w:pPr>
              <w:pStyle w:val="TableText"/>
              <w:ind w:left="74"/>
              <w:spacing w:before="262"/>
              <w:rPr>
                <w:sz w:val="21"/>
                <w:szCs w:val="21"/>
              </w:rPr>
            </w:pPr>
            <w:r>
              <w:rPr>
                <w:sz w:val="21"/>
                <w:szCs w:val="21"/>
              </w:rPr>
              <w:t>3</w:t>
            </w:r>
          </w:p>
        </w:tc>
        <w:tc>
          <w:tcPr>
            <w:tcW w:w="1748" w:type="dxa"/>
            <w:vAlign w:val="top"/>
            <w:vMerge w:val="restart"/>
            <w:tcBorders>
              <w:bottom w:val="nil"/>
            </w:tcBorders>
          </w:tcPr>
          <w:p>
            <w:pPr>
              <w:pStyle w:val="TableText"/>
              <w:ind w:left="230"/>
              <w:spacing w:before="241" w:line="219" w:lineRule="auto"/>
              <w:rPr>
                <w:sz w:val="21"/>
                <w:szCs w:val="21"/>
              </w:rPr>
            </w:pPr>
            <w:r>
              <w:rPr>
                <w:sz w:val="21"/>
                <w:szCs w:val="21"/>
                <w:spacing w:val="-2"/>
              </w:rPr>
              <w:t>生猪屠宰用水</w:t>
            </w:r>
          </w:p>
        </w:tc>
        <w:tc>
          <w:tcPr>
            <w:tcW w:w="1358" w:type="dxa"/>
            <w:vAlign w:val="top"/>
          </w:tcPr>
          <w:p>
            <w:pPr>
              <w:pStyle w:val="TableText"/>
              <w:ind w:left="42"/>
              <w:spacing w:before="100" w:line="219" w:lineRule="auto"/>
              <w:rPr>
                <w:sz w:val="21"/>
                <w:szCs w:val="21"/>
              </w:rPr>
            </w:pPr>
            <w:r>
              <w:rPr>
                <w:sz w:val="21"/>
                <w:szCs w:val="21"/>
                <w:spacing w:val="-2"/>
              </w:rPr>
              <w:t>淡季1000头/d</w:t>
            </w:r>
          </w:p>
        </w:tc>
        <w:tc>
          <w:tcPr>
            <w:tcW w:w="1818" w:type="dxa"/>
            <w:vAlign w:val="top"/>
            <w:vMerge w:val="restart"/>
            <w:tcBorders>
              <w:bottom w:val="nil"/>
            </w:tcBorders>
          </w:tcPr>
          <w:p>
            <w:pPr>
              <w:pStyle w:val="TableText"/>
              <w:ind w:left="163" w:hanging="149"/>
              <w:spacing w:before="92" w:line="248" w:lineRule="auto"/>
              <w:rPr>
                <w:sz w:val="21"/>
                <w:szCs w:val="21"/>
              </w:rPr>
            </w:pPr>
            <w:r>
              <w:rPr>
                <w:sz w:val="21"/>
                <w:szCs w:val="21"/>
                <w:spacing w:val="-8"/>
              </w:rPr>
              <w:t>产污系数0.535m³/头</w:t>
            </w:r>
            <w:r>
              <w:rPr>
                <w:sz w:val="21"/>
                <w:szCs w:val="21"/>
                <w:spacing w:val="6"/>
              </w:rPr>
              <w:t xml:space="preserve"> </w:t>
            </w:r>
            <w:r>
              <w:rPr>
                <w:sz w:val="21"/>
                <w:szCs w:val="21"/>
              </w:rPr>
              <w:t>及排放系数0.85</w:t>
            </w:r>
          </w:p>
        </w:tc>
        <w:tc>
          <w:tcPr>
            <w:tcW w:w="1129" w:type="dxa"/>
            <w:vAlign w:val="top"/>
            <w:vMerge w:val="restart"/>
            <w:tcBorders>
              <w:bottom w:val="nil"/>
            </w:tcBorders>
          </w:tcPr>
          <w:p>
            <w:pPr>
              <w:pStyle w:val="TableText"/>
              <w:ind w:left="86"/>
              <w:spacing w:before="262" w:line="239" w:lineRule="auto"/>
              <w:rPr>
                <w:sz w:val="21"/>
                <w:szCs w:val="21"/>
              </w:rPr>
            </w:pPr>
            <w:r>
              <w:rPr>
                <w:sz w:val="21"/>
                <w:szCs w:val="21"/>
                <w:spacing w:val="-3"/>
              </w:rPr>
              <w:t>169941.18</w:t>
            </w:r>
          </w:p>
        </w:tc>
        <w:tc>
          <w:tcPr>
            <w:tcW w:w="1049" w:type="dxa"/>
            <w:vAlign w:val="top"/>
            <w:vMerge w:val="restart"/>
            <w:tcBorders>
              <w:bottom w:val="nil"/>
            </w:tcBorders>
          </w:tcPr>
          <w:p>
            <w:pPr>
              <w:pStyle w:val="TableText"/>
              <w:ind w:left="97"/>
              <w:spacing w:before="262" w:line="239" w:lineRule="auto"/>
              <w:rPr>
                <w:sz w:val="21"/>
                <w:szCs w:val="21"/>
              </w:rPr>
            </w:pPr>
            <w:r>
              <w:rPr>
                <w:sz w:val="21"/>
                <w:szCs w:val="21"/>
                <w:spacing w:val="-1"/>
              </w:rPr>
              <w:t>81798.35</w:t>
            </w:r>
          </w:p>
        </w:tc>
        <w:tc>
          <w:tcPr>
            <w:tcW w:w="1034" w:type="dxa"/>
            <w:vAlign w:val="top"/>
            <w:vMerge w:val="restart"/>
            <w:tcBorders>
              <w:bottom w:val="nil"/>
            </w:tcBorders>
          </w:tcPr>
          <w:p>
            <w:pPr>
              <w:pStyle w:val="TableText"/>
              <w:ind w:left="38"/>
              <w:spacing w:before="262" w:line="239" w:lineRule="auto"/>
              <w:rPr>
                <w:sz w:val="21"/>
                <w:szCs w:val="21"/>
              </w:rPr>
            </w:pPr>
            <w:r>
              <w:rPr>
                <w:sz w:val="21"/>
                <w:szCs w:val="21"/>
                <w:spacing w:val="-2"/>
              </w:rPr>
              <w:t>251739.53</w:t>
            </w:r>
          </w:p>
        </w:tc>
      </w:tr>
      <w:tr>
        <w:trPr>
          <w:trHeight w:val="279" w:hRule="atLeast"/>
        </w:trPr>
        <w:tc>
          <w:tcPr>
            <w:tcW w:w="284" w:type="dxa"/>
            <w:vAlign w:val="top"/>
            <w:vMerge w:val="continue"/>
            <w:tcBorders>
              <w:top w:val="nil"/>
            </w:tcBorders>
          </w:tcPr>
          <w:p>
            <w:pPr>
              <w:rPr>
                <w:rFonts w:ascii="Arial"/>
                <w:sz w:val="21"/>
              </w:rPr>
            </w:pPr>
            <w:r/>
          </w:p>
        </w:tc>
        <w:tc>
          <w:tcPr>
            <w:tcW w:w="1748" w:type="dxa"/>
            <w:vAlign w:val="top"/>
            <w:vMerge w:val="continue"/>
            <w:tcBorders>
              <w:top w:val="nil"/>
            </w:tcBorders>
          </w:tcPr>
          <w:p>
            <w:pPr>
              <w:rPr>
                <w:rFonts w:ascii="Arial"/>
                <w:sz w:val="21"/>
              </w:rPr>
            </w:pPr>
            <w:r/>
          </w:p>
        </w:tc>
        <w:tc>
          <w:tcPr>
            <w:tcW w:w="1358" w:type="dxa"/>
            <w:vAlign w:val="top"/>
          </w:tcPr>
          <w:p>
            <w:pPr>
              <w:pStyle w:val="TableText"/>
              <w:ind w:left="42"/>
              <w:spacing w:before="42" w:line="199" w:lineRule="auto"/>
              <w:rPr>
                <w:sz w:val="21"/>
                <w:szCs w:val="21"/>
              </w:rPr>
            </w:pPr>
            <w:r>
              <w:rPr>
                <w:sz w:val="21"/>
                <w:szCs w:val="21"/>
              </w:rPr>
              <w:t>旺季1444头/d</w:t>
            </w:r>
          </w:p>
        </w:tc>
        <w:tc>
          <w:tcPr>
            <w:tcW w:w="1818" w:type="dxa"/>
            <w:vAlign w:val="top"/>
            <w:vMerge w:val="continue"/>
            <w:tcBorders>
              <w:top w:val="nil"/>
            </w:tcBorders>
          </w:tcPr>
          <w:p>
            <w:pPr>
              <w:rPr>
                <w:rFonts w:ascii="Arial"/>
                <w:sz w:val="21"/>
              </w:rPr>
            </w:pPr>
            <w:r/>
          </w:p>
        </w:tc>
        <w:tc>
          <w:tcPr>
            <w:tcW w:w="1129" w:type="dxa"/>
            <w:vAlign w:val="top"/>
            <w:vMerge w:val="continue"/>
            <w:tcBorders>
              <w:top w:val="nil"/>
            </w:tcBorders>
          </w:tcPr>
          <w:p>
            <w:pPr>
              <w:rPr>
                <w:rFonts w:ascii="Arial"/>
                <w:sz w:val="21"/>
              </w:rPr>
            </w:pPr>
            <w:r/>
          </w:p>
        </w:tc>
        <w:tc>
          <w:tcPr>
            <w:tcW w:w="1049" w:type="dxa"/>
            <w:vAlign w:val="top"/>
            <w:vMerge w:val="continue"/>
            <w:tcBorders>
              <w:top w:val="nil"/>
            </w:tcBorders>
          </w:tcPr>
          <w:p>
            <w:pPr>
              <w:rPr>
                <w:rFonts w:ascii="Arial"/>
                <w:sz w:val="21"/>
              </w:rPr>
            </w:pPr>
            <w:r/>
          </w:p>
        </w:tc>
        <w:tc>
          <w:tcPr>
            <w:tcW w:w="1034" w:type="dxa"/>
            <w:vAlign w:val="top"/>
            <w:vMerge w:val="continue"/>
            <w:tcBorders>
              <w:top w:val="nil"/>
            </w:tcBorders>
          </w:tcPr>
          <w:p>
            <w:pPr>
              <w:rPr>
                <w:rFonts w:ascii="Arial"/>
                <w:sz w:val="21"/>
              </w:rPr>
            </w:pPr>
            <w:r/>
          </w:p>
        </w:tc>
      </w:tr>
      <w:tr>
        <w:trPr>
          <w:trHeight w:val="270" w:hRule="atLeast"/>
        </w:trPr>
        <w:tc>
          <w:tcPr>
            <w:tcW w:w="284" w:type="dxa"/>
            <w:vAlign w:val="top"/>
            <w:vMerge w:val="restart"/>
            <w:tcBorders>
              <w:bottom w:val="nil"/>
            </w:tcBorders>
          </w:tcPr>
          <w:p>
            <w:pPr>
              <w:pStyle w:val="TableText"/>
              <w:ind w:left="74"/>
              <w:spacing w:before="204" w:line="241" w:lineRule="auto"/>
              <w:rPr>
                <w:sz w:val="21"/>
                <w:szCs w:val="21"/>
              </w:rPr>
            </w:pPr>
            <w:r>
              <w:rPr>
                <w:sz w:val="21"/>
                <w:szCs w:val="21"/>
                <w:color w:val="506050"/>
              </w:rPr>
              <w:t>4</w:t>
            </w:r>
          </w:p>
        </w:tc>
        <w:tc>
          <w:tcPr>
            <w:tcW w:w="1748" w:type="dxa"/>
            <w:vAlign w:val="top"/>
            <w:vMerge w:val="restart"/>
            <w:tcBorders>
              <w:bottom w:val="nil"/>
            </w:tcBorders>
          </w:tcPr>
          <w:p>
            <w:pPr>
              <w:pStyle w:val="TableText"/>
              <w:ind w:left="230"/>
              <w:spacing w:before="183" w:line="219" w:lineRule="auto"/>
              <w:rPr>
                <w:sz w:val="21"/>
                <w:szCs w:val="21"/>
              </w:rPr>
            </w:pPr>
            <w:r>
              <w:rPr>
                <w:sz w:val="21"/>
                <w:szCs w:val="21"/>
                <w:spacing w:val="1"/>
              </w:rPr>
              <w:t>肉牛屠宰用水</w:t>
            </w:r>
          </w:p>
        </w:tc>
        <w:tc>
          <w:tcPr>
            <w:tcW w:w="1358" w:type="dxa"/>
            <w:vAlign w:val="top"/>
          </w:tcPr>
          <w:p>
            <w:pPr>
              <w:pStyle w:val="TableText"/>
              <w:ind w:left="92"/>
              <w:spacing w:before="32" w:line="200" w:lineRule="auto"/>
              <w:rPr>
                <w:sz w:val="21"/>
                <w:szCs w:val="21"/>
              </w:rPr>
            </w:pPr>
            <w:r>
              <w:rPr>
                <w:sz w:val="21"/>
                <w:szCs w:val="21"/>
                <w:spacing w:val="-2"/>
              </w:rPr>
              <w:t>淡季100头/d</w:t>
            </w:r>
          </w:p>
        </w:tc>
        <w:tc>
          <w:tcPr>
            <w:tcW w:w="1818" w:type="dxa"/>
            <w:vAlign w:val="top"/>
            <w:vMerge w:val="restart"/>
            <w:tcBorders>
              <w:bottom w:val="nil"/>
            </w:tcBorders>
          </w:tcPr>
          <w:p>
            <w:pPr>
              <w:pStyle w:val="TableText"/>
              <w:ind w:left="163" w:hanging="159"/>
              <w:spacing w:before="32" w:line="227" w:lineRule="auto"/>
              <w:rPr>
                <w:sz w:val="21"/>
                <w:szCs w:val="21"/>
              </w:rPr>
            </w:pPr>
            <w:r>
              <w:rPr>
                <w:sz w:val="21"/>
                <w:szCs w:val="21"/>
                <w:spacing w:val="1"/>
              </w:rPr>
              <w:t>产污系数0.941t/头</w:t>
            </w:r>
            <w:r>
              <w:rPr>
                <w:sz w:val="21"/>
                <w:szCs w:val="21"/>
                <w:spacing w:val="4"/>
              </w:rPr>
              <w:t xml:space="preserve"> </w:t>
            </w:r>
            <w:r>
              <w:rPr>
                <w:sz w:val="21"/>
                <w:szCs w:val="21"/>
                <w:spacing w:val="1"/>
              </w:rPr>
              <w:t>及排放系数0.85</w:t>
            </w:r>
          </w:p>
        </w:tc>
        <w:tc>
          <w:tcPr>
            <w:tcW w:w="1129" w:type="dxa"/>
            <w:vAlign w:val="top"/>
            <w:vMerge w:val="restart"/>
            <w:tcBorders>
              <w:bottom w:val="nil"/>
            </w:tcBorders>
          </w:tcPr>
          <w:p>
            <w:pPr>
              <w:pStyle w:val="TableText"/>
              <w:ind w:left="136"/>
              <w:spacing w:before="204" w:line="239" w:lineRule="auto"/>
              <w:rPr>
                <w:sz w:val="21"/>
                <w:szCs w:val="21"/>
              </w:rPr>
            </w:pPr>
            <w:r>
              <w:rPr>
                <w:sz w:val="21"/>
                <w:szCs w:val="21"/>
                <w:spacing w:val="-2"/>
              </w:rPr>
              <w:t>29890.59</w:t>
            </w:r>
          </w:p>
        </w:tc>
        <w:tc>
          <w:tcPr>
            <w:tcW w:w="1049" w:type="dxa"/>
            <w:vAlign w:val="top"/>
            <w:vMerge w:val="restart"/>
            <w:tcBorders>
              <w:bottom w:val="nil"/>
            </w:tcBorders>
          </w:tcPr>
          <w:p>
            <w:pPr>
              <w:pStyle w:val="TableText"/>
              <w:ind w:left="97"/>
              <w:spacing w:before="204" w:line="239" w:lineRule="auto"/>
              <w:rPr>
                <w:sz w:val="21"/>
                <w:szCs w:val="21"/>
              </w:rPr>
            </w:pPr>
            <w:r>
              <w:rPr>
                <w:sz w:val="21"/>
                <w:szCs w:val="21"/>
                <w:spacing w:val="-3"/>
              </w:rPr>
              <w:t>14347.48</w:t>
            </w:r>
          </w:p>
        </w:tc>
        <w:tc>
          <w:tcPr>
            <w:tcW w:w="1034" w:type="dxa"/>
            <w:vAlign w:val="top"/>
            <w:vMerge w:val="restart"/>
            <w:tcBorders>
              <w:bottom w:val="nil"/>
            </w:tcBorders>
          </w:tcPr>
          <w:p>
            <w:pPr>
              <w:pStyle w:val="TableText"/>
              <w:ind w:left="88"/>
              <w:spacing w:before="204" w:line="239" w:lineRule="auto"/>
              <w:rPr>
                <w:sz w:val="21"/>
                <w:szCs w:val="21"/>
              </w:rPr>
            </w:pPr>
            <w:r>
              <w:rPr>
                <w:sz w:val="21"/>
                <w:szCs w:val="21"/>
                <w:spacing w:val="-1"/>
              </w:rPr>
              <w:t>44238.07</w:t>
            </w:r>
          </w:p>
        </w:tc>
      </w:tr>
      <w:tr>
        <w:trPr>
          <w:trHeight w:val="279" w:hRule="atLeast"/>
        </w:trPr>
        <w:tc>
          <w:tcPr>
            <w:tcW w:w="284" w:type="dxa"/>
            <w:vAlign w:val="top"/>
            <w:vMerge w:val="continue"/>
            <w:tcBorders>
              <w:top w:val="nil"/>
            </w:tcBorders>
          </w:tcPr>
          <w:p>
            <w:pPr>
              <w:rPr>
                <w:rFonts w:ascii="Arial"/>
                <w:sz w:val="21"/>
              </w:rPr>
            </w:pPr>
            <w:r/>
          </w:p>
        </w:tc>
        <w:tc>
          <w:tcPr>
            <w:tcW w:w="1748" w:type="dxa"/>
            <w:vAlign w:val="top"/>
            <w:vMerge w:val="continue"/>
            <w:tcBorders>
              <w:top w:val="nil"/>
            </w:tcBorders>
          </w:tcPr>
          <w:p>
            <w:pPr>
              <w:rPr>
                <w:rFonts w:ascii="Arial"/>
                <w:sz w:val="21"/>
              </w:rPr>
            </w:pPr>
            <w:r/>
          </w:p>
        </w:tc>
        <w:tc>
          <w:tcPr>
            <w:tcW w:w="1358" w:type="dxa"/>
            <w:vAlign w:val="top"/>
          </w:tcPr>
          <w:p>
            <w:pPr>
              <w:pStyle w:val="TableText"/>
              <w:ind w:left="92"/>
              <w:spacing w:before="43" w:line="198" w:lineRule="auto"/>
              <w:rPr>
                <w:sz w:val="21"/>
                <w:szCs w:val="21"/>
              </w:rPr>
            </w:pPr>
            <w:r>
              <w:rPr>
                <w:sz w:val="21"/>
                <w:szCs w:val="21"/>
                <w:spacing w:val="-3"/>
              </w:rPr>
              <w:t>旺季144头/d</w:t>
            </w:r>
          </w:p>
        </w:tc>
        <w:tc>
          <w:tcPr>
            <w:tcW w:w="1818" w:type="dxa"/>
            <w:vAlign w:val="top"/>
            <w:vMerge w:val="continue"/>
            <w:tcBorders>
              <w:top w:val="nil"/>
            </w:tcBorders>
          </w:tcPr>
          <w:p>
            <w:pPr>
              <w:rPr>
                <w:rFonts w:ascii="Arial"/>
                <w:sz w:val="21"/>
              </w:rPr>
            </w:pPr>
            <w:r/>
          </w:p>
        </w:tc>
        <w:tc>
          <w:tcPr>
            <w:tcW w:w="1129" w:type="dxa"/>
            <w:vAlign w:val="top"/>
            <w:vMerge w:val="continue"/>
            <w:tcBorders>
              <w:top w:val="nil"/>
            </w:tcBorders>
          </w:tcPr>
          <w:p>
            <w:pPr>
              <w:rPr>
                <w:rFonts w:ascii="Arial"/>
                <w:sz w:val="21"/>
              </w:rPr>
            </w:pPr>
            <w:r/>
          </w:p>
        </w:tc>
        <w:tc>
          <w:tcPr>
            <w:tcW w:w="1049" w:type="dxa"/>
            <w:vAlign w:val="top"/>
            <w:vMerge w:val="continue"/>
            <w:tcBorders>
              <w:top w:val="nil"/>
            </w:tcBorders>
          </w:tcPr>
          <w:p>
            <w:pPr>
              <w:rPr>
                <w:rFonts w:ascii="Arial"/>
                <w:sz w:val="21"/>
              </w:rPr>
            </w:pPr>
            <w:r/>
          </w:p>
        </w:tc>
        <w:tc>
          <w:tcPr>
            <w:tcW w:w="1034" w:type="dxa"/>
            <w:vAlign w:val="top"/>
            <w:vMerge w:val="continue"/>
            <w:tcBorders>
              <w:top w:val="nil"/>
            </w:tcBorders>
          </w:tcPr>
          <w:p>
            <w:pPr>
              <w:rPr>
                <w:rFonts w:ascii="Arial"/>
                <w:sz w:val="21"/>
              </w:rPr>
            </w:pPr>
            <w:r/>
          </w:p>
        </w:tc>
      </w:tr>
      <w:tr>
        <w:trPr>
          <w:trHeight w:val="260" w:hRule="atLeast"/>
        </w:trPr>
        <w:tc>
          <w:tcPr>
            <w:tcW w:w="284" w:type="dxa"/>
            <w:vAlign w:val="top"/>
          </w:tcPr>
          <w:p>
            <w:pPr>
              <w:pStyle w:val="TableText"/>
              <w:ind w:left="74"/>
              <w:spacing w:before="55" w:line="171" w:lineRule="auto"/>
              <w:rPr>
                <w:sz w:val="21"/>
                <w:szCs w:val="21"/>
              </w:rPr>
            </w:pPr>
            <w:r>
              <w:rPr>
                <w:sz w:val="21"/>
                <w:szCs w:val="21"/>
              </w:rPr>
              <w:t>5</w:t>
            </w:r>
          </w:p>
        </w:tc>
        <w:tc>
          <w:tcPr>
            <w:tcW w:w="1748" w:type="dxa"/>
            <w:vAlign w:val="top"/>
          </w:tcPr>
          <w:p>
            <w:pPr>
              <w:pStyle w:val="TableText"/>
              <w:ind w:left="230"/>
              <w:spacing w:before="33" w:line="190" w:lineRule="auto"/>
              <w:rPr>
                <w:sz w:val="21"/>
                <w:szCs w:val="21"/>
              </w:rPr>
            </w:pPr>
            <w:r>
              <w:rPr>
                <w:sz w:val="21"/>
                <w:szCs w:val="21"/>
                <w:spacing w:val="-2"/>
              </w:rPr>
              <w:t>车辆冲洗用水</w:t>
            </w:r>
          </w:p>
        </w:tc>
        <w:tc>
          <w:tcPr>
            <w:tcW w:w="1358" w:type="dxa"/>
            <w:vAlign w:val="top"/>
          </w:tcPr>
          <w:p>
            <w:pPr>
              <w:pStyle w:val="TableText"/>
              <w:ind w:left="352"/>
              <w:spacing w:before="33" w:line="190" w:lineRule="auto"/>
              <w:rPr>
                <w:sz w:val="21"/>
                <w:szCs w:val="21"/>
              </w:rPr>
            </w:pPr>
            <w:r>
              <w:rPr>
                <w:sz w:val="21"/>
                <w:szCs w:val="21"/>
                <w:spacing w:val="-2"/>
              </w:rPr>
              <w:t>40辆/d</w:t>
            </w:r>
          </w:p>
        </w:tc>
        <w:tc>
          <w:tcPr>
            <w:tcW w:w="1818" w:type="dxa"/>
            <w:vAlign w:val="top"/>
          </w:tcPr>
          <w:p>
            <w:pPr>
              <w:pStyle w:val="TableText"/>
              <w:ind w:left="214"/>
              <w:spacing w:before="33" w:line="190" w:lineRule="auto"/>
              <w:rPr>
                <w:sz w:val="21"/>
                <w:szCs w:val="21"/>
              </w:rPr>
            </w:pPr>
            <w:r>
              <w:rPr>
                <w:sz w:val="21"/>
                <w:szCs w:val="21"/>
                <w:spacing w:val="-1"/>
              </w:rPr>
              <w:t>0.1m³/辆 ·</w:t>
            </w:r>
            <w:r>
              <w:rPr>
                <w:sz w:val="21"/>
                <w:szCs w:val="21"/>
                <w:spacing w:val="-70"/>
              </w:rPr>
              <w:t xml:space="preserve"> </w:t>
            </w:r>
            <w:r>
              <w:rPr>
                <w:sz w:val="21"/>
                <w:szCs w:val="21"/>
                <w:spacing w:val="-1"/>
              </w:rPr>
              <w:t>次</w:t>
            </w:r>
          </w:p>
        </w:tc>
        <w:tc>
          <w:tcPr>
            <w:tcW w:w="1129" w:type="dxa"/>
            <w:vAlign w:val="top"/>
          </w:tcPr>
          <w:p>
            <w:pPr>
              <w:pStyle w:val="TableText"/>
              <w:ind w:left="346"/>
              <w:spacing w:before="55" w:line="171" w:lineRule="auto"/>
              <w:rPr>
                <w:sz w:val="21"/>
                <w:szCs w:val="21"/>
              </w:rPr>
            </w:pPr>
            <w:r>
              <w:rPr>
                <w:sz w:val="21"/>
                <w:szCs w:val="21"/>
                <w:spacing w:val="-5"/>
              </w:rPr>
              <w:t>1620</w:t>
            </w:r>
          </w:p>
        </w:tc>
        <w:tc>
          <w:tcPr>
            <w:tcW w:w="1049" w:type="dxa"/>
            <w:vAlign w:val="top"/>
          </w:tcPr>
          <w:p>
            <w:pPr>
              <w:pStyle w:val="TableText"/>
              <w:ind w:left="357"/>
              <w:spacing w:before="55" w:line="171" w:lineRule="auto"/>
              <w:rPr>
                <w:sz w:val="21"/>
                <w:szCs w:val="21"/>
              </w:rPr>
            </w:pPr>
            <w:r>
              <w:rPr>
                <w:sz w:val="21"/>
                <w:szCs w:val="21"/>
                <w:spacing w:val="-3"/>
              </w:rPr>
              <w:t>720</w:t>
            </w:r>
          </w:p>
        </w:tc>
        <w:tc>
          <w:tcPr>
            <w:tcW w:w="1034" w:type="dxa"/>
            <w:vAlign w:val="top"/>
          </w:tcPr>
          <w:p>
            <w:pPr>
              <w:pStyle w:val="TableText"/>
              <w:ind w:left="298"/>
              <w:spacing w:before="55" w:line="171" w:lineRule="auto"/>
              <w:rPr>
                <w:sz w:val="21"/>
                <w:szCs w:val="21"/>
              </w:rPr>
            </w:pPr>
            <w:r>
              <w:rPr>
                <w:sz w:val="21"/>
                <w:szCs w:val="21"/>
                <w:spacing w:val="-3"/>
              </w:rPr>
              <w:t>2340</w:t>
            </w:r>
          </w:p>
        </w:tc>
      </w:tr>
      <w:tr>
        <w:trPr>
          <w:trHeight w:val="279" w:hRule="atLeast"/>
        </w:trPr>
        <w:tc>
          <w:tcPr>
            <w:tcW w:w="284" w:type="dxa"/>
            <w:vAlign w:val="top"/>
          </w:tcPr>
          <w:p>
            <w:pPr>
              <w:pStyle w:val="TableText"/>
              <w:ind w:left="74"/>
              <w:spacing w:before="65" w:line="179" w:lineRule="auto"/>
              <w:rPr>
                <w:sz w:val="21"/>
                <w:szCs w:val="21"/>
              </w:rPr>
            </w:pPr>
            <w:r>
              <w:rPr>
                <w:sz w:val="21"/>
                <w:szCs w:val="21"/>
              </w:rPr>
              <w:t>6</w:t>
            </w:r>
          </w:p>
        </w:tc>
        <w:tc>
          <w:tcPr>
            <w:tcW w:w="1748" w:type="dxa"/>
            <w:vAlign w:val="top"/>
          </w:tcPr>
          <w:p>
            <w:pPr>
              <w:pStyle w:val="TableText"/>
              <w:ind w:left="440"/>
              <w:spacing w:before="44" w:line="197" w:lineRule="auto"/>
              <w:rPr>
                <w:sz w:val="21"/>
                <w:szCs w:val="21"/>
              </w:rPr>
            </w:pPr>
            <w:r>
              <w:rPr>
                <w:sz w:val="21"/>
                <w:szCs w:val="21"/>
                <w:color w:val="404040"/>
                <w:spacing w:val="2"/>
              </w:rPr>
              <w:t>消毒用水</w:t>
            </w:r>
          </w:p>
        </w:tc>
        <w:tc>
          <w:tcPr>
            <w:tcW w:w="1358" w:type="dxa"/>
            <w:vAlign w:val="top"/>
          </w:tcPr>
          <w:p>
            <w:pPr>
              <w:pStyle w:val="TableText"/>
              <w:ind w:left="302"/>
              <w:spacing w:before="48" w:line="194" w:lineRule="auto"/>
              <w:rPr>
                <w:sz w:val="21"/>
                <w:szCs w:val="21"/>
              </w:rPr>
            </w:pPr>
            <w:r>
              <w:rPr>
                <w:sz w:val="21"/>
                <w:szCs w:val="21"/>
              </w:rPr>
              <w:t>120人/d</w:t>
            </w:r>
          </w:p>
        </w:tc>
        <w:tc>
          <w:tcPr>
            <w:tcW w:w="1818" w:type="dxa"/>
            <w:vAlign w:val="top"/>
          </w:tcPr>
          <w:p>
            <w:pPr>
              <w:pStyle w:val="TableText"/>
              <w:ind w:left="214"/>
              <w:spacing w:before="48" w:line="194" w:lineRule="auto"/>
              <w:rPr>
                <w:sz w:val="21"/>
                <w:szCs w:val="21"/>
              </w:rPr>
            </w:pPr>
            <w:r>
              <w:rPr>
                <w:sz w:val="21"/>
                <w:szCs w:val="21"/>
                <w:spacing w:val="-1"/>
              </w:rPr>
              <w:t>0.05m³/人 ·</w:t>
            </w:r>
            <w:r>
              <w:rPr>
                <w:sz w:val="21"/>
                <w:szCs w:val="21"/>
                <w:spacing w:val="-73"/>
              </w:rPr>
              <w:t xml:space="preserve"> </w:t>
            </w:r>
            <w:r>
              <w:rPr>
                <w:sz w:val="21"/>
                <w:szCs w:val="21"/>
                <w:spacing w:val="-1"/>
              </w:rPr>
              <w:t>d</w:t>
            </w:r>
          </w:p>
        </w:tc>
        <w:tc>
          <w:tcPr>
            <w:tcW w:w="1129" w:type="dxa"/>
            <w:vAlign w:val="top"/>
          </w:tcPr>
          <w:p>
            <w:pPr>
              <w:pStyle w:val="TableText"/>
              <w:ind w:left="346"/>
              <w:spacing w:before="65" w:line="179" w:lineRule="auto"/>
              <w:rPr>
                <w:sz w:val="21"/>
                <w:szCs w:val="21"/>
              </w:rPr>
            </w:pPr>
            <w:r>
              <w:rPr>
                <w:sz w:val="21"/>
                <w:szCs w:val="21"/>
                <w:spacing w:val="-5"/>
              </w:rPr>
              <w:t>1620</w:t>
            </w:r>
          </w:p>
        </w:tc>
        <w:tc>
          <w:tcPr>
            <w:tcW w:w="1049" w:type="dxa"/>
            <w:vAlign w:val="top"/>
          </w:tcPr>
          <w:p>
            <w:pPr>
              <w:pStyle w:val="TableText"/>
              <w:ind w:left="357"/>
              <w:spacing w:before="65" w:line="179" w:lineRule="auto"/>
              <w:rPr>
                <w:sz w:val="21"/>
                <w:szCs w:val="21"/>
              </w:rPr>
            </w:pPr>
            <w:r>
              <w:rPr>
                <w:sz w:val="21"/>
                <w:szCs w:val="21"/>
                <w:spacing w:val="-3"/>
              </w:rPr>
              <w:t>540</w:t>
            </w:r>
          </w:p>
        </w:tc>
        <w:tc>
          <w:tcPr>
            <w:tcW w:w="1034" w:type="dxa"/>
            <w:vAlign w:val="top"/>
          </w:tcPr>
          <w:p>
            <w:pPr>
              <w:pStyle w:val="TableText"/>
              <w:ind w:left="298"/>
              <w:spacing w:before="65" w:line="179" w:lineRule="auto"/>
              <w:rPr>
                <w:sz w:val="21"/>
                <w:szCs w:val="21"/>
              </w:rPr>
            </w:pPr>
            <w:r>
              <w:rPr>
                <w:sz w:val="21"/>
                <w:szCs w:val="21"/>
                <w:spacing w:val="-3"/>
              </w:rPr>
              <w:t>2160</w:t>
            </w:r>
          </w:p>
        </w:tc>
      </w:tr>
      <w:tr>
        <w:trPr>
          <w:trHeight w:val="260" w:hRule="atLeast"/>
        </w:trPr>
        <w:tc>
          <w:tcPr>
            <w:tcW w:w="284" w:type="dxa"/>
            <w:vAlign w:val="top"/>
          </w:tcPr>
          <w:p>
            <w:pPr>
              <w:pStyle w:val="TableText"/>
              <w:ind w:left="54"/>
              <w:spacing w:before="56" w:line="170" w:lineRule="auto"/>
              <w:rPr>
                <w:sz w:val="21"/>
                <w:szCs w:val="21"/>
              </w:rPr>
            </w:pPr>
            <w:r>
              <w:rPr>
                <w:sz w:val="21"/>
                <w:szCs w:val="21"/>
              </w:rPr>
              <w:t>7</w:t>
            </w:r>
          </w:p>
        </w:tc>
        <w:tc>
          <w:tcPr>
            <w:tcW w:w="1748" w:type="dxa"/>
            <w:vAlign w:val="top"/>
          </w:tcPr>
          <w:p>
            <w:pPr>
              <w:pStyle w:val="TableText"/>
              <w:ind w:left="20"/>
              <w:spacing w:before="35" w:line="189" w:lineRule="auto"/>
              <w:rPr>
                <w:sz w:val="21"/>
                <w:szCs w:val="21"/>
              </w:rPr>
            </w:pPr>
            <w:r>
              <w:rPr>
                <w:sz w:val="21"/>
                <w:szCs w:val="21"/>
                <w:spacing w:val="-2"/>
              </w:rPr>
              <w:t>冷却系统补充用水</w:t>
            </w:r>
          </w:p>
        </w:tc>
        <w:tc>
          <w:tcPr>
            <w:tcW w:w="1358" w:type="dxa"/>
            <w:vAlign w:val="top"/>
          </w:tcPr>
          <w:p>
            <w:pPr>
              <w:pStyle w:val="TableText"/>
              <w:ind w:left="612"/>
              <w:spacing w:before="41" w:line="183" w:lineRule="auto"/>
              <w:rPr>
                <w:sz w:val="21"/>
                <w:szCs w:val="21"/>
              </w:rPr>
            </w:pPr>
            <w:r>
              <w:rPr>
                <w:sz w:val="21"/>
                <w:szCs w:val="21"/>
              </w:rPr>
              <w:t>/</w:t>
            </w:r>
          </w:p>
        </w:tc>
        <w:tc>
          <w:tcPr>
            <w:tcW w:w="1818" w:type="dxa"/>
            <w:vAlign w:val="top"/>
          </w:tcPr>
          <w:p>
            <w:pPr>
              <w:pStyle w:val="TableText"/>
              <w:ind w:left="844"/>
              <w:spacing w:before="41" w:line="183" w:lineRule="auto"/>
              <w:rPr>
                <w:sz w:val="21"/>
                <w:szCs w:val="21"/>
              </w:rPr>
            </w:pPr>
            <w:r>
              <w:rPr>
                <w:sz w:val="21"/>
                <w:szCs w:val="21"/>
              </w:rPr>
              <w:t>/</w:t>
            </w:r>
          </w:p>
        </w:tc>
        <w:tc>
          <w:tcPr>
            <w:tcW w:w="1129" w:type="dxa"/>
            <w:vAlign w:val="top"/>
          </w:tcPr>
          <w:p>
            <w:pPr>
              <w:pStyle w:val="TableText"/>
              <w:ind w:left="346"/>
              <w:spacing w:before="56" w:line="170" w:lineRule="auto"/>
              <w:rPr>
                <w:sz w:val="21"/>
                <w:szCs w:val="21"/>
              </w:rPr>
            </w:pPr>
            <w:r>
              <w:rPr>
                <w:sz w:val="21"/>
                <w:szCs w:val="21"/>
                <w:spacing w:val="-2"/>
              </w:rPr>
              <w:t>4860</w:t>
            </w:r>
          </w:p>
        </w:tc>
        <w:tc>
          <w:tcPr>
            <w:tcW w:w="1049" w:type="dxa"/>
            <w:vAlign w:val="top"/>
          </w:tcPr>
          <w:p>
            <w:pPr>
              <w:pStyle w:val="TableText"/>
              <w:ind w:left="307"/>
              <w:spacing w:before="56" w:line="170" w:lineRule="auto"/>
              <w:rPr>
                <w:sz w:val="21"/>
                <w:szCs w:val="21"/>
              </w:rPr>
            </w:pPr>
            <w:r>
              <w:rPr>
                <w:sz w:val="21"/>
                <w:szCs w:val="21"/>
                <w:spacing w:val="-5"/>
              </w:rPr>
              <w:t>1620</w:t>
            </w:r>
          </w:p>
        </w:tc>
        <w:tc>
          <w:tcPr>
            <w:tcW w:w="1034" w:type="dxa"/>
            <w:vAlign w:val="top"/>
          </w:tcPr>
          <w:p>
            <w:pPr>
              <w:pStyle w:val="TableText"/>
              <w:ind w:left="298"/>
              <w:spacing w:before="56" w:line="170" w:lineRule="auto"/>
              <w:rPr>
                <w:sz w:val="21"/>
                <w:szCs w:val="21"/>
              </w:rPr>
            </w:pPr>
            <w:r>
              <w:rPr>
                <w:sz w:val="21"/>
                <w:szCs w:val="21"/>
                <w:spacing w:val="-2"/>
              </w:rPr>
              <w:t>6480</w:t>
            </w:r>
          </w:p>
        </w:tc>
      </w:tr>
      <w:tr>
        <w:trPr>
          <w:trHeight w:val="279" w:hRule="atLeast"/>
        </w:trPr>
        <w:tc>
          <w:tcPr>
            <w:tcW w:w="284" w:type="dxa"/>
            <w:vAlign w:val="top"/>
          </w:tcPr>
          <w:p>
            <w:pPr>
              <w:pStyle w:val="TableText"/>
              <w:ind w:left="74"/>
              <w:spacing w:before="66" w:line="178" w:lineRule="auto"/>
              <w:rPr>
                <w:sz w:val="21"/>
                <w:szCs w:val="21"/>
              </w:rPr>
            </w:pPr>
            <w:r>
              <w:rPr>
                <w:sz w:val="21"/>
                <w:szCs w:val="21"/>
              </w:rPr>
              <w:t>8</w:t>
            </w:r>
          </w:p>
        </w:tc>
        <w:tc>
          <w:tcPr>
            <w:tcW w:w="1748" w:type="dxa"/>
            <w:vAlign w:val="top"/>
          </w:tcPr>
          <w:p>
            <w:pPr>
              <w:pStyle w:val="TableText"/>
              <w:ind w:left="340"/>
              <w:spacing w:before="43" w:line="198" w:lineRule="auto"/>
              <w:rPr>
                <w:sz w:val="21"/>
                <w:szCs w:val="21"/>
              </w:rPr>
            </w:pPr>
            <w:r>
              <w:rPr>
                <w:sz w:val="21"/>
                <w:szCs w:val="21"/>
                <w:spacing w:val="1"/>
              </w:rPr>
              <w:t>喷淋塔用水</w:t>
            </w:r>
          </w:p>
        </w:tc>
        <w:tc>
          <w:tcPr>
            <w:tcW w:w="1358" w:type="dxa"/>
            <w:vAlign w:val="top"/>
            <w:textDirection w:val="tbRlV"/>
          </w:tcPr>
          <w:p>
            <w:pPr>
              <w:spacing w:line="274" w:lineRule="auto"/>
              <w:rPr>
                <w:rFonts w:ascii="Arial"/>
                <w:sz w:val="21"/>
              </w:rPr>
            </w:pPr>
            <w:r/>
          </w:p>
          <w:p>
            <w:pPr>
              <w:spacing w:line="274" w:lineRule="auto"/>
              <w:rPr>
                <w:rFonts w:ascii="Arial"/>
                <w:sz w:val="21"/>
              </w:rPr>
            </w:pPr>
            <w:r/>
          </w:p>
          <w:p>
            <w:pPr>
              <w:pStyle w:val="TableText"/>
              <w:ind w:left="17"/>
              <w:spacing w:before="70" w:line="137" w:lineRule="exact"/>
              <w:rPr>
                <w:sz w:val="21"/>
                <w:szCs w:val="21"/>
              </w:rPr>
            </w:pPr>
            <w:r>
              <w:rPr>
                <w:sz w:val="21"/>
                <w:szCs w:val="21"/>
                <w:spacing w:val="52"/>
                <w:w w:val="141"/>
                <w:position w:val="-1"/>
              </w:rPr>
              <w:t>/</w:t>
            </w:r>
          </w:p>
        </w:tc>
        <w:tc>
          <w:tcPr>
            <w:tcW w:w="1818" w:type="dxa"/>
            <w:vAlign w:val="top"/>
          </w:tcPr>
          <w:p>
            <w:pPr>
              <w:pStyle w:val="TableText"/>
              <w:ind w:left="844"/>
              <w:spacing w:before="51" w:line="191" w:lineRule="auto"/>
              <w:rPr>
                <w:sz w:val="21"/>
                <w:szCs w:val="21"/>
              </w:rPr>
            </w:pPr>
            <w:r>
              <w:rPr>
                <w:sz w:val="21"/>
                <w:szCs w:val="21"/>
              </w:rPr>
              <w:t>/</w:t>
            </w:r>
          </w:p>
        </w:tc>
        <w:tc>
          <w:tcPr>
            <w:tcW w:w="1129" w:type="dxa"/>
            <w:vAlign w:val="top"/>
          </w:tcPr>
          <w:p>
            <w:pPr>
              <w:pStyle w:val="TableText"/>
              <w:ind w:left="296"/>
              <w:spacing w:before="66" w:line="178" w:lineRule="auto"/>
              <w:rPr>
                <w:sz w:val="21"/>
                <w:szCs w:val="21"/>
              </w:rPr>
            </w:pPr>
            <w:r>
              <w:rPr>
                <w:sz w:val="21"/>
                <w:szCs w:val="21"/>
                <w:spacing w:val="-4"/>
              </w:rPr>
              <w:t>17.28</w:t>
            </w:r>
          </w:p>
        </w:tc>
        <w:tc>
          <w:tcPr>
            <w:tcW w:w="1049" w:type="dxa"/>
            <w:vAlign w:val="top"/>
          </w:tcPr>
          <w:p>
            <w:pPr>
              <w:pStyle w:val="TableText"/>
              <w:ind w:left="307"/>
              <w:spacing w:before="66" w:line="178" w:lineRule="auto"/>
              <w:rPr>
                <w:sz w:val="21"/>
                <w:szCs w:val="21"/>
              </w:rPr>
            </w:pPr>
            <w:r>
              <w:rPr>
                <w:sz w:val="21"/>
                <w:szCs w:val="21"/>
                <w:spacing w:val="-3"/>
              </w:rPr>
              <w:t>5.76</w:t>
            </w:r>
          </w:p>
        </w:tc>
        <w:tc>
          <w:tcPr>
            <w:tcW w:w="1034" w:type="dxa"/>
            <w:vAlign w:val="top"/>
          </w:tcPr>
          <w:p>
            <w:pPr>
              <w:pStyle w:val="TableText"/>
              <w:ind w:left="248"/>
              <w:spacing w:before="66" w:line="178" w:lineRule="auto"/>
              <w:rPr>
                <w:sz w:val="21"/>
                <w:szCs w:val="21"/>
              </w:rPr>
            </w:pPr>
            <w:r>
              <w:rPr>
                <w:sz w:val="21"/>
                <w:szCs w:val="21"/>
                <w:spacing w:val="-2"/>
              </w:rPr>
              <w:t>23.04</w:t>
            </w:r>
          </w:p>
        </w:tc>
      </w:tr>
      <w:tr>
        <w:trPr>
          <w:trHeight w:val="270" w:hRule="atLeast"/>
        </w:trPr>
        <w:tc>
          <w:tcPr>
            <w:tcW w:w="284" w:type="dxa"/>
            <w:vAlign w:val="top"/>
          </w:tcPr>
          <w:p>
            <w:pPr>
              <w:pStyle w:val="TableText"/>
              <w:ind w:left="54"/>
              <w:spacing w:before="57" w:line="178" w:lineRule="auto"/>
              <w:rPr>
                <w:sz w:val="21"/>
                <w:szCs w:val="21"/>
              </w:rPr>
            </w:pPr>
            <w:r>
              <w:rPr>
                <w:sz w:val="21"/>
                <w:szCs w:val="21"/>
              </w:rPr>
              <w:t>9</w:t>
            </w:r>
          </w:p>
        </w:tc>
        <w:tc>
          <w:tcPr>
            <w:tcW w:w="1748" w:type="dxa"/>
            <w:vAlign w:val="top"/>
          </w:tcPr>
          <w:p>
            <w:pPr>
              <w:pStyle w:val="TableText"/>
              <w:ind w:left="130"/>
              <w:spacing w:before="35" w:line="197" w:lineRule="auto"/>
              <w:rPr>
                <w:sz w:val="21"/>
                <w:szCs w:val="21"/>
              </w:rPr>
            </w:pPr>
            <w:r>
              <w:rPr>
                <w:sz w:val="21"/>
                <w:szCs w:val="21"/>
                <w:spacing w:val="1"/>
              </w:rPr>
              <w:t>蒸汽发生器用水</w:t>
            </w:r>
          </w:p>
        </w:tc>
        <w:tc>
          <w:tcPr>
            <w:tcW w:w="1358" w:type="dxa"/>
            <w:vAlign w:val="top"/>
          </w:tcPr>
          <w:p>
            <w:pPr>
              <w:rPr>
                <w:rFonts w:ascii="Arial"/>
                <w:sz w:val="21"/>
              </w:rPr>
            </w:pPr>
            <w:r/>
          </w:p>
        </w:tc>
        <w:tc>
          <w:tcPr>
            <w:tcW w:w="1818" w:type="dxa"/>
            <w:vAlign w:val="top"/>
          </w:tcPr>
          <w:p>
            <w:pPr>
              <w:rPr>
                <w:rFonts w:ascii="Arial"/>
                <w:sz w:val="21"/>
              </w:rPr>
            </w:pPr>
            <w:r/>
          </w:p>
        </w:tc>
        <w:tc>
          <w:tcPr>
            <w:tcW w:w="1129" w:type="dxa"/>
            <w:vAlign w:val="top"/>
          </w:tcPr>
          <w:p>
            <w:pPr>
              <w:pStyle w:val="TableText"/>
              <w:ind w:left="346"/>
              <w:spacing w:before="57" w:line="178" w:lineRule="auto"/>
              <w:rPr>
                <w:sz w:val="21"/>
                <w:szCs w:val="21"/>
              </w:rPr>
            </w:pPr>
            <w:r>
              <w:rPr>
                <w:sz w:val="21"/>
                <w:szCs w:val="21"/>
                <w:spacing w:val="-2"/>
              </w:rPr>
              <w:t>4320</w:t>
            </w:r>
          </w:p>
        </w:tc>
        <w:tc>
          <w:tcPr>
            <w:tcW w:w="1049" w:type="dxa"/>
            <w:vAlign w:val="top"/>
          </w:tcPr>
          <w:p>
            <w:pPr>
              <w:pStyle w:val="TableText"/>
              <w:ind w:left="307"/>
              <w:spacing w:before="57" w:line="178" w:lineRule="auto"/>
              <w:rPr>
                <w:sz w:val="21"/>
                <w:szCs w:val="21"/>
              </w:rPr>
            </w:pPr>
            <w:r>
              <w:rPr>
                <w:sz w:val="21"/>
                <w:szCs w:val="21"/>
                <w:spacing w:val="-5"/>
              </w:rPr>
              <w:t>1440</w:t>
            </w:r>
          </w:p>
        </w:tc>
        <w:tc>
          <w:tcPr>
            <w:tcW w:w="1034" w:type="dxa"/>
            <w:vAlign w:val="top"/>
          </w:tcPr>
          <w:p>
            <w:pPr>
              <w:pStyle w:val="TableText"/>
              <w:ind w:left="298"/>
              <w:spacing w:before="57" w:line="178" w:lineRule="auto"/>
              <w:rPr>
                <w:sz w:val="21"/>
                <w:szCs w:val="21"/>
              </w:rPr>
            </w:pPr>
            <w:r>
              <w:rPr>
                <w:sz w:val="21"/>
                <w:szCs w:val="21"/>
                <w:spacing w:val="-3"/>
              </w:rPr>
              <w:t>5760</w:t>
            </w:r>
          </w:p>
        </w:tc>
      </w:tr>
      <w:tr>
        <w:trPr>
          <w:trHeight w:val="279" w:hRule="atLeast"/>
        </w:trPr>
        <w:tc>
          <w:tcPr>
            <w:tcW w:w="284" w:type="dxa"/>
            <w:vAlign w:val="top"/>
          </w:tcPr>
          <w:p>
            <w:pPr>
              <w:pStyle w:val="TableText"/>
              <w:ind w:left="24"/>
              <w:spacing w:before="67" w:line="177" w:lineRule="auto"/>
              <w:rPr>
                <w:sz w:val="21"/>
                <w:szCs w:val="21"/>
              </w:rPr>
            </w:pPr>
            <w:r>
              <w:rPr>
                <w:sz w:val="21"/>
                <w:szCs w:val="21"/>
                <w:spacing w:val="-6"/>
              </w:rPr>
              <w:t>10</w:t>
            </w:r>
          </w:p>
        </w:tc>
        <w:tc>
          <w:tcPr>
            <w:tcW w:w="1748" w:type="dxa"/>
            <w:vAlign w:val="top"/>
          </w:tcPr>
          <w:p>
            <w:pPr>
              <w:pStyle w:val="TableText"/>
              <w:ind w:left="440"/>
              <w:spacing w:before="46" w:line="196" w:lineRule="auto"/>
              <w:rPr>
                <w:sz w:val="21"/>
                <w:szCs w:val="21"/>
              </w:rPr>
            </w:pPr>
            <w:r>
              <w:rPr>
                <w:sz w:val="21"/>
                <w:szCs w:val="21"/>
                <w:spacing w:val="-2"/>
              </w:rPr>
              <w:t>绿化用水</w:t>
            </w:r>
          </w:p>
        </w:tc>
        <w:tc>
          <w:tcPr>
            <w:tcW w:w="1358" w:type="dxa"/>
            <w:vAlign w:val="top"/>
            <w:textDirection w:val="tbRlV"/>
          </w:tcPr>
          <w:p>
            <w:pPr>
              <w:spacing w:line="274" w:lineRule="auto"/>
              <w:rPr>
                <w:rFonts w:ascii="Arial"/>
                <w:sz w:val="21"/>
              </w:rPr>
            </w:pPr>
            <w:r/>
          </w:p>
          <w:p>
            <w:pPr>
              <w:spacing w:line="274" w:lineRule="auto"/>
              <w:rPr>
                <w:rFonts w:ascii="Arial"/>
                <w:sz w:val="21"/>
              </w:rPr>
            </w:pPr>
            <w:r/>
          </w:p>
          <w:p>
            <w:pPr>
              <w:pStyle w:val="TableText"/>
              <w:ind w:left="18"/>
              <w:spacing w:before="70" w:line="137" w:lineRule="exact"/>
              <w:rPr>
                <w:sz w:val="21"/>
                <w:szCs w:val="21"/>
              </w:rPr>
            </w:pPr>
            <w:r>
              <w:rPr>
                <w:sz w:val="21"/>
                <w:szCs w:val="21"/>
                <w:color w:val="404040"/>
                <w:spacing w:val="52"/>
                <w:w w:val="141"/>
                <w:position w:val="-1"/>
              </w:rPr>
              <w:t>/</w:t>
            </w:r>
          </w:p>
        </w:tc>
        <w:tc>
          <w:tcPr>
            <w:tcW w:w="1818" w:type="dxa"/>
            <w:vAlign w:val="top"/>
          </w:tcPr>
          <w:p>
            <w:pPr>
              <w:pStyle w:val="TableText"/>
              <w:ind w:left="844"/>
              <w:spacing w:before="52" w:line="190" w:lineRule="auto"/>
              <w:rPr>
                <w:sz w:val="21"/>
                <w:szCs w:val="21"/>
              </w:rPr>
            </w:pPr>
            <w:r>
              <w:rPr>
                <w:sz w:val="21"/>
                <w:szCs w:val="21"/>
              </w:rPr>
              <w:t>/</w:t>
            </w:r>
          </w:p>
        </w:tc>
        <w:tc>
          <w:tcPr>
            <w:tcW w:w="1129" w:type="dxa"/>
            <w:vAlign w:val="top"/>
          </w:tcPr>
          <w:p>
            <w:pPr>
              <w:pStyle w:val="TableText"/>
              <w:ind w:left="456"/>
              <w:spacing w:before="67" w:line="177" w:lineRule="auto"/>
              <w:rPr>
                <w:sz w:val="21"/>
                <w:szCs w:val="21"/>
              </w:rPr>
            </w:pPr>
            <w:r>
              <w:rPr>
                <w:sz w:val="21"/>
                <w:szCs w:val="21"/>
                <w:spacing w:val="-4"/>
              </w:rPr>
              <w:t>78</w:t>
            </w:r>
          </w:p>
        </w:tc>
        <w:tc>
          <w:tcPr>
            <w:tcW w:w="1049" w:type="dxa"/>
            <w:vAlign w:val="top"/>
          </w:tcPr>
          <w:p>
            <w:pPr>
              <w:pStyle w:val="TableText"/>
              <w:ind w:left="417"/>
              <w:spacing w:before="67" w:line="177" w:lineRule="auto"/>
              <w:rPr>
                <w:sz w:val="21"/>
                <w:szCs w:val="21"/>
              </w:rPr>
            </w:pPr>
            <w:r>
              <w:rPr>
                <w:sz w:val="21"/>
                <w:szCs w:val="21"/>
                <w:spacing w:val="-3"/>
              </w:rPr>
              <w:t>26</w:t>
            </w:r>
          </w:p>
        </w:tc>
        <w:tc>
          <w:tcPr>
            <w:tcW w:w="1034" w:type="dxa"/>
            <w:vAlign w:val="top"/>
          </w:tcPr>
          <w:p>
            <w:pPr>
              <w:pStyle w:val="TableText"/>
              <w:ind w:left="348"/>
              <w:spacing w:before="67" w:line="177" w:lineRule="auto"/>
              <w:rPr>
                <w:sz w:val="21"/>
                <w:szCs w:val="21"/>
              </w:rPr>
            </w:pPr>
            <w:r>
              <w:rPr>
                <w:sz w:val="21"/>
                <w:szCs w:val="21"/>
                <w:spacing w:val="-6"/>
              </w:rPr>
              <w:t>104</w:t>
            </w:r>
          </w:p>
        </w:tc>
      </w:tr>
      <w:tr>
        <w:trPr>
          <w:trHeight w:val="259" w:hRule="atLeast"/>
        </w:trPr>
        <w:tc>
          <w:tcPr>
            <w:tcW w:w="284" w:type="dxa"/>
            <w:vAlign w:val="top"/>
          </w:tcPr>
          <w:p>
            <w:pPr>
              <w:pStyle w:val="TableText"/>
              <w:ind w:left="24"/>
              <w:spacing w:before="59" w:line="167" w:lineRule="auto"/>
              <w:rPr>
                <w:sz w:val="21"/>
                <w:szCs w:val="21"/>
              </w:rPr>
            </w:pPr>
            <w:r>
              <w:rPr>
                <w:sz w:val="21"/>
                <w:szCs w:val="21"/>
                <w:spacing w:val="-6"/>
              </w:rPr>
              <w:t>11</w:t>
            </w:r>
          </w:p>
        </w:tc>
        <w:tc>
          <w:tcPr>
            <w:tcW w:w="1748" w:type="dxa"/>
            <w:vAlign w:val="top"/>
          </w:tcPr>
          <w:p>
            <w:pPr>
              <w:pStyle w:val="TableText"/>
              <w:ind w:left="230"/>
              <w:spacing w:before="37" w:line="186" w:lineRule="auto"/>
              <w:rPr>
                <w:sz w:val="21"/>
                <w:szCs w:val="21"/>
              </w:rPr>
            </w:pPr>
            <w:r>
              <w:rPr>
                <w:sz w:val="21"/>
                <w:szCs w:val="21"/>
                <w:spacing w:val="1"/>
              </w:rPr>
              <w:t>不可预计用水</w:t>
            </w:r>
          </w:p>
        </w:tc>
        <w:tc>
          <w:tcPr>
            <w:tcW w:w="1358" w:type="dxa"/>
            <w:vAlign w:val="top"/>
            <w:textDirection w:val="tbRlV"/>
          </w:tcPr>
          <w:p>
            <w:pPr>
              <w:spacing w:line="274" w:lineRule="auto"/>
              <w:rPr>
                <w:rFonts w:ascii="Arial"/>
                <w:sz w:val="21"/>
              </w:rPr>
            </w:pPr>
            <w:r/>
          </w:p>
          <w:p>
            <w:pPr>
              <w:spacing w:line="274" w:lineRule="auto"/>
              <w:rPr>
                <w:rFonts w:ascii="Arial"/>
                <w:sz w:val="21"/>
              </w:rPr>
            </w:pPr>
            <w:r/>
          </w:p>
          <w:p>
            <w:pPr>
              <w:pStyle w:val="TableText"/>
              <w:ind w:left="9"/>
              <w:spacing w:before="70" w:line="137" w:lineRule="exact"/>
              <w:rPr>
                <w:sz w:val="21"/>
                <w:szCs w:val="21"/>
              </w:rPr>
            </w:pPr>
            <w:r>
              <w:rPr>
                <w:sz w:val="21"/>
                <w:szCs w:val="21"/>
                <w:spacing w:val="52"/>
                <w:w w:val="141"/>
                <w:position w:val="-1"/>
              </w:rPr>
              <w:t>/</w:t>
            </w:r>
          </w:p>
        </w:tc>
        <w:tc>
          <w:tcPr>
            <w:tcW w:w="1818" w:type="dxa"/>
            <w:vAlign w:val="top"/>
          </w:tcPr>
          <w:p>
            <w:pPr>
              <w:pStyle w:val="TableText"/>
              <w:ind w:left="324"/>
              <w:spacing w:before="37" w:line="186" w:lineRule="auto"/>
              <w:rPr>
                <w:sz w:val="21"/>
                <w:szCs w:val="21"/>
              </w:rPr>
            </w:pPr>
            <w:r>
              <w:rPr>
                <w:sz w:val="21"/>
                <w:szCs w:val="21"/>
                <w:spacing w:val="-2"/>
              </w:rPr>
              <w:t>总用水量10%</w:t>
            </w:r>
          </w:p>
        </w:tc>
        <w:tc>
          <w:tcPr>
            <w:tcW w:w="1129" w:type="dxa"/>
            <w:vAlign w:val="top"/>
          </w:tcPr>
          <w:p>
            <w:pPr>
              <w:pStyle w:val="TableText"/>
              <w:ind w:left="136"/>
              <w:spacing w:before="59" w:line="167" w:lineRule="auto"/>
              <w:rPr>
                <w:sz w:val="21"/>
                <w:szCs w:val="21"/>
              </w:rPr>
            </w:pPr>
            <w:r>
              <w:rPr>
                <w:sz w:val="21"/>
                <w:szCs w:val="21"/>
                <w:spacing w:val="-2"/>
              </w:rPr>
              <w:t>21720.73</w:t>
            </w:r>
          </w:p>
        </w:tc>
        <w:tc>
          <w:tcPr>
            <w:tcW w:w="1049" w:type="dxa"/>
            <w:vAlign w:val="top"/>
          </w:tcPr>
          <w:p>
            <w:pPr>
              <w:pStyle w:val="TableText"/>
              <w:ind w:left="97"/>
              <w:spacing w:before="59" w:line="167" w:lineRule="auto"/>
              <w:rPr>
                <w:sz w:val="21"/>
                <w:szCs w:val="21"/>
              </w:rPr>
            </w:pPr>
            <w:r>
              <w:rPr>
                <w:sz w:val="21"/>
                <w:szCs w:val="21"/>
                <w:spacing w:val="-3"/>
              </w:rPr>
              <w:t>10211.77</w:t>
            </w:r>
          </w:p>
        </w:tc>
        <w:tc>
          <w:tcPr>
            <w:tcW w:w="1034" w:type="dxa"/>
            <w:vAlign w:val="top"/>
          </w:tcPr>
          <w:p>
            <w:pPr>
              <w:pStyle w:val="TableText"/>
              <w:ind w:left="88"/>
              <w:spacing w:before="59" w:line="167" w:lineRule="auto"/>
              <w:rPr>
                <w:sz w:val="21"/>
                <w:szCs w:val="21"/>
              </w:rPr>
            </w:pPr>
            <w:r>
              <w:rPr>
                <w:sz w:val="21"/>
                <w:szCs w:val="21"/>
                <w:spacing w:val="-2"/>
              </w:rPr>
              <w:t>31932.50</w:t>
            </w:r>
          </w:p>
        </w:tc>
      </w:tr>
      <w:tr>
        <w:trPr>
          <w:trHeight w:val="294" w:hRule="atLeast"/>
        </w:trPr>
        <w:tc>
          <w:tcPr>
            <w:tcW w:w="284" w:type="dxa"/>
            <w:vAlign w:val="top"/>
            <w:tcBorders>
              <w:right w:val="nil"/>
            </w:tcBorders>
          </w:tcPr>
          <w:p>
            <w:pPr>
              <w:rPr>
                <w:rFonts w:ascii="Arial"/>
                <w:sz w:val="21"/>
              </w:rPr>
            </w:pPr>
            <w:r/>
          </w:p>
        </w:tc>
        <w:tc>
          <w:tcPr>
            <w:tcW w:w="4924" w:type="dxa"/>
            <w:vAlign w:val="top"/>
            <w:gridSpan w:val="3"/>
            <w:tcBorders>
              <w:left w:val="nil"/>
            </w:tcBorders>
          </w:tcPr>
          <w:p>
            <w:pPr>
              <w:pStyle w:val="TableText"/>
              <w:ind w:left="2095"/>
              <w:spacing w:before="49" w:line="206" w:lineRule="auto"/>
              <w:rPr>
                <w:sz w:val="21"/>
                <w:szCs w:val="21"/>
              </w:rPr>
            </w:pPr>
            <w:r>
              <w:rPr>
                <w:sz w:val="21"/>
                <w:szCs w:val="21"/>
                <w:color w:val="403030"/>
                <w:spacing w:val="-3"/>
              </w:rPr>
              <w:t>合计</w:t>
            </w:r>
          </w:p>
        </w:tc>
        <w:tc>
          <w:tcPr>
            <w:tcW w:w="1129" w:type="dxa"/>
            <w:vAlign w:val="top"/>
          </w:tcPr>
          <w:p>
            <w:pPr>
              <w:pStyle w:val="TableText"/>
              <w:ind w:left="86"/>
              <w:spacing w:before="70" w:line="188" w:lineRule="auto"/>
              <w:rPr>
                <w:sz w:val="21"/>
                <w:szCs w:val="21"/>
              </w:rPr>
            </w:pPr>
            <w:r>
              <w:rPr>
                <w:sz w:val="21"/>
                <w:szCs w:val="21"/>
                <w:spacing w:val="-2"/>
              </w:rPr>
              <w:t>238927.78</w:t>
            </w:r>
          </w:p>
        </w:tc>
        <w:tc>
          <w:tcPr>
            <w:tcW w:w="1049" w:type="dxa"/>
            <w:vAlign w:val="top"/>
          </w:tcPr>
          <w:p>
            <w:pPr>
              <w:pStyle w:val="TableText"/>
              <w:ind w:left="47"/>
              <w:spacing w:before="70" w:line="188" w:lineRule="auto"/>
              <w:rPr>
                <w:sz w:val="21"/>
                <w:szCs w:val="21"/>
              </w:rPr>
            </w:pPr>
            <w:r>
              <w:rPr>
                <w:sz w:val="21"/>
                <w:szCs w:val="21"/>
                <w:spacing w:val="-3"/>
              </w:rPr>
              <w:t>112329.36</w:t>
            </w:r>
          </w:p>
        </w:tc>
        <w:tc>
          <w:tcPr>
            <w:tcW w:w="1034" w:type="dxa"/>
            <w:vAlign w:val="top"/>
          </w:tcPr>
          <w:p>
            <w:pPr>
              <w:pStyle w:val="TableText"/>
              <w:ind w:left="38"/>
              <w:spacing w:before="70" w:line="188" w:lineRule="auto"/>
              <w:rPr>
                <w:sz w:val="21"/>
                <w:szCs w:val="21"/>
              </w:rPr>
            </w:pPr>
            <w:r>
              <w:rPr>
                <w:sz w:val="21"/>
                <w:szCs w:val="21"/>
                <w:spacing w:val="-2"/>
              </w:rPr>
              <w:t>351257.14</w:t>
            </w:r>
          </w:p>
        </w:tc>
      </w:tr>
    </w:tbl>
    <w:p>
      <w:pPr>
        <w:ind w:left="668"/>
        <w:spacing w:before="61" w:line="219" w:lineRule="auto"/>
        <w:rPr>
          <w:rFonts w:ascii="SimSun" w:hAnsi="SimSun" w:eastAsia="SimSun" w:cs="SimSun"/>
          <w:sz w:val="24"/>
          <w:szCs w:val="24"/>
        </w:rPr>
      </w:pPr>
      <w:r>
        <w:rPr>
          <w:rFonts w:ascii="SimSun" w:hAnsi="SimSun" w:eastAsia="SimSun" w:cs="SimSun"/>
          <w:sz w:val="24"/>
          <w:szCs w:val="24"/>
          <w:b/>
          <w:bCs/>
          <w:spacing w:val="-2"/>
        </w:rPr>
        <w:t>(2)排水</w:t>
      </w:r>
    </w:p>
    <w:p>
      <w:pPr>
        <w:ind w:left="44" w:right="59" w:firstLine="510"/>
        <w:spacing w:before="174" w:line="342" w:lineRule="auto"/>
        <w:tabs>
          <w:tab w:val="left" w:pos="173"/>
        </w:tabs>
        <w:rPr>
          <w:rFonts w:ascii="SimSun" w:hAnsi="SimSun" w:eastAsia="SimSun" w:cs="SimSun"/>
          <w:sz w:val="25"/>
          <w:szCs w:val="25"/>
        </w:rPr>
      </w:pPr>
      <w:r>
        <w:rPr>
          <w:rFonts w:ascii="SimSun" w:hAnsi="SimSun" w:eastAsia="SimSun" w:cs="SimSun"/>
          <w:sz w:val="25"/>
          <w:szCs w:val="25"/>
          <w:spacing w:val="-6"/>
        </w:rPr>
        <w:t>本项目采用雨污分流排水制。餐饮废水经隔油池处理后与生活污水一同经</w:t>
      </w:r>
      <w:r>
        <w:rPr>
          <w:rFonts w:ascii="SimSun" w:hAnsi="SimSun" w:eastAsia="SimSun" w:cs="SimSun"/>
          <w:sz w:val="25"/>
          <w:szCs w:val="25"/>
          <w:spacing w:val="1"/>
        </w:rPr>
        <w:t xml:space="preserve"> </w:t>
      </w:r>
      <w:r>
        <w:rPr>
          <w:rFonts w:ascii="SimSun" w:hAnsi="SimSun" w:eastAsia="SimSun" w:cs="SimSun"/>
          <w:sz w:val="25"/>
          <w:szCs w:val="25"/>
          <w:spacing w:val="-2"/>
        </w:rPr>
        <w:t>过厂区内设置的预处理池，处理达《污水综合排放标准》</w:t>
      </w:r>
      <w:r>
        <w:rPr>
          <w:rFonts w:ascii="SimSun" w:hAnsi="SimSun" w:eastAsia="SimSun" w:cs="SimSun"/>
          <w:sz w:val="25"/>
          <w:szCs w:val="25"/>
          <w:spacing w:val="-60"/>
        </w:rPr>
        <w:t xml:space="preserve"> </w:t>
      </w:r>
      <w:r>
        <w:rPr>
          <w:rFonts w:ascii="Times New Roman" w:hAnsi="Times New Roman" w:eastAsia="Times New Roman" w:cs="Times New Roman"/>
          <w:sz w:val="25"/>
          <w:szCs w:val="25"/>
          <w:spacing w:val="-2"/>
        </w:rPr>
        <w:t>(GB8978-1996)   </w:t>
      </w:r>
      <w:r>
        <w:rPr>
          <w:rFonts w:ascii="SimSun" w:hAnsi="SimSun" w:eastAsia="SimSun" w:cs="SimSun"/>
          <w:sz w:val="25"/>
          <w:szCs w:val="25"/>
          <w:spacing w:val="-2"/>
        </w:rPr>
        <w:t>中</w:t>
      </w:r>
      <w:r>
        <w:rPr>
          <w:rFonts w:ascii="SimSun" w:hAnsi="SimSun" w:eastAsia="SimSun" w:cs="SimSun"/>
          <w:sz w:val="25"/>
          <w:szCs w:val="25"/>
        </w:rPr>
        <w:t xml:space="preserve"> </w:t>
      </w:r>
      <w:r>
        <w:rPr>
          <w:rFonts w:ascii="SimSun" w:hAnsi="SimSun" w:eastAsia="SimSun" w:cs="SimSun"/>
          <w:sz w:val="25"/>
          <w:szCs w:val="25"/>
          <w:spacing w:val="-6"/>
        </w:rPr>
        <w:t>三级标准；生产废水经自建污水处理站(处理工艺为“格栅+调节+气浮+厌氧接</w:t>
      </w:r>
      <w:r>
        <w:rPr>
          <w:rFonts w:ascii="SimSun" w:hAnsi="SimSun" w:eastAsia="SimSun" w:cs="SimSun"/>
          <w:sz w:val="25"/>
          <w:szCs w:val="25"/>
          <w:spacing w:val="14"/>
        </w:rPr>
        <w:t xml:space="preserve"> </w:t>
      </w:r>
      <w:r>
        <w:rPr>
          <w:rFonts w:ascii="SimSun" w:hAnsi="SimSun" w:eastAsia="SimSun" w:cs="SimSun"/>
          <w:sz w:val="25"/>
          <w:szCs w:val="25"/>
          <w:spacing w:val="-1"/>
        </w:rPr>
        <w:t>触池+AOAO+</w:t>
      </w:r>
      <w:r>
        <w:rPr>
          <w:rFonts w:ascii="SimSun" w:hAnsi="SimSun" w:eastAsia="SimSun" w:cs="SimSun"/>
          <w:sz w:val="25"/>
          <w:szCs w:val="25"/>
          <w:spacing w:val="105"/>
        </w:rPr>
        <w:t xml:space="preserve"> </w:t>
      </w:r>
      <w:r>
        <w:rPr>
          <w:rFonts w:ascii="SimSun" w:hAnsi="SimSun" w:eastAsia="SimSun" w:cs="SimSun"/>
          <w:sz w:val="25"/>
          <w:szCs w:val="25"/>
          <w:spacing w:val="-1"/>
        </w:rPr>
        <w:t>沉淀+消毒”,处理能力为1100m³/d)处理达到《肉类加工工业水</w:t>
      </w:r>
      <w:r>
        <w:rPr>
          <w:rFonts w:ascii="SimSun" w:hAnsi="SimSun" w:eastAsia="SimSun" w:cs="SimSun"/>
          <w:sz w:val="25"/>
          <w:szCs w:val="25"/>
        </w:rPr>
        <w:t xml:space="preserve"> </w:t>
      </w:r>
      <w:r>
        <w:rPr>
          <w:rFonts w:ascii="SimSun" w:hAnsi="SimSun" w:eastAsia="SimSun" w:cs="SimSun"/>
          <w:sz w:val="25"/>
          <w:szCs w:val="25"/>
          <w:spacing w:val="-2"/>
        </w:rPr>
        <w:t>污染物排放标准》</w:t>
      </w:r>
      <w:r>
        <w:rPr>
          <w:rFonts w:ascii="SimSun" w:hAnsi="SimSun" w:eastAsia="SimSun" w:cs="SimSun"/>
          <w:sz w:val="25"/>
          <w:szCs w:val="25"/>
          <w:spacing w:val="-45"/>
        </w:rPr>
        <w:t xml:space="preserve"> </w:t>
      </w:r>
      <w:r>
        <w:rPr>
          <w:rFonts w:ascii="SimSun" w:hAnsi="SimSun" w:eastAsia="SimSun" w:cs="SimSun"/>
          <w:sz w:val="25"/>
          <w:szCs w:val="25"/>
          <w:spacing w:val="-2"/>
        </w:rPr>
        <w:t>(GB13457-92)</w:t>
      </w:r>
      <w:r>
        <w:rPr>
          <w:rFonts w:ascii="SimSun" w:hAnsi="SimSun" w:eastAsia="SimSun" w:cs="SimSun"/>
          <w:sz w:val="25"/>
          <w:szCs w:val="25"/>
          <w:spacing w:val="69"/>
        </w:rPr>
        <w:t xml:space="preserve"> </w:t>
      </w:r>
      <w:r>
        <w:rPr>
          <w:rFonts w:ascii="SimSun" w:hAnsi="SimSun" w:eastAsia="SimSun" w:cs="SimSun"/>
          <w:sz w:val="25"/>
          <w:szCs w:val="25"/>
          <w:spacing w:val="-2"/>
        </w:rPr>
        <w:t>表3中三级标准后</w:t>
      </w:r>
      <w:r>
        <w:rPr>
          <w:rFonts w:ascii="SimSun" w:hAnsi="SimSun" w:eastAsia="SimSun" w:cs="SimSun"/>
          <w:sz w:val="25"/>
          <w:szCs w:val="25"/>
          <w:spacing w:val="-3"/>
        </w:rPr>
        <w:t>，与生活污水一同经厂区</w:t>
      </w:r>
      <w:r>
        <w:rPr>
          <w:rFonts w:ascii="SimSun" w:hAnsi="SimSun" w:eastAsia="SimSun" w:cs="SimSun"/>
          <w:sz w:val="25"/>
          <w:szCs w:val="25"/>
        </w:rPr>
        <w:t xml:space="preserve"> </w:t>
      </w:r>
      <w:r>
        <w:rPr>
          <w:rFonts w:ascii="SimSun" w:hAnsi="SimSun" w:eastAsia="SimSun" w:cs="SimSun"/>
          <w:sz w:val="25"/>
          <w:szCs w:val="25"/>
          <w:spacing w:val="-5"/>
        </w:rPr>
        <w:t>总排口排至园区污水管网，经管网引至安州区第三污水处理厂处理，</w:t>
      </w:r>
      <w:r>
        <w:rPr>
          <w:rFonts w:ascii="Times New Roman" w:hAnsi="Times New Roman" w:eastAsia="Times New Roman" w:cs="Times New Roman"/>
          <w:sz w:val="25"/>
          <w:szCs w:val="25"/>
          <w:spacing w:val="-5"/>
        </w:rPr>
        <w:t>CODcr</w:t>
      </w:r>
      <w:r>
        <w:rPr>
          <w:rFonts w:ascii="Times New Roman" w:hAnsi="Times New Roman" w:eastAsia="Times New Roman" w:cs="Times New Roman"/>
          <w:sz w:val="25"/>
          <w:szCs w:val="25"/>
          <w:spacing w:val="-36"/>
        </w:rPr>
        <w:t xml:space="preserve"> </w:t>
      </w:r>
      <w:r>
        <w:rPr>
          <w:rFonts w:ascii="SimSun" w:hAnsi="SimSun" w:eastAsia="SimSun" w:cs="SimSun"/>
          <w:sz w:val="25"/>
          <w:szCs w:val="25"/>
          <w:spacing w:val="-5"/>
        </w:rPr>
        <w:t>、</w:t>
      </w:r>
      <w:r>
        <w:rPr>
          <w:rFonts w:ascii="SimSun" w:hAnsi="SimSun" w:eastAsia="SimSun" w:cs="SimSun"/>
          <w:sz w:val="25"/>
          <w:szCs w:val="25"/>
        </w:rPr>
        <w:t xml:space="preserve"> </w:t>
      </w:r>
      <w:r>
        <w:rPr>
          <w:rFonts w:ascii="Times New Roman" w:hAnsi="Times New Roman" w:eastAsia="Times New Roman" w:cs="Times New Roman"/>
          <w:sz w:val="25"/>
          <w:szCs w:val="25"/>
        </w:rPr>
        <w:t>BOD</w:t>
      </w:r>
      <w:r>
        <w:rPr>
          <w:rFonts w:ascii="Times New Roman" w:hAnsi="Times New Roman" w:eastAsia="Times New Roman" w:cs="Times New Roman"/>
          <w:sz w:val="25"/>
          <w:szCs w:val="25"/>
          <w:spacing w:val="-23"/>
        </w:rPr>
        <w:t xml:space="preserve"> </w:t>
      </w:r>
      <w:r>
        <w:rPr>
          <w:rFonts w:ascii="SimSun" w:hAnsi="SimSun" w:eastAsia="SimSun" w:cs="SimSun"/>
          <w:sz w:val="25"/>
          <w:szCs w:val="25"/>
          <w:spacing w:val="6"/>
        </w:rPr>
        <w:t>、</w:t>
      </w:r>
      <w:r>
        <w:rPr>
          <w:rFonts w:ascii="SimSun" w:hAnsi="SimSun" w:eastAsia="SimSun" w:cs="SimSun"/>
          <w:sz w:val="25"/>
          <w:szCs w:val="25"/>
          <w:spacing w:val="-49"/>
        </w:rPr>
        <w:t xml:space="preserve"> </w:t>
      </w:r>
      <w:r>
        <w:rPr>
          <w:rFonts w:ascii="SimSun" w:hAnsi="SimSun" w:eastAsia="SimSun" w:cs="SimSun"/>
          <w:sz w:val="25"/>
          <w:szCs w:val="25"/>
          <w:spacing w:val="6"/>
        </w:rPr>
        <w:t>氨氮、总氮指标达到《四川省岷江、沱江流域水污染物排放标准》</w:t>
      </w:r>
      <w:r>
        <w:rPr>
          <w:rFonts w:ascii="SimSun" w:hAnsi="SimSun" w:eastAsia="SimSun" w:cs="SimSun"/>
          <w:sz w:val="25"/>
          <w:szCs w:val="25"/>
        </w:rPr>
        <w:t xml:space="preserve"> </w:t>
      </w:r>
      <w:r>
        <w:rPr>
          <w:rFonts w:ascii="Times New Roman" w:hAnsi="Times New Roman" w:eastAsia="Times New Roman" w:cs="Times New Roman"/>
          <w:sz w:val="25"/>
          <w:szCs w:val="25"/>
        </w:rPr>
        <w:tab/>
      </w:r>
      <w:r>
        <w:rPr>
          <w:rFonts w:ascii="Times New Roman" w:hAnsi="Times New Roman" w:eastAsia="Times New Roman" w:cs="Times New Roman"/>
          <w:sz w:val="25"/>
          <w:szCs w:val="25"/>
          <w:spacing w:val="-6"/>
        </w:rPr>
        <w:t>(DB51/2311-2016)</w:t>
      </w:r>
      <w:r>
        <w:rPr>
          <w:rFonts w:ascii="Times New Roman" w:hAnsi="Times New Roman" w:eastAsia="Times New Roman" w:cs="Times New Roman"/>
          <w:sz w:val="25"/>
          <w:szCs w:val="25"/>
          <w:spacing w:val="67"/>
        </w:rPr>
        <w:t xml:space="preserve"> </w:t>
      </w:r>
      <w:r>
        <w:rPr>
          <w:rFonts w:ascii="SimSun" w:hAnsi="SimSun" w:eastAsia="SimSun" w:cs="SimSun"/>
          <w:sz w:val="25"/>
          <w:szCs w:val="25"/>
          <w:spacing w:val="-6"/>
        </w:rPr>
        <w:t>表1中工业园区集中式污水处理厂排放标准限值，总磷指标</w:t>
      </w:r>
      <w:r>
        <w:rPr>
          <w:rFonts w:ascii="SimSun" w:hAnsi="SimSun" w:eastAsia="SimSun" w:cs="SimSun"/>
          <w:sz w:val="25"/>
          <w:szCs w:val="25"/>
        </w:rPr>
        <w:t xml:space="preserve"> </w:t>
      </w:r>
      <w:r>
        <w:rPr>
          <w:rFonts w:ascii="SimSun" w:hAnsi="SimSun" w:eastAsia="SimSun" w:cs="SimSun"/>
          <w:sz w:val="25"/>
          <w:szCs w:val="25"/>
        </w:rPr>
        <w:t>达到《地表水环境质量标准》</w:t>
      </w:r>
      <w:r>
        <w:rPr>
          <w:rFonts w:ascii="SimSun" w:hAnsi="SimSun" w:eastAsia="SimSun" w:cs="SimSun"/>
          <w:sz w:val="25"/>
          <w:szCs w:val="25"/>
          <w:spacing w:val="77"/>
        </w:rPr>
        <w:t xml:space="preserve"> </w:t>
      </w:r>
      <w:r>
        <w:rPr>
          <w:rFonts w:ascii="SimSun" w:hAnsi="SimSun" w:eastAsia="SimSun" w:cs="SimSun"/>
          <w:sz w:val="25"/>
          <w:szCs w:val="25"/>
        </w:rPr>
        <w:t>(GB3838-2002)Ⅲ</w:t>
      </w:r>
      <w:r>
        <w:rPr>
          <w:rFonts w:ascii="SimSun" w:hAnsi="SimSun" w:eastAsia="SimSun" w:cs="SimSun"/>
          <w:sz w:val="25"/>
          <w:szCs w:val="25"/>
          <w:spacing w:val="104"/>
        </w:rPr>
        <w:t xml:space="preserve"> </w:t>
      </w:r>
      <w:r>
        <w:rPr>
          <w:rFonts w:ascii="SimSun" w:hAnsi="SimSun" w:eastAsia="SimSun" w:cs="SimSun"/>
          <w:sz w:val="25"/>
          <w:szCs w:val="25"/>
        </w:rPr>
        <w:t>类水质标准其余指标达到 </w:t>
      </w:r>
      <w:r>
        <w:rPr>
          <w:rFonts w:ascii="SimSun" w:hAnsi="SimSun" w:eastAsia="SimSun" w:cs="SimSun"/>
          <w:sz w:val="25"/>
          <w:szCs w:val="25"/>
          <w:spacing w:val="-2"/>
        </w:rPr>
        <w:t>《城镇污水处理厂污染物排放标准》(GB18918-2002)</w:t>
      </w:r>
      <w:r>
        <w:rPr>
          <w:rFonts w:ascii="SimSun" w:hAnsi="SimSun" w:eastAsia="SimSun" w:cs="SimSun"/>
          <w:sz w:val="25"/>
          <w:szCs w:val="25"/>
          <w:spacing w:val="52"/>
        </w:rPr>
        <w:t xml:space="preserve"> </w:t>
      </w:r>
      <w:r>
        <w:rPr>
          <w:rFonts w:ascii="SimSun" w:hAnsi="SimSun" w:eastAsia="SimSun" w:cs="SimSun"/>
          <w:sz w:val="25"/>
          <w:szCs w:val="25"/>
          <w:spacing w:val="-2"/>
        </w:rPr>
        <w:t>一级A</w:t>
      </w:r>
      <w:r>
        <w:rPr>
          <w:rFonts w:ascii="SimSun" w:hAnsi="SimSun" w:eastAsia="SimSun" w:cs="SimSun"/>
          <w:sz w:val="25"/>
          <w:szCs w:val="25"/>
          <w:spacing w:val="-48"/>
        </w:rPr>
        <w:t xml:space="preserve"> </w:t>
      </w:r>
      <w:r>
        <w:rPr>
          <w:rFonts w:ascii="SimSun" w:hAnsi="SimSun" w:eastAsia="SimSun" w:cs="SimSun"/>
          <w:sz w:val="25"/>
          <w:szCs w:val="25"/>
          <w:spacing w:val="-2"/>
        </w:rPr>
        <w:t>标准后，排入涪</w:t>
      </w:r>
      <w:r>
        <w:rPr>
          <w:rFonts w:ascii="SimSun" w:hAnsi="SimSun" w:eastAsia="SimSun" w:cs="SimSun"/>
          <w:sz w:val="25"/>
          <w:szCs w:val="25"/>
        </w:rPr>
        <w:t xml:space="preserve"> </w:t>
      </w:r>
      <w:r>
        <w:rPr>
          <w:rFonts w:ascii="SimSun" w:hAnsi="SimSun" w:eastAsia="SimSun" w:cs="SimSun"/>
          <w:sz w:val="25"/>
          <w:szCs w:val="25"/>
          <w:spacing w:val="2"/>
        </w:rPr>
        <w:t>江。</w:t>
      </w:r>
    </w:p>
    <w:p>
      <w:pPr>
        <w:ind w:left="48"/>
        <w:spacing w:before="126" w:line="223" w:lineRule="auto"/>
        <w:rPr>
          <w:rFonts w:ascii="SimHei" w:hAnsi="SimHei" w:eastAsia="SimHei" w:cs="SimHei"/>
          <w:sz w:val="23"/>
          <w:szCs w:val="23"/>
        </w:rPr>
      </w:pPr>
      <w:r>
        <w:rPr>
          <w:rFonts w:ascii="SimHei" w:hAnsi="SimHei" w:eastAsia="SimHei" w:cs="SimHei"/>
          <w:sz w:val="23"/>
          <w:szCs w:val="23"/>
          <w:b/>
          <w:bCs/>
          <w:spacing w:val="8"/>
        </w:rPr>
        <w:t>3.6.2供电</w:t>
      </w:r>
    </w:p>
    <w:p>
      <w:pPr>
        <w:ind w:left="44" w:right="58" w:firstLine="520"/>
        <w:spacing w:before="215" w:line="286" w:lineRule="auto"/>
        <w:rPr>
          <w:rFonts w:ascii="SimSun" w:hAnsi="SimSun" w:eastAsia="SimSun" w:cs="SimSun"/>
          <w:sz w:val="23"/>
          <w:szCs w:val="23"/>
        </w:rPr>
      </w:pPr>
      <w:r>
        <w:rPr>
          <w:rFonts w:ascii="SimSun" w:hAnsi="SimSun" w:eastAsia="SimSun" w:cs="SimSun"/>
          <w:sz w:val="23"/>
          <w:szCs w:val="23"/>
          <w:spacing w:val="10"/>
        </w:rPr>
        <w:t>1、负荷分级：Ⅱ级屠宰与分割车间的屠宰加工设备、制冷设备及车间应急</w:t>
      </w:r>
      <w:r>
        <w:rPr>
          <w:rFonts w:ascii="SimSun" w:hAnsi="SimSun" w:eastAsia="SimSun" w:cs="SimSun"/>
          <w:sz w:val="23"/>
          <w:szCs w:val="23"/>
        </w:rPr>
        <w:t xml:space="preserve"> </w:t>
      </w:r>
      <w:r>
        <w:rPr>
          <w:rFonts w:ascii="SimSun" w:hAnsi="SimSun" w:eastAsia="SimSun" w:cs="SimSun"/>
          <w:sz w:val="23"/>
          <w:szCs w:val="23"/>
          <w:spacing w:val="8"/>
        </w:rPr>
        <w:t>照明属于二级负荷，其余用电设备属于三级负</w:t>
      </w:r>
      <w:r>
        <w:rPr>
          <w:rFonts w:ascii="SimSun" w:hAnsi="SimSun" w:eastAsia="SimSun" w:cs="SimSun"/>
          <w:sz w:val="23"/>
          <w:szCs w:val="23"/>
          <w:spacing w:val="7"/>
        </w:rPr>
        <w:t>荷。</w:t>
      </w:r>
    </w:p>
    <w:p>
      <w:pPr>
        <w:ind w:left="44" w:right="96" w:firstLine="480"/>
        <w:spacing w:before="216" w:line="298" w:lineRule="auto"/>
        <w:rPr>
          <w:rFonts w:ascii="SimSun" w:hAnsi="SimSun" w:eastAsia="SimSun" w:cs="SimSun"/>
          <w:sz w:val="23"/>
          <w:szCs w:val="23"/>
        </w:rPr>
      </w:pPr>
      <w:r>
        <w:rPr>
          <w:rFonts w:ascii="Times New Roman" w:hAnsi="Times New Roman" w:eastAsia="Times New Roman" w:cs="Times New Roman"/>
          <w:sz w:val="23"/>
          <w:szCs w:val="23"/>
          <w:spacing w:val="8"/>
        </w:rPr>
        <w:t>2</w:t>
      </w:r>
      <w:r>
        <w:rPr>
          <w:rFonts w:ascii="Times New Roman" w:hAnsi="Times New Roman" w:eastAsia="Times New Roman" w:cs="Times New Roman"/>
          <w:sz w:val="23"/>
          <w:szCs w:val="23"/>
          <w:spacing w:val="-14"/>
        </w:rPr>
        <w:t xml:space="preserve"> </w:t>
      </w:r>
      <w:r>
        <w:rPr>
          <w:rFonts w:ascii="SimSun" w:hAnsi="SimSun" w:eastAsia="SimSun" w:cs="SimSun"/>
          <w:sz w:val="23"/>
          <w:szCs w:val="23"/>
          <w:spacing w:val="8"/>
        </w:rPr>
        <w:t>、供电电源：由市政引来一路10</w:t>
      </w:r>
      <w:r>
        <w:rPr>
          <w:rFonts w:ascii="Times New Roman" w:hAnsi="Times New Roman" w:eastAsia="Times New Roman" w:cs="Times New Roman"/>
          <w:sz w:val="23"/>
          <w:szCs w:val="23"/>
        </w:rPr>
        <w:t>KV</w:t>
      </w:r>
      <w:r>
        <w:rPr>
          <w:rFonts w:ascii="SimSun" w:hAnsi="SimSun" w:eastAsia="SimSun" w:cs="SimSun"/>
          <w:sz w:val="23"/>
          <w:szCs w:val="23"/>
          <w:spacing w:val="8"/>
        </w:rPr>
        <w:t>电源作为工作电源。设1台常用250</w:t>
      </w:r>
      <w:r>
        <w:rPr>
          <w:rFonts w:ascii="Times New Roman" w:hAnsi="Times New Roman" w:eastAsia="Times New Roman" w:cs="Times New Roman"/>
          <w:sz w:val="23"/>
          <w:szCs w:val="23"/>
        </w:rPr>
        <w:t>KW </w:t>
      </w:r>
      <w:r>
        <w:rPr>
          <w:rFonts w:ascii="SimSun" w:hAnsi="SimSun" w:eastAsia="SimSun" w:cs="SimSun"/>
          <w:sz w:val="23"/>
          <w:szCs w:val="23"/>
          <w:spacing w:val="7"/>
        </w:rPr>
        <w:t>自启动柴油发电机组作为二级负荷的备用电源。</w:t>
      </w:r>
    </w:p>
    <w:p>
      <w:pPr>
        <w:spacing w:line="298" w:lineRule="auto"/>
        <w:sectPr>
          <w:headerReference w:type="default" r:id="rId231"/>
          <w:footerReference w:type="default" r:id="rId232"/>
          <w:pgSz w:w="11910" w:h="16840"/>
          <w:pgMar w:top="1219" w:right="1754" w:bottom="980" w:left="1725" w:header="865" w:footer="772" w:gutter="0"/>
        </w:sectPr>
        <w:rPr>
          <w:rFonts w:ascii="SimSun" w:hAnsi="SimSun" w:eastAsia="SimSun" w:cs="SimSun"/>
          <w:sz w:val="23"/>
          <w:szCs w:val="23"/>
        </w:rPr>
      </w:pPr>
    </w:p>
    <w:p>
      <w:pPr>
        <w:ind w:right="49" w:firstLine="480"/>
        <w:spacing w:before="291" w:line="290" w:lineRule="auto"/>
        <w:rPr>
          <w:rFonts w:ascii="SimSun" w:hAnsi="SimSun" w:eastAsia="SimSun" w:cs="SimSun"/>
          <w:sz w:val="24"/>
          <w:szCs w:val="24"/>
        </w:rPr>
      </w:pPr>
      <w:r>
        <w:rPr>
          <w:rFonts w:ascii="Times New Roman" w:hAnsi="Times New Roman" w:eastAsia="Times New Roman" w:cs="Times New Roman"/>
          <w:sz w:val="24"/>
          <w:szCs w:val="24"/>
          <w:spacing w:val="6"/>
        </w:rPr>
        <w:t>3</w:t>
      </w:r>
      <w:r>
        <w:rPr>
          <w:rFonts w:ascii="Times New Roman" w:hAnsi="Times New Roman" w:eastAsia="Times New Roman" w:cs="Times New Roman"/>
          <w:sz w:val="24"/>
          <w:szCs w:val="24"/>
          <w:spacing w:val="-29"/>
        </w:rPr>
        <w:t xml:space="preserve"> </w:t>
      </w:r>
      <w:r>
        <w:rPr>
          <w:rFonts w:ascii="SimSun" w:hAnsi="SimSun" w:eastAsia="SimSun" w:cs="SimSun"/>
          <w:sz w:val="24"/>
          <w:szCs w:val="24"/>
          <w:spacing w:val="6"/>
        </w:rPr>
        <w:t>、主要电力供应指标：室外设置两台装机容量分别为1000</w:t>
      </w:r>
      <w:r>
        <w:rPr>
          <w:rFonts w:ascii="Times New Roman" w:hAnsi="Times New Roman" w:eastAsia="Times New Roman" w:cs="Times New Roman"/>
          <w:sz w:val="24"/>
          <w:szCs w:val="24"/>
        </w:rPr>
        <w:t>KVA</w:t>
      </w:r>
      <w:r>
        <w:rPr>
          <w:rFonts w:ascii="SimSun" w:hAnsi="SimSun" w:eastAsia="SimSun" w:cs="SimSun"/>
          <w:sz w:val="24"/>
          <w:szCs w:val="24"/>
          <w:spacing w:val="6"/>
        </w:rPr>
        <w:t>箱式变电</w:t>
      </w:r>
      <w:r>
        <w:rPr>
          <w:rFonts w:ascii="SimSun" w:hAnsi="SimSun" w:eastAsia="SimSun" w:cs="SimSun"/>
          <w:sz w:val="24"/>
          <w:szCs w:val="24"/>
        </w:rPr>
        <w:t xml:space="preserve"> </w:t>
      </w:r>
      <w:r>
        <w:rPr>
          <w:rFonts w:ascii="SimSun" w:hAnsi="SimSun" w:eastAsia="SimSun" w:cs="SimSun"/>
          <w:sz w:val="24"/>
          <w:szCs w:val="24"/>
          <w:spacing w:val="-1"/>
        </w:rPr>
        <w:t>站供生产及生活配套用电负荷。总装机容量为2000</w:t>
      </w:r>
      <w:r>
        <w:rPr>
          <w:rFonts w:ascii="Times New Roman" w:hAnsi="Times New Roman" w:eastAsia="Times New Roman" w:cs="Times New Roman"/>
          <w:sz w:val="24"/>
          <w:szCs w:val="24"/>
          <w:spacing w:val="-1"/>
        </w:rPr>
        <w:t>KVA</w:t>
      </w:r>
      <w:r>
        <w:rPr>
          <w:rFonts w:ascii="SimSun" w:hAnsi="SimSun" w:eastAsia="SimSun" w:cs="SimSun"/>
          <w:sz w:val="24"/>
          <w:szCs w:val="24"/>
          <w:spacing w:val="-1"/>
        </w:rPr>
        <w:t>。</w:t>
      </w:r>
    </w:p>
    <w:p>
      <w:pPr>
        <w:ind w:right="35" w:firstLine="480"/>
        <w:spacing w:before="177" w:line="287" w:lineRule="auto"/>
        <w:rPr>
          <w:rFonts w:ascii="SimSun" w:hAnsi="SimSun" w:eastAsia="SimSun" w:cs="SimSun"/>
          <w:sz w:val="24"/>
          <w:szCs w:val="24"/>
        </w:rPr>
      </w:pPr>
      <w:r>
        <w:rPr>
          <w:rFonts w:ascii="Times New Roman" w:hAnsi="Times New Roman" w:eastAsia="Times New Roman" w:cs="Times New Roman"/>
          <w:sz w:val="24"/>
          <w:szCs w:val="24"/>
          <w:spacing w:val="4"/>
        </w:rPr>
        <w:t>4</w:t>
      </w:r>
      <w:r>
        <w:rPr>
          <w:rFonts w:ascii="Times New Roman" w:hAnsi="Times New Roman" w:eastAsia="Times New Roman" w:cs="Times New Roman"/>
          <w:sz w:val="24"/>
          <w:szCs w:val="24"/>
          <w:spacing w:val="-18"/>
        </w:rPr>
        <w:t xml:space="preserve"> </w:t>
      </w:r>
      <w:r>
        <w:rPr>
          <w:rFonts w:ascii="SimSun" w:hAnsi="SimSun" w:eastAsia="SimSun" w:cs="SimSun"/>
          <w:sz w:val="24"/>
          <w:szCs w:val="24"/>
          <w:spacing w:val="4"/>
        </w:rPr>
        <w:t>、计量：10</w:t>
      </w:r>
      <w:r>
        <w:rPr>
          <w:rFonts w:ascii="Times New Roman" w:hAnsi="Times New Roman" w:eastAsia="Times New Roman" w:cs="Times New Roman"/>
          <w:sz w:val="24"/>
          <w:szCs w:val="24"/>
        </w:rPr>
        <w:t>KV</w:t>
      </w:r>
      <w:r>
        <w:rPr>
          <w:rFonts w:ascii="SimSun" w:hAnsi="SimSun" w:eastAsia="SimSun" w:cs="SimSun"/>
          <w:sz w:val="24"/>
          <w:szCs w:val="24"/>
          <w:spacing w:val="4"/>
        </w:rPr>
        <w:t>配电系统及各台变压器低压侧均设参考计量；专用变电所</w:t>
      </w:r>
      <w:r>
        <w:rPr>
          <w:rFonts w:ascii="SimSun" w:hAnsi="SimSun" w:eastAsia="SimSun" w:cs="SimSun"/>
          <w:sz w:val="24"/>
          <w:szCs w:val="24"/>
        </w:rPr>
        <w:t xml:space="preserve"> </w:t>
      </w:r>
      <w:r>
        <w:rPr>
          <w:rFonts w:ascii="SimSun" w:hAnsi="SimSun" w:eastAsia="SimSun" w:cs="SimSun"/>
          <w:sz w:val="24"/>
          <w:szCs w:val="24"/>
          <w:spacing w:val="-4"/>
        </w:rPr>
        <w:t>其10KV 配电系统设专用计量柜总计量。</w:t>
      </w:r>
    </w:p>
    <w:p>
      <w:pPr>
        <w:ind w:left="480"/>
        <w:spacing w:before="201" w:line="219" w:lineRule="auto"/>
        <w:rPr>
          <w:rFonts w:ascii="SimSun" w:hAnsi="SimSun" w:eastAsia="SimSun" w:cs="SimSun"/>
          <w:sz w:val="24"/>
          <w:szCs w:val="24"/>
        </w:rPr>
      </w:pPr>
      <w:r>
        <w:rPr>
          <w:rFonts w:ascii="SimSun" w:hAnsi="SimSun" w:eastAsia="SimSun" w:cs="SimSun"/>
          <w:sz w:val="24"/>
          <w:szCs w:val="24"/>
          <w:spacing w:val="-1"/>
        </w:rPr>
        <w:t>5、低压配电采用放射式与树干式相结合的供电方式。线缆型号选择如下：</w:t>
      </w:r>
    </w:p>
    <w:p>
      <w:pPr>
        <w:ind w:right="32" w:firstLine="620"/>
        <w:spacing w:before="163" w:line="357" w:lineRule="auto"/>
        <w:jc w:val="both"/>
        <w:rPr>
          <w:rFonts w:ascii="SimSun" w:hAnsi="SimSun" w:eastAsia="SimSun" w:cs="SimSun"/>
          <w:sz w:val="24"/>
          <w:szCs w:val="24"/>
        </w:rPr>
      </w:pPr>
      <w:r>
        <w:rPr>
          <w:rFonts w:ascii="SimSun" w:hAnsi="SimSun" w:eastAsia="SimSun" w:cs="SimSun"/>
          <w:sz w:val="24"/>
          <w:szCs w:val="24"/>
          <w:spacing w:val="6"/>
        </w:rPr>
        <w:t>(1)高压电缆选用</w:t>
      </w:r>
      <w:r>
        <w:rPr>
          <w:rFonts w:ascii="Times New Roman" w:hAnsi="Times New Roman" w:eastAsia="Times New Roman" w:cs="Times New Roman"/>
          <w:sz w:val="24"/>
          <w:szCs w:val="24"/>
        </w:rPr>
        <w:t>NH</w:t>
      </w:r>
      <w:r>
        <w:rPr>
          <w:rFonts w:ascii="Times New Roman" w:hAnsi="Times New Roman" w:eastAsia="Times New Roman" w:cs="Times New Roman"/>
          <w:sz w:val="24"/>
          <w:szCs w:val="24"/>
          <w:spacing w:val="6"/>
        </w:rPr>
        <w:t>-</w:t>
      </w:r>
      <w:r>
        <w:rPr>
          <w:rFonts w:ascii="Times New Roman" w:hAnsi="Times New Roman" w:eastAsia="Times New Roman" w:cs="Times New Roman"/>
          <w:sz w:val="24"/>
          <w:szCs w:val="24"/>
        </w:rPr>
        <w:t>YJV</w:t>
      </w:r>
      <w:r>
        <w:rPr>
          <w:rFonts w:ascii="Times New Roman" w:hAnsi="Times New Roman" w:eastAsia="Times New Roman" w:cs="Times New Roman"/>
          <w:sz w:val="24"/>
          <w:szCs w:val="24"/>
          <w:spacing w:val="6"/>
        </w:rPr>
        <w:t>22-8.7/15</w:t>
      </w:r>
      <w:r>
        <w:rPr>
          <w:rFonts w:ascii="Times New Roman" w:hAnsi="Times New Roman" w:eastAsia="Times New Roman" w:cs="Times New Roman"/>
          <w:sz w:val="24"/>
          <w:szCs w:val="24"/>
        </w:rPr>
        <w:t>kV</w:t>
      </w:r>
      <w:r>
        <w:rPr>
          <w:rFonts w:ascii="SimSun" w:hAnsi="SimSun" w:eastAsia="SimSun" w:cs="SimSun"/>
          <w:sz w:val="24"/>
          <w:szCs w:val="24"/>
          <w:spacing w:val="6"/>
        </w:rPr>
        <w:t>交联聚乙烯绝缘铜芯电力电缆；非</w:t>
      </w:r>
      <w:r>
        <w:rPr>
          <w:rFonts w:ascii="SimSun" w:hAnsi="SimSun" w:eastAsia="SimSun" w:cs="SimSun"/>
          <w:sz w:val="24"/>
          <w:szCs w:val="24"/>
          <w:spacing w:val="8"/>
        </w:rPr>
        <w:t xml:space="preserve"> </w:t>
      </w:r>
      <w:r>
        <w:rPr>
          <w:rFonts w:ascii="SimSun" w:hAnsi="SimSun" w:eastAsia="SimSun" w:cs="SimSun"/>
          <w:sz w:val="24"/>
          <w:szCs w:val="24"/>
          <w:spacing w:val="24"/>
        </w:rPr>
        <w:t>消防配电干线选用</w:t>
      </w:r>
      <w:r>
        <w:rPr>
          <w:rFonts w:ascii="Times New Roman" w:hAnsi="Times New Roman" w:eastAsia="Times New Roman" w:cs="Times New Roman"/>
          <w:sz w:val="24"/>
          <w:szCs w:val="24"/>
        </w:rPr>
        <w:t>YJV</w:t>
      </w:r>
      <w:r>
        <w:rPr>
          <w:rFonts w:ascii="Times New Roman" w:hAnsi="Times New Roman" w:eastAsia="Times New Roman" w:cs="Times New Roman"/>
          <w:sz w:val="24"/>
          <w:szCs w:val="24"/>
          <w:spacing w:val="24"/>
        </w:rPr>
        <w:t>-0.6/1</w:t>
      </w:r>
      <w:r>
        <w:rPr>
          <w:rFonts w:ascii="Times New Roman" w:hAnsi="Times New Roman" w:eastAsia="Times New Roman" w:cs="Times New Roman"/>
          <w:sz w:val="24"/>
          <w:szCs w:val="24"/>
        </w:rPr>
        <w:t>kV</w:t>
      </w:r>
      <w:r>
        <w:rPr>
          <w:rFonts w:ascii="Times New Roman" w:hAnsi="Times New Roman" w:eastAsia="Times New Roman" w:cs="Times New Roman"/>
          <w:sz w:val="24"/>
          <w:szCs w:val="24"/>
          <w:spacing w:val="-18"/>
        </w:rPr>
        <w:t xml:space="preserve"> </w:t>
      </w:r>
      <w:r>
        <w:rPr>
          <w:rFonts w:ascii="SimSun" w:hAnsi="SimSun" w:eastAsia="SimSun" w:cs="SimSun"/>
          <w:sz w:val="24"/>
          <w:szCs w:val="24"/>
          <w:spacing w:val="24"/>
        </w:rPr>
        <w:t>交联聚乙烯绝缘电力电缆和支线选</w:t>
      </w:r>
      <w:r>
        <w:rPr>
          <w:rFonts w:ascii="SimSun" w:hAnsi="SimSun" w:eastAsia="SimSun" w:cs="SimSun"/>
          <w:sz w:val="24"/>
          <w:szCs w:val="24"/>
          <w:spacing w:val="23"/>
        </w:rPr>
        <w:t>用</w:t>
      </w:r>
      <w:r>
        <w:rPr>
          <w:rFonts w:ascii="Times New Roman" w:hAnsi="Times New Roman" w:eastAsia="Times New Roman" w:cs="Times New Roman"/>
          <w:sz w:val="24"/>
          <w:szCs w:val="24"/>
        </w:rPr>
        <w:t>BV</w:t>
      </w:r>
      <w:r>
        <w:rPr>
          <w:rFonts w:ascii="Times New Roman" w:hAnsi="Times New Roman" w:eastAsia="Times New Roman" w:cs="Times New Roman"/>
          <w:sz w:val="24"/>
          <w:szCs w:val="24"/>
          <w:spacing w:val="23"/>
        </w:rPr>
        <w:t>-</w:t>
      </w:r>
      <w:r>
        <w:rPr>
          <w:rFonts w:ascii="Times New Roman" w:hAnsi="Times New Roman" w:eastAsia="Times New Roman" w:cs="Times New Roman"/>
          <w:sz w:val="24"/>
          <w:szCs w:val="24"/>
        </w:rPr>
        <w:t xml:space="preserve">  </w:t>
      </w:r>
      <w:r>
        <w:rPr>
          <w:rFonts w:ascii="Times New Roman" w:hAnsi="Times New Roman" w:eastAsia="Times New Roman" w:cs="Times New Roman"/>
          <w:sz w:val="24"/>
          <w:szCs w:val="24"/>
          <w:spacing w:val="2"/>
        </w:rPr>
        <w:t>0.45/0.75</w:t>
      </w:r>
      <w:r>
        <w:rPr>
          <w:rFonts w:ascii="Times New Roman" w:hAnsi="Times New Roman" w:eastAsia="Times New Roman" w:cs="Times New Roman"/>
          <w:sz w:val="24"/>
          <w:szCs w:val="24"/>
        </w:rPr>
        <w:t>kV</w:t>
      </w:r>
      <w:r>
        <w:rPr>
          <w:rFonts w:ascii="Times New Roman" w:hAnsi="Times New Roman" w:eastAsia="Times New Roman" w:cs="Times New Roman"/>
          <w:sz w:val="24"/>
          <w:szCs w:val="24"/>
          <w:spacing w:val="-11"/>
        </w:rPr>
        <w:t xml:space="preserve"> </w:t>
      </w:r>
      <w:r>
        <w:rPr>
          <w:rFonts w:ascii="SimSun" w:hAnsi="SimSun" w:eastAsia="SimSun" w:cs="SimSun"/>
          <w:sz w:val="24"/>
          <w:szCs w:val="24"/>
          <w:spacing w:val="2"/>
        </w:rPr>
        <w:t>聚氯乙烯绝缘电线。消防配电干线选用</w:t>
      </w:r>
      <w:r>
        <w:rPr>
          <w:rFonts w:ascii="Times New Roman" w:hAnsi="Times New Roman" w:eastAsia="Times New Roman" w:cs="Times New Roman"/>
          <w:sz w:val="24"/>
          <w:szCs w:val="24"/>
        </w:rPr>
        <w:t>NH</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rPr>
        <w:t>YJV</w:t>
      </w:r>
      <w:r>
        <w:rPr>
          <w:rFonts w:ascii="Times New Roman" w:hAnsi="Times New Roman" w:eastAsia="Times New Roman" w:cs="Times New Roman"/>
          <w:sz w:val="24"/>
          <w:szCs w:val="24"/>
          <w:spacing w:val="1"/>
        </w:rPr>
        <w:t>-0.6/1</w:t>
      </w:r>
      <w:r>
        <w:rPr>
          <w:rFonts w:ascii="Times New Roman" w:hAnsi="Times New Roman" w:eastAsia="Times New Roman" w:cs="Times New Roman"/>
          <w:sz w:val="24"/>
          <w:szCs w:val="24"/>
        </w:rPr>
        <w:t>kV</w:t>
      </w:r>
      <w:r>
        <w:rPr>
          <w:rFonts w:ascii="SimSun" w:hAnsi="SimSun" w:eastAsia="SimSun" w:cs="SimSun"/>
          <w:sz w:val="24"/>
          <w:szCs w:val="24"/>
          <w:spacing w:val="1"/>
        </w:rPr>
        <w:t>交联聚乙烯</w:t>
      </w:r>
      <w:r>
        <w:rPr>
          <w:rFonts w:ascii="SimSun" w:hAnsi="SimSun" w:eastAsia="SimSun" w:cs="SimSun"/>
          <w:sz w:val="24"/>
          <w:szCs w:val="24"/>
        </w:rPr>
        <w:t xml:space="preserve"> </w:t>
      </w:r>
      <w:r>
        <w:rPr>
          <w:rFonts w:ascii="SimSun" w:hAnsi="SimSun" w:eastAsia="SimSun" w:cs="SimSun"/>
          <w:sz w:val="24"/>
          <w:szCs w:val="24"/>
          <w:spacing w:val="13"/>
        </w:rPr>
        <w:t>绝缘耐火电力电缆，支线选用</w:t>
      </w:r>
      <w:r>
        <w:rPr>
          <w:rFonts w:ascii="Times New Roman" w:hAnsi="Times New Roman" w:eastAsia="Times New Roman" w:cs="Times New Roman"/>
          <w:sz w:val="24"/>
          <w:szCs w:val="24"/>
        </w:rPr>
        <w:t>ZR</w:t>
      </w:r>
      <w:r>
        <w:rPr>
          <w:rFonts w:ascii="Times New Roman" w:hAnsi="Times New Roman" w:eastAsia="Times New Roman" w:cs="Times New Roman"/>
          <w:sz w:val="24"/>
          <w:szCs w:val="24"/>
          <w:spacing w:val="13"/>
        </w:rPr>
        <w:t>-</w:t>
      </w:r>
      <w:r>
        <w:rPr>
          <w:rFonts w:ascii="Times New Roman" w:hAnsi="Times New Roman" w:eastAsia="Times New Roman" w:cs="Times New Roman"/>
          <w:sz w:val="24"/>
          <w:szCs w:val="24"/>
        </w:rPr>
        <w:t>BV</w:t>
      </w:r>
      <w:r>
        <w:rPr>
          <w:rFonts w:ascii="Times New Roman" w:hAnsi="Times New Roman" w:eastAsia="Times New Roman" w:cs="Times New Roman"/>
          <w:sz w:val="24"/>
          <w:szCs w:val="24"/>
          <w:spacing w:val="13"/>
        </w:rPr>
        <w:t>-0.45/0.75</w:t>
      </w:r>
      <w:r>
        <w:rPr>
          <w:rFonts w:ascii="Times New Roman" w:hAnsi="Times New Roman" w:eastAsia="Times New Roman" w:cs="Times New Roman"/>
          <w:sz w:val="24"/>
          <w:szCs w:val="24"/>
        </w:rPr>
        <w:t>kV</w:t>
      </w:r>
      <w:r>
        <w:rPr>
          <w:rFonts w:ascii="Times New Roman" w:hAnsi="Times New Roman" w:eastAsia="Times New Roman" w:cs="Times New Roman"/>
          <w:sz w:val="24"/>
          <w:szCs w:val="24"/>
          <w:spacing w:val="13"/>
        </w:rPr>
        <w:t xml:space="preserve"> </w:t>
      </w:r>
      <w:r>
        <w:rPr>
          <w:rFonts w:ascii="SimSun" w:hAnsi="SimSun" w:eastAsia="SimSun" w:cs="SimSun"/>
          <w:sz w:val="24"/>
          <w:szCs w:val="24"/>
          <w:spacing w:val="13"/>
        </w:rPr>
        <w:t>聚氯乙烯绝缘阻燃电线或</w:t>
      </w:r>
      <w:r>
        <w:rPr>
          <w:rFonts w:ascii="SimSun" w:hAnsi="SimSun" w:eastAsia="SimSun" w:cs="SimSun"/>
          <w:sz w:val="24"/>
          <w:szCs w:val="24"/>
          <w:spacing w:val="12"/>
        </w:rPr>
        <w:t xml:space="preserve"> </w:t>
      </w:r>
      <w:r>
        <w:rPr>
          <w:rFonts w:ascii="Times New Roman" w:hAnsi="Times New Roman" w:eastAsia="Times New Roman" w:cs="Times New Roman"/>
          <w:sz w:val="24"/>
          <w:szCs w:val="24"/>
          <w:spacing w:val="-2"/>
        </w:rPr>
        <w:t>ZRYJV-0.6/1kV</w:t>
      </w:r>
      <w:r>
        <w:rPr>
          <w:rFonts w:ascii="SimSun" w:hAnsi="SimSun" w:eastAsia="SimSun" w:cs="SimSun"/>
          <w:sz w:val="24"/>
          <w:szCs w:val="24"/>
          <w:spacing w:val="-2"/>
        </w:rPr>
        <w:t>电缆。</w:t>
      </w:r>
    </w:p>
    <w:p>
      <w:pPr>
        <w:ind w:right="33" w:firstLine="610"/>
        <w:spacing w:before="3" w:line="370" w:lineRule="auto"/>
        <w:jc w:val="both"/>
        <w:rPr>
          <w:rFonts w:ascii="SimSun" w:hAnsi="SimSun" w:eastAsia="SimSun" w:cs="SimSun"/>
          <w:sz w:val="24"/>
          <w:szCs w:val="24"/>
        </w:rPr>
      </w:pPr>
      <w:r>
        <w:rPr>
          <w:rFonts w:ascii="SimSun" w:hAnsi="SimSun" w:eastAsia="SimSun" w:cs="SimSun"/>
          <w:sz w:val="24"/>
          <w:szCs w:val="24"/>
          <w:spacing w:val="12"/>
        </w:rPr>
        <w:t>(2)控制电缆：非消防控制线选用</w:t>
      </w:r>
      <w:r>
        <w:rPr>
          <w:rFonts w:ascii="Times New Roman" w:hAnsi="Times New Roman" w:eastAsia="Times New Roman" w:cs="Times New Roman"/>
          <w:sz w:val="24"/>
          <w:szCs w:val="24"/>
        </w:rPr>
        <w:t>KVV</w:t>
      </w:r>
      <w:r>
        <w:rPr>
          <w:rFonts w:ascii="SimSun" w:hAnsi="SimSun" w:eastAsia="SimSun" w:cs="SimSun"/>
          <w:sz w:val="24"/>
          <w:szCs w:val="24"/>
          <w:spacing w:val="12"/>
        </w:rPr>
        <w:t>聚氯乙</w:t>
      </w:r>
      <w:r>
        <w:rPr>
          <w:rFonts w:ascii="SimSun" w:hAnsi="SimSun" w:eastAsia="SimSun" w:cs="SimSun"/>
          <w:sz w:val="24"/>
          <w:szCs w:val="24"/>
          <w:spacing w:val="11"/>
        </w:rPr>
        <w:t>烯绝缘控制电缆，消防控</w:t>
      </w:r>
      <w:r>
        <w:rPr>
          <w:rFonts w:ascii="SimSun" w:hAnsi="SimSun" w:eastAsia="SimSun" w:cs="SimSun"/>
          <w:sz w:val="24"/>
          <w:szCs w:val="24"/>
        </w:rPr>
        <w:t xml:space="preserve"> </w:t>
      </w:r>
      <w:r>
        <w:rPr>
          <w:rFonts w:ascii="SimSun" w:hAnsi="SimSun" w:eastAsia="SimSun" w:cs="SimSun"/>
          <w:sz w:val="24"/>
          <w:szCs w:val="24"/>
        </w:rPr>
        <w:t>制线选用NH-KVV  耐火型聚氯乙烯绝缘控制电缆。设1台</w:t>
      </w:r>
      <w:r>
        <w:rPr>
          <w:rFonts w:ascii="SimSun" w:hAnsi="SimSun" w:eastAsia="SimSun" w:cs="SimSun"/>
          <w:sz w:val="24"/>
          <w:szCs w:val="24"/>
          <w:spacing w:val="-1"/>
        </w:rPr>
        <w:t>常用250KW</w:t>
      </w:r>
      <w:r>
        <w:rPr>
          <w:rFonts w:ascii="SimSun" w:hAnsi="SimSun" w:eastAsia="SimSun" w:cs="SimSun"/>
          <w:sz w:val="24"/>
          <w:szCs w:val="24"/>
          <w:spacing w:val="46"/>
        </w:rPr>
        <w:t xml:space="preserve"> </w:t>
      </w:r>
      <w:r>
        <w:rPr>
          <w:rFonts w:ascii="SimSun" w:hAnsi="SimSun" w:eastAsia="SimSun" w:cs="SimSun"/>
          <w:sz w:val="24"/>
          <w:szCs w:val="24"/>
          <w:spacing w:val="-1"/>
        </w:rPr>
        <w:t>自启动柴油</w:t>
      </w:r>
      <w:r>
        <w:rPr>
          <w:rFonts w:ascii="SimSun" w:hAnsi="SimSun" w:eastAsia="SimSun" w:cs="SimSun"/>
          <w:sz w:val="24"/>
          <w:szCs w:val="24"/>
        </w:rPr>
        <w:t xml:space="preserve"> </w:t>
      </w:r>
      <w:r>
        <w:rPr>
          <w:rFonts w:ascii="SimSun" w:hAnsi="SimSun" w:eastAsia="SimSun" w:cs="SimSun"/>
          <w:sz w:val="24"/>
          <w:szCs w:val="24"/>
          <w:spacing w:val="-2"/>
        </w:rPr>
        <w:t>发电机组作为二级负荷的备用电源。</w:t>
      </w:r>
    </w:p>
    <w:p>
      <w:pPr>
        <w:spacing w:before="23" w:line="222" w:lineRule="auto"/>
        <w:rPr>
          <w:rFonts w:ascii="SimHei" w:hAnsi="SimHei" w:eastAsia="SimHei" w:cs="SimHei"/>
          <w:sz w:val="24"/>
          <w:szCs w:val="24"/>
        </w:rPr>
      </w:pPr>
      <w:r>
        <w:rPr>
          <w:rFonts w:ascii="Times New Roman" w:hAnsi="Times New Roman" w:eastAsia="Times New Roman" w:cs="Times New Roman"/>
          <w:sz w:val="24"/>
          <w:szCs w:val="24"/>
          <w:spacing w:val="-4"/>
        </w:rPr>
        <w:t>3.6. </w:t>
      </w:r>
      <w:r>
        <w:rPr>
          <w:rFonts w:ascii="SimHei" w:hAnsi="SimHei" w:eastAsia="SimHei" w:cs="SimHei"/>
          <w:sz w:val="24"/>
          <w:szCs w:val="24"/>
          <w:b/>
          <w:bCs/>
          <w:spacing w:val="-4"/>
        </w:rPr>
        <w:t>3</w:t>
      </w:r>
      <w:r>
        <w:rPr>
          <w:rFonts w:ascii="SimHei" w:hAnsi="SimHei" w:eastAsia="SimHei" w:cs="SimHei"/>
          <w:sz w:val="24"/>
          <w:szCs w:val="24"/>
          <w:spacing w:val="-51"/>
        </w:rPr>
        <w:t xml:space="preserve"> </w:t>
      </w:r>
      <w:r>
        <w:rPr>
          <w:rFonts w:ascii="SimHei" w:hAnsi="SimHei" w:eastAsia="SimHei" w:cs="SimHei"/>
          <w:sz w:val="24"/>
          <w:szCs w:val="24"/>
          <w:b/>
          <w:bCs/>
          <w:spacing w:val="-4"/>
        </w:rPr>
        <w:t>供</w:t>
      </w:r>
      <w:r>
        <w:rPr>
          <w:rFonts w:ascii="SimHei" w:hAnsi="SimHei" w:eastAsia="SimHei" w:cs="SimHei"/>
          <w:sz w:val="24"/>
          <w:szCs w:val="24"/>
          <w:spacing w:val="-45"/>
        </w:rPr>
        <w:t xml:space="preserve"> </w:t>
      </w:r>
      <w:r>
        <w:rPr>
          <w:rFonts w:ascii="SimHei" w:hAnsi="SimHei" w:eastAsia="SimHei" w:cs="SimHei"/>
          <w:sz w:val="24"/>
          <w:szCs w:val="24"/>
          <w:b/>
          <w:bCs/>
          <w:spacing w:val="-4"/>
        </w:rPr>
        <w:t>气</w:t>
      </w:r>
    </w:p>
    <w:p>
      <w:pPr>
        <w:ind w:right="52" w:firstLine="480"/>
        <w:spacing w:before="215" w:line="363" w:lineRule="auto"/>
        <w:rPr>
          <w:rFonts w:ascii="SimSun" w:hAnsi="SimSun" w:eastAsia="SimSun" w:cs="SimSun"/>
          <w:sz w:val="24"/>
          <w:szCs w:val="24"/>
        </w:rPr>
      </w:pPr>
      <w:r>
        <w:rPr>
          <w:rFonts w:ascii="SimSun" w:hAnsi="SimSun" w:eastAsia="SimSun" w:cs="SimSun"/>
          <w:sz w:val="24"/>
          <w:szCs w:val="24"/>
          <w:spacing w:val="4"/>
        </w:rPr>
        <w:t>本项目污水处理站产生的沼气经脱硫后作为食堂燃料，蒸汽发生器采用天</w:t>
      </w:r>
      <w:r>
        <w:rPr>
          <w:rFonts w:ascii="SimSun" w:hAnsi="SimSun" w:eastAsia="SimSun" w:cs="SimSun"/>
          <w:sz w:val="24"/>
          <w:szCs w:val="24"/>
          <w:spacing w:val="11"/>
        </w:rPr>
        <w:t xml:space="preserve"> </w:t>
      </w:r>
      <w:r>
        <w:rPr>
          <w:rFonts w:ascii="SimSun" w:hAnsi="SimSun" w:eastAsia="SimSun" w:cs="SimSun"/>
          <w:sz w:val="24"/>
          <w:szCs w:val="24"/>
          <w:spacing w:val="-1"/>
        </w:rPr>
        <w:t>然气作为燃料，天然气为市政燃气管网供给。</w:t>
      </w:r>
    </w:p>
    <w:p>
      <w:pPr>
        <w:spacing w:before="21" w:line="221" w:lineRule="auto"/>
        <w:rPr>
          <w:rFonts w:ascii="SimHei" w:hAnsi="SimHei" w:eastAsia="SimHei" w:cs="SimHei"/>
          <w:sz w:val="24"/>
          <w:szCs w:val="24"/>
        </w:rPr>
      </w:pPr>
      <w:r>
        <w:rPr>
          <w:rFonts w:ascii="Times New Roman" w:hAnsi="Times New Roman" w:eastAsia="Times New Roman" w:cs="Times New Roman"/>
          <w:sz w:val="24"/>
          <w:szCs w:val="24"/>
          <w:spacing w:val="15"/>
        </w:rPr>
        <w:t>3.</w:t>
      </w:r>
      <w:r>
        <w:rPr>
          <w:rFonts w:ascii="Times New Roman" w:hAnsi="Times New Roman" w:eastAsia="Times New Roman" w:cs="Times New Roman"/>
          <w:sz w:val="24"/>
          <w:szCs w:val="24"/>
          <w:spacing w:val="-21"/>
        </w:rPr>
        <w:t xml:space="preserve"> </w:t>
      </w:r>
      <w:r>
        <w:rPr>
          <w:rFonts w:ascii="SimHei" w:hAnsi="SimHei" w:eastAsia="SimHei" w:cs="SimHei"/>
          <w:sz w:val="24"/>
          <w:szCs w:val="24"/>
          <w:b/>
          <w:bCs/>
          <w:spacing w:val="15"/>
        </w:rPr>
        <w:t>6</w:t>
      </w:r>
      <w:r>
        <w:rPr>
          <w:rFonts w:ascii="SimHei" w:hAnsi="SimHei" w:eastAsia="SimHei" w:cs="SimHei"/>
          <w:sz w:val="24"/>
          <w:szCs w:val="24"/>
          <w:spacing w:val="-70"/>
        </w:rPr>
        <w:t xml:space="preserve"> </w:t>
      </w:r>
      <w:r>
        <w:rPr>
          <w:rFonts w:ascii="SimHei" w:hAnsi="SimHei" w:eastAsia="SimHei" w:cs="SimHei"/>
          <w:sz w:val="24"/>
          <w:szCs w:val="24"/>
          <w:b/>
          <w:bCs/>
          <w:spacing w:val="15"/>
        </w:rPr>
        <w:t>.4通风与制冷系统</w:t>
      </w:r>
    </w:p>
    <w:p>
      <w:pPr>
        <w:ind w:left="483"/>
        <w:spacing w:before="195" w:line="220" w:lineRule="auto"/>
        <w:rPr>
          <w:rFonts w:ascii="SimSun" w:hAnsi="SimSun" w:eastAsia="SimSun" w:cs="SimSun"/>
          <w:sz w:val="24"/>
          <w:szCs w:val="24"/>
        </w:rPr>
      </w:pPr>
      <w:r>
        <w:rPr>
          <w:rFonts w:ascii="SimSun" w:hAnsi="SimSun" w:eastAsia="SimSun" w:cs="SimSun"/>
          <w:sz w:val="24"/>
          <w:szCs w:val="24"/>
          <w:b/>
          <w:bCs/>
          <w:spacing w:val="-2"/>
        </w:rPr>
        <w:t>1、通风</w:t>
      </w:r>
    </w:p>
    <w:p>
      <w:pPr>
        <w:ind w:right="53" w:firstLine="480"/>
        <w:spacing w:before="207" w:line="355" w:lineRule="auto"/>
        <w:rPr>
          <w:rFonts w:ascii="SimSun" w:hAnsi="SimSun" w:eastAsia="SimSun" w:cs="SimSun"/>
          <w:sz w:val="24"/>
          <w:szCs w:val="24"/>
        </w:rPr>
      </w:pPr>
      <w:r>
        <w:rPr>
          <w:rFonts w:ascii="SimSun" w:hAnsi="SimSun" w:eastAsia="SimSun" w:cs="SimSun"/>
          <w:sz w:val="24"/>
          <w:szCs w:val="24"/>
          <w:spacing w:val="4"/>
        </w:rPr>
        <w:t>屠宰加工车间中部分生产工段如内脏加工间和屠宰间在生产过程中产生余</w:t>
      </w:r>
      <w:r>
        <w:rPr>
          <w:rFonts w:ascii="SimSun" w:hAnsi="SimSun" w:eastAsia="SimSun" w:cs="SimSun"/>
          <w:sz w:val="24"/>
          <w:szCs w:val="24"/>
          <w:spacing w:val="11"/>
        </w:rPr>
        <w:t xml:space="preserve"> </w:t>
      </w:r>
      <w:r>
        <w:rPr>
          <w:rFonts w:ascii="SimSun" w:hAnsi="SimSun" w:eastAsia="SimSun" w:cs="SimSun"/>
          <w:sz w:val="24"/>
          <w:szCs w:val="24"/>
          <w:spacing w:val="-1"/>
        </w:rPr>
        <w:t>热、余湿和异味，通过机械通风的方式，改善工作环境。</w:t>
      </w:r>
    </w:p>
    <w:p>
      <w:pPr>
        <w:ind w:left="483"/>
        <w:spacing w:before="24" w:line="220" w:lineRule="auto"/>
        <w:rPr>
          <w:rFonts w:ascii="SimSun" w:hAnsi="SimSun" w:eastAsia="SimSun" w:cs="SimSun"/>
          <w:sz w:val="24"/>
          <w:szCs w:val="24"/>
        </w:rPr>
      </w:pPr>
      <w:r>
        <w:rPr>
          <w:rFonts w:ascii="SimSun" w:hAnsi="SimSun" w:eastAsia="SimSun" w:cs="SimSun"/>
          <w:sz w:val="24"/>
          <w:szCs w:val="24"/>
          <w:b/>
          <w:bCs/>
          <w:spacing w:val="-2"/>
        </w:rPr>
        <w:t>2、制冷</w:t>
      </w:r>
    </w:p>
    <w:p>
      <w:pPr>
        <w:ind w:right="23" w:firstLine="480"/>
        <w:spacing w:before="162" w:line="355" w:lineRule="auto"/>
        <w:jc w:val="both"/>
        <w:rPr>
          <w:rFonts w:ascii="SimSun" w:hAnsi="SimSun" w:eastAsia="SimSun" w:cs="SimSun"/>
          <w:sz w:val="24"/>
          <w:szCs w:val="24"/>
        </w:rPr>
      </w:pPr>
      <w:r>
        <w:rPr>
          <w:rFonts w:ascii="SimSun" w:hAnsi="SimSun" w:eastAsia="SimSun" w:cs="SimSun"/>
          <w:sz w:val="24"/>
          <w:szCs w:val="24"/>
          <w:spacing w:val="4"/>
        </w:rPr>
        <w:t>本项目制冷系统采用环保制冷剂</w:t>
      </w:r>
      <w:r>
        <w:rPr>
          <w:rFonts w:ascii="Times New Roman" w:hAnsi="Times New Roman" w:eastAsia="Times New Roman" w:cs="Times New Roman"/>
          <w:sz w:val="24"/>
          <w:szCs w:val="24"/>
          <w:spacing w:val="4"/>
        </w:rPr>
        <w:t>R507</w:t>
      </w:r>
      <w:r>
        <w:rPr>
          <w:rFonts w:ascii="SimSun" w:hAnsi="SimSun" w:eastAsia="SimSun" w:cs="SimSun"/>
          <w:sz w:val="24"/>
          <w:szCs w:val="24"/>
          <w:spacing w:val="4"/>
        </w:rPr>
        <w:t>作为制冷工质，制冷</w:t>
      </w:r>
      <w:r>
        <w:rPr>
          <w:rFonts w:ascii="SimSun" w:hAnsi="SimSun" w:eastAsia="SimSun" w:cs="SimSun"/>
          <w:sz w:val="24"/>
          <w:szCs w:val="24"/>
          <w:spacing w:val="3"/>
        </w:rPr>
        <w:t>系统为全封闭自</w:t>
      </w:r>
      <w:r>
        <w:rPr>
          <w:rFonts w:ascii="SimSun" w:hAnsi="SimSun" w:eastAsia="SimSun" w:cs="SimSun"/>
          <w:sz w:val="24"/>
          <w:szCs w:val="24"/>
        </w:rPr>
        <w:t xml:space="preserve"> </w:t>
      </w:r>
      <w:r>
        <w:rPr>
          <w:rFonts w:ascii="SimSun" w:hAnsi="SimSun" w:eastAsia="SimSun" w:cs="SimSun"/>
          <w:sz w:val="24"/>
          <w:szCs w:val="24"/>
          <w:spacing w:val="-1"/>
        </w:rPr>
        <w:t>动化，制冷剂损耗量较少，定期进行补充。项目制冷系统主要由4大部分组成，</w:t>
      </w:r>
      <w:r>
        <w:rPr>
          <w:rFonts w:ascii="SimSun" w:hAnsi="SimSun" w:eastAsia="SimSun" w:cs="SimSun"/>
          <w:sz w:val="24"/>
          <w:szCs w:val="24"/>
          <w:spacing w:val="13"/>
        </w:rPr>
        <w:t xml:space="preserve"> </w:t>
      </w:r>
      <w:r>
        <w:rPr>
          <w:rFonts w:ascii="SimSun" w:hAnsi="SimSun" w:eastAsia="SimSun" w:cs="SimSun"/>
          <w:sz w:val="24"/>
          <w:szCs w:val="24"/>
          <w:spacing w:val="4"/>
        </w:rPr>
        <w:t>分别为制冷压缩机、节流膨胀阀、蒸发器、冷凝器，由无缝钢管将各部分连接</w:t>
      </w:r>
      <w:r>
        <w:rPr>
          <w:rFonts w:ascii="SimSun" w:hAnsi="SimSun" w:eastAsia="SimSun" w:cs="SimSun"/>
          <w:sz w:val="24"/>
          <w:szCs w:val="24"/>
          <w:spacing w:val="2"/>
        </w:rPr>
        <w:t xml:space="preserve"> </w:t>
      </w:r>
      <w:r>
        <w:rPr>
          <w:rFonts w:ascii="SimSun" w:hAnsi="SimSun" w:eastAsia="SimSun" w:cs="SimSun"/>
          <w:sz w:val="24"/>
          <w:szCs w:val="24"/>
          <w:spacing w:val="4"/>
        </w:rPr>
        <w:t>形成一个密闭系统。制冷剂在系统压力差的状态下、通过节流膨胀阀降低制冷</w:t>
      </w:r>
      <w:r>
        <w:rPr>
          <w:rFonts w:ascii="SimSun" w:hAnsi="SimSun" w:eastAsia="SimSun" w:cs="SimSun"/>
          <w:sz w:val="24"/>
          <w:szCs w:val="24"/>
          <w:spacing w:val="2"/>
        </w:rPr>
        <w:t xml:space="preserve"> </w:t>
      </w:r>
      <w:r>
        <w:rPr>
          <w:rFonts w:ascii="SimSun" w:hAnsi="SimSun" w:eastAsia="SimSun" w:cs="SimSun"/>
          <w:sz w:val="24"/>
          <w:szCs w:val="24"/>
          <w:spacing w:val="4"/>
        </w:rPr>
        <w:t>剂的压力和温度→进入冻库内蒸发器吸收库内热量→又经制冷压缩机吸入、压 </w:t>
      </w:r>
      <w:r>
        <w:rPr>
          <w:rFonts w:ascii="SimSun" w:hAnsi="SimSun" w:eastAsia="SimSun" w:cs="SimSun"/>
          <w:sz w:val="24"/>
          <w:szCs w:val="24"/>
          <w:spacing w:val="4"/>
        </w:rPr>
        <w:t>缩提高制冷剂的温度和压力→排入冷凝器经外界水冷却介质冷却。制冷剂在制</w:t>
      </w:r>
      <w:r>
        <w:rPr>
          <w:rFonts w:ascii="SimSun" w:hAnsi="SimSun" w:eastAsia="SimSun" w:cs="SimSun"/>
          <w:sz w:val="24"/>
          <w:szCs w:val="24"/>
          <w:spacing w:val="14"/>
        </w:rPr>
        <w:t xml:space="preserve"> </w:t>
      </w:r>
      <w:r>
        <w:rPr>
          <w:rFonts w:ascii="SimSun" w:hAnsi="SimSun" w:eastAsia="SimSun" w:cs="SimSun"/>
          <w:sz w:val="24"/>
          <w:szCs w:val="24"/>
          <w:spacing w:val="-1"/>
        </w:rPr>
        <w:t>冷系统中周而复始循环，以达到所需要的温度和目的。</w:t>
      </w:r>
    </w:p>
    <w:p>
      <w:pPr>
        <w:spacing w:before="99" w:line="221" w:lineRule="auto"/>
        <w:rPr>
          <w:rFonts w:ascii="SimHei" w:hAnsi="SimHei" w:eastAsia="SimHei" w:cs="SimHei"/>
          <w:sz w:val="24"/>
          <w:szCs w:val="24"/>
        </w:rPr>
      </w:pPr>
      <w:r>
        <w:rPr>
          <w:rFonts w:ascii="Times New Roman" w:hAnsi="Times New Roman" w:eastAsia="Times New Roman" w:cs="Times New Roman"/>
          <w:sz w:val="24"/>
          <w:szCs w:val="24"/>
          <w:spacing w:val="16"/>
        </w:rPr>
        <w:t>3.6. </w:t>
      </w:r>
      <w:r>
        <w:rPr>
          <w:rFonts w:ascii="SimHei" w:hAnsi="SimHei" w:eastAsia="SimHei" w:cs="SimHei"/>
          <w:sz w:val="24"/>
          <w:szCs w:val="24"/>
          <w:b/>
          <w:bCs/>
          <w:spacing w:val="16"/>
        </w:rPr>
        <w:t>5消防系统</w:t>
      </w:r>
    </w:p>
    <w:p>
      <w:pPr>
        <w:spacing w:line="221" w:lineRule="auto"/>
        <w:sectPr>
          <w:headerReference w:type="default" r:id="rId233"/>
          <w:footerReference w:type="default" r:id="rId234"/>
          <w:pgSz w:w="11910" w:h="16840"/>
          <w:pgMar w:top="1207" w:right="1786" w:bottom="962" w:left="1769" w:header="915" w:footer="791" w:gutter="0"/>
        </w:sectPr>
        <w:rPr>
          <w:rFonts w:ascii="SimHei" w:hAnsi="SimHei" w:eastAsia="SimHei" w:cs="SimHei"/>
          <w:sz w:val="24"/>
          <w:szCs w:val="24"/>
        </w:rPr>
      </w:pPr>
    </w:p>
    <w:p>
      <w:pPr>
        <w:ind w:left="483"/>
        <w:spacing w:before="257" w:line="220" w:lineRule="auto"/>
        <w:rPr>
          <w:rFonts w:ascii="SimSun" w:hAnsi="SimSun" w:eastAsia="SimSun" w:cs="SimSun"/>
          <w:sz w:val="23"/>
          <w:szCs w:val="23"/>
        </w:rPr>
      </w:pPr>
      <w:r>
        <w:rPr>
          <w:rFonts w:ascii="SimSun" w:hAnsi="SimSun" w:eastAsia="SimSun" w:cs="SimSun"/>
          <w:sz w:val="23"/>
          <w:szCs w:val="23"/>
          <w:b/>
          <w:bCs/>
        </w:rPr>
        <w:t>1、室外消防：</w:t>
      </w:r>
    </w:p>
    <w:p>
      <w:pPr>
        <w:ind w:right="42" w:firstLine="620"/>
        <w:spacing w:before="216" w:line="375" w:lineRule="auto"/>
        <w:jc w:val="both"/>
        <w:rPr>
          <w:rFonts w:ascii="SimSun" w:hAnsi="SimSun" w:eastAsia="SimSun" w:cs="SimSun"/>
          <w:sz w:val="23"/>
          <w:szCs w:val="23"/>
        </w:rPr>
      </w:pPr>
      <w:r>
        <w:rPr>
          <w:rFonts w:ascii="SimSun" w:hAnsi="SimSun" w:eastAsia="SimSun" w:cs="SimSun"/>
          <w:sz w:val="23"/>
          <w:szCs w:val="23"/>
          <w:spacing w:val="13"/>
        </w:rPr>
        <w:t>(1)室外设专用环状消防给水管网，室外消防采用低压制给水系统，由城</w:t>
      </w:r>
      <w:r>
        <w:rPr>
          <w:rFonts w:ascii="SimSun" w:hAnsi="SimSun" w:eastAsia="SimSun" w:cs="SimSun"/>
          <w:sz w:val="23"/>
          <w:szCs w:val="23"/>
          <w:spacing w:val="15"/>
        </w:rPr>
        <w:t xml:space="preserve"> </w:t>
      </w:r>
      <w:r>
        <w:rPr>
          <w:rFonts w:ascii="SimSun" w:hAnsi="SimSun" w:eastAsia="SimSun" w:cs="SimSun"/>
          <w:sz w:val="23"/>
          <w:szCs w:val="23"/>
          <w:spacing w:val="14"/>
        </w:rPr>
        <w:t>市自来水直接供水，发生火灾时，由城市消防车从现场室外消防栓取水经加压 </w:t>
      </w:r>
      <w:r>
        <w:rPr>
          <w:rFonts w:ascii="SimSun" w:hAnsi="SimSun" w:eastAsia="SimSun" w:cs="SimSun"/>
          <w:sz w:val="23"/>
          <w:szCs w:val="23"/>
          <w:spacing w:val="9"/>
        </w:rPr>
        <w:t>后灭火或经消防水泵接合器供室内消火栓系统。</w:t>
      </w:r>
    </w:p>
    <w:p>
      <w:pPr>
        <w:ind w:right="23" w:firstLine="620"/>
        <w:spacing w:before="2" w:line="363" w:lineRule="auto"/>
        <w:rPr>
          <w:rFonts w:ascii="SimSun" w:hAnsi="SimSun" w:eastAsia="SimSun" w:cs="SimSun"/>
          <w:sz w:val="23"/>
          <w:szCs w:val="23"/>
        </w:rPr>
      </w:pPr>
      <w:r>
        <w:rPr>
          <w:rFonts w:ascii="SimSun" w:hAnsi="SimSun" w:eastAsia="SimSun" w:cs="SimSun"/>
          <w:sz w:val="23"/>
          <w:szCs w:val="23"/>
          <w:spacing w:val="13"/>
        </w:rPr>
        <w:t>(2)室外消火栓按照间距不超过120米，距道路边不大于2米设置室外地上</w:t>
      </w:r>
      <w:r>
        <w:rPr>
          <w:rFonts w:ascii="SimSun" w:hAnsi="SimSun" w:eastAsia="SimSun" w:cs="SimSun"/>
          <w:sz w:val="23"/>
          <w:szCs w:val="23"/>
          <w:spacing w:val="8"/>
        </w:rPr>
        <w:t xml:space="preserve"> </w:t>
      </w:r>
      <w:r>
        <w:rPr>
          <w:rFonts w:ascii="SimSun" w:hAnsi="SimSun" w:eastAsia="SimSun" w:cs="SimSun"/>
          <w:sz w:val="23"/>
          <w:szCs w:val="23"/>
          <w:spacing w:val="7"/>
        </w:rPr>
        <w:t>式消火栓。</w:t>
      </w:r>
    </w:p>
    <w:p>
      <w:pPr>
        <w:ind w:left="483"/>
        <w:spacing w:line="219" w:lineRule="auto"/>
        <w:rPr>
          <w:rFonts w:ascii="SimSun" w:hAnsi="SimSun" w:eastAsia="SimSun" w:cs="SimSun"/>
          <w:sz w:val="23"/>
          <w:szCs w:val="23"/>
        </w:rPr>
      </w:pPr>
      <w:r>
        <w:rPr>
          <w:rFonts w:ascii="SimSun" w:hAnsi="SimSun" w:eastAsia="SimSun" w:cs="SimSun"/>
          <w:sz w:val="23"/>
          <w:szCs w:val="23"/>
          <w:b/>
          <w:bCs/>
        </w:rPr>
        <w:t>2、室内消防：</w:t>
      </w:r>
    </w:p>
    <w:p>
      <w:pPr>
        <w:ind w:right="23" w:firstLine="620"/>
        <w:spacing w:before="228" w:line="295" w:lineRule="auto"/>
        <w:rPr>
          <w:rFonts w:ascii="SimSun" w:hAnsi="SimSun" w:eastAsia="SimSun" w:cs="SimSun"/>
          <w:sz w:val="23"/>
          <w:szCs w:val="23"/>
        </w:rPr>
      </w:pPr>
      <w:r>
        <w:rPr>
          <w:rFonts w:ascii="SimSun" w:hAnsi="SimSun" w:eastAsia="SimSun" w:cs="SimSun"/>
          <w:sz w:val="23"/>
          <w:szCs w:val="23"/>
          <w:spacing w:val="14"/>
        </w:rPr>
        <w:t>(1)本工程室内设置消火栓给水系统、配置磷酸铵盐灭火器、自动喷淋灭</w:t>
      </w:r>
      <w:r>
        <w:rPr>
          <w:rFonts w:ascii="SimSun" w:hAnsi="SimSun" w:eastAsia="SimSun" w:cs="SimSun"/>
          <w:sz w:val="23"/>
          <w:szCs w:val="23"/>
          <w:spacing w:val="2"/>
        </w:rPr>
        <w:t xml:space="preserve"> </w:t>
      </w:r>
      <w:r>
        <w:rPr>
          <w:rFonts w:ascii="SimSun" w:hAnsi="SimSun" w:eastAsia="SimSun" w:cs="SimSun"/>
          <w:sz w:val="23"/>
          <w:szCs w:val="23"/>
          <w:spacing w:val="7"/>
        </w:rPr>
        <w:t>火器系统、气体灭火系统。</w:t>
      </w:r>
    </w:p>
    <w:p>
      <w:pPr>
        <w:ind w:left="620"/>
        <w:spacing w:before="205" w:line="218" w:lineRule="auto"/>
        <w:rPr>
          <w:rFonts w:ascii="SimSun" w:hAnsi="SimSun" w:eastAsia="SimSun" w:cs="SimSun"/>
          <w:sz w:val="23"/>
          <w:szCs w:val="23"/>
        </w:rPr>
      </w:pPr>
      <w:r>
        <w:rPr>
          <w:rFonts w:ascii="SimSun" w:hAnsi="SimSun" w:eastAsia="SimSun" w:cs="SimSun"/>
          <w:sz w:val="23"/>
          <w:szCs w:val="23"/>
          <w:spacing w:val="13"/>
        </w:rPr>
        <w:t>(2)本工程室内消防给水系统、自动喷淋系统采用</w:t>
      </w:r>
      <w:r>
        <w:rPr>
          <w:rFonts w:ascii="SimSun" w:hAnsi="SimSun" w:eastAsia="SimSun" w:cs="SimSun"/>
          <w:sz w:val="23"/>
          <w:szCs w:val="23"/>
          <w:spacing w:val="12"/>
        </w:rPr>
        <w:t>临时高压制给水系统。</w:t>
      </w:r>
    </w:p>
    <w:p>
      <w:pPr>
        <w:ind w:left="620"/>
        <w:spacing w:before="189" w:line="219" w:lineRule="auto"/>
        <w:rPr>
          <w:rFonts w:ascii="SimSun" w:hAnsi="SimSun" w:eastAsia="SimSun" w:cs="SimSun"/>
          <w:sz w:val="23"/>
          <w:szCs w:val="23"/>
        </w:rPr>
      </w:pPr>
      <w:r>
        <w:rPr>
          <w:rFonts w:ascii="SimSun" w:hAnsi="SimSun" w:eastAsia="SimSun" w:cs="SimSun"/>
          <w:sz w:val="23"/>
          <w:szCs w:val="23"/>
          <w:spacing w:val="13"/>
        </w:rPr>
        <w:t>(3)本工程消防水泵房位于地下室；消防水箱位于办公</w:t>
      </w:r>
      <w:r>
        <w:rPr>
          <w:rFonts w:ascii="SimSun" w:hAnsi="SimSun" w:eastAsia="SimSun" w:cs="SimSun"/>
          <w:sz w:val="23"/>
          <w:szCs w:val="23"/>
          <w:spacing w:val="12"/>
        </w:rPr>
        <w:t>楼西侧地面上。</w:t>
      </w:r>
    </w:p>
    <w:p>
      <w:pPr>
        <w:ind w:left="480"/>
        <w:spacing w:before="187" w:line="219" w:lineRule="auto"/>
        <w:rPr>
          <w:rFonts w:ascii="SimSun" w:hAnsi="SimSun" w:eastAsia="SimSun" w:cs="SimSun"/>
          <w:sz w:val="23"/>
          <w:szCs w:val="23"/>
        </w:rPr>
      </w:pPr>
      <w:r>
        <w:rPr>
          <w:rFonts w:ascii="SimSun" w:hAnsi="SimSun" w:eastAsia="SimSun" w:cs="SimSun"/>
          <w:sz w:val="23"/>
          <w:szCs w:val="23"/>
          <w:spacing w:val="14"/>
        </w:rPr>
        <w:t>室外埋地消防给水管道采用钢骨架</w:t>
      </w:r>
      <w:r>
        <w:rPr>
          <w:rFonts w:ascii="Times New Roman" w:hAnsi="Times New Roman" w:eastAsia="Times New Roman" w:cs="Times New Roman"/>
          <w:sz w:val="23"/>
          <w:szCs w:val="23"/>
        </w:rPr>
        <w:t>PE</w:t>
      </w:r>
      <w:r>
        <w:rPr>
          <w:rFonts w:ascii="SimSun" w:hAnsi="SimSun" w:eastAsia="SimSun" w:cs="SimSun"/>
          <w:sz w:val="23"/>
          <w:szCs w:val="23"/>
          <w:spacing w:val="14"/>
        </w:rPr>
        <w:t>管，采用电熔连接。室内消火</w:t>
      </w:r>
      <w:r>
        <w:rPr>
          <w:rFonts w:ascii="SimSun" w:hAnsi="SimSun" w:eastAsia="SimSun" w:cs="SimSun"/>
          <w:sz w:val="23"/>
          <w:szCs w:val="23"/>
          <w:spacing w:val="13"/>
        </w:rPr>
        <w:t>栓管道</w:t>
      </w:r>
    </w:p>
    <w:p>
      <w:pPr>
        <w:spacing w:before="177" w:line="219" w:lineRule="auto"/>
        <w:rPr>
          <w:rFonts w:ascii="SimSun" w:hAnsi="SimSun" w:eastAsia="SimSun" w:cs="SimSun"/>
          <w:sz w:val="23"/>
          <w:szCs w:val="23"/>
        </w:rPr>
      </w:pPr>
      <w:r>
        <w:rPr>
          <w:rFonts w:ascii="SimSun" w:hAnsi="SimSun" w:eastAsia="SimSun" w:cs="SimSun"/>
          <w:sz w:val="23"/>
          <w:szCs w:val="23"/>
          <w:spacing w:val="7"/>
        </w:rPr>
        <w:t>采用内外壁热浸锌镀锌钢管。</w:t>
      </w:r>
    </w:p>
    <w:p>
      <w:pPr>
        <w:ind w:right="41" w:firstLine="480"/>
        <w:spacing w:before="171" w:line="376" w:lineRule="auto"/>
        <w:jc w:val="both"/>
        <w:rPr>
          <w:rFonts w:ascii="SimSun" w:hAnsi="SimSun" w:eastAsia="SimSun" w:cs="SimSun"/>
          <w:sz w:val="23"/>
          <w:szCs w:val="23"/>
        </w:rPr>
      </w:pPr>
      <w:r>
        <w:rPr>
          <w:rFonts w:ascii="SimSun" w:hAnsi="SimSun" w:eastAsia="SimSun" w:cs="SimSun"/>
          <w:sz w:val="23"/>
          <w:szCs w:val="23"/>
          <w:spacing w:val="9"/>
        </w:rPr>
        <w:t>按照《建筑设计防火规范》</w:t>
      </w:r>
      <w:r>
        <w:rPr>
          <w:rFonts w:ascii="SimSun" w:hAnsi="SimSun" w:eastAsia="SimSun" w:cs="SimSun"/>
          <w:sz w:val="23"/>
          <w:szCs w:val="23"/>
          <w:spacing w:val="84"/>
        </w:rPr>
        <w:t xml:space="preserve"> </w:t>
      </w:r>
      <w:r>
        <w:rPr>
          <w:rFonts w:ascii="Times New Roman" w:hAnsi="Times New Roman" w:eastAsia="Times New Roman" w:cs="Times New Roman"/>
          <w:sz w:val="23"/>
          <w:szCs w:val="23"/>
          <w:spacing w:val="9"/>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9"/>
        </w:rPr>
        <w:t>50016-2014[2018</w:t>
      </w:r>
      <w:r>
        <w:rPr>
          <w:rFonts w:ascii="Times New Roman" w:hAnsi="Times New Roman" w:eastAsia="Times New Roman" w:cs="Times New Roman"/>
          <w:sz w:val="23"/>
          <w:szCs w:val="23"/>
          <w:spacing w:val="1"/>
        </w:rPr>
        <w:t xml:space="preserve">   </w:t>
      </w:r>
      <w:r>
        <w:rPr>
          <w:rFonts w:ascii="SimSun" w:hAnsi="SimSun" w:eastAsia="SimSun" w:cs="SimSun"/>
          <w:sz w:val="23"/>
          <w:szCs w:val="23"/>
          <w:spacing w:val="9"/>
        </w:rPr>
        <w:t>年版])的要求，厂区整</w:t>
      </w:r>
      <w:r>
        <w:rPr>
          <w:rFonts w:ascii="SimSun" w:hAnsi="SimSun" w:eastAsia="SimSun" w:cs="SimSun"/>
          <w:sz w:val="23"/>
          <w:szCs w:val="23"/>
        </w:rPr>
        <w:t xml:space="preserve"> </w:t>
      </w:r>
      <w:r>
        <w:rPr>
          <w:rFonts w:ascii="SimSun" w:hAnsi="SimSun" w:eastAsia="SimSun" w:cs="SimSun"/>
          <w:sz w:val="23"/>
          <w:szCs w:val="23"/>
          <w:spacing w:val="10"/>
        </w:rPr>
        <w:t>体消防车道呈环形布置，厂房至少沿两个长边设置消防车道，消防车道宽度≥4</w:t>
      </w:r>
      <w:r>
        <w:rPr>
          <w:rFonts w:ascii="SimSun" w:hAnsi="SimSun" w:eastAsia="SimSun" w:cs="SimSun"/>
          <w:sz w:val="23"/>
          <w:szCs w:val="23"/>
          <w:spacing w:val="1"/>
        </w:rPr>
        <w:t xml:space="preserve"> </w:t>
      </w:r>
      <w:r>
        <w:rPr>
          <w:rFonts w:ascii="SimSun" w:hAnsi="SimSun" w:eastAsia="SimSun" w:cs="SimSun"/>
          <w:sz w:val="23"/>
          <w:szCs w:val="23"/>
          <w:spacing w:val="13"/>
        </w:rPr>
        <w:t>米，转弯半径≥9米，坡度≤8%,消防车道和建筑之间不设置妨碍消防车操作的</w:t>
      </w:r>
      <w:r>
        <w:rPr>
          <w:rFonts w:ascii="SimSun" w:hAnsi="SimSun" w:eastAsia="SimSun" w:cs="SimSun"/>
          <w:sz w:val="23"/>
          <w:szCs w:val="23"/>
          <w:spacing w:val="9"/>
        </w:rPr>
        <w:t xml:space="preserve"> </w:t>
      </w:r>
      <w:r>
        <w:rPr>
          <w:rFonts w:ascii="SimSun" w:hAnsi="SimSun" w:eastAsia="SimSun" w:cs="SimSun"/>
          <w:sz w:val="23"/>
          <w:szCs w:val="23"/>
          <w:spacing w:val="7"/>
        </w:rPr>
        <w:t>树木、架空管线等障碍物。</w:t>
      </w:r>
    </w:p>
    <w:p>
      <w:pPr>
        <w:spacing w:before="69" w:line="222" w:lineRule="auto"/>
        <w:rPr>
          <w:rFonts w:ascii="SimHei" w:hAnsi="SimHei" w:eastAsia="SimHei" w:cs="SimHei"/>
          <w:sz w:val="25"/>
          <w:szCs w:val="25"/>
        </w:rPr>
      </w:pPr>
      <w:r>
        <w:rPr>
          <w:rFonts w:ascii="Times New Roman" w:hAnsi="Times New Roman" w:eastAsia="Times New Roman" w:cs="Times New Roman"/>
          <w:sz w:val="25"/>
          <w:szCs w:val="25"/>
          <w:spacing w:val="12"/>
        </w:rPr>
        <w:t>3.</w:t>
      </w:r>
      <w:r>
        <w:rPr>
          <w:rFonts w:ascii="SimHei" w:hAnsi="SimHei" w:eastAsia="SimHei" w:cs="SimHei"/>
          <w:sz w:val="25"/>
          <w:szCs w:val="25"/>
          <w:b/>
          <w:bCs/>
          <w:spacing w:val="12"/>
        </w:rPr>
        <w:t>6.6消毒与检疫</w:t>
      </w:r>
    </w:p>
    <w:p>
      <w:pPr>
        <w:ind w:left="483"/>
        <w:spacing w:before="211" w:line="219" w:lineRule="auto"/>
        <w:rPr>
          <w:rFonts w:ascii="SimSun" w:hAnsi="SimSun" w:eastAsia="SimSun" w:cs="SimSun"/>
          <w:sz w:val="23"/>
          <w:szCs w:val="23"/>
        </w:rPr>
      </w:pPr>
      <w:r>
        <w:rPr>
          <w:rFonts w:ascii="SimSun" w:hAnsi="SimSun" w:eastAsia="SimSun" w:cs="SimSun"/>
          <w:sz w:val="23"/>
          <w:szCs w:val="23"/>
          <w:b/>
          <w:bCs/>
          <w:spacing w:val="2"/>
        </w:rPr>
        <w:t>1、消毒</w:t>
      </w:r>
    </w:p>
    <w:p>
      <w:pPr>
        <w:ind w:right="36" w:firstLine="480"/>
        <w:spacing w:before="173" w:line="384" w:lineRule="auto"/>
        <w:rPr>
          <w:rFonts w:ascii="SimSun" w:hAnsi="SimSun" w:eastAsia="SimSun" w:cs="SimSun"/>
          <w:sz w:val="23"/>
          <w:szCs w:val="23"/>
        </w:rPr>
      </w:pPr>
      <w:r>
        <w:rPr>
          <w:rFonts w:ascii="SimSun" w:hAnsi="SimSun" w:eastAsia="SimSun" w:cs="SimSun"/>
          <w:sz w:val="23"/>
          <w:szCs w:val="23"/>
          <w:spacing w:val="8"/>
        </w:rPr>
        <w:t>根据《畜禽屠宰企业消毒规范》</w:t>
      </w:r>
      <w:r>
        <w:rPr>
          <w:rFonts w:ascii="SimSun" w:hAnsi="SimSun" w:eastAsia="SimSun" w:cs="SimSun"/>
          <w:sz w:val="23"/>
          <w:szCs w:val="23"/>
        </w:rPr>
        <w:t xml:space="preserve">  </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NY</w:t>
      </w:r>
      <w:r>
        <w:rPr>
          <w:rFonts w:ascii="Times New Roman" w:hAnsi="Times New Roman" w:eastAsia="Times New Roman" w:cs="Times New Roman"/>
          <w:sz w:val="23"/>
          <w:szCs w:val="23"/>
          <w:spacing w:val="8"/>
        </w:rPr>
        <w:t>/T3384-2021),      </w:t>
      </w:r>
      <w:r>
        <w:rPr>
          <w:rFonts w:ascii="Times New Roman" w:hAnsi="Times New Roman" w:eastAsia="Times New Roman" w:cs="Times New Roman"/>
          <w:sz w:val="23"/>
          <w:szCs w:val="23"/>
          <w:spacing w:val="7"/>
        </w:rPr>
        <w:t xml:space="preserve">  </w:t>
      </w:r>
      <w:r>
        <w:rPr>
          <w:rFonts w:ascii="SimSun" w:hAnsi="SimSun" w:eastAsia="SimSun" w:cs="SimSun"/>
          <w:sz w:val="23"/>
          <w:szCs w:val="23"/>
          <w:spacing w:val="7"/>
        </w:rPr>
        <w:t>本项目消毒要求如</w:t>
      </w:r>
      <w:r>
        <w:rPr>
          <w:rFonts w:ascii="SimSun" w:hAnsi="SimSun" w:eastAsia="SimSun" w:cs="SimSun"/>
          <w:sz w:val="23"/>
          <w:szCs w:val="23"/>
        </w:rPr>
        <w:t xml:space="preserve"> </w:t>
      </w:r>
      <w:r>
        <w:rPr>
          <w:rFonts w:ascii="SimSun" w:hAnsi="SimSun" w:eastAsia="SimSun" w:cs="SimSun"/>
          <w:sz w:val="23"/>
          <w:szCs w:val="23"/>
          <w:spacing w:val="-9"/>
        </w:rPr>
        <w:t>下</w:t>
      </w:r>
      <w:r>
        <w:rPr>
          <w:rFonts w:ascii="SimSun" w:hAnsi="SimSun" w:eastAsia="SimSun" w:cs="SimSun"/>
          <w:sz w:val="23"/>
          <w:szCs w:val="23"/>
          <w:spacing w:val="-51"/>
        </w:rPr>
        <w:t xml:space="preserve"> </w:t>
      </w:r>
      <w:r>
        <w:rPr>
          <w:rFonts w:ascii="SimSun" w:hAnsi="SimSun" w:eastAsia="SimSun" w:cs="SimSun"/>
          <w:sz w:val="23"/>
          <w:szCs w:val="23"/>
          <w:spacing w:val="-9"/>
        </w:rPr>
        <w:t>：</w:t>
      </w:r>
    </w:p>
    <w:p>
      <w:pPr>
        <w:ind w:left="480"/>
        <w:spacing w:before="1" w:line="219" w:lineRule="auto"/>
        <w:rPr>
          <w:rFonts w:ascii="SimSun" w:hAnsi="SimSun" w:eastAsia="SimSun" w:cs="SimSun"/>
          <w:sz w:val="23"/>
          <w:szCs w:val="23"/>
        </w:rPr>
      </w:pPr>
      <w:r>
        <w:rPr>
          <w:rFonts w:ascii="SimSun" w:hAnsi="SimSun" w:eastAsia="SimSun" w:cs="SimSun"/>
          <w:sz w:val="23"/>
          <w:szCs w:val="23"/>
          <w:spacing w:val="11"/>
        </w:rPr>
        <w:t>1)建立责任明确、落实到人的消毒管理制度并明示。</w:t>
      </w:r>
    </w:p>
    <w:p>
      <w:pPr>
        <w:ind w:right="20" w:firstLine="480"/>
        <w:spacing w:before="187" w:line="302" w:lineRule="auto"/>
        <w:rPr>
          <w:rFonts w:ascii="SimSun" w:hAnsi="SimSun" w:eastAsia="SimSun" w:cs="SimSun"/>
          <w:sz w:val="23"/>
          <w:szCs w:val="23"/>
        </w:rPr>
      </w:pPr>
      <w:r>
        <w:rPr>
          <w:rFonts w:ascii="SimSun" w:hAnsi="SimSun" w:eastAsia="SimSun" w:cs="SimSun"/>
          <w:sz w:val="23"/>
          <w:szCs w:val="23"/>
          <w:spacing w:val="15"/>
        </w:rPr>
        <w:t>2)分区域配备必要的清洗和消毒设施设备，不同区域清洗消毒设</w:t>
      </w:r>
      <w:r>
        <w:rPr>
          <w:rFonts w:ascii="SimSun" w:hAnsi="SimSun" w:eastAsia="SimSun" w:cs="SimSun"/>
          <w:sz w:val="23"/>
          <w:szCs w:val="23"/>
          <w:spacing w:val="14"/>
        </w:rPr>
        <w:t>施设备不</w:t>
      </w:r>
      <w:r>
        <w:rPr>
          <w:rFonts w:ascii="SimSun" w:hAnsi="SimSun" w:eastAsia="SimSun" w:cs="SimSun"/>
          <w:sz w:val="23"/>
          <w:szCs w:val="23"/>
        </w:rPr>
        <w:t xml:space="preserve"> </w:t>
      </w:r>
      <w:r>
        <w:rPr>
          <w:rFonts w:ascii="SimSun" w:hAnsi="SimSun" w:eastAsia="SimSun" w:cs="SimSun"/>
          <w:sz w:val="23"/>
          <w:szCs w:val="23"/>
          <w:spacing w:val="8"/>
        </w:rPr>
        <w:t>得混用。</w:t>
      </w:r>
    </w:p>
    <w:p>
      <w:pPr>
        <w:ind w:left="480"/>
        <w:spacing w:before="207" w:line="219" w:lineRule="auto"/>
        <w:rPr>
          <w:rFonts w:ascii="SimSun" w:hAnsi="SimSun" w:eastAsia="SimSun" w:cs="SimSun"/>
          <w:sz w:val="23"/>
          <w:szCs w:val="23"/>
        </w:rPr>
      </w:pPr>
      <w:r>
        <w:rPr>
          <w:rFonts w:ascii="SimSun" w:hAnsi="SimSun" w:eastAsia="SimSun" w:cs="SimSun"/>
          <w:sz w:val="23"/>
          <w:szCs w:val="23"/>
          <w:spacing w:val="13"/>
        </w:rPr>
        <w:t>3)运输生猪、肉牛和产品车辆清洗、消毒应分别设置专门区域。</w:t>
      </w:r>
    </w:p>
    <w:p>
      <w:pPr>
        <w:ind w:right="41" w:firstLine="480"/>
        <w:spacing w:before="177" w:line="283" w:lineRule="auto"/>
        <w:rPr>
          <w:rFonts w:ascii="SimSun" w:hAnsi="SimSun" w:eastAsia="SimSun" w:cs="SimSun"/>
          <w:sz w:val="23"/>
          <w:szCs w:val="23"/>
        </w:rPr>
      </w:pPr>
      <w:r>
        <w:rPr>
          <w:rFonts w:ascii="SimSun" w:hAnsi="SimSun" w:eastAsia="SimSun" w:cs="SimSun"/>
          <w:sz w:val="23"/>
          <w:szCs w:val="23"/>
          <w:spacing w:val="14"/>
        </w:rPr>
        <w:t>4)生产车间应设有防蚊蝇及其他昆虫、鸟类、鼠类等设施，不得使用药物</w:t>
      </w:r>
      <w:r>
        <w:rPr>
          <w:rFonts w:ascii="SimSun" w:hAnsi="SimSun" w:eastAsia="SimSun" w:cs="SimSun"/>
          <w:sz w:val="23"/>
          <w:szCs w:val="23"/>
          <w:spacing w:val="8"/>
        </w:rPr>
        <w:t xml:space="preserve"> </w:t>
      </w:r>
      <w:r>
        <w:rPr>
          <w:rFonts w:ascii="SimSun" w:hAnsi="SimSun" w:eastAsia="SimSun" w:cs="SimSun"/>
          <w:sz w:val="23"/>
          <w:szCs w:val="23"/>
          <w:spacing w:val="1"/>
        </w:rPr>
        <w:t>灭害。</w:t>
      </w:r>
    </w:p>
    <w:p>
      <w:pPr>
        <w:ind w:left="480"/>
        <w:spacing w:before="244" w:line="219" w:lineRule="auto"/>
        <w:rPr>
          <w:rFonts w:ascii="SimSun" w:hAnsi="SimSun" w:eastAsia="SimSun" w:cs="SimSun"/>
          <w:sz w:val="23"/>
          <w:szCs w:val="23"/>
        </w:rPr>
      </w:pPr>
      <w:r>
        <w:rPr>
          <w:rFonts w:ascii="SimSun" w:hAnsi="SimSun" w:eastAsia="SimSun" w:cs="SimSun"/>
          <w:sz w:val="23"/>
          <w:szCs w:val="23"/>
          <w:spacing w:val="14"/>
        </w:rPr>
        <w:t>5)洗涤剂、消毒剂应存放在专门场所，实行专人管理。</w:t>
      </w:r>
    </w:p>
    <w:p>
      <w:pPr>
        <w:ind w:right="42" w:firstLine="480"/>
        <w:spacing w:before="167" w:line="306" w:lineRule="auto"/>
        <w:rPr>
          <w:rFonts w:ascii="SimSun" w:hAnsi="SimSun" w:eastAsia="SimSun" w:cs="SimSun"/>
          <w:sz w:val="23"/>
          <w:szCs w:val="23"/>
        </w:rPr>
      </w:pPr>
      <w:r>
        <w:rPr>
          <w:rFonts w:ascii="SimSun" w:hAnsi="SimSun" w:eastAsia="SimSun" w:cs="SimSun"/>
          <w:sz w:val="23"/>
          <w:szCs w:val="23"/>
          <w:spacing w:val="22"/>
        </w:rPr>
        <w:t>6)使用于人手、食品接触面、生产车间、冷库内部的清洗</w:t>
      </w:r>
      <w:r>
        <w:rPr>
          <w:rFonts w:ascii="SimSun" w:hAnsi="SimSun" w:eastAsia="SimSun" w:cs="SimSun"/>
          <w:sz w:val="23"/>
          <w:szCs w:val="23"/>
          <w:spacing w:val="21"/>
        </w:rPr>
        <w:t>消毒剂应符合</w:t>
      </w:r>
      <w:r>
        <w:rPr>
          <w:rFonts w:ascii="SimSun" w:hAnsi="SimSun" w:eastAsia="SimSun" w:cs="SimSun"/>
          <w:sz w:val="23"/>
          <w:szCs w:val="23"/>
        </w:rPr>
        <w:t xml:space="preserve"> </w:t>
      </w:r>
      <w:r>
        <w:rPr>
          <w:rFonts w:ascii="SimSun" w:hAnsi="SimSun" w:eastAsia="SimSun" w:cs="SimSun"/>
          <w:sz w:val="23"/>
          <w:szCs w:val="23"/>
        </w:rPr>
        <w:t>GB</w:t>
      </w:r>
      <w:r>
        <w:rPr>
          <w:rFonts w:ascii="SimSun" w:hAnsi="SimSun" w:eastAsia="SimSun" w:cs="SimSun"/>
          <w:sz w:val="23"/>
          <w:szCs w:val="23"/>
          <w:spacing w:val="6"/>
        </w:rPr>
        <w:t>14930.1、</w:t>
      </w:r>
      <w:r>
        <w:rPr>
          <w:rFonts w:ascii="SimSun" w:hAnsi="SimSun" w:eastAsia="SimSun" w:cs="SimSun"/>
          <w:sz w:val="23"/>
          <w:szCs w:val="23"/>
        </w:rPr>
        <w:t>GB</w:t>
      </w:r>
      <w:r>
        <w:rPr>
          <w:rFonts w:ascii="SimSun" w:hAnsi="SimSun" w:eastAsia="SimSun" w:cs="SimSun"/>
          <w:sz w:val="23"/>
          <w:szCs w:val="23"/>
          <w:spacing w:val="6"/>
        </w:rPr>
        <w:t>14930.2</w:t>
      </w:r>
      <w:r>
        <w:rPr>
          <w:rFonts w:ascii="SimSun" w:hAnsi="SimSun" w:eastAsia="SimSun" w:cs="SimSun"/>
          <w:sz w:val="23"/>
          <w:szCs w:val="23"/>
          <w:spacing w:val="98"/>
        </w:rPr>
        <w:t xml:space="preserve"> </w:t>
      </w:r>
      <w:r>
        <w:rPr>
          <w:rFonts w:ascii="SimSun" w:hAnsi="SimSun" w:eastAsia="SimSun" w:cs="SimSun"/>
          <w:sz w:val="23"/>
          <w:szCs w:val="23"/>
          <w:spacing w:val="6"/>
        </w:rPr>
        <w:t>的要求，其他消毒剂应符合</w:t>
      </w:r>
      <w:r>
        <w:rPr>
          <w:rFonts w:ascii="SimSun" w:hAnsi="SimSun" w:eastAsia="SimSun" w:cs="SimSun"/>
          <w:sz w:val="23"/>
          <w:szCs w:val="23"/>
        </w:rPr>
        <w:t>GB</w:t>
      </w:r>
      <w:r>
        <w:rPr>
          <w:rFonts w:ascii="SimSun" w:hAnsi="SimSun" w:eastAsia="SimSun" w:cs="SimSun"/>
          <w:sz w:val="23"/>
          <w:szCs w:val="23"/>
          <w:spacing w:val="6"/>
        </w:rPr>
        <w:t>27952</w:t>
      </w:r>
      <w:r>
        <w:rPr>
          <w:rFonts w:ascii="SimSun" w:hAnsi="SimSun" w:eastAsia="SimSun" w:cs="SimSun"/>
          <w:sz w:val="23"/>
          <w:szCs w:val="23"/>
          <w:spacing w:val="36"/>
        </w:rPr>
        <w:t xml:space="preserve"> </w:t>
      </w:r>
      <w:r>
        <w:rPr>
          <w:rFonts w:ascii="SimSun" w:hAnsi="SimSun" w:eastAsia="SimSun" w:cs="SimSun"/>
          <w:sz w:val="23"/>
          <w:szCs w:val="23"/>
          <w:spacing w:val="6"/>
        </w:rPr>
        <w:t>的规定；发生疫情</w:t>
      </w:r>
    </w:p>
    <w:p>
      <w:pPr>
        <w:spacing w:line="306" w:lineRule="auto"/>
        <w:sectPr>
          <w:headerReference w:type="default" r:id="rId235"/>
          <w:footerReference w:type="default" r:id="rId236"/>
          <w:pgSz w:w="11910" w:h="16840"/>
          <w:pgMar w:top="1219" w:right="1786" w:bottom="960" w:left="1769" w:header="865" w:footer="753" w:gutter="0"/>
        </w:sectPr>
        <w:rPr>
          <w:rFonts w:ascii="SimSun" w:hAnsi="SimSun" w:eastAsia="SimSun" w:cs="SimSun"/>
          <w:sz w:val="23"/>
          <w:szCs w:val="23"/>
        </w:rPr>
      </w:pPr>
    </w:p>
    <w:p>
      <w:pPr>
        <w:spacing w:before="298" w:line="219" w:lineRule="auto"/>
        <w:rPr>
          <w:rFonts w:ascii="SimSun" w:hAnsi="SimSun" w:eastAsia="SimSun" w:cs="SimSun"/>
          <w:sz w:val="23"/>
          <w:szCs w:val="23"/>
        </w:rPr>
      </w:pPr>
      <w:r>
        <w:rPr>
          <w:rFonts w:ascii="SimSun" w:hAnsi="SimSun" w:eastAsia="SimSun" w:cs="SimSun"/>
          <w:sz w:val="23"/>
          <w:szCs w:val="23"/>
          <w:spacing w:val="5"/>
        </w:rPr>
        <w:t>时，应使用符合</w:t>
      </w:r>
      <w:r>
        <w:rPr>
          <w:rFonts w:ascii="SimSun" w:hAnsi="SimSun" w:eastAsia="SimSun" w:cs="SimSun"/>
          <w:sz w:val="23"/>
          <w:szCs w:val="23"/>
        </w:rPr>
        <w:t>GB</w:t>
      </w:r>
      <w:r>
        <w:rPr>
          <w:rFonts w:ascii="SimSun" w:hAnsi="SimSun" w:eastAsia="SimSun" w:cs="SimSun"/>
          <w:sz w:val="23"/>
          <w:szCs w:val="23"/>
          <w:spacing w:val="5"/>
        </w:rPr>
        <w:t>27953</w:t>
      </w:r>
      <w:r>
        <w:rPr>
          <w:rFonts w:ascii="SimSun" w:hAnsi="SimSun" w:eastAsia="SimSun" w:cs="SimSun"/>
          <w:sz w:val="23"/>
          <w:szCs w:val="23"/>
          <w:spacing w:val="39"/>
        </w:rPr>
        <w:t xml:space="preserve"> </w:t>
      </w:r>
      <w:r>
        <w:rPr>
          <w:rFonts w:ascii="SimSun" w:hAnsi="SimSun" w:eastAsia="SimSun" w:cs="SimSun"/>
          <w:sz w:val="23"/>
          <w:szCs w:val="23"/>
          <w:spacing w:val="5"/>
        </w:rPr>
        <w:t>规定的消毒剂。</w:t>
      </w:r>
    </w:p>
    <w:p>
      <w:pPr>
        <w:ind w:left="470"/>
        <w:spacing w:before="178" w:line="219" w:lineRule="auto"/>
        <w:rPr>
          <w:rFonts w:ascii="SimSun" w:hAnsi="SimSun" w:eastAsia="SimSun" w:cs="SimSun"/>
          <w:sz w:val="23"/>
          <w:szCs w:val="23"/>
        </w:rPr>
      </w:pPr>
      <w:r>
        <w:rPr>
          <w:rFonts w:ascii="SimSun" w:hAnsi="SimSun" w:eastAsia="SimSun" w:cs="SimSun"/>
          <w:sz w:val="23"/>
          <w:szCs w:val="23"/>
          <w:spacing w:val="10"/>
        </w:rPr>
        <w:t>7)清洗消毒设施应符合</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10"/>
        </w:rPr>
        <w:t>12694 </w:t>
      </w:r>
      <w:r>
        <w:rPr>
          <w:rFonts w:ascii="SimSun" w:hAnsi="SimSun" w:eastAsia="SimSun" w:cs="SimSun"/>
          <w:sz w:val="23"/>
          <w:szCs w:val="23"/>
          <w:spacing w:val="10"/>
        </w:rPr>
        <w:t>的规定。</w:t>
      </w:r>
    </w:p>
    <w:p>
      <w:pPr>
        <w:ind w:right="51" w:firstLine="470"/>
        <w:spacing w:before="187" w:line="363" w:lineRule="auto"/>
        <w:rPr>
          <w:rFonts w:ascii="SimSun" w:hAnsi="SimSun" w:eastAsia="SimSun" w:cs="SimSun"/>
          <w:sz w:val="23"/>
          <w:szCs w:val="23"/>
        </w:rPr>
      </w:pPr>
      <w:r>
        <w:rPr>
          <w:rFonts w:ascii="SimSun" w:hAnsi="SimSun" w:eastAsia="SimSun" w:cs="SimSun"/>
          <w:sz w:val="23"/>
          <w:szCs w:val="23"/>
          <w:spacing w:val="21"/>
        </w:rPr>
        <w:t>本项目采用二氯异氰尿酸钠(粉状)对车辆、车间及设备等进行消毒；本</w:t>
      </w:r>
      <w:r>
        <w:rPr>
          <w:rFonts w:ascii="SimSun" w:hAnsi="SimSun" w:eastAsia="SimSun" w:cs="SimSun"/>
          <w:sz w:val="23"/>
          <w:szCs w:val="23"/>
          <w:spacing w:val="17"/>
        </w:rPr>
        <w:t xml:space="preserve"> </w:t>
      </w:r>
      <w:r>
        <w:rPr>
          <w:rFonts w:ascii="SimSun" w:hAnsi="SimSun" w:eastAsia="SimSun" w:cs="SimSun"/>
          <w:sz w:val="23"/>
          <w:szCs w:val="23"/>
          <w:spacing w:val="14"/>
        </w:rPr>
        <w:t>项目员工进出生产车间、员工洗手消毒采用聚维酮碘溶液消毒；</w:t>
      </w:r>
      <w:r>
        <w:rPr>
          <w:rFonts w:ascii="SimSun" w:hAnsi="SimSun" w:eastAsia="SimSun" w:cs="SimSun"/>
          <w:sz w:val="23"/>
          <w:szCs w:val="23"/>
          <w:spacing w:val="13"/>
        </w:rPr>
        <w:t>次氯酸钠为废</w:t>
      </w:r>
      <w:r>
        <w:rPr>
          <w:rFonts w:ascii="SimSun" w:hAnsi="SimSun" w:eastAsia="SimSun" w:cs="SimSun"/>
          <w:sz w:val="23"/>
          <w:szCs w:val="23"/>
        </w:rPr>
        <w:t xml:space="preserve"> </w:t>
      </w:r>
      <w:r>
        <w:rPr>
          <w:rFonts w:ascii="SimSun" w:hAnsi="SimSun" w:eastAsia="SimSun" w:cs="SimSun"/>
          <w:sz w:val="23"/>
          <w:szCs w:val="23"/>
          <w:spacing w:val="4"/>
        </w:rPr>
        <w:t>水处理消毒投加药剂。</w:t>
      </w:r>
    </w:p>
    <w:p>
      <w:pPr>
        <w:ind w:left="603"/>
        <w:spacing w:line="219" w:lineRule="auto"/>
        <w:rPr>
          <w:rFonts w:ascii="SimSun" w:hAnsi="SimSun" w:eastAsia="SimSun" w:cs="SimSun"/>
          <w:sz w:val="25"/>
          <w:szCs w:val="25"/>
        </w:rPr>
      </w:pPr>
      <w:r>
        <w:rPr>
          <w:rFonts w:ascii="SimSun" w:hAnsi="SimSun" w:eastAsia="SimSun" w:cs="SimSun"/>
          <w:sz w:val="25"/>
          <w:szCs w:val="25"/>
          <w:b/>
          <w:bCs/>
          <w:spacing w:val="6"/>
        </w:rPr>
        <w:t>(1)车辆消毒</w:t>
      </w:r>
    </w:p>
    <w:p>
      <w:pPr>
        <w:ind w:right="35" w:firstLine="470"/>
        <w:spacing w:before="214" w:line="367" w:lineRule="auto"/>
        <w:jc w:val="both"/>
        <w:rPr>
          <w:rFonts w:ascii="SimSun" w:hAnsi="SimSun" w:eastAsia="SimSun" w:cs="SimSun"/>
          <w:sz w:val="23"/>
          <w:szCs w:val="23"/>
        </w:rPr>
      </w:pPr>
      <w:r>
        <w:rPr>
          <w:rFonts w:ascii="SimSun" w:hAnsi="SimSun" w:eastAsia="SimSun" w:cs="SimSun"/>
          <w:sz w:val="23"/>
          <w:szCs w:val="23"/>
          <w:spacing w:val="15"/>
        </w:rPr>
        <w:t>厂区门口设置消毒池和喷雾消毒设施，专人执行消毒工作。消毒药</w:t>
      </w:r>
      <w:r>
        <w:rPr>
          <w:rFonts w:ascii="SimSun" w:hAnsi="SimSun" w:eastAsia="SimSun" w:cs="SimSun"/>
          <w:sz w:val="23"/>
          <w:szCs w:val="23"/>
          <w:spacing w:val="14"/>
        </w:rPr>
        <w:t>可选用</w:t>
      </w:r>
      <w:r>
        <w:rPr>
          <w:rFonts w:ascii="SimSun" w:hAnsi="SimSun" w:eastAsia="SimSun" w:cs="SimSun"/>
          <w:sz w:val="23"/>
          <w:szCs w:val="23"/>
        </w:rPr>
        <w:t xml:space="preserve"> </w:t>
      </w:r>
      <w:r>
        <w:rPr>
          <w:rFonts w:ascii="SimSun" w:hAnsi="SimSun" w:eastAsia="SimSun" w:cs="SimSun"/>
          <w:sz w:val="23"/>
          <w:szCs w:val="23"/>
          <w:spacing w:val="14"/>
        </w:rPr>
        <w:t>二氯异氰尿酸钠，工作人员进舍前应换上已消毒的服装鞋帽</w:t>
      </w:r>
      <w:r>
        <w:rPr>
          <w:rFonts w:ascii="SimSun" w:hAnsi="SimSun" w:eastAsia="SimSun" w:cs="SimSun"/>
          <w:sz w:val="23"/>
          <w:szCs w:val="23"/>
          <w:spacing w:val="13"/>
        </w:rPr>
        <w:t>，外来人员、车辆</w:t>
      </w:r>
      <w:r>
        <w:rPr>
          <w:rFonts w:ascii="SimSun" w:hAnsi="SimSun" w:eastAsia="SimSun" w:cs="SimSun"/>
          <w:sz w:val="23"/>
          <w:szCs w:val="23"/>
        </w:rPr>
        <w:t xml:space="preserve"> </w:t>
      </w:r>
      <w:r>
        <w:rPr>
          <w:rFonts w:ascii="SimSun" w:hAnsi="SimSun" w:eastAsia="SimSun" w:cs="SimSun"/>
          <w:sz w:val="23"/>
          <w:szCs w:val="23"/>
          <w:spacing w:val="14"/>
        </w:rPr>
        <w:t>及运载工具等必须严格消毒后进场。本项目厂区出入口车辆消毒</w:t>
      </w:r>
      <w:r>
        <w:rPr>
          <w:rFonts w:ascii="SimSun" w:hAnsi="SimSun" w:eastAsia="SimSun" w:cs="SimSun"/>
          <w:sz w:val="23"/>
          <w:szCs w:val="23"/>
          <w:spacing w:val="13"/>
        </w:rPr>
        <w:t>，消毒剂需要</w:t>
      </w:r>
      <w:r>
        <w:rPr>
          <w:rFonts w:ascii="SimSun" w:hAnsi="SimSun" w:eastAsia="SimSun" w:cs="SimSun"/>
          <w:sz w:val="23"/>
          <w:szCs w:val="23"/>
        </w:rPr>
        <w:t xml:space="preserve"> </w:t>
      </w:r>
      <w:r>
        <w:rPr>
          <w:rFonts w:ascii="SimSun" w:hAnsi="SimSun" w:eastAsia="SimSun" w:cs="SimSun"/>
          <w:sz w:val="23"/>
          <w:szCs w:val="23"/>
          <w:spacing w:val="7"/>
        </w:rPr>
        <w:t>定期补充，不产生消毒废水。</w:t>
      </w:r>
    </w:p>
    <w:p>
      <w:pPr>
        <w:ind w:left="603"/>
        <w:spacing w:line="219" w:lineRule="auto"/>
        <w:rPr>
          <w:rFonts w:ascii="SimSun" w:hAnsi="SimSun" w:eastAsia="SimSun" w:cs="SimSun"/>
          <w:sz w:val="25"/>
          <w:szCs w:val="25"/>
        </w:rPr>
      </w:pPr>
      <w:r>
        <w:rPr>
          <w:rFonts w:ascii="SimSun" w:hAnsi="SimSun" w:eastAsia="SimSun" w:cs="SimSun"/>
          <w:sz w:val="25"/>
          <w:szCs w:val="25"/>
          <w:b/>
          <w:bCs/>
          <w:spacing w:val="-6"/>
        </w:rPr>
        <w:t>(2</w:t>
      </w:r>
      <w:r>
        <w:rPr>
          <w:rFonts w:ascii="SimSun" w:hAnsi="SimSun" w:eastAsia="SimSun" w:cs="SimSun"/>
          <w:sz w:val="25"/>
          <w:szCs w:val="25"/>
          <w:spacing w:val="-61"/>
        </w:rPr>
        <w:t xml:space="preserve"> </w:t>
      </w:r>
      <w:r>
        <w:rPr>
          <w:rFonts w:ascii="SimSun" w:hAnsi="SimSun" w:eastAsia="SimSun" w:cs="SimSun"/>
          <w:sz w:val="25"/>
          <w:szCs w:val="25"/>
          <w:b/>
          <w:bCs/>
          <w:spacing w:val="-6"/>
        </w:rPr>
        <w:t>)车间及设备消毒</w:t>
      </w:r>
    </w:p>
    <w:p>
      <w:pPr>
        <w:ind w:right="24" w:firstLine="470"/>
        <w:spacing w:before="216" w:line="370" w:lineRule="auto"/>
        <w:jc w:val="both"/>
        <w:rPr>
          <w:rFonts w:ascii="SimSun" w:hAnsi="SimSun" w:eastAsia="SimSun" w:cs="SimSun"/>
          <w:sz w:val="23"/>
          <w:szCs w:val="23"/>
        </w:rPr>
      </w:pPr>
      <w:r>
        <w:rPr>
          <w:rFonts w:ascii="SimSun" w:hAnsi="SimSun" w:eastAsia="SimSun" w:cs="SimSun"/>
          <w:sz w:val="23"/>
          <w:szCs w:val="23"/>
          <w:spacing w:val="18"/>
        </w:rPr>
        <w:t>生产区域实行全封闭，通过给排风系统使整个生产区域形成微负压(</w:t>
      </w:r>
      <w:r>
        <w:rPr>
          <w:rFonts w:ascii="SimSun" w:hAnsi="SimSun" w:eastAsia="SimSun" w:cs="SimSun"/>
          <w:sz w:val="23"/>
          <w:szCs w:val="23"/>
          <w:spacing w:val="17"/>
        </w:rPr>
        <w:t>防止</w:t>
      </w:r>
      <w:r>
        <w:rPr>
          <w:rFonts w:ascii="SimSun" w:hAnsi="SimSun" w:eastAsia="SimSun" w:cs="SimSun"/>
          <w:sz w:val="23"/>
          <w:szCs w:val="23"/>
        </w:rPr>
        <w:t xml:space="preserve"> </w:t>
      </w:r>
      <w:r>
        <w:rPr>
          <w:rFonts w:ascii="SimSun" w:hAnsi="SimSun" w:eastAsia="SimSun" w:cs="SimSun"/>
          <w:sz w:val="23"/>
          <w:szCs w:val="23"/>
          <w:spacing w:val="25"/>
        </w:rPr>
        <w:t>污染空气外流)。对整个生产车间(含生产区、冷库和成品</w:t>
      </w:r>
      <w:r>
        <w:rPr>
          <w:rFonts w:ascii="SimSun" w:hAnsi="SimSun" w:eastAsia="SimSun" w:cs="SimSun"/>
          <w:sz w:val="23"/>
          <w:szCs w:val="23"/>
          <w:spacing w:val="24"/>
        </w:rPr>
        <w:t>区)每天一次全自</w:t>
      </w:r>
      <w:r>
        <w:rPr>
          <w:rFonts w:ascii="SimSun" w:hAnsi="SimSun" w:eastAsia="SimSun" w:cs="SimSun"/>
          <w:sz w:val="23"/>
          <w:szCs w:val="23"/>
        </w:rPr>
        <w:t xml:space="preserve"> </w:t>
      </w:r>
      <w:r>
        <w:rPr>
          <w:rFonts w:ascii="SimSun" w:hAnsi="SimSun" w:eastAsia="SimSun" w:cs="SimSun"/>
          <w:sz w:val="23"/>
          <w:szCs w:val="23"/>
          <w:spacing w:val="8"/>
        </w:rPr>
        <w:t>动喷雾消毒。消毒剂为二氯异氰尿酸钠溶液。</w:t>
      </w:r>
    </w:p>
    <w:p>
      <w:pPr>
        <w:ind w:right="78" w:firstLine="470"/>
        <w:spacing w:before="27" w:line="356" w:lineRule="auto"/>
        <w:rPr>
          <w:rFonts w:ascii="SimSun" w:hAnsi="SimSun" w:eastAsia="SimSun" w:cs="SimSun"/>
          <w:sz w:val="23"/>
          <w:szCs w:val="23"/>
        </w:rPr>
      </w:pPr>
      <w:r>
        <w:rPr>
          <w:rFonts w:ascii="SimSun" w:hAnsi="SimSun" w:eastAsia="SimSun" w:cs="SimSun"/>
          <w:sz w:val="23"/>
          <w:szCs w:val="23"/>
          <w:spacing w:val="13"/>
        </w:rPr>
        <w:t>用具、拖车、衣帽间是紫外线消毒灯。检验刀钩等金属材料、玻璃容器、</w:t>
      </w:r>
      <w:r>
        <w:rPr>
          <w:rFonts w:ascii="SimSun" w:hAnsi="SimSun" w:eastAsia="SimSun" w:cs="SimSun"/>
          <w:sz w:val="23"/>
          <w:szCs w:val="23"/>
          <w:spacing w:val="18"/>
        </w:rPr>
        <w:t xml:space="preserve"> </w:t>
      </w:r>
      <w:r>
        <w:rPr>
          <w:rFonts w:ascii="SimSun" w:hAnsi="SimSun" w:eastAsia="SimSun" w:cs="SimSun"/>
          <w:sz w:val="23"/>
          <w:szCs w:val="23"/>
          <w:spacing w:val="7"/>
        </w:rPr>
        <w:t>工作衣帽等煮沸消毒。</w:t>
      </w:r>
    </w:p>
    <w:p>
      <w:pPr>
        <w:ind w:left="603"/>
        <w:spacing w:before="1" w:line="219" w:lineRule="auto"/>
        <w:rPr>
          <w:rFonts w:ascii="SimSun" w:hAnsi="SimSun" w:eastAsia="SimSun" w:cs="SimSun"/>
          <w:sz w:val="25"/>
          <w:szCs w:val="25"/>
        </w:rPr>
      </w:pPr>
      <w:r>
        <w:rPr>
          <w:rFonts w:ascii="SimSun" w:hAnsi="SimSun" w:eastAsia="SimSun" w:cs="SimSun"/>
          <w:sz w:val="25"/>
          <w:szCs w:val="25"/>
          <w:b/>
          <w:bCs/>
          <w:spacing w:val="3"/>
        </w:rPr>
        <w:t>(3)废水处理消毒</w:t>
      </w:r>
    </w:p>
    <w:p>
      <w:pPr>
        <w:ind w:right="43" w:firstLine="470"/>
        <w:spacing w:before="217" w:line="371" w:lineRule="auto"/>
        <w:jc w:val="both"/>
        <w:rPr>
          <w:rFonts w:ascii="SimSun" w:hAnsi="SimSun" w:eastAsia="SimSun" w:cs="SimSun"/>
          <w:sz w:val="23"/>
          <w:szCs w:val="23"/>
        </w:rPr>
      </w:pPr>
      <w:r>
        <w:rPr>
          <w:rFonts w:ascii="SimSun" w:hAnsi="SimSun" w:eastAsia="SimSun" w:cs="SimSun"/>
          <w:sz w:val="23"/>
          <w:szCs w:val="23"/>
          <w:spacing w:val="14"/>
        </w:rPr>
        <w:t>本项目废水处理站设置消毒池对废水进行灭菌消毒。消毒池投加次氯酸钠</w:t>
      </w:r>
      <w:r>
        <w:rPr>
          <w:rFonts w:ascii="SimSun" w:hAnsi="SimSun" w:eastAsia="SimSun" w:cs="SimSun"/>
          <w:sz w:val="23"/>
          <w:szCs w:val="23"/>
          <w:spacing w:val="13"/>
        </w:rPr>
        <w:t xml:space="preserve"> </w:t>
      </w:r>
      <w:r>
        <w:rPr>
          <w:rFonts w:ascii="SimSun" w:hAnsi="SimSun" w:eastAsia="SimSun" w:cs="SimSun"/>
          <w:sz w:val="23"/>
          <w:szCs w:val="23"/>
          <w:spacing w:val="17"/>
        </w:rPr>
        <w:t>进行消毒，次氯酸钠采用10%浓度的水溶液在药剂间</w:t>
      </w:r>
      <w:r>
        <w:rPr>
          <w:rFonts w:ascii="SimSun" w:hAnsi="SimSun" w:eastAsia="SimSun" w:cs="SimSun"/>
          <w:sz w:val="23"/>
          <w:szCs w:val="23"/>
          <w:spacing w:val="16"/>
        </w:rPr>
        <w:t>配药，自动投加到消毒池</w:t>
      </w:r>
      <w:r>
        <w:rPr>
          <w:rFonts w:ascii="SimSun" w:hAnsi="SimSun" w:eastAsia="SimSun" w:cs="SimSun"/>
          <w:sz w:val="23"/>
          <w:szCs w:val="23"/>
        </w:rPr>
        <w:t xml:space="preserve"> </w:t>
      </w:r>
      <w:r>
        <w:rPr>
          <w:rFonts w:ascii="SimSun" w:hAnsi="SimSun" w:eastAsia="SimSun" w:cs="SimSun"/>
          <w:sz w:val="23"/>
          <w:szCs w:val="23"/>
          <w:spacing w:val="11"/>
        </w:rPr>
        <w:t>中，药剂与废水在消毒池中折回流动，与废水充分接触，有效氯10</w:t>
      </w:r>
      <w:r>
        <w:rPr>
          <w:rFonts w:ascii="SimSun" w:hAnsi="SimSun" w:eastAsia="SimSun" w:cs="SimSun"/>
          <w:sz w:val="23"/>
          <w:szCs w:val="23"/>
        </w:rPr>
        <w:t>mg</w:t>
      </w:r>
      <w:r>
        <w:rPr>
          <w:rFonts w:ascii="SimSun" w:hAnsi="SimSun" w:eastAsia="SimSun" w:cs="SimSun"/>
          <w:sz w:val="23"/>
          <w:szCs w:val="23"/>
          <w:spacing w:val="11"/>
        </w:rPr>
        <w:t>/L,</w:t>
      </w:r>
      <w:r>
        <w:rPr>
          <w:rFonts w:ascii="SimSun" w:hAnsi="SimSun" w:eastAsia="SimSun" w:cs="SimSun"/>
          <w:sz w:val="23"/>
          <w:szCs w:val="23"/>
          <w:spacing w:val="74"/>
        </w:rPr>
        <w:t xml:space="preserve"> </w:t>
      </w:r>
      <w:r>
        <w:rPr>
          <w:rFonts w:ascii="SimSun" w:hAnsi="SimSun" w:eastAsia="SimSun" w:cs="SimSun"/>
          <w:sz w:val="23"/>
          <w:szCs w:val="23"/>
          <w:spacing w:val="11"/>
        </w:rPr>
        <w:t>停留</w:t>
      </w:r>
      <w:r>
        <w:rPr>
          <w:rFonts w:ascii="SimSun" w:hAnsi="SimSun" w:eastAsia="SimSun" w:cs="SimSun"/>
          <w:sz w:val="23"/>
          <w:szCs w:val="23"/>
        </w:rPr>
        <w:t xml:space="preserve"> </w:t>
      </w:r>
      <w:r>
        <w:rPr>
          <w:rFonts w:ascii="SimSun" w:hAnsi="SimSun" w:eastAsia="SimSun" w:cs="SimSun"/>
          <w:sz w:val="23"/>
          <w:szCs w:val="23"/>
          <w:spacing w:val="10"/>
        </w:rPr>
        <w:t>时间在2小时以上，保证消毒效果。次氯酸钠在水中水解出次氯酸，次氯酸再进</w:t>
      </w:r>
      <w:r>
        <w:rPr>
          <w:rFonts w:ascii="SimSun" w:hAnsi="SimSun" w:eastAsia="SimSun" w:cs="SimSun"/>
          <w:sz w:val="23"/>
          <w:szCs w:val="23"/>
          <w:spacing w:val="3"/>
        </w:rPr>
        <w:t xml:space="preserve"> </w:t>
      </w:r>
      <w:r>
        <w:rPr>
          <w:rFonts w:ascii="SimSun" w:hAnsi="SimSun" w:eastAsia="SimSun" w:cs="SimSun"/>
          <w:sz w:val="23"/>
          <w:szCs w:val="23"/>
          <w:spacing w:val="14"/>
        </w:rPr>
        <w:t>一步分解形成新生态氧，新生态氧的极强氧化性使菌体和病毒上</w:t>
      </w:r>
      <w:r>
        <w:rPr>
          <w:rFonts w:ascii="SimSun" w:hAnsi="SimSun" w:eastAsia="SimSun" w:cs="SimSun"/>
          <w:sz w:val="23"/>
          <w:szCs w:val="23"/>
          <w:spacing w:val="13"/>
        </w:rPr>
        <w:t>的蛋白质等物</w:t>
      </w:r>
      <w:r>
        <w:rPr>
          <w:rFonts w:ascii="SimSun" w:hAnsi="SimSun" w:eastAsia="SimSun" w:cs="SimSun"/>
          <w:sz w:val="23"/>
          <w:szCs w:val="23"/>
        </w:rPr>
        <w:t xml:space="preserve"> </w:t>
      </w:r>
      <w:r>
        <w:rPr>
          <w:rFonts w:ascii="SimSun" w:hAnsi="SimSun" w:eastAsia="SimSun" w:cs="SimSun"/>
          <w:sz w:val="23"/>
          <w:szCs w:val="23"/>
          <w:spacing w:val="13"/>
        </w:rPr>
        <w:t>质变性，从而致死病原微生物，该消毒过程对菌体和病毒杀灭效果达99.75</w:t>
      </w:r>
      <w:r>
        <w:rPr>
          <w:rFonts w:ascii="SimSun" w:hAnsi="SimSun" w:eastAsia="SimSun" w:cs="SimSun"/>
          <w:sz w:val="23"/>
          <w:szCs w:val="23"/>
          <w:spacing w:val="12"/>
        </w:rPr>
        <w:t>%以</w:t>
      </w:r>
      <w:r>
        <w:rPr>
          <w:rFonts w:ascii="SimSun" w:hAnsi="SimSun" w:eastAsia="SimSun" w:cs="SimSun"/>
          <w:sz w:val="23"/>
          <w:szCs w:val="23"/>
        </w:rPr>
        <w:t xml:space="preserve"> </w:t>
      </w:r>
      <w:r>
        <w:rPr>
          <w:rFonts w:ascii="SimSun" w:hAnsi="SimSun" w:eastAsia="SimSun" w:cs="SimSun"/>
          <w:sz w:val="23"/>
          <w:szCs w:val="23"/>
          <w:spacing w:val="-6"/>
        </w:rPr>
        <w:t>上</w:t>
      </w:r>
      <w:r>
        <w:rPr>
          <w:rFonts w:ascii="SimSun" w:hAnsi="SimSun" w:eastAsia="SimSun" w:cs="SimSun"/>
          <w:sz w:val="23"/>
          <w:szCs w:val="23"/>
          <w:spacing w:val="-56"/>
        </w:rPr>
        <w:t xml:space="preserve"> </w:t>
      </w:r>
      <w:r>
        <w:rPr>
          <w:rFonts w:ascii="SimSun" w:hAnsi="SimSun" w:eastAsia="SimSun" w:cs="SimSun"/>
          <w:sz w:val="23"/>
          <w:szCs w:val="23"/>
          <w:spacing w:val="-6"/>
        </w:rPr>
        <w:t>。</w:t>
      </w:r>
    </w:p>
    <w:p>
      <w:pPr>
        <w:ind w:left="603"/>
        <w:spacing w:line="219" w:lineRule="auto"/>
        <w:rPr>
          <w:rFonts w:ascii="SimSun" w:hAnsi="SimSun" w:eastAsia="SimSun" w:cs="SimSun"/>
          <w:sz w:val="23"/>
          <w:szCs w:val="23"/>
        </w:rPr>
      </w:pPr>
      <w:r>
        <w:rPr>
          <w:rFonts w:ascii="SimSun" w:hAnsi="SimSun" w:eastAsia="SimSun" w:cs="SimSun"/>
          <w:sz w:val="23"/>
          <w:szCs w:val="23"/>
          <w:b/>
          <w:bCs/>
          <w:spacing w:val="17"/>
        </w:rPr>
        <w:t>(4)人员防护及消毒</w:t>
      </w:r>
    </w:p>
    <w:p>
      <w:pPr>
        <w:ind w:right="48" w:firstLine="470"/>
        <w:spacing w:before="218" w:line="369" w:lineRule="auto"/>
        <w:jc w:val="both"/>
        <w:rPr>
          <w:rFonts w:ascii="SimSun" w:hAnsi="SimSun" w:eastAsia="SimSun" w:cs="SimSun"/>
          <w:sz w:val="23"/>
          <w:szCs w:val="23"/>
        </w:rPr>
      </w:pPr>
      <w:r>
        <w:rPr>
          <w:rFonts w:ascii="SimSun" w:hAnsi="SimSun" w:eastAsia="SimSun" w:cs="SimSun"/>
          <w:sz w:val="23"/>
          <w:szCs w:val="23"/>
          <w:spacing w:val="14"/>
        </w:rPr>
        <w:t>操作工作人员应经过专业培训，掌握相应的动物防疫和环保知识，身体健</w:t>
      </w:r>
      <w:r>
        <w:rPr>
          <w:rFonts w:ascii="SimSun" w:hAnsi="SimSun" w:eastAsia="SimSun" w:cs="SimSun"/>
          <w:sz w:val="23"/>
          <w:szCs w:val="23"/>
          <w:spacing w:val="9"/>
        </w:rPr>
        <w:t xml:space="preserve"> </w:t>
      </w:r>
      <w:r>
        <w:rPr>
          <w:rFonts w:ascii="SimSun" w:hAnsi="SimSun" w:eastAsia="SimSun" w:cs="SimSun"/>
          <w:sz w:val="23"/>
          <w:szCs w:val="23"/>
          <w:spacing w:val="14"/>
        </w:rPr>
        <w:t>康且无外伤。工作人员在操作过程中应穿戴防护服、口罩、</w:t>
      </w:r>
      <w:r>
        <w:rPr>
          <w:rFonts w:ascii="SimSun" w:hAnsi="SimSun" w:eastAsia="SimSun" w:cs="SimSun"/>
          <w:sz w:val="23"/>
          <w:szCs w:val="23"/>
          <w:spacing w:val="13"/>
        </w:rPr>
        <w:t>护目镜、胶鞋及手</w:t>
      </w:r>
      <w:r>
        <w:rPr>
          <w:rFonts w:ascii="SimSun" w:hAnsi="SimSun" w:eastAsia="SimSun" w:cs="SimSun"/>
          <w:sz w:val="23"/>
          <w:szCs w:val="23"/>
        </w:rPr>
        <w:t xml:space="preserve"> </w:t>
      </w:r>
      <w:r>
        <w:rPr>
          <w:rFonts w:ascii="SimSun" w:hAnsi="SimSun" w:eastAsia="SimSun" w:cs="SimSun"/>
          <w:sz w:val="23"/>
          <w:szCs w:val="23"/>
          <w:spacing w:val="14"/>
        </w:rPr>
        <w:t>套等防护用具。工作人员进入生产区前先淋浴、更衣，员工进出生产车</w:t>
      </w:r>
      <w:r>
        <w:rPr>
          <w:rFonts w:ascii="SimSun" w:hAnsi="SimSun" w:eastAsia="SimSun" w:cs="SimSun"/>
          <w:sz w:val="23"/>
          <w:szCs w:val="23"/>
          <w:spacing w:val="13"/>
        </w:rPr>
        <w:t>间均需</w:t>
      </w:r>
      <w:r>
        <w:rPr>
          <w:rFonts w:ascii="SimSun" w:hAnsi="SimSun" w:eastAsia="SimSun" w:cs="SimSun"/>
          <w:sz w:val="23"/>
          <w:szCs w:val="23"/>
        </w:rPr>
        <w:t xml:space="preserve"> </w:t>
      </w:r>
      <w:r>
        <w:rPr>
          <w:rFonts w:ascii="SimSun" w:hAnsi="SimSun" w:eastAsia="SimSun" w:cs="SimSun"/>
          <w:sz w:val="23"/>
          <w:szCs w:val="23"/>
          <w:spacing w:val="7"/>
        </w:rPr>
        <w:t>消毒，消毒剂采用聚维酮碘。</w:t>
      </w:r>
    </w:p>
    <w:p>
      <w:pPr>
        <w:ind w:left="603"/>
        <w:spacing w:line="219" w:lineRule="auto"/>
        <w:rPr>
          <w:rFonts w:ascii="SimSun" w:hAnsi="SimSun" w:eastAsia="SimSun" w:cs="SimSun"/>
          <w:sz w:val="23"/>
          <w:szCs w:val="23"/>
        </w:rPr>
      </w:pPr>
      <w:r>
        <w:rPr>
          <w:rFonts w:ascii="SimSun" w:hAnsi="SimSun" w:eastAsia="SimSun" w:cs="SimSun"/>
          <w:sz w:val="23"/>
          <w:szCs w:val="23"/>
          <w:b/>
          <w:bCs/>
          <w:spacing w:val="17"/>
        </w:rPr>
        <w:t>(5)发生疫情时消毒</w:t>
      </w:r>
    </w:p>
    <w:p>
      <w:pPr>
        <w:spacing w:line="219" w:lineRule="auto"/>
        <w:sectPr>
          <w:headerReference w:type="default" r:id="rId13"/>
          <w:footerReference w:type="default" r:id="rId237"/>
          <w:pgSz w:w="11910" w:h="16840"/>
          <w:pgMar w:top="1219" w:right="1786" w:bottom="990" w:left="1779" w:header="865" w:footer="766" w:gutter="0"/>
        </w:sectPr>
        <w:rPr>
          <w:rFonts w:ascii="SimSun" w:hAnsi="SimSun" w:eastAsia="SimSun" w:cs="SimSun"/>
          <w:sz w:val="23"/>
          <w:szCs w:val="23"/>
        </w:rPr>
      </w:pPr>
    </w:p>
    <w:p>
      <w:pPr>
        <w:ind w:left="9" w:right="22" w:firstLine="460"/>
        <w:spacing w:before="270" w:line="365" w:lineRule="auto"/>
        <w:jc w:val="both"/>
        <w:rPr>
          <w:rFonts w:ascii="SimSun" w:hAnsi="SimSun" w:eastAsia="SimSun" w:cs="SimSun"/>
          <w:sz w:val="24"/>
          <w:szCs w:val="24"/>
        </w:rPr>
      </w:pPr>
      <w:r>
        <w:rPr>
          <w:rFonts w:ascii="SimSun" w:hAnsi="SimSun" w:eastAsia="SimSun" w:cs="SimSun"/>
          <w:sz w:val="24"/>
          <w:szCs w:val="24"/>
          <w:spacing w:val="5"/>
        </w:rPr>
        <w:t>增加消毒频次、消毒剂浓度及用量和作用时间；发生高致病性禽流感时消</w:t>
      </w:r>
      <w:r>
        <w:rPr>
          <w:rFonts w:ascii="SimSun" w:hAnsi="SimSun" w:eastAsia="SimSun" w:cs="SimSun"/>
          <w:sz w:val="24"/>
          <w:szCs w:val="24"/>
          <w:spacing w:val="2"/>
        </w:rPr>
        <w:t xml:space="preserve"> </w:t>
      </w:r>
      <w:r>
        <w:rPr>
          <w:rFonts w:ascii="SimSun" w:hAnsi="SimSun" w:eastAsia="SimSun" w:cs="SimSun"/>
          <w:sz w:val="24"/>
          <w:szCs w:val="24"/>
          <w:spacing w:val="2"/>
        </w:rPr>
        <w:t>毒按</w:t>
      </w:r>
      <w:r>
        <w:rPr>
          <w:rFonts w:ascii="Times New Roman" w:hAnsi="Times New Roman" w:eastAsia="Times New Roman" w:cs="Times New Roman"/>
          <w:sz w:val="24"/>
          <w:szCs w:val="24"/>
        </w:rPr>
        <w:t>NY</w:t>
      </w:r>
      <w:r>
        <w:rPr>
          <w:rFonts w:ascii="Times New Roman" w:hAnsi="Times New Roman" w:eastAsia="Times New Roman" w:cs="Times New Roman"/>
          <w:sz w:val="24"/>
          <w:szCs w:val="24"/>
          <w:spacing w:val="2"/>
        </w:rPr>
        <w:t>/T767</w:t>
      </w:r>
      <w:r>
        <w:rPr>
          <w:rFonts w:ascii="SimSun" w:hAnsi="SimSun" w:eastAsia="SimSun" w:cs="SimSun"/>
          <w:sz w:val="24"/>
          <w:szCs w:val="24"/>
          <w:spacing w:val="2"/>
        </w:rPr>
        <w:t>规定执行，发生口蹄疫时的消毒按照</w:t>
      </w:r>
      <w:r>
        <w:rPr>
          <w:rFonts w:ascii="Times New Roman" w:hAnsi="Times New Roman" w:eastAsia="Times New Roman" w:cs="Times New Roman"/>
          <w:sz w:val="24"/>
          <w:szCs w:val="24"/>
        </w:rPr>
        <w:t>NY</w:t>
      </w:r>
      <w:r>
        <w:rPr>
          <w:rFonts w:ascii="Times New Roman" w:hAnsi="Times New Roman" w:eastAsia="Times New Roman" w:cs="Times New Roman"/>
          <w:sz w:val="24"/>
          <w:szCs w:val="24"/>
          <w:spacing w:val="2"/>
        </w:rPr>
        <w:t>/T1956</w:t>
      </w:r>
      <w:r>
        <w:rPr>
          <w:rFonts w:ascii="SimSun" w:hAnsi="SimSun" w:eastAsia="SimSun" w:cs="SimSun"/>
          <w:sz w:val="24"/>
          <w:szCs w:val="24"/>
          <w:spacing w:val="2"/>
        </w:rPr>
        <w:t>的规定执行，发生</w:t>
      </w:r>
      <w:r>
        <w:rPr>
          <w:rFonts w:ascii="SimSun" w:hAnsi="SimSun" w:eastAsia="SimSun" w:cs="SimSun"/>
          <w:sz w:val="24"/>
          <w:szCs w:val="24"/>
          <w:spacing w:val="16"/>
        </w:rPr>
        <w:t xml:space="preserve"> </w:t>
      </w:r>
      <w:r>
        <w:rPr>
          <w:rFonts w:ascii="SimSun" w:hAnsi="SimSun" w:eastAsia="SimSun" w:cs="SimSun"/>
          <w:sz w:val="24"/>
          <w:szCs w:val="24"/>
          <w:spacing w:val="4"/>
        </w:rPr>
        <w:t>非洲猪瘟时的消毒按照农业农村部发布的非洲猪瘟疫情应急实施方案中的有关</w:t>
      </w:r>
      <w:r>
        <w:rPr>
          <w:rFonts w:ascii="SimSun" w:hAnsi="SimSun" w:eastAsia="SimSun" w:cs="SimSun"/>
          <w:sz w:val="24"/>
          <w:szCs w:val="24"/>
          <w:spacing w:val="14"/>
        </w:rPr>
        <w:t xml:space="preserve"> </w:t>
      </w:r>
      <w:r>
        <w:rPr>
          <w:rFonts w:ascii="SimSun" w:hAnsi="SimSun" w:eastAsia="SimSun" w:cs="SimSun"/>
          <w:sz w:val="24"/>
          <w:szCs w:val="24"/>
          <w:spacing w:val="-1"/>
        </w:rPr>
        <w:t>消毒规范执行，发生其他疫情时的消毒应按国家相以规量执行。</w:t>
      </w:r>
    </w:p>
    <w:p>
      <w:pPr>
        <w:ind w:left="473"/>
        <w:spacing w:line="219" w:lineRule="auto"/>
        <w:rPr>
          <w:rFonts w:ascii="SimSun" w:hAnsi="SimSun" w:eastAsia="SimSun" w:cs="SimSun"/>
          <w:sz w:val="24"/>
          <w:szCs w:val="24"/>
        </w:rPr>
      </w:pPr>
      <w:r>
        <w:rPr>
          <w:rFonts w:ascii="SimSun" w:hAnsi="SimSun" w:eastAsia="SimSun" w:cs="SimSun"/>
          <w:sz w:val="24"/>
          <w:szCs w:val="24"/>
          <w:b/>
          <w:bCs/>
          <w:spacing w:val="3"/>
        </w:rPr>
        <w:t>2、检疫</w:t>
      </w:r>
    </w:p>
    <w:p>
      <w:pPr>
        <w:ind w:left="9" w:right="62" w:firstLine="460"/>
        <w:spacing w:before="157" w:line="354" w:lineRule="auto"/>
        <w:rPr>
          <w:rFonts w:ascii="SimSun" w:hAnsi="SimSun" w:eastAsia="SimSun" w:cs="SimSun"/>
          <w:sz w:val="24"/>
          <w:szCs w:val="24"/>
        </w:rPr>
      </w:pPr>
      <w:r>
        <w:rPr>
          <w:rFonts w:ascii="SimSun" w:hAnsi="SimSun" w:eastAsia="SimSun" w:cs="SimSun"/>
          <w:sz w:val="24"/>
          <w:szCs w:val="24"/>
          <w:spacing w:val="7"/>
        </w:rPr>
        <w:t>按照《动物防疫条件审查办法》(农业农村部令2022年第8号)、《动物检</w:t>
      </w:r>
      <w:r>
        <w:rPr>
          <w:rFonts w:ascii="SimSun" w:hAnsi="SimSun" w:eastAsia="SimSun" w:cs="SimSun"/>
          <w:sz w:val="24"/>
          <w:szCs w:val="24"/>
          <w:spacing w:val="4"/>
        </w:rPr>
        <w:t xml:space="preserve"> </w:t>
      </w:r>
      <w:r>
        <w:rPr>
          <w:rFonts w:ascii="SimSun" w:hAnsi="SimSun" w:eastAsia="SimSun" w:cs="SimSun"/>
          <w:sz w:val="24"/>
          <w:szCs w:val="24"/>
          <w:spacing w:val="7"/>
        </w:rPr>
        <w:t>疫管理办法》(农业农村部令2022年第77号)、《生猪屠宰检疫规范》</w:t>
      </w:r>
    </w:p>
    <w:p>
      <w:pPr>
        <w:ind w:left="130"/>
        <w:spacing w:line="219" w:lineRule="auto"/>
        <w:rPr>
          <w:rFonts w:ascii="SimSun" w:hAnsi="SimSun" w:eastAsia="SimSun" w:cs="SimSun"/>
          <w:sz w:val="24"/>
          <w:szCs w:val="24"/>
        </w:rPr>
      </w:pPr>
      <w:r>
        <w:rPr>
          <w:rFonts w:ascii="SimSun" w:hAnsi="SimSun" w:eastAsia="SimSun" w:cs="SimSun"/>
          <w:sz w:val="24"/>
          <w:szCs w:val="24"/>
          <w:spacing w:val="-3"/>
        </w:rPr>
        <w:t>(NY/T909-2004)、《</w:t>
      </w:r>
      <w:r>
        <w:rPr>
          <w:rFonts w:ascii="SimSun" w:hAnsi="SimSun" w:eastAsia="SimSun" w:cs="SimSun"/>
          <w:sz w:val="24"/>
          <w:szCs w:val="24"/>
          <w:spacing w:val="82"/>
        </w:rPr>
        <w:t xml:space="preserve"> </w:t>
      </w:r>
      <w:r>
        <w:rPr>
          <w:rFonts w:ascii="SimSun" w:hAnsi="SimSun" w:eastAsia="SimSun" w:cs="SimSun"/>
          <w:sz w:val="24"/>
          <w:szCs w:val="24"/>
          <w:spacing w:val="-3"/>
        </w:rPr>
        <w:t>生猪屠宰产品品质检验规程》 (GB/T179</w:t>
      </w:r>
      <w:r>
        <w:rPr>
          <w:rFonts w:ascii="SimSun" w:hAnsi="SimSun" w:eastAsia="SimSun" w:cs="SimSun"/>
          <w:sz w:val="24"/>
          <w:szCs w:val="24"/>
          <w:spacing w:val="-4"/>
        </w:rPr>
        <w:t>96-1999)、</w:t>
      </w:r>
    </w:p>
    <w:p>
      <w:pPr>
        <w:ind w:left="8" w:right="263" w:hanging="9"/>
        <w:spacing w:before="175" w:line="351" w:lineRule="auto"/>
        <w:rPr>
          <w:rFonts w:ascii="SimSun" w:hAnsi="SimSun" w:eastAsia="SimSun" w:cs="SimSun"/>
          <w:sz w:val="24"/>
          <w:szCs w:val="24"/>
        </w:rPr>
      </w:pPr>
      <w:r>
        <w:rPr>
          <w:rFonts w:ascii="SimSun" w:hAnsi="SimSun" w:eastAsia="SimSun" w:cs="SimSun"/>
          <w:sz w:val="24"/>
          <w:szCs w:val="24"/>
          <w:spacing w:val="7"/>
        </w:rPr>
        <w:t>《生猪屠宰检疫规程》(农牧发[2023]16号)、《牛屠宰检</w:t>
      </w:r>
      <w:r>
        <w:rPr>
          <w:rFonts w:ascii="SimSun" w:hAnsi="SimSun" w:eastAsia="SimSun" w:cs="SimSun"/>
          <w:sz w:val="24"/>
          <w:szCs w:val="24"/>
          <w:spacing w:val="6"/>
        </w:rPr>
        <w:t>疫规程》(农牧发</w:t>
      </w:r>
      <w:r>
        <w:rPr>
          <w:rFonts w:ascii="SimSun" w:hAnsi="SimSun" w:eastAsia="SimSun" w:cs="SimSun"/>
          <w:sz w:val="24"/>
          <w:szCs w:val="24"/>
        </w:rPr>
        <w:t xml:space="preserve"> </w:t>
      </w:r>
      <w:r>
        <w:rPr>
          <w:rFonts w:ascii="SimSun" w:hAnsi="SimSun" w:eastAsia="SimSun" w:cs="SimSun"/>
          <w:sz w:val="24"/>
          <w:szCs w:val="24"/>
          <w:spacing w:val="-2"/>
        </w:rPr>
        <w:t>[2023]16号)、《牛羊屠宰产品品</w:t>
      </w:r>
      <w:r>
        <w:rPr>
          <w:rFonts w:ascii="SimSun" w:hAnsi="SimSun" w:eastAsia="SimSun" w:cs="SimSun"/>
          <w:sz w:val="24"/>
          <w:szCs w:val="24"/>
          <w:spacing w:val="-3"/>
        </w:rPr>
        <w:t>质检验规程》</w:t>
      </w:r>
      <w:r>
        <w:rPr>
          <w:rFonts w:ascii="Times New Roman" w:hAnsi="Times New Roman" w:eastAsia="Times New Roman" w:cs="Times New Roman"/>
          <w:sz w:val="24"/>
          <w:szCs w:val="24"/>
          <w:spacing w:val="-3"/>
        </w:rPr>
        <w:t>(GB   18393-2001)</w:t>
      </w:r>
      <w:r>
        <w:rPr>
          <w:rFonts w:ascii="SimSun" w:hAnsi="SimSun" w:eastAsia="SimSun" w:cs="SimSun"/>
          <w:sz w:val="24"/>
          <w:szCs w:val="24"/>
          <w:spacing w:val="-3"/>
        </w:rPr>
        <w:t>、有关规定，</w:t>
      </w:r>
      <w:r>
        <w:rPr>
          <w:rFonts w:ascii="SimSun" w:hAnsi="SimSun" w:eastAsia="SimSun" w:cs="SimSun"/>
          <w:sz w:val="24"/>
          <w:szCs w:val="24"/>
        </w:rPr>
        <w:t xml:space="preserve"> </w:t>
      </w:r>
      <w:r>
        <w:rPr>
          <w:rFonts w:ascii="SimSun" w:hAnsi="SimSun" w:eastAsia="SimSun" w:cs="SimSun"/>
          <w:sz w:val="24"/>
          <w:szCs w:val="24"/>
          <w:spacing w:val="-3"/>
        </w:rPr>
        <w:t>进行检疫，主要包含宰前检疫和宰后检疫。</w:t>
      </w:r>
    </w:p>
    <w:p>
      <w:pPr>
        <w:ind w:left="613"/>
        <w:spacing w:before="28" w:line="219" w:lineRule="auto"/>
        <w:rPr>
          <w:rFonts w:ascii="SimSun" w:hAnsi="SimSun" w:eastAsia="SimSun" w:cs="SimSun"/>
          <w:sz w:val="24"/>
          <w:szCs w:val="24"/>
        </w:rPr>
      </w:pPr>
      <w:r>
        <w:rPr>
          <w:rFonts w:ascii="SimSun" w:hAnsi="SimSun" w:eastAsia="SimSun" w:cs="SimSun"/>
          <w:sz w:val="24"/>
          <w:szCs w:val="24"/>
          <w:b/>
          <w:bCs/>
          <w:spacing w:val="16"/>
        </w:rPr>
        <w:t>(1)卫生条件</w:t>
      </w:r>
    </w:p>
    <w:p>
      <w:pPr>
        <w:ind w:left="9" w:right="73" w:firstLine="460"/>
        <w:spacing w:before="191" w:line="372" w:lineRule="auto"/>
        <w:rPr>
          <w:rFonts w:ascii="SimSun" w:hAnsi="SimSun" w:eastAsia="SimSun" w:cs="SimSun"/>
          <w:sz w:val="24"/>
          <w:szCs w:val="24"/>
        </w:rPr>
      </w:pPr>
      <w:r>
        <w:rPr>
          <w:rFonts w:ascii="SimSun" w:hAnsi="SimSun" w:eastAsia="SimSun" w:cs="SimSun"/>
          <w:sz w:val="24"/>
          <w:szCs w:val="24"/>
          <w:spacing w:val="5"/>
        </w:rPr>
        <w:t>根据《食品安全国家标准畜禽屠宰加工卫生规范》</w:t>
      </w:r>
      <w:r>
        <w:rPr>
          <w:rFonts w:ascii="SimSun" w:hAnsi="SimSun" w:eastAsia="SimSun" w:cs="SimSun"/>
          <w:sz w:val="24"/>
          <w:szCs w:val="24"/>
          <w:spacing w:val="80"/>
        </w:rPr>
        <w:t xml:space="preserve"> </w:t>
      </w:r>
      <w:r>
        <w:rPr>
          <w:rFonts w:ascii="Times New Roman" w:hAnsi="Times New Roman" w:eastAsia="Times New Roman" w:cs="Times New Roman"/>
          <w:sz w:val="24"/>
          <w:szCs w:val="24"/>
          <w:spacing w:val="5"/>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5"/>
        </w:rPr>
        <w:t>12694-</w:t>
      </w:r>
      <w:r>
        <w:rPr>
          <w:rFonts w:ascii="Times New Roman" w:hAnsi="Times New Roman" w:eastAsia="Times New Roman" w:cs="Times New Roman"/>
          <w:sz w:val="24"/>
          <w:szCs w:val="24"/>
          <w:spacing w:val="4"/>
        </w:rPr>
        <w:t>2016)    </w:t>
      </w:r>
      <w:r>
        <w:rPr>
          <w:rFonts w:ascii="SimSun" w:hAnsi="SimSun" w:eastAsia="SimSun" w:cs="SimSun"/>
          <w:sz w:val="24"/>
          <w:szCs w:val="24"/>
          <w:spacing w:val="4"/>
        </w:rPr>
        <w:t>要</w:t>
      </w:r>
      <w:r>
        <w:rPr>
          <w:rFonts w:ascii="SimSun" w:hAnsi="SimSun" w:eastAsia="SimSun" w:cs="SimSun"/>
          <w:sz w:val="24"/>
          <w:szCs w:val="24"/>
        </w:rPr>
        <w:t xml:space="preserve"> </w:t>
      </w:r>
      <w:r>
        <w:rPr>
          <w:rFonts w:ascii="SimSun" w:hAnsi="SimSun" w:eastAsia="SimSun" w:cs="SimSun"/>
          <w:sz w:val="24"/>
          <w:szCs w:val="24"/>
          <w:spacing w:val="-8"/>
        </w:rPr>
        <w:t>求：</w:t>
      </w:r>
    </w:p>
    <w:p>
      <w:pPr>
        <w:ind w:left="9" w:right="61" w:firstLine="460"/>
        <w:spacing w:before="2" w:line="282" w:lineRule="auto"/>
        <w:rPr>
          <w:rFonts w:ascii="SimSun" w:hAnsi="SimSun" w:eastAsia="SimSun" w:cs="SimSun"/>
          <w:sz w:val="24"/>
          <w:szCs w:val="24"/>
        </w:rPr>
      </w:pPr>
      <w:r>
        <w:rPr>
          <w:rFonts w:ascii="SimSun" w:hAnsi="SimSun" w:eastAsia="SimSun" w:cs="SimSun"/>
          <w:sz w:val="24"/>
          <w:szCs w:val="24"/>
          <w:spacing w:val="4"/>
        </w:rPr>
        <w:t>1)厂区远离污染源，厂区内部划分为生产区和非生产区，活畜禽、废弃物</w:t>
      </w:r>
      <w:r>
        <w:rPr>
          <w:rFonts w:ascii="SimSun" w:hAnsi="SimSun" w:eastAsia="SimSun" w:cs="SimSun"/>
          <w:sz w:val="24"/>
          <w:szCs w:val="24"/>
        </w:rPr>
        <w:t xml:space="preserve"> </w:t>
      </w:r>
      <w:r>
        <w:rPr>
          <w:rFonts w:ascii="SimSun" w:hAnsi="SimSun" w:eastAsia="SimSun" w:cs="SimSun"/>
          <w:sz w:val="24"/>
          <w:szCs w:val="24"/>
          <w:spacing w:val="-2"/>
        </w:rPr>
        <w:t>运送与成品出厂不共用一个出入口；</w:t>
      </w:r>
    </w:p>
    <w:p>
      <w:pPr>
        <w:ind w:left="9" w:right="40" w:firstLine="460"/>
        <w:spacing w:before="185" w:line="314" w:lineRule="auto"/>
        <w:rPr>
          <w:rFonts w:ascii="SimSun" w:hAnsi="SimSun" w:eastAsia="SimSun" w:cs="SimSun"/>
          <w:sz w:val="24"/>
          <w:szCs w:val="24"/>
        </w:rPr>
      </w:pPr>
      <w:r>
        <w:rPr>
          <w:rFonts w:ascii="SimSun" w:hAnsi="SimSun" w:eastAsia="SimSun" w:cs="SimSun"/>
          <w:sz w:val="24"/>
          <w:szCs w:val="24"/>
          <w:spacing w:val="5"/>
        </w:rPr>
        <w:t>2)在车间出入口设置洗手及消毒设施，不</w:t>
      </w:r>
      <w:r>
        <w:rPr>
          <w:rFonts w:ascii="SimSun" w:hAnsi="SimSun" w:eastAsia="SimSun" w:cs="SimSun"/>
          <w:sz w:val="24"/>
          <w:szCs w:val="24"/>
          <w:spacing w:val="4"/>
        </w:rPr>
        <w:t>同清洁程度要求的区域设有单独</w:t>
      </w:r>
      <w:r>
        <w:rPr>
          <w:rFonts w:ascii="SimSun" w:hAnsi="SimSun" w:eastAsia="SimSun" w:cs="SimSun"/>
          <w:sz w:val="24"/>
          <w:szCs w:val="24"/>
        </w:rPr>
        <w:t xml:space="preserve"> </w:t>
      </w:r>
      <w:r>
        <w:rPr>
          <w:rFonts w:ascii="SimSun" w:hAnsi="SimSun" w:eastAsia="SimSun" w:cs="SimSun"/>
          <w:sz w:val="24"/>
          <w:szCs w:val="24"/>
          <w:spacing w:val="4"/>
        </w:rPr>
        <w:t>的更衣室，个人衣物与工作服分开存放；卫生间内设置排气通风设施</w:t>
      </w:r>
      <w:r>
        <w:rPr>
          <w:rFonts w:ascii="SimSun" w:hAnsi="SimSun" w:eastAsia="SimSun" w:cs="SimSun"/>
          <w:sz w:val="24"/>
          <w:szCs w:val="24"/>
          <w:spacing w:val="3"/>
        </w:rPr>
        <w:t>和防蝇防</w:t>
      </w:r>
      <w:r>
        <w:rPr>
          <w:rFonts w:ascii="SimSun" w:hAnsi="SimSun" w:eastAsia="SimSun" w:cs="SimSun"/>
          <w:sz w:val="24"/>
          <w:szCs w:val="24"/>
        </w:rPr>
        <w:t xml:space="preserve"> </w:t>
      </w:r>
      <w:r>
        <w:rPr>
          <w:rFonts w:ascii="SimSun" w:hAnsi="SimSun" w:eastAsia="SimSun" w:cs="SimSun"/>
          <w:sz w:val="24"/>
          <w:szCs w:val="24"/>
          <w:spacing w:val="-2"/>
        </w:rPr>
        <w:t>虫设施，卫生间不与屠宰加工、包装或贮存等区域直接连接。</w:t>
      </w:r>
    </w:p>
    <w:p>
      <w:pPr>
        <w:ind w:left="470"/>
        <w:spacing w:before="206" w:line="219" w:lineRule="auto"/>
        <w:rPr>
          <w:rFonts w:ascii="SimSun" w:hAnsi="SimSun" w:eastAsia="SimSun" w:cs="SimSun"/>
          <w:sz w:val="24"/>
          <w:szCs w:val="24"/>
        </w:rPr>
      </w:pPr>
      <w:r>
        <w:rPr>
          <w:rFonts w:ascii="SimSun" w:hAnsi="SimSun" w:eastAsia="SimSun" w:cs="SimSun"/>
          <w:sz w:val="24"/>
          <w:szCs w:val="24"/>
        </w:rPr>
        <w:t>3)厂区运输出入口设置与门窗同宽、长4</w:t>
      </w:r>
      <w:r>
        <w:rPr>
          <w:rFonts w:ascii="Times New Roman" w:hAnsi="Times New Roman" w:eastAsia="Times New Roman" w:cs="Times New Roman"/>
          <w:sz w:val="24"/>
          <w:szCs w:val="24"/>
        </w:rPr>
        <w:t>m</w:t>
      </w:r>
      <w:r>
        <w:rPr>
          <w:rFonts w:ascii="SimSun" w:hAnsi="SimSun" w:eastAsia="SimSun" w:cs="SimSun"/>
          <w:sz w:val="24"/>
          <w:szCs w:val="24"/>
        </w:rPr>
        <w:t>、深0.3</w:t>
      </w:r>
      <w:r>
        <w:rPr>
          <w:rFonts w:ascii="Times New Roman" w:hAnsi="Times New Roman" w:eastAsia="Times New Roman" w:cs="Times New Roman"/>
          <w:sz w:val="24"/>
          <w:szCs w:val="24"/>
        </w:rPr>
        <w:t>m</w:t>
      </w:r>
      <w:r>
        <w:rPr>
          <w:rFonts w:ascii="Times New Roman" w:hAnsi="Times New Roman" w:eastAsia="Times New Roman" w:cs="Times New Roman"/>
          <w:sz w:val="24"/>
          <w:szCs w:val="24"/>
          <w:spacing w:val="-21"/>
        </w:rPr>
        <w:t xml:space="preserve"> </w:t>
      </w:r>
      <w:r>
        <w:rPr>
          <w:rFonts w:ascii="SimSun" w:hAnsi="SimSun" w:eastAsia="SimSun" w:cs="SimSun"/>
          <w:sz w:val="24"/>
          <w:szCs w:val="24"/>
        </w:rPr>
        <w:t>以上的消毒池；</w:t>
      </w:r>
    </w:p>
    <w:p>
      <w:pPr>
        <w:ind w:left="470"/>
        <w:spacing w:before="155" w:line="219" w:lineRule="auto"/>
        <w:rPr>
          <w:rFonts w:ascii="SimSun" w:hAnsi="SimSun" w:eastAsia="SimSun" w:cs="SimSun"/>
          <w:sz w:val="24"/>
          <w:szCs w:val="24"/>
        </w:rPr>
      </w:pPr>
      <w:r>
        <w:rPr>
          <w:rFonts w:ascii="SimSun" w:hAnsi="SimSun" w:eastAsia="SimSun" w:cs="SimSun"/>
          <w:sz w:val="24"/>
          <w:szCs w:val="24"/>
          <w:spacing w:val="3"/>
        </w:rPr>
        <w:t>4)生产车间出入口及车间内设置工作鞋靴消毒设施；</w:t>
      </w:r>
    </w:p>
    <w:p>
      <w:pPr>
        <w:ind w:left="9" w:right="44" w:firstLine="460"/>
        <w:spacing w:before="176" w:line="294" w:lineRule="auto"/>
        <w:rPr>
          <w:rFonts w:ascii="SimSun" w:hAnsi="SimSun" w:eastAsia="SimSun" w:cs="SimSun"/>
          <w:sz w:val="24"/>
          <w:szCs w:val="24"/>
        </w:rPr>
      </w:pPr>
      <w:r>
        <w:rPr>
          <w:rFonts w:ascii="SimSun" w:hAnsi="SimSun" w:eastAsia="SimSun" w:cs="SimSun"/>
          <w:sz w:val="24"/>
          <w:szCs w:val="24"/>
          <w:spacing w:val="4"/>
        </w:rPr>
        <w:t>5)车间内有良好的通风、排气装置，空气流动从清洁区流向非清洁区；冷</w:t>
      </w:r>
      <w:r>
        <w:rPr>
          <w:rFonts w:ascii="SimSun" w:hAnsi="SimSun" w:eastAsia="SimSun" w:cs="SimSun"/>
          <w:sz w:val="24"/>
          <w:szCs w:val="24"/>
          <w:spacing w:val="16"/>
        </w:rPr>
        <w:t xml:space="preserve"> </w:t>
      </w:r>
      <w:r>
        <w:rPr>
          <w:rFonts w:ascii="SimSun" w:hAnsi="SimSun" w:eastAsia="SimSun" w:cs="SimSun"/>
          <w:sz w:val="24"/>
          <w:szCs w:val="24"/>
          <w:spacing w:val="-1"/>
        </w:rPr>
        <w:t>库温度满足冷藏特定要求，冷库内保持整洁、通风、防霉、防鼠、防虫；</w:t>
      </w:r>
    </w:p>
    <w:p>
      <w:pPr>
        <w:ind w:left="470"/>
        <w:spacing w:before="165" w:line="219" w:lineRule="auto"/>
        <w:rPr>
          <w:rFonts w:ascii="SimSun" w:hAnsi="SimSun" w:eastAsia="SimSun" w:cs="SimSun"/>
          <w:sz w:val="24"/>
          <w:szCs w:val="24"/>
        </w:rPr>
      </w:pPr>
      <w:r>
        <w:rPr>
          <w:rFonts w:ascii="SimSun" w:hAnsi="SimSun" w:eastAsia="SimSun" w:cs="SimSun"/>
          <w:sz w:val="24"/>
          <w:szCs w:val="24"/>
          <w:spacing w:val="6"/>
        </w:rPr>
        <w:t>6)车间清洁区和非清洁区分隔。</w:t>
      </w:r>
    </w:p>
    <w:p>
      <w:pPr>
        <w:ind w:left="613"/>
        <w:spacing w:before="172" w:line="219" w:lineRule="auto"/>
        <w:rPr>
          <w:rFonts w:ascii="SimSun" w:hAnsi="SimSun" w:eastAsia="SimSun" w:cs="SimSun"/>
          <w:sz w:val="24"/>
          <w:szCs w:val="24"/>
        </w:rPr>
      </w:pPr>
      <w:r>
        <w:rPr>
          <w:rFonts w:ascii="SimSun" w:hAnsi="SimSun" w:eastAsia="SimSun" w:cs="SimSun"/>
          <w:sz w:val="24"/>
          <w:szCs w:val="24"/>
          <w:b/>
          <w:bCs/>
          <w:spacing w:val="16"/>
        </w:rPr>
        <w:t>(2)屠宰检疫</w:t>
      </w:r>
    </w:p>
    <w:p>
      <w:pPr>
        <w:ind w:left="470"/>
        <w:spacing w:before="175" w:line="219" w:lineRule="auto"/>
        <w:rPr>
          <w:rFonts w:ascii="SimSun" w:hAnsi="SimSun" w:eastAsia="SimSun" w:cs="SimSun"/>
          <w:sz w:val="24"/>
          <w:szCs w:val="24"/>
        </w:rPr>
      </w:pPr>
      <w:r>
        <w:rPr>
          <w:rFonts w:ascii="Times New Roman" w:hAnsi="Times New Roman" w:eastAsia="Times New Roman" w:cs="Times New Roman"/>
          <w:sz w:val="24"/>
          <w:szCs w:val="24"/>
          <w:b/>
          <w:bCs/>
          <w:spacing w:val="-6"/>
        </w:rPr>
        <w:t>A</w:t>
      </w:r>
      <w:r>
        <w:rPr>
          <w:rFonts w:ascii="Times New Roman" w:hAnsi="Times New Roman" w:eastAsia="Times New Roman" w:cs="Times New Roman"/>
          <w:sz w:val="24"/>
          <w:szCs w:val="24"/>
          <w:b/>
          <w:bCs/>
          <w:spacing w:val="-33"/>
        </w:rPr>
        <w:t xml:space="preserve"> </w:t>
      </w:r>
      <w:r>
        <w:rPr>
          <w:rFonts w:ascii="SimSun" w:hAnsi="SimSun" w:eastAsia="SimSun" w:cs="SimSun"/>
          <w:sz w:val="24"/>
          <w:szCs w:val="24"/>
          <w:b/>
          <w:bCs/>
          <w:spacing w:val="-6"/>
        </w:rPr>
        <w:t>、宰前检查</w:t>
      </w:r>
    </w:p>
    <w:p>
      <w:pPr>
        <w:ind w:left="473"/>
        <w:spacing w:before="175" w:line="219" w:lineRule="auto"/>
        <w:rPr>
          <w:rFonts w:ascii="SimSun" w:hAnsi="SimSun" w:eastAsia="SimSun" w:cs="SimSun"/>
          <w:sz w:val="24"/>
          <w:szCs w:val="24"/>
        </w:rPr>
      </w:pPr>
      <w:r>
        <w:rPr>
          <w:rFonts w:ascii="SimSun" w:hAnsi="SimSun" w:eastAsia="SimSun" w:cs="SimSun"/>
          <w:sz w:val="24"/>
          <w:szCs w:val="24"/>
          <w:b/>
          <w:bCs/>
          <w:spacing w:val="16"/>
        </w:rPr>
        <w:t>1)验收检验</w:t>
      </w:r>
    </w:p>
    <w:p>
      <w:pPr>
        <w:ind w:left="9" w:right="31" w:firstLine="460"/>
        <w:spacing w:before="216" w:line="313" w:lineRule="auto"/>
        <w:rPr>
          <w:rFonts w:ascii="SimSun" w:hAnsi="SimSun" w:eastAsia="SimSun" w:cs="SimSun"/>
          <w:sz w:val="24"/>
          <w:szCs w:val="24"/>
        </w:rPr>
      </w:pPr>
      <w:r>
        <w:rPr>
          <w:rFonts w:ascii="SimSun" w:hAnsi="SimSun" w:eastAsia="SimSun" w:cs="SimSun"/>
          <w:sz w:val="24"/>
          <w:szCs w:val="24"/>
          <w:spacing w:val="5"/>
        </w:rPr>
        <w:t>①活猪、肉牛进屠宰厂或场后，在卸车或船前检</w:t>
      </w:r>
      <w:r>
        <w:rPr>
          <w:rFonts w:ascii="SimSun" w:hAnsi="SimSun" w:eastAsia="SimSun" w:cs="SimSun"/>
          <w:sz w:val="24"/>
          <w:szCs w:val="24"/>
          <w:spacing w:val="4"/>
        </w:rPr>
        <w:t>验人员要先向送猪、牛人</w:t>
      </w:r>
      <w:r>
        <w:rPr>
          <w:rFonts w:ascii="SimSun" w:hAnsi="SimSun" w:eastAsia="SimSun" w:cs="SimSun"/>
          <w:sz w:val="24"/>
          <w:szCs w:val="24"/>
        </w:rPr>
        <w:t xml:space="preserve"> </w:t>
      </w:r>
      <w:r>
        <w:rPr>
          <w:rFonts w:ascii="SimSun" w:hAnsi="SimSun" w:eastAsia="SimSun" w:cs="SimSun"/>
          <w:sz w:val="24"/>
          <w:szCs w:val="24"/>
          <w:spacing w:val="4"/>
        </w:rPr>
        <w:t>员索取产地动物防疫监督机构开具的检疫合格证明和《动物及动物产</w:t>
      </w:r>
      <w:r>
        <w:rPr>
          <w:rFonts w:ascii="SimSun" w:hAnsi="SimSun" w:eastAsia="SimSun" w:cs="SimSun"/>
          <w:sz w:val="24"/>
          <w:szCs w:val="24"/>
          <w:spacing w:val="3"/>
        </w:rPr>
        <w:t>品运载工</w:t>
      </w:r>
      <w:r>
        <w:rPr>
          <w:rFonts w:ascii="SimSun" w:hAnsi="SimSun" w:eastAsia="SimSun" w:cs="SimSun"/>
          <w:sz w:val="24"/>
          <w:szCs w:val="24"/>
        </w:rPr>
        <w:t xml:space="preserve"> </w:t>
      </w:r>
      <w:r>
        <w:rPr>
          <w:rFonts w:ascii="SimSun" w:hAnsi="SimSun" w:eastAsia="SimSun" w:cs="SimSun"/>
          <w:sz w:val="24"/>
          <w:szCs w:val="24"/>
          <w:spacing w:val="15"/>
        </w:rPr>
        <w:t>具消毒证明》,查验免疫耳标，并经临车观察未见异常，证货相符时准予卸</w:t>
      </w:r>
    </w:p>
    <w:p>
      <w:pPr>
        <w:spacing w:line="313" w:lineRule="auto"/>
        <w:sectPr>
          <w:headerReference w:type="default" r:id="rId238"/>
          <w:footerReference w:type="default" r:id="rId239"/>
          <w:pgSz w:w="11910" w:h="16840"/>
          <w:pgMar w:top="1207" w:right="1786" w:bottom="932" w:left="1780" w:header="915" w:footer="761" w:gutter="0"/>
        </w:sectPr>
        <w:rPr>
          <w:rFonts w:ascii="SimSun" w:hAnsi="SimSun" w:eastAsia="SimSun" w:cs="SimSun"/>
          <w:sz w:val="24"/>
          <w:szCs w:val="24"/>
        </w:rPr>
      </w:pPr>
    </w:p>
    <w:p>
      <w:pPr>
        <w:spacing w:before="272" w:line="219" w:lineRule="auto"/>
        <w:rPr>
          <w:rFonts w:ascii="SimSun" w:hAnsi="SimSun" w:eastAsia="SimSun" w:cs="SimSun"/>
          <w:sz w:val="24"/>
          <w:szCs w:val="24"/>
        </w:rPr>
      </w:pPr>
      <w:r>
        <w:rPr>
          <w:rFonts w:ascii="SimSun" w:hAnsi="SimSun" w:eastAsia="SimSun" w:cs="SimSun"/>
          <w:sz w:val="24"/>
          <w:szCs w:val="24"/>
          <w:spacing w:val="-5"/>
        </w:rPr>
        <w:t>车。</w:t>
      </w:r>
    </w:p>
    <w:p>
      <w:pPr>
        <w:ind w:right="53" w:firstLine="470"/>
        <w:spacing w:before="190" w:line="310" w:lineRule="auto"/>
        <w:rPr>
          <w:rFonts w:ascii="SimSun" w:hAnsi="SimSun" w:eastAsia="SimSun" w:cs="SimSun"/>
          <w:sz w:val="24"/>
          <w:szCs w:val="24"/>
        </w:rPr>
      </w:pPr>
      <w:r>
        <w:rPr>
          <w:rFonts w:ascii="SimSun" w:hAnsi="SimSun" w:eastAsia="SimSun" w:cs="SimSun"/>
          <w:sz w:val="24"/>
          <w:szCs w:val="24"/>
          <w:spacing w:val="4"/>
        </w:rPr>
        <w:t>②卸车后，检验人员必须逐头观察活猪、肉牛的健康状况，按检查结果进</w:t>
      </w:r>
      <w:r>
        <w:rPr>
          <w:rFonts w:ascii="SimSun" w:hAnsi="SimSun" w:eastAsia="SimSun" w:cs="SimSun"/>
          <w:sz w:val="24"/>
          <w:szCs w:val="24"/>
          <w:spacing w:val="10"/>
        </w:rPr>
        <w:t xml:space="preserve"> </w:t>
      </w:r>
      <w:r>
        <w:rPr>
          <w:rFonts w:ascii="SimSun" w:hAnsi="SimSun" w:eastAsia="SimSun" w:cs="SimSun"/>
          <w:sz w:val="24"/>
          <w:szCs w:val="24"/>
          <w:spacing w:val="3"/>
        </w:rPr>
        <w:t>行分圈、编号，健康猪、牛赶入待宰圈休息；可疑病猪、病牛赶入隔离圈，继</w:t>
      </w:r>
      <w:r>
        <w:rPr>
          <w:rFonts w:ascii="SimSun" w:hAnsi="SimSun" w:eastAsia="SimSun" w:cs="SimSun"/>
          <w:sz w:val="24"/>
          <w:szCs w:val="24"/>
          <w:spacing w:val="8"/>
        </w:rPr>
        <w:t xml:space="preserve"> </w:t>
      </w:r>
      <w:r>
        <w:rPr>
          <w:rFonts w:ascii="SimSun" w:hAnsi="SimSun" w:eastAsia="SimSun" w:cs="SimSun"/>
          <w:sz w:val="24"/>
          <w:szCs w:val="24"/>
          <w:spacing w:val="-2"/>
        </w:rPr>
        <w:t>续观察；病猪、病牛及伤残猪、牛送急宰间处</w:t>
      </w:r>
      <w:r>
        <w:rPr>
          <w:rFonts w:ascii="SimSun" w:hAnsi="SimSun" w:eastAsia="SimSun" w:cs="SimSun"/>
          <w:sz w:val="24"/>
          <w:szCs w:val="24"/>
          <w:spacing w:val="-3"/>
        </w:rPr>
        <w:t>理。</w:t>
      </w:r>
    </w:p>
    <w:p>
      <w:pPr>
        <w:ind w:right="42" w:firstLine="470"/>
        <w:spacing w:before="191" w:line="288" w:lineRule="auto"/>
        <w:rPr>
          <w:rFonts w:ascii="SimSun" w:hAnsi="SimSun" w:eastAsia="SimSun" w:cs="SimSun"/>
          <w:sz w:val="24"/>
          <w:szCs w:val="24"/>
        </w:rPr>
      </w:pPr>
      <w:r>
        <w:rPr>
          <w:rFonts w:ascii="SimSun" w:hAnsi="SimSun" w:eastAsia="SimSun" w:cs="SimSun"/>
          <w:sz w:val="24"/>
          <w:szCs w:val="24"/>
          <w:spacing w:val="5"/>
        </w:rPr>
        <w:t>③对检出的可疑病猪、病牛，经过饮水和充分休息</w:t>
      </w:r>
      <w:r>
        <w:rPr>
          <w:rFonts w:ascii="SimSun" w:hAnsi="SimSun" w:eastAsia="SimSun" w:cs="SimSun"/>
          <w:sz w:val="24"/>
          <w:szCs w:val="24"/>
          <w:spacing w:val="4"/>
        </w:rPr>
        <w:t>后，恢复正常的，可以</w:t>
      </w:r>
      <w:r>
        <w:rPr>
          <w:rFonts w:ascii="SimSun" w:hAnsi="SimSun" w:eastAsia="SimSun" w:cs="SimSun"/>
          <w:sz w:val="24"/>
          <w:szCs w:val="24"/>
        </w:rPr>
        <w:t xml:space="preserve"> </w:t>
      </w:r>
      <w:r>
        <w:rPr>
          <w:rFonts w:ascii="SimSun" w:hAnsi="SimSun" w:eastAsia="SimSun" w:cs="SimSun"/>
          <w:sz w:val="24"/>
          <w:szCs w:val="24"/>
          <w:spacing w:val="-2"/>
        </w:rPr>
        <w:t>赶入待宰圈；症状仍不见缓解的，送往急宰间处理。</w:t>
      </w:r>
    </w:p>
    <w:p>
      <w:pPr>
        <w:ind w:left="470"/>
        <w:spacing w:before="181" w:line="219" w:lineRule="auto"/>
        <w:rPr>
          <w:rFonts w:ascii="SimSun" w:hAnsi="SimSun" w:eastAsia="SimSun" w:cs="SimSun"/>
          <w:sz w:val="24"/>
          <w:szCs w:val="24"/>
        </w:rPr>
      </w:pPr>
      <w:r>
        <w:rPr>
          <w:rFonts w:ascii="Times New Roman" w:hAnsi="Times New Roman" w:eastAsia="Times New Roman" w:cs="Times New Roman"/>
          <w:sz w:val="24"/>
          <w:szCs w:val="24"/>
          <w:b/>
          <w:bCs/>
          <w:spacing w:val="14"/>
        </w:rPr>
        <w:t>2</w:t>
      </w:r>
      <w:r>
        <w:rPr>
          <w:rFonts w:ascii="Times New Roman" w:hAnsi="Times New Roman" w:eastAsia="Times New Roman" w:cs="Times New Roman"/>
          <w:sz w:val="24"/>
          <w:szCs w:val="24"/>
          <w:b/>
          <w:bCs/>
          <w:spacing w:val="-21"/>
        </w:rPr>
        <w:t xml:space="preserve"> </w:t>
      </w:r>
      <w:r>
        <w:rPr>
          <w:rFonts w:ascii="SimSun" w:hAnsi="SimSun" w:eastAsia="SimSun" w:cs="SimSun"/>
          <w:sz w:val="24"/>
          <w:szCs w:val="24"/>
          <w:b/>
          <w:bCs/>
          <w:spacing w:val="14"/>
        </w:rPr>
        <w:t>)待宰检验</w:t>
      </w:r>
    </w:p>
    <w:p>
      <w:pPr>
        <w:ind w:right="53" w:firstLine="470"/>
        <w:spacing w:before="188" w:line="357" w:lineRule="auto"/>
        <w:rPr>
          <w:rFonts w:ascii="SimSun" w:hAnsi="SimSun" w:eastAsia="SimSun" w:cs="SimSun"/>
          <w:sz w:val="24"/>
          <w:szCs w:val="24"/>
        </w:rPr>
      </w:pPr>
      <w:r>
        <w:rPr>
          <w:rFonts w:ascii="SimSun" w:hAnsi="SimSun" w:eastAsia="SimSun" w:cs="SimSun"/>
          <w:sz w:val="24"/>
          <w:szCs w:val="24"/>
          <w:spacing w:val="8"/>
        </w:rPr>
        <w:t>屠宰前2小时内，应按照《生猪产地检疫规程》、《反刍动物产地检疫规</w:t>
      </w:r>
      <w:r>
        <w:rPr>
          <w:rFonts w:ascii="SimSun" w:hAnsi="SimSun" w:eastAsia="SimSun" w:cs="SimSun"/>
          <w:sz w:val="24"/>
          <w:szCs w:val="24"/>
          <w:spacing w:val="2"/>
        </w:rPr>
        <w:t xml:space="preserve"> </w:t>
      </w:r>
      <w:r>
        <w:rPr>
          <w:rFonts w:ascii="SimSun" w:hAnsi="SimSun" w:eastAsia="SimSun" w:cs="SimSun"/>
          <w:sz w:val="24"/>
          <w:szCs w:val="24"/>
          <w:spacing w:val="-3"/>
        </w:rPr>
        <w:t>程》中“临床检查”部分实施检查。</w:t>
      </w:r>
    </w:p>
    <w:p>
      <w:pPr>
        <w:ind w:left="470"/>
        <w:spacing w:line="220" w:lineRule="auto"/>
        <w:rPr>
          <w:rFonts w:ascii="SimSun" w:hAnsi="SimSun" w:eastAsia="SimSun" w:cs="SimSun"/>
          <w:sz w:val="24"/>
          <w:szCs w:val="24"/>
        </w:rPr>
      </w:pPr>
      <w:r>
        <w:rPr>
          <w:rFonts w:ascii="Times New Roman" w:hAnsi="Times New Roman" w:eastAsia="Times New Roman" w:cs="Times New Roman"/>
          <w:sz w:val="24"/>
          <w:szCs w:val="24"/>
          <w:b/>
          <w:bCs/>
          <w:spacing w:val="14"/>
        </w:rPr>
        <w:t>3</w:t>
      </w:r>
      <w:r>
        <w:rPr>
          <w:rFonts w:ascii="Times New Roman" w:hAnsi="Times New Roman" w:eastAsia="Times New Roman" w:cs="Times New Roman"/>
          <w:sz w:val="24"/>
          <w:szCs w:val="24"/>
          <w:b/>
          <w:bCs/>
          <w:spacing w:val="-23"/>
        </w:rPr>
        <w:t xml:space="preserve"> </w:t>
      </w:r>
      <w:r>
        <w:rPr>
          <w:rFonts w:ascii="SimSun" w:hAnsi="SimSun" w:eastAsia="SimSun" w:cs="SimSun"/>
          <w:sz w:val="24"/>
          <w:szCs w:val="24"/>
          <w:b/>
          <w:bCs/>
          <w:spacing w:val="14"/>
        </w:rPr>
        <w:t>)结果处理</w:t>
      </w:r>
    </w:p>
    <w:p>
      <w:pPr>
        <w:ind w:left="470"/>
        <w:spacing w:before="184" w:line="217" w:lineRule="auto"/>
        <w:rPr>
          <w:rFonts w:ascii="SimSun" w:hAnsi="SimSun" w:eastAsia="SimSun" w:cs="SimSun"/>
          <w:sz w:val="24"/>
          <w:szCs w:val="24"/>
        </w:rPr>
      </w:pPr>
      <w:r>
        <w:rPr>
          <w:rFonts w:ascii="SimSun" w:hAnsi="SimSun" w:eastAsia="SimSun" w:cs="SimSun"/>
          <w:sz w:val="24"/>
          <w:szCs w:val="24"/>
          <w:spacing w:val="-1"/>
        </w:rPr>
        <w:t>①合格的，准予屠宰。</w:t>
      </w:r>
    </w:p>
    <w:p>
      <w:pPr>
        <w:ind w:left="470"/>
        <w:spacing w:before="178" w:line="217" w:lineRule="auto"/>
        <w:rPr>
          <w:rFonts w:ascii="SimSun" w:hAnsi="SimSun" w:eastAsia="SimSun" w:cs="SimSun"/>
          <w:sz w:val="24"/>
          <w:szCs w:val="24"/>
        </w:rPr>
      </w:pPr>
      <w:r>
        <w:rPr>
          <w:rFonts w:ascii="SimSun" w:hAnsi="SimSun" w:eastAsia="SimSun" w:cs="SimSun"/>
          <w:sz w:val="24"/>
          <w:szCs w:val="24"/>
          <w:spacing w:val="-2"/>
        </w:rPr>
        <w:t>②不合格的，按以下规定处理。</w:t>
      </w:r>
    </w:p>
    <w:p>
      <w:pPr>
        <w:ind w:right="47" w:firstLine="470"/>
        <w:spacing w:before="197" w:line="359" w:lineRule="auto"/>
        <w:jc w:val="both"/>
        <w:rPr>
          <w:rFonts w:ascii="SimSun" w:hAnsi="SimSun" w:eastAsia="SimSun" w:cs="SimSun"/>
          <w:sz w:val="24"/>
          <w:szCs w:val="24"/>
        </w:rPr>
      </w:pPr>
      <w:r>
        <w:rPr>
          <w:rFonts w:ascii="SimSun" w:hAnsi="SimSun" w:eastAsia="SimSun" w:cs="SimSun"/>
          <w:sz w:val="24"/>
          <w:szCs w:val="24"/>
          <w:spacing w:val="4"/>
        </w:rPr>
        <w:t>发现有口蹄疫、猪瘟、非洲猪瘟、高致病性猪蓝耳病、布鲁氏菌病、牛结</w:t>
      </w:r>
      <w:r>
        <w:rPr>
          <w:rFonts w:ascii="SimSun" w:hAnsi="SimSun" w:eastAsia="SimSun" w:cs="SimSun"/>
          <w:sz w:val="24"/>
          <w:szCs w:val="24"/>
          <w:spacing w:val="15"/>
        </w:rPr>
        <w:t xml:space="preserve"> </w:t>
      </w:r>
      <w:r>
        <w:rPr>
          <w:rFonts w:ascii="SimSun" w:hAnsi="SimSun" w:eastAsia="SimSun" w:cs="SimSun"/>
          <w:sz w:val="24"/>
          <w:szCs w:val="24"/>
          <w:spacing w:val="4"/>
        </w:rPr>
        <w:t>核病、牛结节性皮肤病、炭疽等疫病症状的，限制移动，并按</w:t>
      </w:r>
      <w:r>
        <w:rPr>
          <w:rFonts w:ascii="SimSun" w:hAnsi="SimSun" w:eastAsia="SimSun" w:cs="SimSun"/>
          <w:sz w:val="24"/>
          <w:szCs w:val="24"/>
          <w:spacing w:val="3"/>
        </w:rPr>
        <w:t>照《中华人民共</w:t>
      </w:r>
      <w:r>
        <w:rPr>
          <w:rFonts w:ascii="SimSun" w:hAnsi="SimSun" w:eastAsia="SimSun" w:cs="SimSun"/>
          <w:sz w:val="24"/>
          <w:szCs w:val="24"/>
        </w:rPr>
        <w:t xml:space="preserve"> </w:t>
      </w:r>
      <w:r>
        <w:rPr>
          <w:rFonts w:ascii="SimSun" w:hAnsi="SimSun" w:eastAsia="SimSun" w:cs="SimSun"/>
          <w:sz w:val="24"/>
          <w:szCs w:val="24"/>
          <w:spacing w:val="4"/>
        </w:rPr>
        <w:t>和国动物防疫法》、《重大动物疫情应急条例》、《农业农村部关</w:t>
      </w:r>
      <w:r>
        <w:rPr>
          <w:rFonts w:ascii="SimSun" w:hAnsi="SimSun" w:eastAsia="SimSun" w:cs="SimSun"/>
          <w:sz w:val="24"/>
          <w:szCs w:val="24"/>
          <w:spacing w:val="3"/>
        </w:rPr>
        <w:t>于做好动物</w:t>
      </w:r>
      <w:r>
        <w:rPr>
          <w:rFonts w:ascii="SimSun" w:hAnsi="SimSun" w:eastAsia="SimSun" w:cs="SimSun"/>
          <w:sz w:val="24"/>
          <w:szCs w:val="24"/>
        </w:rPr>
        <w:t xml:space="preserve"> </w:t>
      </w:r>
      <w:r>
        <w:rPr>
          <w:rFonts w:ascii="SimSun" w:hAnsi="SimSun" w:eastAsia="SimSun" w:cs="SimSun"/>
          <w:sz w:val="24"/>
          <w:szCs w:val="24"/>
          <w:spacing w:val="10"/>
        </w:rPr>
        <w:t>疫情报告等有关工作的通知》(农医发[2018]22号)和《病死及</w:t>
      </w:r>
      <w:r>
        <w:rPr>
          <w:rFonts w:ascii="SimSun" w:hAnsi="SimSun" w:eastAsia="SimSun" w:cs="SimSun"/>
          <w:sz w:val="24"/>
          <w:szCs w:val="24"/>
          <w:spacing w:val="9"/>
        </w:rPr>
        <w:t>病害动物无害</w:t>
      </w:r>
      <w:r>
        <w:rPr>
          <w:rFonts w:ascii="SimSun" w:hAnsi="SimSun" w:eastAsia="SimSun" w:cs="SimSun"/>
          <w:sz w:val="24"/>
          <w:szCs w:val="24"/>
        </w:rPr>
        <w:t xml:space="preserve"> </w:t>
      </w:r>
      <w:r>
        <w:rPr>
          <w:rFonts w:ascii="SimSun" w:hAnsi="SimSun" w:eastAsia="SimSun" w:cs="SimSun"/>
          <w:sz w:val="24"/>
          <w:szCs w:val="24"/>
          <w:spacing w:val="4"/>
        </w:rPr>
        <w:t>化处理技术规范》(农医发[2017]25号)等有关规定处理。</w:t>
      </w:r>
    </w:p>
    <w:p>
      <w:pPr>
        <w:ind w:right="51" w:firstLine="470"/>
        <w:spacing w:before="2" w:line="358" w:lineRule="auto"/>
        <w:rPr>
          <w:rFonts w:ascii="SimSun" w:hAnsi="SimSun" w:eastAsia="SimSun" w:cs="SimSun"/>
          <w:sz w:val="24"/>
          <w:szCs w:val="24"/>
        </w:rPr>
      </w:pPr>
      <w:r>
        <w:rPr>
          <w:rFonts w:ascii="SimSun" w:hAnsi="SimSun" w:eastAsia="SimSun" w:cs="SimSun"/>
          <w:sz w:val="24"/>
          <w:szCs w:val="24"/>
          <w:spacing w:val="4"/>
        </w:rPr>
        <w:t>发现有猪丹毒、猪肺疫、猪Ⅱ型链球菌病、猪支原体肺炎、副猪</w:t>
      </w:r>
      <w:r>
        <w:rPr>
          <w:rFonts w:ascii="SimSun" w:hAnsi="SimSun" w:eastAsia="SimSun" w:cs="SimSun"/>
          <w:sz w:val="24"/>
          <w:szCs w:val="24"/>
          <w:spacing w:val="3"/>
        </w:rPr>
        <w:t>嗜血杆菌</w:t>
      </w:r>
      <w:r>
        <w:rPr>
          <w:rFonts w:ascii="SimSun" w:hAnsi="SimSun" w:eastAsia="SimSun" w:cs="SimSun"/>
          <w:sz w:val="24"/>
          <w:szCs w:val="24"/>
        </w:rPr>
        <w:t xml:space="preserve"> </w:t>
      </w:r>
      <w:r>
        <w:rPr>
          <w:rFonts w:ascii="SimSun" w:hAnsi="SimSun" w:eastAsia="SimSun" w:cs="SimSun"/>
          <w:sz w:val="24"/>
          <w:szCs w:val="24"/>
          <w:spacing w:val="3"/>
        </w:rPr>
        <w:t>病、猪副伤寒、牛肺疫、牛Ⅱ型链球菌病、牛支原体肺炎、副牛嗜血杆菌病、</w:t>
      </w:r>
      <w:r>
        <w:rPr>
          <w:rFonts w:ascii="SimSun" w:hAnsi="SimSun" w:eastAsia="SimSun" w:cs="SimSun"/>
          <w:sz w:val="24"/>
          <w:szCs w:val="24"/>
          <w:spacing w:val="16"/>
        </w:rPr>
        <w:t xml:space="preserve"> </w:t>
      </w:r>
      <w:r>
        <w:rPr>
          <w:rFonts w:ascii="SimSun" w:hAnsi="SimSun" w:eastAsia="SimSun" w:cs="SimSun"/>
          <w:sz w:val="24"/>
          <w:szCs w:val="24"/>
          <w:spacing w:val="4"/>
        </w:rPr>
        <w:t>牛副伤寒等疫病症状的，患病猪、牛按国家有关规定处理，同群猪</w:t>
      </w:r>
      <w:r>
        <w:rPr>
          <w:rFonts w:ascii="SimSun" w:hAnsi="SimSun" w:eastAsia="SimSun" w:cs="SimSun"/>
          <w:sz w:val="24"/>
          <w:szCs w:val="24"/>
          <w:spacing w:val="3"/>
        </w:rPr>
        <w:t>、牛隔离观</w:t>
      </w:r>
      <w:r>
        <w:rPr>
          <w:rFonts w:ascii="SimSun" w:hAnsi="SimSun" w:eastAsia="SimSun" w:cs="SimSun"/>
          <w:sz w:val="24"/>
          <w:szCs w:val="24"/>
        </w:rPr>
        <w:t xml:space="preserve"> </w:t>
      </w:r>
      <w:r>
        <w:rPr>
          <w:rFonts w:ascii="SimSun" w:hAnsi="SimSun" w:eastAsia="SimSun" w:cs="SimSun"/>
          <w:sz w:val="24"/>
          <w:szCs w:val="24"/>
          <w:spacing w:val="4"/>
        </w:rPr>
        <w:t>察，确认无异常的，准予屠宰；隔离期间出现异常的，按《病</w:t>
      </w:r>
      <w:r>
        <w:rPr>
          <w:rFonts w:ascii="SimSun" w:hAnsi="SimSun" w:eastAsia="SimSun" w:cs="SimSun"/>
          <w:sz w:val="24"/>
          <w:szCs w:val="24"/>
          <w:spacing w:val="3"/>
        </w:rPr>
        <w:t>死及病害动物无</w:t>
      </w:r>
      <w:r>
        <w:rPr>
          <w:rFonts w:ascii="SimSun" w:hAnsi="SimSun" w:eastAsia="SimSun" w:cs="SimSun"/>
          <w:sz w:val="24"/>
          <w:szCs w:val="24"/>
        </w:rPr>
        <w:t xml:space="preserve"> </w:t>
      </w:r>
      <w:r>
        <w:rPr>
          <w:rFonts w:ascii="SimSun" w:hAnsi="SimSun" w:eastAsia="SimSun" w:cs="SimSun"/>
          <w:sz w:val="24"/>
          <w:szCs w:val="24"/>
          <w:spacing w:val="4"/>
        </w:rPr>
        <w:t>害化处理技术规范》(农医发[2017]25号)等有关</w:t>
      </w:r>
      <w:r>
        <w:rPr>
          <w:rFonts w:ascii="SimSun" w:hAnsi="SimSun" w:eastAsia="SimSun" w:cs="SimSun"/>
          <w:sz w:val="24"/>
          <w:szCs w:val="24"/>
          <w:spacing w:val="3"/>
        </w:rPr>
        <w:t>规定处理。</w:t>
      </w:r>
    </w:p>
    <w:p>
      <w:pPr>
        <w:ind w:right="50" w:firstLine="470"/>
        <w:spacing w:before="4" w:line="354" w:lineRule="auto"/>
        <w:jc w:val="both"/>
        <w:rPr>
          <w:rFonts w:ascii="SimSun" w:hAnsi="SimSun" w:eastAsia="SimSun" w:cs="SimSun"/>
          <w:sz w:val="24"/>
          <w:szCs w:val="24"/>
        </w:rPr>
      </w:pPr>
      <w:r>
        <w:rPr>
          <w:rFonts w:ascii="SimSun" w:hAnsi="SimSun" w:eastAsia="SimSun" w:cs="SimSun"/>
          <w:sz w:val="24"/>
          <w:szCs w:val="24"/>
          <w:spacing w:val="4"/>
        </w:rPr>
        <w:t>怀疑患有本规程规定疫病及临床检查发现其他异常情况的，按相应疫病防</w:t>
      </w:r>
      <w:r>
        <w:rPr>
          <w:rFonts w:ascii="SimSun" w:hAnsi="SimSun" w:eastAsia="SimSun" w:cs="SimSun"/>
          <w:sz w:val="24"/>
          <w:szCs w:val="24"/>
          <w:spacing w:val="14"/>
        </w:rPr>
        <w:t xml:space="preserve"> </w:t>
      </w:r>
      <w:r>
        <w:rPr>
          <w:rFonts w:ascii="SimSun" w:hAnsi="SimSun" w:eastAsia="SimSun" w:cs="SimSun"/>
          <w:sz w:val="24"/>
          <w:szCs w:val="24"/>
          <w:spacing w:val="3"/>
        </w:rPr>
        <w:t>治技术规范进行实验室检测，并出具检测报告。实验室检测须由省级动物疫病</w:t>
      </w:r>
      <w:r>
        <w:rPr>
          <w:rFonts w:ascii="SimSun" w:hAnsi="SimSun" w:eastAsia="SimSun" w:cs="SimSun"/>
          <w:sz w:val="24"/>
          <w:szCs w:val="24"/>
          <w:spacing w:val="13"/>
        </w:rPr>
        <w:t xml:space="preserve"> </w:t>
      </w:r>
      <w:r>
        <w:rPr>
          <w:rFonts w:ascii="SimSun" w:hAnsi="SimSun" w:eastAsia="SimSun" w:cs="SimSun"/>
          <w:sz w:val="24"/>
          <w:szCs w:val="24"/>
          <w:spacing w:val="3"/>
        </w:rPr>
        <w:t>预防控制机构以及经省级畜牧兽医主管部门批准符合条件的实验室承担。非洲</w:t>
      </w:r>
      <w:r>
        <w:rPr>
          <w:rFonts w:ascii="SimSun" w:hAnsi="SimSun" w:eastAsia="SimSun" w:cs="SimSun"/>
          <w:sz w:val="24"/>
          <w:szCs w:val="24"/>
          <w:spacing w:val="15"/>
        </w:rPr>
        <w:t xml:space="preserve"> </w:t>
      </w:r>
      <w:r>
        <w:rPr>
          <w:rFonts w:ascii="SimSun" w:hAnsi="SimSun" w:eastAsia="SimSun" w:cs="SimSun"/>
          <w:sz w:val="24"/>
          <w:szCs w:val="24"/>
          <w:spacing w:val="-2"/>
        </w:rPr>
        <w:t>猪瘟、牛瘟快速检测须使用符合农业农村部规定的检测方法或试剂盒。</w:t>
      </w:r>
    </w:p>
    <w:p>
      <w:pPr>
        <w:ind w:right="53" w:firstLine="470"/>
        <w:spacing w:before="24" w:line="357" w:lineRule="auto"/>
        <w:rPr>
          <w:rFonts w:ascii="SimSun" w:hAnsi="SimSun" w:eastAsia="SimSun" w:cs="SimSun"/>
          <w:sz w:val="24"/>
          <w:szCs w:val="24"/>
        </w:rPr>
      </w:pPr>
      <w:r>
        <w:rPr>
          <w:rFonts w:ascii="SimSun" w:hAnsi="SimSun" w:eastAsia="SimSun" w:cs="SimSun"/>
          <w:sz w:val="24"/>
          <w:szCs w:val="24"/>
          <w:spacing w:val="3"/>
        </w:rPr>
        <w:t>发现患有本规程规定以外疫病的，隔离观察，确认无异常的，准予屠宰；</w:t>
      </w:r>
      <w:r>
        <w:rPr>
          <w:rFonts w:ascii="SimSun" w:hAnsi="SimSun" w:eastAsia="SimSun" w:cs="SimSun"/>
          <w:sz w:val="24"/>
          <w:szCs w:val="24"/>
          <w:spacing w:val="2"/>
        </w:rPr>
        <w:t xml:space="preserve"> </w:t>
      </w:r>
      <w:r>
        <w:rPr>
          <w:rFonts w:ascii="SimSun" w:hAnsi="SimSun" w:eastAsia="SimSun" w:cs="SimSun"/>
          <w:sz w:val="24"/>
          <w:szCs w:val="24"/>
          <w:spacing w:val="15"/>
        </w:rPr>
        <w:t>隔离期间出现异常的，按《病死及病害动物无害化处理技术规</w:t>
      </w:r>
      <w:r>
        <w:rPr>
          <w:rFonts w:ascii="SimSun" w:hAnsi="SimSun" w:eastAsia="SimSun" w:cs="SimSun"/>
          <w:sz w:val="24"/>
          <w:szCs w:val="24"/>
          <w:spacing w:val="14"/>
        </w:rPr>
        <w:t>范》(农医发</w:t>
      </w:r>
      <w:r>
        <w:rPr>
          <w:rFonts w:ascii="SimSun" w:hAnsi="SimSun" w:eastAsia="SimSun" w:cs="SimSun"/>
          <w:sz w:val="24"/>
          <w:szCs w:val="24"/>
        </w:rPr>
        <w:t xml:space="preserve"> </w:t>
      </w:r>
      <w:r>
        <w:rPr>
          <w:rFonts w:ascii="SimSun" w:hAnsi="SimSun" w:eastAsia="SimSun" w:cs="SimSun"/>
          <w:sz w:val="24"/>
          <w:szCs w:val="24"/>
        </w:rPr>
        <w:t>[2017]25号)等有关规定处理。</w:t>
      </w:r>
    </w:p>
    <w:p>
      <w:pPr>
        <w:ind w:left="470"/>
        <w:spacing w:line="219" w:lineRule="auto"/>
        <w:rPr>
          <w:rFonts w:ascii="SimSun" w:hAnsi="SimSun" w:eastAsia="SimSun" w:cs="SimSun"/>
          <w:sz w:val="24"/>
          <w:szCs w:val="24"/>
        </w:rPr>
      </w:pPr>
      <w:r>
        <w:rPr>
          <w:rFonts w:ascii="SimSun" w:hAnsi="SimSun" w:eastAsia="SimSun" w:cs="SimSun"/>
          <w:sz w:val="24"/>
          <w:szCs w:val="24"/>
          <w:spacing w:val="-1"/>
        </w:rPr>
        <w:t>确认为无碍于肉食安全且濒临死亡的生猪、肉牛，视情况进行急宰。</w:t>
      </w:r>
    </w:p>
    <w:p>
      <w:pPr>
        <w:spacing w:line="219" w:lineRule="auto"/>
        <w:sectPr>
          <w:headerReference w:type="default" r:id="rId240"/>
          <w:footerReference w:type="default" r:id="rId241"/>
          <w:pgSz w:w="11910" w:h="16840"/>
          <w:pgMar w:top="1187" w:right="1786" w:bottom="960" w:left="1779" w:header="894" w:footer="788" w:gutter="0"/>
        </w:sectPr>
        <w:rPr>
          <w:rFonts w:ascii="SimSun" w:hAnsi="SimSun" w:eastAsia="SimSun" w:cs="SimSun"/>
          <w:sz w:val="24"/>
          <w:szCs w:val="24"/>
        </w:rPr>
      </w:pPr>
    </w:p>
    <w:p>
      <w:pPr>
        <w:ind w:left="473"/>
        <w:spacing w:before="256" w:line="219" w:lineRule="auto"/>
        <w:rPr>
          <w:rFonts w:ascii="SimSun" w:hAnsi="SimSun" w:eastAsia="SimSun" w:cs="SimSun"/>
          <w:sz w:val="23"/>
          <w:szCs w:val="23"/>
        </w:rPr>
      </w:pPr>
      <w:r>
        <w:rPr>
          <w:rFonts w:ascii="SimSun" w:hAnsi="SimSun" w:eastAsia="SimSun" w:cs="SimSun"/>
          <w:sz w:val="23"/>
          <w:szCs w:val="23"/>
          <w:b/>
          <w:bCs/>
          <w:spacing w:val="5"/>
        </w:rPr>
        <w:t>B、</w:t>
      </w:r>
      <w:r>
        <w:rPr>
          <w:rFonts w:ascii="SimSun" w:hAnsi="SimSun" w:eastAsia="SimSun" w:cs="SimSun"/>
          <w:sz w:val="23"/>
          <w:szCs w:val="23"/>
          <w:spacing w:val="-46"/>
        </w:rPr>
        <w:t xml:space="preserve"> </w:t>
      </w:r>
      <w:r>
        <w:rPr>
          <w:rFonts w:ascii="SimSun" w:hAnsi="SimSun" w:eastAsia="SimSun" w:cs="SimSun"/>
          <w:sz w:val="23"/>
          <w:szCs w:val="23"/>
          <w:b/>
          <w:bCs/>
          <w:spacing w:val="5"/>
        </w:rPr>
        <w:t>宰后同步检疫</w:t>
      </w:r>
    </w:p>
    <w:p>
      <w:pPr>
        <w:ind w:right="56" w:firstLine="470"/>
        <w:spacing w:before="199" w:line="372" w:lineRule="auto"/>
        <w:rPr>
          <w:rFonts w:ascii="SimSun" w:hAnsi="SimSun" w:eastAsia="SimSun" w:cs="SimSun"/>
          <w:sz w:val="23"/>
          <w:szCs w:val="23"/>
        </w:rPr>
      </w:pPr>
      <w:r>
        <w:rPr>
          <w:rFonts w:ascii="SimSun" w:hAnsi="SimSun" w:eastAsia="SimSun" w:cs="SimSun"/>
          <w:sz w:val="23"/>
          <w:szCs w:val="23"/>
          <w:spacing w:val="14"/>
        </w:rPr>
        <w:t>与屠宰操作相对应，对同一头猪或牛的血、头、蹄、内脏、胴体等统一编</w:t>
      </w:r>
      <w:r>
        <w:rPr>
          <w:rFonts w:ascii="SimSun" w:hAnsi="SimSun" w:eastAsia="SimSun" w:cs="SimSun"/>
          <w:sz w:val="23"/>
          <w:szCs w:val="23"/>
          <w:spacing w:val="8"/>
        </w:rPr>
        <w:t xml:space="preserve"> </w:t>
      </w:r>
      <w:r>
        <w:rPr>
          <w:rFonts w:ascii="SimSun" w:hAnsi="SimSun" w:eastAsia="SimSun" w:cs="SimSun"/>
          <w:sz w:val="23"/>
          <w:szCs w:val="23"/>
          <w:spacing w:val="5"/>
        </w:rPr>
        <w:t>号进行检疫。</w:t>
      </w:r>
    </w:p>
    <w:p>
      <w:pPr>
        <w:ind w:left="470"/>
        <w:spacing w:line="219" w:lineRule="auto"/>
        <w:rPr>
          <w:rFonts w:ascii="SimSun" w:hAnsi="SimSun" w:eastAsia="SimSun" w:cs="SimSun"/>
          <w:sz w:val="23"/>
          <w:szCs w:val="23"/>
        </w:rPr>
      </w:pPr>
      <w:r>
        <w:rPr>
          <w:rFonts w:ascii="Times New Roman" w:hAnsi="Times New Roman" w:eastAsia="Times New Roman" w:cs="Times New Roman"/>
          <w:sz w:val="23"/>
          <w:szCs w:val="23"/>
          <w:b/>
          <w:bCs/>
          <w:spacing w:val="4"/>
        </w:rPr>
        <w:t>C</w:t>
      </w:r>
      <w:r>
        <w:rPr>
          <w:rFonts w:ascii="Times New Roman" w:hAnsi="Times New Roman" w:eastAsia="Times New Roman" w:cs="Times New Roman"/>
          <w:sz w:val="23"/>
          <w:szCs w:val="23"/>
          <w:b/>
          <w:bCs/>
          <w:spacing w:val="-29"/>
        </w:rPr>
        <w:t xml:space="preserve"> </w:t>
      </w:r>
      <w:r>
        <w:rPr>
          <w:rFonts w:ascii="SimSun" w:hAnsi="SimSun" w:eastAsia="SimSun" w:cs="SimSun"/>
          <w:sz w:val="23"/>
          <w:szCs w:val="23"/>
          <w:b/>
          <w:bCs/>
          <w:spacing w:val="4"/>
        </w:rPr>
        <w:t>、检疫结果处理</w:t>
      </w:r>
    </w:p>
    <w:p>
      <w:pPr>
        <w:ind w:right="88" w:firstLine="470"/>
        <w:spacing w:before="217" w:line="373" w:lineRule="auto"/>
        <w:rPr>
          <w:rFonts w:ascii="SimSun" w:hAnsi="SimSun" w:eastAsia="SimSun" w:cs="SimSun"/>
          <w:sz w:val="23"/>
          <w:szCs w:val="23"/>
        </w:rPr>
      </w:pPr>
      <w:r>
        <w:rPr>
          <w:rFonts w:ascii="SimSun" w:hAnsi="SimSun" w:eastAsia="SimSun" w:cs="SimSun"/>
          <w:sz w:val="23"/>
          <w:szCs w:val="23"/>
          <w:spacing w:val="16"/>
        </w:rPr>
        <w:t>1)合格的，由官方兽医出具《动物检疫合格证明》,加盖检疫验讫印章，</w:t>
      </w:r>
      <w:r>
        <w:rPr>
          <w:rFonts w:ascii="SimSun" w:hAnsi="SimSun" w:eastAsia="SimSun" w:cs="SimSun"/>
          <w:sz w:val="23"/>
          <w:szCs w:val="23"/>
          <w:spacing w:val="10"/>
        </w:rPr>
        <w:t xml:space="preserve"> </w:t>
      </w:r>
      <w:r>
        <w:rPr>
          <w:rFonts w:ascii="SimSun" w:hAnsi="SimSun" w:eastAsia="SimSun" w:cs="SimSun"/>
          <w:sz w:val="23"/>
          <w:szCs w:val="23"/>
          <w:spacing w:val="8"/>
        </w:rPr>
        <w:t>对分割包装的肉品加施检疫标志。</w:t>
      </w:r>
    </w:p>
    <w:p>
      <w:pPr>
        <w:ind w:right="43" w:firstLine="470"/>
        <w:spacing w:before="2" w:line="385" w:lineRule="auto"/>
        <w:rPr>
          <w:rFonts w:ascii="SimSun" w:hAnsi="SimSun" w:eastAsia="SimSun" w:cs="SimSun"/>
          <w:sz w:val="23"/>
          <w:szCs w:val="23"/>
        </w:rPr>
      </w:pPr>
      <w:r>
        <w:rPr>
          <w:rFonts w:ascii="SimSun" w:hAnsi="SimSun" w:eastAsia="SimSun" w:cs="SimSun"/>
          <w:sz w:val="23"/>
          <w:szCs w:val="23"/>
          <w:spacing w:val="18"/>
        </w:rPr>
        <w:t>2)不合格的，由官方兽医出具《动物检疫处理通</w:t>
      </w:r>
      <w:r>
        <w:rPr>
          <w:rFonts w:ascii="SimSun" w:hAnsi="SimSun" w:eastAsia="SimSun" w:cs="SimSun"/>
          <w:sz w:val="23"/>
          <w:szCs w:val="23"/>
          <w:spacing w:val="17"/>
        </w:rPr>
        <w:t>知单》,并按以下规定处</w:t>
      </w:r>
      <w:r>
        <w:rPr>
          <w:rFonts w:ascii="SimSun" w:hAnsi="SimSun" w:eastAsia="SimSun" w:cs="SimSun"/>
          <w:sz w:val="23"/>
          <w:szCs w:val="23"/>
        </w:rPr>
        <w:t xml:space="preserve"> </w:t>
      </w:r>
      <w:r>
        <w:rPr>
          <w:rFonts w:ascii="SimSun" w:hAnsi="SimSun" w:eastAsia="SimSun" w:cs="SimSun"/>
          <w:sz w:val="23"/>
          <w:szCs w:val="23"/>
          <w:spacing w:val="-6"/>
        </w:rPr>
        <w:t>理</w:t>
      </w:r>
      <w:r>
        <w:rPr>
          <w:rFonts w:ascii="SimSun" w:hAnsi="SimSun" w:eastAsia="SimSun" w:cs="SimSun"/>
          <w:sz w:val="23"/>
          <w:szCs w:val="23"/>
          <w:spacing w:val="-55"/>
        </w:rPr>
        <w:t xml:space="preserve"> </w:t>
      </w:r>
      <w:r>
        <w:rPr>
          <w:rFonts w:ascii="SimSun" w:hAnsi="SimSun" w:eastAsia="SimSun" w:cs="SimSun"/>
          <w:sz w:val="23"/>
          <w:szCs w:val="23"/>
          <w:spacing w:val="-6"/>
        </w:rPr>
        <w:t>。</w:t>
      </w:r>
    </w:p>
    <w:p>
      <w:pPr>
        <w:ind w:right="42" w:firstLine="470"/>
        <w:spacing w:before="1" w:line="371" w:lineRule="auto"/>
        <w:jc w:val="both"/>
        <w:rPr>
          <w:rFonts w:ascii="SimSun" w:hAnsi="SimSun" w:eastAsia="SimSun" w:cs="SimSun"/>
          <w:sz w:val="23"/>
          <w:szCs w:val="23"/>
        </w:rPr>
      </w:pPr>
      <w:r>
        <w:rPr>
          <w:rFonts w:ascii="SimSun" w:hAnsi="SimSun" w:eastAsia="SimSun" w:cs="SimSun"/>
          <w:sz w:val="23"/>
          <w:szCs w:val="23"/>
          <w:spacing w:val="26"/>
        </w:rPr>
        <w:t>①发现生猪患有本规程规定疫病的，按《生猪屠宰检疫规程》(农牧发</w:t>
      </w:r>
      <w:r>
        <w:rPr>
          <w:rFonts w:ascii="SimSun" w:hAnsi="SimSun" w:eastAsia="SimSun" w:cs="SimSun"/>
          <w:sz w:val="23"/>
          <w:szCs w:val="23"/>
          <w:spacing w:val="8"/>
        </w:rPr>
        <w:t xml:space="preserve"> </w:t>
      </w:r>
      <w:r>
        <w:rPr>
          <w:rFonts w:ascii="SimSun" w:hAnsi="SimSun" w:eastAsia="SimSun" w:cs="SimSun"/>
          <w:sz w:val="23"/>
          <w:szCs w:val="23"/>
          <w:spacing w:val="3"/>
        </w:rPr>
        <w:t>[2023]16号)中第6.2.2.1、6.2.2.2和有关规定处理；发现肉牛患有</w:t>
      </w:r>
      <w:r>
        <w:rPr>
          <w:rFonts w:ascii="SimSun" w:hAnsi="SimSun" w:eastAsia="SimSun" w:cs="SimSun"/>
          <w:sz w:val="23"/>
          <w:szCs w:val="23"/>
          <w:spacing w:val="2"/>
        </w:rPr>
        <w:t>本规程规定疫</w:t>
      </w:r>
      <w:r>
        <w:rPr>
          <w:rFonts w:ascii="SimSun" w:hAnsi="SimSun" w:eastAsia="SimSun" w:cs="SimSun"/>
          <w:sz w:val="23"/>
          <w:szCs w:val="23"/>
        </w:rPr>
        <w:t xml:space="preserve"> </w:t>
      </w:r>
      <w:r>
        <w:rPr>
          <w:rFonts w:ascii="SimSun" w:hAnsi="SimSun" w:eastAsia="SimSun" w:cs="SimSun"/>
          <w:sz w:val="23"/>
          <w:szCs w:val="23"/>
          <w:spacing w:val="11"/>
        </w:rPr>
        <w:t>病的，按《牛屠宰检疫规程》(农牧发[2023]16号)中第6.2.1、6.2</w:t>
      </w:r>
      <w:r>
        <w:rPr>
          <w:rFonts w:ascii="SimSun" w:hAnsi="SimSun" w:eastAsia="SimSun" w:cs="SimSun"/>
          <w:sz w:val="23"/>
          <w:szCs w:val="23"/>
          <w:spacing w:val="10"/>
        </w:rPr>
        <w:t>.2和有关规</w:t>
      </w:r>
      <w:r>
        <w:rPr>
          <w:rFonts w:ascii="SimSun" w:hAnsi="SimSun" w:eastAsia="SimSun" w:cs="SimSun"/>
          <w:sz w:val="23"/>
          <w:szCs w:val="23"/>
        </w:rPr>
        <w:t xml:space="preserve"> </w:t>
      </w:r>
      <w:r>
        <w:rPr>
          <w:rFonts w:ascii="SimSun" w:hAnsi="SimSun" w:eastAsia="SimSun" w:cs="SimSun"/>
          <w:sz w:val="23"/>
          <w:szCs w:val="23"/>
          <w:spacing w:val="6"/>
        </w:rPr>
        <w:t>定处理。</w:t>
      </w:r>
    </w:p>
    <w:p>
      <w:pPr>
        <w:ind w:right="28" w:firstLine="470"/>
        <w:spacing w:before="31" w:line="333" w:lineRule="auto"/>
        <w:rPr>
          <w:rFonts w:ascii="SimSun" w:hAnsi="SimSun" w:eastAsia="SimSun" w:cs="SimSun"/>
          <w:sz w:val="23"/>
          <w:szCs w:val="23"/>
        </w:rPr>
      </w:pPr>
      <w:r>
        <w:rPr>
          <w:rFonts w:ascii="SimSun" w:hAnsi="SimSun" w:eastAsia="SimSun" w:cs="SimSun"/>
          <w:sz w:val="23"/>
          <w:szCs w:val="23"/>
          <w:spacing w:val="19"/>
        </w:rPr>
        <w:t>②发现生猪患有《生猪屠宰检疫规程》(农牧发[2023]16号)、肉牛患有</w:t>
      </w:r>
      <w:r>
        <w:rPr>
          <w:rFonts w:ascii="SimSun" w:hAnsi="SimSun" w:eastAsia="SimSun" w:cs="SimSun"/>
          <w:sz w:val="23"/>
          <w:szCs w:val="23"/>
          <w:spacing w:val="16"/>
        </w:rPr>
        <w:t xml:space="preserve"> </w:t>
      </w:r>
      <w:r>
        <w:rPr>
          <w:rFonts w:ascii="SimSun" w:hAnsi="SimSun" w:eastAsia="SimSun" w:cs="SimSun"/>
          <w:sz w:val="23"/>
          <w:szCs w:val="23"/>
          <w:spacing w:val="29"/>
        </w:rPr>
        <w:t>《牛屠宰检疫规程》(农牧发[2023]16号)规定以外疫病的，监</w:t>
      </w:r>
      <w:r>
        <w:rPr>
          <w:rFonts w:ascii="SimSun" w:hAnsi="SimSun" w:eastAsia="SimSun" w:cs="SimSun"/>
          <w:sz w:val="23"/>
          <w:szCs w:val="23"/>
          <w:spacing w:val="28"/>
        </w:rPr>
        <w:t>督场(厂、</w:t>
      </w:r>
      <w:r>
        <w:rPr>
          <w:rFonts w:ascii="SimSun" w:hAnsi="SimSun" w:eastAsia="SimSun" w:cs="SimSun"/>
          <w:sz w:val="23"/>
          <w:szCs w:val="23"/>
        </w:rPr>
        <w:t xml:space="preserve"> </w:t>
      </w:r>
      <w:r>
        <w:rPr>
          <w:rFonts w:ascii="SimSun" w:hAnsi="SimSun" w:eastAsia="SimSun" w:cs="SimSun"/>
          <w:sz w:val="23"/>
          <w:szCs w:val="23"/>
          <w:spacing w:val="17"/>
        </w:rPr>
        <w:t>点)方对病猪胴体、病牛四分体及副产品按《病死及病害动物无害化处理技术</w:t>
      </w:r>
      <w:r>
        <w:rPr>
          <w:rFonts w:ascii="SimSun" w:hAnsi="SimSun" w:eastAsia="SimSun" w:cs="SimSun"/>
          <w:sz w:val="23"/>
          <w:szCs w:val="23"/>
          <w:spacing w:val="16"/>
        </w:rPr>
        <w:t xml:space="preserve"> </w:t>
      </w:r>
      <w:r>
        <w:rPr>
          <w:rFonts w:ascii="SimSun" w:hAnsi="SimSun" w:eastAsia="SimSun" w:cs="SimSun"/>
          <w:sz w:val="23"/>
          <w:szCs w:val="23"/>
          <w:spacing w:val="18"/>
        </w:rPr>
        <w:t>规范》(农医发[2017]25号)处理，对污染的场所、器具等按规定实施消毒，</w:t>
      </w:r>
      <w:r>
        <w:rPr>
          <w:rFonts w:ascii="SimSun" w:hAnsi="SimSun" w:eastAsia="SimSun" w:cs="SimSun"/>
          <w:sz w:val="23"/>
          <w:szCs w:val="23"/>
        </w:rPr>
        <w:t xml:space="preserve"> </w:t>
      </w:r>
      <w:r>
        <w:rPr>
          <w:rFonts w:ascii="SimSun" w:hAnsi="SimSun" w:eastAsia="SimSun" w:cs="SimSun"/>
          <w:sz w:val="23"/>
          <w:szCs w:val="23"/>
          <w:spacing w:val="7"/>
        </w:rPr>
        <w:t>并做好《生物安全处理记录》。</w:t>
      </w:r>
    </w:p>
    <w:p>
      <w:pPr>
        <w:ind w:right="38" w:firstLine="470"/>
        <w:spacing w:before="233" w:line="323" w:lineRule="auto"/>
        <w:rPr>
          <w:rFonts w:ascii="SimSun" w:hAnsi="SimSun" w:eastAsia="SimSun" w:cs="SimSun"/>
          <w:sz w:val="23"/>
          <w:szCs w:val="23"/>
        </w:rPr>
      </w:pPr>
      <w:r>
        <w:rPr>
          <w:rFonts w:ascii="SimSun" w:hAnsi="SimSun" w:eastAsia="SimSun" w:cs="SimSun"/>
          <w:sz w:val="23"/>
          <w:szCs w:val="23"/>
          <w:spacing w:val="15"/>
        </w:rPr>
        <w:t>③检出病害生猪、病害肉牛及内脏均委托绵阳市病死畜禽无</w:t>
      </w:r>
      <w:r>
        <w:rPr>
          <w:rFonts w:ascii="SimSun" w:hAnsi="SimSun" w:eastAsia="SimSun" w:cs="SimSun"/>
          <w:sz w:val="23"/>
          <w:szCs w:val="23"/>
          <w:spacing w:val="14"/>
        </w:rPr>
        <w:t>害化处理中心</w:t>
      </w:r>
      <w:r>
        <w:rPr>
          <w:rFonts w:ascii="SimSun" w:hAnsi="SimSun" w:eastAsia="SimSun" w:cs="SimSun"/>
          <w:sz w:val="23"/>
          <w:szCs w:val="23"/>
        </w:rPr>
        <w:t xml:space="preserve"> </w:t>
      </w:r>
      <w:r>
        <w:rPr>
          <w:rFonts w:ascii="SimSun" w:hAnsi="SimSun" w:eastAsia="SimSun" w:cs="SimSun"/>
          <w:sz w:val="23"/>
          <w:szCs w:val="23"/>
          <w:spacing w:val="14"/>
        </w:rPr>
        <w:t>进行无害化处理，并在厂区设置低温冷藏库用于暂存未及时外运的病害动物及</w:t>
      </w:r>
      <w:r>
        <w:rPr>
          <w:rFonts w:ascii="SimSun" w:hAnsi="SimSun" w:eastAsia="SimSun" w:cs="SimSun"/>
          <w:sz w:val="23"/>
          <w:szCs w:val="23"/>
          <w:spacing w:val="5"/>
        </w:rPr>
        <w:t xml:space="preserve"> </w:t>
      </w:r>
      <w:r>
        <w:rPr>
          <w:rFonts w:ascii="SimSun" w:hAnsi="SimSun" w:eastAsia="SimSun" w:cs="SimSun"/>
          <w:sz w:val="23"/>
          <w:szCs w:val="23"/>
          <w:spacing w:val="1"/>
        </w:rPr>
        <w:t>内脏。</w:t>
      </w:r>
    </w:p>
    <w:p>
      <w:pPr>
        <w:ind w:left="3"/>
        <w:spacing w:before="203" w:line="222" w:lineRule="auto"/>
        <w:outlineLvl w:val="1"/>
        <w:rPr>
          <w:rFonts w:ascii="SimHei" w:hAnsi="SimHei" w:eastAsia="SimHei" w:cs="SimHei"/>
          <w:sz w:val="27"/>
          <w:szCs w:val="27"/>
        </w:rPr>
      </w:pPr>
      <w:bookmarkStart w:name="bookmark37" w:id="67"/>
      <w:bookmarkEnd w:id="67"/>
      <w:r>
        <w:rPr>
          <w:rFonts w:ascii="SimHei" w:hAnsi="SimHei" w:eastAsia="SimHei" w:cs="SimHei"/>
          <w:sz w:val="27"/>
          <w:szCs w:val="27"/>
          <w:b/>
          <w:bCs/>
        </w:rPr>
        <w:t>3.7项目总平面布置合理性</w:t>
      </w:r>
    </w:p>
    <w:p>
      <w:pPr>
        <w:ind w:left="623"/>
        <w:spacing w:before="185" w:line="219" w:lineRule="auto"/>
        <w:rPr>
          <w:rFonts w:ascii="SimSun" w:hAnsi="SimSun" w:eastAsia="SimSun" w:cs="SimSun"/>
          <w:sz w:val="23"/>
          <w:szCs w:val="23"/>
        </w:rPr>
      </w:pPr>
      <w:r>
        <w:rPr>
          <w:rFonts w:ascii="SimSun" w:hAnsi="SimSun" w:eastAsia="SimSun" w:cs="SimSun"/>
          <w:sz w:val="23"/>
          <w:szCs w:val="23"/>
          <w:b/>
          <w:bCs/>
          <w:spacing w:val="18"/>
        </w:rPr>
        <w:t>(1)平面布置规则</w:t>
      </w:r>
    </w:p>
    <w:p>
      <w:pPr>
        <w:ind w:right="39" w:firstLine="470"/>
        <w:spacing w:before="210" w:line="377" w:lineRule="auto"/>
        <w:jc w:val="both"/>
        <w:rPr>
          <w:rFonts w:ascii="SimSun" w:hAnsi="SimSun" w:eastAsia="SimSun" w:cs="SimSun"/>
          <w:sz w:val="23"/>
          <w:szCs w:val="23"/>
        </w:rPr>
      </w:pPr>
      <w:r>
        <w:rPr>
          <w:rFonts w:ascii="SimSun" w:hAnsi="SimSun" w:eastAsia="SimSun" w:cs="SimSun"/>
          <w:sz w:val="23"/>
          <w:szCs w:val="23"/>
          <w:spacing w:val="14"/>
        </w:rPr>
        <w:t>总平面布置的原则是充分考虑肉食品加工企业的特点要求，根据国家《食</w:t>
      </w:r>
      <w:r>
        <w:rPr>
          <w:rFonts w:ascii="SimSun" w:hAnsi="SimSun" w:eastAsia="SimSun" w:cs="SimSun"/>
          <w:sz w:val="23"/>
          <w:szCs w:val="23"/>
          <w:spacing w:val="2"/>
        </w:rPr>
        <w:t xml:space="preserve"> </w:t>
      </w:r>
      <w:r>
        <w:rPr>
          <w:rFonts w:ascii="SimSun" w:hAnsi="SimSun" w:eastAsia="SimSun" w:cs="SimSun"/>
          <w:sz w:val="23"/>
          <w:szCs w:val="23"/>
          <w:spacing w:val="5"/>
        </w:rPr>
        <w:t>品安全国家标准畜禽屠宰加工卫生规范》</w:t>
      </w:r>
      <w:r>
        <w:rPr>
          <w:rFonts w:ascii="SimSun" w:hAnsi="SimSun" w:eastAsia="SimSun" w:cs="SimSun"/>
          <w:sz w:val="23"/>
          <w:szCs w:val="23"/>
          <w:spacing w:val="85"/>
        </w:rPr>
        <w:t xml:space="preserve"> </w:t>
      </w:r>
      <w:r>
        <w:rPr>
          <w:rFonts w:ascii="SimSun" w:hAnsi="SimSun" w:eastAsia="SimSun" w:cs="SimSun"/>
          <w:sz w:val="23"/>
          <w:szCs w:val="23"/>
          <w:spacing w:val="5"/>
        </w:rPr>
        <w:t>(</w:t>
      </w:r>
      <w:r>
        <w:rPr>
          <w:rFonts w:ascii="SimSun" w:hAnsi="SimSun" w:eastAsia="SimSun" w:cs="SimSun"/>
          <w:sz w:val="23"/>
          <w:szCs w:val="23"/>
        </w:rPr>
        <w:t>GB</w:t>
      </w:r>
      <w:r>
        <w:rPr>
          <w:rFonts w:ascii="SimSun" w:hAnsi="SimSun" w:eastAsia="SimSun" w:cs="SimSun"/>
          <w:sz w:val="23"/>
          <w:szCs w:val="23"/>
          <w:spacing w:val="5"/>
        </w:rPr>
        <w:t>12694-2016)、</w:t>
      </w:r>
      <w:r>
        <w:rPr>
          <w:rFonts w:ascii="SimSun" w:hAnsi="SimSun" w:eastAsia="SimSun" w:cs="SimSun"/>
          <w:sz w:val="23"/>
          <w:szCs w:val="23"/>
          <w:spacing w:val="4"/>
        </w:rPr>
        <w:t>《</w:t>
      </w:r>
      <w:r>
        <w:rPr>
          <w:rFonts w:ascii="SimSun" w:hAnsi="SimSun" w:eastAsia="SimSun" w:cs="SimSun"/>
          <w:sz w:val="23"/>
          <w:szCs w:val="23"/>
          <w:spacing w:val="49"/>
        </w:rPr>
        <w:t xml:space="preserve">  </w:t>
      </w:r>
      <w:r>
        <w:rPr>
          <w:rFonts w:ascii="SimSun" w:hAnsi="SimSun" w:eastAsia="SimSun" w:cs="SimSun"/>
          <w:sz w:val="23"/>
          <w:szCs w:val="23"/>
          <w:spacing w:val="4"/>
        </w:rPr>
        <w:t>食品安全国家</w:t>
      </w:r>
      <w:r>
        <w:rPr>
          <w:rFonts w:ascii="SimSun" w:hAnsi="SimSun" w:eastAsia="SimSun" w:cs="SimSun"/>
          <w:sz w:val="23"/>
          <w:szCs w:val="23"/>
          <w:spacing w:val="1"/>
        </w:rPr>
        <w:t xml:space="preserve"> </w:t>
      </w:r>
      <w:r>
        <w:rPr>
          <w:rFonts w:ascii="SimSun" w:hAnsi="SimSun" w:eastAsia="SimSun" w:cs="SimSun"/>
          <w:sz w:val="23"/>
          <w:szCs w:val="23"/>
          <w:spacing w:val="6"/>
        </w:rPr>
        <w:t>标准食品生产通用卫生规范》</w:t>
      </w:r>
      <w:r>
        <w:rPr>
          <w:rFonts w:ascii="SimSun" w:hAnsi="SimSun" w:eastAsia="SimSun" w:cs="SimSun"/>
          <w:sz w:val="23"/>
          <w:szCs w:val="23"/>
          <w:spacing w:val="82"/>
        </w:rPr>
        <w:t xml:space="preserve"> </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6"/>
        </w:rPr>
        <w:t>14881-2013)    </w:t>
      </w:r>
      <w:r>
        <w:rPr>
          <w:rFonts w:ascii="SimSun" w:hAnsi="SimSun" w:eastAsia="SimSun" w:cs="SimSun"/>
          <w:sz w:val="23"/>
          <w:szCs w:val="23"/>
          <w:spacing w:val="6"/>
        </w:rPr>
        <w:t>等有关规定布置。</w:t>
      </w:r>
    </w:p>
    <w:p>
      <w:pPr>
        <w:ind w:right="43" w:firstLine="470"/>
        <w:spacing w:line="328" w:lineRule="auto"/>
        <w:rPr>
          <w:rFonts w:ascii="SimSun" w:hAnsi="SimSun" w:eastAsia="SimSun" w:cs="SimSun"/>
          <w:sz w:val="23"/>
          <w:szCs w:val="23"/>
        </w:rPr>
      </w:pPr>
      <w:r>
        <w:rPr>
          <w:rFonts w:ascii="SimSun" w:hAnsi="SimSun" w:eastAsia="SimSun" w:cs="SimSun"/>
          <w:sz w:val="23"/>
          <w:szCs w:val="23"/>
          <w:spacing w:val="15"/>
        </w:rPr>
        <w:t>①满足屠宰加工工艺流程场所标准要求，保</w:t>
      </w:r>
      <w:r>
        <w:rPr>
          <w:rFonts w:ascii="SimSun" w:hAnsi="SimSun" w:eastAsia="SimSun" w:cs="SimSun"/>
          <w:sz w:val="23"/>
          <w:szCs w:val="23"/>
          <w:spacing w:val="14"/>
        </w:rPr>
        <w:t>证生产作业线连续、短捷、方</w:t>
      </w:r>
      <w:r>
        <w:rPr>
          <w:rFonts w:ascii="SimSun" w:hAnsi="SimSun" w:eastAsia="SimSun" w:cs="SimSun"/>
          <w:sz w:val="23"/>
          <w:szCs w:val="23"/>
        </w:rPr>
        <w:t xml:space="preserve"> </w:t>
      </w:r>
      <w:r>
        <w:rPr>
          <w:rFonts w:ascii="SimSun" w:hAnsi="SimSun" w:eastAsia="SimSun" w:cs="SimSun"/>
          <w:sz w:val="23"/>
          <w:szCs w:val="23"/>
          <w:spacing w:val="14"/>
        </w:rPr>
        <w:t>便。要使场内外运输配合协调，避免往返运输和作业线交叉，避免人流货流交</w:t>
      </w:r>
      <w:r>
        <w:rPr>
          <w:rFonts w:ascii="SimSun" w:hAnsi="SimSun" w:eastAsia="SimSun" w:cs="SimSun"/>
          <w:sz w:val="23"/>
          <w:szCs w:val="23"/>
          <w:spacing w:val="2"/>
        </w:rPr>
        <w:t xml:space="preserve"> </w:t>
      </w:r>
      <w:r>
        <w:rPr>
          <w:rFonts w:ascii="SimSun" w:hAnsi="SimSun" w:eastAsia="SimSun" w:cs="SimSun"/>
          <w:sz w:val="23"/>
          <w:szCs w:val="23"/>
          <w:spacing w:val="-6"/>
        </w:rPr>
        <w:t>叉</w:t>
      </w:r>
      <w:r>
        <w:rPr>
          <w:rFonts w:ascii="SimSun" w:hAnsi="SimSun" w:eastAsia="SimSun" w:cs="SimSun"/>
          <w:sz w:val="23"/>
          <w:szCs w:val="23"/>
          <w:spacing w:val="-56"/>
        </w:rPr>
        <w:t xml:space="preserve"> </w:t>
      </w:r>
      <w:r>
        <w:rPr>
          <w:rFonts w:ascii="SimSun" w:hAnsi="SimSun" w:eastAsia="SimSun" w:cs="SimSun"/>
          <w:sz w:val="23"/>
          <w:szCs w:val="23"/>
          <w:spacing w:val="-6"/>
        </w:rPr>
        <w:t>。</w:t>
      </w:r>
    </w:p>
    <w:p>
      <w:pPr>
        <w:ind w:right="32" w:firstLine="470"/>
        <w:spacing w:before="183" w:line="279" w:lineRule="auto"/>
        <w:rPr>
          <w:rFonts w:ascii="SimSun" w:hAnsi="SimSun" w:eastAsia="SimSun" w:cs="SimSun"/>
          <w:sz w:val="23"/>
          <w:szCs w:val="23"/>
        </w:rPr>
      </w:pPr>
      <w:r>
        <w:rPr>
          <w:rFonts w:ascii="SimSun" w:hAnsi="SimSun" w:eastAsia="SimSun" w:cs="SimSun"/>
          <w:sz w:val="23"/>
          <w:szCs w:val="23"/>
          <w:spacing w:val="15"/>
        </w:rPr>
        <w:t>②考虑合理的功能分区，各生产区设计相对独立，保证有良好的生产联系</w:t>
      </w:r>
      <w:r>
        <w:rPr>
          <w:rFonts w:ascii="SimSun" w:hAnsi="SimSun" w:eastAsia="SimSun" w:cs="SimSun"/>
          <w:sz w:val="23"/>
          <w:szCs w:val="23"/>
        </w:rPr>
        <w:t xml:space="preserve"> </w:t>
      </w:r>
      <w:r>
        <w:rPr>
          <w:rFonts w:ascii="SimSun" w:hAnsi="SimSun" w:eastAsia="SimSun" w:cs="SimSun"/>
          <w:sz w:val="23"/>
          <w:szCs w:val="23"/>
          <w:spacing w:val="9"/>
        </w:rPr>
        <w:t>和工作环境，各种动力设施要尽量靠近负荷中心，以缩短管线，节约能源。</w:t>
      </w:r>
    </w:p>
    <w:p>
      <w:pPr>
        <w:spacing w:line="279" w:lineRule="auto"/>
        <w:sectPr>
          <w:headerReference w:type="default" r:id="rId5"/>
          <w:footerReference w:type="default" r:id="rId242"/>
          <w:pgSz w:w="11910" w:h="16840"/>
          <w:pgMar w:top="1219" w:right="1786" w:bottom="957" w:left="1779" w:header="865" w:footer="750" w:gutter="0"/>
        </w:sectPr>
        <w:rPr>
          <w:rFonts w:ascii="SimSun" w:hAnsi="SimSun" w:eastAsia="SimSun" w:cs="SimSun"/>
          <w:sz w:val="23"/>
          <w:szCs w:val="23"/>
        </w:rPr>
      </w:pPr>
    </w:p>
    <w:p>
      <w:pPr>
        <w:ind w:left="3" w:right="68" w:firstLine="460"/>
        <w:spacing w:before="277" w:line="300" w:lineRule="auto"/>
        <w:rPr>
          <w:rFonts w:ascii="SimSun" w:hAnsi="SimSun" w:eastAsia="SimSun" w:cs="SimSun"/>
          <w:sz w:val="23"/>
          <w:szCs w:val="23"/>
        </w:rPr>
      </w:pPr>
      <w:r>
        <w:rPr>
          <w:rFonts w:ascii="SimSun" w:hAnsi="SimSun" w:eastAsia="SimSun" w:cs="SimSun"/>
          <w:sz w:val="23"/>
          <w:szCs w:val="23"/>
          <w:spacing w:val="14"/>
        </w:rPr>
        <w:t>③结合场地地形、地质、地貌等条件，因地制宜并尽可能做到紧</w:t>
      </w:r>
      <w:r>
        <w:rPr>
          <w:rFonts w:ascii="SimSun" w:hAnsi="SimSun" w:eastAsia="SimSun" w:cs="SimSun"/>
          <w:sz w:val="23"/>
          <w:szCs w:val="23"/>
          <w:spacing w:val="13"/>
        </w:rPr>
        <w:t>凑布置，</w:t>
      </w:r>
      <w:r>
        <w:rPr>
          <w:rFonts w:ascii="SimSun" w:hAnsi="SimSun" w:eastAsia="SimSun" w:cs="SimSun"/>
          <w:sz w:val="23"/>
          <w:szCs w:val="23"/>
        </w:rPr>
        <w:t xml:space="preserve"> </w:t>
      </w:r>
      <w:r>
        <w:rPr>
          <w:rFonts w:ascii="SimSun" w:hAnsi="SimSun" w:eastAsia="SimSun" w:cs="SimSun"/>
          <w:sz w:val="23"/>
          <w:szCs w:val="23"/>
          <w:spacing w:val="6"/>
        </w:rPr>
        <w:t>节约用地。</w:t>
      </w:r>
    </w:p>
    <w:p>
      <w:pPr>
        <w:ind w:left="3" w:right="228" w:firstLine="460"/>
        <w:spacing w:before="207" w:line="289" w:lineRule="auto"/>
        <w:rPr>
          <w:rFonts w:ascii="SimSun" w:hAnsi="SimSun" w:eastAsia="SimSun" w:cs="SimSun"/>
          <w:sz w:val="23"/>
          <w:szCs w:val="23"/>
        </w:rPr>
      </w:pPr>
      <w:r>
        <w:rPr>
          <w:rFonts w:ascii="SimSun" w:hAnsi="SimSun" w:eastAsia="SimSun" w:cs="SimSun"/>
          <w:sz w:val="23"/>
          <w:szCs w:val="23"/>
          <w:spacing w:val="9"/>
        </w:rPr>
        <w:t>④建(构)筑物的布置应按照《建筑设计防火规范》</w:t>
      </w:r>
      <w:r>
        <w:rPr>
          <w:rFonts w:ascii="SimSun" w:hAnsi="SimSun" w:eastAsia="SimSun" w:cs="SimSun"/>
          <w:sz w:val="23"/>
          <w:szCs w:val="23"/>
          <w:spacing w:val="73"/>
        </w:rPr>
        <w:t xml:space="preserve"> </w:t>
      </w:r>
      <w:r>
        <w:rPr>
          <w:rFonts w:ascii="Times New Roman" w:hAnsi="Times New Roman" w:eastAsia="Times New Roman" w:cs="Times New Roman"/>
          <w:sz w:val="23"/>
          <w:szCs w:val="23"/>
          <w:spacing w:val="9"/>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9"/>
        </w:rPr>
        <w:t>50016-2014[2018</w:t>
      </w:r>
      <w:r>
        <w:rPr>
          <w:rFonts w:ascii="Times New Roman" w:hAnsi="Times New Roman" w:eastAsia="Times New Roman" w:cs="Times New Roman"/>
          <w:sz w:val="23"/>
          <w:szCs w:val="23"/>
        </w:rPr>
        <w:t xml:space="preserve"> </w:t>
      </w:r>
      <w:r>
        <w:rPr>
          <w:rFonts w:ascii="SimSun" w:hAnsi="SimSun" w:eastAsia="SimSun" w:cs="SimSun"/>
          <w:sz w:val="23"/>
          <w:szCs w:val="23"/>
          <w:spacing w:val="10"/>
        </w:rPr>
        <w:t>年版])等相关规范的要求进行设计、施工。</w:t>
      </w:r>
    </w:p>
    <w:p>
      <w:pPr>
        <w:ind w:left="463"/>
        <w:spacing w:before="214" w:line="217" w:lineRule="auto"/>
        <w:rPr>
          <w:rFonts w:ascii="SimSun" w:hAnsi="SimSun" w:eastAsia="SimSun" w:cs="SimSun"/>
          <w:sz w:val="23"/>
          <w:szCs w:val="23"/>
        </w:rPr>
      </w:pPr>
      <w:r>
        <w:rPr>
          <w:rFonts w:ascii="SimSun" w:hAnsi="SimSun" w:eastAsia="SimSun" w:cs="SimSun"/>
          <w:sz w:val="23"/>
          <w:szCs w:val="23"/>
          <w:spacing w:val="10"/>
        </w:rPr>
        <w:t>⑤屠宰加工区界定和车间布置严格按照国家现行技</w:t>
      </w:r>
      <w:r>
        <w:rPr>
          <w:rFonts w:ascii="SimSun" w:hAnsi="SimSun" w:eastAsia="SimSun" w:cs="SimSun"/>
          <w:sz w:val="23"/>
          <w:szCs w:val="23"/>
          <w:spacing w:val="9"/>
        </w:rPr>
        <w:t>术规范的要求。</w:t>
      </w:r>
    </w:p>
    <w:p>
      <w:pPr>
        <w:ind w:left="597"/>
        <w:spacing w:before="137" w:line="219" w:lineRule="auto"/>
        <w:rPr>
          <w:rFonts w:ascii="SimSun" w:hAnsi="SimSun" w:eastAsia="SimSun" w:cs="SimSun"/>
          <w:sz w:val="25"/>
          <w:szCs w:val="25"/>
        </w:rPr>
      </w:pPr>
      <w:r>
        <w:rPr>
          <w:rFonts w:ascii="SimSun" w:hAnsi="SimSun" w:eastAsia="SimSun" w:cs="SimSun"/>
          <w:sz w:val="25"/>
          <w:szCs w:val="25"/>
          <w:b/>
          <w:bCs/>
          <w:spacing w:val="-6"/>
        </w:rPr>
        <w:t>(2</w:t>
      </w:r>
      <w:r>
        <w:rPr>
          <w:rFonts w:ascii="SimSun" w:hAnsi="SimSun" w:eastAsia="SimSun" w:cs="SimSun"/>
          <w:sz w:val="25"/>
          <w:szCs w:val="25"/>
          <w:spacing w:val="-54"/>
        </w:rPr>
        <w:t xml:space="preserve"> </w:t>
      </w:r>
      <w:r>
        <w:rPr>
          <w:rFonts w:ascii="SimSun" w:hAnsi="SimSun" w:eastAsia="SimSun" w:cs="SimSun"/>
          <w:sz w:val="25"/>
          <w:szCs w:val="25"/>
          <w:b/>
          <w:bCs/>
          <w:spacing w:val="-6"/>
        </w:rPr>
        <w:t>)总平面布置概况</w:t>
      </w:r>
    </w:p>
    <w:p>
      <w:pPr>
        <w:ind w:left="3" w:right="43" w:firstLine="460"/>
        <w:spacing w:before="205" w:line="375" w:lineRule="auto"/>
        <w:jc w:val="both"/>
        <w:rPr>
          <w:rFonts w:ascii="SimSun" w:hAnsi="SimSun" w:eastAsia="SimSun" w:cs="SimSun"/>
          <w:sz w:val="23"/>
          <w:szCs w:val="23"/>
        </w:rPr>
      </w:pPr>
      <w:r>
        <w:rPr>
          <w:rFonts w:ascii="SimSun" w:hAnsi="SimSun" w:eastAsia="SimSun" w:cs="SimSun"/>
          <w:sz w:val="23"/>
          <w:szCs w:val="23"/>
          <w:spacing w:val="14"/>
        </w:rPr>
        <w:t>本项目厂区内平面布置根据生产工艺要求，充分利用厂区场地形状、并结</w:t>
      </w:r>
      <w:r>
        <w:rPr>
          <w:rFonts w:ascii="SimSun" w:hAnsi="SimSun" w:eastAsia="SimSun" w:cs="SimSun"/>
          <w:sz w:val="23"/>
          <w:szCs w:val="23"/>
          <w:spacing w:val="4"/>
        </w:rPr>
        <w:t xml:space="preserve"> </w:t>
      </w:r>
      <w:r>
        <w:rPr>
          <w:rFonts w:ascii="SimSun" w:hAnsi="SimSun" w:eastAsia="SimSun" w:cs="SimSun"/>
          <w:sz w:val="23"/>
          <w:szCs w:val="23"/>
          <w:spacing w:val="14"/>
        </w:rPr>
        <w:t>合厂区内外交通，人流、物流走向以及常年主导风向等因素</w:t>
      </w:r>
      <w:r>
        <w:rPr>
          <w:rFonts w:ascii="SimSun" w:hAnsi="SimSun" w:eastAsia="SimSun" w:cs="SimSun"/>
          <w:sz w:val="23"/>
          <w:szCs w:val="23"/>
          <w:spacing w:val="13"/>
        </w:rPr>
        <w:t>，做到人流、物流</w:t>
      </w:r>
      <w:r>
        <w:rPr>
          <w:rFonts w:ascii="SimSun" w:hAnsi="SimSun" w:eastAsia="SimSun" w:cs="SimSun"/>
          <w:sz w:val="23"/>
          <w:szCs w:val="23"/>
        </w:rPr>
        <w:t xml:space="preserve"> </w:t>
      </w:r>
      <w:r>
        <w:rPr>
          <w:rFonts w:ascii="SimSun" w:hAnsi="SimSun" w:eastAsia="SimSun" w:cs="SimSun"/>
          <w:sz w:val="23"/>
          <w:szCs w:val="23"/>
          <w:spacing w:val="9"/>
        </w:rPr>
        <w:t>分开，原料与成品、半成品分开，杜绝生产、运输过程中的交叉污染。</w:t>
      </w:r>
    </w:p>
    <w:p>
      <w:pPr>
        <w:ind w:left="3" w:right="32" w:firstLine="460"/>
        <w:spacing w:before="2" w:line="370" w:lineRule="auto"/>
        <w:rPr>
          <w:rFonts w:ascii="SimSun" w:hAnsi="SimSun" w:eastAsia="SimSun" w:cs="SimSun"/>
          <w:sz w:val="23"/>
          <w:szCs w:val="23"/>
        </w:rPr>
      </w:pPr>
      <w:r>
        <w:rPr>
          <w:rFonts w:ascii="SimSun" w:hAnsi="SimSun" w:eastAsia="SimSun" w:cs="SimSun"/>
          <w:sz w:val="23"/>
          <w:szCs w:val="23"/>
          <w:spacing w:val="23"/>
        </w:rPr>
        <w:t>本项目内部道路随各主体功能建筑形成环形通道，并配置绿化</w:t>
      </w:r>
      <w:r>
        <w:rPr>
          <w:rFonts w:ascii="SimSun" w:hAnsi="SimSun" w:eastAsia="SimSun" w:cs="SimSun"/>
          <w:sz w:val="23"/>
          <w:szCs w:val="23"/>
          <w:spacing w:val="22"/>
        </w:rPr>
        <w:t>景观，以</w:t>
      </w:r>
      <w:r>
        <w:rPr>
          <w:rFonts w:ascii="SimSun" w:hAnsi="SimSun" w:eastAsia="SimSun" w:cs="SimSun"/>
          <w:sz w:val="23"/>
          <w:szCs w:val="23"/>
        </w:rPr>
        <w:t xml:space="preserve"> </w:t>
      </w:r>
      <w:r>
        <w:rPr>
          <w:rFonts w:ascii="SimSun" w:hAnsi="SimSun" w:eastAsia="SimSun" w:cs="SimSun"/>
          <w:sz w:val="23"/>
          <w:szCs w:val="23"/>
          <w:spacing w:val="14"/>
        </w:rPr>
        <w:t>点、线、面结合，规矩中有变化，强调景观的多层次可变性</w:t>
      </w:r>
      <w:r>
        <w:rPr>
          <w:rFonts w:ascii="SimSun" w:hAnsi="SimSun" w:eastAsia="SimSun" w:cs="SimSun"/>
          <w:sz w:val="23"/>
          <w:szCs w:val="23"/>
          <w:spacing w:val="13"/>
        </w:rPr>
        <w:t>。总体布局充分考</w:t>
      </w:r>
      <w:r>
        <w:rPr>
          <w:rFonts w:ascii="SimSun" w:hAnsi="SimSun" w:eastAsia="SimSun" w:cs="SimSun"/>
          <w:sz w:val="23"/>
          <w:szCs w:val="23"/>
        </w:rPr>
        <w:t xml:space="preserve"> </w:t>
      </w:r>
      <w:r>
        <w:rPr>
          <w:rFonts w:ascii="SimSun" w:hAnsi="SimSun" w:eastAsia="SimSun" w:cs="SimSun"/>
          <w:sz w:val="23"/>
          <w:szCs w:val="23"/>
          <w:spacing w:val="14"/>
        </w:rPr>
        <w:t>虑功能因素，在设置建筑、道路以及绿化时，力图做到建筑功</w:t>
      </w:r>
      <w:r>
        <w:rPr>
          <w:rFonts w:ascii="SimSun" w:hAnsi="SimSun" w:eastAsia="SimSun" w:cs="SimSun"/>
          <w:sz w:val="23"/>
          <w:szCs w:val="23"/>
          <w:spacing w:val="13"/>
        </w:rPr>
        <w:t>能分区合理、道</w:t>
      </w:r>
      <w:r>
        <w:rPr>
          <w:rFonts w:ascii="SimSun" w:hAnsi="SimSun" w:eastAsia="SimSun" w:cs="SimSun"/>
          <w:sz w:val="23"/>
          <w:szCs w:val="23"/>
        </w:rPr>
        <w:t xml:space="preserve"> </w:t>
      </w:r>
      <w:r>
        <w:rPr>
          <w:rFonts w:ascii="SimSun" w:hAnsi="SimSun" w:eastAsia="SimSun" w:cs="SimSun"/>
          <w:sz w:val="23"/>
          <w:szCs w:val="23"/>
          <w:spacing w:val="13"/>
        </w:rPr>
        <w:t>路流线顺畅、绿化环境完善。总体布局符合规划、消防、人防、环保、防灾、</w:t>
      </w:r>
      <w:r>
        <w:rPr>
          <w:rFonts w:ascii="SimSun" w:hAnsi="SimSun" w:eastAsia="SimSun" w:cs="SimSun"/>
          <w:sz w:val="23"/>
          <w:szCs w:val="23"/>
          <w:spacing w:val="1"/>
        </w:rPr>
        <w:t xml:space="preserve"> </w:t>
      </w:r>
      <w:r>
        <w:rPr>
          <w:rFonts w:ascii="SimSun" w:hAnsi="SimSun" w:eastAsia="SimSun" w:cs="SimSun"/>
          <w:sz w:val="23"/>
          <w:szCs w:val="23"/>
          <w:spacing w:val="7"/>
        </w:rPr>
        <w:t>减灾等要求，强调可持续性发展。</w:t>
      </w:r>
    </w:p>
    <w:p>
      <w:pPr>
        <w:ind w:left="3" w:right="9" w:firstLine="460"/>
        <w:spacing w:before="40" w:line="369" w:lineRule="auto"/>
        <w:tabs>
          <w:tab w:val="left" w:pos="113"/>
          <w:tab w:val="left" w:pos="123"/>
        </w:tabs>
        <w:jc w:val="both"/>
        <w:rPr>
          <w:rFonts w:ascii="SimSun" w:hAnsi="SimSun" w:eastAsia="SimSun" w:cs="SimSun"/>
          <w:sz w:val="23"/>
          <w:szCs w:val="23"/>
        </w:rPr>
      </w:pPr>
      <w:r>
        <w:rPr>
          <w:rFonts w:ascii="SimSun" w:hAnsi="SimSun" w:eastAsia="SimSun" w:cs="SimSun"/>
          <w:sz w:val="23"/>
          <w:szCs w:val="23"/>
          <w:spacing w:val="13"/>
        </w:rPr>
        <w:t>本项目厂区主要设置生猪屠宰车间和肉牛屠宰车间，生猪待宰圈舍、生猪</w:t>
      </w:r>
      <w:r>
        <w:rPr>
          <w:rFonts w:ascii="SimSun" w:hAnsi="SimSun" w:eastAsia="SimSun" w:cs="SimSun"/>
          <w:sz w:val="23"/>
          <w:szCs w:val="23"/>
          <w:spacing w:val="2"/>
        </w:rPr>
        <w:t xml:space="preserve"> </w:t>
      </w:r>
      <w:r>
        <w:rPr>
          <w:rFonts w:ascii="SimSun" w:hAnsi="SimSun" w:eastAsia="SimSun" w:cs="SimSun"/>
          <w:sz w:val="23"/>
          <w:szCs w:val="23"/>
          <w:spacing w:val="46"/>
        </w:rPr>
        <w:t>屠宰车间、肉牛待宰圈舍及屠宰车间设置在厂区中部，其废气排气筒</w:t>
      </w:r>
      <w:r>
        <w:rPr>
          <w:rFonts w:ascii="SimSun" w:hAnsi="SimSun" w:eastAsia="SimSun" w:cs="SimSun"/>
          <w:sz w:val="23"/>
          <w:szCs w:val="23"/>
          <w:spacing w:val="13"/>
        </w:rPr>
        <w:t xml:space="preserve"> </w:t>
      </w:r>
      <w:r>
        <w:rPr>
          <w:rFonts w:ascii="Times New Roman" w:hAnsi="Times New Roman" w:eastAsia="Times New Roman" w:cs="Times New Roman"/>
          <w:sz w:val="23"/>
          <w:szCs w:val="23"/>
        </w:rPr>
        <w:tab/>
      </w:r>
      <w:r>
        <w:rPr>
          <w:rFonts w:ascii="Times New Roman" w:hAnsi="Times New Roman" w:eastAsia="Times New Roman" w:cs="Times New Roman"/>
          <w:sz w:val="23"/>
          <w:szCs w:val="23"/>
        </w:rPr>
        <w:tab/>
      </w:r>
      <w:r>
        <w:rPr>
          <w:rFonts w:ascii="Times New Roman" w:hAnsi="Times New Roman" w:eastAsia="Times New Roman" w:cs="Times New Roman"/>
          <w:sz w:val="23"/>
          <w:szCs w:val="23"/>
          <w:spacing w:val="12"/>
        </w:rPr>
        <w:t>(</w:t>
      </w:r>
      <w:r>
        <w:rPr>
          <w:rFonts w:ascii="Times New Roman" w:hAnsi="Times New Roman" w:eastAsia="Times New Roman" w:cs="Times New Roman"/>
          <w:sz w:val="23"/>
          <w:szCs w:val="23"/>
        </w:rPr>
        <w:t>DA</w:t>
      </w:r>
      <w:r>
        <w:rPr>
          <w:rFonts w:ascii="Times New Roman" w:hAnsi="Times New Roman" w:eastAsia="Times New Roman" w:cs="Times New Roman"/>
          <w:sz w:val="23"/>
          <w:szCs w:val="23"/>
          <w:spacing w:val="12"/>
        </w:rPr>
        <w:t>001</w:t>
      </w:r>
      <w:r>
        <w:rPr>
          <w:rFonts w:ascii="Times New Roman" w:hAnsi="Times New Roman" w:eastAsia="Times New Roman" w:cs="Times New Roman"/>
          <w:sz w:val="23"/>
          <w:szCs w:val="23"/>
          <w:spacing w:val="-28"/>
        </w:rPr>
        <w:t xml:space="preserve"> </w:t>
      </w:r>
      <w:r>
        <w:rPr>
          <w:rFonts w:ascii="SimSun" w:hAnsi="SimSun" w:eastAsia="SimSun" w:cs="SimSun"/>
          <w:sz w:val="23"/>
          <w:szCs w:val="23"/>
          <w:spacing w:val="12"/>
        </w:rPr>
        <w:t>、</w:t>
      </w:r>
      <w:r>
        <w:rPr>
          <w:rFonts w:ascii="Times New Roman" w:hAnsi="Times New Roman" w:eastAsia="Times New Roman" w:cs="Times New Roman"/>
          <w:sz w:val="23"/>
          <w:szCs w:val="23"/>
        </w:rPr>
        <w:t>DA</w:t>
      </w:r>
      <w:r>
        <w:rPr>
          <w:rFonts w:ascii="Times New Roman" w:hAnsi="Times New Roman" w:eastAsia="Times New Roman" w:cs="Times New Roman"/>
          <w:sz w:val="23"/>
          <w:szCs w:val="23"/>
          <w:spacing w:val="12"/>
        </w:rPr>
        <w:t>002</w:t>
      </w:r>
      <w:r>
        <w:rPr>
          <w:rFonts w:ascii="Times New Roman" w:hAnsi="Times New Roman" w:eastAsia="Times New Roman" w:cs="Times New Roman"/>
          <w:sz w:val="23"/>
          <w:szCs w:val="23"/>
          <w:spacing w:val="-33"/>
        </w:rPr>
        <w:t xml:space="preserve"> </w:t>
      </w:r>
      <w:r>
        <w:rPr>
          <w:rFonts w:ascii="SimSun" w:hAnsi="SimSun" w:eastAsia="SimSun" w:cs="SimSun"/>
          <w:sz w:val="23"/>
          <w:szCs w:val="23"/>
          <w:spacing w:val="12"/>
        </w:rPr>
        <w:t>、</w:t>
      </w:r>
      <w:r>
        <w:rPr>
          <w:rFonts w:ascii="Times New Roman" w:hAnsi="Times New Roman" w:eastAsia="Times New Roman" w:cs="Times New Roman"/>
          <w:sz w:val="23"/>
          <w:szCs w:val="23"/>
        </w:rPr>
        <w:t>DA</w:t>
      </w:r>
      <w:r>
        <w:rPr>
          <w:rFonts w:ascii="Times New Roman" w:hAnsi="Times New Roman" w:eastAsia="Times New Roman" w:cs="Times New Roman"/>
          <w:sz w:val="23"/>
          <w:szCs w:val="23"/>
          <w:spacing w:val="12"/>
        </w:rPr>
        <w:t>003)     </w:t>
      </w:r>
      <w:r>
        <w:rPr>
          <w:rFonts w:ascii="SimSun" w:hAnsi="SimSun" w:eastAsia="SimSun" w:cs="SimSun"/>
          <w:sz w:val="23"/>
          <w:szCs w:val="23"/>
          <w:spacing w:val="12"/>
        </w:rPr>
        <w:t>均设置在生猪待宰圈舍南侧(常年主导风向侧风</w:t>
      </w:r>
      <w:r>
        <w:rPr>
          <w:rFonts w:ascii="SimSun" w:hAnsi="SimSun" w:eastAsia="SimSun" w:cs="SimSun"/>
          <w:sz w:val="23"/>
          <w:szCs w:val="23"/>
        </w:rPr>
        <w:t xml:space="preserve"> </w:t>
      </w:r>
      <w:r>
        <w:rPr>
          <w:rFonts w:ascii="SimSun" w:hAnsi="SimSun" w:eastAsia="SimSun" w:cs="SimSun"/>
          <w:sz w:val="23"/>
          <w:szCs w:val="23"/>
          <w:spacing w:val="45"/>
        </w:rPr>
        <w:t>向且远离环境敏感目标),污水处理站设置为半地埋式，其废气排</w:t>
      </w:r>
      <w:r>
        <w:rPr>
          <w:rFonts w:ascii="SimSun" w:hAnsi="SimSun" w:eastAsia="SimSun" w:cs="SimSun"/>
          <w:sz w:val="23"/>
          <w:szCs w:val="23"/>
          <w:spacing w:val="44"/>
        </w:rPr>
        <w:t>气筒</w:t>
      </w:r>
      <w:r>
        <w:rPr>
          <w:rFonts w:ascii="SimSun" w:hAnsi="SimSun" w:eastAsia="SimSun" w:cs="SimSun"/>
          <w:sz w:val="23"/>
          <w:szCs w:val="23"/>
        </w:rPr>
        <w:t xml:space="preserve"> </w:t>
      </w:r>
      <w:r>
        <w:rPr>
          <w:rFonts w:ascii="Times New Roman" w:hAnsi="Times New Roman" w:eastAsia="Times New Roman" w:cs="Times New Roman"/>
          <w:sz w:val="23"/>
          <w:szCs w:val="23"/>
        </w:rPr>
        <w:tab/>
      </w:r>
      <w:r>
        <w:rPr>
          <w:rFonts w:ascii="Times New Roman" w:hAnsi="Times New Roman" w:eastAsia="Times New Roman" w:cs="Times New Roman"/>
          <w:sz w:val="23"/>
          <w:szCs w:val="23"/>
          <w:spacing w:val="16"/>
        </w:rPr>
        <w:t>(</w:t>
      </w:r>
      <w:r>
        <w:rPr>
          <w:rFonts w:ascii="Times New Roman" w:hAnsi="Times New Roman" w:eastAsia="Times New Roman" w:cs="Times New Roman"/>
          <w:sz w:val="23"/>
          <w:szCs w:val="23"/>
        </w:rPr>
        <w:t>DA</w:t>
      </w:r>
      <w:r>
        <w:rPr>
          <w:rFonts w:ascii="Times New Roman" w:hAnsi="Times New Roman" w:eastAsia="Times New Roman" w:cs="Times New Roman"/>
          <w:sz w:val="23"/>
          <w:szCs w:val="23"/>
          <w:spacing w:val="16"/>
        </w:rPr>
        <w:t>004)    </w:t>
      </w:r>
      <w:r>
        <w:rPr>
          <w:rFonts w:ascii="SimSun" w:hAnsi="SimSun" w:eastAsia="SimSun" w:cs="SimSun"/>
          <w:sz w:val="23"/>
          <w:szCs w:val="23"/>
          <w:spacing w:val="16"/>
        </w:rPr>
        <w:t>设置在污水处理站西北侧(常年主导风向</w:t>
      </w:r>
      <w:r>
        <w:rPr>
          <w:rFonts w:ascii="SimSun" w:hAnsi="SimSun" w:eastAsia="SimSun" w:cs="SimSun"/>
          <w:sz w:val="23"/>
          <w:szCs w:val="23"/>
          <w:spacing w:val="15"/>
        </w:rPr>
        <w:t>侧风向且远离环境敏感目</w:t>
      </w:r>
      <w:r>
        <w:rPr>
          <w:rFonts w:ascii="SimSun" w:hAnsi="SimSun" w:eastAsia="SimSun" w:cs="SimSun"/>
          <w:sz w:val="23"/>
          <w:szCs w:val="23"/>
        </w:rPr>
        <w:t xml:space="preserve"> </w:t>
      </w:r>
      <w:r>
        <w:rPr>
          <w:rFonts w:ascii="SimSun" w:hAnsi="SimSun" w:eastAsia="SimSun" w:cs="SimSun"/>
          <w:sz w:val="23"/>
          <w:szCs w:val="23"/>
          <w:spacing w:val="22"/>
        </w:rPr>
        <w:t>标),蒸汽发生器房排气筒</w:t>
      </w:r>
      <w:r>
        <w:rPr>
          <w:rFonts w:ascii="SimSun" w:hAnsi="SimSun" w:eastAsia="SimSun" w:cs="SimSun"/>
          <w:sz w:val="23"/>
          <w:szCs w:val="23"/>
          <w:spacing w:val="-29"/>
        </w:rPr>
        <w:t xml:space="preserve"> </w:t>
      </w:r>
      <w:r>
        <w:rPr>
          <w:rFonts w:ascii="Times New Roman" w:hAnsi="Times New Roman" w:eastAsia="Times New Roman" w:cs="Times New Roman"/>
          <w:sz w:val="23"/>
          <w:szCs w:val="23"/>
          <w:spacing w:val="22"/>
        </w:rPr>
        <w:t>(</w:t>
      </w:r>
      <w:r>
        <w:rPr>
          <w:rFonts w:ascii="Times New Roman" w:hAnsi="Times New Roman" w:eastAsia="Times New Roman" w:cs="Times New Roman"/>
          <w:sz w:val="23"/>
          <w:szCs w:val="23"/>
        </w:rPr>
        <w:t>DA</w:t>
      </w:r>
      <w:r>
        <w:rPr>
          <w:rFonts w:ascii="Times New Roman" w:hAnsi="Times New Roman" w:eastAsia="Times New Roman" w:cs="Times New Roman"/>
          <w:sz w:val="23"/>
          <w:szCs w:val="23"/>
          <w:spacing w:val="22"/>
        </w:rPr>
        <w:t>005)   </w:t>
      </w:r>
      <w:r>
        <w:rPr>
          <w:rFonts w:ascii="Times New Roman" w:hAnsi="Times New Roman" w:eastAsia="Times New Roman" w:cs="Times New Roman"/>
          <w:sz w:val="23"/>
          <w:szCs w:val="23"/>
          <w:spacing w:val="21"/>
        </w:rPr>
        <w:t xml:space="preserve"> </w:t>
      </w:r>
      <w:r>
        <w:rPr>
          <w:rFonts w:ascii="SimSun" w:hAnsi="SimSun" w:eastAsia="SimSun" w:cs="SimSun"/>
          <w:sz w:val="23"/>
          <w:szCs w:val="23"/>
          <w:spacing w:val="21"/>
        </w:rPr>
        <w:t>设置生猪屠宰车间东南侧(常年主导风</w:t>
      </w:r>
      <w:r>
        <w:rPr>
          <w:rFonts w:ascii="SimSun" w:hAnsi="SimSun" w:eastAsia="SimSun" w:cs="SimSun"/>
          <w:sz w:val="23"/>
          <w:szCs w:val="23"/>
        </w:rPr>
        <w:t xml:space="preserve"> </w:t>
      </w:r>
      <w:r>
        <w:rPr>
          <w:rFonts w:ascii="SimSun" w:hAnsi="SimSun" w:eastAsia="SimSun" w:cs="SimSun"/>
          <w:sz w:val="23"/>
          <w:szCs w:val="23"/>
          <w:spacing w:val="16"/>
        </w:rPr>
        <w:t>向侧风向且远离环境敏感目标)。主出入口分别位于厂区内西北侧和西南侧，</w:t>
      </w:r>
      <w:r>
        <w:rPr>
          <w:rFonts w:ascii="SimSun" w:hAnsi="SimSun" w:eastAsia="SimSun" w:cs="SimSun"/>
          <w:sz w:val="23"/>
          <w:szCs w:val="23"/>
          <w:spacing w:val="14"/>
        </w:rPr>
        <w:t xml:space="preserve"> </w:t>
      </w:r>
      <w:r>
        <w:rPr>
          <w:rFonts w:ascii="SimSun" w:hAnsi="SimSun" w:eastAsia="SimSun" w:cs="SimSun"/>
          <w:sz w:val="23"/>
          <w:szCs w:val="23"/>
          <w:spacing w:val="14"/>
        </w:rPr>
        <w:t>均临近园区主干路，主入口规划设计开阔广场，污物、清洁流</w:t>
      </w:r>
      <w:r>
        <w:rPr>
          <w:rFonts w:ascii="SimSun" w:hAnsi="SimSun" w:eastAsia="SimSun" w:cs="SimSun"/>
          <w:sz w:val="23"/>
          <w:szCs w:val="23"/>
          <w:spacing w:val="13"/>
        </w:rPr>
        <w:t>线互不干扰。食</w:t>
      </w:r>
      <w:r>
        <w:rPr>
          <w:rFonts w:ascii="SimSun" w:hAnsi="SimSun" w:eastAsia="SimSun" w:cs="SimSun"/>
          <w:sz w:val="23"/>
          <w:szCs w:val="23"/>
        </w:rPr>
        <w:t xml:space="preserve"> </w:t>
      </w:r>
      <w:r>
        <w:rPr>
          <w:rFonts w:ascii="SimSun" w:hAnsi="SimSun" w:eastAsia="SimSun" w:cs="SimSun"/>
          <w:sz w:val="23"/>
          <w:szCs w:val="23"/>
          <w:spacing w:val="14"/>
        </w:rPr>
        <w:t>堂、检验检疫室设置在原项目办公楼内，与生产车间相对独立。厂</w:t>
      </w:r>
      <w:r>
        <w:rPr>
          <w:rFonts w:ascii="SimSun" w:hAnsi="SimSun" w:eastAsia="SimSun" w:cs="SimSun"/>
          <w:sz w:val="23"/>
          <w:szCs w:val="23"/>
          <w:spacing w:val="13"/>
        </w:rPr>
        <w:t>区总平面布</w:t>
      </w:r>
      <w:r>
        <w:rPr>
          <w:rFonts w:ascii="SimSun" w:hAnsi="SimSun" w:eastAsia="SimSun" w:cs="SimSun"/>
          <w:sz w:val="23"/>
          <w:szCs w:val="23"/>
        </w:rPr>
        <w:t xml:space="preserve"> </w:t>
      </w:r>
      <w:r>
        <w:rPr>
          <w:rFonts w:ascii="SimSun" w:hAnsi="SimSun" w:eastAsia="SimSun" w:cs="SimSun"/>
          <w:sz w:val="23"/>
          <w:szCs w:val="23"/>
          <w:spacing w:val="4"/>
        </w:rPr>
        <w:t>置详见附图。</w:t>
      </w:r>
    </w:p>
    <w:p>
      <w:pPr>
        <w:ind w:left="607"/>
        <w:spacing w:before="23" w:line="219" w:lineRule="auto"/>
        <w:rPr>
          <w:rFonts w:ascii="SimSun" w:hAnsi="SimSun" w:eastAsia="SimSun" w:cs="SimSun"/>
          <w:sz w:val="25"/>
          <w:szCs w:val="25"/>
        </w:rPr>
      </w:pPr>
      <w:r>
        <w:rPr>
          <w:rFonts w:ascii="SimSun" w:hAnsi="SimSun" w:eastAsia="SimSun" w:cs="SimSun"/>
          <w:sz w:val="25"/>
          <w:szCs w:val="25"/>
          <w:b/>
          <w:bCs/>
          <w:spacing w:val="-6"/>
        </w:rPr>
        <w:t>(3</w:t>
      </w:r>
      <w:r>
        <w:rPr>
          <w:rFonts w:ascii="SimSun" w:hAnsi="SimSun" w:eastAsia="SimSun" w:cs="SimSun"/>
          <w:sz w:val="25"/>
          <w:szCs w:val="25"/>
          <w:spacing w:val="-57"/>
        </w:rPr>
        <w:t xml:space="preserve"> </w:t>
      </w:r>
      <w:r>
        <w:rPr>
          <w:rFonts w:ascii="SimSun" w:hAnsi="SimSun" w:eastAsia="SimSun" w:cs="SimSun"/>
          <w:sz w:val="25"/>
          <w:szCs w:val="25"/>
          <w:b/>
          <w:bCs/>
          <w:spacing w:val="-6"/>
        </w:rPr>
        <w:t>)平面布置合理性分析</w:t>
      </w:r>
    </w:p>
    <w:p>
      <w:pPr>
        <w:ind w:left="467"/>
        <w:spacing w:before="162" w:line="217" w:lineRule="auto"/>
        <w:rPr>
          <w:rFonts w:ascii="SimSun" w:hAnsi="SimSun" w:eastAsia="SimSun" w:cs="SimSun"/>
          <w:sz w:val="25"/>
          <w:szCs w:val="25"/>
        </w:rPr>
      </w:pPr>
      <w:r>
        <w:rPr>
          <w:rFonts w:ascii="SimSun" w:hAnsi="SimSun" w:eastAsia="SimSun" w:cs="SimSun"/>
          <w:sz w:val="25"/>
          <w:szCs w:val="25"/>
          <w:b/>
          <w:bCs/>
          <w:spacing w:val="-4"/>
        </w:rPr>
        <w:t>①与《动物防疫条件审查办法》(农业农村部2022年第8号令)符合</w:t>
      </w:r>
      <w:r>
        <w:rPr>
          <w:rFonts w:ascii="SimSun" w:hAnsi="SimSun" w:eastAsia="SimSun" w:cs="SimSun"/>
          <w:sz w:val="25"/>
          <w:szCs w:val="25"/>
          <w:b/>
          <w:bCs/>
          <w:spacing w:val="-5"/>
        </w:rPr>
        <w:t>性分析</w:t>
      </w:r>
    </w:p>
    <w:p>
      <w:pPr>
        <w:ind w:left="3" w:right="52" w:firstLine="460"/>
        <w:spacing w:before="221" w:line="395" w:lineRule="auto"/>
        <w:rPr>
          <w:rFonts w:ascii="SimSun" w:hAnsi="SimSun" w:eastAsia="SimSun" w:cs="SimSun"/>
          <w:sz w:val="23"/>
          <w:szCs w:val="23"/>
        </w:rPr>
      </w:pPr>
      <w:r>
        <w:rPr>
          <w:rFonts w:ascii="SimSun" w:hAnsi="SimSun" w:eastAsia="SimSun" w:cs="SimSun"/>
          <w:sz w:val="23"/>
          <w:szCs w:val="23"/>
          <w:spacing w:val="16"/>
        </w:rPr>
        <w:t>根据《动物防疫条件审查办法》(农业农村部2022年第8号令)中厂区布局</w:t>
      </w:r>
      <w:r>
        <w:rPr>
          <w:rFonts w:ascii="SimSun" w:hAnsi="SimSun" w:eastAsia="SimSun" w:cs="SimSun"/>
          <w:sz w:val="23"/>
          <w:szCs w:val="23"/>
          <w:spacing w:val="14"/>
        </w:rPr>
        <w:t xml:space="preserve"> </w:t>
      </w:r>
      <w:r>
        <w:rPr>
          <w:rFonts w:ascii="SimSun" w:hAnsi="SimSun" w:eastAsia="SimSun" w:cs="SimSun"/>
          <w:sz w:val="23"/>
          <w:szCs w:val="23"/>
          <w:spacing w:val="9"/>
        </w:rPr>
        <w:t>有关要求，本项目厂区平面布置与其符合性分析见下表。</w:t>
      </w:r>
    </w:p>
    <w:p>
      <w:pPr>
        <w:spacing w:line="395" w:lineRule="auto"/>
        <w:sectPr>
          <w:headerReference w:type="default" r:id="rId25"/>
          <w:footerReference w:type="default" r:id="rId243"/>
          <w:pgSz w:w="11910" w:h="16840"/>
          <w:pgMar w:top="1219" w:right="1786" w:bottom="990" w:left="1786" w:header="865" w:footer="782" w:gutter="0"/>
        </w:sectPr>
        <w:rPr>
          <w:rFonts w:ascii="SimSun" w:hAnsi="SimSun" w:eastAsia="SimSun" w:cs="SimSun"/>
          <w:sz w:val="23"/>
          <w:szCs w:val="23"/>
        </w:rPr>
      </w:pPr>
    </w:p>
    <w:p>
      <w:pPr>
        <w:ind w:left="98"/>
        <w:spacing w:before="287" w:line="219" w:lineRule="auto"/>
        <w:rPr>
          <w:rFonts w:ascii="SimSun" w:hAnsi="SimSun" w:eastAsia="SimSun" w:cs="SimSun"/>
          <w:sz w:val="24"/>
          <w:szCs w:val="24"/>
        </w:rPr>
      </w:pPr>
      <w:bookmarkStart w:name="bookmark103" w:id="68"/>
      <w:bookmarkEnd w:id="68"/>
      <w:r>
        <w:rPr>
          <w:rFonts w:ascii="SimSun" w:hAnsi="SimSun" w:eastAsia="SimSun" w:cs="SimSun"/>
          <w:sz w:val="24"/>
          <w:szCs w:val="24"/>
          <w:b/>
          <w:bCs/>
          <w:spacing w:val="-3"/>
        </w:rPr>
        <w:t>表3.7-1厂区布局与《动物防疫条件审查办法》(农业部2022年第8号令)符合性</w:t>
      </w:r>
    </w:p>
    <w:p>
      <w:pPr>
        <w:spacing w:line="15" w:lineRule="exact"/>
        <w:rPr/>
      </w:pPr>
      <w:r/>
    </w:p>
    <w:tbl>
      <w:tblPr>
        <w:tblStyle w:val="TableNormal"/>
        <w:tblW w:w="85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64"/>
        <w:gridCol w:w="3646"/>
        <w:gridCol w:w="3745"/>
        <w:gridCol w:w="664"/>
      </w:tblGrid>
      <w:tr>
        <w:trPr>
          <w:trHeight w:val="284" w:hRule="atLeast"/>
        </w:trPr>
        <w:tc>
          <w:tcPr>
            <w:shd w:val="clear" w:fill="BDBDBD"/>
            <w:tcW w:w="464" w:type="dxa"/>
            <w:vAlign w:val="top"/>
          </w:tcPr>
          <w:p>
            <w:pPr>
              <w:pStyle w:val="TableText"/>
              <w:ind w:left="18"/>
              <w:spacing w:before="41" w:line="204" w:lineRule="auto"/>
              <w:rPr>
                <w:sz w:val="21"/>
                <w:szCs w:val="21"/>
              </w:rPr>
            </w:pPr>
            <w:r>
              <w:rPr>
                <w:sz w:val="21"/>
                <w:szCs w:val="21"/>
                <w:b/>
                <w:bCs/>
                <w:spacing w:val="-5"/>
              </w:rPr>
              <w:t>序号</w:t>
            </w:r>
          </w:p>
        </w:tc>
        <w:tc>
          <w:tcPr>
            <w:shd w:val="clear" w:fill="BDBDBD"/>
            <w:tcW w:w="3646" w:type="dxa"/>
            <w:vAlign w:val="top"/>
          </w:tcPr>
          <w:p>
            <w:pPr>
              <w:pStyle w:val="TableText"/>
              <w:ind w:left="88"/>
              <w:spacing w:before="40" w:line="205" w:lineRule="auto"/>
              <w:rPr>
                <w:sz w:val="21"/>
                <w:szCs w:val="21"/>
              </w:rPr>
            </w:pPr>
            <w:r>
              <w:rPr>
                <w:sz w:val="21"/>
                <w:szCs w:val="21"/>
                <w:b/>
                <w:bCs/>
                <w:spacing w:val="-4"/>
              </w:rPr>
              <w:t>《动物防疫条件审查办法》有关要求</w:t>
            </w:r>
          </w:p>
        </w:tc>
        <w:tc>
          <w:tcPr>
            <w:shd w:val="clear" w:fill="BDBDBD"/>
            <w:tcW w:w="3745" w:type="dxa"/>
            <w:vAlign w:val="top"/>
          </w:tcPr>
          <w:p>
            <w:pPr>
              <w:pStyle w:val="TableText"/>
              <w:ind w:left="1557"/>
              <w:spacing w:before="39" w:line="206" w:lineRule="auto"/>
              <w:rPr>
                <w:sz w:val="21"/>
                <w:szCs w:val="21"/>
              </w:rPr>
            </w:pPr>
            <w:r>
              <w:rPr>
                <w:sz w:val="21"/>
                <w:szCs w:val="21"/>
                <w:b/>
                <w:bCs/>
                <w:spacing w:val="9"/>
              </w:rPr>
              <w:t>本项目</w:t>
            </w:r>
          </w:p>
        </w:tc>
        <w:tc>
          <w:tcPr>
            <w:shd w:val="clear" w:fill="BDBDBD"/>
            <w:tcW w:w="664" w:type="dxa"/>
            <w:vAlign w:val="top"/>
          </w:tcPr>
          <w:p>
            <w:pPr>
              <w:pStyle w:val="TableText"/>
              <w:ind w:left="13"/>
              <w:spacing w:before="40" w:line="205" w:lineRule="auto"/>
              <w:rPr>
                <w:sz w:val="21"/>
                <w:szCs w:val="21"/>
              </w:rPr>
            </w:pPr>
            <w:r>
              <w:rPr>
                <w:sz w:val="21"/>
                <w:szCs w:val="21"/>
                <w:b/>
                <w:bCs/>
                <w:spacing w:val="-5"/>
              </w:rPr>
              <w:t>符合性</w:t>
            </w:r>
          </w:p>
        </w:tc>
      </w:tr>
      <w:tr>
        <w:trPr>
          <w:trHeight w:val="1637" w:hRule="atLeast"/>
        </w:trPr>
        <w:tc>
          <w:tcPr>
            <w:tcW w:w="464" w:type="dxa"/>
            <w:vAlign w:val="top"/>
            <w:textDirection w:val="tbRlV"/>
          </w:tcPr>
          <w:p>
            <w:pPr>
              <w:pStyle w:val="TableText"/>
              <w:ind w:left="674"/>
              <w:spacing w:before="202" w:line="126" w:lineRule="exact"/>
              <w:rPr>
                <w:sz w:val="21"/>
                <w:szCs w:val="21"/>
              </w:rPr>
            </w:pPr>
            <w:r>
              <w:rPr>
                <w:sz w:val="21"/>
                <w:szCs w:val="21"/>
                <w:color w:val="505040"/>
                <w:spacing w:val="50"/>
                <w:w w:val="125"/>
                <w:position w:val="-3"/>
              </w:rPr>
              <w:t>1</w:t>
            </w:r>
          </w:p>
        </w:tc>
        <w:tc>
          <w:tcPr>
            <w:tcW w:w="3646" w:type="dxa"/>
            <w:vAlign w:val="top"/>
          </w:tcPr>
          <w:p>
            <w:pPr>
              <w:pStyle w:val="TableText"/>
              <w:ind w:left="10" w:right="29"/>
              <w:spacing w:before="27"/>
              <w:rPr>
                <w:sz w:val="21"/>
                <w:szCs w:val="21"/>
              </w:rPr>
            </w:pPr>
            <w:r>
              <w:rPr>
                <w:sz w:val="21"/>
                <w:szCs w:val="21"/>
                <w:spacing w:val="1"/>
              </w:rPr>
              <w:t>场区周围建有围墙等隔离设施；场区出</w:t>
            </w:r>
            <w:r>
              <w:rPr>
                <w:sz w:val="21"/>
                <w:szCs w:val="21"/>
                <w:spacing w:val="7"/>
              </w:rPr>
              <w:t xml:space="preserve"> </w:t>
            </w:r>
            <w:r>
              <w:rPr>
                <w:sz w:val="21"/>
                <w:szCs w:val="21"/>
                <w:spacing w:val="-1"/>
              </w:rPr>
              <w:t>入口处设置运输车辆消毒通道或者消毒</w:t>
            </w:r>
            <w:r>
              <w:rPr>
                <w:sz w:val="21"/>
                <w:szCs w:val="21"/>
                <w:spacing w:val="8"/>
              </w:rPr>
              <w:t xml:space="preserve"> </w:t>
            </w:r>
            <w:r>
              <w:rPr>
                <w:sz w:val="21"/>
                <w:szCs w:val="21"/>
                <w:spacing w:val="-1"/>
              </w:rPr>
              <w:t>池，并单独设置人员消毒通道；生产经</w:t>
            </w:r>
            <w:r>
              <w:rPr>
                <w:sz w:val="21"/>
                <w:szCs w:val="21"/>
                <w:spacing w:val="7"/>
              </w:rPr>
              <w:t xml:space="preserve"> </w:t>
            </w:r>
            <w:r>
              <w:rPr>
                <w:sz w:val="21"/>
                <w:szCs w:val="21"/>
              </w:rPr>
              <w:t>营区与生活办公区分开，并有隔离设</w:t>
            </w:r>
          </w:p>
          <w:p>
            <w:pPr>
              <w:pStyle w:val="TableText"/>
              <w:ind w:left="10" w:right="34"/>
              <w:spacing w:line="223" w:lineRule="auto"/>
              <w:rPr>
                <w:sz w:val="21"/>
                <w:szCs w:val="21"/>
              </w:rPr>
            </w:pPr>
            <w:r>
              <w:rPr>
                <w:sz w:val="21"/>
                <w:szCs w:val="21"/>
                <w:spacing w:val="1"/>
              </w:rPr>
              <w:t>施；生产经营区入口处设置人员更衣消</w:t>
            </w:r>
            <w:r>
              <w:rPr>
                <w:sz w:val="21"/>
                <w:szCs w:val="21"/>
                <w:spacing w:val="2"/>
              </w:rPr>
              <w:t xml:space="preserve"> </w:t>
            </w:r>
            <w:r>
              <w:rPr>
                <w:sz w:val="21"/>
                <w:szCs w:val="21"/>
                <w:spacing w:val="-2"/>
              </w:rPr>
              <w:t>毒室。</w:t>
            </w:r>
          </w:p>
        </w:tc>
        <w:tc>
          <w:tcPr>
            <w:tcW w:w="3745" w:type="dxa"/>
            <w:vAlign w:val="top"/>
          </w:tcPr>
          <w:p>
            <w:pPr>
              <w:pStyle w:val="TableText"/>
              <w:ind w:left="84" w:right="35"/>
              <w:spacing w:before="156" w:line="241" w:lineRule="auto"/>
              <w:jc w:val="both"/>
              <w:rPr>
                <w:sz w:val="21"/>
                <w:szCs w:val="21"/>
              </w:rPr>
            </w:pPr>
            <w:r>
              <w:rPr>
                <w:sz w:val="21"/>
                <w:szCs w:val="21"/>
                <w:spacing w:val="1"/>
              </w:rPr>
              <w:t>本项目厂区四周建设围墙；场区出入口</w:t>
            </w:r>
            <w:r>
              <w:rPr>
                <w:sz w:val="21"/>
                <w:szCs w:val="21"/>
                <w:spacing w:val="12"/>
              </w:rPr>
              <w:t xml:space="preserve"> </w:t>
            </w:r>
            <w:r>
              <w:rPr>
                <w:sz w:val="21"/>
                <w:szCs w:val="21"/>
                <w:spacing w:val="2"/>
              </w:rPr>
              <w:t>处设置运输车辆消毒通道或者消毒池，</w:t>
            </w:r>
            <w:r>
              <w:rPr>
                <w:sz w:val="21"/>
                <w:szCs w:val="21"/>
                <w:spacing w:val="9"/>
              </w:rPr>
              <w:t xml:space="preserve"> </w:t>
            </w:r>
            <w:r>
              <w:rPr>
                <w:sz w:val="21"/>
                <w:szCs w:val="21"/>
                <w:spacing w:val="1"/>
              </w:rPr>
              <w:t>并单独设置人员消毒通道；生产经营区</w:t>
            </w:r>
            <w:r>
              <w:rPr>
                <w:sz w:val="21"/>
                <w:szCs w:val="21"/>
              </w:rPr>
              <w:t xml:space="preserve"> </w:t>
            </w:r>
            <w:r>
              <w:rPr>
                <w:sz w:val="21"/>
                <w:szCs w:val="21"/>
              </w:rPr>
              <w:t>与生活办公区分开，并有隔离设施；生</w:t>
            </w:r>
            <w:r>
              <w:rPr>
                <w:sz w:val="21"/>
                <w:szCs w:val="21"/>
                <w:spacing w:val="9"/>
              </w:rPr>
              <w:t xml:space="preserve"> </w:t>
            </w:r>
            <w:r>
              <w:rPr>
                <w:sz w:val="21"/>
                <w:szCs w:val="21"/>
                <w:spacing w:val="2"/>
              </w:rPr>
              <w:t>产经营区入口处设置人员更衣消毒室。</w:t>
            </w:r>
          </w:p>
        </w:tc>
        <w:tc>
          <w:tcPr>
            <w:tcW w:w="664" w:type="dxa"/>
            <w:vAlign w:val="top"/>
          </w:tcPr>
          <w:p>
            <w:pPr>
              <w:spacing w:line="323" w:lineRule="auto"/>
              <w:rPr>
                <w:rFonts w:ascii="Arial"/>
                <w:sz w:val="21"/>
              </w:rPr>
            </w:pPr>
            <w:r/>
          </w:p>
          <w:p>
            <w:pPr>
              <w:spacing w:line="324" w:lineRule="auto"/>
              <w:rPr>
                <w:rFonts w:ascii="Arial"/>
                <w:sz w:val="21"/>
              </w:rPr>
            </w:pPr>
            <w:r/>
          </w:p>
          <w:p>
            <w:pPr>
              <w:pStyle w:val="TableText"/>
              <w:ind w:left="119"/>
              <w:spacing w:before="68" w:line="219" w:lineRule="auto"/>
              <w:rPr>
                <w:sz w:val="21"/>
                <w:szCs w:val="21"/>
              </w:rPr>
            </w:pPr>
            <w:r>
              <w:rPr>
                <w:sz w:val="21"/>
                <w:szCs w:val="21"/>
                <w:spacing w:val="-3"/>
              </w:rPr>
              <w:t>符合</w:t>
            </w:r>
          </w:p>
        </w:tc>
      </w:tr>
      <w:tr>
        <w:trPr>
          <w:trHeight w:val="1068" w:hRule="atLeast"/>
        </w:trPr>
        <w:tc>
          <w:tcPr>
            <w:tcW w:w="464" w:type="dxa"/>
            <w:vAlign w:val="top"/>
          </w:tcPr>
          <w:p>
            <w:pPr>
              <w:spacing w:line="383" w:lineRule="auto"/>
              <w:rPr>
                <w:rFonts w:ascii="Arial"/>
                <w:sz w:val="21"/>
              </w:rPr>
            </w:pPr>
            <w:r/>
          </w:p>
          <w:p>
            <w:pPr>
              <w:pStyle w:val="TableText"/>
              <w:ind w:left="164"/>
              <w:spacing w:before="68" w:line="241" w:lineRule="auto"/>
              <w:rPr>
                <w:sz w:val="21"/>
                <w:szCs w:val="21"/>
              </w:rPr>
            </w:pPr>
            <w:r>
              <w:rPr>
                <w:sz w:val="21"/>
                <w:szCs w:val="21"/>
              </w:rPr>
              <w:t>2</w:t>
            </w:r>
          </w:p>
        </w:tc>
        <w:tc>
          <w:tcPr>
            <w:tcW w:w="3646" w:type="dxa"/>
            <w:vAlign w:val="top"/>
          </w:tcPr>
          <w:p>
            <w:pPr>
              <w:pStyle w:val="TableText"/>
              <w:ind w:left="10"/>
              <w:spacing w:before="163" w:line="239" w:lineRule="auto"/>
              <w:jc w:val="both"/>
              <w:rPr>
                <w:sz w:val="21"/>
                <w:szCs w:val="21"/>
              </w:rPr>
            </w:pPr>
            <w:r>
              <w:rPr>
                <w:sz w:val="21"/>
                <w:szCs w:val="21"/>
                <w:spacing w:val="3"/>
              </w:rPr>
              <w:t>配备与其生产经营规模相适应的污水、 </w:t>
            </w:r>
            <w:r>
              <w:rPr>
                <w:sz w:val="21"/>
                <w:szCs w:val="21"/>
                <w:spacing w:val="-3"/>
              </w:rPr>
              <w:t>污物处理设施清洗消毒设施设备，以及</w:t>
            </w:r>
            <w:r>
              <w:rPr>
                <w:sz w:val="21"/>
                <w:szCs w:val="21"/>
                <w:spacing w:val="6"/>
              </w:rPr>
              <w:t xml:space="preserve">  </w:t>
            </w:r>
            <w:r>
              <w:rPr>
                <w:sz w:val="21"/>
                <w:szCs w:val="21"/>
                <w:spacing w:val="-3"/>
              </w:rPr>
              <w:t>必要的防鼠、防鸟、防虫设施设备。</w:t>
            </w:r>
          </w:p>
        </w:tc>
        <w:tc>
          <w:tcPr>
            <w:tcW w:w="3745" w:type="dxa"/>
            <w:vAlign w:val="top"/>
          </w:tcPr>
          <w:p>
            <w:pPr>
              <w:pStyle w:val="TableText"/>
              <w:ind w:left="84"/>
              <w:spacing w:before="21" w:line="219" w:lineRule="auto"/>
              <w:rPr>
                <w:sz w:val="21"/>
                <w:szCs w:val="21"/>
              </w:rPr>
            </w:pPr>
            <w:r>
              <w:rPr>
                <w:sz w:val="21"/>
                <w:szCs w:val="21"/>
              </w:rPr>
              <w:t>本项目配备与其生产经营规模相适应的</w:t>
            </w:r>
          </w:p>
          <w:p>
            <w:pPr>
              <w:pStyle w:val="TableText"/>
              <w:ind w:left="14" w:right="70" w:firstLine="170"/>
              <w:spacing w:before="23" w:line="224" w:lineRule="auto"/>
              <w:rPr>
                <w:sz w:val="21"/>
                <w:szCs w:val="21"/>
              </w:rPr>
            </w:pPr>
            <w:r>
              <w:rPr>
                <w:sz w:val="21"/>
                <w:szCs w:val="21"/>
                <w:spacing w:val="-1"/>
              </w:rPr>
              <w:t>污水、污物处理设施清洗消毒设施设</w:t>
            </w:r>
            <w:r>
              <w:rPr>
                <w:sz w:val="21"/>
                <w:szCs w:val="21"/>
                <w:spacing w:val="2"/>
              </w:rPr>
              <w:t xml:space="preserve">  </w:t>
            </w:r>
            <w:r>
              <w:rPr>
                <w:sz w:val="21"/>
                <w:szCs w:val="21"/>
                <w:spacing w:val="4"/>
              </w:rPr>
              <w:t>备，以及必要的防鼠、防鸟、防虫设施</w:t>
            </w:r>
            <w:r>
              <w:rPr>
                <w:sz w:val="21"/>
                <w:szCs w:val="21"/>
                <w:spacing w:val="10"/>
              </w:rPr>
              <w:t xml:space="preserve"> </w:t>
            </w:r>
            <w:r>
              <w:rPr>
                <w:sz w:val="21"/>
                <w:szCs w:val="21"/>
                <w:spacing w:val="-2"/>
              </w:rPr>
              <w:t>设备。</w:t>
            </w:r>
          </w:p>
        </w:tc>
        <w:tc>
          <w:tcPr>
            <w:tcW w:w="664" w:type="dxa"/>
            <w:vAlign w:val="top"/>
          </w:tcPr>
          <w:p>
            <w:pPr>
              <w:spacing w:line="362" w:lineRule="auto"/>
              <w:rPr>
                <w:rFonts w:ascii="Arial"/>
                <w:sz w:val="21"/>
              </w:rPr>
            </w:pPr>
            <w:r/>
          </w:p>
          <w:p>
            <w:pPr>
              <w:pStyle w:val="TableText"/>
              <w:ind w:left="119"/>
              <w:spacing w:before="68" w:line="219" w:lineRule="auto"/>
              <w:rPr>
                <w:sz w:val="21"/>
                <w:szCs w:val="21"/>
              </w:rPr>
            </w:pPr>
            <w:r>
              <w:rPr>
                <w:sz w:val="21"/>
                <w:szCs w:val="21"/>
                <w:spacing w:val="-3"/>
              </w:rPr>
              <w:t>符合</w:t>
            </w:r>
          </w:p>
        </w:tc>
      </w:tr>
      <w:tr>
        <w:trPr>
          <w:trHeight w:val="559" w:hRule="atLeast"/>
        </w:trPr>
        <w:tc>
          <w:tcPr>
            <w:tcW w:w="464" w:type="dxa"/>
            <w:vAlign w:val="top"/>
          </w:tcPr>
          <w:p>
            <w:pPr>
              <w:pStyle w:val="TableText"/>
              <w:ind w:left="164"/>
              <w:spacing w:before="205"/>
              <w:rPr>
                <w:sz w:val="21"/>
                <w:szCs w:val="21"/>
              </w:rPr>
            </w:pPr>
            <w:r>
              <w:rPr>
                <w:sz w:val="21"/>
                <w:szCs w:val="21"/>
              </w:rPr>
              <w:t>3</w:t>
            </w:r>
          </w:p>
        </w:tc>
        <w:tc>
          <w:tcPr>
            <w:tcW w:w="3646" w:type="dxa"/>
            <w:vAlign w:val="top"/>
          </w:tcPr>
          <w:p>
            <w:pPr>
              <w:pStyle w:val="TableText"/>
              <w:ind w:left="10" w:right="41"/>
              <w:spacing w:before="43" w:line="222" w:lineRule="auto"/>
              <w:rPr>
                <w:sz w:val="21"/>
                <w:szCs w:val="21"/>
              </w:rPr>
            </w:pPr>
            <w:r>
              <w:rPr>
                <w:sz w:val="21"/>
                <w:szCs w:val="21"/>
              </w:rPr>
              <w:t>入场动物卸载区域有固定的车辆消毒场</w:t>
            </w:r>
            <w:r>
              <w:rPr>
                <w:sz w:val="21"/>
                <w:szCs w:val="21"/>
                <w:spacing w:val="12"/>
              </w:rPr>
              <w:t xml:space="preserve"> </w:t>
            </w:r>
            <w:r>
              <w:rPr>
                <w:sz w:val="21"/>
                <w:szCs w:val="21"/>
                <w:spacing w:val="-1"/>
              </w:rPr>
              <w:t>地，并配备车辆清洗消毒设备。</w:t>
            </w:r>
          </w:p>
        </w:tc>
        <w:tc>
          <w:tcPr>
            <w:tcW w:w="3745" w:type="dxa"/>
            <w:vAlign w:val="top"/>
          </w:tcPr>
          <w:p>
            <w:pPr>
              <w:pStyle w:val="TableText"/>
              <w:ind w:left="134" w:right="35" w:hanging="50"/>
              <w:spacing w:before="43" w:line="222" w:lineRule="auto"/>
              <w:rPr>
                <w:sz w:val="21"/>
                <w:szCs w:val="21"/>
              </w:rPr>
            </w:pPr>
            <w:r>
              <w:rPr>
                <w:sz w:val="21"/>
                <w:szCs w:val="21"/>
                <w:spacing w:val="-1"/>
              </w:rPr>
              <w:t>本项目入场动物卸载区域有固定的车辆</w:t>
            </w:r>
            <w:r>
              <w:rPr>
                <w:sz w:val="21"/>
                <w:szCs w:val="21"/>
                <w:spacing w:val="6"/>
              </w:rPr>
              <w:t xml:space="preserve"> </w:t>
            </w:r>
            <w:r>
              <w:rPr>
                <w:sz w:val="21"/>
                <w:szCs w:val="21"/>
                <w:spacing w:val="-1"/>
              </w:rPr>
              <w:t>消毒场地，并配备车辆清洗消毒设备。</w:t>
            </w:r>
          </w:p>
        </w:tc>
        <w:tc>
          <w:tcPr>
            <w:tcW w:w="664" w:type="dxa"/>
            <w:vAlign w:val="top"/>
          </w:tcPr>
          <w:p>
            <w:pPr>
              <w:pStyle w:val="TableText"/>
              <w:ind w:left="119"/>
              <w:spacing w:before="184" w:line="219" w:lineRule="auto"/>
              <w:rPr>
                <w:sz w:val="21"/>
                <w:szCs w:val="21"/>
              </w:rPr>
            </w:pPr>
            <w:r>
              <w:rPr>
                <w:sz w:val="21"/>
                <w:szCs w:val="21"/>
                <w:spacing w:val="-3"/>
              </w:rPr>
              <w:t>符合</w:t>
            </w:r>
          </w:p>
        </w:tc>
      </w:tr>
      <w:tr>
        <w:trPr>
          <w:trHeight w:val="1078" w:hRule="atLeast"/>
        </w:trPr>
        <w:tc>
          <w:tcPr>
            <w:tcW w:w="464" w:type="dxa"/>
            <w:vAlign w:val="top"/>
          </w:tcPr>
          <w:p>
            <w:pPr>
              <w:spacing w:line="395" w:lineRule="auto"/>
              <w:rPr>
                <w:rFonts w:ascii="Arial"/>
                <w:sz w:val="21"/>
              </w:rPr>
            </w:pPr>
            <w:r/>
          </w:p>
          <w:p>
            <w:pPr>
              <w:pStyle w:val="TableText"/>
              <w:ind w:left="164"/>
              <w:spacing w:before="69" w:line="241" w:lineRule="auto"/>
              <w:rPr>
                <w:sz w:val="21"/>
                <w:szCs w:val="21"/>
              </w:rPr>
            </w:pPr>
            <w:r>
              <w:rPr>
                <w:sz w:val="21"/>
                <w:szCs w:val="21"/>
              </w:rPr>
              <w:t>4</w:t>
            </w:r>
          </w:p>
        </w:tc>
        <w:tc>
          <w:tcPr>
            <w:tcW w:w="3646" w:type="dxa"/>
            <w:vAlign w:val="top"/>
          </w:tcPr>
          <w:p>
            <w:pPr>
              <w:pStyle w:val="TableText"/>
              <w:ind w:left="10" w:right="37"/>
              <w:spacing w:before="35" w:line="237" w:lineRule="auto"/>
              <w:rPr>
                <w:sz w:val="21"/>
                <w:szCs w:val="21"/>
              </w:rPr>
            </w:pPr>
            <w:r>
              <w:rPr>
                <w:sz w:val="21"/>
                <w:szCs w:val="21"/>
                <w:spacing w:val="1"/>
              </w:rPr>
              <w:t>有与其屠宰规模相适应的独立检疫室和</w:t>
            </w:r>
            <w:r>
              <w:rPr>
                <w:sz w:val="21"/>
                <w:szCs w:val="21"/>
              </w:rPr>
              <w:t xml:space="preserve"> </w:t>
            </w:r>
            <w:r>
              <w:rPr>
                <w:sz w:val="21"/>
                <w:szCs w:val="21"/>
                <w:spacing w:val="1"/>
              </w:rPr>
              <w:t>休息室；有待宰圈、急宰间，加工原</w:t>
            </w:r>
          </w:p>
          <w:p>
            <w:pPr>
              <w:pStyle w:val="TableText"/>
              <w:ind w:left="10" w:right="64"/>
              <w:spacing w:before="1" w:line="216" w:lineRule="auto"/>
              <w:rPr>
                <w:sz w:val="21"/>
                <w:szCs w:val="21"/>
              </w:rPr>
            </w:pPr>
            <w:r>
              <w:rPr>
                <w:sz w:val="21"/>
                <w:szCs w:val="21"/>
                <w:spacing w:val="-1"/>
              </w:rPr>
              <w:t>毛、生皮、獗、骨、角的，还应当设置</w:t>
            </w:r>
            <w:r>
              <w:rPr>
                <w:sz w:val="21"/>
                <w:szCs w:val="21"/>
                <w:spacing w:val="6"/>
              </w:rPr>
              <w:t xml:space="preserve"> </w:t>
            </w:r>
            <w:r>
              <w:rPr>
                <w:sz w:val="21"/>
                <w:szCs w:val="21"/>
                <w:spacing w:val="-1"/>
              </w:rPr>
              <w:t>封闭式熏蒸消毒间。</w:t>
            </w:r>
          </w:p>
        </w:tc>
        <w:tc>
          <w:tcPr>
            <w:tcW w:w="3745" w:type="dxa"/>
            <w:vAlign w:val="top"/>
          </w:tcPr>
          <w:p>
            <w:pPr>
              <w:pStyle w:val="TableText"/>
              <w:ind w:left="14" w:firstLine="69"/>
              <w:spacing w:before="35" w:line="227" w:lineRule="auto"/>
              <w:jc w:val="both"/>
              <w:rPr>
                <w:sz w:val="21"/>
                <w:szCs w:val="21"/>
              </w:rPr>
            </w:pPr>
            <w:r>
              <w:rPr>
                <w:sz w:val="21"/>
                <w:szCs w:val="21"/>
                <w:spacing w:val="-2"/>
              </w:rPr>
              <w:t>本项目设置有与屠宰规模相适应的独立</w:t>
            </w:r>
            <w:r>
              <w:rPr>
                <w:sz w:val="21"/>
                <w:szCs w:val="21"/>
              </w:rPr>
              <w:t xml:space="preserve">  </w:t>
            </w:r>
            <w:r>
              <w:rPr>
                <w:sz w:val="21"/>
                <w:szCs w:val="21"/>
                <w:spacing w:val="3"/>
              </w:rPr>
              <w:t>检疫室、办公室和休息室；设置有待宰</w:t>
            </w:r>
            <w:r>
              <w:rPr>
                <w:sz w:val="21"/>
                <w:szCs w:val="21"/>
                <w:spacing w:val="5"/>
              </w:rPr>
              <w:t xml:space="preserve">  </w:t>
            </w:r>
            <w:r>
              <w:rPr>
                <w:sz w:val="21"/>
                <w:szCs w:val="21"/>
                <w:spacing w:val="8"/>
              </w:rPr>
              <w:t>圈、急宰间；项目无原毛、生皮、绒、</w:t>
            </w:r>
            <w:r>
              <w:rPr>
                <w:sz w:val="21"/>
                <w:szCs w:val="21"/>
                <w:spacing w:val="13"/>
              </w:rPr>
              <w:t xml:space="preserve"> </w:t>
            </w:r>
            <w:r>
              <w:rPr>
                <w:sz w:val="21"/>
                <w:szCs w:val="21"/>
                <w:spacing w:val="-2"/>
              </w:rPr>
              <w:t>骨、角的加工。</w:t>
            </w:r>
          </w:p>
        </w:tc>
        <w:tc>
          <w:tcPr>
            <w:tcW w:w="664" w:type="dxa"/>
            <w:vAlign w:val="top"/>
          </w:tcPr>
          <w:p>
            <w:pPr>
              <w:spacing w:line="375" w:lineRule="auto"/>
              <w:rPr>
                <w:rFonts w:ascii="Arial"/>
                <w:sz w:val="21"/>
              </w:rPr>
            </w:pPr>
            <w:r/>
          </w:p>
          <w:p>
            <w:pPr>
              <w:pStyle w:val="TableText"/>
              <w:ind w:left="119"/>
              <w:spacing w:before="68" w:line="219" w:lineRule="auto"/>
              <w:rPr>
                <w:sz w:val="21"/>
                <w:szCs w:val="21"/>
              </w:rPr>
            </w:pPr>
            <w:r>
              <w:rPr>
                <w:sz w:val="21"/>
                <w:szCs w:val="21"/>
                <w:spacing w:val="-3"/>
              </w:rPr>
              <w:t>符合</w:t>
            </w:r>
          </w:p>
        </w:tc>
      </w:tr>
      <w:tr>
        <w:trPr>
          <w:trHeight w:val="280" w:hRule="atLeast"/>
        </w:trPr>
        <w:tc>
          <w:tcPr>
            <w:tcW w:w="464" w:type="dxa"/>
            <w:vAlign w:val="top"/>
          </w:tcPr>
          <w:p>
            <w:pPr>
              <w:pStyle w:val="TableText"/>
              <w:ind w:left="164"/>
              <w:spacing w:before="68" w:line="177" w:lineRule="auto"/>
              <w:rPr>
                <w:sz w:val="21"/>
                <w:szCs w:val="21"/>
              </w:rPr>
            </w:pPr>
            <w:r>
              <w:rPr>
                <w:sz w:val="21"/>
                <w:szCs w:val="21"/>
              </w:rPr>
              <w:t>5</w:t>
            </w:r>
          </w:p>
        </w:tc>
        <w:tc>
          <w:tcPr>
            <w:tcW w:w="3646" w:type="dxa"/>
            <w:vAlign w:val="top"/>
          </w:tcPr>
          <w:p>
            <w:pPr>
              <w:pStyle w:val="TableText"/>
              <w:ind w:left="770"/>
              <w:spacing w:before="47" w:line="196" w:lineRule="auto"/>
              <w:rPr>
                <w:sz w:val="21"/>
                <w:szCs w:val="21"/>
              </w:rPr>
            </w:pPr>
            <w:r>
              <w:rPr>
                <w:sz w:val="21"/>
                <w:szCs w:val="21"/>
                <w:spacing w:val="2"/>
              </w:rPr>
              <w:t>屠宰间配备检疫操作台</w:t>
            </w:r>
          </w:p>
        </w:tc>
        <w:tc>
          <w:tcPr>
            <w:tcW w:w="3745" w:type="dxa"/>
            <w:vAlign w:val="top"/>
          </w:tcPr>
          <w:p>
            <w:pPr>
              <w:pStyle w:val="TableText"/>
              <w:ind w:left="505"/>
              <w:spacing w:before="47" w:line="196" w:lineRule="auto"/>
              <w:rPr>
                <w:sz w:val="21"/>
                <w:szCs w:val="21"/>
              </w:rPr>
            </w:pPr>
            <w:r>
              <w:rPr>
                <w:sz w:val="21"/>
                <w:szCs w:val="21"/>
                <w:spacing w:val="1"/>
              </w:rPr>
              <w:t>本项目屠宰间配备检疫操作台</w:t>
            </w:r>
          </w:p>
        </w:tc>
        <w:tc>
          <w:tcPr>
            <w:tcW w:w="664" w:type="dxa"/>
            <w:vAlign w:val="top"/>
          </w:tcPr>
          <w:p>
            <w:pPr>
              <w:pStyle w:val="TableText"/>
              <w:ind w:left="119"/>
              <w:spacing w:before="47" w:line="196" w:lineRule="auto"/>
              <w:rPr>
                <w:sz w:val="21"/>
                <w:szCs w:val="21"/>
              </w:rPr>
            </w:pPr>
            <w:r>
              <w:rPr>
                <w:sz w:val="21"/>
                <w:szCs w:val="21"/>
                <w:spacing w:val="-3"/>
              </w:rPr>
              <w:t>符合</w:t>
            </w:r>
          </w:p>
        </w:tc>
      </w:tr>
      <w:tr>
        <w:trPr>
          <w:trHeight w:val="814" w:hRule="atLeast"/>
        </w:trPr>
        <w:tc>
          <w:tcPr>
            <w:tcW w:w="464" w:type="dxa"/>
            <w:vAlign w:val="top"/>
          </w:tcPr>
          <w:p>
            <w:pPr>
              <w:spacing w:line="258" w:lineRule="auto"/>
              <w:rPr>
                <w:rFonts w:ascii="Arial"/>
                <w:sz w:val="21"/>
              </w:rPr>
            </w:pPr>
            <w:r/>
          </w:p>
          <w:p>
            <w:pPr>
              <w:pStyle w:val="TableText"/>
              <w:ind w:left="164"/>
              <w:spacing w:before="68"/>
              <w:rPr>
                <w:sz w:val="21"/>
                <w:szCs w:val="21"/>
              </w:rPr>
            </w:pPr>
            <w:r>
              <w:rPr>
                <w:sz w:val="21"/>
                <w:szCs w:val="21"/>
              </w:rPr>
              <w:t>6</w:t>
            </w:r>
          </w:p>
        </w:tc>
        <w:tc>
          <w:tcPr>
            <w:tcW w:w="3646" w:type="dxa"/>
            <w:vAlign w:val="top"/>
          </w:tcPr>
          <w:p>
            <w:pPr>
              <w:pStyle w:val="TableText"/>
              <w:ind w:left="10"/>
              <w:spacing w:before="47" w:line="219" w:lineRule="auto"/>
              <w:rPr>
                <w:sz w:val="21"/>
                <w:szCs w:val="21"/>
              </w:rPr>
            </w:pPr>
            <w:r>
              <w:rPr>
                <w:sz w:val="21"/>
                <w:szCs w:val="21"/>
                <w:spacing w:val="-1"/>
              </w:rPr>
              <w:t>有符合国家规定的病死动物和病害动物</w:t>
            </w:r>
          </w:p>
          <w:p>
            <w:pPr>
              <w:pStyle w:val="TableText"/>
              <w:ind w:left="10"/>
              <w:spacing w:before="10" w:line="219" w:lineRule="auto"/>
              <w:rPr>
                <w:sz w:val="21"/>
                <w:szCs w:val="21"/>
              </w:rPr>
            </w:pPr>
            <w:r>
              <w:rPr>
                <w:sz w:val="21"/>
                <w:szCs w:val="21"/>
              </w:rPr>
              <w:t>产品无害化处理设施设备或者冷藏冷冻</w:t>
            </w:r>
          </w:p>
          <w:p>
            <w:pPr>
              <w:pStyle w:val="TableText"/>
              <w:ind w:left="1080"/>
              <w:spacing w:before="20" w:line="199" w:lineRule="auto"/>
              <w:rPr>
                <w:sz w:val="21"/>
                <w:szCs w:val="21"/>
              </w:rPr>
            </w:pPr>
            <w:r>
              <w:rPr>
                <w:sz w:val="21"/>
                <w:szCs w:val="21"/>
                <w:spacing w:val="-2"/>
              </w:rPr>
              <w:t>等暂存设施设备</w:t>
            </w:r>
          </w:p>
        </w:tc>
        <w:tc>
          <w:tcPr>
            <w:tcW w:w="3745" w:type="dxa"/>
            <w:vAlign w:val="top"/>
          </w:tcPr>
          <w:p>
            <w:pPr>
              <w:pStyle w:val="TableText"/>
              <w:ind w:left="84"/>
              <w:spacing w:before="46" w:line="219" w:lineRule="auto"/>
              <w:rPr>
                <w:sz w:val="21"/>
                <w:szCs w:val="21"/>
              </w:rPr>
            </w:pPr>
            <w:r>
              <w:rPr>
                <w:sz w:val="21"/>
                <w:szCs w:val="21"/>
                <w:spacing w:val="-1"/>
              </w:rPr>
              <w:t>本项目设置有符合国家规定的病死动物</w:t>
            </w:r>
          </w:p>
          <w:p>
            <w:pPr>
              <w:pStyle w:val="TableText"/>
              <w:ind w:left="84"/>
              <w:spacing w:before="12" w:line="219" w:lineRule="auto"/>
              <w:rPr>
                <w:sz w:val="21"/>
                <w:szCs w:val="21"/>
              </w:rPr>
            </w:pPr>
            <w:r>
              <w:rPr>
                <w:sz w:val="21"/>
                <w:szCs w:val="21"/>
                <w:spacing w:val="-1"/>
              </w:rPr>
              <w:t>和病害动物产品无害化处理设施设备或</w:t>
            </w:r>
          </w:p>
          <w:p>
            <w:pPr>
              <w:pStyle w:val="TableText"/>
              <w:ind w:left="604"/>
              <w:spacing w:before="20" w:line="199" w:lineRule="auto"/>
              <w:rPr>
                <w:sz w:val="21"/>
                <w:szCs w:val="21"/>
              </w:rPr>
            </w:pPr>
            <w:r>
              <w:rPr>
                <w:sz w:val="21"/>
                <w:szCs w:val="21"/>
                <w:spacing w:val="-1"/>
              </w:rPr>
              <w:t>者冷藏冷冻等暂存设施设备</w:t>
            </w:r>
          </w:p>
        </w:tc>
        <w:tc>
          <w:tcPr>
            <w:tcW w:w="664" w:type="dxa"/>
            <w:vAlign w:val="top"/>
          </w:tcPr>
          <w:p>
            <w:pPr>
              <w:pStyle w:val="TableText"/>
              <w:ind w:left="119"/>
              <w:spacing w:before="307" w:line="219" w:lineRule="auto"/>
              <w:rPr>
                <w:sz w:val="21"/>
                <w:szCs w:val="21"/>
              </w:rPr>
            </w:pPr>
            <w:r>
              <w:rPr>
                <w:sz w:val="21"/>
                <w:szCs w:val="21"/>
                <w:spacing w:val="-3"/>
              </w:rPr>
              <w:t>符合</w:t>
            </w:r>
          </w:p>
        </w:tc>
      </w:tr>
    </w:tbl>
    <w:p>
      <w:pPr>
        <w:ind w:left="104" w:right="240" w:firstLine="490"/>
        <w:spacing w:before="64" w:line="364" w:lineRule="auto"/>
        <w:rPr>
          <w:rFonts w:ascii="SimSun" w:hAnsi="SimSun" w:eastAsia="SimSun" w:cs="SimSun"/>
          <w:sz w:val="24"/>
          <w:szCs w:val="24"/>
        </w:rPr>
      </w:pPr>
      <w:r>
        <w:rPr>
          <w:rFonts w:ascii="SimSun" w:hAnsi="SimSun" w:eastAsia="SimSun" w:cs="SimSun"/>
          <w:sz w:val="24"/>
          <w:szCs w:val="24"/>
        </w:rPr>
        <w:t>因此，本项目场区布局符合《动物防疫条件审查办法》(农业部2022年第8</w:t>
      </w:r>
      <w:r>
        <w:rPr>
          <w:rFonts w:ascii="SimSun" w:hAnsi="SimSun" w:eastAsia="SimSun" w:cs="SimSun"/>
          <w:sz w:val="24"/>
          <w:szCs w:val="24"/>
          <w:spacing w:val="13"/>
        </w:rPr>
        <w:t xml:space="preserve"> </w:t>
      </w:r>
      <w:r>
        <w:rPr>
          <w:rFonts w:ascii="SimSun" w:hAnsi="SimSun" w:eastAsia="SimSun" w:cs="SimSun"/>
          <w:sz w:val="24"/>
          <w:szCs w:val="24"/>
          <w:spacing w:val="6"/>
        </w:rPr>
        <w:t>号令)中场区布局有关要求。</w:t>
      </w:r>
    </w:p>
    <w:p>
      <w:pPr>
        <w:ind w:left="108" w:right="132" w:firstLine="470"/>
        <w:spacing w:before="2" w:line="348" w:lineRule="auto"/>
        <w:rPr>
          <w:rFonts w:ascii="SimSun" w:hAnsi="SimSun" w:eastAsia="SimSun" w:cs="SimSun"/>
          <w:sz w:val="24"/>
          <w:szCs w:val="24"/>
        </w:rPr>
      </w:pPr>
      <w:r>
        <w:rPr>
          <w:rFonts w:ascii="SimSun" w:hAnsi="SimSun" w:eastAsia="SimSun" w:cs="SimSun"/>
          <w:sz w:val="24"/>
          <w:szCs w:val="24"/>
          <w:b/>
          <w:bCs/>
          <w:spacing w:val="3"/>
        </w:rPr>
        <w:t>②与《食品安全国家标准食品生产通用卫生规范》</w:t>
      </w:r>
      <w:r>
        <w:rPr>
          <w:rFonts w:ascii="SimSun" w:hAnsi="SimSun" w:eastAsia="SimSun" w:cs="SimSun"/>
          <w:sz w:val="24"/>
          <w:szCs w:val="24"/>
          <w:spacing w:val="96"/>
        </w:rPr>
        <w:t xml:space="preserve"> </w:t>
      </w:r>
      <w:r>
        <w:rPr>
          <w:rFonts w:ascii="Times New Roman" w:hAnsi="Times New Roman" w:eastAsia="Times New Roman" w:cs="Times New Roman"/>
          <w:sz w:val="24"/>
          <w:szCs w:val="24"/>
          <w:b/>
          <w:bCs/>
          <w:spacing w:val="3"/>
        </w:rPr>
        <w:t>(</w:t>
      </w:r>
      <w:r>
        <w:rPr>
          <w:rFonts w:ascii="Times New Roman" w:hAnsi="Times New Roman" w:eastAsia="Times New Roman" w:cs="Times New Roman"/>
          <w:sz w:val="24"/>
          <w:szCs w:val="24"/>
          <w:b/>
          <w:bCs/>
        </w:rPr>
        <w:t>GB</w:t>
      </w:r>
      <w:r>
        <w:rPr>
          <w:rFonts w:ascii="Times New Roman" w:hAnsi="Times New Roman" w:eastAsia="Times New Roman" w:cs="Times New Roman"/>
          <w:sz w:val="24"/>
          <w:szCs w:val="24"/>
          <w:b/>
          <w:bCs/>
          <w:spacing w:val="3"/>
        </w:rPr>
        <w:t>14881-2013)    </w:t>
      </w:r>
      <w:r>
        <w:rPr>
          <w:rFonts w:ascii="SimSun" w:hAnsi="SimSun" w:eastAsia="SimSun" w:cs="SimSun"/>
          <w:sz w:val="24"/>
          <w:szCs w:val="24"/>
          <w:b/>
          <w:bCs/>
          <w:spacing w:val="3"/>
        </w:rPr>
        <w:t>符</w:t>
      </w:r>
      <w:r>
        <w:rPr>
          <w:rFonts w:ascii="SimSun" w:hAnsi="SimSun" w:eastAsia="SimSun" w:cs="SimSun"/>
          <w:sz w:val="24"/>
          <w:szCs w:val="24"/>
        </w:rPr>
        <w:t xml:space="preserve"> </w:t>
      </w:r>
      <w:r>
        <w:rPr>
          <w:rFonts w:ascii="SimSun" w:hAnsi="SimSun" w:eastAsia="SimSun" w:cs="SimSun"/>
          <w:sz w:val="24"/>
          <w:szCs w:val="24"/>
          <w:b/>
          <w:bCs/>
          <w:spacing w:val="-5"/>
        </w:rPr>
        <w:t>合性分析</w:t>
      </w:r>
    </w:p>
    <w:p>
      <w:pPr>
        <w:ind w:left="104" w:right="120" w:firstLine="490"/>
        <w:spacing w:before="47" w:line="348" w:lineRule="auto"/>
        <w:rPr>
          <w:rFonts w:ascii="SimSun" w:hAnsi="SimSun" w:eastAsia="SimSun" w:cs="SimSun"/>
          <w:sz w:val="24"/>
          <w:szCs w:val="24"/>
        </w:rPr>
      </w:pPr>
      <w:r>
        <w:rPr>
          <w:rFonts w:ascii="SimSun" w:hAnsi="SimSun" w:eastAsia="SimSun" w:cs="SimSun"/>
          <w:sz w:val="24"/>
          <w:szCs w:val="24"/>
          <w:spacing w:val="-1"/>
        </w:rPr>
        <w:t>根据《食品安全国家标准食品生产通用卫生规范》</w:t>
      </w:r>
      <w:r>
        <w:rPr>
          <w:rFonts w:ascii="SimSun" w:hAnsi="SimSun" w:eastAsia="SimSun" w:cs="SimSun"/>
          <w:sz w:val="24"/>
          <w:szCs w:val="24"/>
          <w:spacing w:val="70"/>
        </w:rPr>
        <w:t xml:space="preserve"> </w:t>
      </w:r>
      <w:r>
        <w:rPr>
          <w:rFonts w:ascii="SimSun" w:hAnsi="SimSun" w:eastAsia="SimSun" w:cs="SimSun"/>
          <w:sz w:val="24"/>
          <w:szCs w:val="24"/>
          <w:spacing w:val="-1"/>
        </w:rPr>
        <w:t>(</w:t>
      </w:r>
      <w:r>
        <w:rPr>
          <w:rFonts w:ascii="SimSun" w:hAnsi="SimSun" w:eastAsia="SimSun" w:cs="SimSun"/>
          <w:sz w:val="24"/>
          <w:szCs w:val="24"/>
          <w:spacing w:val="-2"/>
        </w:rPr>
        <w:t>GB14881-2013)  中厂</w:t>
      </w:r>
      <w:r>
        <w:rPr>
          <w:rFonts w:ascii="SimSun" w:hAnsi="SimSun" w:eastAsia="SimSun" w:cs="SimSun"/>
          <w:sz w:val="24"/>
          <w:szCs w:val="24"/>
        </w:rPr>
        <w:t xml:space="preserve"> </w:t>
      </w:r>
      <w:r>
        <w:rPr>
          <w:rFonts w:ascii="SimSun" w:hAnsi="SimSun" w:eastAsia="SimSun" w:cs="SimSun"/>
          <w:sz w:val="24"/>
          <w:szCs w:val="24"/>
          <w:spacing w:val="-1"/>
        </w:rPr>
        <w:t>区布局有关要求，本项目厂区平面布置与其符合性分析见下</w:t>
      </w:r>
      <w:r>
        <w:rPr>
          <w:rFonts w:ascii="SimSun" w:hAnsi="SimSun" w:eastAsia="SimSun" w:cs="SimSun"/>
          <w:sz w:val="24"/>
          <w:szCs w:val="24"/>
          <w:spacing w:val="-2"/>
        </w:rPr>
        <w:t>表。</w:t>
      </w:r>
    </w:p>
    <w:p>
      <w:pPr>
        <w:ind w:left="3038" w:right="859" w:hanging="2190"/>
        <w:spacing w:line="222" w:lineRule="auto"/>
        <w:rPr>
          <w:rFonts w:ascii="SimSun" w:hAnsi="SimSun" w:eastAsia="SimSun" w:cs="SimSun"/>
          <w:sz w:val="25"/>
          <w:szCs w:val="25"/>
        </w:rPr>
      </w:pPr>
      <w:r>
        <w:rPr>
          <w:rFonts w:ascii="SimSun" w:hAnsi="SimSun" w:eastAsia="SimSun" w:cs="SimSun"/>
          <w:sz w:val="24"/>
          <w:szCs w:val="24"/>
          <w:b/>
          <w:bCs/>
          <w:spacing w:val="-3"/>
        </w:rPr>
        <w:t>表3.7-2厂区布局与《食品安全国家标准食品生产通用卫</w:t>
      </w:r>
      <w:r>
        <w:rPr>
          <w:rFonts w:ascii="SimSun" w:hAnsi="SimSun" w:eastAsia="SimSun" w:cs="SimSun"/>
          <w:sz w:val="24"/>
          <w:szCs w:val="24"/>
          <w:b/>
          <w:bCs/>
          <w:spacing w:val="-4"/>
        </w:rPr>
        <w:t>生规范》</w:t>
      </w:r>
      <w:r>
        <w:rPr>
          <w:rFonts w:ascii="SimSun" w:hAnsi="SimSun" w:eastAsia="SimSun" w:cs="SimSun"/>
          <w:sz w:val="24"/>
          <w:szCs w:val="24"/>
        </w:rPr>
        <w:t xml:space="preserve"> </w:t>
      </w:r>
      <w:r>
        <w:rPr>
          <w:rFonts w:ascii="SimSun" w:hAnsi="SimSun" w:eastAsia="SimSun" w:cs="SimSun"/>
          <w:sz w:val="25"/>
          <w:szCs w:val="25"/>
          <w:b/>
          <w:bCs/>
          <w:spacing w:val="-3"/>
        </w:rPr>
        <w:t>(GB14881-2013)符合性</w:t>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4335"/>
        <w:gridCol w:w="3036"/>
        <w:gridCol w:w="684"/>
      </w:tblGrid>
      <w:tr>
        <w:trPr>
          <w:trHeight w:val="563" w:hRule="atLeast"/>
        </w:trPr>
        <w:tc>
          <w:tcPr>
            <w:shd w:val="clear" w:fill="BDBDBD"/>
            <w:tcW w:w="454" w:type="dxa"/>
            <w:vAlign w:val="top"/>
          </w:tcPr>
          <w:p>
            <w:pPr>
              <w:pStyle w:val="TableText"/>
              <w:ind w:left="8"/>
              <w:spacing w:before="181" w:line="221" w:lineRule="auto"/>
              <w:rPr>
                <w:sz w:val="21"/>
                <w:szCs w:val="21"/>
              </w:rPr>
            </w:pPr>
            <w:r>
              <w:rPr>
                <w:sz w:val="21"/>
                <w:szCs w:val="21"/>
                <w:b/>
                <w:bCs/>
                <w:spacing w:val="-5"/>
              </w:rPr>
              <w:t>序号</w:t>
            </w:r>
          </w:p>
        </w:tc>
        <w:tc>
          <w:tcPr>
            <w:shd w:val="clear" w:fill="BDBDBD"/>
            <w:tcW w:w="4335" w:type="dxa"/>
            <w:vAlign w:val="top"/>
          </w:tcPr>
          <w:p>
            <w:pPr>
              <w:pStyle w:val="TableText"/>
              <w:ind w:left="1785" w:right="233" w:hanging="1785"/>
              <w:spacing w:before="29" w:line="230" w:lineRule="auto"/>
              <w:rPr>
                <w:sz w:val="21"/>
                <w:szCs w:val="21"/>
              </w:rPr>
            </w:pPr>
            <w:r>
              <w:rPr>
                <w:sz w:val="21"/>
                <w:szCs w:val="21"/>
                <w:b/>
                <w:bCs/>
                <w:spacing w:val="-8"/>
              </w:rPr>
              <w:t>《食品安全国家标准食品生产通用卫生规范》</w:t>
            </w:r>
            <w:r>
              <w:rPr>
                <w:sz w:val="21"/>
                <w:szCs w:val="21"/>
                <w:spacing w:val="6"/>
              </w:rPr>
              <w:t xml:space="preserve"> </w:t>
            </w:r>
            <w:r>
              <w:rPr>
                <w:sz w:val="21"/>
                <w:szCs w:val="21"/>
                <w:b/>
                <w:bCs/>
                <w:spacing w:val="-8"/>
              </w:rPr>
              <w:t>有关要求</w:t>
            </w:r>
          </w:p>
        </w:tc>
        <w:tc>
          <w:tcPr>
            <w:shd w:val="clear" w:fill="BDBDBD"/>
            <w:tcW w:w="3036" w:type="dxa"/>
            <w:vAlign w:val="top"/>
          </w:tcPr>
          <w:p>
            <w:pPr>
              <w:pStyle w:val="TableText"/>
              <w:ind w:left="1189"/>
              <w:spacing w:before="179" w:line="219" w:lineRule="auto"/>
              <w:rPr>
                <w:sz w:val="21"/>
                <w:szCs w:val="21"/>
              </w:rPr>
            </w:pPr>
            <w:r>
              <w:rPr>
                <w:sz w:val="21"/>
                <w:szCs w:val="21"/>
                <w:b/>
                <w:bCs/>
                <w:spacing w:val="9"/>
              </w:rPr>
              <w:t>本项目</w:t>
            </w:r>
          </w:p>
        </w:tc>
        <w:tc>
          <w:tcPr>
            <w:shd w:val="clear" w:fill="BEBEBE"/>
            <w:tcW w:w="684" w:type="dxa"/>
            <w:vAlign w:val="top"/>
          </w:tcPr>
          <w:p>
            <w:pPr>
              <w:pStyle w:val="TableText"/>
              <w:ind w:left="23"/>
              <w:spacing w:before="180" w:line="219" w:lineRule="auto"/>
              <w:rPr>
                <w:sz w:val="21"/>
                <w:szCs w:val="21"/>
              </w:rPr>
            </w:pPr>
            <w:r>
              <w:rPr>
                <w:sz w:val="21"/>
                <w:szCs w:val="21"/>
                <w:b/>
                <w:bCs/>
                <w:spacing w:val="-5"/>
              </w:rPr>
              <w:t>符合性</w:t>
            </w:r>
          </w:p>
        </w:tc>
      </w:tr>
      <w:tr>
        <w:trPr>
          <w:trHeight w:val="539" w:hRule="atLeast"/>
        </w:trPr>
        <w:tc>
          <w:tcPr>
            <w:tcW w:w="454" w:type="dxa"/>
            <w:vAlign w:val="top"/>
            <w:textDirection w:val="tbRlV"/>
          </w:tcPr>
          <w:p>
            <w:pPr>
              <w:pStyle w:val="TableText"/>
              <w:ind w:left="125"/>
              <w:spacing w:before="197" w:line="126" w:lineRule="exact"/>
              <w:rPr>
                <w:sz w:val="21"/>
                <w:szCs w:val="21"/>
              </w:rPr>
            </w:pPr>
            <w:r>
              <w:rPr>
                <w:sz w:val="21"/>
                <w:szCs w:val="21"/>
                <w:color w:val="505050"/>
                <w:spacing w:val="50"/>
                <w:w w:val="125"/>
                <w:position w:val="-3"/>
              </w:rPr>
              <w:t>1</w:t>
            </w:r>
          </w:p>
        </w:tc>
        <w:tc>
          <w:tcPr>
            <w:tcW w:w="4335" w:type="dxa"/>
            <w:vAlign w:val="top"/>
          </w:tcPr>
          <w:p>
            <w:pPr>
              <w:pStyle w:val="TableText"/>
              <w:ind w:left="10" w:right="104"/>
              <w:spacing w:before="30" w:line="219" w:lineRule="auto"/>
              <w:rPr>
                <w:sz w:val="21"/>
                <w:szCs w:val="21"/>
              </w:rPr>
            </w:pPr>
            <w:r>
              <w:rPr>
                <w:sz w:val="21"/>
                <w:szCs w:val="21"/>
              </w:rPr>
              <w:t>厂房和车间的内部设计和布局应满足食品卫生</w:t>
            </w:r>
            <w:r>
              <w:rPr>
                <w:sz w:val="21"/>
                <w:szCs w:val="21"/>
                <w:spacing w:val="8"/>
              </w:rPr>
              <w:t xml:space="preserve"> </w:t>
            </w:r>
            <w:r>
              <w:rPr>
                <w:sz w:val="21"/>
                <w:szCs w:val="21"/>
                <w:spacing w:val="-1"/>
              </w:rPr>
              <w:t>操作要求，避免食品生产中发生交叉污染。</w:t>
            </w:r>
          </w:p>
        </w:tc>
        <w:tc>
          <w:tcPr>
            <w:tcW w:w="3036" w:type="dxa"/>
            <w:vAlign w:val="top"/>
            <w:vMerge w:val="restart"/>
            <w:tcBorders>
              <w:bottom w:val="nil"/>
            </w:tcBorders>
          </w:tcPr>
          <w:p>
            <w:pPr>
              <w:pStyle w:val="TableText"/>
              <w:ind w:left="15"/>
              <w:spacing w:before="31" w:line="230" w:lineRule="auto"/>
              <w:jc w:val="both"/>
              <w:rPr>
                <w:sz w:val="21"/>
                <w:szCs w:val="21"/>
              </w:rPr>
            </w:pPr>
            <w:r>
              <w:rPr>
                <w:sz w:val="21"/>
                <w:szCs w:val="21"/>
                <w:spacing w:val="5"/>
              </w:rPr>
              <w:t>项目按待宰、屠宰、分割加工、</w:t>
            </w:r>
            <w:r>
              <w:rPr>
                <w:sz w:val="21"/>
                <w:szCs w:val="21"/>
              </w:rPr>
              <w:t xml:space="preserve"> </w:t>
            </w:r>
            <w:r>
              <w:rPr>
                <w:sz w:val="21"/>
                <w:szCs w:val="21"/>
                <w:spacing w:val="-2"/>
              </w:rPr>
              <w:t>副产品加工的顺序布局要求，满</w:t>
            </w:r>
            <w:r>
              <w:rPr>
                <w:sz w:val="21"/>
                <w:szCs w:val="21"/>
                <w:spacing w:val="1"/>
              </w:rPr>
              <w:t xml:space="preserve">  </w:t>
            </w:r>
            <w:r>
              <w:rPr>
                <w:sz w:val="21"/>
                <w:szCs w:val="21"/>
                <w:spacing w:val="-1"/>
              </w:rPr>
              <w:t>足相关卫生操作要求，并在车间</w:t>
            </w:r>
            <w:r>
              <w:rPr>
                <w:sz w:val="21"/>
                <w:szCs w:val="21"/>
              </w:rPr>
              <w:t xml:space="preserve"> </w:t>
            </w:r>
            <w:r>
              <w:rPr>
                <w:sz w:val="21"/>
                <w:szCs w:val="21"/>
                <w:spacing w:val="-3"/>
              </w:rPr>
              <w:t>内部设置疑似病猪专业通道。</w:t>
            </w:r>
          </w:p>
        </w:tc>
        <w:tc>
          <w:tcPr>
            <w:tcW w:w="684" w:type="dxa"/>
            <w:vAlign w:val="top"/>
          </w:tcPr>
          <w:p>
            <w:pPr>
              <w:pStyle w:val="TableText"/>
              <w:ind w:left="129"/>
              <w:spacing w:before="170" w:line="219" w:lineRule="auto"/>
              <w:rPr>
                <w:sz w:val="21"/>
                <w:szCs w:val="21"/>
              </w:rPr>
            </w:pPr>
            <w:r>
              <w:rPr>
                <w:sz w:val="21"/>
                <w:szCs w:val="21"/>
                <w:spacing w:val="-3"/>
              </w:rPr>
              <w:t>符合</w:t>
            </w:r>
          </w:p>
        </w:tc>
      </w:tr>
      <w:tr>
        <w:trPr>
          <w:trHeight w:val="539" w:hRule="atLeast"/>
        </w:trPr>
        <w:tc>
          <w:tcPr>
            <w:tcW w:w="454" w:type="dxa"/>
            <w:vAlign w:val="top"/>
          </w:tcPr>
          <w:p>
            <w:pPr>
              <w:pStyle w:val="TableText"/>
              <w:ind w:left="164"/>
              <w:spacing w:before="192" w:line="241" w:lineRule="auto"/>
              <w:rPr>
                <w:sz w:val="21"/>
                <w:szCs w:val="21"/>
              </w:rPr>
            </w:pPr>
            <w:r>
              <w:rPr>
                <w:sz w:val="21"/>
                <w:szCs w:val="21"/>
              </w:rPr>
              <w:t>2</w:t>
            </w:r>
          </w:p>
        </w:tc>
        <w:tc>
          <w:tcPr>
            <w:tcW w:w="4335" w:type="dxa"/>
            <w:vAlign w:val="top"/>
          </w:tcPr>
          <w:p>
            <w:pPr>
              <w:pStyle w:val="TableText"/>
              <w:ind w:left="10" w:right="119"/>
              <w:spacing w:before="30" w:line="219" w:lineRule="auto"/>
              <w:rPr>
                <w:sz w:val="21"/>
                <w:szCs w:val="21"/>
              </w:rPr>
            </w:pPr>
            <w:r>
              <w:rPr>
                <w:sz w:val="21"/>
                <w:szCs w:val="21"/>
                <w:spacing w:val="-1"/>
              </w:rPr>
              <w:t>厂房和车间的设计应根据生产工艺合理布局，</w:t>
            </w:r>
            <w:r>
              <w:rPr>
                <w:sz w:val="21"/>
                <w:szCs w:val="21"/>
                <w:spacing w:val="13"/>
              </w:rPr>
              <w:t xml:space="preserve"> </w:t>
            </w:r>
            <w:r>
              <w:rPr>
                <w:sz w:val="21"/>
                <w:szCs w:val="21"/>
                <w:spacing w:val="-1"/>
              </w:rPr>
              <w:t>预防和降低产品受污染的风险。</w:t>
            </w:r>
          </w:p>
        </w:tc>
        <w:tc>
          <w:tcPr>
            <w:tcW w:w="3036" w:type="dxa"/>
            <w:vAlign w:val="top"/>
            <w:vMerge w:val="continue"/>
            <w:tcBorders>
              <w:top w:val="nil"/>
            </w:tcBorders>
          </w:tcPr>
          <w:p>
            <w:pPr>
              <w:rPr>
                <w:rFonts w:ascii="Arial"/>
                <w:sz w:val="21"/>
              </w:rPr>
            </w:pPr>
            <w:r/>
          </w:p>
        </w:tc>
        <w:tc>
          <w:tcPr>
            <w:tcW w:w="684" w:type="dxa"/>
            <w:vAlign w:val="top"/>
          </w:tcPr>
          <w:p>
            <w:pPr>
              <w:pStyle w:val="TableText"/>
              <w:ind w:left="129"/>
              <w:spacing w:before="171" w:line="219" w:lineRule="auto"/>
              <w:rPr>
                <w:sz w:val="21"/>
                <w:szCs w:val="21"/>
              </w:rPr>
            </w:pPr>
            <w:r>
              <w:rPr>
                <w:sz w:val="21"/>
                <w:szCs w:val="21"/>
                <w:spacing w:val="-3"/>
              </w:rPr>
              <w:t>符合</w:t>
            </w:r>
          </w:p>
        </w:tc>
      </w:tr>
      <w:tr>
        <w:trPr>
          <w:trHeight w:val="1636" w:hRule="atLeast"/>
        </w:trPr>
        <w:tc>
          <w:tcPr>
            <w:tcW w:w="454" w:type="dxa"/>
            <w:vAlign w:val="top"/>
          </w:tcPr>
          <w:p>
            <w:pPr>
              <w:spacing w:line="335" w:lineRule="auto"/>
              <w:rPr>
                <w:rFonts w:ascii="Arial"/>
                <w:sz w:val="21"/>
              </w:rPr>
            </w:pPr>
            <w:r/>
          </w:p>
          <w:p>
            <w:pPr>
              <w:spacing w:line="335" w:lineRule="auto"/>
              <w:rPr>
                <w:rFonts w:ascii="Arial"/>
                <w:sz w:val="21"/>
              </w:rPr>
            </w:pPr>
            <w:r/>
          </w:p>
          <w:p>
            <w:pPr>
              <w:pStyle w:val="TableText"/>
              <w:ind w:left="164"/>
              <w:spacing w:before="69"/>
              <w:rPr>
                <w:sz w:val="21"/>
                <w:szCs w:val="21"/>
              </w:rPr>
            </w:pPr>
            <w:r>
              <w:rPr>
                <w:sz w:val="21"/>
                <w:szCs w:val="21"/>
              </w:rPr>
              <w:t>3</w:t>
            </w:r>
          </w:p>
        </w:tc>
        <w:tc>
          <w:tcPr>
            <w:tcW w:w="4335" w:type="dxa"/>
            <w:vAlign w:val="top"/>
          </w:tcPr>
          <w:p>
            <w:pPr>
              <w:pStyle w:val="TableText"/>
              <w:ind w:left="10" w:right="100"/>
              <w:spacing w:before="35" w:line="233" w:lineRule="auto"/>
              <w:jc w:val="both"/>
              <w:rPr>
                <w:sz w:val="21"/>
                <w:szCs w:val="21"/>
              </w:rPr>
            </w:pPr>
            <w:r>
              <w:rPr>
                <w:sz w:val="21"/>
                <w:szCs w:val="21"/>
              </w:rPr>
              <w:t>厂房和车间应根据产品特点、生产工艺、生产</w:t>
            </w:r>
            <w:r>
              <w:rPr>
                <w:sz w:val="21"/>
                <w:szCs w:val="21"/>
                <w:spacing w:val="12"/>
              </w:rPr>
              <w:t xml:space="preserve"> </w:t>
            </w:r>
            <w:r>
              <w:rPr>
                <w:sz w:val="21"/>
                <w:szCs w:val="21"/>
                <w:spacing w:val="-1"/>
              </w:rPr>
              <w:t>特性以及生产过程对清洁程度的要求合理划分</w:t>
            </w:r>
            <w:r>
              <w:rPr>
                <w:sz w:val="21"/>
                <w:szCs w:val="21"/>
                <w:spacing w:val="10"/>
              </w:rPr>
              <w:t xml:space="preserve"> </w:t>
            </w:r>
            <w:r>
              <w:rPr>
                <w:sz w:val="21"/>
                <w:szCs w:val="21"/>
                <w:spacing w:val="-1"/>
              </w:rPr>
              <w:t>作业区，并采取有效分离或分隔。如：通常可</w:t>
            </w:r>
            <w:r>
              <w:rPr>
                <w:sz w:val="21"/>
                <w:szCs w:val="21"/>
                <w:spacing w:val="9"/>
              </w:rPr>
              <w:t xml:space="preserve"> </w:t>
            </w:r>
            <w:r>
              <w:rPr>
                <w:sz w:val="21"/>
                <w:szCs w:val="21"/>
                <w:spacing w:val="-1"/>
              </w:rPr>
              <w:t>划分为清洁作业区、准清洁作业区和一般作业</w:t>
            </w:r>
            <w:r>
              <w:rPr>
                <w:sz w:val="21"/>
                <w:szCs w:val="21"/>
                <w:spacing w:val="11"/>
              </w:rPr>
              <w:t xml:space="preserve"> </w:t>
            </w:r>
            <w:r>
              <w:rPr>
                <w:sz w:val="21"/>
                <w:szCs w:val="21"/>
              </w:rPr>
              <w:t>区；或清洁作业区和一般作业区等。一般作业</w:t>
            </w:r>
            <w:r>
              <w:rPr>
                <w:sz w:val="21"/>
                <w:szCs w:val="21"/>
                <w:spacing w:val="6"/>
              </w:rPr>
              <w:t xml:space="preserve"> </w:t>
            </w:r>
            <w:r>
              <w:rPr>
                <w:sz w:val="21"/>
                <w:szCs w:val="21"/>
                <w:spacing w:val="-1"/>
              </w:rPr>
              <w:t>区应与其他作业区域分隔。</w:t>
            </w:r>
          </w:p>
        </w:tc>
        <w:tc>
          <w:tcPr>
            <w:tcW w:w="3036" w:type="dxa"/>
            <w:vAlign w:val="top"/>
          </w:tcPr>
          <w:p>
            <w:pPr>
              <w:spacing w:line="261" w:lineRule="auto"/>
              <w:rPr>
                <w:rFonts w:ascii="Arial"/>
                <w:sz w:val="21"/>
              </w:rPr>
            </w:pPr>
            <w:r/>
          </w:p>
          <w:p>
            <w:pPr>
              <w:pStyle w:val="TableText"/>
              <w:ind w:left="15" w:right="79"/>
              <w:spacing w:before="68" w:line="235" w:lineRule="auto"/>
              <w:rPr>
                <w:sz w:val="21"/>
                <w:szCs w:val="21"/>
              </w:rPr>
            </w:pPr>
            <w:r>
              <w:rPr>
                <w:sz w:val="21"/>
                <w:szCs w:val="21"/>
                <w:spacing w:val="-1"/>
              </w:rPr>
              <w:t>屠宰加工车间均按由东南向西北</w:t>
            </w:r>
            <w:r>
              <w:rPr>
                <w:sz w:val="21"/>
                <w:szCs w:val="21"/>
                <w:spacing w:val="3"/>
              </w:rPr>
              <w:t xml:space="preserve"> </w:t>
            </w:r>
            <w:r>
              <w:rPr>
                <w:sz w:val="21"/>
                <w:szCs w:val="21"/>
                <w:spacing w:val="-1"/>
              </w:rPr>
              <w:t>方向布置非清洁区(待宰间、急</w:t>
            </w:r>
            <w:r>
              <w:rPr>
                <w:sz w:val="21"/>
                <w:szCs w:val="21"/>
                <w:spacing w:val="1"/>
              </w:rPr>
              <w:t xml:space="preserve">  </w:t>
            </w:r>
            <w:r>
              <w:rPr>
                <w:sz w:val="21"/>
                <w:szCs w:val="21"/>
                <w:spacing w:val="1"/>
              </w:rPr>
              <w:t>宰区、屠宰加工区)与清洁区</w:t>
            </w:r>
          </w:p>
          <w:p>
            <w:pPr>
              <w:pStyle w:val="TableText"/>
              <w:ind w:left="15"/>
              <w:spacing w:line="220" w:lineRule="auto"/>
              <w:rPr>
                <w:sz w:val="21"/>
                <w:szCs w:val="21"/>
              </w:rPr>
            </w:pPr>
            <w:r>
              <w:rPr>
                <w:sz w:val="21"/>
                <w:szCs w:val="21"/>
                <w:spacing w:val="-1"/>
              </w:rPr>
              <w:t>(分割包装加工及包装场所)。</w:t>
            </w:r>
          </w:p>
        </w:tc>
        <w:tc>
          <w:tcPr>
            <w:tcW w:w="684" w:type="dxa"/>
            <w:vAlign w:val="top"/>
          </w:tcPr>
          <w:p>
            <w:pPr>
              <w:spacing w:line="325" w:lineRule="auto"/>
              <w:rPr>
                <w:rFonts w:ascii="Arial"/>
                <w:sz w:val="21"/>
              </w:rPr>
            </w:pPr>
            <w:r/>
          </w:p>
          <w:p>
            <w:pPr>
              <w:spacing w:line="325" w:lineRule="auto"/>
              <w:rPr>
                <w:rFonts w:ascii="Arial"/>
                <w:sz w:val="21"/>
              </w:rPr>
            </w:pPr>
            <w:r/>
          </w:p>
          <w:p>
            <w:pPr>
              <w:pStyle w:val="TableText"/>
              <w:ind w:left="129"/>
              <w:spacing w:before="68" w:line="219" w:lineRule="auto"/>
              <w:rPr>
                <w:sz w:val="21"/>
                <w:szCs w:val="21"/>
              </w:rPr>
            </w:pPr>
            <w:r>
              <w:rPr>
                <w:sz w:val="21"/>
                <w:szCs w:val="21"/>
                <w:spacing w:val="-3"/>
              </w:rPr>
              <w:t>符合</w:t>
            </w:r>
          </w:p>
        </w:tc>
      </w:tr>
      <w:tr>
        <w:trPr>
          <w:trHeight w:val="539" w:hRule="atLeast"/>
        </w:trPr>
        <w:tc>
          <w:tcPr>
            <w:tcW w:w="454" w:type="dxa"/>
            <w:vAlign w:val="top"/>
          </w:tcPr>
          <w:p>
            <w:pPr>
              <w:pStyle w:val="TableText"/>
              <w:ind w:left="164"/>
              <w:spacing w:before="197" w:line="241" w:lineRule="auto"/>
              <w:rPr>
                <w:sz w:val="21"/>
                <w:szCs w:val="21"/>
              </w:rPr>
            </w:pPr>
            <w:r>
              <w:rPr>
                <w:sz w:val="21"/>
                <w:szCs w:val="21"/>
                <w:color w:val="404030"/>
              </w:rPr>
              <w:t>4</w:t>
            </w:r>
          </w:p>
        </w:tc>
        <w:tc>
          <w:tcPr>
            <w:tcW w:w="4335" w:type="dxa"/>
            <w:vAlign w:val="top"/>
          </w:tcPr>
          <w:p>
            <w:pPr>
              <w:pStyle w:val="TableText"/>
              <w:ind w:left="250"/>
              <w:spacing w:before="176" w:line="219" w:lineRule="auto"/>
              <w:rPr>
                <w:sz w:val="21"/>
                <w:szCs w:val="21"/>
              </w:rPr>
            </w:pPr>
            <w:r>
              <w:rPr>
                <w:sz w:val="21"/>
                <w:szCs w:val="21"/>
                <w:spacing w:val="-1"/>
              </w:rPr>
              <w:t>厂房内设置的检验室应与生产区域分隔。</w:t>
            </w:r>
          </w:p>
        </w:tc>
        <w:tc>
          <w:tcPr>
            <w:tcW w:w="3036" w:type="dxa"/>
            <w:vAlign w:val="top"/>
          </w:tcPr>
          <w:p>
            <w:pPr>
              <w:pStyle w:val="TableText"/>
              <w:ind w:left="15" w:right="61"/>
              <w:spacing w:before="37" w:line="216" w:lineRule="auto"/>
              <w:rPr>
                <w:sz w:val="21"/>
                <w:szCs w:val="21"/>
              </w:rPr>
            </w:pPr>
            <w:r>
              <w:rPr>
                <w:sz w:val="21"/>
                <w:szCs w:val="21"/>
              </w:rPr>
              <w:t>项目于屠宰车间内单独设置检验</w:t>
            </w:r>
            <w:r>
              <w:rPr>
                <w:sz w:val="21"/>
                <w:szCs w:val="21"/>
                <w:spacing w:val="7"/>
              </w:rPr>
              <w:t xml:space="preserve"> </w:t>
            </w:r>
            <w:r>
              <w:rPr>
                <w:sz w:val="21"/>
                <w:szCs w:val="21"/>
                <w:spacing w:val="-2"/>
              </w:rPr>
              <w:t>检疫室</w:t>
            </w:r>
          </w:p>
        </w:tc>
        <w:tc>
          <w:tcPr>
            <w:tcW w:w="684" w:type="dxa"/>
            <w:vAlign w:val="top"/>
          </w:tcPr>
          <w:p>
            <w:pPr>
              <w:pStyle w:val="TableText"/>
              <w:ind w:left="129"/>
              <w:spacing w:before="176" w:line="219" w:lineRule="auto"/>
              <w:rPr>
                <w:sz w:val="21"/>
                <w:szCs w:val="21"/>
              </w:rPr>
            </w:pPr>
            <w:r>
              <w:rPr>
                <w:sz w:val="21"/>
                <w:szCs w:val="21"/>
                <w:spacing w:val="-3"/>
              </w:rPr>
              <w:t>符合</w:t>
            </w:r>
          </w:p>
        </w:tc>
      </w:tr>
      <w:tr>
        <w:trPr>
          <w:trHeight w:val="314" w:hRule="atLeast"/>
        </w:trPr>
        <w:tc>
          <w:tcPr>
            <w:tcW w:w="454" w:type="dxa"/>
            <w:vAlign w:val="top"/>
          </w:tcPr>
          <w:p>
            <w:pPr>
              <w:pStyle w:val="TableText"/>
              <w:ind w:left="164"/>
              <w:spacing w:before="78" w:line="198" w:lineRule="auto"/>
              <w:rPr>
                <w:sz w:val="21"/>
                <w:szCs w:val="21"/>
              </w:rPr>
            </w:pPr>
            <w:r>
              <w:rPr>
                <w:sz w:val="21"/>
                <w:szCs w:val="21"/>
                <w:color w:val="504040"/>
              </w:rPr>
              <w:t>5</w:t>
            </w:r>
          </w:p>
        </w:tc>
        <w:tc>
          <w:tcPr>
            <w:tcW w:w="4335" w:type="dxa"/>
            <w:vAlign w:val="top"/>
          </w:tcPr>
          <w:p>
            <w:pPr>
              <w:pStyle w:val="TableText"/>
              <w:ind w:left="10"/>
              <w:spacing w:before="57" w:line="217" w:lineRule="auto"/>
              <w:rPr>
                <w:sz w:val="21"/>
                <w:szCs w:val="21"/>
              </w:rPr>
            </w:pPr>
            <w:r>
              <w:rPr>
                <w:sz w:val="21"/>
                <w:szCs w:val="21"/>
              </w:rPr>
              <w:t>厂房的面积和空间应与生产能力相适应，便于</w:t>
            </w:r>
          </w:p>
        </w:tc>
        <w:tc>
          <w:tcPr>
            <w:tcW w:w="3036" w:type="dxa"/>
            <w:vAlign w:val="top"/>
          </w:tcPr>
          <w:p>
            <w:pPr>
              <w:pStyle w:val="TableText"/>
              <w:ind w:left="15"/>
              <w:spacing w:before="57" w:line="217" w:lineRule="auto"/>
              <w:rPr>
                <w:sz w:val="21"/>
                <w:szCs w:val="21"/>
              </w:rPr>
            </w:pPr>
            <w:r>
              <w:rPr>
                <w:sz w:val="21"/>
                <w:szCs w:val="21"/>
                <w:spacing w:val="-1"/>
              </w:rPr>
              <w:t>屠宰和分割车间建筑面积符合性</w:t>
            </w:r>
          </w:p>
        </w:tc>
        <w:tc>
          <w:tcPr>
            <w:tcW w:w="684" w:type="dxa"/>
            <w:vAlign w:val="top"/>
          </w:tcPr>
          <w:p>
            <w:pPr>
              <w:pStyle w:val="TableText"/>
              <w:ind w:left="129"/>
              <w:spacing w:before="57" w:line="217" w:lineRule="auto"/>
              <w:rPr>
                <w:sz w:val="21"/>
                <w:szCs w:val="21"/>
              </w:rPr>
            </w:pPr>
            <w:r>
              <w:rPr>
                <w:sz w:val="21"/>
                <w:szCs w:val="21"/>
                <w:spacing w:val="-3"/>
              </w:rPr>
              <w:t>符合</w:t>
            </w:r>
          </w:p>
        </w:tc>
      </w:tr>
    </w:tbl>
    <w:p>
      <w:pPr>
        <w:pStyle w:val="BodyText"/>
        <w:rPr/>
      </w:pPr>
      <w:r/>
    </w:p>
    <w:p>
      <w:pPr>
        <w:sectPr>
          <w:headerReference w:type="default" r:id="rId244"/>
          <w:footerReference w:type="default" r:id="rId245"/>
          <w:pgSz w:w="11910" w:h="16840"/>
          <w:pgMar w:top="1167" w:right="1695" w:bottom="920" w:left="1685" w:header="874" w:footer="748" w:gutter="0"/>
        </w:sectPr>
        <w:rPr/>
      </w:pPr>
    </w:p>
    <w:p>
      <w:pPr>
        <w:spacing w:line="172" w:lineRule="exact"/>
        <w:rPr/>
      </w:pPr>
      <w:r/>
    </w:p>
    <w:tbl>
      <w:tblPr>
        <w:tblStyle w:val="TableNormal"/>
        <w:tblW w:w="85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865"/>
        <w:gridCol w:w="714"/>
      </w:tblGrid>
      <w:tr>
        <w:trPr>
          <w:trHeight w:val="375" w:hRule="atLeast"/>
        </w:trPr>
        <w:tc>
          <w:tcPr>
            <w:tcW w:w="7865" w:type="dxa"/>
            <w:vAlign w:val="top"/>
            <w:tcBorders>
              <w:top w:val="single" w:color="000000" w:sz="2" w:space="0"/>
            </w:tcBorders>
          </w:tcPr>
          <w:p>
            <w:pPr>
              <w:pStyle w:val="TableText"/>
              <w:ind w:left="489"/>
              <w:spacing w:before="172" w:line="187" w:lineRule="auto"/>
              <w:rPr>
                <w:sz w:val="19"/>
                <w:szCs w:val="19"/>
              </w:rPr>
            </w:pPr>
            <w:r>
              <w:rPr>
                <w:sz w:val="19"/>
                <w:szCs w:val="19"/>
                <w:spacing w:val="13"/>
              </w:rPr>
              <w:t>设备安置、清洁消毒、物料存储及人员操作。  见表3.7-4</w:t>
            </w:r>
          </w:p>
        </w:tc>
        <w:tc>
          <w:tcPr>
            <w:tcW w:w="714" w:type="dxa"/>
            <w:vAlign w:val="top"/>
            <w:tcBorders>
              <w:top w:val="single" w:color="000000" w:sz="2" w:space="0"/>
            </w:tcBorders>
          </w:tcPr>
          <w:p>
            <w:pPr>
              <w:rPr>
                <w:rFonts w:ascii="Arial"/>
                <w:sz w:val="21"/>
              </w:rPr>
            </w:pPr>
            <w:r/>
          </w:p>
        </w:tc>
      </w:tr>
    </w:tbl>
    <w:p>
      <w:pPr>
        <w:ind w:left="280" w:right="185" w:firstLine="340"/>
        <w:spacing w:before="39" w:line="350" w:lineRule="auto"/>
        <w:rPr>
          <w:rFonts w:ascii="SimSun" w:hAnsi="SimSun" w:eastAsia="SimSun" w:cs="SimSun"/>
          <w:sz w:val="24"/>
          <w:szCs w:val="24"/>
        </w:rPr>
      </w:pPr>
      <w:r>
        <w:rPr>
          <w:rFonts w:ascii="SimSun" w:hAnsi="SimSun" w:eastAsia="SimSun" w:cs="SimSun"/>
          <w:sz w:val="24"/>
          <w:szCs w:val="24"/>
          <w:spacing w:val="5"/>
        </w:rPr>
        <w:t>因此，本项目场区布局符合《食品安全国家标</w:t>
      </w:r>
      <w:r>
        <w:rPr>
          <w:rFonts w:ascii="SimSun" w:hAnsi="SimSun" w:eastAsia="SimSun" w:cs="SimSun"/>
          <w:sz w:val="24"/>
          <w:szCs w:val="24"/>
          <w:spacing w:val="4"/>
        </w:rPr>
        <w:t>准食品生产通用卫生规范》</w:t>
      </w:r>
      <w:r>
        <w:rPr>
          <w:rFonts w:ascii="SimSun" w:hAnsi="SimSun" w:eastAsia="SimSun" w:cs="SimSun"/>
          <w:sz w:val="24"/>
          <w:szCs w:val="24"/>
        </w:rPr>
        <w:t xml:space="preserve"> </w:t>
      </w:r>
      <w:r>
        <w:rPr>
          <w:rFonts w:ascii="Times New Roman" w:hAnsi="Times New Roman" w:eastAsia="Times New Roman" w:cs="Times New Roman"/>
          <w:sz w:val="24"/>
          <w:szCs w:val="24"/>
          <w:spacing w:val="-1"/>
        </w:rPr>
        <w:t>(GB14881-2013)   </w:t>
      </w:r>
      <w:r>
        <w:rPr>
          <w:rFonts w:ascii="SimSun" w:hAnsi="SimSun" w:eastAsia="SimSun" w:cs="SimSun"/>
          <w:sz w:val="24"/>
          <w:szCs w:val="24"/>
          <w:spacing w:val="-1"/>
        </w:rPr>
        <w:t>中场区布局有关要求。</w:t>
      </w:r>
    </w:p>
    <w:p>
      <w:pPr>
        <w:ind w:left="153" w:right="192" w:firstLine="470"/>
        <w:spacing w:before="24" w:line="343" w:lineRule="auto"/>
        <w:rPr>
          <w:rFonts w:ascii="SimSun" w:hAnsi="SimSun" w:eastAsia="SimSun" w:cs="SimSun"/>
          <w:sz w:val="24"/>
          <w:szCs w:val="24"/>
        </w:rPr>
      </w:pPr>
      <w:r>
        <w:rPr>
          <w:rFonts w:ascii="SimSun" w:hAnsi="SimSun" w:eastAsia="SimSun" w:cs="SimSun"/>
          <w:sz w:val="24"/>
          <w:szCs w:val="24"/>
          <w:b/>
          <w:bCs/>
          <w:spacing w:val="2"/>
        </w:rPr>
        <w:t>③与《食品安全国家标准畜禽屠宰加工卫生规范》</w:t>
      </w:r>
      <w:r>
        <w:rPr>
          <w:rFonts w:ascii="SimSun" w:hAnsi="SimSun" w:eastAsia="SimSun" w:cs="SimSun"/>
          <w:sz w:val="24"/>
          <w:szCs w:val="24"/>
          <w:spacing w:val="90"/>
        </w:rPr>
        <w:t xml:space="preserve"> </w:t>
      </w:r>
      <w:r>
        <w:rPr>
          <w:rFonts w:ascii="SimSun" w:hAnsi="SimSun" w:eastAsia="SimSun" w:cs="SimSun"/>
          <w:sz w:val="24"/>
          <w:szCs w:val="24"/>
          <w:b/>
          <w:bCs/>
          <w:spacing w:val="2"/>
        </w:rPr>
        <w:t>(</w:t>
      </w:r>
      <w:r>
        <w:rPr>
          <w:rFonts w:ascii="SimSun" w:hAnsi="SimSun" w:eastAsia="SimSun" w:cs="SimSun"/>
          <w:sz w:val="24"/>
          <w:szCs w:val="24"/>
          <w:b/>
          <w:bCs/>
        </w:rPr>
        <w:t>GB</w:t>
      </w:r>
      <w:r>
        <w:rPr>
          <w:rFonts w:ascii="SimSun" w:hAnsi="SimSun" w:eastAsia="SimSun" w:cs="SimSun"/>
          <w:sz w:val="24"/>
          <w:szCs w:val="24"/>
          <w:b/>
          <w:bCs/>
          <w:spacing w:val="2"/>
        </w:rPr>
        <w:t>12694-2016)</w:t>
      </w:r>
      <w:r>
        <w:rPr>
          <w:rFonts w:ascii="SimSun" w:hAnsi="SimSun" w:eastAsia="SimSun" w:cs="SimSun"/>
          <w:sz w:val="24"/>
          <w:szCs w:val="24"/>
          <w:spacing w:val="2"/>
        </w:rPr>
        <w:t xml:space="preserve">  </w:t>
      </w:r>
      <w:r>
        <w:rPr>
          <w:rFonts w:ascii="SimSun" w:hAnsi="SimSun" w:eastAsia="SimSun" w:cs="SimSun"/>
          <w:sz w:val="24"/>
          <w:szCs w:val="24"/>
          <w:b/>
          <w:bCs/>
          <w:spacing w:val="2"/>
        </w:rPr>
        <w:t>符</w:t>
      </w:r>
      <w:r>
        <w:rPr>
          <w:rFonts w:ascii="SimSun" w:hAnsi="SimSun" w:eastAsia="SimSun" w:cs="SimSun"/>
          <w:sz w:val="24"/>
          <w:szCs w:val="24"/>
        </w:rPr>
        <w:t xml:space="preserve"> </w:t>
      </w:r>
      <w:r>
        <w:rPr>
          <w:rFonts w:ascii="SimSun" w:hAnsi="SimSun" w:eastAsia="SimSun" w:cs="SimSun"/>
          <w:sz w:val="24"/>
          <w:szCs w:val="24"/>
          <w:b/>
          <w:bCs/>
          <w:spacing w:val="-6"/>
        </w:rPr>
        <w:t>合性</w:t>
      </w:r>
    </w:p>
    <w:p>
      <w:pPr>
        <w:ind w:left="3073" w:right="919" w:hanging="2180"/>
        <w:spacing w:before="2" w:line="225" w:lineRule="auto"/>
        <w:rPr>
          <w:rFonts w:ascii="SimSun" w:hAnsi="SimSun" w:eastAsia="SimSun" w:cs="SimSun"/>
          <w:sz w:val="25"/>
          <w:szCs w:val="25"/>
        </w:rPr>
      </w:pPr>
      <w:r>
        <w:rPr>
          <w:rFonts w:ascii="SimSun" w:hAnsi="SimSun" w:eastAsia="SimSun" w:cs="SimSun"/>
          <w:sz w:val="24"/>
          <w:szCs w:val="24"/>
          <w:b/>
          <w:bCs/>
          <w:spacing w:val="-3"/>
        </w:rPr>
        <w:t>表3.7-3厂区布局与《食品安全国家标准畜禽屠宰加工卫</w:t>
      </w:r>
      <w:r>
        <w:rPr>
          <w:rFonts w:ascii="SimSun" w:hAnsi="SimSun" w:eastAsia="SimSun" w:cs="SimSun"/>
          <w:sz w:val="24"/>
          <w:szCs w:val="24"/>
          <w:b/>
          <w:bCs/>
          <w:spacing w:val="-4"/>
        </w:rPr>
        <w:t>生规范》</w:t>
      </w:r>
      <w:r>
        <w:rPr>
          <w:rFonts w:ascii="SimSun" w:hAnsi="SimSun" w:eastAsia="SimSun" w:cs="SimSun"/>
          <w:sz w:val="24"/>
          <w:szCs w:val="24"/>
        </w:rPr>
        <w:t xml:space="preserve"> </w:t>
      </w:r>
      <w:r>
        <w:rPr>
          <w:rFonts w:ascii="SimSun" w:hAnsi="SimSun" w:eastAsia="SimSun" w:cs="SimSun"/>
          <w:sz w:val="25"/>
          <w:szCs w:val="25"/>
          <w:b/>
          <w:bCs/>
          <w:spacing w:val="-3"/>
        </w:rPr>
        <w:t>(GB12694-2016)符合性</w:t>
      </w:r>
    </w:p>
    <w:tbl>
      <w:tblPr>
        <w:tblStyle w:val="TableNormal"/>
        <w:tblW w:w="8509" w:type="dxa"/>
        <w:tblInd w:w="5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24"/>
        <w:gridCol w:w="3596"/>
        <w:gridCol w:w="3805"/>
        <w:gridCol w:w="684"/>
      </w:tblGrid>
      <w:tr>
        <w:trPr>
          <w:trHeight w:val="565" w:hRule="atLeast"/>
        </w:trPr>
        <w:tc>
          <w:tcPr>
            <w:shd w:val="clear" w:fill="BDBDBD"/>
            <w:tcW w:w="424" w:type="dxa"/>
            <w:vAlign w:val="top"/>
          </w:tcPr>
          <w:p>
            <w:pPr>
              <w:pStyle w:val="TableText"/>
              <w:spacing w:before="181" w:line="221" w:lineRule="auto"/>
              <w:jc w:val="right"/>
              <w:rPr>
                <w:sz w:val="21"/>
                <w:szCs w:val="21"/>
              </w:rPr>
            </w:pPr>
            <w:r>
              <w:rPr>
                <w:sz w:val="21"/>
                <w:szCs w:val="21"/>
                <w:b/>
                <w:bCs/>
                <w:spacing w:val="-16"/>
              </w:rPr>
              <w:t>序</w:t>
            </w:r>
            <w:r>
              <w:rPr>
                <w:sz w:val="21"/>
                <w:szCs w:val="21"/>
                <w:b/>
                <w:bCs/>
                <w:spacing w:val="-14"/>
              </w:rPr>
              <w:t>号</w:t>
            </w:r>
          </w:p>
        </w:tc>
        <w:tc>
          <w:tcPr>
            <w:shd w:val="clear" w:fill="BDBDBD"/>
            <w:tcW w:w="3596" w:type="dxa"/>
            <w:vAlign w:val="top"/>
          </w:tcPr>
          <w:p>
            <w:pPr>
              <w:pStyle w:val="TableText"/>
              <w:ind w:left="943" w:right="165" w:hanging="864"/>
              <w:spacing w:before="40" w:line="226" w:lineRule="auto"/>
              <w:rPr>
                <w:sz w:val="21"/>
                <w:szCs w:val="21"/>
              </w:rPr>
            </w:pPr>
            <w:r>
              <w:rPr>
                <w:sz w:val="21"/>
                <w:szCs w:val="21"/>
                <w:b/>
                <w:bCs/>
                <w:spacing w:val="-4"/>
              </w:rPr>
              <w:t>《食品安全国家标准畜禽屠宰加工卫</w:t>
            </w:r>
            <w:r>
              <w:rPr>
                <w:sz w:val="21"/>
                <w:szCs w:val="21"/>
                <w:spacing w:val="8"/>
              </w:rPr>
              <w:t xml:space="preserve"> </w:t>
            </w:r>
            <w:r>
              <w:rPr>
                <w:sz w:val="21"/>
                <w:szCs w:val="21"/>
                <w:b/>
                <w:bCs/>
                <w:spacing w:val="-4"/>
              </w:rPr>
              <w:t>生规范》有关要求</w:t>
            </w:r>
          </w:p>
        </w:tc>
        <w:tc>
          <w:tcPr>
            <w:shd w:val="clear" w:fill="BDBDBD"/>
            <w:tcW w:w="3805" w:type="dxa"/>
            <w:vAlign w:val="top"/>
          </w:tcPr>
          <w:p>
            <w:pPr>
              <w:pStyle w:val="TableText"/>
              <w:ind w:left="1577"/>
              <w:spacing w:before="179" w:line="219" w:lineRule="auto"/>
              <w:rPr>
                <w:sz w:val="21"/>
                <w:szCs w:val="21"/>
              </w:rPr>
            </w:pPr>
            <w:r>
              <w:rPr>
                <w:sz w:val="21"/>
                <w:szCs w:val="21"/>
                <w:b/>
                <w:bCs/>
                <w:spacing w:val="9"/>
              </w:rPr>
              <w:t>本项目</w:t>
            </w:r>
          </w:p>
        </w:tc>
        <w:tc>
          <w:tcPr>
            <w:shd w:val="clear" w:fill="BDBDBD"/>
            <w:tcW w:w="684" w:type="dxa"/>
            <w:vAlign w:val="top"/>
          </w:tcPr>
          <w:p>
            <w:pPr>
              <w:pStyle w:val="TableText"/>
              <w:ind w:left="23"/>
              <w:spacing w:before="180" w:line="219" w:lineRule="auto"/>
              <w:rPr>
                <w:sz w:val="21"/>
                <w:szCs w:val="21"/>
              </w:rPr>
            </w:pPr>
            <w:r>
              <w:rPr>
                <w:sz w:val="21"/>
                <w:szCs w:val="21"/>
                <w:b/>
                <w:bCs/>
                <w:spacing w:val="-5"/>
              </w:rPr>
              <w:t>符合性</w:t>
            </w:r>
          </w:p>
        </w:tc>
      </w:tr>
      <w:tr>
        <w:trPr>
          <w:trHeight w:val="1628" w:hRule="atLeast"/>
        </w:trPr>
        <w:tc>
          <w:tcPr>
            <w:tcW w:w="424" w:type="dxa"/>
            <w:vAlign w:val="top"/>
            <w:textDirection w:val="tbRlV"/>
          </w:tcPr>
          <w:p>
            <w:pPr>
              <w:pStyle w:val="TableText"/>
              <w:ind w:left="663"/>
              <w:spacing w:before="182" w:line="126" w:lineRule="exact"/>
              <w:rPr>
                <w:sz w:val="21"/>
                <w:szCs w:val="21"/>
              </w:rPr>
            </w:pPr>
            <w:r>
              <w:rPr>
                <w:sz w:val="21"/>
                <w:szCs w:val="21"/>
                <w:color w:val="505050"/>
                <w:spacing w:val="50"/>
                <w:w w:val="125"/>
                <w:position w:val="-3"/>
              </w:rPr>
              <w:t>1</w:t>
            </w:r>
          </w:p>
        </w:tc>
        <w:tc>
          <w:tcPr>
            <w:tcW w:w="3596" w:type="dxa"/>
            <w:vAlign w:val="top"/>
          </w:tcPr>
          <w:p>
            <w:pPr>
              <w:spacing w:line="386" w:lineRule="auto"/>
              <w:rPr>
                <w:rFonts w:ascii="Arial"/>
                <w:sz w:val="21"/>
              </w:rPr>
            </w:pPr>
            <w:r/>
          </w:p>
          <w:p>
            <w:pPr>
              <w:pStyle w:val="TableText"/>
              <w:ind w:left="10" w:firstLine="9"/>
              <w:spacing w:before="69" w:line="239" w:lineRule="auto"/>
              <w:jc w:val="both"/>
              <w:rPr>
                <w:sz w:val="21"/>
                <w:szCs w:val="21"/>
              </w:rPr>
            </w:pPr>
            <w:r>
              <w:rPr>
                <w:sz w:val="21"/>
                <w:szCs w:val="21"/>
                <w:spacing w:val="-1"/>
              </w:rPr>
              <w:t>厂区应划分为生产区和非生产区。活畜</w:t>
            </w:r>
            <w:r>
              <w:rPr>
                <w:sz w:val="21"/>
                <w:szCs w:val="21"/>
                <w:spacing w:val="11"/>
              </w:rPr>
              <w:t xml:space="preserve"> </w:t>
            </w:r>
            <w:r>
              <w:rPr>
                <w:sz w:val="21"/>
                <w:szCs w:val="21"/>
                <w:spacing w:val="-1"/>
              </w:rPr>
              <w:t>禽、废弃物运送与成品出厂不得共用一</w:t>
            </w:r>
            <w:r>
              <w:rPr>
                <w:sz w:val="21"/>
                <w:szCs w:val="21"/>
                <w:spacing w:val="2"/>
              </w:rPr>
              <w:t xml:space="preserve"> </w:t>
            </w:r>
            <w:r>
              <w:rPr>
                <w:sz w:val="21"/>
                <w:szCs w:val="21"/>
                <w:spacing w:val="-2"/>
              </w:rPr>
              <w:t>个大门，场内不得共用一个通道。</w:t>
            </w:r>
          </w:p>
        </w:tc>
        <w:tc>
          <w:tcPr>
            <w:tcW w:w="3805" w:type="dxa"/>
            <w:vAlign w:val="top"/>
          </w:tcPr>
          <w:p>
            <w:pPr>
              <w:pStyle w:val="TableText"/>
              <w:ind w:left="14"/>
              <w:spacing w:before="27" w:line="219" w:lineRule="auto"/>
              <w:rPr>
                <w:sz w:val="21"/>
                <w:szCs w:val="21"/>
              </w:rPr>
            </w:pPr>
            <w:r>
              <w:rPr>
                <w:sz w:val="21"/>
                <w:szCs w:val="21"/>
              </w:rPr>
              <w:t>办公生活区等非生产区与生产区分开布</w:t>
            </w:r>
          </w:p>
          <w:p>
            <w:pPr>
              <w:pStyle w:val="TableText"/>
              <w:ind w:left="14"/>
              <w:spacing w:before="33" w:line="230" w:lineRule="auto"/>
              <w:rPr>
                <w:sz w:val="21"/>
                <w:szCs w:val="21"/>
              </w:rPr>
            </w:pPr>
            <w:r>
              <w:rPr>
                <w:sz w:val="21"/>
                <w:szCs w:val="21"/>
                <w:spacing w:val="-1"/>
              </w:rPr>
              <w:t>置；活畜及其废弃物通过东北侧专用通道</w:t>
            </w:r>
            <w:r>
              <w:rPr>
                <w:sz w:val="21"/>
                <w:szCs w:val="21"/>
              </w:rPr>
              <w:t xml:space="preserve"> </w:t>
            </w:r>
            <w:r>
              <w:rPr>
                <w:sz w:val="21"/>
                <w:szCs w:val="21"/>
                <w:spacing w:val="-1"/>
              </w:rPr>
              <w:t>运输，成品运输通道由西南侧大门出厂。</w:t>
            </w:r>
            <w:r>
              <w:rPr>
                <w:sz w:val="21"/>
                <w:szCs w:val="21"/>
                <w:spacing w:val="2"/>
              </w:rPr>
              <w:t xml:space="preserve"> </w:t>
            </w:r>
            <w:r>
              <w:rPr>
                <w:sz w:val="21"/>
                <w:szCs w:val="21"/>
                <w:spacing w:val="-2"/>
              </w:rPr>
              <w:t>各功能区单元之间有道路相通，场内道路</w:t>
            </w:r>
            <w:r>
              <w:rPr>
                <w:sz w:val="21"/>
                <w:szCs w:val="21"/>
                <w:spacing w:val="14"/>
              </w:rPr>
              <w:t xml:space="preserve"> </w:t>
            </w:r>
            <w:r>
              <w:rPr>
                <w:sz w:val="21"/>
                <w:szCs w:val="21"/>
              </w:rPr>
              <w:t>与场外道路紧密相连，便于原辅材料及各 </w:t>
            </w:r>
            <w:r>
              <w:rPr>
                <w:sz w:val="21"/>
                <w:szCs w:val="21"/>
                <w:spacing w:val="-2"/>
              </w:rPr>
              <w:t>类产品的运输。</w:t>
            </w:r>
          </w:p>
        </w:tc>
        <w:tc>
          <w:tcPr>
            <w:tcW w:w="684" w:type="dxa"/>
            <w:vAlign w:val="top"/>
          </w:tcPr>
          <w:p>
            <w:pPr>
              <w:spacing w:line="318" w:lineRule="auto"/>
              <w:rPr>
                <w:rFonts w:ascii="Arial"/>
                <w:sz w:val="21"/>
              </w:rPr>
            </w:pPr>
            <w:r/>
          </w:p>
          <w:p>
            <w:pPr>
              <w:spacing w:line="318" w:lineRule="auto"/>
              <w:rPr>
                <w:rFonts w:ascii="Arial"/>
                <w:sz w:val="21"/>
              </w:rPr>
            </w:pPr>
            <w:r/>
          </w:p>
          <w:p>
            <w:pPr>
              <w:pStyle w:val="TableText"/>
              <w:ind w:left="129"/>
              <w:spacing w:before="68" w:line="219" w:lineRule="auto"/>
              <w:rPr>
                <w:sz w:val="21"/>
                <w:szCs w:val="21"/>
              </w:rPr>
            </w:pPr>
            <w:r>
              <w:rPr>
                <w:sz w:val="21"/>
                <w:szCs w:val="21"/>
                <w:spacing w:val="-3"/>
              </w:rPr>
              <w:t>符合</w:t>
            </w:r>
          </w:p>
        </w:tc>
      </w:tr>
      <w:tr>
        <w:trPr>
          <w:trHeight w:val="819" w:hRule="atLeast"/>
        </w:trPr>
        <w:tc>
          <w:tcPr>
            <w:tcW w:w="424" w:type="dxa"/>
            <w:vAlign w:val="top"/>
            <w:textDirection w:val="tbRlV"/>
          </w:tcPr>
          <w:p>
            <w:pPr>
              <w:pStyle w:val="TableText"/>
              <w:ind w:left="264"/>
              <w:spacing w:before="174" w:line="147" w:lineRule="exact"/>
              <w:rPr>
                <w:sz w:val="21"/>
                <w:szCs w:val="21"/>
              </w:rPr>
            </w:pPr>
            <w:r>
              <w:rPr>
                <w:sz w:val="21"/>
                <w:szCs w:val="21"/>
                <w:spacing w:val="50"/>
                <w:w w:val="125"/>
                <w:position w:val="-3"/>
              </w:rPr>
              <w:t>2</w:t>
            </w:r>
          </w:p>
        </w:tc>
        <w:tc>
          <w:tcPr>
            <w:tcW w:w="3596" w:type="dxa"/>
            <w:vAlign w:val="top"/>
          </w:tcPr>
          <w:p>
            <w:pPr>
              <w:pStyle w:val="TableText"/>
              <w:ind w:left="10"/>
              <w:spacing w:before="41" w:line="225" w:lineRule="auto"/>
              <w:jc w:val="both"/>
              <w:rPr>
                <w:sz w:val="21"/>
                <w:szCs w:val="21"/>
              </w:rPr>
            </w:pPr>
            <w:r>
              <w:rPr>
                <w:sz w:val="21"/>
                <w:szCs w:val="21"/>
              </w:rPr>
              <w:t>生产区各车间的布局与设施应满足生产</w:t>
            </w:r>
            <w:r>
              <w:rPr>
                <w:sz w:val="21"/>
                <w:szCs w:val="21"/>
                <w:spacing w:val="4"/>
              </w:rPr>
              <w:t xml:space="preserve"> </w:t>
            </w:r>
            <w:r>
              <w:rPr>
                <w:sz w:val="21"/>
                <w:szCs w:val="21"/>
                <w:spacing w:val="-2"/>
              </w:rPr>
              <w:t>工艺流程和卫生要求。车间清洁区与非</w:t>
            </w:r>
            <w:r>
              <w:rPr>
                <w:sz w:val="21"/>
                <w:szCs w:val="21"/>
                <w:spacing w:val="14"/>
              </w:rPr>
              <w:t xml:space="preserve"> </w:t>
            </w:r>
            <w:r>
              <w:rPr>
                <w:sz w:val="21"/>
                <w:szCs w:val="21"/>
                <w:spacing w:val="-1"/>
              </w:rPr>
              <w:t>清洁区应分隔。</w:t>
            </w:r>
          </w:p>
        </w:tc>
        <w:tc>
          <w:tcPr>
            <w:tcW w:w="3805" w:type="dxa"/>
            <w:vAlign w:val="top"/>
          </w:tcPr>
          <w:p>
            <w:pPr>
              <w:pStyle w:val="TableText"/>
              <w:ind w:left="14" w:right="9"/>
              <w:spacing w:before="41" w:line="225" w:lineRule="auto"/>
              <w:rPr>
                <w:sz w:val="21"/>
                <w:szCs w:val="21"/>
              </w:rPr>
            </w:pPr>
            <w:r>
              <w:rPr>
                <w:sz w:val="21"/>
                <w:szCs w:val="21"/>
                <w:spacing w:val="-1"/>
              </w:rPr>
              <w:t>屠宰加工车间均按由南向北方向布置非清</w:t>
            </w:r>
            <w:r>
              <w:rPr>
                <w:sz w:val="21"/>
                <w:szCs w:val="21"/>
                <w:spacing w:val="7"/>
              </w:rPr>
              <w:t xml:space="preserve"> </w:t>
            </w:r>
            <w:r>
              <w:rPr>
                <w:sz w:val="21"/>
                <w:szCs w:val="21"/>
              </w:rPr>
              <w:t>洁区(待宰间、急宰区、屠宰加工区)与</w:t>
            </w:r>
            <w:r>
              <w:rPr>
                <w:sz w:val="21"/>
                <w:szCs w:val="21"/>
                <w:spacing w:val="8"/>
              </w:rPr>
              <w:t xml:space="preserve">  </w:t>
            </w:r>
            <w:r>
              <w:rPr>
                <w:sz w:val="21"/>
                <w:szCs w:val="21"/>
                <w:spacing w:val="-1"/>
              </w:rPr>
              <w:t>清洁区(分割包装加工及包装场所)。</w:t>
            </w:r>
          </w:p>
        </w:tc>
        <w:tc>
          <w:tcPr>
            <w:tcW w:w="684" w:type="dxa"/>
            <w:vAlign w:val="top"/>
          </w:tcPr>
          <w:p>
            <w:pPr>
              <w:spacing w:line="241" w:lineRule="auto"/>
              <w:rPr>
                <w:rFonts w:ascii="Arial"/>
                <w:sz w:val="21"/>
              </w:rPr>
            </w:pPr>
            <w:r/>
          </w:p>
          <w:p>
            <w:pPr>
              <w:pStyle w:val="TableText"/>
              <w:ind w:left="129"/>
              <w:spacing w:before="68" w:line="219" w:lineRule="auto"/>
              <w:rPr>
                <w:sz w:val="21"/>
                <w:szCs w:val="21"/>
              </w:rPr>
            </w:pPr>
            <w:r>
              <w:rPr>
                <w:sz w:val="21"/>
                <w:szCs w:val="21"/>
                <w:spacing w:val="-3"/>
              </w:rPr>
              <w:t>符合</w:t>
            </w:r>
          </w:p>
        </w:tc>
      </w:tr>
      <w:tr>
        <w:trPr>
          <w:trHeight w:val="1368" w:hRule="atLeast"/>
        </w:trPr>
        <w:tc>
          <w:tcPr>
            <w:tcW w:w="424" w:type="dxa"/>
            <w:vAlign w:val="top"/>
          </w:tcPr>
          <w:p>
            <w:pPr>
              <w:spacing w:line="265" w:lineRule="auto"/>
              <w:rPr>
                <w:rFonts w:ascii="Arial"/>
                <w:sz w:val="21"/>
              </w:rPr>
            </w:pPr>
            <w:r/>
          </w:p>
          <w:p>
            <w:pPr>
              <w:spacing w:line="265" w:lineRule="auto"/>
              <w:rPr>
                <w:rFonts w:ascii="Arial"/>
                <w:sz w:val="21"/>
              </w:rPr>
            </w:pPr>
            <w:r/>
          </w:p>
          <w:p>
            <w:pPr>
              <w:pStyle w:val="TableText"/>
              <w:ind w:left="144"/>
              <w:spacing w:before="68"/>
              <w:rPr>
                <w:sz w:val="21"/>
                <w:szCs w:val="21"/>
              </w:rPr>
            </w:pPr>
            <w:r>
              <w:rPr>
                <w:sz w:val="21"/>
                <w:szCs w:val="21"/>
              </w:rPr>
              <w:t>3</w:t>
            </w:r>
          </w:p>
        </w:tc>
        <w:tc>
          <w:tcPr>
            <w:tcW w:w="3596" w:type="dxa"/>
            <w:vAlign w:val="top"/>
          </w:tcPr>
          <w:p>
            <w:pPr>
              <w:pStyle w:val="TableText"/>
              <w:ind w:left="10"/>
              <w:spacing w:before="41"/>
              <w:rPr>
                <w:sz w:val="21"/>
                <w:szCs w:val="21"/>
              </w:rPr>
            </w:pPr>
            <w:r>
              <w:rPr>
                <w:sz w:val="21"/>
                <w:szCs w:val="21"/>
                <w:spacing w:val="-2"/>
              </w:rPr>
              <w:t>屠宰车间、分割车间的建筑面积与建筑</w:t>
            </w:r>
            <w:r>
              <w:rPr>
                <w:sz w:val="21"/>
                <w:szCs w:val="21"/>
                <w:spacing w:val="12"/>
              </w:rPr>
              <w:t xml:space="preserve"> </w:t>
            </w:r>
            <w:r>
              <w:rPr>
                <w:sz w:val="21"/>
                <w:szCs w:val="21"/>
              </w:rPr>
              <w:t>设施应与生产规模相适应。车间内各加</w:t>
            </w:r>
            <w:r>
              <w:rPr>
                <w:sz w:val="21"/>
                <w:szCs w:val="21"/>
                <w:spacing w:val="4"/>
              </w:rPr>
              <w:t xml:space="preserve"> </w:t>
            </w:r>
            <w:r>
              <w:rPr>
                <w:sz w:val="21"/>
                <w:szCs w:val="21"/>
                <w:spacing w:val="-2"/>
              </w:rPr>
              <w:t>工区应按生产工艺流程划分明确，人</w:t>
            </w:r>
          </w:p>
          <w:p>
            <w:pPr>
              <w:pStyle w:val="TableText"/>
              <w:ind w:left="10" w:right="14"/>
              <w:spacing w:before="1" w:line="218" w:lineRule="auto"/>
              <w:rPr>
                <w:sz w:val="21"/>
                <w:szCs w:val="21"/>
              </w:rPr>
            </w:pPr>
            <w:r>
              <w:rPr>
                <w:sz w:val="21"/>
                <w:szCs w:val="21"/>
                <w:spacing w:val="-1"/>
              </w:rPr>
              <w:t>流、物流互不干扰，并符合工艺、卫生</w:t>
            </w:r>
            <w:r>
              <w:rPr>
                <w:sz w:val="21"/>
                <w:szCs w:val="21"/>
                <w:spacing w:val="6"/>
              </w:rPr>
              <w:t xml:space="preserve"> </w:t>
            </w:r>
            <w:r>
              <w:rPr>
                <w:sz w:val="21"/>
                <w:szCs w:val="21"/>
                <w:spacing w:val="-1"/>
              </w:rPr>
              <w:t>及检疫检验要求。</w:t>
            </w:r>
          </w:p>
        </w:tc>
        <w:tc>
          <w:tcPr>
            <w:tcW w:w="3805" w:type="dxa"/>
            <w:vAlign w:val="top"/>
          </w:tcPr>
          <w:p>
            <w:pPr>
              <w:pStyle w:val="TableText"/>
              <w:ind w:left="14"/>
              <w:spacing w:before="300" w:line="249" w:lineRule="auto"/>
              <w:jc w:val="both"/>
              <w:rPr>
                <w:sz w:val="21"/>
                <w:szCs w:val="21"/>
              </w:rPr>
            </w:pPr>
            <w:r>
              <w:rPr>
                <w:sz w:val="21"/>
                <w:szCs w:val="21"/>
                <w:spacing w:val="-2"/>
              </w:rPr>
              <w:t>屠宰车间、分割车间建筑面积符合性分析</w:t>
            </w:r>
            <w:r>
              <w:rPr>
                <w:sz w:val="21"/>
                <w:szCs w:val="21"/>
                <w:spacing w:val="9"/>
              </w:rPr>
              <w:t xml:space="preserve"> </w:t>
            </w:r>
            <w:r>
              <w:rPr>
                <w:sz w:val="21"/>
                <w:szCs w:val="21"/>
                <w:spacing w:val="-5"/>
              </w:rPr>
              <w:t>见表3.7-4。车间内设置专门的人流通道和</w:t>
            </w:r>
            <w:r>
              <w:rPr>
                <w:sz w:val="21"/>
                <w:szCs w:val="21"/>
              </w:rPr>
              <w:t xml:space="preserve"> </w:t>
            </w:r>
            <w:r>
              <w:rPr>
                <w:sz w:val="21"/>
                <w:szCs w:val="21"/>
                <w:spacing w:val="-2"/>
              </w:rPr>
              <w:t>物流通道。</w:t>
            </w:r>
          </w:p>
        </w:tc>
        <w:tc>
          <w:tcPr>
            <w:tcW w:w="684" w:type="dxa"/>
            <w:vAlign w:val="top"/>
          </w:tcPr>
          <w:p>
            <w:pPr>
              <w:spacing w:line="255" w:lineRule="auto"/>
              <w:rPr>
                <w:rFonts w:ascii="Arial"/>
                <w:sz w:val="21"/>
              </w:rPr>
            </w:pPr>
            <w:r/>
          </w:p>
          <w:p>
            <w:pPr>
              <w:spacing w:line="255" w:lineRule="auto"/>
              <w:rPr>
                <w:rFonts w:ascii="Arial"/>
                <w:sz w:val="21"/>
              </w:rPr>
            </w:pPr>
            <w:r/>
          </w:p>
          <w:p>
            <w:pPr>
              <w:pStyle w:val="TableText"/>
              <w:ind w:left="129"/>
              <w:spacing w:before="68" w:line="219" w:lineRule="auto"/>
              <w:rPr>
                <w:sz w:val="21"/>
                <w:szCs w:val="21"/>
              </w:rPr>
            </w:pPr>
            <w:r>
              <w:rPr>
                <w:sz w:val="21"/>
                <w:szCs w:val="21"/>
                <w:spacing w:val="-3"/>
              </w:rPr>
              <w:t>符合</w:t>
            </w:r>
          </w:p>
        </w:tc>
      </w:tr>
      <w:tr>
        <w:trPr>
          <w:trHeight w:val="1348" w:hRule="atLeast"/>
        </w:trPr>
        <w:tc>
          <w:tcPr>
            <w:tcW w:w="424" w:type="dxa"/>
            <w:vAlign w:val="top"/>
          </w:tcPr>
          <w:p>
            <w:pPr>
              <w:spacing w:line="261" w:lineRule="auto"/>
              <w:rPr>
                <w:rFonts w:ascii="Arial"/>
                <w:sz w:val="21"/>
              </w:rPr>
            </w:pPr>
            <w:r/>
          </w:p>
          <w:p>
            <w:pPr>
              <w:spacing w:line="262" w:lineRule="auto"/>
              <w:rPr>
                <w:rFonts w:ascii="Arial"/>
                <w:sz w:val="21"/>
              </w:rPr>
            </w:pPr>
            <w:r/>
          </w:p>
          <w:p>
            <w:pPr>
              <w:pStyle w:val="TableText"/>
              <w:ind w:left="144"/>
              <w:spacing w:before="68" w:line="241" w:lineRule="auto"/>
              <w:rPr>
                <w:sz w:val="21"/>
                <w:szCs w:val="21"/>
              </w:rPr>
            </w:pPr>
            <w:r>
              <w:rPr>
                <w:sz w:val="21"/>
                <w:szCs w:val="21"/>
              </w:rPr>
              <w:t>4</w:t>
            </w:r>
          </w:p>
        </w:tc>
        <w:tc>
          <w:tcPr>
            <w:tcW w:w="3596" w:type="dxa"/>
            <w:vAlign w:val="top"/>
          </w:tcPr>
          <w:p>
            <w:pPr>
              <w:pStyle w:val="TableText"/>
              <w:ind w:left="10"/>
              <w:spacing w:before="33" w:line="219" w:lineRule="auto"/>
              <w:rPr>
                <w:sz w:val="21"/>
                <w:szCs w:val="21"/>
              </w:rPr>
            </w:pPr>
            <w:r>
              <w:rPr>
                <w:sz w:val="21"/>
                <w:szCs w:val="21"/>
              </w:rPr>
              <w:t>屠宰企业应设有待宰圈(区)、隔离</w:t>
            </w:r>
          </w:p>
          <w:p>
            <w:pPr>
              <w:pStyle w:val="TableText"/>
              <w:ind w:left="10"/>
              <w:spacing w:before="30" w:line="219" w:lineRule="auto"/>
              <w:rPr>
                <w:sz w:val="21"/>
                <w:szCs w:val="21"/>
              </w:rPr>
            </w:pPr>
            <w:r>
              <w:rPr>
                <w:sz w:val="21"/>
                <w:szCs w:val="21"/>
              </w:rPr>
              <w:t>间、急宰间、实验(化验)室、官方兽</w:t>
            </w:r>
          </w:p>
          <w:p>
            <w:pPr>
              <w:pStyle w:val="TableText"/>
              <w:ind w:left="10" w:right="10"/>
              <w:spacing w:before="10" w:line="224" w:lineRule="auto"/>
              <w:rPr>
                <w:sz w:val="21"/>
                <w:szCs w:val="21"/>
              </w:rPr>
            </w:pPr>
            <w:r>
              <w:rPr>
                <w:sz w:val="21"/>
                <w:szCs w:val="21"/>
                <w:spacing w:val="-1"/>
              </w:rPr>
              <w:t>医室、化学品存放间和无害化处理间。</w:t>
            </w:r>
            <w:r>
              <w:rPr>
                <w:sz w:val="21"/>
                <w:szCs w:val="21"/>
                <w:spacing w:val="11"/>
              </w:rPr>
              <w:t xml:space="preserve"> </w:t>
            </w:r>
            <w:r>
              <w:rPr>
                <w:sz w:val="21"/>
                <w:szCs w:val="21"/>
                <w:spacing w:val="-1"/>
              </w:rPr>
              <w:t>屠宰企业的厂区应设有畜禽和产品运输</w:t>
            </w:r>
            <w:r>
              <w:rPr>
                <w:sz w:val="21"/>
                <w:szCs w:val="21"/>
                <w:spacing w:val="6"/>
              </w:rPr>
              <w:t xml:space="preserve"> </w:t>
            </w:r>
            <w:r>
              <w:rPr>
                <w:sz w:val="21"/>
                <w:szCs w:val="21"/>
                <w:spacing w:val="-1"/>
              </w:rPr>
              <w:t>车辆和工具清洗、消毒的专门区域。</w:t>
            </w:r>
          </w:p>
        </w:tc>
        <w:tc>
          <w:tcPr>
            <w:tcW w:w="3805" w:type="dxa"/>
            <w:vAlign w:val="top"/>
          </w:tcPr>
          <w:p>
            <w:pPr>
              <w:spacing w:line="242" w:lineRule="auto"/>
              <w:rPr>
                <w:rFonts w:ascii="Arial"/>
                <w:sz w:val="21"/>
              </w:rPr>
            </w:pPr>
            <w:r/>
          </w:p>
          <w:p>
            <w:pPr>
              <w:pStyle w:val="TableText"/>
              <w:ind w:left="14"/>
              <w:spacing w:before="69" w:line="239" w:lineRule="auto"/>
              <w:jc w:val="both"/>
              <w:rPr>
                <w:sz w:val="21"/>
                <w:szCs w:val="21"/>
              </w:rPr>
            </w:pPr>
            <w:r>
              <w:rPr>
                <w:sz w:val="21"/>
                <w:szCs w:val="21"/>
              </w:rPr>
              <w:t>项目屠宰车间设有待宰圈舍、隔离间、急 </w:t>
            </w:r>
            <w:r>
              <w:rPr>
                <w:sz w:val="21"/>
                <w:szCs w:val="21"/>
                <w:spacing w:val="-1"/>
              </w:rPr>
              <w:t>宰间、检验检疫室、化学品存放间和无害</w:t>
            </w:r>
            <w:r>
              <w:rPr>
                <w:sz w:val="21"/>
                <w:szCs w:val="21"/>
                <w:spacing w:val="16"/>
              </w:rPr>
              <w:t xml:space="preserve"> </w:t>
            </w:r>
            <w:r>
              <w:rPr>
                <w:sz w:val="21"/>
                <w:szCs w:val="21"/>
                <w:spacing w:val="-2"/>
              </w:rPr>
              <w:t>化处理间；车辆入口处设有洗车消毒池。</w:t>
            </w:r>
          </w:p>
        </w:tc>
        <w:tc>
          <w:tcPr>
            <w:tcW w:w="684" w:type="dxa"/>
            <w:vAlign w:val="top"/>
          </w:tcPr>
          <w:p>
            <w:pPr>
              <w:spacing w:line="251" w:lineRule="auto"/>
              <w:rPr>
                <w:rFonts w:ascii="Arial"/>
                <w:sz w:val="21"/>
              </w:rPr>
            </w:pPr>
            <w:r/>
          </w:p>
          <w:p>
            <w:pPr>
              <w:spacing w:line="251" w:lineRule="auto"/>
              <w:rPr>
                <w:rFonts w:ascii="Arial"/>
                <w:sz w:val="21"/>
              </w:rPr>
            </w:pPr>
            <w:r/>
          </w:p>
          <w:p>
            <w:pPr>
              <w:pStyle w:val="TableText"/>
              <w:ind w:left="129"/>
              <w:spacing w:before="68" w:line="219" w:lineRule="auto"/>
              <w:rPr>
                <w:sz w:val="21"/>
                <w:szCs w:val="21"/>
              </w:rPr>
            </w:pPr>
            <w:r>
              <w:rPr>
                <w:sz w:val="21"/>
                <w:szCs w:val="21"/>
                <w:spacing w:val="-3"/>
              </w:rPr>
              <w:t>符合</w:t>
            </w:r>
          </w:p>
        </w:tc>
      </w:tr>
      <w:tr>
        <w:trPr>
          <w:trHeight w:val="819" w:hRule="atLeast"/>
        </w:trPr>
        <w:tc>
          <w:tcPr>
            <w:tcW w:w="424" w:type="dxa"/>
            <w:vAlign w:val="top"/>
            <w:textDirection w:val="tbRlV"/>
          </w:tcPr>
          <w:p>
            <w:pPr>
              <w:pStyle w:val="TableText"/>
              <w:ind w:left="267"/>
              <w:spacing w:before="174" w:line="144" w:lineRule="exact"/>
              <w:rPr>
                <w:sz w:val="21"/>
                <w:szCs w:val="21"/>
              </w:rPr>
            </w:pPr>
            <w:r>
              <w:rPr>
                <w:sz w:val="21"/>
                <w:szCs w:val="21"/>
                <w:spacing w:val="51"/>
                <w:w w:val="125"/>
                <w:position w:val="-3"/>
              </w:rPr>
              <w:t>5</w:t>
            </w:r>
          </w:p>
        </w:tc>
        <w:tc>
          <w:tcPr>
            <w:tcW w:w="3596" w:type="dxa"/>
            <w:vAlign w:val="top"/>
          </w:tcPr>
          <w:p>
            <w:pPr>
              <w:pStyle w:val="TableText"/>
              <w:ind w:left="10"/>
              <w:spacing w:before="65" w:line="219" w:lineRule="auto"/>
              <w:rPr>
                <w:sz w:val="21"/>
                <w:szCs w:val="21"/>
              </w:rPr>
            </w:pPr>
            <w:r>
              <w:rPr>
                <w:sz w:val="21"/>
                <w:szCs w:val="21"/>
                <w:spacing w:val="-1"/>
              </w:rPr>
              <w:t>对于没有设立无害化处理间的屠宰企</w:t>
            </w:r>
          </w:p>
          <w:p>
            <w:pPr>
              <w:pStyle w:val="TableText"/>
              <w:ind w:left="10" w:right="12"/>
              <w:spacing w:before="11" w:line="212" w:lineRule="auto"/>
              <w:rPr>
                <w:sz w:val="21"/>
                <w:szCs w:val="21"/>
              </w:rPr>
            </w:pPr>
            <w:r>
              <w:rPr>
                <w:sz w:val="21"/>
                <w:szCs w:val="21"/>
                <w:spacing w:val="-1"/>
              </w:rPr>
              <w:t>业，应委托具有资质的专业无害化处理</w:t>
            </w:r>
            <w:r>
              <w:rPr>
                <w:sz w:val="21"/>
                <w:szCs w:val="21"/>
                <w:spacing w:val="8"/>
              </w:rPr>
              <w:t xml:space="preserve"> </w:t>
            </w:r>
            <w:r>
              <w:rPr>
                <w:sz w:val="21"/>
                <w:szCs w:val="21"/>
                <w:spacing w:val="-1"/>
              </w:rPr>
              <w:t>场实施无害化处理。</w:t>
            </w:r>
          </w:p>
        </w:tc>
        <w:tc>
          <w:tcPr>
            <w:tcW w:w="3805" w:type="dxa"/>
            <w:vAlign w:val="top"/>
          </w:tcPr>
          <w:p>
            <w:pPr>
              <w:pStyle w:val="TableText"/>
              <w:ind w:left="14"/>
              <w:spacing w:before="195" w:line="232" w:lineRule="auto"/>
              <w:rPr>
                <w:sz w:val="21"/>
                <w:szCs w:val="21"/>
              </w:rPr>
            </w:pPr>
            <w:r>
              <w:rPr>
                <w:sz w:val="21"/>
                <w:szCs w:val="21"/>
              </w:rPr>
              <w:t>项目拟委托绵阳市病死畜禽无害化处理中 </w:t>
            </w:r>
            <w:r>
              <w:rPr>
                <w:sz w:val="21"/>
                <w:szCs w:val="21"/>
                <w:spacing w:val="-2"/>
              </w:rPr>
              <w:t>心进行无害化处理。</w:t>
            </w:r>
          </w:p>
        </w:tc>
        <w:tc>
          <w:tcPr>
            <w:tcW w:w="684" w:type="dxa"/>
            <w:vAlign w:val="top"/>
          </w:tcPr>
          <w:p>
            <w:pPr>
              <w:spacing w:line="246" w:lineRule="auto"/>
              <w:rPr>
                <w:rFonts w:ascii="Arial"/>
                <w:sz w:val="21"/>
              </w:rPr>
            </w:pPr>
            <w:r/>
          </w:p>
          <w:p>
            <w:pPr>
              <w:pStyle w:val="TableText"/>
              <w:ind w:left="129"/>
              <w:spacing w:before="68" w:line="219" w:lineRule="auto"/>
              <w:rPr>
                <w:sz w:val="21"/>
                <w:szCs w:val="21"/>
              </w:rPr>
            </w:pPr>
            <w:r>
              <w:rPr>
                <w:sz w:val="21"/>
                <w:szCs w:val="21"/>
                <w:spacing w:val="-3"/>
              </w:rPr>
              <w:t>符合</w:t>
            </w:r>
          </w:p>
        </w:tc>
      </w:tr>
      <w:tr>
        <w:trPr>
          <w:trHeight w:val="1373" w:hRule="atLeast"/>
        </w:trPr>
        <w:tc>
          <w:tcPr>
            <w:tcW w:w="424" w:type="dxa"/>
            <w:vAlign w:val="top"/>
          </w:tcPr>
          <w:p>
            <w:pPr>
              <w:spacing w:line="267" w:lineRule="auto"/>
              <w:rPr>
                <w:rFonts w:ascii="Arial"/>
                <w:sz w:val="21"/>
              </w:rPr>
            </w:pPr>
            <w:r/>
          </w:p>
          <w:p>
            <w:pPr>
              <w:spacing w:line="268" w:lineRule="auto"/>
              <w:rPr>
                <w:rFonts w:ascii="Arial"/>
                <w:sz w:val="21"/>
              </w:rPr>
            </w:pPr>
            <w:r/>
          </w:p>
          <w:p>
            <w:pPr>
              <w:pStyle w:val="TableText"/>
              <w:ind w:left="144"/>
              <w:spacing w:before="68"/>
              <w:rPr>
                <w:sz w:val="21"/>
                <w:szCs w:val="21"/>
              </w:rPr>
            </w:pPr>
            <w:r>
              <w:rPr>
                <w:sz w:val="21"/>
                <w:szCs w:val="21"/>
              </w:rPr>
              <w:t>6</w:t>
            </w:r>
          </w:p>
        </w:tc>
        <w:tc>
          <w:tcPr>
            <w:tcW w:w="3596" w:type="dxa"/>
            <w:vAlign w:val="top"/>
          </w:tcPr>
          <w:p>
            <w:pPr>
              <w:pStyle w:val="TableText"/>
              <w:ind w:left="10"/>
              <w:spacing w:before="43" w:line="232" w:lineRule="auto"/>
              <w:jc w:val="both"/>
              <w:rPr>
                <w:sz w:val="21"/>
                <w:szCs w:val="21"/>
              </w:rPr>
            </w:pPr>
            <w:r>
              <w:rPr>
                <w:sz w:val="21"/>
                <w:szCs w:val="21"/>
              </w:rPr>
              <w:t>应分别设立专门的可食用和非食用副产 </w:t>
            </w:r>
            <w:r>
              <w:rPr>
                <w:sz w:val="21"/>
                <w:szCs w:val="21"/>
              </w:rPr>
              <w:t>品加工处理间。食用副产品加工车间的</w:t>
            </w:r>
            <w:r>
              <w:rPr>
                <w:sz w:val="21"/>
                <w:szCs w:val="21"/>
                <w:spacing w:val="4"/>
              </w:rPr>
              <w:t xml:space="preserve"> </w:t>
            </w:r>
            <w:r>
              <w:rPr>
                <w:sz w:val="21"/>
                <w:szCs w:val="21"/>
                <w:spacing w:val="-2"/>
              </w:rPr>
              <w:t>面积应与屠宰加工能力相适应，设施设</w:t>
            </w:r>
            <w:r>
              <w:rPr>
                <w:sz w:val="21"/>
                <w:szCs w:val="21"/>
                <w:spacing w:val="12"/>
              </w:rPr>
              <w:t xml:space="preserve"> </w:t>
            </w:r>
            <w:r>
              <w:rPr>
                <w:sz w:val="21"/>
                <w:szCs w:val="21"/>
              </w:rPr>
              <w:t>备应符合卫生要求，工艺布局应做到不 </w:t>
            </w:r>
            <w:r>
              <w:rPr>
                <w:sz w:val="21"/>
                <w:szCs w:val="21"/>
                <w:spacing w:val="-1"/>
              </w:rPr>
              <w:t>同加工处理区分隔，避免交叉污染。</w:t>
            </w:r>
          </w:p>
        </w:tc>
        <w:tc>
          <w:tcPr>
            <w:tcW w:w="3805" w:type="dxa"/>
            <w:vAlign w:val="top"/>
          </w:tcPr>
          <w:p>
            <w:pPr>
              <w:pStyle w:val="TableText"/>
              <w:ind w:left="14"/>
              <w:spacing w:before="43" w:line="232" w:lineRule="auto"/>
              <w:jc w:val="both"/>
              <w:rPr>
                <w:sz w:val="21"/>
                <w:szCs w:val="21"/>
              </w:rPr>
            </w:pPr>
            <w:r>
              <w:rPr>
                <w:sz w:val="21"/>
                <w:szCs w:val="21"/>
              </w:rPr>
              <w:t>项目不涉及可食用副产品加工。非食用副 </w:t>
            </w:r>
            <w:r>
              <w:rPr>
                <w:sz w:val="21"/>
                <w:szCs w:val="21"/>
                <w:spacing w:val="-2"/>
              </w:rPr>
              <w:t>产品加工处理间主要为猪血加工区、白脏</w:t>
            </w:r>
            <w:r>
              <w:rPr>
                <w:sz w:val="21"/>
                <w:szCs w:val="21"/>
                <w:spacing w:val="8"/>
              </w:rPr>
              <w:t xml:space="preserve"> </w:t>
            </w:r>
            <w:r>
              <w:rPr>
                <w:sz w:val="21"/>
                <w:szCs w:val="21"/>
                <w:spacing w:val="-2"/>
              </w:rPr>
              <w:t>加工区、红脏加工区、头蹄尾加工区，各</w:t>
            </w:r>
            <w:r>
              <w:rPr>
                <w:sz w:val="21"/>
                <w:szCs w:val="21"/>
                <w:spacing w:val="8"/>
              </w:rPr>
              <w:t xml:space="preserve"> </w:t>
            </w:r>
            <w:r>
              <w:rPr>
                <w:sz w:val="21"/>
                <w:szCs w:val="21"/>
                <w:spacing w:val="-2"/>
              </w:rPr>
              <w:t>个加工区分开布置，建筑面积满足加工能</w:t>
            </w:r>
            <w:r>
              <w:rPr>
                <w:sz w:val="21"/>
                <w:szCs w:val="21"/>
                <w:spacing w:val="8"/>
              </w:rPr>
              <w:t xml:space="preserve"> </w:t>
            </w:r>
            <w:r>
              <w:rPr>
                <w:sz w:val="21"/>
                <w:szCs w:val="21"/>
                <w:spacing w:val="-2"/>
              </w:rPr>
              <w:t>力的需要。</w:t>
            </w:r>
          </w:p>
        </w:tc>
        <w:tc>
          <w:tcPr>
            <w:tcW w:w="684" w:type="dxa"/>
            <w:vAlign w:val="top"/>
          </w:tcPr>
          <w:p>
            <w:pPr>
              <w:spacing w:line="257" w:lineRule="auto"/>
              <w:rPr>
                <w:rFonts w:ascii="Arial"/>
                <w:sz w:val="21"/>
              </w:rPr>
            </w:pPr>
            <w:r/>
          </w:p>
          <w:p>
            <w:pPr>
              <w:spacing w:line="258" w:lineRule="auto"/>
              <w:rPr>
                <w:rFonts w:ascii="Arial"/>
                <w:sz w:val="21"/>
              </w:rPr>
            </w:pPr>
            <w:r/>
          </w:p>
          <w:p>
            <w:pPr>
              <w:pStyle w:val="TableText"/>
              <w:ind w:left="129"/>
              <w:spacing w:before="68" w:line="219" w:lineRule="auto"/>
              <w:rPr>
                <w:sz w:val="21"/>
                <w:szCs w:val="21"/>
              </w:rPr>
            </w:pPr>
            <w:r>
              <w:rPr>
                <w:sz w:val="21"/>
                <w:szCs w:val="21"/>
                <w:spacing w:val="-3"/>
              </w:rPr>
              <w:t>符合</w:t>
            </w:r>
          </w:p>
        </w:tc>
      </w:tr>
    </w:tbl>
    <w:p>
      <w:pPr>
        <w:ind w:left="290" w:firstLine="350"/>
        <w:spacing w:before="55" w:line="344" w:lineRule="auto"/>
        <w:rPr>
          <w:rFonts w:ascii="SimSun" w:hAnsi="SimSun" w:eastAsia="SimSun" w:cs="SimSun"/>
          <w:sz w:val="24"/>
          <w:szCs w:val="24"/>
        </w:rPr>
      </w:pPr>
      <w:r>
        <w:rPr>
          <w:rFonts w:ascii="SimSun" w:hAnsi="SimSun" w:eastAsia="SimSun" w:cs="SimSun"/>
          <w:sz w:val="25"/>
          <w:szCs w:val="25"/>
        </w:rPr>
        <w:t>因此，本项目场区布局符合《食品安全国家标准畜禽屠宰加</w:t>
      </w:r>
      <w:r>
        <w:rPr>
          <w:rFonts w:ascii="SimSun" w:hAnsi="SimSun" w:eastAsia="SimSun" w:cs="SimSun"/>
          <w:sz w:val="25"/>
          <w:szCs w:val="25"/>
          <w:spacing w:val="-1"/>
        </w:rPr>
        <w:t>工卫生规范》</w:t>
      </w:r>
      <w:r>
        <w:rPr>
          <w:rFonts w:ascii="SimSun" w:hAnsi="SimSun" w:eastAsia="SimSun" w:cs="SimSun"/>
          <w:sz w:val="25"/>
          <w:szCs w:val="25"/>
        </w:rPr>
        <w:t xml:space="preserve"> </w:t>
      </w:r>
      <w:r>
        <w:rPr>
          <w:rFonts w:ascii="Times New Roman" w:hAnsi="Times New Roman" w:eastAsia="Times New Roman" w:cs="Times New Roman"/>
          <w:sz w:val="24"/>
          <w:szCs w:val="24"/>
          <w:spacing w:val="-1"/>
        </w:rPr>
        <w:t>(GB12694-2016)   </w:t>
      </w:r>
      <w:r>
        <w:rPr>
          <w:rFonts w:ascii="SimSun" w:hAnsi="SimSun" w:eastAsia="SimSun" w:cs="SimSun"/>
          <w:sz w:val="24"/>
          <w:szCs w:val="24"/>
          <w:spacing w:val="-1"/>
        </w:rPr>
        <w:t>中场区布局有关要求。</w:t>
      </w:r>
    </w:p>
    <w:p>
      <w:pPr>
        <w:ind w:left="623"/>
        <w:spacing w:before="50" w:line="217" w:lineRule="auto"/>
        <w:rPr>
          <w:rFonts w:ascii="SimSun" w:hAnsi="SimSun" w:eastAsia="SimSun" w:cs="SimSun"/>
          <w:sz w:val="24"/>
          <w:szCs w:val="24"/>
        </w:rPr>
      </w:pPr>
      <w:r>
        <w:rPr>
          <w:rFonts w:ascii="SimSun" w:hAnsi="SimSun" w:eastAsia="SimSun" w:cs="SimSun"/>
          <w:sz w:val="24"/>
          <w:szCs w:val="24"/>
          <w:b/>
          <w:bCs/>
          <w:spacing w:val="-3"/>
        </w:rPr>
        <w:t>④项目与《猪屠宰与分割车间设计规范》</w:t>
      </w:r>
      <w:r>
        <w:rPr>
          <w:rFonts w:ascii="SimSun" w:hAnsi="SimSun" w:eastAsia="SimSun" w:cs="SimSun"/>
          <w:sz w:val="24"/>
          <w:szCs w:val="24"/>
          <w:spacing w:val="-3"/>
        </w:rPr>
        <w:t xml:space="preserve"> </w:t>
      </w:r>
      <w:r>
        <w:rPr>
          <w:rFonts w:ascii="SimSun" w:hAnsi="SimSun" w:eastAsia="SimSun" w:cs="SimSun"/>
          <w:sz w:val="24"/>
          <w:szCs w:val="24"/>
          <w:b/>
          <w:bCs/>
          <w:spacing w:val="-3"/>
        </w:rPr>
        <w:t>(GB50317-2009)</w:t>
      </w:r>
      <w:r>
        <w:rPr>
          <w:rFonts w:ascii="SimSun" w:hAnsi="SimSun" w:eastAsia="SimSun" w:cs="SimSun"/>
          <w:sz w:val="24"/>
          <w:szCs w:val="24"/>
          <w:spacing w:val="-3"/>
        </w:rPr>
        <w:t xml:space="preserve">  </w:t>
      </w:r>
      <w:r>
        <w:rPr>
          <w:rFonts w:ascii="SimSun" w:hAnsi="SimSun" w:eastAsia="SimSun" w:cs="SimSun"/>
          <w:sz w:val="24"/>
          <w:szCs w:val="24"/>
          <w:b/>
          <w:bCs/>
          <w:spacing w:val="-3"/>
        </w:rPr>
        <w:t>符合性分析</w:t>
      </w:r>
    </w:p>
    <w:p>
      <w:pPr>
        <w:ind w:left="1283"/>
        <w:spacing w:before="141" w:line="219" w:lineRule="auto"/>
        <w:rPr>
          <w:rFonts w:ascii="SimSun" w:hAnsi="SimSun" w:eastAsia="SimSun" w:cs="SimSun"/>
          <w:sz w:val="24"/>
          <w:szCs w:val="24"/>
        </w:rPr>
      </w:pPr>
      <w:r>
        <w:rPr>
          <w:rFonts w:ascii="SimSun" w:hAnsi="SimSun" w:eastAsia="SimSun" w:cs="SimSun"/>
          <w:sz w:val="24"/>
          <w:szCs w:val="24"/>
          <w:b/>
          <w:bCs/>
          <w:spacing w:val="-3"/>
        </w:rPr>
        <w:t>表3.7-4项目与《猪屠宰与分割车间设计规范》符合性分析</w:t>
      </w:r>
    </w:p>
    <w:p>
      <w:pPr>
        <w:spacing w:line="38" w:lineRule="auto"/>
        <w:rPr>
          <w:rFonts w:ascii="Arial"/>
          <w:sz w:val="2"/>
        </w:rPr>
      </w:pPr>
      <w:r>
        <w:rPr>
          <w:rFonts w:ascii="Arial"/>
          <w:sz w:val="2"/>
        </w:rPr>
      </w:r>
    </w:p>
    <w:tbl>
      <w:tblPr>
        <w:tblStyle w:val="TableNormal"/>
        <w:tblW w:w="8528" w:type="dxa"/>
        <w:tblInd w:w="4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45"/>
        <w:gridCol w:w="3396"/>
        <w:gridCol w:w="4045"/>
        <w:gridCol w:w="642"/>
      </w:tblGrid>
      <w:tr>
        <w:trPr>
          <w:trHeight w:val="282" w:hRule="atLeast"/>
        </w:trPr>
        <w:tc>
          <w:tcPr>
            <w:shd w:val="clear" w:fill="BDBDBD"/>
            <w:tcW w:w="3841" w:type="dxa"/>
            <w:vAlign w:val="top"/>
            <w:gridSpan w:val="2"/>
          </w:tcPr>
          <w:p>
            <w:pPr>
              <w:pStyle w:val="TableText"/>
              <w:ind w:left="1487"/>
              <w:spacing w:before="39" w:line="204" w:lineRule="auto"/>
              <w:rPr>
                <w:sz w:val="21"/>
                <w:szCs w:val="21"/>
              </w:rPr>
            </w:pPr>
            <w:r>
              <w:rPr>
                <w:sz w:val="21"/>
                <w:szCs w:val="21"/>
                <w:b/>
                <w:bCs/>
                <w:spacing w:val="-5"/>
              </w:rPr>
              <w:t>文件要求</w:t>
            </w:r>
          </w:p>
        </w:tc>
        <w:tc>
          <w:tcPr>
            <w:shd w:val="clear" w:fill="BDBDBD"/>
            <w:tcW w:w="4045" w:type="dxa"/>
            <w:vAlign w:val="top"/>
          </w:tcPr>
          <w:p>
            <w:pPr>
              <w:pStyle w:val="TableText"/>
              <w:ind w:left="1496"/>
              <w:spacing w:before="39" w:line="204" w:lineRule="auto"/>
              <w:rPr>
                <w:sz w:val="21"/>
                <w:szCs w:val="21"/>
              </w:rPr>
            </w:pPr>
            <w:r>
              <w:rPr>
                <w:sz w:val="21"/>
                <w:szCs w:val="21"/>
                <w:b/>
                <w:bCs/>
                <w:spacing w:val="-4"/>
              </w:rPr>
              <w:t>本项目情况</w:t>
            </w:r>
          </w:p>
        </w:tc>
        <w:tc>
          <w:tcPr>
            <w:shd w:val="clear" w:fill="BDBDBD"/>
            <w:tcW w:w="642" w:type="dxa"/>
            <w:vAlign w:val="top"/>
          </w:tcPr>
          <w:p>
            <w:pPr>
              <w:pStyle w:val="TableText"/>
              <w:spacing w:before="39" w:line="204" w:lineRule="auto"/>
              <w:jc w:val="right"/>
              <w:rPr>
                <w:sz w:val="21"/>
                <w:szCs w:val="21"/>
              </w:rPr>
            </w:pPr>
            <w:r>
              <w:rPr>
                <w:sz w:val="21"/>
                <w:szCs w:val="21"/>
                <w:b/>
                <w:bCs/>
                <w:spacing w:val="-9"/>
              </w:rPr>
              <w:t>符合性</w:t>
            </w:r>
          </w:p>
        </w:tc>
      </w:tr>
      <w:tr>
        <w:trPr>
          <w:trHeight w:val="272" w:hRule="atLeast"/>
        </w:trPr>
        <w:tc>
          <w:tcPr>
            <w:tcW w:w="445" w:type="dxa"/>
            <w:vAlign w:val="top"/>
            <w:tcBorders>
              <w:bottom w:val="nil"/>
            </w:tcBorders>
          </w:tcPr>
          <w:p>
            <w:pPr>
              <w:pStyle w:val="TableText"/>
              <w:ind w:left="55"/>
              <w:spacing w:before="62" w:line="175" w:lineRule="auto"/>
              <w:rPr>
                <w:sz w:val="21"/>
                <w:szCs w:val="21"/>
              </w:rPr>
            </w:pPr>
            <w:r>
              <w:rPr>
                <w:sz w:val="21"/>
                <w:szCs w:val="21"/>
                <w:spacing w:val="-3"/>
              </w:rPr>
              <w:t>3.1</w:t>
            </w:r>
          </w:p>
        </w:tc>
        <w:tc>
          <w:tcPr>
            <w:tcW w:w="3396" w:type="dxa"/>
            <w:vAlign w:val="top"/>
            <w:tcBorders>
              <w:bottom w:val="nil"/>
            </w:tcBorders>
          </w:tcPr>
          <w:p>
            <w:pPr>
              <w:pStyle w:val="TableText"/>
              <w:spacing w:before="37" w:line="197" w:lineRule="auto"/>
              <w:jc w:val="right"/>
              <w:rPr>
                <w:sz w:val="21"/>
                <w:szCs w:val="21"/>
              </w:rPr>
            </w:pPr>
            <w:r>
              <w:rPr>
                <w:sz w:val="21"/>
                <w:szCs w:val="21"/>
                <w:b/>
                <w:bCs/>
                <w:spacing w:val="-8"/>
              </w:rPr>
              <w:t>3.1.1猪屠宰与分割车间所在厂址应远</w:t>
            </w:r>
          </w:p>
        </w:tc>
        <w:tc>
          <w:tcPr>
            <w:tcW w:w="4045" w:type="dxa"/>
            <w:vAlign w:val="top"/>
            <w:tcBorders>
              <w:bottom w:val="nil"/>
            </w:tcBorders>
          </w:tcPr>
          <w:p>
            <w:pPr>
              <w:pStyle w:val="TableText"/>
              <w:ind w:left="26"/>
              <w:spacing w:before="37" w:line="197" w:lineRule="auto"/>
              <w:rPr>
                <w:sz w:val="21"/>
                <w:szCs w:val="21"/>
              </w:rPr>
            </w:pPr>
            <w:r>
              <w:rPr>
                <w:sz w:val="21"/>
                <w:szCs w:val="21"/>
                <w:b/>
                <w:bCs/>
                <w:spacing w:val="-3"/>
              </w:rPr>
              <w:t>厂区位于四川绵阳安州工业园内，最近供水</w:t>
            </w:r>
          </w:p>
        </w:tc>
        <w:tc>
          <w:tcPr>
            <w:tcW w:w="642" w:type="dxa"/>
            <w:vAlign w:val="top"/>
            <w:tcBorders>
              <w:bottom w:val="nil"/>
            </w:tcBorders>
          </w:tcPr>
          <w:p>
            <w:pPr>
              <w:rPr>
                <w:rFonts w:ascii="Arial"/>
                <w:sz w:val="21"/>
              </w:rPr>
            </w:pPr>
            <w:r/>
          </w:p>
        </w:tc>
      </w:tr>
      <w:tr>
        <w:trPr>
          <w:trHeight w:val="263" w:hRule="atLeast"/>
        </w:trPr>
        <w:tc>
          <w:tcPr>
            <w:tcW w:w="445" w:type="dxa"/>
            <w:vAlign w:val="top"/>
            <w:tcBorders>
              <w:bottom w:val="nil"/>
              <w:top w:val="nil"/>
            </w:tcBorders>
          </w:tcPr>
          <w:p>
            <w:pPr>
              <w:pStyle w:val="TableText"/>
              <w:spacing w:before="40" w:line="187" w:lineRule="auto"/>
              <w:jc w:val="right"/>
              <w:rPr>
                <w:sz w:val="21"/>
                <w:szCs w:val="21"/>
              </w:rPr>
            </w:pPr>
            <w:r>
              <w:rPr>
                <w:sz w:val="21"/>
                <w:szCs w:val="21"/>
                <w:spacing w:val="-1"/>
              </w:rPr>
              <w:t>厂址</w:t>
            </w:r>
          </w:p>
        </w:tc>
        <w:tc>
          <w:tcPr>
            <w:tcW w:w="3396" w:type="dxa"/>
            <w:vAlign w:val="top"/>
            <w:tcBorders>
              <w:bottom w:val="nil"/>
              <w:top w:val="nil"/>
            </w:tcBorders>
          </w:tcPr>
          <w:p>
            <w:pPr>
              <w:pStyle w:val="TableText"/>
              <w:ind w:left="12"/>
              <w:spacing w:before="35" w:line="191" w:lineRule="auto"/>
              <w:rPr>
                <w:sz w:val="21"/>
                <w:szCs w:val="21"/>
              </w:rPr>
            </w:pPr>
            <w:r>
              <w:rPr>
                <w:sz w:val="21"/>
                <w:szCs w:val="21"/>
                <w:b/>
                <w:bCs/>
                <w:spacing w:val="-3"/>
              </w:rPr>
              <w:t>离供水水源地和自来水取水口，其附</w:t>
            </w:r>
          </w:p>
        </w:tc>
        <w:tc>
          <w:tcPr>
            <w:tcW w:w="4045" w:type="dxa"/>
            <w:vAlign w:val="top"/>
            <w:tcBorders>
              <w:bottom w:val="nil"/>
              <w:top w:val="nil"/>
            </w:tcBorders>
          </w:tcPr>
          <w:p>
            <w:pPr>
              <w:pStyle w:val="TableText"/>
              <w:ind w:left="76"/>
              <w:spacing w:before="36" w:line="190" w:lineRule="auto"/>
              <w:rPr>
                <w:sz w:val="21"/>
                <w:szCs w:val="21"/>
              </w:rPr>
            </w:pPr>
            <w:r>
              <w:rPr>
                <w:sz w:val="21"/>
                <w:szCs w:val="21"/>
                <w:b/>
                <w:bCs/>
                <w:spacing w:val="-3"/>
              </w:rPr>
              <w:t>水源地和自来水取水口为东北侧约3000m为</w:t>
            </w:r>
          </w:p>
        </w:tc>
        <w:tc>
          <w:tcPr>
            <w:tcW w:w="642" w:type="dxa"/>
            <w:vAlign w:val="top"/>
            <w:tcBorders>
              <w:bottom w:val="nil"/>
              <w:top w:val="nil"/>
            </w:tcBorders>
          </w:tcPr>
          <w:p>
            <w:pPr>
              <w:pStyle w:val="TableText"/>
              <w:ind w:left="98"/>
              <w:spacing w:before="39" w:line="188" w:lineRule="auto"/>
              <w:rPr>
                <w:sz w:val="21"/>
                <w:szCs w:val="21"/>
              </w:rPr>
            </w:pPr>
            <w:r>
              <w:rPr>
                <w:sz w:val="21"/>
                <w:szCs w:val="21"/>
                <w:spacing w:val="-3"/>
              </w:rPr>
              <w:t>符合</w:t>
            </w:r>
          </w:p>
        </w:tc>
      </w:tr>
      <w:tr>
        <w:trPr>
          <w:trHeight w:val="292" w:hRule="atLeast"/>
        </w:trPr>
        <w:tc>
          <w:tcPr>
            <w:tcW w:w="445" w:type="dxa"/>
            <w:vAlign w:val="top"/>
            <w:tcBorders>
              <w:top w:val="nil"/>
            </w:tcBorders>
          </w:tcPr>
          <w:p>
            <w:pPr>
              <w:pStyle w:val="TableText"/>
              <w:ind w:left="15"/>
              <w:spacing w:before="38" w:line="214" w:lineRule="auto"/>
              <w:rPr>
                <w:sz w:val="21"/>
                <w:szCs w:val="21"/>
              </w:rPr>
            </w:pPr>
            <w:r>
              <w:rPr>
                <w:sz w:val="21"/>
                <w:szCs w:val="21"/>
                <w:color w:val="605050"/>
                <w:spacing w:val="-2"/>
              </w:rPr>
              <w:t>选择</w:t>
            </w:r>
          </w:p>
        </w:tc>
        <w:tc>
          <w:tcPr>
            <w:tcW w:w="3396" w:type="dxa"/>
            <w:vAlign w:val="top"/>
            <w:tcBorders>
              <w:top w:val="nil"/>
            </w:tcBorders>
          </w:tcPr>
          <w:p>
            <w:pPr>
              <w:pStyle w:val="TableText"/>
              <w:ind w:left="12"/>
              <w:spacing w:before="32" w:line="219" w:lineRule="auto"/>
              <w:rPr>
                <w:sz w:val="21"/>
                <w:szCs w:val="21"/>
              </w:rPr>
            </w:pPr>
            <w:r>
              <w:rPr>
                <w:sz w:val="21"/>
                <w:szCs w:val="21"/>
                <w:b/>
                <w:bCs/>
                <w:spacing w:val="-3"/>
              </w:rPr>
              <w:t>近应有城市污水排放管网或允许排入</w:t>
            </w:r>
          </w:p>
        </w:tc>
        <w:tc>
          <w:tcPr>
            <w:tcW w:w="4045" w:type="dxa"/>
            <w:vAlign w:val="top"/>
            <w:tcBorders>
              <w:top w:val="nil"/>
            </w:tcBorders>
          </w:tcPr>
          <w:p>
            <w:pPr>
              <w:pStyle w:val="TableText"/>
              <w:ind w:left="26"/>
              <w:spacing w:before="43" w:line="210" w:lineRule="auto"/>
              <w:rPr>
                <w:sz w:val="21"/>
                <w:szCs w:val="21"/>
              </w:rPr>
            </w:pPr>
            <w:r>
              <w:rPr>
                <w:sz w:val="21"/>
                <w:szCs w:val="21"/>
                <w:b/>
                <w:bCs/>
                <w:spacing w:val="-3"/>
              </w:rPr>
              <w:t>安州区龙兴村集中式饮用水源地，园区已设</w:t>
            </w:r>
          </w:p>
        </w:tc>
        <w:tc>
          <w:tcPr>
            <w:tcW w:w="642" w:type="dxa"/>
            <w:vAlign w:val="top"/>
            <w:tcBorders>
              <w:top w:val="nil"/>
            </w:tcBorders>
          </w:tcPr>
          <w:p>
            <w:pPr>
              <w:rPr>
                <w:rFonts w:ascii="Arial"/>
                <w:sz w:val="21"/>
              </w:rPr>
            </w:pPr>
            <w:r/>
          </w:p>
        </w:tc>
      </w:tr>
    </w:tbl>
    <w:p>
      <w:pPr>
        <w:pStyle w:val="BodyText"/>
        <w:rPr/>
      </w:pPr>
      <w:r/>
    </w:p>
    <w:p>
      <w:pPr>
        <w:sectPr>
          <w:headerReference w:type="default" r:id="rId246"/>
          <w:footerReference w:type="default" r:id="rId247"/>
          <w:pgSz w:w="11910" w:h="16840"/>
          <w:pgMar w:top="1207" w:right="1634" w:bottom="922" w:left="1640" w:header="915" w:footer="751" w:gutter="0"/>
        </w:sectPr>
        <w:rPr/>
      </w:pPr>
    </w:p>
    <w:p>
      <w:pPr>
        <w:spacing w:before="26"/>
        <w:rPr/>
      </w:pPr>
      <w:r/>
    </w:p>
    <w:tbl>
      <w:tblPr>
        <w:tblStyle w:val="TableNormal"/>
        <w:tblW w:w="8528"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35"/>
        <w:gridCol w:w="3386"/>
        <w:gridCol w:w="4065"/>
        <w:gridCol w:w="642"/>
      </w:tblGrid>
      <w:tr>
        <w:trPr>
          <w:trHeight w:val="275" w:hRule="atLeast"/>
        </w:trPr>
        <w:tc>
          <w:tcPr>
            <w:shd w:val="clear" w:fill="BDBDBD"/>
            <w:tcW w:w="3821" w:type="dxa"/>
            <w:vAlign w:val="top"/>
            <w:gridSpan w:val="2"/>
          </w:tcPr>
          <w:p>
            <w:pPr>
              <w:pStyle w:val="TableText"/>
              <w:ind w:left="1467"/>
              <w:spacing w:before="30" w:line="206" w:lineRule="auto"/>
              <w:rPr>
                <w:sz w:val="21"/>
                <w:szCs w:val="21"/>
              </w:rPr>
            </w:pPr>
            <w:r>
              <w:rPr>
                <w:sz w:val="21"/>
                <w:szCs w:val="21"/>
                <w:b/>
                <w:bCs/>
                <w:spacing w:val="-5"/>
              </w:rPr>
              <w:t>文件要求</w:t>
            </w:r>
          </w:p>
        </w:tc>
        <w:tc>
          <w:tcPr>
            <w:shd w:val="clear" w:fill="BDBDBD"/>
            <w:tcW w:w="4065" w:type="dxa"/>
            <w:vAlign w:val="top"/>
          </w:tcPr>
          <w:p>
            <w:pPr>
              <w:pStyle w:val="TableText"/>
              <w:ind w:left="1496"/>
              <w:spacing w:before="29" w:line="207" w:lineRule="auto"/>
              <w:rPr>
                <w:sz w:val="21"/>
                <w:szCs w:val="21"/>
              </w:rPr>
            </w:pPr>
            <w:r>
              <w:rPr>
                <w:sz w:val="21"/>
                <w:szCs w:val="21"/>
                <w:b/>
                <w:bCs/>
                <w:spacing w:val="-4"/>
              </w:rPr>
              <w:t>本项目情况</w:t>
            </w:r>
          </w:p>
        </w:tc>
        <w:tc>
          <w:tcPr>
            <w:shd w:val="clear" w:fill="BDBDBD"/>
            <w:tcW w:w="642" w:type="dxa"/>
            <w:vAlign w:val="top"/>
          </w:tcPr>
          <w:p>
            <w:pPr>
              <w:pStyle w:val="TableText"/>
              <w:spacing w:before="30" w:line="206" w:lineRule="auto"/>
              <w:jc w:val="right"/>
              <w:rPr>
                <w:sz w:val="21"/>
                <w:szCs w:val="21"/>
              </w:rPr>
            </w:pPr>
            <w:r>
              <w:rPr>
                <w:sz w:val="21"/>
                <w:szCs w:val="21"/>
                <w:b/>
                <w:bCs/>
                <w:spacing w:val="-9"/>
              </w:rPr>
              <w:t>符合性</w:t>
            </w:r>
          </w:p>
        </w:tc>
      </w:tr>
      <w:tr>
        <w:trPr>
          <w:trHeight w:val="2468" w:hRule="atLeast"/>
        </w:trPr>
        <w:tc>
          <w:tcPr>
            <w:tcW w:w="435" w:type="dxa"/>
            <w:vAlign w:val="top"/>
            <w:vMerge w:val="restart"/>
            <w:tcBorders>
              <w:bottom w:val="nil"/>
            </w:tcBorders>
          </w:tcPr>
          <w:p>
            <w:pPr>
              <w:rPr>
                <w:rFonts w:ascii="Arial"/>
                <w:sz w:val="21"/>
              </w:rPr>
            </w:pPr>
            <w:r/>
          </w:p>
        </w:tc>
        <w:tc>
          <w:tcPr>
            <w:tcW w:w="3386" w:type="dxa"/>
            <w:vAlign w:val="top"/>
          </w:tcPr>
          <w:p>
            <w:pPr>
              <w:pStyle w:val="TableText"/>
              <w:ind w:left="9"/>
              <w:spacing w:before="38" w:line="243" w:lineRule="auto"/>
              <w:jc w:val="both"/>
              <w:rPr>
                <w:sz w:val="21"/>
                <w:szCs w:val="21"/>
              </w:rPr>
            </w:pPr>
            <w:r>
              <w:rPr>
                <w:sz w:val="21"/>
                <w:szCs w:val="21"/>
              </w:rPr>
              <w:t>的最终受纳水体。厂区应位于城市居</w:t>
            </w:r>
            <w:r>
              <w:rPr>
                <w:sz w:val="21"/>
                <w:szCs w:val="21"/>
                <w:spacing w:val="5"/>
              </w:rPr>
              <w:t xml:space="preserve"> </w:t>
            </w:r>
            <w:r>
              <w:rPr>
                <w:sz w:val="21"/>
                <w:szCs w:val="21"/>
                <w:spacing w:val="-1"/>
              </w:rPr>
              <w:t>住区夏季风向最大频率的下风侧，并</w:t>
            </w:r>
            <w:r>
              <w:rPr>
                <w:sz w:val="21"/>
                <w:szCs w:val="21"/>
                <w:spacing w:val="2"/>
              </w:rPr>
              <w:t xml:space="preserve"> </w:t>
            </w:r>
            <w:r>
              <w:rPr>
                <w:sz w:val="21"/>
                <w:szCs w:val="21"/>
                <w:spacing w:val="-1"/>
              </w:rPr>
              <w:t>应满足有关卫生防护距离要求。</w:t>
            </w:r>
          </w:p>
        </w:tc>
        <w:tc>
          <w:tcPr>
            <w:tcW w:w="4065" w:type="dxa"/>
            <w:vAlign w:val="top"/>
          </w:tcPr>
          <w:p>
            <w:pPr>
              <w:pStyle w:val="TableText"/>
              <w:ind w:left="14"/>
              <w:spacing w:before="37" w:line="219" w:lineRule="auto"/>
              <w:rPr>
                <w:sz w:val="21"/>
                <w:szCs w:val="21"/>
              </w:rPr>
            </w:pPr>
            <w:r>
              <w:rPr>
                <w:sz w:val="21"/>
                <w:szCs w:val="21"/>
                <w:spacing w:val="-1"/>
              </w:rPr>
              <w:t>置污水管网，与安州区第三污水处理厂接</w:t>
            </w:r>
          </w:p>
          <w:p>
            <w:pPr>
              <w:pStyle w:val="TableText"/>
              <w:ind w:left="14" w:right="59"/>
              <w:spacing w:before="21"/>
              <w:rPr>
                <w:sz w:val="21"/>
                <w:szCs w:val="21"/>
              </w:rPr>
            </w:pPr>
            <w:r>
              <w:rPr>
                <w:sz w:val="21"/>
                <w:szCs w:val="21"/>
                <w:spacing w:val="-1"/>
              </w:rPr>
              <w:t>通；根据绵阳市安州区气象局绘制花芗镇近</w:t>
            </w:r>
            <w:r>
              <w:rPr>
                <w:sz w:val="21"/>
                <w:szCs w:val="21"/>
                <w:spacing w:val="9"/>
              </w:rPr>
              <w:t xml:space="preserve"> </w:t>
            </w:r>
            <w:r>
              <w:rPr>
                <w:sz w:val="21"/>
                <w:szCs w:val="21"/>
                <w:spacing w:val="-1"/>
              </w:rPr>
              <w:t>三年夏季风玫瑰图，夏季风向最大频率为</w:t>
            </w:r>
          </w:p>
          <w:p>
            <w:pPr>
              <w:pStyle w:val="TableText"/>
              <w:ind w:left="14"/>
              <w:spacing w:before="1" w:line="216" w:lineRule="auto"/>
              <w:rPr>
                <w:sz w:val="21"/>
                <w:szCs w:val="21"/>
              </w:rPr>
            </w:pPr>
            <w:r>
              <w:rPr>
                <w:sz w:val="21"/>
                <w:szCs w:val="21"/>
                <w:spacing w:val="-1"/>
              </w:rPr>
              <w:t>NNW(见附件),本项目厂区位于城市居</w:t>
            </w:r>
          </w:p>
          <w:p>
            <w:pPr>
              <w:pStyle w:val="TableText"/>
              <w:ind w:left="14" w:right="30"/>
              <w:spacing w:before="38" w:line="237" w:lineRule="auto"/>
              <w:rPr>
                <w:sz w:val="21"/>
                <w:szCs w:val="21"/>
              </w:rPr>
            </w:pPr>
            <w:r>
              <w:rPr>
                <w:sz w:val="21"/>
                <w:szCs w:val="21"/>
                <w:spacing w:val="1"/>
              </w:rPr>
              <w:t>住区夏季风向最大频率的侧风向，待宰车间</w:t>
            </w:r>
            <w:r>
              <w:rPr>
                <w:sz w:val="21"/>
                <w:szCs w:val="21"/>
              </w:rPr>
              <w:t xml:space="preserve"> </w:t>
            </w:r>
            <w:r>
              <w:rPr>
                <w:sz w:val="21"/>
                <w:szCs w:val="21"/>
              </w:rPr>
              <w:t>和屠宰车间的非清洁区与居住区、学校和医</w:t>
            </w:r>
            <w:r>
              <w:rPr>
                <w:sz w:val="21"/>
                <w:szCs w:val="21"/>
                <w:spacing w:val="11"/>
              </w:rPr>
              <w:t xml:space="preserve"> </w:t>
            </w:r>
            <w:r>
              <w:rPr>
                <w:sz w:val="21"/>
                <w:szCs w:val="21"/>
              </w:rPr>
              <w:t>院的卫生防护距离根据《大气有害物质无组</w:t>
            </w:r>
            <w:r>
              <w:rPr>
                <w:sz w:val="21"/>
                <w:szCs w:val="21"/>
                <w:spacing w:val="6"/>
              </w:rPr>
              <w:t xml:space="preserve"> </w:t>
            </w:r>
            <w:r>
              <w:rPr>
                <w:sz w:val="21"/>
                <w:szCs w:val="21"/>
                <w:spacing w:val="-2"/>
              </w:rPr>
              <w:t>织排放卫生防护距离推导技术导则》</w:t>
            </w:r>
          </w:p>
          <w:p>
            <w:pPr>
              <w:pStyle w:val="TableText"/>
              <w:ind w:left="83"/>
              <w:spacing w:line="210" w:lineRule="auto"/>
              <w:rPr>
                <w:sz w:val="21"/>
                <w:szCs w:val="21"/>
              </w:rPr>
            </w:pPr>
            <w:r>
              <w:rPr>
                <w:sz w:val="21"/>
                <w:szCs w:val="21"/>
              </w:rPr>
              <w:t>(GB/T39499-2020)核定，</w:t>
            </w:r>
            <w:r>
              <w:rPr>
                <w:sz w:val="21"/>
                <w:szCs w:val="21"/>
                <w:spacing w:val="-1"/>
              </w:rPr>
              <w:t>距离满足要求。</w:t>
            </w:r>
          </w:p>
        </w:tc>
        <w:tc>
          <w:tcPr>
            <w:tcW w:w="642" w:type="dxa"/>
            <w:vAlign w:val="top"/>
          </w:tcPr>
          <w:p>
            <w:pPr>
              <w:rPr>
                <w:rFonts w:ascii="Arial"/>
                <w:sz w:val="21"/>
              </w:rPr>
            </w:pPr>
            <w:r/>
          </w:p>
        </w:tc>
      </w:tr>
      <w:tr>
        <w:trPr>
          <w:trHeight w:val="1369" w:hRule="atLeast"/>
        </w:trPr>
        <w:tc>
          <w:tcPr>
            <w:tcW w:w="435" w:type="dxa"/>
            <w:vAlign w:val="top"/>
            <w:vMerge w:val="continue"/>
            <w:tcBorders>
              <w:top w:val="nil"/>
              <w:bottom w:val="nil"/>
            </w:tcBorders>
          </w:tcPr>
          <w:p>
            <w:pPr>
              <w:rPr>
                <w:rFonts w:ascii="Arial"/>
                <w:sz w:val="21"/>
              </w:rPr>
            </w:pPr>
            <w:r/>
          </w:p>
        </w:tc>
        <w:tc>
          <w:tcPr>
            <w:tcW w:w="3386" w:type="dxa"/>
            <w:vAlign w:val="top"/>
          </w:tcPr>
          <w:p>
            <w:pPr>
              <w:pStyle w:val="TableText"/>
              <w:ind w:left="9"/>
              <w:spacing w:before="50" w:line="230" w:lineRule="auto"/>
              <w:jc w:val="both"/>
              <w:rPr>
                <w:sz w:val="21"/>
                <w:szCs w:val="21"/>
              </w:rPr>
            </w:pPr>
            <w:r>
              <w:rPr>
                <w:sz w:val="21"/>
                <w:szCs w:val="21"/>
                <w:spacing w:val="-6"/>
              </w:rPr>
              <w:t>3.1.2厂址周围应有良好的环境卫生条</w:t>
            </w:r>
            <w:r>
              <w:rPr>
                <w:sz w:val="21"/>
                <w:szCs w:val="21"/>
                <w:spacing w:val="6"/>
              </w:rPr>
              <w:t xml:space="preserve"> </w:t>
            </w:r>
            <w:r>
              <w:rPr>
                <w:sz w:val="21"/>
                <w:szCs w:val="21"/>
                <w:spacing w:val="-2"/>
              </w:rPr>
              <w:t>件。厂区应远离受污染的水体，并应</w:t>
            </w:r>
            <w:r>
              <w:rPr>
                <w:sz w:val="21"/>
                <w:szCs w:val="21"/>
                <w:spacing w:val="13"/>
              </w:rPr>
              <w:t xml:space="preserve"> </w:t>
            </w:r>
            <w:r>
              <w:rPr>
                <w:sz w:val="21"/>
                <w:szCs w:val="21"/>
                <w:spacing w:val="-2"/>
              </w:rPr>
              <w:t>避开产生有害气体、烟雾、粉尘等污</w:t>
            </w:r>
            <w:r>
              <w:rPr>
                <w:sz w:val="21"/>
                <w:szCs w:val="21"/>
                <w:spacing w:val="14"/>
              </w:rPr>
              <w:t xml:space="preserve"> </w:t>
            </w:r>
            <w:r>
              <w:rPr>
                <w:sz w:val="21"/>
                <w:szCs w:val="21"/>
              </w:rPr>
              <w:t>染源的工业企业或其他产生污染源的</w:t>
            </w:r>
            <w:r>
              <w:rPr>
                <w:sz w:val="21"/>
                <w:szCs w:val="21"/>
                <w:spacing w:val="5"/>
              </w:rPr>
              <w:t xml:space="preserve"> </w:t>
            </w:r>
            <w:r>
              <w:rPr>
                <w:sz w:val="21"/>
                <w:szCs w:val="21"/>
                <w:spacing w:val="-2"/>
              </w:rPr>
              <w:t>地区或场所。</w:t>
            </w:r>
          </w:p>
        </w:tc>
        <w:tc>
          <w:tcPr>
            <w:tcW w:w="4065" w:type="dxa"/>
            <w:vAlign w:val="top"/>
          </w:tcPr>
          <w:p>
            <w:pPr>
              <w:pStyle w:val="TableText"/>
              <w:ind w:left="14" w:right="38"/>
              <w:spacing w:before="171" w:line="244" w:lineRule="auto"/>
              <w:jc w:val="both"/>
              <w:rPr>
                <w:sz w:val="21"/>
                <w:szCs w:val="21"/>
              </w:rPr>
            </w:pPr>
            <w:r>
              <w:rPr>
                <w:sz w:val="21"/>
                <w:szCs w:val="21"/>
                <w:spacing w:val="-1"/>
              </w:rPr>
              <w:t>经调查，厂址周围卫生环境良好，厂址周边</w:t>
            </w:r>
            <w:r>
              <w:rPr>
                <w:sz w:val="21"/>
                <w:szCs w:val="21"/>
                <w:spacing w:val="8"/>
              </w:rPr>
              <w:t xml:space="preserve"> </w:t>
            </w:r>
            <w:r>
              <w:rPr>
                <w:sz w:val="21"/>
                <w:szCs w:val="21"/>
              </w:rPr>
              <w:t>无受污染的水体，厂区四周主要为食品、医</w:t>
            </w:r>
            <w:r>
              <w:rPr>
                <w:sz w:val="21"/>
                <w:szCs w:val="21"/>
                <w:spacing w:val="11"/>
              </w:rPr>
              <w:t xml:space="preserve"> </w:t>
            </w:r>
            <w:r>
              <w:rPr>
                <w:sz w:val="21"/>
                <w:szCs w:val="21"/>
                <w:spacing w:val="-1"/>
              </w:rPr>
              <w:t>药等企业，本项目所在区域属于可以通过采</w:t>
            </w:r>
            <w:r>
              <w:rPr>
                <w:sz w:val="21"/>
                <w:szCs w:val="21"/>
                <w:spacing w:val="7"/>
              </w:rPr>
              <w:t xml:space="preserve"> </w:t>
            </w:r>
            <w:r>
              <w:rPr>
                <w:sz w:val="21"/>
                <w:szCs w:val="21"/>
                <w:spacing w:val="-1"/>
              </w:rPr>
              <w:t>取措施加以改善、有效清除污染源的地区。</w:t>
            </w:r>
          </w:p>
        </w:tc>
        <w:tc>
          <w:tcPr>
            <w:tcW w:w="642" w:type="dxa"/>
            <w:vAlign w:val="top"/>
          </w:tcPr>
          <w:p>
            <w:pPr>
              <w:spacing w:line="254" w:lineRule="auto"/>
              <w:rPr>
                <w:rFonts w:ascii="Arial"/>
                <w:sz w:val="21"/>
              </w:rPr>
            </w:pPr>
            <w:r/>
          </w:p>
          <w:p>
            <w:pPr>
              <w:spacing w:line="255" w:lineRule="auto"/>
              <w:rPr>
                <w:rFonts w:ascii="Arial"/>
                <w:sz w:val="21"/>
              </w:rPr>
            </w:pPr>
            <w:r/>
          </w:p>
          <w:p>
            <w:pPr>
              <w:pStyle w:val="TableText"/>
              <w:ind w:left="98"/>
              <w:spacing w:before="68" w:line="219" w:lineRule="auto"/>
              <w:rPr>
                <w:sz w:val="21"/>
                <w:szCs w:val="21"/>
              </w:rPr>
            </w:pPr>
            <w:r>
              <w:rPr>
                <w:sz w:val="21"/>
                <w:szCs w:val="21"/>
                <w:spacing w:val="-3"/>
              </w:rPr>
              <w:t>符合</w:t>
            </w:r>
          </w:p>
        </w:tc>
      </w:tr>
      <w:tr>
        <w:trPr>
          <w:trHeight w:val="1629" w:hRule="atLeast"/>
        </w:trPr>
        <w:tc>
          <w:tcPr>
            <w:tcW w:w="435" w:type="dxa"/>
            <w:vAlign w:val="top"/>
            <w:vMerge w:val="continue"/>
            <w:tcBorders>
              <w:top w:val="nil"/>
            </w:tcBorders>
          </w:tcPr>
          <w:p>
            <w:pPr>
              <w:rPr>
                <w:rFonts w:ascii="Arial"/>
                <w:sz w:val="21"/>
              </w:rPr>
            </w:pPr>
            <w:r/>
          </w:p>
        </w:tc>
        <w:tc>
          <w:tcPr>
            <w:tcW w:w="3386" w:type="dxa"/>
            <w:vAlign w:val="top"/>
          </w:tcPr>
          <w:p>
            <w:pPr>
              <w:pStyle w:val="TableText"/>
              <w:ind w:left="9"/>
              <w:spacing w:before="28" w:line="233" w:lineRule="auto"/>
              <w:jc w:val="both"/>
              <w:rPr>
                <w:sz w:val="21"/>
                <w:szCs w:val="21"/>
              </w:rPr>
            </w:pPr>
            <w:r>
              <w:rPr>
                <w:sz w:val="21"/>
                <w:szCs w:val="21"/>
                <w:spacing w:val="-7"/>
              </w:rPr>
              <w:t>3.1.3屠宰与分割车间所在的厂址必须</w:t>
            </w:r>
            <w:r>
              <w:rPr>
                <w:sz w:val="21"/>
                <w:szCs w:val="21"/>
                <w:spacing w:val="16"/>
              </w:rPr>
              <w:t xml:space="preserve"> </w:t>
            </w:r>
            <w:r>
              <w:rPr>
                <w:sz w:val="21"/>
                <w:szCs w:val="21"/>
                <w:spacing w:val="-3"/>
              </w:rPr>
              <w:t>具备符合要求的水源和电源，其位置</w:t>
            </w:r>
            <w:r>
              <w:rPr>
                <w:sz w:val="21"/>
                <w:szCs w:val="21"/>
                <w:spacing w:val="13"/>
              </w:rPr>
              <w:t xml:space="preserve"> </w:t>
            </w:r>
            <w:r>
              <w:rPr>
                <w:sz w:val="21"/>
                <w:szCs w:val="21"/>
                <w:spacing w:val="-2"/>
              </w:rPr>
              <w:t>应选择在交通运输方便、货源流向合</w:t>
            </w:r>
            <w:r>
              <w:rPr>
                <w:sz w:val="21"/>
                <w:szCs w:val="21"/>
                <w:spacing w:val="1"/>
              </w:rPr>
              <w:t xml:space="preserve"> </w:t>
            </w:r>
            <w:r>
              <w:rPr>
                <w:sz w:val="21"/>
                <w:szCs w:val="21"/>
              </w:rPr>
              <w:t>理的地方，根据节约用地和不占农田</w:t>
            </w:r>
            <w:r>
              <w:rPr>
                <w:sz w:val="21"/>
                <w:szCs w:val="21"/>
                <w:spacing w:val="5"/>
              </w:rPr>
              <w:t xml:space="preserve"> </w:t>
            </w:r>
            <w:r>
              <w:rPr>
                <w:sz w:val="21"/>
                <w:szCs w:val="21"/>
                <w:spacing w:val="-1"/>
              </w:rPr>
              <w:t>的原则，结合加工工艺要求因地制宜</w:t>
            </w:r>
            <w:r>
              <w:rPr>
                <w:sz w:val="21"/>
                <w:szCs w:val="21"/>
                <w:spacing w:val="7"/>
              </w:rPr>
              <w:t xml:space="preserve"> </w:t>
            </w:r>
            <w:r>
              <w:rPr>
                <w:sz w:val="21"/>
                <w:szCs w:val="21"/>
                <w:spacing w:val="-2"/>
              </w:rPr>
              <w:t>地确定并应符合规划的要求。</w:t>
            </w:r>
          </w:p>
        </w:tc>
        <w:tc>
          <w:tcPr>
            <w:tcW w:w="4065" w:type="dxa"/>
            <w:vAlign w:val="top"/>
          </w:tcPr>
          <w:p>
            <w:pPr>
              <w:pStyle w:val="TableText"/>
              <w:ind w:left="14" w:right="33"/>
              <w:spacing w:before="42" w:line="231" w:lineRule="auto"/>
              <w:jc w:val="both"/>
              <w:rPr>
                <w:sz w:val="21"/>
                <w:szCs w:val="21"/>
              </w:rPr>
            </w:pPr>
            <w:r>
              <w:rPr>
                <w:sz w:val="21"/>
                <w:szCs w:val="21"/>
              </w:rPr>
              <w:t>厂区位于四川绵阳安州工业园内，可接入城</w:t>
            </w:r>
            <w:r>
              <w:rPr>
                <w:sz w:val="21"/>
                <w:szCs w:val="21"/>
                <w:spacing w:val="8"/>
              </w:rPr>
              <w:t xml:space="preserve"> </w:t>
            </w:r>
            <w:r>
              <w:rPr>
                <w:sz w:val="21"/>
                <w:szCs w:val="21"/>
              </w:rPr>
              <w:t>镇供水管网，水源充足；用电可接入市政电</w:t>
            </w:r>
            <w:r>
              <w:rPr>
                <w:sz w:val="21"/>
                <w:szCs w:val="21"/>
                <w:spacing w:val="11"/>
              </w:rPr>
              <w:t xml:space="preserve"> </w:t>
            </w:r>
            <w:r>
              <w:rPr>
                <w:sz w:val="21"/>
                <w:szCs w:val="21"/>
              </w:rPr>
              <w:t>网，电源可靠；厂区西南侧、西北侧可连接</w:t>
            </w:r>
            <w:r>
              <w:rPr>
                <w:sz w:val="21"/>
                <w:szCs w:val="21"/>
                <w:spacing w:val="7"/>
              </w:rPr>
              <w:t xml:space="preserve"> </w:t>
            </w:r>
            <w:r>
              <w:rPr>
                <w:sz w:val="21"/>
                <w:szCs w:val="21"/>
              </w:rPr>
              <w:t>车辆运输道路，交通运输方便；厂区用地属</w:t>
            </w:r>
            <w:r>
              <w:rPr>
                <w:sz w:val="21"/>
                <w:szCs w:val="21"/>
                <w:spacing w:val="16"/>
              </w:rPr>
              <w:t xml:space="preserve"> </w:t>
            </w:r>
            <w:r>
              <w:rPr>
                <w:sz w:val="21"/>
                <w:szCs w:val="21"/>
              </w:rPr>
              <w:t>工业用地，符合当地城乡规划，厂址不涉及</w:t>
            </w:r>
            <w:r>
              <w:rPr>
                <w:sz w:val="21"/>
                <w:szCs w:val="21"/>
                <w:spacing w:val="10"/>
              </w:rPr>
              <w:t xml:space="preserve"> </w:t>
            </w:r>
            <w:r>
              <w:rPr>
                <w:sz w:val="21"/>
                <w:szCs w:val="21"/>
                <w:spacing w:val="-1"/>
              </w:rPr>
              <w:t>环境特殊敏感区，符合环保要求。</w:t>
            </w:r>
          </w:p>
        </w:tc>
        <w:tc>
          <w:tcPr>
            <w:tcW w:w="642" w:type="dxa"/>
            <w:vAlign w:val="top"/>
          </w:tcPr>
          <w:p>
            <w:pPr>
              <w:spacing w:line="319" w:lineRule="auto"/>
              <w:rPr>
                <w:rFonts w:ascii="Arial"/>
                <w:sz w:val="21"/>
              </w:rPr>
            </w:pPr>
            <w:r/>
          </w:p>
          <w:p>
            <w:pPr>
              <w:spacing w:line="320" w:lineRule="auto"/>
              <w:rPr>
                <w:rFonts w:ascii="Arial"/>
                <w:sz w:val="21"/>
              </w:rPr>
            </w:pPr>
            <w:r/>
          </w:p>
          <w:p>
            <w:pPr>
              <w:pStyle w:val="TableText"/>
              <w:ind w:left="98"/>
              <w:spacing w:before="68" w:line="219" w:lineRule="auto"/>
              <w:rPr>
                <w:sz w:val="21"/>
                <w:szCs w:val="21"/>
              </w:rPr>
            </w:pPr>
            <w:r>
              <w:rPr>
                <w:sz w:val="21"/>
                <w:szCs w:val="21"/>
                <w:spacing w:val="-3"/>
              </w:rPr>
              <w:t>符合</w:t>
            </w:r>
          </w:p>
        </w:tc>
      </w:tr>
      <w:tr>
        <w:trPr>
          <w:trHeight w:val="1639" w:hRule="atLeast"/>
        </w:trPr>
        <w:tc>
          <w:tcPr>
            <w:tcW w:w="435" w:type="dxa"/>
            <w:vAlign w:val="top"/>
            <w:vMerge w:val="restart"/>
            <w:tcBorders>
              <w:bottom w:val="nil"/>
            </w:tcBorders>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45"/>
              <w:spacing w:before="68" w:line="181" w:lineRule="auto"/>
              <w:rPr>
                <w:sz w:val="21"/>
                <w:szCs w:val="21"/>
              </w:rPr>
            </w:pPr>
            <w:r>
              <w:rPr>
                <w:sz w:val="21"/>
                <w:szCs w:val="21"/>
                <w:spacing w:val="-3"/>
              </w:rPr>
              <w:t>3.2</w:t>
            </w:r>
          </w:p>
          <w:p>
            <w:pPr>
              <w:pStyle w:val="TableText"/>
              <w:spacing w:line="212" w:lineRule="auto"/>
              <w:jc w:val="right"/>
              <w:rPr>
                <w:sz w:val="21"/>
                <w:szCs w:val="21"/>
              </w:rPr>
            </w:pPr>
            <w:r>
              <w:rPr>
                <w:sz w:val="21"/>
                <w:szCs w:val="21"/>
                <w:color w:val="504040"/>
                <w:spacing w:val="-7"/>
              </w:rPr>
              <w:t>总平</w:t>
            </w:r>
          </w:p>
          <w:p>
            <w:pPr>
              <w:pStyle w:val="TableText"/>
              <w:ind w:left="104" w:hanging="89"/>
              <w:spacing w:before="1" w:line="257" w:lineRule="auto"/>
              <w:rPr>
                <w:sz w:val="21"/>
                <w:szCs w:val="21"/>
              </w:rPr>
            </w:pPr>
            <w:r>
              <w:rPr>
                <w:sz w:val="21"/>
                <w:szCs w:val="21"/>
                <w:spacing w:val="-6"/>
              </w:rPr>
              <w:t>面布</w:t>
            </w:r>
            <w:r>
              <w:rPr>
                <w:sz w:val="21"/>
                <w:szCs w:val="21"/>
              </w:rPr>
              <w:t xml:space="preserve"> </w:t>
            </w:r>
            <w:r>
              <w:rPr>
                <w:sz w:val="21"/>
                <w:szCs w:val="21"/>
              </w:rPr>
              <w:t>置</w:t>
            </w:r>
          </w:p>
        </w:tc>
        <w:tc>
          <w:tcPr>
            <w:tcW w:w="3386" w:type="dxa"/>
            <w:vAlign w:val="top"/>
          </w:tcPr>
          <w:p>
            <w:pPr>
              <w:pStyle w:val="TableText"/>
              <w:ind w:left="9"/>
              <w:spacing w:before="180" w:line="243" w:lineRule="auto"/>
              <w:rPr>
                <w:sz w:val="21"/>
                <w:szCs w:val="21"/>
              </w:rPr>
            </w:pPr>
            <w:r>
              <w:rPr>
                <w:sz w:val="21"/>
                <w:szCs w:val="21"/>
                <w:spacing w:val="-1"/>
              </w:rPr>
              <w:t>3.2.1厂区应划分为生产区和非生产</w:t>
            </w:r>
            <w:r>
              <w:rPr>
                <w:sz w:val="21"/>
                <w:szCs w:val="21"/>
                <w:spacing w:val="3"/>
              </w:rPr>
              <w:t xml:space="preserve">  </w:t>
            </w:r>
            <w:r>
              <w:rPr>
                <w:sz w:val="21"/>
                <w:szCs w:val="21"/>
                <w:spacing w:val="-1"/>
              </w:rPr>
              <w:t>区。生产区必须单独设置生猪与废弃</w:t>
            </w:r>
            <w:r>
              <w:rPr>
                <w:sz w:val="21"/>
                <w:szCs w:val="21"/>
                <w:spacing w:val="6"/>
              </w:rPr>
              <w:t xml:space="preserve"> </w:t>
            </w:r>
            <w:r>
              <w:rPr>
                <w:sz w:val="21"/>
                <w:szCs w:val="21"/>
              </w:rPr>
              <w:t>物的出入口，产品和人员出入口需另</w:t>
            </w:r>
            <w:r>
              <w:rPr>
                <w:sz w:val="21"/>
                <w:szCs w:val="21"/>
                <w:spacing w:val="5"/>
              </w:rPr>
              <w:t xml:space="preserve"> </w:t>
            </w:r>
            <w:r>
              <w:rPr>
                <w:sz w:val="21"/>
                <w:szCs w:val="21"/>
                <w:spacing w:val="-1"/>
              </w:rPr>
              <w:t>设，且产品与生猪、废弃物在厂内不</w:t>
            </w:r>
            <w:r>
              <w:rPr>
                <w:sz w:val="21"/>
                <w:szCs w:val="21"/>
                <w:spacing w:val="7"/>
              </w:rPr>
              <w:t xml:space="preserve"> </w:t>
            </w:r>
            <w:r>
              <w:rPr>
                <w:sz w:val="21"/>
                <w:szCs w:val="21"/>
                <w:spacing w:val="-2"/>
              </w:rPr>
              <w:t>得共用一个通道。</w:t>
            </w:r>
          </w:p>
        </w:tc>
        <w:tc>
          <w:tcPr>
            <w:tcW w:w="4065" w:type="dxa"/>
            <w:vAlign w:val="top"/>
          </w:tcPr>
          <w:p>
            <w:pPr>
              <w:pStyle w:val="TableText"/>
              <w:ind w:left="14" w:right="22" w:firstLine="10"/>
              <w:spacing w:before="45" w:line="232" w:lineRule="auto"/>
              <w:jc w:val="both"/>
              <w:rPr>
                <w:sz w:val="21"/>
                <w:szCs w:val="21"/>
              </w:rPr>
            </w:pPr>
            <w:r>
              <w:rPr>
                <w:sz w:val="21"/>
                <w:szCs w:val="21"/>
              </w:rPr>
              <w:t>厂区划分为生产区和生活区；生产区明确区</w:t>
            </w:r>
            <w:r>
              <w:rPr>
                <w:sz w:val="21"/>
                <w:szCs w:val="21"/>
                <w:spacing w:val="17"/>
              </w:rPr>
              <w:t xml:space="preserve"> </w:t>
            </w:r>
            <w:r>
              <w:rPr>
                <w:sz w:val="21"/>
                <w:szCs w:val="21"/>
              </w:rPr>
              <w:t>分非清洁区和清洁区；项目所在区域属夏热</w:t>
            </w:r>
            <w:r>
              <w:rPr>
                <w:sz w:val="21"/>
                <w:szCs w:val="21"/>
                <w:spacing w:val="11"/>
              </w:rPr>
              <w:t xml:space="preserve"> </w:t>
            </w:r>
            <w:r>
              <w:rPr>
                <w:sz w:val="21"/>
                <w:szCs w:val="21"/>
              </w:rPr>
              <w:t>冬冷地区，非清洁区布置在场区西侧，生产</w:t>
            </w:r>
            <w:r>
              <w:rPr>
                <w:sz w:val="21"/>
                <w:szCs w:val="21"/>
                <w:spacing w:val="12"/>
              </w:rPr>
              <w:t xml:space="preserve"> </w:t>
            </w:r>
            <w:r>
              <w:rPr>
                <w:sz w:val="21"/>
                <w:szCs w:val="21"/>
              </w:rPr>
              <w:t>区单独设置生猪与废弃物的出入口，产品和</w:t>
            </w:r>
            <w:r>
              <w:rPr>
                <w:sz w:val="21"/>
                <w:szCs w:val="21"/>
                <w:spacing w:val="16"/>
              </w:rPr>
              <w:t xml:space="preserve"> </w:t>
            </w:r>
            <w:r>
              <w:rPr>
                <w:sz w:val="21"/>
                <w:szCs w:val="21"/>
              </w:rPr>
              <w:t>人员出入口单独设置，产品与生猪、废弃物</w:t>
            </w:r>
            <w:r>
              <w:rPr>
                <w:sz w:val="21"/>
                <w:szCs w:val="21"/>
                <w:spacing w:val="9"/>
              </w:rPr>
              <w:t xml:space="preserve"> </w:t>
            </w:r>
            <w:r>
              <w:rPr>
                <w:sz w:val="21"/>
                <w:szCs w:val="21"/>
                <w:spacing w:val="-1"/>
              </w:rPr>
              <w:t>在厂内不共用一个通道。</w:t>
            </w:r>
          </w:p>
        </w:tc>
        <w:tc>
          <w:tcPr>
            <w:tcW w:w="642" w:type="dxa"/>
            <w:vAlign w:val="top"/>
          </w:tcPr>
          <w:p>
            <w:pPr>
              <w:spacing w:line="325" w:lineRule="auto"/>
              <w:rPr>
                <w:rFonts w:ascii="Arial"/>
                <w:sz w:val="21"/>
              </w:rPr>
            </w:pPr>
            <w:r/>
          </w:p>
          <w:p>
            <w:pPr>
              <w:spacing w:line="325" w:lineRule="auto"/>
              <w:rPr>
                <w:rFonts w:ascii="Arial"/>
                <w:sz w:val="21"/>
              </w:rPr>
            </w:pPr>
            <w:r/>
          </w:p>
          <w:p>
            <w:pPr>
              <w:pStyle w:val="TableText"/>
              <w:ind w:left="98"/>
              <w:spacing w:before="68" w:line="219" w:lineRule="auto"/>
              <w:rPr>
                <w:sz w:val="21"/>
                <w:szCs w:val="21"/>
              </w:rPr>
            </w:pPr>
            <w:r>
              <w:rPr>
                <w:sz w:val="21"/>
                <w:szCs w:val="21"/>
                <w:spacing w:val="-3"/>
              </w:rPr>
              <w:t>符合</w:t>
            </w:r>
          </w:p>
        </w:tc>
      </w:tr>
      <w:tr>
        <w:trPr>
          <w:trHeight w:val="809" w:hRule="atLeast"/>
        </w:trPr>
        <w:tc>
          <w:tcPr>
            <w:tcW w:w="435" w:type="dxa"/>
            <w:vAlign w:val="top"/>
            <w:vMerge w:val="continue"/>
            <w:tcBorders>
              <w:top w:val="nil"/>
              <w:bottom w:val="nil"/>
            </w:tcBorders>
          </w:tcPr>
          <w:p>
            <w:pPr>
              <w:rPr>
                <w:rFonts w:ascii="Arial"/>
                <w:sz w:val="21"/>
              </w:rPr>
            </w:pPr>
            <w:r/>
          </w:p>
        </w:tc>
        <w:tc>
          <w:tcPr>
            <w:tcW w:w="3386" w:type="dxa"/>
            <w:vAlign w:val="top"/>
          </w:tcPr>
          <w:p>
            <w:pPr>
              <w:pStyle w:val="TableText"/>
              <w:ind w:left="9"/>
              <w:spacing w:before="61" w:line="216" w:lineRule="auto"/>
              <w:jc w:val="both"/>
              <w:rPr>
                <w:sz w:val="21"/>
                <w:szCs w:val="21"/>
              </w:rPr>
            </w:pPr>
            <w:r>
              <w:rPr>
                <w:sz w:val="21"/>
                <w:szCs w:val="21"/>
                <w:spacing w:val="-7"/>
              </w:rPr>
              <w:t>3.2.2生产区各车间的布局与设施必须</w:t>
            </w:r>
            <w:r>
              <w:rPr>
                <w:sz w:val="21"/>
                <w:szCs w:val="21"/>
                <w:spacing w:val="14"/>
              </w:rPr>
              <w:t xml:space="preserve"> </w:t>
            </w:r>
            <w:r>
              <w:rPr>
                <w:sz w:val="21"/>
                <w:szCs w:val="21"/>
              </w:rPr>
              <w:t>满足生产工艺流程和卫生要求。厂内</w:t>
            </w:r>
            <w:r>
              <w:rPr>
                <w:sz w:val="21"/>
                <w:szCs w:val="21"/>
                <w:spacing w:val="5"/>
              </w:rPr>
              <w:t xml:space="preserve"> </w:t>
            </w:r>
            <w:r>
              <w:rPr>
                <w:sz w:val="21"/>
                <w:szCs w:val="21"/>
                <w:spacing w:val="-2"/>
              </w:rPr>
              <w:t>清洁区与非清洁区应严格分开。</w:t>
            </w:r>
          </w:p>
        </w:tc>
        <w:tc>
          <w:tcPr>
            <w:tcW w:w="4065" w:type="dxa"/>
            <w:vAlign w:val="top"/>
          </w:tcPr>
          <w:p>
            <w:pPr>
              <w:pStyle w:val="TableText"/>
              <w:ind w:left="14" w:right="37"/>
              <w:spacing w:before="14" w:line="230" w:lineRule="auto"/>
              <w:jc w:val="both"/>
              <w:rPr>
                <w:sz w:val="21"/>
                <w:szCs w:val="21"/>
              </w:rPr>
            </w:pPr>
            <w:r>
              <w:rPr>
                <w:sz w:val="21"/>
                <w:szCs w:val="21"/>
              </w:rPr>
              <w:t>厂区屠宰车间及生产辅助用房布局满足生产</w:t>
            </w:r>
            <w:r>
              <w:rPr>
                <w:sz w:val="21"/>
                <w:szCs w:val="21"/>
                <w:spacing w:val="12"/>
              </w:rPr>
              <w:t xml:space="preserve"> </w:t>
            </w:r>
            <w:r>
              <w:rPr>
                <w:sz w:val="21"/>
                <w:szCs w:val="21"/>
              </w:rPr>
              <w:t>工艺流程和食品卫生要求，其设计不得使产</w:t>
            </w:r>
            <w:r>
              <w:rPr>
                <w:sz w:val="21"/>
                <w:szCs w:val="21"/>
                <w:spacing w:val="12"/>
              </w:rPr>
              <w:t xml:space="preserve"> </w:t>
            </w:r>
            <w:r>
              <w:rPr>
                <w:sz w:val="21"/>
                <w:szCs w:val="21"/>
                <w:spacing w:val="-1"/>
              </w:rPr>
              <w:t>品受到污染。</w:t>
            </w:r>
          </w:p>
        </w:tc>
        <w:tc>
          <w:tcPr>
            <w:tcW w:w="642" w:type="dxa"/>
            <w:vAlign w:val="top"/>
          </w:tcPr>
          <w:p>
            <w:pPr>
              <w:pStyle w:val="TableText"/>
              <w:ind w:left="98"/>
              <w:spacing w:before="303" w:line="219" w:lineRule="auto"/>
              <w:rPr>
                <w:sz w:val="21"/>
                <w:szCs w:val="21"/>
              </w:rPr>
            </w:pPr>
            <w:r>
              <w:rPr>
                <w:sz w:val="21"/>
                <w:szCs w:val="21"/>
                <w:spacing w:val="-3"/>
              </w:rPr>
              <w:t>符合</w:t>
            </w:r>
          </w:p>
        </w:tc>
      </w:tr>
      <w:tr>
        <w:trPr>
          <w:trHeight w:val="1639" w:hRule="atLeast"/>
        </w:trPr>
        <w:tc>
          <w:tcPr>
            <w:tcW w:w="435" w:type="dxa"/>
            <w:vAlign w:val="top"/>
            <w:vMerge w:val="continue"/>
            <w:tcBorders>
              <w:top w:val="nil"/>
            </w:tcBorders>
          </w:tcPr>
          <w:p>
            <w:pPr>
              <w:rPr>
                <w:rFonts w:ascii="Arial"/>
                <w:sz w:val="21"/>
              </w:rPr>
            </w:pPr>
            <w:r/>
          </w:p>
        </w:tc>
        <w:tc>
          <w:tcPr>
            <w:tcW w:w="3386" w:type="dxa"/>
            <w:vAlign w:val="top"/>
          </w:tcPr>
          <w:p>
            <w:pPr>
              <w:pStyle w:val="TableText"/>
              <w:ind w:left="9"/>
              <w:spacing w:before="66" w:line="229" w:lineRule="auto"/>
              <w:jc w:val="both"/>
              <w:rPr>
                <w:sz w:val="21"/>
                <w:szCs w:val="21"/>
              </w:rPr>
            </w:pPr>
            <w:r>
              <w:rPr>
                <w:sz w:val="21"/>
                <w:szCs w:val="21"/>
                <w:spacing w:val="-11"/>
              </w:rPr>
              <w:t>3.2.3屠宰清洁区与分割车间不应设置</w:t>
            </w:r>
            <w:r>
              <w:rPr>
                <w:sz w:val="21"/>
                <w:szCs w:val="21"/>
                <w:spacing w:val="7"/>
              </w:rPr>
              <w:t xml:space="preserve">  </w:t>
            </w:r>
            <w:r>
              <w:rPr>
                <w:sz w:val="21"/>
                <w:szCs w:val="21"/>
              </w:rPr>
              <w:t>在无害化处理间、废弃物集存场所、</w:t>
            </w:r>
            <w:r>
              <w:rPr>
                <w:sz w:val="21"/>
                <w:szCs w:val="21"/>
                <w:spacing w:val="5"/>
              </w:rPr>
              <w:t xml:space="preserve"> </w:t>
            </w:r>
            <w:r>
              <w:rPr>
                <w:sz w:val="21"/>
                <w:szCs w:val="21"/>
                <w:spacing w:val="-4"/>
              </w:rPr>
              <w:t>污水处理站、锅炉房、煤场等建(构)</w:t>
            </w:r>
            <w:r>
              <w:rPr>
                <w:sz w:val="21"/>
                <w:szCs w:val="21"/>
                <w:spacing w:val="15"/>
              </w:rPr>
              <w:t xml:space="preserve"> </w:t>
            </w:r>
            <w:r>
              <w:rPr>
                <w:sz w:val="21"/>
                <w:szCs w:val="21"/>
                <w:spacing w:val="-7"/>
              </w:rPr>
              <w:t>筑物及场所的主导风向的下风侧，其</w:t>
            </w:r>
            <w:r>
              <w:rPr>
                <w:sz w:val="21"/>
                <w:szCs w:val="21"/>
                <w:spacing w:val="2"/>
              </w:rPr>
              <w:t xml:space="preserve">  </w:t>
            </w:r>
            <w:r>
              <w:rPr>
                <w:sz w:val="21"/>
                <w:szCs w:val="21"/>
                <w:spacing w:val="-6"/>
              </w:rPr>
              <w:t>间距应符合环保、食品卫生以及建筑</w:t>
            </w:r>
            <w:r>
              <w:rPr>
                <w:sz w:val="21"/>
                <w:szCs w:val="21"/>
                <w:spacing w:val="3"/>
              </w:rPr>
              <w:t xml:space="preserve">  </w:t>
            </w:r>
            <w:r>
              <w:rPr>
                <w:sz w:val="21"/>
                <w:szCs w:val="21"/>
                <w:spacing w:val="-6"/>
              </w:rPr>
              <w:t>防火等方面的要求。</w:t>
            </w:r>
          </w:p>
        </w:tc>
        <w:tc>
          <w:tcPr>
            <w:tcW w:w="4065" w:type="dxa"/>
            <w:vAlign w:val="top"/>
          </w:tcPr>
          <w:p>
            <w:pPr>
              <w:pStyle w:val="TableText"/>
              <w:ind w:left="14" w:right="38"/>
              <w:spacing w:before="186" w:line="238" w:lineRule="auto"/>
              <w:rPr>
                <w:sz w:val="21"/>
                <w:szCs w:val="21"/>
              </w:rPr>
            </w:pPr>
            <w:r>
              <w:rPr>
                <w:sz w:val="21"/>
                <w:szCs w:val="21"/>
              </w:rPr>
              <w:t>屠宰清洁区与分割车间设置在废弃物集存场</w:t>
            </w:r>
            <w:r>
              <w:rPr>
                <w:sz w:val="21"/>
                <w:szCs w:val="21"/>
                <w:spacing w:val="11"/>
              </w:rPr>
              <w:t xml:space="preserve"> </w:t>
            </w:r>
            <w:r>
              <w:rPr>
                <w:sz w:val="21"/>
                <w:szCs w:val="21"/>
                <w:spacing w:val="-1"/>
              </w:rPr>
              <w:t>所、污水处理站、蒸汽发生器房等建(构)筑</w:t>
            </w:r>
            <w:r>
              <w:rPr>
                <w:sz w:val="21"/>
                <w:szCs w:val="21"/>
                <w:spacing w:val="10"/>
              </w:rPr>
              <w:t xml:space="preserve"> </w:t>
            </w:r>
            <w:r>
              <w:rPr>
                <w:sz w:val="21"/>
                <w:szCs w:val="21"/>
                <w:spacing w:val="-1"/>
              </w:rPr>
              <w:t>物及场所的主导风向的侧风向，其间距符合</w:t>
            </w:r>
            <w:r>
              <w:rPr>
                <w:sz w:val="21"/>
                <w:szCs w:val="21"/>
                <w:spacing w:val="9"/>
              </w:rPr>
              <w:t xml:space="preserve"> </w:t>
            </w:r>
            <w:r>
              <w:rPr>
                <w:sz w:val="21"/>
                <w:szCs w:val="21"/>
                <w:spacing w:val="-1"/>
              </w:rPr>
              <w:t>环保、食品卫生以及建筑防火等方面的要</w:t>
            </w:r>
          </w:p>
          <w:p>
            <w:pPr>
              <w:pStyle w:val="TableText"/>
              <w:ind w:left="14"/>
              <w:spacing w:before="16" w:line="221" w:lineRule="auto"/>
              <w:rPr>
                <w:sz w:val="21"/>
                <w:szCs w:val="21"/>
              </w:rPr>
            </w:pPr>
            <w:r>
              <w:rPr>
                <w:sz w:val="21"/>
                <w:szCs w:val="21"/>
                <w:spacing w:val="-2"/>
              </w:rPr>
              <w:t>求。</w:t>
            </w:r>
          </w:p>
        </w:tc>
        <w:tc>
          <w:tcPr>
            <w:tcW w:w="642" w:type="dxa"/>
            <w:vAlign w:val="top"/>
          </w:tcPr>
          <w:p>
            <w:pPr>
              <w:spacing w:line="326" w:lineRule="auto"/>
              <w:rPr>
                <w:rFonts w:ascii="Arial"/>
                <w:sz w:val="21"/>
              </w:rPr>
            </w:pPr>
            <w:r/>
          </w:p>
          <w:p>
            <w:pPr>
              <w:spacing w:line="326" w:lineRule="auto"/>
              <w:rPr>
                <w:rFonts w:ascii="Arial"/>
                <w:sz w:val="21"/>
              </w:rPr>
            </w:pPr>
            <w:r/>
          </w:p>
          <w:p>
            <w:pPr>
              <w:pStyle w:val="TableText"/>
              <w:ind w:left="98"/>
              <w:spacing w:before="68" w:line="219" w:lineRule="auto"/>
              <w:rPr>
                <w:sz w:val="21"/>
                <w:szCs w:val="21"/>
              </w:rPr>
            </w:pPr>
            <w:r>
              <w:rPr>
                <w:sz w:val="21"/>
                <w:szCs w:val="21"/>
                <w:spacing w:val="-3"/>
              </w:rPr>
              <w:t>符合</w:t>
            </w:r>
          </w:p>
        </w:tc>
      </w:tr>
      <w:tr>
        <w:trPr>
          <w:trHeight w:val="819" w:hRule="atLeast"/>
        </w:trPr>
        <w:tc>
          <w:tcPr>
            <w:tcW w:w="435" w:type="dxa"/>
            <w:vAlign w:val="top"/>
            <w:vMerge w:val="restart"/>
            <w:tcBorders>
              <w:bottom w:val="nil"/>
            </w:tcBorders>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15" w:firstLine="29"/>
              <w:spacing w:before="68" w:line="198" w:lineRule="auto"/>
              <w:rPr>
                <w:sz w:val="21"/>
                <w:szCs w:val="21"/>
              </w:rPr>
            </w:pPr>
            <w:r>
              <w:rPr>
                <w:sz w:val="21"/>
                <w:szCs w:val="21"/>
                <w:spacing w:val="-5"/>
              </w:rPr>
              <w:t>3.3</w:t>
            </w:r>
            <w:r>
              <w:rPr>
                <w:sz w:val="21"/>
                <w:szCs w:val="21"/>
              </w:rPr>
              <w:t xml:space="preserve"> </w:t>
            </w:r>
            <w:r>
              <w:rPr>
                <w:sz w:val="21"/>
                <w:szCs w:val="21"/>
                <w:spacing w:val="-6"/>
              </w:rPr>
              <w:t>环境</w:t>
            </w:r>
          </w:p>
          <w:p>
            <w:pPr>
              <w:pStyle w:val="TableText"/>
              <w:spacing w:before="10" w:line="229" w:lineRule="auto"/>
              <w:jc w:val="right"/>
              <w:rPr>
                <w:sz w:val="21"/>
                <w:szCs w:val="21"/>
              </w:rPr>
            </w:pPr>
            <w:r>
              <w:rPr>
                <w:sz w:val="21"/>
                <w:szCs w:val="21"/>
                <w:color w:val="404040"/>
                <w:spacing w:val="-6"/>
              </w:rPr>
              <w:t>卫生</w:t>
            </w:r>
          </w:p>
        </w:tc>
        <w:tc>
          <w:tcPr>
            <w:tcW w:w="3386" w:type="dxa"/>
            <w:vAlign w:val="top"/>
          </w:tcPr>
          <w:p>
            <w:pPr>
              <w:pStyle w:val="TableText"/>
              <w:ind w:left="9" w:right="15"/>
              <w:spacing w:before="44" w:line="224" w:lineRule="auto"/>
              <w:rPr>
                <w:sz w:val="21"/>
                <w:szCs w:val="21"/>
              </w:rPr>
            </w:pPr>
            <w:r>
              <w:rPr>
                <w:sz w:val="21"/>
                <w:szCs w:val="21"/>
                <w:spacing w:val="-1"/>
              </w:rPr>
              <w:t>3.3.1屠宰与分割车间所在厂区的路</w:t>
            </w:r>
            <w:r>
              <w:rPr>
                <w:sz w:val="21"/>
                <w:szCs w:val="21"/>
                <w:spacing w:val="2"/>
              </w:rPr>
              <w:t xml:space="preserve">  </w:t>
            </w:r>
            <w:r>
              <w:rPr>
                <w:sz w:val="21"/>
                <w:szCs w:val="21"/>
                <w:spacing w:val="-1"/>
              </w:rPr>
              <w:t>面、场地应平整、无积水。主要道路</w:t>
            </w:r>
            <w:r>
              <w:rPr>
                <w:sz w:val="21"/>
                <w:szCs w:val="21"/>
                <w:spacing w:val="5"/>
              </w:rPr>
              <w:t xml:space="preserve"> </w:t>
            </w:r>
            <w:r>
              <w:rPr>
                <w:sz w:val="21"/>
                <w:szCs w:val="21"/>
                <w:spacing w:val="-1"/>
              </w:rPr>
              <w:t>及场地宜采用混凝土或沥青铺设。</w:t>
            </w:r>
          </w:p>
        </w:tc>
        <w:tc>
          <w:tcPr>
            <w:tcW w:w="4065" w:type="dxa"/>
            <w:vAlign w:val="top"/>
          </w:tcPr>
          <w:p>
            <w:pPr>
              <w:pStyle w:val="TableText"/>
              <w:ind w:left="14"/>
              <w:spacing w:before="35" w:line="219" w:lineRule="auto"/>
              <w:rPr>
                <w:sz w:val="21"/>
                <w:szCs w:val="21"/>
              </w:rPr>
            </w:pPr>
            <w:r>
              <w:rPr>
                <w:sz w:val="21"/>
                <w:szCs w:val="21"/>
                <w:spacing w:val="-1"/>
              </w:rPr>
              <w:t>屠宰与分割车间所在厂区的路面、场地平</w:t>
            </w:r>
          </w:p>
          <w:p>
            <w:pPr>
              <w:pStyle w:val="TableText"/>
              <w:ind w:left="14" w:right="39"/>
              <w:spacing w:before="30" w:line="217" w:lineRule="auto"/>
              <w:rPr>
                <w:sz w:val="21"/>
                <w:szCs w:val="21"/>
              </w:rPr>
            </w:pPr>
            <w:r>
              <w:rPr>
                <w:sz w:val="21"/>
                <w:szCs w:val="21"/>
              </w:rPr>
              <w:t>整、无积水。主要道路及场地采用混凝土铺</w:t>
            </w:r>
            <w:r>
              <w:rPr>
                <w:sz w:val="21"/>
                <w:szCs w:val="21"/>
                <w:spacing w:val="10"/>
              </w:rPr>
              <w:t xml:space="preserve"> </w:t>
            </w:r>
            <w:r>
              <w:rPr>
                <w:sz w:val="21"/>
                <w:szCs w:val="21"/>
                <w:spacing w:val="-2"/>
              </w:rPr>
              <w:t>设。</w:t>
            </w:r>
          </w:p>
        </w:tc>
        <w:tc>
          <w:tcPr>
            <w:tcW w:w="642" w:type="dxa"/>
            <w:vAlign w:val="top"/>
          </w:tcPr>
          <w:p>
            <w:pPr>
              <w:spacing w:line="245" w:lineRule="auto"/>
              <w:rPr>
                <w:rFonts w:ascii="Arial"/>
                <w:sz w:val="21"/>
              </w:rPr>
            </w:pPr>
            <w:r/>
          </w:p>
          <w:p>
            <w:pPr>
              <w:pStyle w:val="TableText"/>
              <w:ind w:left="98"/>
              <w:spacing w:before="69" w:line="219" w:lineRule="auto"/>
              <w:rPr>
                <w:sz w:val="21"/>
                <w:szCs w:val="21"/>
              </w:rPr>
            </w:pPr>
            <w:r>
              <w:rPr>
                <w:sz w:val="21"/>
                <w:szCs w:val="21"/>
                <w:spacing w:val="-3"/>
              </w:rPr>
              <w:t>符合</w:t>
            </w:r>
          </w:p>
        </w:tc>
      </w:tr>
      <w:tr>
        <w:trPr>
          <w:trHeight w:val="539" w:hRule="atLeast"/>
        </w:trPr>
        <w:tc>
          <w:tcPr>
            <w:tcW w:w="435" w:type="dxa"/>
            <w:vAlign w:val="top"/>
            <w:vMerge w:val="continue"/>
            <w:tcBorders>
              <w:top w:val="nil"/>
              <w:bottom w:val="nil"/>
            </w:tcBorders>
          </w:tcPr>
          <w:p>
            <w:pPr>
              <w:rPr>
                <w:rFonts w:ascii="Arial"/>
                <w:sz w:val="21"/>
              </w:rPr>
            </w:pPr>
            <w:r/>
          </w:p>
        </w:tc>
        <w:tc>
          <w:tcPr>
            <w:tcW w:w="3386" w:type="dxa"/>
            <w:vAlign w:val="top"/>
          </w:tcPr>
          <w:p>
            <w:pPr>
              <w:pStyle w:val="TableText"/>
              <w:ind w:left="9" w:right="123"/>
              <w:spacing w:before="26" w:line="221" w:lineRule="auto"/>
              <w:rPr>
                <w:sz w:val="21"/>
                <w:szCs w:val="21"/>
              </w:rPr>
            </w:pPr>
            <w:r>
              <w:rPr>
                <w:sz w:val="21"/>
                <w:szCs w:val="21"/>
                <w:spacing w:val="-1"/>
              </w:rPr>
              <w:t>3.3.2厂区内建(构)筑物周围、道路</w:t>
            </w:r>
            <w:r>
              <w:rPr>
                <w:sz w:val="21"/>
                <w:szCs w:val="21"/>
                <w:spacing w:val="5"/>
              </w:rPr>
              <w:t xml:space="preserve"> </w:t>
            </w:r>
            <w:r>
              <w:rPr>
                <w:sz w:val="21"/>
                <w:szCs w:val="21"/>
                <w:spacing w:val="-1"/>
              </w:rPr>
              <w:t>的两侧空地均宜绿化。</w:t>
            </w:r>
          </w:p>
        </w:tc>
        <w:tc>
          <w:tcPr>
            <w:tcW w:w="4065" w:type="dxa"/>
            <w:vAlign w:val="top"/>
          </w:tcPr>
          <w:p>
            <w:pPr>
              <w:pStyle w:val="TableText"/>
              <w:ind w:left="14" w:right="271"/>
              <w:spacing w:before="35" w:line="217" w:lineRule="auto"/>
              <w:rPr>
                <w:sz w:val="21"/>
                <w:szCs w:val="21"/>
              </w:rPr>
            </w:pPr>
            <w:r>
              <w:rPr>
                <w:sz w:val="21"/>
                <w:szCs w:val="21"/>
                <w:spacing w:val="-1"/>
              </w:rPr>
              <w:t>厂区内建(构)筑物周围、道路的两侧空地</w:t>
            </w:r>
            <w:r>
              <w:rPr>
                <w:sz w:val="21"/>
                <w:szCs w:val="21"/>
                <w:spacing w:val="7"/>
              </w:rPr>
              <w:t xml:space="preserve"> </w:t>
            </w:r>
            <w:r>
              <w:rPr>
                <w:sz w:val="21"/>
                <w:szCs w:val="21"/>
                <w:spacing w:val="-1"/>
              </w:rPr>
              <w:t>均设置绿化。</w:t>
            </w:r>
          </w:p>
        </w:tc>
        <w:tc>
          <w:tcPr>
            <w:tcW w:w="642" w:type="dxa"/>
            <w:vAlign w:val="top"/>
          </w:tcPr>
          <w:p>
            <w:pPr>
              <w:pStyle w:val="TableText"/>
              <w:ind w:left="98"/>
              <w:spacing w:before="176" w:line="219" w:lineRule="auto"/>
              <w:rPr>
                <w:sz w:val="21"/>
                <w:szCs w:val="21"/>
              </w:rPr>
            </w:pPr>
            <w:r>
              <w:rPr>
                <w:sz w:val="21"/>
                <w:szCs w:val="21"/>
                <w:spacing w:val="-3"/>
              </w:rPr>
              <w:t>符合</w:t>
            </w:r>
          </w:p>
        </w:tc>
      </w:tr>
      <w:tr>
        <w:trPr>
          <w:trHeight w:val="2473" w:hRule="atLeast"/>
        </w:trPr>
        <w:tc>
          <w:tcPr>
            <w:tcW w:w="435" w:type="dxa"/>
            <w:vAlign w:val="top"/>
            <w:vMerge w:val="continue"/>
            <w:tcBorders>
              <w:top w:val="nil"/>
            </w:tcBorders>
          </w:tcPr>
          <w:p>
            <w:pPr>
              <w:rPr>
                <w:rFonts w:ascii="Arial"/>
                <w:sz w:val="21"/>
              </w:rPr>
            </w:pPr>
            <w:r/>
          </w:p>
        </w:tc>
        <w:tc>
          <w:tcPr>
            <w:tcW w:w="3386" w:type="dxa"/>
            <w:vAlign w:val="top"/>
          </w:tcPr>
          <w:p>
            <w:pPr>
              <w:spacing w:line="301" w:lineRule="auto"/>
              <w:rPr>
                <w:rFonts w:ascii="Arial"/>
                <w:sz w:val="21"/>
              </w:rPr>
            </w:pPr>
            <w:r/>
          </w:p>
          <w:p>
            <w:pPr>
              <w:spacing w:line="301" w:lineRule="auto"/>
              <w:rPr>
                <w:rFonts w:ascii="Arial"/>
                <w:sz w:val="21"/>
              </w:rPr>
            </w:pPr>
            <w:r/>
          </w:p>
          <w:p>
            <w:pPr>
              <w:spacing w:line="301" w:lineRule="auto"/>
              <w:rPr>
                <w:rFonts w:ascii="Arial"/>
                <w:sz w:val="21"/>
              </w:rPr>
            </w:pPr>
            <w:r/>
          </w:p>
          <w:p>
            <w:pPr>
              <w:pStyle w:val="TableText"/>
              <w:ind w:left="9"/>
              <w:spacing w:before="68" w:line="268" w:lineRule="auto"/>
              <w:rPr>
                <w:sz w:val="21"/>
                <w:szCs w:val="21"/>
              </w:rPr>
            </w:pPr>
            <w:r>
              <w:rPr>
                <w:sz w:val="21"/>
                <w:szCs w:val="21"/>
                <w:spacing w:val="-6"/>
              </w:rPr>
              <w:t>3.3.3污染物排放应符合国家有关标准</w:t>
            </w:r>
            <w:r>
              <w:rPr>
                <w:sz w:val="21"/>
                <w:szCs w:val="21"/>
                <w:spacing w:val="14"/>
              </w:rPr>
              <w:t xml:space="preserve"> </w:t>
            </w:r>
            <w:r>
              <w:rPr>
                <w:sz w:val="21"/>
                <w:szCs w:val="21"/>
                <w:spacing w:val="-2"/>
              </w:rPr>
              <w:t>的要求。</w:t>
            </w:r>
          </w:p>
        </w:tc>
        <w:tc>
          <w:tcPr>
            <w:tcW w:w="4065" w:type="dxa"/>
            <w:vAlign w:val="top"/>
          </w:tcPr>
          <w:p>
            <w:pPr>
              <w:pStyle w:val="TableText"/>
              <w:ind w:left="14" w:right="60"/>
              <w:spacing w:before="36" w:line="238" w:lineRule="auto"/>
              <w:rPr>
                <w:sz w:val="21"/>
                <w:szCs w:val="21"/>
              </w:rPr>
            </w:pPr>
            <w:r>
              <w:rPr>
                <w:sz w:val="21"/>
                <w:szCs w:val="21"/>
                <w:spacing w:val="-1"/>
              </w:rPr>
              <w:t>本项目废气污染物符合《恶臭污染物排放标</w:t>
            </w:r>
            <w:r>
              <w:rPr>
                <w:sz w:val="21"/>
                <w:szCs w:val="21"/>
                <w:spacing w:val="8"/>
              </w:rPr>
              <w:t xml:space="preserve"> </w:t>
            </w:r>
            <w:r>
              <w:rPr>
                <w:sz w:val="21"/>
                <w:szCs w:val="21"/>
                <w:spacing w:val="-1"/>
              </w:rPr>
              <w:t>准》(GB14554-93)、《锅炉大气污染物排</w:t>
            </w:r>
          </w:p>
          <w:p>
            <w:pPr>
              <w:pStyle w:val="TableText"/>
              <w:ind w:left="14"/>
              <w:spacing w:line="220" w:lineRule="auto"/>
              <w:rPr>
                <w:sz w:val="21"/>
                <w:szCs w:val="21"/>
              </w:rPr>
            </w:pPr>
            <w:r>
              <w:rPr>
                <w:sz w:val="21"/>
                <w:szCs w:val="21"/>
              </w:rPr>
              <w:t>放标准》(GB13271-2014)、《饮食业油烟</w:t>
            </w:r>
          </w:p>
          <w:p>
            <w:pPr>
              <w:pStyle w:val="TableText"/>
              <w:ind w:left="14"/>
              <w:spacing w:before="29" w:line="220" w:lineRule="auto"/>
              <w:rPr>
                <w:sz w:val="21"/>
                <w:szCs w:val="21"/>
              </w:rPr>
            </w:pPr>
            <w:r>
              <w:rPr>
                <w:sz w:val="21"/>
                <w:szCs w:val="21"/>
              </w:rPr>
              <w:t>排放标准(试行)》(GB18483-2001)中相</w:t>
            </w:r>
          </w:p>
          <w:p>
            <w:pPr>
              <w:pStyle w:val="TableText"/>
              <w:ind w:left="14" w:right="41"/>
              <w:spacing w:before="28" w:line="232" w:lineRule="auto"/>
              <w:rPr>
                <w:sz w:val="21"/>
                <w:szCs w:val="21"/>
              </w:rPr>
            </w:pPr>
            <w:r>
              <w:rPr>
                <w:sz w:val="21"/>
                <w:szCs w:val="21"/>
              </w:rPr>
              <w:t>关要求；废水污染物符合《肉类加工工业水</w:t>
            </w:r>
            <w:r>
              <w:rPr>
                <w:sz w:val="21"/>
                <w:szCs w:val="21"/>
                <w:spacing w:val="8"/>
              </w:rPr>
              <w:t xml:space="preserve"> </w:t>
            </w:r>
            <w:r>
              <w:rPr>
                <w:sz w:val="21"/>
                <w:szCs w:val="21"/>
              </w:rPr>
              <w:t>污染物排放标准》(GB13457-92)中相关要</w:t>
            </w:r>
          </w:p>
          <w:p>
            <w:pPr>
              <w:pStyle w:val="TableText"/>
              <w:ind w:left="14" w:right="37"/>
              <w:spacing w:before="13" w:line="237" w:lineRule="auto"/>
              <w:rPr>
                <w:sz w:val="21"/>
                <w:szCs w:val="21"/>
              </w:rPr>
            </w:pPr>
            <w:r>
              <w:rPr>
                <w:sz w:val="21"/>
                <w:szCs w:val="21"/>
              </w:rPr>
              <w:t>求；厂界噪声符合《工业企业厂界环境噪声</w:t>
            </w:r>
            <w:r>
              <w:rPr>
                <w:sz w:val="21"/>
                <w:szCs w:val="21"/>
                <w:spacing w:val="12"/>
              </w:rPr>
              <w:t xml:space="preserve"> </w:t>
            </w:r>
            <w:r>
              <w:rPr>
                <w:sz w:val="21"/>
                <w:szCs w:val="21"/>
                <w:spacing w:val="4"/>
              </w:rPr>
              <w:t>排放标准》(</w:t>
            </w:r>
            <w:r>
              <w:rPr>
                <w:sz w:val="21"/>
                <w:szCs w:val="21"/>
              </w:rPr>
              <w:t>GB</w:t>
            </w:r>
            <w:r>
              <w:rPr>
                <w:sz w:val="21"/>
                <w:szCs w:val="21"/>
                <w:spacing w:val="4"/>
              </w:rPr>
              <w:t>12348-2008)中相关要求；</w:t>
            </w:r>
          </w:p>
          <w:p>
            <w:pPr>
              <w:pStyle w:val="TableText"/>
              <w:ind w:left="14"/>
              <w:spacing w:before="1" w:line="215" w:lineRule="auto"/>
              <w:rPr>
                <w:sz w:val="21"/>
                <w:szCs w:val="21"/>
              </w:rPr>
            </w:pPr>
            <w:r>
              <w:rPr>
                <w:sz w:val="21"/>
                <w:szCs w:val="21"/>
                <w:spacing w:val="1"/>
              </w:rPr>
              <w:t>项目固废按照“三化”原则进行处置，其中</w:t>
            </w:r>
          </w:p>
        </w:tc>
        <w:tc>
          <w:tcPr>
            <w:tcW w:w="642" w:type="dxa"/>
            <w:vAlign w:val="top"/>
          </w:tcPr>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ind w:left="98"/>
              <w:spacing w:before="69" w:line="219" w:lineRule="auto"/>
              <w:rPr>
                <w:sz w:val="21"/>
                <w:szCs w:val="21"/>
              </w:rPr>
            </w:pPr>
            <w:r>
              <w:rPr>
                <w:sz w:val="21"/>
                <w:szCs w:val="21"/>
                <w:spacing w:val="-3"/>
              </w:rPr>
              <w:t>符合</w:t>
            </w:r>
          </w:p>
        </w:tc>
      </w:tr>
    </w:tbl>
    <w:p>
      <w:pPr>
        <w:pStyle w:val="BodyText"/>
        <w:rPr/>
      </w:pPr>
      <w:r/>
    </w:p>
    <w:p>
      <w:pPr>
        <w:sectPr>
          <w:headerReference w:type="default" r:id="rId248"/>
          <w:footerReference w:type="default" r:id="rId249"/>
          <w:pgSz w:w="11910" w:h="16840"/>
          <w:pgMar w:top="1157" w:right="1716" w:bottom="912" w:left="1655" w:header="865" w:footer="741" w:gutter="0"/>
        </w:sectPr>
        <w:rPr/>
      </w:pPr>
    </w:p>
    <w:p>
      <w:pPr>
        <w:spacing w:before="10"/>
        <w:rPr/>
      </w:pPr>
      <w:r/>
    </w:p>
    <w:tbl>
      <w:tblPr>
        <w:tblStyle w:val="TableNormal"/>
        <w:tblW w:w="8528" w:type="dxa"/>
        <w:tblInd w:w="12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44"/>
        <w:gridCol w:w="2118"/>
        <w:gridCol w:w="1289"/>
        <w:gridCol w:w="4035"/>
        <w:gridCol w:w="642"/>
      </w:tblGrid>
      <w:tr>
        <w:trPr>
          <w:trHeight w:val="275" w:hRule="atLeast"/>
        </w:trPr>
        <w:tc>
          <w:tcPr>
            <w:shd w:val="clear" w:fill="BDBDBD"/>
            <w:tcW w:w="3851" w:type="dxa"/>
            <w:vAlign w:val="top"/>
            <w:gridSpan w:val="3"/>
          </w:tcPr>
          <w:p>
            <w:pPr>
              <w:pStyle w:val="TableText"/>
              <w:ind w:left="1507"/>
              <w:spacing w:before="30" w:line="206" w:lineRule="auto"/>
              <w:rPr>
                <w:sz w:val="21"/>
                <w:szCs w:val="21"/>
              </w:rPr>
            </w:pPr>
            <w:r>
              <w:rPr>
                <w:sz w:val="21"/>
                <w:szCs w:val="21"/>
                <w:b/>
                <w:bCs/>
                <w:spacing w:val="-5"/>
              </w:rPr>
              <w:t>文件要求</w:t>
            </w:r>
          </w:p>
        </w:tc>
        <w:tc>
          <w:tcPr>
            <w:shd w:val="clear" w:fill="BDBDBD"/>
            <w:tcW w:w="4035" w:type="dxa"/>
            <w:vAlign w:val="top"/>
          </w:tcPr>
          <w:p>
            <w:pPr>
              <w:pStyle w:val="TableText"/>
              <w:ind w:left="1496"/>
              <w:spacing w:before="29" w:line="207" w:lineRule="auto"/>
              <w:rPr>
                <w:sz w:val="21"/>
                <w:szCs w:val="21"/>
              </w:rPr>
            </w:pPr>
            <w:r>
              <w:rPr>
                <w:sz w:val="21"/>
                <w:szCs w:val="21"/>
                <w:b/>
                <w:bCs/>
                <w:spacing w:val="-4"/>
              </w:rPr>
              <w:t>本项目情况</w:t>
            </w:r>
          </w:p>
        </w:tc>
        <w:tc>
          <w:tcPr>
            <w:shd w:val="clear" w:fill="BDBDBD"/>
            <w:tcW w:w="642" w:type="dxa"/>
            <w:vAlign w:val="top"/>
          </w:tcPr>
          <w:p>
            <w:pPr>
              <w:pStyle w:val="TableText"/>
              <w:spacing w:before="30" w:line="206" w:lineRule="auto"/>
              <w:jc w:val="right"/>
              <w:rPr>
                <w:sz w:val="21"/>
                <w:szCs w:val="21"/>
              </w:rPr>
            </w:pPr>
            <w:r>
              <w:rPr>
                <w:sz w:val="21"/>
                <w:szCs w:val="21"/>
                <w:b/>
                <w:bCs/>
                <w:spacing w:val="-9"/>
              </w:rPr>
              <w:t>符合性</w:t>
            </w:r>
          </w:p>
        </w:tc>
      </w:tr>
      <w:tr>
        <w:trPr>
          <w:trHeight w:val="819" w:hRule="atLeast"/>
        </w:trPr>
        <w:tc>
          <w:tcPr>
            <w:tcW w:w="444" w:type="dxa"/>
            <w:vAlign w:val="top"/>
            <w:vMerge w:val="restart"/>
            <w:tcBorders>
              <w:bottom w:val="nil"/>
            </w:tcBorders>
          </w:tcPr>
          <w:p>
            <w:pPr>
              <w:rPr>
                <w:rFonts w:ascii="Arial"/>
                <w:sz w:val="21"/>
              </w:rPr>
            </w:pPr>
            <w:r/>
          </w:p>
        </w:tc>
        <w:tc>
          <w:tcPr>
            <w:tcW w:w="3407" w:type="dxa"/>
            <w:vAlign w:val="top"/>
            <w:gridSpan w:val="2"/>
          </w:tcPr>
          <w:p>
            <w:pPr>
              <w:rPr>
                <w:rFonts w:ascii="Arial"/>
                <w:sz w:val="21"/>
              </w:rPr>
            </w:pPr>
            <w:r/>
          </w:p>
        </w:tc>
        <w:tc>
          <w:tcPr>
            <w:tcW w:w="4035" w:type="dxa"/>
            <w:vAlign w:val="top"/>
          </w:tcPr>
          <w:p>
            <w:pPr>
              <w:pStyle w:val="TableText"/>
              <w:ind w:left="3" w:right="225"/>
              <w:spacing w:before="27" w:line="229" w:lineRule="auto"/>
              <w:jc w:val="both"/>
              <w:rPr>
                <w:sz w:val="21"/>
                <w:szCs w:val="21"/>
              </w:rPr>
            </w:pPr>
            <w:r>
              <w:rPr>
                <w:sz w:val="21"/>
                <w:szCs w:val="21"/>
              </w:rPr>
              <w:t>危险废物暂存于危废暂存间，定期交有资</w:t>
            </w:r>
            <w:r>
              <w:rPr>
                <w:sz w:val="21"/>
                <w:szCs w:val="21"/>
                <w:spacing w:val="14"/>
              </w:rPr>
              <w:t xml:space="preserve"> </w:t>
            </w:r>
            <w:r>
              <w:rPr>
                <w:sz w:val="21"/>
                <w:szCs w:val="21"/>
                <w:spacing w:val="-1"/>
              </w:rPr>
              <w:t>质的单位处置；一般固废实现资源化、无</w:t>
            </w:r>
            <w:r>
              <w:rPr>
                <w:sz w:val="21"/>
                <w:szCs w:val="21"/>
                <w:spacing w:val="7"/>
              </w:rPr>
              <w:t xml:space="preserve"> </w:t>
            </w:r>
            <w:r>
              <w:rPr>
                <w:sz w:val="21"/>
                <w:szCs w:val="21"/>
                <w:spacing w:val="1"/>
              </w:rPr>
              <w:t>害化处置。</w:t>
            </w:r>
          </w:p>
        </w:tc>
        <w:tc>
          <w:tcPr>
            <w:tcW w:w="642" w:type="dxa"/>
            <w:vAlign w:val="top"/>
          </w:tcPr>
          <w:p>
            <w:pPr>
              <w:rPr>
                <w:rFonts w:ascii="Arial"/>
                <w:sz w:val="21"/>
              </w:rPr>
            </w:pPr>
            <w:r/>
          </w:p>
        </w:tc>
      </w:tr>
      <w:tr>
        <w:trPr>
          <w:trHeight w:val="1648" w:hRule="atLeast"/>
        </w:trPr>
        <w:tc>
          <w:tcPr>
            <w:tcW w:w="444" w:type="dxa"/>
            <w:vAlign w:val="top"/>
            <w:vMerge w:val="continue"/>
            <w:tcBorders>
              <w:top w:val="nil"/>
              <w:bottom w:val="nil"/>
            </w:tcBorders>
          </w:tcPr>
          <w:p>
            <w:pPr>
              <w:rPr>
                <w:rFonts w:ascii="Arial"/>
                <w:sz w:val="21"/>
              </w:rPr>
            </w:pPr>
            <w:r/>
          </w:p>
        </w:tc>
        <w:tc>
          <w:tcPr>
            <w:tcW w:w="3407" w:type="dxa"/>
            <w:vAlign w:val="top"/>
            <w:gridSpan w:val="2"/>
          </w:tcPr>
          <w:p>
            <w:pPr>
              <w:pStyle w:val="TableText"/>
              <w:ind w:left="10"/>
              <w:spacing w:before="40" w:line="234" w:lineRule="auto"/>
              <w:jc w:val="both"/>
              <w:rPr>
                <w:sz w:val="21"/>
                <w:szCs w:val="21"/>
              </w:rPr>
            </w:pPr>
            <w:r>
              <w:rPr>
                <w:sz w:val="21"/>
                <w:szCs w:val="21"/>
                <w:spacing w:val="-5"/>
              </w:rPr>
              <w:t>3.3.4厂内应在远离屠宰与分割车间的</w:t>
            </w:r>
            <w:r>
              <w:rPr>
                <w:sz w:val="21"/>
                <w:szCs w:val="21"/>
                <w:spacing w:val="15"/>
              </w:rPr>
              <w:t xml:space="preserve"> </w:t>
            </w:r>
            <w:r>
              <w:rPr>
                <w:sz w:val="21"/>
                <w:szCs w:val="21"/>
              </w:rPr>
              <w:t>非清洁区内设有畜类、废弃物等的暂 </w:t>
            </w:r>
            <w:r>
              <w:rPr>
                <w:sz w:val="21"/>
                <w:szCs w:val="21"/>
                <w:spacing w:val="-1"/>
              </w:rPr>
              <w:t>时集存场所，其地面、围墙或池壁应</w:t>
            </w:r>
            <w:r>
              <w:rPr>
                <w:sz w:val="21"/>
                <w:szCs w:val="21"/>
                <w:spacing w:val="13"/>
              </w:rPr>
              <w:t xml:space="preserve"> </w:t>
            </w:r>
            <w:r>
              <w:rPr>
                <w:sz w:val="21"/>
                <w:szCs w:val="21"/>
                <w:spacing w:val="-2"/>
              </w:rPr>
              <w:t>便于冲洗消毒。运送废弃物的车辆应</w:t>
            </w:r>
            <w:r>
              <w:rPr>
                <w:sz w:val="21"/>
                <w:szCs w:val="21"/>
                <w:spacing w:val="11"/>
              </w:rPr>
              <w:t xml:space="preserve"> </w:t>
            </w:r>
            <w:r>
              <w:rPr>
                <w:sz w:val="21"/>
                <w:szCs w:val="21"/>
                <w:spacing w:val="-2"/>
              </w:rPr>
              <w:t>密闭，并应配备清洗消毒设施及存放</w:t>
            </w:r>
            <w:r>
              <w:rPr>
                <w:sz w:val="21"/>
                <w:szCs w:val="21"/>
                <w:spacing w:val="11"/>
              </w:rPr>
              <w:t xml:space="preserve"> </w:t>
            </w:r>
            <w:r>
              <w:rPr>
                <w:sz w:val="21"/>
                <w:szCs w:val="21"/>
                <w:spacing w:val="-2"/>
              </w:rPr>
              <w:t>场所。</w:t>
            </w:r>
          </w:p>
        </w:tc>
        <w:tc>
          <w:tcPr>
            <w:tcW w:w="4035" w:type="dxa"/>
            <w:vAlign w:val="top"/>
          </w:tcPr>
          <w:p>
            <w:pPr>
              <w:rPr>
                <w:rFonts w:ascii="Arial"/>
                <w:sz w:val="21"/>
              </w:rPr>
            </w:pPr>
            <w:r/>
          </w:p>
          <w:p>
            <w:pPr>
              <w:pStyle w:val="TableText"/>
              <w:ind w:left="3" w:right="4"/>
              <w:spacing w:before="68" w:line="247" w:lineRule="auto"/>
              <w:jc w:val="both"/>
              <w:rPr>
                <w:sz w:val="21"/>
                <w:szCs w:val="21"/>
              </w:rPr>
            </w:pPr>
            <w:r>
              <w:rPr>
                <w:sz w:val="21"/>
                <w:szCs w:val="21"/>
              </w:rPr>
              <w:t>畜类、废弃物等的暂时集存场所设置在屠宰</w:t>
            </w:r>
            <w:r>
              <w:rPr>
                <w:sz w:val="21"/>
                <w:szCs w:val="21"/>
                <w:spacing w:val="15"/>
              </w:rPr>
              <w:t xml:space="preserve"> </w:t>
            </w:r>
            <w:r>
              <w:rPr>
                <w:sz w:val="21"/>
                <w:szCs w:val="21"/>
              </w:rPr>
              <w:t>与分割车间外非清洁区内，其地面与围墙便</w:t>
            </w:r>
            <w:r>
              <w:rPr>
                <w:sz w:val="21"/>
                <w:szCs w:val="21"/>
                <w:spacing w:val="8"/>
              </w:rPr>
              <w:t xml:space="preserve"> </w:t>
            </w:r>
            <w:r>
              <w:rPr>
                <w:sz w:val="21"/>
                <w:szCs w:val="21"/>
                <w:spacing w:val="1"/>
              </w:rPr>
              <w:t>于清洗、消毒，厂区出入口设置运送车辆的</w:t>
            </w:r>
            <w:r>
              <w:rPr>
                <w:sz w:val="21"/>
                <w:szCs w:val="21"/>
                <w:spacing w:val="6"/>
              </w:rPr>
              <w:t xml:space="preserve"> </w:t>
            </w:r>
            <w:r>
              <w:rPr>
                <w:sz w:val="21"/>
                <w:szCs w:val="21"/>
              </w:rPr>
              <w:t>清洗消毒池。</w:t>
            </w:r>
          </w:p>
        </w:tc>
        <w:tc>
          <w:tcPr>
            <w:tcW w:w="642" w:type="dxa"/>
            <w:vAlign w:val="top"/>
          </w:tcPr>
          <w:p>
            <w:pPr>
              <w:spacing w:line="323" w:lineRule="auto"/>
              <w:rPr>
                <w:rFonts w:ascii="Arial"/>
                <w:sz w:val="21"/>
              </w:rPr>
            </w:pPr>
            <w:r/>
          </w:p>
          <w:p>
            <w:pPr>
              <w:spacing w:line="324" w:lineRule="auto"/>
              <w:rPr>
                <w:rFonts w:ascii="Arial"/>
                <w:sz w:val="21"/>
              </w:rPr>
            </w:pPr>
            <w:r/>
          </w:p>
          <w:p>
            <w:pPr>
              <w:pStyle w:val="TableText"/>
              <w:ind w:left="98"/>
              <w:spacing w:before="68" w:line="219" w:lineRule="auto"/>
              <w:rPr>
                <w:sz w:val="21"/>
                <w:szCs w:val="21"/>
              </w:rPr>
            </w:pPr>
            <w:r>
              <w:rPr>
                <w:sz w:val="21"/>
                <w:szCs w:val="21"/>
                <w:spacing w:val="-3"/>
              </w:rPr>
              <w:t>符合</w:t>
            </w:r>
          </w:p>
        </w:tc>
      </w:tr>
      <w:tr>
        <w:trPr>
          <w:trHeight w:val="1368" w:hRule="atLeast"/>
        </w:trPr>
        <w:tc>
          <w:tcPr>
            <w:tcW w:w="444" w:type="dxa"/>
            <w:vAlign w:val="top"/>
            <w:vMerge w:val="continue"/>
            <w:tcBorders>
              <w:top w:val="nil"/>
            </w:tcBorders>
          </w:tcPr>
          <w:p>
            <w:pPr>
              <w:rPr>
                <w:rFonts w:ascii="Arial"/>
                <w:sz w:val="21"/>
              </w:rPr>
            </w:pPr>
            <w:r/>
          </w:p>
        </w:tc>
        <w:tc>
          <w:tcPr>
            <w:tcW w:w="3407" w:type="dxa"/>
            <w:vAlign w:val="top"/>
            <w:gridSpan w:val="2"/>
          </w:tcPr>
          <w:p>
            <w:pPr>
              <w:pStyle w:val="TableText"/>
              <w:ind w:left="10"/>
              <w:spacing w:before="32" w:line="239" w:lineRule="auto"/>
              <w:rPr>
                <w:sz w:val="21"/>
                <w:szCs w:val="21"/>
              </w:rPr>
            </w:pPr>
            <w:r>
              <w:rPr>
                <w:sz w:val="21"/>
                <w:szCs w:val="21"/>
                <w:spacing w:val="-5"/>
              </w:rPr>
              <w:t>3.3.5原料接收区应设有车辆清洗、消</w:t>
            </w:r>
            <w:r>
              <w:rPr>
                <w:sz w:val="21"/>
                <w:szCs w:val="21"/>
                <w:spacing w:val="15"/>
              </w:rPr>
              <w:t xml:space="preserve"> </w:t>
            </w:r>
            <w:r>
              <w:rPr>
                <w:sz w:val="21"/>
                <w:szCs w:val="21"/>
              </w:rPr>
              <w:t>毒设施。生猪进厂的入口处应设置与</w:t>
            </w:r>
            <w:r>
              <w:rPr>
                <w:sz w:val="21"/>
                <w:szCs w:val="21"/>
                <w:spacing w:val="1"/>
              </w:rPr>
              <w:t xml:space="preserve"> </w:t>
            </w:r>
            <w:r>
              <w:rPr>
                <w:sz w:val="21"/>
                <w:szCs w:val="21"/>
                <w:spacing w:val="-1"/>
              </w:rPr>
              <w:t>门同宽、长不小于3.00m、深</w:t>
            </w:r>
          </w:p>
          <w:p>
            <w:pPr>
              <w:pStyle w:val="TableText"/>
              <w:ind w:left="10" w:right="245"/>
              <w:spacing w:line="224" w:lineRule="auto"/>
              <w:rPr>
                <w:sz w:val="21"/>
                <w:szCs w:val="21"/>
              </w:rPr>
            </w:pPr>
            <w:r>
              <w:rPr>
                <w:sz w:val="21"/>
                <w:szCs w:val="21"/>
                <w:spacing w:val="-1"/>
              </w:rPr>
              <w:t>0.10~0.15)m,且能排放消毒液的车</w:t>
            </w:r>
            <w:r>
              <w:rPr>
                <w:sz w:val="21"/>
                <w:szCs w:val="21"/>
                <w:spacing w:val="10"/>
              </w:rPr>
              <w:t xml:space="preserve"> </w:t>
            </w:r>
            <w:r>
              <w:rPr>
                <w:sz w:val="21"/>
                <w:szCs w:val="21"/>
                <w:spacing w:val="-1"/>
              </w:rPr>
              <w:t>轮消毒池。</w:t>
            </w:r>
          </w:p>
        </w:tc>
        <w:tc>
          <w:tcPr>
            <w:tcW w:w="4035" w:type="dxa"/>
            <w:vAlign w:val="top"/>
          </w:tcPr>
          <w:p>
            <w:pPr>
              <w:pStyle w:val="TableText"/>
              <w:ind w:left="3" w:firstLine="9"/>
              <w:spacing w:before="170" w:line="250" w:lineRule="auto"/>
              <w:jc w:val="both"/>
              <w:rPr>
                <w:sz w:val="21"/>
                <w:szCs w:val="21"/>
              </w:rPr>
            </w:pPr>
            <w:r>
              <w:rPr>
                <w:sz w:val="21"/>
                <w:szCs w:val="21"/>
                <w:spacing w:val="-4"/>
              </w:rPr>
              <w:t>原料接收区设有车辆清洗、消毒设施；生猪</w:t>
            </w:r>
            <w:r>
              <w:rPr>
                <w:sz w:val="21"/>
                <w:szCs w:val="21"/>
                <w:spacing w:val="11"/>
              </w:rPr>
              <w:t xml:space="preserve"> </w:t>
            </w:r>
            <w:r>
              <w:rPr>
                <w:sz w:val="21"/>
                <w:szCs w:val="21"/>
                <w:spacing w:val="1"/>
              </w:rPr>
              <w:t>进厂的入口处依托原项目设置底部长4.0m、</w:t>
            </w:r>
            <w:r>
              <w:rPr>
                <w:sz w:val="21"/>
                <w:szCs w:val="21"/>
                <w:spacing w:val="9"/>
              </w:rPr>
              <w:t xml:space="preserve"> </w:t>
            </w:r>
            <w:r>
              <w:rPr>
                <w:sz w:val="21"/>
                <w:szCs w:val="21"/>
                <w:spacing w:val="-3"/>
              </w:rPr>
              <w:t>深0.3m,与门同宽且能排放消毒液的车轮消</w:t>
            </w:r>
            <w:r>
              <w:rPr>
                <w:sz w:val="21"/>
                <w:szCs w:val="21"/>
                <w:spacing w:val="8"/>
              </w:rPr>
              <w:t xml:space="preserve">  </w:t>
            </w:r>
            <w:r>
              <w:rPr>
                <w:sz w:val="21"/>
                <w:szCs w:val="21"/>
                <w:spacing w:val="-4"/>
              </w:rPr>
              <w:t>毒池，能满足本项目消毒要求。</w:t>
            </w:r>
          </w:p>
        </w:tc>
        <w:tc>
          <w:tcPr>
            <w:tcW w:w="642" w:type="dxa"/>
            <w:vAlign w:val="top"/>
          </w:tcPr>
          <w:p>
            <w:pPr>
              <w:spacing w:line="255" w:lineRule="auto"/>
              <w:rPr>
                <w:rFonts w:ascii="Arial"/>
                <w:sz w:val="21"/>
              </w:rPr>
            </w:pPr>
            <w:r/>
          </w:p>
          <w:p>
            <w:pPr>
              <w:spacing w:line="255" w:lineRule="auto"/>
              <w:rPr>
                <w:rFonts w:ascii="Arial"/>
                <w:sz w:val="21"/>
              </w:rPr>
            </w:pPr>
            <w:r/>
          </w:p>
          <w:p>
            <w:pPr>
              <w:pStyle w:val="TableText"/>
              <w:ind w:left="98"/>
              <w:spacing w:before="68" w:line="219" w:lineRule="auto"/>
              <w:rPr>
                <w:sz w:val="21"/>
                <w:szCs w:val="21"/>
              </w:rPr>
            </w:pPr>
            <w:r>
              <w:rPr>
                <w:sz w:val="21"/>
                <w:szCs w:val="21"/>
                <w:spacing w:val="-3"/>
              </w:rPr>
              <w:t>符合</w:t>
            </w:r>
          </w:p>
        </w:tc>
      </w:tr>
      <w:tr>
        <w:trPr>
          <w:trHeight w:val="539" w:hRule="atLeast"/>
        </w:trPr>
        <w:tc>
          <w:tcPr>
            <w:tcW w:w="444" w:type="dxa"/>
            <w:vAlign w:val="top"/>
            <w:vMerge w:val="restart"/>
            <w:tcBorders>
              <w:bottom w:val="nil"/>
            </w:tcBorders>
          </w:tcPr>
          <w:p>
            <w:pPr>
              <w:spacing w:line="423" w:lineRule="auto"/>
              <w:rPr>
                <w:rFonts w:ascii="Arial"/>
                <w:sz w:val="21"/>
              </w:rPr>
            </w:pPr>
            <w:r/>
          </w:p>
          <w:p>
            <w:pPr>
              <w:pStyle w:val="TableText"/>
              <w:ind w:left="15" w:firstLine="38"/>
              <w:spacing w:before="69" w:line="197" w:lineRule="auto"/>
              <w:rPr>
                <w:sz w:val="21"/>
                <w:szCs w:val="21"/>
              </w:rPr>
            </w:pPr>
            <w:r>
              <w:rPr>
                <w:sz w:val="21"/>
                <w:szCs w:val="21"/>
                <w:spacing w:val="-7"/>
              </w:rPr>
              <w:t>4.4</w:t>
            </w:r>
            <w:r>
              <w:rPr>
                <w:sz w:val="21"/>
                <w:szCs w:val="21"/>
              </w:rPr>
              <w:t xml:space="preserve">  </w:t>
            </w:r>
            <w:r>
              <w:rPr>
                <w:sz w:val="21"/>
                <w:szCs w:val="21"/>
                <w:spacing w:val="-1"/>
              </w:rPr>
              <w:t>屠宰</w:t>
            </w:r>
          </w:p>
          <w:p>
            <w:pPr>
              <w:pStyle w:val="TableText"/>
              <w:spacing w:before="30" w:line="219" w:lineRule="auto"/>
              <w:jc w:val="right"/>
              <w:rPr>
                <w:sz w:val="21"/>
                <w:szCs w:val="21"/>
              </w:rPr>
            </w:pPr>
            <w:r>
              <w:rPr>
                <w:sz w:val="21"/>
                <w:szCs w:val="21"/>
                <w:spacing w:val="-1"/>
              </w:rPr>
              <w:t>车间</w:t>
            </w:r>
          </w:p>
        </w:tc>
        <w:tc>
          <w:tcPr>
            <w:tcW w:w="2118" w:type="dxa"/>
            <w:vAlign w:val="top"/>
          </w:tcPr>
          <w:p>
            <w:pPr>
              <w:pStyle w:val="TableText"/>
              <w:ind w:left="183"/>
              <w:spacing w:before="170" w:line="219" w:lineRule="auto"/>
              <w:rPr>
                <w:sz w:val="21"/>
                <w:szCs w:val="21"/>
              </w:rPr>
            </w:pPr>
            <w:r>
              <w:rPr>
                <w:sz w:val="21"/>
                <w:szCs w:val="21"/>
                <w:b/>
                <w:bCs/>
                <w:spacing w:val="2"/>
              </w:rPr>
              <w:t>按1h屠宰量(头)</w:t>
            </w:r>
          </w:p>
        </w:tc>
        <w:tc>
          <w:tcPr>
            <w:tcW w:w="1289" w:type="dxa"/>
            <w:vAlign w:val="top"/>
          </w:tcPr>
          <w:p>
            <w:pPr>
              <w:pStyle w:val="TableText"/>
              <w:ind w:left="165" w:right="20" w:hanging="160"/>
              <w:spacing w:before="30" w:line="219" w:lineRule="auto"/>
              <w:rPr>
                <w:sz w:val="21"/>
                <w:szCs w:val="21"/>
              </w:rPr>
            </w:pPr>
            <w:r>
              <w:rPr>
                <w:sz w:val="21"/>
                <w:szCs w:val="21"/>
                <w:b/>
                <w:bCs/>
                <w:spacing w:val="-4"/>
              </w:rPr>
              <w:t>平均每头建筑</w:t>
            </w:r>
            <w:r>
              <w:rPr>
                <w:sz w:val="21"/>
                <w:szCs w:val="21"/>
                <w:spacing w:val="2"/>
              </w:rPr>
              <w:t xml:space="preserve"> </w:t>
            </w:r>
            <w:r>
              <w:rPr>
                <w:sz w:val="21"/>
                <w:szCs w:val="21"/>
                <w:b/>
                <w:bCs/>
                <w:spacing w:val="21"/>
              </w:rPr>
              <w:t>面积(m²)</w:t>
            </w:r>
          </w:p>
        </w:tc>
        <w:tc>
          <w:tcPr>
            <w:tcW w:w="4035" w:type="dxa"/>
            <w:vAlign w:val="top"/>
            <w:vMerge w:val="restart"/>
            <w:tcBorders>
              <w:bottom w:val="nil"/>
            </w:tcBorders>
          </w:tcPr>
          <w:p>
            <w:pPr>
              <w:pStyle w:val="TableText"/>
              <w:ind w:left="3" w:right="40"/>
              <w:spacing w:before="193" w:line="236" w:lineRule="auto"/>
              <w:rPr>
                <w:sz w:val="21"/>
                <w:szCs w:val="21"/>
              </w:rPr>
            </w:pPr>
            <w:r>
              <w:rPr>
                <w:sz w:val="21"/>
                <w:szCs w:val="21"/>
                <w:spacing w:val="-1"/>
              </w:rPr>
              <w:t>本项目年屠宰40万头生猪，生猪屠宰车间建</w:t>
            </w:r>
            <w:r>
              <w:rPr>
                <w:sz w:val="21"/>
                <w:szCs w:val="21"/>
                <w:spacing w:val="9"/>
              </w:rPr>
              <w:t xml:space="preserve"> </w:t>
            </w:r>
            <w:r>
              <w:rPr>
                <w:sz w:val="21"/>
                <w:szCs w:val="21"/>
                <w:spacing w:val="5"/>
              </w:rPr>
              <w:t>筑面积为1554m²,则本项目淡季屠宰量为</w:t>
            </w:r>
          </w:p>
          <w:p>
            <w:pPr>
              <w:pStyle w:val="TableText"/>
              <w:ind w:left="3"/>
              <w:spacing w:line="216" w:lineRule="auto"/>
              <w:rPr>
                <w:sz w:val="21"/>
                <w:szCs w:val="21"/>
              </w:rPr>
            </w:pPr>
            <w:r>
              <w:rPr>
                <w:sz w:val="21"/>
                <w:szCs w:val="21"/>
                <w:spacing w:val="7"/>
              </w:rPr>
              <w:t>25头h,对应平均每头建筑面积为12m²;</w:t>
            </w:r>
          </w:p>
          <w:p>
            <w:pPr>
              <w:pStyle w:val="TableText"/>
              <w:ind w:left="3" w:right="122" w:firstLine="10"/>
              <w:spacing w:before="34" w:line="252" w:lineRule="auto"/>
              <w:rPr>
                <w:sz w:val="21"/>
                <w:szCs w:val="21"/>
              </w:rPr>
            </w:pPr>
            <w:r>
              <w:rPr>
                <w:sz w:val="21"/>
                <w:szCs w:val="21"/>
              </w:rPr>
              <w:t>旺季屠宰量为180头h,对应平均每头建筑面</w:t>
            </w:r>
            <w:r>
              <w:rPr>
                <w:sz w:val="21"/>
                <w:szCs w:val="21"/>
                <w:spacing w:val="2"/>
              </w:rPr>
              <w:t xml:space="preserve"> </w:t>
            </w:r>
            <w:r>
              <w:rPr>
                <w:sz w:val="21"/>
                <w:szCs w:val="21"/>
                <w:spacing w:val="18"/>
              </w:rPr>
              <w:t>积为8m²。</w:t>
            </w:r>
          </w:p>
        </w:tc>
        <w:tc>
          <w:tcPr>
            <w:tcW w:w="642" w:type="dxa"/>
            <w:vAlign w:val="top"/>
            <w:vMerge w:val="restart"/>
            <w:tcBorders>
              <w:bottom w:val="nil"/>
            </w:tcBorders>
          </w:tcPr>
          <w:p>
            <w:pPr>
              <w:spacing w:line="335" w:lineRule="auto"/>
              <w:rPr>
                <w:rFonts w:ascii="Arial"/>
                <w:sz w:val="21"/>
              </w:rPr>
            </w:pPr>
            <w:r/>
          </w:p>
          <w:p>
            <w:pPr>
              <w:spacing w:line="336" w:lineRule="auto"/>
              <w:rPr>
                <w:rFonts w:ascii="Arial"/>
                <w:sz w:val="21"/>
              </w:rPr>
            </w:pPr>
            <w:r/>
          </w:p>
          <w:p>
            <w:pPr>
              <w:pStyle w:val="TableText"/>
              <w:ind w:left="98"/>
              <w:spacing w:before="68" w:line="219" w:lineRule="auto"/>
              <w:rPr>
                <w:sz w:val="21"/>
                <w:szCs w:val="21"/>
              </w:rPr>
            </w:pPr>
            <w:r>
              <w:rPr>
                <w:sz w:val="21"/>
                <w:szCs w:val="21"/>
                <w:spacing w:val="-3"/>
              </w:rPr>
              <w:t>符合</w:t>
            </w:r>
          </w:p>
        </w:tc>
      </w:tr>
      <w:tr>
        <w:trPr>
          <w:trHeight w:val="280" w:hRule="atLeast"/>
        </w:trPr>
        <w:tc>
          <w:tcPr>
            <w:tcW w:w="444" w:type="dxa"/>
            <w:vAlign w:val="top"/>
            <w:vMerge w:val="continue"/>
            <w:tcBorders>
              <w:top w:val="nil"/>
              <w:bottom w:val="nil"/>
            </w:tcBorders>
          </w:tcPr>
          <w:p>
            <w:pPr>
              <w:rPr>
                <w:rFonts w:ascii="Arial"/>
                <w:sz w:val="21"/>
              </w:rPr>
            </w:pPr>
            <w:r/>
          </w:p>
        </w:tc>
        <w:tc>
          <w:tcPr>
            <w:tcW w:w="2118" w:type="dxa"/>
            <w:vAlign w:val="top"/>
          </w:tcPr>
          <w:p>
            <w:pPr>
              <w:pStyle w:val="TableText"/>
              <w:ind w:left="570"/>
              <w:spacing w:before="48" w:line="195" w:lineRule="auto"/>
              <w:rPr>
                <w:sz w:val="21"/>
                <w:szCs w:val="21"/>
              </w:rPr>
            </w:pPr>
            <w:r>
              <w:rPr>
                <w:sz w:val="21"/>
                <w:szCs w:val="21"/>
                <w:spacing w:val="2"/>
              </w:rPr>
              <w:t>300及以上</w:t>
            </w:r>
          </w:p>
        </w:tc>
        <w:tc>
          <w:tcPr>
            <w:tcW w:w="1289" w:type="dxa"/>
            <w:vAlign w:val="top"/>
          </w:tcPr>
          <w:p>
            <w:pPr>
              <w:pStyle w:val="TableText"/>
              <w:ind w:left="163"/>
              <w:spacing w:before="65" w:line="180" w:lineRule="auto"/>
              <w:rPr>
                <w:sz w:val="21"/>
                <w:szCs w:val="21"/>
              </w:rPr>
            </w:pPr>
            <w:r>
              <w:rPr>
                <w:sz w:val="21"/>
                <w:szCs w:val="21"/>
                <w:spacing w:val="-3"/>
              </w:rPr>
              <w:t>1.20~1.00</w:t>
            </w:r>
          </w:p>
        </w:tc>
        <w:tc>
          <w:tcPr>
            <w:tcW w:w="4035" w:type="dxa"/>
            <w:vAlign w:val="top"/>
            <w:vMerge w:val="continue"/>
            <w:tcBorders>
              <w:top w:val="nil"/>
              <w:bottom w:val="nil"/>
            </w:tcBorders>
          </w:tcPr>
          <w:p>
            <w:pPr>
              <w:rPr>
                <w:rFonts w:ascii="Arial"/>
                <w:sz w:val="21"/>
              </w:rPr>
            </w:pPr>
            <w:r/>
          </w:p>
        </w:tc>
        <w:tc>
          <w:tcPr>
            <w:tcW w:w="642" w:type="dxa"/>
            <w:vAlign w:val="top"/>
            <w:vMerge w:val="continue"/>
            <w:tcBorders>
              <w:top w:val="nil"/>
              <w:bottom w:val="nil"/>
            </w:tcBorders>
          </w:tcPr>
          <w:p>
            <w:pPr>
              <w:rPr>
                <w:rFonts w:ascii="Arial"/>
                <w:sz w:val="21"/>
              </w:rPr>
            </w:pPr>
            <w:r/>
          </w:p>
        </w:tc>
      </w:tr>
      <w:tr>
        <w:trPr>
          <w:trHeight w:val="270" w:hRule="atLeast"/>
        </w:trPr>
        <w:tc>
          <w:tcPr>
            <w:tcW w:w="444" w:type="dxa"/>
            <w:vAlign w:val="top"/>
            <w:vMerge w:val="continue"/>
            <w:tcBorders>
              <w:top w:val="nil"/>
              <w:bottom w:val="nil"/>
            </w:tcBorders>
          </w:tcPr>
          <w:p>
            <w:pPr>
              <w:rPr>
                <w:rFonts w:ascii="Arial"/>
                <w:sz w:val="21"/>
              </w:rPr>
            </w:pPr>
            <w:r/>
          </w:p>
        </w:tc>
        <w:tc>
          <w:tcPr>
            <w:tcW w:w="2118" w:type="dxa"/>
            <w:vAlign w:val="top"/>
          </w:tcPr>
          <w:p>
            <w:pPr>
              <w:pStyle w:val="TableText"/>
              <w:ind w:left="310"/>
              <w:spacing w:before="34" w:line="198" w:lineRule="auto"/>
              <w:rPr>
                <w:sz w:val="21"/>
                <w:szCs w:val="21"/>
              </w:rPr>
            </w:pPr>
            <w:r>
              <w:rPr>
                <w:sz w:val="21"/>
                <w:szCs w:val="21"/>
              </w:rPr>
              <w:t>120(含120)~300</w:t>
            </w:r>
          </w:p>
        </w:tc>
        <w:tc>
          <w:tcPr>
            <w:tcW w:w="1289" w:type="dxa"/>
            <w:vAlign w:val="top"/>
          </w:tcPr>
          <w:p>
            <w:pPr>
              <w:pStyle w:val="TableText"/>
              <w:ind w:left="163"/>
              <w:spacing w:before="55" w:line="180" w:lineRule="auto"/>
              <w:rPr>
                <w:sz w:val="21"/>
                <w:szCs w:val="21"/>
              </w:rPr>
            </w:pPr>
            <w:r>
              <w:rPr>
                <w:sz w:val="21"/>
                <w:szCs w:val="21"/>
                <w:spacing w:val="-3"/>
              </w:rPr>
              <w:t>1.50~1.20</w:t>
            </w:r>
          </w:p>
        </w:tc>
        <w:tc>
          <w:tcPr>
            <w:tcW w:w="4035" w:type="dxa"/>
            <w:vAlign w:val="top"/>
            <w:vMerge w:val="continue"/>
            <w:tcBorders>
              <w:top w:val="nil"/>
              <w:bottom w:val="nil"/>
            </w:tcBorders>
          </w:tcPr>
          <w:p>
            <w:pPr>
              <w:rPr>
                <w:rFonts w:ascii="Arial"/>
                <w:sz w:val="21"/>
              </w:rPr>
            </w:pPr>
            <w:r/>
          </w:p>
        </w:tc>
        <w:tc>
          <w:tcPr>
            <w:tcW w:w="642" w:type="dxa"/>
            <w:vAlign w:val="top"/>
            <w:vMerge w:val="continue"/>
            <w:tcBorders>
              <w:top w:val="nil"/>
              <w:bottom w:val="nil"/>
            </w:tcBorders>
          </w:tcPr>
          <w:p>
            <w:pPr>
              <w:rPr>
                <w:rFonts w:ascii="Arial"/>
                <w:sz w:val="21"/>
              </w:rPr>
            </w:pPr>
            <w:r/>
          </w:p>
        </w:tc>
      </w:tr>
      <w:tr>
        <w:trPr>
          <w:trHeight w:val="269" w:hRule="atLeast"/>
        </w:trPr>
        <w:tc>
          <w:tcPr>
            <w:tcW w:w="444" w:type="dxa"/>
            <w:vAlign w:val="top"/>
            <w:vMerge w:val="continue"/>
            <w:tcBorders>
              <w:top w:val="nil"/>
              <w:bottom w:val="nil"/>
            </w:tcBorders>
          </w:tcPr>
          <w:p>
            <w:pPr>
              <w:rPr>
                <w:rFonts w:ascii="Arial"/>
                <w:sz w:val="21"/>
              </w:rPr>
            </w:pPr>
            <w:r/>
          </w:p>
        </w:tc>
        <w:tc>
          <w:tcPr>
            <w:tcW w:w="2118" w:type="dxa"/>
            <w:vAlign w:val="top"/>
          </w:tcPr>
          <w:p>
            <w:pPr>
              <w:pStyle w:val="TableText"/>
              <w:ind w:left="290"/>
              <w:spacing w:before="34" w:line="197" w:lineRule="auto"/>
              <w:rPr>
                <w:sz w:val="21"/>
                <w:szCs w:val="21"/>
              </w:rPr>
            </w:pPr>
            <w:r>
              <w:rPr>
                <w:sz w:val="21"/>
                <w:szCs w:val="21"/>
                <w:spacing w:val="24"/>
              </w:rPr>
              <w:t>50(含50)~120</w:t>
            </w:r>
          </w:p>
        </w:tc>
        <w:tc>
          <w:tcPr>
            <w:tcW w:w="1289" w:type="dxa"/>
            <w:vAlign w:val="top"/>
          </w:tcPr>
          <w:p>
            <w:pPr>
              <w:pStyle w:val="TableText"/>
              <w:ind w:left="163"/>
              <w:spacing w:before="55" w:line="179" w:lineRule="auto"/>
              <w:rPr>
                <w:sz w:val="21"/>
                <w:szCs w:val="21"/>
              </w:rPr>
            </w:pPr>
            <w:r>
              <w:rPr>
                <w:sz w:val="21"/>
                <w:szCs w:val="21"/>
                <w:spacing w:val="-3"/>
              </w:rPr>
              <w:t>1.80~1.50</w:t>
            </w:r>
          </w:p>
        </w:tc>
        <w:tc>
          <w:tcPr>
            <w:tcW w:w="4035" w:type="dxa"/>
            <w:vAlign w:val="top"/>
            <w:vMerge w:val="continue"/>
            <w:tcBorders>
              <w:top w:val="nil"/>
              <w:bottom w:val="nil"/>
            </w:tcBorders>
          </w:tcPr>
          <w:p>
            <w:pPr>
              <w:rPr>
                <w:rFonts w:ascii="Arial"/>
                <w:sz w:val="21"/>
              </w:rPr>
            </w:pPr>
            <w:r/>
          </w:p>
        </w:tc>
        <w:tc>
          <w:tcPr>
            <w:tcW w:w="642" w:type="dxa"/>
            <w:vAlign w:val="top"/>
            <w:vMerge w:val="continue"/>
            <w:tcBorders>
              <w:top w:val="nil"/>
              <w:bottom w:val="nil"/>
            </w:tcBorders>
          </w:tcPr>
          <w:p>
            <w:pPr>
              <w:rPr>
                <w:rFonts w:ascii="Arial"/>
                <w:sz w:val="21"/>
              </w:rPr>
            </w:pPr>
            <w:r/>
          </w:p>
        </w:tc>
      </w:tr>
      <w:tr>
        <w:trPr>
          <w:trHeight w:val="280" w:hRule="atLeast"/>
        </w:trPr>
        <w:tc>
          <w:tcPr>
            <w:tcW w:w="444" w:type="dxa"/>
            <w:vAlign w:val="top"/>
            <w:vMerge w:val="continue"/>
            <w:tcBorders>
              <w:top w:val="nil"/>
            </w:tcBorders>
          </w:tcPr>
          <w:p>
            <w:pPr>
              <w:rPr>
                <w:rFonts w:ascii="Arial"/>
                <w:sz w:val="21"/>
              </w:rPr>
            </w:pPr>
            <w:r/>
          </w:p>
        </w:tc>
        <w:tc>
          <w:tcPr>
            <w:tcW w:w="2118" w:type="dxa"/>
            <w:vAlign w:val="top"/>
          </w:tcPr>
          <w:p>
            <w:pPr>
              <w:pStyle w:val="TableText"/>
              <w:ind w:left="730"/>
              <w:spacing w:before="47" w:line="196" w:lineRule="auto"/>
              <w:rPr>
                <w:sz w:val="21"/>
                <w:szCs w:val="21"/>
              </w:rPr>
            </w:pPr>
            <w:r>
              <w:rPr>
                <w:sz w:val="21"/>
                <w:szCs w:val="21"/>
                <w:color w:val="606060"/>
                <w:spacing w:val="3"/>
              </w:rPr>
              <w:t>50以下</w:t>
            </w:r>
          </w:p>
        </w:tc>
        <w:tc>
          <w:tcPr>
            <w:tcW w:w="1289" w:type="dxa"/>
            <w:vAlign w:val="top"/>
          </w:tcPr>
          <w:p>
            <w:pPr>
              <w:pStyle w:val="TableText"/>
              <w:ind w:left="423"/>
              <w:spacing w:before="66" w:line="179" w:lineRule="auto"/>
              <w:rPr>
                <w:sz w:val="21"/>
                <w:szCs w:val="21"/>
              </w:rPr>
            </w:pPr>
            <w:r>
              <w:rPr>
                <w:sz w:val="21"/>
                <w:szCs w:val="21"/>
                <w:spacing w:val="-3"/>
              </w:rPr>
              <w:t>2.00</w:t>
            </w:r>
          </w:p>
        </w:tc>
        <w:tc>
          <w:tcPr>
            <w:tcW w:w="4035" w:type="dxa"/>
            <w:vAlign w:val="top"/>
            <w:vMerge w:val="continue"/>
            <w:tcBorders>
              <w:top w:val="nil"/>
            </w:tcBorders>
          </w:tcPr>
          <w:p>
            <w:pPr>
              <w:rPr>
                <w:rFonts w:ascii="Arial"/>
                <w:sz w:val="21"/>
              </w:rPr>
            </w:pPr>
            <w:r/>
          </w:p>
        </w:tc>
        <w:tc>
          <w:tcPr>
            <w:tcW w:w="642" w:type="dxa"/>
            <w:vAlign w:val="top"/>
            <w:vMerge w:val="continue"/>
            <w:tcBorders>
              <w:top w:val="nil"/>
            </w:tcBorders>
          </w:tcPr>
          <w:p>
            <w:pPr>
              <w:rPr>
                <w:rFonts w:ascii="Arial"/>
                <w:sz w:val="21"/>
              </w:rPr>
            </w:pPr>
            <w:r/>
          </w:p>
        </w:tc>
      </w:tr>
      <w:tr>
        <w:trPr>
          <w:trHeight w:val="529" w:hRule="atLeast"/>
        </w:trPr>
        <w:tc>
          <w:tcPr>
            <w:tcW w:w="444" w:type="dxa"/>
            <w:vAlign w:val="top"/>
            <w:vMerge w:val="restart"/>
            <w:tcBorders>
              <w:bottom w:val="nil"/>
            </w:tcBorders>
          </w:tcPr>
          <w:p>
            <w:pPr>
              <w:spacing w:line="286" w:lineRule="auto"/>
              <w:rPr>
                <w:rFonts w:ascii="Arial"/>
                <w:sz w:val="21"/>
              </w:rPr>
            </w:pPr>
            <w:r/>
          </w:p>
          <w:p>
            <w:pPr>
              <w:pStyle w:val="TableText"/>
              <w:ind w:left="15" w:firstLine="38"/>
              <w:spacing w:before="68" w:line="210" w:lineRule="auto"/>
              <w:jc w:val="both"/>
              <w:rPr>
                <w:sz w:val="19"/>
                <w:szCs w:val="19"/>
              </w:rPr>
            </w:pPr>
            <w:r>
              <w:rPr>
                <w:sz w:val="21"/>
                <w:szCs w:val="21"/>
                <w:spacing w:val="-7"/>
              </w:rPr>
              <w:t>4.5</w:t>
            </w:r>
            <w:r>
              <w:rPr>
                <w:sz w:val="21"/>
                <w:szCs w:val="21"/>
              </w:rPr>
              <w:t xml:space="preserve"> </w:t>
            </w:r>
            <w:r>
              <w:rPr>
                <w:sz w:val="21"/>
                <w:szCs w:val="21"/>
                <w:spacing w:val="-1"/>
              </w:rPr>
              <w:t>分割</w:t>
            </w:r>
            <w:r>
              <w:rPr>
                <w:sz w:val="21"/>
                <w:szCs w:val="21"/>
              </w:rPr>
              <w:t xml:space="preserve"> </w:t>
            </w:r>
            <w:r>
              <w:rPr>
                <w:sz w:val="19"/>
                <w:szCs w:val="19"/>
                <w:spacing w:val="-24"/>
              </w:rPr>
              <w:t>车间[</w:t>
            </w:r>
          </w:p>
        </w:tc>
        <w:tc>
          <w:tcPr>
            <w:tcW w:w="2118" w:type="dxa"/>
            <w:vAlign w:val="top"/>
          </w:tcPr>
          <w:p>
            <w:pPr>
              <w:pStyle w:val="TableText"/>
              <w:ind w:left="313"/>
              <w:spacing w:before="162" w:line="219" w:lineRule="auto"/>
              <w:rPr>
                <w:sz w:val="21"/>
                <w:szCs w:val="21"/>
              </w:rPr>
            </w:pPr>
            <w:r>
              <w:rPr>
                <w:sz w:val="21"/>
                <w:szCs w:val="21"/>
                <w:b/>
                <w:bCs/>
                <w:spacing w:val="2"/>
              </w:rPr>
              <w:t>按1h分割量(头)</w:t>
            </w:r>
          </w:p>
        </w:tc>
        <w:tc>
          <w:tcPr>
            <w:tcW w:w="1289" w:type="dxa"/>
            <w:vAlign w:val="top"/>
          </w:tcPr>
          <w:p>
            <w:pPr>
              <w:pStyle w:val="TableText"/>
              <w:ind w:left="165" w:right="20" w:hanging="160"/>
              <w:spacing w:before="23" w:line="218" w:lineRule="auto"/>
              <w:rPr>
                <w:sz w:val="21"/>
                <w:szCs w:val="21"/>
              </w:rPr>
            </w:pPr>
            <w:r>
              <w:rPr>
                <w:sz w:val="21"/>
                <w:szCs w:val="21"/>
                <w:b/>
                <w:bCs/>
                <w:spacing w:val="-4"/>
              </w:rPr>
              <w:t>平均每头建筑</w:t>
            </w:r>
            <w:r>
              <w:rPr>
                <w:sz w:val="21"/>
                <w:szCs w:val="21"/>
                <w:spacing w:val="2"/>
              </w:rPr>
              <w:t xml:space="preserve"> </w:t>
            </w:r>
            <w:r>
              <w:rPr>
                <w:sz w:val="21"/>
                <w:szCs w:val="21"/>
                <w:b/>
                <w:bCs/>
                <w:spacing w:val="21"/>
              </w:rPr>
              <w:t>面积(m²)</w:t>
            </w:r>
          </w:p>
        </w:tc>
        <w:tc>
          <w:tcPr>
            <w:tcW w:w="4035" w:type="dxa"/>
            <w:vAlign w:val="top"/>
            <w:vMerge w:val="restart"/>
            <w:tcBorders>
              <w:bottom w:val="nil"/>
            </w:tcBorders>
          </w:tcPr>
          <w:p>
            <w:pPr>
              <w:pStyle w:val="TableText"/>
              <w:ind w:left="3" w:right="17"/>
              <w:spacing w:before="53" w:line="237" w:lineRule="auto"/>
              <w:rPr>
                <w:sz w:val="21"/>
                <w:szCs w:val="21"/>
              </w:rPr>
            </w:pPr>
            <w:r>
              <w:rPr>
                <w:sz w:val="21"/>
                <w:szCs w:val="21"/>
                <w:spacing w:val="-1"/>
              </w:rPr>
              <w:t>本项目年屠宰40万头生猪，生猪分割车间建</w:t>
            </w:r>
            <w:r>
              <w:rPr>
                <w:sz w:val="21"/>
                <w:szCs w:val="21"/>
                <w:spacing w:val="9"/>
              </w:rPr>
              <w:t xml:space="preserve"> </w:t>
            </w:r>
            <w:r>
              <w:rPr>
                <w:sz w:val="21"/>
                <w:szCs w:val="21"/>
                <w:spacing w:val="5"/>
              </w:rPr>
              <w:t>筑面积为820m²,则本项目淡季屠宰量为125</w:t>
            </w:r>
            <w:r>
              <w:rPr>
                <w:sz w:val="21"/>
                <w:szCs w:val="21"/>
                <w:spacing w:val="2"/>
              </w:rPr>
              <w:t xml:space="preserve"> </w:t>
            </w:r>
            <w:r>
              <w:rPr>
                <w:sz w:val="21"/>
                <w:szCs w:val="21"/>
                <w:spacing w:val="5"/>
              </w:rPr>
              <w:t>头/h,对应平均每头建筑面积为6m²;旺季</w:t>
            </w:r>
          </w:p>
          <w:p>
            <w:pPr>
              <w:pStyle w:val="TableText"/>
              <w:ind w:left="3" w:right="40"/>
              <w:spacing w:before="9" w:line="228" w:lineRule="auto"/>
              <w:rPr>
                <w:sz w:val="21"/>
                <w:szCs w:val="21"/>
              </w:rPr>
            </w:pPr>
            <w:r>
              <w:rPr>
                <w:sz w:val="21"/>
                <w:szCs w:val="21"/>
                <w:spacing w:val="-1"/>
              </w:rPr>
              <w:t>屠宰量为180头/h,对应平均每头建筑面积为</w:t>
            </w:r>
            <w:r>
              <w:rPr>
                <w:sz w:val="21"/>
                <w:szCs w:val="21"/>
                <w:spacing w:val="11"/>
              </w:rPr>
              <w:t xml:space="preserve"> </w:t>
            </w:r>
            <w:r>
              <w:rPr>
                <w:sz w:val="21"/>
                <w:szCs w:val="21"/>
                <w:spacing w:val="-4"/>
              </w:rPr>
              <w:t>4.0m²。</w:t>
            </w:r>
          </w:p>
        </w:tc>
        <w:tc>
          <w:tcPr>
            <w:tcW w:w="642" w:type="dxa"/>
            <w:vAlign w:val="top"/>
            <w:vMerge w:val="restart"/>
            <w:tcBorders>
              <w:bottom w:val="nil"/>
            </w:tcBorders>
          </w:tcPr>
          <w:p>
            <w:pPr>
              <w:spacing w:line="267" w:lineRule="auto"/>
              <w:rPr>
                <w:rFonts w:ascii="Arial"/>
                <w:sz w:val="21"/>
              </w:rPr>
            </w:pPr>
            <w:r/>
          </w:p>
          <w:p>
            <w:pPr>
              <w:spacing w:line="267" w:lineRule="auto"/>
              <w:rPr>
                <w:rFonts w:ascii="Arial"/>
                <w:sz w:val="21"/>
              </w:rPr>
            </w:pPr>
            <w:r/>
          </w:p>
          <w:p>
            <w:pPr>
              <w:pStyle w:val="TableText"/>
              <w:ind w:left="98"/>
              <w:spacing w:before="68" w:line="219" w:lineRule="auto"/>
              <w:rPr>
                <w:sz w:val="21"/>
                <w:szCs w:val="21"/>
              </w:rPr>
            </w:pPr>
            <w:r>
              <w:rPr>
                <w:sz w:val="21"/>
                <w:szCs w:val="21"/>
                <w:spacing w:val="-3"/>
              </w:rPr>
              <w:t>符合</w:t>
            </w:r>
          </w:p>
        </w:tc>
      </w:tr>
      <w:tr>
        <w:trPr>
          <w:trHeight w:val="279" w:hRule="atLeast"/>
        </w:trPr>
        <w:tc>
          <w:tcPr>
            <w:tcW w:w="444" w:type="dxa"/>
            <w:vAlign w:val="top"/>
            <w:vMerge w:val="continue"/>
            <w:tcBorders>
              <w:top w:val="nil"/>
              <w:bottom w:val="nil"/>
            </w:tcBorders>
          </w:tcPr>
          <w:p>
            <w:pPr>
              <w:rPr>
                <w:rFonts w:ascii="Arial"/>
                <w:sz w:val="21"/>
              </w:rPr>
            </w:pPr>
            <w:r/>
          </w:p>
        </w:tc>
        <w:tc>
          <w:tcPr>
            <w:tcW w:w="2118" w:type="dxa"/>
            <w:vAlign w:val="top"/>
          </w:tcPr>
          <w:p>
            <w:pPr>
              <w:pStyle w:val="TableText"/>
              <w:ind w:left="101"/>
              <w:spacing w:before="46" w:line="196" w:lineRule="auto"/>
              <w:rPr>
                <w:sz w:val="21"/>
                <w:szCs w:val="21"/>
              </w:rPr>
            </w:pPr>
            <w:r>
              <w:rPr>
                <w:sz w:val="21"/>
                <w:szCs w:val="21"/>
                <w:spacing w:val="-1"/>
              </w:rPr>
              <w:t>200头(含200头)以上</w:t>
            </w:r>
          </w:p>
        </w:tc>
        <w:tc>
          <w:tcPr>
            <w:tcW w:w="1289" w:type="dxa"/>
            <w:vAlign w:val="top"/>
          </w:tcPr>
          <w:p>
            <w:pPr>
              <w:pStyle w:val="TableText"/>
              <w:ind w:left="163"/>
              <w:spacing w:before="67" w:line="177" w:lineRule="auto"/>
              <w:rPr>
                <w:sz w:val="21"/>
                <w:szCs w:val="21"/>
              </w:rPr>
            </w:pPr>
            <w:r>
              <w:rPr>
                <w:sz w:val="21"/>
                <w:szCs w:val="21"/>
                <w:spacing w:val="-3"/>
              </w:rPr>
              <w:t>1.50~1.20</w:t>
            </w:r>
          </w:p>
        </w:tc>
        <w:tc>
          <w:tcPr>
            <w:tcW w:w="4035" w:type="dxa"/>
            <w:vAlign w:val="top"/>
            <w:vMerge w:val="continue"/>
            <w:tcBorders>
              <w:top w:val="nil"/>
              <w:bottom w:val="nil"/>
            </w:tcBorders>
          </w:tcPr>
          <w:p>
            <w:pPr>
              <w:rPr>
                <w:rFonts w:ascii="Arial"/>
                <w:sz w:val="21"/>
              </w:rPr>
            </w:pPr>
            <w:r/>
          </w:p>
        </w:tc>
        <w:tc>
          <w:tcPr>
            <w:tcW w:w="642" w:type="dxa"/>
            <w:vAlign w:val="top"/>
            <w:vMerge w:val="continue"/>
            <w:tcBorders>
              <w:top w:val="nil"/>
              <w:bottom w:val="nil"/>
            </w:tcBorders>
          </w:tcPr>
          <w:p>
            <w:pPr>
              <w:rPr>
                <w:rFonts w:ascii="Arial"/>
                <w:sz w:val="21"/>
              </w:rPr>
            </w:pPr>
            <w:r/>
          </w:p>
        </w:tc>
      </w:tr>
      <w:tr>
        <w:trPr>
          <w:trHeight w:val="279" w:hRule="atLeast"/>
        </w:trPr>
        <w:tc>
          <w:tcPr>
            <w:tcW w:w="444" w:type="dxa"/>
            <w:vAlign w:val="top"/>
            <w:vMerge w:val="continue"/>
            <w:tcBorders>
              <w:top w:val="nil"/>
              <w:bottom w:val="nil"/>
            </w:tcBorders>
          </w:tcPr>
          <w:p>
            <w:pPr>
              <w:rPr>
                <w:rFonts w:ascii="Arial"/>
                <w:sz w:val="21"/>
              </w:rPr>
            </w:pPr>
            <w:r/>
          </w:p>
        </w:tc>
        <w:tc>
          <w:tcPr>
            <w:tcW w:w="2118" w:type="dxa"/>
            <w:vAlign w:val="top"/>
          </w:tcPr>
          <w:p>
            <w:pPr>
              <w:pStyle w:val="TableText"/>
              <w:ind w:left="290"/>
              <w:spacing w:before="47" w:line="195" w:lineRule="auto"/>
              <w:rPr>
                <w:sz w:val="21"/>
                <w:szCs w:val="21"/>
              </w:rPr>
            </w:pPr>
            <w:r>
              <w:rPr>
                <w:sz w:val="21"/>
                <w:szCs w:val="21"/>
                <w:spacing w:val="24"/>
              </w:rPr>
              <w:t>50(含50)~200</w:t>
            </w:r>
          </w:p>
        </w:tc>
        <w:tc>
          <w:tcPr>
            <w:tcW w:w="1289" w:type="dxa"/>
            <w:vAlign w:val="top"/>
          </w:tcPr>
          <w:p>
            <w:pPr>
              <w:pStyle w:val="TableText"/>
              <w:ind w:left="163"/>
              <w:spacing w:before="68" w:line="176" w:lineRule="auto"/>
              <w:rPr>
                <w:sz w:val="21"/>
                <w:szCs w:val="21"/>
              </w:rPr>
            </w:pPr>
            <w:r>
              <w:rPr>
                <w:sz w:val="21"/>
                <w:szCs w:val="21"/>
                <w:color w:val="403040"/>
                <w:spacing w:val="-3"/>
              </w:rPr>
              <w:t>1.80~1.50</w:t>
            </w:r>
          </w:p>
        </w:tc>
        <w:tc>
          <w:tcPr>
            <w:tcW w:w="4035" w:type="dxa"/>
            <w:vAlign w:val="top"/>
            <w:vMerge w:val="continue"/>
            <w:tcBorders>
              <w:top w:val="nil"/>
              <w:bottom w:val="nil"/>
            </w:tcBorders>
          </w:tcPr>
          <w:p>
            <w:pPr>
              <w:rPr>
                <w:rFonts w:ascii="Arial"/>
                <w:sz w:val="21"/>
              </w:rPr>
            </w:pPr>
            <w:r/>
          </w:p>
        </w:tc>
        <w:tc>
          <w:tcPr>
            <w:tcW w:w="642" w:type="dxa"/>
            <w:vAlign w:val="top"/>
            <w:vMerge w:val="continue"/>
            <w:tcBorders>
              <w:top w:val="nil"/>
              <w:bottom w:val="nil"/>
            </w:tcBorders>
          </w:tcPr>
          <w:p>
            <w:pPr>
              <w:rPr>
                <w:rFonts w:ascii="Arial"/>
                <w:sz w:val="21"/>
              </w:rPr>
            </w:pPr>
            <w:r/>
          </w:p>
        </w:tc>
      </w:tr>
      <w:tr>
        <w:trPr>
          <w:trHeight w:val="284" w:hRule="atLeast"/>
        </w:trPr>
        <w:tc>
          <w:tcPr>
            <w:tcW w:w="444" w:type="dxa"/>
            <w:vAlign w:val="top"/>
            <w:vMerge w:val="continue"/>
            <w:tcBorders>
              <w:top w:val="nil"/>
            </w:tcBorders>
          </w:tcPr>
          <w:p>
            <w:pPr>
              <w:rPr>
                <w:rFonts w:ascii="Arial"/>
                <w:sz w:val="21"/>
              </w:rPr>
            </w:pPr>
            <w:r/>
          </w:p>
        </w:tc>
        <w:tc>
          <w:tcPr>
            <w:tcW w:w="2118" w:type="dxa"/>
            <w:vAlign w:val="top"/>
          </w:tcPr>
          <w:p>
            <w:pPr>
              <w:pStyle w:val="TableText"/>
              <w:ind w:left="340"/>
              <w:spacing w:before="48" w:line="198" w:lineRule="auto"/>
              <w:rPr>
                <w:sz w:val="21"/>
                <w:szCs w:val="21"/>
              </w:rPr>
            </w:pPr>
            <w:r>
              <w:rPr>
                <w:sz w:val="21"/>
                <w:szCs w:val="21"/>
                <w:spacing w:val="27"/>
              </w:rPr>
              <w:t>30(含30)~50</w:t>
            </w:r>
          </w:p>
        </w:tc>
        <w:tc>
          <w:tcPr>
            <w:tcW w:w="1289" w:type="dxa"/>
            <w:vAlign w:val="top"/>
          </w:tcPr>
          <w:p>
            <w:pPr>
              <w:pStyle w:val="TableText"/>
              <w:ind w:left="423"/>
              <w:spacing w:before="69" w:line="180" w:lineRule="auto"/>
              <w:rPr>
                <w:sz w:val="21"/>
                <w:szCs w:val="21"/>
              </w:rPr>
            </w:pPr>
            <w:r>
              <w:rPr>
                <w:sz w:val="21"/>
                <w:szCs w:val="21"/>
                <w:color w:val="404040"/>
                <w:spacing w:val="-3"/>
              </w:rPr>
              <w:t>2.00</w:t>
            </w:r>
          </w:p>
        </w:tc>
        <w:tc>
          <w:tcPr>
            <w:tcW w:w="4035" w:type="dxa"/>
            <w:vAlign w:val="top"/>
            <w:vMerge w:val="continue"/>
            <w:tcBorders>
              <w:top w:val="nil"/>
            </w:tcBorders>
          </w:tcPr>
          <w:p>
            <w:pPr>
              <w:rPr>
                <w:rFonts w:ascii="Arial"/>
                <w:sz w:val="21"/>
              </w:rPr>
            </w:pPr>
            <w:r/>
          </w:p>
        </w:tc>
        <w:tc>
          <w:tcPr>
            <w:tcW w:w="642" w:type="dxa"/>
            <w:vAlign w:val="top"/>
            <w:vMerge w:val="continue"/>
            <w:tcBorders>
              <w:top w:val="nil"/>
            </w:tcBorders>
          </w:tcPr>
          <w:p>
            <w:pPr>
              <w:rPr>
                <w:rFonts w:ascii="Arial"/>
                <w:sz w:val="21"/>
              </w:rPr>
            </w:pPr>
            <w:r/>
          </w:p>
        </w:tc>
      </w:tr>
    </w:tbl>
    <w:p>
      <w:pPr>
        <w:ind w:left="175" w:right="184" w:firstLine="579"/>
        <w:spacing w:before="44" w:line="327" w:lineRule="auto"/>
        <w:rPr>
          <w:rFonts w:ascii="SimSun" w:hAnsi="SimSun" w:eastAsia="SimSun" w:cs="SimSun"/>
          <w:sz w:val="25"/>
          <w:szCs w:val="25"/>
        </w:rPr>
      </w:pPr>
      <w:r>
        <w:rPr>
          <w:rFonts w:ascii="SimSun" w:hAnsi="SimSun" w:eastAsia="SimSun" w:cs="SimSun"/>
          <w:sz w:val="25"/>
          <w:szCs w:val="25"/>
          <w:spacing w:val="-3"/>
        </w:rPr>
        <w:t>因此，本项目屠宰车间和分割车间建筑面积符合《猪屠宰与分</w:t>
      </w:r>
      <w:r>
        <w:rPr>
          <w:rFonts w:ascii="SimSun" w:hAnsi="SimSun" w:eastAsia="SimSun" w:cs="SimSun"/>
          <w:sz w:val="25"/>
          <w:szCs w:val="25"/>
          <w:spacing w:val="-4"/>
        </w:rPr>
        <w:t>割车间设计</w:t>
      </w:r>
      <w:r>
        <w:rPr>
          <w:rFonts w:ascii="SimSun" w:hAnsi="SimSun" w:eastAsia="SimSun" w:cs="SimSun"/>
          <w:sz w:val="25"/>
          <w:szCs w:val="25"/>
        </w:rPr>
        <w:t xml:space="preserve"> </w:t>
      </w:r>
      <w:r>
        <w:rPr>
          <w:rFonts w:ascii="SimSun" w:hAnsi="SimSun" w:eastAsia="SimSun" w:cs="SimSun"/>
          <w:sz w:val="25"/>
          <w:szCs w:val="25"/>
          <w:spacing w:val="-5"/>
        </w:rPr>
        <w:t>规范》</w:t>
      </w:r>
      <w:r>
        <w:rPr>
          <w:rFonts w:ascii="SimSun" w:hAnsi="SimSun" w:eastAsia="SimSun" w:cs="SimSun"/>
          <w:sz w:val="25"/>
          <w:szCs w:val="25"/>
          <w:spacing w:val="-47"/>
        </w:rPr>
        <w:t xml:space="preserve"> </w:t>
      </w:r>
      <w:r>
        <w:rPr>
          <w:rFonts w:ascii="Times New Roman" w:hAnsi="Times New Roman" w:eastAsia="Times New Roman" w:cs="Times New Roman"/>
          <w:sz w:val="25"/>
          <w:szCs w:val="25"/>
          <w:spacing w:val="-5"/>
        </w:rPr>
        <w:t>(GB50317-2009)</w:t>
      </w:r>
      <w:r>
        <w:rPr>
          <w:rFonts w:ascii="Times New Roman" w:hAnsi="Times New Roman" w:eastAsia="Times New Roman" w:cs="Times New Roman"/>
          <w:sz w:val="25"/>
          <w:szCs w:val="25"/>
          <w:spacing w:val="21"/>
          <w:w w:val="101"/>
        </w:rPr>
        <w:t xml:space="preserve">  </w:t>
      </w:r>
      <w:r>
        <w:rPr>
          <w:rFonts w:ascii="SimSun" w:hAnsi="SimSun" w:eastAsia="SimSun" w:cs="SimSun"/>
          <w:sz w:val="25"/>
          <w:szCs w:val="25"/>
          <w:spacing w:val="-5"/>
        </w:rPr>
        <w:t>中的有关要求。</w:t>
      </w:r>
    </w:p>
    <w:p>
      <w:pPr>
        <w:ind w:left="738"/>
        <w:spacing w:before="58" w:line="217" w:lineRule="auto"/>
        <w:rPr>
          <w:rFonts w:ascii="SimSun" w:hAnsi="SimSun" w:eastAsia="SimSun" w:cs="SimSun"/>
          <w:sz w:val="25"/>
          <w:szCs w:val="25"/>
        </w:rPr>
      </w:pPr>
      <w:r>
        <w:rPr>
          <w:rFonts w:ascii="SimSun" w:hAnsi="SimSun" w:eastAsia="SimSun" w:cs="SimSun"/>
          <w:sz w:val="25"/>
          <w:szCs w:val="25"/>
          <w:b/>
          <w:bCs/>
          <w:spacing w:val="-7"/>
        </w:rPr>
        <w:t>⑤项目与《牛羊屠宰与分割车间设计规范》(GB51225-2017</w:t>
      </w:r>
      <w:r>
        <w:rPr>
          <w:rFonts w:ascii="SimSun" w:hAnsi="SimSun" w:eastAsia="SimSun" w:cs="SimSun"/>
          <w:sz w:val="25"/>
          <w:szCs w:val="25"/>
          <w:b/>
          <w:bCs/>
          <w:spacing w:val="-8"/>
        </w:rPr>
        <w:t>)</w:t>
      </w:r>
      <w:r>
        <w:rPr>
          <w:rFonts w:ascii="SimSun" w:hAnsi="SimSun" w:eastAsia="SimSun" w:cs="SimSun"/>
          <w:sz w:val="25"/>
          <w:szCs w:val="25"/>
          <w:spacing w:val="49"/>
        </w:rPr>
        <w:t xml:space="preserve"> </w:t>
      </w:r>
      <w:r>
        <w:rPr>
          <w:rFonts w:ascii="SimSun" w:hAnsi="SimSun" w:eastAsia="SimSun" w:cs="SimSun"/>
          <w:sz w:val="25"/>
          <w:szCs w:val="25"/>
          <w:b/>
          <w:bCs/>
          <w:spacing w:val="-8"/>
        </w:rPr>
        <w:t>符合性分析</w:t>
      </w:r>
    </w:p>
    <w:p>
      <w:pPr>
        <w:ind w:left="754"/>
        <w:spacing w:before="197" w:line="216" w:lineRule="auto"/>
        <w:rPr>
          <w:rFonts w:ascii="SimSun" w:hAnsi="SimSun" w:eastAsia="SimSun" w:cs="SimSun"/>
          <w:sz w:val="21"/>
          <w:szCs w:val="21"/>
        </w:rPr>
      </w:pPr>
      <w:r>
        <w:rPr>
          <w:rFonts w:ascii="SimSun" w:hAnsi="SimSun" w:eastAsia="SimSun" w:cs="SimSun"/>
          <w:sz w:val="21"/>
          <w:szCs w:val="21"/>
          <w:spacing w:val="13"/>
        </w:rPr>
        <w:t>根据《牛羊屠宰与分割车间设计规范》</w:t>
      </w:r>
      <w:r>
        <w:rPr>
          <w:rFonts w:ascii="SimSun" w:hAnsi="SimSun" w:eastAsia="SimSun" w:cs="SimSun"/>
          <w:sz w:val="21"/>
          <w:szCs w:val="21"/>
          <w:spacing w:val="85"/>
        </w:rPr>
        <w:t xml:space="preserve"> </w:t>
      </w:r>
      <w:r>
        <w:rPr>
          <w:rFonts w:ascii="SimSun" w:hAnsi="SimSun" w:eastAsia="SimSun" w:cs="SimSun"/>
          <w:sz w:val="21"/>
          <w:szCs w:val="21"/>
          <w:spacing w:val="13"/>
        </w:rPr>
        <w:t>(</w:t>
      </w:r>
      <w:r>
        <w:rPr>
          <w:rFonts w:ascii="SimSun" w:hAnsi="SimSun" w:eastAsia="SimSun" w:cs="SimSun"/>
          <w:sz w:val="21"/>
          <w:szCs w:val="21"/>
        </w:rPr>
        <w:t>GB</w:t>
      </w:r>
      <w:r>
        <w:rPr>
          <w:rFonts w:ascii="SimSun" w:hAnsi="SimSun" w:eastAsia="SimSun" w:cs="SimSun"/>
          <w:sz w:val="21"/>
          <w:szCs w:val="21"/>
          <w:spacing w:val="13"/>
        </w:rPr>
        <w:t>5122</w:t>
      </w:r>
      <w:r>
        <w:rPr>
          <w:rFonts w:ascii="SimSun" w:hAnsi="SimSun" w:eastAsia="SimSun" w:cs="SimSun"/>
          <w:sz w:val="21"/>
          <w:szCs w:val="21"/>
          <w:spacing w:val="12"/>
        </w:rPr>
        <w:t>5-2017),</w:t>
      </w:r>
      <w:r>
        <w:rPr>
          <w:rFonts w:ascii="SimSun" w:hAnsi="SimSun" w:eastAsia="SimSun" w:cs="SimSun"/>
          <w:sz w:val="21"/>
          <w:szCs w:val="21"/>
          <w:spacing w:val="5"/>
        </w:rPr>
        <w:t xml:space="preserve">     </w:t>
      </w:r>
      <w:r>
        <w:rPr>
          <w:rFonts w:ascii="SimSun" w:hAnsi="SimSun" w:eastAsia="SimSun" w:cs="SimSun"/>
          <w:sz w:val="21"/>
          <w:szCs w:val="21"/>
          <w:spacing w:val="12"/>
        </w:rPr>
        <w:t>肉牛屠宰车间</w:t>
      </w:r>
    </w:p>
    <w:p>
      <w:pPr>
        <w:ind w:left="175"/>
        <w:spacing w:before="177" w:line="219" w:lineRule="auto"/>
        <w:rPr>
          <w:rFonts w:ascii="SimSun" w:hAnsi="SimSun" w:eastAsia="SimSun" w:cs="SimSun"/>
          <w:sz w:val="21"/>
          <w:szCs w:val="21"/>
        </w:rPr>
      </w:pPr>
      <w:r>
        <w:rPr>
          <w:rFonts w:ascii="SimSun" w:hAnsi="SimSun" w:eastAsia="SimSun" w:cs="SimSun"/>
          <w:sz w:val="21"/>
          <w:szCs w:val="21"/>
          <w:spacing w:val="12"/>
        </w:rPr>
        <w:t>分级见下表：</w:t>
      </w:r>
    </w:p>
    <w:p>
      <w:pPr>
        <w:ind w:left="2638"/>
        <w:spacing w:before="138" w:line="216" w:lineRule="auto"/>
        <w:rPr>
          <w:rFonts w:ascii="SimSun" w:hAnsi="SimSun" w:eastAsia="SimSun" w:cs="SimSun"/>
          <w:sz w:val="23"/>
          <w:szCs w:val="23"/>
        </w:rPr>
      </w:pPr>
      <w:r>
        <w:rPr>
          <w:rFonts w:ascii="SimSun" w:hAnsi="SimSun" w:eastAsia="SimSun" w:cs="SimSun"/>
          <w:sz w:val="23"/>
          <w:szCs w:val="23"/>
          <w:b/>
          <w:bCs/>
          <w:spacing w:val="-3"/>
        </w:rPr>
        <w:t>表3.7-5牛屠宰车间与分割车间分级</w:t>
      </w:r>
    </w:p>
    <w:tbl>
      <w:tblPr>
        <w:tblStyle w:val="TableNormal"/>
        <w:tblW w:w="8780" w:type="dxa"/>
        <w:tblInd w:w="1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490"/>
        <w:gridCol w:w="4290"/>
      </w:tblGrid>
      <w:tr>
        <w:trPr>
          <w:trHeight w:val="282" w:hRule="atLeast"/>
        </w:trPr>
        <w:tc>
          <w:tcPr>
            <w:shd w:val="clear" w:fill="BDBDBD"/>
            <w:tcW w:w="4490" w:type="dxa"/>
            <w:vAlign w:val="top"/>
          </w:tcPr>
          <w:p>
            <w:pPr>
              <w:pStyle w:val="TableText"/>
              <w:ind w:left="2028"/>
              <w:spacing w:before="41" w:line="203" w:lineRule="auto"/>
              <w:rPr>
                <w:sz w:val="21"/>
                <w:szCs w:val="21"/>
              </w:rPr>
            </w:pPr>
            <w:r>
              <w:rPr>
                <w:sz w:val="21"/>
                <w:szCs w:val="21"/>
                <w:b/>
                <w:bCs/>
                <w:spacing w:val="3"/>
              </w:rPr>
              <w:t>级别</w:t>
            </w:r>
          </w:p>
        </w:tc>
        <w:tc>
          <w:tcPr>
            <w:shd w:val="clear" w:fill="BDBDBD"/>
            <w:tcW w:w="4290" w:type="dxa"/>
            <w:vAlign w:val="top"/>
          </w:tcPr>
          <w:p>
            <w:pPr>
              <w:pStyle w:val="TableText"/>
              <w:ind w:left="1667"/>
              <w:spacing w:before="39" w:line="204" w:lineRule="auto"/>
              <w:rPr>
                <w:sz w:val="21"/>
                <w:szCs w:val="21"/>
              </w:rPr>
            </w:pPr>
            <w:r>
              <w:rPr>
                <w:sz w:val="21"/>
                <w:szCs w:val="21"/>
                <w:b/>
                <w:bCs/>
                <w:spacing w:val="3"/>
              </w:rPr>
              <w:t>牛(头/班)</w:t>
            </w:r>
          </w:p>
        </w:tc>
      </w:tr>
      <w:tr>
        <w:trPr>
          <w:trHeight w:val="267" w:hRule="atLeast"/>
        </w:trPr>
        <w:tc>
          <w:tcPr>
            <w:tcW w:w="4490" w:type="dxa"/>
            <w:vAlign w:val="top"/>
          </w:tcPr>
          <w:p>
            <w:pPr>
              <w:pStyle w:val="TableText"/>
              <w:ind w:left="2025"/>
              <w:spacing w:before="31" w:line="198" w:lineRule="auto"/>
              <w:rPr>
                <w:sz w:val="21"/>
                <w:szCs w:val="21"/>
              </w:rPr>
            </w:pPr>
            <w:r>
              <w:rPr>
                <w:sz w:val="21"/>
                <w:szCs w:val="21"/>
                <w:spacing w:val="6"/>
              </w:rPr>
              <w:t>大型</w:t>
            </w:r>
          </w:p>
        </w:tc>
        <w:tc>
          <w:tcPr>
            <w:tcW w:w="4290" w:type="dxa"/>
            <w:vAlign w:val="top"/>
          </w:tcPr>
          <w:p>
            <w:pPr>
              <w:pStyle w:val="TableText"/>
              <w:ind w:left="1664"/>
              <w:spacing w:before="35" w:line="195" w:lineRule="auto"/>
              <w:rPr>
                <w:sz w:val="21"/>
                <w:szCs w:val="21"/>
              </w:rPr>
            </w:pPr>
            <w:r>
              <w:rPr>
                <w:sz w:val="21"/>
                <w:szCs w:val="21"/>
                <w:spacing w:val="-2"/>
              </w:rPr>
              <w:t>300及以上</w:t>
            </w:r>
          </w:p>
        </w:tc>
      </w:tr>
      <w:tr>
        <w:trPr>
          <w:trHeight w:val="277" w:hRule="atLeast"/>
        </w:trPr>
        <w:tc>
          <w:tcPr>
            <w:tcW w:w="4490" w:type="dxa"/>
            <w:vAlign w:val="top"/>
          </w:tcPr>
          <w:p>
            <w:pPr>
              <w:pStyle w:val="TableText"/>
              <w:ind w:left="2025"/>
              <w:spacing w:before="45" w:line="195" w:lineRule="auto"/>
              <w:rPr>
                <w:sz w:val="21"/>
                <w:szCs w:val="21"/>
              </w:rPr>
            </w:pPr>
            <w:r>
              <w:rPr>
                <w:sz w:val="21"/>
                <w:szCs w:val="21"/>
                <w:spacing w:val="6"/>
              </w:rPr>
              <w:t>中型</w:t>
            </w:r>
          </w:p>
        </w:tc>
        <w:tc>
          <w:tcPr>
            <w:tcW w:w="4290" w:type="dxa"/>
            <w:vAlign w:val="top"/>
          </w:tcPr>
          <w:p>
            <w:pPr>
              <w:pStyle w:val="TableText"/>
              <w:ind w:left="1404"/>
              <w:spacing w:before="44" w:line="196" w:lineRule="auto"/>
              <w:rPr>
                <w:sz w:val="21"/>
                <w:szCs w:val="21"/>
              </w:rPr>
            </w:pPr>
            <w:r>
              <w:rPr>
                <w:sz w:val="21"/>
                <w:szCs w:val="21"/>
              </w:rPr>
              <w:t>150(含150)~300</w:t>
            </w:r>
          </w:p>
        </w:tc>
      </w:tr>
      <w:tr>
        <w:trPr>
          <w:trHeight w:val="273" w:hRule="atLeast"/>
        </w:trPr>
        <w:tc>
          <w:tcPr>
            <w:tcW w:w="4490" w:type="dxa"/>
            <w:vAlign w:val="top"/>
          </w:tcPr>
          <w:p>
            <w:pPr>
              <w:pStyle w:val="TableText"/>
              <w:ind w:left="2025"/>
              <w:spacing w:before="40" w:line="196" w:lineRule="auto"/>
              <w:rPr>
                <w:sz w:val="21"/>
                <w:szCs w:val="21"/>
              </w:rPr>
            </w:pPr>
            <w:r>
              <w:rPr>
                <w:sz w:val="21"/>
                <w:szCs w:val="21"/>
                <w:spacing w:val="6"/>
              </w:rPr>
              <w:t>小型</w:t>
            </w:r>
          </w:p>
        </w:tc>
        <w:tc>
          <w:tcPr>
            <w:tcW w:w="4290" w:type="dxa"/>
            <w:vAlign w:val="top"/>
          </w:tcPr>
          <w:p>
            <w:pPr>
              <w:pStyle w:val="TableText"/>
              <w:ind w:left="1404"/>
              <w:spacing w:before="37" w:line="198" w:lineRule="auto"/>
              <w:rPr>
                <w:sz w:val="21"/>
                <w:szCs w:val="21"/>
              </w:rPr>
            </w:pPr>
            <w:r>
              <w:rPr>
                <w:sz w:val="21"/>
                <w:szCs w:val="21"/>
              </w:rPr>
              <w:t>100(含100)~150</w:t>
            </w:r>
          </w:p>
        </w:tc>
      </w:tr>
    </w:tbl>
    <w:p>
      <w:pPr>
        <w:ind w:left="175" w:right="609" w:firstLine="589"/>
        <w:spacing w:before="54" w:line="343" w:lineRule="auto"/>
        <w:rPr>
          <w:rFonts w:ascii="SimSun" w:hAnsi="SimSun" w:eastAsia="SimSun" w:cs="SimSun"/>
          <w:sz w:val="21"/>
          <w:szCs w:val="21"/>
        </w:rPr>
      </w:pPr>
      <w:r>
        <w:rPr>
          <w:rFonts w:ascii="SimSun" w:hAnsi="SimSun" w:eastAsia="SimSun" w:cs="SimSun"/>
          <w:sz w:val="23"/>
          <w:szCs w:val="23"/>
        </w:rPr>
        <w:t>根据设计资料，本项目肉牛设计最大屠宰规模为4万头/</w:t>
      </w:r>
      <w:r>
        <w:rPr>
          <w:rFonts w:ascii="SimSun" w:hAnsi="SimSun" w:eastAsia="SimSun" w:cs="SimSun"/>
          <w:sz w:val="23"/>
          <w:szCs w:val="23"/>
          <w:spacing w:val="-1"/>
        </w:rPr>
        <w:t>牛，最大屠宰量144</w:t>
      </w:r>
      <w:r>
        <w:rPr>
          <w:rFonts w:ascii="SimSun" w:hAnsi="SimSun" w:eastAsia="SimSun" w:cs="SimSun"/>
          <w:sz w:val="23"/>
          <w:szCs w:val="23"/>
        </w:rPr>
        <w:t xml:space="preserve"> </w:t>
      </w:r>
      <w:r>
        <w:rPr>
          <w:rFonts w:ascii="SimSun" w:hAnsi="SimSun" w:eastAsia="SimSun" w:cs="SimSun"/>
          <w:sz w:val="21"/>
          <w:szCs w:val="21"/>
          <w:spacing w:val="26"/>
        </w:rPr>
        <w:t>头/班(淡季100头/班、旺季144头/班),因此本项目肉牛屠宰车间属小型。</w:t>
      </w:r>
    </w:p>
    <w:p>
      <w:pPr>
        <w:ind w:left="1548"/>
        <w:spacing w:before="1" w:line="219" w:lineRule="auto"/>
        <w:rPr>
          <w:rFonts w:ascii="SimSun" w:hAnsi="SimSun" w:eastAsia="SimSun" w:cs="SimSun"/>
          <w:sz w:val="24"/>
          <w:szCs w:val="24"/>
        </w:rPr>
      </w:pPr>
      <w:r>
        <w:rPr>
          <w:rFonts w:ascii="SimSun" w:hAnsi="SimSun" w:eastAsia="SimSun" w:cs="SimSun"/>
          <w:sz w:val="24"/>
          <w:szCs w:val="24"/>
          <w:b/>
          <w:bCs/>
          <w:spacing w:val="-3"/>
        </w:rPr>
        <w:t>表3.7-6项目与《牛羊屠宰与分割车间设计规范》符合性</w:t>
      </w:r>
    </w:p>
    <w:p>
      <w:pPr>
        <w:spacing w:line="38" w:lineRule="auto"/>
        <w:rPr>
          <w:rFonts w:ascii="Arial"/>
          <w:sz w:val="2"/>
        </w:rPr>
      </w:pPr>
      <w:r>
        <w:rPr>
          <w:rFonts w:ascii="Arial"/>
          <w:sz w:val="2"/>
        </w:rPr>
      </w:r>
    </w:p>
    <w:tbl>
      <w:tblPr>
        <w:tblStyle w:val="TableNormal"/>
        <w:tblW w:w="883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54"/>
        <w:gridCol w:w="3656"/>
        <w:gridCol w:w="3586"/>
        <w:gridCol w:w="734"/>
      </w:tblGrid>
      <w:tr>
        <w:trPr>
          <w:trHeight w:val="283" w:hRule="atLeast"/>
        </w:trPr>
        <w:tc>
          <w:tcPr>
            <w:shd w:val="clear" w:fill="BDBDBD"/>
            <w:tcW w:w="4510" w:type="dxa"/>
            <w:vAlign w:val="top"/>
            <w:gridSpan w:val="2"/>
          </w:tcPr>
          <w:p>
            <w:pPr>
              <w:pStyle w:val="TableText"/>
              <w:ind w:left="1817"/>
              <w:spacing w:before="40" w:line="204" w:lineRule="auto"/>
              <w:rPr>
                <w:sz w:val="21"/>
                <w:szCs w:val="21"/>
              </w:rPr>
            </w:pPr>
            <w:r>
              <w:rPr>
                <w:sz w:val="21"/>
                <w:szCs w:val="21"/>
                <w:b/>
                <w:bCs/>
                <w:spacing w:val="-5"/>
              </w:rPr>
              <w:t>文件要求</w:t>
            </w:r>
          </w:p>
        </w:tc>
        <w:tc>
          <w:tcPr>
            <w:shd w:val="clear" w:fill="BDBDBD"/>
            <w:tcW w:w="3586" w:type="dxa"/>
            <w:vAlign w:val="top"/>
          </w:tcPr>
          <w:p>
            <w:pPr>
              <w:pStyle w:val="TableText"/>
              <w:ind w:left="1258"/>
              <w:spacing w:before="39" w:line="205" w:lineRule="auto"/>
              <w:rPr>
                <w:sz w:val="21"/>
                <w:szCs w:val="21"/>
              </w:rPr>
            </w:pPr>
            <w:r>
              <w:rPr>
                <w:sz w:val="21"/>
                <w:szCs w:val="21"/>
                <w:b/>
                <w:bCs/>
                <w:spacing w:val="-4"/>
              </w:rPr>
              <w:t>本项目情况</w:t>
            </w:r>
          </w:p>
        </w:tc>
        <w:tc>
          <w:tcPr>
            <w:shd w:val="clear" w:fill="BDBDBD"/>
            <w:tcW w:w="734" w:type="dxa"/>
            <w:vAlign w:val="top"/>
          </w:tcPr>
          <w:p>
            <w:pPr>
              <w:pStyle w:val="TableText"/>
              <w:ind w:left="52"/>
              <w:spacing w:before="40" w:line="204" w:lineRule="auto"/>
              <w:rPr>
                <w:sz w:val="21"/>
                <w:szCs w:val="21"/>
              </w:rPr>
            </w:pPr>
            <w:r>
              <w:rPr>
                <w:sz w:val="21"/>
                <w:szCs w:val="21"/>
                <w:b/>
                <w:bCs/>
                <w:spacing w:val="-5"/>
              </w:rPr>
              <w:t>符合性</w:t>
            </w:r>
          </w:p>
        </w:tc>
      </w:tr>
      <w:tr>
        <w:trPr>
          <w:trHeight w:val="1387" w:hRule="atLeast"/>
        </w:trPr>
        <w:tc>
          <w:tcPr>
            <w:tcW w:w="854" w:type="dxa"/>
            <w:vAlign w:val="top"/>
          </w:tcPr>
          <w:p>
            <w:pPr>
              <w:spacing w:line="380" w:lineRule="auto"/>
              <w:rPr>
                <w:rFonts w:ascii="Arial"/>
                <w:sz w:val="21"/>
              </w:rPr>
            </w:pPr>
            <w:r/>
          </w:p>
          <w:p>
            <w:pPr>
              <w:pStyle w:val="TableText"/>
              <w:ind w:left="204" w:right="49" w:hanging="159"/>
              <w:spacing w:before="69" w:line="232" w:lineRule="auto"/>
              <w:rPr>
                <w:sz w:val="21"/>
                <w:szCs w:val="21"/>
              </w:rPr>
            </w:pPr>
            <w:r>
              <w:rPr>
                <w:sz w:val="21"/>
                <w:szCs w:val="21"/>
                <w:spacing w:val="2"/>
              </w:rPr>
              <w:t>3.1厂址</w:t>
            </w:r>
            <w:r>
              <w:rPr>
                <w:sz w:val="21"/>
                <w:szCs w:val="21"/>
                <w:spacing w:val="3"/>
              </w:rPr>
              <w:t xml:space="preserve"> </w:t>
            </w:r>
            <w:r>
              <w:rPr>
                <w:sz w:val="21"/>
                <w:szCs w:val="21"/>
                <w:spacing w:val="-2"/>
              </w:rPr>
              <w:t>选择</w:t>
            </w:r>
          </w:p>
        </w:tc>
        <w:tc>
          <w:tcPr>
            <w:tcW w:w="3656" w:type="dxa"/>
            <w:vAlign w:val="top"/>
          </w:tcPr>
          <w:p>
            <w:pPr>
              <w:pStyle w:val="TableText"/>
              <w:ind w:left="14" w:right="179"/>
              <w:spacing w:before="167" w:line="248" w:lineRule="auto"/>
              <w:rPr>
                <w:sz w:val="21"/>
                <w:szCs w:val="21"/>
              </w:rPr>
            </w:pPr>
            <w:r>
              <w:rPr>
                <w:sz w:val="21"/>
                <w:szCs w:val="21"/>
                <w:b/>
                <w:bCs/>
                <w:spacing w:val="-3"/>
              </w:rPr>
              <w:t>3.1.1屠宰与分割车间所在厂区应具备</w:t>
            </w:r>
            <w:r>
              <w:rPr>
                <w:sz w:val="21"/>
                <w:szCs w:val="21"/>
                <w:spacing w:val="1"/>
              </w:rPr>
              <w:t xml:space="preserve"> </w:t>
            </w:r>
            <w:r>
              <w:rPr>
                <w:sz w:val="21"/>
                <w:szCs w:val="21"/>
                <w:b/>
                <w:bCs/>
                <w:spacing w:val="-3"/>
              </w:rPr>
              <w:t>可靠的水源和电源，周边交通运输方</w:t>
            </w:r>
          </w:p>
          <w:p>
            <w:pPr>
              <w:pStyle w:val="TableText"/>
              <w:ind w:left="14" w:right="71"/>
              <w:spacing w:before="4"/>
              <w:rPr>
                <w:sz w:val="21"/>
                <w:szCs w:val="21"/>
              </w:rPr>
            </w:pPr>
            <w:r>
              <w:rPr>
                <w:sz w:val="21"/>
                <w:szCs w:val="21"/>
                <w:b/>
                <w:bCs/>
                <w:spacing w:val="-3"/>
              </w:rPr>
              <w:t>便，并符合当地城乡规划，卫生与环境</w:t>
            </w:r>
            <w:r>
              <w:rPr>
                <w:sz w:val="21"/>
                <w:szCs w:val="21"/>
                <w:spacing w:val="3"/>
              </w:rPr>
              <w:t xml:space="preserve"> </w:t>
            </w:r>
            <w:r>
              <w:rPr>
                <w:sz w:val="21"/>
                <w:szCs w:val="21"/>
                <w:b/>
                <w:bCs/>
                <w:spacing w:val="-4"/>
              </w:rPr>
              <w:t>保护部门的要求。</w:t>
            </w:r>
          </w:p>
        </w:tc>
        <w:tc>
          <w:tcPr>
            <w:tcW w:w="3586" w:type="dxa"/>
            <w:vAlign w:val="top"/>
          </w:tcPr>
          <w:p>
            <w:pPr>
              <w:pStyle w:val="TableText"/>
              <w:ind w:left="17" w:right="187"/>
              <w:spacing w:before="29" w:line="237" w:lineRule="auto"/>
              <w:jc w:val="both"/>
              <w:rPr>
                <w:sz w:val="21"/>
                <w:szCs w:val="21"/>
              </w:rPr>
            </w:pPr>
            <w:r>
              <w:rPr>
                <w:sz w:val="21"/>
                <w:szCs w:val="21"/>
                <w:b/>
                <w:bCs/>
                <w:spacing w:val="-3"/>
              </w:rPr>
              <w:t>厂区位于四川绵阳安州工业园内，可</w:t>
            </w:r>
            <w:r>
              <w:rPr>
                <w:sz w:val="21"/>
                <w:szCs w:val="21"/>
                <w:spacing w:val="1"/>
              </w:rPr>
              <w:t xml:space="preserve"> </w:t>
            </w:r>
            <w:r>
              <w:rPr>
                <w:sz w:val="21"/>
                <w:szCs w:val="21"/>
                <w:b/>
                <w:bCs/>
                <w:spacing w:val="-3"/>
              </w:rPr>
              <w:t>接入城镇供水管网，水源充足；用电</w:t>
            </w:r>
            <w:r>
              <w:rPr>
                <w:sz w:val="21"/>
                <w:szCs w:val="21"/>
                <w:spacing w:val="4"/>
              </w:rPr>
              <w:t xml:space="preserve"> </w:t>
            </w:r>
            <w:r>
              <w:rPr>
                <w:sz w:val="21"/>
                <w:szCs w:val="21"/>
                <w:b/>
                <w:bCs/>
                <w:spacing w:val="-2"/>
              </w:rPr>
              <w:t>可接入市政电网，电源可靠；厂区西</w:t>
            </w:r>
            <w:r>
              <w:rPr>
                <w:sz w:val="21"/>
                <w:szCs w:val="21"/>
                <w:spacing w:val="6"/>
              </w:rPr>
              <w:t xml:space="preserve"> </w:t>
            </w:r>
            <w:r>
              <w:rPr>
                <w:sz w:val="21"/>
                <w:szCs w:val="21"/>
                <w:b/>
                <w:bCs/>
                <w:spacing w:val="-3"/>
              </w:rPr>
              <w:t>南侧、西北侧可连接车辆运输道路，</w:t>
            </w:r>
            <w:r>
              <w:rPr>
                <w:sz w:val="21"/>
                <w:szCs w:val="21"/>
              </w:rPr>
              <w:t xml:space="preserve"> </w:t>
            </w:r>
            <w:r>
              <w:rPr>
                <w:sz w:val="21"/>
                <w:szCs w:val="21"/>
                <w:b/>
                <w:bCs/>
                <w:spacing w:val="-1"/>
              </w:rPr>
              <w:t>交通运输方便；厂区用地属工业用</w:t>
            </w:r>
          </w:p>
        </w:tc>
        <w:tc>
          <w:tcPr>
            <w:tcW w:w="734" w:type="dxa"/>
            <w:vAlign w:val="top"/>
          </w:tcPr>
          <w:p>
            <w:pPr>
              <w:spacing w:line="259" w:lineRule="auto"/>
              <w:rPr>
                <w:rFonts w:ascii="Arial"/>
                <w:sz w:val="21"/>
              </w:rPr>
            </w:pPr>
            <w:r/>
          </w:p>
          <w:p>
            <w:pPr>
              <w:spacing w:line="260" w:lineRule="auto"/>
              <w:rPr>
                <w:rFonts w:ascii="Arial"/>
                <w:sz w:val="21"/>
              </w:rPr>
            </w:pPr>
            <w:r/>
          </w:p>
          <w:p>
            <w:pPr>
              <w:pStyle w:val="TableText"/>
              <w:ind w:left="149"/>
              <w:spacing w:before="68" w:line="219" w:lineRule="auto"/>
              <w:rPr>
                <w:sz w:val="21"/>
                <w:szCs w:val="21"/>
              </w:rPr>
            </w:pPr>
            <w:r>
              <w:rPr>
                <w:sz w:val="21"/>
                <w:szCs w:val="21"/>
                <w:spacing w:val="-3"/>
              </w:rPr>
              <w:t>符合</w:t>
            </w:r>
          </w:p>
        </w:tc>
      </w:tr>
    </w:tbl>
    <w:p>
      <w:pPr>
        <w:pStyle w:val="BodyText"/>
        <w:rPr/>
      </w:pPr>
      <w:r/>
    </w:p>
    <w:p>
      <w:pPr>
        <w:sectPr>
          <w:headerReference w:type="default" r:id="rId250"/>
          <w:footerReference w:type="default" r:id="rId251"/>
          <w:pgSz w:w="11910" w:h="16840"/>
          <w:pgMar w:top="1183" w:right="1494" w:bottom="936" w:left="1574" w:header="860" w:footer="747" w:gutter="0"/>
        </w:sectPr>
        <w:rPr/>
      </w:pPr>
    </w:p>
    <w:p>
      <w:pPr>
        <w:spacing w:before="26"/>
        <w:rPr/>
      </w:pPr>
      <w:r/>
    </w:p>
    <w:tbl>
      <w:tblPr>
        <w:tblStyle w:val="TableNormal"/>
        <w:tblW w:w="884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44"/>
        <w:gridCol w:w="3656"/>
        <w:gridCol w:w="3596"/>
        <w:gridCol w:w="744"/>
      </w:tblGrid>
      <w:tr>
        <w:trPr>
          <w:trHeight w:val="275" w:hRule="atLeast"/>
        </w:trPr>
        <w:tc>
          <w:tcPr>
            <w:shd w:val="clear" w:fill="BDBDBD"/>
            <w:tcW w:w="4500" w:type="dxa"/>
            <w:vAlign w:val="top"/>
            <w:gridSpan w:val="2"/>
          </w:tcPr>
          <w:p>
            <w:pPr>
              <w:pStyle w:val="TableText"/>
              <w:ind w:left="1838"/>
              <w:spacing w:before="30" w:line="206" w:lineRule="auto"/>
              <w:rPr>
                <w:sz w:val="21"/>
                <w:szCs w:val="21"/>
              </w:rPr>
            </w:pPr>
            <w:r>
              <w:rPr>
                <w:sz w:val="21"/>
                <w:szCs w:val="21"/>
                <w:b/>
                <w:bCs/>
                <w:spacing w:val="-5"/>
              </w:rPr>
              <w:t>文件要求</w:t>
            </w:r>
          </w:p>
        </w:tc>
        <w:tc>
          <w:tcPr>
            <w:shd w:val="clear" w:fill="BDBDBD"/>
            <w:tcW w:w="3596" w:type="dxa"/>
            <w:vAlign w:val="top"/>
          </w:tcPr>
          <w:p>
            <w:pPr>
              <w:pStyle w:val="TableText"/>
              <w:ind w:left="1258"/>
              <w:spacing w:before="29" w:line="207" w:lineRule="auto"/>
              <w:rPr>
                <w:sz w:val="21"/>
                <w:szCs w:val="21"/>
              </w:rPr>
            </w:pPr>
            <w:r>
              <w:rPr>
                <w:sz w:val="21"/>
                <w:szCs w:val="21"/>
                <w:b/>
                <w:bCs/>
                <w:spacing w:val="-4"/>
              </w:rPr>
              <w:t>本项目情况</w:t>
            </w:r>
          </w:p>
        </w:tc>
        <w:tc>
          <w:tcPr>
            <w:shd w:val="clear" w:fill="BDBDBD"/>
            <w:tcW w:w="744" w:type="dxa"/>
            <w:vAlign w:val="top"/>
          </w:tcPr>
          <w:p>
            <w:pPr>
              <w:pStyle w:val="TableText"/>
              <w:ind w:left="52"/>
              <w:spacing w:before="30" w:line="206" w:lineRule="auto"/>
              <w:rPr>
                <w:sz w:val="21"/>
                <w:szCs w:val="21"/>
              </w:rPr>
            </w:pPr>
            <w:r>
              <w:rPr>
                <w:sz w:val="21"/>
                <w:szCs w:val="21"/>
                <w:b/>
                <w:bCs/>
                <w:spacing w:val="-5"/>
              </w:rPr>
              <w:t>符合性</w:t>
            </w:r>
          </w:p>
        </w:tc>
      </w:tr>
      <w:tr>
        <w:trPr>
          <w:trHeight w:val="540" w:hRule="atLeast"/>
        </w:trPr>
        <w:tc>
          <w:tcPr>
            <w:tcW w:w="844" w:type="dxa"/>
            <w:vAlign w:val="top"/>
            <w:vMerge w:val="restart"/>
            <w:tcBorders>
              <w:bottom w:val="nil"/>
            </w:tcBorders>
          </w:tcPr>
          <w:p>
            <w:pPr>
              <w:rPr>
                <w:rFonts w:ascii="Arial"/>
                <w:sz w:val="21"/>
              </w:rPr>
            </w:pPr>
            <w:r/>
          </w:p>
        </w:tc>
        <w:tc>
          <w:tcPr>
            <w:tcW w:w="3656" w:type="dxa"/>
            <w:vAlign w:val="top"/>
          </w:tcPr>
          <w:p>
            <w:pPr>
              <w:rPr>
                <w:rFonts w:ascii="Arial"/>
                <w:sz w:val="21"/>
              </w:rPr>
            </w:pPr>
            <w:r/>
          </w:p>
        </w:tc>
        <w:tc>
          <w:tcPr>
            <w:tcW w:w="3596" w:type="dxa"/>
            <w:vAlign w:val="top"/>
          </w:tcPr>
          <w:p>
            <w:pPr>
              <w:pStyle w:val="TableText"/>
              <w:ind w:left="5" w:right="229"/>
              <w:spacing w:before="29" w:line="220" w:lineRule="auto"/>
              <w:rPr>
                <w:sz w:val="21"/>
                <w:szCs w:val="21"/>
              </w:rPr>
            </w:pPr>
            <w:r>
              <w:rPr>
                <w:sz w:val="21"/>
                <w:szCs w:val="21"/>
                <w:spacing w:val="-1"/>
              </w:rPr>
              <w:t>地，符合当地城乡规划，厂址不涉及</w:t>
            </w:r>
            <w:r>
              <w:rPr>
                <w:sz w:val="21"/>
                <w:szCs w:val="21"/>
                <w:spacing w:val="6"/>
              </w:rPr>
              <w:t xml:space="preserve"> </w:t>
            </w:r>
            <w:r>
              <w:rPr>
                <w:sz w:val="21"/>
                <w:szCs w:val="21"/>
              </w:rPr>
              <w:t>环境特殊敏感区，符合环保要求。</w:t>
            </w:r>
          </w:p>
        </w:tc>
        <w:tc>
          <w:tcPr>
            <w:tcW w:w="744" w:type="dxa"/>
            <w:vAlign w:val="top"/>
          </w:tcPr>
          <w:p>
            <w:pPr>
              <w:rPr>
                <w:rFonts w:ascii="Arial"/>
                <w:sz w:val="21"/>
              </w:rPr>
            </w:pPr>
            <w:r/>
          </w:p>
        </w:tc>
      </w:tr>
      <w:tr>
        <w:trPr>
          <w:trHeight w:val="1369" w:hRule="atLeast"/>
        </w:trPr>
        <w:tc>
          <w:tcPr>
            <w:tcW w:w="844" w:type="dxa"/>
            <w:vAlign w:val="top"/>
            <w:vMerge w:val="continue"/>
            <w:tcBorders>
              <w:top w:val="nil"/>
              <w:bottom w:val="nil"/>
            </w:tcBorders>
          </w:tcPr>
          <w:p>
            <w:pPr>
              <w:rPr>
                <w:rFonts w:ascii="Arial"/>
                <w:sz w:val="21"/>
              </w:rPr>
            </w:pPr>
            <w:r/>
          </w:p>
        </w:tc>
        <w:tc>
          <w:tcPr>
            <w:tcW w:w="3656" w:type="dxa"/>
            <w:vAlign w:val="top"/>
          </w:tcPr>
          <w:p>
            <w:pPr>
              <w:pStyle w:val="TableText"/>
              <w:ind w:left="11" w:right="182"/>
              <w:spacing w:before="166" w:line="245" w:lineRule="auto"/>
              <w:jc w:val="both"/>
              <w:rPr>
                <w:sz w:val="21"/>
                <w:szCs w:val="21"/>
              </w:rPr>
            </w:pPr>
            <w:r>
              <w:rPr>
                <w:sz w:val="21"/>
                <w:szCs w:val="21"/>
                <w:spacing w:val="-1"/>
              </w:rPr>
              <w:t>3.1.2厂址周围应有良好的环境卫生条</w:t>
            </w:r>
            <w:r>
              <w:rPr>
                <w:sz w:val="21"/>
                <w:szCs w:val="21"/>
                <w:spacing w:val="5"/>
              </w:rPr>
              <w:t xml:space="preserve"> </w:t>
            </w:r>
            <w:r>
              <w:rPr>
                <w:sz w:val="21"/>
                <w:szCs w:val="21"/>
                <w:spacing w:val="-1"/>
              </w:rPr>
              <w:t>件。厂址应避开受污染的水体及产生</w:t>
            </w:r>
            <w:r>
              <w:rPr>
                <w:sz w:val="21"/>
                <w:szCs w:val="21"/>
                <w:spacing w:val="3"/>
              </w:rPr>
              <w:t xml:space="preserve">  </w:t>
            </w:r>
            <w:r>
              <w:rPr>
                <w:sz w:val="21"/>
                <w:szCs w:val="21"/>
                <w:spacing w:val="-1"/>
              </w:rPr>
              <w:t>有害气体、烟雾、粉尘或其他污染源</w:t>
            </w:r>
            <w:r>
              <w:rPr>
                <w:sz w:val="21"/>
                <w:szCs w:val="21"/>
                <w:spacing w:val="2"/>
              </w:rPr>
              <w:t xml:space="preserve">  </w:t>
            </w:r>
            <w:r>
              <w:rPr>
                <w:sz w:val="21"/>
                <w:szCs w:val="21"/>
                <w:spacing w:val="-1"/>
              </w:rPr>
              <w:t>的工业企业或场所。</w:t>
            </w:r>
          </w:p>
        </w:tc>
        <w:tc>
          <w:tcPr>
            <w:tcW w:w="3596" w:type="dxa"/>
            <w:vAlign w:val="top"/>
          </w:tcPr>
          <w:p>
            <w:pPr>
              <w:pStyle w:val="TableText"/>
              <w:ind w:left="5" w:right="20"/>
              <w:spacing w:before="39" w:line="239" w:lineRule="auto"/>
              <w:rPr>
                <w:sz w:val="21"/>
                <w:szCs w:val="21"/>
              </w:rPr>
            </w:pPr>
            <w:r>
              <w:rPr>
                <w:sz w:val="21"/>
                <w:szCs w:val="21"/>
                <w:spacing w:val="-1"/>
              </w:rPr>
              <w:t>经调查，厂址周围卫生环境良好，厂址</w:t>
            </w:r>
            <w:r>
              <w:rPr>
                <w:sz w:val="21"/>
                <w:szCs w:val="21"/>
                <w:spacing w:val="6"/>
              </w:rPr>
              <w:t xml:space="preserve"> </w:t>
            </w:r>
            <w:r>
              <w:rPr>
                <w:sz w:val="21"/>
                <w:szCs w:val="21"/>
                <w:spacing w:val="-1"/>
              </w:rPr>
              <w:t>周边无受污染的水体，厂区四周主要</w:t>
            </w:r>
          </w:p>
          <w:p>
            <w:pPr>
              <w:pStyle w:val="TableText"/>
              <w:ind w:left="5" w:right="10" w:firstLine="10"/>
              <w:spacing w:before="4" w:line="226" w:lineRule="auto"/>
              <w:rPr>
                <w:sz w:val="21"/>
                <w:szCs w:val="21"/>
              </w:rPr>
            </w:pPr>
            <w:r>
              <w:rPr>
                <w:sz w:val="21"/>
                <w:szCs w:val="21"/>
                <w:spacing w:val="-1"/>
              </w:rPr>
              <w:t>为食品、医药等企业，本项目所在区域</w:t>
            </w:r>
            <w:r>
              <w:rPr>
                <w:sz w:val="21"/>
                <w:szCs w:val="21"/>
                <w:spacing w:val="5"/>
              </w:rPr>
              <w:t xml:space="preserve"> </w:t>
            </w:r>
            <w:r>
              <w:rPr>
                <w:sz w:val="21"/>
                <w:szCs w:val="21"/>
              </w:rPr>
              <w:t>属于可以通过采取措施加以改善、有效 </w:t>
            </w:r>
            <w:r>
              <w:rPr>
                <w:sz w:val="21"/>
                <w:szCs w:val="21"/>
              </w:rPr>
              <w:t>清除污染源的地区。</w:t>
            </w:r>
          </w:p>
        </w:tc>
        <w:tc>
          <w:tcPr>
            <w:tcW w:w="744" w:type="dxa"/>
            <w:vAlign w:val="top"/>
          </w:tcPr>
          <w:p>
            <w:pPr>
              <w:spacing w:line="253" w:lineRule="auto"/>
              <w:rPr>
                <w:rFonts w:ascii="Arial"/>
                <w:sz w:val="21"/>
              </w:rPr>
            </w:pPr>
            <w:r/>
          </w:p>
          <w:p>
            <w:pPr>
              <w:spacing w:line="254" w:lineRule="auto"/>
              <w:rPr>
                <w:rFonts w:ascii="Arial"/>
                <w:sz w:val="21"/>
              </w:rPr>
            </w:pPr>
            <w:r/>
          </w:p>
          <w:p>
            <w:pPr>
              <w:pStyle w:val="TableText"/>
              <w:ind w:left="159"/>
              <w:spacing w:before="68" w:line="219" w:lineRule="auto"/>
              <w:rPr>
                <w:sz w:val="21"/>
                <w:szCs w:val="21"/>
              </w:rPr>
            </w:pPr>
            <w:r>
              <w:rPr>
                <w:sz w:val="21"/>
                <w:szCs w:val="21"/>
                <w:spacing w:val="-3"/>
              </w:rPr>
              <w:t>符合</w:t>
            </w:r>
          </w:p>
        </w:tc>
      </w:tr>
      <w:tr>
        <w:trPr>
          <w:trHeight w:val="3248" w:hRule="atLeast"/>
        </w:trPr>
        <w:tc>
          <w:tcPr>
            <w:tcW w:w="844" w:type="dxa"/>
            <w:vAlign w:val="top"/>
            <w:vMerge w:val="continue"/>
            <w:tcBorders>
              <w:top w:val="nil"/>
              <w:bottom w:val="nil"/>
            </w:tcBorders>
          </w:tcPr>
          <w:p>
            <w:pPr>
              <w:rPr>
                <w:rFonts w:ascii="Arial"/>
                <w:sz w:val="21"/>
              </w:rPr>
            </w:pPr>
            <w:r/>
          </w:p>
        </w:tc>
        <w:tc>
          <w:tcPr>
            <w:tcW w:w="3656" w:type="dxa"/>
            <w:vAlign w:val="top"/>
          </w:tcPr>
          <w:p>
            <w:pPr>
              <w:spacing w:line="319" w:lineRule="auto"/>
              <w:rPr>
                <w:rFonts w:ascii="Arial"/>
                <w:sz w:val="21"/>
              </w:rPr>
            </w:pPr>
            <w:r/>
          </w:p>
          <w:p>
            <w:pPr>
              <w:spacing w:line="319" w:lineRule="auto"/>
              <w:rPr>
                <w:rFonts w:ascii="Arial"/>
                <w:sz w:val="21"/>
              </w:rPr>
            </w:pPr>
            <w:r/>
          </w:p>
          <w:p>
            <w:pPr>
              <w:pStyle w:val="TableText"/>
              <w:ind w:left="11" w:right="182"/>
              <w:spacing w:before="68"/>
              <w:rPr>
                <w:sz w:val="21"/>
                <w:szCs w:val="21"/>
              </w:rPr>
            </w:pPr>
            <w:r>
              <w:rPr>
                <w:sz w:val="21"/>
                <w:szCs w:val="21"/>
                <w:spacing w:val="-1"/>
              </w:rPr>
              <w:t>3.1.3厂址选择应减少厂区产生气味污</w:t>
            </w:r>
            <w:r>
              <w:rPr>
                <w:sz w:val="21"/>
                <w:szCs w:val="21"/>
                <w:spacing w:val="5"/>
              </w:rPr>
              <w:t xml:space="preserve"> </w:t>
            </w:r>
            <w:r>
              <w:rPr>
                <w:sz w:val="21"/>
                <w:szCs w:val="21"/>
              </w:rPr>
              <w:t>染的区域对居住区、学校和医院的影</w:t>
            </w:r>
          </w:p>
          <w:p>
            <w:pPr>
              <w:pStyle w:val="TableText"/>
              <w:ind w:left="11" w:right="257"/>
              <w:spacing w:before="3" w:line="237" w:lineRule="auto"/>
              <w:rPr>
                <w:sz w:val="21"/>
                <w:szCs w:val="21"/>
              </w:rPr>
            </w:pPr>
            <w:r>
              <w:rPr>
                <w:sz w:val="21"/>
                <w:szCs w:val="21"/>
                <w:spacing w:val="1"/>
              </w:rPr>
              <w:t>响。待宰间和屠宰车间的非清洁区与</w:t>
            </w:r>
            <w:r>
              <w:rPr>
                <w:sz w:val="21"/>
                <w:szCs w:val="21"/>
              </w:rPr>
              <w:t xml:space="preserve"> </w:t>
            </w:r>
            <w:r>
              <w:rPr>
                <w:sz w:val="21"/>
                <w:szCs w:val="21"/>
              </w:rPr>
              <w:t>居住区、学校和医院的卫生防护距离</w:t>
            </w:r>
          </w:p>
          <w:p>
            <w:pPr>
              <w:pStyle w:val="TableText"/>
              <w:ind w:left="11" w:right="73"/>
              <w:spacing w:before="3" w:line="234" w:lineRule="auto"/>
              <w:rPr>
                <w:sz w:val="21"/>
                <w:szCs w:val="21"/>
              </w:rPr>
            </w:pPr>
            <w:r>
              <w:rPr>
                <w:sz w:val="21"/>
                <w:szCs w:val="21"/>
                <w:spacing w:val="-1"/>
              </w:rPr>
              <w:t>应符合现行国家标准《农副食品加工业</w:t>
            </w:r>
            <w:r>
              <w:rPr>
                <w:sz w:val="21"/>
                <w:szCs w:val="21"/>
                <w:spacing w:val="7"/>
              </w:rPr>
              <w:t xml:space="preserve"> </w:t>
            </w:r>
            <w:r>
              <w:rPr>
                <w:sz w:val="21"/>
                <w:szCs w:val="21"/>
              </w:rPr>
              <w:t>卫生防护距离第1部分：屠宰及肉类加</w:t>
            </w:r>
            <w:r>
              <w:rPr>
                <w:sz w:val="21"/>
                <w:szCs w:val="21"/>
                <w:spacing w:val="5"/>
              </w:rPr>
              <w:t xml:space="preserve">  </w:t>
            </w:r>
            <w:r>
              <w:rPr>
                <w:sz w:val="21"/>
                <w:szCs w:val="21"/>
              </w:rPr>
              <w:t>工业》GB18078.1的规定。</w:t>
            </w:r>
          </w:p>
        </w:tc>
        <w:tc>
          <w:tcPr>
            <w:tcW w:w="3596" w:type="dxa"/>
            <w:vAlign w:val="top"/>
          </w:tcPr>
          <w:p>
            <w:pPr>
              <w:pStyle w:val="TableText"/>
              <w:ind w:left="5" w:right="116"/>
              <w:spacing w:before="30" w:line="239" w:lineRule="auto"/>
              <w:jc w:val="both"/>
              <w:rPr>
                <w:sz w:val="21"/>
                <w:szCs w:val="21"/>
              </w:rPr>
            </w:pPr>
            <w:r>
              <w:rPr>
                <w:sz w:val="21"/>
                <w:szCs w:val="21"/>
              </w:rPr>
              <w:t>厂址位于四川绵阳安州工业园区内，</w:t>
            </w:r>
            <w:r>
              <w:rPr>
                <w:sz w:val="21"/>
                <w:szCs w:val="21"/>
                <w:spacing w:val="1"/>
              </w:rPr>
              <w:t xml:space="preserve">  </w:t>
            </w:r>
            <w:r>
              <w:rPr>
                <w:sz w:val="21"/>
                <w:szCs w:val="21"/>
                <w:spacing w:val="-1"/>
              </w:rPr>
              <w:t>远离居民区、学校和医院，厂址东北</w:t>
            </w:r>
            <w:r>
              <w:rPr>
                <w:sz w:val="21"/>
                <w:szCs w:val="21"/>
                <w:spacing w:val="3"/>
              </w:rPr>
              <w:t xml:space="preserve">  </w:t>
            </w:r>
            <w:r>
              <w:rPr>
                <w:sz w:val="21"/>
                <w:szCs w:val="21"/>
                <w:spacing w:val="-1"/>
              </w:rPr>
              <w:t>侧180m处为安州区高级职业中学，不</w:t>
            </w:r>
            <w:r>
              <w:rPr>
                <w:sz w:val="21"/>
                <w:szCs w:val="21"/>
                <w:spacing w:val="5"/>
              </w:rPr>
              <w:t xml:space="preserve">  </w:t>
            </w:r>
            <w:r>
              <w:rPr>
                <w:sz w:val="21"/>
                <w:szCs w:val="21"/>
                <w:spacing w:val="-1"/>
              </w:rPr>
              <w:t>在本项目卫生防护距离内；由于《农</w:t>
            </w:r>
            <w:r>
              <w:rPr>
                <w:sz w:val="21"/>
                <w:szCs w:val="21"/>
                <w:spacing w:val="3"/>
              </w:rPr>
              <w:t xml:space="preserve">  </w:t>
            </w:r>
            <w:r>
              <w:rPr>
                <w:sz w:val="21"/>
                <w:szCs w:val="21"/>
                <w:spacing w:val="-1"/>
              </w:rPr>
              <w:t>副食品加工业卫生防护距离第1部分：</w:t>
            </w:r>
          </w:p>
          <w:p>
            <w:pPr>
              <w:pStyle w:val="TableText"/>
              <w:ind w:left="5"/>
              <w:spacing w:line="219" w:lineRule="auto"/>
              <w:rPr>
                <w:sz w:val="21"/>
                <w:szCs w:val="21"/>
              </w:rPr>
            </w:pPr>
            <w:r>
              <w:rPr>
                <w:sz w:val="21"/>
                <w:szCs w:val="21"/>
                <w:spacing w:val="1"/>
              </w:rPr>
              <w:t>屠宰及肉类加工业》</w:t>
            </w:r>
            <w:r>
              <w:rPr>
                <w:sz w:val="21"/>
                <w:szCs w:val="21"/>
              </w:rPr>
              <w:t>GB</w:t>
            </w:r>
            <w:r>
              <w:rPr>
                <w:sz w:val="21"/>
                <w:szCs w:val="21"/>
                <w:spacing w:val="1"/>
              </w:rPr>
              <w:t>18078.1已废</w:t>
            </w:r>
          </w:p>
          <w:p>
            <w:pPr>
              <w:pStyle w:val="TableText"/>
              <w:ind w:firstLine="34"/>
              <w:spacing w:before="21" w:line="237" w:lineRule="auto"/>
              <w:rPr>
                <w:sz w:val="21"/>
                <w:szCs w:val="21"/>
              </w:rPr>
            </w:pPr>
            <w:r>
              <w:rPr>
                <w:sz w:val="21"/>
                <w:szCs w:val="21"/>
                <w:spacing w:val="-2"/>
              </w:rPr>
              <w:t>止，待宰间和屠宰车间的非清洁区与居</w:t>
            </w:r>
            <w:r>
              <w:rPr>
                <w:sz w:val="21"/>
                <w:szCs w:val="21"/>
                <w:spacing w:val="14"/>
              </w:rPr>
              <w:t xml:space="preserve"> </w:t>
            </w:r>
            <w:r>
              <w:rPr>
                <w:sz w:val="21"/>
                <w:szCs w:val="21"/>
                <w:spacing w:val="-1"/>
              </w:rPr>
              <w:t>住区、学校和医院的卫生防护距离根据</w:t>
            </w:r>
            <w:r>
              <w:rPr>
                <w:sz w:val="21"/>
                <w:szCs w:val="21"/>
                <w:spacing w:val="13"/>
              </w:rPr>
              <w:t xml:space="preserve"> </w:t>
            </w:r>
            <w:r>
              <w:rPr>
                <w:sz w:val="21"/>
                <w:szCs w:val="21"/>
                <w:spacing w:val="-3"/>
              </w:rPr>
              <w:t>《大气有害物质无组织排放卫生防护距</w:t>
            </w:r>
            <w:r>
              <w:rPr>
                <w:sz w:val="21"/>
                <w:szCs w:val="21"/>
                <w:spacing w:val="1"/>
              </w:rPr>
              <w:t xml:space="preserve"> </w:t>
            </w:r>
            <w:r>
              <w:rPr>
                <w:sz w:val="21"/>
                <w:szCs w:val="21"/>
                <w:spacing w:val="1"/>
              </w:rPr>
              <w:t>离推导技术导则》(</w:t>
            </w:r>
            <w:r>
              <w:rPr>
                <w:sz w:val="21"/>
                <w:szCs w:val="21"/>
              </w:rPr>
              <w:t>GB</w:t>
            </w:r>
            <w:r>
              <w:rPr>
                <w:sz w:val="21"/>
                <w:szCs w:val="21"/>
                <w:spacing w:val="1"/>
              </w:rPr>
              <w:t>/T39499-</w:t>
            </w:r>
          </w:p>
          <w:p>
            <w:pPr>
              <w:pStyle w:val="TableText"/>
              <w:ind w:left="5" w:right="311"/>
              <w:spacing w:line="219" w:lineRule="auto"/>
              <w:rPr>
                <w:sz w:val="21"/>
                <w:szCs w:val="21"/>
              </w:rPr>
            </w:pPr>
            <w:r>
              <w:rPr>
                <w:sz w:val="21"/>
                <w:szCs w:val="21"/>
              </w:rPr>
              <w:t>2020)进行核定，本项目卫生防护距</w:t>
            </w:r>
            <w:r>
              <w:rPr>
                <w:sz w:val="21"/>
                <w:szCs w:val="21"/>
                <w:spacing w:val="13"/>
              </w:rPr>
              <w:t xml:space="preserve"> </w:t>
            </w:r>
            <w:r>
              <w:rPr>
                <w:sz w:val="21"/>
                <w:szCs w:val="21"/>
              </w:rPr>
              <w:t>离内无居住区、学校和医院。</w:t>
            </w:r>
          </w:p>
        </w:tc>
        <w:tc>
          <w:tcPr>
            <w:tcW w:w="744" w:type="dxa"/>
            <w:vAlign w:val="top"/>
          </w:tcPr>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pStyle w:val="TableText"/>
              <w:ind w:left="159"/>
              <w:spacing w:before="68" w:line="219" w:lineRule="auto"/>
              <w:rPr>
                <w:sz w:val="21"/>
                <w:szCs w:val="21"/>
              </w:rPr>
            </w:pPr>
            <w:r>
              <w:rPr>
                <w:sz w:val="21"/>
                <w:szCs w:val="21"/>
                <w:spacing w:val="-3"/>
              </w:rPr>
              <w:t>符合</w:t>
            </w:r>
          </w:p>
        </w:tc>
      </w:tr>
      <w:tr>
        <w:trPr>
          <w:trHeight w:val="1379" w:hRule="atLeast"/>
        </w:trPr>
        <w:tc>
          <w:tcPr>
            <w:tcW w:w="844" w:type="dxa"/>
            <w:vAlign w:val="top"/>
            <w:vMerge w:val="continue"/>
            <w:tcBorders>
              <w:top w:val="nil"/>
            </w:tcBorders>
          </w:tcPr>
          <w:p>
            <w:pPr>
              <w:rPr>
                <w:rFonts w:ascii="Arial"/>
                <w:sz w:val="21"/>
              </w:rPr>
            </w:pPr>
            <w:r/>
          </w:p>
        </w:tc>
        <w:tc>
          <w:tcPr>
            <w:tcW w:w="3656" w:type="dxa"/>
            <w:vAlign w:val="top"/>
          </w:tcPr>
          <w:p>
            <w:pPr>
              <w:spacing w:line="250" w:lineRule="auto"/>
              <w:rPr>
                <w:rFonts w:ascii="Arial"/>
                <w:sz w:val="21"/>
              </w:rPr>
            </w:pPr>
            <w:r/>
          </w:p>
          <w:p>
            <w:pPr>
              <w:pStyle w:val="TableText"/>
              <w:ind w:left="11" w:right="182"/>
              <w:spacing w:before="69" w:line="239" w:lineRule="auto"/>
              <w:jc w:val="both"/>
              <w:rPr>
                <w:sz w:val="21"/>
                <w:szCs w:val="21"/>
              </w:rPr>
            </w:pPr>
            <w:r>
              <w:rPr>
                <w:sz w:val="21"/>
                <w:szCs w:val="21"/>
                <w:spacing w:val="-1"/>
              </w:rPr>
              <w:t>3.1.4厂址应远离城市水源地和城市给</w:t>
            </w:r>
            <w:r>
              <w:rPr>
                <w:sz w:val="21"/>
                <w:szCs w:val="21"/>
                <w:spacing w:val="5"/>
              </w:rPr>
              <w:t xml:space="preserve"> </w:t>
            </w:r>
            <w:r>
              <w:rPr>
                <w:sz w:val="21"/>
                <w:szCs w:val="21"/>
                <w:spacing w:val="-1"/>
              </w:rPr>
              <w:t>水、取水口，其附近应有城市污水排</w:t>
            </w:r>
            <w:r>
              <w:rPr>
                <w:sz w:val="21"/>
                <w:szCs w:val="21"/>
                <w:spacing w:val="2"/>
              </w:rPr>
              <w:t xml:space="preserve">  </w:t>
            </w:r>
            <w:r>
              <w:rPr>
                <w:sz w:val="21"/>
                <w:szCs w:val="21"/>
                <w:spacing w:val="-1"/>
              </w:rPr>
              <w:t>放管网或允许排入的最终受纳水体。</w:t>
            </w:r>
          </w:p>
        </w:tc>
        <w:tc>
          <w:tcPr>
            <w:tcW w:w="3596" w:type="dxa"/>
            <w:vAlign w:val="top"/>
          </w:tcPr>
          <w:p>
            <w:pPr>
              <w:pStyle w:val="TableText"/>
              <w:ind w:left="5"/>
              <w:spacing w:before="40" w:line="219" w:lineRule="auto"/>
              <w:rPr>
                <w:sz w:val="21"/>
                <w:szCs w:val="21"/>
              </w:rPr>
            </w:pPr>
            <w:r>
              <w:rPr>
                <w:sz w:val="21"/>
                <w:szCs w:val="21"/>
              </w:rPr>
              <w:t>厂址位于四川绵阳安州工业园区内，</w:t>
            </w:r>
          </w:p>
          <w:p>
            <w:pPr>
              <w:pStyle w:val="TableText"/>
              <w:ind w:left="5"/>
              <w:spacing w:before="19" w:line="233" w:lineRule="auto"/>
              <w:rPr>
                <w:sz w:val="21"/>
                <w:szCs w:val="21"/>
              </w:rPr>
            </w:pPr>
            <w:r>
              <w:rPr>
                <w:sz w:val="21"/>
                <w:szCs w:val="21"/>
                <w:spacing w:val="-1"/>
              </w:rPr>
              <w:t>最近供水水源地和自来水取水口为东北</w:t>
            </w:r>
            <w:r>
              <w:rPr>
                <w:sz w:val="21"/>
                <w:szCs w:val="21"/>
                <w:spacing w:val="14"/>
              </w:rPr>
              <w:t xml:space="preserve"> </w:t>
            </w:r>
            <w:r>
              <w:rPr>
                <w:sz w:val="21"/>
                <w:szCs w:val="21"/>
              </w:rPr>
              <w:t>侧约3000m为安州区龙兴村集中式饮用</w:t>
            </w:r>
            <w:r>
              <w:rPr>
                <w:sz w:val="21"/>
                <w:szCs w:val="21"/>
                <w:spacing w:val="8"/>
              </w:rPr>
              <w:t xml:space="preserve">  </w:t>
            </w:r>
            <w:r>
              <w:rPr>
                <w:sz w:val="21"/>
                <w:szCs w:val="21"/>
              </w:rPr>
              <w:t>水源地；园区已设置污水管网，与安州</w:t>
            </w:r>
            <w:r>
              <w:rPr>
                <w:sz w:val="21"/>
                <w:szCs w:val="21"/>
                <w:spacing w:val="9"/>
              </w:rPr>
              <w:t xml:space="preserve"> </w:t>
            </w:r>
            <w:r>
              <w:rPr>
                <w:sz w:val="21"/>
                <w:szCs w:val="21"/>
                <w:spacing w:val="-1"/>
              </w:rPr>
              <w:t>区第三污水处理厂接通。</w:t>
            </w:r>
          </w:p>
        </w:tc>
        <w:tc>
          <w:tcPr>
            <w:tcW w:w="744" w:type="dxa"/>
            <w:vAlign w:val="top"/>
          </w:tcPr>
          <w:p>
            <w:pPr>
              <w:spacing w:line="260" w:lineRule="auto"/>
              <w:rPr>
                <w:rFonts w:ascii="Arial"/>
                <w:sz w:val="21"/>
              </w:rPr>
            </w:pPr>
            <w:r/>
          </w:p>
          <w:p>
            <w:pPr>
              <w:spacing w:line="260" w:lineRule="auto"/>
              <w:rPr>
                <w:rFonts w:ascii="Arial"/>
                <w:sz w:val="21"/>
              </w:rPr>
            </w:pPr>
            <w:r/>
          </w:p>
          <w:p>
            <w:pPr>
              <w:pStyle w:val="TableText"/>
              <w:ind w:left="159"/>
              <w:spacing w:before="68" w:line="219" w:lineRule="auto"/>
              <w:rPr>
                <w:sz w:val="21"/>
                <w:szCs w:val="21"/>
              </w:rPr>
            </w:pPr>
            <w:r>
              <w:rPr>
                <w:sz w:val="21"/>
                <w:szCs w:val="21"/>
                <w:spacing w:val="-3"/>
              </w:rPr>
              <w:t>符合</w:t>
            </w:r>
          </w:p>
        </w:tc>
      </w:tr>
      <w:tr>
        <w:trPr>
          <w:trHeight w:val="2458" w:hRule="atLeast"/>
        </w:trPr>
        <w:tc>
          <w:tcPr>
            <w:tcW w:w="844" w:type="dxa"/>
            <w:vAlign w:val="top"/>
            <w:vMerge w:val="restart"/>
            <w:tcBorders>
              <w:bottom w:val="nil"/>
            </w:tcBorders>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15" w:right="96"/>
              <w:spacing w:before="68" w:line="244" w:lineRule="auto"/>
              <w:rPr>
                <w:sz w:val="21"/>
                <w:szCs w:val="21"/>
              </w:rPr>
            </w:pPr>
            <w:r>
              <w:rPr>
                <w:sz w:val="21"/>
                <w:szCs w:val="21"/>
                <w:spacing w:val="-3"/>
              </w:rPr>
              <w:t>3.2总平</w:t>
            </w:r>
            <w:r>
              <w:rPr>
                <w:sz w:val="21"/>
                <w:szCs w:val="21"/>
                <w:spacing w:val="1"/>
              </w:rPr>
              <w:t xml:space="preserve"> </w:t>
            </w:r>
            <w:r>
              <w:rPr>
                <w:sz w:val="21"/>
                <w:szCs w:val="21"/>
                <w:spacing w:val="-3"/>
              </w:rPr>
              <w:t>面布置</w:t>
            </w:r>
          </w:p>
        </w:tc>
        <w:tc>
          <w:tcPr>
            <w:tcW w:w="3656" w:type="dxa"/>
            <w:vAlign w:val="top"/>
          </w:tcPr>
          <w:p>
            <w:pPr>
              <w:pStyle w:val="TableText"/>
              <w:ind w:left="11" w:right="169"/>
              <w:spacing w:before="42" w:line="235" w:lineRule="auto"/>
              <w:jc w:val="both"/>
              <w:rPr>
                <w:sz w:val="21"/>
                <w:szCs w:val="21"/>
              </w:rPr>
            </w:pPr>
            <w:r>
              <w:rPr>
                <w:sz w:val="21"/>
                <w:szCs w:val="21"/>
              </w:rPr>
              <w:t>3.2.1厂区应划分为生产区和生活区。 </w:t>
            </w:r>
            <w:r>
              <w:rPr>
                <w:sz w:val="21"/>
                <w:szCs w:val="21"/>
                <w:spacing w:val="-1"/>
              </w:rPr>
              <w:t>生产区内应明确区分非清洁区和清洁</w:t>
            </w:r>
            <w:r>
              <w:rPr>
                <w:sz w:val="21"/>
                <w:szCs w:val="21"/>
                <w:spacing w:val="2"/>
              </w:rPr>
              <w:t xml:space="preserve">  </w:t>
            </w:r>
            <w:r>
              <w:rPr>
                <w:sz w:val="21"/>
                <w:szCs w:val="21"/>
                <w:spacing w:val="-1"/>
              </w:rPr>
              <w:t>区。在严寒、寒冷和夏热冬冷地区，</w:t>
            </w:r>
            <w:r>
              <w:rPr>
                <w:sz w:val="21"/>
                <w:szCs w:val="21"/>
                <w:spacing w:val="5"/>
              </w:rPr>
              <w:t xml:space="preserve">  </w:t>
            </w:r>
            <w:r>
              <w:rPr>
                <w:sz w:val="21"/>
                <w:szCs w:val="21"/>
              </w:rPr>
              <w:t>非清洁区不应布置在厂区夏季主导风</w:t>
            </w:r>
            <w:r>
              <w:rPr>
                <w:sz w:val="21"/>
                <w:szCs w:val="21"/>
                <w:spacing w:val="4"/>
              </w:rPr>
              <w:t xml:space="preserve">  </w:t>
            </w:r>
            <w:r>
              <w:rPr>
                <w:sz w:val="21"/>
                <w:szCs w:val="21"/>
                <w:spacing w:val="1"/>
              </w:rPr>
              <w:t>向的上风侧，清洁区不应布置在厂区</w:t>
            </w:r>
            <w:r>
              <w:rPr>
                <w:sz w:val="21"/>
                <w:szCs w:val="21"/>
              </w:rPr>
              <w:t xml:space="preserve">  </w:t>
            </w:r>
            <w:r>
              <w:rPr>
                <w:sz w:val="21"/>
                <w:szCs w:val="21"/>
                <w:spacing w:val="-1"/>
              </w:rPr>
              <w:t>夏季主导风向的下风侧；在夏热冬暖</w:t>
            </w:r>
            <w:r>
              <w:rPr>
                <w:sz w:val="21"/>
                <w:szCs w:val="21"/>
                <w:spacing w:val="3"/>
              </w:rPr>
              <w:t xml:space="preserve">  </w:t>
            </w:r>
            <w:r>
              <w:rPr>
                <w:sz w:val="21"/>
                <w:szCs w:val="21"/>
              </w:rPr>
              <w:t>和温和地区，非清洁区不应布置在厂</w:t>
            </w:r>
            <w:r>
              <w:rPr>
                <w:sz w:val="21"/>
                <w:szCs w:val="21"/>
                <w:spacing w:val="5"/>
              </w:rPr>
              <w:t xml:space="preserve">  </w:t>
            </w:r>
            <w:r>
              <w:rPr>
                <w:sz w:val="21"/>
                <w:szCs w:val="21"/>
              </w:rPr>
              <w:t>区全年主导风向的上风侧，清洁区不</w:t>
            </w:r>
            <w:r>
              <w:rPr>
                <w:sz w:val="21"/>
                <w:szCs w:val="21"/>
                <w:spacing w:val="5"/>
              </w:rPr>
              <w:t xml:space="preserve">  </w:t>
            </w:r>
            <w:r>
              <w:rPr>
                <w:sz w:val="21"/>
                <w:szCs w:val="21"/>
                <w:spacing w:val="-1"/>
              </w:rPr>
              <w:t>布置在厂区全年主导风向的下风侧。</w:t>
            </w:r>
          </w:p>
        </w:tc>
        <w:tc>
          <w:tcPr>
            <w:tcW w:w="3596" w:type="dxa"/>
            <w:vAlign w:val="top"/>
          </w:tcPr>
          <w:p>
            <w:pPr>
              <w:pStyle w:val="TableText"/>
              <w:ind w:left="5"/>
              <w:spacing w:before="22" w:line="219" w:lineRule="auto"/>
              <w:rPr>
                <w:sz w:val="21"/>
                <w:szCs w:val="21"/>
              </w:rPr>
            </w:pPr>
            <w:r>
              <w:rPr>
                <w:sz w:val="21"/>
                <w:szCs w:val="21"/>
                <w:spacing w:val="1"/>
              </w:rPr>
              <w:t>厂区划分为生产区和生活区；生产区</w:t>
            </w:r>
          </w:p>
          <w:p>
            <w:pPr>
              <w:pStyle w:val="TableText"/>
              <w:ind w:left="5"/>
              <w:spacing w:before="40" w:line="219" w:lineRule="auto"/>
              <w:rPr>
                <w:sz w:val="21"/>
                <w:szCs w:val="21"/>
              </w:rPr>
            </w:pPr>
            <w:r>
              <w:rPr>
                <w:sz w:val="21"/>
                <w:szCs w:val="21"/>
              </w:rPr>
              <w:t>明确区分非清洁区和清洁区；根据绵</w:t>
            </w:r>
          </w:p>
          <w:p>
            <w:pPr>
              <w:pStyle w:val="TableText"/>
              <w:ind w:left="5" w:right="2"/>
              <w:spacing w:before="10" w:line="236" w:lineRule="auto"/>
              <w:rPr>
                <w:sz w:val="21"/>
                <w:szCs w:val="21"/>
              </w:rPr>
            </w:pPr>
            <w:r>
              <w:rPr>
                <w:sz w:val="21"/>
                <w:szCs w:val="21"/>
              </w:rPr>
              <w:t>阳市安州区气象局绘制花芗镇近三年夏</w:t>
            </w:r>
            <w:r>
              <w:rPr>
                <w:sz w:val="21"/>
                <w:szCs w:val="21"/>
                <w:spacing w:val="7"/>
              </w:rPr>
              <w:t xml:space="preserve"> </w:t>
            </w:r>
            <w:r>
              <w:rPr>
                <w:sz w:val="21"/>
                <w:szCs w:val="21"/>
                <w:spacing w:val="-1"/>
              </w:rPr>
              <w:t>季风玫瑰图，夏季风向最大频率为</w:t>
            </w:r>
          </w:p>
          <w:p>
            <w:pPr>
              <w:pStyle w:val="TableText"/>
              <w:ind w:left="5"/>
              <w:spacing w:line="216" w:lineRule="auto"/>
              <w:rPr>
                <w:sz w:val="21"/>
                <w:szCs w:val="21"/>
              </w:rPr>
            </w:pPr>
            <w:r>
              <w:rPr>
                <w:sz w:val="21"/>
                <w:szCs w:val="21"/>
                <w:spacing w:val="-1"/>
              </w:rPr>
              <w:t>NNW(见附件),项目所在区域属夏</w:t>
            </w:r>
          </w:p>
          <w:p>
            <w:pPr>
              <w:pStyle w:val="TableText"/>
              <w:ind w:left="5" w:right="204"/>
              <w:spacing w:before="35" w:line="232" w:lineRule="auto"/>
              <w:rPr>
                <w:sz w:val="21"/>
                <w:szCs w:val="21"/>
              </w:rPr>
            </w:pPr>
            <w:r>
              <w:rPr>
                <w:sz w:val="21"/>
                <w:szCs w:val="21"/>
                <w:spacing w:val="1"/>
              </w:rPr>
              <w:t>热冬冷地区，非清洁区布置在场区西</w:t>
            </w:r>
            <w:r>
              <w:rPr>
                <w:sz w:val="21"/>
                <w:szCs w:val="21"/>
              </w:rPr>
              <w:t xml:space="preserve"> </w:t>
            </w:r>
            <w:r>
              <w:rPr>
                <w:sz w:val="21"/>
                <w:szCs w:val="21"/>
              </w:rPr>
              <w:t>南侧，为夏季主导风向的下风向和侧</w:t>
            </w:r>
            <w:r>
              <w:rPr>
                <w:sz w:val="21"/>
                <w:szCs w:val="21"/>
                <w:spacing w:val="13"/>
              </w:rPr>
              <w:t xml:space="preserve"> </w:t>
            </w:r>
            <w:r>
              <w:rPr>
                <w:sz w:val="21"/>
                <w:szCs w:val="21"/>
                <w:spacing w:val="1"/>
              </w:rPr>
              <w:t>风向，清洁区布置在车间中部、东</w:t>
            </w:r>
          </w:p>
          <w:p>
            <w:pPr>
              <w:pStyle w:val="TableText"/>
              <w:ind w:left="5"/>
              <w:spacing w:before="1" w:line="219" w:lineRule="auto"/>
              <w:rPr>
                <w:sz w:val="21"/>
                <w:szCs w:val="21"/>
              </w:rPr>
            </w:pPr>
            <w:r>
              <w:rPr>
                <w:sz w:val="21"/>
                <w:szCs w:val="21"/>
              </w:rPr>
              <w:t>侧，为夏季主导风向的上风向。</w:t>
            </w:r>
          </w:p>
        </w:tc>
        <w:tc>
          <w:tcPr>
            <w:tcW w:w="744" w:type="dxa"/>
            <w:vAlign w:val="top"/>
          </w:tcPr>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159"/>
              <w:spacing w:before="68" w:line="219" w:lineRule="auto"/>
              <w:rPr>
                <w:sz w:val="21"/>
                <w:szCs w:val="21"/>
              </w:rPr>
            </w:pPr>
            <w:r>
              <w:rPr>
                <w:sz w:val="21"/>
                <w:szCs w:val="21"/>
                <w:spacing w:val="-3"/>
              </w:rPr>
              <w:t>符合</w:t>
            </w:r>
          </w:p>
        </w:tc>
      </w:tr>
      <w:tr>
        <w:trPr>
          <w:trHeight w:val="819" w:hRule="atLeast"/>
        </w:trPr>
        <w:tc>
          <w:tcPr>
            <w:tcW w:w="844" w:type="dxa"/>
            <w:vAlign w:val="top"/>
            <w:vMerge w:val="continue"/>
            <w:tcBorders>
              <w:top w:val="nil"/>
              <w:bottom w:val="nil"/>
            </w:tcBorders>
          </w:tcPr>
          <w:p>
            <w:pPr>
              <w:rPr>
                <w:rFonts w:ascii="Arial"/>
                <w:sz w:val="21"/>
              </w:rPr>
            </w:pPr>
            <w:r/>
          </w:p>
        </w:tc>
        <w:tc>
          <w:tcPr>
            <w:tcW w:w="3656" w:type="dxa"/>
            <w:vAlign w:val="top"/>
          </w:tcPr>
          <w:p>
            <w:pPr>
              <w:pStyle w:val="TableText"/>
              <w:ind w:left="11" w:right="143"/>
              <w:spacing w:before="44" w:line="224" w:lineRule="auto"/>
              <w:rPr>
                <w:sz w:val="21"/>
                <w:szCs w:val="21"/>
              </w:rPr>
            </w:pPr>
            <w:r>
              <w:rPr>
                <w:sz w:val="21"/>
                <w:szCs w:val="21"/>
                <w:spacing w:val="1"/>
              </w:rPr>
              <w:t>3.2.2生产区活畜入口、废弃物的出口</w:t>
            </w:r>
            <w:r>
              <w:rPr>
                <w:sz w:val="21"/>
                <w:szCs w:val="21"/>
                <w:spacing w:val="6"/>
              </w:rPr>
              <w:t xml:space="preserve"> </w:t>
            </w:r>
            <w:r>
              <w:rPr>
                <w:sz w:val="21"/>
                <w:szCs w:val="21"/>
              </w:rPr>
              <w:t>与产品出口应分开设置，活畜、废弃</w:t>
            </w:r>
            <w:r>
              <w:rPr>
                <w:sz w:val="21"/>
                <w:szCs w:val="21"/>
                <w:spacing w:val="4"/>
              </w:rPr>
              <w:t xml:space="preserve">  </w:t>
            </w:r>
            <w:r>
              <w:rPr>
                <w:sz w:val="21"/>
                <w:szCs w:val="21"/>
                <w:spacing w:val="-1"/>
              </w:rPr>
              <w:t>物与产品的运送通道不得共用。</w:t>
            </w:r>
          </w:p>
        </w:tc>
        <w:tc>
          <w:tcPr>
            <w:tcW w:w="3596" w:type="dxa"/>
            <w:vAlign w:val="top"/>
          </w:tcPr>
          <w:p>
            <w:pPr>
              <w:pStyle w:val="TableText"/>
              <w:ind w:left="5" w:right="204"/>
              <w:spacing w:before="24" w:line="230" w:lineRule="auto"/>
              <w:jc w:val="both"/>
              <w:rPr>
                <w:sz w:val="21"/>
                <w:szCs w:val="21"/>
              </w:rPr>
            </w:pPr>
            <w:r>
              <w:rPr>
                <w:sz w:val="21"/>
                <w:szCs w:val="21"/>
              </w:rPr>
              <w:t>生产区活畜入口、废弃物出口共用厂</w:t>
            </w:r>
            <w:r>
              <w:rPr>
                <w:sz w:val="21"/>
                <w:szCs w:val="21"/>
                <w:spacing w:val="11"/>
              </w:rPr>
              <w:t xml:space="preserve"> </w:t>
            </w:r>
            <w:r>
              <w:rPr>
                <w:sz w:val="21"/>
                <w:szCs w:val="21"/>
                <w:spacing w:val="1"/>
              </w:rPr>
              <w:t>区东侧出入口；产品出口使用厂区西</w:t>
            </w:r>
            <w:r>
              <w:rPr>
                <w:sz w:val="21"/>
                <w:szCs w:val="21"/>
              </w:rPr>
              <w:t xml:space="preserve"> </w:t>
            </w:r>
            <w:r>
              <w:rPr>
                <w:sz w:val="21"/>
                <w:szCs w:val="21"/>
              </w:rPr>
              <w:t>北侧出入口。</w:t>
            </w:r>
          </w:p>
        </w:tc>
        <w:tc>
          <w:tcPr>
            <w:tcW w:w="744" w:type="dxa"/>
            <w:vAlign w:val="top"/>
          </w:tcPr>
          <w:p>
            <w:pPr>
              <w:spacing w:line="245" w:lineRule="auto"/>
              <w:rPr>
                <w:rFonts w:ascii="Arial"/>
                <w:sz w:val="21"/>
              </w:rPr>
            </w:pPr>
            <w:r/>
          </w:p>
          <w:p>
            <w:pPr>
              <w:pStyle w:val="TableText"/>
              <w:ind w:left="159"/>
              <w:spacing w:before="68" w:line="219" w:lineRule="auto"/>
              <w:rPr>
                <w:sz w:val="21"/>
                <w:szCs w:val="21"/>
              </w:rPr>
            </w:pPr>
            <w:r>
              <w:rPr>
                <w:sz w:val="21"/>
                <w:szCs w:val="21"/>
                <w:spacing w:val="-3"/>
              </w:rPr>
              <w:t>符合</w:t>
            </w:r>
          </w:p>
        </w:tc>
      </w:tr>
      <w:tr>
        <w:trPr>
          <w:trHeight w:val="1079" w:hRule="atLeast"/>
        </w:trPr>
        <w:tc>
          <w:tcPr>
            <w:tcW w:w="844" w:type="dxa"/>
            <w:vAlign w:val="top"/>
            <w:vMerge w:val="continue"/>
            <w:tcBorders>
              <w:top w:val="nil"/>
            </w:tcBorders>
          </w:tcPr>
          <w:p>
            <w:pPr>
              <w:rPr>
                <w:rFonts w:ascii="Arial"/>
                <w:sz w:val="21"/>
              </w:rPr>
            </w:pPr>
            <w:r/>
          </w:p>
        </w:tc>
        <w:tc>
          <w:tcPr>
            <w:tcW w:w="3656" w:type="dxa"/>
            <w:vAlign w:val="top"/>
          </w:tcPr>
          <w:p>
            <w:pPr>
              <w:pStyle w:val="TableText"/>
              <w:ind w:left="11" w:right="182"/>
              <w:spacing w:before="45" w:line="225" w:lineRule="auto"/>
              <w:jc w:val="both"/>
              <w:rPr>
                <w:sz w:val="21"/>
                <w:szCs w:val="21"/>
              </w:rPr>
            </w:pPr>
            <w:r>
              <w:rPr>
                <w:sz w:val="21"/>
                <w:szCs w:val="21"/>
                <w:spacing w:val="-1"/>
              </w:rPr>
              <w:t>3.2.3厂区屠宰与分割车间及其生产辅</w:t>
            </w:r>
            <w:r>
              <w:rPr>
                <w:sz w:val="21"/>
                <w:szCs w:val="21"/>
                <w:spacing w:val="5"/>
              </w:rPr>
              <w:t xml:space="preserve"> </w:t>
            </w:r>
            <w:r>
              <w:rPr>
                <w:sz w:val="21"/>
                <w:szCs w:val="21"/>
              </w:rPr>
              <w:t>助用房与设施的布局应满足生产工艺</w:t>
            </w:r>
            <w:r>
              <w:rPr>
                <w:sz w:val="21"/>
                <w:szCs w:val="21"/>
                <w:spacing w:val="12"/>
              </w:rPr>
              <w:t xml:space="preserve"> </w:t>
            </w:r>
            <w:r>
              <w:rPr>
                <w:sz w:val="21"/>
                <w:szCs w:val="21"/>
                <w:spacing w:val="-1"/>
              </w:rPr>
              <w:t>流程和食品卫生要求，不得使产品受</w:t>
            </w:r>
            <w:r>
              <w:rPr>
                <w:sz w:val="21"/>
                <w:szCs w:val="21"/>
                <w:spacing w:val="2"/>
              </w:rPr>
              <w:t xml:space="preserve">  </w:t>
            </w:r>
            <w:r>
              <w:rPr>
                <w:sz w:val="21"/>
                <w:szCs w:val="21"/>
                <w:spacing w:val="-1"/>
              </w:rPr>
              <w:t>到污染。</w:t>
            </w:r>
          </w:p>
        </w:tc>
        <w:tc>
          <w:tcPr>
            <w:tcW w:w="3596" w:type="dxa"/>
            <w:vAlign w:val="top"/>
          </w:tcPr>
          <w:p>
            <w:pPr>
              <w:pStyle w:val="TableText"/>
              <w:ind w:left="5" w:right="211"/>
              <w:spacing w:before="174" w:line="239" w:lineRule="auto"/>
              <w:jc w:val="both"/>
              <w:rPr>
                <w:sz w:val="21"/>
                <w:szCs w:val="21"/>
              </w:rPr>
            </w:pPr>
            <w:r>
              <w:rPr>
                <w:sz w:val="21"/>
                <w:szCs w:val="21"/>
              </w:rPr>
              <w:t>厂区屠宰车间及生产辅助用房布局满</w:t>
            </w:r>
            <w:r>
              <w:rPr>
                <w:sz w:val="21"/>
                <w:szCs w:val="21"/>
                <w:spacing w:val="8"/>
              </w:rPr>
              <w:t xml:space="preserve"> </w:t>
            </w:r>
            <w:r>
              <w:rPr>
                <w:sz w:val="21"/>
                <w:szCs w:val="21"/>
              </w:rPr>
              <w:t>足生产工艺流程和食品卫生要求，其</w:t>
            </w:r>
            <w:r>
              <w:rPr>
                <w:sz w:val="21"/>
                <w:szCs w:val="21"/>
                <w:spacing w:val="7"/>
              </w:rPr>
              <w:t xml:space="preserve"> </w:t>
            </w:r>
            <w:r>
              <w:rPr>
                <w:sz w:val="21"/>
                <w:szCs w:val="21"/>
              </w:rPr>
              <w:t>设计不得使产品受到污染。</w:t>
            </w:r>
          </w:p>
        </w:tc>
        <w:tc>
          <w:tcPr>
            <w:tcW w:w="744" w:type="dxa"/>
            <w:vAlign w:val="top"/>
          </w:tcPr>
          <w:p>
            <w:pPr>
              <w:spacing w:line="375" w:lineRule="auto"/>
              <w:rPr>
                <w:rFonts w:ascii="Arial"/>
                <w:sz w:val="21"/>
              </w:rPr>
            </w:pPr>
            <w:r/>
          </w:p>
          <w:p>
            <w:pPr>
              <w:pStyle w:val="TableText"/>
              <w:ind w:left="159"/>
              <w:spacing w:before="68" w:line="219" w:lineRule="auto"/>
              <w:rPr>
                <w:sz w:val="21"/>
                <w:szCs w:val="21"/>
              </w:rPr>
            </w:pPr>
            <w:r>
              <w:rPr>
                <w:sz w:val="21"/>
                <w:szCs w:val="21"/>
                <w:spacing w:val="-3"/>
              </w:rPr>
              <w:t>符合</w:t>
            </w:r>
          </w:p>
        </w:tc>
      </w:tr>
      <w:tr>
        <w:trPr>
          <w:trHeight w:val="2503" w:hRule="atLeast"/>
        </w:trPr>
        <w:tc>
          <w:tcPr>
            <w:tcW w:w="844" w:type="dxa"/>
            <w:vAlign w:val="top"/>
          </w:tcPr>
          <w:p>
            <w:pPr>
              <w:spacing w:line="310" w:lineRule="auto"/>
              <w:rPr>
                <w:rFonts w:ascii="Arial"/>
                <w:sz w:val="21"/>
              </w:rPr>
            </w:pPr>
            <w:r/>
          </w:p>
          <w:p>
            <w:pPr>
              <w:spacing w:line="311" w:lineRule="auto"/>
              <w:rPr>
                <w:rFonts w:ascii="Arial"/>
                <w:sz w:val="21"/>
              </w:rPr>
            </w:pPr>
            <w:r/>
          </w:p>
          <w:p>
            <w:pPr>
              <w:spacing w:line="311" w:lineRule="auto"/>
              <w:rPr>
                <w:rFonts w:ascii="Arial"/>
                <w:sz w:val="21"/>
              </w:rPr>
            </w:pPr>
            <w:r/>
          </w:p>
          <w:p>
            <w:pPr>
              <w:pStyle w:val="TableText"/>
              <w:ind w:left="195" w:right="56" w:hanging="140"/>
              <w:spacing w:before="68" w:line="263" w:lineRule="auto"/>
              <w:rPr>
                <w:sz w:val="21"/>
                <w:szCs w:val="21"/>
              </w:rPr>
            </w:pPr>
            <w:r>
              <w:rPr>
                <w:sz w:val="21"/>
                <w:szCs w:val="21"/>
                <w:spacing w:val="-3"/>
              </w:rPr>
              <w:t>3.3环境</w:t>
            </w:r>
            <w:r>
              <w:rPr>
                <w:sz w:val="21"/>
                <w:szCs w:val="21"/>
                <w:spacing w:val="1"/>
              </w:rPr>
              <w:t xml:space="preserve"> </w:t>
            </w:r>
            <w:r>
              <w:rPr>
                <w:sz w:val="21"/>
                <w:szCs w:val="21"/>
                <w:spacing w:val="-3"/>
              </w:rPr>
              <w:t>卫生</w:t>
            </w:r>
          </w:p>
        </w:tc>
        <w:tc>
          <w:tcPr>
            <w:tcW w:w="3656" w:type="dxa"/>
            <w:vAlign w:val="top"/>
          </w:tcPr>
          <w:p>
            <w:pPr>
              <w:spacing w:line="327" w:lineRule="auto"/>
              <w:rPr>
                <w:rFonts w:ascii="Arial"/>
                <w:sz w:val="21"/>
              </w:rPr>
            </w:pPr>
            <w:r/>
          </w:p>
          <w:p>
            <w:pPr>
              <w:spacing w:line="327" w:lineRule="auto"/>
              <w:rPr>
                <w:rFonts w:ascii="Arial"/>
                <w:sz w:val="21"/>
              </w:rPr>
            </w:pPr>
            <w:r/>
          </w:p>
          <w:p>
            <w:pPr>
              <w:pStyle w:val="TableText"/>
              <w:ind w:left="11" w:right="182"/>
              <w:spacing w:before="68" w:line="248" w:lineRule="auto"/>
              <w:jc w:val="both"/>
              <w:rPr>
                <w:sz w:val="21"/>
                <w:szCs w:val="21"/>
              </w:rPr>
            </w:pPr>
            <w:r>
              <w:rPr>
                <w:sz w:val="21"/>
                <w:szCs w:val="21"/>
                <w:spacing w:val="-1"/>
              </w:rPr>
              <w:t>3.3.1屠宰与分割车间所在厂区不得设</w:t>
            </w:r>
            <w:r>
              <w:rPr>
                <w:sz w:val="21"/>
                <w:szCs w:val="21"/>
                <w:spacing w:val="5"/>
              </w:rPr>
              <w:t xml:space="preserve"> </w:t>
            </w:r>
            <w:r>
              <w:rPr>
                <w:sz w:val="21"/>
                <w:szCs w:val="21"/>
                <w:spacing w:val="-1"/>
              </w:rPr>
              <w:t>置污水排放明沟。生产中产生的污染</w:t>
            </w:r>
            <w:r>
              <w:rPr>
                <w:sz w:val="21"/>
                <w:szCs w:val="21"/>
                <w:spacing w:val="4"/>
              </w:rPr>
              <w:t xml:space="preserve">  </w:t>
            </w:r>
            <w:r>
              <w:rPr>
                <w:sz w:val="21"/>
                <w:szCs w:val="21"/>
                <w:spacing w:val="-1"/>
              </w:rPr>
              <w:t>物排放应满足国家相关排放标准的要</w:t>
            </w:r>
            <w:r>
              <w:rPr>
                <w:sz w:val="21"/>
                <w:szCs w:val="21"/>
                <w:spacing w:val="3"/>
              </w:rPr>
              <w:t xml:space="preserve">  </w:t>
            </w:r>
            <w:r>
              <w:rPr>
                <w:sz w:val="21"/>
                <w:szCs w:val="21"/>
                <w:spacing w:val="-2"/>
              </w:rPr>
              <w:t>求。</w:t>
            </w:r>
          </w:p>
        </w:tc>
        <w:tc>
          <w:tcPr>
            <w:tcW w:w="3596" w:type="dxa"/>
            <w:vAlign w:val="top"/>
          </w:tcPr>
          <w:p>
            <w:pPr>
              <w:pStyle w:val="TableText"/>
              <w:ind w:left="5"/>
              <w:spacing w:before="46" w:line="219" w:lineRule="auto"/>
              <w:rPr>
                <w:sz w:val="21"/>
                <w:szCs w:val="21"/>
              </w:rPr>
            </w:pPr>
            <w:r>
              <w:rPr>
                <w:sz w:val="21"/>
                <w:szCs w:val="21"/>
                <w:spacing w:val="6"/>
              </w:rPr>
              <w:t>厂区设排水管网，不设明沟；废水、</w:t>
            </w:r>
          </w:p>
          <w:p>
            <w:pPr>
              <w:pStyle w:val="TableText"/>
              <w:ind w:left="5"/>
              <w:spacing w:before="39" w:line="219" w:lineRule="auto"/>
              <w:rPr>
                <w:sz w:val="21"/>
                <w:szCs w:val="21"/>
              </w:rPr>
            </w:pPr>
            <w:r>
              <w:rPr>
                <w:sz w:val="21"/>
                <w:szCs w:val="21"/>
                <w:spacing w:val="-1"/>
              </w:rPr>
              <w:t>废气、噪声均采用成熟通用的处理工</w:t>
            </w:r>
          </w:p>
          <w:p>
            <w:pPr>
              <w:pStyle w:val="TableText"/>
              <w:ind w:left="5" w:right="2"/>
              <w:spacing w:before="10" w:line="247" w:lineRule="auto"/>
              <w:rPr>
                <w:sz w:val="21"/>
                <w:szCs w:val="21"/>
              </w:rPr>
            </w:pPr>
            <w:r>
              <w:rPr>
                <w:sz w:val="21"/>
                <w:szCs w:val="21"/>
              </w:rPr>
              <w:t>艺，废气污染物符合《恶臭污染物排放</w:t>
            </w:r>
            <w:r>
              <w:rPr>
                <w:sz w:val="21"/>
                <w:szCs w:val="21"/>
                <w:spacing w:val="7"/>
              </w:rPr>
              <w:t xml:space="preserve"> </w:t>
            </w:r>
            <w:r>
              <w:rPr>
                <w:sz w:val="21"/>
                <w:szCs w:val="21"/>
              </w:rPr>
              <w:t>标准》(GB14554-93)、《锅炉大气</w:t>
            </w:r>
          </w:p>
          <w:p>
            <w:pPr>
              <w:pStyle w:val="TableText"/>
              <w:ind w:left="5"/>
              <w:spacing w:line="220" w:lineRule="auto"/>
              <w:rPr>
                <w:sz w:val="21"/>
                <w:szCs w:val="21"/>
              </w:rPr>
            </w:pPr>
            <w:r>
              <w:rPr>
                <w:sz w:val="21"/>
                <w:szCs w:val="21"/>
                <w:spacing w:val="1"/>
              </w:rPr>
              <w:t>污染物排放标准》(</w:t>
            </w:r>
            <w:r>
              <w:rPr>
                <w:sz w:val="21"/>
                <w:szCs w:val="21"/>
              </w:rPr>
              <w:t>GB</w:t>
            </w:r>
            <w:r>
              <w:rPr>
                <w:sz w:val="21"/>
                <w:szCs w:val="21"/>
                <w:spacing w:val="1"/>
              </w:rPr>
              <w:t>13271-</w:t>
            </w:r>
          </w:p>
          <w:p>
            <w:pPr>
              <w:pStyle w:val="TableText"/>
              <w:ind w:left="5" w:right="441"/>
              <w:spacing w:before="9" w:line="246" w:lineRule="auto"/>
              <w:rPr>
                <w:sz w:val="21"/>
                <w:szCs w:val="21"/>
              </w:rPr>
            </w:pPr>
            <w:r>
              <w:rPr>
                <w:sz w:val="21"/>
                <w:szCs w:val="21"/>
                <w:spacing w:val="-1"/>
              </w:rPr>
              <w:t>2014)、《饮食业油烟排放标准(试</w:t>
            </w:r>
            <w:r>
              <w:rPr>
                <w:sz w:val="21"/>
                <w:szCs w:val="21"/>
                <w:spacing w:val="6"/>
              </w:rPr>
              <w:t xml:space="preserve"> </w:t>
            </w:r>
            <w:r>
              <w:rPr>
                <w:sz w:val="21"/>
                <w:szCs w:val="21"/>
              </w:rPr>
              <w:t>行)》(GB18483-2001)中相关要</w:t>
            </w:r>
          </w:p>
          <w:p>
            <w:pPr>
              <w:pStyle w:val="TableText"/>
              <w:ind w:left="5" w:right="20"/>
              <w:spacing w:line="227" w:lineRule="auto"/>
              <w:rPr>
                <w:sz w:val="21"/>
                <w:szCs w:val="21"/>
              </w:rPr>
            </w:pPr>
            <w:r>
              <w:rPr>
                <w:sz w:val="21"/>
                <w:szCs w:val="21"/>
                <w:spacing w:val="-1"/>
              </w:rPr>
              <w:t>求；废水污染物符合《肉类加工工业水</w:t>
            </w:r>
            <w:r>
              <w:rPr>
                <w:sz w:val="21"/>
                <w:szCs w:val="21"/>
                <w:spacing w:val="6"/>
              </w:rPr>
              <w:t xml:space="preserve"> </w:t>
            </w:r>
            <w:r>
              <w:rPr>
                <w:sz w:val="21"/>
                <w:szCs w:val="21"/>
                <w:spacing w:val="1"/>
              </w:rPr>
              <w:t>污染物排放标准》(</w:t>
            </w:r>
            <w:r>
              <w:rPr>
                <w:sz w:val="21"/>
                <w:szCs w:val="21"/>
              </w:rPr>
              <w:t>GB</w:t>
            </w:r>
            <w:r>
              <w:rPr>
                <w:sz w:val="21"/>
                <w:szCs w:val="21"/>
                <w:spacing w:val="1"/>
              </w:rPr>
              <w:t>13457-92)中</w:t>
            </w:r>
          </w:p>
        </w:tc>
        <w:tc>
          <w:tcPr>
            <w:tcW w:w="744" w:type="dxa"/>
            <w:vAlign w:val="top"/>
          </w:tcPr>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pStyle w:val="TableText"/>
              <w:ind w:left="159"/>
              <w:spacing w:before="69" w:line="219" w:lineRule="auto"/>
              <w:rPr>
                <w:sz w:val="21"/>
                <w:szCs w:val="21"/>
              </w:rPr>
            </w:pPr>
            <w:r>
              <w:rPr>
                <w:sz w:val="21"/>
                <w:szCs w:val="21"/>
                <w:spacing w:val="-3"/>
              </w:rPr>
              <w:t>符合</w:t>
            </w:r>
          </w:p>
        </w:tc>
      </w:tr>
    </w:tbl>
    <w:p>
      <w:pPr>
        <w:pStyle w:val="BodyText"/>
        <w:rPr/>
      </w:pPr>
      <w:r/>
    </w:p>
    <w:p>
      <w:pPr>
        <w:sectPr>
          <w:headerReference w:type="default" r:id="rId252"/>
          <w:footerReference w:type="default" r:id="rId253"/>
          <w:pgSz w:w="11910" w:h="16840"/>
          <w:pgMar w:top="1177" w:right="1534" w:bottom="912" w:left="1524" w:header="885" w:footer="741" w:gutter="0"/>
        </w:sectPr>
        <w:rPr/>
      </w:pPr>
    </w:p>
    <w:p>
      <w:pPr>
        <w:spacing w:before="16"/>
        <w:rPr/>
      </w:pPr>
      <w:r/>
    </w:p>
    <w:tbl>
      <w:tblPr>
        <w:tblStyle w:val="TableNormal"/>
        <w:tblW w:w="884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44"/>
        <w:gridCol w:w="1388"/>
        <w:gridCol w:w="2248"/>
        <w:gridCol w:w="3616"/>
        <w:gridCol w:w="744"/>
      </w:tblGrid>
      <w:tr>
        <w:trPr>
          <w:trHeight w:val="294" w:hRule="atLeast"/>
        </w:trPr>
        <w:tc>
          <w:tcPr>
            <w:shd w:val="clear" w:fill="BDBDBD"/>
            <w:tcW w:w="4480" w:type="dxa"/>
            <w:vAlign w:val="top"/>
            <w:gridSpan w:val="3"/>
          </w:tcPr>
          <w:p>
            <w:pPr>
              <w:pStyle w:val="TableText"/>
              <w:ind w:left="1808"/>
              <w:spacing w:before="40" w:line="214" w:lineRule="auto"/>
              <w:rPr>
                <w:sz w:val="21"/>
                <w:szCs w:val="21"/>
              </w:rPr>
            </w:pPr>
            <w:r>
              <w:rPr>
                <w:sz w:val="21"/>
                <w:szCs w:val="21"/>
                <w:b/>
                <w:bCs/>
                <w:spacing w:val="-5"/>
              </w:rPr>
              <w:t>文件要求</w:t>
            </w:r>
          </w:p>
        </w:tc>
        <w:tc>
          <w:tcPr>
            <w:shd w:val="clear" w:fill="BDBDBD"/>
            <w:tcW w:w="3616" w:type="dxa"/>
            <w:vAlign w:val="top"/>
          </w:tcPr>
          <w:p>
            <w:pPr>
              <w:pStyle w:val="TableText"/>
              <w:ind w:left="1278"/>
              <w:spacing w:before="39" w:line="215" w:lineRule="auto"/>
              <w:rPr>
                <w:sz w:val="21"/>
                <w:szCs w:val="21"/>
              </w:rPr>
            </w:pPr>
            <w:r>
              <w:rPr>
                <w:sz w:val="21"/>
                <w:szCs w:val="21"/>
                <w:b/>
                <w:bCs/>
                <w:spacing w:val="-4"/>
              </w:rPr>
              <w:t>本项目情况</w:t>
            </w:r>
          </w:p>
        </w:tc>
        <w:tc>
          <w:tcPr>
            <w:shd w:val="clear" w:fill="BDBDBD"/>
            <w:tcW w:w="744" w:type="dxa"/>
            <w:vAlign w:val="top"/>
          </w:tcPr>
          <w:p>
            <w:pPr>
              <w:pStyle w:val="TableText"/>
              <w:ind w:left="52"/>
              <w:spacing w:before="40" w:line="214" w:lineRule="auto"/>
              <w:rPr>
                <w:sz w:val="21"/>
                <w:szCs w:val="21"/>
              </w:rPr>
            </w:pPr>
            <w:r>
              <w:rPr>
                <w:sz w:val="21"/>
                <w:szCs w:val="21"/>
                <w:b/>
                <w:bCs/>
                <w:spacing w:val="-5"/>
              </w:rPr>
              <w:t>符合性</w:t>
            </w:r>
          </w:p>
        </w:tc>
      </w:tr>
      <w:tr>
        <w:trPr>
          <w:trHeight w:val="1918" w:hRule="atLeast"/>
        </w:trPr>
        <w:tc>
          <w:tcPr>
            <w:tcW w:w="844" w:type="dxa"/>
            <w:vAlign w:val="top"/>
            <w:vMerge w:val="restart"/>
            <w:tcBorders>
              <w:bottom w:val="nil"/>
            </w:tcBorders>
          </w:tcPr>
          <w:p>
            <w:pPr>
              <w:rPr>
                <w:rFonts w:ascii="Arial"/>
                <w:sz w:val="21"/>
              </w:rPr>
            </w:pPr>
            <w:r/>
          </w:p>
        </w:tc>
        <w:tc>
          <w:tcPr>
            <w:tcW w:w="3636" w:type="dxa"/>
            <w:vAlign w:val="top"/>
            <w:gridSpan w:val="2"/>
          </w:tcPr>
          <w:p>
            <w:pPr>
              <w:rPr>
                <w:rFonts w:ascii="Arial"/>
                <w:sz w:val="21"/>
              </w:rPr>
            </w:pPr>
            <w:r/>
          </w:p>
        </w:tc>
        <w:tc>
          <w:tcPr>
            <w:tcW w:w="3616" w:type="dxa"/>
            <w:vAlign w:val="top"/>
          </w:tcPr>
          <w:p>
            <w:pPr>
              <w:pStyle w:val="TableText"/>
              <w:ind w:left="15" w:right="8"/>
              <w:spacing w:before="40" w:line="237" w:lineRule="auto"/>
              <w:rPr>
                <w:sz w:val="21"/>
                <w:szCs w:val="21"/>
              </w:rPr>
            </w:pPr>
            <w:r>
              <w:rPr>
                <w:sz w:val="21"/>
                <w:szCs w:val="21"/>
              </w:rPr>
              <w:t>相关要求；厂界噪声符合《工业企业厂</w:t>
            </w:r>
            <w:r>
              <w:rPr>
                <w:sz w:val="21"/>
                <w:szCs w:val="21"/>
                <w:spacing w:val="11"/>
              </w:rPr>
              <w:t xml:space="preserve"> </w:t>
            </w:r>
            <w:r>
              <w:rPr>
                <w:sz w:val="21"/>
                <w:szCs w:val="21"/>
                <w:spacing w:val="-1"/>
              </w:rPr>
              <w:t>界环境噪声排放标准》(GB12348-</w:t>
            </w:r>
          </w:p>
          <w:p>
            <w:pPr>
              <w:pStyle w:val="TableText"/>
              <w:ind w:left="15" w:right="136"/>
              <w:spacing w:before="3" w:line="233" w:lineRule="auto"/>
              <w:rPr>
                <w:sz w:val="21"/>
                <w:szCs w:val="21"/>
              </w:rPr>
            </w:pPr>
            <w:r>
              <w:rPr>
                <w:sz w:val="21"/>
                <w:szCs w:val="21"/>
                <w:spacing w:val="-1"/>
              </w:rPr>
              <w:t>2008)中相关要求；项目固废按照“三</w:t>
            </w:r>
            <w:r>
              <w:rPr>
                <w:sz w:val="21"/>
                <w:szCs w:val="21"/>
                <w:spacing w:val="7"/>
              </w:rPr>
              <w:t xml:space="preserve"> </w:t>
            </w:r>
            <w:r>
              <w:rPr>
                <w:sz w:val="21"/>
                <w:szCs w:val="21"/>
                <w:spacing w:val="-1"/>
              </w:rPr>
              <w:t>化”原则进行处置，其中危险废物暂</w:t>
            </w:r>
            <w:r>
              <w:rPr>
                <w:sz w:val="21"/>
                <w:szCs w:val="21"/>
                <w:spacing w:val="2"/>
              </w:rPr>
              <w:t xml:space="preserve">  </w:t>
            </w:r>
            <w:r>
              <w:rPr>
                <w:sz w:val="21"/>
                <w:szCs w:val="21"/>
                <w:spacing w:val="-1"/>
              </w:rPr>
              <w:t>存于危废暂存间，定期交有资质的单</w:t>
            </w:r>
            <w:r>
              <w:rPr>
                <w:sz w:val="21"/>
                <w:szCs w:val="21"/>
                <w:spacing w:val="3"/>
              </w:rPr>
              <w:t xml:space="preserve">  </w:t>
            </w:r>
            <w:r>
              <w:rPr>
                <w:sz w:val="21"/>
                <w:szCs w:val="21"/>
              </w:rPr>
              <w:t>位处置；一般固废实现资源化、无害</w:t>
            </w:r>
            <w:r>
              <w:rPr>
                <w:sz w:val="21"/>
                <w:szCs w:val="21"/>
                <w:spacing w:val="12"/>
              </w:rPr>
              <w:t xml:space="preserve"> </w:t>
            </w:r>
            <w:r>
              <w:rPr>
                <w:sz w:val="21"/>
                <w:szCs w:val="21"/>
                <w:spacing w:val="-1"/>
              </w:rPr>
              <w:t>化处置。</w:t>
            </w:r>
          </w:p>
        </w:tc>
        <w:tc>
          <w:tcPr>
            <w:tcW w:w="744" w:type="dxa"/>
            <w:vAlign w:val="top"/>
          </w:tcPr>
          <w:p>
            <w:pPr>
              <w:rPr>
                <w:rFonts w:ascii="Arial"/>
                <w:sz w:val="21"/>
              </w:rPr>
            </w:pPr>
            <w:r/>
          </w:p>
        </w:tc>
      </w:tr>
      <w:tr>
        <w:trPr>
          <w:trHeight w:val="1339" w:hRule="atLeast"/>
        </w:trPr>
        <w:tc>
          <w:tcPr>
            <w:tcW w:w="844" w:type="dxa"/>
            <w:vAlign w:val="top"/>
            <w:vMerge w:val="continue"/>
            <w:tcBorders>
              <w:top w:val="nil"/>
              <w:bottom w:val="nil"/>
            </w:tcBorders>
          </w:tcPr>
          <w:p>
            <w:pPr>
              <w:rPr>
                <w:rFonts w:ascii="Arial"/>
                <w:sz w:val="21"/>
              </w:rPr>
            </w:pPr>
            <w:r/>
          </w:p>
        </w:tc>
        <w:tc>
          <w:tcPr>
            <w:tcW w:w="3636" w:type="dxa"/>
            <w:vAlign w:val="top"/>
            <w:gridSpan w:val="2"/>
          </w:tcPr>
          <w:p>
            <w:pPr>
              <w:pStyle w:val="TableText"/>
              <w:ind w:left="11" w:right="372"/>
              <w:spacing w:before="40" w:line="231" w:lineRule="auto"/>
              <w:rPr>
                <w:sz w:val="21"/>
                <w:szCs w:val="21"/>
              </w:rPr>
            </w:pPr>
            <w:r>
              <w:rPr>
                <w:sz w:val="21"/>
                <w:szCs w:val="21"/>
                <w:spacing w:val="-1"/>
              </w:rPr>
              <w:t>3.3.2公路卸畜回车场附近应有洗车</w:t>
            </w:r>
            <w:r>
              <w:rPr>
                <w:sz w:val="21"/>
                <w:szCs w:val="21"/>
                <w:spacing w:val="4"/>
              </w:rPr>
              <w:t xml:space="preserve"> </w:t>
            </w:r>
            <w:r>
              <w:rPr>
                <w:sz w:val="21"/>
                <w:szCs w:val="21"/>
              </w:rPr>
              <w:t>台。洗车台设有冲洗消毒及排污设</w:t>
            </w:r>
          </w:p>
          <w:p>
            <w:pPr>
              <w:pStyle w:val="TableText"/>
              <w:ind w:left="11" w:right="237"/>
              <w:spacing w:before="4" w:line="222" w:lineRule="auto"/>
              <w:rPr>
                <w:sz w:val="21"/>
                <w:szCs w:val="21"/>
              </w:rPr>
            </w:pPr>
            <w:r>
              <w:rPr>
                <w:sz w:val="21"/>
                <w:szCs w:val="21"/>
                <w:spacing w:val="-1"/>
              </w:rPr>
              <w:t>施，回车场和洗车台均应采用混凝土</w:t>
            </w:r>
            <w:r>
              <w:rPr>
                <w:sz w:val="21"/>
                <w:szCs w:val="21"/>
                <w:spacing w:val="7"/>
              </w:rPr>
              <w:t xml:space="preserve"> </w:t>
            </w:r>
            <w:r>
              <w:rPr>
                <w:sz w:val="21"/>
                <w:szCs w:val="21"/>
                <w:spacing w:val="1"/>
              </w:rPr>
              <w:t>地面，洗车台下地面排水坡度不应小</w:t>
            </w:r>
            <w:r>
              <w:rPr>
                <w:sz w:val="21"/>
                <w:szCs w:val="21"/>
              </w:rPr>
              <w:t xml:space="preserve"> </w:t>
            </w:r>
            <w:r>
              <w:rPr>
                <w:sz w:val="21"/>
                <w:szCs w:val="21"/>
                <w:spacing w:val="1"/>
              </w:rPr>
              <w:t>于2.5%。</w:t>
            </w:r>
          </w:p>
        </w:tc>
        <w:tc>
          <w:tcPr>
            <w:tcW w:w="3616" w:type="dxa"/>
            <w:vAlign w:val="top"/>
          </w:tcPr>
          <w:p>
            <w:pPr>
              <w:pStyle w:val="TableText"/>
              <w:ind w:left="15" w:right="210"/>
              <w:spacing w:before="162" w:line="241" w:lineRule="auto"/>
              <w:jc w:val="both"/>
              <w:rPr>
                <w:sz w:val="21"/>
                <w:szCs w:val="21"/>
              </w:rPr>
            </w:pPr>
            <w:r>
              <w:rPr>
                <w:sz w:val="21"/>
                <w:szCs w:val="21"/>
                <w:spacing w:val="1"/>
              </w:rPr>
              <w:t>厂区设洗车平台，并配套消毒池，消</w:t>
            </w:r>
            <w:r>
              <w:rPr>
                <w:sz w:val="21"/>
                <w:szCs w:val="21"/>
                <w:spacing w:val="3"/>
              </w:rPr>
              <w:t xml:space="preserve"> </w:t>
            </w:r>
            <w:r>
              <w:rPr>
                <w:sz w:val="21"/>
                <w:szCs w:val="21"/>
                <w:spacing w:val="-1"/>
              </w:rPr>
              <w:t>毒池废水排入拟建污水处理站；回车</w:t>
            </w:r>
            <w:r>
              <w:rPr>
                <w:sz w:val="21"/>
                <w:szCs w:val="21"/>
                <w:spacing w:val="5"/>
              </w:rPr>
              <w:t xml:space="preserve"> </w:t>
            </w:r>
            <w:r>
              <w:rPr>
                <w:sz w:val="21"/>
                <w:szCs w:val="21"/>
                <w:spacing w:val="-1"/>
              </w:rPr>
              <w:t>场及洗车平台均采用混凝土地面；洗</w:t>
            </w:r>
            <w:r>
              <w:rPr>
                <w:sz w:val="21"/>
                <w:szCs w:val="21"/>
                <w:spacing w:val="7"/>
              </w:rPr>
              <w:t xml:space="preserve"> </w:t>
            </w:r>
            <w:r>
              <w:rPr>
                <w:sz w:val="21"/>
                <w:szCs w:val="21"/>
              </w:rPr>
              <w:t>车台下地面排水坡度不小于2.5%。</w:t>
            </w:r>
          </w:p>
        </w:tc>
        <w:tc>
          <w:tcPr>
            <w:tcW w:w="744" w:type="dxa"/>
            <w:vAlign w:val="top"/>
          </w:tcPr>
          <w:p>
            <w:pPr>
              <w:spacing w:line="250" w:lineRule="auto"/>
              <w:rPr>
                <w:rFonts w:ascii="Arial"/>
                <w:sz w:val="21"/>
              </w:rPr>
            </w:pPr>
            <w:r/>
          </w:p>
          <w:p>
            <w:pPr>
              <w:spacing w:line="250" w:lineRule="auto"/>
              <w:rPr>
                <w:rFonts w:ascii="Arial"/>
                <w:sz w:val="21"/>
              </w:rPr>
            </w:pPr>
            <w:r/>
          </w:p>
          <w:p>
            <w:pPr>
              <w:pStyle w:val="TableText"/>
              <w:ind w:left="159"/>
              <w:spacing w:before="68" w:line="219" w:lineRule="auto"/>
              <w:rPr>
                <w:sz w:val="21"/>
                <w:szCs w:val="21"/>
              </w:rPr>
            </w:pPr>
            <w:r>
              <w:rPr>
                <w:sz w:val="21"/>
                <w:szCs w:val="21"/>
                <w:spacing w:val="-3"/>
              </w:rPr>
              <w:t>符合</w:t>
            </w:r>
          </w:p>
        </w:tc>
      </w:tr>
      <w:tr>
        <w:trPr>
          <w:trHeight w:val="1089" w:hRule="atLeast"/>
        </w:trPr>
        <w:tc>
          <w:tcPr>
            <w:tcW w:w="844" w:type="dxa"/>
            <w:vAlign w:val="top"/>
            <w:vMerge w:val="continue"/>
            <w:tcBorders>
              <w:top w:val="nil"/>
              <w:bottom w:val="nil"/>
            </w:tcBorders>
          </w:tcPr>
          <w:p>
            <w:pPr>
              <w:rPr>
                <w:rFonts w:ascii="Arial"/>
                <w:sz w:val="21"/>
              </w:rPr>
            </w:pPr>
            <w:r/>
          </w:p>
        </w:tc>
        <w:tc>
          <w:tcPr>
            <w:tcW w:w="3636" w:type="dxa"/>
            <w:vAlign w:val="top"/>
            <w:gridSpan w:val="2"/>
          </w:tcPr>
          <w:p>
            <w:pPr>
              <w:pStyle w:val="TableText"/>
              <w:ind w:left="11" w:right="162"/>
              <w:spacing w:before="32" w:line="230" w:lineRule="auto"/>
              <w:jc w:val="both"/>
              <w:rPr>
                <w:sz w:val="21"/>
                <w:szCs w:val="21"/>
              </w:rPr>
            </w:pPr>
            <w:r>
              <w:rPr>
                <w:sz w:val="21"/>
                <w:szCs w:val="21"/>
                <w:spacing w:val="-1"/>
              </w:rPr>
              <w:t>3.3.3垃圾、畜粪和废弃物的暂存场所</w:t>
            </w:r>
            <w:r>
              <w:rPr>
                <w:sz w:val="21"/>
                <w:szCs w:val="21"/>
                <w:spacing w:val="5"/>
              </w:rPr>
              <w:t xml:space="preserve"> </w:t>
            </w:r>
            <w:r>
              <w:rPr>
                <w:sz w:val="21"/>
                <w:szCs w:val="21"/>
                <w:spacing w:val="-1"/>
              </w:rPr>
              <w:t>应设置在生产区的非清洁区内，其地</w:t>
            </w:r>
            <w:r>
              <w:rPr>
                <w:sz w:val="21"/>
                <w:szCs w:val="21"/>
                <w:spacing w:val="3"/>
              </w:rPr>
              <w:t xml:space="preserve">  </w:t>
            </w:r>
            <w:r>
              <w:rPr>
                <w:sz w:val="21"/>
                <w:szCs w:val="21"/>
                <w:spacing w:val="-1"/>
              </w:rPr>
              <w:t>面与围墙应便于清洗、消毒，还应配</w:t>
            </w:r>
            <w:r>
              <w:rPr>
                <w:sz w:val="21"/>
                <w:szCs w:val="21"/>
                <w:spacing w:val="2"/>
              </w:rPr>
              <w:t xml:space="preserve">  </w:t>
            </w:r>
            <w:r>
              <w:rPr>
                <w:sz w:val="21"/>
                <w:szCs w:val="21"/>
                <w:spacing w:val="-1"/>
              </w:rPr>
              <w:t>备废弃物运送车辆的清洗消毒设施。</w:t>
            </w:r>
          </w:p>
        </w:tc>
        <w:tc>
          <w:tcPr>
            <w:tcW w:w="3616" w:type="dxa"/>
            <w:vAlign w:val="top"/>
          </w:tcPr>
          <w:p>
            <w:pPr>
              <w:pStyle w:val="TableText"/>
              <w:ind w:left="15" w:right="205"/>
              <w:spacing w:before="50" w:line="226" w:lineRule="auto"/>
              <w:jc w:val="both"/>
              <w:rPr>
                <w:sz w:val="21"/>
                <w:szCs w:val="21"/>
              </w:rPr>
            </w:pPr>
            <w:r>
              <w:rPr>
                <w:sz w:val="21"/>
                <w:szCs w:val="21"/>
                <w:spacing w:val="-1"/>
              </w:rPr>
              <w:t>垃圾、畜粪和废弃物的暂存场所设置</w:t>
            </w:r>
            <w:r>
              <w:rPr>
                <w:sz w:val="21"/>
                <w:szCs w:val="21"/>
                <w:spacing w:val="5"/>
              </w:rPr>
              <w:t xml:space="preserve"> </w:t>
            </w:r>
            <w:r>
              <w:rPr>
                <w:sz w:val="21"/>
                <w:szCs w:val="21"/>
                <w:spacing w:val="-1"/>
              </w:rPr>
              <w:t>在屠宰与分割车间外非清洁区内，其</w:t>
            </w:r>
            <w:r>
              <w:rPr>
                <w:sz w:val="21"/>
                <w:szCs w:val="21"/>
                <w:spacing w:val="7"/>
              </w:rPr>
              <w:t xml:space="preserve"> </w:t>
            </w:r>
            <w:r>
              <w:rPr>
                <w:sz w:val="21"/>
                <w:szCs w:val="21"/>
                <w:spacing w:val="1"/>
              </w:rPr>
              <w:t>地面与围墙便于清洗、消毒，厂区出</w:t>
            </w:r>
            <w:r>
              <w:rPr>
                <w:sz w:val="21"/>
                <w:szCs w:val="21"/>
                <w:spacing w:val="8"/>
              </w:rPr>
              <w:t xml:space="preserve"> </w:t>
            </w:r>
            <w:r>
              <w:rPr>
                <w:sz w:val="21"/>
                <w:szCs w:val="21"/>
                <w:spacing w:val="-1"/>
              </w:rPr>
              <w:t>入口设置运送车辆的清洗消毒池。</w:t>
            </w:r>
          </w:p>
        </w:tc>
        <w:tc>
          <w:tcPr>
            <w:tcW w:w="744" w:type="dxa"/>
            <w:vAlign w:val="top"/>
          </w:tcPr>
          <w:p>
            <w:pPr>
              <w:spacing w:line="372" w:lineRule="auto"/>
              <w:rPr>
                <w:rFonts w:ascii="Arial"/>
                <w:sz w:val="21"/>
              </w:rPr>
            </w:pPr>
            <w:r/>
          </w:p>
          <w:p>
            <w:pPr>
              <w:pStyle w:val="TableText"/>
              <w:ind w:left="159"/>
              <w:spacing w:before="68" w:line="219" w:lineRule="auto"/>
              <w:rPr>
                <w:sz w:val="21"/>
                <w:szCs w:val="21"/>
              </w:rPr>
            </w:pPr>
            <w:r>
              <w:rPr>
                <w:sz w:val="21"/>
                <w:szCs w:val="21"/>
                <w:spacing w:val="-3"/>
              </w:rPr>
              <w:t>符合</w:t>
            </w:r>
          </w:p>
        </w:tc>
      </w:tr>
      <w:tr>
        <w:trPr>
          <w:trHeight w:val="1099" w:hRule="atLeast"/>
        </w:trPr>
        <w:tc>
          <w:tcPr>
            <w:tcW w:w="844" w:type="dxa"/>
            <w:vAlign w:val="top"/>
            <w:vMerge w:val="continue"/>
            <w:tcBorders>
              <w:top w:val="nil"/>
              <w:bottom w:val="nil"/>
            </w:tcBorders>
          </w:tcPr>
          <w:p>
            <w:pPr>
              <w:rPr>
                <w:rFonts w:ascii="Arial"/>
                <w:sz w:val="21"/>
              </w:rPr>
            </w:pPr>
            <w:r/>
          </w:p>
        </w:tc>
        <w:tc>
          <w:tcPr>
            <w:tcW w:w="3636" w:type="dxa"/>
            <w:vAlign w:val="top"/>
            <w:gridSpan w:val="2"/>
          </w:tcPr>
          <w:p>
            <w:pPr>
              <w:spacing w:line="243" w:lineRule="auto"/>
              <w:rPr>
                <w:rFonts w:ascii="Arial"/>
                <w:sz w:val="21"/>
              </w:rPr>
            </w:pPr>
            <w:r/>
          </w:p>
          <w:p>
            <w:pPr>
              <w:pStyle w:val="TableText"/>
              <w:ind w:left="11" w:right="140"/>
              <w:spacing w:before="69" w:line="248" w:lineRule="auto"/>
              <w:rPr>
                <w:sz w:val="21"/>
                <w:szCs w:val="21"/>
              </w:rPr>
            </w:pPr>
            <w:r>
              <w:rPr>
                <w:sz w:val="21"/>
                <w:szCs w:val="21"/>
              </w:rPr>
              <w:t>3.3.4生产区的非清洁区内宜设置畜病</w:t>
            </w:r>
            <w:r>
              <w:rPr>
                <w:sz w:val="21"/>
                <w:szCs w:val="21"/>
                <w:spacing w:val="8"/>
              </w:rPr>
              <w:t xml:space="preserve"> </w:t>
            </w:r>
            <w:r>
              <w:rPr>
                <w:sz w:val="21"/>
                <w:szCs w:val="21"/>
                <w:spacing w:val="-1"/>
              </w:rPr>
              <w:t>害肉尸及其产品无害化处理间。</w:t>
            </w:r>
          </w:p>
        </w:tc>
        <w:tc>
          <w:tcPr>
            <w:tcW w:w="3616" w:type="dxa"/>
            <w:vAlign w:val="top"/>
          </w:tcPr>
          <w:p>
            <w:pPr>
              <w:pStyle w:val="TableText"/>
              <w:ind w:left="15" w:right="210"/>
              <w:spacing w:before="33" w:line="232" w:lineRule="auto"/>
              <w:jc w:val="both"/>
              <w:rPr>
                <w:sz w:val="21"/>
                <w:szCs w:val="21"/>
              </w:rPr>
            </w:pPr>
            <w:r>
              <w:rPr>
                <w:sz w:val="21"/>
                <w:szCs w:val="21"/>
              </w:rPr>
              <w:t>生产区的非清洁区内设置病体间，为</w:t>
            </w:r>
            <w:r>
              <w:rPr>
                <w:sz w:val="21"/>
                <w:szCs w:val="21"/>
                <w:spacing w:val="9"/>
              </w:rPr>
              <w:t xml:space="preserve"> </w:t>
            </w:r>
            <w:r>
              <w:rPr>
                <w:sz w:val="21"/>
                <w:szCs w:val="21"/>
                <w:spacing w:val="1"/>
              </w:rPr>
              <w:t>独立房间，内设冰柜，用作不合格畜</w:t>
            </w:r>
            <w:r>
              <w:rPr>
                <w:sz w:val="21"/>
                <w:szCs w:val="21"/>
                <w:spacing w:val="3"/>
              </w:rPr>
              <w:t xml:space="preserve"> </w:t>
            </w:r>
            <w:r>
              <w:rPr>
                <w:sz w:val="21"/>
                <w:szCs w:val="21"/>
                <w:spacing w:val="-1"/>
              </w:rPr>
              <w:t>类病害肉尸暂存，定期交资质单位无</w:t>
            </w:r>
            <w:r>
              <w:rPr>
                <w:sz w:val="21"/>
                <w:szCs w:val="21"/>
                <w:spacing w:val="6"/>
              </w:rPr>
              <w:t xml:space="preserve"> </w:t>
            </w:r>
            <w:r>
              <w:rPr>
                <w:sz w:val="21"/>
                <w:szCs w:val="21"/>
                <w:spacing w:val="-1"/>
              </w:rPr>
              <w:t>害化处理。</w:t>
            </w:r>
          </w:p>
        </w:tc>
        <w:tc>
          <w:tcPr>
            <w:tcW w:w="744" w:type="dxa"/>
            <w:vAlign w:val="top"/>
          </w:tcPr>
          <w:p>
            <w:pPr>
              <w:spacing w:line="383" w:lineRule="auto"/>
              <w:rPr>
                <w:rFonts w:ascii="Arial"/>
                <w:sz w:val="21"/>
              </w:rPr>
            </w:pPr>
            <w:r/>
          </w:p>
          <w:p>
            <w:pPr>
              <w:pStyle w:val="TableText"/>
              <w:ind w:left="159"/>
              <w:spacing w:before="68" w:line="219" w:lineRule="auto"/>
              <w:rPr>
                <w:sz w:val="21"/>
                <w:szCs w:val="21"/>
              </w:rPr>
            </w:pPr>
            <w:r>
              <w:rPr>
                <w:sz w:val="21"/>
                <w:szCs w:val="21"/>
                <w:spacing w:val="-3"/>
              </w:rPr>
              <w:t>符合</w:t>
            </w:r>
          </w:p>
        </w:tc>
      </w:tr>
      <w:tr>
        <w:trPr>
          <w:trHeight w:val="539" w:hRule="atLeast"/>
        </w:trPr>
        <w:tc>
          <w:tcPr>
            <w:tcW w:w="844" w:type="dxa"/>
            <w:vAlign w:val="top"/>
            <w:vMerge w:val="continue"/>
            <w:tcBorders>
              <w:top w:val="nil"/>
              <w:bottom w:val="nil"/>
            </w:tcBorders>
          </w:tcPr>
          <w:p>
            <w:pPr>
              <w:rPr>
                <w:rFonts w:ascii="Arial"/>
                <w:sz w:val="21"/>
              </w:rPr>
            </w:pPr>
            <w:r/>
          </w:p>
        </w:tc>
        <w:tc>
          <w:tcPr>
            <w:tcW w:w="3636" w:type="dxa"/>
            <w:vAlign w:val="top"/>
            <w:gridSpan w:val="2"/>
          </w:tcPr>
          <w:p>
            <w:pPr>
              <w:pStyle w:val="TableText"/>
              <w:ind w:left="11" w:right="126"/>
              <w:spacing w:before="35" w:line="217" w:lineRule="auto"/>
              <w:rPr>
                <w:sz w:val="21"/>
                <w:szCs w:val="21"/>
              </w:rPr>
            </w:pPr>
            <w:r>
              <w:rPr>
                <w:sz w:val="21"/>
                <w:szCs w:val="21"/>
                <w:spacing w:val="1"/>
              </w:rPr>
              <w:t>3.3.5厂区应有良好的雨水排放和防内</w:t>
            </w:r>
            <w:r>
              <w:rPr>
                <w:sz w:val="21"/>
                <w:szCs w:val="21"/>
                <w:spacing w:val="3"/>
              </w:rPr>
              <w:t xml:space="preserve"> </w:t>
            </w:r>
            <w:r>
              <w:rPr>
                <w:sz w:val="21"/>
                <w:szCs w:val="21"/>
                <w:spacing w:val="-1"/>
              </w:rPr>
              <w:t>涝系统，可设置雨水回用设施。</w:t>
            </w:r>
          </w:p>
        </w:tc>
        <w:tc>
          <w:tcPr>
            <w:tcW w:w="3616" w:type="dxa"/>
            <w:vAlign w:val="top"/>
          </w:tcPr>
          <w:p>
            <w:pPr>
              <w:pStyle w:val="TableText"/>
              <w:ind w:left="605"/>
              <w:spacing w:before="173" w:line="219" w:lineRule="auto"/>
              <w:rPr>
                <w:sz w:val="21"/>
                <w:szCs w:val="21"/>
              </w:rPr>
            </w:pPr>
            <w:r>
              <w:rPr>
                <w:sz w:val="21"/>
                <w:szCs w:val="21"/>
                <w:spacing w:val="-1"/>
              </w:rPr>
              <w:t>厂区拟建完整雨水系统。</w:t>
            </w:r>
          </w:p>
        </w:tc>
        <w:tc>
          <w:tcPr>
            <w:tcW w:w="744" w:type="dxa"/>
            <w:vAlign w:val="top"/>
          </w:tcPr>
          <w:p>
            <w:pPr>
              <w:pStyle w:val="TableText"/>
              <w:ind w:left="159"/>
              <w:spacing w:before="174" w:line="219" w:lineRule="auto"/>
              <w:rPr>
                <w:sz w:val="21"/>
                <w:szCs w:val="21"/>
              </w:rPr>
            </w:pPr>
            <w:r>
              <w:rPr>
                <w:sz w:val="21"/>
                <w:szCs w:val="21"/>
                <w:spacing w:val="-3"/>
              </w:rPr>
              <w:t>符合</w:t>
            </w:r>
          </w:p>
        </w:tc>
      </w:tr>
      <w:tr>
        <w:trPr>
          <w:trHeight w:val="1359" w:hRule="atLeast"/>
        </w:trPr>
        <w:tc>
          <w:tcPr>
            <w:tcW w:w="844" w:type="dxa"/>
            <w:vAlign w:val="top"/>
            <w:vMerge w:val="continue"/>
            <w:tcBorders>
              <w:top w:val="nil"/>
              <w:bottom w:val="nil"/>
            </w:tcBorders>
          </w:tcPr>
          <w:p>
            <w:pPr>
              <w:rPr>
                <w:rFonts w:ascii="Arial"/>
                <w:sz w:val="21"/>
              </w:rPr>
            </w:pPr>
            <w:r/>
          </w:p>
        </w:tc>
        <w:tc>
          <w:tcPr>
            <w:tcW w:w="3636" w:type="dxa"/>
            <w:vAlign w:val="top"/>
            <w:gridSpan w:val="2"/>
          </w:tcPr>
          <w:p>
            <w:pPr>
              <w:pStyle w:val="TableText"/>
              <w:ind w:left="11" w:right="234"/>
              <w:spacing w:before="46" w:line="229" w:lineRule="auto"/>
              <w:rPr>
                <w:sz w:val="21"/>
                <w:szCs w:val="21"/>
              </w:rPr>
            </w:pPr>
            <w:r>
              <w:rPr>
                <w:sz w:val="21"/>
                <w:szCs w:val="21"/>
                <w:spacing w:val="-1"/>
              </w:rPr>
              <w:t>3.3.6厂区的主要道路应平整、不起</w:t>
            </w:r>
            <w:r>
              <w:rPr>
                <w:sz w:val="21"/>
                <w:szCs w:val="21"/>
                <w:spacing w:val="2"/>
              </w:rPr>
              <w:t xml:space="preserve">  </w:t>
            </w:r>
            <w:r>
              <w:rPr>
                <w:sz w:val="21"/>
                <w:szCs w:val="21"/>
                <w:spacing w:val="1"/>
              </w:rPr>
              <w:t>尘，应有相应的车辆承载能力。活畜</w:t>
            </w:r>
            <w:r>
              <w:rPr>
                <w:sz w:val="21"/>
                <w:szCs w:val="21"/>
                <w:spacing w:val="3"/>
              </w:rPr>
              <w:t xml:space="preserve"> </w:t>
            </w:r>
            <w:r>
              <w:rPr>
                <w:sz w:val="21"/>
                <w:szCs w:val="21"/>
                <w:spacing w:val="-1"/>
              </w:rPr>
              <w:t>进厂的入口处应设置底部长4.0m、深</w:t>
            </w:r>
            <w:r>
              <w:rPr>
                <w:sz w:val="21"/>
                <w:szCs w:val="21"/>
                <w:spacing w:val="10"/>
              </w:rPr>
              <w:t xml:space="preserve"> </w:t>
            </w:r>
            <w:r>
              <w:rPr>
                <w:sz w:val="21"/>
                <w:szCs w:val="21"/>
                <w:spacing w:val="-1"/>
              </w:rPr>
              <w:t>0.3m、与门同宽且能排放消毒液的车</w:t>
            </w:r>
            <w:r>
              <w:rPr>
                <w:sz w:val="21"/>
                <w:szCs w:val="21"/>
                <w:spacing w:val="7"/>
              </w:rPr>
              <w:t xml:space="preserve"> </w:t>
            </w:r>
            <w:r>
              <w:rPr>
                <w:sz w:val="21"/>
                <w:szCs w:val="21"/>
                <w:spacing w:val="-1"/>
              </w:rPr>
              <w:t>轮消毒池。</w:t>
            </w:r>
          </w:p>
        </w:tc>
        <w:tc>
          <w:tcPr>
            <w:tcW w:w="3616" w:type="dxa"/>
            <w:vAlign w:val="top"/>
          </w:tcPr>
          <w:p>
            <w:pPr>
              <w:pStyle w:val="TableText"/>
              <w:ind w:left="15" w:right="221"/>
              <w:spacing w:before="44" w:line="234" w:lineRule="auto"/>
              <w:rPr>
                <w:sz w:val="21"/>
                <w:szCs w:val="21"/>
              </w:rPr>
            </w:pPr>
            <w:r>
              <w:rPr>
                <w:sz w:val="21"/>
                <w:szCs w:val="21"/>
                <w:spacing w:val="-1"/>
              </w:rPr>
              <w:t>厂区道路应平整、不起尘，应有相应</w:t>
            </w:r>
            <w:r>
              <w:rPr>
                <w:sz w:val="21"/>
                <w:szCs w:val="21"/>
                <w:spacing w:val="4"/>
              </w:rPr>
              <w:t xml:space="preserve"> </w:t>
            </w:r>
            <w:r>
              <w:rPr>
                <w:sz w:val="21"/>
                <w:szCs w:val="21"/>
              </w:rPr>
              <w:t>的车辆承载能力。活畜进厂的入口处</w:t>
            </w:r>
            <w:r>
              <w:rPr>
                <w:sz w:val="21"/>
                <w:szCs w:val="21"/>
                <w:spacing w:val="8"/>
              </w:rPr>
              <w:t xml:space="preserve"> </w:t>
            </w:r>
            <w:r>
              <w:rPr>
                <w:sz w:val="21"/>
                <w:szCs w:val="21"/>
              </w:rPr>
              <w:t>依托原项目设置底部长4.0m、深</w:t>
            </w:r>
          </w:p>
          <w:p>
            <w:pPr>
              <w:pStyle w:val="TableText"/>
              <w:ind w:left="15" w:right="235"/>
              <w:spacing w:before="21" w:line="213" w:lineRule="auto"/>
              <w:rPr>
                <w:sz w:val="21"/>
                <w:szCs w:val="21"/>
              </w:rPr>
            </w:pPr>
            <w:r>
              <w:rPr>
                <w:sz w:val="21"/>
                <w:szCs w:val="21"/>
                <w:spacing w:val="-1"/>
              </w:rPr>
              <w:t>0.3m、与门同宽且能排放消毒液的车</w:t>
            </w:r>
            <w:r>
              <w:rPr>
                <w:sz w:val="21"/>
                <w:szCs w:val="21"/>
                <w:spacing w:val="7"/>
              </w:rPr>
              <w:t xml:space="preserve"> </w:t>
            </w:r>
            <w:r>
              <w:rPr>
                <w:sz w:val="21"/>
                <w:szCs w:val="21"/>
                <w:spacing w:val="-1"/>
              </w:rPr>
              <w:t>轮消毒池，能满足本项目消毒要求。</w:t>
            </w:r>
          </w:p>
        </w:tc>
        <w:tc>
          <w:tcPr>
            <w:tcW w:w="744" w:type="dxa"/>
            <w:vAlign w:val="top"/>
          </w:tcPr>
          <w:p>
            <w:pPr>
              <w:spacing w:line="257" w:lineRule="auto"/>
              <w:rPr>
                <w:rFonts w:ascii="Arial"/>
                <w:sz w:val="21"/>
              </w:rPr>
            </w:pPr>
            <w:r/>
          </w:p>
          <w:p>
            <w:pPr>
              <w:spacing w:line="257" w:lineRule="auto"/>
              <w:rPr>
                <w:rFonts w:ascii="Arial"/>
                <w:sz w:val="21"/>
              </w:rPr>
            </w:pPr>
            <w:r/>
          </w:p>
          <w:p>
            <w:pPr>
              <w:pStyle w:val="TableText"/>
              <w:ind w:left="159"/>
              <w:spacing w:before="68" w:line="219" w:lineRule="auto"/>
              <w:rPr>
                <w:sz w:val="21"/>
                <w:szCs w:val="21"/>
              </w:rPr>
            </w:pPr>
            <w:r>
              <w:rPr>
                <w:sz w:val="21"/>
                <w:szCs w:val="21"/>
                <w:spacing w:val="-3"/>
              </w:rPr>
              <w:t>符合</w:t>
            </w:r>
          </w:p>
        </w:tc>
      </w:tr>
      <w:tr>
        <w:trPr>
          <w:trHeight w:val="1099" w:hRule="atLeast"/>
        </w:trPr>
        <w:tc>
          <w:tcPr>
            <w:tcW w:w="844" w:type="dxa"/>
            <w:vAlign w:val="top"/>
            <w:vMerge w:val="continue"/>
            <w:tcBorders>
              <w:top w:val="nil"/>
            </w:tcBorders>
          </w:tcPr>
          <w:p>
            <w:pPr>
              <w:rPr>
                <w:rFonts w:ascii="Arial"/>
                <w:sz w:val="21"/>
              </w:rPr>
            </w:pPr>
            <w:r/>
          </w:p>
        </w:tc>
        <w:tc>
          <w:tcPr>
            <w:tcW w:w="3636" w:type="dxa"/>
            <w:vAlign w:val="top"/>
            <w:gridSpan w:val="2"/>
          </w:tcPr>
          <w:p>
            <w:pPr>
              <w:pStyle w:val="TableText"/>
              <w:ind w:left="11" w:right="259"/>
              <w:spacing w:before="47" w:line="229" w:lineRule="auto"/>
              <w:rPr>
                <w:sz w:val="21"/>
                <w:szCs w:val="21"/>
              </w:rPr>
            </w:pPr>
            <w:r>
              <w:rPr>
                <w:sz w:val="21"/>
                <w:szCs w:val="21"/>
                <w:spacing w:val="-1"/>
              </w:rPr>
              <w:t>3.3.7厂区内建(构)筑物周围、道路</w:t>
            </w:r>
            <w:r>
              <w:rPr>
                <w:sz w:val="21"/>
                <w:szCs w:val="21"/>
                <w:spacing w:val="2"/>
              </w:rPr>
              <w:t xml:space="preserve">  </w:t>
            </w:r>
            <w:r>
              <w:rPr>
                <w:sz w:val="21"/>
                <w:szCs w:val="21"/>
                <w:spacing w:val="-1"/>
              </w:rPr>
              <w:t>两侧的空地均应绿化，但不应种植能</w:t>
            </w:r>
            <w:r>
              <w:rPr>
                <w:sz w:val="21"/>
                <w:szCs w:val="21"/>
                <w:spacing w:val="5"/>
              </w:rPr>
              <w:t xml:space="preserve"> </w:t>
            </w:r>
            <w:r>
              <w:rPr>
                <w:sz w:val="21"/>
                <w:szCs w:val="21"/>
                <w:spacing w:val="-1"/>
              </w:rPr>
              <w:t>散发风媒花粉、飞架或恶臭的植物。</w:t>
            </w:r>
            <w:r>
              <w:rPr>
                <w:sz w:val="21"/>
                <w:szCs w:val="21"/>
                <w:spacing w:val="9"/>
              </w:rPr>
              <w:t xml:space="preserve"> </w:t>
            </w:r>
            <w:r>
              <w:rPr>
                <w:sz w:val="21"/>
                <w:szCs w:val="21"/>
                <w:spacing w:val="-1"/>
              </w:rPr>
              <w:t>空地宜种植草坪、灌木或低矮乔木。</w:t>
            </w:r>
          </w:p>
        </w:tc>
        <w:tc>
          <w:tcPr>
            <w:tcW w:w="3616" w:type="dxa"/>
            <w:vAlign w:val="top"/>
          </w:tcPr>
          <w:p>
            <w:pPr>
              <w:pStyle w:val="TableText"/>
              <w:ind w:left="15"/>
              <w:spacing w:before="46" w:line="219" w:lineRule="auto"/>
              <w:rPr>
                <w:sz w:val="21"/>
                <w:szCs w:val="21"/>
              </w:rPr>
            </w:pPr>
            <w:r>
              <w:rPr>
                <w:sz w:val="21"/>
                <w:szCs w:val="21"/>
              </w:rPr>
              <w:t>厂区内建(构)筑物周围、道路两侧</w:t>
            </w:r>
          </w:p>
          <w:p>
            <w:pPr>
              <w:pStyle w:val="TableText"/>
              <w:ind w:left="15" w:right="221"/>
              <w:spacing w:before="21" w:line="226" w:lineRule="auto"/>
              <w:rPr>
                <w:sz w:val="21"/>
                <w:szCs w:val="21"/>
              </w:rPr>
            </w:pPr>
            <w:r>
              <w:rPr>
                <w:sz w:val="21"/>
                <w:szCs w:val="21"/>
              </w:rPr>
              <w:t>的空地设计为绿化工程，不种植散发</w:t>
            </w:r>
            <w:r>
              <w:rPr>
                <w:sz w:val="21"/>
                <w:szCs w:val="21"/>
                <w:spacing w:val="8"/>
              </w:rPr>
              <w:t xml:space="preserve"> </w:t>
            </w:r>
            <w:r>
              <w:rPr>
                <w:sz w:val="21"/>
                <w:szCs w:val="21"/>
                <w:spacing w:val="-1"/>
              </w:rPr>
              <w:t>风媒花粉、飞架或恶臭的植物，种植</w:t>
            </w:r>
            <w:r>
              <w:rPr>
                <w:sz w:val="21"/>
                <w:szCs w:val="21"/>
                <w:spacing w:val="5"/>
              </w:rPr>
              <w:t xml:space="preserve"> </w:t>
            </w:r>
            <w:r>
              <w:rPr>
                <w:sz w:val="21"/>
                <w:szCs w:val="21"/>
                <w:spacing w:val="-1"/>
              </w:rPr>
              <w:t>草坪、灌木或低矮乔木。</w:t>
            </w:r>
          </w:p>
        </w:tc>
        <w:tc>
          <w:tcPr>
            <w:tcW w:w="744" w:type="dxa"/>
            <w:vAlign w:val="top"/>
          </w:tcPr>
          <w:p>
            <w:pPr>
              <w:spacing w:line="386" w:lineRule="auto"/>
              <w:rPr>
                <w:rFonts w:ascii="Arial"/>
                <w:sz w:val="21"/>
              </w:rPr>
            </w:pPr>
            <w:r/>
          </w:p>
          <w:p>
            <w:pPr>
              <w:pStyle w:val="TableText"/>
              <w:ind w:left="159"/>
              <w:spacing w:before="68" w:line="219" w:lineRule="auto"/>
              <w:rPr>
                <w:sz w:val="21"/>
                <w:szCs w:val="21"/>
              </w:rPr>
            </w:pPr>
            <w:r>
              <w:rPr>
                <w:sz w:val="21"/>
                <w:szCs w:val="21"/>
                <w:spacing w:val="-3"/>
              </w:rPr>
              <w:t>符合</w:t>
            </w:r>
          </w:p>
        </w:tc>
      </w:tr>
      <w:tr>
        <w:trPr>
          <w:trHeight w:val="539" w:hRule="atLeast"/>
        </w:trPr>
        <w:tc>
          <w:tcPr>
            <w:tcW w:w="844" w:type="dxa"/>
            <w:vAlign w:val="top"/>
            <w:vMerge w:val="restart"/>
            <w:tcBorders>
              <w:bottom w:val="nil"/>
            </w:tcBorders>
          </w:tcPr>
          <w:p>
            <w:pPr>
              <w:spacing w:line="396" w:lineRule="auto"/>
              <w:rPr>
                <w:rFonts w:ascii="Arial"/>
                <w:sz w:val="21"/>
              </w:rPr>
            </w:pPr>
            <w:r/>
          </w:p>
          <w:p>
            <w:pPr>
              <w:pStyle w:val="TableText"/>
              <w:ind w:left="205" w:right="61" w:hanging="160"/>
              <w:spacing w:before="68" w:line="222" w:lineRule="auto"/>
              <w:rPr>
                <w:sz w:val="21"/>
                <w:szCs w:val="21"/>
              </w:rPr>
            </w:pPr>
            <w:r>
              <w:rPr>
                <w:sz w:val="21"/>
                <w:szCs w:val="21"/>
                <w:spacing w:val="-2"/>
              </w:rPr>
              <w:t>4.3屠宰</w:t>
            </w:r>
            <w:r>
              <w:rPr>
                <w:sz w:val="21"/>
                <w:szCs w:val="21"/>
                <w:spacing w:val="1"/>
              </w:rPr>
              <w:t xml:space="preserve"> </w:t>
            </w:r>
            <w:r>
              <w:rPr>
                <w:sz w:val="21"/>
                <w:szCs w:val="21"/>
                <w:spacing w:val="10"/>
              </w:rPr>
              <w:t>车间</w:t>
            </w:r>
          </w:p>
        </w:tc>
        <w:tc>
          <w:tcPr>
            <w:tcW w:w="1388" w:type="dxa"/>
            <w:vAlign w:val="top"/>
          </w:tcPr>
          <w:p>
            <w:pPr>
              <w:pStyle w:val="TableText"/>
              <w:ind w:left="471"/>
              <w:spacing w:before="178" w:line="220" w:lineRule="auto"/>
              <w:rPr>
                <w:sz w:val="21"/>
                <w:szCs w:val="21"/>
              </w:rPr>
            </w:pPr>
            <w:r>
              <w:rPr>
                <w:sz w:val="21"/>
                <w:szCs w:val="21"/>
                <w:spacing w:val="8"/>
              </w:rPr>
              <w:t>级别</w:t>
            </w:r>
          </w:p>
        </w:tc>
        <w:tc>
          <w:tcPr>
            <w:tcW w:w="2248" w:type="dxa"/>
            <w:vAlign w:val="top"/>
          </w:tcPr>
          <w:p>
            <w:pPr>
              <w:pStyle w:val="TableText"/>
              <w:ind w:left="322" w:right="182" w:hanging="149"/>
              <w:spacing w:before="46" w:line="212" w:lineRule="auto"/>
              <w:rPr>
                <w:sz w:val="21"/>
                <w:szCs w:val="21"/>
              </w:rPr>
            </w:pPr>
            <w:r>
              <w:rPr>
                <w:sz w:val="21"/>
                <w:szCs w:val="21"/>
                <w:spacing w:val="-1"/>
              </w:rPr>
              <w:t>平均单班每头(只)最</w:t>
            </w:r>
            <w:r>
              <w:rPr>
                <w:sz w:val="21"/>
                <w:szCs w:val="21"/>
                <w:spacing w:val="1"/>
              </w:rPr>
              <w:t xml:space="preserve"> </w:t>
            </w:r>
            <w:r>
              <w:rPr>
                <w:sz w:val="21"/>
                <w:szCs w:val="21"/>
                <w:spacing w:val="17"/>
              </w:rPr>
              <w:t>小建筑面积(m²)</w:t>
            </w:r>
          </w:p>
        </w:tc>
        <w:tc>
          <w:tcPr>
            <w:tcW w:w="3616" w:type="dxa"/>
            <w:vAlign w:val="top"/>
            <w:vMerge w:val="restart"/>
            <w:tcBorders>
              <w:bottom w:val="nil"/>
            </w:tcBorders>
          </w:tcPr>
          <w:p>
            <w:pPr>
              <w:pStyle w:val="TableText"/>
              <w:ind w:left="15" w:right="120"/>
              <w:spacing w:before="56" w:line="235" w:lineRule="auto"/>
              <w:jc w:val="both"/>
              <w:rPr>
                <w:sz w:val="21"/>
                <w:szCs w:val="21"/>
              </w:rPr>
            </w:pPr>
            <w:r>
              <w:rPr>
                <w:sz w:val="21"/>
                <w:szCs w:val="21"/>
                <w:spacing w:val="-1"/>
              </w:rPr>
              <w:t>本项目年屠宰4万头肉牛，肉牛屠宰车</w:t>
            </w:r>
            <w:r>
              <w:rPr>
                <w:sz w:val="21"/>
                <w:szCs w:val="21"/>
                <w:spacing w:val="6"/>
              </w:rPr>
              <w:t xml:space="preserve"> </w:t>
            </w:r>
            <w:r>
              <w:rPr>
                <w:sz w:val="21"/>
                <w:szCs w:val="21"/>
                <w:spacing w:val="5"/>
              </w:rPr>
              <w:t>间建筑面积为870m²,则本项目淡季屠</w:t>
            </w:r>
            <w:r>
              <w:rPr>
                <w:sz w:val="21"/>
                <w:szCs w:val="21"/>
                <w:spacing w:val="14"/>
              </w:rPr>
              <w:t xml:space="preserve"> </w:t>
            </w:r>
            <w:r>
              <w:rPr>
                <w:sz w:val="21"/>
                <w:szCs w:val="21"/>
              </w:rPr>
              <w:t>宰量为100头/d,对应平均每头建筑面</w:t>
            </w:r>
            <w:r>
              <w:rPr>
                <w:sz w:val="21"/>
                <w:szCs w:val="21"/>
                <w:spacing w:val="4"/>
              </w:rPr>
              <w:t xml:space="preserve">  </w:t>
            </w:r>
            <w:r>
              <w:rPr>
                <w:sz w:val="21"/>
                <w:szCs w:val="21"/>
                <w:spacing w:val="5"/>
              </w:rPr>
              <w:t>积为9.7m²;旺季屠宰量为144头/</w:t>
            </w:r>
            <w:r>
              <w:rPr>
                <w:sz w:val="21"/>
                <w:szCs w:val="21"/>
                <w:spacing w:val="4"/>
              </w:rPr>
              <w:t>d,对</w:t>
            </w:r>
            <w:r>
              <w:rPr>
                <w:sz w:val="21"/>
                <w:szCs w:val="21"/>
              </w:rPr>
              <w:t xml:space="preserve"> </w:t>
            </w:r>
            <w:r>
              <w:rPr>
                <w:sz w:val="21"/>
                <w:szCs w:val="21"/>
                <w:spacing w:val="6"/>
              </w:rPr>
              <w:t>应平均每头建筑面积为6.04m²。</w:t>
            </w:r>
          </w:p>
        </w:tc>
        <w:tc>
          <w:tcPr>
            <w:tcW w:w="744" w:type="dxa"/>
            <w:vAlign w:val="top"/>
            <w:vMerge w:val="restart"/>
            <w:tcBorders>
              <w:bottom w:val="nil"/>
            </w:tcBorders>
          </w:tcPr>
          <w:p>
            <w:pPr>
              <w:spacing w:line="268" w:lineRule="auto"/>
              <w:rPr>
                <w:rFonts w:ascii="Arial"/>
                <w:sz w:val="21"/>
              </w:rPr>
            </w:pPr>
            <w:r/>
          </w:p>
          <w:p>
            <w:pPr>
              <w:spacing w:line="268" w:lineRule="auto"/>
              <w:rPr>
                <w:rFonts w:ascii="Arial"/>
                <w:sz w:val="21"/>
              </w:rPr>
            </w:pPr>
            <w:r/>
          </w:p>
          <w:p>
            <w:pPr>
              <w:pStyle w:val="TableText"/>
              <w:ind w:left="159"/>
              <w:spacing w:before="68" w:line="219" w:lineRule="auto"/>
              <w:rPr>
                <w:sz w:val="21"/>
                <w:szCs w:val="21"/>
              </w:rPr>
            </w:pPr>
            <w:r>
              <w:rPr>
                <w:sz w:val="21"/>
                <w:szCs w:val="21"/>
                <w:spacing w:val="-3"/>
              </w:rPr>
              <w:t>符合</w:t>
            </w:r>
          </w:p>
        </w:tc>
      </w:tr>
      <w:tr>
        <w:trPr>
          <w:trHeight w:val="259" w:hRule="atLeast"/>
        </w:trPr>
        <w:tc>
          <w:tcPr>
            <w:tcW w:w="844" w:type="dxa"/>
            <w:vAlign w:val="top"/>
            <w:vMerge w:val="continue"/>
            <w:tcBorders>
              <w:top w:val="nil"/>
              <w:bottom w:val="nil"/>
            </w:tcBorders>
          </w:tcPr>
          <w:p>
            <w:pPr>
              <w:rPr>
                <w:rFonts w:ascii="Arial"/>
                <w:sz w:val="21"/>
              </w:rPr>
            </w:pPr>
            <w:r/>
          </w:p>
        </w:tc>
        <w:tc>
          <w:tcPr>
            <w:tcW w:w="1388" w:type="dxa"/>
            <w:vAlign w:val="top"/>
          </w:tcPr>
          <w:p>
            <w:pPr>
              <w:pStyle w:val="TableText"/>
              <w:ind w:left="471"/>
              <w:spacing w:before="39" w:line="184" w:lineRule="auto"/>
              <w:rPr>
                <w:sz w:val="21"/>
                <w:szCs w:val="21"/>
              </w:rPr>
            </w:pPr>
            <w:r>
              <w:rPr>
                <w:sz w:val="21"/>
                <w:szCs w:val="21"/>
                <w:spacing w:val="6"/>
              </w:rPr>
              <w:t>大型</w:t>
            </w:r>
          </w:p>
        </w:tc>
        <w:tc>
          <w:tcPr>
            <w:tcW w:w="2248" w:type="dxa"/>
            <w:vAlign w:val="top"/>
          </w:tcPr>
          <w:p>
            <w:pPr>
              <w:pStyle w:val="TableText"/>
              <w:ind w:left="853"/>
              <w:spacing w:before="39" w:line="184" w:lineRule="auto"/>
              <w:rPr>
                <w:sz w:val="21"/>
                <w:szCs w:val="21"/>
              </w:rPr>
            </w:pPr>
            <w:r>
              <w:rPr>
                <w:sz w:val="21"/>
                <w:szCs w:val="21"/>
                <w:color w:val="505060"/>
                <w:spacing w:val="-4"/>
              </w:rPr>
              <w:t>牛3.0</w:t>
            </w:r>
          </w:p>
        </w:tc>
        <w:tc>
          <w:tcPr>
            <w:tcW w:w="3616" w:type="dxa"/>
            <w:vAlign w:val="top"/>
            <w:vMerge w:val="continue"/>
            <w:tcBorders>
              <w:top w:val="nil"/>
              <w:bottom w:val="nil"/>
            </w:tcBorders>
          </w:tcPr>
          <w:p>
            <w:pPr>
              <w:rPr>
                <w:rFonts w:ascii="Arial"/>
                <w:sz w:val="21"/>
              </w:rPr>
            </w:pPr>
            <w:r/>
          </w:p>
        </w:tc>
        <w:tc>
          <w:tcPr>
            <w:tcW w:w="744" w:type="dxa"/>
            <w:vAlign w:val="top"/>
            <w:vMerge w:val="continue"/>
            <w:tcBorders>
              <w:top w:val="nil"/>
              <w:bottom w:val="nil"/>
            </w:tcBorders>
          </w:tcPr>
          <w:p>
            <w:pPr>
              <w:rPr>
                <w:rFonts w:ascii="Arial"/>
                <w:sz w:val="21"/>
              </w:rPr>
            </w:pPr>
            <w:r/>
          </w:p>
        </w:tc>
      </w:tr>
      <w:tr>
        <w:trPr>
          <w:trHeight w:val="290" w:hRule="atLeast"/>
        </w:trPr>
        <w:tc>
          <w:tcPr>
            <w:tcW w:w="844" w:type="dxa"/>
            <w:vAlign w:val="top"/>
            <w:vMerge w:val="continue"/>
            <w:tcBorders>
              <w:top w:val="nil"/>
              <w:bottom w:val="nil"/>
            </w:tcBorders>
          </w:tcPr>
          <w:p>
            <w:pPr>
              <w:rPr>
                <w:rFonts w:ascii="Arial"/>
                <w:sz w:val="21"/>
              </w:rPr>
            </w:pPr>
            <w:r/>
          </w:p>
        </w:tc>
        <w:tc>
          <w:tcPr>
            <w:tcW w:w="1388" w:type="dxa"/>
            <w:vAlign w:val="top"/>
          </w:tcPr>
          <w:p>
            <w:pPr>
              <w:pStyle w:val="TableText"/>
              <w:ind w:left="471"/>
              <w:spacing w:before="50" w:line="202" w:lineRule="auto"/>
              <w:rPr>
                <w:sz w:val="21"/>
                <w:szCs w:val="21"/>
              </w:rPr>
            </w:pPr>
            <w:r>
              <w:rPr>
                <w:sz w:val="21"/>
                <w:szCs w:val="21"/>
                <w:spacing w:val="6"/>
              </w:rPr>
              <w:t>中型</w:t>
            </w:r>
          </w:p>
        </w:tc>
        <w:tc>
          <w:tcPr>
            <w:tcW w:w="2248" w:type="dxa"/>
            <w:vAlign w:val="top"/>
          </w:tcPr>
          <w:p>
            <w:pPr>
              <w:pStyle w:val="TableText"/>
              <w:ind w:left="853"/>
              <w:spacing w:before="51" w:line="201" w:lineRule="auto"/>
              <w:rPr>
                <w:sz w:val="21"/>
                <w:szCs w:val="21"/>
              </w:rPr>
            </w:pPr>
            <w:r>
              <w:rPr>
                <w:sz w:val="21"/>
                <w:szCs w:val="21"/>
                <w:color w:val="707070"/>
                <w:spacing w:val="-4"/>
              </w:rPr>
              <w:t>牛5.0</w:t>
            </w:r>
          </w:p>
        </w:tc>
        <w:tc>
          <w:tcPr>
            <w:tcW w:w="3616" w:type="dxa"/>
            <w:vAlign w:val="top"/>
            <w:vMerge w:val="continue"/>
            <w:tcBorders>
              <w:top w:val="nil"/>
              <w:bottom w:val="nil"/>
            </w:tcBorders>
          </w:tcPr>
          <w:p>
            <w:pPr>
              <w:rPr>
                <w:rFonts w:ascii="Arial"/>
                <w:sz w:val="21"/>
              </w:rPr>
            </w:pPr>
            <w:r/>
          </w:p>
        </w:tc>
        <w:tc>
          <w:tcPr>
            <w:tcW w:w="744" w:type="dxa"/>
            <w:vAlign w:val="top"/>
            <w:vMerge w:val="continue"/>
            <w:tcBorders>
              <w:top w:val="nil"/>
              <w:bottom w:val="nil"/>
            </w:tcBorders>
          </w:tcPr>
          <w:p>
            <w:pPr>
              <w:rPr>
                <w:rFonts w:ascii="Arial"/>
                <w:sz w:val="21"/>
              </w:rPr>
            </w:pPr>
            <w:r/>
          </w:p>
        </w:tc>
      </w:tr>
      <w:tr>
        <w:trPr>
          <w:trHeight w:val="285" w:hRule="atLeast"/>
        </w:trPr>
        <w:tc>
          <w:tcPr>
            <w:tcW w:w="844" w:type="dxa"/>
            <w:vAlign w:val="top"/>
            <w:vMerge w:val="continue"/>
            <w:tcBorders>
              <w:top w:val="nil"/>
            </w:tcBorders>
          </w:tcPr>
          <w:p>
            <w:pPr>
              <w:rPr>
                <w:rFonts w:ascii="Arial"/>
                <w:sz w:val="21"/>
              </w:rPr>
            </w:pPr>
            <w:r/>
          </w:p>
        </w:tc>
        <w:tc>
          <w:tcPr>
            <w:tcW w:w="1388" w:type="dxa"/>
            <w:vAlign w:val="top"/>
          </w:tcPr>
          <w:p>
            <w:pPr>
              <w:pStyle w:val="TableText"/>
              <w:ind w:left="471"/>
              <w:spacing w:before="52" w:line="196" w:lineRule="auto"/>
              <w:rPr>
                <w:sz w:val="21"/>
                <w:szCs w:val="21"/>
              </w:rPr>
            </w:pPr>
            <w:r>
              <w:rPr>
                <w:sz w:val="21"/>
                <w:szCs w:val="21"/>
                <w:spacing w:val="6"/>
              </w:rPr>
              <w:t>小型</w:t>
            </w:r>
          </w:p>
        </w:tc>
        <w:tc>
          <w:tcPr>
            <w:tcW w:w="2248" w:type="dxa"/>
            <w:vAlign w:val="top"/>
          </w:tcPr>
          <w:p>
            <w:pPr>
              <w:pStyle w:val="TableText"/>
              <w:ind w:left="853"/>
              <w:spacing w:before="50" w:line="197" w:lineRule="auto"/>
              <w:rPr>
                <w:sz w:val="21"/>
                <w:szCs w:val="21"/>
              </w:rPr>
            </w:pPr>
            <w:r>
              <w:rPr>
                <w:sz w:val="21"/>
                <w:szCs w:val="21"/>
                <w:spacing w:val="-4"/>
              </w:rPr>
              <w:t>牛6.0</w:t>
            </w:r>
          </w:p>
        </w:tc>
        <w:tc>
          <w:tcPr>
            <w:tcW w:w="3616" w:type="dxa"/>
            <w:vAlign w:val="top"/>
            <w:vMerge w:val="continue"/>
            <w:tcBorders>
              <w:top w:val="nil"/>
            </w:tcBorders>
          </w:tcPr>
          <w:p>
            <w:pPr>
              <w:rPr>
                <w:rFonts w:ascii="Arial"/>
                <w:sz w:val="21"/>
              </w:rPr>
            </w:pPr>
            <w:r/>
          </w:p>
        </w:tc>
        <w:tc>
          <w:tcPr>
            <w:tcW w:w="744" w:type="dxa"/>
            <w:vAlign w:val="top"/>
            <w:vMerge w:val="continue"/>
            <w:tcBorders>
              <w:top w:val="nil"/>
            </w:tcBorders>
          </w:tcPr>
          <w:p>
            <w:pPr>
              <w:rPr>
                <w:rFonts w:ascii="Arial"/>
                <w:sz w:val="21"/>
              </w:rPr>
            </w:pPr>
            <w:r/>
          </w:p>
        </w:tc>
      </w:tr>
    </w:tbl>
    <w:p>
      <w:pPr>
        <w:ind w:left="778"/>
        <w:spacing w:before="48" w:line="217" w:lineRule="auto"/>
        <w:rPr>
          <w:rFonts w:ascii="SimSun" w:hAnsi="SimSun" w:eastAsia="SimSun" w:cs="SimSun"/>
          <w:sz w:val="25"/>
          <w:szCs w:val="25"/>
        </w:rPr>
      </w:pPr>
      <w:r>
        <w:rPr>
          <w:rFonts w:ascii="SimSun" w:hAnsi="SimSun" w:eastAsia="SimSun" w:cs="SimSun"/>
          <w:sz w:val="25"/>
          <w:szCs w:val="25"/>
          <w:b/>
          <w:bCs/>
          <w:spacing w:val="-4"/>
        </w:rPr>
        <w:t>⑥废水治理工程平面布置合理性分析</w:t>
      </w:r>
    </w:p>
    <w:p>
      <w:pPr>
        <w:ind w:left="274" w:right="266" w:firstLine="480"/>
        <w:spacing w:before="166" w:line="355" w:lineRule="auto"/>
        <w:rPr>
          <w:rFonts w:ascii="SimSun" w:hAnsi="SimSun" w:eastAsia="SimSun" w:cs="SimSun"/>
          <w:sz w:val="24"/>
          <w:szCs w:val="24"/>
        </w:rPr>
      </w:pPr>
      <w:r>
        <w:rPr>
          <w:rFonts w:ascii="SimSun" w:hAnsi="SimSun" w:eastAsia="SimSun" w:cs="SimSun"/>
          <w:sz w:val="24"/>
          <w:szCs w:val="24"/>
          <w:spacing w:val="4"/>
        </w:rPr>
        <w:t>厂区内雨水、污水、屠宰废水分别采用雨水管网、污水管网、废水管网收</w:t>
      </w:r>
      <w:r>
        <w:rPr>
          <w:rFonts w:ascii="SimSun" w:hAnsi="SimSun" w:eastAsia="SimSun" w:cs="SimSun"/>
          <w:sz w:val="24"/>
          <w:szCs w:val="24"/>
          <w:spacing w:val="10"/>
        </w:rPr>
        <w:t xml:space="preserve"> </w:t>
      </w:r>
      <w:r>
        <w:rPr>
          <w:rFonts w:ascii="SimSun" w:hAnsi="SimSun" w:eastAsia="SimSun" w:cs="SimSun"/>
          <w:sz w:val="24"/>
          <w:szCs w:val="24"/>
          <w:spacing w:val="4"/>
        </w:rPr>
        <w:t>集，本项目设置初期雨水收集系统，并设置雨污切换系统，初期雨水收集后排</w:t>
      </w:r>
      <w:r>
        <w:rPr>
          <w:rFonts w:ascii="SimSun" w:hAnsi="SimSun" w:eastAsia="SimSun" w:cs="SimSun"/>
          <w:sz w:val="24"/>
          <w:szCs w:val="24"/>
          <w:spacing w:val="2"/>
        </w:rPr>
        <w:t xml:space="preserve"> </w:t>
      </w:r>
      <w:r>
        <w:rPr>
          <w:rFonts w:ascii="SimSun" w:hAnsi="SimSun" w:eastAsia="SimSun" w:cs="SimSun"/>
          <w:sz w:val="24"/>
          <w:szCs w:val="24"/>
          <w:spacing w:val="1"/>
        </w:rPr>
        <w:t>入厂区初期雨水池，5分钟后雨水可切换排入厂区雨水管，雨</w:t>
      </w:r>
      <w:r>
        <w:rPr>
          <w:rFonts w:ascii="SimSun" w:hAnsi="SimSun" w:eastAsia="SimSun" w:cs="SimSun"/>
          <w:sz w:val="24"/>
          <w:szCs w:val="24"/>
        </w:rPr>
        <w:t>水管网沿生猪屠宰 </w:t>
      </w:r>
      <w:r>
        <w:rPr>
          <w:rFonts w:ascii="SimSun" w:hAnsi="SimSun" w:eastAsia="SimSun" w:cs="SimSun"/>
          <w:sz w:val="24"/>
          <w:szCs w:val="24"/>
          <w:spacing w:val="2"/>
        </w:rPr>
        <w:t>车间、肉牛屠宰车间、办公楼布置，雨水管网出口与西侧市政雨水管网相接；</w:t>
      </w:r>
      <w:r>
        <w:rPr>
          <w:rFonts w:ascii="SimSun" w:hAnsi="SimSun" w:eastAsia="SimSun" w:cs="SimSun"/>
          <w:sz w:val="24"/>
          <w:szCs w:val="24"/>
          <w:spacing w:val="10"/>
        </w:rPr>
        <w:t xml:space="preserve"> </w:t>
      </w:r>
      <w:r>
        <w:rPr>
          <w:rFonts w:ascii="SimSun" w:hAnsi="SimSun" w:eastAsia="SimSun" w:cs="SimSun"/>
          <w:sz w:val="24"/>
          <w:szCs w:val="24"/>
          <w:spacing w:val="4"/>
        </w:rPr>
        <w:t>污水管网沿生猪屠宰车间、肉牛屠宰车间布置，隔油池、预处理池均设置在办</w:t>
      </w:r>
      <w:r>
        <w:rPr>
          <w:rFonts w:ascii="SimSun" w:hAnsi="SimSun" w:eastAsia="SimSun" w:cs="SimSun"/>
          <w:sz w:val="24"/>
          <w:szCs w:val="24"/>
          <w:spacing w:val="7"/>
        </w:rPr>
        <w:t xml:space="preserve"> </w:t>
      </w:r>
      <w:r>
        <w:rPr>
          <w:rFonts w:ascii="SimSun" w:hAnsi="SimSun" w:eastAsia="SimSun" w:cs="SimSun"/>
          <w:sz w:val="24"/>
          <w:szCs w:val="24"/>
          <w:spacing w:val="4"/>
        </w:rPr>
        <w:t>公楼西侧，餐饮废水经隔油池处理后与生活污水一同经预处理池处理后进入污</w:t>
      </w:r>
      <w:r>
        <w:rPr>
          <w:rFonts w:ascii="SimSun" w:hAnsi="SimSun" w:eastAsia="SimSun" w:cs="SimSun"/>
          <w:sz w:val="24"/>
          <w:szCs w:val="24"/>
          <w:spacing w:val="5"/>
        </w:rPr>
        <w:t xml:space="preserve"> </w:t>
      </w:r>
      <w:r>
        <w:rPr>
          <w:rFonts w:ascii="SimSun" w:hAnsi="SimSun" w:eastAsia="SimSun" w:cs="SimSun"/>
          <w:sz w:val="24"/>
          <w:szCs w:val="24"/>
          <w:spacing w:val="4"/>
        </w:rPr>
        <w:t>水管网，污水管网出水口与东北侧园区污水管网相接；废水管网沿屠宰车间一</w:t>
      </w:r>
    </w:p>
    <w:p>
      <w:pPr>
        <w:spacing w:line="355" w:lineRule="auto"/>
        <w:sectPr>
          <w:headerReference w:type="default" r:id="rId254"/>
          <w:footerReference w:type="default" r:id="rId255"/>
          <w:pgSz w:w="11910" w:h="16840"/>
          <w:pgMar w:top="1167" w:right="1554" w:bottom="932" w:left="1504" w:header="874" w:footer="761" w:gutter="0"/>
        </w:sectPr>
        <w:rPr>
          <w:rFonts w:ascii="SimSun" w:hAnsi="SimSun" w:eastAsia="SimSun" w:cs="SimSun"/>
          <w:sz w:val="24"/>
          <w:szCs w:val="24"/>
        </w:rPr>
      </w:pPr>
    </w:p>
    <w:p>
      <w:pPr>
        <w:ind w:right="25"/>
        <w:spacing w:before="280" w:line="355" w:lineRule="auto"/>
        <w:jc w:val="both"/>
        <w:rPr>
          <w:rFonts w:ascii="SimSun" w:hAnsi="SimSun" w:eastAsia="SimSun" w:cs="SimSun"/>
          <w:sz w:val="24"/>
          <w:szCs w:val="24"/>
        </w:rPr>
      </w:pPr>
      <w:r>
        <w:rPr>
          <w:rFonts w:ascii="SimSun" w:hAnsi="SimSun" w:eastAsia="SimSun" w:cs="SimSun"/>
          <w:sz w:val="24"/>
          <w:szCs w:val="24"/>
          <w:spacing w:val="4"/>
        </w:rPr>
        <w:t>侧布置，屠宰废水经废水管网收集后进入污水处理站处理，污水处理站设置在</w:t>
      </w:r>
      <w:r>
        <w:rPr>
          <w:rFonts w:ascii="SimSun" w:hAnsi="SimSun" w:eastAsia="SimSun" w:cs="SimSun"/>
          <w:sz w:val="24"/>
          <w:szCs w:val="24"/>
          <w:spacing w:val="6"/>
        </w:rPr>
        <w:t xml:space="preserve"> </w:t>
      </w:r>
      <w:r>
        <w:rPr>
          <w:rFonts w:ascii="SimSun" w:hAnsi="SimSun" w:eastAsia="SimSun" w:cs="SimSun"/>
          <w:sz w:val="24"/>
          <w:szCs w:val="24"/>
          <w:spacing w:val="5"/>
        </w:rPr>
        <w:t>厂区内东北角，便于出水口与东北侧园区污水管</w:t>
      </w:r>
      <w:r>
        <w:rPr>
          <w:rFonts w:ascii="SimSun" w:hAnsi="SimSun" w:eastAsia="SimSun" w:cs="SimSun"/>
          <w:sz w:val="24"/>
          <w:szCs w:val="24"/>
          <w:spacing w:val="4"/>
        </w:rPr>
        <w:t>网的对接，同时，远离项目周</w:t>
      </w:r>
      <w:r>
        <w:rPr>
          <w:rFonts w:ascii="SimSun" w:hAnsi="SimSun" w:eastAsia="SimSun" w:cs="SimSun"/>
          <w:sz w:val="24"/>
          <w:szCs w:val="24"/>
        </w:rPr>
        <w:t xml:space="preserve"> </w:t>
      </w:r>
      <w:r>
        <w:rPr>
          <w:rFonts w:ascii="SimSun" w:hAnsi="SimSun" w:eastAsia="SimSun" w:cs="SimSun"/>
          <w:sz w:val="24"/>
          <w:szCs w:val="24"/>
          <w:spacing w:val="4"/>
        </w:rPr>
        <w:t>边居民区、医院、学校等环境敏感区域，减少恶臭对附近人群的影响。厂区雨</w:t>
      </w:r>
      <w:r>
        <w:rPr>
          <w:rFonts w:ascii="SimSun" w:hAnsi="SimSun" w:eastAsia="SimSun" w:cs="SimSun"/>
          <w:sz w:val="24"/>
          <w:szCs w:val="24"/>
          <w:spacing w:val="11"/>
        </w:rPr>
        <w:t xml:space="preserve"> </w:t>
      </w:r>
      <w:r>
        <w:rPr>
          <w:rFonts w:ascii="SimSun" w:hAnsi="SimSun" w:eastAsia="SimSun" w:cs="SimSun"/>
          <w:sz w:val="24"/>
          <w:szCs w:val="24"/>
          <w:spacing w:val="-4"/>
        </w:rPr>
        <w:t>污管网平面布置详见附图。</w:t>
      </w:r>
    </w:p>
    <w:p>
      <w:pPr>
        <w:ind w:right="39" w:firstLine="490"/>
        <w:spacing w:before="38" w:line="349" w:lineRule="auto"/>
        <w:rPr>
          <w:rFonts w:ascii="SimSun" w:hAnsi="SimSun" w:eastAsia="SimSun" w:cs="SimSun"/>
          <w:sz w:val="24"/>
          <w:szCs w:val="24"/>
        </w:rPr>
      </w:pPr>
      <w:r>
        <w:rPr>
          <w:rFonts w:ascii="SimSun" w:hAnsi="SimSun" w:eastAsia="SimSun" w:cs="SimSun"/>
          <w:sz w:val="24"/>
          <w:szCs w:val="24"/>
          <w:spacing w:val="4"/>
        </w:rPr>
        <w:t>此外，环屠宰车间设置进出车道，与东侧、西侧厂界外园区道路相连，厂</w:t>
      </w:r>
      <w:r>
        <w:rPr>
          <w:rFonts w:ascii="SimSun" w:hAnsi="SimSun" w:eastAsia="SimSun" w:cs="SimSun"/>
          <w:sz w:val="24"/>
          <w:szCs w:val="24"/>
          <w:spacing w:val="5"/>
        </w:rPr>
        <w:t xml:space="preserve"> </w:t>
      </w:r>
      <w:r>
        <w:rPr>
          <w:rFonts w:ascii="SimSun" w:hAnsi="SimSun" w:eastAsia="SimSun" w:cs="SimSun"/>
          <w:sz w:val="24"/>
          <w:szCs w:val="24"/>
          <w:spacing w:val="4"/>
        </w:rPr>
        <w:t>区内设置环形消防车道，所有建筑均以环形消防通道联通，形成一个完整的整</w:t>
      </w:r>
      <w:r>
        <w:rPr>
          <w:rFonts w:ascii="SimSun" w:hAnsi="SimSun" w:eastAsia="SimSun" w:cs="SimSun"/>
          <w:sz w:val="24"/>
          <w:szCs w:val="24"/>
          <w:spacing w:val="5"/>
        </w:rPr>
        <w:t xml:space="preserve"> </w:t>
      </w:r>
      <w:r>
        <w:rPr>
          <w:rFonts w:ascii="SimSun" w:hAnsi="SimSun" w:eastAsia="SimSun" w:cs="SimSun"/>
          <w:sz w:val="24"/>
          <w:szCs w:val="24"/>
          <w:spacing w:val="4"/>
        </w:rPr>
        <w:t>体，运输方便；厂区建筑现代简洁，项目充分利用土地，合理布置各功能区位</w:t>
      </w:r>
      <w:r>
        <w:rPr>
          <w:rFonts w:ascii="SimSun" w:hAnsi="SimSun" w:eastAsia="SimSun" w:cs="SimSun"/>
          <w:sz w:val="24"/>
          <w:szCs w:val="24"/>
          <w:spacing w:val="2"/>
        </w:rPr>
        <w:t xml:space="preserve"> </w:t>
      </w:r>
      <w:r>
        <w:rPr>
          <w:rFonts w:ascii="SimSun" w:hAnsi="SimSun" w:eastAsia="SimSun" w:cs="SimSun"/>
          <w:sz w:val="24"/>
          <w:szCs w:val="24"/>
          <w:spacing w:val="4"/>
        </w:rPr>
        <w:t>置，间距合理；污水处理站设置在厂区内东北北侧，采用半地埋式，远离生活</w:t>
      </w:r>
      <w:r>
        <w:rPr>
          <w:rFonts w:ascii="SimSun" w:hAnsi="SimSun" w:eastAsia="SimSun" w:cs="SimSun"/>
          <w:sz w:val="24"/>
          <w:szCs w:val="24"/>
          <w:spacing w:val="2"/>
        </w:rPr>
        <w:t xml:space="preserve"> </w:t>
      </w:r>
      <w:r>
        <w:rPr>
          <w:rFonts w:ascii="SimSun" w:hAnsi="SimSun" w:eastAsia="SimSun" w:cs="SimSun"/>
          <w:sz w:val="24"/>
          <w:szCs w:val="24"/>
          <w:spacing w:val="4"/>
        </w:rPr>
        <w:t>区，减少恶臭对附近人群的影响；待宰圈舍、屠</w:t>
      </w:r>
      <w:r>
        <w:rPr>
          <w:rFonts w:ascii="SimSun" w:hAnsi="SimSun" w:eastAsia="SimSun" w:cs="SimSun"/>
          <w:sz w:val="24"/>
          <w:szCs w:val="24"/>
          <w:spacing w:val="3"/>
        </w:rPr>
        <w:t>宰车间废气排气筒</w:t>
      </w:r>
      <w:r>
        <w:rPr>
          <w:rFonts w:ascii="SimSun" w:hAnsi="SimSun" w:eastAsia="SimSun" w:cs="SimSun"/>
          <w:sz w:val="24"/>
          <w:szCs w:val="24"/>
          <w:spacing w:val="-24"/>
        </w:rPr>
        <w:t xml:space="preserve"> </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3"/>
        </w:rPr>
        <w:t>001</w:t>
      </w:r>
      <w:r>
        <w:rPr>
          <w:rFonts w:ascii="SimSun" w:hAnsi="SimSun" w:eastAsia="SimSun" w:cs="SimSun"/>
          <w:sz w:val="24"/>
          <w:szCs w:val="24"/>
          <w:spacing w:val="3"/>
        </w:rPr>
        <w:t>、</w:t>
      </w:r>
    </w:p>
    <w:p>
      <w:pPr>
        <w:ind w:right="41"/>
        <w:spacing w:line="359" w:lineRule="auto"/>
        <w:rPr>
          <w:rFonts w:ascii="SimSun" w:hAnsi="SimSun" w:eastAsia="SimSun" w:cs="SimSun"/>
          <w:sz w:val="24"/>
          <w:szCs w:val="24"/>
        </w:rPr>
      </w:pP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3"/>
        </w:rPr>
        <w:t>002</w:t>
      </w:r>
      <w:r>
        <w:rPr>
          <w:rFonts w:ascii="Times New Roman" w:hAnsi="Times New Roman" w:eastAsia="Times New Roman" w:cs="Times New Roman"/>
          <w:sz w:val="24"/>
          <w:szCs w:val="24"/>
          <w:spacing w:val="-23"/>
        </w:rPr>
        <w:t xml:space="preserve"> </w:t>
      </w:r>
      <w:r>
        <w:rPr>
          <w:rFonts w:ascii="SimSun" w:hAnsi="SimSun" w:eastAsia="SimSun" w:cs="SimSun"/>
          <w:sz w:val="24"/>
          <w:szCs w:val="24"/>
          <w:spacing w:val="3"/>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3"/>
        </w:rPr>
        <w:t>003)</w:t>
      </w:r>
      <w:r>
        <w:rPr>
          <w:rFonts w:ascii="Times New Roman" w:hAnsi="Times New Roman" w:eastAsia="Times New Roman" w:cs="Times New Roman"/>
          <w:sz w:val="24"/>
          <w:szCs w:val="24"/>
        </w:rPr>
        <w:t xml:space="preserve">   </w:t>
      </w:r>
      <w:r>
        <w:rPr>
          <w:rFonts w:ascii="SimSun" w:hAnsi="SimSun" w:eastAsia="SimSun" w:cs="SimSun"/>
          <w:sz w:val="24"/>
          <w:szCs w:val="24"/>
          <w:spacing w:val="3"/>
        </w:rPr>
        <w:t>设置在待宰圈北侧、污水处理站废气排气筒</w:t>
      </w:r>
      <w:r>
        <w:rPr>
          <w:rFonts w:ascii="SimSun" w:hAnsi="SimSun" w:eastAsia="SimSun" w:cs="SimSun"/>
          <w:sz w:val="24"/>
          <w:szCs w:val="24"/>
          <w:spacing w:val="-34"/>
        </w:rPr>
        <w:t xml:space="preserve"> </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3"/>
        </w:rPr>
        <w:t>004)    </w:t>
      </w:r>
      <w:r>
        <w:rPr>
          <w:rFonts w:ascii="SimSun" w:hAnsi="SimSun" w:eastAsia="SimSun" w:cs="SimSun"/>
          <w:sz w:val="24"/>
          <w:szCs w:val="24"/>
          <w:spacing w:val="3"/>
        </w:rPr>
        <w:t>设置</w:t>
      </w:r>
      <w:r>
        <w:rPr>
          <w:rFonts w:ascii="SimSun" w:hAnsi="SimSun" w:eastAsia="SimSun" w:cs="SimSun"/>
          <w:sz w:val="24"/>
          <w:szCs w:val="24"/>
        </w:rPr>
        <w:t xml:space="preserve"> </w:t>
      </w:r>
      <w:r>
        <w:rPr>
          <w:rFonts w:ascii="SimSun" w:hAnsi="SimSun" w:eastAsia="SimSun" w:cs="SimSun"/>
          <w:sz w:val="24"/>
          <w:szCs w:val="24"/>
          <w:spacing w:val="3"/>
        </w:rPr>
        <w:t>在污水处理站东北侧、蒸汽发生器房废气排气筒</w:t>
      </w:r>
      <w:r>
        <w:rPr>
          <w:rFonts w:ascii="SimSun" w:hAnsi="SimSun" w:eastAsia="SimSun" w:cs="SimSun"/>
          <w:sz w:val="24"/>
          <w:szCs w:val="24"/>
          <w:spacing w:val="-45"/>
        </w:rPr>
        <w:t xml:space="preserve"> </w:t>
      </w:r>
      <w:r>
        <w:rPr>
          <w:rFonts w:ascii="SimSun" w:hAnsi="SimSun" w:eastAsia="SimSun" w:cs="SimSun"/>
          <w:sz w:val="24"/>
          <w:szCs w:val="24"/>
          <w:spacing w:val="3"/>
        </w:rPr>
        <w:t>(</w:t>
      </w:r>
      <w:r>
        <w:rPr>
          <w:rFonts w:ascii="SimSun" w:hAnsi="SimSun" w:eastAsia="SimSun" w:cs="SimSun"/>
          <w:sz w:val="24"/>
          <w:szCs w:val="24"/>
        </w:rPr>
        <w:t>DA</w:t>
      </w:r>
      <w:r>
        <w:rPr>
          <w:rFonts w:ascii="SimSun" w:hAnsi="SimSun" w:eastAsia="SimSun" w:cs="SimSun"/>
          <w:sz w:val="24"/>
          <w:szCs w:val="24"/>
          <w:spacing w:val="3"/>
        </w:rPr>
        <w:t>005)</w:t>
      </w:r>
      <w:r>
        <w:rPr>
          <w:rFonts w:ascii="SimSun" w:hAnsi="SimSun" w:eastAsia="SimSun" w:cs="SimSun"/>
          <w:sz w:val="24"/>
          <w:szCs w:val="24"/>
          <w:spacing w:val="46"/>
        </w:rPr>
        <w:t xml:space="preserve">  </w:t>
      </w:r>
      <w:r>
        <w:rPr>
          <w:rFonts w:ascii="SimSun" w:hAnsi="SimSun" w:eastAsia="SimSun" w:cs="SimSun"/>
          <w:sz w:val="24"/>
          <w:szCs w:val="24"/>
          <w:spacing w:val="2"/>
        </w:rPr>
        <w:t>设置在厂区内东南</w:t>
      </w:r>
      <w:r>
        <w:rPr>
          <w:rFonts w:ascii="SimSun" w:hAnsi="SimSun" w:eastAsia="SimSun" w:cs="SimSun"/>
          <w:sz w:val="24"/>
          <w:szCs w:val="24"/>
        </w:rPr>
        <w:t xml:space="preserve"> </w:t>
      </w:r>
      <w:r>
        <w:rPr>
          <w:rFonts w:ascii="SimSun" w:hAnsi="SimSun" w:eastAsia="SimSun" w:cs="SimSun"/>
          <w:sz w:val="24"/>
          <w:szCs w:val="24"/>
          <w:spacing w:val="4"/>
        </w:rPr>
        <w:t>侧，均远离项目周边居民区、医院、学校等环境敏感区域，项目排放的各项污</w:t>
      </w:r>
      <w:r>
        <w:rPr>
          <w:rFonts w:ascii="SimSun" w:hAnsi="SimSun" w:eastAsia="SimSun" w:cs="SimSun"/>
          <w:sz w:val="24"/>
          <w:szCs w:val="24"/>
          <w:spacing w:val="5"/>
        </w:rPr>
        <w:t xml:space="preserve"> </w:t>
      </w:r>
      <w:r>
        <w:rPr>
          <w:rFonts w:ascii="SimSun" w:hAnsi="SimSun" w:eastAsia="SimSun" w:cs="SimSun"/>
          <w:sz w:val="24"/>
          <w:szCs w:val="24"/>
          <w:spacing w:val="4"/>
        </w:rPr>
        <w:t>染物在严格落实本环评提出的各项污染措施</w:t>
      </w:r>
      <w:r>
        <w:rPr>
          <w:rFonts w:ascii="SimSun" w:hAnsi="SimSun" w:eastAsia="SimSun" w:cs="SimSun"/>
          <w:sz w:val="24"/>
          <w:szCs w:val="24"/>
          <w:spacing w:val="3"/>
        </w:rPr>
        <w:t>的前提下均能做到达标排放或妥善</w:t>
      </w:r>
      <w:r>
        <w:rPr>
          <w:rFonts w:ascii="SimSun" w:hAnsi="SimSun" w:eastAsia="SimSun" w:cs="SimSun"/>
          <w:sz w:val="24"/>
          <w:szCs w:val="24"/>
        </w:rPr>
        <w:t xml:space="preserve"> </w:t>
      </w:r>
      <w:r>
        <w:rPr>
          <w:rFonts w:ascii="SimSun" w:hAnsi="SimSun" w:eastAsia="SimSun" w:cs="SimSun"/>
          <w:sz w:val="24"/>
          <w:szCs w:val="24"/>
          <w:spacing w:val="-3"/>
        </w:rPr>
        <w:t>处置，不会对周边环境产生明显不良影响。</w:t>
      </w:r>
    </w:p>
    <w:p>
      <w:pPr>
        <w:ind w:right="41" w:firstLine="490"/>
        <w:spacing w:before="71" w:line="353" w:lineRule="auto"/>
        <w:rPr>
          <w:rFonts w:ascii="SimSun" w:hAnsi="SimSun" w:eastAsia="SimSun" w:cs="SimSun"/>
          <w:sz w:val="24"/>
          <w:szCs w:val="24"/>
        </w:rPr>
      </w:pPr>
      <w:r>
        <w:rPr>
          <w:rFonts w:ascii="SimSun" w:hAnsi="SimSun" w:eastAsia="SimSun" w:cs="SimSun"/>
          <w:sz w:val="24"/>
          <w:szCs w:val="24"/>
          <w:spacing w:val="4"/>
        </w:rPr>
        <w:t>综合上述分析，从生产的角度考虑总平面的布置，按生产流程自南向北布</w:t>
      </w:r>
      <w:r>
        <w:rPr>
          <w:rFonts w:ascii="SimSun" w:hAnsi="SimSun" w:eastAsia="SimSun" w:cs="SimSun"/>
          <w:sz w:val="24"/>
          <w:szCs w:val="24"/>
          <w:spacing w:val="3"/>
        </w:rPr>
        <w:t xml:space="preserve"> </w:t>
      </w:r>
      <w:r>
        <w:rPr>
          <w:rFonts w:ascii="SimSun" w:hAnsi="SimSun" w:eastAsia="SimSun" w:cs="SimSun"/>
          <w:sz w:val="24"/>
          <w:szCs w:val="24"/>
          <w:spacing w:val="10"/>
        </w:rPr>
        <w:t>置，项目布局基本符合《动物防疫条件审查办法》(农业农村部2022年第8号</w:t>
      </w:r>
      <w:r>
        <w:rPr>
          <w:rFonts w:ascii="SimSun" w:hAnsi="SimSun" w:eastAsia="SimSun" w:cs="SimSun"/>
          <w:sz w:val="24"/>
          <w:szCs w:val="24"/>
          <w:spacing w:val="3"/>
        </w:rPr>
        <w:t xml:space="preserve"> </w:t>
      </w:r>
      <w:r>
        <w:rPr>
          <w:rFonts w:ascii="SimSun" w:hAnsi="SimSun" w:eastAsia="SimSun" w:cs="SimSun"/>
          <w:sz w:val="24"/>
          <w:szCs w:val="24"/>
          <w:spacing w:val="2"/>
        </w:rPr>
        <w:t>令)、《食品安全国家标准畜禽屠宰加工卫生规范》</w:t>
      </w:r>
      <w:r>
        <w:rPr>
          <w:rFonts w:ascii="SimSun" w:hAnsi="SimSun" w:eastAsia="SimSun" w:cs="SimSun"/>
          <w:sz w:val="24"/>
          <w:szCs w:val="24"/>
          <w:spacing w:val="80"/>
        </w:rPr>
        <w:t xml:space="preserve"> </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2"/>
        </w:rPr>
        <w:t>12</w:t>
      </w:r>
      <w:r>
        <w:rPr>
          <w:rFonts w:ascii="Times New Roman" w:hAnsi="Times New Roman" w:eastAsia="Times New Roman" w:cs="Times New Roman"/>
          <w:sz w:val="24"/>
          <w:szCs w:val="24"/>
          <w:spacing w:val="1"/>
        </w:rPr>
        <w:t>694-2016)</w:t>
      </w:r>
      <w:r>
        <w:rPr>
          <w:rFonts w:ascii="SimSun" w:hAnsi="SimSun" w:eastAsia="SimSun" w:cs="SimSun"/>
          <w:sz w:val="24"/>
          <w:szCs w:val="24"/>
          <w:spacing w:val="1"/>
        </w:rPr>
        <w:t>、《  食</w:t>
      </w:r>
      <w:r>
        <w:rPr>
          <w:rFonts w:ascii="SimSun" w:hAnsi="SimSun" w:eastAsia="SimSun" w:cs="SimSun"/>
          <w:sz w:val="24"/>
          <w:szCs w:val="24"/>
        </w:rPr>
        <w:t xml:space="preserve"> </w:t>
      </w:r>
      <w:r>
        <w:rPr>
          <w:rFonts w:ascii="SimSun" w:hAnsi="SimSun" w:eastAsia="SimSun" w:cs="SimSun"/>
          <w:sz w:val="24"/>
          <w:szCs w:val="24"/>
        </w:rPr>
        <w:t>品安全国家标准食品生产通用卫生规范》</w:t>
      </w:r>
      <w:r>
        <w:rPr>
          <w:rFonts w:ascii="SimSun" w:hAnsi="SimSun" w:eastAsia="SimSun" w:cs="SimSun"/>
          <w:sz w:val="24"/>
          <w:szCs w:val="24"/>
          <w:spacing w:val="75"/>
        </w:rPr>
        <w:t xml:space="preserve"> </w:t>
      </w:r>
      <w:r>
        <w:rPr>
          <w:rFonts w:ascii="Times New Roman" w:hAnsi="Times New Roman" w:eastAsia="Times New Roman" w:cs="Times New Roman"/>
          <w:sz w:val="24"/>
          <w:szCs w:val="24"/>
        </w:rPr>
        <w:t>(GB14881-2013)   </w:t>
      </w:r>
      <w:r>
        <w:rPr>
          <w:rFonts w:ascii="SimSun" w:hAnsi="SimSun" w:eastAsia="SimSun" w:cs="SimSun"/>
          <w:sz w:val="24"/>
          <w:szCs w:val="24"/>
        </w:rPr>
        <w:t>中按待宰、屠宰、 </w:t>
      </w:r>
      <w:r>
        <w:rPr>
          <w:rFonts w:ascii="SimSun" w:hAnsi="SimSun" w:eastAsia="SimSun" w:cs="SimSun"/>
          <w:sz w:val="24"/>
          <w:szCs w:val="24"/>
          <w:spacing w:val="4"/>
        </w:rPr>
        <w:t>分割加工的顺序布局要求；生产工艺流程布置合理、顺畅、物料运输短捷，节</w:t>
      </w:r>
      <w:r>
        <w:rPr>
          <w:rFonts w:ascii="SimSun" w:hAnsi="SimSun" w:eastAsia="SimSun" w:cs="SimSun"/>
          <w:sz w:val="24"/>
          <w:szCs w:val="24"/>
          <w:spacing w:val="5"/>
        </w:rPr>
        <w:t xml:space="preserve"> </w:t>
      </w:r>
      <w:r>
        <w:rPr>
          <w:rFonts w:ascii="SimSun" w:hAnsi="SimSun" w:eastAsia="SimSun" w:cs="SimSun"/>
          <w:sz w:val="24"/>
          <w:szCs w:val="24"/>
          <w:spacing w:val="-2"/>
        </w:rPr>
        <w:t>省能源，节约用地。综上所述，项目厂区内的平面布置合理。</w:t>
      </w:r>
    </w:p>
    <w:p>
      <w:pPr>
        <w:ind w:left="3"/>
        <w:spacing w:before="85" w:line="222" w:lineRule="auto"/>
        <w:outlineLvl w:val="1"/>
        <w:rPr>
          <w:rFonts w:ascii="SimHei" w:hAnsi="SimHei" w:eastAsia="SimHei" w:cs="SimHei"/>
          <w:sz w:val="24"/>
          <w:szCs w:val="24"/>
        </w:rPr>
      </w:pPr>
      <w:bookmarkStart w:name="bookmark38" w:id="69"/>
      <w:bookmarkEnd w:id="69"/>
      <w:r>
        <w:rPr>
          <w:rFonts w:ascii="SimHei" w:hAnsi="SimHei" w:eastAsia="SimHei" w:cs="SimHei"/>
          <w:sz w:val="24"/>
          <w:szCs w:val="24"/>
          <w:b/>
          <w:bCs/>
          <w:spacing w:val="18"/>
        </w:rPr>
        <w:t>3</w:t>
      </w:r>
      <w:r>
        <w:rPr>
          <w:rFonts w:ascii="SimHei" w:hAnsi="SimHei" w:eastAsia="SimHei" w:cs="SimHei"/>
          <w:sz w:val="24"/>
          <w:szCs w:val="24"/>
          <w:spacing w:val="-64"/>
        </w:rPr>
        <w:t xml:space="preserve"> </w:t>
      </w:r>
      <w:r>
        <w:rPr>
          <w:rFonts w:ascii="SimHei" w:hAnsi="SimHei" w:eastAsia="SimHei" w:cs="SimHei"/>
          <w:sz w:val="24"/>
          <w:szCs w:val="24"/>
          <w:b/>
          <w:bCs/>
          <w:spacing w:val="18"/>
        </w:rPr>
        <w:t>.8运营期工程分析</w:t>
      </w:r>
    </w:p>
    <w:p>
      <w:pPr>
        <w:ind w:left="3"/>
        <w:spacing w:before="223" w:line="219" w:lineRule="auto"/>
        <w:rPr>
          <w:rFonts w:ascii="SimSun" w:hAnsi="SimSun" w:eastAsia="SimSun" w:cs="SimSun"/>
          <w:sz w:val="24"/>
          <w:szCs w:val="24"/>
        </w:rPr>
      </w:pPr>
      <w:r>
        <w:rPr>
          <w:rFonts w:ascii="SimSun" w:hAnsi="SimSun" w:eastAsia="SimSun" w:cs="SimSun"/>
          <w:sz w:val="24"/>
          <w:szCs w:val="24"/>
          <w:b/>
          <w:bCs/>
          <w:spacing w:val="22"/>
        </w:rPr>
        <w:t>3.8.</w:t>
      </w:r>
      <w:r>
        <w:rPr>
          <w:rFonts w:ascii="SimSun" w:hAnsi="SimSun" w:eastAsia="SimSun" w:cs="SimSun"/>
          <w:sz w:val="24"/>
          <w:szCs w:val="24"/>
          <w:spacing w:val="-47"/>
        </w:rPr>
        <w:t xml:space="preserve"> </w:t>
      </w:r>
      <w:r>
        <w:rPr>
          <w:rFonts w:ascii="SimSun" w:hAnsi="SimSun" w:eastAsia="SimSun" w:cs="SimSun"/>
          <w:sz w:val="24"/>
          <w:szCs w:val="24"/>
          <w:b/>
          <w:bCs/>
          <w:spacing w:val="22"/>
        </w:rPr>
        <w:t>1生猪屠宰生产工艺流程及产污环节</w:t>
      </w:r>
    </w:p>
    <w:p>
      <w:pPr>
        <w:ind w:right="182" w:firstLine="490"/>
        <w:spacing w:before="220" w:line="355" w:lineRule="auto"/>
        <w:rPr>
          <w:rFonts w:ascii="SimSun" w:hAnsi="SimSun" w:eastAsia="SimSun" w:cs="SimSun"/>
          <w:sz w:val="24"/>
          <w:szCs w:val="24"/>
        </w:rPr>
      </w:pPr>
      <w:r>
        <w:rPr>
          <w:rFonts w:ascii="SimSun" w:hAnsi="SimSun" w:eastAsia="SimSun" w:cs="SimSun"/>
          <w:sz w:val="24"/>
          <w:szCs w:val="24"/>
          <w:spacing w:val="7"/>
        </w:rPr>
        <w:t>本项目牲畜(生猪)屠宰按照《畜禽屠宰操作规程生猪》</w:t>
      </w:r>
      <w:r>
        <w:rPr>
          <w:rFonts w:ascii="SimSun" w:hAnsi="SimSun" w:eastAsia="SimSun" w:cs="SimSun"/>
          <w:sz w:val="24"/>
          <w:szCs w:val="24"/>
          <w:spacing w:val="80"/>
        </w:rPr>
        <w:t xml:space="preserve"> </w:t>
      </w:r>
      <w:r>
        <w:rPr>
          <w:rFonts w:ascii="Times New Roman" w:hAnsi="Times New Roman" w:eastAsia="Times New Roman" w:cs="Times New Roman"/>
          <w:sz w:val="24"/>
          <w:szCs w:val="24"/>
          <w:spacing w:val="7"/>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7"/>
        </w:rPr>
        <w:t>/T17236-</w:t>
      </w:r>
      <w:r>
        <w:rPr>
          <w:rFonts w:ascii="Times New Roman" w:hAnsi="Times New Roman" w:eastAsia="Times New Roman" w:cs="Times New Roman"/>
          <w:sz w:val="24"/>
          <w:szCs w:val="24"/>
        </w:rPr>
        <w:t xml:space="preserve">    </w:t>
      </w:r>
      <w:r>
        <w:rPr>
          <w:rFonts w:ascii="SimSun" w:hAnsi="SimSun" w:eastAsia="SimSun" w:cs="SimSun"/>
          <w:sz w:val="24"/>
          <w:szCs w:val="24"/>
          <w:spacing w:val="3"/>
        </w:rPr>
        <w:t>2019)相关要求进行，采用机械化屠宰流水线，包括屠宰、分割、加工和冷藏</w:t>
      </w:r>
      <w:r>
        <w:rPr>
          <w:rFonts w:ascii="SimSun" w:hAnsi="SimSun" w:eastAsia="SimSun" w:cs="SimSun"/>
          <w:sz w:val="24"/>
          <w:szCs w:val="24"/>
          <w:spacing w:val="12"/>
        </w:rPr>
        <w:t xml:space="preserve"> </w:t>
      </w:r>
      <w:r>
        <w:rPr>
          <w:rFonts w:ascii="SimSun" w:hAnsi="SimSun" w:eastAsia="SimSun" w:cs="SimSun"/>
          <w:sz w:val="24"/>
          <w:szCs w:val="24"/>
          <w:spacing w:val="-3"/>
        </w:rPr>
        <w:t>工艺。项目屠宰工艺流程及产污环节见下图。</w:t>
      </w:r>
    </w:p>
    <w:p>
      <w:pPr>
        <w:spacing w:line="355" w:lineRule="auto"/>
        <w:sectPr>
          <w:headerReference w:type="default" r:id="rId256"/>
          <w:footerReference w:type="default" r:id="rId257"/>
          <w:pgSz w:w="11910" w:h="16840"/>
          <w:pgMar w:top="1207" w:right="1786" w:bottom="962" w:left="1779" w:header="915" w:footer="791" w:gutter="0"/>
        </w:sectPr>
        <w:rPr>
          <w:rFonts w:ascii="SimSun" w:hAnsi="SimSun" w:eastAsia="SimSun" w:cs="SimSun"/>
          <w:sz w:val="24"/>
          <w:szCs w:val="24"/>
        </w:rPr>
      </w:pPr>
    </w:p>
    <w:p>
      <w:pPr>
        <w:spacing w:before="130"/>
        <w:rPr/>
      </w:pPr>
      <w:r/>
    </w:p>
    <w:p>
      <w:pPr>
        <w:sectPr>
          <w:headerReference w:type="default" r:id="rId258"/>
          <w:footerReference w:type="default" r:id="rId259"/>
          <w:pgSz w:w="11910" w:h="16840"/>
          <w:pgMar w:top="1207" w:right="1786" w:bottom="962" w:left="1786" w:header="915" w:footer="777" w:gutter="0"/>
          <w:cols w:equalWidth="0" w:num="1">
            <w:col w:w="8337" w:space="0"/>
          </w:cols>
        </w:sectPr>
        <w:rPr/>
      </w:pPr>
    </w:p>
    <w:p>
      <w:pPr>
        <w:ind w:left="3673"/>
        <w:spacing w:before="26" w:line="220" w:lineRule="auto"/>
        <w:rPr>
          <w:rFonts w:ascii="SimSun" w:hAnsi="SimSun" w:eastAsia="SimSun" w:cs="SimSun"/>
          <w:sz w:val="13"/>
          <w:szCs w:val="13"/>
        </w:rPr>
      </w:pPr>
      <w:r>
        <w:rPr>
          <w:rFonts w:ascii="SimSun" w:hAnsi="SimSun" w:eastAsia="SimSun" w:cs="SimSun"/>
          <w:sz w:val="13"/>
          <w:szCs w:val="13"/>
          <w:spacing w:val="17"/>
        </w:rPr>
        <w:t>生猪进场</w:t>
      </w:r>
    </w:p>
    <w:p>
      <w:pPr>
        <w:pStyle w:val="BodyText"/>
        <w:spacing w:line="310" w:lineRule="auto"/>
        <w:rPr/>
      </w:pPr>
      <w:r/>
    </w:p>
    <w:p>
      <w:pPr>
        <w:ind w:left="3823"/>
        <w:spacing w:before="42" w:line="219" w:lineRule="auto"/>
        <w:rPr>
          <w:rFonts w:ascii="SimSun" w:hAnsi="SimSun" w:eastAsia="SimSun" w:cs="SimSun"/>
          <w:sz w:val="13"/>
          <w:szCs w:val="13"/>
        </w:rPr>
      </w:pPr>
      <w:r>
        <w:pict>
          <v:shape id="_x0000_s84" style="position:absolute;margin-left:33.1757pt;margin-top:-1.35418pt;mso-position-vertical-relative:text;mso-position-horizontal-relative:text;width:55.55pt;height:9.75pt;z-index:251979776;"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13"/>
                      <w:szCs w:val="13"/>
                    </w:rPr>
                  </w:pPr>
                  <w:r>
                    <w:rPr>
                      <w:rFonts w:ascii="Times New Roman" w:hAnsi="Times New Roman" w:eastAsia="Times New Roman" w:cs="Times New Roman"/>
                      <w:sz w:val="13"/>
                      <w:szCs w:val="13"/>
                      <w:spacing w:val="-9"/>
                    </w:rPr>
                    <w:t>Sz-5:</w:t>
                  </w:r>
                  <w:r>
                    <w:rPr>
                      <w:rFonts w:ascii="SimSun" w:hAnsi="SimSun" w:eastAsia="SimSun" w:cs="SimSun"/>
                      <w:sz w:val="13"/>
                      <w:szCs w:val="13"/>
                      <w:spacing w:val="-9"/>
                    </w:rPr>
                    <w:t>不可食用肉类←</w:t>
                  </w:r>
                </w:p>
              </w:txbxContent>
            </v:textbox>
          </v:shape>
        </w:pict>
      </w:r>
      <w:r>
        <w:pict>
          <v:shape id="_x0000_s86" style="position:absolute;margin-left:112.675pt;margin-top:-3.35803pt;mso-position-vertical-relative:text;mso-position-horizontal-relative:text;width:61.3pt;height:16.75pt;z-index:251978752;" filled="false" stroked="false" type="#_x0000_t202">
            <v:fill on="false"/>
            <v:stroke on="false"/>
            <v:path/>
            <v:imagedata o:title=""/>
            <o:lock v:ext="edit" aspectratio="false"/>
            <v:textbox inset="0mm,0mm,0mm,0mm">
              <w:txbxContent>
                <w:p>
                  <w:pPr>
                    <w:ind w:left="20" w:right="20" w:firstLine="729"/>
                    <w:spacing w:before="20" w:line="209" w:lineRule="auto"/>
                    <w:rPr>
                      <w:rFonts w:ascii="SimSun" w:hAnsi="SimSun" w:eastAsia="SimSun" w:cs="SimSun"/>
                      <w:sz w:val="13"/>
                      <w:szCs w:val="13"/>
                    </w:rPr>
                  </w:pPr>
                  <w:r>
                    <w:rPr>
                      <w:rFonts w:ascii="SimSun" w:hAnsi="SimSun" w:eastAsia="SimSun" w:cs="SimSun"/>
                      <w:sz w:val="13"/>
                      <w:szCs w:val="13"/>
                      <w:spacing w:val="-14"/>
                      <w:w w:val="98"/>
                    </w:rPr>
                    <w:t>急宰活禽</w:t>
                  </w:r>
                  <w:r>
                    <w:rPr>
                      <w:rFonts w:ascii="SimSun" w:hAnsi="SimSun" w:eastAsia="SimSun" w:cs="SimSun"/>
                      <w:sz w:val="13"/>
                      <w:szCs w:val="13"/>
                    </w:rPr>
                    <w:t xml:space="preserve"> </w:t>
                  </w:r>
                  <w:r>
                    <w:rPr>
                      <w:rFonts w:ascii="SimSun" w:hAnsi="SimSun" w:eastAsia="SimSun" w:cs="SimSun"/>
                      <w:sz w:val="13"/>
                      <w:szCs w:val="13"/>
                      <w:spacing w:val="9"/>
                    </w:rPr>
                    <w:t>急宰二</w:t>
                  </w:r>
                </w:p>
              </w:txbxContent>
            </v:textbox>
          </v:shape>
        </w:pict>
      </w:r>
      <w:r>
        <w:rPr>
          <w:rFonts w:ascii="SimSun" w:hAnsi="SimSun" w:eastAsia="SimSun" w:cs="SimSun"/>
          <w:sz w:val="13"/>
          <w:szCs w:val="13"/>
          <w:spacing w:val="-3"/>
        </w:rPr>
        <w:t>检</w:t>
      </w:r>
      <w:r>
        <w:rPr>
          <w:rFonts w:ascii="SimSun" w:hAnsi="SimSun" w:eastAsia="SimSun" w:cs="SimSun"/>
          <w:sz w:val="13"/>
          <w:szCs w:val="13"/>
          <w:spacing w:val="-8"/>
        </w:rPr>
        <w:t xml:space="preserve"> </w:t>
      </w:r>
      <w:r>
        <w:rPr>
          <w:rFonts w:ascii="SimSun" w:hAnsi="SimSun" w:eastAsia="SimSun" w:cs="SimSun"/>
          <w:sz w:val="13"/>
          <w:szCs w:val="13"/>
          <w:spacing w:val="-3"/>
        </w:rPr>
        <w:t>疫</w:t>
      </w:r>
    </w:p>
    <w:p>
      <w:pPr>
        <w:ind w:left="4023"/>
        <w:spacing w:before="15" w:line="219" w:lineRule="auto"/>
        <w:rPr>
          <w:rFonts w:ascii="SimSun" w:hAnsi="SimSun" w:eastAsia="SimSun" w:cs="SimSun"/>
          <w:sz w:val="13"/>
          <w:szCs w:val="13"/>
        </w:rPr>
      </w:pPr>
      <w:r>
        <w:rPr>
          <w:rFonts w:ascii="SimSun" w:hAnsi="SimSun" w:eastAsia="SimSun" w:cs="SimSun"/>
          <w:sz w:val="13"/>
          <w:szCs w:val="13"/>
          <w:spacing w:val="-11"/>
        </w:rPr>
        <w:t>合格活禽</w:t>
      </w:r>
    </w:p>
    <w:p>
      <w:pPr>
        <w:ind w:left="3673"/>
        <w:spacing w:before="216" w:line="219" w:lineRule="auto"/>
        <w:rPr>
          <w:rFonts w:ascii="SimSun" w:hAnsi="SimSun" w:eastAsia="SimSun" w:cs="SimSun"/>
          <w:sz w:val="13"/>
          <w:szCs w:val="13"/>
        </w:rPr>
      </w:pPr>
      <w:r>
        <w:pict>
          <v:shape id="_x0000_s88" style="position:absolute;margin-left:96.1737pt;margin-top:12.3409pt;mso-position-vertical-relative:text;mso-position-horizontal-relative:text;width:50.9pt;height:9.9pt;z-index:251980800;" filled="false" stroked="false" type="#_x0000_t202">
            <v:fill on="false"/>
            <v:stroke on="false"/>
            <v:path/>
            <v:imagedata o:title=""/>
            <o:lock v:ext="edit" aspectratio="false"/>
            <v:textbox inset="0mm,0mm,0mm,0mm">
              <w:txbxContent>
                <w:p>
                  <w:pPr>
                    <w:ind w:left="20"/>
                    <w:spacing w:before="19" w:line="224" w:lineRule="auto"/>
                    <w:rPr>
                      <w:rFonts w:ascii="SimSun" w:hAnsi="SimSun" w:eastAsia="SimSun" w:cs="SimSun"/>
                      <w:sz w:val="13"/>
                      <w:szCs w:val="13"/>
                    </w:rPr>
                  </w:pPr>
                  <w:r>
                    <w:rPr>
                      <w:rFonts w:ascii="SimHei" w:hAnsi="SimHei" w:eastAsia="SimHei" w:cs="SimHei"/>
                      <w:sz w:val="13"/>
                      <w:szCs w:val="13"/>
                      <w:spacing w:val="-4"/>
                    </w:rPr>
                    <w:t>进</w:t>
                  </w:r>
                  <w:r>
                    <w:rPr>
                      <w:rFonts w:ascii="SimHei" w:hAnsi="SimHei" w:eastAsia="SimHei" w:cs="SimHei"/>
                      <w:sz w:val="13"/>
                      <w:szCs w:val="13"/>
                      <w:spacing w:val="20"/>
                      <w:w w:val="101"/>
                    </w:rPr>
                    <w:t xml:space="preserve"> </w:t>
                  </w:r>
                  <w:r>
                    <w:rPr>
                      <w:rFonts w:ascii="SimHei" w:hAnsi="SimHei" w:eastAsia="SimHei" w:cs="SimHei"/>
                      <w:sz w:val="13"/>
                      <w:szCs w:val="13"/>
                      <w:spacing w:val="-4"/>
                    </w:rPr>
                    <w:t>入</w:t>
                  </w:r>
                  <w:r>
                    <w:rPr>
                      <w:rFonts w:ascii="SimSun" w:hAnsi="SimSun" w:eastAsia="SimSun" w:cs="SimSun"/>
                      <w:sz w:val="13"/>
                      <w:szCs w:val="13"/>
                      <w:spacing w:val="-4"/>
                    </w:rPr>
                    <w:t>排</w:t>
                  </w:r>
                  <w:r>
                    <w:rPr>
                      <w:rFonts w:ascii="SimSun" w:hAnsi="SimSun" w:eastAsia="SimSun" w:cs="SimSun"/>
                      <w:sz w:val="13"/>
                      <w:szCs w:val="13"/>
                      <w:spacing w:val="-19"/>
                    </w:rPr>
                    <w:t xml:space="preserve"> </w:t>
                  </w:r>
                  <w:r>
                    <w:rPr>
                      <w:rFonts w:ascii="SimSun" w:hAnsi="SimSun" w:eastAsia="SimSun" w:cs="SimSun"/>
                      <w:sz w:val="13"/>
                      <w:szCs w:val="13"/>
                      <w:spacing w:val="-4"/>
                    </w:rPr>
                    <w:t>酸</w:t>
                  </w:r>
                  <w:r>
                    <w:rPr>
                      <w:rFonts w:ascii="SimSun" w:hAnsi="SimSun" w:eastAsia="SimSun" w:cs="SimSun"/>
                      <w:sz w:val="13"/>
                      <w:szCs w:val="13"/>
                      <w:spacing w:val="-17"/>
                    </w:rPr>
                    <w:t xml:space="preserve"> </w:t>
                  </w:r>
                  <w:r>
                    <w:rPr>
                      <w:rFonts w:ascii="SimSun" w:hAnsi="SimSun" w:eastAsia="SimSun" w:cs="SimSun"/>
                      <w:sz w:val="13"/>
                      <w:szCs w:val="13"/>
                      <w:spacing w:val="-4"/>
                    </w:rPr>
                    <w:t>工</w:t>
                  </w:r>
                  <w:r>
                    <w:rPr>
                      <w:rFonts w:ascii="SimSun" w:hAnsi="SimSun" w:eastAsia="SimSun" w:cs="SimSun"/>
                      <w:sz w:val="13"/>
                      <w:szCs w:val="13"/>
                      <w:spacing w:val="-20"/>
                    </w:rPr>
                    <w:t xml:space="preserve"> </w:t>
                  </w:r>
                  <w:r>
                    <w:rPr>
                      <w:rFonts w:ascii="SimSun" w:hAnsi="SimSun" w:eastAsia="SimSun" w:cs="SimSun"/>
                      <w:sz w:val="13"/>
                      <w:szCs w:val="13"/>
                      <w:spacing w:val="-4"/>
                    </w:rPr>
                    <w:t>序</w:t>
                  </w:r>
                </w:p>
              </w:txbxContent>
            </v:textbox>
          </v:shape>
        </w:pict>
      </w:r>
      <w:r>
        <w:rPr>
          <w:rFonts w:ascii="SimSun" w:hAnsi="SimSun" w:eastAsia="SimSun" w:cs="SimSun"/>
          <w:sz w:val="13"/>
          <w:szCs w:val="13"/>
          <w:spacing w:val="22"/>
        </w:rPr>
        <w:t>待宰暂养</w:t>
      </w:r>
    </w:p>
    <w:p>
      <w:pPr>
        <w:pStyle w:val="BodyText"/>
        <w:spacing w:line="300" w:lineRule="auto"/>
        <w:rPr/>
      </w:pPr>
      <w:r/>
    </w:p>
    <w:p>
      <w:pPr>
        <w:ind w:left="3673"/>
        <w:spacing w:before="43" w:line="218" w:lineRule="auto"/>
        <w:rPr>
          <w:rFonts w:ascii="SimSun" w:hAnsi="SimSun" w:eastAsia="SimSun" w:cs="SimSun"/>
          <w:sz w:val="13"/>
          <w:szCs w:val="13"/>
        </w:rPr>
      </w:pPr>
      <w:r>
        <w:rPr>
          <w:rFonts w:ascii="SimSun" w:hAnsi="SimSun" w:eastAsia="SimSun" w:cs="SimSun"/>
          <w:sz w:val="13"/>
          <w:szCs w:val="13"/>
          <w:spacing w:val="22"/>
        </w:rPr>
        <w:t>宰前冲淋</w:t>
      </w:r>
    </w:p>
    <w:p>
      <w:pPr>
        <w:spacing w:before="106"/>
        <w:rPr/>
      </w:pPr>
      <w:r/>
    </w:p>
    <w:tbl>
      <w:tblPr>
        <w:tblStyle w:val="TableNormal"/>
        <w:tblW w:w="3136" w:type="dxa"/>
        <w:tblInd w:w="1123"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672"/>
        <w:gridCol w:w="1234"/>
        <w:gridCol w:w="471"/>
        <w:gridCol w:w="759"/>
      </w:tblGrid>
      <w:tr>
        <w:trPr>
          <w:trHeight w:val="1620" w:hRule="atLeast"/>
        </w:trPr>
        <w:tc>
          <w:tcPr>
            <w:tcW w:w="672" w:type="dxa"/>
            <w:vAlign w:val="top"/>
          </w:tcPr>
          <w:p>
            <w:pPr>
              <w:spacing w:line="271"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pStyle w:val="TableText"/>
              <w:spacing w:before="42" w:line="220" w:lineRule="auto"/>
              <w:rPr>
                <w:sz w:val="13"/>
                <w:szCs w:val="13"/>
              </w:rPr>
            </w:pPr>
            <w:r>
              <w:rPr>
                <w:sz w:val="13"/>
                <w:szCs w:val="13"/>
                <w:spacing w:val="-5"/>
              </w:rPr>
              <w:t>天</w:t>
            </w:r>
            <w:r>
              <w:rPr>
                <w:sz w:val="13"/>
                <w:szCs w:val="13"/>
                <w:spacing w:val="-29"/>
              </w:rPr>
              <w:t xml:space="preserve"> </w:t>
            </w:r>
            <w:r>
              <w:rPr>
                <w:sz w:val="13"/>
                <w:szCs w:val="13"/>
                <w:spacing w:val="-5"/>
              </w:rPr>
              <w:t>然</w:t>
            </w:r>
            <w:r>
              <w:rPr>
                <w:sz w:val="13"/>
                <w:szCs w:val="13"/>
                <w:spacing w:val="-29"/>
              </w:rPr>
              <w:t xml:space="preserve"> </w:t>
            </w:r>
            <w:r>
              <w:rPr>
                <w:sz w:val="13"/>
                <w:szCs w:val="13"/>
                <w:spacing w:val="-5"/>
              </w:rPr>
              <w:t>气</w:t>
            </w:r>
            <w:r>
              <w:rPr>
                <w:sz w:val="13"/>
                <w:szCs w:val="13"/>
                <w:spacing w:val="-31"/>
              </w:rPr>
              <w:t xml:space="preserve"> </w:t>
            </w:r>
            <w:r>
              <w:rPr>
                <w:sz w:val="13"/>
                <w:szCs w:val="13"/>
                <w:spacing w:val="-5"/>
              </w:rPr>
              <w:t>—</w:t>
            </w:r>
          </w:p>
        </w:tc>
        <w:tc>
          <w:tcPr>
            <w:tcW w:w="1234" w:type="dxa"/>
            <w:vAlign w:val="top"/>
          </w:tcPr>
          <w:p>
            <w:pPr>
              <w:spacing w:line="288" w:lineRule="auto"/>
              <w:rPr>
                <w:rFonts w:ascii="Arial"/>
                <w:sz w:val="21"/>
              </w:rPr>
            </w:pPr>
            <w:r/>
          </w:p>
          <w:p>
            <w:pPr>
              <w:pStyle w:val="TableText"/>
              <w:ind w:left="338"/>
              <w:spacing w:before="62" w:line="219" w:lineRule="auto"/>
              <w:rPr>
                <w:sz w:val="19"/>
                <w:szCs w:val="19"/>
              </w:rPr>
            </w:pPr>
            <w:r>
              <w:rPr>
                <w:sz w:val="19"/>
                <w:szCs w:val="19"/>
                <w:spacing w:val="-14"/>
              </w:rPr>
              <w:t>收集外售</w:t>
            </w:r>
          </w:p>
          <w:p>
            <w:pPr>
              <w:spacing w:line="278" w:lineRule="auto"/>
              <w:rPr>
                <w:rFonts w:ascii="Arial"/>
                <w:sz w:val="21"/>
              </w:rPr>
            </w:pPr>
            <w:r/>
          </w:p>
          <w:p>
            <w:pPr>
              <w:pStyle w:val="TableText"/>
              <w:ind w:left="68"/>
              <w:spacing w:before="42" w:line="220" w:lineRule="auto"/>
              <w:rPr>
                <w:rFonts w:ascii="Times New Roman" w:hAnsi="Times New Roman" w:eastAsia="Times New Roman" w:cs="Times New Roman"/>
                <w:sz w:val="13"/>
                <w:szCs w:val="13"/>
              </w:rPr>
            </w:pPr>
            <w:r>
              <w:rPr>
                <w:rFonts w:ascii="Times New Roman" w:hAnsi="Times New Roman" w:eastAsia="Times New Roman" w:cs="Times New Roman"/>
                <w:sz w:val="13"/>
                <w:szCs w:val="13"/>
                <w:spacing w:val="-11"/>
                <w:w w:val="99"/>
              </w:rPr>
              <w:t>Gz:</w:t>
            </w:r>
            <w:r>
              <w:rPr>
                <w:sz w:val="13"/>
                <w:szCs w:val="13"/>
                <w:spacing w:val="-11"/>
                <w:w w:val="99"/>
              </w:rPr>
              <w:t>颗粒物、</w:t>
            </w:r>
            <w:r>
              <w:rPr>
                <w:rFonts w:ascii="Times New Roman" w:hAnsi="Times New Roman" w:eastAsia="Times New Roman" w:cs="Times New Roman"/>
                <w:sz w:val="13"/>
                <w:szCs w:val="13"/>
                <w:spacing w:val="-11"/>
                <w:w w:val="99"/>
              </w:rPr>
              <w:t>S02</w:t>
            </w:r>
            <w:r>
              <w:rPr>
                <w:sz w:val="13"/>
                <w:szCs w:val="13"/>
                <w:spacing w:val="-11"/>
                <w:w w:val="99"/>
              </w:rPr>
              <w:t>、</w:t>
            </w:r>
            <w:r>
              <w:rPr>
                <w:rFonts w:ascii="Times New Roman" w:hAnsi="Times New Roman" w:eastAsia="Times New Roman" w:cs="Times New Roman"/>
                <w:sz w:val="13"/>
                <w:szCs w:val="13"/>
                <w:spacing w:val="-11"/>
                <w:w w:val="99"/>
              </w:rPr>
              <w:t>NOx</w:t>
            </w:r>
          </w:p>
          <w:p>
            <w:pPr>
              <w:spacing w:line="340" w:lineRule="auto"/>
              <w:rPr>
                <w:rFonts w:ascii="Arial"/>
                <w:sz w:val="21"/>
              </w:rPr>
            </w:pPr>
            <w:r/>
          </w:p>
          <w:p>
            <w:pPr>
              <w:pStyle w:val="TableText"/>
              <w:ind w:left="488"/>
              <w:spacing w:before="43" w:line="220" w:lineRule="auto"/>
              <w:rPr>
                <w:sz w:val="13"/>
                <w:szCs w:val="13"/>
              </w:rPr>
            </w:pPr>
            <w:r>
              <w:rPr>
                <w:sz w:val="13"/>
                <w:szCs w:val="13"/>
                <w:spacing w:val="5"/>
              </w:rPr>
              <w:t>锅炉二</w:t>
            </w:r>
          </w:p>
        </w:tc>
        <w:tc>
          <w:tcPr>
            <w:tcW w:w="471" w:type="dxa"/>
            <w:vAlign w:val="top"/>
          </w:tcPr>
          <w:p>
            <w:pPr>
              <w:spacing w:line="305" w:lineRule="auto"/>
              <w:rPr>
                <w:rFonts w:ascii="Arial"/>
                <w:sz w:val="21"/>
              </w:rPr>
            </w:pPr>
            <w:r/>
          </w:p>
          <w:p>
            <w:pPr>
              <w:ind w:left="44"/>
              <w:spacing w:before="43" w:line="223" w:lineRule="auto"/>
              <w:rPr>
                <w:rFonts w:ascii="SimHei" w:hAnsi="SimHei" w:eastAsia="SimHei" w:cs="SimHei"/>
                <w:sz w:val="13"/>
                <w:szCs w:val="13"/>
              </w:rPr>
            </w:pPr>
            <w:r>
              <w:rPr>
                <w:rFonts w:ascii="SimHei" w:hAnsi="SimHei" w:eastAsia="SimHei" w:cs="SimHei"/>
                <w:sz w:val="13"/>
                <w:szCs w:val="13"/>
                <w:spacing w:val="-2"/>
              </w:rPr>
              <w:t>血液</w:t>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44"/>
              <w:spacing w:before="42" w:line="221" w:lineRule="auto"/>
              <w:rPr>
                <w:sz w:val="13"/>
                <w:szCs w:val="13"/>
              </w:rPr>
            </w:pPr>
            <w:r>
              <w:rPr>
                <w:sz w:val="13"/>
                <w:szCs w:val="13"/>
                <w:spacing w:val="-2"/>
              </w:rPr>
              <w:t>蒸汽</w:t>
            </w:r>
          </w:p>
        </w:tc>
        <w:tc>
          <w:tcPr>
            <w:tcW w:w="759" w:type="dxa"/>
            <w:vAlign w:val="top"/>
          </w:tcPr>
          <w:p>
            <w:pPr>
              <w:pStyle w:val="TableText"/>
              <w:spacing w:line="220" w:lineRule="auto"/>
              <w:jc w:val="right"/>
              <w:rPr>
                <w:sz w:val="13"/>
                <w:szCs w:val="13"/>
              </w:rPr>
            </w:pPr>
            <w:r>
              <w:rPr>
                <w:sz w:val="13"/>
                <w:szCs w:val="13"/>
                <w:spacing w:val="16"/>
              </w:rPr>
              <w:t>麻电致昏</w:t>
            </w:r>
          </w:p>
          <w:p>
            <w:pPr>
              <w:spacing w:line="300" w:lineRule="auto"/>
              <w:rPr>
                <w:rFonts w:ascii="Arial"/>
                <w:sz w:val="21"/>
              </w:rPr>
            </w:pPr>
            <w:r/>
          </w:p>
          <w:p>
            <w:pPr>
              <w:pStyle w:val="TableText"/>
              <w:spacing w:before="42" w:line="219" w:lineRule="auto"/>
              <w:jc w:val="right"/>
              <w:rPr>
                <w:sz w:val="13"/>
                <w:szCs w:val="13"/>
              </w:rPr>
            </w:pPr>
            <w:r>
              <w:rPr>
                <w:sz w:val="13"/>
                <w:szCs w:val="13"/>
                <w:spacing w:val="16"/>
              </w:rPr>
              <w:t>宰杀沥血</w:t>
            </w:r>
          </w:p>
          <w:p>
            <w:pPr>
              <w:spacing w:line="311" w:lineRule="auto"/>
              <w:rPr>
                <w:rFonts w:ascii="Arial"/>
                <w:sz w:val="21"/>
              </w:rPr>
            </w:pPr>
            <w:r/>
          </w:p>
          <w:p>
            <w:pPr>
              <w:pStyle w:val="TableText"/>
              <w:spacing w:before="42" w:line="219" w:lineRule="auto"/>
              <w:jc w:val="right"/>
              <w:rPr>
                <w:sz w:val="13"/>
                <w:szCs w:val="13"/>
              </w:rPr>
            </w:pPr>
            <w:r>
              <w:rPr>
                <w:sz w:val="13"/>
                <w:szCs w:val="13"/>
                <w:spacing w:val="16"/>
              </w:rPr>
              <w:t>屠体浸烫</w:t>
            </w:r>
          </w:p>
          <w:p>
            <w:pPr>
              <w:spacing w:line="282" w:lineRule="auto"/>
              <w:rPr>
                <w:rFonts w:ascii="Arial"/>
                <w:sz w:val="21"/>
              </w:rPr>
            </w:pPr>
            <w:r/>
          </w:p>
          <w:p>
            <w:pPr>
              <w:pStyle w:val="TableText"/>
              <w:spacing w:before="42" w:line="170" w:lineRule="auto"/>
              <w:jc w:val="right"/>
              <w:rPr>
                <w:sz w:val="13"/>
                <w:szCs w:val="13"/>
              </w:rPr>
            </w:pPr>
            <w:r>
              <w:rPr>
                <w:sz w:val="13"/>
                <w:szCs w:val="13"/>
                <w:spacing w:val="16"/>
              </w:rPr>
              <w:t>烫毛脱毛</w:t>
            </w:r>
          </w:p>
        </w:tc>
      </w:tr>
    </w:tbl>
    <w:p>
      <w:pPr>
        <w:pStyle w:val="BodyText"/>
        <w:spacing w:line="364" w:lineRule="auto"/>
        <w:rPr/>
      </w:pPr>
      <w:r/>
    </w:p>
    <w:p>
      <w:pPr>
        <w:ind w:left="3673"/>
        <w:spacing w:before="43" w:line="219" w:lineRule="auto"/>
        <w:rPr>
          <w:rFonts w:ascii="SimSun" w:hAnsi="SimSun" w:eastAsia="SimSun" w:cs="SimSun"/>
          <w:sz w:val="13"/>
          <w:szCs w:val="13"/>
        </w:rPr>
      </w:pPr>
      <w:r>
        <w:rPr>
          <w:rFonts w:ascii="SimSun" w:hAnsi="SimSun" w:eastAsia="SimSun" w:cs="SimSun"/>
          <w:sz w:val="13"/>
          <w:szCs w:val="13"/>
          <w:spacing w:val="16"/>
        </w:rPr>
        <w:t>浸蜡剥蜡</w:t>
      </w:r>
    </w:p>
    <w:p>
      <w:pPr>
        <w:ind w:left="3699"/>
        <w:spacing w:before="276" w:line="219" w:lineRule="auto"/>
        <w:rPr>
          <w:rFonts w:ascii="SimSun" w:hAnsi="SimSun" w:eastAsia="SimSun" w:cs="SimSun"/>
          <w:sz w:val="13"/>
          <w:szCs w:val="13"/>
        </w:rPr>
      </w:pPr>
      <w:r>
        <w:rPr>
          <w:rFonts w:ascii="SimSun" w:hAnsi="SimSun" w:eastAsia="SimSun" w:cs="SimSun"/>
          <w:sz w:val="13"/>
          <w:szCs w:val="13"/>
          <w:i/>
          <w:iCs/>
          <w:spacing w:val="13"/>
        </w:rPr>
        <w:t>开膛取脏</w:t>
      </w:r>
    </w:p>
    <w:p>
      <w:pPr>
        <w:ind w:left="3303"/>
        <w:spacing w:before="85" w:line="222" w:lineRule="auto"/>
        <w:rPr>
          <w:rFonts w:ascii="SimHei" w:hAnsi="SimHei" w:eastAsia="SimHei" w:cs="SimHei"/>
          <w:sz w:val="13"/>
          <w:szCs w:val="13"/>
        </w:rPr>
      </w:pPr>
      <w:r>
        <w:rPr>
          <w:rFonts w:ascii="SimSun" w:hAnsi="SimSun" w:eastAsia="SimSun" w:cs="SimSun"/>
          <w:sz w:val="13"/>
          <w:szCs w:val="13"/>
          <w:spacing w:val="-7"/>
        </w:rPr>
        <w:t>红白内脏          </w:t>
      </w:r>
      <w:r>
        <w:rPr>
          <w:rFonts w:ascii="SimHei" w:hAnsi="SimHei" w:eastAsia="SimHei" w:cs="SimHei"/>
          <w:sz w:val="13"/>
          <w:szCs w:val="13"/>
          <w:spacing w:val="-7"/>
        </w:rPr>
        <w:t>禽体</w:t>
      </w:r>
    </w:p>
    <w:p>
      <w:pPr>
        <w:spacing w:line="28" w:lineRule="auto"/>
        <w:rPr>
          <w:rFonts w:ascii="Arial"/>
          <w:sz w:val="2"/>
        </w:rPr>
      </w:pPr>
      <w:r>
        <w:rPr>
          <w:rFonts w:ascii="Arial"/>
          <w:sz w:val="2"/>
        </w:rPr>
      </w:r>
    </w:p>
    <w:p>
      <w:pPr>
        <w:pStyle w:val="BodyText"/>
        <w:spacing w:line="14" w:lineRule="auto"/>
        <w:rPr>
          <w:sz w:val="2"/>
        </w:rPr>
      </w:pPr>
      <w:r>
        <w:rPr>
          <w:sz w:val="2"/>
          <w:szCs w:val="2"/>
        </w:rPr>
        <w:br w:type="column"/>
      </w:r>
    </w:p>
    <w:p>
      <w:pPr>
        <w:pStyle w:val="BodyText"/>
        <w:spacing w:line="439" w:lineRule="auto"/>
        <w:rPr/>
      </w:pPr>
      <w:r/>
    </w:p>
    <w:p>
      <w:pPr>
        <w:spacing w:before="42" w:line="219" w:lineRule="auto"/>
        <w:rPr>
          <w:rFonts w:ascii="SimSun" w:hAnsi="SimSun" w:eastAsia="SimSun" w:cs="SimSun"/>
          <w:sz w:val="13"/>
          <w:szCs w:val="13"/>
        </w:rPr>
      </w:pPr>
      <w:r>
        <w:rPr>
          <w:rFonts w:ascii="Times New Roman" w:hAnsi="Times New Roman" w:eastAsia="Times New Roman" w:cs="Times New Roman"/>
          <w:sz w:val="13"/>
          <w:szCs w:val="13"/>
          <w:spacing w:val="-11"/>
        </w:rPr>
        <w:t>→Sz-1:</w:t>
      </w:r>
      <w:r>
        <w:rPr>
          <w:rFonts w:ascii="SimSun" w:hAnsi="SimSun" w:eastAsia="SimSun" w:cs="SimSun"/>
          <w:sz w:val="13"/>
          <w:szCs w:val="13"/>
          <w:spacing w:val="-11"/>
        </w:rPr>
        <w:t>病死禽、噪声</w:t>
      </w:r>
    </w:p>
    <w:p>
      <w:pPr>
        <w:pStyle w:val="BodyText"/>
        <w:spacing w:line="321" w:lineRule="auto"/>
        <w:rPr/>
      </w:pPr>
      <w:r/>
    </w:p>
    <w:p>
      <w:pPr>
        <w:spacing w:before="42" w:line="219" w:lineRule="auto"/>
        <w:rPr>
          <w:rFonts w:ascii="SimSun" w:hAnsi="SimSun" w:eastAsia="SimSun" w:cs="SimSun"/>
          <w:sz w:val="13"/>
          <w:szCs w:val="13"/>
        </w:rPr>
      </w:pPr>
      <w:r>
        <w:rPr>
          <w:rFonts w:ascii="Times New Roman" w:hAnsi="Times New Roman" w:eastAsia="Times New Roman" w:cs="Times New Roman"/>
          <w:sz w:val="13"/>
          <w:szCs w:val="13"/>
          <w:spacing w:val="-12"/>
        </w:rPr>
        <w:t>→Wz-1:</w:t>
      </w:r>
      <w:r>
        <w:rPr>
          <w:rFonts w:ascii="SimSun" w:hAnsi="SimSun" w:eastAsia="SimSun" w:cs="SimSun"/>
          <w:sz w:val="13"/>
          <w:szCs w:val="13"/>
          <w:spacing w:val="-12"/>
        </w:rPr>
        <w:t>禽类粪污、</w:t>
      </w:r>
      <w:r>
        <w:rPr>
          <w:rFonts w:ascii="Times New Roman" w:hAnsi="Times New Roman" w:eastAsia="Times New Roman" w:cs="Times New Roman"/>
          <w:sz w:val="13"/>
          <w:szCs w:val="13"/>
          <w:spacing w:val="-12"/>
        </w:rPr>
        <w:t>Gz:  </w:t>
      </w:r>
      <w:r>
        <w:rPr>
          <w:rFonts w:ascii="SimSun" w:hAnsi="SimSun" w:eastAsia="SimSun" w:cs="SimSun"/>
          <w:sz w:val="13"/>
          <w:szCs w:val="13"/>
          <w:spacing w:val="-12"/>
        </w:rPr>
        <w:t>恶臭、噪声</w:t>
      </w:r>
    </w:p>
    <w:p>
      <w:pPr>
        <w:pStyle w:val="BodyText"/>
        <w:spacing w:line="281" w:lineRule="auto"/>
        <w:rPr/>
      </w:pPr>
      <w:r/>
    </w:p>
    <w:p>
      <w:pPr>
        <w:pStyle w:val="BodyText"/>
        <w:spacing w:before="43" w:line="219" w:lineRule="auto"/>
        <w:rPr>
          <w:rFonts w:ascii="SimSun" w:hAnsi="SimSun" w:eastAsia="SimSun" w:cs="SimSun"/>
          <w:sz w:val="13"/>
          <w:szCs w:val="13"/>
        </w:rPr>
      </w:pPr>
      <w:r>
        <w:rPr>
          <w:sz w:val="13"/>
          <w:szCs w:val="13"/>
          <w:spacing w:val="-10"/>
        </w:rPr>
        <w:t>→Wz-2:</w:t>
      </w:r>
      <w:r>
        <w:rPr>
          <w:rFonts w:ascii="SimSun" w:hAnsi="SimSun" w:eastAsia="SimSun" w:cs="SimSun"/>
          <w:sz w:val="13"/>
          <w:szCs w:val="13"/>
          <w:spacing w:val="-10"/>
        </w:rPr>
        <w:t>冲洗废水、噪声</w:t>
      </w:r>
    </w:p>
    <w:p>
      <w:pPr>
        <w:pStyle w:val="BodyText"/>
        <w:spacing w:line="301" w:lineRule="auto"/>
        <w:rPr/>
      </w:pPr>
      <w:r/>
    </w:p>
    <w:p>
      <w:pPr>
        <w:spacing w:before="43" w:line="222" w:lineRule="auto"/>
        <w:rPr>
          <w:rFonts w:ascii="SimHei" w:hAnsi="SimHei" w:eastAsia="SimHei" w:cs="SimHei"/>
          <w:sz w:val="13"/>
          <w:szCs w:val="13"/>
        </w:rPr>
      </w:pPr>
      <w:r>
        <w:rPr>
          <w:rFonts w:ascii="SimHei" w:hAnsi="SimHei" w:eastAsia="SimHei" w:cs="SimHei"/>
          <w:sz w:val="13"/>
          <w:szCs w:val="13"/>
          <w:spacing w:val="-3"/>
        </w:rPr>
        <w:t>→噪声</w:t>
      </w:r>
    </w:p>
    <w:p>
      <w:pPr>
        <w:pStyle w:val="BodyText"/>
        <w:spacing w:line="266" w:lineRule="auto"/>
        <w:rPr/>
      </w:pPr>
      <w:r/>
    </w:p>
    <w:p>
      <w:pPr>
        <w:pStyle w:val="BodyText"/>
        <w:spacing w:before="42" w:line="177" w:lineRule="exact"/>
        <w:rPr>
          <w:rFonts w:ascii="SimSun" w:hAnsi="SimSun" w:eastAsia="SimSun" w:cs="SimSun"/>
          <w:sz w:val="13"/>
          <w:szCs w:val="13"/>
        </w:rPr>
      </w:pPr>
      <w:r>
        <w:rPr>
          <w:sz w:val="13"/>
          <w:szCs w:val="13"/>
          <w:spacing w:val="-12"/>
          <w:position w:val="1"/>
        </w:rPr>
        <w:t>→Wz-3</w:t>
      </w:r>
      <w:r>
        <w:rPr>
          <w:rFonts w:ascii="SimSun" w:hAnsi="SimSun" w:eastAsia="SimSun" w:cs="SimSun"/>
          <w:sz w:val="13"/>
          <w:szCs w:val="13"/>
          <w:spacing w:val="-12"/>
          <w:position w:val="1"/>
        </w:rPr>
        <w:t>:消毒废水、</w:t>
      </w:r>
      <w:r>
        <w:rPr>
          <w:rFonts w:ascii="Times New Roman" w:hAnsi="Times New Roman" w:eastAsia="Times New Roman" w:cs="Times New Roman"/>
          <w:sz w:val="13"/>
          <w:szCs w:val="13"/>
          <w:spacing w:val="-12"/>
          <w:position w:val="1"/>
        </w:rPr>
        <w:t>Gz:  </w:t>
      </w:r>
      <w:r>
        <w:rPr>
          <w:rFonts w:ascii="SimSun" w:hAnsi="SimSun" w:eastAsia="SimSun" w:cs="SimSun"/>
          <w:sz w:val="13"/>
          <w:szCs w:val="13"/>
          <w:spacing w:val="-12"/>
          <w:position w:val="1"/>
        </w:rPr>
        <w:t>恶臭</w:t>
      </w:r>
    </w:p>
    <w:p>
      <w:pPr>
        <w:pStyle w:val="BodyText"/>
        <w:spacing w:line="292" w:lineRule="auto"/>
        <w:rPr/>
      </w:pPr>
      <w:r/>
    </w:p>
    <w:p>
      <w:pPr>
        <w:spacing w:before="43" w:line="219" w:lineRule="auto"/>
        <w:rPr>
          <w:rFonts w:ascii="SimSun" w:hAnsi="SimSun" w:eastAsia="SimSun" w:cs="SimSun"/>
          <w:sz w:val="13"/>
          <w:szCs w:val="13"/>
        </w:rPr>
      </w:pPr>
      <w:r>
        <w:rPr>
          <w:rFonts w:ascii="Times New Roman" w:hAnsi="Times New Roman" w:eastAsia="Times New Roman" w:cs="Times New Roman"/>
          <w:sz w:val="13"/>
          <w:szCs w:val="13"/>
          <w:spacing w:val="-10"/>
        </w:rPr>
        <w:t>→Wz-4:</w:t>
      </w:r>
      <w:r>
        <w:rPr>
          <w:rFonts w:ascii="SimSun" w:hAnsi="SimSun" w:eastAsia="SimSun" w:cs="SimSun"/>
          <w:sz w:val="13"/>
          <w:szCs w:val="13"/>
          <w:spacing w:val="-10"/>
        </w:rPr>
        <w:t>冲洗废水、噪声</w:t>
      </w:r>
    </w:p>
    <w:p>
      <w:pPr>
        <w:pStyle w:val="BodyText"/>
        <w:spacing w:line="301" w:lineRule="auto"/>
        <w:rPr/>
      </w:pPr>
      <w:r/>
    </w:p>
    <w:p>
      <w:pPr>
        <w:spacing w:before="43" w:line="219" w:lineRule="auto"/>
        <w:rPr>
          <w:rFonts w:ascii="SimSun" w:hAnsi="SimSun" w:eastAsia="SimSun" w:cs="SimSun"/>
          <w:sz w:val="13"/>
          <w:szCs w:val="13"/>
        </w:rPr>
      </w:pPr>
      <w:r>
        <w:rPr>
          <w:rFonts w:ascii="Times New Roman" w:hAnsi="Times New Roman" w:eastAsia="Times New Roman" w:cs="Times New Roman"/>
          <w:sz w:val="13"/>
          <w:szCs w:val="13"/>
          <w:spacing w:val="-6"/>
        </w:rPr>
        <w:t>→Sz-4:</w:t>
      </w:r>
      <w:r>
        <w:rPr>
          <w:rFonts w:ascii="SimSun" w:hAnsi="SimSun" w:eastAsia="SimSun" w:cs="SimSun"/>
          <w:sz w:val="13"/>
          <w:szCs w:val="13"/>
          <w:spacing w:val="-6"/>
        </w:rPr>
        <w:t>毛、羽</w:t>
      </w:r>
      <w:r>
        <w:rPr>
          <w:rFonts w:ascii="Times New Roman" w:hAnsi="Times New Roman" w:eastAsia="Times New Roman" w:cs="Times New Roman"/>
          <w:sz w:val="13"/>
          <w:szCs w:val="13"/>
          <w:spacing w:val="-6"/>
        </w:rPr>
        <w:t>Wz-5: </w:t>
      </w:r>
      <w:r>
        <w:rPr>
          <w:rFonts w:ascii="SimSun" w:hAnsi="SimSun" w:eastAsia="SimSun" w:cs="SimSun"/>
          <w:sz w:val="13"/>
          <w:szCs w:val="13"/>
          <w:spacing w:val="-6"/>
        </w:rPr>
        <w:t>烫毛、废水</w:t>
      </w:r>
      <w:r>
        <w:rPr>
          <w:rFonts w:ascii="Times New Roman" w:hAnsi="Times New Roman" w:eastAsia="Times New Roman" w:cs="Times New Roman"/>
          <w:sz w:val="13"/>
          <w:szCs w:val="13"/>
          <w:spacing w:val="-6"/>
        </w:rPr>
        <w:t>Gz:</w:t>
      </w:r>
      <w:r>
        <w:rPr>
          <w:rFonts w:ascii="Times New Roman" w:hAnsi="Times New Roman" w:eastAsia="Times New Roman" w:cs="Times New Roman"/>
          <w:sz w:val="13"/>
          <w:szCs w:val="13"/>
          <w:spacing w:val="14"/>
          <w:w w:val="101"/>
        </w:rPr>
        <w:t xml:space="preserve"> </w:t>
      </w:r>
      <w:r>
        <w:rPr>
          <w:rFonts w:ascii="SimSun" w:hAnsi="SimSun" w:eastAsia="SimSun" w:cs="SimSun"/>
          <w:sz w:val="13"/>
          <w:szCs w:val="13"/>
          <w:spacing w:val="-6"/>
        </w:rPr>
        <w:t>恶臭</w:t>
      </w:r>
    </w:p>
    <w:p>
      <w:pPr>
        <w:pStyle w:val="BodyText"/>
        <w:spacing w:line="321" w:lineRule="auto"/>
        <w:rPr/>
      </w:pPr>
      <w:r/>
    </w:p>
    <w:p>
      <w:pPr>
        <w:spacing w:before="43" w:line="219" w:lineRule="auto"/>
        <w:rPr>
          <w:rFonts w:ascii="SimSun" w:hAnsi="SimSun" w:eastAsia="SimSun" w:cs="SimSun"/>
          <w:sz w:val="13"/>
          <w:szCs w:val="13"/>
        </w:rPr>
      </w:pPr>
      <w:r>
        <w:rPr>
          <w:rFonts w:ascii="Times New Roman" w:hAnsi="Times New Roman" w:eastAsia="Times New Roman" w:cs="Times New Roman"/>
          <w:sz w:val="13"/>
          <w:szCs w:val="13"/>
          <w:spacing w:val="-6"/>
        </w:rPr>
        <w:t>→Sz-2: </w:t>
      </w:r>
      <w:r>
        <w:rPr>
          <w:rFonts w:ascii="SimSun" w:hAnsi="SimSun" w:eastAsia="SimSun" w:cs="SimSun"/>
          <w:sz w:val="13"/>
          <w:szCs w:val="13"/>
          <w:spacing w:val="-6"/>
        </w:rPr>
        <w:t>含毛蜡、</w:t>
      </w:r>
      <w:r>
        <w:rPr>
          <w:rFonts w:ascii="Times New Roman" w:hAnsi="Times New Roman" w:eastAsia="Times New Roman" w:cs="Times New Roman"/>
          <w:sz w:val="13"/>
          <w:szCs w:val="13"/>
          <w:spacing w:val="-6"/>
        </w:rPr>
        <w:t>Gz:</w:t>
      </w:r>
      <w:r>
        <w:rPr>
          <w:rFonts w:ascii="Times New Roman" w:hAnsi="Times New Roman" w:eastAsia="Times New Roman" w:cs="Times New Roman"/>
          <w:sz w:val="13"/>
          <w:szCs w:val="13"/>
          <w:spacing w:val="35"/>
        </w:rPr>
        <w:t xml:space="preserve"> </w:t>
      </w:r>
      <w:r>
        <w:rPr>
          <w:rFonts w:ascii="SimSun" w:hAnsi="SimSun" w:eastAsia="SimSun" w:cs="SimSun"/>
          <w:sz w:val="13"/>
          <w:szCs w:val="13"/>
          <w:spacing w:val="-6"/>
        </w:rPr>
        <w:t>恶臭</w:t>
      </w:r>
    </w:p>
    <w:p>
      <w:pPr>
        <w:pStyle w:val="BodyText"/>
        <w:spacing w:line="260" w:lineRule="auto"/>
        <w:rPr/>
      </w:pPr>
      <w:r/>
    </w:p>
    <w:p>
      <w:pPr>
        <w:pStyle w:val="BodyText"/>
        <w:spacing w:line="260" w:lineRule="auto"/>
        <w:rPr/>
      </w:pPr>
      <w:r/>
    </w:p>
    <w:p>
      <w:pPr>
        <w:spacing w:before="42" w:line="219" w:lineRule="auto"/>
        <w:rPr>
          <w:rFonts w:ascii="SimSun" w:hAnsi="SimSun" w:eastAsia="SimSun" w:cs="SimSun"/>
          <w:sz w:val="13"/>
          <w:szCs w:val="13"/>
        </w:rPr>
      </w:pPr>
      <w:r>
        <w:rPr>
          <w:rFonts w:ascii="SimSun" w:hAnsi="SimSun" w:eastAsia="SimSun" w:cs="SimSun"/>
          <w:sz w:val="13"/>
          <w:szCs w:val="13"/>
          <w:spacing w:val="-6"/>
        </w:rPr>
        <w:t>→</w:t>
      </w:r>
      <w:r>
        <w:rPr>
          <w:rFonts w:ascii="SimSun" w:hAnsi="SimSun" w:eastAsia="SimSun" w:cs="SimSun"/>
          <w:sz w:val="13"/>
          <w:szCs w:val="13"/>
          <w:spacing w:val="-22"/>
        </w:rPr>
        <w:t xml:space="preserve"> </w:t>
      </w:r>
      <w:r>
        <w:rPr>
          <w:rFonts w:ascii="SimSun" w:hAnsi="SimSun" w:eastAsia="SimSun" w:cs="SimSun"/>
          <w:sz w:val="13"/>
          <w:szCs w:val="13"/>
          <w:spacing w:val="-6"/>
        </w:rPr>
        <w:t>Wz-7:消毒废水、Gz:</w:t>
      </w:r>
      <w:r>
        <w:rPr>
          <w:rFonts w:ascii="SimSun" w:hAnsi="SimSun" w:eastAsia="SimSun" w:cs="SimSun"/>
          <w:sz w:val="13"/>
          <w:szCs w:val="13"/>
          <w:spacing w:val="-26"/>
        </w:rPr>
        <w:t xml:space="preserve"> </w:t>
      </w:r>
      <w:r>
        <w:rPr>
          <w:rFonts w:ascii="SimSun" w:hAnsi="SimSun" w:eastAsia="SimSun" w:cs="SimSun"/>
          <w:sz w:val="13"/>
          <w:szCs w:val="13"/>
          <w:spacing w:val="-6"/>
        </w:rPr>
        <w:t>恶臭</w:t>
      </w:r>
    </w:p>
    <w:p>
      <w:pPr>
        <w:spacing w:line="219" w:lineRule="auto"/>
        <w:sectPr>
          <w:type w:val="continuous"/>
          <w:pgSz w:w="11910" w:h="16840"/>
          <w:pgMar w:top="1207" w:right="1786" w:bottom="962" w:left="1786" w:header="915" w:footer="777" w:gutter="0"/>
          <w:cols w:equalWidth="0" w:num="2">
            <w:col w:w="4904" w:space="100"/>
            <w:col w:w="3334" w:space="0"/>
          </w:cols>
        </w:sectPr>
        <w:rPr>
          <w:rFonts w:ascii="SimSun" w:hAnsi="SimSun" w:eastAsia="SimSun" w:cs="SimSun"/>
          <w:sz w:val="13"/>
          <w:szCs w:val="13"/>
        </w:rPr>
      </w:pPr>
    </w:p>
    <w:p>
      <w:pPr>
        <w:spacing w:before="4"/>
        <w:rPr/>
      </w:pPr>
      <w:r/>
    </w:p>
    <w:p>
      <w:pPr>
        <w:sectPr>
          <w:type w:val="continuous"/>
          <w:pgSz w:w="11910" w:h="16840"/>
          <w:pgMar w:top="1207" w:right="1786" w:bottom="962" w:left="1786" w:header="915" w:footer="777" w:gutter="0"/>
          <w:cols w:equalWidth="0" w:num="1">
            <w:col w:w="8337" w:space="0"/>
          </w:cols>
        </w:sectPr>
        <w:rPr/>
      </w:pPr>
    </w:p>
    <w:p>
      <w:pPr>
        <w:ind w:left="553"/>
        <w:spacing w:before="25" w:line="219" w:lineRule="auto"/>
        <w:rPr>
          <w:rFonts w:ascii="SimSun" w:hAnsi="SimSun" w:eastAsia="SimSun" w:cs="SimSun"/>
          <w:sz w:val="13"/>
          <w:szCs w:val="13"/>
        </w:rPr>
      </w:pPr>
      <w:r>
        <w:pict>
          <v:shape id="_x0000_s90" style="position:absolute;margin-left:132.178pt;margin-top:2.92288pt;mso-position-vertical-relative:text;mso-position-horizontal-relative:text;width:43.85pt;height:34.05pt;z-index:251977728;" filled="false" stroked="false" type="#_x0000_t202">
            <v:fill on="false"/>
            <v:stroke on="false"/>
            <v:path/>
            <v:imagedata o:title=""/>
            <o:lock v:ext="edit" aspectratio="false"/>
            <v:textbox inset="0mm,0mm,0mm,0mm">
              <w:txbxContent>
                <w:p>
                  <w:pPr>
                    <w:ind w:left="289"/>
                    <w:spacing w:before="20" w:line="219" w:lineRule="auto"/>
                    <w:rPr>
                      <w:rFonts w:ascii="SimSun" w:hAnsi="SimSun" w:eastAsia="SimSun" w:cs="SimSun"/>
                      <w:sz w:val="19"/>
                      <w:szCs w:val="19"/>
                    </w:rPr>
                  </w:pPr>
                  <w:r>
                    <w:rPr>
                      <w:rFonts w:ascii="SimSun" w:hAnsi="SimSun" w:eastAsia="SimSun" w:cs="SimSun"/>
                      <w:sz w:val="19"/>
                      <w:szCs w:val="19"/>
                      <w:spacing w:val="-11"/>
                    </w:rPr>
                    <w:t>检验</w:t>
                  </w:r>
                </w:p>
                <w:p>
                  <w:pPr>
                    <w:ind w:left="20"/>
                    <w:spacing w:before="181" w:line="227" w:lineRule="auto"/>
                    <w:rPr>
                      <w:rFonts w:ascii="SimSun" w:hAnsi="SimSun" w:eastAsia="SimSun" w:cs="SimSun"/>
                      <w:sz w:val="19"/>
                      <w:szCs w:val="19"/>
                    </w:rPr>
                  </w:pPr>
                  <w:r>
                    <w:rPr>
                      <w:rFonts w:ascii="SimSun" w:hAnsi="SimSun" w:eastAsia="SimSun" w:cs="SimSun"/>
                      <w:sz w:val="13"/>
                      <w:szCs w:val="13"/>
                      <w:spacing w:val="-12"/>
                      <w:position w:val="-1"/>
                    </w:rPr>
                    <w:t>清</w:t>
                  </w:r>
                  <w:r>
                    <w:rPr>
                      <w:rFonts w:ascii="SimSun" w:hAnsi="SimSun" w:eastAsia="SimSun" w:cs="SimSun"/>
                      <w:sz w:val="13"/>
                      <w:szCs w:val="13"/>
                      <w:spacing w:val="7"/>
                      <w:position w:val="-1"/>
                    </w:rPr>
                    <w:t xml:space="preserve"> </w:t>
                  </w:r>
                  <w:r>
                    <w:rPr>
                      <w:rFonts w:ascii="SimSun" w:hAnsi="SimSun" w:eastAsia="SimSun" w:cs="SimSun"/>
                      <w:sz w:val="13"/>
                      <w:szCs w:val="13"/>
                      <w:spacing w:val="-12"/>
                      <w:position w:val="-1"/>
                    </w:rPr>
                    <w:t>洗 、</w:t>
                  </w:r>
                  <w:r>
                    <w:rPr>
                      <w:rFonts w:ascii="SimSun" w:hAnsi="SimSun" w:eastAsia="SimSun" w:cs="SimSun"/>
                      <w:sz w:val="19"/>
                      <w:szCs w:val="19"/>
                      <w:spacing w:val="-12"/>
                    </w:rPr>
                    <w:t>整理</w:t>
                  </w:r>
                </w:p>
              </w:txbxContent>
            </v:textbox>
          </v:shape>
        </w:pict>
      </w:r>
      <w:r>
        <w:rPr>
          <w:rFonts w:ascii="Times New Roman" w:hAnsi="Times New Roman" w:eastAsia="Times New Roman" w:cs="Times New Roman"/>
          <w:sz w:val="13"/>
          <w:szCs w:val="13"/>
          <w:spacing w:val="-11"/>
        </w:rPr>
        <w:t>Sz-3:</w:t>
      </w:r>
      <w:r>
        <w:rPr>
          <w:rFonts w:ascii="SimSun" w:hAnsi="SimSun" w:eastAsia="SimSun" w:cs="SimSun"/>
          <w:sz w:val="13"/>
          <w:szCs w:val="13"/>
          <w:spacing w:val="-11"/>
        </w:rPr>
        <w:t>不可食用内脏及胃肠容物</w:t>
      </w:r>
    </w:p>
    <w:p>
      <w:pPr>
        <w:pStyle w:val="BodyText"/>
        <w:spacing w:line="292" w:lineRule="auto"/>
        <w:rPr/>
      </w:pPr>
      <w:r/>
    </w:p>
    <w:p>
      <w:pPr>
        <w:ind w:left="753"/>
        <w:spacing w:before="43" w:line="219" w:lineRule="auto"/>
        <w:rPr>
          <w:rFonts w:ascii="SimSun" w:hAnsi="SimSun" w:eastAsia="SimSun" w:cs="SimSun"/>
          <w:sz w:val="13"/>
          <w:szCs w:val="13"/>
        </w:rPr>
      </w:pPr>
      <w:r>
        <w:rPr>
          <w:rFonts w:ascii="SimSun" w:hAnsi="SimSun" w:eastAsia="SimSun" w:cs="SimSun"/>
          <w:sz w:val="13"/>
          <w:szCs w:val="13"/>
          <w:spacing w:val="-11"/>
        </w:rPr>
        <w:t>Wz-6:冲洗废水、Gz: 恶臭←------</w:t>
      </w:r>
    </w:p>
    <w:p>
      <w:pPr>
        <w:pStyle w:val="BodyText"/>
        <w:spacing w:line="271" w:lineRule="auto"/>
        <w:rPr/>
      </w:pPr>
      <w:r/>
    </w:p>
    <w:p>
      <w:pPr>
        <w:ind w:left="1223"/>
        <w:spacing w:before="43" w:line="234" w:lineRule="auto"/>
        <w:rPr>
          <w:rFonts w:ascii="SimSun" w:hAnsi="SimSun" w:eastAsia="SimSun" w:cs="SimSun"/>
          <w:sz w:val="13"/>
          <w:szCs w:val="13"/>
        </w:rPr>
      </w:pPr>
      <w:r>
        <w:rPr>
          <w:rFonts w:ascii="Times New Roman" w:hAnsi="Times New Roman" w:eastAsia="Times New Roman" w:cs="Times New Roman"/>
          <w:sz w:val="13"/>
          <w:szCs w:val="13"/>
          <w:spacing w:val="-5"/>
        </w:rPr>
        <w:t>Sz-5:</w:t>
      </w:r>
      <w:r>
        <w:rPr>
          <w:rFonts w:ascii="SimSun" w:hAnsi="SimSun" w:eastAsia="SimSun" w:cs="SimSun"/>
          <w:sz w:val="13"/>
          <w:szCs w:val="13"/>
          <w:spacing w:val="-5"/>
        </w:rPr>
        <w:t>废包装材料←---------  包装外售</w:t>
      </w:r>
    </w:p>
    <w:p>
      <w:pPr>
        <w:spacing w:before="41"/>
        <w:rPr/>
      </w:pPr>
      <w:r/>
    </w:p>
    <w:p>
      <w:pPr>
        <w:spacing w:before="40"/>
        <w:rPr/>
      </w:pPr>
      <w:r/>
    </w:p>
    <w:p>
      <w:pPr>
        <w:pStyle w:val="BodyText"/>
        <w:spacing w:line="14" w:lineRule="auto"/>
        <w:rPr>
          <w:sz w:val="2"/>
        </w:rPr>
      </w:pPr>
      <w:r>
        <w:rPr>
          <w:sz w:val="2"/>
          <w:szCs w:val="2"/>
        </w:rPr>
        <w:br w:type="column"/>
      </w:r>
    </w:p>
    <w:p>
      <w:pPr>
        <w:ind w:left="119"/>
        <w:spacing w:before="134" w:line="219" w:lineRule="auto"/>
        <w:rPr>
          <w:rFonts w:ascii="SimSun" w:hAnsi="SimSun" w:eastAsia="SimSun" w:cs="SimSun"/>
          <w:sz w:val="13"/>
          <w:szCs w:val="13"/>
        </w:rPr>
      </w:pPr>
      <w:r>
        <w:rPr>
          <w:rFonts w:ascii="SimSun" w:hAnsi="SimSun" w:eastAsia="SimSun" w:cs="SimSun"/>
          <w:sz w:val="13"/>
          <w:szCs w:val="13"/>
          <w:spacing w:val="3"/>
        </w:rPr>
        <w:t>打脚</w:t>
      </w:r>
      <w:r>
        <w:rPr>
          <w:rFonts w:ascii="SimSun" w:hAnsi="SimSun" w:eastAsia="SimSun" w:cs="SimSun"/>
          <w:sz w:val="13"/>
          <w:szCs w:val="13"/>
          <w:spacing w:val="-16"/>
        </w:rPr>
        <w:t xml:space="preserve"> </w:t>
      </w:r>
      <w:r>
        <w:rPr>
          <w:rFonts w:ascii="SimSun" w:hAnsi="SimSun" w:eastAsia="SimSun" w:cs="SimSun"/>
          <w:sz w:val="13"/>
          <w:szCs w:val="13"/>
          <w:spacing w:val="3"/>
        </w:rPr>
        <w:t>、</w:t>
      </w:r>
      <w:r>
        <w:rPr>
          <w:rFonts w:ascii="SimSun" w:hAnsi="SimSun" w:eastAsia="SimSun" w:cs="SimSun"/>
          <w:sz w:val="13"/>
          <w:szCs w:val="13"/>
          <w:spacing w:val="-21"/>
        </w:rPr>
        <w:t xml:space="preserve"> </w:t>
      </w:r>
      <w:r>
        <w:rPr>
          <w:rFonts w:ascii="SimSun" w:hAnsi="SimSun" w:eastAsia="SimSun" w:cs="SimSun"/>
          <w:sz w:val="13"/>
          <w:szCs w:val="13"/>
          <w:spacing w:val="3"/>
        </w:rPr>
        <w:t>掌</w:t>
      </w:r>
    </w:p>
    <w:p>
      <w:pPr>
        <w:ind w:left="1499"/>
        <w:spacing w:before="47" w:line="219" w:lineRule="auto"/>
        <w:rPr>
          <w:rFonts w:ascii="SimSun" w:hAnsi="SimSun" w:eastAsia="SimSun" w:cs="SimSun"/>
          <w:sz w:val="13"/>
          <w:szCs w:val="13"/>
        </w:rPr>
      </w:pPr>
      <w:r>
        <w:rPr>
          <w:rFonts w:ascii="SimSun" w:hAnsi="SimSun" w:eastAsia="SimSun" w:cs="SimSun"/>
          <w:sz w:val="13"/>
          <w:szCs w:val="13"/>
          <w:spacing w:val="-11"/>
        </w:rPr>
        <w:t>Wz-6:冲洗废水、Gz:</w:t>
      </w:r>
      <w:r>
        <w:rPr>
          <w:rFonts w:ascii="SimSun" w:hAnsi="SimSun" w:eastAsia="SimSun" w:cs="SimSun"/>
          <w:sz w:val="13"/>
          <w:szCs w:val="13"/>
          <w:spacing w:val="-14"/>
        </w:rPr>
        <w:t xml:space="preserve"> </w:t>
      </w:r>
      <w:r>
        <w:rPr>
          <w:rFonts w:ascii="SimSun" w:hAnsi="SimSun" w:eastAsia="SimSun" w:cs="SimSun"/>
          <w:sz w:val="13"/>
          <w:szCs w:val="13"/>
          <w:spacing w:val="-11"/>
        </w:rPr>
        <w:t>恶臭</w:t>
      </w:r>
    </w:p>
    <w:p>
      <w:pPr>
        <w:spacing w:before="106" w:line="220" w:lineRule="auto"/>
        <w:rPr>
          <w:rFonts w:ascii="SimSun" w:hAnsi="SimSun" w:eastAsia="SimSun" w:cs="SimSun"/>
          <w:sz w:val="13"/>
          <w:szCs w:val="13"/>
        </w:rPr>
      </w:pPr>
      <w:r>
        <w:rPr>
          <w:rFonts w:ascii="SimSun" w:hAnsi="SimSun" w:eastAsia="SimSun" w:cs="SimSun"/>
          <w:sz w:val="13"/>
          <w:szCs w:val="13"/>
          <w:spacing w:val="16"/>
        </w:rPr>
        <w:t>[清洗、整理</w:t>
      </w:r>
    </w:p>
    <w:p>
      <w:pPr>
        <w:ind w:left="1579"/>
        <w:spacing w:before="234" w:line="163" w:lineRule="auto"/>
        <w:rPr>
          <w:rFonts w:ascii="SimSun" w:hAnsi="SimSun" w:eastAsia="SimSun" w:cs="SimSun"/>
          <w:sz w:val="13"/>
          <w:szCs w:val="13"/>
        </w:rPr>
      </w:pPr>
      <w:r>
        <w:rPr>
          <w:rFonts w:ascii="Times New Roman" w:hAnsi="Times New Roman" w:eastAsia="Times New Roman" w:cs="Times New Roman"/>
          <w:sz w:val="13"/>
          <w:szCs w:val="13"/>
          <w:spacing w:val="-10"/>
        </w:rPr>
        <w:t>Sz-4:</w:t>
      </w:r>
      <w:r>
        <w:rPr>
          <w:rFonts w:ascii="SimSun" w:hAnsi="SimSun" w:eastAsia="SimSun" w:cs="SimSun"/>
          <w:sz w:val="13"/>
          <w:szCs w:val="13"/>
          <w:spacing w:val="-10"/>
        </w:rPr>
        <w:t>不可食用肉类</w:t>
      </w:r>
    </w:p>
    <w:p>
      <w:pPr>
        <w:ind w:left="280"/>
        <w:spacing w:before="1" w:line="198" w:lineRule="auto"/>
        <w:rPr>
          <w:rFonts w:ascii="SimSun" w:hAnsi="SimSun" w:eastAsia="SimSun" w:cs="SimSun"/>
          <w:sz w:val="13"/>
          <w:szCs w:val="13"/>
        </w:rPr>
      </w:pPr>
      <w:r>
        <w:rPr>
          <w:rFonts w:ascii="SimSun" w:hAnsi="SimSun" w:eastAsia="SimSun" w:cs="SimSun"/>
          <w:sz w:val="13"/>
          <w:szCs w:val="13"/>
          <w:spacing w:val="-3"/>
        </w:rPr>
        <w:t>检</w:t>
      </w:r>
      <w:r>
        <w:rPr>
          <w:rFonts w:ascii="SimSun" w:hAnsi="SimSun" w:eastAsia="SimSun" w:cs="SimSun"/>
          <w:sz w:val="13"/>
          <w:szCs w:val="13"/>
          <w:spacing w:val="-10"/>
        </w:rPr>
        <w:t xml:space="preserve"> </w:t>
      </w:r>
      <w:r>
        <w:rPr>
          <w:rFonts w:ascii="SimSun" w:hAnsi="SimSun" w:eastAsia="SimSun" w:cs="SimSun"/>
          <w:sz w:val="13"/>
          <w:szCs w:val="13"/>
          <w:spacing w:val="-3"/>
        </w:rPr>
        <w:t>验</w:t>
      </w:r>
    </w:p>
    <w:p>
      <w:pPr>
        <w:ind w:left="1599"/>
        <w:spacing w:before="205" w:line="172" w:lineRule="auto"/>
        <w:rPr>
          <w:rFonts w:ascii="SimHei" w:hAnsi="SimHei" w:eastAsia="SimHei" w:cs="SimHei"/>
          <w:sz w:val="13"/>
          <w:szCs w:val="13"/>
        </w:rPr>
      </w:pPr>
      <w:r>
        <w:rPr>
          <w:rFonts w:ascii="Times New Roman" w:hAnsi="Times New Roman" w:eastAsia="Times New Roman" w:cs="Times New Roman"/>
          <w:sz w:val="13"/>
          <w:szCs w:val="13"/>
          <w:spacing w:val="-2"/>
        </w:rPr>
        <w:t>Gz:</w:t>
      </w:r>
      <w:r>
        <w:rPr>
          <w:rFonts w:ascii="Times New Roman" w:hAnsi="Times New Roman" w:eastAsia="Times New Roman" w:cs="Times New Roman"/>
          <w:sz w:val="13"/>
          <w:szCs w:val="13"/>
          <w:spacing w:val="4"/>
        </w:rPr>
        <w:t xml:space="preserve"> </w:t>
      </w:r>
      <w:r>
        <w:rPr>
          <w:rFonts w:ascii="SimHei" w:hAnsi="SimHei" w:eastAsia="SimHei" w:cs="SimHei"/>
          <w:sz w:val="13"/>
          <w:szCs w:val="13"/>
          <w:spacing w:val="-2"/>
        </w:rPr>
        <w:t>恶臭</w:t>
      </w:r>
    </w:p>
    <w:p>
      <w:pPr>
        <w:ind w:left="110"/>
        <w:spacing w:line="205" w:lineRule="auto"/>
        <w:rPr>
          <w:rFonts w:ascii="SimSun" w:hAnsi="SimSun" w:eastAsia="SimSun" w:cs="SimSun"/>
          <w:sz w:val="13"/>
          <w:szCs w:val="13"/>
        </w:rPr>
      </w:pPr>
      <w:r>
        <w:rPr>
          <w:rFonts w:ascii="SimSun" w:hAnsi="SimSun" w:eastAsia="SimSun" w:cs="SimSun"/>
          <w:sz w:val="13"/>
          <w:szCs w:val="13"/>
          <w:spacing w:val="27"/>
        </w:rPr>
        <w:t>预冷排酸</w:t>
      </w:r>
    </w:p>
    <w:p>
      <w:pPr>
        <w:spacing w:line="205" w:lineRule="auto"/>
        <w:sectPr>
          <w:type w:val="continuous"/>
          <w:pgSz w:w="11910" w:h="16840"/>
          <w:pgMar w:top="1207" w:right="1786" w:bottom="962" w:left="1786" w:header="915" w:footer="777" w:gutter="0"/>
          <w:cols w:equalWidth="0" w:num="2">
            <w:col w:w="4364" w:space="100"/>
            <w:col w:w="3874" w:space="0"/>
          </w:cols>
        </w:sectPr>
        <w:rPr>
          <w:rFonts w:ascii="SimSun" w:hAnsi="SimSun" w:eastAsia="SimSun" w:cs="SimSun"/>
          <w:sz w:val="13"/>
          <w:szCs w:val="13"/>
        </w:rPr>
      </w:pPr>
    </w:p>
    <w:p>
      <w:pPr>
        <w:pStyle w:val="BodyText"/>
        <w:spacing w:line="442" w:lineRule="auto"/>
        <w:rPr/>
      </w:pPr>
      <w:r/>
    </w:p>
    <w:p>
      <w:pPr>
        <w:ind w:left="2113"/>
        <w:spacing w:before="62" w:line="224" w:lineRule="auto"/>
        <w:rPr>
          <w:rFonts w:ascii="SimHei" w:hAnsi="SimHei" w:eastAsia="SimHei" w:cs="SimHei"/>
          <w:sz w:val="19"/>
          <w:szCs w:val="19"/>
        </w:rPr>
      </w:pPr>
      <w:r>
        <w:rPr>
          <w:rFonts w:ascii="Times New Roman" w:hAnsi="Times New Roman" w:eastAsia="Times New Roman" w:cs="Times New Roman"/>
          <w:sz w:val="13"/>
          <w:szCs w:val="13"/>
          <w:spacing w:val="-7"/>
          <w:position w:val="1"/>
        </w:rPr>
        <w:t>Sz-5:</w:t>
      </w:r>
      <w:r>
        <w:rPr>
          <w:rFonts w:ascii="SimSun" w:hAnsi="SimSun" w:eastAsia="SimSun" w:cs="SimSun"/>
          <w:sz w:val="13"/>
          <w:szCs w:val="13"/>
          <w:spacing w:val="-7"/>
          <w:position w:val="1"/>
        </w:rPr>
        <w:t>废包装材料</w:t>
      </w:r>
      <w:r>
        <w:rPr>
          <w:rFonts w:ascii="SimSun" w:hAnsi="SimSun" w:eastAsia="SimSun" w:cs="SimSun"/>
          <w:sz w:val="13"/>
          <w:szCs w:val="13"/>
          <w:spacing w:val="3"/>
          <w:position w:val="1"/>
        </w:rPr>
        <w:t xml:space="preserve">             </w:t>
      </w:r>
      <w:r>
        <w:rPr>
          <w:rFonts w:ascii="SimHei" w:hAnsi="SimHei" w:eastAsia="SimHei" w:cs="SimHei"/>
          <w:sz w:val="13"/>
          <w:szCs w:val="13"/>
          <w:spacing w:val="-7"/>
          <w:position w:val="-1"/>
        </w:rPr>
        <w:t>包</w:t>
      </w:r>
      <w:r>
        <w:rPr>
          <w:rFonts w:ascii="SimHei" w:hAnsi="SimHei" w:eastAsia="SimHei" w:cs="SimHei"/>
          <w:sz w:val="19"/>
          <w:szCs w:val="19"/>
          <w:spacing w:val="-7"/>
          <w:position w:val="-2"/>
        </w:rPr>
        <w:t>装</w:t>
      </w:r>
    </w:p>
    <w:p>
      <w:pPr>
        <w:ind w:left="3673"/>
        <w:spacing w:before="249" w:line="236" w:lineRule="auto"/>
        <w:rPr>
          <w:rFonts w:ascii="SimSun" w:hAnsi="SimSun" w:eastAsia="SimSun" w:cs="SimSun"/>
          <w:sz w:val="13"/>
          <w:szCs w:val="13"/>
        </w:rPr>
      </w:pPr>
      <w:r>
        <w:rPr>
          <w:rFonts w:ascii="SimSun" w:hAnsi="SimSun" w:eastAsia="SimSun" w:cs="SimSun"/>
          <w:sz w:val="13"/>
          <w:szCs w:val="13"/>
          <w:spacing w:val="-7"/>
        </w:rPr>
        <w:t>鲜销外售                       </w:t>
      </w:r>
      <w:r>
        <w:rPr>
          <w:rFonts w:ascii="SimSun" w:hAnsi="SimSun" w:eastAsia="SimSun" w:cs="SimSun"/>
          <w:sz w:val="19"/>
          <w:szCs w:val="19"/>
          <w:spacing w:val="-7"/>
          <w:position w:val="-2"/>
        </w:rPr>
        <w:t>包</w:t>
      </w:r>
      <w:r>
        <w:rPr>
          <w:rFonts w:ascii="SimHei" w:hAnsi="SimHei" w:eastAsia="SimHei" w:cs="SimHei"/>
          <w:sz w:val="19"/>
          <w:szCs w:val="19"/>
          <w:spacing w:val="-7"/>
          <w:position w:val="-2"/>
        </w:rPr>
        <w:t>装</w:t>
      </w:r>
      <w:r>
        <w:rPr>
          <w:rFonts w:ascii="SimHei" w:hAnsi="SimHei" w:eastAsia="SimHei" w:cs="SimHei"/>
          <w:sz w:val="19"/>
          <w:szCs w:val="19"/>
          <w:spacing w:val="-7"/>
          <w:position w:val="-2"/>
        </w:rPr>
        <w:t xml:space="preserve">   </w:t>
      </w:r>
      <w:r>
        <w:rPr>
          <w:rFonts w:ascii="SimHei" w:hAnsi="SimHei" w:eastAsia="SimHei" w:cs="SimHei"/>
          <w:sz w:val="19"/>
          <w:szCs w:val="19"/>
          <w:spacing w:val="-8"/>
          <w:position w:val="-2"/>
        </w:rPr>
        <w:t xml:space="preserve">       </w:t>
      </w:r>
      <w:r>
        <w:rPr>
          <w:rFonts w:ascii="SimSun" w:hAnsi="SimSun" w:eastAsia="SimSun" w:cs="SimSun"/>
          <w:sz w:val="13"/>
          <w:szCs w:val="13"/>
          <w:spacing w:val="-8"/>
          <w:position w:val="1"/>
        </w:rPr>
        <w:t>→Sz-5:废包装材料</w:t>
      </w:r>
    </w:p>
    <w:p>
      <w:pPr>
        <w:pStyle w:val="BodyText"/>
        <w:spacing w:line="407" w:lineRule="auto"/>
        <w:rPr/>
      </w:pPr>
      <w:r/>
    </w:p>
    <w:p>
      <w:pPr>
        <w:ind w:left="5483"/>
        <w:spacing w:before="43" w:line="219" w:lineRule="auto"/>
        <w:rPr>
          <w:rFonts w:ascii="SimSun" w:hAnsi="SimSun" w:eastAsia="SimSun" w:cs="SimSun"/>
          <w:sz w:val="13"/>
          <w:szCs w:val="13"/>
        </w:rPr>
      </w:pPr>
      <w:r>
        <w:rPr>
          <w:rFonts w:ascii="SimSun" w:hAnsi="SimSun" w:eastAsia="SimSun" w:cs="SimSun"/>
          <w:sz w:val="13"/>
          <w:szCs w:val="13"/>
          <w:spacing w:val="23"/>
        </w:rPr>
        <w:t>冷藏外售</w:t>
      </w:r>
    </w:p>
    <w:p>
      <w:pPr>
        <w:ind w:left="1756"/>
        <w:spacing w:before="57" w:line="219" w:lineRule="auto"/>
        <w:rPr>
          <w:rFonts w:ascii="SimSun" w:hAnsi="SimSun" w:eastAsia="SimSun" w:cs="SimSun"/>
          <w:sz w:val="23"/>
          <w:szCs w:val="23"/>
        </w:rPr>
      </w:pPr>
      <w:r>
        <w:rPr>
          <w:rFonts w:ascii="SimSun" w:hAnsi="SimSun" w:eastAsia="SimSun" w:cs="SimSun"/>
          <w:sz w:val="23"/>
          <w:szCs w:val="23"/>
          <w:b/>
          <w:bCs/>
          <w:spacing w:val="2"/>
        </w:rPr>
        <w:t>图3.8-1运营期生猪屠宰工艺流程及产污环节图</w:t>
      </w:r>
    </w:p>
    <w:p>
      <w:pPr>
        <w:ind w:left="486"/>
        <w:spacing w:before="234" w:line="219" w:lineRule="auto"/>
        <w:rPr>
          <w:rFonts w:ascii="SimSun" w:hAnsi="SimSun" w:eastAsia="SimSun" w:cs="SimSun"/>
          <w:sz w:val="19"/>
          <w:szCs w:val="19"/>
        </w:rPr>
      </w:pPr>
      <w:r>
        <w:rPr>
          <w:rFonts w:ascii="SimSun" w:hAnsi="SimSun" w:eastAsia="SimSun" w:cs="SimSun"/>
          <w:sz w:val="19"/>
          <w:szCs w:val="19"/>
          <w:b/>
          <w:bCs/>
          <w:spacing w:val="35"/>
        </w:rPr>
        <w:t>工艺流程简介</w:t>
      </w:r>
      <w:r>
        <w:rPr>
          <w:rFonts w:ascii="SimSun" w:hAnsi="SimSun" w:eastAsia="SimSun" w:cs="SimSun"/>
          <w:sz w:val="19"/>
          <w:szCs w:val="19"/>
          <w:spacing w:val="-42"/>
        </w:rPr>
        <w:t xml:space="preserve"> </w:t>
      </w:r>
      <w:r>
        <w:rPr>
          <w:rFonts w:ascii="SimSun" w:hAnsi="SimSun" w:eastAsia="SimSun" w:cs="SimSun"/>
          <w:sz w:val="19"/>
          <w:szCs w:val="19"/>
          <w:b/>
          <w:bCs/>
          <w:spacing w:val="35"/>
        </w:rPr>
        <w:t>：</w:t>
      </w:r>
    </w:p>
    <w:p>
      <w:pPr>
        <w:ind w:left="3" w:right="30" w:firstLine="480"/>
        <w:spacing w:before="239" w:line="370" w:lineRule="auto"/>
        <w:rPr>
          <w:rFonts w:ascii="SimSun" w:hAnsi="SimSun" w:eastAsia="SimSun" w:cs="SimSun"/>
          <w:sz w:val="23"/>
          <w:szCs w:val="23"/>
        </w:rPr>
      </w:pPr>
      <w:r>
        <w:rPr>
          <w:rFonts w:ascii="SimSun" w:hAnsi="SimSun" w:eastAsia="SimSun" w:cs="SimSun"/>
          <w:sz w:val="23"/>
          <w:szCs w:val="23"/>
          <w:spacing w:val="14"/>
        </w:rPr>
        <w:t>本项目生猪屠宰的主要工艺过程包括以下几个工艺段：首先向押运员索取</w:t>
      </w:r>
      <w:r>
        <w:rPr>
          <w:rFonts w:ascii="SimSun" w:hAnsi="SimSun" w:eastAsia="SimSun" w:cs="SimSun"/>
          <w:sz w:val="23"/>
          <w:szCs w:val="23"/>
          <w:spacing w:val="11"/>
        </w:rPr>
        <w:t xml:space="preserve"> </w:t>
      </w:r>
      <w:r>
        <w:rPr>
          <w:rFonts w:ascii="SimSun" w:hAnsi="SimSun" w:eastAsia="SimSun" w:cs="SimSun"/>
          <w:sz w:val="23"/>
          <w:szCs w:val="23"/>
          <w:spacing w:val="13"/>
        </w:rPr>
        <w:t>检疫证、防疫注射证等证件，并临车观察，未见异常、证货相符后方可卸车；</w:t>
      </w:r>
      <w:r>
        <w:rPr>
          <w:rFonts w:ascii="SimSun" w:hAnsi="SimSun" w:eastAsia="SimSun" w:cs="SimSun"/>
          <w:sz w:val="23"/>
          <w:szCs w:val="23"/>
          <w:spacing w:val="1"/>
        </w:rPr>
        <w:t xml:space="preserve"> </w:t>
      </w:r>
      <w:r>
        <w:rPr>
          <w:rFonts w:ascii="SimSun" w:hAnsi="SimSun" w:eastAsia="SimSun" w:cs="SimSun"/>
          <w:sz w:val="23"/>
          <w:szCs w:val="23"/>
          <w:spacing w:val="17"/>
        </w:rPr>
        <w:t>卸车的生猪在待宰圈舍内进行12</w:t>
      </w:r>
      <w:r>
        <w:rPr>
          <w:rFonts w:ascii="Times New Roman" w:hAnsi="Times New Roman" w:eastAsia="Times New Roman" w:cs="Times New Roman"/>
          <w:sz w:val="23"/>
          <w:szCs w:val="23"/>
          <w:spacing w:val="17"/>
        </w:rPr>
        <w:t>h</w:t>
      </w:r>
      <w:r>
        <w:rPr>
          <w:rFonts w:ascii="SimSun" w:hAnsi="SimSun" w:eastAsia="SimSun" w:cs="SimSun"/>
          <w:sz w:val="23"/>
          <w:szCs w:val="23"/>
          <w:spacing w:val="17"/>
        </w:rPr>
        <w:t>断食观察，未见异常的生猪通过淋浴、麻电</w:t>
      </w:r>
      <w:r>
        <w:rPr>
          <w:rFonts w:ascii="SimSun" w:hAnsi="SimSun" w:eastAsia="SimSun" w:cs="SimSun"/>
          <w:sz w:val="23"/>
          <w:szCs w:val="23"/>
          <w:spacing w:val="2"/>
        </w:rPr>
        <w:t xml:space="preserve"> </w:t>
      </w:r>
      <w:r>
        <w:rPr>
          <w:rFonts w:ascii="SimSun" w:hAnsi="SimSun" w:eastAsia="SimSun" w:cs="SimSun"/>
          <w:sz w:val="23"/>
          <w:szCs w:val="23"/>
          <w:spacing w:val="14"/>
        </w:rPr>
        <w:t>后，进行刺杀放血，经过清洗、拔毛、去头、蹄、尾后，进行体表检验，剖腹</w:t>
      </w:r>
      <w:r>
        <w:rPr>
          <w:rFonts w:ascii="SimSun" w:hAnsi="SimSun" w:eastAsia="SimSun" w:cs="SimSun"/>
          <w:sz w:val="23"/>
          <w:szCs w:val="23"/>
          <w:spacing w:val="3"/>
        </w:rPr>
        <w:t xml:space="preserve"> </w:t>
      </w:r>
      <w:r>
        <w:rPr>
          <w:rFonts w:ascii="SimSun" w:hAnsi="SimSun" w:eastAsia="SimSun" w:cs="SimSun"/>
          <w:sz w:val="23"/>
          <w:szCs w:val="23"/>
          <w:spacing w:val="8"/>
        </w:rPr>
        <w:t>取出内脏心、胃、肠等，胴体检验、锯半、排酸后复检成为产品。具体如下：</w:t>
      </w:r>
    </w:p>
    <w:p>
      <w:pPr>
        <w:ind w:left="596"/>
        <w:spacing w:before="4" w:line="220" w:lineRule="auto"/>
        <w:rPr>
          <w:rFonts w:ascii="SimSun" w:hAnsi="SimSun" w:eastAsia="SimSun" w:cs="SimSun"/>
          <w:sz w:val="23"/>
          <w:szCs w:val="23"/>
        </w:rPr>
      </w:pPr>
      <w:r>
        <w:rPr>
          <w:rFonts w:ascii="SimSun" w:hAnsi="SimSun" w:eastAsia="SimSun" w:cs="SimSun"/>
          <w:sz w:val="23"/>
          <w:szCs w:val="23"/>
          <w:b/>
          <w:bCs/>
          <w:spacing w:val="22"/>
        </w:rPr>
        <w:t>(1)生猪进场</w:t>
      </w:r>
    </w:p>
    <w:p>
      <w:pPr>
        <w:ind w:left="3" w:right="24" w:firstLine="480"/>
        <w:spacing w:before="209" w:line="326" w:lineRule="auto"/>
        <w:jc w:val="both"/>
        <w:rPr>
          <w:rFonts w:ascii="SimSun" w:hAnsi="SimSun" w:eastAsia="SimSun" w:cs="SimSun"/>
          <w:sz w:val="19"/>
          <w:szCs w:val="19"/>
        </w:rPr>
      </w:pPr>
      <w:r>
        <w:rPr>
          <w:rFonts w:ascii="SimSun" w:hAnsi="SimSun" w:eastAsia="SimSun" w:cs="SimSun"/>
          <w:sz w:val="23"/>
          <w:szCs w:val="23"/>
          <w:spacing w:val="15"/>
        </w:rPr>
        <w:t>生猪到达厂区，卸猪作业的车辆在厂区东北侧</w:t>
      </w:r>
      <w:r>
        <w:rPr>
          <w:rFonts w:ascii="SimSun" w:hAnsi="SimSun" w:eastAsia="SimSun" w:cs="SimSun"/>
          <w:sz w:val="23"/>
          <w:szCs w:val="23"/>
          <w:spacing w:val="14"/>
        </w:rPr>
        <w:t>进行消毒，通过原料道将育</w:t>
      </w:r>
      <w:r>
        <w:rPr>
          <w:rFonts w:ascii="SimSun" w:hAnsi="SimSun" w:eastAsia="SimSun" w:cs="SimSun"/>
          <w:sz w:val="23"/>
          <w:szCs w:val="23"/>
        </w:rPr>
        <w:t xml:space="preserve"> </w:t>
      </w:r>
      <w:r>
        <w:rPr>
          <w:rFonts w:ascii="SimSun" w:hAnsi="SimSun" w:eastAsia="SimSun" w:cs="SimSun"/>
          <w:sz w:val="23"/>
          <w:szCs w:val="23"/>
          <w:spacing w:val="14"/>
        </w:rPr>
        <w:t>肥猪送往待宰间；卸猪月台为可升降式与生猪接收区相连；对运输车辆进行冲</w:t>
      </w:r>
      <w:r>
        <w:rPr>
          <w:rFonts w:ascii="SimSun" w:hAnsi="SimSun" w:eastAsia="SimSun" w:cs="SimSun"/>
          <w:sz w:val="23"/>
          <w:szCs w:val="23"/>
          <w:spacing w:val="8"/>
        </w:rPr>
        <w:t xml:space="preserve"> </w:t>
      </w:r>
      <w:r>
        <w:rPr>
          <w:rFonts w:ascii="SimSun" w:hAnsi="SimSun" w:eastAsia="SimSun" w:cs="SimSun"/>
          <w:sz w:val="19"/>
          <w:szCs w:val="19"/>
          <w:spacing w:val="45"/>
        </w:rPr>
        <w:t>洗同时进行消毒后方可放其出门返程</w:t>
      </w:r>
      <w:r>
        <w:rPr>
          <w:rFonts w:ascii="SimSun" w:hAnsi="SimSun" w:eastAsia="SimSun" w:cs="SimSun"/>
          <w:sz w:val="19"/>
          <w:szCs w:val="19"/>
          <w:spacing w:val="-39"/>
        </w:rPr>
        <w:t xml:space="preserve"> </w:t>
      </w:r>
      <w:r>
        <w:rPr>
          <w:rFonts w:ascii="SimSun" w:hAnsi="SimSun" w:eastAsia="SimSun" w:cs="SimSun"/>
          <w:sz w:val="19"/>
          <w:szCs w:val="19"/>
          <w:spacing w:val="45"/>
        </w:rPr>
        <w:t>。</w:t>
      </w:r>
    </w:p>
    <w:p>
      <w:pPr>
        <w:spacing w:line="326" w:lineRule="auto"/>
        <w:sectPr>
          <w:type w:val="continuous"/>
          <w:pgSz w:w="11910" w:h="16840"/>
          <w:pgMar w:top="1207" w:right="1786" w:bottom="962" w:left="1786" w:header="915" w:footer="777" w:gutter="0"/>
          <w:cols w:equalWidth="0" w:num="1">
            <w:col w:w="8337" w:space="0"/>
          </w:cols>
        </w:sectPr>
        <w:rPr>
          <w:rFonts w:ascii="SimSun" w:hAnsi="SimSun" w:eastAsia="SimSun" w:cs="SimSun"/>
          <w:sz w:val="19"/>
          <w:szCs w:val="19"/>
        </w:rPr>
      </w:pPr>
    </w:p>
    <w:p>
      <w:pPr>
        <w:ind w:left="480"/>
        <w:spacing w:before="300" w:line="219" w:lineRule="auto"/>
        <w:rPr>
          <w:rFonts w:ascii="SimSun" w:hAnsi="SimSun" w:eastAsia="SimSun" w:cs="SimSun"/>
          <w:sz w:val="23"/>
          <w:szCs w:val="23"/>
        </w:rPr>
      </w:pPr>
      <w:r>
        <w:rPr>
          <w:rFonts w:ascii="SimSun" w:hAnsi="SimSun" w:eastAsia="SimSun" w:cs="SimSun"/>
          <w:sz w:val="23"/>
          <w:szCs w:val="23"/>
          <w:spacing w:val="10"/>
        </w:rPr>
        <w:t>该过程产生的污染主要是运输车辆上的粪便、粪尿冲洗</w:t>
      </w:r>
      <w:r>
        <w:rPr>
          <w:rFonts w:ascii="SimSun" w:hAnsi="SimSun" w:eastAsia="SimSun" w:cs="SimSun"/>
          <w:sz w:val="23"/>
          <w:szCs w:val="23"/>
          <w:spacing w:val="9"/>
        </w:rPr>
        <w:t>废水及臭气。</w:t>
      </w:r>
    </w:p>
    <w:p>
      <w:pPr>
        <w:ind w:left="603"/>
        <w:spacing w:before="154" w:line="219" w:lineRule="auto"/>
        <w:rPr>
          <w:rFonts w:ascii="SimSun" w:hAnsi="SimSun" w:eastAsia="SimSun" w:cs="SimSun"/>
          <w:sz w:val="25"/>
          <w:szCs w:val="25"/>
        </w:rPr>
      </w:pPr>
      <w:bookmarkStart w:name="bookmark104" w:id="70"/>
      <w:bookmarkEnd w:id="70"/>
      <w:r>
        <w:rPr>
          <w:rFonts w:ascii="SimSun" w:hAnsi="SimSun" w:eastAsia="SimSun" w:cs="SimSun"/>
          <w:sz w:val="25"/>
          <w:szCs w:val="25"/>
          <w:b/>
          <w:bCs/>
          <w:spacing w:val="15"/>
        </w:rPr>
        <w:t>(2)检验</w:t>
      </w:r>
    </w:p>
    <w:p>
      <w:pPr>
        <w:ind w:right="180" w:firstLine="480"/>
        <w:spacing w:before="194" w:line="365" w:lineRule="auto"/>
        <w:jc w:val="both"/>
        <w:rPr>
          <w:rFonts w:ascii="SimSun" w:hAnsi="SimSun" w:eastAsia="SimSun" w:cs="SimSun"/>
          <w:sz w:val="23"/>
          <w:szCs w:val="23"/>
        </w:rPr>
      </w:pPr>
      <w:r>
        <w:rPr>
          <w:rFonts w:ascii="SimSun" w:hAnsi="SimSun" w:eastAsia="SimSun" w:cs="SimSun"/>
          <w:sz w:val="23"/>
          <w:szCs w:val="23"/>
          <w:spacing w:val="10"/>
        </w:rPr>
        <w:t>卸车前检疫员向押运员索取检疫证、防疫注射证等证件，并临车观察，未</w:t>
      </w:r>
      <w:r>
        <w:rPr>
          <w:rFonts w:ascii="SimSun" w:hAnsi="SimSun" w:eastAsia="SimSun" w:cs="SimSun"/>
          <w:sz w:val="23"/>
          <w:szCs w:val="23"/>
        </w:rPr>
        <w:t xml:space="preserve"> </w:t>
      </w:r>
      <w:r>
        <w:rPr>
          <w:rFonts w:ascii="SimSun" w:hAnsi="SimSun" w:eastAsia="SimSun" w:cs="SimSun"/>
          <w:sz w:val="23"/>
          <w:szCs w:val="23"/>
          <w:spacing w:val="10"/>
        </w:rPr>
        <w:t>见异常、证货相符后方可卸车，经卸猪台计量</w:t>
      </w:r>
      <w:r>
        <w:rPr>
          <w:rFonts w:ascii="SimSun" w:hAnsi="SimSun" w:eastAsia="SimSun" w:cs="SimSun"/>
          <w:sz w:val="23"/>
          <w:szCs w:val="23"/>
          <w:spacing w:val="9"/>
        </w:rPr>
        <w:t>后进入待宰圈舍；受伤猪送急宰</w:t>
      </w:r>
      <w:r>
        <w:rPr>
          <w:rFonts w:ascii="SimSun" w:hAnsi="SimSun" w:eastAsia="SimSun" w:cs="SimSun"/>
          <w:sz w:val="23"/>
          <w:szCs w:val="23"/>
        </w:rPr>
        <w:t xml:space="preserve"> </w:t>
      </w:r>
      <w:r>
        <w:rPr>
          <w:rFonts w:ascii="SimSun" w:hAnsi="SimSun" w:eastAsia="SimSun" w:cs="SimSun"/>
          <w:sz w:val="23"/>
          <w:szCs w:val="23"/>
          <w:spacing w:val="10"/>
        </w:rPr>
        <w:t>间进行紧急宰杀处理，宰杀后经后续检验合格后可进入后续分割工序；检验不</w:t>
      </w:r>
      <w:r>
        <w:rPr>
          <w:rFonts w:ascii="SimSun" w:hAnsi="SimSun" w:eastAsia="SimSun" w:cs="SimSun"/>
          <w:sz w:val="23"/>
          <w:szCs w:val="23"/>
          <w:spacing w:val="1"/>
        </w:rPr>
        <w:t xml:space="preserve"> </w:t>
      </w:r>
      <w:r>
        <w:rPr>
          <w:rFonts w:ascii="SimSun" w:hAnsi="SimSun" w:eastAsia="SimSun" w:cs="SimSun"/>
          <w:sz w:val="23"/>
          <w:szCs w:val="23"/>
          <w:spacing w:val="8"/>
        </w:rPr>
        <w:t>合格的病、死猪委托绵阳市病死畜禽无害化处理中心处理。</w:t>
      </w:r>
    </w:p>
    <w:p>
      <w:pPr>
        <w:ind w:left="603"/>
        <w:spacing w:line="219" w:lineRule="auto"/>
        <w:rPr>
          <w:rFonts w:ascii="SimSun" w:hAnsi="SimSun" w:eastAsia="SimSun" w:cs="SimSun"/>
          <w:sz w:val="25"/>
          <w:szCs w:val="25"/>
        </w:rPr>
      </w:pPr>
      <w:r>
        <w:rPr>
          <w:rFonts w:ascii="SimSun" w:hAnsi="SimSun" w:eastAsia="SimSun" w:cs="SimSun"/>
          <w:sz w:val="25"/>
          <w:szCs w:val="25"/>
          <w:b/>
          <w:bCs/>
          <w:spacing w:val="-2"/>
        </w:rPr>
        <w:t>(3</w:t>
      </w:r>
      <w:r>
        <w:rPr>
          <w:rFonts w:ascii="SimSun" w:hAnsi="SimSun" w:eastAsia="SimSun" w:cs="SimSun"/>
          <w:sz w:val="25"/>
          <w:szCs w:val="25"/>
          <w:spacing w:val="-61"/>
        </w:rPr>
        <w:t xml:space="preserve"> </w:t>
      </w:r>
      <w:r>
        <w:rPr>
          <w:rFonts w:ascii="SimSun" w:hAnsi="SimSun" w:eastAsia="SimSun" w:cs="SimSun"/>
          <w:sz w:val="25"/>
          <w:szCs w:val="25"/>
          <w:b/>
          <w:bCs/>
          <w:spacing w:val="-2"/>
        </w:rPr>
        <w:t>)待宰圈舍</w:t>
      </w:r>
    </w:p>
    <w:p>
      <w:pPr>
        <w:ind w:right="184" w:firstLine="480"/>
        <w:spacing w:before="214" w:line="370" w:lineRule="auto"/>
        <w:jc w:val="both"/>
        <w:rPr>
          <w:rFonts w:ascii="SimSun" w:hAnsi="SimSun" w:eastAsia="SimSun" w:cs="SimSun"/>
          <w:sz w:val="23"/>
          <w:szCs w:val="23"/>
        </w:rPr>
      </w:pPr>
      <w:r>
        <w:rPr>
          <w:rFonts w:ascii="SimSun" w:hAnsi="SimSun" w:eastAsia="SimSun" w:cs="SimSun"/>
          <w:sz w:val="23"/>
          <w:szCs w:val="23"/>
          <w:spacing w:val="9"/>
        </w:rPr>
        <w:t>待宰圈舍位于屠宰车间内北侧，面积约1080m², 用于待宰</w:t>
      </w:r>
      <w:r>
        <w:rPr>
          <w:rFonts w:ascii="SimSun" w:hAnsi="SimSun" w:eastAsia="SimSun" w:cs="SimSun"/>
          <w:sz w:val="23"/>
          <w:szCs w:val="23"/>
          <w:spacing w:val="8"/>
        </w:rPr>
        <w:t>生猪暂养，存栏</w:t>
      </w:r>
      <w:r>
        <w:rPr>
          <w:rFonts w:ascii="SimSun" w:hAnsi="SimSun" w:eastAsia="SimSun" w:cs="SimSun"/>
          <w:sz w:val="23"/>
          <w:szCs w:val="23"/>
        </w:rPr>
        <w:t xml:space="preserve"> </w:t>
      </w:r>
      <w:r>
        <w:rPr>
          <w:rFonts w:ascii="SimSun" w:hAnsi="SimSun" w:eastAsia="SimSun" w:cs="SimSun"/>
          <w:sz w:val="23"/>
          <w:szCs w:val="23"/>
          <w:spacing w:val="6"/>
        </w:rPr>
        <w:t>能力共计2000头/</w:t>
      </w:r>
      <w:r>
        <w:rPr>
          <w:rFonts w:ascii="Times New Roman" w:hAnsi="Times New Roman" w:eastAsia="Times New Roman" w:cs="Times New Roman"/>
          <w:sz w:val="23"/>
          <w:szCs w:val="23"/>
          <w:spacing w:val="6"/>
        </w:rPr>
        <w:t>d,   </w:t>
      </w:r>
      <w:r>
        <w:rPr>
          <w:rFonts w:ascii="SimSun" w:hAnsi="SimSun" w:eastAsia="SimSun" w:cs="SimSun"/>
          <w:sz w:val="23"/>
          <w:szCs w:val="23"/>
          <w:spacing w:val="6"/>
        </w:rPr>
        <w:t>检疫合格的生猪在待宰圈舍内静养12小时以下，不提供食</w:t>
      </w:r>
      <w:r>
        <w:rPr>
          <w:rFonts w:ascii="SimSun" w:hAnsi="SimSun" w:eastAsia="SimSun" w:cs="SimSun"/>
          <w:sz w:val="23"/>
          <w:szCs w:val="23"/>
          <w:spacing w:val="14"/>
        </w:rPr>
        <w:t xml:space="preserve"> </w:t>
      </w:r>
      <w:r>
        <w:rPr>
          <w:rFonts w:ascii="SimSun" w:hAnsi="SimSun" w:eastAsia="SimSun" w:cs="SimSun"/>
          <w:sz w:val="23"/>
          <w:szCs w:val="23"/>
          <w:spacing w:val="9"/>
        </w:rPr>
        <w:t>物、仅维持水源，以使生猪体内代谢恢复正常，排出积蓄在体内的代谢产物，</w:t>
      </w:r>
      <w:r>
        <w:rPr>
          <w:rFonts w:ascii="SimSun" w:hAnsi="SimSun" w:eastAsia="SimSun" w:cs="SimSun"/>
          <w:sz w:val="23"/>
          <w:szCs w:val="23"/>
          <w:spacing w:val="8"/>
        </w:rPr>
        <w:t xml:space="preserve"> </w:t>
      </w:r>
      <w:r>
        <w:rPr>
          <w:rFonts w:ascii="SimSun" w:hAnsi="SimSun" w:eastAsia="SimSun" w:cs="SimSun"/>
          <w:sz w:val="23"/>
          <w:szCs w:val="23"/>
          <w:spacing w:val="6"/>
        </w:rPr>
        <w:t>提高肉品质量。</w:t>
      </w:r>
    </w:p>
    <w:p>
      <w:pPr>
        <w:ind w:right="184" w:firstLine="480"/>
        <w:spacing w:before="37" w:line="360" w:lineRule="auto"/>
        <w:rPr>
          <w:rFonts w:ascii="SimSun" w:hAnsi="SimSun" w:eastAsia="SimSun" w:cs="SimSun"/>
          <w:sz w:val="23"/>
          <w:szCs w:val="23"/>
        </w:rPr>
      </w:pPr>
      <w:r>
        <w:rPr>
          <w:rFonts w:ascii="SimSun" w:hAnsi="SimSun" w:eastAsia="SimSun" w:cs="SimSun"/>
          <w:sz w:val="23"/>
          <w:szCs w:val="23"/>
          <w:spacing w:val="10"/>
        </w:rPr>
        <w:t>待宰圈舍的污染主要是活猪进场产生的猪叫声、排风机噪声、粪便及</w:t>
      </w:r>
      <w:r>
        <w:rPr>
          <w:rFonts w:ascii="SimSun" w:hAnsi="SimSun" w:eastAsia="SimSun" w:cs="SimSun"/>
          <w:sz w:val="23"/>
          <w:szCs w:val="23"/>
          <w:spacing w:val="9"/>
        </w:rPr>
        <w:t>粪尿</w:t>
      </w:r>
      <w:r>
        <w:rPr>
          <w:rFonts w:ascii="SimSun" w:hAnsi="SimSun" w:eastAsia="SimSun" w:cs="SimSun"/>
          <w:sz w:val="23"/>
          <w:szCs w:val="23"/>
        </w:rPr>
        <w:t xml:space="preserve"> </w:t>
      </w:r>
      <w:r>
        <w:rPr>
          <w:rFonts w:ascii="SimSun" w:hAnsi="SimSun" w:eastAsia="SimSun" w:cs="SimSun"/>
          <w:sz w:val="23"/>
          <w:szCs w:val="23"/>
          <w:spacing w:val="7"/>
        </w:rPr>
        <w:t>冲洗废水、臭气等。</w:t>
      </w:r>
    </w:p>
    <w:p>
      <w:pPr>
        <w:ind w:left="633"/>
        <w:spacing w:line="219" w:lineRule="auto"/>
        <w:rPr>
          <w:rFonts w:ascii="SimSun" w:hAnsi="SimSun" w:eastAsia="SimSun" w:cs="SimSun"/>
          <w:sz w:val="23"/>
          <w:szCs w:val="23"/>
        </w:rPr>
      </w:pPr>
      <w:r>
        <w:rPr>
          <w:rFonts w:ascii="SimSun" w:hAnsi="SimSun" w:eastAsia="SimSun" w:cs="SimSun"/>
          <w:sz w:val="23"/>
          <w:szCs w:val="23"/>
          <w:b/>
          <w:bCs/>
          <w:spacing w:val="13"/>
        </w:rPr>
        <w:t>(4)屠宰车间生产工艺及产污环节</w:t>
      </w:r>
    </w:p>
    <w:p>
      <w:pPr>
        <w:ind w:right="264" w:firstLine="480"/>
        <w:spacing w:before="226" w:line="369" w:lineRule="auto"/>
        <w:jc w:val="both"/>
        <w:rPr>
          <w:rFonts w:ascii="SimSun" w:hAnsi="SimSun" w:eastAsia="SimSun" w:cs="SimSun"/>
          <w:sz w:val="23"/>
          <w:szCs w:val="23"/>
        </w:rPr>
      </w:pPr>
      <w:r>
        <w:rPr>
          <w:rFonts w:ascii="SimSun" w:hAnsi="SimSun" w:eastAsia="SimSun" w:cs="SimSun"/>
          <w:sz w:val="23"/>
          <w:szCs w:val="23"/>
          <w:spacing w:val="3"/>
        </w:rPr>
        <w:t>生猪屠宰车间层高</w:t>
      </w:r>
      <w:r>
        <w:rPr>
          <w:rFonts w:ascii="Times New Roman" w:hAnsi="Times New Roman" w:eastAsia="Times New Roman" w:cs="Times New Roman"/>
          <w:sz w:val="23"/>
          <w:szCs w:val="23"/>
          <w:spacing w:val="3"/>
        </w:rPr>
        <w:t>H=9.5m,   </w:t>
      </w:r>
      <w:r>
        <w:rPr>
          <w:rFonts w:ascii="SimSun" w:hAnsi="SimSun" w:eastAsia="SimSun" w:cs="SimSun"/>
          <w:sz w:val="23"/>
          <w:szCs w:val="23"/>
          <w:spacing w:val="3"/>
        </w:rPr>
        <w:t>面积为805.28</w:t>
      </w:r>
      <w:r>
        <w:rPr>
          <w:rFonts w:ascii="Times New Roman" w:hAnsi="Times New Roman" w:eastAsia="Times New Roman" w:cs="Times New Roman"/>
          <w:sz w:val="23"/>
          <w:szCs w:val="23"/>
          <w:spacing w:val="3"/>
        </w:rPr>
        <w:t>m²;    </w:t>
      </w:r>
      <w:r>
        <w:rPr>
          <w:rFonts w:ascii="SimSun" w:hAnsi="SimSun" w:eastAsia="SimSun" w:cs="SimSun"/>
          <w:sz w:val="23"/>
          <w:szCs w:val="23"/>
          <w:spacing w:val="3"/>
        </w:rPr>
        <w:t>安装宰杀自动生产线4条，</w:t>
      </w:r>
      <w:r>
        <w:rPr>
          <w:rFonts w:ascii="SimSun" w:hAnsi="SimSun" w:eastAsia="SimSun" w:cs="SimSun"/>
          <w:sz w:val="23"/>
          <w:szCs w:val="23"/>
          <w:spacing w:val="17"/>
        </w:rPr>
        <w:t xml:space="preserve"> </w:t>
      </w:r>
      <w:r>
        <w:rPr>
          <w:rFonts w:ascii="SimSun" w:hAnsi="SimSun" w:eastAsia="SimSun" w:cs="SimSun"/>
          <w:sz w:val="23"/>
          <w:szCs w:val="23"/>
          <w:spacing w:val="8"/>
        </w:rPr>
        <w:t>屠宰能力为日最大屠宰量1800头/d,</w:t>
      </w:r>
      <w:r>
        <w:rPr>
          <w:rFonts w:ascii="SimSun" w:hAnsi="SimSun" w:eastAsia="SimSun" w:cs="SimSun"/>
          <w:sz w:val="23"/>
          <w:szCs w:val="23"/>
          <w:spacing w:val="-39"/>
        </w:rPr>
        <w:t xml:space="preserve"> </w:t>
      </w:r>
      <w:r>
        <w:rPr>
          <w:rFonts w:ascii="SimSun" w:hAnsi="SimSun" w:eastAsia="SimSun" w:cs="SimSun"/>
          <w:sz w:val="23"/>
          <w:szCs w:val="23"/>
          <w:spacing w:val="8"/>
        </w:rPr>
        <w:t>包括宰前淋浴、电击致晕、卧式放血、拴</w:t>
      </w:r>
      <w:r>
        <w:rPr>
          <w:rFonts w:ascii="SimSun" w:hAnsi="SimSun" w:eastAsia="SimSun" w:cs="SimSun"/>
          <w:sz w:val="23"/>
          <w:szCs w:val="23"/>
        </w:rPr>
        <w:t xml:space="preserve"> </w:t>
      </w:r>
      <w:r>
        <w:rPr>
          <w:rFonts w:ascii="SimSun" w:hAnsi="SimSun" w:eastAsia="SimSun" w:cs="SimSun"/>
          <w:sz w:val="23"/>
          <w:szCs w:val="23"/>
          <w:spacing w:val="9"/>
        </w:rPr>
        <w:t>猪腿、屠体清洗、烫毛、脱毛、胴体清洗、胴体加工、内脏加工</w:t>
      </w:r>
      <w:r>
        <w:rPr>
          <w:rFonts w:ascii="SimSun" w:hAnsi="SimSun" w:eastAsia="SimSun" w:cs="SimSun"/>
          <w:sz w:val="23"/>
          <w:szCs w:val="23"/>
          <w:spacing w:val="8"/>
        </w:rPr>
        <w:t>等工序。</w:t>
      </w:r>
    </w:p>
    <w:p>
      <w:pPr>
        <w:ind w:right="205" w:firstLine="483"/>
        <w:spacing w:before="1" w:line="378" w:lineRule="auto"/>
        <w:rPr>
          <w:rFonts w:ascii="SimSun" w:hAnsi="SimSun" w:eastAsia="SimSun" w:cs="SimSun"/>
          <w:sz w:val="23"/>
          <w:szCs w:val="23"/>
        </w:rPr>
      </w:pPr>
      <w:r>
        <w:rPr>
          <w:rFonts w:ascii="SimSun" w:hAnsi="SimSun" w:eastAsia="SimSun" w:cs="SimSun"/>
          <w:sz w:val="23"/>
          <w:szCs w:val="23"/>
          <w:b/>
          <w:bCs/>
          <w:spacing w:val="9"/>
        </w:rPr>
        <w:t>宰前淋浴：</w:t>
      </w:r>
      <w:r>
        <w:rPr>
          <w:rFonts w:ascii="SimSun" w:hAnsi="SimSun" w:eastAsia="SimSun" w:cs="SimSun"/>
          <w:sz w:val="23"/>
          <w:szCs w:val="23"/>
          <w:spacing w:val="9"/>
        </w:rPr>
        <w:t>屠宰前给猪进行淋浴，以此减少污染，保证放</w:t>
      </w:r>
      <w:r>
        <w:rPr>
          <w:rFonts w:ascii="SimSun" w:hAnsi="SimSun" w:eastAsia="SimSun" w:cs="SimSun"/>
          <w:sz w:val="23"/>
          <w:szCs w:val="23"/>
          <w:spacing w:val="8"/>
        </w:rPr>
        <w:t>血效果。该过程</w:t>
      </w:r>
      <w:r>
        <w:rPr>
          <w:rFonts w:ascii="SimSun" w:hAnsi="SimSun" w:eastAsia="SimSun" w:cs="SimSun"/>
          <w:sz w:val="23"/>
          <w:szCs w:val="23"/>
        </w:rPr>
        <w:t xml:space="preserve"> </w:t>
      </w:r>
      <w:r>
        <w:rPr>
          <w:rFonts w:ascii="SimSun" w:hAnsi="SimSun" w:eastAsia="SimSun" w:cs="SimSun"/>
          <w:sz w:val="23"/>
          <w:szCs w:val="23"/>
          <w:spacing w:val="6"/>
        </w:rPr>
        <w:t>产生清洗废水。</w:t>
      </w:r>
    </w:p>
    <w:p>
      <w:pPr>
        <w:ind w:right="183" w:firstLine="480"/>
        <w:spacing w:before="1" w:line="369" w:lineRule="auto"/>
        <w:jc w:val="both"/>
        <w:rPr>
          <w:rFonts w:ascii="SimSun" w:hAnsi="SimSun" w:eastAsia="SimSun" w:cs="SimSun"/>
          <w:sz w:val="23"/>
          <w:szCs w:val="23"/>
        </w:rPr>
      </w:pPr>
      <w:r>
        <w:rPr>
          <w:rFonts w:ascii="SimSun" w:hAnsi="SimSun" w:eastAsia="SimSun" w:cs="SimSun"/>
          <w:sz w:val="23"/>
          <w:szCs w:val="23"/>
          <w:spacing w:val="9"/>
        </w:rPr>
        <w:t>电击致晕：温水冲淋后将活猪引至电击晕室，本项目采用自动低压高频电</w:t>
      </w:r>
      <w:r>
        <w:rPr>
          <w:rFonts w:ascii="SimSun" w:hAnsi="SimSun" w:eastAsia="SimSun" w:cs="SimSun"/>
          <w:sz w:val="23"/>
          <w:szCs w:val="23"/>
          <w:spacing w:val="14"/>
        </w:rPr>
        <w:t xml:space="preserve"> </w:t>
      </w:r>
      <w:r>
        <w:rPr>
          <w:rFonts w:ascii="SimSun" w:hAnsi="SimSun" w:eastAsia="SimSun" w:cs="SimSun"/>
          <w:sz w:val="23"/>
          <w:szCs w:val="23"/>
          <w:spacing w:val="10"/>
        </w:rPr>
        <w:t>击晕法，电脑程序可根据猪的重量控制电流大小，可降低猪在宰杀过程中</w:t>
      </w:r>
      <w:r>
        <w:rPr>
          <w:rFonts w:ascii="SimSun" w:hAnsi="SimSun" w:eastAsia="SimSun" w:cs="SimSun"/>
          <w:sz w:val="23"/>
          <w:szCs w:val="23"/>
          <w:spacing w:val="9"/>
        </w:rPr>
        <w:t>的应</w:t>
      </w:r>
      <w:r>
        <w:rPr>
          <w:rFonts w:ascii="SimSun" w:hAnsi="SimSun" w:eastAsia="SimSun" w:cs="SimSun"/>
          <w:sz w:val="23"/>
          <w:szCs w:val="23"/>
        </w:rPr>
        <w:t xml:space="preserve"> </w:t>
      </w:r>
      <w:r>
        <w:rPr>
          <w:rFonts w:ascii="SimSun" w:hAnsi="SimSun" w:eastAsia="SimSun" w:cs="SimSun"/>
          <w:sz w:val="23"/>
          <w:szCs w:val="23"/>
          <w:spacing w:val="9"/>
        </w:rPr>
        <w:t>激反应，控制</w:t>
      </w:r>
      <w:r>
        <w:rPr>
          <w:rFonts w:ascii="Times New Roman" w:hAnsi="Times New Roman" w:eastAsia="Times New Roman" w:cs="Times New Roman"/>
          <w:sz w:val="23"/>
          <w:szCs w:val="23"/>
        </w:rPr>
        <w:t>pH</w:t>
      </w:r>
      <w:r>
        <w:rPr>
          <w:rFonts w:ascii="SimSun" w:hAnsi="SimSun" w:eastAsia="SimSun" w:cs="SimSun"/>
          <w:sz w:val="23"/>
          <w:szCs w:val="23"/>
          <w:spacing w:val="9"/>
        </w:rPr>
        <w:t>值，以提高产品质量。</w:t>
      </w:r>
    </w:p>
    <w:p>
      <w:pPr>
        <w:ind w:right="183" w:firstLine="480"/>
        <w:spacing w:before="33" w:line="370" w:lineRule="auto"/>
        <w:jc w:val="both"/>
        <w:rPr>
          <w:rFonts w:ascii="SimSun" w:hAnsi="SimSun" w:eastAsia="SimSun" w:cs="SimSun"/>
          <w:sz w:val="23"/>
          <w:szCs w:val="23"/>
        </w:rPr>
      </w:pPr>
      <w:r>
        <w:rPr>
          <w:rFonts w:ascii="SimSun" w:hAnsi="SimSun" w:eastAsia="SimSun" w:cs="SimSun"/>
          <w:sz w:val="23"/>
          <w:szCs w:val="23"/>
          <w:spacing w:val="10"/>
        </w:rPr>
        <w:t>卧式放</w:t>
      </w:r>
      <w:r>
        <w:rPr>
          <w:rFonts w:ascii="KaiTi" w:hAnsi="KaiTi" w:eastAsia="KaiTi" w:cs="KaiTi"/>
          <w:sz w:val="23"/>
          <w:szCs w:val="23"/>
          <w:spacing w:val="10"/>
        </w:rPr>
        <w:t>血</w:t>
      </w:r>
      <w:r>
        <w:rPr>
          <w:rFonts w:ascii="SimSun" w:hAnsi="SimSun" w:eastAsia="SimSun" w:cs="SimSun"/>
          <w:sz w:val="23"/>
          <w:szCs w:val="23"/>
          <w:spacing w:val="10"/>
        </w:rPr>
        <w:t>：致晕后的猪跌入滑槽，经卧式放血输送机刺杀、放血。采</w:t>
      </w:r>
      <w:r>
        <w:rPr>
          <w:rFonts w:ascii="SimSun" w:hAnsi="SimSun" w:eastAsia="SimSun" w:cs="SimSun"/>
          <w:sz w:val="23"/>
          <w:szCs w:val="23"/>
          <w:spacing w:val="9"/>
        </w:rPr>
        <w:t>用真</w:t>
      </w:r>
      <w:r>
        <w:rPr>
          <w:rFonts w:ascii="SimSun" w:hAnsi="SimSun" w:eastAsia="SimSun" w:cs="SimSun"/>
          <w:sz w:val="23"/>
          <w:szCs w:val="23"/>
        </w:rPr>
        <w:t xml:space="preserve"> </w:t>
      </w:r>
      <w:r>
        <w:rPr>
          <w:rFonts w:ascii="SimSun" w:hAnsi="SimSun" w:eastAsia="SimSun" w:cs="SimSun"/>
          <w:sz w:val="23"/>
          <w:szCs w:val="23"/>
          <w:spacing w:val="10"/>
        </w:rPr>
        <w:t>空吸血方式进行采血，本采血系统是目前世界屠</w:t>
      </w:r>
      <w:r>
        <w:rPr>
          <w:rFonts w:ascii="SimSun" w:hAnsi="SimSun" w:eastAsia="SimSun" w:cs="SimSun"/>
          <w:sz w:val="23"/>
          <w:szCs w:val="23"/>
          <w:spacing w:val="9"/>
        </w:rPr>
        <w:t>宰业最先进的工艺，采血刀自</w:t>
      </w:r>
      <w:r>
        <w:rPr>
          <w:rFonts w:ascii="SimSun" w:hAnsi="SimSun" w:eastAsia="SimSun" w:cs="SimSun"/>
          <w:sz w:val="23"/>
          <w:szCs w:val="23"/>
        </w:rPr>
        <w:t xml:space="preserve"> </w:t>
      </w:r>
      <w:r>
        <w:rPr>
          <w:rFonts w:ascii="SimSun" w:hAnsi="SimSun" w:eastAsia="SimSun" w:cs="SimSun"/>
          <w:sz w:val="23"/>
          <w:szCs w:val="23"/>
          <w:spacing w:val="10"/>
        </w:rPr>
        <w:t>动消毒，无污染，在采血过程中进行多道自动检疫，采集后的血液用于制</w:t>
      </w:r>
      <w:r>
        <w:rPr>
          <w:rFonts w:ascii="SimSun" w:hAnsi="SimSun" w:eastAsia="SimSun" w:cs="SimSun"/>
          <w:sz w:val="23"/>
          <w:szCs w:val="23"/>
          <w:spacing w:val="9"/>
        </w:rPr>
        <w:t>作血</w:t>
      </w:r>
      <w:r>
        <w:rPr>
          <w:rFonts w:ascii="SimSun" w:hAnsi="SimSun" w:eastAsia="SimSun" w:cs="SimSun"/>
          <w:sz w:val="23"/>
          <w:szCs w:val="23"/>
        </w:rPr>
        <w:t xml:space="preserve"> </w:t>
      </w:r>
      <w:r>
        <w:rPr>
          <w:rFonts w:ascii="SimSun" w:hAnsi="SimSun" w:eastAsia="SimSun" w:cs="SimSun"/>
          <w:sz w:val="23"/>
          <w:szCs w:val="23"/>
          <w:spacing w:val="1"/>
        </w:rPr>
        <w:t>豆腐。</w:t>
      </w:r>
    </w:p>
    <w:p>
      <w:pPr>
        <w:ind w:right="201" w:firstLine="483"/>
        <w:spacing w:before="33" w:line="357" w:lineRule="auto"/>
        <w:rPr>
          <w:rFonts w:ascii="SimSun" w:hAnsi="SimSun" w:eastAsia="SimSun" w:cs="SimSun"/>
          <w:sz w:val="23"/>
          <w:szCs w:val="23"/>
        </w:rPr>
      </w:pPr>
      <w:r>
        <w:rPr>
          <w:rFonts w:ascii="SimSun" w:hAnsi="SimSun" w:eastAsia="SimSun" w:cs="SimSun"/>
          <w:sz w:val="23"/>
          <w:szCs w:val="23"/>
          <w:b/>
          <w:bCs/>
          <w:spacing w:val="9"/>
        </w:rPr>
        <w:t>拴猪腿、屠体清洗：</w:t>
      </w:r>
      <w:r>
        <w:rPr>
          <w:rFonts w:ascii="SimSun" w:hAnsi="SimSun" w:eastAsia="SimSun" w:cs="SimSun"/>
          <w:sz w:val="23"/>
          <w:szCs w:val="23"/>
          <w:spacing w:val="9"/>
        </w:rPr>
        <w:t>刺杀后立即用铁链子将</w:t>
      </w:r>
      <w:r>
        <w:rPr>
          <w:rFonts w:ascii="SimSun" w:hAnsi="SimSun" w:eastAsia="SimSun" w:cs="SimSun"/>
          <w:sz w:val="23"/>
          <w:szCs w:val="23"/>
          <w:spacing w:val="8"/>
        </w:rPr>
        <w:t>猪腿拴住吊起，对屠体进行清</w:t>
      </w:r>
      <w:r>
        <w:rPr>
          <w:rFonts w:ascii="SimSun" w:hAnsi="SimSun" w:eastAsia="SimSun" w:cs="SimSun"/>
          <w:sz w:val="23"/>
          <w:szCs w:val="23"/>
        </w:rPr>
        <w:t xml:space="preserve"> </w:t>
      </w:r>
      <w:r>
        <w:rPr>
          <w:rFonts w:ascii="SimSun" w:hAnsi="SimSun" w:eastAsia="SimSun" w:cs="SimSun"/>
          <w:sz w:val="23"/>
          <w:szCs w:val="23"/>
          <w:spacing w:val="8"/>
        </w:rPr>
        <w:t>洗后进入头部检验工序。屠体清洗工序产生清洗废水。</w:t>
      </w:r>
    </w:p>
    <w:p>
      <w:pPr>
        <w:ind w:right="182" w:firstLine="483"/>
        <w:spacing w:before="40" w:line="369" w:lineRule="auto"/>
        <w:rPr>
          <w:rFonts w:ascii="SimSun" w:hAnsi="SimSun" w:eastAsia="SimSun" w:cs="SimSun"/>
          <w:sz w:val="23"/>
          <w:szCs w:val="23"/>
        </w:rPr>
      </w:pPr>
      <w:r>
        <w:rPr>
          <w:rFonts w:ascii="SimSun" w:hAnsi="SimSun" w:eastAsia="SimSun" w:cs="SimSun"/>
          <w:sz w:val="23"/>
          <w:szCs w:val="23"/>
          <w:b/>
          <w:bCs/>
          <w:spacing w:val="8"/>
        </w:rPr>
        <w:t>烫毛、脱毛、胴体清洗：</w:t>
      </w:r>
      <w:r>
        <w:rPr>
          <w:rFonts w:ascii="SimSun" w:hAnsi="SimSun" w:eastAsia="SimSun" w:cs="SimSun"/>
          <w:sz w:val="23"/>
          <w:szCs w:val="23"/>
          <w:spacing w:val="8"/>
        </w:rPr>
        <w:t>放血后的猪经清洗后进入运河式烫毛输送机中， </w:t>
      </w:r>
      <w:r>
        <w:rPr>
          <w:rFonts w:ascii="SimSun" w:hAnsi="SimSun" w:eastAsia="SimSun" w:cs="SimSun"/>
          <w:sz w:val="23"/>
          <w:szCs w:val="23"/>
          <w:spacing w:val="12"/>
        </w:rPr>
        <w:t>进行去毛处理，烫池温度控制在60~85℃,时间控制在6~8分钟，烫毛池中的水</w:t>
      </w:r>
    </w:p>
    <w:p>
      <w:pPr>
        <w:spacing w:line="369" w:lineRule="auto"/>
        <w:sectPr>
          <w:headerReference w:type="default" r:id="rId13"/>
          <w:footerReference w:type="default" r:id="rId260"/>
          <w:pgSz w:w="11910" w:h="16840"/>
          <w:pgMar w:top="1219" w:right="1786" w:bottom="990" w:left="1779" w:header="865" w:footer="782" w:gutter="0"/>
        </w:sectPr>
        <w:rPr>
          <w:rFonts w:ascii="SimSun" w:hAnsi="SimSun" w:eastAsia="SimSun" w:cs="SimSun"/>
          <w:sz w:val="23"/>
          <w:szCs w:val="23"/>
        </w:rPr>
      </w:pPr>
    </w:p>
    <w:p>
      <w:pPr>
        <w:ind w:right="186"/>
        <w:spacing w:before="280" w:line="370" w:lineRule="auto"/>
        <w:jc w:val="both"/>
        <w:rPr>
          <w:rFonts w:ascii="SimSun" w:hAnsi="SimSun" w:eastAsia="SimSun" w:cs="SimSun"/>
          <w:sz w:val="23"/>
          <w:szCs w:val="23"/>
        </w:rPr>
      </w:pPr>
      <w:r>
        <w:rPr>
          <w:rFonts w:ascii="SimSun" w:hAnsi="SimSun" w:eastAsia="SimSun" w:cs="SimSun"/>
          <w:sz w:val="23"/>
          <w:szCs w:val="23"/>
          <w:spacing w:val="10"/>
        </w:rPr>
        <w:t>采用喷淋式，可做到水循环使用，定期排放，烫池采用蒸汽间接加热，使</w:t>
      </w:r>
      <w:r>
        <w:rPr>
          <w:rFonts w:ascii="SimSun" w:hAnsi="SimSun" w:eastAsia="SimSun" w:cs="SimSun"/>
          <w:sz w:val="23"/>
          <w:szCs w:val="23"/>
          <w:spacing w:val="9"/>
        </w:rPr>
        <w:t>用燃</w:t>
      </w:r>
      <w:r>
        <w:rPr>
          <w:rFonts w:ascii="SimSun" w:hAnsi="SimSun" w:eastAsia="SimSun" w:cs="SimSun"/>
          <w:sz w:val="23"/>
          <w:szCs w:val="23"/>
        </w:rPr>
        <w:t xml:space="preserve"> </w:t>
      </w:r>
      <w:r>
        <w:rPr>
          <w:rFonts w:ascii="SimSun" w:hAnsi="SimSun" w:eastAsia="SimSun" w:cs="SimSun"/>
          <w:sz w:val="23"/>
          <w:szCs w:val="23"/>
          <w:spacing w:val="10"/>
        </w:rPr>
        <w:t>气蒸汽发生器提供蒸汽。烫毛后的生猪利用烫池配套的脱毛机进一步进行对胴</w:t>
      </w:r>
      <w:r>
        <w:rPr>
          <w:rFonts w:ascii="SimSun" w:hAnsi="SimSun" w:eastAsia="SimSun" w:cs="SimSun"/>
          <w:sz w:val="23"/>
          <w:szCs w:val="23"/>
          <w:spacing w:val="6"/>
        </w:rPr>
        <w:t xml:space="preserve"> </w:t>
      </w:r>
      <w:r>
        <w:rPr>
          <w:rFonts w:ascii="SimSun" w:hAnsi="SimSun" w:eastAsia="SimSun" w:cs="SimSun"/>
          <w:sz w:val="23"/>
          <w:szCs w:val="23"/>
          <w:spacing w:val="16"/>
        </w:rPr>
        <w:t>体表面进行去毛，脱毛后的猪体再通过预干燥机(电加热)去除残留的水分，</w:t>
      </w:r>
      <w:r>
        <w:rPr>
          <w:rFonts w:ascii="SimSun" w:hAnsi="SimSun" w:eastAsia="SimSun" w:cs="SimSun"/>
          <w:sz w:val="23"/>
          <w:szCs w:val="23"/>
        </w:rPr>
        <w:t xml:space="preserve"> </w:t>
      </w:r>
      <w:r>
        <w:rPr>
          <w:rFonts w:ascii="SimSun" w:hAnsi="SimSun" w:eastAsia="SimSun" w:cs="SimSun"/>
          <w:sz w:val="23"/>
          <w:szCs w:val="23"/>
          <w:spacing w:val="9"/>
        </w:rPr>
        <w:t>再通过抛光机去除猪体体表残毛和毛灰，同时用10℃冷却水喷淋冲洗，控制胴</w:t>
      </w:r>
      <w:r>
        <w:rPr>
          <w:rFonts w:ascii="SimSun" w:hAnsi="SimSun" w:eastAsia="SimSun" w:cs="SimSun"/>
          <w:sz w:val="23"/>
          <w:szCs w:val="23"/>
          <w:spacing w:val="11"/>
        </w:rPr>
        <w:t xml:space="preserve"> </w:t>
      </w:r>
      <w:r>
        <w:rPr>
          <w:rFonts w:ascii="SimSun" w:hAnsi="SimSun" w:eastAsia="SimSun" w:cs="SimSun"/>
          <w:sz w:val="23"/>
          <w:szCs w:val="23"/>
          <w:spacing w:val="7"/>
        </w:rPr>
        <w:t>体温度，最后进行人工修刮。</w:t>
      </w:r>
    </w:p>
    <w:p>
      <w:pPr>
        <w:ind w:right="178" w:firstLine="490"/>
        <w:spacing w:before="45" w:line="370" w:lineRule="auto"/>
        <w:jc w:val="both"/>
        <w:rPr>
          <w:rFonts w:ascii="SimSun" w:hAnsi="SimSun" w:eastAsia="SimSun" w:cs="SimSun"/>
          <w:sz w:val="23"/>
          <w:szCs w:val="23"/>
        </w:rPr>
      </w:pPr>
      <w:r>
        <w:rPr>
          <w:rFonts w:ascii="SimSun" w:hAnsi="SimSun" w:eastAsia="SimSun" w:cs="SimSun"/>
          <w:sz w:val="23"/>
          <w:szCs w:val="23"/>
          <w:spacing w:val="8"/>
        </w:rPr>
        <w:t>胴体加工：</w:t>
      </w:r>
      <w:r>
        <w:rPr>
          <w:rFonts w:ascii="SimSun" w:hAnsi="SimSun" w:eastAsia="SimSun" w:cs="SimSun"/>
          <w:sz w:val="23"/>
          <w:szCs w:val="23"/>
          <w:spacing w:val="-63"/>
        </w:rPr>
        <w:t xml:space="preserve"> </w:t>
      </w:r>
      <w:r>
        <w:rPr>
          <w:rFonts w:ascii="SimSun" w:hAnsi="SimSun" w:eastAsia="SimSun" w:cs="SimSun"/>
          <w:sz w:val="23"/>
          <w:szCs w:val="23"/>
          <w:spacing w:val="8"/>
        </w:rPr>
        <w:t>设有自动开肛、自动剖腹、自动剪头、取出内脏、旋毛虫检验</w:t>
      </w:r>
      <w:r>
        <w:rPr>
          <w:rFonts w:ascii="SimSun" w:hAnsi="SimSun" w:eastAsia="SimSun" w:cs="SimSun"/>
          <w:sz w:val="23"/>
          <w:szCs w:val="23"/>
        </w:rPr>
        <w:t xml:space="preserve"> </w:t>
      </w:r>
      <w:r>
        <w:rPr>
          <w:rFonts w:ascii="SimSun" w:hAnsi="SimSun" w:eastAsia="SimSun" w:cs="SimSun"/>
          <w:sz w:val="23"/>
          <w:szCs w:val="23"/>
          <w:spacing w:val="10"/>
        </w:rPr>
        <w:t>及清洗等过程。取出内脏的胴体锯成两半，用圆盘电锯进行劈半，沿脊椎骨中</w:t>
      </w:r>
      <w:r>
        <w:rPr>
          <w:rFonts w:ascii="SimSun" w:hAnsi="SimSun" w:eastAsia="SimSun" w:cs="SimSun"/>
          <w:sz w:val="23"/>
          <w:szCs w:val="23"/>
          <w:spacing w:val="13"/>
        </w:rPr>
        <w:t xml:space="preserve"> </w:t>
      </w:r>
      <w:r>
        <w:rPr>
          <w:rFonts w:ascii="SimSun" w:hAnsi="SimSun" w:eastAsia="SimSun" w:cs="SimSun"/>
          <w:sz w:val="23"/>
          <w:szCs w:val="23"/>
          <w:spacing w:val="10"/>
        </w:rPr>
        <w:t>央将胴体分成两半，去前后蹄、剥板油，并将半片胴体立即用水冲洗，再进行</w:t>
      </w:r>
      <w:r>
        <w:rPr>
          <w:rFonts w:ascii="SimSun" w:hAnsi="SimSun" w:eastAsia="SimSun" w:cs="SimSun"/>
          <w:sz w:val="23"/>
          <w:szCs w:val="23"/>
        </w:rPr>
        <w:t xml:space="preserve"> </w:t>
      </w:r>
      <w:r>
        <w:rPr>
          <w:rFonts w:ascii="SimSun" w:hAnsi="SimSun" w:eastAsia="SimSun" w:cs="SimSun"/>
          <w:sz w:val="23"/>
          <w:szCs w:val="23"/>
          <w:spacing w:val="7"/>
        </w:rPr>
        <w:t>脂肪、肌肉、胸腔等色泽的检验。</w:t>
      </w:r>
    </w:p>
    <w:p>
      <w:pPr>
        <w:ind w:right="193" w:firstLine="493"/>
        <w:spacing w:before="10" w:line="379" w:lineRule="auto"/>
        <w:rPr>
          <w:rFonts w:ascii="SimSun" w:hAnsi="SimSun" w:eastAsia="SimSun" w:cs="SimSun"/>
          <w:sz w:val="23"/>
          <w:szCs w:val="23"/>
        </w:rPr>
      </w:pPr>
      <w:r>
        <w:rPr>
          <w:rFonts w:ascii="SimSun" w:hAnsi="SimSun" w:eastAsia="SimSun" w:cs="SimSun"/>
          <w:sz w:val="23"/>
          <w:szCs w:val="23"/>
          <w:b/>
          <w:bCs/>
          <w:spacing w:val="9"/>
        </w:rPr>
        <w:t>内脏加工：</w:t>
      </w:r>
      <w:r>
        <w:rPr>
          <w:rFonts w:ascii="SimSun" w:hAnsi="SimSun" w:eastAsia="SimSun" w:cs="SimSun"/>
          <w:sz w:val="23"/>
          <w:szCs w:val="23"/>
          <w:spacing w:val="9"/>
        </w:rPr>
        <w:t>内脏取出后进行翻肠、清理胃和肠内的未消化物，清洗后分类</w:t>
      </w:r>
      <w:r>
        <w:rPr>
          <w:rFonts w:ascii="SimSun" w:hAnsi="SimSun" w:eastAsia="SimSun" w:cs="SimSun"/>
          <w:sz w:val="23"/>
          <w:szCs w:val="23"/>
          <w:spacing w:val="5"/>
        </w:rPr>
        <w:t xml:space="preserve"> </w:t>
      </w:r>
      <w:r>
        <w:rPr>
          <w:rFonts w:ascii="SimSun" w:hAnsi="SimSun" w:eastAsia="SimSun" w:cs="SimSun"/>
          <w:sz w:val="23"/>
          <w:szCs w:val="23"/>
          <w:spacing w:val="5"/>
        </w:rPr>
        <w:t>包装。</w:t>
      </w:r>
    </w:p>
    <w:p>
      <w:pPr>
        <w:ind w:right="188" w:firstLine="490"/>
        <w:spacing w:before="3" w:line="357" w:lineRule="auto"/>
        <w:jc w:val="both"/>
        <w:rPr>
          <w:rFonts w:ascii="SimSun" w:hAnsi="SimSun" w:eastAsia="SimSun" w:cs="SimSun"/>
          <w:sz w:val="23"/>
          <w:szCs w:val="23"/>
        </w:rPr>
      </w:pPr>
      <w:r>
        <w:rPr>
          <w:rFonts w:ascii="SimSun" w:hAnsi="SimSun" w:eastAsia="SimSun" w:cs="SimSun"/>
          <w:sz w:val="23"/>
          <w:szCs w:val="23"/>
          <w:spacing w:val="10"/>
        </w:rPr>
        <w:t>屠宰车间的污染主要为屠宰废水、蒸汽发生器废水、冷却</w:t>
      </w:r>
      <w:r>
        <w:rPr>
          <w:rFonts w:ascii="SimSun" w:hAnsi="SimSun" w:eastAsia="SimSun" w:cs="SimSun"/>
          <w:sz w:val="23"/>
          <w:szCs w:val="23"/>
          <w:spacing w:val="9"/>
        </w:rPr>
        <w:t>系统排水、燃气</w:t>
      </w:r>
      <w:r>
        <w:rPr>
          <w:rFonts w:ascii="SimSun" w:hAnsi="SimSun" w:eastAsia="SimSun" w:cs="SimSun"/>
          <w:sz w:val="23"/>
          <w:szCs w:val="23"/>
        </w:rPr>
        <w:t xml:space="preserve"> </w:t>
      </w:r>
      <w:r>
        <w:rPr>
          <w:rFonts w:ascii="SimSun" w:hAnsi="SimSun" w:eastAsia="SimSun" w:cs="SimSun"/>
          <w:sz w:val="23"/>
          <w:szCs w:val="23"/>
          <w:spacing w:val="13"/>
        </w:rPr>
        <w:t>蒸汽发生器烟气、恶臭、噪声、屠宰废料(猪蹄壳、碎肉、淋巴组织、不可食</w:t>
      </w:r>
      <w:r>
        <w:rPr>
          <w:rFonts w:ascii="SimSun" w:hAnsi="SimSun" w:eastAsia="SimSun" w:cs="SimSun"/>
          <w:sz w:val="23"/>
          <w:szCs w:val="23"/>
          <w:spacing w:val="12"/>
        </w:rPr>
        <w:t xml:space="preserve"> </w:t>
      </w:r>
      <w:r>
        <w:rPr>
          <w:rFonts w:ascii="SimSun" w:hAnsi="SimSun" w:eastAsia="SimSun" w:cs="SimSun"/>
          <w:sz w:val="23"/>
          <w:szCs w:val="23"/>
          <w:spacing w:val="15"/>
        </w:rPr>
        <w:t>内脏等)、废离子交换树脂等。</w:t>
      </w:r>
    </w:p>
    <w:p>
      <w:pPr>
        <w:ind w:left="643"/>
        <w:spacing w:line="219" w:lineRule="auto"/>
        <w:rPr>
          <w:rFonts w:ascii="SimSun" w:hAnsi="SimSun" w:eastAsia="SimSun" w:cs="SimSun"/>
          <w:sz w:val="26"/>
          <w:szCs w:val="26"/>
        </w:rPr>
      </w:pPr>
      <w:r>
        <w:rPr>
          <w:rFonts w:ascii="SimSun" w:hAnsi="SimSun" w:eastAsia="SimSun" w:cs="SimSun"/>
          <w:sz w:val="26"/>
          <w:szCs w:val="26"/>
          <w:b/>
          <w:bCs/>
          <w:spacing w:val="-14"/>
        </w:rPr>
        <w:t>(5)冷却、分割间生产工艺及产污环节</w:t>
      </w:r>
    </w:p>
    <w:p>
      <w:pPr>
        <w:ind w:right="505" w:firstLine="490"/>
        <w:spacing w:before="222" w:line="367" w:lineRule="auto"/>
        <w:jc w:val="both"/>
        <w:rPr>
          <w:rFonts w:ascii="SimSun" w:hAnsi="SimSun" w:eastAsia="SimSun" w:cs="SimSun"/>
          <w:sz w:val="23"/>
          <w:szCs w:val="23"/>
        </w:rPr>
      </w:pPr>
      <w:r>
        <w:rPr>
          <w:rFonts w:ascii="SimSun" w:hAnsi="SimSun" w:eastAsia="SimSun" w:cs="SimSun"/>
          <w:sz w:val="23"/>
          <w:szCs w:val="23"/>
          <w:spacing w:val="10"/>
        </w:rPr>
        <w:t>冷却排酸：为</w:t>
      </w:r>
      <w:r>
        <w:rPr>
          <w:rFonts w:ascii="SimSun" w:hAnsi="SimSun" w:eastAsia="SimSun" w:cs="SimSun"/>
          <w:sz w:val="23"/>
          <w:szCs w:val="23"/>
          <w:spacing w:val="-23"/>
        </w:rPr>
        <w:t xml:space="preserve"> </w:t>
      </w:r>
      <w:r>
        <w:rPr>
          <w:rFonts w:ascii="SimSun" w:hAnsi="SimSun" w:eastAsia="SimSun" w:cs="SimSun"/>
          <w:sz w:val="23"/>
          <w:szCs w:val="23"/>
          <w:spacing w:val="10"/>
        </w:rPr>
        <w:t>了控制微生物的繁殖，将检验合格的胴体放入</w:t>
      </w:r>
      <w:r>
        <w:rPr>
          <w:rFonts w:ascii="SimSun" w:hAnsi="SimSun" w:eastAsia="SimSun" w:cs="SimSun"/>
          <w:sz w:val="23"/>
          <w:szCs w:val="23"/>
          <w:spacing w:val="9"/>
        </w:rPr>
        <w:t>急冷间(-</w:t>
      </w:r>
      <w:r>
        <w:rPr>
          <w:rFonts w:ascii="SimSun" w:hAnsi="SimSun" w:eastAsia="SimSun" w:cs="SimSun"/>
          <w:sz w:val="23"/>
          <w:szCs w:val="23"/>
        </w:rPr>
        <w:t xml:space="preserve"> </w:t>
      </w:r>
      <w:r>
        <w:rPr>
          <w:rFonts w:ascii="SimSun" w:hAnsi="SimSun" w:eastAsia="SimSun" w:cs="SimSun"/>
          <w:sz w:val="23"/>
          <w:szCs w:val="23"/>
          <w:spacing w:val="15"/>
        </w:rPr>
        <w:t>28℃)冷却1.5</w:t>
      </w:r>
      <w:r>
        <w:rPr>
          <w:rFonts w:ascii="Times New Roman" w:hAnsi="Times New Roman" w:eastAsia="Times New Roman" w:cs="Times New Roman"/>
          <w:sz w:val="23"/>
          <w:szCs w:val="23"/>
          <w:spacing w:val="15"/>
        </w:rPr>
        <w:t>h,</w:t>
      </w:r>
      <w:r>
        <w:rPr>
          <w:rFonts w:ascii="Times New Roman" w:hAnsi="Times New Roman" w:eastAsia="Times New Roman" w:cs="Times New Roman"/>
          <w:sz w:val="23"/>
          <w:szCs w:val="23"/>
          <w:spacing w:val="5"/>
        </w:rPr>
        <w:t xml:space="preserve">   </w:t>
      </w:r>
      <w:r>
        <w:rPr>
          <w:rFonts w:ascii="SimSun" w:hAnsi="SimSun" w:eastAsia="SimSun" w:cs="SimSun"/>
          <w:sz w:val="23"/>
          <w:szCs w:val="23"/>
          <w:spacing w:val="15"/>
        </w:rPr>
        <w:t>胴体温度由38℃降到约28℃,然后再进入冷却排酸间(0-</w:t>
      </w:r>
      <w:r>
        <w:rPr>
          <w:rFonts w:ascii="SimSun" w:hAnsi="SimSun" w:eastAsia="SimSun" w:cs="SimSun"/>
          <w:sz w:val="23"/>
          <w:szCs w:val="23"/>
          <w:spacing w:val="2"/>
        </w:rPr>
        <w:t xml:space="preserve"> </w:t>
      </w:r>
      <w:r>
        <w:rPr>
          <w:rFonts w:ascii="SimSun" w:hAnsi="SimSun" w:eastAsia="SimSun" w:cs="SimSun"/>
          <w:sz w:val="23"/>
          <w:szCs w:val="23"/>
          <w:spacing w:val="16"/>
        </w:rPr>
        <w:t>4℃),排酸16</w:t>
      </w:r>
      <w:r>
        <w:rPr>
          <w:rFonts w:ascii="Times New Roman" w:hAnsi="Times New Roman" w:eastAsia="Times New Roman" w:cs="Times New Roman"/>
          <w:sz w:val="23"/>
          <w:szCs w:val="23"/>
          <w:spacing w:val="16"/>
        </w:rPr>
        <w:t>h</w:t>
      </w:r>
      <w:r>
        <w:rPr>
          <w:rFonts w:ascii="SimSun" w:hAnsi="SimSun" w:eastAsia="SimSun" w:cs="SimSun"/>
          <w:sz w:val="23"/>
          <w:szCs w:val="23"/>
          <w:spacing w:val="16"/>
        </w:rPr>
        <w:t>后，肉的中心温度降到约7℃后再进行剔骨分割和鲜销。</w:t>
      </w:r>
    </w:p>
    <w:p>
      <w:pPr>
        <w:ind w:right="91" w:firstLine="490"/>
        <w:spacing w:before="18" w:line="369" w:lineRule="auto"/>
        <w:rPr>
          <w:rFonts w:ascii="SimSun" w:hAnsi="SimSun" w:eastAsia="SimSun" w:cs="SimSun"/>
          <w:sz w:val="23"/>
          <w:szCs w:val="23"/>
        </w:rPr>
      </w:pPr>
      <w:r>
        <w:rPr>
          <w:rFonts w:ascii="SimSun" w:hAnsi="SimSun" w:eastAsia="SimSun" w:cs="SimSun"/>
          <w:sz w:val="23"/>
          <w:szCs w:val="23"/>
          <w:spacing w:val="10"/>
        </w:rPr>
        <w:t>分割包装：冷却后的胴体部分进入分割包装车间，分割包装车间的温度控</w:t>
      </w:r>
      <w:r>
        <w:rPr>
          <w:rFonts w:ascii="SimSun" w:hAnsi="SimSun" w:eastAsia="SimSun" w:cs="SimSun"/>
          <w:sz w:val="23"/>
          <w:szCs w:val="23"/>
          <w:spacing w:val="8"/>
        </w:rPr>
        <w:t xml:space="preserve"> </w:t>
      </w:r>
      <w:r>
        <w:rPr>
          <w:rFonts w:ascii="SimSun" w:hAnsi="SimSun" w:eastAsia="SimSun" w:cs="SimSun"/>
          <w:sz w:val="23"/>
          <w:szCs w:val="23"/>
          <w:spacing w:val="12"/>
        </w:rPr>
        <w:t>制在8～10℃,分割车间设有分段锯、脚圈锯及分割输送带，在输送带上可进行</w:t>
      </w:r>
      <w:r>
        <w:rPr>
          <w:rFonts w:ascii="SimSun" w:hAnsi="SimSun" w:eastAsia="SimSun" w:cs="SimSun"/>
          <w:sz w:val="23"/>
          <w:szCs w:val="23"/>
          <w:spacing w:val="8"/>
        </w:rPr>
        <w:t xml:space="preserve"> </w:t>
      </w:r>
      <w:r>
        <w:rPr>
          <w:rFonts w:ascii="SimSun" w:hAnsi="SimSun" w:eastAsia="SimSun" w:cs="SimSun"/>
          <w:sz w:val="23"/>
          <w:szCs w:val="23"/>
          <w:spacing w:val="6"/>
        </w:rPr>
        <w:t>肉的精分割及各类肉品包装，包装好的肉一部分进冻结间，</w:t>
      </w:r>
      <w:r>
        <w:rPr>
          <w:rFonts w:ascii="SimSun" w:hAnsi="SimSun" w:eastAsia="SimSun" w:cs="SimSun"/>
          <w:sz w:val="23"/>
          <w:szCs w:val="23"/>
        </w:rPr>
        <w:t xml:space="preserve"> </w:t>
      </w:r>
      <w:r>
        <w:rPr>
          <w:rFonts w:ascii="SimSun" w:hAnsi="SimSun" w:eastAsia="SimSun" w:cs="SimSun"/>
          <w:sz w:val="23"/>
          <w:szCs w:val="23"/>
          <w:spacing w:val="6"/>
        </w:rPr>
        <w:t>一部分进保温库暂</w:t>
      </w:r>
      <w:r>
        <w:rPr>
          <w:rFonts w:ascii="SimSun" w:hAnsi="SimSun" w:eastAsia="SimSun" w:cs="SimSun"/>
          <w:sz w:val="23"/>
          <w:szCs w:val="23"/>
        </w:rPr>
        <w:t xml:space="preserve">  </w:t>
      </w:r>
      <w:r>
        <w:rPr>
          <w:rFonts w:ascii="SimSun" w:hAnsi="SimSun" w:eastAsia="SimSun" w:cs="SimSun"/>
          <w:sz w:val="23"/>
          <w:szCs w:val="23"/>
          <w:spacing w:val="8"/>
        </w:rPr>
        <w:t>存鲜销。</w:t>
      </w:r>
    </w:p>
    <w:p>
      <w:pPr>
        <w:ind w:left="633"/>
        <w:spacing w:line="219" w:lineRule="auto"/>
        <w:rPr>
          <w:rFonts w:ascii="SimSun" w:hAnsi="SimSun" w:eastAsia="SimSun" w:cs="SimSun"/>
          <w:sz w:val="23"/>
          <w:szCs w:val="23"/>
        </w:rPr>
      </w:pPr>
      <w:r>
        <w:rPr>
          <w:rFonts w:ascii="SimSun" w:hAnsi="SimSun" w:eastAsia="SimSun" w:cs="SimSun"/>
          <w:sz w:val="23"/>
          <w:szCs w:val="23"/>
          <w:b/>
          <w:bCs/>
          <w:spacing w:val="13"/>
        </w:rPr>
        <w:t>(6)急宰间生产工艺及产污环节</w:t>
      </w:r>
    </w:p>
    <w:p>
      <w:pPr>
        <w:ind w:right="185" w:firstLine="490"/>
        <w:spacing w:before="240" w:line="373" w:lineRule="auto"/>
        <w:rPr>
          <w:rFonts w:ascii="SimSun" w:hAnsi="SimSun" w:eastAsia="SimSun" w:cs="SimSun"/>
          <w:sz w:val="23"/>
          <w:szCs w:val="23"/>
        </w:rPr>
      </w:pPr>
      <w:r>
        <w:rPr>
          <w:rFonts w:ascii="SimSun" w:hAnsi="SimSun" w:eastAsia="SimSun" w:cs="SimSun"/>
          <w:sz w:val="23"/>
          <w:szCs w:val="23"/>
          <w:spacing w:val="10"/>
        </w:rPr>
        <w:t>急宰间主要是对运输途中受伤的生猪进行加工处理，急宰间污染主</w:t>
      </w:r>
      <w:r>
        <w:rPr>
          <w:rFonts w:ascii="SimSun" w:hAnsi="SimSun" w:eastAsia="SimSun" w:cs="SimSun"/>
          <w:sz w:val="23"/>
          <w:szCs w:val="23"/>
          <w:spacing w:val="9"/>
        </w:rPr>
        <w:t>要是宰</w:t>
      </w:r>
      <w:r>
        <w:rPr>
          <w:rFonts w:ascii="SimSun" w:hAnsi="SimSun" w:eastAsia="SimSun" w:cs="SimSun"/>
          <w:sz w:val="23"/>
          <w:szCs w:val="23"/>
        </w:rPr>
        <w:t xml:space="preserve"> </w:t>
      </w:r>
      <w:r>
        <w:rPr>
          <w:rFonts w:ascii="SimSun" w:hAnsi="SimSun" w:eastAsia="SimSun" w:cs="SimSun"/>
          <w:sz w:val="23"/>
          <w:szCs w:val="23"/>
          <w:spacing w:val="9"/>
        </w:rPr>
        <w:t>杀过程产生的屠宰废料和冲洗废水，包括猪粪及猪体内未消化的饲料等废物。</w:t>
      </w:r>
    </w:p>
    <w:p>
      <w:pPr>
        <w:ind w:right="190" w:firstLine="490"/>
        <w:spacing w:before="2" w:line="362" w:lineRule="auto"/>
        <w:rPr>
          <w:rFonts w:ascii="SimSun" w:hAnsi="SimSun" w:eastAsia="SimSun" w:cs="SimSun"/>
          <w:sz w:val="23"/>
          <w:szCs w:val="23"/>
        </w:rPr>
      </w:pPr>
      <w:r>
        <w:rPr>
          <w:rFonts w:ascii="SimSun" w:hAnsi="SimSun" w:eastAsia="SimSun" w:cs="SimSun"/>
          <w:sz w:val="23"/>
          <w:szCs w:val="23"/>
          <w:spacing w:val="10"/>
        </w:rPr>
        <w:t>本项目检验、检疫包括宰前对生猪的检验、检疫</w:t>
      </w:r>
      <w:r>
        <w:rPr>
          <w:rFonts w:ascii="SimSun" w:hAnsi="SimSun" w:eastAsia="SimSun" w:cs="SimSun"/>
          <w:sz w:val="23"/>
          <w:szCs w:val="23"/>
          <w:spacing w:val="9"/>
        </w:rPr>
        <w:t>，以及屠宰后对生猪胴体</w:t>
      </w:r>
      <w:r>
        <w:rPr>
          <w:rFonts w:ascii="SimSun" w:hAnsi="SimSun" w:eastAsia="SimSun" w:cs="SimSun"/>
          <w:sz w:val="23"/>
          <w:szCs w:val="23"/>
        </w:rPr>
        <w:t xml:space="preserve"> </w:t>
      </w:r>
      <w:r>
        <w:rPr>
          <w:rFonts w:ascii="SimSun" w:hAnsi="SimSun" w:eastAsia="SimSun" w:cs="SimSun"/>
          <w:sz w:val="23"/>
          <w:szCs w:val="23"/>
          <w:spacing w:val="9"/>
        </w:rPr>
        <w:t>和内脏检验检疫，设常规检疫工作间，包括器械柜</w:t>
      </w:r>
      <w:r>
        <w:rPr>
          <w:rFonts w:ascii="SimSun" w:hAnsi="SimSun" w:eastAsia="SimSun" w:cs="SimSun"/>
          <w:sz w:val="23"/>
          <w:szCs w:val="23"/>
          <w:spacing w:val="8"/>
        </w:rPr>
        <w:t>、冰箱、干燥箱、显微镜、</w:t>
      </w:r>
      <w:r>
        <w:rPr>
          <w:rFonts w:ascii="SimSun" w:hAnsi="SimSun" w:eastAsia="SimSun" w:cs="SimSun"/>
          <w:sz w:val="23"/>
          <w:szCs w:val="23"/>
        </w:rPr>
        <w:t xml:space="preserve"> </w:t>
      </w:r>
      <w:r>
        <w:rPr>
          <w:rFonts w:ascii="SimSun" w:hAnsi="SimSun" w:eastAsia="SimSun" w:cs="SimSun"/>
          <w:sz w:val="23"/>
          <w:szCs w:val="23"/>
          <w:spacing w:val="10"/>
        </w:rPr>
        <w:t>快速检验设备和一次性成品试剂，不涉及专业实验检测，不涉及配制检验试剂</w:t>
      </w:r>
      <w:r>
        <w:rPr>
          <w:rFonts w:ascii="SimSun" w:hAnsi="SimSun" w:eastAsia="SimSun" w:cs="SimSun"/>
          <w:sz w:val="23"/>
          <w:szCs w:val="23"/>
          <w:spacing w:val="2"/>
        </w:rPr>
        <w:t xml:space="preserve"> </w:t>
      </w:r>
      <w:r>
        <w:rPr>
          <w:rFonts w:ascii="SimSun" w:hAnsi="SimSun" w:eastAsia="SimSun" w:cs="SimSun"/>
          <w:sz w:val="23"/>
          <w:szCs w:val="23"/>
          <w:spacing w:val="4"/>
        </w:rPr>
        <w:t>等理化实验。</w:t>
      </w:r>
    </w:p>
    <w:p>
      <w:pPr>
        <w:ind w:left="3"/>
        <w:spacing w:before="70" w:line="221" w:lineRule="auto"/>
        <w:rPr>
          <w:rFonts w:ascii="SimHei" w:hAnsi="SimHei" w:eastAsia="SimHei" w:cs="SimHei"/>
          <w:sz w:val="26"/>
          <w:szCs w:val="26"/>
        </w:rPr>
      </w:pPr>
      <w:r>
        <w:rPr>
          <w:rFonts w:ascii="SimHei" w:hAnsi="SimHei" w:eastAsia="SimHei" w:cs="SimHei"/>
          <w:sz w:val="26"/>
          <w:szCs w:val="26"/>
          <w:b/>
          <w:bCs/>
          <w:spacing w:val="7"/>
        </w:rPr>
        <w:t>3.8.2肉牛屠宰生产工艺流程及产污环节</w:t>
      </w:r>
    </w:p>
    <w:p>
      <w:pPr>
        <w:spacing w:line="221" w:lineRule="auto"/>
        <w:sectPr>
          <w:headerReference w:type="default" r:id="rId261"/>
          <w:footerReference w:type="default" r:id="rId262"/>
          <w:pgSz w:w="11910" w:h="16840"/>
          <w:pgMar w:top="1219" w:right="1786" w:bottom="960" w:left="1769" w:header="865" w:footer="753" w:gutter="0"/>
        </w:sectPr>
        <w:rPr>
          <w:rFonts w:ascii="SimHei" w:hAnsi="SimHei" w:eastAsia="SimHei" w:cs="SimHei"/>
          <w:sz w:val="26"/>
          <w:szCs w:val="26"/>
        </w:rPr>
      </w:pPr>
    </w:p>
    <w:p>
      <w:pPr>
        <w:pStyle w:val="BodyText"/>
        <w:spacing w:line="294" w:lineRule="auto"/>
        <w:rPr/>
      </w:pPr>
      <w:r/>
    </w:p>
    <w:p>
      <w:pPr>
        <w:ind w:left="490"/>
        <w:spacing w:before="56" w:line="219" w:lineRule="auto"/>
        <w:rPr>
          <w:rFonts w:ascii="SimSun" w:hAnsi="SimSun" w:eastAsia="SimSun" w:cs="SimSun"/>
          <w:sz w:val="17"/>
          <w:szCs w:val="17"/>
        </w:rPr>
      </w:pPr>
      <w:bookmarkStart w:name="bookmark105" w:id="71"/>
      <w:bookmarkEnd w:id="71"/>
      <w:r>
        <w:rPr>
          <w:rFonts w:ascii="SimSun" w:hAnsi="SimSun" w:eastAsia="SimSun" w:cs="SimSun"/>
          <w:sz w:val="17"/>
          <w:szCs w:val="17"/>
          <w:spacing w:val="-9"/>
        </w:rPr>
        <w:t>本 项</w:t>
      </w:r>
      <w:r>
        <w:rPr>
          <w:rFonts w:ascii="SimSun" w:hAnsi="SimSun" w:eastAsia="SimSun" w:cs="SimSun"/>
          <w:sz w:val="17"/>
          <w:szCs w:val="17"/>
          <w:spacing w:val="21"/>
        </w:rPr>
        <w:t xml:space="preserve"> </w:t>
      </w:r>
      <w:r>
        <w:rPr>
          <w:rFonts w:ascii="SimSun" w:hAnsi="SimSun" w:eastAsia="SimSun" w:cs="SimSun"/>
          <w:sz w:val="17"/>
          <w:szCs w:val="17"/>
          <w:spacing w:val="-9"/>
        </w:rPr>
        <w:t>目 设 计 屠 宰 、 分 割 肉 牛 4 万 头</w:t>
      </w:r>
      <w:r>
        <w:rPr>
          <w:rFonts w:ascii="SimSun" w:hAnsi="SimSun" w:eastAsia="SimSun" w:cs="SimSun"/>
          <w:sz w:val="17"/>
          <w:szCs w:val="17"/>
          <w:spacing w:val="-13"/>
        </w:rPr>
        <w:t xml:space="preserve"> </w:t>
      </w:r>
      <w:r>
        <w:rPr>
          <w:rFonts w:ascii="SimSun" w:hAnsi="SimSun" w:eastAsia="SimSun" w:cs="SimSun"/>
          <w:sz w:val="17"/>
          <w:szCs w:val="17"/>
          <w:spacing w:val="-9"/>
        </w:rPr>
        <w:t>/ 年 ， 排</w:t>
      </w:r>
      <w:r>
        <w:rPr>
          <w:rFonts w:ascii="SimSun" w:hAnsi="SimSun" w:eastAsia="SimSun" w:cs="SimSun"/>
          <w:sz w:val="17"/>
          <w:szCs w:val="17"/>
          <w:spacing w:val="-11"/>
        </w:rPr>
        <w:t xml:space="preserve"> </w:t>
      </w:r>
      <w:r>
        <w:rPr>
          <w:rFonts w:ascii="SimSun" w:hAnsi="SimSun" w:eastAsia="SimSun" w:cs="SimSun"/>
          <w:sz w:val="17"/>
          <w:szCs w:val="17"/>
          <w:spacing w:val="-9"/>
        </w:rPr>
        <w:t>酸 处</w:t>
      </w:r>
      <w:r>
        <w:rPr>
          <w:rFonts w:ascii="SimSun" w:hAnsi="SimSun" w:eastAsia="SimSun" w:cs="SimSun"/>
          <w:sz w:val="17"/>
          <w:szCs w:val="17"/>
          <w:spacing w:val="-10"/>
        </w:rPr>
        <w:t xml:space="preserve"> </w:t>
      </w:r>
      <w:r>
        <w:rPr>
          <w:rFonts w:ascii="SimSun" w:hAnsi="SimSun" w:eastAsia="SimSun" w:cs="SimSun"/>
          <w:sz w:val="17"/>
          <w:szCs w:val="17"/>
          <w:spacing w:val="-9"/>
        </w:rPr>
        <w:t>理</w:t>
      </w:r>
      <w:r>
        <w:rPr>
          <w:rFonts w:ascii="SimSun" w:hAnsi="SimSun" w:eastAsia="SimSun" w:cs="SimSun"/>
          <w:sz w:val="17"/>
          <w:szCs w:val="17"/>
          <w:spacing w:val="-10"/>
        </w:rPr>
        <w:t xml:space="preserve"> </w:t>
      </w:r>
      <w:r>
        <w:rPr>
          <w:rFonts w:ascii="SimSun" w:hAnsi="SimSun" w:eastAsia="SimSun" w:cs="SimSun"/>
          <w:sz w:val="17"/>
          <w:szCs w:val="17"/>
          <w:spacing w:val="-9"/>
        </w:rPr>
        <w:t>后 的 牛 胴</w:t>
      </w:r>
      <w:r>
        <w:rPr>
          <w:rFonts w:ascii="SimSun" w:hAnsi="SimSun" w:eastAsia="SimSun" w:cs="SimSun"/>
          <w:sz w:val="17"/>
          <w:szCs w:val="17"/>
          <w:spacing w:val="-12"/>
        </w:rPr>
        <w:t xml:space="preserve"> </w:t>
      </w:r>
      <w:r>
        <w:rPr>
          <w:rFonts w:ascii="SimSun" w:hAnsi="SimSun" w:eastAsia="SimSun" w:cs="SimSun"/>
          <w:sz w:val="17"/>
          <w:szCs w:val="17"/>
          <w:spacing w:val="-9"/>
        </w:rPr>
        <w:t>体</w:t>
      </w:r>
      <w:r>
        <w:rPr>
          <w:rFonts w:ascii="SimSun" w:hAnsi="SimSun" w:eastAsia="SimSun" w:cs="SimSun"/>
          <w:sz w:val="17"/>
          <w:szCs w:val="17"/>
          <w:spacing w:val="-12"/>
        </w:rPr>
        <w:t xml:space="preserve"> </w:t>
      </w:r>
      <w:r>
        <w:rPr>
          <w:rFonts w:ascii="SimSun" w:hAnsi="SimSun" w:eastAsia="SimSun" w:cs="SimSun"/>
          <w:sz w:val="17"/>
          <w:szCs w:val="17"/>
          <w:spacing w:val="-9"/>
        </w:rPr>
        <w:t>全</w:t>
      </w:r>
      <w:r>
        <w:rPr>
          <w:rFonts w:ascii="SimSun" w:hAnsi="SimSun" w:eastAsia="SimSun" w:cs="SimSun"/>
          <w:sz w:val="17"/>
          <w:szCs w:val="17"/>
          <w:spacing w:val="-10"/>
        </w:rPr>
        <w:t xml:space="preserve"> 部 分 割</w:t>
      </w:r>
      <w:r>
        <w:rPr>
          <w:rFonts w:ascii="SimSun" w:hAnsi="SimSun" w:eastAsia="SimSun" w:cs="SimSun"/>
          <w:sz w:val="17"/>
          <w:szCs w:val="17"/>
          <w:spacing w:val="-11"/>
        </w:rPr>
        <w:t xml:space="preserve"> </w:t>
      </w:r>
      <w:r>
        <w:rPr>
          <w:rFonts w:ascii="SimSun" w:hAnsi="SimSun" w:eastAsia="SimSun" w:cs="SimSun"/>
          <w:sz w:val="17"/>
          <w:szCs w:val="17"/>
          <w:spacing w:val="-10"/>
        </w:rPr>
        <w:t>后 出</w:t>
      </w:r>
    </w:p>
    <w:p>
      <w:pPr>
        <w:ind w:left="20"/>
        <w:spacing w:before="269" w:line="219" w:lineRule="auto"/>
        <w:rPr>
          <w:rFonts w:ascii="SimSun" w:hAnsi="SimSun" w:eastAsia="SimSun" w:cs="SimSun"/>
          <w:sz w:val="17"/>
          <w:szCs w:val="17"/>
        </w:rPr>
      </w:pPr>
      <w:r>
        <w:rPr>
          <w:rFonts w:ascii="SimSun" w:hAnsi="SimSun" w:eastAsia="SimSun" w:cs="SimSun"/>
          <w:sz w:val="17"/>
          <w:szCs w:val="17"/>
          <w:spacing w:val="-11"/>
        </w:rPr>
        <w:t>售 ， 不 进 行</w:t>
      </w:r>
      <w:r>
        <w:rPr>
          <w:rFonts w:ascii="SimSun" w:hAnsi="SimSun" w:eastAsia="SimSun" w:cs="SimSun"/>
          <w:sz w:val="17"/>
          <w:szCs w:val="17"/>
          <w:spacing w:val="26"/>
        </w:rPr>
        <w:t xml:space="preserve"> </w:t>
      </w:r>
      <w:r>
        <w:rPr>
          <w:rFonts w:ascii="SimSun" w:hAnsi="SimSun" w:eastAsia="SimSun" w:cs="SimSun"/>
          <w:sz w:val="17"/>
          <w:szCs w:val="17"/>
          <w:spacing w:val="-11"/>
        </w:rPr>
        <w:t>肉 制</w:t>
      </w:r>
      <w:r>
        <w:rPr>
          <w:rFonts w:ascii="SimSun" w:hAnsi="SimSun" w:eastAsia="SimSun" w:cs="SimSun"/>
          <w:sz w:val="17"/>
          <w:szCs w:val="17"/>
          <w:spacing w:val="12"/>
        </w:rPr>
        <w:t xml:space="preserve"> </w:t>
      </w:r>
      <w:r>
        <w:rPr>
          <w:rFonts w:ascii="SimSun" w:hAnsi="SimSun" w:eastAsia="SimSun" w:cs="SimSun"/>
          <w:sz w:val="17"/>
          <w:szCs w:val="17"/>
          <w:spacing w:val="-11"/>
        </w:rPr>
        <w:t>品 加 工</w:t>
      </w:r>
      <w:r>
        <w:rPr>
          <w:rFonts w:ascii="SimSun" w:hAnsi="SimSun" w:eastAsia="SimSun" w:cs="SimSun"/>
          <w:sz w:val="17"/>
          <w:szCs w:val="17"/>
          <w:spacing w:val="14"/>
        </w:rPr>
        <w:t xml:space="preserve"> </w:t>
      </w:r>
      <w:r>
        <w:rPr>
          <w:rFonts w:ascii="SimSun" w:hAnsi="SimSun" w:eastAsia="SimSun" w:cs="SimSun"/>
          <w:sz w:val="17"/>
          <w:szCs w:val="17"/>
          <w:spacing w:val="-11"/>
        </w:rPr>
        <w:t>。</w:t>
      </w:r>
      <w:r>
        <w:rPr>
          <w:rFonts w:ascii="SimSun" w:hAnsi="SimSun" w:eastAsia="SimSun" w:cs="SimSun"/>
          <w:sz w:val="17"/>
          <w:szCs w:val="17"/>
          <w:spacing w:val="1"/>
        </w:rPr>
        <w:t xml:space="preserve"> </w:t>
      </w:r>
      <w:r>
        <w:rPr>
          <w:rFonts w:ascii="SimSun" w:hAnsi="SimSun" w:eastAsia="SimSun" w:cs="SimSun"/>
          <w:sz w:val="17"/>
          <w:szCs w:val="17"/>
          <w:spacing w:val="-11"/>
        </w:rPr>
        <w:t>项</w:t>
      </w:r>
      <w:r>
        <w:rPr>
          <w:rFonts w:ascii="SimSun" w:hAnsi="SimSun" w:eastAsia="SimSun" w:cs="SimSun"/>
          <w:sz w:val="17"/>
          <w:szCs w:val="17"/>
          <w:spacing w:val="31"/>
        </w:rPr>
        <w:t xml:space="preserve"> </w:t>
      </w:r>
      <w:r>
        <w:rPr>
          <w:rFonts w:ascii="SimSun" w:hAnsi="SimSun" w:eastAsia="SimSun" w:cs="SimSun"/>
          <w:sz w:val="17"/>
          <w:szCs w:val="17"/>
          <w:spacing w:val="-11"/>
        </w:rPr>
        <w:t>目</w:t>
      </w:r>
      <w:r>
        <w:rPr>
          <w:rFonts w:ascii="SimSun" w:hAnsi="SimSun" w:eastAsia="SimSun" w:cs="SimSun"/>
          <w:sz w:val="17"/>
          <w:szCs w:val="17"/>
          <w:spacing w:val="9"/>
        </w:rPr>
        <w:t xml:space="preserve"> </w:t>
      </w:r>
      <w:r>
        <w:rPr>
          <w:rFonts w:ascii="SimSun" w:hAnsi="SimSun" w:eastAsia="SimSun" w:cs="SimSun"/>
          <w:sz w:val="17"/>
          <w:szCs w:val="17"/>
          <w:spacing w:val="-11"/>
        </w:rPr>
        <w:t>畜</w:t>
      </w:r>
      <w:r>
        <w:rPr>
          <w:rFonts w:ascii="SimSun" w:hAnsi="SimSun" w:eastAsia="SimSun" w:cs="SimSun"/>
          <w:sz w:val="17"/>
          <w:szCs w:val="17"/>
          <w:spacing w:val="-1"/>
        </w:rPr>
        <w:t xml:space="preserve"> </w:t>
      </w:r>
      <w:r>
        <w:rPr>
          <w:rFonts w:ascii="SimSun" w:hAnsi="SimSun" w:eastAsia="SimSun" w:cs="SimSun"/>
          <w:sz w:val="17"/>
          <w:szCs w:val="17"/>
          <w:spacing w:val="-11"/>
        </w:rPr>
        <w:t>禽</w:t>
      </w:r>
      <w:r>
        <w:rPr>
          <w:rFonts w:ascii="SimSun" w:hAnsi="SimSun" w:eastAsia="SimSun" w:cs="SimSun"/>
          <w:sz w:val="17"/>
          <w:szCs w:val="17"/>
          <w:spacing w:val="28"/>
        </w:rPr>
        <w:t xml:space="preserve"> </w:t>
      </w:r>
      <w:r>
        <w:rPr>
          <w:rFonts w:ascii="SimSun" w:hAnsi="SimSun" w:eastAsia="SimSun" w:cs="SimSun"/>
          <w:sz w:val="17"/>
          <w:szCs w:val="17"/>
          <w:spacing w:val="-11"/>
        </w:rPr>
        <w:t>(</w:t>
      </w:r>
      <w:r>
        <w:rPr>
          <w:rFonts w:ascii="SimSun" w:hAnsi="SimSun" w:eastAsia="SimSun" w:cs="SimSun"/>
          <w:sz w:val="17"/>
          <w:szCs w:val="17"/>
          <w:spacing w:val="15"/>
        </w:rPr>
        <w:t xml:space="preserve"> </w:t>
      </w:r>
      <w:r>
        <w:rPr>
          <w:rFonts w:ascii="SimSun" w:hAnsi="SimSun" w:eastAsia="SimSun" w:cs="SimSun"/>
          <w:sz w:val="17"/>
          <w:szCs w:val="17"/>
          <w:spacing w:val="-11"/>
        </w:rPr>
        <w:t>肉</w:t>
      </w:r>
      <w:r>
        <w:rPr>
          <w:rFonts w:ascii="SimSun" w:hAnsi="SimSun" w:eastAsia="SimSun" w:cs="SimSun"/>
          <w:sz w:val="17"/>
          <w:szCs w:val="17"/>
          <w:spacing w:val="2"/>
        </w:rPr>
        <w:t xml:space="preserve"> </w:t>
      </w:r>
      <w:r>
        <w:rPr>
          <w:rFonts w:ascii="SimSun" w:hAnsi="SimSun" w:eastAsia="SimSun" w:cs="SimSun"/>
          <w:sz w:val="17"/>
          <w:szCs w:val="17"/>
          <w:spacing w:val="-11"/>
        </w:rPr>
        <w:t>牛</w:t>
      </w:r>
      <w:r>
        <w:rPr>
          <w:rFonts w:ascii="SimSun" w:hAnsi="SimSun" w:eastAsia="SimSun" w:cs="SimSun"/>
          <w:sz w:val="17"/>
          <w:szCs w:val="17"/>
          <w:spacing w:val="-1"/>
        </w:rPr>
        <w:t xml:space="preserve"> </w:t>
      </w:r>
      <w:r>
        <w:rPr>
          <w:rFonts w:ascii="SimSun" w:hAnsi="SimSun" w:eastAsia="SimSun" w:cs="SimSun"/>
          <w:sz w:val="17"/>
          <w:szCs w:val="17"/>
          <w:spacing w:val="-11"/>
        </w:rPr>
        <w:t>)</w:t>
      </w:r>
      <w:r>
        <w:rPr>
          <w:rFonts w:ascii="SimSun" w:hAnsi="SimSun" w:eastAsia="SimSun" w:cs="SimSun"/>
          <w:sz w:val="17"/>
          <w:szCs w:val="17"/>
          <w:spacing w:val="-1"/>
        </w:rPr>
        <w:t xml:space="preserve"> </w:t>
      </w:r>
      <w:r>
        <w:rPr>
          <w:rFonts w:ascii="SimSun" w:hAnsi="SimSun" w:eastAsia="SimSun" w:cs="SimSun"/>
          <w:sz w:val="17"/>
          <w:szCs w:val="17"/>
          <w:spacing w:val="-11"/>
        </w:rPr>
        <w:t>屠</w:t>
      </w:r>
      <w:r>
        <w:rPr>
          <w:rFonts w:ascii="SimSun" w:hAnsi="SimSun" w:eastAsia="SimSun" w:cs="SimSun"/>
          <w:sz w:val="17"/>
          <w:szCs w:val="17"/>
          <w:spacing w:val="5"/>
        </w:rPr>
        <w:t xml:space="preserve"> </w:t>
      </w:r>
      <w:r>
        <w:rPr>
          <w:rFonts w:ascii="SimSun" w:hAnsi="SimSun" w:eastAsia="SimSun" w:cs="SimSun"/>
          <w:sz w:val="17"/>
          <w:szCs w:val="17"/>
          <w:spacing w:val="-11"/>
        </w:rPr>
        <w:t>宰</w:t>
      </w:r>
      <w:r>
        <w:rPr>
          <w:rFonts w:ascii="SimSun" w:hAnsi="SimSun" w:eastAsia="SimSun" w:cs="SimSun"/>
          <w:sz w:val="17"/>
          <w:szCs w:val="17"/>
        </w:rPr>
        <w:t xml:space="preserve"> </w:t>
      </w:r>
      <w:r>
        <w:rPr>
          <w:rFonts w:ascii="SimSun" w:hAnsi="SimSun" w:eastAsia="SimSun" w:cs="SimSun"/>
          <w:sz w:val="17"/>
          <w:szCs w:val="17"/>
          <w:spacing w:val="-11"/>
        </w:rPr>
        <w:t>按</w:t>
      </w:r>
      <w:r>
        <w:rPr>
          <w:rFonts w:ascii="SimSun" w:hAnsi="SimSun" w:eastAsia="SimSun" w:cs="SimSun"/>
          <w:sz w:val="17"/>
          <w:szCs w:val="17"/>
          <w:spacing w:val="3"/>
        </w:rPr>
        <w:t xml:space="preserve"> </w:t>
      </w:r>
      <w:r>
        <w:rPr>
          <w:rFonts w:ascii="SimSun" w:hAnsi="SimSun" w:eastAsia="SimSun" w:cs="SimSun"/>
          <w:sz w:val="17"/>
          <w:szCs w:val="17"/>
          <w:spacing w:val="-11"/>
        </w:rPr>
        <w:t>照 《</w:t>
      </w:r>
      <w:r>
        <w:rPr>
          <w:rFonts w:ascii="SimSun" w:hAnsi="SimSun" w:eastAsia="SimSun" w:cs="SimSun"/>
          <w:sz w:val="17"/>
          <w:szCs w:val="17"/>
          <w:spacing w:val="19"/>
        </w:rPr>
        <w:t xml:space="preserve"> </w:t>
      </w:r>
      <w:r>
        <w:rPr>
          <w:rFonts w:ascii="SimSun" w:hAnsi="SimSun" w:eastAsia="SimSun" w:cs="SimSun"/>
          <w:sz w:val="17"/>
          <w:szCs w:val="17"/>
          <w:spacing w:val="-11"/>
        </w:rPr>
        <w:t>牛</w:t>
      </w:r>
      <w:r>
        <w:rPr>
          <w:rFonts w:ascii="SimSun" w:hAnsi="SimSun" w:eastAsia="SimSun" w:cs="SimSun"/>
          <w:sz w:val="17"/>
          <w:szCs w:val="17"/>
          <w:spacing w:val="4"/>
        </w:rPr>
        <w:t xml:space="preserve"> </w:t>
      </w:r>
      <w:r>
        <w:rPr>
          <w:rFonts w:ascii="SimSun" w:hAnsi="SimSun" w:eastAsia="SimSun" w:cs="SimSun"/>
          <w:sz w:val="17"/>
          <w:szCs w:val="17"/>
          <w:spacing w:val="-11"/>
        </w:rPr>
        <w:t>羊</w:t>
      </w:r>
      <w:r>
        <w:rPr>
          <w:rFonts w:ascii="SimSun" w:hAnsi="SimSun" w:eastAsia="SimSun" w:cs="SimSun"/>
          <w:sz w:val="17"/>
          <w:szCs w:val="17"/>
          <w:spacing w:val="-2"/>
        </w:rPr>
        <w:t xml:space="preserve"> </w:t>
      </w:r>
      <w:r>
        <w:rPr>
          <w:rFonts w:ascii="SimSun" w:hAnsi="SimSun" w:eastAsia="SimSun" w:cs="SimSun"/>
          <w:sz w:val="17"/>
          <w:szCs w:val="17"/>
          <w:spacing w:val="-11"/>
        </w:rPr>
        <w:t>屠</w:t>
      </w:r>
      <w:r>
        <w:rPr>
          <w:rFonts w:ascii="SimSun" w:hAnsi="SimSun" w:eastAsia="SimSun" w:cs="SimSun"/>
          <w:sz w:val="17"/>
          <w:szCs w:val="17"/>
          <w:spacing w:val="6"/>
        </w:rPr>
        <w:t xml:space="preserve"> </w:t>
      </w:r>
      <w:r>
        <w:rPr>
          <w:rFonts w:ascii="SimSun" w:hAnsi="SimSun" w:eastAsia="SimSun" w:cs="SimSun"/>
          <w:sz w:val="17"/>
          <w:szCs w:val="17"/>
          <w:spacing w:val="-11"/>
        </w:rPr>
        <w:t>宰</w:t>
      </w:r>
      <w:r>
        <w:rPr>
          <w:rFonts w:ascii="SimSun" w:hAnsi="SimSun" w:eastAsia="SimSun" w:cs="SimSun"/>
          <w:sz w:val="17"/>
          <w:szCs w:val="17"/>
          <w:spacing w:val="1"/>
        </w:rPr>
        <w:t xml:space="preserve"> </w:t>
      </w:r>
      <w:r>
        <w:rPr>
          <w:rFonts w:ascii="SimSun" w:hAnsi="SimSun" w:eastAsia="SimSun" w:cs="SimSun"/>
          <w:sz w:val="17"/>
          <w:szCs w:val="17"/>
          <w:spacing w:val="-11"/>
        </w:rPr>
        <w:t>与</w:t>
      </w:r>
      <w:r>
        <w:rPr>
          <w:rFonts w:ascii="SimSun" w:hAnsi="SimSun" w:eastAsia="SimSun" w:cs="SimSun"/>
          <w:sz w:val="17"/>
          <w:szCs w:val="17"/>
          <w:spacing w:val="1"/>
        </w:rPr>
        <w:t xml:space="preserve"> </w:t>
      </w:r>
      <w:r>
        <w:rPr>
          <w:rFonts w:ascii="SimSun" w:hAnsi="SimSun" w:eastAsia="SimSun" w:cs="SimSun"/>
          <w:sz w:val="17"/>
          <w:szCs w:val="17"/>
          <w:spacing w:val="-11"/>
        </w:rPr>
        <w:t>分</w:t>
      </w:r>
      <w:r>
        <w:rPr>
          <w:rFonts w:ascii="SimSun" w:hAnsi="SimSun" w:eastAsia="SimSun" w:cs="SimSun"/>
          <w:sz w:val="17"/>
          <w:szCs w:val="17"/>
          <w:spacing w:val="-1"/>
        </w:rPr>
        <w:t xml:space="preserve"> </w:t>
      </w:r>
      <w:r>
        <w:rPr>
          <w:rFonts w:ascii="SimSun" w:hAnsi="SimSun" w:eastAsia="SimSun" w:cs="SimSun"/>
          <w:sz w:val="17"/>
          <w:szCs w:val="17"/>
          <w:spacing w:val="-11"/>
        </w:rPr>
        <w:t>割</w:t>
      </w:r>
      <w:r>
        <w:rPr>
          <w:rFonts w:ascii="SimSun" w:hAnsi="SimSun" w:eastAsia="SimSun" w:cs="SimSun"/>
          <w:sz w:val="17"/>
          <w:szCs w:val="17"/>
          <w:spacing w:val="-1"/>
        </w:rPr>
        <w:t xml:space="preserve"> </w:t>
      </w:r>
      <w:r>
        <w:rPr>
          <w:rFonts w:ascii="SimSun" w:hAnsi="SimSun" w:eastAsia="SimSun" w:cs="SimSun"/>
          <w:sz w:val="17"/>
          <w:szCs w:val="17"/>
          <w:spacing w:val="-11"/>
        </w:rPr>
        <w:t>车</w:t>
      </w:r>
      <w:r>
        <w:rPr>
          <w:rFonts w:ascii="SimSun" w:hAnsi="SimSun" w:eastAsia="SimSun" w:cs="SimSun"/>
          <w:sz w:val="17"/>
          <w:szCs w:val="17"/>
          <w:spacing w:val="12"/>
        </w:rPr>
        <w:t xml:space="preserve"> </w:t>
      </w:r>
      <w:r>
        <w:rPr>
          <w:rFonts w:ascii="SimSun" w:hAnsi="SimSun" w:eastAsia="SimSun" w:cs="SimSun"/>
          <w:sz w:val="17"/>
          <w:szCs w:val="17"/>
          <w:spacing w:val="-11"/>
        </w:rPr>
        <w:t>间</w:t>
      </w:r>
      <w:r>
        <w:rPr>
          <w:rFonts w:ascii="SimSun" w:hAnsi="SimSun" w:eastAsia="SimSun" w:cs="SimSun"/>
          <w:sz w:val="17"/>
          <w:szCs w:val="17"/>
          <w:spacing w:val="1"/>
        </w:rPr>
        <w:t xml:space="preserve"> </w:t>
      </w:r>
      <w:r>
        <w:rPr>
          <w:rFonts w:ascii="SimSun" w:hAnsi="SimSun" w:eastAsia="SimSun" w:cs="SimSun"/>
          <w:sz w:val="17"/>
          <w:szCs w:val="17"/>
          <w:spacing w:val="-11"/>
        </w:rPr>
        <w:t>设</w:t>
      </w:r>
    </w:p>
    <w:p>
      <w:pPr>
        <w:ind w:left="20"/>
        <w:spacing w:before="249" w:line="212" w:lineRule="auto"/>
        <w:rPr>
          <w:rFonts w:ascii="Times New Roman" w:hAnsi="Times New Roman" w:eastAsia="Times New Roman" w:cs="Times New Roman"/>
          <w:sz w:val="17"/>
          <w:szCs w:val="17"/>
        </w:rPr>
      </w:pPr>
      <w:r>
        <w:rPr>
          <w:rFonts w:ascii="SimSun" w:hAnsi="SimSun" w:eastAsia="SimSun" w:cs="SimSun"/>
          <w:sz w:val="13"/>
          <w:szCs w:val="13"/>
          <w:spacing w:val="-3"/>
        </w:rPr>
        <w:t>计  规  范</w:t>
      </w:r>
      <w:r>
        <w:rPr>
          <w:rFonts w:ascii="SimSun" w:hAnsi="SimSun" w:eastAsia="SimSun" w:cs="SimSun"/>
          <w:sz w:val="13"/>
          <w:szCs w:val="13"/>
          <w:spacing w:val="12"/>
        </w:rPr>
        <w:t xml:space="preserve">  </w:t>
      </w:r>
      <w:r>
        <w:rPr>
          <w:rFonts w:ascii="SimSun" w:hAnsi="SimSun" w:eastAsia="SimSun" w:cs="SimSun"/>
          <w:sz w:val="13"/>
          <w:szCs w:val="13"/>
          <w:spacing w:val="-3"/>
        </w:rPr>
        <w:t>》  </w:t>
      </w:r>
      <w:r>
        <w:rPr>
          <w:rFonts w:ascii="Times New Roman" w:hAnsi="Times New Roman" w:eastAsia="Times New Roman" w:cs="Times New Roman"/>
          <w:sz w:val="17"/>
          <w:szCs w:val="17"/>
          <w:spacing w:val="-3"/>
        </w:rPr>
        <w:t>(GB51225-2017)</w:t>
      </w:r>
      <w:r>
        <w:rPr>
          <w:rFonts w:ascii="SimSun" w:hAnsi="SimSun" w:eastAsia="SimSun" w:cs="SimSun"/>
          <w:sz w:val="17"/>
          <w:szCs w:val="17"/>
          <w:spacing w:val="-3"/>
        </w:rPr>
        <w:t>、《           畜 禽 屠 宰 操</w:t>
      </w:r>
      <w:r>
        <w:rPr>
          <w:rFonts w:ascii="SimSun" w:hAnsi="SimSun" w:eastAsia="SimSun" w:cs="SimSun"/>
          <w:sz w:val="17"/>
          <w:szCs w:val="17"/>
          <w:spacing w:val="9"/>
        </w:rPr>
        <w:t xml:space="preserve"> </w:t>
      </w:r>
      <w:r>
        <w:rPr>
          <w:rFonts w:ascii="SimSun" w:hAnsi="SimSun" w:eastAsia="SimSun" w:cs="SimSun"/>
          <w:sz w:val="17"/>
          <w:szCs w:val="17"/>
          <w:spacing w:val="-3"/>
        </w:rPr>
        <w:t>作</w:t>
      </w:r>
      <w:r>
        <w:rPr>
          <w:rFonts w:ascii="SimSun" w:hAnsi="SimSun" w:eastAsia="SimSun" w:cs="SimSun"/>
          <w:sz w:val="17"/>
          <w:szCs w:val="17"/>
          <w:spacing w:val="8"/>
        </w:rPr>
        <w:t xml:space="preserve"> </w:t>
      </w:r>
      <w:r>
        <w:rPr>
          <w:rFonts w:ascii="SimSun" w:hAnsi="SimSun" w:eastAsia="SimSun" w:cs="SimSun"/>
          <w:sz w:val="17"/>
          <w:szCs w:val="17"/>
          <w:spacing w:val="-3"/>
        </w:rPr>
        <w:t>规</w:t>
      </w:r>
      <w:r>
        <w:rPr>
          <w:rFonts w:ascii="SimSun" w:hAnsi="SimSun" w:eastAsia="SimSun" w:cs="SimSun"/>
          <w:sz w:val="17"/>
          <w:szCs w:val="17"/>
          <w:spacing w:val="6"/>
        </w:rPr>
        <w:t xml:space="preserve"> </w:t>
      </w:r>
      <w:r>
        <w:rPr>
          <w:rFonts w:ascii="SimSun" w:hAnsi="SimSun" w:eastAsia="SimSun" w:cs="SimSun"/>
          <w:sz w:val="17"/>
          <w:szCs w:val="17"/>
          <w:spacing w:val="-3"/>
        </w:rPr>
        <w:t>程</w:t>
      </w:r>
      <w:r>
        <w:rPr>
          <w:rFonts w:ascii="SimSun" w:hAnsi="SimSun" w:eastAsia="SimSun" w:cs="SimSun"/>
          <w:sz w:val="17"/>
          <w:szCs w:val="17"/>
          <w:spacing w:val="11"/>
        </w:rPr>
        <w:t xml:space="preserve"> </w:t>
      </w:r>
      <w:r>
        <w:rPr>
          <w:rFonts w:ascii="SimSun" w:hAnsi="SimSun" w:eastAsia="SimSun" w:cs="SimSun"/>
          <w:sz w:val="17"/>
          <w:szCs w:val="17"/>
          <w:spacing w:val="-3"/>
        </w:rPr>
        <w:t>牛</w:t>
      </w:r>
      <w:r>
        <w:rPr>
          <w:rFonts w:ascii="SimSun" w:hAnsi="SimSun" w:eastAsia="SimSun" w:cs="SimSun"/>
          <w:sz w:val="17"/>
          <w:szCs w:val="17"/>
          <w:spacing w:val="17"/>
        </w:rPr>
        <w:t xml:space="preserve"> </w:t>
      </w:r>
      <w:r>
        <w:rPr>
          <w:rFonts w:ascii="SimSun" w:hAnsi="SimSun" w:eastAsia="SimSun" w:cs="SimSun"/>
          <w:sz w:val="17"/>
          <w:szCs w:val="17"/>
          <w:spacing w:val="-3"/>
        </w:rPr>
        <w:t>》</w:t>
      </w:r>
      <w:r>
        <w:rPr>
          <w:rFonts w:ascii="SimSun" w:hAnsi="SimSun" w:eastAsia="SimSun" w:cs="SimSun"/>
          <w:sz w:val="17"/>
          <w:szCs w:val="17"/>
          <w:spacing w:val="3"/>
        </w:rPr>
        <w:t xml:space="preserve"> </w:t>
      </w:r>
      <w:r>
        <w:rPr>
          <w:rFonts w:ascii="Times New Roman" w:hAnsi="Times New Roman" w:eastAsia="Times New Roman" w:cs="Times New Roman"/>
          <w:sz w:val="17"/>
          <w:szCs w:val="17"/>
          <w:spacing w:val="-3"/>
        </w:rPr>
        <w:t>(GB/T                   19477-2018)</w:t>
      </w:r>
    </w:p>
    <w:p>
      <w:pPr>
        <w:ind w:left="10"/>
        <w:spacing w:before="282" w:line="219" w:lineRule="auto"/>
        <w:rPr>
          <w:rFonts w:ascii="SimSun" w:hAnsi="SimSun" w:eastAsia="SimSun" w:cs="SimSun"/>
          <w:sz w:val="17"/>
          <w:szCs w:val="17"/>
        </w:rPr>
      </w:pPr>
      <w:r>
        <w:rPr>
          <w:rFonts w:ascii="SimSun" w:hAnsi="SimSun" w:eastAsia="SimSun" w:cs="SimSun"/>
          <w:sz w:val="17"/>
          <w:szCs w:val="17"/>
          <w:spacing w:val="-6"/>
        </w:rPr>
        <w:t>的 相 关 要 求 进 行 ， 采 用 机 械 化 屠 宰 流 水 线 ， 包 括 屠 宰 、 分 割 </w:t>
      </w:r>
      <w:r>
        <w:rPr>
          <w:rFonts w:ascii="SimSun" w:hAnsi="SimSun" w:eastAsia="SimSun" w:cs="SimSun"/>
          <w:sz w:val="17"/>
          <w:szCs w:val="17"/>
          <w:spacing w:val="-7"/>
        </w:rPr>
        <w:t>、 加 工 和 冷 藏 工</w:t>
      </w:r>
    </w:p>
    <w:p>
      <w:pPr>
        <w:ind w:left="30"/>
        <w:spacing w:before="269" w:line="219" w:lineRule="auto"/>
        <w:rPr>
          <w:rFonts w:ascii="SimSun" w:hAnsi="SimSun" w:eastAsia="SimSun" w:cs="SimSun"/>
          <w:sz w:val="17"/>
          <w:szCs w:val="17"/>
        </w:rPr>
      </w:pPr>
      <w:r>
        <w:rPr>
          <w:rFonts w:ascii="SimSun" w:hAnsi="SimSun" w:eastAsia="SimSun" w:cs="SimSun"/>
          <w:sz w:val="17"/>
          <w:szCs w:val="17"/>
          <w:spacing w:val="-9"/>
        </w:rPr>
        <w:t>艺 。 项</w:t>
      </w:r>
      <w:r>
        <w:rPr>
          <w:rFonts w:ascii="SimSun" w:hAnsi="SimSun" w:eastAsia="SimSun" w:cs="SimSun"/>
          <w:sz w:val="17"/>
          <w:szCs w:val="17"/>
          <w:spacing w:val="38"/>
        </w:rPr>
        <w:t xml:space="preserve"> </w:t>
      </w:r>
      <w:r>
        <w:rPr>
          <w:rFonts w:ascii="SimSun" w:hAnsi="SimSun" w:eastAsia="SimSun" w:cs="SimSun"/>
          <w:sz w:val="17"/>
          <w:szCs w:val="17"/>
          <w:spacing w:val="-9"/>
        </w:rPr>
        <w:t>目 肉</w:t>
      </w:r>
      <w:r>
        <w:rPr>
          <w:rFonts w:ascii="SimSun" w:hAnsi="SimSun" w:eastAsia="SimSun" w:cs="SimSun"/>
          <w:sz w:val="17"/>
          <w:szCs w:val="17"/>
          <w:spacing w:val="-3"/>
        </w:rPr>
        <w:t xml:space="preserve"> </w:t>
      </w:r>
      <w:r>
        <w:rPr>
          <w:rFonts w:ascii="SimSun" w:hAnsi="SimSun" w:eastAsia="SimSun" w:cs="SimSun"/>
          <w:sz w:val="17"/>
          <w:szCs w:val="17"/>
          <w:spacing w:val="-9"/>
        </w:rPr>
        <w:t>牛 屠</w:t>
      </w:r>
      <w:r>
        <w:rPr>
          <w:rFonts w:ascii="SimSun" w:hAnsi="SimSun" w:eastAsia="SimSun" w:cs="SimSun"/>
          <w:sz w:val="17"/>
          <w:szCs w:val="17"/>
        </w:rPr>
        <w:t xml:space="preserve"> </w:t>
      </w:r>
      <w:r>
        <w:rPr>
          <w:rFonts w:ascii="SimSun" w:hAnsi="SimSun" w:eastAsia="SimSun" w:cs="SimSun"/>
          <w:sz w:val="17"/>
          <w:szCs w:val="17"/>
          <w:spacing w:val="-9"/>
        </w:rPr>
        <w:t>宰 工</w:t>
      </w:r>
      <w:r>
        <w:rPr>
          <w:rFonts w:ascii="SimSun" w:hAnsi="SimSun" w:eastAsia="SimSun" w:cs="SimSun"/>
          <w:sz w:val="17"/>
          <w:szCs w:val="17"/>
          <w:spacing w:val="-3"/>
        </w:rPr>
        <w:t xml:space="preserve"> </w:t>
      </w:r>
      <w:r>
        <w:rPr>
          <w:rFonts w:ascii="SimSun" w:hAnsi="SimSun" w:eastAsia="SimSun" w:cs="SimSun"/>
          <w:sz w:val="17"/>
          <w:szCs w:val="17"/>
          <w:spacing w:val="-9"/>
        </w:rPr>
        <w:t>艺 流 程 及 产 污 环 节 见 下</w:t>
      </w:r>
      <w:r>
        <w:rPr>
          <w:rFonts w:ascii="SimSun" w:hAnsi="SimSun" w:eastAsia="SimSun" w:cs="SimSun"/>
          <w:sz w:val="17"/>
          <w:szCs w:val="17"/>
          <w:spacing w:val="10"/>
        </w:rPr>
        <w:t xml:space="preserve"> </w:t>
      </w:r>
      <w:r>
        <w:rPr>
          <w:rFonts w:ascii="SimSun" w:hAnsi="SimSun" w:eastAsia="SimSun" w:cs="SimSun"/>
          <w:sz w:val="17"/>
          <w:szCs w:val="17"/>
          <w:spacing w:val="-9"/>
        </w:rPr>
        <w:t>图 。</w:t>
      </w:r>
    </w:p>
    <w:p>
      <w:pPr>
        <w:spacing w:before="21"/>
        <w:rPr/>
      </w:pPr>
      <w:r/>
    </w:p>
    <w:p>
      <w:pPr>
        <w:sectPr>
          <w:headerReference w:type="default" r:id="rId263"/>
          <w:footerReference w:type="default" r:id="rId264"/>
          <w:pgSz w:w="11910" w:h="16840"/>
          <w:pgMar w:top="1204" w:right="1786" w:bottom="976" w:left="1779" w:header="939" w:footer="755" w:gutter="0"/>
          <w:cols w:equalWidth="0" w:num="1">
            <w:col w:w="8344" w:space="0"/>
          </w:cols>
        </w:sectPr>
        <w:rPr/>
      </w:pPr>
    </w:p>
    <w:p>
      <w:pPr>
        <w:pStyle w:val="BodyText"/>
        <w:spacing w:line="418" w:lineRule="auto"/>
        <w:rPr/>
      </w:pPr>
      <w:r/>
    </w:p>
    <w:p>
      <w:pPr>
        <w:ind w:left="420"/>
        <w:spacing w:before="43" w:line="219" w:lineRule="auto"/>
        <w:rPr>
          <w:rFonts w:ascii="SimSun" w:hAnsi="SimSun" w:eastAsia="SimSun" w:cs="SimSun"/>
          <w:sz w:val="13"/>
          <w:szCs w:val="13"/>
        </w:rPr>
      </w:pPr>
      <w:r>
        <w:rPr>
          <w:rFonts w:ascii="Times New Roman" w:hAnsi="Times New Roman" w:eastAsia="Times New Roman" w:cs="Times New Roman"/>
          <w:sz w:val="13"/>
          <w:szCs w:val="13"/>
        </w:rPr>
        <w:t>Sz</w:t>
      </w:r>
      <w:r>
        <w:rPr>
          <w:rFonts w:ascii="Times New Roman" w:hAnsi="Times New Roman" w:eastAsia="Times New Roman" w:cs="Times New Roman"/>
          <w:sz w:val="13"/>
          <w:szCs w:val="13"/>
          <w:spacing w:val="4"/>
        </w:rPr>
        <w:t>-5:</w:t>
      </w:r>
      <w:r>
        <w:rPr>
          <w:rFonts w:ascii="SimSun" w:hAnsi="SimSun" w:eastAsia="SimSun" w:cs="SimSun"/>
          <w:sz w:val="13"/>
          <w:szCs w:val="13"/>
          <w:spacing w:val="4"/>
        </w:rPr>
        <w:t>不可食用肉类←</w:t>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3" w:lineRule="auto"/>
        <w:rPr/>
      </w:pPr>
      <w:r/>
    </w:p>
    <w:p>
      <w:pPr>
        <w:pStyle w:val="BodyText"/>
        <w:spacing w:line="263" w:lineRule="auto"/>
        <w:rPr/>
      </w:pPr>
      <w:r/>
    </w:p>
    <w:p>
      <w:pPr>
        <w:pStyle w:val="BodyText"/>
        <w:spacing w:line="263" w:lineRule="auto"/>
        <w:rPr/>
      </w:pPr>
      <w:r/>
    </w:p>
    <w:p>
      <w:pPr>
        <w:pStyle w:val="BodyText"/>
        <w:spacing w:line="263" w:lineRule="auto"/>
        <w:rPr/>
      </w:pPr>
      <w:r/>
    </w:p>
    <w:p>
      <w:pPr>
        <w:ind w:left="440"/>
        <w:spacing w:before="43" w:line="219" w:lineRule="auto"/>
        <w:rPr>
          <w:rFonts w:ascii="SimSun" w:hAnsi="SimSun" w:eastAsia="SimSun" w:cs="SimSun"/>
          <w:sz w:val="13"/>
          <w:szCs w:val="13"/>
        </w:rPr>
      </w:pPr>
      <w:r>
        <w:rPr>
          <w:rFonts w:ascii="Times New Roman" w:hAnsi="Times New Roman" w:eastAsia="Times New Roman" w:cs="Times New Roman"/>
          <w:sz w:val="13"/>
          <w:szCs w:val="13"/>
        </w:rPr>
        <w:t>Sz</w:t>
      </w:r>
      <w:r>
        <w:rPr>
          <w:rFonts w:ascii="Times New Roman" w:hAnsi="Times New Roman" w:eastAsia="Times New Roman" w:cs="Times New Roman"/>
          <w:sz w:val="13"/>
          <w:szCs w:val="13"/>
          <w:spacing w:val="4"/>
        </w:rPr>
        <w:t>-5:</w:t>
      </w:r>
      <w:r>
        <w:rPr>
          <w:rFonts w:ascii="SimSun" w:hAnsi="SimSun" w:eastAsia="SimSun" w:cs="SimSun"/>
          <w:sz w:val="13"/>
          <w:szCs w:val="13"/>
          <w:spacing w:val="4"/>
        </w:rPr>
        <w:t>不可食用肉类←</w:t>
      </w:r>
    </w:p>
    <w:p>
      <w:pPr>
        <w:spacing w:before="131"/>
        <w:rPr/>
      </w:pPr>
      <w:r/>
    </w:p>
    <w:p>
      <w:pPr>
        <w:pStyle w:val="BodyText"/>
        <w:spacing w:line="14" w:lineRule="auto"/>
        <w:rPr>
          <w:sz w:val="2"/>
        </w:rPr>
      </w:pPr>
      <w:r>
        <w:rPr>
          <w:sz w:val="2"/>
          <w:szCs w:val="2"/>
        </w:rPr>
        <w:br w:type="column"/>
      </w:r>
    </w:p>
    <w:p>
      <w:pPr>
        <w:pStyle w:val="BodyText"/>
        <w:spacing w:line="357" w:lineRule="auto"/>
        <w:rPr/>
      </w:pPr>
      <w:r/>
    </w:p>
    <w:p>
      <w:pPr>
        <w:ind w:left="1180"/>
        <w:spacing w:before="43" w:line="219" w:lineRule="auto"/>
        <w:rPr>
          <w:rFonts w:ascii="SimSun" w:hAnsi="SimSun" w:eastAsia="SimSun" w:cs="SimSun"/>
          <w:sz w:val="13"/>
          <w:szCs w:val="13"/>
        </w:rPr>
      </w:pPr>
      <w:r>
        <w:rPr>
          <w:rFonts w:ascii="SimSun" w:hAnsi="SimSun" w:eastAsia="SimSun" w:cs="SimSun"/>
          <w:sz w:val="13"/>
          <w:szCs w:val="13"/>
          <w:spacing w:val="4"/>
        </w:rPr>
        <w:t>急宰肉牛</w:t>
      </w:r>
    </w:p>
    <w:p>
      <w:pPr>
        <w:ind w:left="340"/>
        <w:spacing w:before="6" w:line="219" w:lineRule="auto"/>
        <w:rPr>
          <w:rFonts w:ascii="SimSun" w:hAnsi="SimSun" w:eastAsia="SimSun" w:cs="SimSun"/>
          <w:sz w:val="13"/>
          <w:szCs w:val="13"/>
        </w:rPr>
      </w:pPr>
      <w:r>
        <w:rPr>
          <w:rFonts w:ascii="SimSun" w:hAnsi="SimSun" w:eastAsia="SimSun" w:cs="SimSun"/>
          <w:sz w:val="13"/>
          <w:szCs w:val="13"/>
          <w:spacing w:val="-5"/>
        </w:rPr>
        <w:t>急</w:t>
      </w:r>
      <w:r>
        <w:rPr>
          <w:rFonts w:ascii="SimSun" w:hAnsi="SimSun" w:eastAsia="SimSun" w:cs="SimSun"/>
          <w:sz w:val="13"/>
          <w:szCs w:val="13"/>
          <w:spacing w:val="44"/>
          <w:w w:val="101"/>
        </w:rPr>
        <w:t xml:space="preserve"> </w:t>
      </w:r>
      <w:r>
        <w:rPr>
          <w:rFonts w:ascii="SimSun" w:hAnsi="SimSun" w:eastAsia="SimSun" w:cs="SimSun"/>
          <w:sz w:val="13"/>
          <w:szCs w:val="13"/>
          <w:spacing w:val="-5"/>
        </w:rPr>
        <w:t>宰</w:t>
      </w:r>
    </w:p>
    <w:p>
      <w:pPr>
        <w:pStyle w:val="BodyText"/>
        <w:spacing w:line="291" w:lineRule="auto"/>
        <w:rPr/>
      </w:pPr>
      <w:r/>
    </w:p>
    <w:p>
      <w:pPr>
        <w:spacing w:before="55" w:line="221" w:lineRule="auto"/>
        <w:rPr>
          <w:rFonts w:ascii="SimSun" w:hAnsi="SimSun" w:eastAsia="SimSun" w:cs="SimSun"/>
          <w:sz w:val="17"/>
          <w:szCs w:val="17"/>
        </w:rPr>
      </w:pPr>
      <w:r>
        <w:rPr>
          <w:rFonts w:ascii="SimSun" w:hAnsi="SimSun" w:eastAsia="SimSun" w:cs="SimSun"/>
          <w:sz w:val="17"/>
          <w:szCs w:val="17"/>
          <w:spacing w:val="11"/>
        </w:rPr>
        <w:t>进入排酸工序</w:t>
      </w:r>
    </w:p>
    <w:p>
      <w:pPr>
        <w:pStyle w:val="BodyText"/>
        <w:spacing w:line="286" w:lineRule="auto"/>
        <w:rPr/>
      </w:pPr>
      <w:r/>
    </w:p>
    <w:p>
      <w:pPr>
        <w:pStyle w:val="BodyText"/>
        <w:spacing w:line="286" w:lineRule="auto"/>
        <w:rPr/>
      </w:pPr>
      <w:r/>
    </w:p>
    <w:p>
      <w:pPr>
        <w:pStyle w:val="BodyText"/>
        <w:spacing w:line="286" w:lineRule="auto"/>
        <w:rPr/>
      </w:pPr>
      <w:r/>
    </w:p>
    <w:p>
      <w:pPr>
        <w:pStyle w:val="BodyText"/>
        <w:spacing w:line="286" w:lineRule="auto"/>
        <w:rPr/>
      </w:pPr>
      <w:r/>
    </w:p>
    <w:p>
      <w:pPr>
        <w:ind w:left="1260"/>
        <w:spacing w:before="44" w:line="220" w:lineRule="auto"/>
        <w:rPr>
          <w:rFonts w:ascii="SimSun" w:hAnsi="SimSun" w:eastAsia="SimSun" w:cs="SimSun"/>
          <w:sz w:val="13"/>
          <w:szCs w:val="13"/>
        </w:rPr>
      </w:pPr>
      <w:r>
        <w:pict>
          <v:shape id="_x0000_s94" style="position:absolute;margin-left:8.00395pt;margin-top:4.63066pt;mso-position-vertical-relative:text;mso-position-horizontal-relative:text;width:35.9pt;height:34.75pt;z-index:251990016;" filled="false" stroked="false" type="#_x0000_t202">
            <v:fill on="false"/>
            <v:stroke on="false"/>
            <v:path/>
            <v:imagedata o:title=""/>
            <o:lock v:ext="edit" aspectratio="false"/>
            <v:textbox inset="0mm,0mm,0mm,0mm">
              <w:txbxContent>
                <w:p>
                  <w:pPr>
                    <w:ind w:left="30"/>
                    <w:spacing w:before="20" w:line="219" w:lineRule="auto"/>
                    <w:rPr>
                      <w:rFonts w:ascii="SimSun" w:hAnsi="SimSun" w:eastAsia="SimSun" w:cs="SimSun"/>
                      <w:sz w:val="13"/>
                      <w:szCs w:val="13"/>
                    </w:rPr>
                  </w:pPr>
                  <w:r>
                    <w:rPr>
                      <w:rFonts w:ascii="SimSun" w:hAnsi="SimSun" w:eastAsia="SimSun" w:cs="SimSun"/>
                      <w:sz w:val="13"/>
                      <w:szCs w:val="13"/>
                      <w:spacing w:val="-6"/>
                    </w:rPr>
                    <w:t>收</w:t>
                  </w:r>
                  <w:r>
                    <w:rPr>
                      <w:rFonts w:ascii="SimSun" w:hAnsi="SimSun" w:eastAsia="SimSun" w:cs="SimSun"/>
                      <w:sz w:val="13"/>
                      <w:szCs w:val="13"/>
                      <w:spacing w:val="-7"/>
                    </w:rPr>
                    <w:t xml:space="preserve"> </w:t>
                  </w:r>
                  <w:r>
                    <w:rPr>
                      <w:rFonts w:ascii="SimSun" w:hAnsi="SimSun" w:eastAsia="SimSun" w:cs="SimSun"/>
                      <w:sz w:val="13"/>
                      <w:szCs w:val="13"/>
                      <w:spacing w:val="-6"/>
                    </w:rPr>
                    <w:t>集 外</w:t>
                  </w:r>
                  <w:r>
                    <w:rPr>
                      <w:rFonts w:ascii="SimSun" w:hAnsi="SimSun" w:eastAsia="SimSun" w:cs="SimSun"/>
                      <w:sz w:val="13"/>
                      <w:szCs w:val="13"/>
                      <w:spacing w:val="-7"/>
                    </w:rPr>
                    <w:t xml:space="preserve"> </w:t>
                  </w:r>
                  <w:r>
                    <w:rPr>
                      <w:rFonts w:ascii="SimSun" w:hAnsi="SimSun" w:eastAsia="SimSun" w:cs="SimSun"/>
                      <w:sz w:val="13"/>
                      <w:szCs w:val="13"/>
                      <w:spacing w:val="-6"/>
                    </w:rPr>
                    <w:t>售</w:t>
                  </w:r>
                </w:p>
                <w:p>
                  <w:pPr>
                    <w:pStyle w:val="BodyText"/>
                    <w:spacing w:line="301" w:lineRule="auto"/>
                    <w:rPr/>
                  </w:pPr>
                  <w:r/>
                </w:p>
                <w:p>
                  <w:pPr>
                    <w:ind w:left="20"/>
                    <w:spacing w:before="43" w:line="219" w:lineRule="auto"/>
                    <w:rPr>
                      <w:rFonts w:ascii="SimSun" w:hAnsi="SimSun" w:eastAsia="SimSun" w:cs="SimSun"/>
                      <w:sz w:val="13"/>
                      <w:szCs w:val="13"/>
                    </w:rPr>
                  </w:pPr>
                  <w:r>
                    <w:rPr>
                      <w:rFonts w:ascii="SimSun" w:hAnsi="SimSun" w:eastAsia="SimSun" w:cs="SimSun"/>
                      <w:sz w:val="13"/>
                      <w:szCs w:val="13"/>
                      <w:spacing w:val="-5"/>
                    </w:rPr>
                    <w:t>收 集 外 售</w:t>
                  </w:r>
                </w:p>
              </w:txbxContent>
            </v:textbox>
          </v:shape>
        </w:pict>
      </w:r>
      <w:r>
        <w:rPr>
          <w:rFonts w:ascii="SimSun" w:hAnsi="SimSun" w:eastAsia="SimSun" w:cs="SimSun"/>
          <w:sz w:val="13"/>
          <w:szCs w:val="13"/>
          <w:spacing w:val="-4"/>
        </w:rPr>
        <w:t>血</w:t>
      </w:r>
      <w:r>
        <w:rPr>
          <w:rFonts w:ascii="SimSun" w:hAnsi="SimSun" w:eastAsia="SimSun" w:cs="SimSun"/>
          <w:sz w:val="13"/>
          <w:szCs w:val="13"/>
          <w:spacing w:val="-17"/>
        </w:rPr>
        <w:t xml:space="preserve"> </w:t>
      </w:r>
      <w:r>
        <w:rPr>
          <w:rFonts w:ascii="SimSun" w:hAnsi="SimSun" w:eastAsia="SimSun" w:cs="SimSun"/>
          <w:sz w:val="13"/>
          <w:szCs w:val="13"/>
          <w:spacing w:val="-4"/>
        </w:rPr>
        <w:t>液</w:t>
      </w:r>
    </w:p>
    <w:p>
      <w:pPr>
        <w:pStyle w:val="BodyText"/>
        <w:spacing w:line="289" w:lineRule="auto"/>
        <w:rPr/>
      </w:pPr>
      <w:r/>
    </w:p>
    <w:p>
      <w:pPr>
        <w:spacing w:before="55" w:line="219" w:lineRule="auto"/>
        <w:jc w:val="right"/>
        <w:rPr>
          <w:rFonts w:ascii="SimSun" w:hAnsi="SimSun" w:eastAsia="SimSun" w:cs="SimSun"/>
          <w:sz w:val="17"/>
          <w:szCs w:val="17"/>
        </w:rPr>
      </w:pPr>
      <w:r>
        <w:rPr>
          <w:rFonts w:ascii="SimSun" w:hAnsi="SimSun" w:eastAsia="SimSun" w:cs="SimSun"/>
          <w:sz w:val="17"/>
          <w:szCs w:val="17"/>
          <w:spacing w:val="-28"/>
          <w:w w:val="97"/>
        </w:rPr>
        <w:t>头、蹄、</w:t>
      </w:r>
      <w:r>
        <w:rPr>
          <w:rFonts w:ascii="SimSun" w:hAnsi="SimSun" w:eastAsia="SimSun" w:cs="SimSun"/>
          <w:sz w:val="17"/>
          <w:szCs w:val="17"/>
          <w:spacing w:val="-8"/>
          <w:w w:val="97"/>
        </w:rPr>
        <w:t>尾</w:t>
      </w:r>
    </w:p>
    <w:p>
      <w:pPr>
        <w:pStyle w:val="BodyText"/>
        <w:spacing w:line="14" w:lineRule="auto"/>
        <w:rPr>
          <w:sz w:val="2"/>
        </w:rPr>
      </w:pPr>
      <w:r>
        <w:rPr>
          <w:sz w:val="2"/>
          <w:szCs w:val="2"/>
        </w:rPr>
        <w:br w:type="column"/>
      </w:r>
    </w:p>
    <w:p>
      <w:pPr>
        <w:ind w:left="140"/>
        <w:spacing w:before="33" w:line="220" w:lineRule="auto"/>
        <w:rPr>
          <w:rFonts w:ascii="SimSun" w:hAnsi="SimSun" w:eastAsia="SimSun" w:cs="SimSun"/>
          <w:sz w:val="13"/>
          <w:szCs w:val="13"/>
        </w:rPr>
      </w:pPr>
      <w:r>
        <w:rPr>
          <w:rFonts w:ascii="SimSun" w:hAnsi="SimSun" w:eastAsia="SimSun" w:cs="SimSun"/>
          <w:sz w:val="13"/>
          <w:szCs w:val="13"/>
          <w:spacing w:val="-7"/>
        </w:rPr>
        <w:t>肉 牛 进 场</w:t>
      </w:r>
    </w:p>
    <w:p>
      <w:pPr>
        <w:pStyle w:val="BodyText"/>
        <w:spacing w:line="261" w:lineRule="auto"/>
        <w:rPr/>
      </w:pPr>
      <w:r/>
    </w:p>
    <w:p>
      <w:pPr>
        <w:ind w:left="290"/>
        <w:spacing w:before="42" w:line="177" w:lineRule="exact"/>
        <w:rPr>
          <w:rFonts w:ascii="SimSun" w:hAnsi="SimSun" w:eastAsia="SimSun" w:cs="SimSun"/>
          <w:sz w:val="13"/>
          <w:szCs w:val="13"/>
        </w:rPr>
      </w:pPr>
      <w:r>
        <w:rPr>
          <w:rFonts w:ascii="SimHei" w:hAnsi="SimHei" w:eastAsia="SimHei" w:cs="SimHei"/>
          <w:sz w:val="13"/>
          <w:szCs w:val="13"/>
          <w:spacing w:val="7"/>
          <w:position w:val="1"/>
        </w:rPr>
        <w:t>检</w:t>
      </w:r>
      <w:r>
        <w:rPr>
          <w:rFonts w:ascii="SimSun" w:hAnsi="SimSun" w:eastAsia="SimSun" w:cs="SimSun"/>
          <w:sz w:val="13"/>
          <w:szCs w:val="13"/>
          <w:spacing w:val="7"/>
          <w:position w:val="1"/>
        </w:rPr>
        <w:t>疫</w:t>
      </w:r>
    </w:p>
    <w:p>
      <w:pPr>
        <w:ind w:left="520"/>
        <w:spacing w:before="33" w:line="219" w:lineRule="auto"/>
        <w:rPr>
          <w:rFonts w:ascii="SimSun" w:hAnsi="SimSun" w:eastAsia="SimSun" w:cs="SimSun"/>
          <w:sz w:val="13"/>
          <w:szCs w:val="13"/>
        </w:rPr>
      </w:pPr>
      <w:r>
        <w:rPr>
          <w:rFonts w:ascii="SimSun" w:hAnsi="SimSun" w:eastAsia="SimSun" w:cs="SimSun"/>
          <w:sz w:val="13"/>
          <w:szCs w:val="13"/>
          <w:spacing w:val="6"/>
        </w:rPr>
        <w:t>合格肉牛</w:t>
      </w:r>
    </w:p>
    <w:p>
      <w:pPr>
        <w:ind w:left="110"/>
        <w:spacing w:before="246" w:line="219" w:lineRule="auto"/>
        <w:rPr>
          <w:rFonts w:ascii="SimSun" w:hAnsi="SimSun" w:eastAsia="SimSun" w:cs="SimSun"/>
          <w:sz w:val="13"/>
          <w:szCs w:val="13"/>
        </w:rPr>
      </w:pPr>
      <w:r>
        <w:rPr>
          <w:rFonts w:ascii="SimSun" w:hAnsi="SimSun" w:eastAsia="SimSun" w:cs="SimSun"/>
          <w:sz w:val="13"/>
          <w:szCs w:val="13"/>
          <w:spacing w:val="-7"/>
        </w:rPr>
        <w:t>待</w:t>
      </w:r>
      <w:r>
        <w:rPr>
          <w:rFonts w:ascii="SimSun" w:hAnsi="SimSun" w:eastAsia="SimSun" w:cs="SimSun"/>
          <w:sz w:val="13"/>
          <w:szCs w:val="13"/>
          <w:spacing w:val="10"/>
        </w:rPr>
        <w:t xml:space="preserve"> </w:t>
      </w:r>
      <w:r>
        <w:rPr>
          <w:rFonts w:ascii="SimSun" w:hAnsi="SimSun" w:eastAsia="SimSun" w:cs="SimSun"/>
          <w:sz w:val="13"/>
          <w:szCs w:val="13"/>
          <w:spacing w:val="-7"/>
        </w:rPr>
        <w:t>宰</w:t>
      </w:r>
      <w:r>
        <w:rPr>
          <w:rFonts w:ascii="SimSun" w:hAnsi="SimSun" w:eastAsia="SimSun" w:cs="SimSun"/>
          <w:sz w:val="13"/>
          <w:szCs w:val="13"/>
          <w:spacing w:val="9"/>
        </w:rPr>
        <w:t xml:space="preserve"> </w:t>
      </w:r>
      <w:r>
        <w:rPr>
          <w:rFonts w:ascii="SimSun" w:hAnsi="SimSun" w:eastAsia="SimSun" w:cs="SimSun"/>
          <w:sz w:val="13"/>
          <w:szCs w:val="13"/>
          <w:spacing w:val="-7"/>
        </w:rPr>
        <w:t>暂</w:t>
      </w:r>
      <w:r>
        <w:rPr>
          <w:rFonts w:ascii="SimSun" w:hAnsi="SimSun" w:eastAsia="SimSun" w:cs="SimSun"/>
          <w:sz w:val="13"/>
          <w:szCs w:val="13"/>
          <w:spacing w:val="4"/>
        </w:rPr>
        <w:t xml:space="preserve"> </w:t>
      </w:r>
      <w:r>
        <w:rPr>
          <w:rFonts w:ascii="SimSun" w:hAnsi="SimSun" w:eastAsia="SimSun" w:cs="SimSun"/>
          <w:sz w:val="13"/>
          <w:szCs w:val="13"/>
          <w:spacing w:val="-7"/>
        </w:rPr>
        <w:t>养</w:t>
      </w:r>
    </w:p>
    <w:p>
      <w:pPr>
        <w:pStyle w:val="BodyText"/>
        <w:spacing w:line="300" w:lineRule="auto"/>
        <w:rPr/>
      </w:pPr>
      <w:r/>
    </w:p>
    <w:p>
      <w:pPr>
        <w:spacing w:before="42" w:line="218" w:lineRule="auto"/>
        <w:rPr>
          <w:rFonts w:ascii="SimSun" w:hAnsi="SimSun" w:eastAsia="SimSun" w:cs="SimSun"/>
          <w:sz w:val="13"/>
          <w:szCs w:val="13"/>
        </w:rPr>
      </w:pPr>
      <w:r>
        <w:rPr>
          <w:rFonts w:ascii="SimSun" w:hAnsi="SimSun" w:eastAsia="SimSun" w:cs="SimSun"/>
          <w:sz w:val="13"/>
          <w:szCs w:val="13"/>
          <w:spacing w:val="-6"/>
        </w:rPr>
        <w:t>宰</w:t>
      </w:r>
      <w:r>
        <w:rPr>
          <w:rFonts w:ascii="SimSun" w:hAnsi="SimSun" w:eastAsia="SimSun" w:cs="SimSun"/>
          <w:sz w:val="13"/>
          <w:szCs w:val="13"/>
          <w:spacing w:val="47"/>
        </w:rPr>
        <w:t xml:space="preserve"> </w:t>
      </w:r>
      <w:r>
        <w:rPr>
          <w:rFonts w:ascii="SimSun" w:hAnsi="SimSun" w:eastAsia="SimSun" w:cs="SimSun"/>
          <w:sz w:val="13"/>
          <w:szCs w:val="13"/>
          <w:spacing w:val="-6"/>
        </w:rPr>
        <w:t>前</w:t>
      </w:r>
      <w:r>
        <w:rPr>
          <w:rFonts w:ascii="SimSun" w:hAnsi="SimSun" w:eastAsia="SimSun" w:cs="SimSun"/>
          <w:sz w:val="13"/>
          <w:szCs w:val="13"/>
          <w:spacing w:val="45"/>
          <w:w w:val="101"/>
        </w:rPr>
        <w:t xml:space="preserve"> </w:t>
      </w:r>
      <w:r>
        <w:rPr>
          <w:rFonts w:ascii="SimSun" w:hAnsi="SimSun" w:eastAsia="SimSun" w:cs="SimSun"/>
          <w:sz w:val="13"/>
          <w:szCs w:val="13"/>
          <w:spacing w:val="-6"/>
        </w:rPr>
        <w:t>冲</w:t>
      </w:r>
      <w:r>
        <w:rPr>
          <w:rFonts w:ascii="SimSun" w:hAnsi="SimSun" w:eastAsia="SimSun" w:cs="SimSun"/>
          <w:sz w:val="13"/>
          <w:szCs w:val="13"/>
          <w:spacing w:val="46"/>
        </w:rPr>
        <w:t xml:space="preserve"> </w:t>
      </w:r>
      <w:r>
        <w:rPr>
          <w:rFonts w:ascii="SimSun" w:hAnsi="SimSun" w:eastAsia="SimSun" w:cs="SimSun"/>
          <w:sz w:val="13"/>
          <w:szCs w:val="13"/>
          <w:spacing w:val="-6"/>
        </w:rPr>
        <w:t>淋</w:t>
      </w:r>
    </w:p>
    <w:p>
      <w:pPr>
        <w:pStyle w:val="BodyText"/>
        <w:spacing w:line="303" w:lineRule="auto"/>
        <w:rPr/>
      </w:pPr>
      <w:r/>
    </w:p>
    <w:p>
      <w:pPr>
        <w:ind w:left="120"/>
        <w:spacing w:before="43" w:line="220" w:lineRule="auto"/>
        <w:rPr>
          <w:rFonts w:ascii="SimSun" w:hAnsi="SimSun" w:eastAsia="SimSun" w:cs="SimSun"/>
          <w:sz w:val="13"/>
          <w:szCs w:val="13"/>
        </w:rPr>
      </w:pPr>
      <w:r>
        <w:rPr>
          <w:rFonts w:ascii="SimSun" w:hAnsi="SimSun" w:eastAsia="SimSun" w:cs="SimSun"/>
          <w:sz w:val="13"/>
          <w:szCs w:val="13"/>
          <w:spacing w:val="-7"/>
        </w:rPr>
        <w:t>麻</w:t>
      </w:r>
      <w:r>
        <w:rPr>
          <w:rFonts w:ascii="SimSun" w:hAnsi="SimSun" w:eastAsia="SimSun" w:cs="SimSun"/>
          <w:sz w:val="13"/>
          <w:szCs w:val="13"/>
          <w:spacing w:val="13"/>
        </w:rPr>
        <w:t xml:space="preserve"> </w:t>
      </w:r>
      <w:r>
        <w:rPr>
          <w:rFonts w:ascii="SimSun" w:hAnsi="SimSun" w:eastAsia="SimSun" w:cs="SimSun"/>
          <w:sz w:val="13"/>
          <w:szCs w:val="13"/>
          <w:spacing w:val="-7"/>
        </w:rPr>
        <w:t>电 致</w:t>
      </w:r>
      <w:r>
        <w:rPr>
          <w:rFonts w:ascii="SimSun" w:hAnsi="SimSun" w:eastAsia="SimSun" w:cs="SimSun"/>
          <w:sz w:val="13"/>
          <w:szCs w:val="13"/>
          <w:spacing w:val="14"/>
        </w:rPr>
        <w:t xml:space="preserve"> </w:t>
      </w:r>
      <w:r>
        <w:rPr>
          <w:rFonts w:ascii="SimSun" w:hAnsi="SimSun" w:eastAsia="SimSun" w:cs="SimSun"/>
          <w:sz w:val="13"/>
          <w:szCs w:val="13"/>
          <w:spacing w:val="-7"/>
        </w:rPr>
        <w:t>昏</w:t>
      </w:r>
    </w:p>
    <w:p>
      <w:pPr>
        <w:pStyle w:val="BodyText"/>
        <w:spacing w:line="330" w:lineRule="auto"/>
        <w:rPr/>
      </w:pPr>
      <w:r/>
    </w:p>
    <w:p>
      <w:pPr>
        <w:ind w:left="120"/>
        <w:spacing w:before="43" w:line="219" w:lineRule="auto"/>
        <w:rPr>
          <w:rFonts w:ascii="SimSun" w:hAnsi="SimSun" w:eastAsia="SimSun" w:cs="SimSun"/>
          <w:sz w:val="13"/>
          <w:szCs w:val="13"/>
        </w:rPr>
      </w:pPr>
      <w:r>
        <w:rPr>
          <w:rFonts w:ascii="SimSun" w:hAnsi="SimSun" w:eastAsia="SimSun" w:cs="SimSun"/>
          <w:sz w:val="13"/>
          <w:szCs w:val="13"/>
          <w:spacing w:val="-5"/>
        </w:rPr>
        <w:t>宰 杀</w:t>
      </w:r>
      <w:r>
        <w:rPr>
          <w:rFonts w:ascii="SimSun" w:hAnsi="SimSun" w:eastAsia="SimSun" w:cs="SimSun"/>
          <w:sz w:val="13"/>
          <w:szCs w:val="13"/>
        </w:rPr>
        <w:t xml:space="preserve"> </w:t>
      </w:r>
      <w:r>
        <w:rPr>
          <w:rFonts w:ascii="SimSun" w:hAnsi="SimSun" w:eastAsia="SimSun" w:cs="SimSun"/>
          <w:sz w:val="13"/>
          <w:szCs w:val="13"/>
          <w:spacing w:val="-5"/>
        </w:rPr>
        <w:t>沥</w:t>
      </w:r>
      <w:r>
        <w:rPr>
          <w:rFonts w:ascii="SimSun" w:hAnsi="SimSun" w:eastAsia="SimSun" w:cs="SimSun"/>
          <w:sz w:val="13"/>
          <w:szCs w:val="13"/>
        </w:rPr>
        <w:t xml:space="preserve"> </w:t>
      </w:r>
      <w:r>
        <w:rPr>
          <w:rFonts w:ascii="SimSun" w:hAnsi="SimSun" w:eastAsia="SimSun" w:cs="SimSun"/>
          <w:sz w:val="13"/>
          <w:szCs w:val="13"/>
          <w:spacing w:val="-5"/>
        </w:rPr>
        <w:t>血</w:t>
      </w:r>
    </w:p>
    <w:p>
      <w:pPr>
        <w:ind w:left="40"/>
        <w:spacing w:before="257" w:line="203" w:lineRule="exact"/>
        <w:rPr>
          <w:rFonts w:ascii="SimSun" w:hAnsi="SimSun" w:eastAsia="SimSun" w:cs="SimSun"/>
          <w:sz w:val="13"/>
          <w:szCs w:val="13"/>
        </w:rPr>
      </w:pPr>
      <w:r>
        <w:rPr>
          <w:rFonts w:ascii="SimSun" w:hAnsi="SimSun" w:eastAsia="SimSun" w:cs="SimSun"/>
          <w:sz w:val="13"/>
          <w:szCs w:val="13"/>
          <w:spacing w:val="-11"/>
        </w:rPr>
        <w:t>割</w:t>
      </w:r>
      <w:r>
        <w:rPr>
          <w:rFonts w:ascii="SimSun" w:hAnsi="SimSun" w:eastAsia="SimSun" w:cs="SimSun"/>
          <w:sz w:val="13"/>
          <w:szCs w:val="13"/>
          <w:spacing w:val="12"/>
        </w:rPr>
        <w:t xml:space="preserve"> </w:t>
      </w:r>
      <w:r>
        <w:rPr>
          <w:rFonts w:ascii="SimSun" w:hAnsi="SimSun" w:eastAsia="SimSun" w:cs="SimSun"/>
          <w:sz w:val="13"/>
          <w:szCs w:val="13"/>
          <w:spacing w:val="-11"/>
        </w:rPr>
        <w:t>头</w:t>
      </w:r>
      <w:r>
        <w:rPr>
          <w:rFonts w:ascii="SimSun" w:hAnsi="SimSun" w:eastAsia="SimSun" w:cs="SimSun"/>
          <w:sz w:val="13"/>
          <w:szCs w:val="13"/>
          <w:spacing w:val="4"/>
        </w:rPr>
        <w:t xml:space="preserve"> </w:t>
      </w:r>
      <w:r>
        <w:rPr>
          <w:rFonts w:ascii="SimSun" w:hAnsi="SimSun" w:eastAsia="SimSun" w:cs="SimSun"/>
          <w:sz w:val="13"/>
          <w:szCs w:val="13"/>
          <w:spacing w:val="-11"/>
        </w:rPr>
        <w:t>、</w:t>
      </w:r>
      <w:r>
        <w:rPr>
          <w:rFonts w:ascii="SimSun" w:hAnsi="SimSun" w:eastAsia="SimSun" w:cs="SimSun"/>
          <w:sz w:val="13"/>
          <w:szCs w:val="13"/>
          <w:spacing w:val="-11"/>
          <w:position w:val="3"/>
        </w:rPr>
        <w:t>去</w:t>
      </w:r>
      <w:r>
        <w:rPr>
          <w:rFonts w:ascii="SimSun" w:hAnsi="SimSun" w:eastAsia="SimSun" w:cs="SimSun"/>
          <w:sz w:val="13"/>
          <w:szCs w:val="13"/>
          <w:spacing w:val="37"/>
          <w:position w:val="3"/>
        </w:rPr>
        <w:t xml:space="preserve"> </w:t>
      </w:r>
      <w:r>
        <w:rPr>
          <w:rFonts w:ascii="SimSun" w:hAnsi="SimSun" w:eastAsia="SimSun" w:cs="SimSun"/>
          <w:sz w:val="13"/>
          <w:szCs w:val="13"/>
          <w:spacing w:val="-11"/>
          <w:position w:val="3"/>
        </w:rPr>
        <w:t>蹄</w:t>
      </w:r>
    </w:p>
    <w:p>
      <w:pPr>
        <w:pStyle w:val="BodyText"/>
        <w:spacing w:line="14" w:lineRule="auto"/>
        <w:rPr>
          <w:sz w:val="2"/>
        </w:rPr>
      </w:pPr>
      <w:r>
        <w:rPr>
          <w:sz w:val="2"/>
          <w:szCs w:val="2"/>
        </w:rPr>
        <w:br w:type="column"/>
      </w:r>
    </w:p>
    <w:p>
      <w:pPr>
        <w:pStyle w:val="BodyText"/>
        <w:spacing w:line="366" w:lineRule="auto"/>
        <w:rPr/>
      </w:pPr>
      <w:r/>
    </w:p>
    <w:p>
      <w:pPr>
        <w:ind w:left="130"/>
        <w:spacing w:before="56" w:line="220" w:lineRule="auto"/>
        <w:rPr>
          <w:rFonts w:ascii="SimSun" w:hAnsi="SimSun" w:eastAsia="SimSun" w:cs="SimSun"/>
          <w:sz w:val="17"/>
          <w:szCs w:val="17"/>
        </w:rPr>
      </w:pPr>
      <w:r>
        <w:rPr>
          <w:rFonts w:ascii="Times New Roman" w:hAnsi="Times New Roman" w:eastAsia="Times New Roman" w:cs="Times New Roman"/>
          <w:sz w:val="14"/>
          <w:szCs w:val="14"/>
          <w:spacing w:val="-19"/>
        </w:rPr>
        <w:t>Sz-1:</w:t>
      </w:r>
      <w:r>
        <w:rPr>
          <w:rFonts w:ascii="SimSun" w:hAnsi="SimSun" w:eastAsia="SimSun" w:cs="SimSun"/>
          <w:sz w:val="17"/>
          <w:szCs w:val="17"/>
          <w:spacing w:val="-19"/>
        </w:rPr>
        <w:t>病死牛、噪声</w:t>
      </w:r>
    </w:p>
    <w:p>
      <w:pPr>
        <w:pStyle w:val="BodyText"/>
        <w:spacing w:line="260" w:lineRule="auto"/>
        <w:rPr/>
      </w:pPr>
      <w:r/>
    </w:p>
    <w:p>
      <w:pPr>
        <w:spacing w:before="55" w:line="219" w:lineRule="auto"/>
        <w:rPr>
          <w:rFonts w:ascii="SimSun" w:hAnsi="SimSun" w:eastAsia="SimSun" w:cs="SimSun"/>
          <w:sz w:val="17"/>
          <w:szCs w:val="17"/>
        </w:rPr>
      </w:pPr>
      <w:r>
        <w:rPr>
          <w:rFonts w:ascii="SimSun" w:hAnsi="SimSun" w:eastAsia="SimSun" w:cs="SimSun"/>
          <w:sz w:val="17"/>
          <w:szCs w:val="17"/>
          <w:spacing w:val="-22"/>
          <w:w w:val="97"/>
        </w:rPr>
        <w:t>→Wz-1:肉牛粪污、</w:t>
      </w:r>
      <w:r>
        <w:rPr>
          <w:rFonts w:ascii="SimSun" w:hAnsi="SimSun" w:eastAsia="SimSun" w:cs="SimSun"/>
          <w:sz w:val="13"/>
          <w:szCs w:val="13"/>
          <w:spacing w:val="-22"/>
          <w:w w:val="97"/>
        </w:rPr>
        <w:t>Gz:</w:t>
      </w:r>
      <w:r>
        <w:rPr>
          <w:rFonts w:ascii="SimSun" w:hAnsi="SimSun" w:eastAsia="SimSun" w:cs="SimSun"/>
          <w:sz w:val="13"/>
          <w:szCs w:val="13"/>
          <w:spacing w:val="18"/>
        </w:rPr>
        <w:t xml:space="preserve"> </w:t>
      </w:r>
      <w:r>
        <w:rPr>
          <w:rFonts w:ascii="SimSun" w:hAnsi="SimSun" w:eastAsia="SimSun" w:cs="SimSun"/>
          <w:sz w:val="17"/>
          <w:szCs w:val="17"/>
          <w:spacing w:val="-22"/>
          <w:w w:val="97"/>
        </w:rPr>
        <w:t>恶臭、噪声</w:t>
      </w:r>
    </w:p>
    <w:p>
      <w:pPr>
        <w:ind w:left="399" w:right="1536" w:hanging="160"/>
        <w:spacing w:before="219" w:line="257" w:lineRule="auto"/>
        <w:rPr>
          <w:rFonts w:ascii="SimSun" w:hAnsi="SimSun" w:eastAsia="SimSun" w:cs="SimSun"/>
          <w:sz w:val="13"/>
          <w:szCs w:val="13"/>
        </w:rPr>
      </w:pPr>
      <w:r>
        <w:rPr>
          <w:rFonts w:ascii="Times New Roman" w:hAnsi="Times New Roman" w:eastAsia="Times New Roman" w:cs="Times New Roman"/>
          <w:sz w:val="17"/>
          <w:szCs w:val="17"/>
          <w:spacing w:val="-13"/>
          <w:w w:val="87"/>
        </w:rPr>
        <w:t>Wz-2:</w:t>
      </w:r>
      <w:r>
        <w:rPr>
          <w:rFonts w:ascii="SimSun" w:hAnsi="SimSun" w:eastAsia="SimSun" w:cs="SimSun"/>
          <w:sz w:val="17"/>
          <w:szCs w:val="17"/>
          <w:spacing w:val="-13"/>
          <w:w w:val="87"/>
        </w:rPr>
        <w:t>冲洗废水、噪</w:t>
      </w:r>
      <w:r>
        <w:rPr>
          <w:rFonts w:ascii="SimSun" w:hAnsi="SimSun" w:eastAsia="SimSun" w:cs="SimSun"/>
          <w:sz w:val="17"/>
          <w:szCs w:val="17"/>
          <w:spacing w:val="12"/>
        </w:rPr>
        <w:t xml:space="preserve"> </w:t>
      </w:r>
      <w:r>
        <w:rPr>
          <w:rFonts w:ascii="SimSun" w:hAnsi="SimSun" w:eastAsia="SimSun" w:cs="SimSun"/>
          <w:sz w:val="13"/>
          <w:szCs w:val="13"/>
          <w:spacing w:val="-9"/>
        </w:rPr>
        <w:t>声、</w:t>
      </w:r>
      <w:r>
        <w:rPr>
          <w:rFonts w:ascii="Times New Roman" w:hAnsi="Times New Roman" w:eastAsia="Times New Roman" w:cs="Times New Roman"/>
          <w:sz w:val="13"/>
          <w:szCs w:val="13"/>
          <w:spacing w:val="-9"/>
        </w:rPr>
        <w:t>Gz:</w:t>
      </w:r>
      <w:r>
        <w:rPr>
          <w:rFonts w:ascii="Times New Roman" w:hAnsi="Times New Roman" w:eastAsia="Times New Roman" w:cs="Times New Roman"/>
          <w:sz w:val="13"/>
          <w:szCs w:val="13"/>
          <w:spacing w:val="1"/>
        </w:rPr>
        <w:t xml:space="preserve">  </w:t>
      </w:r>
      <w:r>
        <w:rPr>
          <w:rFonts w:ascii="SimSun" w:hAnsi="SimSun" w:eastAsia="SimSun" w:cs="SimSun"/>
          <w:sz w:val="13"/>
          <w:szCs w:val="13"/>
          <w:spacing w:val="-9"/>
        </w:rPr>
        <w:t>恶</w:t>
      </w:r>
      <w:r>
        <w:rPr>
          <w:rFonts w:ascii="SimSun" w:hAnsi="SimSun" w:eastAsia="SimSun" w:cs="SimSun"/>
          <w:sz w:val="13"/>
          <w:szCs w:val="13"/>
          <w:spacing w:val="21"/>
          <w:w w:val="101"/>
        </w:rPr>
        <w:t xml:space="preserve"> </w:t>
      </w:r>
      <w:r>
        <w:rPr>
          <w:rFonts w:ascii="SimSun" w:hAnsi="SimSun" w:eastAsia="SimSun" w:cs="SimSun"/>
          <w:sz w:val="13"/>
          <w:szCs w:val="13"/>
          <w:spacing w:val="-9"/>
        </w:rPr>
        <w:t>臭</w:t>
      </w:r>
    </w:p>
    <w:p>
      <w:pPr>
        <w:ind w:left="190" w:right="2368" w:hanging="80"/>
        <w:spacing w:before="121" w:line="285" w:lineRule="auto"/>
        <w:rPr>
          <w:rFonts w:ascii="SimSun" w:hAnsi="SimSun" w:eastAsia="SimSun" w:cs="SimSun"/>
          <w:sz w:val="13"/>
          <w:szCs w:val="13"/>
        </w:rPr>
      </w:pPr>
      <w:r>
        <w:rPr>
          <w:rFonts w:ascii="SimSun" w:hAnsi="SimSun" w:eastAsia="SimSun" w:cs="SimSun"/>
          <w:sz w:val="13"/>
          <w:szCs w:val="13"/>
        </w:rPr>
        <w:t>噪声</w:t>
      </w:r>
      <w:r>
        <w:rPr>
          <w:rFonts w:ascii="SimSun" w:hAnsi="SimSun" w:eastAsia="SimSun" w:cs="SimSun"/>
          <w:sz w:val="13"/>
          <w:szCs w:val="13"/>
          <w:spacing w:val="-31"/>
        </w:rPr>
        <w:t xml:space="preserve"> </w:t>
      </w:r>
      <w:r>
        <w:rPr>
          <w:rFonts w:ascii="SimSun" w:hAnsi="SimSun" w:eastAsia="SimSun" w:cs="SimSun"/>
          <w:sz w:val="13"/>
          <w:szCs w:val="13"/>
        </w:rPr>
        <w:t>、 </w:t>
      </w:r>
      <w:r>
        <w:rPr>
          <w:rFonts w:ascii="SimSun" w:hAnsi="SimSun" w:eastAsia="SimSun" w:cs="SimSun"/>
          <w:sz w:val="13"/>
          <w:szCs w:val="13"/>
          <w:spacing w:val="14"/>
        </w:rPr>
        <w:t>恶臭</w:t>
      </w:r>
    </w:p>
    <w:p>
      <w:pPr>
        <w:ind w:left="20"/>
        <w:spacing w:before="170" w:line="219" w:lineRule="auto"/>
        <w:rPr>
          <w:rFonts w:ascii="SimSun" w:hAnsi="SimSun" w:eastAsia="SimSun" w:cs="SimSun"/>
          <w:sz w:val="13"/>
          <w:szCs w:val="13"/>
        </w:rPr>
      </w:pPr>
      <w:r>
        <w:rPr>
          <w:rFonts w:ascii="Times New Roman" w:hAnsi="Times New Roman" w:eastAsia="Times New Roman" w:cs="Times New Roman"/>
          <w:sz w:val="17"/>
          <w:szCs w:val="17"/>
          <w:spacing w:val="-15"/>
          <w:w w:val="95"/>
        </w:rPr>
        <w:t>→Wz-3:</w:t>
      </w:r>
      <w:r>
        <w:rPr>
          <w:rFonts w:ascii="SimSun" w:hAnsi="SimSun" w:eastAsia="SimSun" w:cs="SimSun"/>
          <w:sz w:val="17"/>
          <w:szCs w:val="17"/>
          <w:spacing w:val="-15"/>
          <w:w w:val="95"/>
        </w:rPr>
        <w:t>消毒废水、</w:t>
      </w:r>
      <w:r>
        <w:rPr>
          <w:rFonts w:ascii="Times New Roman" w:hAnsi="Times New Roman" w:eastAsia="Times New Roman" w:cs="Times New Roman"/>
          <w:sz w:val="13"/>
          <w:szCs w:val="13"/>
          <w:spacing w:val="-15"/>
          <w:w w:val="95"/>
        </w:rPr>
        <w:t>Gz:   </w:t>
      </w:r>
      <w:r>
        <w:rPr>
          <w:rFonts w:ascii="SimSun" w:hAnsi="SimSun" w:eastAsia="SimSun" w:cs="SimSun"/>
          <w:sz w:val="13"/>
          <w:szCs w:val="13"/>
          <w:spacing w:val="-15"/>
          <w:w w:val="95"/>
        </w:rPr>
        <w:t>恶</w:t>
      </w:r>
      <w:r>
        <w:rPr>
          <w:rFonts w:ascii="SimSun" w:hAnsi="SimSun" w:eastAsia="SimSun" w:cs="SimSun"/>
          <w:sz w:val="13"/>
          <w:szCs w:val="13"/>
          <w:spacing w:val="-22"/>
        </w:rPr>
        <w:t xml:space="preserve"> </w:t>
      </w:r>
      <w:r>
        <w:rPr>
          <w:rFonts w:ascii="SimSun" w:hAnsi="SimSun" w:eastAsia="SimSun" w:cs="SimSun"/>
          <w:sz w:val="13"/>
          <w:szCs w:val="13"/>
          <w:spacing w:val="-15"/>
          <w:w w:val="95"/>
        </w:rPr>
        <w:t>臭</w:t>
      </w:r>
    </w:p>
    <w:p>
      <w:pPr>
        <w:ind w:left="120"/>
        <w:spacing w:before="218" w:line="217" w:lineRule="auto"/>
        <w:rPr>
          <w:rFonts w:ascii="SimSun" w:hAnsi="SimSun" w:eastAsia="SimSun" w:cs="SimSun"/>
          <w:sz w:val="13"/>
          <w:szCs w:val="13"/>
        </w:rPr>
      </w:pPr>
      <w:r>
        <w:rPr>
          <w:rFonts w:ascii="SimSun" w:hAnsi="SimSun" w:eastAsia="SimSun" w:cs="SimSun"/>
          <w:sz w:val="17"/>
          <w:szCs w:val="17"/>
          <w:spacing w:val="-20"/>
          <w:w w:val="95"/>
        </w:rPr>
        <w:t>Wz-4:冲洗废水、</w:t>
      </w:r>
      <w:r>
        <w:rPr>
          <w:rFonts w:ascii="SimSun" w:hAnsi="SimSun" w:eastAsia="SimSun" w:cs="SimSun"/>
          <w:sz w:val="13"/>
          <w:szCs w:val="13"/>
          <w:spacing w:val="-20"/>
          <w:w w:val="95"/>
        </w:rPr>
        <w:t>Gz:</w:t>
      </w:r>
    </w:p>
    <w:p>
      <w:pPr>
        <w:ind w:left="430"/>
        <w:spacing w:line="219" w:lineRule="auto"/>
        <w:rPr>
          <w:rFonts w:ascii="SimSun" w:hAnsi="SimSun" w:eastAsia="SimSun" w:cs="SimSun"/>
          <w:sz w:val="17"/>
          <w:szCs w:val="17"/>
        </w:rPr>
      </w:pPr>
      <w:r>
        <w:rPr>
          <w:rFonts w:ascii="SimSun" w:hAnsi="SimSun" w:eastAsia="SimSun" w:cs="SimSun"/>
          <w:sz w:val="17"/>
          <w:szCs w:val="17"/>
          <w:spacing w:val="-18"/>
          <w:w w:val="92"/>
        </w:rPr>
        <w:t>恶臭、噪声</w:t>
      </w:r>
    </w:p>
    <w:p>
      <w:pPr>
        <w:spacing w:line="219" w:lineRule="auto"/>
        <w:sectPr>
          <w:type w:val="continuous"/>
          <w:pgSz w:w="11910" w:h="16840"/>
          <w:pgMar w:top="1204" w:right="1786" w:bottom="976" w:left="1779" w:header="939" w:footer="755" w:gutter="0"/>
          <w:cols w:equalWidth="0" w:num="4">
            <w:col w:w="1821" w:space="100"/>
            <w:col w:w="1777" w:space="83"/>
            <w:col w:w="1561" w:space="100"/>
            <w:col w:w="2904" w:space="0"/>
          </w:cols>
        </w:sectPr>
        <w:rPr>
          <w:rFonts w:ascii="SimSun" w:hAnsi="SimSun" w:eastAsia="SimSun" w:cs="SimSun"/>
          <w:sz w:val="17"/>
          <w:szCs w:val="17"/>
        </w:rPr>
      </w:pPr>
    </w:p>
    <w:p>
      <w:pPr>
        <w:ind w:left="2110"/>
        <w:spacing w:before="192" w:line="236" w:lineRule="auto"/>
        <w:rPr>
          <w:rFonts w:ascii="SimSun" w:hAnsi="SimSun" w:eastAsia="SimSun" w:cs="SimSun"/>
          <w:sz w:val="17"/>
          <w:szCs w:val="17"/>
        </w:rPr>
      </w:pPr>
      <w:r>
        <w:rPr>
          <w:rFonts w:ascii="SimSun" w:hAnsi="SimSun" w:eastAsia="SimSun" w:cs="SimSun"/>
          <w:sz w:val="13"/>
          <w:szCs w:val="13"/>
          <w:spacing w:val="-9"/>
          <w:position w:val="-1"/>
        </w:rPr>
        <w:t>收 集 外 售</w:t>
      </w:r>
      <w:r>
        <w:rPr>
          <w:rFonts w:ascii="SimSun" w:hAnsi="SimSun" w:eastAsia="SimSun" w:cs="SimSun"/>
          <w:sz w:val="13"/>
          <w:szCs w:val="13"/>
          <w:spacing w:val="2"/>
          <w:position w:val="-1"/>
        </w:rPr>
        <w:t xml:space="preserve">      </w:t>
      </w:r>
      <w:r>
        <w:rPr>
          <w:rFonts w:ascii="SimHei" w:hAnsi="SimHei" w:eastAsia="SimHei" w:cs="SimHei"/>
          <w:sz w:val="13"/>
          <w:szCs w:val="13"/>
          <w:spacing w:val="-9"/>
          <w:position w:val="4"/>
        </w:rPr>
        <w:t>牛</w:t>
      </w:r>
      <w:r>
        <w:rPr>
          <w:rFonts w:ascii="SimHei" w:hAnsi="SimHei" w:eastAsia="SimHei" w:cs="SimHei"/>
          <w:sz w:val="13"/>
          <w:szCs w:val="13"/>
          <w:spacing w:val="-24"/>
          <w:position w:val="4"/>
        </w:rPr>
        <w:t xml:space="preserve"> </w:t>
      </w:r>
      <w:r>
        <w:rPr>
          <w:rFonts w:ascii="SimHei" w:hAnsi="SimHei" w:eastAsia="SimHei" w:cs="SimHei"/>
          <w:sz w:val="13"/>
          <w:szCs w:val="13"/>
          <w:spacing w:val="-9"/>
          <w:position w:val="4"/>
        </w:rPr>
        <w:t>皮</w:t>
      </w:r>
      <w:r>
        <w:rPr>
          <w:rFonts w:ascii="SimHei" w:hAnsi="SimHei" w:eastAsia="SimHei" w:cs="SimHei"/>
          <w:sz w:val="13"/>
          <w:szCs w:val="13"/>
          <w:spacing w:val="-9"/>
          <w:position w:val="4"/>
        </w:rPr>
        <w:t xml:space="preserve">          </w:t>
      </w:r>
      <w:r>
        <w:rPr>
          <w:rFonts w:ascii="SimSun" w:hAnsi="SimSun" w:eastAsia="SimSun" w:cs="SimSun"/>
          <w:sz w:val="13"/>
          <w:szCs w:val="13"/>
          <w:spacing w:val="-9"/>
          <w:position w:val="-2"/>
        </w:rPr>
        <w:t>剥</w:t>
      </w:r>
      <w:r>
        <w:rPr>
          <w:rFonts w:ascii="SimSun" w:hAnsi="SimSun" w:eastAsia="SimSun" w:cs="SimSun"/>
          <w:sz w:val="13"/>
          <w:szCs w:val="13"/>
          <w:spacing w:val="-10"/>
          <w:position w:val="-2"/>
        </w:rPr>
        <w:t xml:space="preserve"> </w:t>
      </w:r>
      <w:r>
        <w:rPr>
          <w:rFonts w:ascii="SimHei" w:hAnsi="SimHei" w:eastAsia="SimHei" w:cs="SimHei"/>
          <w:sz w:val="13"/>
          <w:szCs w:val="13"/>
          <w:spacing w:val="-10"/>
          <w:position w:val="-3"/>
        </w:rPr>
        <w:t>皮</w:t>
      </w:r>
      <w:r>
        <w:rPr>
          <w:rFonts w:ascii="SimHei" w:hAnsi="SimHei" w:eastAsia="SimHei" w:cs="SimHei"/>
          <w:sz w:val="13"/>
          <w:szCs w:val="13"/>
          <w:spacing w:val="2"/>
          <w:position w:val="-3"/>
        </w:rPr>
        <w:t xml:space="preserve">                    </w:t>
      </w:r>
      <w:r>
        <w:rPr>
          <w:rFonts w:ascii="Times New Roman" w:hAnsi="Times New Roman" w:eastAsia="Times New Roman" w:cs="Times New Roman"/>
          <w:sz w:val="13"/>
          <w:szCs w:val="13"/>
          <w:spacing w:val="-10"/>
        </w:rPr>
        <w:t>Gz:</w:t>
      </w:r>
      <w:r>
        <w:rPr>
          <w:rFonts w:ascii="Times New Roman" w:hAnsi="Times New Roman" w:eastAsia="Times New Roman" w:cs="Times New Roman"/>
          <w:sz w:val="13"/>
          <w:szCs w:val="13"/>
          <w:spacing w:val="8"/>
        </w:rPr>
        <w:t xml:space="preserve">  </w:t>
      </w:r>
      <w:r>
        <w:rPr>
          <w:rFonts w:ascii="SimSun" w:hAnsi="SimSun" w:eastAsia="SimSun" w:cs="SimSun"/>
          <w:sz w:val="17"/>
          <w:szCs w:val="17"/>
          <w:spacing w:val="-10"/>
        </w:rPr>
        <w:t>恶臭、噪声</w:t>
      </w:r>
    </w:p>
    <w:p>
      <w:pPr>
        <w:spacing w:before="200"/>
        <w:rPr/>
      </w:pPr>
      <w:r/>
    </w:p>
    <w:p>
      <w:pPr>
        <w:sectPr>
          <w:type w:val="continuous"/>
          <w:pgSz w:w="11910" w:h="16840"/>
          <w:pgMar w:top="1204" w:right="1786" w:bottom="976" w:left="1779" w:header="939" w:footer="755" w:gutter="0"/>
          <w:cols w:equalWidth="0" w:num="1">
            <w:col w:w="8344" w:space="0"/>
          </w:cols>
        </w:sectPr>
        <w:rPr/>
      </w:pPr>
    </w:p>
    <w:p>
      <w:pPr>
        <w:ind w:left="3910"/>
        <w:spacing w:before="34" w:line="219" w:lineRule="auto"/>
        <w:rPr>
          <w:rFonts w:ascii="SimSun" w:hAnsi="SimSun" w:eastAsia="SimSun" w:cs="SimSun"/>
          <w:sz w:val="13"/>
          <w:szCs w:val="13"/>
        </w:rPr>
      </w:pPr>
      <w:r>
        <w:rPr>
          <w:rFonts w:ascii="SimSun" w:hAnsi="SimSun" w:eastAsia="SimSun" w:cs="SimSun"/>
          <w:sz w:val="13"/>
          <w:szCs w:val="13"/>
          <w:spacing w:val="-5"/>
        </w:rPr>
        <w:t>开 膛 取</w:t>
      </w:r>
      <w:r>
        <w:rPr>
          <w:rFonts w:ascii="SimSun" w:hAnsi="SimSun" w:eastAsia="SimSun" w:cs="SimSun"/>
          <w:sz w:val="13"/>
          <w:szCs w:val="13"/>
          <w:spacing w:val="-7"/>
        </w:rPr>
        <w:t xml:space="preserve"> </w:t>
      </w:r>
      <w:r>
        <w:rPr>
          <w:rFonts w:ascii="SimSun" w:hAnsi="SimSun" w:eastAsia="SimSun" w:cs="SimSun"/>
          <w:sz w:val="13"/>
          <w:szCs w:val="13"/>
          <w:spacing w:val="-5"/>
        </w:rPr>
        <w:t>脏</w:t>
      </w:r>
    </w:p>
    <w:p>
      <w:pPr>
        <w:ind w:left="3470"/>
        <w:spacing w:before="125" w:line="225" w:lineRule="auto"/>
        <w:rPr>
          <w:rFonts w:ascii="SimHei" w:hAnsi="SimHei" w:eastAsia="SimHei" w:cs="SimHei"/>
          <w:sz w:val="13"/>
          <w:szCs w:val="13"/>
        </w:rPr>
      </w:pPr>
      <w:r>
        <w:rPr>
          <w:rFonts w:ascii="SimSun" w:hAnsi="SimSun" w:eastAsia="SimSun" w:cs="SimSun"/>
          <w:sz w:val="13"/>
          <w:szCs w:val="13"/>
          <w:spacing w:val="2"/>
        </w:rPr>
        <w:t>红白内脏          </w:t>
      </w:r>
      <w:r>
        <w:rPr>
          <w:rFonts w:ascii="SimHei" w:hAnsi="SimHei" w:eastAsia="SimHei" w:cs="SimHei"/>
          <w:sz w:val="13"/>
          <w:szCs w:val="13"/>
          <w:spacing w:val="2"/>
        </w:rPr>
        <w:t>胴体</w:t>
      </w:r>
    </w:p>
    <w:p>
      <w:pPr>
        <w:spacing w:line="105" w:lineRule="auto"/>
        <w:rPr>
          <w:rFonts w:ascii="Arial"/>
          <w:sz w:val="2"/>
        </w:rPr>
      </w:pPr>
      <w:r>
        <w:rPr>
          <w:rFonts w:ascii="Arial"/>
          <w:sz w:val="2"/>
        </w:rPr>
      </w:r>
    </w:p>
    <w:p>
      <w:pPr>
        <w:pStyle w:val="BodyText"/>
        <w:spacing w:line="14" w:lineRule="auto"/>
        <w:rPr>
          <w:sz w:val="2"/>
        </w:rPr>
      </w:pPr>
      <w:r>
        <w:rPr>
          <w:sz w:val="2"/>
          <w:szCs w:val="2"/>
        </w:rPr>
        <w:br w:type="column"/>
      </w:r>
    </w:p>
    <w:p>
      <w:pPr>
        <w:spacing w:before="204" w:line="219" w:lineRule="auto"/>
        <w:rPr>
          <w:rFonts w:ascii="SimSun" w:hAnsi="SimSun" w:eastAsia="SimSun" w:cs="SimSun"/>
          <w:sz w:val="13"/>
          <w:szCs w:val="13"/>
        </w:rPr>
      </w:pPr>
      <w:r>
        <w:rPr>
          <w:rFonts w:ascii="Times New Roman" w:hAnsi="Times New Roman" w:eastAsia="Times New Roman" w:cs="Times New Roman"/>
          <w:sz w:val="17"/>
          <w:szCs w:val="17"/>
          <w:spacing w:val="-13"/>
          <w:w w:val="94"/>
        </w:rPr>
        <w:t>Wz-7:</w:t>
      </w:r>
      <w:r>
        <w:rPr>
          <w:rFonts w:ascii="Times New Roman" w:hAnsi="Times New Roman" w:eastAsia="Times New Roman" w:cs="Times New Roman"/>
          <w:sz w:val="17"/>
          <w:szCs w:val="17"/>
          <w:spacing w:val="19"/>
          <w:w w:val="101"/>
        </w:rPr>
        <w:t xml:space="preserve"> </w:t>
      </w:r>
      <w:r>
        <w:rPr>
          <w:rFonts w:ascii="SimSun" w:hAnsi="SimSun" w:eastAsia="SimSun" w:cs="SimSun"/>
          <w:sz w:val="17"/>
          <w:szCs w:val="17"/>
          <w:spacing w:val="-13"/>
          <w:w w:val="94"/>
        </w:rPr>
        <w:t>消毒废水、</w:t>
      </w:r>
      <w:r>
        <w:rPr>
          <w:rFonts w:ascii="Times New Roman" w:hAnsi="Times New Roman" w:eastAsia="Times New Roman" w:cs="Times New Roman"/>
          <w:sz w:val="13"/>
          <w:szCs w:val="13"/>
          <w:spacing w:val="-13"/>
          <w:w w:val="94"/>
        </w:rPr>
        <w:t>Gz:</w:t>
      </w:r>
      <w:r>
        <w:rPr>
          <w:rFonts w:ascii="Times New Roman" w:hAnsi="Times New Roman" w:eastAsia="Times New Roman" w:cs="Times New Roman"/>
          <w:sz w:val="13"/>
          <w:szCs w:val="13"/>
          <w:spacing w:val="3"/>
        </w:rPr>
        <w:t xml:space="preserve">   </w:t>
      </w:r>
      <w:r>
        <w:rPr>
          <w:rFonts w:ascii="SimSun" w:hAnsi="SimSun" w:eastAsia="SimSun" w:cs="SimSun"/>
          <w:sz w:val="13"/>
          <w:szCs w:val="13"/>
          <w:spacing w:val="-13"/>
          <w:w w:val="94"/>
        </w:rPr>
        <w:t>恶</w:t>
      </w:r>
      <w:r>
        <w:rPr>
          <w:rFonts w:ascii="SimSun" w:hAnsi="SimSun" w:eastAsia="SimSun" w:cs="SimSun"/>
          <w:sz w:val="13"/>
          <w:szCs w:val="13"/>
          <w:spacing w:val="-29"/>
        </w:rPr>
        <w:t xml:space="preserve"> </w:t>
      </w:r>
      <w:r>
        <w:rPr>
          <w:rFonts w:ascii="SimSun" w:hAnsi="SimSun" w:eastAsia="SimSun" w:cs="SimSun"/>
          <w:sz w:val="13"/>
          <w:szCs w:val="13"/>
          <w:spacing w:val="-13"/>
          <w:w w:val="94"/>
        </w:rPr>
        <w:t>臭</w:t>
      </w:r>
    </w:p>
    <w:p>
      <w:pPr>
        <w:spacing w:line="219" w:lineRule="auto"/>
        <w:sectPr>
          <w:type w:val="continuous"/>
          <w:pgSz w:w="11910" w:h="16840"/>
          <w:pgMar w:top="1204" w:right="1786" w:bottom="976" w:left="1779" w:header="939" w:footer="755" w:gutter="0"/>
          <w:cols w:equalWidth="0" w:num="2">
            <w:col w:w="5491" w:space="100"/>
            <w:col w:w="2754" w:space="0"/>
          </w:cols>
        </w:sectPr>
        <w:rPr>
          <w:rFonts w:ascii="SimSun" w:hAnsi="SimSun" w:eastAsia="SimSun" w:cs="SimSun"/>
          <w:sz w:val="13"/>
          <w:szCs w:val="13"/>
        </w:rPr>
      </w:pPr>
    </w:p>
    <w:p>
      <w:pPr>
        <w:spacing w:before="6"/>
        <w:rPr/>
      </w:pPr>
      <w:r/>
    </w:p>
    <w:p>
      <w:pPr>
        <w:sectPr>
          <w:type w:val="continuous"/>
          <w:pgSz w:w="11910" w:h="16840"/>
          <w:pgMar w:top="1204" w:right="1786" w:bottom="976" w:left="1779" w:header="939" w:footer="755" w:gutter="0"/>
          <w:cols w:equalWidth="0" w:num="1">
            <w:col w:w="8344" w:space="0"/>
          </w:cols>
        </w:sectPr>
        <w:rPr/>
      </w:pPr>
    </w:p>
    <w:p>
      <w:pPr>
        <w:ind w:left="259"/>
        <w:spacing w:before="34" w:line="164" w:lineRule="auto"/>
        <w:rPr>
          <w:rFonts w:ascii="SimSun" w:hAnsi="SimSun" w:eastAsia="SimSun" w:cs="SimSun"/>
          <w:sz w:val="13"/>
          <w:szCs w:val="13"/>
        </w:rPr>
      </w:pPr>
      <w:r>
        <w:rPr>
          <w:rFonts w:ascii="Times New Roman" w:hAnsi="Times New Roman" w:eastAsia="Times New Roman" w:cs="Times New Roman"/>
          <w:sz w:val="13"/>
          <w:szCs w:val="13"/>
        </w:rPr>
        <w:t>Sz</w:t>
      </w:r>
      <w:r>
        <w:rPr>
          <w:rFonts w:ascii="Times New Roman" w:hAnsi="Times New Roman" w:eastAsia="Times New Roman" w:cs="Times New Roman"/>
          <w:sz w:val="13"/>
          <w:szCs w:val="13"/>
          <w:spacing w:val="1"/>
        </w:rPr>
        <w:t>-3:</w:t>
      </w:r>
      <w:r>
        <w:rPr>
          <w:rFonts w:ascii="SimSun" w:hAnsi="SimSun" w:eastAsia="SimSun" w:cs="SimSun"/>
          <w:sz w:val="13"/>
          <w:szCs w:val="13"/>
          <w:spacing w:val="1"/>
        </w:rPr>
        <w:t>不可食用内脏及胃肠容物←------</w:t>
      </w:r>
    </w:p>
    <w:p>
      <w:pPr>
        <w:ind w:left="3010"/>
        <w:spacing w:line="198" w:lineRule="auto"/>
        <w:rPr>
          <w:rFonts w:ascii="SimSun" w:hAnsi="SimSun" w:eastAsia="SimSun" w:cs="SimSun"/>
          <w:sz w:val="13"/>
          <w:szCs w:val="13"/>
        </w:rPr>
      </w:pPr>
      <w:r>
        <w:rPr>
          <w:rFonts w:ascii="SimSun" w:hAnsi="SimSun" w:eastAsia="SimSun" w:cs="SimSun"/>
          <w:sz w:val="13"/>
          <w:szCs w:val="13"/>
          <w:spacing w:val="-3"/>
        </w:rPr>
        <w:t>检</w:t>
      </w:r>
      <w:r>
        <w:rPr>
          <w:rFonts w:ascii="SimSun" w:hAnsi="SimSun" w:eastAsia="SimSun" w:cs="SimSun"/>
          <w:sz w:val="13"/>
          <w:szCs w:val="13"/>
          <w:spacing w:val="60"/>
        </w:rPr>
        <w:t xml:space="preserve"> </w:t>
      </w:r>
      <w:r>
        <w:rPr>
          <w:rFonts w:ascii="SimSun" w:hAnsi="SimSun" w:eastAsia="SimSun" w:cs="SimSun"/>
          <w:sz w:val="13"/>
          <w:szCs w:val="13"/>
          <w:spacing w:val="-3"/>
        </w:rPr>
        <w:t>验</w:t>
      </w:r>
    </w:p>
    <w:p>
      <w:pPr>
        <w:ind w:left="490"/>
        <w:spacing w:before="248" w:line="219" w:lineRule="auto"/>
        <w:rPr>
          <w:rFonts w:ascii="SimSun" w:hAnsi="SimSun" w:eastAsia="SimSun" w:cs="SimSun"/>
          <w:sz w:val="17"/>
          <w:szCs w:val="17"/>
        </w:rPr>
      </w:pPr>
      <w:r>
        <w:rPr>
          <w:rFonts w:ascii="SimSun" w:hAnsi="SimSun" w:eastAsia="SimSun" w:cs="SimSun"/>
          <w:sz w:val="16"/>
          <w:szCs w:val="16"/>
          <w:spacing w:val="-7"/>
        </w:rPr>
        <w:t>Wz-6:</w:t>
      </w:r>
      <w:r>
        <w:rPr>
          <w:rFonts w:ascii="SimSun" w:hAnsi="SimSun" w:eastAsia="SimSun" w:cs="SimSun"/>
          <w:sz w:val="17"/>
          <w:szCs w:val="17"/>
          <w:spacing w:val="-7"/>
        </w:rPr>
        <w:t>冲洗废水、</w:t>
      </w:r>
      <w:r>
        <w:rPr>
          <w:rFonts w:ascii="SimSun" w:hAnsi="SimSun" w:eastAsia="SimSun" w:cs="SimSun"/>
          <w:sz w:val="13"/>
          <w:szCs w:val="13"/>
          <w:spacing w:val="-7"/>
        </w:rPr>
        <w:t>Gz:</w:t>
      </w:r>
      <w:r>
        <w:rPr>
          <w:rFonts w:ascii="SimSun" w:hAnsi="SimSun" w:eastAsia="SimSun" w:cs="SimSun"/>
          <w:sz w:val="13"/>
          <w:szCs w:val="13"/>
          <w:spacing w:val="41"/>
          <w:w w:val="101"/>
        </w:rPr>
        <w:t xml:space="preserve"> </w:t>
      </w:r>
      <w:r>
        <w:rPr>
          <w:rFonts w:ascii="SimSun" w:hAnsi="SimSun" w:eastAsia="SimSun" w:cs="SimSun"/>
          <w:sz w:val="17"/>
          <w:szCs w:val="17"/>
          <w:spacing w:val="-7"/>
        </w:rPr>
        <w:t>恶臭←-----清洗、整理</w:t>
      </w:r>
    </w:p>
    <w:p>
      <w:pPr>
        <w:ind w:left="1040"/>
        <w:spacing w:before="267" w:line="219" w:lineRule="auto"/>
        <w:rPr>
          <w:rFonts w:ascii="SimSun" w:hAnsi="SimSun" w:eastAsia="SimSun" w:cs="SimSun"/>
          <w:sz w:val="17"/>
          <w:szCs w:val="17"/>
        </w:rPr>
      </w:pPr>
      <w:r>
        <w:rPr>
          <w:rFonts w:ascii="SimSun" w:hAnsi="SimSun" w:eastAsia="SimSun" w:cs="SimSun"/>
          <w:sz w:val="15"/>
          <w:szCs w:val="15"/>
          <w:spacing w:val="-11"/>
        </w:rPr>
        <w:t>Sz-5:</w:t>
      </w:r>
      <w:r>
        <w:rPr>
          <w:rFonts w:ascii="SimSun" w:hAnsi="SimSun" w:eastAsia="SimSun" w:cs="SimSun"/>
          <w:sz w:val="17"/>
          <w:szCs w:val="17"/>
          <w:spacing w:val="-11"/>
        </w:rPr>
        <w:t>废包装材料←--------包装外售</w:t>
      </w:r>
    </w:p>
    <w:p>
      <w:pPr>
        <w:spacing w:before="4"/>
        <w:rPr/>
      </w:pPr>
      <w:r/>
    </w:p>
    <w:p>
      <w:pPr>
        <w:spacing w:before="4"/>
        <w:rPr/>
      </w:pPr>
      <w:r/>
    </w:p>
    <w:p>
      <w:pPr>
        <w:spacing w:before="4"/>
        <w:rPr/>
      </w:pPr>
      <w:r/>
    </w:p>
    <w:p>
      <w:pPr>
        <w:spacing w:before="4"/>
        <w:rPr/>
      </w:pPr>
      <w:r/>
    </w:p>
    <w:p>
      <w:pPr>
        <w:spacing w:before="3"/>
        <w:rPr/>
      </w:pPr>
      <w:r/>
    </w:p>
    <w:p>
      <w:pPr>
        <w:spacing w:before="3"/>
        <w:rPr/>
      </w:pPr>
      <w:r/>
    </w:p>
    <w:p>
      <w:pPr>
        <w:pStyle w:val="BodyText"/>
        <w:spacing w:line="14" w:lineRule="auto"/>
        <w:rPr>
          <w:sz w:val="2"/>
        </w:rPr>
      </w:pPr>
      <w:r>
        <w:rPr>
          <w:sz w:val="2"/>
          <w:szCs w:val="2"/>
        </w:rPr>
        <w:br w:type="column"/>
      </w:r>
    </w:p>
    <w:p>
      <w:pPr>
        <w:spacing w:before="85" w:line="179" w:lineRule="auto"/>
        <w:rPr>
          <w:rFonts w:ascii="SimSun" w:hAnsi="SimSun" w:eastAsia="SimSun" w:cs="SimSun"/>
          <w:sz w:val="13"/>
          <w:szCs w:val="13"/>
        </w:rPr>
      </w:pPr>
      <w:r>
        <w:rPr>
          <w:rFonts w:ascii="SimSun" w:hAnsi="SimSun" w:eastAsia="SimSun" w:cs="SimSun"/>
          <w:sz w:val="17"/>
          <w:szCs w:val="17"/>
          <w:spacing w:val="-2"/>
        </w:rPr>
        <w:t>劈半、胴体修</w:t>
      </w:r>
      <w:r>
        <w:rPr>
          <w:rFonts w:ascii="SimSun" w:hAnsi="SimSun" w:eastAsia="SimSun" w:cs="SimSun"/>
          <w:sz w:val="13"/>
          <w:szCs w:val="13"/>
          <w:spacing w:val="-2"/>
        </w:rPr>
        <w:t>整</w:t>
      </w:r>
      <w:r>
        <w:rPr>
          <w:rFonts w:ascii="SimSun" w:hAnsi="SimSun" w:eastAsia="SimSun" w:cs="SimSun"/>
          <w:sz w:val="13"/>
          <w:szCs w:val="13"/>
          <w:spacing w:val="39"/>
        </w:rPr>
        <w:t xml:space="preserve"> </w:t>
      </w:r>
      <w:r>
        <w:rPr>
          <w:rFonts w:ascii="SimSun" w:hAnsi="SimSun" w:eastAsia="SimSun" w:cs="SimSun"/>
          <w:sz w:val="13"/>
          <w:szCs w:val="13"/>
          <w:spacing w:val="-2"/>
        </w:rPr>
        <w:t>、</w:t>
      </w:r>
      <w:r>
        <w:rPr>
          <w:rFonts w:ascii="SimSun" w:hAnsi="SimSun" w:eastAsia="SimSun" w:cs="SimSun"/>
          <w:sz w:val="13"/>
          <w:szCs w:val="13"/>
          <w:spacing w:val="28"/>
        </w:rPr>
        <w:t xml:space="preserve"> </w:t>
      </w:r>
      <w:r>
        <w:rPr>
          <w:rFonts w:ascii="SimSun" w:hAnsi="SimSun" w:eastAsia="SimSun" w:cs="SimSun"/>
          <w:sz w:val="13"/>
          <w:szCs w:val="13"/>
          <w:spacing w:val="-2"/>
        </w:rPr>
        <w:t>冲</w:t>
      </w:r>
      <w:r>
        <w:rPr>
          <w:rFonts w:ascii="SimSun" w:hAnsi="SimSun" w:eastAsia="SimSun" w:cs="SimSun"/>
          <w:sz w:val="13"/>
          <w:szCs w:val="13"/>
          <w:spacing w:val="28"/>
        </w:rPr>
        <w:t xml:space="preserve"> </w:t>
      </w:r>
      <w:r>
        <w:rPr>
          <w:rFonts w:ascii="SimSun" w:hAnsi="SimSun" w:eastAsia="SimSun" w:cs="SimSun"/>
          <w:sz w:val="13"/>
          <w:szCs w:val="13"/>
          <w:spacing w:val="-2"/>
        </w:rPr>
        <w:t>淋</w:t>
      </w:r>
    </w:p>
    <w:p>
      <w:pPr>
        <w:ind w:left="2089"/>
        <w:spacing w:before="1" w:line="213" w:lineRule="auto"/>
        <w:rPr>
          <w:rFonts w:ascii="SimSun" w:hAnsi="SimSun" w:eastAsia="SimSun" w:cs="SimSun"/>
          <w:sz w:val="13"/>
          <w:szCs w:val="13"/>
        </w:rPr>
      </w:pPr>
      <w:r>
        <w:rPr>
          <w:rFonts w:ascii="Times New Roman" w:hAnsi="Times New Roman" w:eastAsia="Times New Roman" w:cs="Times New Roman"/>
          <w:sz w:val="17"/>
          <w:szCs w:val="17"/>
          <w:spacing w:val="-13"/>
          <w:w w:val="93"/>
        </w:rPr>
        <w:t>Wz-6:</w:t>
      </w:r>
      <w:r>
        <w:rPr>
          <w:rFonts w:ascii="SimSun" w:hAnsi="SimSun" w:eastAsia="SimSun" w:cs="SimSun"/>
          <w:sz w:val="17"/>
          <w:szCs w:val="17"/>
          <w:spacing w:val="-13"/>
          <w:w w:val="93"/>
        </w:rPr>
        <w:t>冲洗废水、</w:t>
      </w:r>
      <w:r>
        <w:rPr>
          <w:rFonts w:ascii="Times New Roman" w:hAnsi="Times New Roman" w:eastAsia="Times New Roman" w:cs="Times New Roman"/>
          <w:sz w:val="13"/>
          <w:szCs w:val="13"/>
          <w:spacing w:val="-13"/>
          <w:w w:val="93"/>
        </w:rPr>
        <w:t>Gz:</w:t>
      </w:r>
      <w:r>
        <w:rPr>
          <w:rFonts w:ascii="Times New Roman" w:hAnsi="Times New Roman" w:eastAsia="Times New Roman" w:cs="Times New Roman"/>
          <w:sz w:val="13"/>
          <w:szCs w:val="13"/>
          <w:spacing w:val="16"/>
        </w:rPr>
        <w:t xml:space="preserve">  </w:t>
      </w:r>
      <w:r>
        <w:rPr>
          <w:rFonts w:ascii="SimSun" w:hAnsi="SimSun" w:eastAsia="SimSun" w:cs="SimSun"/>
          <w:sz w:val="13"/>
          <w:szCs w:val="13"/>
          <w:spacing w:val="-13"/>
          <w:w w:val="93"/>
        </w:rPr>
        <w:t>恶</w:t>
      </w:r>
      <w:r>
        <w:rPr>
          <w:rFonts w:ascii="SimSun" w:hAnsi="SimSun" w:eastAsia="SimSun" w:cs="SimSun"/>
          <w:sz w:val="13"/>
          <w:szCs w:val="13"/>
          <w:spacing w:val="-30"/>
        </w:rPr>
        <w:t xml:space="preserve"> </w:t>
      </w:r>
      <w:r>
        <w:rPr>
          <w:rFonts w:ascii="SimSun" w:hAnsi="SimSun" w:eastAsia="SimSun" w:cs="SimSun"/>
          <w:sz w:val="13"/>
          <w:szCs w:val="13"/>
          <w:spacing w:val="-13"/>
          <w:w w:val="93"/>
        </w:rPr>
        <w:t>臭</w:t>
      </w:r>
    </w:p>
    <w:p>
      <w:pPr>
        <w:ind w:left="360"/>
        <w:spacing w:before="139" w:line="220" w:lineRule="auto"/>
        <w:rPr>
          <w:rFonts w:ascii="SimSun" w:hAnsi="SimSun" w:eastAsia="SimSun" w:cs="SimSun"/>
          <w:sz w:val="17"/>
          <w:szCs w:val="17"/>
        </w:rPr>
      </w:pPr>
      <w:r>
        <w:rPr>
          <w:rFonts w:ascii="SimSun" w:hAnsi="SimSun" w:eastAsia="SimSun" w:cs="SimSun"/>
          <w:sz w:val="17"/>
          <w:szCs w:val="17"/>
        </w:rPr>
        <w:t>[清洗、整理-</w:t>
      </w:r>
    </w:p>
    <w:p>
      <w:pPr>
        <w:pStyle w:val="BodyText"/>
        <w:ind w:left="2040"/>
        <w:spacing w:before="186" w:line="173" w:lineRule="auto"/>
        <w:rPr>
          <w:rFonts w:ascii="SimSun" w:hAnsi="SimSun" w:eastAsia="SimSun" w:cs="SimSun"/>
          <w:sz w:val="17"/>
          <w:szCs w:val="17"/>
        </w:rPr>
      </w:pPr>
      <w:r>
        <w:rPr>
          <w:sz w:val="17"/>
          <w:szCs w:val="17"/>
          <w:spacing w:val="-14"/>
          <w:w w:val="90"/>
        </w:rPr>
        <w:t>→Sz-4:</w:t>
      </w:r>
      <w:r>
        <w:rPr>
          <w:rFonts w:ascii="SimSun" w:hAnsi="SimSun" w:eastAsia="SimSun" w:cs="SimSun"/>
          <w:sz w:val="17"/>
          <w:szCs w:val="17"/>
          <w:spacing w:val="-14"/>
          <w:w w:val="90"/>
        </w:rPr>
        <w:t>不可食用肉类</w:t>
      </w:r>
    </w:p>
    <w:p>
      <w:pPr>
        <w:ind w:left="690"/>
        <w:spacing w:line="204" w:lineRule="auto"/>
        <w:rPr>
          <w:rFonts w:ascii="SimSun" w:hAnsi="SimSun" w:eastAsia="SimSun" w:cs="SimSun"/>
          <w:sz w:val="13"/>
          <w:szCs w:val="13"/>
        </w:rPr>
      </w:pPr>
      <w:r>
        <w:rPr>
          <w:rFonts w:ascii="SimSun" w:hAnsi="SimSun" w:eastAsia="SimSun" w:cs="SimSun"/>
          <w:sz w:val="13"/>
          <w:szCs w:val="13"/>
          <w:spacing w:val="-3"/>
        </w:rPr>
        <w:t>检</w:t>
      </w:r>
      <w:r>
        <w:rPr>
          <w:rFonts w:ascii="SimSun" w:hAnsi="SimSun" w:eastAsia="SimSun" w:cs="SimSun"/>
          <w:sz w:val="13"/>
          <w:szCs w:val="13"/>
          <w:spacing w:val="50"/>
        </w:rPr>
        <w:t xml:space="preserve"> </w:t>
      </w:r>
      <w:r>
        <w:rPr>
          <w:rFonts w:ascii="SimSun" w:hAnsi="SimSun" w:eastAsia="SimSun" w:cs="SimSun"/>
          <w:sz w:val="13"/>
          <w:szCs w:val="13"/>
          <w:spacing w:val="-3"/>
        </w:rPr>
        <w:t>验</w:t>
      </w:r>
    </w:p>
    <w:p>
      <w:pPr>
        <w:ind w:left="2230"/>
        <w:spacing w:before="226" w:line="178" w:lineRule="auto"/>
        <w:rPr>
          <w:rFonts w:ascii="SimSun" w:hAnsi="SimSun" w:eastAsia="SimSun" w:cs="SimSun"/>
          <w:sz w:val="13"/>
          <w:szCs w:val="13"/>
        </w:rPr>
      </w:pPr>
      <w:r>
        <w:rPr>
          <w:rFonts w:ascii="Times New Roman" w:hAnsi="Times New Roman" w:eastAsia="Times New Roman" w:cs="Times New Roman"/>
          <w:sz w:val="13"/>
          <w:szCs w:val="13"/>
          <w:spacing w:val="-3"/>
        </w:rPr>
        <w:t>Gz:</w:t>
      </w:r>
      <w:r>
        <w:rPr>
          <w:rFonts w:ascii="Times New Roman" w:hAnsi="Times New Roman" w:eastAsia="Times New Roman" w:cs="Times New Roman"/>
          <w:sz w:val="13"/>
          <w:szCs w:val="13"/>
          <w:spacing w:val="12"/>
          <w:w w:val="102"/>
        </w:rPr>
        <w:t xml:space="preserve">  </w:t>
      </w:r>
      <w:r>
        <w:rPr>
          <w:rFonts w:ascii="SimSun" w:hAnsi="SimSun" w:eastAsia="SimSun" w:cs="SimSun"/>
          <w:sz w:val="13"/>
          <w:szCs w:val="13"/>
          <w:spacing w:val="-3"/>
        </w:rPr>
        <w:t>恶</w:t>
      </w:r>
      <w:r>
        <w:rPr>
          <w:rFonts w:ascii="SimSun" w:hAnsi="SimSun" w:eastAsia="SimSun" w:cs="SimSun"/>
          <w:sz w:val="13"/>
          <w:szCs w:val="13"/>
          <w:spacing w:val="-30"/>
        </w:rPr>
        <w:t xml:space="preserve"> </w:t>
      </w:r>
      <w:r>
        <w:rPr>
          <w:rFonts w:ascii="SimSun" w:hAnsi="SimSun" w:eastAsia="SimSun" w:cs="SimSun"/>
          <w:sz w:val="13"/>
          <w:szCs w:val="13"/>
          <w:spacing w:val="-3"/>
        </w:rPr>
        <w:t>臭</w:t>
      </w:r>
    </w:p>
    <w:p>
      <w:pPr>
        <w:ind w:left="519"/>
        <w:spacing w:line="213" w:lineRule="auto"/>
        <w:rPr>
          <w:rFonts w:ascii="SimSun" w:hAnsi="SimSun" w:eastAsia="SimSun" w:cs="SimSun"/>
          <w:sz w:val="13"/>
          <w:szCs w:val="13"/>
        </w:rPr>
      </w:pPr>
      <w:r>
        <w:rPr>
          <w:rFonts w:ascii="SimSun" w:hAnsi="SimSun" w:eastAsia="SimSun" w:cs="SimSun"/>
          <w:sz w:val="13"/>
          <w:szCs w:val="13"/>
          <w:spacing w:val="-4"/>
        </w:rPr>
        <w:t>预 冷</w:t>
      </w:r>
      <w:r>
        <w:rPr>
          <w:rFonts w:ascii="SimSun" w:hAnsi="SimSun" w:eastAsia="SimSun" w:cs="SimSun"/>
          <w:sz w:val="13"/>
          <w:szCs w:val="13"/>
          <w:spacing w:val="4"/>
        </w:rPr>
        <w:t xml:space="preserve"> </w:t>
      </w:r>
      <w:r>
        <w:rPr>
          <w:rFonts w:ascii="SimSun" w:hAnsi="SimSun" w:eastAsia="SimSun" w:cs="SimSun"/>
          <w:sz w:val="13"/>
          <w:szCs w:val="13"/>
          <w:spacing w:val="-4"/>
        </w:rPr>
        <w:t>排</w:t>
      </w:r>
      <w:r>
        <w:rPr>
          <w:rFonts w:ascii="SimSun" w:hAnsi="SimSun" w:eastAsia="SimSun" w:cs="SimSun"/>
          <w:sz w:val="13"/>
          <w:szCs w:val="13"/>
          <w:spacing w:val="1"/>
        </w:rPr>
        <w:t xml:space="preserve"> </w:t>
      </w:r>
      <w:r>
        <w:rPr>
          <w:rFonts w:ascii="SimSun" w:hAnsi="SimSun" w:eastAsia="SimSun" w:cs="SimSun"/>
          <w:sz w:val="13"/>
          <w:szCs w:val="13"/>
          <w:spacing w:val="-4"/>
        </w:rPr>
        <w:t>酸</w:t>
      </w:r>
    </w:p>
    <w:p>
      <w:pPr>
        <w:ind w:left="700"/>
        <w:spacing w:before="224" w:line="236" w:lineRule="auto"/>
        <w:rPr>
          <w:rFonts w:ascii="SimSun" w:hAnsi="SimSun" w:eastAsia="SimSun" w:cs="SimSun"/>
          <w:sz w:val="13"/>
          <w:szCs w:val="13"/>
        </w:rPr>
      </w:pPr>
      <w:r>
        <w:rPr>
          <w:rFonts w:ascii="SimSun" w:hAnsi="SimSun" w:eastAsia="SimSun" w:cs="SimSun"/>
          <w:sz w:val="13"/>
          <w:szCs w:val="13"/>
          <w:spacing w:val="1"/>
          <w:position w:val="-6"/>
        </w:rPr>
        <w:t>包</w:t>
      </w:r>
      <w:r>
        <w:rPr>
          <w:rFonts w:ascii="SimSun" w:hAnsi="SimSun" w:eastAsia="SimSun" w:cs="SimSun"/>
          <w:sz w:val="13"/>
          <w:szCs w:val="13"/>
          <w:spacing w:val="32"/>
          <w:position w:val="-6"/>
        </w:rPr>
        <w:t xml:space="preserve"> </w:t>
      </w:r>
      <w:r>
        <w:rPr>
          <w:rFonts w:ascii="SimSun" w:hAnsi="SimSun" w:eastAsia="SimSun" w:cs="SimSun"/>
          <w:sz w:val="13"/>
          <w:szCs w:val="13"/>
          <w:spacing w:val="1"/>
          <w:position w:val="-6"/>
        </w:rPr>
        <w:t>装                 </w:t>
      </w:r>
      <w:r>
        <w:rPr>
          <w:rFonts w:ascii="Times New Roman" w:hAnsi="Times New Roman" w:eastAsia="Times New Roman" w:cs="Times New Roman"/>
          <w:sz w:val="13"/>
          <w:szCs w:val="13"/>
          <w:position w:val="1"/>
        </w:rPr>
        <w:t>Sz</w:t>
      </w:r>
      <w:r>
        <w:rPr>
          <w:rFonts w:ascii="Times New Roman" w:hAnsi="Times New Roman" w:eastAsia="Times New Roman" w:cs="Times New Roman"/>
          <w:sz w:val="13"/>
          <w:szCs w:val="13"/>
          <w:spacing w:val="1"/>
          <w:position w:val="1"/>
        </w:rPr>
        <w:t>-5:</w:t>
      </w:r>
      <w:r>
        <w:rPr>
          <w:rFonts w:ascii="SimSun" w:hAnsi="SimSun" w:eastAsia="SimSun" w:cs="SimSun"/>
          <w:sz w:val="13"/>
          <w:szCs w:val="13"/>
          <w:spacing w:val="1"/>
          <w:position w:val="1"/>
        </w:rPr>
        <w:t>废包装材料</w:t>
      </w:r>
    </w:p>
    <w:p>
      <w:pPr>
        <w:ind w:left="529"/>
        <w:spacing w:before="274" w:line="219" w:lineRule="auto"/>
        <w:rPr>
          <w:rFonts w:ascii="SimSun" w:hAnsi="SimSun" w:eastAsia="SimSun" w:cs="SimSun"/>
          <w:sz w:val="13"/>
          <w:szCs w:val="13"/>
        </w:rPr>
      </w:pPr>
      <w:r>
        <w:rPr>
          <w:rFonts w:ascii="SimSun" w:hAnsi="SimSun" w:eastAsia="SimSun" w:cs="SimSun"/>
          <w:sz w:val="13"/>
          <w:szCs w:val="13"/>
          <w:spacing w:val="-6"/>
        </w:rPr>
        <w:t>冷</w:t>
      </w:r>
      <w:r>
        <w:rPr>
          <w:rFonts w:ascii="SimSun" w:hAnsi="SimSun" w:eastAsia="SimSun" w:cs="SimSun"/>
          <w:sz w:val="13"/>
          <w:szCs w:val="13"/>
          <w:spacing w:val="-5"/>
        </w:rPr>
        <w:t xml:space="preserve"> </w:t>
      </w:r>
      <w:r>
        <w:rPr>
          <w:rFonts w:ascii="SimSun" w:hAnsi="SimSun" w:eastAsia="SimSun" w:cs="SimSun"/>
          <w:sz w:val="13"/>
          <w:szCs w:val="13"/>
          <w:spacing w:val="-6"/>
        </w:rPr>
        <w:t>藏 外</w:t>
      </w:r>
      <w:r>
        <w:rPr>
          <w:rFonts w:ascii="SimSun" w:hAnsi="SimSun" w:eastAsia="SimSun" w:cs="SimSun"/>
          <w:sz w:val="13"/>
          <w:szCs w:val="13"/>
          <w:spacing w:val="-9"/>
        </w:rPr>
        <w:t xml:space="preserve"> </w:t>
      </w:r>
      <w:r>
        <w:rPr>
          <w:rFonts w:ascii="SimSun" w:hAnsi="SimSun" w:eastAsia="SimSun" w:cs="SimSun"/>
          <w:sz w:val="13"/>
          <w:szCs w:val="13"/>
          <w:spacing w:val="-6"/>
        </w:rPr>
        <w:t>售</w:t>
      </w:r>
    </w:p>
    <w:p>
      <w:pPr>
        <w:spacing w:line="219" w:lineRule="auto"/>
        <w:sectPr>
          <w:type w:val="continuous"/>
          <w:pgSz w:w="11910" w:h="16840"/>
          <w:pgMar w:top="1204" w:right="1786" w:bottom="976" w:left="1779" w:header="939" w:footer="755" w:gutter="0"/>
          <w:cols w:equalWidth="0" w:num="2">
            <w:col w:w="4321" w:space="100"/>
            <w:col w:w="3924" w:space="0"/>
          </w:cols>
        </w:sectPr>
        <w:rPr>
          <w:rFonts w:ascii="SimSun" w:hAnsi="SimSun" w:eastAsia="SimSun" w:cs="SimSun"/>
          <w:sz w:val="13"/>
          <w:szCs w:val="13"/>
        </w:rPr>
      </w:pPr>
    </w:p>
    <w:p>
      <w:pPr>
        <w:ind w:left="1750"/>
        <w:spacing w:before="138" w:line="219" w:lineRule="auto"/>
        <w:rPr>
          <w:rFonts w:ascii="SimSun" w:hAnsi="SimSun" w:eastAsia="SimSun" w:cs="SimSun"/>
          <w:sz w:val="17"/>
          <w:szCs w:val="17"/>
        </w:rPr>
      </w:pPr>
      <w:r>
        <w:rPr>
          <w:rFonts w:ascii="SimSun" w:hAnsi="SimSun" w:eastAsia="SimSun" w:cs="SimSun"/>
          <w:sz w:val="17"/>
          <w:szCs w:val="17"/>
          <w:spacing w:val="-9"/>
        </w:rPr>
        <w:t>图 3 .</w:t>
      </w:r>
      <w:r>
        <w:rPr>
          <w:rFonts w:ascii="SimSun" w:hAnsi="SimSun" w:eastAsia="SimSun" w:cs="SimSun"/>
          <w:sz w:val="17"/>
          <w:szCs w:val="17"/>
          <w:spacing w:val="-16"/>
        </w:rPr>
        <w:t xml:space="preserve"> </w:t>
      </w:r>
      <w:r>
        <w:rPr>
          <w:rFonts w:ascii="SimSun" w:hAnsi="SimSun" w:eastAsia="SimSun" w:cs="SimSun"/>
          <w:sz w:val="17"/>
          <w:szCs w:val="17"/>
          <w:spacing w:val="-9"/>
        </w:rPr>
        <w:t>8</w:t>
      </w:r>
      <w:r>
        <w:rPr>
          <w:rFonts w:ascii="SimSun" w:hAnsi="SimSun" w:eastAsia="SimSun" w:cs="SimSun"/>
          <w:sz w:val="17"/>
          <w:szCs w:val="17"/>
          <w:spacing w:val="-18"/>
        </w:rPr>
        <w:t xml:space="preserve"> </w:t>
      </w:r>
      <w:r>
        <w:rPr>
          <w:rFonts w:ascii="SimSun" w:hAnsi="SimSun" w:eastAsia="SimSun" w:cs="SimSun"/>
          <w:sz w:val="17"/>
          <w:szCs w:val="17"/>
          <w:spacing w:val="-9"/>
        </w:rPr>
        <w:t>-</w:t>
      </w:r>
      <w:r>
        <w:rPr>
          <w:rFonts w:ascii="SimSun" w:hAnsi="SimSun" w:eastAsia="SimSun" w:cs="SimSun"/>
          <w:sz w:val="17"/>
          <w:szCs w:val="17"/>
          <w:spacing w:val="-15"/>
        </w:rPr>
        <w:t xml:space="preserve"> </w:t>
      </w:r>
      <w:r>
        <w:rPr>
          <w:rFonts w:ascii="SimSun" w:hAnsi="SimSun" w:eastAsia="SimSun" w:cs="SimSun"/>
          <w:sz w:val="17"/>
          <w:szCs w:val="17"/>
          <w:spacing w:val="-9"/>
        </w:rPr>
        <w:t>2</w:t>
      </w:r>
      <w:r>
        <w:rPr>
          <w:rFonts w:ascii="SimSun" w:hAnsi="SimSun" w:eastAsia="SimSun" w:cs="SimSun"/>
          <w:sz w:val="17"/>
          <w:szCs w:val="17"/>
          <w:spacing w:val="-16"/>
        </w:rPr>
        <w:t xml:space="preserve"> </w:t>
      </w:r>
      <w:r>
        <w:rPr>
          <w:rFonts w:ascii="SimSun" w:hAnsi="SimSun" w:eastAsia="SimSun" w:cs="SimSun"/>
          <w:sz w:val="17"/>
          <w:szCs w:val="17"/>
          <w:spacing w:val="-9"/>
        </w:rPr>
        <w:t>运</w:t>
      </w:r>
      <w:r>
        <w:rPr>
          <w:rFonts w:ascii="SimSun" w:hAnsi="SimSun" w:eastAsia="SimSun" w:cs="SimSun"/>
          <w:sz w:val="17"/>
          <w:szCs w:val="17"/>
          <w:spacing w:val="-12"/>
        </w:rPr>
        <w:t xml:space="preserve"> </w:t>
      </w:r>
      <w:r>
        <w:rPr>
          <w:rFonts w:ascii="SimSun" w:hAnsi="SimSun" w:eastAsia="SimSun" w:cs="SimSun"/>
          <w:sz w:val="17"/>
          <w:szCs w:val="17"/>
          <w:spacing w:val="-9"/>
        </w:rPr>
        <w:t>营</w:t>
      </w:r>
      <w:r>
        <w:rPr>
          <w:rFonts w:ascii="SimSun" w:hAnsi="SimSun" w:eastAsia="SimSun" w:cs="SimSun"/>
          <w:sz w:val="17"/>
          <w:szCs w:val="17"/>
          <w:spacing w:val="-14"/>
        </w:rPr>
        <w:t xml:space="preserve"> </w:t>
      </w:r>
      <w:r>
        <w:rPr>
          <w:rFonts w:ascii="SimSun" w:hAnsi="SimSun" w:eastAsia="SimSun" w:cs="SimSun"/>
          <w:sz w:val="17"/>
          <w:szCs w:val="17"/>
          <w:spacing w:val="-9"/>
        </w:rPr>
        <w:t>期 肉 牛</w:t>
      </w:r>
      <w:r>
        <w:rPr>
          <w:rFonts w:ascii="SimSun" w:hAnsi="SimSun" w:eastAsia="SimSun" w:cs="SimSun"/>
          <w:sz w:val="17"/>
          <w:szCs w:val="17"/>
          <w:spacing w:val="-16"/>
        </w:rPr>
        <w:t xml:space="preserve"> </w:t>
      </w:r>
      <w:r>
        <w:rPr>
          <w:rFonts w:ascii="SimSun" w:hAnsi="SimSun" w:eastAsia="SimSun" w:cs="SimSun"/>
          <w:sz w:val="17"/>
          <w:szCs w:val="17"/>
          <w:spacing w:val="-9"/>
        </w:rPr>
        <w:t>屠 宰</w:t>
      </w:r>
      <w:r>
        <w:rPr>
          <w:rFonts w:ascii="SimSun" w:hAnsi="SimSun" w:eastAsia="SimSun" w:cs="SimSun"/>
          <w:sz w:val="17"/>
          <w:szCs w:val="17"/>
          <w:spacing w:val="-14"/>
        </w:rPr>
        <w:t xml:space="preserve"> </w:t>
      </w:r>
      <w:r>
        <w:rPr>
          <w:rFonts w:ascii="SimSun" w:hAnsi="SimSun" w:eastAsia="SimSun" w:cs="SimSun"/>
          <w:sz w:val="17"/>
          <w:szCs w:val="17"/>
          <w:spacing w:val="-9"/>
        </w:rPr>
        <w:t>工</w:t>
      </w:r>
      <w:r>
        <w:rPr>
          <w:rFonts w:ascii="SimSun" w:hAnsi="SimSun" w:eastAsia="SimSun" w:cs="SimSun"/>
          <w:sz w:val="17"/>
          <w:szCs w:val="17"/>
          <w:spacing w:val="-12"/>
        </w:rPr>
        <w:t xml:space="preserve"> </w:t>
      </w:r>
      <w:r>
        <w:rPr>
          <w:rFonts w:ascii="SimSun" w:hAnsi="SimSun" w:eastAsia="SimSun" w:cs="SimSun"/>
          <w:sz w:val="17"/>
          <w:szCs w:val="17"/>
          <w:spacing w:val="-9"/>
        </w:rPr>
        <w:t>艺</w:t>
      </w:r>
      <w:r>
        <w:rPr>
          <w:rFonts w:ascii="SimSun" w:hAnsi="SimSun" w:eastAsia="SimSun" w:cs="SimSun"/>
          <w:sz w:val="17"/>
          <w:szCs w:val="17"/>
          <w:spacing w:val="-16"/>
        </w:rPr>
        <w:t xml:space="preserve"> </w:t>
      </w:r>
      <w:r>
        <w:rPr>
          <w:rFonts w:ascii="SimSun" w:hAnsi="SimSun" w:eastAsia="SimSun" w:cs="SimSun"/>
          <w:sz w:val="17"/>
          <w:szCs w:val="17"/>
          <w:spacing w:val="-9"/>
        </w:rPr>
        <w:t>流</w:t>
      </w:r>
      <w:r>
        <w:rPr>
          <w:rFonts w:ascii="SimSun" w:hAnsi="SimSun" w:eastAsia="SimSun" w:cs="SimSun"/>
          <w:sz w:val="17"/>
          <w:szCs w:val="17"/>
          <w:spacing w:val="-17"/>
        </w:rPr>
        <w:t xml:space="preserve"> </w:t>
      </w:r>
      <w:r>
        <w:rPr>
          <w:rFonts w:ascii="SimSun" w:hAnsi="SimSun" w:eastAsia="SimSun" w:cs="SimSun"/>
          <w:sz w:val="17"/>
          <w:szCs w:val="17"/>
          <w:spacing w:val="-9"/>
        </w:rPr>
        <w:t>程</w:t>
      </w:r>
      <w:r>
        <w:rPr>
          <w:rFonts w:ascii="SimSun" w:hAnsi="SimSun" w:eastAsia="SimSun" w:cs="SimSun"/>
          <w:sz w:val="17"/>
          <w:szCs w:val="17"/>
          <w:spacing w:val="-17"/>
        </w:rPr>
        <w:t xml:space="preserve"> </w:t>
      </w:r>
      <w:r>
        <w:rPr>
          <w:rFonts w:ascii="SimSun" w:hAnsi="SimSun" w:eastAsia="SimSun" w:cs="SimSun"/>
          <w:sz w:val="17"/>
          <w:szCs w:val="17"/>
          <w:spacing w:val="-9"/>
        </w:rPr>
        <w:t>及</w:t>
      </w:r>
      <w:r>
        <w:rPr>
          <w:rFonts w:ascii="SimSun" w:hAnsi="SimSun" w:eastAsia="SimSun" w:cs="SimSun"/>
          <w:sz w:val="17"/>
          <w:szCs w:val="17"/>
          <w:spacing w:val="-17"/>
        </w:rPr>
        <w:t xml:space="preserve"> </w:t>
      </w:r>
      <w:r>
        <w:rPr>
          <w:rFonts w:ascii="SimSun" w:hAnsi="SimSun" w:eastAsia="SimSun" w:cs="SimSun"/>
          <w:sz w:val="17"/>
          <w:szCs w:val="17"/>
          <w:spacing w:val="-9"/>
        </w:rPr>
        <w:t>产</w:t>
      </w:r>
      <w:r>
        <w:rPr>
          <w:rFonts w:ascii="SimSun" w:hAnsi="SimSun" w:eastAsia="SimSun" w:cs="SimSun"/>
          <w:sz w:val="17"/>
          <w:szCs w:val="17"/>
          <w:spacing w:val="-15"/>
        </w:rPr>
        <w:t xml:space="preserve"> </w:t>
      </w:r>
      <w:r>
        <w:rPr>
          <w:rFonts w:ascii="SimSun" w:hAnsi="SimSun" w:eastAsia="SimSun" w:cs="SimSun"/>
          <w:sz w:val="17"/>
          <w:szCs w:val="17"/>
          <w:spacing w:val="-9"/>
        </w:rPr>
        <w:t>污</w:t>
      </w:r>
      <w:r>
        <w:rPr>
          <w:rFonts w:ascii="SimSun" w:hAnsi="SimSun" w:eastAsia="SimSun" w:cs="SimSun"/>
          <w:sz w:val="17"/>
          <w:szCs w:val="17"/>
          <w:spacing w:val="-16"/>
        </w:rPr>
        <w:t xml:space="preserve"> </w:t>
      </w:r>
      <w:r>
        <w:rPr>
          <w:rFonts w:ascii="SimSun" w:hAnsi="SimSun" w:eastAsia="SimSun" w:cs="SimSun"/>
          <w:sz w:val="17"/>
          <w:szCs w:val="17"/>
          <w:spacing w:val="-9"/>
        </w:rPr>
        <w:t>环</w:t>
      </w:r>
      <w:r>
        <w:rPr>
          <w:rFonts w:ascii="SimSun" w:hAnsi="SimSun" w:eastAsia="SimSun" w:cs="SimSun"/>
          <w:sz w:val="17"/>
          <w:szCs w:val="17"/>
          <w:spacing w:val="-17"/>
        </w:rPr>
        <w:t xml:space="preserve"> </w:t>
      </w:r>
      <w:r>
        <w:rPr>
          <w:rFonts w:ascii="SimSun" w:hAnsi="SimSun" w:eastAsia="SimSun" w:cs="SimSun"/>
          <w:sz w:val="17"/>
          <w:szCs w:val="17"/>
          <w:spacing w:val="-9"/>
        </w:rPr>
        <w:t>节 图</w:t>
      </w:r>
    </w:p>
    <w:p>
      <w:pPr>
        <w:ind w:left="480"/>
        <w:spacing w:before="258" w:line="219" w:lineRule="auto"/>
        <w:rPr>
          <w:rFonts w:ascii="SimSun" w:hAnsi="SimSun" w:eastAsia="SimSun" w:cs="SimSun"/>
          <w:sz w:val="17"/>
          <w:szCs w:val="17"/>
        </w:rPr>
      </w:pPr>
      <w:r>
        <w:rPr>
          <w:rFonts w:ascii="SimSun" w:hAnsi="SimSun" w:eastAsia="SimSun" w:cs="SimSun"/>
          <w:sz w:val="17"/>
          <w:szCs w:val="17"/>
          <w:spacing w:val="-6"/>
        </w:rPr>
        <w:t>工 艺</w:t>
      </w:r>
      <w:r>
        <w:rPr>
          <w:rFonts w:ascii="SimSun" w:hAnsi="SimSun" w:eastAsia="SimSun" w:cs="SimSun"/>
          <w:sz w:val="17"/>
          <w:szCs w:val="17"/>
          <w:spacing w:val="8"/>
        </w:rPr>
        <w:t xml:space="preserve"> </w:t>
      </w:r>
      <w:r>
        <w:rPr>
          <w:rFonts w:ascii="SimSun" w:hAnsi="SimSun" w:eastAsia="SimSun" w:cs="SimSun"/>
          <w:sz w:val="17"/>
          <w:szCs w:val="17"/>
          <w:spacing w:val="-6"/>
        </w:rPr>
        <w:t>流 程</w:t>
      </w:r>
      <w:r>
        <w:rPr>
          <w:rFonts w:ascii="SimSun" w:hAnsi="SimSun" w:eastAsia="SimSun" w:cs="SimSun"/>
          <w:sz w:val="17"/>
          <w:szCs w:val="17"/>
          <w:spacing w:val="4"/>
        </w:rPr>
        <w:t xml:space="preserve"> </w:t>
      </w:r>
      <w:r>
        <w:rPr>
          <w:rFonts w:ascii="SimSun" w:hAnsi="SimSun" w:eastAsia="SimSun" w:cs="SimSun"/>
          <w:sz w:val="17"/>
          <w:szCs w:val="17"/>
          <w:spacing w:val="-6"/>
        </w:rPr>
        <w:t>简</w:t>
      </w:r>
      <w:r>
        <w:rPr>
          <w:rFonts w:ascii="SimSun" w:hAnsi="SimSun" w:eastAsia="SimSun" w:cs="SimSun"/>
          <w:sz w:val="17"/>
          <w:szCs w:val="17"/>
          <w:spacing w:val="1"/>
        </w:rPr>
        <w:t xml:space="preserve"> </w:t>
      </w:r>
      <w:r>
        <w:rPr>
          <w:rFonts w:ascii="SimSun" w:hAnsi="SimSun" w:eastAsia="SimSun" w:cs="SimSun"/>
          <w:sz w:val="17"/>
          <w:szCs w:val="17"/>
          <w:spacing w:val="-6"/>
        </w:rPr>
        <w:t>介 ：</w:t>
      </w:r>
    </w:p>
    <w:p>
      <w:pPr>
        <w:pStyle w:val="BodyText"/>
        <w:spacing w:line="241" w:lineRule="auto"/>
        <w:rPr/>
      </w:pPr>
      <w:r/>
    </w:p>
    <w:p>
      <w:pPr>
        <w:ind w:left="10" w:right="185" w:firstLine="470"/>
        <w:spacing w:before="55" w:line="495" w:lineRule="auto"/>
        <w:rPr>
          <w:rFonts w:ascii="SimSun" w:hAnsi="SimSun" w:eastAsia="SimSun" w:cs="SimSun"/>
          <w:sz w:val="17"/>
          <w:szCs w:val="17"/>
        </w:rPr>
      </w:pPr>
      <w:r>
        <w:rPr>
          <w:rFonts w:ascii="SimSun" w:hAnsi="SimSun" w:eastAsia="SimSun" w:cs="SimSun"/>
          <w:sz w:val="17"/>
          <w:szCs w:val="17"/>
          <w:spacing w:val="-8"/>
        </w:rPr>
        <w:t>本 项</w:t>
      </w:r>
      <w:r>
        <w:rPr>
          <w:rFonts w:ascii="SimSun" w:hAnsi="SimSun" w:eastAsia="SimSun" w:cs="SimSun"/>
          <w:sz w:val="17"/>
          <w:szCs w:val="17"/>
          <w:spacing w:val="26"/>
        </w:rPr>
        <w:t xml:space="preserve"> </w:t>
      </w:r>
      <w:r>
        <w:rPr>
          <w:rFonts w:ascii="SimSun" w:hAnsi="SimSun" w:eastAsia="SimSun" w:cs="SimSun"/>
          <w:sz w:val="17"/>
          <w:szCs w:val="17"/>
          <w:spacing w:val="-8"/>
        </w:rPr>
        <w:t>目 肉 牛 屠 宰 的 主 要 工 艺 过 程 包 括</w:t>
      </w:r>
      <w:r>
        <w:rPr>
          <w:rFonts w:ascii="SimSun" w:hAnsi="SimSun" w:eastAsia="SimSun" w:cs="SimSun"/>
          <w:sz w:val="17"/>
          <w:szCs w:val="17"/>
          <w:spacing w:val="13"/>
        </w:rPr>
        <w:t xml:space="preserve"> </w:t>
      </w:r>
      <w:r>
        <w:rPr>
          <w:rFonts w:ascii="SimSun" w:hAnsi="SimSun" w:eastAsia="SimSun" w:cs="SimSun"/>
          <w:sz w:val="17"/>
          <w:szCs w:val="17"/>
          <w:spacing w:val="-8"/>
        </w:rPr>
        <w:t>以</w:t>
      </w:r>
      <w:r>
        <w:rPr>
          <w:rFonts w:ascii="SimSun" w:hAnsi="SimSun" w:eastAsia="SimSun" w:cs="SimSun"/>
          <w:sz w:val="17"/>
          <w:szCs w:val="17"/>
          <w:spacing w:val="-9"/>
        </w:rPr>
        <w:t xml:space="preserve"> 下</w:t>
      </w:r>
      <w:r>
        <w:rPr>
          <w:rFonts w:ascii="SimSun" w:hAnsi="SimSun" w:eastAsia="SimSun" w:cs="SimSun"/>
          <w:sz w:val="17"/>
          <w:szCs w:val="17"/>
          <w:spacing w:val="-2"/>
        </w:rPr>
        <w:t xml:space="preserve"> </w:t>
      </w:r>
      <w:r>
        <w:rPr>
          <w:rFonts w:ascii="SimSun" w:hAnsi="SimSun" w:eastAsia="SimSun" w:cs="SimSun"/>
          <w:sz w:val="17"/>
          <w:szCs w:val="17"/>
          <w:spacing w:val="-9"/>
        </w:rPr>
        <w:t>几 个 工</w:t>
      </w:r>
      <w:r>
        <w:rPr>
          <w:rFonts w:ascii="SimSun" w:hAnsi="SimSun" w:eastAsia="SimSun" w:cs="SimSun"/>
          <w:sz w:val="17"/>
          <w:szCs w:val="17"/>
          <w:spacing w:val="-2"/>
        </w:rPr>
        <w:t xml:space="preserve"> </w:t>
      </w:r>
      <w:r>
        <w:rPr>
          <w:rFonts w:ascii="SimSun" w:hAnsi="SimSun" w:eastAsia="SimSun" w:cs="SimSun"/>
          <w:sz w:val="17"/>
          <w:szCs w:val="17"/>
          <w:spacing w:val="-9"/>
        </w:rPr>
        <w:t>艺 段</w:t>
      </w:r>
      <w:r>
        <w:rPr>
          <w:rFonts w:ascii="SimSun" w:hAnsi="SimSun" w:eastAsia="SimSun" w:cs="SimSun"/>
          <w:sz w:val="17"/>
          <w:szCs w:val="17"/>
          <w:spacing w:val="9"/>
        </w:rPr>
        <w:t xml:space="preserve"> </w:t>
      </w:r>
      <w:r>
        <w:rPr>
          <w:rFonts w:ascii="SimSun" w:hAnsi="SimSun" w:eastAsia="SimSun" w:cs="SimSun"/>
          <w:sz w:val="17"/>
          <w:szCs w:val="17"/>
          <w:spacing w:val="-9"/>
        </w:rPr>
        <w:t>：</w:t>
      </w:r>
      <w:r>
        <w:rPr>
          <w:rFonts w:ascii="SimSun" w:hAnsi="SimSun" w:eastAsia="SimSun" w:cs="SimSun"/>
          <w:sz w:val="17"/>
          <w:szCs w:val="17"/>
          <w:spacing w:val="-4"/>
        </w:rPr>
        <w:t xml:space="preserve"> </w:t>
      </w:r>
      <w:r>
        <w:rPr>
          <w:rFonts w:ascii="SimSun" w:hAnsi="SimSun" w:eastAsia="SimSun" w:cs="SimSun"/>
          <w:sz w:val="17"/>
          <w:szCs w:val="17"/>
          <w:spacing w:val="-9"/>
        </w:rPr>
        <w:t>首</w:t>
      </w:r>
      <w:r>
        <w:rPr>
          <w:rFonts w:ascii="SimSun" w:hAnsi="SimSun" w:eastAsia="SimSun" w:cs="SimSun"/>
          <w:sz w:val="17"/>
          <w:szCs w:val="17"/>
          <w:spacing w:val="-2"/>
        </w:rPr>
        <w:t xml:space="preserve"> </w:t>
      </w:r>
      <w:r>
        <w:rPr>
          <w:rFonts w:ascii="SimSun" w:hAnsi="SimSun" w:eastAsia="SimSun" w:cs="SimSun"/>
          <w:sz w:val="17"/>
          <w:szCs w:val="17"/>
          <w:spacing w:val="-9"/>
        </w:rPr>
        <w:t>先</w:t>
      </w:r>
      <w:r>
        <w:rPr>
          <w:rFonts w:ascii="SimSun" w:hAnsi="SimSun" w:eastAsia="SimSun" w:cs="SimSun"/>
          <w:sz w:val="17"/>
          <w:szCs w:val="17"/>
          <w:spacing w:val="11"/>
        </w:rPr>
        <w:t xml:space="preserve"> </w:t>
      </w:r>
      <w:r>
        <w:rPr>
          <w:rFonts w:ascii="SimSun" w:hAnsi="SimSun" w:eastAsia="SimSun" w:cs="SimSun"/>
          <w:sz w:val="17"/>
          <w:szCs w:val="17"/>
          <w:spacing w:val="-9"/>
        </w:rPr>
        <w:t>向 押 运</w:t>
      </w:r>
      <w:r>
        <w:rPr>
          <w:rFonts w:ascii="SimSun" w:hAnsi="SimSun" w:eastAsia="SimSun" w:cs="SimSun"/>
          <w:sz w:val="17"/>
          <w:szCs w:val="17"/>
          <w:spacing w:val="1"/>
        </w:rPr>
        <w:t xml:space="preserve"> </w:t>
      </w:r>
      <w:r>
        <w:rPr>
          <w:rFonts w:ascii="SimSun" w:hAnsi="SimSun" w:eastAsia="SimSun" w:cs="SimSun"/>
          <w:sz w:val="17"/>
          <w:szCs w:val="17"/>
          <w:spacing w:val="-9"/>
        </w:rPr>
        <w:t>员</w:t>
      </w:r>
      <w:r>
        <w:rPr>
          <w:rFonts w:ascii="SimSun" w:hAnsi="SimSun" w:eastAsia="SimSun" w:cs="SimSun"/>
          <w:sz w:val="17"/>
          <w:szCs w:val="17"/>
          <w:spacing w:val="-3"/>
        </w:rPr>
        <w:t xml:space="preserve"> </w:t>
      </w:r>
      <w:r>
        <w:rPr>
          <w:rFonts w:ascii="SimSun" w:hAnsi="SimSun" w:eastAsia="SimSun" w:cs="SimSun"/>
          <w:sz w:val="17"/>
          <w:szCs w:val="17"/>
          <w:spacing w:val="-9"/>
        </w:rPr>
        <w:t>索 取</w:t>
      </w:r>
      <w:r>
        <w:rPr>
          <w:rFonts w:ascii="SimSun" w:hAnsi="SimSun" w:eastAsia="SimSun" w:cs="SimSun"/>
          <w:sz w:val="17"/>
          <w:szCs w:val="17"/>
        </w:rPr>
        <w:t xml:space="preserve"> </w:t>
      </w:r>
      <w:r>
        <w:rPr>
          <w:rFonts w:ascii="SimSun" w:hAnsi="SimSun" w:eastAsia="SimSun" w:cs="SimSun"/>
          <w:sz w:val="17"/>
          <w:szCs w:val="17"/>
          <w:spacing w:val="-6"/>
        </w:rPr>
        <w:t>检 疫 证 、 防 疫 注 射 证 等 证 件 ， 并 临 </w:t>
      </w:r>
      <w:r>
        <w:rPr>
          <w:rFonts w:ascii="SimSun" w:hAnsi="SimSun" w:eastAsia="SimSun" w:cs="SimSun"/>
          <w:sz w:val="17"/>
          <w:szCs w:val="17"/>
          <w:spacing w:val="-7"/>
        </w:rPr>
        <w:t>车 观 察 ， 未 见 异 常 、 证 货 相 符 后 方 可 卸 车 ；</w:t>
      </w:r>
      <w:r>
        <w:rPr>
          <w:rFonts w:ascii="SimSun" w:hAnsi="SimSun" w:eastAsia="SimSun" w:cs="SimSun"/>
          <w:sz w:val="17"/>
          <w:szCs w:val="17"/>
        </w:rPr>
        <w:t xml:space="preserve"> </w:t>
      </w:r>
      <w:r>
        <w:rPr>
          <w:rFonts w:ascii="SimSun" w:hAnsi="SimSun" w:eastAsia="SimSun" w:cs="SimSun"/>
          <w:sz w:val="17"/>
          <w:szCs w:val="17"/>
          <w:spacing w:val="-8"/>
        </w:rPr>
        <w:t>卸 车 的 肉 牛 在 待 宰 圈 舍 内 进 行</w:t>
      </w:r>
      <w:r>
        <w:rPr>
          <w:rFonts w:ascii="SimSun" w:hAnsi="SimSun" w:eastAsia="SimSun" w:cs="SimSun"/>
          <w:sz w:val="17"/>
          <w:szCs w:val="17"/>
          <w:spacing w:val="4"/>
        </w:rPr>
        <w:t xml:space="preserve"> </w:t>
      </w:r>
      <w:r>
        <w:rPr>
          <w:rFonts w:ascii="SimSun" w:hAnsi="SimSun" w:eastAsia="SimSun" w:cs="SimSun"/>
          <w:sz w:val="17"/>
          <w:szCs w:val="17"/>
          <w:spacing w:val="-8"/>
        </w:rPr>
        <w:t>1 2</w:t>
      </w:r>
      <w:r>
        <w:rPr>
          <w:rFonts w:ascii="Times New Roman" w:hAnsi="Times New Roman" w:eastAsia="Times New Roman" w:cs="Times New Roman"/>
          <w:sz w:val="13"/>
          <w:szCs w:val="13"/>
          <w:spacing w:val="-8"/>
        </w:rPr>
        <w:t>h   </w:t>
      </w:r>
      <w:r>
        <w:rPr>
          <w:rFonts w:ascii="SimSun" w:hAnsi="SimSun" w:eastAsia="SimSun" w:cs="SimSun"/>
          <w:sz w:val="17"/>
          <w:szCs w:val="17"/>
          <w:spacing w:val="-8"/>
        </w:rPr>
        <w:t>断 食 观</w:t>
      </w:r>
      <w:r>
        <w:rPr>
          <w:rFonts w:ascii="SimSun" w:hAnsi="SimSun" w:eastAsia="SimSun" w:cs="SimSun"/>
          <w:sz w:val="17"/>
          <w:szCs w:val="17"/>
          <w:spacing w:val="-9"/>
        </w:rPr>
        <w:t xml:space="preserve"> 察</w:t>
      </w:r>
      <w:r>
        <w:rPr>
          <w:rFonts w:ascii="SimSun" w:hAnsi="SimSun" w:eastAsia="SimSun" w:cs="SimSun"/>
          <w:sz w:val="17"/>
          <w:szCs w:val="17"/>
          <w:spacing w:val="10"/>
        </w:rPr>
        <w:t xml:space="preserve"> </w:t>
      </w:r>
      <w:r>
        <w:rPr>
          <w:rFonts w:ascii="SimSun" w:hAnsi="SimSun" w:eastAsia="SimSun" w:cs="SimSun"/>
          <w:sz w:val="17"/>
          <w:szCs w:val="17"/>
          <w:spacing w:val="-9"/>
        </w:rPr>
        <w:t>， 未</w:t>
      </w:r>
      <w:r>
        <w:rPr>
          <w:rFonts w:ascii="SimSun" w:hAnsi="SimSun" w:eastAsia="SimSun" w:cs="SimSun"/>
          <w:sz w:val="17"/>
          <w:szCs w:val="17"/>
          <w:spacing w:val="-2"/>
        </w:rPr>
        <w:t xml:space="preserve"> </w:t>
      </w:r>
      <w:r>
        <w:rPr>
          <w:rFonts w:ascii="SimSun" w:hAnsi="SimSun" w:eastAsia="SimSun" w:cs="SimSun"/>
          <w:sz w:val="17"/>
          <w:szCs w:val="17"/>
          <w:spacing w:val="-9"/>
        </w:rPr>
        <w:t>见 异</w:t>
      </w:r>
      <w:r>
        <w:rPr>
          <w:rFonts w:ascii="SimSun" w:hAnsi="SimSun" w:eastAsia="SimSun" w:cs="SimSun"/>
          <w:sz w:val="17"/>
          <w:szCs w:val="17"/>
        </w:rPr>
        <w:t xml:space="preserve"> </w:t>
      </w:r>
      <w:r>
        <w:rPr>
          <w:rFonts w:ascii="SimSun" w:hAnsi="SimSun" w:eastAsia="SimSun" w:cs="SimSun"/>
          <w:sz w:val="17"/>
          <w:szCs w:val="17"/>
          <w:spacing w:val="-9"/>
        </w:rPr>
        <w:t>常</w:t>
      </w:r>
      <w:r>
        <w:rPr>
          <w:rFonts w:ascii="SimSun" w:hAnsi="SimSun" w:eastAsia="SimSun" w:cs="SimSun"/>
          <w:sz w:val="17"/>
          <w:szCs w:val="17"/>
          <w:spacing w:val="10"/>
        </w:rPr>
        <w:t xml:space="preserve"> </w:t>
      </w:r>
      <w:r>
        <w:rPr>
          <w:rFonts w:ascii="SimSun" w:hAnsi="SimSun" w:eastAsia="SimSun" w:cs="SimSun"/>
          <w:sz w:val="17"/>
          <w:szCs w:val="17"/>
          <w:spacing w:val="-9"/>
        </w:rPr>
        <w:t>的</w:t>
      </w:r>
      <w:r>
        <w:rPr>
          <w:rFonts w:ascii="SimSun" w:hAnsi="SimSun" w:eastAsia="SimSun" w:cs="SimSun"/>
          <w:sz w:val="17"/>
          <w:szCs w:val="17"/>
          <w:spacing w:val="12"/>
        </w:rPr>
        <w:t xml:space="preserve"> </w:t>
      </w:r>
      <w:r>
        <w:rPr>
          <w:rFonts w:ascii="SimSun" w:hAnsi="SimSun" w:eastAsia="SimSun" w:cs="SimSun"/>
          <w:sz w:val="17"/>
          <w:szCs w:val="17"/>
          <w:spacing w:val="-9"/>
        </w:rPr>
        <w:t>肉</w:t>
      </w:r>
      <w:r>
        <w:rPr>
          <w:rFonts w:ascii="SimSun" w:hAnsi="SimSun" w:eastAsia="SimSun" w:cs="SimSun"/>
          <w:sz w:val="17"/>
          <w:szCs w:val="17"/>
        </w:rPr>
        <w:t xml:space="preserve"> </w:t>
      </w:r>
      <w:r>
        <w:rPr>
          <w:rFonts w:ascii="SimSun" w:hAnsi="SimSun" w:eastAsia="SimSun" w:cs="SimSun"/>
          <w:sz w:val="17"/>
          <w:szCs w:val="17"/>
          <w:spacing w:val="-9"/>
        </w:rPr>
        <w:t>牛</w:t>
      </w:r>
      <w:r>
        <w:rPr>
          <w:rFonts w:ascii="SimSun" w:hAnsi="SimSun" w:eastAsia="SimSun" w:cs="SimSun"/>
          <w:sz w:val="17"/>
          <w:szCs w:val="17"/>
          <w:spacing w:val="-5"/>
        </w:rPr>
        <w:t xml:space="preserve"> </w:t>
      </w:r>
      <w:r>
        <w:rPr>
          <w:rFonts w:ascii="SimSun" w:hAnsi="SimSun" w:eastAsia="SimSun" w:cs="SimSun"/>
          <w:sz w:val="17"/>
          <w:szCs w:val="17"/>
          <w:spacing w:val="-9"/>
        </w:rPr>
        <w:t>通</w:t>
      </w:r>
      <w:r>
        <w:rPr>
          <w:rFonts w:ascii="SimSun" w:hAnsi="SimSun" w:eastAsia="SimSun" w:cs="SimSun"/>
          <w:sz w:val="17"/>
          <w:szCs w:val="17"/>
          <w:spacing w:val="-3"/>
        </w:rPr>
        <w:t xml:space="preserve"> </w:t>
      </w:r>
      <w:r>
        <w:rPr>
          <w:rFonts w:ascii="SimSun" w:hAnsi="SimSun" w:eastAsia="SimSun" w:cs="SimSun"/>
          <w:sz w:val="17"/>
          <w:szCs w:val="17"/>
          <w:spacing w:val="-9"/>
        </w:rPr>
        <w:t>过</w:t>
      </w:r>
      <w:r>
        <w:rPr>
          <w:rFonts w:ascii="SimSun" w:hAnsi="SimSun" w:eastAsia="SimSun" w:cs="SimSun"/>
          <w:sz w:val="17"/>
          <w:szCs w:val="17"/>
          <w:spacing w:val="-3"/>
        </w:rPr>
        <w:t xml:space="preserve"> </w:t>
      </w:r>
      <w:r>
        <w:rPr>
          <w:rFonts w:ascii="SimSun" w:hAnsi="SimSun" w:eastAsia="SimSun" w:cs="SimSun"/>
          <w:sz w:val="17"/>
          <w:szCs w:val="17"/>
          <w:spacing w:val="-9"/>
        </w:rPr>
        <w:t>淋</w:t>
      </w:r>
      <w:r>
        <w:rPr>
          <w:rFonts w:ascii="SimSun" w:hAnsi="SimSun" w:eastAsia="SimSun" w:cs="SimSun"/>
          <w:sz w:val="17"/>
          <w:szCs w:val="17"/>
          <w:spacing w:val="-3"/>
        </w:rPr>
        <w:t xml:space="preserve"> </w:t>
      </w:r>
      <w:r>
        <w:rPr>
          <w:rFonts w:ascii="SimSun" w:hAnsi="SimSun" w:eastAsia="SimSun" w:cs="SimSun"/>
          <w:sz w:val="17"/>
          <w:szCs w:val="17"/>
          <w:spacing w:val="-9"/>
        </w:rPr>
        <w:t>浴</w:t>
      </w:r>
      <w:r>
        <w:rPr>
          <w:rFonts w:ascii="SimSun" w:hAnsi="SimSun" w:eastAsia="SimSun" w:cs="SimSun"/>
          <w:sz w:val="17"/>
          <w:szCs w:val="17"/>
          <w:spacing w:val="8"/>
        </w:rPr>
        <w:t xml:space="preserve"> </w:t>
      </w:r>
      <w:r>
        <w:rPr>
          <w:rFonts w:ascii="SimSun" w:hAnsi="SimSun" w:eastAsia="SimSun" w:cs="SimSun"/>
          <w:sz w:val="17"/>
          <w:szCs w:val="17"/>
          <w:spacing w:val="-9"/>
        </w:rPr>
        <w:t>、</w:t>
      </w:r>
      <w:r>
        <w:rPr>
          <w:rFonts w:ascii="SimSun" w:hAnsi="SimSun" w:eastAsia="SimSun" w:cs="SimSun"/>
          <w:sz w:val="17"/>
          <w:szCs w:val="17"/>
          <w:spacing w:val="-4"/>
        </w:rPr>
        <w:t xml:space="preserve"> </w:t>
      </w:r>
      <w:r>
        <w:rPr>
          <w:rFonts w:ascii="SimSun" w:hAnsi="SimSun" w:eastAsia="SimSun" w:cs="SimSun"/>
          <w:sz w:val="17"/>
          <w:szCs w:val="17"/>
          <w:spacing w:val="-9"/>
        </w:rPr>
        <w:t>麻</w:t>
      </w:r>
      <w:r>
        <w:rPr>
          <w:rFonts w:ascii="SimSun" w:hAnsi="SimSun" w:eastAsia="SimSun" w:cs="SimSun"/>
          <w:sz w:val="17"/>
          <w:szCs w:val="17"/>
          <w:spacing w:val="16"/>
        </w:rPr>
        <w:t xml:space="preserve"> </w:t>
      </w:r>
      <w:r>
        <w:rPr>
          <w:rFonts w:ascii="SimSun" w:hAnsi="SimSun" w:eastAsia="SimSun" w:cs="SimSun"/>
          <w:sz w:val="17"/>
          <w:szCs w:val="17"/>
          <w:spacing w:val="-9"/>
        </w:rPr>
        <w:t>电</w:t>
      </w:r>
    </w:p>
    <w:p>
      <w:pPr>
        <w:ind w:right="186" w:firstLine="10"/>
        <w:spacing w:before="24" w:line="490" w:lineRule="auto"/>
        <w:rPr>
          <w:rFonts w:ascii="SimSun" w:hAnsi="SimSun" w:eastAsia="SimSun" w:cs="SimSun"/>
          <w:sz w:val="17"/>
          <w:szCs w:val="17"/>
        </w:rPr>
      </w:pPr>
      <w:r>
        <w:rPr>
          <w:rFonts w:ascii="SimSun" w:hAnsi="SimSun" w:eastAsia="SimSun" w:cs="SimSun"/>
          <w:sz w:val="17"/>
          <w:szCs w:val="17"/>
          <w:spacing w:val="-7"/>
        </w:rPr>
        <w:t>后 ， 进 行 刺 杀 放 血 ， 经 过 清 洗 、 拔 毛 、 去 头 、 蹄 、 尾 后</w:t>
      </w:r>
      <w:r>
        <w:rPr>
          <w:rFonts w:ascii="SimSun" w:hAnsi="SimSun" w:eastAsia="SimSun" w:cs="SimSun"/>
          <w:sz w:val="17"/>
          <w:szCs w:val="17"/>
          <w:spacing w:val="23"/>
        </w:rPr>
        <w:t xml:space="preserve"> </w:t>
      </w:r>
      <w:r>
        <w:rPr>
          <w:rFonts w:ascii="SimSun" w:hAnsi="SimSun" w:eastAsia="SimSun" w:cs="SimSun"/>
          <w:sz w:val="17"/>
          <w:szCs w:val="17"/>
          <w:spacing w:val="-7"/>
        </w:rPr>
        <w:t>， 进 行 体 表 检 验 ， 剖 腹</w:t>
      </w:r>
      <w:r>
        <w:rPr>
          <w:rFonts w:ascii="SimSun" w:hAnsi="SimSun" w:eastAsia="SimSun" w:cs="SimSun"/>
          <w:sz w:val="17"/>
          <w:szCs w:val="17"/>
        </w:rPr>
        <w:t xml:space="preserve"> </w:t>
      </w:r>
      <w:r>
        <w:rPr>
          <w:rFonts w:ascii="SimSun" w:hAnsi="SimSun" w:eastAsia="SimSun" w:cs="SimSun"/>
          <w:sz w:val="17"/>
          <w:szCs w:val="17"/>
          <w:spacing w:val="-9"/>
        </w:rPr>
        <w:t>取 出</w:t>
      </w:r>
      <w:r>
        <w:rPr>
          <w:rFonts w:ascii="SimSun" w:hAnsi="SimSun" w:eastAsia="SimSun" w:cs="SimSun"/>
          <w:sz w:val="17"/>
          <w:szCs w:val="17"/>
          <w:spacing w:val="31"/>
          <w:w w:val="101"/>
        </w:rPr>
        <w:t xml:space="preserve"> </w:t>
      </w:r>
      <w:r>
        <w:rPr>
          <w:rFonts w:ascii="SimSun" w:hAnsi="SimSun" w:eastAsia="SimSun" w:cs="SimSun"/>
          <w:sz w:val="17"/>
          <w:szCs w:val="17"/>
          <w:spacing w:val="-9"/>
        </w:rPr>
        <w:t>内 脏 心 、</w:t>
      </w:r>
      <w:r>
        <w:rPr>
          <w:rFonts w:ascii="SimSun" w:hAnsi="SimSun" w:eastAsia="SimSun" w:cs="SimSun"/>
          <w:sz w:val="17"/>
          <w:szCs w:val="17"/>
          <w:spacing w:val="20"/>
        </w:rPr>
        <w:t xml:space="preserve"> </w:t>
      </w:r>
      <w:r>
        <w:rPr>
          <w:rFonts w:ascii="SimSun" w:hAnsi="SimSun" w:eastAsia="SimSun" w:cs="SimSun"/>
          <w:sz w:val="17"/>
          <w:szCs w:val="17"/>
          <w:spacing w:val="-9"/>
        </w:rPr>
        <w:t>胃 、 肠 等</w:t>
      </w:r>
      <w:r>
        <w:rPr>
          <w:rFonts w:ascii="SimSun" w:hAnsi="SimSun" w:eastAsia="SimSun" w:cs="SimSun"/>
          <w:sz w:val="17"/>
          <w:szCs w:val="17"/>
          <w:spacing w:val="8"/>
        </w:rPr>
        <w:t xml:space="preserve"> </w:t>
      </w:r>
      <w:r>
        <w:rPr>
          <w:rFonts w:ascii="SimSun" w:hAnsi="SimSun" w:eastAsia="SimSun" w:cs="SimSun"/>
          <w:sz w:val="17"/>
          <w:szCs w:val="17"/>
          <w:spacing w:val="-9"/>
        </w:rPr>
        <w:t>，</w:t>
      </w:r>
      <w:r>
        <w:rPr>
          <w:rFonts w:ascii="SimSun" w:hAnsi="SimSun" w:eastAsia="SimSun" w:cs="SimSun"/>
          <w:sz w:val="17"/>
          <w:szCs w:val="17"/>
          <w:spacing w:val="10"/>
        </w:rPr>
        <w:t xml:space="preserve"> </w:t>
      </w:r>
      <w:r>
        <w:rPr>
          <w:rFonts w:ascii="SimSun" w:hAnsi="SimSun" w:eastAsia="SimSun" w:cs="SimSun"/>
          <w:sz w:val="17"/>
          <w:szCs w:val="17"/>
          <w:spacing w:val="-9"/>
        </w:rPr>
        <w:t>四 分 体 检 验</w:t>
      </w:r>
      <w:r>
        <w:rPr>
          <w:rFonts w:ascii="SimSun" w:hAnsi="SimSun" w:eastAsia="SimSun" w:cs="SimSun"/>
          <w:sz w:val="17"/>
          <w:szCs w:val="17"/>
          <w:spacing w:val="6"/>
        </w:rPr>
        <w:t xml:space="preserve"> </w:t>
      </w:r>
      <w:r>
        <w:rPr>
          <w:rFonts w:ascii="SimSun" w:hAnsi="SimSun" w:eastAsia="SimSun" w:cs="SimSun"/>
          <w:sz w:val="17"/>
          <w:szCs w:val="17"/>
          <w:spacing w:val="-9"/>
        </w:rPr>
        <w:t>、 锯 半</w:t>
      </w:r>
      <w:r>
        <w:rPr>
          <w:rFonts w:ascii="SimSun" w:hAnsi="SimSun" w:eastAsia="SimSun" w:cs="SimSun"/>
          <w:sz w:val="17"/>
          <w:szCs w:val="17"/>
          <w:spacing w:val="6"/>
        </w:rPr>
        <w:t xml:space="preserve"> </w:t>
      </w:r>
      <w:r>
        <w:rPr>
          <w:rFonts w:ascii="SimSun" w:hAnsi="SimSun" w:eastAsia="SimSun" w:cs="SimSun"/>
          <w:sz w:val="17"/>
          <w:szCs w:val="17"/>
          <w:spacing w:val="-9"/>
        </w:rPr>
        <w:t>、 排 酸 后 复 检 成 为 产</w:t>
      </w:r>
      <w:r>
        <w:rPr>
          <w:rFonts w:ascii="SimSun" w:hAnsi="SimSun" w:eastAsia="SimSun" w:cs="SimSun"/>
          <w:sz w:val="17"/>
          <w:szCs w:val="17"/>
          <w:spacing w:val="8"/>
        </w:rPr>
        <w:t xml:space="preserve"> </w:t>
      </w:r>
      <w:r>
        <w:rPr>
          <w:rFonts w:ascii="SimSun" w:hAnsi="SimSun" w:eastAsia="SimSun" w:cs="SimSun"/>
          <w:sz w:val="17"/>
          <w:szCs w:val="17"/>
          <w:spacing w:val="-9"/>
        </w:rPr>
        <w:t>品</w:t>
      </w:r>
      <w:r>
        <w:rPr>
          <w:rFonts w:ascii="SimSun" w:hAnsi="SimSun" w:eastAsia="SimSun" w:cs="SimSun"/>
          <w:sz w:val="17"/>
          <w:szCs w:val="17"/>
          <w:spacing w:val="11"/>
        </w:rPr>
        <w:t xml:space="preserve"> </w:t>
      </w:r>
      <w:r>
        <w:rPr>
          <w:rFonts w:ascii="SimSun" w:hAnsi="SimSun" w:eastAsia="SimSun" w:cs="SimSun"/>
          <w:sz w:val="17"/>
          <w:szCs w:val="17"/>
          <w:spacing w:val="-9"/>
        </w:rPr>
        <w:t>。</w:t>
      </w:r>
      <w:r>
        <w:rPr>
          <w:rFonts w:ascii="SimSun" w:hAnsi="SimSun" w:eastAsia="SimSun" w:cs="SimSun"/>
          <w:sz w:val="17"/>
          <w:szCs w:val="17"/>
          <w:spacing w:val="-2"/>
        </w:rPr>
        <w:t xml:space="preserve"> </w:t>
      </w:r>
      <w:r>
        <w:rPr>
          <w:rFonts w:ascii="SimSun" w:hAnsi="SimSun" w:eastAsia="SimSun" w:cs="SimSun"/>
          <w:sz w:val="17"/>
          <w:szCs w:val="17"/>
          <w:spacing w:val="-9"/>
        </w:rPr>
        <w:t>具 体</w:t>
      </w:r>
      <w:r>
        <w:rPr>
          <w:rFonts w:ascii="SimSun" w:hAnsi="SimSun" w:eastAsia="SimSun" w:cs="SimSun"/>
          <w:sz w:val="17"/>
          <w:szCs w:val="17"/>
          <w:spacing w:val="-3"/>
        </w:rPr>
        <w:t xml:space="preserve"> </w:t>
      </w:r>
      <w:r>
        <w:rPr>
          <w:rFonts w:ascii="SimSun" w:hAnsi="SimSun" w:eastAsia="SimSun" w:cs="SimSun"/>
          <w:sz w:val="17"/>
          <w:szCs w:val="17"/>
          <w:spacing w:val="-9"/>
        </w:rPr>
        <w:t>如</w:t>
      </w:r>
    </w:p>
    <w:p>
      <w:pPr>
        <w:spacing w:before="67" w:line="184" w:lineRule="auto"/>
        <w:rPr>
          <w:rFonts w:ascii="SimSun" w:hAnsi="SimSun" w:eastAsia="SimSun" w:cs="SimSun"/>
          <w:sz w:val="13"/>
          <w:szCs w:val="13"/>
        </w:rPr>
      </w:pPr>
      <w:r>
        <w:rPr>
          <w:rFonts w:ascii="SimSun" w:hAnsi="SimSun" w:eastAsia="SimSun" w:cs="SimSun"/>
          <w:sz w:val="13"/>
          <w:szCs w:val="13"/>
          <w:spacing w:val="-5"/>
        </w:rPr>
        <w:t>下</w:t>
      </w:r>
      <w:r>
        <w:rPr>
          <w:rFonts w:ascii="SimSun" w:hAnsi="SimSun" w:eastAsia="SimSun" w:cs="SimSun"/>
          <w:sz w:val="13"/>
          <w:szCs w:val="13"/>
          <w:spacing w:val="22"/>
        </w:rPr>
        <w:t xml:space="preserve">  </w:t>
      </w:r>
      <w:r>
        <w:rPr>
          <w:rFonts w:ascii="SimSun" w:hAnsi="SimSun" w:eastAsia="SimSun" w:cs="SimSun"/>
          <w:sz w:val="13"/>
          <w:szCs w:val="13"/>
          <w:spacing w:val="-5"/>
        </w:rPr>
        <w:t>：</w:t>
      </w:r>
    </w:p>
    <w:p>
      <w:pPr>
        <w:spacing w:line="184" w:lineRule="auto"/>
        <w:sectPr>
          <w:type w:val="continuous"/>
          <w:pgSz w:w="11910" w:h="16840"/>
          <w:pgMar w:top="1204" w:right="1786" w:bottom="976" w:left="1779" w:header="939" w:footer="755" w:gutter="0"/>
          <w:cols w:equalWidth="0" w:num="1">
            <w:col w:w="8344" w:space="0"/>
          </w:cols>
        </w:sectPr>
        <w:rPr>
          <w:rFonts w:ascii="SimSun" w:hAnsi="SimSun" w:eastAsia="SimSun" w:cs="SimSun"/>
          <w:sz w:val="13"/>
          <w:szCs w:val="13"/>
        </w:rPr>
      </w:pPr>
    </w:p>
    <w:p>
      <w:pPr>
        <w:ind w:left="603"/>
        <w:spacing w:before="256" w:line="219" w:lineRule="auto"/>
        <w:rPr>
          <w:rFonts w:ascii="SimSun" w:hAnsi="SimSun" w:eastAsia="SimSun" w:cs="SimSun"/>
          <w:sz w:val="23"/>
          <w:szCs w:val="23"/>
        </w:rPr>
      </w:pPr>
      <w:r>
        <w:rPr>
          <w:rFonts w:ascii="SimSun" w:hAnsi="SimSun" w:eastAsia="SimSun" w:cs="SimSun"/>
          <w:sz w:val="23"/>
          <w:szCs w:val="23"/>
          <w:b/>
          <w:bCs/>
          <w:spacing w:val="18"/>
        </w:rPr>
        <w:t>(1)肉牛入场、检疫</w:t>
      </w:r>
    </w:p>
    <w:p>
      <w:pPr>
        <w:ind w:right="295" w:firstLine="460"/>
        <w:spacing w:before="198" w:line="386" w:lineRule="auto"/>
        <w:rPr>
          <w:rFonts w:ascii="SimSun" w:hAnsi="SimSun" w:eastAsia="SimSun" w:cs="SimSun"/>
          <w:sz w:val="23"/>
          <w:szCs w:val="23"/>
        </w:rPr>
      </w:pPr>
      <w:r>
        <w:rPr>
          <w:rFonts w:ascii="SimSun" w:hAnsi="SimSun" w:eastAsia="SimSun" w:cs="SimSun"/>
          <w:sz w:val="23"/>
          <w:szCs w:val="23"/>
          <w:spacing w:val="7"/>
        </w:rPr>
        <w:t>肉牛存放在待宰圈内，必须保证活牛有充足的休息时间，使活牛保持安静</w:t>
      </w:r>
      <w:r>
        <w:rPr>
          <w:rFonts w:ascii="SimSun" w:hAnsi="SimSun" w:eastAsia="SimSun" w:cs="SimSun"/>
          <w:sz w:val="23"/>
          <w:szCs w:val="23"/>
          <w:spacing w:val="3"/>
        </w:rPr>
        <w:t xml:space="preserve"> </w:t>
      </w:r>
      <w:r>
        <w:rPr>
          <w:rFonts w:ascii="SimSun" w:hAnsi="SimSun" w:eastAsia="SimSun" w:cs="SimSun"/>
          <w:sz w:val="23"/>
          <w:szCs w:val="23"/>
          <w:spacing w:val="6"/>
        </w:rPr>
        <w:t>的状态，防止代谢机能旺盛，同时宰前需要断食1</w:t>
      </w:r>
      <w:r>
        <w:rPr>
          <w:rFonts w:ascii="SimSun" w:hAnsi="SimSun" w:eastAsia="SimSun" w:cs="SimSun"/>
          <w:sz w:val="23"/>
          <w:szCs w:val="23"/>
          <w:spacing w:val="5"/>
        </w:rPr>
        <w:t>2</w:t>
      </w:r>
      <w:r>
        <w:rPr>
          <w:rFonts w:ascii="Times New Roman" w:hAnsi="Times New Roman" w:eastAsia="Times New Roman" w:cs="Times New Roman"/>
          <w:sz w:val="23"/>
          <w:szCs w:val="23"/>
          <w:spacing w:val="5"/>
        </w:rPr>
        <w:t>h</w:t>
      </w:r>
      <w:r>
        <w:rPr>
          <w:rFonts w:ascii="SimSun" w:hAnsi="SimSun" w:eastAsia="SimSun" w:cs="SimSun"/>
          <w:sz w:val="23"/>
          <w:szCs w:val="23"/>
          <w:spacing w:val="5"/>
        </w:rPr>
        <w:t>。</w:t>
      </w:r>
    </w:p>
    <w:p>
      <w:pPr>
        <w:ind w:right="241" w:firstLine="460"/>
        <w:spacing w:before="4" w:line="369" w:lineRule="auto"/>
        <w:jc w:val="both"/>
        <w:rPr>
          <w:rFonts w:ascii="SimSun" w:hAnsi="SimSun" w:eastAsia="SimSun" w:cs="SimSun"/>
          <w:sz w:val="23"/>
          <w:szCs w:val="23"/>
        </w:rPr>
      </w:pPr>
      <w:r>
        <w:rPr>
          <w:rFonts w:ascii="SimSun" w:hAnsi="SimSun" w:eastAsia="SimSun" w:cs="SimSun"/>
          <w:sz w:val="23"/>
          <w:szCs w:val="23"/>
          <w:spacing w:val="7"/>
        </w:rPr>
        <w:t>屠宰前检疫人员观察有无病牛，如有需要进行急宰的进入急宰间，如有病</w:t>
      </w:r>
      <w:r>
        <w:rPr>
          <w:rFonts w:ascii="SimSun" w:hAnsi="SimSun" w:eastAsia="SimSun" w:cs="SimSun"/>
          <w:sz w:val="23"/>
          <w:szCs w:val="23"/>
          <w:spacing w:val="11"/>
        </w:rPr>
        <w:t xml:space="preserve"> </w:t>
      </w:r>
      <w:r>
        <w:rPr>
          <w:rFonts w:ascii="SimSun" w:hAnsi="SimSun" w:eastAsia="SimSun" w:cs="SimSun"/>
          <w:sz w:val="23"/>
          <w:szCs w:val="23"/>
          <w:spacing w:val="8"/>
        </w:rPr>
        <w:t>死牛，不在厂内暂存，直接由卸货车辆交至无害化处理中心处理，宰前检疫的</w:t>
      </w:r>
      <w:r>
        <w:rPr>
          <w:rFonts w:ascii="SimSun" w:hAnsi="SimSun" w:eastAsia="SimSun" w:cs="SimSun"/>
          <w:sz w:val="23"/>
          <w:szCs w:val="23"/>
          <w:spacing w:val="4"/>
        </w:rPr>
        <w:t xml:space="preserve"> </w:t>
      </w:r>
      <w:r>
        <w:rPr>
          <w:rFonts w:ascii="SimSun" w:hAnsi="SimSun" w:eastAsia="SimSun" w:cs="SimSun"/>
          <w:sz w:val="23"/>
          <w:szCs w:val="23"/>
          <w:spacing w:val="8"/>
        </w:rPr>
        <w:t>目的是通过检疫以控制各种疫病的传入和扩散，减少污染，提高产品</w:t>
      </w:r>
      <w:r>
        <w:rPr>
          <w:rFonts w:ascii="SimSun" w:hAnsi="SimSun" w:eastAsia="SimSun" w:cs="SimSun"/>
          <w:sz w:val="23"/>
          <w:szCs w:val="23"/>
          <w:spacing w:val="7"/>
        </w:rPr>
        <w:t>质量。入</w:t>
      </w:r>
      <w:r>
        <w:rPr>
          <w:rFonts w:ascii="SimSun" w:hAnsi="SimSun" w:eastAsia="SimSun" w:cs="SimSun"/>
          <w:sz w:val="23"/>
          <w:szCs w:val="23"/>
        </w:rPr>
        <w:t xml:space="preserve"> </w:t>
      </w:r>
      <w:r>
        <w:rPr>
          <w:rFonts w:ascii="SimSun" w:hAnsi="SimSun" w:eastAsia="SimSun" w:cs="SimSun"/>
          <w:sz w:val="23"/>
          <w:szCs w:val="23"/>
          <w:spacing w:val="8"/>
        </w:rPr>
        <w:t>场肉牛均为已接受检验检疫的肉牛，带有检疫合格证，检疫过程为检疫人员肉</w:t>
      </w:r>
      <w:r>
        <w:rPr>
          <w:rFonts w:ascii="SimSun" w:hAnsi="SimSun" w:eastAsia="SimSun" w:cs="SimSun"/>
          <w:sz w:val="23"/>
          <w:szCs w:val="23"/>
          <w:spacing w:val="9"/>
        </w:rPr>
        <w:t xml:space="preserve"> </w:t>
      </w:r>
      <w:r>
        <w:rPr>
          <w:rFonts w:ascii="SimSun" w:hAnsi="SimSun" w:eastAsia="SimSun" w:cs="SimSun"/>
          <w:sz w:val="23"/>
          <w:szCs w:val="23"/>
          <w:spacing w:val="5"/>
        </w:rPr>
        <w:t>眼观察，不使用检测试剂。</w:t>
      </w:r>
    </w:p>
    <w:p>
      <w:pPr>
        <w:ind w:left="460"/>
        <w:spacing w:before="27" w:line="219" w:lineRule="auto"/>
        <w:rPr>
          <w:rFonts w:ascii="SimSun" w:hAnsi="SimSun" w:eastAsia="SimSun" w:cs="SimSun"/>
          <w:sz w:val="23"/>
          <w:szCs w:val="23"/>
        </w:rPr>
      </w:pPr>
      <w:r>
        <w:rPr>
          <w:rFonts w:ascii="SimSun" w:hAnsi="SimSun" w:eastAsia="SimSun" w:cs="SimSun"/>
          <w:sz w:val="23"/>
          <w:szCs w:val="23"/>
          <w:spacing w:val="10"/>
        </w:rPr>
        <w:t>该工序主要产生恶臭、尿液、粪便和噪声。</w:t>
      </w:r>
    </w:p>
    <w:p>
      <w:pPr>
        <w:ind w:left="603"/>
        <w:spacing w:before="163" w:line="219" w:lineRule="auto"/>
        <w:rPr>
          <w:rFonts w:ascii="SimSun" w:hAnsi="SimSun" w:eastAsia="SimSun" w:cs="SimSun"/>
          <w:sz w:val="23"/>
          <w:szCs w:val="23"/>
        </w:rPr>
      </w:pPr>
      <w:r>
        <w:rPr>
          <w:rFonts w:ascii="SimSun" w:hAnsi="SimSun" w:eastAsia="SimSun" w:cs="SimSun"/>
          <w:sz w:val="23"/>
          <w:szCs w:val="23"/>
          <w:b/>
          <w:bCs/>
          <w:spacing w:val="13"/>
        </w:rPr>
        <w:t>(2)上挂、电麻、宰杀放血</w:t>
      </w:r>
    </w:p>
    <w:p>
      <w:pPr>
        <w:ind w:right="182" w:firstLine="460"/>
        <w:spacing w:before="218" w:line="371" w:lineRule="auto"/>
        <w:jc w:val="both"/>
        <w:rPr>
          <w:rFonts w:ascii="SimSun" w:hAnsi="SimSun" w:eastAsia="SimSun" w:cs="SimSun"/>
          <w:sz w:val="23"/>
          <w:szCs w:val="23"/>
        </w:rPr>
      </w:pPr>
      <w:r>
        <w:rPr>
          <w:rFonts w:ascii="SimSun" w:hAnsi="SimSun" w:eastAsia="SimSun" w:cs="SimSun"/>
          <w:sz w:val="23"/>
          <w:szCs w:val="23"/>
          <w:spacing w:val="4"/>
        </w:rPr>
        <w:t>将称重后的肉牛赶入击晕箱，在110V</w:t>
      </w:r>
      <w:r>
        <w:rPr>
          <w:rFonts w:ascii="SimSun" w:hAnsi="SimSun" w:eastAsia="SimSun" w:cs="SimSun"/>
          <w:sz w:val="23"/>
          <w:szCs w:val="23"/>
          <w:spacing w:val="-39"/>
        </w:rPr>
        <w:t xml:space="preserve"> </w:t>
      </w:r>
      <w:r>
        <w:rPr>
          <w:rFonts w:ascii="SimSun" w:hAnsi="SimSun" w:eastAsia="SimSun" w:cs="SimSun"/>
          <w:sz w:val="23"/>
          <w:szCs w:val="23"/>
          <w:spacing w:val="4"/>
        </w:rPr>
        <w:t>的电压下对牛进行约5-10s的麻电，将</w:t>
      </w:r>
      <w:r>
        <w:rPr>
          <w:rFonts w:ascii="SimSun" w:hAnsi="SimSun" w:eastAsia="SimSun" w:cs="SimSun"/>
          <w:sz w:val="23"/>
          <w:szCs w:val="23"/>
        </w:rPr>
        <w:t xml:space="preserve"> </w:t>
      </w:r>
      <w:r>
        <w:rPr>
          <w:rFonts w:ascii="SimSun" w:hAnsi="SimSun" w:eastAsia="SimSun" w:cs="SimSun"/>
          <w:sz w:val="23"/>
          <w:szCs w:val="23"/>
          <w:spacing w:val="8"/>
        </w:rPr>
        <w:t>其击晕；从喉部下刀割断食管、气管和血管进行放血，再进入低压电刺</w:t>
      </w:r>
      <w:r>
        <w:rPr>
          <w:rFonts w:ascii="SimSun" w:hAnsi="SimSun" w:eastAsia="SimSun" w:cs="SimSun"/>
          <w:sz w:val="23"/>
          <w:szCs w:val="23"/>
          <w:spacing w:val="7"/>
        </w:rPr>
        <w:t>激系统</w:t>
      </w:r>
      <w:r>
        <w:rPr>
          <w:rFonts w:ascii="SimSun" w:hAnsi="SimSun" w:eastAsia="SimSun" w:cs="SimSun"/>
          <w:sz w:val="23"/>
          <w:szCs w:val="23"/>
        </w:rPr>
        <w:t xml:space="preserve"> </w:t>
      </w:r>
      <w:r>
        <w:rPr>
          <w:rFonts w:ascii="SimSun" w:hAnsi="SimSun" w:eastAsia="SimSun" w:cs="SimSun"/>
          <w:sz w:val="23"/>
          <w:szCs w:val="23"/>
          <w:spacing w:val="6"/>
        </w:rPr>
        <w:t>接受脉冲电压刺激，电压为25-80</w:t>
      </w:r>
      <w:r>
        <w:rPr>
          <w:rFonts w:ascii="Times New Roman" w:hAnsi="Times New Roman" w:eastAsia="Times New Roman" w:cs="Times New Roman"/>
          <w:sz w:val="23"/>
          <w:szCs w:val="23"/>
          <w:spacing w:val="6"/>
        </w:rPr>
        <w:t>V,</w:t>
      </w:r>
      <w:r>
        <w:rPr>
          <w:rFonts w:ascii="Times New Roman" w:hAnsi="Times New Roman" w:eastAsia="Times New Roman" w:cs="Times New Roman"/>
          <w:sz w:val="23"/>
          <w:szCs w:val="23"/>
          <w:spacing w:val="26"/>
          <w:w w:val="101"/>
        </w:rPr>
        <w:t xml:space="preserve">  </w:t>
      </w:r>
      <w:r>
        <w:rPr>
          <w:rFonts w:ascii="SimSun" w:hAnsi="SimSun" w:eastAsia="SimSun" w:cs="SimSun"/>
          <w:sz w:val="23"/>
          <w:szCs w:val="23"/>
          <w:spacing w:val="6"/>
        </w:rPr>
        <w:t>用以放松肌肉，加速牛肉排酸过程，提高</w:t>
      </w:r>
      <w:r>
        <w:rPr>
          <w:rFonts w:ascii="SimSun" w:hAnsi="SimSun" w:eastAsia="SimSun" w:cs="SimSun"/>
          <w:sz w:val="23"/>
          <w:szCs w:val="23"/>
        </w:rPr>
        <w:t xml:space="preserve"> </w:t>
      </w:r>
      <w:r>
        <w:rPr>
          <w:rFonts w:ascii="SimSun" w:hAnsi="SimSun" w:eastAsia="SimSun" w:cs="SimSun"/>
          <w:sz w:val="23"/>
          <w:szCs w:val="23"/>
          <w:spacing w:val="6"/>
        </w:rPr>
        <w:t>牛肉嫩度。牛血设置沥血池收集后出售。该工序主要产生恶臭。</w:t>
      </w:r>
    </w:p>
    <w:p>
      <w:pPr>
        <w:ind w:left="603"/>
        <w:spacing w:before="1" w:line="219" w:lineRule="auto"/>
        <w:rPr>
          <w:rFonts w:ascii="SimSun" w:hAnsi="SimSun" w:eastAsia="SimSun" w:cs="SimSun"/>
          <w:sz w:val="23"/>
          <w:szCs w:val="23"/>
        </w:rPr>
      </w:pPr>
      <w:r>
        <w:rPr>
          <w:rFonts w:ascii="SimSun" w:hAnsi="SimSun" w:eastAsia="SimSun" w:cs="SimSun"/>
          <w:sz w:val="23"/>
          <w:szCs w:val="23"/>
          <w:b/>
          <w:bCs/>
          <w:spacing w:val="6"/>
        </w:rPr>
        <w:t>(3</w:t>
      </w:r>
      <w:r>
        <w:rPr>
          <w:rFonts w:ascii="SimSun" w:hAnsi="SimSun" w:eastAsia="SimSun" w:cs="SimSun"/>
          <w:sz w:val="23"/>
          <w:szCs w:val="23"/>
          <w:spacing w:val="-43"/>
        </w:rPr>
        <w:t xml:space="preserve"> </w:t>
      </w:r>
      <w:r>
        <w:rPr>
          <w:rFonts w:ascii="SimSun" w:hAnsi="SimSun" w:eastAsia="SimSun" w:cs="SimSun"/>
          <w:sz w:val="23"/>
          <w:szCs w:val="23"/>
          <w:b/>
          <w:bCs/>
          <w:spacing w:val="6"/>
        </w:rPr>
        <w:t>)割头、去蹄</w:t>
      </w:r>
    </w:p>
    <w:p>
      <w:pPr>
        <w:ind w:right="152" w:firstLine="460"/>
        <w:spacing w:before="218" w:line="375" w:lineRule="auto"/>
        <w:jc w:val="both"/>
        <w:rPr>
          <w:rFonts w:ascii="SimSun" w:hAnsi="SimSun" w:eastAsia="SimSun" w:cs="SimSun"/>
          <w:sz w:val="23"/>
          <w:szCs w:val="23"/>
        </w:rPr>
      </w:pPr>
      <w:r>
        <w:rPr>
          <w:rFonts w:ascii="SimSun" w:hAnsi="SimSun" w:eastAsia="SimSun" w:cs="SimSun"/>
          <w:sz w:val="23"/>
          <w:szCs w:val="23"/>
          <w:spacing w:val="4"/>
        </w:rPr>
        <w:t>胴体刺杀放血后，人工割去牛头及前后蹄，然后剥离牛头皮，留下背部的皮</w:t>
      </w:r>
      <w:r>
        <w:rPr>
          <w:rFonts w:ascii="SimSun" w:hAnsi="SimSun" w:eastAsia="SimSun" w:cs="SimSun"/>
          <w:sz w:val="23"/>
          <w:szCs w:val="23"/>
          <w:spacing w:val="7"/>
        </w:rPr>
        <w:t xml:space="preserve"> </w:t>
      </w:r>
      <w:r>
        <w:rPr>
          <w:rFonts w:ascii="SimSun" w:hAnsi="SimSun" w:eastAsia="SimSun" w:cs="SimSun"/>
          <w:sz w:val="23"/>
          <w:szCs w:val="23"/>
          <w:spacing w:val="8"/>
        </w:rPr>
        <w:t>由扯皮机扯下，检疫人员肉眼观察有无肿瘤、淋巴等不可食用部分，经检疫合</w:t>
      </w:r>
      <w:r>
        <w:rPr>
          <w:rFonts w:ascii="SimSun" w:hAnsi="SimSun" w:eastAsia="SimSun" w:cs="SimSun"/>
          <w:sz w:val="23"/>
          <w:szCs w:val="23"/>
          <w:spacing w:val="16"/>
        </w:rPr>
        <w:t xml:space="preserve"> </w:t>
      </w:r>
      <w:r>
        <w:rPr>
          <w:rFonts w:ascii="SimSun" w:hAnsi="SimSun" w:eastAsia="SimSun" w:cs="SimSun"/>
          <w:sz w:val="23"/>
          <w:szCs w:val="23"/>
          <w:spacing w:val="9"/>
        </w:rPr>
        <w:t>格的牛头、牛蹄、牛尾作为产品入库待售，不</w:t>
      </w:r>
      <w:r>
        <w:rPr>
          <w:rFonts w:ascii="SimSun" w:hAnsi="SimSun" w:eastAsia="SimSun" w:cs="SimSun"/>
          <w:sz w:val="23"/>
          <w:szCs w:val="23"/>
          <w:spacing w:val="8"/>
        </w:rPr>
        <w:t>可食用物外售饲料生产厂家。</w:t>
      </w:r>
    </w:p>
    <w:p>
      <w:pPr>
        <w:ind w:left="460"/>
        <w:spacing w:before="1" w:line="219" w:lineRule="auto"/>
        <w:rPr>
          <w:rFonts w:ascii="SimSun" w:hAnsi="SimSun" w:eastAsia="SimSun" w:cs="SimSun"/>
          <w:sz w:val="23"/>
          <w:szCs w:val="23"/>
        </w:rPr>
      </w:pPr>
      <w:r>
        <w:rPr>
          <w:rFonts w:ascii="SimSun" w:hAnsi="SimSun" w:eastAsia="SimSun" w:cs="SimSun"/>
          <w:sz w:val="23"/>
          <w:szCs w:val="23"/>
          <w:spacing w:val="5"/>
        </w:rPr>
        <w:t>该工序主要产生恶臭、不可食用物、噪声。</w:t>
      </w:r>
    </w:p>
    <w:p>
      <w:pPr>
        <w:ind w:left="603"/>
        <w:spacing w:before="174" w:line="220" w:lineRule="auto"/>
        <w:rPr>
          <w:rFonts w:ascii="SimSun" w:hAnsi="SimSun" w:eastAsia="SimSun" w:cs="SimSun"/>
          <w:sz w:val="23"/>
          <w:szCs w:val="23"/>
        </w:rPr>
      </w:pPr>
      <w:r>
        <w:rPr>
          <w:rFonts w:ascii="SimSun" w:hAnsi="SimSun" w:eastAsia="SimSun" w:cs="SimSun"/>
          <w:sz w:val="23"/>
          <w:szCs w:val="23"/>
          <w:b/>
          <w:bCs/>
          <w:spacing w:val="29"/>
        </w:rPr>
        <w:t>(4)剥皮</w:t>
      </w:r>
    </w:p>
    <w:p>
      <w:pPr>
        <w:ind w:right="212" w:firstLine="460"/>
        <w:spacing w:before="210" w:line="370" w:lineRule="auto"/>
        <w:jc w:val="both"/>
        <w:rPr>
          <w:rFonts w:ascii="SimSun" w:hAnsi="SimSun" w:eastAsia="SimSun" w:cs="SimSun"/>
          <w:sz w:val="23"/>
          <w:szCs w:val="23"/>
        </w:rPr>
      </w:pPr>
      <w:r>
        <w:rPr>
          <w:rFonts w:ascii="SimSun" w:hAnsi="SimSun" w:eastAsia="SimSun" w:cs="SimSun"/>
          <w:sz w:val="23"/>
          <w:szCs w:val="23"/>
          <w:spacing w:val="8"/>
        </w:rPr>
        <w:t>用液压扯皮机滚筒上的链钩钩住牛的颈皮，然后由两人分别站在剥皮机两</w:t>
      </w:r>
      <w:r>
        <w:rPr>
          <w:rFonts w:ascii="SimSun" w:hAnsi="SimSun" w:eastAsia="SimSun" w:cs="SimSun"/>
          <w:sz w:val="23"/>
          <w:szCs w:val="23"/>
          <w:spacing w:val="13"/>
        </w:rPr>
        <w:t xml:space="preserve"> </w:t>
      </w:r>
      <w:r>
        <w:rPr>
          <w:rFonts w:ascii="SimSun" w:hAnsi="SimSun" w:eastAsia="SimSun" w:cs="SimSun"/>
          <w:sz w:val="23"/>
          <w:szCs w:val="23"/>
          <w:spacing w:val="9"/>
        </w:rPr>
        <w:t>侧的升降台上，启动液压扯皮机并不断插刀，修整皮张，防止扯坏皮张或皮上</w:t>
      </w:r>
      <w:r>
        <w:rPr>
          <w:rFonts w:ascii="SimSun" w:hAnsi="SimSun" w:eastAsia="SimSun" w:cs="SimSun"/>
          <w:sz w:val="23"/>
          <w:szCs w:val="23"/>
          <w:spacing w:val="2"/>
        </w:rPr>
        <w:t xml:space="preserve"> </w:t>
      </w:r>
      <w:r>
        <w:rPr>
          <w:rFonts w:ascii="SimSun" w:hAnsi="SimSun" w:eastAsia="SimSun" w:cs="SimSun"/>
          <w:sz w:val="23"/>
          <w:szCs w:val="23"/>
          <w:spacing w:val="9"/>
        </w:rPr>
        <w:t>带肉。将牛背部上的皮扯下后，再对牛胴体背部施加电刺激，使其背肌收缩复</w:t>
      </w:r>
      <w:r>
        <w:rPr>
          <w:rFonts w:ascii="SimSun" w:hAnsi="SimSun" w:eastAsia="SimSun" w:cs="SimSun"/>
          <w:sz w:val="23"/>
          <w:szCs w:val="23"/>
          <w:spacing w:val="3"/>
        </w:rPr>
        <w:t xml:space="preserve"> </w:t>
      </w:r>
      <w:r>
        <w:rPr>
          <w:rFonts w:ascii="SimSun" w:hAnsi="SimSun" w:eastAsia="SimSun" w:cs="SimSun"/>
          <w:sz w:val="23"/>
          <w:szCs w:val="23"/>
          <w:spacing w:val="4"/>
        </w:rPr>
        <w:t>位，牛皮收集后外售。</w:t>
      </w:r>
    </w:p>
    <w:p>
      <w:pPr>
        <w:ind w:left="460"/>
        <w:spacing w:before="5" w:line="219" w:lineRule="auto"/>
        <w:rPr>
          <w:rFonts w:ascii="SimSun" w:hAnsi="SimSun" w:eastAsia="SimSun" w:cs="SimSun"/>
          <w:sz w:val="23"/>
          <w:szCs w:val="23"/>
        </w:rPr>
      </w:pPr>
      <w:r>
        <w:rPr>
          <w:rFonts w:ascii="SimSun" w:hAnsi="SimSun" w:eastAsia="SimSun" w:cs="SimSun"/>
          <w:sz w:val="23"/>
          <w:szCs w:val="23"/>
          <w:spacing w:val="4"/>
        </w:rPr>
        <w:t>该工序主要产生恶臭、噪声。</w:t>
      </w:r>
    </w:p>
    <w:p>
      <w:pPr>
        <w:ind w:left="603"/>
        <w:spacing w:before="194" w:line="219" w:lineRule="auto"/>
        <w:rPr>
          <w:rFonts w:ascii="SimSun" w:hAnsi="SimSun" w:eastAsia="SimSun" w:cs="SimSun"/>
          <w:sz w:val="23"/>
          <w:szCs w:val="23"/>
        </w:rPr>
      </w:pPr>
      <w:r>
        <w:rPr>
          <w:rFonts w:ascii="SimSun" w:hAnsi="SimSun" w:eastAsia="SimSun" w:cs="SimSun"/>
          <w:sz w:val="23"/>
          <w:szCs w:val="23"/>
          <w:b/>
          <w:bCs/>
          <w:spacing w:val="17"/>
        </w:rPr>
        <w:t>(5)开膛去内脏</w:t>
      </w:r>
    </w:p>
    <w:p>
      <w:pPr>
        <w:ind w:right="212" w:firstLine="460"/>
        <w:spacing w:before="206" w:line="379" w:lineRule="auto"/>
        <w:jc w:val="both"/>
        <w:rPr>
          <w:rFonts w:ascii="SimSun" w:hAnsi="SimSun" w:eastAsia="SimSun" w:cs="SimSun"/>
          <w:sz w:val="23"/>
          <w:szCs w:val="23"/>
        </w:rPr>
      </w:pPr>
      <w:r>
        <w:rPr>
          <w:rFonts w:ascii="SimSun" w:hAnsi="SimSun" w:eastAsia="SimSun" w:cs="SimSun"/>
          <w:sz w:val="23"/>
          <w:szCs w:val="23"/>
          <w:spacing w:val="20"/>
        </w:rPr>
        <w:t>剥皮后要立即开膛，取出内脏(心、肝、肺),将内脏分为红</w:t>
      </w:r>
      <w:r>
        <w:rPr>
          <w:rFonts w:ascii="SimSun" w:hAnsi="SimSun" w:eastAsia="SimSun" w:cs="SimSun"/>
          <w:sz w:val="23"/>
          <w:szCs w:val="23"/>
          <w:spacing w:val="19"/>
        </w:rPr>
        <w:t>内脏及白内</w:t>
      </w:r>
      <w:r>
        <w:rPr>
          <w:rFonts w:ascii="SimSun" w:hAnsi="SimSun" w:eastAsia="SimSun" w:cs="SimSun"/>
          <w:sz w:val="23"/>
          <w:szCs w:val="23"/>
        </w:rPr>
        <w:t xml:space="preserve"> </w:t>
      </w:r>
      <w:r>
        <w:rPr>
          <w:rFonts w:ascii="SimSun" w:hAnsi="SimSun" w:eastAsia="SimSun" w:cs="SimSun"/>
          <w:sz w:val="23"/>
          <w:szCs w:val="23"/>
          <w:spacing w:val="9"/>
        </w:rPr>
        <w:t>脏，分别送入红、白内脏处理间处理，同时清理肠、胃内的粪便，使用自来水</w:t>
      </w:r>
      <w:r>
        <w:rPr>
          <w:rFonts w:ascii="SimSun" w:hAnsi="SimSun" w:eastAsia="SimSun" w:cs="SimSun"/>
          <w:sz w:val="23"/>
          <w:szCs w:val="23"/>
          <w:spacing w:val="3"/>
        </w:rPr>
        <w:t xml:space="preserve"> </w:t>
      </w:r>
      <w:r>
        <w:rPr>
          <w:rFonts w:ascii="SimSun" w:hAnsi="SimSun" w:eastAsia="SimSun" w:cs="SimSun"/>
          <w:sz w:val="23"/>
          <w:szCs w:val="23"/>
          <w:spacing w:val="8"/>
        </w:rPr>
        <w:t>多次清洗肠胃。检疫人员肉眼观察有无肿瘤、淋巴等不可食用部分，经检疫合</w:t>
      </w:r>
    </w:p>
    <w:p>
      <w:pPr>
        <w:spacing w:line="379" w:lineRule="auto"/>
        <w:sectPr>
          <w:headerReference w:type="default" r:id="rId13"/>
          <w:footerReference w:type="default" r:id="rId265"/>
          <w:pgSz w:w="11910" w:h="16840"/>
          <w:pgMar w:top="1219" w:right="1786" w:bottom="990" w:left="1779" w:header="865" w:footer="782" w:gutter="0"/>
        </w:sectPr>
        <w:rPr>
          <w:rFonts w:ascii="SimSun" w:hAnsi="SimSun" w:eastAsia="SimSun" w:cs="SimSun"/>
          <w:sz w:val="23"/>
          <w:szCs w:val="23"/>
        </w:rPr>
      </w:pPr>
    </w:p>
    <w:p>
      <w:pPr>
        <w:ind w:right="231"/>
        <w:spacing w:before="291" w:line="364" w:lineRule="auto"/>
        <w:rPr>
          <w:rFonts w:ascii="SimSun" w:hAnsi="SimSun" w:eastAsia="SimSun" w:cs="SimSun"/>
          <w:sz w:val="24"/>
          <w:szCs w:val="24"/>
        </w:rPr>
      </w:pPr>
      <w:r>
        <w:rPr>
          <w:rFonts w:ascii="SimSun" w:hAnsi="SimSun" w:eastAsia="SimSun" w:cs="SimSun"/>
          <w:sz w:val="24"/>
          <w:szCs w:val="24"/>
          <w:spacing w:val="-1"/>
        </w:rPr>
        <w:t>格的红白内脏作为产品出售，不可食用物外</w:t>
      </w:r>
      <w:r>
        <w:rPr>
          <w:rFonts w:ascii="SimSun" w:hAnsi="SimSun" w:eastAsia="SimSun" w:cs="SimSun"/>
          <w:sz w:val="24"/>
          <w:szCs w:val="24"/>
          <w:spacing w:val="-2"/>
        </w:rPr>
        <w:t>售饲料生产厂家，肠胃内容物交有</w:t>
      </w:r>
      <w:r>
        <w:rPr>
          <w:rFonts w:ascii="SimSun" w:hAnsi="SimSun" w:eastAsia="SimSun" w:cs="SimSun"/>
          <w:sz w:val="24"/>
          <w:szCs w:val="24"/>
        </w:rPr>
        <w:t xml:space="preserve"> </w:t>
      </w:r>
      <w:r>
        <w:rPr>
          <w:rFonts w:ascii="SimSun" w:hAnsi="SimSun" w:eastAsia="SimSun" w:cs="SimSun"/>
          <w:sz w:val="24"/>
          <w:szCs w:val="24"/>
          <w:spacing w:val="-3"/>
        </w:rPr>
        <w:t>资质的商家回收处置。</w:t>
      </w:r>
    </w:p>
    <w:p>
      <w:pPr>
        <w:ind w:left="470"/>
        <w:spacing w:before="2" w:line="219" w:lineRule="auto"/>
        <w:rPr>
          <w:rFonts w:ascii="SimSun" w:hAnsi="SimSun" w:eastAsia="SimSun" w:cs="SimSun"/>
          <w:sz w:val="24"/>
          <w:szCs w:val="24"/>
        </w:rPr>
      </w:pPr>
      <w:r>
        <w:rPr>
          <w:rFonts w:ascii="SimSun" w:hAnsi="SimSun" w:eastAsia="SimSun" w:cs="SimSun"/>
          <w:sz w:val="24"/>
          <w:szCs w:val="24"/>
          <w:spacing w:val="-2"/>
        </w:rPr>
        <w:t>该工序主要产生恶臭、清洗废水、不可食用物和肠胃内容物。</w:t>
      </w:r>
    </w:p>
    <w:p>
      <w:pPr>
        <w:ind w:left="603"/>
        <w:spacing w:before="131" w:line="218" w:lineRule="auto"/>
        <w:rPr>
          <w:rFonts w:ascii="SimSun" w:hAnsi="SimSun" w:eastAsia="SimSun" w:cs="SimSun"/>
          <w:sz w:val="24"/>
          <w:szCs w:val="24"/>
        </w:rPr>
      </w:pPr>
      <w:bookmarkStart w:name="bookmark106" w:id="72"/>
      <w:bookmarkEnd w:id="72"/>
      <w:r>
        <w:rPr>
          <w:rFonts w:ascii="SimSun" w:hAnsi="SimSun" w:eastAsia="SimSun" w:cs="SimSun"/>
          <w:sz w:val="24"/>
          <w:szCs w:val="24"/>
          <w:b/>
          <w:bCs/>
          <w:spacing w:val="9"/>
        </w:rPr>
        <w:t>(6)胴体修整、冲淋</w:t>
      </w:r>
    </w:p>
    <w:p>
      <w:pPr>
        <w:ind w:right="157" w:firstLine="470"/>
        <w:spacing w:before="233" w:line="346" w:lineRule="auto"/>
        <w:rPr>
          <w:rFonts w:ascii="SimSun" w:hAnsi="SimSun" w:eastAsia="SimSun" w:cs="SimSun"/>
          <w:sz w:val="24"/>
          <w:szCs w:val="24"/>
        </w:rPr>
      </w:pPr>
      <w:r>
        <w:rPr>
          <w:rFonts w:ascii="SimSun" w:hAnsi="SimSun" w:eastAsia="SimSun" w:cs="SimSun"/>
          <w:sz w:val="24"/>
          <w:szCs w:val="24"/>
          <w:spacing w:val="1"/>
        </w:rPr>
        <w:t>修整范围包括扒下肾脏周围脂肪、修伤痕、除淤血及凝血块、修整</w:t>
      </w:r>
      <w:r>
        <w:rPr>
          <w:rFonts w:ascii="SimSun" w:hAnsi="SimSun" w:eastAsia="SimSun" w:cs="SimSun"/>
          <w:sz w:val="24"/>
          <w:szCs w:val="24"/>
        </w:rPr>
        <w:t>颈肉、 </w:t>
      </w:r>
      <w:r>
        <w:rPr>
          <w:rFonts w:ascii="SimSun" w:hAnsi="SimSun" w:eastAsia="SimSun" w:cs="SimSun"/>
          <w:sz w:val="24"/>
          <w:szCs w:val="24"/>
          <w:spacing w:val="1"/>
        </w:rPr>
        <w:t>割除体腔内残留的零碎块和脂肪，割除胴体表面污垢。</w:t>
      </w:r>
      <w:r>
        <w:rPr>
          <w:rFonts w:ascii="SimSun" w:hAnsi="SimSun" w:eastAsia="SimSun" w:cs="SimSun"/>
          <w:sz w:val="24"/>
          <w:szCs w:val="24"/>
        </w:rPr>
        <w:t>然后使用常温自来水冲 </w:t>
      </w:r>
      <w:r>
        <w:rPr>
          <w:rFonts w:ascii="SimSun" w:hAnsi="SimSun" w:eastAsia="SimSun" w:cs="SimSun"/>
          <w:sz w:val="24"/>
          <w:szCs w:val="24"/>
          <w:spacing w:val="-4"/>
        </w:rPr>
        <w:t>淋洗去残留血渍、骨渣等污物。</w:t>
      </w:r>
    </w:p>
    <w:p>
      <w:pPr>
        <w:ind w:left="470"/>
        <w:spacing w:before="47" w:line="218" w:lineRule="auto"/>
        <w:rPr>
          <w:rFonts w:ascii="SimSun" w:hAnsi="SimSun" w:eastAsia="SimSun" w:cs="SimSun"/>
          <w:sz w:val="24"/>
          <w:szCs w:val="24"/>
        </w:rPr>
      </w:pPr>
      <w:r>
        <w:rPr>
          <w:rFonts w:ascii="SimSun" w:hAnsi="SimSun" w:eastAsia="SimSun" w:cs="SimSun"/>
          <w:sz w:val="24"/>
          <w:szCs w:val="24"/>
          <w:spacing w:val="-2"/>
        </w:rPr>
        <w:t>该工序主要产生冲淋废水和固体残渣，固体残渣外售饲料生产厂家。</w:t>
      </w:r>
    </w:p>
    <w:p>
      <w:pPr>
        <w:ind w:left="613"/>
        <w:spacing w:before="145" w:line="219" w:lineRule="auto"/>
        <w:rPr>
          <w:rFonts w:ascii="SimSun" w:hAnsi="SimSun" w:eastAsia="SimSun" w:cs="SimSun"/>
          <w:sz w:val="24"/>
          <w:szCs w:val="24"/>
        </w:rPr>
      </w:pPr>
      <w:r>
        <w:rPr>
          <w:rFonts w:ascii="SimSun" w:hAnsi="SimSun" w:eastAsia="SimSun" w:cs="SimSun"/>
          <w:sz w:val="24"/>
          <w:szCs w:val="24"/>
          <w:b/>
          <w:bCs/>
          <w:spacing w:val="14"/>
        </w:rPr>
        <w:t>(7)检验、排酸</w:t>
      </w:r>
    </w:p>
    <w:p>
      <w:pPr>
        <w:ind w:left="473"/>
        <w:spacing w:before="173" w:line="217" w:lineRule="auto"/>
        <w:rPr>
          <w:rFonts w:ascii="SimSun" w:hAnsi="SimSun" w:eastAsia="SimSun" w:cs="SimSun"/>
          <w:sz w:val="24"/>
          <w:szCs w:val="24"/>
        </w:rPr>
      </w:pPr>
      <w:r>
        <w:rPr>
          <w:rFonts w:ascii="SimSun" w:hAnsi="SimSun" w:eastAsia="SimSun" w:cs="SimSun"/>
          <w:sz w:val="24"/>
          <w:szCs w:val="24"/>
          <w:b/>
          <w:bCs/>
          <w:spacing w:val="1"/>
        </w:rPr>
        <w:t>①检验</w:t>
      </w:r>
    </w:p>
    <w:p>
      <w:pPr>
        <w:ind w:right="233" w:firstLine="470"/>
        <w:spacing w:before="212" w:line="350" w:lineRule="auto"/>
        <w:rPr>
          <w:rFonts w:ascii="SimSun" w:hAnsi="SimSun" w:eastAsia="SimSun" w:cs="SimSun"/>
          <w:sz w:val="24"/>
          <w:szCs w:val="24"/>
        </w:rPr>
      </w:pPr>
      <w:r>
        <w:rPr>
          <w:rFonts w:ascii="SimSun" w:hAnsi="SimSun" w:eastAsia="SimSun" w:cs="SimSun"/>
          <w:sz w:val="24"/>
          <w:szCs w:val="24"/>
          <w:spacing w:val="-1"/>
        </w:rPr>
        <w:t>将牛的胴体实施同步卫生检验，检疫人员肉眼观察有</w:t>
      </w:r>
      <w:r>
        <w:rPr>
          <w:rFonts w:ascii="SimSun" w:hAnsi="SimSun" w:eastAsia="SimSun" w:cs="SimSun"/>
          <w:sz w:val="24"/>
          <w:szCs w:val="24"/>
          <w:spacing w:val="-2"/>
        </w:rPr>
        <w:t>无肿瘤、淋巴等不可</w:t>
      </w:r>
      <w:r>
        <w:rPr>
          <w:rFonts w:ascii="SimSun" w:hAnsi="SimSun" w:eastAsia="SimSun" w:cs="SimSun"/>
          <w:sz w:val="24"/>
          <w:szCs w:val="24"/>
        </w:rPr>
        <w:t xml:space="preserve"> </w:t>
      </w:r>
      <w:r>
        <w:rPr>
          <w:rFonts w:ascii="SimSun" w:hAnsi="SimSun" w:eastAsia="SimSun" w:cs="SimSun"/>
          <w:sz w:val="24"/>
          <w:szCs w:val="24"/>
          <w:spacing w:val="-2"/>
        </w:rPr>
        <w:t>食用部分，检疫合格的作为食品外售，不可食用物外售饲料生产厂家。</w:t>
      </w:r>
    </w:p>
    <w:p>
      <w:pPr>
        <w:ind w:right="71" w:firstLine="470"/>
        <w:spacing w:before="2" w:line="369" w:lineRule="auto"/>
        <w:rPr>
          <w:rFonts w:ascii="SimSun" w:hAnsi="SimSun" w:eastAsia="SimSun" w:cs="SimSun"/>
          <w:sz w:val="24"/>
          <w:szCs w:val="24"/>
        </w:rPr>
      </w:pPr>
      <w:r>
        <w:rPr>
          <w:rFonts w:ascii="SimSun" w:hAnsi="SimSun" w:eastAsia="SimSun" w:cs="SimSun"/>
          <w:sz w:val="24"/>
          <w:szCs w:val="24"/>
          <w:spacing w:val="-4"/>
        </w:rPr>
        <w:t>牛屠体检验一般分成头部检验、初检(皮肤、肠系膜淋巴结和脾脏检验)、内</w:t>
      </w:r>
      <w:r>
        <w:rPr>
          <w:rFonts w:ascii="SimSun" w:hAnsi="SimSun" w:eastAsia="SimSun" w:cs="SimSun"/>
          <w:sz w:val="24"/>
          <w:szCs w:val="24"/>
          <w:spacing w:val="17"/>
        </w:rPr>
        <w:t xml:space="preserve"> </w:t>
      </w:r>
      <w:r>
        <w:rPr>
          <w:rFonts w:ascii="SimSun" w:hAnsi="SimSun" w:eastAsia="SimSun" w:cs="SimSun"/>
          <w:sz w:val="24"/>
          <w:szCs w:val="24"/>
          <w:spacing w:val="-2"/>
        </w:rPr>
        <w:t>脏检验、胴体复检。</w:t>
      </w:r>
    </w:p>
    <w:p>
      <w:pPr>
        <w:ind w:right="232" w:firstLine="470"/>
        <w:spacing w:before="2" w:line="353" w:lineRule="auto"/>
        <w:rPr>
          <w:rFonts w:ascii="SimSun" w:hAnsi="SimSun" w:eastAsia="SimSun" w:cs="SimSun"/>
          <w:sz w:val="24"/>
          <w:szCs w:val="24"/>
        </w:rPr>
      </w:pPr>
      <w:r>
        <w:rPr>
          <w:rFonts w:ascii="SimSun" w:hAnsi="SimSun" w:eastAsia="SimSun" w:cs="SimSun"/>
          <w:sz w:val="24"/>
          <w:szCs w:val="24"/>
          <w:spacing w:val="-1"/>
        </w:rPr>
        <w:t>头蹄部检疫：观察头部表面有无明显病变情况，口腔内</w:t>
      </w:r>
      <w:r>
        <w:rPr>
          <w:rFonts w:ascii="SimSun" w:hAnsi="SimSun" w:eastAsia="SimSun" w:cs="SimSun"/>
          <w:sz w:val="24"/>
          <w:szCs w:val="24"/>
          <w:spacing w:val="-2"/>
        </w:rPr>
        <w:t>有无水疱、溃疡等</w:t>
      </w:r>
      <w:r>
        <w:rPr>
          <w:rFonts w:ascii="SimSun" w:hAnsi="SimSun" w:eastAsia="SimSun" w:cs="SimSun"/>
          <w:sz w:val="24"/>
          <w:szCs w:val="24"/>
        </w:rPr>
        <w:t xml:space="preserve"> </w:t>
      </w:r>
      <w:r>
        <w:rPr>
          <w:rFonts w:ascii="SimSun" w:hAnsi="SimSun" w:eastAsia="SimSun" w:cs="SimSun"/>
          <w:sz w:val="24"/>
          <w:szCs w:val="24"/>
          <w:spacing w:val="-3"/>
        </w:rPr>
        <w:t>病变，在观察蹄部有无肿胀等。</w:t>
      </w:r>
    </w:p>
    <w:p>
      <w:pPr>
        <w:ind w:left="470"/>
        <w:spacing w:before="1" w:line="219" w:lineRule="auto"/>
        <w:rPr>
          <w:rFonts w:ascii="SimSun" w:hAnsi="SimSun" w:eastAsia="SimSun" w:cs="SimSun"/>
          <w:sz w:val="24"/>
          <w:szCs w:val="24"/>
        </w:rPr>
      </w:pPr>
      <w:r>
        <w:rPr>
          <w:rFonts w:ascii="SimSun" w:hAnsi="SimSun" w:eastAsia="SimSun" w:cs="SimSun"/>
          <w:sz w:val="24"/>
          <w:szCs w:val="24"/>
          <w:spacing w:val="-3"/>
        </w:rPr>
        <w:t>初检：通过视检、触检法将结果综合判定。</w:t>
      </w:r>
    </w:p>
    <w:p>
      <w:pPr>
        <w:ind w:right="232" w:firstLine="470"/>
        <w:spacing w:before="183" w:line="366" w:lineRule="auto"/>
        <w:rPr>
          <w:rFonts w:ascii="SimSun" w:hAnsi="SimSun" w:eastAsia="SimSun" w:cs="SimSun"/>
          <w:sz w:val="24"/>
          <w:szCs w:val="24"/>
        </w:rPr>
      </w:pPr>
      <w:r>
        <w:rPr>
          <w:rFonts w:ascii="SimSun" w:hAnsi="SimSun" w:eastAsia="SimSun" w:cs="SimSun"/>
          <w:sz w:val="24"/>
          <w:szCs w:val="24"/>
          <w:spacing w:val="-1"/>
        </w:rPr>
        <w:t>视检通常判定皮肤的病理变化：触检则是剖检判定肠系</w:t>
      </w:r>
      <w:r>
        <w:rPr>
          <w:rFonts w:ascii="SimSun" w:hAnsi="SimSun" w:eastAsia="SimSun" w:cs="SimSun"/>
          <w:sz w:val="24"/>
          <w:szCs w:val="24"/>
          <w:spacing w:val="-2"/>
        </w:rPr>
        <w:t>膜淋巴结和手触脾</w:t>
      </w:r>
      <w:r>
        <w:rPr>
          <w:rFonts w:ascii="SimSun" w:hAnsi="SimSun" w:eastAsia="SimSun" w:cs="SimSun"/>
          <w:sz w:val="24"/>
          <w:szCs w:val="24"/>
        </w:rPr>
        <w:t xml:space="preserve"> </w:t>
      </w:r>
      <w:r>
        <w:rPr>
          <w:rFonts w:ascii="SimSun" w:hAnsi="SimSun" w:eastAsia="SimSun" w:cs="SimSun"/>
          <w:sz w:val="24"/>
          <w:szCs w:val="24"/>
          <w:spacing w:val="-4"/>
        </w:rPr>
        <w:t>脏，视其组织结构的变化。</w:t>
      </w:r>
    </w:p>
    <w:p>
      <w:pPr>
        <w:ind w:right="231" w:firstLine="470"/>
        <w:spacing w:before="19" w:line="348" w:lineRule="auto"/>
        <w:jc w:val="both"/>
        <w:rPr>
          <w:rFonts w:ascii="SimSun" w:hAnsi="SimSun" w:eastAsia="SimSun" w:cs="SimSun"/>
          <w:sz w:val="24"/>
          <w:szCs w:val="24"/>
        </w:rPr>
      </w:pPr>
      <w:r>
        <w:rPr>
          <w:rFonts w:ascii="SimSun" w:hAnsi="SimSun" w:eastAsia="SimSun" w:cs="SimSun"/>
          <w:sz w:val="24"/>
          <w:szCs w:val="24"/>
          <w:spacing w:val="-1"/>
        </w:rPr>
        <w:t>内脏检查：观察肺脏外形、色泽、大小；观察心脏形态</w:t>
      </w:r>
      <w:r>
        <w:rPr>
          <w:rFonts w:ascii="SimSun" w:hAnsi="SimSun" w:eastAsia="SimSun" w:cs="SimSun"/>
          <w:sz w:val="24"/>
          <w:szCs w:val="24"/>
          <w:spacing w:val="-2"/>
        </w:rPr>
        <w:t>、大小、色泽、心</w:t>
      </w:r>
      <w:r>
        <w:rPr>
          <w:rFonts w:ascii="SimSun" w:hAnsi="SimSun" w:eastAsia="SimSun" w:cs="SimSun"/>
          <w:sz w:val="24"/>
          <w:szCs w:val="24"/>
        </w:rPr>
        <w:t xml:space="preserve"> </w:t>
      </w:r>
      <w:r>
        <w:rPr>
          <w:rFonts w:ascii="SimSun" w:hAnsi="SimSun" w:eastAsia="SimSun" w:cs="SimSun"/>
          <w:sz w:val="24"/>
          <w:szCs w:val="24"/>
          <w:spacing w:val="-2"/>
        </w:rPr>
        <w:t>外膜，在心室肌肉处切一小口，检查有无囊虫；观察肝脏形态、触摸硬度与弹</w:t>
      </w:r>
      <w:r>
        <w:rPr>
          <w:rFonts w:ascii="SimSun" w:hAnsi="SimSun" w:eastAsia="SimSun" w:cs="SimSun"/>
          <w:sz w:val="24"/>
          <w:szCs w:val="24"/>
          <w:spacing w:val="17"/>
        </w:rPr>
        <w:t xml:space="preserve"> </w:t>
      </w:r>
      <w:r>
        <w:rPr>
          <w:rFonts w:ascii="SimSun" w:hAnsi="SimSun" w:eastAsia="SimSun" w:cs="SimSun"/>
          <w:sz w:val="24"/>
          <w:szCs w:val="24"/>
          <w:spacing w:val="-4"/>
        </w:rPr>
        <w:t>性、看有无淤血、槟榔肝。</w:t>
      </w:r>
    </w:p>
    <w:p>
      <w:pPr>
        <w:ind w:right="230" w:firstLine="470"/>
        <w:spacing w:before="3" w:line="355" w:lineRule="auto"/>
        <w:jc w:val="both"/>
        <w:rPr>
          <w:rFonts w:ascii="SimSun" w:hAnsi="SimSun" w:eastAsia="SimSun" w:cs="SimSun"/>
          <w:sz w:val="24"/>
          <w:szCs w:val="24"/>
        </w:rPr>
      </w:pPr>
      <w:r>
        <w:rPr>
          <w:rFonts w:ascii="SimSun" w:hAnsi="SimSun" w:eastAsia="SimSun" w:cs="SimSun"/>
          <w:sz w:val="24"/>
          <w:szCs w:val="24"/>
          <w:spacing w:val="-1"/>
        </w:rPr>
        <w:t>胴体检验：首先判断放血情况，再观察皮肤、脂肪、胸腹</w:t>
      </w:r>
      <w:r>
        <w:rPr>
          <w:rFonts w:ascii="SimSun" w:hAnsi="SimSun" w:eastAsia="SimSun" w:cs="SimSun"/>
          <w:sz w:val="24"/>
          <w:szCs w:val="24"/>
          <w:spacing w:val="-2"/>
        </w:rPr>
        <w:t>腔、关节是否有</w:t>
      </w:r>
      <w:r>
        <w:rPr>
          <w:rFonts w:ascii="SimSun" w:hAnsi="SimSun" w:eastAsia="SimSun" w:cs="SimSun"/>
          <w:sz w:val="24"/>
          <w:szCs w:val="24"/>
        </w:rPr>
        <w:t xml:space="preserve"> </w:t>
      </w:r>
      <w:r>
        <w:rPr>
          <w:rFonts w:ascii="SimSun" w:hAnsi="SimSun" w:eastAsia="SimSun" w:cs="SimSun"/>
          <w:sz w:val="24"/>
          <w:szCs w:val="24"/>
          <w:spacing w:val="-1"/>
        </w:rPr>
        <w:t>传染病而引起坏死、肿胀、炎症等。肌肉检验</w:t>
      </w:r>
      <w:r>
        <w:rPr>
          <w:rFonts w:ascii="SimSun" w:hAnsi="SimSun" w:eastAsia="SimSun" w:cs="SimSun"/>
          <w:sz w:val="24"/>
          <w:szCs w:val="24"/>
          <w:spacing w:val="-2"/>
        </w:rPr>
        <w:t>，检查股部内侧肌、深腰肌肋骨</w:t>
      </w:r>
      <w:r>
        <w:rPr>
          <w:rFonts w:ascii="SimSun" w:hAnsi="SimSun" w:eastAsia="SimSun" w:cs="SimSun"/>
          <w:sz w:val="24"/>
          <w:szCs w:val="24"/>
        </w:rPr>
        <w:t xml:space="preserve"> </w:t>
      </w:r>
      <w:r>
        <w:rPr>
          <w:rFonts w:ascii="SimSun" w:hAnsi="SimSun" w:eastAsia="SimSun" w:cs="SimSun"/>
          <w:sz w:val="24"/>
          <w:szCs w:val="24"/>
          <w:spacing w:val="-2"/>
        </w:rPr>
        <w:t>两侧小血管有无血醋瘤和肌断面湿润，以判断放血程度好坏；观察脊椎骨纵面</w:t>
      </w:r>
      <w:r>
        <w:rPr>
          <w:rFonts w:ascii="SimSun" w:hAnsi="SimSun" w:eastAsia="SimSun" w:cs="SimSun"/>
          <w:sz w:val="24"/>
          <w:szCs w:val="24"/>
          <w:spacing w:val="17"/>
        </w:rPr>
        <w:t xml:space="preserve"> </w:t>
      </w:r>
      <w:r>
        <w:rPr>
          <w:rFonts w:ascii="SimSun" w:hAnsi="SimSun" w:eastAsia="SimSun" w:cs="SimSun"/>
          <w:sz w:val="24"/>
          <w:szCs w:val="24"/>
          <w:spacing w:val="-3"/>
        </w:rPr>
        <w:t>色泽和有无出血、畸形等病理变化。</w:t>
      </w:r>
    </w:p>
    <w:p>
      <w:pPr>
        <w:ind w:left="470"/>
        <w:spacing w:before="15" w:line="219" w:lineRule="auto"/>
        <w:rPr>
          <w:rFonts w:ascii="SimSun" w:hAnsi="SimSun" w:eastAsia="SimSun" w:cs="SimSun"/>
          <w:sz w:val="24"/>
          <w:szCs w:val="24"/>
        </w:rPr>
      </w:pPr>
      <w:r>
        <w:rPr>
          <w:rFonts w:ascii="SimSun" w:hAnsi="SimSun" w:eastAsia="SimSun" w:cs="SimSun"/>
          <w:sz w:val="24"/>
          <w:szCs w:val="24"/>
          <w:spacing w:val="-2"/>
        </w:rPr>
        <w:t>项目检验项目检疫以视检为主，项目检验不涉及药品使用。</w:t>
      </w:r>
    </w:p>
    <w:p>
      <w:pPr>
        <w:ind w:left="473"/>
        <w:spacing w:before="179" w:line="217" w:lineRule="auto"/>
        <w:rPr>
          <w:rFonts w:ascii="SimSun" w:hAnsi="SimSun" w:eastAsia="SimSun" w:cs="SimSun"/>
          <w:sz w:val="24"/>
          <w:szCs w:val="24"/>
        </w:rPr>
      </w:pPr>
      <w:r>
        <w:rPr>
          <w:rFonts w:ascii="SimSun" w:hAnsi="SimSun" w:eastAsia="SimSun" w:cs="SimSun"/>
          <w:sz w:val="24"/>
          <w:szCs w:val="24"/>
          <w:b/>
          <w:bCs/>
          <w:spacing w:val="1"/>
        </w:rPr>
        <w:t>②排酸</w:t>
      </w:r>
    </w:p>
    <w:p>
      <w:pPr>
        <w:ind w:right="202" w:firstLine="470"/>
        <w:spacing w:before="205" w:line="370" w:lineRule="auto"/>
        <w:rPr>
          <w:rFonts w:ascii="SimSun" w:hAnsi="SimSun" w:eastAsia="SimSun" w:cs="SimSun"/>
          <w:sz w:val="24"/>
          <w:szCs w:val="24"/>
        </w:rPr>
      </w:pPr>
      <w:r>
        <w:rPr>
          <w:rFonts w:ascii="SimSun" w:hAnsi="SimSun" w:eastAsia="SimSun" w:cs="SimSun"/>
          <w:sz w:val="24"/>
          <w:szCs w:val="24"/>
        </w:rPr>
        <w:t>检疫合格的胴体送至排酸间进行排酸，牛在屠宰</w:t>
      </w:r>
      <w:r>
        <w:rPr>
          <w:rFonts w:ascii="SimSun" w:hAnsi="SimSun" w:eastAsia="SimSun" w:cs="SimSun"/>
          <w:sz w:val="24"/>
          <w:szCs w:val="24"/>
          <w:spacing w:val="-1"/>
        </w:rPr>
        <w:t>以后，体细胞失去了血液</w:t>
      </w:r>
      <w:r>
        <w:rPr>
          <w:rFonts w:ascii="SimSun" w:hAnsi="SimSun" w:eastAsia="SimSun" w:cs="SimSun"/>
          <w:sz w:val="24"/>
          <w:szCs w:val="24"/>
        </w:rPr>
        <w:t xml:space="preserve"> </w:t>
      </w:r>
      <w:r>
        <w:rPr>
          <w:rFonts w:ascii="SimSun" w:hAnsi="SimSun" w:eastAsia="SimSun" w:cs="SimSun"/>
          <w:sz w:val="24"/>
          <w:szCs w:val="24"/>
          <w:spacing w:val="-2"/>
        </w:rPr>
        <w:t>对其的氧气供应，进行无氧呼吸，从而产生一种对人体有害的物质—乳酸，排</w:t>
      </w:r>
    </w:p>
    <w:p>
      <w:pPr>
        <w:spacing w:line="370" w:lineRule="auto"/>
        <w:sectPr>
          <w:headerReference w:type="default" r:id="rId266"/>
          <w:footerReference w:type="default" r:id="rId267"/>
          <w:pgSz w:w="11910" w:h="16840"/>
          <w:pgMar w:top="1207" w:right="1786" w:bottom="932" w:left="1779" w:header="915" w:footer="761" w:gutter="0"/>
        </w:sectPr>
        <w:rPr>
          <w:rFonts w:ascii="SimSun" w:hAnsi="SimSun" w:eastAsia="SimSun" w:cs="SimSun"/>
          <w:sz w:val="24"/>
          <w:szCs w:val="24"/>
        </w:rPr>
      </w:pPr>
    </w:p>
    <w:p>
      <w:pPr>
        <w:ind w:left="4" w:right="219"/>
        <w:spacing w:before="312" w:line="373" w:lineRule="auto"/>
        <w:jc w:val="both"/>
        <w:rPr>
          <w:rFonts w:ascii="SimSun" w:hAnsi="SimSun" w:eastAsia="SimSun" w:cs="SimSun"/>
          <w:sz w:val="22"/>
          <w:szCs w:val="22"/>
        </w:rPr>
      </w:pPr>
      <w:r>
        <w:rPr>
          <w:rFonts w:ascii="SimSun" w:hAnsi="SimSun" w:eastAsia="SimSun" w:cs="SimSun"/>
          <w:sz w:val="22"/>
          <w:szCs w:val="22"/>
          <w:spacing w:val="18"/>
        </w:rPr>
        <w:t>酸即根据牛胴体进入排酸间的时间，在一定的</w:t>
      </w:r>
      <w:r>
        <w:rPr>
          <w:rFonts w:ascii="SimSun" w:hAnsi="SimSun" w:eastAsia="SimSun" w:cs="SimSun"/>
          <w:sz w:val="22"/>
          <w:szCs w:val="22"/>
          <w:spacing w:val="17"/>
        </w:rPr>
        <w:t>温度(24</w:t>
      </w:r>
      <w:r>
        <w:rPr>
          <w:rFonts w:ascii="Times New Roman" w:hAnsi="Times New Roman" w:eastAsia="Times New Roman" w:cs="Times New Roman"/>
          <w:sz w:val="22"/>
          <w:szCs w:val="22"/>
          <w:spacing w:val="17"/>
        </w:rPr>
        <w:t>h</w:t>
      </w:r>
      <w:r>
        <w:rPr>
          <w:rFonts w:ascii="SimSun" w:hAnsi="SimSun" w:eastAsia="SimSun" w:cs="SimSun"/>
          <w:sz w:val="22"/>
          <w:szCs w:val="22"/>
          <w:spacing w:val="17"/>
        </w:rPr>
        <w:t>内降至0-4℃)、湿度和</w:t>
      </w:r>
      <w:r>
        <w:rPr>
          <w:rFonts w:ascii="SimSun" w:hAnsi="SimSun" w:eastAsia="SimSun" w:cs="SimSun"/>
          <w:sz w:val="22"/>
          <w:szCs w:val="22"/>
        </w:rPr>
        <w:t xml:space="preserve"> </w:t>
      </w:r>
      <w:r>
        <w:rPr>
          <w:rFonts w:ascii="SimSun" w:hAnsi="SimSun" w:eastAsia="SimSun" w:cs="SimSun"/>
          <w:sz w:val="22"/>
          <w:szCs w:val="22"/>
          <w:spacing w:val="18"/>
        </w:rPr>
        <w:t>风速下，将乳酸分解成二氧化碳、水和酒精，同时牛肉细胞的大分子三磷酸腺</w:t>
      </w:r>
      <w:r>
        <w:rPr>
          <w:rFonts w:ascii="SimSun" w:hAnsi="SimSun" w:eastAsia="SimSun" w:cs="SimSun"/>
          <w:sz w:val="22"/>
          <w:szCs w:val="22"/>
          <w:spacing w:val="15"/>
        </w:rPr>
        <w:t xml:space="preserve"> </w:t>
      </w:r>
      <w:r>
        <w:rPr>
          <w:rFonts w:ascii="SimSun" w:hAnsi="SimSun" w:eastAsia="SimSun" w:cs="SimSun"/>
          <w:sz w:val="22"/>
          <w:szCs w:val="22"/>
          <w:spacing w:val="17"/>
        </w:rPr>
        <w:t>苷在酶的作用下分解为新鲜的物质—基苷，即</w:t>
      </w:r>
      <w:r>
        <w:rPr>
          <w:rFonts w:ascii="SimSun" w:hAnsi="SimSun" w:eastAsia="SimSun" w:cs="SimSun"/>
          <w:sz w:val="22"/>
          <w:szCs w:val="22"/>
        </w:rPr>
        <w:t>IMP</w:t>
      </w:r>
      <w:r>
        <w:rPr>
          <w:rFonts w:ascii="SimSun" w:hAnsi="SimSun" w:eastAsia="SimSun" w:cs="SimSun"/>
          <w:sz w:val="22"/>
          <w:szCs w:val="22"/>
          <w:spacing w:val="17"/>
        </w:rPr>
        <w:t xml:space="preserve"> , 味精的主要成分，肉的酸</w:t>
      </w:r>
      <w:r>
        <w:rPr>
          <w:rFonts w:ascii="SimSun" w:hAnsi="SimSun" w:eastAsia="SimSun" w:cs="SimSun"/>
          <w:sz w:val="22"/>
          <w:szCs w:val="22"/>
          <w:spacing w:val="10"/>
        </w:rPr>
        <w:t xml:space="preserve"> </w:t>
      </w:r>
      <w:r>
        <w:rPr>
          <w:rFonts w:ascii="SimSun" w:hAnsi="SimSun" w:eastAsia="SimSun" w:cs="SimSun"/>
          <w:sz w:val="22"/>
          <w:szCs w:val="22"/>
          <w:spacing w:val="18"/>
        </w:rPr>
        <w:t>碱度被改变，新陈代谢的产物被最大程度地分解和排</w:t>
      </w:r>
      <w:r>
        <w:rPr>
          <w:rFonts w:ascii="SimSun" w:hAnsi="SimSun" w:eastAsia="SimSun" w:cs="SimSun"/>
          <w:sz w:val="22"/>
          <w:szCs w:val="22"/>
          <w:spacing w:val="17"/>
        </w:rPr>
        <w:t>出。</w:t>
      </w:r>
    </w:p>
    <w:p>
      <w:pPr>
        <w:ind w:left="608"/>
        <w:spacing w:line="219" w:lineRule="auto"/>
        <w:rPr>
          <w:rFonts w:ascii="SimSun" w:hAnsi="SimSun" w:eastAsia="SimSun" w:cs="SimSun"/>
          <w:sz w:val="26"/>
          <w:szCs w:val="26"/>
        </w:rPr>
      </w:pPr>
      <w:r>
        <w:rPr>
          <w:rFonts w:ascii="SimSun" w:hAnsi="SimSun" w:eastAsia="SimSun" w:cs="SimSun"/>
          <w:sz w:val="26"/>
          <w:szCs w:val="26"/>
          <w:b/>
          <w:bCs/>
          <w:spacing w:val="-11"/>
        </w:rPr>
        <w:t>(8</w:t>
      </w:r>
      <w:r>
        <w:rPr>
          <w:rFonts w:ascii="SimSun" w:hAnsi="SimSun" w:eastAsia="SimSun" w:cs="SimSun"/>
          <w:sz w:val="26"/>
          <w:szCs w:val="26"/>
          <w:spacing w:val="-74"/>
        </w:rPr>
        <w:t xml:space="preserve"> </w:t>
      </w:r>
      <w:r>
        <w:rPr>
          <w:rFonts w:ascii="SimSun" w:hAnsi="SimSun" w:eastAsia="SimSun" w:cs="SimSun"/>
          <w:sz w:val="26"/>
          <w:szCs w:val="26"/>
          <w:b/>
          <w:bCs/>
          <w:spacing w:val="-11"/>
        </w:rPr>
        <w:t>)待售、冷藏</w:t>
      </w:r>
    </w:p>
    <w:p>
      <w:pPr>
        <w:ind w:left="4" w:right="226" w:firstLine="470"/>
        <w:spacing w:before="242" w:line="380" w:lineRule="auto"/>
        <w:rPr>
          <w:rFonts w:ascii="SimSun" w:hAnsi="SimSun" w:eastAsia="SimSun" w:cs="SimSun"/>
          <w:sz w:val="22"/>
          <w:szCs w:val="22"/>
        </w:rPr>
      </w:pPr>
      <w:r>
        <w:rPr>
          <w:rFonts w:ascii="SimSun" w:hAnsi="SimSun" w:eastAsia="SimSun" w:cs="SimSun"/>
          <w:sz w:val="22"/>
          <w:szCs w:val="22"/>
          <w:spacing w:val="20"/>
        </w:rPr>
        <w:t>预冷后的产品称重、包装。包装袋要检验，合格</w:t>
      </w:r>
      <w:r>
        <w:rPr>
          <w:rFonts w:ascii="SimSun" w:hAnsi="SimSun" w:eastAsia="SimSun" w:cs="SimSun"/>
          <w:sz w:val="22"/>
          <w:szCs w:val="22"/>
          <w:spacing w:val="19"/>
        </w:rPr>
        <w:t>、无菌后方可使用。包装</w:t>
      </w:r>
      <w:r>
        <w:rPr>
          <w:rFonts w:ascii="SimSun" w:hAnsi="SimSun" w:eastAsia="SimSun" w:cs="SimSun"/>
          <w:sz w:val="22"/>
          <w:szCs w:val="22"/>
        </w:rPr>
        <w:t xml:space="preserve"> </w:t>
      </w:r>
      <w:r>
        <w:rPr>
          <w:rFonts w:ascii="SimSun" w:hAnsi="SimSun" w:eastAsia="SimSun" w:cs="SimSun"/>
          <w:sz w:val="22"/>
          <w:szCs w:val="22"/>
          <w:spacing w:val="17"/>
        </w:rPr>
        <w:t>分拣后即可外售或暂存至冷库冷藏。</w:t>
      </w:r>
    </w:p>
    <w:p>
      <w:pPr>
        <w:ind w:left="4" w:right="207" w:firstLine="490"/>
        <w:spacing w:before="45" w:line="387" w:lineRule="auto"/>
        <w:rPr>
          <w:rFonts w:ascii="SimSun" w:hAnsi="SimSun" w:eastAsia="SimSun" w:cs="SimSun"/>
          <w:sz w:val="22"/>
          <w:szCs w:val="22"/>
        </w:rPr>
      </w:pPr>
      <w:r>
        <w:rPr>
          <w:rFonts w:ascii="SimSun" w:hAnsi="SimSun" w:eastAsia="SimSun" w:cs="SimSun"/>
          <w:sz w:val="22"/>
          <w:szCs w:val="22"/>
          <w:spacing w:val="20"/>
        </w:rPr>
        <w:t>本项目检验、检疫包括宰前对肉牛的检验、检</w:t>
      </w:r>
      <w:r>
        <w:rPr>
          <w:rFonts w:ascii="SimSun" w:hAnsi="SimSun" w:eastAsia="SimSun" w:cs="SimSun"/>
          <w:sz w:val="22"/>
          <w:szCs w:val="22"/>
          <w:spacing w:val="19"/>
        </w:rPr>
        <w:t>疫，以及屠宰后对肉牛胴体</w:t>
      </w:r>
      <w:r>
        <w:rPr>
          <w:rFonts w:ascii="SimSun" w:hAnsi="SimSun" w:eastAsia="SimSun" w:cs="SimSun"/>
          <w:sz w:val="22"/>
          <w:szCs w:val="22"/>
        </w:rPr>
        <w:t xml:space="preserve"> </w:t>
      </w:r>
      <w:r>
        <w:rPr>
          <w:rFonts w:ascii="SimSun" w:hAnsi="SimSun" w:eastAsia="SimSun" w:cs="SimSun"/>
          <w:sz w:val="22"/>
          <w:szCs w:val="22"/>
          <w:spacing w:val="19"/>
        </w:rPr>
        <w:t>和内脏检验检疫，设常规检疫工作间，包括器械柜、冰箱、干燥箱、显微镜、</w:t>
      </w:r>
      <w:r>
        <w:rPr>
          <w:rFonts w:ascii="SimSun" w:hAnsi="SimSun" w:eastAsia="SimSun" w:cs="SimSun"/>
          <w:sz w:val="22"/>
          <w:szCs w:val="22"/>
          <w:spacing w:val="13"/>
        </w:rPr>
        <w:t xml:space="preserve"> </w:t>
      </w:r>
      <w:r>
        <w:rPr>
          <w:rFonts w:ascii="SimSun" w:hAnsi="SimSun" w:eastAsia="SimSun" w:cs="SimSun"/>
          <w:sz w:val="22"/>
          <w:szCs w:val="22"/>
          <w:spacing w:val="19"/>
        </w:rPr>
        <w:t>快速检验设备和一次性成品试剂，不涉及专业实验检测，不涉及配制检验试剂</w:t>
      </w:r>
      <w:r>
        <w:rPr>
          <w:rFonts w:ascii="SimSun" w:hAnsi="SimSun" w:eastAsia="SimSun" w:cs="SimSun"/>
          <w:sz w:val="22"/>
          <w:szCs w:val="22"/>
          <w:spacing w:val="16"/>
        </w:rPr>
        <w:t xml:space="preserve"> </w:t>
      </w:r>
      <w:r>
        <w:rPr>
          <w:rFonts w:ascii="SimSun" w:hAnsi="SimSun" w:eastAsia="SimSun" w:cs="SimSun"/>
          <w:sz w:val="22"/>
          <w:szCs w:val="22"/>
          <w:spacing w:val="13"/>
        </w:rPr>
        <w:t>等理化实验。</w:t>
      </w:r>
    </w:p>
    <w:p>
      <w:pPr>
        <w:ind w:left="8"/>
        <w:spacing w:before="1" w:line="222" w:lineRule="auto"/>
        <w:rPr>
          <w:rFonts w:ascii="SimHei" w:hAnsi="SimHei" w:eastAsia="SimHei" w:cs="SimHei"/>
          <w:sz w:val="26"/>
          <w:szCs w:val="26"/>
        </w:rPr>
      </w:pPr>
      <w:r>
        <w:rPr>
          <w:rFonts w:ascii="SimHei" w:hAnsi="SimHei" w:eastAsia="SimHei" w:cs="SimHei"/>
          <w:sz w:val="26"/>
          <w:szCs w:val="26"/>
          <w:b/>
          <w:bCs/>
          <w:spacing w:val="4"/>
        </w:rPr>
        <w:t>3.8.3生猪、肉牛屠宰产污工序</w:t>
      </w:r>
    </w:p>
    <w:p>
      <w:pPr>
        <w:ind w:left="1738"/>
        <w:spacing w:before="178" w:line="219" w:lineRule="auto"/>
        <w:rPr>
          <w:rFonts w:ascii="SimSun" w:hAnsi="SimSun" w:eastAsia="SimSun" w:cs="SimSun"/>
          <w:sz w:val="24"/>
          <w:szCs w:val="24"/>
        </w:rPr>
      </w:pPr>
      <w:r>
        <w:rPr>
          <w:rFonts w:ascii="SimSun" w:hAnsi="SimSun" w:eastAsia="SimSun" w:cs="SimSun"/>
          <w:sz w:val="24"/>
          <w:szCs w:val="24"/>
          <w:b/>
          <w:bCs/>
          <w:spacing w:val="-3"/>
        </w:rPr>
        <w:t>表3.8-1运营期生猪、肉牛屠宰产污情况一览表</w:t>
      </w:r>
    </w:p>
    <w:p>
      <w:pPr>
        <w:spacing w:line="14" w:lineRule="exact"/>
        <w:rPr/>
      </w:pPr>
      <w:r/>
    </w:p>
    <w:tbl>
      <w:tblPr>
        <w:tblStyle w:val="TableNormal"/>
        <w:tblW w:w="8362"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94"/>
        <w:gridCol w:w="859"/>
        <w:gridCol w:w="449"/>
        <w:gridCol w:w="2108"/>
        <w:gridCol w:w="2887"/>
        <w:gridCol w:w="1365"/>
      </w:tblGrid>
      <w:tr>
        <w:trPr>
          <w:trHeight w:val="564" w:hRule="atLeast"/>
        </w:trPr>
        <w:tc>
          <w:tcPr>
            <w:shd w:val="clear" w:fill="BDBDBD"/>
            <w:tcW w:w="694" w:type="dxa"/>
            <w:vAlign w:val="top"/>
          </w:tcPr>
          <w:p>
            <w:pPr>
              <w:pStyle w:val="TableText"/>
              <w:ind w:left="128" w:right="35" w:hanging="100"/>
              <w:spacing w:before="30" w:line="230" w:lineRule="auto"/>
              <w:rPr>
                <w:sz w:val="21"/>
                <w:szCs w:val="21"/>
              </w:rPr>
            </w:pPr>
            <w:r>
              <w:rPr>
                <w:sz w:val="21"/>
                <w:szCs w:val="21"/>
                <w:b/>
                <w:bCs/>
                <w:spacing w:val="-6"/>
              </w:rPr>
              <w:t>污染物</w:t>
            </w:r>
            <w:r>
              <w:rPr>
                <w:sz w:val="21"/>
                <w:szCs w:val="21"/>
              </w:rPr>
              <w:t xml:space="preserve"> </w:t>
            </w:r>
            <w:r>
              <w:rPr>
                <w:sz w:val="21"/>
                <w:szCs w:val="21"/>
                <w:b/>
                <w:bCs/>
                <w:spacing w:val="-5"/>
              </w:rPr>
              <w:t>种类</w:t>
            </w:r>
          </w:p>
        </w:tc>
        <w:tc>
          <w:tcPr>
            <w:shd w:val="clear" w:fill="BDBDBD"/>
            <w:tcW w:w="3416" w:type="dxa"/>
            <w:vAlign w:val="top"/>
            <w:gridSpan w:val="3"/>
          </w:tcPr>
          <w:p>
            <w:pPr>
              <w:pStyle w:val="TableText"/>
              <w:ind w:left="1284"/>
              <w:spacing w:before="180" w:line="219" w:lineRule="auto"/>
              <w:rPr>
                <w:sz w:val="21"/>
                <w:szCs w:val="21"/>
              </w:rPr>
            </w:pPr>
            <w:r>
              <w:rPr>
                <w:sz w:val="21"/>
                <w:szCs w:val="21"/>
                <w:b/>
                <w:bCs/>
                <w:spacing w:val="-4"/>
              </w:rPr>
              <w:t>产生工序</w:t>
            </w:r>
          </w:p>
        </w:tc>
        <w:tc>
          <w:tcPr>
            <w:shd w:val="clear" w:fill="BDBDBD"/>
            <w:tcW w:w="2887" w:type="dxa"/>
            <w:vAlign w:val="top"/>
          </w:tcPr>
          <w:p>
            <w:pPr>
              <w:pStyle w:val="TableText"/>
              <w:ind w:left="918"/>
              <w:spacing w:before="181" w:line="220" w:lineRule="auto"/>
              <w:rPr>
                <w:sz w:val="21"/>
                <w:szCs w:val="21"/>
              </w:rPr>
            </w:pPr>
            <w:r>
              <w:rPr>
                <w:sz w:val="21"/>
                <w:szCs w:val="21"/>
                <w:b/>
                <w:bCs/>
                <w:spacing w:val="-4"/>
              </w:rPr>
              <w:t>主要污染物</w:t>
            </w:r>
          </w:p>
        </w:tc>
        <w:tc>
          <w:tcPr>
            <w:shd w:val="clear" w:fill="BDBDBD"/>
            <w:tcW w:w="1365" w:type="dxa"/>
            <w:vAlign w:val="top"/>
          </w:tcPr>
          <w:p>
            <w:pPr>
              <w:pStyle w:val="TableText"/>
              <w:ind w:left="451"/>
              <w:spacing w:before="180" w:line="219" w:lineRule="auto"/>
              <w:rPr>
                <w:sz w:val="21"/>
                <w:szCs w:val="21"/>
              </w:rPr>
            </w:pPr>
            <w:r>
              <w:rPr>
                <w:sz w:val="21"/>
                <w:szCs w:val="21"/>
                <w:b/>
                <w:bCs/>
                <w:spacing w:val="-5"/>
              </w:rPr>
              <w:t>编号</w:t>
            </w:r>
          </w:p>
        </w:tc>
      </w:tr>
      <w:tr>
        <w:trPr>
          <w:trHeight w:val="269" w:hRule="atLeast"/>
        </w:trPr>
        <w:tc>
          <w:tcPr>
            <w:tcW w:w="694" w:type="dxa"/>
            <w:vAlign w:val="top"/>
            <w:vMerge w:val="restart"/>
            <w:tcBorders>
              <w:bottom w:val="nil"/>
            </w:tcBorders>
          </w:tcPr>
          <w:p>
            <w:pPr>
              <w:spacing w:line="329" w:lineRule="auto"/>
              <w:rPr>
                <w:rFonts w:ascii="Arial"/>
                <w:sz w:val="21"/>
              </w:rPr>
            </w:pPr>
            <w:r/>
          </w:p>
          <w:p>
            <w:pPr>
              <w:spacing w:line="329" w:lineRule="auto"/>
              <w:rPr>
                <w:rFonts w:ascii="Arial"/>
                <w:sz w:val="21"/>
              </w:rPr>
            </w:pPr>
            <w:r/>
          </w:p>
          <w:p>
            <w:pPr>
              <w:pStyle w:val="TableText"/>
              <w:ind w:left="125"/>
              <w:spacing w:before="68" w:line="220" w:lineRule="auto"/>
              <w:rPr>
                <w:sz w:val="21"/>
                <w:szCs w:val="21"/>
              </w:rPr>
            </w:pPr>
            <w:r>
              <w:rPr>
                <w:sz w:val="21"/>
                <w:szCs w:val="21"/>
                <w:spacing w:val="6"/>
              </w:rPr>
              <w:t>废气</w:t>
            </w:r>
          </w:p>
        </w:tc>
        <w:tc>
          <w:tcPr>
            <w:tcW w:w="3416" w:type="dxa"/>
            <w:vAlign w:val="top"/>
            <w:gridSpan w:val="3"/>
          </w:tcPr>
          <w:p>
            <w:pPr>
              <w:pStyle w:val="TableText"/>
              <w:ind w:left="231"/>
              <w:spacing w:before="29" w:line="202" w:lineRule="auto"/>
              <w:rPr>
                <w:sz w:val="21"/>
                <w:szCs w:val="21"/>
              </w:rPr>
            </w:pPr>
            <w:r>
              <w:rPr>
                <w:sz w:val="21"/>
                <w:szCs w:val="21"/>
                <w:spacing w:val="-1"/>
              </w:rPr>
              <w:t>生猪、肉牛屠宰车间及待宰圈舍</w:t>
            </w:r>
          </w:p>
        </w:tc>
        <w:tc>
          <w:tcPr>
            <w:tcW w:w="2887" w:type="dxa"/>
            <w:vAlign w:val="top"/>
          </w:tcPr>
          <w:p>
            <w:pPr>
              <w:pStyle w:val="TableText"/>
              <w:ind w:left="385"/>
              <w:spacing w:before="29" w:line="202" w:lineRule="auto"/>
              <w:rPr>
                <w:sz w:val="21"/>
                <w:szCs w:val="21"/>
              </w:rPr>
            </w:pPr>
            <w:r>
              <w:rPr>
                <w:sz w:val="21"/>
                <w:szCs w:val="21"/>
              </w:rPr>
              <w:t>NH</w:t>
            </w:r>
            <w:r>
              <w:rPr>
                <w:rFonts w:ascii="Calibri" w:hAnsi="Calibri" w:eastAsia="Calibri" w:cs="Calibri"/>
                <w:sz w:val="21"/>
                <w:szCs w:val="21"/>
                <w:spacing w:val="16"/>
              </w:rPr>
              <w:t>₃</w:t>
            </w:r>
            <w:r>
              <w:rPr>
                <w:rFonts w:ascii="Calibri" w:hAnsi="Calibri" w:eastAsia="Calibri" w:cs="Calibri"/>
                <w:sz w:val="21"/>
                <w:szCs w:val="21"/>
                <w:spacing w:val="-24"/>
              </w:rPr>
              <w:t xml:space="preserve"> </w:t>
            </w:r>
            <w:r>
              <w:rPr>
                <w:sz w:val="21"/>
                <w:szCs w:val="21"/>
                <w:spacing w:val="16"/>
              </w:rPr>
              <w:t>、H</w:t>
            </w:r>
            <w:r>
              <w:rPr>
                <w:rFonts w:ascii="Calibri" w:hAnsi="Calibri" w:eastAsia="Calibri" w:cs="Calibri"/>
                <w:sz w:val="21"/>
                <w:szCs w:val="21"/>
                <w:spacing w:val="16"/>
              </w:rPr>
              <w:t>₂</w:t>
            </w:r>
            <w:r>
              <w:rPr>
                <w:sz w:val="21"/>
                <w:szCs w:val="21"/>
                <w:spacing w:val="16"/>
              </w:rPr>
              <w:t>S、臭气浓度</w:t>
            </w:r>
          </w:p>
        </w:tc>
        <w:tc>
          <w:tcPr>
            <w:tcW w:w="1365" w:type="dxa"/>
            <w:vAlign w:val="top"/>
          </w:tcPr>
          <w:p>
            <w:pPr>
              <w:pStyle w:val="TableText"/>
              <w:ind w:left="547"/>
              <w:spacing w:before="83" w:line="176" w:lineRule="exact"/>
              <w:rPr>
                <w:sz w:val="21"/>
                <w:szCs w:val="21"/>
              </w:rPr>
            </w:pPr>
            <w:r>
              <w:rPr>
                <w:sz w:val="21"/>
                <w:szCs w:val="21"/>
                <w:spacing w:val="-2"/>
                <w:position w:val="-2"/>
              </w:rPr>
              <w:t>Gz</w:t>
            </w:r>
          </w:p>
        </w:tc>
      </w:tr>
      <w:tr>
        <w:trPr>
          <w:trHeight w:val="260" w:hRule="atLeast"/>
        </w:trPr>
        <w:tc>
          <w:tcPr>
            <w:tcW w:w="694" w:type="dxa"/>
            <w:vAlign w:val="top"/>
            <w:vMerge w:val="continue"/>
            <w:tcBorders>
              <w:top w:val="nil"/>
              <w:bottom w:val="nil"/>
            </w:tcBorders>
          </w:tcPr>
          <w:p>
            <w:pPr>
              <w:rPr>
                <w:rFonts w:ascii="Arial"/>
                <w:sz w:val="21"/>
              </w:rPr>
            </w:pPr>
            <w:r/>
          </w:p>
        </w:tc>
        <w:tc>
          <w:tcPr>
            <w:tcW w:w="859" w:type="dxa"/>
            <w:vAlign w:val="top"/>
            <w:vMerge w:val="restart"/>
            <w:tcBorders>
              <w:bottom w:val="nil"/>
            </w:tcBorders>
          </w:tcPr>
          <w:p>
            <w:pPr>
              <w:spacing w:line="259" w:lineRule="auto"/>
              <w:rPr>
                <w:rFonts w:ascii="Arial"/>
                <w:sz w:val="21"/>
              </w:rPr>
            </w:pPr>
            <w:r/>
          </w:p>
          <w:p>
            <w:pPr>
              <w:spacing w:line="260" w:lineRule="auto"/>
              <w:rPr>
                <w:rFonts w:ascii="Arial"/>
                <w:sz w:val="21"/>
              </w:rPr>
            </w:pPr>
            <w:r/>
          </w:p>
          <w:p>
            <w:pPr>
              <w:pStyle w:val="TableText"/>
              <w:spacing w:before="69" w:line="220" w:lineRule="auto"/>
              <w:jc w:val="right"/>
              <w:rPr>
                <w:sz w:val="21"/>
                <w:szCs w:val="21"/>
              </w:rPr>
            </w:pPr>
            <w:r>
              <w:rPr>
                <w:sz w:val="21"/>
                <w:szCs w:val="21"/>
                <w:spacing w:val="-20"/>
                <w:w w:val="98"/>
              </w:rPr>
              <w:t>辅助设施</w:t>
            </w:r>
            <w:r>
              <w:rPr>
                <w:sz w:val="21"/>
                <w:szCs w:val="21"/>
                <w:spacing w:val="-15"/>
                <w:w w:val="98"/>
              </w:rPr>
              <w:t>[</w:t>
            </w:r>
          </w:p>
        </w:tc>
        <w:tc>
          <w:tcPr>
            <w:tcW w:w="2557" w:type="dxa"/>
            <w:vAlign w:val="top"/>
            <w:gridSpan w:val="2"/>
          </w:tcPr>
          <w:p>
            <w:pPr>
              <w:pStyle w:val="TableText"/>
              <w:ind w:left="742"/>
              <w:spacing w:before="30" w:line="193" w:lineRule="auto"/>
              <w:rPr>
                <w:sz w:val="21"/>
                <w:szCs w:val="21"/>
              </w:rPr>
            </w:pPr>
            <w:r>
              <w:rPr>
                <w:sz w:val="21"/>
                <w:szCs w:val="21"/>
                <w:spacing w:val="2"/>
              </w:rPr>
              <w:t>污水处理站</w:t>
            </w:r>
          </w:p>
        </w:tc>
        <w:tc>
          <w:tcPr>
            <w:tcW w:w="2887" w:type="dxa"/>
            <w:vAlign w:val="top"/>
          </w:tcPr>
          <w:p>
            <w:pPr>
              <w:pStyle w:val="TableText"/>
              <w:ind w:left="385"/>
              <w:spacing w:before="29" w:line="194" w:lineRule="auto"/>
              <w:rPr>
                <w:sz w:val="21"/>
                <w:szCs w:val="21"/>
              </w:rPr>
            </w:pPr>
            <w:r>
              <w:rPr>
                <w:sz w:val="21"/>
                <w:szCs w:val="21"/>
              </w:rPr>
              <w:t>NH</w:t>
            </w:r>
            <w:r>
              <w:rPr>
                <w:rFonts w:ascii="Calibri" w:hAnsi="Calibri" w:eastAsia="Calibri" w:cs="Calibri"/>
                <w:sz w:val="21"/>
                <w:szCs w:val="21"/>
                <w:spacing w:val="16"/>
              </w:rPr>
              <w:t>₃</w:t>
            </w:r>
            <w:r>
              <w:rPr>
                <w:rFonts w:ascii="Calibri" w:hAnsi="Calibri" w:eastAsia="Calibri" w:cs="Calibri"/>
                <w:sz w:val="21"/>
                <w:szCs w:val="21"/>
                <w:spacing w:val="-24"/>
              </w:rPr>
              <w:t xml:space="preserve"> </w:t>
            </w:r>
            <w:r>
              <w:rPr>
                <w:sz w:val="21"/>
                <w:szCs w:val="21"/>
                <w:spacing w:val="16"/>
              </w:rPr>
              <w:t>、H</w:t>
            </w:r>
            <w:r>
              <w:rPr>
                <w:rFonts w:ascii="Calibri" w:hAnsi="Calibri" w:eastAsia="Calibri" w:cs="Calibri"/>
                <w:sz w:val="21"/>
                <w:szCs w:val="21"/>
                <w:spacing w:val="16"/>
              </w:rPr>
              <w:t>₂</w:t>
            </w:r>
            <w:r>
              <w:rPr>
                <w:sz w:val="21"/>
                <w:szCs w:val="21"/>
                <w:spacing w:val="16"/>
              </w:rPr>
              <w:t>S、臭气浓度</w:t>
            </w:r>
          </w:p>
        </w:tc>
        <w:tc>
          <w:tcPr>
            <w:tcW w:w="1365" w:type="dxa"/>
            <w:vAlign w:val="top"/>
          </w:tcPr>
          <w:p>
            <w:pPr>
              <w:pStyle w:val="TableText"/>
              <w:ind w:left="547"/>
              <w:spacing w:before="84" w:line="166" w:lineRule="exact"/>
              <w:rPr>
                <w:sz w:val="21"/>
                <w:szCs w:val="21"/>
              </w:rPr>
            </w:pPr>
            <w:r>
              <w:rPr>
                <w:sz w:val="21"/>
                <w:szCs w:val="21"/>
                <w:spacing w:val="-2"/>
                <w:position w:val="-2"/>
              </w:rPr>
              <w:t>Gz</w:t>
            </w:r>
          </w:p>
        </w:tc>
      </w:tr>
      <w:tr>
        <w:trPr>
          <w:trHeight w:val="280" w:hRule="atLeast"/>
        </w:trPr>
        <w:tc>
          <w:tcPr>
            <w:tcW w:w="694" w:type="dxa"/>
            <w:vAlign w:val="top"/>
            <w:vMerge w:val="continue"/>
            <w:tcBorders>
              <w:top w:val="nil"/>
              <w:bottom w:val="nil"/>
            </w:tcBorders>
          </w:tcPr>
          <w:p>
            <w:pPr>
              <w:rPr>
                <w:rFonts w:ascii="Arial"/>
                <w:sz w:val="21"/>
              </w:rPr>
            </w:pPr>
            <w:r/>
          </w:p>
        </w:tc>
        <w:tc>
          <w:tcPr>
            <w:tcW w:w="859" w:type="dxa"/>
            <w:vAlign w:val="top"/>
            <w:vMerge w:val="continue"/>
            <w:tcBorders>
              <w:top w:val="nil"/>
              <w:bottom w:val="nil"/>
            </w:tcBorders>
          </w:tcPr>
          <w:p>
            <w:pPr>
              <w:rPr>
                <w:rFonts w:ascii="Arial"/>
                <w:sz w:val="21"/>
              </w:rPr>
            </w:pPr>
            <w:r/>
          </w:p>
        </w:tc>
        <w:tc>
          <w:tcPr>
            <w:tcW w:w="2557" w:type="dxa"/>
            <w:vAlign w:val="top"/>
            <w:gridSpan w:val="2"/>
          </w:tcPr>
          <w:p>
            <w:pPr>
              <w:pStyle w:val="TableText"/>
              <w:ind w:left="642"/>
              <w:spacing w:before="41" w:line="201" w:lineRule="auto"/>
              <w:rPr>
                <w:sz w:val="21"/>
                <w:szCs w:val="21"/>
              </w:rPr>
            </w:pPr>
            <w:r>
              <w:rPr>
                <w:sz w:val="21"/>
                <w:szCs w:val="21"/>
                <w:spacing w:val="2"/>
              </w:rPr>
              <w:t>蒸汽发生器房</w:t>
            </w:r>
          </w:p>
        </w:tc>
        <w:tc>
          <w:tcPr>
            <w:tcW w:w="2887" w:type="dxa"/>
            <w:vAlign w:val="top"/>
          </w:tcPr>
          <w:p>
            <w:pPr>
              <w:pStyle w:val="TableText"/>
              <w:ind w:left="545"/>
              <w:spacing w:before="41" w:line="201" w:lineRule="auto"/>
              <w:rPr>
                <w:sz w:val="21"/>
                <w:szCs w:val="21"/>
              </w:rPr>
            </w:pPr>
            <w:r>
              <w:rPr>
                <w:sz w:val="21"/>
                <w:szCs w:val="21"/>
                <w:spacing w:val="13"/>
              </w:rPr>
              <w:t>颗粒物、</w:t>
            </w:r>
            <w:r>
              <w:rPr>
                <w:sz w:val="21"/>
                <w:szCs w:val="21"/>
              </w:rPr>
              <w:t>SO</w:t>
            </w:r>
            <w:r>
              <w:rPr>
                <w:rFonts w:ascii="Calibri" w:hAnsi="Calibri" w:eastAsia="Calibri" w:cs="Calibri"/>
                <w:sz w:val="21"/>
                <w:szCs w:val="21"/>
                <w:spacing w:val="13"/>
              </w:rPr>
              <w:t>₂</w:t>
            </w:r>
            <w:r>
              <w:rPr>
                <w:rFonts w:ascii="Calibri" w:hAnsi="Calibri" w:eastAsia="Calibri" w:cs="Calibri"/>
                <w:sz w:val="21"/>
                <w:szCs w:val="21"/>
                <w:spacing w:val="-23"/>
              </w:rPr>
              <w:t xml:space="preserve"> </w:t>
            </w:r>
            <w:r>
              <w:rPr>
                <w:sz w:val="21"/>
                <w:szCs w:val="21"/>
                <w:spacing w:val="13"/>
              </w:rPr>
              <w:t>、</w:t>
            </w:r>
            <w:r>
              <w:rPr>
                <w:sz w:val="21"/>
                <w:szCs w:val="21"/>
              </w:rPr>
              <w:t>NOx</w:t>
            </w:r>
          </w:p>
        </w:tc>
        <w:tc>
          <w:tcPr>
            <w:tcW w:w="1365" w:type="dxa"/>
            <w:vAlign w:val="top"/>
          </w:tcPr>
          <w:p>
            <w:pPr>
              <w:pStyle w:val="TableText"/>
              <w:ind w:left="547"/>
              <w:spacing w:before="61" w:line="183" w:lineRule="auto"/>
              <w:rPr>
                <w:sz w:val="21"/>
                <w:szCs w:val="21"/>
              </w:rPr>
            </w:pPr>
            <w:r>
              <w:rPr>
                <w:sz w:val="21"/>
                <w:szCs w:val="21"/>
                <w:spacing w:val="-2"/>
              </w:rPr>
              <w:t>Gb</w:t>
            </w:r>
          </w:p>
        </w:tc>
      </w:tr>
      <w:tr>
        <w:trPr>
          <w:trHeight w:val="280" w:hRule="atLeast"/>
        </w:trPr>
        <w:tc>
          <w:tcPr>
            <w:tcW w:w="694" w:type="dxa"/>
            <w:vAlign w:val="top"/>
            <w:vMerge w:val="continue"/>
            <w:tcBorders>
              <w:top w:val="nil"/>
              <w:bottom w:val="nil"/>
            </w:tcBorders>
          </w:tcPr>
          <w:p>
            <w:pPr>
              <w:rPr>
                <w:rFonts w:ascii="Arial"/>
                <w:sz w:val="21"/>
              </w:rPr>
            </w:pPr>
            <w:r/>
          </w:p>
        </w:tc>
        <w:tc>
          <w:tcPr>
            <w:tcW w:w="859" w:type="dxa"/>
            <w:vAlign w:val="top"/>
            <w:vMerge w:val="continue"/>
            <w:tcBorders>
              <w:top w:val="nil"/>
              <w:bottom w:val="nil"/>
            </w:tcBorders>
          </w:tcPr>
          <w:p>
            <w:pPr>
              <w:rPr>
                <w:rFonts w:ascii="Arial"/>
                <w:sz w:val="21"/>
              </w:rPr>
            </w:pPr>
            <w:r/>
          </w:p>
        </w:tc>
        <w:tc>
          <w:tcPr>
            <w:tcW w:w="2557" w:type="dxa"/>
            <w:vAlign w:val="top"/>
            <w:gridSpan w:val="2"/>
          </w:tcPr>
          <w:p>
            <w:pPr>
              <w:pStyle w:val="TableText"/>
              <w:ind w:left="851"/>
              <w:spacing w:before="40" w:line="202" w:lineRule="auto"/>
              <w:rPr>
                <w:sz w:val="21"/>
                <w:szCs w:val="21"/>
              </w:rPr>
            </w:pPr>
            <w:r>
              <w:rPr>
                <w:sz w:val="21"/>
                <w:szCs w:val="21"/>
                <w:spacing w:val="3"/>
              </w:rPr>
              <w:t>发电机房</w:t>
            </w:r>
          </w:p>
        </w:tc>
        <w:tc>
          <w:tcPr>
            <w:tcW w:w="2887" w:type="dxa"/>
            <w:vAlign w:val="top"/>
          </w:tcPr>
          <w:p>
            <w:pPr>
              <w:pStyle w:val="TableText"/>
              <w:ind w:left="705"/>
              <w:spacing w:before="40" w:line="202" w:lineRule="auto"/>
              <w:rPr>
                <w:sz w:val="21"/>
                <w:szCs w:val="21"/>
              </w:rPr>
            </w:pPr>
            <w:r>
              <w:rPr>
                <w:sz w:val="21"/>
                <w:szCs w:val="21"/>
                <w:spacing w:val="1"/>
              </w:rPr>
              <w:t>柴油发电机废气</w:t>
            </w:r>
          </w:p>
        </w:tc>
        <w:tc>
          <w:tcPr>
            <w:tcW w:w="1365" w:type="dxa"/>
            <w:vAlign w:val="top"/>
          </w:tcPr>
          <w:p>
            <w:pPr>
              <w:pStyle w:val="TableText"/>
              <w:ind w:left="547"/>
              <w:spacing w:before="94" w:line="176" w:lineRule="exact"/>
              <w:rPr>
                <w:sz w:val="21"/>
                <w:szCs w:val="21"/>
              </w:rPr>
            </w:pPr>
            <w:r>
              <w:rPr>
                <w:sz w:val="21"/>
                <w:szCs w:val="21"/>
                <w:spacing w:val="-2"/>
                <w:position w:val="-2"/>
              </w:rPr>
              <w:t>Gc</w:t>
            </w:r>
          </w:p>
        </w:tc>
      </w:tr>
      <w:tr>
        <w:trPr>
          <w:trHeight w:val="270" w:hRule="atLeast"/>
        </w:trPr>
        <w:tc>
          <w:tcPr>
            <w:tcW w:w="694" w:type="dxa"/>
            <w:vAlign w:val="top"/>
            <w:vMerge w:val="continue"/>
            <w:tcBorders>
              <w:top w:val="nil"/>
              <w:bottom w:val="nil"/>
            </w:tcBorders>
          </w:tcPr>
          <w:p>
            <w:pPr>
              <w:rPr>
                <w:rFonts w:ascii="Arial"/>
                <w:sz w:val="21"/>
              </w:rPr>
            </w:pPr>
            <w:r/>
          </w:p>
        </w:tc>
        <w:tc>
          <w:tcPr>
            <w:tcW w:w="859" w:type="dxa"/>
            <w:vAlign w:val="top"/>
            <w:vMerge w:val="continue"/>
            <w:tcBorders>
              <w:top w:val="nil"/>
              <w:bottom w:val="nil"/>
            </w:tcBorders>
          </w:tcPr>
          <w:p>
            <w:pPr>
              <w:rPr>
                <w:rFonts w:ascii="Arial"/>
                <w:sz w:val="21"/>
              </w:rPr>
            </w:pPr>
            <w:r/>
          </w:p>
        </w:tc>
        <w:tc>
          <w:tcPr>
            <w:tcW w:w="2557" w:type="dxa"/>
            <w:vAlign w:val="top"/>
            <w:gridSpan w:val="2"/>
          </w:tcPr>
          <w:p>
            <w:pPr>
              <w:pStyle w:val="TableText"/>
              <w:ind w:left="851"/>
              <w:spacing w:before="31" w:line="201" w:lineRule="auto"/>
              <w:rPr>
                <w:sz w:val="21"/>
                <w:szCs w:val="21"/>
              </w:rPr>
            </w:pPr>
            <w:r>
              <w:rPr>
                <w:sz w:val="21"/>
                <w:szCs w:val="21"/>
                <w:spacing w:val="3"/>
              </w:rPr>
              <w:t>食堂油烟</w:t>
            </w:r>
          </w:p>
        </w:tc>
        <w:tc>
          <w:tcPr>
            <w:tcW w:w="2887" w:type="dxa"/>
            <w:vAlign w:val="top"/>
          </w:tcPr>
          <w:p>
            <w:pPr>
              <w:pStyle w:val="TableText"/>
              <w:ind w:left="1014"/>
              <w:spacing w:before="31" w:line="201" w:lineRule="auto"/>
              <w:rPr>
                <w:sz w:val="21"/>
                <w:szCs w:val="21"/>
              </w:rPr>
            </w:pPr>
            <w:r>
              <w:rPr>
                <w:sz w:val="21"/>
                <w:szCs w:val="21"/>
                <w:spacing w:val="3"/>
              </w:rPr>
              <w:t>油烟废气</w:t>
            </w:r>
          </w:p>
        </w:tc>
        <w:tc>
          <w:tcPr>
            <w:tcW w:w="1365" w:type="dxa"/>
            <w:vAlign w:val="top"/>
          </w:tcPr>
          <w:p>
            <w:pPr>
              <w:pStyle w:val="TableText"/>
              <w:ind w:left="547"/>
              <w:spacing w:before="84" w:line="176" w:lineRule="exact"/>
              <w:rPr>
                <w:sz w:val="21"/>
                <w:szCs w:val="21"/>
              </w:rPr>
            </w:pPr>
            <w:r>
              <w:rPr>
                <w:sz w:val="21"/>
                <w:szCs w:val="21"/>
                <w:spacing w:val="-2"/>
                <w:position w:val="-2"/>
              </w:rPr>
              <w:t>Gs</w:t>
            </w:r>
          </w:p>
        </w:tc>
      </w:tr>
      <w:tr>
        <w:trPr>
          <w:trHeight w:val="259" w:hRule="atLeast"/>
        </w:trPr>
        <w:tc>
          <w:tcPr>
            <w:tcW w:w="694" w:type="dxa"/>
            <w:vAlign w:val="top"/>
            <w:vMerge w:val="continue"/>
            <w:tcBorders>
              <w:top w:val="nil"/>
            </w:tcBorders>
          </w:tcPr>
          <w:p>
            <w:pPr>
              <w:rPr>
                <w:rFonts w:ascii="Arial"/>
                <w:sz w:val="21"/>
              </w:rPr>
            </w:pPr>
            <w:r/>
          </w:p>
        </w:tc>
        <w:tc>
          <w:tcPr>
            <w:tcW w:w="859" w:type="dxa"/>
            <w:vAlign w:val="top"/>
            <w:vMerge w:val="continue"/>
            <w:tcBorders>
              <w:top w:val="nil"/>
            </w:tcBorders>
          </w:tcPr>
          <w:p>
            <w:pPr>
              <w:rPr>
                <w:rFonts w:ascii="Arial"/>
                <w:sz w:val="21"/>
              </w:rPr>
            </w:pPr>
            <w:r/>
          </w:p>
        </w:tc>
        <w:tc>
          <w:tcPr>
            <w:tcW w:w="2557" w:type="dxa"/>
            <w:vAlign w:val="top"/>
            <w:gridSpan w:val="2"/>
          </w:tcPr>
          <w:p>
            <w:pPr>
              <w:pStyle w:val="TableText"/>
              <w:ind w:left="742"/>
              <w:spacing w:before="30" w:line="192" w:lineRule="auto"/>
              <w:rPr>
                <w:sz w:val="21"/>
                <w:szCs w:val="21"/>
              </w:rPr>
            </w:pPr>
            <w:r>
              <w:rPr>
                <w:sz w:val="21"/>
                <w:szCs w:val="21"/>
                <w:spacing w:val="4"/>
              </w:rPr>
              <w:t>固废暂存间</w:t>
            </w:r>
          </w:p>
        </w:tc>
        <w:tc>
          <w:tcPr>
            <w:tcW w:w="2887" w:type="dxa"/>
            <w:vAlign w:val="top"/>
          </w:tcPr>
          <w:p>
            <w:pPr>
              <w:pStyle w:val="TableText"/>
              <w:ind w:left="385"/>
              <w:spacing w:before="29" w:line="193" w:lineRule="auto"/>
              <w:rPr>
                <w:sz w:val="21"/>
                <w:szCs w:val="21"/>
              </w:rPr>
            </w:pPr>
            <w:r>
              <w:rPr>
                <w:sz w:val="21"/>
                <w:szCs w:val="21"/>
              </w:rPr>
              <w:t>NH</w:t>
            </w:r>
            <w:r>
              <w:rPr>
                <w:rFonts w:ascii="Calibri" w:hAnsi="Calibri" w:eastAsia="Calibri" w:cs="Calibri"/>
                <w:sz w:val="21"/>
                <w:szCs w:val="21"/>
                <w:spacing w:val="16"/>
              </w:rPr>
              <w:t>₃</w:t>
            </w:r>
            <w:r>
              <w:rPr>
                <w:rFonts w:ascii="Calibri" w:hAnsi="Calibri" w:eastAsia="Calibri" w:cs="Calibri"/>
                <w:sz w:val="21"/>
                <w:szCs w:val="21"/>
                <w:spacing w:val="-24"/>
              </w:rPr>
              <w:t xml:space="preserve"> </w:t>
            </w:r>
            <w:r>
              <w:rPr>
                <w:sz w:val="21"/>
                <w:szCs w:val="21"/>
                <w:spacing w:val="16"/>
              </w:rPr>
              <w:t>、H</w:t>
            </w:r>
            <w:r>
              <w:rPr>
                <w:rFonts w:ascii="Calibri" w:hAnsi="Calibri" w:eastAsia="Calibri" w:cs="Calibri"/>
                <w:sz w:val="21"/>
                <w:szCs w:val="21"/>
                <w:spacing w:val="16"/>
              </w:rPr>
              <w:t>₂</w:t>
            </w:r>
            <w:r>
              <w:rPr>
                <w:sz w:val="21"/>
                <w:szCs w:val="21"/>
                <w:spacing w:val="16"/>
              </w:rPr>
              <w:t>S、臭气浓度</w:t>
            </w:r>
          </w:p>
        </w:tc>
        <w:tc>
          <w:tcPr>
            <w:tcW w:w="1365" w:type="dxa"/>
            <w:vAlign w:val="top"/>
          </w:tcPr>
          <w:p>
            <w:pPr>
              <w:pStyle w:val="TableText"/>
              <w:ind w:left="547"/>
              <w:spacing w:before="84" w:line="165" w:lineRule="exact"/>
              <w:rPr>
                <w:sz w:val="21"/>
                <w:szCs w:val="21"/>
              </w:rPr>
            </w:pPr>
            <w:r>
              <w:rPr>
                <w:sz w:val="21"/>
                <w:szCs w:val="21"/>
                <w:spacing w:val="-2"/>
                <w:position w:val="-2"/>
              </w:rPr>
              <w:t>Gz</w:t>
            </w:r>
          </w:p>
        </w:tc>
      </w:tr>
      <w:tr>
        <w:trPr>
          <w:trHeight w:val="1378" w:hRule="atLeast"/>
        </w:trPr>
        <w:tc>
          <w:tcPr>
            <w:tcW w:w="694" w:type="dxa"/>
            <w:vAlign w:val="top"/>
            <w:vMerge w:val="restart"/>
            <w:tcBorders>
              <w:bottom w:val="nil"/>
            </w:tcBorders>
          </w:tcPr>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125"/>
              <w:spacing w:before="68" w:line="219" w:lineRule="auto"/>
              <w:rPr>
                <w:sz w:val="21"/>
                <w:szCs w:val="21"/>
              </w:rPr>
            </w:pPr>
            <w:r>
              <w:rPr>
                <w:sz w:val="21"/>
                <w:szCs w:val="21"/>
                <w:spacing w:val="-2"/>
              </w:rPr>
              <w:t>废水</w:t>
            </w:r>
          </w:p>
        </w:tc>
        <w:tc>
          <w:tcPr>
            <w:tcW w:w="859" w:type="dxa"/>
            <w:vAlign w:val="top"/>
            <w:vMerge w:val="restart"/>
            <w:tcBorders>
              <w:bottom w:val="nil"/>
            </w:tcBorders>
          </w:tcPr>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pStyle w:val="TableText"/>
              <w:spacing w:before="68" w:line="220" w:lineRule="auto"/>
              <w:jc w:val="right"/>
              <w:rPr>
                <w:sz w:val="21"/>
                <w:szCs w:val="21"/>
              </w:rPr>
            </w:pPr>
            <w:r>
              <w:rPr>
                <w:sz w:val="21"/>
                <w:szCs w:val="21"/>
                <w:spacing w:val="-1"/>
              </w:rPr>
              <w:t>生猪、肉</w:t>
            </w:r>
          </w:p>
          <w:p>
            <w:pPr>
              <w:pStyle w:val="TableText"/>
              <w:ind w:left="208" w:hanging="197"/>
              <w:spacing w:before="18" w:line="231" w:lineRule="auto"/>
              <w:rPr>
                <w:sz w:val="21"/>
                <w:szCs w:val="21"/>
              </w:rPr>
            </w:pPr>
            <w:r>
              <w:rPr>
                <w:sz w:val="21"/>
                <w:szCs w:val="21"/>
                <w:spacing w:val="-1"/>
              </w:rPr>
              <w:t>牛屠宰生</w:t>
            </w:r>
            <w:r>
              <w:rPr>
                <w:sz w:val="21"/>
                <w:szCs w:val="21"/>
              </w:rPr>
              <w:t xml:space="preserve"> </w:t>
            </w:r>
            <w:r>
              <w:rPr>
                <w:sz w:val="21"/>
                <w:szCs w:val="21"/>
                <w:spacing w:val="4"/>
              </w:rPr>
              <w:t>产线</w:t>
            </w:r>
          </w:p>
        </w:tc>
        <w:tc>
          <w:tcPr>
            <w:tcW w:w="2557" w:type="dxa"/>
            <w:vAlign w:val="top"/>
            <w:gridSpan w:val="2"/>
          </w:tcPr>
          <w:p>
            <w:pPr>
              <w:pStyle w:val="TableText"/>
              <w:ind w:left="12"/>
              <w:spacing w:before="39" w:line="218" w:lineRule="auto"/>
              <w:rPr>
                <w:sz w:val="21"/>
                <w:szCs w:val="21"/>
              </w:rPr>
            </w:pPr>
            <w:r>
              <w:rPr>
                <w:sz w:val="21"/>
                <w:szCs w:val="21"/>
              </w:rPr>
              <w:t>待宰暂养、宰前冲淋、脱毛</w:t>
            </w:r>
          </w:p>
          <w:p>
            <w:pPr>
              <w:pStyle w:val="TableText"/>
              <w:ind w:left="112"/>
              <w:spacing w:before="24" w:line="221" w:lineRule="auto"/>
              <w:rPr>
                <w:sz w:val="21"/>
                <w:szCs w:val="21"/>
              </w:rPr>
            </w:pPr>
            <w:r>
              <w:rPr>
                <w:sz w:val="21"/>
                <w:szCs w:val="21"/>
                <w:spacing w:val="1"/>
              </w:rPr>
              <w:t>前冲洗、烫毛及脱毛、急</w:t>
            </w:r>
          </w:p>
          <w:p>
            <w:pPr>
              <w:pStyle w:val="TableText"/>
              <w:spacing w:before="37" w:line="219" w:lineRule="auto"/>
              <w:jc w:val="right"/>
              <w:rPr>
                <w:sz w:val="21"/>
                <w:szCs w:val="21"/>
              </w:rPr>
            </w:pPr>
            <w:r>
              <w:rPr>
                <w:sz w:val="21"/>
                <w:szCs w:val="21"/>
                <w:spacing w:val="1"/>
              </w:rPr>
              <w:t>宰、内脏清洗、车间冲洗、</w:t>
            </w:r>
          </w:p>
          <w:p>
            <w:pPr>
              <w:pStyle w:val="TableText"/>
              <w:spacing w:before="9" w:line="219" w:lineRule="auto"/>
              <w:jc w:val="right"/>
              <w:rPr>
                <w:sz w:val="21"/>
                <w:szCs w:val="21"/>
              </w:rPr>
            </w:pPr>
            <w:r>
              <w:rPr>
                <w:sz w:val="21"/>
                <w:szCs w:val="21"/>
                <w:spacing w:val="1"/>
              </w:rPr>
              <w:t>打脚掌、宰杀过程中刀具、</w:t>
            </w:r>
          </w:p>
          <w:p>
            <w:pPr>
              <w:pStyle w:val="TableText"/>
              <w:ind w:left="851"/>
              <w:spacing w:before="33" w:line="199" w:lineRule="auto"/>
              <w:rPr>
                <w:sz w:val="21"/>
                <w:szCs w:val="21"/>
              </w:rPr>
            </w:pPr>
            <w:r>
              <w:rPr>
                <w:sz w:val="21"/>
                <w:szCs w:val="21"/>
                <w:spacing w:val="2"/>
              </w:rPr>
              <w:t>人员消毒</w:t>
            </w:r>
          </w:p>
        </w:tc>
        <w:tc>
          <w:tcPr>
            <w:tcW w:w="2887" w:type="dxa"/>
            <w:vAlign w:val="top"/>
          </w:tcPr>
          <w:p>
            <w:pPr>
              <w:spacing w:line="418" w:lineRule="auto"/>
              <w:rPr>
                <w:rFonts w:ascii="Arial"/>
                <w:sz w:val="21"/>
              </w:rPr>
            </w:pPr>
            <w:r/>
          </w:p>
          <w:p>
            <w:pPr>
              <w:pStyle w:val="TableText"/>
              <w:ind w:left="225"/>
              <w:spacing w:before="68" w:line="183" w:lineRule="auto"/>
              <w:rPr>
                <w:sz w:val="21"/>
                <w:szCs w:val="21"/>
              </w:rPr>
            </w:pPr>
            <w:r>
              <w:rPr>
                <w:sz w:val="21"/>
                <w:szCs w:val="21"/>
              </w:rPr>
              <w:t>pH、COD、BOD、SS、NH</w:t>
            </w:r>
            <w:r>
              <w:rPr>
                <w:rFonts w:ascii="Calibri" w:hAnsi="Calibri" w:eastAsia="Calibri" w:cs="Calibri"/>
                <w:sz w:val="21"/>
                <w:szCs w:val="21"/>
              </w:rPr>
              <w:t>₃</w:t>
            </w:r>
            <w:r>
              <w:rPr>
                <w:sz w:val="21"/>
                <w:szCs w:val="21"/>
              </w:rPr>
              <w:t>-</w:t>
            </w:r>
          </w:p>
          <w:p>
            <w:pPr>
              <w:pStyle w:val="TableText"/>
              <w:ind w:left="855"/>
              <w:spacing w:before="34" w:line="219" w:lineRule="auto"/>
              <w:rPr>
                <w:sz w:val="21"/>
                <w:szCs w:val="21"/>
              </w:rPr>
            </w:pPr>
            <w:r>
              <w:rPr>
                <w:sz w:val="21"/>
                <w:szCs w:val="21"/>
                <w:spacing w:val="4"/>
              </w:rPr>
              <w:t>N、动植物油</w:t>
            </w:r>
          </w:p>
        </w:tc>
        <w:tc>
          <w:tcPr>
            <w:tcW w:w="1365" w:type="dxa"/>
            <w:vAlign w:val="top"/>
          </w:tcPr>
          <w:p>
            <w:pPr>
              <w:pStyle w:val="TableText"/>
              <w:ind w:left="77" w:right="99" w:hanging="50"/>
              <w:spacing w:before="220" w:line="237" w:lineRule="auto"/>
              <w:rPr>
                <w:sz w:val="21"/>
                <w:szCs w:val="21"/>
              </w:rPr>
            </w:pPr>
            <w:r>
              <w:rPr>
                <w:sz w:val="21"/>
                <w:szCs w:val="21"/>
                <w:spacing w:val="-4"/>
              </w:rPr>
              <w:t>Wz-1、Wz-2、</w:t>
            </w:r>
            <w:r>
              <w:rPr>
                <w:sz w:val="21"/>
                <w:szCs w:val="21"/>
                <w:spacing w:val="6"/>
              </w:rPr>
              <w:t xml:space="preserve"> </w:t>
            </w:r>
            <w:r>
              <w:rPr>
                <w:sz w:val="21"/>
                <w:szCs w:val="21"/>
                <w:spacing w:val="-2"/>
              </w:rPr>
              <w:t>Wz-3、Wz4、</w:t>
            </w:r>
          </w:p>
          <w:p>
            <w:pPr>
              <w:pStyle w:val="TableText"/>
              <w:ind w:left="448" w:right="154" w:hanging="370"/>
              <w:spacing w:line="226" w:lineRule="auto"/>
              <w:rPr>
                <w:sz w:val="21"/>
                <w:szCs w:val="21"/>
              </w:rPr>
            </w:pPr>
            <w:r>
              <w:rPr>
                <w:sz w:val="21"/>
                <w:szCs w:val="21"/>
                <w:spacing w:val="-4"/>
              </w:rPr>
              <w:t>Wz-5、Wz6、</w:t>
            </w:r>
            <w:r>
              <w:rPr>
                <w:sz w:val="21"/>
                <w:szCs w:val="21"/>
                <w:spacing w:val="2"/>
              </w:rPr>
              <w:t xml:space="preserve"> </w:t>
            </w:r>
            <w:r>
              <w:rPr>
                <w:sz w:val="21"/>
                <w:szCs w:val="21"/>
                <w:spacing w:val="-1"/>
              </w:rPr>
              <w:t>Wz.7</w:t>
            </w:r>
          </w:p>
        </w:tc>
      </w:tr>
      <w:tr>
        <w:trPr>
          <w:trHeight w:val="259" w:hRule="atLeast"/>
        </w:trPr>
        <w:tc>
          <w:tcPr>
            <w:tcW w:w="694" w:type="dxa"/>
            <w:vAlign w:val="top"/>
            <w:vMerge w:val="continue"/>
            <w:tcBorders>
              <w:top w:val="nil"/>
              <w:bottom w:val="nil"/>
            </w:tcBorders>
          </w:tcPr>
          <w:p>
            <w:pPr>
              <w:rPr>
                <w:rFonts w:ascii="Arial"/>
                <w:sz w:val="21"/>
              </w:rPr>
            </w:pPr>
            <w:r/>
          </w:p>
        </w:tc>
        <w:tc>
          <w:tcPr>
            <w:tcW w:w="859" w:type="dxa"/>
            <w:vAlign w:val="top"/>
            <w:vMerge w:val="continue"/>
            <w:tcBorders>
              <w:top w:val="nil"/>
              <w:bottom w:val="nil"/>
            </w:tcBorders>
          </w:tcPr>
          <w:p>
            <w:pPr>
              <w:rPr>
                <w:rFonts w:ascii="Arial"/>
                <w:sz w:val="21"/>
              </w:rPr>
            </w:pPr>
            <w:r/>
          </w:p>
        </w:tc>
        <w:tc>
          <w:tcPr>
            <w:tcW w:w="2557" w:type="dxa"/>
            <w:vAlign w:val="top"/>
            <w:gridSpan w:val="2"/>
          </w:tcPr>
          <w:p>
            <w:pPr>
              <w:pStyle w:val="TableText"/>
              <w:ind w:left="642"/>
              <w:spacing w:before="32" w:line="190" w:lineRule="auto"/>
              <w:rPr>
                <w:sz w:val="21"/>
                <w:szCs w:val="21"/>
              </w:rPr>
            </w:pPr>
            <w:r>
              <w:rPr>
                <w:sz w:val="21"/>
                <w:szCs w:val="21"/>
                <w:spacing w:val="-2"/>
              </w:rPr>
              <w:t>冷却系统排水</w:t>
            </w:r>
          </w:p>
        </w:tc>
        <w:tc>
          <w:tcPr>
            <w:tcW w:w="2887" w:type="dxa"/>
            <w:vAlign w:val="top"/>
          </w:tcPr>
          <w:p>
            <w:pPr>
              <w:pStyle w:val="TableText"/>
              <w:ind w:left="1065"/>
              <w:spacing w:before="84" w:line="165" w:lineRule="exact"/>
              <w:rPr>
                <w:sz w:val="21"/>
                <w:szCs w:val="21"/>
              </w:rPr>
            </w:pPr>
            <w:r>
              <w:rPr>
                <w:sz w:val="21"/>
                <w:szCs w:val="21"/>
                <w:spacing w:val="-1"/>
                <w:position w:val="-2"/>
              </w:rPr>
              <w:t>COD、SS</w:t>
            </w:r>
          </w:p>
        </w:tc>
        <w:tc>
          <w:tcPr>
            <w:tcW w:w="1365" w:type="dxa"/>
            <w:vAlign w:val="top"/>
          </w:tcPr>
          <w:p>
            <w:pPr>
              <w:pStyle w:val="TableText"/>
              <w:ind w:left="498"/>
              <w:spacing w:before="87" w:line="162" w:lineRule="exact"/>
              <w:rPr>
                <w:sz w:val="21"/>
                <w:szCs w:val="21"/>
              </w:rPr>
            </w:pPr>
            <w:r>
              <w:rPr>
                <w:sz w:val="21"/>
                <w:szCs w:val="21"/>
                <w:color w:val="706050"/>
                <w:spacing w:val="-1"/>
                <w:position w:val="-3"/>
              </w:rPr>
              <w:t>Wz8</w:t>
            </w:r>
          </w:p>
        </w:tc>
      </w:tr>
      <w:tr>
        <w:trPr>
          <w:trHeight w:val="270" w:hRule="atLeast"/>
        </w:trPr>
        <w:tc>
          <w:tcPr>
            <w:tcW w:w="694" w:type="dxa"/>
            <w:vAlign w:val="top"/>
            <w:vMerge w:val="continue"/>
            <w:tcBorders>
              <w:top w:val="nil"/>
              <w:bottom w:val="nil"/>
            </w:tcBorders>
          </w:tcPr>
          <w:p>
            <w:pPr>
              <w:rPr>
                <w:rFonts w:ascii="Arial"/>
                <w:sz w:val="21"/>
              </w:rPr>
            </w:pPr>
            <w:r/>
          </w:p>
        </w:tc>
        <w:tc>
          <w:tcPr>
            <w:tcW w:w="859" w:type="dxa"/>
            <w:vAlign w:val="top"/>
            <w:vMerge w:val="continue"/>
            <w:tcBorders>
              <w:top w:val="nil"/>
              <w:bottom w:val="nil"/>
            </w:tcBorders>
          </w:tcPr>
          <w:p>
            <w:pPr>
              <w:rPr>
                <w:rFonts w:ascii="Arial"/>
                <w:sz w:val="21"/>
              </w:rPr>
            </w:pPr>
            <w:r/>
          </w:p>
        </w:tc>
        <w:tc>
          <w:tcPr>
            <w:tcW w:w="2557" w:type="dxa"/>
            <w:vAlign w:val="top"/>
            <w:gridSpan w:val="2"/>
          </w:tcPr>
          <w:p>
            <w:pPr>
              <w:pStyle w:val="TableText"/>
              <w:ind w:left="532"/>
              <w:spacing w:before="34" w:line="198" w:lineRule="auto"/>
              <w:rPr>
                <w:sz w:val="21"/>
                <w:szCs w:val="21"/>
              </w:rPr>
            </w:pPr>
            <w:r>
              <w:rPr>
                <w:sz w:val="21"/>
                <w:szCs w:val="21"/>
                <w:spacing w:val="1"/>
              </w:rPr>
              <w:t>蒸汽发生器废水</w:t>
            </w:r>
          </w:p>
        </w:tc>
        <w:tc>
          <w:tcPr>
            <w:tcW w:w="2887" w:type="dxa"/>
            <w:vAlign w:val="top"/>
          </w:tcPr>
          <w:p>
            <w:pPr>
              <w:pStyle w:val="TableText"/>
              <w:ind w:left="1065"/>
              <w:spacing w:before="85" w:line="175" w:lineRule="exact"/>
              <w:rPr>
                <w:sz w:val="21"/>
                <w:szCs w:val="21"/>
              </w:rPr>
            </w:pPr>
            <w:r>
              <w:rPr>
                <w:sz w:val="21"/>
                <w:szCs w:val="21"/>
                <w:spacing w:val="-1"/>
                <w:position w:val="-2"/>
              </w:rPr>
              <w:t>COD、SS</w:t>
            </w:r>
          </w:p>
        </w:tc>
        <w:tc>
          <w:tcPr>
            <w:tcW w:w="1365" w:type="dxa"/>
            <w:vAlign w:val="top"/>
          </w:tcPr>
          <w:p>
            <w:pPr>
              <w:pStyle w:val="TableText"/>
              <w:ind w:left="498"/>
              <w:spacing w:before="88" w:line="172" w:lineRule="exact"/>
              <w:rPr>
                <w:sz w:val="21"/>
                <w:szCs w:val="21"/>
              </w:rPr>
            </w:pPr>
            <w:r>
              <w:rPr>
                <w:sz w:val="21"/>
                <w:szCs w:val="21"/>
                <w:color w:val="403040"/>
                <w:spacing w:val="-1"/>
                <w:position w:val="-2"/>
              </w:rPr>
              <w:t>Wz8</w:t>
            </w:r>
          </w:p>
        </w:tc>
      </w:tr>
      <w:tr>
        <w:trPr>
          <w:trHeight w:val="280" w:hRule="atLeast"/>
        </w:trPr>
        <w:tc>
          <w:tcPr>
            <w:tcW w:w="694" w:type="dxa"/>
            <w:vAlign w:val="top"/>
            <w:vMerge w:val="continue"/>
            <w:tcBorders>
              <w:top w:val="nil"/>
              <w:bottom w:val="nil"/>
            </w:tcBorders>
          </w:tcPr>
          <w:p>
            <w:pPr>
              <w:rPr>
                <w:rFonts w:ascii="Arial"/>
                <w:sz w:val="21"/>
              </w:rPr>
            </w:pPr>
            <w:r/>
          </w:p>
        </w:tc>
        <w:tc>
          <w:tcPr>
            <w:tcW w:w="859" w:type="dxa"/>
            <w:vAlign w:val="top"/>
            <w:vMerge w:val="continue"/>
            <w:tcBorders>
              <w:top w:val="nil"/>
              <w:bottom w:val="nil"/>
            </w:tcBorders>
          </w:tcPr>
          <w:p>
            <w:pPr>
              <w:rPr>
                <w:rFonts w:ascii="Arial"/>
                <w:sz w:val="21"/>
              </w:rPr>
            </w:pPr>
            <w:r/>
          </w:p>
        </w:tc>
        <w:tc>
          <w:tcPr>
            <w:tcW w:w="2557" w:type="dxa"/>
            <w:vAlign w:val="top"/>
            <w:gridSpan w:val="2"/>
          </w:tcPr>
          <w:p>
            <w:pPr>
              <w:pStyle w:val="TableText"/>
              <w:ind w:left="851"/>
              <w:spacing w:before="44" w:line="198" w:lineRule="auto"/>
              <w:rPr>
                <w:sz w:val="21"/>
                <w:szCs w:val="21"/>
              </w:rPr>
            </w:pPr>
            <w:r>
              <w:rPr>
                <w:sz w:val="21"/>
                <w:szCs w:val="21"/>
                <w:color w:val="505040"/>
                <w:spacing w:val="-2"/>
              </w:rPr>
              <w:t>初期雨水</w:t>
            </w:r>
          </w:p>
        </w:tc>
        <w:tc>
          <w:tcPr>
            <w:tcW w:w="2887" w:type="dxa"/>
            <w:vAlign w:val="top"/>
          </w:tcPr>
          <w:p>
            <w:pPr>
              <w:pStyle w:val="TableText"/>
              <w:ind w:left="175"/>
              <w:spacing w:before="72" w:line="174" w:lineRule="auto"/>
              <w:rPr>
                <w:sz w:val="21"/>
                <w:szCs w:val="21"/>
              </w:rPr>
            </w:pPr>
            <w:r>
              <w:rPr>
                <w:sz w:val="21"/>
                <w:szCs w:val="21"/>
                <w:spacing w:val="-1"/>
              </w:rPr>
              <w:t>pH、COD、BOD、SS、NH</w:t>
            </w:r>
            <w:r>
              <w:rPr>
                <w:rFonts w:ascii="Calibri" w:hAnsi="Calibri" w:eastAsia="Calibri" w:cs="Calibri"/>
                <w:sz w:val="21"/>
                <w:szCs w:val="21"/>
                <w:spacing w:val="-1"/>
              </w:rPr>
              <w:t>₃</w:t>
            </w:r>
            <w:r>
              <w:rPr>
                <w:sz w:val="21"/>
                <w:szCs w:val="21"/>
                <w:spacing w:val="-1"/>
              </w:rPr>
              <w:t>-N</w:t>
            </w:r>
          </w:p>
        </w:tc>
        <w:tc>
          <w:tcPr>
            <w:tcW w:w="1365" w:type="dxa"/>
            <w:vAlign w:val="top"/>
          </w:tcPr>
          <w:p>
            <w:pPr>
              <w:pStyle w:val="TableText"/>
              <w:ind w:left="448"/>
              <w:spacing w:before="39" w:line="203" w:lineRule="auto"/>
              <w:rPr>
                <w:sz w:val="21"/>
                <w:szCs w:val="21"/>
              </w:rPr>
            </w:pPr>
            <w:r>
              <w:rPr>
                <w:sz w:val="21"/>
                <w:szCs w:val="21"/>
                <w:color w:val="403040"/>
                <w:spacing w:val="-1"/>
              </w:rPr>
              <w:t>Wq-1</w:t>
            </w:r>
          </w:p>
        </w:tc>
      </w:tr>
      <w:tr>
        <w:trPr>
          <w:trHeight w:val="260" w:hRule="atLeast"/>
        </w:trPr>
        <w:tc>
          <w:tcPr>
            <w:tcW w:w="694" w:type="dxa"/>
            <w:vAlign w:val="top"/>
            <w:vMerge w:val="continue"/>
            <w:tcBorders>
              <w:top w:val="nil"/>
              <w:bottom w:val="nil"/>
            </w:tcBorders>
          </w:tcPr>
          <w:p>
            <w:pPr>
              <w:rPr>
                <w:rFonts w:ascii="Arial"/>
                <w:sz w:val="21"/>
              </w:rPr>
            </w:pPr>
            <w:r/>
          </w:p>
        </w:tc>
        <w:tc>
          <w:tcPr>
            <w:tcW w:w="859" w:type="dxa"/>
            <w:vAlign w:val="top"/>
            <w:vMerge w:val="continue"/>
            <w:tcBorders>
              <w:top w:val="nil"/>
              <w:bottom w:val="nil"/>
            </w:tcBorders>
          </w:tcPr>
          <w:p>
            <w:pPr>
              <w:rPr>
                <w:rFonts w:ascii="Arial"/>
                <w:sz w:val="21"/>
              </w:rPr>
            </w:pPr>
            <w:r/>
          </w:p>
        </w:tc>
        <w:tc>
          <w:tcPr>
            <w:tcW w:w="2557" w:type="dxa"/>
            <w:vAlign w:val="top"/>
            <w:gridSpan w:val="2"/>
          </w:tcPr>
          <w:p>
            <w:pPr>
              <w:pStyle w:val="TableText"/>
              <w:ind w:left="642"/>
              <w:spacing w:before="33" w:line="190" w:lineRule="auto"/>
              <w:rPr>
                <w:sz w:val="21"/>
                <w:szCs w:val="21"/>
              </w:rPr>
            </w:pPr>
            <w:r>
              <w:rPr>
                <w:sz w:val="21"/>
                <w:szCs w:val="21"/>
                <w:spacing w:val="-2"/>
              </w:rPr>
              <w:t>车辆冲洗废水</w:t>
            </w:r>
          </w:p>
        </w:tc>
        <w:tc>
          <w:tcPr>
            <w:tcW w:w="2887" w:type="dxa"/>
            <w:vAlign w:val="top"/>
          </w:tcPr>
          <w:p>
            <w:pPr>
              <w:pStyle w:val="TableText"/>
              <w:ind w:left="805"/>
              <w:spacing w:before="33" w:line="190" w:lineRule="auto"/>
              <w:rPr>
                <w:sz w:val="21"/>
                <w:szCs w:val="21"/>
              </w:rPr>
            </w:pPr>
            <w:r>
              <w:rPr>
                <w:sz w:val="21"/>
                <w:szCs w:val="21"/>
                <w:spacing w:val="1"/>
              </w:rPr>
              <w:t>消毒冲洗废水</w:t>
            </w:r>
          </w:p>
        </w:tc>
        <w:tc>
          <w:tcPr>
            <w:tcW w:w="1365" w:type="dxa"/>
            <w:vAlign w:val="top"/>
          </w:tcPr>
          <w:p>
            <w:pPr>
              <w:pStyle w:val="TableText"/>
              <w:ind w:left="448"/>
              <w:spacing w:before="28" w:line="195" w:lineRule="auto"/>
              <w:rPr>
                <w:sz w:val="21"/>
                <w:szCs w:val="21"/>
              </w:rPr>
            </w:pPr>
            <w:r>
              <w:rPr>
                <w:sz w:val="21"/>
                <w:szCs w:val="21"/>
                <w:spacing w:val="-1"/>
              </w:rPr>
              <w:t>Wq-2</w:t>
            </w:r>
          </w:p>
        </w:tc>
      </w:tr>
      <w:tr>
        <w:trPr>
          <w:trHeight w:val="549" w:hRule="atLeast"/>
        </w:trPr>
        <w:tc>
          <w:tcPr>
            <w:tcW w:w="694" w:type="dxa"/>
            <w:vAlign w:val="top"/>
            <w:vMerge w:val="continue"/>
            <w:tcBorders>
              <w:top w:val="nil"/>
            </w:tcBorders>
          </w:tcPr>
          <w:p>
            <w:pPr>
              <w:rPr>
                <w:rFonts w:ascii="Arial"/>
                <w:sz w:val="21"/>
              </w:rPr>
            </w:pPr>
            <w:r/>
          </w:p>
        </w:tc>
        <w:tc>
          <w:tcPr>
            <w:tcW w:w="859" w:type="dxa"/>
            <w:vAlign w:val="top"/>
            <w:vMerge w:val="continue"/>
            <w:tcBorders>
              <w:top w:val="nil"/>
            </w:tcBorders>
          </w:tcPr>
          <w:p>
            <w:pPr>
              <w:rPr>
                <w:rFonts w:ascii="Arial"/>
                <w:sz w:val="21"/>
              </w:rPr>
            </w:pPr>
            <w:r/>
          </w:p>
        </w:tc>
        <w:tc>
          <w:tcPr>
            <w:tcW w:w="2557" w:type="dxa"/>
            <w:vAlign w:val="top"/>
            <w:gridSpan w:val="2"/>
          </w:tcPr>
          <w:p>
            <w:pPr>
              <w:pStyle w:val="TableText"/>
              <w:ind w:left="851"/>
              <w:spacing w:before="174" w:line="219" w:lineRule="auto"/>
              <w:rPr>
                <w:sz w:val="21"/>
                <w:szCs w:val="21"/>
              </w:rPr>
            </w:pPr>
            <w:r>
              <w:rPr>
                <w:sz w:val="21"/>
                <w:szCs w:val="21"/>
                <w:spacing w:val="7"/>
              </w:rPr>
              <w:t>办公人员</w:t>
            </w:r>
          </w:p>
        </w:tc>
        <w:tc>
          <w:tcPr>
            <w:tcW w:w="2887" w:type="dxa"/>
            <w:vAlign w:val="top"/>
          </w:tcPr>
          <w:p>
            <w:pPr>
              <w:pStyle w:val="TableText"/>
              <w:ind w:left="384" w:right="77" w:hanging="209"/>
              <w:spacing w:before="47" w:line="216" w:lineRule="auto"/>
              <w:rPr>
                <w:sz w:val="21"/>
                <w:szCs w:val="21"/>
              </w:rPr>
            </w:pPr>
            <w:r>
              <w:rPr>
                <w:sz w:val="21"/>
                <w:szCs w:val="21"/>
                <w:spacing w:val="7"/>
              </w:rPr>
              <w:t>生活污水：</w:t>
            </w:r>
            <w:r>
              <w:rPr>
                <w:sz w:val="21"/>
                <w:szCs w:val="21"/>
                <w:spacing w:val="-58"/>
              </w:rPr>
              <w:t xml:space="preserve"> </w:t>
            </w:r>
            <w:r>
              <w:rPr>
                <w:sz w:val="21"/>
                <w:szCs w:val="21"/>
              </w:rPr>
              <w:t>pH</w:t>
            </w:r>
            <w:r>
              <w:rPr>
                <w:sz w:val="21"/>
                <w:szCs w:val="21"/>
                <w:spacing w:val="7"/>
              </w:rPr>
              <w:t>、</w:t>
            </w:r>
            <w:r>
              <w:rPr>
                <w:sz w:val="21"/>
                <w:szCs w:val="21"/>
              </w:rPr>
              <w:t>COD</w:t>
            </w:r>
            <w:r>
              <w:rPr>
                <w:sz w:val="21"/>
                <w:szCs w:val="21"/>
                <w:spacing w:val="7"/>
              </w:rPr>
              <w:t>、</w:t>
            </w:r>
            <w:r>
              <w:rPr>
                <w:sz w:val="21"/>
                <w:szCs w:val="21"/>
              </w:rPr>
              <w:t>BOD</w:t>
            </w:r>
            <w:r>
              <w:rPr>
                <w:sz w:val="21"/>
                <w:szCs w:val="21"/>
                <w:spacing w:val="7"/>
              </w:rPr>
              <w:t>、</w:t>
            </w:r>
            <w:r>
              <w:rPr>
                <w:sz w:val="21"/>
                <w:szCs w:val="21"/>
              </w:rPr>
              <w:t xml:space="preserve"> </w:t>
            </w:r>
            <w:r>
              <w:rPr>
                <w:sz w:val="21"/>
                <w:szCs w:val="21"/>
              </w:rPr>
              <w:t>SS</w:t>
            </w:r>
            <w:r>
              <w:rPr>
                <w:sz w:val="21"/>
                <w:szCs w:val="21"/>
                <w:spacing w:val="14"/>
              </w:rPr>
              <w:t>、</w:t>
            </w:r>
            <w:r>
              <w:rPr>
                <w:sz w:val="21"/>
                <w:szCs w:val="21"/>
              </w:rPr>
              <w:t>NH</w:t>
            </w:r>
            <w:r>
              <w:rPr>
                <w:rFonts w:ascii="Calibri" w:hAnsi="Calibri" w:eastAsia="Calibri" w:cs="Calibri"/>
                <w:sz w:val="21"/>
                <w:szCs w:val="21"/>
                <w:spacing w:val="14"/>
              </w:rPr>
              <w:t>₃</w:t>
            </w:r>
            <w:r>
              <w:rPr>
                <w:sz w:val="21"/>
                <w:szCs w:val="21"/>
                <w:spacing w:val="14"/>
              </w:rPr>
              <w:t>-N、动植物油</w:t>
            </w:r>
          </w:p>
        </w:tc>
        <w:tc>
          <w:tcPr>
            <w:tcW w:w="1365" w:type="dxa"/>
            <w:vAlign w:val="top"/>
          </w:tcPr>
          <w:p>
            <w:pPr>
              <w:pStyle w:val="TableText"/>
              <w:ind w:left="448"/>
              <w:spacing w:before="169" w:line="214" w:lineRule="auto"/>
              <w:rPr>
                <w:sz w:val="21"/>
                <w:szCs w:val="21"/>
              </w:rPr>
            </w:pPr>
            <w:r>
              <w:rPr>
                <w:sz w:val="21"/>
                <w:szCs w:val="21"/>
                <w:spacing w:val="-1"/>
              </w:rPr>
              <w:t>Wq-3</w:t>
            </w:r>
          </w:p>
        </w:tc>
      </w:tr>
      <w:tr>
        <w:trPr>
          <w:trHeight w:val="1368" w:hRule="atLeast"/>
        </w:trPr>
        <w:tc>
          <w:tcPr>
            <w:tcW w:w="694" w:type="dxa"/>
            <w:vAlign w:val="top"/>
            <w:vMerge w:val="restart"/>
            <w:tcBorders>
              <w:bottom w:val="nil"/>
            </w:tcBorders>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pStyle w:val="TableText"/>
              <w:ind w:left="125"/>
              <w:spacing w:before="68" w:line="220" w:lineRule="auto"/>
              <w:rPr>
                <w:sz w:val="21"/>
                <w:szCs w:val="21"/>
              </w:rPr>
            </w:pPr>
            <w:r>
              <w:rPr>
                <w:sz w:val="21"/>
                <w:szCs w:val="21"/>
                <w:spacing w:val="5"/>
              </w:rPr>
              <w:t>固废</w:t>
            </w:r>
          </w:p>
        </w:tc>
        <w:tc>
          <w:tcPr>
            <w:tcW w:w="859" w:type="dxa"/>
            <w:vAlign w:val="top"/>
            <w:vMerge w:val="restart"/>
            <w:tcBorders>
              <w:bottom w:val="nil"/>
            </w:tcBorders>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pStyle w:val="TableText"/>
              <w:spacing w:before="68" w:line="220" w:lineRule="auto"/>
              <w:jc w:val="right"/>
              <w:rPr>
                <w:sz w:val="21"/>
                <w:szCs w:val="21"/>
              </w:rPr>
            </w:pPr>
            <w:r>
              <w:rPr>
                <w:sz w:val="21"/>
                <w:szCs w:val="21"/>
                <w:spacing w:val="-26"/>
                <w:w w:val="97"/>
              </w:rPr>
              <w:t>一般</w:t>
            </w:r>
            <w:r>
              <w:rPr>
                <w:sz w:val="21"/>
                <w:szCs w:val="21"/>
                <w:spacing w:val="-25"/>
                <w:w w:val="97"/>
              </w:rPr>
              <w:t>固</w:t>
            </w:r>
            <w:r>
              <w:rPr>
                <w:sz w:val="21"/>
                <w:szCs w:val="21"/>
                <w:spacing w:val="-11"/>
                <w:w w:val="97"/>
              </w:rPr>
              <w:t>废</w:t>
            </w:r>
          </w:p>
        </w:tc>
        <w:tc>
          <w:tcPr>
            <w:tcW w:w="449" w:type="dxa"/>
            <w:vAlign w:val="top"/>
          </w:tcPr>
          <w:p>
            <w:pPr>
              <w:spacing w:line="376" w:lineRule="auto"/>
              <w:rPr>
                <w:rFonts w:ascii="Arial"/>
                <w:sz w:val="21"/>
              </w:rPr>
            </w:pPr>
            <w:r/>
          </w:p>
          <w:p>
            <w:pPr>
              <w:pStyle w:val="TableText"/>
              <w:spacing w:before="68" w:line="221" w:lineRule="auto"/>
              <w:jc w:val="right"/>
              <w:rPr>
                <w:sz w:val="21"/>
                <w:szCs w:val="21"/>
              </w:rPr>
            </w:pPr>
            <w:r>
              <w:rPr>
                <w:sz w:val="21"/>
                <w:szCs w:val="21"/>
                <w:spacing w:val="3"/>
              </w:rPr>
              <w:t>肉牛</w:t>
            </w:r>
          </w:p>
          <w:p>
            <w:pPr>
              <w:pStyle w:val="TableText"/>
              <w:spacing w:before="7" w:line="219" w:lineRule="auto"/>
              <w:jc w:val="right"/>
              <w:rPr>
                <w:sz w:val="21"/>
                <w:szCs w:val="21"/>
              </w:rPr>
            </w:pPr>
            <w:r>
              <w:rPr>
                <w:sz w:val="21"/>
                <w:szCs w:val="21"/>
                <w:spacing w:val="3"/>
              </w:rPr>
              <w:t>屠宰</w:t>
            </w:r>
          </w:p>
        </w:tc>
        <w:tc>
          <w:tcPr>
            <w:tcW w:w="2108" w:type="dxa"/>
            <w:vAlign w:val="top"/>
          </w:tcPr>
          <w:p>
            <w:pPr>
              <w:spacing w:line="255" w:lineRule="auto"/>
              <w:rPr>
                <w:rFonts w:ascii="Arial"/>
                <w:sz w:val="21"/>
              </w:rPr>
            </w:pPr>
            <w:r/>
          </w:p>
          <w:p>
            <w:pPr>
              <w:pStyle w:val="TableText"/>
              <w:spacing w:before="69" w:line="219" w:lineRule="auto"/>
              <w:jc w:val="right"/>
              <w:rPr>
                <w:sz w:val="21"/>
                <w:szCs w:val="21"/>
              </w:rPr>
            </w:pPr>
            <w:r>
              <w:rPr>
                <w:sz w:val="21"/>
                <w:szCs w:val="21"/>
                <w:spacing w:val="-2"/>
              </w:rPr>
              <w:t>进场检疫、宰前检疫、</w:t>
            </w:r>
          </w:p>
          <w:p>
            <w:pPr>
              <w:pStyle w:val="TableText"/>
              <w:spacing w:before="10" w:line="219" w:lineRule="auto"/>
              <w:jc w:val="right"/>
              <w:rPr>
                <w:sz w:val="21"/>
                <w:szCs w:val="21"/>
              </w:rPr>
            </w:pPr>
            <w:r>
              <w:rPr>
                <w:sz w:val="21"/>
                <w:szCs w:val="21"/>
                <w:spacing w:val="-2"/>
              </w:rPr>
              <w:t>割头、去蹄、剥皮、宰</w:t>
            </w:r>
          </w:p>
          <w:p>
            <w:pPr>
              <w:pStyle w:val="TableText"/>
              <w:ind w:left="412"/>
              <w:spacing w:before="30" w:line="219" w:lineRule="auto"/>
              <w:rPr>
                <w:sz w:val="21"/>
                <w:szCs w:val="21"/>
              </w:rPr>
            </w:pPr>
            <w:r>
              <w:rPr>
                <w:sz w:val="21"/>
                <w:szCs w:val="21"/>
                <w:spacing w:val="-2"/>
              </w:rPr>
              <w:t>后检疫、包装</w:t>
            </w:r>
          </w:p>
        </w:tc>
        <w:tc>
          <w:tcPr>
            <w:tcW w:w="2887" w:type="dxa"/>
            <w:vAlign w:val="top"/>
          </w:tcPr>
          <w:p>
            <w:pPr>
              <w:pStyle w:val="TableText"/>
              <w:ind w:left="75"/>
              <w:spacing w:before="45" w:line="219" w:lineRule="auto"/>
              <w:rPr>
                <w:sz w:val="21"/>
                <w:szCs w:val="21"/>
              </w:rPr>
            </w:pPr>
            <w:r>
              <w:rPr>
                <w:sz w:val="21"/>
                <w:szCs w:val="21"/>
                <w:spacing w:val="1"/>
              </w:rPr>
              <w:t>待宰圈粪便、病死牛、病牛四</w:t>
            </w:r>
          </w:p>
          <w:p>
            <w:pPr>
              <w:pStyle w:val="TableText"/>
              <w:ind w:left="75"/>
              <w:spacing w:before="29" w:line="219" w:lineRule="auto"/>
              <w:rPr>
                <w:sz w:val="21"/>
                <w:szCs w:val="21"/>
              </w:rPr>
            </w:pPr>
            <w:r>
              <w:rPr>
                <w:sz w:val="21"/>
                <w:szCs w:val="21"/>
              </w:rPr>
              <w:t>分体、病内脏、胃肠容物、屠</w:t>
            </w:r>
          </w:p>
          <w:p>
            <w:pPr>
              <w:pStyle w:val="TableText"/>
              <w:ind w:left="125"/>
              <w:spacing w:before="10" w:line="218" w:lineRule="auto"/>
              <w:rPr>
                <w:sz w:val="21"/>
                <w:szCs w:val="21"/>
              </w:rPr>
            </w:pPr>
            <w:r>
              <w:rPr>
                <w:sz w:val="21"/>
                <w:szCs w:val="21"/>
              </w:rPr>
              <w:t>宰废料(牛蹄壳、碎肉、淋巴</w:t>
            </w:r>
          </w:p>
          <w:p>
            <w:pPr>
              <w:pStyle w:val="TableText"/>
              <w:ind w:left="125"/>
              <w:spacing w:before="34" w:line="219" w:lineRule="auto"/>
              <w:rPr>
                <w:sz w:val="21"/>
                <w:szCs w:val="21"/>
              </w:rPr>
            </w:pPr>
            <w:r>
              <w:rPr>
                <w:sz w:val="21"/>
                <w:szCs w:val="21"/>
                <w:spacing w:val="-1"/>
              </w:rPr>
              <w:t>组织、不可食内脏等)、废离</w:t>
            </w:r>
          </w:p>
          <w:p>
            <w:pPr>
              <w:pStyle w:val="TableText"/>
              <w:ind w:left="915"/>
              <w:spacing w:before="11" w:line="204" w:lineRule="auto"/>
              <w:rPr>
                <w:sz w:val="21"/>
                <w:szCs w:val="21"/>
              </w:rPr>
            </w:pPr>
            <w:r>
              <w:rPr>
                <w:sz w:val="21"/>
                <w:szCs w:val="21"/>
                <w:spacing w:val="-2"/>
              </w:rPr>
              <w:t>子交换树脂</w:t>
            </w:r>
          </w:p>
        </w:tc>
        <w:tc>
          <w:tcPr>
            <w:tcW w:w="1365" w:type="dxa"/>
            <w:vAlign w:val="top"/>
          </w:tcPr>
          <w:p>
            <w:pPr>
              <w:spacing w:line="444" w:lineRule="auto"/>
              <w:rPr>
                <w:rFonts w:ascii="Arial"/>
                <w:sz w:val="21"/>
              </w:rPr>
            </w:pPr>
            <w:r/>
          </w:p>
          <w:p>
            <w:pPr>
              <w:pStyle w:val="TableText"/>
              <w:spacing w:before="65" w:line="184" w:lineRule="auto"/>
              <w:jc w:val="right"/>
              <w:rPr>
                <w:sz w:val="20"/>
                <w:szCs w:val="20"/>
              </w:rPr>
            </w:pPr>
            <w:r>
              <w:rPr>
                <w:sz w:val="20"/>
                <w:szCs w:val="20"/>
                <w:spacing w:val="-13"/>
              </w:rPr>
              <w:t>SZ-1、Sz-2、Sz.</w:t>
            </w:r>
          </w:p>
          <w:p>
            <w:pPr>
              <w:pStyle w:val="TableText"/>
              <w:ind w:left="17"/>
              <w:spacing w:before="51" w:line="235" w:lineRule="auto"/>
              <w:rPr>
                <w:sz w:val="21"/>
                <w:szCs w:val="21"/>
              </w:rPr>
            </w:pPr>
            <w:r>
              <w:rPr>
                <w:sz w:val="21"/>
                <w:szCs w:val="21"/>
                <w:spacing w:val="-6"/>
              </w:rPr>
              <w:t>3、Sz-4、Sz-5</w:t>
            </w:r>
          </w:p>
        </w:tc>
      </w:tr>
      <w:tr>
        <w:trPr>
          <w:trHeight w:val="1083" w:hRule="atLeast"/>
        </w:trPr>
        <w:tc>
          <w:tcPr>
            <w:tcW w:w="694" w:type="dxa"/>
            <w:vAlign w:val="top"/>
            <w:vMerge w:val="continue"/>
            <w:tcBorders>
              <w:top w:val="nil"/>
            </w:tcBorders>
          </w:tcPr>
          <w:p>
            <w:pPr>
              <w:rPr>
                <w:rFonts w:ascii="Arial"/>
                <w:sz w:val="21"/>
              </w:rPr>
            </w:pPr>
            <w:r/>
          </w:p>
        </w:tc>
        <w:tc>
          <w:tcPr>
            <w:tcW w:w="859" w:type="dxa"/>
            <w:vAlign w:val="top"/>
            <w:vMerge w:val="continue"/>
            <w:tcBorders>
              <w:top w:val="nil"/>
            </w:tcBorders>
          </w:tcPr>
          <w:p>
            <w:pPr>
              <w:rPr>
                <w:rFonts w:ascii="Arial"/>
                <w:sz w:val="21"/>
              </w:rPr>
            </w:pPr>
            <w:r/>
          </w:p>
        </w:tc>
        <w:tc>
          <w:tcPr>
            <w:tcW w:w="449" w:type="dxa"/>
            <w:vAlign w:val="top"/>
          </w:tcPr>
          <w:p>
            <w:pPr>
              <w:pStyle w:val="TableText"/>
              <w:ind w:left="12"/>
              <w:spacing w:before="308" w:line="230" w:lineRule="auto"/>
              <w:rPr>
                <w:sz w:val="21"/>
                <w:szCs w:val="21"/>
              </w:rPr>
            </w:pPr>
            <w:r>
              <w:rPr>
                <w:sz w:val="21"/>
                <w:szCs w:val="21"/>
                <w:spacing w:val="-10"/>
              </w:rPr>
              <w:t>生猪</w:t>
            </w:r>
            <w:r>
              <w:rPr>
                <w:sz w:val="21"/>
                <w:szCs w:val="21"/>
              </w:rPr>
              <w:t xml:space="preserve"> </w:t>
            </w:r>
            <w:r>
              <w:rPr>
                <w:sz w:val="21"/>
                <w:szCs w:val="21"/>
                <w:spacing w:val="3"/>
              </w:rPr>
              <w:t>屠宰</w:t>
            </w:r>
          </w:p>
        </w:tc>
        <w:tc>
          <w:tcPr>
            <w:tcW w:w="2108" w:type="dxa"/>
            <w:vAlign w:val="top"/>
          </w:tcPr>
          <w:p>
            <w:pPr>
              <w:pStyle w:val="TableText"/>
              <w:spacing w:before="167" w:line="219" w:lineRule="auto"/>
              <w:jc w:val="right"/>
              <w:rPr>
                <w:sz w:val="21"/>
                <w:szCs w:val="21"/>
              </w:rPr>
            </w:pPr>
            <w:r>
              <w:rPr>
                <w:sz w:val="21"/>
                <w:szCs w:val="21"/>
                <w:spacing w:val="-2"/>
              </w:rPr>
              <w:t>进场检疫、宰前检疫、</w:t>
            </w:r>
          </w:p>
          <w:p>
            <w:pPr>
              <w:pStyle w:val="TableText"/>
              <w:spacing w:before="20" w:line="219" w:lineRule="auto"/>
              <w:jc w:val="right"/>
              <w:rPr>
                <w:sz w:val="21"/>
                <w:szCs w:val="21"/>
              </w:rPr>
            </w:pPr>
            <w:r>
              <w:rPr>
                <w:sz w:val="21"/>
                <w:szCs w:val="21"/>
                <w:spacing w:val="-2"/>
              </w:rPr>
              <w:t>烫毛脱毛、宰后检疫、</w:t>
            </w:r>
          </w:p>
          <w:p>
            <w:pPr>
              <w:pStyle w:val="TableText"/>
              <w:ind w:left="833"/>
              <w:spacing w:before="11" w:line="220" w:lineRule="auto"/>
              <w:rPr>
                <w:sz w:val="21"/>
                <w:szCs w:val="21"/>
              </w:rPr>
            </w:pPr>
            <w:r>
              <w:rPr>
                <w:sz w:val="21"/>
                <w:szCs w:val="21"/>
                <w:spacing w:val="-3"/>
              </w:rPr>
              <w:t>包装</w:t>
            </w:r>
          </w:p>
        </w:tc>
        <w:tc>
          <w:tcPr>
            <w:tcW w:w="2887" w:type="dxa"/>
            <w:vAlign w:val="top"/>
          </w:tcPr>
          <w:p>
            <w:pPr>
              <w:pStyle w:val="TableText"/>
              <w:ind w:left="75" w:right="55" w:firstLine="100"/>
              <w:spacing w:before="35" w:line="228" w:lineRule="auto"/>
              <w:rPr>
                <w:sz w:val="21"/>
                <w:szCs w:val="21"/>
              </w:rPr>
            </w:pPr>
            <w:r>
              <w:rPr>
                <w:sz w:val="21"/>
                <w:szCs w:val="21"/>
                <w:spacing w:val="1"/>
              </w:rPr>
              <w:t>待宰圈粪便、疫病猪、病胴  </w:t>
            </w:r>
            <w:r>
              <w:rPr>
                <w:sz w:val="21"/>
                <w:szCs w:val="21"/>
                <w:spacing w:val="1"/>
              </w:rPr>
              <w:t>体、病内脏、胃肠容物、屠宰</w:t>
            </w:r>
            <w:r>
              <w:rPr>
                <w:sz w:val="21"/>
                <w:szCs w:val="21"/>
                <w:spacing w:val="2"/>
              </w:rPr>
              <w:t xml:space="preserve"> </w:t>
            </w:r>
            <w:r>
              <w:rPr>
                <w:sz w:val="21"/>
                <w:szCs w:val="21"/>
                <w:spacing w:val="3"/>
              </w:rPr>
              <w:t>废料(猪蹄壳、碎肉、淋巴组</w:t>
            </w:r>
            <w:r>
              <w:rPr>
                <w:sz w:val="21"/>
                <w:szCs w:val="21"/>
                <w:spacing w:val="2"/>
              </w:rPr>
              <w:t xml:space="preserve"> </w:t>
            </w:r>
            <w:r>
              <w:rPr>
                <w:sz w:val="21"/>
                <w:szCs w:val="21"/>
                <w:spacing w:val="2"/>
              </w:rPr>
              <w:t>织、不可食内脏等)、生猪含</w:t>
            </w:r>
          </w:p>
        </w:tc>
        <w:tc>
          <w:tcPr>
            <w:tcW w:w="1365" w:type="dxa"/>
            <w:vAlign w:val="top"/>
          </w:tcPr>
          <w:p>
            <w:pPr>
              <w:spacing w:line="297" w:lineRule="auto"/>
              <w:rPr>
                <w:rFonts w:ascii="Arial"/>
                <w:sz w:val="21"/>
              </w:rPr>
            </w:pPr>
            <w:r/>
          </w:p>
          <w:p>
            <w:pPr>
              <w:pStyle w:val="TableText"/>
              <w:spacing w:before="65" w:line="184" w:lineRule="auto"/>
              <w:jc w:val="right"/>
              <w:rPr>
                <w:sz w:val="20"/>
                <w:szCs w:val="20"/>
              </w:rPr>
            </w:pPr>
            <w:r>
              <w:rPr>
                <w:sz w:val="20"/>
                <w:szCs w:val="20"/>
                <w:spacing w:val="-13"/>
              </w:rPr>
              <w:t>Sz-1、Sz-2、Sz.</w:t>
            </w:r>
          </w:p>
          <w:p>
            <w:pPr>
              <w:pStyle w:val="TableText"/>
              <w:ind w:left="27"/>
              <w:spacing w:before="74" w:line="183" w:lineRule="auto"/>
              <w:rPr>
                <w:sz w:val="21"/>
                <w:szCs w:val="21"/>
              </w:rPr>
            </w:pPr>
            <w:r>
              <w:rPr>
                <w:sz w:val="21"/>
                <w:szCs w:val="21"/>
                <w:spacing w:val="-2"/>
              </w:rPr>
              <w:t>3、Sz-4、Sz.</w:t>
            </w:r>
          </w:p>
        </w:tc>
      </w:tr>
    </w:tbl>
    <w:p>
      <w:pPr>
        <w:pStyle w:val="BodyText"/>
        <w:rPr/>
      </w:pPr>
      <w:r/>
    </w:p>
    <w:p>
      <w:pPr>
        <w:sectPr>
          <w:headerReference w:type="default" r:id="rId268"/>
          <w:footerReference w:type="default" r:id="rId269"/>
          <w:pgSz w:w="11910" w:h="16840"/>
          <w:pgMar w:top="1216" w:right="1752" w:bottom="983" w:left="1784" w:header="877" w:footer="785" w:gutter="0"/>
        </w:sectPr>
        <w:rPr/>
      </w:pPr>
    </w:p>
    <w:p>
      <w:pPr>
        <w:spacing w:before="36"/>
        <w:rPr/>
      </w:pPr>
      <w:r/>
    </w:p>
    <w:tbl>
      <w:tblPr>
        <w:tblStyle w:val="TableNormal"/>
        <w:tblW w:w="8320" w:type="dxa"/>
        <w:tblInd w:w="94"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94"/>
        <w:gridCol w:w="859"/>
        <w:gridCol w:w="449"/>
        <w:gridCol w:w="2118"/>
        <w:gridCol w:w="2887"/>
        <w:gridCol w:w="1313"/>
      </w:tblGrid>
      <w:tr>
        <w:trPr>
          <w:trHeight w:val="274" w:hRule="atLeast"/>
        </w:trPr>
        <w:tc>
          <w:tcPr>
            <w:tcW w:w="694" w:type="dxa"/>
            <w:vAlign w:val="top"/>
            <w:vMerge w:val="restart"/>
            <w:tcBorders>
              <w:bottom w:val="nil"/>
            </w:tcBorders>
          </w:tcPr>
          <w:p>
            <w:pPr>
              <w:rPr>
                <w:rFonts w:ascii="Arial"/>
                <w:sz w:val="21"/>
              </w:rPr>
            </w:pPr>
            <w:r/>
          </w:p>
        </w:tc>
        <w:tc>
          <w:tcPr>
            <w:tcW w:w="859" w:type="dxa"/>
            <w:vAlign w:val="top"/>
            <w:vMerge w:val="restart"/>
            <w:tcBorders>
              <w:bottom w:val="nil"/>
            </w:tcBorders>
          </w:tcPr>
          <w:p>
            <w:pPr>
              <w:rPr>
                <w:rFonts w:ascii="Arial"/>
                <w:sz w:val="21"/>
              </w:rPr>
            </w:pPr>
            <w:r/>
          </w:p>
        </w:tc>
        <w:tc>
          <w:tcPr>
            <w:tcW w:w="449" w:type="dxa"/>
            <w:vAlign w:val="top"/>
          </w:tcPr>
          <w:p>
            <w:pPr>
              <w:rPr>
                <w:rFonts w:ascii="Arial"/>
                <w:sz w:val="21"/>
              </w:rPr>
            </w:pPr>
            <w:r/>
          </w:p>
        </w:tc>
        <w:tc>
          <w:tcPr>
            <w:tcW w:w="2118" w:type="dxa"/>
            <w:vAlign w:val="top"/>
          </w:tcPr>
          <w:p>
            <w:pPr>
              <w:rPr>
                <w:rFonts w:ascii="Arial"/>
                <w:sz w:val="21"/>
              </w:rPr>
            </w:pPr>
            <w:r/>
          </w:p>
        </w:tc>
        <w:tc>
          <w:tcPr>
            <w:tcW w:w="2887" w:type="dxa"/>
            <w:vAlign w:val="top"/>
          </w:tcPr>
          <w:p>
            <w:pPr>
              <w:pStyle w:val="TableText"/>
              <w:ind w:left="385"/>
              <w:spacing w:before="33" w:line="203" w:lineRule="auto"/>
              <w:rPr>
                <w:sz w:val="21"/>
                <w:szCs w:val="21"/>
              </w:rPr>
            </w:pPr>
            <w:r>
              <w:rPr>
                <w:sz w:val="21"/>
                <w:szCs w:val="21"/>
                <w:spacing w:val="-1"/>
              </w:rPr>
              <w:t>毛蜡、废离子交换树脂</w:t>
            </w:r>
          </w:p>
        </w:tc>
        <w:tc>
          <w:tcPr>
            <w:tcW w:w="1313" w:type="dxa"/>
            <w:vAlign w:val="top"/>
          </w:tcPr>
          <w:p>
            <w:pPr>
              <w:rPr>
                <w:rFonts w:ascii="Arial"/>
                <w:sz w:val="21"/>
              </w:rPr>
            </w:pPr>
            <w:r/>
          </w:p>
        </w:tc>
      </w:tr>
      <w:tr>
        <w:trPr>
          <w:trHeight w:val="259" w:hRule="atLeast"/>
        </w:trPr>
        <w:tc>
          <w:tcPr>
            <w:tcW w:w="694" w:type="dxa"/>
            <w:vAlign w:val="top"/>
            <w:vMerge w:val="continue"/>
            <w:tcBorders>
              <w:top w:val="nil"/>
              <w:bottom w:val="nil"/>
            </w:tcBorders>
          </w:tcPr>
          <w:p>
            <w:pPr>
              <w:rPr>
                <w:rFonts w:ascii="Arial"/>
                <w:sz w:val="21"/>
              </w:rPr>
            </w:pPr>
            <w:r/>
          </w:p>
        </w:tc>
        <w:tc>
          <w:tcPr>
            <w:tcW w:w="859" w:type="dxa"/>
            <w:vAlign w:val="top"/>
            <w:vMerge w:val="continue"/>
            <w:tcBorders>
              <w:top w:val="nil"/>
              <w:bottom w:val="nil"/>
            </w:tcBorders>
          </w:tcPr>
          <w:p>
            <w:pPr>
              <w:rPr>
                <w:rFonts w:ascii="Arial"/>
                <w:sz w:val="21"/>
              </w:rPr>
            </w:pPr>
            <w:r/>
          </w:p>
        </w:tc>
        <w:tc>
          <w:tcPr>
            <w:tcW w:w="2567" w:type="dxa"/>
            <w:vAlign w:val="top"/>
            <w:gridSpan w:val="2"/>
          </w:tcPr>
          <w:p>
            <w:pPr>
              <w:pStyle w:val="TableText"/>
              <w:ind w:left="752"/>
              <w:spacing w:before="29" w:line="193" w:lineRule="auto"/>
              <w:rPr>
                <w:sz w:val="21"/>
                <w:szCs w:val="21"/>
              </w:rPr>
            </w:pPr>
            <w:r>
              <w:rPr>
                <w:sz w:val="21"/>
                <w:szCs w:val="21"/>
                <w:spacing w:val="2"/>
              </w:rPr>
              <w:t>污水处理站</w:t>
            </w:r>
          </w:p>
        </w:tc>
        <w:tc>
          <w:tcPr>
            <w:tcW w:w="2887" w:type="dxa"/>
            <w:vAlign w:val="top"/>
          </w:tcPr>
          <w:p>
            <w:pPr>
              <w:pStyle w:val="TableText"/>
              <w:ind w:left="915"/>
              <w:spacing w:before="29" w:line="193" w:lineRule="auto"/>
              <w:rPr>
                <w:sz w:val="21"/>
                <w:szCs w:val="21"/>
              </w:rPr>
            </w:pPr>
            <w:r>
              <w:rPr>
                <w:sz w:val="21"/>
                <w:szCs w:val="21"/>
                <w:spacing w:val="-2"/>
              </w:rPr>
              <w:t>栅渣、污泥</w:t>
            </w:r>
          </w:p>
        </w:tc>
        <w:tc>
          <w:tcPr>
            <w:tcW w:w="1313" w:type="dxa"/>
            <w:vAlign w:val="top"/>
          </w:tcPr>
          <w:p>
            <w:pPr>
              <w:pStyle w:val="TableText"/>
              <w:ind w:left="438"/>
              <w:spacing w:before="51" w:line="174" w:lineRule="auto"/>
              <w:rPr>
                <w:sz w:val="21"/>
                <w:szCs w:val="21"/>
              </w:rPr>
            </w:pPr>
            <w:r>
              <w:rPr>
                <w:sz w:val="21"/>
                <w:szCs w:val="21"/>
                <w:spacing w:val="-3"/>
              </w:rPr>
              <w:t>Sz-6</w:t>
            </w:r>
          </w:p>
        </w:tc>
      </w:tr>
      <w:tr>
        <w:trPr>
          <w:trHeight w:val="280" w:hRule="atLeast"/>
        </w:trPr>
        <w:tc>
          <w:tcPr>
            <w:tcW w:w="694" w:type="dxa"/>
            <w:vAlign w:val="top"/>
            <w:vMerge w:val="continue"/>
            <w:tcBorders>
              <w:top w:val="nil"/>
              <w:bottom w:val="nil"/>
            </w:tcBorders>
          </w:tcPr>
          <w:p>
            <w:pPr>
              <w:rPr>
                <w:rFonts w:ascii="Arial"/>
                <w:sz w:val="21"/>
              </w:rPr>
            </w:pPr>
            <w:r/>
          </w:p>
        </w:tc>
        <w:tc>
          <w:tcPr>
            <w:tcW w:w="859" w:type="dxa"/>
            <w:vAlign w:val="top"/>
            <w:vMerge w:val="continue"/>
            <w:tcBorders>
              <w:top w:val="nil"/>
              <w:bottom w:val="nil"/>
            </w:tcBorders>
          </w:tcPr>
          <w:p>
            <w:pPr>
              <w:rPr>
                <w:rFonts w:ascii="Arial"/>
                <w:sz w:val="21"/>
              </w:rPr>
            </w:pPr>
            <w:r/>
          </w:p>
        </w:tc>
        <w:tc>
          <w:tcPr>
            <w:tcW w:w="2567" w:type="dxa"/>
            <w:vAlign w:val="top"/>
            <w:gridSpan w:val="2"/>
          </w:tcPr>
          <w:p>
            <w:pPr>
              <w:pStyle w:val="TableText"/>
              <w:ind w:left="331"/>
              <w:spacing w:before="40" w:line="202" w:lineRule="auto"/>
              <w:rPr>
                <w:sz w:val="21"/>
                <w:szCs w:val="21"/>
              </w:rPr>
            </w:pPr>
            <w:r>
              <w:rPr>
                <w:sz w:val="21"/>
                <w:szCs w:val="21"/>
                <w:spacing w:val="-1"/>
              </w:rPr>
              <w:t>污水处理站沼气净化</w:t>
            </w:r>
          </w:p>
        </w:tc>
        <w:tc>
          <w:tcPr>
            <w:tcW w:w="2887" w:type="dxa"/>
            <w:vAlign w:val="top"/>
          </w:tcPr>
          <w:p>
            <w:pPr>
              <w:pStyle w:val="TableText"/>
              <w:ind w:left="1014"/>
              <w:spacing w:before="40" w:line="202" w:lineRule="auto"/>
              <w:rPr>
                <w:sz w:val="21"/>
                <w:szCs w:val="21"/>
              </w:rPr>
            </w:pPr>
            <w:r>
              <w:rPr>
                <w:sz w:val="21"/>
                <w:szCs w:val="21"/>
                <w:spacing w:val="-2"/>
              </w:rPr>
              <w:t>废脱硫剂</w:t>
            </w:r>
          </w:p>
        </w:tc>
        <w:tc>
          <w:tcPr>
            <w:tcW w:w="1313" w:type="dxa"/>
            <w:vAlign w:val="top"/>
          </w:tcPr>
          <w:p>
            <w:pPr>
              <w:pStyle w:val="TableText"/>
              <w:ind w:left="438"/>
              <w:spacing w:before="61" w:line="183" w:lineRule="auto"/>
              <w:rPr>
                <w:sz w:val="21"/>
                <w:szCs w:val="21"/>
              </w:rPr>
            </w:pPr>
            <w:r>
              <w:rPr>
                <w:sz w:val="21"/>
                <w:szCs w:val="21"/>
                <w:spacing w:val="-3"/>
              </w:rPr>
              <w:t>Sz-7</w:t>
            </w:r>
          </w:p>
        </w:tc>
      </w:tr>
      <w:tr>
        <w:trPr>
          <w:trHeight w:val="279" w:hRule="atLeast"/>
        </w:trPr>
        <w:tc>
          <w:tcPr>
            <w:tcW w:w="694" w:type="dxa"/>
            <w:vAlign w:val="top"/>
            <w:vMerge w:val="continue"/>
            <w:tcBorders>
              <w:top w:val="nil"/>
              <w:bottom w:val="nil"/>
            </w:tcBorders>
          </w:tcPr>
          <w:p>
            <w:pPr>
              <w:rPr>
                <w:rFonts w:ascii="Arial"/>
                <w:sz w:val="21"/>
              </w:rPr>
            </w:pPr>
            <w:r/>
          </w:p>
        </w:tc>
        <w:tc>
          <w:tcPr>
            <w:tcW w:w="859" w:type="dxa"/>
            <w:vAlign w:val="top"/>
            <w:vMerge w:val="continue"/>
            <w:tcBorders>
              <w:top w:val="nil"/>
              <w:bottom w:val="nil"/>
            </w:tcBorders>
          </w:tcPr>
          <w:p>
            <w:pPr>
              <w:rPr>
                <w:rFonts w:ascii="Arial"/>
                <w:sz w:val="21"/>
              </w:rPr>
            </w:pPr>
            <w:r/>
          </w:p>
        </w:tc>
        <w:tc>
          <w:tcPr>
            <w:tcW w:w="2567" w:type="dxa"/>
            <w:vAlign w:val="top"/>
            <w:gridSpan w:val="2"/>
          </w:tcPr>
          <w:p>
            <w:pPr>
              <w:pStyle w:val="TableText"/>
              <w:ind w:left="852"/>
              <w:spacing w:before="41" w:line="200" w:lineRule="auto"/>
              <w:rPr>
                <w:sz w:val="21"/>
                <w:szCs w:val="21"/>
              </w:rPr>
            </w:pPr>
            <w:r>
              <w:rPr>
                <w:sz w:val="21"/>
                <w:szCs w:val="21"/>
                <w:spacing w:val="2"/>
              </w:rPr>
              <w:t>员工生活</w:t>
            </w:r>
          </w:p>
        </w:tc>
        <w:tc>
          <w:tcPr>
            <w:tcW w:w="2887" w:type="dxa"/>
            <w:vAlign w:val="top"/>
          </w:tcPr>
          <w:p>
            <w:pPr>
              <w:pStyle w:val="TableText"/>
              <w:ind w:left="1014"/>
              <w:spacing w:before="40" w:line="201" w:lineRule="auto"/>
              <w:rPr>
                <w:sz w:val="21"/>
                <w:szCs w:val="21"/>
              </w:rPr>
            </w:pPr>
            <w:r>
              <w:rPr>
                <w:sz w:val="21"/>
                <w:szCs w:val="21"/>
                <w:spacing w:val="-2"/>
              </w:rPr>
              <w:t>餐厨垃圾</w:t>
            </w:r>
          </w:p>
        </w:tc>
        <w:tc>
          <w:tcPr>
            <w:tcW w:w="1313" w:type="dxa"/>
            <w:vAlign w:val="top"/>
          </w:tcPr>
          <w:p>
            <w:pPr>
              <w:pStyle w:val="TableText"/>
              <w:ind w:left="438"/>
              <w:spacing w:before="61" w:line="182" w:lineRule="auto"/>
              <w:rPr>
                <w:sz w:val="21"/>
                <w:szCs w:val="21"/>
              </w:rPr>
            </w:pPr>
            <w:r>
              <w:rPr>
                <w:sz w:val="21"/>
                <w:szCs w:val="21"/>
                <w:spacing w:val="-3"/>
              </w:rPr>
              <w:t>Sz-8</w:t>
            </w:r>
          </w:p>
        </w:tc>
      </w:tr>
      <w:tr>
        <w:trPr>
          <w:trHeight w:val="269" w:hRule="atLeast"/>
        </w:trPr>
        <w:tc>
          <w:tcPr>
            <w:tcW w:w="694" w:type="dxa"/>
            <w:vAlign w:val="top"/>
            <w:vMerge w:val="continue"/>
            <w:tcBorders>
              <w:top w:val="nil"/>
              <w:bottom w:val="nil"/>
            </w:tcBorders>
          </w:tcPr>
          <w:p>
            <w:pPr>
              <w:rPr>
                <w:rFonts w:ascii="Arial"/>
                <w:sz w:val="21"/>
              </w:rPr>
            </w:pPr>
            <w:r/>
          </w:p>
        </w:tc>
        <w:tc>
          <w:tcPr>
            <w:tcW w:w="859" w:type="dxa"/>
            <w:vAlign w:val="top"/>
            <w:vMerge w:val="continue"/>
            <w:tcBorders>
              <w:top w:val="nil"/>
            </w:tcBorders>
          </w:tcPr>
          <w:p>
            <w:pPr>
              <w:rPr>
                <w:rFonts w:ascii="Arial"/>
                <w:sz w:val="21"/>
              </w:rPr>
            </w:pPr>
            <w:r/>
          </w:p>
        </w:tc>
        <w:tc>
          <w:tcPr>
            <w:tcW w:w="2567" w:type="dxa"/>
            <w:vAlign w:val="top"/>
            <w:gridSpan w:val="2"/>
          </w:tcPr>
          <w:p>
            <w:pPr>
              <w:pStyle w:val="TableText"/>
              <w:ind w:left="852"/>
              <w:spacing w:before="31" w:line="200" w:lineRule="auto"/>
              <w:rPr>
                <w:sz w:val="21"/>
                <w:szCs w:val="21"/>
              </w:rPr>
            </w:pPr>
            <w:r>
              <w:rPr>
                <w:sz w:val="21"/>
                <w:szCs w:val="21"/>
                <w:spacing w:val="3"/>
              </w:rPr>
              <w:t>员工办公</w:t>
            </w:r>
          </w:p>
        </w:tc>
        <w:tc>
          <w:tcPr>
            <w:tcW w:w="2887" w:type="dxa"/>
            <w:vAlign w:val="top"/>
          </w:tcPr>
          <w:p>
            <w:pPr>
              <w:pStyle w:val="TableText"/>
              <w:ind w:left="1014"/>
              <w:spacing w:before="32" w:line="199" w:lineRule="auto"/>
              <w:rPr>
                <w:sz w:val="21"/>
                <w:szCs w:val="21"/>
              </w:rPr>
            </w:pPr>
            <w:r>
              <w:rPr>
                <w:sz w:val="21"/>
                <w:szCs w:val="21"/>
                <w:spacing w:val="-2"/>
              </w:rPr>
              <w:t>生活垃圾</w:t>
            </w:r>
          </w:p>
        </w:tc>
        <w:tc>
          <w:tcPr>
            <w:tcW w:w="1313" w:type="dxa"/>
            <w:vAlign w:val="top"/>
          </w:tcPr>
          <w:p>
            <w:pPr>
              <w:pStyle w:val="TableText"/>
              <w:ind w:left="438"/>
              <w:spacing w:before="53" w:line="181" w:lineRule="auto"/>
              <w:rPr>
                <w:sz w:val="21"/>
                <w:szCs w:val="21"/>
              </w:rPr>
            </w:pPr>
            <w:r>
              <w:rPr>
                <w:sz w:val="21"/>
                <w:szCs w:val="21"/>
                <w:spacing w:val="-3"/>
              </w:rPr>
              <w:t>Sz-8</w:t>
            </w:r>
          </w:p>
        </w:tc>
      </w:tr>
      <w:tr>
        <w:trPr>
          <w:trHeight w:val="260" w:hRule="atLeast"/>
        </w:trPr>
        <w:tc>
          <w:tcPr>
            <w:tcW w:w="694" w:type="dxa"/>
            <w:vAlign w:val="top"/>
            <w:vMerge w:val="continue"/>
            <w:tcBorders>
              <w:top w:val="nil"/>
              <w:bottom w:val="nil"/>
            </w:tcBorders>
          </w:tcPr>
          <w:p>
            <w:pPr>
              <w:rPr>
                <w:rFonts w:ascii="Arial"/>
                <w:sz w:val="21"/>
              </w:rPr>
            </w:pPr>
            <w:r/>
          </w:p>
        </w:tc>
        <w:tc>
          <w:tcPr>
            <w:tcW w:w="859" w:type="dxa"/>
            <w:vAlign w:val="top"/>
            <w:vMerge w:val="restart"/>
            <w:tcBorders>
              <w:bottom w:val="nil"/>
            </w:tcBorders>
          </w:tcPr>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pStyle w:val="TableText"/>
              <w:spacing w:before="68" w:line="220" w:lineRule="auto"/>
              <w:jc w:val="right"/>
              <w:rPr>
                <w:sz w:val="21"/>
                <w:szCs w:val="21"/>
              </w:rPr>
            </w:pPr>
            <w:r>
              <w:rPr>
                <w:sz w:val="21"/>
                <w:szCs w:val="21"/>
                <w:spacing w:val="-20"/>
                <w:w w:val="98"/>
              </w:rPr>
              <w:t>危险废物</w:t>
            </w:r>
            <w:r>
              <w:rPr>
                <w:sz w:val="21"/>
                <w:szCs w:val="21"/>
                <w:spacing w:val="-15"/>
                <w:w w:val="98"/>
              </w:rPr>
              <w:t>[</w:t>
            </w:r>
          </w:p>
        </w:tc>
        <w:tc>
          <w:tcPr>
            <w:tcW w:w="2567" w:type="dxa"/>
            <w:vAlign w:val="top"/>
            <w:gridSpan w:val="2"/>
          </w:tcPr>
          <w:p>
            <w:pPr>
              <w:pStyle w:val="TableText"/>
              <w:ind w:left="642"/>
              <w:spacing w:before="33" w:line="190" w:lineRule="auto"/>
              <w:rPr>
                <w:sz w:val="21"/>
                <w:szCs w:val="21"/>
              </w:rPr>
            </w:pPr>
            <w:r>
              <w:rPr>
                <w:sz w:val="21"/>
                <w:szCs w:val="21"/>
                <w:spacing w:val="-2"/>
              </w:rPr>
              <w:t>废气处理设施</w:t>
            </w:r>
          </w:p>
        </w:tc>
        <w:tc>
          <w:tcPr>
            <w:tcW w:w="2887" w:type="dxa"/>
            <w:vAlign w:val="top"/>
          </w:tcPr>
          <w:p>
            <w:pPr>
              <w:pStyle w:val="TableText"/>
              <w:ind w:left="495"/>
              <w:spacing w:before="31" w:line="192" w:lineRule="auto"/>
              <w:rPr>
                <w:sz w:val="21"/>
                <w:szCs w:val="21"/>
              </w:rPr>
            </w:pPr>
            <w:r>
              <w:rPr>
                <w:sz w:val="21"/>
                <w:szCs w:val="21"/>
                <w:spacing w:val="-1"/>
              </w:rPr>
              <w:t>废活性炭、废UV光氧</w:t>
            </w:r>
          </w:p>
        </w:tc>
        <w:tc>
          <w:tcPr>
            <w:tcW w:w="1313" w:type="dxa"/>
            <w:vAlign w:val="top"/>
          </w:tcPr>
          <w:p>
            <w:pPr>
              <w:pStyle w:val="TableText"/>
              <w:ind w:left="598"/>
              <w:spacing w:before="38" w:line="186" w:lineRule="auto"/>
              <w:rPr>
                <w:sz w:val="21"/>
                <w:szCs w:val="21"/>
              </w:rPr>
            </w:pPr>
            <w:r>
              <w:rPr>
                <w:sz w:val="21"/>
                <w:szCs w:val="21"/>
              </w:rPr>
              <w:t>/</w:t>
            </w:r>
          </w:p>
        </w:tc>
      </w:tr>
      <w:tr>
        <w:trPr>
          <w:trHeight w:val="279" w:hRule="atLeast"/>
        </w:trPr>
        <w:tc>
          <w:tcPr>
            <w:tcW w:w="694" w:type="dxa"/>
            <w:vAlign w:val="top"/>
            <w:vMerge w:val="continue"/>
            <w:tcBorders>
              <w:top w:val="nil"/>
              <w:bottom w:val="nil"/>
            </w:tcBorders>
          </w:tcPr>
          <w:p>
            <w:pPr>
              <w:rPr>
                <w:rFonts w:ascii="Arial"/>
                <w:sz w:val="21"/>
              </w:rPr>
            </w:pPr>
            <w:r/>
          </w:p>
        </w:tc>
        <w:tc>
          <w:tcPr>
            <w:tcW w:w="859" w:type="dxa"/>
            <w:vAlign w:val="top"/>
            <w:vMerge w:val="continue"/>
            <w:tcBorders>
              <w:top w:val="nil"/>
              <w:bottom w:val="nil"/>
            </w:tcBorders>
          </w:tcPr>
          <w:p>
            <w:pPr>
              <w:rPr>
                <w:rFonts w:ascii="Arial"/>
                <w:sz w:val="21"/>
              </w:rPr>
            </w:pPr>
            <w:r/>
          </w:p>
        </w:tc>
        <w:tc>
          <w:tcPr>
            <w:tcW w:w="2567" w:type="dxa"/>
            <w:vAlign w:val="top"/>
            <w:gridSpan w:val="2"/>
          </w:tcPr>
          <w:p>
            <w:pPr>
              <w:pStyle w:val="TableText"/>
              <w:ind w:left="752"/>
              <w:spacing w:before="43" w:line="198" w:lineRule="auto"/>
              <w:rPr>
                <w:sz w:val="21"/>
                <w:szCs w:val="21"/>
              </w:rPr>
            </w:pPr>
            <w:r>
              <w:rPr>
                <w:sz w:val="21"/>
                <w:szCs w:val="21"/>
                <w:spacing w:val="-2"/>
              </w:rPr>
              <w:t>食堂隔油池</w:t>
            </w:r>
          </w:p>
        </w:tc>
        <w:tc>
          <w:tcPr>
            <w:tcW w:w="2887" w:type="dxa"/>
            <w:vAlign w:val="top"/>
          </w:tcPr>
          <w:p>
            <w:pPr>
              <w:pStyle w:val="TableText"/>
              <w:ind w:left="915"/>
              <w:spacing w:before="43" w:line="198" w:lineRule="auto"/>
              <w:rPr>
                <w:sz w:val="21"/>
                <w:szCs w:val="21"/>
              </w:rPr>
            </w:pPr>
            <w:r>
              <w:rPr>
                <w:sz w:val="21"/>
                <w:szCs w:val="21"/>
                <w:spacing w:val="4"/>
              </w:rPr>
              <w:t>隔油池浮油</w:t>
            </w:r>
          </w:p>
        </w:tc>
        <w:tc>
          <w:tcPr>
            <w:tcW w:w="1313" w:type="dxa"/>
            <w:vAlign w:val="top"/>
            <w:textDirection w:val="tbRlV"/>
          </w:tcPr>
          <w:p>
            <w:pPr>
              <w:spacing w:line="262" w:lineRule="auto"/>
              <w:rPr>
                <w:rFonts w:ascii="Arial"/>
                <w:sz w:val="21"/>
              </w:rPr>
            </w:pPr>
            <w:r/>
          </w:p>
          <w:p>
            <w:pPr>
              <w:spacing w:line="262" w:lineRule="auto"/>
              <w:rPr>
                <w:rFonts w:ascii="Arial"/>
                <w:sz w:val="21"/>
              </w:rPr>
            </w:pPr>
            <w:r/>
          </w:p>
          <w:p>
            <w:pPr>
              <w:pStyle w:val="TableText"/>
              <w:ind w:left="14"/>
              <w:spacing w:before="70" w:line="137" w:lineRule="exact"/>
              <w:rPr>
                <w:sz w:val="21"/>
                <w:szCs w:val="21"/>
              </w:rPr>
            </w:pPr>
            <w:r>
              <w:rPr>
                <w:sz w:val="21"/>
                <w:szCs w:val="21"/>
                <w:spacing w:val="52"/>
                <w:w w:val="141"/>
                <w:position w:val="-1"/>
              </w:rPr>
              <w:t>/</w:t>
            </w:r>
          </w:p>
        </w:tc>
      </w:tr>
      <w:tr>
        <w:trPr>
          <w:trHeight w:val="279" w:hRule="atLeast"/>
        </w:trPr>
        <w:tc>
          <w:tcPr>
            <w:tcW w:w="694" w:type="dxa"/>
            <w:vAlign w:val="top"/>
            <w:vMerge w:val="continue"/>
            <w:tcBorders>
              <w:top w:val="nil"/>
              <w:bottom w:val="nil"/>
            </w:tcBorders>
          </w:tcPr>
          <w:p>
            <w:pPr>
              <w:rPr>
                <w:rFonts w:ascii="Arial"/>
                <w:sz w:val="21"/>
              </w:rPr>
            </w:pPr>
            <w:r/>
          </w:p>
        </w:tc>
        <w:tc>
          <w:tcPr>
            <w:tcW w:w="859" w:type="dxa"/>
            <w:vAlign w:val="top"/>
            <w:vMerge w:val="continue"/>
            <w:tcBorders>
              <w:top w:val="nil"/>
              <w:bottom w:val="nil"/>
            </w:tcBorders>
          </w:tcPr>
          <w:p>
            <w:pPr>
              <w:rPr>
                <w:rFonts w:ascii="Arial"/>
                <w:sz w:val="21"/>
              </w:rPr>
            </w:pPr>
            <w:r/>
          </w:p>
        </w:tc>
        <w:tc>
          <w:tcPr>
            <w:tcW w:w="2567" w:type="dxa"/>
            <w:vAlign w:val="top"/>
            <w:gridSpan w:val="2"/>
          </w:tcPr>
          <w:p>
            <w:pPr>
              <w:pStyle w:val="TableText"/>
              <w:ind w:left="1062"/>
              <w:spacing w:before="43" w:line="198" w:lineRule="auto"/>
              <w:rPr>
                <w:sz w:val="21"/>
                <w:szCs w:val="21"/>
              </w:rPr>
            </w:pPr>
            <w:r>
              <w:rPr>
                <w:sz w:val="21"/>
                <w:szCs w:val="21"/>
                <w:color w:val="404050"/>
                <w:spacing w:val="5"/>
              </w:rPr>
              <w:t>消毒</w:t>
            </w:r>
          </w:p>
        </w:tc>
        <w:tc>
          <w:tcPr>
            <w:tcW w:w="2887" w:type="dxa"/>
            <w:vAlign w:val="top"/>
          </w:tcPr>
          <w:p>
            <w:pPr>
              <w:pStyle w:val="TableText"/>
              <w:ind w:left="495"/>
              <w:spacing w:before="42" w:line="199" w:lineRule="auto"/>
              <w:rPr>
                <w:sz w:val="21"/>
                <w:szCs w:val="21"/>
              </w:rPr>
            </w:pPr>
            <w:r>
              <w:rPr>
                <w:sz w:val="21"/>
                <w:szCs w:val="21"/>
                <w:spacing w:val="-1"/>
              </w:rPr>
              <w:t>废消毒药品包装材料</w:t>
            </w:r>
          </w:p>
        </w:tc>
        <w:tc>
          <w:tcPr>
            <w:tcW w:w="1313" w:type="dxa"/>
            <w:vAlign w:val="top"/>
            <w:textDirection w:val="tbRlV"/>
          </w:tcPr>
          <w:p>
            <w:pPr>
              <w:spacing w:line="262" w:lineRule="auto"/>
              <w:rPr>
                <w:rFonts w:ascii="Arial"/>
                <w:sz w:val="21"/>
              </w:rPr>
            </w:pPr>
            <w:r/>
          </w:p>
          <w:p>
            <w:pPr>
              <w:spacing w:line="262" w:lineRule="auto"/>
              <w:rPr>
                <w:rFonts w:ascii="Arial"/>
                <w:sz w:val="21"/>
              </w:rPr>
            </w:pPr>
            <w:r/>
          </w:p>
          <w:p>
            <w:pPr>
              <w:pStyle w:val="TableText"/>
              <w:ind w:left="15"/>
              <w:spacing w:before="70" w:line="137" w:lineRule="exact"/>
              <w:rPr>
                <w:sz w:val="21"/>
                <w:szCs w:val="21"/>
              </w:rPr>
            </w:pPr>
            <w:r>
              <w:rPr>
                <w:sz w:val="21"/>
                <w:szCs w:val="21"/>
                <w:spacing w:val="52"/>
                <w:w w:val="141"/>
                <w:position w:val="-1"/>
              </w:rPr>
              <w:t>/</w:t>
            </w:r>
          </w:p>
        </w:tc>
      </w:tr>
      <w:tr>
        <w:trPr>
          <w:trHeight w:val="259" w:hRule="atLeast"/>
        </w:trPr>
        <w:tc>
          <w:tcPr>
            <w:tcW w:w="694" w:type="dxa"/>
            <w:vAlign w:val="top"/>
            <w:vMerge w:val="continue"/>
            <w:tcBorders>
              <w:top w:val="nil"/>
              <w:bottom w:val="nil"/>
            </w:tcBorders>
          </w:tcPr>
          <w:p>
            <w:pPr>
              <w:rPr>
                <w:rFonts w:ascii="Arial"/>
                <w:sz w:val="21"/>
              </w:rPr>
            </w:pPr>
            <w:r/>
          </w:p>
        </w:tc>
        <w:tc>
          <w:tcPr>
            <w:tcW w:w="859" w:type="dxa"/>
            <w:vAlign w:val="top"/>
            <w:vMerge w:val="continue"/>
            <w:tcBorders>
              <w:top w:val="nil"/>
              <w:bottom w:val="nil"/>
            </w:tcBorders>
          </w:tcPr>
          <w:p>
            <w:pPr>
              <w:rPr>
                <w:rFonts w:ascii="Arial"/>
                <w:sz w:val="21"/>
              </w:rPr>
            </w:pPr>
            <w:r/>
          </w:p>
        </w:tc>
        <w:tc>
          <w:tcPr>
            <w:tcW w:w="2567" w:type="dxa"/>
            <w:vAlign w:val="top"/>
            <w:gridSpan w:val="2"/>
          </w:tcPr>
          <w:p>
            <w:pPr>
              <w:pStyle w:val="TableText"/>
              <w:ind w:left="122"/>
              <w:spacing w:before="34" w:line="189" w:lineRule="auto"/>
              <w:rPr>
                <w:sz w:val="21"/>
                <w:szCs w:val="21"/>
              </w:rPr>
            </w:pPr>
            <w:r>
              <w:rPr>
                <w:sz w:val="21"/>
                <w:szCs w:val="21"/>
                <w:spacing w:val="-1"/>
              </w:rPr>
              <w:t>污水处理站在线监测系统</w:t>
            </w:r>
          </w:p>
        </w:tc>
        <w:tc>
          <w:tcPr>
            <w:tcW w:w="2887" w:type="dxa"/>
            <w:vAlign w:val="top"/>
          </w:tcPr>
          <w:p>
            <w:pPr>
              <w:pStyle w:val="TableText"/>
              <w:ind w:left="805"/>
              <w:spacing w:before="35" w:line="188" w:lineRule="auto"/>
              <w:rPr>
                <w:sz w:val="21"/>
                <w:szCs w:val="21"/>
              </w:rPr>
            </w:pPr>
            <w:r>
              <w:rPr>
                <w:sz w:val="21"/>
                <w:szCs w:val="21"/>
                <w:spacing w:val="-2"/>
              </w:rPr>
              <w:t>在线监测废液</w:t>
            </w:r>
          </w:p>
        </w:tc>
        <w:tc>
          <w:tcPr>
            <w:tcW w:w="1313" w:type="dxa"/>
            <w:vAlign w:val="top"/>
            <w:textDirection w:val="tbRlV"/>
          </w:tcPr>
          <w:p>
            <w:pPr>
              <w:spacing w:line="262" w:lineRule="auto"/>
              <w:rPr>
                <w:rFonts w:ascii="Arial"/>
                <w:sz w:val="21"/>
              </w:rPr>
            </w:pPr>
            <w:r/>
          </w:p>
          <w:p>
            <w:pPr>
              <w:spacing w:line="262" w:lineRule="auto"/>
              <w:rPr>
                <w:rFonts w:ascii="Arial"/>
                <w:sz w:val="21"/>
              </w:rPr>
            </w:pPr>
            <w:r/>
          </w:p>
          <w:p>
            <w:pPr>
              <w:pStyle w:val="TableText"/>
              <w:ind w:left="6"/>
              <w:spacing w:before="70" w:line="137" w:lineRule="exact"/>
              <w:rPr>
                <w:sz w:val="21"/>
                <w:szCs w:val="21"/>
              </w:rPr>
            </w:pPr>
            <w:r>
              <w:rPr>
                <w:sz w:val="21"/>
                <w:szCs w:val="21"/>
                <w:spacing w:val="52"/>
                <w:w w:val="141"/>
                <w:position w:val="-1"/>
              </w:rPr>
              <w:t>/</w:t>
            </w:r>
          </w:p>
        </w:tc>
      </w:tr>
      <w:tr>
        <w:trPr>
          <w:trHeight w:val="270" w:hRule="atLeast"/>
        </w:trPr>
        <w:tc>
          <w:tcPr>
            <w:tcW w:w="694" w:type="dxa"/>
            <w:vAlign w:val="top"/>
            <w:vMerge w:val="continue"/>
            <w:tcBorders>
              <w:top w:val="nil"/>
              <w:bottom w:val="nil"/>
            </w:tcBorders>
          </w:tcPr>
          <w:p>
            <w:pPr>
              <w:rPr>
                <w:rFonts w:ascii="Arial"/>
                <w:sz w:val="21"/>
              </w:rPr>
            </w:pPr>
            <w:r/>
          </w:p>
        </w:tc>
        <w:tc>
          <w:tcPr>
            <w:tcW w:w="859" w:type="dxa"/>
            <w:vAlign w:val="top"/>
            <w:vMerge w:val="continue"/>
            <w:tcBorders>
              <w:top w:val="nil"/>
              <w:bottom w:val="nil"/>
            </w:tcBorders>
          </w:tcPr>
          <w:p>
            <w:pPr>
              <w:rPr>
                <w:rFonts w:ascii="Arial"/>
                <w:sz w:val="21"/>
              </w:rPr>
            </w:pPr>
            <w:r/>
          </w:p>
        </w:tc>
        <w:tc>
          <w:tcPr>
            <w:tcW w:w="2567" w:type="dxa"/>
            <w:vAlign w:val="top"/>
            <w:gridSpan w:val="2"/>
          </w:tcPr>
          <w:p>
            <w:pPr>
              <w:pStyle w:val="TableText"/>
              <w:ind w:left="852"/>
              <w:spacing w:before="35" w:line="197" w:lineRule="auto"/>
              <w:rPr>
                <w:sz w:val="21"/>
                <w:szCs w:val="21"/>
              </w:rPr>
            </w:pPr>
            <w:r>
              <w:rPr>
                <w:sz w:val="21"/>
                <w:szCs w:val="21"/>
                <w:spacing w:val="-2"/>
              </w:rPr>
              <w:t>检验检疫</w:t>
            </w:r>
          </w:p>
        </w:tc>
        <w:tc>
          <w:tcPr>
            <w:tcW w:w="2887" w:type="dxa"/>
            <w:vAlign w:val="top"/>
          </w:tcPr>
          <w:p>
            <w:pPr>
              <w:pStyle w:val="TableText"/>
              <w:ind w:left="915"/>
              <w:spacing w:before="35" w:line="197" w:lineRule="auto"/>
              <w:rPr>
                <w:sz w:val="21"/>
                <w:szCs w:val="21"/>
              </w:rPr>
            </w:pPr>
            <w:r>
              <w:rPr>
                <w:sz w:val="21"/>
                <w:szCs w:val="21"/>
                <w:spacing w:val="-2"/>
              </w:rPr>
              <w:t>检疫废弃物</w:t>
            </w:r>
          </w:p>
        </w:tc>
        <w:tc>
          <w:tcPr>
            <w:tcW w:w="1313" w:type="dxa"/>
            <w:vAlign w:val="top"/>
            <w:textDirection w:val="tbRlV"/>
          </w:tcPr>
          <w:p>
            <w:pPr>
              <w:spacing w:line="262" w:lineRule="auto"/>
              <w:rPr>
                <w:rFonts w:ascii="Arial"/>
                <w:sz w:val="21"/>
              </w:rPr>
            </w:pPr>
            <w:r/>
          </w:p>
          <w:p>
            <w:pPr>
              <w:spacing w:line="262" w:lineRule="auto"/>
              <w:rPr>
                <w:rFonts w:ascii="Arial"/>
                <w:sz w:val="21"/>
              </w:rPr>
            </w:pPr>
            <w:r/>
          </w:p>
          <w:p>
            <w:pPr>
              <w:pStyle w:val="TableText"/>
              <w:ind w:left="7"/>
              <w:spacing w:before="70" w:line="137" w:lineRule="exact"/>
              <w:rPr>
                <w:sz w:val="21"/>
                <w:szCs w:val="21"/>
              </w:rPr>
            </w:pPr>
            <w:r>
              <w:rPr>
                <w:sz w:val="21"/>
                <w:szCs w:val="21"/>
                <w:spacing w:val="52"/>
                <w:w w:val="141"/>
                <w:position w:val="-1"/>
              </w:rPr>
              <w:t>/</w:t>
            </w:r>
          </w:p>
        </w:tc>
      </w:tr>
      <w:tr>
        <w:trPr>
          <w:trHeight w:val="279" w:hRule="atLeast"/>
        </w:trPr>
        <w:tc>
          <w:tcPr>
            <w:tcW w:w="694" w:type="dxa"/>
            <w:vAlign w:val="top"/>
            <w:vMerge w:val="continue"/>
            <w:tcBorders>
              <w:top w:val="nil"/>
              <w:bottom w:val="nil"/>
            </w:tcBorders>
          </w:tcPr>
          <w:p>
            <w:pPr>
              <w:rPr>
                <w:rFonts w:ascii="Arial"/>
                <w:sz w:val="21"/>
              </w:rPr>
            </w:pPr>
            <w:r/>
          </w:p>
        </w:tc>
        <w:tc>
          <w:tcPr>
            <w:tcW w:w="859" w:type="dxa"/>
            <w:vAlign w:val="top"/>
            <w:vMerge w:val="continue"/>
            <w:tcBorders>
              <w:top w:val="nil"/>
              <w:bottom w:val="nil"/>
            </w:tcBorders>
          </w:tcPr>
          <w:p>
            <w:pPr>
              <w:rPr>
                <w:rFonts w:ascii="Arial"/>
                <w:sz w:val="21"/>
              </w:rPr>
            </w:pPr>
            <w:r/>
          </w:p>
        </w:tc>
        <w:tc>
          <w:tcPr>
            <w:tcW w:w="2567" w:type="dxa"/>
            <w:vAlign w:val="top"/>
            <w:gridSpan w:val="2"/>
            <w:vMerge w:val="restart"/>
            <w:tcBorders>
              <w:bottom w:val="nil"/>
            </w:tcBorders>
          </w:tcPr>
          <w:p>
            <w:pPr>
              <w:pStyle w:val="TableText"/>
              <w:ind w:left="542"/>
              <w:spacing w:before="185" w:line="219" w:lineRule="auto"/>
              <w:rPr>
                <w:sz w:val="21"/>
                <w:szCs w:val="21"/>
              </w:rPr>
            </w:pPr>
            <w:r>
              <w:rPr>
                <w:sz w:val="21"/>
                <w:szCs w:val="21"/>
                <w:spacing w:val="1"/>
              </w:rPr>
              <w:t>设备维护、保养</w:t>
            </w:r>
          </w:p>
        </w:tc>
        <w:tc>
          <w:tcPr>
            <w:tcW w:w="2887" w:type="dxa"/>
            <w:vAlign w:val="top"/>
          </w:tcPr>
          <w:p>
            <w:pPr>
              <w:pStyle w:val="TableText"/>
              <w:ind w:left="1125"/>
              <w:spacing w:before="44" w:line="197" w:lineRule="auto"/>
              <w:rPr>
                <w:sz w:val="21"/>
                <w:szCs w:val="21"/>
              </w:rPr>
            </w:pPr>
            <w:r>
              <w:rPr>
                <w:sz w:val="21"/>
                <w:szCs w:val="21"/>
                <w:color w:val="404040"/>
                <w:spacing w:val="7"/>
              </w:rPr>
              <w:t>废机油</w:t>
            </w:r>
          </w:p>
        </w:tc>
        <w:tc>
          <w:tcPr>
            <w:tcW w:w="1313" w:type="dxa"/>
            <w:vAlign w:val="top"/>
            <w:textDirection w:val="tbRlV"/>
          </w:tcPr>
          <w:p>
            <w:pPr>
              <w:spacing w:line="262" w:lineRule="auto"/>
              <w:rPr>
                <w:rFonts w:ascii="Arial"/>
                <w:sz w:val="21"/>
              </w:rPr>
            </w:pPr>
            <w:r/>
          </w:p>
          <w:p>
            <w:pPr>
              <w:spacing w:line="262" w:lineRule="auto"/>
              <w:rPr>
                <w:rFonts w:ascii="Arial"/>
                <w:sz w:val="21"/>
              </w:rPr>
            </w:pPr>
            <w:r/>
          </w:p>
          <w:p>
            <w:pPr>
              <w:pStyle w:val="TableText"/>
              <w:ind w:left="17"/>
              <w:spacing w:before="70" w:line="137" w:lineRule="exact"/>
              <w:rPr>
                <w:sz w:val="21"/>
                <w:szCs w:val="21"/>
              </w:rPr>
            </w:pPr>
            <w:r>
              <w:rPr>
                <w:sz w:val="21"/>
                <w:szCs w:val="21"/>
                <w:spacing w:val="52"/>
                <w:w w:val="141"/>
                <w:position w:val="-1"/>
              </w:rPr>
              <w:t>/</w:t>
            </w:r>
          </w:p>
        </w:tc>
      </w:tr>
      <w:tr>
        <w:trPr>
          <w:trHeight w:val="279" w:hRule="atLeast"/>
        </w:trPr>
        <w:tc>
          <w:tcPr>
            <w:tcW w:w="694" w:type="dxa"/>
            <w:vAlign w:val="top"/>
            <w:vMerge w:val="continue"/>
            <w:tcBorders>
              <w:top w:val="nil"/>
            </w:tcBorders>
          </w:tcPr>
          <w:p>
            <w:pPr>
              <w:rPr>
                <w:rFonts w:ascii="Arial"/>
                <w:sz w:val="21"/>
              </w:rPr>
            </w:pPr>
            <w:r/>
          </w:p>
        </w:tc>
        <w:tc>
          <w:tcPr>
            <w:tcW w:w="859" w:type="dxa"/>
            <w:vAlign w:val="top"/>
            <w:vMerge w:val="continue"/>
            <w:tcBorders>
              <w:top w:val="nil"/>
            </w:tcBorders>
          </w:tcPr>
          <w:p>
            <w:pPr>
              <w:rPr>
                <w:rFonts w:ascii="Arial"/>
                <w:sz w:val="21"/>
              </w:rPr>
            </w:pPr>
            <w:r/>
          </w:p>
        </w:tc>
        <w:tc>
          <w:tcPr>
            <w:tcW w:w="2567" w:type="dxa"/>
            <w:vAlign w:val="top"/>
            <w:gridSpan w:val="2"/>
            <w:vMerge w:val="continue"/>
            <w:tcBorders>
              <w:top w:val="nil"/>
            </w:tcBorders>
          </w:tcPr>
          <w:p>
            <w:pPr>
              <w:rPr>
                <w:rFonts w:ascii="Arial"/>
                <w:sz w:val="21"/>
              </w:rPr>
            </w:pPr>
            <w:r/>
          </w:p>
        </w:tc>
        <w:tc>
          <w:tcPr>
            <w:tcW w:w="2887" w:type="dxa"/>
            <w:vAlign w:val="top"/>
          </w:tcPr>
          <w:p>
            <w:pPr>
              <w:pStyle w:val="TableText"/>
              <w:ind w:left="805"/>
              <w:spacing w:before="46" w:line="196" w:lineRule="auto"/>
              <w:rPr>
                <w:sz w:val="21"/>
                <w:szCs w:val="21"/>
              </w:rPr>
            </w:pPr>
            <w:r>
              <w:rPr>
                <w:sz w:val="21"/>
                <w:szCs w:val="21"/>
                <w:spacing w:val="-2"/>
              </w:rPr>
              <w:t>含油棉纱手套</w:t>
            </w:r>
          </w:p>
        </w:tc>
        <w:tc>
          <w:tcPr>
            <w:tcW w:w="1313" w:type="dxa"/>
            <w:vAlign w:val="top"/>
            <w:textDirection w:val="tbRlV"/>
          </w:tcPr>
          <w:p>
            <w:pPr>
              <w:spacing w:line="262" w:lineRule="auto"/>
              <w:rPr>
                <w:rFonts w:ascii="Arial"/>
                <w:sz w:val="21"/>
              </w:rPr>
            </w:pPr>
            <w:r/>
          </w:p>
          <w:p>
            <w:pPr>
              <w:spacing w:line="262" w:lineRule="auto"/>
              <w:rPr>
                <w:rFonts w:ascii="Arial"/>
                <w:sz w:val="21"/>
              </w:rPr>
            </w:pPr>
            <w:r/>
          </w:p>
          <w:p>
            <w:pPr>
              <w:pStyle w:val="TableText"/>
              <w:ind w:left="19"/>
              <w:spacing w:before="70" w:line="137" w:lineRule="exact"/>
              <w:rPr>
                <w:sz w:val="21"/>
                <w:szCs w:val="21"/>
              </w:rPr>
            </w:pPr>
            <w:r>
              <w:rPr>
                <w:sz w:val="21"/>
                <w:szCs w:val="21"/>
                <w:spacing w:val="52"/>
                <w:w w:val="141"/>
                <w:position w:val="-1"/>
              </w:rPr>
              <w:t>/</w:t>
            </w:r>
          </w:p>
        </w:tc>
      </w:tr>
      <w:tr>
        <w:trPr>
          <w:trHeight w:val="274" w:hRule="atLeast"/>
        </w:trPr>
        <w:tc>
          <w:tcPr>
            <w:tcW w:w="694" w:type="dxa"/>
            <w:vAlign w:val="top"/>
          </w:tcPr>
          <w:p>
            <w:pPr>
              <w:pStyle w:val="TableText"/>
              <w:ind w:left="115"/>
              <w:spacing w:before="38" w:line="198" w:lineRule="auto"/>
              <w:rPr>
                <w:sz w:val="21"/>
                <w:szCs w:val="21"/>
              </w:rPr>
            </w:pPr>
            <w:r>
              <w:rPr>
                <w:sz w:val="21"/>
                <w:szCs w:val="21"/>
                <w:spacing w:val="6"/>
              </w:rPr>
              <w:t>噪声</w:t>
            </w:r>
          </w:p>
        </w:tc>
        <w:tc>
          <w:tcPr>
            <w:tcW w:w="3426" w:type="dxa"/>
            <w:vAlign w:val="top"/>
            <w:gridSpan w:val="3"/>
          </w:tcPr>
          <w:p>
            <w:pPr>
              <w:pStyle w:val="TableText"/>
              <w:ind w:left="461"/>
              <w:spacing w:before="38" w:line="198" w:lineRule="auto"/>
              <w:rPr>
                <w:sz w:val="21"/>
                <w:szCs w:val="21"/>
              </w:rPr>
            </w:pPr>
            <w:r>
              <w:rPr>
                <w:sz w:val="21"/>
                <w:szCs w:val="21"/>
                <w:spacing w:val="1"/>
              </w:rPr>
              <w:t>设备噪声、生猪、肉牛叫声</w:t>
            </w:r>
          </w:p>
        </w:tc>
        <w:tc>
          <w:tcPr>
            <w:tcW w:w="2887" w:type="dxa"/>
            <w:vAlign w:val="top"/>
          </w:tcPr>
          <w:p>
            <w:pPr>
              <w:pStyle w:val="TableText"/>
              <w:ind w:left="1225"/>
              <w:spacing w:before="38" w:line="198" w:lineRule="auto"/>
              <w:rPr>
                <w:sz w:val="21"/>
                <w:szCs w:val="21"/>
              </w:rPr>
            </w:pPr>
            <w:r>
              <w:rPr>
                <w:sz w:val="21"/>
                <w:szCs w:val="21"/>
                <w:color w:val="606050"/>
                <w:spacing w:val="6"/>
              </w:rPr>
              <w:t>噪声</w:t>
            </w:r>
          </w:p>
        </w:tc>
        <w:tc>
          <w:tcPr>
            <w:tcW w:w="1313" w:type="dxa"/>
            <w:vAlign w:val="top"/>
          </w:tcPr>
          <w:p>
            <w:pPr>
              <w:pStyle w:val="TableText"/>
              <w:ind w:left="598"/>
              <w:spacing w:before="93" w:line="171" w:lineRule="exact"/>
              <w:rPr>
                <w:sz w:val="21"/>
                <w:szCs w:val="21"/>
              </w:rPr>
            </w:pPr>
            <w:r>
              <w:rPr>
                <w:sz w:val="21"/>
                <w:szCs w:val="21"/>
                <w:position w:val="-2"/>
              </w:rPr>
              <w:t>N</w:t>
            </w:r>
          </w:p>
        </w:tc>
      </w:tr>
    </w:tbl>
    <w:p>
      <w:pPr>
        <w:ind w:left="108"/>
        <w:spacing w:before="62" w:line="219" w:lineRule="auto"/>
        <w:outlineLvl w:val="1"/>
        <w:rPr>
          <w:rFonts w:ascii="SimSun" w:hAnsi="SimSun" w:eastAsia="SimSun" w:cs="SimSun"/>
          <w:sz w:val="28"/>
          <w:szCs w:val="28"/>
        </w:rPr>
      </w:pPr>
      <w:bookmarkStart w:name="bookmark39" w:id="73"/>
      <w:bookmarkEnd w:id="73"/>
      <w:r>
        <w:rPr>
          <w:rFonts w:ascii="SimSun" w:hAnsi="SimSun" w:eastAsia="SimSun" w:cs="SimSun"/>
          <w:sz w:val="28"/>
          <w:szCs w:val="28"/>
          <w:b/>
          <w:bCs/>
          <w:spacing w:val="-3"/>
        </w:rPr>
        <w:t>3.9水平衡</w:t>
      </w:r>
    </w:p>
    <w:p>
      <w:pPr>
        <w:ind w:left="104" w:right="113" w:firstLine="500"/>
        <w:spacing w:before="199" w:line="373" w:lineRule="auto"/>
        <w:rPr>
          <w:rFonts w:ascii="SimSun" w:hAnsi="SimSun" w:eastAsia="SimSun" w:cs="SimSun"/>
          <w:sz w:val="24"/>
          <w:szCs w:val="24"/>
        </w:rPr>
      </w:pPr>
      <w:r>
        <w:rPr>
          <w:rFonts w:ascii="SimSun" w:hAnsi="SimSun" w:eastAsia="SimSun" w:cs="SimSun"/>
          <w:sz w:val="24"/>
          <w:szCs w:val="24"/>
          <w:spacing w:val="4"/>
        </w:rPr>
        <w:t>本项目生产、生活、消防用水均由市政给水管网统一供给，厂区内给水设</w:t>
      </w:r>
      <w:r>
        <w:rPr>
          <w:rFonts w:ascii="SimSun" w:hAnsi="SimSun" w:eastAsia="SimSun" w:cs="SimSun"/>
          <w:sz w:val="24"/>
          <w:szCs w:val="24"/>
          <w:spacing w:val="2"/>
        </w:rPr>
        <w:t xml:space="preserve"> </w:t>
      </w:r>
      <w:r>
        <w:rPr>
          <w:rFonts w:ascii="SimSun" w:hAnsi="SimSun" w:eastAsia="SimSun" w:cs="SimSun"/>
          <w:sz w:val="24"/>
          <w:szCs w:val="24"/>
          <w:spacing w:val="-1"/>
        </w:rPr>
        <w:t>置环状管网，生产车间及附属建筑物内设置枝状给水管线。</w:t>
      </w:r>
    </w:p>
    <w:p>
      <w:pPr>
        <w:ind w:left="104" w:right="125" w:firstLine="500"/>
        <w:spacing w:before="2" w:line="354" w:lineRule="auto"/>
        <w:jc w:val="both"/>
        <w:rPr>
          <w:rFonts w:ascii="SimSun" w:hAnsi="SimSun" w:eastAsia="SimSun" w:cs="SimSun"/>
          <w:sz w:val="24"/>
          <w:szCs w:val="24"/>
        </w:rPr>
      </w:pPr>
      <w:r>
        <w:rPr>
          <w:rFonts w:ascii="SimSun" w:hAnsi="SimSun" w:eastAsia="SimSun" w:cs="SimSun"/>
          <w:sz w:val="24"/>
          <w:szCs w:val="24"/>
          <w:spacing w:val="4"/>
        </w:rPr>
        <w:t>项目用水包括生活用水、生产用水和绿化用水，生</w:t>
      </w:r>
      <w:r>
        <w:rPr>
          <w:rFonts w:ascii="SimSun" w:hAnsi="SimSun" w:eastAsia="SimSun" w:cs="SimSun"/>
          <w:sz w:val="24"/>
          <w:szCs w:val="24"/>
          <w:spacing w:val="3"/>
        </w:rPr>
        <w:t>活用水包括职工办公和</w:t>
      </w:r>
      <w:r>
        <w:rPr>
          <w:rFonts w:ascii="SimSun" w:hAnsi="SimSun" w:eastAsia="SimSun" w:cs="SimSun"/>
          <w:sz w:val="24"/>
          <w:szCs w:val="24"/>
        </w:rPr>
        <w:t xml:space="preserve"> </w:t>
      </w:r>
      <w:r>
        <w:rPr>
          <w:rFonts w:ascii="SimSun" w:hAnsi="SimSun" w:eastAsia="SimSun" w:cs="SimSun"/>
          <w:sz w:val="24"/>
          <w:szCs w:val="24"/>
          <w:spacing w:val="4"/>
        </w:rPr>
        <w:t>生活用水，生产用水包括屠宰用水、车辆冲洗用水、消毒用水、冷却</w:t>
      </w:r>
      <w:r>
        <w:rPr>
          <w:rFonts w:ascii="SimSun" w:hAnsi="SimSun" w:eastAsia="SimSun" w:cs="SimSun"/>
          <w:sz w:val="24"/>
          <w:szCs w:val="24"/>
          <w:spacing w:val="3"/>
        </w:rPr>
        <w:t>系统补充</w:t>
      </w:r>
      <w:r>
        <w:rPr>
          <w:rFonts w:ascii="SimSun" w:hAnsi="SimSun" w:eastAsia="SimSun" w:cs="SimSun"/>
          <w:sz w:val="24"/>
          <w:szCs w:val="24"/>
        </w:rPr>
        <w:t xml:space="preserve"> </w:t>
      </w:r>
      <w:r>
        <w:rPr>
          <w:rFonts w:ascii="SimSun" w:hAnsi="SimSun" w:eastAsia="SimSun" w:cs="SimSun"/>
          <w:sz w:val="24"/>
          <w:szCs w:val="24"/>
          <w:spacing w:val="4"/>
        </w:rPr>
        <w:t>用水、喷淋塔用水、蒸汽发生器用水等。因屠宰受市场需求量影响，分为屠宰</w:t>
      </w:r>
      <w:r>
        <w:rPr>
          <w:rFonts w:ascii="SimSun" w:hAnsi="SimSun" w:eastAsia="SimSun" w:cs="SimSun"/>
          <w:sz w:val="24"/>
          <w:szCs w:val="24"/>
          <w:spacing w:val="1"/>
        </w:rPr>
        <w:t xml:space="preserve"> </w:t>
      </w:r>
      <w:r>
        <w:rPr>
          <w:rFonts w:ascii="SimSun" w:hAnsi="SimSun" w:eastAsia="SimSun" w:cs="SimSun"/>
          <w:sz w:val="24"/>
          <w:szCs w:val="24"/>
          <w:spacing w:val="3"/>
        </w:rPr>
        <w:t>淡季和屠宰旺季，淡季一般为1月~9月、旺季一般为10月~12月。本项目分别对</w:t>
      </w:r>
      <w:r>
        <w:rPr>
          <w:rFonts w:ascii="SimSun" w:hAnsi="SimSun" w:eastAsia="SimSun" w:cs="SimSun"/>
          <w:sz w:val="24"/>
          <w:szCs w:val="24"/>
          <w:spacing w:val="15"/>
        </w:rPr>
        <w:t xml:space="preserve"> </w:t>
      </w:r>
      <w:r>
        <w:rPr>
          <w:rFonts w:ascii="SimSun" w:hAnsi="SimSun" w:eastAsia="SimSun" w:cs="SimSun"/>
          <w:sz w:val="24"/>
          <w:szCs w:val="24"/>
          <w:spacing w:val="4"/>
        </w:rPr>
        <w:t>淡季、旺季进行水平衡计算，其中生活、办公及辅助设施用水</w:t>
      </w:r>
      <w:r>
        <w:rPr>
          <w:rFonts w:ascii="SimSun" w:hAnsi="SimSun" w:eastAsia="SimSun" w:cs="SimSun"/>
          <w:sz w:val="24"/>
          <w:szCs w:val="24"/>
          <w:spacing w:val="3"/>
        </w:rPr>
        <w:t>均以最大规模计</w:t>
      </w:r>
      <w:r>
        <w:rPr>
          <w:rFonts w:ascii="SimSun" w:hAnsi="SimSun" w:eastAsia="SimSun" w:cs="SimSun"/>
          <w:sz w:val="24"/>
          <w:szCs w:val="24"/>
        </w:rPr>
        <w:t xml:space="preserve"> </w:t>
      </w:r>
      <w:r>
        <w:rPr>
          <w:rFonts w:ascii="SimSun" w:hAnsi="SimSun" w:eastAsia="SimSun" w:cs="SimSun"/>
          <w:sz w:val="24"/>
          <w:szCs w:val="24"/>
          <w:spacing w:val="-2"/>
        </w:rPr>
        <w:t>算、无差异，淡旺季屠宰方案如下：</w:t>
      </w:r>
    </w:p>
    <w:p>
      <w:pPr>
        <w:ind w:left="2708"/>
        <w:spacing w:before="2" w:line="215" w:lineRule="auto"/>
        <w:rPr>
          <w:rFonts w:ascii="SimSun" w:hAnsi="SimSun" w:eastAsia="SimSun" w:cs="SimSun"/>
          <w:sz w:val="24"/>
          <w:szCs w:val="24"/>
        </w:rPr>
      </w:pPr>
      <w:r>
        <w:rPr>
          <w:rFonts w:ascii="SimSun" w:hAnsi="SimSun" w:eastAsia="SimSun" w:cs="SimSun"/>
          <w:sz w:val="24"/>
          <w:szCs w:val="24"/>
          <w:b/>
          <w:bCs/>
          <w:spacing w:val="-4"/>
        </w:rPr>
        <w:t>表3.9-1本项目屠宰方案一览表</w:t>
      </w:r>
    </w:p>
    <w:tbl>
      <w:tblPr>
        <w:tblStyle w:val="TableNormal"/>
        <w:tblW w:w="85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023"/>
        <w:gridCol w:w="2207"/>
        <w:gridCol w:w="2197"/>
        <w:gridCol w:w="2092"/>
      </w:tblGrid>
      <w:tr>
        <w:trPr>
          <w:trHeight w:val="283" w:hRule="atLeast"/>
        </w:trPr>
        <w:tc>
          <w:tcPr>
            <w:shd w:val="clear" w:fill="BDBDBD"/>
            <w:tcW w:w="2023" w:type="dxa"/>
            <w:vAlign w:val="top"/>
          </w:tcPr>
          <w:p>
            <w:pPr>
              <w:pStyle w:val="TableText"/>
              <w:ind w:left="548"/>
              <w:spacing w:before="31" w:line="194" w:lineRule="auto"/>
              <w:rPr>
                <w:sz w:val="23"/>
                <w:szCs w:val="23"/>
              </w:rPr>
            </w:pPr>
            <w:r>
              <w:rPr>
                <w:sz w:val="23"/>
                <w:szCs w:val="23"/>
                <w:b/>
                <w:bCs/>
              </w:rPr>
              <w:t>屠宰类别</w:t>
            </w:r>
          </w:p>
        </w:tc>
        <w:tc>
          <w:tcPr>
            <w:shd w:val="clear" w:fill="BDBDBD"/>
            <w:tcW w:w="2207" w:type="dxa"/>
            <w:vAlign w:val="top"/>
          </w:tcPr>
          <w:p>
            <w:pPr>
              <w:pStyle w:val="TableText"/>
              <w:ind w:left="865"/>
              <w:spacing w:before="31" w:line="194" w:lineRule="auto"/>
              <w:rPr>
                <w:sz w:val="23"/>
                <w:szCs w:val="23"/>
              </w:rPr>
            </w:pPr>
            <w:r>
              <w:rPr>
                <w:sz w:val="23"/>
                <w:szCs w:val="23"/>
                <w:b/>
                <w:bCs/>
                <w:spacing w:val="1"/>
              </w:rPr>
              <w:t>时期</w:t>
            </w:r>
          </w:p>
        </w:tc>
        <w:tc>
          <w:tcPr>
            <w:shd w:val="clear" w:fill="BDBDBD"/>
            <w:tcW w:w="2197" w:type="dxa"/>
            <w:vAlign w:val="top"/>
          </w:tcPr>
          <w:p>
            <w:pPr>
              <w:pStyle w:val="TableText"/>
              <w:ind w:left="638"/>
              <w:spacing w:before="31" w:line="194" w:lineRule="auto"/>
              <w:rPr>
                <w:sz w:val="23"/>
                <w:szCs w:val="23"/>
              </w:rPr>
            </w:pPr>
            <w:r>
              <w:rPr>
                <w:sz w:val="23"/>
                <w:szCs w:val="23"/>
                <w:b/>
                <w:bCs/>
                <w:spacing w:val="-5"/>
              </w:rPr>
              <w:t>屠宰规模</w:t>
            </w:r>
          </w:p>
        </w:tc>
        <w:tc>
          <w:tcPr>
            <w:shd w:val="clear" w:fill="BDBDBD"/>
            <w:tcW w:w="2092" w:type="dxa"/>
            <w:vAlign w:val="top"/>
          </w:tcPr>
          <w:p>
            <w:pPr>
              <w:pStyle w:val="TableText"/>
              <w:ind w:left="581"/>
              <w:spacing w:before="31" w:line="194" w:lineRule="auto"/>
              <w:rPr>
                <w:sz w:val="23"/>
                <w:szCs w:val="23"/>
              </w:rPr>
            </w:pPr>
            <w:r>
              <w:rPr>
                <w:sz w:val="23"/>
                <w:szCs w:val="23"/>
                <w:b/>
                <w:bCs/>
                <w:spacing w:val="-5"/>
              </w:rPr>
              <w:t>屠宰天数</w:t>
            </w:r>
          </w:p>
        </w:tc>
      </w:tr>
      <w:tr>
        <w:trPr>
          <w:trHeight w:val="268" w:hRule="atLeast"/>
        </w:trPr>
        <w:tc>
          <w:tcPr>
            <w:tcW w:w="2023" w:type="dxa"/>
            <w:vAlign w:val="top"/>
            <w:vMerge w:val="restart"/>
            <w:tcBorders>
              <w:bottom w:val="nil"/>
            </w:tcBorders>
          </w:tcPr>
          <w:p>
            <w:pPr>
              <w:pStyle w:val="TableText"/>
              <w:ind w:left="774"/>
              <w:spacing w:before="172" w:line="220" w:lineRule="auto"/>
              <w:rPr>
                <w:sz w:val="23"/>
                <w:szCs w:val="23"/>
              </w:rPr>
            </w:pPr>
            <w:r>
              <w:rPr>
                <w:sz w:val="23"/>
                <w:szCs w:val="23"/>
                <w:spacing w:val="4"/>
              </w:rPr>
              <w:t>生猪</w:t>
            </w:r>
          </w:p>
        </w:tc>
        <w:tc>
          <w:tcPr>
            <w:tcW w:w="2207" w:type="dxa"/>
            <w:vAlign w:val="top"/>
          </w:tcPr>
          <w:p>
            <w:pPr>
              <w:pStyle w:val="TableText"/>
              <w:ind w:left="341"/>
              <w:spacing w:before="20" w:line="191" w:lineRule="auto"/>
              <w:rPr>
                <w:sz w:val="23"/>
                <w:szCs w:val="23"/>
              </w:rPr>
            </w:pPr>
            <w:r>
              <w:rPr>
                <w:sz w:val="23"/>
                <w:szCs w:val="23"/>
                <w:spacing w:val="6"/>
              </w:rPr>
              <w:t>淡季(1月~9月)</w:t>
            </w:r>
          </w:p>
        </w:tc>
        <w:tc>
          <w:tcPr>
            <w:tcW w:w="2197" w:type="dxa"/>
            <w:vAlign w:val="top"/>
          </w:tcPr>
          <w:p>
            <w:pPr>
              <w:pStyle w:val="TableText"/>
              <w:ind w:left="574"/>
              <w:spacing w:before="21" w:line="190" w:lineRule="auto"/>
              <w:rPr>
                <w:sz w:val="23"/>
                <w:szCs w:val="23"/>
              </w:rPr>
            </w:pPr>
            <w:r>
              <w:rPr>
                <w:sz w:val="23"/>
                <w:szCs w:val="23"/>
              </w:rPr>
              <w:t>1000头/天</w:t>
            </w:r>
          </w:p>
        </w:tc>
        <w:tc>
          <w:tcPr>
            <w:tcW w:w="2092" w:type="dxa"/>
            <w:vAlign w:val="top"/>
          </w:tcPr>
          <w:p>
            <w:pPr>
              <w:pStyle w:val="TableText"/>
              <w:ind w:left="577"/>
              <w:spacing w:before="25" w:line="187" w:lineRule="auto"/>
              <w:rPr>
                <w:sz w:val="23"/>
                <w:szCs w:val="23"/>
              </w:rPr>
            </w:pPr>
            <w:r>
              <w:rPr>
                <w:sz w:val="23"/>
                <w:szCs w:val="23"/>
                <w:spacing w:val="-2"/>
              </w:rPr>
              <w:t>270(d/a)</w:t>
            </w:r>
          </w:p>
        </w:tc>
      </w:tr>
      <w:tr>
        <w:trPr>
          <w:trHeight w:val="278" w:hRule="atLeast"/>
        </w:trPr>
        <w:tc>
          <w:tcPr>
            <w:tcW w:w="2023" w:type="dxa"/>
            <w:vAlign w:val="top"/>
            <w:vMerge w:val="continue"/>
            <w:tcBorders>
              <w:top w:val="nil"/>
            </w:tcBorders>
          </w:tcPr>
          <w:p>
            <w:pPr>
              <w:rPr>
                <w:rFonts w:ascii="Arial"/>
                <w:sz w:val="21"/>
              </w:rPr>
            </w:pPr>
            <w:r/>
          </w:p>
        </w:tc>
        <w:tc>
          <w:tcPr>
            <w:tcW w:w="2207" w:type="dxa"/>
            <w:vAlign w:val="top"/>
          </w:tcPr>
          <w:p>
            <w:pPr>
              <w:pStyle w:val="TableText"/>
              <w:ind w:left="231"/>
              <w:spacing w:before="33" w:line="188" w:lineRule="auto"/>
              <w:rPr>
                <w:sz w:val="23"/>
                <w:szCs w:val="23"/>
              </w:rPr>
            </w:pPr>
            <w:r>
              <w:rPr>
                <w:sz w:val="23"/>
                <w:szCs w:val="23"/>
                <w:spacing w:val="4"/>
              </w:rPr>
              <w:t>旺季(10月~12月)</w:t>
            </w:r>
          </w:p>
        </w:tc>
        <w:tc>
          <w:tcPr>
            <w:tcW w:w="2197" w:type="dxa"/>
            <w:vAlign w:val="top"/>
          </w:tcPr>
          <w:p>
            <w:pPr>
              <w:pStyle w:val="TableText"/>
              <w:ind w:left="574"/>
              <w:spacing w:before="33" w:line="188" w:lineRule="auto"/>
              <w:rPr>
                <w:sz w:val="23"/>
                <w:szCs w:val="23"/>
              </w:rPr>
            </w:pPr>
            <w:r>
              <w:rPr>
                <w:sz w:val="23"/>
                <w:szCs w:val="23"/>
              </w:rPr>
              <w:t>1444头/天</w:t>
            </w:r>
          </w:p>
        </w:tc>
        <w:tc>
          <w:tcPr>
            <w:tcW w:w="2092" w:type="dxa"/>
            <w:vAlign w:val="top"/>
          </w:tcPr>
          <w:p>
            <w:pPr>
              <w:pStyle w:val="TableText"/>
              <w:ind w:left="638"/>
              <w:spacing w:before="37" w:line="185" w:lineRule="auto"/>
              <w:rPr>
                <w:sz w:val="23"/>
                <w:szCs w:val="23"/>
              </w:rPr>
            </w:pPr>
            <w:r>
              <w:rPr>
                <w:sz w:val="23"/>
                <w:szCs w:val="23"/>
                <w:spacing w:val="-2"/>
              </w:rPr>
              <w:t>90(d/a)</w:t>
            </w:r>
          </w:p>
        </w:tc>
      </w:tr>
      <w:tr>
        <w:trPr>
          <w:trHeight w:val="268" w:hRule="atLeast"/>
        </w:trPr>
        <w:tc>
          <w:tcPr>
            <w:tcW w:w="2023" w:type="dxa"/>
            <w:vAlign w:val="top"/>
            <w:vMerge w:val="restart"/>
            <w:tcBorders>
              <w:bottom w:val="nil"/>
            </w:tcBorders>
          </w:tcPr>
          <w:p>
            <w:pPr>
              <w:pStyle w:val="TableText"/>
              <w:ind w:left="774"/>
              <w:spacing w:before="176" w:line="221" w:lineRule="auto"/>
              <w:rPr>
                <w:sz w:val="23"/>
                <w:szCs w:val="23"/>
              </w:rPr>
            </w:pPr>
            <w:r>
              <w:rPr>
                <w:sz w:val="23"/>
                <w:szCs w:val="23"/>
                <w:spacing w:val="6"/>
              </w:rPr>
              <w:t>肉牛</w:t>
            </w:r>
          </w:p>
        </w:tc>
        <w:tc>
          <w:tcPr>
            <w:tcW w:w="2207" w:type="dxa"/>
            <w:vAlign w:val="top"/>
          </w:tcPr>
          <w:p>
            <w:pPr>
              <w:pStyle w:val="TableText"/>
              <w:ind w:left="341"/>
              <w:spacing w:before="25" w:line="187" w:lineRule="auto"/>
              <w:rPr>
                <w:sz w:val="23"/>
                <w:szCs w:val="23"/>
              </w:rPr>
            </w:pPr>
            <w:r>
              <w:rPr>
                <w:sz w:val="23"/>
                <w:szCs w:val="23"/>
                <w:spacing w:val="6"/>
              </w:rPr>
              <w:t>淡季(1月~9月)</w:t>
            </w:r>
          </w:p>
        </w:tc>
        <w:tc>
          <w:tcPr>
            <w:tcW w:w="2197" w:type="dxa"/>
            <w:vAlign w:val="top"/>
          </w:tcPr>
          <w:p>
            <w:pPr>
              <w:pStyle w:val="TableText"/>
              <w:ind w:left="635"/>
              <w:spacing w:before="25" w:line="187" w:lineRule="auto"/>
              <w:rPr>
                <w:sz w:val="23"/>
                <w:szCs w:val="23"/>
              </w:rPr>
            </w:pPr>
            <w:r>
              <w:rPr>
                <w:sz w:val="23"/>
                <w:szCs w:val="23"/>
                <w:spacing w:val="1"/>
              </w:rPr>
              <w:t>100头/天</w:t>
            </w:r>
          </w:p>
        </w:tc>
        <w:tc>
          <w:tcPr>
            <w:tcW w:w="2092" w:type="dxa"/>
            <w:vAlign w:val="top"/>
          </w:tcPr>
          <w:p>
            <w:pPr>
              <w:pStyle w:val="TableText"/>
              <w:ind w:left="577"/>
              <w:spacing w:before="28" w:line="184" w:lineRule="auto"/>
              <w:rPr>
                <w:sz w:val="23"/>
                <w:szCs w:val="23"/>
              </w:rPr>
            </w:pPr>
            <w:r>
              <w:rPr>
                <w:sz w:val="23"/>
                <w:szCs w:val="23"/>
                <w:spacing w:val="-2"/>
              </w:rPr>
              <w:t>270(d/a)</w:t>
            </w:r>
          </w:p>
        </w:tc>
      </w:tr>
      <w:tr>
        <w:trPr>
          <w:trHeight w:val="283" w:hRule="atLeast"/>
        </w:trPr>
        <w:tc>
          <w:tcPr>
            <w:tcW w:w="2023" w:type="dxa"/>
            <w:vAlign w:val="top"/>
            <w:vMerge w:val="continue"/>
            <w:tcBorders>
              <w:top w:val="nil"/>
            </w:tcBorders>
          </w:tcPr>
          <w:p>
            <w:pPr>
              <w:rPr>
                <w:rFonts w:ascii="Arial"/>
                <w:sz w:val="21"/>
              </w:rPr>
            </w:pPr>
            <w:r/>
          </w:p>
        </w:tc>
        <w:tc>
          <w:tcPr>
            <w:tcW w:w="2207" w:type="dxa"/>
            <w:vAlign w:val="top"/>
          </w:tcPr>
          <w:p>
            <w:pPr>
              <w:pStyle w:val="TableText"/>
              <w:ind w:left="231"/>
              <w:spacing w:before="37" w:line="189" w:lineRule="auto"/>
              <w:rPr>
                <w:sz w:val="23"/>
                <w:szCs w:val="23"/>
              </w:rPr>
            </w:pPr>
            <w:r>
              <w:rPr>
                <w:sz w:val="23"/>
                <w:szCs w:val="23"/>
                <w:spacing w:val="4"/>
              </w:rPr>
              <w:t>旺季(10月~12月)</w:t>
            </w:r>
          </w:p>
        </w:tc>
        <w:tc>
          <w:tcPr>
            <w:tcW w:w="2197" w:type="dxa"/>
            <w:vAlign w:val="top"/>
          </w:tcPr>
          <w:p>
            <w:pPr>
              <w:pStyle w:val="TableText"/>
              <w:ind w:left="635"/>
              <w:spacing w:before="37" w:line="189" w:lineRule="auto"/>
              <w:rPr>
                <w:sz w:val="23"/>
                <w:szCs w:val="23"/>
              </w:rPr>
            </w:pPr>
            <w:r>
              <w:rPr>
                <w:sz w:val="23"/>
                <w:szCs w:val="23"/>
                <w:spacing w:val="1"/>
              </w:rPr>
              <w:t>144头/天</w:t>
            </w:r>
          </w:p>
        </w:tc>
        <w:tc>
          <w:tcPr>
            <w:tcW w:w="2092" w:type="dxa"/>
            <w:vAlign w:val="top"/>
          </w:tcPr>
          <w:p>
            <w:pPr>
              <w:pStyle w:val="TableText"/>
              <w:ind w:left="638"/>
              <w:spacing w:before="41" w:line="186" w:lineRule="auto"/>
              <w:rPr>
                <w:sz w:val="23"/>
                <w:szCs w:val="23"/>
              </w:rPr>
            </w:pPr>
            <w:r>
              <w:rPr>
                <w:sz w:val="23"/>
                <w:szCs w:val="23"/>
                <w:spacing w:val="-2"/>
              </w:rPr>
              <w:t>90(d/a)</w:t>
            </w:r>
          </w:p>
        </w:tc>
      </w:tr>
    </w:tbl>
    <w:p>
      <w:pPr>
        <w:ind w:left="118"/>
        <w:spacing w:before="80" w:line="219" w:lineRule="auto"/>
        <w:rPr>
          <w:rFonts w:ascii="SimSun" w:hAnsi="SimSun" w:eastAsia="SimSun" w:cs="SimSun"/>
          <w:sz w:val="24"/>
          <w:szCs w:val="24"/>
        </w:rPr>
      </w:pPr>
      <w:r>
        <w:rPr>
          <w:rFonts w:ascii="SimSun" w:hAnsi="SimSun" w:eastAsia="SimSun" w:cs="SimSun"/>
          <w:sz w:val="24"/>
          <w:szCs w:val="24"/>
          <w:b/>
          <w:bCs/>
          <w:spacing w:val="-4"/>
        </w:rPr>
        <w:t>3.9.1淡季水平衡分析</w:t>
      </w:r>
    </w:p>
    <w:p>
      <w:pPr>
        <w:ind w:left="605"/>
        <w:spacing w:before="249" w:line="219" w:lineRule="auto"/>
        <w:rPr>
          <w:rFonts w:ascii="SimSun" w:hAnsi="SimSun" w:eastAsia="SimSun" w:cs="SimSun"/>
          <w:sz w:val="24"/>
          <w:szCs w:val="24"/>
        </w:rPr>
      </w:pPr>
      <w:r>
        <w:rPr>
          <w:rFonts w:ascii="SimSun" w:hAnsi="SimSun" w:eastAsia="SimSun" w:cs="SimSun"/>
          <w:sz w:val="24"/>
          <w:szCs w:val="24"/>
          <w:spacing w:val="-4"/>
        </w:rPr>
        <w:t>淡季水平衡分析结果见下表。</w:t>
      </w:r>
    </w:p>
    <w:p>
      <w:pPr>
        <w:ind w:left="3178"/>
        <w:spacing w:before="162" w:line="215" w:lineRule="auto"/>
        <w:rPr>
          <w:rFonts w:ascii="SimSun" w:hAnsi="SimSun" w:eastAsia="SimSun" w:cs="SimSun"/>
          <w:sz w:val="24"/>
          <w:szCs w:val="24"/>
        </w:rPr>
      </w:pPr>
      <w:r>
        <w:rPr>
          <w:rFonts w:ascii="SimSun" w:hAnsi="SimSun" w:eastAsia="SimSun" w:cs="SimSun"/>
          <w:sz w:val="24"/>
          <w:szCs w:val="24"/>
          <w:b/>
          <w:bCs/>
          <w:spacing w:val="-4"/>
        </w:rPr>
        <w:t>表3.9-2淡季水平衡表</w:t>
      </w:r>
    </w:p>
    <w:tbl>
      <w:tblPr>
        <w:tblStyle w:val="TableNormal"/>
        <w:tblW w:w="85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34"/>
        <w:gridCol w:w="1988"/>
        <w:gridCol w:w="1228"/>
        <w:gridCol w:w="1528"/>
        <w:gridCol w:w="549"/>
        <w:gridCol w:w="949"/>
        <w:gridCol w:w="649"/>
        <w:gridCol w:w="994"/>
      </w:tblGrid>
      <w:tr>
        <w:trPr>
          <w:trHeight w:val="642" w:hRule="atLeast"/>
        </w:trPr>
        <w:tc>
          <w:tcPr>
            <w:shd w:val="clear" w:fill="BDBDBD"/>
            <w:tcW w:w="2622" w:type="dxa"/>
            <w:vAlign w:val="top"/>
            <w:gridSpan w:val="2"/>
          </w:tcPr>
          <w:p>
            <w:pPr>
              <w:pStyle w:val="TableText"/>
              <w:ind w:left="868"/>
              <w:spacing w:before="220" w:line="219" w:lineRule="auto"/>
              <w:rPr>
                <w:sz w:val="21"/>
                <w:szCs w:val="21"/>
              </w:rPr>
            </w:pPr>
            <w:r>
              <w:rPr>
                <w:sz w:val="21"/>
                <w:szCs w:val="21"/>
                <w:b/>
                <w:bCs/>
                <w:spacing w:val="-5"/>
              </w:rPr>
              <w:t>用水类型</w:t>
            </w:r>
          </w:p>
        </w:tc>
        <w:tc>
          <w:tcPr>
            <w:shd w:val="clear" w:fill="BDBDBD"/>
            <w:tcW w:w="1228" w:type="dxa"/>
            <w:vAlign w:val="top"/>
          </w:tcPr>
          <w:p>
            <w:pPr>
              <w:pStyle w:val="TableText"/>
              <w:ind w:left="396"/>
              <w:spacing w:before="220" w:line="219" w:lineRule="auto"/>
              <w:rPr>
                <w:sz w:val="21"/>
                <w:szCs w:val="21"/>
              </w:rPr>
            </w:pPr>
            <w:r>
              <w:rPr>
                <w:sz w:val="21"/>
                <w:szCs w:val="21"/>
                <w:b/>
                <w:bCs/>
                <w:spacing w:val="-6"/>
              </w:rPr>
              <w:t>定额</w:t>
            </w:r>
          </w:p>
        </w:tc>
        <w:tc>
          <w:tcPr>
            <w:shd w:val="clear" w:fill="BDBDBD"/>
            <w:tcW w:w="1528" w:type="dxa"/>
            <w:vAlign w:val="top"/>
          </w:tcPr>
          <w:p>
            <w:pPr>
              <w:pStyle w:val="TableText"/>
              <w:ind w:left="548"/>
              <w:spacing w:before="220" w:line="219" w:lineRule="auto"/>
              <w:rPr>
                <w:sz w:val="21"/>
                <w:szCs w:val="21"/>
              </w:rPr>
            </w:pPr>
            <w:r>
              <w:rPr>
                <w:sz w:val="21"/>
                <w:szCs w:val="21"/>
                <w:b/>
                <w:bCs/>
                <w:spacing w:val="-5"/>
              </w:rPr>
              <w:t>数量</w:t>
            </w:r>
          </w:p>
        </w:tc>
        <w:tc>
          <w:tcPr>
            <w:shd w:val="clear" w:fill="BDBDBD"/>
            <w:tcW w:w="549" w:type="dxa"/>
            <w:vAlign w:val="top"/>
          </w:tcPr>
          <w:p>
            <w:pPr>
              <w:pStyle w:val="TableText"/>
              <w:ind w:left="60"/>
              <w:spacing w:before="81" w:line="220" w:lineRule="auto"/>
              <w:rPr>
                <w:sz w:val="21"/>
                <w:szCs w:val="21"/>
              </w:rPr>
            </w:pPr>
            <w:r>
              <w:rPr>
                <w:sz w:val="21"/>
                <w:szCs w:val="21"/>
                <w:b/>
                <w:bCs/>
                <w:spacing w:val="-5"/>
              </w:rPr>
              <w:t>工作</w:t>
            </w:r>
          </w:p>
          <w:p>
            <w:pPr>
              <w:pStyle w:val="TableText"/>
              <w:ind w:left="60"/>
              <w:spacing w:before="9" w:line="219" w:lineRule="auto"/>
              <w:rPr>
                <w:sz w:val="21"/>
                <w:szCs w:val="21"/>
              </w:rPr>
            </w:pPr>
            <w:r>
              <w:rPr>
                <w:sz w:val="21"/>
                <w:szCs w:val="21"/>
                <w:b/>
                <w:bCs/>
                <w:spacing w:val="-6"/>
              </w:rPr>
              <w:t>天数</w:t>
            </w:r>
          </w:p>
        </w:tc>
        <w:tc>
          <w:tcPr>
            <w:shd w:val="clear" w:fill="BDBDBD"/>
            <w:tcW w:w="949" w:type="dxa"/>
            <w:vAlign w:val="top"/>
          </w:tcPr>
          <w:p>
            <w:pPr>
              <w:pStyle w:val="TableText"/>
              <w:ind w:left="160"/>
              <w:spacing w:before="80" w:line="219" w:lineRule="auto"/>
              <w:rPr>
                <w:sz w:val="21"/>
                <w:szCs w:val="21"/>
              </w:rPr>
            </w:pPr>
            <w:r>
              <w:rPr>
                <w:sz w:val="21"/>
                <w:szCs w:val="21"/>
                <w:b/>
                <w:bCs/>
                <w:spacing w:val="-5"/>
              </w:rPr>
              <w:t>用水量</w:t>
            </w:r>
          </w:p>
          <w:p>
            <w:pPr>
              <w:pStyle w:val="TableText"/>
              <w:ind w:left="101"/>
              <w:spacing w:before="24" w:line="222" w:lineRule="auto"/>
              <w:rPr>
                <w:sz w:val="21"/>
                <w:szCs w:val="21"/>
              </w:rPr>
            </w:pPr>
            <w:r>
              <w:rPr>
                <w:sz w:val="21"/>
                <w:szCs w:val="21"/>
                <w:b/>
                <w:bCs/>
                <w:spacing w:val="-9"/>
              </w:rPr>
              <w:t>(m³/d)</w:t>
            </w:r>
          </w:p>
        </w:tc>
        <w:tc>
          <w:tcPr>
            <w:shd w:val="clear" w:fill="101010"/>
            <w:tcW w:w="649" w:type="dxa"/>
            <w:vAlign w:val="top"/>
          </w:tcPr>
          <w:p>
            <w:pPr>
              <w:pStyle w:val="TableText"/>
              <w:ind w:left="111"/>
              <w:spacing w:before="51" w:line="221" w:lineRule="auto"/>
              <w:rPr>
                <w:sz w:val="21"/>
                <w:szCs w:val="21"/>
              </w:rPr>
            </w:pPr>
            <w:r>
              <w:rPr>
                <w:sz w:val="21"/>
                <w:szCs w:val="21"/>
                <w:b/>
                <w:bCs/>
                <w:spacing w:val="-5"/>
              </w:rPr>
              <w:t>排放</w:t>
            </w:r>
          </w:p>
          <w:p>
            <w:pPr>
              <w:pStyle w:val="TableText"/>
              <w:ind w:left="111"/>
              <w:spacing w:before="37" w:line="219" w:lineRule="auto"/>
              <w:rPr>
                <w:sz w:val="21"/>
                <w:szCs w:val="21"/>
              </w:rPr>
            </w:pPr>
            <w:r>
              <w:rPr>
                <w:sz w:val="21"/>
                <w:szCs w:val="21"/>
                <w:b/>
                <w:bCs/>
                <w:spacing w:val="-6"/>
              </w:rPr>
              <w:t>系数</w:t>
            </w:r>
          </w:p>
        </w:tc>
        <w:tc>
          <w:tcPr>
            <w:shd w:val="clear" w:fill="BDBDBD"/>
            <w:tcW w:w="994" w:type="dxa"/>
            <w:vAlign w:val="top"/>
          </w:tcPr>
          <w:p>
            <w:pPr>
              <w:pStyle w:val="TableText"/>
              <w:ind w:left="182"/>
              <w:spacing w:before="80" w:line="219" w:lineRule="auto"/>
              <w:rPr>
                <w:sz w:val="21"/>
                <w:szCs w:val="21"/>
              </w:rPr>
            </w:pPr>
            <w:r>
              <w:rPr>
                <w:sz w:val="21"/>
                <w:szCs w:val="21"/>
                <w:b/>
                <w:bCs/>
                <w:spacing w:val="-4"/>
              </w:rPr>
              <w:t>废水量</w:t>
            </w:r>
          </w:p>
          <w:p>
            <w:pPr>
              <w:pStyle w:val="TableText"/>
              <w:ind w:left="123"/>
              <w:spacing w:before="24" w:line="222" w:lineRule="auto"/>
              <w:rPr>
                <w:sz w:val="21"/>
                <w:szCs w:val="21"/>
              </w:rPr>
            </w:pPr>
            <w:r>
              <w:rPr>
                <w:sz w:val="21"/>
                <w:szCs w:val="21"/>
                <w:b/>
                <w:bCs/>
                <w:spacing w:val="-9"/>
              </w:rPr>
              <w:t>(m³/d)</w:t>
            </w:r>
          </w:p>
        </w:tc>
      </w:tr>
      <w:tr>
        <w:trPr>
          <w:trHeight w:val="268" w:hRule="atLeast"/>
        </w:trPr>
        <w:tc>
          <w:tcPr>
            <w:tcW w:w="634" w:type="dxa"/>
            <w:vAlign w:val="top"/>
            <w:vMerge w:val="restart"/>
            <w:tcBorders>
              <w:bottom w:val="nil"/>
            </w:tcBorders>
          </w:tcPr>
          <w:p>
            <w:pPr>
              <w:pStyle w:val="TableText"/>
              <w:ind w:left="94"/>
              <w:spacing w:before="142" w:line="220" w:lineRule="auto"/>
              <w:rPr>
                <w:sz w:val="21"/>
                <w:szCs w:val="21"/>
              </w:rPr>
            </w:pPr>
            <w:r>
              <w:rPr>
                <w:sz w:val="21"/>
                <w:szCs w:val="21"/>
                <w:spacing w:val="-3"/>
              </w:rPr>
              <w:t>生活</w:t>
            </w:r>
          </w:p>
          <w:p>
            <w:pPr>
              <w:pStyle w:val="TableText"/>
              <w:ind w:left="94"/>
              <w:spacing w:before="49" w:line="219" w:lineRule="auto"/>
              <w:rPr>
                <w:sz w:val="21"/>
                <w:szCs w:val="21"/>
              </w:rPr>
            </w:pPr>
            <w:r>
              <w:rPr>
                <w:sz w:val="21"/>
                <w:szCs w:val="21"/>
                <w:spacing w:val="-3"/>
              </w:rPr>
              <w:t>用水</w:t>
            </w:r>
          </w:p>
        </w:tc>
        <w:tc>
          <w:tcPr>
            <w:tcW w:w="1988" w:type="dxa"/>
            <w:vAlign w:val="top"/>
          </w:tcPr>
          <w:p>
            <w:pPr>
              <w:pStyle w:val="TableText"/>
              <w:ind w:left="560"/>
              <w:spacing w:before="31" w:line="199" w:lineRule="auto"/>
              <w:rPr>
                <w:sz w:val="21"/>
                <w:szCs w:val="21"/>
              </w:rPr>
            </w:pPr>
            <w:r>
              <w:rPr>
                <w:sz w:val="21"/>
                <w:szCs w:val="21"/>
                <w:spacing w:val="2"/>
              </w:rPr>
              <w:t>办公用水</w:t>
            </w:r>
          </w:p>
        </w:tc>
        <w:tc>
          <w:tcPr>
            <w:tcW w:w="1228" w:type="dxa"/>
            <w:vAlign w:val="top"/>
          </w:tcPr>
          <w:p>
            <w:pPr>
              <w:pStyle w:val="TableText"/>
              <w:ind w:left="133"/>
              <w:spacing w:before="35" w:line="196" w:lineRule="auto"/>
              <w:rPr>
                <w:sz w:val="21"/>
                <w:szCs w:val="21"/>
              </w:rPr>
            </w:pPr>
            <w:r>
              <w:rPr>
                <w:sz w:val="21"/>
                <w:szCs w:val="21"/>
                <w:spacing w:val="-13"/>
              </w:rPr>
              <w:t>60L/人</w:t>
            </w:r>
            <w:r>
              <w:rPr>
                <w:sz w:val="21"/>
                <w:szCs w:val="21"/>
                <w:spacing w:val="-25"/>
              </w:rPr>
              <w:t xml:space="preserve"> </w:t>
            </w:r>
            <w:r>
              <w:rPr>
                <w:sz w:val="21"/>
                <w:szCs w:val="21"/>
                <w:spacing w:val="-13"/>
              </w:rPr>
              <w:t>·d</w:t>
            </w:r>
          </w:p>
        </w:tc>
        <w:tc>
          <w:tcPr>
            <w:tcW w:w="1528" w:type="dxa"/>
            <w:vAlign w:val="top"/>
          </w:tcPr>
          <w:p>
            <w:pPr>
              <w:pStyle w:val="TableText"/>
              <w:ind w:left="384"/>
              <w:spacing w:before="35" w:line="196" w:lineRule="auto"/>
              <w:rPr>
                <w:sz w:val="21"/>
                <w:szCs w:val="21"/>
              </w:rPr>
            </w:pPr>
            <w:r>
              <w:rPr>
                <w:sz w:val="21"/>
                <w:szCs w:val="21"/>
                <w:spacing w:val="1"/>
              </w:rPr>
              <w:t>200人/d</w:t>
            </w:r>
          </w:p>
        </w:tc>
        <w:tc>
          <w:tcPr>
            <w:tcW w:w="549" w:type="dxa"/>
            <w:vAlign w:val="top"/>
          </w:tcPr>
          <w:p>
            <w:pPr>
              <w:pStyle w:val="TableText"/>
              <w:ind w:left="107"/>
              <w:spacing w:before="52" w:line="181" w:lineRule="auto"/>
              <w:rPr>
                <w:sz w:val="21"/>
                <w:szCs w:val="21"/>
              </w:rPr>
            </w:pPr>
            <w:r>
              <w:rPr>
                <w:sz w:val="21"/>
                <w:szCs w:val="21"/>
                <w:spacing w:val="-3"/>
              </w:rPr>
              <w:t>270</w:t>
            </w:r>
          </w:p>
        </w:tc>
        <w:tc>
          <w:tcPr>
            <w:tcW w:w="949" w:type="dxa"/>
            <w:vAlign w:val="top"/>
          </w:tcPr>
          <w:p>
            <w:pPr>
              <w:pStyle w:val="TableText"/>
              <w:ind w:left="207"/>
              <w:spacing w:before="52" w:line="181" w:lineRule="auto"/>
              <w:rPr>
                <w:sz w:val="21"/>
                <w:szCs w:val="21"/>
              </w:rPr>
            </w:pPr>
            <w:r>
              <w:rPr>
                <w:sz w:val="21"/>
                <w:szCs w:val="21"/>
                <w:spacing w:val="-4"/>
              </w:rPr>
              <w:t>12.00</w:t>
            </w:r>
          </w:p>
        </w:tc>
        <w:tc>
          <w:tcPr>
            <w:tcW w:w="649" w:type="dxa"/>
            <w:vAlign w:val="top"/>
          </w:tcPr>
          <w:p>
            <w:pPr>
              <w:pStyle w:val="TableText"/>
              <w:ind w:left="159"/>
              <w:spacing w:before="52" w:line="181" w:lineRule="auto"/>
              <w:rPr>
                <w:sz w:val="21"/>
                <w:szCs w:val="21"/>
              </w:rPr>
            </w:pPr>
            <w:r>
              <w:rPr>
                <w:sz w:val="21"/>
                <w:szCs w:val="21"/>
                <w:spacing w:val="-3"/>
              </w:rPr>
              <w:t>0.8</w:t>
            </w:r>
          </w:p>
        </w:tc>
        <w:tc>
          <w:tcPr>
            <w:tcW w:w="994" w:type="dxa"/>
            <w:vAlign w:val="top"/>
          </w:tcPr>
          <w:p>
            <w:pPr>
              <w:pStyle w:val="TableText"/>
              <w:ind w:left="279"/>
              <w:spacing w:before="52" w:line="181" w:lineRule="auto"/>
              <w:rPr>
                <w:sz w:val="21"/>
                <w:szCs w:val="21"/>
              </w:rPr>
            </w:pPr>
            <w:r>
              <w:rPr>
                <w:sz w:val="21"/>
                <w:szCs w:val="21"/>
                <w:spacing w:val="-2"/>
              </w:rPr>
              <w:t>9.60</w:t>
            </w:r>
          </w:p>
        </w:tc>
      </w:tr>
      <w:tr>
        <w:trPr>
          <w:trHeight w:val="558" w:hRule="atLeast"/>
        </w:trPr>
        <w:tc>
          <w:tcPr>
            <w:tcW w:w="634" w:type="dxa"/>
            <w:vAlign w:val="top"/>
            <w:vMerge w:val="continue"/>
            <w:tcBorders>
              <w:top w:val="nil"/>
            </w:tcBorders>
          </w:tcPr>
          <w:p>
            <w:pPr>
              <w:rPr>
                <w:rFonts w:ascii="Arial"/>
                <w:sz w:val="21"/>
              </w:rPr>
            </w:pPr>
            <w:r/>
          </w:p>
        </w:tc>
        <w:tc>
          <w:tcPr>
            <w:tcW w:w="1988" w:type="dxa"/>
            <w:vAlign w:val="top"/>
          </w:tcPr>
          <w:p>
            <w:pPr>
              <w:pStyle w:val="TableText"/>
              <w:ind w:left="560"/>
              <w:spacing w:before="183" w:line="219" w:lineRule="auto"/>
              <w:rPr>
                <w:sz w:val="21"/>
                <w:szCs w:val="21"/>
              </w:rPr>
            </w:pPr>
            <w:r>
              <w:rPr>
                <w:sz w:val="21"/>
                <w:szCs w:val="21"/>
                <w:spacing w:val="-2"/>
              </w:rPr>
              <w:t>餐饮用水</w:t>
            </w:r>
          </w:p>
        </w:tc>
        <w:tc>
          <w:tcPr>
            <w:tcW w:w="1228" w:type="dxa"/>
            <w:vAlign w:val="top"/>
          </w:tcPr>
          <w:p>
            <w:pPr>
              <w:pStyle w:val="TableText"/>
              <w:ind w:left="83"/>
              <w:spacing w:before="183" w:line="219" w:lineRule="auto"/>
              <w:rPr>
                <w:sz w:val="21"/>
                <w:szCs w:val="21"/>
              </w:rPr>
            </w:pPr>
            <w:r>
              <w:rPr>
                <w:sz w:val="21"/>
                <w:szCs w:val="21"/>
                <w:spacing w:val="-10"/>
              </w:rPr>
              <w:t>10L/人</w:t>
            </w:r>
            <w:r>
              <w:rPr>
                <w:sz w:val="21"/>
                <w:szCs w:val="21"/>
                <w:spacing w:val="-18"/>
              </w:rPr>
              <w:t xml:space="preserve"> </w:t>
            </w:r>
            <w:r>
              <w:rPr>
                <w:sz w:val="21"/>
                <w:szCs w:val="21"/>
                <w:spacing w:val="-10"/>
              </w:rPr>
              <w:t>·餐</w:t>
            </w:r>
          </w:p>
        </w:tc>
        <w:tc>
          <w:tcPr>
            <w:tcW w:w="1528" w:type="dxa"/>
            <w:vAlign w:val="top"/>
          </w:tcPr>
          <w:p>
            <w:pPr>
              <w:pStyle w:val="TableText"/>
              <w:ind w:left="124" w:right="142" w:firstLine="50"/>
              <w:spacing w:before="42" w:line="222" w:lineRule="auto"/>
              <w:rPr>
                <w:sz w:val="21"/>
                <w:szCs w:val="21"/>
              </w:rPr>
            </w:pPr>
            <w:r>
              <w:rPr>
                <w:sz w:val="21"/>
                <w:szCs w:val="21"/>
                <w:spacing w:val="2"/>
              </w:rPr>
              <w:t>就餐人数200</w:t>
            </w:r>
            <w:r>
              <w:rPr>
                <w:sz w:val="21"/>
                <w:szCs w:val="21"/>
              </w:rPr>
              <w:t xml:space="preserve"> </w:t>
            </w:r>
            <w:r>
              <w:rPr>
                <w:sz w:val="21"/>
                <w:szCs w:val="21"/>
                <w:spacing w:val="-2"/>
              </w:rPr>
              <w:t>人、一日三餐</w:t>
            </w:r>
          </w:p>
        </w:tc>
        <w:tc>
          <w:tcPr>
            <w:tcW w:w="549" w:type="dxa"/>
            <w:vAlign w:val="top"/>
          </w:tcPr>
          <w:p>
            <w:pPr>
              <w:pStyle w:val="TableText"/>
              <w:ind w:left="107"/>
              <w:spacing w:before="203"/>
              <w:rPr>
                <w:sz w:val="21"/>
                <w:szCs w:val="21"/>
              </w:rPr>
            </w:pPr>
            <w:r>
              <w:rPr>
                <w:sz w:val="21"/>
                <w:szCs w:val="21"/>
                <w:spacing w:val="-3"/>
              </w:rPr>
              <w:t>270</w:t>
            </w:r>
          </w:p>
        </w:tc>
        <w:tc>
          <w:tcPr>
            <w:tcW w:w="949" w:type="dxa"/>
            <w:vAlign w:val="top"/>
          </w:tcPr>
          <w:p>
            <w:pPr>
              <w:pStyle w:val="TableText"/>
              <w:ind w:left="257"/>
              <w:spacing w:before="204" w:line="239" w:lineRule="auto"/>
              <w:rPr>
                <w:sz w:val="21"/>
                <w:szCs w:val="21"/>
              </w:rPr>
            </w:pPr>
            <w:r>
              <w:rPr>
                <w:sz w:val="21"/>
                <w:szCs w:val="21"/>
                <w:spacing w:val="-2"/>
              </w:rPr>
              <w:t>6.00</w:t>
            </w:r>
          </w:p>
        </w:tc>
        <w:tc>
          <w:tcPr>
            <w:tcW w:w="649" w:type="dxa"/>
            <w:vAlign w:val="top"/>
          </w:tcPr>
          <w:p>
            <w:pPr>
              <w:pStyle w:val="TableText"/>
              <w:ind w:left="159"/>
              <w:spacing w:before="204" w:line="239" w:lineRule="auto"/>
              <w:rPr>
                <w:sz w:val="21"/>
                <w:szCs w:val="21"/>
              </w:rPr>
            </w:pPr>
            <w:r>
              <w:rPr>
                <w:sz w:val="21"/>
                <w:szCs w:val="21"/>
                <w:spacing w:val="-3"/>
              </w:rPr>
              <w:t>0.8</w:t>
            </w:r>
          </w:p>
        </w:tc>
        <w:tc>
          <w:tcPr>
            <w:tcW w:w="994" w:type="dxa"/>
            <w:vAlign w:val="top"/>
          </w:tcPr>
          <w:p>
            <w:pPr>
              <w:pStyle w:val="TableText"/>
              <w:ind w:left="279"/>
              <w:spacing w:before="204" w:line="239" w:lineRule="auto"/>
              <w:rPr>
                <w:sz w:val="21"/>
                <w:szCs w:val="21"/>
              </w:rPr>
            </w:pPr>
            <w:r>
              <w:rPr>
                <w:sz w:val="21"/>
                <w:szCs w:val="21"/>
                <w:spacing w:val="-2"/>
              </w:rPr>
              <w:t>4.80</w:t>
            </w:r>
          </w:p>
        </w:tc>
      </w:tr>
      <w:tr>
        <w:trPr>
          <w:trHeight w:val="538" w:hRule="atLeast"/>
        </w:trPr>
        <w:tc>
          <w:tcPr>
            <w:tcW w:w="634" w:type="dxa"/>
            <w:vAlign w:val="top"/>
            <w:vMerge w:val="restart"/>
            <w:tcBorders>
              <w:bottom w:val="nil"/>
            </w:tcBorders>
          </w:tcPr>
          <w:p>
            <w:pPr>
              <w:pStyle w:val="TableText"/>
              <w:ind w:left="94" w:right="95"/>
              <w:spacing w:before="294" w:line="231" w:lineRule="auto"/>
              <w:rPr>
                <w:sz w:val="21"/>
                <w:szCs w:val="21"/>
              </w:rPr>
            </w:pPr>
            <w:r>
              <w:rPr>
                <w:sz w:val="21"/>
                <w:szCs w:val="21"/>
                <w:spacing w:val="6"/>
              </w:rPr>
              <w:t>生产</w:t>
            </w:r>
            <w:r>
              <w:rPr>
                <w:sz w:val="21"/>
                <w:szCs w:val="21"/>
              </w:rPr>
              <w:t xml:space="preserve"> </w:t>
            </w:r>
            <w:r>
              <w:rPr>
                <w:sz w:val="21"/>
                <w:szCs w:val="21"/>
                <w:spacing w:val="-3"/>
              </w:rPr>
              <w:t>用水</w:t>
            </w:r>
          </w:p>
        </w:tc>
        <w:tc>
          <w:tcPr>
            <w:tcW w:w="1988" w:type="dxa"/>
            <w:vAlign w:val="top"/>
          </w:tcPr>
          <w:p>
            <w:pPr>
              <w:pStyle w:val="TableText"/>
              <w:ind w:left="350"/>
              <w:spacing w:before="175" w:line="219" w:lineRule="auto"/>
              <w:rPr>
                <w:sz w:val="21"/>
                <w:szCs w:val="21"/>
              </w:rPr>
            </w:pPr>
            <w:r>
              <w:rPr>
                <w:sz w:val="21"/>
                <w:szCs w:val="21"/>
                <w:spacing w:val="-2"/>
              </w:rPr>
              <w:t>生猪屠宰用水</w:t>
            </w:r>
          </w:p>
        </w:tc>
        <w:tc>
          <w:tcPr>
            <w:tcW w:w="1228" w:type="dxa"/>
            <w:vAlign w:val="top"/>
          </w:tcPr>
          <w:p>
            <w:pPr>
              <w:pStyle w:val="TableText"/>
              <w:ind w:left="133" w:right="149" w:firstLine="49"/>
              <w:spacing w:before="25" w:line="221" w:lineRule="auto"/>
              <w:rPr>
                <w:sz w:val="21"/>
                <w:szCs w:val="21"/>
              </w:rPr>
            </w:pPr>
            <w:r>
              <w:rPr>
                <w:sz w:val="21"/>
                <w:szCs w:val="21"/>
                <w:spacing w:val="-3"/>
              </w:rPr>
              <w:t>产污系数</w:t>
            </w:r>
            <w:r>
              <w:rPr>
                <w:sz w:val="21"/>
                <w:szCs w:val="21"/>
                <w:spacing w:val="2"/>
              </w:rPr>
              <w:t xml:space="preserve"> </w:t>
            </w:r>
            <w:r>
              <w:rPr>
                <w:sz w:val="21"/>
                <w:szCs w:val="21"/>
                <w:spacing w:val="-2"/>
              </w:rPr>
              <w:t>0.535t/头</w:t>
            </w:r>
          </w:p>
        </w:tc>
        <w:tc>
          <w:tcPr>
            <w:tcW w:w="1528" w:type="dxa"/>
            <w:vAlign w:val="top"/>
          </w:tcPr>
          <w:p>
            <w:pPr>
              <w:pStyle w:val="TableText"/>
              <w:ind w:left="334"/>
              <w:spacing w:before="175" w:line="219" w:lineRule="auto"/>
              <w:rPr>
                <w:sz w:val="21"/>
                <w:szCs w:val="21"/>
              </w:rPr>
            </w:pPr>
            <w:r>
              <w:rPr>
                <w:sz w:val="21"/>
                <w:szCs w:val="21"/>
              </w:rPr>
              <w:t>1000头/d</w:t>
            </w:r>
          </w:p>
        </w:tc>
        <w:tc>
          <w:tcPr>
            <w:tcW w:w="549" w:type="dxa"/>
            <w:vAlign w:val="top"/>
          </w:tcPr>
          <w:p>
            <w:pPr>
              <w:pStyle w:val="TableText"/>
              <w:ind w:left="107"/>
              <w:spacing w:before="196"/>
              <w:rPr>
                <w:sz w:val="21"/>
                <w:szCs w:val="21"/>
              </w:rPr>
            </w:pPr>
            <w:r>
              <w:rPr>
                <w:sz w:val="21"/>
                <w:szCs w:val="21"/>
                <w:spacing w:val="-3"/>
              </w:rPr>
              <w:t>270</w:t>
            </w:r>
          </w:p>
        </w:tc>
        <w:tc>
          <w:tcPr>
            <w:tcW w:w="949" w:type="dxa"/>
            <w:vAlign w:val="top"/>
          </w:tcPr>
          <w:p>
            <w:pPr>
              <w:pStyle w:val="TableText"/>
              <w:ind w:left="157"/>
              <w:spacing w:before="196" w:line="239" w:lineRule="auto"/>
              <w:rPr>
                <w:sz w:val="21"/>
                <w:szCs w:val="21"/>
              </w:rPr>
            </w:pPr>
            <w:r>
              <w:rPr>
                <w:sz w:val="21"/>
                <w:szCs w:val="21"/>
                <w:spacing w:val="-2"/>
              </w:rPr>
              <w:t>629.41</w:t>
            </w:r>
          </w:p>
        </w:tc>
        <w:tc>
          <w:tcPr>
            <w:tcW w:w="649" w:type="dxa"/>
            <w:vAlign w:val="top"/>
          </w:tcPr>
          <w:p>
            <w:pPr>
              <w:pStyle w:val="TableText"/>
              <w:ind w:left="108"/>
              <w:spacing w:before="196" w:line="239" w:lineRule="auto"/>
              <w:rPr>
                <w:sz w:val="21"/>
                <w:szCs w:val="21"/>
              </w:rPr>
            </w:pPr>
            <w:r>
              <w:rPr>
                <w:sz w:val="21"/>
                <w:szCs w:val="21"/>
                <w:spacing w:val="-2"/>
              </w:rPr>
              <w:t>0.85</w:t>
            </w:r>
          </w:p>
        </w:tc>
        <w:tc>
          <w:tcPr>
            <w:tcW w:w="994" w:type="dxa"/>
            <w:vAlign w:val="top"/>
          </w:tcPr>
          <w:p>
            <w:pPr>
              <w:pStyle w:val="TableText"/>
              <w:ind w:left="330"/>
              <w:spacing w:before="196"/>
              <w:rPr>
                <w:sz w:val="21"/>
                <w:szCs w:val="21"/>
              </w:rPr>
            </w:pPr>
            <w:r>
              <w:rPr>
                <w:sz w:val="21"/>
                <w:szCs w:val="21"/>
                <w:spacing w:val="-3"/>
              </w:rPr>
              <w:t>535</w:t>
            </w:r>
          </w:p>
        </w:tc>
      </w:tr>
      <w:tr>
        <w:trPr>
          <w:trHeight w:val="543" w:hRule="atLeast"/>
        </w:trPr>
        <w:tc>
          <w:tcPr>
            <w:tcW w:w="634" w:type="dxa"/>
            <w:vAlign w:val="top"/>
            <w:vMerge w:val="continue"/>
            <w:tcBorders>
              <w:top w:val="nil"/>
            </w:tcBorders>
          </w:tcPr>
          <w:p>
            <w:pPr>
              <w:rPr>
                <w:rFonts w:ascii="Arial"/>
                <w:sz w:val="21"/>
              </w:rPr>
            </w:pPr>
            <w:r/>
          </w:p>
        </w:tc>
        <w:tc>
          <w:tcPr>
            <w:tcW w:w="1988" w:type="dxa"/>
            <w:vAlign w:val="top"/>
          </w:tcPr>
          <w:p>
            <w:pPr>
              <w:pStyle w:val="TableText"/>
              <w:ind w:left="350"/>
              <w:spacing w:before="177" w:line="219" w:lineRule="auto"/>
              <w:rPr>
                <w:sz w:val="21"/>
                <w:szCs w:val="21"/>
              </w:rPr>
            </w:pPr>
            <w:r>
              <w:rPr>
                <w:sz w:val="21"/>
                <w:szCs w:val="21"/>
                <w:spacing w:val="1"/>
              </w:rPr>
              <w:t>肉牛屠宰用水</w:t>
            </w:r>
          </w:p>
        </w:tc>
        <w:tc>
          <w:tcPr>
            <w:tcW w:w="1228" w:type="dxa"/>
            <w:vAlign w:val="top"/>
          </w:tcPr>
          <w:p>
            <w:pPr>
              <w:pStyle w:val="TableText"/>
              <w:ind w:left="133" w:right="149" w:firstLine="49"/>
              <w:spacing w:before="37" w:line="218" w:lineRule="auto"/>
              <w:rPr>
                <w:sz w:val="21"/>
                <w:szCs w:val="21"/>
              </w:rPr>
            </w:pPr>
            <w:r>
              <w:rPr>
                <w:sz w:val="21"/>
                <w:szCs w:val="21"/>
                <w:spacing w:val="-3"/>
              </w:rPr>
              <w:t>产污系数</w:t>
            </w:r>
            <w:r>
              <w:rPr>
                <w:sz w:val="21"/>
                <w:szCs w:val="21"/>
                <w:spacing w:val="2"/>
              </w:rPr>
              <w:t xml:space="preserve"> </w:t>
            </w:r>
            <w:r>
              <w:rPr>
                <w:sz w:val="21"/>
                <w:szCs w:val="21"/>
                <w:spacing w:val="-2"/>
              </w:rPr>
              <w:t>0.941t/头</w:t>
            </w:r>
          </w:p>
        </w:tc>
        <w:tc>
          <w:tcPr>
            <w:tcW w:w="1528" w:type="dxa"/>
            <w:vAlign w:val="top"/>
          </w:tcPr>
          <w:p>
            <w:pPr>
              <w:pStyle w:val="TableText"/>
              <w:ind w:left="384"/>
              <w:spacing w:before="177" w:line="219" w:lineRule="auto"/>
              <w:rPr>
                <w:sz w:val="21"/>
                <w:szCs w:val="21"/>
              </w:rPr>
            </w:pPr>
            <w:r>
              <w:rPr>
                <w:sz w:val="21"/>
                <w:szCs w:val="21"/>
                <w:spacing w:val="1"/>
              </w:rPr>
              <w:t>100头/d</w:t>
            </w:r>
          </w:p>
        </w:tc>
        <w:tc>
          <w:tcPr>
            <w:tcW w:w="549" w:type="dxa"/>
            <w:vAlign w:val="top"/>
          </w:tcPr>
          <w:p>
            <w:pPr>
              <w:pStyle w:val="TableText"/>
              <w:ind w:left="107"/>
              <w:spacing w:before="198"/>
              <w:rPr>
                <w:sz w:val="21"/>
                <w:szCs w:val="21"/>
              </w:rPr>
            </w:pPr>
            <w:r>
              <w:rPr>
                <w:sz w:val="21"/>
                <w:szCs w:val="21"/>
                <w:spacing w:val="-3"/>
              </w:rPr>
              <w:t>270</w:t>
            </w:r>
          </w:p>
        </w:tc>
        <w:tc>
          <w:tcPr>
            <w:tcW w:w="949" w:type="dxa"/>
            <w:vAlign w:val="top"/>
          </w:tcPr>
          <w:p>
            <w:pPr>
              <w:pStyle w:val="TableText"/>
              <w:ind w:left="157"/>
              <w:spacing w:before="198" w:line="239" w:lineRule="auto"/>
              <w:rPr>
                <w:sz w:val="21"/>
                <w:szCs w:val="21"/>
              </w:rPr>
            </w:pPr>
            <w:r>
              <w:rPr>
                <w:sz w:val="21"/>
                <w:szCs w:val="21"/>
                <w:spacing w:val="-4"/>
              </w:rPr>
              <w:t>110.71</w:t>
            </w:r>
          </w:p>
        </w:tc>
        <w:tc>
          <w:tcPr>
            <w:tcW w:w="649" w:type="dxa"/>
            <w:vAlign w:val="top"/>
          </w:tcPr>
          <w:p>
            <w:pPr>
              <w:pStyle w:val="TableText"/>
              <w:ind w:left="108"/>
              <w:spacing w:before="198" w:line="239" w:lineRule="auto"/>
              <w:rPr>
                <w:sz w:val="21"/>
                <w:szCs w:val="21"/>
              </w:rPr>
            </w:pPr>
            <w:r>
              <w:rPr>
                <w:sz w:val="21"/>
                <w:szCs w:val="21"/>
                <w:spacing w:val="-2"/>
              </w:rPr>
              <w:t>0.85</w:t>
            </w:r>
          </w:p>
        </w:tc>
        <w:tc>
          <w:tcPr>
            <w:tcW w:w="994" w:type="dxa"/>
            <w:vAlign w:val="top"/>
          </w:tcPr>
          <w:p>
            <w:pPr>
              <w:pStyle w:val="TableText"/>
              <w:ind w:left="279"/>
              <w:spacing w:before="198" w:line="239" w:lineRule="auto"/>
              <w:rPr>
                <w:sz w:val="21"/>
                <w:szCs w:val="21"/>
              </w:rPr>
            </w:pPr>
            <w:r>
              <w:rPr>
                <w:sz w:val="21"/>
                <w:szCs w:val="21"/>
                <w:spacing w:val="-2"/>
              </w:rPr>
              <w:t>94.1</w:t>
            </w:r>
          </w:p>
        </w:tc>
      </w:tr>
    </w:tbl>
    <w:p>
      <w:pPr>
        <w:pStyle w:val="BodyText"/>
        <w:rPr/>
      </w:pPr>
      <w:r/>
    </w:p>
    <w:p>
      <w:pPr>
        <w:sectPr>
          <w:headerReference w:type="default" r:id="rId270"/>
          <w:footerReference w:type="default" r:id="rId271"/>
          <w:pgSz w:w="11910" w:h="16840"/>
          <w:pgMar w:top="1167" w:right="1705" w:bottom="922" w:left="1675" w:header="874" w:footer="751" w:gutter="0"/>
        </w:sectPr>
        <w:rPr/>
      </w:pPr>
    </w:p>
    <w:p>
      <w:pPr>
        <w:spacing w:line="237" w:lineRule="exact"/>
        <w:rPr/>
      </w:pPr>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34"/>
        <w:gridCol w:w="1988"/>
        <w:gridCol w:w="1218"/>
        <w:gridCol w:w="1528"/>
        <w:gridCol w:w="549"/>
        <w:gridCol w:w="949"/>
        <w:gridCol w:w="649"/>
        <w:gridCol w:w="994"/>
      </w:tblGrid>
      <w:tr>
        <w:trPr>
          <w:trHeight w:val="284" w:hRule="atLeast"/>
        </w:trPr>
        <w:tc>
          <w:tcPr>
            <w:tcW w:w="634" w:type="dxa"/>
            <w:vAlign w:val="top"/>
            <w:vMerge w:val="restart"/>
            <w:tcBorders>
              <w:bottom w:val="nil"/>
            </w:tcBorders>
          </w:tcPr>
          <w:p>
            <w:pPr>
              <w:rPr>
                <w:rFonts w:ascii="Arial"/>
                <w:sz w:val="21"/>
              </w:rPr>
            </w:pPr>
            <w:r/>
          </w:p>
        </w:tc>
        <w:tc>
          <w:tcPr>
            <w:tcW w:w="1988" w:type="dxa"/>
            <w:vAlign w:val="top"/>
          </w:tcPr>
          <w:p>
            <w:pPr>
              <w:pStyle w:val="TableText"/>
              <w:ind w:left="380"/>
              <w:spacing w:before="43" w:line="213" w:lineRule="auto"/>
              <w:rPr>
                <w:sz w:val="20"/>
                <w:szCs w:val="20"/>
              </w:rPr>
            </w:pPr>
            <w:r>
              <w:rPr>
                <w:sz w:val="20"/>
                <w:szCs w:val="20"/>
                <w:spacing w:val="-2"/>
              </w:rPr>
              <w:t>车辆冲洗用水</w:t>
            </w:r>
          </w:p>
        </w:tc>
        <w:tc>
          <w:tcPr>
            <w:tcW w:w="1218" w:type="dxa"/>
            <w:vAlign w:val="top"/>
          </w:tcPr>
          <w:p>
            <w:pPr>
              <w:pStyle w:val="TableText"/>
              <w:ind w:left="12"/>
              <w:spacing w:before="43" w:line="213" w:lineRule="auto"/>
              <w:rPr>
                <w:sz w:val="20"/>
                <w:szCs w:val="20"/>
              </w:rPr>
            </w:pPr>
            <w:r>
              <w:rPr>
                <w:sz w:val="20"/>
                <w:szCs w:val="20"/>
                <w:spacing w:val="-10"/>
              </w:rPr>
              <w:t>0.1m³/辆</w:t>
            </w:r>
            <w:r>
              <w:rPr>
                <w:sz w:val="20"/>
                <w:szCs w:val="20"/>
                <w:spacing w:val="-21"/>
              </w:rPr>
              <w:t xml:space="preserve"> </w:t>
            </w:r>
            <w:r>
              <w:rPr>
                <w:sz w:val="20"/>
                <w:szCs w:val="20"/>
                <w:spacing w:val="-10"/>
              </w:rPr>
              <w:t>·次</w:t>
            </w:r>
          </w:p>
        </w:tc>
        <w:tc>
          <w:tcPr>
            <w:tcW w:w="1528" w:type="dxa"/>
            <w:vAlign w:val="top"/>
          </w:tcPr>
          <w:p>
            <w:pPr>
              <w:pStyle w:val="TableText"/>
              <w:ind w:left="454"/>
              <w:spacing w:before="43" w:line="213" w:lineRule="auto"/>
              <w:rPr>
                <w:sz w:val="20"/>
                <w:szCs w:val="20"/>
              </w:rPr>
            </w:pPr>
            <w:r>
              <w:rPr>
                <w:sz w:val="20"/>
                <w:szCs w:val="20"/>
                <w:spacing w:val="-2"/>
              </w:rPr>
              <w:t>30辆/d</w:t>
            </w:r>
          </w:p>
        </w:tc>
        <w:tc>
          <w:tcPr>
            <w:tcW w:w="549" w:type="dxa"/>
            <w:vAlign w:val="top"/>
          </w:tcPr>
          <w:p>
            <w:pPr>
              <w:pStyle w:val="TableText"/>
              <w:ind w:left="117"/>
              <w:spacing w:before="63" w:line="194" w:lineRule="auto"/>
              <w:rPr>
                <w:sz w:val="20"/>
                <w:szCs w:val="20"/>
              </w:rPr>
            </w:pPr>
            <w:r>
              <w:rPr>
                <w:sz w:val="20"/>
                <w:szCs w:val="20"/>
                <w:spacing w:val="-3"/>
              </w:rPr>
              <w:t>270</w:t>
            </w:r>
          </w:p>
        </w:tc>
        <w:tc>
          <w:tcPr>
            <w:tcW w:w="949" w:type="dxa"/>
            <w:vAlign w:val="top"/>
          </w:tcPr>
          <w:p>
            <w:pPr>
              <w:pStyle w:val="TableText"/>
              <w:ind w:left="267"/>
              <w:spacing w:before="63" w:line="194" w:lineRule="auto"/>
              <w:rPr>
                <w:sz w:val="20"/>
                <w:szCs w:val="20"/>
              </w:rPr>
            </w:pPr>
            <w:r>
              <w:rPr>
                <w:sz w:val="20"/>
                <w:szCs w:val="20"/>
                <w:spacing w:val="-2"/>
              </w:rPr>
              <w:t>6.00</w:t>
            </w:r>
          </w:p>
        </w:tc>
        <w:tc>
          <w:tcPr>
            <w:tcW w:w="649" w:type="dxa"/>
            <w:vAlign w:val="top"/>
          </w:tcPr>
          <w:p>
            <w:pPr>
              <w:pStyle w:val="TableText"/>
              <w:ind w:left="169"/>
              <w:spacing w:before="63" w:line="194" w:lineRule="auto"/>
              <w:rPr>
                <w:sz w:val="20"/>
                <w:szCs w:val="20"/>
              </w:rPr>
            </w:pPr>
            <w:r>
              <w:rPr>
                <w:sz w:val="20"/>
                <w:szCs w:val="20"/>
                <w:spacing w:val="-3"/>
              </w:rPr>
              <w:t>0.8</w:t>
            </w:r>
          </w:p>
        </w:tc>
        <w:tc>
          <w:tcPr>
            <w:tcW w:w="994" w:type="dxa"/>
            <w:vAlign w:val="top"/>
          </w:tcPr>
          <w:p>
            <w:pPr>
              <w:pStyle w:val="TableText"/>
              <w:ind w:left="289"/>
              <w:spacing w:before="63" w:line="194" w:lineRule="auto"/>
              <w:rPr>
                <w:sz w:val="20"/>
                <w:szCs w:val="20"/>
              </w:rPr>
            </w:pPr>
            <w:r>
              <w:rPr>
                <w:sz w:val="20"/>
                <w:szCs w:val="20"/>
                <w:spacing w:val="-2"/>
              </w:rPr>
              <w:t>4.80</w:t>
            </w:r>
          </w:p>
        </w:tc>
      </w:tr>
      <w:tr>
        <w:trPr>
          <w:trHeight w:val="259" w:hRule="atLeast"/>
        </w:trPr>
        <w:tc>
          <w:tcPr>
            <w:tcW w:w="634" w:type="dxa"/>
            <w:vAlign w:val="top"/>
            <w:vMerge w:val="continue"/>
            <w:tcBorders>
              <w:top w:val="nil"/>
              <w:bottom w:val="nil"/>
            </w:tcBorders>
          </w:tcPr>
          <w:p>
            <w:pPr>
              <w:rPr>
                <w:rFonts w:ascii="Arial"/>
                <w:sz w:val="21"/>
              </w:rPr>
            </w:pPr>
            <w:r/>
          </w:p>
        </w:tc>
        <w:tc>
          <w:tcPr>
            <w:tcW w:w="1988" w:type="dxa"/>
            <w:vAlign w:val="top"/>
          </w:tcPr>
          <w:p>
            <w:pPr>
              <w:pStyle w:val="TableText"/>
              <w:ind w:left="580"/>
              <w:spacing w:before="29" w:line="203" w:lineRule="auto"/>
              <w:rPr>
                <w:sz w:val="20"/>
                <w:szCs w:val="20"/>
              </w:rPr>
            </w:pPr>
            <w:r>
              <w:rPr>
                <w:sz w:val="20"/>
                <w:szCs w:val="20"/>
                <w:spacing w:val="2"/>
              </w:rPr>
              <w:t>消毒用水</w:t>
            </w:r>
          </w:p>
        </w:tc>
        <w:tc>
          <w:tcPr>
            <w:tcW w:w="1218" w:type="dxa"/>
            <w:vAlign w:val="top"/>
          </w:tcPr>
          <w:p>
            <w:pPr>
              <w:pStyle w:val="TableText"/>
              <w:ind w:left="12"/>
              <w:spacing w:before="32" w:line="200" w:lineRule="auto"/>
              <w:rPr>
                <w:sz w:val="20"/>
                <w:szCs w:val="20"/>
              </w:rPr>
            </w:pPr>
            <w:r>
              <w:rPr>
                <w:sz w:val="20"/>
                <w:szCs w:val="20"/>
                <w:spacing w:val="-9"/>
              </w:rPr>
              <w:t>0.05m³/人</w:t>
            </w:r>
            <w:r>
              <w:rPr>
                <w:sz w:val="20"/>
                <w:szCs w:val="20"/>
                <w:spacing w:val="-21"/>
              </w:rPr>
              <w:t xml:space="preserve"> </w:t>
            </w:r>
            <w:r>
              <w:rPr>
                <w:sz w:val="20"/>
                <w:szCs w:val="20"/>
                <w:spacing w:val="-9"/>
              </w:rPr>
              <w:t>·d</w:t>
            </w:r>
          </w:p>
        </w:tc>
        <w:tc>
          <w:tcPr>
            <w:tcW w:w="1528" w:type="dxa"/>
            <w:vAlign w:val="top"/>
          </w:tcPr>
          <w:p>
            <w:pPr>
              <w:pStyle w:val="TableText"/>
              <w:ind w:left="404"/>
              <w:spacing w:before="32" w:line="200" w:lineRule="auto"/>
              <w:rPr>
                <w:sz w:val="20"/>
                <w:szCs w:val="20"/>
              </w:rPr>
            </w:pPr>
            <w:r>
              <w:rPr>
                <w:sz w:val="20"/>
                <w:szCs w:val="20"/>
              </w:rPr>
              <w:t>120人/d</w:t>
            </w:r>
          </w:p>
        </w:tc>
        <w:tc>
          <w:tcPr>
            <w:tcW w:w="549" w:type="dxa"/>
            <w:vAlign w:val="top"/>
          </w:tcPr>
          <w:p>
            <w:pPr>
              <w:pStyle w:val="TableText"/>
              <w:ind w:left="117"/>
              <w:spacing w:before="49" w:line="184" w:lineRule="auto"/>
              <w:rPr>
                <w:sz w:val="20"/>
                <w:szCs w:val="20"/>
              </w:rPr>
            </w:pPr>
            <w:r>
              <w:rPr>
                <w:sz w:val="20"/>
                <w:szCs w:val="20"/>
                <w:spacing w:val="-3"/>
              </w:rPr>
              <w:t>270</w:t>
            </w:r>
          </w:p>
        </w:tc>
        <w:tc>
          <w:tcPr>
            <w:tcW w:w="949" w:type="dxa"/>
            <w:vAlign w:val="top"/>
          </w:tcPr>
          <w:p>
            <w:pPr>
              <w:pStyle w:val="TableText"/>
              <w:ind w:left="267"/>
              <w:spacing w:before="49" w:line="184" w:lineRule="auto"/>
              <w:rPr>
                <w:sz w:val="20"/>
                <w:szCs w:val="20"/>
              </w:rPr>
            </w:pPr>
            <w:r>
              <w:rPr>
                <w:sz w:val="20"/>
                <w:szCs w:val="20"/>
                <w:spacing w:val="-2"/>
              </w:rPr>
              <w:t>6.00</w:t>
            </w:r>
          </w:p>
        </w:tc>
        <w:tc>
          <w:tcPr>
            <w:tcW w:w="649" w:type="dxa"/>
            <w:vAlign w:val="top"/>
          </w:tcPr>
          <w:p>
            <w:pPr>
              <w:pStyle w:val="TableText"/>
              <w:ind w:left="268"/>
              <w:spacing w:before="49" w:line="184" w:lineRule="auto"/>
              <w:rPr>
                <w:sz w:val="20"/>
                <w:szCs w:val="20"/>
              </w:rPr>
            </w:pPr>
            <w:r>
              <w:rPr>
                <w:sz w:val="20"/>
                <w:szCs w:val="20"/>
              </w:rPr>
              <w:t>0</w:t>
            </w:r>
          </w:p>
        </w:tc>
        <w:tc>
          <w:tcPr>
            <w:tcW w:w="994" w:type="dxa"/>
            <w:vAlign w:val="top"/>
          </w:tcPr>
          <w:p>
            <w:pPr>
              <w:pStyle w:val="TableText"/>
              <w:ind w:left="289"/>
              <w:spacing w:before="49" w:line="184" w:lineRule="auto"/>
              <w:rPr>
                <w:sz w:val="20"/>
                <w:szCs w:val="20"/>
              </w:rPr>
            </w:pPr>
            <w:r>
              <w:rPr>
                <w:sz w:val="20"/>
                <w:szCs w:val="20"/>
                <w:spacing w:val="-2"/>
              </w:rPr>
              <w:t>0.00</w:t>
            </w:r>
          </w:p>
        </w:tc>
      </w:tr>
      <w:tr>
        <w:trPr>
          <w:trHeight w:val="279" w:hRule="atLeast"/>
        </w:trPr>
        <w:tc>
          <w:tcPr>
            <w:tcW w:w="634" w:type="dxa"/>
            <w:vAlign w:val="top"/>
            <w:vMerge w:val="continue"/>
            <w:tcBorders>
              <w:top w:val="nil"/>
              <w:bottom w:val="nil"/>
            </w:tcBorders>
          </w:tcPr>
          <w:p>
            <w:pPr>
              <w:rPr>
                <w:rFonts w:ascii="Arial"/>
                <w:sz w:val="21"/>
              </w:rPr>
            </w:pPr>
            <w:r/>
          </w:p>
        </w:tc>
        <w:tc>
          <w:tcPr>
            <w:tcW w:w="1988" w:type="dxa"/>
            <w:vAlign w:val="top"/>
          </w:tcPr>
          <w:p>
            <w:pPr>
              <w:pStyle w:val="TableText"/>
              <w:ind w:left="181"/>
              <w:spacing w:before="40" w:line="211" w:lineRule="auto"/>
              <w:rPr>
                <w:sz w:val="20"/>
                <w:szCs w:val="20"/>
              </w:rPr>
            </w:pPr>
            <w:r>
              <w:rPr>
                <w:sz w:val="20"/>
                <w:szCs w:val="20"/>
                <w:spacing w:val="-2"/>
              </w:rPr>
              <w:t>冷却系统补充用水</w:t>
            </w:r>
          </w:p>
        </w:tc>
        <w:tc>
          <w:tcPr>
            <w:tcW w:w="1218" w:type="dxa"/>
            <w:vAlign w:val="top"/>
          </w:tcPr>
          <w:p>
            <w:pPr>
              <w:pStyle w:val="TableText"/>
              <w:ind w:left="552"/>
              <w:spacing w:before="45" w:line="206" w:lineRule="auto"/>
              <w:rPr>
                <w:sz w:val="20"/>
                <w:szCs w:val="20"/>
              </w:rPr>
            </w:pPr>
            <w:r>
              <w:rPr>
                <w:sz w:val="20"/>
                <w:szCs w:val="20"/>
              </w:rPr>
              <w:t>/</w:t>
            </w:r>
          </w:p>
        </w:tc>
        <w:tc>
          <w:tcPr>
            <w:tcW w:w="1528" w:type="dxa"/>
            <w:vAlign w:val="top"/>
            <w:textDirection w:val="tbRlV"/>
          </w:tcPr>
          <w:p>
            <w:pPr>
              <w:spacing w:line="317" w:lineRule="auto"/>
              <w:rPr>
                <w:rFonts w:ascii="Arial"/>
                <w:sz w:val="21"/>
              </w:rPr>
            </w:pPr>
            <w:r/>
          </w:p>
          <w:p>
            <w:pPr>
              <w:spacing w:line="317" w:lineRule="auto"/>
              <w:rPr>
                <w:rFonts w:ascii="Arial"/>
                <w:sz w:val="21"/>
              </w:rPr>
            </w:pPr>
            <w:r/>
          </w:p>
          <w:p>
            <w:pPr>
              <w:pStyle w:val="TableText"/>
              <w:ind w:left="13"/>
              <w:spacing w:before="67" w:line="130" w:lineRule="exact"/>
              <w:rPr>
                <w:sz w:val="20"/>
                <w:szCs w:val="20"/>
              </w:rPr>
            </w:pPr>
            <w:r>
              <w:rPr>
                <w:sz w:val="20"/>
                <w:szCs w:val="20"/>
                <w:color w:val="303040"/>
                <w:spacing w:val="50"/>
                <w:w w:val="140"/>
                <w:position w:val="-1"/>
              </w:rPr>
              <w:t>/</w:t>
            </w:r>
          </w:p>
        </w:tc>
        <w:tc>
          <w:tcPr>
            <w:tcW w:w="549" w:type="dxa"/>
            <w:vAlign w:val="top"/>
          </w:tcPr>
          <w:p>
            <w:pPr>
              <w:pStyle w:val="TableText"/>
              <w:ind w:left="117"/>
              <w:spacing w:before="59" w:line="193" w:lineRule="auto"/>
              <w:rPr>
                <w:sz w:val="20"/>
                <w:szCs w:val="20"/>
              </w:rPr>
            </w:pPr>
            <w:r>
              <w:rPr>
                <w:sz w:val="20"/>
                <w:szCs w:val="20"/>
                <w:spacing w:val="-3"/>
              </w:rPr>
              <w:t>270</w:t>
            </w:r>
          </w:p>
        </w:tc>
        <w:tc>
          <w:tcPr>
            <w:tcW w:w="949" w:type="dxa"/>
            <w:vAlign w:val="top"/>
          </w:tcPr>
          <w:p>
            <w:pPr>
              <w:pStyle w:val="TableText"/>
              <w:ind w:left="217"/>
              <w:spacing w:before="59" w:line="193" w:lineRule="auto"/>
              <w:rPr>
                <w:sz w:val="20"/>
                <w:szCs w:val="20"/>
              </w:rPr>
            </w:pPr>
            <w:r>
              <w:rPr>
                <w:sz w:val="20"/>
                <w:szCs w:val="20"/>
                <w:spacing w:val="-4"/>
              </w:rPr>
              <w:t>18.00</w:t>
            </w:r>
          </w:p>
        </w:tc>
        <w:tc>
          <w:tcPr>
            <w:tcW w:w="649" w:type="dxa"/>
            <w:vAlign w:val="top"/>
          </w:tcPr>
          <w:p>
            <w:pPr>
              <w:pStyle w:val="TableText"/>
              <w:ind w:left="268"/>
              <w:spacing w:before="45" w:line="206" w:lineRule="auto"/>
              <w:rPr>
                <w:sz w:val="20"/>
                <w:szCs w:val="20"/>
              </w:rPr>
            </w:pPr>
            <w:r>
              <w:rPr>
                <w:sz w:val="20"/>
                <w:szCs w:val="20"/>
              </w:rPr>
              <w:t>/</w:t>
            </w:r>
          </w:p>
        </w:tc>
        <w:tc>
          <w:tcPr>
            <w:tcW w:w="994" w:type="dxa"/>
            <w:vAlign w:val="top"/>
          </w:tcPr>
          <w:p>
            <w:pPr>
              <w:pStyle w:val="TableText"/>
              <w:ind w:left="239"/>
              <w:spacing w:before="59" w:line="193" w:lineRule="auto"/>
              <w:rPr>
                <w:sz w:val="20"/>
                <w:szCs w:val="20"/>
              </w:rPr>
            </w:pPr>
            <w:r>
              <w:rPr>
                <w:sz w:val="20"/>
                <w:szCs w:val="20"/>
                <w:spacing w:val="-4"/>
              </w:rPr>
              <w:t>12.00</w:t>
            </w:r>
          </w:p>
        </w:tc>
      </w:tr>
      <w:tr>
        <w:trPr>
          <w:trHeight w:val="269" w:hRule="atLeast"/>
        </w:trPr>
        <w:tc>
          <w:tcPr>
            <w:tcW w:w="634" w:type="dxa"/>
            <w:vAlign w:val="top"/>
            <w:vMerge w:val="continue"/>
            <w:tcBorders>
              <w:top w:val="nil"/>
              <w:bottom w:val="nil"/>
            </w:tcBorders>
          </w:tcPr>
          <w:p>
            <w:pPr>
              <w:rPr>
                <w:rFonts w:ascii="Arial"/>
                <w:sz w:val="21"/>
              </w:rPr>
            </w:pPr>
            <w:r/>
          </w:p>
        </w:tc>
        <w:tc>
          <w:tcPr>
            <w:tcW w:w="1988" w:type="dxa"/>
            <w:vAlign w:val="top"/>
          </w:tcPr>
          <w:p>
            <w:pPr>
              <w:pStyle w:val="TableText"/>
              <w:ind w:left="481"/>
              <w:spacing w:before="40" w:line="202" w:lineRule="auto"/>
              <w:rPr>
                <w:sz w:val="20"/>
                <w:szCs w:val="20"/>
              </w:rPr>
            </w:pPr>
            <w:r>
              <w:rPr>
                <w:sz w:val="20"/>
                <w:szCs w:val="20"/>
                <w:spacing w:val="1"/>
              </w:rPr>
              <w:t>喷淋塔用水</w:t>
            </w:r>
          </w:p>
        </w:tc>
        <w:tc>
          <w:tcPr>
            <w:tcW w:w="1218" w:type="dxa"/>
            <w:vAlign w:val="top"/>
          </w:tcPr>
          <w:p>
            <w:pPr>
              <w:pStyle w:val="TableText"/>
              <w:ind w:left="552"/>
              <w:spacing w:before="46" w:line="196" w:lineRule="auto"/>
              <w:rPr>
                <w:sz w:val="20"/>
                <w:szCs w:val="20"/>
              </w:rPr>
            </w:pPr>
            <w:r>
              <w:rPr>
                <w:sz w:val="20"/>
                <w:szCs w:val="20"/>
              </w:rPr>
              <w:t>/</w:t>
            </w:r>
          </w:p>
        </w:tc>
        <w:tc>
          <w:tcPr>
            <w:tcW w:w="1528" w:type="dxa"/>
            <w:vAlign w:val="top"/>
            <w:textDirection w:val="tbRlV"/>
          </w:tcPr>
          <w:p>
            <w:pPr>
              <w:spacing w:line="317" w:lineRule="auto"/>
              <w:rPr>
                <w:rFonts w:ascii="Arial"/>
                <w:sz w:val="21"/>
              </w:rPr>
            </w:pPr>
            <w:r/>
          </w:p>
          <w:p>
            <w:pPr>
              <w:spacing w:line="317" w:lineRule="auto"/>
              <w:rPr>
                <w:rFonts w:ascii="Arial"/>
                <w:sz w:val="21"/>
              </w:rPr>
            </w:pPr>
            <w:r/>
          </w:p>
          <w:p>
            <w:pPr>
              <w:pStyle w:val="TableText"/>
              <w:ind w:left="14"/>
              <w:spacing w:before="67" w:line="130" w:lineRule="exact"/>
              <w:rPr>
                <w:sz w:val="20"/>
                <w:szCs w:val="20"/>
              </w:rPr>
            </w:pPr>
            <w:r>
              <w:rPr>
                <w:sz w:val="20"/>
                <w:szCs w:val="20"/>
                <w:spacing w:val="50"/>
                <w:w w:val="140"/>
                <w:position w:val="-1"/>
              </w:rPr>
              <w:t>/</w:t>
            </w:r>
          </w:p>
        </w:tc>
        <w:tc>
          <w:tcPr>
            <w:tcW w:w="549" w:type="dxa"/>
            <w:vAlign w:val="top"/>
          </w:tcPr>
          <w:p>
            <w:pPr>
              <w:pStyle w:val="TableText"/>
              <w:ind w:left="117"/>
              <w:spacing w:before="60" w:line="183" w:lineRule="auto"/>
              <w:rPr>
                <w:sz w:val="20"/>
                <w:szCs w:val="20"/>
              </w:rPr>
            </w:pPr>
            <w:r>
              <w:rPr>
                <w:sz w:val="20"/>
                <w:szCs w:val="20"/>
                <w:spacing w:val="-3"/>
              </w:rPr>
              <w:t>270</w:t>
            </w:r>
          </w:p>
        </w:tc>
        <w:tc>
          <w:tcPr>
            <w:tcW w:w="949" w:type="dxa"/>
            <w:vAlign w:val="top"/>
          </w:tcPr>
          <w:p>
            <w:pPr>
              <w:pStyle w:val="TableText"/>
              <w:ind w:left="267"/>
              <w:spacing w:before="60" w:line="183" w:lineRule="auto"/>
              <w:rPr>
                <w:sz w:val="20"/>
                <w:szCs w:val="20"/>
              </w:rPr>
            </w:pPr>
            <w:r>
              <w:rPr>
                <w:sz w:val="20"/>
                <w:szCs w:val="20"/>
                <w:spacing w:val="-2"/>
              </w:rPr>
              <w:t>0.06</w:t>
            </w:r>
          </w:p>
        </w:tc>
        <w:tc>
          <w:tcPr>
            <w:tcW w:w="649" w:type="dxa"/>
            <w:vAlign w:val="top"/>
          </w:tcPr>
          <w:p>
            <w:pPr>
              <w:pStyle w:val="TableText"/>
              <w:ind w:left="268"/>
              <w:spacing w:before="60" w:line="183" w:lineRule="auto"/>
              <w:rPr>
                <w:sz w:val="20"/>
                <w:szCs w:val="20"/>
              </w:rPr>
            </w:pPr>
            <w:r>
              <w:rPr>
                <w:sz w:val="20"/>
                <w:szCs w:val="20"/>
              </w:rPr>
              <w:t>0</w:t>
            </w:r>
          </w:p>
        </w:tc>
        <w:tc>
          <w:tcPr>
            <w:tcW w:w="994" w:type="dxa"/>
            <w:vAlign w:val="top"/>
          </w:tcPr>
          <w:p>
            <w:pPr>
              <w:pStyle w:val="TableText"/>
              <w:ind w:left="289"/>
              <w:spacing w:before="60" w:line="183" w:lineRule="auto"/>
              <w:rPr>
                <w:sz w:val="20"/>
                <w:szCs w:val="20"/>
              </w:rPr>
            </w:pPr>
            <w:r>
              <w:rPr>
                <w:sz w:val="20"/>
                <w:szCs w:val="20"/>
                <w:spacing w:val="-2"/>
              </w:rPr>
              <w:t>0.00</w:t>
            </w:r>
          </w:p>
        </w:tc>
      </w:tr>
      <w:tr>
        <w:trPr>
          <w:trHeight w:val="268" w:hRule="atLeast"/>
        </w:trPr>
        <w:tc>
          <w:tcPr>
            <w:tcW w:w="634" w:type="dxa"/>
            <w:vAlign w:val="top"/>
            <w:vMerge w:val="continue"/>
            <w:tcBorders>
              <w:top w:val="nil"/>
            </w:tcBorders>
          </w:tcPr>
          <w:p>
            <w:pPr>
              <w:rPr>
                <w:rFonts w:ascii="Arial"/>
                <w:sz w:val="21"/>
              </w:rPr>
            </w:pPr>
            <w:r/>
          </w:p>
        </w:tc>
        <w:tc>
          <w:tcPr>
            <w:tcW w:w="1988" w:type="dxa"/>
            <w:vAlign w:val="top"/>
          </w:tcPr>
          <w:p>
            <w:pPr>
              <w:pStyle w:val="TableText"/>
              <w:ind w:left="280"/>
              <w:spacing w:before="42" w:line="199" w:lineRule="auto"/>
              <w:rPr>
                <w:sz w:val="20"/>
                <w:szCs w:val="20"/>
              </w:rPr>
            </w:pPr>
            <w:r>
              <w:rPr>
                <w:sz w:val="20"/>
                <w:szCs w:val="20"/>
                <w:spacing w:val="-2"/>
              </w:rPr>
              <w:t>蒸汽发生器用水</w:t>
            </w:r>
          </w:p>
        </w:tc>
        <w:tc>
          <w:tcPr>
            <w:tcW w:w="1218" w:type="dxa"/>
            <w:vAlign w:val="top"/>
          </w:tcPr>
          <w:p>
            <w:pPr>
              <w:pStyle w:val="TableText"/>
              <w:ind w:left="552"/>
              <w:spacing w:before="47" w:line="194" w:lineRule="auto"/>
              <w:rPr>
                <w:sz w:val="20"/>
                <w:szCs w:val="20"/>
              </w:rPr>
            </w:pPr>
            <w:r>
              <w:rPr>
                <w:sz w:val="20"/>
                <w:szCs w:val="20"/>
              </w:rPr>
              <w:t>/</w:t>
            </w:r>
          </w:p>
        </w:tc>
        <w:tc>
          <w:tcPr>
            <w:tcW w:w="1528" w:type="dxa"/>
            <w:vAlign w:val="top"/>
            <w:textDirection w:val="tbRlV"/>
          </w:tcPr>
          <w:p>
            <w:pPr>
              <w:spacing w:line="317" w:lineRule="auto"/>
              <w:rPr>
                <w:rFonts w:ascii="Arial"/>
                <w:sz w:val="21"/>
              </w:rPr>
            </w:pPr>
            <w:r/>
          </w:p>
          <w:p>
            <w:pPr>
              <w:spacing w:line="317" w:lineRule="auto"/>
              <w:rPr>
                <w:rFonts w:ascii="Arial"/>
                <w:sz w:val="21"/>
              </w:rPr>
            </w:pPr>
            <w:r/>
          </w:p>
          <w:p>
            <w:pPr>
              <w:pStyle w:val="TableText"/>
              <w:ind w:left="15"/>
              <w:spacing w:before="67" w:line="130" w:lineRule="exact"/>
              <w:rPr>
                <w:sz w:val="20"/>
                <w:szCs w:val="20"/>
              </w:rPr>
            </w:pPr>
            <w:r>
              <w:rPr>
                <w:sz w:val="20"/>
                <w:szCs w:val="20"/>
                <w:spacing w:val="50"/>
                <w:w w:val="140"/>
                <w:position w:val="-1"/>
              </w:rPr>
              <w:t>/</w:t>
            </w:r>
          </w:p>
        </w:tc>
        <w:tc>
          <w:tcPr>
            <w:tcW w:w="549" w:type="dxa"/>
            <w:vAlign w:val="top"/>
          </w:tcPr>
          <w:p>
            <w:pPr>
              <w:pStyle w:val="TableText"/>
              <w:ind w:left="117"/>
              <w:spacing w:before="61" w:line="181" w:lineRule="auto"/>
              <w:rPr>
                <w:sz w:val="20"/>
                <w:szCs w:val="20"/>
              </w:rPr>
            </w:pPr>
            <w:r>
              <w:rPr>
                <w:sz w:val="20"/>
                <w:szCs w:val="20"/>
                <w:spacing w:val="-3"/>
              </w:rPr>
              <w:t>270</w:t>
            </w:r>
          </w:p>
        </w:tc>
        <w:tc>
          <w:tcPr>
            <w:tcW w:w="949" w:type="dxa"/>
            <w:vAlign w:val="top"/>
          </w:tcPr>
          <w:p>
            <w:pPr>
              <w:pStyle w:val="TableText"/>
              <w:ind w:left="217"/>
              <w:spacing w:before="61" w:line="181" w:lineRule="auto"/>
              <w:rPr>
                <w:sz w:val="20"/>
                <w:szCs w:val="20"/>
              </w:rPr>
            </w:pPr>
            <w:r>
              <w:rPr>
                <w:sz w:val="20"/>
                <w:szCs w:val="20"/>
                <w:spacing w:val="-4"/>
              </w:rPr>
              <w:t>16.00</w:t>
            </w:r>
          </w:p>
        </w:tc>
        <w:tc>
          <w:tcPr>
            <w:tcW w:w="649" w:type="dxa"/>
            <w:vAlign w:val="top"/>
          </w:tcPr>
          <w:p>
            <w:pPr>
              <w:pStyle w:val="TableText"/>
              <w:ind w:left="268"/>
              <w:spacing w:before="47" w:line="194" w:lineRule="auto"/>
              <w:rPr>
                <w:sz w:val="20"/>
                <w:szCs w:val="20"/>
              </w:rPr>
            </w:pPr>
            <w:r>
              <w:rPr>
                <w:sz w:val="20"/>
                <w:szCs w:val="20"/>
              </w:rPr>
              <w:t>/</w:t>
            </w:r>
          </w:p>
        </w:tc>
        <w:tc>
          <w:tcPr>
            <w:tcW w:w="994" w:type="dxa"/>
            <w:vAlign w:val="top"/>
          </w:tcPr>
          <w:p>
            <w:pPr>
              <w:pStyle w:val="TableText"/>
              <w:ind w:left="289"/>
              <w:spacing w:before="61" w:line="181" w:lineRule="auto"/>
              <w:rPr>
                <w:sz w:val="20"/>
                <w:szCs w:val="20"/>
              </w:rPr>
            </w:pPr>
            <w:r>
              <w:rPr>
                <w:sz w:val="20"/>
                <w:szCs w:val="20"/>
                <w:spacing w:val="-2"/>
              </w:rPr>
              <w:t>4.00</w:t>
            </w:r>
          </w:p>
        </w:tc>
      </w:tr>
      <w:tr>
        <w:trPr>
          <w:trHeight w:val="279" w:hRule="atLeast"/>
        </w:trPr>
        <w:tc>
          <w:tcPr>
            <w:tcW w:w="634" w:type="dxa"/>
            <w:vAlign w:val="top"/>
            <w:vMerge w:val="restart"/>
            <w:tcBorders>
              <w:bottom w:val="nil"/>
            </w:tcBorders>
          </w:tcPr>
          <w:p>
            <w:pPr>
              <w:pStyle w:val="TableText"/>
              <w:ind w:left="104"/>
              <w:spacing w:before="175" w:line="220" w:lineRule="auto"/>
              <w:rPr>
                <w:sz w:val="20"/>
                <w:szCs w:val="20"/>
              </w:rPr>
            </w:pPr>
            <w:r>
              <w:rPr>
                <w:sz w:val="20"/>
                <w:szCs w:val="20"/>
                <w:spacing w:val="-3"/>
              </w:rPr>
              <w:t>其他</w:t>
            </w:r>
          </w:p>
          <w:p>
            <w:pPr>
              <w:pStyle w:val="TableText"/>
              <w:ind w:left="104"/>
              <w:spacing w:before="41" w:line="219" w:lineRule="auto"/>
              <w:rPr>
                <w:sz w:val="20"/>
                <w:szCs w:val="20"/>
              </w:rPr>
            </w:pPr>
            <w:r>
              <w:rPr>
                <w:sz w:val="20"/>
                <w:szCs w:val="20"/>
                <w:spacing w:val="-3"/>
              </w:rPr>
              <w:t>用水</w:t>
            </w:r>
          </w:p>
        </w:tc>
        <w:tc>
          <w:tcPr>
            <w:tcW w:w="1988" w:type="dxa"/>
            <w:vAlign w:val="top"/>
          </w:tcPr>
          <w:p>
            <w:pPr>
              <w:pStyle w:val="TableText"/>
              <w:ind w:left="580"/>
              <w:spacing w:before="43" w:line="208" w:lineRule="auto"/>
              <w:rPr>
                <w:sz w:val="20"/>
                <w:szCs w:val="20"/>
              </w:rPr>
            </w:pPr>
            <w:r>
              <w:rPr>
                <w:sz w:val="20"/>
                <w:szCs w:val="20"/>
                <w:spacing w:val="-2"/>
              </w:rPr>
              <w:t>绿化用水</w:t>
            </w:r>
          </w:p>
        </w:tc>
        <w:tc>
          <w:tcPr>
            <w:tcW w:w="1218" w:type="dxa"/>
            <w:vAlign w:val="top"/>
          </w:tcPr>
          <w:p>
            <w:pPr>
              <w:pStyle w:val="TableText"/>
              <w:spacing w:before="43" w:line="208" w:lineRule="auto"/>
              <w:jc w:val="right"/>
              <w:rPr>
                <w:sz w:val="20"/>
                <w:szCs w:val="20"/>
              </w:rPr>
            </w:pPr>
            <w:r>
              <w:rPr>
                <w:sz w:val="20"/>
                <w:szCs w:val="20"/>
                <w:spacing w:val="-3"/>
              </w:rPr>
              <w:t>1.0L/次 ·</w:t>
            </w:r>
            <w:r>
              <w:rPr>
                <w:sz w:val="20"/>
                <w:szCs w:val="20"/>
                <w:spacing w:val="-76"/>
              </w:rPr>
              <w:t xml:space="preserve"> </w:t>
            </w:r>
            <w:r>
              <w:rPr>
                <w:sz w:val="20"/>
                <w:szCs w:val="20"/>
                <w:spacing w:val="-3"/>
              </w:rPr>
              <w:t>m²</w:t>
            </w:r>
          </w:p>
        </w:tc>
        <w:tc>
          <w:tcPr>
            <w:tcW w:w="1528" w:type="dxa"/>
            <w:vAlign w:val="top"/>
            <w:textDirection w:val="tbRlV"/>
          </w:tcPr>
          <w:p>
            <w:pPr>
              <w:spacing w:line="317" w:lineRule="auto"/>
              <w:rPr>
                <w:rFonts w:ascii="Arial"/>
                <w:sz w:val="21"/>
              </w:rPr>
            </w:pPr>
            <w:r/>
          </w:p>
          <w:p>
            <w:pPr>
              <w:spacing w:line="317" w:lineRule="auto"/>
              <w:rPr>
                <w:rFonts w:ascii="Arial"/>
                <w:sz w:val="21"/>
              </w:rPr>
            </w:pPr>
            <w:r/>
          </w:p>
          <w:p>
            <w:pPr>
              <w:pStyle w:val="TableText"/>
              <w:ind w:left="17"/>
              <w:spacing w:before="67" w:line="130" w:lineRule="exact"/>
              <w:rPr>
                <w:sz w:val="20"/>
                <w:szCs w:val="20"/>
              </w:rPr>
            </w:pPr>
            <w:r>
              <w:rPr>
                <w:sz w:val="20"/>
                <w:szCs w:val="20"/>
                <w:color w:val="404050"/>
                <w:spacing w:val="50"/>
                <w:w w:val="140"/>
                <w:position w:val="-1"/>
              </w:rPr>
              <w:t>/</w:t>
            </w:r>
          </w:p>
        </w:tc>
        <w:tc>
          <w:tcPr>
            <w:tcW w:w="549" w:type="dxa"/>
            <w:vAlign w:val="top"/>
          </w:tcPr>
          <w:p>
            <w:pPr>
              <w:pStyle w:val="TableText"/>
              <w:ind w:left="117"/>
              <w:spacing w:before="64" w:line="189" w:lineRule="auto"/>
              <w:rPr>
                <w:sz w:val="20"/>
                <w:szCs w:val="20"/>
              </w:rPr>
            </w:pPr>
            <w:r>
              <w:rPr>
                <w:sz w:val="20"/>
                <w:szCs w:val="20"/>
                <w:spacing w:val="-3"/>
              </w:rPr>
              <w:t>270</w:t>
            </w:r>
          </w:p>
        </w:tc>
        <w:tc>
          <w:tcPr>
            <w:tcW w:w="949" w:type="dxa"/>
            <w:vAlign w:val="top"/>
          </w:tcPr>
          <w:p>
            <w:pPr>
              <w:pStyle w:val="TableText"/>
              <w:ind w:left="267"/>
              <w:spacing w:before="64" w:line="189" w:lineRule="auto"/>
              <w:rPr>
                <w:sz w:val="20"/>
                <w:szCs w:val="20"/>
              </w:rPr>
            </w:pPr>
            <w:r>
              <w:rPr>
                <w:sz w:val="20"/>
                <w:szCs w:val="20"/>
                <w:spacing w:val="-2"/>
              </w:rPr>
              <w:t>0.29</w:t>
            </w:r>
          </w:p>
        </w:tc>
        <w:tc>
          <w:tcPr>
            <w:tcW w:w="649" w:type="dxa"/>
            <w:vAlign w:val="top"/>
          </w:tcPr>
          <w:p>
            <w:pPr>
              <w:pStyle w:val="TableText"/>
              <w:ind w:left="268"/>
              <w:spacing w:before="64" w:line="189" w:lineRule="auto"/>
              <w:rPr>
                <w:sz w:val="20"/>
                <w:szCs w:val="20"/>
              </w:rPr>
            </w:pPr>
            <w:r>
              <w:rPr>
                <w:sz w:val="20"/>
                <w:szCs w:val="20"/>
              </w:rPr>
              <w:t>0</w:t>
            </w:r>
          </w:p>
        </w:tc>
        <w:tc>
          <w:tcPr>
            <w:tcW w:w="994" w:type="dxa"/>
            <w:vAlign w:val="top"/>
          </w:tcPr>
          <w:p>
            <w:pPr>
              <w:pStyle w:val="TableText"/>
              <w:ind w:left="289"/>
              <w:spacing w:before="64" w:line="189" w:lineRule="auto"/>
              <w:rPr>
                <w:sz w:val="20"/>
                <w:szCs w:val="20"/>
              </w:rPr>
            </w:pPr>
            <w:r>
              <w:rPr>
                <w:sz w:val="20"/>
                <w:szCs w:val="20"/>
                <w:spacing w:val="-2"/>
              </w:rPr>
              <w:t>0.00</w:t>
            </w:r>
          </w:p>
        </w:tc>
      </w:tr>
      <w:tr>
        <w:trPr>
          <w:trHeight w:val="269" w:hRule="atLeast"/>
        </w:trPr>
        <w:tc>
          <w:tcPr>
            <w:tcW w:w="634" w:type="dxa"/>
            <w:vAlign w:val="top"/>
            <w:vMerge w:val="continue"/>
            <w:tcBorders>
              <w:top w:val="nil"/>
              <w:bottom w:val="nil"/>
            </w:tcBorders>
          </w:tcPr>
          <w:p>
            <w:pPr>
              <w:rPr>
                <w:rFonts w:ascii="Arial"/>
                <w:sz w:val="21"/>
              </w:rPr>
            </w:pPr>
            <w:r/>
          </w:p>
        </w:tc>
        <w:tc>
          <w:tcPr>
            <w:tcW w:w="1988" w:type="dxa"/>
            <w:vAlign w:val="top"/>
          </w:tcPr>
          <w:p>
            <w:pPr>
              <w:pStyle w:val="TableText"/>
              <w:ind w:left="380"/>
              <w:spacing w:before="45" w:line="197" w:lineRule="auto"/>
              <w:rPr>
                <w:sz w:val="20"/>
                <w:szCs w:val="20"/>
              </w:rPr>
            </w:pPr>
            <w:r>
              <w:rPr>
                <w:sz w:val="20"/>
                <w:szCs w:val="20"/>
                <w:spacing w:val="1"/>
              </w:rPr>
              <w:t>不可预计用水</w:t>
            </w:r>
          </w:p>
        </w:tc>
        <w:tc>
          <w:tcPr>
            <w:tcW w:w="1218" w:type="dxa"/>
            <w:vAlign w:val="top"/>
          </w:tcPr>
          <w:p>
            <w:pPr>
              <w:pStyle w:val="TableText"/>
              <w:ind w:left="552"/>
              <w:spacing w:before="51" w:line="192" w:lineRule="auto"/>
              <w:rPr>
                <w:sz w:val="20"/>
                <w:szCs w:val="20"/>
              </w:rPr>
            </w:pPr>
            <w:r>
              <w:rPr>
                <w:sz w:val="20"/>
                <w:szCs w:val="20"/>
              </w:rPr>
              <w:t>/</w:t>
            </w:r>
          </w:p>
        </w:tc>
        <w:tc>
          <w:tcPr>
            <w:tcW w:w="1528" w:type="dxa"/>
            <w:vAlign w:val="top"/>
          </w:tcPr>
          <w:p>
            <w:pPr>
              <w:pStyle w:val="TableText"/>
              <w:ind w:left="704"/>
              <w:spacing w:before="51" w:line="192" w:lineRule="auto"/>
              <w:rPr>
                <w:sz w:val="20"/>
                <w:szCs w:val="20"/>
              </w:rPr>
            </w:pPr>
            <w:r>
              <w:rPr>
                <w:sz w:val="20"/>
                <w:szCs w:val="20"/>
              </w:rPr>
              <w:t>/</w:t>
            </w:r>
          </w:p>
        </w:tc>
        <w:tc>
          <w:tcPr>
            <w:tcW w:w="549" w:type="dxa"/>
            <w:vAlign w:val="top"/>
          </w:tcPr>
          <w:p>
            <w:pPr>
              <w:pStyle w:val="TableText"/>
              <w:ind w:left="117"/>
              <w:spacing w:before="65" w:line="179" w:lineRule="auto"/>
              <w:rPr>
                <w:sz w:val="20"/>
                <w:szCs w:val="20"/>
              </w:rPr>
            </w:pPr>
            <w:r>
              <w:rPr>
                <w:sz w:val="20"/>
                <w:szCs w:val="20"/>
                <w:spacing w:val="-3"/>
              </w:rPr>
              <w:t>270</w:t>
            </w:r>
          </w:p>
        </w:tc>
        <w:tc>
          <w:tcPr>
            <w:tcW w:w="949" w:type="dxa"/>
            <w:vAlign w:val="top"/>
          </w:tcPr>
          <w:p>
            <w:pPr>
              <w:pStyle w:val="TableText"/>
              <w:ind w:left="217"/>
              <w:spacing w:before="65" w:line="179" w:lineRule="auto"/>
              <w:rPr>
                <w:sz w:val="20"/>
                <w:szCs w:val="20"/>
              </w:rPr>
            </w:pPr>
            <w:r>
              <w:rPr>
                <w:sz w:val="20"/>
                <w:szCs w:val="20"/>
                <w:spacing w:val="-2"/>
              </w:rPr>
              <w:t>80.45</w:t>
            </w:r>
          </w:p>
        </w:tc>
        <w:tc>
          <w:tcPr>
            <w:tcW w:w="649" w:type="dxa"/>
            <w:vAlign w:val="top"/>
          </w:tcPr>
          <w:p>
            <w:pPr>
              <w:pStyle w:val="TableText"/>
              <w:ind w:left="268"/>
              <w:spacing w:before="65" w:line="179" w:lineRule="auto"/>
              <w:rPr>
                <w:sz w:val="20"/>
                <w:szCs w:val="20"/>
              </w:rPr>
            </w:pPr>
            <w:r>
              <w:rPr>
                <w:sz w:val="20"/>
                <w:szCs w:val="20"/>
              </w:rPr>
              <w:t>0</w:t>
            </w:r>
          </w:p>
        </w:tc>
        <w:tc>
          <w:tcPr>
            <w:tcW w:w="994" w:type="dxa"/>
            <w:vAlign w:val="top"/>
          </w:tcPr>
          <w:p>
            <w:pPr>
              <w:pStyle w:val="TableText"/>
              <w:ind w:left="289"/>
              <w:spacing w:before="65" w:line="179" w:lineRule="auto"/>
              <w:rPr>
                <w:sz w:val="20"/>
                <w:szCs w:val="20"/>
              </w:rPr>
            </w:pPr>
            <w:r>
              <w:rPr>
                <w:sz w:val="20"/>
                <w:szCs w:val="20"/>
                <w:spacing w:val="-2"/>
              </w:rPr>
              <w:t>0.00</w:t>
            </w:r>
          </w:p>
        </w:tc>
      </w:tr>
      <w:tr>
        <w:trPr>
          <w:trHeight w:val="269" w:hRule="atLeast"/>
        </w:trPr>
        <w:tc>
          <w:tcPr>
            <w:tcW w:w="634" w:type="dxa"/>
            <w:vAlign w:val="top"/>
            <w:vMerge w:val="continue"/>
            <w:tcBorders>
              <w:top w:val="nil"/>
            </w:tcBorders>
          </w:tcPr>
          <w:p>
            <w:pPr>
              <w:rPr>
                <w:rFonts w:ascii="Arial"/>
                <w:sz w:val="21"/>
              </w:rPr>
            </w:pPr>
            <w:r/>
          </w:p>
        </w:tc>
        <w:tc>
          <w:tcPr>
            <w:tcW w:w="1988" w:type="dxa"/>
            <w:vAlign w:val="top"/>
          </w:tcPr>
          <w:p>
            <w:pPr>
              <w:pStyle w:val="TableText"/>
              <w:ind w:left="580"/>
              <w:spacing w:before="45" w:line="197" w:lineRule="auto"/>
              <w:rPr>
                <w:sz w:val="20"/>
                <w:szCs w:val="20"/>
              </w:rPr>
            </w:pPr>
            <w:r>
              <w:rPr>
                <w:sz w:val="20"/>
                <w:szCs w:val="20"/>
                <w:spacing w:val="-2"/>
              </w:rPr>
              <w:t>初期雨水</w:t>
            </w:r>
          </w:p>
        </w:tc>
        <w:tc>
          <w:tcPr>
            <w:tcW w:w="1218" w:type="dxa"/>
            <w:vAlign w:val="top"/>
          </w:tcPr>
          <w:p>
            <w:pPr>
              <w:pStyle w:val="TableText"/>
              <w:ind w:left="552"/>
              <w:spacing w:before="52" w:line="191" w:lineRule="auto"/>
              <w:rPr>
                <w:sz w:val="20"/>
                <w:szCs w:val="20"/>
              </w:rPr>
            </w:pPr>
            <w:r>
              <w:rPr>
                <w:sz w:val="20"/>
                <w:szCs w:val="20"/>
              </w:rPr>
              <w:t>/</w:t>
            </w:r>
          </w:p>
        </w:tc>
        <w:tc>
          <w:tcPr>
            <w:tcW w:w="1528" w:type="dxa"/>
            <w:vAlign w:val="top"/>
            <w:textDirection w:val="tbRlV"/>
          </w:tcPr>
          <w:p>
            <w:pPr>
              <w:spacing w:line="317" w:lineRule="auto"/>
              <w:rPr>
                <w:rFonts w:ascii="Arial"/>
                <w:sz w:val="21"/>
              </w:rPr>
            </w:pPr>
            <w:r/>
          </w:p>
          <w:p>
            <w:pPr>
              <w:spacing w:line="317" w:lineRule="auto"/>
              <w:rPr>
                <w:rFonts w:ascii="Arial"/>
                <w:sz w:val="21"/>
              </w:rPr>
            </w:pPr>
            <w:r/>
          </w:p>
          <w:p>
            <w:pPr>
              <w:pStyle w:val="TableText"/>
              <w:ind w:left="19"/>
              <w:spacing w:before="67" w:line="130" w:lineRule="exact"/>
              <w:rPr>
                <w:sz w:val="20"/>
                <w:szCs w:val="20"/>
              </w:rPr>
            </w:pPr>
            <w:r>
              <w:rPr>
                <w:sz w:val="20"/>
                <w:szCs w:val="20"/>
                <w:spacing w:val="50"/>
                <w:w w:val="140"/>
                <w:position w:val="-1"/>
              </w:rPr>
              <w:t>/</w:t>
            </w:r>
          </w:p>
        </w:tc>
        <w:tc>
          <w:tcPr>
            <w:tcW w:w="549" w:type="dxa"/>
            <w:vAlign w:val="top"/>
          </w:tcPr>
          <w:p>
            <w:pPr>
              <w:pStyle w:val="TableText"/>
              <w:ind w:left="216"/>
              <w:spacing w:before="52" w:line="191" w:lineRule="auto"/>
              <w:rPr>
                <w:sz w:val="20"/>
                <w:szCs w:val="20"/>
              </w:rPr>
            </w:pPr>
            <w:r>
              <w:rPr>
                <w:sz w:val="20"/>
                <w:szCs w:val="20"/>
                <w:color w:val="505050"/>
              </w:rPr>
              <w:t>/</w:t>
            </w:r>
          </w:p>
        </w:tc>
        <w:tc>
          <w:tcPr>
            <w:tcW w:w="949" w:type="dxa"/>
            <w:vAlign w:val="top"/>
            <w:textDirection w:val="tbRlV"/>
          </w:tcPr>
          <w:p>
            <w:pPr>
              <w:spacing w:line="351" w:lineRule="auto"/>
              <w:rPr>
                <w:rFonts w:ascii="Arial"/>
                <w:sz w:val="21"/>
              </w:rPr>
            </w:pPr>
            <w:r/>
          </w:p>
          <w:p>
            <w:pPr>
              <w:pStyle w:val="TableText"/>
              <w:ind w:left="19"/>
              <w:spacing w:before="67" w:line="130" w:lineRule="exact"/>
              <w:rPr>
                <w:sz w:val="20"/>
                <w:szCs w:val="20"/>
              </w:rPr>
            </w:pPr>
            <w:r>
              <w:rPr>
                <w:sz w:val="20"/>
                <w:szCs w:val="20"/>
                <w:spacing w:val="50"/>
                <w:w w:val="140"/>
                <w:position w:val="-1"/>
              </w:rPr>
              <w:t>/</w:t>
            </w:r>
          </w:p>
        </w:tc>
        <w:tc>
          <w:tcPr>
            <w:tcW w:w="649" w:type="dxa"/>
            <w:vAlign w:val="top"/>
            <w:textDirection w:val="tbRlV"/>
          </w:tcPr>
          <w:p>
            <w:pPr>
              <w:pStyle w:val="TableText"/>
              <w:ind w:left="19"/>
              <w:spacing w:before="277" w:line="131" w:lineRule="exact"/>
              <w:rPr>
                <w:sz w:val="20"/>
                <w:szCs w:val="20"/>
              </w:rPr>
            </w:pPr>
            <w:r>
              <w:rPr>
                <w:sz w:val="20"/>
                <w:szCs w:val="20"/>
                <w:spacing w:val="50"/>
                <w:w w:val="140"/>
                <w:position w:val="-1"/>
              </w:rPr>
              <w:t>/</w:t>
            </w:r>
          </w:p>
        </w:tc>
        <w:tc>
          <w:tcPr>
            <w:tcW w:w="994" w:type="dxa"/>
            <w:vAlign w:val="top"/>
          </w:tcPr>
          <w:p>
            <w:pPr>
              <w:pStyle w:val="TableText"/>
              <w:ind w:left="289"/>
              <w:spacing w:before="66" w:line="178" w:lineRule="auto"/>
              <w:rPr>
                <w:sz w:val="20"/>
                <w:szCs w:val="20"/>
              </w:rPr>
            </w:pPr>
            <w:r>
              <w:rPr>
                <w:sz w:val="20"/>
                <w:szCs w:val="20"/>
                <w:spacing w:val="-5"/>
              </w:rPr>
              <w:t>1.70</w:t>
            </w:r>
          </w:p>
        </w:tc>
      </w:tr>
      <w:tr>
        <w:trPr>
          <w:trHeight w:val="284" w:hRule="atLeast"/>
        </w:trPr>
        <w:tc>
          <w:tcPr>
            <w:tcW w:w="2622" w:type="dxa"/>
            <w:vAlign w:val="top"/>
            <w:gridSpan w:val="2"/>
          </w:tcPr>
          <w:p>
            <w:pPr>
              <w:pStyle w:val="TableText"/>
              <w:ind w:left="1095"/>
              <w:spacing w:before="48" w:line="208" w:lineRule="auto"/>
              <w:rPr>
                <w:sz w:val="20"/>
                <w:szCs w:val="20"/>
              </w:rPr>
            </w:pPr>
            <w:r>
              <w:rPr>
                <w:sz w:val="20"/>
                <w:szCs w:val="20"/>
                <w:spacing w:val="-3"/>
              </w:rPr>
              <w:t>合计</w:t>
            </w:r>
          </w:p>
        </w:tc>
        <w:tc>
          <w:tcPr>
            <w:tcW w:w="3295" w:type="dxa"/>
            <w:vAlign w:val="top"/>
            <w:gridSpan w:val="3"/>
          </w:tcPr>
          <w:p>
            <w:pPr>
              <w:rPr>
                <w:rFonts w:ascii="Arial"/>
                <w:sz w:val="21"/>
              </w:rPr>
            </w:pPr>
            <w:r/>
          </w:p>
        </w:tc>
        <w:tc>
          <w:tcPr>
            <w:tcW w:w="949" w:type="dxa"/>
            <w:vAlign w:val="top"/>
          </w:tcPr>
          <w:p>
            <w:pPr>
              <w:pStyle w:val="TableText"/>
              <w:ind w:left="167"/>
              <w:spacing w:before="67" w:line="191" w:lineRule="auto"/>
              <w:rPr>
                <w:sz w:val="20"/>
                <w:szCs w:val="20"/>
              </w:rPr>
            </w:pPr>
            <w:r>
              <w:rPr>
                <w:sz w:val="20"/>
                <w:szCs w:val="20"/>
                <w:spacing w:val="-2"/>
              </w:rPr>
              <w:t>884.92</w:t>
            </w:r>
          </w:p>
        </w:tc>
        <w:tc>
          <w:tcPr>
            <w:tcW w:w="649" w:type="dxa"/>
            <w:vAlign w:val="top"/>
          </w:tcPr>
          <w:p>
            <w:pPr>
              <w:pStyle w:val="TableText"/>
              <w:ind w:left="268"/>
              <w:spacing w:before="53" w:line="204" w:lineRule="auto"/>
              <w:rPr>
                <w:sz w:val="20"/>
                <w:szCs w:val="20"/>
              </w:rPr>
            </w:pPr>
            <w:r>
              <w:rPr>
                <w:sz w:val="20"/>
                <w:szCs w:val="20"/>
                <w:color w:val="505060"/>
              </w:rPr>
              <w:t>/</w:t>
            </w:r>
          </w:p>
        </w:tc>
        <w:tc>
          <w:tcPr>
            <w:tcW w:w="994" w:type="dxa"/>
            <w:vAlign w:val="top"/>
          </w:tcPr>
          <w:p>
            <w:pPr>
              <w:pStyle w:val="TableText"/>
              <w:ind w:left="340"/>
              <w:spacing w:before="67" w:line="191" w:lineRule="auto"/>
              <w:rPr>
                <w:sz w:val="20"/>
                <w:szCs w:val="20"/>
              </w:rPr>
            </w:pPr>
            <w:r>
              <w:rPr>
                <w:sz w:val="20"/>
                <w:szCs w:val="20"/>
                <w:spacing w:val="-3"/>
              </w:rPr>
              <w:t>666</w:t>
            </w:r>
          </w:p>
        </w:tc>
      </w:tr>
    </w:tbl>
    <w:p>
      <w:pPr>
        <w:ind w:left="605"/>
        <w:spacing w:before="63" w:line="219" w:lineRule="auto"/>
        <w:rPr>
          <w:rFonts w:ascii="SimSun" w:hAnsi="SimSun" w:eastAsia="SimSun" w:cs="SimSun"/>
          <w:sz w:val="24"/>
          <w:szCs w:val="24"/>
        </w:rPr>
      </w:pPr>
      <w:r>
        <w:rPr>
          <w:rFonts w:ascii="SimSun" w:hAnsi="SimSun" w:eastAsia="SimSun" w:cs="SimSun"/>
          <w:sz w:val="24"/>
          <w:szCs w:val="24"/>
          <w:spacing w:val="-1"/>
        </w:rPr>
        <w:t>淡季水平衡示意图如下。</w:t>
      </w:r>
    </w:p>
    <w:p>
      <w:pPr>
        <w:pStyle w:val="BodyText"/>
        <w:ind w:firstLine="75"/>
        <w:spacing w:before="137" w:line="6159" w:lineRule="exact"/>
        <w:rPr/>
      </w:pPr>
      <w:r>
        <w:rPr>
          <w:position w:val="-123"/>
        </w:rPr>
        <w:pict>
          <v:group id="_x0000_s96" style="mso-position-vertical-relative:line;mso-position-horizontal-relative:char;width:415.5pt;height:308pt;" filled="false" stroked="false" coordsize="8310,6160" coordorigin="0,0">
            <v:shape id="_x0000_s98" style="position:absolute;left:0;top:0;width:8310;height:6160;" filled="false" stroked="false" type="#_x0000_t75">
              <v:imagedata o:title="" r:id="rId274"/>
            </v:shape>
            <v:shape id="_x0000_s100" style="position:absolute;left:1169;top:54;width:5425;height:5995;" filled="false" stroked="false" type="#_x0000_t202">
              <v:fill on="false"/>
              <v:stroke on="false"/>
              <v:path/>
              <v:imagedata o:title=""/>
              <o:lock v:ext="edit" aspectratio="false"/>
              <v:textbox inset="0mm,0mm,0mm,0mm">
                <w:txbxContent>
                  <w:p>
                    <w:pPr>
                      <w:ind w:left="1540"/>
                      <w:spacing w:before="19" w:line="218" w:lineRule="auto"/>
                      <w:rPr>
                        <w:rFonts w:ascii="SimSun" w:hAnsi="SimSun" w:eastAsia="SimSun" w:cs="SimSun"/>
                        <w:sz w:val="12"/>
                        <w:szCs w:val="12"/>
                      </w:rPr>
                    </w:pPr>
                    <w:r>
                      <w:rPr>
                        <w:rFonts w:ascii="SimSun" w:hAnsi="SimSun" w:eastAsia="SimSun" w:cs="SimSun"/>
                        <w:sz w:val="12"/>
                        <w:szCs w:val="12"/>
                        <w:spacing w:val="-13"/>
                      </w:rPr>
                      <w:t>→</w:t>
                    </w:r>
                    <w:r>
                      <w:rPr>
                        <w:rFonts w:ascii="SimSun" w:hAnsi="SimSun" w:eastAsia="SimSun" w:cs="SimSun"/>
                        <w:sz w:val="12"/>
                        <w:szCs w:val="12"/>
                        <w:spacing w:val="-30"/>
                      </w:rPr>
                      <w:t xml:space="preserve"> </w:t>
                    </w:r>
                    <w:r>
                      <w:rPr>
                        <w:rFonts w:ascii="Dotum" w:hAnsi="Dotum" w:eastAsia="Dotum" w:cs="Dotum"/>
                        <w:sz w:val="12"/>
                        <w:szCs w:val="12"/>
                        <w:spacing w:val="-13"/>
                      </w:rPr>
                      <w:t>▶</w:t>
                    </w:r>
                    <w:r>
                      <w:rPr>
                        <w:rFonts w:ascii="SimSun" w:hAnsi="SimSun" w:eastAsia="SimSun" w:cs="SimSun"/>
                        <w:sz w:val="12"/>
                        <w:szCs w:val="12"/>
                        <w:spacing w:val="-13"/>
                      </w:rPr>
                      <w:t>蒸发损耗2.40</w:t>
                    </w:r>
                  </w:p>
                  <w:p>
                    <w:pPr>
                      <w:ind w:left="20"/>
                      <w:spacing w:line="88" w:lineRule="exact"/>
                      <w:rPr>
                        <w:rFonts w:ascii="Times New Roman" w:hAnsi="Times New Roman" w:eastAsia="Times New Roman" w:cs="Times New Roman"/>
                        <w:sz w:val="12"/>
                        <w:szCs w:val="12"/>
                      </w:rPr>
                    </w:pPr>
                    <w:r>
                      <w:rPr>
                        <w:rFonts w:ascii="Times New Roman" w:hAnsi="Times New Roman" w:eastAsia="Times New Roman" w:cs="Times New Roman"/>
                        <w:sz w:val="12"/>
                        <w:szCs w:val="12"/>
                        <w:spacing w:val="-3"/>
                        <w:position w:val="-1"/>
                      </w:rPr>
                      <w:t>12.00</w:t>
                    </w:r>
                  </w:p>
                  <w:p>
                    <w:pPr>
                      <w:ind w:left="819"/>
                      <w:spacing w:line="219" w:lineRule="auto"/>
                      <w:rPr>
                        <w:rFonts w:ascii="SimSun" w:hAnsi="SimSun" w:eastAsia="SimSun" w:cs="SimSun"/>
                        <w:sz w:val="12"/>
                        <w:szCs w:val="12"/>
                      </w:rPr>
                    </w:pPr>
                    <w:r>
                      <w:rPr>
                        <w:rFonts w:ascii="SimSun" w:hAnsi="SimSun" w:eastAsia="SimSun" w:cs="SimSun"/>
                        <w:sz w:val="12"/>
                        <w:szCs w:val="12"/>
                        <w:spacing w:val="6"/>
                      </w:rPr>
                      <w:t>办公用水</w:t>
                    </w:r>
                  </w:p>
                  <w:p>
                    <w:pPr>
                      <w:ind w:left="5159"/>
                      <w:spacing w:before="18"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3"/>
                      </w:rPr>
                      <w:t>14.4</w:t>
                    </w:r>
                  </w:p>
                  <w:p>
                    <w:pPr>
                      <w:ind w:left="1680"/>
                      <w:spacing w:before="31" w:line="219" w:lineRule="auto"/>
                      <w:rPr>
                        <w:rFonts w:ascii="SimSun" w:hAnsi="SimSun" w:eastAsia="SimSun" w:cs="SimSun"/>
                        <w:sz w:val="12"/>
                        <w:szCs w:val="12"/>
                      </w:rPr>
                    </w:pPr>
                    <w:r>
                      <w:rPr>
                        <w:rFonts w:ascii="SimSun" w:hAnsi="SimSun" w:eastAsia="SimSun" w:cs="SimSun"/>
                        <w:sz w:val="12"/>
                        <w:szCs w:val="12"/>
                        <w:spacing w:val="-1"/>
                      </w:rPr>
                      <w:t>蒸发损耗1.20</w:t>
                    </w:r>
                  </w:p>
                  <w:p>
                    <w:pPr>
                      <w:ind w:left="20"/>
                      <w:spacing w:before="39"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1"/>
                      </w:rPr>
                      <w:t>6.00</w:t>
                    </w:r>
                  </w:p>
                  <w:p>
                    <w:pPr>
                      <w:ind w:left="819"/>
                      <w:spacing w:before="70" w:line="219" w:lineRule="auto"/>
                      <w:rPr>
                        <w:rFonts w:ascii="SimSun" w:hAnsi="SimSun" w:eastAsia="SimSun" w:cs="SimSun"/>
                        <w:sz w:val="12"/>
                        <w:szCs w:val="12"/>
                      </w:rPr>
                    </w:pPr>
                    <w:r>
                      <w:rPr>
                        <w:rFonts w:ascii="SimSun" w:hAnsi="SimSun" w:eastAsia="SimSun" w:cs="SimSun"/>
                        <w:sz w:val="12"/>
                        <w:szCs w:val="12"/>
                        <w:spacing w:val="-1"/>
                      </w:rPr>
                      <w:t>餐饮用水二</w:t>
                    </w:r>
                  </w:p>
                  <w:p>
                    <w:pPr>
                      <w:ind w:left="1740"/>
                      <w:spacing w:before="148" w:line="219" w:lineRule="auto"/>
                      <w:rPr>
                        <w:rFonts w:ascii="SimSun" w:hAnsi="SimSun" w:eastAsia="SimSun" w:cs="SimSun"/>
                        <w:sz w:val="12"/>
                        <w:szCs w:val="12"/>
                      </w:rPr>
                    </w:pPr>
                    <w:r>
                      <w:rPr>
                        <w:rFonts w:ascii="SimSun" w:hAnsi="SimSun" w:eastAsia="SimSun" w:cs="SimSun"/>
                        <w:sz w:val="12"/>
                        <w:szCs w:val="12"/>
                        <w:spacing w:val="-1"/>
                      </w:rPr>
                      <w:t>蒸发损耗94.41</w:t>
                    </w:r>
                  </w:p>
                  <w:p>
                    <w:pPr>
                      <w:ind w:left="710"/>
                      <w:spacing w:before="78" w:line="219" w:lineRule="auto"/>
                      <w:rPr>
                        <w:rFonts w:ascii="SimSun" w:hAnsi="SimSun" w:eastAsia="SimSun" w:cs="SimSun"/>
                        <w:sz w:val="12"/>
                        <w:szCs w:val="12"/>
                      </w:rPr>
                    </w:pPr>
                    <w:r>
                      <w:rPr>
                        <w:rFonts w:ascii="SimSun" w:hAnsi="SimSun" w:eastAsia="SimSun" w:cs="SimSun"/>
                        <w:sz w:val="12"/>
                        <w:szCs w:val="12"/>
                        <w:spacing w:val="5"/>
                      </w:rPr>
                      <w:t>生猪屠宰用水</w:t>
                    </w:r>
                  </w:p>
                  <w:p>
                    <w:pPr>
                      <w:ind w:left="1770"/>
                      <w:spacing w:before="107" w:line="219" w:lineRule="auto"/>
                      <w:rPr>
                        <w:rFonts w:ascii="SimSun" w:hAnsi="SimSun" w:eastAsia="SimSun" w:cs="SimSun"/>
                        <w:sz w:val="12"/>
                        <w:szCs w:val="12"/>
                      </w:rPr>
                    </w:pPr>
                    <w:r>
                      <w:rPr>
                        <w:rFonts w:ascii="SimSun" w:hAnsi="SimSun" w:eastAsia="SimSun" w:cs="SimSun"/>
                        <w:sz w:val="12"/>
                        <w:szCs w:val="12"/>
                        <w:spacing w:val="-1"/>
                      </w:rPr>
                      <w:t>蒸发损耗16.61</w:t>
                    </w:r>
                  </w:p>
                  <w:p>
                    <w:pPr>
                      <w:ind w:left="20"/>
                      <w:spacing w:before="79"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2"/>
                      </w:rPr>
                      <w:t>110.71</w:t>
                    </w:r>
                  </w:p>
                  <w:p>
                    <w:pPr>
                      <w:ind w:left="769"/>
                      <w:spacing w:before="1" w:line="219" w:lineRule="auto"/>
                      <w:rPr>
                        <w:rFonts w:ascii="SimSun" w:hAnsi="SimSun" w:eastAsia="SimSun" w:cs="SimSun"/>
                        <w:sz w:val="12"/>
                        <w:szCs w:val="12"/>
                      </w:rPr>
                    </w:pPr>
                    <w:r>
                      <w:rPr>
                        <w:rFonts w:ascii="SimSun" w:hAnsi="SimSun" w:eastAsia="SimSun" w:cs="SimSun"/>
                        <w:sz w:val="12"/>
                        <w:szCs w:val="12"/>
                        <w:spacing w:val="2"/>
                      </w:rPr>
                      <w:t>肉牛屠宰用水</w:t>
                    </w:r>
                  </w:p>
                  <w:p>
                    <w:pPr>
                      <w:ind w:left="5139"/>
                      <w:spacing w:before="89" w:line="76" w:lineRule="exact"/>
                      <w:rPr>
                        <w:rFonts w:ascii="Times New Roman" w:hAnsi="Times New Roman" w:eastAsia="Times New Roman" w:cs="Times New Roman"/>
                        <w:sz w:val="12"/>
                        <w:szCs w:val="12"/>
                      </w:rPr>
                    </w:pPr>
                    <w:r>
                      <w:rPr>
                        <w:rFonts w:ascii="Times New Roman" w:hAnsi="Times New Roman" w:eastAsia="Times New Roman" w:cs="Times New Roman"/>
                        <w:sz w:val="12"/>
                        <w:szCs w:val="12"/>
                        <w:spacing w:val="-1"/>
                        <w:position w:val="-2"/>
                      </w:rPr>
                      <w:t>651.6</w:t>
                    </w:r>
                  </w:p>
                  <w:p>
                    <w:pPr>
                      <w:ind w:left="1540"/>
                      <w:spacing w:line="166" w:lineRule="auto"/>
                      <w:rPr>
                        <w:rFonts w:ascii="SimSun" w:hAnsi="SimSun" w:eastAsia="SimSun" w:cs="SimSun"/>
                        <w:sz w:val="12"/>
                        <w:szCs w:val="12"/>
                      </w:rPr>
                    </w:pPr>
                    <w:r>
                      <w:rPr>
                        <w:rFonts w:ascii="SimSun" w:hAnsi="SimSun" w:eastAsia="SimSun" w:cs="SimSun"/>
                        <w:sz w:val="12"/>
                        <w:szCs w:val="12"/>
                        <w:spacing w:val="1"/>
                      </w:rPr>
                      <w:t>→蒸发损耗1.20</w:t>
                    </w:r>
                  </w:p>
                  <w:p>
                    <w:pPr>
                      <w:ind w:left="20"/>
                      <w:spacing w:line="164"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1"/>
                      </w:rPr>
                      <w:t>6.00</w:t>
                    </w:r>
                  </w:p>
                  <w:p>
                    <w:pPr>
                      <w:ind w:left="710"/>
                      <w:spacing w:line="219" w:lineRule="auto"/>
                      <w:rPr>
                        <w:rFonts w:ascii="SimSun" w:hAnsi="SimSun" w:eastAsia="SimSun" w:cs="SimSun"/>
                        <w:sz w:val="12"/>
                        <w:szCs w:val="12"/>
                      </w:rPr>
                    </w:pPr>
                    <w:r>
                      <w:rPr>
                        <w:rFonts w:ascii="SimSun" w:hAnsi="SimSun" w:eastAsia="SimSun" w:cs="SimSun"/>
                        <w:sz w:val="12"/>
                        <w:szCs w:val="12"/>
                        <w:spacing w:val="2"/>
                      </w:rPr>
                      <w:t>车辆冲洗用水</w:t>
                    </w:r>
                  </w:p>
                  <w:p>
                    <w:pPr>
                      <w:ind w:left="1720"/>
                      <w:spacing w:before="128" w:line="219" w:lineRule="auto"/>
                      <w:rPr>
                        <w:rFonts w:ascii="SimSun" w:hAnsi="SimSun" w:eastAsia="SimSun" w:cs="SimSun"/>
                        <w:sz w:val="12"/>
                        <w:szCs w:val="12"/>
                      </w:rPr>
                    </w:pPr>
                    <w:r>
                      <w:rPr>
                        <w:rFonts w:ascii="SimSun" w:hAnsi="SimSun" w:eastAsia="SimSun" w:cs="SimSun"/>
                        <w:sz w:val="12"/>
                        <w:szCs w:val="12"/>
                        <w:spacing w:val="-1"/>
                      </w:rPr>
                      <w:t>蒸发损耗6.00</w:t>
                    </w:r>
                  </w:p>
                  <w:p>
                    <w:pPr>
                      <w:ind w:left="819"/>
                      <w:spacing w:before="128" w:line="219" w:lineRule="auto"/>
                      <w:rPr>
                        <w:rFonts w:ascii="SimSun" w:hAnsi="SimSun" w:eastAsia="SimSun" w:cs="SimSun"/>
                        <w:sz w:val="12"/>
                        <w:szCs w:val="12"/>
                      </w:rPr>
                    </w:pPr>
                    <w:r>
                      <w:rPr>
                        <w:rFonts w:ascii="SimSun" w:hAnsi="SimSun" w:eastAsia="SimSun" w:cs="SimSun"/>
                        <w:sz w:val="12"/>
                        <w:szCs w:val="12"/>
                        <w:spacing w:val="-2"/>
                      </w:rPr>
                      <w:t>消毒用水二</w:t>
                    </w:r>
                  </w:p>
                  <w:p>
                    <w:pPr>
                      <w:ind w:left="1540"/>
                      <w:spacing w:before="107" w:line="222" w:lineRule="auto"/>
                      <w:rPr>
                        <w:rFonts w:ascii="SimSun" w:hAnsi="SimSun" w:eastAsia="SimSun" w:cs="SimSun"/>
                        <w:sz w:val="12"/>
                        <w:szCs w:val="12"/>
                      </w:rPr>
                    </w:pPr>
                    <w:r>
                      <w:rPr>
                        <w:rFonts w:ascii="Dotum" w:hAnsi="Dotum" w:eastAsia="Dotum" w:cs="Dotum"/>
                        <w:sz w:val="12"/>
                        <w:szCs w:val="12"/>
                        <w:spacing w:val="-1"/>
                      </w:rPr>
                      <w:t>▶</w:t>
                    </w:r>
                    <w:r>
                      <w:rPr>
                        <w:rFonts w:ascii="SimSun" w:hAnsi="SimSun" w:eastAsia="SimSun" w:cs="SimSun"/>
                        <w:sz w:val="12"/>
                        <w:szCs w:val="12"/>
                        <w:spacing w:val="-1"/>
                      </w:rPr>
                      <w:t>蒸发损耗6.00</w:t>
                    </w:r>
                  </w:p>
                  <w:p>
                    <w:pPr>
                      <w:ind w:left="2580"/>
                      <w:spacing w:before="17" w:line="77" w:lineRule="exact"/>
                      <w:rPr>
                        <w:rFonts w:ascii="Times New Roman" w:hAnsi="Times New Roman" w:eastAsia="Times New Roman" w:cs="Times New Roman"/>
                        <w:sz w:val="12"/>
                        <w:szCs w:val="12"/>
                      </w:rPr>
                    </w:pPr>
                    <w:r>
                      <w:rPr>
                        <w:rFonts w:ascii="Times New Roman" w:hAnsi="Times New Roman" w:eastAsia="Times New Roman" w:cs="Times New Roman"/>
                        <w:sz w:val="12"/>
                        <w:szCs w:val="12"/>
                        <w:spacing w:val="-3"/>
                        <w:position w:val="-2"/>
                      </w:rPr>
                      <w:t>12.00</w:t>
                    </w:r>
                  </w:p>
                  <w:p>
                    <w:pPr>
                      <w:ind w:left="590"/>
                      <w:spacing w:line="208" w:lineRule="auto"/>
                      <w:rPr>
                        <w:rFonts w:ascii="SimSun" w:hAnsi="SimSun" w:eastAsia="SimSun" w:cs="SimSun"/>
                        <w:sz w:val="12"/>
                        <w:szCs w:val="12"/>
                      </w:rPr>
                    </w:pPr>
                    <w:r>
                      <w:rPr>
                        <w:rFonts w:ascii="SimSun" w:hAnsi="SimSun" w:eastAsia="SimSun" w:cs="SimSun"/>
                        <w:sz w:val="12"/>
                        <w:szCs w:val="12"/>
                        <w:spacing w:val="3"/>
                      </w:rPr>
                      <w:t>冷却系统补充用</w:t>
                    </w:r>
                  </w:p>
                  <w:p>
                    <w:pPr>
                      <w:ind w:left="1160"/>
                      <w:spacing w:before="57" w:line="219" w:lineRule="auto"/>
                      <w:rPr>
                        <w:rFonts w:ascii="SimSun" w:hAnsi="SimSun" w:eastAsia="SimSun" w:cs="SimSun"/>
                        <w:sz w:val="12"/>
                        <w:szCs w:val="12"/>
                      </w:rPr>
                    </w:pPr>
                    <w:r>
                      <w:rPr>
                        <w:rFonts w:ascii="SimSun" w:hAnsi="SimSun" w:eastAsia="SimSun" w:cs="SimSun"/>
                        <w:sz w:val="12"/>
                        <w:szCs w:val="12"/>
                        <w:spacing w:val="3"/>
                      </w:rPr>
                      <w:t>循环水量600</w:t>
                    </w:r>
                  </w:p>
                  <w:p>
                    <w:pPr>
                      <w:ind w:left="1540"/>
                      <w:spacing w:before="147" w:line="219" w:lineRule="auto"/>
                      <w:rPr>
                        <w:rFonts w:ascii="SimSun" w:hAnsi="SimSun" w:eastAsia="SimSun" w:cs="SimSun"/>
                        <w:sz w:val="12"/>
                        <w:szCs w:val="12"/>
                      </w:rPr>
                    </w:pPr>
                    <w:r>
                      <w:rPr>
                        <w:rFonts w:ascii="SimSun" w:hAnsi="SimSun" w:eastAsia="SimSun" w:cs="SimSun"/>
                        <w:sz w:val="12"/>
                        <w:szCs w:val="12"/>
                        <w:spacing w:val="-5"/>
                      </w:rPr>
                      <w:t>→ 蒸发损耗0.06</w:t>
                    </w:r>
                  </w:p>
                  <w:p>
                    <w:pPr>
                      <w:ind w:left="769"/>
                      <w:spacing w:before="107" w:line="218" w:lineRule="auto"/>
                      <w:rPr>
                        <w:rFonts w:ascii="SimSun" w:hAnsi="SimSun" w:eastAsia="SimSun" w:cs="SimSun"/>
                        <w:sz w:val="12"/>
                        <w:szCs w:val="12"/>
                      </w:rPr>
                    </w:pPr>
                    <w:r>
                      <w:rPr>
                        <w:rFonts w:ascii="SimSun" w:hAnsi="SimSun" w:eastAsia="SimSun" w:cs="SimSun"/>
                        <w:sz w:val="12"/>
                        <w:szCs w:val="12"/>
                        <w:spacing w:val="5"/>
                      </w:rPr>
                      <w:t>喷淋塔用水</w:t>
                    </w:r>
                  </w:p>
                  <w:p>
                    <w:pPr>
                      <w:ind w:left="1150"/>
                      <w:spacing w:before="89" w:line="219" w:lineRule="auto"/>
                      <w:rPr>
                        <w:rFonts w:ascii="SimSun" w:hAnsi="SimSun" w:eastAsia="SimSun" w:cs="SimSun"/>
                        <w:sz w:val="12"/>
                        <w:szCs w:val="12"/>
                      </w:rPr>
                    </w:pPr>
                    <w:r>
                      <w:rPr>
                        <w:rFonts w:ascii="SimSun" w:hAnsi="SimSun" w:eastAsia="SimSun" w:cs="SimSun"/>
                        <w:sz w:val="12"/>
                        <w:szCs w:val="12"/>
                        <w:spacing w:val="-1"/>
                      </w:rPr>
                      <w:t>循环水量3.0</w:t>
                    </w:r>
                  </w:p>
                  <w:p>
                    <w:pPr>
                      <w:ind w:left="2439"/>
                      <w:spacing w:before="60" w:line="188" w:lineRule="auto"/>
                      <w:rPr>
                        <w:rFonts w:ascii="Times New Roman" w:hAnsi="Times New Roman" w:eastAsia="Times New Roman" w:cs="Times New Roman"/>
                        <w:sz w:val="9"/>
                        <w:szCs w:val="9"/>
                      </w:rPr>
                    </w:pPr>
                    <w:r>
                      <w:rPr>
                        <w:rFonts w:ascii="Times New Roman" w:hAnsi="Times New Roman" w:eastAsia="Times New Roman" w:cs="Times New Roman"/>
                        <w:sz w:val="9"/>
                        <w:szCs w:val="9"/>
                        <w:spacing w:val="-1"/>
                      </w:rPr>
                      <w:t>4.00</w:t>
                    </w:r>
                  </w:p>
                  <w:p>
                    <w:pPr>
                      <w:ind w:left="819"/>
                      <w:spacing w:before="97" w:line="217" w:lineRule="auto"/>
                      <w:rPr>
                        <w:rFonts w:ascii="SimSun" w:hAnsi="SimSun" w:eastAsia="SimSun" w:cs="SimSun"/>
                        <w:sz w:val="12"/>
                        <w:szCs w:val="12"/>
                      </w:rPr>
                    </w:pPr>
                    <w:r>
                      <w:rPr>
                        <w:rFonts w:ascii="SimSun" w:hAnsi="SimSun" w:eastAsia="SimSun" w:cs="SimSun"/>
                        <w:sz w:val="12"/>
                        <w:szCs w:val="12"/>
                        <w:spacing w:val="6"/>
                      </w:rPr>
                      <w:t>锅炉用水</w:t>
                    </w:r>
                  </w:p>
                  <w:p>
                    <w:pPr>
                      <w:ind w:left="2429"/>
                      <w:spacing w:line="76" w:lineRule="exact"/>
                      <w:rPr>
                        <w:rFonts w:ascii="Times New Roman" w:hAnsi="Times New Roman" w:eastAsia="Times New Roman" w:cs="Times New Roman"/>
                        <w:sz w:val="12"/>
                        <w:szCs w:val="12"/>
                      </w:rPr>
                    </w:pPr>
                    <w:r>
                      <w:rPr>
                        <w:rFonts w:ascii="Times New Roman" w:hAnsi="Times New Roman" w:eastAsia="Times New Roman" w:cs="Times New Roman"/>
                        <w:sz w:val="12"/>
                        <w:szCs w:val="12"/>
                        <w:spacing w:val="-3"/>
                        <w:position w:val="-2"/>
                      </w:rPr>
                      <w:t>12.00</w:t>
                    </w:r>
                  </w:p>
                  <w:p>
                    <w:pPr>
                      <w:ind w:left="3160"/>
                      <w:spacing w:before="1" w:line="207" w:lineRule="auto"/>
                      <w:rPr>
                        <w:rFonts w:ascii="SimSun" w:hAnsi="SimSun" w:eastAsia="SimSun" w:cs="SimSun"/>
                        <w:sz w:val="12"/>
                        <w:szCs w:val="12"/>
                      </w:rPr>
                    </w:pPr>
                    <w:r>
                      <w:rPr>
                        <w:rFonts w:ascii="SimSun" w:hAnsi="SimSun" w:eastAsia="SimSun" w:cs="SimSun"/>
                        <w:sz w:val="12"/>
                        <w:szCs w:val="12"/>
                        <w:spacing w:val="-1"/>
                      </w:rPr>
                      <w:t>锅炉用软水二</w:t>
                    </w:r>
                  </w:p>
                  <w:p>
                    <w:pPr>
                      <w:ind w:left="819"/>
                      <w:spacing w:before="167" w:line="235" w:lineRule="auto"/>
                      <w:rPr>
                        <w:rFonts w:ascii="SimSun" w:hAnsi="SimSun" w:eastAsia="SimSun" w:cs="SimSun"/>
                        <w:sz w:val="12"/>
                        <w:szCs w:val="12"/>
                      </w:rPr>
                    </w:pPr>
                    <w:r>
                      <w:rPr>
                        <w:rFonts w:ascii="SimSun" w:hAnsi="SimSun" w:eastAsia="SimSun" w:cs="SimSun"/>
                        <w:sz w:val="12"/>
                        <w:szCs w:val="12"/>
                        <w:spacing w:val="1"/>
                        <w:position w:val="-1"/>
                      </w:rPr>
                      <w:t>绿化用水</w:t>
                    </w:r>
                    <w:r>
                      <w:rPr>
                        <w:rFonts w:ascii="SimSun" w:hAnsi="SimSun" w:eastAsia="SimSun" w:cs="SimSun"/>
                        <w:sz w:val="12"/>
                        <w:szCs w:val="12"/>
                        <w:position w:val="-1"/>
                      </w:rPr>
                      <w:t xml:space="preserve">               </w:t>
                    </w:r>
                    <w:r>
                      <w:rPr>
                        <w:rFonts w:ascii="SimSun" w:hAnsi="SimSun" w:eastAsia="SimSun" w:cs="SimSun"/>
                        <w:sz w:val="12"/>
                        <w:szCs w:val="12"/>
                        <w:spacing w:val="1"/>
                      </w:rPr>
                      <w:t>蒸发损耗0.29</w:t>
                    </w:r>
                  </w:p>
                  <w:p>
                    <w:pPr>
                      <w:spacing w:line="292" w:lineRule="auto"/>
                      <w:rPr>
                        <w:rFonts w:ascii="Arial"/>
                        <w:sz w:val="21"/>
                      </w:rPr>
                    </w:pPr>
                    <w:r/>
                  </w:p>
                  <w:p>
                    <w:pPr>
                      <w:ind w:left="20"/>
                      <w:spacing w:before="35"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2"/>
                      </w:rPr>
                      <w:t>80.45</w:t>
                    </w:r>
                  </w:p>
                </w:txbxContent>
              </v:textbox>
            </v:shape>
            <v:shape id="_x0000_s102" style="position:absolute;left:7379;top:2064;width:658;height:645;" filled="false" stroked="false" type="#_x0000_t202">
              <v:fill on="false"/>
              <v:stroke on="false"/>
              <v:path/>
              <v:imagedata o:title=""/>
              <o:lock v:ext="edit" aspectratio="false"/>
              <v:textbox inset="0mm,0mm,0mm,0mm">
                <w:txbxContent>
                  <w:p>
                    <w:pPr>
                      <w:ind w:left="20"/>
                      <w:spacing w:before="19" w:line="219" w:lineRule="auto"/>
                      <w:rPr>
                        <w:rFonts w:ascii="SimSun" w:hAnsi="SimSun" w:eastAsia="SimSun" w:cs="SimSun"/>
                        <w:sz w:val="12"/>
                        <w:szCs w:val="12"/>
                      </w:rPr>
                    </w:pPr>
                    <w:r>
                      <w:rPr>
                        <w:rFonts w:ascii="SimSun" w:hAnsi="SimSun" w:eastAsia="SimSun" w:cs="SimSun"/>
                        <w:sz w:val="12"/>
                        <w:szCs w:val="12"/>
                        <w:spacing w:val="2"/>
                      </w:rPr>
                      <w:t>安州区第三</w:t>
                    </w:r>
                  </w:p>
                  <w:p>
                    <w:pPr>
                      <w:ind w:left="20"/>
                      <w:spacing w:before="128" w:line="219" w:lineRule="auto"/>
                      <w:rPr>
                        <w:rFonts w:ascii="SimSun" w:hAnsi="SimSun" w:eastAsia="SimSun" w:cs="SimSun"/>
                        <w:sz w:val="12"/>
                        <w:szCs w:val="12"/>
                      </w:rPr>
                    </w:pPr>
                    <w:r>
                      <w:rPr>
                        <w:rFonts w:ascii="SimSun" w:hAnsi="SimSun" w:eastAsia="SimSun" w:cs="SimSun"/>
                        <w:sz w:val="12"/>
                        <w:szCs w:val="12"/>
                        <w:spacing w:val="3"/>
                      </w:rPr>
                      <w:t>污水处理厂</w:t>
                    </w:r>
                  </w:p>
                  <w:p>
                    <w:pPr>
                      <w:ind w:left="460"/>
                      <w:spacing w:before="109"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2"/>
                      </w:rPr>
                      <w:t>666</w:t>
                    </w:r>
                  </w:p>
                </w:txbxContent>
              </v:textbox>
            </v:shape>
            <v:shape id="_x0000_s104" style="position:absolute;left:5839;top:5064;width:2086;height:200;" filled="false" stroked="false" type="#_x0000_t202">
              <v:fill on="false"/>
              <v:stroke on="false"/>
              <v:path/>
              <v:imagedata o:title=""/>
              <o:lock v:ext="edit" aspectratio="false"/>
              <v:textbox inset="0mm,0mm,0mm,0mm">
                <w:txbxContent>
                  <w:p>
                    <w:pPr>
                      <w:ind w:left="20"/>
                      <w:spacing w:before="19" w:line="218" w:lineRule="auto"/>
                      <w:rPr>
                        <w:rFonts w:ascii="SimSun" w:hAnsi="SimSun" w:eastAsia="SimSun" w:cs="SimSun"/>
                        <w:sz w:val="12"/>
                        <w:szCs w:val="12"/>
                      </w:rPr>
                    </w:pPr>
                    <w:r>
                      <w:rPr>
                        <w:rFonts w:ascii="SimSun" w:hAnsi="SimSun" w:eastAsia="SimSun" w:cs="SimSun"/>
                        <w:sz w:val="12"/>
                        <w:szCs w:val="12"/>
                        <w:spacing w:val="1"/>
                        <w:position w:val="-2"/>
                      </w:rPr>
                      <w:t>蒸汽用于生产二   </w:t>
                    </w:r>
                    <w:r>
                      <w:rPr>
                        <w:rFonts w:ascii="Times New Roman" w:hAnsi="Times New Roman" w:eastAsia="Times New Roman" w:cs="Times New Roman"/>
                        <w:sz w:val="12"/>
                        <w:szCs w:val="12"/>
                        <w:spacing w:val="1"/>
                        <w:position w:val="3"/>
                      </w:rPr>
                      <w:t>12.00        </w:t>
                    </w:r>
                    <w:r>
                      <w:rPr>
                        <w:rFonts w:ascii="SimSun" w:hAnsi="SimSun" w:eastAsia="SimSun" w:cs="SimSun"/>
                        <w:sz w:val="12"/>
                        <w:szCs w:val="12"/>
                        <w:spacing w:val="1"/>
                        <w:position w:val="1"/>
                      </w:rPr>
                      <w:t>蒸发损耗</w:t>
                    </w:r>
                  </w:p>
                </w:txbxContent>
              </v:textbox>
            </v:shape>
            <v:shape id="_x0000_s106" style="position:absolute;left:7339;top:1394;width:871;height:415;"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12"/>
                        <w:szCs w:val="12"/>
                      </w:rPr>
                    </w:pPr>
                    <w:r>
                      <w:rPr>
                        <w:rFonts w:ascii="SimSun" w:hAnsi="SimSun" w:eastAsia="SimSun" w:cs="SimSun"/>
                        <w:sz w:val="12"/>
                        <w:szCs w:val="12"/>
                        <w:spacing w:val="18"/>
                      </w:rPr>
                      <w:t>市政污水管网</w:t>
                    </w:r>
                  </w:p>
                  <w:p>
                    <w:pPr>
                      <w:ind w:left="500"/>
                      <w:spacing w:before="149"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2"/>
                      </w:rPr>
                      <w:t>666</w:t>
                    </w:r>
                  </w:p>
                </w:txbxContent>
              </v:textbox>
            </v:shape>
            <v:shape id="_x0000_s108" style="position:absolute;left:1859;top:5934;width:2403;height:160;"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12"/>
                        <w:szCs w:val="12"/>
                      </w:rPr>
                    </w:pPr>
                    <w:r>
                      <w:rPr>
                        <w:rFonts w:ascii="SimSun" w:hAnsi="SimSun" w:eastAsia="SimSun" w:cs="SimSun"/>
                        <w:sz w:val="12"/>
                        <w:szCs w:val="12"/>
                        <w:spacing w:val="1"/>
                      </w:rPr>
                      <w:t>不可预计用水              蒸发</w:t>
                    </w:r>
                    <w:r>
                      <w:rPr>
                        <w:rFonts w:ascii="SimSun" w:hAnsi="SimSun" w:eastAsia="SimSun" w:cs="SimSun"/>
                        <w:sz w:val="12"/>
                        <w:szCs w:val="12"/>
                      </w:rPr>
                      <w:t>损耗80.45</w:t>
                    </w:r>
                  </w:p>
                </w:txbxContent>
              </v:textbox>
            </v:shape>
            <v:shape id="_x0000_s110" style="position:absolute;left:5239;top:2886;width:555;height:399;" filled="false" stroked="false" type="#_x0000_t202">
              <v:fill on="false"/>
              <v:stroke on="false"/>
              <v:path/>
              <v:imagedata o:title=""/>
              <o:lock v:ext="edit" aspectratio="false"/>
              <v:textbox inset="0mm,0mm,0mm,0mm">
                <w:txbxContent>
                  <w:p>
                    <w:pPr>
                      <w:ind w:right="15"/>
                      <w:spacing w:before="20" w:line="188" w:lineRule="auto"/>
                      <w:jc w:val="right"/>
                      <w:rPr>
                        <w:rFonts w:ascii="Times New Roman" w:hAnsi="Times New Roman" w:eastAsia="Times New Roman" w:cs="Times New Roman"/>
                        <w:sz w:val="12"/>
                        <w:szCs w:val="12"/>
                      </w:rPr>
                    </w:pPr>
                    <w:r>
                      <w:rPr>
                        <w:rFonts w:ascii="Times New Roman" w:hAnsi="Times New Roman" w:eastAsia="Times New Roman" w:cs="Times New Roman"/>
                        <w:sz w:val="12"/>
                        <w:szCs w:val="12"/>
                        <w:spacing w:val="-3"/>
                      </w:rPr>
                      <w:t>1.70</w:t>
                    </w:r>
                  </w:p>
                  <w:p>
                    <w:pPr>
                      <w:ind w:left="20"/>
                      <w:spacing w:before="130" w:line="219" w:lineRule="auto"/>
                      <w:rPr>
                        <w:rFonts w:ascii="SimSun" w:hAnsi="SimSun" w:eastAsia="SimSun" w:cs="SimSun"/>
                        <w:sz w:val="12"/>
                        <w:szCs w:val="12"/>
                      </w:rPr>
                    </w:pPr>
                    <w:r>
                      <w:rPr>
                        <w:rFonts w:ascii="SimSun" w:hAnsi="SimSun" w:eastAsia="SimSun" w:cs="SimSun"/>
                        <w:sz w:val="12"/>
                        <w:szCs w:val="12"/>
                        <w:spacing w:val="6"/>
                      </w:rPr>
                      <w:t>初期雨水</w:t>
                    </w:r>
                  </w:p>
                </w:txbxContent>
              </v:textbox>
            </v:shape>
            <v:shape id="_x0000_s112" style="position:absolute;left:4749;top:2371;width:1446;height:168;" filled="false" stroked="false" type="#_x0000_t202">
              <v:fill on="false"/>
              <v:stroke on="false"/>
              <v:path/>
              <v:imagedata o:title=""/>
              <o:lock v:ext="edit" aspectratio="false"/>
              <v:textbox inset="0mm,0mm,0mm,0mm">
                <w:txbxContent>
                  <w:p>
                    <w:pPr>
                      <w:ind w:left="20"/>
                      <w:spacing w:before="20" w:line="212" w:lineRule="auto"/>
                      <w:rPr>
                        <w:rFonts w:ascii="Times New Roman" w:hAnsi="Times New Roman" w:eastAsia="Times New Roman" w:cs="Times New Roman"/>
                        <w:sz w:val="12"/>
                        <w:szCs w:val="12"/>
                      </w:rPr>
                    </w:pPr>
                    <w:r>
                      <w:rPr>
                        <w:rFonts w:ascii="SimSun" w:hAnsi="SimSun" w:eastAsia="SimSun" w:cs="SimSun"/>
                        <w:sz w:val="12"/>
                        <w:szCs w:val="12"/>
                        <w:spacing w:val="6"/>
                      </w:rPr>
                      <w:t>厂区污水处理站(1600</w:t>
                    </w:r>
                    <w:r>
                      <w:rPr>
                        <w:rFonts w:ascii="Times New Roman" w:hAnsi="Times New Roman" w:eastAsia="Times New Roman" w:cs="Times New Roman"/>
                        <w:sz w:val="12"/>
                        <w:szCs w:val="12"/>
                        <w:spacing w:val="6"/>
                      </w:rPr>
                      <w:t>t/d)</w:t>
                    </w:r>
                  </w:p>
                </w:txbxContent>
              </v:textbox>
            </v:shape>
            <v:shape id="_x0000_s114" style="position:absolute;left:1169;top:3026;width:296;height:554;"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1"/>
                      </w:rPr>
                      <w:t>6.00</w:t>
                    </w:r>
                  </w:p>
                  <w:p>
                    <w:pPr>
                      <w:spacing w:line="285" w:lineRule="auto"/>
                      <w:rPr>
                        <w:rFonts w:ascii="Arial"/>
                        <w:sz w:val="21"/>
                      </w:rPr>
                    </w:pPr>
                    <w:r/>
                  </w:p>
                  <w:p>
                    <w:pPr>
                      <w:ind w:left="20"/>
                      <w:spacing w:before="35"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3"/>
                      </w:rPr>
                      <w:t>18.00</w:t>
                    </w:r>
                  </w:p>
                </w:txbxContent>
              </v:textbox>
            </v:shape>
            <v:shape id="_x0000_s116" style="position:absolute;left:4639;top:295;width:865;height:165;" filled="false" stroked="false" type="#_x0000_t202">
              <v:fill on="false"/>
              <v:stroke on="false"/>
              <v:path/>
              <v:imagedata o:title=""/>
              <o:lock v:ext="edit" aspectratio="false"/>
              <v:textbox inset="0mm,0mm,0mm,0mm">
                <w:txbxContent>
                  <w:p>
                    <w:pPr>
                      <w:ind w:left="20"/>
                      <w:spacing w:before="20" w:line="206" w:lineRule="auto"/>
                      <w:rPr>
                        <w:rFonts w:ascii="Times New Roman" w:hAnsi="Times New Roman" w:eastAsia="Times New Roman" w:cs="Times New Roman"/>
                        <w:sz w:val="12"/>
                        <w:szCs w:val="12"/>
                      </w:rPr>
                    </w:pPr>
                    <w:r>
                      <w:rPr>
                        <w:rFonts w:ascii="SimSun" w:hAnsi="SimSun" w:eastAsia="SimSun" w:cs="SimSun"/>
                        <w:sz w:val="12"/>
                        <w:szCs w:val="12"/>
                        <w:spacing w:val="1"/>
                      </w:rPr>
                      <w:t>预处理池</w:t>
                    </w:r>
                    <w:r>
                      <w:rPr>
                        <w:rFonts w:ascii="Times New Roman" w:hAnsi="Times New Roman" w:eastAsia="Times New Roman" w:cs="Times New Roman"/>
                        <w:sz w:val="12"/>
                        <w:szCs w:val="12"/>
                        <w:spacing w:val="1"/>
                      </w:rPr>
                      <w:t>(20m³)</w:t>
                    </w:r>
                  </w:p>
                </w:txbxContent>
              </v:textbox>
            </v:shape>
            <v:shape id="_x0000_s118" style="position:absolute;left:131;top:2821;width:187;height:572;" filled="false" stroked="false" type="#_x0000_t202">
              <v:fill on="false"/>
              <v:stroke on="false"/>
              <v:path/>
              <v:imagedata o:title=""/>
              <o:lock v:ext="edit" aspectratio="false"/>
              <v:textbox inset="0mm,0mm,0mm,0mm" style="layout-flow:vertical-ideographic;">
                <w:txbxContent>
                  <w:p>
                    <w:pPr>
                      <w:ind w:left="20"/>
                      <w:spacing w:before="20" w:line="199" w:lineRule="auto"/>
                      <w:rPr>
                        <w:rFonts w:ascii="SimSun" w:hAnsi="SimSun" w:eastAsia="SimSun" w:cs="SimSun"/>
                        <w:sz w:val="16"/>
                        <w:szCs w:val="16"/>
                      </w:rPr>
                    </w:pPr>
                    <w:r>
                      <w:rPr>
                        <w:rFonts w:ascii="SimSun" w:hAnsi="SimSun" w:eastAsia="SimSun" w:cs="SimSun"/>
                        <w:sz w:val="16"/>
                        <w:szCs w:val="16"/>
                        <w:spacing w:val="17"/>
                      </w:rPr>
                      <w:t>自来水</w:t>
                    </w:r>
                  </w:p>
                </w:txbxContent>
              </v:textbox>
            </v:shape>
            <v:shape id="_x0000_s120" style="position:absolute;left:4619;top:4744;width:535;height:160;"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12"/>
                        <w:szCs w:val="12"/>
                      </w:rPr>
                    </w:pPr>
                    <w:r>
                      <w:rPr>
                        <w:rFonts w:ascii="SimSun" w:hAnsi="SimSun" w:eastAsia="SimSun" w:cs="SimSun"/>
                        <w:sz w:val="12"/>
                        <w:szCs w:val="12"/>
                        <w:spacing w:val="3"/>
                      </w:rPr>
                      <w:t>锅炉废水</w:t>
                    </w:r>
                  </w:p>
                </w:txbxContent>
              </v:textbox>
            </v:shape>
            <v:shape id="_x0000_s122" style="position:absolute;left:3829;top:925;width:509;height:160;" filled="false" stroked="false" type="#_x0000_t202">
              <v:fill on="false"/>
              <v:stroke on="false"/>
              <v:path/>
              <v:imagedata o:title=""/>
              <o:lock v:ext="edit" aspectratio="false"/>
              <v:textbox inset="0mm,0mm,0mm,0mm">
                <w:txbxContent>
                  <w:p>
                    <w:pPr>
                      <w:ind w:left="20"/>
                      <w:spacing w:before="19" w:line="221" w:lineRule="auto"/>
                      <w:rPr>
                        <w:rFonts w:ascii="SimSun" w:hAnsi="SimSun" w:eastAsia="SimSun" w:cs="SimSun"/>
                        <w:sz w:val="12"/>
                        <w:szCs w:val="12"/>
                      </w:rPr>
                    </w:pPr>
                    <w:r>
                      <w:rPr>
                        <w:rFonts w:ascii="SimSun" w:hAnsi="SimSun" w:eastAsia="SimSun" w:cs="SimSun"/>
                        <w:sz w:val="12"/>
                        <w:szCs w:val="12"/>
                        <w:spacing w:val="-3"/>
                      </w:rPr>
                      <w:t>隔油池□</w:t>
                    </w:r>
                  </w:p>
                </w:txbxContent>
              </v:textbox>
            </v:shape>
            <v:shape id="_x0000_s124" style="position:absolute;left:5189;top:5047;width:445;height:172;"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12.00</w:t>
                    </w:r>
                  </w:p>
                </w:txbxContent>
              </v:textbox>
            </v:shape>
            <v:shape id="_x0000_s126" style="position:absolute;left:7569;top:3014;width:276;height:160;"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12"/>
                        <w:szCs w:val="12"/>
                      </w:rPr>
                    </w:pPr>
                    <w:r>
                      <w:rPr>
                        <w:rFonts w:ascii="SimSun" w:hAnsi="SimSun" w:eastAsia="SimSun" w:cs="SimSun"/>
                        <w:sz w:val="12"/>
                        <w:szCs w:val="12"/>
                        <w:spacing w:val="-2"/>
                      </w:rPr>
                      <w:t>涪江</w:t>
                    </w:r>
                  </w:p>
                </w:txbxContent>
              </v:textbox>
            </v:shape>
            <v:shape id="_x0000_s128" style="position:absolute;left:1139;top:1336;width:365;height:123;"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1"/>
                      </w:rPr>
                      <w:t>629.41</w:t>
                    </w:r>
                  </w:p>
                </w:txbxContent>
              </v:textbox>
            </v:shape>
            <v:shape id="_x0000_s130" style="position:absolute;left:459;top:3026;width:362;height:123;"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1"/>
                      </w:rPr>
                      <w:t>884.92</w:t>
                    </w:r>
                  </w:p>
                </w:txbxContent>
              </v:textbox>
            </v:shape>
            <v:shape id="_x0000_s132" style="position:absolute;left:4299;top:2346;width:305;height:123;"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1"/>
                      </w:rPr>
                      <w:t>645.9</w:t>
                    </w:r>
                  </w:p>
                </w:txbxContent>
              </v:textbox>
            </v:shape>
            <v:shape id="_x0000_s134" style="position:absolute;left:1139;top:4896;width:296;height:123;"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3"/>
                      </w:rPr>
                      <w:t>16.00</w:t>
                    </w:r>
                  </w:p>
                </w:txbxContent>
              </v:textbox>
            </v:shape>
            <v:shape id="_x0000_s136" style="position:absolute;left:4729;top:886;width:248;height:123;"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1"/>
                      </w:rPr>
                      <w:t>4.80</w:t>
                    </w:r>
                  </w:p>
                </w:txbxContent>
              </v:textbox>
            </v:shape>
            <v:shape id="_x0000_s138" style="position:absolute;left:3729;top:2425;width:248;height:123;"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1"/>
                      </w:rPr>
                      <w:t>4.80</w:t>
                    </w:r>
                  </w:p>
                </w:txbxContent>
              </v:textbox>
            </v:shape>
            <v:shape id="_x0000_s140" style="position:absolute;left:5749;top:4716;width:248;height:123;"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1"/>
                      </w:rPr>
                      <w:t>4.00</w:t>
                    </w:r>
                  </w:p>
                </w:txbxContent>
              </v:textbox>
            </v:shape>
            <v:shape id="_x0000_s142" style="position:absolute;left:1169;top:4255;width:246;height:123;"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1"/>
                      </w:rPr>
                      <w:t>0.06</w:t>
                    </w:r>
                  </w:p>
                </w:txbxContent>
              </v:textbox>
            </v:shape>
            <v:shape id="_x0000_s144" style="position:absolute;left:1169;top:5416;width:246;height:123;"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1"/>
                      </w:rPr>
                      <w:t>0.29</w:t>
                    </w:r>
                  </w:p>
                </w:txbxContent>
              </v:textbox>
            </v:shape>
            <v:shape id="_x0000_s146" style="position:absolute;left:4099;top:126;width:246;height:123;"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1"/>
                      </w:rPr>
                      <w:t>9.60</w:t>
                    </w:r>
                  </w:p>
                </w:txbxContent>
              </v:textbox>
            </v:shape>
            <v:shape id="_x0000_s148" style="position:absolute;left:3729;top:1936;width:246;height:123;"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1"/>
                      </w:rPr>
                      <w:t>94.1</w:t>
                    </w:r>
                  </w:p>
                </w:txbxContent>
              </v:textbox>
            </v:shape>
            <v:shape id="_x0000_s150" style="position:absolute;left:6889;top:1476;width:215;height:123;"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2"/>
                      </w:rPr>
                      <w:t>666</w:t>
                    </w:r>
                  </w:p>
                </w:txbxContent>
              </v:textbox>
            </v:shape>
            <v:shape id="_x0000_s152" style="position:absolute;left:3829;top:1316;width:215;height:123;"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2"/>
                        <w:szCs w:val="12"/>
                      </w:rPr>
                    </w:pPr>
                    <w:r>
                      <w:rPr>
                        <w:rFonts w:ascii="Times New Roman" w:hAnsi="Times New Roman" w:eastAsia="Times New Roman" w:cs="Times New Roman"/>
                        <w:sz w:val="12"/>
                        <w:szCs w:val="12"/>
                        <w:spacing w:val="-2"/>
                      </w:rPr>
                      <w:t>535</w:t>
                    </w:r>
                  </w:p>
                </w:txbxContent>
              </v:textbox>
            </v:shape>
          </v:group>
        </w:pict>
      </w:r>
    </w:p>
    <w:p>
      <w:pPr>
        <w:ind w:left="2068"/>
        <w:spacing w:before="44" w:line="219" w:lineRule="auto"/>
        <w:rPr>
          <w:rFonts w:ascii="SimSun" w:hAnsi="SimSun" w:eastAsia="SimSun" w:cs="SimSun"/>
          <w:sz w:val="23"/>
          <w:szCs w:val="23"/>
        </w:rPr>
      </w:pPr>
      <w:r>
        <w:rPr>
          <w:rFonts w:ascii="SimSun" w:hAnsi="SimSun" w:eastAsia="SimSun" w:cs="SimSun"/>
          <w:sz w:val="23"/>
          <w:szCs w:val="23"/>
          <w:b/>
          <w:bCs/>
          <w:spacing w:val="-2"/>
        </w:rPr>
        <w:t>图3.9-1淡季水平衡示意图(单位：</w:t>
      </w:r>
      <w:r>
        <w:rPr>
          <w:rFonts w:ascii="SimSun" w:hAnsi="SimSun" w:eastAsia="SimSun" w:cs="SimSun"/>
          <w:sz w:val="23"/>
          <w:szCs w:val="23"/>
          <w:spacing w:val="-2"/>
        </w:rPr>
        <w:t xml:space="preserve"> </w:t>
      </w:r>
      <w:r>
        <w:rPr>
          <w:rFonts w:ascii="SimSun" w:hAnsi="SimSun" w:eastAsia="SimSun" w:cs="SimSun"/>
          <w:sz w:val="23"/>
          <w:szCs w:val="23"/>
          <w:b/>
          <w:bCs/>
          <w:spacing w:val="-2"/>
        </w:rPr>
        <w:t>m³/d)</w:t>
      </w:r>
    </w:p>
    <w:p>
      <w:pPr>
        <w:ind w:left="118"/>
        <w:spacing w:before="218" w:line="222" w:lineRule="auto"/>
        <w:rPr>
          <w:rFonts w:ascii="SimHei" w:hAnsi="SimHei" w:eastAsia="SimHei" w:cs="SimHei"/>
          <w:sz w:val="27"/>
          <w:szCs w:val="27"/>
        </w:rPr>
      </w:pPr>
      <w:r>
        <w:rPr>
          <w:rFonts w:ascii="SimHei" w:hAnsi="SimHei" w:eastAsia="SimHei" w:cs="SimHei"/>
          <w:sz w:val="27"/>
          <w:szCs w:val="27"/>
          <w:b/>
          <w:bCs/>
          <w:spacing w:val="-6"/>
        </w:rPr>
        <w:t>3.9.2旺季水平衡分析</w:t>
      </w:r>
    </w:p>
    <w:p>
      <w:pPr>
        <w:ind w:left="605"/>
        <w:spacing w:before="219" w:line="219" w:lineRule="auto"/>
        <w:rPr>
          <w:rFonts w:ascii="SimSun" w:hAnsi="SimSun" w:eastAsia="SimSun" w:cs="SimSun"/>
          <w:sz w:val="23"/>
          <w:szCs w:val="23"/>
        </w:rPr>
      </w:pPr>
      <w:r>
        <w:rPr>
          <w:rFonts w:ascii="SimSun" w:hAnsi="SimSun" w:eastAsia="SimSun" w:cs="SimSun"/>
          <w:sz w:val="23"/>
          <w:szCs w:val="23"/>
          <w:spacing w:val="6"/>
        </w:rPr>
        <w:t>旺季水平衡分析结果见下表。</w:t>
      </w:r>
    </w:p>
    <w:p>
      <w:pPr>
        <w:ind w:left="3168"/>
        <w:spacing w:before="145" w:line="219" w:lineRule="auto"/>
        <w:rPr>
          <w:rFonts w:ascii="SimSun" w:hAnsi="SimSun" w:eastAsia="SimSun" w:cs="SimSun"/>
          <w:sz w:val="24"/>
          <w:szCs w:val="24"/>
        </w:rPr>
      </w:pPr>
      <w:r>
        <w:rPr>
          <w:rFonts w:ascii="SimSun" w:hAnsi="SimSun" w:eastAsia="SimSun" w:cs="SimSun"/>
          <w:sz w:val="24"/>
          <w:szCs w:val="24"/>
          <w:b/>
          <w:bCs/>
          <w:spacing w:val="-4"/>
        </w:rPr>
        <w:t>表3.9-3旺季水平衡表</w:t>
      </w:r>
    </w:p>
    <w:p>
      <w:pPr>
        <w:spacing w:line="144" w:lineRule="auto"/>
        <w:rPr>
          <w:rFonts w:ascii="Arial"/>
          <w:sz w:val="2"/>
        </w:rPr>
      </w:pPr>
      <w:r>
        <w:rPr>
          <w:rFonts w:ascii="Arial"/>
          <w:sz w:val="2"/>
        </w:rPr>
      </w:r>
    </w:p>
    <w:tbl>
      <w:tblPr>
        <w:tblStyle w:val="TableNormal"/>
        <w:tblW w:w="8509" w:type="dxa"/>
        <w:tblInd w:w="1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14"/>
        <w:gridCol w:w="1828"/>
        <w:gridCol w:w="1378"/>
        <w:gridCol w:w="1468"/>
        <w:gridCol w:w="639"/>
        <w:gridCol w:w="1029"/>
        <w:gridCol w:w="689"/>
        <w:gridCol w:w="964"/>
      </w:tblGrid>
      <w:tr>
        <w:trPr>
          <w:trHeight w:val="642" w:hRule="atLeast"/>
        </w:trPr>
        <w:tc>
          <w:tcPr>
            <w:shd w:val="clear" w:fill="BDBDBD"/>
            <w:tcW w:w="2342" w:type="dxa"/>
            <w:vAlign w:val="top"/>
            <w:gridSpan w:val="2"/>
          </w:tcPr>
          <w:p>
            <w:pPr>
              <w:pStyle w:val="TableText"/>
              <w:ind w:left="727"/>
              <w:spacing w:before="220" w:line="219" w:lineRule="auto"/>
              <w:rPr>
                <w:sz w:val="21"/>
                <w:szCs w:val="21"/>
              </w:rPr>
            </w:pPr>
            <w:r>
              <w:rPr>
                <w:sz w:val="21"/>
                <w:szCs w:val="21"/>
                <w:b/>
                <w:bCs/>
                <w:spacing w:val="-5"/>
              </w:rPr>
              <w:t>用水类型</w:t>
            </w:r>
          </w:p>
        </w:tc>
        <w:tc>
          <w:tcPr>
            <w:shd w:val="clear" w:fill="BDBDBD"/>
            <w:tcW w:w="1378" w:type="dxa"/>
            <w:vAlign w:val="top"/>
          </w:tcPr>
          <w:p>
            <w:pPr>
              <w:pStyle w:val="TableText"/>
              <w:ind w:left="475"/>
              <w:spacing w:before="220" w:line="219" w:lineRule="auto"/>
              <w:rPr>
                <w:sz w:val="21"/>
                <w:szCs w:val="21"/>
              </w:rPr>
            </w:pPr>
            <w:r>
              <w:rPr>
                <w:sz w:val="21"/>
                <w:szCs w:val="21"/>
                <w:b/>
                <w:bCs/>
                <w:spacing w:val="-6"/>
              </w:rPr>
              <w:t>定额</w:t>
            </w:r>
          </w:p>
        </w:tc>
        <w:tc>
          <w:tcPr>
            <w:shd w:val="clear" w:fill="BDBDBD"/>
            <w:tcW w:w="1468" w:type="dxa"/>
            <w:vAlign w:val="top"/>
          </w:tcPr>
          <w:p>
            <w:pPr>
              <w:pStyle w:val="TableText"/>
              <w:ind w:left="517"/>
              <w:spacing w:before="220" w:line="219" w:lineRule="auto"/>
              <w:rPr>
                <w:sz w:val="21"/>
                <w:szCs w:val="21"/>
              </w:rPr>
            </w:pPr>
            <w:r>
              <w:rPr>
                <w:sz w:val="21"/>
                <w:szCs w:val="21"/>
                <w:b/>
                <w:bCs/>
                <w:spacing w:val="-5"/>
              </w:rPr>
              <w:t>数量</w:t>
            </w:r>
          </w:p>
        </w:tc>
        <w:tc>
          <w:tcPr>
            <w:shd w:val="clear" w:fill="BDBDBD"/>
            <w:tcW w:w="639" w:type="dxa"/>
            <w:vAlign w:val="top"/>
          </w:tcPr>
          <w:p>
            <w:pPr>
              <w:pStyle w:val="TableText"/>
              <w:ind w:left="109"/>
              <w:spacing w:before="51" w:line="220" w:lineRule="auto"/>
              <w:rPr>
                <w:sz w:val="21"/>
                <w:szCs w:val="21"/>
              </w:rPr>
            </w:pPr>
            <w:r>
              <w:rPr>
                <w:sz w:val="21"/>
                <w:szCs w:val="21"/>
                <w:b/>
                <w:bCs/>
                <w:spacing w:val="-5"/>
              </w:rPr>
              <w:t>工作</w:t>
            </w:r>
          </w:p>
          <w:p>
            <w:pPr>
              <w:pStyle w:val="TableText"/>
              <w:ind w:left="109"/>
              <w:spacing w:before="39" w:line="219" w:lineRule="auto"/>
              <w:rPr>
                <w:sz w:val="21"/>
                <w:szCs w:val="21"/>
              </w:rPr>
            </w:pPr>
            <w:r>
              <w:rPr>
                <w:sz w:val="21"/>
                <w:szCs w:val="21"/>
                <w:b/>
                <w:bCs/>
                <w:spacing w:val="-6"/>
              </w:rPr>
              <w:t>天数</w:t>
            </w:r>
          </w:p>
        </w:tc>
        <w:tc>
          <w:tcPr>
            <w:shd w:val="clear" w:fill="BDBDBD"/>
            <w:tcW w:w="1029" w:type="dxa"/>
            <w:vAlign w:val="top"/>
          </w:tcPr>
          <w:p>
            <w:pPr>
              <w:pStyle w:val="TableText"/>
              <w:ind w:left="200"/>
              <w:spacing w:before="70" w:line="219" w:lineRule="auto"/>
              <w:rPr>
                <w:sz w:val="21"/>
                <w:szCs w:val="21"/>
              </w:rPr>
            </w:pPr>
            <w:r>
              <w:rPr>
                <w:sz w:val="21"/>
                <w:szCs w:val="21"/>
                <w:b/>
                <w:bCs/>
                <w:spacing w:val="-5"/>
              </w:rPr>
              <w:t>用水量</w:t>
            </w:r>
          </w:p>
          <w:p>
            <w:pPr>
              <w:pStyle w:val="TableText"/>
              <w:ind w:left="141"/>
              <w:spacing w:before="34" w:line="222" w:lineRule="auto"/>
              <w:rPr>
                <w:sz w:val="21"/>
                <w:szCs w:val="21"/>
              </w:rPr>
            </w:pPr>
            <w:r>
              <w:rPr>
                <w:sz w:val="21"/>
                <w:szCs w:val="21"/>
                <w:b/>
                <w:bCs/>
                <w:spacing w:val="-9"/>
              </w:rPr>
              <w:t>(m³/d)</w:t>
            </w:r>
          </w:p>
        </w:tc>
        <w:tc>
          <w:tcPr>
            <w:shd w:val="clear" w:fill="0C0C0C"/>
            <w:tcW w:w="689" w:type="dxa"/>
            <w:vAlign w:val="top"/>
          </w:tcPr>
          <w:p>
            <w:pPr>
              <w:pStyle w:val="TableText"/>
              <w:ind w:left="131"/>
              <w:spacing w:before="51" w:line="221" w:lineRule="auto"/>
              <w:rPr>
                <w:sz w:val="21"/>
                <w:szCs w:val="21"/>
              </w:rPr>
            </w:pPr>
            <w:r>
              <w:rPr>
                <w:sz w:val="21"/>
                <w:szCs w:val="21"/>
                <w:b/>
                <w:bCs/>
                <w:spacing w:val="-5"/>
              </w:rPr>
              <w:t>排放</w:t>
            </w:r>
          </w:p>
          <w:p>
            <w:pPr>
              <w:pStyle w:val="TableText"/>
              <w:ind w:left="131"/>
              <w:spacing w:before="37" w:line="219" w:lineRule="auto"/>
              <w:rPr>
                <w:sz w:val="21"/>
                <w:szCs w:val="21"/>
              </w:rPr>
            </w:pPr>
            <w:r>
              <w:rPr>
                <w:sz w:val="21"/>
                <w:szCs w:val="21"/>
                <w:b/>
                <w:bCs/>
                <w:spacing w:val="-6"/>
              </w:rPr>
              <w:t>系数</w:t>
            </w:r>
          </w:p>
        </w:tc>
        <w:tc>
          <w:tcPr>
            <w:shd w:val="clear" w:fill="BDBDBD"/>
            <w:tcW w:w="964" w:type="dxa"/>
            <w:vAlign w:val="top"/>
          </w:tcPr>
          <w:p>
            <w:pPr>
              <w:pStyle w:val="TableText"/>
              <w:ind w:left="162"/>
              <w:spacing w:before="70" w:line="219" w:lineRule="auto"/>
              <w:rPr>
                <w:sz w:val="21"/>
                <w:szCs w:val="21"/>
              </w:rPr>
            </w:pPr>
            <w:r>
              <w:rPr>
                <w:sz w:val="21"/>
                <w:szCs w:val="21"/>
                <w:b/>
                <w:bCs/>
                <w:spacing w:val="-4"/>
              </w:rPr>
              <w:t>废水量</w:t>
            </w:r>
          </w:p>
          <w:p>
            <w:pPr>
              <w:pStyle w:val="TableText"/>
              <w:ind w:left="112"/>
              <w:spacing w:before="34" w:line="222" w:lineRule="auto"/>
              <w:rPr>
                <w:sz w:val="21"/>
                <w:szCs w:val="21"/>
              </w:rPr>
            </w:pPr>
            <w:r>
              <w:rPr>
                <w:sz w:val="21"/>
                <w:szCs w:val="21"/>
                <w:b/>
                <w:bCs/>
                <w:spacing w:val="-9"/>
              </w:rPr>
              <w:t>(m³/d)</w:t>
            </w:r>
          </w:p>
        </w:tc>
      </w:tr>
      <w:tr>
        <w:trPr>
          <w:trHeight w:val="259" w:hRule="atLeast"/>
        </w:trPr>
        <w:tc>
          <w:tcPr>
            <w:tcW w:w="514" w:type="dxa"/>
            <w:vAlign w:val="top"/>
            <w:vMerge w:val="restart"/>
            <w:tcBorders>
              <w:bottom w:val="nil"/>
            </w:tcBorders>
          </w:tcPr>
          <w:p>
            <w:pPr>
              <w:pStyle w:val="TableText"/>
              <w:ind w:left="35"/>
              <w:spacing w:before="162" w:line="220" w:lineRule="auto"/>
              <w:rPr>
                <w:sz w:val="21"/>
                <w:szCs w:val="21"/>
              </w:rPr>
            </w:pPr>
            <w:r>
              <w:rPr>
                <w:sz w:val="21"/>
                <w:szCs w:val="21"/>
                <w:spacing w:val="-3"/>
              </w:rPr>
              <w:t>生活</w:t>
            </w:r>
          </w:p>
          <w:p>
            <w:pPr>
              <w:pStyle w:val="TableText"/>
              <w:ind w:left="35"/>
              <w:spacing w:before="9" w:line="219" w:lineRule="auto"/>
              <w:rPr>
                <w:sz w:val="21"/>
                <w:szCs w:val="21"/>
              </w:rPr>
            </w:pPr>
            <w:r>
              <w:rPr>
                <w:sz w:val="21"/>
                <w:szCs w:val="21"/>
                <w:spacing w:val="-3"/>
              </w:rPr>
              <w:t>用水</w:t>
            </w:r>
          </w:p>
        </w:tc>
        <w:tc>
          <w:tcPr>
            <w:tcW w:w="1828" w:type="dxa"/>
            <w:vAlign w:val="top"/>
          </w:tcPr>
          <w:p>
            <w:pPr>
              <w:pStyle w:val="TableText"/>
              <w:ind w:left="480"/>
              <w:spacing w:before="31" w:line="191" w:lineRule="auto"/>
              <w:rPr>
                <w:sz w:val="21"/>
                <w:szCs w:val="21"/>
              </w:rPr>
            </w:pPr>
            <w:r>
              <w:rPr>
                <w:sz w:val="21"/>
                <w:szCs w:val="21"/>
                <w:spacing w:val="2"/>
              </w:rPr>
              <w:t>办公用水</w:t>
            </w:r>
          </w:p>
        </w:tc>
        <w:tc>
          <w:tcPr>
            <w:tcW w:w="1378" w:type="dxa"/>
            <w:vAlign w:val="top"/>
          </w:tcPr>
          <w:p>
            <w:pPr>
              <w:pStyle w:val="TableText"/>
              <w:ind w:left="202"/>
              <w:spacing w:before="35" w:line="188" w:lineRule="auto"/>
              <w:rPr>
                <w:sz w:val="21"/>
                <w:szCs w:val="21"/>
              </w:rPr>
            </w:pPr>
            <w:r>
              <w:rPr>
                <w:sz w:val="21"/>
                <w:szCs w:val="21"/>
                <w:spacing w:val="-9"/>
              </w:rPr>
              <w:t>60L/人</w:t>
            </w:r>
            <w:r>
              <w:rPr>
                <w:sz w:val="21"/>
                <w:szCs w:val="21"/>
                <w:spacing w:val="-20"/>
              </w:rPr>
              <w:t xml:space="preserve"> </w:t>
            </w:r>
            <w:r>
              <w:rPr>
                <w:sz w:val="21"/>
                <w:szCs w:val="21"/>
                <w:spacing w:val="-9"/>
              </w:rPr>
              <w:t>·d</w:t>
            </w:r>
          </w:p>
        </w:tc>
        <w:tc>
          <w:tcPr>
            <w:tcW w:w="1468" w:type="dxa"/>
            <w:vAlign w:val="top"/>
          </w:tcPr>
          <w:p>
            <w:pPr>
              <w:pStyle w:val="TableText"/>
              <w:ind w:left="355"/>
              <w:spacing w:before="35" w:line="188" w:lineRule="auto"/>
              <w:rPr>
                <w:sz w:val="21"/>
                <w:szCs w:val="21"/>
              </w:rPr>
            </w:pPr>
            <w:r>
              <w:rPr>
                <w:sz w:val="21"/>
                <w:szCs w:val="21"/>
                <w:spacing w:val="1"/>
              </w:rPr>
              <w:t>200人/d</w:t>
            </w:r>
          </w:p>
        </w:tc>
        <w:tc>
          <w:tcPr>
            <w:tcW w:w="639" w:type="dxa"/>
            <w:vAlign w:val="top"/>
          </w:tcPr>
          <w:p>
            <w:pPr>
              <w:pStyle w:val="TableText"/>
              <w:ind w:left="206"/>
              <w:spacing w:before="52" w:line="173" w:lineRule="auto"/>
              <w:rPr>
                <w:sz w:val="21"/>
                <w:szCs w:val="21"/>
              </w:rPr>
            </w:pPr>
            <w:r>
              <w:rPr>
                <w:sz w:val="21"/>
                <w:szCs w:val="21"/>
                <w:spacing w:val="-3"/>
              </w:rPr>
              <w:t>90</w:t>
            </w:r>
          </w:p>
        </w:tc>
        <w:tc>
          <w:tcPr>
            <w:tcW w:w="1029" w:type="dxa"/>
            <w:vAlign w:val="top"/>
          </w:tcPr>
          <w:p>
            <w:pPr>
              <w:pStyle w:val="TableText"/>
              <w:ind w:left="247"/>
              <w:spacing w:before="52" w:line="173" w:lineRule="auto"/>
              <w:rPr>
                <w:sz w:val="21"/>
                <w:szCs w:val="21"/>
              </w:rPr>
            </w:pPr>
            <w:r>
              <w:rPr>
                <w:sz w:val="21"/>
                <w:szCs w:val="21"/>
                <w:spacing w:val="-4"/>
              </w:rPr>
              <w:t>12.00</w:t>
            </w:r>
          </w:p>
        </w:tc>
        <w:tc>
          <w:tcPr>
            <w:tcW w:w="689" w:type="dxa"/>
            <w:vAlign w:val="top"/>
          </w:tcPr>
          <w:p>
            <w:pPr>
              <w:pStyle w:val="TableText"/>
              <w:ind w:left="179"/>
              <w:spacing w:before="52" w:line="173" w:lineRule="auto"/>
              <w:rPr>
                <w:sz w:val="21"/>
                <w:szCs w:val="21"/>
              </w:rPr>
            </w:pPr>
            <w:r>
              <w:rPr>
                <w:sz w:val="21"/>
                <w:szCs w:val="21"/>
                <w:spacing w:val="-3"/>
              </w:rPr>
              <w:t>0.8</w:t>
            </w:r>
          </w:p>
        </w:tc>
        <w:tc>
          <w:tcPr>
            <w:tcW w:w="964" w:type="dxa"/>
            <w:vAlign w:val="top"/>
          </w:tcPr>
          <w:p>
            <w:pPr>
              <w:pStyle w:val="TableText"/>
              <w:ind w:left="269"/>
              <w:spacing w:before="52" w:line="173" w:lineRule="auto"/>
              <w:rPr>
                <w:sz w:val="21"/>
                <w:szCs w:val="21"/>
              </w:rPr>
            </w:pPr>
            <w:r>
              <w:rPr>
                <w:sz w:val="21"/>
                <w:szCs w:val="21"/>
                <w:spacing w:val="-2"/>
              </w:rPr>
              <w:t>9.60</w:t>
            </w:r>
          </w:p>
        </w:tc>
      </w:tr>
      <w:tr>
        <w:trPr>
          <w:trHeight w:val="538" w:hRule="atLeast"/>
        </w:trPr>
        <w:tc>
          <w:tcPr>
            <w:tcW w:w="514" w:type="dxa"/>
            <w:vAlign w:val="top"/>
            <w:vMerge w:val="continue"/>
            <w:tcBorders>
              <w:top w:val="nil"/>
            </w:tcBorders>
          </w:tcPr>
          <w:p>
            <w:pPr>
              <w:rPr>
                <w:rFonts w:ascii="Arial"/>
                <w:sz w:val="21"/>
              </w:rPr>
            </w:pPr>
            <w:r/>
          </w:p>
        </w:tc>
        <w:tc>
          <w:tcPr>
            <w:tcW w:w="1828" w:type="dxa"/>
            <w:vAlign w:val="top"/>
          </w:tcPr>
          <w:p>
            <w:pPr>
              <w:pStyle w:val="TableText"/>
              <w:ind w:left="480"/>
              <w:spacing w:before="172" w:line="219" w:lineRule="auto"/>
              <w:rPr>
                <w:sz w:val="21"/>
                <w:szCs w:val="21"/>
              </w:rPr>
            </w:pPr>
            <w:r>
              <w:rPr>
                <w:sz w:val="21"/>
                <w:szCs w:val="21"/>
                <w:spacing w:val="-2"/>
              </w:rPr>
              <w:t>餐饮用水</w:t>
            </w:r>
          </w:p>
        </w:tc>
        <w:tc>
          <w:tcPr>
            <w:tcW w:w="1378" w:type="dxa"/>
            <w:vAlign w:val="top"/>
          </w:tcPr>
          <w:p>
            <w:pPr>
              <w:pStyle w:val="TableText"/>
              <w:ind w:left="153"/>
              <w:spacing w:before="172" w:line="219" w:lineRule="auto"/>
              <w:rPr>
                <w:sz w:val="21"/>
                <w:szCs w:val="21"/>
              </w:rPr>
            </w:pPr>
            <w:r>
              <w:rPr>
                <w:sz w:val="21"/>
                <w:szCs w:val="21"/>
                <w:spacing w:val="-10"/>
              </w:rPr>
              <w:t>10L/人</w:t>
            </w:r>
            <w:r>
              <w:rPr>
                <w:sz w:val="21"/>
                <w:szCs w:val="21"/>
                <w:spacing w:val="-18"/>
              </w:rPr>
              <w:t xml:space="preserve"> </w:t>
            </w:r>
            <w:r>
              <w:rPr>
                <w:sz w:val="21"/>
                <w:szCs w:val="21"/>
                <w:spacing w:val="-10"/>
              </w:rPr>
              <w:t>·餐</w:t>
            </w:r>
          </w:p>
        </w:tc>
        <w:tc>
          <w:tcPr>
            <w:tcW w:w="1468" w:type="dxa"/>
            <w:vAlign w:val="top"/>
          </w:tcPr>
          <w:p>
            <w:pPr>
              <w:pStyle w:val="TableText"/>
              <w:ind w:left="95" w:right="112" w:firstLine="49"/>
              <w:spacing w:before="43" w:line="213" w:lineRule="auto"/>
              <w:rPr>
                <w:sz w:val="21"/>
                <w:szCs w:val="21"/>
              </w:rPr>
            </w:pPr>
            <w:r>
              <w:rPr>
                <w:sz w:val="21"/>
                <w:szCs w:val="21"/>
                <w:spacing w:val="2"/>
              </w:rPr>
              <w:t>就餐人数200</w:t>
            </w:r>
            <w:r>
              <w:rPr>
                <w:sz w:val="21"/>
                <w:szCs w:val="21"/>
              </w:rPr>
              <w:t xml:space="preserve"> </w:t>
            </w:r>
            <w:r>
              <w:rPr>
                <w:sz w:val="21"/>
                <w:szCs w:val="21"/>
                <w:spacing w:val="-2"/>
              </w:rPr>
              <w:t>人、一日三餐</w:t>
            </w:r>
          </w:p>
        </w:tc>
        <w:tc>
          <w:tcPr>
            <w:tcW w:w="639" w:type="dxa"/>
            <w:vAlign w:val="top"/>
          </w:tcPr>
          <w:p>
            <w:pPr>
              <w:pStyle w:val="TableText"/>
              <w:ind w:left="206"/>
              <w:spacing w:before="193"/>
              <w:rPr>
                <w:sz w:val="21"/>
                <w:szCs w:val="21"/>
              </w:rPr>
            </w:pPr>
            <w:r>
              <w:rPr>
                <w:sz w:val="21"/>
                <w:szCs w:val="21"/>
                <w:spacing w:val="-3"/>
              </w:rPr>
              <w:t>90</w:t>
            </w:r>
          </w:p>
        </w:tc>
        <w:tc>
          <w:tcPr>
            <w:tcW w:w="1029" w:type="dxa"/>
            <w:vAlign w:val="top"/>
          </w:tcPr>
          <w:p>
            <w:pPr>
              <w:pStyle w:val="TableText"/>
              <w:ind w:left="297"/>
              <w:spacing w:before="193" w:line="239" w:lineRule="auto"/>
              <w:rPr>
                <w:sz w:val="21"/>
                <w:szCs w:val="21"/>
              </w:rPr>
            </w:pPr>
            <w:r>
              <w:rPr>
                <w:sz w:val="21"/>
                <w:szCs w:val="21"/>
                <w:spacing w:val="-2"/>
              </w:rPr>
              <w:t>6.00</w:t>
            </w:r>
          </w:p>
        </w:tc>
        <w:tc>
          <w:tcPr>
            <w:tcW w:w="689" w:type="dxa"/>
            <w:vAlign w:val="top"/>
          </w:tcPr>
          <w:p>
            <w:pPr>
              <w:pStyle w:val="TableText"/>
              <w:ind w:left="179"/>
              <w:spacing w:before="193" w:line="239" w:lineRule="auto"/>
              <w:rPr>
                <w:sz w:val="21"/>
                <w:szCs w:val="21"/>
              </w:rPr>
            </w:pPr>
            <w:r>
              <w:rPr>
                <w:sz w:val="21"/>
                <w:szCs w:val="21"/>
                <w:spacing w:val="-3"/>
              </w:rPr>
              <w:t>0.8</w:t>
            </w:r>
          </w:p>
        </w:tc>
        <w:tc>
          <w:tcPr>
            <w:tcW w:w="964" w:type="dxa"/>
            <w:vAlign w:val="top"/>
          </w:tcPr>
          <w:p>
            <w:pPr>
              <w:pStyle w:val="TableText"/>
              <w:ind w:left="269"/>
              <w:spacing w:before="193" w:line="239" w:lineRule="auto"/>
              <w:rPr>
                <w:sz w:val="21"/>
                <w:szCs w:val="21"/>
              </w:rPr>
            </w:pPr>
            <w:r>
              <w:rPr>
                <w:sz w:val="21"/>
                <w:szCs w:val="21"/>
                <w:spacing w:val="-2"/>
              </w:rPr>
              <w:t>4.80</w:t>
            </w:r>
          </w:p>
        </w:tc>
      </w:tr>
      <w:tr>
        <w:trPr>
          <w:trHeight w:val="558" w:hRule="atLeast"/>
        </w:trPr>
        <w:tc>
          <w:tcPr>
            <w:tcW w:w="514" w:type="dxa"/>
            <w:vAlign w:val="top"/>
            <w:vMerge w:val="restart"/>
            <w:tcBorders>
              <w:bottom w:val="nil"/>
            </w:tcBorders>
          </w:tcPr>
          <w:p>
            <w:pPr>
              <w:spacing w:line="373" w:lineRule="auto"/>
              <w:rPr>
                <w:rFonts w:ascii="Arial"/>
                <w:sz w:val="21"/>
              </w:rPr>
            </w:pPr>
            <w:r/>
          </w:p>
          <w:p>
            <w:pPr>
              <w:pStyle w:val="TableText"/>
              <w:ind w:left="35" w:right="36"/>
              <w:spacing w:before="69" w:line="257" w:lineRule="auto"/>
              <w:rPr>
                <w:sz w:val="21"/>
                <w:szCs w:val="21"/>
              </w:rPr>
            </w:pPr>
            <w:r>
              <w:rPr>
                <w:sz w:val="21"/>
                <w:szCs w:val="21"/>
                <w:spacing w:val="6"/>
              </w:rPr>
              <w:t>生产</w:t>
            </w:r>
            <w:r>
              <w:rPr>
                <w:sz w:val="21"/>
                <w:szCs w:val="21"/>
              </w:rPr>
              <w:t xml:space="preserve"> </w:t>
            </w:r>
            <w:r>
              <w:rPr>
                <w:sz w:val="21"/>
                <w:szCs w:val="21"/>
                <w:spacing w:val="-3"/>
              </w:rPr>
              <w:t>用水</w:t>
            </w:r>
          </w:p>
        </w:tc>
        <w:tc>
          <w:tcPr>
            <w:tcW w:w="1828" w:type="dxa"/>
            <w:vAlign w:val="top"/>
          </w:tcPr>
          <w:p>
            <w:pPr>
              <w:pStyle w:val="TableText"/>
              <w:ind w:left="270"/>
              <w:spacing w:before="184" w:line="219" w:lineRule="auto"/>
              <w:rPr>
                <w:sz w:val="21"/>
                <w:szCs w:val="21"/>
              </w:rPr>
            </w:pPr>
            <w:r>
              <w:rPr>
                <w:sz w:val="21"/>
                <w:szCs w:val="21"/>
                <w:spacing w:val="-2"/>
              </w:rPr>
              <w:t>生猪屠宰用水</w:t>
            </w:r>
          </w:p>
        </w:tc>
        <w:tc>
          <w:tcPr>
            <w:tcW w:w="1378" w:type="dxa"/>
            <w:vAlign w:val="top"/>
          </w:tcPr>
          <w:p>
            <w:pPr>
              <w:pStyle w:val="TableText"/>
              <w:ind w:left="202" w:right="202" w:firstLine="60"/>
              <w:spacing w:before="33" w:line="226" w:lineRule="auto"/>
              <w:rPr>
                <w:sz w:val="21"/>
                <w:szCs w:val="21"/>
              </w:rPr>
            </w:pPr>
            <w:r>
              <w:rPr>
                <w:sz w:val="21"/>
                <w:szCs w:val="21"/>
                <w:spacing w:val="-3"/>
              </w:rPr>
              <w:t>产污系数</w:t>
            </w:r>
            <w:r>
              <w:rPr>
                <w:sz w:val="21"/>
                <w:szCs w:val="21"/>
                <w:spacing w:val="2"/>
              </w:rPr>
              <w:t xml:space="preserve"> </w:t>
            </w:r>
            <w:r>
              <w:rPr>
                <w:sz w:val="21"/>
                <w:szCs w:val="21"/>
                <w:spacing w:val="2"/>
              </w:rPr>
              <w:t>0.535t/头</w:t>
            </w:r>
          </w:p>
        </w:tc>
        <w:tc>
          <w:tcPr>
            <w:tcW w:w="1468" w:type="dxa"/>
            <w:vAlign w:val="top"/>
          </w:tcPr>
          <w:p>
            <w:pPr>
              <w:pStyle w:val="TableText"/>
              <w:ind w:left="304"/>
              <w:spacing w:before="184" w:line="219" w:lineRule="auto"/>
              <w:rPr>
                <w:sz w:val="21"/>
                <w:szCs w:val="21"/>
              </w:rPr>
            </w:pPr>
            <w:r>
              <w:rPr>
                <w:sz w:val="21"/>
                <w:szCs w:val="21"/>
              </w:rPr>
              <w:t>1444头/d</w:t>
            </w:r>
          </w:p>
        </w:tc>
        <w:tc>
          <w:tcPr>
            <w:tcW w:w="639" w:type="dxa"/>
            <w:vAlign w:val="top"/>
          </w:tcPr>
          <w:p>
            <w:pPr>
              <w:pStyle w:val="TableText"/>
              <w:ind w:left="206"/>
              <w:spacing w:before="205"/>
              <w:rPr>
                <w:sz w:val="21"/>
                <w:szCs w:val="21"/>
              </w:rPr>
            </w:pPr>
            <w:r>
              <w:rPr>
                <w:sz w:val="21"/>
                <w:szCs w:val="21"/>
                <w:spacing w:val="-3"/>
              </w:rPr>
              <w:t>90</w:t>
            </w:r>
          </w:p>
        </w:tc>
        <w:tc>
          <w:tcPr>
            <w:tcW w:w="1029" w:type="dxa"/>
            <w:vAlign w:val="top"/>
          </w:tcPr>
          <w:p>
            <w:pPr>
              <w:pStyle w:val="TableText"/>
              <w:ind w:left="197"/>
              <w:spacing w:before="205" w:line="239" w:lineRule="auto"/>
              <w:rPr>
                <w:sz w:val="21"/>
                <w:szCs w:val="21"/>
              </w:rPr>
            </w:pPr>
            <w:r>
              <w:rPr>
                <w:sz w:val="21"/>
                <w:szCs w:val="21"/>
                <w:spacing w:val="-2"/>
              </w:rPr>
              <w:t>908.87</w:t>
            </w:r>
          </w:p>
        </w:tc>
        <w:tc>
          <w:tcPr>
            <w:tcW w:w="689" w:type="dxa"/>
            <w:vAlign w:val="top"/>
          </w:tcPr>
          <w:p>
            <w:pPr>
              <w:pStyle w:val="TableText"/>
              <w:ind w:left="128"/>
              <w:spacing w:before="205" w:line="239" w:lineRule="auto"/>
              <w:rPr>
                <w:sz w:val="21"/>
                <w:szCs w:val="21"/>
              </w:rPr>
            </w:pPr>
            <w:r>
              <w:rPr>
                <w:sz w:val="21"/>
                <w:szCs w:val="21"/>
                <w:spacing w:val="-2"/>
              </w:rPr>
              <w:t>0.85</w:t>
            </w:r>
          </w:p>
        </w:tc>
        <w:tc>
          <w:tcPr>
            <w:tcW w:w="964" w:type="dxa"/>
            <w:vAlign w:val="top"/>
          </w:tcPr>
          <w:p>
            <w:pPr>
              <w:pStyle w:val="TableText"/>
              <w:ind w:left="209"/>
              <w:spacing w:before="205" w:line="239" w:lineRule="auto"/>
              <w:rPr>
                <w:sz w:val="21"/>
                <w:szCs w:val="21"/>
              </w:rPr>
            </w:pPr>
            <w:r>
              <w:rPr>
                <w:sz w:val="21"/>
                <w:szCs w:val="21"/>
                <w:spacing w:val="-3"/>
              </w:rPr>
              <w:t>772.5</w:t>
            </w:r>
          </w:p>
        </w:tc>
      </w:tr>
      <w:tr>
        <w:trPr>
          <w:trHeight w:val="538" w:hRule="atLeast"/>
        </w:trPr>
        <w:tc>
          <w:tcPr>
            <w:tcW w:w="514" w:type="dxa"/>
            <w:vAlign w:val="top"/>
            <w:vMerge w:val="continue"/>
            <w:tcBorders>
              <w:top w:val="nil"/>
              <w:bottom w:val="nil"/>
            </w:tcBorders>
          </w:tcPr>
          <w:p>
            <w:pPr>
              <w:rPr>
                <w:rFonts w:ascii="Arial"/>
                <w:sz w:val="21"/>
              </w:rPr>
            </w:pPr>
            <w:r/>
          </w:p>
        </w:tc>
        <w:tc>
          <w:tcPr>
            <w:tcW w:w="1828" w:type="dxa"/>
            <w:vAlign w:val="top"/>
          </w:tcPr>
          <w:p>
            <w:pPr>
              <w:pStyle w:val="TableText"/>
              <w:ind w:left="270"/>
              <w:spacing w:before="176" w:line="219" w:lineRule="auto"/>
              <w:rPr>
                <w:sz w:val="21"/>
                <w:szCs w:val="21"/>
              </w:rPr>
            </w:pPr>
            <w:r>
              <w:rPr>
                <w:sz w:val="21"/>
                <w:szCs w:val="21"/>
                <w:spacing w:val="1"/>
              </w:rPr>
              <w:t>肉牛屠宰用水</w:t>
            </w:r>
          </w:p>
        </w:tc>
        <w:tc>
          <w:tcPr>
            <w:tcW w:w="1378" w:type="dxa"/>
            <w:vAlign w:val="top"/>
          </w:tcPr>
          <w:p>
            <w:pPr>
              <w:pStyle w:val="TableText"/>
              <w:ind w:left="202" w:right="202" w:firstLine="60"/>
              <w:spacing w:before="27" w:line="220" w:lineRule="auto"/>
              <w:rPr>
                <w:sz w:val="21"/>
                <w:szCs w:val="21"/>
              </w:rPr>
            </w:pPr>
            <w:r>
              <w:rPr>
                <w:sz w:val="21"/>
                <w:szCs w:val="21"/>
                <w:spacing w:val="-3"/>
              </w:rPr>
              <w:t>产污系数</w:t>
            </w:r>
            <w:r>
              <w:rPr>
                <w:sz w:val="21"/>
                <w:szCs w:val="21"/>
                <w:spacing w:val="2"/>
              </w:rPr>
              <w:t xml:space="preserve"> </w:t>
            </w:r>
            <w:r>
              <w:rPr>
                <w:sz w:val="21"/>
                <w:szCs w:val="21"/>
                <w:spacing w:val="2"/>
              </w:rPr>
              <w:t>0.941t/头</w:t>
            </w:r>
          </w:p>
        </w:tc>
        <w:tc>
          <w:tcPr>
            <w:tcW w:w="1468" w:type="dxa"/>
            <w:vAlign w:val="top"/>
          </w:tcPr>
          <w:p>
            <w:pPr>
              <w:pStyle w:val="TableText"/>
              <w:ind w:left="355"/>
              <w:spacing w:before="176" w:line="219" w:lineRule="auto"/>
              <w:rPr>
                <w:sz w:val="21"/>
                <w:szCs w:val="21"/>
              </w:rPr>
            </w:pPr>
            <w:r>
              <w:rPr>
                <w:sz w:val="21"/>
                <w:szCs w:val="21"/>
                <w:spacing w:val="1"/>
              </w:rPr>
              <w:t>144头/d</w:t>
            </w:r>
          </w:p>
        </w:tc>
        <w:tc>
          <w:tcPr>
            <w:tcW w:w="639" w:type="dxa"/>
            <w:vAlign w:val="top"/>
          </w:tcPr>
          <w:p>
            <w:pPr>
              <w:pStyle w:val="TableText"/>
              <w:ind w:left="206"/>
              <w:spacing w:before="197"/>
              <w:rPr>
                <w:sz w:val="21"/>
                <w:szCs w:val="21"/>
              </w:rPr>
            </w:pPr>
            <w:r>
              <w:rPr>
                <w:sz w:val="21"/>
                <w:szCs w:val="21"/>
                <w:spacing w:val="-3"/>
              </w:rPr>
              <w:t>90</w:t>
            </w:r>
          </w:p>
        </w:tc>
        <w:tc>
          <w:tcPr>
            <w:tcW w:w="1029" w:type="dxa"/>
            <w:vAlign w:val="top"/>
          </w:tcPr>
          <w:p>
            <w:pPr>
              <w:pStyle w:val="TableText"/>
              <w:ind w:left="197"/>
              <w:spacing w:before="197" w:line="239" w:lineRule="auto"/>
              <w:rPr>
                <w:sz w:val="21"/>
                <w:szCs w:val="21"/>
              </w:rPr>
            </w:pPr>
            <w:r>
              <w:rPr>
                <w:sz w:val="21"/>
                <w:szCs w:val="21"/>
                <w:spacing w:val="-4"/>
              </w:rPr>
              <w:t>159.42</w:t>
            </w:r>
          </w:p>
        </w:tc>
        <w:tc>
          <w:tcPr>
            <w:tcW w:w="689" w:type="dxa"/>
            <w:vAlign w:val="top"/>
          </w:tcPr>
          <w:p>
            <w:pPr>
              <w:pStyle w:val="TableText"/>
              <w:ind w:left="128"/>
              <w:spacing w:before="197" w:line="239" w:lineRule="auto"/>
              <w:rPr>
                <w:sz w:val="21"/>
                <w:szCs w:val="21"/>
              </w:rPr>
            </w:pPr>
            <w:r>
              <w:rPr>
                <w:sz w:val="21"/>
                <w:szCs w:val="21"/>
                <w:spacing w:val="-2"/>
              </w:rPr>
              <w:t>0.85</w:t>
            </w:r>
          </w:p>
        </w:tc>
        <w:tc>
          <w:tcPr>
            <w:tcW w:w="964" w:type="dxa"/>
            <w:vAlign w:val="top"/>
          </w:tcPr>
          <w:p>
            <w:pPr>
              <w:pStyle w:val="TableText"/>
              <w:ind w:left="209"/>
              <w:spacing w:before="197" w:line="239" w:lineRule="auto"/>
              <w:rPr>
                <w:sz w:val="21"/>
                <w:szCs w:val="21"/>
              </w:rPr>
            </w:pPr>
            <w:r>
              <w:rPr>
                <w:sz w:val="21"/>
                <w:szCs w:val="21"/>
                <w:spacing w:val="-4"/>
              </w:rPr>
              <w:t>135.5</w:t>
            </w:r>
          </w:p>
        </w:tc>
      </w:tr>
      <w:tr>
        <w:trPr>
          <w:trHeight w:val="284" w:hRule="atLeast"/>
        </w:trPr>
        <w:tc>
          <w:tcPr>
            <w:tcW w:w="514" w:type="dxa"/>
            <w:vAlign w:val="top"/>
            <w:vMerge w:val="continue"/>
            <w:tcBorders>
              <w:top w:val="nil"/>
            </w:tcBorders>
          </w:tcPr>
          <w:p>
            <w:pPr>
              <w:rPr>
                <w:rFonts w:ascii="Arial"/>
                <w:sz w:val="21"/>
              </w:rPr>
            </w:pPr>
            <w:r/>
          </w:p>
        </w:tc>
        <w:tc>
          <w:tcPr>
            <w:tcW w:w="1828" w:type="dxa"/>
            <w:vAlign w:val="top"/>
          </w:tcPr>
          <w:p>
            <w:pPr>
              <w:pStyle w:val="TableText"/>
              <w:ind w:left="270"/>
              <w:spacing w:before="48" w:line="198" w:lineRule="auto"/>
              <w:rPr>
                <w:sz w:val="21"/>
                <w:szCs w:val="21"/>
              </w:rPr>
            </w:pPr>
            <w:r>
              <w:rPr>
                <w:sz w:val="21"/>
                <w:szCs w:val="21"/>
                <w:spacing w:val="-2"/>
              </w:rPr>
              <w:t>车辆冲洗用水</w:t>
            </w:r>
          </w:p>
        </w:tc>
        <w:tc>
          <w:tcPr>
            <w:tcW w:w="1378" w:type="dxa"/>
            <w:vAlign w:val="top"/>
          </w:tcPr>
          <w:p>
            <w:pPr>
              <w:pStyle w:val="TableText"/>
              <w:spacing w:before="48" w:line="198" w:lineRule="auto"/>
              <w:jc w:val="right"/>
              <w:rPr>
                <w:sz w:val="21"/>
                <w:szCs w:val="21"/>
              </w:rPr>
            </w:pPr>
            <w:r>
              <w:rPr>
                <w:sz w:val="21"/>
                <w:szCs w:val="21"/>
                <w:spacing w:val="-4"/>
              </w:rPr>
              <w:t>0.1m³/辆 ·</w:t>
            </w:r>
            <w:r>
              <w:rPr>
                <w:sz w:val="21"/>
                <w:szCs w:val="21"/>
                <w:spacing w:val="-76"/>
              </w:rPr>
              <w:t xml:space="preserve"> </w:t>
            </w:r>
            <w:r>
              <w:rPr>
                <w:sz w:val="21"/>
                <w:szCs w:val="21"/>
                <w:spacing w:val="-4"/>
              </w:rPr>
              <w:t>次</w:t>
            </w:r>
          </w:p>
        </w:tc>
        <w:tc>
          <w:tcPr>
            <w:tcW w:w="1468" w:type="dxa"/>
            <w:vAlign w:val="top"/>
          </w:tcPr>
          <w:p>
            <w:pPr>
              <w:pStyle w:val="TableText"/>
              <w:ind w:left="414"/>
              <w:spacing w:before="48" w:line="198" w:lineRule="auto"/>
              <w:rPr>
                <w:sz w:val="21"/>
                <w:szCs w:val="21"/>
              </w:rPr>
            </w:pPr>
            <w:r>
              <w:rPr>
                <w:sz w:val="21"/>
                <w:szCs w:val="21"/>
                <w:spacing w:val="-2"/>
              </w:rPr>
              <w:t>40辆/d</w:t>
            </w:r>
          </w:p>
        </w:tc>
        <w:tc>
          <w:tcPr>
            <w:tcW w:w="639" w:type="dxa"/>
            <w:vAlign w:val="top"/>
          </w:tcPr>
          <w:p>
            <w:pPr>
              <w:pStyle w:val="TableText"/>
              <w:ind w:left="206"/>
              <w:spacing w:before="69" w:line="180" w:lineRule="auto"/>
              <w:rPr>
                <w:sz w:val="21"/>
                <w:szCs w:val="21"/>
              </w:rPr>
            </w:pPr>
            <w:r>
              <w:rPr>
                <w:sz w:val="21"/>
                <w:szCs w:val="21"/>
                <w:spacing w:val="-3"/>
              </w:rPr>
              <w:t>90</w:t>
            </w:r>
          </w:p>
        </w:tc>
        <w:tc>
          <w:tcPr>
            <w:tcW w:w="1029" w:type="dxa"/>
            <w:vAlign w:val="top"/>
          </w:tcPr>
          <w:p>
            <w:pPr>
              <w:pStyle w:val="TableText"/>
              <w:ind w:left="297"/>
              <w:spacing w:before="69" w:line="180" w:lineRule="auto"/>
              <w:rPr>
                <w:sz w:val="21"/>
                <w:szCs w:val="21"/>
              </w:rPr>
            </w:pPr>
            <w:r>
              <w:rPr>
                <w:sz w:val="21"/>
                <w:szCs w:val="21"/>
                <w:spacing w:val="-2"/>
              </w:rPr>
              <w:t>8.00</w:t>
            </w:r>
          </w:p>
        </w:tc>
        <w:tc>
          <w:tcPr>
            <w:tcW w:w="689" w:type="dxa"/>
            <w:vAlign w:val="top"/>
          </w:tcPr>
          <w:p>
            <w:pPr>
              <w:pStyle w:val="TableText"/>
              <w:ind w:left="179"/>
              <w:spacing w:before="69" w:line="180" w:lineRule="auto"/>
              <w:rPr>
                <w:sz w:val="21"/>
                <w:szCs w:val="21"/>
              </w:rPr>
            </w:pPr>
            <w:r>
              <w:rPr>
                <w:sz w:val="21"/>
                <w:szCs w:val="21"/>
                <w:spacing w:val="-3"/>
              </w:rPr>
              <w:t>0.8</w:t>
            </w:r>
          </w:p>
        </w:tc>
        <w:tc>
          <w:tcPr>
            <w:tcW w:w="964" w:type="dxa"/>
            <w:vAlign w:val="top"/>
          </w:tcPr>
          <w:p>
            <w:pPr>
              <w:pStyle w:val="TableText"/>
              <w:ind w:left="269"/>
              <w:spacing w:before="69" w:line="180" w:lineRule="auto"/>
              <w:rPr>
                <w:sz w:val="21"/>
                <w:szCs w:val="21"/>
              </w:rPr>
            </w:pPr>
            <w:r>
              <w:rPr>
                <w:sz w:val="21"/>
                <w:szCs w:val="21"/>
                <w:spacing w:val="-2"/>
              </w:rPr>
              <w:t>6.40</w:t>
            </w:r>
          </w:p>
        </w:tc>
      </w:tr>
    </w:tbl>
    <w:p>
      <w:pPr>
        <w:pStyle w:val="BodyText"/>
        <w:rPr/>
      </w:pPr>
      <w:r/>
    </w:p>
    <w:p>
      <w:pPr>
        <w:sectPr>
          <w:headerReference w:type="default" r:id="rId272"/>
          <w:footerReference w:type="default" r:id="rId273"/>
          <w:pgSz w:w="11910" w:h="16840"/>
          <w:pgMar w:top="1207" w:right="1705" w:bottom="922" w:left="1675" w:header="915" w:footer="751" w:gutter="0"/>
        </w:sectPr>
        <w:rPr/>
      </w:pPr>
    </w:p>
    <w:p>
      <w:pPr>
        <w:spacing w:line="227" w:lineRule="exact"/>
        <w:rPr/>
      </w:pPr>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14"/>
        <w:gridCol w:w="1828"/>
        <w:gridCol w:w="1378"/>
        <w:gridCol w:w="1468"/>
        <w:gridCol w:w="639"/>
        <w:gridCol w:w="1029"/>
        <w:gridCol w:w="689"/>
        <w:gridCol w:w="964"/>
      </w:tblGrid>
      <w:tr>
        <w:trPr>
          <w:trHeight w:val="283" w:hRule="atLeast"/>
        </w:trPr>
        <w:tc>
          <w:tcPr>
            <w:tcW w:w="514" w:type="dxa"/>
            <w:vAlign w:val="top"/>
            <w:vMerge w:val="restart"/>
            <w:tcBorders>
              <w:bottom w:val="nil"/>
            </w:tcBorders>
          </w:tcPr>
          <w:p>
            <w:pPr>
              <w:rPr>
                <w:rFonts w:ascii="Arial"/>
                <w:sz w:val="21"/>
              </w:rPr>
            </w:pPr>
            <w:r/>
          </w:p>
        </w:tc>
        <w:tc>
          <w:tcPr>
            <w:tcW w:w="1828" w:type="dxa"/>
            <w:vAlign w:val="top"/>
          </w:tcPr>
          <w:p>
            <w:pPr>
              <w:pStyle w:val="TableText"/>
              <w:ind w:left="480"/>
              <w:spacing w:before="43" w:line="202" w:lineRule="auto"/>
              <w:rPr>
                <w:sz w:val="21"/>
                <w:szCs w:val="21"/>
              </w:rPr>
            </w:pPr>
            <w:r>
              <w:rPr>
                <w:sz w:val="21"/>
                <w:szCs w:val="21"/>
                <w:spacing w:val="2"/>
              </w:rPr>
              <w:t>消毒用水</w:t>
            </w:r>
          </w:p>
        </w:tc>
        <w:tc>
          <w:tcPr>
            <w:tcW w:w="1378" w:type="dxa"/>
            <w:vAlign w:val="top"/>
          </w:tcPr>
          <w:p>
            <w:pPr>
              <w:pStyle w:val="TableText"/>
              <w:spacing w:before="46" w:line="199" w:lineRule="auto"/>
              <w:jc w:val="right"/>
              <w:rPr>
                <w:sz w:val="21"/>
                <w:szCs w:val="21"/>
              </w:rPr>
            </w:pPr>
            <w:r>
              <w:rPr>
                <w:sz w:val="21"/>
                <w:szCs w:val="21"/>
                <w:spacing w:val="-3"/>
              </w:rPr>
              <w:t>0.05m³/人</w:t>
            </w:r>
            <w:r>
              <w:rPr>
                <w:sz w:val="21"/>
                <w:szCs w:val="21"/>
                <w:spacing w:val="-6"/>
              </w:rPr>
              <w:t xml:space="preserve"> </w:t>
            </w:r>
            <w:r>
              <w:rPr>
                <w:sz w:val="21"/>
                <w:szCs w:val="21"/>
                <w:spacing w:val="-3"/>
              </w:rPr>
              <w:t>·</w:t>
            </w:r>
            <w:r>
              <w:rPr>
                <w:sz w:val="21"/>
                <w:szCs w:val="21"/>
                <w:spacing w:val="-80"/>
              </w:rPr>
              <w:t xml:space="preserve"> </w:t>
            </w:r>
            <w:r>
              <w:rPr>
                <w:sz w:val="21"/>
                <w:szCs w:val="21"/>
                <w:spacing w:val="-3"/>
              </w:rPr>
              <w:t>d</w:t>
            </w:r>
          </w:p>
        </w:tc>
        <w:tc>
          <w:tcPr>
            <w:tcW w:w="1468" w:type="dxa"/>
            <w:vAlign w:val="top"/>
          </w:tcPr>
          <w:p>
            <w:pPr>
              <w:pStyle w:val="TableText"/>
              <w:ind w:left="355"/>
              <w:spacing w:before="46" w:line="199" w:lineRule="auto"/>
              <w:rPr>
                <w:sz w:val="21"/>
                <w:szCs w:val="21"/>
              </w:rPr>
            </w:pPr>
            <w:r>
              <w:rPr>
                <w:sz w:val="21"/>
                <w:szCs w:val="21"/>
                <w:spacing w:val="1"/>
              </w:rPr>
              <w:t>120人/d</w:t>
            </w:r>
          </w:p>
        </w:tc>
        <w:tc>
          <w:tcPr>
            <w:tcW w:w="639" w:type="dxa"/>
            <w:vAlign w:val="top"/>
          </w:tcPr>
          <w:p>
            <w:pPr>
              <w:pStyle w:val="TableText"/>
              <w:ind w:left="206"/>
              <w:spacing w:before="64" w:line="183" w:lineRule="auto"/>
              <w:rPr>
                <w:sz w:val="21"/>
                <w:szCs w:val="21"/>
              </w:rPr>
            </w:pPr>
            <w:r>
              <w:rPr>
                <w:sz w:val="21"/>
                <w:szCs w:val="21"/>
                <w:spacing w:val="-3"/>
              </w:rPr>
              <w:t>90</w:t>
            </w:r>
          </w:p>
        </w:tc>
        <w:tc>
          <w:tcPr>
            <w:tcW w:w="1029" w:type="dxa"/>
            <w:vAlign w:val="top"/>
          </w:tcPr>
          <w:p>
            <w:pPr>
              <w:pStyle w:val="TableText"/>
              <w:ind w:left="297"/>
              <w:spacing w:before="64" w:line="183" w:lineRule="auto"/>
              <w:rPr>
                <w:sz w:val="21"/>
                <w:szCs w:val="21"/>
              </w:rPr>
            </w:pPr>
            <w:r>
              <w:rPr>
                <w:sz w:val="21"/>
                <w:szCs w:val="21"/>
                <w:spacing w:val="-2"/>
              </w:rPr>
              <w:t>6.00</w:t>
            </w:r>
          </w:p>
        </w:tc>
        <w:tc>
          <w:tcPr>
            <w:tcW w:w="689" w:type="dxa"/>
            <w:vAlign w:val="top"/>
          </w:tcPr>
          <w:p>
            <w:pPr>
              <w:pStyle w:val="TableText"/>
              <w:ind w:left="288"/>
              <w:spacing w:before="64" w:line="183" w:lineRule="auto"/>
              <w:rPr>
                <w:sz w:val="21"/>
                <w:szCs w:val="21"/>
              </w:rPr>
            </w:pPr>
            <w:r>
              <w:rPr>
                <w:sz w:val="21"/>
                <w:szCs w:val="21"/>
              </w:rPr>
              <w:t>0</w:t>
            </w:r>
          </w:p>
        </w:tc>
        <w:tc>
          <w:tcPr>
            <w:tcW w:w="964" w:type="dxa"/>
            <w:vAlign w:val="top"/>
          </w:tcPr>
          <w:p>
            <w:pPr>
              <w:pStyle w:val="TableText"/>
              <w:ind w:left="269"/>
              <w:spacing w:before="64" w:line="183" w:lineRule="auto"/>
              <w:rPr>
                <w:sz w:val="21"/>
                <w:szCs w:val="21"/>
              </w:rPr>
            </w:pPr>
            <w:r>
              <w:rPr>
                <w:sz w:val="21"/>
                <w:szCs w:val="21"/>
                <w:spacing w:val="-2"/>
              </w:rPr>
              <w:t>0.00</w:t>
            </w:r>
          </w:p>
        </w:tc>
      </w:tr>
      <w:tr>
        <w:trPr>
          <w:trHeight w:val="279" w:hRule="atLeast"/>
        </w:trPr>
        <w:tc>
          <w:tcPr>
            <w:tcW w:w="514" w:type="dxa"/>
            <w:vAlign w:val="top"/>
            <w:vMerge w:val="continue"/>
            <w:tcBorders>
              <w:top w:val="nil"/>
              <w:bottom w:val="nil"/>
            </w:tcBorders>
          </w:tcPr>
          <w:p>
            <w:pPr>
              <w:rPr>
                <w:rFonts w:ascii="Arial"/>
                <w:sz w:val="21"/>
              </w:rPr>
            </w:pPr>
            <w:r/>
          </w:p>
        </w:tc>
        <w:tc>
          <w:tcPr>
            <w:tcW w:w="1828" w:type="dxa"/>
            <w:vAlign w:val="top"/>
          </w:tcPr>
          <w:p>
            <w:pPr>
              <w:pStyle w:val="TableText"/>
              <w:ind w:left="61"/>
              <w:spacing w:before="40" w:line="201" w:lineRule="auto"/>
              <w:rPr>
                <w:sz w:val="21"/>
                <w:szCs w:val="21"/>
              </w:rPr>
            </w:pPr>
            <w:r>
              <w:rPr>
                <w:sz w:val="21"/>
                <w:szCs w:val="21"/>
                <w:spacing w:val="-2"/>
              </w:rPr>
              <w:t>冷却系统补充用水</w:t>
            </w:r>
          </w:p>
        </w:tc>
        <w:tc>
          <w:tcPr>
            <w:tcW w:w="1378" w:type="dxa"/>
            <w:vAlign w:val="top"/>
          </w:tcPr>
          <w:p>
            <w:pPr>
              <w:pStyle w:val="TableText"/>
              <w:ind w:left="622"/>
              <w:spacing w:before="46" w:line="196" w:lineRule="auto"/>
              <w:rPr>
                <w:sz w:val="21"/>
                <w:szCs w:val="21"/>
              </w:rPr>
            </w:pPr>
            <w:r>
              <w:rPr>
                <w:sz w:val="21"/>
                <w:szCs w:val="21"/>
              </w:rPr>
              <w:t>/</w:t>
            </w:r>
          </w:p>
        </w:tc>
        <w:tc>
          <w:tcPr>
            <w:tcW w:w="1468" w:type="dxa"/>
            <w:vAlign w:val="top"/>
          </w:tcPr>
          <w:p>
            <w:pPr>
              <w:pStyle w:val="TableText"/>
              <w:ind w:left="675"/>
              <w:spacing w:before="46" w:line="196" w:lineRule="auto"/>
              <w:rPr>
                <w:sz w:val="21"/>
                <w:szCs w:val="21"/>
              </w:rPr>
            </w:pPr>
            <w:r>
              <w:rPr>
                <w:sz w:val="21"/>
                <w:szCs w:val="21"/>
              </w:rPr>
              <w:t>/</w:t>
            </w:r>
          </w:p>
        </w:tc>
        <w:tc>
          <w:tcPr>
            <w:tcW w:w="639" w:type="dxa"/>
            <w:vAlign w:val="top"/>
          </w:tcPr>
          <w:p>
            <w:pPr>
              <w:pStyle w:val="TableText"/>
              <w:ind w:left="206"/>
              <w:spacing w:before="61" w:line="182" w:lineRule="auto"/>
              <w:rPr>
                <w:sz w:val="21"/>
                <w:szCs w:val="21"/>
              </w:rPr>
            </w:pPr>
            <w:r>
              <w:rPr>
                <w:sz w:val="21"/>
                <w:szCs w:val="21"/>
                <w:spacing w:val="-3"/>
              </w:rPr>
              <w:t>90</w:t>
            </w:r>
          </w:p>
        </w:tc>
        <w:tc>
          <w:tcPr>
            <w:tcW w:w="1029" w:type="dxa"/>
            <w:vAlign w:val="top"/>
          </w:tcPr>
          <w:p>
            <w:pPr>
              <w:pStyle w:val="TableText"/>
              <w:ind w:left="247"/>
              <w:spacing w:before="61" w:line="182" w:lineRule="auto"/>
              <w:rPr>
                <w:sz w:val="21"/>
                <w:szCs w:val="21"/>
              </w:rPr>
            </w:pPr>
            <w:r>
              <w:rPr>
                <w:sz w:val="21"/>
                <w:szCs w:val="21"/>
                <w:spacing w:val="-4"/>
              </w:rPr>
              <w:t>18.00</w:t>
            </w:r>
          </w:p>
        </w:tc>
        <w:tc>
          <w:tcPr>
            <w:tcW w:w="689" w:type="dxa"/>
            <w:vAlign w:val="top"/>
            <w:textDirection w:val="tbRlV"/>
          </w:tcPr>
          <w:p>
            <w:pPr>
              <w:pStyle w:val="TableText"/>
              <w:ind w:left="12"/>
              <w:spacing w:before="295" w:line="137" w:lineRule="exact"/>
              <w:rPr>
                <w:sz w:val="21"/>
                <w:szCs w:val="21"/>
              </w:rPr>
            </w:pPr>
            <w:r>
              <w:rPr>
                <w:sz w:val="21"/>
                <w:szCs w:val="21"/>
                <w:spacing w:val="52"/>
                <w:w w:val="141"/>
                <w:position w:val="-1"/>
              </w:rPr>
              <w:t>/</w:t>
            </w:r>
          </w:p>
        </w:tc>
        <w:tc>
          <w:tcPr>
            <w:tcW w:w="964" w:type="dxa"/>
            <w:vAlign w:val="top"/>
          </w:tcPr>
          <w:p>
            <w:pPr>
              <w:pStyle w:val="TableText"/>
              <w:ind w:left="209"/>
              <w:spacing w:before="61" w:line="182" w:lineRule="auto"/>
              <w:rPr>
                <w:sz w:val="21"/>
                <w:szCs w:val="21"/>
              </w:rPr>
            </w:pPr>
            <w:r>
              <w:rPr>
                <w:sz w:val="21"/>
                <w:szCs w:val="21"/>
                <w:spacing w:val="-4"/>
              </w:rPr>
              <w:t>12.00</w:t>
            </w:r>
          </w:p>
        </w:tc>
      </w:tr>
      <w:tr>
        <w:trPr>
          <w:trHeight w:val="269" w:hRule="atLeast"/>
        </w:trPr>
        <w:tc>
          <w:tcPr>
            <w:tcW w:w="514" w:type="dxa"/>
            <w:vAlign w:val="top"/>
            <w:vMerge w:val="continue"/>
            <w:tcBorders>
              <w:top w:val="nil"/>
              <w:bottom w:val="nil"/>
            </w:tcBorders>
          </w:tcPr>
          <w:p>
            <w:pPr>
              <w:rPr>
                <w:rFonts w:ascii="Arial"/>
                <w:sz w:val="21"/>
              </w:rPr>
            </w:pPr>
            <w:r/>
          </w:p>
        </w:tc>
        <w:tc>
          <w:tcPr>
            <w:tcW w:w="1828" w:type="dxa"/>
            <w:vAlign w:val="top"/>
          </w:tcPr>
          <w:p>
            <w:pPr>
              <w:pStyle w:val="TableText"/>
              <w:ind w:left="380"/>
              <w:spacing w:before="30" w:line="201" w:lineRule="auto"/>
              <w:rPr>
                <w:sz w:val="21"/>
                <w:szCs w:val="21"/>
              </w:rPr>
            </w:pPr>
            <w:r>
              <w:rPr>
                <w:sz w:val="21"/>
                <w:szCs w:val="21"/>
                <w:spacing w:val="1"/>
              </w:rPr>
              <w:t>喷淋塔用水</w:t>
            </w:r>
          </w:p>
        </w:tc>
        <w:tc>
          <w:tcPr>
            <w:tcW w:w="1378" w:type="dxa"/>
            <w:vAlign w:val="top"/>
          </w:tcPr>
          <w:p>
            <w:pPr>
              <w:pStyle w:val="TableText"/>
              <w:ind w:left="622"/>
              <w:spacing w:before="37" w:line="195" w:lineRule="auto"/>
              <w:rPr>
                <w:sz w:val="21"/>
                <w:szCs w:val="21"/>
              </w:rPr>
            </w:pPr>
            <w:r>
              <w:rPr>
                <w:sz w:val="21"/>
                <w:szCs w:val="21"/>
              </w:rPr>
              <w:t>/</w:t>
            </w:r>
          </w:p>
        </w:tc>
        <w:tc>
          <w:tcPr>
            <w:tcW w:w="1468" w:type="dxa"/>
            <w:vAlign w:val="top"/>
          </w:tcPr>
          <w:p>
            <w:pPr>
              <w:pStyle w:val="TableText"/>
              <w:ind w:left="675"/>
              <w:spacing w:before="37" w:line="195" w:lineRule="auto"/>
              <w:rPr>
                <w:sz w:val="21"/>
                <w:szCs w:val="21"/>
              </w:rPr>
            </w:pPr>
            <w:r>
              <w:rPr>
                <w:sz w:val="21"/>
                <w:szCs w:val="21"/>
              </w:rPr>
              <w:t>/</w:t>
            </w:r>
          </w:p>
        </w:tc>
        <w:tc>
          <w:tcPr>
            <w:tcW w:w="639" w:type="dxa"/>
            <w:vAlign w:val="top"/>
          </w:tcPr>
          <w:p>
            <w:pPr>
              <w:pStyle w:val="TableText"/>
              <w:ind w:left="206"/>
              <w:spacing w:before="53" w:line="181" w:lineRule="auto"/>
              <w:rPr>
                <w:sz w:val="21"/>
                <w:szCs w:val="21"/>
              </w:rPr>
            </w:pPr>
            <w:r>
              <w:rPr>
                <w:sz w:val="21"/>
                <w:szCs w:val="21"/>
                <w:spacing w:val="-3"/>
              </w:rPr>
              <w:t>90</w:t>
            </w:r>
          </w:p>
        </w:tc>
        <w:tc>
          <w:tcPr>
            <w:tcW w:w="1029" w:type="dxa"/>
            <w:vAlign w:val="top"/>
          </w:tcPr>
          <w:p>
            <w:pPr>
              <w:pStyle w:val="TableText"/>
              <w:ind w:left="297"/>
              <w:spacing w:before="53" w:line="181" w:lineRule="auto"/>
              <w:rPr>
                <w:sz w:val="21"/>
                <w:szCs w:val="21"/>
              </w:rPr>
            </w:pPr>
            <w:r>
              <w:rPr>
                <w:sz w:val="21"/>
                <w:szCs w:val="21"/>
                <w:spacing w:val="-2"/>
              </w:rPr>
              <w:t>0.06</w:t>
            </w:r>
          </w:p>
        </w:tc>
        <w:tc>
          <w:tcPr>
            <w:tcW w:w="689" w:type="dxa"/>
            <w:vAlign w:val="top"/>
          </w:tcPr>
          <w:p>
            <w:pPr>
              <w:pStyle w:val="TableText"/>
              <w:ind w:left="288"/>
              <w:spacing w:before="53" w:line="181" w:lineRule="auto"/>
              <w:rPr>
                <w:sz w:val="21"/>
                <w:szCs w:val="21"/>
              </w:rPr>
            </w:pPr>
            <w:r>
              <w:rPr>
                <w:sz w:val="21"/>
                <w:szCs w:val="21"/>
              </w:rPr>
              <w:t>0</w:t>
            </w:r>
          </w:p>
        </w:tc>
        <w:tc>
          <w:tcPr>
            <w:tcW w:w="964" w:type="dxa"/>
            <w:vAlign w:val="top"/>
          </w:tcPr>
          <w:p>
            <w:pPr>
              <w:pStyle w:val="TableText"/>
              <w:ind w:left="269"/>
              <w:spacing w:before="53" w:line="181" w:lineRule="auto"/>
              <w:rPr>
                <w:sz w:val="21"/>
                <w:szCs w:val="21"/>
              </w:rPr>
            </w:pPr>
            <w:r>
              <w:rPr>
                <w:sz w:val="21"/>
                <w:szCs w:val="21"/>
                <w:spacing w:val="-2"/>
              </w:rPr>
              <w:t>0.00</w:t>
            </w:r>
          </w:p>
        </w:tc>
      </w:tr>
      <w:tr>
        <w:trPr>
          <w:trHeight w:val="269" w:hRule="atLeast"/>
        </w:trPr>
        <w:tc>
          <w:tcPr>
            <w:tcW w:w="514" w:type="dxa"/>
            <w:vAlign w:val="top"/>
            <w:vMerge w:val="continue"/>
            <w:tcBorders>
              <w:top w:val="nil"/>
            </w:tcBorders>
          </w:tcPr>
          <w:p>
            <w:pPr>
              <w:rPr>
                <w:rFonts w:ascii="Arial"/>
                <w:sz w:val="21"/>
              </w:rPr>
            </w:pPr>
            <w:r/>
          </w:p>
        </w:tc>
        <w:tc>
          <w:tcPr>
            <w:tcW w:w="1828" w:type="dxa"/>
            <w:vAlign w:val="top"/>
          </w:tcPr>
          <w:p>
            <w:pPr>
              <w:pStyle w:val="TableText"/>
              <w:ind w:left="170"/>
              <w:spacing w:before="32" w:line="199" w:lineRule="auto"/>
              <w:rPr>
                <w:sz w:val="21"/>
                <w:szCs w:val="21"/>
              </w:rPr>
            </w:pPr>
            <w:r>
              <w:rPr>
                <w:sz w:val="21"/>
                <w:szCs w:val="21"/>
                <w:spacing w:val="1"/>
              </w:rPr>
              <w:t>蒸汽发生器用水</w:t>
            </w:r>
          </w:p>
        </w:tc>
        <w:tc>
          <w:tcPr>
            <w:tcW w:w="1378" w:type="dxa"/>
            <w:vAlign w:val="top"/>
          </w:tcPr>
          <w:p>
            <w:pPr>
              <w:pStyle w:val="TableText"/>
              <w:ind w:left="622"/>
              <w:spacing w:before="38" w:line="194" w:lineRule="auto"/>
              <w:rPr>
                <w:sz w:val="21"/>
                <w:szCs w:val="21"/>
              </w:rPr>
            </w:pPr>
            <w:r>
              <w:rPr>
                <w:sz w:val="21"/>
                <w:szCs w:val="21"/>
              </w:rPr>
              <w:t>/</w:t>
            </w:r>
          </w:p>
        </w:tc>
        <w:tc>
          <w:tcPr>
            <w:tcW w:w="1468" w:type="dxa"/>
            <w:vAlign w:val="top"/>
            <w:textDirection w:val="tbRlV"/>
          </w:tcPr>
          <w:p>
            <w:pPr>
              <w:spacing w:line="299" w:lineRule="auto"/>
              <w:rPr>
                <w:rFonts w:ascii="Arial"/>
                <w:sz w:val="21"/>
              </w:rPr>
            </w:pPr>
            <w:r/>
          </w:p>
          <w:p>
            <w:pPr>
              <w:spacing w:line="300" w:lineRule="auto"/>
              <w:rPr>
                <w:rFonts w:ascii="Arial"/>
                <w:sz w:val="21"/>
              </w:rPr>
            </w:pPr>
            <w:r/>
          </w:p>
          <w:p>
            <w:pPr>
              <w:pStyle w:val="TableText"/>
              <w:ind w:left="4"/>
              <w:spacing w:before="71" w:line="136" w:lineRule="exact"/>
              <w:rPr>
                <w:sz w:val="21"/>
                <w:szCs w:val="21"/>
              </w:rPr>
            </w:pPr>
            <w:r>
              <w:rPr>
                <w:sz w:val="21"/>
                <w:szCs w:val="21"/>
                <w:color w:val="404050"/>
                <w:spacing w:val="52"/>
                <w:w w:val="141"/>
                <w:position w:val="-1"/>
              </w:rPr>
              <w:t>/</w:t>
            </w:r>
          </w:p>
        </w:tc>
        <w:tc>
          <w:tcPr>
            <w:tcW w:w="639" w:type="dxa"/>
            <w:vAlign w:val="top"/>
          </w:tcPr>
          <w:p>
            <w:pPr>
              <w:pStyle w:val="TableText"/>
              <w:ind w:left="206"/>
              <w:spacing w:before="53" w:line="181" w:lineRule="auto"/>
              <w:rPr>
                <w:sz w:val="21"/>
                <w:szCs w:val="21"/>
              </w:rPr>
            </w:pPr>
            <w:r>
              <w:rPr>
                <w:sz w:val="21"/>
                <w:szCs w:val="21"/>
                <w:spacing w:val="-3"/>
              </w:rPr>
              <w:t>90</w:t>
            </w:r>
          </w:p>
        </w:tc>
        <w:tc>
          <w:tcPr>
            <w:tcW w:w="1029" w:type="dxa"/>
            <w:vAlign w:val="top"/>
          </w:tcPr>
          <w:p>
            <w:pPr>
              <w:pStyle w:val="TableText"/>
              <w:ind w:left="247"/>
              <w:spacing w:before="53" w:line="181" w:lineRule="auto"/>
              <w:rPr>
                <w:sz w:val="21"/>
                <w:szCs w:val="21"/>
              </w:rPr>
            </w:pPr>
            <w:r>
              <w:rPr>
                <w:sz w:val="21"/>
                <w:szCs w:val="21"/>
                <w:spacing w:val="-4"/>
              </w:rPr>
              <w:t>16.00</w:t>
            </w:r>
          </w:p>
        </w:tc>
        <w:tc>
          <w:tcPr>
            <w:tcW w:w="689" w:type="dxa"/>
            <w:vAlign w:val="top"/>
          </w:tcPr>
          <w:p>
            <w:pPr>
              <w:pStyle w:val="TableText"/>
              <w:ind w:left="288"/>
              <w:spacing w:before="38" w:line="194" w:lineRule="auto"/>
              <w:rPr>
                <w:sz w:val="21"/>
                <w:szCs w:val="21"/>
              </w:rPr>
            </w:pPr>
            <w:r>
              <w:rPr>
                <w:sz w:val="21"/>
                <w:szCs w:val="21"/>
                <w:color w:val="404040"/>
              </w:rPr>
              <w:t>/</w:t>
            </w:r>
          </w:p>
        </w:tc>
        <w:tc>
          <w:tcPr>
            <w:tcW w:w="964" w:type="dxa"/>
            <w:vAlign w:val="top"/>
          </w:tcPr>
          <w:p>
            <w:pPr>
              <w:pStyle w:val="TableText"/>
              <w:ind w:left="269"/>
              <w:spacing w:before="53" w:line="181" w:lineRule="auto"/>
              <w:rPr>
                <w:sz w:val="21"/>
                <w:szCs w:val="21"/>
              </w:rPr>
            </w:pPr>
            <w:r>
              <w:rPr>
                <w:sz w:val="21"/>
                <w:szCs w:val="21"/>
                <w:spacing w:val="-2"/>
              </w:rPr>
              <w:t>4.00</w:t>
            </w:r>
          </w:p>
        </w:tc>
      </w:tr>
      <w:tr>
        <w:trPr>
          <w:trHeight w:val="268" w:hRule="atLeast"/>
        </w:trPr>
        <w:tc>
          <w:tcPr>
            <w:tcW w:w="514" w:type="dxa"/>
            <w:vAlign w:val="top"/>
            <w:vMerge w:val="restart"/>
            <w:tcBorders>
              <w:bottom w:val="nil"/>
            </w:tcBorders>
          </w:tcPr>
          <w:p>
            <w:pPr>
              <w:pStyle w:val="TableText"/>
              <w:ind w:left="35"/>
              <w:spacing w:before="164" w:line="220" w:lineRule="auto"/>
              <w:rPr>
                <w:sz w:val="21"/>
                <w:szCs w:val="21"/>
              </w:rPr>
            </w:pPr>
            <w:r>
              <w:rPr>
                <w:sz w:val="21"/>
                <w:szCs w:val="21"/>
                <w:spacing w:val="-3"/>
              </w:rPr>
              <w:t>其他</w:t>
            </w:r>
          </w:p>
          <w:p>
            <w:pPr>
              <w:pStyle w:val="TableText"/>
              <w:ind w:left="35"/>
              <w:spacing w:before="39" w:line="219" w:lineRule="auto"/>
              <w:rPr>
                <w:sz w:val="21"/>
                <w:szCs w:val="21"/>
              </w:rPr>
            </w:pPr>
            <w:r>
              <w:rPr>
                <w:sz w:val="21"/>
                <w:szCs w:val="21"/>
                <w:spacing w:val="-3"/>
              </w:rPr>
              <w:t>用水</w:t>
            </w:r>
          </w:p>
        </w:tc>
        <w:tc>
          <w:tcPr>
            <w:tcW w:w="1828" w:type="dxa"/>
            <w:vAlign w:val="top"/>
          </w:tcPr>
          <w:p>
            <w:pPr>
              <w:pStyle w:val="TableText"/>
              <w:ind w:left="480"/>
              <w:spacing w:before="33" w:line="197" w:lineRule="auto"/>
              <w:rPr>
                <w:sz w:val="21"/>
                <w:szCs w:val="21"/>
              </w:rPr>
            </w:pPr>
            <w:r>
              <w:rPr>
                <w:sz w:val="21"/>
                <w:szCs w:val="21"/>
                <w:spacing w:val="-2"/>
              </w:rPr>
              <w:t>绿化用水</w:t>
            </w:r>
          </w:p>
        </w:tc>
        <w:tc>
          <w:tcPr>
            <w:tcW w:w="1378" w:type="dxa"/>
            <w:vAlign w:val="top"/>
          </w:tcPr>
          <w:p>
            <w:pPr>
              <w:pStyle w:val="TableText"/>
              <w:ind w:left="52"/>
              <w:spacing w:before="33" w:line="197" w:lineRule="auto"/>
              <w:rPr>
                <w:sz w:val="21"/>
                <w:szCs w:val="21"/>
              </w:rPr>
            </w:pPr>
            <w:r>
              <w:rPr>
                <w:sz w:val="21"/>
                <w:szCs w:val="21"/>
                <w:spacing w:val="2"/>
              </w:rPr>
              <w:t>1.0L/次 ·</w:t>
            </w:r>
            <w:r>
              <w:rPr>
                <w:sz w:val="21"/>
                <w:szCs w:val="21"/>
                <w:spacing w:val="-81"/>
              </w:rPr>
              <w:t xml:space="preserve"> </w:t>
            </w:r>
            <w:r>
              <w:rPr>
                <w:sz w:val="21"/>
                <w:szCs w:val="21"/>
                <w:spacing w:val="2"/>
              </w:rPr>
              <w:t>m²</w:t>
            </w:r>
          </w:p>
        </w:tc>
        <w:tc>
          <w:tcPr>
            <w:tcW w:w="1468" w:type="dxa"/>
            <w:vAlign w:val="top"/>
            <w:textDirection w:val="tbRlV"/>
          </w:tcPr>
          <w:p>
            <w:pPr>
              <w:spacing w:line="299" w:lineRule="auto"/>
              <w:rPr>
                <w:rFonts w:ascii="Arial"/>
                <w:sz w:val="21"/>
              </w:rPr>
            </w:pPr>
            <w:r/>
          </w:p>
          <w:p>
            <w:pPr>
              <w:spacing w:line="300" w:lineRule="auto"/>
              <w:rPr>
                <w:rFonts w:ascii="Arial"/>
                <w:sz w:val="21"/>
              </w:rPr>
            </w:pPr>
            <w:r/>
          </w:p>
          <w:p>
            <w:pPr>
              <w:pStyle w:val="TableText"/>
              <w:ind w:left="5"/>
              <w:spacing w:before="71" w:line="136" w:lineRule="exact"/>
              <w:rPr>
                <w:sz w:val="21"/>
                <w:szCs w:val="21"/>
              </w:rPr>
            </w:pPr>
            <w:r>
              <w:rPr>
                <w:sz w:val="21"/>
                <w:szCs w:val="21"/>
                <w:spacing w:val="52"/>
                <w:w w:val="141"/>
                <w:position w:val="-1"/>
              </w:rPr>
              <w:t>/</w:t>
            </w:r>
          </w:p>
        </w:tc>
        <w:tc>
          <w:tcPr>
            <w:tcW w:w="639" w:type="dxa"/>
            <w:vAlign w:val="top"/>
          </w:tcPr>
          <w:p>
            <w:pPr>
              <w:pStyle w:val="TableText"/>
              <w:ind w:left="206"/>
              <w:spacing w:before="54" w:line="179" w:lineRule="auto"/>
              <w:rPr>
                <w:sz w:val="21"/>
                <w:szCs w:val="21"/>
              </w:rPr>
            </w:pPr>
            <w:r>
              <w:rPr>
                <w:sz w:val="21"/>
                <w:szCs w:val="21"/>
                <w:spacing w:val="-3"/>
              </w:rPr>
              <w:t>90</w:t>
            </w:r>
          </w:p>
        </w:tc>
        <w:tc>
          <w:tcPr>
            <w:tcW w:w="1029" w:type="dxa"/>
            <w:vAlign w:val="top"/>
          </w:tcPr>
          <w:p>
            <w:pPr>
              <w:pStyle w:val="TableText"/>
              <w:ind w:left="297"/>
              <w:spacing w:before="54" w:line="179" w:lineRule="auto"/>
              <w:rPr>
                <w:sz w:val="21"/>
                <w:szCs w:val="21"/>
              </w:rPr>
            </w:pPr>
            <w:r>
              <w:rPr>
                <w:sz w:val="21"/>
                <w:szCs w:val="21"/>
                <w:spacing w:val="-2"/>
              </w:rPr>
              <w:t>0.29</w:t>
            </w:r>
          </w:p>
        </w:tc>
        <w:tc>
          <w:tcPr>
            <w:tcW w:w="689" w:type="dxa"/>
            <w:vAlign w:val="top"/>
          </w:tcPr>
          <w:p>
            <w:pPr>
              <w:pStyle w:val="TableText"/>
              <w:ind w:left="288"/>
              <w:spacing w:before="54" w:line="179" w:lineRule="auto"/>
              <w:rPr>
                <w:sz w:val="21"/>
                <w:szCs w:val="21"/>
              </w:rPr>
            </w:pPr>
            <w:r>
              <w:rPr>
                <w:sz w:val="21"/>
                <w:szCs w:val="21"/>
              </w:rPr>
              <w:t>0</w:t>
            </w:r>
          </w:p>
        </w:tc>
        <w:tc>
          <w:tcPr>
            <w:tcW w:w="964" w:type="dxa"/>
            <w:vAlign w:val="top"/>
          </w:tcPr>
          <w:p>
            <w:pPr>
              <w:pStyle w:val="TableText"/>
              <w:ind w:left="269"/>
              <w:spacing w:before="54" w:line="179" w:lineRule="auto"/>
              <w:rPr>
                <w:sz w:val="21"/>
                <w:szCs w:val="21"/>
              </w:rPr>
            </w:pPr>
            <w:r>
              <w:rPr>
                <w:sz w:val="21"/>
                <w:szCs w:val="21"/>
                <w:color w:val="404040"/>
                <w:spacing w:val="-2"/>
              </w:rPr>
              <w:t>0.00</w:t>
            </w:r>
          </w:p>
        </w:tc>
      </w:tr>
      <w:tr>
        <w:trPr>
          <w:trHeight w:val="269" w:hRule="atLeast"/>
        </w:trPr>
        <w:tc>
          <w:tcPr>
            <w:tcW w:w="514" w:type="dxa"/>
            <w:vAlign w:val="top"/>
            <w:vMerge w:val="continue"/>
            <w:tcBorders>
              <w:top w:val="nil"/>
              <w:bottom w:val="nil"/>
            </w:tcBorders>
          </w:tcPr>
          <w:p>
            <w:pPr>
              <w:rPr>
                <w:rFonts w:ascii="Arial"/>
                <w:sz w:val="21"/>
              </w:rPr>
            </w:pPr>
            <w:r/>
          </w:p>
        </w:tc>
        <w:tc>
          <w:tcPr>
            <w:tcW w:w="1828" w:type="dxa"/>
            <w:vAlign w:val="top"/>
          </w:tcPr>
          <w:p>
            <w:pPr>
              <w:pStyle w:val="TableText"/>
              <w:ind w:left="270"/>
              <w:spacing w:before="36" w:line="196" w:lineRule="auto"/>
              <w:rPr>
                <w:sz w:val="21"/>
                <w:szCs w:val="21"/>
              </w:rPr>
            </w:pPr>
            <w:r>
              <w:rPr>
                <w:sz w:val="21"/>
                <w:szCs w:val="21"/>
                <w:spacing w:val="1"/>
              </w:rPr>
              <w:t>不可预计用水</w:t>
            </w:r>
          </w:p>
        </w:tc>
        <w:tc>
          <w:tcPr>
            <w:tcW w:w="1378" w:type="dxa"/>
            <w:vAlign w:val="top"/>
          </w:tcPr>
          <w:p>
            <w:pPr>
              <w:pStyle w:val="TableText"/>
              <w:ind w:left="622"/>
              <w:spacing w:before="41" w:line="191" w:lineRule="auto"/>
              <w:rPr>
                <w:sz w:val="21"/>
                <w:szCs w:val="21"/>
              </w:rPr>
            </w:pPr>
            <w:r>
              <w:rPr>
                <w:sz w:val="21"/>
                <w:szCs w:val="21"/>
              </w:rPr>
              <w:t>/</w:t>
            </w:r>
          </w:p>
        </w:tc>
        <w:tc>
          <w:tcPr>
            <w:tcW w:w="1468" w:type="dxa"/>
            <w:vAlign w:val="top"/>
            <w:textDirection w:val="tbRlV"/>
          </w:tcPr>
          <w:p>
            <w:pPr>
              <w:spacing w:line="299" w:lineRule="auto"/>
              <w:rPr>
                <w:rFonts w:ascii="Arial"/>
                <w:sz w:val="21"/>
              </w:rPr>
            </w:pPr>
            <w:r/>
          </w:p>
          <w:p>
            <w:pPr>
              <w:spacing w:line="300" w:lineRule="auto"/>
              <w:rPr>
                <w:rFonts w:ascii="Arial"/>
                <w:sz w:val="21"/>
              </w:rPr>
            </w:pPr>
            <w:r/>
          </w:p>
          <w:p>
            <w:pPr>
              <w:pStyle w:val="TableText"/>
              <w:ind w:left="7"/>
              <w:spacing w:before="71" w:line="136" w:lineRule="exact"/>
              <w:rPr>
                <w:sz w:val="21"/>
                <w:szCs w:val="21"/>
              </w:rPr>
            </w:pPr>
            <w:r>
              <w:rPr>
                <w:sz w:val="21"/>
                <w:szCs w:val="21"/>
                <w:color w:val="404050"/>
                <w:spacing w:val="52"/>
                <w:w w:val="141"/>
                <w:position w:val="-1"/>
              </w:rPr>
              <w:t>/</w:t>
            </w:r>
          </w:p>
        </w:tc>
        <w:tc>
          <w:tcPr>
            <w:tcW w:w="639" w:type="dxa"/>
            <w:vAlign w:val="top"/>
          </w:tcPr>
          <w:p>
            <w:pPr>
              <w:pStyle w:val="TableText"/>
              <w:ind w:left="206"/>
              <w:spacing w:before="56" w:line="178" w:lineRule="auto"/>
              <w:rPr>
                <w:sz w:val="21"/>
                <w:szCs w:val="21"/>
              </w:rPr>
            </w:pPr>
            <w:r>
              <w:rPr>
                <w:sz w:val="21"/>
                <w:szCs w:val="21"/>
                <w:spacing w:val="-3"/>
              </w:rPr>
              <w:t>90</w:t>
            </w:r>
          </w:p>
        </w:tc>
        <w:tc>
          <w:tcPr>
            <w:tcW w:w="1029" w:type="dxa"/>
            <w:vAlign w:val="top"/>
          </w:tcPr>
          <w:p>
            <w:pPr>
              <w:pStyle w:val="TableText"/>
              <w:ind w:left="197"/>
              <w:spacing w:before="56" w:line="178" w:lineRule="auto"/>
              <w:rPr>
                <w:sz w:val="21"/>
                <w:szCs w:val="21"/>
              </w:rPr>
            </w:pPr>
            <w:r>
              <w:rPr>
                <w:sz w:val="21"/>
                <w:szCs w:val="21"/>
                <w:spacing w:val="-4"/>
              </w:rPr>
              <w:t>113.46</w:t>
            </w:r>
          </w:p>
        </w:tc>
        <w:tc>
          <w:tcPr>
            <w:tcW w:w="689" w:type="dxa"/>
            <w:vAlign w:val="top"/>
          </w:tcPr>
          <w:p>
            <w:pPr>
              <w:pStyle w:val="TableText"/>
              <w:ind w:left="288"/>
              <w:spacing w:before="56" w:line="178" w:lineRule="auto"/>
              <w:rPr>
                <w:sz w:val="21"/>
                <w:szCs w:val="21"/>
              </w:rPr>
            </w:pPr>
            <w:r>
              <w:rPr>
                <w:sz w:val="21"/>
                <w:szCs w:val="21"/>
              </w:rPr>
              <w:t>0</w:t>
            </w:r>
          </w:p>
        </w:tc>
        <w:tc>
          <w:tcPr>
            <w:tcW w:w="964" w:type="dxa"/>
            <w:vAlign w:val="top"/>
          </w:tcPr>
          <w:p>
            <w:pPr>
              <w:pStyle w:val="TableText"/>
              <w:ind w:left="269"/>
              <w:spacing w:before="56" w:line="178" w:lineRule="auto"/>
              <w:rPr>
                <w:sz w:val="21"/>
                <w:szCs w:val="21"/>
              </w:rPr>
            </w:pPr>
            <w:r>
              <w:rPr>
                <w:sz w:val="21"/>
                <w:szCs w:val="21"/>
                <w:spacing w:val="-2"/>
              </w:rPr>
              <w:t>0.00</w:t>
            </w:r>
          </w:p>
        </w:tc>
      </w:tr>
      <w:tr>
        <w:trPr>
          <w:trHeight w:val="279" w:hRule="atLeast"/>
        </w:trPr>
        <w:tc>
          <w:tcPr>
            <w:tcW w:w="514" w:type="dxa"/>
            <w:vAlign w:val="top"/>
            <w:vMerge w:val="continue"/>
            <w:tcBorders>
              <w:top w:val="nil"/>
            </w:tcBorders>
          </w:tcPr>
          <w:p>
            <w:pPr>
              <w:rPr>
                <w:rFonts w:ascii="Arial"/>
                <w:sz w:val="21"/>
              </w:rPr>
            </w:pPr>
            <w:r/>
          </w:p>
        </w:tc>
        <w:tc>
          <w:tcPr>
            <w:tcW w:w="1828" w:type="dxa"/>
            <w:vAlign w:val="top"/>
          </w:tcPr>
          <w:p>
            <w:pPr>
              <w:pStyle w:val="TableText"/>
              <w:ind w:left="480"/>
              <w:spacing w:before="46" w:line="196" w:lineRule="auto"/>
              <w:rPr>
                <w:sz w:val="21"/>
                <w:szCs w:val="21"/>
              </w:rPr>
            </w:pPr>
            <w:r>
              <w:rPr>
                <w:sz w:val="21"/>
                <w:szCs w:val="21"/>
                <w:spacing w:val="-2"/>
              </w:rPr>
              <w:t>初期雨水</w:t>
            </w:r>
          </w:p>
        </w:tc>
        <w:tc>
          <w:tcPr>
            <w:tcW w:w="1378" w:type="dxa"/>
            <w:vAlign w:val="top"/>
          </w:tcPr>
          <w:p>
            <w:pPr>
              <w:pStyle w:val="TableText"/>
              <w:ind w:left="622"/>
              <w:spacing w:before="52" w:line="190" w:lineRule="auto"/>
              <w:rPr>
                <w:sz w:val="21"/>
                <w:szCs w:val="21"/>
              </w:rPr>
            </w:pPr>
            <w:r>
              <w:rPr>
                <w:sz w:val="21"/>
                <w:szCs w:val="21"/>
              </w:rPr>
              <w:t>/</w:t>
            </w:r>
          </w:p>
        </w:tc>
        <w:tc>
          <w:tcPr>
            <w:tcW w:w="1468" w:type="dxa"/>
            <w:vAlign w:val="top"/>
            <w:textDirection w:val="tbRlV"/>
          </w:tcPr>
          <w:p>
            <w:pPr>
              <w:spacing w:line="299" w:lineRule="auto"/>
              <w:rPr>
                <w:rFonts w:ascii="Arial"/>
                <w:sz w:val="21"/>
              </w:rPr>
            </w:pPr>
            <w:r/>
          </w:p>
          <w:p>
            <w:pPr>
              <w:spacing w:line="300" w:lineRule="auto"/>
              <w:rPr>
                <w:rFonts w:ascii="Arial"/>
                <w:sz w:val="21"/>
              </w:rPr>
            </w:pPr>
            <w:r/>
          </w:p>
          <w:p>
            <w:pPr>
              <w:pStyle w:val="TableText"/>
              <w:ind w:left="18"/>
              <w:spacing w:before="71" w:line="136" w:lineRule="exact"/>
              <w:rPr>
                <w:sz w:val="21"/>
                <w:szCs w:val="21"/>
              </w:rPr>
            </w:pPr>
            <w:r>
              <w:rPr>
                <w:sz w:val="21"/>
                <w:szCs w:val="21"/>
                <w:color w:val="404040"/>
                <w:spacing w:val="52"/>
                <w:w w:val="141"/>
                <w:position w:val="-1"/>
              </w:rPr>
              <w:t>/</w:t>
            </w:r>
          </w:p>
        </w:tc>
        <w:tc>
          <w:tcPr>
            <w:tcW w:w="639" w:type="dxa"/>
            <w:vAlign w:val="top"/>
            <w:textDirection w:val="tbRlV"/>
          </w:tcPr>
          <w:p>
            <w:pPr>
              <w:pStyle w:val="TableText"/>
              <w:ind w:left="18"/>
              <w:spacing w:before="272" w:line="137" w:lineRule="exact"/>
              <w:rPr>
                <w:sz w:val="21"/>
                <w:szCs w:val="21"/>
              </w:rPr>
            </w:pPr>
            <w:r>
              <w:rPr>
                <w:sz w:val="21"/>
                <w:szCs w:val="21"/>
                <w:spacing w:val="52"/>
                <w:w w:val="141"/>
                <w:position w:val="-1"/>
              </w:rPr>
              <w:t>/</w:t>
            </w:r>
          </w:p>
        </w:tc>
        <w:tc>
          <w:tcPr>
            <w:tcW w:w="1029" w:type="dxa"/>
            <w:vAlign w:val="top"/>
          </w:tcPr>
          <w:p>
            <w:pPr>
              <w:pStyle w:val="TableText"/>
              <w:ind w:left="458"/>
              <w:spacing w:before="52" w:line="190" w:lineRule="auto"/>
              <w:rPr>
                <w:sz w:val="21"/>
                <w:szCs w:val="21"/>
              </w:rPr>
            </w:pPr>
            <w:r>
              <w:rPr>
                <w:sz w:val="21"/>
                <w:szCs w:val="21"/>
              </w:rPr>
              <w:t>/</w:t>
            </w:r>
          </w:p>
        </w:tc>
        <w:tc>
          <w:tcPr>
            <w:tcW w:w="689" w:type="dxa"/>
            <w:vAlign w:val="top"/>
          </w:tcPr>
          <w:p>
            <w:pPr>
              <w:pStyle w:val="TableText"/>
              <w:ind w:left="288"/>
              <w:spacing w:before="52" w:line="190" w:lineRule="auto"/>
              <w:rPr>
                <w:sz w:val="21"/>
                <w:szCs w:val="21"/>
              </w:rPr>
            </w:pPr>
            <w:r>
              <w:rPr>
                <w:sz w:val="21"/>
                <w:szCs w:val="21"/>
              </w:rPr>
              <w:t>/</w:t>
            </w:r>
          </w:p>
        </w:tc>
        <w:tc>
          <w:tcPr>
            <w:tcW w:w="964" w:type="dxa"/>
            <w:vAlign w:val="top"/>
          </w:tcPr>
          <w:p>
            <w:pPr>
              <w:pStyle w:val="TableText"/>
              <w:ind w:left="269"/>
              <w:spacing w:before="67" w:line="177" w:lineRule="auto"/>
              <w:rPr>
                <w:sz w:val="21"/>
                <w:szCs w:val="21"/>
              </w:rPr>
            </w:pPr>
            <w:r>
              <w:rPr>
                <w:sz w:val="21"/>
                <w:szCs w:val="21"/>
                <w:spacing w:val="-5"/>
              </w:rPr>
              <w:t>1.70</w:t>
            </w:r>
          </w:p>
        </w:tc>
      </w:tr>
      <w:tr>
        <w:trPr>
          <w:trHeight w:val="274" w:hRule="atLeast"/>
        </w:trPr>
        <w:tc>
          <w:tcPr>
            <w:tcW w:w="2342" w:type="dxa"/>
            <w:vAlign w:val="top"/>
            <w:gridSpan w:val="2"/>
          </w:tcPr>
          <w:p>
            <w:pPr>
              <w:pStyle w:val="TableText"/>
              <w:ind w:left="954"/>
              <w:spacing w:before="38" w:line="198" w:lineRule="auto"/>
              <w:rPr>
                <w:sz w:val="21"/>
                <w:szCs w:val="21"/>
              </w:rPr>
            </w:pPr>
            <w:r>
              <w:rPr>
                <w:sz w:val="21"/>
                <w:szCs w:val="21"/>
                <w:color w:val="404040"/>
                <w:spacing w:val="-3"/>
              </w:rPr>
              <w:t>合计</w:t>
            </w:r>
          </w:p>
        </w:tc>
        <w:tc>
          <w:tcPr>
            <w:tcW w:w="3485" w:type="dxa"/>
            <w:vAlign w:val="top"/>
            <w:gridSpan w:val="3"/>
            <w:textDirection w:val="tbRlV"/>
          </w:tcPr>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9"/>
              <w:spacing w:before="70" w:line="137" w:lineRule="exact"/>
              <w:rPr>
                <w:sz w:val="21"/>
                <w:szCs w:val="21"/>
              </w:rPr>
            </w:pPr>
            <w:r>
              <w:rPr>
                <w:sz w:val="21"/>
                <w:szCs w:val="21"/>
                <w:spacing w:val="52"/>
                <w:w w:val="141"/>
                <w:position w:val="-1"/>
              </w:rPr>
              <w:t>/</w:t>
            </w:r>
          </w:p>
        </w:tc>
        <w:tc>
          <w:tcPr>
            <w:tcW w:w="1029" w:type="dxa"/>
            <w:vAlign w:val="top"/>
          </w:tcPr>
          <w:p>
            <w:pPr>
              <w:pStyle w:val="TableText"/>
              <w:ind w:left="138"/>
              <w:spacing w:before="58" w:line="181" w:lineRule="auto"/>
              <w:rPr>
                <w:sz w:val="21"/>
                <w:szCs w:val="21"/>
              </w:rPr>
            </w:pPr>
            <w:r>
              <w:rPr>
                <w:sz w:val="21"/>
                <w:szCs w:val="21"/>
                <w:spacing w:val="-3"/>
              </w:rPr>
              <w:t>1248.11</w:t>
            </w:r>
          </w:p>
        </w:tc>
        <w:tc>
          <w:tcPr>
            <w:tcW w:w="689" w:type="dxa"/>
            <w:vAlign w:val="top"/>
            <w:textDirection w:val="tbRlV"/>
          </w:tcPr>
          <w:p>
            <w:pPr>
              <w:pStyle w:val="TableText"/>
              <w:ind w:left="9"/>
              <w:spacing w:before="295" w:line="137" w:lineRule="exact"/>
              <w:rPr>
                <w:sz w:val="21"/>
                <w:szCs w:val="21"/>
              </w:rPr>
            </w:pPr>
            <w:r>
              <w:rPr>
                <w:sz w:val="21"/>
                <w:szCs w:val="21"/>
                <w:spacing w:val="52"/>
                <w:w w:val="141"/>
                <w:position w:val="-1"/>
              </w:rPr>
              <w:t>/</w:t>
            </w:r>
          </w:p>
        </w:tc>
        <w:tc>
          <w:tcPr>
            <w:tcW w:w="964" w:type="dxa"/>
            <w:vAlign w:val="top"/>
          </w:tcPr>
          <w:p>
            <w:pPr>
              <w:pStyle w:val="TableText"/>
              <w:ind w:left="209"/>
              <w:spacing w:before="58" w:line="181" w:lineRule="auto"/>
              <w:rPr>
                <w:sz w:val="21"/>
                <w:szCs w:val="21"/>
              </w:rPr>
            </w:pPr>
            <w:r>
              <w:rPr>
                <w:sz w:val="21"/>
                <w:szCs w:val="21"/>
                <w:spacing w:val="-2"/>
              </w:rPr>
              <w:t>946.5</w:t>
            </w:r>
          </w:p>
        </w:tc>
      </w:tr>
    </w:tbl>
    <w:p>
      <w:pPr>
        <w:ind w:left="595"/>
        <w:spacing w:before="74" w:line="219" w:lineRule="auto"/>
        <w:rPr>
          <w:rFonts w:ascii="SimSun" w:hAnsi="SimSun" w:eastAsia="SimSun" w:cs="SimSun"/>
          <w:sz w:val="23"/>
          <w:szCs w:val="23"/>
        </w:rPr>
      </w:pPr>
      <w:r>
        <w:rPr>
          <w:rFonts w:ascii="SimSun" w:hAnsi="SimSun" w:eastAsia="SimSun" w:cs="SimSun"/>
          <w:sz w:val="23"/>
          <w:szCs w:val="23"/>
          <w:spacing w:val="-1"/>
        </w:rPr>
        <w:t>旺季水平衡示意图如下。</w:t>
      </w:r>
    </w:p>
    <w:p>
      <w:pPr>
        <w:ind w:left="2715"/>
        <w:spacing w:before="223" w:line="219" w:lineRule="auto"/>
        <w:rPr>
          <w:rFonts w:ascii="SimSun" w:hAnsi="SimSun" w:eastAsia="SimSun" w:cs="SimSun"/>
          <w:sz w:val="13"/>
          <w:szCs w:val="13"/>
        </w:rPr>
      </w:pPr>
      <w:r>
        <w:drawing>
          <wp:anchor distT="0" distB="0" distL="0" distR="0" simplePos="0" relativeHeight="252014592" behindDoc="1" locked="0" layoutInCell="1" allowOverlap="1">
            <wp:simplePos x="0" y="0"/>
            <wp:positionH relativeFrom="column">
              <wp:posOffset>53922</wp:posOffset>
            </wp:positionH>
            <wp:positionV relativeFrom="paragraph">
              <wp:posOffset>68428</wp:posOffset>
            </wp:positionV>
            <wp:extent cx="5340355" cy="4254582"/>
            <wp:effectExtent l="0" t="0" r="0" b="0"/>
            <wp:wrapNone/>
            <wp:docPr id="66" name="IM 66"/>
            <wp:cNvGraphicFramePr/>
            <a:graphic>
              <a:graphicData uri="http://schemas.openxmlformats.org/drawingml/2006/picture">
                <pic:pic>
                  <pic:nvPicPr>
                    <pic:cNvPr id="66" name="IM 66"/>
                    <pic:cNvPicPr/>
                  </pic:nvPicPr>
                  <pic:blipFill>
                    <a:blip r:embed="rId276"/>
                    <a:stretch>
                      <a:fillRect/>
                    </a:stretch>
                  </pic:blipFill>
                  <pic:spPr>
                    <a:xfrm rot="0">
                      <a:off x="0" y="0"/>
                      <a:ext cx="5340355" cy="4254582"/>
                    </a:xfrm>
                    <a:prstGeom prst="rect">
                      <a:avLst/>
                    </a:prstGeom>
                  </pic:spPr>
                </pic:pic>
              </a:graphicData>
            </a:graphic>
          </wp:anchor>
        </w:drawing>
      </w:r>
      <w:r>
        <w:pict>
          <v:shape id="_x0000_s154" style="position:absolute;margin-left:312.251pt;margin-top:19.3453pt;mso-position-vertical-relative:text;mso-position-horizontal-relative:text;width:12.65pt;height:7.9pt;z-index:252045312;"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3"/>
                      <w:szCs w:val="13"/>
                    </w:rPr>
                  </w:pPr>
                  <w:r>
                    <w:rPr>
                      <w:rFonts w:ascii="Times New Roman" w:hAnsi="Times New Roman" w:eastAsia="Times New Roman" w:cs="Times New Roman"/>
                      <w:sz w:val="13"/>
                      <w:szCs w:val="13"/>
                      <w:spacing w:val="-3"/>
                    </w:rPr>
                    <w:t>14.4</w:t>
                  </w:r>
                </w:p>
              </w:txbxContent>
            </v:textbox>
          </v:shape>
        </w:pict>
      </w:r>
      <w:r>
        <w:rPr>
          <w:rFonts w:ascii="SimSun" w:hAnsi="SimSun" w:eastAsia="SimSun" w:cs="SimSun"/>
          <w:sz w:val="13"/>
          <w:szCs w:val="13"/>
          <w:spacing w:val="-6"/>
        </w:rPr>
        <w:t>→蒸发损耗2.40</w:t>
      </w:r>
    </w:p>
    <w:p>
      <w:pPr>
        <w:ind w:left="1194"/>
        <w:spacing w:before="67" w:line="188" w:lineRule="auto"/>
        <w:rPr>
          <w:rFonts w:ascii="Times New Roman" w:hAnsi="Times New Roman" w:eastAsia="Times New Roman" w:cs="Times New Roman"/>
          <w:sz w:val="19"/>
          <w:szCs w:val="19"/>
        </w:rPr>
      </w:pPr>
      <w:r>
        <w:pict>
          <v:shape id="_x0000_s156" style="position:absolute;margin-left:204.251pt;margin-top:4.98102pt;mso-position-vertical-relative:text;mso-position-horizontal-relative:text;width:13.15pt;height:7.9pt;z-index:252042240;"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3"/>
                      <w:szCs w:val="13"/>
                    </w:rPr>
                  </w:pPr>
                  <w:r>
                    <w:rPr>
                      <w:rFonts w:ascii="Times New Roman" w:hAnsi="Times New Roman" w:eastAsia="Times New Roman" w:cs="Times New Roman"/>
                      <w:sz w:val="13"/>
                      <w:szCs w:val="13"/>
                      <w:spacing w:val="-1"/>
                    </w:rPr>
                    <w:t>9.60</w:t>
                  </w:r>
                </w:p>
              </w:txbxContent>
            </v:textbox>
          </v:shape>
        </w:pict>
      </w:r>
      <w:r>
        <w:pict>
          <v:shape id="_x0000_s158" style="position:absolute;margin-left:227.749pt;margin-top:7.55798pt;mso-position-vertical-relative:text;mso-position-horizontal-relative:text;width:52.8pt;height:32.4pt;z-index:252018688;" filled="false" stroked="false" type="#_x0000_t202">
            <v:fill on="false"/>
            <v:stroke on="false"/>
            <v:path/>
            <v:imagedata o:title=""/>
            <o:lock v:ext="edit" aspectratio="false"/>
            <v:textbox inset="0mm,0mm,0mm,0mm">
              <w:txbxContent>
                <w:p>
                  <w:pPr>
                    <w:ind w:left="20"/>
                    <w:spacing w:before="20" w:line="212" w:lineRule="auto"/>
                    <w:rPr>
                      <w:rFonts w:ascii="Times New Roman" w:hAnsi="Times New Roman" w:eastAsia="Times New Roman" w:cs="Times New Roman"/>
                      <w:sz w:val="13"/>
                      <w:szCs w:val="13"/>
                    </w:rPr>
                  </w:pPr>
                  <w:r>
                    <w:rPr>
                      <w:rFonts w:ascii="SimSun" w:hAnsi="SimSun" w:eastAsia="SimSun" w:cs="SimSun"/>
                      <w:sz w:val="13"/>
                      <w:szCs w:val="13"/>
                      <w:spacing w:val="7"/>
                    </w:rPr>
                    <w:t>预处理池(20</w:t>
                  </w:r>
                  <w:r>
                    <w:rPr>
                      <w:rFonts w:ascii="Times New Roman" w:hAnsi="Times New Roman" w:eastAsia="Times New Roman" w:cs="Times New Roman"/>
                      <w:sz w:val="13"/>
                      <w:szCs w:val="13"/>
                      <w:spacing w:val="7"/>
                    </w:rPr>
                    <w:t>m³)-</w:t>
                  </w:r>
                </w:p>
                <w:p>
                  <w:pPr>
                    <w:ind w:left="80"/>
                    <w:spacing w:before="287" w:line="188"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
                    </w:rPr>
                    <w:t>4.80</w:t>
                  </w:r>
                </w:p>
              </w:txbxContent>
            </v:textbox>
          </v:shape>
        </w:pict>
      </w:r>
      <w:r>
        <w:pict>
          <v:shape id="_x0000_s160" style="position:absolute;margin-left:93.2497pt;margin-top:7.78082pt;mso-position-vertical-relative:text;mso-position-horizontal-relative:text;width:47.3pt;height:9.75pt;z-index:252022784;"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13"/>
                      <w:szCs w:val="13"/>
                    </w:rPr>
                  </w:pPr>
                  <w:r>
                    <w:rPr>
                      <w:rFonts w:ascii="SimSun" w:hAnsi="SimSun" w:eastAsia="SimSun" w:cs="SimSun"/>
                      <w:sz w:val="13"/>
                      <w:szCs w:val="13"/>
                      <w:spacing w:val="-1"/>
                    </w:rPr>
                    <w:t>住宿办公用水二</w:t>
                  </w:r>
                </w:p>
              </w:txbxContent>
            </v:textbox>
          </v:shape>
        </w:pict>
      </w:r>
      <w:r>
        <w:rPr>
          <w:rFonts w:ascii="Times New Roman" w:hAnsi="Times New Roman" w:eastAsia="Times New Roman" w:cs="Times New Roman"/>
          <w:sz w:val="19"/>
          <w:szCs w:val="19"/>
          <w:spacing w:val="-4"/>
        </w:rPr>
        <w:t>12.00</w:t>
      </w:r>
    </w:p>
    <w:p>
      <w:pPr>
        <w:pStyle w:val="BodyText"/>
        <w:spacing w:line="322" w:lineRule="auto"/>
        <w:rPr/>
      </w:pPr>
      <w:r>
        <w:pict>
          <v:shape id="_x0000_s162" style="position:absolute;margin-left:134.75pt;margin-top:6.3186pt;mso-position-vertical-relative:text;mso-position-horizontal-relative:text;width:46.3pt;height:9.85pt;z-index:252023808;" filled="false" stroked="false" type="#_x0000_t202">
            <v:fill on="false"/>
            <v:stroke on="false"/>
            <v:path/>
            <v:imagedata o:title=""/>
            <o:lock v:ext="edit" aspectratio="false"/>
            <v:textbox inset="0mm,0mm,0mm,0mm">
              <w:txbxContent>
                <w:p>
                  <w:pPr>
                    <w:ind w:left="20"/>
                    <w:spacing w:before="19" w:line="222" w:lineRule="auto"/>
                    <w:rPr>
                      <w:rFonts w:ascii="SimSun" w:hAnsi="SimSun" w:eastAsia="SimSun" w:cs="SimSun"/>
                      <w:sz w:val="13"/>
                      <w:szCs w:val="13"/>
                    </w:rPr>
                  </w:pPr>
                  <w:r>
                    <w:rPr>
                      <w:rFonts w:ascii="SimSun" w:hAnsi="SimSun" w:eastAsia="SimSun" w:cs="SimSun"/>
                      <w:sz w:val="13"/>
                      <w:szCs w:val="13"/>
                      <w:spacing w:val="-17"/>
                    </w:rPr>
                    <w:t>→</w:t>
                  </w:r>
                  <w:r>
                    <w:rPr>
                      <w:rFonts w:ascii="SimSun" w:hAnsi="SimSun" w:eastAsia="SimSun" w:cs="SimSun"/>
                      <w:sz w:val="13"/>
                      <w:szCs w:val="13"/>
                      <w:spacing w:val="-42"/>
                    </w:rPr>
                    <w:t xml:space="preserve"> </w:t>
                  </w:r>
                  <w:r>
                    <w:rPr>
                      <w:rFonts w:ascii="Dotum" w:hAnsi="Dotum" w:eastAsia="Dotum" w:cs="Dotum"/>
                      <w:sz w:val="13"/>
                      <w:szCs w:val="13"/>
                      <w:spacing w:val="-17"/>
                    </w:rPr>
                    <w:t>▶</w:t>
                  </w:r>
                  <w:r>
                    <w:rPr>
                      <w:rFonts w:ascii="SimSun" w:hAnsi="SimSun" w:eastAsia="SimSun" w:cs="SimSun"/>
                      <w:sz w:val="13"/>
                      <w:szCs w:val="13"/>
                      <w:spacing w:val="-17"/>
                    </w:rPr>
                    <w:t>蒸发损耗1.20</w:t>
                  </w:r>
                </w:p>
              </w:txbxContent>
            </v:textbox>
          </v:shape>
        </w:pict>
      </w:r>
      <w:r/>
    </w:p>
    <w:p>
      <w:pPr>
        <w:ind w:left="1254"/>
        <w:spacing w:before="54" w:line="188" w:lineRule="auto"/>
        <w:rPr>
          <w:rFonts w:ascii="Times New Roman" w:hAnsi="Times New Roman" w:eastAsia="Times New Roman" w:cs="Times New Roman"/>
          <w:sz w:val="19"/>
          <w:szCs w:val="19"/>
        </w:rPr>
      </w:pPr>
      <w:r>
        <w:pict>
          <v:shape id="_x0000_s164" style="position:absolute;margin-left:190.751pt;margin-top:4.69656pt;mso-position-vertical-relative:text;mso-position-horizontal-relative:text;width:20.9pt;height:9.8pt;z-index:252035072;" filled="false" stroked="false" type="#_x0000_t202">
            <v:fill on="false"/>
            <v:stroke on="false"/>
            <v:path/>
            <v:imagedata o:title=""/>
            <o:lock v:ext="edit" aspectratio="false"/>
            <v:textbox inset="0mm,0mm,0mm,0mm">
              <w:txbxContent>
                <w:p>
                  <w:pPr>
                    <w:ind w:left="20"/>
                    <w:spacing w:before="19" w:line="221" w:lineRule="auto"/>
                    <w:rPr>
                      <w:rFonts w:ascii="SimSun" w:hAnsi="SimSun" w:eastAsia="SimSun" w:cs="SimSun"/>
                      <w:sz w:val="13"/>
                      <w:szCs w:val="13"/>
                    </w:rPr>
                  </w:pPr>
                  <w:r>
                    <w:rPr>
                      <w:rFonts w:ascii="SimSun" w:hAnsi="SimSun" w:eastAsia="SimSun" w:cs="SimSun"/>
                      <w:sz w:val="13"/>
                      <w:szCs w:val="13"/>
                      <w:spacing w:val="-3"/>
                    </w:rPr>
                    <w:t>隔油池</w:t>
                  </w:r>
                </w:p>
              </w:txbxContent>
            </v:textbox>
          </v:shape>
        </w:pict>
      </w:r>
      <w:r>
        <w:pict>
          <v:shape id="_x0000_s166" style="position:absolute;margin-left:101.748pt;margin-top:6.64853pt;mso-position-vertical-relative:text;mso-position-horizontal-relative:text;width:27.7pt;height:9.75pt;z-index:252030976;"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13"/>
                      <w:szCs w:val="13"/>
                    </w:rPr>
                  </w:pPr>
                  <w:r>
                    <w:rPr>
                      <w:rFonts w:ascii="SimSun" w:hAnsi="SimSun" w:eastAsia="SimSun" w:cs="SimSun"/>
                      <w:sz w:val="13"/>
                      <w:szCs w:val="13"/>
                      <w:spacing w:val="-2"/>
                    </w:rPr>
                    <w:t>餐饮用水</w:t>
                  </w:r>
                </w:p>
              </w:txbxContent>
            </v:textbox>
          </v:shape>
        </w:pict>
      </w:r>
      <w:r>
        <w:rPr>
          <w:rFonts w:ascii="Times New Roman" w:hAnsi="Times New Roman" w:eastAsia="Times New Roman" w:cs="Times New Roman"/>
          <w:sz w:val="19"/>
          <w:szCs w:val="19"/>
          <w:spacing w:val="-2"/>
        </w:rPr>
        <w:t>6.00</w:t>
      </w:r>
    </w:p>
    <w:p>
      <w:pPr>
        <w:pStyle w:val="BodyText"/>
        <w:spacing w:line="440" w:lineRule="auto"/>
        <w:rPr/>
      </w:pPr>
      <w:r>
        <w:pict>
          <v:shape id="_x0000_s168" style="position:absolute;margin-left:134.75pt;margin-top:10.3358pt;mso-position-vertical-relative:text;mso-position-horizontal-relative:text;width:50.4pt;height:9.75pt;z-index:252020736;"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13"/>
                      <w:szCs w:val="13"/>
                    </w:rPr>
                  </w:pPr>
                  <w:r>
                    <w:rPr>
                      <w:rFonts w:ascii="SimSun" w:hAnsi="SimSun" w:eastAsia="SimSun" w:cs="SimSun"/>
                      <w:sz w:val="13"/>
                      <w:szCs w:val="13"/>
                      <w:spacing w:val="-7"/>
                    </w:rPr>
                    <w:t>→蒸发损耗136.37</w:t>
                  </w:r>
                </w:p>
              </w:txbxContent>
            </v:textbox>
          </v:shape>
        </w:pict>
      </w:r>
      <w:r>
        <w:pict>
          <v:shape id="_x0000_s170" style="position:absolute;margin-left:341.246pt;margin-top:15.5349pt;mso-position-vertical-relative:text;mso-position-horizontal-relative:text;width:16.4pt;height:7.9pt;z-index:252040192;"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3"/>
                      <w:szCs w:val="13"/>
                    </w:rPr>
                  </w:pPr>
                  <w:r>
                    <w:rPr>
                      <w:rFonts w:ascii="Times New Roman" w:hAnsi="Times New Roman" w:eastAsia="Times New Roman" w:cs="Times New Roman"/>
                      <w:sz w:val="13"/>
                      <w:szCs w:val="13"/>
                      <w:spacing w:val="-1"/>
                    </w:rPr>
                    <w:t>946.5</w:t>
                  </w:r>
                </w:p>
              </w:txbxContent>
            </v:textbox>
          </v:shape>
        </w:pict>
      </w:r>
      <w:r>
        <w:pict>
          <v:shape id="_x0000_s172" style="position:absolute;margin-left:184.748pt;margin-top:23.0372pt;mso-position-vertical-relative:text;mso-position-horizontal-relative:text;width:16.4pt;height:7.9pt;z-index:252038144;"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3"/>
                      <w:szCs w:val="13"/>
                    </w:rPr>
                  </w:pPr>
                  <w:r>
                    <w:rPr>
                      <w:rFonts w:ascii="Times New Roman" w:hAnsi="Times New Roman" w:eastAsia="Times New Roman" w:cs="Times New Roman"/>
                      <w:sz w:val="13"/>
                      <w:szCs w:val="13"/>
                      <w:spacing w:val="-1"/>
                    </w:rPr>
                    <w:t>772.5</w:t>
                  </w:r>
                </w:p>
              </w:txbxContent>
            </v:textbox>
          </v:shape>
        </w:pict>
      </w:r>
      <w:r/>
    </w:p>
    <w:p>
      <w:pPr>
        <w:ind w:left="1164"/>
        <w:spacing w:before="38" w:line="96" w:lineRule="exact"/>
        <w:rPr>
          <w:rFonts w:ascii="Times New Roman" w:hAnsi="Times New Roman" w:eastAsia="Times New Roman" w:cs="Times New Roman"/>
          <w:sz w:val="13"/>
          <w:szCs w:val="13"/>
        </w:rPr>
      </w:pPr>
      <w:r>
        <w:pict>
          <v:shape id="_x0000_s174" style="position:absolute;margin-left:93.2497pt;margin-top:2.20251pt;mso-position-vertical-relative:text;mso-position-horizontal-relative:text;width:40.7pt;height:9.75pt;z-index:252027904;"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13"/>
                      <w:szCs w:val="13"/>
                    </w:rPr>
                  </w:pPr>
                  <w:r>
                    <w:rPr>
                      <w:rFonts w:ascii="SimSun" w:hAnsi="SimSun" w:eastAsia="SimSun" w:cs="SimSun"/>
                      <w:sz w:val="13"/>
                      <w:szCs w:val="13"/>
                      <w:spacing w:val="-1"/>
                    </w:rPr>
                    <w:t>生猪屠宰用水</w:t>
                  </w:r>
                </w:p>
              </w:txbxContent>
            </v:textbox>
          </v:shape>
        </w:pict>
      </w:r>
      <w:r>
        <w:rPr>
          <w:rFonts w:ascii="Times New Roman" w:hAnsi="Times New Roman" w:eastAsia="Times New Roman" w:cs="Times New Roman"/>
          <w:sz w:val="13"/>
          <w:szCs w:val="13"/>
          <w:spacing w:val="-1"/>
          <w:position w:val="-1"/>
        </w:rPr>
        <w:t>908.87</w:t>
      </w:r>
    </w:p>
    <w:p>
      <w:pPr>
        <w:ind w:left="7424"/>
        <w:spacing w:before="1" w:line="219" w:lineRule="auto"/>
        <w:rPr>
          <w:rFonts w:ascii="SimSun" w:hAnsi="SimSun" w:eastAsia="SimSun" w:cs="SimSun"/>
          <w:sz w:val="13"/>
          <w:szCs w:val="13"/>
        </w:rPr>
      </w:pPr>
      <w:r>
        <w:rPr>
          <w:rFonts w:ascii="SimSun" w:hAnsi="SimSun" w:eastAsia="SimSun" w:cs="SimSun"/>
          <w:sz w:val="13"/>
          <w:szCs w:val="13"/>
          <w:spacing w:val="-2"/>
        </w:rPr>
        <w:t>市政污水管网</w:t>
      </w:r>
    </w:p>
    <w:p>
      <w:pPr>
        <w:ind w:left="7915"/>
        <w:spacing w:before="259" w:line="188" w:lineRule="auto"/>
        <w:rPr>
          <w:rFonts w:ascii="Times New Roman" w:hAnsi="Times New Roman" w:eastAsia="Times New Roman" w:cs="Times New Roman"/>
          <w:sz w:val="13"/>
          <w:szCs w:val="13"/>
        </w:rPr>
      </w:pPr>
      <w:r>
        <w:pict>
          <v:shape id="_x0000_s176" style="position:absolute;margin-left:134.75pt;margin-top:10.2789pt;mso-position-vertical-relative:text;mso-position-horizontal-relative:text;width:48.65pt;height:9.75pt;z-index:252021760;"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13"/>
                      <w:szCs w:val="13"/>
                    </w:rPr>
                  </w:pPr>
                  <w:r>
                    <w:rPr>
                      <w:rFonts w:ascii="SimSun" w:hAnsi="SimSun" w:eastAsia="SimSun" w:cs="SimSun"/>
                      <w:sz w:val="13"/>
                      <w:szCs w:val="13"/>
                      <w:spacing w:val="-5"/>
                    </w:rPr>
                    <w:t>→蒸发损耗23.91</w:t>
                  </w:r>
                </w:p>
              </w:txbxContent>
            </v:textbox>
          </v:shape>
        </w:pict>
      </w:r>
      <w:r>
        <w:rPr>
          <w:rFonts w:ascii="Times New Roman" w:hAnsi="Times New Roman" w:eastAsia="Times New Roman" w:cs="Times New Roman"/>
          <w:sz w:val="13"/>
          <w:szCs w:val="13"/>
          <w:spacing w:val="-1"/>
        </w:rPr>
        <w:t>946.5</w:t>
      </w:r>
    </w:p>
    <w:p>
      <w:pPr>
        <w:ind w:left="1945"/>
        <w:spacing w:before="129" w:line="219" w:lineRule="auto"/>
        <w:rPr>
          <w:rFonts w:ascii="SimSun" w:hAnsi="SimSun" w:eastAsia="SimSun" w:cs="SimSun"/>
          <w:sz w:val="13"/>
          <w:szCs w:val="13"/>
        </w:rPr>
      </w:pPr>
      <w:r>
        <w:pict>
          <v:shape id="_x0000_s178" style="position:absolute;margin-left:184.748pt;margin-top:4.63044pt;mso-position-vertical-relative:text;mso-position-horizontal-relative:text;width:15.9pt;height:7.9pt;z-index:252041216;"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3"/>
                      <w:szCs w:val="13"/>
                    </w:rPr>
                  </w:pPr>
                  <w:r>
                    <w:rPr>
                      <w:rFonts w:ascii="Times New Roman" w:hAnsi="Times New Roman" w:eastAsia="Times New Roman" w:cs="Times New Roman"/>
                      <w:sz w:val="13"/>
                      <w:szCs w:val="13"/>
                      <w:spacing w:val="-3"/>
                    </w:rPr>
                    <w:t>135.5</w:t>
                  </w:r>
                </w:p>
              </w:txbxContent>
            </v:textbox>
          </v:shape>
        </w:pict>
      </w:r>
      <w:r>
        <w:pict>
          <v:shape id="_x0000_s180" style="position:absolute;margin-left:58.7465pt;margin-top:3.62836pt;mso-position-vertical-relative:text;mso-position-horizontal-relative:text;width:19.15pt;height:7.9pt;z-index:252037120;"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3"/>
                      <w:szCs w:val="13"/>
                    </w:rPr>
                  </w:pPr>
                  <w:r>
                    <w:rPr>
                      <w:rFonts w:ascii="Times New Roman" w:hAnsi="Times New Roman" w:eastAsia="Times New Roman" w:cs="Times New Roman"/>
                      <w:sz w:val="13"/>
                      <w:szCs w:val="13"/>
                      <w:spacing w:val="-3"/>
                    </w:rPr>
                    <w:t>159.42</w:t>
                  </w:r>
                </w:p>
              </w:txbxContent>
            </v:textbox>
          </v:shape>
        </w:pict>
      </w:r>
      <w:r>
        <w:rPr>
          <w:rFonts w:ascii="SimSun" w:hAnsi="SimSun" w:eastAsia="SimSun" w:cs="SimSun"/>
          <w:sz w:val="13"/>
          <w:szCs w:val="13"/>
          <w:spacing w:val="-3"/>
        </w:rPr>
        <w:t>肉牛屠宰用水</w:t>
      </w:r>
    </w:p>
    <w:p>
      <w:pPr>
        <w:ind w:left="4694" w:right="1957" w:hanging="349"/>
        <w:spacing w:line="294" w:lineRule="auto"/>
        <w:rPr>
          <w:rFonts w:ascii="Times New Roman" w:hAnsi="Times New Roman" w:eastAsia="Times New Roman" w:cs="Times New Roman"/>
          <w:sz w:val="13"/>
          <w:szCs w:val="13"/>
        </w:rPr>
      </w:pPr>
      <w:r>
        <w:pict>
          <v:shape id="_x0000_s182" style="position:absolute;margin-left:372.247pt;margin-top:0.810151pt;mso-position-vertical-relative:text;mso-position-horizontal-relative:text;width:35.3pt;height:23.75pt;z-index:252019712;" filled="false" stroked="false" type="#_x0000_t202">
            <v:fill on="false"/>
            <v:stroke on="false"/>
            <v:path/>
            <v:imagedata o:title=""/>
            <o:lock v:ext="edit" aspectratio="false"/>
            <v:textbox inset="0mm,0mm,0mm,0mm">
              <w:txbxContent>
                <w:p>
                  <w:pPr>
                    <w:ind w:left="20"/>
                    <w:spacing w:before="19" w:line="219" w:lineRule="auto"/>
                    <w:rPr>
                      <w:rFonts w:ascii="SimSun" w:hAnsi="SimSun" w:eastAsia="SimSun" w:cs="SimSun"/>
                      <w:sz w:val="13"/>
                      <w:szCs w:val="13"/>
                    </w:rPr>
                  </w:pPr>
                  <w:r>
                    <w:rPr>
                      <w:rFonts w:ascii="SimSun" w:hAnsi="SimSun" w:eastAsia="SimSun" w:cs="SimSun"/>
                      <w:sz w:val="13"/>
                      <w:szCs w:val="13"/>
                      <w:spacing w:val="3"/>
                    </w:rPr>
                    <w:t>安州区第三</w:t>
                  </w:r>
                </w:p>
                <w:p>
                  <w:pPr>
                    <w:ind w:left="30"/>
                    <w:spacing w:before="126" w:line="219" w:lineRule="auto"/>
                    <w:rPr>
                      <w:rFonts w:ascii="SimSun" w:hAnsi="SimSun" w:eastAsia="SimSun" w:cs="SimSun"/>
                      <w:sz w:val="13"/>
                      <w:szCs w:val="13"/>
                    </w:rPr>
                  </w:pPr>
                  <w:r>
                    <w:rPr>
                      <w:rFonts w:ascii="SimSun" w:hAnsi="SimSun" w:eastAsia="SimSun" w:cs="SimSun"/>
                      <w:sz w:val="13"/>
                      <w:szCs w:val="13"/>
                      <w:spacing w:val="-1"/>
                    </w:rPr>
                    <w:t>污水处理厂</w:t>
                  </w:r>
                </w:p>
              </w:txbxContent>
            </v:textbox>
          </v:shape>
        </w:pict>
      </w:r>
      <w:r>
        <w:pict>
          <v:shape id="_x0000_s184" style="position:absolute;margin-left:134.75pt;margin-top:5.80518pt;mso-position-vertical-relative:text;mso-position-horizontal-relative:text;width:44.85pt;height:9.85pt;z-index:252024832;" filled="false" stroked="false" type="#_x0000_t202">
            <v:fill on="false"/>
            <v:stroke on="false"/>
            <v:path/>
            <v:imagedata o:title=""/>
            <o:lock v:ext="edit" aspectratio="false"/>
            <v:textbox inset="0mm,0mm,0mm,0mm">
              <w:txbxContent>
                <w:p>
                  <w:pPr>
                    <w:ind w:left="20"/>
                    <w:spacing w:before="19" w:line="222" w:lineRule="auto"/>
                    <w:rPr>
                      <w:rFonts w:ascii="SimSun" w:hAnsi="SimSun" w:eastAsia="SimSun" w:cs="SimSun"/>
                      <w:sz w:val="13"/>
                      <w:szCs w:val="13"/>
                    </w:rPr>
                  </w:pPr>
                  <w:r>
                    <w:rPr>
                      <w:rFonts w:ascii="Dotum" w:hAnsi="Dotum" w:eastAsia="Dotum" w:cs="Dotum"/>
                      <w:sz w:val="13"/>
                      <w:szCs w:val="13"/>
                      <w:spacing w:val="-6"/>
                    </w:rPr>
                    <w:t>▶</w:t>
                  </w:r>
                  <w:r>
                    <w:rPr>
                      <w:rFonts w:ascii="SimSun" w:hAnsi="SimSun" w:eastAsia="SimSun" w:cs="SimSun"/>
                      <w:sz w:val="13"/>
                      <w:szCs w:val="13"/>
                      <w:spacing w:val="-6"/>
                    </w:rPr>
                    <w:t>蒸发损耗1.60</w:t>
                  </w:r>
                </w:p>
              </w:txbxContent>
            </v:textbox>
          </v:shape>
        </w:pict>
      </w:r>
      <w:r>
        <w:pict>
          <v:shape id="_x0000_s186" style="position:absolute;margin-left:61.7478pt;margin-top:19.0294pt;mso-position-vertical-relative:text;mso-position-horizontal-relative:text;width:13pt;height:7.9pt;z-index:252044288;"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3"/>
                      <w:szCs w:val="13"/>
                    </w:rPr>
                  </w:pPr>
                  <w:r>
                    <w:rPr>
                      <w:rFonts w:ascii="Times New Roman" w:hAnsi="Times New Roman" w:eastAsia="Times New Roman" w:cs="Times New Roman"/>
                      <w:sz w:val="13"/>
                      <w:szCs w:val="13"/>
                      <w:spacing w:val="-2"/>
                    </w:rPr>
                    <w:t>8.00</w:t>
                  </w:r>
                </w:p>
              </w:txbxContent>
            </v:textbox>
          </v:shape>
        </w:pict>
      </w:r>
      <w:r>
        <w:pict>
          <v:shape id="_x0000_s188" style="position:absolute;margin-left:184.748pt;margin-top:19.0294pt;mso-position-vertical-relative:text;mso-position-horizontal-relative:text;width:13.1pt;height:7.9pt;z-index:252043264;"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3"/>
                      <w:szCs w:val="13"/>
                    </w:rPr>
                  </w:pPr>
                  <w:r>
                    <w:rPr>
                      <w:rFonts w:ascii="Times New Roman" w:hAnsi="Times New Roman" w:eastAsia="Times New Roman" w:cs="Times New Roman"/>
                      <w:sz w:val="13"/>
                      <w:szCs w:val="13"/>
                      <w:spacing w:val="-1"/>
                    </w:rPr>
                    <w:t>6.40</w:t>
                  </w:r>
                </w:p>
              </w:txbxContent>
            </v:textbox>
          </v:shape>
        </w:pict>
      </w:r>
      <w:r>
        <w:pict>
          <v:shape id="_x0000_s190" style="position:absolute;margin-left:93.2497pt;margin-top:21.8291pt;mso-position-vertical-relative:text;mso-position-horizontal-relative:text;width:40.7pt;height:9.75pt;z-index:252026880;"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13"/>
                      <w:szCs w:val="13"/>
                    </w:rPr>
                  </w:pPr>
                  <w:r>
                    <w:rPr>
                      <w:rFonts w:ascii="SimSun" w:hAnsi="SimSun" w:eastAsia="SimSun" w:cs="SimSun"/>
                      <w:sz w:val="13"/>
                      <w:szCs w:val="13"/>
                      <w:spacing w:val="-1"/>
                    </w:rPr>
                    <w:t>车辆冲洗用水</w:t>
                  </w:r>
                </w:p>
              </w:txbxContent>
            </v:textbox>
          </v:shape>
        </w:pict>
      </w:r>
      <w:r>
        <w:pict>
          <v:shape id="_x0000_s192" style="position:absolute;margin-left:396.246pt;margin-top:30.0259pt;mso-position-vertical-relative:text;mso-position-horizontal-relative:text;width:16.4pt;height:7.9pt;z-index:252039168;"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3"/>
                      <w:szCs w:val="13"/>
                    </w:rPr>
                  </w:pPr>
                  <w:r>
                    <w:rPr>
                      <w:rFonts w:ascii="Times New Roman" w:hAnsi="Times New Roman" w:eastAsia="Times New Roman" w:cs="Times New Roman"/>
                      <w:sz w:val="13"/>
                      <w:szCs w:val="13"/>
                      <w:spacing w:val="-1"/>
                    </w:rPr>
                    <w:t>946.5</w:t>
                  </w:r>
                </w:p>
              </w:txbxContent>
            </v:textbox>
          </v:shape>
        </w:pict>
      </w:r>
      <w:r>
        <w:pict>
          <v:shape id="_x0000_s194" style="position:absolute;margin-left:134.75pt;margin-top:33.8101pt;mso-position-vertical-relative:text;mso-position-horizontal-relative:text;width:44.85pt;height:9.85pt;z-index:252025856;" filled="false" stroked="false" type="#_x0000_t202">
            <v:fill on="false"/>
            <v:stroke on="false"/>
            <v:path/>
            <v:imagedata o:title=""/>
            <o:lock v:ext="edit" aspectratio="false"/>
            <v:textbox inset="0mm,0mm,0mm,0mm">
              <w:txbxContent>
                <w:p>
                  <w:pPr>
                    <w:ind w:left="20"/>
                    <w:spacing w:before="19" w:line="222" w:lineRule="auto"/>
                    <w:rPr>
                      <w:rFonts w:ascii="SimSun" w:hAnsi="SimSun" w:eastAsia="SimSun" w:cs="SimSun"/>
                      <w:sz w:val="13"/>
                      <w:szCs w:val="13"/>
                    </w:rPr>
                  </w:pPr>
                  <w:r>
                    <w:rPr>
                      <w:rFonts w:ascii="Dotum" w:hAnsi="Dotum" w:eastAsia="Dotum" w:cs="Dotum"/>
                      <w:sz w:val="13"/>
                      <w:szCs w:val="13"/>
                      <w:spacing w:val="-6"/>
                    </w:rPr>
                    <w:t>▶</w:t>
                  </w:r>
                  <w:r>
                    <w:rPr>
                      <w:rFonts w:ascii="SimSun" w:hAnsi="SimSun" w:eastAsia="SimSun" w:cs="SimSun"/>
                      <w:sz w:val="13"/>
                      <w:szCs w:val="13"/>
                      <w:spacing w:val="-6"/>
                    </w:rPr>
                    <w:t>蒸发损耗6.00</w:t>
                  </w:r>
                </w:p>
              </w:txbxContent>
            </v:textbox>
          </v:shape>
        </w:pict>
      </w:r>
      <w:r>
        <w:rPr>
          <w:rFonts w:ascii="Times New Roman" w:hAnsi="Times New Roman" w:eastAsia="Times New Roman" w:cs="Times New Roman"/>
          <w:sz w:val="13"/>
          <w:szCs w:val="13"/>
          <w:position w:val="3"/>
        </w:rPr>
        <w:t>926.4                             </w:t>
      </w:r>
      <w:r>
        <w:rPr>
          <w:rFonts w:ascii="Times New Roman" w:hAnsi="Times New Roman" w:eastAsia="Times New Roman" w:cs="Times New Roman"/>
          <w:sz w:val="13"/>
          <w:szCs w:val="13"/>
          <w:spacing w:val="-1"/>
          <w:position w:val="3"/>
        </w:rPr>
        <w:t xml:space="preserve">                      </w:t>
      </w:r>
      <w:r>
        <w:rPr>
          <w:rFonts w:ascii="Times New Roman" w:hAnsi="Times New Roman" w:eastAsia="Times New Roman" w:cs="Times New Roman"/>
          <w:sz w:val="13"/>
          <w:szCs w:val="13"/>
          <w:spacing w:val="-1"/>
          <w:position w:val="-3"/>
        </w:rPr>
        <w:t>932.1</w:t>
      </w:r>
      <w:r>
        <w:rPr>
          <w:rFonts w:ascii="Times New Roman" w:hAnsi="Times New Roman" w:eastAsia="Times New Roman" w:cs="Times New Roman"/>
          <w:sz w:val="13"/>
          <w:szCs w:val="13"/>
          <w:position w:val="-3"/>
        </w:rPr>
        <w:t xml:space="preserve"> </w:t>
      </w:r>
      <w:r>
        <w:rPr>
          <w:rFonts w:ascii="SimSun" w:hAnsi="SimSun" w:eastAsia="SimSun" w:cs="SimSun"/>
          <w:sz w:val="13"/>
          <w:szCs w:val="13"/>
          <w:spacing w:val="2"/>
        </w:rPr>
        <w:t>厂区污水处理站(1600</w:t>
      </w:r>
      <w:r>
        <w:rPr>
          <w:rFonts w:ascii="Times New Roman" w:hAnsi="Times New Roman" w:eastAsia="Times New Roman" w:cs="Times New Roman"/>
          <w:sz w:val="13"/>
          <w:szCs w:val="13"/>
        </w:rPr>
        <w:t>Vd</w:t>
      </w:r>
      <w:r>
        <w:rPr>
          <w:rFonts w:ascii="Times New Roman" w:hAnsi="Times New Roman" w:eastAsia="Times New Roman" w:cs="Times New Roman"/>
          <w:sz w:val="13"/>
          <w:szCs w:val="13"/>
          <w:spacing w:val="2"/>
        </w:rPr>
        <w:t>)</w:t>
      </w:r>
    </w:p>
    <w:p>
      <w:pPr>
        <w:ind w:left="5544"/>
        <w:spacing w:before="240" w:line="188" w:lineRule="auto"/>
        <w:rPr>
          <w:rFonts w:ascii="Times New Roman" w:hAnsi="Times New Roman" w:eastAsia="Times New Roman" w:cs="Times New Roman"/>
          <w:sz w:val="13"/>
          <w:szCs w:val="13"/>
        </w:rPr>
      </w:pPr>
      <w:r>
        <w:pict>
          <v:shape id="_x0000_s196" style="position:absolute;margin-left:8.85692pt;margin-top:13.54pt;mso-position-vertical-relative:text;mso-position-horizontal-relative:text;width:12.05pt;height:30.65pt;z-index:252028928;" filled="false" stroked="false" type="#_x0000_t202">
            <v:fill on="false"/>
            <v:stroke on="false"/>
            <v:path/>
            <v:imagedata o:title=""/>
            <o:lock v:ext="edit" aspectratio="false"/>
            <v:textbox inset="0mm,0mm,0mm,0mm" style="layout-flow:vertical-ideographic;">
              <w:txbxContent>
                <w:p>
                  <w:pPr>
                    <w:ind w:left="20"/>
                    <w:spacing w:before="20" w:line="199" w:lineRule="auto"/>
                    <w:rPr>
                      <w:rFonts w:ascii="SimSun" w:hAnsi="SimSun" w:eastAsia="SimSun" w:cs="SimSun"/>
                      <w:sz w:val="18"/>
                      <w:szCs w:val="18"/>
                    </w:rPr>
                  </w:pPr>
                  <w:r>
                    <w:rPr>
                      <w:rFonts w:ascii="SimSun" w:hAnsi="SimSun" w:eastAsia="SimSun" w:cs="SimSun"/>
                      <w:sz w:val="18"/>
                      <w:szCs w:val="18"/>
                      <w:spacing w:val="10"/>
                    </w:rPr>
                    <w:t>自来水</w:t>
                  </w:r>
                </w:p>
              </w:txbxContent>
            </v:textbox>
          </v:shape>
        </w:pict>
      </w:r>
      <w:r>
        <w:rPr>
          <w:rFonts w:ascii="Times New Roman" w:hAnsi="Times New Roman" w:eastAsia="Times New Roman" w:cs="Times New Roman"/>
          <w:sz w:val="13"/>
          <w:szCs w:val="13"/>
          <w:spacing w:val="-3"/>
        </w:rPr>
        <w:t>1.70</w:t>
      </w:r>
    </w:p>
    <w:p>
      <w:pPr>
        <w:ind w:left="474"/>
        <w:spacing w:before="83" w:line="188" w:lineRule="auto"/>
        <w:rPr>
          <w:rFonts w:ascii="Times New Roman" w:hAnsi="Times New Roman" w:eastAsia="Times New Roman" w:cs="Times New Roman"/>
          <w:sz w:val="13"/>
          <w:szCs w:val="13"/>
        </w:rPr>
      </w:pPr>
      <w:r>
        <w:rPr>
          <w:rFonts w:ascii="Times New Roman" w:hAnsi="Times New Roman" w:eastAsia="Times New Roman" w:cs="Times New Roman"/>
          <w:sz w:val="13"/>
          <w:szCs w:val="13"/>
          <w:spacing w:val="-2"/>
        </w:rPr>
        <w:t>1248.11</w:t>
      </w:r>
    </w:p>
    <w:p>
      <w:pPr>
        <w:ind w:left="5205"/>
        <w:spacing w:before="9" w:line="219" w:lineRule="auto"/>
        <w:rPr>
          <w:rFonts w:ascii="SimSun" w:hAnsi="SimSun" w:eastAsia="SimSun" w:cs="SimSun"/>
          <w:sz w:val="13"/>
          <w:szCs w:val="13"/>
        </w:rPr>
      </w:pPr>
      <w:r>
        <w:pict>
          <v:shape id="_x0000_s198" style="position:absolute;margin-left:61.7478pt;margin-top:-2.84933pt;mso-position-vertical-relative:text;mso-position-horizontal-relative:text;width:20.85pt;height:136.4pt;z-index:252016640;"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3"/>
                      <w:szCs w:val="13"/>
                    </w:rPr>
                  </w:pPr>
                  <w:r>
                    <w:rPr>
                      <w:rFonts w:ascii="Times New Roman" w:hAnsi="Times New Roman" w:eastAsia="Times New Roman" w:cs="Times New Roman"/>
                      <w:sz w:val="13"/>
                      <w:szCs w:val="13"/>
                      <w:spacing w:val="-1"/>
                    </w:rPr>
                    <w:t>6.00</w:t>
                  </w:r>
                </w:p>
                <w:p>
                  <w:pPr>
                    <w:pStyle w:val="BodyText"/>
                    <w:spacing w:line="343" w:lineRule="auto"/>
                    <w:rPr/>
                  </w:pPr>
                  <w:r/>
                </w:p>
                <w:p>
                  <w:pPr>
                    <w:ind w:left="20"/>
                    <w:spacing w:before="37" w:line="188" w:lineRule="auto"/>
                    <w:rPr>
                      <w:rFonts w:ascii="Times New Roman" w:hAnsi="Times New Roman" w:eastAsia="Times New Roman" w:cs="Times New Roman"/>
                      <w:sz w:val="13"/>
                      <w:szCs w:val="13"/>
                    </w:rPr>
                  </w:pPr>
                  <w:r>
                    <w:rPr>
                      <w:rFonts w:ascii="Times New Roman" w:hAnsi="Times New Roman" w:eastAsia="Times New Roman" w:cs="Times New Roman"/>
                      <w:sz w:val="13"/>
                      <w:szCs w:val="13"/>
                      <w:spacing w:val="-3"/>
                    </w:rPr>
                    <w:t>18.00</w:t>
                  </w:r>
                </w:p>
                <w:p>
                  <w:pPr>
                    <w:pStyle w:val="BodyText"/>
                    <w:spacing w:line="331" w:lineRule="auto"/>
                    <w:rPr/>
                  </w:pPr>
                  <w:r/>
                </w:p>
                <w:p>
                  <w:pPr>
                    <w:pStyle w:val="BodyText"/>
                    <w:spacing w:line="331" w:lineRule="auto"/>
                    <w:rPr/>
                  </w:pPr>
                  <w:r/>
                </w:p>
                <w:p>
                  <w:pPr>
                    <w:ind w:left="60"/>
                    <w:spacing w:before="54" w:line="188"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2"/>
                    </w:rPr>
                    <w:t>0.06</w:t>
                  </w:r>
                </w:p>
                <w:p>
                  <w:pPr>
                    <w:pStyle w:val="BodyText"/>
                    <w:spacing w:line="250" w:lineRule="auto"/>
                    <w:rPr/>
                  </w:pPr>
                  <w:r/>
                </w:p>
                <w:p>
                  <w:pPr>
                    <w:pStyle w:val="BodyText"/>
                    <w:spacing w:line="251" w:lineRule="auto"/>
                    <w:rPr/>
                  </w:pPr>
                  <w:r/>
                </w:p>
                <w:p>
                  <w:pPr>
                    <w:ind w:left="20"/>
                    <w:spacing w:before="54" w:line="188"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8"/>
                    </w:rPr>
                    <w:t>16.00</w:t>
                  </w:r>
                </w:p>
                <w:p>
                  <w:pPr>
                    <w:pStyle w:val="BodyText"/>
                    <w:spacing w:line="291" w:lineRule="auto"/>
                    <w:rPr/>
                  </w:pPr>
                  <w:r/>
                </w:p>
                <w:p>
                  <w:pPr>
                    <w:ind w:left="20"/>
                    <w:spacing w:before="38" w:line="188" w:lineRule="auto"/>
                    <w:rPr>
                      <w:rFonts w:ascii="Times New Roman" w:hAnsi="Times New Roman" w:eastAsia="Times New Roman" w:cs="Times New Roman"/>
                      <w:sz w:val="13"/>
                      <w:szCs w:val="13"/>
                    </w:rPr>
                  </w:pPr>
                  <w:r>
                    <w:rPr>
                      <w:rFonts w:ascii="Times New Roman" w:hAnsi="Times New Roman" w:eastAsia="Times New Roman" w:cs="Times New Roman"/>
                      <w:sz w:val="13"/>
                      <w:szCs w:val="13"/>
                      <w:spacing w:val="-1"/>
                    </w:rPr>
                    <w:t>0.29</w:t>
                  </w:r>
                </w:p>
              </w:txbxContent>
            </v:textbox>
          </v:shape>
        </w:pict>
      </w:r>
      <w:r>
        <w:pict>
          <v:shape id="_x0000_s200" style="position:absolute;margin-left:99.7466pt;margin-top:-1.05154pt;mso-position-vertical-relative:text;mso-position-horizontal-relative:text;width:27.65pt;height:9.75pt;z-index:252033024;"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13"/>
                      <w:szCs w:val="13"/>
                    </w:rPr>
                  </w:pPr>
                  <w:r>
                    <w:rPr>
                      <w:rFonts w:ascii="SimSun" w:hAnsi="SimSun" w:eastAsia="SimSun" w:cs="SimSun"/>
                      <w:sz w:val="13"/>
                      <w:szCs w:val="13"/>
                      <w:spacing w:val="-2"/>
                    </w:rPr>
                    <w:t>消毒用水</w:t>
                  </w:r>
                </w:p>
              </w:txbxContent>
            </v:textbox>
          </v:shape>
        </w:pict>
      </w:r>
      <w:r>
        <w:pict>
          <v:shape id="_x0000_s202" style="position:absolute;margin-left:381.746pt;margin-top:3.45319pt;mso-position-vertical-relative:text;mso-position-horizontal-relative:text;width:14.75pt;height:9.75pt;z-index:252036096;"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13"/>
                      <w:szCs w:val="13"/>
                    </w:rPr>
                  </w:pPr>
                  <w:r>
                    <w:rPr>
                      <w:rFonts w:ascii="SimSun" w:hAnsi="SimSun" w:eastAsia="SimSun" w:cs="SimSun"/>
                      <w:sz w:val="13"/>
                      <w:szCs w:val="13"/>
                      <w:spacing w:val="-2"/>
                    </w:rPr>
                    <w:t>涪江</w:t>
                  </w:r>
                </w:p>
              </w:txbxContent>
            </v:textbox>
          </v:shape>
        </w:pict>
      </w:r>
      <w:r>
        <w:rPr>
          <w:rFonts w:ascii="SimSun" w:hAnsi="SimSun" w:eastAsia="SimSun" w:cs="SimSun"/>
          <w:sz w:val="13"/>
          <w:szCs w:val="13"/>
          <w:spacing w:val="-1"/>
        </w:rPr>
        <w:t>初期雨水</w:t>
      </w:r>
    </w:p>
    <w:p>
      <w:pPr>
        <w:ind w:left="2715"/>
        <w:spacing w:before="35" w:line="222" w:lineRule="auto"/>
        <w:rPr>
          <w:rFonts w:ascii="SimSun" w:hAnsi="SimSun" w:eastAsia="SimSun" w:cs="SimSun"/>
          <w:sz w:val="13"/>
          <w:szCs w:val="13"/>
        </w:rPr>
      </w:pPr>
      <w:r>
        <w:rPr>
          <w:rFonts w:ascii="Dotum" w:hAnsi="Dotum" w:eastAsia="Dotum" w:cs="Dotum"/>
          <w:sz w:val="13"/>
          <w:szCs w:val="13"/>
          <w:spacing w:val="-6"/>
        </w:rPr>
        <w:t>▶</w:t>
      </w:r>
      <w:r>
        <w:rPr>
          <w:rFonts w:ascii="SimSun" w:hAnsi="SimSun" w:eastAsia="SimSun" w:cs="SimSun"/>
          <w:sz w:val="13"/>
          <w:szCs w:val="13"/>
          <w:spacing w:val="-6"/>
        </w:rPr>
        <w:t>蒸发损耗6.00</w:t>
      </w:r>
    </w:p>
    <w:p>
      <w:pPr>
        <w:ind w:left="3714"/>
        <w:spacing w:before="78" w:line="78" w:lineRule="exact"/>
        <w:rPr>
          <w:rFonts w:ascii="Times New Roman" w:hAnsi="Times New Roman" w:eastAsia="Times New Roman" w:cs="Times New Roman"/>
          <w:sz w:val="13"/>
          <w:szCs w:val="13"/>
        </w:rPr>
      </w:pPr>
      <w:r>
        <w:rPr>
          <w:rFonts w:ascii="Times New Roman" w:hAnsi="Times New Roman" w:eastAsia="Times New Roman" w:cs="Times New Roman"/>
          <w:sz w:val="13"/>
          <w:szCs w:val="13"/>
          <w:spacing w:val="-3"/>
          <w:position w:val="-3"/>
        </w:rPr>
        <w:t>12.00</w:t>
      </w:r>
    </w:p>
    <w:p>
      <w:pPr>
        <w:ind w:left="1734"/>
        <w:spacing w:before="1" w:line="201" w:lineRule="auto"/>
        <w:rPr>
          <w:rFonts w:ascii="SimSun" w:hAnsi="SimSun" w:eastAsia="SimSun" w:cs="SimSun"/>
          <w:sz w:val="13"/>
          <w:szCs w:val="13"/>
        </w:rPr>
      </w:pPr>
      <w:r>
        <w:rPr>
          <w:rFonts w:ascii="SimSun" w:hAnsi="SimSun" w:eastAsia="SimSun" w:cs="SimSun"/>
          <w:sz w:val="13"/>
          <w:szCs w:val="13"/>
          <w:spacing w:val="3"/>
        </w:rPr>
        <w:t>冷却系统补充用水</w:t>
      </w:r>
    </w:p>
    <w:p>
      <w:pPr>
        <w:ind w:left="2434"/>
        <w:spacing w:before="155" w:line="219" w:lineRule="auto"/>
        <w:rPr>
          <w:rFonts w:ascii="SimSun" w:hAnsi="SimSun" w:eastAsia="SimSun" w:cs="SimSun"/>
          <w:sz w:val="13"/>
          <w:szCs w:val="13"/>
        </w:rPr>
      </w:pPr>
      <w:r>
        <w:rPr>
          <w:rFonts w:ascii="SimSun" w:hAnsi="SimSun" w:eastAsia="SimSun" w:cs="SimSun"/>
          <w:sz w:val="13"/>
          <w:szCs w:val="13"/>
          <w:spacing w:val="-1"/>
        </w:rPr>
        <w:t>循环水量600</w:t>
      </w:r>
    </w:p>
    <w:p>
      <w:pPr>
        <w:ind w:left="2715"/>
        <w:spacing w:before="65" w:line="222" w:lineRule="auto"/>
        <w:rPr>
          <w:rFonts w:ascii="SimSun" w:hAnsi="SimSun" w:eastAsia="SimSun" w:cs="SimSun"/>
          <w:sz w:val="13"/>
          <w:szCs w:val="13"/>
        </w:rPr>
      </w:pPr>
      <w:r>
        <w:rPr>
          <w:rFonts w:ascii="Dotum" w:hAnsi="Dotum" w:eastAsia="Dotum" w:cs="Dotum"/>
          <w:sz w:val="13"/>
          <w:szCs w:val="13"/>
          <w:spacing w:val="-6"/>
        </w:rPr>
        <w:t>▶</w:t>
      </w:r>
      <w:r>
        <w:rPr>
          <w:rFonts w:ascii="SimSun" w:hAnsi="SimSun" w:eastAsia="SimSun" w:cs="SimSun"/>
          <w:sz w:val="13"/>
          <w:szCs w:val="13"/>
          <w:spacing w:val="-6"/>
        </w:rPr>
        <w:t>蒸发损耗0.06</w:t>
      </w:r>
    </w:p>
    <w:p>
      <w:pPr>
        <w:pStyle w:val="BodyText"/>
        <w:spacing w:line="295" w:lineRule="auto"/>
        <w:rPr/>
      </w:pPr>
      <w:r/>
    </w:p>
    <w:p>
      <w:pPr>
        <w:pStyle w:val="BodyText"/>
        <w:spacing w:line="296" w:lineRule="auto"/>
        <w:rPr/>
      </w:pPr>
      <w:r/>
    </w:p>
    <w:p>
      <w:pPr>
        <w:ind w:left="4844"/>
        <w:spacing w:before="44" w:line="214" w:lineRule="auto"/>
        <w:rPr>
          <w:rFonts w:ascii="Times New Roman" w:hAnsi="Times New Roman" w:eastAsia="Times New Roman" w:cs="Times New Roman"/>
          <w:sz w:val="13"/>
          <w:szCs w:val="13"/>
        </w:rPr>
      </w:pPr>
      <w:r>
        <w:pict>
          <v:shape id="_x0000_s204" style="position:absolute;margin-left:96.251pt;margin-top:-23.5908pt;mso-position-vertical-relative:text;mso-position-horizontal-relative:text;width:34pt;height:9.7pt;z-index:252029952;" filled="false" stroked="false" type="#_x0000_t202">
            <v:fill on="false"/>
            <v:stroke on="false"/>
            <v:path/>
            <v:imagedata o:title=""/>
            <o:lock v:ext="edit" aspectratio="false"/>
            <v:textbox inset="0mm,0mm,0mm,0mm">
              <w:txbxContent>
                <w:p>
                  <w:pPr>
                    <w:ind w:left="20"/>
                    <w:spacing w:before="19" w:line="218" w:lineRule="auto"/>
                    <w:rPr>
                      <w:rFonts w:ascii="SimSun" w:hAnsi="SimSun" w:eastAsia="SimSun" w:cs="SimSun"/>
                      <w:sz w:val="13"/>
                      <w:szCs w:val="13"/>
                    </w:rPr>
                  </w:pPr>
                  <w:r>
                    <w:rPr>
                      <w:rFonts w:ascii="SimSun" w:hAnsi="SimSun" w:eastAsia="SimSun" w:cs="SimSun"/>
                      <w:sz w:val="13"/>
                      <w:szCs w:val="13"/>
                      <w:spacing w:val="-2"/>
                    </w:rPr>
                    <w:t>喷淋塔用水</w:t>
                  </w:r>
                </w:p>
              </w:txbxContent>
            </v:textbox>
          </v:shape>
        </w:pict>
      </w:r>
      <w:r>
        <w:pict>
          <v:shape id="_x0000_s206" style="position:absolute;margin-left:99.7466pt;margin-top:-8.04407pt;mso-position-vertical-relative:text;mso-position-horizontal-relative:text;width:55.85pt;height:55.25pt;z-index:252015616;" filled="false" stroked="false" type="#_x0000_t202">
            <v:fill on="false"/>
            <v:stroke on="false"/>
            <v:path/>
            <v:imagedata o:title=""/>
            <o:lock v:ext="edit" aspectratio="false"/>
            <v:textbox inset="0mm,0mm,0mm,0mm">
              <w:txbxContent>
                <w:p>
                  <w:pPr>
                    <w:ind w:right="15"/>
                    <w:spacing w:before="20" w:line="219" w:lineRule="auto"/>
                    <w:jc w:val="right"/>
                    <w:rPr>
                      <w:rFonts w:ascii="SimSun" w:hAnsi="SimSun" w:eastAsia="SimSun" w:cs="SimSun"/>
                      <w:sz w:val="13"/>
                      <w:szCs w:val="13"/>
                    </w:rPr>
                  </w:pPr>
                  <w:r>
                    <w:rPr>
                      <w:rFonts w:ascii="SimSun" w:hAnsi="SimSun" w:eastAsia="SimSun" w:cs="SimSun"/>
                      <w:sz w:val="13"/>
                      <w:szCs w:val="13"/>
                      <w:spacing w:val="-7"/>
                    </w:rPr>
                    <w:t>循环水量3.0</w:t>
                  </w:r>
                </w:p>
                <w:p>
                  <w:pPr>
                    <w:ind w:left="20"/>
                    <w:spacing w:before="255" w:line="219" w:lineRule="auto"/>
                    <w:rPr>
                      <w:rFonts w:ascii="SimSun" w:hAnsi="SimSun" w:eastAsia="SimSun" w:cs="SimSun"/>
                      <w:sz w:val="13"/>
                      <w:szCs w:val="13"/>
                    </w:rPr>
                  </w:pPr>
                  <w:r>
                    <w:rPr>
                      <w:rFonts w:ascii="SimSun" w:hAnsi="SimSun" w:eastAsia="SimSun" w:cs="SimSun"/>
                      <w:sz w:val="13"/>
                      <w:szCs w:val="13"/>
                      <w:spacing w:val="-1"/>
                    </w:rPr>
                    <w:t>锅炉用水</w:t>
                  </w:r>
                </w:p>
                <w:p>
                  <w:pPr>
                    <w:pStyle w:val="BodyText"/>
                    <w:spacing w:line="301" w:lineRule="auto"/>
                    <w:rPr/>
                  </w:pPr>
                  <w:r/>
                </w:p>
                <w:p>
                  <w:pPr>
                    <w:ind w:left="20"/>
                    <w:spacing w:before="42" w:line="219" w:lineRule="auto"/>
                    <w:rPr>
                      <w:rFonts w:ascii="SimSun" w:hAnsi="SimSun" w:eastAsia="SimSun" w:cs="SimSun"/>
                      <w:sz w:val="13"/>
                      <w:szCs w:val="13"/>
                    </w:rPr>
                  </w:pPr>
                  <w:r>
                    <w:rPr>
                      <w:rFonts w:ascii="SimSun" w:hAnsi="SimSun" w:eastAsia="SimSun" w:cs="SimSun"/>
                      <w:sz w:val="13"/>
                      <w:szCs w:val="13"/>
                      <w:spacing w:val="-2"/>
                    </w:rPr>
                    <w:t>绿化用水</w:t>
                  </w:r>
                </w:p>
              </w:txbxContent>
            </v:textbox>
          </v:shape>
        </w:pict>
      </w:r>
      <w:r>
        <w:pict>
          <v:shape id="_x0000_s208" style="position:absolute;margin-left:168.747pt;margin-top:1.15466pt;mso-position-vertical-relative:text;mso-position-horizontal-relative:text;width:38.35pt;height:45.05pt;z-index:252017664;" filled="false" stroked="false" type="#_x0000_t202">
            <v:fill on="false"/>
            <v:stroke on="false"/>
            <v:path/>
            <v:imagedata o:title=""/>
            <o:lock v:ext="edit" aspectratio="false"/>
            <v:textbox inset="0mm,0mm,0mm,0mm">
              <w:txbxContent>
                <w:p>
                  <w:pPr>
                    <w:ind w:left="219"/>
                    <w:spacing w:before="20" w:line="188" w:lineRule="auto"/>
                    <w:rPr>
                      <w:rFonts w:ascii="Times New Roman" w:hAnsi="Times New Roman" w:eastAsia="Times New Roman" w:cs="Times New Roman"/>
                      <w:sz w:val="13"/>
                      <w:szCs w:val="13"/>
                    </w:rPr>
                  </w:pPr>
                  <w:r>
                    <w:rPr>
                      <w:rFonts w:ascii="Times New Roman" w:hAnsi="Times New Roman" w:eastAsia="Times New Roman" w:cs="Times New Roman"/>
                      <w:sz w:val="13"/>
                      <w:szCs w:val="13"/>
                      <w:spacing w:val="-1"/>
                    </w:rPr>
                    <w:t>4.00</w:t>
                  </w:r>
                </w:p>
                <w:p>
                  <w:pPr>
                    <w:ind w:left="210"/>
                    <w:spacing w:before="232" w:line="188" w:lineRule="auto"/>
                    <w:rPr>
                      <w:rFonts w:ascii="Times New Roman" w:hAnsi="Times New Roman" w:eastAsia="Times New Roman" w:cs="Times New Roman"/>
                      <w:sz w:val="13"/>
                      <w:szCs w:val="13"/>
                    </w:rPr>
                  </w:pPr>
                  <w:r>
                    <w:rPr>
                      <w:rFonts w:ascii="Times New Roman" w:hAnsi="Times New Roman" w:eastAsia="Times New Roman" w:cs="Times New Roman"/>
                      <w:sz w:val="13"/>
                      <w:szCs w:val="13"/>
                      <w:spacing w:val="-3"/>
                    </w:rPr>
                    <w:t>12.00</w:t>
                  </w:r>
                </w:p>
                <w:p>
                  <w:pPr>
                    <w:ind w:left="20"/>
                    <w:spacing w:before="239" w:line="219" w:lineRule="auto"/>
                    <w:rPr>
                      <w:rFonts w:ascii="SimSun" w:hAnsi="SimSun" w:eastAsia="SimSun" w:cs="SimSun"/>
                      <w:sz w:val="13"/>
                      <w:szCs w:val="13"/>
                    </w:rPr>
                  </w:pPr>
                  <w:r>
                    <w:rPr>
                      <w:rFonts w:ascii="SimSun" w:hAnsi="SimSun" w:eastAsia="SimSun" w:cs="SimSun"/>
                      <w:sz w:val="13"/>
                      <w:szCs w:val="13"/>
                      <w:spacing w:val="-7"/>
                    </w:rPr>
                    <w:t>蒸发损耗0.29</w:t>
                  </w:r>
                </w:p>
              </w:txbxContent>
            </v:textbox>
          </v:shape>
        </w:pict>
      </w:r>
      <w:r>
        <w:rPr>
          <w:rFonts w:ascii="SimSun" w:hAnsi="SimSun" w:eastAsia="SimSun" w:cs="SimSun"/>
          <w:sz w:val="13"/>
          <w:szCs w:val="13"/>
          <w:spacing w:val="-1"/>
          <w:position w:val="-1"/>
        </w:rPr>
        <w:t>锅炉废水</w:t>
      </w:r>
      <w:r>
        <w:rPr>
          <w:rFonts w:ascii="SimSun" w:hAnsi="SimSun" w:eastAsia="SimSun" w:cs="SimSun"/>
          <w:sz w:val="13"/>
          <w:szCs w:val="13"/>
          <w:spacing w:val="6"/>
          <w:position w:val="-1"/>
        </w:rPr>
        <w:t xml:space="preserve">     </w:t>
      </w:r>
      <w:r>
        <w:rPr>
          <w:rFonts w:ascii="Times New Roman" w:hAnsi="Times New Roman" w:eastAsia="Times New Roman" w:cs="Times New Roman"/>
          <w:sz w:val="13"/>
          <w:szCs w:val="13"/>
          <w:spacing w:val="-1"/>
          <w:position w:val="2"/>
        </w:rPr>
        <w:t>4.00</w:t>
      </w:r>
    </w:p>
    <w:p>
      <w:pPr>
        <w:ind w:left="4284"/>
        <w:spacing w:before="259" w:line="214" w:lineRule="auto"/>
        <w:rPr>
          <w:rFonts w:ascii="SimSun" w:hAnsi="SimSun" w:eastAsia="SimSun" w:cs="SimSun"/>
          <w:sz w:val="13"/>
          <w:szCs w:val="13"/>
        </w:rPr>
      </w:pPr>
      <w:r>
        <w:pict>
          <v:shape id="_x0000_s210" style="position:absolute;margin-left:333.748pt;margin-top:9.86247pt;mso-position-vertical-relative:text;mso-position-horizontal-relative:text;width:22.3pt;height:10.6pt;z-index:252034048;"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12.00</w:t>
                  </w:r>
                </w:p>
              </w:txbxContent>
            </v:textbox>
          </v:shape>
        </w:pict>
      </w:r>
      <w:r>
        <w:pict>
          <v:shape id="_x0000_s212" style="position:absolute;margin-left:363.249pt;margin-top:13.2689pt;mso-position-vertical-relative:text;mso-position-horizontal-relative:text;width:27.7pt;height:9.75pt;z-index:252032000;"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13"/>
                      <w:szCs w:val="13"/>
                    </w:rPr>
                  </w:pPr>
                  <w:r>
                    <w:rPr>
                      <w:rFonts w:ascii="SimSun" w:hAnsi="SimSun" w:eastAsia="SimSun" w:cs="SimSun"/>
                      <w:sz w:val="13"/>
                      <w:szCs w:val="13"/>
                      <w:spacing w:val="-2"/>
                    </w:rPr>
                    <w:t>蒸发损耗</w:t>
                  </w:r>
                </w:p>
              </w:txbxContent>
            </v:textbox>
          </v:shape>
        </w:pict>
      </w:r>
      <w:r>
        <w:rPr>
          <w:rFonts w:ascii="SimSun" w:hAnsi="SimSun" w:eastAsia="SimSun" w:cs="SimSun"/>
          <w:sz w:val="13"/>
          <w:szCs w:val="13"/>
          <w:spacing w:val="-1"/>
        </w:rPr>
        <w:t>锅炉用软水</w:t>
      </w:r>
      <w:r>
        <w:rPr>
          <w:rFonts w:ascii="SimSun" w:hAnsi="SimSun" w:eastAsia="SimSun" w:cs="SimSun"/>
          <w:sz w:val="13"/>
          <w:szCs w:val="13"/>
          <w:spacing w:val="22"/>
          <w:w w:val="101"/>
        </w:rPr>
        <w:t xml:space="preserve">   </w:t>
      </w:r>
      <w:r>
        <w:rPr>
          <w:rFonts w:ascii="Times New Roman" w:hAnsi="Times New Roman" w:eastAsia="Times New Roman" w:cs="Times New Roman"/>
          <w:sz w:val="13"/>
          <w:szCs w:val="13"/>
          <w:spacing w:val="-1"/>
          <w:position w:val="3"/>
        </w:rPr>
        <w:t>12.00         </w:t>
      </w:r>
      <w:r>
        <w:rPr>
          <w:rFonts w:ascii="SimSun" w:hAnsi="SimSun" w:eastAsia="SimSun" w:cs="SimSun"/>
          <w:sz w:val="13"/>
          <w:szCs w:val="13"/>
          <w:spacing w:val="-1"/>
          <w:position w:val="-1"/>
        </w:rPr>
        <w:t>蒸汽用于生产</w:t>
      </w:r>
    </w:p>
    <w:p>
      <w:pPr>
        <w:pStyle w:val="BodyText"/>
        <w:spacing w:line="257" w:lineRule="auto"/>
        <w:rPr/>
      </w:pPr>
      <w:r/>
    </w:p>
    <w:p>
      <w:pPr>
        <w:pStyle w:val="BodyText"/>
        <w:spacing w:line="257" w:lineRule="auto"/>
        <w:rPr/>
      </w:pPr>
      <w:r/>
    </w:p>
    <w:p>
      <w:pPr>
        <w:ind w:left="1194"/>
        <w:spacing w:before="42" w:line="213" w:lineRule="auto"/>
        <w:rPr>
          <w:rFonts w:ascii="SimSun" w:hAnsi="SimSun" w:eastAsia="SimSun" w:cs="SimSun"/>
          <w:sz w:val="13"/>
          <w:szCs w:val="13"/>
        </w:rPr>
      </w:pPr>
      <w:r>
        <w:rPr>
          <w:rFonts w:ascii="Times New Roman" w:hAnsi="Times New Roman" w:eastAsia="Times New Roman" w:cs="Times New Roman"/>
          <w:sz w:val="13"/>
          <w:szCs w:val="13"/>
          <w:spacing w:val="-2"/>
          <w:position w:val="3"/>
        </w:rPr>
        <w:t>113.46           </w:t>
      </w:r>
      <w:r>
        <w:rPr>
          <w:rFonts w:ascii="SimSun" w:hAnsi="SimSun" w:eastAsia="SimSun" w:cs="SimSun"/>
          <w:sz w:val="13"/>
          <w:szCs w:val="13"/>
          <w:spacing w:val="-2"/>
        </w:rPr>
        <w:t>不可预计用水            蒸发损</w:t>
      </w:r>
      <w:r>
        <w:rPr>
          <w:rFonts w:ascii="SimSun" w:hAnsi="SimSun" w:eastAsia="SimSun" w:cs="SimSun"/>
          <w:sz w:val="13"/>
          <w:szCs w:val="13"/>
          <w:spacing w:val="-3"/>
        </w:rPr>
        <w:t>耗113.46</w:t>
      </w:r>
    </w:p>
    <w:p>
      <w:pPr>
        <w:ind w:left="2098"/>
        <w:spacing w:before="117" w:line="212" w:lineRule="auto"/>
        <w:rPr>
          <w:rFonts w:ascii="Times New Roman" w:hAnsi="Times New Roman" w:eastAsia="Times New Roman" w:cs="Times New Roman"/>
          <w:sz w:val="24"/>
          <w:szCs w:val="24"/>
        </w:rPr>
      </w:pPr>
      <w:r>
        <w:rPr>
          <w:rFonts w:ascii="SimSun" w:hAnsi="SimSun" w:eastAsia="SimSun" w:cs="SimSun"/>
          <w:sz w:val="24"/>
          <w:szCs w:val="24"/>
          <w:b/>
          <w:bCs/>
          <w:spacing w:val="-3"/>
        </w:rPr>
        <w:t>图3.9-2旺季水平衡示意图(单位：</w:t>
      </w:r>
      <w:r>
        <w:rPr>
          <w:rFonts w:ascii="Times New Roman" w:hAnsi="Times New Roman" w:eastAsia="Times New Roman" w:cs="Times New Roman"/>
          <w:sz w:val="24"/>
          <w:szCs w:val="24"/>
          <w:b/>
          <w:bCs/>
          <w:spacing w:val="-3"/>
        </w:rPr>
        <w:t>m³/d)</w:t>
      </w:r>
    </w:p>
    <w:p>
      <w:pPr>
        <w:ind w:left="94"/>
        <w:spacing w:before="275" w:line="220" w:lineRule="auto"/>
        <w:outlineLvl w:val="1"/>
        <w:rPr>
          <w:rFonts w:ascii="SimSun" w:hAnsi="SimSun" w:eastAsia="SimSun" w:cs="SimSun"/>
          <w:sz w:val="24"/>
          <w:szCs w:val="24"/>
        </w:rPr>
      </w:pPr>
      <w:bookmarkStart w:name="bookmark40" w:id="74"/>
      <w:bookmarkEnd w:id="74"/>
      <w:r>
        <w:rPr>
          <w:rFonts w:ascii="Times New Roman" w:hAnsi="Times New Roman" w:eastAsia="Times New Roman" w:cs="Times New Roman"/>
          <w:sz w:val="24"/>
          <w:szCs w:val="24"/>
          <w:spacing w:val="30"/>
        </w:rPr>
        <w:t>3.1</w:t>
      </w:r>
      <w:r>
        <w:rPr>
          <w:rFonts w:ascii="SimSun" w:hAnsi="SimSun" w:eastAsia="SimSun" w:cs="SimSun"/>
          <w:sz w:val="24"/>
          <w:szCs w:val="24"/>
          <w:b/>
          <w:bCs/>
          <w:spacing w:val="30"/>
        </w:rPr>
        <w:t>0物料平衡及蒸汽平衡</w:t>
      </w:r>
    </w:p>
    <w:p>
      <w:pPr>
        <w:ind w:left="94"/>
        <w:spacing w:before="274" w:line="220" w:lineRule="auto"/>
        <w:rPr>
          <w:rFonts w:ascii="SimSun" w:hAnsi="SimSun" w:eastAsia="SimSun" w:cs="SimSun"/>
          <w:sz w:val="24"/>
          <w:szCs w:val="24"/>
        </w:rPr>
      </w:pPr>
      <w:r>
        <w:rPr>
          <w:rFonts w:ascii="Times New Roman" w:hAnsi="Times New Roman" w:eastAsia="Times New Roman" w:cs="Times New Roman"/>
          <w:sz w:val="24"/>
          <w:szCs w:val="24"/>
          <w:spacing w:val="-5"/>
        </w:rPr>
        <w:t>3.10.1</w:t>
      </w:r>
      <w:r>
        <w:rPr>
          <w:rFonts w:ascii="Times New Roman" w:hAnsi="Times New Roman" w:eastAsia="Times New Roman" w:cs="Times New Roman"/>
          <w:sz w:val="24"/>
          <w:szCs w:val="24"/>
          <w:spacing w:val="45"/>
        </w:rPr>
        <w:t xml:space="preserve"> </w:t>
      </w:r>
      <w:r>
        <w:rPr>
          <w:rFonts w:ascii="SimSun" w:hAnsi="SimSun" w:eastAsia="SimSun" w:cs="SimSun"/>
          <w:sz w:val="24"/>
          <w:szCs w:val="24"/>
          <w:b/>
          <w:bCs/>
          <w:spacing w:val="-5"/>
        </w:rPr>
        <w:t>物</w:t>
      </w:r>
      <w:r>
        <w:rPr>
          <w:rFonts w:ascii="SimSun" w:hAnsi="SimSun" w:eastAsia="SimSun" w:cs="SimSun"/>
          <w:sz w:val="24"/>
          <w:szCs w:val="24"/>
          <w:spacing w:val="-53"/>
        </w:rPr>
        <w:t xml:space="preserve"> </w:t>
      </w:r>
      <w:r>
        <w:rPr>
          <w:rFonts w:ascii="SimSun" w:hAnsi="SimSun" w:eastAsia="SimSun" w:cs="SimSun"/>
          <w:sz w:val="24"/>
          <w:szCs w:val="24"/>
          <w:b/>
          <w:bCs/>
          <w:spacing w:val="-5"/>
        </w:rPr>
        <w:t>料</w:t>
      </w:r>
      <w:r>
        <w:rPr>
          <w:rFonts w:ascii="SimSun" w:hAnsi="SimSun" w:eastAsia="SimSun" w:cs="SimSun"/>
          <w:sz w:val="24"/>
          <w:szCs w:val="24"/>
          <w:spacing w:val="-54"/>
        </w:rPr>
        <w:t xml:space="preserve"> </w:t>
      </w:r>
      <w:r>
        <w:rPr>
          <w:rFonts w:ascii="SimSun" w:hAnsi="SimSun" w:eastAsia="SimSun" w:cs="SimSun"/>
          <w:sz w:val="24"/>
          <w:szCs w:val="24"/>
          <w:b/>
          <w:bCs/>
          <w:spacing w:val="-5"/>
        </w:rPr>
        <w:t>平</w:t>
      </w:r>
      <w:r>
        <w:rPr>
          <w:rFonts w:ascii="SimSun" w:hAnsi="SimSun" w:eastAsia="SimSun" w:cs="SimSun"/>
          <w:sz w:val="24"/>
          <w:szCs w:val="24"/>
          <w:spacing w:val="-53"/>
        </w:rPr>
        <w:t xml:space="preserve"> </w:t>
      </w:r>
      <w:r>
        <w:rPr>
          <w:rFonts w:ascii="SimSun" w:hAnsi="SimSun" w:eastAsia="SimSun" w:cs="SimSun"/>
          <w:sz w:val="24"/>
          <w:szCs w:val="24"/>
          <w:b/>
          <w:bCs/>
          <w:spacing w:val="-5"/>
        </w:rPr>
        <w:t>衡</w:t>
      </w:r>
    </w:p>
    <w:p>
      <w:pPr>
        <w:ind w:left="94" w:right="110" w:firstLine="500"/>
        <w:spacing w:before="178" w:line="366" w:lineRule="auto"/>
        <w:jc w:val="both"/>
        <w:rPr>
          <w:rFonts w:ascii="SimSun" w:hAnsi="SimSun" w:eastAsia="SimSun" w:cs="SimSun"/>
          <w:sz w:val="19"/>
          <w:szCs w:val="19"/>
        </w:rPr>
      </w:pPr>
      <w:r>
        <w:rPr>
          <w:rFonts w:ascii="SimSun" w:hAnsi="SimSun" w:eastAsia="SimSun" w:cs="SimSun"/>
          <w:sz w:val="24"/>
          <w:szCs w:val="24"/>
          <w:spacing w:val="4"/>
        </w:rPr>
        <w:t>本项目年屠宰40万头生猪、4万头肉牛，每头生猪活屠重按110</w:t>
      </w:r>
      <w:r>
        <w:rPr>
          <w:rFonts w:ascii="SimSun" w:hAnsi="SimSun" w:eastAsia="SimSun" w:cs="SimSun"/>
          <w:sz w:val="24"/>
          <w:szCs w:val="24"/>
        </w:rPr>
        <w:t>kg</w:t>
      </w:r>
      <w:r>
        <w:rPr>
          <w:rFonts w:ascii="SimSun" w:hAnsi="SimSun" w:eastAsia="SimSun" w:cs="SimSun"/>
          <w:sz w:val="24"/>
          <w:szCs w:val="24"/>
          <w:spacing w:val="4"/>
        </w:rPr>
        <w:t>计</w:t>
      </w:r>
      <w:r>
        <w:rPr>
          <w:rFonts w:ascii="SimSun" w:hAnsi="SimSun" w:eastAsia="SimSun" w:cs="SimSun"/>
          <w:sz w:val="24"/>
          <w:szCs w:val="24"/>
          <w:spacing w:val="3"/>
        </w:rPr>
        <w:t>、每头</w:t>
      </w:r>
      <w:r>
        <w:rPr>
          <w:rFonts w:ascii="SimSun" w:hAnsi="SimSun" w:eastAsia="SimSun" w:cs="SimSun"/>
          <w:sz w:val="24"/>
          <w:szCs w:val="24"/>
        </w:rPr>
        <w:t xml:space="preserve"> </w:t>
      </w:r>
      <w:r>
        <w:rPr>
          <w:rFonts w:ascii="SimSun" w:hAnsi="SimSun" w:eastAsia="SimSun" w:cs="SimSun"/>
          <w:sz w:val="24"/>
          <w:szCs w:val="24"/>
        </w:rPr>
        <w:t>肉牛活屠重按500</w:t>
      </w:r>
      <w:r>
        <w:rPr>
          <w:rFonts w:ascii="Times New Roman" w:hAnsi="Times New Roman" w:eastAsia="Times New Roman" w:cs="Times New Roman"/>
          <w:sz w:val="24"/>
          <w:szCs w:val="24"/>
        </w:rPr>
        <w:t>kg</w:t>
      </w:r>
      <w:r>
        <w:rPr>
          <w:rFonts w:ascii="SimSun" w:hAnsi="SimSun" w:eastAsia="SimSun" w:cs="SimSun"/>
          <w:sz w:val="24"/>
          <w:szCs w:val="24"/>
        </w:rPr>
        <w:t>计，屠宰生猪主要产品为猪白条胴</w:t>
      </w:r>
      <w:r>
        <w:rPr>
          <w:rFonts w:ascii="SimSun" w:hAnsi="SimSun" w:eastAsia="SimSun" w:cs="SimSun"/>
          <w:sz w:val="24"/>
          <w:szCs w:val="24"/>
          <w:spacing w:val="-1"/>
        </w:rPr>
        <w:t>体和分割肉，副产品为猪</w:t>
      </w:r>
      <w:r>
        <w:rPr>
          <w:rFonts w:ascii="SimSun" w:hAnsi="SimSun" w:eastAsia="SimSun" w:cs="SimSun"/>
          <w:sz w:val="24"/>
          <w:szCs w:val="24"/>
        </w:rPr>
        <w:t xml:space="preserve"> </w:t>
      </w:r>
      <w:r>
        <w:rPr>
          <w:rFonts w:ascii="SimSun" w:hAnsi="SimSun" w:eastAsia="SimSun" w:cs="SimSun"/>
          <w:sz w:val="24"/>
          <w:szCs w:val="24"/>
          <w:spacing w:val="3"/>
        </w:rPr>
        <w:t>红白内脏、猪皮毛、板油、猪血、头、蹄、尾等；屠宰肉牛主要产品为牛四分</w:t>
      </w:r>
      <w:r>
        <w:rPr>
          <w:rFonts w:ascii="SimSun" w:hAnsi="SimSun" w:eastAsia="SimSun" w:cs="SimSun"/>
          <w:sz w:val="24"/>
          <w:szCs w:val="24"/>
          <w:spacing w:val="17"/>
        </w:rPr>
        <w:t xml:space="preserve"> </w:t>
      </w:r>
      <w:r>
        <w:rPr>
          <w:rFonts w:ascii="SimSun" w:hAnsi="SimSun" w:eastAsia="SimSun" w:cs="SimSun"/>
          <w:sz w:val="24"/>
          <w:szCs w:val="24"/>
          <w:spacing w:val="3"/>
        </w:rPr>
        <w:t>体和分割肉，副产品为牛红白内脏、牛皮毛、牛油、牛血、头、蹄、尾等。屠</w:t>
      </w:r>
      <w:r>
        <w:rPr>
          <w:rFonts w:ascii="SimSun" w:hAnsi="SimSun" w:eastAsia="SimSun" w:cs="SimSun"/>
          <w:sz w:val="24"/>
          <w:szCs w:val="24"/>
          <w:spacing w:val="18"/>
        </w:rPr>
        <w:t xml:space="preserve"> </w:t>
      </w:r>
      <w:r>
        <w:rPr>
          <w:rFonts w:ascii="SimSun" w:hAnsi="SimSun" w:eastAsia="SimSun" w:cs="SimSun"/>
          <w:sz w:val="19"/>
          <w:szCs w:val="19"/>
          <w:spacing w:val="43"/>
        </w:rPr>
        <w:t>宰加工过程物料平衡见下表</w:t>
      </w:r>
      <w:r>
        <w:rPr>
          <w:rFonts w:ascii="SimSun" w:hAnsi="SimSun" w:eastAsia="SimSun" w:cs="SimSun"/>
          <w:sz w:val="19"/>
          <w:szCs w:val="19"/>
          <w:spacing w:val="-43"/>
        </w:rPr>
        <w:t xml:space="preserve"> </w:t>
      </w:r>
      <w:r>
        <w:rPr>
          <w:rFonts w:ascii="SimSun" w:hAnsi="SimSun" w:eastAsia="SimSun" w:cs="SimSun"/>
          <w:sz w:val="19"/>
          <w:szCs w:val="19"/>
          <w:spacing w:val="43"/>
        </w:rPr>
        <w:t>。</w:t>
      </w:r>
    </w:p>
    <w:p>
      <w:pPr>
        <w:ind w:left="2228"/>
        <w:spacing w:before="305" w:line="212" w:lineRule="auto"/>
        <w:rPr>
          <w:rFonts w:ascii="Times New Roman" w:hAnsi="Times New Roman" w:eastAsia="Times New Roman" w:cs="Times New Roman"/>
          <w:sz w:val="24"/>
          <w:szCs w:val="24"/>
        </w:rPr>
      </w:pPr>
      <w:r>
        <w:rPr>
          <w:rFonts w:ascii="SimSun" w:hAnsi="SimSun" w:eastAsia="SimSun" w:cs="SimSun"/>
          <w:sz w:val="24"/>
          <w:szCs w:val="24"/>
          <w:b/>
          <w:bCs/>
        </w:rPr>
        <w:t>表3.10-1项目物料平衡表(单位：</w:t>
      </w:r>
      <w:r>
        <w:rPr>
          <w:rFonts w:ascii="Times New Roman" w:hAnsi="Times New Roman" w:eastAsia="Times New Roman" w:cs="Times New Roman"/>
          <w:sz w:val="24"/>
          <w:szCs w:val="24"/>
          <w:b/>
          <w:bCs/>
        </w:rPr>
        <w:t>t/a)</w:t>
      </w:r>
    </w:p>
    <w:p>
      <w:pPr>
        <w:spacing w:line="212" w:lineRule="auto"/>
        <w:sectPr>
          <w:headerReference w:type="default" r:id="rId27"/>
          <w:footerReference w:type="default" r:id="rId275"/>
          <w:pgSz w:w="11910" w:h="16840"/>
          <w:pgMar w:top="1207" w:right="1705" w:bottom="962" w:left="1685" w:header="915" w:footer="777" w:gutter="0"/>
        </w:sectPr>
        <w:rPr>
          <w:rFonts w:ascii="Times New Roman" w:hAnsi="Times New Roman" w:eastAsia="Times New Roman" w:cs="Times New Roman"/>
          <w:sz w:val="24"/>
          <w:szCs w:val="24"/>
        </w:rPr>
      </w:pPr>
    </w:p>
    <w:p>
      <w:pPr>
        <w:spacing w:before="14"/>
        <w:rPr/>
      </w:pPr>
      <w:r/>
    </w:p>
    <w:tbl>
      <w:tblPr>
        <w:tblStyle w:val="TableNormal"/>
        <w:tblW w:w="848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83"/>
        <w:gridCol w:w="1288"/>
        <w:gridCol w:w="909"/>
        <w:gridCol w:w="1019"/>
        <w:gridCol w:w="3086"/>
        <w:gridCol w:w="904"/>
      </w:tblGrid>
      <w:tr>
        <w:trPr>
          <w:trHeight w:val="284" w:hRule="atLeast"/>
        </w:trPr>
        <w:tc>
          <w:tcPr>
            <w:shd w:val="clear" w:fill="BDBDBD"/>
            <w:tcW w:w="1283" w:type="dxa"/>
            <w:vAlign w:val="top"/>
            <w:vMerge w:val="restart"/>
            <w:tcBorders>
              <w:bottom w:val="nil"/>
            </w:tcBorders>
          </w:tcPr>
          <w:p>
            <w:pPr>
              <w:pStyle w:val="TableText"/>
              <w:ind w:left="217"/>
              <w:spacing w:before="181" w:line="220" w:lineRule="auto"/>
              <w:rPr>
                <w:sz w:val="21"/>
                <w:szCs w:val="21"/>
              </w:rPr>
            </w:pPr>
            <w:r>
              <w:rPr>
                <w:sz w:val="21"/>
                <w:szCs w:val="21"/>
                <w:b/>
                <w:bCs/>
                <w:spacing w:val="-5"/>
              </w:rPr>
              <w:t>项目名称</w:t>
            </w:r>
          </w:p>
        </w:tc>
        <w:tc>
          <w:tcPr>
            <w:shd w:val="clear" w:fill="BDBDBD"/>
            <w:tcW w:w="2197" w:type="dxa"/>
            <w:vAlign w:val="top"/>
            <w:gridSpan w:val="2"/>
          </w:tcPr>
          <w:p>
            <w:pPr>
              <w:pStyle w:val="TableText"/>
              <w:ind w:left="885"/>
              <w:spacing w:before="40" w:line="205" w:lineRule="auto"/>
              <w:rPr>
                <w:sz w:val="21"/>
                <w:szCs w:val="21"/>
              </w:rPr>
            </w:pPr>
            <w:r>
              <w:rPr>
                <w:sz w:val="21"/>
                <w:szCs w:val="21"/>
                <w:b/>
                <w:bCs/>
                <w:spacing w:val="-5"/>
              </w:rPr>
              <w:t>投入</w:t>
            </w:r>
          </w:p>
        </w:tc>
        <w:tc>
          <w:tcPr>
            <w:shd w:val="clear" w:fill="BDBDBD"/>
            <w:tcW w:w="5009" w:type="dxa"/>
            <w:vAlign w:val="top"/>
            <w:gridSpan w:val="3"/>
          </w:tcPr>
          <w:p>
            <w:pPr>
              <w:pStyle w:val="TableText"/>
              <w:ind w:left="2287"/>
              <w:spacing w:before="40" w:line="205" w:lineRule="auto"/>
              <w:rPr>
                <w:sz w:val="21"/>
                <w:szCs w:val="21"/>
              </w:rPr>
            </w:pPr>
            <w:r>
              <w:rPr>
                <w:sz w:val="21"/>
                <w:szCs w:val="21"/>
                <w:b/>
                <w:bCs/>
                <w:spacing w:val="7"/>
              </w:rPr>
              <w:t>产出</w:t>
            </w:r>
          </w:p>
        </w:tc>
      </w:tr>
      <w:tr>
        <w:trPr>
          <w:trHeight w:val="270" w:hRule="atLeast"/>
        </w:trPr>
        <w:tc>
          <w:tcPr>
            <w:tcW w:w="1283" w:type="dxa"/>
            <w:vAlign w:val="top"/>
            <w:vMerge w:val="continue"/>
            <w:tcBorders>
              <w:top w:val="nil"/>
            </w:tcBorders>
          </w:tcPr>
          <w:p>
            <w:pPr>
              <w:rPr>
                <w:rFonts w:ascii="Arial"/>
                <w:sz w:val="21"/>
              </w:rPr>
            </w:pPr>
            <w:r/>
          </w:p>
        </w:tc>
        <w:tc>
          <w:tcPr>
            <w:shd w:val="clear" w:fill="BDBDBD"/>
            <w:tcW w:w="1288" w:type="dxa"/>
            <w:vAlign w:val="top"/>
          </w:tcPr>
          <w:p>
            <w:pPr>
              <w:pStyle w:val="TableText"/>
              <w:ind w:left="214"/>
              <w:spacing w:before="26" w:line="205" w:lineRule="auto"/>
              <w:rPr>
                <w:sz w:val="21"/>
                <w:szCs w:val="21"/>
              </w:rPr>
            </w:pPr>
            <w:r>
              <w:rPr>
                <w:sz w:val="21"/>
                <w:szCs w:val="21"/>
                <w:b/>
                <w:bCs/>
                <w:spacing w:val="-4"/>
              </w:rPr>
              <w:t>物料名称</w:t>
            </w:r>
          </w:p>
        </w:tc>
        <w:tc>
          <w:tcPr>
            <w:shd w:val="clear" w:fill="BDBDBD"/>
            <w:tcW w:w="909" w:type="dxa"/>
            <w:vAlign w:val="top"/>
          </w:tcPr>
          <w:p>
            <w:pPr>
              <w:pStyle w:val="TableText"/>
              <w:ind w:left="236"/>
              <w:spacing w:before="33" w:line="199" w:lineRule="auto"/>
              <w:rPr>
                <w:sz w:val="21"/>
                <w:szCs w:val="21"/>
              </w:rPr>
            </w:pPr>
            <w:r>
              <w:rPr>
                <w:sz w:val="21"/>
                <w:szCs w:val="21"/>
                <w:b/>
                <w:bCs/>
                <w:spacing w:val="-5"/>
              </w:rPr>
              <w:t>重量</w:t>
            </w:r>
          </w:p>
        </w:tc>
        <w:tc>
          <w:tcPr>
            <w:shd w:val="clear" w:fill="BDBDBD"/>
            <w:tcW w:w="4105" w:type="dxa"/>
            <w:vAlign w:val="top"/>
            <w:gridSpan w:val="2"/>
          </w:tcPr>
          <w:p>
            <w:pPr>
              <w:pStyle w:val="TableText"/>
              <w:ind w:left="1837"/>
              <w:spacing w:before="29" w:line="203" w:lineRule="auto"/>
              <w:rPr>
                <w:sz w:val="21"/>
                <w:szCs w:val="21"/>
              </w:rPr>
            </w:pPr>
            <w:r>
              <w:rPr>
                <w:sz w:val="21"/>
                <w:szCs w:val="21"/>
                <w:b/>
                <w:bCs/>
                <w:spacing w:val="-5"/>
              </w:rPr>
              <w:t>名称</w:t>
            </w:r>
          </w:p>
        </w:tc>
        <w:tc>
          <w:tcPr>
            <w:shd w:val="clear" w:fill="BDBDBD"/>
            <w:tcW w:w="904" w:type="dxa"/>
            <w:vAlign w:val="top"/>
          </w:tcPr>
          <w:p>
            <w:pPr>
              <w:pStyle w:val="TableText"/>
              <w:ind w:left="242"/>
              <w:spacing w:before="33" w:line="199" w:lineRule="auto"/>
              <w:rPr>
                <w:sz w:val="21"/>
                <w:szCs w:val="21"/>
              </w:rPr>
            </w:pPr>
            <w:r>
              <w:rPr>
                <w:sz w:val="21"/>
                <w:szCs w:val="21"/>
                <w:b/>
                <w:bCs/>
                <w:spacing w:val="-5"/>
              </w:rPr>
              <w:t>重量</w:t>
            </w:r>
          </w:p>
        </w:tc>
      </w:tr>
      <w:tr>
        <w:trPr>
          <w:trHeight w:val="270" w:hRule="atLeast"/>
        </w:trPr>
        <w:tc>
          <w:tcPr>
            <w:tcW w:w="1283" w:type="dxa"/>
            <w:vAlign w:val="top"/>
            <w:vMerge w:val="restart"/>
            <w:tcBorders>
              <w:bottom w:val="nil"/>
            </w:tcBorders>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217"/>
              <w:spacing w:before="68" w:line="219" w:lineRule="auto"/>
              <w:rPr>
                <w:sz w:val="21"/>
                <w:szCs w:val="21"/>
              </w:rPr>
            </w:pPr>
            <w:r>
              <w:rPr>
                <w:sz w:val="21"/>
                <w:szCs w:val="21"/>
                <w:b/>
                <w:bCs/>
              </w:rPr>
              <w:t>生猪屠宰</w:t>
            </w:r>
          </w:p>
        </w:tc>
        <w:tc>
          <w:tcPr>
            <w:tcW w:w="1288" w:type="dxa"/>
            <w:vAlign w:val="top"/>
          </w:tcPr>
          <w:p>
            <w:pPr>
              <w:pStyle w:val="TableText"/>
              <w:ind w:left="421"/>
              <w:spacing w:before="30" w:line="202" w:lineRule="auto"/>
              <w:rPr>
                <w:sz w:val="21"/>
                <w:szCs w:val="21"/>
              </w:rPr>
            </w:pPr>
            <w:r>
              <w:rPr>
                <w:sz w:val="21"/>
                <w:szCs w:val="21"/>
                <w:spacing w:val="-3"/>
              </w:rPr>
              <w:t>生猪</w:t>
            </w:r>
          </w:p>
        </w:tc>
        <w:tc>
          <w:tcPr>
            <w:tcW w:w="909" w:type="dxa"/>
            <w:vAlign w:val="top"/>
          </w:tcPr>
          <w:p>
            <w:pPr>
              <w:pStyle w:val="TableText"/>
              <w:ind w:left="184"/>
              <w:spacing w:before="50" w:line="184" w:lineRule="auto"/>
              <w:rPr>
                <w:sz w:val="21"/>
                <w:szCs w:val="21"/>
              </w:rPr>
            </w:pPr>
            <w:r>
              <w:rPr>
                <w:sz w:val="21"/>
                <w:szCs w:val="21"/>
                <w:spacing w:val="-2"/>
              </w:rPr>
              <w:t>44000</w:t>
            </w:r>
          </w:p>
        </w:tc>
        <w:tc>
          <w:tcPr>
            <w:tcW w:w="1019" w:type="dxa"/>
            <w:vAlign w:val="top"/>
            <w:vMerge w:val="restart"/>
            <w:tcBorders>
              <w:bottom w:val="nil"/>
            </w:tcBorders>
          </w:tcPr>
          <w:p>
            <w:pPr>
              <w:spacing w:line="389" w:lineRule="auto"/>
              <w:rPr>
                <w:rFonts w:ascii="Arial"/>
                <w:sz w:val="21"/>
              </w:rPr>
            </w:pPr>
            <w:r/>
          </w:p>
          <w:p>
            <w:pPr>
              <w:pStyle w:val="TableText"/>
              <w:ind w:left="184"/>
              <w:spacing w:before="68" w:line="219" w:lineRule="auto"/>
              <w:rPr>
                <w:sz w:val="21"/>
                <w:szCs w:val="21"/>
              </w:rPr>
            </w:pPr>
            <w:r>
              <w:rPr>
                <w:sz w:val="21"/>
                <w:szCs w:val="21"/>
                <w:spacing w:val="7"/>
              </w:rPr>
              <w:t>主产品</w:t>
            </w:r>
          </w:p>
        </w:tc>
        <w:tc>
          <w:tcPr>
            <w:tcW w:w="3086" w:type="dxa"/>
            <w:vAlign w:val="top"/>
          </w:tcPr>
          <w:p>
            <w:pPr>
              <w:pStyle w:val="TableText"/>
              <w:ind w:left="1115"/>
              <w:spacing w:before="29" w:line="203" w:lineRule="auto"/>
              <w:rPr>
                <w:sz w:val="21"/>
                <w:szCs w:val="21"/>
              </w:rPr>
            </w:pPr>
            <w:r>
              <w:rPr>
                <w:sz w:val="21"/>
                <w:szCs w:val="21"/>
                <w:spacing w:val="2"/>
              </w:rPr>
              <w:t>白条胴体</w:t>
            </w:r>
          </w:p>
        </w:tc>
        <w:tc>
          <w:tcPr>
            <w:tcW w:w="904" w:type="dxa"/>
            <w:vAlign w:val="top"/>
          </w:tcPr>
          <w:p>
            <w:pPr>
              <w:pStyle w:val="TableText"/>
              <w:ind w:left="179"/>
              <w:spacing w:before="50" w:line="184" w:lineRule="auto"/>
              <w:rPr>
                <w:sz w:val="21"/>
                <w:szCs w:val="21"/>
              </w:rPr>
            </w:pPr>
            <w:r>
              <w:rPr>
                <w:sz w:val="21"/>
                <w:szCs w:val="21"/>
                <w:spacing w:val="-2"/>
              </w:rPr>
              <w:t>24000</w:t>
            </w:r>
          </w:p>
        </w:tc>
      </w:tr>
      <w:tr>
        <w:trPr>
          <w:trHeight w:val="280" w:hRule="atLeast"/>
        </w:trPr>
        <w:tc>
          <w:tcPr>
            <w:tcW w:w="1283" w:type="dxa"/>
            <w:vAlign w:val="top"/>
            <w:vMerge w:val="continue"/>
            <w:tcBorders>
              <w:top w:val="nil"/>
              <w:bottom w:val="nil"/>
            </w:tcBorders>
          </w:tcPr>
          <w:p>
            <w:pPr>
              <w:rPr>
                <w:rFonts w:ascii="Arial"/>
                <w:sz w:val="21"/>
              </w:rPr>
            </w:pPr>
            <w:r/>
          </w:p>
        </w:tc>
        <w:tc>
          <w:tcPr>
            <w:tcW w:w="1288" w:type="dxa"/>
            <w:vAlign w:val="top"/>
          </w:tcPr>
          <w:p>
            <w:pPr>
              <w:pStyle w:val="TableText"/>
              <w:ind w:left="581"/>
              <w:spacing w:before="44" w:line="198" w:lineRule="auto"/>
              <w:rPr>
                <w:sz w:val="21"/>
                <w:szCs w:val="21"/>
              </w:rPr>
            </w:pPr>
            <w:r>
              <w:rPr>
                <w:sz w:val="21"/>
                <w:szCs w:val="21"/>
              </w:rPr>
              <w:t>/</w:t>
            </w:r>
          </w:p>
        </w:tc>
        <w:tc>
          <w:tcPr>
            <w:tcW w:w="909" w:type="dxa"/>
            <w:vAlign w:val="top"/>
          </w:tcPr>
          <w:p>
            <w:pPr>
              <w:pStyle w:val="TableText"/>
              <w:ind w:left="393"/>
              <w:spacing w:before="44" w:line="198" w:lineRule="auto"/>
              <w:rPr>
                <w:sz w:val="21"/>
                <w:szCs w:val="21"/>
              </w:rPr>
            </w:pPr>
            <w:r>
              <w:rPr>
                <w:sz w:val="21"/>
                <w:szCs w:val="21"/>
              </w:rPr>
              <w:t>/</w:t>
            </w:r>
          </w:p>
        </w:tc>
        <w:tc>
          <w:tcPr>
            <w:tcW w:w="1019" w:type="dxa"/>
            <w:vAlign w:val="top"/>
            <w:vMerge w:val="continue"/>
            <w:tcBorders>
              <w:top w:val="nil"/>
              <w:bottom w:val="nil"/>
            </w:tcBorders>
          </w:tcPr>
          <w:p>
            <w:pPr>
              <w:rPr>
                <w:rFonts w:ascii="Arial"/>
                <w:sz w:val="21"/>
              </w:rPr>
            </w:pPr>
            <w:r/>
          </w:p>
        </w:tc>
        <w:tc>
          <w:tcPr>
            <w:tcW w:w="3086" w:type="dxa"/>
            <w:vAlign w:val="top"/>
          </w:tcPr>
          <w:p>
            <w:pPr>
              <w:pStyle w:val="TableText"/>
              <w:ind w:left="1325"/>
              <w:spacing w:before="39" w:line="203" w:lineRule="auto"/>
              <w:rPr>
                <w:sz w:val="21"/>
                <w:szCs w:val="21"/>
              </w:rPr>
            </w:pPr>
            <w:r>
              <w:rPr>
                <w:sz w:val="21"/>
                <w:szCs w:val="21"/>
                <w:color w:val="404050"/>
                <w:spacing w:val="-3"/>
              </w:rPr>
              <w:t>排骨</w:t>
            </w:r>
          </w:p>
        </w:tc>
        <w:tc>
          <w:tcPr>
            <w:tcW w:w="904" w:type="dxa"/>
            <w:vAlign w:val="top"/>
          </w:tcPr>
          <w:p>
            <w:pPr>
              <w:pStyle w:val="TableText"/>
              <w:ind w:left="239"/>
              <w:spacing w:before="60" w:line="184" w:lineRule="auto"/>
              <w:rPr>
                <w:sz w:val="21"/>
                <w:szCs w:val="21"/>
              </w:rPr>
            </w:pPr>
            <w:r>
              <w:rPr>
                <w:sz w:val="21"/>
                <w:szCs w:val="21"/>
                <w:spacing w:val="-2"/>
              </w:rPr>
              <w:t>6400</w:t>
            </w:r>
          </w:p>
        </w:tc>
      </w:tr>
      <w:tr>
        <w:trPr>
          <w:trHeight w:val="269" w:hRule="atLeast"/>
        </w:trPr>
        <w:tc>
          <w:tcPr>
            <w:tcW w:w="1283" w:type="dxa"/>
            <w:vAlign w:val="top"/>
            <w:vMerge w:val="continue"/>
            <w:tcBorders>
              <w:top w:val="nil"/>
              <w:bottom w:val="nil"/>
            </w:tcBorders>
          </w:tcPr>
          <w:p>
            <w:pPr>
              <w:rPr>
                <w:rFonts w:ascii="Arial"/>
                <w:sz w:val="21"/>
              </w:rPr>
            </w:pPr>
            <w:r/>
          </w:p>
        </w:tc>
        <w:tc>
          <w:tcPr>
            <w:tcW w:w="1288" w:type="dxa"/>
            <w:vAlign w:val="top"/>
            <w:textDirection w:val="tbRlV"/>
          </w:tcPr>
          <w:p>
            <w:pPr>
              <w:spacing w:line="257" w:lineRule="auto"/>
              <w:rPr>
                <w:rFonts w:ascii="Arial"/>
                <w:sz w:val="21"/>
              </w:rPr>
            </w:pPr>
            <w:r/>
          </w:p>
          <w:p>
            <w:pPr>
              <w:spacing w:line="258" w:lineRule="auto"/>
              <w:rPr>
                <w:rFonts w:ascii="Arial"/>
                <w:sz w:val="21"/>
              </w:rPr>
            </w:pPr>
            <w:r/>
          </w:p>
          <w:p>
            <w:pPr>
              <w:pStyle w:val="TableText"/>
              <w:ind w:left="1"/>
              <w:spacing w:before="70" w:line="137" w:lineRule="exact"/>
              <w:rPr>
                <w:sz w:val="21"/>
                <w:szCs w:val="21"/>
              </w:rPr>
            </w:pPr>
            <w:r>
              <w:rPr>
                <w:sz w:val="21"/>
                <w:szCs w:val="21"/>
                <w:color w:val="403040"/>
                <w:spacing w:val="52"/>
                <w:w w:val="141"/>
                <w:position w:val="-1"/>
              </w:rPr>
              <w:t>/</w:t>
            </w:r>
          </w:p>
        </w:tc>
        <w:tc>
          <w:tcPr>
            <w:tcW w:w="909" w:type="dxa"/>
            <w:vAlign w:val="top"/>
            <w:textDirection w:val="tbRlV"/>
          </w:tcPr>
          <w:p>
            <w:pPr>
              <w:spacing w:line="330" w:lineRule="auto"/>
              <w:rPr>
                <w:rFonts w:ascii="Arial"/>
                <w:sz w:val="21"/>
              </w:rPr>
            </w:pPr>
            <w:r/>
          </w:p>
          <w:p>
            <w:pPr>
              <w:pStyle w:val="TableText"/>
              <w:ind w:left="1"/>
              <w:spacing w:before="70" w:line="137" w:lineRule="exact"/>
              <w:rPr>
                <w:sz w:val="21"/>
                <w:szCs w:val="21"/>
              </w:rPr>
            </w:pPr>
            <w:r>
              <w:rPr>
                <w:sz w:val="21"/>
                <w:szCs w:val="21"/>
                <w:spacing w:val="52"/>
                <w:w w:val="141"/>
                <w:position w:val="-1"/>
              </w:rPr>
              <w:t>/</w:t>
            </w:r>
          </w:p>
        </w:tc>
        <w:tc>
          <w:tcPr>
            <w:tcW w:w="1019" w:type="dxa"/>
            <w:vAlign w:val="top"/>
            <w:vMerge w:val="continue"/>
            <w:tcBorders>
              <w:top w:val="nil"/>
              <w:bottom w:val="nil"/>
            </w:tcBorders>
          </w:tcPr>
          <w:p>
            <w:pPr>
              <w:rPr>
                <w:rFonts w:ascii="Arial"/>
                <w:sz w:val="21"/>
              </w:rPr>
            </w:pPr>
            <w:r/>
          </w:p>
        </w:tc>
        <w:tc>
          <w:tcPr>
            <w:tcW w:w="3086" w:type="dxa"/>
            <w:vAlign w:val="top"/>
          </w:tcPr>
          <w:p>
            <w:pPr>
              <w:pStyle w:val="TableText"/>
              <w:ind w:left="1325"/>
              <w:spacing w:before="29" w:line="202" w:lineRule="auto"/>
              <w:rPr>
                <w:sz w:val="21"/>
                <w:szCs w:val="21"/>
              </w:rPr>
            </w:pPr>
            <w:r>
              <w:rPr>
                <w:sz w:val="21"/>
                <w:szCs w:val="21"/>
                <w:spacing w:val="5"/>
              </w:rPr>
              <w:t>筒骨</w:t>
            </w:r>
          </w:p>
        </w:tc>
        <w:tc>
          <w:tcPr>
            <w:tcW w:w="904" w:type="dxa"/>
            <w:vAlign w:val="top"/>
          </w:tcPr>
          <w:p>
            <w:pPr>
              <w:pStyle w:val="TableText"/>
              <w:ind w:left="239"/>
              <w:spacing w:before="50" w:line="183" w:lineRule="auto"/>
              <w:rPr>
                <w:sz w:val="21"/>
                <w:szCs w:val="21"/>
              </w:rPr>
            </w:pPr>
            <w:r>
              <w:rPr>
                <w:sz w:val="21"/>
                <w:szCs w:val="21"/>
                <w:spacing w:val="-5"/>
              </w:rPr>
              <w:t>1120</w:t>
            </w:r>
          </w:p>
        </w:tc>
      </w:tr>
      <w:tr>
        <w:trPr>
          <w:trHeight w:val="270" w:hRule="atLeast"/>
        </w:trPr>
        <w:tc>
          <w:tcPr>
            <w:tcW w:w="1283" w:type="dxa"/>
            <w:vAlign w:val="top"/>
            <w:vMerge w:val="continue"/>
            <w:tcBorders>
              <w:top w:val="nil"/>
              <w:bottom w:val="nil"/>
            </w:tcBorders>
          </w:tcPr>
          <w:p>
            <w:pPr>
              <w:rPr>
                <w:rFonts w:ascii="Arial"/>
                <w:sz w:val="21"/>
              </w:rPr>
            </w:pPr>
            <w:r/>
          </w:p>
        </w:tc>
        <w:tc>
          <w:tcPr>
            <w:tcW w:w="1288" w:type="dxa"/>
            <w:vAlign w:val="top"/>
            <w:textDirection w:val="tbRlV"/>
          </w:tcPr>
          <w:p>
            <w:pPr>
              <w:spacing w:line="257" w:lineRule="auto"/>
              <w:rPr>
                <w:rFonts w:ascii="Arial"/>
                <w:sz w:val="21"/>
              </w:rPr>
            </w:pPr>
            <w:r/>
          </w:p>
          <w:p>
            <w:pPr>
              <w:spacing w:line="258" w:lineRule="auto"/>
              <w:rPr>
                <w:rFonts w:ascii="Arial"/>
                <w:sz w:val="21"/>
              </w:rPr>
            </w:pPr>
            <w:r/>
          </w:p>
          <w:p>
            <w:pPr>
              <w:pStyle w:val="TableText"/>
              <w:ind w:left="2"/>
              <w:spacing w:before="70" w:line="137" w:lineRule="exact"/>
              <w:rPr>
                <w:sz w:val="21"/>
                <w:szCs w:val="21"/>
              </w:rPr>
            </w:pPr>
            <w:r>
              <w:rPr>
                <w:sz w:val="21"/>
                <w:szCs w:val="21"/>
                <w:color w:val="505050"/>
                <w:spacing w:val="52"/>
                <w:w w:val="141"/>
                <w:position w:val="-1"/>
              </w:rPr>
              <w:t>/</w:t>
            </w:r>
          </w:p>
        </w:tc>
        <w:tc>
          <w:tcPr>
            <w:tcW w:w="909" w:type="dxa"/>
            <w:vAlign w:val="top"/>
          </w:tcPr>
          <w:p>
            <w:pPr>
              <w:pStyle w:val="TableText"/>
              <w:ind w:left="393"/>
              <w:spacing w:before="35" w:line="197" w:lineRule="auto"/>
              <w:rPr>
                <w:sz w:val="21"/>
                <w:szCs w:val="21"/>
              </w:rPr>
            </w:pPr>
            <w:r>
              <w:rPr>
                <w:sz w:val="21"/>
                <w:szCs w:val="21"/>
                <w:color w:val="303040"/>
              </w:rPr>
              <w:t>/</w:t>
            </w:r>
          </w:p>
        </w:tc>
        <w:tc>
          <w:tcPr>
            <w:tcW w:w="1019" w:type="dxa"/>
            <w:vAlign w:val="top"/>
            <w:vMerge w:val="continue"/>
            <w:tcBorders>
              <w:top w:val="nil"/>
            </w:tcBorders>
          </w:tcPr>
          <w:p>
            <w:pPr>
              <w:rPr>
                <w:rFonts w:ascii="Arial"/>
                <w:sz w:val="21"/>
              </w:rPr>
            </w:pPr>
            <w:r/>
          </w:p>
        </w:tc>
        <w:tc>
          <w:tcPr>
            <w:tcW w:w="3086" w:type="dxa"/>
            <w:vAlign w:val="top"/>
          </w:tcPr>
          <w:p>
            <w:pPr>
              <w:pStyle w:val="TableText"/>
              <w:ind w:left="1325"/>
              <w:spacing w:before="30" w:line="202" w:lineRule="auto"/>
              <w:rPr>
                <w:sz w:val="21"/>
                <w:szCs w:val="21"/>
              </w:rPr>
            </w:pPr>
            <w:r>
              <w:rPr>
                <w:sz w:val="21"/>
                <w:szCs w:val="21"/>
                <w:spacing w:val="6"/>
              </w:rPr>
              <w:t>猪脚</w:t>
            </w:r>
          </w:p>
        </w:tc>
        <w:tc>
          <w:tcPr>
            <w:tcW w:w="904" w:type="dxa"/>
            <w:vAlign w:val="top"/>
          </w:tcPr>
          <w:p>
            <w:pPr>
              <w:pStyle w:val="TableText"/>
              <w:ind w:left="239"/>
              <w:spacing w:before="51" w:line="183" w:lineRule="auto"/>
              <w:rPr>
                <w:sz w:val="21"/>
                <w:szCs w:val="21"/>
              </w:rPr>
            </w:pPr>
            <w:r>
              <w:rPr>
                <w:sz w:val="21"/>
                <w:szCs w:val="21"/>
                <w:spacing w:val="-5"/>
              </w:rPr>
              <w:t>1936</w:t>
            </w:r>
          </w:p>
        </w:tc>
      </w:tr>
      <w:tr>
        <w:trPr>
          <w:trHeight w:val="280" w:hRule="atLeast"/>
        </w:trPr>
        <w:tc>
          <w:tcPr>
            <w:tcW w:w="1283" w:type="dxa"/>
            <w:vAlign w:val="top"/>
            <w:vMerge w:val="continue"/>
            <w:tcBorders>
              <w:top w:val="nil"/>
              <w:bottom w:val="nil"/>
            </w:tcBorders>
          </w:tcPr>
          <w:p>
            <w:pPr>
              <w:rPr>
                <w:rFonts w:ascii="Arial"/>
                <w:sz w:val="21"/>
              </w:rPr>
            </w:pPr>
            <w:r/>
          </w:p>
        </w:tc>
        <w:tc>
          <w:tcPr>
            <w:tcW w:w="1288" w:type="dxa"/>
            <w:vAlign w:val="top"/>
          </w:tcPr>
          <w:p>
            <w:pPr>
              <w:pStyle w:val="TableText"/>
              <w:ind w:left="581"/>
              <w:spacing w:before="45" w:line="197" w:lineRule="auto"/>
              <w:rPr>
                <w:sz w:val="21"/>
                <w:szCs w:val="21"/>
              </w:rPr>
            </w:pPr>
            <w:r>
              <w:rPr>
                <w:sz w:val="21"/>
                <w:szCs w:val="21"/>
              </w:rPr>
              <w:t>/</w:t>
            </w:r>
          </w:p>
        </w:tc>
        <w:tc>
          <w:tcPr>
            <w:tcW w:w="909" w:type="dxa"/>
            <w:vAlign w:val="top"/>
            <w:textDirection w:val="tbRlV"/>
          </w:tcPr>
          <w:p>
            <w:pPr>
              <w:spacing w:line="330" w:lineRule="auto"/>
              <w:rPr>
                <w:rFonts w:ascii="Arial"/>
                <w:sz w:val="21"/>
              </w:rPr>
            </w:pPr>
            <w:r/>
          </w:p>
          <w:p>
            <w:pPr>
              <w:pStyle w:val="TableText"/>
              <w:ind w:left="12"/>
              <w:spacing w:before="70" w:line="137" w:lineRule="exact"/>
              <w:rPr>
                <w:sz w:val="21"/>
                <w:szCs w:val="21"/>
              </w:rPr>
            </w:pPr>
            <w:r>
              <w:rPr>
                <w:sz w:val="21"/>
                <w:szCs w:val="21"/>
                <w:color w:val="404050"/>
                <w:spacing w:val="52"/>
                <w:w w:val="141"/>
                <w:position w:val="-1"/>
              </w:rPr>
              <w:t>/</w:t>
            </w:r>
          </w:p>
        </w:tc>
        <w:tc>
          <w:tcPr>
            <w:tcW w:w="1019" w:type="dxa"/>
            <w:vAlign w:val="top"/>
            <w:vMerge w:val="restart"/>
            <w:tcBorders>
              <w:bottom w:val="nil"/>
            </w:tcBorders>
          </w:tcPr>
          <w:p>
            <w:pPr>
              <w:spacing w:line="264" w:lineRule="auto"/>
              <w:rPr>
                <w:rFonts w:ascii="Arial"/>
                <w:sz w:val="21"/>
              </w:rPr>
            </w:pPr>
            <w:r/>
          </w:p>
          <w:p>
            <w:pPr>
              <w:spacing w:line="265" w:lineRule="auto"/>
              <w:rPr>
                <w:rFonts w:ascii="Arial"/>
                <w:sz w:val="21"/>
              </w:rPr>
            </w:pPr>
            <w:r/>
          </w:p>
          <w:p>
            <w:pPr>
              <w:pStyle w:val="TableText"/>
              <w:ind w:left="184"/>
              <w:spacing w:before="68" w:line="219" w:lineRule="auto"/>
              <w:rPr>
                <w:sz w:val="21"/>
                <w:szCs w:val="21"/>
              </w:rPr>
            </w:pPr>
            <w:r>
              <w:rPr>
                <w:sz w:val="21"/>
                <w:szCs w:val="21"/>
                <w:spacing w:val="7"/>
              </w:rPr>
              <w:t>副产品</w:t>
            </w:r>
          </w:p>
        </w:tc>
        <w:tc>
          <w:tcPr>
            <w:tcW w:w="3086" w:type="dxa"/>
            <w:vAlign w:val="top"/>
          </w:tcPr>
          <w:p>
            <w:pPr>
              <w:pStyle w:val="TableText"/>
              <w:ind w:left="1226"/>
              <w:spacing w:before="41" w:line="201" w:lineRule="auto"/>
              <w:rPr>
                <w:sz w:val="21"/>
                <w:szCs w:val="21"/>
              </w:rPr>
            </w:pPr>
            <w:r>
              <w:rPr>
                <w:sz w:val="21"/>
                <w:szCs w:val="21"/>
                <w:spacing w:val="-2"/>
              </w:rPr>
              <w:t>猪皮毛</w:t>
            </w:r>
          </w:p>
        </w:tc>
        <w:tc>
          <w:tcPr>
            <w:tcW w:w="904" w:type="dxa"/>
            <w:vAlign w:val="top"/>
          </w:tcPr>
          <w:p>
            <w:pPr>
              <w:pStyle w:val="TableText"/>
              <w:ind w:left="290"/>
              <w:spacing w:before="61" w:line="183" w:lineRule="auto"/>
              <w:rPr>
                <w:sz w:val="21"/>
                <w:szCs w:val="21"/>
              </w:rPr>
            </w:pPr>
            <w:r>
              <w:rPr>
                <w:sz w:val="21"/>
                <w:szCs w:val="21"/>
                <w:spacing w:val="-3"/>
              </w:rPr>
              <w:t>347</w:t>
            </w:r>
          </w:p>
        </w:tc>
      </w:tr>
      <w:tr>
        <w:trPr>
          <w:trHeight w:val="270" w:hRule="atLeast"/>
        </w:trPr>
        <w:tc>
          <w:tcPr>
            <w:tcW w:w="1283" w:type="dxa"/>
            <w:vAlign w:val="top"/>
            <w:vMerge w:val="continue"/>
            <w:tcBorders>
              <w:top w:val="nil"/>
              <w:bottom w:val="nil"/>
            </w:tcBorders>
          </w:tcPr>
          <w:p>
            <w:pPr>
              <w:rPr>
                <w:rFonts w:ascii="Arial"/>
                <w:sz w:val="21"/>
              </w:rPr>
            </w:pPr>
            <w:r/>
          </w:p>
        </w:tc>
        <w:tc>
          <w:tcPr>
            <w:tcW w:w="1288" w:type="dxa"/>
            <w:vAlign w:val="top"/>
            <w:textDirection w:val="tbRlV"/>
          </w:tcPr>
          <w:p>
            <w:pPr>
              <w:spacing w:line="257" w:lineRule="auto"/>
              <w:rPr>
                <w:rFonts w:ascii="Arial"/>
                <w:sz w:val="21"/>
              </w:rPr>
            </w:pPr>
            <w:r/>
          </w:p>
          <w:p>
            <w:pPr>
              <w:spacing w:line="258" w:lineRule="auto"/>
              <w:rPr>
                <w:rFonts w:ascii="Arial"/>
                <w:sz w:val="21"/>
              </w:rPr>
            </w:pPr>
            <w:r/>
          </w:p>
          <w:p>
            <w:pPr>
              <w:pStyle w:val="TableText"/>
              <w:ind w:left="2"/>
              <w:spacing w:before="70" w:line="137" w:lineRule="exact"/>
              <w:rPr>
                <w:sz w:val="21"/>
                <w:szCs w:val="21"/>
              </w:rPr>
            </w:pPr>
            <w:r>
              <w:rPr>
                <w:sz w:val="21"/>
                <w:szCs w:val="21"/>
                <w:color w:val="404040"/>
                <w:spacing w:val="52"/>
                <w:w w:val="141"/>
                <w:position w:val="-1"/>
              </w:rPr>
              <w:t>/</w:t>
            </w:r>
          </w:p>
        </w:tc>
        <w:tc>
          <w:tcPr>
            <w:tcW w:w="909" w:type="dxa"/>
            <w:vAlign w:val="top"/>
            <w:textDirection w:val="tbRlV"/>
          </w:tcPr>
          <w:p>
            <w:pPr>
              <w:spacing w:line="330" w:lineRule="auto"/>
              <w:rPr>
                <w:rFonts w:ascii="Arial"/>
                <w:sz w:val="21"/>
              </w:rPr>
            </w:pPr>
            <w:r/>
          </w:p>
          <w:p>
            <w:pPr>
              <w:pStyle w:val="TableText"/>
              <w:ind w:left="2"/>
              <w:spacing w:before="70" w:line="137" w:lineRule="exact"/>
              <w:rPr>
                <w:sz w:val="21"/>
                <w:szCs w:val="21"/>
              </w:rPr>
            </w:pPr>
            <w:r>
              <w:rPr>
                <w:sz w:val="21"/>
                <w:szCs w:val="21"/>
                <w:color w:val="404050"/>
                <w:spacing w:val="52"/>
                <w:w w:val="141"/>
                <w:position w:val="-1"/>
              </w:rPr>
              <w:t>/</w:t>
            </w:r>
          </w:p>
        </w:tc>
        <w:tc>
          <w:tcPr>
            <w:tcW w:w="1019" w:type="dxa"/>
            <w:vAlign w:val="top"/>
            <w:vMerge w:val="continue"/>
            <w:tcBorders>
              <w:top w:val="nil"/>
              <w:bottom w:val="nil"/>
            </w:tcBorders>
          </w:tcPr>
          <w:p>
            <w:pPr>
              <w:rPr>
                <w:rFonts w:ascii="Arial"/>
                <w:sz w:val="21"/>
              </w:rPr>
            </w:pPr>
            <w:r/>
          </w:p>
        </w:tc>
        <w:tc>
          <w:tcPr>
            <w:tcW w:w="3086" w:type="dxa"/>
            <w:vAlign w:val="top"/>
          </w:tcPr>
          <w:p>
            <w:pPr>
              <w:pStyle w:val="TableText"/>
              <w:ind w:left="1325"/>
              <w:spacing w:before="30" w:line="202" w:lineRule="auto"/>
              <w:rPr>
                <w:sz w:val="21"/>
                <w:szCs w:val="21"/>
              </w:rPr>
            </w:pPr>
            <w:r>
              <w:rPr>
                <w:sz w:val="21"/>
                <w:szCs w:val="21"/>
                <w:spacing w:val="11"/>
              </w:rPr>
              <w:t>板油</w:t>
            </w:r>
          </w:p>
        </w:tc>
        <w:tc>
          <w:tcPr>
            <w:tcW w:w="904" w:type="dxa"/>
            <w:vAlign w:val="top"/>
          </w:tcPr>
          <w:p>
            <w:pPr>
              <w:pStyle w:val="TableText"/>
              <w:ind w:left="290"/>
              <w:spacing w:before="51" w:line="183" w:lineRule="auto"/>
              <w:rPr>
                <w:sz w:val="21"/>
                <w:szCs w:val="21"/>
              </w:rPr>
            </w:pPr>
            <w:r>
              <w:rPr>
                <w:sz w:val="21"/>
                <w:szCs w:val="21"/>
                <w:spacing w:val="-3"/>
              </w:rPr>
              <w:t>789</w:t>
            </w:r>
          </w:p>
        </w:tc>
      </w:tr>
      <w:tr>
        <w:trPr>
          <w:trHeight w:val="280" w:hRule="atLeast"/>
        </w:trPr>
        <w:tc>
          <w:tcPr>
            <w:tcW w:w="1283" w:type="dxa"/>
            <w:vAlign w:val="top"/>
            <w:vMerge w:val="continue"/>
            <w:tcBorders>
              <w:top w:val="nil"/>
              <w:bottom w:val="nil"/>
            </w:tcBorders>
          </w:tcPr>
          <w:p>
            <w:pPr>
              <w:rPr>
                <w:rFonts w:ascii="Arial"/>
                <w:sz w:val="21"/>
              </w:rPr>
            </w:pPr>
            <w:r/>
          </w:p>
        </w:tc>
        <w:tc>
          <w:tcPr>
            <w:tcW w:w="1288" w:type="dxa"/>
            <w:vAlign w:val="top"/>
          </w:tcPr>
          <w:p>
            <w:pPr>
              <w:pStyle w:val="TableText"/>
              <w:ind w:left="581"/>
              <w:spacing w:before="45" w:line="197" w:lineRule="auto"/>
              <w:rPr>
                <w:sz w:val="21"/>
                <w:szCs w:val="21"/>
              </w:rPr>
            </w:pPr>
            <w:r>
              <w:rPr>
                <w:sz w:val="21"/>
                <w:szCs w:val="21"/>
              </w:rPr>
              <w:t>/</w:t>
            </w:r>
          </w:p>
        </w:tc>
        <w:tc>
          <w:tcPr>
            <w:tcW w:w="909" w:type="dxa"/>
            <w:vAlign w:val="top"/>
          </w:tcPr>
          <w:p>
            <w:pPr>
              <w:pStyle w:val="TableText"/>
              <w:ind w:left="393"/>
              <w:spacing w:before="45" w:line="197" w:lineRule="auto"/>
              <w:rPr>
                <w:sz w:val="21"/>
                <w:szCs w:val="21"/>
              </w:rPr>
            </w:pPr>
            <w:r>
              <w:rPr>
                <w:sz w:val="21"/>
                <w:szCs w:val="21"/>
                <w:color w:val="303050"/>
              </w:rPr>
              <w:t>/</w:t>
            </w:r>
          </w:p>
        </w:tc>
        <w:tc>
          <w:tcPr>
            <w:tcW w:w="1019" w:type="dxa"/>
            <w:vAlign w:val="top"/>
            <w:vMerge w:val="continue"/>
            <w:tcBorders>
              <w:top w:val="nil"/>
              <w:bottom w:val="nil"/>
            </w:tcBorders>
          </w:tcPr>
          <w:p>
            <w:pPr>
              <w:rPr>
                <w:rFonts w:ascii="Arial"/>
                <w:sz w:val="21"/>
              </w:rPr>
            </w:pPr>
            <w:r/>
          </w:p>
        </w:tc>
        <w:tc>
          <w:tcPr>
            <w:tcW w:w="3086" w:type="dxa"/>
            <w:vAlign w:val="top"/>
          </w:tcPr>
          <w:p>
            <w:pPr>
              <w:pStyle w:val="TableText"/>
              <w:ind w:left="1325"/>
              <w:spacing w:before="40" w:line="202" w:lineRule="auto"/>
              <w:rPr>
                <w:sz w:val="21"/>
                <w:szCs w:val="21"/>
              </w:rPr>
            </w:pPr>
            <w:r>
              <w:rPr>
                <w:sz w:val="21"/>
                <w:szCs w:val="21"/>
                <w:spacing w:val="4"/>
              </w:rPr>
              <w:t>内脏</w:t>
            </w:r>
          </w:p>
        </w:tc>
        <w:tc>
          <w:tcPr>
            <w:tcW w:w="904" w:type="dxa"/>
            <w:vAlign w:val="top"/>
          </w:tcPr>
          <w:p>
            <w:pPr>
              <w:pStyle w:val="TableText"/>
              <w:ind w:left="239"/>
              <w:spacing w:before="61" w:line="183" w:lineRule="auto"/>
              <w:rPr>
                <w:sz w:val="21"/>
                <w:szCs w:val="21"/>
              </w:rPr>
            </w:pPr>
            <w:r>
              <w:rPr>
                <w:sz w:val="21"/>
                <w:szCs w:val="21"/>
                <w:spacing w:val="-3"/>
              </w:rPr>
              <w:t>3263</w:t>
            </w:r>
          </w:p>
        </w:tc>
      </w:tr>
      <w:tr>
        <w:trPr>
          <w:trHeight w:val="259" w:hRule="atLeast"/>
        </w:trPr>
        <w:tc>
          <w:tcPr>
            <w:tcW w:w="1283" w:type="dxa"/>
            <w:vAlign w:val="top"/>
            <w:vMerge w:val="continue"/>
            <w:tcBorders>
              <w:top w:val="nil"/>
              <w:bottom w:val="nil"/>
            </w:tcBorders>
          </w:tcPr>
          <w:p>
            <w:pPr>
              <w:rPr>
                <w:rFonts w:ascii="Arial"/>
                <w:sz w:val="21"/>
              </w:rPr>
            </w:pPr>
            <w:r/>
          </w:p>
        </w:tc>
        <w:tc>
          <w:tcPr>
            <w:tcW w:w="1288" w:type="dxa"/>
            <w:vAlign w:val="top"/>
            <w:textDirection w:val="tbRlV"/>
          </w:tcPr>
          <w:p>
            <w:pPr>
              <w:spacing w:line="257" w:lineRule="auto"/>
              <w:rPr>
                <w:rFonts w:ascii="Arial"/>
                <w:sz w:val="21"/>
              </w:rPr>
            </w:pPr>
            <w:r/>
          </w:p>
          <w:p>
            <w:pPr>
              <w:spacing w:line="258" w:lineRule="auto"/>
              <w:rPr>
                <w:rFonts w:ascii="Arial"/>
                <w:sz w:val="21"/>
              </w:rPr>
            </w:pPr>
            <w:r/>
          </w:p>
          <w:p>
            <w:pPr>
              <w:pStyle w:val="TableText"/>
              <w:ind w:left="2"/>
              <w:spacing w:before="70" w:line="137" w:lineRule="exact"/>
              <w:rPr>
                <w:sz w:val="21"/>
                <w:szCs w:val="21"/>
              </w:rPr>
            </w:pPr>
            <w:r>
              <w:rPr>
                <w:sz w:val="21"/>
                <w:szCs w:val="21"/>
                <w:color w:val="404050"/>
                <w:spacing w:val="52"/>
                <w:w w:val="141"/>
                <w:position w:val="-1"/>
              </w:rPr>
              <w:t>/</w:t>
            </w:r>
          </w:p>
        </w:tc>
        <w:tc>
          <w:tcPr>
            <w:tcW w:w="909" w:type="dxa"/>
            <w:vAlign w:val="top"/>
            <w:textDirection w:val="tbRlV"/>
          </w:tcPr>
          <w:p>
            <w:pPr>
              <w:spacing w:line="330" w:lineRule="auto"/>
              <w:rPr>
                <w:rFonts w:ascii="Arial"/>
                <w:sz w:val="21"/>
              </w:rPr>
            </w:pPr>
            <w:r/>
          </w:p>
          <w:p>
            <w:pPr>
              <w:pStyle w:val="TableText"/>
              <w:ind w:left="2"/>
              <w:spacing w:before="70" w:line="137" w:lineRule="exact"/>
              <w:rPr>
                <w:sz w:val="21"/>
                <w:szCs w:val="21"/>
              </w:rPr>
            </w:pPr>
            <w:r>
              <w:rPr>
                <w:sz w:val="21"/>
                <w:szCs w:val="21"/>
                <w:color w:val="404050"/>
                <w:spacing w:val="52"/>
                <w:w w:val="141"/>
                <w:position w:val="-1"/>
              </w:rPr>
              <w:t>/</w:t>
            </w:r>
          </w:p>
        </w:tc>
        <w:tc>
          <w:tcPr>
            <w:tcW w:w="1019" w:type="dxa"/>
            <w:vAlign w:val="top"/>
            <w:vMerge w:val="continue"/>
            <w:tcBorders>
              <w:top w:val="nil"/>
              <w:bottom w:val="nil"/>
            </w:tcBorders>
          </w:tcPr>
          <w:p>
            <w:pPr>
              <w:rPr>
                <w:rFonts w:ascii="Arial"/>
                <w:sz w:val="21"/>
              </w:rPr>
            </w:pPr>
            <w:r/>
          </w:p>
        </w:tc>
        <w:tc>
          <w:tcPr>
            <w:tcW w:w="3086" w:type="dxa"/>
            <w:vAlign w:val="top"/>
          </w:tcPr>
          <w:p>
            <w:pPr>
              <w:pStyle w:val="TableText"/>
              <w:ind w:left="1325"/>
              <w:spacing w:before="31" w:line="191" w:lineRule="auto"/>
              <w:rPr>
                <w:sz w:val="21"/>
                <w:szCs w:val="21"/>
              </w:rPr>
            </w:pPr>
            <w:r>
              <w:rPr>
                <w:sz w:val="21"/>
                <w:szCs w:val="21"/>
                <w:color w:val="506060"/>
                <w:spacing w:val="-3"/>
              </w:rPr>
              <w:t>猪血</w:t>
            </w:r>
          </w:p>
        </w:tc>
        <w:tc>
          <w:tcPr>
            <w:tcW w:w="904" w:type="dxa"/>
            <w:vAlign w:val="top"/>
          </w:tcPr>
          <w:p>
            <w:pPr>
              <w:pStyle w:val="TableText"/>
              <w:ind w:left="239"/>
              <w:spacing w:before="51" w:line="174" w:lineRule="auto"/>
              <w:rPr>
                <w:sz w:val="21"/>
                <w:szCs w:val="21"/>
              </w:rPr>
            </w:pPr>
            <w:r>
              <w:rPr>
                <w:sz w:val="21"/>
                <w:szCs w:val="21"/>
                <w:spacing w:val="-5"/>
              </w:rPr>
              <w:t>1632</w:t>
            </w:r>
          </w:p>
        </w:tc>
      </w:tr>
      <w:tr>
        <w:trPr>
          <w:trHeight w:val="280" w:hRule="atLeast"/>
        </w:trPr>
        <w:tc>
          <w:tcPr>
            <w:tcW w:w="1283" w:type="dxa"/>
            <w:vAlign w:val="top"/>
            <w:vMerge w:val="continue"/>
            <w:tcBorders>
              <w:top w:val="nil"/>
              <w:bottom w:val="nil"/>
            </w:tcBorders>
          </w:tcPr>
          <w:p>
            <w:pPr>
              <w:rPr>
                <w:rFonts w:ascii="Arial"/>
                <w:sz w:val="21"/>
              </w:rPr>
            </w:pPr>
            <w:r/>
          </w:p>
        </w:tc>
        <w:tc>
          <w:tcPr>
            <w:tcW w:w="1288" w:type="dxa"/>
            <w:vAlign w:val="top"/>
            <w:textDirection w:val="tbRlV"/>
          </w:tcPr>
          <w:p>
            <w:pPr>
              <w:spacing w:line="257" w:lineRule="auto"/>
              <w:rPr>
                <w:rFonts w:ascii="Arial"/>
                <w:sz w:val="21"/>
              </w:rPr>
            </w:pPr>
            <w:r/>
          </w:p>
          <w:p>
            <w:pPr>
              <w:spacing w:line="258" w:lineRule="auto"/>
              <w:rPr>
                <w:rFonts w:ascii="Arial"/>
                <w:sz w:val="21"/>
              </w:rPr>
            </w:pPr>
            <w:r/>
          </w:p>
          <w:p>
            <w:pPr>
              <w:pStyle w:val="TableText"/>
              <w:ind w:left="13"/>
              <w:spacing w:before="70" w:line="137" w:lineRule="exact"/>
              <w:rPr>
                <w:sz w:val="21"/>
                <w:szCs w:val="21"/>
              </w:rPr>
            </w:pPr>
            <w:r>
              <w:rPr>
                <w:sz w:val="21"/>
                <w:szCs w:val="21"/>
                <w:color w:val="505050"/>
                <w:spacing w:val="52"/>
                <w:w w:val="141"/>
                <w:position w:val="-1"/>
              </w:rPr>
              <w:t>/</w:t>
            </w:r>
          </w:p>
        </w:tc>
        <w:tc>
          <w:tcPr>
            <w:tcW w:w="909" w:type="dxa"/>
            <w:vAlign w:val="top"/>
            <w:textDirection w:val="tbRlV"/>
          </w:tcPr>
          <w:p>
            <w:pPr>
              <w:spacing w:line="330" w:lineRule="auto"/>
              <w:rPr>
                <w:rFonts w:ascii="Arial"/>
                <w:sz w:val="21"/>
              </w:rPr>
            </w:pPr>
            <w:r/>
          </w:p>
          <w:p>
            <w:pPr>
              <w:pStyle w:val="TableText"/>
              <w:ind w:left="13"/>
              <w:spacing w:before="70" w:line="137" w:lineRule="exact"/>
              <w:rPr>
                <w:sz w:val="21"/>
                <w:szCs w:val="21"/>
              </w:rPr>
            </w:pPr>
            <w:r>
              <w:rPr>
                <w:sz w:val="21"/>
                <w:szCs w:val="21"/>
                <w:color w:val="404050"/>
                <w:spacing w:val="52"/>
                <w:w w:val="141"/>
                <w:position w:val="-1"/>
              </w:rPr>
              <w:t>/</w:t>
            </w:r>
          </w:p>
        </w:tc>
        <w:tc>
          <w:tcPr>
            <w:tcW w:w="1019" w:type="dxa"/>
            <w:vAlign w:val="top"/>
            <w:vMerge w:val="continue"/>
            <w:tcBorders>
              <w:top w:val="nil"/>
            </w:tcBorders>
          </w:tcPr>
          <w:p>
            <w:pPr>
              <w:rPr>
                <w:rFonts w:ascii="Arial"/>
                <w:sz w:val="21"/>
              </w:rPr>
            </w:pPr>
            <w:r/>
          </w:p>
        </w:tc>
        <w:tc>
          <w:tcPr>
            <w:tcW w:w="3086" w:type="dxa"/>
            <w:vAlign w:val="top"/>
          </w:tcPr>
          <w:p>
            <w:pPr>
              <w:pStyle w:val="TableText"/>
              <w:ind w:left="1226"/>
              <w:spacing w:before="41" w:line="201" w:lineRule="auto"/>
              <w:rPr>
                <w:sz w:val="21"/>
                <w:szCs w:val="21"/>
              </w:rPr>
            </w:pPr>
            <w:r>
              <w:rPr>
                <w:sz w:val="21"/>
                <w:szCs w:val="21"/>
                <w:color w:val="505050"/>
                <w:spacing w:val="2"/>
              </w:rPr>
              <w:t>头蹄尾</w:t>
            </w:r>
          </w:p>
        </w:tc>
        <w:tc>
          <w:tcPr>
            <w:tcW w:w="904" w:type="dxa"/>
            <w:vAlign w:val="top"/>
          </w:tcPr>
          <w:p>
            <w:pPr>
              <w:pStyle w:val="TableText"/>
              <w:ind w:left="239"/>
              <w:spacing w:before="62" w:line="182" w:lineRule="auto"/>
              <w:rPr>
                <w:sz w:val="21"/>
                <w:szCs w:val="21"/>
              </w:rPr>
            </w:pPr>
            <w:r>
              <w:rPr>
                <w:sz w:val="21"/>
                <w:szCs w:val="21"/>
                <w:spacing w:val="-5"/>
              </w:rPr>
              <w:t>1895</w:t>
            </w:r>
          </w:p>
        </w:tc>
      </w:tr>
      <w:tr>
        <w:trPr>
          <w:trHeight w:val="260" w:hRule="atLeast"/>
        </w:trPr>
        <w:tc>
          <w:tcPr>
            <w:tcW w:w="1283" w:type="dxa"/>
            <w:vAlign w:val="top"/>
            <w:vMerge w:val="continue"/>
            <w:tcBorders>
              <w:top w:val="nil"/>
              <w:bottom w:val="nil"/>
            </w:tcBorders>
          </w:tcPr>
          <w:p>
            <w:pPr>
              <w:rPr>
                <w:rFonts w:ascii="Arial"/>
                <w:sz w:val="21"/>
              </w:rPr>
            </w:pPr>
            <w:r/>
          </w:p>
        </w:tc>
        <w:tc>
          <w:tcPr>
            <w:tcW w:w="1288" w:type="dxa"/>
            <w:vAlign w:val="top"/>
            <w:textDirection w:val="tbRlV"/>
          </w:tcPr>
          <w:p>
            <w:pPr>
              <w:spacing w:line="257" w:lineRule="auto"/>
              <w:rPr>
                <w:rFonts w:ascii="Arial"/>
                <w:sz w:val="21"/>
              </w:rPr>
            </w:pPr>
            <w:r/>
          </w:p>
          <w:p>
            <w:pPr>
              <w:spacing w:line="258" w:lineRule="auto"/>
              <w:rPr>
                <w:rFonts w:ascii="Arial"/>
                <w:sz w:val="21"/>
              </w:rPr>
            </w:pPr>
            <w:r/>
          </w:p>
          <w:p>
            <w:pPr>
              <w:pStyle w:val="TableText"/>
              <w:ind w:left="3"/>
              <w:spacing w:before="70" w:line="137" w:lineRule="exact"/>
              <w:rPr>
                <w:sz w:val="21"/>
                <w:szCs w:val="21"/>
              </w:rPr>
            </w:pPr>
            <w:r>
              <w:rPr>
                <w:sz w:val="21"/>
                <w:szCs w:val="21"/>
                <w:color w:val="404040"/>
                <w:spacing w:val="52"/>
                <w:w w:val="141"/>
                <w:position w:val="-1"/>
              </w:rPr>
              <w:t>/</w:t>
            </w:r>
          </w:p>
        </w:tc>
        <w:tc>
          <w:tcPr>
            <w:tcW w:w="909" w:type="dxa"/>
            <w:vAlign w:val="top"/>
            <w:textDirection w:val="tbRlV"/>
          </w:tcPr>
          <w:p>
            <w:pPr>
              <w:spacing w:line="330" w:lineRule="auto"/>
              <w:rPr>
                <w:rFonts w:ascii="Arial"/>
                <w:sz w:val="21"/>
              </w:rPr>
            </w:pPr>
            <w:r/>
          </w:p>
          <w:p>
            <w:pPr>
              <w:pStyle w:val="TableText"/>
              <w:ind w:left="3"/>
              <w:spacing w:before="70" w:line="137" w:lineRule="exact"/>
              <w:rPr>
                <w:sz w:val="21"/>
                <w:szCs w:val="21"/>
              </w:rPr>
            </w:pPr>
            <w:r>
              <w:rPr>
                <w:sz w:val="21"/>
                <w:szCs w:val="21"/>
                <w:color w:val="404050"/>
                <w:spacing w:val="52"/>
                <w:w w:val="141"/>
                <w:position w:val="-1"/>
              </w:rPr>
              <w:t>/</w:t>
            </w:r>
          </w:p>
        </w:tc>
        <w:tc>
          <w:tcPr>
            <w:tcW w:w="1019" w:type="dxa"/>
            <w:vAlign w:val="top"/>
            <w:vMerge w:val="restart"/>
            <w:tcBorders>
              <w:bottom w:val="nil"/>
            </w:tcBorders>
          </w:tcPr>
          <w:p>
            <w:pPr>
              <w:spacing w:line="381" w:lineRule="auto"/>
              <w:rPr>
                <w:rFonts w:ascii="Arial"/>
                <w:sz w:val="21"/>
              </w:rPr>
            </w:pPr>
            <w:r/>
          </w:p>
          <w:p>
            <w:pPr>
              <w:pStyle w:val="TableText"/>
              <w:ind w:left="184"/>
              <w:spacing w:before="68" w:line="219" w:lineRule="auto"/>
              <w:rPr>
                <w:sz w:val="21"/>
                <w:szCs w:val="21"/>
              </w:rPr>
            </w:pPr>
            <w:r>
              <w:rPr>
                <w:sz w:val="21"/>
                <w:szCs w:val="21"/>
                <w:spacing w:val="-2"/>
              </w:rPr>
              <w:t>废弃物</w:t>
            </w:r>
          </w:p>
        </w:tc>
        <w:tc>
          <w:tcPr>
            <w:tcW w:w="3086" w:type="dxa"/>
            <w:vAlign w:val="top"/>
          </w:tcPr>
          <w:p>
            <w:pPr>
              <w:pStyle w:val="TableText"/>
              <w:ind w:left="1115"/>
              <w:spacing w:before="31" w:line="192" w:lineRule="auto"/>
              <w:rPr>
                <w:sz w:val="21"/>
                <w:szCs w:val="21"/>
              </w:rPr>
            </w:pPr>
            <w:r>
              <w:rPr>
                <w:sz w:val="21"/>
                <w:szCs w:val="21"/>
                <w:spacing w:val="-2"/>
              </w:rPr>
              <w:t>粪及尿液</w:t>
            </w:r>
          </w:p>
        </w:tc>
        <w:tc>
          <w:tcPr>
            <w:tcW w:w="904" w:type="dxa"/>
            <w:vAlign w:val="top"/>
          </w:tcPr>
          <w:p>
            <w:pPr>
              <w:pStyle w:val="TableText"/>
              <w:ind w:left="290"/>
              <w:spacing w:before="53" w:line="173" w:lineRule="auto"/>
              <w:rPr>
                <w:sz w:val="21"/>
                <w:szCs w:val="21"/>
              </w:rPr>
            </w:pPr>
            <w:r>
              <w:rPr>
                <w:sz w:val="21"/>
                <w:szCs w:val="21"/>
                <w:spacing w:val="-3"/>
              </w:rPr>
              <w:t>974</w:t>
            </w:r>
          </w:p>
        </w:tc>
      </w:tr>
      <w:tr>
        <w:trPr>
          <w:trHeight w:val="269" w:hRule="atLeast"/>
        </w:trPr>
        <w:tc>
          <w:tcPr>
            <w:tcW w:w="1283" w:type="dxa"/>
            <w:vAlign w:val="top"/>
            <w:vMerge w:val="continue"/>
            <w:tcBorders>
              <w:top w:val="nil"/>
              <w:bottom w:val="nil"/>
            </w:tcBorders>
          </w:tcPr>
          <w:p>
            <w:pPr>
              <w:rPr>
                <w:rFonts w:ascii="Arial"/>
                <w:sz w:val="21"/>
              </w:rPr>
            </w:pPr>
            <w:r/>
          </w:p>
        </w:tc>
        <w:tc>
          <w:tcPr>
            <w:tcW w:w="1288" w:type="dxa"/>
            <w:vAlign w:val="top"/>
          </w:tcPr>
          <w:p>
            <w:pPr>
              <w:pStyle w:val="TableText"/>
              <w:ind w:left="581"/>
              <w:spacing w:before="37" w:line="195" w:lineRule="auto"/>
              <w:rPr>
                <w:sz w:val="21"/>
                <w:szCs w:val="21"/>
              </w:rPr>
            </w:pPr>
            <w:r>
              <w:rPr>
                <w:sz w:val="21"/>
                <w:szCs w:val="21"/>
                <w:color w:val="404050"/>
              </w:rPr>
              <w:t>/</w:t>
            </w:r>
          </w:p>
        </w:tc>
        <w:tc>
          <w:tcPr>
            <w:tcW w:w="909" w:type="dxa"/>
            <w:vAlign w:val="top"/>
            <w:textDirection w:val="tbRlV"/>
          </w:tcPr>
          <w:p>
            <w:pPr>
              <w:spacing w:line="330" w:lineRule="auto"/>
              <w:rPr>
                <w:rFonts w:ascii="Arial"/>
                <w:sz w:val="21"/>
              </w:rPr>
            </w:pPr>
            <w:r/>
          </w:p>
          <w:p>
            <w:pPr>
              <w:pStyle w:val="TableText"/>
              <w:ind w:left="3"/>
              <w:spacing w:before="70" w:line="137" w:lineRule="exact"/>
              <w:rPr>
                <w:sz w:val="21"/>
                <w:szCs w:val="21"/>
              </w:rPr>
            </w:pPr>
            <w:r>
              <w:rPr>
                <w:sz w:val="21"/>
                <w:szCs w:val="21"/>
                <w:spacing w:val="52"/>
                <w:w w:val="141"/>
                <w:position w:val="-1"/>
              </w:rPr>
              <w:t>/</w:t>
            </w:r>
          </w:p>
        </w:tc>
        <w:tc>
          <w:tcPr>
            <w:tcW w:w="1019" w:type="dxa"/>
            <w:vAlign w:val="top"/>
            <w:vMerge w:val="continue"/>
            <w:tcBorders>
              <w:top w:val="nil"/>
              <w:bottom w:val="nil"/>
            </w:tcBorders>
          </w:tcPr>
          <w:p>
            <w:pPr>
              <w:rPr>
                <w:rFonts w:ascii="Arial"/>
                <w:sz w:val="21"/>
              </w:rPr>
            </w:pPr>
            <w:r/>
          </w:p>
        </w:tc>
        <w:tc>
          <w:tcPr>
            <w:tcW w:w="3086" w:type="dxa"/>
            <w:vAlign w:val="top"/>
          </w:tcPr>
          <w:p>
            <w:pPr>
              <w:pStyle w:val="TableText"/>
              <w:ind w:left="1115"/>
              <w:spacing w:before="30" w:line="201" w:lineRule="auto"/>
              <w:rPr>
                <w:sz w:val="21"/>
                <w:szCs w:val="21"/>
              </w:rPr>
            </w:pPr>
            <w:r>
              <w:rPr>
                <w:sz w:val="21"/>
                <w:szCs w:val="21"/>
                <w:spacing w:val="2"/>
              </w:rPr>
              <w:t>胃肠容物</w:t>
            </w:r>
          </w:p>
        </w:tc>
        <w:tc>
          <w:tcPr>
            <w:tcW w:w="904" w:type="dxa"/>
            <w:vAlign w:val="top"/>
          </w:tcPr>
          <w:p>
            <w:pPr>
              <w:pStyle w:val="TableText"/>
              <w:ind w:left="239"/>
              <w:spacing w:before="53" w:line="181" w:lineRule="auto"/>
              <w:rPr>
                <w:sz w:val="21"/>
                <w:szCs w:val="21"/>
              </w:rPr>
            </w:pPr>
            <w:r>
              <w:rPr>
                <w:sz w:val="21"/>
                <w:szCs w:val="21"/>
                <w:spacing w:val="-5"/>
              </w:rPr>
              <w:t>1080</w:t>
            </w:r>
          </w:p>
        </w:tc>
      </w:tr>
      <w:tr>
        <w:trPr>
          <w:trHeight w:val="280" w:hRule="atLeast"/>
        </w:trPr>
        <w:tc>
          <w:tcPr>
            <w:tcW w:w="1283" w:type="dxa"/>
            <w:vAlign w:val="top"/>
            <w:vMerge w:val="continue"/>
            <w:tcBorders>
              <w:top w:val="nil"/>
              <w:bottom w:val="nil"/>
            </w:tcBorders>
          </w:tcPr>
          <w:p>
            <w:pPr>
              <w:rPr>
                <w:rFonts w:ascii="Arial"/>
                <w:sz w:val="21"/>
              </w:rPr>
            </w:pPr>
            <w:r/>
          </w:p>
        </w:tc>
        <w:tc>
          <w:tcPr>
            <w:tcW w:w="1288" w:type="dxa"/>
            <w:vAlign w:val="top"/>
            <w:textDirection w:val="tbRlV"/>
          </w:tcPr>
          <w:p>
            <w:pPr>
              <w:spacing w:line="257" w:lineRule="auto"/>
              <w:rPr>
                <w:rFonts w:ascii="Arial"/>
                <w:sz w:val="21"/>
              </w:rPr>
            </w:pPr>
            <w:r/>
          </w:p>
          <w:p>
            <w:pPr>
              <w:spacing w:line="258" w:lineRule="auto"/>
              <w:rPr>
                <w:rFonts w:ascii="Arial"/>
                <w:sz w:val="21"/>
              </w:rPr>
            </w:pPr>
            <w:r/>
          </w:p>
          <w:p>
            <w:pPr>
              <w:pStyle w:val="TableText"/>
              <w:ind w:left="14"/>
              <w:spacing w:before="70" w:line="137" w:lineRule="exact"/>
              <w:rPr>
                <w:sz w:val="21"/>
                <w:szCs w:val="21"/>
              </w:rPr>
            </w:pPr>
            <w:r>
              <w:rPr>
                <w:sz w:val="21"/>
                <w:szCs w:val="21"/>
                <w:spacing w:val="52"/>
                <w:w w:val="141"/>
                <w:position w:val="-1"/>
              </w:rPr>
              <w:t>/</w:t>
            </w:r>
          </w:p>
        </w:tc>
        <w:tc>
          <w:tcPr>
            <w:tcW w:w="909" w:type="dxa"/>
            <w:vAlign w:val="top"/>
            <w:textDirection w:val="tbRlV"/>
          </w:tcPr>
          <w:p>
            <w:pPr>
              <w:spacing w:line="330" w:lineRule="auto"/>
              <w:rPr>
                <w:rFonts w:ascii="Arial"/>
                <w:sz w:val="21"/>
              </w:rPr>
            </w:pPr>
            <w:r/>
          </w:p>
          <w:p>
            <w:pPr>
              <w:pStyle w:val="TableText"/>
              <w:ind w:left="14"/>
              <w:spacing w:before="70" w:line="137" w:lineRule="exact"/>
              <w:rPr>
                <w:sz w:val="21"/>
                <w:szCs w:val="21"/>
              </w:rPr>
            </w:pPr>
            <w:r>
              <w:rPr>
                <w:sz w:val="21"/>
                <w:szCs w:val="21"/>
                <w:color w:val="404050"/>
                <w:spacing w:val="52"/>
                <w:w w:val="141"/>
                <w:position w:val="-1"/>
              </w:rPr>
              <w:t>/</w:t>
            </w:r>
          </w:p>
        </w:tc>
        <w:tc>
          <w:tcPr>
            <w:tcW w:w="1019" w:type="dxa"/>
            <w:vAlign w:val="top"/>
            <w:vMerge w:val="continue"/>
            <w:tcBorders>
              <w:top w:val="nil"/>
              <w:bottom w:val="nil"/>
            </w:tcBorders>
          </w:tcPr>
          <w:p>
            <w:pPr>
              <w:rPr>
                <w:rFonts w:ascii="Arial"/>
                <w:sz w:val="21"/>
              </w:rPr>
            </w:pPr>
            <w:r/>
          </w:p>
        </w:tc>
        <w:tc>
          <w:tcPr>
            <w:tcW w:w="3086" w:type="dxa"/>
            <w:vAlign w:val="top"/>
          </w:tcPr>
          <w:p>
            <w:pPr>
              <w:pStyle w:val="TableText"/>
              <w:ind w:left="386"/>
              <w:spacing w:before="42" w:line="200" w:lineRule="auto"/>
              <w:rPr>
                <w:sz w:val="21"/>
                <w:szCs w:val="21"/>
              </w:rPr>
            </w:pPr>
            <w:r>
              <w:rPr>
                <w:sz w:val="21"/>
                <w:szCs w:val="21"/>
                <w:spacing w:val="-1"/>
              </w:rPr>
              <w:t>疫病猪、病胴体、病内脏</w:t>
            </w:r>
          </w:p>
        </w:tc>
        <w:tc>
          <w:tcPr>
            <w:tcW w:w="904" w:type="dxa"/>
            <w:vAlign w:val="top"/>
          </w:tcPr>
          <w:p>
            <w:pPr>
              <w:pStyle w:val="TableText"/>
              <w:ind w:left="290"/>
              <w:spacing w:before="64" w:line="181" w:lineRule="auto"/>
              <w:rPr>
                <w:sz w:val="21"/>
                <w:szCs w:val="21"/>
              </w:rPr>
            </w:pPr>
            <w:r>
              <w:rPr>
                <w:sz w:val="21"/>
                <w:szCs w:val="21"/>
                <w:spacing w:val="-3"/>
              </w:rPr>
              <w:t>344</w:t>
            </w:r>
          </w:p>
        </w:tc>
      </w:tr>
      <w:tr>
        <w:trPr>
          <w:trHeight w:val="269" w:hRule="atLeast"/>
        </w:trPr>
        <w:tc>
          <w:tcPr>
            <w:tcW w:w="1283" w:type="dxa"/>
            <w:vAlign w:val="top"/>
            <w:vMerge w:val="continue"/>
            <w:tcBorders>
              <w:top w:val="nil"/>
              <w:bottom w:val="nil"/>
            </w:tcBorders>
          </w:tcPr>
          <w:p>
            <w:pPr>
              <w:rPr>
                <w:rFonts w:ascii="Arial"/>
                <w:sz w:val="21"/>
              </w:rPr>
            </w:pPr>
            <w:r/>
          </w:p>
        </w:tc>
        <w:tc>
          <w:tcPr>
            <w:tcW w:w="1288" w:type="dxa"/>
            <w:vAlign w:val="top"/>
            <w:textDirection w:val="tbRlV"/>
          </w:tcPr>
          <w:p>
            <w:pPr>
              <w:spacing w:line="257" w:lineRule="auto"/>
              <w:rPr>
                <w:rFonts w:ascii="Arial"/>
                <w:sz w:val="21"/>
              </w:rPr>
            </w:pPr>
            <w:r/>
          </w:p>
          <w:p>
            <w:pPr>
              <w:spacing w:line="258" w:lineRule="auto"/>
              <w:rPr>
                <w:rFonts w:ascii="Arial"/>
                <w:sz w:val="21"/>
              </w:rPr>
            </w:pPr>
            <w:r/>
          </w:p>
          <w:p>
            <w:pPr>
              <w:pStyle w:val="TableText"/>
              <w:ind w:left="4"/>
              <w:spacing w:before="70" w:line="137" w:lineRule="exact"/>
              <w:rPr>
                <w:sz w:val="21"/>
                <w:szCs w:val="21"/>
              </w:rPr>
            </w:pPr>
            <w:r>
              <w:rPr>
                <w:sz w:val="21"/>
                <w:szCs w:val="21"/>
                <w:color w:val="404050"/>
                <w:spacing w:val="52"/>
                <w:w w:val="141"/>
                <w:position w:val="-1"/>
              </w:rPr>
              <w:t>/</w:t>
            </w:r>
          </w:p>
        </w:tc>
        <w:tc>
          <w:tcPr>
            <w:tcW w:w="909" w:type="dxa"/>
            <w:vAlign w:val="top"/>
          </w:tcPr>
          <w:p>
            <w:pPr>
              <w:pStyle w:val="TableText"/>
              <w:ind w:left="393"/>
              <w:spacing w:before="38" w:line="194" w:lineRule="auto"/>
              <w:rPr>
                <w:sz w:val="21"/>
                <w:szCs w:val="21"/>
              </w:rPr>
            </w:pPr>
            <w:r>
              <w:rPr>
                <w:sz w:val="21"/>
                <w:szCs w:val="21"/>
              </w:rPr>
              <w:t>/</w:t>
            </w:r>
          </w:p>
        </w:tc>
        <w:tc>
          <w:tcPr>
            <w:tcW w:w="1019" w:type="dxa"/>
            <w:vAlign w:val="top"/>
            <w:vMerge w:val="continue"/>
            <w:tcBorders>
              <w:top w:val="nil"/>
            </w:tcBorders>
          </w:tcPr>
          <w:p>
            <w:pPr>
              <w:rPr>
                <w:rFonts w:ascii="Arial"/>
                <w:sz w:val="21"/>
              </w:rPr>
            </w:pPr>
            <w:r/>
          </w:p>
        </w:tc>
        <w:tc>
          <w:tcPr>
            <w:tcW w:w="3086" w:type="dxa"/>
            <w:vAlign w:val="top"/>
          </w:tcPr>
          <w:p>
            <w:pPr>
              <w:pStyle w:val="TableText"/>
              <w:ind w:left="1115"/>
              <w:spacing w:before="32" w:line="199" w:lineRule="auto"/>
              <w:rPr>
                <w:sz w:val="21"/>
                <w:szCs w:val="21"/>
              </w:rPr>
            </w:pPr>
            <w:r>
              <w:rPr>
                <w:sz w:val="21"/>
                <w:szCs w:val="21"/>
                <w:color w:val="000018"/>
                <w:spacing w:val="-2"/>
              </w:rPr>
              <w:t>屠宰废料</w:t>
            </w:r>
          </w:p>
        </w:tc>
        <w:tc>
          <w:tcPr>
            <w:tcW w:w="904" w:type="dxa"/>
            <w:vAlign w:val="top"/>
          </w:tcPr>
          <w:p>
            <w:pPr>
              <w:pStyle w:val="TableText"/>
              <w:ind w:left="290"/>
              <w:spacing w:before="53" w:line="181" w:lineRule="auto"/>
              <w:rPr>
                <w:sz w:val="21"/>
                <w:szCs w:val="21"/>
              </w:rPr>
            </w:pPr>
            <w:r>
              <w:rPr>
                <w:sz w:val="21"/>
                <w:szCs w:val="21"/>
                <w:spacing w:val="-3"/>
              </w:rPr>
              <w:t>220</w:t>
            </w:r>
          </w:p>
        </w:tc>
      </w:tr>
      <w:tr>
        <w:trPr>
          <w:trHeight w:val="270" w:hRule="atLeast"/>
        </w:trPr>
        <w:tc>
          <w:tcPr>
            <w:tcW w:w="1283" w:type="dxa"/>
            <w:vAlign w:val="top"/>
            <w:vMerge w:val="continue"/>
            <w:tcBorders>
              <w:top w:val="nil"/>
            </w:tcBorders>
          </w:tcPr>
          <w:p>
            <w:pPr>
              <w:rPr>
                <w:rFonts w:ascii="Arial"/>
                <w:sz w:val="21"/>
              </w:rPr>
            </w:pPr>
            <w:r/>
          </w:p>
        </w:tc>
        <w:tc>
          <w:tcPr>
            <w:tcW w:w="1288" w:type="dxa"/>
            <w:vAlign w:val="top"/>
          </w:tcPr>
          <w:p>
            <w:pPr>
              <w:pStyle w:val="TableText"/>
              <w:ind w:left="424"/>
              <w:spacing w:before="32" w:line="200" w:lineRule="auto"/>
              <w:rPr>
                <w:sz w:val="21"/>
                <w:szCs w:val="21"/>
              </w:rPr>
            </w:pPr>
            <w:r>
              <w:rPr>
                <w:sz w:val="21"/>
                <w:szCs w:val="21"/>
                <w:b/>
                <w:bCs/>
                <w:spacing w:val="-5"/>
              </w:rPr>
              <w:t>合计</w:t>
            </w:r>
          </w:p>
        </w:tc>
        <w:tc>
          <w:tcPr>
            <w:tcW w:w="909" w:type="dxa"/>
            <w:vAlign w:val="top"/>
          </w:tcPr>
          <w:p>
            <w:pPr>
              <w:pStyle w:val="TableText"/>
              <w:ind w:left="187"/>
              <w:spacing w:before="52" w:line="182" w:lineRule="auto"/>
              <w:rPr>
                <w:sz w:val="21"/>
                <w:szCs w:val="21"/>
              </w:rPr>
            </w:pPr>
            <w:r>
              <w:rPr>
                <w:sz w:val="21"/>
                <w:szCs w:val="21"/>
                <w:b/>
                <w:bCs/>
                <w:spacing w:val="-4"/>
              </w:rPr>
              <w:t>44000</w:t>
            </w:r>
          </w:p>
        </w:tc>
        <w:tc>
          <w:tcPr>
            <w:tcW w:w="4105" w:type="dxa"/>
            <w:vAlign w:val="top"/>
            <w:gridSpan w:val="2"/>
          </w:tcPr>
          <w:p>
            <w:pPr>
              <w:pStyle w:val="TableText"/>
              <w:ind w:left="1837"/>
              <w:spacing w:before="32" w:line="200" w:lineRule="auto"/>
              <w:rPr>
                <w:sz w:val="21"/>
                <w:szCs w:val="21"/>
              </w:rPr>
            </w:pPr>
            <w:r>
              <w:rPr>
                <w:sz w:val="21"/>
                <w:szCs w:val="21"/>
                <w:b/>
                <w:bCs/>
                <w:spacing w:val="-5"/>
              </w:rPr>
              <w:t>合计</w:t>
            </w:r>
          </w:p>
        </w:tc>
        <w:tc>
          <w:tcPr>
            <w:tcW w:w="904" w:type="dxa"/>
            <w:vAlign w:val="top"/>
          </w:tcPr>
          <w:p>
            <w:pPr>
              <w:pStyle w:val="TableText"/>
              <w:ind w:left="182"/>
              <w:spacing w:before="52" w:line="182" w:lineRule="auto"/>
              <w:rPr>
                <w:sz w:val="21"/>
                <w:szCs w:val="21"/>
              </w:rPr>
            </w:pPr>
            <w:r>
              <w:rPr>
                <w:sz w:val="21"/>
                <w:szCs w:val="21"/>
                <w:b/>
                <w:bCs/>
                <w:spacing w:val="-4"/>
              </w:rPr>
              <w:t>44000</w:t>
            </w:r>
          </w:p>
        </w:tc>
      </w:tr>
      <w:tr>
        <w:trPr>
          <w:trHeight w:val="280" w:hRule="atLeast"/>
        </w:trPr>
        <w:tc>
          <w:tcPr>
            <w:shd w:val="clear" w:fill="BDBDBD"/>
            <w:tcW w:w="1283" w:type="dxa"/>
            <w:vAlign w:val="top"/>
            <w:vMerge w:val="restart"/>
            <w:tcBorders>
              <w:bottom w:val="nil"/>
            </w:tcBorders>
          </w:tcPr>
          <w:p>
            <w:pPr>
              <w:pStyle w:val="TableText"/>
              <w:ind w:left="217"/>
              <w:spacing w:before="181" w:line="220" w:lineRule="auto"/>
              <w:rPr>
                <w:sz w:val="21"/>
                <w:szCs w:val="21"/>
              </w:rPr>
            </w:pPr>
            <w:r>
              <w:rPr>
                <w:sz w:val="21"/>
                <w:szCs w:val="21"/>
                <w:b/>
                <w:bCs/>
                <w:spacing w:val="-5"/>
              </w:rPr>
              <w:t>项目名称</w:t>
            </w:r>
          </w:p>
        </w:tc>
        <w:tc>
          <w:tcPr>
            <w:shd w:val="clear" w:fill="BDBDBD"/>
            <w:tcW w:w="2197" w:type="dxa"/>
            <w:vAlign w:val="top"/>
            <w:gridSpan w:val="2"/>
          </w:tcPr>
          <w:p>
            <w:pPr>
              <w:pStyle w:val="TableText"/>
              <w:ind w:left="885"/>
              <w:spacing w:before="41" w:line="201" w:lineRule="auto"/>
              <w:rPr>
                <w:sz w:val="21"/>
                <w:szCs w:val="21"/>
              </w:rPr>
            </w:pPr>
            <w:r>
              <w:rPr>
                <w:sz w:val="21"/>
                <w:szCs w:val="21"/>
                <w:b/>
                <w:bCs/>
                <w:spacing w:val="-5"/>
              </w:rPr>
              <w:t>投入</w:t>
            </w:r>
          </w:p>
        </w:tc>
        <w:tc>
          <w:tcPr>
            <w:shd w:val="clear" w:fill="BDBDBD"/>
            <w:tcW w:w="5009" w:type="dxa"/>
            <w:vAlign w:val="top"/>
            <w:gridSpan w:val="3"/>
          </w:tcPr>
          <w:p>
            <w:pPr>
              <w:pStyle w:val="TableText"/>
              <w:ind w:left="2287"/>
              <w:spacing w:before="40" w:line="202" w:lineRule="auto"/>
              <w:rPr>
                <w:sz w:val="21"/>
                <w:szCs w:val="21"/>
              </w:rPr>
            </w:pPr>
            <w:r>
              <w:rPr>
                <w:sz w:val="21"/>
                <w:szCs w:val="21"/>
                <w:b/>
                <w:bCs/>
                <w:spacing w:val="7"/>
              </w:rPr>
              <w:t>产出</w:t>
            </w:r>
          </w:p>
        </w:tc>
      </w:tr>
      <w:tr>
        <w:trPr>
          <w:trHeight w:val="270" w:hRule="atLeast"/>
        </w:trPr>
        <w:tc>
          <w:tcPr>
            <w:tcW w:w="1283" w:type="dxa"/>
            <w:vAlign w:val="top"/>
            <w:vMerge w:val="continue"/>
            <w:tcBorders>
              <w:top w:val="nil"/>
            </w:tcBorders>
          </w:tcPr>
          <w:p>
            <w:pPr>
              <w:rPr>
                <w:rFonts w:ascii="Arial"/>
                <w:sz w:val="21"/>
              </w:rPr>
            </w:pPr>
            <w:r/>
          </w:p>
        </w:tc>
        <w:tc>
          <w:tcPr>
            <w:shd w:val="clear" w:fill="BDBDBD"/>
            <w:tcW w:w="1288" w:type="dxa"/>
            <w:vAlign w:val="top"/>
          </w:tcPr>
          <w:p>
            <w:pPr>
              <w:pStyle w:val="TableText"/>
              <w:ind w:left="214"/>
              <w:spacing w:before="31" w:line="201" w:lineRule="auto"/>
              <w:rPr>
                <w:sz w:val="21"/>
                <w:szCs w:val="21"/>
              </w:rPr>
            </w:pPr>
            <w:r>
              <w:rPr>
                <w:sz w:val="21"/>
                <w:szCs w:val="21"/>
                <w:b/>
                <w:bCs/>
                <w:spacing w:val="-4"/>
              </w:rPr>
              <w:t>物料名称</w:t>
            </w:r>
          </w:p>
        </w:tc>
        <w:tc>
          <w:tcPr>
            <w:shd w:val="clear" w:fill="BDBDBD"/>
            <w:tcW w:w="909" w:type="dxa"/>
            <w:vAlign w:val="top"/>
          </w:tcPr>
          <w:p>
            <w:pPr>
              <w:pStyle w:val="TableText"/>
              <w:ind w:left="236"/>
              <w:spacing w:before="37" w:line="196" w:lineRule="auto"/>
              <w:rPr>
                <w:sz w:val="21"/>
                <w:szCs w:val="21"/>
              </w:rPr>
            </w:pPr>
            <w:r>
              <w:rPr>
                <w:sz w:val="21"/>
                <w:szCs w:val="21"/>
                <w:b/>
                <w:bCs/>
                <w:spacing w:val="-5"/>
              </w:rPr>
              <w:t>重量</w:t>
            </w:r>
          </w:p>
        </w:tc>
        <w:tc>
          <w:tcPr>
            <w:shd w:val="clear" w:fill="BDBDBD"/>
            <w:tcW w:w="4105" w:type="dxa"/>
            <w:vAlign w:val="top"/>
            <w:gridSpan w:val="2"/>
          </w:tcPr>
          <w:p>
            <w:pPr>
              <w:pStyle w:val="TableText"/>
              <w:ind w:left="1837"/>
              <w:spacing w:before="32" w:line="200" w:lineRule="auto"/>
              <w:rPr>
                <w:sz w:val="21"/>
                <w:szCs w:val="21"/>
              </w:rPr>
            </w:pPr>
            <w:r>
              <w:rPr>
                <w:sz w:val="21"/>
                <w:szCs w:val="21"/>
                <w:b/>
                <w:bCs/>
                <w:spacing w:val="-5"/>
              </w:rPr>
              <w:t>名称</w:t>
            </w:r>
          </w:p>
        </w:tc>
        <w:tc>
          <w:tcPr>
            <w:shd w:val="clear" w:fill="BDBDBD"/>
            <w:tcW w:w="904" w:type="dxa"/>
            <w:vAlign w:val="top"/>
          </w:tcPr>
          <w:p>
            <w:pPr>
              <w:pStyle w:val="TableText"/>
              <w:ind w:left="242"/>
              <w:spacing w:before="37" w:line="196" w:lineRule="auto"/>
              <w:rPr>
                <w:sz w:val="21"/>
                <w:szCs w:val="21"/>
              </w:rPr>
            </w:pPr>
            <w:r>
              <w:rPr>
                <w:sz w:val="21"/>
                <w:szCs w:val="21"/>
                <w:b/>
                <w:bCs/>
                <w:spacing w:val="-5"/>
              </w:rPr>
              <w:t>重量</w:t>
            </w:r>
          </w:p>
        </w:tc>
      </w:tr>
      <w:tr>
        <w:trPr>
          <w:trHeight w:val="269" w:hRule="atLeast"/>
        </w:trPr>
        <w:tc>
          <w:tcPr>
            <w:tcW w:w="1283" w:type="dxa"/>
            <w:vAlign w:val="top"/>
            <w:vMerge w:val="restart"/>
            <w:tcBorders>
              <w:bottom w:val="nil"/>
            </w:tcBorders>
          </w:tcPr>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217"/>
              <w:spacing w:before="68" w:line="219" w:lineRule="auto"/>
              <w:rPr>
                <w:sz w:val="21"/>
                <w:szCs w:val="21"/>
              </w:rPr>
            </w:pPr>
            <w:r>
              <w:rPr>
                <w:sz w:val="21"/>
                <w:szCs w:val="21"/>
                <w:b/>
                <w:bCs/>
              </w:rPr>
              <w:t>肉牛屠宰</w:t>
            </w:r>
          </w:p>
        </w:tc>
        <w:tc>
          <w:tcPr>
            <w:tcW w:w="1288" w:type="dxa"/>
            <w:vAlign w:val="top"/>
          </w:tcPr>
          <w:p>
            <w:pPr>
              <w:pStyle w:val="TableText"/>
              <w:ind w:left="421"/>
              <w:spacing w:before="34" w:line="197" w:lineRule="auto"/>
              <w:rPr>
                <w:sz w:val="21"/>
                <w:szCs w:val="21"/>
              </w:rPr>
            </w:pPr>
            <w:r>
              <w:rPr>
                <w:sz w:val="21"/>
                <w:szCs w:val="21"/>
                <w:color w:val="605060"/>
                <w:spacing w:val="6"/>
              </w:rPr>
              <w:t>肉牛</w:t>
            </w:r>
          </w:p>
        </w:tc>
        <w:tc>
          <w:tcPr>
            <w:tcW w:w="909" w:type="dxa"/>
            <w:vAlign w:val="top"/>
          </w:tcPr>
          <w:p>
            <w:pPr>
              <w:pStyle w:val="TableText"/>
              <w:ind w:left="184"/>
              <w:spacing w:before="54" w:line="180" w:lineRule="auto"/>
              <w:rPr>
                <w:sz w:val="21"/>
                <w:szCs w:val="21"/>
              </w:rPr>
            </w:pPr>
            <w:r>
              <w:rPr>
                <w:sz w:val="21"/>
                <w:szCs w:val="21"/>
                <w:spacing w:val="-2"/>
              </w:rPr>
              <w:t>20000</w:t>
            </w:r>
          </w:p>
        </w:tc>
        <w:tc>
          <w:tcPr>
            <w:tcW w:w="1019" w:type="dxa"/>
            <w:vAlign w:val="top"/>
            <w:vMerge w:val="restart"/>
            <w:tcBorders>
              <w:bottom w:val="nil"/>
            </w:tcBorders>
          </w:tcPr>
          <w:p>
            <w:pPr>
              <w:spacing w:line="383" w:lineRule="auto"/>
              <w:rPr>
                <w:rFonts w:ascii="Arial"/>
                <w:sz w:val="21"/>
              </w:rPr>
            </w:pPr>
            <w:r/>
          </w:p>
          <w:p>
            <w:pPr>
              <w:pStyle w:val="TableText"/>
              <w:ind w:left="184"/>
              <w:spacing w:before="68" w:line="219" w:lineRule="auto"/>
              <w:rPr>
                <w:sz w:val="21"/>
                <w:szCs w:val="21"/>
              </w:rPr>
            </w:pPr>
            <w:r>
              <w:rPr>
                <w:sz w:val="21"/>
                <w:szCs w:val="21"/>
                <w:spacing w:val="7"/>
              </w:rPr>
              <w:t>主产品</w:t>
            </w:r>
          </w:p>
        </w:tc>
        <w:tc>
          <w:tcPr>
            <w:tcW w:w="3086" w:type="dxa"/>
            <w:vAlign w:val="top"/>
          </w:tcPr>
          <w:p>
            <w:pPr>
              <w:pStyle w:val="TableText"/>
              <w:ind w:left="1115"/>
              <w:spacing w:before="33" w:line="198" w:lineRule="auto"/>
              <w:rPr>
                <w:sz w:val="21"/>
                <w:szCs w:val="21"/>
              </w:rPr>
            </w:pPr>
            <w:r>
              <w:rPr>
                <w:sz w:val="21"/>
                <w:szCs w:val="21"/>
                <w:color w:val="606050"/>
                <w:spacing w:val="2"/>
              </w:rPr>
              <w:t>牛四分体</w:t>
            </w:r>
          </w:p>
        </w:tc>
        <w:tc>
          <w:tcPr>
            <w:tcW w:w="904" w:type="dxa"/>
            <w:vAlign w:val="top"/>
          </w:tcPr>
          <w:p>
            <w:pPr>
              <w:pStyle w:val="TableText"/>
              <w:ind w:left="239"/>
              <w:spacing w:before="54" w:line="180" w:lineRule="auto"/>
              <w:rPr>
                <w:sz w:val="21"/>
                <w:szCs w:val="21"/>
              </w:rPr>
            </w:pPr>
            <w:r>
              <w:rPr>
                <w:sz w:val="21"/>
                <w:szCs w:val="21"/>
                <w:spacing w:val="-2"/>
              </w:rPr>
              <w:t>8000</w:t>
            </w:r>
          </w:p>
        </w:tc>
      </w:tr>
      <w:tr>
        <w:trPr>
          <w:trHeight w:val="280" w:hRule="atLeast"/>
        </w:trPr>
        <w:tc>
          <w:tcPr>
            <w:tcW w:w="1283" w:type="dxa"/>
            <w:vAlign w:val="top"/>
            <w:vMerge w:val="continue"/>
            <w:tcBorders>
              <w:top w:val="nil"/>
              <w:bottom w:val="nil"/>
            </w:tcBorders>
          </w:tcPr>
          <w:p>
            <w:pPr>
              <w:rPr>
                <w:rFonts w:ascii="Arial"/>
                <w:sz w:val="21"/>
              </w:rPr>
            </w:pPr>
            <w:r/>
          </w:p>
        </w:tc>
        <w:tc>
          <w:tcPr>
            <w:tcW w:w="1288" w:type="dxa"/>
            <w:vAlign w:val="top"/>
            <w:textDirection w:val="tbRlV"/>
          </w:tcPr>
          <w:p>
            <w:pPr>
              <w:spacing w:line="257" w:lineRule="auto"/>
              <w:rPr>
                <w:rFonts w:ascii="Arial"/>
                <w:sz w:val="21"/>
              </w:rPr>
            </w:pPr>
            <w:r/>
          </w:p>
          <w:p>
            <w:pPr>
              <w:spacing w:line="258" w:lineRule="auto"/>
              <w:rPr>
                <w:rFonts w:ascii="Arial"/>
                <w:sz w:val="21"/>
              </w:rPr>
            </w:pPr>
            <w:r/>
          </w:p>
          <w:p>
            <w:pPr>
              <w:pStyle w:val="TableText"/>
              <w:ind w:left="16"/>
              <w:spacing w:before="70" w:line="137" w:lineRule="exact"/>
              <w:rPr>
                <w:sz w:val="21"/>
                <w:szCs w:val="21"/>
              </w:rPr>
            </w:pPr>
            <w:r>
              <w:rPr>
                <w:sz w:val="21"/>
                <w:szCs w:val="21"/>
                <w:color w:val="404050"/>
                <w:spacing w:val="52"/>
                <w:w w:val="141"/>
                <w:position w:val="-1"/>
              </w:rPr>
              <w:t>/</w:t>
            </w:r>
          </w:p>
        </w:tc>
        <w:tc>
          <w:tcPr>
            <w:tcW w:w="909" w:type="dxa"/>
            <w:vAlign w:val="top"/>
          </w:tcPr>
          <w:p>
            <w:pPr>
              <w:pStyle w:val="TableText"/>
              <w:ind w:left="393"/>
              <w:spacing w:before="50" w:line="193" w:lineRule="auto"/>
              <w:rPr>
                <w:sz w:val="21"/>
                <w:szCs w:val="21"/>
              </w:rPr>
            </w:pPr>
            <w:r>
              <w:rPr>
                <w:sz w:val="21"/>
                <w:szCs w:val="21"/>
              </w:rPr>
              <w:t>/</w:t>
            </w:r>
          </w:p>
        </w:tc>
        <w:tc>
          <w:tcPr>
            <w:tcW w:w="1019" w:type="dxa"/>
            <w:vAlign w:val="top"/>
            <w:vMerge w:val="continue"/>
            <w:tcBorders>
              <w:top w:val="nil"/>
              <w:bottom w:val="nil"/>
            </w:tcBorders>
          </w:tcPr>
          <w:p>
            <w:pPr>
              <w:rPr>
                <w:rFonts w:ascii="Arial"/>
                <w:sz w:val="21"/>
              </w:rPr>
            </w:pPr>
            <w:r/>
          </w:p>
        </w:tc>
        <w:tc>
          <w:tcPr>
            <w:tcW w:w="3086" w:type="dxa"/>
            <w:vAlign w:val="top"/>
          </w:tcPr>
          <w:p>
            <w:pPr>
              <w:pStyle w:val="TableText"/>
              <w:ind w:left="1325"/>
              <w:spacing w:before="44" w:line="198" w:lineRule="auto"/>
              <w:rPr>
                <w:sz w:val="21"/>
                <w:szCs w:val="21"/>
              </w:rPr>
            </w:pPr>
            <w:r>
              <w:rPr>
                <w:sz w:val="21"/>
                <w:szCs w:val="21"/>
                <w:spacing w:val="-3"/>
              </w:rPr>
              <w:t>排骨</w:t>
            </w:r>
          </w:p>
        </w:tc>
        <w:tc>
          <w:tcPr>
            <w:tcW w:w="904" w:type="dxa"/>
            <w:vAlign w:val="top"/>
          </w:tcPr>
          <w:p>
            <w:pPr>
              <w:pStyle w:val="TableText"/>
              <w:ind w:left="239"/>
              <w:spacing w:before="65" w:line="180" w:lineRule="auto"/>
              <w:rPr>
                <w:sz w:val="21"/>
                <w:szCs w:val="21"/>
              </w:rPr>
            </w:pPr>
            <w:r>
              <w:rPr>
                <w:sz w:val="21"/>
                <w:szCs w:val="21"/>
                <w:spacing w:val="-5"/>
              </w:rPr>
              <w:t>1000</w:t>
            </w:r>
          </w:p>
        </w:tc>
      </w:tr>
      <w:tr>
        <w:trPr>
          <w:trHeight w:val="269" w:hRule="atLeast"/>
        </w:trPr>
        <w:tc>
          <w:tcPr>
            <w:tcW w:w="1283" w:type="dxa"/>
            <w:vAlign w:val="top"/>
            <w:vMerge w:val="continue"/>
            <w:tcBorders>
              <w:top w:val="nil"/>
              <w:bottom w:val="nil"/>
            </w:tcBorders>
          </w:tcPr>
          <w:p>
            <w:pPr>
              <w:rPr>
                <w:rFonts w:ascii="Arial"/>
                <w:sz w:val="21"/>
              </w:rPr>
            </w:pPr>
            <w:r/>
          </w:p>
        </w:tc>
        <w:tc>
          <w:tcPr>
            <w:tcW w:w="1288" w:type="dxa"/>
            <w:vAlign w:val="top"/>
            <w:textDirection w:val="tbRlV"/>
          </w:tcPr>
          <w:p>
            <w:pPr>
              <w:spacing w:line="257" w:lineRule="auto"/>
              <w:rPr>
                <w:rFonts w:ascii="Arial"/>
                <w:sz w:val="21"/>
              </w:rPr>
            </w:pPr>
            <w:r/>
          </w:p>
          <w:p>
            <w:pPr>
              <w:spacing w:line="258" w:lineRule="auto"/>
              <w:rPr>
                <w:rFonts w:ascii="Arial"/>
                <w:sz w:val="21"/>
              </w:rPr>
            </w:pPr>
            <w:r/>
          </w:p>
          <w:p>
            <w:pPr>
              <w:pStyle w:val="TableText"/>
              <w:ind w:left="6"/>
              <w:spacing w:before="70" w:line="137" w:lineRule="exact"/>
              <w:rPr>
                <w:sz w:val="21"/>
                <w:szCs w:val="21"/>
              </w:rPr>
            </w:pPr>
            <w:r>
              <w:rPr>
                <w:sz w:val="21"/>
                <w:szCs w:val="21"/>
                <w:color w:val="404050"/>
                <w:spacing w:val="52"/>
                <w:w w:val="141"/>
                <w:position w:val="-1"/>
              </w:rPr>
              <w:t>/</w:t>
            </w:r>
          </w:p>
        </w:tc>
        <w:tc>
          <w:tcPr>
            <w:tcW w:w="909" w:type="dxa"/>
            <w:vAlign w:val="top"/>
          </w:tcPr>
          <w:p>
            <w:pPr>
              <w:pStyle w:val="TableText"/>
              <w:ind w:left="393"/>
              <w:spacing w:before="40" w:line="192" w:lineRule="auto"/>
              <w:rPr>
                <w:sz w:val="21"/>
                <w:szCs w:val="21"/>
              </w:rPr>
            </w:pPr>
            <w:r>
              <w:rPr>
                <w:sz w:val="21"/>
                <w:szCs w:val="21"/>
              </w:rPr>
              <w:t>/</w:t>
            </w:r>
          </w:p>
        </w:tc>
        <w:tc>
          <w:tcPr>
            <w:tcW w:w="1019" w:type="dxa"/>
            <w:vAlign w:val="top"/>
            <w:vMerge w:val="continue"/>
            <w:tcBorders>
              <w:top w:val="nil"/>
              <w:bottom w:val="nil"/>
            </w:tcBorders>
          </w:tcPr>
          <w:p>
            <w:pPr>
              <w:rPr>
                <w:rFonts w:ascii="Arial"/>
                <w:sz w:val="21"/>
              </w:rPr>
            </w:pPr>
            <w:r/>
          </w:p>
        </w:tc>
        <w:tc>
          <w:tcPr>
            <w:tcW w:w="3086" w:type="dxa"/>
            <w:vAlign w:val="top"/>
          </w:tcPr>
          <w:p>
            <w:pPr>
              <w:pStyle w:val="TableText"/>
              <w:ind w:left="1325"/>
              <w:spacing w:before="34" w:line="197" w:lineRule="auto"/>
              <w:rPr>
                <w:sz w:val="21"/>
                <w:szCs w:val="21"/>
              </w:rPr>
            </w:pPr>
            <w:r>
              <w:rPr>
                <w:sz w:val="21"/>
                <w:szCs w:val="21"/>
                <w:color w:val="404050"/>
                <w:spacing w:val="5"/>
              </w:rPr>
              <w:t>筒骨</w:t>
            </w:r>
          </w:p>
        </w:tc>
        <w:tc>
          <w:tcPr>
            <w:tcW w:w="904" w:type="dxa"/>
            <w:vAlign w:val="top"/>
          </w:tcPr>
          <w:p>
            <w:pPr>
              <w:pStyle w:val="TableText"/>
              <w:ind w:left="290"/>
              <w:spacing w:before="55" w:line="179" w:lineRule="auto"/>
              <w:rPr>
                <w:sz w:val="21"/>
                <w:szCs w:val="21"/>
              </w:rPr>
            </w:pPr>
            <w:r>
              <w:rPr>
                <w:sz w:val="21"/>
                <w:szCs w:val="21"/>
                <w:spacing w:val="-3"/>
              </w:rPr>
              <w:t>800</w:t>
            </w:r>
          </w:p>
        </w:tc>
      </w:tr>
      <w:tr>
        <w:trPr>
          <w:trHeight w:val="260" w:hRule="atLeast"/>
        </w:trPr>
        <w:tc>
          <w:tcPr>
            <w:tcW w:w="1283" w:type="dxa"/>
            <w:vAlign w:val="top"/>
            <w:vMerge w:val="continue"/>
            <w:tcBorders>
              <w:top w:val="nil"/>
              <w:bottom w:val="nil"/>
            </w:tcBorders>
          </w:tcPr>
          <w:p>
            <w:pPr>
              <w:rPr>
                <w:rFonts w:ascii="Arial"/>
                <w:sz w:val="21"/>
              </w:rPr>
            </w:pPr>
            <w:r/>
          </w:p>
        </w:tc>
        <w:tc>
          <w:tcPr>
            <w:tcW w:w="1288" w:type="dxa"/>
            <w:vAlign w:val="top"/>
            <w:textDirection w:val="tbRlV"/>
          </w:tcPr>
          <w:p>
            <w:pPr>
              <w:spacing w:line="257" w:lineRule="auto"/>
              <w:rPr>
                <w:rFonts w:ascii="Arial"/>
                <w:sz w:val="21"/>
              </w:rPr>
            </w:pPr>
            <w:r/>
          </w:p>
          <w:p>
            <w:pPr>
              <w:spacing w:line="258" w:lineRule="auto"/>
              <w:rPr>
                <w:rFonts w:ascii="Arial"/>
                <w:sz w:val="21"/>
              </w:rPr>
            </w:pPr>
            <w:r/>
          </w:p>
          <w:p>
            <w:pPr>
              <w:pStyle w:val="TableText"/>
              <w:ind w:left="7"/>
              <w:spacing w:before="70" w:line="137" w:lineRule="exact"/>
              <w:rPr>
                <w:sz w:val="21"/>
                <w:szCs w:val="21"/>
              </w:rPr>
            </w:pPr>
            <w:r>
              <w:rPr>
                <w:sz w:val="21"/>
                <w:szCs w:val="21"/>
                <w:color w:val="404040"/>
                <w:spacing w:val="52"/>
                <w:w w:val="141"/>
                <w:position w:val="-1"/>
              </w:rPr>
              <w:t>/</w:t>
            </w:r>
          </w:p>
        </w:tc>
        <w:tc>
          <w:tcPr>
            <w:tcW w:w="909" w:type="dxa"/>
            <w:vAlign w:val="top"/>
          </w:tcPr>
          <w:p>
            <w:pPr>
              <w:pStyle w:val="TableText"/>
              <w:ind w:left="393"/>
              <w:spacing w:before="40" w:line="184" w:lineRule="auto"/>
              <w:rPr>
                <w:sz w:val="21"/>
                <w:szCs w:val="21"/>
              </w:rPr>
            </w:pPr>
            <w:r>
              <w:rPr>
                <w:sz w:val="21"/>
                <w:szCs w:val="21"/>
              </w:rPr>
              <w:t>/</w:t>
            </w:r>
          </w:p>
        </w:tc>
        <w:tc>
          <w:tcPr>
            <w:tcW w:w="1019" w:type="dxa"/>
            <w:vAlign w:val="top"/>
            <w:vMerge w:val="continue"/>
            <w:tcBorders>
              <w:top w:val="nil"/>
            </w:tcBorders>
          </w:tcPr>
          <w:p>
            <w:pPr>
              <w:rPr>
                <w:rFonts w:ascii="Arial"/>
                <w:sz w:val="21"/>
              </w:rPr>
            </w:pPr>
            <w:r/>
          </w:p>
        </w:tc>
        <w:tc>
          <w:tcPr>
            <w:tcW w:w="3086" w:type="dxa"/>
            <w:vAlign w:val="top"/>
          </w:tcPr>
          <w:p>
            <w:pPr>
              <w:pStyle w:val="TableText"/>
              <w:ind w:left="1325"/>
              <w:spacing w:before="35" w:line="189" w:lineRule="auto"/>
              <w:rPr>
                <w:sz w:val="21"/>
                <w:szCs w:val="21"/>
              </w:rPr>
            </w:pPr>
            <w:r>
              <w:rPr>
                <w:sz w:val="21"/>
                <w:szCs w:val="21"/>
                <w:spacing w:val="6"/>
              </w:rPr>
              <w:t>牛脚</w:t>
            </w:r>
          </w:p>
        </w:tc>
        <w:tc>
          <w:tcPr>
            <w:tcW w:w="904" w:type="dxa"/>
            <w:vAlign w:val="top"/>
          </w:tcPr>
          <w:p>
            <w:pPr>
              <w:pStyle w:val="TableText"/>
              <w:ind w:left="290"/>
              <w:spacing w:before="56" w:line="170" w:lineRule="auto"/>
              <w:rPr>
                <w:sz w:val="21"/>
                <w:szCs w:val="21"/>
              </w:rPr>
            </w:pPr>
            <w:r>
              <w:rPr>
                <w:sz w:val="21"/>
                <w:szCs w:val="21"/>
                <w:spacing w:val="-3"/>
              </w:rPr>
              <w:t>600</w:t>
            </w:r>
          </w:p>
        </w:tc>
      </w:tr>
      <w:tr>
        <w:trPr>
          <w:trHeight w:val="269" w:hRule="atLeast"/>
        </w:trPr>
        <w:tc>
          <w:tcPr>
            <w:tcW w:w="1283" w:type="dxa"/>
            <w:vAlign w:val="top"/>
            <w:vMerge w:val="continue"/>
            <w:tcBorders>
              <w:top w:val="nil"/>
              <w:bottom w:val="nil"/>
            </w:tcBorders>
          </w:tcPr>
          <w:p>
            <w:pPr>
              <w:rPr>
                <w:rFonts w:ascii="Arial"/>
                <w:sz w:val="21"/>
              </w:rPr>
            </w:pPr>
            <w:r/>
          </w:p>
        </w:tc>
        <w:tc>
          <w:tcPr>
            <w:tcW w:w="1288" w:type="dxa"/>
            <w:vAlign w:val="top"/>
            <w:textDirection w:val="tbRlV"/>
          </w:tcPr>
          <w:p>
            <w:pPr>
              <w:spacing w:line="257" w:lineRule="auto"/>
              <w:rPr>
                <w:rFonts w:ascii="Arial"/>
                <w:sz w:val="21"/>
              </w:rPr>
            </w:pPr>
            <w:r/>
          </w:p>
          <w:p>
            <w:pPr>
              <w:spacing w:line="258" w:lineRule="auto"/>
              <w:rPr>
                <w:rFonts w:ascii="Arial"/>
                <w:sz w:val="21"/>
              </w:rPr>
            </w:pPr>
            <w:r/>
          </w:p>
          <w:p>
            <w:pPr>
              <w:pStyle w:val="TableText"/>
              <w:ind w:left="7"/>
              <w:spacing w:before="70" w:line="137" w:lineRule="exact"/>
              <w:rPr>
                <w:sz w:val="21"/>
                <w:szCs w:val="21"/>
              </w:rPr>
            </w:pPr>
            <w:r>
              <w:rPr>
                <w:sz w:val="21"/>
                <w:szCs w:val="21"/>
                <w:color w:val="404050"/>
                <w:spacing w:val="52"/>
                <w:w w:val="141"/>
                <w:position w:val="-1"/>
              </w:rPr>
              <w:t>/</w:t>
            </w:r>
          </w:p>
        </w:tc>
        <w:tc>
          <w:tcPr>
            <w:tcW w:w="909" w:type="dxa"/>
            <w:vAlign w:val="top"/>
            <w:textDirection w:val="tbRlV"/>
          </w:tcPr>
          <w:p>
            <w:pPr>
              <w:spacing w:line="330" w:lineRule="auto"/>
              <w:rPr>
                <w:rFonts w:ascii="Arial"/>
                <w:sz w:val="21"/>
              </w:rPr>
            </w:pPr>
            <w:r/>
          </w:p>
          <w:p>
            <w:pPr>
              <w:pStyle w:val="TableText"/>
              <w:ind w:left="7"/>
              <w:spacing w:before="70" w:line="137" w:lineRule="exact"/>
              <w:rPr>
                <w:sz w:val="21"/>
                <w:szCs w:val="21"/>
              </w:rPr>
            </w:pPr>
            <w:r>
              <w:rPr>
                <w:sz w:val="21"/>
                <w:szCs w:val="21"/>
                <w:color w:val="303040"/>
                <w:spacing w:val="52"/>
                <w:w w:val="141"/>
                <w:position w:val="-1"/>
              </w:rPr>
              <w:t>/</w:t>
            </w:r>
          </w:p>
        </w:tc>
        <w:tc>
          <w:tcPr>
            <w:tcW w:w="1019" w:type="dxa"/>
            <w:vAlign w:val="top"/>
            <w:vMerge w:val="restart"/>
            <w:tcBorders>
              <w:bottom w:val="nil"/>
            </w:tcBorders>
          </w:tcPr>
          <w:p>
            <w:pPr>
              <w:spacing w:line="267" w:lineRule="auto"/>
              <w:rPr>
                <w:rFonts w:ascii="Arial"/>
                <w:sz w:val="21"/>
              </w:rPr>
            </w:pPr>
            <w:r/>
          </w:p>
          <w:p>
            <w:pPr>
              <w:spacing w:line="267" w:lineRule="auto"/>
              <w:rPr>
                <w:rFonts w:ascii="Arial"/>
                <w:sz w:val="21"/>
              </w:rPr>
            </w:pPr>
            <w:r/>
          </w:p>
          <w:p>
            <w:pPr>
              <w:pStyle w:val="TableText"/>
              <w:ind w:left="184"/>
              <w:spacing w:before="68" w:line="219" w:lineRule="auto"/>
              <w:rPr>
                <w:sz w:val="21"/>
                <w:szCs w:val="21"/>
              </w:rPr>
            </w:pPr>
            <w:r>
              <w:rPr>
                <w:sz w:val="21"/>
                <w:szCs w:val="21"/>
                <w:spacing w:val="7"/>
              </w:rPr>
              <w:t>副产品</w:t>
            </w:r>
          </w:p>
        </w:tc>
        <w:tc>
          <w:tcPr>
            <w:tcW w:w="3086" w:type="dxa"/>
            <w:vAlign w:val="top"/>
          </w:tcPr>
          <w:p>
            <w:pPr>
              <w:pStyle w:val="TableText"/>
              <w:ind w:left="1226"/>
              <w:spacing w:before="36" w:line="196" w:lineRule="auto"/>
              <w:rPr>
                <w:sz w:val="21"/>
                <w:szCs w:val="21"/>
              </w:rPr>
            </w:pPr>
            <w:r>
              <w:rPr>
                <w:sz w:val="21"/>
                <w:szCs w:val="21"/>
                <w:spacing w:val="3"/>
              </w:rPr>
              <w:t>牛皮毛</w:t>
            </w:r>
          </w:p>
        </w:tc>
        <w:tc>
          <w:tcPr>
            <w:tcW w:w="904" w:type="dxa"/>
            <w:vAlign w:val="top"/>
          </w:tcPr>
          <w:p>
            <w:pPr>
              <w:pStyle w:val="TableText"/>
              <w:ind w:left="290"/>
              <w:spacing w:before="56" w:line="178" w:lineRule="auto"/>
              <w:rPr>
                <w:sz w:val="21"/>
                <w:szCs w:val="21"/>
              </w:rPr>
            </w:pPr>
            <w:r>
              <w:rPr>
                <w:sz w:val="21"/>
                <w:szCs w:val="21"/>
                <w:spacing w:val="-2"/>
              </w:rPr>
              <w:t>400</w:t>
            </w:r>
          </w:p>
        </w:tc>
      </w:tr>
      <w:tr>
        <w:trPr>
          <w:trHeight w:val="280" w:hRule="atLeast"/>
        </w:trPr>
        <w:tc>
          <w:tcPr>
            <w:tcW w:w="1283" w:type="dxa"/>
            <w:vAlign w:val="top"/>
            <w:vMerge w:val="continue"/>
            <w:tcBorders>
              <w:top w:val="nil"/>
              <w:bottom w:val="nil"/>
            </w:tcBorders>
          </w:tcPr>
          <w:p>
            <w:pPr>
              <w:rPr>
                <w:rFonts w:ascii="Arial"/>
                <w:sz w:val="21"/>
              </w:rPr>
            </w:pPr>
            <w:r/>
          </w:p>
        </w:tc>
        <w:tc>
          <w:tcPr>
            <w:tcW w:w="1288" w:type="dxa"/>
            <w:vAlign w:val="top"/>
          </w:tcPr>
          <w:p>
            <w:pPr>
              <w:pStyle w:val="TableText"/>
              <w:ind w:left="581"/>
              <w:spacing w:before="52" w:line="191" w:lineRule="auto"/>
              <w:rPr>
                <w:sz w:val="21"/>
                <w:szCs w:val="21"/>
              </w:rPr>
            </w:pPr>
            <w:r>
              <w:rPr>
                <w:sz w:val="21"/>
                <w:szCs w:val="21"/>
              </w:rPr>
              <w:t>/</w:t>
            </w:r>
          </w:p>
        </w:tc>
        <w:tc>
          <w:tcPr>
            <w:tcW w:w="909" w:type="dxa"/>
            <w:vAlign w:val="top"/>
          </w:tcPr>
          <w:p>
            <w:pPr>
              <w:pStyle w:val="TableText"/>
              <w:ind w:left="393"/>
              <w:spacing w:before="52" w:line="191" w:lineRule="auto"/>
              <w:rPr>
                <w:sz w:val="21"/>
                <w:szCs w:val="21"/>
              </w:rPr>
            </w:pPr>
            <w:r>
              <w:rPr>
                <w:sz w:val="21"/>
                <w:szCs w:val="21"/>
              </w:rPr>
              <w:t>/</w:t>
            </w:r>
          </w:p>
        </w:tc>
        <w:tc>
          <w:tcPr>
            <w:tcW w:w="1019" w:type="dxa"/>
            <w:vAlign w:val="top"/>
            <w:vMerge w:val="continue"/>
            <w:tcBorders>
              <w:top w:val="nil"/>
              <w:bottom w:val="nil"/>
            </w:tcBorders>
          </w:tcPr>
          <w:p>
            <w:pPr>
              <w:rPr>
                <w:rFonts w:ascii="Arial"/>
                <w:sz w:val="21"/>
              </w:rPr>
            </w:pPr>
            <w:r/>
          </w:p>
        </w:tc>
        <w:tc>
          <w:tcPr>
            <w:tcW w:w="3086" w:type="dxa"/>
            <w:vAlign w:val="top"/>
          </w:tcPr>
          <w:p>
            <w:pPr>
              <w:pStyle w:val="TableText"/>
              <w:ind w:left="1325"/>
              <w:spacing w:before="48" w:line="195" w:lineRule="auto"/>
              <w:rPr>
                <w:sz w:val="21"/>
                <w:szCs w:val="21"/>
              </w:rPr>
            </w:pPr>
            <w:r>
              <w:rPr>
                <w:sz w:val="21"/>
                <w:szCs w:val="21"/>
                <w:spacing w:val="11"/>
              </w:rPr>
              <w:t>牛油</w:t>
            </w:r>
          </w:p>
        </w:tc>
        <w:tc>
          <w:tcPr>
            <w:tcW w:w="904" w:type="dxa"/>
            <w:vAlign w:val="top"/>
          </w:tcPr>
          <w:p>
            <w:pPr>
              <w:pStyle w:val="TableText"/>
              <w:ind w:left="290"/>
              <w:spacing w:before="67" w:line="178" w:lineRule="auto"/>
              <w:rPr>
                <w:sz w:val="21"/>
                <w:szCs w:val="21"/>
              </w:rPr>
            </w:pPr>
            <w:r>
              <w:rPr>
                <w:sz w:val="21"/>
                <w:szCs w:val="21"/>
                <w:spacing w:val="-3"/>
              </w:rPr>
              <w:t>200</w:t>
            </w:r>
          </w:p>
        </w:tc>
      </w:tr>
      <w:tr>
        <w:trPr>
          <w:trHeight w:val="270" w:hRule="atLeast"/>
        </w:trPr>
        <w:tc>
          <w:tcPr>
            <w:tcW w:w="1283" w:type="dxa"/>
            <w:vAlign w:val="top"/>
            <w:vMerge w:val="continue"/>
            <w:tcBorders>
              <w:top w:val="nil"/>
              <w:bottom w:val="nil"/>
            </w:tcBorders>
          </w:tcPr>
          <w:p>
            <w:pPr>
              <w:rPr>
                <w:rFonts w:ascii="Arial"/>
                <w:sz w:val="21"/>
              </w:rPr>
            </w:pPr>
            <w:r/>
          </w:p>
        </w:tc>
        <w:tc>
          <w:tcPr>
            <w:tcW w:w="1288" w:type="dxa"/>
            <w:vAlign w:val="top"/>
            <w:textDirection w:val="tbRlV"/>
          </w:tcPr>
          <w:p>
            <w:pPr>
              <w:spacing w:line="257" w:lineRule="auto"/>
              <w:rPr>
                <w:rFonts w:ascii="Arial"/>
                <w:sz w:val="21"/>
              </w:rPr>
            </w:pPr>
            <w:r/>
          </w:p>
          <w:p>
            <w:pPr>
              <w:spacing w:line="258" w:lineRule="auto"/>
              <w:rPr>
                <w:rFonts w:ascii="Arial"/>
                <w:sz w:val="21"/>
              </w:rPr>
            </w:pPr>
            <w:r/>
          </w:p>
          <w:p>
            <w:pPr>
              <w:pStyle w:val="TableText"/>
              <w:ind w:left="8"/>
              <w:spacing w:before="70" w:line="137" w:lineRule="exact"/>
              <w:rPr>
                <w:sz w:val="21"/>
                <w:szCs w:val="21"/>
              </w:rPr>
            </w:pPr>
            <w:r>
              <w:rPr>
                <w:sz w:val="21"/>
                <w:szCs w:val="21"/>
                <w:color w:val="404050"/>
                <w:spacing w:val="52"/>
                <w:w w:val="141"/>
                <w:position w:val="-1"/>
              </w:rPr>
              <w:t>/</w:t>
            </w:r>
          </w:p>
        </w:tc>
        <w:tc>
          <w:tcPr>
            <w:tcW w:w="909" w:type="dxa"/>
            <w:vAlign w:val="top"/>
            <w:textDirection w:val="tbRlV"/>
          </w:tcPr>
          <w:p>
            <w:pPr>
              <w:spacing w:line="330" w:lineRule="auto"/>
              <w:rPr>
                <w:rFonts w:ascii="Arial"/>
                <w:sz w:val="21"/>
              </w:rPr>
            </w:pPr>
            <w:r/>
          </w:p>
          <w:p>
            <w:pPr>
              <w:pStyle w:val="TableText"/>
              <w:ind w:left="8"/>
              <w:spacing w:before="70" w:line="137" w:lineRule="exact"/>
              <w:rPr>
                <w:sz w:val="21"/>
                <w:szCs w:val="21"/>
              </w:rPr>
            </w:pPr>
            <w:r>
              <w:rPr>
                <w:sz w:val="21"/>
                <w:szCs w:val="21"/>
                <w:spacing w:val="52"/>
                <w:w w:val="141"/>
                <w:position w:val="-1"/>
              </w:rPr>
              <w:t>/</w:t>
            </w:r>
          </w:p>
        </w:tc>
        <w:tc>
          <w:tcPr>
            <w:tcW w:w="1019" w:type="dxa"/>
            <w:vAlign w:val="top"/>
            <w:vMerge w:val="continue"/>
            <w:tcBorders>
              <w:top w:val="nil"/>
              <w:bottom w:val="nil"/>
            </w:tcBorders>
          </w:tcPr>
          <w:p>
            <w:pPr>
              <w:rPr>
                <w:rFonts w:ascii="Arial"/>
                <w:sz w:val="21"/>
              </w:rPr>
            </w:pPr>
            <w:r/>
          </w:p>
        </w:tc>
        <w:tc>
          <w:tcPr>
            <w:tcW w:w="3086" w:type="dxa"/>
            <w:vAlign w:val="top"/>
          </w:tcPr>
          <w:p>
            <w:pPr>
              <w:pStyle w:val="TableText"/>
              <w:ind w:left="1325"/>
              <w:spacing w:before="37" w:line="196" w:lineRule="auto"/>
              <w:rPr>
                <w:sz w:val="21"/>
                <w:szCs w:val="21"/>
              </w:rPr>
            </w:pPr>
            <w:r>
              <w:rPr>
                <w:sz w:val="21"/>
                <w:szCs w:val="21"/>
                <w:spacing w:val="4"/>
              </w:rPr>
              <w:t>内脏</w:t>
            </w:r>
          </w:p>
        </w:tc>
        <w:tc>
          <w:tcPr>
            <w:tcW w:w="904" w:type="dxa"/>
            <w:vAlign w:val="top"/>
          </w:tcPr>
          <w:p>
            <w:pPr>
              <w:pStyle w:val="TableText"/>
              <w:ind w:left="239"/>
              <w:spacing w:before="57" w:line="178" w:lineRule="auto"/>
              <w:rPr>
                <w:sz w:val="21"/>
                <w:szCs w:val="21"/>
              </w:rPr>
            </w:pPr>
            <w:r>
              <w:rPr>
                <w:sz w:val="21"/>
                <w:szCs w:val="21"/>
                <w:spacing w:val="-3"/>
              </w:rPr>
              <w:t>5000</w:t>
            </w:r>
          </w:p>
        </w:tc>
      </w:tr>
      <w:tr>
        <w:trPr>
          <w:trHeight w:val="270" w:hRule="atLeast"/>
        </w:trPr>
        <w:tc>
          <w:tcPr>
            <w:tcW w:w="1283" w:type="dxa"/>
            <w:vAlign w:val="top"/>
            <w:vMerge w:val="continue"/>
            <w:tcBorders>
              <w:top w:val="nil"/>
              <w:bottom w:val="nil"/>
            </w:tcBorders>
          </w:tcPr>
          <w:p>
            <w:pPr>
              <w:rPr>
                <w:rFonts w:ascii="Arial"/>
                <w:sz w:val="21"/>
              </w:rPr>
            </w:pPr>
            <w:r/>
          </w:p>
        </w:tc>
        <w:tc>
          <w:tcPr>
            <w:tcW w:w="1288" w:type="dxa"/>
            <w:vAlign w:val="top"/>
          </w:tcPr>
          <w:p>
            <w:pPr>
              <w:pStyle w:val="TableText"/>
              <w:ind w:left="581"/>
              <w:spacing w:before="42" w:line="191" w:lineRule="auto"/>
              <w:rPr>
                <w:sz w:val="21"/>
                <w:szCs w:val="21"/>
              </w:rPr>
            </w:pPr>
            <w:r>
              <w:rPr>
                <w:sz w:val="21"/>
                <w:szCs w:val="21"/>
              </w:rPr>
              <w:t>/</w:t>
            </w:r>
          </w:p>
        </w:tc>
        <w:tc>
          <w:tcPr>
            <w:tcW w:w="909" w:type="dxa"/>
            <w:vAlign w:val="top"/>
            <w:textDirection w:val="tbRlV"/>
          </w:tcPr>
          <w:p>
            <w:pPr>
              <w:spacing w:line="330" w:lineRule="auto"/>
              <w:rPr>
                <w:rFonts w:ascii="Arial"/>
                <w:sz w:val="21"/>
              </w:rPr>
            </w:pPr>
            <w:r/>
          </w:p>
          <w:p>
            <w:pPr>
              <w:pStyle w:val="TableText"/>
              <w:ind w:left="8"/>
              <w:spacing w:before="70" w:line="137" w:lineRule="exact"/>
              <w:rPr>
                <w:sz w:val="21"/>
                <w:szCs w:val="21"/>
              </w:rPr>
            </w:pPr>
            <w:r>
              <w:rPr>
                <w:sz w:val="21"/>
                <w:szCs w:val="21"/>
                <w:spacing w:val="52"/>
                <w:w w:val="141"/>
                <w:position w:val="-1"/>
              </w:rPr>
              <w:t>/</w:t>
            </w:r>
          </w:p>
        </w:tc>
        <w:tc>
          <w:tcPr>
            <w:tcW w:w="1019" w:type="dxa"/>
            <w:vAlign w:val="top"/>
            <w:vMerge w:val="continue"/>
            <w:tcBorders>
              <w:top w:val="nil"/>
              <w:bottom w:val="nil"/>
            </w:tcBorders>
          </w:tcPr>
          <w:p>
            <w:pPr>
              <w:rPr>
                <w:rFonts w:ascii="Arial"/>
                <w:sz w:val="21"/>
              </w:rPr>
            </w:pPr>
            <w:r/>
          </w:p>
        </w:tc>
        <w:tc>
          <w:tcPr>
            <w:tcW w:w="3086" w:type="dxa"/>
            <w:vAlign w:val="top"/>
          </w:tcPr>
          <w:p>
            <w:pPr>
              <w:pStyle w:val="TableText"/>
              <w:ind w:left="1325"/>
              <w:spacing w:before="38" w:line="195" w:lineRule="auto"/>
              <w:rPr>
                <w:sz w:val="21"/>
                <w:szCs w:val="21"/>
              </w:rPr>
            </w:pPr>
            <w:r>
              <w:rPr>
                <w:sz w:val="21"/>
                <w:szCs w:val="21"/>
                <w:color w:val="505060"/>
                <w:spacing w:val="4"/>
              </w:rPr>
              <w:t>牛血</w:t>
            </w:r>
          </w:p>
        </w:tc>
        <w:tc>
          <w:tcPr>
            <w:tcW w:w="904" w:type="dxa"/>
            <w:vAlign w:val="top"/>
          </w:tcPr>
          <w:p>
            <w:pPr>
              <w:pStyle w:val="TableText"/>
              <w:ind w:left="290"/>
              <w:spacing w:before="57" w:line="178" w:lineRule="auto"/>
              <w:rPr>
                <w:sz w:val="21"/>
                <w:szCs w:val="21"/>
              </w:rPr>
            </w:pPr>
            <w:r>
              <w:rPr>
                <w:sz w:val="21"/>
                <w:szCs w:val="21"/>
                <w:spacing w:val="-3"/>
              </w:rPr>
              <w:t>760</w:t>
            </w:r>
          </w:p>
        </w:tc>
      </w:tr>
      <w:tr>
        <w:trPr>
          <w:trHeight w:val="280" w:hRule="atLeast"/>
        </w:trPr>
        <w:tc>
          <w:tcPr>
            <w:tcW w:w="1283" w:type="dxa"/>
            <w:vAlign w:val="top"/>
            <w:vMerge w:val="continue"/>
            <w:tcBorders>
              <w:top w:val="nil"/>
              <w:bottom w:val="nil"/>
            </w:tcBorders>
          </w:tcPr>
          <w:p>
            <w:pPr>
              <w:rPr>
                <w:rFonts w:ascii="Arial"/>
                <w:sz w:val="21"/>
              </w:rPr>
            </w:pPr>
            <w:r/>
          </w:p>
        </w:tc>
        <w:tc>
          <w:tcPr>
            <w:tcW w:w="1288" w:type="dxa"/>
            <w:vAlign w:val="top"/>
          </w:tcPr>
          <w:p>
            <w:pPr>
              <w:pStyle w:val="TableText"/>
              <w:ind w:left="581"/>
              <w:spacing w:before="52" w:line="191" w:lineRule="auto"/>
              <w:rPr>
                <w:sz w:val="21"/>
                <w:szCs w:val="21"/>
              </w:rPr>
            </w:pPr>
            <w:r>
              <w:rPr>
                <w:sz w:val="21"/>
                <w:szCs w:val="21"/>
              </w:rPr>
              <w:t>/</w:t>
            </w:r>
          </w:p>
        </w:tc>
        <w:tc>
          <w:tcPr>
            <w:tcW w:w="909" w:type="dxa"/>
            <w:vAlign w:val="top"/>
          </w:tcPr>
          <w:p>
            <w:pPr>
              <w:pStyle w:val="TableText"/>
              <w:ind w:left="393"/>
              <w:spacing w:before="52" w:line="191" w:lineRule="auto"/>
              <w:rPr>
                <w:sz w:val="21"/>
                <w:szCs w:val="21"/>
              </w:rPr>
            </w:pPr>
            <w:r>
              <w:rPr>
                <w:sz w:val="21"/>
                <w:szCs w:val="21"/>
              </w:rPr>
              <w:t>/</w:t>
            </w:r>
          </w:p>
        </w:tc>
        <w:tc>
          <w:tcPr>
            <w:tcW w:w="1019" w:type="dxa"/>
            <w:vAlign w:val="top"/>
            <w:vMerge w:val="continue"/>
            <w:tcBorders>
              <w:top w:val="nil"/>
            </w:tcBorders>
          </w:tcPr>
          <w:p>
            <w:pPr>
              <w:rPr>
                <w:rFonts w:ascii="Arial"/>
                <w:sz w:val="21"/>
              </w:rPr>
            </w:pPr>
            <w:r/>
          </w:p>
        </w:tc>
        <w:tc>
          <w:tcPr>
            <w:tcW w:w="3086" w:type="dxa"/>
            <w:vAlign w:val="top"/>
          </w:tcPr>
          <w:p>
            <w:pPr>
              <w:pStyle w:val="TableText"/>
              <w:ind w:left="1226"/>
              <w:spacing w:before="45" w:line="197" w:lineRule="auto"/>
              <w:rPr>
                <w:sz w:val="21"/>
                <w:szCs w:val="21"/>
              </w:rPr>
            </w:pPr>
            <w:r>
              <w:rPr>
                <w:sz w:val="21"/>
                <w:szCs w:val="21"/>
                <w:color w:val="405040"/>
                <w:spacing w:val="2"/>
              </w:rPr>
              <w:t>头蹄尾</w:t>
            </w:r>
          </w:p>
        </w:tc>
        <w:tc>
          <w:tcPr>
            <w:tcW w:w="904" w:type="dxa"/>
            <w:vAlign w:val="top"/>
          </w:tcPr>
          <w:p>
            <w:pPr>
              <w:pStyle w:val="TableText"/>
              <w:ind w:left="290"/>
              <w:spacing w:before="67" w:line="178" w:lineRule="auto"/>
              <w:rPr>
                <w:sz w:val="21"/>
                <w:szCs w:val="21"/>
              </w:rPr>
            </w:pPr>
            <w:r>
              <w:rPr>
                <w:sz w:val="21"/>
                <w:szCs w:val="21"/>
                <w:spacing w:val="-3"/>
              </w:rPr>
              <w:t>710</w:t>
            </w:r>
          </w:p>
        </w:tc>
      </w:tr>
      <w:tr>
        <w:trPr>
          <w:trHeight w:val="270" w:hRule="atLeast"/>
        </w:trPr>
        <w:tc>
          <w:tcPr>
            <w:tcW w:w="1283" w:type="dxa"/>
            <w:vAlign w:val="top"/>
            <w:vMerge w:val="continue"/>
            <w:tcBorders>
              <w:top w:val="nil"/>
              <w:bottom w:val="nil"/>
            </w:tcBorders>
          </w:tcPr>
          <w:p>
            <w:pPr>
              <w:rPr>
                <w:rFonts w:ascii="Arial"/>
                <w:sz w:val="21"/>
              </w:rPr>
            </w:pPr>
            <w:r/>
          </w:p>
        </w:tc>
        <w:tc>
          <w:tcPr>
            <w:tcW w:w="1288" w:type="dxa"/>
            <w:vAlign w:val="top"/>
          </w:tcPr>
          <w:p>
            <w:pPr>
              <w:pStyle w:val="TableText"/>
              <w:ind w:left="581"/>
              <w:spacing w:before="42" w:line="191" w:lineRule="auto"/>
              <w:rPr>
                <w:sz w:val="21"/>
                <w:szCs w:val="21"/>
              </w:rPr>
            </w:pPr>
            <w:r>
              <w:rPr>
                <w:sz w:val="21"/>
                <w:szCs w:val="21"/>
              </w:rPr>
              <w:t>/</w:t>
            </w:r>
          </w:p>
        </w:tc>
        <w:tc>
          <w:tcPr>
            <w:tcW w:w="909" w:type="dxa"/>
            <w:vAlign w:val="top"/>
            <w:textDirection w:val="tbRlV"/>
          </w:tcPr>
          <w:p>
            <w:pPr>
              <w:spacing w:line="330" w:lineRule="auto"/>
              <w:rPr>
                <w:rFonts w:ascii="Arial"/>
                <w:sz w:val="21"/>
              </w:rPr>
            </w:pPr>
            <w:r/>
          </w:p>
          <w:p>
            <w:pPr>
              <w:pStyle w:val="TableText"/>
              <w:ind w:left="8"/>
              <w:spacing w:before="70" w:line="137" w:lineRule="exact"/>
              <w:rPr>
                <w:sz w:val="21"/>
                <w:szCs w:val="21"/>
              </w:rPr>
            </w:pPr>
            <w:r>
              <w:rPr>
                <w:sz w:val="21"/>
                <w:szCs w:val="21"/>
                <w:color w:val="303040"/>
                <w:spacing w:val="52"/>
                <w:w w:val="141"/>
                <w:position w:val="-1"/>
              </w:rPr>
              <w:t>/</w:t>
            </w:r>
          </w:p>
        </w:tc>
        <w:tc>
          <w:tcPr>
            <w:tcW w:w="1019" w:type="dxa"/>
            <w:vAlign w:val="top"/>
            <w:vMerge w:val="restart"/>
            <w:tcBorders>
              <w:bottom w:val="nil"/>
            </w:tcBorders>
          </w:tcPr>
          <w:p>
            <w:pPr>
              <w:spacing w:line="386" w:lineRule="auto"/>
              <w:rPr>
                <w:rFonts w:ascii="Arial"/>
                <w:sz w:val="21"/>
              </w:rPr>
            </w:pPr>
            <w:r/>
          </w:p>
          <w:p>
            <w:pPr>
              <w:pStyle w:val="TableText"/>
              <w:ind w:left="184"/>
              <w:spacing w:before="68" w:line="219" w:lineRule="auto"/>
              <w:rPr>
                <w:sz w:val="21"/>
                <w:szCs w:val="21"/>
              </w:rPr>
            </w:pPr>
            <w:r>
              <w:rPr>
                <w:sz w:val="21"/>
                <w:szCs w:val="21"/>
                <w:spacing w:val="-2"/>
              </w:rPr>
              <w:t>废弃物</w:t>
            </w:r>
          </w:p>
        </w:tc>
        <w:tc>
          <w:tcPr>
            <w:tcW w:w="3086" w:type="dxa"/>
            <w:vAlign w:val="top"/>
          </w:tcPr>
          <w:p>
            <w:pPr>
              <w:pStyle w:val="TableText"/>
              <w:ind w:left="1115"/>
              <w:spacing w:before="35" w:line="197" w:lineRule="auto"/>
              <w:rPr>
                <w:sz w:val="21"/>
                <w:szCs w:val="21"/>
              </w:rPr>
            </w:pPr>
            <w:r>
              <w:rPr>
                <w:sz w:val="21"/>
                <w:szCs w:val="21"/>
                <w:spacing w:val="-2"/>
              </w:rPr>
              <w:t>粪及尿液</w:t>
            </w:r>
          </w:p>
        </w:tc>
        <w:tc>
          <w:tcPr>
            <w:tcW w:w="904" w:type="dxa"/>
            <w:vAlign w:val="top"/>
          </w:tcPr>
          <w:p>
            <w:pPr>
              <w:pStyle w:val="TableText"/>
              <w:ind w:left="290"/>
              <w:spacing w:before="57" w:line="178" w:lineRule="auto"/>
              <w:rPr>
                <w:sz w:val="21"/>
                <w:szCs w:val="21"/>
              </w:rPr>
            </w:pPr>
            <w:r>
              <w:rPr>
                <w:sz w:val="21"/>
                <w:szCs w:val="21"/>
                <w:spacing w:val="-3"/>
              </w:rPr>
              <w:t>950</w:t>
            </w:r>
          </w:p>
        </w:tc>
      </w:tr>
      <w:tr>
        <w:trPr>
          <w:trHeight w:val="280" w:hRule="atLeast"/>
        </w:trPr>
        <w:tc>
          <w:tcPr>
            <w:tcW w:w="1283" w:type="dxa"/>
            <w:vAlign w:val="top"/>
            <w:vMerge w:val="continue"/>
            <w:tcBorders>
              <w:top w:val="nil"/>
              <w:bottom w:val="nil"/>
            </w:tcBorders>
          </w:tcPr>
          <w:p>
            <w:pPr>
              <w:rPr>
                <w:rFonts w:ascii="Arial"/>
                <w:sz w:val="21"/>
              </w:rPr>
            </w:pPr>
            <w:r/>
          </w:p>
        </w:tc>
        <w:tc>
          <w:tcPr>
            <w:tcW w:w="1288" w:type="dxa"/>
            <w:vAlign w:val="top"/>
          </w:tcPr>
          <w:p>
            <w:pPr>
              <w:pStyle w:val="TableText"/>
              <w:ind w:left="581"/>
              <w:spacing w:before="52" w:line="191" w:lineRule="auto"/>
              <w:rPr>
                <w:sz w:val="21"/>
                <w:szCs w:val="21"/>
              </w:rPr>
            </w:pPr>
            <w:r>
              <w:rPr>
                <w:sz w:val="21"/>
                <w:szCs w:val="21"/>
              </w:rPr>
              <w:t>/</w:t>
            </w:r>
          </w:p>
        </w:tc>
        <w:tc>
          <w:tcPr>
            <w:tcW w:w="909" w:type="dxa"/>
            <w:vAlign w:val="top"/>
            <w:textDirection w:val="tbRlV"/>
          </w:tcPr>
          <w:p>
            <w:pPr>
              <w:spacing w:line="330" w:lineRule="auto"/>
              <w:rPr>
                <w:rFonts w:ascii="Arial"/>
                <w:sz w:val="21"/>
              </w:rPr>
            </w:pPr>
            <w:r/>
          </w:p>
          <w:p>
            <w:pPr>
              <w:pStyle w:val="TableText"/>
              <w:ind w:left="18"/>
              <w:spacing w:before="70" w:line="137" w:lineRule="exact"/>
              <w:rPr>
                <w:sz w:val="21"/>
                <w:szCs w:val="21"/>
              </w:rPr>
            </w:pPr>
            <w:r>
              <w:rPr>
                <w:sz w:val="21"/>
                <w:szCs w:val="21"/>
                <w:spacing w:val="52"/>
                <w:w w:val="141"/>
                <w:position w:val="-1"/>
              </w:rPr>
              <w:t>/</w:t>
            </w:r>
          </w:p>
        </w:tc>
        <w:tc>
          <w:tcPr>
            <w:tcW w:w="1019" w:type="dxa"/>
            <w:vAlign w:val="top"/>
            <w:vMerge w:val="continue"/>
            <w:tcBorders>
              <w:top w:val="nil"/>
              <w:bottom w:val="nil"/>
            </w:tcBorders>
          </w:tcPr>
          <w:p>
            <w:pPr>
              <w:rPr>
                <w:rFonts w:ascii="Arial"/>
                <w:sz w:val="21"/>
              </w:rPr>
            </w:pPr>
            <w:r/>
          </w:p>
        </w:tc>
        <w:tc>
          <w:tcPr>
            <w:tcW w:w="3086" w:type="dxa"/>
            <w:vAlign w:val="top"/>
          </w:tcPr>
          <w:p>
            <w:pPr>
              <w:pStyle w:val="TableText"/>
              <w:ind w:left="1115"/>
              <w:spacing w:before="45" w:line="197" w:lineRule="auto"/>
              <w:rPr>
                <w:sz w:val="21"/>
                <w:szCs w:val="21"/>
              </w:rPr>
            </w:pPr>
            <w:r>
              <w:rPr>
                <w:sz w:val="21"/>
                <w:szCs w:val="21"/>
                <w:spacing w:val="2"/>
              </w:rPr>
              <w:t>胃肠容物</w:t>
            </w:r>
          </w:p>
        </w:tc>
        <w:tc>
          <w:tcPr>
            <w:tcW w:w="904" w:type="dxa"/>
            <w:vAlign w:val="top"/>
          </w:tcPr>
          <w:p>
            <w:pPr>
              <w:pStyle w:val="TableText"/>
              <w:ind w:left="290"/>
              <w:spacing w:before="67" w:line="178" w:lineRule="auto"/>
              <w:rPr>
                <w:sz w:val="21"/>
                <w:szCs w:val="21"/>
              </w:rPr>
            </w:pPr>
            <w:r>
              <w:rPr>
                <w:sz w:val="21"/>
                <w:szCs w:val="21"/>
                <w:spacing w:val="-3"/>
              </w:rPr>
              <w:t>800</w:t>
            </w:r>
          </w:p>
        </w:tc>
      </w:tr>
      <w:tr>
        <w:trPr>
          <w:trHeight w:val="269" w:hRule="atLeast"/>
        </w:trPr>
        <w:tc>
          <w:tcPr>
            <w:tcW w:w="1283" w:type="dxa"/>
            <w:vAlign w:val="top"/>
            <w:vMerge w:val="continue"/>
            <w:tcBorders>
              <w:top w:val="nil"/>
              <w:bottom w:val="nil"/>
            </w:tcBorders>
          </w:tcPr>
          <w:p>
            <w:pPr>
              <w:rPr>
                <w:rFonts w:ascii="Arial"/>
                <w:sz w:val="21"/>
              </w:rPr>
            </w:pPr>
            <w:r/>
          </w:p>
        </w:tc>
        <w:tc>
          <w:tcPr>
            <w:tcW w:w="1288" w:type="dxa"/>
            <w:vAlign w:val="top"/>
          </w:tcPr>
          <w:p>
            <w:pPr>
              <w:pStyle w:val="TableText"/>
              <w:ind w:left="581"/>
              <w:spacing w:before="42" w:line="190" w:lineRule="auto"/>
              <w:rPr>
                <w:sz w:val="21"/>
                <w:szCs w:val="21"/>
              </w:rPr>
            </w:pPr>
            <w:r>
              <w:rPr>
                <w:sz w:val="21"/>
                <w:szCs w:val="21"/>
              </w:rPr>
              <w:t>/</w:t>
            </w:r>
          </w:p>
        </w:tc>
        <w:tc>
          <w:tcPr>
            <w:tcW w:w="909" w:type="dxa"/>
            <w:vAlign w:val="top"/>
          </w:tcPr>
          <w:p>
            <w:pPr>
              <w:pStyle w:val="TableText"/>
              <w:ind w:left="393"/>
              <w:spacing w:before="42" w:line="190" w:lineRule="auto"/>
              <w:rPr>
                <w:sz w:val="21"/>
                <w:szCs w:val="21"/>
              </w:rPr>
            </w:pPr>
            <w:r>
              <w:rPr>
                <w:sz w:val="21"/>
                <w:szCs w:val="21"/>
              </w:rPr>
              <w:t>/</w:t>
            </w:r>
          </w:p>
        </w:tc>
        <w:tc>
          <w:tcPr>
            <w:tcW w:w="1019" w:type="dxa"/>
            <w:vAlign w:val="top"/>
            <w:vMerge w:val="continue"/>
            <w:tcBorders>
              <w:top w:val="nil"/>
              <w:bottom w:val="nil"/>
            </w:tcBorders>
          </w:tcPr>
          <w:p>
            <w:pPr>
              <w:rPr>
                <w:rFonts w:ascii="Arial"/>
                <w:sz w:val="21"/>
              </w:rPr>
            </w:pPr>
            <w:r/>
          </w:p>
        </w:tc>
        <w:tc>
          <w:tcPr>
            <w:tcW w:w="3086" w:type="dxa"/>
            <w:vAlign w:val="top"/>
          </w:tcPr>
          <w:p>
            <w:pPr>
              <w:pStyle w:val="TableText"/>
              <w:ind w:left="275"/>
              <w:spacing w:before="36" w:line="196" w:lineRule="auto"/>
              <w:rPr>
                <w:sz w:val="21"/>
                <w:szCs w:val="21"/>
              </w:rPr>
            </w:pPr>
            <w:r>
              <w:rPr>
                <w:sz w:val="21"/>
                <w:szCs w:val="21"/>
                <w:spacing w:val="-1"/>
              </w:rPr>
              <w:t>疫病牛、病四分体、病内脏</w:t>
            </w:r>
          </w:p>
        </w:tc>
        <w:tc>
          <w:tcPr>
            <w:tcW w:w="904" w:type="dxa"/>
            <w:vAlign w:val="top"/>
          </w:tcPr>
          <w:p>
            <w:pPr>
              <w:pStyle w:val="TableText"/>
              <w:ind w:left="290"/>
              <w:spacing w:before="57" w:line="177" w:lineRule="auto"/>
              <w:rPr>
                <w:sz w:val="21"/>
                <w:szCs w:val="21"/>
              </w:rPr>
            </w:pPr>
            <w:r>
              <w:rPr>
                <w:sz w:val="21"/>
                <w:szCs w:val="21"/>
                <w:spacing w:val="-2"/>
              </w:rPr>
              <w:t>420</w:t>
            </w:r>
          </w:p>
        </w:tc>
      </w:tr>
      <w:tr>
        <w:trPr>
          <w:trHeight w:val="260" w:hRule="atLeast"/>
        </w:trPr>
        <w:tc>
          <w:tcPr>
            <w:tcW w:w="1283" w:type="dxa"/>
            <w:vAlign w:val="top"/>
            <w:vMerge w:val="continue"/>
            <w:tcBorders>
              <w:top w:val="nil"/>
              <w:bottom w:val="nil"/>
            </w:tcBorders>
          </w:tcPr>
          <w:p>
            <w:pPr>
              <w:rPr>
                <w:rFonts w:ascii="Arial"/>
                <w:sz w:val="21"/>
              </w:rPr>
            </w:pPr>
            <w:r/>
          </w:p>
        </w:tc>
        <w:tc>
          <w:tcPr>
            <w:tcW w:w="1288" w:type="dxa"/>
            <w:vAlign w:val="top"/>
            <w:textDirection w:val="tbRlV"/>
          </w:tcPr>
          <w:p>
            <w:pPr>
              <w:spacing w:line="257" w:lineRule="auto"/>
              <w:rPr>
                <w:rFonts w:ascii="Arial"/>
                <w:sz w:val="21"/>
              </w:rPr>
            </w:pPr>
            <w:r/>
          </w:p>
          <w:p>
            <w:pPr>
              <w:spacing w:line="258" w:lineRule="auto"/>
              <w:rPr>
                <w:rFonts w:ascii="Arial"/>
                <w:sz w:val="21"/>
              </w:rPr>
            </w:pPr>
            <w:r/>
          </w:p>
          <w:p>
            <w:pPr>
              <w:pStyle w:val="TableText"/>
              <w:ind w:left="9"/>
              <w:spacing w:before="70" w:line="137" w:lineRule="exact"/>
              <w:rPr>
                <w:sz w:val="21"/>
                <w:szCs w:val="21"/>
              </w:rPr>
            </w:pPr>
            <w:r>
              <w:rPr>
                <w:sz w:val="21"/>
                <w:szCs w:val="21"/>
                <w:color w:val="404050"/>
                <w:spacing w:val="52"/>
                <w:w w:val="141"/>
                <w:position w:val="-1"/>
              </w:rPr>
              <w:t>/</w:t>
            </w:r>
          </w:p>
        </w:tc>
        <w:tc>
          <w:tcPr>
            <w:tcW w:w="909" w:type="dxa"/>
            <w:vAlign w:val="top"/>
            <w:textDirection w:val="tbRlV"/>
          </w:tcPr>
          <w:p>
            <w:pPr>
              <w:spacing w:line="330" w:lineRule="auto"/>
              <w:rPr>
                <w:rFonts w:ascii="Arial"/>
                <w:sz w:val="21"/>
              </w:rPr>
            </w:pPr>
            <w:r/>
          </w:p>
          <w:p>
            <w:pPr>
              <w:pStyle w:val="TableText"/>
              <w:ind w:left="9"/>
              <w:spacing w:before="70" w:line="137" w:lineRule="exact"/>
              <w:rPr>
                <w:sz w:val="21"/>
                <w:szCs w:val="21"/>
              </w:rPr>
            </w:pPr>
            <w:r>
              <w:rPr>
                <w:sz w:val="21"/>
                <w:szCs w:val="21"/>
                <w:color w:val="404050"/>
                <w:spacing w:val="52"/>
                <w:w w:val="141"/>
                <w:position w:val="-1"/>
              </w:rPr>
              <w:t>/</w:t>
            </w:r>
          </w:p>
        </w:tc>
        <w:tc>
          <w:tcPr>
            <w:tcW w:w="1019" w:type="dxa"/>
            <w:vAlign w:val="top"/>
            <w:vMerge w:val="continue"/>
            <w:tcBorders>
              <w:top w:val="nil"/>
            </w:tcBorders>
          </w:tcPr>
          <w:p>
            <w:pPr>
              <w:rPr>
                <w:rFonts w:ascii="Arial"/>
                <w:sz w:val="21"/>
              </w:rPr>
            </w:pPr>
            <w:r/>
          </w:p>
        </w:tc>
        <w:tc>
          <w:tcPr>
            <w:tcW w:w="3086" w:type="dxa"/>
            <w:vAlign w:val="top"/>
          </w:tcPr>
          <w:p>
            <w:pPr>
              <w:pStyle w:val="TableText"/>
              <w:ind w:left="1115"/>
              <w:spacing w:before="37" w:line="187" w:lineRule="auto"/>
              <w:rPr>
                <w:sz w:val="21"/>
                <w:szCs w:val="21"/>
              </w:rPr>
            </w:pPr>
            <w:r>
              <w:rPr>
                <w:sz w:val="21"/>
                <w:szCs w:val="21"/>
                <w:color w:val="606060"/>
                <w:spacing w:val="-2"/>
              </w:rPr>
              <w:t>屠宰废料</w:t>
            </w:r>
          </w:p>
        </w:tc>
        <w:tc>
          <w:tcPr>
            <w:tcW w:w="904" w:type="dxa"/>
            <w:vAlign w:val="top"/>
          </w:tcPr>
          <w:p>
            <w:pPr>
              <w:pStyle w:val="TableText"/>
              <w:ind w:left="290"/>
              <w:spacing w:before="58" w:line="168" w:lineRule="auto"/>
              <w:rPr>
                <w:sz w:val="21"/>
                <w:szCs w:val="21"/>
              </w:rPr>
            </w:pPr>
            <w:r>
              <w:rPr>
                <w:sz w:val="21"/>
                <w:szCs w:val="21"/>
                <w:spacing w:val="-3"/>
              </w:rPr>
              <w:t>360</w:t>
            </w:r>
          </w:p>
        </w:tc>
      </w:tr>
      <w:tr>
        <w:trPr>
          <w:trHeight w:val="284" w:hRule="atLeast"/>
        </w:trPr>
        <w:tc>
          <w:tcPr>
            <w:tcW w:w="1283" w:type="dxa"/>
            <w:vAlign w:val="top"/>
            <w:vMerge w:val="continue"/>
            <w:tcBorders>
              <w:top w:val="nil"/>
            </w:tcBorders>
          </w:tcPr>
          <w:p>
            <w:pPr>
              <w:rPr>
                <w:rFonts w:ascii="Arial"/>
                <w:sz w:val="21"/>
              </w:rPr>
            </w:pPr>
            <w:r/>
          </w:p>
        </w:tc>
        <w:tc>
          <w:tcPr>
            <w:tcW w:w="1288" w:type="dxa"/>
            <w:vAlign w:val="top"/>
          </w:tcPr>
          <w:p>
            <w:pPr>
              <w:pStyle w:val="TableText"/>
              <w:ind w:left="424"/>
              <w:spacing w:before="46" w:line="200" w:lineRule="auto"/>
              <w:rPr>
                <w:sz w:val="21"/>
                <w:szCs w:val="21"/>
              </w:rPr>
            </w:pPr>
            <w:r>
              <w:rPr>
                <w:sz w:val="21"/>
                <w:szCs w:val="21"/>
                <w:b/>
                <w:bCs/>
                <w:spacing w:val="-5"/>
              </w:rPr>
              <w:t>合计</w:t>
            </w:r>
          </w:p>
        </w:tc>
        <w:tc>
          <w:tcPr>
            <w:tcW w:w="909" w:type="dxa"/>
            <w:vAlign w:val="top"/>
          </w:tcPr>
          <w:p>
            <w:pPr>
              <w:pStyle w:val="TableText"/>
              <w:ind w:left="187"/>
              <w:spacing w:before="66" w:line="182" w:lineRule="auto"/>
              <w:rPr>
                <w:sz w:val="21"/>
                <w:szCs w:val="21"/>
              </w:rPr>
            </w:pPr>
            <w:r>
              <w:rPr>
                <w:sz w:val="21"/>
                <w:szCs w:val="21"/>
                <w:b/>
                <w:bCs/>
                <w:spacing w:val="-4"/>
              </w:rPr>
              <w:t>20000</w:t>
            </w:r>
          </w:p>
        </w:tc>
        <w:tc>
          <w:tcPr>
            <w:tcW w:w="4105" w:type="dxa"/>
            <w:vAlign w:val="top"/>
            <w:gridSpan w:val="2"/>
          </w:tcPr>
          <w:p>
            <w:pPr>
              <w:pStyle w:val="TableText"/>
              <w:ind w:left="1837"/>
              <w:spacing w:before="46" w:line="200" w:lineRule="auto"/>
              <w:rPr>
                <w:sz w:val="21"/>
                <w:szCs w:val="21"/>
              </w:rPr>
            </w:pPr>
            <w:r>
              <w:rPr>
                <w:sz w:val="21"/>
                <w:szCs w:val="21"/>
                <w:b/>
                <w:bCs/>
                <w:spacing w:val="-5"/>
              </w:rPr>
              <w:t>合计</w:t>
            </w:r>
          </w:p>
        </w:tc>
        <w:tc>
          <w:tcPr>
            <w:tcW w:w="904" w:type="dxa"/>
            <w:vAlign w:val="top"/>
          </w:tcPr>
          <w:p>
            <w:pPr>
              <w:pStyle w:val="TableText"/>
              <w:ind w:left="182"/>
              <w:spacing w:before="66" w:line="182" w:lineRule="auto"/>
              <w:rPr>
                <w:sz w:val="21"/>
                <w:szCs w:val="21"/>
              </w:rPr>
            </w:pPr>
            <w:r>
              <w:rPr>
                <w:sz w:val="21"/>
                <w:szCs w:val="21"/>
                <w:b/>
                <w:bCs/>
                <w:spacing w:val="-4"/>
              </w:rPr>
              <w:t>20000</w:t>
            </w:r>
          </w:p>
        </w:tc>
      </w:tr>
    </w:tbl>
    <w:p>
      <w:pPr>
        <w:ind w:left="118"/>
        <w:spacing w:before="62" w:line="220" w:lineRule="auto"/>
        <w:rPr>
          <w:rFonts w:ascii="SimSun" w:hAnsi="SimSun" w:eastAsia="SimSun" w:cs="SimSun"/>
          <w:sz w:val="27"/>
          <w:szCs w:val="27"/>
        </w:rPr>
      </w:pPr>
      <w:r>
        <w:rPr>
          <w:rFonts w:ascii="SimSun" w:hAnsi="SimSun" w:eastAsia="SimSun" w:cs="SimSun"/>
          <w:sz w:val="27"/>
          <w:szCs w:val="27"/>
          <w:b/>
          <w:bCs/>
          <w:spacing w:val="-5"/>
        </w:rPr>
        <w:t>3.10.2蒸汽平衡</w:t>
      </w:r>
    </w:p>
    <w:p>
      <w:pPr>
        <w:ind w:left="94" w:right="151" w:firstLine="500"/>
        <w:spacing w:before="259" w:line="368" w:lineRule="auto"/>
        <w:rPr>
          <w:rFonts w:ascii="SimSun" w:hAnsi="SimSun" w:eastAsia="SimSun" w:cs="SimSun"/>
          <w:sz w:val="23"/>
          <w:szCs w:val="23"/>
        </w:rPr>
      </w:pPr>
      <w:r>
        <w:rPr>
          <w:rFonts w:ascii="SimSun" w:hAnsi="SimSun" w:eastAsia="SimSun" w:cs="SimSun"/>
          <w:sz w:val="23"/>
          <w:szCs w:val="23"/>
          <w:spacing w:val="7"/>
        </w:rPr>
        <w:t>本项目生产用蒸汽由1台1.5</w:t>
      </w:r>
      <w:r>
        <w:rPr>
          <w:rFonts w:ascii="Times New Roman" w:hAnsi="Times New Roman" w:eastAsia="Times New Roman" w:cs="Times New Roman"/>
          <w:sz w:val="23"/>
          <w:szCs w:val="23"/>
          <w:spacing w:val="7"/>
        </w:rPr>
        <w:t>t/h</w:t>
      </w:r>
      <w:r>
        <w:rPr>
          <w:rFonts w:ascii="SimSun" w:hAnsi="SimSun" w:eastAsia="SimSun" w:cs="SimSun"/>
          <w:sz w:val="23"/>
          <w:szCs w:val="23"/>
          <w:spacing w:val="7"/>
        </w:rPr>
        <w:t>蒸汽发生器提供，该蒸</w:t>
      </w:r>
      <w:r>
        <w:rPr>
          <w:rFonts w:ascii="SimSun" w:hAnsi="SimSun" w:eastAsia="SimSun" w:cs="SimSun"/>
          <w:sz w:val="23"/>
          <w:szCs w:val="23"/>
          <w:spacing w:val="6"/>
        </w:rPr>
        <w:t>汽发生器产生蒸汽由</w:t>
      </w:r>
      <w:r>
        <w:rPr>
          <w:rFonts w:ascii="SimSun" w:hAnsi="SimSun" w:eastAsia="SimSun" w:cs="SimSun"/>
          <w:sz w:val="23"/>
          <w:szCs w:val="23"/>
        </w:rPr>
        <w:t xml:space="preserve">  </w:t>
      </w:r>
      <w:r>
        <w:rPr>
          <w:rFonts w:ascii="SimSun" w:hAnsi="SimSun" w:eastAsia="SimSun" w:cs="SimSun"/>
          <w:sz w:val="23"/>
          <w:szCs w:val="23"/>
          <w:spacing w:val="9"/>
        </w:rPr>
        <w:t>蒸汽管道输送至车间各用汽单元，主要为生猪烫池烫毛工段等。生猪根据《猪</w:t>
      </w:r>
      <w:r>
        <w:rPr>
          <w:rFonts w:ascii="SimSun" w:hAnsi="SimSun" w:eastAsia="SimSun" w:cs="SimSun"/>
          <w:sz w:val="23"/>
          <w:szCs w:val="23"/>
          <w:spacing w:val="1"/>
        </w:rPr>
        <w:t xml:space="preserve">  </w:t>
      </w:r>
      <w:r>
        <w:rPr>
          <w:rFonts w:ascii="SimSun" w:hAnsi="SimSun" w:eastAsia="SimSun" w:cs="SimSun"/>
          <w:sz w:val="23"/>
          <w:szCs w:val="23"/>
          <w:spacing w:val="6"/>
        </w:rPr>
        <w:t>屠宰与分割车间设计规范》</w:t>
      </w:r>
      <w:r>
        <w:rPr>
          <w:rFonts w:ascii="SimSun" w:hAnsi="SimSun" w:eastAsia="SimSun" w:cs="SimSun"/>
          <w:sz w:val="23"/>
          <w:szCs w:val="23"/>
          <w:spacing w:val="75"/>
        </w:rPr>
        <w:t xml:space="preserve"> </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6"/>
        </w:rPr>
        <w:t>50317-2009)    </w:t>
      </w:r>
      <w:r>
        <w:rPr>
          <w:rFonts w:ascii="SimSun" w:hAnsi="SimSun" w:eastAsia="SimSun" w:cs="SimSun"/>
          <w:sz w:val="23"/>
          <w:szCs w:val="23"/>
          <w:spacing w:val="6"/>
        </w:rPr>
        <w:t>表9.0.</w:t>
      </w:r>
      <w:r>
        <w:rPr>
          <w:rFonts w:ascii="SimSun" w:hAnsi="SimSun" w:eastAsia="SimSun" w:cs="SimSun"/>
          <w:sz w:val="23"/>
          <w:szCs w:val="23"/>
          <w:spacing w:val="5"/>
        </w:rPr>
        <w:t>7,屠宰规模为Ⅱ级(120头</w:t>
      </w:r>
      <w:r>
        <w:rPr>
          <w:rFonts w:ascii="SimSun" w:hAnsi="SimSun" w:eastAsia="SimSun" w:cs="SimSun"/>
          <w:sz w:val="23"/>
          <w:szCs w:val="23"/>
        </w:rPr>
        <w:t xml:space="preserve"> </w:t>
      </w:r>
      <w:r>
        <w:rPr>
          <w:rFonts w:ascii="Times New Roman" w:hAnsi="Times New Roman" w:eastAsia="Times New Roman" w:cs="Times New Roman"/>
          <w:sz w:val="23"/>
          <w:szCs w:val="23"/>
          <w:spacing w:val="3"/>
        </w:rPr>
        <w:t>/h~300</w:t>
      </w:r>
      <w:r>
        <w:rPr>
          <w:rFonts w:ascii="Times New Roman" w:hAnsi="Times New Roman" w:eastAsia="Times New Roman" w:cs="Times New Roman"/>
          <w:sz w:val="23"/>
          <w:szCs w:val="23"/>
          <w:spacing w:val="-12"/>
        </w:rPr>
        <w:t xml:space="preserve"> </w:t>
      </w:r>
      <w:r>
        <w:rPr>
          <w:rFonts w:ascii="SimSun" w:hAnsi="SimSun" w:eastAsia="SimSun" w:cs="SimSun"/>
          <w:sz w:val="23"/>
          <w:szCs w:val="23"/>
          <w:spacing w:val="3"/>
        </w:rPr>
        <w:t>头/</w:t>
      </w:r>
      <w:r>
        <w:rPr>
          <w:rFonts w:ascii="Times New Roman" w:hAnsi="Times New Roman" w:eastAsia="Times New Roman" w:cs="Times New Roman"/>
          <w:sz w:val="23"/>
          <w:szCs w:val="23"/>
          <w:spacing w:val="3"/>
        </w:rPr>
        <w:t>h)   </w:t>
      </w:r>
      <w:r>
        <w:rPr>
          <w:rFonts w:ascii="SimSun" w:hAnsi="SimSun" w:eastAsia="SimSun" w:cs="SimSun"/>
          <w:sz w:val="23"/>
          <w:szCs w:val="23"/>
          <w:spacing w:val="3"/>
        </w:rPr>
        <w:t>的屠宰企业，每头猪用汽量为2~3</w:t>
      </w:r>
      <w:r>
        <w:rPr>
          <w:rFonts w:ascii="Times New Roman" w:hAnsi="Times New Roman" w:eastAsia="Times New Roman" w:cs="Times New Roman"/>
          <w:sz w:val="23"/>
          <w:szCs w:val="23"/>
        </w:rPr>
        <w:t>kg</w:t>
      </w:r>
      <w:r>
        <w:rPr>
          <w:rFonts w:ascii="Times New Roman" w:hAnsi="Times New Roman" w:eastAsia="Times New Roman" w:cs="Times New Roman"/>
          <w:sz w:val="23"/>
          <w:szCs w:val="23"/>
          <w:spacing w:val="3"/>
        </w:rPr>
        <w:t>/h,   </w:t>
      </w:r>
      <w:r>
        <w:rPr>
          <w:rFonts w:ascii="SimSun" w:hAnsi="SimSun" w:eastAsia="SimSun" w:cs="SimSun"/>
          <w:sz w:val="23"/>
          <w:szCs w:val="23"/>
          <w:spacing w:val="3"/>
        </w:rPr>
        <w:t>旺季屠宰量约180头/</w:t>
      </w:r>
      <w:r>
        <w:rPr>
          <w:rFonts w:ascii="Times New Roman" w:hAnsi="Times New Roman" w:eastAsia="Times New Roman" w:cs="Times New Roman"/>
          <w:sz w:val="23"/>
          <w:szCs w:val="23"/>
          <w:spacing w:val="3"/>
        </w:rPr>
        <w:t>h,</w:t>
      </w:r>
      <w:r>
        <w:rPr>
          <w:rFonts w:ascii="Times New Roman" w:hAnsi="Times New Roman" w:eastAsia="Times New Roman" w:cs="Times New Roman"/>
          <w:sz w:val="23"/>
          <w:szCs w:val="23"/>
          <w:spacing w:val="5"/>
        </w:rPr>
        <w:t xml:space="preserve">   </w:t>
      </w:r>
      <w:r>
        <w:rPr>
          <w:rFonts w:ascii="SimSun" w:hAnsi="SimSun" w:eastAsia="SimSun" w:cs="SimSun"/>
          <w:sz w:val="23"/>
          <w:szCs w:val="23"/>
          <w:spacing w:val="3"/>
        </w:rPr>
        <w:t>则</w:t>
      </w:r>
      <w:r>
        <w:rPr>
          <w:rFonts w:ascii="SimSun" w:hAnsi="SimSun" w:eastAsia="SimSun" w:cs="SimSun"/>
          <w:sz w:val="23"/>
          <w:szCs w:val="23"/>
          <w:spacing w:val="1"/>
        </w:rPr>
        <w:t xml:space="preserve"> </w:t>
      </w:r>
      <w:r>
        <w:rPr>
          <w:rFonts w:ascii="SimSun" w:hAnsi="SimSun" w:eastAsia="SimSun" w:cs="SimSun"/>
          <w:sz w:val="23"/>
          <w:szCs w:val="23"/>
          <w:spacing w:val="5"/>
        </w:rPr>
        <w:t>最大用汽量为0.54t/h,考虑管道传输等损失，实际总用汽量不会超过1.</w:t>
      </w:r>
      <w:r>
        <w:rPr>
          <w:rFonts w:ascii="SimSun" w:hAnsi="SimSun" w:eastAsia="SimSun" w:cs="SimSun"/>
          <w:sz w:val="23"/>
          <w:szCs w:val="23"/>
          <w:spacing w:val="4"/>
        </w:rPr>
        <w:t>0t/h,此</w:t>
      </w:r>
      <w:r>
        <w:rPr>
          <w:rFonts w:ascii="SimSun" w:hAnsi="SimSun" w:eastAsia="SimSun" w:cs="SimSun"/>
          <w:sz w:val="23"/>
          <w:szCs w:val="23"/>
        </w:rPr>
        <w:t xml:space="preserve">  </w:t>
      </w:r>
      <w:r>
        <w:rPr>
          <w:rFonts w:ascii="SimSun" w:hAnsi="SimSun" w:eastAsia="SimSun" w:cs="SimSun"/>
          <w:sz w:val="23"/>
          <w:szCs w:val="23"/>
          <w:spacing w:val="3"/>
        </w:rPr>
        <w:t>外供暖等消耗蒸汽量预计不超过0.5</w:t>
      </w:r>
      <w:r>
        <w:rPr>
          <w:rFonts w:ascii="Times New Roman" w:hAnsi="Times New Roman" w:eastAsia="Times New Roman" w:cs="Times New Roman"/>
          <w:sz w:val="23"/>
          <w:szCs w:val="23"/>
          <w:spacing w:val="3"/>
        </w:rPr>
        <w:t>t/h</w:t>
      </w:r>
      <w:r>
        <w:rPr>
          <w:rFonts w:ascii="SimSun" w:hAnsi="SimSun" w:eastAsia="SimSun" w:cs="SimSun"/>
          <w:sz w:val="23"/>
          <w:szCs w:val="23"/>
          <w:spacing w:val="3"/>
        </w:rPr>
        <w:t>。</w:t>
      </w:r>
    </w:p>
    <w:p>
      <w:pPr>
        <w:pStyle w:val="BodyText"/>
        <w:spacing w:line="271" w:lineRule="auto"/>
        <w:rPr/>
      </w:pPr>
      <w:r/>
    </w:p>
    <w:p>
      <w:pPr>
        <w:pStyle w:val="BodyText"/>
        <w:spacing w:line="271" w:lineRule="auto"/>
        <w:rPr/>
      </w:pPr>
      <w:r/>
    </w:p>
    <w:p>
      <w:pPr>
        <w:pStyle w:val="BodyText"/>
        <w:spacing w:line="271" w:lineRule="auto"/>
        <w:rPr/>
      </w:pPr>
      <w:r/>
    </w:p>
    <w:p>
      <w:pPr>
        <w:pStyle w:val="BodyText"/>
        <w:spacing w:line="272" w:lineRule="auto"/>
        <w:rPr/>
      </w:pPr>
      <w:r/>
    </w:p>
    <w:p>
      <w:pPr>
        <w:ind w:left="2738"/>
        <w:spacing w:before="75" w:line="220" w:lineRule="auto"/>
        <w:rPr>
          <w:rFonts w:ascii="SimSun" w:hAnsi="SimSun" w:eastAsia="SimSun" w:cs="SimSun"/>
          <w:sz w:val="23"/>
          <w:szCs w:val="23"/>
        </w:rPr>
      </w:pPr>
      <w:r>
        <w:rPr>
          <w:rFonts w:ascii="SimSun" w:hAnsi="SimSun" w:eastAsia="SimSun" w:cs="SimSun"/>
          <w:sz w:val="23"/>
          <w:szCs w:val="23"/>
          <w:b/>
          <w:bCs/>
          <w:spacing w:val="-1"/>
        </w:rPr>
        <w:t>表3.10-2项目全厂蒸汽平衡表</w:t>
      </w:r>
    </w:p>
    <w:p>
      <w:pPr>
        <w:spacing w:line="220" w:lineRule="auto"/>
        <w:sectPr>
          <w:headerReference w:type="default" r:id="rId277"/>
          <w:footerReference w:type="default" r:id="rId278"/>
          <w:pgSz w:w="11910" w:h="16840"/>
          <w:pgMar w:top="1179" w:right="1735" w:bottom="947" w:left="1675" w:header="825" w:footer="723" w:gutter="0"/>
        </w:sectPr>
        <w:rPr>
          <w:rFonts w:ascii="SimSun" w:hAnsi="SimSun" w:eastAsia="SimSun" w:cs="SimSun"/>
          <w:sz w:val="23"/>
          <w:szCs w:val="23"/>
        </w:rPr>
      </w:pPr>
    </w:p>
    <w:p>
      <w:pPr>
        <w:spacing w:before="14"/>
        <w:rPr/>
      </w:pPr>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353"/>
        <w:gridCol w:w="1478"/>
        <w:gridCol w:w="4095"/>
        <w:gridCol w:w="1573"/>
      </w:tblGrid>
      <w:tr>
        <w:trPr>
          <w:trHeight w:val="283" w:hRule="atLeast"/>
        </w:trPr>
        <w:tc>
          <w:tcPr>
            <w:shd w:val="clear" w:fill="BDBDBD"/>
            <w:tcW w:w="2831" w:type="dxa"/>
            <w:vAlign w:val="top"/>
            <w:gridSpan w:val="2"/>
          </w:tcPr>
          <w:p>
            <w:pPr>
              <w:pStyle w:val="TableText"/>
              <w:ind w:left="1177"/>
              <w:spacing w:before="40" w:line="215" w:lineRule="auto"/>
              <w:rPr>
                <w:sz w:val="20"/>
                <w:szCs w:val="20"/>
              </w:rPr>
            </w:pPr>
            <w:r>
              <w:rPr>
                <w:sz w:val="20"/>
                <w:szCs w:val="20"/>
                <w:b/>
                <w:bCs/>
                <w:spacing w:val="-4"/>
              </w:rPr>
              <w:t>输入</w:t>
            </w:r>
          </w:p>
        </w:tc>
        <w:tc>
          <w:tcPr>
            <w:shd w:val="clear" w:fill="BDBDBD"/>
            <w:tcW w:w="5668" w:type="dxa"/>
            <w:vAlign w:val="top"/>
            <w:gridSpan w:val="2"/>
          </w:tcPr>
          <w:p>
            <w:pPr>
              <w:pStyle w:val="TableText"/>
              <w:ind w:left="2606"/>
              <w:spacing w:before="40" w:line="215" w:lineRule="auto"/>
              <w:rPr>
                <w:sz w:val="20"/>
                <w:szCs w:val="20"/>
              </w:rPr>
            </w:pPr>
            <w:r>
              <w:rPr>
                <w:sz w:val="20"/>
                <w:szCs w:val="20"/>
                <w:b/>
                <w:bCs/>
                <w:spacing w:val="7"/>
              </w:rPr>
              <w:t>输出</w:t>
            </w:r>
          </w:p>
        </w:tc>
      </w:tr>
      <w:tr>
        <w:trPr>
          <w:trHeight w:val="268" w:hRule="atLeast"/>
        </w:trPr>
        <w:tc>
          <w:tcPr>
            <w:shd w:val="clear" w:fill="BDBDBD"/>
            <w:tcW w:w="1353" w:type="dxa"/>
            <w:vAlign w:val="top"/>
          </w:tcPr>
          <w:p>
            <w:pPr>
              <w:pStyle w:val="TableText"/>
              <w:ind w:left="467"/>
              <w:spacing w:before="39" w:line="202" w:lineRule="auto"/>
              <w:rPr>
                <w:sz w:val="20"/>
                <w:szCs w:val="20"/>
              </w:rPr>
            </w:pPr>
            <w:r>
              <w:rPr>
                <w:sz w:val="20"/>
                <w:szCs w:val="20"/>
                <w:b/>
                <w:bCs/>
                <w:spacing w:val="-5"/>
              </w:rPr>
              <w:t>名称</w:t>
            </w:r>
          </w:p>
        </w:tc>
        <w:tc>
          <w:tcPr>
            <w:shd w:val="clear" w:fill="BDBDBD"/>
            <w:tcW w:w="1478" w:type="dxa"/>
            <w:vAlign w:val="top"/>
          </w:tcPr>
          <w:p>
            <w:pPr>
              <w:pStyle w:val="TableText"/>
              <w:ind w:left="434"/>
              <w:spacing w:before="37" w:line="204" w:lineRule="auto"/>
              <w:rPr>
                <w:sz w:val="20"/>
                <w:szCs w:val="20"/>
              </w:rPr>
            </w:pPr>
            <w:r>
              <w:rPr>
                <w:sz w:val="20"/>
                <w:szCs w:val="20"/>
                <w:b/>
                <w:bCs/>
                <w:spacing w:val="-5"/>
              </w:rPr>
              <w:t>热负荷</w:t>
            </w:r>
          </w:p>
        </w:tc>
        <w:tc>
          <w:tcPr>
            <w:shd w:val="clear" w:fill="BDBDBD"/>
            <w:tcW w:w="4095" w:type="dxa"/>
            <w:vAlign w:val="top"/>
          </w:tcPr>
          <w:p>
            <w:pPr>
              <w:pStyle w:val="TableText"/>
              <w:ind w:left="1846"/>
              <w:spacing w:before="39" w:line="202" w:lineRule="auto"/>
              <w:rPr>
                <w:sz w:val="20"/>
                <w:szCs w:val="20"/>
              </w:rPr>
            </w:pPr>
            <w:r>
              <w:rPr>
                <w:sz w:val="20"/>
                <w:szCs w:val="20"/>
                <w:b/>
                <w:bCs/>
                <w:spacing w:val="-5"/>
              </w:rPr>
              <w:t>名称</w:t>
            </w:r>
          </w:p>
        </w:tc>
        <w:tc>
          <w:tcPr>
            <w:shd w:val="clear" w:fill="BDBDBD"/>
            <w:tcW w:w="1573" w:type="dxa"/>
            <w:vAlign w:val="top"/>
          </w:tcPr>
          <w:p>
            <w:pPr>
              <w:pStyle w:val="TableText"/>
              <w:ind w:left="481"/>
              <w:spacing w:before="37" w:line="204" w:lineRule="auto"/>
              <w:rPr>
                <w:sz w:val="20"/>
                <w:szCs w:val="20"/>
              </w:rPr>
            </w:pPr>
            <w:r>
              <w:rPr>
                <w:sz w:val="20"/>
                <w:szCs w:val="20"/>
                <w:b/>
                <w:bCs/>
                <w:spacing w:val="-5"/>
              </w:rPr>
              <w:t>热负荷</w:t>
            </w:r>
          </w:p>
        </w:tc>
      </w:tr>
      <w:tr>
        <w:trPr>
          <w:trHeight w:val="278" w:hRule="atLeast"/>
        </w:trPr>
        <w:tc>
          <w:tcPr>
            <w:tcW w:w="1353" w:type="dxa"/>
            <w:vAlign w:val="top"/>
            <w:vMerge w:val="restart"/>
            <w:tcBorders>
              <w:bottom w:val="nil"/>
            </w:tcBorders>
          </w:tcPr>
          <w:p>
            <w:pPr>
              <w:spacing w:line="286" w:lineRule="auto"/>
              <w:rPr>
                <w:rFonts w:ascii="Arial"/>
                <w:sz w:val="21"/>
              </w:rPr>
            </w:pPr>
            <w:r/>
          </w:p>
          <w:p>
            <w:pPr>
              <w:pStyle w:val="TableText"/>
              <w:ind w:left="164"/>
              <w:spacing w:before="65" w:line="220" w:lineRule="auto"/>
              <w:rPr>
                <w:sz w:val="20"/>
                <w:szCs w:val="20"/>
              </w:rPr>
            </w:pPr>
            <w:r>
              <w:rPr>
                <w:sz w:val="20"/>
                <w:szCs w:val="20"/>
                <w:spacing w:val="-2"/>
              </w:rPr>
              <w:t>蒸汽发生器</w:t>
            </w:r>
          </w:p>
        </w:tc>
        <w:tc>
          <w:tcPr>
            <w:tcW w:w="1478" w:type="dxa"/>
            <w:vAlign w:val="top"/>
            <w:vMerge w:val="restart"/>
            <w:tcBorders>
              <w:bottom w:val="nil"/>
            </w:tcBorders>
          </w:tcPr>
          <w:p>
            <w:pPr>
              <w:spacing w:line="291" w:lineRule="auto"/>
              <w:rPr>
                <w:rFonts w:ascii="Arial"/>
                <w:sz w:val="21"/>
              </w:rPr>
            </w:pPr>
            <w:r/>
          </w:p>
          <w:p>
            <w:pPr>
              <w:pStyle w:val="TableText"/>
              <w:ind w:left="431"/>
              <w:spacing w:before="65" w:line="224" w:lineRule="auto"/>
              <w:rPr>
                <w:sz w:val="20"/>
                <w:szCs w:val="20"/>
              </w:rPr>
            </w:pPr>
            <w:r>
              <w:rPr>
                <w:sz w:val="20"/>
                <w:szCs w:val="20"/>
                <w:spacing w:val="-4"/>
              </w:rPr>
              <w:t>1.5t/h</w:t>
            </w:r>
          </w:p>
        </w:tc>
        <w:tc>
          <w:tcPr>
            <w:tcW w:w="4095" w:type="dxa"/>
            <w:vAlign w:val="top"/>
          </w:tcPr>
          <w:p>
            <w:pPr>
              <w:pStyle w:val="TableText"/>
              <w:ind w:left="343"/>
              <w:spacing w:before="41" w:line="209" w:lineRule="auto"/>
              <w:rPr>
                <w:sz w:val="20"/>
                <w:szCs w:val="20"/>
              </w:rPr>
            </w:pPr>
            <w:r>
              <w:rPr>
                <w:sz w:val="20"/>
                <w:szCs w:val="20"/>
                <w:spacing w:val="-1"/>
              </w:rPr>
              <w:t>生猪屠宰烫毛工段以及管道传输等损失</w:t>
            </w:r>
          </w:p>
        </w:tc>
        <w:tc>
          <w:tcPr>
            <w:tcW w:w="1573" w:type="dxa"/>
            <w:vAlign w:val="top"/>
          </w:tcPr>
          <w:p>
            <w:pPr>
              <w:pStyle w:val="TableText"/>
              <w:ind w:left="478"/>
              <w:spacing w:before="48" w:line="203" w:lineRule="auto"/>
              <w:rPr>
                <w:sz w:val="20"/>
                <w:szCs w:val="20"/>
              </w:rPr>
            </w:pPr>
            <w:r>
              <w:rPr>
                <w:sz w:val="20"/>
                <w:szCs w:val="20"/>
                <w:spacing w:val="-4"/>
              </w:rPr>
              <w:t>1.0t/h</w:t>
            </w:r>
          </w:p>
        </w:tc>
      </w:tr>
      <w:tr>
        <w:trPr>
          <w:trHeight w:val="307" w:hRule="atLeast"/>
        </w:trPr>
        <w:tc>
          <w:tcPr>
            <w:tcW w:w="1353" w:type="dxa"/>
            <w:vAlign w:val="top"/>
            <w:vMerge w:val="continue"/>
            <w:tcBorders>
              <w:top w:val="nil"/>
              <w:bottom w:val="nil"/>
            </w:tcBorders>
          </w:tcPr>
          <w:p>
            <w:pPr>
              <w:rPr>
                <w:rFonts w:ascii="Arial"/>
                <w:sz w:val="21"/>
              </w:rPr>
            </w:pPr>
            <w:r/>
          </w:p>
        </w:tc>
        <w:tc>
          <w:tcPr>
            <w:tcW w:w="1478" w:type="dxa"/>
            <w:vAlign w:val="top"/>
            <w:vMerge w:val="continue"/>
            <w:tcBorders>
              <w:top w:val="nil"/>
              <w:bottom w:val="nil"/>
            </w:tcBorders>
          </w:tcPr>
          <w:p>
            <w:pPr>
              <w:rPr>
                <w:rFonts w:ascii="Arial"/>
                <w:sz w:val="21"/>
              </w:rPr>
            </w:pPr>
            <w:r/>
          </w:p>
        </w:tc>
        <w:tc>
          <w:tcPr>
            <w:tcW w:w="4095" w:type="dxa"/>
            <w:vAlign w:val="top"/>
          </w:tcPr>
          <w:p>
            <w:pPr>
              <w:pStyle w:val="TableText"/>
              <w:ind w:left="1544"/>
              <w:spacing w:before="62" w:line="216" w:lineRule="auto"/>
              <w:rPr>
                <w:sz w:val="20"/>
                <w:szCs w:val="20"/>
              </w:rPr>
            </w:pPr>
            <w:r>
              <w:rPr>
                <w:sz w:val="20"/>
                <w:szCs w:val="20"/>
                <w:spacing w:val="-2"/>
              </w:rPr>
              <w:t>供暖等消耗</w:t>
            </w:r>
          </w:p>
        </w:tc>
        <w:tc>
          <w:tcPr>
            <w:tcW w:w="1573" w:type="dxa"/>
            <w:vAlign w:val="top"/>
          </w:tcPr>
          <w:p>
            <w:pPr>
              <w:pStyle w:val="TableText"/>
              <w:ind w:left="478"/>
              <w:spacing w:before="69" w:line="210" w:lineRule="auto"/>
              <w:rPr>
                <w:sz w:val="20"/>
                <w:szCs w:val="20"/>
              </w:rPr>
            </w:pPr>
            <w:r>
              <w:rPr>
                <w:sz w:val="20"/>
                <w:szCs w:val="20"/>
                <w:spacing w:val="-2"/>
              </w:rPr>
              <w:t>0.5t/h</w:t>
            </w:r>
          </w:p>
        </w:tc>
      </w:tr>
      <w:tr>
        <w:trPr>
          <w:trHeight w:val="283" w:hRule="atLeast"/>
        </w:trPr>
        <w:tc>
          <w:tcPr>
            <w:tcW w:w="1353" w:type="dxa"/>
            <w:vAlign w:val="top"/>
            <w:vMerge w:val="continue"/>
            <w:tcBorders>
              <w:top w:val="nil"/>
            </w:tcBorders>
          </w:tcPr>
          <w:p>
            <w:pPr>
              <w:rPr>
                <w:rFonts w:ascii="Arial"/>
                <w:sz w:val="21"/>
              </w:rPr>
            </w:pPr>
            <w:r/>
          </w:p>
        </w:tc>
        <w:tc>
          <w:tcPr>
            <w:tcW w:w="1478" w:type="dxa"/>
            <w:vAlign w:val="top"/>
            <w:vMerge w:val="continue"/>
            <w:tcBorders>
              <w:top w:val="nil"/>
            </w:tcBorders>
          </w:tcPr>
          <w:p>
            <w:pPr>
              <w:rPr>
                <w:rFonts w:ascii="Arial"/>
                <w:sz w:val="21"/>
              </w:rPr>
            </w:pPr>
            <w:r/>
          </w:p>
        </w:tc>
        <w:tc>
          <w:tcPr>
            <w:tcW w:w="4095" w:type="dxa"/>
            <w:vAlign w:val="top"/>
          </w:tcPr>
          <w:p>
            <w:pPr>
              <w:pStyle w:val="TableText"/>
              <w:ind w:left="1843"/>
              <w:spacing w:before="48" w:line="207" w:lineRule="auto"/>
              <w:rPr>
                <w:sz w:val="20"/>
                <w:szCs w:val="20"/>
              </w:rPr>
            </w:pPr>
            <w:r>
              <w:rPr>
                <w:sz w:val="20"/>
                <w:szCs w:val="20"/>
                <w:color w:val="604040"/>
                <w:spacing w:val="-3"/>
              </w:rPr>
              <w:t>合计</w:t>
            </w:r>
          </w:p>
        </w:tc>
        <w:tc>
          <w:tcPr>
            <w:tcW w:w="1573" w:type="dxa"/>
            <w:vAlign w:val="top"/>
          </w:tcPr>
          <w:p>
            <w:pPr>
              <w:pStyle w:val="TableText"/>
              <w:ind w:left="478"/>
              <w:spacing w:before="53" w:line="203" w:lineRule="auto"/>
              <w:rPr>
                <w:sz w:val="20"/>
                <w:szCs w:val="20"/>
              </w:rPr>
            </w:pPr>
            <w:r>
              <w:rPr>
                <w:sz w:val="20"/>
                <w:szCs w:val="20"/>
                <w:spacing w:val="-4"/>
              </w:rPr>
              <w:t>1.5t/h</w:t>
            </w:r>
          </w:p>
        </w:tc>
      </w:tr>
    </w:tbl>
    <w:p>
      <w:pPr>
        <w:ind w:left="605"/>
        <w:spacing w:before="63" w:line="219" w:lineRule="auto"/>
        <w:rPr>
          <w:rFonts w:ascii="SimSun" w:hAnsi="SimSun" w:eastAsia="SimSun" w:cs="SimSun"/>
          <w:sz w:val="23"/>
          <w:szCs w:val="23"/>
        </w:rPr>
      </w:pPr>
      <w:r>
        <w:rPr>
          <w:rFonts w:ascii="SimSun" w:hAnsi="SimSun" w:eastAsia="SimSun" w:cs="SimSun"/>
          <w:sz w:val="23"/>
          <w:szCs w:val="23"/>
        </w:rPr>
        <w:t>故本项目配套1台1.5t/h蒸汽发生器可满足生产需要。</w:t>
      </w:r>
    </w:p>
    <w:p>
      <w:pPr>
        <w:ind w:left="84"/>
        <w:spacing w:before="224" w:line="222" w:lineRule="auto"/>
        <w:outlineLvl w:val="1"/>
        <w:rPr>
          <w:rFonts w:ascii="SimHei" w:hAnsi="SimHei" w:eastAsia="SimHei" w:cs="SimHei"/>
          <w:sz w:val="26"/>
          <w:szCs w:val="26"/>
        </w:rPr>
      </w:pPr>
      <w:bookmarkStart w:name="bookmark41" w:id="75"/>
      <w:bookmarkEnd w:id="75"/>
      <w:r>
        <w:rPr>
          <w:rFonts w:ascii="Times New Roman" w:hAnsi="Times New Roman" w:eastAsia="Times New Roman" w:cs="Times New Roman"/>
          <w:sz w:val="26"/>
          <w:szCs w:val="26"/>
          <w:spacing w:val="12"/>
        </w:rPr>
        <w:t>3.</w:t>
      </w:r>
      <w:r>
        <w:rPr>
          <w:rFonts w:ascii="SimHei" w:hAnsi="SimHei" w:eastAsia="SimHei" w:cs="SimHei"/>
          <w:sz w:val="26"/>
          <w:szCs w:val="26"/>
          <w:b/>
          <w:bCs/>
          <w:spacing w:val="12"/>
        </w:rPr>
        <w:t>11污染物产生及治理</w:t>
      </w:r>
    </w:p>
    <w:p>
      <w:pPr>
        <w:ind w:left="84" w:right="92" w:firstLine="500"/>
        <w:spacing w:before="229" w:line="375" w:lineRule="auto"/>
        <w:jc w:val="both"/>
        <w:rPr>
          <w:rFonts w:ascii="SimSun" w:hAnsi="SimSun" w:eastAsia="SimSun" w:cs="SimSun"/>
          <w:sz w:val="23"/>
          <w:szCs w:val="23"/>
        </w:rPr>
      </w:pPr>
      <w:r>
        <w:rPr>
          <w:rFonts w:ascii="SimSun" w:hAnsi="SimSun" w:eastAsia="SimSun" w:cs="SimSun"/>
          <w:sz w:val="23"/>
          <w:szCs w:val="23"/>
          <w:spacing w:val="15"/>
        </w:rPr>
        <w:t>运营期污染物包括废水、废气、固废和噪声。以废水</w:t>
      </w:r>
      <w:r>
        <w:rPr>
          <w:rFonts w:ascii="SimSun" w:hAnsi="SimSun" w:eastAsia="SimSun" w:cs="SimSun"/>
          <w:sz w:val="23"/>
          <w:szCs w:val="23"/>
          <w:spacing w:val="14"/>
        </w:rPr>
        <w:t>和废气为主，废水主</w:t>
      </w:r>
      <w:r>
        <w:rPr>
          <w:rFonts w:ascii="SimSun" w:hAnsi="SimSun" w:eastAsia="SimSun" w:cs="SimSun"/>
          <w:sz w:val="23"/>
          <w:szCs w:val="23"/>
        </w:rPr>
        <w:t xml:space="preserve"> </w:t>
      </w:r>
      <w:r>
        <w:rPr>
          <w:rFonts w:ascii="SimSun" w:hAnsi="SimSun" w:eastAsia="SimSun" w:cs="SimSun"/>
          <w:sz w:val="23"/>
          <w:szCs w:val="23"/>
          <w:spacing w:val="10"/>
        </w:rPr>
        <w:t>要为生活污水和生产废水，主要污染因子为</w:t>
      </w:r>
      <w:r>
        <w:rPr>
          <w:rFonts w:ascii="Times New Roman" w:hAnsi="Times New Roman" w:eastAsia="Times New Roman" w:cs="Times New Roman"/>
          <w:sz w:val="23"/>
          <w:szCs w:val="23"/>
        </w:rPr>
        <w:t>SS</w:t>
      </w:r>
      <w:r>
        <w:rPr>
          <w:rFonts w:ascii="Times New Roman" w:hAnsi="Times New Roman" w:eastAsia="Times New Roman" w:cs="Times New Roman"/>
          <w:sz w:val="23"/>
          <w:szCs w:val="23"/>
          <w:spacing w:val="-24"/>
        </w:rPr>
        <w:t xml:space="preserve"> </w:t>
      </w:r>
      <w:r>
        <w:rPr>
          <w:rFonts w:ascii="SimSun" w:hAnsi="SimSun" w:eastAsia="SimSun" w:cs="SimSun"/>
          <w:sz w:val="23"/>
          <w:szCs w:val="23"/>
          <w:spacing w:val="10"/>
        </w:rPr>
        <w:t>、</w:t>
      </w:r>
      <w:r>
        <w:rPr>
          <w:rFonts w:ascii="Times New Roman" w:hAnsi="Times New Roman" w:eastAsia="Times New Roman" w:cs="Times New Roman"/>
          <w:sz w:val="23"/>
          <w:szCs w:val="23"/>
        </w:rPr>
        <w:t>CODcr</w:t>
      </w:r>
      <w:r>
        <w:rPr>
          <w:rFonts w:ascii="Times New Roman" w:hAnsi="Times New Roman" w:eastAsia="Times New Roman" w:cs="Times New Roman"/>
          <w:sz w:val="23"/>
          <w:szCs w:val="23"/>
          <w:spacing w:val="-34"/>
        </w:rPr>
        <w:t xml:space="preserve"> </w:t>
      </w:r>
      <w:r>
        <w:rPr>
          <w:rFonts w:ascii="SimSun" w:hAnsi="SimSun" w:eastAsia="SimSun" w:cs="SimSun"/>
          <w:sz w:val="23"/>
          <w:szCs w:val="23"/>
          <w:spacing w:val="10"/>
        </w:rPr>
        <w:t>、</w:t>
      </w:r>
      <w:r>
        <w:rPr>
          <w:rFonts w:ascii="Times New Roman" w:hAnsi="Times New Roman" w:eastAsia="Times New Roman" w:cs="Times New Roman"/>
          <w:sz w:val="23"/>
          <w:szCs w:val="23"/>
        </w:rPr>
        <w:t>BOD</w:t>
      </w:r>
      <w:r>
        <w:rPr>
          <w:rFonts w:ascii="Times New Roman" w:hAnsi="Times New Roman" w:eastAsia="Times New Roman" w:cs="Times New Roman"/>
          <w:sz w:val="23"/>
          <w:szCs w:val="23"/>
          <w:spacing w:val="10"/>
        </w:rPr>
        <w:t>₅</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10"/>
        </w:rPr>
        <w:t>、</w:t>
      </w:r>
      <w:r>
        <w:rPr>
          <w:rFonts w:ascii="Times New Roman" w:hAnsi="Times New Roman" w:eastAsia="Times New Roman" w:cs="Times New Roman"/>
          <w:sz w:val="23"/>
          <w:szCs w:val="23"/>
        </w:rPr>
        <w:t>NH</w:t>
      </w:r>
      <w:r>
        <w:rPr>
          <w:rFonts w:ascii="Times New Roman" w:hAnsi="Times New Roman" w:eastAsia="Times New Roman" w:cs="Times New Roman"/>
          <w:sz w:val="23"/>
          <w:szCs w:val="23"/>
          <w:spacing w:val="10"/>
        </w:rPr>
        <w:t>₃-N</w:t>
      </w:r>
      <w:r>
        <w:rPr>
          <w:rFonts w:ascii="Times New Roman" w:hAnsi="Times New Roman" w:eastAsia="Times New Roman" w:cs="Times New Roman"/>
          <w:sz w:val="23"/>
          <w:szCs w:val="23"/>
          <w:spacing w:val="-33"/>
        </w:rPr>
        <w:t xml:space="preserve"> </w:t>
      </w:r>
      <w:r>
        <w:rPr>
          <w:rFonts w:ascii="SimSun" w:hAnsi="SimSun" w:eastAsia="SimSun" w:cs="SimSun"/>
          <w:sz w:val="23"/>
          <w:szCs w:val="23"/>
          <w:spacing w:val="10"/>
        </w:rPr>
        <w:t>、</w:t>
      </w:r>
      <w:r>
        <w:rPr>
          <w:rFonts w:ascii="SimSun" w:hAnsi="SimSun" w:eastAsia="SimSun" w:cs="SimSun"/>
          <w:sz w:val="23"/>
          <w:szCs w:val="23"/>
          <w:spacing w:val="113"/>
        </w:rPr>
        <w:t xml:space="preserve"> </w:t>
      </w:r>
      <w:r>
        <w:rPr>
          <w:rFonts w:ascii="SimSun" w:hAnsi="SimSun" w:eastAsia="SimSun" w:cs="SimSun"/>
          <w:sz w:val="23"/>
          <w:szCs w:val="23"/>
          <w:spacing w:val="10"/>
        </w:rPr>
        <w:t>总</w:t>
      </w:r>
      <w:r>
        <w:rPr>
          <w:rFonts w:ascii="SimSun" w:hAnsi="SimSun" w:eastAsia="SimSun" w:cs="SimSun"/>
          <w:sz w:val="23"/>
          <w:szCs w:val="23"/>
        </w:rPr>
        <w:t xml:space="preserve"> </w:t>
      </w:r>
      <w:r>
        <w:rPr>
          <w:rFonts w:ascii="SimSun" w:hAnsi="SimSun" w:eastAsia="SimSun" w:cs="SimSun"/>
          <w:sz w:val="23"/>
          <w:szCs w:val="23"/>
          <w:spacing w:val="14"/>
        </w:rPr>
        <w:t>磷、动植物油；废气主要来源于生猪、肉牛待宰圈、屠宰间、污</w:t>
      </w:r>
      <w:r>
        <w:rPr>
          <w:rFonts w:ascii="SimSun" w:hAnsi="SimSun" w:eastAsia="SimSun" w:cs="SimSun"/>
          <w:sz w:val="23"/>
          <w:szCs w:val="23"/>
          <w:spacing w:val="13"/>
        </w:rPr>
        <w:t>水站产生的恶</w:t>
      </w:r>
      <w:r>
        <w:rPr>
          <w:rFonts w:ascii="SimSun" w:hAnsi="SimSun" w:eastAsia="SimSun" w:cs="SimSun"/>
          <w:sz w:val="23"/>
          <w:szCs w:val="23"/>
        </w:rPr>
        <w:t xml:space="preserve"> </w:t>
      </w:r>
      <w:r>
        <w:rPr>
          <w:rFonts w:ascii="SimSun" w:hAnsi="SimSun" w:eastAsia="SimSun" w:cs="SimSun"/>
          <w:sz w:val="23"/>
          <w:szCs w:val="23"/>
          <w:spacing w:val="8"/>
        </w:rPr>
        <w:t>臭气体。</w:t>
      </w:r>
    </w:p>
    <w:p>
      <w:pPr>
        <w:ind w:left="84"/>
        <w:spacing w:line="221" w:lineRule="auto"/>
        <w:rPr>
          <w:rFonts w:ascii="SimHei" w:hAnsi="SimHei" w:eastAsia="SimHei" w:cs="SimHei"/>
          <w:sz w:val="26"/>
          <w:szCs w:val="26"/>
        </w:rPr>
      </w:pPr>
      <w:r>
        <w:rPr>
          <w:rFonts w:ascii="Times New Roman" w:hAnsi="Times New Roman" w:eastAsia="Times New Roman" w:cs="Times New Roman"/>
          <w:sz w:val="26"/>
          <w:szCs w:val="26"/>
          <w:spacing w:val="4"/>
        </w:rPr>
        <w:t>3</w:t>
      </w:r>
      <w:r>
        <w:rPr>
          <w:rFonts w:ascii="SimHei" w:hAnsi="SimHei" w:eastAsia="SimHei" w:cs="SimHei"/>
          <w:sz w:val="26"/>
          <w:szCs w:val="26"/>
          <w:b/>
          <w:bCs/>
          <w:spacing w:val="4"/>
        </w:rPr>
        <w:t>.11.1废水排放及治理措施</w:t>
      </w:r>
    </w:p>
    <w:p>
      <w:pPr>
        <w:ind w:left="84" w:right="116" w:firstLine="500"/>
        <w:spacing w:before="230" w:line="366" w:lineRule="auto"/>
        <w:jc w:val="both"/>
        <w:rPr>
          <w:rFonts w:ascii="SimSun" w:hAnsi="SimSun" w:eastAsia="SimSun" w:cs="SimSun"/>
          <w:sz w:val="23"/>
          <w:szCs w:val="23"/>
        </w:rPr>
      </w:pPr>
      <w:r>
        <w:rPr>
          <w:rFonts w:ascii="SimSun" w:hAnsi="SimSun" w:eastAsia="SimSun" w:cs="SimSun"/>
          <w:sz w:val="23"/>
          <w:szCs w:val="23"/>
          <w:spacing w:val="14"/>
        </w:rPr>
        <w:t>根据水平衡分析：项目用水包括生活用水、生产用水和绿化用水，生</w:t>
      </w:r>
      <w:r>
        <w:rPr>
          <w:rFonts w:ascii="SimSun" w:hAnsi="SimSun" w:eastAsia="SimSun" w:cs="SimSun"/>
          <w:sz w:val="23"/>
          <w:szCs w:val="23"/>
          <w:spacing w:val="13"/>
        </w:rPr>
        <w:t>活用</w:t>
      </w:r>
      <w:r>
        <w:rPr>
          <w:rFonts w:ascii="SimSun" w:hAnsi="SimSun" w:eastAsia="SimSun" w:cs="SimSun"/>
          <w:sz w:val="23"/>
          <w:szCs w:val="23"/>
        </w:rPr>
        <w:t xml:space="preserve"> </w:t>
      </w:r>
      <w:r>
        <w:rPr>
          <w:rFonts w:ascii="SimSun" w:hAnsi="SimSun" w:eastAsia="SimSun" w:cs="SimSun"/>
          <w:sz w:val="23"/>
          <w:szCs w:val="23"/>
          <w:spacing w:val="14"/>
        </w:rPr>
        <w:t>水包括职工办公和生活用水，生产用水包括屠宰用水、车辆冲洗用水、消毒用</w:t>
      </w:r>
      <w:r>
        <w:rPr>
          <w:rFonts w:ascii="SimSun" w:hAnsi="SimSun" w:eastAsia="SimSun" w:cs="SimSun"/>
          <w:sz w:val="23"/>
          <w:szCs w:val="23"/>
          <w:spacing w:val="10"/>
        </w:rPr>
        <w:t xml:space="preserve"> </w:t>
      </w:r>
      <w:r>
        <w:rPr>
          <w:rFonts w:ascii="SimSun" w:hAnsi="SimSun" w:eastAsia="SimSun" w:cs="SimSun"/>
          <w:sz w:val="23"/>
          <w:szCs w:val="23"/>
          <w:spacing w:val="8"/>
        </w:rPr>
        <w:t>水、冷却系统补充用水、喷淋塔用水、蒸汽发生器用水等。</w:t>
      </w:r>
    </w:p>
    <w:p>
      <w:pPr>
        <w:ind w:left="588"/>
        <w:spacing w:line="219" w:lineRule="auto"/>
        <w:rPr>
          <w:rFonts w:ascii="SimSun" w:hAnsi="SimSun" w:eastAsia="SimSun" w:cs="SimSun"/>
          <w:sz w:val="23"/>
          <w:szCs w:val="23"/>
        </w:rPr>
      </w:pPr>
      <w:r>
        <w:rPr>
          <w:rFonts w:ascii="SimSun" w:hAnsi="SimSun" w:eastAsia="SimSun" w:cs="SimSun"/>
          <w:sz w:val="23"/>
          <w:szCs w:val="23"/>
          <w:b/>
          <w:bCs/>
          <w:spacing w:val="4"/>
        </w:rPr>
        <w:t>1、废水的产生</w:t>
      </w:r>
    </w:p>
    <w:p>
      <w:pPr>
        <w:ind w:left="698"/>
        <w:spacing w:before="168" w:line="219" w:lineRule="auto"/>
        <w:rPr>
          <w:rFonts w:ascii="SimSun" w:hAnsi="SimSun" w:eastAsia="SimSun" w:cs="SimSun"/>
          <w:sz w:val="26"/>
          <w:szCs w:val="26"/>
        </w:rPr>
      </w:pPr>
      <w:r>
        <w:rPr>
          <w:rFonts w:ascii="SimSun" w:hAnsi="SimSun" w:eastAsia="SimSun" w:cs="SimSun"/>
          <w:sz w:val="26"/>
          <w:szCs w:val="26"/>
          <w:b/>
          <w:bCs/>
          <w:spacing w:val="-10"/>
        </w:rPr>
        <w:t>(1)生活污水、餐饮废水</w:t>
      </w:r>
    </w:p>
    <w:p>
      <w:pPr>
        <w:ind w:left="84" w:right="342" w:firstLine="500"/>
        <w:spacing w:before="223" w:line="360" w:lineRule="auto"/>
        <w:rPr>
          <w:rFonts w:ascii="Times New Roman" w:hAnsi="Times New Roman" w:eastAsia="Times New Roman" w:cs="Times New Roman"/>
          <w:sz w:val="23"/>
          <w:szCs w:val="23"/>
        </w:rPr>
      </w:pPr>
      <w:r>
        <w:rPr>
          <w:rFonts w:ascii="SimSun" w:hAnsi="SimSun" w:eastAsia="SimSun" w:cs="SimSun"/>
          <w:sz w:val="23"/>
          <w:szCs w:val="23"/>
          <w:spacing w:val="8"/>
        </w:rPr>
        <w:t>项目建成后劳动定员200人，采用8h工作制度，年工作360天。企业设食</w:t>
      </w:r>
      <w:r>
        <w:rPr>
          <w:rFonts w:ascii="SimSun" w:hAnsi="SimSun" w:eastAsia="SimSun" w:cs="SimSun"/>
          <w:sz w:val="23"/>
          <w:szCs w:val="23"/>
          <w:spacing w:val="4"/>
        </w:rPr>
        <w:t xml:space="preserve">  </w:t>
      </w:r>
      <w:r>
        <w:rPr>
          <w:rFonts w:ascii="SimSun" w:hAnsi="SimSun" w:eastAsia="SimSun" w:cs="SimSun"/>
          <w:sz w:val="23"/>
          <w:szCs w:val="23"/>
          <w:spacing w:val="6"/>
        </w:rPr>
        <w:t>堂，食堂供给一日三餐，办公人员用水量为12</w:t>
      </w:r>
      <w:r>
        <w:rPr>
          <w:rFonts w:ascii="Times New Roman" w:hAnsi="Times New Roman" w:eastAsia="Times New Roman" w:cs="Times New Roman"/>
          <w:sz w:val="23"/>
          <w:szCs w:val="23"/>
          <w:spacing w:val="6"/>
        </w:rPr>
        <w:t>m³/d(4320m³/a),         </w:t>
      </w:r>
      <w:r>
        <w:rPr>
          <w:rFonts w:ascii="SimSun" w:hAnsi="SimSun" w:eastAsia="SimSun" w:cs="SimSun"/>
          <w:sz w:val="23"/>
          <w:szCs w:val="23"/>
          <w:spacing w:val="6"/>
        </w:rPr>
        <w:t>排放系数按</w:t>
      </w:r>
      <w:r>
        <w:rPr>
          <w:rFonts w:ascii="SimSun" w:hAnsi="SimSun" w:eastAsia="SimSun" w:cs="SimSun"/>
          <w:sz w:val="23"/>
          <w:szCs w:val="23"/>
          <w:spacing w:val="2"/>
        </w:rPr>
        <w:t xml:space="preserve"> </w:t>
      </w:r>
      <w:r>
        <w:rPr>
          <w:rFonts w:ascii="SimHei" w:hAnsi="SimHei" w:eastAsia="SimHei" w:cs="SimHei"/>
          <w:sz w:val="23"/>
          <w:szCs w:val="23"/>
          <w:spacing w:val="2"/>
        </w:rPr>
        <w:t>0.8计，排放量约9.6</w:t>
      </w:r>
      <w:r>
        <w:rPr>
          <w:rFonts w:ascii="Times New Roman" w:hAnsi="Times New Roman" w:eastAsia="Times New Roman" w:cs="Times New Roman"/>
          <w:sz w:val="23"/>
          <w:szCs w:val="23"/>
          <w:spacing w:val="2"/>
        </w:rPr>
        <w:t>m³/d(3456m³/a);         </w:t>
      </w:r>
      <w:r>
        <w:rPr>
          <w:rFonts w:ascii="SimHei" w:hAnsi="SimHei" w:eastAsia="SimHei" w:cs="SimHei"/>
          <w:sz w:val="23"/>
          <w:szCs w:val="23"/>
          <w:spacing w:val="2"/>
        </w:rPr>
        <w:t>食堂餐饮用水量为6</w:t>
      </w:r>
      <w:r>
        <w:rPr>
          <w:rFonts w:ascii="Times New Roman" w:hAnsi="Times New Roman" w:eastAsia="Times New Roman" w:cs="Times New Roman"/>
          <w:sz w:val="23"/>
          <w:szCs w:val="23"/>
          <w:spacing w:val="2"/>
        </w:rPr>
        <w:t>m³/d(2160m</w:t>
      </w:r>
      <w:r>
        <w:rPr>
          <w:rFonts w:ascii="Times New Roman" w:hAnsi="Times New Roman" w:eastAsia="Times New Roman" w:cs="Times New Roman"/>
          <w:sz w:val="23"/>
          <w:szCs w:val="23"/>
          <w:spacing w:val="1"/>
        </w:rPr>
        <w:t>³/a),</w:t>
      </w:r>
    </w:p>
    <w:p>
      <w:pPr>
        <w:ind w:left="84"/>
        <w:spacing w:before="9" w:line="212" w:lineRule="auto"/>
        <w:rPr>
          <w:rFonts w:ascii="SimSun" w:hAnsi="SimSun" w:eastAsia="SimSun" w:cs="SimSun"/>
          <w:sz w:val="23"/>
          <w:szCs w:val="23"/>
        </w:rPr>
      </w:pPr>
      <w:r>
        <w:rPr>
          <w:rFonts w:ascii="SimSun" w:hAnsi="SimSun" w:eastAsia="SimSun" w:cs="SimSun"/>
          <w:sz w:val="23"/>
          <w:szCs w:val="23"/>
        </w:rPr>
        <w:t>排放系数按0.8计，排放量约4.8</w:t>
      </w:r>
      <w:r>
        <w:rPr>
          <w:rFonts w:ascii="Times New Roman" w:hAnsi="Times New Roman" w:eastAsia="Times New Roman" w:cs="Times New Roman"/>
          <w:sz w:val="23"/>
          <w:szCs w:val="23"/>
        </w:rPr>
        <w:t>m³/d(1728m³/a)</w:t>
      </w:r>
      <w:r>
        <w:rPr>
          <w:rFonts w:ascii="SimSun" w:hAnsi="SimSun" w:eastAsia="SimSun" w:cs="SimSun"/>
          <w:sz w:val="23"/>
          <w:szCs w:val="23"/>
        </w:rPr>
        <w:t>。</w:t>
      </w:r>
    </w:p>
    <w:p>
      <w:pPr>
        <w:ind w:left="2628"/>
        <w:spacing w:before="208" w:line="207" w:lineRule="auto"/>
        <w:rPr>
          <w:rFonts w:ascii="SimSun" w:hAnsi="SimSun" w:eastAsia="SimSun" w:cs="SimSun"/>
          <w:sz w:val="24"/>
          <w:szCs w:val="24"/>
        </w:rPr>
      </w:pPr>
      <w:r>
        <w:rPr>
          <w:rFonts w:ascii="SimSun" w:hAnsi="SimSun" w:eastAsia="SimSun" w:cs="SimSun"/>
          <w:sz w:val="24"/>
          <w:szCs w:val="24"/>
          <w:b/>
          <w:bCs/>
          <w:spacing w:val="-4"/>
        </w:rPr>
        <w:t>表3.11-1运营期生活用水情况表</w:t>
      </w:r>
    </w:p>
    <w:tbl>
      <w:tblPr>
        <w:tblStyle w:val="TableNormal"/>
        <w:tblW w:w="8320" w:type="dxa"/>
        <w:tblInd w:w="94"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453"/>
        <w:gridCol w:w="1099"/>
        <w:gridCol w:w="1488"/>
        <w:gridCol w:w="1538"/>
        <w:gridCol w:w="1059"/>
        <w:gridCol w:w="1683"/>
      </w:tblGrid>
      <w:tr>
        <w:trPr>
          <w:trHeight w:val="282" w:hRule="atLeast"/>
        </w:trPr>
        <w:tc>
          <w:tcPr>
            <w:shd w:val="clear" w:fill="BDBDBD"/>
            <w:tcW w:w="1453" w:type="dxa"/>
            <w:vAlign w:val="top"/>
          </w:tcPr>
          <w:p>
            <w:pPr>
              <w:pStyle w:val="TableText"/>
              <w:ind w:left="298"/>
              <w:spacing w:before="39" w:line="204" w:lineRule="auto"/>
              <w:rPr>
                <w:sz w:val="21"/>
                <w:szCs w:val="21"/>
              </w:rPr>
            </w:pPr>
            <w:r>
              <w:rPr>
                <w:sz w:val="21"/>
                <w:szCs w:val="21"/>
                <w:b/>
                <w:bCs/>
                <w:spacing w:val="-5"/>
              </w:rPr>
              <w:t>用水对象</w:t>
            </w:r>
          </w:p>
        </w:tc>
        <w:tc>
          <w:tcPr>
            <w:shd w:val="clear" w:fill="BDBDBD"/>
            <w:tcW w:w="1099" w:type="dxa"/>
            <w:vAlign w:val="top"/>
          </w:tcPr>
          <w:p>
            <w:pPr>
              <w:pStyle w:val="TableText"/>
              <w:ind w:left="125"/>
              <w:spacing w:before="39" w:line="204" w:lineRule="auto"/>
              <w:rPr>
                <w:sz w:val="21"/>
                <w:szCs w:val="21"/>
              </w:rPr>
            </w:pPr>
            <w:r>
              <w:rPr>
                <w:sz w:val="21"/>
                <w:szCs w:val="21"/>
                <w:b/>
                <w:bCs/>
                <w:spacing w:val="-5"/>
              </w:rPr>
              <w:t>用水定额</w:t>
            </w:r>
          </w:p>
        </w:tc>
        <w:tc>
          <w:tcPr>
            <w:shd w:val="clear" w:fill="BDBDBD"/>
            <w:tcW w:w="1488" w:type="dxa"/>
            <w:vAlign w:val="top"/>
          </w:tcPr>
          <w:p>
            <w:pPr>
              <w:pStyle w:val="TableText"/>
              <w:ind w:left="316"/>
              <w:spacing w:before="39" w:line="204" w:lineRule="auto"/>
              <w:rPr>
                <w:sz w:val="21"/>
                <w:szCs w:val="21"/>
              </w:rPr>
            </w:pPr>
            <w:r>
              <w:rPr>
                <w:sz w:val="21"/>
                <w:szCs w:val="21"/>
                <w:b/>
                <w:bCs/>
                <w:spacing w:val="-5"/>
              </w:rPr>
              <w:t>用水规模</w:t>
            </w:r>
          </w:p>
        </w:tc>
        <w:tc>
          <w:tcPr>
            <w:shd w:val="clear" w:fill="BDBDBD"/>
            <w:tcW w:w="1538" w:type="dxa"/>
            <w:vAlign w:val="top"/>
          </w:tcPr>
          <w:p>
            <w:pPr>
              <w:pStyle w:val="TableText"/>
              <w:ind w:left="78"/>
              <w:spacing w:before="39" w:line="204" w:lineRule="auto"/>
              <w:rPr>
                <w:sz w:val="21"/>
                <w:szCs w:val="21"/>
              </w:rPr>
            </w:pPr>
            <w:r>
              <w:rPr>
                <w:sz w:val="21"/>
                <w:szCs w:val="21"/>
                <w:b/>
                <w:bCs/>
                <w:spacing w:val="14"/>
              </w:rPr>
              <w:t>用水量(m³/d)</w:t>
            </w:r>
          </w:p>
        </w:tc>
        <w:tc>
          <w:tcPr>
            <w:shd w:val="clear" w:fill="BDBDBD"/>
            <w:tcW w:w="1059" w:type="dxa"/>
            <w:vAlign w:val="top"/>
          </w:tcPr>
          <w:p>
            <w:pPr>
              <w:pStyle w:val="TableText"/>
              <w:ind w:left="110"/>
              <w:spacing w:before="39" w:line="204" w:lineRule="auto"/>
              <w:rPr>
                <w:sz w:val="21"/>
                <w:szCs w:val="21"/>
              </w:rPr>
            </w:pPr>
            <w:r>
              <w:rPr>
                <w:sz w:val="21"/>
                <w:szCs w:val="21"/>
                <w:b/>
                <w:bCs/>
                <w:spacing w:val="-4"/>
              </w:rPr>
              <w:t>排污系数</w:t>
            </w:r>
          </w:p>
        </w:tc>
        <w:tc>
          <w:tcPr>
            <w:shd w:val="clear" w:fill="BDBDBD"/>
            <w:tcW w:w="1683" w:type="dxa"/>
            <w:vAlign w:val="top"/>
          </w:tcPr>
          <w:p>
            <w:pPr>
              <w:pStyle w:val="TableText"/>
              <w:ind w:left="151"/>
              <w:spacing w:before="39" w:line="204" w:lineRule="auto"/>
              <w:rPr>
                <w:sz w:val="21"/>
                <w:szCs w:val="21"/>
              </w:rPr>
            </w:pPr>
            <w:r>
              <w:rPr>
                <w:sz w:val="21"/>
                <w:szCs w:val="21"/>
                <w:b/>
                <w:bCs/>
                <w:spacing w:val="14"/>
              </w:rPr>
              <w:t>废水量(m³/d)</w:t>
            </w:r>
          </w:p>
        </w:tc>
      </w:tr>
      <w:tr>
        <w:trPr>
          <w:trHeight w:val="278" w:hRule="atLeast"/>
        </w:trPr>
        <w:tc>
          <w:tcPr>
            <w:tcW w:w="1453" w:type="dxa"/>
            <w:vAlign w:val="top"/>
          </w:tcPr>
          <w:p>
            <w:pPr>
              <w:pStyle w:val="TableText"/>
              <w:ind w:left="295"/>
              <w:spacing w:before="41" w:line="199" w:lineRule="auto"/>
              <w:rPr>
                <w:sz w:val="21"/>
                <w:szCs w:val="21"/>
              </w:rPr>
            </w:pPr>
            <w:r>
              <w:rPr>
                <w:sz w:val="21"/>
                <w:szCs w:val="21"/>
                <w:spacing w:val="2"/>
              </w:rPr>
              <w:t>办公用水</w:t>
            </w:r>
          </w:p>
        </w:tc>
        <w:tc>
          <w:tcPr>
            <w:tcW w:w="1099" w:type="dxa"/>
            <w:vAlign w:val="top"/>
          </w:tcPr>
          <w:p>
            <w:pPr>
              <w:pStyle w:val="TableText"/>
              <w:ind w:left="62"/>
              <w:spacing w:before="45" w:line="196" w:lineRule="auto"/>
              <w:rPr>
                <w:sz w:val="21"/>
                <w:szCs w:val="21"/>
              </w:rPr>
            </w:pPr>
            <w:r>
              <w:rPr>
                <w:sz w:val="21"/>
                <w:szCs w:val="21"/>
                <w:spacing w:val="-9"/>
              </w:rPr>
              <w:t>60L/人</w:t>
            </w:r>
            <w:r>
              <w:rPr>
                <w:sz w:val="21"/>
                <w:szCs w:val="21"/>
                <w:spacing w:val="-20"/>
              </w:rPr>
              <w:t xml:space="preserve"> </w:t>
            </w:r>
            <w:r>
              <w:rPr>
                <w:sz w:val="21"/>
                <w:szCs w:val="21"/>
                <w:spacing w:val="-9"/>
              </w:rPr>
              <w:t>·d</w:t>
            </w:r>
          </w:p>
        </w:tc>
        <w:tc>
          <w:tcPr>
            <w:tcW w:w="1488" w:type="dxa"/>
            <w:vAlign w:val="top"/>
          </w:tcPr>
          <w:p>
            <w:pPr>
              <w:pStyle w:val="TableText"/>
              <w:ind w:left="363"/>
              <w:spacing w:before="45" w:line="196" w:lineRule="auto"/>
              <w:rPr>
                <w:sz w:val="21"/>
                <w:szCs w:val="21"/>
              </w:rPr>
            </w:pPr>
            <w:r>
              <w:rPr>
                <w:sz w:val="21"/>
                <w:szCs w:val="21"/>
                <w:spacing w:val="1"/>
              </w:rPr>
              <w:t>200人/d</w:t>
            </w:r>
          </w:p>
        </w:tc>
        <w:tc>
          <w:tcPr>
            <w:tcW w:w="1538" w:type="dxa"/>
            <w:vAlign w:val="top"/>
          </w:tcPr>
          <w:p>
            <w:pPr>
              <w:pStyle w:val="TableText"/>
              <w:ind w:left="655"/>
              <w:spacing w:before="62" w:line="181" w:lineRule="auto"/>
              <w:rPr>
                <w:sz w:val="21"/>
                <w:szCs w:val="21"/>
              </w:rPr>
            </w:pPr>
            <w:r>
              <w:rPr>
                <w:sz w:val="21"/>
                <w:szCs w:val="21"/>
                <w:spacing w:val="-6"/>
              </w:rPr>
              <w:t>12</w:t>
            </w:r>
          </w:p>
        </w:tc>
        <w:tc>
          <w:tcPr>
            <w:tcW w:w="1059" w:type="dxa"/>
            <w:vAlign w:val="top"/>
          </w:tcPr>
          <w:p>
            <w:pPr>
              <w:pStyle w:val="TableText"/>
              <w:ind w:left="366"/>
              <w:spacing w:before="62" w:line="181" w:lineRule="auto"/>
              <w:rPr>
                <w:sz w:val="21"/>
                <w:szCs w:val="21"/>
              </w:rPr>
            </w:pPr>
            <w:r>
              <w:rPr>
                <w:sz w:val="21"/>
                <w:szCs w:val="21"/>
                <w:spacing w:val="-3"/>
              </w:rPr>
              <w:t>0.8</w:t>
            </w:r>
          </w:p>
        </w:tc>
        <w:tc>
          <w:tcPr>
            <w:tcW w:w="1683" w:type="dxa"/>
            <w:vAlign w:val="top"/>
          </w:tcPr>
          <w:p>
            <w:pPr>
              <w:pStyle w:val="TableText"/>
              <w:ind w:left="678"/>
              <w:spacing w:before="62" w:line="181" w:lineRule="auto"/>
              <w:rPr>
                <w:sz w:val="21"/>
                <w:szCs w:val="21"/>
              </w:rPr>
            </w:pPr>
            <w:r>
              <w:rPr>
                <w:sz w:val="21"/>
                <w:szCs w:val="21"/>
                <w:spacing w:val="-3"/>
              </w:rPr>
              <w:t>9.6</w:t>
            </w:r>
          </w:p>
        </w:tc>
      </w:tr>
      <w:tr>
        <w:trPr>
          <w:trHeight w:val="536" w:hRule="atLeast"/>
        </w:trPr>
        <w:tc>
          <w:tcPr>
            <w:tcW w:w="1453" w:type="dxa"/>
            <w:vAlign w:val="top"/>
          </w:tcPr>
          <w:p>
            <w:pPr>
              <w:pStyle w:val="TableText"/>
              <w:ind w:left="295"/>
              <w:spacing w:before="173" w:line="219" w:lineRule="auto"/>
              <w:rPr>
                <w:sz w:val="21"/>
                <w:szCs w:val="21"/>
              </w:rPr>
            </w:pPr>
            <w:r>
              <w:rPr>
                <w:sz w:val="21"/>
                <w:szCs w:val="21"/>
                <w:spacing w:val="-2"/>
              </w:rPr>
              <w:t>餐饮用水</w:t>
            </w:r>
          </w:p>
        </w:tc>
        <w:tc>
          <w:tcPr>
            <w:tcW w:w="1099" w:type="dxa"/>
            <w:vAlign w:val="top"/>
          </w:tcPr>
          <w:p>
            <w:pPr>
              <w:pStyle w:val="TableText"/>
              <w:ind w:left="12"/>
              <w:spacing w:before="173" w:line="219" w:lineRule="auto"/>
              <w:rPr>
                <w:sz w:val="21"/>
                <w:szCs w:val="21"/>
              </w:rPr>
            </w:pPr>
            <w:r>
              <w:rPr>
                <w:sz w:val="21"/>
                <w:szCs w:val="21"/>
                <w:spacing w:val="-10"/>
              </w:rPr>
              <w:t>10L/人</w:t>
            </w:r>
            <w:r>
              <w:rPr>
                <w:sz w:val="21"/>
                <w:szCs w:val="21"/>
                <w:spacing w:val="-18"/>
              </w:rPr>
              <w:t xml:space="preserve"> </w:t>
            </w:r>
            <w:r>
              <w:rPr>
                <w:sz w:val="21"/>
                <w:szCs w:val="21"/>
                <w:spacing w:val="-10"/>
              </w:rPr>
              <w:t>·餐</w:t>
            </w:r>
          </w:p>
        </w:tc>
        <w:tc>
          <w:tcPr>
            <w:tcW w:w="1488" w:type="dxa"/>
            <w:vAlign w:val="top"/>
          </w:tcPr>
          <w:p>
            <w:pPr>
              <w:pStyle w:val="TableText"/>
              <w:ind w:left="103" w:right="124" w:firstLine="49"/>
              <w:spacing w:before="43" w:line="212" w:lineRule="auto"/>
              <w:rPr>
                <w:sz w:val="21"/>
                <w:szCs w:val="21"/>
              </w:rPr>
            </w:pPr>
            <w:r>
              <w:rPr>
                <w:sz w:val="21"/>
                <w:szCs w:val="21"/>
                <w:spacing w:val="2"/>
              </w:rPr>
              <w:t>就餐人数200</w:t>
            </w:r>
            <w:r>
              <w:rPr>
                <w:sz w:val="21"/>
                <w:szCs w:val="21"/>
              </w:rPr>
              <w:t xml:space="preserve"> </w:t>
            </w:r>
            <w:r>
              <w:rPr>
                <w:sz w:val="21"/>
                <w:szCs w:val="21"/>
                <w:spacing w:val="-2"/>
              </w:rPr>
              <w:t>人、一日三餐</w:t>
            </w:r>
          </w:p>
        </w:tc>
        <w:tc>
          <w:tcPr>
            <w:tcW w:w="1538" w:type="dxa"/>
            <w:vAlign w:val="top"/>
          </w:tcPr>
          <w:p>
            <w:pPr>
              <w:pStyle w:val="TableText"/>
              <w:ind w:left="705"/>
              <w:spacing w:before="193"/>
              <w:rPr>
                <w:sz w:val="21"/>
                <w:szCs w:val="21"/>
              </w:rPr>
            </w:pPr>
            <w:r>
              <w:rPr>
                <w:sz w:val="21"/>
                <w:szCs w:val="21"/>
              </w:rPr>
              <w:t>6</w:t>
            </w:r>
          </w:p>
        </w:tc>
        <w:tc>
          <w:tcPr>
            <w:tcW w:w="1059" w:type="dxa"/>
            <w:vAlign w:val="top"/>
          </w:tcPr>
          <w:p>
            <w:pPr>
              <w:pStyle w:val="TableText"/>
              <w:ind w:left="366"/>
              <w:spacing w:before="194" w:line="239" w:lineRule="auto"/>
              <w:rPr>
                <w:sz w:val="21"/>
                <w:szCs w:val="21"/>
              </w:rPr>
            </w:pPr>
            <w:r>
              <w:rPr>
                <w:sz w:val="21"/>
                <w:szCs w:val="21"/>
                <w:spacing w:val="-3"/>
              </w:rPr>
              <w:t>0.8</w:t>
            </w:r>
          </w:p>
        </w:tc>
        <w:tc>
          <w:tcPr>
            <w:tcW w:w="1683" w:type="dxa"/>
            <w:vAlign w:val="top"/>
          </w:tcPr>
          <w:p>
            <w:pPr>
              <w:pStyle w:val="TableText"/>
              <w:ind w:left="678"/>
              <w:spacing w:before="194" w:line="239" w:lineRule="auto"/>
              <w:rPr>
                <w:sz w:val="21"/>
                <w:szCs w:val="21"/>
              </w:rPr>
            </w:pPr>
            <w:r>
              <w:rPr>
                <w:sz w:val="21"/>
                <w:szCs w:val="21"/>
                <w:spacing w:val="-2"/>
              </w:rPr>
              <w:t>4.8</w:t>
            </w:r>
          </w:p>
        </w:tc>
      </w:tr>
      <w:tr>
        <w:trPr>
          <w:trHeight w:val="283" w:hRule="atLeast"/>
        </w:trPr>
        <w:tc>
          <w:tcPr>
            <w:tcW w:w="4040" w:type="dxa"/>
            <w:vAlign w:val="top"/>
            <w:gridSpan w:val="3"/>
          </w:tcPr>
          <w:p>
            <w:pPr>
              <w:pStyle w:val="TableText"/>
              <w:ind w:left="1285"/>
              <w:spacing w:before="47" w:line="198" w:lineRule="auto"/>
              <w:rPr>
                <w:sz w:val="21"/>
                <w:szCs w:val="21"/>
              </w:rPr>
            </w:pPr>
            <w:r>
              <w:rPr>
                <w:sz w:val="21"/>
                <w:szCs w:val="21"/>
                <w:spacing w:val="1"/>
              </w:rPr>
              <w:t>办公及生活用水</w:t>
            </w:r>
          </w:p>
        </w:tc>
        <w:tc>
          <w:tcPr>
            <w:tcW w:w="1538" w:type="dxa"/>
            <w:vAlign w:val="top"/>
          </w:tcPr>
          <w:p>
            <w:pPr>
              <w:pStyle w:val="TableText"/>
              <w:ind w:left="655"/>
              <w:spacing w:before="68" w:line="180" w:lineRule="auto"/>
              <w:rPr>
                <w:sz w:val="21"/>
                <w:szCs w:val="21"/>
              </w:rPr>
            </w:pPr>
            <w:r>
              <w:rPr>
                <w:sz w:val="21"/>
                <w:szCs w:val="21"/>
                <w:spacing w:val="-6"/>
              </w:rPr>
              <w:t>18</w:t>
            </w:r>
          </w:p>
        </w:tc>
        <w:tc>
          <w:tcPr>
            <w:tcW w:w="1059" w:type="dxa"/>
            <w:vAlign w:val="top"/>
          </w:tcPr>
          <w:p>
            <w:pPr>
              <w:pStyle w:val="TableText"/>
              <w:ind w:left="467"/>
              <w:spacing w:before="68" w:line="180" w:lineRule="auto"/>
              <w:rPr>
                <w:sz w:val="21"/>
                <w:szCs w:val="21"/>
              </w:rPr>
            </w:pPr>
            <w:r>
              <w:rPr>
                <w:sz w:val="21"/>
                <w:szCs w:val="21"/>
              </w:rPr>
              <w:t>1</w:t>
            </w:r>
          </w:p>
        </w:tc>
        <w:tc>
          <w:tcPr>
            <w:tcW w:w="1683" w:type="dxa"/>
            <w:vAlign w:val="top"/>
          </w:tcPr>
          <w:p>
            <w:pPr>
              <w:pStyle w:val="TableText"/>
              <w:ind w:left="628"/>
              <w:spacing w:before="68" w:line="180" w:lineRule="auto"/>
              <w:rPr>
                <w:sz w:val="21"/>
                <w:szCs w:val="21"/>
              </w:rPr>
            </w:pPr>
            <w:r>
              <w:rPr>
                <w:sz w:val="21"/>
                <w:szCs w:val="21"/>
                <w:spacing w:val="-5"/>
              </w:rPr>
              <w:t>14.4</w:t>
            </w:r>
          </w:p>
        </w:tc>
      </w:tr>
    </w:tbl>
    <w:p>
      <w:pPr>
        <w:ind w:left="84" w:right="134" w:firstLine="510"/>
        <w:spacing w:before="53" w:line="374" w:lineRule="auto"/>
        <w:rPr>
          <w:rFonts w:ascii="SimSun" w:hAnsi="SimSun" w:eastAsia="SimSun" w:cs="SimSun"/>
          <w:sz w:val="23"/>
          <w:szCs w:val="23"/>
        </w:rPr>
      </w:pPr>
      <w:r>
        <w:rPr>
          <w:rFonts w:ascii="SimSun" w:hAnsi="SimSun" w:eastAsia="SimSun" w:cs="SimSun"/>
          <w:sz w:val="24"/>
          <w:szCs w:val="24"/>
        </w:rPr>
        <w:t>生活污水浓度参考《排放源统计调查产排污核算方法和系数手册》(环境</w:t>
      </w:r>
      <w:r>
        <w:rPr>
          <w:rFonts w:ascii="SimSun" w:hAnsi="SimSun" w:eastAsia="SimSun" w:cs="SimSun"/>
          <w:sz w:val="24"/>
          <w:szCs w:val="24"/>
          <w:spacing w:val="4"/>
        </w:rPr>
        <w:t xml:space="preserve">  </w:t>
      </w:r>
      <w:r>
        <w:rPr>
          <w:rFonts w:ascii="SimSun" w:hAnsi="SimSun" w:eastAsia="SimSun" w:cs="SimSun"/>
          <w:sz w:val="23"/>
          <w:szCs w:val="23"/>
          <w:spacing w:val="16"/>
        </w:rPr>
        <w:t>部公告2021年第24号)中生活污染源产排污系数手册“第一</w:t>
      </w:r>
      <w:r>
        <w:rPr>
          <w:rFonts w:ascii="SimSun" w:hAnsi="SimSun" w:eastAsia="SimSun" w:cs="SimSun"/>
          <w:sz w:val="23"/>
          <w:szCs w:val="23"/>
          <w:spacing w:val="15"/>
        </w:rPr>
        <w:t>部分城镇生活源水</w:t>
      </w:r>
      <w:r>
        <w:rPr>
          <w:rFonts w:ascii="SimSun" w:hAnsi="SimSun" w:eastAsia="SimSun" w:cs="SimSun"/>
          <w:sz w:val="23"/>
          <w:szCs w:val="23"/>
        </w:rPr>
        <w:t xml:space="preserve"> </w:t>
      </w:r>
      <w:r>
        <w:rPr>
          <w:rFonts w:ascii="SimSun" w:hAnsi="SimSun" w:eastAsia="SimSun" w:cs="SimSun"/>
          <w:sz w:val="23"/>
          <w:szCs w:val="23"/>
          <w:spacing w:val="12"/>
        </w:rPr>
        <w:t>污染物产生系数”,四川分为第六区，具体如下：</w:t>
      </w:r>
    </w:p>
    <w:p>
      <w:pPr>
        <w:ind w:left="2268"/>
        <w:spacing w:line="216" w:lineRule="auto"/>
        <w:rPr>
          <w:rFonts w:ascii="SimSun" w:hAnsi="SimSun" w:eastAsia="SimSun" w:cs="SimSun"/>
          <w:sz w:val="23"/>
          <w:szCs w:val="23"/>
        </w:rPr>
      </w:pPr>
      <w:r>
        <w:rPr>
          <w:rFonts w:ascii="SimSun" w:hAnsi="SimSun" w:eastAsia="SimSun" w:cs="SimSun"/>
          <w:sz w:val="23"/>
          <w:szCs w:val="23"/>
          <w:b/>
          <w:bCs/>
          <w:spacing w:val="-3"/>
        </w:rPr>
        <w:t>表3.11-2项目生活污水水质情况一览表</w:t>
      </w:r>
    </w:p>
    <w:tbl>
      <w:tblPr>
        <w:tblStyle w:val="TableNormal"/>
        <w:tblW w:w="8320" w:type="dxa"/>
        <w:tblInd w:w="104"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404"/>
        <w:gridCol w:w="1778"/>
        <w:gridCol w:w="839"/>
        <w:gridCol w:w="769"/>
        <w:gridCol w:w="689"/>
        <w:gridCol w:w="699"/>
        <w:gridCol w:w="619"/>
        <w:gridCol w:w="619"/>
        <w:gridCol w:w="904"/>
      </w:tblGrid>
      <w:tr>
        <w:trPr>
          <w:trHeight w:val="273" w:hRule="atLeast"/>
        </w:trPr>
        <w:tc>
          <w:tcPr>
            <w:shd w:val="clear" w:fill="BDBDBD"/>
            <w:tcW w:w="1404" w:type="dxa"/>
            <w:vAlign w:val="top"/>
          </w:tcPr>
          <w:p>
            <w:pPr>
              <w:pStyle w:val="TableText"/>
              <w:ind w:left="278"/>
              <w:spacing w:before="29" w:line="205" w:lineRule="auto"/>
              <w:rPr>
                <w:sz w:val="21"/>
                <w:szCs w:val="21"/>
              </w:rPr>
            </w:pPr>
            <w:r>
              <w:rPr>
                <w:sz w:val="21"/>
                <w:szCs w:val="21"/>
                <w:b/>
                <w:bCs/>
                <w:spacing w:val="-5"/>
              </w:rPr>
              <w:t>生活污水</w:t>
            </w:r>
          </w:p>
        </w:tc>
        <w:tc>
          <w:tcPr>
            <w:shd w:val="clear" w:fill="BDBDBD"/>
            <w:tcW w:w="1778" w:type="dxa"/>
            <w:vAlign w:val="top"/>
          </w:tcPr>
          <w:p>
            <w:pPr>
              <w:pStyle w:val="TableText"/>
              <w:ind w:left="354"/>
              <w:spacing w:before="30" w:line="204" w:lineRule="auto"/>
              <w:rPr>
                <w:sz w:val="21"/>
                <w:szCs w:val="21"/>
              </w:rPr>
            </w:pPr>
            <w:r>
              <w:rPr>
                <w:sz w:val="21"/>
                <w:szCs w:val="21"/>
                <w:b/>
                <w:bCs/>
                <w:spacing w:val="-4"/>
              </w:rPr>
              <w:t>污染物名称</w:t>
            </w:r>
          </w:p>
        </w:tc>
        <w:tc>
          <w:tcPr>
            <w:shd w:val="clear" w:fill="BDBDBD"/>
            <w:tcW w:w="839" w:type="dxa"/>
            <w:vAlign w:val="top"/>
          </w:tcPr>
          <w:p>
            <w:pPr>
              <w:pStyle w:val="TableText"/>
              <w:ind w:left="256"/>
              <w:spacing w:before="86" w:line="177" w:lineRule="exact"/>
              <w:rPr>
                <w:sz w:val="21"/>
                <w:szCs w:val="21"/>
              </w:rPr>
            </w:pPr>
            <w:r>
              <w:rPr>
                <w:sz w:val="21"/>
                <w:szCs w:val="21"/>
                <w:b/>
                <w:bCs/>
                <w:spacing w:val="-4"/>
                <w:position w:val="-2"/>
              </w:rPr>
              <w:t>COD</w:t>
            </w:r>
          </w:p>
        </w:tc>
        <w:tc>
          <w:tcPr>
            <w:shd w:val="clear" w:fill="BDBDBD"/>
            <w:tcW w:w="769" w:type="dxa"/>
            <w:vAlign w:val="top"/>
          </w:tcPr>
          <w:p>
            <w:pPr>
              <w:pStyle w:val="TableText"/>
              <w:ind w:left="117"/>
              <w:spacing w:before="65" w:line="174" w:lineRule="auto"/>
              <w:rPr>
                <w:rFonts w:ascii="Calibri" w:hAnsi="Calibri" w:eastAsia="Calibri" w:cs="Calibri"/>
                <w:sz w:val="21"/>
                <w:szCs w:val="21"/>
              </w:rPr>
            </w:pPr>
            <w:r>
              <w:rPr>
                <w:sz w:val="21"/>
                <w:szCs w:val="21"/>
                <w:b/>
                <w:bCs/>
                <w:spacing w:val="-3"/>
              </w:rPr>
              <w:t>BOD</w:t>
            </w:r>
            <w:r>
              <w:rPr>
                <w:rFonts w:ascii="Calibri" w:hAnsi="Calibri" w:eastAsia="Calibri" w:cs="Calibri"/>
                <w:sz w:val="21"/>
                <w:szCs w:val="21"/>
                <w:b/>
                <w:bCs/>
                <w:spacing w:val="-3"/>
              </w:rPr>
              <w:t>₅</w:t>
            </w:r>
          </w:p>
        </w:tc>
        <w:tc>
          <w:tcPr>
            <w:shd w:val="clear" w:fill="BDBDBD"/>
            <w:tcW w:w="689" w:type="dxa"/>
            <w:vAlign w:val="top"/>
          </w:tcPr>
          <w:p>
            <w:pPr>
              <w:pStyle w:val="TableText"/>
              <w:ind w:left="238"/>
              <w:spacing w:before="86" w:line="177" w:lineRule="exact"/>
              <w:rPr>
                <w:sz w:val="21"/>
                <w:szCs w:val="21"/>
              </w:rPr>
            </w:pPr>
            <w:r>
              <w:rPr>
                <w:sz w:val="21"/>
                <w:szCs w:val="21"/>
                <w:b/>
                <w:bCs/>
                <w:spacing w:val="-5"/>
                <w:position w:val="-2"/>
              </w:rPr>
              <w:t>SS</w:t>
            </w:r>
          </w:p>
        </w:tc>
        <w:tc>
          <w:tcPr>
            <w:shd w:val="clear" w:fill="BEBEBE"/>
            <w:tcW w:w="699" w:type="dxa"/>
            <w:vAlign w:val="top"/>
          </w:tcPr>
          <w:p>
            <w:pPr>
              <w:pStyle w:val="TableText"/>
              <w:ind w:left="29"/>
              <w:spacing w:before="67" w:line="172" w:lineRule="auto"/>
              <w:rPr>
                <w:sz w:val="21"/>
                <w:szCs w:val="21"/>
              </w:rPr>
            </w:pPr>
            <w:r>
              <w:rPr>
                <w:sz w:val="21"/>
                <w:szCs w:val="21"/>
                <w:b/>
                <w:bCs/>
                <w:spacing w:val="-3"/>
              </w:rPr>
              <w:t>NH</w:t>
            </w:r>
            <w:r>
              <w:rPr>
                <w:rFonts w:ascii="Calibri" w:hAnsi="Calibri" w:eastAsia="Calibri" w:cs="Calibri"/>
                <w:sz w:val="21"/>
                <w:szCs w:val="21"/>
                <w:b/>
                <w:bCs/>
                <w:spacing w:val="-3"/>
              </w:rPr>
              <w:t>₃</w:t>
            </w:r>
            <w:r>
              <w:rPr>
                <w:sz w:val="21"/>
                <w:szCs w:val="21"/>
                <w:b/>
                <w:bCs/>
                <w:spacing w:val="-3"/>
              </w:rPr>
              <w:t>-N</w:t>
            </w:r>
          </w:p>
        </w:tc>
        <w:tc>
          <w:tcPr>
            <w:shd w:val="clear" w:fill="BDBDBD"/>
            <w:tcW w:w="619" w:type="dxa"/>
            <w:vAlign w:val="top"/>
          </w:tcPr>
          <w:p>
            <w:pPr>
              <w:pStyle w:val="TableText"/>
              <w:ind w:left="200"/>
              <w:spacing w:before="89" w:line="174" w:lineRule="exact"/>
              <w:rPr>
                <w:sz w:val="21"/>
                <w:szCs w:val="21"/>
              </w:rPr>
            </w:pPr>
            <w:r>
              <w:rPr>
                <w:sz w:val="21"/>
                <w:szCs w:val="21"/>
                <w:b/>
                <w:bCs/>
                <w:spacing w:val="-4"/>
                <w:position w:val="-2"/>
              </w:rPr>
              <w:t>TN</w:t>
            </w:r>
          </w:p>
        </w:tc>
        <w:tc>
          <w:tcPr>
            <w:shd w:val="clear" w:fill="BDBDBD"/>
            <w:tcW w:w="619" w:type="dxa"/>
            <w:vAlign w:val="top"/>
          </w:tcPr>
          <w:p>
            <w:pPr>
              <w:pStyle w:val="TableText"/>
              <w:ind w:left="201"/>
              <w:spacing w:before="89" w:line="174" w:lineRule="exact"/>
              <w:rPr>
                <w:sz w:val="21"/>
                <w:szCs w:val="21"/>
              </w:rPr>
            </w:pPr>
            <w:r>
              <w:rPr>
                <w:sz w:val="21"/>
                <w:szCs w:val="21"/>
                <w:b/>
                <w:bCs/>
                <w:spacing w:val="-4"/>
                <w:position w:val="-2"/>
              </w:rPr>
              <w:t>TP</w:t>
            </w:r>
          </w:p>
        </w:tc>
        <w:tc>
          <w:tcPr>
            <w:shd w:val="clear" w:fill="BDBDBD"/>
            <w:tcW w:w="904" w:type="dxa"/>
            <w:vAlign w:val="top"/>
          </w:tcPr>
          <w:p>
            <w:pPr>
              <w:pStyle w:val="TableText"/>
              <w:ind w:left="32"/>
              <w:spacing w:before="29" w:line="205" w:lineRule="auto"/>
              <w:rPr>
                <w:sz w:val="21"/>
                <w:szCs w:val="21"/>
              </w:rPr>
            </w:pPr>
            <w:r>
              <w:rPr>
                <w:sz w:val="21"/>
                <w:szCs w:val="21"/>
                <w:b/>
                <w:bCs/>
                <w:spacing w:val="1"/>
              </w:rPr>
              <w:t>动植物油</w:t>
            </w:r>
          </w:p>
        </w:tc>
      </w:tr>
      <w:tr>
        <w:trPr>
          <w:trHeight w:val="277" w:hRule="atLeast"/>
        </w:trPr>
        <w:tc>
          <w:tcPr>
            <w:tcW w:w="1404" w:type="dxa"/>
            <w:vAlign w:val="top"/>
            <w:vMerge w:val="restart"/>
            <w:tcBorders>
              <w:bottom w:val="nil"/>
            </w:tcBorders>
          </w:tcPr>
          <w:p>
            <w:pPr>
              <w:pStyle w:val="TableText"/>
              <w:ind w:left="485"/>
              <w:spacing w:before="29" w:line="219" w:lineRule="auto"/>
              <w:rPr>
                <w:sz w:val="21"/>
                <w:szCs w:val="21"/>
              </w:rPr>
            </w:pPr>
            <w:r>
              <w:rPr>
                <w:sz w:val="21"/>
                <w:szCs w:val="21"/>
                <w:color w:val="404040"/>
                <w:spacing w:val="4"/>
              </w:rPr>
              <w:t>淡季</w:t>
            </w:r>
          </w:p>
          <w:p>
            <w:pPr>
              <w:pStyle w:val="TableText"/>
              <w:ind w:left="115"/>
              <w:spacing w:before="54" w:line="194" w:lineRule="auto"/>
              <w:rPr>
                <w:sz w:val="21"/>
                <w:szCs w:val="21"/>
              </w:rPr>
            </w:pPr>
            <w:r>
              <w:rPr>
                <w:sz w:val="21"/>
                <w:szCs w:val="21"/>
                <w:spacing w:val="-5"/>
              </w:rPr>
              <w:t>(3888m³/a)</w:t>
            </w:r>
          </w:p>
        </w:tc>
        <w:tc>
          <w:tcPr>
            <w:tcW w:w="1778" w:type="dxa"/>
            <w:vAlign w:val="top"/>
          </w:tcPr>
          <w:p>
            <w:pPr>
              <w:pStyle w:val="TableText"/>
              <w:ind w:left="141"/>
              <w:spacing w:before="33" w:line="205" w:lineRule="auto"/>
              <w:rPr>
                <w:sz w:val="21"/>
                <w:szCs w:val="21"/>
              </w:rPr>
            </w:pPr>
            <w:r>
              <w:rPr>
                <w:sz w:val="21"/>
                <w:szCs w:val="21"/>
                <w:spacing w:val="5"/>
              </w:rPr>
              <w:t>产生浓度(</w:t>
            </w:r>
            <w:r>
              <w:rPr>
                <w:sz w:val="21"/>
                <w:szCs w:val="21"/>
              </w:rPr>
              <w:t>mg</w:t>
            </w:r>
            <w:r>
              <w:rPr>
                <w:sz w:val="21"/>
                <w:szCs w:val="21"/>
                <w:spacing w:val="5"/>
              </w:rPr>
              <w:t>/L)</w:t>
            </w:r>
          </w:p>
        </w:tc>
        <w:tc>
          <w:tcPr>
            <w:tcW w:w="839" w:type="dxa"/>
            <w:vAlign w:val="top"/>
          </w:tcPr>
          <w:p>
            <w:pPr>
              <w:pStyle w:val="TableText"/>
              <w:ind w:left="253"/>
              <w:spacing w:before="61" w:line="181" w:lineRule="auto"/>
              <w:rPr>
                <w:sz w:val="21"/>
                <w:szCs w:val="21"/>
              </w:rPr>
            </w:pPr>
            <w:r>
              <w:rPr>
                <w:sz w:val="21"/>
                <w:szCs w:val="21"/>
                <w:spacing w:val="-3"/>
              </w:rPr>
              <w:t>325</w:t>
            </w:r>
          </w:p>
        </w:tc>
        <w:tc>
          <w:tcPr>
            <w:tcW w:w="769" w:type="dxa"/>
            <w:vAlign w:val="top"/>
          </w:tcPr>
          <w:p>
            <w:pPr>
              <w:pStyle w:val="TableText"/>
              <w:ind w:left="214"/>
              <w:spacing w:before="61" w:line="181" w:lineRule="auto"/>
              <w:rPr>
                <w:sz w:val="21"/>
                <w:szCs w:val="21"/>
              </w:rPr>
            </w:pPr>
            <w:r>
              <w:rPr>
                <w:sz w:val="21"/>
                <w:szCs w:val="21"/>
                <w:spacing w:val="-3"/>
              </w:rPr>
              <w:t>200</w:t>
            </w:r>
          </w:p>
        </w:tc>
        <w:tc>
          <w:tcPr>
            <w:tcW w:w="689" w:type="dxa"/>
            <w:vAlign w:val="top"/>
          </w:tcPr>
          <w:p>
            <w:pPr>
              <w:pStyle w:val="TableText"/>
              <w:ind w:left="175"/>
              <w:spacing w:before="61" w:line="181" w:lineRule="auto"/>
              <w:rPr>
                <w:sz w:val="21"/>
                <w:szCs w:val="21"/>
              </w:rPr>
            </w:pPr>
            <w:r>
              <w:rPr>
                <w:sz w:val="21"/>
                <w:szCs w:val="21"/>
                <w:spacing w:val="-3"/>
              </w:rPr>
              <w:t>200</w:t>
            </w:r>
          </w:p>
        </w:tc>
        <w:tc>
          <w:tcPr>
            <w:tcW w:w="699" w:type="dxa"/>
            <w:vAlign w:val="top"/>
          </w:tcPr>
          <w:p>
            <w:pPr>
              <w:pStyle w:val="TableText"/>
              <w:ind w:left="136"/>
              <w:spacing w:before="61" w:line="181" w:lineRule="auto"/>
              <w:rPr>
                <w:sz w:val="21"/>
                <w:szCs w:val="21"/>
              </w:rPr>
            </w:pPr>
            <w:r>
              <w:rPr>
                <w:sz w:val="21"/>
                <w:szCs w:val="21"/>
                <w:spacing w:val="-3"/>
              </w:rPr>
              <w:t>37.7</w:t>
            </w:r>
          </w:p>
        </w:tc>
        <w:tc>
          <w:tcPr>
            <w:tcW w:w="619" w:type="dxa"/>
            <w:vAlign w:val="top"/>
          </w:tcPr>
          <w:p>
            <w:pPr>
              <w:pStyle w:val="TableText"/>
              <w:ind w:left="97"/>
              <w:spacing w:before="61" w:line="181" w:lineRule="auto"/>
              <w:rPr>
                <w:sz w:val="21"/>
                <w:szCs w:val="21"/>
              </w:rPr>
            </w:pPr>
            <w:r>
              <w:rPr>
                <w:sz w:val="21"/>
                <w:szCs w:val="21"/>
                <w:spacing w:val="-2"/>
              </w:rPr>
              <w:t>49.8</w:t>
            </w:r>
          </w:p>
        </w:tc>
        <w:tc>
          <w:tcPr>
            <w:tcW w:w="619" w:type="dxa"/>
            <w:vAlign w:val="top"/>
          </w:tcPr>
          <w:p>
            <w:pPr>
              <w:pStyle w:val="TableText"/>
              <w:ind w:left="98"/>
              <w:spacing w:before="61" w:line="181" w:lineRule="auto"/>
              <w:rPr>
                <w:sz w:val="21"/>
                <w:szCs w:val="21"/>
              </w:rPr>
            </w:pPr>
            <w:r>
              <w:rPr>
                <w:sz w:val="21"/>
                <w:szCs w:val="21"/>
                <w:spacing w:val="-2"/>
              </w:rPr>
              <w:t>4.28</w:t>
            </w:r>
          </w:p>
        </w:tc>
        <w:tc>
          <w:tcPr>
            <w:tcW w:w="904" w:type="dxa"/>
            <w:vAlign w:val="top"/>
          </w:tcPr>
          <w:p>
            <w:pPr>
              <w:pStyle w:val="TableText"/>
              <w:ind w:left="339"/>
              <w:spacing w:before="61" w:line="181" w:lineRule="auto"/>
              <w:rPr>
                <w:sz w:val="21"/>
                <w:szCs w:val="21"/>
              </w:rPr>
            </w:pPr>
            <w:r>
              <w:rPr>
                <w:sz w:val="21"/>
                <w:szCs w:val="21"/>
                <w:spacing w:val="-3"/>
              </w:rPr>
              <w:t>20</w:t>
            </w:r>
          </w:p>
        </w:tc>
      </w:tr>
      <w:tr>
        <w:trPr>
          <w:trHeight w:val="277" w:hRule="atLeast"/>
        </w:trPr>
        <w:tc>
          <w:tcPr>
            <w:tcW w:w="1404" w:type="dxa"/>
            <w:vAlign w:val="top"/>
            <w:vMerge w:val="continue"/>
            <w:tcBorders>
              <w:top w:val="nil"/>
            </w:tcBorders>
          </w:tcPr>
          <w:p>
            <w:pPr>
              <w:rPr>
                <w:rFonts w:ascii="Arial"/>
                <w:sz w:val="21"/>
              </w:rPr>
            </w:pPr>
            <w:r/>
          </w:p>
        </w:tc>
        <w:tc>
          <w:tcPr>
            <w:tcW w:w="1778" w:type="dxa"/>
            <w:vAlign w:val="top"/>
          </w:tcPr>
          <w:p>
            <w:pPr>
              <w:pStyle w:val="TableText"/>
              <w:ind w:left="301"/>
              <w:spacing w:before="42" w:line="197" w:lineRule="auto"/>
              <w:rPr>
                <w:sz w:val="21"/>
                <w:szCs w:val="21"/>
              </w:rPr>
            </w:pPr>
            <w:r>
              <w:rPr>
                <w:sz w:val="21"/>
                <w:szCs w:val="21"/>
                <w:spacing w:val="5"/>
              </w:rPr>
              <w:t>产生量(t/a)</w:t>
            </w:r>
          </w:p>
        </w:tc>
        <w:tc>
          <w:tcPr>
            <w:tcW w:w="839" w:type="dxa"/>
            <w:vAlign w:val="top"/>
          </w:tcPr>
          <w:p>
            <w:pPr>
              <w:pStyle w:val="TableText"/>
              <w:ind w:left="93"/>
              <w:spacing w:before="64" w:line="178" w:lineRule="auto"/>
              <w:rPr>
                <w:sz w:val="21"/>
                <w:szCs w:val="21"/>
              </w:rPr>
            </w:pPr>
            <w:r>
              <w:rPr>
                <w:sz w:val="21"/>
                <w:szCs w:val="21"/>
                <w:spacing w:val="-4"/>
              </w:rPr>
              <w:t>1.2636</w:t>
            </w:r>
          </w:p>
        </w:tc>
        <w:tc>
          <w:tcPr>
            <w:tcW w:w="769" w:type="dxa"/>
            <w:vAlign w:val="top"/>
          </w:tcPr>
          <w:p>
            <w:pPr>
              <w:pStyle w:val="TableText"/>
              <w:ind w:left="64"/>
              <w:spacing w:before="64" w:line="178" w:lineRule="auto"/>
              <w:rPr>
                <w:sz w:val="21"/>
                <w:szCs w:val="21"/>
              </w:rPr>
            </w:pPr>
            <w:r>
              <w:rPr>
                <w:sz w:val="21"/>
                <w:szCs w:val="21"/>
                <w:spacing w:val="-2"/>
              </w:rPr>
              <w:t>0.7776</w:t>
            </w:r>
          </w:p>
        </w:tc>
        <w:tc>
          <w:tcPr>
            <w:tcW w:w="689" w:type="dxa"/>
            <w:vAlign w:val="top"/>
          </w:tcPr>
          <w:p>
            <w:pPr>
              <w:pStyle w:val="TableText"/>
              <w:ind w:left="25"/>
              <w:spacing w:before="64" w:line="178" w:lineRule="auto"/>
              <w:rPr>
                <w:sz w:val="21"/>
                <w:szCs w:val="21"/>
              </w:rPr>
            </w:pPr>
            <w:r>
              <w:rPr>
                <w:sz w:val="21"/>
                <w:szCs w:val="21"/>
                <w:spacing w:val="-2"/>
              </w:rPr>
              <w:t>0.7776</w:t>
            </w:r>
          </w:p>
        </w:tc>
        <w:tc>
          <w:tcPr>
            <w:tcW w:w="699" w:type="dxa"/>
            <w:vAlign w:val="top"/>
          </w:tcPr>
          <w:p>
            <w:pPr>
              <w:pStyle w:val="TableText"/>
              <w:ind w:left="26"/>
              <w:spacing w:before="64" w:line="178" w:lineRule="auto"/>
              <w:rPr>
                <w:sz w:val="21"/>
                <w:szCs w:val="21"/>
              </w:rPr>
            </w:pPr>
            <w:r>
              <w:rPr>
                <w:sz w:val="21"/>
                <w:szCs w:val="21"/>
                <w:spacing w:val="-2"/>
              </w:rPr>
              <w:t>0.1466</w:t>
            </w:r>
          </w:p>
        </w:tc>
        <w:tc>
          <w:tcPr>
            <w:tcW w:w="619" w:type="dxa"/>
            <w:vAlign w:val="top"/>
          </w:tcPr>
          <w:p>
            <w:pPr>
              <w:pStyle w:val="TableText"/>
              <w:spacing w:before="64" w:line="178" w:lineRule="auto"/>
              <w:jc w:val="right"/>
              <w:rPr>
                <w:sz w:val="21"/>
                <w:szCs w:val="21"/>
              </w:rPr>
            </w:pPr>
            <w:r>
              <w:rPr>
                <w:sz w:val="21"/>
                <w:szCs w:val="21"/>
                <w:spacing w:val="-7"/>
              </w:rPr>
              <w:t>0.1936</w:t>
            </w:r>
          </w:p>
        </w:tc>
        <w:tc>
          <w:tcPr>
            <w:tcW w:w="619" w:type="dxa"/>
            <w:vAlign w:val="top"/>
          </w:tcPr>
          <w:p>
            <w:pPr>
              <w:pStyle w:val="TableText"/>
              <w:spacing w:before="64" w:line="178" w:lineRule="auto"/>
              <w:jc w:val="right"/>
              <w:rPr>
                <w:sz w:val="21"/>
                <w:szCs w:val="21"/>
              </w:rPr>
            </w:pPr>
            <w:r>
              <w:rPr>
                <w:sz w:val="21"/>
                <w:szCs w:val="21"/>
                <w:spacing w:val="-7"/>
              </w:rPr>
              <w:t>0.0166</w:t>
            </w:r>
          </w:p>
        </w:tc>
        <w:tc>
          <w:tcPr>
            <w:tcW w:w="904" w:type="dxa"/>
            <w:vAlign w:val="top"/>
          </w:tcPr>
          <w:p>
            <w:pPr>
              <w:pStyle w:val="TableText"/>
              <w:ind w:left="128"/>
              <w:spacing w:before="64" w:line="178" w:lineRule="auto"/>
              <w:rPr>
                <w:sz w:val="21"/>
                <w:szCs w:val="21"/>
              </w:rPr>
            </w:pPr>
            <w:r>
              <w:rPr>
                <w:sz w:val="21"/>
                <w:szCs w:val="21"/>
                <w:spacing w:val="-2"/>
              </w:rPr>
              <w:t>0.0778</w:t>
            </w:r>
          </w:p>
        </w:tc>
      </w:tr>
      <w:tr>
        <w:trPr>
          <w:trHeight w:val="273" w:hRule="atLeast"/>
        </w:trPr>
        <w:tc>
          <w:tcPr>
            <w:tcW w:w="1404" w:type="dxa"/>
            <w:vAlign w:val="top"/>
          </w:tcPr>
          <w:p>
            <w:pPr>
              <w:pStyle w:val="TableText"/>
              <w:ind w:left="485"/>
              <w:spacing w:before="36" w:line="199" w:lineRule="auto"/>
              <w:rPr>
                <w:sz w:val="21"/>
                <w:szCs w:val="21"/>
              </w:rPr>
            </w:pPr>
            <w:r>
              <w:rPr>
                <w:sz w:val="21"/>
                <w:szCs w:val="21"/>
                <w:color w:val="606060"/>
                <w:spacing w:val="4"/>
              </w:rPr>
              <w:t>旺季</w:t>
            </w:r>
          </w:p>
        </w:tc>
        <w:tc>
          <w:tcPr>
            <w:tcW w:w="1778" w:type="dxa"/>
            <w:vAlign w:val="top"/>
          </w:tcPr>
          <w:p>
            <w:pPr>
              <w:pStyle w:val="TableText"/>
              <w:ind w:left="141"/>
              <w:spacing w:before="29" w:line="205" w:lineRule="auto"/>
              <w:rPr>
                <w:sz w:val="21"/>
                <w:szCs w:val="21"/>
              </w:rPr>
            </w:pPr>
            <w:r>
              <w:rPr>
                <w:sz w:val="21"/>
                <w:szCs w:val="21"/>
                <w:spacing w:val="5"/>
              </w:rPr>
              <w:t>产生浓度(</w:t>
            </w:r>
            <w:r>
              <w:rPr>
                <w:sz w:val="21"/>
                <w:szCs w:val="21"/>
              </w:rPr>
              <w:t>mg</w:t>
            </w:r>
            <w:r>
              <w:rPr>
                <w:sz w:val="21"/>
                <w:szCs w:val="21"/>
                <w:spacing w:val="5"/>
              </w:rPr>
              <w:t>/L)</w:t>
            </w:r>
          </w:p>
        </w:tc>
        <w:tc>
          <w:tcPr>
            <w:tcW w:w="839" w:type="dxa"/>
            <w:vAlign w:val="top"/>
          </w:tcPr>
          <w:p>
            <w:pPr>
              <w:pStyle w:val="TableText"/>
              <w:ind w:left="253"/>
              <w:spacing w:before="57" w:line="181" w:lineRule="auto"/>
              <w:rPr>
                <w:sz w:val="21"/>
                <w:szCs w:val="21"/>
              </w:rPr>
            </w:pPr>
            <w:r>
              <w:rPr>
                <w:sz w:val="21"/>
                <w:szCs w:val="21"/>
                <w:spacing w:val="-3"/>
              </w:rPr>
              <w:t>325</w:t>
            </w:r>
          </w:p>
        </w:tc>
        <w:tc>
          <w:tcPr>
            <w:tcW w:w="769" w:type="dxa"/>
            <w:vAlign w:val="top"/>
          </w:tcPr>
          <w:p>
            <w:pPr>
              <w:pStyle w:val="TableText"/>
              <w:ind w:left="214"/>
              <w:spacing w:before="57" w:line="181" w:lineRule="auto"/>
              <w:rPr>
                <w:sz w:val="21"/>
                <w:szCs w:val="21"/>
              </w:rPr>
            </w:pPr>
            <w:r>
              <w:rPr>
                <w:sz w:val="21"/>
                <w:szCs w:val="21"/>
                <w:spacing w:val="-3"/>
              </w:rPr>
              <w:t>200</w:t>
            </w:r>
          </w:p>
        </w:tc>
        <w:tc>
          <w:tcPr>
            <w:tcW w:w="689" w:type="dxa"/>
            <w:vAlign w:val="top"/>
          </w:tcPr>
          <w:p>
            <w:pPr>
              <w:pStyle w:val="TableText"/>
              <w:ind w:left="175"/>
              <w:spacing w:before="57" w:line="181" w:lineRule="auto"/>
              <w:rPr>
                <w:sz w:val="21"/>
                <w:szCs w:val="21"/>
              </w:rPr>
            </w:pPr>
            <w:r>
              <w:rPr>
                <w:sz w:val="21"/>
                <w:szCs w:val="21"/>
                <w:spacing w:val="-3"/>
              </w:rPr>
              <w:t>200</w:t>
            </w:r>
          </w:p>
        </w:tc>
        <w:tc>
          <w:tcPr>
            <w:tcW w:w="699" w:type="dxa"/>
            <w:vAlign w:val="top"/>
          </w:tcPr>
          <w:p>
            <w:pPr>
              <w:pStyle w:val="TableText"/>
              <w:ind w:left="136"/>
              <w:spacing w:before="57" w:line="181" w:lineRule="auto"/>
              <w:rPr>
                <w:sz w:val="21"/>
                <w:szCs w:val="21"/>
              </w:rPr>
            </w:pPr>
            <w:r>
              <w:rPr>
                <w:sz w:val="21"/>
                <w:szCs w:val="21"/>
                <w:spacing w:val="-3"/>
              </w:rPr>
              <w:t>37.7</w:t>
            </w:r>
          </w:p>
        </w:tc>
        <w:tc>
          <w:tcPr>
            <w:tcW w:w="619" w:type="dxa"/>
            <w:vAlign w:val="top"/>
          </w:tcPr>
          <w:p>
            <w:pPr>
              <w:pStyle w:val="TableText"/>
              <w:ind w:left="97"/>
              <w:spacing w:before="57" w:line="181" w:lineRule="auto"/>
              <w:rPr>
                <w:sz w:val="21"/>
                <w:szCs w:val="21"/>
              </w:rPr>
            </w:pPr>
            <w:r>
              <w:rPr>
                <w:sz w:val="21"/>
                <w:szCs w:val="21"/>
                <w:spacing w:val="-2"/>
              </w:rPr>
              <w:t>49.8</w:t>
            </w:r>
          </w:p>
        </w:tc>
        <w:tc>
          <w:tcPr>
            <w:tcW w:w="619" w:type="dxa"/>
            <w:vAlign w:val="top"/>
          </w:tcPr>
          <w:p>
            <w:pPr>
              <w:pStyle w:val="TableText"/>
              <w:ind w:left="98"/>
              <w:spacing w:before="57" w:line="181" w:lineRule="auto"/>
              <w:rPr>
                <w:sz w:val="21"/>
                <w:szCs w:val="21"/>
              </w:rPr>
            </w:pPr>
            <w:r>
              <w:rPr>
                <w:sz w:val="21"/>
                <w:szCs w:val="21"/>
                <w:spacing w:val="-2"/>
              </w:rPr>
              <w:t>4.28</w:t>
            </w:r>
          </w:p>
        </w:tc>
        <w:tc>
          <w:tcPr>
            <w:tcW w:w="904" w:type="dxa"/>
            <w:vAlign w:val="top"/>
          </w:tcPr>
          <w:p>
            <w:pPr>
              <w:pStyle w:val="TableText"/>
              <w:ind w:left="339"/>
              <w:spacing w:before="57" w:line="181" w:lineRule="auto"/>
              <w:rPr>
                <w:sz w:val="21"/>
                <w:szCs w:val="21"/>
              </w:rPr>
            </w:pPr>
            <w:r>
              <w:rPr>
                <w:sz w:val="21"/>
                <w:szCs w:val="21"/>
                <w:spacing w:val="-3"/>
              </w:rPr>
              <w:t>20</w:t>
            </w:r>
          </w:p>
        </w:tc>
      </w:tr>
    </w:tbl>
    <w:p>
      <w:pPr>
        <w:pStyle w:val="BodyText"/>
        <w:rPr/>
      </w:pPr>
      <w:r/>
    </w:p>
    <w:p>
      <w:pPr>
        <w:sectPr>
          <w:headerReference w:type="default" r:id="rId279"/>
          <w:footerReference w:type="default" r:id="rId280"/>
          <w:pgSz w:w="11910" w:h="16840"/>
          <w:pgMar w:top="1179" w:right="1715" w:bottom="947" w:left="1685" w:header="825" w:footer="740" w:gutter="0"/>
        </w:sectPr>
        <w:rPr/>
      </w:pPr>
    </w:p>
    <w:p>
      <w:pPr>
        <w:spacing w:line="224" w:lineRule="exact"/>
        <w:rPr/>
      </w:pPr>
      <w:r/>
    </w:p>
    <w:tbl>
      <w:tblPr>
        <w:tblStyle w:val="TableNormal"/>
        <w:tblW w:w="8330" w:type="dxa"/>
        <w:tblInd w:w="84"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414"/>
        <w:gridCol w:w="1768"/>
        <w:gridCol w:w="849"/>
        <w:gridCol w:w="759"/>
        <w:gridCol w:w="689"/>
        <w:gridCol w:w="699"/>
        <w:gridCol w:w="629"/>
        <w:gridCol w:w="619"/>
        <w:gridCol w:w="904"/>
      </w:tblGrid>
      <w:tr>
        <w:trPr>
          <w:trHeight w:val="261" w:hRule="atLeast"/>
        </w:trPr>
        <w:tc>
          <w:tcPr>
            <w:tcW w:w="1414" w:type="dxa"/>
            <w:vAlign w:val="top"/>
          </w:tcPr>
          <w:p>
            <w:pPr>
              <w:pStyle w:val="TableText"/>
              <w:ind w:left="115"/>
              <w:spacing w:before="37" w:line="188" w:lineRule="auto"/>
              <w:rPr>
                <w:sz w:val="21"/>
                <w:szCs w:val="21"/>
              </w:rPr>
            </w:pPr>
            <w:r>
              <w:rPr>
                <w:sz w:val="21"/>
                <w:szCs w:val="21"/>
                <w:spacing w:val="-5"/>
              </w:rPr>
              <w:t>(1296m³/a)</w:t>
            </w:r>
          </w:p>
        </w:tc>
        <w:tc>
          <w:tcPr>
            <w:tcW w:w="1768" w:type="dxa"/>
            <w:vAlign w:val="top"/>
          </w:tcPr>
          <w:p>
            <w:pPr>
              <w:pStyle w:val="TableText"/>
              <w:ind w:left="291"/>
              <w:spacing w:before="33" w:line="191" w:lineRule="auto"/>
              <w:rPr>
                <w:sz w:val="21"/>
                <w:szCs w:val="21"/>
              </w:rPr>
            </w:pPr>
            <w:r>
              <w:rPr>
                <w:sz w:val="21"/>
                <w:szCs w:val="21"/>
                <w:spacing w:val="6"/>
              </w:rPr>
              <w:t>产生量(t/a)</w:t>
            </w:r>
          </w:p>
        </w:tc>
        <w:tc>
          <w:tcPr>
            <w:tcW w:w="849" w:type="dxa"/>
            <w:vAlign w:val="top"/>
          </w:tcPr>
          <w:p>
            <w:pPr>
              <w:pStyle w:val="TableText"/>
              <w:ind w:left="103"/>
              <w:spacing w:before="54" w:line="173" w:lineRule="auto"/>
              <w:rPr>
                <w:sz w:val="21"/>
                <w:szCs w:val="21"/>
              </w:rPr>
            </w:pPr>
            <w:r>
              <w:rPr>
                <w:sz w:val="21"/>
                <w:szCs w:val="21"/>
                <w:spacing w:val="-2"/>
              </w:rPr>
              <w:t>0.4212</w:t>
            </w:r>
          </w:p>
        </w:tc>
        <w:tc>
          <w:tcPr>
            <w:tcW w:w="759" w:type="dxa"/>
            <w:vAlign w:val="top"/>
          </w:tcPr>
          <w:p>
            <w:pPr>
              <w:pStyle w:val="TableText"/>
              <w:ind w:left="54"/>
              <w:spacing w:before="54" w:line="173" w:lineRule="auto"/>
              <w:rPr>
                <w:sz w:val="21"/>
                <w:szCs w:val="21"/>
              </w:rPr>
            </w:pPr>
            <w:r>
              <w:rPr>
                <w:sz w:val="21"/>
                <w:szCs w:val="21"/>
                <w:spacing w:val="-2"/>
              </w:rPr>
              <w:t>0.2592</w:t>
            </w:r>
          </w:p>
        </w:tc>
        <w:tc>
          <w:tcPr>
            <w:tcW w:w="689" w:type="dxa"/>
            <w:vAlign w:val="top"/>
          </w:tcPr>
          <w:p>
            <w:pPr>
              <w:pStyle w:val="TableText"/>
              <w:ind w:left="25"/>
              <w:spacing w:before="54" w:line="173" w:lineRule="auto"/>
              <w:rPr>
                <w:sz w:val="21"/>
                <w:szCs w:val="21"/>
              </w:rPr>
            </w:pPr>
            <w:r>
              <w:rPr>
                <w:sz w:val="21"/>
                <w:szCs w:val="21"/>
                <w:spacing w:val="-2"/>
              </w:rPr>
              <w:t>0.2592</w:t>
            </w:r>
          </w:p>
        </w:tc>
        <w:tc>
          <w:tcPr>
            <w:tcW w:w="699" w:type="dxa"/>
            <w:vAlign w:val="top"/>
          </w:tcPr>
          <w:p>
            <w:pPr>
              <w:pStyle w:val="TableText"/>
              <w:ind w:left="26"/>
              <w:spacing w:before="54" w:line="173" w:lineRule="auto"/>
              <w:rPr>
                <w:sz w:val="21"/>
                <w:szCs w:val="21"/>
              </w:rPr>
            </w:pPr>
            <w:r>
              <w:rPr>
                <w:sz w:val="21"/>
                <w:szCs w:val="21"/>
                <w:spacing w:val="-2"/>
              </w:rPr>
              <w:t>0.0489</w:t>
            </w:r>
          </w:p>
        </w:tc>
        <w:tc>
          <w:tcPr>
            <w:tcW w:w="629" w:type="dxa"/>
            <w:vAlign w:val="top"/>
          </w:tcPr>
          <w:p>
            <w:pPr>
              <w:pStyle w:val="TableText"/>
              <w:spacing w:before="54" w:line="173" w:lineRule="auto"/>
              <w:jc w:val="right"/>
              <w:rPr>
                <w:sz w:val="21"/>
                <w:szCs w:val="21"/>
              </w:rPr>
            </w:pPr>
            <w:r>
              <w:rPr>
                <w:sz w:val="21"/>
                <w:szCs w:val="21"/>
                <w:spacing w:val="-5"/>
              </w:rPr>
              <w:t>0.0645</w:t>
            </w:r>
          </w:p>
        </w:tc>
        <w:tc>
          <w:tcPr>
            <w:tcW w:w="619" w:type="dxa"/>
            <w:vAlign w:val="top"/>
          </w:tcPr>
          <w:p>
            <w:pPr>
              <w:pStyle w:val="TableText"/>
              <w:spacing w:before="54" w:line="173" w:lineRule="auto"/>
              <w:jc w:val="right"/>
              <w:rPr>
                <w:sz w:val="21"/>
                <w:szCs w:val="21"/>
              </w:rPr>
            </w:pPr>
            <w:r>
              <w:rPr>
                <w:sz w:val="21"/>
                <w:szCs w:val="21"/>
                <w:spacing w:val="-7"/>
              </w:rPr>
              <w:t>0.0056</w:t>
            </w:r>
          </w:p>
        </w:tc>
        <w:tc>
          <w:tcPr>
            <w:tcW w:w="904" w:type="dxa"/>
            <w:vAlign w:val="top"/>
          </w:tcPr>
          <w:p>
            <w:pPr>
              <w:pStyle w:val="TableText"/>
              <w:ind w:left="129"/>
              <w:spacing w:before="54" w:line="173" w:lineRule="auto"/>
              <w:rPr>
                <w:sz w:val="21"/>
                <w:szCs w:val="21"/>
              </w:rPr>
            </w:pPr>
            <w:r>
              <w:rPr>
                <w:sz w:val="21"/>
                <w:szCs w:val="21"/>
                <w:spacing w:val="-2"/>
              </w:rPr>
              <w:t>0.0259</w:t>
            </w:r>
          </w:p>
        </w:tc>
      </w:tr>
      <w:tr>
        <w:trPr>
          <w:trHeight w:val="267" w:hRule="atLeast"/>
        </w:trPr>
        <w:tc>
          <w:tcPr>
            <w:tcW w:w="1414" w:type="dxa"/>
            <w:vAlign w:val="top"/>
            <w:vMerge w:val="restart"/>
            <w:tcBorders>
              <w:bottom w:val="nil"/>
            </w:tcBorders>
          </w:tcPr>
          <w:p>
            <w:pPr>
              <w:pStyle w:val="TableText"/>
              <w:ind w:left="485"/>
              <w:spacing w:before="42" w:line="219" w:lineRule="auto"/>
              <w:rPr>
                <w:sz w:val="21"/>
                <w:szCs w:val="21"/>
              </w:rPr>
            </w:pPr>
            <w:r>
              <w:rPr>
                <w:sz w:val="21"/>
                <w:szCs w:val="21"/>
                <w:spacing w:val="-3"/>
              </w:rPr>
              <w:t>全年</w:t>
            </w:r>
          </w:p>
          <w:p>
            <w:pPr>
              <w:pStyle w:val="TableText"/>
              <w:ind w:left="115"/>
              <w:spacing w:before="34" w:line="195" w:lineRule="auto"/>
              <w:rPr>
                <w:sz w:val="21"/>
                <w:szCs w:val="21"/>
              </w:rPr>
            </w:pPr>
            <w:r>
              <w:rPr>
                <w:sz w:val="21"/>
                <w:szCs w:val="21"/>
                <w:spacing w:val="-5"/>
              </w:rPr>
              <w:t>(5184m³/a)</w:t>
            </w:r>
          </w:p>
        </w:tc>
        <w:tc>
          <w:tcPr>
            <w:tcW w:w="1768" w:type="dxa"/>
            <w:vAlign w:val="top"/>
          </w:tcPr>
          <w:p>
            <w:pPr>
              <w:pStyle w:val="TableText"/>
              <w:ind w:left="141"/>
              <w:spacing w:before="26" w:line="203" w:lineRule="auto"/>
              <w:rPr>
                <w:sz w:val="21"/>
                <w:szCs w:val="21"/>
              </w:rPr>
            </w:pPr>
            <w:r>
              <w:rPr>
                <w:sz w:val="21"/>
                <w:szCs w:val="21"/>
                <w:spacing w:val="5"/>
              </w:rPr>
              <w:t>产生浓度(</w:t>
            </w:r>
            <w:r>
              <w:rPr>
                <w:sz w:val="21"/>
                <w:szCs w:val="21"/>
              </w:rPr>
              <w:t>mg</w:t>
            </w:r>
            <w:r>
              <w:rPr>
                <w:sz w:val="21"/>
                <w:szCs w:val="21"/>
                <w:spacing w:val="5"/>
              </w:rPr>
              <w:t>/L)</w:t>
            </w:r>
          </w:p>
        </w:tc>
        <w:tc>
          <w:tcPr>
            <w:tcW w:w="849" w:type="dxa"/>
            <w:vAlign w:val="top"/>
          </w:tcPr>
          <w:p>
            <w:pPr>
              <w:pStyle w:val="TableText"/>
              <w:ind w:left="253"/>
              <w:spacing w:before="53" w:line="179" w:lineRule="auto"/>
              <w:rPr>
                <w:sz w:val="21"/>
                <w:szCs w:val="21"/>
              </w:rPr>
            </w:pPr>
            <w:r>
              <w:rPr>
                <w:sz w:val="21"/>
                <w:szCs w:val="21"/>
                <w:spacing w:val="-3"/>
              </w:rPr>
              <w:t>325</w:t>
            </w:r>
          </w:p>
        </w:tc>
        <w:tc>
          <w:tcPr>
            <w:tcW w:w="759" w:type="dxa"/>
            <w:vAlign w:val="top"/>
          </w:tcPr>
          <w:p>
            <w:pPr>
              <w:pStyle w:val="TableText"/>
              <w:ind w:left="214"/>
              <w:spacing w:before="53" w:line="179" w:lineRule="auto"/>
              <w:rPr>
                <w:sz w:val="21"/>
                <w:szCs w:val="21"/>
              </w:rPr>
            </w:pPr>
            <w:r>
              <w:rPr>
                <w:sz w:val="21"/>
                <w:szCs w:val="21"/>
                <w:spacing w:val="-3"/>
              </w:rPr>
              <w:t>200</w:t>
            </w:r>
          </w:p>
        </w:tc>
        <w:tc>
          <w:tcPr>
            <w:tcW w:w="689" w:type="dxa"/>
            <w:vAlign w:val="top"/>
          </w:tcPr>
          <w:p>
            <w:pPr>
              <w:pStyle w:val="TableText"/>
              <w:ind w:left="175"/>
              <w:spacing w:before="53" w:line="179" w:lineRule="auto"/>
              <w:rPr>
                <w:sz w:val="21"/>
                <w:szCs w:val="21"/>
              </w:rPr>
            </w:pPr>
            <w:r>
              <w:rPr>
                <w:sz w:val="21"/>
                <w:szCs w:val="21"/>
                <w:spacing w:val="-3"/>
              </w:rPr>
              <w:t>200</w:t>
            </w:r>
          </w:p>
        </w:tc>
        <w:tc>
          <w:tcPr>
            <w:tcW w:w="699" w:type="dxa"/>
            <w:vAlign w:val="top"/>
          </w:tcPr>
          <w:p>
            <w:pPr>
              <w:pStyle w:val="TableText"/>
              <w:ind w:left="136"/>
              <w:spacing w:before="53" w:line="179" w:lineRule="auto"/>
              <w:rPr>
                <w:sz w:val="21"/>
                <w:szCs w:val="21"/>
              </w:rPr>
            </w:pPr>
            <w:r>
              <w:rPr>
                <w:sz w:val="21"/>
                <w:szCs w:val="21"/>
                <w:spacing w:val="-3"/>
              </w:rPr>
              <w:t>37.7</w:t>
            </w:r>
          </w:p>
        </w:tc>
        <w:tc>
          <w:tcPr>
            <w:tcW w:w="629" w:type="dxa"/>
            <w:vAlign w:val="top"/>
          </w:tcPr>
          <w:p>
            <w:pPr>
              <w:pStyle w:val="TableText"/>
              <w:ind w:left="97"/>
              <w:spacing w:before="53" w:line="179" w:lineRule="auto"/>
              <w:rPr>
                <w:sz w:val="21"/>
                <w:szCs w:val="21"/>
              </w:rPr>
            </w:pPr>
            <w:r>
              <w:rPr>
                <w:sz w:val="21"/>
                <w:szCs w:val="21"/>
                <w:spacing w:val="-2"/>
              </w:rPr>
              <w:t>49.8</w:t>
            </w:r>
          </w:p>
        </w:tc>
        <w:tc>
          <w:tcPr>
            <w:tcW w:w="619" w:type="dxa"/>
            <w:vAlign w:val="top"/>
          </w:tcPr>
          <w:p>
            <w:pPr>
              <w:pStyle w:val="TableText"/>
              <w:ind w:left="98"/>
              <w:spacing w:before="53" w:line="179" w:lineRule="auto"/>
              <w:rPr>
                <w:sz w:val="21"/>
                <w:szCs w:val="21"/>
              </w:rPr>
            </w:pPr>
            <w:r>
              <w:rPr>
                <w:sz w:val="21"/>
                <w:szCs w:val="21"/>
                <w:spacing w:val="-2"/>
              </w:rPr>
              <w:t>4.28</w:t>
            </w:r>
          </w:p>
        </w:tc>
        <w:tc>
          <w:tcPr>
            <w:tcW w:w="904" w:type="dxa"/>
            <w:vAlign w:val="top"/>
          </w:tcPr>
          <w:p>
            <w:pPr>
              <w:pStyle w:val="TableText"/>
              <w:ind w:left="339"/>
              <w:spacing w:before="53" w:line="179" w:lineRule="auto"/>
              <w:rPr>
                <w:sz w:val="21"/>
                <w:szCs w:val="21"/>
              </w:rPr>
            </w:pPr>
            <w:r>
              <w:rPr>
                <w:sz w:val="21"/>
                <w:szCs w:val="21"/>
                <w:spacing w:val="-3"/>
              </w:rPr>
              <w:t>20</w:t>
            </w:r>
          </w:p>
        </w:tc>
      </w:tr>
      <w:tr>
        <w:trPr>
          <w:trHeight w:val="281" w:hRule="atLeast"/>
        </w:trPr>
        <w:tc>
          <w:tcPr>
            <w:tcW w:w="1414" w:type="dxa"/>
            <w:vAlign w:val="top"/>
            <w:vMerge w:val="continue"/>
            <w:tcBorders>
              <w:top w:val="nil"/>
            </w:tcBorders>
          </w:tcPr>
          <w:p>
            <w:pPr>
              <w:rPr>
                <w:rFonts w:ascii="Arial"/>
                <w:sz w:val="21"/>
              </w:rPr>
            </w:pPr>
            <w:r/>
          </w:p>
        </w:tc>
        <w:tc>
          <w:tcPr>
            <w:tcW w:w="1768" w:type="dxa"/>
            <w:vAlign w:val="top"/>
          </w:tcPr>
          <w:p>
            <w:pPr>
              <w:pStyle w:val="TableText"/>
              <w:ind w:left="291"/>
              <w:spacing w:before="45" w:line="198" w:lineRule="auto"/>
              <w:rPr>
                <w:sz w:val="21"/>
                <w:szCs w:val="21"/>
              </w:rPr>
            </w:pPr>
            <w:r>
              <w:rPr>
                <w:sz w:val="21"/>
                <w:szCs w:val="21"/>
                <w:spacing w:val="6"/>
              </w:rPr>
              <w:t>产生量(t/a)</w:t>
            </w:r>
          </w:p>
        </w:tc>
        <w:tc>
          <w:tcPr>
            <w:tcW w:w="849" w:type="dxa"/>
            <w:vAlign w:val="top"/>
          </w:tcPr>
          <w:p>
            <w:pPr>
              <w:pStyle w:val="TableText"/>
              <w:ind w:left="103"/>
              <w:spacing w:before="66" w:line="180" w:lineRule="auto"/>
              <w:rPr>
                <w:sz w:val="21"/>
                <w:szCs w:val="21"/>
              </w:rPr>
            </w:pPr>
            <w:r>
              <w:rPr>
                <w:sz w:val="21"/>
                <w:szCs w:val="21"/>
                <w:spacing w:val="-4"/>
              </w:rPr>
              <w:t>1.6848</w:t>
            </w:r>
          </w:p>
        </w:tc>
        <w:tc>
          <w:tcPr>
            <w:tcW w:w="759" w:type="dxa"/>
            <w:vAlign w:val="top"/>
          </w:tcPr>
          <w:p>
            <w:pPr>
              <w:pStyle w:val="TableText"/>
              <w:ind w:left="54"/>
              <w:spacing w:before="66" w:line="180" w:lineRule="auto"/>
              <w:rPr>
                <w:sz w:val="21"/>
                <w:szCs w:val="21"/>
              </w:rPr>
            </w:pPr>
            <w:r>
              <w:rPr>
                <w:sz w:val="21"/>
                <w:szCs w:val="21"/>
                <w:spacing w:val="-4"/>
              </w:rPr>
              <w:t>1.0368</w:t>
            </w:r>
          </w:p>
        </w:tc>
        <w:tc>
          <w:tcPr>
            <w:tcW w:w="689" w:type="dxa"/>
            <w:vAlign w:val="top"/>
          </w:tcPr>
          <w:p>
            <w:pPr>
              <w:pStyle w:val="TableText"/>
              <w:ind w:left="25"/>
              <w:spacing w:before="66" w:line="180" w:lineRule="auto"/>
              <w:rPr>
                <w:sz w:val="21"/>
                <w:szCs w:val="21"/>
              </w:rPr>
            </w:pPr>
            <w:r>
              <w:rPr>
                <w:sz w:val="21"/>
                <w:szCs w:val="21"/>
                <w:spacing w:val="-4"/>
              </w:rPr>
              <w:t>1.0368</w:t>
            </w:r>
          </w:p>
        </w:tc>
        <w:tc>
          <w:tcPr>
            <w:tcW w:w="699" w:type="dxa"/>
            <w:vAlign w:val="top"/>
          </w:tcPr>
          <w:p>
            <w:pPr>
              <w:pStyle w:val="TableText"/>
              <w:ind w:left="26"/>
              <w:spacing w:before="66" w:line="180" w:lineRule="auto"/>
              <w:rPr>
                <w:sz w:val="21"/>
                <w:szCs w:val="21"/>
              </w:rPr>
            </w:pPr>
            <w:r>
              <w:rPr>
                <w:sz w:val="21"/>
                <w:szCs w:val="21"/>
                <w:spacing w:val="-2"/>
              </w:rPr>
              <w:t>0.1954</w:t>
            </w:r>
          </w:p>
        </w:tc>
        <w:tc>
          <w:tcPr>
            <w:tcW w:w="629" w:type="dxa"/>
            <w:vAlign w:val="top"/>
          </w:tcPr>
          <w:p>
            <w:pPr>
              <w:pStyle w:val="TableText"/>
              <w:spacing w:before="66" w:line="180" w:lineRule="auto"/>
              <w:jc w:val="right"/>
              <w:rPr>
                <w:sz w:val="21"/>
                <w:szCs w:val="21"/>
              </w:rPr>
            </w:pPr>
            <w:r>
              <w:rPr>
                <w:sz w:val="21"/>
                <w:szCs w:val="21"/>
                <w:spacing w:val="-5"/>
              </w:rPr>
              <w:t>0.2582</w:t>
            </w:r>
          </w:p>
        </w:tc>
        <w:tc>
          <w:tcPr>
            <w:tcW w:w="619" w:type="dxa"/>
            <w:vAlign w:val="top"/>
          </w:tcPr>
          <w:p>
            <w:pPr>
              <w:pStyle w:val="TableText"/>
              <w:spacing w:before="66" w:line="180" w:lineRule="auto"/>
              <w:jc w:val="right"/>
              <w:rPr>
                <w:sz w:val="21"/>
                <w:szCs w:val="21"/>
              </w:rPr>
            </w:pPr>
            <w:r>
              <w:rPr>
                <w:sz w:val="21"/>
                <w:szCs w:val="21"/>
                <w:spacing w:val="-7"/>
              </w:rPr>
              <w:t>0.0222</w:t>
            </w:r>
          </w:p>
        </w:tc>
        <w:tc>
          <w:tcPr>
            <w:tcW w:w="904" w:type="dxa"/>
            <w:vAlign w:val="top"/>
          </w:tcPr>
          <w:p>
            <w:pPr>
              <w:pStyle w:val="TableText"/>
              <w:ind w:left="129"/>
              <w:spacing w:before="66" w:line="180" w:lineRule="auto"/>
              <w:rPr>
                <w:sz w:val="21"/>
                <w:szCs w:val="21"/>
              </w:rPr>
            </w:pPr>
            <w:r>
              <w:rPr>
                <w:sz w:val="21"/>
                <w:szCs w:val="21"/>
                <w:spacing w:val="-2"/>
              </w:rPr>
              <w:t>0.1037</w:t>
            </w:r>
          </w:p>
        </w:tc>
      </w:tr>
    </w:tbl>
    <w:p>
      <w:pPr>
        <w:ind w:left="698"/>
        <w:spacing w:before="52" w:line="219" w:lineRule="auto"/>
        <w:rPr>
          <w:rFonts w:ascii="SimSun" w:hAnsi="SimSun" w:eastAsia="SimSun" w:cs="SimSun"/>
          <w:sz w:val="26"/>
          <w:szCs w:val="26"/>
        </w:rPr>
      </w:pPr>
      <w:r>
        <w:rPr>
          <w:rFonts w:ascii="SimSun" w:hAnsi="SimSun" w:eastAsia="SimSun" w:cs="SimSun"/>
          <w:sz w:val="26"/>
          <w:szCs w:val="26"/>
          <w:b/>
          <w:bCs/>
          <w:spacing w:val="-3"/>
        </w:rPr>
        <w:t>(2)生产用水</w:t>
      </w:r>
    </w:p>
    <w:p>
      <w:pPr>
        <w:ind w:left="568"/>
        <w:spacing w:before="168" w:line="217" w:lineRule="auto"/>
        <w:rPr>
          <w:rFonts w:ascii="SimSun" w:hAnsi="SimSun" w:eastAsia="SimSun" w:cs="SimSun"/>
          <w:sz w:val="24"/>
          <w:szCs w:val="24"/>
        </w:rPr>
      </w:pPr>
      <w:r>
        <w:rPr>
          <w:rFonts w:ascii="SimSun" w:hAnsi="SimSun" w:eastAsia="SimSun" w:cs="SimSun"/>
          <w:sz w:val="24"/>
          <w:szCs w:val="24"/>
          <w:b/>
          <w:bCs/>
          <w:spacing w:val="2"/>
        </w:rPr>
        <w:t>①屠宰废水</w:t>
      </w:r>
    </w:p>
    <w:p>
      <w:pPr>
        <w:ind w:left="94" w:right="515" w:firstLine="470"/>
        <w:spacing w:before="212" w:line="344" w:lineRule="auto"/>
        <w:rPr>
          <w:rFonts w:ascii="SimSun" w:hAnsi="SimSun" w:eastAsia="SimSun" w:cs="SimSun"/>
          <w:sz w:val="24"/>
          <w:szCs w:val="24"/>
        </w:rPr>
      </w:pPr>
      <w:r>
        <w:rPr>
          <w:rFonts w:ascii="SimSun" w:hAnsi="SimSun" w:eastAsia="SimSun" w:cs="SimSun"/>
          <w:sz w:val="24"/>
          <w:szCs w:val="24"/>
        </w:rPr>
        <w:t>屠宰用水主要包括生猪及肉牛的待宰圈用水</w:t>
      </w:r>
      <w:r>
        <w:rPr>
          <w:rFonts w:ascii="SimSun" w:hAnsi="SimSun" w:eastAsia="SimSun" w:cs="SimSun"/>
          <w:sz w:val="24"/>
          <w:szCs w:val="24"/>
          <w:spacing w:val="-1"/>
        </w:rPr>
        <w:t>、排放的粪便冲洗水、清洗</w:t>
      </w:r>
      <w:r>
        <w:rPr>
          <w:rFonts w:ascii="SimSun" w:hAnsi="SimSun" w:eastAsia="SimSun" w:cs="SimSun"/>
          <w:sz w:val="24"/>
          <w:szCs w:val="24"/>
        </w:rPr>
        <w:t xml:space="preserve"> </w:t>
      </w:r>
      <w:r>
        <w:rPr>
          <w:rFonts w:ascii="SimSun" w:hAnsi="SimSun" w:eastAsia="SimSun" w:cs="SimSun"/>
          <w:sz w:val="24"/>
          <w:szCs w:val="24"/>
          <w:spacing w:val="-1"/>
        </w:rPr>
        <w:t>水、生猪烫毛用水、内脏清洗水和车间地面、设备冲洗水等。</w:t>
      </w:r>
    </w:p>
    <w:p>
      <w:pPr>
        <w:ind w:left="565"/>
        <w:spacing w:line="212" w:lineRule="auto"/>
        <w:rPr>
          <w:rFonts w:ascii="Times New Roman" w:hAnsi="Times New Roman" w:eastAsia="Times New Roman" w:cs="Times New Roman"/>
          <w:sz w:val="24"/>
          <w:szCs w:val="24"/>
        </w:rPr>
      </w:pPr>
      <w:r>
        <w:rPr>
          <w:rFonts w:ascii="SimSun" w:hAnsi="SimSun" w:eastAsia="SimSun" w:cs="SimSun"/>
          <w:sz w:val="24"/>
          <w:szCs w:val="24"/>
        </w:rPr>
        <w:t>生猪屠宰参照《屠宰与肉类加工废水治理工程技术规范》</w:t>
      </w:r>
      <w:r>
        <w:rPr>
          <w:rFonts w:ascii="SimSun" w:hAnsi="SimSun" w:eastAsia="SimSun" w:cs="SimSun"/>
          <w:sz w:val="24"/>
          <w:szCs w:val="24"/>
          <w:spacing w:val="-50"/>
        </w:rPr>
        <w:t xml:space="preserve"> </w:t>
      </w:r>
      <w:r>
        <w:rPr>
          <w:rFonts w:ascii="Times New Roman" w:hAnsi="Times New Roman" w:eastAsia="Times New Roman" w:cs="Times New Roman"/>
          <w:sz w:val="24"/>
          <w:szCs w:val="24"/>
        </w:rPr>
        <w:t>(H</w:t>
      </w:r>
      <w:r>
        <w:rPr>
          <w:rFonts w:ascii="Times New Roman" w:hAnsi="Times New Roman" w:eastAsia="Times New Roman" w:cs="Times New Roman"/>
          <w:sz w:val="24"/>
          <w:szCs w:val="24"/>
          <w:spacing w:val="-1"/>
        </w:rPr>
        <w:t>J2004-2010)</w:t>
      </w:r>
    </w:p>
    <w:p>
      <w:pPr>
        <w:ind w:left="94" w:right="138"/>
        <w:spacing w:before="212" w:line="352" w:lineRule="auto"/>
        <w:rPr>
          <w:rFonts w:ascii="SimSun" w:hAnsi="SimSun" w:eastAsia="SimSun" w:cs="SimSun"/>
          <w:sz w:val="24"/>
          <w:szCs w:val="24"/>
        </w:rPr>
      </w:pPr>
      <w:r>
        <w:rPr>
          <w:rFonts w:ascii="SimSun" w:hAnsi="SimSun" w:eastAsia="SimSun" w:cs="SimSun"/>
          <w:sz w:val="24"/>
          <w:szCs w:val="24"/>
          <w:spacing w:val="-1"/>
        </w:rPr>
        <w:t>中屠宰废水产生量为0.5-0.7m³/</w:t>
      </w:r>
      <w:r>
        <w:rPr>
          <w:rFonts w:ascii="SimSun" w:hAnsi="SimSun" w:eastAsia="SimSun" w:cs="SimSun"/>
          <w:sz w:val="24"/>
          <w:szCs w:val="24"/>
          <w:spacing w:val="-68"/>
        </w:rPr>
        <w:t xml:space="preserve"> </w:t>
      </w:r>
      <w:r>
        <w:rPr>
          <w:rFonts w:ascii="SimSun" w:hAnsi="SimSun" w:eastAsia="SimSun" w:cs="SimSun"/>
          <w:sz w:val="24"/>
          <w:szCs w:val="24"/>
          <w:spacing w:val="-1"/>
        </w:rPr>
        <w:t>头，废水量约为用水量的85%;同时</w:t>
      </w:r>
      <w:r>
        <w:rPr>
          <w:rFonts w:ascii="SimSun" w:hAnsi="SimSun" w:eastAsia="SimSun" w:cs="SimSun"/>
          <w:sz w:val="24"/>
          <w:szCs w:val="24"/>
          <w:spacing w:val="-2"/>
        </w:rPr>
        <w:t>结合《四川</w:t>
      </w:r>
      <w:r>
        <w:rPr>
          <w:rFonts w:ascii="SimSun" w:hAnsi="SimSun" w:eastAsia="SimSun" w:cs="SimSun"/>
          <w:sz w:val="24"/>
          <w:szCs w:val="24"/>
        </w:rPr>
        <w:t xml:space="preserve">  </w:t>
      </w:r>
      <w:r>
        <w:rPr>
          <w:rFonts w:ascii="SimSun" w:hAnsi="SimSun" w:eastAsia="SimSun" w:cs="SimSun"/>
          <w:sz w:val="24"/>
          <w:szCs w:val="24"/>
          <w:spacing w:val="3"/>
        </w:rPr>
        <w:t>省用水定额》(川府函[2021]8号),猪屠宰加工用水</w:t>
      </w:r>
      <w:r>
        <w:rPr>
          <w:rFonts w:ascii="SimSun" w:hAnsi="SimSun" w:eastAsia="SimSun" w:cs="SimSun"/>
          <w:sz w:val="24"/>
          <w:szCs w:val="24"/>
          <w:spacing w:val="2"/>
        </w:rPr>
        <w:t>定额为0.5~0.6m³/头；《猪</w:t>
      </w:r>
      <w:r>
        <w:rPr>
          <w:rFonts w:ascii="SimSun" w:hAnsi="SimSun" w:eastAsia="SimSun" w:cs="SimSun"/>
          <w:sz w:val="24"/>
          <w:szCs w:val="24"/>
        </w:rPr>
        <w:t xml:space="preserve"> </w:t>
      </w:r>
      <w:r>
        <w:rPr>
          <w:rFonts w:ascii="SimSun" w:hAnsi="SimSun" w:eastAsia="SimSun" w:cs="SimSun"/>
          <w:sz w:val="24"/>
          <w:szCs w:val="24"/>
          <w:spacing w:val="1"/>
        </w:rPr>
        <w:t>屠宰与分割车间设计规范》 </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1"/>
        </w:rPr>
        <w:t>50317-2009) </w:t>
      </w:r>
      <w:r>
        <w:rPr>
          <w:rFonts w:ascii="Times New Roman" w:hAnsi="Times New Roman" w:eastAsia="Times New Roman" w:cs="Times New Roman"/>
          <w:sz w:val="24"/>
          <w:szCs w:val="24"/>
        </w:rPr>
        <w:t xml:space="preserve">  </w:t>
      </w:r>
      <w:r>
        <w:rPr>
          <w:rFonts w:ascii="SimSun" w:hAnsi="SimSun" w:eastAsia="SimSun" w:cs="SimSun"/>
          <w:sz w:val="24"/>
          <w:szCs w:val="24"/>
        </w:rPr>
        <w:t>第8章给水排水：屠宰与分割车  </w:t>
      </w:r>
      <w:r>
        <w:rPr>
          <w:rFonts w:ascii="SimSun" w:hAnsi="SimSun" w:eastAsia="SimSun" w:cs="SimSun"/>
          <w:sz w:val="24"/>
          <w:szCs w:val="24"/>
        </w:rPr>
        <w:t>间每头猪的生产用水量按(0.40~0.60</w:t>
      </w:r>
      <w:r>
        <w:rPr>
          <w:rFonts w:ascii="Times New Roman" w:hAnsi="Times New Roman" w:eastAsia="Times New Roman" w:cs="Times New Roman"/>
          <w:sz w:val="24"/>
          <w:szCs w:val="24"/>
        </w:rPr>
        <w:t>m³)</w:t>
      </w:r>
      <w:r>
        <w:rPr>
          <w:rFonts w:ascii="Times New Roman" w:hAnsi="Times New Roman" w:eastAsia="Times New Roman" w:cs="Times New Roman"/>
          <w:sz w:val="24"/>
          <w:szCs w:val="24"/>
          <w:spacing w:val="17"/>
          <w:w w:val="101"/>
        </w:rPr>
        <w:t xml:space="preserve">  </w:t>
      </w:r>
      <w:r>
        <w:rPr>
          <w:rFonts w:ascii="SimSun" w:hAnsi="SimSun" w:eastAsia="SimSun" w:cs="SimSun"/>
          <w:sz w:val="24"/>
          <w:szCs w:val="24"/>
        </w:rPr>
        <w:t>计算；屠宰与分割车间每头猪的生产  </w:t>
      </w:r>
      <w:r>
        <w:rPr>
          <w:rFonts w:ascii="SimSun" w:hAnsi="SimSun" w:eastAsia="SimSun" w:cs="SimSun"/>
          <w:sz w:val="24"/>
          <w:szCs w:val="24"/>
        </w:rPr>
        <w:t>用水量按(0.40~0.60m³) 计算；《排放源统计调查产排污核算方法和系数手</w:t>
      </w:r>
    </w:p>
    <w:p>
      <w:pPr>
        <w:ind w:left="94" w:right="144"/>
        <w:spacing w:before="9" w:line="356" w:lineRule="auto"/>
        <w:rPr>
          <w:rFonts w:ascii="SimSun" w:hAnsi="SimSun" w:eastAsia="SimSun" w:cs="SimSun"/>
          <w:sz w:val="24"/>
          <w:szCs w:val="24"/>
        </w:rPr>
      </w:pPr>
      <w:r>
        <w:rPr>
          <w:rFonts w:ascii="SimSun" w:hAnsi="SimSun" w:eastAsia="SimSun" w:cs="SimSun"/>
          <w:sz w:val="24"/>
          <w:szCs w:val="24"/>
          <w:spacing w:val="6"/>
        </w:rPr>
        <w:t>册》(环境部公告2021年第24号)中135屠宰</w:t>
      </w:r>
      <w:r>
        <w:rPr>
          <w:rFonts w:ascii="SimSun" w:hAnsi="SimSun" w:eastAsia="SimSun" w:cs="SimSun"/>
          <w:sz w:val="24"/>
          <w:szCs w:val="24"/>
          <w:spacing w:val="5"/>
        </w:rPr>
        <w:t>及肉类加工行业系数手册中1351牲</w:t>
      </w:r>
      <w:r>
        <w:rPr>
          <w:rFonts w:ascii="SimSun" w:hAnsi="SimSun" w:eastAsia="SimSun" w:cs="SimSun"/>
          <w:sz w:val="24"/>
          <w:szCs w:val="24"/>
        </w:rPr>
        <w:t xml:space="preserve"> </w:t>
      </w:r>
      <w:r>
        <w:rPr>
          <w:rFonts w:ascii="SimSun" w:hAnsi="SimSun" w:eastAsia="SimSun" w:cs="SimSun"/>
          <w:sz w:val="24"/>
          <w:szCs w:val="24"/>
          <w:spacing w:val="-8"/>
        </w:rPr>
        <w:t>畜屠宰行业产污系数表-白条肉-生猪-半机械化屠宰-70-1500头/天-废水产生系</w:t>
      </w:r>
    </w:p>
    <w:p>
      <w:pPr>
        <w:ind w:left="94"/>
        <w:spacing w:before="34" w:line="219" w:lineRule="auto"/>
        <w:rPr>
          <w:rFonts w:ascii="SimSun" w:hAnsi="SimSun" w:eastAsia="SimSun" w:cs="SimSun"/>
          <w:sz w:val="20"/>
          <w:szCs w:val="20"/>
        </w:rPr>
      </w:pPr>
      <w:r>
        <w:rPr>
          <w:rFonts w:ascii="SimSun" w:hAnsi="SimSun" w:eastAsia="SimSun" w:cs="SimSun"/>
          <w:sz w:val="20"/>
          <w:szCs w:val="20"/>
          <w:spacing w:val="8"/>
        </w:rPr>
        <w:t>数：0.535</w:t>
      </w:r>
      <w:r>
        <w:rPr>
          <w:rFonts w:ascii="Times New Roman" w:hAnsi="Times New Roman" w:eastAsia="Times New Roman" w:cs="Times New Roman"/>
          <w:sz w:val="20"/>
          <w:szCs w:val="20"/>
          <w:spacing w:val="8"/>
        </w:rPr>
        <w:t>t/</w:t>
      </w:r>
      <w:r>
        <w:rPr>
          <w:rFonts w:ascii="Times New Roman" w:hAnsi="Times New Roman" w:eastAsia="Times New Roman" w:cs="Times New Roman"/>
          <w:sz w:val="20"/>
          <w:szCs w:val="20"/>
          <w:spacing w:val="-12"/>
        </w:rPr>
        <w:t xml:space="preserve"> </w:t>
      </w:r>
      <w:r>
        <w:rPr>
          <w:rFonts w:ascii="SimSun" w:hAnsi="SimSun" w:eastAsia="SimSun" w:cs="SimSun"/>
          <w:sz w:val="20"/>
          <w:szCs w:val="20"/>
          <w:spacing w:val="8"/>
        </w:rPr>
        <w:t>头</w:t>
      </w:r>
      <w:r>
        <w:rPr>
          <w:rFonts w:ascii="SimSun" w:hAnsi="SimSun" w:eastAsia="SimSun" w:cs="SimSun"/>
          <w:sz w:val="20"/>
          <w:szCs w:val="20"/>
          <w:spacing w:val="-20"/>
        </w:rPr>
        <w:t xml:space="preserve"> </w:t>
      </w:r>
      <w:r>
        <w:rPr>
          <w:rFonts w:ascii="SimSun" w:hAnsi="SimSun" w:eastAsia="SimSun" w:cs="SimSun"/>
          <w:sz w:val="20"/>
          <w:szCs w:val="20"/>
          <w:spacing w:val="8"/>
        </w:rPr>
        <w:t>。</w:t>
      </w:r>
    </w:p>
    <w:p>
      <w:pPr>
        <w:ind w:left="1658"/>
        <w:spacing w:before="211" w:line="219" w:lineRule="auto"/>
        <w:rPr>
          <w:rFonts w:ascii="SimSun" w:hAnsi="SimSun" w:eastAsia="SimSun" w:cs="SimSun"/>
          <w:sz w:val="24"/>
          <w:szCs w:val="24"/>
        </w:rPr>
      </w:pPr>
      <w:r>
        <w:rPr>
          <w:rFonts w:ascii="SimSun" w:hAnsi="SimSun" w:eastAsia="SimSun" w:cs="SimSun"/>
          <w:sz w:val="24"/>
          <w:szCs w:val="24"/>
          <w:b/>
          <w:bCs/>
          <w:spacing w:val="-3"/>
        </w:rPr>
        <w:t>表3.11-3生猪屠宰用水及废水产生核算情况一览表</w:t>
      </w:r>
    </w:p>
    <w:p>
      <w:pPr>
        <w:spacing w:line="14" w:lineRule="exact"/>
        <w:rPr/>
      </w:pPr>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142"/>
        <w:gridCol w:w="1079"/>
        <w:gridCol w:w="1248"/>
        <w:gridCol w:w="939"/>
        <w:gridCol w:w="859"/>
        <w:gridCol w:w="1158"/>
        <w:gridCol w:w="1074"/>
      </w:tblGrid>
      <w:tr>
        <w:trPr>
          <w:trHeight w:val="553" w:hRule="atLeast"/>
        </w:trPr>
        <w:tc>
          <w:tcPr>
            <w:shd w:val="clear" w:fill="BDBDBD"/>
            <w:tcW w:w="2142" w:type="dxa"/>
            <w:vAlign w:val="top"/>
          </w:tcPr>
          <w:p>
            <w:pPr>
              <w:pStyle w:val="TableText"/>
              <w:ind w:left="647"/>
              <w:spacing w:before="170" w:line="219" w:lineRule="auto"/>
              <w:rPr>
                <w:sz w:val="21"/>
                <w:szCs w:val="21"/>
              </w:rPr>
            </w:pPr>
            <w:r>
              <w:rPr>
                <w:sz w:val="21"/>
                <w:szCs w:val="21"/>
                <w:b/>
                <w:bCs/>
                <w:spacing w:val="-4"/>
              </w:rPr>
              <w:t>技术指南</w:t>
            </w:r>
          </w:p>
        </w:tc>
        <w:tc>
          <w:tcPr>
            <w:shd w:val="clear" w:fill="BDBDBD"/>
            <w:tcW w:w="1079" w:type="dxa"/>
            <w:vAlign w:val="top"/>
          </w:tcPr>
          <w:p>
            <w:pPr>
              <w:pStyle w:val="TableText"/>
              <w:ind w:left="115"/>
              <w:spacing w:before="170" w:line="219" w:lineRule="auto"/>
              <w:rPr>
                <w:sz w:val="21"/>
                <w:szCs w:val="21"/>
              </w:rPr>
            </w:pPr>
            <w:r>
              <w:rPr>
                <w:sz w:val="21"/>
                <w:szCs w:val="21"/>
                <w:b/>
                <w:bCs/>
              </w:rPr>
              <w:t>用水类别</w:t>
            </w:r>
          </w:p>
        </w:tc>
        <w:tc>
          <w:tcPr>
            <w:shd w:val="clear" w:fill="BDBDBD"/>
            <w:tcW w:w="1248" w:type="dxa"/>
            <w:vAlign w:val="top"/>
          </w:tcPr>
          <w:p>
            <w:pPr>
              <w:pStyle w:val="TableText"/>
              <w:ind w:left="196"/>
              <w:spacing w:before="170" w:line="219" w:lineRule="auto"/>
              <w:rPr>
                <w:sz w:val="21"/>
                <w:szCs w:val="21"/>
              </w:rPr>
            </w:pPr>
            <w:r>
              <w:rPr>
                <w:sz w:val="21"/>
                <w:szCs w:val="21"/>
                <w:b/>
                <w:bCs/>
                <w:spacing w:val="-5"/>
              </w:rPr>
              <w:t>用水系数</w:t>
            </w:r>
          </w:p>
        </w:tc>
        <w:tc>
          <w:tcPr>
            <w:shd w:val="clear" w:fill="BDBDBD"/>
            <w:tcW w:w="939" w:type="dxa"/>
            <w:vAlign w:val="top"/>
          </w:tcPr>
          <w:p>
            <w:pPr>
              <w:pStyle w:val="TableText"/>
              <w:ind w:left="149"/>
              <w:spacing w:before="40" w:line="219" w:lineRule="auto"/>
              <w:rPr>
                <w:sz w:val="21"/>
                <w:szCs w:val="21"/>
              </w:rPr>
            </w:pPr>
            <w:r>
              <w:rPr>
                <w:sz w:val="21"/>
                <w:szCs w:val="21"/>
                <w:b/>
                <w:bCs/>
                <w:spacing w:val="-5"/>
              </w:rPr>
              <w:t>用水量</w:t>
            </w:r>
          </w:p>
          <w:p>
            <w:pPr>
              <w:pStyle w:val="TableText"/>
              <w:ind w:left="98"/>
              <w:spacing w:before="23" w:line="202" w:lineRule="auto"/>
              <w:rPr>
                <w:sz w:val="21"/>
                <w:szCs w:val="21"/>
              </w:rPr>
            </w:pPr>
            <w:r>
              <w:rPr>
                <w:sz w:val="21"/>
                <w:szCs w:val="21"/>
                <w:b/>
                <w:bCs/>
                <w:spacing w:val="-9"/>
              </w:rPr>
              <w:t>(m³/a)</w:t>
            </w:r>
          </w:p>
        </w:tc>
        <w:tc>
          <w:tcPr>
            <w:shd w:val="clear" w:fill="BEBEBE"/>
            <w:tcW w:w="859" w:type="dxa"/>
            <w:vAlign w:val="top"/>
          </w:tcPr>
          <w:p>
            <w:pPr>
              <w:pStyle w:val="TableText"/>
              <w:spacing w:before="170" w:line="219" w:lineRule="auto"/>
              <w:jc w:val="right"/>
              <w:rPr>
                <w:sz w:val="21"/>
                <w:szCs w:val="21"/>
              </w:rPr>
            </w:pPr>
            <w:r>
              <w:rPr>
                <w:sz w:val="21"/>
                <w:szCs w:val="21"/>
                <w:b/>
                <w:bCs/>
                <w:spacing w:val="-5"/>
              </w:rPr>
              <w:t>排放系数</w:t>
            </w:r>
          </w:p>
        </w:tc>
        <w:tc>
          <w:tcPr>
            <w:shd w:val="clear" w:fill="BDBDBD"/>
            <w:tcW w:w="1158" w:type="dxa"/>
            <w:vAlign w:val="top"/>
          </w:tcPr>
          <w:p>
            <w:pPr>
              <w:pStyle w:val="TableText"/>
              <w:ind w:left="160"/>
              <w:spacing w:before="170" w:line="219" w:lineRule="auto"/>
              <w:rPr>
                <w:sz w:val="21"/>
                <w:szCs w:val="21"/>
              </w:rPr>
            </w:pPr>
            <w:r>
              <w:rPr>
                <w:sz w:val="21"/>
                <w:szCs w:val="21"/>
                <w:b/>
                <w:bCs/>
                <w:spacing w:val="-4"/>
              </w:rPr>
              <w:t>产污系数</w:t>
            </w:r>
          </w:p>
        </w:tc>
        <w:tc>
          <w:tcPr>
            <w:shd w:val="clear" w:fill="BDBDBD"/>
            <w:tcW w:w="1074" w:type="dxa"/>
            <w:vAlign w:val="top"/>
          </w:tcPr>
          <w:p>
            <w:pPr>
              <w:pStyle w:val="TableText"/>
              <w:spacing w:before="20" w:line="219" w:lineRule="auto"/>
              <w:jc w:val="right"/>
              <w:rPr>
                <w:sz w:val="21"/>
                <w:szCs w:val="21"/>
              </w:rPr>
            </w:pPr>
            <w:r>
              <w:rPr>
                <w:sz w:val="21"/>
                <w:szCs w:val="21"/>
                <w:b/>
                <w:bCs/>
                <w:spacing w:val="-4"/>
              </w:rPr>
              <w:t>废水产生量</w:t>
            </w:r>
          </w:p>
          <w:p>
            <w:pPr>
              <w:pStyle w:val="TableText"/>
              <w:ind w:left="163"/>
              <w:spacing w:before="43" w:line="202" w:lineRule="auto"/>
              <w:rPr>
                <w:sz w:val="21"/>
                <w:szCs w:val="21"/>
              </w:rPr>
            </w:pPr>
            <w:r>
              <w:rPr>
                <w:sz w:val="21"/>
                <w:szCs w:val="21"/>
                <w:b/>
                <w:bCs/>
                <w:spacing w:val="-9"/>
              </w:rPr>
              <w:t>(m³/a)</w:t>
            </w:r>
          </w:p>
        </w:tc>
      </w:tr>
      <w:tr>
        <w:trPr>
          <w:trHeight w:val="488" w:hRule="atLeast"/>
        </w:trPr>
        <w:tc>
          <w:tcPr>
            <w:tcW w:w="2142" w:type="dxa"/>
            <w:vAlign w:val="top"/>
          </w:tcPr>
          <w:p>
            <w:pPr>
              <w:pStyle w:val="TableText"/>
              <w:ind w:left="484"/>
              <w:spacing w:before="138" w:line="218" w:lineRule="auto"/>
              <w:rPr>
                <w:sz w:val="21"/>
                <w:szCs w:val="21"/>
              </w:rPr>
            </w:pPr>
            <w:r>
              <w:rPr>
                <w:sz w:val="21"/>
                <w:szCs w:val="21"/>
                <w:spacing w:val="-1"/>
              </w:rPr>
              <w:t>HJ2004-2010</w:t>
            </w:r>
          </w:p>
        </w:tc>
        <w:tc>
          <w:tcPr>
            <w:tcW w:w="1079" w:type="dxa"/>
            <w:vAlign w:val="top"/>
          </w:tcPr>
          <w:p>
            <w:pPr>
              <w:pStyle w:val="TableText"/>
              <w:ind w:left="112"/>
              <w:spacing w:before="140" w:line="219" w:lineRule="auto"/>
              <w:rPr>
                <w:sz w:val="21"/>
                <w:szCs w:val="21"/>
              </w:rPr>
            </w:pPr>
            <w:r>
              <w:rPr>
                <w:sz w:val="21"/>
                <w:szCs w:val="21"/>
                <w:spacing w:val="-2"/>
              </w:rPr>
              <w:t>屠宰用水</w:t>
            </w:r>
          </w:p>
        </w:tc>
        <w:tc>
          <w:tcPr>
            <w:tcW w:w="1248" w:type="dxa"/>
            <w:vAlign w:val="top"/>
          </w:tcPr>
          <w:p>
            <w:pPr>
              <w:pStyle w:val="TableText"/>
              <w:ind w:left="564"/>
              <w:spacing w:before="146" w:line="224" w:lineRule="auto"/>
              <w:rPr>
                <w:sz w:val="21"/>
                <w:szCs w:val="21"/>
              </w:rPr>
            </w:pPr>
            <w:r>
              <w:rPr>
                <w:sz w:val="21"/>
                <w:szCs w:val="21"/>
              </w:rPr>
              <w:t>/</w:t>
            </w:r>
          </w:p>
        </w:tc>
        <w:tc>
          <w:tcPr>
            <w:tcW w:w="939" w:type="dxa"/>
            <w:vAlign w:val="top"/>
          </w:tcPr>
          <w:p>
            <w:pPr>
              <w:pStyle w:val="TableText"/>
              <w:ind w:left="145" w:right="108" w:hanging="50"/>
              <w:spacing w:before="52" w:line="187" w:lineRule="auto"/>
              <w:rPr>
                <w:sz w:val="21"/>
                <w:szCs w:val="21"/>
              </w:rPr>
            </w:pPr>
            <w:r>
              <w:rPr>
                <w:sz w:val="21"/>
                <w:szCs w:val="21"/>
                <w:spacing w:val="-2"/>
              </w:rPr>
              <w:t>235294~</w:t>
            </w:r>
            <w:r>
              <w:rPr>
                <w:sz w:val="21"/>
                <w:szCs w:val="21"/>
                <w:spacing w:val="2"/>
              </w:rPr>
              <w:t xml:space="preserve"> </w:t>
            </w:r>
            <w:r>
              <w:rPr>
                <w:sz w:val="21"/>
                <w:szCs w:val="21"/>
                <w:spacing w:val="-2"/>
              </w:rPr>
              <w:t>329412</w:t>
            </w:r>
          </w:p>
        </w:tc>
        <w:tc>
          <w:tcPr>
            <w:tcW w:w="859" w:type="dxa"/>
            <w:vAlign w:val="top"/>
          </w:tcPr>
          <w:p>
            <w:pPr>
              <w:pStyle w:val="TableText"/>
              <w:ind w:left="216"/>
              <w:spacing w:before="161" w:line="239" w:lineRule="auto"/>
              <w:rPr>
                <w:sz w:val="21"/>
                <w:szCs w:val="21"/>
              </w:rPr>
            </w:pPr>
            <w:r>
              <w:rPr>
                <w:sz w:val="21"/>
                <w:szCs w:val="21"/>
                <w:spacing w:val="-2"/>
              </w:rPr>
              <w:t>0.85</w:t>
            </w:r>
          </w:p>
        </w:tc>
        <w:tc>
          <w:tcPr>
            <w:tcW w:w="1158" w:type="dxa"/>
            <w:vAlign w:val="top"/>
          </w:tcPr>
          <w:p>
            <w:pPr>
              <w:pStyle w:val="TableText"/>
              <w:spacing w:before="140" w:line="219" w:lineRule="auto"/>
              <w:jc w:val="right"/>
              <w:rPr>
                <w:sz w:val="20"/>
                <w:szCs w:val="20"/>
              </w:rPr>
            </w:pPr>
            <w:r>
              <w:rPr>
                <w:sz w:val="20"/>
                <w:szCs w:val="20"/>
                <w:spacing w:val="-7"/>
              </w:rPr>
              <w:t>0.5-0.7m³/头</w:t>
            </w:r>
          </w:p>
        </w:tc>
        <w:tc>
          <w:tcPr>
            <w:tcW w:w="1074" w:type="dxa"/>
            <w:vAlign w:val="top"/>
          </w:tcPr>
          <w:p>
            <w:pPr>
              <w:pStyle w:val="TableText"/>
              <w:ind w:left="219" w:right="179" w:hanging="59"/>
              <w:spacing w:before="61" w:line="183" w:lineRule="auto"/>
              <w:rPr>
                <w:sz w:val="21"/>
                <w:szCs w:val="21"/>
              </w:rPr>
            </w:pPr>
            <w:r>
              <w:rPr>
                <w:sz w:val="21"/>
                <w:szCs w:val="21"/>
                <w:spacing w:val="-2"/>
              </w:rPr>
              <w:t>200000~</w:t>
            </w:r>
            <w:r>
              <w:rPr>
                <w:sz w:val="21"/>
                <w:szCs w:val="21"/>
                <w:spacing w:val="2"/>
              </w:rPr>
              <w:t xml:space="preserve"> </w:t>
            </w:r>
            <w:r>
              <w:rPr>
                <w:sz w:val="21"/>
                <w:szCs w:val="21"/>
                <w:spacing w:val="-2"/>
              </w:rPr>
              <w:t>280000</w:t>
            </w:r>
          </w:p>
        </w:tc>
      </w:tr>
      <w:tr>
        <w:trPr>
          <w:trHeight w:val="468" w:hRule="atLeast"/>
        </w:trPr>
        <w:tc>
          <w:tcPr>
            <w:tcW w:w="2142" w:type="dxa"/>
            <w:vAlign w:val="top"/>
          </w:tcPr>
          <w:p>
            <w:pPr>
              <w:pStyle w:val="TableText"/>
              <w:ind w:left="434"/>
              <w:spacing w:before="152"/>
              <w:rPr>
                <w:sz w:val="21"/>
                <w:szCs w:val="21"/>
              </w:rPr>
            </w:pPr>
            <w:r>
              <w:rPr>
                <w:sz w:val="21"/>
                <w:szCs w:val="21"/>
                <w:spacing w:val="-1"/>
              </w:rPr>
              <w:t>GB50317-2009</w:t>
            </w:r>
          </w:p>
        </w:tc>
        <w:tc>
          <w:tcPr>
            <w:tcW w:w="1079" w:type="dxa"/>
            <w:vAlign w:val="top"/>
          </w:tcPr>
          <w:p>
            <w:pPr>
              <w:pStyle w:val="TableText"/>
              <w:ind w:left="112"/>
              <w:spacing w:before="132" w:line="219" w:lineRule="auto"/>
              <w:rPr>
                <w:sz w:val="21"/>
                <w:szCs w:val="21"/>
              </w:rPr>
            </w:pPr>
            <w:r>
              <w:rPr>
                <w:sz w:val="21"/>
                <w:szCs w:val="21"/>
                <w:spacing w:val="-2"/>
              </w:rPr>
              <w:t>屠宰用水</w:t>
            </w:r>
          </w:p>
        </w:tc>
        <w:tc>
          <w:tcPr>
            <w:tcW w:w="1248" w:type="dxa"/>
            <w:vAlign w:val="top"/>
          </w:tcPr>
          <w:p>
            <w:pPr>
              <w:pStyle w:val="TableText"/>
              <w:spacing w:before="132" w:line="219" w:lineRule="auto"/>
              <w:jc w:val="right"/>
              <w:rPr>
                <w:sz w:val="21"/>
                <w:szCs w:val="21"/>
              </w:rPr>
            </w:pPr>
            <w:r>
              <w:rPr>
                <w:sz w:val="21"/>
                <w:szCs w:val="21"/>
                <w:spacing w:val="-4"/>
              </w:rPr>
              <w:t>0.4~0.6m³/头</w:t>
            </w:r>
          </w:p>
        </w:tc>
        <w:tc>
          <w:tcPr>
            <w:tcW w:w="939" w:type="dxa"/>
            <w:vAlign w:val="top"/>
          </w:tcPr>
          <w:p>
            <w:pPr>
              <w:pStyle w:val="TableText"/>
              <w:ind w:left="145" w:right="121" w:hanging="50"/>
              <w:spacing w:before="43" w:line="182" w:lineRule="auto"/>
              <w:rPr>
                <w:sz w:val="21"/>
                <w:szCs w:val="21"/>
              </w:rPr>
            </w:pPr>
            <w:r>
              <w:rPr>
                <w:sz w:val="21"/>
                <w:szCs w:val="21"/>
                <w:spacing w:val="-4"/>
              </w:rPr>
              <w:t>160000~</w:t>
            </w:r>
            <w:r>
              <w:rPr>
                <w:sz w:val="21"/>
                <w:szCs w:val="21"/>
                <w:spacing w:val="3"/>
              </w:rPr>
              <w:t xml:space="preserve"> </w:t>
            </w:r>
            <w:r>
              <w:rPr>
                <w:sz w:val="21"/>
                <w:szCs w:val="21"/>
                <w:spacing w:val="-2"/>
              </w:rPr>
              <w:t>240000</w:t>
            </w:r>
          </w:p>
        </w:tc>
        <w:tc>
          <w:tcPr>
            <w:tcW w:w="859" w:type="dxa"/>
            <w:vAlign w:val="top"/>
          </w:tcPr>
          <w:p>
            <w:pPr>
              <w:pStyle w:val="TableText"/>
              <w:ind w:left="216"/>
              <w:spacing w:before="153" w:line="239" w:lineRule="auto"/>
              <w:rPr>
                <w:sz w:val="21"/>
                <w:szCs w:val="21"/>
              </w:rPr>
            </w:pPr>
            <w:r>
              <w:rPr>
                <w:sz w:val="21"/>
                <w:szCs w:val="21"/>
                <w:spacing w:val="-2"/>
              </w:rPr>
              <w:t>0.85</w:t>
            </w:r>
          </w:p>
        </w:tc>
        <w:tc>
          <w:tcPr>
            <w:tcW w:w="1158" w:type="dxa"/>
            <w:vAlign w:val="top"/>
          </w:tcPr>
          <w:p>
            <w:pPr>
              <w:pStyle w:val="TableText"/>
              <w:ind w:left="518"/>
              <w:spacing w:before="138" w:line="224" w:lineRule="auto"/>
              <w:rPr>
                <w:sz w:val="21"/>
                <w:szCs w:val="21"/>
              </w:rPr>
            </w:pPr>
            <w:r>
              <w:rPr>
                <w:sz w:val="21"/>
                <w:szCs w:val="21"/>
              </w:rPr>
              <w:t>/</w:t>
            </w:r>
          </w:p>
        </w:tc>
        <w:tc>
          <w:tcPr>
            <w:tcW w:w="1074" w:type="dxa"/>
            <w:vAlign w:val="top"/>
          </w:tcPr>
          <w:p>
            <w:pPr>
              <w:pStyle w:val="TableText"/>
              <w:ind w:left="219" w:right="192" w:hanging="59"/>
              <w:spacing w:before="53" w:line="178" w:lineRule="auto"/>
              <w:rPr>
                <w:sz w:val="21"/>
                <w:szCs w:val="21"/>
              </w:rPr>
            </w:pPr>
            <w:r>
              <w:rPr>
                <w:sz w:val="21"/>
                <w:szCs w:val="21"/>
                <w:spacing w:val="-4"/>
              </w:rPr>
              <w:t>136000~</w:t>
            </w:r>
            <w:r>
              <w:rPr>
                <w:sz w:val="21"/>
                <w:szCs w:val="21"/>
                <w:spacing w:val="3"/>
              </w:rPr>
              <w:t xml:space="preserve"> </w:t>
            </w:r>
            <w:r>
              <w:rPr>
                <w:sz w:val="21"/>
                <w:szCs w:val="21"/>
                <w:spacing w:val="-2"/>
              </w:rPr>
              <w:t>204000</w:t>
            </w:r>
          </w:p>
        </w:tc>
      </w:tr>
      <w:tr>
        <w:trPr>
          <w:trHeight w:val="488" w:hRule="atLeast"/>
        </w:trPr>
        <w:tc>
          <w:tcPr>
            <w:tcW w:w="2142" w:type="dxa"/>
            <w:vAlign w:val="top"/>
          </w:tcPr>
          <w:p>
            <w:pPr>
              <w:pStyle w:val="TableText"/>
              <w:ind w:left="325"/>
              <w:spacing w:before="144" w:line="219" w:lineRule="auto"/>
              <w:rPr>
                <w:sz w:val="21"/>
                <w:szCs w:val="21"/>
              </w:rPr>
            </w:pPr>
            <w:r>
              <w:rPr>
                <w:sz w:val="21"/>
                <w:szCs w:val="21"/>
                <w:spacing w:val="1"/>
              </w:rPr>
              <w:t>四川省用水定额</w:t>
            </w:r>
          </w:p>
        </w:tc>
        <w:tc>
          <w:tcPr>
            <w:tcW w:w="1079" w:type="dxa"/>
            <w:vAlign w:val="top"/>
          </w:tcPr>
          <w:p>
            <w:pPr>
              <w:pStyle w:val="TableText"/>
              <w:ind w:left="112"/>
              <w:spacing w:before="144" w:line="219" w:lineRule="auto"/>
              <w:rPr>
                <w:sz w:val="21"/>
                <w:szCs w:val="21"/>
              </w:rPr>
            </w:pPr>
            <w:r>
              <w:rPr>
                <w:sz w:val="21"/>
                <w:szCs w:val="21"/>
                <w:spacing w:val="-2"/>
              </w:rPr>
              <w:t>屠宰用水</w:t>
            </w:r>
          </w:p>
        </w:tc>
        <w:tc>
          <w:tcPr>
            <w:tcW w:w="1248" w:type="dxa"/>
            <w:vAlign w:val="top"/>
          </w:tcPr>
          <w:p>
            <w:pPr>
              <w:pStyle w:val="TableText"/>
              <w:spacing w:before="144" w:line="219" w:lineRule="auto"/>
              <w:jc w:val="right"/>
              <w:rPr>
                <w:sz w:val="21"/>
                <w:szCs w:val="21"/>
              </w:rPr>
            </w:pPr>
            <w:r>
              <w:rPr>
                <w:sz w:val="21"/>
                <w:szCs w:val="21"/>
                <w:spacing w:val="-4"/>
              </w:rPr>
              <w:t>0.5~0.6m³/头</w:t>
            </w:r>
          </w:p>
        </w:tc>
        <w:tc>
          <w:tcPr>
            <w:tcW w:w="939" w:type="dxa"/>
            <w:vAlign w:val="top"/>
          </w:tcPr>
          <w:p>
            <w:pPr>
              <w:pStyle w:val="TableText"/>
              <w:ind w:left="145" w:right="108" w:hanging="50"/>
              <w:spacing w:before="66" w:line="181" w:lineRule="auto"/>
              <w:rPr>
                <w:sz w:val="21"/>
                <w:szCs w:val="21"/>
              </w:rPr>
            </w:pPr>
            <w:r>
              <w:rPr>
                <w:sz w:val="21"/>
                <w:szCs w:val="21"/>
                <w:spacing w:val="-2"/>
              </w:rPr>
              <w:t>200000~</w:t>
            </w:r>
            <w:r>
              <w:rPr>
                <w:sz w:val="21"/>
                <w:szCs w:val="21"/>
                <w:spacing w:val="2"/>
              </w:rPr>
              <w:t xml:space="preserve"> </w:t>
            </w:r>
            <w:r>
              <w:rPr>
                <w:sz w:val="21"/>
                <w:szCs w:val="21"/>
                <w:spacing w:val="-2"/>
              </w:rPr>
              <w:t>240000</w:t>
            </w:r>
          </w:p>
        </w:tc>
        <w:tc>
          <w:tcPr>
            <w:tcW w:w="859" w:type="dxa"/>
            <w:vAlign w:val="top"/>
          </w:tcPr>
          <w:p>
            <w:pPr>
              <w:pStyle w:val="TableText"/>
              <w:ind w:left="216"/>
              <w:spacing w:before="165" w:line="239" w:lineRule="auto"/>
              <w:rPr>
                <w:sz w:val="21"/>
                <w:szCs w:val="21"/>
              </w:rPr>
            </w:pPr>
            <w:r>
              <w:rPr>
                <w:sz w:val="21"/>
                <w:szCs w:val="21"/>
                <w:spacing w:val="-2"/>
              </w:rPr>
              <w:t>0.85</w:t>
            </w:r>
          </w:p>
        </w:tc>
        <w:tc>
          <w:tcPr>
            <w:tcW w:w="1158" w:type="dxa"/>
            <w:vAlign w:val="top"/>
          </w:tcPr>
          <w:p>
            <w:pPr>
              <w:pStyle w:val="TableText"/>
              <w:ind w:left="518"/>
              <w:spacing w:before="150" w:line="224" w:lineRule="auto"/>
              <w:rPr>
                <w:sz w:val="21"/>
                <w:szCs w:val="21"/>
              </w:rPr>
            </w:pPr>
            <w:r>
              <w:rPr>
                <w:sz w:val="21"/>
                <w:szCs w:val="21"/>
              </w:rPr>
              <w:t>/</w:t>
            </w:r>
          </w:p>
        </w:tc>
        <w:tc>
          <w:tcPr>
            <w:tcW w:w="1074" w:type="dxa"/>
            <w:vAlign w:val="top"/>
          </w:tcPr>
          <w:p>
            <w:pPr>
              <w:pStyle w:val="TableText"/>
              <w:ind w:left="219" w:right="192" w:hanging="59"/>
              <w:spacing w:before="66" w:line="181" w:lineRule="auto"/>
              <w:rPr>
                <w:sz w:val="21"/>
                <w:szCs w:val="21"/>
              </w:rPr>
            </w:pPr>
            <w:r>
              <w:rPr>
                <w:sz w:val="21"/>
                <w:szCs w:val="21"/>
                <w:spacing w:val="-4"/>
              </w:rPr>
              <w:t>170000~</w:t>
            </w:r>
            <w:r>
              <w:rPr>
                <w:sz w:val="21"/>
                <w:szCs w:val="21"/>
                <w:spacing w:val="3"/>
              </w:rPr>
              <w:t xml:space="preserve"> </w:t>
            </w:r>
            <w:r>
              <w:rPr>
                <w:sz w:val="21"/>
                <w:szCs w:val="21"/>
                <w:spacing w:val="-2"/>
              </w:rPr>
              <w:t>204000</w:t>
            </w:r>
          </w:p>
        </w:tc>
      </w:tr>
      <w:tr>
        <w:trPr>
          <w:trHeight w:val="538" w:hRule="atLeast"/>
        </w:trPr>
        <w:tc>
          <w:tcPr>
            <w:tcW w:w="2142" w:type="dxa"/>
            <w:vAlign w:val="top"/>
          </w:tcPr>
          <w:p>
            <w:pPr>
              <w:pStyle w:val="TableText"/>
              <w:ind w:left="114" w:right="25" w:hanging="99"/>
              <w:spacing w:before="45" w:line="212" w:lineRule="auto"/>
              <w:rPr>
                <w:sz w:val="21"/>
                <w:szCs w:val="21"/>
              </w:rPr>
            </w:pPr>
            <w:r>
              <w:rPr>
                <w:sz w:val="21"/>
                <w:szCs w:val="21"/>
                <w:spacing w:val="-1"/>
              </w:rPr>
              <w:t>排放源统计调查产排污</w:t>
            </w:r>
            <w:r>
              <w:rPr>
                <w:sz w:val="21"/>
                <w:szCs w:val="21"/>
              </w:rPr>
              <w:t xml:space="preserve"> </w:t>
            </w:r>
            <w:r>
              <w:rPr>
                <w:sz w:val="21"/>
                <w:szCs w:val="21"/>
                <w:spacing w:val="1"/>
              </w:rPr>
              <w:t>核算方法和系数手册</w:t>
            </w:r>
          </w:p>
        </w:tc>
        <w:tc>
          <w:tcPr>
            <w:tcW w:w="1079" w:type="dxa"/>
            <w:vAlign w:val="top"/>
          </w:tcPr>
          <w:p>
            <w:pPr>
              <w:pStyle w:val="TableText"/>
              <w:ind w:left="112"/>
              <w:spacing w:before="176" w:line="219" w:lineRule="auto"/>
              <w:rPr>
                <w:sz w:val="21"/>
                <w:szCs w:val="21"/>
              </w:rPr>
            </w:pPr>
            <w:r>
              <w:rPr>
                <w:sz w:val="21"/>
                <w:szCs w:val="21"/>
                <w:spacing w:val="-2"/>
              </w:rPr>
              <w:t>屠宰用水</w:t>
            </w:r>
          </w:p>
        </w:tc>
        <w:tc>
          <w:tcPr>
            <w:tcW w:w="1248" w:type="dxa"/>
            <w:vAlign w:val="top"/>
          </w:tcPr>
          <w:p>
            <w:pPr>
              <w:pStyle w:val="TableText"/>
              <w:ind w:left="564"/>
              <w:spacing w:before="182" w:line="224" w:lineRule="auto"/>
              <w:rPr>
                <w:sz w:val="21"/>
                <w:szCs w:val="21"/>
              </w:rPr>
            </w:pPr>
            <w:r>
              <w:rPr>
                <w:sz w:val="21"/>
                <w:szCs w:val="21"/>
                <w:color w:val="404040"/>
              </w:rPr>
              <w:t>/</w:t>
            </w:r>
          </w:p>
        </w:tc>
        <w:tc>
          <w:tcPr>
            <w:tcW w:w="939" w:type="dxa"/>
            <w:vAlign w:val="top"/>
          </w:tcPr>
          <w:p>
            <w:pPr>
              <w:pStyle w:val="TableText"/>
              <w:ind w:left="146"/>
              <w:spacing w:before="196"/>
              <w:rPr>
                <w:sz w:val="21"/>
                <w:szCs w:val="21"/>
              </w:rPr>
            </w:pPr>
            <w:r>
              <w:rPr>
                <w:sz w:val="21"/>
                <w:szCs w:val="21"/>
                <w:spacing w:val="-2"/>
              </w:rPr>
              <w:t>251765</w:t>
            </w:r>
          </w:p>
        </w:tc>
        <w:tc>
          <w:tcPr>
            <w:tcW w:w="859" w:type="dxa"/>
            <w:vAlign w:val="top"/>
          </w:tcPr>
          <w:p>
            <w:pPr>
              <w:pStyle w:val="TableText"/>
              <w:ind w:left="216"/>
              <w:spacing w:before="197" w:line="239" w:lineRule="auto"/>
              <w:rPr>
                <w:sz w:val="21"/>
                <w:szCs w:val="21"/>
              </w:rPr>
            </w:pPr>
            <w:r>
              <w:rPr>
                <w:sz w:val="21"/>
                <w:szCs w:val="21"/>
                <w:spacing w:val="-2"/>
              </w:rPr>
              <w:t>0.85</w:t>
            </w:r>
          </w:p>
        </w:tc>
        <w:tc>
          <w:tcPr>
            <w:tcW w:w="1158" w:type="dxa"/>
            <w:vAlign w:val="top"/>
          </w:tcPr>
          <w:p>
            <w:pPr>
              <w:pStyle w:val="TableText"/>
              <w:ind w:left="97"/>
              <w:spacing w:before="176" w:line="219" w:lineRule="auto"/>
              <w:rPr>
                <w:sz w:val="21"/>
                <w:szCs w:val="21"/>
              </w:rPr>
            </w:pPr>
            <w:r>
              <w:rPr>
                <w:sz w:val="21"/>
                <w:szCs w:val="21"/>
                <w:spacing w:val="2"/>
              </w:rPr>
              <w:t>0.535t/头</w:t>
            </w:r>
          </w:p>
        </w:tc>
        <w:tc>
          <w:tcPr>
            <w:tcW w:w="1074" w:type="dxa"/>
            <w:vAlign w:val="top"/>
          </w:tcPr>
          <w:p>
            <w:pPr>
              <w:pStyle w:val="TableText"/>
              <w:ind w:left="109"/>
              <w:spacing w:before="197" w:line="239" w:lineRule="auto"/>
              <w:rPr>
                <w:sz w:val="21"/>
                <w:szCs w:val="21"/>
              </w:rPr>
            </w:pPr>
            <w:r>
              <w:rPr>
                <w:sz w:val="21"/>
                <w:szCs w:val="21"/>
                <w:spacing w:val="-2"/>
              </w:rPr>
              <w:t>213978.6</w:t>
            </w:r>
          </w:p>
        </w:tc>
      </w:tr>
      <w:tr>
        <w:trPr>
          <w:trHeight w:val="284" w:hRule="atLeast"/>
        </w:trPr>
        <w:tc>
          <w:tcPr>
            <w:tcW w:w="2142" w:type="dxa"/>
            <w:vAlign w:val="top"/>
          </w:tcPr>
          <w:p>
            <w:pPr>
              <w:pStyle w:val="TableText"/>
              <w:ind w:left="538"/>
              <w:spacing w:before="44" w:line="202" w:lineRule="auto"/>
              <w:rPr>
                <w:sz w:val="21"/>
                <w:szCs w:val="21"/>
              </w:rPr>
            </w:pPr>
            <w:r>
              <w:rPr>
                <w:sz w:val="21"/>
                <w:szCs w:val="21"/>
                <w:b/>
                <w:bCs/>
                <w:spacing w:val="-4"/>
              </w:rPr>
              <w:t>本项目取值</w:t>
            </w:r>
          </w:p>
        </w:tc>
        <w:tc>
          <w:tcPr>
            <w:tcW w:w="1079" w:type="dxa"/>
            <w:vAlign w:val="top"/>
          </w:tcPr>
          <w:p>
            <w:pPr>
              <w:pStyle w:val="TableText"/>
              <w:ind w:left="115"/>
              <w:spacing w:before="45" w:line="201" w:lineRule="auto"/>
              <w:rPr>
                <w:sz w:val="21"/>
                <w:szCs w:val="21"/>
              </w:rPr>
            </w:pPr>
            <w:r>
              <w:rPr>
                <w:sz w:val="21"/>
                <w:szCs w:val="21"/>
                <w:b/>
                <w:bCs/>
                <w:spacing w:val="-4"/>
              </w:rPr>
              <w:t>屠宰用水</w:t>
            </w:r>
          </w:p>
        </w:tc>
        <w:tc>
          <w:tcPr>
            <w:tcW w:w="1248" w:type="dxa"/>
            <w:vAlign w:val="top"/>
          </w:tcPr>
          <w:p>
            <w:pPr>
              <w:pStyle w:val="TableText"/>
              <w:ind w:left="37"/>
              <w:spacing w:before="45" w:line="201" w:lineRule="auto"/>
              <w:rPr>
                <w:sz w:val="21"/>
                <w:szCs w:val="21"/>
              </w:rPr>
            </w:pPr>
            <w:r>
              <w:rPr>
                <w:sz w:val="21"/>
                <w:szCs w:val="21"/>
                <w:b/>
                <w:bCs/>
                <w:spacing w:val="10"/>
              </w:rPr>
              <w:t>0.629m³/头</w:t>
            </w:r>
          </w:p>
        </w:tc>
        <w:tc>
          <w:tcPr>
            <w:tcW w:w="939" w:type="dxa"/>
            <w:vAlign w:val="top"/>
          </w:tcPr>
          <w:p>
            <w:pPr>
              <w:pStyle w:val="TableText"/>
              <w:spacing w:before="66" w:line="182" w:lineRule="auto"/>
              <w:jc w:val="right"/>
              <w:rPr>
                <w:sz w:val="21"/>
                <w:szCs w:val="21"/>
              </w:rPr>
            </w:pPr>
            <w:r>
              <w:rPr>
                <w:sz w:val="21"/>
                <w:szCs w:val="21"/>
                <w:b/>
                <w:bCs/>
                <w:spacing w:val="-7"/>
              </w:rPr>
              <w:t>251739.53</w:t>
            </w:r>
          </w:p>
        </w:tc>
        <w:tc>
          <w:tcPr>
            <w:tcW w:w="859" w:type="dxa"/>
            <w:vAlign w:val="top"/>
          </w:tcPr>
          <w:p>
            <w:pPr>
              <w:pStyle w:val="TableText"/>
              <w:ind w:left="219"/>
              <w:spacing w:before="66" w:line="182" w:lineRule="auto"/>
              <w:rPr>
                <w:sz w:val="21"/>
                <w:szCs w:val="21"/>
              </w:rPr>
            </w:pPr>
            <w:r>
              <w:rPr>
                <w:sz w:val="21"/>
                <w:szCs w:val="21"/>
                <w:b/>
                <w:bCs/>
                <w:spacing w:val="-5"/>
              </w:rPr>
              <w:t>0.85</w:t>
            </w:r>
          </w:p>
        </w:tc>
        <w:tc>
          <w:tcPr>
            <w:tcW w:w="1158" w:type="dxa"/>
            <w:vAlign w:val="top"/>
          </w:tcPr>
          <w:p>
            <w:pPr>
              <w:pStyle w:val="TableText"/>
              <w:ind w:left="100"/>
              <w:spacing w:before="45" w:line="201" w:lineRule="auto"/>
              <w:rPr>
                <w:sz w:val="21"/>
                <w:szCs w:val="21"/>
              </w:rPr>
            </w:pPr>
            <w:r>
              <w:rPr>
                <w:sz w:val="21"/>
                <w:szCs w:val="21"/>
                <w:b/>
                <w:bCs/>
                <w:spacing w:val="-1"/>
              </w:rPr>
              <w:t>0.535t/头</w:t>
            </w:r>
          </w:p>
        </w:tc>
        <w:tc>
          <w:tcPr>
            <w:tcW w:w="1074" w:type="dxa"/>
            <w:vAlign w:val="top"/>
          </w:tcPr>
          <w:p>
            <w:pPr>
              <w:pStyle w:val="TableText"/>
              <w:ind w:left="112"/>
              <w:spacing w:before="66" w:line="182" w:lineRule="auto"/>
              <w:rPr>
                <w:sz w:val="21"/>
                <w:szCs w:val="21"/>
              </w:rPr>
            </w:pPr>
            <w:r>
              <w:rPr>
                <w:sz w:val="21"/>
                <w:szCs w:val="21"/>
                <w:b/>
                <w:bCs/>
                <w:spacing w:val="-4"/>
              </w:rPr>
              <w:t>213978.6</w:t>
            </w:r>
          </w:p>
        </w:tc>
      </w:tr>
    </w:tbl>
    <w:p>
      <w:pPr>
        <w:ind w:left="94" w:right="142" w:firstLine="480"/>
        <w:spacing w:before="64" w:line="356" w:lineRule="auto"/>
        <w:rPr>
          <w:rFonts w:ascii="SimSun" w:hAnsi="SimSun" w:eastAsia="SimSun" w:cs="SimSun"/>
          <w:sz w:val="24"/>
          <w:szCs w:val="24"/>
        </w:rPr>
      </w:pPr>
      <w:r>
        <w:rPr>
          <w:rFonts w:ascii="SimSun" w:hAnsi="SimSun" w:eastAsia="SimSun" w:cs="SimSun"/>
          <w:sz w:val="24"/>
          <w:szCs w:val="24"/>
        </w:rPr>
        <w:t>综上，本项目生猪采取机械化屠宰，屠宰设备为节能节水型，设计年屠宰</w:t>
      </w:r>
      <w:r>
        <w:rPr>
          <w:rFonts w:ascii="SimSun" w:hAnsi="SimSun" w:eastAsia="SimSun" w:cs="SimSun"/>
          <w:sz w:val="24"/>
          <w:szCs w:val="24"/>
          <w:spacing w:val="17"/>
        </w:rPr>
        <w:t xml:space="preserve"> </w:t>
      </w:r>
      <w:r>
        <w:rPr>
          <w:rFonts w:ascii="SimSun" w:hAnsi="SimSun" w:eastAsia="SimSun" w:cs="SimSun"/>
          <w:sz w:val="24"/>
          <w:szCs w:val="24"/>
          <w:spacing w:val="7"/>
        </w:rPr>
        <w:t>生猪40万头，用水量根据《排放源统计调查产</w:t>
      </w:r>
      <w:r>
        <w:rPr>
          <w:rFonts w:ascii="SimSun" w:hAnsi="SimSun" w:eastAsia="SimSun" w:cs="SimSun"/>
          <w:sz w:val="24"/>
          <w:szCs w:val="24"/>
          <w:spacing w:val="6"/>
        </w:rPr>
        <w:t>排污核算方法和系数手册》(环</w:t>
      </w:r>
      <w:r>
        <w:rPr>
          <w:rFonts w:ascii="SimSun" w:hAnsi="SimSun" w:eastAsia="SimSun" w:cs="SimSun"/>
          <w:sz w:val="24"/>
          <w:szCs w:val="24"/>
        </w:rPr>
        <w:t xml:space="preserve"> </w:t>
      </w:r>
      <w:r>
        <w:rPr>
          <w:rFonts w:ascii="SimSun" w:hAnsi="SimSun" w:eastAsia="SimSun" w:cs="SimSun"/>
          <w:sz w:val="24"/>
          <w:szCs w:val="24"/>
          <w:spacing w:val="13"/>
        </w:rPr>
        <w:t>境部公告2021年第24号)中废水产生系数及排放系数8</w:t>
      </w:r>
      <w:r>
        <w:rPr>
          <w:rFonts w:ascii="SimSun" w:hAnsi="SimSun" w:eastAsia="SimSun" w:cs="SimSun"/>
          <w:sz w:val="24"/>
          <w:szCs w:val="24"/>
          <w:spacing w:val="12"/>
        </w:rPr>
        <w:t>5%进行核算，淡季屠</w:t>
      </w:r>
      <w:r>
        <w:rPr>
          <w:rFonts w:ascii="SimSun" w:hAnsi="SimSun" w:eastAsia="SimSun" w:cs="SimSun"/>
          <w:sz w:val="24"/>
          <w:szCs w:val="24"/>
        </w:rPr>
        <w:t xml:space="preserve">  </w:t>
      </w:r>
      <w:r>
        <w:rPr>
          <w:rFonts w:ascii="SimSun" w:hAnsi="SimSun" w:eastAsia="SimSun" w:cs="SimSun"/>
          <w:sz w:val="24"/>
          <w:szCs w:val="24"/>
          <w:spacing w:val="1"/>
        </w:rPr>
        <w:t>宰量为1000头/天、旺季屠宰量为1444头/天，废水产生系数：</w:t>
      </w:r>
      <w:r>
        <w:rPr>
          <w:rFonts w:ascii="SimSun" w:hAnsi="SimSun" w:eastAsia="SimSun" w:cs="SimSun"/>
          <w:sz w:val="24"/>
          <w:szCs w:val="24"/>
        </w:rPr>
        <w:t>0.535</w:t>
      </w:r>
      <w:r>
        <w:rPr>
          <w:rFonts w:ascii="Times New Roman" w:hAnsi="Times New Roman" w:eastAsia="Times New Roman" w:cs="Times New Roman"/>
          <w:sz w:val="24"/>
          <w:szCs w:val="24"/>
        </w:rPr>
        <w:t>t/</w:t>
      </w:r>
      <w:r>
        <w:rPr>
          <w:rFonts w:ascii="SimSun" w:hAnsi="SimSun" w:eastAsia="SimSun" w:cs="SimSun"/>
          <w:sz w:val="24"/>
          <w:szCs w:val="24"/>
        </w:rPr>
        <w:t>头，则生 </w:t>
      </w:r>
      <w:r>
        <w:rPr>
          <w:rFonts w:ascii="SimSun" w:hAnsi="SimSun" w:eastAsia="SimSun" w:cs="SimSun"/>
          <w:sz w:val="24"/>
          <w:szCs w:val="24"/>
          <w:spacing w:val="-2"/>
        </w:rPr>
        <w:t>猪屠宰废水量为213978.6m³/a、屠宰用水量为2</w:t>
      </w:r>
      <w:r>
        <w:rPr>
          <w:rFonts w:ascii="SimSun" w:hAnsi="SimSun" w:eastAsia="SimSun" w:cs="SimSun"/>
          <w:sz w:val="24"/>
          <w:szCs w:val="24"/>
          <w:spacing w:val="-3"/>
        </w:rPr>
        <w:t>51739.53m³/a。</w:t>
      </w:r>
    </w:p>
    <w:p>
      <w:pPr>
        <w:ind w:left="565"/>
        <w:spacing w:line="212" w:lineRule="auto"/>
        <w:rPr>
          <w:rFonts w:ascii="Times New Roman" w:hAnsi="Times New Roman" w:eastAsia="Times New Roman" w:cs="Times New Roman"/>
          <w:sz w:val="24"/>
          <w:szCs w:val="24"/>
        </w:rPr>
      </w:pPr>
      <w:r>
        <w:rPr>
          <w:rFonts w:ascii="SimSun" w:hAnsi="SimSun" w:eastAsia="SimSun" w:cs="SimSun"/>
          <w:sz w:val="24"/>
          <w:szCs w:val="24"/>
        </w:rPr>
        <w:t>肉牛屠宰参照《屠宰与肉类加工废水治理工程技术规范》</w:t>
      </w:r>
      <w:r>
        <w:rPr>
          <w:rFonts w:ascii="SimSun" w:hAnsi="SimSun" w:eastAsia="SimSun" w:cs="SimSun"/>
          <w:sz w:val="24"/>
          <w:szCs w:val="24"/>
          <w:spacing w:val="-40"/>
        </w:rPr>
        <w:t xml:space="preserve"> </w:t>
      </w:r>
      <w:r>
        <w:rPr>
          <w:rFonts w:ascii="Times New Roman" w:hAnsi="Times New Roman" w:eastAsia="Times New Roman" w:cs="Times New Roman"/>
          <w:sz w:val="24"/>
          <w:szCs w:val="24"/>
        </w:rPr>
        <w:t>(H</w:t>
      </w:r>
      <w:r>
        <w:rPr>
          <w:rFonts w:ascii="Times New Roman" w:hAnsi="Times New Roman" w:eastAsia="Times New Roman" w:cs="Times New Roman"/>
          <w:sz w:val="24"/>
          <w:szCs w:val="24"/>
          <w:spacing w:val="-1"/>
        </w:rPr>
        <w:t>J2004-2010)</w:t>
      </w:r>
    </w:p>
    <w:p>
      <w:pPr>
        <w:ind w:left="94" w:right="125"/>
        <w:spacing w:before="252" w:line="359" w:lineRule="auto"/>
        <w:rPr>
          <w:rFonts w:ascii="SimSun" w:hAnsi="SimSun" w:eastAsia="SimSun" w:cs="SimSun"/>
          <w:sz w:val="24"/>
          <w:szCs w:val="24"/>
        </w:rPr>
      </w:pPr>
      <w:r>
        <w:rPr>
          <w:rFonts w:ascii="SimSun" w:hAnsi="SimSun" w:eastAsia="SimSun" w:cs="SimSun"/>
          <w:sz w:val="24"/>
          <w:szCs w:val="24"/>
          <w:spacing w:val="2"/>
        </w:rPr>
        <w:t>中屠宰肉牛废水产生量为1.0-1.5m³/</w:t>
      </w:r>
      <w:r>
        <w:rPr>
          <w:rFonts w:ascii="SimSun" w:hAnsi="SimSun" w:eastAsia="SimSun" w:cs="SimSun"/>
          <w:sz w:val="24"/>
          <w:szCs w:val="24"/>
          <w:spacing w:val="-67"/>
        </w:rPr>
        <w:t xml:space="preserve"> </w:t>
      </w:r>
      <w:r>
        <w:rPr>
          <w:rFonts w:ascii="SimSun" w:hAnsi="SimSun" w:eastAsia="SimSun" w:cs="SimSun"/>
          <w:sz w:val="24"/>
          <w:szCs w:val="24"/>
          <w:spacing w:val="2"/>
        </w:rPr>
        <w:t>头，废水量约为用水量的85</w:t>
      </w:r>
      <w:r>
        <w:rPr>
          <w:rFonts w:ascii="SimSun" w:hAnsi="SimSun" w:eastAsia="SimSun" w:cs="SimSun"/>
          <w:sz w:val="24"/>
          <w:szCs w:val="24"/>
          <w:spacing w:val="1"/>
        </w:rPr>
        <w:t>%;《四川省用</w:t>
      </w:r>
      <w:r>
        <w:rPr>
          <w:rFonts w:ascii="SimSun" w:hAnsi="SimSun" w:eastAsia="SimSun" w:cs="SimSun"/>
          <w:sz w:val="24"/>
          <w:szCs w:val="24"/>
        </w:rPr>
        <w:t xml:space="preserve"> </w:t>
      </w:r>
      <w:r>
        <w:rPr>
          <w:rFonts w:ascii="SimSun" w:hAnsi="SimSun" w:eastAsia="SimSun" w:cs="SimSun"/>
          <w:sz w:val="24"/>
          <w:szCs w:val="24"/>
          <w:spacing w:val="5"/>
        </w:rPr>
        <w:t>水定额》(川府函[2021]8号),肉牛屠宰加工用水</w:t>
      </w:r>
      <w:r>
        <w:rPr>
          <w:rFonts w:ascii="SimSun" w:hAnsi="SimSun" w:eastAsia="SimSun" w:cs="SimSun"/>
          <w:sz w:val="24"/>
          <w:szCs w:val="24"/>
          <w:spacing w:val="4"/>
        </w:rPr>
        <w:t>定额为0.8-1m³/</w:t>
      </w:r>
      <w:r>
        <w:rPr>
          <w:rFonts w:ascii="SimSun" w:hAnsi="SimSun" w:eastAsia="SimSun" w:cs="SimSun"/>
          <w:sz w:val="24"/>
          <w:szCs w:val="24"/>
          <w:spacing w:val="-47"/>
        </w:rPr>
        <w:t xml:space="preserve"> </w:t>
      </w:r>
      <w:r>
        <w:rPr>
          <w:rFonts w:ascii="SimSun" w:hAnsi="SimSun" w:eastAsia="SimSun" w:cs="SimSun"/>
          <w:sz w:val="24"/>
          <w:szCs w:val="24"/>
          <w:spacing w:val="4"/>
        </w:rPr>
        <w:t>头；《牛羊</w:t>
      </w:r>
    </w:p>
    <w:p>
      <w:pPr>
        <w:spacing w:line="359" w:lineRule="auto"/>
        <w:sectPr>
          <w:headerReference w:type="default" r:id="rId99"/>
          <w:footerReference w:type="default" r:id="rId281"/>
          <w:pgSz w:w="11910" w:h="16840"/>
          <w:pgMar w:top="1210" w:right="1715" w:bottom="929" w:left="1685" w:header="902" w:footer="734" w:gutter="0"/>
        </w:sectPr>
        <w:rPr>
          <w:rFonts w:ascii="SimSun" w:hAnsi="SimSun" w:eastAsia="SimSun" w:cs="SimSun"/>
          <w:sz w:val="24"/>
          <w:szCs w:val="24"/>
        </w:rPr>
      </w:pPr>
    </w:p>
    <w:p>
      <w:pPr>
        <w:ind w:left="104" w:right="137"/>
        <w:spacing w:before="255" w:line="371" w:lineRule="auto"/>
        <w:jc w:val="both"/>
        <w:rPr>
          <w:rFonts w:ascii="SimSun" w:hAnsi="SimSun" w:eastAsia="SimSun" w:cs="SimSun"/>
          <w:sz w:val="23"/>
          <w:szCs w:val="23"/>
        </w:rPr>
      </w:pPr>
      <w:r>
        <w:rPr>
          <w:rFonts w:ascii="SimSun" w:hAnsi="SimSun" w:eastAsia="SimSun" w:cs="SimSun"/>
          <w:sz w:val="23"/>
          <w:szCs w:val="23"/>
          <w:spacing w:val="8"/>
        </w:rPr>
        <w:t>屠宰与分割车间设计规范》</w:t>
      </w:r>
      <w:r>
        <w:rPr>
          <w:rFonts w:ascii="SimSun" w:hAnsi="SimSun" w:eastAsia="SimSun" w:cs="SimSun"/>
          <w:sz w:val="23"/>
          <w:szCs w:val="23"/>
          <w:spacing w:val="75"/>
        </w:rPr>
        <w:t xml:space="preserve"> </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8"/>
        </w:rPr>
        <w:t>51225-2017)    </w:t>
      </w:r>
      <w:r>
        <w:rPr>
          <w:rFonts w:ascii="SimSun" w:hAnsi="SimSun" w:eastAsia="SimSun" w:cs="SimSun"/>
          <w:sz w:val="23"/>
          <w:szCs w:val="23"/>
          <w:spacing w:val="7"/>
        </w:rPr>
        <w:t>第9章给水排水：肉牛屠宰加工</w:t>
      </w:r>
      <w:r>
        <w:rPr>
          <w:rFonts w:ascii="SimSun" w:hAnsi="SimSun" w:eastAsia="SimSun" w:cs="SimSun"/>
          <w:sz w:val="23"/>
          <w:szCs w:val="23"/>
        </w:rPr>
        <w:t xml:space="preserve">  </w:t>
      </w:r>
      <w:r>
        <w:rPr>
          <w:rFonts w:ascii="SimSun" w:hAnsi="SimSun" w:eastAsia="SimSun" w:cs="SimSun"/>
          <w:sz w:val="23"/>
          <w:szCs w:val="23"/>
          <w:spacing w:val="12"/>
        </w:rPr>
        <w:t>用水为(0.8~1.2)</w:t>
      </w:r>
      <w:r>
        <w:rPr>
          <w:rFonts w:ascii="Times New Roman" w:hAnsi="Times New Roman" w:eastAsia="Times New Roman" w:cs="Times New Roman"/>
          <w:sz w:val="23"/>
          <w:szCs w:val="23"/>
          <w:spacing w:val="12"/>
        </w:rPr>
        <w:t>m³/</w:t>
      </w:r>
      <w:r>
        <w:rPr>
          <w:rFonts w:ascii="Times New Roman" w:hAnsi="Times New Roman" w:eastAsia="Times New Roman" w:cs="Times New Roman"/>
          <w:sz w:val="23"/>
          <w:szCs w:val="23"/>
          <w:spacing w:val="2"/>
        </w:rPr>
        <w:t xml:space="preserve">  </w:t>
      </w:r>
      <w:r>
        <w:rPr>
          <w:rFonts w:ascii="SimSun" w:hAnsi="SimSun" w:eastAsia="SimSun" w:cs="SimSun"/>
          <w:sz w:val="23"/>
          <w:szCs w:val="23"/>
          <w:spacing w:val="12"/>
        </w:rPr>
        <w:t>头；《排放源统计调查产排污核算方法和系数手册》(环</w:t>
      </w:r>
      <w:r>
        <w:rPr>
          <w:rFonts w:ascii="SimSun" w:hAnsi="SimSun" w:eastAsia="SimSun" w:cs="SimSun"/>
          <w:sz w:val="23"/>
          <w:szCs w:val="23"/>
        </w:rPr>
        <w:t xml:space="preserve"> </w:t>
      </w:r>
      <w:r>
        <w:rPr>
          <w:rFonts w:ascii="SimSun" w:hAnsi="SimSun" w:eastAsia="SimSun" w:cs="SimSun"/>
          <w:sz w:val="23"/>
          <w:szCs w:val="23"/>
          <w:spacing w:val="22"/>
        </w:rPr>
        <w:t>境部公告2021年第24号)中135屠宰及肉类加工行业系数手册</w:t>
      </w:r>
      <w:r>
        <w:rPr>
          <w:rFonts w:ascii="SimSun" w:hAnsi="SimSun" w:eastAsia="SimSun" w:cs="SimSun"/>
          <w:sz w:val="23"/>
          <w:szCs w:val="23"/>
          <w:spacing w:val="21"/>
        </w:rPr>
        <w:t>中1351牲畜屠</w:t>
      </w:r>
      <w:r>
        <w:rPr>
          <w:rFonts w:ascii="SimSun" w:hAnsi="SimSun" w:eastAsia="SimSun" w:cs="SimSun"/>
          <w:sz w:val="23"/>
          <w:szCs w:val="23"/>
        </w:rPr>
        <w:t xml:space="preserve"> </w:t>
      </w:r>
      <w:r>
        <w:rPr>
          <w:rFonts w:ascii="SimSun" w:hAnsi="SimSun" w:eastAsia="SimSun" w:cs="SimSun"/>
          <w:sz w:val="23"/>
          <w:szCs w:val="23"/>
          <w:spacing w:val="9"/>
        </w:rPr>
        <w:t>宰行业产污系数表-牛肉(含牛四分体)-半机械化屠宰/机械化屠宰-所有规模-废</w:t>
      </w:r>
      <w:r>
        <w:rPr>
          <w:rFonts w:ascii="SimSun" w:hAnsi="SimSun" w:eastAsia="SimSun" w:cs="SimSun"/>
          <w:sz w:val="23"/>
          <w:szCs w:val="23"/>
          <w:spacing w:val="14"/>
        </w:rPr>
        <w:t xml:space="preserve"> </w:t>
      </w:r>
      <w:r>
        <w:rPr>
          <w:rFonts w:ascii="SimSun" w:hAnsi="SimSun" w:eastAsia="SimSun" w:cs="SimSun"/>
          <w:sz w:val="23"/>
          <w:szCs w:val="23"/>
        </w:rPr>
        <w:t>水产生系数：0.941</w:t>
      </w:r>
      <w:r>
        <w:rPr>
          <w:rFonts w:ascii="Times New Roman" w:hAnsi="Times New Roman" w:eastAsia="Times New Roman" w:cs="Times New Roman"/>
          <w:sz w:val="23"/>
          <w:szCs w:val="23"/>
        </w:rPr>
        <w:t>t/</w:t>
      </w:r>
      <w:r>
        <w:rPr>
          <w:rFonts w:ascii="SimSun" w:hAnsi="SimSun" w:eastAsia="SimSun" w:cs="SimSun"/>
          <w:sz w:val="23"/>
          <w:szCs w:val="23"/>
        </w:rPr>
        <w:t>头。</w:t>
      </w:r>
    </w:p>
    <w:p>
      <w:pPr>
        <w:ind w:left="1658"/>
        <w:spacing w:line="219" w:lineRule="auto"/>
        <w:rPr>
          <w:rFonts w:ascii="SimSun" w:hAnsi="SimSun" w:eastAsia="SimSun" w:cs="SimSun"/>
          <w:sz w:val="25"/>
          <w:szCs w:val="25"/>
        </w:rPr>
      </w:pPr>
      <w:r>
        <w:rPr>
          <w:rFonts w:ascii="SimSun" w:hAnsi="SimSun" w:eastAsia="SimSun" w:cs="SimSun"/>
          <w:sz w:val="25"/>
          <w:szCs w:val="25"/>
          <w:b/>
          <w:bCs/>
          <w:spacing w:val="-3"/>
        </w:rPr>
        <w:t>表3.11-4肉牛屠宰用水及废水产生核算情况一览表</w:t>
      </w:r>
    </w:p>
    <w:p>
      <w:pPr>
        <w:spacing w:line="15" w:lineRule="auto"/>
        <w:rPr>
          <w:rFonts w:ascii="Arial"/>
          <w:sz w:val="2"/>
        </w:rPr>
      </w:pPr>
      <w:r>
        <w:rPr>
          <w:rFonts w:ascii="Arial"/>
          <w:sz w:val="2"/>
        </w:rPr>
      </w:r>
    </w:p>
    <w:tbl>
      <w:tblPr>
        <w:tblStyle w:val="TableNormal"/>
        <w:tblW w:w="85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142"/>
        <w:gridCol w:w="1079"/>
        <w:gridCol w:w="1258"/>
        <w:gridCol w:w="919"/>
        <w:gridCol w:w="859"/>
        <w:gridCol w:w="1189"/>
        <w:gridCol w:w="1064"/>
      </w:tblGrid>
      <w:tr>
        <w:trPr>
          <w:trHeight w:val="553" w:hRule="atLeast"/>
        </w:trPr>
        <w:tc>
          <w:tcPr>
            <w:shd w:val="clear" w:fill="BDBDBD"/>
            <w:tcW w:w="2142" w:type="dxa"/>
            <w:vAlign w:val="top"/>
          </w:tcPr>
          <w:p>
            <w:pPr>
              <w:pStyle w:val="TableText"/>
              <w:ind w:left="647"/>
              <w:spacing w:before="170" w:line="219" w:lineRule="auto"/>
              <w:rPr>
                <w:sz w:val="21"/>
                <w:szCs w:val="21"/>
              </w:rPr>
            </w:pPr>
            <w:r>
              <w:rPr>
                <w:sz w:val="21"/>
                <w:szCs w:val="21"/>
                <w:b/>
                <w:bCs/>
                <w:spacing w:val="-4"/>
              </w:rPr>
              <w:t>技术指南</w:t>
            </w:r>
          </w:p>
        </w:tc>
        <w:tc>
          <w:tcPr>
            <w:shd w:val="clear" w:fill="BDBDBD"/>
            <w:tcW w:w="1079" w:type="dxa"/>
            <w:vAlign w:val="top"/>
          </w:tcPr>
          <w:p>
            <w:pPr>
              <w:pStyle w:val="TableText"/>
              <w:ind w:left="115"/>
              <w:spacing w:before="170" w:line="219" w:lineRule="auto"/>
              <w:rPr>
                <w:sz w:val="21"/>
                <w:szCs w:val="21"/>
              </w:rPr>
            </w:pPr>
            <w:r>
              <w:rPr>
                <w:sz w:val="21"/>
                <w:szCs w:val="21"/>
                <w:b/>
                <w:bCs/>
              </w:rPr>
              <w:t>用水类别</w:t>
            </w:r>
          </w:p>
        </w:tc>
        <w:tc>
          <w:tcPr>
            <w:shd w:val="clear" w:fill="BDBDBD"/>
            <w:tcW w:w="1258" w:type="dxa"/>
            <w:vAlign w:val="top"/>
          </w:tcPr>
          <w:p>
            <w:pPr>
              <w:pStyle w:val="TableText"/>
              <w:ind w:left="206"/>
              <w:spacing w:before="170" w:line="219" w:lineRule="auto"/>
              <w:rPr>
                <w:sz w:val="21"/>
                <w:szCs w:val="21"/>
              </w:rPr>
            </w:pPr>
            <w:r>
              <w:rPr>
                <w:sz w:val="21"/>
                <w:szCs w:val="21"/>
                <w:b/>
                <w:bCs/>
                <w:spacing w:val="-5"/>
              </w:rPr>
              <w:t>用水系数</w:t>
            </w:r>
          </w:p>
        </w:tc>
        <w:tc>
          <w:tcPr>
            <w:shd w:val="clear" w:fill="BDBDBD"/>
            <w:tcW w:w="919" w:type="dxa"/>
            <w:vAlign w:val="top"/>
          </w:tcPr>
          <w:p>
            <w:pPr>
              <w:pStyle w:val="TableText"/>
              <w:ind w:left="139"/>
              <w:spacing w:before="40" w:line="219" w:lineRule="auto"/>
              <w:rPr>
                <w:sz w:val="21"/>
                <w:szCs w:val="21"/>
              </w:rPr>
            </w:pPr>
            <w:r>
              <w:rPr>
                <w:sz w:val="21"/>
                <w:szCs w:val="21"/>
                <w:b/>
                <w:bCs/>
                <w:spacing w:val="-5"/>
              </w:rPr>
              <w:t>用水量</w:t>
            </w:r>
          </w:p>
          <w:p>
            <w:pPr>
              <w:pStyle w:val="TableText"/>
              <w:ind w:left="88"/>
              <w:spacing w:before="23" w:line="202" w:lineRule="auto"/>
              <w:rPr>
                <w:sz w:val="21"/>
                <w:szCs w:val="21"/>
              </w:rPr>
            </w:pPr>
            <w:r>
              <w:rPr>
                <w:sz w:val="21"/>
                <w:szCs w:val="21"/>
                <w:b/>
                <w:bCs/>
                <w:spacing w:val="-9"/>
              </w:rPr>
              <w:t>(m³/a)</w:t>
            </w:r>
          </w:p>
        </w:tc>
        <w:tc>
          <w:tcPr>
            <w:shd w:val="clear" w:fill="BDBDBD"/>
            <w:tcW w:w="859" w:type="dxa"/>
            <w:vAlign w:val="top"/>
          </w:tcPr>
          <w:p>
            <w:pPr>
              <w:pStyle w:val="TableText"/>
              <w:spacing w:before="170" w:line="219" w:lineRule="auto"/>
              <w:jc w:val="right"/>
              <w:rPr>
                <w:sz w:val="21"/>
                <w:szCs w:val="21"/>
              </w:rPr>
            </w:pPr>
            <w:r>
              <w:rPr>
                <w:sz w:val="21"/>
                <w:szCs w:val="21"/>
                <w:b/>
                <w:bCs/>
                <w:spacing w:val="-5"/>
              </w:rPr>
              <w:t>排放系数</w:t>
            </w:r>
          </w:p>
        </w:tc>
        <w:tc>
          <w:tcPr>
            <w:shd w:val="clear" w:fill="BDBDBD"/>
            <w:tcW w:w="1189" w:type="dxa"/>
            <w:vAlign w:val="top"/>
          </w:tcPr>
          <w:p>
            <w:pPr>
              <w:pStyle w:val="TableText"/>
              <w:ind w:left="170"/>
              <w:spacing w:before="170" w:line="219" w:lineRule="auto"/>
              <w:rPr>
                <w:sz w:val="21"/>
                <w:szCs w:val="21"/>
              </w:rPr>
            </w:pPr>
            <w:r>
              <w:rPr>
                <w:sz w:val="21"/>
                <w:szCs w:val="21"/>
                <w:b/>
                <w:bCs/>
                <w:spacing w:val="-4"/>
              </w:rPr>
              <w:t>产污系数</w:t>
            </w:r>
          </w:p>
        </w:tc>
        <w:tc>
          <w:tcPr>
            <w:shd w:val="clear" w:fill="BDBDBD"/>
            <w:tcW w:w="1064" w:type="dxa"/>
            <w:vAlign w:val="top"/>
          </w:tcPr>
          <w:p>
            <w:pPr>
              <w:pStyle w:val="TableText"/>
              <w:spacing w:before="20" w:line="219" w:lineRule="auto"/>
              <w:jc w:val="right"/>
              <w:rPr>
                <w:sz w:val="21"/>
                <w:szCs w:val="21"/>
              </w:rPr>
            </w:pPr>
            <w:r>
              <w:rPr>
                <w:sz w:val="21"/>
                <w:szCs w:val="21"/>
                <w:b/>
                <w:bCs/>
                <w:spacing w:val="-6"/>
              </w:rPr>
              <w:t>废水产生量</w:t>
            </w:r>
          </w:p>
          <w:p>
            <w:pPr>
              <w:pStyle w:val="TableText"/>
              <w:ind w:left="162"/>
              <w:spacing w:before="43" w:line="202" w:lineRule="auto"/>
              <w:rPr>
                <w:sz w:val="21"/>
                <w:szCs w:val="21"/>
              </w:rPr>
            </w:pPr>
            <w:r>
              <w:rPr>
                <w:sz w:val="21"/>
                <w:szCs w:val="21"/>
                <w:b/>
                <w:bCs/>
                <w:spacing w:val="-9"/>
              </w:rPr>
              <w:t>(m³/a)</w:t>
            </w:r>
          </w:p>
        </w:tc>
      </w:tr>
      <w:tr>
        <w:trPr>
          <w:trHeight w:val="488" w:hRule="atLeast"/>
        </w:trPr>
        <w:tc>
          <w:tcPr>
            <w:tcW w:w="2142" w:type="dxa"/>
            <w:vAlign w:val="top"/>
          </w:tcPr>
          <w:p>
            <w:pPr>
              <w:pStyle w:val="TableText"/>
              <w:ind w:left="484"/>
              <w:spacing w:before="138" w:line="218" w:lineRule="auto"/>
              <w:rPr>
                <w:sz w:val="21"/>
                <w:szCs w:val="21"/>
              </w:rPr>
            </w:pPr>
            <w:r>
              <w:rPr>
                <w:sz w:val="21"/>
                <w:szCs w:val="21"/>
                <w:spacing w:val="-1"/>
              </w:rPr>
              <w:t>HJ2004-2010</w:t>
            </w:r>
          </w:p>
        </w:tc>
        <w:tc>
          <w:tcPr>
            <w:tcW w:w="1079" w:type="dxa"/>
            <w:vAlign w:val="top"/>
          </w:tcPr>
          <w:p>
            <w:pPr>
              <w:pStyle w:val="TableText"/>
              <w:ind w:left="112"/>
              <w:spacing w:before="140" w:line="219" w:lineRule="auto"/>
              <w:rPr>
                <w:sz w:val="21"/>
                <w:szCs w:val="21"/>
              </w:rPr>
            </w:pPr>
            <w:r>
              <w:rPr>
                <w:sz w:val="21"/>
                <w:szCs w:val="21"/>
                <w:spacing w:val="-2"/>
              </w:rPr>
              <w:t>屠宰用水</w:t>
            </w:r>
          </w:p>
        </w:tc>
        <w:tc>
          <w:tcPr>
            <w:tcW w:w="1258" w:type="dxa"/>
            <w:vAlign w:val="top"/>
          </w:tcPr>
          <w:p>
            <w:pPr>
              <w:pStyle w:val="TableText"/>
              <w:ind w:left="564"/>
              <w:spacing w:before="146" w:line="224" w:lineRule="auto"/>
              <w:rPr>
                <w:sz w:val="21"/>
                <w:szCs w:val="21"/>
              </w:rPr>
            </w:pPr>
            <w:r>
              <w:rPr>
                <w:sz w:val="21"/>
                <w:szCs w:val="21"/>
                <w:color w:val="404040"/>
              </w:rPr>
              <w:t>/</w:t>
            </w:r>
          </w:p>
        </w:tc>
        <w:tc>
          <w:tcPr>
            <w:tcW w:w="919" w:type="dxa"/>
            <w:vAlign w:val="top"/>
          </w:tcPr>
          <w:p>
            <w:pPr>
              <w:pStyle w:val="TableText"/>
              <w:ind w:left="186" w:right="150" w:hanging="50"/>
              <w:spacing w:before="70" w:line="179" w:lineRule="auto"/>
              <w:rPr>
                <w:sz w:val="21"/>
                <w:szCs w:val="21"/>
              </w:rPr>
            </w:pPr>
            <w:r>
              <w:rPr>
                <w:sz w:val="21"/>
                <w:szCs w:val="21"/>
                <w:spacing w:val="-2"/>
              </w:rPr>
              <w:t>47059~</w:t>
            </w:r>
            <w:r>
              <w:rPr>
                <w:sz w:val="21"/>
                <w:szCs w:val="21"/>
                <w:spacing w:val="3"/>
              </w:rPr>
              <w:t xml:space="preserve"> </w:t>
            </w:r>
            <w:r>
              <w:rPr>
                <w:sz w:val="21"/>
                <w:szCs w:val="21"/>
                <w:spacing w:val="-3"/>
              </w:rPr>
              <w:t>70588</w:t>
            </w:r>
          </w:p>
        </w:tc>
        <w:tc>
          <w:tcPr>
            <w:tcW w:w="859" w:type="dxa"/>
            <w:vAlign w:val="top"/>
          </w:tcPr>
          <w:p>
            <w:pPr>
              <w:pStyle w:val="TableText"/>
              <w:ind w:left="216"/>
              <w:spacing w:before="161" w:line="239" w:lineRule="auto"/>
              <w:rPr>
                <w:sz w:val="21"/>
                <w:szCs w:val="21"/>
              </w:rPr>
            </w:pPr>
            <w:r>
              <w:rPr>
                <w:sz w:val="21"/>
                <w:szCs w:val="21"/>
                <w:spacing w:val="-2"/>
              </w:rPr>
              <w:t>0.85</w:t>
            </w:r>
          </w:p>
        </w:tc>
        <w:tc>
          <w:tcPr>
            <w:tcW w:w="1189" w:type="dxa"/>
            <w:vAlign w:val="top"/>
          </w:tcPr>
          <w:p>
            <w:pPr>
              <w:pStyle w:val="TableText"/>
              <w:spacing w:before="140" w:line="219" w:lineRule="auto"/>
              <w:jc w:val="right"/>
              <w:rPr>
                <w:sz w:val="21"/>
                <w:szCs w:val="21"/>
              </w:rPr>
            </w:pPr>
            <w:r>
              <w:rPr>
                <w:sz w:val="21"/>
                <w:szCs w:val="21"/>
                <w:spacing w:val="-10"/>
              </w:rPr>
              <w:t>1.0-1.5m³/头</w:t>
            </w:r>
          </w:p>
        </w:tc>
        <w:tc>
          <w:tcPr>
            <w:tcW w:w="1064" w:type="dxa"/>
            <w:vAlign w:val="top"/>
          </w:tcPr>
          <w:p>
            <w:pPr>
              <w:pStyle w:val="TableText"/>
              <w:ind w:left="258" w:right="222" w:hanging="50"/>
              <w:spacing w:before="52" w:line="187" w:lineRule="auto"/>
              <w:rPr>
                <w:sz w:val="21"/>
                <w:szCs w:val="21"/>
              </w:rPr>
            </w:pPr>
            <w:r>
              <w:rPr>
                <w:sz w:val="21"/>
                <w:szCs w:val="21"/>
                <w:spacing w:val="-2"/>
              </w:rPr>
              <w:t>40000~</w:t>
            </w:r>
            <w:r>
              <w:rPr>
                <w:sz w:val="21"/>
                <w:szCs w:val="21"/>
                <w:spacing w:val="3"/>
              </w:rPr>
              <w:t xml:space="preserve"> </w:t>
            </w:r>
            <w:r>
              <w:rPr>
                <w:sz w:val="21"/>
                <w:szCs w:val="21"/>
                <w:spacing w:val="-2"/>
              </w:rPr>
              <w:t>60000</w:t>
            </w:r>
          </w:p>
        </w:tc>
      </w:tr>
      <w:tr>
        <w:trPr>
          <w:trHeight w:val="469" w:hRule="atLeast"/>
        </w:trPr>
        <w:tc>
          <w:tcPr>
            <w:tcW w:w="2142" w:type="dxa"/>
            <w:vAlign w:val="top"/>
          </w:tcPr>
          <w:p>
            <w:pPr>
              <w:pStyle w:val="TableText"/>
              <w:ind w:left="434"/>
              <w:spacing w:before="153"/>
              <w:rPr>
                <w:sz w:val="21"/>
                <w:szCs w:val="21"/>
              </w:rPr>
            </w:pPr>
            <w:r>
              <w:rPr>
                <w:sz w:val="21"/>
                <w:szCs w:val="21"/>
                <w:spacing w:val="-1"/>
              </w:rPr>
              <w:t>GB51225-2017</w:t>
            </w:r>
          </w:p>
        </w:tc>
        <w:tc>
          <w:tcPr>
            <w:tcW w:w="1079" w:type="dxa"/>
            <w:vAlign w:val="top"/>
          </w:tcPr>
          <w:p>
            <w:pPr>
              <w:pStyle w:val="TableText"/>
              <w:ind w:left="112"/>
              <w:spacing w:before="132" w:line="219" w:lineRule="auto"/>
              <w:rPr>
                <w:sz w:val="21"/>
                <w:szCs w:val="21"/>
              </w:rPr>
            </w:pPr>
            <w:r>
              <w:rPr>
                <w:sz w:val="21"/>
                <w:szCs w:val="21"/>
                <w:spacing w:val="-2"/>
              </w:rPr>
              <w:t>屠宰用水</w:t>
            </w:r>
          </w:p>
        </w:tc>
        <w:tc>
          <w:tcPr>
            <w:tcW w:w="1258" w:type="dxa"/>
            <w:vAlign w:val="top"/>
          </w:tcPr>
          <w:p>
            <w:pPr>
              <w:pStyle w:val="TableText"/>
              <w:spacing w:before="132" w:line="219" w:lineRule="auto"/>
              <w:jc w:val="right"/>
              <w:rPr>
                <w:sz w:val="21"/>
                <w:szCs w:val="21"/>
              </w:rPr>
            </w:pPr>
            <w:r>
              <w:rPr>
                <w:sz w:val="21"/>
                <w:szCs w:val="21"/>
                <w:spacing w:val="-3"/>
              </w:rPr>
              <w:t>0.8~1.2m³/头</w:t>
            </w:r>
          </w:p>
        </w:tc>
        <w:tc>
          <w:tcPr>
            <w:tcW w:w="919" w:type="dxa"/>
            <w:vAlign w:val="top"/>
          </w:tcPr>
          <w:p>
            <w:pPr>
              <w:pStyle w:val="TableText"/>
              <w:ind w:left="186" w:right="153" w:hanging="50"/>
              <w:spacing w:before="63" w:line="174" w:lineRule="auto"/>
              <w:rPr>
                <w:sz w:val="21"/>
                <w:szCs w:val="21"/>
              </w:rPr>
            </w:pPr>
            <w:r>
              <w:rPr>
                <w:sz w:val="21"/>
                <w:szCs w:val="21"/>
                <w:spacing w:val="-2"/>
              </w:rPr>
              <w:t>27200~</w:t>
            </w:r>
            <w:r>
              <w:rPr>
                <w:sz w:val="21"/>
                <w:szCs w:val="21"/>
              </w:rPr>
              <w:t xml:space="preserve"> </w:t>
            </w:r>
            <w:r>
              <w:rPr>
                <w:sz w:val="21"/>
                <w:szCs w:val="21"/>
                <w:spacing w:val="-2"/>
              </w:rPr>
              <w:t>40800</w:t>
            </w:r>
          </w:p>
        </w:tc>
        <w:tc>
          <w:tcPr>
            <w:tcW w:w="859" w:type="dxa"/>
            <w:vAlign w:val="top"/>
          </w:tcPr>
          <w:p>
            <w:pPr>
              <w:pStyle w:val="TableText"/>
              <w:ind w:left="216"/>
              <w:spacing w:before="153" w:line="239" w:lineRule="auto"/>
              <w:rPr>
                <w:sz w:val="21"/>
                <w:szCs w:val="21"/>
              </w:rPr>
            </w:pPr>
            <w:r>
              <w:rPr>
                <w:sz w:val="21"/>
                <w:szCs w:val="21"/>
                <w:spacing w:val="-2"/>
              </w:rPr>
              <w:t>0.85</w:t>
            </w:r>
          </w:p>
        </w:tc>
        <w:tc>
          <w:tcPr>
            <w:tcW w:w="1189" w:type="dxa"/>
            <w:vAlign w:val="top"/>
          </w:tcPr>
          <w:p>
            <w:pPr>
              <w:pStyle w:val="TableText"/>
              <w:ind w:left="538"/>
              <w:spacing w:before="138" w:line="224" w:lineRule="auto"/>
              <w:rPr>
                <w:sz w:val="21"/>
                <w:szCs w:val="21"/>
              </w:rPr>
            </w:pPr>
            <w:r>
              <w:rPr>
                <w:sz w:val="21"/>
                <w:szCs w:val="21"/>
              </w:rPr>
              <w:t>/</w:t>
            </w:r>
          </w:p>
        </w:tc>
        <w:tc>
          <w:tcPr>
            <w:tcW w:w="1064" w:type="dxa"/>
            <w:vAlign w:val="top"/>
          </w:tcPr>
          <w:p>
            <w:pPr>
              <w:pStyle w:val="TableText"/>
              <w:ind w:left="258" w:right="227" w:hanging="50"/>
              <w:spacing w:before="63" w:line="174" w:lineRule="auto"/>
              <w:rPr>
                <w:sz w:val="21"/>
                <w:szCs w:val="21"/>
              </w:rPr>
            </w:pPr>
            <w:r>
              <w:rPr>
                <w:sz w:val="21"/>
                <w:szCs w:val="21"/>
                <w:spacing w:val="-3"/>
              </w:rPr>
              <w:t>32000~</w:t>
            </w:r>
            <w:r>
              <w:rPr>
                <w:sz w:val="21"/>
                <w:szCs w:val="21"/>
                <w:spacing w:val="4"/>
              </w:rPr>
              <w:t xml:space="preserve"> </w:t>
            </w:r>
            <w:r>
              <w:rPr>
                <w:sz w:val="21"/>
                <w:szCs w:val="21"/>
                <w:spacing w:val="-2"/>
              </w:rPr>
              <w:t>48000</w:t>
            </w:r>
          </w:p>
        </w:tc>
      </w:tr>
      <w:tr>
        <w:trPr>
          <w:trHeight w:val="488" w:hRule="atLeast"/>
        </w:trPr>
        <w:tc>
          <w:tcPr>
            <w:tcW w:w="2142" w:type="dxa"/>
            <w:vAlign w:val="top"/>
          </w:tcPr>
          <w:p>
            <w:pPr>
              <w:pStyle w:val="TableText"/>
              <w:ind w:left="325"/>
              <w:spacing w:before="143" w:line="219" w:lineRule="auto"/>
              <w:rPr>
                <w:sz w:val="21"/>
                <w:szCs w:val="21"/>
              </w:rPr>
            </w:pPr>
            <w:r>
              <w:rPr>
                <w:sz w:val="21"/>
                <w:szCs w:val="21"/>
                <w:spacing w:val="1"/>
              </w:rPr>
              <w:t>四川省用水定额</w:t>
            </w:r>
          </w:p>
        </w:tc>
        <w:tc>
          <w:tcPr>
            <w:tcW w:w="1079" w:type="dxa"/>
            <w:vAlign w:val="top"/>
          </w:tcPr>
          <w:p>
            <w:pPr>
              <w:pStyle w:val="TableText"/>
              <w:ind w:left="112"/>
              <w:spacing w:before="143" w:line="219" w:lineRule="auto"/>
              <w:rPr>
                <w:sz w:val="21"/>
                <w:szCs w:val="21"/>
              </w:rPr>
            </w:pPr>
            <w:r>
              <w:rPr>
                <w:sz w:val="21"/>
                <w:szCs w:val="21"/>
                <w:spacing w:val="-2"/>
              </w:rPr>
              <w:t>屠宰用水</w:t>
            </w:r>
          </w:p>
        </w:tc>
        <w:tc>
          <w:tcPr>
            <w:tcW w:w="1258" w:type="dxa"/>
            <w:vAlign w:val="top"/>
          </w:tcPr>
          <w:p>
            <w:pPr>
              <w:pStyle w:val="TableText"/>
              <w:ind w:left="44"/>
              <w:spacing w:before="143" w:line="219" w:lineRule="auto"/>
              <w:rPr>
                <w:sz w:val="21"/>
                <w:szCs w:val="21"/>
              </w:rPr>
            </w:pPr>
            <w:r>
              <w:rPr>
                <w:sz w:val="21"/>
                <w:szCs w:val="21"/>
                <w:spacing w:val="12"/>
              </w:rPr>
              <w:t>0.8~1m³/头</w:t>
            </w:r>
          </w:p>
        </w:tc>
        <w:tc>
          <w:tcPr>
            <w:tcW w:w="919" w:type="dxa"/>
            <w:vAlign w:val="top"/>
          </w:tcPr>
          <w:p>
            <w:pPr>
              <w:pStyle w:val="TableText"/>
              <w:ind w:left="186" w:right="153" w:hanging="50"/>
              <w:spacing w:before="75" w:line="177" w:lineRule="auto"/>
              <w:rPr>
                <w:sz w:val="21"/>
                <w:szCs w:val="21"/>
              </w:rPr>
            </w:pPr>
            <w:r>
              <w:rPr>
                <w:sz w:val="21"/>
                <w:szCs w:val="21"/>
                <w:spacing w:val="-2"/>
              </w:rPr>
              <w:t>27200~</w:t>
            </w:r>
            <w:r>
              <w:rPr>
                <w:sz w:val="21"/>
                <w:szCs w:val="21"/>
              </w:rPr>
              <w:t xml:space="preserve"> </w:t>
            </w:r>
            <w:r>
              <w:rPr>
                <w:sz w:val="21"/>
                <w:szCs w:val="21"/>
                <w:spacing w:val="-2"/>
              </w:rPr>
              <w:t>34000</w:t>
            </w:r>
          </w:p>
        </w:tc>
        <w:tc>
          <w:tcPr>
            <w:tcW w:w="859" w:type="dxa"/>
            <w:vAlign w:val="top"/>
          </w:tcPr>
          <w:p>
            <w:pPr>
              <w:pStyle w:val="TableText"/>
              <w:ind w:left="216"/>
              <w:spacing w:before="164" w:line="239" w:lineRule="auto"/>
              <w:rPr>
                <w:sz w:val="21"/>
                <w:szCs w:val="21"/>
              </w:rPr>
            </w:pPr>
            <w:r>
              <w:rPr>
                <w:sz w:val="21"/>
                <w:szCs w:val="21"/>
                <w:spacing w:val="-2"/>
              </w:rPr>
              <w:t>0.85</w:t>
            </w:r>
          </w:p>
        </w:tc>
        <w:tc>
          <w:tcPr>
            <w:tcW w:w="1189" w:type="dxa"/>
            <w:vAlign w:val="top"/>
          </w:tcPr>
          <w:p>
            <w:pPr>
              <w:pStyle w:val="TableText"/>
              <w:ind w:left="538"/>
              <w:spacing w:before="149" w:line="224" w:lineRule="auto"/>
              <w:rPr>
                <w:sz w:val="21"/>
                <w:szCs w:val="21"/>
              </w:rPr>
            </w:pPr>
            <w:r>
              <w:rPr>
                <w:sz w:val="21"/>
                <w:szCs w:val="21"/>
              </w:rPr>
              <w:t>/</w:t>
            </w:r>
          </w:p>
        </w:tc>
        <w:tc>
          <w:tcPr>
            <w:tcW w:w="1064" w:type="dxa"/>
            <w:vAlign w:val="top"/>
          </w:tcPr>
          <w:p>
            <w:pPr>
              <w:pStyle w:val="TableText"/>
              <w:ind w:left="258" w:right="227" w:hanging="50"/>
              <w:spacing w:before="75" w:line="177" w:lineRule="auto"/>
              <w:rPr>
                <w:sz w:val="21"/>
                <w:szCs w:val="21"/>
              </w:rPr>
            </w:pPr>
            <w:r>
              <w:rPr>
                <w:sz w:val="21"/>
                <w:szCs w:val="21"/>
                <w:spacing w:val="-3"/>
              </w:rPr>
              <w:t>32000~</w:t>
            </w:r>
            <w:r>
              <w:rPr>
                <w:sz w:val="21"/>
                <w:szCs w:val="21"/>
                <w:spacing w:val="4"/>
              </w:rPr>
              <w:t xml:space="preserve"> </w:t>
            </w:r>
            <w:r>
              <w:rPr>
                <w:sz w:val="21"/>
                <w:szCs w:val="21"/>
                <w:spacing w:val="-2"/>
              </w:rPr>
              <w:t>40000</w:t>
            </w:r>
          </w:p>
        </w:tc>
      </w:tr>
      <w:tr>
        <w:trPr>
          <w:trHeight w:val="538" w:hRule="atLeast"/>
        </w:trPr>
        <w:tc>
          <w:tcPr>
            <w:tcW w:w="2142" w:type="dxa"/>
            <w:vAlign w:val="top"/>
          </w:tcPr>
          <w:p>
            <w:pPr>
              <w:pStyle w:val="TableText"/>
              <w:ind w:left="114" w:right="25" w:hanging="99"/>
              <w:spacing w:before="36" w:line="216" w:lineRule="auto"/>
              <w:rPr>
                <w:sz w:val="21"/>
                <w:szCs w:val="21"/>
              </w:rPr>
            </w:pPr>
            <w:r>
              <w:rPr>
                <w:sz w:val="21"/>
                <w:szCs w:val="21"/>
                <w:spacing w:val="-1"/>
              </w:rPr>
              <w:t>排放源统计调查产排污</w:t>
            </w:r>
            <w:r>
              <w:rPr>
                <w:sz w:val="21"/>
                <w:szCs w:val="21"/>
              </w:rPr>
              <w:t xml:space="preserve"> </w:t>
            </w:r>
            <w:r>
              <w:rPr>
                <w:sz w:val="21"/>
                <w:szCs w:val="21"/>
                <w:spacing w:val="1"/>
              </w:rPr>
              <w:t>核算方法和系数手册</w:t>
            </w:r>
          </w:p>
        </w:tc>
        <w:tc>
          <w:tcPr>
            <w:tcW w:w="1079" w:type="dxa"/>
            <w:vAlign w:val="top"/>
          </w:tcPr>
          <w:p>
            <w:pPr>
              <w:pStyle w:val="TableText"/>
              <w:ind w:left="112"/>
              <w:spacing w:before="175" w:line="219" w:lineRule="auto"/>
              <w:rPr>
                <w:sz w:val="21"/>
                <w:szCs w:val="21"/>
              </w:rPr>
            </w:pPr>
            <w:r>
              <w:rPr>
                <w:sz w:val="21"/>
                <w:szCs w:val="21"/>
                <w:spacing w:val="-2"/>
              </w:rPr>
              <w:t>屠宰用水</w:t>
            </w:r>
          </w:p>
        </w:tc>
        <w:tc>
          <w:tcPr>
            <w:tcW w:w="1258" w:type="dxa"/>
            <w:vAlign w:val="top"/>
          </w:tcPr>
          <w:p>
            <w:pPr>
              <w:pStyle w:val="TableText"/>
              <w:ind w:left="564"/>
              <w:spacing w:before="181" w:line="224" w:lineRule="auto"/>
              <w:rPr>
                <w:sz w:val="21"/>
                <w:szCs w:val="21"/>
              </w:rPr>
            </w:pPr>
            <w:r>
              <w:rPr>
                <w:sz w:val="21"/>
                <w:szCs w:val="21"/>
                <w:color w:val="403040"/>
              </w:rPr>
              <w:t>/</w:t>
            </w:r>
          </w:p>
        </w:tc>
        <w:tc>
          <w:tcPr>
            <w:tcW w:w="919" w:type="dxa"/>
            <w:vAlign w:val="top"/>
          </w:tcPr>
          <w:p>
            <w:pPr>
              <w:pStyle w:val="TableText"/>
              <w:ind w:left="35"/>
              <w:spacing w:before="196" w:line="239" w:lineRule="auto"/>
              <w:rPr>
                <w:sz w:val="21"/>
                <w:szCs w:val="21"/>
              </w:rPr>
            </w:pPr>
            <w:r>
              <w:rPr>
                <w:sz w:val="21"/>
                <w:szCs w:val="21"/>
                <w:spacing w:val="-1"/>
              </w:rPr>
              <w:t>44238.07</w:t>
            </w:r>
          </w:p>
        </w:tc>
        <w:tc>
          <w:tcPr>
            <w:tcW w:w="859" w:type="dxa"/>
            <w:vAlign w:val="top"/>
          </w:tcPr>
          <w:p>
            <w:pPr>
              <w:pStyle w:val="TableText"/>
              <w:ind w:left="216"/>
              <w:spacing w:before="196" w:line="239" w:lineRule="auto"/>
              <w:rPr>
                <w:sz w:val="21"/>
                <w:szCs w:val="21"/>
              </w:rPr>
            </w:pPr>
            <w:r>
              <w:rPr>
                <w:sz w:val="21"/>
                <w:szCs w:val="21"/>
                <w:spacing w:val="-2"/>
              </w:rPr>
              <w:t>0.85</w:t>
            </w:r>
          </w:p>
        </w:tc>
        <w:tc>
          <w:tcPr>
            <w:tcW w:w="1189" w:type="dxa"/>
            <w:vAlign w:val="top"/>
          </w:tcPr>
          <w:p>
            <w:pPr>
              <w:pStyle w:val="TableText"/>
              <w:ind w:left="117"/>
              <w:spacing w:before="175" w:line="219" w:lineRule="auto"/>
              <w:rPr>
                <w:sz w:val="21"/>
                <w:szCs w:val="21"/>
              </w:rPr>
            </w:pPr>
            <w:r>
              <w:rPr>
                <w:sz w:val="21"/>
                <w:szCs w:val="21"/>
                <w:spacing w:val="-2"/>
              </w:rPr>
              <w:t>0.941t/头</w:t>
            </w:r>
          </w:p>
        </w:tc>
        <w:tc>
          <w:tcPr>
            <w:tcW w:w="1064" w:type="dxa"/>
            <w:vAlign w:val="top"/>
          </w:tcPr>
          <w:p>
            <w:pPr>
              <w:pStyle w:val="TableText"/>
              <w:ind w:left="108"/>
              <w:spacing w:before="196" w:line="239" w:lineRule="auto"/>
              <w:rPr>
                <w:sz w:val="21"/>
                <w:szCs w:val="21"/>
              </w:rPr>
            </w:pPr>
            <w:r>
              <w:rPr>
                <w:sz w:val="21"/>
                <w:szCs w:val="21"/>
                <w:spacing w:val="-2"/>
              </w:rPr>
              <w:t>37602.36</w:t>
            </w:r>
          </w:p>
        </w:tc>
      </w:tr>
      <w:tr>
        <w:trPr>
          <w:trHeight w:val="284" w:hRule="atLeast"/>
        </w:trPr>
        <w:tc>
          <w:tcPr>
            <w:tcW w:w="2142" w:type="dxa"/>
            <w:vAlign w:val="top"/>
          </w:tcPr>
          <w:p>
            <w:pPr>
              <w:pStyle w:val="TableText"/>
              <w:ind w:left="538"/>
              <w:spacing w:before="44" w:line="202" w:lineRule="auto"/>
              <w:rPr>
                <w:sz w:val="21"/>
                <w:szCs w:val="21"/>
              </w:rPr>
            </w:pPr>
            <w:r>
              <w:rPr>
                <w:sz w:val="21"/>
                <w:szCs w:val="21"/>
                <w:b/>
                <w:bCs/>
                <w:spacing w:val="-4"/>
              </w:rPr>
              <w:t>本项目取值</w:t>
            </w:r>
          </w:p>
        </w:tc>
        <w:tc>
          <w:tcPr>
            <w:tcW w:w="1079" w:type="dxa"/>
            <w:vAlign w:val="top"/>
          </w:tcPr>
          <w:p>
            <w:pPr>
              <w:pStyle w:val="TableText"/>
              <w:ind w:left="115"/>
              <w:spacing w:before="44" w:line="202" w:lineRule="auto"/>
              <w:rPr>
                <w:sz w:val="21"/>
                <w:szCs w:val="21"/>
              </w:rPr>
            </w:pPr>
            <w:r>
              <w:rPr>
                <w:sz w:val="21"/>
                <w:szCs w:val="21"/>
                <w:b/>
                <w:bCs/>
                <w:spacing w:val="-4"/>
              </w:rPr>
              <w:t>屠宰用水</w:t>
            </w:r>
          </w:p>
        </w:tc>
        <w:tc>
          <w:tcPr>
            <w:tcW w:w="1258" w:type="dxa"/>
            <w:vAlign w:val="top"/>
          </w:tcPr>
          <w:p>
            <w:pPr>
              <w:pStyle w:val="TableText"/>
              <w:ind w:left="96"/>
              <w:spacing w:before="44" w:line="202" w:lineRule="auto"/>
              <w:rPr>
                <w:sz w:val="21"/>
                <w:szCs w:val="21"/>
              </w:rPr>
            </w:pPr>
            <w:r>
              <w:rPr>
                <w:sz w:val="21"/>
                <w:szCs w:val="21"/>
                <w:b/>
                <w:bCs/>
                <w:spacing w:val="6"/>
              </w:rPr>
              <w:t>1.</w:t>
            </w:r>
            <w:r>
              <w:rPr>
                <w:sz w:val="21"/>
                <w:szCs w:val="21"/>
                <w:spacing w:val="-61"/>
              </w:rPr>
              <w:t xml:space="preserve"> </w:t>
            </w:r>
            <w:r>
              <w:rPr>
                <w:sz w:val="21"/>
                <w:szCs w:val="21"/>
                <w:b/>
                <w:bCs/>
                <w:spacing w:val="6"/>
              </w:rPr>
              <w:t>11m³/头</w:t>
            </w:r>
          </w:p>
        </w:tc>
        <w:tc>
          <w:tcPr>
            <w:tcW w:w="919" w:type="dxa"/>
            <w:vAlign w:val="top"/>
          </w:tcPr>
          <w:p>
            <w:pPr>
              <w:pStyle w:val="TableText"/>
              <w:ind w:left="38"/>
              <w:spacing w:before="66" w:line="182" w:lineRule="auto"/>
              <w:rPr>
                <w:sz w:val="21"/>
                <w:szCs w:val="21"/>
              </w:rPr>
            </w:pPr>
            <w:r>
              <w:rPr>
                <w:sz w:val="21"/>
                <w:szCs w:val="21"/>
                <w:b/>
                <w:bCs/>
                <w:spacing w:val="-4"/>
              </w:rPr>
              <w:t>44238.07</w:t>
            </w:r>
          </w:p>
        </w:tc>
        <w:tc>
          <w:tcPr>
            <w:tcW w:w="859" w:type="dxa"/>
            <w:vAlign w:val="top"/>
          </w:tcPr>
          <w:p>
            <w:pPr>
              <w:pStyle w:val="TableText"/>
              <w:ind w:left="219"/>
              <w:spacing w:before="66" w:line="182" w:lineRule="auto"/>
              <w:rPr>
                <w:sz w:val="21"/>
                <w:szCs w:val="21"/>
              </w:rPr>
            </w:pPr>
            <w:r>
              <w:rPr>
                <w:sz w:val="21"/>
                <w:szCs w:val="21"/>
                <w:b/>
                <w:bCs/>
                <w:spacing w:val="-5"/>
              </w:rPr>
              <w:t>0.85</w:t>
            </w:r>
          </w:p>
        </w:tc>
        <w:tc>
          <w:tcPr>
            <w:tcW w:w="1189" w:type="dxa"/>
            <w:vAlign w:val="top"/>
          </w:tcPr>
          <w:p>
            <w:pPr>
              <w:pStyle w:val="TableText"/>
              <w:ind w:left="120"/>
              <w:spacing w:before="44" w:line="202" w:lineRule="auto"/>
              <w:rPr>
                <w:sz w:val="21"/>
                <w:szCs w:val="21"/>
              </w:rPr>
            </w:pPr>
            <w:r>
              <w:rPr>
                <w:sz w:val="21"/>
                <w:szCs w:val="21"/>
                <w:b/>
                <w:bCs/>
                <w:spacing w:val="-4"/>
              </w:rPr>
              <w:t>0.941t/头</w:t>
            </w:r>
          </w:p>
        </w:tc>
        <w:tc>
          <w:tcPr>
            <w:tcW w:w="1064" w:type="dxa"/>
            <w:vAlign w:val="top"/>
          </w:tcPr>
          <w:p>
            <w:pPr>
              <w:pStyle w:val="TableText"/>
              <w:ind w:left="111"/>
              <w:spacing w:before="66" w:line="182" w:lineRule="auto"/>
              <w:rPr>
                <w:sz w:val="21"/>
                <w:szCs w:val="21"/>
              </w:rPr>
            </w:pPr>
            <w:r>
              <w:rPr>
                <w:sz w:val="21"/>
                <w:szCs w:val="21"/>
                <w:b/>
                <w:bCs/>
                <w:spacing w:val="-4"/>
              </w:rPr>
              <w:t>37602.36</w:t>
            </w:r>
          </w:p>
        </w:tc>
      </w:tr>
    </w:tbl>
    <w:p>
      <w:pPr>
        <w:ind w:left="104" w:firstLine="470"/>
        <w:spacing w:before="63" w:line="363" w:lineRule="auto"/>
        <w:rPr>
          <w:rFonts w:ascii="SimSun" w:hAnsi="SimSun" w:eastAsia="SimSun" w:cs="SimSun"/>
          <w:sz w:val="23"/>
          <w:szCs w:val="23"/>
        </w:rPr>
      </w:pPr>
      <w:r>
        <w:rPr>
          <w:rFonts w:ascii="SimSun" w:hAnsi="SimSun" w:eastAsia="SimSun" w:cs="SimSun"/>
          <w:sz w:val="25"/>
          <w:szCs w:val="25"/>
          <w:spacing w:val="-1"/>
        </w:rPr>
        <w:t>综上，本项目肉牛采取机械化屠宰，屠宰设备为节</w:t>
      </w:r>
      <w:r>
        <w:rPr>
          <w:rFonts w:ascii="SimSun" w:hAnsi="SimSun" w:eastAsia="SimSun" w:cs="SimSun"/>
          <w:sz w:val="25"/>
          <w:szCs w:val="25"/>
          <w:spacing w:val="-2"/>
        </w:rPr>
        <w:t>能节水型，设计年屠宰</w:t>
      </w:r>
      <w:r>
        <w:rPr>
          <w:rFonts w:ascii="SimSun" w:hAnsi="SimSun" w:eastAsia="SimSun" w:cs="SimSun"/>
          <w:sz w:val="25"/>
          <w:szCs w:val="25"/>
        </w:rPr>
        <w:t xml:space="preserve"> </w:t>
      </w:r>
      <w:r>
        <w:rPr>
          <w:rFonts w:ascii="SimSun" w:hAnsi="SimSun" w:eastAsia="SimSun" w:cs="SimSun"/>
          <w:sz w:val="23"/>
          <w:szCs w:val="23"/>
          <w:spacing w:val="13"/>
        </w:rPr>
        <w:t>肉牛4万头，用水量根据《排放源统计调查产排污核算方法和系数手册》(环境</w:t>
      </w:r>
      <w:r>
        <w:rPr>
          <w:rFonts w:ascii="SimSun" w:hAnsi="SimSun" w:eastAsia="SimSun" w:cs="SimSun"/>
          <w:sz w:val="23"/>
          <w:szCs w:val="23"/>
          <w:spacing w:val="6"/>
        </w:rPr>
        <w:t xml:space="preserve">  </w:t>
      </w:r>
      <w:r>
        <w:rPr>
          <w:rFonts w:ascii="SimSun" w:hAnsi="SimSun" w:eastAsia="SimSun" w:cs="SimSun"/>
          <w:sz w:val="23"/>
          <w:szCs w:val="23"/>
          <w:spacing w:val="15"/>
        </w:rPr>
        <w:t>部公告2021年第24号)废水产生系数0.941</w:t>
      </w:r>
      <w:r>
        <w:rPr>
          <w:rFonts w:ascii="Times New Roman" w:hAnsi="Times New Roman" w:eastAsia="Times New Roman" w:cs="Times New Roman"/>
          <w:sz w:val="23"/>
          <w:szCs w:val="23"/>
          <w:spacing w:val="15"/>
        </w:rPr>
        <w:t>t/</w:t>
      </w:r>
      <w:r>
        <w:rPr>
          <w:rFonts w:ascii="Times New Roman" w:hAnsi="Times New Roman" w:eastAsia="Times New Roman" w:cs="Times New Roman"/>
          <w:sz w:val="23"/>
          <w:szCs w:val="23"/>
        </w:rPr>
        <w:t xml:space="preserve"> </w:t>
      </w:r>
      <w:r>
        <w:rPr>
          <w:rFonts w:ascii="SimSun" w:hAnsi="SimSun" w:eastAsia="SimSun" w:cs="SimSun"/>
          <w:sz w:val="23"/>
          <w:szCs w:val="23"/>
          <w:spacing w:val="15"/>
        </w:rPr>
        <w:t>头及排放系数85%进行核算，则屠</w:t>
      </w:r>
      <w:r>
        <w:rPr>
          <w:rFonts w:ascii="SimSun" w:hAnsi="SimSun" w:eastAsia="SimSun" w:cs="SimSun"/>
          <w:sz w:val="23"/>
          <w:szCs w:val="23"/>
        </w:rPr>
        <w:t xml:space="preserve">  </w:t>
      </w:r>
      <w:r>
        <w:rPr>
          <w:rFonts w:ascii="SimSun" w:hAnsi="SimSun" w:eastAsia="SimSun" w:cs="SimSun"/>
          <w:sz w:val="23"/>
          <w:szCs w:val="23"/>
          <w:spacing w:val="2"/>
        </w:rPr>
        <w:t>宰废水量为37602.36</w:t>
      </w:r>
      <w:r>
        <w:rPr>
          <w:rFonts w:ascii="Times New Roman" w:hAnsi="Times New Roman" w:eastAsia="Times New Roman" w:cs="Times New Roman"/>
          <w:sz w:val="23"/>
          <w:szCs w:val="23"/>
          <w:spacing w:val="2"/>
        </w:rPr>
        <w:t>m³/a</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2"/>
        </w:rPr>
        <w:t>、屠宰</w:t>
      </w:r>
      <w:r>
        <w:rPr>
          <w:rFonts w:ascii="SimSun" w:hAnsi="SimSun" w:eastAsia="SimSun" w:cs="SimSun"/>
          <w:sz w:val="23"/>
          <w:szCs w:val="23"/>
          <w:spacing w:val="1"/>
        </w:rPr>
        <w:t>用水量为44238.07</w:t>
      </w:r>
      <w:r>
        <w:rPr>
          <w:rFonts w:ascii="Times New Roman" w:hAnsi="Times New Roman" w:eastAsia="Times New Roman" w:cs="Times New Roman"/>
          <w:sz w:val="23"/>
          <w:szCs w:val="23"/>
          <w:spacing w:val="1"/>
        </w:rPr>
        <w:t>m³/a</w:t>
      </w:r>
      <w:r>
        <w:rPr>
          <w:rFonts w:ascii="SimSun" w:hAnsi="SimSun" w:eastAsia="SimSun" w:cs="SimSun"/>
          <w:sz w:val="23"/>
          <w:szCs w:val="23"/>
          <w:spacing w:val="1"/>
        </w:rPr>
        <w:t>。</w:t>
      </w:r>
    </w:p>
    <w:p>
      <w:pPr>
        <w:ind w:left="1828"/>
        <w:spacing w:line="219" w:lineRule="auto"/>
        <w:rPr>
          <w:rFonts w:ascii="SimSun" w:hAnsi="SimSun" w:eastAsia="SimSun" w:cs="SimSun"/>
          <w:sz w:val="25"/>
          <w:szCs w:val="25"/>
        </w:rPr>
      </w:pPr>
      <w:r>
        <w:rPr>
          <w:rFonts w:ascii="SimSun" w:hAnsi="SimSun" w:eastAsia="SimSun" w:cs="SimSun"/>
          <w:sz w:val="25"/>
          <w:szCs w:val="25"/>
          <w:b/>
          <w:bCs/>
          <w:spacing w:val="-3"/>
        </w:rPr>
        <w:t>表3.11-5项目屠宰用水及废水产生情况一</w:t>
      </w:r>
      <w:r>
        <w:rPr>
          <w:rFonts w:ascii="SimSun" w:hAnsi="SimSun" w:eastAsia="SimSun" w:cs="SimSun"/>
          <w:sz w:val="25"/>
          <w:szCs w:val="25"/>
          <w:b/>
          <w:bCs/>
          <w:spacing w:val="-4"/>
        </w:rPr>
        <w:t>览表</w:t>
      </w:r>
    </w:p>
    <w:p>
      <w:pPr>
        <w:spacing w:line="15" w:lineRule="auto"/>
        <w:rPr>
          <w:rFonts w:ascii="Arial"/>
          <w:sz w:val="2"/>
        </w:rPr>
      </w:pPr>
      <w:r>
        <w:rPr>
          <w:rFonts w:ascii="Arial"/>
          <w:sz w:val="2"/>
        </w:rPr>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94"/>
        <w:gridCol w:w="1897"/>
        <w:gridCol w:w="999"/>
        <w:gridCol w:w="889"/>
        <w:gridCol w:w="979"/>
        <w:gridCol w:w="849"/>
        <w:gridCol w:w="549"/>
        <w:gridCol w:w="889"/>
        <w:gridCol w:w="964"/>
      </w:tblGrid>
      <w:tr>
        <w:trPr>
          <w:trHeight w:val="552" w:hRule="atLeast"/>
        </w:trPr>
        <w:tc>
          <w:tcPr>
            <w:shd w:val="clear" w:fill="BDBDBD"/>
            <w:tcW w:w="494" w:type="dxa"/>
            <w:vAlign w:val="top"/>
          </w:tcPr>
          <w:p>
            <w:pPr>
              <w:pStyle w:val="TableText"/>
              <w:ind w:left="28" w:right="1"/>
              <w:spacing w:before="32" w:line="224" w:lineRule="auto"/>
              <w:rPr>
                <w:sz w:val="21"/>
                <w:szCs w:val="21"/>
              </w:rPr>
            </w:pPr>
            <w:r>
              <w:rPr>
                <w:sz w:val="21"/>
                <w:szCs w:val="21"/>
                <w:b/>
                <w:bCs/>
                <w:spacing w:val="14"/>
              </w:rPr>
              <w:t>项目</w:t>
            </w:r>
            <w:r>
              <w:rPr>
                <w:sz w:val="21"/>
                <w:szCs w:val="21"/>
              </w:rPr>
              <w:t xml:space="preserve"> </w:t>
            </w:r>
            <w:r>
              <w:rPr>
                <w:sz w:val="21"/>
                <w:szCs w:val="21"/>
                <w:b/>
                <w:bCs/>
                <w:spacing w:val="-5"/>
              </w:rPr>
              <w:t>类型</w:t>
            </w:r>
          </w:p>
        </w:tc>
        <w:tc>
          <w:tcPr>
            <w:shd w:val="clear" w:fill="BDBDBD"/>
            <w:tcW w:w="1897" w:type="dxa"/>
            <w:vAlign w:val="top"/>
          </w:tcPr>
          <w:p>
            <w:pPr>
              <w:pStyle w:val="TableText"/>
              <w:ind w:left="523"/>
              <w:spacing w:before="170" w:line="219" w:lineRule="auto"/>
              <w:rPr>
                <w:sz w:val="21"/>
                <w:szCs w:val="21"/>
              </w:rPr>
            </w:pPr>
            <w:r>
              <w:rPr>
                <w:sz w:val="21"/>
                <w:szCs w:val="21"/>
                <w:b/>
                <w:bCs/>
                <w:spacing w:val="-5"/>
              </w:rPr>
              <w:t>用水时段</w:t>
            </w:r>
          </w:p>
        </w:tc>
        <w:tc>
          <w:tcPr>
            <w:shd w:val="clear" w:fill="BDBDBD"/>
            <w:tcW w:w="999" w:type="dxa"/>
            <w:vAlign w:val="top"/>
          </w:tcPr>
          <w:p>
            <w:pPr>
              <w:pStyle w:val="TableText"/>
              <w:ind w:left="77"/>
              <w:spacing w:before="30" w:line="219" w:lineRule="auto"/>
              <w:rPr>
                <w:sz w:val="21"/>
                <w:szCs w:val="21"/>
              </w:rPr>
            </w:pPr>
            <w:r>
              <w:rPr>
                <w:sz w:val="21"/>
                <w:szCs w:val="21"/>
                <w:b/>
                <w:bCs/>
                <w:spacing w:val="-4"/>
              </w:rPr>
              <w:t>产污系数</w:t>
            </w:r>
          </w:p>
          <w:p>
            <w:pPr>
              <w:pStyle w:val="TableText"/>
              <w:ind w:left="77"/>
              <w:spacing w:before="29" w:line="204" w:lineRule="auto"/>
              <w:rPr>
                <w:sz w:val="21"/>
                <w:szCs w:val="21"/>
              </w:rPr>
            </w:pPr>
            <w:r>
              <w:rPr>
                <w:sz w:val="21"/>
                <w:szCs w:val="21"/>
                <w:b/>
                <w:bCs/>
                <w:spacing w:val="21"/>
              </w:rPr>
              <w:t>(m³/头)</w:t>
            </w:r>
          </w:p>
        </w:tc>
        <w:tc>
          <w:tcPr>
            <w:shd w:val="clear" w:fill="BDBDBD"/>
            <w:tcW w:w="889" w:type="dxa"/>
            <w:vAlign w:val="top"/>
          </w:tcPr>
          <w:p>
            <w:pPr>
              <w:pStyle w:val="TableText"/>
              <w:ind w:left="17"/>
              <w:spacing w:before="30" w:line="219" w:lineRule="auto"/>
              <w:rPr>
                <w:sz w:val="21"/>
                <w:szCs w:val="21"/>
              </w:rPr>
            </w:pPr>
            <w:r>
              <w:rPr>
                <w:sz w:val="21"/>
                <w:szCs w:val="21"/>
                <w:b/>
                <w:bCs/>
                <w:spacing w:val="-5"/>
              </w:rPr>
              <w:t>用水规模</w:t>
            </w:r>
          </w:p>
          <w:p>
            <w:pPr>
              <w:pStyle w:val="TableText"/>
              <w:ind w:left="128"/>
              <w:spacing w:before="10" w:line="219" w:lineRule="auto"/>
              <w:rPr>
                <w:sz w:val="21"/>
                <w:szCs w:val="21"/>
              </w:rPr>
            </w:pPr>
            <w:r>
              <w:rPr>
                <w:sz w:val="21"/>
                <w:szCs w:val="21"/>
                <w:b/>
                <w:bCs/>
                <w:spacing w:val="5"/>
              </w:rPr>
              <w:t>(头/a)</w:t>
            </w:r>
          </w:p>
        </w:tc>
        <w:tc>
          <w:tcPr>
            <w:shd w:val="clear" w:fill="BDBDBD"/>
            <w:tcW w:w="979" w:type="dxa"/>
            <w:vAlign w:val="top"/>
          </w:tcPr>
          <w:p>
            <w:pPr>
              <w:pStyle w:val="TableText"/>
              <w:ind w:left="168"/>
              <w:spacing w:before="30" w:line="219" w:lineRule="auto"/>
              <w:rPr>
                <w:sz w:val="21"/>
                <w:szCs w:val="21"/>
              </w:rPr>
            </w:pPr>
            <w:r>
              <w:rPr>
                <w:sz w:val="21"/>
                <w:szCs w:val="21"/>
                <w:b/>
                <w:bCs/>
                <w:spacing w:val="-5"/>
              </w:rPr>
              <w:t>用水量</w:t>
            </w:r>
          </w:p>
          <w:p>
            <w:pPr>
              <w:pStyle w:val="TableText"/>
              <w:ind w:left="119"/>
              <w:spacing w:before="33" w:line="201" w:lineRule="auto"/>
              <w:rPr>
                <w:sz w:val="21"/>
                <w:szCs w:val="21"/>
              </w:rPr>
            </w:pPr>
            <w:r>
              <w:rPr>
                <w:sz w:val="21"/>
                <w:szCs w:val="21"/>
                <w:b/>
                <w:bCs/>
                <w:spacing w:val="-9"/>
              </w:rPr>
              <w:t>(m³/a)</w:t>
            </w:r>
          </w:p>
        </w:tc>
        <w:tc>
          <w:tcPr>
            <w:shd w:val="clear" w:fill="BDBDBD"/>
            <w:tcW w:w="849" w:type="dxa"/>
            <w:vAlign w:val="top"/>
          </w:tcPr>
          <w:p>
            <w:pPr>
              <w:pStyle w:val="TableText"/>
              <w:ind w:left="109"/>
              <w:spacing w:before="30" w:line="219" w:lineRule="auto"/>
              <w:rPr>
                <w:sz w:val="21"/>
                <w:szCs w:val="21"/>
              </w:rPr>
            </w:pPr>
            <w:r>
              <w:rPr>
                <w:sz w:val="21"/>
                <w:szCs w:val="21"/>
                <w:b/>
                <w:bCs/>
                <w:spacing w:val="-5"/>
              </w:rPr>
              <w:t>用水量</w:t>
            </w:r>
          </w:p>
          <w:p>
            <w:pPr>
              <w:pStyle w:val="TableText"/>
              <w:ind w:left="49"/>
              <w:spacing w:before="33" w:line="201" w:lineRule="auto"/>
              <w:rPr>
                <w:sz w:val="21"/>
                <w:szCs w:val="21"/>
              </w:rPr>
            </w:pPr>
            <w:r>
              <w:rPr>
                <w:sz w:val="21"/>
                <w:szCs w:val="21"/>
                <w:b/>
                <w:bCs/>
                <w:spacing w:val="-9"/>
              </w:rPr>
              <w:t>(m³/d)</w:t>
            </w:r>
          </w:p>
        </w:tc>
        <w:tc>
          <w:tcPr>
            <w:shd w:val="clear" w:fill="141414"/>
            <w:tcW w:w="549" w:type="dxa"/>
            <w:vAlign w:val="top"/>
          </w:tcPr>
          <w:p>
            <w:pPr>
              <w:pStyle w:val="TableText"/>
              <w:ind w:left="60"/>
              <w:spacing w:before="21" w:line="221" w:lineRule="auto"/>
              <w:rPr>
                <w:sz w:val="21"/>
                <w:szCs w:val="21"/>
              </w:rPr>
            </w:pPr>
            <w:r>
              <w:rPr>
                <w:sz w:val="21"/>
                <w:szCs w:val="21"/>
                <w:b/>
                <w:bCs/>
                <w:spacing w:val="-5"/>
              </w:rPr>
              <w:t>排放</w:t>
            </w:r>
          </w:p>
          <w:p>
            <w:pPr>
              <w:pStyle w:val="TableText"/>
              <w:ind w:left="60"/>
              <w:spacing w:before="17" w:line="219" w:lineRule="auto"/>
              <w:rPr>
                <w:sz w:val="21"/>
                <w:szCs w:val="21"/>
              </w:rPr>
            </w:pPr>
            <w:r>
              <w:rPr>
                <w:sz w:val="21"/>
                <w:szCs w:val="21"/>
                <w:b/>
                <w:bCs/>
                <w:spacing w:val="-6"/>
              </w:rPr>
              <w:t>系数</w:t>
            </w:r>
          </w:p>
        </w:tc>
        <w:tc>
          <w:tcPr>
            <w:shd w:val="clear" w:fill="BDBDBD"/>
            <w:tcW w:w="889" w:type="dxa"/>
            <w:vAlign w:val="top"/>
          </w:tcPr>
          <w:p>
            <w:pPr>
              <w:pStyle w:val="TableText"/>
              <w:ind w:left="132"/>
              <w:spacing w:before="21" w:line="221" w:lineRule="auto"/>
              <w:rPr>
                <w:sz w:val="21"/>
                <w:szCs w:val="21"/>
              </w:rPr>
            </w:pPr>
            <w:r>
              <w:rPr>
                <w:sz w:val="21"/>
                <w:szCs w:val="21"/>
                <w:b/>
                <w:bCs/>
                <w:spacing w:val="-5"/>
              </w:rPr>
              <w:t>排放量</w:t>
            </w:r>
          </w:p>
          <w:p>
            <w:pPr>
              <w:pStyle w:val="TableText"/>
              <w:ind w:left="71"/>
              <w:spacing w:before="40" w:line="201" w:lineRule="auto"/>
              <w:rPr>
                <w:sz w:val="21"/>
                <w:szCs w:val="21"/>
              </w:rPr>
            </w:pPr>
            <w:r>
              <w:rPr>
                <w:sz w:val="21"/>
                <w:szCs w:val="21"/>
                <w:b/>
                <w:bCs/>
                <w:spacing w:val="-9"/>
              </w:rPr>
              <w:t>(m³/a)</w:t>
            </w:r>
          </w:p>
        </w:tc>
        <w:tc>
          <w:tcPr>
            <w:shd w:val="clear" w:fill="BDBDBD"/>
            <w:tcW w:w="964" w:type="dxa"/>
            <w:vAlign w:val="top"/>
          </w:tcPr>
          <w:p>
            <w:pPr>
              <w:pStyle w:val="TableText"/>
              <w:ind w:left="162"/>
              <w:spacing w:before="21" w:line="221" w:lineRule="auto"/>
              <w:rPr>
                <w:sz w:val="21"/>
                <w:szCs w:val="21"/>
              </w:rPr>
            </w:pPr>
            <w:r>
              <w:rPr>
                <w:sz w:val="21"/>
                <w:szCs w:val="21"/>
                <w:b/>
                <w:bCs/>
                <w:spacing w:val="-5"/>
              </w:rPr>
              <w:t>排放量</w:t>
            </w:r>
          </w:p>
          <w:p>
            <w:pPr>
              <w:pStyle w:val="TableText"/>
              <w:ind w:left="112"/>
              <w:spacing w:before="40" w:line="201" w:lineRule="auto"/>
              <w:rPr>
                <w:sz w:val="21"/>
                <w:szCs w:val="21"/>
              </w:rPr>
            </w:pPr>
            <w:r>
              <w:rPr>
                <w:sz w:val="21"/>
                <w:szCs w:val="21"/>
                <w:b/>
                <w:bCs/>
                <w:spacing w:val="-9"/>
              </w:rPr>
              <w:t>(m³/d)</w:t>
            </w:r>
          </w:p>
        </w:tc>
      </w:tr>
      <w:tr>
        <w:trPr>
          <w:trHeight w:val="259" w:hRule="atLeast"/>
        </w:trPr>
        <w:tc>
          <w:tcPr>
            <w:tcW w:w="494" w:type="dxa"/>
            <w:vAlign w:val="top"/>
            <w:vMerge w:val="restart"/>
            <w:tcBorders>
              <w:bottom w:val="nil"/>
            </w:tcBorders>
          </w:tcPr>
          <w:p>
            <w:pPr>
              <w:spacing w:line="249" w:lineRule="auto"/>
              <w:rPr>
                <w:rFonts w:ascii="Arial"/>
                <w:sz w:val="21"/>
              </w:rPr>
            </w:pPr>
            <w:r/>
          </w:p>
          <w:p>
            <w:pPr>
              <w:pStyle w:val="TableText"/>
              <w:ind w:left="28"/>
              <w:spacing w:before="68" w:line="220" w:lineRule="auto"/>
              <w:rPr>
                <w:sz w:val="21"/>
                <w:szCs w:val="21"/>
              </w:rPr>
            </w:pPr>
            <w:r>
              <w:rPr>
                <w:sz w:val="21"/>
                <w:szCs w:val="21"/>
                <w:b/>
                <w:bCs/>
                <w:spacing w:val="-5"/>
              </w:rPr>
              <w:t>生猪</w:t>
            </w:r>
          </w:p>
        </w:tc>
        <w:tc>
          <w:tcPr>
            <w:tcW w:w="1897" w:type="dxa"/>
            <w:vAlign w:val="top"/>
          </w:tcPr>
          <w:p>
            <w:pPr>
              <w:pStyle w:val="TableText"/>
              <w:ind w:left="250"/>
              <w:spacing w:before="30" w:line="192" w:lineRule="auto"/>
              <w:rPr>
                <w:sz w:val="21"/>
                <w:szCs w:val="21"/>
              </w:rPr>
            </w:pPr>
            <w:r>
              <w:rPr>
                <w:sz w:val="21"/>
                <w:szCs w:val="21"/>
                <w:spacing w:val="5"/>
              </w:rPr>
              <w:t>淡季(1月~9月)</w:t>
            </w:r>
          </w:p>
        </w:tc>
        <w:tc>
          <w:tcPr>
            <w:tcW w:w="999" w:type="dxa"/>
            <w:vAlign w:val="top"/>
          </w:tcPr>
          <w:p>
            <w:pPr>
              <w:pStyle w:val="TableText"/>
              <w:ind w:left="223"/>
              <w:spacing w:before="52" w:line="173" w:lineRule="auto"/>
              <w:rPr>
                <w:sz w:val="21"/>
                <w:szCs w:val="21"/>
              </w:rPr>
            </w:pPr>
            <w:r>
              <w:rPr>
                <w:sz w:val="21"/>
                <w:szCs w:val="21"/>
                <w:spacing w:val="-2"/>
              </w:rPr>
              <w:t>0.535</w:t>
            </w:r>
          </w:p>
        </w:tc>
        <w:tc>
          <w:tcPr>
            <w:tcW w:w="889" w:type="dxa"/>
            <w:vAlign w:val="top"/>
          </w:tcPr>
          <w:p>
            <w:pPr>
              <w:pStyle w:val="TableText"/>
              <w:ind w:left="125"/>
              <w:spacing w:before="52" w:line="173" w:lineRule="auto"/>
              <w:rPr>
                <w:sz w:val="21"/>
                <w:szCs w:val="21"/>
              </w:rPr>
            </w:pPr>
            <w:r>
              <w:rPr>
                <w:sz w:val="21"/>
                <w:szCs w:val="21"/>
                <w:spacing w:val="-2"/>
              </w:rPr>
              <w:t>270000</w:t>
            </w:r>
          </w:p>
        </w:tc>
        <w:tc>
          <w:tcPr>
            <w:tcW w:w="979" w:type="dxa"/>
            <w:vAlign w:val="top"/>
          </w:tcPr>
          <w:p>
            <w:pPr>
              <w:pStyle w:val="TableText"/>
              <w:ind w:left="5"/>
              <w:spacing w:before="52" w:line="173" w:lineRule="auto"/>
              <w:rPr>
                <w:sz w:val="21"/>
                <w:szCs w:val="21"/>
              </w:rPr>
            </w:pPr>
            <w:r>
              <w:rPr>
                <w:sz w:val="21"/>
                <w:szCs w:val="21"/>
                <w:spacing w:val="-3"/>
              </w:rPr>
              <w:t>169941.18</w:t>
            </w:r>
          </w:p>
        </w:tc>
        <w:tc>
          <w:tcPr>
            <w:tcW w:w="849" w:type="dxa"/>
            <w:vAlign w:val="top"/>
          </w:tcPr>
          <w:p>
            <w:pPr>
              <w:pStyle w:val="TableText"/>
              <w:ind w:left="106"/>
              <w:spacing w:before="52" w:line="173" w:lineRule="auto"/>
              <w:rPr>
                <w:sz w:val="21"/>
                <w:szCs w:val="21"/>
              </w:rPr>
            </w:pPr>
            <w:r>
              <w:rPr>
                <w:sz w:val="21"/>
                <w:szCs w:val="21"/>
                <w:spacing w:val="-2"/>
              </w:rPr>
              <w:t>629.41</w:t>
            </w:r>
          </w:p>
        </w:tc>
        <w:tc>
          <w:tcPr>
            <w:tcW w:w="549" w:type="dxa"/>
            <w:vAlign w:val="top"/>
          </w:tcPr>
          <w:p>
            <w:pPr>
              <w:pStyle w:val="TableText"/>
              <w:ind w:left="57"/>
              <w:spacing w:before="52" w:line="173" w:lineRule="auto"/>
              <w:rPr>
                <w:sz w:val="21"/>
                <w:szCs w:val="21"/>
              </w:rPr>
            </w:pPr>
            <w:r>
              <w:rPr>
                <w:sz w:val="21"/>
                <w:szCs w:val="21"/>
                <w:spacing w:val="-2"/>
              </w:rPr>
              <w:t>0.85</w:t>
            </w:r>
          </w:p>
        </w:tc>
        <w:tc>
          <w:tcPr>
            <w:tcW w:w="889" w:type="dxa"/>
            <w:vAlign w:val="top"/>
          </w:tcPr>
          <w:p>
            <w:pPr>
              <w:pStyle w:val="TableText"/>
              <w:ind w:left="129"/>
              <w:spacing w:before="52" w:line="173" w:lineRule="auto"/>
              <w:rPr>
                <w:sz w:val="21"/>
                <w:szCs w:val="21"/>
              </w:rPr>
            </w:pPr>
            <w:r>
              <w:rPr>
                <w:sz w:val="21"/>
                <w:szCs w:val="21"/>
                <w:spacing w:val="-4"/>
              </w:rPr>
              <w:t>144450</w:t>
            </w:r>
          </w:p>
        </w:tc>
        <w:tc>
          <w:tcPr>
            <w:tcW w:w="964" w:type="dxa"/>
            <w:vAlign w:val="top"/>
          </w:tcPr>
          <w:p>
            <w:pPr>
              <w:pStyle w:val="TableText"/>
              <w:ind w:left="320"/>
              <w:spacing w:before="52" w:line="173" w:lineRule="auto"/>
              <w:rPr>
                <w:sz w:val="21"/>
                <w:szCs w:val="21"/>
              </w:rPr>
            </w:pPr>
            <w:r>
              <w:rPr>
                <w:sz w:val="21"/>
                <w:szCs w:val="21"/>
                <w:spacing w:val="-3"/>
              </w:rPr>
              <w:t>535</w:t>
            </w:r>
          </w:p>
        </w:tc>
      </w:tr>
      <w:tr>
        <w:trPr>
          <w:trHeight w:val="289" w:hRule="atLeast"/>
        </w:trPr>
        <w:tc>
          <w:tcPr>
            <w:tcW w:w="494" w:type="dxa"/>
            <w:vAlign w:val="top"/>
            <w:vMerge w:val="continue"/>
            <w:tcBorders>
              <w:top w:val="nil"/>
              <w:bottom w:val="nil"/>
            </w:tcBorders>
          </w:tcPr>
          <w:p>
            <w:pPr>
              <w:rPr>
                <w:rFonts w:ascii="Arial"/>
                <w:sz w:val="21"/>
              </w:rPr>
            </w:pPr>
            <w:r/>
          </w:p>
        </w:tc>
        <w:tc>
          <w:tcPr>
            <w:tcW w:w="1897" w:type="dxa"/>
            <w:vAlign w:val="top"/>
          </w:tcPr>
          <w:p>
            <w:pPr>
              <w:pStyle w:val="TableText"/>
              <w:ind w:left="150"/>
              <w:spacing w:before="42" w:line="208" w:lineRule="auto"/>
              <w:rPr>
                <w:sz w:val="21"/>
                <w:szCs w:val="21"/>
              </w:rPr>
            </w:pPr>
            <w:r>
              <w:rPr>
                <w:sz w:val="21"/>
                <w:szCs w:val="21"/>
                <w:spacing w:val="3"/>
              </w:rPr>
              <w:t>旺季(10月~12月)</w:t>
            </w:r>
          </w:p>
        </w:tc>
        <w:tc>
          <w:tcPr>
            <w:tcW w:w="999" w:type="dxa"/>
            <w:vAlign w:val="top"/>
          </w:tcPr>
          <w:p>
            <w:pPr>
              <w:pStyle w:val="TableText"/>
              <w:ind w:left="223"/>
              <w:spacing w:before="64" w:line="189" w:lineRule="auto"/>
              <w:rPr>
                <w:sz w:val="21"/>
                <w:szCs w:val="21"/>
              </w:rPr>
            </w:pPr>
            <w:r>
              <w:rPr>
                <w:sz w:val="21"/>
                <w:szCs w:val="21"/>
                <w:spacing w:val="-2"/>
              </w:rPr>
              <w:t>0.535</w:t>
            </w:r>
          </w:p>
        </w:tc>
        <w:tc>
          <w:tcPr>
            <w:tcW w:w="889" w:type="dxa"/>
            <w:vAlign w:val="top"/>
          </w:tcPr>
          <w:p>
            <w:pPr>
              <w:pStyle w:val="TableText"/>
              <w:ind w:left="125"/>
              <w:spacing w:before="64" w:line="189" w:lineRule="auto"/>
              <w:rPr>
                <w:sz w:val="21"/>
                <w:szCs w:val="21"/>
              </w:rPr>
            </w:pPr>
            <w:r>
              <w:rPr>
                <w:sz w:val="21"/>
                <w:szCs w:val="21"/>
                <w:spacing w:val="-4"/>
              </w:rPr>
              <w:t>130000</w:t>
            </w:r>
          </w:p>
        </w:tc>
        <w:tc>
          <w:tcPr>
            <w:tcW w:w="979" w:type="dxa"/>
            <w:vAlign w:val="top"/>
          </w:tcPr>
          <w:p>
            <w:pPr>
              <w:pStyle w:val="TableText"/>
              <w:ind w:left="66"/>
              <w:spacing w:before="64" w:line="189" w:lineRule="auto"/>
              <w:rPr>
                <w:sz w:val="21"/>
                <w:szCs w:val="21"/>
              </w:rPr>
            </w:pPr>
            <w:r>
              <w:rPr>
                <w:sz w:val="21"/>
                <w:szCs w:val="21"/>
                <w:spacing w:val="-1"/>
              </w:rPr>
              <w:t>81798.35</w:t>
            </w:r>
          </w:p>
        </w:tc>
        <w:tc>
          <w:tcPr>
            <w:tcW w:w="849" w:type="dxa"/>
            <w:vAlign w:val="top"/>
          </w:tcPr>
          <w:p>
            <w:pPr>
              <w:pStyle w:val="TableText"/>
              <w:ind w:left="106"/>
              <w:spacing w:before="64" w:line="189" w:lineRule="auto"/>
              <w:rPr>
                <w:sz w:val="21"/>
                <w:szCs w:val="21"/>
              </w:rPr>
            </w:pPr>
            <w:r>
              <w:rPr>
                <w:sz w:val="21"/>
                <w:szCs w:val="21"/>
                <w:spacing w:val="-2"/>
              </w:rPr>
              <w:t>908.87</w:t>
            </w:r>
          </w:p>
        </w:tc>
        <w:tc>
          <w:tcPr>
            <w:tcW w:w="549" w:type="dxa"/>
            <w:vAlign w:val="top"/>
          </w:tcPr>
          <w:p>
            <w:pPr>
              <w:pStyle w:val="TableText"/>
              <w:ind w:left="57"/>
              <w:spacing w:before="64" w:line="189" w:lineRule="auto"/>
              <w:rPr>
                <w:sz w:val="21"/>
                <w:szCs w:val="21"/>
              </w:rPr>
            </w:pPr>
            <w:r>
              <w:rPr>
                <w:sz w:val="21"/>
                <w:szCs w:val="21"/>
                <w:spacing w:val="-2"/>
              </w:rPr>
              <w:t>0.85</w:t>
            </w:r>
          </w:p>
        </w:tc>
        <w:tc>
          <w:tcPr>
            <w:tcW w:w="889" w:type="dxa"/>
            <w:vAlign w:val="top"/>
          </w:tcPr>
          <w:p>
            <w:pPr>
              <w:pStyle w:val="TableText"/>
              <w:ind w:left="68"/>
              <w:spacing w:before="64" w:line="189" w:lineRule="auto"/>
              <w:rPr>
                <w:sz w:val="21"/>
                <w:szCs w:val="21"/>
              </w:rPr>
            </w:pPr>
            <w:r>
              <w:rPr>
                <w:sz w:val="21"/>
                <w:szCs w:val="21"/>
                <w:spacing w:val="-2"/>
              </w:rPr>
              <w:t>69528.6</w:t>
            </w:r>
          </w:p>
        </w:tc>
        <w:tc>
          <w:tcPr>
            <w:tcW w:w="964" w:type="dxa"/>
            <w:vAlign w:val="top"/>
          </w:tcPr>
          <w:p>
            <w:pPr>
              <w:pStyle w:val="TableText"/>
              <w:ind w:left="209"/>
              <w:spacing w:before="64" w:line="189" w:lineRule="auto"/>
              <w:rPr>
                <w:sz w:val="21"/>
                <w:szCs w:val="21"/>
              </w:rPr>
            </w:pPr>
            <w:r>
              <w:rPr>
                <w:sz w:val="21"/>
                <w:szCs w:val="21"/>
                <w:spacing w:val="-3"/>
              </w:rPr>
              <w:t>772.5</w:t>
            </w:r>
          </w:p>
        </w:tc>
      </w:tr>
      <w:tr>
        <w:trPr>
          <w:trHeight w:val="279" w:hRule="atLeast"/>
        </w:trPr>
        <w:tc>
          <w:tcPr>
            <w:tcW w:w="494" w:type="dxa"/>
            <w:vAlign w:val="top"/>
            <w:vMerge w:val="continue"/>
            <w:tcBorders>
              <w:top w:val="nil"/>
            </w:tcBorders>
          </w:tcPr>
          <w:p>
            <w:pPr>
              <w:rPr>
                <w:rFonts w:ascii="Arial"/>
                <w:sz w:val="21"/>
              </w:rPr>
            </w:pPr>
            <w:r/>
          </w:p>
        </w:tc>
        <w:tc>
          <w:tcPr>
            <w:tcW w:w="1897" w:type="dxa"/>
            <w:vAlign w:val="top"/>
          </w:tcPr>
          <w:p>
            <w:pPr>
              <w:pStyle w:val="TableText"/>
              <w:ind w:left="730"/>
              <w:spacing w:before="43" w:line="198" w:lineRule="auto"/>
              <w:rPr>
                <w:sz w:val="21"/>
                <w:szCs w:val="21"/>
              </w:rPr>
            </w:pPr>
            <w:r>
              <w:rPr>
                <w:sz w:val="21"/>
                <w:szCs w:val="21"/>
                <w:spacing w:val="-3"/>
              </w:rPr>
              <w:t>全年</w:t>
            </w:r>
          </w:p>
        </w:tc>
        <w:tc>
          <w:tcPr>
            <w:tcW w:w="999" w:type="dxa"/>
            <w:vAlign w:val="top"/>
          </w:tcPr>
          <w:p>
            <w:pPr>
              <w:pStyle w:val="TableText"/>
              <w:ind w:left="433"/>
              <w:spacing w:before="49" w:line="193" w:lineRule="auto"/>
              <w:rPr>
                <w:sz w:val="21"/>
                <w:szCs w:val="21"/>
              </w:rPr>
            </w:pPr>
            <w:r>
              <w:rPr>
                <w:sz w:val="21"/>
                <w:szCs w:val="21"/>
              </w:rPr>
              <w:t>/</w:t>
            </w:r>
          </w:p>
        </w:tc>
        <w:tc>
          <w:tcPr>
            <w:tcW w:w="889" w:type="dxa"/>
            <w:vAlign w:val="top"/>
          </w:tcPr>
          <w:p>
            <w:pPr>
              <w:pStyle w:val="TableText"/>
              <w:ind w:left="125"/>
              <w:spacing w:before="64" w:line="180" w:lineRule="auto"/>
              <w:rPr>
                <w:sz w:val="21"/>
                <w:szCs w:val="21"/>
              </w:rPr>
            </w:pPr>
            <w:r>
              <w:rPr>
                <w:sz w:val="21"/>
                <w:szCs w:val="21"/>
                <w:spacing w:val="-2"/>
              </w:rPr>
              <w:t>400000</w:t>
            </w:r>
          </w:p>
        </w:tc>
        <w:tc>
          <w:tcPr>
            <w:tcW w:w="979" w:type="dxa"/>
            <w:vAlign w:val="top"/>
          </w:tcPr>
          <w:p>
            <w:pPr>
              <w:pStyle w:val="TableText"/>
              <w:ind w:left="5"/>
              <w:spacing w:before="64" w:line="180" w:lineRule="auto"/>
              <w:rPr>
                <w:sz w:val="21"/>
                <w:szCs w:val="21"/>
              </w:rPr>
            </w:pPr>
            <w:r>
              <w:rPr>
                <w:sz w:val="21"/>
                <w:szCs w:val="21"/>
                <w:spacing w:val="-2"/>
              </w:rPr>
              <w:t>251739.53</w:t>
            </w:r>
          </w:p>
        </w:tc>
        <w:tc>
          <w:tcPr>
            <w:tcW w:w="849" w:type="dxa"/>
            <w:vAlign w:val="top"/>
          </w:tcPr>
          <w:p>
            <w:pPr>
              <w:pStyle w:val="TableText"/>
              <w:ind w:left="366"/>
              <w:spacing w:before="49" w:line="193" w:lineRule="auto"/>
              <w:rPr>
                <w:sz w:val="21"/>
                <w:szCs w:val="21"/>
              </w:rPr>
            </w:pPr>
            <w:r>
              <w:rPr>
                <w:sz w:val="21"/>
                <w:szCs w:val="21"/>
              </w:rPr>
              <w:t>/</w:t>
            </w:r>
          </w:p>
        </w:tc>
        <w:tc>
          <w:tcPr>
            <w:tcW w:w="549" w:type="dxa"/>
            <w:vAlign w:val="top"/>
          </w:tcPr>
          <w:p>
            <w:pPr>
              <w:pStyle w:val="TableText"/>
              <w:ind w:left="57"/>
              <w:spacing w:before="64" w:line="180" w:lineRule="auto"/>
              <w:rPr>
                <w:sz w:val="21"/>
                <w:szCs w:val="21"/>
              </w:rPr>
            </w:pPr>
            <w:r>
              <w:rPr>
                <w:sz w:val="21"/>
                <w:szCs w:val="21"/>
                <w:spacing w:val="-2"/>
              </w:rPr>
              <w:t>0.85</w:t>
            </w:r>
          </w:p>
        </w:tc>
        <w:tc>
          <w:tcPr>
            <w:tcW w:w="889" w:type="dxa"/>
            <w:vAlign w:val="top"/>
          </w:tcPr>
          <w:p>
            <w:pPr>
              <w:pStyle w:val="TableText"/>
              <w:ind w:left="18"/>
              <w:spacing w:before="64" w:line="180" w:lineRule="auto"/>
              <w:rPr>
                <w:sz w:val="21"/>
                <w:szCs w:val="21"/>
              </w:rPr>
            </w:pPr>
            <w:r>
              <w:rPr>
                <w:sz w:val="21"/>
                <w:szCs w:val="21"/>
                <w:spacing w:val="-2"/>
              </w:rPr>
              <w:t>213978.6</w:t>
            </w:r>
          </w:p>
        </w:tc>
        <w:tc>
          <w:tcPr>
            <w:tcW w:w="964" w:type="dxa"/>
            <w:vAlign w:val="top"/>
          </w:tcPr>
          <w:p>
            <w:pPr>
              <w:pStyle w:val="TableText"/>
              <w:ind w:left="419"/>
              <w:spacing w:before="49" w:line="193" w:lineRule="auto"/>
              <w:rPr>
                <w:sz w:val="21"/>
                <w:szCs w:val="21"/>
              </w:rPr>
            </w:pPr>
            <w:r>
              <w:rPr>
                <w:sz w:val="21"/>
                <w:szCs w:val="21"/>
              </w:rPr>
              <w:t>/</w:t>
            </w:r>
          </w:p>
        </w:tc>
      </w:tr>
      <w:tr>
        <w:trPr>
          <w:trHeight w:val="259" w:hRule="atLeast"/>
        </w:trPr>
        <w:tc>
          <w:tcPr>
            <w:tcW w:w="494" w:type="dxa"/>
            <w:vAlign w:val="top"/>
            <w:vMerge w:val="restart"/>
            <w:tcBorders>
              <w:bottom w:val="nil"/>
            </w:tcBorders>
          </w:tcPr>
          <w:p>
            <w:pPr>
              <w:spacing w:line="243" w:lineRule="auto"/>
              <w:rPr>
                <w:rFonts w:ascii="Arial"/>
                <w:sz w:val="21"/>
              </w:rPr>
            </w:pPr>
            <w:r/>
          </w:p>
          <w:p>
            <w:pPr>
              <w:pStyle w:val="TableText"/>
              <w:ind w:left="28"/>
              <w:spacing w:before="68" w:line="221" w:lineRule="auto"/>
              <w:rPr>
                <w:sz w:val="21"/>
                <w:szCs w:val="21"/>
              </w:rPr>
            </w:pPr>
            <w:r>
              <w:rPr>
                <w:sz w:val="21"/>
                <w:szCs w:val="21"/>
                <w:b/>
                <w:bCs/>
              </w:rPr>
              <w:t>肉牛</w:t>
            </w:r>
          </w:p>
        </w:tc>
        <w:tc>
          <w:tcPr>
            <w:tcW w:w="1897" w:type="dxa"/>
            <w:vAlign w:val="top"/>
          </w:tcPr>
          <w:p>
            <w:pPr>
              <w:pStyle w:val="TableText"/>
              <w:ind w:left="250"/>
              <w:spacing w:before="34" w:line="189" w:lineRule="auto"/>
              <w:rPr>
                <w:sz w:val="21"/>
                <w:szCs w:val="21"/>
              </w:rPr>
            </w:pPr>
            <w:r>
              <w:rPr>
                <w:sz w:val="21"/>
                <w:szCs w:val="21"/>
                <w:spacing w:val="5"/>
              </w:rPr>
              <w:t>淡季(1月~9月)</w:t>
            </w:r>
          </w:p>
        </w:tc>
        <w:tc>
          <w:tcPr>
            <w:tcW w:w="999" w:type="dxa"/>
            <w:vAlign w:val="top"/>
          </w:tcPr>
          <w:p>
            <w:pPr>
              <w:pStyle w:val="TableText"/>
              <w:ind w:left="223"/>
              <w:spacing w:before="55" w:line="170" w:lineRule="auto"/>
              <w:rPr>
                <w:sz w:val="21"/>
                <w:szCs w:val="21"/>
              </w:rPr>
            </w:pPr>
            <w:r>
              <w:rPr>
                <w:sz w:val="21"/>
                <w:szCs w:val="21"/>
                <w:spacing w:val="-2"/>
              </w:rPr>
              <w:t>0.941</w:t>
            </w:r>
          </w:p>
        </w:tc>
        <w:tc>
          <w:tcPr>
            <w:tcW w:w="889" w:type="dxa"/>
            <w:vAlign w:val="top"/>
          </w:tcPr>
          <w:p>
            <w:pPr>
              <w:pStyle w:val="TableText"/>
              <w:ind w:left="175"/>
              <w:spacing w:before="55" w:line="170" w:lineRule="auto"/>
              <w:rPr>
                <w:sz w:val="21"/>
                <w:szCs w:val="21"/>
              </w:rPr>
            </w:pPr>
            <w:r>
              <w:rPr>
                <w:sz w:val="21"/>
                <w:szCs w:val="21"/>
                <w:color w:val="404040"/>
                <w:spacing w:val="-2"/>
              </w:rPr>
              <w:t>27000</w:t>
            </w:r>
          </w:p>
        </w:tc>
        <w:tc>
          <w:tcPr>
            <w:tcW w:w="979" w:type="dxa"/>
            <w:vAlign w:val="top"/>
          </w:tcPr>
          <w:p>
            <w:pPr>
              <w:pStyle w:val="TableText"/>
              <w:ind w:left="66"/>
              <w:spacing w:before="55" w:line="170" w:lineRule="auto"/>
              <w:rPr>
                <w:sz w:val="21"/>
                <w:szCs w:val="21"/>
              </w:rPr>
            </w:pPr>
            <w:r>
              <w:rPr>
                <w:sz w:val="21"/>
                <w:szCs w:val="21"/>
                <w:spacing w:val="-2"/>
              </w:rPr>
              <w:t>29890.59</w:t>
            </w:r>
          </w:p>
        </w:tc>
        <w:tc>
          <w:tcPr>
            <w:tcW w:w="849" w:type="dxa"/>
            <w:vAlign w:val="top"/>
          </w:tcPr>
          <w:p>
            <w:pPr>
              <w:pStyle w:val="TableText"/>
              <w:ind w:left="106"/>
              <w:spacing w:before="55" w:line="170" w:lineRule="auto"/>
              <w:rPr>
                <w:sz w:val="21"/>
                <w:szCs w:val="21"/>
              </w:rPr>
            </w:pPr>
            <w:r>
              <w:rPr>
                <w:sz w:val="21"/>
                <w:szCs w:val="21"/>
                <w:spacing w:val="-4"/>
              </w:rPr>
              <w:t>110.71</w:t>
            </w:r>
          </w:p>
        </w:tc>
        <w:tc>
          <w:tcPr>
            <w:tcW w:w="549" w:type="dxa"/>
            <w:vAlign w:val="top"/>
          </w:tcPr>
          <w:p>
            <w:pPr>
              <w:pStyle w:val="TableText"/>
              <w:ind w:left="57"/>
              <w:spacing w:before="55" w:line="170" w:lineRule="auto"/>
              <w:rPr>
                <w:sz w:val="21"/>
                <w:szCs w:val="21"/>
              </w:rPr>
            </w:pPr>
            <w:r>
              <w:rPr>
                <w:sz w:val="21"/>
                <w:szCs w:val="21"/>
                <w:spacing w:val="-2"/>
              </w:rPr>
              <w:t>0.85</w:t>
            </w:r>
          </w:p>
        </w:tc>
        <w:tc>
          <w:tcPr>
            <w:tcW w:w="889" w:type="dxa"/>
            <w:vAlign w:val="top"/>
          </w:tcPr>
          <w:p>
            <w:pPr>
              <w:pStyle w:val="TableText"/>
              <w:ind w:left="178"/>
              <w:spacing w:before="55" w:line="170" w:lineRule="auto"/>
              <w:rPr>
                <w:sz w:val="21"/>
                <w:szCs w:val="21"/>
              </w:rPr>
            </w:pPr>
            <w:r>
              <w:rPr>
                <w:sz w:val="21"/>
                <w:szCs w:val="21"/>
                <w:color w:val="404040"/>
                <w:spacing w:val="-2"/>
              </w:rPr>
              <w:t>25407</w:t>
            </w:r>
          </w:p>
        </w:tc>
        <w:tc>
          <w:tcPr>
            <w:tcW w:w="964" w:type="dxa"/>
            <w:vAlign w:val="top"/>
          </w:tcPr>
          <w:p>
            <w:pPr>
              <w:pStyle w:val="TableText"/>
              <w:ind w:left="269"/>
              <w:spacing w:before="55" w:line="170" w:lineRule="auto"/>
              <w:rPr>
                <w:sz w:val="21"/>
                <w:szCs w:val="21"/>
              </w:rPr>
            </w:pPr>
            <w:r>
              <w:rPr>
                <w:sz w:val="21"/>
                <w:szCs w:val="21"/>
                <w:spacing w:val="-2"/>
              </w:rPr>
              <w:t>94.1</w:t>
            </w:r>
          </w:p>
        </w:tc>
      </w:tr>
      <w:tr>
        <w:trPr>
          <w:trHeight w:val="269" w:hRule="atLeast"/>
        </w:trPr>
        <w:tc>
          <w:tcPr>
            <w:tcW w:w="494" w:type="dxa"/>
            <w:vAlign w:val="top"/>
            <w:vMerge w:val="continue"/>
            <w:tcBorders>
              <w:top w:val="nil"/>
              <w:bottom w:val="nil"/>
            </w:tcBorders>
          </w:tcPr>
          <w:p>
            <w:pPr>
              <w:rPr>
                <w:rFonts w:ascii="Arial"/>
                <w:sz w:val="21"/>
              </w:rPr>
            </w:pPr>
            <w:r/>
          </w:p>
        </w:tc>
        <w:tc>
          <w:tcPr>
            <w:tcW w:w="1897" w:type="dxa"/>
            <w:vAlign w:val="top"/>
          </w:tcPr>
          <w:p>
            <w:pPr>
              <w:pStyle w:val="TableText"/>
              <w:ind w:left="150"/>
              <w:spacing w:before="34" w:line="197" w:lineRule="auto"/>
              <w:rPr>
                <w:sz w:val="21"/>
                <w:szCs w:val="21"/>
              </w:rPr>
            </w:pPr>
            <w:r>
              <w:rPr>
                <w:sz w:val="21"/>
                <w:szCs w:val="21"/>
                <w:spacing w:val="3"/>
              </w:rPr>
              <w:t>旺季(10月~12月)</w:t>
            </w:r>
          </w:p>
        </w:tc>
        <w:tc>
          <w:tcPr>
            <w:tcW w:w="999" w:type="dxa"/>
            <w:vAlign w:val="top"/>
          </w:tcPr>
          <w:p>
            <w:pPr>
              <w:pStyle w:val="TableText"/>
              <w:ind w:left="223"/>
              <w:spacing w:before="56" w:line="178" w:lineRule="auto"/>
              <w:rPr>
                <w:sz w:val="21"/>
                <w:szCs w:val="21"/>
              </w:rPr>
            </w:pPr>
            <w:r>
              <w:rPr>
                <w:sz w:val="21"/>
                <w:szCs w:val="21"/>
                <w:spacing w:val="-2"/>
              </w:rPr>
              <w:t>0.941</w:t>
            </w:r>
          </w:p>
        </w:tc>
        <w:tc>
          <w:tcPr>
            <w:tcW w:w="889" w:type="dxa"/>
            <w:vAlign w:val="top"/>
          </w:tcPr>
          <w:p>
            <w:pPr>
              <w:pStyle w:val="TableText"/>
              <w:ind w:left="175"/>
              <w:spacing w:before="56" w:line="178" w:lineRule="auto"/>
              <w:rPr>
                <w:sz w:val="21"/>
                <w:szCs w:val="21"/>
              </w:rPr>
            </w:pPr>
            <w:r>
              <w:rPr>
                <w:sz w:val="21"/>
                <w:szCs w:val="21"/>
                <w:spacing w:val="-4"/>
              </w:rPr>
              <w:t>13000</w:t>
            </w:r>
          </w:p>
        </w:tc>
        <w:tc>
          <w:tcPr>
            <w:tcW w:w="979" w:type="dxa"/>
            <w:vAlign w:val="top"/>
          </w:tcPr>
          <w:p>
            <w:pPr>
              <w:pStyle w:val="TableText"/>
              <w:ind w:left="66"/>
              <w:spacing w:before="56" w:line="178" w:lineRule="auto"/>
              <w:rPr>
                <w:sz w:val="21"/>
                <w:szCs w:val="21"/>
              </w:rPr>
            </w:pPr>
            <w:r>
              <w:rPr>
                <w:sz w:val="21"/>
                <w:szCs w:val="21"/>
                <w:spacing w:val="-3"/>
              </w:rPr>
              <w:t>14347.48</w:t>
            </w:r>
          </w:p>
        </w:tc>
        <w:tc>
          <w:tcPr>
            <w:tcW w:w="849" w:type="dxa"/>
            <w:vAlign w:val="top"/>
          </w:tcPr>
          <w:p>
            <w:pPr>
              <w:pStyle w:val="TableText"/>
              <w:ind w:left="106"/>
              <w:spacing w:before="56" w:line="178" w:lineRule="auto"/>
              <w:rPr>
                <w:sz w:val="21"/>
                <w:szCs w:val="21"/>
              </w:rPr>
            </w:pPr>
            <w:r>
              <w:rPr>
                <w:sz w:val="21"/>
                <w:szCs w:val="21"/>
                <w:spacing w:val="-4"/>
              </w:rPr>
              <w:t>159.42</w:t>
            </w:r>
          </w:p>
        </w:tc>
        <w:tc>
          <w:tcPr>
            <w:tcW w:w="549" w:type="dxa"/>
            <w:vAlign w:val="top"/>
          </w:tcPr>
          <w:p>
            <w:pPr>
              <w:pStyle w:val="TableText"/>
              <w:ind w:left="57"/>
              <w:spacing w:before="56" w:line="178" w:lineRule="auto"/>
              <w:rPr>
                <w:sz w:val="21"/>
                <w:szCs w:val="21"/>
              </w:rPr>
            </w:pPr>
            <w:r>
              <w:rPr>
                <w:sz w:val="21"/>
                <w:szCs w:val="21"/>
                <w:spacing w:val="-2"/>
              </w:rPr>
              <w:t>0.85</w:t>
            </w:r>
          </w:p>
        </w:tc>
        <w:tc>
          <w:tcPr>
            <w:tcW w:w="889" w:type="dxa"/>
            <w:vAlign w:val="top"/>
          </w:tcPr>
          <w:p>
            <w:pPr>
              <w:pStyle w:val="TableText"/>
              <w:ind w:left="68"/>
              <w:spacing w:before="56" w:line="178" w:lineRule="auto"/>
              <w:rPr>
                <w:sz w:val="21"/>
                <w:szCs w:val="21"/>
              </w:rPr>
            </w:pPr>
            <w:r>
              <w:rPr>
                <w:sz w:val="21"/>
                <w:szCs w:val="21"/>
                <w:spacing w:val="-3"/>
              </w:rPr>
              <w:t>12195.4</w:t>
            </w:r>
          </w:p>
        </w:tc>
        <w:tc>
          <w:tcPr>
            <w:tcW w:w="964" w:type="dxa"/>
            <w:vAlign w:val="top"/>
          </w:tcPr>
          <w:p>
            <w:pPr>
              <w:pStyle w:val="TableText"/>
              <w:ind w:left="209"/>
              <w:spacing w:before="56" w:line="178" w:lineRule="auto"/>
              <w:rPr>
                <w:sz w:val="21"/>
                <w:szCs w:val="21"/>
              </w:rPr>
            </w:pPr>
            <w:r>
              <w:rPr>
                <w:sz w:val="21"/>
                <w:szCs w:val="21"/>
                <w:spacing w:val="-4"/>
              </w:rPr>
              <w:t>135.5</w:t>
            </w:r>
          </w:p>
        </w:tc>
      </w:tr>
      <w:tr>
        <w:trPr>
          <w:trHeight w:val="283" w:hRule="atLeast"/>
        </w:trPr>
        <w:tc>
          <w:tcPr>
            <w:tcW w:w="494" w:type="dxa"/>
            <w:vAlign w:val="top"/>
            <w:vMerge w:val="continue"/>
            <w:tcBorders>
              <w:top w:val="nil"/>
            </w:tcBorders>
          </w:tcPr>
          <w:p>
            <w:pPr>
              <w:rPr>
                <w:rFonts w:ascii="Arial"/>
                <w:sz w:val="21"/>
              </w:rPr>
            </w:pPr>
            <w:r/>
          </w:p>
        </w:tc>
        <w:tc>
          <w:tcPr>
            <w:tcW w:w="1897" w:type="dxa"/>
            <w:vAlign w:val="top"/>
          </w:tcPr>
          <w:p>
            <w:pPr>
              <w:pStyle w:val="TableText"/>
              <w:ind w:left="730"/>
              <w:spacing w:before="46" w:line="199" w:lineRule="auto"/>
              <w:rPr>
                <w:sz w:val="21"/>
                <w:szCs w:val="21"/>
              </w:rPr>
            </w:pPr>
            <w:r>
              <w:rPr>
                <w:sz w:val="21"/>
                <w:szCs w:val="21"/>
                <w:color w:val="505050"/>
                <w:spacing w:val="-3"/>
              </w:rPr>
              <w:t>全年</w:t>
            </w:r>
          </w:p>
        </w:tc>
        <w:tc>
          <w:tcPr>
            <w:tcW w:w="999" w:type="dxa"/>
            <w:vAlign w:val="top"/>
          </w:tcPr>
          <w:p>
            <w:pPr>
              <w:pStyle w:val="TableText"/>
              <w:ind w:left="433"/>
              <w:spacing w:before="52" w:line="194" w:lineRule="auto"/>
              <w:rPr>
                <w:sz w:val="21"/>
                <w:szCs w:val="21"/>
              </w:rPr>
            </w:pPr>
            <w:r>
              <w:rPr>
                <w:sz w:val="21"/>
                <w:szCs w:val="21"/>
                <w:color w:val="404050"/>
              </w:rPr>
              <w:t>/</w:t>
            </w:r>
          </w:p>
        </w:tc>
        <w:tc>
          <w:tcPr>
            <w:tcW w:w="889" w:type="dxa"/>
            <w:vAlign w:val="top"/>
          </w:tcPr>
          <w:p>
            <w:pPr>
              <w:pStyle w:val="TableText"/>
              <w:ind w:left="175"/>
              <w:spacing w:before="67" w:line="181" w:lineRule="auto"/>
              <w:rPr>
                <w:sz w:val="21"/>
                <w:szCs w:val="21"/>
              </w:rPr>
            </w:pPr>
            <w:r>
              <w:rPr>
                <w:sz w:val="21"/>
                <w:szCs w:val="21"/>
                <w:spacing w:val="-2"/>
              </w:rPr>
              <w:t>40000</w:t>
            </w:r>
          </w:p>
        </w:tc>
        <w:tc>
          <w:tcPr>
            <w:tcW w:w="979" w:type="dxa"/>
            <w:vAlign w:val="top"/>
          </w:tcPr>
          <w:p>
            <w:pPr>
              <w:pStyle w:val="TableText"/>
              <w:ind w:left="66"/>
              <w:spacing w:before="67" w:line="181" w:lineRule="auto"/>
              <w:rPr>
                <w:sz w:val="21"/>
                <w:szCs w:val="21"/>
              </w:rPr>
            </w:pPr>
            <w:r>
              <w:rPr>
                <w:sz w:val="21"/>
                <w:szCs w:val="21"/>
                <w:spacing w:val="-1"/>
              </w:rPr>
              <w:t>44238.07</w:t>
            </w:r>
          </w:p>
        </w:tc>
        <w:tc>
          <w:tcPr>
            <w:tcW w:w="849" w:type="dxa"/>
            <w:vAlign w:val="top"/>
          </w:tcPr>
          <w:p>
            <w:pPr>
              <w:pStyle w:val="TableText"/>
              <w:ind w:left="366"/>
              <w:spacing w:before="52" w:line="194" w:lineRule="auto"/>
              <w:rPr>
                <w:sz w:val="21"/>
                <w:szCs w:val="21"/>
              </w:rPr>
            </w:pPr>
            <w:r>
              <w:rPr>
                <w:sz w:val="21"/>
                <w:szCs w:val="21"/>
              </w:rPr>
              <w:t>/</w:t>
            </w:r>
          </w:p>
        </w:tc>
        <w:tc>
          <w:tcPr>
            <w:tcW w:w="549" w:type="dxa"/>
            <w:vAlign w:val="top"/>
          </w:tcPr>
          <w:p>
            <w:pPr>
              <w:pStyle w:val="TableText"/>
              <w:ind w:left="57"/>
              <w:spacing w:before="67" w:line="181" w:lineRule="auto"/>
              <w:rPr>
                <w:sz w:val="21"/>
                <w:szCs w:val="21"/>
              </w:rPr>
            </w:pPr>
            <w:r>
              <w:rPr>
                <w:sz w:val="21"/>
                <w:szCs w:val="21"/>
                <w:spacing w:val="-2"/>
              </w:rPr>
              <w:t>0.85</w:t>
            </w:r>
          </w:p>
        </w:tc>
        <w:tc>
          <w:tcPr>
            <w:tcW w:w="889" w:type="dxa"/>
            <w:vAlign w:val="top"/>
          </w:tcPr>
          <w:p>
            <w:pPr>
              <w:pStyle w:val="TableText"/>
              <w:ind w:left="18"/>
              <w:spacing w:before="67" w:line="181" w:lineRule="auto"/>
              <w:rPr>
                <w:sz w:val="21"/>
                <w:szCs w:val="21"/>
              </w:rPr>
            </w:pPr>
            <w:r>
              <w:rPr>
                <w:sz w:val="21"/>
                <w:szCs w:val="21"/>
                <w:spacing w:val="-2"/>
              </w:rPr>
              <w:t>37602.36</w:t>
            </w:r>
          </w:p>
        </w:tc>
        <w:tc>
          <w:tcPr>
            <w:tcW w:w="964" w:type="dxa"/>
            <w:vAlign w:val="top"/>
          </w:tcPr>
          <w:p>
            <w:pPr>
              <w:pStyle w:val="TableText"/>
              <w:ind w:left="419"/>
              <w:spacing w:before="52" w:line="194" w:lineRule="auto"/>
              <w:rPr>
                <w:sz w:val="21"/>
                <w:szCs w:val="21"/>
              </w:rPr>
            </w:pPr>
            <w:r>
              <w:rPr>
                <w:sz w:val="21"/>
                <w:szCs w:val="21"/>
                <w:color w:val="403040"/>
              </w:rPr>
              <w:t>/</w:t>
            </w:r>
          </w:p>
        </w:tc>
      </w:tr>
    </w:tbl>
    <w:p>
      <w:pPr>
        <w:ind w:left="104" w:right="220" w:firstLine="500"/>
        <w:spacing w:before="66" w:line="364" w:lineRule="auto"/>
        <w:rPr>
          <w:rFonts w:ascii="SimSun" w:hAnsi="SimSun" w:eastAsia="SimSun" w:cs="SimSun"/>
          <w:sz w:val="23"/>
          <w:szCs w:val="23"/>
        </w:rPr>
      </w:pPr>
      <w:r>
        <w:rPr>
          <w:rFonts w:ascii="SimSun" w:hAnsi="SimSun" w:eastAsia="SimSun" w:cs="SimSun"/>
          <w:sz w:val="23"/>
          <w:szCs w:val="23"/>
          <w:spacing w:val="2"/>
        </w:rPr>
        <w:t>根据《猪屠宰与分割车间设计规范》</w:t>
      </w:r>
      <w:r>
        <w:rPr>
          <w:rFonts w:ascii="SimSun" w:hAnsi="SimSun" w:eastAsia="SimSun" w:cs="SimSun"/>
          <w:sz w:val="23"/>
          <w:szCs w:val="23"/>
          <w:spacing w:val="99"/>
        </w:rPr>
        <w:t xml:space="preserve"> </w:t>
      </w:r>
      <w:r>
        <w:rPr>
          <w:rFonts w:ascii="Times New Roman" w:hAnsi="Times New Roman" w:eastAsia="Times New Roman" w:cs="Times New Roman"/>
          <w:sz w:val="23"/>
          <w:szCs w:val="23"/>
          <w:spacing w:val="2"/>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2"/>
        </w:rPr>
        <w:t>50317-2009)</w:t>
      </w:r>
      <w:r>
        <w:rPr>
          <w:rFonts w:ascii="SimSun" w:hAnsi="SimSun" w:eastAsia="SimSun" w:cs="SimSun"/>
          <w:sz w:val="23"/>
          <w:szCs w:val="23"/>
          <w:spacing w:val="2"/>
        </w:rPr>
        <w:t>、《</w:t>
      </w:r>
      <w:r>
        <w:rPr>
          <w:rFonts w:ascii="SimSun" w:hAnsi="SimSun" w:eastAsia="SimSun" w:cs="SimSun"/>
          <w:sz w:val="23"/>
          <w:szCs w:val="23"/>
          <w:spacing w:val="34"/>
        </w:rPr>
        <w:t xml:space="preserve">  </w:t>
      </w:r>
      <w:r>
        <w:rPr>
          <w:rFonts w:ascii="SimSun" w:hAnsi="SimSun" w:eastAsia="SimSun" w:cs="SimSun"/>
          <w:sz w:val="23"/>
          <w:szCs w:val="23"/>
          <w:spacing w:val="2"/>
        </w:rPr>
        <w:t>牛羊屠宰与分</w:t>
      </w:r>
      <w:r>
        <w:rPr>
          <w:rFonts w:ascii="SimSun" w:hAnsi="SimSun" w:eastAsia="SimSun" w:cs="SimSun"/>
          <w:sz w:val="23"/>
          <w:szCs w:val="23"/>
        </w:rPr>
        <w:t xml:space="preserve"> </w:t>
      </w:r>
      <w:r>
        <w:rPr>
          <w:rFonts w:ascii="SimSun" w:hAnsi="SimSun" w:eastAsia="SimSun" w:cs="SimSun"/>
          <w:sz w:val="23"/>
          <w:szCs w:val="23"/>
          <w:spacing w:val="5"/>
        </w:rPr>
        <w:t>割车间设计规范》</w:t>
      </w:r>
      <w:r>
        <w:rPr>
          <w:rFonts w:ascii="SimSun" w:hAnsi="SimSun" w:eastAsia="SimSun" w:cs="SimSun"/>
          <w:sz w:val="23"/>
          <w:szCs w:val="23"/>
          <w:spacing w:val="75"/>
        </w:rPr>
        <w:t xml:space="preserve"> </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5"/>
        </w:rPr>
        <w:t>51225-2017),       </w:t>
      </w:r>
      <w:r>
        <w:rPr>
          <w:rFonts w:ascii="SimSun" w:hAnsi="SimSun" w:eastAsia="SimSun" w:cs="SimSun"/>
          <w:sz w:val="23"/>
          <w:szCs w:val="23"/>
          <w:spacing w:val="5"/>
        </w:rPr>
        <w:t>屠宰用水必须满足《生活饮用水卫</w:t>
      </w:r>
      <w:r>
        <w:rPr>
          <w:rFonts w:ascii="SimSun" w:hAnsi="SimSun" w:eastAsia="SimSun" w:cs="SimSun"/>
          <w:sz w:val="23"/>
          <w:szCs w:val="23"/>
          <w:spacing w:val="4"/>
        </w:rPr>
        <w:t>生标</w:t>
      </w:r>
      <w:r>
        <w:rPr>
          <w:rFonts w:ascii="SimSun" w:hAnsi="SimSun" w:eastAsia="SimSun" w:cs="SimSun"/>
          <w:sz w:val="23"/>
          <w:szCs w:val="23"/>
        </w:rPr>
        <w:t xml:space="preserve"> </w:t>
      </w:r>
      <w:r>
        <w:rPr>
          <w:rFonts w:ascii="SimSun" w:hAnsi="SimSun" w:eastAsia="SimSun" w:cs="SimSun"/>
          <w:sz w:val="23"/>
          <w:szCs w:val="23"/>
          <w:spacing w:val="6"/>
        </w:rPr>
        <w:t>准</w:t>
      </w:r>
      <w:r>
        <w:rPr>
          <w:rFonts w:ascii="SimSun" w:hAnsi="SimSun" w:eastAsia="SimSun" w:cs="SimSun"/>
          <w:sz w:val="23"/>
          <w:szCs w:val="23"/>
          <w:spacing w:val="-18"/>
        </w:rPr>
        <w:t xml:space="preserve"> </w:t>
      </w:r>
      <w:r>
        <w:rPr>
          <w:rFonts w:ascii="SimSun" w:hAnsi="SimSun" w:eastAsia="SimSun" w:cs="SimSun"/>
          <w:sz w:val="23"/>
          <w:szCs w:val="23"/>
          <w:spacing w:val="6"/>
        </w:rPr>
        <w:t>》</w:t>
      </w:r>
      <w:r>
        <w:rPr>
          <w:rFonts w:ascii="SimSun" w:hAnsi="SimSun" w:eastAsia="SimSun" w:cs="SimSun"/>
          <w:sz w:val="23"/>
          <w:szCs w:val="23"/>
          <w:spacing w:val="-49"/>
        </w:rPr>
        <w:t xml:space="preserve"> </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6"/>
        </w:rPr>
        <w:t>5749-2022)    </w:t>
      </w:r>
      <w:r>
        <w:rPr>
          <w:rFonts w:ascii="SimSun" w:hAnsi="SimSun" w:eastAsia="SimSun" w:cs="SimSun"/>
          <w:sz w:val="23"/>
          <w:szCs w:val="23"/>
          <w:spacing w:val="6"/>
        </w:rPr>
        <w:t>要求。屠宰车间污水进入厂区污水管</w:t>
      </w:r>
      <w:r>
        <w:rPr>
          <w:rFonts w:ascii="SimSun" w:hAnsi="SimSun" w:eastAsia="SimSun" w:cs="SimSun"/>
          <w:sz w:val="23"/>
          <w:szCs w:val="23"/>
          <w:spacing w:val="5"/>
        </w:rPr>
        <w:t>道最终进入厂区污</w:t>
      </w:r>
      <w:r>
        <w:rPr>
          <w:rFonts w:ascii="SimSun" w:hAnsi="SimSun" w:eastAsia="SimSun" w:cs="SimSun"/>
          <w:sz w:val="23"/>
          <w:szCs w:val="23"/>
        </w:rPr>
        <w:t xml:space="preserve">  </w:t>
      </w:r>
      <w:r>
        <w:rPr>
          <w:rFonts w:ascii="SimSun" w:hAnsi="SimSun" w:eastAsia="SimSun" w:cs="SimSun"/>
          <w:sz w:val="23"/>
          <w:szCs w:val="23"/>
          <w:spacing w:val="4"/>
        </w:rPr>
        <w:t>水处理系统。</w:t>
      </w:r>
    </w:p>
    <w:p>
      <w:pPr>
        <w:ind w:left="595"/>
        <w:spacing w:before="83" w:line="219" w:lineRule="auto"/>
        <w:rPr>
          <w:rFonts w:ascii="SimSun" w:hAnsi="SimSun" w:eastAsia="SimSun" w:cs="SimSun"/>
          <w:sz w:val="23"/>
          <w:szCs w:val="23"/>
        </w:rPr>
      </w:pPr>
      <w:r>
        <w:rPr>
          <w:rFonts w:ascii="SimSun" w:hAnsi="SimSun" w:eastAsia="SimSun" w:cs="SimSun"/>
          <w:sz w:val="23"/>
          <w:szCs w:val="23"/>
          <w:spacing w:val="9"/>
        </w:rPr>
        <w:t>本项目屠宰废水指生猪、肉牛屠宰过程中产生废水，主要含有血污、油</w:t>
      </w:r>
    </w:p>
    <w:p>
      <w:pPr>
        <w:ind w:left="104" w:right="157"/>
        <w:spacing w:before="186" w:line="371" w:lineRule="auto"/>
        <w:rPr>
          <w:rFonts w:ascii="SimSun" w:hAnsi="SimSun" w:eastAsia="SimSun" w:cs="SimSun"/>
          <w:sz w:val="23"/>
          <w:szCs w:val="23"/>
        </w:rPr>
      </w:pPr>
      <w:r>
        <w:rPr>
          <w:rFonts w:ascii="SimSun" w:hAnsi="SimSun" w:eastAsia="SimSun" w:cs="SimSun"/>
          <w:sz w:val="23"/>
          <w:szCs w:val="23"/>
          <w:spacing w:val="10"/>
        </w:rPr>
        <w:t>脂、碎肉、未消化的食物、粪便及尿液等。生猪屠宰废水水质情况参考</w:t>
      </w:r>
      <w:r>
        <w:rPr>
          <w:rFonts w:ascii="SimSun" w:hAnsi="SimSun" w:eastAsia="SimSun" w:cs="SimSun"/>
          <w:sz w:val="23"/>
          <w:szCs w:val="23"/>
          <w:spacing w:val="9"/>
        </w:rPr>
        <w:t>《排放</w:t>
      </w:r>
      <w:r>
        <w:rPr>
          <w:rFonts w:ascii="SimSun" w:hAnsi="SimSun" w:eastAsia="SimSun" w:cs="SimSun"/>
          <w:sz w:val="23"/>
          <w:szCs w:val="23"/>
        </w:rPr>
        <w:t xml:space="preserve">  </w:t>
      </w:r>
      <w:r>
        <w:rPr>
          <w:rFonts w:ascii="SimSun" w:hAnsi="SimSun" w:eastAsia="SimSun" w:cs="SimSun"/>
          <w:sz w:val="23"/>
          <w:szCs w:val="23"/>
          <w:spacing w:val="15"/>
        </w:rPr>
        <w:t>源统计调查产排污核算方法和系数手册》(</w:t>
      </w:r>
      <w:r>
        <w:rPr>
          <w:rFonts w:ascii="SimSun" w:hAnsi="SimSun" w:eastAsia="SimSun" w:cs="SimSun"/>
          <w:sz w:val="23"/>
          <w:szCs w:val="23"/>
          <w:spacing w:val="14"/>
        </w:rPr>
        <w:t>环境部公告2021年第24号)中135屠</w:t>
      </w:r>
      <w:r>
        <w:rPr>
          <w:rFonts w:ascii="SimSun" w:hAnsi="SimSun" w:eastAsia="SimSun" w:cs="SimSun"/>
          <w:sz w:val="23"/>
          <w:szCs w:val="23"/>
        </w:rPr>
        <w:t xml:space="preserve"> </w:t>
      </w:r>
      <w:r>
        <w:rPr>
          <w:rFonts w:ascii="SimSun" w:hAnsi="SimSun" w:eastAsia="SimSun" w:cs="SimSun"/>
          <w:sz w:val="23"/>
          <w:szCs w:val="23"/>
          <w:spacing w:val="9"/>
        </w:rPr>
        <w:t>宰及肉类加工行业系数手册中1351牲畜屠宰行业产污系数表，同时结合《屠宰</w:t>
      </w:r>
    </w:p>
    <w:p>
      <w:pPr>
        <w:spacing w:line="371" w:lineRule="auto"/>
        <w:sectPr>
          <w:headerReference w:type="default" r:id="rId282"/>
          <w:footerReference w:type="default" r:id="rId283"/>
          <w:pgSz w:w="11910" w:h="16840"/>
          <w:pgMar w:top="1219" w:right="1690" w:bottom="987" w:left="1685" w:header="865" w:footer="763" w:gutter="0"/>
        </w:sectPr>
        <w:rPr>
          <w:rFonts w:ascii="SimSun" w:hAnsi="SimSun" w:eastAsia="SimSun" w:cs="SimSun"/>
          <w:sz w:val="23"/>
          <w:szCs w:val="23"/>
        </w:rPr>
      </w:pPr>
    </w:p>
    <w:p>
      <w:pPr>
        <w:ind w:left="94" w:right="359"/>
        <w:spacing w:before="277" w:line="370" w:lineRule="auto"/>
        <w:rPr>
          <w:rFonts w:ascii="Times New Roman" w:hAnsi="Times New Roman" w:eastAsia="Times New Roman" w:cs="Times New Roman"/>
          <w:sz w:val="23"/>
          <w:szCs w:val="23"/>
        </w:rPr>
      </w:pPr>
      <w:r>
        <w:rPr>
          <w:rFonts w:ascii="SimSun" w:hAnsi="SimSun" w:eastAsia="SimSun" w:cs="SimSun"/>
          <w:sz w:val="23"/>
          <w:szCs w:val="23"/>
          <w:spacing w:val="3"/>
        </w:rPr>
        <w:t>与肉类加工废水治理工程技术规范》</w:t>
      </w:r>
      <w:r>
        <w:rPr>
          <w:rFonts w:ascii="SimSun" w:hAnsi="SimSun" w:eastAsia="SimSun" w:cs="SimSun"/>
          <w:sz w:val="23"/>
          <w:szCs w:val="23"/>
          <w:spacing w:val="89"/>
        </w:rPr>
        <w:t xml:space="preserve"> </w:t>
      </w:r>
      <w:r>
        <w:rPr>
          <w:rFonts w:ascii="SimSun" w:hAnsi="SimSun" w:eastAsia="SimSun" w:cs="SimSun"/>
          <w:sz w:val="23"/>
          <w:szCs w:val="23"/>
          <w:spacing w:val="3"/>
        </w:rPr>
        <w:t>(</w:t>
      </w:r>
      <w:r>
        <w:rPr>
          <w:rFonts w:ascii="SimSun" w:hAnsi="SimSun" w:eastAsia="SimSun" w:cs="SimSun"/>
          <w:sz w:val="23"/>
          <w:szCs w:val="23"/>
        </w:rPr>
        <w:t>HJ</w:t>
      </w:r>
      <w:r>
        <w:rPr>
          <w:rFonts w:ascii="SimSun" w:hAnsi="SimSun" w:eastAsia="SimSun" w:cs="SimSun"/>
          <w:sz w:val="23"/>
          <w:szCs w:val="23"/>
          <w:spacing w:val="3"/>
        </w:rPr>
        <w:t>2004-2010)</w:t>
      </w:r>
      <w:r>
        <w:rPr>
          <w:rFonts w:ascii="SimSun" w:hAnsi="SimSun" w:eastAsia="SimSun" w:cs="SimSun"/>
          <w:sz w:val="23"/>
          <w:szCs w:val="23"/>
          <w:spacing w:val="109"/>
        </w:rPr>
        <w:t xml:space="preserve"> </w:t>
      </w:r>
      <w:r>
        <w:rPr>
          <w:rFonts w:ascii="SimSun" w:hAnsi="SimSun" w:eastAsia="SimSun" w:cs="SimSun"/>
          <w:sz w:val="23"/>
          <w:szCs w:val="23"/>
          <w:spacing w:val="3"/>
        </w:rPr>
        <w:t>表3给出的屠宰废水水</w:t>
      </w:r>
      <w:r>
        <w:rPr>
          <w:rFonts w:ascii="SimSun" w:hAnsi="SimSun" w:eastAsia="SimSun" w:cs="SimSun"/>
          <w:sz w:val="23"/>
          <w:szCs w:val="23"/>
        </w:rPr>
        <w:t xml:space="preserve">  </w:t>
      </w:r>
      <w:r>
        <w:rPr>
          <w:rFonts w:ascii="SimSun" w:hAnsi="SimSun" w:eastAsia="SimSun" w:cs="SimSun"/>
          <w:sz w:val="23"/>
          <w:szCs w:val="23"/>
          <w:spacing w:val="6"/>
        </w:rPr>
        <w:t>质，考虑最不利情况，污染物取最大值；肉牛屠宰废水水质中</w:t>
      </w:r>
      <w:r>
        <w:rPr>
          <w:rFonts w:ascii="Times New Roman" w:hAnsi="Times New Roman" w:eastAsia="Times New Roman" w:cs="Times New Roman"/>
          <w:sz w:val="23"/>
          <w:szCs w:val="23"/>
        </w:rPr>
        <w:t>COD</w:t>
      </w:r>
      <w:r>
        <w:rPr>
          <w:rFonts w:ascii="Times New Roman" w:hAnsi="Times New Roman" w:eastAsia="Times New Roman" w:cs="Times New Roman"/>
          <w:sz w:val="23"/>
          <w:szCs w:val="23"/>
          <w:spacing w:val="-29"/>
        </w:rPr>
        <w:t xml:space="preserve"> </w:t>
      </w:r>
      <w:r>
        <w:rPr>
          <w:rFonts w:ascii="SimSun" w:hAnsi="SimSun" w:eastAsia="SimSun" w:cs="SimSun"/>
          <w:sz w:val="23"/>
          <w:szCs w:val="23"/>
          <w:spacing w:val="6"/>
        </w:rPr>
        <w:t>、</w:t>
      </w:r>
      <w:r>
        <w:rPr>
          <w:rFonts w:ascii="Times New Roman" w:hAnsi="Times New Roman" w:eastAsia="Times New Roman" w:cs="Times New Roman"/>
          <w:sz w:val="23"/>
          <w:szCs w:val="23"/>
        </w:rPr>
        <w:t>BOD</w:t>
      </w:r>
      <w:r>
        <w:rPr>
          <w:rFonts w:ascii="Times New Roman" w:hAnsi="Times New Roman" w:eastAsia="Times New Roman" w:cs="Times New Roman"/>
          <w:sz w:val="23"/>
          <w:szCs w:val="23"/>
          <w:spacing w:val="6"/>
        </w:rPr>
        <w:t>₅</w:t>
      </w:r>
      <w:r>
        <w:rPr>
          <w:rFonts w:ascii="Times New Roman" w:hAnsi="Times New Roman" w:eastAsia="Times New Roman" w:cs="Times New Roman"/>
          <w:sz w:val="23"/>
          <w:szCs w:val="23"/>
          <w:spacing w:val="-33"/>
        </w:rPr>
        <w:t xml:space="preserve"> </w:t>
      </w:r>
      <w:r>
        <w:rPr>
          <w:rFonts w:ascii="SimSun" w:hAnsi="SimSun" w:eastAsia="SimSun" w:cs="SimSun"/>
          <w:sz w:val="23"/>
          <w:szCs w:val="23"/>
          <w:spacing w:val="6"/>
        </w:rPr>
        <w:t>、</w:t>
      </w:r>
      <w:r>
        <w:rPr>
          <w:rFonts w:ascii="Times New Roman" w:hAnsi="Times New Roman" w:eastAsia="Times New Roman" w:cs="Times New Roman"/>
          <w:sz w:val="23"/>
          <w:szCs w:val="23"/>
          <w:spacing w:val="6"/>
        </w:rPr>
        <w:t>S</w:t>
      </w:r>
    </w:p>
    <w:p>
      <w:pPr>
        <w:ind w:left="94" w:right="168"/>
        <w:spacing w:before="6" w:line="369" w:lineRule="auto"/>
        <w:rPr>
          <w:rFonts w:ascii="SimSun" w:hAnsi="SimSun" w:eastAsia="SimSun" w:cs="SimSun"/>
          <w:sz w:val="23"/>
          <w:szCs w:val="23"/>
        </w:rPr>
      </w:pPr>
      <w:r>
        <w:rPr>
          <w:rFonts w:ascii="Times New Roman" w:hAnsi="Times New Roman" w:eastAsia="Times New Roman" w:cs="Times New Roman"/>
          <w:sz w:val="23"/>
          <w:szCs w:val="23"/>
          <w:spacing w:val="7"/>
        </w:rPr>
        <w:t>S</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7"/>
        </w:rPr>
        <w:t>、</w:t>
      </w:r>
      <w:r>
        <w:rPr>
          <w:rFonts w:ascii="Times New Roman" w:hAnsi="Times New Roman" w:eastAsia="Times New Roman" w:cs="Times New Roman"/>
          <w:sz w:val="23"/>
          <w:szCs w:val="23"/>
        </w:rPr>
        <w:t>NH</w:t>
      </w:r>
      <w:r>
        <w:rPr>
          <w:rFonts w:ascii="Times New Roman" w:hAnsi="Times New Roman" w:eastAsia="Times New Roman" w:cs="Times New Roman"/>
          <w:sz w:val="23"/>
          <w:szCs w:val="23"/>
          <w:spacing w:val="7"/>
        </w:rPr>
        <w:t>₃-N</w:t>
      </w:r>
      <w:r>
        <w:rPr>
          <w:rFonts w:ascii="Times New Roman" w:hAnsi="Times New Roman" w:eastAsia="Times New Roman" w:cs="Times New Roman"/>
          <w:sz w:val="23"/>
          <w:szCs w:val="23"/>
          <w:spacing w:val="-33"/>
        </w:rPr>
        <w:t xml:space="preserve"> </w:t>
      </w:r>
      <w:r>
        <w:rPr>
          <w:rFonts w:ascii="SimSun" w:hAnsi="SimSun" w:eastAsia="SimSun" w:cs="SimSun"/>
          <w:sz w:val="23"/>
          <w:szCs w:val="23"/>
          <w:spacing w:val="7"/>
        </w:rPr>
        <w:t>、</w:t>
      </w:r>
      <w:r>
        <w:rPr>
          <w:rFonts w:ascii="SimSun" w:hAnsi="SimSun" w:eastAsia="SimSun" w:cs="SimSun"/>
          <w:sz w:val="23"/>
          <w:szCs w:val="23"/>
          <w:spacing w:val="-61"/>
        </w:rPr>
        <w:t xml:space="preserve"> </w:t>
      </w:r>
      <w:r>
        <w:rPr>
          <w:rFonts w:ascii="SimSun" w:hAnsi="SimSun" w:eastAsia="SimSun" w:cs="SimSun"/>
          <w:sz w:val="23"/>
          <w:szCs w:val="23"/>
          <w:spacing w:val="7"/>
        </w:rPr>
        <w:t>动植物油类比海东市平安区马大罕畜禽屠</w:t>
      </w:r>
      <w:r>
        <w:rPr>
          <w:rFonts w:ascii="SimSun" w:hAnsi="SimSun" w:eastAsia="SimSun" w:cs="SimSun"/>
          <w:sz w:val="23"/>
          <w:szCs w:val="23"/>
          <w:spacing w:val="6"/>
        </w:rPr>
        <w:t>宰有限公司《平安县马大</w:t>
      </w:r>
      <w:r>
        <w:rPr>
          <w:rFonts w:ascii="SimSun" w:hAnsi="SimSun" w:eastAsia="SimSun" w:cs="SimSun"/>
          <w:sz w:val="23"/>
          <w:szCs w:val="23"/>
        </w:rPr>
        <w:t xml:space="preserve"> </w:t>
      </w:r>
      <w:r>
        <w:rPr>
          <w:rFonts w:ascii="SimSun" w:hAnsi="SimSun" w:eastAsia="SimSun" w:cs="SimSun"/>
          <w:sz w:val="23"/>
          <w:szCs w:val="23"/>
          <w:spacing w:val="13"/>
        </w:rPr>
        <w:t>罕清真牛羊定点屠宰厂建设项目竣工环境保护验收检测》(项目编号：金检字</w:t>
      </w:r>
      <w:r>
        <w:rPr>
          <w:rFonts w:ascii="SimSun" w:hAnsi="SimSun" w:eastAsia="SimSun" w:cs="SimSun"/>
          <w:sz w:val="23"/>
          <w:szCs w:val="23"/>
          <w:spacing w:val="6"/>
        </w:rPr>
        <w:t xml:space="preserve">  </w:t>
      </w:r>
      <w:r>
        <w:rPr>
          <w:rFonts w:ascii="SimSun" w:hAnsi="SimSun" w:eastAsia="SimSun" w:cs="SimSun"/>
          <w:sz w:val="23"/>
          <w:szCs w:val="23"/>
          <w:spacing w:val="7"/>
        </w:rPr>
        <w:t>[2020]第167号)中污水处理站进水水质，</w:t>
      </w:r>
      <w:r>
        <w:rPr>
          <w:rFonts w:ascii="Times New Roman" w:hAnsi="Times New Roman" w:eastAsia="Times New Roman" w:cs="Times New Roman"/>
          <w:sz w:val="23"/>
          <w:szCs w:val="23"/>
        </w:rPr>
        <w:t>TN</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7"/>
        </w:rPr>
        <w:t>、</w:t>
      </w:r>
      <w:r>
        <w:rPr>
          <w:rFonts w:ascii="Times New Roman" w:hAnsi="Times New Roman" w:eastAsia="Times New Roman" w:cs="Times New Roman"/>
          <w:sz w:val="23"/>
          <w:szCs w:val="23"/>
        </w:rPr>
        <w:t>TP</w:t>
      </w:r>
      <w:r>
        <w:rPr>
          <w:rFonts w:ascii="Times New Roman" w:hAnsi="Times New Roman" w:eastAsia="Times New Roman" w:cs="Times New Roman"/>
          <w:sz w:val="23"/>
          <w:szCs w:val="23"/>
          <w:spacing w:val="35"/>
        </w:rPr>
        <w:t xml:space="preserve"> </w:t>
      </w:r>
      <w:r>
        <w:rPr>
          <w:rFonts w:ascii="SimSun" w:hAnsi="SimSun" w:eastAsia="SimSun" w:cs="SimSun"/>
          <w:sz w:val="23"/>
          <w:szCs w:val="23"/>
          <w:spacing w:val="7"/>
        </w:rPr>
        <w:t>参考《排放</w:t>
      </w:r>
      <w:r>
        <w:rPr>
          <w:rFonts w:ascii="SimSun" w:hAnsi="SimSun" w:eastAsia="SimSun" w:cs="SimSun"/>
          <w:sz w:val="23"/>
          <w:szCs w:val="23"/>
          <w:spacing w:val="6"/>
        </w:rPr>
        <w:t>源统计调查产排</w:t>
      </w:r>
      <w:r>
        <w:rPr>
          <w:rFonts w:ascii="SimSun" w:hAnsi="SimSun" w:eastAsia="SimSun" w:cs="SimSun"/>
          <w:sz w:val="23"/>
          <w:szCs w:val="23"/>
        </w:rPr>
        <w:t xml:space="preserve">  </w:t>
      </w:r>
      <w:r>
        <w:rPr>
          <w:rFonts w:ascii="SimSun" w:hAnsi="SimSun" w:eastAsia="SimSun" w:cs="SimSun"/>
          <w:sz w:val="23"/>
          <w:szCs w:val="23"/>
          <w:spacing w:val="14"/>
        </w:rPr>
        <w:t>污核算方法和系数手册》(环境部公告2021年第24号)中135屠宰及肉类加工行</w:t>
      </w:r>
      <w:r>
        <w:rPr>
          <w:rFonts w:ascii="SimSun" w:hAnsi="SimSun" w:eastAsia="SimSun" w:cs="SimSun"/>
          <w:sz w:val="23"/>
          <w:szCs w:val="23"/>
          <w:spacing w:val="18"/>
        </w:rPr>
        <w:t xml:space="preserve"> </w:t>
      </w:r>
      <w:r>
        <w:rPr>
          <w:rFonts w:ascii="SimSun" w:hAnsi="SimSun" w:eastAsia="SimSun" w:cs="SimSun"/>
          <w:sz w:val="23"/>
          <w:szCs w:val="23"/>
          <w:spacing w:val="9"/>
        </w:rPr>
        <w:t>业系数手册中1351牲畜屠宰行业产污系数表，本项目生猪、肉牛屠宰工序产生</w:t>
      </w:r>
      <w:r>
        <w:rPr>
          <w:rFonts w:ascii="SimSun" w:hAnsi="SimSun" w:eastAsia="SimSun" w:cs="SimSun"/>
          <w:sz w:val="23"/>
          <w:szCs w:val="23"/>
          <w:spacing w:val="7"/>
        </w:rPr>
        <w:t xml:space="preserve">  </w:t>
      </w:r>
      <w:r>
        <w:rPr>
          <w:rFonts w:ascii="SimSun" w:hAnsi="SimSun" w:eastAsia="SimSun" w:cs="SimSun"/>
          <w:sz w:val="23"/>
          <w:szCs w:val="23"/>
          <w:spacing w:val="5"/>
        </w:rPr>
        <w:t>的废水水质如下。</w:t>
      </w:r>
    </w:p>
    <w:p>
      <w:pPr>
        <w:ind w:left="1748"/>
        <w:spacing w:before="13" w:line="214" w:lineRule="auto"/>
        <w:rPr>
          <w:rFonts w:ascii="SimSun" w:hAnsi="SimSun" w:eastAsia="SimSun" w:cs="SimSun"/>
          <w:sz w:val="24"/>
          <w:szCs w:val="24"/>
        </w:rPr>
      </w:pPr>
      <w:r>
        <w:rPr>
          <w:rFonts w:ascii="SimSun" w:hAnsi="SimSun" w:eastAsia="SimSun" w:cs="SimSun"/>
          <w:sz w:val="24"/>
          <w:szCs w:val="24"/>
          <w:b/>
          <w:bCs/>
          <w:spacing w:val="-3"/>
        </w:rPr>
        <w:t>表3.11-6项目屠宰车间废水水质情况单位：mg/L</w:t>
      </w:r>
    </w:p>
    <w:p>
      <w:pPr>
        <w:spacing w:line="29" w:lineRule="exact"/>
        <w:rPr/>
      </w:pPr>
      <w:r/>
    </w:p>
    <w:tbl>
      <w:tblPr>
        <w:tblStyle w:val="TableNormal"/>
        <w:tblW w:w="8523"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94"/>
        <w:gridCol w:w="2727"/>
        <w:gridCol w:w="1009"/>
        <w:gridCol w:w="919"/>
        <w:gridCol w:w="869"/>
        <w:gridCol w:w="669"/>
        <w:gridCol w:w="549"/>
        <w:gridCol w:w="409"/>
        <w:gridCol w:w="878"/>
      </w:tblGrid>
      <w:tr>
        <w:trPr>
          <w:trHeight w:val="284" w:hRule="atLeast"/>
        </w:trPr>
        <w:tc>
          <w:tcPr>
            <w:shd w:val="clear" w:fill="BDBDBD"/>
            <w:tcW w:w="494" w:type="dxa"/>
            <w:vAlign w:val="top"/>
          </w:tcPr>
          <w:p>
            <w:pPr>
              <w:pStyle w:val="TableText"/>
              <w:ind w:right="1"/>
              <w:spacing w:before="40" w:line="205" w:lineRule="auto"/>
              <w:jc w:val="right"/>
              <w:rPr>
                <w:sz w:val="21"/>
                <w:szCs w:val="21"/>
              </w:rPr>
            </w:pPr>
            <w:r>
              <w:rPr>
                <w:sz w:val="21"/>
                <w:szCs w:val="21"/>
                <w:b/>
                <w:bCs/>
                <w:spacing w:val="14"/>
              </w:rPr>
              <w:t>项目</w:t>
            </w:r>
          </w:p>
        </w:tc>
        <w:tc>
          <w:tcPr>
            <w:shd w:val="clear" w:fill="BDBDBD"/>
            <w:tcW w:w="2727" w:type="dxa"/>
            <w:vAlign w:val="top"/>
          </w:tcPr>
          <w:p>
            <w:pPr>
              <w:pStyle w:val="TableText"/>
              <w:ind w:left="933"/>
              <w:spacing w:before="40" w:line="205" w:lineRule="auto"/>
              <w:rPr>
                <w:sz w:val="21"/>
                <w:szCs w:val="21"/>
              </w:rPr>
            </w:pPr>
            <w:r>
              <w:rPr>
                <w:sz w:val="21"/>
                <w:szCs w:val="21"/>
                <w:b/>
                <w:bCs/>
                <w:spacing w:val="-5"/>
              </w:rPr>
              <w:t>污染指标</w:t>
            </w:r>
          </w:p>
        </w:tc>
        <w:tc>
          <w:tcPr>
            <w:shd w:val="clear" w:fill="BDBDBD"/>
            <w:tcW w:w="1009" w:type="dxa"/>
            <w:vAlign w:val="top"/>
          </w:tcPr>
          <w:p>
            <w:pPr>
              <w:pStyle w:val="TableText"/>
              <w:ind w:left="337"/>
              <w:spacing w:before="96" w:line="178" w:lineRule="exact"/>
              <w:rPr>
                <w:sz w:val="21"/>
                <w:szCs w:val="21"/>
              </w:rPr>
            </w:pPr>
            <w:r>
              <w:rPr>
                <w:sz w:val="21"/>
                <w:szCs w:val="21"/>
                <w:b/>
                <w:bCs/>
                <w:spacing w:val="-4"/>
                <w:position w:val="-2"/>
              </w:rPr>
              <w:t>COD</w:t>
            </w:r>
          </w:p>
        </w:tc>
        <w:tc>
          <w:tcPr>
            <w:shd w:val="clear" w:fill="BDBDBD"/>
            <w:tcW w:w="919" w:type="dxa"/>
            <w:vAlign w:val="top"/>
          </w:tcPr>
          <w:p>
            <w:pPr>
              <w:pStyle w:val="TableText"/>
              <w:ind w:left="187"/>
              <w:spacing w:before="76" w:line="174" w:lineRule="auto"/>
              <w:rPr>
                <w:rFonts w:ascii="Calibri" w:hAnsi="Calibri" w:eastAsia="Calibri" w:cs="Calibri"/>
                <w:sz w:val="21"/>
                <w:szCs w:val="21"/>
              </w:rPr>
            </w:pPr>
            <w:r>
              <w:rPr>
                <w:sz w:val="21"/>
                <w:szCs w:val="21"/>
                <w:b/>
                <w:bCs/>
                <w:spacing w:val="-3"/>
              </w:rPr>
              <w:t>BOD</w:t>
            </w:r>
            <w:r>
              <w:rPr>
                <w:rFonts w:ascii="Calibri" w:hAnsi="Calibri" w:eastAsia="Calibri" w:cs="Calibri"/>
                <w:sz w:val="21"/>
                <w:szCs w:val="21"/>
                <w:b/>
                <w:bCs/>
                <w:spacing w:val="-3"/>
              </w:rPr>
              <w:t>₅</w:t>
            </w:r>
          </w:p>
        </w:tc>
        <w:tc>
          <w:tcPr>
            <w:shd w:val="clear" w:fill="BDBDBD"/>
            <w:tcW w:w="869" w:type="dxa"/>
            <w:vAlign w:val="top"/>
          </w:tcPr>
          <w:p>
            <w:pPr>
              <w:pStyle w:val="TableText"/>
              <w:ind w:left="329"/>
              <w:spacing w:before="96" w:line="178" w:lineRule="exact"/>
              <w:rPr>
                <w:sz w:val="21"/>
                <w:szCs w:val="21"/>
              </w:rPr>
            </w:pPr>
            <w:r>
              <w:rPr>
                <w:sz w:val="21"/>
                <w:szCs w:val="21"/>
                <w:b/>
                <w:bCs/>
                <w:spacing w:val="-5"/>
                <w:position w:val="-2"/>
              </w:rPr>
              <w:t>SS</w:t>
            </w:r>
          </w:p>
        </w:tc>
        <w:tc>
          <w:tcPr>
            <w:shd w:val="clear" w:fill="BDBDBD"/>
            <w:tcW w:w="669" w:type="dxa"/>
            <w:vAlign w:val="top"/>
          </w:tcPr>
          <w:p>
            <w:pPr>
              <w:pStyle w:val="TableText"/>
              <w:ind w:left="19"/>
              <w:spacing w:before="77" w:line="173" w:lineRule="auto"/>
              <w:rPr>
                <w:sz w:val="21"/>
                <w:szCs w:val="21"/>
              </w:rPr>
            </w:pPr>
            <w:r>
              <w:rPr>
                <w:sz w:val="21"/>
                <w:szCs w:val="21"/>
                <w:b/>
                <w:bCs/>
                <w:spacing w:val="-3"/>
              </w:rPr>
              <w:t>NH</w:t>
            </w:r>
            <w:r>
              <w:rPr>
                <w:rFonts w:ascii="Calibri" w:hAnsi="Calibri" w:eastAsia="Calibri" w:cs="Calibri"/>
                <w:sz w:val="21"/>
                <w:szCs w:val="21"/>
                <w:b/>
                <w:bCs/>
                <w:spacing w:val="-3"/>
              </w:rPr>
              <w:t>₃</w:t>
            </w:r>
            <w:r>
              <w:rPr>
                <w:sz w:val="21"/>
                <w:szCs w:val="21"/>
                <w:b/>
                <w:bCs/>
                <w:spacing w:val="-3"/>
              </w:rPr>
              <w:t>-N</w:t>
            </w:r>
          </w:p>
        </w:tc>
        <w:tc>
          <w:tcPr>
            <w:shd w:val="clear" w:fill="BDBDBD"/>
            <w:tcW w:w="549" w:type="dxa"/>
            <w:vAlign w:val="top"/>
          </w:tcPr>
          <w:p>
            <w:pPr>
              <w:pStyle w:val="TableText"/>
              <w:ind w:left="170"/>
              <w:spacing w:before="99" w:line="175" w:lineRule="exact"/>
              <w:rPr>
                <w:sz w:val="21"/>
                <w:szCs w:val="21"/>
              </w:rPr>
            </w:pPr>
            <w:r>
              <w:rPr>
                <w:sz w:val="21"/>
                <w:szCs w:val="21"/>
                <w:b/>
                <w:bCs/>
                <w:spacing w:val="-4"/>
                <w:position w:val="-2"/>
              </w:rPr>
              <w:t>TN</w:t>
            </w:r>
          </w:p>
        </w:tc>
        <w:tc>
          <w:tcPr>
            <w:shd w:val="clear" w:fill="BDBDBD"/>
            <w:tcW w:w="409" w:type="dxa"/>
            <w:vAlign w:val="top"/>
          </w:tcPr>
          <w:p>
            <w:pPr>
              <w:pStyle w:val="TableText"/>
              <w:ind w:left="102"/>
              <w:spacing w:before="99" w:line="175" w:lineRule="exact"/>
              <w:rPr>
                <w:sz w:val="21"/>
                <w:szCs w:val="21"/>
              </w:rPr>
            </w:pPr>
            <w:r>
              <w:rPr>
                <w:sz w:val="21"/>
                <w:szCs w:val="21"/>
                <w:b/>
                <w:bCs/>
                <w:spacing w:val="-4"/>
                <w:position w:val="-2"/>
              </w:rPr>
              <w:t>TP</w:t>
            </w:r>
          </w:p>
        </w:tc>
        <w:tc>
          <w:tcPr>
            <w:shd w:val="clear" w:fill="BDBDBD"/>
            <w:tcW w:w="878" w:type="dxa"/>
            <w:vAlign w:val="top"/>
          </w:tcPr>
          <w:p>
            <w:pPr>
              <w:pStyle w:val="TableText"/>
              <w:spacing w:before="40" w:line="205" w:lineRule="auto"/>
              <w:jc w:val="right"/>
              <w:rPr>
                <w:sz w:val="21"/>
                <w:szCs w:val="21"/>
              </w:rPr>
            </w:pPr>
            <w:r>
              <w:rPr>
                <w:sz w:val="21"/>
                <w:szCs w:val="21"/>
                <w:b/>
                <w:bCs/>
                <w:spacing w:val="-1"/>
              </w:rPr>
              <w:t>动植物油</w:t>
            </w:r>
          </w:p>
        </w:tc>
      </w:tr>
      <w:tr>
        <w:trPr>
          <w:trHeight w:val="229" w:hRule="atLeast"/>
        </w:trPr>
        <w:tc>
          <w:tcPr>
            <w:tcW w:w="494" w:type="dxa"/>
            <w:vAlign w:val="top"/>
            <w:vMerge w:val="restart"/>
            <w:tcBorders>
              <w:bottom w:val="nil"/>
            </w:tcBorders>
          </w:tcPr>
          <w:p>
            <w:pPr>
              <w:pStyle w:val="TableText"/>
              <w:ind w:left="28"/>
              <w:spacing w:before="297" w:line="220" w:lineRule="auto"/>
              <w:rPr>
                <w:sz w:val="21"/>
                <w:szCs w:val="21"/>
              </w:rPr>
            </w:pPr>
            <w:r>
              <w:rPr>
                <w:sz w:val="21"/>
                <w:szCs w:val="21"/>
                <w:b/>
                <w:bCs/>
                <w:spacing w:val="-5"/>
              </w:rPr>
              <w:t>生猪</w:t>
            </w:r>
          </w:p>
        </w:tc>
        <w:tc>
          <w:tcPr>
            <w:tcW w:w="2727" w:type="dxa"/>
            <w:vAlign w:val="top"/>
          </w:tcPr>
          <w:p>
            <w:pPr>
              <w:pStyle w:val="TableText"/>
              <w:ind w:left="720"/>
              <w:spacing w:before="27" w:line="168" w:lineRule="auto"/>
              <w:rPr>
                <w:sz w:val="21"/>
                <w:szCs w:val="21"/>
              </w:rPr>
            </w:pPr>
            <w:r>
              <w:rPr>
                <w:sz w:val="21"/>
                <w:szCs w:val="21"/>
                <w:spacing w:val="-2"/>
              </w:rPr>
              <w:t>HJ</w:t>
            </w:r>
            <w:r>
              <w:rPr>
                <w:sz w:val="21"/>
                <w:szCs w:val="21"/>
                <w:spacing w:val="17"/>
              </w:rPr>
              <w:t xml:space="preserve"> </w:t>
            </w:r>
            <w:r>
              <w:rPr>
                <w:sz w:val="21"/>
                <w:szCs w:val="21"/>
                <w:spacing w:val="-2"/>
              </w:rPr>
              <w:t>2004-2010</w:t>
            </w:r>
          </w:p>
        </w:tc>
        <w:tc>
          <w:tcPr>
            <w:tcW w:w="1009" w:type="dxa"/>
            <w:vAlign w:val="top"/>
          </w:tcPr>
          <w:p>
            <w:pPr>
              <w:pStyle w:val="TableText"/>
              <w:ind w:left="24"/>
              <w:spacing w:before="50" w:line="169" w:lineRule="exact"/>
              <w:rPr>
                <w:sz w:val="21"/>
                <w:szCs w:val="21"/>
              </w:rPr>
            </w:pPr>
            <w:r>
              <w:rPr>
                <w:sz w:val="21"/>
                <w:szCs w:val="21"/>
                <w:spacing w:val="-3"/>
                <w:position w:val="-4"/>
              </w:rPr>
              <w:t>1500~2000</w:t>
            </w:r>
          </w:p>
        </w:tc>
        <w:tc>
          <w:tcPr>
            <w:tcW w:w="919" w:type="dxa"/>
            <w:vAlign w:val="top"/>
          </w:tcPr>
          <w:p>
            <w:pPr>
              <w:pStyle w:val="TableText"/>
              <w:ind w:left="34"/>
              <w:spacing w:before="50" w:line="169" w:lineRule="exact"/>
              <w:rPr>
                <w:sz w:val="21"/>
                <w:szCs w:val="21"/>
              </w:rPr>
            </w:pPr>
            <w:r>
              <w:rPr>
                <w:sz w:val="21"/>
                <w:szCs w:val="21"/>
                <w:spacing w:val="-2"/>
                <w:position w:val="-4"/>
              </w:rPr>
              <w:t>750~1000</w:t>
            </w:r>
          </w:p>
        </w:tc>
        <w:tc>
          <w:tcPr>
            <w:tcW w:w="869" w:type="dxa"/>
            <w:vAlign w:val="top"/>
          </w:tcPr>
          <w:p>
            <w:pPr>
              <w:pStyle w:val="TableText"/>
              <w:ind w:left="6"/>
              <w:spacing w:before="50" w:line="169" w:lineRule="exact"/>
              <w:rPr>
                <w:sz w:val="21"/>
                <w:szCs w:val="21"/>
              </w:rPr>
            </w:pPr>
            <w:r>
              <w:rPr>
                <w:sz w:val="21"/>
                <w:szCs w:val="21"/>
                <w:spacing w:val="-2"/>
                <w:position w:val="-4"/>
              </w:rPr>
              <w:t>750~1000</w:t>
            </w:r>
          </w:p>
        </w:tc>
        <w:tc>
          <w:tcPr>
            <w:tcW w:w="669" w:type="dxa"/>
            <w:vAlign w:val="top"/>
          </w:tcPr>
          <w:p>
            <w:pPr>
              <w:pStyle w:val="TableText"/>
              <w:ind w:left="16"/>
              <w:spacing w:before="50" w:line="169" w:lineRule="exact"/>
              <w:rPr>
                <w:sz w:val="21"/>
                <w:szCs w:val="21"/>
              </w:rPr>
            </w:pPr>
            <w:r>
              <w:rPr>
                <w:sz w:val="21"/>
                <w:szCs w:val="21"/>
                <w:spacing w:val="-2"/>
                <w:position w:val="-4"/>
              </w:rPr>
              <w:t>50~150</w:t>
            </w:r>
          </w:p>
        </w:tc>
        <w:tc>
          <w:tcPr>
            <w:tcW w:w="549" w:type="dxa"/>
            <w:vAlign w:val="top"/>
          </w:tcPr>
          <w:p>
            <w:pPr>
              <w:pStyle w:val="TableText"/>
              <w:ind w:left="217"/>
              <w:spacing w:before="35" w:line="161" w:lineRule="auto"/>
              <w:rPr>
                <w:sz w:val="21"/>
                <w:szCs w:val="21"/>
              </w:rPr>
            </w:pPr>
            <w:r>
              <w:rPr>
                <w:sz w:val="21"/>
                <w:szCs w:val="21"/>
              </w:rPr>
              <w:t>/</w:t>
            </w:r>
          </w:p>
        </w:tc>
        <w:tc>
          <w:tcPr>
            <w:tcW w:w="409" w:type="dxa"/>
            <w:vAlign w:val="top"/>
          </w:tcPr>
          <w:p>
            <w:pPr>
              <w:pStyle w:val="TableText"/>
              <w:ind w:left="148"/>
              <w:spacing w:before="35" w:line="161" w:lineRule="auto"/>
              <w:rPr>
                <w:sz w:val="21"/>
                <w:szCs w:val="21"/>
              </w:rPr>
            </w:pPr>
            <w:r>
              <w:rPr>
                <w:sz w:val="21"/>
                <w:szCs w:val="21"/>
              </w:rPr>
              <w:t>/</w:t>
            </w:r>
          </w:p>
        </w:tc>
        <w:tc>
          <w:tcPr>
            <w:tcW w:w="878" w:type="dxa"/>
            <w:vAlign w:val="top"/>
          </w:tcPr>
          <w:p>
            <w:pPr>
              <w:pStyle w:val="TableText"/>
              <w:ind w:left="109"/>
              <w:spacing w:before="50" w:line="169" w:lineRule="exact"/>
              <w:rPr>
                <w:sz w:val="21"/>
                <w:szCs w:val="21"/>
              </w:rPr>
            </w:pPr>
            <w:r>
              <w:rPr>
                <w:sz w:val="21"/>
                <w:szCs w:val="21"/>
                <w:spacing w:val="-2"/>
                <w:position w:val="-4"/>
              </w:rPr>
              <w:t>50~200</w:t>
            </w:r>
          </w:p>
        </w:tc>
      </w:tr>
      <w:tr>
        <w:trPr>
          <w:trHeight w:val="279" w:hRule="atLeast"/>
        </w:trPr>
        <w:tc>
          <w:tcPr>
            <w:tcW w:w="494" w:type="dxa"/>
            <w:vAlign w:val="top"/>
            <w:vMerge w:val="continue"/>
            <w:tcBorders>
              <w:top w:val="nil"/>
              <w:bottom w:val="nil"/>
            </w:tcBorders>
          </w:tcPr>
          <w:p>
            <w:pPr>
              <w:rPr>
                <w:rFonts w:ascii="Arial"/>
                <w:sz w:val="21"/>
              </w:rPr>
            </w:pPr>
            <w:r/>
          </w:p>
        </w:tc>
        <w:tc>
          <w:tcPr>
            <w:tcW w:w="2727" w:type="dxa"/>
            <w:vAlign w:val="top"/>
          </w:tcPr>
          <w:p>
            <w:pPr>
              <w:pStyle w:val="TableText"/>
              <w:ind w:left="624"/>
              <w:spacing w:before="36" w:line="204" w:lineRule="auto"/>
              <w:rPr>
                <w:sz w:val="21"/>
                <w:szCs w:val="21"/>
              </w:rPr>
            </w:pPr>
            <w:r>
              <w:rPr>
                <w:sz w:val="21"/>
                <w:szCs w:val="21"/>
                <w:b/>
                <w:bCs/>
                <w:spacing w:val="-4"/>
              </w:rPr>
              <w:t>产排污系数手册</w:t>
            </w:r>
          </w:p>
        </w:tc>
        <w:tc>
          <w:tcPr>
            <w:tcW w:w="1009" w:type="dxa"/>
            <w:vAlign w:val="top"/>
          </w:tcPr>
          <w:p>
            <w:pPr>
              <w:pStyle w:val="TableText"/>
              <w:ind w:left="183"/>
              <w:spacing w:before="61" w:line="182" w:lineRule="auto"/>
              <w:rPr>
                <w:sz w:val="21"/>
                <w:szCs w:val="21"/>
              </w:rPr>
            </w:pPr>
            <w:r>
              <w:rPr>
                <w:sz w:val="21"/>
                <w:szCs w:val="21"/>
                <w:spacing w:val="-2"/>
              </w:rPr>
              <w:t>2018.9</w:t>
            </w:r>
          </w:p>
        </w:tc>
        <w:tc>
          <w:tcPr>
            <w:tcW w:w="919" w:type="dxa"/>
            <w:vAlign w:val="top"/>
          </w:tcPr>
          <w:p>
            <w:pPr>
              <w:pStyle w:val="TableText"/>
              <w:ind w:left="395"/>
              <w:spacing w:before="46" w:line="196" w:lineRule="auto"/>
              <w:rPr>
                <w:sz w:val="21"/>
                <w:szCs w:val="21"/>
              </w:rPr>
            </w:pPr>
            <w:r>
              <w:rPr>
                <w:sz w:val="21"/>
                <w:szCs w:val="21"/>
              </w:rPr>
              <w:t>/</w:t>
            </w:r>
          </w:p>
        </w:tc>
        <w:tc>
          <w:tcPr>
            <w:tcW w:w="869" w:type="dxa"/>
            <w:vAlign w:val="top"/>
          </w:tcPr>
          <w:p>
            <w:pPr>
              <w:pStyle w:val="TableText"/>
              <w:ind w:left="375"/>
              <w:spacing w:before="46" w:line="196" w:lineRule="auto"/>
              <w:rPr>
                <w:sz w:val="21"/>
                <w:szCs w:val="21"/>
              </w:rPr>
            </w:pPr>
            <w:r>
              <w:rPr>
                <w:sz w:val="21"/>
                <w:szCs w:val="21"/>
              </w:rPr>
              <w:t>/</w:t>
            </w:r>
          </w:p>
        </w:tc>
        <w:tc>
          <w:tcPr>
            <w:tcW w:w="669" w:type="dxa"/>
            <w:vAlign w:val="top"/>
          </w:tcPr>
          <w:p>
            <w:pPr>
              <w:pStyle w:val="TableText"/>
              <w:ind w:left="116"/>
              <w:spacing w:before="61" w:line="182" w:lineRule="auto"/>
              <w:rPr>
                <w:sz w:val="21"/>
                <w:szCs w:val="21"/>
              </w:rPr>
            </w:pPr>
            <w:r>
              <w:rPr>
                <w:sz w:val="21"/>
                <w:szCs w:val="21"/>
                <w:spacing w:val="-2"/>
              </w:rPr>
              <w:t>65.4</w:t>
            </w:r>
          </w:p>
        </w:tc>
        <w:tc>
          <w:tcPr>
            <w:tcW w:w="549" w:type="dxa"/>
            <w:vAlign w:val="top"/>
          </w:tcPr>
          <w:p>
            <w:pPr>
              <w:pStyle w:val="TableText"/>
              <w:ind w:left="7"/>
              <w:spacing w:before="61" w:line="182" w:lineRule="auto"/>
              <w:rPr>
                <w:sz w:val="21"/>
                <w:szCs w:val="21"/>
              </w:rPr>
            </w:pPr>
            <w:r>
              <w:rPr>
                <w:sz w:val="21"/>
                <w:szCs w:val="21"/>
                <w:spacing w:val="-4"/>
              </w:rPr>
              <w:t>127.1</w:t>
            </w:r>
          </w:p>
        </w:tc>
        <w:tc>
          <w:tcPr>
            <w:tcW w:w="409" w:type="dxa"/>
            <w:vAlign w:val="top"/>
          </w:tcPr>
          <w:p>
            <w:pPr>
              <w:pStyle w:val="TableText"/>
              <w:spacing w:before="61" w:line="182" w:lineRule="auto"/>
              <w:jc w:val="right"/>
              <w:rPr>
                <w:sz w:val="21"/>
                <w:szCs w:val="21"/>
              </w:rPr>
            </w:pPr>
            <w:r>
              <w:rPr>
                <w:sz w:val="21"/>
                <w:szCs w:val="21"/>
                <w:spacing w:val="-10"/>
              </w:rPr>
              <w:t>18.7</w:t>
            </w:r>
          </w:p>
        </w:tc>
        <w:tc>
          <w:tcPr>
            <w:tcW w:w="878" w:type="dxa"/>
            <w:vAlign w:val="top"/>
          </w:tcPr>
          <w:p>
            <w:pPr>
              <w:pStyle w:val="TableText"/>
              <w:ind w:left="369"/>
              <w:spacing w:before="46" w:line="196" w:lineRule="auto"/>
              <w:rPr>
                <w:sz w:val="21"/>
                <w:szCs w:val="21"/>
              </w:rPr>
            </w:pPr>
            <w:r>
              <w:rPr>
                <w:sz w:val="21"/>
                <w:szCs w:val="21"/>
              </w:rPr>
              <w:t>/</w:t>
            </w:r>
          </w:p>
        </w:tc>
      </w:tr>
      <w:tr>
        <w:trPr>
          <w:trHeight w:val="268" w:hRule="atLeast"/>
        </w:trPr>
        <w:tc>
          <w:tcPr>
            <w:tcW w:w="494" w:type="dxa"/>
            <w:vAlign w:val="top"/>
            <w:vMerge w:val="continue"/>
            <w:tcBorders>
              <w:top w:val="nil"/>
            </w:tcBorders>
          </w:tcPr>
          <w:p>
            <w:pPr>
              <w:rPr>
                <w:rFonts w:ascii="Arial"/>
                <w:sz w:val="21"/>
              </w:rPr>
            </w:pPr>
            <w:r/>
          </w:p>
        </w:tc>
        <w:tc>
          <w:tcPr>
            <w:tcW w:w="2727" w:type="dxa"/>
            <w:vAlign w:val="top"/>
          </w:tcPr>
          <w:p>
            <w:pPr>
              <w:pStyle w:val="TableText"/>
              <w:ind w:left="624"/>
              <w:spacing w:before="28" w:line="202" w:lineRule="auto"/>
              <w:rPr>
                <w:sz w:val="21"/>
                <w:szCs w:val="21"/>
              </w:rPr>
            </w:pPr>
            <w:r>
              <w:rPr>
                <w:sz w:val="21"/>
                <w:szCs w:val="21"/>
                <w:b/>
                <w:bCs/>
                <w:spacing w:val="-4"/>
              </w:rPr>
              <w:t>本项目浓度取值</w:t>
            </w:r>
          </w:p>
        </w:tc>
        <w:tc>
          <w:tcPr>
            <w:tcW w:w="1009" w:type="dxa"/>
            <w:vAlign w:val="top"/>
          </w:tcPr>
          <w:p>
            <w:pPr>
              <w:pStyle w:val="TableText"/>
              <w:ind w:left="286"/>
              <w:spacing w:before="50" w:line="182" w:lineRule="auto"/>
              <w:rPr>
                <w:sz w:val="21"/>
                <w:szCs w:val="21"/>
              </w:rPr>
            </w:pPr>
            <w:r>
              <w:rPr>
                <w:sz w:val="21"/>
                <w:szCs w:val="21"/>
                <w:b/>
                <w:bCs/>
                <w:spacing w:val="-5"/>
              </w:rPr>
              <w:t>2100</w:t>
            </w:r>
          </w:p>
        </w:tc>
        <w:tc>
          <w:tcPr>
            <w:tcW w:w="919" w:type="dxa"/>
            <w:vAlign w:val="top"/>
          </w:tcPr>
          <w:p>
            <w:pPr>
              <w:pStyle w:val="TableText"/>
              <w:ind w:left="247"/>
              <w:spacing w:before="50" w:line="182" w:lineRule="auto"/>
              <w:rPr>
                <w:sz w:val="21"/>
                <w:szCs w:val="21"/>
              </w:rPr>
            </w:pPr>
            <w:r>
              <w:rPr>
                <w:sz w:val="21"/>
                <w:szCs w:val="21"/>
                <w:b/>
                <w:bCs/>
                <w:spacing w:val="-7"/>
              </w:rPr>
              <w:t>1000</w:t>
            </w:r>
          </w:p>
        </w:tc>
        <w:tc>
          <w:tcPr>
            <w:tcW w:w="869" w:type="dxa"/>
            <w:vAlign w:val="top"/>
          </w:tcPr>
          <w:p>
            <w:pPr>
              <w:pStyle w:val="TableText"/>
              <w:ind w:left="218"/>
              <w:spacing w:before="50" w:line="182" w:lineRule="auto"/>
              <w:rPr>
                <w:sz w:val="21"/>
                <w:szCs w:val="21"/>
              </w:rPr>
            </w:pPr>
            <w:r>
              <w:rPr>
                <w:sz w:val="21"/>
                <w:szCs w:val="21"/>
                <w:b/>
                <w:bCs/>
                <w:spacing w:val="-7"/>
              </w:rPr>
              <w:t>1000</w:t>
            </w:r>
          </w:p>
        </w:tc>
        <w:tc>
          <w:tcPr>
            <w:tcW w:w="669" w:type="dxa"/>
            <w:vAlign w:val="top"/>
          </w:tcPr>
          <w:p>
            <w:pPr>
              <w:pStyle w:val="TableText"/>
              <w:ind w:left="169"/>
              <w:spacing w:before="50" w:line="182" w:lineRule="auto"/>
              <w:rPr>
                <w:sz w:val="21"/>
                <w:szCs w:val="21"/>
              </w:rPr>
            </w:pPr>
            <w:r>
              <w:rPr>
                <w:sz w:val="21"/>
                <w:szCs w:val="21"/>
                <w:b/>
                <w:bCs/>
                <w:spacing w:val="-8"/>
              </w:rPr>
              <w:t>150</w:t>
            </w:r>
          </w:p>
        </w:tc>
        <w:tc>
          <w:tcPr>
            <w:tcW w:w="549" w:type="dxa"/>
            <w:vAlign w:val="top"/>
          </w:tcPr>
          <w:p>
            <w:pPr>
              <w:pStyle w:val="TableText"/>
              <w:ind w:left="111"/>
              <w:spacing w:before="50" w:line="182" w:lineRule="auto"/>
              <w:rPr>
                <w:sz w:val="21"/>
                <w:szCs w:val="21"/>
              </w:rPr>
            </w:pPr>
            <w:r>
              <w:rPr>
                <w:sz w:val="21"/>
                <w:szCs w:val="21"/>
                <w:b/>
                <w:bCs/>
                <w:spacing w:val="-8"/>
              </w:rPr>
              <w:t>150</w:t>
            </w:r>
          </w:p>
        </w:tc>
        <w:tc>
          <w:tcPr>
            <w:tcW w:w="409" w:type="dxa"/>
            <w:vAlign w:val="top"/>
          </w:tcPr>
          <w:p>
            <w:pPr>
              <w:pStyle w:val="TableText"/>
              <w:ind w:left="102"/>
              <w:spacing w:before="50" w:line="182" w:lineRule="auto"/>
              <w:rPr>
                <w:sz w:val="21"/>
                <w:szCs w:val="21"/>
              </w:rPr>
            </w:pPr>
            <w:r>
              <w:rPr>
                <w:sz w:val="21"/>
                <w:szCs w:val="21"/>
                <w:b/>
                <w:bCs/>
                <w:spacing w:val="-5"/>
              </w:rPr>
              <w:t>20</w:t>
            </w:r>
          </w:p>
        </w:tc>
        <w:tc>
          <w:tcPr>
            <w:tcW w:w="878" w:type="dxa"/>
            <w:vAlign w:val="top"/>
          </w:tcPr>
          <w:p>
            <w:pPr>
              <w:pStyle w:val="TableText"/>
              <w:ind w:left="272"/>
              <w:spacing w:before="50" w:line="182" w:lineRule="auto"/>
              <w:rPr>
                <w:sz w:val="21"/>
                <w:szCs w:val="21"/>
              </w:rPr>
            </w:pPr>
            <w:r>
              <w:rPr>
                <w:sz w:val="21"/>
                <w:szCs w:val="21"/>
                <w:b/>
                <w:bCs/>
                <w:spacing w:val="-5"/>
              </w:rPr>
              <w:t>200</w:t>
            </w:r>
          </w:p>
        </w:tc>
      </w:tr>
      <w:tr>
        <w:trPr>
          <w:trHeight w:val="807" w:hRule="atLeast"/>
        </w:trPr>
        <w:tc>
          <w:tcPr>
            <w:tcW w:w="494" w:type="dxa"/>
            <w:vAlign w:val="top"/>
            <w:vMerge w:val="restart"/>
            <w:tcBorders>
              <w:bottom w:val="nil"/>
            </w:tcBorders>
          </w:tcPr>
          <w:p>
            <w:pPr>
              <w:spacing w:line="260" w:lineRule="auto"/>
              <w:rPr>
                <w:rFonts w:ascii="Arial"/>
                <w:sz w:val="21"/>
              </w:rPr>
            </w:pPr>
            <w:r/>
          </w:p>
          <w:p>
            <w:pPr>
              <w:spacing w:line="260" w:lineRule="auto"/>
              <w:rPr>
                <w:rFonts w:ascii="Arial"/>
                <w:sz w:val="21"/>
              </w:rPr>
            </w:pPr>
            <w:r/>
          </w:p>
          <w:p>
            <w:pPr>
              <w:pStyle w:val="TableText"/>
              <w:ind w:left="28"/>
              <w:spacing w:before="68" w:line="221" w:lineRule="auto"/>
              <w:rPr>
                <w:sz w:val="21"/>
                <w:szCs w:val="21"/>
              </w:rPr>
            </w:pPr>
            <w:r>
              <w:rPr>
                <w:sz w:val="21"/>
                <w:szCs w:val="21"/>
                <w:b/>
                <w:bCs/>
              </w:rPr>
              <w:t>肉牛</w:t>
            </w:r>
          </w:p>
        </w:tc>
        <w:tc>
          <w:tcPr>
            <w:tcW w:w="2727" w:type="dxa"/>
            <w:vAlign w:val="top"/>
          </w:tcPr>
          <w:p>
            <w:pPr>
              <w:pStyle w:val="TableText"/>
              <w:ind w:left="250"/>
              <w:spacing w:before="43" w:line="219" w:lineRule="auto"/>
              <w:rPr>
                <w:sz w:val="21"/>
                <w:szCs w:val="21"/>
              </w:rPr>
            </w:pPr>
            <w:r>
              <w:rPr>
                <w:sz w:val="21"/>
                <w:szCs w:val="21"/>
                <w:spacing w:val="-1"/>
              </w:rPr>
              <w:t>类比(项目编号：金检字</w:t>
            </w:r>
          </w:p>
          <w:p>
            <w:pPr>
              <w:pStyle w:val="TableText"/>
              <w:ind w:left="91"/>
              <w:spacing w:before="10" w:line="219" w:lineRule="auto"/>
              <w:rPr>
                <w:sz w:val="21"/>
                <w:szCs w:val="21"/>
              </w:rPr>
            </w:pPr>
            <w:r>
              <w:rPr>
                <w:sz w:val="21"/>
                <w:szCs w:val="21"/>
              </w:rPr>
              <w:t>[2020]第167号)中污水处理</w:t>
            </w:r>
          </w:p>
          <w:p>
            <w:pPr>
              <w:pStyle w:val="TableText"/>
              <w:ind w:left="830"/>
              <w:spacing w:before="19" w:line="197" w:lineRule="auto"/>
              <w:rPr>
                <w:sz w:val="21"/>
                <w:szCs w:val="21"/>
              </w:rPr>
            </w:pPr>
            <w:r>
              <w:rPr>
                <w:sz w:val="21"/>
                <w:szCs w:val="21"/>
                <w:spacing w:val="4"/>
              </w:rPr>
              <w:t>站进水水质</w:t>
            </w:r>
          </w:p>
        </w:tc>
        <w:tc>
          <w:tcPr>
            <w:tcW w:w="1009" w:type="dxa"/>
            <w:vAlign w:val="top"/>
          </w:tcPr>
          <w:p>
            <w:pPr>
              <w:spacing w:line="254" w:lineRule="auto"/>
              <w:rPr>
                <w:rFonts w:ascii="Arial"/>
                <w:sz w:val="21"/>
              </w:rPr>
            </w:pPr>
            <w:r/>
          </w:p>
          <w:p>
            <w:pPr>
              <w:pStyle w:val="TableText"/>
              <w:ind w:left="283"/>
              <w:spacing w:before="68"/>
              <w:rPr>
                <w:sz w:val="21"/>
                <w:szCs w:val="21"/>
              </w:rPr>
            </w:pPr>
            <w:r>
              <w:rPr>
                <w:sz w:val="21"/>
                <w:szCs w:val="21"/>
                <w:spacing w:val="-5"/>
              </w:rPr>
              <w:t>1840</w:t>
            </w:r>
          </w:p>
        </w:tc>
        <w:tc>
          <w:tcPr>
            <w:tcW w:w="919" w:type="dxa"/>
            <w:vAlign w:val="top"/>
          </w:tcPr>
          <w:p>
            <w:pPr>
              <w:spacing w:line="254" w:lineRule="auto"/>
              <w:rPr>
                <w:rFonts w:ascii="Arial"/>
                <w:sz w:val="21"/>
              </w:rPr>
            </w:pPr>
            <w:r/>
          </w:p>
          <w:p>
            <w:pPr>
              <w:pStyle w:val="TableText"/>
              <w:ind w:left="294"/>
              <w:spacing w:before="68"/>
              <w:rPr>
                <w:sz w:val="21"/>
                <w:szCs w:val="21"/>
              </w:rPr>
            </w:pPr>
            <w:r>
              <w:rPr>
                <w:sz w:val="21"/>
                <w:szCs w:val="21"/>
                <w:spacing w:val="-3"/>
              </w:rPr>
              <w:t>538</w:t>
            </w:r>
          </w:p>
        </w:tc>
        <w:tc>
          <w:tcPr>
            <w:tcW w:w="869" w:type="dxa"/>
            <w:vAlign w:val="top"/>
          </w:tcPr>
          <w:p>
            <w:pPr>
              <w:spacing w:line="254" w:lineRule="auto"/>
              <w:rPr>
                <w:rFonts w:ascii="Arial"/>
                <w:sz w:val="21"/>
              </w:rPr>
            </w:pPr>
            <w:r/>
          </w:p>
          <w:p>
            <w:pPr>
              <w:pStyle w:val="TableText"/>
              <w:ind w:left="266"/>
              <w:spacing w:before="68"/>
              <w:rPr>
                <w:sz w:val="21"/>
                <w:szCs w:val="21"/>
              </w:rPr>
            </w:pPr>
            <w:r>
              <w:rPr>
                <w:sz w:val="21"/>
                <w:szCs w:val="21"/>
                <w:spacing w:val="-3"/>
              </w:rPr>
              <w:t>319</w:t>
            </w:r>
          </w:p>
        </w:tc>
        <w:tc>
          <w:tcPr>
            <w:tcW w:w="669" w:type="dxa"/>
            <w:vAlign w:val="top"/>
          </w:tcPr>
          <w:p>
            <w:pPr>
              <w:spacing w:line="254" w:lineRule="auto"/>
              <w:rPr>
                <w:rFonts w:ascii="Arial"/>
                <w:sz w:val="21"/>
              </w:rPr>
            </w:pPr>
            <w:r/>
          </w:p>
          <w:p>
            <w:pPr>
              <w:pStyle w:val="TableText"/>
              <w:ind w:left="166"/>
              <w:spacing w:before="68"/>
              <w:rPr>
                <w:sz w:val="21"/>
                <w:szCs w:val="21"/>
              </w:rPr>
            </w:pPr>
            <w:r>
              <w:rPr>
                <w:sz w:val="21"/>
                <w:szCs w:val="21"/>
                <w:spacing w:val="-6"/>
              </w:rPr>
              <w:t>155</w:t>
            </w:r>
          </w:p>
        </w:tc>
        <w:tc>
          <w:tcPr>
            <w:tcW w:w="549" w:type="dxa"/>
            <w:vAlign w:val="top"/>
          </w:tcPr>
          <w:p>
            <w:pPr>
              <w:rPr>
                <w:rFonts w:ascii="Arial"/>
                <w:sz w:val="21"/>
              </w:rPr>
            </w:pPr>
            <w:r/>
          </w:p>
          <w:p>
            <w:pPr>
              <w:pStyle w:val="TableText"/>
              <w:ind w:left="217"/>
              <w:spacing w:before="68" w:line="224" w:lineRule="auto"/>
              <w:rPr>
                <w:sz w:val="21"/>
                <w:szCs w:val="21"/>
              </w:rPr>
            </w:pPr>
            <w:r>
              <w:rPr>
                <w:sz w:val="21"/>
                <w:szCs w:val="21"/>
              </w:rPr>
              <w:t>/</w:t>
            </w:r>
          </w:p>
        </w:tc>
        <w:tc>
          <w:tcPr>
            <w:tcW w:w="409" w:type="dxa"/>
            <w:vAlign w:val="top"/>
            <w:textDirection w:val="tbRlV"/>
          </w:tcPr>
          <w:p>
            <w:pPr>
              <w:pStyle w:val="TableText"/>
              <w:ind w:left="275"/>
              <w:spacing w:before="155" w:line="137" w:lineRule="exact"/>
              <w:rPr>
                <w:sz w:val="21"/>
                <w:szCs w:val="21"/>
              </w:rPr>
            </w:pPr>
            <w:r>
              <w:rPr>
                <w:sz w:val="21"/>
                <w:szCs w:val="21"/>
                <w:spacing w:val="52"/>
                <w:w w:val="141"/>
                <w:position w:val="-1"/>
              </w:rPr>
              <w:t>/</w:t>
            </w:r>
          </w:p>
        </w:tc>
        <w:tc>
          <w:tcPr>
            <w:tcW w:w="878" w:type="dxa"/>
            <w:vAlign w:val="top"/>
          </w:tcPr>
          <w:p>
            <w:pPr>
              <w:spacing w:line="254" w:lineRule="auto"/>
              <w:rPr>
                <w:rFonts w:ascii="Arial"/>
                <w:sz w:val="21"/>
              </w:rPr>
            </w:pPr>
            <w:r/>
          </w:p>
          <w:p>
            <w:pPr>
              <w:pStyle w:val="TableText"/>
              <w:ind w:left="220"/>
              <w:spacing w:before="68" w:line="239" w:lineRule="auto"/>
              <w:rPr>
                <w:sz w:val="21"/>
                <w:szCs w:val="21"/>
              </w:rPr>
            </w:pPr>
            <w:r>
              <w:rPr>
                <w:sz w:val="21"/>
                <w:szCs w:val="21"/>
                <w:spacing w:val="-3"/>
              </w:rPr>
              <w:t>3.13</w:t>
            </w:r>
          </w:p>
        </w:tc>
      </w:tr>
      <w:tr>
        <w:trPr>
          <w:trHeight w:val="269" w:hRule="atLeast"/>
        </w:trPr>
        <w:tc>
          <w:tcPr>
            <w:tcW w:w="494" w:type="dxa"/>
            <w:vAlign w:val="top"/>
            <w:vMerge w:val="continue"/>
            <w:tcBorders>
              <w:top w:val="nil"/>
              <w:bottom w:val="nil"/>
            </w:tcBorders>
          </w:tcPr>
          <w:p>
            <w:pPr>
              <w:rPr>
                <w:rFonts w:ascii="Arial"/>
                <w:sz w:val="21"/>
              </w:rPr>
            </w:pPr>
            <w:r/>
          </w:p>
        </w:tc>
        <w:tc>
          <w:tcPr>
            <w:tcW w:w="2727" w:type="dxa"/>
            <w:vAlign w:val="top"/>
          </w:tcPr>
          <w:p>
            <w:pPr>
              <w:pStyle w:val="TableText"/>
              <w:ind w:left="624"/>
              <w:spacing w:before="33" w:line="198" w:lineRule="auto"/>
              <w:rPr>
                <w:sz w:val="21"/>
                <w:szCs w:val="21"/>
              </w:rPr>
            </w:pPr>
            <w:r>
              <w:rPr>
                <w:sz w:val="21"/>
                <w:szCs w:val="21"/>
                <w:b/>
                <w:bCs/>
                <w:spacing w:val="-4"/>
              </w:rPr>
              <w:t>产排污系数手册</w:t>
            </w:r>
          </w:p>
        </w:tc>
        <w:tc>
          <w:tcPr>
            <w:tcW w:w="1009" w:type="dxa"/>
            <w:vAlign w:val="top"/>
          </w:tcPr>
          <w:p>
            <w:pPr>
              <w:pStyle w:val="TableText"/>
              <w:ind w:left="443"/>
              <w:spacing w:before="42" w:line="190" w:lineRule="auto"/>
              <w:rPr>
                <w:sz w:val="21"/>
                <w:szCs w:val="21"/>
              </w:rPr>
            </w:pPr>
            <w:r>
              <w:rPr>
                <w:sz w:val="21"/>
                <w:szCs w:val="21"/>
              </w:rPr>
              <w:t>/</w:t>
            </w:r>
          </w:p>
        </w:tc>
        <w:tc>
          <w:tcPr>
            <w:tcW w:w="919" w:type="dxa"/>
            <w:vAlign w:val="top"/>
          </w:tcPr>
          <w:p>
            <w:pPr>
              <w:pStyle w:val="TableText"/>
              <w:ind w:left="395"/>
              <w:spacing w:before="42" w:line="190" w:lineRule="auto"/>
              <w:rPr>
                <w:sz w:val="21"/>
                <w:szCs w:val="21"/>
              </w:rPr>
            </w:pPr>
            <w:r>
              <w:rPr>
                <w:sz w:val="21"/>
                <w:szCs w:val="21"/>
              </w:rPr>
              <w:t>/</w:t>
            </w:r>
          </w:p>
        </w:tc>
        <w:tc>
          <w:tcPr>
            <w:tcW w:w="869" w:type="dxa"/>
            <w:vAlign w:val="top"/>
          </w:tcPr>
          <w:p>
            <w:pPr>
              <w:pStyle w:val="TableText"/>
              <w:ind w:left="375"/>
              <w:spacing w:before="42" w:line="190" w:lineRule="auto"/>
              <w:rPr>
                <w:sz w:val="21"/>
                <w:szCs w:val="21"/>
              </w:rPr>
            </w:pPr>
            <w:r>
              <w:rPr>
                <w:sz w:val="21"/>
                <w:szCs w:val="21"/>
              </w:rPr>
              <w:t>/</w:t>
            </w:r>
          </w:p>
        </w:tc>
        <w:tc>
          <w:tcPr>
            <w:tcW w:w="669" w:type="dxa"/>
            <w:vAlign w:val="top"/>
            <w:textDirection w:val="tbRlV"/>
          </w:tcPr>
          <w:p>
            <w:pPr>
              <w:pStyle w:val="TableText"/>
              <w:ind w:left="8"/>
              <w:spacing w:before="287" w:line="137" w:lineRule="exact"/>
              <w:rPr>
                <w:sz w:val="21"/>
                <w:szCs w:val="21"/>
              </w:rPr>
            </w:pPr>
            <w:r>
              <w:rPr>
                <w:sz w:val="21"/>
                <w:szCs w:val="21"/>
                <w:spacing w:val="52"/>
                <w:w w:val="141"/>
                <w:position w:val="-1"/>
              </w:rPr>
              <w:t>/</w:t>
            </w:r>
          </w:p>
        </w:tc>
        <w:tc>
          <w:tcPr>
            <w:tcW w:w="549" w:type="dxa"/>
            <w:vAlign w:val="top"/>
          </w:tcPr>
          <w:p>
            <w:pPr>
              <w:pStyle w:val="TableText"/>
              <w:ind w:left="7"/>
              <w:spacing w:before="57" w:line="177" w:lineRule="auto"/>
              <w:rPr>
                <w:sz w:val="21"/>
                <w:szCs w:val="21"/>
              </w:rPr>
            </w:pPr>
            <w:r>
              <w:rPr>
                <w:sz w:val="21"/>
                <w:szCs w:val="21"/>
                <w:spacing w:val="-2"/>
              </w:rPr>
              <w:t>240.4</w:t>
            </w:r>
          </w:p>
        </w:tc>
        <w:tc>
          <w:tcPr>
            <w:tcW w:w="409" w:type="dxa"/>
            <w:vAlign w:val="top"/>
          </w:tcPr>
          <w:p>
            <w:pPr>
              <w:pStyle w:val="TableText"/>
              <w:spacing w:before="57" w:line="177" w:lineRule="auto"/>
              <w:jc w:val="right"/>
              <w:rPr>
                <w:sz w:val="21"/>
                <w:szCs w:val="21"/>
              </w:rPr>
            </w:pPr>
            <w:r>
              <w:rPr>
                <w:sz w:val="21"/>
                <w:szCs w:val="21"/>
                <w:spacing w:val="-10"/>
              </w:rPr>
              <w:t>13.8</w:t>
            </w:r>
          </w:p>
        </w:tc>
        <w:tc>
          <w:tcPr>
            <w:tcW w:w="878" w:type="dxa"/>
            <w:vAlign w:val="top"/>
            <w:textDirection w:val="tbRlV"/>
          </w:tcPr>
          <w:p>
            <w:pPr>
              <w:spacing w:line="318" w:lineRule="auto"/>
              <w:rPr>
                <w:rFonts w:ascii="Arial"/>
                <w:sz w:val="21"/>
              </w:rPr>
            </w:pPr>
            <w:r/>
          </w:p>
          <w:p>
            <w:pPr>
              <w:pStyle w:val="TableText"/>
              <w:ind w:left="8"/>
              <w:spacing w:before="70" w:line="137" w:lineRule="exact"/>
              <w:rPr>
                <w:sz w:val="21"/>
                <w:szCs w:val="21"/>
              </w:rPr>
            </w:pPr>
            <w:r>
              <w:rPr>
                <w:sz w:val="21"/>
                <w:szCs w:val="21"/>
                <w:spacing w:val="52"/>
                <w:w w:val="141"/>
                <w:position w:val="-1"/>
              </w:rPr>
              <w:t>/</w:t>
            </w:r>
          </w:p>
        </w:tc>
      </w:tr>
      <w:tr>
        <w:trPr>
          <w:trHeight w:val="284" w:hRule="atLeast"/>
        </w:trPr>
        <w:tc>
          <w:tcPr>
            <w:tcW w:w="494" w:type="dxa"/>
            <w:vAlign w:val="top"/>
            <w:vMerge w:val="continue"/>
            <w:tcBorders>
              <w:top w:val="nil"/>
            </w:tcBorders>
          </w:tcPr>
          <w:p>
            <w:pPr>
              <w:rPr>
                <w:rFonts w:ascii="Arial"/>
                <w:sz w:val="21"/>
              </w:rPr>
            </w:pPr>
            <w:r/>
          </w:p>
        </w:tc>
        <w:tc>
          <w:tcPr>
            <w:tcW w:w="2727" w:type="dxa"/>
            <w:vAlign w:val="top"/>
          </w:tcPr>
          <w:p>
            <w:pPr>
              <w:pStyle w:val="TableText"/>
              <w:ind w:left="624"/>
              <w:spacing w:before="44" w:line="202" w:lineRule="auto"/>
              <w:rPr>
                <w:sz w:val="21"/>
                <w:szCs w:val="21"/>
              </w:rPr>
            </w:pPr>
            <w:r>
              <w:rPr>
                <w:sz w:val="21"/>
                <w:szCs w:val="21"/>
                <w:b/>
                <w:bCs/>
                <w:spacing w:val="-4"/>
              </w:rPr>
              <w:t>本项目浓度取值</w:t>
            </w:r>
          </w:p>
        </w:tc>
        <w:tc>
          <w:tcPr>
            <w:tcW w:w="1009" w:type="dxa"/>
            <w:vAlign w:val="top"/>
          </w:tcPr>
          <w:p>
            <w:pPr>
              <w:pStyle w:val="TableText"/>
              <w:ind w:left="286"/>
              <w:spacing w:before="66" w:line="182" w:lineRule="auto"/>
              <w:rPr>
                <w:sz w:val="21"/>
                <w:szCs w:val="21"/>
              </w:rPr>
            </w:pPr>
            <w:r>
              <w:rPr>
                <w:sz w:val="21"/>
                <w:szCs w:val="21"/>
                <w:b/>
                <w:bCs/>
                <w:spacing w:val="-5"/>
              </w:rPr>
              <w:t>2000</w:t>
            </w:r>
          </w:p>
        </w:tc>
        <w:tc>
          <w:tcPr>
            <w:tcW w:w="919" w:type="dxa"/>
            <w:vAlign w:val="top"/>
          </w:tcPr>
          <w:p>
            <w:pPr>
              <w:pStyle w:val="TableText"/>
              <w:ind w:left="297"/>
              <w:spacing w:before="66" w:line="182" w:lineRule="auto"/>
              <w:rPr>
                <w:sz w:val="21"/>
                <w:szCs w:val="21"/>
              </w:rPr>
            </w:pPr>
            <w:r>
              <w:rPr>
                <w:sz w:val="21"/>
                <w:szCs w:val="21"/>
                <w:b/>
                <w:bCs/>
                <w:spacing w:val="-5"/>
              </w:rPr>
              <w:t>600</w:t>
            </w:r>
          </w:p>
        </w:tc>
        <w:tc>
          <w:tcPr>
            <w:tcW w:w="869" w:type="dxa"/>
            <w:vAlign w:val="top"/>
          </w:tcPr>
          <w:p>
            <w:pPr>
              <w:pStyle w:val="TableText"/>
              <w:ind w:left="269"/>
              <w:spacing w:before="66" w:line="182" w:lineRule="auto"/>
              <w:rPr>
                <w:sz w:val="21"/>
                <w:szCs w:val="21"/>
              </w:rPr>
            </w:pPr>
            <w:r>
              <w:rPr>
                <w:sz w:val="21"/>
                <w:szCs w:val="21"/>
                <w:b/>
                <w:bCs/>
                <w:spacing w:val="-5"/>
              </w:rPr>
              <w:t>350</w:t>
            </w:r>
          </w:p>
        </w:tc>
        <w:tc>
          <w:tcPr>
            <w:tcW w:w="669" w:type="dxa"/>
            <w:vAlign w:val="top"/>
          </w:tcPr>
          <w:p>
            <w:pPr>
              <w:pStyle w:val="TableText"/>
              <w:ind w:left="169"/>
              <w:spacing w:before="66" w:line="182" w:lineRule="auto"/>
              <w:rPr>
                <w:sz w:val="21"/>
                <w:szCs w:val="21"/>
              </w:rPr>
            </w:pPr>
            <w:r>
              <w:rPr>
                <w:sz w:val="21"/>
                <w:szCs w:val="21"/>
                <w:b/>
                <w:bCs/>
                <w:spacing w:val="-5"/>
              </w:rPr>
              <w:t>200</w:t>
            </w:r>
          </w:p>
        </w:tc>
        <w:tc>
          <w:tcPr>
            <w:tcW w:w="549" w:type="dxa"/>
            <w:vAlign w:val="top"/>
          </w:tcPr>
          <w:p>
            <w:pPr>
              <w:pStyle w:val="TableText"/>
              <w:ind w:left="111"/>
              <w:spacing w:before="66" w:line="182" w:lineRule="auto"/>
              <w:rPr>
                <w:sz w:val="21"/>
                <w:szCs w:val="21"/>
              </w:rPr>
            </w:pPr>
            <w:r>
              <w:rPr>
                <w:sz w:val="21"/>
                <w:szCs w:val="21"/>
                <w:b/>
                <w:bCs/>
                <w:spacing w:val="-5"/>
              </w:rPr>
              <w:t>300</w:t>
            </w:r>
          </w:p>
        </w:tc>
        <w:tc>
          <w:tcPr>
            <w:tcW w:w="409" w:type="dxa"/>
            <w:vAlign w:val="top"/>
          </w:tcPr>
          <w:p>
            <w:pPr>
              <w:pStyle w:val="TableText"/>
              <w:ind w:left="102"/>
              <w:spacing w:before="66" w:line="182" w:lineRule="auto"/>
              <w:rPr>
                <w:sz w:val="21"/>
                <w:szCs w:val="21"/>
              </w:rPr>
            </w:pPr>
            <w:r>
              <w:rPr>
                <w:sz w:val="21"/>
                <w:szCs w:val="21"/>
                <w:b/>
                <w:bCs/>
                <w:spacing w:val="-5"/>
              </w:rPr>
              <w:t>20</w:t>
            </w:r>
          </w:p>
        </w:tc>
        <w:tc>
          <w:tcPr>
            <w:tcW w:w="878" w:type="dxa"/>
            <w:vAlign w:val="top"/>
            <w:textDirection w:val="tbRlV"/>
          </w:tcPr>
          <w:p>
            <w:pPr>
              <w:spacing w:line="323" w:lineRule="auto"/>
              <w:rPr>
                <w:rFonts w:ascii="Arial"/>
                <w:sz w:val="21"/>
              </w:rPr>
            </w:pPr>
            <w:r/>
          </w:p>
          <w:p>
            <w:pPr>
              <w:pStyle w:val="TableText"/>
              <w:spacing w:before="70" w:line="144" w:lineRule="exact"/>
              <w:rPr>
                <w:sz w:val="21"/>
                <w:szCs w:val="21"/>
              </w:rPr>
            </w:pPr>
            <w:r>
              <w:rPr>
                <w:sz w:val="21"/>
                <w:szCs w:val="21"/>
                <w:b/>
                <w:bCs/>
                <w:spacing w:val="46"/>
                <w:w w:val="125"/>
                <w:position w:val="-3"/>
              </w:rPr>
              <w:t>5</w:t>
            </w:r>
          </w:p>
        </w:tc>
      </w:tr>
    </w:tbl>
    <w:p>
      <w:pPr>
        <w:ind w:left="2268"/>
        <w:spacing w:before="61" w:line="214" w:lineRule="auto"/>
        <w:rPr>
          <w:rFonts w:ascii="SimSun" w:hAnsi="SimSun" w:eastAsia="SimSun" w:cs="SimSun"/>
          <w:sz w:val="24"/>
          <w:szCs w:val="24"/>
        </w:rPr>
      </w:pPr>
      <w:r>
        <w:rPr>
          <w:rFonts w:ascii="SimSun" w:hAnsi="SimSun" w:eastAsia="SimSun" w:cs="SimSun"/>
          <w:sz w:val="24"/>
          <w:szCs w:val="24"/>
          <w:b/>
          <w:bCs/>
          <w:spacing w:val="-3"/>
        </w:rPr>
        <w:t>表3.11-7项目屠宰车间废水情况一览表</w:t>
      </w:r>
    </w:p>
    <w:tbl>
      <w:tblPr>
        <w:tblStyle w:val="TableNormal"/>
        <w:tblW w:w="8450" w:type="dxa"/>
        <w:tblInd w:w="3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85"/>
        <w:gridCol w:w="1379"/>
        <w:gridCol w:w="1588"/>
        <w:gridCol w:w="849"/>
        <w:gridCol w:w="759"/>
        <w:gridCol w:w="839"/>
        <w:gridCol w:w="729"/>
        <w:gridCol w:w="669"/>
        <w:gridCol w:w="569"/>
        <w:gridCol w:w="684"/>
      </w:tblGrid>
      <w:tr>
        <w:trPr>
          <w:trHeight w:val="274" w:hRule="atLeast"/>
        </w:trPr>
        <w:tc>
          <w:tcPr>
            <w:shd w:val="clear" w:fill="BDBDBD"/>
            <w:tcW w:w="385" w:type="dxa"/>
            <w:vAlign w:val="top"/>
          </w:tcPr>
          <w:p>
            <w:pPr>
              <w:pStyle w:val="TableText"/>
              <w:spacing w:before="30" w:line="205" w:lineRule="auto"/>
              <w:jc w:val="right"/>
              <w:rPr>
                <w:sz w:val="21"/>
                <w:szCs w:val="21"/>
              </w:rPr>
            </w:pPr>
            <w:r>
              <w:rPr>
                <w:sz w:val="21"/>
                <w:szCs w:val="21"/>
                <w:b/>
                <w:bCs/>
                <w:spacing w:val="-34"/>
              </w:rPr>
              <w:t>项目</w:t>
            </w:r>
          </w:p>
        </w:tc>
        <w:tc>
          <w:tcPr>
            <w:shd w:val="clear" w:fill="BDBDBD"/>
            <w:tcW w:w="1379" w:type="dxa"/>
            <w:vAlign w:val="top"/>
          </w:tcPr>
          <w:p>
            <w:pPr>
              <w:pStyle w:val="TableText"/>
              <w:ind w:left="262"/>
              <w:spacing w:before="30" w:line="205" w:lineRule="auto"/>
              <w:rPr>
                <w:sz w:val="21"/>
                <w:szCs w:val="21"/>
              </w:rPr>
            </w:pPr>
            <w:r>
              <w:rPr>
                <w:sz w:val="21"/>
                <w:szCs w:val="21"/>
                <w:b/>
                <w:bCs/>
                <w:spacing w:val="-4"/>
              </w:rPr>
              <w:t>屠宰废水</w:t>
            </w:r>
          </w:p>
        </w:tc>
        <w:tc>
          <w:tcPr>
            <w:shd w:val="clear" w:fill="BDBDBD"/>
            <w:tcW w:w="1588" w:type="dxa"/>
            <w:vAlign w:val="top"/>
          </w:tcPr>
          <w:p>
            <w:pPr>
              <w:pStyle w:val="TableText"/>
              <w:ind w:left="263"/>
              <w:spacing w:before="30" w:line="205" w:lineRule="auto"/>
              <w:rPr>
                <w:sz w:val="21"/>
                <w:szCs w:val="21"/>
              </w:rPr>
            </w:pPr>
            <w:r>
              <w:rPr>
                <w:sz w:val="21"/>
                <w:szCs w:val="21"/>
                <w:b/>
                <w:bCs/>
                <w:spacing w:val="-4"/>
              </w:rPr>
              <w:t>污染物名称</w:t>
            </w:r>
          </w:p>
        </w:tc>
        <w:tc>
          <w:tcPr>
            <w:shd w:val="clear" w:fill="BDBDBD"/>
            <w:tcW w:w="849" w:type="dxa"/>
            <w:vAlign w:val="top"/>
          </w:tcPr>
          <w:p>
            <w:pPr>
              <w:pStyle w:val="TableText"/>
              <w:ind w:left="255"/>
              <w:spacing w:before="86" w:line="178" w:lineRule="exact"/>
              <w:rPr>
                <w:sz w:val="21"/>
                <w:szCs w:val="21"/>
              </w:rPr>
            </w:pPr>
            <w:r>
              <w:rPr>
                <w:sz w:val="21"/>
                <w:szCs w:val="21"/>
                <w:b/>
                <w:bCs/>
                <w:spacing w:val="-4"/>
                <w:position w:val="-2"/>
              </w:rPr>
              <w:t>COD</w:t>
            </w:r>
          </w:p>
        </w:tc>
        <w:tc>
          <w:tcPr>
            <w:shd w:val="clear" w:fill="BDBDBD"/>
            <w:tcW w:w="759" w:type="dxa"/>
            <w:vAlign w:val="top"/>
          </w:tcPr>
          <w:p>
            <w:pPr>
              <w:pStyle w:val="TableText"/>
              <w:ind w:left="106"/>
              <w:spacing w:before="64" w:line="175" w:lineRule="auto"/>
              <w:rPr>
                <w:rFonts w:ascii="Calibri" w:hAnsi="Calibri" w:eastAsia="Calibri" w:cs="Calibri"/>
                <w:sz w:val="21"/>
                <w:szCs w:val="21"/>
              </w:rPr>
            </w:pPr>
            <w:r>
              <w:rPr>
                <w:sz w:val="21"/>
                <w:szCs w:val="21"/>
                <w:b/>
                <w:bCs/>
                <w:spacing w:val="-3"/>
              </w:rPr>
              <w:t>BOD</w:t>
            </w:r>
            <w:r>
              <w:rPr>
                <w:rFonts w:ascii="Calibri" w:hAnsi="Calibri" w:eastAsia="Calibri" w:cs="Calibri"/>
                <w:sz w:val="21"/>
                <w:szCs w:val="21"/>
                <w:b/>
                <w:bCs/>
                <w:spacing w:val="-3"/>
              </w:rPr>
              <w:t>₅</w:t>
            </w:r>
          </w:p>
        </w:tc>
        <w:tc>
          <w:tcPr>
            <w:shd w:val="clear" w:fill="BDBDBD"/>
            <w:tcW w:w="839" w:type="dxa"/>
            <w:vAlign w:val="top"/>
          </w:tcPr>
          <w:p>
            <w:pPr>
              <w:pStyle w:val="TableText"/>
              <w:ind w:left="307"/>
              <w:spacing w:before="86" w:line="178" w:lineRule="exact"/>
              <w:rPr>
                <w:sz w:val="21"/>
                <w:szCs w:val="21"/>
              </w:rPr>
            </w:pPr>
            <w:r>
              <w:rPr>
                <w:sz w:val="21"/>
                <w:szCs w:val="21"/>
                <w:b/>
                <w:bCs/>
                <w:spacing w:val="-5"/>
                <w:position w:val="-2"/>
              </w:rPr>
              <w:t>SS</w:t>
            </w:r>
          </w:p>
        </w:tc>
        <w:tc>
          <w:tcPr>
            <w:shd w:val="clear" w:fill="BDBDBD"/>
            <w:tcW w:w="729" w:type="dxa"/>
            <w:vAlign w:val="top"/>
          </w:tcPr>
          <w:p>
            <w:pPr>
              <w:pStyle w:val="TableText"/>
              <w:ind w:left="48"/>
              <w:spacing w:before="67" w:line="173" w:lineRule="auto"/>
              <w:rPr>
                <w:sz w:val="21"/>
                <w:szCs w:val="21"/>
              </w:rPr>
            </w:pPr>
            <w:r>
              <w:rPr>
                <w:sz w:val="21"/>
                <w:szCs w:val="21"/>
                <w:b/>
                <w:bCs/>
                <w:spacing w:val="-3"/>
              </w:rPr>
              <w:t>NH</w:t>
            </w:r>
            <w:r>
              <w:rPr>
                <w:rFonts w:ascii="Calibri" w:hAnsi="Calibri" w:eastAsia="Calibri" w:cs="Calibri"/>
                <w:sz w:val="21"/>
                <w:szCs w:val="21"/>
                <w:b/>
                <w:bCs/>
                <w:spacing w:val="-3"/>
              </w:rPr>
              <w:t>₃</w:t>
            </w:r>
            <w:r>
              <w:rPr>
                <w:sz w:val="21"/>
                <w:szCs w:val="21"/>
                <w:b/>
                <w:bCs/>
                <w:spacing w:val="-3"/>
              </w:rPr>
              <w:t>-N</w:t>
            </w:r>
          </w:p>
        </w:tc>
        <w:tc>
          <w:tcPr>
            <w:shd w:val="clear" w:fill="BDBDBD"/>
            <w:tcW w:w="669" w:type="dxa"/>
            <w:vAlign w:val="top"/>
          </w:tcPr>
          <w:p>
            <w:pPr>
              <w:pStyle w:val="TableText"/>
              <w:ind w:left="229"/>
              <w:spacing w:before="89" w:line="175" w:lineRule="exact"/>
              <w:rPr>
                <w:sz w:val="21"/>
                <w:szCs w:val="21"/>
              </w:rPr>
            </w:pPr>
            <w:r>
              <w:rPr>
                <w:sz w:val="21"/>
                <w:szCs w:val="21"/>
                <w:b/>
                <w:bCs/>
                <w:spacing w:val="-4"/>
                <w:position w:val="-2"/>
              </w:rPr>
              <w:t>TN</w:t>
            </w:r>
          </w:p>
        </w:tc>
        <w:tc>
          <w:tcPr>
            <w:shd w:val="clear" w:fill="BDBDBD"/>
            <w:tcW w:w="569" w:type="dxa"/>
            <w:vAlign w:val="top"/>
          </w:tcPr>
          <w:p>
            <w:pPr>
              <w:pStyle w:val="TableText"/>
              <w:ind w:left="180"/>
              <w:spacing w:before="89" w:line="175" w:lineRule="exact"/>
              <w:rPr>
                <w:sz w:val="21"/>
                <w:szCs w:val="21"/>
              </w:rPr>
            </w:pPr>
            <w:r>
              <w:rPr>
                <w:sz w:val="21"/>
                <w:szCs w:val="21"/>
                <w:b/>
                <w:bCs/>
                <w:spacing w:val="-4"/>
                <w:position w:val="-2"/>
              </w:rPr>
              <w:t>TP</w:t>
            </w:r>
          </w:p>
        </w:tc>
        <w:tc>
          <w:tcPr>
            <w:shd w:val="clear" w:fill="BDBDBD"/>
            <w:tcW w:w="684" w:type="dxa"/>
            <w:vAlign w:val="top"/>
          </w:tcPr>
          <w:p>
            <w:pPr>
              <w:pStyle w:val="TableText"/>
              <w:spacing w:before="39" w:line="218" w:lineRule="auto"/>
              <w:jc w:val="right"/>
              <w:rPr>
                <w:sz w:val="19"/>
                <w:szCs w:val="19"/>
              </w:rPr>
            </w:pPr>
            <w:r>
              <w:rPr>
                <w:sz w:val="19"/>
                <w:szCs w:val="19"/>
                <w:b/>
                <w:bCs/>
                <w:spacing w:val="-16"/>
                <w:w w:val="93"/>
              </w:rPr>
              <w:t>力植物油</w:t>
            </w:r>
          </w:p>
        </w:tc>
      </w:tr>
      <w:tr>
        <w:trPr>
          <w:trHeight w:val="289" w:hRule="atLeast"/>
        </w:trPr>
        <w:tc>
          <w:tcPr>
            <w:tcW w:w="385" w:type="dxa"/>
            <w:vAlign w:val="top"/>
            <w:vMerge w:val="restart"/>
            <w:tcBorders>
              <w:bottom w:val="nil"/>
            </w:tcBorders>
          </w:tcPr>
          <w:p>
            <w:pPr>
              <w:spacing w:line="332" w:lineRule="auto"/>
              <w:rPr>
                <w:rFonts w:ascii="Arial"/>
                <w:sz w:val="21"/>
              </w:rPr>
            </w:pPr>
            <w:r/>
          </w:p>
          <w:p>
            <w:pPr>
              <w:spacing w:line="332" w:lineRule="auto"/>
              <w:rPr>
                <w:rFonts w:ascii="Arial"/>
                <w:sz w:val="21"/>
              </w:rPr>
            </w:pPr>
            <w:r/>
          </w:p>
          <w:p>
            <w:pPr>
              <w:pStyle w:val="TableText"/>
              <w:spacing w:before="69" w:line="220" w:lineRule="auto"/>
              <w:jc w:val="right"/>
              <w:rPr>
                <w:sz w:val="21"/>
                <w:szCs w:val="21"/>
              </w:rPr>
            </w:pPr>
            <w:r>
              <w:rPr>
                <w:sz w:val="21"/>
                <w:szCs w:val="21"/>
                <w:b/>
                <w:bCs/>
                <w:spacing w:val="-22"/>
                <w:w w:val="90"/>
              </w:rPr>
              <w:t>生</w:t>
            </w:r>
            <w:r>
              <w:rPr>
                <w:sz w:val="21"/>
                <w:szCs w:val="21"/>
                <w:b/>
                <w:bCs/>
                <w:spacing w:val="-10"/>
                <w:w w:val="90"/>
              </w:rPr>
              <w:t>猪</w:t>
            </w:r>
          </w:p>
        </w:tc>
        <w:tc>
          <w:tcPr>
            <w:tcW w:w="1379" w:type="dxa"/>
            <w:vAlign w:val="top"/>
            <w:vMerge w:val="restart"/>
            <w:tcBorders>
              <w:bottom w:val="nil"/>
            </w:tcBorders>
          </w:tcPr>
          <w:p>
            <w:pPr>
              <w:pStyle w:val="TableText"/>
              <w:ind w:left="469"/>
              <w:spacing w:before="38" w:line="219" w:lineRule="auto"/>
              <w:rPr>
                <w:sz w:val="21"/>
                <w:szCs w:val="21"/>
              </w:rPr>
            </w:pPr>
            <w:r>
              <w:rPr>
                <w:sz w:val="21"/>
                <w:szCs w:val="21"/>
                <w:color w:val="404040"/>
                <w:spacing w:val="4"/>
              </w:rPr>
              <w:t>淡季</w:t>
            </w:r>
          </w:p>
          <w:p>
            <w:pPr>
              <w:pStyle w:val="TableText"/>
              <w:ind w:left="9"/>
              <w:spacing w:before="45" w:line="189" w:lineRule="auto"/>
              <w:rPr>
                <w:sz w:val="21"/>
                <w:szCs w:val="21"/>
              </w:rPr>
            </w:pPr>
            <w:r>
              <w:rPr>
                <w:sz w:val="21"/>
                <w:szCs w:val="21"/>
                <w:spacing w:val="-4"/>
              </w:rPr>
              <w:t>(144450m³/a)</w:t>
            </w:r>
          </w:p>
        </w:tc>
        <w:tc>
          <w:tcPr>
            <w:tcW w:w="1588" w:type="dxa"/>
            <w:vAlign w:val="top"/>
          </w:tcPr>
          <w:p>
            <w:pPr>
              <w:pStyle w:val="TableText"/>
              <w:ind w:left="50"/>
              <w:spacing w:before="32" w:line="214" w:lineRule="auto"/>
              <w:rPr>
                <w:sz w:val="21"/>
                <w:szCs w:val="21"/>
              </w:rPr>
            </w:pPr>
            <w:r>
              <w:rPr>
                <w:sz w:val="21"/>
                <w:szCs w:val="21"/>
                <w:spacing w:val="5"/>
              </w:rPr>
              <w:t>产生浓度(</w:t>
            </w:r>
            <w:r>
              <w:rPr>
                <w:sz w:val="21"/>
                <w:szCs w:val="21"/>
              </w:rPr>
              <w:t>mg</w:t>
            </w:r>
            <w:r>
              <w:rPr>
                <w:sz w:val="21"/>
                <w:szCs w:val="21"/>
                <w:spacing w:val="5"/>
              </w:rPr>
              <w:t>/L)</w:t>
            </w:r>
          </w:p>
        </w:tc>
        <w:tc>
          <w:tcPr>
            <w:tcW w:w="849" w:type="dxa"/>
            <w:vAlign w:val="top"/>
          </w:tcPr>
          <w:p>
            <w:pPr>
              <w:pStyle w:val="TableText"/>
              <w:ind w:left="202"/>
              <w:spacing w:before="60" w:line="192" w:lineRule="auto"/>
              <w:rPr>
                <w:sz w:val="21"/>
                <w:szCs w:val="21"/>
              </w:rPr>
            </w:pPr>
            <w:r>
              <w:rPr>
                <w:sz w:val="21"/>
                <w:szCs w:val="21"/>
                <w:spacing w:val="-3"/>
              </w:rPr>
              <w:t>2100</w:t>
            </w:r>
          </w:p>
        </w:tc>
        <w:tc>
          <w:tcPr>
            <w:tcW w:w="759" w:type="dxa"/>
            <w:vAlign w:val="top"/>
          </w:tcPr>
          <w:p>
            <w:pPr>
              <w:pStyle w:val="TableText"/>
              <w:ind w:left="164"/>
              <w:spacing w:before="60" w:line="192" w:lineRule="auto"/>
              <w:rPr>
                <w:sz w:val="21"/>
                <w:szCs w:val="21"/>
              </w:rPr>
            </w:pPr>
            <w:r>
              <w:rPr>
                <w:sz w:val="21"/>
                <w:szCs w:val="21"/>
                <w:spacing w:val="-5"/>
              </w:rPr>
              <w:t>1000</w:t>
            </w:r>
          </w:p>
        </w:tc>
        <w:tc>
          <w:tcPr>
            <w:tcW w:w="839" w:type="dxa"/>
            <w:vAlign w:val="top"/>
          </w:tcPr>
          <w:p>
            <w:pPr>
              <w:pStyle w:val="TableText"/>
              <w:ind w:left="205"/>
              <w:spacing w:before="60" w:line="192" w:lineRule="auto"/>
              <w:rPr>
                <w:sz w:val="21"/>
                <w:szCs w:val="21"/>
              </w:rPr>
            </w:pPr>
            <w:r>
              <w:rPr>
                <w:sz w:val="21"/>
                <w:szCs w:val="21"/>
                <w:spacing w:val="-5"/>
              </w:rPr>
              <w:t>1000</w:t>
            </w:r>
          </w:p>
        </w:tc>
        <w:tc>
          <w:tcPr>
            <w:tcW w:w="729" w:type="dxa"/>
            <w:vAlign w:val="top"/>
          </w:tcPr>
          <w:p>
            <w:pPr>
              <w:pStyle w:val="TableText"/>
              <w:ind w:left="195"/>
              <w:spacing w:before="60" w:line="192" w:lineRule="auto"/>
              <w:rPr>
                <w:sz w:val="21"/>
                <w:szCs w:val="21"/>
              </w:rPr>
            </w:pPr>
            <w:r>
              <w:rPr>
                <w:sz w:val="21"/>
                <w:szCs w:val="21"/>
                <w:spacing w:val="-6"/>
              </w:rPr>
              <w:t>150</w:t>
            </w:r>
          </w:p>
        </w:tc>
        <w:tc>
          <w:tcPr>
            <w:tcW w:w="669" w:type="dxa"/>
            <w:vAlign w:val="top"/>
          </w:tcPr>
          <w:p>
            <w:pPr>
              <w:pStyle w:val="TableText"/>
              <w:ind w:left="166"/>
              <w:spacing w:before="60" w:line="192" w:lineRule="auto"/>
              <w:rPr>
                <w:sz w:val="21"/>
                <w:szCs w:val="21"/>
              </w:rPr>
            </w:pPr>
            <w:r>
              <w:rPr>
                <w:sz w:val="21"/>
                <w:szCs w:val="21"/>
                <w:spacing w:val="-6"/>
              </w:rPr>
              <w:t>150</w:t>
            </w:r>
          </w:p>
        </w:tc>
        <w:tc>
          <w:tcPr>
            <w:tcW w:w="569" w:type="dxa"/>
            <w:vAlign w:val="top"/>
          </w:tcPr>
          <w:p>
            <w:pPr>
              <w:pStyle w:val="TableText"/>
              <w:ind w:left="177"/>
              <w:spacing w:before="60" w:line="192" w:lineRule="auto"/>
              <w:rPr>
                <w:sz w:val="21"/>
                <w:szCs w:val="21"/>
              </w:rPr>
            </w:pPr>
            <w:r>
              <w:rPr>
                <w:sz w:val="21"/>
                <w:szCs w:val="21"/>
                <w:spacing w:val="-3"/>
              </w:rPr>
              <w:t>20</w:t>
            </w:r>
          </w:p>
        </w:tc>
        <w:tc>
          <w:tcPr>
            <w:tcW w:w="684" w:type="dxa"/>
            <w:vAlign w:val="top"/>
          </w:tcPr>
          <w:p>
            <w:pPr>
              <w:pStyle w:val="TableText"/>
              <w:ind w:left="178"/>
              <w:spacing w:before="60" w:line="192" w:lineRule="auto"/>
              <w:rPr>
                <w:sz w:val="21"/>
                <w:szCs w:val="21"/>
              </w:rPr>
            </w:pPr>
            <w:r>
              <w:rPr>
                <w:sz w:val="21"/>
                <w:szCs w:val="21"/>
                <w:spacing w:val="-3"/>
              </w:rPr>
              <w:t>200</w:t>
            </w:r>
          </w:p>
        </w:tc>
      </w:tr>
      <w:tr>
        <w:trPr>
          <w:trHeight w:val="259" w:hRule="atLeast"/>
        </w:trPr>
        <w:tc>
          <w:tcPr>
            <w:tcW w:w="385" w:type="dxa"/>
            <w:vAlign w:val="top"/>
            <w:vMerge w:val="continue"/>
            <w:tcBorders>
              <w:top w:val="nil"/>
              <w:bottom w:val="nil"/>
            </w:tcBorders>
          </w:tcPr>
          <w:p>
            <w:pPr>
              <w:rPr>
                <w:rFonts w:ascii="Arial"/>
                <w:sz w:val="21"/>
              </w:rPr>
            </w:pPr>
            <w:r/>
          </w:p>
        </w:tc>
        <w:tc>
          <w:tcPr>
            <w:tcW w:w="1379" w:type="dxa"/>
            <w:vAlign w:val="top"/>
            <w:vMerge w:val="continue"/>
            <w:tcBorders>
              <w:top w:val="nil"/>
            </w:tcBorders>
          </w:tcPr>
          <w:p>
            <w:pPr>
              <w:rPr>
                <w:rFonts w:ascii="Arial"/>
                <w:sz w:val="21"/>
              </w:rPr>
            </w:pPr>
            <w:r/>
          </w:p>
        </w:tc>
        <w:tc>
          <w:tcPr>
            <w:tcW w:w="1588" w:type="dxa"/>
            <w:vAlign w:val="top"/>
          </w:tcPr>
          <w:p>
            <w:pPr>
              <w:pStyle w:val="TableText"/>
              <w:ind w:left="200"/>
              <w:spacing w:before="30" w:line="192" w:lineRule="auto"/>
              <w:rPr>
                <w:sz w:val="21"/>
                <w:szCs w:val="21"/>
              </w:rPr>
            </w:pPr>
            <w:r>
              <w:rPr>
                <w:sz w:val="21"/>
                <w:szCs w:val="21"/>
                <w:spacing w:val="6"/>
              </w:rPr>
              <w:t>产生量(t/a)</w:t>
            </w:r>
          </w:p>
        </w:tc>
        <w:tc>
          <w:tcPr>
            <w:tcW w:w="849" w:type="dxa"/>
            <w:vAlign w:val="top"/>
          </w:tcPr>
          <w:p>
            <w:pPr>
              <w:pStyle w:val="TableText"/>
              <w:ind w:left="42"/>
              <w:spacing w:before="51" w:line="174" w:lineRule="auto"/>
              <w:rPr>
                <w:sz w:val="21"/>
                <w:szCs w:val="21"/>
              </w:rPr>
            </w:pPr>
            <w:r>
              <w:rPr>
                <w:sz w:val="21"/>
                <w:szCs w:val="21"/>
                <w:spacing w:val="-2"/>
              </w:rPr>
              <w:t>303.345</w:t>
            </w:r>
          </w:p>
        </w:tc>
        <w:tc>
          <w:tcPr>
            <w:tcW w:w="759" w:type="dxa"/>
            <w:vAlign w:val="top"/>
          </w:tcPr>
          <w:p>
            <w:pPr>
              <w:pStyle w:val="TableText"/>
              <w:ind w:left="53"/>
              <w:spacing w:before="51" w:line="174" w:lineRule="auto"/>
              <w:rPr>
                <w:sz w:val="21"/>
                <w:szCs w:val="21"/>
              </w:rPr>
            </w:pPr>
            <w:r>
              <w:rPr>
                <w:sz w:val="21"/>
                <w:szCs w:val="21"/>
                <w:spacing w:val="-4"/>
              </w:rPr>
              <w:t>144.45</w:t>
            </w:r>
          </w:p>
        </w:tc>
        <w:tc>
          <w:tcPr>
            <w:tcW w:w="839" w:type="dxa"/>
            <w:vAlign w:val="top"/>
          </w:tcPr>
          <w:p>
            <w:pPr>
              <w:pStyle w:val="TableText"/>
              <w:ind w:left="94"/>
              <w:spacing w:before="51" w:line="174" w:lineRule="auto"/>
              <w:rPr>
                <w:sz w:val="21"/>
                <w:szCs w:val="21"/>
              </w:rPr>
            </w:pPr>
            <w:r>
              <w:rPr>
                <w:sz w:val="21"/>
                <w:szCs w:val="21"/>
                <w:spacing w:val="-4"/>
              </w:rPr>
              <w:t>144.45</w:t>
            </w:r>
          </w:p>
        </w:tc>
        <w:tc>
          <w:tcPr>
            <w:tcW w:w="729" w:type="dxa"/>
            <w:vAlign w:val="top"/>
          </w:tcPr>
          <w:p>
            <w:pPr>
              <w:pStyle w:val="TableText"/>
              <w:spacing w:before="51" w:line="174" w:lineRule="auto"/>
              <w:jc w:val="right"/>
              <w:rPr>
                <w:sz w:val="21"/>
                <w:szCs w:val="21"/>
              </w:rPr>
            </w:pPr>
            <w:r>
              <w:rPr>
                <w:sz w:val="21"/>
                <w:szCs w:val="21"/>
                <w:spacing w:val="-5"/>
              </w:rPr>
              <w:t>21.6675</w:t>
            </w:r>
          </w:p>
        </w:tc>
        <w:tc>
          <w:tcPr>
            <w:tcW w:w="669" w:type="dxa"/>
            <w:vAlign w:val="top"/>
          </w:tcPr>
          <w:p>
            <w:pPr>
              <w:pStyle w:val="TableText"/>
              <w:spacing w:before="51" w:line="174" w:lineRule="auto"/>
              <w:jc w:val="right"/>
              <w:rPr>
                <w:sz w:val="21"/>
                <w:szCs w:val="21"/>
              </w:rPr>
            </w:pPr>
            <w:r>
              <w:rPr>
                <w:sz w:val="21"/>
                <w:szCs w:val="21"/>
                <w:spacing w:val="-14"/>
              </w:rPr>
              <w:t>21.6675</w:t>
            </w:r>
          </w:p>
        </w:tc>
        <w:tc>
          <w:tcPr>
            <w:tcW w:w="569" w:type="dxa"/>
            <w:vAlign w:val="top"/>
          </w:tcPr>
          <w:p>
            <w:pPr>
              <w:pStyle w:val="TableText"/>
              <w:ind w:left="17"/>
              <w:spacing w:before="51" w:line="174" w:lineRule="auto"/>
              <w:rPr>
                <w:sz w:val="21"/>
                <w:szCs w:val="21"/>
              </w:rPr>
            </w:pPr>
            <w:r>
              <w:rPr>
                <w:sz w:val="21"/>
                <w:szCs w:val="21"/>
                <w:spacing w:val="-2"/>
              </w:rPr>
              <w:t>2.889</w:t>
            </w:r>
          </w:p>
        </w:tc>
        <w:tc>
          <w:tcPr>
            <w:tcW w:w="684" w:type="dxa"/>
            <w:vAlign w:val="top"/>
          </w:tcPr>
          <w:p>
            <w:pPr>
              <w:pStyle w:val="TableText"/>
              <w:ind w:left="68"/>
              <w:spacing w:before="51" w:line="174" w:lineRule="auto"/>
              <w:rPr>
                <w:sz w:val="21"/>
                <w:szCs w:val="21"/>
              </w:rPr>
            </w:pPr>
            <w:r>
              <w:rPr>
                <w:sz w:val="21"/>
                <w:szCs w:val="21"/>
                <w:spacing w:val="-2"/>
              </w:rPr>
              <w:t>28.89</w:t>
            </w:r>
          </w:p>
        </w:tc>
      </w:tr>
      <w:tr>
        <w:trPr>
          <w:trHeight w:val="280" w:hRule="atLeast"/>
        </w:trPr>
        <w:tc>
          <w:tcPr>
            <w:tcW w:w="385" w:type="dxa"/>
            <w:vAlign w:val="top"/>
            <w:vMerge w:val="continue"/>
            <w:tcBorders>
              <w:top w:val="nil"/>
              <w:bottom w:val="nil"/>
            </w:tcBorders>
          </w:tcPr>
          <w:p>
            <w:pPr>
              <w:rPr>
                <w:rFonts w:ascii="Arial"/>
                <w:sz w:val="21"/>
              </w:rPr>
            </w:pPr>
            <w:r/>
          </w:p>
        </w:tc>
        <w:tc>
          <w:tcPr>
            <w:tcW w:w="1379" w:type="dxa"/>
            <w:vAlign w:val="top"/>
            <w:vMerge w:val="restart"/>
            <w:tcBorders>
              <w:bottom w:val="nil"/>
            </w:tcBorders>
          </w:tcPr>
          <w:p>
            <w:pPr>
              <w:pStyle w:val="TableText"/>
              <w:ind w:left="469"/>
              <w:spacing w:before="31" w:line="219" w:lineRule="auto"/>
              <w:rPr>
                <w:sz w:val="21"/>
                <w:szCs w:val="21"/>
              </w:rPr>
            </w:pPr>
            <w:r>
              <w:rPr>
                <w:sz w:val="21"/>
                <w:szCs w:val="21"/>
                <w:color w:val="707080"/>
                <w:spacing w:val="4"/>
              </w:rPr>
              <w:t>旺季</w:t>
            </w:r>
          </w:p>
          <w:p>
            <w:pPr>
              <w:pStyle w:val="TableText"/>
              <w:ind w:left="9"/>
              <w:spacing w:before="43" w:line="197" w:lineRule="auto"/>
              <w:rPr>
                <w:sz w:val="21"/>
                <w:szCs w:val="21"/>
              </w:rPr>
            </w:pPr>
            <w:r>
              <w:rPr>
                <w:sz w:val="21"/>
                <w:szCs w:val="21"/>
                <w:spacing w:val="-4"/>
              </w:rPr>
              <w:t>(69528.6m³/a)</w:t>
            </w:r>
          </w:p>
        </w:tc>
        <w:tc>
          <w:tcPr>
            <w:tcW w:w="1588" w:type="dxa"/>
            <w:vAlign w:val="top"/>
          </w:tcPr>
          <w:p>
            <w:pPr>
              <w:pStyle w:val="TableText"/>
              <w:ind w:left="50"/>
              <w:spacing w:before="34" w:line="207" w:lineRule="auto"/>
              <w:rPr>
                <w:sz w:val="21"/>
                <w:szCs w:val="21"/>
              </w:rPr>
            </w:pPr>
            <w:r>
              <w:rPr>
                <w:sz w:val="21"/>
                <w:szCs w:val="21"/>
                <w:spacing w:val="5"/>
              </w:rPr>
              <w:t>产生浓度(</w:t>
            </w:r>
            <w:r>
              <w:rPr>
                <w:sz w:val="21"/>
                <w:szCs w:val="21"/>
              </w:rPr>
              <w:t>mg</w:t>
            </w:r>
            <w:r>
              <w:rPr>
                <w:sz w:val="21"/>
                <w:szCs w:val="21"/>
                <w:spacing w:val="5"/>
              </w:rPr>
              <w:t>/L)</w:t>
            </w:r>
          </w:p>
        </w:tc>
        <w:tc>
          <w:tcPr>
            <w:tcW w:w="849" w:type="dxa"/>
            <w:vAlign w:val="top"/>
          </w:tcPr>
          <w:p>
            <w:pPr>
              <w:pStyle w:val="TableText"/>
              <w:ind w:left="202"/>
              <w:spacing w:before="62" w:line="182" w:lineRule="auto"/>
              <w:rPr>
                <w:sz w:val="21"/>
                <w:szCs w:val="21"/>
              </w:rPr>
            </w:pPr>
            <w:r>
              <w:rPr>
                <w:sz w:val="21"/>
                <w:szCs w:val="21"/>
                <w:spacing w:val="-3"/>
              </w:rPr>
              <w:t>2100</w:t>
            </w:r>
          </w:p>
        </w:tc>
        <w:tc>
          <w:tcPr>
            <w:tcW w:w="759" w:type="dxa"/>
            <w:vAlign w:val="top"/>
          </w:tcPr>
          <w:p>
            <w:pPr>
              <w:pStyle w:val="TableText"/>
              <w:ind w:left="164"/>
              <w:spacing w:before="62" w:line="182" w:lineRule="auto"/>
              <w:rPr>
                <w:sz w:val="21"/>
                <w:szCs w:val="21"/>
              </w:rPr>
            </w:pPr>
            <w:r>
              <w:rPr>
                <w:sz w:val="21"/>
                <w:szCs w:val="21"/>
                <w:spacing w:val="-5"/>
              </w:rPr>
              <w:t>1000</w:t>
            </w:r>
          </w:p>
        </w:tc>
        <w:tc>
          <w:tcPr>
            <w:tcW w:w="839" w:type="dxa"/>
            <w:vAlign w:val="top"/>
          </w:tcPr>
          <w:p>
            <w:pPr>
              <w:pStyle w:val="TableText"/>
              <w:ind w:left="205"/>
              <w:spacing w:before="62" w:line="182" w:lineRule="auto"/>
              <w:rPr>
                <w:sz w:val="21"/>
                <w:szCs w:val="21"/>
              </w:rPr>
            </w:pPr>
            <w:r>
              <w:rPr>
                <w:sz w:val="21"/>
                <w:szCs w:val="21"/>
                <w:spacing w:val="-5"/>
              </w:rPr>
              <w:t>1000</w:t>
            </w:r>
          </w:p>
        </w:tc>
        <w:tc>
          <w:tcPr>
            <w:tcW w:w="729" w:type="dxa"/>
            <w:vAlign w:val="top"/>
          </w:tcPr>
          <w:p>
            <w:pPr>
              <w:pStyle w:val="TableText"/>
              <w:ind w:left="195"/>
              <w:spacing w:before="62" w:line="182" w:lineRule="auto"/>
              <w:rPr>
                <w:sz w:val="21"/>
                <w:szCs w:val="21"/>
              </w:rPr>
            </w:pPr>
            <w:r>
              <w:rPr>
                <w:sz w:val="21"/>
                <w:szCs w:val="21"/>
                <w:spacing w:val="-6"/>
              </w:rPr>
              <w:t>150</w:t>
            </w:r>
          </w:p>
        </w:tc>
        <w:tc>
          <w:tcPr>
            <w:tcW w:w="669" w:type="dxa"/>
            <w:vAlign w:val="top"/>
          </w:tcPr>
          <w:p>
            <w:pPr>
              <w:pStyle w:val="TableText"/>
              <w:ind w:left="166"/>
              <w:spacing w:before="62" w:line="182" w:lineRule="auto"/>
              <w:rPr>
                <w:sz w:val="21"/>
                <w:szCs w:val="21"/>
              </w:rPr>
            </w:pPr>
            <w:r>
              <w:rPr>
                <w:sz w:val="21"/>
                <w:szCs w:val="21"/>
                <w:spacing w:val="-6"/>
              </w:rPr>
              <w:t>150</w:t>
            </w:r>
          </w:p>
        </w:tc>
        <w:tc>
          <w:tcPr>
            <w:tcW w:w="569" w:type="dxa"/>
            <w:vAlign w:val="top"/>
          </w:tcPr>
          <w:p>
            <w:pPr>
              <w:pStyle w:val="TableText"/>
              <w:ind w:left="177"/>
              <w:spacing w:before="62" w:line="182" w:lineRule="auto"/>
              <w:rPr>
                <w:sz w:val="21"/>
                <w:szCs w:val="21"/>
              </w:rPr>
            </w:pPr>
            <w:r>
              <w:rPr>
                <w:sz w:val="21"/>
                <w:szCs w:val="21"/>
                <w:spacing w:val="-3"/>
              </w:rPr>
              <w:t>20</w:t>
            </w:r>
          </w:p>
        </w:tc>
        <w:tc>
          <w:tcPr>
            <w:tcW w:w="684" w:type="dxa"/>
            <w:vAlign w:val="top"/>
          </w:tcPr>
          <w:p>
            <w:pPr>
              <w:pStyle w:val="TableText"/>
              <w:ind w:left="178"/>
              <w:spacing w:before="62" w:line="182" w:lineRule="auto"/>
              <w:rPr>
                <w:sz w:val="21"/>
                <w:szCs w:val="21"/>
              </w:rPr>
            </w:pPr>
            <w:r>
              <w:rPr>
                <w:sz w:val="21"/>
                <w:szCs w:val="21"/>
                <w:spacing w:val="-3"/>
              </w:rPr>
              <w:t>200</w:t>
            </w:r>
          </w:p>
        </w:tc>
      </w:tr>
      <w:tr>
        <w:trPr>
          <w:trHeight w:val="269" w:hRule="atLeast"/>
        </w:trPr>
        <w:tc>
          <w:tcPr>
            <w:tcW w:w="385" w:type="dxa"/>
            <w:vAlign w:val="top"/>
            <w:vMerge w:val="continue"/>
            <w:tcBorders>
              <w:top w:val="nil"/>
              <w:bottom w:val="nil"/>
            </w:tcBorders>
          </w:tcPr>
          <w:p>
            <w:pPr>
              <w:rPr>
                <w:rFonts w:ascii="Arial"/>
                <w:sz w:val="21"/>
              </w:rPr>
            </w:pPr>
            <w:r/>
          </w:p>
        </w:tc>
        <w:tc>
          <w:tcPr>
            <w:tcW w:w="1379" w:type="dxa"/>
            <w:vAlign w:val="top"/>
            <w:vMerge w:val="continue"/>
            <w:tcBorders>
              <w:top w:val="nil"/>
            </w:tcBorders>
          </w:tcPr>
          <w:p>
            <w:pPr>
              <w:rPr>
                <w:rFonts w:ascii="Arial"/>
                <w:sz w:val="21"/>
              </w:rPr>
            </w:pPr>
            <w:r/>
          </w:p>
        </w:tc>
        <w:tc>
          <w:tcPr>
            <w:tcW w:w="1588" w:type="dxa"/>
            <w:vAlign w:val="top"/>
          </w:tcPr>
          <w:p>
            <w:pPr>
              <w:pStyle w:val="TableText"/>
              <w:ind w:left="260"/>
              <w:spacing w:before="31" w:line="200" w:lineRule="auto"/>
              <w:rPr>
                <w:sz w:val="21"/>
                <w:szCs w:val="21"/>
              </w:rPr>
            </w:pPr>
            <w:r>
              <w:rPr>
                <w:sz w:val="21"/>
                <w:szCs w:val="21"/>
                <w:spacing w:val="9"/>
              </w:rPr>
              <w:t>产生量(</w:t>
            </w:r>
            <w:r>
              <w:rPr>
                <w:sz w:val="21"/>
                <w:szCs w:val="21"/>
              </w:rPr>
              <w:t>ta</w:t>
            </w:r>
            <w:r>
              <w:rPr>
                <w:sz w:val="21"/>
                <w:szCs w:val="21"/>
                <w:spacing w:val="9"/>
              </w:rPr>
              <w:t>)</w:t>
            </w:r>
          </w:p>
        </w:tc>
        <w:tc>
          <w:tcPr>
            <w:tcW w:w="849" w:type="dxa"/>
            <w:vAlign w:val="top"/>
          </w:tcPr>
          <w:p>
            <w:pPr>
              <w:pStyle w:val="TableText"/>
              <w:ind w:left="12"/>
              <w:spacing w:before="53" w:line="181" w:lineRule="auto"/>
              <w:rPr>
                <w:sz w:val="21"/>
                <w:szCs w:val="21"/>
              </w:rPr>
            </w:pPr>
            <w:r>
              <w:rPr>
                <w:sz w:val="21"/>
                <w:szCs w:val="21"/>
                <w:spacing w:val="-3"/>
              </w:rPr>
              <w:t>146.0101</w:t>
            </w:r>
          </w:p>
        </w:tc>
        <w:tc>
          <w:tcPr>
            <w:tcW w:w="759" w:type="dxa"/>
            <w:vAlign w:val="top"/>
          </w:tcPr>
          <w:p>
            <w:pPr>
              <w:pStyle w:val="TableText"/>
              <w:ind w:left="3"/>
              <w:spacing w:before="53" w:line="181" w:lineRule="auto"/>
              <w:rPr>
                <w:sz w:val="21"/>
                <w:szCs w:val="21"/>
              </w:rPr>
            </w:pPr>
            <w:r>
              <w:rPr>
                <w:sz w:val="21"/>
                <w:szCs w:val="21"/>
                <w:spacing w:val="-2"/>
              </w:rPr>
              <w:t>69.5286</w:t>
            </w:r>
          </w:p>
        </w:tc>
        <w:tc>
          <w:tcPr>
            <w:tcW w:w="839" w:type="dxa"/>
            <w:vAlign w:val="top"/>
          </w:tcPr>
          <w:p>
            <w:pPr>
              <w:pStyle w:val="TableText"/>
              <w:ind w:left="44"/>
              <w:spacing w:before="53" w:line="181" w:lineRule="auto"/>
              <w:rPr>
                <w:sz w:val="21"/>
                <w:szCs w:val="21"/>
              </w:rPr>
            </w:pPr>
            <w:r>
              <w:rPr>
                <w:sz w:val="21"/>
                <w:szCs w:val="21"/>
                <w:spacing w:val="-2"/>
              </w:rPr>
              <w:t>69.5286</w:t>
            </w:r>
          </w:p>
        </w:tc>
        <w:tc>
          <w:tcPr>
            <w:tcW w:w="729" w:type="dxa"/>
            <w:vAlign w:val="top"/>
          </w:tcPr>
          <w:p>
            <w:pPr>
              <w:pStyle w:val="TableText"/>
              <w:spacing w:before="53" w:line="181" w:lineRule="auto"/>
              <w:jc w:val="right"/>
              <w:rPr>
                <w:sz w:val="21"/>
                <w:szCs w:val="21"/>
              </w:rPr>
            </w:pPr>
            <w:r>
              <w:rPr>
                <w:sz w:val="21"/>
                <w:szCs w:val="21"/>
                <w:spacing w:val="-5"/>
              </w:rPr>
              <w:t>10.4293</w:t>
            </w:r>
          </w:p>
        </w:tc>
        <w:tc>
          <w:tcPr>
            <w:tcW w:w="669" w:type="dxa"/>
            <w:vAlign w:val="top"/>
          </w:tcPr>
          <w:p>
            <w:pPr>
              <w:pStyle w:val="TableText"/>
              <w:spacing w:before="53" w:line="181" w:lineRule="auto"/>
              <w:jc w:val="right"/>
              <w:rPr>
                <w:sz w:val="21"/>
                <w:szCs w:val="21"/>
              </w:rPr>
            </w:pPr>
            <w:r>
              <w:rPr>
                <w:sz w:val="21"/>
                <w:szCs w:val="21"/>
                <w:spacing w:val="-14"/>
              </w:rPr>
              <w:t>10.4293</w:t>
            </w:r>
          </w:p>
        </w:tc>
        <w:tc>
          <w:tcPr>
            <w:tcW w:w="569" w:type="dxa"/>
            <w:vAlign w:val="top"/>
          </w:tcPr>
          <w:p>
            <w:pPr>
              <w:pStyle w:val="TableText"/>
              <w:spacing w:before="53" w:line="181" w:lineRule="auto"/>
              <w:jc w:val="right"/>
              <w:rPr>
                <w:sz w:val="21"/>
                <w:szCs w:val="21"/>
              </w:rPr>
            </w:pPr>
            <w:r>
              <w:rPr>
                <w:sz w:val="21"/>
                <w:szCs w:val="21"/>
                <w:spacing w:val="-16"/>
              </w:rPr>
              <w:t>1.39</w:t>
            </w:r>
            <w:r>
              <w:rPr>
                <w:sz w:val="21"/>
                <w:szCs w:val="21"/>
                <w:spacing w:val="-15"/>
              </w:rPr>
              <w:t>0</w:t>
            </w:r>
            <w:r>
              <w:rPr>
                <w:sz w:val="21"/>
                <w:szCs w:val="21"/>
                <w:spacing w:val="-11"/>
              </w:rPr>
              <w:t>6</w:t>
            </w:r>
          </w:p>
        </w:tc>
        <w:tc>
          <w:tcPr>
            <w:tcW w:w="684" w:type="dxa"/>
            <w:vAlign w:val="top"/>
          </w:tcPr>
          <w:p>
            <w:pPr>
              <w:pStyle w:val="TableText"/>
              <w:spacing w:before="53" w:line="181" w:lineRule="auto"/>
              <w:jc w:val="right"/>
              <w:rPr>
                <w:sz w:val="21"/>
                <w:szCs w:val="21"/>
              </w:rPr>
            </w:pPr>
            <w:r>
              <w:rPr>
                <w:sz w:val="21"/>
                <w:szCs w:val="21"/>
                <w:spacing w:val="-12"/>
              </w:rPr>
              <w:t>13.9057</w:t>
            </w:r>
          </w:p>
        </w:tc>
      </w:tr>
      <w:tr>
        <w:trPr>
          <w:trHeight w:val="279" w:hRule="atLeast"/>
        </w:trPr>
        <w:tc>
          <w:tcPr>
            <w:tcW w:w="385" w:type="dxa"/>
            <w:vAlign w:val="top"/>
            <w:vMerge w:val="continue"/>
            <w:tcBorders>
              <w:top w:val="nil"/>
              <w:bottom w:val="nil"/>
            </w:tcBorders>
          </w:tcPr>
          <w:p>
            <w:pPr>
              <w:rPr>
                <w:rFonts w:ascii="Arial"/>
                <w:sz w:val="21"/>
              </w:rPr>
            </w:pPr>
            <w:r/>
          </w:p>
        </w:tc>
        <w:tc>
          <w:tcPr>
            <w:tcW w:w="1379" w:type="dxa"/>
            <w:vAlign w:val="top"/>
            <w:vMerge w:val="restart"/>
            <w:tcBorders>
              <w:bottom w:val="nil"/>
            </w:tcBorders>
          </w:tcPr>
          <w:p>
            <w:pPr>
              <w:pStyle w:val="TableText"/>
              <w:ind w:left="469"/>
              <w:spacing w:before="32" w:line="219" w:lineRule="auto"/>
              <w:rPr>
                <w:sz w:val="21"/>
                <w:szCs w:val="21"/>
              </w:rPr>
            </w:pPr>
            <w:r>
              <w:rPr>
                <w:sz w:val="21"/>
                <w:szCs w:val="21"/>
                <w:spacing w:val="-3"/>
              </w:rPr>
              <w:t>全年</w:t>
            </w:r>
          </w:p>
          <w:p>
            <w:pPr>
              <w:pStyle w:val="TableText"/>
              <w:spacing w:before="24" w:line="205" w:lineRule="auto"/>
              <w:jc w:val="right"/>
              <w:rPr>
                <w:sz w:val="21"/>
                <w:szCs w:val="21"/>
              </w:rPr>
            </w:pPr>
            <w:r>
              <w:rPr>
                <w:sz w:val="21"/>
                <w:szCs w:val="21"/>
                <w:spacing w:val="-8"/>
              </w:rPr>
              <w:t>(213978.6m³/a)</w:t>
            </w:r>
          </w:p>
        </w:tc>
        <w:tc>
          <w:tcPr>
            <w:tcW w:w="1588" w:type="dxa"/>
            <w:vAlign w:val="top"/>
          </w:tcPr>
          <w:p>
            <w:pPr>
              <w:pStyle w:val="TableText"/>
              <w:ind w:left="50"/>
              <w:spacing w:before="35" w:line="205" w:lineRule="auto"/>
              <w:rPr>
                <w:sz w:val="21"/>
                <w:szCs w:val="21"/>
              </w:rPr>
            </w:pPr>
            <w:r>
              <w:rPr>
                <w:sz w:val="21"/>
                <w:szCs w:val="21"/>
                <w:spacing w:val="5"/>
              </w:rPr>
              <w:t>产生浓度(</w:t>
            </w:r>
            <w:r>
              <w:rPr>
                <w:sz w:val="21"/>
                <w:szCs w:val="21"/>
              </w:rPr>
              <w:t>mg</w:t>
            </w:r>
            <w:r>
              <w:rPr>
                <w:sz w:val="21"/>
                <w:szCs w:val="21"/>
                <w:spacing w:val="5"/>
              </w:rPr>
              <w:t>/L)</w:t>
            </w:r>
          </w:p>
        </w:tc>
        <w:tc>
          <w:tcPr>
            <w:tcW w:w="849" w:type="dxa"/>
            <w:vAlign w:val="top"/>
          </w:tcPr>
          <w:p>
            <w:pPr>
              <w:pStyle w:val="TableText"/>
              <w:ind w:left="202"/>
              <w:spacing w:before="63" w:line="181" w:lineRule="auto"/>
              <w:rPr>
                <w:sz w:val="21"/>
                <w:szCs w:val="21"/>
              </w:rPr>
            </w:pPr>
            <w:r>
              <w:rPr>
                <w:sz w:val="21"/>
                <w:szCs w:val="21"/>
                <w:spacing w:val="-3"/>
              </w:rPr>
              <w:t>2100</w:t>
            </w:r>
          </w:p>
        </w:tc>
        <w:tc>
          <w:tcPr>
            <w:tcW w:w="759" w:type="dxa"/>
            <w:vAlign w:val="top"/>
          </w:tcPr>
          <w:p>
            <w:pPr>
              <w:pStyle w:val="TableText"/>
              <w:ind w:left="164"/>
              <w:spacing w:before="63" w:line="181" w:lineRule="auto"/>
              <w:rPr>
                <w:sz w:val="21"/>
                <w:szCs w:val="21"/>
              </w:rPr>
            </w:pPr>
            <w:r>
              <w:rPr>
                <w:sz w:val="21"/>
                <w:szCs w:val="21"/>
                <w:spacing w:val="-5"/>
              </w:rPr>
              <w:t>1000</w:t>
            </w:r>
          </w:p>
        </w:tc>
        <w:tc>
          <w:tcPr>
            <w:tcW w:w="839" w:type="dxa"/>
            <w:vAlign w:val="top"/>
          </w:tcPr>
          <w:p>
            <w:pPr>
              <w:pStyle w:val="TableText"/>
              <w:ind w:left="205"/>
              <w:spacing w:before="63" w:line="181" w:lineRule="auto"/>
              <w:rPr>
                <w:sz w:val="21"/>
                <w:szCs w:val="21"/>
              </w:rPr>
            </w:pPr>
            <w:r>
              <w:rPr>
                <w:sz w:val="21"/>
                <w:szCs w:val="21"/>
                <w:spacing w:val="-5"/>
              </w:rPr>
              <w:t>1000</w:t>
            </w:r>
          </w:p>
        </w:tc>
        <w:tc>
          <w:tcPr>
            <w:tcW w:w="729" w:type="dxa"/>
            <w:vAlign w:val="top"/>
          </w:tcPr>
          <w:p>
            <w:pPr>
              <w:pStyle w:val="TableText"/>
              <w:ind w:left="195"/>
              <w:spacing w:before="63" w:line="181" w:lineRule="auto"/>
              <w:rPr>
                <w:sz w:val="21"/>
                <w:szCs w:val="21"/>
              </w:rPr>
            </w:pPr>
            <w:r>
              <w:rPr>
                <w:sz w:val="21"/>
                <w:szCs w:val="21"/>
                <w:spacing w:val="-6"/>
              </w:rPr>
              <w:t>150</w:t>
            </w:r>
          </w:p>
        </w:tc>
        <w:tc>
          <w:tcPr>
            <w:tcW w:w="669" w:type="dxa"/>
            <w:vAlign w:val="top"/>
          </w:tcPr>
          <w:p>
            <w:pPr>
              <w:pStyle w:val="TableText"/>
              <w:ind w:left="166"/>
              <w:spacing w:before="63" w:line="181" w:lineRule="auto"/>
              <w:rPr>
                <w:sz w:val="21"/>
                <w:szCs w:val="21"/>
              </w:rPr>
            </w:pPr>
            <w:r>
              <w:rPr>
                <w:sz w:val="21"/>
                <w:szCs w:val="21"/>
                <w:spacing w:val="-6"/>
              </w:rPr>
              <w:t>150</w:t>
            </w:r>
          </w:p>
        </w:tc>
        <w:tc>
          <w:tcPr>
            <w:tcW w:w="569" w:type="dxa"/>
            <w:vAlign w:val="top"/>
          </w:tcPr>
          <w:p>
            <w:pPr>
              <w:pStyle w:val="TableText"/>
              <w:ind w:left="177"/>
              <w:spacing w:before="63" w:line="181" w:lineRule="auto"/>
              <w:rPr>
                <w:sz w:val="21"/>
                <w:szCs w:val="21"/>
              </w:rPr>
            </w:pPr>
            <w:r>
              <w:rPr>
                <w:sz w:val="21"/>
                <w:szCs w:val="21"/>
                <w:spacing w:val="-3"/>
              </w:rPr>
              <w:t>20</w:t>
            </w:r>
          </w:p>
        </w:tc>
        <w:tc>
          <w:tcPr>
            <w:tcW w:w="684" w:type="dxa"/>
            <w:vAlign w:val="top"/>
          </w:tcPr>
          <w:p>
            <w:pPr>
              <w:pStyle w:val="TableText"/>
              <w:ind w:left="178"/>
              <w:spacing w:before="63" w:line="181" w:lineRule="auto"/>
              <w:rPr>
                <w:sz w:val="21"/>
                <w:szCs w:val="21"/>
              </w:rPr>
            </w:pPr>
            <w:r>
              <w:rPr>
                <w:sz w:val="21"/>
                <w:szCs w:val="21"/>
                <w:spacing w:val="-3"/>
              </w:rPr>
              <w:t>200</w:t>
            </w:r>
          </w:p>
        </w:tc>
      </w:tr>
      <w:tr>
        <w:trPr>
          <w:trHeight w:val="260" w:hRule="atLeast"/>
        </w:trPr>
        <w:tc>
          <w:tcPr>
            <w:tcW w:w="385" w:type="dxa"/>
            <w:vAlign w:val="top"/>
            <w:vMerge w:val="continue"/>
            <w:tcBorders>
              <w:top w:val="nil"/>
            </w:tcBorders>
          </w:tcPr>
          <w:p>
            <w:pPr>
              <w:rPr>
                <w:rFonts w:ascii="Arial"/>
                <w:sz w:val="21"/>
              </w:rPr>
            </w:pPr>
            <w:r/>
          </w:p>
        </w:tc>
        <w:tc>
          <w:tcPr>
            <w:tcW w:w="1379" w:type="dxa"/>
            <w:vAlign w:val="top"/>
            <w:vMerge w:val="continue"/>
            <w:tcBorders>
              <w:top w:val="nil"/>
            </w:tcBorders>
          </w:tcPr>
          <w:p>
            <w:pPr>
              <w:rPr>
                <w:rFonts w:ascii="Arial"/>
                <w:sz w:val="21"/>
              </w:rPr>
            </w:pPr>
            <w:r/>
          </w:p>
        </w:tc>
        <w:tc>
          <w:tcPr>
            <w:tcW w:w="1588" w:type="dxa"/>
            <w:vAlign w:val="top"/>
          </w:tcPr>
          <w:p>
            <w:pPr>
              <w:pStyle w:val="TableText"/>
              <w:ind w:left="260"/>
              <w:spacing w:before="33" w:line="190" w:lineRule="auto"/>
              <w:rPr>
                <w:sz w:val="21"/>
                <w:szCs w:val="21"/>
              </w:rPr>
            </w:pPr>
            <w:r>
              <w:rPr>
                <w:sz w:val="21"/>
                <w:szCs w:val="21"/>
                <w:spacing w:val="9"/>
              </w:rPr>
              <w:t>产生量(</w:t>
            </w:r>
            <w:r>
              <w:rPr>
                <w:sz w:val="21"/>
                <w:szCs w:val="21"/>
              </w:rPr>
              <w:t>ta</w:t>
            </w:r>
            <w:r>
              <w:rPr>
                <w:sz w:val="21"/>
                <w:szCs w:val="21"/>
                <w:spacing w:val="9"/>
              </w:rPr>
              <w:t>)</w:t>
            </w:r>
          </w:p>
        </w:tc>
        <w:tc>
          <w:tcPr>
            <w:tcW w:w="849" w:type="dxa"/>
            <w:vAlign w:val="top"/>
          </w:tcPr>
          <w:p>
            <w:pPr>
              <w:pStyle w:val="TableText"/>
              <w:spacing w:before="54" w:line="172" w:lineRule="auto"/>
              <w:jc w:val="right"/>
              <w:rPr>
                <w:sz w:val="21"/>
                <w:szCs w:val="21"/>
              </w:rPr>
            </w:pPr>
            <w:r>
              <w:rPr>
                <w:sz w:val="21"/>
                <w:szCs w:val="21"/>
                <w:spacing w:val="-2"/>
              </w:rPr>
              <w:t>449.3551</w:t>
            </w:r>
          </w:p>
        </w:tc>
        <w:tc>
          <w:tcPr>
            <w:tcW w:w="759" w:type="dxa"/>
            <w:vAlign w:val="top"/>
          </w:tcPr>
          <w:p>
            <w:pPr>
              <w:pStyle w:val="TableText"/>
              <w:spacing w:before="54" w:line="172" w:lineRule="auto"/>
              <w:jc w:val="right"/>
              <w:rPr>
                <w:sz w:val="21"/>
                <w:szCs w:val="21"/>
              </w:rPr>
            </w:pPr>
            <w:r>
              <w:rPr>
                <w:sz w:val="21"/>
                <w:szCs w:val="21"/>
                <w:spacing w:val="-15"/>
              </w:rPr>
              <w:t>213</w:t>
            </w:r>
            <w:r>
              <w:rPr>
                <w:sz w:val="21"/>
                <w:szCs w:val="21"/>
                <w:spacing w:val="-14"/>
              </w:rPr>
              <w:t>.978</w:t>
            </w:r>
            <w:r>
              <w:rPr>
                <w:sz w:val="21"/>
                <w:szCs w:val="21"/>
                <w:spacing w:val="-11"/>
              </w:rPr>
              <w:t>6</w:t>
            </w:r>
          </w:p>
        </w:tc>
        <w:tc>
          <w:tcPr>
            <w:tcW w:w="839" w:type="dxa"/>
            <w:vAlign w:val="top"/>
          </w:tcPr>
          <w:p>
            <w:pPr>
              <w:pStyle w:val="TableText"/>
              <w:spacing w:before="54" w:line="172" w:lineRule="auto"/>
              <w:jc w:val="right"/>
              <w:rPr>
                <w:sz w:val="21"/>
                <w:szCs w:val="21"/>
              </w:rPr>
            </w:pPr>
            <w:r>
              <w:rPr>
                <w:sz w:val="21"/>
                <w:szCs w:val="21"/>
                <w:spacing w:val="-4"/>
              </w:rPr>
              <w:t>213.9786</w:t>
            </w:r>
          </w:p>
        </w:tc>
        <w:tc>
          <w:tcPr>
            <w:tcW w:w="729" w:type="dxa"/>
            <w:vAlign w:val="top"/>
          </w:tcPr>
          <w:p>
            <w:pPr>
              <w:pStyle w:val="TableText"/>
              <w:spacing w:before="54" w:line="172" w:lineRule="auto"/>
              <w:jc w:val="right"/>
              <w:rPr>
                <w:sz w:val="21"/>
                <w:szCs w:val="21"/>
              </w:rPr>
            </w:pPr>
            <w:r>
              <w:rPr>
                <w:sz w:val="21"/>
                <w:szCs w:val="21"/>
                <w:spacing w:val="-5"/>
              </w:rPr>
              <w:t>32.0968</w:t>
            </w:r>
          </w:p>
        </w:tc>
        <w:tc>
          <w:tcPr>
            <w:tcW w:w="669" w:type="dxa"/>
            <w:vAlign w:val="top"/>
          </w:tcPr>
          <w:p>
            <w:pPr>
              <w:pStyle w:val="TableText"/>
              <w:spacing w:before="54" w:line="172" w:lineRule="auto"/>
              <w:jc w:val="right"/>
              <w:rPr>
                <w:sz w:val="21"/>
                <w:szCs w:val="21"/>
              </w:rPr>
            </w:pPr>
            <w:r>
              <w:rPr>
                <w:sz w:val="21"/>
                <w:szCs w:val="21"/>
                <w:spacing w:val="-15"/>
              </w:rPr>
              <w:t>3</w:t>
            </w:r>
            <w:r>
              <w:rPr>
                <w:sz w:val="21"/>
                <w:szCs w:val="21"/>
                <w:spacing w:val="-14"/>
              </w:rPr>
              <w:t>2.096</w:t>
            </w:r>
            <w:r>
              <w:rPr>
                <w:sz w:val="21"/>
                <w:szCs w:val="21"/>
                <w:spacing w:val="-13"/>
              </w:rPr>
              <w:t>8</w:t>
            </w:r>
          </w:p>
        </w:tc>
        <w:tc>
          <w:tcPr>
            <w:tcW w:w="569" w:type="dxa"/>
            <w:vAlign w:val="top"/>
          </w:tcPr>
          <w:p>
            <w:pPr>
              <w:pStyle w:val="TableText"/>
              <w:spacing w:before="54" w:line="172" w:lineRule="auto"/>
              <w:jc w:val="right"/>
              <w:rPr>
                <w:sz w:val="21"/>
                <w:szCs w:val="21"/>
              </w:rPr>
            </w:pPr>
            <w:r>
              <w:rPr>
                <w:sz w:val="21"/>
                <w:szCs w:val="21"/>
                <w:spacing w:val="-16"/>
              </w:rPr>
              <w:t>4.27</w:t>
            </w:r>
            <w:r>
              <w:rPr>
                <w:sz w:val="21"/>
                <w:szCs w:val="21"/>
                <w:spacing w:val="-15"/>
              </w:rPr>
              <w:t>9</w:t>
            </w:r>
            <w:r>
              <w:rPr>
                <w:sz w:val="21"/>
                <w:szCs w:val="21"/>
                <w:spacing w:val="-11"/>
              </w:rPr>
              <w:t>6</w:t>
            </w:r>
          </w:p>
        </w:tc>
        <w:tc>
          <w:tcPr>
            <w:tcW w:w="684" w:type="dxa"/>
            <w:vAlign w:val="top"/>
          </w:tcPr>
          <w:p>
            <w:pPr>
              <w:pStyle w:val="TableText"/>
              <w:spacing w:before="54" w:line="172" w:lineRule="auto"/>
              <w:jc w:val="right"/>
              <w:rPr>
                <w:sz w:val="21"/>
                <w:szCs w:val="21"/>
              </w:rPr>
            </w:pPr>
            <w:r>
              <w:rPr>
                <w:sz w:val="21"/>
                <w:szCs w:val="21"/>
                <w:spacing w:val="-12"/>
              </w:rPr>
              <w:t>42.7957</w:t>
            </w:r>
          </w:p>
        </w:tc>
      </w:tr>
      <w:tr>
        <w:trPr>
          <w:trHeight w:val="279" w:hRule="atLeast"/>
        </w:trPr>
        <w:tc>
          <w:tcPr>
            <w:tcW w:w="385" w:type="dxa"/>
            <w:vAlign w:val="top"/>
            <w:vMerge w:val="restart"/>
            <w:tcBorders>
              <w:bottom w:val="nil"/>
            </w:tcBorders>
          </w:tcPr>
          <w:p>
            <w:pPr>
              <w:spacing w:line="339" w:lineRule="auto"/>
              <w:rPr>
                <w:rFonts w:ascii="Arial"/>
                <w:sz w:val="21"/>
              </w:rPr>
            </w:pPr>
            <w:r/>
          </w:p>
          <w:p>
            <w:pPr>
              <w:spacing w:line="340" w:lineRule="auto"/>
              <w:rPr>
                <w:rFonts w:ascii="Arial"/>
                <w:sz w:val="21"/>
              </w:rPr>
            </w:pPr>
            <w:r/>
          </w:p>
          <w:p>
            <w:pPr>
              <w:pStyle w:val="TableText"/>
              <w:spacing w:before="68" w:line="221" w:lineRule="auto"/>
              <w:jc w:val="right"/>
              <w:rPr>
                <w:sz w:val="21"/>
                <w:szCs w:val="21"/>
              </w:rPr>
            </w:pPr>
            <w:r>
              <w:rPr>
                <w:sz w:val="21"/>
                <w:szCs w:val="21"/>
                <w:b/>
                <w:bCs/>
                <w:spacing w:val="-57"/>
              </w:rPr>
              <w:t>肉</w:t>
            </w:r>
            <w:r>
              <w:rPr>
                <w:sz w:val="21"/>
                <w:szCs w:val="21"/>
                <w:b/>
                <w:bCs/>
                <w:spacing w:val="-13"/>
              </w:rPr>
              <w:t>牛</w:t>
            </w:r>
          </w:p>
        </w:tc>
        <w:tc>
          <w:tcPr>
            <w:tcW w:w="1379" w:type="dxa"/>
            <w:vAlign w:val="top"/>
            <w:vMerge w:val="restart"/>
            <w:tcBorders>
              <w:bottom w:val="nil"/>
            </w:tcBorders>
          </w:tcPr>
          <w:p>
            <w:pPr>
              <w:pStyle w:val="TableText"/>
              <w:ind w:left="469"/>
              <w:spacing w:before="42" w:line="219" w:lineRule="auto"/>
              <w:rPr>
                <w:sz w:val="21"/>
                <w:szCs w:val="21"/>
              </w:rPr>
            </w:pPr>
            <w:r>
              <w:rPr>
                <w:sz w:val="21"/>
                <w:szCs w:val="21"/>
                <w:color w:val="404040"/>
                <w:spacing w:val="4"/>
              </w:rPr>
              <w:t>淡季</w:t>
            </w:r>
          </w:p>
          <w:p>
            <w:pPr>
              <w:pStyle w:val="TableText"/>
              <w:ind w:left="49"/>
              <w:spacing w:before="25" w:line="203" w:lineRule="auto"/>
              <w:rPr>
                <w:sz w:val="21"/>
                <w:szCs w:val="21"/>
              </w:rPr>
            </w:pPr>
            <w:r>
              <w:rPr>
                <w:sz w:val="21"/>
                <w:szCs w:val="21"/>
                <w:spacing w:val="-4"/>
              </w:rPr>
              <w:t>(25407m³/a)</w:t>
            </w:r>
          </w:p>
        </w:tc>
        <w:tc>
          <w:tcPr>
            <w:tcW w:w="1588" w:type="dxa"/>
            <w:vAlign w:val="top"/>
          </w:tcPr>
          <w:p>
            <w:pPr>
              <w:pStyle w:val="TableText"/>
              <w:ind w:left="50"/>
              <w:spacing w:before="36" w:line="204" w:lineRule="auto"/>
              <w:rPr>
                <w:sz w:val="21"/>
                <w:szCs w:val="21"/>
              </w:rPr>
            </w:pPr>
            <w:r>
              <w:rPr>
                <w:sz w:val="21"/>
                <w:szCs w:val="21"/>
                <w:spacing w:val="5"/>
              </w:rPr>
              <w:t>产生浓度(</w:t>
            </w:r>
            <w:r>
              <w:rPr>
                <w:sz w:val="21"/>
                <w:szCs w:val="21"/>
              </w:rPr>
              <w:t>mg</w:t>
            </w:r>
            <w:r>
              <w:rPr>
                <w:sz w:val="21"/>
                <w:szCs w:val="21"/>
                <w:spacing w:val="5"/>
              </w:rPr>
              <w:t>/L)</w:t>
            </w:r>
          </w:p>
        </w:tc>
        <w:tc>
          <w:tcPr>
            <w:tcW w:w="849" w:type="dxa"/>
            <w:vAlign w:val="top"/>
          </w:tcPr>
          <w:p>
            <w:pPr>
              <w:pStyle w:val="TableText"/>
              <w:ind w:left="202"/>
              <w:spacing w:before="64" w:line="180" w:lineRule="auto"/>
              <w:rPr>
                <w:sz w:val="21"/>
                <w:szCs w:val="21"/>
              </w:rPr>
            </w:pPr>
            <w:r>
              <w:rPr>
                <w:sz w:val="21"/>
                <w:szCs w:val="21"/>
                <w:spacing w:val="-3"/>
              </w:rPr>
              <w:t>2000</w:t>
            </w:r>
          </w:p>
        </w:tc>
        <w:tc>
          <w:tcPr>
            <w:tcW w:w="759" w:type="dxa"/>
            <w:vAlign w:val="top"/>
          </w:tcPr>
          <w:p>
            <w:pPr>
              <w:pStyle w:val="TableText"/>
              <w:ind w:left="213"/>
              <w:spacing w:before="64" w:line="180" w:lineRule="auto"/>
              <w:rPr>
                <w:sz w:val="21"/>
                <w:szCs w:val="21"/>
              </w:rPr>
            </w:pPr>
            <w:r>
              <w:rPr>
                <w:sz w:val="21"/>
                <w:szCs w:val="21"/>
                <w:spacing w:val="-3"/>
              </w:rPr>
              <w:t>600</w:t>
            </w:r>
          </w:p>
        </w:tc>
        <w:tc>
          <w:tcPr>
            <w:tcW w:w="839" w:type="dxa"/>
            <w:vAlign w:val="top"/>
          </w:tcPr>
          <w:p>
            <w:pPr>
              <w:pStyle w:val="TableText"/>
              <w:ind w:left="254"/>
              <w:spacing w:before="64" w:line="180" w:lineRule="auto"/>
              <w:rPr>
                <w:sz w:val="21"/>
                <w:szCs w:val="21"/>
              </w:rPr>
            </w:pPr>
            <w:r>
              <w:rPr>
                <w:sz w:val="21"/>
                <w:szCs w:val="21"/>
                <w:spacing w:val="-3"/>
              </w:rPr>
              <w:t>350</w:t>
            </w:r>
          </w:p>
        </w:tc>
        <w:tc>
          <w:tcPr>
            <w:tcW w:w="729" w:type="dxa"/>
            <w:vAlign w:val="top"/>
          </w:tcPr>
          <w:p>
            <w:pPr>
              <w:pStyle w:val="TableText"/>
              <w:ind w:left="195"/>
              <w:spacing w:before="64" w:line="180" w:lineRule="auto"/>
              <w:rPr>
                <w:sz w:val="21"/>
                <w:szCs w:val="21"/>
              </w:rPr>
            </w:pPr>
            <w:r>
              <w:rPr>
                <w:sz w:val="21"/>
                <w:szCs w:val="21"/>
                <w:spacing w:val="-3"/>
              </w:rPr>
              <w:t>200</w:t>
            </w:r>
          </w:p>
        </w:tc>
        <w:tc>
          <w:tcPr>
            <w:tcW w:w="669" w:type="dxa"/>
            <w:vAlign w:val="top"/>
          </w:tcPr>
          <w:p>
            <w:pPr>
              <w:pStyle w:val="TableText"/>
              <w:ind w:left="166"/>
              <w:spacing w:before="64" w:line="180" w:lineRule="auto"/>
              <w:rPr>
                <w:sz w:val="21"/>
                <w:szCs w:val="21"/>
              </w:rPr>
            </w:pPr>
            <w:r>
              <w:rPr>
                <w:sz w:val="21"/>
                <w:szCs w:val="21"/>
                <w:spacing w:val="-3"/>
              </w:rPr>
              <w:t>300</w:t>
            </w:r>
          </w:p>
        </w:tc>
        <w:tc>
          <w:tcPr>
            <w:tcW w:w="569" w:type="dxa"/>
            <w:vAlign w:val="top"/>
          </w:tcPr>
          <w:p>
            <w:pPr>
              <w:pStyle w:val="TableText"/>
              <w:ind w:left="177"/>
              <w:spacing w:before="64" w:line="180" w:lineRule="auto"/>
              <w:rPr>
                <w:sz w:val="21"/>
                <w:szCs w:val="21"/>
              </w:rPr>
            </w:pPr>
            <w:r>
              <w:rPr>
                <w:sz w:val="21"/>
                <w:szCs w:val="21"/>
                <w:spacing w:val="-3"/>
              </w:rPr>
              <w:t>20</w:t>
            </w:r>
          </w:p>
        </w:tc>
        <w:tc>
          <w:tcPr>
            <w:tcW w:w="684" w:type="dxa"/>
            <w:vAlign w:val="top"/>
          </w:tcPr>
          <w:p>
            <w:pPr>
              <w:pStyle w:val="TableText"/>
              <w:ind w:left="278"/>
              <w:spacing w:before="64" w:line="180" w:lineRule="auto"/>
              <w:rPr>
                <w:sz w:val="21"/>
                <w:szCs w:val="21"/>
              </w:rPr>
            </w:pPr>
            <w:r>
              <w:rPr>
                <w:sz w:val="21"/>
                <w:szCs w:val="21"/>
              </w:rPr>
              <w:t>5</w:t>
            </w:r>
          </w:p>
        </w:tc>
      </w:tr>
      <w:tr>
        <w:trPr>
          <w:trHeight w:val="269" w:hRule="atLeast"/>
        </w:trPr>
        <w:tc>
          <w:tcPr>
            <w:tcW w:w="385" w:type="dxa"/>
            <w:vAlign w:val="top"/>
            <w:vMerge w:val="continue"/>
            <w:tcBorders>
              <w:top w:val="nil"/>
              <w:bottom w:val="nil"/>
            </w:tcBorders>
          </w:tcPr>
          <w:p>
            <w:pPr>
              <w:rPr>
                <w:rFonts w:ascii="Arial"/>
                <w:sz w:val="21"/>
              </w:rPr>
            </w:pPr>
            <w:r/>
          </w:p>
        </w:tc>
        <w:tc>
          <w:tcPr>
            <w:tcW w:w="1379" w:type="dxa"/>
            <w:vAlign w:val="top"/>
            <w:vMerge w:val="continue"/>
            <w:tcBorders>
              <w:top w:val="nil"/>
            </w:tcBorders>
          </w:tcPr>
          <w:p>
            <w:pPr>
              <w:rPr>
                <w:rFonts w:ascii="Arial"/>
                <w:sz w:val="21"/>
              </w:rPr>
            </w:pPr>
            <w:r/>
          </w:p>
        </w:tc>
        <w:tc>
          <w:tcPr>
            <w:tcW w:w="1588" w:type="dxa"/>
            <w:vAlign w:val="top"/>
          </w:tcPr>
          <w:p>
            <w:pPr>
              <w:pStyle w:val="TableText"/>
              <w:ind w:left="200"/>
              <w:spacing w:before="34" w:line="197" w:lineRule="auto"/>
              <w:rPr>
                <w:sz w:val="21"/>
                <w:szCs w:val="21"/>
              </w:rPr>
            </w:pPr>
            <w:r>
              <w:rPr>
                <w:sz w:val="21"/>
                <w:szCs w:val="21"/>
                <w:spacing w:val="6"/>
              </w:rPr>
              <w:t>产生量(t/a)</w:t>
            </w:r>
          </w:p>
        </w:tc>
        <w:tc>
          <w:tcPr>
            <w:tcW w:w="849" w:type="dxa"/>
            <w:vAlign w:val="top"/>
          </w:tcPr>
          <w:p>
            <w:pPr>
              <w:pStyle w:val="TableText"/>
              <w:ind w:left="42"/>
              <w:spacing w:before="55" w:line="179" w:lineRule="auto"/>
              <w:rPr>
                <w:sz w:val="21"/>
                <w:szCs w:val="21"/>
              </w:rPr>
            </w:pPr>
            <w:r>
              <w:rPr>
                <w:sz w:val="21"/>
                <w:szCs w:val="21"/>
                <w:spacing w:val="-2"/>
              </w:rPr>
              <w:t>50.8140</w:t>
            </w:r>
          </w:p>
        </w:tc>
        <w:tc>
          <w:tcPr>
            <w:tcW w:w="759" w:type="dxa"/>
            <w:vAlign w:val="top"/>
          </w:tcPr>
          <w:p>
            <w:pPr>
              <w:pStyle w:val="TableText"/>
              <w:ind w:left="3"/>
              <w:spacing w:before="55" w:line="179" w:lineRule="auto"/>
              <w:rPr>
                <w:sz w:val="21"/>
                <w:szCs w:val="21"/>
              </w:rPr>
            </w:pPr>
            <w:r>
              <w:rPr>
                <w:sz w:val="21"/>
                <w:szCs w:val="21"/>
                <w:spacing w:val="-3"/>
              </w:rPr>
              <w:t>15.2442</w:t>
            </w:r>
          </w:p>
        </w:tc>
        <w:tc>
          <w:tcPr>
            <w:tcW w:w="839" w:type="dxa"/>
            <w:vAlign w:val="top"/>
          </w:tcPr>
          <w:p>
            <w:pPr>
              <w:pStyle w:val="TableText"/>
              <w:ind w:left="94"/>
              <w:spacing w:before="55" w:line="179" w:lineRule="auto"/>
              <w:rPr>
                <w:sz w:val="21"/>
                <w:szCs w:val="21"/>
              </w:rPr>
            </w:pPr>
            <w:r>
              <w:rPr>
                <w:sz w:val="21"/>
                <w:szCs w:val="21"/>
                <w:spacing w:val="-2"/>
              </w:rPr>
              <w:t>8.8925</w:t>
            </w:r>
          </w:p>
        </w:tc>
        <w:tc>
          <w:tcPr>
            <w:tcW w:w="729" w:type="dxa"/>
            <w:vAlign w:val="top"/>
          </w:tcPr>
          <w:p>
            <w:pPr>
              <w:pStyle w:val="TableText"/>
              <w:ind w:left="45"/>
              <w:spacing w:before="55" w:line="179" w:lineRule="auto"/>
              <w:rPr>
                <w:sz w:val="21"/>
                <w:szCs w:val="21"/>
              </w:rPr>
            </w:pPr>
            <w:r>
              <w:rPr>
                <w:sz w:val="21"/>
                <w:szCs w:val="21"/>
                <w:spacing w:val="-2"/>
              </w:rPr>
              <w:t>5.0814</w:t>
            </w:r>
          </w:p>
        </w:tc>
        <w:tc>
          <w:tcPr>
            <w:tcW w:w="669" w:type="dxa"/>
            <w:vAlign w:val="top"/>
          </w:tcPr>
          <w:p>
            <w:pPr>
              <w:pStyle w:val="TableText"/>
              <w:ind w:left="16"/>
              <w:spacing w:before="55" w:line="179" w:lineRule="auto"/>
              <w:rPr>
                <w:sz w:val="21"/>
                <w:szCs w:val="21"/>
              </w:rPr>
            </w:pPr>
            <w:r>
              <w:rPr>
                <w:sz w:val="21"/>
                <w:szCs w:val="21"/>
                <w:spacing w:val="-2"/>
              </w:rPr>
              <w:t>7.6221</w:t>
            </w:r>
          </w:p>
        </w:tc>
        <w:tc>
          <w:tcPr>
            <w:tcW w:w="569" w:type="dxa"/>
            <w:vAlign w:val="top"/>
          </w:tcPr>
          <w:p>
            <w:pPr>
              <w:pStyle w:val="TableText"/>
              <w:spacing w:before="55" w:line="179" w:lineRule="auto"/>
              <w:jc w:val="right"/>
              <w:rPr>
                <w:sz w:val="21"/>
                <w:szCs w:val="21"/>
              </w:rPr>
            </w:pPr>
            <w:r>
              <w:rPr>
                <w:sz w:val="21"/>
                <w:szCs w:val="21"/>
                <w:spacing w:val="-15"/>
              </w:rPr>
              <w:t>0.5081</w:t>
            </w:r>
          </w:p>
        </w:tc>
        <w:tc>
          <w:tcPr>
            <w:tcW w:w="684" w:type="dxa"/>
            <w:vAlign w:val="top"/>
          </w:tcPr>
          <w:p>
            <w:pPr>
              <w:pStyle w:val="TableText"/>
              <w:ind w:left="18"/>
              <w:spacing w:before="55" w:line="179" w:lineRule="auto"/>
              <w:rPr>
                <w:sz w:val="21"/>
                <w:szCs w:val="21"/>
              </w:rPr>
            </w:pPr>
            <w:r>
              <w:rPr>
                <w:sz w:val="21"/>
                <w:szCs w:val="21"/>
                <w:spacing w:val="-2"/>
              </w:rPr>
              <w:t>0.1270</w:t>
            </w:r>
          </w:p>
        </w:tc>
      </w:tr>
      <w:tr>
        <w:trPr>
          <w:trHeight w:val="279" w:hRule="atLeast"/>
        </w:trPr>
        <w:tc>
          <w:tcPr>
            <w:tcW w:w="385" w:type="dxa"/>
            <w:vAlign w:val="top"/>
            <w:vMerge w:val="continue"/>
            <w:tcBorders>
              <w:top w:val="nil"/>
              <w:bottom w:val="nil"/>
            </w:tcBorders>
          </w:tcPr>
          <w:p>
            <w:pPr>
              <w:rPr>
                <w:rFonts w:ascii="Arial"/>
                <w:sz w:val="21"/>
              </w:rPr>
            </w:pPr>
            <w:r/>
          </w:p>
        </w:tc>
        <w:tc>
          <w:tcPr>
            <w:tcW w:w="1379" w:type="dxa"/>
            <w:vAlign w:val="top"/>
            <w:vMerge w:val="restart"/>
            <w:tcBorders>
              <w:bottom w:val="nil"/>
            </w:tcBorders>
          </w:tcPr>
          <w:p>
            <w:pPr>
              <w:pStyle w:val="TableText"/>
              <w:ind w:left="469"/>
              <w:spacing w:before="25" w:line="219" w:lineRule="auto"/>
              <w:rPr>
                <w:sz w:val="21"/>
                <w:szCs w:val="21"/>
              </w:rPr>
            </w:pPr>
            <w:r>
              <w:rPr>
                <w:sz w:val="21"/>
                <w:szCs w:val="21"/>
                <w:color w:val="404050"/>
                <w:spacing w:val="4"/>
              </w:rPr>
              <w:t>旺季</w:t>
            </w:r>
          </w:p>
          <w:p>
            <w:pPr>
              <w:pStyle w:val="TableText"/>
              <w:spacing w:before="43" w:line="193" w:lineRule="auto"/>
              <w:jc w:val="right"/>
              <w:rPr>
                <w:sz w:val="21"/>
                <w:szCs w:val="21"/>
              </w:rPr>
            </w:pPr>
            <w:r>
              <w:rPr>
                <w:sz w:val="21"/>
                <w:szCs w:val="21"/>
                <w:spacing w:val="-8"/>
              </w:rPr>
              <w:t>(12195.36m³/a)</w:t>
            </w:r>
          </w:p>
        </w:tc>
        <w:tc>
          <w:tcPr>
            <w:tcW w:w="1588" w:type="dxa"/>
            <w:vAlign w:val="top"/>
          </w:tcPr>
          <w:p>
            <w:pPr>
              <w:pStyle w:val="TableText"/>
              <w:ind w:left="50"/>
              <w:spacing w:before="39" w:line="202" w:lineRule="auto"/>
              <w:rPr>
                <w:sz w:val="21"/>
                <w:szCs w:val="21"/>
              </w:rPr>
            </w:pPr>
            <w:r>
              <w:rPr>
                <w:sz w:val="21"/>
                <w:szCs w:val="21"/>
                <w:spacing w:val="5"/>
              </w:rPr>
              <w:t>产生浓度(</w:t>
            </w:r>
            <w:r>
              <w:rPr>
                <w:sz w:val="21"/>
                <w:szCs w:val="21"/>
              </w:rPr>
              <w:t>mg</w:t>
            </w:r>
            <w:r>
              <w:rPr>
                <w:sz w:val="21"/>
                <w:szCs w:val="21"/>
                <w:spacing w:val="5"/>
              </w:rPr>
              <w:t>/L)</w:t>
            </w:r>
          </w:p>
        </w:tc>
        <w:tc>
          <w:tcPr>
            <w:tcW w:w="849" w:type="dxa"/>
            <w:vAlign w:val="top"/>
          </w:tcPr>
          <w:p>
            <w:pPr>
              <w:pStyle w:val="TableText"/>
              <w:ind w:left="202"/>
              <w:spacing w:before="66" w:line="178" w:lineRule="auto"/>
              <w:rPr>
                <w:sz w:val="21"/>
                <w:szCs w:val="21"/>
              </w:rPr>
            </w:pPr>
            <w:r>
              <w:rPr>
                <w:sz w:val="21"/>
                <w:szCs w:val="21"/>
                <w:spacing w:val="-3"/>
              </w:rPr>
              <w:t>2000</w:t>
            </w:r>
          </w:p>
        </w:tc>
        <w:tc>
          <w:tcPr>
            <w:tcW w:w="759" w:type="dxa"/>
            <w:vAlign w:val="top"/>
          </w:tcPr>
          <w:p>
            <w:pPr>
              <w:pStyle w:val="TableText"/>
              <w:ind w:left="213"/>
              <w:spacing w:before="66" w:line="178" w:lineRule="auto"/>
              <w:rPr>
                <w:sz w:val="21"/>
                <w:szCs w:val="21"/>
              </w:rPr>
            </w:pPr>
            <w:r>
              <w:rPr>
                <w:sz w:val="21"/>
                <w:szCs w:val="21"/>
                <w:spacing w:val="-3"/>
              </w:rPr>
              <w:t>600</w:t>
            </w:r>
          </w:p>
        </w:tc>
        <w:tc>
          <w:tcPr>
            <w:tcW w:w="839" w:type="dxa"/>
            <w:vAlign w:val="top"/>
          </w:tcPr>
          <w:p>
            <w:pPr>
              <w:pStyle w:val="TableText"/>
              <w:ind w:left="254"/>
              <w:spacing w:before="66" w:line="178" w:lineRule="auto"/>
              <w:rPr>
                <w:sz w:val="21"/>
                <w:szCs w:val="21"/>
              </w:rPr>
            </w:pPr>
            <w:r>
              <w:rPr>
                <w:sz w:val="21"/>
                <w:szCs w:val="21"/>
                <w:spacing w:val="-3"/>
              </w:rPr>
              <w:t>350</w:t>
            </w:r>
          </w:p>
        </w:tc>
        <w:tc>
          <w:tcPr>
            <w:tcW w:w="729" w:type="dxa"/>
            <w:vAlign w:val="top"/>
          </w:tcPr>
          <w:p>
            <w:pPr>
              <w:pStyle w:val="TableText"/>
              <w:ind w:left="195"/>
              <w:spacing w:before="66" w:line="178" w:lineRule="auto"/>
              <w:rPr>
                <w:sz w:val="21"/>
                <w:szCs w:val="21"/>
              </w:rPr>
            </w:pPr>
            <w:r>
              <w:rPr>
                <w:sz w:val="21"/>
                <w:szCs w:val="21"/>
                <w:spacing w:val="-3"/>
              </w:rPr>
              <w:t>200</w:t>
            </w:r>
          </w:p>
        </w:tc>
        <w:tc>
          <w:tcPr>
            <w:tcW w:w="669" w:type="dxa"/>
            <w:vAlign w:val="top"/>
          </w:tcPr>
          <w:p>
            <w:pPr>
              <w:pStyle w:val="TableText"/>
              <w:ind w:left="166"/>
              <w:spacing w:before="66" w:line="178" w:lineRule="auto"/>
              <w:rPr>
                <w:sz w:val="21"/>
                <w:szCs w:val="21"/>
              </w:rPr>
            </w:pPr>
            <w:r>
              <w:rPr>
                <w:sz w:val="21"/>
                <w:szCs w:val="21"/>
                <w:spacing w:val="-3"/>
              </w:rPr>
              <w:t>300</w:t>
            </w:r>
          </w:p>
        </w:tc>
        <w:tc>
          <w:tcPr>
            <w:tcW w:w="569" w:type="dxa"/>
            <w:vAlign w:val="top"/>
          </w:tcPr>
          <w:p>
            <w:pPr>
              <w:pStyle w:val="TableText"/>
              <w:ind w:left="177"/>
              <w:spacing w:before="66" w:line="178" w:lineRule="auto"/>
              <w:rPr>
                <w:sz w:val="21"/>
                <w:szCs w:val="21"/>
              </w:rPr>
            </w:pPr>
            <w:r>
              <w:rPr>
                <w:sz w:val="21"/>
                <w:szCs w:val="21"/>
                <w:spacing w:val="-3"/>
              </w:rPr>
              <w:t>20</w:t>
            </w:r>
          </w:p>
        </w:tc>
        <w:tc>
          <w:tcPr>
            <w:tcW w:w="684" w:type="dxa"/>
            <w:vAlign w:val="top"/>
          </w:tcPr>
          <w:p>
            <w:pPr>
              <w:pStyle w:val="TableText"/>
              <w:ind w:left="278"/>
              <w:spacing w:before="66" w:line="178" w:lineRule="auto"/>
              <w:rPr>
                <w:sz w:val="21"/>
                <w:szCs w:val="21"/>
              </w:rPr>
            </w:pPr>
            <w:r>
              <w:rPr>
                <w:sz w:val="21"/>
                <w:szCs w:val="21"/>
              </w:rPr>
              <w:t>5</w:t>
            </w:r>
          </w:p>
        </w:tc>
      </w:tr>
      <w:tr>
        <w:trPr>
          <w:trHeight w:val="259" w:hRule="atLeast"/>
        </w:trPr>
        <w:tc>
          <w:tcPr>
            <w:tcW w:w="385" w:type="dxa"/>
            <w:vAlign w:val="top"/>
            <w:vMerge w:val="continue"/>
            <w:tcBorders>
              <w:top w:val="nil"/>
              <w:bottom w:val="nil"/>
            </w:tcBorders>
          </w:tcPr>
          <w:p>
            <w:pPr>
              <w:rPr>
                <w:rFonts w:ascii="Arial"/>
                <w:sz w:val="21"/>
              </w:rPr>
            </w:pPr>
            <w:r/>
          </w:p>
        </w:tc>
        <w:tc>
          <w:tcPr>
            <w:tcW w:w="1379" w:type="dxa"/>
            <w:vAlign w:val="top"/>
            <w:vMerge w:val="continue"/>
            <w:tcBorders>
              <w:top w:val="nil"/>
            </w:tcBorders>
          </w:tcPr>
          <w:p>
            <w:pPr>
              <w:rPr>
                <w:rFonts w:ascii="Arial"/>
                <w:sz w:val="21"/>
              </w:rPr>
            </w:pPr>
            <w:r/>
          </w:p>
        </w:tc>
        <w:tc>
          <w:tcPr>
            <w:tcW w:w="1588" w:type="dxa"/>
            <w:vAlign w:val="top"/>
          </w:tcPr>
          <w:p>
            <w:pPr>
              <w:pStyle w:val="TableText"/>
              <w:ind w:left="200"/>
              <w:spacing w:before="36" w:line="187" w:lineRule="auto"/>
              <w:rPr>
                <w:sz w:val="21"/>
                <w:szCs w:val="21"/>
              </w:rPr>
            </w:pPr>
            <w:r>
              <w:rPr>
                <w:sz w:val="21"/>
                <w:szCs w:val="21"/>
                <w:spacing w:val="6"/>
              </w:rPr>
              <w:t>产生量(t/a)</w:t>
            </w:r>
          </w:p>
        </w:tc>
        <w:tc>
          <w:tcPr>
            <w:tcW w:w="849" w:type="dxa"/>
            <w:vAlign w:val="top"/>
          </w:tcPr>
          <w:p>
            <w:pPr>
              <w:pStyle w:val="TableText"/>
              <w:ind w:left="42"/>
              <w:spacing w:before="57" w:line="168" w:lineRule="auto"/>
              <w:rPr>
                <w:sz w:val="21"/>
                <w:szCs w:val="21"/>
              </w:rPr>
            </w:pPr>
            <w:r>
              <w:rPr>
                <w:sz w:val="21"/>
                <w:szCs w:val="21"/>
                <w:spacing w:val="-2"/>
              </w:rPr>
              <w:t>24.3907</w:t>
            </w:r>
          </w:p>
        </w:tc>
        <w:tc>
          <w:tcPr>
            <w:tcW w:w="759" w:type="dxa"/>
            <w:vAlign w:val="top"/>
          </w:tcPr>
          <w:p>
            <w:pPr>
              <w:pStyle w:val="TableText"/>
              <w:ind w:left="53"/>
              <w:spacing w:before="57" w:line="168" w:lineRule="auto"/>
              <w:rPr>
                <w:sz w:val="21"/>
                <w:szCs w:val="21"/>
              </w:rPr>
            </w:pPr>
            <w:r>
              <w:rPr>
                <w:sz w:val="21"/>
                <w:szCs w:val="21"/>
                <w:spacing w:val="-2"/>
              </w:rPr>
              <w:t>7.3172</w:t>
            </w:r>
          </w:p>
        </w:tc>
        <w:tc>
          <w:tcPr>
            <w:tcW w:w="839" w:type="dxa"/>
            <w:vAlign w:val="top"/>
          </w:tcPr>
          <w:p>
            <w:pPr>
              <w:pStyle w:val="TableText"/>
              <w:ind w:left="94"/>
              <w:spacing w:before="57" w:line="168" w:lineRule="auto"/>
              <w:rPr>
                <w:sz w:val="21"/>
                <w:szCs w:val="21"/>
              </w:rPr>
            </w:pPr>
            <w:r>
              <w:rPr>
                <w:sz w:val="21"/>
                <w:szCs w:val="21"/>
                <w:spacing w:val="-2"/>
              </w:rPr>
              <w:t>4.2684</w:t>
            </w:r>
          </w:p>
        </w:tc>
        <w:tc>
          <w:tcPr>
            <w:tcW w:w="729" w:type="dxa"/>
            <w:vAlign w:val="top"/>
          </w:tcPr>
          <w:p>
            <w:pPr>
              <w:pStyle w:val="TableText"/>
              <w:ind w:left="45"/>
              <w:spacing w:before="57" w:line="168" w:lineRule="auto"/>
              <w:rPr>
                <w:sz w:val="21"/>
                <w:szCs w:val="21"/>
              </w:rPr>
            </w:pPr>
            <w:r>
              <w:rPr>
                <w:sz w:val="21"/>
                <w:szCs w:val="21"/>
                <w:spacing w:val="-2"/>
              </w:rPr>
              <w:t>2.4391</w:t>
            </w:r>
          </w:p>
        </w:tc>
        <w:tc>
          <w:tcPr>
            <w:tcW w:w="669" w:type="dxa"/>
            <w:vAlign w:val="top"/>
          </w:tcPr>
          <w:p>
            <w:pPr>
              <w:pStyle w:val="TableText"/>
              <w:ind w:left="16"/>
              <w:spacing w:before="57" w:line="168" w:lineRule="auto"/>
              <w:rPr>
                <w:sz w:val="21"/>
                <w:szCs w:val="21"/>
              </w:rPr>
            </w:pPr>
            <w:r>
              <w:rPr>
                <w:sz w:val="21"/>
                <w:szCs w:val="21"/>
                <w:spacing w:val="-2"/>
              </w:rPr>
              <w:t>3.6586</w:t>
            </w:r>
          </w:p>
        </w:tc>
        <w:tc>
          <w:tcPr>
            <w:tcW w:w="569" w:type="dxa"/>
            <w:vAlign w:val="top"/>
          </w:tcPr>
          <w:p>
            <w:pPr>
              <w:pStyle w:val="TableText"/>
              <w:spacing w:before="57" w:line="168" w:lineRule="auto"/>
              <w:jc w:val="right"/>
              <w:rPr>
                <w:sz w:val="21"/>
                <w:szCs w:val="21"/>
              </w:rPr>
            </w:pPr>
            <w:r>
              <w:rPr>
                <w:sz w:val="21"/>
                <w:szCs w:val="21"/>
                <w:spacing w:val="-16"/>
              </w:rPr>
              <w:t>0.2</w:t>
            </w:r>
            <w:r>
              <w:rPr>
                <w:sz w:val="21"/>
                <w:szCs w:val="21"/>
                <w:spacing w:val="-15"/>
              </w:rPr>
              <w:t>43</w:t>
            </w:r>
            <w:r>
              <w:rPr>
                <w:sz w:val="21"/>
                <w:szCs w:val="21"/>
                <w:spacing w:val="-12"/>
              </w:rPr>
              <w:t>9</w:t>
            </w:r>
          </w:p>
        </w:tc>
        <w:tc>
          <w:tcPr>
            <w:tcW w:w="684" w:type="dxa"/>
            <w:vAlign w:val="top"/>
          </w:tcPr>
          <w:p>
            <w:pPr>
              <w:pStyle w:val="TableText"/>
              <w:ind w:left="18"/>
              <w:spacing w:before="57" w:line="168" w:lineRule="auto"/>
              <w:rPr>
                <w:sz w:val="21"/>
                <w:szCs w:val="21"/>
              </w:rPr>
            </w:pPr>
            <w:r>
              <w:rPr>
                <w:sz w:val="21"/>
                <w:szCs w:val="21"/>
                <w:spacing w:val="-2"/>
              </w:rPr>
              <w:t>0.0610</w:t>
            </w:r>
          </w:p>
        </w:tc>
      </w:tr>
      <w:tr>
        <w:trPr>
          <w:trHeight w:val="279" w:hRule="atLeast"/>
        </w:trPr>
        <w:tc>
          <w:tcPr>
            <w:tcW w:w="385" w:type="dxa"/>
            <w:vAlign w:val="top"/>
            <w:vMerge w:val="continue"/>
            <w:tcBorders>
              <w:top w:val="nil"/>
              <w:bottom w:val="nil"/>
            </w:tcBorders>
          </w:tcPr>
          <w:p>
            <w:pPr>
              <w:rPr>
                <w:rFonts w:ascii="Arial"/>
                <w:sz w:val="21"/>
              </w:rPr>
            </w:pPr>
            <w:r/>
          </w:p>
        </w:tc>
        <w:tc>
          <w:tcPr>
            <w:tcW w:w="1379" w:type="dxa"/>
            <w:vAlign w:val="top"/>
            <w:vMerge w:val="restart"/>
            <w:tcBorders>
              <w:bottom w:val="nil"/>
            </w:tcBorders>
          </w:tcPr>
          <w:p>
            <w:pPr>
              <w:pStyle w:val="TableText"/>
              <w:ind w:left="469"/>
              <w:spacing w:before="47" w:line="219" w:lineRule="auto"/>
              <w:rPr>
                <w:sz w:val="21"/>
                <w:szCs w:val="21"/>
              </w:rPr>
            </w:pPr>
            <w:r>
              <w:rPr>
                <w:sz w:val="21"/>
                <w:szCs w:val="21"/>
                <w:spacing w:val="-3"/>
              </w:rPr>
              <w:t>全年</w:t>
            </w:r>
          </w:p>
          <w:p>
            <w:pPr>
              <w:pStyle w:val="TableText"/>
              <w:spacing w:before="44" w:line="195" w:lineRule="auto"/>
              <w:jc w:val="right"/>
              <w:rPr>
                <w:sz w:val="21"/>
                <w:szCs w:val="21"/>
              </w:rPr>
            </w:pPr>
            <w:r>
              <w:rPr>
                <w:sz w:val="21"/>
                <w:szCs w:val="21"/>
                <w:spacing w:val="-8"/>
              </w:rPr>
              <w:t>(37602.36m³/a)</w:t>
            </w:r>
          </w:p>
        </w:tc>
        <w:tc>
          <w:tcPr>
            <w:tcW w:w="1588" w:type="dxa"/>
            <w:vAlign w:val="top"/>
          </w:tcPr>
          <w:p>
            <w:pPr>
              <w:pStyle w:val="TableText"/>
              <w:ind w:left="50"/>
              <w:spacing w:before="40" w:line="201" w:lineRule="auto"/>
              <w:rPr>
                <w:sz w:val="21"/>
                <w:szCs w:val="21"/>
              </w:rPr>
            </w:pPr>
            <w:r>
              <w:rPr>
                <w:sz w:val="21"/>
                <w:szCs w:val="21"/>
                <w:spacing w:val="5"/>
              </w:rPr>
              <w:t>产生浓度(</w:t>
            </w:r>
            <w:r>
              <w:rPr>
                <w:sz w:val="21"/>
                <w:szCs w:val="21"/>
              </w:rPr>
              <w:t>mg</w:t>
            </w:r>
            <w:r>
              <w:rPr>
                <w:sz w:val="21"/>
                <w:szCs w:val="21"/>
                <w:spacing w:val="5"/>
              </w:rPr>
              <w:t>/L)</w:t>
            </w:r>
          </w:p>
        </w:tc>
        <w:tc>
          <w:tcPr>
            <w:tcW w:w="849" w:type="dxa"/>
            <w:vAlign w:val="top"/>
          </w:tcPr>
          <w:p>
            <w:pPr>
              <w:pStyle w:val="TableText"/>
              <w:ind w:left="202"/>
              <w:spacing w:before="68" w:line="176" w:lineRule="auto"/>
              <w:rPr>
                <w:sz w:val="21"/>
                <w:szCs w:val="21"/>
              </w:rPr>
            </w:pPr>
            <w:r>
              <w:rPr>
                <w:sz w:val="21"/>
                <w:szCs w:val="21"/>
                <w:spacing w:val="-3"/>
              </w:rPr>
              <w:t>2000</w:t>
            </w:r>
          </w:p>
        </w:tc>
        <w:tc>
          <w:tcPr>
            <w:tcW w:w="759" w:type="dxa"/>
            <w:vAlign w:val="top"/>
          </w:tcPr>
          <w:p>
            <w:pPr>
              <w:pStyle w:val="TableText"/>
              <w:ind w:left="213"/>
              <w:spacing w:before="68" w:line="176" w:lineRule="auto"/>
              <w:rPr>
                <w:sz w:val="21"/>
                <w:szCs w:val="21"/>
              </w:rPr>
            </w:pPr>
            <w:r>
              <w:rPr>
                <w:sz w:val="21"/>
                <w:szCs w:val="21"/>
                <w:spacing w:val="-3"/>
              </w:rPr>
              <w:t>600</w:t>
            </w:r>
          </w:p>
        </w:tc>
        <w:tc>
          <w:tcPr>
            <w:tcW w:w="839" w:type="dxa"/>
            <w:vAlign w:val="top"/>
          </w:tcPr>
          <w:p>
            <w:pPr>
              <w:pStyle w:val="TableText"/>
              <w:ind w:left="254"/>
              <w:spacing w:before="68" w:line="176" w:lineRule="auto"/>
              <w:rPr>
                <w:sz w:val="21"/>
                <w:szCs w:val="21"/>
              </w:rPr>
            </w:pPr>
            <w:r>
              <w:rPr>
                <w:sz w:val="21"/>
                <w:szCs w:val="21"/>
                <w:spacing w:val="-3"/>
              </w:rPr>
              <w:t>350</w:t>
            </w:r>
          </w:p>
        </w:tc>
        <w:tc>
          <w:tcPr>
            <w:tcW w:w="729" w:type="dxa"/>
            <w:vAlign w:val="top"/>
          </w:tcPr>
          <w:p>
            <w:pPr>
              <w:pStyle w:val="TableText"/>
              <w:ind w:left="195"/>
              <w:spacing w:before="68" w:line="176" w:lineRule="auto"/>
              <w:rPr>
                <w:sz w:val="21"/>
                <w:szCs w:val="21"/>
              </w:rPr>
            </w:pPr>
            <w:r>
              <w:rPr>
                <w:sz w:val="21"/>
                <w:szCs w:val="21"/>
                <w:spacing w:val="-3"/>
              </w:rPr>
              <w:t>200</w:t>
            </w:r>
          </w:p>
        </w:tc>
        <w:tc>
          <w:tcPr>
            <w:tcW w:w="669" w:type="dxa"/>
            <w:vAlign w:val="top"/>
          </w:tcPr>
          <w:p>
            <w:pPr>
              <w:pStyle w:val="TableText"/>
              <w:ind w:left="166"/>
              <w:spacing w:before="68" w:line="176" w:lineRule="auto"/>
              <w:rPr>
                <w:sz w:val="21"/>
                <w:szCs w:val="21"/>
              </w:rPr>
            </w:pPr>
            <w:r>
              <w:rPr>
                <w:sz w:val="21"/>
                <w:szCs w:val="21"/>
                <w:spacing w:val="-3"/>
              </w:rPr>
              <w:t>300</w:t>
            </w:r>
          </w:p>
        </w:tc>
        <w:tc>
          <w:tcPr>
            <w:tcW w:w="569" w:type="dxa"/>
            <w:vAlign w:val="top"/>
          </w:tcPr>
          <w:p>
            <w:pPr>
              <w:pStyle w:val="TableText"/>
              <w:ind w:left="177"/>
              <w:spacing w:before="68" w:line="176" w:lineRule="auto"/>
              <w:rPr>
                <w:sz w:val="21"/>
                <w:szCs w:val="21"/>
              </w:rPr>
            </w:pPr>
            <w:r>
              <w:rPr>
                <w:sz w:val="21"/>
                <w:szCs w:val="21"/>
                <w:spacing w:val="-3"/>
              </w:rPr>
              <w:t>20</w:t>
            </w:r>
          </w:p>
        </w:tc>
        <w:tc>
          <w:tcPr>
            <w:tcW w:w="684" w:type="dxa"/>
            <w:vAlign w:val="top"/>
          </w:tcPr>
          <w:p>
            <w:pPr>
              <w:pStyle w:val="TableText"/>
              <w:ind w:left="278"/>
              <w:spacing w:before="68" w:line="176" w:lineRule="auto"/>
              <w:rPr>
                <w:sz w:val="21"/>
                <w:szCs w:val="21"/>
              </w:rPr>
            </w:pPr>
            <w:r>
              <w:rPr>
                <w:sz w:val="21"/>
                <w:szCs w:val="21"/>
              </w:rPr>
              <w:t>5</w:t>
            </w:r>
          </w:p>
        </w:tc>
      </w:tr>
      <w:tr>
        <w:trPr>
          <w:trHeight w:val="284" w:hRule="atLeast"/>
        </w:trPr>
        <w:tc>
          <w:tcPr>
            <w:tcW w:w="385" w:type="dxa"/>
            <w:vAlign w:val="top"/>
            <w:vMerge w:val="continue"/>
            <w:tcBorders>
              <w:top w:val="nil"/>
            </w:tcBorders>
          </w:tcPr>
          <w:p>
            <w:pPr>
              <w:rPr>
                <w:rFonts w:ascii="Arial"/>
                <w:sz w:val="21"/>
              </w:rPr>
            </w:pPr>
            <w:r/>
          </w:p>
        </w:tc>
        <w:tc>
          <w:tcPr>
            <w:tcW w:w="1379" w:type="dxa"/>
            <w:vAlign w:val="top"/>
            <w:vMerge w:val="continue"/>
            <w:tcBorders>
              <w:top w:val="nil"/>
            </w:tcBorders>
          </w:tcPr>
          <w:p>
            <w:pPr>
              <w:rPr>
                <w:rFonts w:ascii="Arial"/>
                <w:sz w:val="21"/>
              </w:rPr>
            </w:pPr>
            <w:r/>
          </w:p>
        </w:tc>
        <w:tc>
          <w:tcPr>
            <w:tcW w:w="1588" w:type="dxa"/>
            <w:vAlign w:val="top"/>
          </w:tcPr>
          <w:p>
            <w:pPr>
              <w:pStyle w:val="TableText"/>
              <w:ind w:left="100"/>
              <w:spacing w:before="48" w:line="198" w:lineRule="auto"/>
              <w:rPr>
                <w:sz w:val="21"/>
                <w:szCs w:val="21"/>
              </w:rPr>
            </w:pPr>
            <w:r>
              <w:rPr>
                <w:sz w:val="21"/>
                <w:szCs w:val="21"/>
                <w:spacing w:val="5"/>
              </w:rPr>
              <w:t>产生量(t/a)</w:t>
            </w:r>
          </w:p>
        </w:tc>
        <w:tc>
          <w:tcPr>
            <w:tcW w:w="849" w:type="dxa"/>
            <w:vAlign w:val="top"/>
          </w:tcPr>
          <w:p>
            <w:pPr>
              <w:pStyle w:val="TableText"/>
              <w:ind w:left="42"/>
              <w:spacing w:before="69" w:line="180" w:lineRule="auto"/>
              <w:rPr>
                <w:sz w:val="21"/>
                <w:szCs w:val="21"/>
              </w:rPr>
            </w:pPr>
            <w:r>
              <w:rPr>
                <w:sz w:val="21"/>
                <w:szCs w:val="21"/>
                <w:spacing w:val="-2"/>
              </w:rPr>
              <w:t>75.2047</w:t>
            </w:r>
          </w:p>
        </w:tc>
        <w:tc>
          <w:tcPr>
            <w:tcW w:w="759" w:type="dxa"/>
            <w:vAlign w:val="top"/>
          </w:tcPr>
          <w:p>
            <w:pPr>
              <w:pStyle w:val="TableText"/>
              <w:ind w:left="3"/>
              <w:spacing w:before="69" w:line="180" w:lineRule="auto"/>
              <w:rPr>
                <w:sz w:val="21"/>
                <w:szCs w:val="21"/>
              </w:rPr>
            </w:pPr>
            <w:r>
              <w:rPr>
                <w:sz w:val="21"/>
                <w:szCs w:val="21"/>
                <w:spacing w:val="-2"/>
              </w:rPr>
              <w:t>22.5614</w:t>
            </w:r>
          </w:p>
        </w:tc>
        <w:tc>
          <w:tcPr>
            <w:tcW w:w="839" w:type="dxa"/>
            <w:vAlign w:val="top"/>
          </w:tcPr>
          <w:p>
            <w:pPr>
              <w:pStyle w:val="TableText"/>
              <w:ind w:left="44"/>
              <w:spacing w:before="69" w:line="180" w:lineRule="auto"/>
              <w:rPr>
                <w:sz w:val="21"/>
                <w:szCs w:val="21"/>
              </w:rPr>
            </w:pPr>
            <w:r>
              <w:rPr>
                <w:sz w:val="21"/>
                <w:szCs w:val="21"/>
                <w:spacing w:val="-3"/>
              </w:rPr>
              <w:t>13.1608</w:t>
            </w:r>
          </w:p>
        </w:tc>
        <w:tc>
          <w:tcPr>
            <w:tcW w:w="729" w:type="dxa"/>
            <w:vAlign w:val="top"/>
          </w:tcPr>
          <w:p>
            <w:pPr>
              <w:pStyle w:val="TableText"/>
              <w:ind w:left="45"/>
              <w:spacing w:before="69" w:line="180" w:lineRule="auto"/>
              <w:rPr>
                <w:sz w:val="21"/>
                <w:szCs w:val="21"/>
              </w:rPr>
            </w:pPr>
            <w:r>
              <w:rPr>
                <w:sz w:val="21"/>
                <w:szCs w:val="21"/>
                <w:spacing w:val="-2"/>
              </w:rPr>
              <w:t>7.5205</w:t>
            </w:r>
          </w:p>
        </w:tc>
        <w:tc>
          <w:tcPr>
            <w:tcW w:w="669" w:type="dxa"/>
            <w:vAlign w:val="top"/>
          </w:tcPr>
          <w:p>
            <w:pPr>
              <w:pStyle w:val="TableText"/>
              <w:spacing w:before="69" w:line="180" w:lineRule="auto"/>
              <w:jc w:val="right"/>
              <w:rPr>
                <w:sz w:val="21"/>
                <w:szCs w:val="21"/>
              </w:rPr>
            </w:pPr>
            <w:r>
              <w:rPr>
                <w:sz w:val="21"/>
                <w:szCs w:val="21"/>
                <w:spacing w:val="-15"/>
              </w:rPr>
              <w:t>1</w:t>
            </w:r>
            <w:r>
              <w:rPr>
                <w:sz w:val="21"/>
                <w:szCs w:val="21"/>
                <w:spacing w:val="-14"/>
              </w:rPr>
              <w:t>1.280</w:t>
            </w:r>
            <w:r>
              <w:rPr>
                <w:sz w:val="21"/>
                <w:szCs w:val="21"/>
                <w:spacing w:val="-13"/>
              </w:rPr>
              <w:t>7</w:t>
            </w:r>
          </w:p>
        </w:tc>
        <w:tc>
          <w:tcPr>
            <w:tcW w:w="569" w:type="dxa"/>
            <w:vAlign w:val="top"/>
          </w:tcPr>
          <w:p>
            <w:pPr>
              <w:pStyle w:val="TableText"/>
              <w:spacing w:before="69" w:line="180" w:lineRule="auto"/>
              <w:jc w:val="right"/>
              <w:rPr>
                <w:sz w:val="21"/>
                <w:szCs w:val="21"/>
              </w:rPr>
            </w:pPr>
            <w:r>
              <w:rPr>
                <w:sz w:val="21"/>
                <w:szCs w:val="21"/>
                <w:spacing w:val="-16"/>
              </w:rPr>
              <w:t>0.75</w:t>
            </w:r>
            <w:r>
              <w:rPr>
                <w:sz w:val="21"/>
                <w:szCs w:val="21"/>
                <w:spacing w:val="-15"/>
              </w:rPr>
              <w:t>2</w:t>
            </w:r>
            <w:r>
              <w:rPr>
                <w:sz w:val="21"/>
                <w:szCs w:val="21"/>
                <w:spacing w:val="-11"/>
              </w:rPr>
              <w:t>0</w:t>
            </w:r>
          </w:p>
        </w:tc>
        <w:tc>
          <w:tcPr>
            <w:tcW w:w="684" w:type="dxa"/>
            <w:vAlign w:val="top"/>
          </w:tcPr>
          <w:p>
            <w:pPr>
              <w:pStyle w:val="TableText"/>
              <w:ind w:left="18"/>
              <w:spacing w:before="69" w:line="180" w:lineRule="auto"/>
              <w:rPr>
                <w:sz w:val="21"/>
                <w:szCs w:val="21"/>
              </w:rPr>
            </w:pPr>
            <w:r>
              <w:rPr>
                <w:sz w:val="21"/>
                <w:szCs w:val="21"/>
                <w:spacing w:val="-2"/>
              </w:rPr>
              <w:t>0.1880</w:t>
            </w:r>
          </w:p>
        </w:tc>
      </w:tr>
    </w:tbl>
    <w:p>
      <w:pPr>
        <w:ind w:left="578"/>
        <w:spacing w:before="49" w:line="217" w:lineRule="auto"/>
        <w:rPr>
          <w:rFonts w:ascii="SimSun" w:hAnsi="SimSun" w:eastAsia="SimSun" w:cs="SimSun"/>
          <w:sz w:val="24"/>
          <w:szCs w:val="24"/>
        </w:rPr>
      </w:pPr>
      <w:r>
        <w:rPr>
          <w:rFonts w:ascii="SimSun" w:hAnsi="SimSun" w:eastAsia="SimSun" w:cs="SimSun"/>
          <w:sz w:val="24"/>
          <w:szCs w:val="24"/>
          <w:b/>
          <w:bCs/>
          <w:spacing w:val="-4"/>
        </w:rPr>
        <w:t>②车辆冲洗废水</w:t>
      </w:r>
    </w:p>
    <w:p>
      <w:pPr>
        <w:ind w:left="94" w:right="160" w:firstLine="480"/>
        <w:spacing w:before="210" w:line="365" w:lineRule="auto"/>
        <w:rPr>
          <w:rFonts w:ascii="Times New Roman" w:hAnsi="Times New Roman" w:eastAsia="Times New Roman" w:cs="Times New Roman"/>
          <w:sz w:val="23"/>
          <w:szCs w:val="23"/>
        </w:rPr>
      </w:pPr>
      <w:r>
        <w:rPr>
          <w:rFonts w:ascii="SimSun" w:hAnsi="SimSun" w:eastAsia="SimSun" w:cs="SimSun"/>
          <w:sz w:val="23"/>
          <w:szCs w:val="23"/>
          <w:spacing w:val="10"/>
        </w:rPr>
        <w:t>运输车辆每次出厂前和进厂后均须进行冲洗，项目淡</w:t>
      </w:r>
      <w:r>
        <w:rPr>
          <w:rFonts w:ascii="SimSun" w:hAnsi="SimSun" w:eastAsia="SimSun" w:cs="SimSun"/>
          <w:sz w:val="23"/>
          <w:szCs w:val="23"/>
          <w:spacing w:val="9"/>
        </w:rPr>
        <w:t>季运输车辆平均为30</w:t>
      </w:r>
      <w:r>
        <w:rPr>
          <w:rFonts w:ascii="SimSun" w:hAnsi="SimSun" w:eastAsia="SimSun" w:cs="SimSun"/>
          <w:sz w:val="23"/>
          <w:szCs w:val="23"/>
        </w:rPr>
        <w:t xml:space="preserve">  </w:t>
      </w:r>
      <w:r>
        <w:rPr>
          <w:rFonts w:ascii="SimSun" w:hAnsi="SimSun" w:eastAsia="SimSun" w:cs="SimSun"/>
          <w:sz w:val="23"/>
          <w:szCs w:val="23"/>
          <w:spacing w:val="12"/>
        </w:rPr>
        <w:t>辆/d, 旺季为40辆/d, 参考《四川省用水定额》(川府函</w:t>
      </w:r>
      <w:r>
        <w:rPr>
          <w:rFonts w:ascii="SimSun" w:hAnsi="SimSun" w:eastAsia="SimSun" w:cs="SimSun"/>
          <w:sz w:val="23"/>
          <w:szCs w:val="23"/>
          <w:spacing w:val="11"/>
        </w:rPr>
        <w:t>[2021]8号),载重汽</w:t>
      </w:r>
      <w:r>
        <w:rPr>
          <w:rFonts w:ascii="SimSun" w:hAnsi="SimSun" w:eastAsia="SimSun" w:cs="SimSun"/>
          <w:sz w:val="23"/>
          <w:szCs w:val="23"/>
        </w:rPr>
        <w:t xml:space="preserve">  </w:t>
      </w:r>
      <w:r>
        <w:rPr>
          <w:rFonts w:ascii="SimSun" w:hAnsi="SimSun" w:eastAsia="SimSun" w:cs="SimSun"/>
          <w:sz w:val="23"/>
          <w:szCs w:val="23"/>
          <w:spacing w:val="-4"/>
        </w:rPr>
        <w:t>车冲洗用水量定额为0.1</w:t>
      </w:r>
      <w:r>
        <w:rPr>
          <w:rFonts w:ascii="Times New Roman" w:hAnsi="Times New Roman" w:eastAsia="Times New Roman" w:cs="Times New Roman"/>
          <w:sz w:val="23"/>
          <w:szCs w:val="23"/>
          <w:spacing w:val="-4"/>
        </w:rPr>
        <w:t>m³/</w:t>
      </w:r>
      <w:r>
        <w:rPr>
          <w:rFonts w:ascii="Times New Roman" w:hAnsi="Times New Roman" w:eastAsia="Times New Roman" w:cs="Times New Roman"/>
          <w:sz w:val="23"/>
          <w:szCs w:val="23"/>
          <w:spacing w:val="-2"/>
        </w:rPr>
        <w:t xml:space="preserve"> </w:t>
      </w:r>
      <w:r>
        <w:rPr>
          <w:rFonts w:ascii="SimSun" w:hAnsi="SimSun" w:eastAsia="SimSun" w:cs="SimSun"/>
          <w:sz w:val="23"/>
          <w:szCs w:val="23"/>
          <w:spacing w:val="-4"/>
        </w:rPr>
        <w:t>辆</w:t>
      </w:r>
      <w:r>
        <w:rPr>
          <w:rFonts w:ascii="SimSun" w:hAnsi="SimSun" w:eastAsia="SimSun" w:cs="SimSun"/>
          <w:sz w:val="23"/>
          <w:szCs w:val="23"/>
          <w:spacing w:val="-28"/>
        </w:rPr>
        <w:t xml:space="preserve"> </w:t>
      </w:r>
      <w:r>
        <w:rPr>
          <w:rFonts w:ascii="SimSun" w:hAnsi="SimSun" w:eastAsia="SimSun" w:cs="SimSun"/>
          <w:sz w:val="23"/>
          <w:szCs w:val="23"/>
          <w:spacing w:val="-4"/>
        </w:rPr>
        <w:t>·次，项目淡季汽车冲洗用水量为6.00</w:t>
      </w:r>
      <w:r>
        <w:rPr>
          <w:rFonts w:ascii="Times New Roman" w:hAnsi="Times New Roman" w:eastAsia="Times New Roman" w:cs="Times New Roman"/>
          <w:sz w:val="23"/>
          <w:szCs w:val="23"/>
          <w:spacing w:val="-4"/>
        </w:rPr>
        <w:t>m³/d,</w:t>
      </w:r>
      <w:r>
        <w:rPr>
          <w:rFonts w:ascii="Times New Roman" w:hAnsi="Times New Roman" w:eastAsia="Times New Roman" w:cs="Times New Roman"/>
          <w:sz w:val="23"/>
          <w:szCs w:val="23"/>
          <w:spacing w:val="51"/>
        </w:rPr>
        <w:t xml:space="preserve"> </w:t>
      </w:r>
      <w:r>
        <w:rPr>
          <w:rFonts w:ascii="SimSun" w:hAnsi="SimSun" w:eastAsia="SimSun" w:cs="SimSun"/>
          <w:sz w:val="23"/>
          <w:szCs w:val="23"/>
          <w:spacing w:val="-4"/>
        </w:rPr>
        <w:t>废</w:t>
      </w:r>
      <w:r>
        <w:rPr>
          <w:rFonts w:ascii="SimSun" w:hAnsi="SimSun" w:eastAsia="SimSun" w:cs="SimSun"/>
          <w:sz w:val="23"/>
          <w:szCs w:val="23"/>
          <w:spacing w:val="-35"/>
        </w:rPr>
        <w:t xml:space="preserve"> </w:t>
      </w:r>
      <w:r>
        <w:rPr>
          <w:rFonts w:ascii="SimSun" w:hAnsi="SimSun" w:eastAsia="SimSun" w:cs="SimSun"/>
          <w:sz w:val="23"/>
          <w:szCs w:val="23"/>
          <w:spacing w:val="-4"/>
        </w:rPr>
        <w:t>水</w:t>
      </w:r>
      <w:r>
        <w:rPr>
          <w:rFonts w:ascii="SimSun" w:hAnsi="SimSun" w:eastAsia="SimSun" w:cs="SimSun"/>
          <w:sz w:val="23"/>
          <w:szCs w:val="23"/>
          <w:spacing w:val="-37"/>
        </w:rPr>
        <w:t xml:space="preserve"> </w:t>
      </w:r>
      <w:r>
        <w:rPr>
          <w:rFonts w:ascii="SimSun" w:hAnsi="SimSun" w:eastAsia="SimSun" w:cs="SimSun"/>
          <w:sz w:val="23"/>
          <w:szCs w:val="23"/>
          <w:spacing w:val="-4"/>
        </w:rPr>
        <w:t>排</w:t>
      </w:r>
      <w:r>
        <w:rPr>
          <w:rFonts w:ascii="SimSun" w:hAnsi="SimSun" w:eastAsia="SimSun" w:cs="SimSun"/>
          <w:sz w:val="23"/>
          <w:szCs w:val="23"/>
        </w:rPr>
        <w:t xml:space="preserve"> </w:t>
      </w:r>
      <w:r>
        <w:rPr>
          <w:rFonts w:ascii="SimSun" w:hAnsi="SimSun" w:eastAsia="SimSun" w:cs="SimSun"/>
          <w:sz w:val="23"/>
          <w:szCs w:val="23"/>
          <w:spacing w:val="6"/>
        </w:rPr>
        <w:t>放量按80%计，废水排放量为4.80</w:t>
      </w:r>
      <w:r>
        <w:rPr>
          <w:rFonts w:ascii="Times New Roman" w:hAnsi="Times New Roman" w:eastAsia="Times New Roman" w:cs="Times New Roman"/>
          <w:sz w:val="23"/>
          <w:szCs w:val="23"/>
          <w:spacing w:val="6"/>
        </w:rPr>
        <w:t>m³/d;  </w:t>
      </w:r>
      <w:r>
        <w:rPr>
          <w:rFonts w:ascii="Times New Roman" w:hAnsi="Times New Roman" w:eastAsia="Times New Roman" w:cs="Times New Roman"/>
          <w:sz w:val="23"/>
          <w:szCs w:val="23"/>
          <w:spacing w:val="5"/>
        </w:rPr>
        <w:t xml:space="preserve"> </w:t>
      </w:r>
      <w:r>
        <w:rPr>
          <w:rFonts w:ascii="SimSun" w:hAnsi="SimSun" w:eastAsia="SimSun" w:cs="SimSun"/>
          <w:sz w:val="23"/>
          <w:szCs w:val="23"/>
          <w:spacing w:val="5"/>
        </w:rPr>
        <w:t>项目旺季汽车冲洗用水量为8.00</w:t>
      </w:r>
      <w:r>
        <w:rPr>
          <w:rFonts w:ascii="Times New Roman" w:hAnsi="Times New Roman" w:eastAsia="Times New Roman" w:cs="Times New Roman"/>
          <w:sz w:val="23"/>
          <w:szCs w:val="23"/>
          <w:spacing w:val="5"/>
        </w:rPr>
        <w:t>m³/d,</w:t>
      </w:r>
    </w:p>
    <w:p>
      <w:pPr>
        <w:ind w:left="94" w:right="224"/>
        <w:spacing w:before="25" w:line="349" w:lineRule="auto"/>
        <w:rPr>
          <w:rFonts w:ascii="SimSun" w:hAnsi="SimSun" w:eastAsia="SimSun" w:cs="SimSun"/>
          <w:sz w:val="23"/>
          <w:szCs w:val="23"/>
        </w:rPr>
      </w:pPr>
      <w:r>
        <w:rPr>
          <w:rFonts w:ascii="SimSun" w:hAnsi="SimSun" w:eastAsia="SimSun" w:cs="SimSun"/>
          <w:sz w:val="23"/>
          <w:szCs w:val="23"/>
          <w:spacing w:val="7"/>
        </w:rPr>
        <w:t>废水排放量按80%计，废水排放量为6.40</w:t>
      </w:r>
      <w:r>
        <w:rPr>
          <w:rFonts w:ascii="Times New Roman" w:hAnsi="Times New Roman" w:eastAsia="Times New Roman" w:cs="Times New Roman"/>
          <w:sz w:val="23"/>
          <w:szCs w:val="23"/>
          <w:spacing w:val="7"/>
        </w:rPr>
        <w:t>m³/d</w:t>
      </w:r>
      <w:r>
        <w:rPr>
          <w:rFonts w:ascii="Times New Roman" w:hAnsi="Times New Roman" w:eastAsia="Times New Roman" w:cs="Times New Roman"/>
          <w:sz w:val="23"/>
          <w:szCs w:val="23"/>
          <w:spacing w:val="-26"/>
        </w:rPr>
        <w:t xml:space="preserve"> </w:t>
      </w:r>
      <w:r>
        <w:rPr>
          <w:rFonts w:ascii="SimSun" w:hAnsi="SimSun" w:eastAsia="SimSun" w:cs="SimSun"/>
          <w:sz w:val="23"/>
          <w:szCs w:val="23"/>
          <w:spacing w:val="7"/>
        </w:rPr>
        <w:t>。类比同类项目废水污染物情况，</w:t>
      </w:r>
      <w:r>
        <w:rPr>
          <w:rFonts w:ascii="SimSun" w:hAnsi="SimSun" w:eastAsia="SimSun" w:cs="SimSun"/>
          <w:sz w:val="23"/>
          <w:szCs w:val="23"/>
        </w:rPr>
        <w:t xml:space="preserve"> </w:t>
      </w:r>
      <w:r>
        <w:rPr>
          <w:rFonts w:ascii="SimSun" w:hAnsi="SimSun" w:eastAsia="SimSun" w:cs="SimSun"/>
          <w:sz w:val="23"/>
          <w:szCs w:val="23"/>
        </w:rPr>
        <w:t>其主要污染物及浓度为</w:t>
      </w:r>
      <w:r>
        <w:rPr>
          <w:rFonts w:ascii="Times New Roman" w:hAnsi="Times New Roman" w:eastAsia="Times New Roman" w:cs="Times New Roman"/>
          <w:sz w:val="23"/>
          <w:szCs w:val="23"/>
        </w:rPr>
        <w:t>COD300mg/L</w:t>
      </w:r>
      <w:r>
        <w:rPr>
          <w:rFonts w:ascii="Times New Roman" w:hAnsi="Times New Roman" w:eastAsia="Times New Roman" w:cs="Times New Roman"/>
          <w:sz w:val="23"/>
          <w:szCs w:val="23"/>
          <w:spacing w:val="-29"/>
        </w:rPr>
        <w:t xml:space="preserve"> </w:t>
      </w:r>
      <w:r>
        <w:rPr>
          <w:rFonts w:ascii="SimSun" w:hAnsi="SimSun" w:eastAsia="SimSun" w:cs="SimSun"/>
          <w:sz w:val="23"/>
          <w:szCs w:val="23"/>
        </w:rPr>
        <w:t>、</w:t>
      </w:r>
      <w:r>
        <w:rPr>
          <w:rFonts w:ascii="Times New Roman" w:hAnsi="Times New Roman" w:eastAsia="Times New Roman" w:cs="Times New Roman"/>
          <w:sz w:val="23"/>
          <w:szCs w:val="23"/>
        </w:rPr>
        <w:t>BOD₅250mg/L</w:t>
      </w:r>
      <w:r>
        <w:rPr>
          <w:rFonts w:ascii="Times New Roman" w:hAnsi="Times New Roman" w:eastAsia="Times New Roman" w:cs="Times New Roman"/>
          <w:sz w:val="23"/>
          <w:szCs w:val="23"/>
          <w:spacing w:val="-32"/>
        </w:rPr>
        <w:t xml:space="preserve"> </w:t>
      </w:r>
      <w:r>
        <w:rPr>
          <w:rFonts w:ascii="SimSun" w:hAnsi="SimSun" w:eastAsia="SimSun" w:cs="SimSun"/>
          <w:sz w:val="23"/>
          <w:szCs w:val="23"/>
        </w:rPr>
        <w:t>、</w:t>
      </w:r>
      <w:r>
        <w:rPr>
          <w:rFonts w:ascii="Times New Roman" w:hAnsi="Times New Roman" w:eastAsia="Times New Roman" w:cs="Times New Roman"/>
          <w:sz w:val="23"/>
          <w:szCs w:val="23"/>
        </w:rPr>
        <w:t>SS300mg/L</w:t>
      </w:r>
      <w:r>
        <w:rPr>
          <w:rFonts w:ascii="Times New Roman" w:hAnsi="Times New Roman" w:eastAsia="Times New Roman" w:cs="Times New Roman"/>
          <w:sz w:val="23"/>
          <w:szCs w:val="23"/>
          <w:spacing w:val="-33"/>
        </w:rPr>
        <w:t xml:space="preserve"> </w:t>
      </w:r>
      <w:r>
        <w:rPr>
          <w:rFonts w:ascii="SimSun" w:hAnsi="SimSun" w:eastAsia="SimSun" w:cs="SimSun"/>
          <w:sz w:val="23"/>
          <w:szCs w:val="23"/>
        </w:rPr>
        <w:t>、</w:t>
      </w:r>
      <w:r>
        <w:rPr>
          <w:rFonts w:ascii="SimSun" w:hAnsi="SimSun" w:eastAsia="SimSun" w:cs="SimSun"/>
          <w:sz w:val="23"/>
          <w:szCs w:val="23"/>
          <w:spacing w:val="70"/>
        </w:rPr>
        <w:t xml:space="preserve"> </w:t>
      </w:r>
      <w:r>
        <w:rPr>
          <w:rFonts w:ascii="SimSun" w:hAnsi="SimSun" w:eastAsia="SimSun" w:cs="SimSun"/>
          <w:sz w:val="23"/>
          <w:szCs w:val="23"/>
        </w:rPr>
        <w:t>氨</w:t>
      </w:r>
      <w:r>
        <w:rPr>
          <w:rFonts w:ascii="SimSun" w:hAnsi="SimSun" w:eastAsia="SimSun" w:cs="SimSun"/>
          <w:sz w:val="23"/>
          <w:szCs w:val="23"/>
          <w:spacing w:val="-49"/>
        </w:rPr>
        <w:t xml:space="preserve"> </w:t>
      </w:r>
      <w:r>
        <w:rPr>
          <w:rFonts w:ascii="SimSun" w:hAnsi="SimSun" w:eastAsia="SimSun" w:cs="SimSun"/>
          <w:sz w:val="23"/>
          <w:szCs w:val="23"/>
        </w:rPr>
        <w:t>氮</w:t>
      </w:r>
    </w:p>
    <w:p>
      <w:pPr>
        <w:spacing w:line="349" w:lineRule="auto"/>
        <w:sectPr>
          <w:headerReference w:type="default" r:id="rId284"/>
          <w:footerReference w:type="default" r:id="rId285"/>
          <w:pgSz w:w="11910" w:h="16840"/>
          <w:pgMar w:top="1209" w:right="1690" w:bottom="960" w:left="1685" w:header="855" w:footer="735" w:gutter="0"/>
        </w:sectPr>
        <w:rPr>
          <w:rFonts w:ascii="SimSun" w:hAnsi="SimSun" w:eastAsia="SimSun" w:cs="SimSun"/>
          <w:sz w:val="23"/>
          <w:szCs w:val="23"/>
        </w:rPr>
      </w:pPr>
    </w:p>
    <w:p>
      <w:pPr>
        <w:spacing w:before="312" w:line="183" w:lineRule="auto"/>
        <w:rPr>
          <w:rFonts w:ascii="SimSun" w:hAnsi="SimSun" w:eastAsia="SimSun" w:cs="SimSun"/>
          <w:sz w:val="24"/>
          <w:szCs w:val="24"/>
        </w:rPr>
      </w:pPr>
      <w:r>
        <w:rPr>
          <w:rFonts w:ascii="Times New Roman" w:hAnsi="Times New Roman" w:eastAsia="Times New Roman" w:cs="Times New Roman"/>
          <w:sz w:val="24"/>
          <w:szCs w:val="24"/>
          <w:spacing w:val="-3"/>
        </w:rPr>
        <w:t>50mg/L</w:t>
      </w:r>
      <w:r>
        <w:rPr>
          <w:rFonts w:ascii="Times New Roman" w:hAnsi="Times New Roman" w:eastAsia="Times New Roman" w:cs="Times New Roman"/>
          <w:sz w:val="24"/>
          <w:szCs w:val="24"/>
          <w:spacing w:val="-29"/>
        </w:rPr>
        <w:t xml:space="preserve"> </w:t>
      </w:r>
      <w:r>
        <w:rPr>
          <w:rFonts w:ascii="SimSun" w:hAnsi="SimSun" w:eastAsia="SimSun" w:cs="SimSun"/>
          <w:sz w:val="24"/>
          <w:szCs w:val="24"/>
          <w:spacing w:val="-3"/>
        </w:rPr>
        <w:t>、</w:t>
      </w:r>
      <w:r>
        <w:rPr>
          <w:rFonts w:ascii="Times New Roman" w:hAnsi="Times New Roman" w:eastAsia="Times New Roman" w:cs="Times New Roman"/>
          <w:sz w:val="24"/>
          <w:szCs w:val="24"/>
          <w:spacing w:val="-3"/>
        </w:rPr>
        <w:t>TN80mg/L</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3"/>
        </w:rPr>
        <w:t>、</w:t>
      </w:r>
      <w:r>
        <w:rPr>
          <w:rFonts w:ascii="Times New Roman" w:hAnsi="Times New Roman" w:eastAsia="Times New Roman" w:cs="Times New Roman"/>
          <w:sz w:val="24"/>
          <w:szCs w:val="24"/>
          <w:spacing w:val="-3"/>
        </w:rPr>
        <w:t>TP5mg/L</w:t>
      </w:r>
      <w:r>
        <w:rPr>
          <w:rFonts w:ascii="SimSun" w:hAnsi="SimSun" w:eastAsia="SimSun" w:cs="SimSun"/>
          <w:sz w:val="24"/>
          <w:szCs w:val="24"/>
          <w:spacing w:val="-3"/>
        </w:rPr>
        <w:t>。</w:t>
      </w:r>
    </w:p>
    <w:p>
      <w:pPr>
        <w:ind w:left="483"/>
        <w:spacing w:before="165" w:line="217" w:lineRule="auto"/>
        <w:rPr>
          <w:rFonts w:ascii="SimSun" w:hAnsi="SimSun" w:eastAsia="SimSun" w:cs="SimSun"/>
          <w:sz w:val="24"/>
          <w:szCs w:val="24"/>
        </w:rPr>
      </w:pPr>
      <w:r>
        <w:rPr>
          <w:rFonts w:ascii="SimSun" w:hAnsi="SimSun" w:eastAsia="SimSun" w:cs="SimSun"/>
          <w:sz w:val="24"/>
          <w:szCs w:val="24"/>
          <w:b/>
          <w:bCs/>
        </w:rPr>
        <w:t>③冷却系统排水</w:t>
      </w:r>
    </w:p>
    <w:p>
      <w:pPr>
        <w:ind w:right="205" w:firstLine="480"/>
        <w:spacing w:before="196" w:line="364" w:lineRule="auto"/>
        <w:rPr>
          <w:rFonts w:ascii="Times New Roman" w:hAnsi="Times New Roman" w:eastAsia="Times New Roman" w:cs="Times New Roman"/>
          <w:sz w:val="24"/>
          <w:szCs w:val="24"/>
        </w:rPr>
      </w:pPr>
      <w:r>
        <w:rPr>
          <w:rFonts w:ascii="SimSun" w:hAnsi="SimSun" w:eastAsia="SimSun" w:cs="SimSun"/>
          <w:sz w:val="24"/>
          <w:szCs w:val="24"/>
          <w:spacing w:val="-4"/>
        </w:rPr>
        <w:t>制冷系统冷凝器定期排水水质较简单，排污水中仅</w:t>
      </w:r>
      <w:r>
        <w:rPr>
          <w:rFonts w:ascii="Times New Roman" w:hAnsi="Times New Roman" w:eastAsia="Times New Roman" w:cs="Times New Roman"/>
          <w:sz w:val="24"/>
          <w:szCs w:val="24"/>
          <w:spacing w:val="-4"/>
        </w:rPr>
        <w:t>SS</w:t>
      </w:r>
      <w:r>
        <w:rPr>
          <w:rFonts w:ascii="Times New Roman" w:hAnsi="Times New Roman" w:eastAsia="Times New Roman" w:cs="Times New Roman"/>
          <w:sz w:val="24"/>
          <w:szCs w:val="24"/>
          <w:spacing w:val="-33"/>
        </w:rPr>
        <w:t xml:space="preserve"> </w:t>
      </w:r>
      <w:r>
        <w:rPr>
          <w:rFonts w:ascii="SimSun" w:hAnsi="SimSun" w:eastAsia="SimSun" w:cs="SimSun"/>
          <w:sz w:val="24"/>
          <w:szCs w:val="24"/>
          <w:spacing w:val="-4"/>
        </w:rPr>
        <w:t>、</w:t>
      </w:r>
      <w:r>
        <w:rPr>
          <w:rFonts w:ascii="Times New Roman" w:hAnsi="Times New Roman" w:eastAsia="Times New Roman" w:cs="Times New Roman"/>
          <w:sz w:val="24"/>
          <w:szCs w:val="24"/>
          <w:spacing w:val="-4"/>
        </w:rPr>
        <w:t>Ca²+</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4"/>
        </w:rPr>
        <w:t>、</w:t>
      </w:r>
      <w:r>
        <w:rPr>
          <w:rFonts w:ascii="Times New Roman" w:hAnsi="Times New Roman" w:eastAsia="Times New Roman" w:cs="Times New Roman"/>
          <w:sz w:val="24"/>
          <w:szCs w:val="24"/>
          <w:spacing w:val="-4"/>
        </w:rPr>
        <w:t>Mg²+</w:t>
      </w:r>
      <w:r>
        <w:rPr>
          <w:rFonts w:ascii="SimSun" w:hAnsi="SimSun" w:eastAsia="SimSun" w:cs="SimSun"/>
          <w:sz w:val="24"/>
          <w:szCs w:val="24"/>
          <w:spacing w:val="-4"/>
        </w:rPr>
        <w:t>有所增</w:t>
      </w:r>
      <w:r>
        <w:rPr>
          <w:rFonts w:ascii="SimSun" w:hAnsi="SimSun" w:eastAsia="SimSun" w:cs="SimSun"/>
          <w:sz w:val="24"/>
          <w:szCs w:val="24"/>
        </w:rPr>
        <w:t xml:space="preserve"> </w:t>
      </w:r>
      <w:r>
        <w:rPr>
          <w:rFonts w:ascii="SimSun" w:hAnsi="SimSun" w:eastAsia="SimSun" w:cs="SimSun"/>
          <w:sz w:val="24"/>
          <w:szCs w:val="24"/>
          <w:spacing w:val="-1"/>
        </w:rPr>
        <w:t>加，水质相对较好，经统一收集后排入厂内污水处理站。排放量为12</w:t>
      </w:r>
      <w:r>
        <w:rPr>
          <w:rFonts w:ascii="Times New Roman" w:hAnsi="Times New Roman" w:eastAsia="Times New Roman" w:cs="Times New Roman"/>
          <w:sz w:val="24"/>
          <w:szCs w:val="24"/>
          <w:spacing w:val="-1"/>
        </w:rPr>
        <w:t>m³/d</w:t>
      </w:r>
    </w:p>
    <w:p>
      <w:pPr>
        <w:ind w:right="831" w:firstLine="120"/>
        <w:spacing w:before="2" w:line="341" w:lineRule="auto"/>
        <w:rPr>
          <w:rFonts w:ascii="SimSun" w:hAnsi="SimSun" w:eastAsia="SimSun" w:cs="SimSun"/>
          <w:sz w:val="24"/>
          <w:szCs w:val="24"/>
        </w:rPr>
      </w:pPr>
      <w:r>
        <w:rPr>
          <w:rFonts w:ascii="SimSun" w:hAnsi="SimSun" w:eastAsia="SimSun" w:cs="SimSun"/>
          <w:sz w:val="24"/>
          <w:szCs w:val="24"/>
          <w:spacing w:val="-1"/>
        </w:rPr>
        <w:t>(4320m³/a)。 淡季年工作时间为270天，旺季为90天，则淡季排放量为</w:t>
      </w:r>
      <w:r>
        <w:rPr>
          <w:rFonts w:ascii="SimSun" w:hAnsi="SimSun" w:eastAsia="SimSun" w:cs="SimSun"/>
          <w:sz w:val="24"/>
          <w:szCs w:val="24"/>
        </w:rPr>
        <w:t xml:space="preserve"> </w:t>
      </w:r>
      <w:r>
        <w:rPr>
          <w:rFonts w:ascii="Times New Roman" w:hAnsi="Times New Roman" w:eastAsia="Times New Roman" w:cs="Times New Roman"/>
          <w:sz w:val="24"/>
          <w:szCs w:val="24"/>
          <w:spacing w:val="-1"/>
        </w:rPr>
        <w:t>3240m³/a,</w:t>
      </w:r>
      <w:r>
        <w:rPr>
          <w:rFonts w:ascii="Times New Roman" w:hAnsi="Times New Roman" w:eastAsia="Times New Roman" w:cs="Times New Roman"/>
          <w:sz w:val="24"/>
          <w:szCs w:val="24"/>
          <w:spacing w:val="32"/>
          <w:w w:val="101"/>
        </w:rPr>
        <w:t xml:space="preserve">  </w:t>
      </w:r>
      <w:r>
        <w:rPr>
          <w:rFonts w:ascii="SimSun" w:hAnsi="SimSun" w:eastAsia="SimSun" w:cs="SimSun"/>
          <w:sz w:val="24"/>
          <w:szCs w:val="24"/>
          <w:spacing w:val="-1"/>
        </w:rPr>
        <w:t>旺季为1080</w:t>
      </w:r>
      <w:r>
        <w:rPr>
          <w:rFonts w:ascii="Times New Roman" w:hAnsi="Times New Roman" w:eastAsia="Times New Roman" w:cs="Times New Roman"/>
          <w:sz w:val="24"/>
          <w:szCs w:val="24"/>
          <w:spacing w:val="-1"/>
        </w:rPr>
        <w:t>m³/a</w:t>
      </w:r>
      <w:r>
        <w:rPr>
          <w:rFonts w:ascii="SimSun" w:hAnsi="SimSun" w:eastAsia="SimSun" w:cs="SimSun"/>
          <w:sz w:val="24"/>
          <w:szCs w:val="24"/>
          <w:spacing w:val="-1"/>
        </w:rPr>
        <w:t>。</w:t>
      </w:r>
    </w:p>
    <w:p>
      <w:pPr>
        <w:ind w:left="483"/>
        <w:spacing w:before="26" w:line="217" w:lineRule="auto"/>
        <w:rPr>
          <w:rFonts w:ascii="SimSun" w:hAnsi="SimSun" w:eastAsia="SimSun" w:cs="SimSun"/>
          <w:sz w:val="24"/>
          <w:szCs w:val="24"/>
        </w:rPr>
      </w:pPr>
      <w:r>
        <w:rPr>
          <w:rFonts w:ascii="SimSun" w:hAnsi="SimSun" w:eastAsia="SimSun" w:cs="SimSun"/>
          <w:sz w:val="24"/>
          <w:szCs w:val="24"/>
          <w:b/>
          <w:bCs/>
        </w:rPr>
        <w:t>④蒸汽发生器废水</w:t>
      </w:r>
    </w:p>
    <w:p>
      <w:pPr>
        <w:ind w:right="135" w:firstLine="480"/>
        <w:spacing w:before="204" w:line="351" w:lineRule="auto"/>
        <w:rPr>
          <w:rFonts w:ascii="Times New Roman" w:hAnsi="Times New Roman" w:eastAsia="Times New Roman" w:cs="Times New Roman"/>
          <w:sz w:val="24"/>
          <w:szCs w:val="24"/>
        </w:rPr>
      </w:pPr>
      <w:r>
        <w:rPr>
          <w:rFonts w:ascii="SimSun" w:hAnsi="SimSun" w:eastAsia="SimSun" w:cs="SimSun"/>
          <w:sz w:val="24"/>
          <w:szCs w:val="24"/>
          <w:spacing w:val="-2"/>
        </w:rPr>
        <w:t>项目设有1台1.5</w:t>
      </w:r>
      <w:r>
        <w:rPr>
          <w:rFonts w:ascii="Times New Roman" w:hAnsi="Times New Roman" w:eastAsia="Times New Roman" w:cs="Times New Roman"/>
          <w:sz w:val="24"/>
          <w:szCs w:val="24"/>
          <w:spacing w:val="-2"/>
        </w:rPr>
        <w:t>t/h</w:t>
      </w:r>
      <w:r>
        <w:rPr>
          <w:rFonts w:ascii="SimSun" w:hAnsi="SimSun" w:eastAsia="SimSun" w:cs="SimSun"/>
          <w:sz w:val="24"/>
          <w:szCs w:val="24"/>
          <w:spacing w:val="-2"/>
        </w:rPr>
        <w:t>蒸汽发生器，蒸汽发生器配套设有1套软水制备系</w:t>
      </w:r>
      <w:r>
        <w:rPr>
          <w:rFonts w:ascii="SimSun" w:hAnsi="SimSun" w:eastAsia="SimSun" w:cs="SimSun"/>
          <w:sz w:val="24"/>
          <w:szCs w:val="24"/>
          <w:spacing w:val="-3"/>
        </w:rPr>
        <w:t>统，制</w:t>
      </w:r>
      <w:r>
        <w:rPr>
          <w:rFonts w:ascii="SimSun" w:hAnsi="SimSun" w:eastAsia="SimSun" w:cs="SimSun"/>
          <w:sz w:val="24"/>
          <w:szCs w:val="24"/>
        </w:rPr>
        <w:t xml:space="preserve"> </w:t>
      </w:r>
      <w:r>
        <w:rPr>
          <w:rFonts w:ascii="SimSun" w:hAnsi="SimSun" w:eastAsia="SimSun" w:cs="SimSun"/>
          <w:sz w:val="24"/>
          <w:szCs w:val="24"/>
          <w:spacing w:val="-2"/>
        </w:rPr>
        <w:t>备能力1.5</w:t>
      </w:r>
      <w:r>
        <w:rPr>
          <w:rFonts w:ascii="Times New Roman" w:hAnsi="Times New Roman" w:eastAsia="Times New Roman" w:cs="Times New Roman"/>
          <w:sz w:val="24"/>
          <w:szCs w:val="24"/>
          <w:spacing w:val="-2"/>
        </w:rPr>
        <w:t>t/h,</w:t>
      </w:r>
      <w:r>
        <w:rPr>
          <w:rFonts w:ascii="Times New Roman" w:hAnsi="Times New Roman" w:eastAsia="Times New Roman" w:cs="Times New Roman"/>
          <w:sz w:val="24"/>
          <w:szCs w:val="24"/>
          <w:spacing w:val="33"/>
          <w:w w:val="101"/>
        </w:rPr>
        <w:t xml:space="preserve">  </w:t>
      </w:r>
      <w:r>
        <w:rPr>
          <w:rFonts w:ascii="SimSun" w:hAnsi="SimSun" w:eastAsia="SimSun" w:cs="SimSun"/>
          <w:sz w:val="24"/>
          <w:szCs w:val="24"/>
          <w:spacing w:val="-2"/>
        </w:rPr>
        <w:t>采用反渗透工艺，每天制备软水12</w:t>
      </w:r>
      <w:r>
        <w:rPr>
          <w:rFonts w:ascii="Times New Roman" w:hAnsi="Times New Roman" w:eastAsia="Times New Roman" w:cs="Times New Roman"/>
          <w:sz w:val="24"/>
          <w:szCs w:val="24"/>
          <w:spacing w:val="-2"/>
        </w:rPr>
        <w:t>t,</w:t>
      </w:r>
      <w:r>
        <w:rPr>
          <w:rFonts w:ascii="Times New Roman" w:hAnsi="Times New Roman" w:eastAsia="Times New Roman" w:cs="Times New Roman"/>
          <w:sz w:val="24"/>
          <w:szCs w:val="24"/>
          <w:spacing w:val="18"/>
        </w:rPr>
        <w:t xml:space="preserve">  </w:t>
      </w:r>
      <w:r>
        <w:rPr>
          <w:rFonts w:ascii="SimSun" w:hAnsi="SimSun" w:eastAsia="SimSun" w:cs="SimSun"/>
          <w:sz w:val="24"/>
          <w:szCs w:val="24"/>
          <w:spacing w:val="-2"/>
        </w:rPr>
        <w:t>产生废水4</w:t>
      </w:r>
      <w:r>
        <w:rPr>
          <w:rFonts w:ascii="Times New Roman" w:hAnsi="Times New Roman" w:eastAsia="Times New Roman" w:cs="Times New Roman"/>
          <w:sz w:val="24"/>
          <w:szCs w:val="24"/>
          <w:spacing w:val="-2"/>
        </w:rPr>
        <w:t>m³/d</w:t>
      </w:r>
    </w:p>
    <w:p>
      <w:pPr>
        <w:ind w:right="193" w:firstLine="120"/>
        <w:spacing w:before="1" w:line="358" w:lineRule="auto"/>
        <w:rPr>
          <w:rFonts w:ascii="SimSun" w:hAnsi="SimSun" w:eastAsia="SimSun" w:cs="SimSun"/>
          <w:sz w:val="24"/>
          <w:szCs w:val="24"/>
        </w:rPr>
      </w:pPr>
      <w:r>
        <w:rPr>
          <w:rFonts w:ascii="Times New Roman" w:hAnsi="Times New Roman" w:eastAsia="Times New Roman" w:cs="Times New Roman"/>
          <w:sz w:val="24"/>
          <w:szCs w:val="24"/>
          <w:spacing w:val="1"/>
        </w:rPr>
        <w:t>(1440m³/a),      </w:t>
      </w:r>
      <w:r>
        <w:rPr>
          <w:rFonts w:ascii="SimSun" w:hAnsi="SimSun" w:eastAsia="SimSun" w:cs="SimSun"/>
          <w:sz w:val="24"/>
          <w:szCs w:val="24"/>
          <w:spacing w:val="1"/>
        </w:rPr>
        <w:t>主要污染物成分为</w:t>
      </w:r>
      <w:r>
        <w:rPr>
          <w:rFonts w:ascii="Times New Roman" w:hAnsi="Times New Roman" w:eastAsia="Times New Roman" w:cs="Times New Roman"/>
          <w:sz w:val="24"/>
          <w:szCs w:val="24"/>
        </w:rPr>
        <w:t>SS</w:t>
      </w:r>
      <w:r>
        <w:rPr>
          <w:rFonts w:ascii="Times New Roman" w:hAnsi="Times New Roman" w:eastAsia="Times New Roman" w:cs="Times New Roman"/>
          <w:sz w:val="24"/>
          <w:szCs w:val="24"/>
          <w:spacing w:val="1"/>
        </w:rPr>
        <w:t>,   </w:t>
      </w:r>
      <w:r>
        <w:rPr>
          <w:rFonts w:ascii="SimSun" w:hAnsi="SimSun" w:eastAsia="SimSun" w:cs="SimSun"/>
          <w:sz w:val="24"/>
          <w:szCs w:val="24"/>
          <w:spacing w:val="1"/>
        </w:rPr>
        <w:t>水质相对较好，废水经统</w:t>
      </w:r>
      <w:r>
        <w:rPr>
          <w:rFonts w:ascii="SimSun" w:hAnsi="SimSun" w:eastAsia="SimSun" w:cs="SimSun"/>
          <w:sz w:val="24"/>
          <w:szCs w:val="24"/>
        </w:rPr>
        <w:t>一收集后排入 </w:t>
      </w:r>
      <w:r>
        <w:rPr>
          <w:rFonts w:ascii="SimSun" w:hAnsi="SimSun" w:eastAsia="SimSun" w:cs="SimSun"/>
          <w:sz w:val="24"/>
          <w:szCs w:val="24"/>
          <w:spacing w:val="1"/>
        </w:rPr>
        <w:t>厂内污水处理站。淡季年工作时间为270天，</w:t>
      </w:r>
      <w:r>
        <w:rPr>
          <w:rFonts w:ascii="SimSun" w:hAnsi="SimSun" w:eastAsia="SimSun" w:cs="SimSun"/>
          <w:sz w:val="24"/>
          <w:szCs w:val="24"/>
        </w:rPr>
        <w:t>旺季为90天，则淡季排放量为</w:t>
      </w:r>
    </w:p>
    <w:p>
      <w:pPr>
        <w:spacing w:line="212" w:lineRule="auto"/>
        <w:rPr>
          <w:rFonts w:ascii="SimSun" w:hAnsi="SimSun" w:eastAsia="SimSun" w:cs="SimSun"/>
          <w:sz w:val="24"/>
          <w:szCs w:val="24"/>
        </w:rPr>
      </w:pPr>
      <w:r>
        <w:rPr>
          <w:rFonts w:ascii="Times New Roman" w:hAnsi="Times New Roman" w:eastAsia="Times New Roman" w:cs="Times New Roman"/>
          <w:sz w:val="24"/>
          <w:szCs w:val="24"/>
          <w:spacing w:val="-2"/>
        </w:rPr>
        <w:t>1080m³/a,</w:t>
      </w:r>
      <w:r>
        <w:rPr>
          <w:rFonts w:ascii="Times New Roman" w:hAnsi="Times New Roman" w:eastAsia="Times New Roman" w:cs="Times New Roman"/>
          <w:sz w:val="24"/>
          <w:szCs w:val="24"/>
          <w:spacing w:val="37"/>
        </w:rPr>
        <w:t xml:space="preserve">  </w:t>
      </w:r>
      <w:r>
        <w:rPr>
          <w:rFonts w:ascii="SimSun" w:hAnsi="SimSun" w:eastAsia="SimSun" w:cs="SimSun"/>
          <w:sz w:val="24"/>
          <w:szCs w:val="24"/>
          <w:spacing w:val="-2"/>
        </w:rPr>
        <w:t>旺季为360</w:t>
      </w:r>
      <w:r>
        <w:rPr>
          <w:rFonts w:ascii="Times New Roman" w:hAnsi="Times New Roman" w:eastAsia="Times New Roman" w:cs="Times New Roman"/>
          <w:sz w:val="24"/>
          <w:szCs w:val="24"/>
          <w:spacing w:val="-2"/>
        </w:rPr>
        <w:t>m³/a</w:t>
      </w:r>
      <w:r>
        <w:rPr>
          <w:rFonts w:ascii="SimSun" w:hAnsi="SimSun" w:eastAsia="SimSun" w:cs="SimSun"/>
          <w:sz w:val="24"/>
          <w:szCs w:val="24"/>
          <w:spacing w:val="-2"/>
        </w:rPr>
        <w:t>。</w:t>
      </w:r>
    </w:p>
    <w:p>
      <w:pPr>
        <w:ind w:left="483"/>
        <w:spacing w:before="194" w:line="217" w:lineRule="auto"/>
        <w:rPr>
          <w:rFonts w:ascii="SimSun" w:hAnsi="SimSun" w:eastAsia="SimSun" w:cs="SimSun"/>
          <w:sz w:val="24"/>
          <w:szCs w:val="24"/>
        </w:rPr>
      </w:pPr>
      <w:r>
        <w:rPr>
          <w:rFonts w:ascii="SimSun" w:hAnsi="SimSun" w:eastAsia="SimSun" w:cs="SimSun"/>
          <w:sz w:val="24"/>
          <w:szCs w:val="24"/>
          <w:b/>
          <w:bCs/>
        </w:rPr>
        <w:t>⑤初期雨水</w:t>
      </w:r>
    </w:p>
    <w:p>
      <w:pPr>
        <w:ind w:right="54" w:firstLine="480"/>
        <w:spacing w:before="209" w:line="354" w:lineRule="auto"/>
        <w:rPr>
          <w:rFonts w:ascii="SimSun" w:hAnsi="SimSun" w:eastAsia="SimSun" w:cs="SimSun"/>
          <w:sz w:val="24"/>
          <w:szCs w:val="24"/>
        </w:rPr>
      </w:pPr>
      <w:r>
        <w:rPr>
          <w:rFonts w:ascii="SimSun" w:hAnsi="SimSun" w:eastAsia="SimSun" w:cs="SimSun"/>
          <w:sz w:val="24"/>
          <w:szCs w:val="24"/>
        </w:rPr>
        <w:t>根据《石油化工给水排水系统设计规范》 (SH/T3015-2019),  初期雨水量</w:t>
      </w:r>
      <w:r>
        <w:rPr>
          <w:rFonts w:ascii="SimSun" w:hAnsi="SimSun" w:eastAsia="SimSun" w:cs="SimSun"/>
          <w:sz w:val="24"/>
          <w:szCs w:val="24"/>
          <w:spacing w:val="18"/>
        </w:rPr>
        <w:t xml:space="preserve"> </w:t>
      </w:r>
      <w:r>
        <w:rPr>
          <w:rFonts w:ascii="SimSun" w:hAnsi="SimSun" w:eastAsia="SimSun" w:cs="SimSun"/>
          <w:sz w:val="24"/>
          <w:szCs w:val="24"/>
        </w:rPr>
        <w:t>可由暴雨强度公式计算，也可由降水量和污染区</w:t>
      </w:r>
      <w:r>
        <w:rPr>
          <w:rFonts w:ascii="SimSun" w:hAnsi="SimSun" w:eastAsia="SimSun" w:cs="SimSun"/>
          <w:sz w:val="24"/>
          <w:szCs w:val="24"/>
          <w:spacing w:val="-1"/>
        </w:rPr>
        <w:t>面积的乘积进行计算。规范推</w:t>
      </w:r>
      <w:r>
        <w:rPr>
          <w:rFonts w:ascii="SimSun" w:hAnsi="SimSun" w:eastAsia="SimSun" w:cs="SimSun"/>
          <w:sz w:val="24"/>
          <w:szCs w:val="24"/>
        </w:rPr>
        <w:t xml:space="preserve">  </w:t>
      </w:r>
      <w:r>
        <w:rPr>
          <w:rFonts w:ascii="SimSun" w:hAnsi="SimSun" w:eastAsia="SimSun" w:cs="SimSun"/>
          <w:sz w:val="24"/>
          <w:szCs w:val="24"/>
          <w:spacing w:val="4"/>
        </w:rPr>
        <w:t>荐采用降水量(15</w:t>
      </w:r>
      <w:r>
        <w:rPr>
          <w:rFonts w:ascii="Times New Roman" w:hAnsi="Times New Roman" w:eastAsia="Times New Roman" w:cs="Times New Roman"/>
          <w:sz w:val="24"/>
          <w:szCs w:val="24"/>
        </w:rPr>
        <w:t>mm</w:t>
      </w:r>
      <w:r>
        <w:rPr>
          <w:rFonts w:ascii="Times New Roman" w:hAnsi="Times New Roman" w:eastAsia="Times New Roman" w:cs="Times New Roman"/>
          <w:sz w:val="24"/>
          <w:szCs w:val="24"/>
          <w:spacing w:val="4"/>
        </w:rPr>
        <w:t>~30</w:t>
      </w:r>
      <w:r>
        <w:rPr>
          <w:rFonts w:ascii="Times New Roman" w:hAnsi="Times New Roman" w:eastAsia="Times New Roman" w:cs="Times New Roman"/>
          <w:sz w:val="24"/>
          <w:szCs w:val="24"/>
        </w:rPr>
        <w:t>mm</w:t>
      </w:r>
      <w:r>
        <w:rPr>
          <w:rFonts w:ascii="Times New Roman" w:hAnsi="Times New Roman" w:eastAsia="Times New Roman" w:cs="Times New Roman"/>
          <w:sz w:val="24"/>
          <w:szCs w:val="24"/>
          <w:spacing w:val="4"/>
        </w:rPr>
        <w:t>)  </w:t>
      </w:r>
      <w:r>
        <w:rPr>
          <w:rFonts w:ascii="SimSun" w:hAnsi="SimSun" w:eastAsia="SimSun" w:cs="SimSun"/>
          <w:sz w:val="24"/>
          <w:szCs w:val="24"/>
          <w:spacing w:val="4"/>
        </w:rPr>
        <w:t>和污染区面积的乘积来计算初期雨水量。</w:t>
      </w:r>
    </w:p>
    <w:p>
      <w:pPr>
        <w:ind w:right="152" w:firstLine="480"/>
        <w:spacing w:before="7" w:line="354" w:lineRule="auto"/>
        <w:rPr>
          <w:rFonts w:ascii="SimSun" w:hAnsi="SimSun" w:eastAsia="SimSun" w:cs="SimSun"/>
          <w:sz w:val="24"/>
          <w:szCs w:val="24"/>
        </w:rPr>
      </w:pPr>
      <w:r>
        <w:rPr>
          <w:rFonts w:ascii="SimSun" w:hAnsi="SimSun" w:eastAsia="SimSun" w:cs="SimSun"/>
          <w:sz w:val="24"/>
          <w:szCs w:val="24"/>
          <w:spacing w:val="-2"/>
        </w:rPr>
        <w:t>本项目降水量取其平均值22.5</w:t>
      </w:r>
      <w:r>
        <w:rPr>
          <w:rFonts w:ascii="Times New Roman" w:hAnsi="Times New Roman" w:eastAsia="Times New Roman" w:cs="Times New Roman"/>
          <w:sz w:val="24"/>
          <w:szCs w:val="24"/>
          <w:spacing w:val="-2"/>
        </w:rPr>
        <w:t>mm,</w:t>
      </w:r>
      <w:r>
        <w:rPr>
          <w:rFonts w:ascii="Times New Roman" w:hAnsi="Times New Roman" w:eastAsia="Times New Roman" w:cs="Times New Roman"/>
          <w:sz w:val="24"/>
          <w:szCs w:val="24"/>
          <w:spacing w:val="24"/>
          <w:w w:val="101"/>
        </w:rPr>
        <w:t xml:space="preserve">  </w:t>
      </w:r>
      <w:r>
        <w:rPr>
          <w:rFonts w:ascii="SimSun" w:hAnsi="SimSun" w:eastAsia="SimSun" w:cs="SimSun"/>
          <w:sz w:val="24"/>
          <w:szCs w:val="24"/>
          <w:spacing w:val="-2"/>
        </w:rPr>
        <w:t>根据项目</w:t>
      </w:r>
      <w:r>
        <w:rPr>
          <w:rFonts w:ascii="SimSun" w:hAnsi="SimSun" w:eastAsia="SimSun" w:cs="SimSun"/>
          <w:sz w:val="24"/>
          <w:szCs w:val="24"/>
          <w:spacing w:val="-3"/>
        </w:rPr>
        <w:t>平面布置，除办公生活区和绿</w:t>
      </w:r>
      <w:r>
        <w:rPr>
          <w:rFonts w:ascii="SimSun" w:hAnsi="SimSun" w:eastAsia="SimSun" w:cs="SimSun"/>
          <w:sz w:val="24"/>
          <w:szCs w:val="24"/>
        </w:rPr>
        <w:t xml:space="preserve"> </w:t>
      </w:r>
      <w:r>
        <w:rPr>
          <w:rFonts w:ascii="SimSun" w:hAnsi="SimSun" w:eastAsia="SimSun" w:cs="SimSun"/>
          <w:sz w:val="24"/>
          <w:szCs w:val="24"/>
          <w:spacing w:val="-1"/>
        </w:rPr>
        <w:t>化区外厂区道路及裸露区域汇水面积约2720</w:t>
      </w:r>
      <w:r>
        <w:rPr>
          <w:rFonts w:ascii="Times New Roman" w:hAnsi="Times New Roman" w:eastAsia="Times New Roman" w:cs="Times New Roman"/>
          <w:sz w:val="24"/>
          <w:szCs w:val="24"/>
          <w:spacing w:val="-1"/>
        </w:rPr>
        <w:t>m²,</w:t>
      </w:r>
      <w:r>
        <w:rPr>
          <w:rFonts w:ascii="Times New Roman" w:hAnsi="Times New Roman" w:eastAsia="Times New Roman" w:cs="Times New Roman"/>
          <w:sz w:val="24"/>
          <w:szCs w:val="24"/>
          <w:spacing w:val="31"/>
          <w:w w:val="101"/>
        </w:rPr>
        <w:t xml:space="preserve">  </w:t>
      </w:r>
      <w:r>
        <w:rPr>
          <w:rFonts w:ascii="SimSun" w:hAnsi="SimSun" w:eastAsia="SimSun" w:cs="SimSun"/>
          <w:sz w:val="24"/>
          <w:szCs w:val="24"/>
          <w:spacing w:val="-1"/>
        </w:rPr>
        <w:t>则项目厂区一次初期雨水量为</w:t>
      </w:r>
      <w:r>
        <w:rPr>
          <w:rFonts w:ascii="SimSun" w:hAnsi="SimSun" w:eastAsia="SimSun" w:cs="SimSun"/>
          <w:sz w:val="24"/>
          <w:szCs w:val="24"/>
        </w:rPr>
        <w:t xml:space="preserve"> </w:t>
      </w:r>
      <w:r>
        <w:rPr>
          <w:rFonts w:ascii="Times New Roman" w:hAnsi="Times New Roman" w:eastAsia="Times New Roman" w:cs="Times New Roman"/>
          <w:sz w:val="24"/>
          <w:szCs w:val="24"/>
        </w:rPr>
        <w:t>61.2m³</w:t>
      </w:r>
      <w:r>
        <w:rPr>
          <w:rFonts w:ascii="Times New Roman" w:hAnsi="Times New Roman" w:eastAsia="Times New Roman" w:cs="Times New Roman"/>
          <w:sz w:val="24"/>
          <w:szCs w:val="24"/>
          <w:spacing w:val="-27"/>
        </w:rPr>
        <w:t xml:space="preserve"> </w:t>
      </w:r>
      <w:r>
        <w:rPr>
          <w:rFonts w:ascii="SimSun" w:hAnsi="SimSun" w:eastAsia="SimSun" w:cs="SimSun"/>
          <w:sz w:val="24"/>
          <w:szCs w:val="24"/>
        </w:rPr>
        <w:t>。按年均暴雨次数10次计，则年产生的初期雨</w:t>
      </w:r>
      <w:r>
        <w:rPr>
          <w:rFonts w:ascii="SimSun" w:hAnsi="SimSun" w:eastAsia="SimSun" w:cs="SimSun"/>
          <w:sz w:val="24"/>
          <w:szCs w:val="24"/>
          <w:spacing w:val="-1"/>
        </w:rPr>
        <w:t>水量为612</w:t>
      </w:r>
      <w:r>
        <w:rPr>
          <w:rFonts w:ascii="Times New Roman" w:hAnsi="Times New Roman" w:eastAsia="Times New Roman" w:cs="Times New Roman"/>
          <w:sz w:val="24"/>
          <w:szCs w:val="24"/>
          <w:spacing w:val="-1"/>
        </w:rPr>
        <w:t>m³/a</w:t>
      </w:r>
      <w:r>
        <w:rPr>
          <w:rFonts w:ascii="Times New Roman" w:hAnsi="Times New Roman" w:eastAsia="Times New Roman" w:cs="Times New Roman"/>
          <w:sz w:val="24"/>
          <w:szCs w:val="24"/>
          <w:spacing w:val="51"/>
        </w:rPr>
        <w:t xml:space="preserve"> </w:t>
      </w:r>
      <w:r>
        <w:rPr>
          <w:rFonts w:ascii="SimSun" w:hAnsi="SimSun" w:eastAsia="SimSun" w:cs="SimSun"/>
          <w:sz w:val="24"/>
          <w:szCs w:val="24"/>
          <w:spacing w:val="-1"/>
        </w:rPr>
        <w:t>(平均约</w:t>
      </w:r>
    </w:p>
    <w:p>
      <w:pPr>
        <w:ind w:right="401"/>
        <w:spacing w:line="359" w:lineRule="auto"/>
        <w:rPr>
          <w:rFonts w:ascii="SimSun" w:hAnsi="SimSun" w:eastAsia="SimSun" w:cs="SimSun"/>
          <w:sz w:val="24"/>
          <w:szCs w:val="24"/>
        </w:rPr>
      </w:pPr>
      <w:r>
        <w:rPr>
          <w:rFonts w:ascii="Times New Roman" w:hAnsi="Times New Roman" w:eastAsia="Times New Roman" w:cs="Times New Roman"/>
          <w:sz w:val="24"/>
          <w:szCs w:val="24"/>
          <w:spacing w:val="1"/>
        </w:rPr>
        <w:t>1.7m³/d),     </w:t>
      </w:r>
      <w:r>
        <w:rPr>
          <w:rFonts w:ascii="SimSun" w:hAnsi="SimSun" w:eastAsia="SimSun" w:cs="SimSun"/>
          <w:sz w:val="24"/>
          <w:szCs w:val="24"/>
          <w:spacing w:val="1"/>
        </w:rPr>
        <w:t>淡旺季产生量按照平均水量进行核算，初期雨水中主要污染物为</w:t>
      </w:r>
      <w:r>
        <w:rPr>
          <w:rFonts w:ascii="SimSun" w:hAnsi="SimSun" w:eastAsia="SimSun" w:cs="SimSun"/>
          <w:sz w:val="24"/>
          <w:szCs w:val="24"/>
          <w:spacing w:val="3"/>
        </w:rPr>
        <w:t xml:space="preserve"> </w:t>
      </w:r>
      <w:r>
        <w:rPr>
          <w:rFonts w:ascii="Times New Roman" w:hAnsi="Times New Roman" w:eastAsia="Times New Roman" w:cs="Times New Roman"/>
          <w:sz w:val="24"/>
          <w:szCs w:val="24"/>
        </w:rPr>
        <w:t>SS</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spacing w:val="54"/>
        </w:rPr>
        <w:t xml:space="preserve"> </w:t>
      </w:r>
      <w:r>
        <w:rPr>
          <w:rFonts w:ascii="SimSun" w:hAnsi="SimSun" w:eastAsia="SimSun" w:cs="SimSun"/>
          <w:sz w:val="24"/>
          <w:szCs w:val="24"/>
          <w:spacing w:val="2"/>
        </w:rPr>
        <w:t>但可能沾染粪便或尿液，产生情况如下：</w:t>
      </w:r>
    </w:p>
    <w:p>
      <w:pPr>
        <w:ind w:left="2193"/>
        <w:spacing w:before="10" w:line="219" w:lineRule="auto"/>
        <w:rPr>
          <w:rFonts w:ascii="SimSun" w:hAnsi="SimSun" w:eastAsia="SimSun" w:cs="SimSun"/>
          <w:sz w:val="24"/>
          <w:szCs w:val="24"/>
        </w:rPr>
      </w:pPr>
      <w:r>
        <w:rPr>
          <w:rFonts w:ascii="SimSun" w:hAnsi="SimSun" w:eastAsia="SimSun" w:cs="SimSun"/>
          <w:sz w:val="24"/>
          <w:szCs w:val="24"/>
          <w:b/>
          <w:bCs/>
          <w:spacing w:val="-3"/>
        </w:rPr>
        <w:t>表3.11-8项目初期雨水水质情况一览表</w:t>
      </w:r>
    </w:p>
    <w:p>
      <w:pPr>
        <w:spacing w:line="43" w:lineRule="auto"/>
        <w:rPr>
          <w:rFonts w:ascii="Arial"/>
          <w:sz w:val="2"/>
        </w:rPr>
      </w:pPr>
      <w:r>
        <w:rPr>
          <w:rFonts w:ascii="Arial"/>
          <w:sz w:val="2"/>
        </w:rPr>
      </w:r>
    </w:p>
    <w:tbl>
      <w:tblPr>
        <w:tblStyle w:val="TableNormal"/>
        <w:tblW w:w="8320" w:type="dxa"/>
        <w:tblInd w:w="1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353"/>
        <w:gridCol w:w="1978"/>
        <w:gridCol w:w="1328"/>
        <w:gridCol w:w="1269"/>
        <w:gridCol w:w="1278"/>
        <w:gridCol w:w="1114"/>
      </w:tblGrid>
      <w:tr>
        <w:trPr>
          <w:trHeight w:val="294" w:hRule="atLeast"/>
        </w:trPr>
        <w:tc>
          <w:tcPr>
            <w:shd w:val="clear" w:fill="BDBDBD"/>
            <w:tcW w:w="1353" w:type="dxa"/>
            <w:vAlign w:val="top"/>
          </w:tcPr>
          <w:p>
            <w:pPr>
              <w:pStyle w:val="TableText"/>
              <w:ind w:left="248"/>
              <w:spacing w:before="40" w:line="214" w:lineRule="auto"/>
              <w:rPr>
                <w:sz w:val="21"/>
                <w:szCs w:val="21"/>
              </w:rPr>
            </w:pPr>
            <w:r>
              <w:rPr>
                <w:sz w:val="21"/>
                <w:szCs w:val="21"/>
                <w:b/>
                <w:bCs/>
                <w:spacing w:val="-4"/>
              </w:rPr>
              <w:t>初期雨水</w:t>
            </w:r>
          </w:p>
        </w:tc>
        <w:tc>
          <w:tcPr>
            <w:shd w:val="clear" w:fill="BDBDBD"/>
            <w:tcW w:w="1978" w:type="dxa"/>
            <w:vAlign w:val="top"/>
          </w:tcPr>
          <w:p>
            <w:pPr>
              <w:pStyle w:val="TableText"/>
              <w:ind w:left="455"/>
              <w:spacing w:before="41" w:line="213" w:lineRule="auto"/>
              <w:rPr>
                <w:sz w:val="21"/>
                <w:szCs w:val="21"/>
              </w:rPr>
            </w:pPr>
            <w:r>
              <w:rPr>
                <w:sz w:val="21"/>
                <w:szCs w:val="21"/>
                <w:b/>
                <w:bCs/>
                <w:spacing w:val="-4"/>
              </w:rPr>
              <w:t>污染物名称</w:t>
            </w:r>
          </w:p>
        </w:tc>
        <w:tc>
          <w:tcPr>
            <w:shd w:val="clear" w:fill="BDBDBD"/>
            <w:tcW w:w="1328" w:type="dxa"/>
            <w:vAlign w:val="top"/>
          </w:tcPr>
          <w:p>
            <w:pPr>
              <w:pStyle w:val="TableText"/>
              <w:ind w:left="497"/>
              <w:spacing w:before="96" w:line="165" w:lineRule="auto"/>
              <w:rPr>
                <w:sz w:val="21"/>
                <w:szCs w:val="21"/>
              </w:rPr>
            </w:pPr>
            <w:r>
              <w:rPr>
                <w:sz w:val="21"/>
                <w:szCs w:val="21"/>
                <w:b/>
                <w:bCs/>
                <w:spacing w:val="-4"/>
              </w:rPr>
              <w:t>COD</w:t>
            </w:r>
          </w:p>
        </w:tc>
        <w:tc>
          <w:tcPr>
            <w:shd w:val="clear" w:fill="BDBDBD"/>
            <w:tcW w:w="1269" w:type="dxa"/>
            <w:vAlign w:val="top"/>
          </w:tcPr>
          <w:p>
            <w:pPr>
              <w:pStyle w:val="TableText"/>
              <w:ind w:left="369"/>
              <w:spacing w:before="75" w:line="183" w:lineRule="auto"/>
              <w:rPr>
                <w:rFonts w:ascii="Calibri" w:hAnsi="Calibri" w:eastAsia="Calibri" w:cs="Calibri"/>
                <w:sz w:val="21"/>
                <w:szCs w:val="21"/>
              </w:rPr>
            </w:pPr>
            <w:r>
              <w:rPr>
                <w:sz w:val="21"/>
                <w:szCs w:val="21"/>
                <w:b/>
                <w:bCs/>
                <w:spacing w:val="-3"/>
              </w:rPr>
              <w:t>BOD</w:t>
            </w:r>
            <w:r>
              <w:rPr>
                <w:rFonts w:ascii="Calibri" w:hAnsi="Calibri" w:eastAsia="Calibri" w:cs="Calibri"/>
                <w:sz w:val="21"/>
                <w:szCs w:val="21"/>
                <w:b/>
                <w:bCs/>
                <w:spacing w:val="-3"/>
              </w:rPr>
              <w:t>₅</w:t>
            </w:r>
          </w:p>
        </w:tc>
        <w:tc>
          <w:tcPr>
            <w:shd w:val="clear" w:fill="BDBDBD"/>
            <w:tcW w:w="1278" w:type="dxa"/>
            <w:vAlign w:val="top"/>
          </w:tcPr>
          <w:p>
            <w:pPr>
              <w:pStyle w:val="TableText"/>
              <w:ind w:left="530"/>
              <w:spacing w:before="96" w:line="165" w:lineRule="auto"/>
              <w:rPr>
                <w:sz w:val="21"/>
                <w:szCs w:val="21"/>
              </w:rPr>
            </w:pPr>
            <w:r>
              <w:rPr>
                <w:sz w:val="21"/>
                <w:szCs w:val="21"/>
                <w:b/>
                <w:bCs/>
                <w:spacing w:val="-5"/>
              </w:rPr>
              <w:t>SS</w:t>
            </w:r>
          </w:p>
        </w:tc>
        <w:tc>
          <w:tcPr>
            <w:shd w:val="clear" w:fill="BDBDBD"/>
            <w:tcW w:w="1114" w:type="dxa"/>
            <w:vAlign w:val="top"/>
          </w:tcPr>
          <w:p>
            <w:pPr>
              <w:pStyle w:val="TableText"/>
              <w:ind w:left="242"/>
              <w:spacing w:before="76" w:line="182" w:lineRule="auto"/>
              <w:rPr>
                <w:sz w:val="21"/>
                <w:szCs w:val="21"/>
              </w:rPr>
            </w:pPr>
            <w:r>
              <w:rPr>
                <w:sz w:val="21"/>
                <w:szCs w:val="21"/>
                <w:b/>
                <w:bCs/>
                <w:spacing w:val="-3"/>
              </w:rPr>
              <w:t>NH</w:t>
            </w:r>
            <w:r>
              <w:rPr>
                <w:rFonts w:ascii="Calibri" w:hAnsi="Calibri" w:eastAsia="Calibri" w:cs="Calibri"/>
                <w:sz w:val="21"/>
                <w:szCs w:val="21"/>
                <w:b/>
                <w:bCs/>
                <w:spacing w:val="-3"/>
              </w:rPr>
              <w:t>₃</w:t>
            </w:r>
            <w:r>
              <w:rPr>
                <w:sz w:val="21"/>
                <w:szCs w:val="21"/>
                <w:b/>
                <w:bCs/>
                <w:spacing w:val="-3"/>
              </w:rPr>
              <w:t>-N</w:t>
            </w:r>
          </w:p>
        </w:tc>
      </w:tr>
      <w:tr>
        <w:trPr>
          <w:trHeight w:val="259" w:hRule="atLeast"/>
        </w:trPr>
        <w:tc>
          <w:tcPr>
            <w:tcW w:w="1353" w:type="dxa"/>
            <w:vAlign w:val="top"/>
            <w:vMerge w:val="restart"/>
            <w:tcBorders>
              <w:bottom w:val="nil"/>
            </w:tcBorders>
          </w:tcPr>
          <w:p>
            <w:pPr>
              <w:pStyle w:val="TableText"/>
              <w:ind w:left="455"/>
              <w:spacing w:before="8" w:line="219" w:lineRule="auto"/>
              <w:rPr>
                <w:sz w:val="21"/>
                <w:szCs w:val="21"/>
              </w:rPr>
            </w:pPr>
            <w:r>
              <w:rPr>
                <w:sz w:val="21"/>
                <w:szCs w:val="21"/>
                <w:color w:val="404040"/>
                <w:spacing w:val="4"/>
              </w:rPr>
              <w:t>淡季</w:t>
            </w:r>
          </w:p>
          <w:p>
            <w:pPr>
              <w:pStyle w:val="TableText"/>
              <w:ind w:left="145"/>
              <w:spacing w:before="45" w:line="198" w:lineRule="auto"/>
              <w:rPr>
                <w:sz w:val="21"/>
                <w:szCs w:val="21"/>
              </w:rPr>
            </w:pPr>
            <w:r>
              <w:rPr>
                <w:sz w:val="21"/>
                <w:szCs w:val="21"/>
                <w:spacing w:val="-5"/>
              </w:rPr>
              <w:t>(459m³/a)</w:t>
            </w:r>
          </w:p>
        </w:tc>
        <w:tc>
          <w:tcPr>
            <w:tcW w:w="1978" w:type="dxa"/>
            <w:vAlign w:val="top"/>
          </w:tcPr>
          <w:p>
            <w:pPr>
              <w:pStyle w:val="TableText"/>
              <w:ind w:left="242"/>
              <w:spacing w:before="22" w:line="199" w:lineRule="auto"/>
              <w:rPr>
                <w:sz w:val="21"/>
                <w:szCs w:val="21"/>
              </w:rPr>
            </w:pPr>
            <w:r>
              <w:rPr>
                <w:sz w:val="21"/>
                <w:szCs w:val="21"/>
                <w:spacing w:val="5"/>
              </w:rPr>
              <w:t>产生浓度(</w:t>
            </w:r>
            <w:r>
              <w:rPr>
                <w:sz w:val="21"/>
                <w:szCs w:val="21"/>
              </w:rPr>
              <w:t>mg</w:t>
            </w:r>
            <w:r>
              <w:rPr>
                <w:sz w:val="21"/>
                <w:szCs w:val="21"/>
                <w:spacing w:val="5"/>
              </w:rPr>
              <w:t>/L)</w:t>
            </w:r>
          </w:p>
        </w:tc>
        <w:tc>
          <w:tcPr>
            <w:tcW w:w="1328" w:type="dxa"/>
            <w:vAlign w:val="top"/>
          </w:tcPr>
          <w:p>
            <w:pPr>
              <w:pStyle w:val="TableText"/>
              <w:ind w:left="494"/>
              <w:spacing w:before="51" w:line="174" w:lineRule="auto"/>
              <w:rPr>
                <w:sz w:val="21"/>
                <w:szCs w:val="21"/>
              </w:rPr>
            </w:pPr>
            <w:r>
              <w:rPr>
                <w:sz w:val="21"/>
                <w:szCs w:val="21"/>
                <w:spacing w:val="-3"/>
              </w:rPr>
              <w:t>300</w:t>
            </w:r>
          </w:p>
        </w:tc>
        <w:tc>
          <w:tcPr>
            <w:tcW w:w="1269" w:type="dxa"/>
            <w:vAlign w:val="top"/>
          </w:tcPr>
          <w:p>
            <w:pPr>
              <w:pStyle w:val="TableText"/>
              <w:ind w:left="465"/>
              <w:spacing w:before="51" w:line="174" w:lineRule="auto"/>
              <w:rPr>
                <w:sz w:val="21"/>
                <w:szCs w:val="21"/>
              </w:rPr>
            </w:pPr>
            <w:r>
              <w:rPr>
                <w:sz w:val="21"/>
                <w:szCs w:val="21"/>
                <w:spacing w:val="-3"/>
              </w:rPr>
              <w:t>200</w:t>
            </w:r>
          </w:p>
        </w:tc>
        <w:tc>
          <w:tcPr>
            <w:tcW w:w="1278" w:type="dxa"/>
            <w:vAlign w:val="top"/>
          </w:tcPr>
          <w:p>
            <w:pPr>
              <w:pStyle w:val="TableText"/>
              <w:ind w:left="477"/>
              <w:spacing w:before="51" w:line="174" w:lineRule="auto"/>
              <w:rPr>
                <w:sz w:val="21"/>
                <w:szCs w:val="21"/>
              </w:rPr>
            </w:pPr>
            <w:r>
              <w:rPr>
                <w:sz w:val="21"/>
                <w:szCs w:val="21"/>
                <w:spacing w:val="-3"/>
              </w:rPr>
              <w:t>500</w:t>
            </w:r>
          </w:p>
        </w:tc>
        <w:tc>
          <w:tcPr>
            <w:tcW w:w="1114" w:type="dxa"/>
            <w:vAlign w:val="top"/>
          </w:tcPr>
          <w:p>
            <w:pPr>
              <w:pStyle w:val="TableText"/>
              <w:ind w:left="449"/>
              <w:spacing w:before="51" w:line="174" w:lineRule="auto"/>
              <w:rPr>
                <w:sz w:val="21"/>
                <w:szCs w:val="21"/>
              </w:rPr>
            </w:pPr>
            <w:r>
              <w:rPr>
                <w:sz w:val="21"/>
                <w:szCs w:val="21"/>
                <w:spacing w:val="-4"/>
              </w:rPr>
              <w:t>35</w:t>
            </w:r>
          </w:p>
        </w:tc>
      </w:tr>
      <w:tr>
        <w:trPr>
          <w:trHeight w:val="269" w:hRule="atLeast"/>
        </w:trPr>
        <w:tc>
          <w:tcPr>
            <w:tcW w:w="1353" w:type="dxa"/>
            <w:vAlign w:val="top"/>
            <w:vMerge w:val="continue"/>
            <w:tcBorders>
              <w:top w:val="nil"/>
            </w:tcBorders>
          </w:tcPr>
          <w:p>
            <w:pPr>
              <w:rPr>
                <w:rFonts w:ascii="Arial"/>
                <w:sz w:val="21"/>
              </w:rPr>
            </w:pPr>
            <w:r/>
          </w:p>
        </w:tc>
        <w:tc>
          <w:tcPr>
            <w:tcW w:w="1978" w:type="dxa"/>
            <w:vAlign w:val="top"/>
          </w:tcPr>
          <w:p>
            <w:pPr>
              <w:pStyle w:val="TableText"/>
              <w:ind w:left="402"/>
              <w:spacing w:before="30" w:line="201" w:lineRule="auto"/>
              <w:rPr>
                <w:sz w:val="21"/>
                <w:szCs w:val="21"/>
              </w:rPr>
            </w:pPr>
            <w:r>
              <w:rPr>
                <w:sz w:val="21"/>
                <w:szCs w:val="21"/>
                <w:spacing w:val="5"/>
              </w:rPr>
              <w:t>产生量(t/a)</w:t>
            </w:r>
          </w:p>
        </w:tc>
        <w:tc>
          <w:tcPr>
            <w:tcW w:w="1328" w:type="dxa"/>
            <w:vAlign w:val="top"/>
          </w:tcPr>
          <w:p>
            <w:pPr>
              <w:pStyle w:val="TableText"/>
              <w:ind w:left="344"/>
              <w:spacing w:before="51" w:line="182" w:lineRule="auto"/>
              <w:rPr>
                <w:sz w:val="21"/>
                <w:szCs w:val="21"/>
              </w:rPr>
            </w:pPr>
            <w:r>
              <w:rPr>
                <w:sz w:val="21"/>
                <w:szCs w:val="21"/>
                <w:spacing w:val="-2"/>
              </w:rPr>
              <w:t>0.1377</w:t>
            </w:r>
          </w:p>
        </w:tc>
        <w:tc>
          <w:tcPr>
            <w:tcW w:w="1269" w:type="dxa"/>
            <w:vAlign w:val="top"/>
          </w:tcPr>
          <w:p>
            <w:pPr>
              <w:pStyle w:val="TableText"/>
              <w:ind w:left="316"/>
              <w:spacing w:before="51" w:line="182" w:lineRule="auto"/>
              <w:rPr>
                <w:sz w:val="21"/>
                <w:szCs w:val="21"/>
              </w:rPr>
            </w:pPr>
            <w:r>
              <w:rPr>
                <w:sz w:val="21"/>
                <w:szCs w:val="21"/>
                <w:spacing w:val="-2"/>
              </w:rPr>
              <w:t>0.0918</w:t>
            </w:r>
          </w:p>
        </w:tc>
        <w:tc>
          <w:tcPr>
            <w:tcW w:w="1278" w:type="dxa"/>
            <w:vAlign w:val="top"/>
          </w:tcPr>
          <w:p>
            <w:pPr>
              <w:pStyle w:val="TableText"/>
              <w:ind w:left="317"/>
              <w:spacing w:before="51" w:line="182" w:lineRule="auto"/>
              <w:rPr>
                <w:sz w:val="21"/>
                <w:szCs w:val="21"/>
              </w:rPr>
            </w:pPr>
            <w:r>
              <w:rPr>
                <w:sz w:val="21"/>
                <w:szCs w:val="21"/>
                <w:color w:val="505060"/>
                <w:spacing w:val="-2"/>
              </w:rPr>
              <w:t>0.2295</w:t>
            </w:r>
          </w:p>
        </w:tc>
        <w:tc>
          <w:tcPr>
            <w:tcW w:w="1114" w:type="dxa"/>
            <w:vAlign w:val="top"/>
          </w:tcPr>
          <w:p>
            <w:pPr>
              <w:pStyle w:val="TableText"/>
              <w:ind w:left="239"/>
              <w:spacing w:before="51" w:line="182" w:lineRule="auto"/>
              <w:rPr>
                <w:sz w:val="21"/>
                <w:szCs w:val="21"/>
              </w:rPr>
            </w:pPr>
            <w:r>
              <w:rPr>
                <w:sz w:val="21"/>
                <w:szCs w:val="21"/>
                <w:spacing w:val="-2"/>
              </w:rPr>
              <w:t>0.0161</w:t>
            </w:r>
          </w:p>
        </w:tc>
      </w:tr>
      <w:tr>
        <w:trPr>
          <w:trHeight w:val="278" w:hRule="atLeast"/>
        </w:trPr>
        <w:tc>
          <w:tcPr>
            <w:tcW w:w="1353" w:type="dxa"/>
            <w:vAlign w:val="top"/>
            <w:vMerge w:val="restart"/>
            <w:tcBorders>
              <w:bottom w:val="nil"/>
            </w:tcBorders>
          </w:tcPr>
          <w:p>
            <w:pPr>
              <w:pStyle w:val="TableText"/>
              <w:ind w:left="455"/>
              <w:spacing w:before="41" w:line="219" w:lineRule="auto"/>
              <w:rPr>
                <w:sz w:val="21"/>
                <w:szCs w:val="21"/>
              </w:rPr>
            </w:pPr>
            <w:r>
              <w:rPr>
                <w:sz w:val="21"/>
                <w:szCs w:val="21"/>
                <w:color w:val="606060"/>
                <w:spacing w:val="4"/>
              </w:rPr>
              <w:t>旺季</w:t>
            </w:r>
          </w:p>
          <w:p>
            <w:pPr>
              <w:pStyle w:val="TableText"/>
              <w:ind w:left="145"/>
              <w:spacing w:before="34" w:line="203" w:lineRule="auto"/>
              <w:rPr>
                <w:sz w:val="21"/>
                <w:szCs w:val="21"/>
              </w:rPr>
            </w:pPr>
            <w:r>
              <w:rPr>
                <w:sz w:val="21"/>
                <w:szCs w:val="21"/>
                <w:spacing w:val="-5"/>
              </w:rPr>
              <w:t>(153m³/a)</w:t>
            </w:r>
          </w:p>
        </w:tc>
        <w:tc>
          <w:tcPr>
            <w:tcW w:w="1978" w:type="dxa"/>
            <w:vAlign w:val="top"/>
          </w:tcPr>
          <w:p>
            <w:pPr>
              <w:pStyle w:val="TableText"/>
              <w:ind w:left="242"/>
              <w:spacing w:before="34" w:line="205" w:lineRule="auto"/>
              <w:rPr>
                <w:sz w:val="21"/>
                <w:szCs w:val="21"/>
              </w:rPr>
            </w:pPr>
            <w:r>
              <w:rPr>
                <w:sz w:val="21"/>
                <w:szCs w:val="21"/>
                <w:spacing w:val="5"/>
              </w:rPr>
              <w:t>产生浓度(</w:t>
            </w:r>
            <w:r>
              <w:rPr>
                <w:sz w:val="21"/>
                <w:szCs w:val="21"/>
              </w:rPr>
              <w:t>mg</w:t>
            </w:r>
            <w:r>
              <w:rPr>
                <w:sz w:val="21"/>
                <w:szCs w:val="21"/>
                <w:spacing w:val="5"/>
              </w:rPr>
              <w:t>/L)</w:t>
            </w:r>
          </w:p>
        </w:tc>
        <w:tc>
          <w:tcPr>
            <w:tcW w:w="1328" w:type="dxa"/>
            <w:vAlign w:val="top"/>
          </w:tcPr>
          <w:p>
            <w:pPr>
              <w:pStyle w:val="TableText"/>
              <w:ind w:left="494"/>
              <w:spacing w:before="63" w:line="180" w:lineRule="auto"/>
              <w:rPr>
                <w:sz w:val="21"/>
                <w:szCs w:val="21"/>
              </w:rPr>
            </w:pPr>
            <w:r>
              <w:rPr>
                <w:sz w:val="21"/>
                <w:szCs w:val="21"/>
                <w:spacing w:val="-3"/>
              </w:rPr>
              <w:t>300</w:t>
            </w:r>
          </w:p>
        </w:tc>
        <w:tc>
          <w:tcPr>
            <w:tcW w:w="1269" w:type="dxa"/>
            <w:vAlign w:val="top"/>
          </w:tcPr>
          <w:p>
            <w:pPr>
              <w:pStyle w:val="TableText"/>
              <w:ind w:left="465"/>
              <w:spacing w:before="63" w:line="180" w:lineRule="auto"/>
              <w:rPr>
                <w:sz w:val="21"/>
                <w:szCs w:val="21"/>
              </w:rPr>
            </w:pPr>
            <w:r>
              <w:rPr>
                <w:sz w:val="21"/>
                <w:szCs w:val="21"/>
                <w:spacing w:val="-3"/>
              </w:rPr>
              <w:t>200</w:t>
            </w:r>
          </w:p>
        </w:tc>
        <w:tc>
          <w:tcPr>
            <w:tcW w:w="1278" w:type="dxa"/>
            <w:vAlign w:val="top"/>
          </w:tcPr>
          <w:p>
            <w:pPr>
              <w:pStyle w:val="TableText"/>
              <w:ind w:left="477"/>
              <w:spacing w:before="63" w:line="180" w:lineRule="auto"/>
              <w:rPr>
                <w:sz w:val="21"/>
                <w:szCs w:val="21"/>
              </w:rPr>
            </w:pPr>
            <w:r>
              <w:rPr>
                <w:sz w:val="21"/>
                <w:szCs w:val="21"/>
                <w:spacing w:val="-3"/>
              </w:rPr>
              <w:t>500</w:t>
            </w:r>
          </w:p>
        </w:tc>
        <w:tc>
          <w:tcPr>
            <w:tcW w:w="1114" w:type="dxa"/>
            <w:vAlign w:val="top"/>
          </w:tcPr>
          <w:p>
            <w:pPr>
              <w:pStyle w:val="TableText"/>
              <w:ind w:left="449"/>
              <w:spacing w:before="63" w:line="180" w:lineRule="auto"/>
              <w:rPr>
                <w:sz w:val="21"/>
                <w:szCs w:val="21"/>
              </w:rPr>
            </w:pPr>
            <w:r>
              <w:rPr>
                <w:sz w:val="21"/>
                <w:szCs w:val="21"/>
                <w:spacing w:val="-4"/>
              </w:rPr>
              <w:t>35</w:t>
            </w:r>
          </w:p>
        </w:tc>
      </w:tr>
      <w:tr>
        <w:trPr>
          <w:trHeight w:val="278" w:hRule="atLeast"/>
        </w:trPr>
        <w:tc>
          <w:tcPr>
            <w:tcW w:w="1353" w:type="dxa"/>
            <w:vAlign w:val="top"/>
            <w:vMerge w:val="continue"/>
            <w:tcBorders>
              <w:top w:val="nil"/>
            </w:tcBorders>
          </w:tcPr>
          <w:p>
            <w:pPr>
              <w:rPr>
                <w:rFonts w:ascii="Arial"/>
                <w:sz w:val="21"/>
              </w:rPr>
            </w:pPr>
            <w:r/>
          </w:p>
        </w:tc>
        <w:tc>
          <w:tcPr>
            <w:tcW w:w="1978" w:type="dxa"/>
            <w:vAlign w:val="top"/>
          </w:tcPr>
          <w:p>
            <w:pPr>
              <w:pStyle w:val="TableText"/>
              <w:ind w:left="402"/>
              <w:spacing w:before="43" w:line="197" w:lineRule="auto"/>
              <w:rPr>
                <w:sz w:val="21"/>
                <w:szCs w:val="21"/>
              </w:rPr>
            </w:pPr>
            <w:r>
              <w:rPr>
                <w:sz w:val="21"/>
                <w:szCs w:val="21"/>
                <w:spacing w:val="5"/>
              </w:rPr>
              <w:t>产生量(t/a)</w:t>
            </w:r>
          </w:p>
        </w:tc>
        <w:tc>
          <w:tcPr>
            <w:tcW w:w="1328" w:type="dxa"/>
            <w:vAlign w:val="top"/>
          </w:tcPr>
          <w:p>
            <w:pPr>
              <w:pStyle w:val="TableText"/>
              <w:ind w:left="344"/>
              <w:spacing w:before="64" w:line="179" w:lineRule="auto"/>
              <w:rPr>
                <w:sz w:val="21"/>
                <w:szCs w:val="21"/>
              </w:rPr>
            </w:pPr>
            <w:r>
              <w:rPr>
                <w:sz w:val="21"/>
                <w:szCs w:val="21"/>
                <w:color w:val="405040"/>
                <w:spacing w:val="-2"/>
              </w:rPr>
              <w:t>0.0459</w:t>
            </w:r>
          </w:p>
        </w:tc>
        <w:tc>
          <w:tcPr>
            <w:tcW w:w="1269" w:type="dxa"/>
            <w:vAlign w:val="top"/>
          </w:tcPr>
          <w:p>
            <w:pPr>
              <w:pStyle w:val="TableText"/>
              <w:ind w:left="316"/>
              <w:spacing w:before="64" w:line="179" w:lineRule="auto"/>
              <w:rPr>
                <w:sz w:val="21"/>
                <w:szCs w:val="21"/>
              </w:rPr>
            </w:pPr>
            <w:r>
              <w:rPr>
                <w:sz w:val="21"/>
                <w:szCs w:val="21"/>
                <w:color w:val="404040"/>
                <w:spacing w:val="-2"/>
              </w:rPr>
              <w:t>0.0306</w:t>
            </w:r>
          </w:p>
        </w:tc>
        <w:tc>
          <w:tcPr>
            <w:tcW w:w="1278" w:type="dxa"/>
            <w:vAlign w:val="top"/>
          </w:tcPr>
          <w:p>
            <w:pPr>
              <w:pStyle w:val="TableText"/>
              <w:ind w:left="267"/>
              <w:spacing w:before="64" w:line="179" w:lineRule="auto"/>
              <w:rPr>
                <w:sz w:val="21"/>
                <w:szCs w:val="21"/>
              </w:rPr>
            </w:pPr>
            <w:r>
              <w:rPr>
                <w:sz w:val="21"/>
                <w:szCs w:val="21"/>
                <w:color w:val="404050"/>
                <w:spacing w:val="-2"/>
              </w:rPr>
              <w:t>.0.0765</w:t>
            </w:r>
          </w:p>
        </w:tc>
        <w:tc>
          <w:tcPr>
            <w:tcW w:w="1114" w:type="dxa"/>
            <w:vAlign w:val="top"/>
          </w:tcPr>
          <w:p>
            <w:pPr>
              <w:pStyle w:val="TableText"/>
              <w:ind w:left="239"/>
              <w:spacing w:before="64" w:line="179" w:lineRule="auto"/>
              <w:rPr>
                <w:sz w:val="21"/>
                <w:szCs w:val="21"/>
              </w:rPr>
            </w:pPr>
            <w:r>
              <w:rPr>
                <w:sz w:val="21"/>
                <w:szCs w:val="21"/>
                <w:color w:val="405050"/>
                <w:spacing w:val="-2"/>
              </w:rPr>
              <w:t>0.0054</w:t>
            </w:r>
          </w:p>
        </w:tc>
      </w:tr>
      <w:tr>
        <w:trPr>
          <w:trHeight w:val="269" w:hRule="atLeast"/>
        </w:trPr>
        <w:tc>
          <w:tcPr>
            <w:tcW w:w="1353" w:type="dxa"/>
            <w:vAlign w:val="top"/>
            <w:vMerge w:val="restart"/>
            <w:tcBorders>
              <w:bottom w:val="nil"/>
            </w:tcBorders>
          </w:tcPr>
          <w:p>
            <w:pPr>
              <w:pStyle w:val="TableText"/>
              <w:ind w:left="455"/>
              <w:spacing w:before="35" w:line="219" w:lineRule="auto"/>
              <w:rPr>
                <w:sz w:val="21"/>
                <w:szCs w:val="21"/>
              </w:rPr>
            </w:pPr>
            <w:r>
              <w:rPr>
                <w:sz w:val="21"/>
                <w:szCs w:val="21"/>
                <w:spacing w:val="-3"/>
              </w:rPr>
              <w:t>全年</w:t>
            </w:r>
          </w:p>
          <w:p>
            <w:pPr>
              <w:pStyle w:val="TableText"/>
              <w:ind w:left="145"/>
              <w:spacing w:before="33" w:line="205" w:lineRule="auto"/>
              <w:rPr>
                <w:sz w:val="21"/>
                <w:szCs w:val="21"/>
              </w:rPr>
            </w:pPr>
            <w:r>
              <w:rPr>
                <w:sz w:val="21"/>
                <w:szCs w:val="21"/>
                <w:spacing w:val="-5"/>
              </w:rPr>
              <w:t>(612m³/a)</w:t>
            </w:r>
          </w:p>
        </w:tc>
        <w:tc>
          <w:tcPr>
            <w:tcW w:w="1978" w:type="dxa"/>
            <w:vAlign w:val="top"/>
          </w:tcPr>
          <w:p>
            <w:pPr>
              <w:pStyle w:val="TableText"/>
              <w:ind w:left="242"/>
              <w:spacing w:before="29" w:line="202" w:lineRule="auto"/>
              <w:rPr>
                <w:sz w:val="21"/>
                <w:szCs w:val="21"/>
              </w:rPr>
            </w:pPr>
            <w:r>
              <w:rPr>
                <w:sz w:val="21"/>
                <w:szCs w:val="21"/>
                <w:spacing w:val="5"/>
              </w:rPr>
              <w:t>产生浓度(</w:t>
            </w:r>
            <w:r>
              <w:rPr>
                <w:sz w:val="21"/>
                <w:szCs w:val="21"/>
              </w:rPr>
              <w:t>mg</w:t>
            </w:r>
            <w:r>
              <w:rPr>
                <w:sz w:val="21"/>
                <w:szCs w:val="21"/>
                <w:spacing w:val="5"/>
              </w:rPr>
              <w:t>/L)</w:t>
            </w:r>
          </w:p>
        </w:tc>
        <w:tc>
          <w:tcPr>
            <w:tcW w:w="1328" w:type="dxa"/>
            <w:vAlign w:val="top"/>
          </w:tcPr>
          <w:p>
            <w:pPr>
              <w:pStyle w:val="TableText"/>
              <w:ind w:left="494"/>
              <w:spacing w:before="56" w:line="178" w:lineRule="auto"/>
              <w:rPr>
                <w:sz w:val="21"/>
                <w:szCs w:val="21"/>
              </w:rPr>
            </w:pPr>
            <w:r>
              <w:rPr>
                <w:sz w:val="21"/>
                <w:szCs w:val="21"/>
                <w:spacing w:val="-3"/>
              </w:rPr>
              <w:t>300</w:t>
            </w:r>
          </w:p>
        </w:tc>
        <w:tc>
          <w:tcPr>
            <w:tcW w:w="1269" w:type="dxa"/>
            <w:vAlign w:val="top"/>
          </w:tcPr>
          <w:p>
            <w:pPr>
              <w:pStyle w:val="TableText"/>
              <w:ind w:left="465"/>
              <w:spacing w:before="56" w:line="178" w:lineRule="auto"/>
              <w:rPr>
                <w:sz w:val="21"/>
                <w:szCs w:val="21"/>
              </w:rPr>
            </w:pPr>
            <w:r>
              <w:rPr>
                <w:sz w:val="21"/>
                <w:szCs w:val="21"/>
                <w:spacing w:val="-3"/>
              </w:rPr>
              <w:t>200</w:t>
            </w:r>
          </w:p>
        </w:tc>
        <w:tc>
          <w:tcPr>
            <w:tcW w:w="1278" w:type="dxa"/>
            <w:vAlign w:val="top"/>
          </w:tcPr>
          <w:p>
            <w:pPr>
              <w:pStyle w:val="TableText"/>
              <w:ind w:left="477"/>
              <w:spacing w:before="56" w:line="178" w:lineRule="auto"/>
              <w:rPr>
                <w:sz w:val="21"/>
                <w:szCs w:val="21"/>
              </w:rPr>
            </w:pPr>
            <w:r>
              <w:rPr>
                <w:sz w:val="21"/>
                <w:szCs w:val="21"/>
                <w:spacing w:val="-3"/>
              </w:rPr>
              <w:t>500</w:t>
            </w:r>
          </w:p>
        </w:tc>
        <w:tc>
          <w:tcPr>
            <w:tcW w:w="1114" w:type="dxa"/>
            <w:vAlign w:val="top"/>
          </w:tcPr>
          <w:p>
            <w:pPr>
              <w:pStyle w:val="TableText"/>
              <w:ind w:left="449"/>
              <w:spacing w:before="56" w:line="178" w:lineRule="auto"/>
              <w:rPr>
                <w:sz w:val="21"/>
                <w:szCs w:val="21"/>
              </w:rPr>
            </w:pPr>
            <w:r>
              <w:rPr>
                <w:sz w:val="21"/>
                <w:szCs w:val="21"/>
                <w:spacing w:val="-4"/>
              </w:rPr>
              <w:t>35</w:t>
            </w:r>
          </w:p>
        </w:tc>
      </w:tr>
      <w:tr>
        <w:trPr>
          <w:trHeight w:val="283" w:hRule="atLeast"/>
        </w:trPr>
        <w:tc>
          <w:tcPr>
            <w:tcW w:w="1353" w:type="dxa"/>
            <w:vAlign w:val="top"/>
            <w:vMerge w:val="continue"/>
            <w:tcBorders>
              <w:top w:val="nil"/>
            </w:tcBorders>
          </w:tcPr>
          <w:p>
            <w:pPr>
              <w:rPr>
                <w:rFonts w:ascii="Arial"/>
                <w:sz w:val="21"/>
              </w:rPr>
            </w:pPr>
            <w:r/>
          </w:p>
        </w:tc>
        <w:tc>
          <w:tcPr>
            <w:tcW w:w="1978" w:type="dxa"/>
            <w:vAlign w:val="top"/>
          </w:tcPr>
          <w:p>
            <w:pPr>
              <w:pStyle w:val="TableText"/>
              <w:ind w:left="402"/>
              <w:spacing w:before="46" w:line="199" w:lineRule="auto"/>
              <w:rPr>
                <w:sz w:val="21"/>
                <w:szCs w:val="21"/>
              </w:rPr>
            </w:pPr>
            <w:r>
              <w:rPr>
                <w:sz w:val="21"/>
                <w:szCs w:val="21"/>
                <w:spacing w:val="5"/>
              </w:rPr>
              <w:t>产生量(t/a)</w:t>
            </w:r>
          </w:p>
        </w:tc>
        <w:tc>
          <w:tcPr>
            <w:tcW w:w="1328" w:type="dxa"/>
            <w:vAlign w:val="top"/>
          </w:tcPr>
          <w:p>
            <w:pPr>
              <w:pStyle w:val="TableText"/>
              <w:ind w:left="344"/>
              <w:spacing w:before="67" w:line="181" w:lineRule="auto"/>
              <w:rPr>
                <w:sz w:val="21"/>
                <w:szCs w:val="21"/>
              </w:rPr>
            </w:pPr>
            <w:r>
              <w:rPr>
                <w:sz w:val="21"/>
                <w:szCs w:val="21"/>
                <w:color w:val="706060"/>
                <w:spacing w:val="-2"/>
              </w:rPr>
              <w:t>0.1836</w:t>
            </w:r>
          </w:p>
        </w:tc>
        <w:tc>
          <w:tcPr>
            <w:tcW w:w="1269" w:type="dxa"/>
            <w:vAlign w:val="top"/>
          </w:tcPr>
          <w:p>
            <w:pPr>
              <w:pStyle w:val="TableText"/>
              <w:ind w:left="316"/>
              <w:spacing w:before="67" w:line="181" w:lineRule="auto"/>
              <w:rPr>
                <w:sz w:val="21"/>
                <w:szCs w:val="21"/>
              </w:rPr>
            </w:pPr>
            <w:r>
              <w:rPr>
                <w:sz w:val="21"/>
                <w:szCs w:val="21"/>
                <w:spacing w:val="-2"/>
              </w:rPr>
              <w:t>0.1224</w:t>
            </w:r>
          </w:p>
        </w:tc>
        <w:tc>
          <w:tcPr>
            <w:tcW w:w="1278" w:type="dxa"/>
            <w:vAlign w:val="top"/>
          </w:tcPr>
          <w:p>
            <w:pPr>
              <w:pStyle w:val="TableText"/>
              <w:ind w:left="317"/>
              <w:spacing w:before="67" w:line="181" w:lineRule="auto"/>
              <w:rPr>
                <w:sz w:val="21"/>
                <w:szCs w:val="21"/>
              </w:rPr>
            </w:pPr>
            <w:r>
              <w:rPr>
                <w:sz w:val="21"/>
                <w:szCs w:val="21"/>
                <w:spacing w:val="-2"/>
              </w:rPr>
              <w:t>0.3060</w:t>
            </w:r>
          </w:p>
        </w:tc>
        <w:tc>
          <w:tcPr>
            <w:tcW w:w="1114" w:type="dxa"/>
            <w:vAlign w:val="top"/>
          </w:tcPr>
          <w:p>
            <w:pPr>
              <w:pStyle w:val="TableText"/>
              <w:ind w:left="239"/>
              <w:spacing w:before="67" w:line="181" w:lineRule="auto"/>
              <w:rPr>
                <w:sz w:val="21"/>
                <w:szCs w:val="21"/>
              </w:rPr>
            </w:pPr>
            <w:r>
              <w:rPr>
                <w:sz w:val="21"/>
                <w:szCs w:val="21"/>
                <w:spacing w:val="-2"/>
              </w:rPr>
              <w:t>0.0214</w:t>
            </w:r>
          </w:p>
        </w:tc>
      </w:tr>
    </w:tbl>
    <w:p>
      <w:pPr>
        <w:ind w:left="503"/>
        <w:spacing w:before="61" w:line="219" w:lineRule="auto"/>
        <w:rPr>
          <w:rFonts w:ascii="SimSun" w:hAnsi="SimSun" w:eastAsia="SimSun" w:cs="SimSun"/>
          <w:sz w:val="24"/>
          <w:szCs w:val="24"/>
        </w:rPr>
      </w:pPr>
      <w:r>
        <w:rPr>
          <w:rFonts w:ascii="SimSun" w:hAnsi="SimSun" w:eastAsia="SimSun" w:cs="SimSun"/>
          <w:sz w:val="24"/>
          <w:szCs w:val="24"/>
          <w:b/>
          <w:bCs/>
          <w:spacing w:val="-4"/>
        </w:rPr>
        <w:t>2、废水治理措施</w:t>
      </w:r>
    </w:p>
    <w:p>
      <w:pPr>
        <w:ind w:right="52" w:firstLine="480"/>
        <w:spacing w:before="187" w:line="348" w:lineRule="auto"/>
        <w:jc w:val="both"/>
        <w:rPr>
          <w:rFonts w:ascii="SimSun" w:hAnsi="SimSun" w:eastAsia="SimSun" w:cs="SimSun"/>
          <w:sz w:val="24"/>
          <w:szCs w:val="24"/>
        </w:rPr>
      </w:pPr>
      <w:r>
        <w:rPr>
          <w:rFonts w:ascii="SimSun" w:hAnsi="SimSun" w:eastAsia="SimSun" w:cs="SimSun"/>
          <w:sz w:val="24"/>
          <w:szCs w:val="24"/>
          <w:spacing w:val="4"/>
        </w:rPr>
        <w:t>本项目餐饮废水经隔油池处理后与生活污水一同经过厂区内设置的预处理</w:t>
      </w:r>
      <w:r>
        <w:rPr>
          <w:rFonts w:ascii="SimSun" w:hAnsi="SimSun" w:eastAsia="SimSun" w:cs="SimSun"/>
          <w:sz w:val="24"/>
          <w:szCs w:val="24"/>
          <w:spacing w:val="9"/>
        </w:rPr>
        <w:t xml:space="preserve"> </w:t>
      </w:r>
      <w:r>
        <w:rPr>
          <w:rFonts w:ascii="SimSun" w:hAnsi="SimSun" w:eastAsia="SimSun" w:cs="SimSun"/>
          <w:sz w:val="24"/>
          <w:szCs w:val="24"/>
          <w:spacing w:val="4"/>
        </w:rPr>
        <w:t>池处理后排入市政污水管网，不进入厂区污水处理站；本项目设置初期雨水收</w:t>
      </w:r>
      <w:r>
        <w:rPr>
          <w:rFonts w:ascii="SimSun" w:hAnsi="SimSun" w:eastAsia="SimSun" w:cs="SimSun"/>
          <w:sz w:val="24"/>
          <w:szCs w:val="24"/>
          <w:spacing w:val="2"/>
        </w:rPr>
        <w:t xml:space="preserve"> </w:t>
      </w:r>
      <w:r>
        <w:rPr>
          <w:rFonts w:ascii="SimSun" w:hAnsi="SimSun" w:eastAsia="SimSun" w:cs="SimSun"/>
          <w:sz w:val="24"/>
          <w:szCs w:val="24"/>
          <w:spacing w:val="37"/>
        </w:rPr>
        <w:t>集系统，并设置雨污切换系统，初期雨水收集</w:t>
      </w:r>
      <w:r>
        <w:rPr>
          <w:rFonts w:ascii="SimSun" w:hAnsi="SimSun" w:eastAsia="SimSun" w:cs="SimSun"/>
          <w:sz w:val="24"/>
          <w:szCs w:val="24"/>
          <w:spacing w:val="36"/>
        </w:rPr>
        <w:t>后排入厂区初期雨水池</w:t>
      </w:r>
    </w:p>
    <w:p>
      <w:pPr>
        <w:spacing w:line="348" w:lineRule="auto"/>
        <w:sectPr>
          <w:headerReference w:type="default" r:id="rId286"/>
          <w:footerReference w:type="default" r:id="rId287"/>
          <w:pgSz w:w="11910" w:h="16840"/>
          <w:pgMar w:top="1217" w:right="1786" w:bottom="922" w:left="1769" w:header="924" w:footer="751" w:gutter="0"/>
        </w:sectPr>
        <w:rPr>
          <w:rFonts w:ascii="SimSun" w:hAnsi="SimSun" w:eastAsia="SimSun" w:cs="SimSun"/>
          <w:sz w:val="24"/>
          <w:szCs w:val="24"/>
        </w:rPr>
      </w:pPr>
    </w:p>
    <w:p>
      <w:pPr>
        <w:ind w:right="35" w:firstLine="140"/>
        <w:spacing w:before="246" w:line="370" w:lineRule="auto"/>
        <w:rPr>
          <w:rFonts w:ascii="SimSun" w:hAnsi="SimSun" w:eastAsia="SimSun" w:cs="SimSun"/>
          <w:sz w:val="24"/>
          <w:szCs w:val="24"/>
        </w:rPr>
      </w:pPr>
      <w:r>
        <w:rPr>
          <w:rFonts w:ascii="Times New Roman" w:hAnsi="Times New Roman" w:eastAsia="Times New Roman" w:cs="Times New Roman"/>
          <w:sz w:val="24"/>
          <w:szCs w:val="24"/>
        </w:rPr>
        <w:t>(65m³),5      </w:t>
      </w:r>
      <w:r>
        <w:rPr>
          <w:rFonts w:ascii="SimSun" w:hAnsi="SimSun" w:eastAsia="SimSun" w:cs="SimSun"/>
          <w:sz w:val="24"/>
          <w:szCs w:val="24"/>
        </w:rPr>
        <w:t>分钟后雨水可切换排入厂区雨水管。生产废水、初期雨水、蒸汽发</w:t>
      </w:r>
      <w:r>
        <w:rPr>
          <w:rFonts w:ascii="SimSun" w:hAnsi="SimSun" w:eastAsia="SimSun" w:cs="SimSun"/>
          <w:sz w:val="24"/>
          <w:szCs w:val="24"/>
          <w:spacing w:val="8"/>
        </w:rPr>
        <w:t xml:space="preserve"> </w:t>
      </w:r>
      <w:r>
        <w:rPr>
          <w:rFonts w:ascii="SimSun" w:hAnsi="SimSun" w:eastAsia="SimSun" w:cs="SimSun"/>
          <w:sz w:val="24"/>
          <w:szCs w:val="24"/>
          <w:spacing w:val="-3"/>
        </w:rPr>
        <w:t>生器废水均进入厂区自建污水处理站处理。</w:t>
      </w:r>
    </w:p>
    <w:p>
      <w:pPr>
        <w:ind w:right="36" w:firstLine="500"/>
        <w:spacing w:before="2" w:line="348" w:lineRule="auto"/>
        <w:jc w:val="both"/>
        <w:rPr>
          <w:rFonts w:ascii="SimSun" w:hAnsi="SimSun" w:eastAsia="SimSun" w:cs="SimSun"/>
          <w:sz w:val="24"/>
          <w:szCs w:val="24"/>
        </w:rPr>
      </w:pPr>
      <w:r>
        <w:rPr>
          <w:rFonts w:ascii="SimSun" w:hAnsi="SimSun" w:eastAsia="SimSun" w:cs="SimSun"/>
          <w:sz w:val="24"/>
          <w:szCs w:val="24"/>
          <w:spacing w:val="7"/>
        </w:rPr>
        <w:t>本项目拟建污水处理站1座，设计处理规模为1100</w:t>
      </w:r>
      <w:r>
        <w:rPr>
          <w:rFonts w:ascii="SimSun" w:hAnsi="SimSun" w:eastAsia="SimSun" w:cs="SimSun"/>
          <w:sz w:val="24"/>
          <w:szCs w:val="24"/>
          <w:spacing w:val="6"/>
        </w:rPr>
        <w:t>t/d,采用“格栅+调节+</w:t>
      </w:r>
      <w:r>
        <w:rPr>
          <w:rFonts w:ascii="SimSun" w:hAnsi="SimSun" w:eastAsia="SimSun" w:cs="SimSun"/>
          <w:sz w:val="24"/>
          <w:szCs w:val="24"/>
        </w:rPr>
        <w:t xml:space="preserve"> </w:t>
      </w:r>
      <w:r>
        <w:rPr>
          <w:rFonts w:ascii="SimSun" w:hAnsi="SimSun" w:eastAsia="SimSun" w:cs="SimSun"/>
          <w:sz w:val="24"/>
          <w:szCs w:val="24"/>
          <w:spacing w:val="4"/>
        </w:rPr>
        <w:t>气浮+厌氧接触池+</w:t>
      </w:r>
      <w:r>
        <w:rPr>
          <w:rFonts w:ascii="SimSun" w:hAnsi="SimSun" w:eastAsia="SimSun" w:cs="SimSun"/>
          <w:sz w:val="24"/>
          <w:szCs w:val="24"/>
        </w:rPr>
        <w:t>AOAO</w:t>
      </w:r>
      <w:r>
        <w:rPr>
          <w:rFonts w:ascii="SimSun" w:hAnsi="SimSun" w:eastAsia="SimSun" w:cs="SimSun"/>
          <w:sz w:val="24"/>
          <w:szCs w:val="24"/>
          <w:spacing w:val="4"/>
        </w:rPr>
        <w:t>+</w:t>
      </w:r>
      <w:r>
        <w:rPr>
          <w:rFonts w:ascii="SimSun" w:hAnsi="SimSun" w:eastAsia="SimSun" w:cs="SimSun"/>
          <w:sz w:val="24"/>
          <w:szCs w:val="24"/>
          <w:spacing w:val="127"/>
        </w:rPr>
        <w:t xml:space="preserve"> </w:t>
      </w:r>
      <w:r>
        <w:rPr>
          <w:rFonts w:ascii="SimSun" w:hAnsi="SimSun" w:eastAsia="SimSun" w:cs="SimSun"/>
          <w:sz w:val="24"/>
          <w:szCs w:val="24"/>
          <w:spacing w:val="4"/>
        </w:rPr>
        <w:t>沉淀+消毒”处理工艺。污水处理站工艺流程图见图</w:t>
      </w:r>
      <w:r>
        <w:rPr>
          <w:rFonts w:ascii="SimSun" w:hAnsi="SimSun" w:eastAsia="SimSun" w:cs="SimSun"/>
          <w:sz w:val="24"/>
          <w:szCs w:val="24"/>
        </w:rPr>
        <w:t xml:space="preserve"> </w:t>
      </w:r>
      <w:r>
        <w:rPr>
          <w:rFonts w:ascii="Times New Roman" w:hAnsi="Times New Roman" w:eastAsia="Times New Roman" w:cs="Times New Roman"/>
          <w:sz w:val="24"/>
          <w:szCs w:val="24"/>
          <w:spacing w:val="-3"/>
        </w:rPr>
        <w:t>3-4</w:t>
      </w:r>
      <w:r>
        <w:rPr>
          <w:rFonts w:ascii="SimSun" w:hAnsi="SimSun" w:eastAsia="SimSun" w:cs="SimSun"/>
          <w:sz w:val="24"/>
          <w:szCs w:val="24"/>
          <w:spacing w:val="-3"/>
        </w:rPr>
        <w:t>。</w:t>
      </w:r>
    </w:p>
    <w:p>
      <w:pPr>
        <w:spacing w:line="120" w:lineRule="exact"/>
        <w:rPr/>
      </w:pPr>
      <w:r/>
    </w:p>
    <w:p>
      <w:pPr>
        <w:spacing w:line="120" w:lineRule="exact"/>
        <w:sectPr>
          <w:headerReference w:type="default" r:id="rId288"/>
          <w:footerReference w:type="default" r:id="rId289"/>
          <w:pgSz w:w="11910" w:h="16840"/>
          <w:pgMar w:top="1197" w:right="1786" w:bottom="962" w:left="1779" w:header="905" w:footer="777" w:gutter="0"/>
          <w:cols w:equalWidth="0" w:num="1">
            <w:col w:w="8344" w:space="0"/>
          </w:cols>
        </w:sectPr>
        <w:rPr/>
      </w:pPr>
    </w:p>
    <w:p>
      <w:pPr>
        <w:pStyle w:val="BodyText"/>
        <w:spacing w:line="298" w:lineRule="auto"/>
        <w:rPr/>
      </w:pPr>
      <w:r/>
    </w:p>
    <w:p>
      <w:pPr>
        <w:ind w:left="170"/>
        <w:spacing w:before="62" w:line="219" w:lineRule="auto"/>
        <w:rPr>
          <w:rFonts w:ascii="SimHei" w:hAnsi="SimHei" w:eastAsia="SimHei" w:cs="SimHei"/>
          <w:sz w:val="13"/>
          <w:szCs w:val="13"/>
        </w:rPr>
      </w:pPr>
      <w:r>
        <w:drawing>
          <wp:anchor distT="0" distB="0" distL="0" distR="0" simplePos="0" relativeHeight="252230656" behindDoc="1" locked="0" layoutInCell="1" allowOverlap="1">
            <wp:simplePos x="0" y="0"/>
            <wp:positionH relativeFrom="column">
              <wp:posOffset>50822</wp:posOffset>
            </wp:positionH>
            <wp:positionV relativeFrom="paragraph">
              <wp:posOffset>-251030</wp:posOffset>
            </wp:positionV>
            <wp:extent cx="5118082" cy="1873268"/>
            <wp:effectExtent l="0" t="0" r="0" b="0"/>
            <wp:wrapNone/>
            <wp:docPr id="68" name="IM 68"/>
            <wp:cNvGraphicFramePr/>
            <a:graphic>
              <a:graphicData uri="http://schemas.openxmlformats.org/drawingml/2006/picture">
                <pic:pic>
                  <pic:nvPicPr>
                    <pic:cNvPr id="68" name="IM 68"/>
                    <pic:cNvPicPr/>
                  </pic:nvPicPr>
                  <pic:blipFill>
                    <a:blip r:embed="rId290"/>
                    <a:stretch>
                      <a:fillRect/>
                    </a:stretch>
                  </pic:blipFill>
                  <pic:spPr>
                    <a:xfrm rot="0">
                      <a:off x="0" y="0"/>
                      <a:ext cx="5118082" cy="1873268"/>
                    </a:xfrm>
                    <a:prstGeom prst="rect">
                      <a:avLst/>
                    </a:prstGeom>
                  </pic:spPr>
                </pic:pic>
              </a:graphicData>
            </a:graphic>
          </wp:anchor>
        </w:drawing>
      </w:r>
      <w:r>
        <w:rPr>
          <w:rFonts w:ascii="SimSun" w:hAnsi="SimSun" w:eastAsia="SimSun" w:cs="SimSun"/>
          <w:sz w:val="19"/>
          <w:szCs w:val="19"/>
          <w:spacing w:val="-2"/>
        </w:rPr>
        <w:t>废水—</w:t>
      </w:r>
      <w:r>
        <w:rPr>
          <w:rFonts w:ascii="SimSun" w:hAnsi="SimSun" w:eastAsia="SimSun" w:cs="SimSun"/>
          <w:sz w:val="19"/>
          <w:szCs w:val="19"/>
          <w:spacing w:val="4"/>
        </w:rPr>
        <w:t xml:space="preserve">     </w:t>
      </w:r>
      <w:r>
        <w:rPr>
          <w:rFonts w:ascii="SimHei" w:hAnsi="SimHei" w:eastAsia="SimHei" w:cs="SimHei"/>
          <w:sz w:val="13"/>
          <w:szCs w:val="13"/>
          <w:spacing w:val="-2"/>
        </w:rPr>
        <w:t>粗格栅</w:t>
      </w:r>
      <w:r>
        <w:rPr>
          <w:rFonts w:ascii="SimHei" w:hAnsi="SimHei" w:eastAsia="SimHei" w:cs="SimHei"/>
          <w:sz w:val="13"/>
          <w:szCs w:val="13"/>
          <w:spacing w:val="2"/>
        </w:rPr>
        <w:t xml:space="preserve">           </w:t>
      </w:r>
      <w:r>
        <w:rPr>
          <w:rFonts w:ascii="SimHei" w:hAnsi="SimHei" w:eastAsia="SimHei" w:cs="SimHei"/>
          <w:sz w:val="13"/>
          <w:szCs w:val="13"/>
          <w:spacing w:val="-2"/>
        </w:rPr>
        <w:t>细格栅</w:t>
      </w:r>
    </w:p>
    <w:p>
      <w:pPr>
        <w:pStyle w:val="BodyText"/>
        <w:spacing w:line="318" w:lineRule="auto"/>
        <w:rPr/>
      </w:pPr>
      <w:r/>
    </w:p>
    <w:p>
      <w:pPr>
        <w:ind w:left="1190"/>
        <w:spacing w:before="42" w:line="237" w:lineRule="auto"/>
        <w:rPr>
          <w:rFonts w:ascii="SimHei" w:hAnsi="SimHei" w:eastAsia="SimHei" w:cs="SimHei"/>
          <w:sz w:val="13"/>
          <w:szCs w:val="13"/>
        </w:rPr>
      </w:pPr>
      <w:r>
        <w:rPr>
          <w:rFonts w:ascii="SimHei" w:hAnsi="SimHei" w:eastAsia="SimHei" w:cs="SimHei"/>
          <w:sz w:val="13"/>
          <w:szCs w:val="13"/>
          <w:spacing w:val="-8"/>
        </w:rPr>
        <w:t>人工清渣</w:t>
      </w:r>
      <w:r>
        <w:rPr>
          <w:rFonts w:ascii="SimHei" w:hAnsi="SimHei" w:eastAsia="SimHei" w:cs="SimHei"/>
          <w:sz w:val="13"/>
          <w:szCs w:val="13"/>
          <w:spacing w:val="-8"/>
        </w:rPr>
        <w:t xml:space="preserve">           </w:t>
      </w:r>
      <w:r>
        <w:rPr>
          <w:rFonts w:ascii="SimHei" w:hAnsi="SimHei" w:eastAsia="SimHei" w:cs="SimHei"/>
          <w:sz w:val="13"/>
          <w:szCs w:val="13"/>
          <w:spacing w:val="-8"/>
        </w:rPr>
        <w:t>人工清渣</w:t>
      </w:r>
    </w:p>
    <w:p>
      <w:pPr>
        <w:ind w:left="1020"/>
        <w:spacing w:before="211" w:line="237" w:lineRule="auto"/>
        <w:rPr>
          <w:rFonts w:ascii="SimHei" w:hAnsi="SimHei" w:eastAsia="SimHei" w:cs="SimHei"/>
          <w:sz w:val="13"/>
          <w:szCs w:val="13"/>
        </w:rPr>
      </w:pPr>
      <w:r>
        <w:rPr>
          <w:rFonts w:ascii="SimHei" w:hAnsi="SimHei" w:eastAsia="SimHei" w:cs="SimHei"/>
          <w:sz w:val="13"/>
          <w:szCs w:val="13"/>
          <w:spacing w:val="-10"/>
        </w:rPr>
        <w:t>污泥外运一</w:t>
      </w:r>
      <w:r>
        <w:rPr>
          <w:rFonts w:ascii="SimHei" w:hAnsi="SimHei" w:eastAsia="SimHei" w:cs="SimHei"/>
          <w:sz w:val="13"/>
          <w:szCs w:val="13"/>
          <w:spacing w:val="12"/>
        </w:rPr>
        <w:t xml:space="preserve">     </w:t>
      </w:r>
      <w:r>
        <w:rPr>
          <w:rFonts w:ascii="SimHei" w:hAnsi="SimHei" w:eastAsia="SimHei" w:cs="SimHei"/>
          <w:sz w:val="13"/>
          <w:szCs w:val="13"/>
          <w:spacing w:val="-10"/>
          <w:position w:val="-1"/>
        </w:rPr>
        <w:t>压滤机</w:t>
      </w:r>
    </w:p>
    <w:p>
      <w:pPr>
        <w:ind w:left="1680"/>
        <w:spacing w:before="263" w:line="221" w:lineRule="auto"/>
        <w:rPr>
          <w:rFonts w:ascii="SimHei" w:hAnsi="SimHei" w:eastAsia="SimHei" w:cs="SimHei"/>
          <w:sz w:val="13"/>
          <w:szCs w:val="13"/>
        </w:rPr>
      </w:pPr>
      <w:r>
        <w:rPr>
          <w:rFonts w:ascii="SimHei" w:hAnsi="SimHei" w:eastAsia="SimHei" w:cs="SimHei"/>
          <w:sz w:val="13"/>
          <w:szCs w:val="13"/>
          <w:spacing w:val="-7"/>
          <w:w w:val="96"/>
        </w:rPr>
        <w:t>次氯酸钠</w:t>
      </w:r>
    </w:p>
    <w:p>
      <w:pPr>
        <w:ind w:left="440"/>
        <w:spacing w:before="149" w:line="220" w:lineRule="auto"/>
        <w:rPr>
          <w:rFonts w:ascii="SimSun" w:hAnsi="SimSun" w:eastAsia="SimSun" w:cs="SimSun"/>
          <w:sz w:val="13"/>
          <w:szCs w:val="13"/>
        </w:rPr>
      </w:pPr>
      <w:r>
        <w:rPr>
          <w:rFonts w:ascii="SimSun" w:hAnsi="SimSun" w:eastAsia="SimSun" w:cs="SimSun"/>
          <w:sz w:val="19"/>
          <w:szCs w:val="19"/>
          <w:spacing w:val="6"/>
        </w:rPr>
        <w:t>达标排放</w:t>
      </w:r>
      <w:r>
        <w:rPr>
          <w:rFonts w:ascii="SimSun" w:hAnsi="SimSun" w:eastAsia="SimSun" w:cs="SimSun"/>
          <w:sz w:val="19"/>
          <w:szCs w:val="19"/>
          <w:spacing w:val="9"/>
        </w:rPr>
        <w:t xml:space="preserve">       </w:t>
      </w:r>
      <w:r>
        <w:rPr>
          <w:rFonts w:ascii="SimSun" w:hAnsi="SimSun" w:eastAsia="SimSun" w:cs="SimSun"/>
          <w:sz w:val="13"/>
          <w:szCs w:val="13"/>
          <w:spacing w:val="6"/>
        </w:rPr>
        <w:t>消毒池</w:t>
      </w:r>
    </w:p>
    <w:p>
      <w:pPr>
        <w:spacing w:before="33"/>
        <w:rPr/>
      </w:pPr>
      <w:r/>
    </w:p>
    <w:p>
      <w:pPr>
        <w:spacing w:before="33"/>
        <w:rPr/>
      </w:pPr>
      <w:r/>
    </w:p>
    <w:p>
      <w:pPr>
        <w:pStyle w:val="BodyText"/>
        <w:spacing w:line="14" w:lineRule="auto"/>
        <w:rPr>
          <w:sz w:val="2"/>
        </w:rPr>
      </w:pPr>
      <w:r>
        <w:rPr>
          <w:sz w:val="2"/>
          <w:szCs w:val="2"/>
        </w:rPr>
        <w:br w:type="column"/>
      </w:r>
    </w:p>
    <w:p>
      <w:pPr>
        <w:ind w:left="750"/>
        <w:spacing w:before="47" w:line="222" w:lineRule="auto"/>
        <w:rPr>
          <w:rFonts w:ascii="SimHei" w:hAnsi="SimHei" w:eastAsia="SimHei" w:cs="SimHei"/>
          <w:sz w:val="13"/>
          <w:szCs w:val="13"/>
        </w:rPr>
      </w:pPr>
      <w:r>
        <w:rPr>
          <w:rFonts w:ascii="SimHei" w:hAnsi="SimHei" w:eastAsia="SimHei" w:cs="SimHei"/>
          <w:sz w:val="13"/>
          <w:szCs w:val="13"/>
        </w:rPr>
        <w:t>碱</w:t>
      </w:r>
    </w:p>
    <w:p>
      <w:pPr>
        <w:ind w:left="500"/>
        <w:spacing w:before="194" w:line="222" w:lineRule="auto"/>
        <w:rPr>
          <w:rFonts w:ascii="SimHei" w:hAnsi="SimHei" w:eastAsia="SimHei" w:cs="SimHei"/>
          <w:sz w:val="13"/>
          <w:szCs w:val="13"/>
        </w:rPr>
      </w:pPr>
      <w:r>
        <w:rPr>
          <w:rFonts w:ascii="SimHei" w:hAnsi="SimHei" w:eastAsia="SimHei" w:cs="SimHei"/>
          <w:sz w:val="13"/>
          <w:szCs w:val="13"/>
          <w:spacing w:val="-2"/>
        </w:rPr>
        <w:t>调节池</w:t>
      </w:r>
    </w:p>
    <w:p>
      <w:pPr>
        <w:pStyle w:val="BodyText"/>
        <w:spacing w:line="245" w:lineRule="auto"/>
        <w:rPr/>
      </w:pPr>
      <w:r/>
    </w:p>
    <w:p>
      <w:pPr>
        <w:pStyle w:val="BodyText"/>
        <w:spacing w:line="246" w:lineRule="auto"/>
        <w:rPr/>
      </w:pPr>
      <w:r/>
    </w:p>
    <w:p>
      <w:pPr>
        <w:pStyle w:val="BodyText"/>
        <w:spacing w:line="246" w:lineRule="auto"/>
        <w:rPr/>
      </w:pPr>
      <w:r/>
    </w:p>
    <w:p>
      <w:pPr>
        <w:ind w:left="160"/>
        <w:spacing w:before="43" w:line="225" w:lineRule="auto"/>
        <w:rPr>
          <w:rFonts w:ascii="FangSong" w:hAnsi="FangSong" w:eastAsia="FangSong" w:cs="FangSong"/>
          <w:sz w:val="13"/>
          <w:szCs w:val="13"/>
        </w:rPr>
      </w:pPr>
      <w:r>
        <w:rPr>
          <w:rFonts w:ascii="FangSong" w:hAnsi="FangSong" w:eastAsia="FangSong" w:cs="FangSong"/>
          <w:sz w:val="13"/>
          <w:szCs w:val="13"/>
          <w:spacing w:val="-3"/>
        </w:rPr>
        <w:t>污泥池</w:t>
      </w:r>
    </w:p>
    <w:p>
      <w:pPr>
        <w:pStyle w:val="BodyText"/>
        <w:spacing w:line="304" w:lineRule="auto"/>
        <w:rPr/>
      </w:pPr>
      <w:r/>
    </w:p>
    <w:p>
      <w:pPr>
        <w:spacing w:before="23" w:line="188" w:lineRule="auto"/>
        <w:rPr>
          <w:rFonts w:ascii="Times New Roman" w:hAnsi="Times New Roman" w:eastAsia="Times New Roman" w:cs="Times New Roman"/>
          <w:sz w:val="8"/>
          <w:szCs w:val="8"/>
        </w:rPr>
      </w:pPr>
      <w:r>
        <w:rPr>
          <w:rFonts w:ascii="Times New Roman" w:hAnsi="Times New Roman" w:eastAsia="Times New Roman" w:cs="Times New Roman"/>
          <w:sz w:val="8"/>
          <w:szCs w:val="8"/>
          <w:spacing w:val="-1"/>
        </w:rPr>
        <w:t>PAC</w:t>
      </w:r>
    </w:p>
    <w:p>
      <w:pPr>
        <w:ind w:left="150"/>
        <w:spacing w:before="230" w:line="224" w:lineRule="auto"/>
        <w:rPr>
          <w:rFonts w:ascii="SimHei" w:hAnsi="SimHei" w:eastAsia="SimHei" w:cs="SimHei"/>
          <w:sz w:val="13"/>
          <w:szCs w:val="13"/>
        </w:rPr>
      </w:pPr>
      <w:r>
        <w:rPr>
          <w:rFonts w:ascii="SimHei" w:hAnsi="SimHei" w:eastAsia="SimHei" w:cs="SimHei"/>
          <w:sz w:val="13"/>
          <w:szCs w:val="13"/>
          <w:spacing w:val="-2"/>
        </w:rPr>
        <w:t>二沉池</w:t>
      </w:r>
    </w:p>
    <w:p>
      <w:pPr>
        <w:pStyle w:val="BodyText"/>
        <w:spacing w:line="346" w:lineRule="auto"/>
        <w:rPr/>
      </w:pPr>
      <w:r/>
    </w:p>
    <w:p>
      <w:pPr>
        <w:ind w:right="7"/>
        <w:spacing w:before="42" w:line="221" w:lineRule="auto"/>
        <w:jc w:val="right"/>
        <w:rPr>
          <w:rFonts w:ascii="SimHei" w:hAnsi="SimHei" w:eastAsia="SimHei" w:cs="SimHei"/>
          <w:sz w:val="13"/>
          <w:szCs w:val="13"/>
        </w:rPr>
      </w:pPr>
      <w:r>
        <w:rPr>
          <w:rFonts w:ascii="SimHei" w:hAnsi="SimHei" w:eastAsia="SimHei" w:cs="SimHei"/>
          <w:sz w:val="13"/>
          <w:szCs w:val="13"/>
          <w:spacing w:val="6"/>
        </w:rPr>
        <w:t>污泥</w:t>
      </w:r>
    </w:p>
    <w:p>
      <w:pPr>
        <w:pStyle w:val="BodyText"/>
        <w:spacing w:line="14" w:lineRule="auto"/>
        <w:rPr>
          <w:sz w:val="2"/>
        </w:rPr>
      </w:pPr>
      <w:r>
        <w:rPr>
          <w:sz w:val="2"/>
          <w:szCs w:val="2"/>
        </w:rPr>
        <w:br w:type="column"/>
      </w:r>
    </w:p>
    <w:p>
      <w:pPr>
        <w:ind w:left="819" w:right="197" w:hanging="19"/>
        <w:spacing w:before="36" w:line="280" w:lineRule="auto"/>
        <w:rPr>
          <w:rFonts w:ascii="Times New Roman" w:hAnsi="Times New Roman" w:eastAsia="Times New Roman" w:cs="Times New Roman"/>
          <w:sz w:val="8"/>
          <w:szCs w:val="8"/>
        </w:rPr>
      </w:pPr>
      <w:r>
        <w:rPr>
          <w:rFonts w:ascii="Times New Roman" w:hAnsi="Times New Roman" w:eastAsia="Times New Roman" w:cs="Times New Roman"/>
          <w:sz w:val="8"/>
          <w:szCs w:val="8"/>
          <w:spacing w:val="-4"/>
        </w:rPr>
        <w:t>PAC</w:t>
      </w:r>
      <w:r>
        <w:rPr>
          <w:rFonts w:ascii="SimSun" w:hAnsi="SimSun" w:eastAsia="SimSun" w:cs="SimSun"/>
          <w:sz w:val="8"/>
          <w:szCs w:val="8"/>
          <w:spacing w:val="-4"/>
        </w:rPr>
        <w:t>、</w:t>
      </w:r>
      <w:r>
        <w:rPr>
          <w:rFonts w:ascii="SimSun" w:hAnsi="SimSun" w:eastAsia="SimSun" w:cs="SimSun"/>
          <w:sz w:val="8"/>
          <w:szCs w:val="8"/>
          <w:spacing w:val="1"/>
        </w:rPr>
        <w:t xml:space="preserve"> </w:t>
      </w:r>
      <w:r>
        <w:rPr>
          <w:rFonts w:ascii="Times New Roman" w:hAnsi="Times New Roman" w:eastAsia="Times New Roman" w:cs="Times New Roman"/>
          <w:sz w:val="8"/>
          <w:szCs w:val="8"/>
          <w:spacing w:val="-1"/>
        </w:rPr>
        <w:t>PAM</w:t>
      </w:r>
    </w:p>
    <w:p>
      <w:pPr>
        <w:ind w:left="580"/>
        <w:spacing w:before="133" w:line="222" w:lineRule="auto"/>
        <w:rPr>
          <w:rFonts w:ascii="SimHei" w:hAnsi="SimHei" w:eastAsia="SimHei" w:cs="SimHei"/>
          <w:sz w:val="13"/>
          <w:szCs w:val="13"/>
        </w:rPr>
      </w:pPr>
      <w:r>
        <w:pict>
          <v:shape id="_x0000_s214" style="position:absolute;margin-left:-1pt;margin-top:2.63269pt;mso-position-vertical-relative:text;mso-position-horizontal-relative:text;width:8.15pt;height:9.85pt;z-index:252232704;" filled="false" stroked="false" type="#_x0000_t202">
            <v:fill on="false"/>
            <v:stroke on="false"/>
            <v:path/>
            <v:imagedata o:title=""/>
            <o:lock v:ext="edit" aspectratio="false"/>
            <v:textbox inset="0mm,0mm,0mm,0mm">
              <w:txbxContent>
                <w:p>
                  <w:pPr>
                    <w:ind w:left="20"/>
                    <w:spacing w:before="19" w:line="222" w:lineRule="auto"/>
                    <w:rPr>
                      <w:rFonts w:ascii="SimHei" w:hAnsi="SimHei" w:eastAsia="SimHei" w:cs="SimHei"/>
                      <w:sz w:val="13"/>
                      <w:szCs w:val="13"/>
                    </w:rPr>
                  </w:pPr>
                  <w:r>
                    <w:rPr>
                      <w:rFonts w:ascii="SimHei" w:hAnsi="SimHei" w:eastAsia="SimHei" w:cs="SimHei"/>
                      <w:sz w:val="13"/>
                      <w:szCs w:val="13"/>
                    </w:rPr>
                    <w:t>泵</w:t>
                  </w:r>
                </w:p>
              </w:txbxContent>
            </v:textbox>
          </v:shape>
        </w:pict>
      </w:r>
      <w:r>
        <w:rPr>
          <w:rFonts w:ascii="SimHei" w:hAnsi="SimHei" w:eastAsia="SimHei" w:cs="SimHei"/>
          <w:sz w:val="13"/>
          <w:szCs w:val="13"/>
          <w:spacing w:val="-2"/>
        </w:rPr>
        <w:t>气浮机</w:t>
      </w:r>
    </w:p>
    <w:p>
      <w:pPr>
        <w:pStyle w:val="BodyText"/>
        <w:spacing w:line="253" w:lineRule="auto"/>
        <w:rPr/>
      </w:pPr>
      <w:r/>
    </w:p>
    <w:p>
      <w:pPr>
        <w:pStyle w:val="BodyText"/>
        <w:spacing w:line="253" w:lineRule="auto"/>
        <w:rPr/>
      </w:pPr>
      <w:r/>
    </w:p>
    <w:p>
      <w:pPr>
        <w:pStyle w:val="BodyText"/>
        <w:spacing w:line="254" w:lineRule="auto"/>
        <w:rPr/>
      </w:pPr>
      <w:r/>
    </w:p>
    <w:p>
      <w:pPr>
        <w:pStyle w:val="BodyText"/>
        <w:spacing w:line="254" w:lineRule="auto"/>
        <w:rPr/>
      </w:pPr>
      <w:r/>
    </w:p>
    <w:p>
      <w:pPr>
        <w:pStyle w:val="BodyText"/>
        <w:spacing w:line="254" w:lineRule="auto"/>
        <w:rPr/>
      </w:pPr>
      <w:r/>
    </w:p>
    <w:p>
      <w:pPr>
        <w:pStyle w:val="BodyText"/>
        <w:spacing w:line="254" w:lineRule="auto"/>
        <w:rPr/>
      </w:pPr>
      <w:r/>
    </w:p>
    <w:p>
      <w:pPr>
        <w:ind w:left="180"/>
        <w:spacing w:before="42" w:line="222" w:lineRule="auto"/>
        <w:rPr>
          <w:rFonts w:ascii="SimHei" w:hAnsi="SimHei" w:eastAsia="SimHei" w:cs="SimHei"/>
          <w:sz w:val="13"/>
          <w:szCs w:val="13"/>
        </w:rPr>
      </w:pPr>
      <w:r>
        <w:rPr>
          <w:rFonts w:ascii="SimHei" w:hAnsi="SimHei" w:eastAsia="SimHei" w:cs="SimHei"/>
          <w:sz w:val="13"/>
          <w:szCs w:val="13"/>
          <w:spacing w:val="-3"/>
        </w:rPr>
        <w:t>曝气池</w:t>
      </w:r>
    </w:p>
    <w:p>
      <w:pPr>
        <w:pStyle w:val="BodyText"/>
        <w:spacing w:line="14" w:lineRule="auto"/>
        <w:rPr>
          <w:sz w:val="2"/>
        </w:rPr>
      </w:pPr>
      <w:r>
        <w:rPr>
          <w:sz w:val="2"/>
          <w:szCs w:val="2"/>
        </w:rPr>
        <w:br w:type="column"/>
      </w:r>
    </w:p>
    <w:p>
      <w:pPr>
        <w:pStyle w:val="BodyText"/>
        <w:spacing w:line="358" w:lineRule="auto"/>
        <w:rPr/>
      </w:pPr>
      <w:r/>
    </w:p>
    <w:p>
      <w:pPr>
        <w:ind w:left="379"/>
        <w:spacing w:before="35" w:line="220" w:lineRule="auto"/>
        <w:rPr>
          <w:rFonts w:ascii="SimHei" w:hAnsi="SimHei" w:eastAsia="SimHei" w:cs="SimHei"/>
          <w:sz w:val="11"/>
          <w:szCs w:val="11"/>
        </w:rPr>
      </w:pPr>
      <w:r>
        <w:pict>
          <v:shape id="_x0000_s216" style="position:absolute;margin-left:73.497pt;margin-top:0.389944pt;mso-position-vertical-relative:text;mso-position-horizontal-relative:text;width:21.25pt;height:9.85pt;z-index:252231680;" filled="false" stroked="false" type="#_x0000_t202">
            <v:fill on="false"/>
            <v:stroke on="false"/>
            <v:path/>
            <v:imagedata o:title=""/>
            <o:lock v:ext="edit" aspectratio="false"/>
            <v:textbox inset="0mm,0mm,0mm,0mm">
              <w:txbxContent>
                <w:p>
                  <w:pPr>
                    <w:ind w:left="20"/>
                    <w:spacing w:before="20" w:line="222" w:lineRule="auto"/>
                    <w:rPr>
                      <w:rFonts w:ascii="SimHei" w:hAnsi="SimHei" w:eastAsia="SimHei" w:cs="SimHei"/>
                      <w:sz w:val="13"/>
                      <w:szCs w:val="13"/>
                    </w:rPr>
                  </w:pPr>
                  <w:r>
                    <w:rPr>
                      <w:rFonts w:ascii="SimHei" w:hAnsi="SimHei" w:eastAsia="SimHei" w:cs="SimHei"/>
                      <w:sz w:val="13"/>
                      <w:szCs w:val="13"/>
                      <w:spacing w:val="-2"/>
                    </w:rPr>
                    <w:t>沉淀池</w:t>
                  </w:r>
                </w:p>
              </w:txbxContent>
            </v:textbox>
          </v:shape>
        </w:pict>
      </w:r>
      <w:r>
        <w:rPr>
          <w:rFonts w:ascii="SimHei" w:hAnsi="SimHei" w:eastAsia="SimHei" w:cs="SimHei"/>
          <w:sz w:val="11"/>
          <w:szCs w:val="11"/>
          <w:spacing w:val="-4"/>
        </w:rPr>
        <w:t>厌</w:t>
      </w:r>
      <w:r>
        <w:rPr>
          <w:rFonts w:ascii="SimHei" w:hAnsi="SimHei" w:eastAsia="SimHei" w:cs="SimHei"/>
          <w:sz w:val="11"/>
          <w:szCs w:val="11"/>
          <w:spacing w:val="15"/>
        </w:rPr>
        <w:t xml:space="preserve"> </w:t>
      </w:r>
      <w:r>
        <w:rPr>
          <w:rFonts w:ascii="SimHei" w:hAnsi="SimHei" w:eastAsia="SimHei" w:cs="SimHei"/>
          <w:sz w:val="11"/>
          <w:szCs w:val="11"/>
          <w:spacing w:val="-4"/>
        </w:rPr>
        <w:t>氧</w:t>
      </w:r>
      <w:r>
        <w:rPr>
          <w:rFonts w:ascii="SimHei" w:hAnsi="SimHei" w:eastAsia="SimHei" w:cs="SimHei"/>
          <w:sz w:val="11"/>
          <w:szCs w:val="11"/>
          <w:spacing w:val="14"/>
        </w:rPr>
        <w:t xml:space="preserve"> </w:t>
      </w:r>
      <w:r>
        <w:rPr>
          <w:rFonts w:ascii="SimHei" w:hAnsi="SimHei" w:eastAsia="SimHei" w:cs="SimHei"/>
          <w:sz w:val="11"/>
          <w:szCs w:val="11"/>
          <w:spacing w:val="-4"/>
        </w:rPr>
        <w:t>接</w:t>
      </w:r>
    </w:p>
    <w:p>
      <w:pPr>
        <w:ind w:left="459"/>
        <w:spacing w:before="82" w:line="225" w:lineRule="auto"/>
        <w:rPr>
          <w:rFonts w:ascii="SimHei" w:hAnsi="SimHei" w:eastAsia="SimHei" w:cs="SimHei"/>
          <w:sz w:val="11"/>
          <w:szCs w:val="11"/>
        </w:rPr>
      </w:pPr>
      <w:r>
        <w:rPr>
          <w:rFonts w:ascii="SimHei" w:hAnsi="SimHei" w:eastAsia="SimHei" w:cs="SimHei"/>
          <w:sz w:val="11"/>
          <w:szCs w:val="11"/>
          <w:spacing w:val="-1"/>
        </w:rPr>
        <w:t>触池</w:t>
      </w:r>
    </w:p>
    <w:p>
      <w:pPr>
        <w:ind w:left="909"/>
        <w:spacing w:before="143" w:line="221" w:lineRule="auto"/>
        <w:rPr>
          <w:rFonts w:ascii="SimHei" w:hAnsi="SimHei" w:eastAsia="SimHei" w:cs="SimHei"/>
          <w:sz w:val="13"/>
          <w:szCs w:val="13"/>
        </w:rPr>
      </w:pPr>
      <w:r>
        <w:rPr>
          <w:rFonts w:ascii="SimHei" w:hAnsi="SimHei" w:eastAsia="SimHei" w:cs="SimHei"/>
          <w:sz w:val="13"/>
          <w:szCs w:val="13"/>
          <w:spacing w:val="6"/>
        </w:rPr>
        <w:t>污泥</w:t>
      </w:r>
    </w:p>
    <w:p>
      <w:pPr>
        <w:pStyle w:val="BodyText"/>
        <w:spacing w:line="258" w:lineRule="auto"/>
        <w:rPr/>
      </w:pPr>
      <w:r/>
    </w:p>
    <w:p>
      <w:pPr>
        <w:pStyle w:val="BodyText"/>
        <w:spacing w:line="259" w:lineRule="auto"/>
        <w:rPr/>
      </w:pPr>
      <w:r/>
    </w:p>
    <w:p>
      <w:pPr>
        <w:pStyle w:val="BodyText"/>
        <w:spacing w:line="259" w:lineRule="auto"/>
        <w:rPr/>
      </w:pPr>
      <w:r/>
    </w:p>
    <w:p>
      <w:pPr>
        <w:pStyle w:val="BodyText"/>
        <w:spacing w:line="259" w:lineRule="auto"/>
        <w:rPr/>
      </w:pPr>
      <w:r/>
    </w:p>
    <w:p>
      <w:pPr>
        <w:spacing w:before="43" w:line="222" w:lineRule="auto"/>
        <w:rPr>
          <w:rFonts w:ascii="SimHei" w:hAnsi="SimHei" w:eastAsia="SimHei" w:cs="SimHei"/>
          <w:sz w:val="13"/>
          <w:szCs w:val="13"/>
        </w:rPr>
      </w:pPr>
      <w:r>
        <w:rPr>
          <w:rFonts w:ascii="SimHei" w:hAnsi="SimHei" w:eastAsia="SimHei" w:cs="SimHei"/>
          <w:sz w:val="13"/>
          <w:szCs w:val="13"/>
          <w:spacing w:val="-2"/>
        </w:rPr>
        <w:t>缺氧池</w:t>
      </w:r>
      <w:r>
        <w:rPr>
          <w:rFonts w:ascii="SimHei" w:hAnsi="SimHei" w:eastAsia="SimHei" w:cs="SimHei"/>
          <w:sz w:val="13"/>
          <w:szCs w:val="13"/>
        </w:rPr>
        <w:t xml:space="preserve">           </w:t>
      </w:r>
      <w:r>
        <w:rPr>
          <w:rFonts w:ascii="SimHei" w:hAnsi="SimHei" w:eastAsia="SimHei" w:cs="SimHei"/>
          <w:sz w:val="13"/>
          <w:szCs w:val="13"/>
          <w:spacing w:val="-2"/>
        </w:rPr>
        <w:t>曝气池</w:t>
      </w:r>
    </w:p>
    <w:p>
      <w:pPr>
        <w:ind w:left="579"/>
        <w:spacing w:before="264" w:line="221" w:lineRule="auto"/>
        <w:rPr>
          <w:rFonts w:ascii="SimHei" w:hAnsi="SimHei" w:eastAsia="SimHei" w:cs="SimHei"/>
          <w:sz w:val="13"/>
          <w:szCs w:val="13"/>
        </w:rPr>
      </w:pPr>
      <w:r>
        <w:rPr>
          <w:rFonts w:ascii="SimHei" w:hAnsi="SimHei" w:eastAsia="SimHei" w:cs="SimHei"/>
          <w:sz w:val="13"/>
          <w:szCs w:val="13"/>
          <w:spacing w:val="-13"/>
        </w:rPr>
        <w:t>回流混合液</w:t>
      </w:r>
    </w:p>
    <w:p>
      <w:pPr>
        <w:pStyle w:val="BodyText"/>
        <w:spacing w:line="14" w:lineRule="auto"/>
        <w:rPr>
          <w:sz w:val="2"/>
        </w:rPr>
      </w:pPr>
      <w:r>
        <w:rPr>
          <w:sz w:val="2"/>
          <w:szCs w:val="2"/>
        </w:rPr>
        <w:br w:type="column"/>
      </w:r>
    </w:p>
    <w:p>
      <w:pPr>
        <w:pStyle w:val="BodyText"/>
        <w:spacing w:line="258" w:lineRule="auto"/>
        <w:rPr/>
      </w:pPr>
      <w:r/>
    </w:p>
    <w:p>
      <w:pPr>
        <w:pStyle w:val="BodyText"/>
        <w:spacing w:line="259" w:lineRule="auto"/>
        <w:rPr/>
      </w:pPr>
      <w:r/>
    </w:p>
    <w:p>
      <w:pPr>
        <w:pStyle w:val="BodyText"/>
        <w:spacing w:line="259" w:lineRule="auto"/>
        <w:rPr/>
      </w:pPr>
      <w:r/>
    </w:p>
    <w:p>
      <w:pPr>
        <w:pStyle w:val="BodyText"/>
        <w:spacing w:line="259" w:lineRule="auto"/>
        <w:rPr/>
      </w:pPr>
      <w:r/>
    </w:p>
    <w:p>
      <w:pPr>
        <w:pStyle w:val="BodyText"/>
        <w:spacing w:line="259" w:lineRule="auto"/>
        <w:rPr/>
      </w:pPr>
      <w:r/>
    </w:p>
    <w:p>
      <w:pPr>
        <w:pStyle w:val="BodyText"/>
        <w:spacing w:line="259" w:lineRule="auto"/>
        <w:rPr/>
      </w:pPr>
      <w:r/>
    </w:p>
    <w:p>
      <w:pPr>
        <w:pStyle w:val="BodyText"/>
        <w:spacing w:line="259" w:lineRule="auto"/>
        <w:rPr/>
      </w:pPr>
      <w:r/>
    </w:p>
    <w:p>
      <w:pPr>
        <w:pStyle w:val="BodyText"/>
        <w:spacing w:line="259" w:lineRule="auto"/>
        <w:rPr/>
      </w:pPr>
      <w:r/>
    </w:p>
    <w:p>
      <w:pPr>
        <w:spacing w:before="42" w:line="220" w:lineRule="auto"/>
        <w:rPr>
          <w:rFonts w:ascii="SimHei" w:hAnsi="SimHei" w:eastAsia="SimHei" w:cs="SimHei"/>
          <w:sz w:val="13"/>
          <w:szCs w:val="13"/>
        </w:rPr>
      </w:pPr>
      <w:r>
        <w:rPr>
          <w:rFonts w:ascii="SimHei" w:hAnsi="SimHei" w:eastAsia="SimHei" w:cs="SimHei"/>
          <w:sz w:val="13"/>
          <w:szCs w:val="13"/>
          <w:spacing w:val="-1"/>
        </w:rPr>
        <w:t>缺氧池</w:t>
      </w:r>
    </w:p>
    <w:p>
      <w:pPr>
        <w:spacing w:line="220" w:lineRule="auto"/>
        <w:sectPr>
          <w:type w:val="continuous"/>
          <w:pgSz w:w="11910" w:h="16840"/>
          <w:pgMar w:top="1197" w:right="1786" w:bottom="962" w:left="1779" w:header="905" w:footer="777" w:gutter="0"/>
          <w:cols w:equalWidth="0" w:num="5">
            <w:col w:w="2870" w:space="100"/>
            <w:col w:w="980" w:space="100"/>
            <w:col w:w="1221" w:space="100"/>
            <w:col w:w="2150" w:space="100"/>
            <w:col w:w="724" w:space="0"/>
          </w:cols>
        </w:sectPr>
        <w:rPr>
          <w:rFonts w:ascii="SimHei" w:hAnsi="SimHei" w:eastAsia="SimHei" w:cs="SimHei"/>
          <w:sz w:val="13"/>
          <w:szCs w:val="13"/>
        </w:rPr>
      </w:pPr>
    </w:p>
    <w:p>
      <w:pPr>
        <w:ind w:left="1843"/>
        <w:spacing w:before="273" w:line="219" w:lineRule="auto"/>
        <w:rPr>
          <w:rFonts w:ascii="SimSun" w:hAnsi="SimSun" w:eastAsia="SimSun" w:cs="SimSun"/>
          <w:sz w:val="24"/>
          <w:szCs w:val="24"/>
        </w:rPr>
      </w:pPr>
      <w:r>
        <w:rPr>
          <w:rFonts w:ascii="SimSun" w:hAnsi="SimSun" w:eastAsia="SimSun" w:cs="SimSun"/>
          <w:sz w:val="24"/>
          <w:szCs w:val="24"/>
          <w:b/>
          <w:bCs/>
          <w:spacing w:val="-7"/>
        </w:rPr>
        <w:t>图3.11-1污水处理站污水处理工艺流程示意图</w:t>
      </w:r>
    </w:p>
    <w:p>
      <w:pPr>
        <w:ind w:left="613"/>
        <w:spacing w:before="185" w:line="219" w:lineRule="auto"/>
        <w:rPr>
          <w:rFonts w:ascii="SimSun" w:hAnsi="SimSun" w:eastAsia="SimSun" w:cs="SimSun"/>
          <w:sz w:val="24"/>
          <w:szCs w:val="24"/>
        </w:rPr>
      </w:pPr>
      <w:r>
        <w:rPr>
          <w:rFonts w:ascii="SimSun" w:hAnsi="SimSun" w:eastAsia="SimSun" w:cs="SimSun"/>
          <w:sz w:val="24"/>
          <w:szCs w:val="24"/>
          <w:b/>
          <w:bCs/>
          <w:spacing w:val="7"/>
        </w:rPr>
        <w:t>(1)污水处理站工艺流程</w:t>
      </w:r>
    </w:p>
    <w:p>
      <w:pPr>
        <w:ind w:right="127" w:firstLine="480"/>
        <w:spacing w:before="196" w:line="352" w:lineRule="auto"/>
        <w:rPr>
          <w:rFonts w:ascii="SimSun" w:hAnsi="SimSun" w:eastAsia="SimSun" w:cs="SimSun"/>
          <w:sz w:val="24"/>
          <w:szCs w:val="24"/>
        </w:rPr>
      </w:pPr>
      <w:r>
        <w:rPr>
          <w:rFonts w:ascii="SimSun" w:hAnsi="SimSun" w:eastAsia="SimSun" w:cs="SimSun"/>
          <w:sz w:val="24"/>
          <w:szCs w:val="24"/>
          <w:spacing w:val="2"/>
        </w:rPr>
        <w:t>污水经过2级格栅，去除水中较大的悬浮物、漂浮物和带状物，自流进入  </w:t>
      </w:r>
      <w:r>
        <w:rPr>
          <w:rFonts w:ascii="SimSun" w:hAnsi="SimSun" w:eastAsia="SimSun" w:cs="SimSun"/>
          <w:sz w:val="24"/>
          <w:szCs w:val="24"/>
          <w:spacing w:val="1"/>
        </w:rPr>
        <w:t>调节池。设置调节池的目的是调节污水的水量和水质，为防止调节池中的污水</w:t>
      </w:r>
      <w:r>
        <w:rPr>
          <w:rFonts w:ascii="SimSun" w:hAnsi="SimSun" w:eastAsia="SimSun" w:cs="SimSun"/>
          <w:sz w:val="24"/>
          <w:szCs w:val="24"/>
          <w:spacing w:val="16"/>
        </w:rPr>
        <w:t xml:space="preserve"> </w:t>
      </w:r>
      <w:r>
        <w:rPr>
          <w:rFonts w:ascii="SimSun" w:hAnsi="SimSun" w:eastAsia="SimSun" w:cs="SimSun"/>
          <w:sz w:val="24"/>
          <w:szCs w:val="24"/>
        </w:rPr>
        <w:t>因水解酸化导致的pH</w:t>
      </w:r>
      <w:r>
        <w:rPr>
          <w:rFonts w:ascii="SimSun" w:hAnsi="SimSun" w:eastAsia="SimSun" w:cs="SimSun"/>
          <w:sz w:val="24"/>
          <w:szCs w:val="24"/>
          <w:spacing w:val="-36"/>
        </w:rPr>
        <w:t xml:space="preserve"> </w:t>
      </w:r>
      <w:r>
        <w:rPr>
          <w:rFonts w:ascii="SimSun" w:hAnsi="SimSun" w:eastAsia="SimSun" w:cs="SimSun"/>
          <w:sz w:val="24"/>
          <w:szCs w:val="24"/>
        </w:rPr>
        <w:t>降低，同时保障后续气浮处理条件，调节池应配置pH</w:t>
      </w:r>
      <w:r>
        <w:rPr>
          <w:rFonts w:ascii="SimSun" w:hAnsi="SimSun" w:eastAsia="SimSun" w:cs="SimSun"/>
          <w:sz w:val="24"/>
          <w:szCs w:val="24"/>
          <w:spacing w:val="-54"/>
        </w:rPr>
        <w:t xml:space="preserve"> </w:t>
      </w:r>
      <w:r>
        <w:rPr>
          <w:rFonts w:ascii="SimSun" w:hAnsi="SimSun" w:eastAsia="SimSun" w:cs="SimSun"/>
          <w:sz w:val="24"/>
          <w:szCs w:val="24"/>
        </w:rPr>
        <w:t>在  </w:t>
      </w:r>
      <w:r>
        <w:rPr>
          <w:rFonts w:ascii="SimSun" w:hAnsi="SimSun" w:eastAsia="SimSun" w:cs="SimSun"/>
          <w:sz w:val="24"/>
          <w:szCs w:val="24"/>
          <w:spacing w:val="2"/>
        </w:rPr>
        <w:t>线监测仪、碱加药装置、潜水搅拌机。调节池</w:t>
      </w:r>
      <w:r>
        <w:rPr>
          <w:rFonts w:ascii="SimSun" w:hAnsi="SimSun" w:eastAsia="SimSun" w:cs="SimSun"/>
          <w:sz w:val="24"/>
          <w:szCs w:val="24"/>
          <w:spacing w:val="1"/>
        </w:rPr>
        <w:t>出水由提升泵进入气浮机，经气</w:t>
      </w:r>
      <w:r>
        <w:rPr>
          <w:rFonts w:ascii="SimSun" w:hAnsi="SimSun" w:eastAsia="SimSun" w:cs="SimSun"/>
          <w:sz w:val="24"/>
          <w:szCs w:val="24"/>
        </w:rPr>
        <w:t xml:space="preserve"> </w:t>
      </w:r>
      <w:r>
        <w:rPr>
          <w:rFonts w:ascii="SimSun" w:hAnsi="SimSun" w:eastAsia="SimSun" w:cs="SimSun"/>
          <w:sz w:val="24"/>
          <w:szCs w:val="24"/>
          <w:spacing w:val="2"/>
        </w:rPr>
        <w:t>浮处理去除水中悬浮物及残留油脂后，自流</w:t>
      </w:r>
      <w:r>
        <w:rPr>
          <w:rFonts w:ascii="SimSun" w:hAnsi="SimSun" w:eastAsia="SimSun" w:cs="SimSun"/>
          <w:sz w:val="24"/>
          <w:szCs w:val="24"/>
          <w:spacing w:val="1"/>
        </w:rPr>
        <w:t>至厌氧接触反应器。废水在厌氧菌</w:t>
      </w:r>
      <w:r>
        <w:rPr>
          <w:rFonts w:ascii="SimSun" w:hAnsi="SimSun" w:eastAsia="SimSun" w:cs="SimSun"/>
          <w:sz w:val="24"/>
          <w:szCs w:val="24"/>
        </w:rPr>
        <w:t xml:space="preserve"> </w:t>
      </w:r>
      <w:r>
        <w:rPr>
          <w:rFonts w:ascii="SimSun" w:hAnsi="SimSun" w:eastAsia="SimSun" w:cs="SimSun"/>
          <w:sz w:val="24"/>
          <w:szCs w:val="24"/>
          <w:spacing w:val="1"/>
        </w:rPr>
        <w:t>的作用下将难降解的物质分解为易降解的物质，将废水中的大分子物质分解为</w:t>
      </w:r>
      <w:r>
        <w:rPr>
          <w:rFonts w:ascii="SimSun" w:hAnsi="SimSun" w:eastAsia="SimSun" w:cs="SimSun"/>
          <w:sz w:val="24"/>
          <w:szCs w:val="24"/>
          <w:spacing w:val="17"/>
        </w:rPr>
        <w:t xml:space="preserve"> </w:t>
      </w:r>
      <w:r>
        <w:rPr>
          <w:rFonts w:ascii="SimSun" w:hAnsi="SimSun" w:eastAsia="SimSun" w:cs="SimSun"/>
          <w:sz w:val="24"/>
          <w:szCs w:val="24"/>
          <w:spacing w:val="2"/>
        </w:rPr>
        <w:t>小分子物质，最终分解为</w:t>
      </w:r>
      <w:r>
        <w:rPr>
          <w:rFonts w:ascii="Times New Roman" w:hAnsi="Times New Roman" w:eastAsia="Times New Roman" w:cs="Times New Roman"/>
          <w:sz w:val="24"/>
          <w:szCs w:val="24"/>
        </w:rPr>
        <w:t>CH</w:t>
      </w:r>
      <w:r>
        <w:rPr>
          <w:rFonts w:ascii="Times New Roman" w:hAnsi="Times New Roman" w:eastAsia="Times New Roman" w:cs="Times New Roman"/>
          <w:sz w:val="24"/>
          <w:szCs w:val="24"/>
          <w:spacing w:val="2"/>
        </w:rPr>
        <w:t>₄</w:t>
      </w:r>
      <w:r>
        <w:rPr>
          <w:rFonts w:ascii="SimSun" w:hAnsi="SimSun" w:eastAsia="SimSun" w:cs="SimSun"/>
          <w:sz w:val="24"/>
          <w:szCs w:val="24"/>
          <w:spacing w:val="2"/>
        </w:rPr>
        <w:t>和</w:t>
      </w:r>
      <w:r>
        <w:rPr>
          <w:rFonts w:ascii="Times New Roman" w:hAnsi="Times New Roman" w:eastAsia="Times New Roman" w:cs="Times New Roman"/>
          <w:sz w:val="24"/>
          <w:szCs w:val="24"/>
          <w:spacing w:val="2"/>
        </w:rPr>
        <w:t>H₂O,   </w:t>
      </w:r>
      <w:r>
        <w:rPr>
          <w:rFonts w:ascii="SimSun" w:hAnsi="SimSun" w:eastAsia="SimSun" w:cs="SimSun"/>
          <w:sz w:val="24"/>
          <w:szCs w:val="24"/>
          <w:spacing w:val="2"/>
        </w:rPr>
        <w:t>经</w:t>
      </w:r>
      <w:r>
        <w:rPr>
          <w:rFonts w:ascii="SimSun" w:hAnsi="SimSun" w:eastAsia="SimSun" w:cs="SimSun"/>
          <w:sz w:val="24"/>
          <w:szCs w:val="24"/>
          <w:spacing w:val="1"/>
        </w:rPr>
        <w:t>沉淀池沉淀后厌氧出水自流至后续</w:t>
      </w:r>
    </w:p>
    <w:p>
      <w:pPr>
        <w:ind w:right="73"/>
        <w:spacing w:before="18" w:line="335" w:lineRule="auto"/>
        <w:rPr>
          <w:rFonts w:ascii="SimSun" w:hAnsi="SimSun" w:eastAsia="SimSun" w:cs="SimSun"/>
          <w:sz w:val="24"/>
          <w:szCs w:val="24"/>
        </w:rPr>
      </w:pPr>
      <w:r>
        <w:rPr>
          <w:rFonts w:ascii="Times New Roman" w:hAnsi="Times New Roman" w:eastAsia="Times New Roman" w:cs="Times New Roman"/>
          <w:sz w:val="24"/>
          <w:szCs w:val="24"/>
        </w:rPr>
        <w:t>AOAO</w:t>
      </w:r>
      <w:r>
        <w:rPr>
          <w:rFonts w:ascii="SimSun" w:hAnsi="SimSun" w:eastAsia="SimSun" w:cs="SimSun"/>
          <w:sz w:val="24"/>
          <w:szCs w:val="24"/>
          <w:spacing w:val="2"/>
        </w:rPr>
        <w:t>处理池，在</w:t>
      </w:r>
      <w:r>
        <w:rPr>
          <w:rFonts w:ascii="Times New Roman" w:hAnsi="Times New Roman" w:eastAsia="Times New Roman" w:cs="Times New Roman"/>
          <w:sz w:val="24"/>
          <w:szCs w:val="24"/>
          <w:spacing w:val="2"/>
        </w:rPr>
        <w:t>A</w:t>
      </w:r>
      <w:r>
        <w:rPr>
          <w:rFonts w:ascii="SimSun" w:hAnsi="SimSun" w:eastAsia="SimSun" w:cs="SimSun"/>
          <w:sz w:val="24"/>
          <w:szCs w:val="24"/>
          <w:spacing w:val="2"/>
        </w:rPr>
        <w:t>级池内，由于污水中有机物浓度较高，微生物处于缺氧状</w:t>
      </w:r>
      <w:r>
        <w:rPr>
          <w:rFonts w:ascii="SimSun" w:hAnsi="SimSun" w:eastAsia="SimSun" w:cs="SimSun"/>
          <w:sz w:val="24"/>
          <w:szCs w:val="24"/>
          <w:spacing w:val="5"/>
        </w:rPr>
        <w:t xml:space="preserve">  </w:t>
      </w:r>
      <w:r>
        <w:rPr>
          <w:rFonts w:ascii="SimSun" w:hAnsi="SimSun" w:eastAsia="SimSun" w:cs="SimSun"/>
          <w:sz w:val="24"/>
          <w:szCs w:val="24"/>
          <w:spacing w:val="1"/>
        </w:rPr>
        <w:t>态，此时微生物为兼性微生物，它们将污水中有机氮转化为氨氮，同时利用有</w:t>
      </w:r>
      <w:r>
        <w:rPr>
          <w:rFonts w:ascii="SimSun" w:hAnsi="SimSun" w:eastAsia="SimSun" w:cs="SimSun"/>
          <w:sz w:val="24"/>
          <w:szCs w:val="24"/>
          <w:spacing w:val="17"/>
        </w:rPr>
        <w:t xml:space="preserve"> </w:t>
      </w:r>
      <w:r>
        <w:rPr>
          <w:rFonts w:ascii="SimSun" w:hAnsi="SimSun" w:eastAsia="SimSun" w:cs="SimSun"/>
          <w:sz w:val="24"/>
          <w:szCs w:val="24"/>
          <w:spacing w:val="1"/>
        </w:rPr>
        <w:t>机碳源作为电子供体，将</w:t>
      </w:r>
      <w:r>
        <w:rPr>
          <w:rFonts w:ascii="SimSun" w:hAnsi="SimSun" w:eastAsia="SimSun" w:cs="SimSun"/>
          <w:sz w:val="24"/>
          <w:szCs w:val="24"/>
        </w:rPr>
        <w:t>NO</w:t>
      </w:r>
      <w:r>
        <w:rPr>
          <w:rFonts w:ascii="Calibri" w:hAnsi="Calibri" w:eastAsia="Calibri" w:cs="Calibri"/>
          <w:sz w:val="24"/>
          <w:szCs w:val="24"/>
          <w:spacing w:val="1"/>
        </w:rPr>
        <w:t>₂</w:t>
      </w:r>
      <w:r>
        <w:rPr>
          <w:rFonts w:ascii="SimSun" w:hAnsi="SimSun" w:eastAsia="SimSun" w:cs="SimSun"/>
          <w:sz w:val="24"/>
          <w:szCs w:val="24"/>
          <w:spacing w:val="1"/>
        </w:rPr>
        <w:t>--N、</w:t>
      </w:r>
      <w:r>
        <w:rPr>
          <w:rFonts w:ascii="SimSun" w:hAnsi="SimSun" w:eastAsia="SimSun" w:cs="SimSun"/>
          <w:sz w:val="24"/>
          <w:szCs w:val="24"/>
        </w:rPr>
        <w:t>NO</w:t>
      </w:r>
      <w:r>
        <w:rPr>
          <w:rFonts w:ascii="Calibri" w:hAnsi="Calibri" w:eastAsia="Calibri" w:cs="Calibri"/>
          <w:sz w:val="24"/>
          <w:szCs w:val="24"/>
          <w:spacing w:val="1"/>
        </w:rPr>
        <w:t>₃</w:t>
      </w:r>
      <w:r>
        <w:rPr>
          <w:rFonts w:ascii="SimSun" w:hAnsi="SimSun" w:eastAsia="SimSun" w:cs="SimSun"/>
          <w:sz w:val="24"/>
          <w:szCs w:val="24"/>
          <w:spacing w:val="1"/>
        </w:rPr>
        <w:t>-N  转化为N</w:t>
      </w:r>
      <w:r>
        <w:rPr>
          <w:rFonts w:ascii="Calibri" w:hAnsi="Calibri" w:eastAsia="Calibri" w:cs="Calibri"/>
          <w:sz w:val="24"/>
          <w:szCs w:val="24"/>
          <w:spacing w:val="1"/>
        </w:rPr>
        <w:t>₂</w:t>
      </w:r>
      <w:r>
        <w:rPr>
          <w:rFonts w:ascii="SimSun" w:hAnsi="SimSun" w:eastAsia="SimSun" w:cs="SimSun"/>
          <w:sz w:val="24"/>
          <w:szCs w:val="24"/>
          <w:spacing w:val="1"/>
        </w:rPr>
        <w:t>,</w:t>
      </w:r>
      <w:r>
        <w:rPr>
          <w:rFonts w:ascii="SimSun" w:hAnsi="SimSun" w:eastAsia="SimSun" w:cs="SimSun"/>
          <w:sz w:val="24"/>
          <w:szCs w:val="24"/>
          <w:spacing w:val="69"/>
        </w:rPr>
        <w:t xml:space="preserve"> </w:t>
      </w:r>
      <w:r>
        <w:rPr>
          <w:rFonts w:ascii="SimSun" w:hAnsi="SimSun" w:eastAsia="SimSun" w:cs="SimSun"/>
          <w:sz w:val="24"/>
          <w:szCs w:val="24"/>
          <w:spacing w:val="1"/>
        </w:rPr>
        <w:t>而且还利用部分有机碳源</w:t>
      </w:r>
      <w:r>
        <w:rPr>
          <w:rFonts w:ascii="SimSun" w:hAnsi="SimSun" w:eastAsia="SimSun" w:cs="SimSun"/>
          <w:sz w:val="24"/>
          <w:szCs w:val="24"/>
        </w:rPr>
        <w:t xml:space="preserve"> </w:t>
      </w:r>
      <w:r>
        <w:rPr>
          <w:rFonts w:ascii="SimSun" w:hAnsi="SimSun" w:eastAsia="SimSun" w:cs="SimSun"/>
          <w:sz w:val="24"/>
          <w:szCs w:val="24"/>
          <w:spacing w:val="1"/>
        </w:rPr>
        <w:t>和氨氮合成新的细胞物质。所以A</w:t>
      </w:r>
      <w:r>
        <w:rPr>
          <w:rFonts w:ascii="SimSun" w:hAnsi="SimSun" w:eastAsia="SimSun" w:cs="SimSun"/>
          <w:sz w:val="24"/>
          <w:szCs w:val="24"/>
          <w:spacing w:val="-56"/>
        </w:rPr>
        <w:t xml:space="preserve"> </w:t>
      </w:r>
      <w:r>
        <w:rPr>
          <w:rFonts w:ascii="SimSun" w:hAnsi="SimSun" w:eastAsia="SimSun" w:cs="SimSun"/>
          <w:sz w:val="24"/>
          <w:szCs w:val="24"/>
          <w:spacing w:val="1"/>
        </w:rPr>
        <w:t>级池不仅具有一定的有机物去除功能，减轻</w:t>
      </w:r>
      <w:r>
        <w:rPr>
          <w:rFonts w:ascii="SimSun" w:hAnsi="SimSun" w:eastAsia="SimSun" w:cs="SimSun"/>
          <w:sz w:val="24"/>
          <w:szCs w:val="24"/>
        </w:rPr>
        <w:t xml:space="preserve">  </w:t>
      </w:r>
      <w:r>
        <w:rPr>
          <w:rFonts w:ascii="SimSun" w:hAnsi="SimSun" w:eastAsia="SimSun" w:cs="SimSun"/>
          <w:sz w:val="24"/>
          <w:szCs w:val="24"/>
        </w:rPr>
        <w:t>后续○级生化池的有机负荷，以利于硝化作用进</w:t>
      </w:r>
      <w:r>
        <w:rPr>
          <w:rFonts w:ascii="SimSun" w:hAnsi="SimSun" w:eastAsia="SimSun" w:cs="SimSun"/>
          <w:sz w:val="24"/>
          <w:szCs w:val="24"/>
          <w:spacing w:val="-1"/>
        </w:rPr>
        <w:t>行，而且依靠污水中的高浓度</w:t>
      </w:r>
      <w:r>
        <w:rPr>
          <w:rFonts w:ascii="SimSun" w:hAnsi="SimSun" w:eastAsia="SimSun" w:cs="SimSun"/>
          <w:sz w:val="24"/>
          <w:szCs w:val="24"/>
        </w:rPr>
        <w:t xml:space="preserve">  </w:t>
      </w:r>
      <w:r>
        <w:rPr>
          <w:rFonts w:ascii="SimSun" w:hAnsi="SimSun" w:eastAsia="SimSun" w:cs="SimSun"/>
          <w:sz w:val="24"/>
          <w:szCs w:val="24"/>
          <w:spacing w:val="1"/>
        </w:rPr>
        <w:t>有机物，完成反硝化作用，最终消除氮的富营养化污染。经过</w:t>
      </w:r>
      <w:r>
        <w:rPr>
          <w:rFonts w:ascii="Times New Roman" w:hAnsi="Times New Roman" w:eastAsia="Times New Roman" w:cs="Times New Roman"/>
          <w:sz w:val="24"/>
          <w:szCs w:val="24"/>
          <w:spacing w:val="1"/>
        </w:rPr>
        <w:t>A</w:t>
      </w:r>
      <w:r>
        <w:rPr>
          <w:rFonts w:ascii="SimSun" w:hAnsi="SimSun" w:eastAsia="SimSun" w:cs="SimSun"/>
          <w:sz w:val="24"/>
          <w:szCs w:val="24"/>
          <w:spacing w:val="1"/>
        </w:rPr>
        <w:t>级池的生</w:t>
      </w:r>
      <w:r>
        <w:rPr>
          <w:rFonts w:ascii="SimSun" w:hAnsi="SimSun" w:eastAsia="SimSun" w:cs="SimSun"/>
          <w:sz w:val="24"/>
          <w:szCs w:val="24"/>
        </w:rPr>
        <w:t>化作  </w:t>
      </w:r>
      <w:r>
        <w:rPr>
          <w:rFonts w:ascii="SimSun" w:hAnsi="SimSun" w:eastAsia="SimSun" w:cs="SimSun"/>
          <w:sz w:val="24"/>
          <w:szCs w:val="24"/>
          <w:spacing w:val="1"/>
        </w:rPr>
        <w:t>用，污水中仍有一定量的有机物和较高的氨氮存在，为使有机物进一步氧化分</w:t>
      </w:r>
      <w:r>
        <w:rPr>
          <w:rFonts w:ascii="SimSun" w:hAnsi="SimSun" w:eastAsia="SimSun" w:cs="SimSun"/>
          <w:sz w:val="24"/>
          <w:szCs w:val="24"/>
          <w:spacing w:val="15"/>
        </w:rPr>
        <w:t xml:space="preserve"> </w:t>
      </w:r>
      <w:r>
        <w:rPr>
          <w:rFonts w:ascii="SimSun" w:hAnsi="SimSun" w:eastAsia="SimSun" w:cs="SimSun"/>
          <w:sz w:val="24"/>
          <w:szCs w:val="24"/>
        </w:rPr>
        <w:t>解，同时在碳化作用趋于完全的情况下，硝化作用能顺利进行，特设置O</w:t>
      </w:r>
      <w:r>
        <w:rPr>
          <w:rFonts w:ascii="SimSun" w:hAnsi="SimSun" w:eastAsia="SimSun" w:cs="SimSun"/>
          <w:sz w:val="24"/>
          <w:szCs w:val="24"/>
          <w:spacing w:val="-25"/>
        </w:rPr>
        <w:t xml:space="preserve"> </w:t>
      </w:r>
      <w:r>
        <w:rPr>
          <w:rFonts w:ascii="SimSun" w:hAnsi="SimSun" w:eastAsia="SimSun" w:cs="SimSun"/>
          <w:sz w:val="24"/>
          <w:szCs w:val="24"/>
        </w:rPr>
        <w:t>级生  </w:t>
      </w:r>
      <w:r>
        <w:rPr>
          <w:rFonts w:ascii="SimSun" w:hAnsi="SimSun" w:eastAsia="SimSun" w:cs="SimSun"/>
          <w:sz w:val="24"/>
          <w:szCs w:val="24"/>
          <w:spacing w:val="3"/>
        </w:rPr>
        <w:t>化</w:t>
      </w:r>
      <w:r>
        <w:rPr>
          <w:rFonts w:ascii="SimSun" w:hAnsi="SimSun" w:eastAsia="SimSun" w:cs="SimSun"/>
          <w:sz w:val="24"/>
          <w:szCs w:val="24"/>
          <w:spacing w:val="-44"/>
        </w:rPr>
        <w:t xml:space="preserve"> </w:t>
      </w:r>
      <w:r>
        <w:rPr>
          <w:rFonts w:ascii="SimSun" w:hAnsi="SimSun" w:eastAsia="SimSun" w:cs="SimSun"/>
          <w:sz w:val="24"/>
          <w:szCs w:val="24"/>
          <w:spacing w:val="3"/>
        </w:rPr>
        <w:t>池</w:t>
      </w:r>
      <w:r>
        <w:rPr>
          <w:rFonts w:ascii="SimSun" w:hAnsi="SimSun" w:eastAsia="SimSun" w:cs="SimSun"/>
          <w:sz w:val="24"/>
          <w:szCs w:val="24"/>
          <w:spacing w:val="-58"/>
        </w:rPr>
        <w:t xml:space="preserve"> </w:t>
      </w:r>
      <w:r>
        <w:rPr>
          <w:rFonts w:ascii="SimSun" w:hAnsi="SimSun" w:eastAsia="SimSun" w:cs="SimSun"/>
          <w:sz w:val="24"/>
          <w:szCs w:val="24"/>
          <w:spacing w:val="3"/>
        </w:rPr>
        <w:t>，</w:t>
      </w:r>
      <w:r>
        <w:rPr>
          <w:rFonts w:ascii="Times New Roman" w:hAnsi="Times New Roman" w:eastAsia="Times New Roman" w:cs="Times New Roman"/>
          <w:sz w:val="24"/>
          <w:szCs w:val="24"/>
          <w:spacing w:val="3"/>
        </w:rPr>
        <w:t>O</w:t>
      </w:r>
      <w:r>
        <w:rPr>
          <w:rFonts w:ascii="Times New Roman" w:hAnsi="Times New Roman" w:eastAsia="Times New Roman" w:cs="Times New Roman"/>
          <w:sz w:val="24"/>
          <w:szCs w:val="24"/>
          <w:spacing w:val="-14"/>
        </w:rPr>
        <w:t xml:space="preserve"> </w:t>
      </w:r>
      <w:r>
        <w:rPr>
          <w:rFonts w:ascii="SimSun" w:hAnsi="SimSun" w:eastAsia="SimSun" w:cs="SimSun"/>
          <w:sz w:val="24"/>
          <w:szCs w:val="24"/>
          <w:spacing w:val="3"/>
        </w:rPr>
        <w:t>级生化池的处理依靠自养型细菌(硝化菌)完成，它们利用有机物分</w:t>
      </w:r>
    </w:p>
    <w:p>
      <w:pPr>
        <w:spacing w:line="335" w:lineRule="auto"/>
        <w:sectPr>
          <w:type w:val="continuous"/>
          <w:pgSz w:w="11910" w:h="16840"/>
          <w:pgMar w:top="1197" w:right="1786" w:bottom="962" w:left="1779" w:header="905" w:footer="777" w:gutter="0"/>
          <w:cols w:equalWidth="0" w:num="1">
            <w:col w:w="8344" w:space="0"/>
          </w:cols>
        </w:sectPr>
        <w:rPr>
          <w:rFonts w:ascii="SimSun" w:hAnsi="SimSun" w:eastAsia="SimSun" w:cs="SimSun"/>
          <w:sz w:val="24"/>
          <w:szCs w:val="24"/>
        </w:rPr>
      </w:pPr>
    </w:p>
    <w:p>
      <w:pPr>
        <w:ind w:left="84"/>
        <w:spacing w:before="280" w:line="219" w:lineRule="auto"/>
        <w:rPr>
          <w:rFonts w:ascii="SimSun" w:hAnsi="SimSun" w:eastAsia="SimSun" w:cs="SimSun"/>
          <w:sz w:val="23"/>
          <w:szCs w:val="23"/>
        </w:rPr>
      </w:pPr>
      <w:r>
        <w:rPr>
          <w:rFonts w:ascii="SimSun" w:hAnsi="SimSun" w:eastAsia="SimSun" w:cs="SimSun"/>
          <w:sz w:val="23"/>
          <w:szCs w:val="23"/>
          <w:spacing w:val="12"/>
        </w:rPr>
        <w:t>解产生的无机碳源或空气中的二氧化碳作为营养源，将污水中</w:t>
      </w:r>
      <w:r>
        <w:rPr>
          <w:rFonts w:ascii="SimSun" w:hAnsi="SimSun" w:eastAsia="SimSun" w:cs="SimSun"/>
          <w:sz w:val="23"/>
          <w:szCs w:val="23"/>
          <w:spacing w:val="11"/>
        </w:rPr>
        <w:t>的氨氮转化为</w:t>
      </w:r>
    </w:p>
    <w:p>
      <w:pPr>
        <w:ind w:left="84" w:right="186"/>
        <w:spacing w:before="160" w:line="374" w:lineRule="auto"/>
        <w:rPr>
          <w:rFonts w:ascii="SimSun" w:hAnsi="SimSun" w:eastAsia="SimSun" w:cs="SimSun"/>
          <w:sz w:val="23"/>
          <w:szCs w:val="23"/>
        </w:rPr>
      </w:pPr>
      <w:r>
        <w:rPr>
          <w:rFonts w:ascii="Times New Roman" w:hAnsi="Times New Roman" w:eastAsia="Times New Roman" w:cs="Times New Roman"/>
          <w:sz w:val="23"/>
          <w:szCs w:val="23"/>
        </w:rPr>
        <w:t>NO</w:t>
      </w:r>
      <w:r>
        <w:rPr>
          <w:rFonts w:ascii="Times New Roman" w:hAnsi="Times New Roman" w:eastAsia="Times New Roman" w:cs="Times New Roman"/>
          <w:sz w:val="23"/>
          <w:szCs w:val="23"/>
          <w:spacing w:val="6"/>
        </w:rPr>
        <w:t>₂-N</w:t>
      </w:r>
      <w:r>
        <w:rPr>
          <w:rFonts w:ascii="Times New Roman" w:hAnsi="Times New Roman" w:eastAsia="Times New Roman" w:cs="Times New Roman"/>
          <w:sz w:val="23"/>
          <w:szCs w:val="23"/>
          <w:spacing w:val="-33"/>
        </w:rPr>
        <w:t xml:space="preserve"> </w:t>
      </w:r>
      <w:r>
        <w:rPr>
          <w:rFonts w:ascii="SimSun" w:hAnsi="SimSun" w:eastAsia="SimSun" w:cs="SimSun"/>
          <w:sz w:val="23"/>
          <w:szCs w:val="23"/>
          <w:spacing w:val="6"/>
        </w:rPr>
        <w:t>、</w:t>
      </w:r>
      <w:r>
        <w:rPr>
          <w:rFonts w:ascii="Times New Roman" w:hAnsi="Times New Roman" w:eastAsia="Times New Roman" w:cs="Times New Roman"/>
          <w:sz w:val="23"/>
          <w:szCs w:val="23"/>
        </w:rPr>
        <w:t>NO</w:t>
      </w:r>
      <w:r>
        <w:rPr>
          <w:rFonts w:ascii="Times New Roman" w:hAnsi="Times New Roman" w:eastAsia="Times New Roman" w:cs="Times New Roman"/>
          <w:sz w:val="23"/>
          <w:szCs w:val="23"/>
          <w:spacing w:val="6"/>
        </w:rPr>
        <w:t>₃-N</w:t>
      </w:r>
      <w:r>
        <w:rPr>
          <w:rFonts w:ascii="Times New Roman" w:hAnsi="Times New Roman" w:eastAsia="Times New Roman" w:cs="Times New Roman"/>
          <w:sz w:val="23"/>
          <w:szCs w:val="23"/>
          <w:spacing w:val="-26"/>
        </w:rPr>
        <w:t xml:space="preserve"> </w:t>
      </w:r>
      <w:r>
        <w:rPr>
          <w:rFonts w:ascii="SimSun" w:hAnsi="SimSun" w:eastAsia="SimSun" w:cs="SimSun"/>
          <w:sz w:val="23"/>
          <w:szCs w:val="23"/>
          <w:spacing w:val="6"/>
        </w:rPr>
        <w:t>。</w:t>
      </w:r>
      <w:r>
        <w:rPr>
          <w:rFonts w:ascii="SimSun" w:hAnsi="SimSun" w:eastAsia="SimSun" w:cs="SimSun"/>
          <w:sz w:val="23"/>
          <w:szCs w:val="23"/>
          <w:spacing w:val="105"/>
        </w:rPr>
        <w:t xml:space="preserve"> </w:t>
      </w:r>
      <w:r>
        <w:rPr>
          <w:rFonts w:ascii="SimSun" w:hAnsi="SimSun" w:eastAsia="SimSun" w:cs="SimSun"/>
          <w:sz w:val="23"/>
          <w:szCs w:val="23"/>
          <w:spacing w:val="6"/>
        </w:rPr>
        <w:t>在</w:t>
      </w:r>
      <w:r>
        <w:rPr>
          <w:rFonts w:ascii="Times New Roman" w:hAnsi="Times New Roman" w:eastAsia="Times New Roman" w:cs="Times New Roman"/>
          <w:sz w:val="23"/>
          <w:szCs w:val="23"/>
          <w:spacing w:val="6"/>
        </w:rPr>
        <w:t>A</w:t>
      </w:r>
      <w:r>
        <w:rPr>
          <w:rFonts w:ascii="SimSun" w:hAnsi="SimSun" w:eastAsia="SimSun" w:cs="SimSun"/>
          <w:sz w:val="23"/>
          <w:szCs w:val="23"/>
          <w:spacing w:val="6"/>
        </w:rPr>
        <w:t>级池内溶解氧控制在0.5</w:t>
      </w:r>
      <w:r>
        <w:rPr>
          <w:rFonts w:ascii="Times New Roman" w:hAnsi="Times New Roman" w:eastAsia="Times New Roman" w:cs="Times New Roman"/>
          <w:sz w:val="23"/>
          <w:szCs w:val="23"/>
        </w:rPr>
        <w:t>mg</w:t>
      </w:r>
      <w:r>
        <w:rPr>
          <w:rFonts w:ascii="Times New Roman" w:hAnsi="Times New Roman" w:eastAsia="Times New Roman" w:cs="Times New Roman"/>
          <w:sz w:val="23"/>
          <w:szCs w:val="23"/>
          <w:spacing w:val="6"/>
        </w:rPr>
        <w:t>/L</w:t>
      </w:r>
      <w:r>
        <w:rPr>
          <w:rFonts w:ascii="SimSun" w:hAnsi="SimSun" w:eastAsia="SimSun" w:cs="SimSun"/>
          <w:sz w:val="23"/>
          <w:szCs w:val="23"/>
          <w:spacing w:val="6"/>
        </w:rPr>
        <w:t>左右；</w:t>
      </w:r>
      <w:r>
        <w:rPr>
          <w:rFonts w:ascii="SimSun" w:hAnsi="SimSun" w:eastAsia="SimSun" w:cs="SimSun"/>
          <w:sz w:val="23"/>
          <w:szCs w:val="23"/>
          <w:spacing w:val="5"/>
        </w:rPr>
        <w:t>在</w:t>
      </w:r>
      <w:r>
        <w:rPr>
          <w:rFonts w:ascii="Times New Roman" w:hAnsi="Times New Roman" w:eastAsia="Times New Roman" w:cs="Times New Roman"/>
          <w:sz w:val="23"/>
          <w:szCs w:val="23"/>
          <w:spacing w:val="5"/>
        </w:rPr>
        <w:t>O</w:t>
      </w:r>
      <w:r>
        <w:rPr>
          <w:rFonts w:ascii="SimSun" w:hAnsi="SimSun" w:eastAsia="SimSun" w:cs="SimSun"/>
          <w:sz w:val="23"/>
          <w:szCs w:val="23"/>
          <w:spacing w:val="5"/>
        </w:rPr>
        <w:t>级生化池内溶解</w:t>
      </w:r>
      <w:r>
        <w:rPr>
          <w:rFonts w:ascii="SimSun" w:hAnsi="SimSun" w:eastAsia="SimSun" w:cs="SimSun"/>
          <w:sz w:val="23"/>
          <w:szCs w:val="23"/>
        </w:rPr>
        <w:t xml:space="preserve"> </w:t>
      </w:r>
      <w:r>
        <w:rPr>
          <w:rFonts w:ascii="SimSun" w:hAnsi="SimSun" w:eastAsia="SimSun" w:cs="SimSun"/>
          <w:sz w:val="23"/>
          <w:szCs w:val="23"/>
          <w:spacing w:val="8"/>
        </w:rPr>
        <w:t>氧控制在2</w:t>
      </w:r>
      <w:r>
        <w:rPr>
          <w:rFonts w:ascii="Times New Roman" w:hAnsi="Times New Roman" w:eastAsia="Times New Roman" w:cs="Times New Roman"/>
          <w:sz w:val="23"/>
          <w:szCs w:val="23"/>
        </w:rPr>
        <w:t>mg</w:t>
      </w:r>
      <w:r>
        <w:rPr>
          <w:rFonts w:ascii="Times New Roman" w:hAnsi="Times New Roman" w:eastAsia="Times New Roman" w:cs="Times New Roman"/>
          <w:sz w:val="23"/>
          <w:szCs w:val="23"/>
          <w:spacing w:val="8"/>
        </w:rPr>
        <w:t>/L</w:t>
      </w:r>
      <w:r>
        <w:rPr>
          <w:rFonts w:ascii="SimSun" w:hAnsi="SimSun" w:eastAsia="SimSun" w:cs="SimSun"/>
          <w:sz w:val="23"/>
          <w:szCs w:val="23"/>
          <w:spacing w:val="8"/>
        </w:rPr>
        <w:t>以上。</w:t>
      </w:r>
      <w:r>
        <w:rPr>
          <w:rFonts w:ascii="SimSun" w:hAnsi="SimSun" w:eastAsia="SimSun" w:cs="SimSun"/>
          <w:sz w:val="23"/>
          <w:szCs w:val="23"/>
          <w:spacing w:val="-55"/>
        </w:rPr>
        <w:t xml:space="preserve"> </w:t>
      </w:r>
      <w:r>
        <w:rPr>
          <w:rFonts w:ascii="Times New Roman" w:hAnsi="Times New Roman" w:eastAsia="Times New Roman" w:cs="Times New Roman"/>
          <w:sz w:val="23"/>
          <w:szCs w:val="23"/>
          <w:spacing w:val="8"/>
        </w:rPr>
        <w:t>O </w:t>
      </w:r>
      <w:r>
        <w:rPr>
          <w:rFonts w:ascii="SimSun" w:hAnsi="SimSun" w:eastAsia="SimSun" w:cs="SimSun"/>
          <w:sz w:val="23"/>
          <w:szCs w:val="23"/>
          <w:spacing w:val="8"/>
        </w:rPr>
        <w:t>级池出水一部分回流至调节池进行内循环，以达到反</w:t>
      </w:r>
      <w:r>
        <w:rPr>
          <w:rFonts w:ascii="SimSun" w:hAnsi="SimSun" w:eastAsia="SimSun" w:cs="SimSun"/>
          <w:sz w:val="23"/>
          <w:szCs w:val="23"/>
        </w:rPr>
        <w:t xml:space="preserve">  </w:t>
      </w:r>
      <w:r>
        <w:rPr>
          <w:rFonts w:ascii="SimSun" w:hAnsi="SimSun" w:eastAsia="SimSun" w:cs="SimSun"/>
          <w:sz w:val="23"/>
          <w:szCs w:val="23"/>
          <w:spacing w:val="10"/>
        </w:rPr>
        <w:t>硝化的目的，另一部分进入沉淀池进行沉淀，进行固液分离。分离后的出水进</w:t>
      </w:r>
      <w:r>
        <w:rPr>
          <w:rFonts w:ascii="SimSun" w:hAnsi="SimSun" w:eastAsia="SimSun" w:cs="SimSun"/>
          <w:sz w:val="23"/>
          <w:szCs w:val="23"/>
          <w:spacing w:val="17"/>
        </w:rPr>
        <w:t xml:space="preserve"> </w:t>
      </w:r>
      <w:r>
        <w:rPr>
          <w:rFonts w:ascii="SimSun" w:hAnsi="SimSun" w:eastAsia="SimSun" w:cs="SimSun"/>
          <w:sz w:val="23"/>
          <w:szCs w:val="23"/>
          <w:spacing w:val="8"/>
        </w:rPr>
        <w:t>入过滤池，经过滤后的出水再经消毒后达标</w:t>
      </w:r>
      <w:r>
        <w:rPr>
          <w:rFonts w:ascii="SimSun" w:hAnsi="SimSun" w:eastAsia="SimSun" w:cs="SimSun"/>
          <w:sz w:val="23"/>
          <w:szCs w:val="23"/>
          <w:spacing w:val="7"/>
        </w:rPr>
        <w:t>排放。</w:t>
      </w:r>
    </w:p>
    <w:p>
      <w:pPr>
        <w:ind w:left="84" w:right="116" w:firstLine="510"/>
        <w:spacing w:before="43" w:line="379" w:lineRule="auto"/>
        <w:rPr>
          <w:rFonts w:ascii="SimSun" w:hAnsi="SimSun" w:eastAsia="SimSun" w:cs="SimSun"/>
          <w:sz w:val="23"/>
          <w:szCs w:val="23"/>
        </w:rPr>
      </w:pPr>
      <w:r>
        <w:rPr>
          <w:rFonts w:ascii="SimSun" w:hAnsi="SimSun" w:eastAsia="SimSun" w:cs="SimSun"/>
          <w:sz w:val="23"/>
          <w:szCs w:val="23"/>
          <w:spacing w:val="14"/>
        </w:rPr>
        <w:t>沉淀池沉淀下来的污泥在污泥池内浓缩后与气浮</w:t>
      </w:r>
      <w:r>
        <w:rPr>
          <w:rFonts w:ascii="SimSun" w:hAnsi="SimSun" w:eastAsia="SimSun" w:cs="SimSun"/>
          <w:sz w:val="23"/>
          <w:szCs w:val="23"/>
          <w:spacing w:val="13"/>
        </w:rPr>
        <w:t>机分离出来的浮渣、格栅</w:t>
      </w:r>
      <w:r>
        <w:rPr>
          <w:rFonts w:ascii="SimSun" w:hAnsi="SimSun" w:eastAsia="SimSun" w:cs="SimSun"/>
          <w:sz w:val="23"/>
          <w:szCs w:val="23"/>
        </w:rPr>
        <w:t xml:space="preserve"> </w:t>
      </w:r>
      <w:r>
        <w:rPr>
          <w:rFonts w:ascii="SimSun" w:hAnsi="SimSun" w:eastAsia="SimSun" w:cs="SimSun"/>
          <w:sz w:val="23"/>
          <w:szCs w:val="23"/>
          <w:spacing w:val="7"/>
        </w:rPr>
        <w:t>隔离出的栅渣经叠螺机脱水后外运处理。</w:t>
      </w:r>
    </w:p>
    <w:p>
      <w:pPr>
        <w:ind w:left="84" w:right="94" w:firstLine="530"/>
        <w:spacing w:before="16" w:line="358" w:lineRule="auto"/>
        <w:jc w:val="both"/>
        <w:rPr>
          <w:rFonts w:ascii="SimSun" w:hAnsi="SimSun" w:eastAsia="SimSun" w:cs="SimSun"/>
          <w:sz w:val="23"/>
          <w:szCs w:val="23"/>
        </w:rPr>
      </w:pPr>
      <w:r>
        <w:rPr>
          <w:rFonts w:ascii="SimSun" w:hAnsi="SimSun" w:eastAsia="SimSun" w:cs="SimSun"/>
          <w:sz w:val="23"/>
          <w:szCs w:val="23"/>
          <w:spacing w:val="14"/>
        </w:rPr>
        <w:t>根据废水处理设计方案，进水水质参照《屠宰与肉</w:t>
      </w:r>
      <w:r>
        <w:rPr>
          <w:rFonts w:ascii="SimSun" w:hAnsi="SimSun" w:eastAsia="SimSun" w:cs="SimSun"/>
          <w:sz w:val="23"/>
          <w:szCs w:val="23"/>
          <w:spacing w:val="13"/>
        </w:rPr>
        <w:t>类加工废水治理工程技</w:t>
      </w:r>
      <w:r>
        <w:rPr>
          <w:rFonts w:ascii="SimSun" w:hAnsi="SimSun" w:eastAsia="SimSun" w:cs="SimSun"/>
          <w:sz w:val="23"/>
          <w:szCs w:val="23"/>
        </w:rPr>
        <w:t xml:space="preserve"> </w:t>
      </w:r>
      <w:r>
        <w:rPr>
          <w:rFonts w:ascii="SimSun" w:hAnsi="SimSun" w:eastAsia="SimSun" w:cs="SimSun"/>
          <w:sz w:val="23"/>
          <w:szCs w:val="23"/>
          <w:spacing w:val="7"/>
        </w:rPr>
        <w:t>术规范》</w:t>
      </w:r>
      <w:r>
        <w:rPr>
          <w:rFonts w:ascii="SimSun" w:hAnsi="SimSun" w:eastAsia="SimSun" w:cs="SimSun"/>
          <w:sz w:val="23"/>
          <w:szCs w:val="23"/>
          <w:spacing w:val="53"/>
        </w:rPr>
        <w:t xml:space="preserve"> </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rPr>
        <w:t>HJ</w:t>
      </w:r>
      <w:r>
        <w:rPr>
          <w:rFonts w:ascii="Times New Roman" w:hAnsi="Times New Roman" w:eastAsia="Times New Roman" w:cs="Times New Roman"/>
          <w:sz w:val="23"/>
          <w:szCs w:val="23"/>
          <w:spacing w:val="7"/>
        </w:rPr>
        <w:t>2004-2010)    </w:t>
      </w:r>
      <w:r>
        <w:rPr>
          <w:rFonts w:ascii="SimSun" w:hAnsi="SimSun" w:eastAsia="SimSun" w:cs="SimSun"/>
          <w:sz w:val="23"/>
          <w:szCs w:val="23"/>
          <w:spacing w:val="7"/>
        </w:rPr>
        <w:t>水质，出水水质参照《肉类加工工业水污染物排放标</w:t>
      </w:r>
      <w:r>
        <w:rPr>
          <w:rFonts w:ascii="SimSun" w:hAnsi="SimSun" w:eastAsia="SimSun" w:cs="SimSun"/>
          <w:sz w:val="23"/>
          <w:szCs w:val="23"/>
        </w:rPr>
        <w:t xml:space="preserve"> </w:t>
      </w:r>
      <w:r>
        <w:rPr>
          <w:rFonts w:ascii="SimSun" w:hAnsi="SimSun" w:eastAsia="SimSun" w:cs="SimSun"/>
          <w:sz w:val="23"/>
          <w:szCs w:val="23"/>
          <w:spacing w:val="13"/>
        </w:rPr>
        <w:t>准 》 </w:t>
      </w:r>
      <w:r>
        <w:rPr>
          <w:rFonts w:ascii="Times New Roman" w:hAnsi="Times New Roman" w:eastAsia="Times New Roman" w:cs="Times New Roman"/>
          <w:sz w:val="23"/>
          <w:szCs w:val="23"/>
          <w:spacing w:val="13"/>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13"/>
        </w:rPr>
        <w:t>13457-92)     </w:t>
      </w:r>
      <w:r>
        <w:rPr>
          <w:rFonts w:ascii="SimSun" w:hAnsi="SimSun" w:eastAsia="SimSun" w:cs="SimSun"/>
          <w:sz w:val="23"/>
          <w:szCs w:val="23"/>
          <w:spacing w:val="13"/>
        </w:rPr>
        <w:t>表3中三级标准以及安州区第三污水处理厂进水水质要</w:t>
      </w:r>
      <w:r>
        <w:rPr>
          <w:rFonts w:ascii="SimSun" w:hAnsi="SimSun" w:eastAsia="SimSun" w:cs="SimSun"/>
          <w:sz w:val="23"/>
          <w:szCs w:val="23"/>
          <w:spacing w:val="15"/>
        </w:rPr>
        <w:t xml:space="preserve"> </w:t>
      </w:r>
      <w:r>
        <w:rPr>
          <w:rFonts w:ascii="SimSun" w:hAnsi="SimSun" w:eastAsia="SimSun" w:cs="SimSun"/>
          <w:sz w:val="23"/>
          <w:szCs w:val="23"/>
          <w:spacing w:val="8"/>
        </w:rPr>
        <w:t>求，各处理单元去除及处置效率见下表。</w:t>
      </w:r>
    </w:p>
    <w:p>
      <w:pPr>
        <w:ind w:left="2038"/>
        <w:spacing w:before="33" w:line="214" w:lineRule="auto"/>
        <w:rPr>
          <w:rFonts w:ascii="SimSun" w:hAnsi="SimSun" w:eastAsia="SimSun" w:cs="SimSun"/>
          <w:sz w:val="24"/>
          <w:szCs w:val="24"/>
        </w:rPr>
      </w:pPr>
      <w:r>
        <w:rPr>
          <w:rFonts w:ascii="SimSun" w:hAnsi="SimSun" w:eastAsia="SimSun" w:cs="SimSun"/>
          <w:sz w:val="24"/>
          <w:szCs w:val="24"/>
          <w:b/>
          <w:bCs/>
          <w:spacing w:val="-3"/>
        </w:rPr>
        <w:t>表3.11-9废水处理站各处理单元处置效率情况表</w:t>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14"/>
        <w:gridCol w:w="1458"/>
        <w:gridCol w:w="829"/>
        <w:gridCol w:w="1169"/>
        <w:gridCol w:w="1318"/>
        <w:gridCol w:w="979"/>
        <w:gridCol w:w="1109"/>
        <w:gridCol w:w="1123"/>
      </w:tblGrid>
      <w:tr>
        <w:trPr>
          <w:trHeight w:val="554" w:hRule="atLeast"/>
        </w:trPr>
        <w:tc>
          <w:tcPr>
            <w:shd w:val="clear" w:fill="BEBEBE"/>
            <w:tcW w:w="514" w:type="dxa"/>
            <w:vAlign w:val="top"/>
          </w:tcPr>
          <w:p>
            <w:pPr>
              <w:pStyle w:val="TableText"/>
              <w:ind w:left="28"/>
              <w:spacing w:before="172" w:line="221" w:lineRule="auto"/>
              <w:rPr>
                <w:sz w:val="22"/>
                <w:szCs w:val="22"/>
              </w:rPr>
            </w:pPr>
            <w:r>
              <w:rPr>
                <w:sz w:val="22"/>
                <w:szCs w:val="22"/>
                <w:b/>
                <w:bCs/>
                <w:spacing w:val="-5"/>
              </w:rPr>
              <w:t>序号</w:t>
            </w:r>
          </w:p>
        </w:tc>
        <w:tc>
          <w:tcPr>
            <w:shd w:val="clear" w:fill="BDBDBD"/>
            <w:tcW w:w="1458" w:type="dxa"/>
            <w:vAlign w:val="top"/>
          </w:tcPr>
          <w:p>
            <w:pPr>
              <w:pStyle w:val="TableText"/>
              <w:ind w:left="174"/>
              <w:spacing w:before="171" w:line="220" w:lineRule="auto"/>
              <w:rPr>
                <w:sz w:val="22"/>
                <w:szCs w:val="22"/>
              </w:rPr>
            </w:pPr>
            <w:r>
              <w:rPr>
                <w:sz w:val="22"/>
                <w:szCs w:val="22"/>
                <w:b/>
                <w:bCs/>
                <w:spacing w:val="-5"/>
              </w:rPr>
              <w:t>构筑物名称</w:t>
            </w:r>
          </w:p>
        </w:tc>
        <w:tc>
          <w:tcPr>
            <w:shd w:val="clear" w:fill="BDBDBD"/>
            <w:tcW w:w="829" w:type="dxa"/>
            <w:vAlign w:val="top"/>
          </w:tcPr>
          <w:p>
            <w:pPr>
              <w:pStyle w:val="TableText"/>
              <w:ind w:left="186"/>
              <w:spacing w:before="171" w:line="220" w:lineRule="auto"/>
              <w:rPr>
                <w:sz w:val="22"/>
                <w:szCs w:val="22"/>
              </w:rPr>
            </w:pPr>
            <w:r>
              <w:rPr>
                <w:sz w:val="22"/>
                <w:szCs w:val="22"/>
                <w:b/>
                <w:bCs/>
                <w:spacing w:val="-6"/>
              </w:rPr>
              <w:t>指标</w:t>
            </w:r>
          </w:p>
        </w:tc>
        <w:tc>
          <w:tcPr>
            <w:shd w:val="clear" w:fill="BDBDBD"/>
            <w:tcW w:w="1169" w:type="dxa"/>
            <w:vAlign w:val="top"/>
          </w:tcPr>
          <w:p>
            <w:pPr>
              <w:pStyle w:val="TableText"/>
              <w:ind w:left="307"/>
              <w:spacing w:before="99" w:line="164" w:lineRule="exact"/>
              <w:rPr>
                <w:sz w:val="22"/>
                <w:szCs w:val="22"/>
              </w:rPr>
            </w:pPr>
            <w:r>
              <w:rPr>
                <w:sz w:val="22"/>
                <w:szCs w:val="22"/>
                <w:b/>
                <w:bCs/>
                <w:spacing w:val="-4"/>
                <w:position w:val="-3"/>
              </w:rPr>
              <w:t>CODcr</w:t>
            </w:r>
          </w:p>
          <w:p>
            <w:pPr>
              <w:pStyle w:val="TableText"/>
              <w:ind w:left="237"/>
              <w:spacing w:line="213" w:lineRule="auto"/>
              <w:rPr>
                <w:sz w:val="22"/>
                <w:szCs w:val="22"/>
              </w:rPr>
            </w:pPr>
            <w:r>
              <w:rPr>
                <w:sz w:val="22"/>
                <w:szCs w:val="22"/>
                <w:b/>
                <w:bCs/>
                <w:spacing w:val="-9"/>
              </w:rPr>
              <w:t>(mg/L)</w:t>
            </w:r>
          </w:p>
        </w:tc>
        <w:tc>
          <w:tcPr>
            <w:shd w:val="clear" w:fill="BDBDBD"/>
            <w:tcW w:w="1318" w:type="dxa"/>
            <w:vAlign w:val="top"/>
          </w:tcPr>
          <w:p>
            <w:pPr>
              <w:pStyle w:val="TableText"/>
              <w:ind w:left="378"/>
              <w:spacing w:before="77" w:line="186" w:lineRule="exact"/>
              <w:rPr>
                <w:rFonts w:ascii="Calibri" w:hAnsi="Calibri" w:eastAsia="Calibri" w:cs="Calibri"/>
                <w:sz w:val="22"/>
                <w:szCs w:val="22"/>
              </w:rPr>
            </w:pPr>
            <w:r>
              <w:rPr>
                <w:sz w:val="22"/>
                <w:szCs w:val="22"/>
                <w:b/>
                <w:bCs/>
                <w:spacing w:val="-3"/>
                <w:position w:val="-1"/>
              </w:rPr>
              <w:t>BOD</w:t>
            </w:r>
            <w:r>
              <w:rPr>
                <w:rFonts w:ascii="Calibri" w:hAnsi="Calibri" w:eastAsia="Calibri" w:cs="Calibri"/>
                <w:sz w:val="22"/>
                <w:szCs w:val="22"/>
                <w:b/>
                <w:bCs/>
                <w:spacing w:val="-3"/>
                <w:position w:val="-1"/>
              </w:rPr>
              <w:t>₅</w:t>
            </w:r>
          </w:p>
          <w:p>
            <w:pPr>
              <w:pStyle w:val="TableText"/>
              <w:ind w:left="308"/>
              <w:spacing w:line="213" w:lineRule="auto"/>
              <w:rPr>
                <w:sz w:val="22"/>
                <w:szCs w:val="22"/>
              </w:rPr>
            </w:pPr>
            <w:r>
              <w:rPr>
                <w:sz w:val="22"/>
                <w:szCs w:val="22"/>
                <w:b/>
                <w:bCs/>
                <w:spacing w:val="-9"/>
              </w:rPr>
              <w:t>(mg/L)</w:t>
            </w:r>
          </w:p>
        </w:tc>
        <w:tc>
          <w:tcPr>
            <w:shd w:val="clear" w:fill="BDBDBD"/>
            <w:tcW w:w="979" w:type="dxa"/>
            <w:vAlign w:val="top"/>
          </w:tcPr>
          <w:p>
            <w:pPr>
              <w:pStyle w:val="TableText"/>
              <w:ind w:left="380"/>
              <w:spacing w:before="99" w:line="164" w:lineRule="exact"/>
              <w:rPr>
                <w:sz w:val="22"/>
                <w:szCs w:val="22"/>
              </w:rPr>
            </w:pPr>
            <w:r>
              <w:rPr>
                <w:sz w:val="22"/>
                <w:szCs w:val="22"/>
                <w:b/>
                <w:bCs/>
                <w:spacing w:val="-5"/>
                <w:position w:val="-3"/>
              </w:rPr>
              <w:t>SS</w:t>
            </w:r>
          </w:p>
          <w:p>
            <w:pPr>
              <w:pStyle w:val="TableText"/>
              <w:ind w:left="160"/>
              <w:spacing w:line="213" w:lineRule="auto"/>
              <w:rPr>
                <w:sz w:val="22"/>
                <w:szCs w:val="22"/>
              </w:rPr>
            </w:pPr>
            <w:r>
              <w:rPr>
                <w:sz w:val="22"/>
                <w:szCs w:val="22"/>
                <w:b/>
                <w:bCs/>
                <w:spacing w:val="-9"/>
              </w:rPr>
              <w:t>(mg/L)</w:t>
            </w:r>
          </w:p>
        </w:tc>
        <w:tc>
          <w:tcPr>
            <w:shd w:val="clear" w:fill="BDBDBD"/>
            <w:tcW w:w="1109" w:type="dxa"/>
            <w:vAlign w:val="top"/>
          </w:tcPr>
          <w:p>
            <w:pPr>
              <w:pStyle w:val="TableText"/>
              <w:ind w:left="331"/>
              <w:spacing w:before="30" w:line="213" w:lineRule="auto"/>
              <w:rPr>
                <w:sz w:val="22"/>
                <w:szCs w:val="22"/>
              </w:rPr>
            </w:pPr>
            <w:r>
              <w:rPr>
                <w:sz w:val="22"/>
                <w:szCs w:val="22"/>
                <w:b/>
                <w:bCs/>
                <w:spacing w:val="-5"/>
              </w:rPr>
              <w:t>氨氮</w:t>
            </w:r>
          </w:p>
          <w:p>
            <w:pPr>
              <w:pStyle w:val="TableText"/>
              <w:ind w:left="221"/>
              <w:spacing w:line="213" w:lineRule="auto"/>
              <w:rPr>
                <w:sz w:val="22"/>
                <w:szCs w:val="22"/>
              </w:rPr>
            </w:pPr>
            <w:r>
              <w:rPr>
                <w:sz w:val="22"/>
                <w:szCs w:val="22"/>
                <w:b/>
                <w:bCs/>
                <w:spacing w:val="-9"/>
              </w:rPr>
              <w:t>(mg/L)</w:t>
            </w:r>
          </w:p>
        </w:tc>
        <w:tc>
          <w:tcPr>
            <w:shd w:val="clear" w:fill="BDBDBD"/>
            <w:tcW w:w="1123" w:type="dxa"/>
            <w:vAlign w:val="top"/>
          </w:tcPr>
          <w:p>
            <w:pPr>
              <w:pStyle w:val="TableText"/>
              <w:ind w:left="122"/>
              <w:spacing w:before="31" w:line="212" w:lineRule="auto"/>
              <w:rPr>
                <w:sz w:val="22"/>
                <w:szCs w:val="22"/>
              </w:rPr>
            </w:pPr>
            <w:r>
              <w:rPr>
                <w:sz w:val="22"/>
                <w:szCs w:val="22"/>
                <w:b/>
                <w:bCs/>
                <w:spacing w:val="1"/>
              </w:rPr>
              <w:t>动植物油</w:t>
            </w:r>
          </w:p>
          <w:p>
            <w:pPr>
              <w:pStyle w:val="TableText"/>
              <w:ind w:left="232"/>
              <w:spacing w:line="213" w:lineRule="auto"/>
              <w:rPr>
                <w:sz w:val="22"/>
                <w:szCs w:val="22"/>
              </w:rPr>
            </w:pPr>
            <w:r>
              <w:rPr>
                <w:sz w:val="22"/>
                <w:szCs w:val="22"/>
                <w:b/>
                <w:bCs/>
                <w:spacing w:val="-9"/>
              </w:rPr>
              <w:t>(mg/L)</w:t>
            </w:r>
          </w:p>
        </w:tc>
      </w:tr>
      <w:tr>
        <w:trPr>
          <w:trHeight w:val="280" w:hRule="atLeast"/>
        </w:trPr>
        <w:tc>
          <w:tcPr>
            <w:tcW w:w="514" w:type="dxa"/>
            <w:vAlign w:val="top"/>
            <w:vMerge w:val="restart"/>
            <w:tcBorders>
              <w:bottom w:val="nil"/>
            </w:tcBorders>
          </w:tcPr>
          <w:p>
            <w:pPr>
              <w:spacing w:line="258" w:lineRule="auto"/>
              <w:rPr>
                <w:rFonts w:ascii="Arial"/>
                <w:sz w:val="21"/>
              </w:rPr>
            </w:pPr>
            <w:r/>
          </w:p>
          <w:p>
            <w:pPr>
              <w:pStyle w:val="TableText"/>
              <w:ind w:left="194"/>
              <w:spacing w:before="72" w:line="241" w:lineRule="auto"/>
              <w:rPr>
                <w:sz w:val="22"/>
                <w:szCs w:val="22"/>
              </w:rPr>
            </w:pPr>
            <w:r>
              <w:rPr>
                <w:sz w:val="22"/>
                <w:szCs w:val="22"/>
                <w:color w:val="606060"/>
              </w:rPr>
              <w:t>1</w:t>
            </w:r>
          </w:p>
        </w:tc>
        <w:tc>
          <w:tcPr>
            <w:tcW w:w="1458" w:type="dxa"/>
            <w:vAlign w:val="top"/>
            <w:vMerge w:val="restart"/>
            <w:tcBorders>
              <w:bottom w:val="nil"/>
            </w:tcBorders>
          </w:tcPr>
          <w:p>
            <w:pPr>
              <w:pStyle w:val="TableText"/>
              <w:ind w:left="390"/>
              <w:spacing w:before="310" w:line="220" w:lineRule="auto"/>
              <w:rPr>
                <w:sz w:val="22"/>
                <w:szCs w:val="22"/>
              </w:rPr>
            </w:pPr>
            <w:r>
              <w:rPr>
                <w:sz w:val="22"/>
                <w:szCs w:val="22"/>
                <w:spacing w:val="3"/>
              </w:rPr>
              <w:t>调节池</w:t>
            </w:r>
          </w:p>
        </w:tc>
        <w:tc>
          <w:tcPr>
            <w:tcW w:w="829" w:type="dxa"/>
            <w:vAlign w:val="top"/>
          </w:tcPr>
          <w:p>
            <w:pPr>
              <w:pStyle w:val="TableText"/>
              <w:ind w:left="182"/>
              <w:spacing w:before="29" w:line="202" w:lineRule="auto"/>
              <w:rPr>
                <w:sz w:val="22"/>
                <w:szCs w:val="22"/>
              </w:rPr>
            </w:pPr>
            <w:r>
              <w:rPr>
                <w:sz w:val="22"/>
                <w:szCs w:val="22"/>
                <w:spacing w:val="-2"/>
              </w:rPr>
              <w:t>进水</w:t>
            </w:r>
          </w:p>
        </w:tc>
        <w:tc>
          <w:tcPr>
            <w:tcW w:w="1169" w:type="dxa"/>
            <w:vAlign w:val="top"/>
          </w:tcPr>
          <w:p>
            <w:pPr>
              <w:pStyle w:val="TableText"/>
              <w:ind w:left="353"/>
              <w:spacing w:before="51" w:line="183" w:lineRule="auto"/>
              <w:rPr>
                <w:sz w:val="22"/>
                <w:szCs w:val="22"/>
              </w:rPr>
            </w:pPr>
            <w:r>
              <w:rPr>
                <w:sz w:val="22"/>
                <w:szCs w:val="22"/>
                <w:spacing w:val="-3"/>
              </w:rPr>
              <w:t>3500</w:t>
            </w:r>
          </w:p>
        </w:tc>
        <w:tc>
          <w:tcPr>
            <w:tcW w:w="1318" w:type="dxa"/>
            <w:vAlign w:val="top"/>
          </w:tcPr>
          <w:p>
            <w:pPr>
              <w:pStyle w:val="TableText"/>
              <w:ind w:left="435"/>
              <w:spacing w:before="51" w:line="183" w:lineRule="auto"/>
              <w:rPr>
                <w:sz w:val="22"/>
                <w:szCs w:val="22"/>
              </w:rPr>
            </w:pPr>
            <w:r>
              <w:rPr>
                <w:sz w:val="22"/>
                <w:szCs w:val="22"/>
                <w:spacing w:val="-5"/>
              </w:rPr>
              <w:t>1800</w:t>
            </w:r>
          </w:p>
        </w:tc>
        <w:tc>
          <w:tcPr>
            <w:tcW w:w="979" w:type="dxa"/>
            <w:vAlign w:val="top"/>
          </w:tcPr>
          <w:p>
            <w:pPr>
              <w:pStyle w:val="TableText"/>
              <w:ind w:left="266"/>
              <w:spacing w:before="51" w:line="183" w:lineRule="auto"/>
              <w:rPr>
                <w:sz w:val="22"/>
                <w:szCs w:val="22"/>
              </w:rPr>
            </w:pPr>
            <w:r>
              <w:rPr>
                <w:sz w:val="22"/>
                <w:szCs w:val="22"/>
                <w:spacing w:val="-5"/>
              </w:rPr>
              <w:t>1000</w:t>
            </w:r>
          </w:p>
        </w:tc>
        <w:tc>
          <w:tcPr>
            <w:tcW w:w="1109" w:type="dxa"/>
            <w:vAlign w:val="top"/>
          </w:tcPr>
          <w:p>
            <w:pPr>
              <w:pStyle w:val="TableText"/>
              <w:ind w:left="387"/>
              <w:spacing w:before="51" w:line="183" w:lineRule="auto"/>
              <w:rPr>
                <w:sz w:val="22"/>
                <w:szCs w:val="22"/>
              </w:rPr>
            </w:pPr>
            <w:r>
              <w:rPr>
                <w:sz w:val="22"/>
                <w:szCs w:val="22"/>
                <w:spacing w:val="-6"/>
              </w:rPr>
              <w:t>150</w:t>
            </w:r>
          </w:p>
        </w:tc>
        <w:tc>
          <w:tcPr>
            <w:tcW w:w="1123" w:type="dxa"/>
            <w:vAlign w:val="top"/>
          </w:tcPr>
          <w:p>
            <w:pPr>
              <w:pStyle w:val="TableText"/>
              <w:ind w:left="388"/>
              <w:spacing w:before="51" w:line="183" w:lineRule="auto"/>
              <w:rPr>
                <w:sz w:val="22"/>
                <w:szCs w:val="22"/>
              </w:rPr>
            </w:pPr>
            <w:r>
              <w:rPr>
                <w:sz w:val="22"/>
                <w:szCs w:val="22"/>
                <w:spacing w:val="-3"/>
              </w:rPr>
              <w:t>200</w:t>
            </w:r>
          </w:p>
        </w:tc>
      </w:tr>
      <w:tr>
        <w:trPr>
          <w:trHeight w:val="270" w:hRule="atLeast"/>
        </w:trPr>
        <w:tc>
          <w:tcPr>
            <w:tcW w:w="514" w:type="dxa"/>
            <w:vAlign w:val="top"/>
            <w:vMerge w:val="continue"/>
            <w:tcBorders>
              <w:top w:val="nil"/>
              <w:bottom w:val="nil"/>
            </w:tcBorders>
          </w:tcPr>
          <w:p>
            <w:pPr>
              <w:rPr>
                <w:rFonts w:ascii="Arial"/>
                <w:sz w:val="21"/>
              </w:rPr>
            </w:pPr>
            <w:r/>
          </w:p>
        </w:tc>
        <w:tc>
          <w:tcPr>
            <w:tcW w:w="1458" w:type="dxa"/>
            <w:vAlign w:val="top"/>
            <w:vMerge w:val="continue"/>
            <w:tcBorders>
              <w:top w:val="nil"/>
              <w:bottom w:val="nil"/>
            </w:tcBorders>
          </w:tcPr>
          <w:p>
            <w:pPr>
              <w:rPr>
                <w:rFonts w:ascii="Arial"/>
                <w:sz w:val="21"/>
              </w:rPr>
            </w:pPr>
            <w:r/>
          </w:p>
        </w:tc>
        <w:tc>
          <w:tcPr>
            <w:tcW w:w="829" w:type="dxa"/>
            <w:vAlign w:val="top"/>
          </w:tcPr>
          <w:p>
            <w:pPr>
              <w:pStyle w:val="TableText"/>
              <w:ind w:left="182"/>
              <w:spacing w:before="30" w:line="193" w:lineRule="auto"/>
              <w:rPr>
                <w:sz w:val="22"/>
                <w:szCs w:val="22"/>
              </w:rPr>
            </w:pPr>
            <w:r>
              <w:rPr>
                <w:sz w:val="22"/>
                <w:szCs w:val="22"/>
                <w:color w:val="506070"/>
                <w:spacing w:val="5"/>
              </w:rPr>
              <w:t>出水</w:t>
            </w:r>
          </w:p>
        </w:tc>
        <w:tc>
          <w:tcPr>
            <w:tcW w:w="1169" w:type="dxa"/>
            <w:vAlign w:val="top"/>
          </w:tcPr>
          <w:p>
            <w:pPr>
              <w:pStyle w:val="TableText"/>
              <w:ind w:left="353"/>
              <w:spacing w:before="52" w:line="174" w:lineRule="auto"/>
              <w:rPr>
                <w:sz w:val="22"/>
                <w:szCs w:val="22"/>
              </w:rPr>
            </w:pPr>
            <w:r>
              <w:rPr>
                <w:sz w:val="22"/>
                <w:szCs w:val="22"/>
                <w:spacing w:val="-3"/>
              </w:rPr>
              <w:t>3150</w:t>
            </w:r>
          </w:p>
        </w:tc>
        <w:tc>
          <w:tcPr>
            <w:tcW w:w="1318" w:type="dxa"/>
            <w:vAlign w:val="top"/>
          </w:tcPr>
          <w:p>
            <w:pPr>
              <w:pStyle w:val="TableText"/>
              <w:ind w:left="435"/>
              <w:spacing w:before="52" w:line="174" w:lineRule="auto"/>
              <w:rPr>
                <w:sz w:val="22"/>
                <w:szCs w:val="22"/>
              </w:rPr>
            </w:pPr>
            <w:r>
              <w:rPr>
                <w:sz w:val="22"/>
                <w:szCs w:val="22"/>
                <w:color w:val="404050"/>
                <w:spacing w:val="-5"/>
              </w:rPr>
              <w:t>1620</w:t>
            </w:r>
          </w:p>
        </w:tc>
        <w:tc>
          <w:tcPr>
            <w:tcW w:w="979" w:type="dxa"/>
            <w:vAlign w:val="top"/>
          </w:tcPr>
          <w:p>
            <w:pPr>
              <w:pStyle w:val="TableText"/>
              <w:ind w:left="316"/>
              <w:spacing w:before="52" w:line="174" w:lineRule="auto"/>
              <w:rPr>
                <w:sz w:val="22"/>
                <w:szCs w:val="22"/>
              </w:rPr>
            </w:pPr>
            <w:r>
              <w:rPr>
                <w:sz w:val="22"/>
                <w:szCs w:val="22"/>
                <w:color w:val="304060"/>
                <w:spacing w:val="-3"/>
              </w:rPr>
              <w:t>900</w:t>
            </w:r>
          </w:p>
        </w:tc>
        <w:tc>
          <w:tcPr>
            <w:tcW w:w="1109" w:type="dxa"/>
            <w:vAlign w:val="top"/>
          </w:tcPr>
          <w:p>
            <w:pPr>
              <w:pStyle w:val="TableText"/>
              <w:ind w:left="387"/>
              <w:spacing w:before="52" w:line="174" w:lineRule="auto"/>
              <w:rPr>
                <w:sz w:val="22"/>
                <w:szCs w:val="22"/>
              </w:rPr>
            </w:pPr>
            <w:r>
              <w:rPr>
                <w:sz w:val="22"/>
                <w:szCs w:val="22"/>
                <w:color w:val="404050"/>
                <w:spacing w:val="-6"/>
              </w:rPr>
              <w:t>135</w:t>
            </w:r>
          </w:p>
        </w:tc>
        <w:tc>
          <w:tcPr>
            <w:tcW w:w="1123" w:type="dxa"/>
            <w:vAlign w:val="top"/>
          </w:tcPr>
          <w:p>
            <w:pPr>
              <w:pStyle w:val="TableText"/>
              <w:ind w:left="388"/>
              <w:spacing w:before="52" w:line="174" w:lineRule="auto"/>
              <w:rPr>
                <w:sz w:val="22"/>
                <w:szCs w:val="22"/>
              </w:rPr>
            </w:pPr>
            <w:r>
              <w:rPr>
                <w:sz w:val="22"/>
                <w:szCs w:val="22"/>
                <w:spacing w:val="-3"/>
              </w:rPr>
              <w:t>200</w:t>
            </w:r>
          </w:p>
        </w:tc>
      </w:tr>
      <w:tr>
        <w:trPr>
          <w:trHeight w:val="259" w:hRule="atLeast"/>
        </w:trPr>
        <w:tc>
          <w:tcPr>
            <w:tcW w:w="514" w:type="dxa"/>
            <w:vAlign w:val="top"/>
            <w:vMerge w:val="continue"/>
            <w:tcBorders>
              <w:top w:val="nil"/>
            </w:tcBorders>
          </w:tcPr>
          <w:p>
            <w:pPr>
              <w:rPr>
                <w:rFonts w:ascii="Arial"/>
                <w:sz w:val="21"/>
              </w:rPr>
            </w:pPr>
            <w:r/>
          </w:p>
        </w:tc>
        <w:tc>
          <w:tcPr>
            <w:tcW w:w="1458" w:type="dxa"/>
            <w:vAlign w:val="top"/>
            <w:vMerge w:val="continue"/>
            <w:tcBorders>
              <w:top w:val="nil"/>
            </w:tcBorders>
          </w:tcPr>
          <w:p>
            <w:pPr>
              <w:rPr>
                <w:rFonts w:ascii="Arial"/>
                <w:sz w:val="21"/>
              </w:rPr>
            </w:pPr>
            <w:r/>
          </w:p>
        </w:tc>
        <w:tc>
          <w:tcPr>
            <w:tcW w:w="829" w:type="dxa"/>
            <w:vAlign w:val="top"/>
          </w:tcPr>
          <w:p>
            <w:pPr>
              <w:pStyle w:val="TableText"/>
              <w:ind w:left="72"/>
              <w:spacing w:before="20" w:line="192" w:lineRule="auto"/>
              <w:rPr>
                <w:sz w:val="22"/>
                <w:szCs w:val="22"/>
              </w:rPr>
            </w:pPr>
            <w:r>
              <w:rPr>
                <w:sz w:val="22"/>
                <w:szCs w:val="22"/>
                <w:spacing w:val="3"/>
              </w:rPr>
              <w:t>去除率</w:t>
            </w:r>
          </w:p>
        </w:tc>
        <w:tc>
          <w:tcPr>
            <w:tcW w:w="1169" w:type="dxa"/>
            <w:vAlign w:val="top"/>
          </w:tcPr>
          <w:p>
            <w:pPr>
              <w:pStyle w:val="TableText"/>
              <w:ind w:left="413"/>
              <w:spacing w:before="41" w:line="174" w:lineRule="auto"/>
              <w:rPr>
                <w:sz w:val="22"/>
                <w:szCs w:val="22"/>
              </w:rPr>
            </w:pPr>
            <w:r>
              <w:rPr>
                <w:sz w:val="22"/>
                <w:szCs w:val="22"/>
                <w:color w:val="606070"/>
                <w:spacing w:val="-6"/>
              </w:rPr>
              <w:t>10%</w:t>
            </w:r>
          </w:p>
        </w:tc>
        <w:tc>
          <w:tcPr>
            <w:tcW w:w="1318" w:type="dxa"/>
            <w:vAlign w:val="top"/>
          </w:tcPr>
          <w:p>
            <w:pPr>
              <w:pStyle w:val="TableText"/>
              <w:ind w:left="484"/>
              <w:spacing w:before="41" w:line="174" w:lineRule="auto"/>
              <w:rPr>
                <w:sz w:val="22"/>
                <w:szCs w:val="22"/>
              </w:rPr>
            </w:pPr>
            <w:r>
              <w:rPr>
                <w:sz w:val="22"/>
                <w:szCs w:val="22"/>
                <w:color w:val="505060"/>
                <w:spacing w:val="-6"/>
              </w:rPr>
              <w:t>10%</w:t>
            </w:r>
          </w:p>
        </w:tc>
        <w:tc>
          <w:tcPr>
            <w:tcW w:w="979" w:type="dxa"/>
            <w:vAlign w:val="top"/>
          </w:tcPr>
          <w:p>
            <w:pPr>
              <w:pStyle w:val="TableText"/>
              <w:ind w:left="316"/>
              <w:spacing w:before="41" w:line="174" w:lineRule="auto"/>
              <w:rPr>
                <w:sz w:val="22"/>
                <w:szCs w:val="22"/>
              </w:rPr>
            </w:pPr>
            <w:r>
              <w:rPr>
                <w:sz w:val="22"/>
                <w:szCs w:val="22"/>
                <w:color w:val="506070"/>
                <w:spacing w:val="-6"/>
              </w:rPr>
              <w:t>10%</w:t>
            </w:r>
          </w:p>
        </w:tc>
        <w:tc>
          <w:tcPr>
            <w:tcW w:w="1109" w:type="dxa"/>
            <w:vAlign w:val="top"/>
          </w:tcPr>
          <w:p>
            <w:pPr>
              <w:pStyle w:val="TableText"/>
              <w:ind w:left="387"/>
              <w:spacing w:before="41" w:line="174" w:lineRule="auto"/>
              <w:rPr>
                <w:sz w:val="22"/>
                <w:szCs w:val="22"/>
              </w:rPr>
            </w:pPr>
            <w:r>
              <w:rPr>
                <w:sz w:val="22"/>
                <w:szCs w:val="22"/>
                <w:color w:val="506080"/>
                <w:spacing w:val="-6"/>
              </w:rPr>
              <w:t>10%</w:t>
            </w:r>
          </w:p>
        </w:tc>
        <w:tc>
          <w:tcPr>
            <w:tcW w:w="1123" w:type="dxa"/>
            <w:vAlign w:val="top"/>
          </w:tcPr>
          <w:p>
            <w:pPr>
              <w:pStyle w:val="TableText"/>
              <w:ind w:left="448"/>
              <w:spacing w:before="124" w:line="125" w:lineRule="exact"/>
              <w:rPr>
                <w:sz w:val="22"/>
                <w:szCs w:val="22"/>
              </w:rPr>
            </w:pPr>
            <w:r>
              <w:rPr>
                <w:sz w:val="22"/>
                <w:szCs w:val="22"/>
                <w:position w:val="-6"/>
              </w:rPr>
              <w:t>一</w:t>
            </w:r>
          </w:p>
        </w:tc>
      </w:tr>
      <w:tr>
        <w:trPr>
          <w:trHeight w:val="290" w:hRule="atLeast"/>
        </w:trPr>
        <w:tc>
          <w:tcPr>
            <w:tcW w:w="514" w:type="dxa"/>
            <w:vAlign w:val="top"/>
            <w:vMerge w:val="restart"/>
            <w:tcBorders>
              <w:bottom w:val="nil"/>
            </w:tcBorders>
          </w:tcPr>
          <w:p>
            <w:pPr>
              <w:spacing w:line="269" w:lineRule="auto"/>
              <w:rPr>
                <w:rFonts w:ascii="Arial"/>
                <w:sz w:val="21"/>
              </w:rPr>
            </w:pPr>
            <w:r/>
          </w:p>
          <w:p>
            <w:pPr>
              <w:pStyle w:val="TableText"/>
              <w:ind w:left="194"/>
              <w:spacing w:before="72" w:line="241" w:lineRule="auto"/>
              <w:rPr>
                <w:sz w:val="22"/>
                <w:szCs w:val="22"/>
              </w:rPr>
            </w:pPr>
            <w:r>
              <w:rPr>
                <w:sz w:val="22"/>
                <w:szCs w:val="22"/>
              </w:rPr>
              <w:t>2</w:t>
            </w:r>
          </w:p>
        </w:tc>
        <w:tc>
          <w:tcPr>
            <w:tcW w:w="1458" w:type="dxa"/>
            <w:vAlign w:val="top"/>
            <w:vMerge w:val="restart"/>
            <w:tcBorders>
              <w:bottom w:val="nil"/>
            </w:tcBorders>
          </w:tcPr>
          <w:p>
            <w:pPr>
              <w:spacing w:line="246" w:lineRule="auto"/>
              <w:rPr>
                <w:rFonts w:ascii="Arial"/>
                <w:sz w:val="21"/>
              </w:rPr>
            </w:pPr>
            <w:r/>
          </w:p>
          <w:p>
            <w:pPr>
              <w:pStyle w:val="TableText"/>
              <w:ind w:left="390"/>
              <w:spacing w:before="72" w:line="219" w:lineRule="auto"/>
              <w:rPr>
                <w:sz w:val="22"/>
                <w:szCs w:val="22"/>
              </w:rPr>
            </w:pPr>
            <w:r>
              <w:rPr>
                <w:sz w:val="22"/>
                <w:szCs w:val="22"/>
                <w:spacing w:val="-3"/>
              </w:rPr>
              <w:t>气浮机</w:t>
            </w:r>
          </w:p>
        </w:tc>
        <w:tc>
          <w:tcPr>
            <w:tcW w:w="829" w:type="dxa"/>
            <w:vAlign w:val="top"/>
          </w:tcPr>
          <w:p>
            <w:pPr>
              <w:pStyle w:val="TableText"/>
              <w:ind w:left="182"/>
              <w:spacing w:before="40" w:line="201" w:lineRule="auto"/>
              <w:rPr>
                <w:sz w:val="22"/>
                <w:szCs w:val="22"/>
              </w:rPr>
            </w:pPr>
            <w:r>
              <w:rPr>
                <w:sz w:val="22"/>
                <w:szCs w:val="22"/>
                <w:spacing w:val="-2"/>
              </w:rPr>
              <w:t>进水</w:t>
            </w:r>
          </w:p>
        </w:tc>
        <w:tc>
          <w:tcPr>
            <w:tcW w:w="1169" w:type="dxa"/>
            <w:vAlign w:val="top"/>
          </w:tcPr>
          <w:p>
            <w:pPr>
              <w:pStyle w:val="TableText"/>
              <w:ind w:left="353"/>
              <w:spacing w:before="63" w:line="182" w:lineRule="auto"/>
              <w:rPr>
                <w:sz w:val="22"/>
                <w:szCs w:val="22"/>
              </w:rPr>
            </w:pPr>
            <w:r>
              <w:rPr>
                <w:sz w:val="22"/>
                <w:szCs w:val="22"/>
                <w:color w:val="808070"/>
                <w:spacing w:val="-3"/>
              </w:rPr>
              <w:t>3150</w:t>
            </w:r>
          </w:p>
        </w:tc>
        <w:tc>
          <w:tcPr>
            <w:tcW w:w="1318" w:type="dxa"/>
            <w:vAlign w:val="top"/>
          </w:tcPr>
          <w:p>
            <w:pPr>
              <w:pStyle w:val="TableText"/>
              <w:ind w:left="435"/>
              <w:spacing w:before="63" w:line="182" w:lineRule="auto"/>
              <w:rPr>
                <w:sz w:val="22"/>
                <w:szCs w:val="22"/>
              </w:rPr>
            </w:pPr>
            <w:r>
              <w:rPr>
                <w:sz w:val="22"/>
                <w:szCs w:val="22"/>
                <w:color w:val="606070"/>
                <w:spacing w:val="-5"/>
              </w:rPr>
              <w:t>1620</w:t>
            </w:r>
          </w:p>
        </w:tc>
        <w:tc>
          <w:tcPr>
            <w:tcW w:w="979" w:type="dxa"/>
            <w:vAlign w:val="top"/>
          </w:tcPr>
          <w:p>
            <w:pPr>
              <w:pStyle w:val="TableText"/>
              <w:ind w:left="316"/>
              <w:spacing w:before="63" w:line="182" w:lineRule="auto"/>
              <w:rPr>
                <w:sz w:val="22"/>
                <w:szCs w:val="22"/>
              </w:rPr>
            </w:pPr>
            <w:r>
              <w:rPr>
                <w:sz w:val="22"/>
                <w:szCs w:val="22"/>
                <w:spacing w:val="-3"/>
              </w:rPr>
              <w:t>900</w:t>
            </w:r>
          </w:p>
        </w:tc>
        <w:tc>
          <w:tcPr>
            <w:tcW w:w="1109" w:type="dxa"/>
            <w:vAlign w:val="top"/>
          </w:tcPr>
          <w:p>
            <w:pPr>
              <w:pStyle w:val="TableText"/>
              <w:ind w:left="387"/>
              <w:spacing w:before="63" w:line="182" w:lineRule="auto"/>
              <w:rPr>
                <w:sz w:val="22"/>
                <w:szCs w:val="22"/>
              </w:rPr>
            </w:pPr>
            <w:r>
              <w:rPr>
                <w:sz w:val="22"/>
                <w:szCs w:val="22"/>
                <w:spacing w:val="-6"/>
              </w:rPr>
              <w:t>135</w:t>
            </w:r>
          </w:p>
        </w:tc>
        <w:tc>
          <w:tcPr>
            <w:tcW w:w="1123" w:type="dxa"/>
            <w:vAlign w:val="top"/>
          </w:tcPr>
          <w:p>
            <w:pPr>
              <w:pStyle w:val="TableText"/>
              <w:ind w:left="388"/>
              <w:spacing w:before="63" w:line="182" w:lineRule="auto"/>
              <w:rPr>
                <w:sz w:val="22"/>
                <w:szCs w:val="22"/>
              </w:rPr>
            </w:pPr>
            <w:r>
              <w:rPr>
                <w:sz w:val="22"/>
                <w:szCs w:val="22"/>
                <w:spacing w:val="-3"/>
              </w:rPr>
              <w:t>200</w:t>
            </w:r>
          </w:p>
        </w:tc>
      </w:tr>
      <w:tr>
        <w:trPr>
          <w:trHeight w:val="259" w:hRule="atLeast"/>
        </w:trPr>
        <w:tc>
          <w:tcPr>
            <w:tcW w:w="514" w:type="dxa"/>
            <w:vAlign w:val="top"/>
            <w:vMerge w:val="continue"/>
            <w:tcBorders>
              <w:top w:val="nil"/>
              <w:bottom w:val="nil"/>
            </w:tcBorders>
          </w:tcPr>
          <w:p>
            <w:pPr>
              <w:rPr>
                <w:rFonts w:ascii="Arial"/>
                <w:sz w:val="21"/>
              </w:rPr>
            </w:pPr>
            <w:r/>
          </w:p>
        </w:tc>
        <w:tc>
          <w:tcPr>
            <w:tcW w:w="1458" w:type="dxa"/>
            <w:vAlign w:val="top"/>
            <w:vMerge w:val="continue"/>
            <w:tcBorders>
              <w:top w:val="nil"/>
              <w:bottom w:val="nil"/>
            </w:tcBorders>
          </w:tcPr>
          <w:p>
            <w:pPr>
              <w:rPr>
                <w:rFonts w:ascii="Arial"/>
                <w:sz w:val="21"/>
              </w:rPr>
            </w:pPr>
            <w:r/>
          </w:p>
        </w:tc>
        <w:tc>
          <w:tcPr>
            <w:tcW w:w="829" w:type="dxa"/>
            <w:vAlign w:val="top"/>
          </w:tcPr>
          <w:p>
            <w:pPr>
              <w:pStyle w:val="TableText"/>
              <w:ind w:left="182"/>
              <w:spacing w:before="21" w:line="191" w:lineRule="auto"/>
              <w:rPr>
                <w:sz w:val="22"/>
                <w:szCs w:val="22"/>
              </w:rPr>
            </w:pPr>
            <w:r>
              <w:rPr>
                <w:sz w:val="22"/>
                <w:szCs w:val="22"/>
                <w:spacing w:val="5"/>
              </w:rPr>
              <w:t>出水</w:t>
            </w:r>
          </w:p>
        </w:tc>
        <w:tc>
          <w:tcPr>
            <w:tcW w:w="1169" w:type="dxa"/>
            <w:vAlign w:val="top"/>
          </w:tcPr>
          <w:p>
            <w:pPr>
              <w:pStyle w:val="TableText"/>
              <w:ind w:left="353"/>
              <w:spacing w:before="42" w:line="173" w:lineRule="auto"/>
              <w:rPr>
                <w:sz w:val="22"/>
                <w:szCs w:val="22"/>
              </w:rPr>
            </w:pPr>
            <w:r>
              <w:rPr>
                <w:sz w:val="22"/>
                <w:szCs w:val="22"/>
                <w:spacing w:val="-3"/>
              </w:rPr>
              <w:t>2835</w:t>
            </w:r>
          </w:p>
        </w:tc>
        <w:tc>
          <w:tcPr>
            <w:tcW w:w="1318" w:type="dxa"/>
            <w:vAlign w:val="top"/>
          </w:tcPr>
          <w:p>
            <w:pPr>
              <w:pStyle w:val="TableText"/>
              <w:ind w:left="435"/>
              <w:spacing w:before="42" w:line="173" w:lineRule="auto"/>
              <w:rPr>
                <w:sz w:val="22"/>
                <w:szCs w:val="22"/>
              </w:rPr>
            </w:pPr>
            <w:r>
              <w:rPr>
                <w:sz w:val="22"/>
                <w:szCs w:val="22"/>
                <w:spacing w:val="-5"/>
              </w:rPr>
              <w:t>1458</w:t>
            </w:r>
          </w:p>
        </w:tc>
        <w:tc>
          <w:tcPr>
            <w:tcW w:w="979" w:type="dxa"/>
            <w:vAlign w:val="top"/>
          </w:tcPr>
          <w:p>
            <w:pPr>
              <w:pStyle w:val="TableText"/>
              <w:ind w:left="376"/>
              <w:spacing w:before="42" w:line="173" w:lineRule="auto"/>
              <w:rPr>
                <w:sz w:val="22"/>
                <w:szCs w:val="22"/>
              </w:rPr>
            </w:pPr>
            <w:r>
              <w:rPr>
                <w:sz w:val="22"/>
                <w:szCs w:val="22"/>
                <w:spacing w:val="-3"/>
              </w:rPr>
              <w:t>90</w:t>
            </w:r>
          </w:p>
        </w:tc>
        <w:tc>
          <w:tcPr>
            <w:tcW w:w="1109" w:type="dxa"/>
            <w:vAlign w:val="top"/>
          </w:tcPr>
          <w:p>
            <w:pPr>
              <w:pStyle w:val="TableText"/>
              <w:ind w:left="387"/>
              <w:spacing w:before="42" w:line="173" w:lineRule="auto"/>
              <w:rPr>
                <w:sz w:val="22"/>
                <w:szCs w:val="22"/>
              </w:rPr>
            </w:pPr>
            <w:r>
              <w:rPr>
                <w:sz w:val="22"/>
                <w:szCs w:val="22"/>
                <w:spacing w:val="-6"/>
              </w:rPr>
              <w:t>135</w:t>
            </w:r>
          </w:p>
        </w:tc>
        <w:tc>
          <w:tcPr>
            <w:tcW w:w="1123" w:type="dxa"/>
            <w:vAlign w:val="top"/>
          </w:tcPr>
          <w:p>
            <w:pPr>
              <w:pStyle w:val="TableText"/>
              <w:ind w:left="448"/>
              <w:spacing w:before="42" w:line="173" w:lineRule="auto"/>
              <w:rPr>
                <w:sz w:val="22"/>
                <w:szCs w:val="22"/>
              </w:rPr>
            </w:pPr>
            <w:r>
              <w:rPr>
                <w:sz w:val="22"/>
                <w:szCs w:val="22"/>
                <w:spacing w:val="-7"/>
              </w:rPr>
              <w:t>10</w:t>
            </w:r>
          </w:p>
        </w:tc>
      </w:tr>
      <w:tr>
        <w:trPr>
          <w:trHeight w:val="280" w:hRule="atLeast"/>
        </w:trPr>
        <w:tc>
          <w:tcPr>
            <w:tcW w:w="514" w:type="dxa"/>
            <w:vAlign w:val="top"/>
            <w:vMerge w:val="continue"/>
            <w:tcBorders>
              <w:top w:val="nil"/>
            </w:tcBorders>
          </w:tcPr>
          <w:p>
            <w:pPr>
              <w:rPr>
                <w:rFonts w:ascii="Arial"/>
                <w:sz w:val="21"/>
              </w:rPr>
            </w:pPr>
            <w:r/>
          </w:p>
        </w:tc>
        <w:tc>
          <w:tcPr>
            <w:tcW w:w="1458" w:type="dxa"/>
            <w:vAlign w:val="top"/>
            <w:vMerge w:val="continue"/>
            <w:tcBorders>
              <w:top w:val="nil"/>
            </w:tcBorders>
          </w:tcPr>
          <w:p>
            <w:pPr>
              <w:rPr>
                <w:rFonts w:ascii="Arial"/>
                <w:sz w:val="21"/>
              </w:rPr>
            </w:pPr>
            <w:r/>
          </w:p>
        </w:tc>
        <w:tc>
          <w:tcPr>
            <w:tcW w:w="829" w:type="dxa"/>
            <w:vAlign w:val="top"/>
          </w:tcPr>
          <w:p>
            <w:pPr>
              <w:pStyle w:val="TableText"/>
              <w:ind w:left="72"/>
              <w:spacing w:before="31" w:line="200" w:lineRule="auto"/>
              <w:rPr>
                <w:sz w:val="22"/>
                <w:szCs w:val="22"/>
              </w:rPr>
            </w:pPr>
            <w:r>
              <w:rPr>
                <w:sz w:val="22"/>
                <w:szCs w:val="22"/>
                <w:color w:val="404040"/>
                <w:spacing w:val="3"/>
              </w:rPr>
              <w:t>去除率</w:t>
            </w:r>
          </w:p>
        </w:tc>
        <w:tc>
          <w:tcPr>
            <w:tcW w:w="1169" w:type="dxa"/>
            <w:vAlign w:val="top"/>
          </w:tcPr>
          <w:p>
            <w:pPr>
              <w:pStyle w:val="TableText"/>
              <w:ind w:left="413"/>
              <w:spacing w:before="54" w:line="181" w:lineRule="auto"/>
              <w:rPr>
                <w:sz w:val="22"/>
                <w:szCs w:val="22"/>
              </w:rPr>
            </w:pPr>
            <w:r>
              <w:rPr>
                <w:sz w:val="22"/>
                <w:szCs w:val="22"/>
                <w:spacing w:val="-6"/>
              </w:rPr>
              <w:t>10%</w:t>
            </w:r>
          </w:p>
        </w:tc>
        <w:tc>
          <w:tcPr>
            <w:tcW w:w="1318" w:type="dxa"/>
            <w:vAlign w:val="top"/>
          </w:tcPr>
          <w:p>
            <w:pPr>
              <w:pStyle w:val="TableText"/>
              <w:ind w:left="484"/>
              <w:spacing w:before="54" w:line="181" w:lineRule="auto"/>
              <w:rPr>
                <w:sz w:val="22"/>
                <w:szCs w:val="22"/>
              </w:rPr>
            </w:pPr>
            <w:r>
              <w:rPr>
                <w:sz w:val="22"/>
                <w:szCs w:val="22"/>
                <w:spacing w:val="-6"/>
              </w:rPr>
              <w:t>10%</w:t>
            </w:r>
          </w:p>
        </w:tc>
        <w:tc>
          <w:tcPr>
            <w:tcW w:w="979" w:type="dxa"/>
            <w:vAlign w:val="top"/>
          </w:tcPr>
          <w:p>
            <w:pPr>
              <w:pStyle w:val="TableText"/>
              <w:ind w:left="316"/>
              <w:spacing w:before="54" w:line="181" w:lineRule="auto"/>
              <w:rPr>
                <w:sz w:val="22"/>
                <w:szCs w:val="22"/>
              </w:rPr>
            </w:pPr>
            <w:r>
              <w:rPr>
                <w:sz w:val="22"/>
                <w:szCs w:val="22"/>
                <w:spacing w:val="-3"/>
              </w:rPr>
              <w:t>90%</w:t>
            </w:r>
          </w:p>
        </w:tc>
        <w:tc>
          <w:tcPr>
            <w:tcW w:w="1109" w:type="dxa"/>
            <w:vAlign w:val="top"/>
          </w:tcPr>
          <w:p>
            <w:pPr>
              <w:pStyle w:val="TableText"/>
              <w:ind w:left="437"/>
              <w:spacing w:before="136" w:line="133" w:lineRule="exact"/>
              <w:rPr>
                <w:sz w:val="22"/>
                <w:szCs w:val="22"/>
              </w:rPr>
            </w:pPr>
            <w:r>
              <w:rPr>
                <w:sz w:val="22"/>
                <w:szCs w:val="22"/>
                <w:position w:val="-5"/>
              </w:rPr>
              <w:t>一</w:t>
            </w:r>
          </w:p>
        </w:tc>
        <w:tc>
          <w:tcPr>
            <w:tcW w:w="1123" w:type="dxa"/>
            <w:vAlign w:val="top"/>
          </w:tcPr>
          <w:p>
            <w:pPr>
              <w:pStyle w:val="TableText"/>
              <w:ind w:left="388"/>
              <w:spacing w:before="54" w:line="181" w:lineRule="auto"/>
              <w:rPr>
                <w:sz w:val="22"/>
                <w:szCs w:val="22"/>
              </w:rPr>
            </w:pPr>
            <w:r>
              <w:rPr>
                <w:sz w:val="22"/>
                <w:szCs w:val="22"/>
                <w:spacing w:val="-3"/>
              </w:rPr>
              <w:t>95%</w:t>
            </w:r>
          </w:p>
        </w:tc>
      </w:tr>
      <w:tr>
        <w:trPr>
          <w:trHeight w:val="270" w:hRule="atLeast"/>
        </w:trPr>
        <w:tc>
          <w:tcPr>
            <w:tcW w:w="514" w:type="dxa"/>
            <w:vAlign w:val="top"/>
            <w:vMerge w:val="restart"/>
            <w:textDirection w:val="tbRlV"/>
            <w:tcBorders>
              <w:bottom w:val="nil"/>
            </w:tcBorders>
          </w:tcPr>
          <w:p>
            <w:pPr>
              <w:pStyle w:val="TableText"/>
              <w:ind w:left="263"/>
              <w:spacing w:before="212" w:line="151" w:lineRule="exact"/>
              <w:rPr>
                <w:sz w:val="22"/>
                <w:szCs w:val="22"/>
              </w:rPr>
            </w:pPr>
            <w:r>
              <w:rPr>
                <w:sz w:val="22"/>
                <w:szCs w:val="22"/>
                <w:spacing w:val="54"/>
                <w:w w:val="125"/>
                <w:position w:val="-3"/>
              </w:rPr>
              <w:t>3</w:t>
            </w:r>
          </w:p>
        </w:tc>
        <w:tc>
          <w:tcPr>
            <w:tcW w:w="1458" w:type="dxa"/>
            <w:vAlign w:val="top"/>
            <w:vMerge w:val="restart"/>
            <w:tcBorders>
              <w:bottom w:val="nil"/>
            </w:tcBorders>
          </w:tcPr>
          <w:p>
            <w:pPr>
              <w:pStyle w:val="TableText"/>
              <w:ind w:left="170"/>
              <w:spacing w:before="310" w:line="219" w:lineRule="auto"/>
              <w:rPr>
                <w:sz w:val="22"/>
                <w:szCs w:val="22"/>
              </w:rPr>
            </w:pPr>
            <w:r>
              <w:rPr>
                <w:sz w:val="22"/>
                <w:szCs w:val="22"/>
                <w:spacing w:val="-2"/>
              </w:rPr>
              <w:t>厌氧接触池</w:t>
            </w:r>
          </w:p>
        </w:tc>
        <w:tc>
          <w:tcPr>
            <w:tcW w:w="829" w:type="dxa"/>
            <w:vAlign w:val="top"/>
          </w:tcPr>
          <w:p>
            <w:pPr>
              <w:pStyle w:val="TableText"/>
              <w:ind w:left="182"/>
              <w:spacing w:before="32" w:line="191" w:lineRule="auto"/>
              <w:rPr>
                <w:sz w:val="22"/>
                <w:szCs w:val="22"/>
              </w:rPr>
            </w:pPr>
            <w:r>
              <w:rPr>
                <w:sz w:val="22"/>
                <w:szCs w:val="22"/>
                <w:spacing w:val="-2"/>
              </w:rPr>
              <w:t>进水</w:t>
            </w:r>
          </w:p>
        </w:tc>
        <w:tc>
          <w:tcPr>
            <w:tcW w:w="1169" w:type="dxa"/>
            <w:vAlign w:val="top"/>
          </w:tcPr>
          <w:p>
            <w:pPr>
              <w:pStyle w:val="TableText"/>
              <w:ind w:left="353"/>
              <w:spacing w:before="53" w:line="173" w:lineRule="auto"/>
              <w:rPr>
                <w:sz w:val="22"/>
                <w:szCs w:val="22"/>
              </w:rPr>
            </w:pPr>
            <w:r>
              <w:rPr>
                <w:sz w:val="22"/>
                <w:szCs w:val="22"/>
                <w:spacing w:val="-3"/>
              </w:rPr>
              <w:t>2835</w:t>
            </w:r>
          </w:p>
        </w:tc>
        <w:tc>
          <w:tcPr>
            <w:tcW w:w="1318" w:type="dxa"/>
            <w:vAlign w:val="top"/>
          </w:tcPr>
          <w:p>
            <w:pPr>
              <w:pStyle w:val="TableText"/>
              <w:ind w:left="435"/>
              <w:spacing w:before="53" w:line="173" w:lineRule="auto"/>
              <w:rPr>
                <w:sz w:val="22"/>
                <w:szCs w:val="22"/>
              </w:rPr>
            </w:pPr>
            <w:r>
              <w:rPr>
                <w:sz w:val="22"/>
                <w:szCs w:val="22"/>
                <w:spacing w:val="-5"/>
              </w:rPr>
              <w:t>1458</w:t>
            </w:r>
          </w:p>
        </w:tc>
        <w:tc>
          <w:tcPr>
            <w:tcW w:w="979" w:type="dxa"/>
            <w:vAlign w:val="top"/>
          </w:tcPr>
          <w:p>
            <w:pPr>
              <w:pStyle w:val="TableText"/>
              <w:ind w:left="376"/>
              <w:spacing w:before="53" w:line="173" w:lineRule="auto"/>
              <w:rPr>
                <w:sz w:val="22"/>
                <w:szCs w:val="22"/>
              </w:rPr>
            </w:pPr>
            <w:r>
              <w:rPr>
                <w:sz w:val="22"/>
                <w:szCs w:val="22"/>
                <w:spacing w:val="-3"/>
              </w:rPr>
              <w:t>90</w:t>
            </w:r>
          </w:p>
        </w:tc>
        <w:tc>
          <w:tcPr>
            <w:tcW w:w="1109" w:type="dxa"/>
            <w:vAlign w:val="top"/>
          </w:tcPr>
          <w:p>
            <w:pPr>
              <w:pStyle w:val="TableText"/>
              <w:ind w:left="387"/>
              <w:spacing w:before="53" w:line="173" w:lineRule="auto"/>
              <w:rPr>
                <w:sz w:val="22"/>
                <w:szCs w:val="22"/>
              </w:rPr>
            </w:pPr>
            <w:r>
              <w:rPr>
                <w:sz w:val="22"/>
                <w:szCs w:val="22"/>
                <w:spacing w:val="-6"/>
              </w:rPr>
              <w:t>135</w:t>
            </w:r>
          </w:p>
        </w:tc>
        <w:tc>
          <w:tcPr>
            <w:tcW w:w="1123" w:type="dxa"/>
            <w:vAlign w:val="top"/>
          </w:tcPr>
          <w:p>
            <w:pPr>
              <w:pStyle w:val="TableText"/>
              <w:ind w:left="448"/>
              <w:spacing w:before="53" w:line="173" w:lineRule="auto"/>
              <w:rPr>
                <w:sz w:val="22"/>
                <w:szCs w:val="22"/>
              </w:rPr>
            </w:pPr>
            <w:r>
              <w:rPr>
                <w:sz w:val="22"/>
                <w:szCs w:val="22"/>
                <w:spacing w:val="-7"/>
              </w:rPr>
              <w:t>10</w:t>
            </w:r>
          </w:p>
        </w:tc>
      </w:tr>
      <w:tr>
        <w:trPr>
          <w:trHeight w:val="269" w:hRule="atLeast"/>
        </w:trPr>
        <w:tc>
          <w:tcPr>
            <w:tcW w:w="514" w:type="dxa"/>
            <w:vAlign w:val="top"/>
            <w:vMerge w:val="continue"/>
            <w:textDirection w:val="tbRlV"/>
            <w:tcBorders>
              <w:top w:val="nil"/>
              <w:bottom w:val="nil"/>
            </w:tcBorders>
          </w:tcPr>
          <w:p>
            <w:pPr>
              <w:rPr>
                <w:rFonts w:ascii="Arial"/>
                <w:sz w:val="21"/>
              </w:rPr>
            </w:pPr>
            <w:r/>
          </w:p>
        </w:tc>
        <w:tc>
          <w:tcPr>
            <w:tcW w:w="1458" w:type="dxa"/>
            <w:vAlign w:val="top"/>
            <w:vMerge w:val="continue"/>
            <w:tcBorders>
              <w:top w:val="nil"/>
              <w:bottom w:val="nil"/>
            </w:tcBorders>
          </w:tcPr>
          <w:p>
            <w:pPr>
              <w:rPr>
                <w:rFonts w:ascii="Arial"/>
                <w:sz w:val="21"/>
              </w:rPr>
            </w:pPr>
            <w:r/>
          </w:p>
        </w:tc>
        <w:tc>
          <w:tcPr>
            <w:tcW w:w="829" w:type="dxa"/>
            <w:vAlign w:val="top"/>
          </w:tcPr>
          <w:p>
            <w:pPr>
              <w:pStyle w:val="TableText"/>
              <w:ind w:left="182"/>
              <w:spacing w:before="31" w:line="191" w:lineRule="auto"/>
              <w:rPr>
                <w:sz w:val="22"/>
                <w:szCs w:val="22"/>
              </w:rPr>
            </w:pPr>
            <w:r>
              <w:rPr>
                <w:sz w:val="22"/>
                <w:szCs w:val="22"/>
                <w:color w:val="706070"/>
                <w:spacing w:val="5"/>
              </w:rPr>
              <w:t>出水</w:t>
            </w:r>
          </w:p>
        </w:tc>
        <w:tc>
          <w:tcPr>
            <w:tcW w:w="1169" w:type="dxa"/>
            <w:vAlign w:val="top"/>
          </w:tcPr>
          <w:p>
            <w:pPr>
              <w:pStyle w:val="TableText"/>
              <w:ind w:left="353"/>
              <w:spacing w:before="54" w:line="172" w:lineRule="auto"/>
              <w:rPr>
                <w:sz w:val="22"/>
                <w:szCs w:val="22"/>
              </w:rPr>
            </w:pPr>
            <w:r>
              <w:rPr>
                <w:sz w:val="22"/>
                <w:szCs w:val="22"/>
                <w:spacing w:val="-3"/>
              </w:rPr>
              <w:t>2268</w:t>
            </w:r>
          </w:p>
        </w:tc>
        <w:tc>
          <w:tcPr>
            <w:tcW w:w="1318" w:type="dxa"/>
            <w:vAlign w:val="top"/>
          </w:tcPr>
          <w:p>
            <w:pPr>
              <w:pStyle w:val="TableText"/>
              <w:ind w:left="435"/>
              <w:spacing w:before="54" w:line="172" w:lineRule="auto"/>
              <w:rPr>
                <w:sz w:val="22"/>
                <w:szCs w:val="22"/>
              </w:rPr>
            </w:pPr>
            <w:r>
              <w:rPr>
                <w:sz w:val="22"/>
                <w:szCs w:val="22"/>
                <w:color w:val="706060"/>
                <w:spacing w:val="-5"/>
              </w:rPr>
              <w:t>1166</w:t>
            </w:r>
          </w:p>
        </w:tc>
        <w:tc>
          <w:tcPr>
            <w:tcW w:w="979" w:type="dxa"/>
            <w:vAlign w:val="top"/>
          </w:tcPr>
          <w:p>
            <w:pPr>
              <w:pStyle w:val="TableText"/>
              <w:ind w:left="376"/>
              <w:spacing w:before="54" w:line="172" w:lineRule="auto"/>
              <w:rPr>
                <w:sz w:val="22"/>
                <w:szCs w:val="22"/>
              </w:rPr>
            </w:pPr>
            <w:r>
              <w:rPr>
                <w:sz w:val="22"/>
                <w:szCs w:val="22"/>
                <w:spacing w:val="-3"/>
              </w:rPr>
              <w:t>90</w:t>
            </w:r>
          </w:p>
        </w:tc>
        <w:tc>
          <w:tcPr>
            <w:tcW w:w="1109" w:type="dxa"/>
            <w:vAlign w:val="top"/>
          </w:tcPr>
          <w:p>
            <w:pPr>
              <w:pStyle w:val="TableText"/>
              <w:ind w:left="387"/>
              <w:spacing w:before="54" w:line="172" w:lineRule="auto"/>
              <w:rPr>
                <w:sz w:val="22"/>
                <w:szCs w:val="22"/>
              </w:rPr>
            </w:pPr>
            <w:r>
              <w:rPr>
                <w:sz w:val="22"/>
                <w:szCs w:val="22"/>
                <w:spacing w:val="-6"/>
              </w:rPr>
              <w:t>121</w:t>
            </w:r>
          </w:p>
        </w:tc>
        <w:tc>
          <w:tcPr>
            <w:tcW w:w="1123" w:type="dxa"/>
            <w:vAlign w:val="top"/>
          </w:tcPr>
          <w:p>
            <w:pPr>
              <w:pStyle w:val="TableText"/>
              <w:ind w:left="448"/>
              <w:spacing w:before="54" w:line="172" w:lineRule="auto"/>
              <w:rPr>
                <w:sz w:val="22"/>
                <w:szCs w:val="22"/>
              </w:rPr>
            </w:pPr>
            <w:r>
              <w:rPr>
                <w:sz w:val="22"/>
                <w:szCs w:val="22"/>
                <w:spacing w:val="-7"/>
              </w:rPr>
              <w:t>10</w:t>
            </w:r>
          </w:p>
        </w:tc>
      </w:tr>
      <w:tr>
        <w:trPr>
          <w:trHeight w:val="280" w:hRule="atLeast"/>
        </w:trPr>
        <w:tc>
          <w:tcPr>
            <w:tcW w:w="514" w:type="dxa"/>
            <w:vAlign w:val="top"/>
            <w:vMerge w:val="continue"/>
            <w:textDirection w:val="tbRlV"/>
            <w:tcBorders>
              <w:top w:val="nil"/>
            </w:tcBorders>
          </w:tcPr>
          <w:p>
            <w:pPr>
              <w:rPr>
                <w:rFonts w:ascii="Arial"/>
                <w:sz w:val="21"/>
              </w:rPr>
            </w:pPr>
            <w:r/>
          </w:p>
        </w:tc>
        <w:tc>
          <w:tcPr>
            <w:tcW w:w="1458" w:type="dxa"/>
            <w:vAlign w:val="top"/>
            <w:vMerge w:val="continue"/>
            <w:tcBorders>
              <w:top w:val="nil"/>
            </w:tcBorders>
          </w:tcPr>
          <w:p>
            <w:pPr>
              <w:rPr>
                <w:rFonts w:ascii="Arial"/>
                <w:sz w:val="21"/>
              </w:rPr>
            </w:pPr>
            <w:r/>
          </w:p>
        </w:tc>
        <w:tc>
          <w:tcPr>
            <w:tcW w:w="829" w:type="dxa"/>
            <w:vAlign w:val="top"/>
          </w:tcPr>
          <w:p>
            <w:pPr>
              <w:pStyle w:val="TableText"/>
              <w:ind w:left="72"/>
              <w:spacing w:before="32" w:line="199" w:lineRule="auto"/>
              <w:rPr>
                <w:sz w:val="22"/>
                <w:szCs w:val="22"/>
              </w:rPr>
            </w:pPr>
            <w:r>
              <w:rPr>
                <w:sz w:val="22"/>
                <w:szCs w:val="22"/>
                <w:color w:val="304040"/>
                <w:spacing w:val="3"/>
              </w:rPr>
              <w:t>去除率</w:t>
            </w:r>
          </w:p>
        </w:tc>
        <w:tc>
          <w:tcPr>
            <w:tcW w:w="1169" w:type="dxa"/>
            <w:vAlign w:val="top"/>
          </w:tcPr>
          <w:p>
            <w:pPr>
              <w:pStyle w:val="TableText"/>
              <w:ind w:left="413"/>
              <w:spacing w:before="55" w:line="180" w:lineRule="auto"/>
              <w:rPr>
                <w:sz w:val="22"/>
                <w:szCs w:val="22"/>
              </w:rPr>
            </w:pPr>
            <w:r>
              <w:rPr>
                <w:sz w:val="22"/>
                <w:szCs w:val="22"/>
                <w:spacing w:val="-3"/>
              </w:rPr>
              <w:t>20%</w:t>
            </w:r>
          </w:p>
        </w:tc>
        <w:tc>
          <w:tcPr>
            <w:tcW w:w="1318" w:type="dxa"/>
            <w:vAlign w:val="top"/>
          </w:tcPr>
          <w:p>
            <w:pPr>
              <w:pStyle w:val="TableText"/>
              <w:ind w:left="484"/>
              <w:spacing w:before="55" w:line="180" w:lineRule="auto"/>
              <w:rPr>
                <w:sz w:val="22"/>
                <w:szCs w:val="22"/>
              </w:rPr>
            </w:pPr>
            <w:r>
              <w:rPr>
                <w:sz w:val="22"/>
                <w:szCs w:val="22"/>
                <w:color w:val="506060"/>
                <w:spacing w:val="-3"/>
              </w:rPr>
              <w:t>20%</w:t>
            </w:r>
          </w:p>
        </w:tc>
        <w:tc>
          <w:tcPr>
            <w:tcW w:w="979" w:type="dxa"/>
            <w:vAlign w:val="top"/>
          </w:tcPr>
          <w:p>
            <w:pPr>
              <w:pStyle w:val="TableText"/>
              <w:ind w:left="376"/>
              <w:spacing w:before="137" w:line="133" w:lineRule="exact"/>
              <w:rPr>
                <w:sz w:val="22"/>
                <w:szCs w:val="22"/>
              </w:rPr>
            </w:pPr>
            <w:r>
              <w:rPr>
                <w:sz w:val="22"/>
                <w:szCs w:val="22"/>
                <w:position w:val="-5"/>
              </w:rPr>
              <w:t>一</w:t>
            </w:r>
          </w:p>
        </w:tc>
        <w:tc>
          <w:tcPr>
            <w:tcW w:w="1109" w:type="dxa"/>
            <w:vAlign w:val="top"/>
          </w:tcPr>
          <w:p>
            <w:pPr>
              <w:pStyle w:val="TableText"/>
              <w:ind w:left="387"/>
              <w:spacing w:before="55" w:line="180" w:lineRule="auto"/>
              <w:rPr>
                <w:sz w:val="22"/>
                <w:szCs w:val="22"/>
              </w:rPr>
            </w:pPr>
            <w:r>
              <w:rPr>
                <w:sz w:val="22"/>
                <w:szCs w:val="22"/>
                <w:color w:val="506060"/>
                <w:spacing w:val="-6"/>
              </w:rPr>
              <w:t>10%</w:t>
            </w:r>
          </w:p>
        </w:tc>
        <w:tc>
          <w:tcPr>
            <w:tcW w:w="1123" w:type="dxa"/>
            <w:vAlign w:val="top"/>
          </w:tcPr>
          <w:p>
            <w:pPr>
              <w:pStyle w:val="TableText"/>
              <w:ind w:left="448"/>
              <w:spacing w:before="137" w:line="133" w:lineRule="exact"/>
              <w:rPr>
                <w:sz w:val="22"/>
                <w:szCs w:val="22"/>
              </w:rPr>
            </w:pPr>
            <w:r>
              <w:rPr>
                <w:sz w:val="22"/>
                <w:szCs w:val="22"/>
                <w:position w:val="-5"/>
              </w:rPr>
              <w:t>一</w:t>
            </w:r>
          </w:p>
        </w:tc>
      </w:tr>
      <w:tr>
        <w:trPr>
          <w:trHeight w:val="260" w:hRule="atLeast"/>
        </w:trPr>
        <w:tc>
          <w:tcPr>
            <w:tcW w:w="514" w:type="dxa"/>
            <w:vAlign w:val="top"/>
            <w:vMerge w:val="restart"/>
            <w:tcBorders>
              <w:bottom w:val="nil"/>
            </w:tcBorders>
          </w:tcPr>
          <w:p>
            <w:pPr>
              <w:spacing w:line="262" w:lineRule="auto"/>
              <w:rPr>
                <w:rFonts w:ascii="Arial"/>
                <w:sz w:val="21"/>
              </w:rPr>
            </w:pPr>
            <w:r/>
          </w:p>
          <w:p>
            <w:pPr>
              <w:pStyle w:val="TableText"/>
              <w:ind w:left="194"/>
              <w:spacing w:before="71" w:line="241" w:lineRule="auto"/>
              <w:rPr>
                <w:sz w:val="22"/>
                <w:szCs w:val="22"/>
              </w:rPr>
            </w:pPr>
            <w:r>
              <w:rPr>
                <w:sz w:val="22"/>
                <w:szCs w:val="22"/>
                <w:color w:val="405040"/>
              </w:rPr>
              <w:t>4</w:t>
            </w:r>
          </w:p>
        </w:tc>
        <w:tc>
          <w:tcPr>
            <w:tcW w:w="1458" w:type="dxa"/>
            <w:vAlign w:val="top"/>
            <w:vMerge w:val="restart"/>
            <w:tcBorders>
              <w:bottom w:val="nil"/>
            </w:tcBorders>
          </w:tcPr>
          <w:p>
            <w:pPr>
              <w:pStyle w:val="TableText"/>
              <w:ind w:left="390"/>
              <w:spacing w:before="311" w:line="219" w:lineRule="auto"/>
              <w:rPr>
                <w:sz w:val="22"/>
                <w:szCs w:val="22"/>
              </w:rPr>
            </w:pPr>
            <w:r>
              <w:rPr>
                <w:sz w:val="22"/>
                <w:szCs w:val="22"/>
                <w:spacing w:val="-2"/>
              </w:rPr>
              <w:t>缺氧池</w:t>
            </w:r>
          </w:p>
        </w:tc>
        <w:tc>
          <w:tcPr>
            <w:tcW w:w="829" w:type="dxa"/>
            <w:vAlign w:val="top"/>
          </w:tcPr>
          <w:p>
            <w:pPr>
              <w:pStyle w:val="TableText"/>
              <w:ind w:left="182"/>
              <w:spacing w:before="22" w:line="191" w:lineRule="auto"/>
              <w:rPr>
                <w:sz w:val="22"/>
                <w:szCs w:val="22"/>
              </w:rPr>
            </w:pPr>
            <w:r>
              <w:rPr>
                <w:sz w:val="22"/>
                <w:szCs w:val="22"/>
                <w:spacing w:val="-2"/>
              </w:rPr>
              <w:t>进水</w:t>
            </w:r>
          </w:p>
        </w:tc>
        <w:tc>
          <w:tcPr>
            <w:tcW w:w="1169" w:type="dxa"/>
            <w:vAlign w:val="top"/>
          </w:tcPr>
          <w:p>
            <w:pPr>
              <w:pStyle w:val="TableText"/>
              <w:ind w:left="353"/>
              <w:spacing w:before="45" w:line="172" w:lineRule="auto"/>
              <w:rPr>
                <w:sz w:val="22"/>
                <w:szCs w:val="22"/>
              </w:rPr>
            </w:pPr>
            <w:r>
              <w:rPr>
                <w:sz w:val="22"/>
                <w:szCs w:val="22"/>
                <w:spacing w:val="-3"/>
              </w:rPr>
              <w:t>2268</w:t>
            </w:r>
          </w:p>
        </w:tc>
        <w:tc>
          <w:tcPr>
            <w:tcW w:w="1318" w:type="dxa"/>
            <w:vAlign w:val="top"/>
          </w:tcPr>
          <w:p>
            <w:pPr>
              <w:pStyle w:val="TableText"/>
              <w:ind w:left="435"/>
              <w:spacing w:before="45" w:line="172" w:lineRule="auto"/>
              <w:rPr>
                <w:sz w:val="22"/>
                <w:szCs w:val="22"/>
              </w:rPr>
            </w:pPr>
            <w:r>
              <w:rPr>
                <w:sz w:val="22"/>
                <w:szCs w:val="22"/>
                <w:spacing w:val="-5"/>
              </w:rPr>
              <w:t>1166</w:t>
            </w:r>
          </w:p>
        </w:tc>
        <w:tc>
          <w:tcPr>
            <w:tcW w:w="979" w:type="dxa"/>
            <w:vAlign w:val="top"/>
          </w:tcPr>
          <w:p>
            <w:pPr>
              <w:pStyle w:val="TableText"/>
              <w:ind w:left="376"/>
              <w:spacing w:before="45" w:line="172" w:lineRule="auto"/>
              <w:rPr>
                <w:sz w:val="22"/>
                <w:szCs w:val="22"/>
              </w:rPr>
            </w:pPr>
            <w:r>
              <w:rPr>
                <w:sz w:val="22"/>
                <w:szCs w:val="22"/>
                <w:spacing w:val="-3"/>
              </w:rPr>
              <w:t>90</w:t>
            </w:r>
          </w:p>
        </w:tc>
        <w:tc>
          <w:tcPr>
            <w:tcW w:w="1109" w:type="dxa"/>
            <w:vAlign w:val="top"/>
          </w:tcPr>
          <w:p>
            <w:pPr>
              <w:pStyle w:val="TableText"/>
              <w:ind w:left="387"/>
              <w:spacing w:before="45" w:line="172" w:lineRule="auto"/>
              <w:rPr>
                <w:sz w:val="22"/>
                <w:szCs w:val="22"/>
              </w:rPr>
            </w:pPr>
            <w:r>
              <w:rPr>
                <w:sz w:val="22"/>
                <w:szCs w:val="22"/>
                <w:spacing w:val="-6"/>
              </w:rPr>
              <w:t>121</w:t>
            </w:r>
          </w:p>
        </w:tc>
        <w:tc>
          <w:tcPr>
            <w:tcW w:w="1123" w:type="dxa"/>
            <w:vAlign w:val="top"/>
          </w:tcPr>
          <w:p>
            <w:pPr>
              <w:pStyle w:val="TableText"/>
              <w:ind w:left="448"/>
              <w:spacing w:before="45" w:line="172" w:lineRule="auto"/>
              <w:rPr>
                <w:sz w:val="22"/>
                <w:szCs w:val="22"/>
              </w:rPr>
            </w:pPr>
            <w:r>
              <w:rPr>
                <w:sz w:val="22"/>
                <w:szCs w:val="22"/>
                <w:spacing w:val="-7"/>
              </w:rPr>
              <w:t>10</w:t>
            </w:r>
          </w:p>
        </w:tc>
      </w:tr>
      <w:tr>
        <w:trPr>
          <w:trHeight w:val="280" w:hRule="atLeast"/>
        </w:trPr>
        <w:tc>
          <w:tcPr>
            <w:tcW w:w="514" w:type="dxa"/>
            <w:vAlign w:val="top"/>
            <w:vMerge w:val="continue"/>
            <w:tcBorders>
              <w:top w:val="nil"/>
              <w:bottom w:val="nil"/>
            </w:tcBorders>
          </w:tcPr>
          <w:p>
            <w:pPr>
              <w:rPr>
                <w:rFonts w:ascii="Arial"/>
                <w:sz w:val="21"/>
              </w:rPr>
            </w:pPr>
            <w:r/>
          </w:p>
        </w:tc>
        <w:tc>
          <w:tcPr>
            <w:tcW w:w="1458" w:type="dxa"/>
            <w:vAlign w:val="top"/>
            <w:vMerge w:val="continue"/>
            <w:tcBorders>
              <w:top w:val="nil"/>
              <w:bottom w:val="nil"/>
            </w:tcBorders>
          </w:tcPr>
          <w:p>
            <w:pPr>
              <w:rPr>
                <w:rFonts w:ascii="Arial"/>
                <w:sz w:val="21"/>
              </w:rPr>
            </w:pPr>
            <w:r/>
          </w:p>
        </w:tc>
        <w:tc>
          <w:tcPr>
            <w:tcW w:w="829" w:type="dxa"/>
            <w:vAlign w:val="top"/>
          </w:tcPr>
          <w:p>
            <w:pPr>
              <w:pStyle w:val="TableText"/>
              <w:ind w:left="182"/>
              <w:spacing w:before="32" w:line="199" w:lineRule="auto"/>
              <w:rPr>
                <w:sz w:val="22"/>
                <w:szCs w:val="22"/>
              </w:rPr>
            </w:pPr>
            <w:r>
              <w:rPr>
                <w:sz w:val="22"/>
                <w:szCs w:val="22"/>
                <w:color w:val="505060"/>
                <w:spacing w:val="5"/>
              </w:rPr>
              <w:t>出水</w:t>
            </w:r>
          </w:p>
        </w:tc>
        <w:tc>
          <w:tcPr>
            <w:tcW w:w="1169" w:type="dxa"/>
            <w:vAlign w:val="top"/>
          </w:tcPr>
          <w:p>
            <w:pPr>
              <w:pStyle w:val="TableText"/>
              <w:ind w:left="353"/>
              <w:spacing w:before="55" w:line="180" w:lineRule="auto"/>
              <w:rPr>
                <w:sz w:val="22"/>
                <w:szCs w:val="22"/>
              </w:rPr>
            </w:pPr>
            <w:r>
              <w:rPr>
                <w:sz w:val="22"/>
                <w:szCs w:val="22"/>
                <w:spacing w:val="-3"/>
              </w:rPr>
              <w:t>2155</w:t>
            </w:r>
          </w:p>
        </w:tc>
        <w:tc>
          <w:tcPr>
            <w:tcW w:w="1318" w:type="dxa"/>
            <w:vAlign w:val="top"/>
          </w:tcPr>
          <w:p>
            <w:pPr>
              <w:pStyle w:val="TableText"/>
              <w:ind w:left="435"/>
              <w:spacing w:before="55" w:line="180" w:lineRule="auto"/>
              <w:rPr>
                <w:sz w:val="22"/>
                <w:szCs w:val="22"/>
              </w:rPr>
            </w:pPr>
            <w:r>
              <w:rPr>
                <w:sz w:val="22"/>
                <w:szCs w:val="22"/>
                <w:color w:val="807070"/>
                <w:spacing w:val="-5"/>
              </w:rPr>
              <w:t>1108</w:t>
            </w:r>
          </w:p>
        </w:tc>
        <w:tc>
          <w:tcPr>
            <w:tcW w:w="979" w:type="dxa"/>
            <w:vAlign w:val="top"/>
          </w:tcPr>
          <w:p>
            <w:pPr>
              <w:pStyle w:val="TableText"/>
              <w:ind w:left="376"/>
              <w:spacing w:before="55" w:line="180" w:lineRule="auto"/>
              <w:rPr>
                <w:sz w:val="22"/>
                <w:szCs w:val="22"/>
              </w:rPr>
            </w:pPr>
            <w:r>
              <w:rPr>
                <w:sz w:val="22"/>
                <w:szCs w:val="22"/>
                <w:spacing w:val="-3"/>
              </w:rPr>
              <w:t>90</w:t>
            </w:r>
          </w:p>
        </w:tc>
        <w:tc>
          <w:tcPr>
            <w:tcW w:w="1109" w:type="dxa"/>
            <w:vAlign w:val="top"/>
          </w:tcPr>
          <w:p>
            <w:pPr>
              <w:pStyle w:val="TableText"/>
              <w:ind w:left="437"/>
              <w:spacing w:before="55" w:line="180" w:lineRule="auto"/>
              <w:rPr>
                <w:sz w:val="22"/>
                <w:szCs w:val="22"/>
              </w:rPr>
            </w:pPr>
            <w:r>
              <w:rPr>
                <w:sz w:val="22"/>
                <w:szCs w:val="22"/>
                <w:spacing w:val="-3"/>
              </w:rPr>
              <w:t>60</w:t>
            </w:r>
          </w:p>
        </w:tc>
        <w:tc>
          <w:tcPr>
            <w:tcW w:w="1123" w:type="dxa"/>
            <w:vAlign w:val="top"/>
          </w:tcPr>
          <w:p>
            <w:pPr>
              <w:pStyle w:val="TableText"/>
              <w:ind w:left="448"/>
              <w:spacing w:before="55" w:line="180" w:lineRule="auto"/>
              <w:rPr>
                <w:sz w:val="22"/>
                <w:szCs w:val="22"/>
              </w:rPr>
            </w:pPr>
            <w:r>
              <w:rPr>
                <w:sz w:val="22"/>
                <w:szCs w:val="22"/>
                <w:spacing w:val="-7"/>
              </w:rPr>
              <w:t>10</w:t>
            </w:r>
          </w:p>
        </w:tc>
      </w:tr>
      <w:tr>
        <w:trPr>
          <w:trHeight w:val="270" w:hRule="atLeast"/>
        </w:trPr>
        <w:tc>
          <w:tcPr>
            <w:tcW w:w="514" w:type="dxa"/>
            <w:vAlign w:val="top"/>
            <w:vMerge w:val="continue"/>
            <w:tcBorders>
              <w:top w:val="nil"/>
            </w:tcBorders>
          </w:tcPr>
          <w:p>
            <w:pPr>
              <w:rPr>
                <w:rFonts w:ascii="Arial"/>
                <w:sz w:val="21"/>
              </w:rPr>
            </w:pPr>
            <w:r/>
          </w:p>
        </w:tc>
        <w:tc>
          <w:tcPr>
            <w:tcW w:w="1458" w:type="dxa"/>
            <w:vAlign w:val="top"/>
            <w:vMerge w:val="continue"/>
            <w:tcBorders>
              <w:top w:val="nil"/>
            </w:tcBorders>
          </w:tcPr>
          <w:p>
            <w:pPr>
              <w:rPr>
                <w:rFonts w:ascii="Arial"/>
                <w:sz w:val="21"/>
              </w:rPr>
            </w:pPr>
            <w:r/>
          </w:p>
        </w:tc>
        <w:tc>
          <w:tcPr>
            <w:tcW w:w="829" w:type="dxa"/>
            <w:vAlign w:val="top"/>
          </w:tcPr>
          <w:p>
            <w:pPr>
              <w:pStyle w:val="TableText"/>
              <w:ind w:left="72"/>
              <w:spacing w:before="32" w:line="191" w:lineRule="auto"/>
              <w:rPr>
                <w:sz w:val="22"/>
                <w:szCs w:val="22"/>
              </w:rPr>
            </w:pPr>
            <w:r>
              <w:rPr>
                <w:sz w:val="22"/>
                <w:szCs w:val="22"/>
                <w:spacing w:val="3"/>
              </w:rPr>
              <w:t>去除率</w:t>
            </w:r>
          </w:p>
        </w:tc>
        <w:tc>
          <w:tcPr>
            <w:tcW w:w="1169" w:type="dxa"/>
            <w:vAlign w:val="top"/>
          </w:tcPr>
          <w:p>
            <w:pPr>
              <w:pStyle w:val="TableText"/>
              <w:ind w:left="464"/>
              <w:spacing w:before="55" w:line="172" w:lineRule="auto"/>
              <w:rPr>
                <w:sz w:val="22"/>
                <w:szCs w:val="22"/>
              </w:rPr>
            </w:pPr>
            <w:r>
              <w:rPr>
                <w:sz w:val="22"/>
                <w:szCs w:val="22"/>
                <w:spacing w:val="-4"/>
              </w:rPr>
              <w:t>5%</w:t>
            </w:r>
          </w:p>
        </w:tc>
        <w:tc>
          <w:tcPr>
            <w:tcW w:w="1318" w:type="dxa"/>
            <w:vAlign w:val="top"/>
          </w:tcPr>
          <w:p>
            <w:pPr>
              <w:pStyle w:val="TableText"/>
              <w:ind w:left="544"/>
              <w:spacing w:before="55" w:line="172" w:lineRule="auto"/>
              <w:rPr>
                <w:sz w:val="22"/>
                <w:szCs w:val="22"/>
              </w:rPr>
            </w:pPr>
            <w:r>
              <w:rPr>
                <w:sz w:val="22"/>
                <w:szCs w:val="22"/>
                <w:color w:val="304050"/>
                <w:spacing w:val="-4"/>
              </w:rPr>
              <w:t>5%</w:t>
            </w:r>
          </w:p>
        </w:tc>
        <w:tc>
          <w:tcPr>
            <w:tcW w:w="979" w:type="dxa"/>
            <w:vAlign w:val="top"/>
          </w:tcPr>
          <w:p>
            <w:pPr>
              <w:pStyle w:val="TableText"/>
              <w:ind w:left="376"/>
              <w:spacing w:before="137" w:line="123" w:lineRule="exact"/>
              <w:rPr>
                <w:sz w:val="22"/>
                <w:szCs w:val="22"/>
              </w:rPr>
            </w:pPr>
            <w:r>
              <w:rPr>
                <w:sz w:val="22"/>
                <w:szCs w:val="22"/>
                <w:position w:val="-6"/>
              </w:rPr>
              <w:t>一</w:t>
            </w:r>
          </w:p>
        </w:tc>
        <w:tc>
          <w:tcPr>
            <w:tcW w:w="1109" w:type="dxa"/>
            <w:vAlign w:val="top"/>
          </w:tcPr>
          <w:p>
            <w:pPr>
              <w:pStyle w:val="TableText"/>
              <w:ind w:left="387"/>
              <w:spacing w:before="55" w:line="172" w:lineRule="auto"/>
              <w:rPr>
                <w:sz w:val="22"/>
                <w:szCs w:val="22"/>
              </w:rPr>
            </w:pPr>
            <w:r>
              <w:rPr>
                <w:sz w:val="22"/>
                <w:szCs w:val="22"/>
                <w:spacing w:val="-3"/>
              </w:rPr>
              <w:t>50%</w:t>
            </w:r>
          </w:p>
        </w:tc>
        <w:tc>
          <w:tcPr>
            <w:tcW w:w="1123" w:type="dxa"/>
            <w:vAlign w:val="top"/>
          </w:tcPr>
          <w:p>
            <w:pPr>
              <w:pStyle w:val="TableText"/>
              <w:ind w:left="448"/>
              <w:spacing w:before="137" w:line="123" w:lineRule="exact"/>
              <w:rPr>
                <w:sz w:val="22"/>
                <w:szCs w:val="22"/>
              </w:rPr>
            </w:pPr>
            <w:r>
              <w:rPr>
                <w:sz w:val="22"/>
                <w:szCs w:val="22"/>
                <w:position w:val="-6"/>
              </w:rPr>
              <w:t>一</w:t>
            </w:r>
          </w:p>
        </w:tc>
      </w:tr>
      <w:tr>
        <w:trPr>
          <w:trHeight w:val="280" w:hRule="atLeast"/>
        </w:trPr>
        <w:tc>
          <w:tcPr>
            <w:tcW w:w="514" w:type="dxa"/>
            <w:vAlign w:val="top"/>
            <w:vMerge w:val="restart"/>
            <w:textDirection w:val="tbRlV"/>
            <w:tcBorders>
              <w:bottom w:val="nil"/>
            </w:tcBorders>
          </w:tcPr>
          <w:p>
            <w:pPr>
              <w:pStyle w:val="TableText"/>
              <w:ind w:left="273"/>
              <w:spacing w:before="212" w:line="151" w:lineRule="exact"/>
              <w:rPr>
                <w:sz w:val="22"/>
                <w:szCs w:val="22"/>
              </w:rPr>
            </w:pPr>
            <w:r>
              <w:rPr>
                <w:sz w:val="22"/>
                <w:szCs w:val="22"/>
                <w:spacing w:val="54"/>
                <w:w w:val="125"/>
                <w:position w:val="-3"/>
              </w:rPr>
              <w:t>5</w:t>
            </w:r>
          </w:p>
        </w:tc>
        <w:tc>
          <w:tcPr>
            <w:tcW w:w="1458" w:type="dxa"/>
            <w:vAlign w:val="top"/>
            <w:vMerge w:val="restart"/>
            <w:tcBorders>
              <w:bottom w:val="nil"/>
            </w:tcBorders>
          </w:tcPr>
          <w:p>
            <w:pPr>
              <w:spacing w:line="250" w:lineRule="auto"/>
              <w:rPr>
                <w:rFonts w:ascii="Arial"/>
                <w:sz w:val="21"/>
              </w:rPr>
            </w:pPr>
            <w:r/>
          </w:p>
          <w:p>
            <w:pPr>
              <w:pStyle w:val="TableText"/>
              <w:ind w:left="390"/>
              <w:spacing w:before="72" w:line="220" w:lineRule="auto"/>
              <w:rPr>
                <w:sz w:val="22"/>
                <w:szCs w:val="22"/>
              </w:rPr>
            </w:pPr>
            <w:r>
              <w:rPr>
                <w:sz w:val="22"/>
                <w:szCs w:val="22"/>
                <w:spacing w:val="3"/>
              </w:rPr>
              <w:t>曝气池</w:t>
            </w:r>
          </w:p>
        </w:tc>
        <w:tc>
          <w:tcPr>
            <w:tcW w:w="829" w:type="dxa"/>
            <w:vAlign w:val="top"/>
          </w:tcPr>
          <w:p>
            <w:pPr>
              <w:pStyle w:val="TableText"/>
              <w:ind w:left="182"/>
              <w:spacing w:before="32" w:line="199" w:lineRule="auto"/>
              <w:rPr>
                <w:sz w:val="22"/>
                <w:szCs w:val="22"/>
              </w:rPr>
            </w:pPr>
            <w:r>
              <w:rPr>
                <w:sz w:val="22"/>
                <w:szCs w:val="22"/>
                <w:spacing w:val="-2"/>
              </w:rPr>
              <w:t>进水</w:t>
            </w:r>
          </w:p>
        </w:tc>
        <w:tc>
          <w:tcPr>
            <w:tcW w:w="1169" w:type="dxa"/>
            <w:vAlign w:val="top"/>
          </w:tcPr>
          <w:p>
            <w:pPr>
              <w:pStyle w:val="TableText"/>
              <w:ind w:left="353"/>
              <w:spacing w:before="55" w:line="180" w:lineRule="auto"/>
              <w:rPr>
                <w:sz w:val="22"/>
                <w:szCs w:val="22"/>
              </w:rPr>
            </w:pPr>
            <w:r>
              <w:rPr>
                <w:sz w:val="22"/>
                <w:szCs w:val="22"/>
                <w:spacing w:val="-3"/>
              </w:rPr>
              <w:t>2155</w:t>
            </w:r>
          </w:p>
        </w:tc>
        <w:tc>
          <w:tcPr>
            <w:tcW w:w="1318" w:type="dxa"/>
            <w:vAlign w:val="top"/>
          </w:tcPr>
          <w:p>
            <w:pPr>
              <w:pStyle w:val="TableText"/>
              <w:ind w:left="435"/>
              <w:spacing w:before="55" w:line="180" w:lineRule="auto"/>
              <w:rPr>
                <w:sz w:val="22"/>
                <w:szCs w:val="22"/>
              </w:rPr>
            </w:pPr>
            <w:r>
              <w:rPr>
                <w:sz w:val="22"/>
                <w:szCs w:val="22"/>
                <w:color w:val="808070"/>
                <w:spacing w:val="-5"/>
              </w:rPr>
              <w:t>1108</w:t>
            </w:r>
          </w:p>
        </w:tc>
        <w:tc>
          <w:tcPr>
            <w:tcW w:w="979" w:type="dxa"/>
            <w:vAlign w:val="top"/>
          </w:tcPr>
          <w:p>
            <w:pPr>
              <w:pStyle w:val="TableText"/>
              <w:ind w:left="376"/>
              <w:spacing w:before="55" w:line="180" w:lineRule="auto"/>
              <w:rPr>
                <w:sz w:val="22"/>
                <w:szCs w:val="22"/>
              </w:rPr>
            </w:pPr>
            <w:r>
              <w:rPr>
                <w:sz w:val="22"/>
                <w:szCs w:val="22"/>
                <w:spacing w:val="-3"/>
              </w:rPr>
              <w:t>90</w:t>
            </w:r>
          </w:p>
        </w:tc>
        <w:tc>
          <w:tcPr>
            <w:tcW w:w="1109" w:type="dxa"/>
            <w:vAlign w:val="top"/>
          </w:tcPr>
          <w:p>
            <w:pPr>
              <w:pStyle w:val="TableText"/>
              <w:ind w:left="437"/>
              <w:spacing w:before="55" w:line="180" w:lineRule="auto"/>
              <w:rPr>
                <w:sz w:val="22"/>
                <w:szCs w:val="22"/>
              </w:rPr>
            </w:pPr>
            <w:r>
              <w:rPr>
                <w:sz w:val="22"/>
                <w:szCs w:val="22"/>
                <w:spacing w:val="-3"/>
              </w:rPr>
              <w:t>60</w:t>
            </w:r>
          </w:p>
        </w:tc>
        <w:tc>
          <w:tcPr>
            <w:tcW w:w="1123" w:type="dxa"/>
            <w:vAlign w:val="top"/>
          </w:tcPr>
          <w:p>
            <w:pPr>
              <w:pStyle w:val="TableText"/>
              <w:ind w:left="448"/>
              <w:spacing w:before="55" w:line="180" w:lineRule="auto"/>
              <w:rPr>
                <w:sz w:val="22"/>
                <w:szCs w:val="22"/>
              </w:rPr>
            </w:pPr>
            <w:r>
              <w:rPr>
                <w:sz w:val="22"/>
                <w:szCs w:val="22"/>
                <w:spacing w:val="-7"/>
              </w:rPr>
              <w:t>10</w:t>
            </w:r>
          </w:p>
        </w:tc>
      </w:tr>
      <w:tr>
        <w:trPr>
          <w:trHeight w:val="259" w:hRule="atLeast"/>
        </w:trPr>
        <w:tc>
          <w:tcPr>
            <w:tcW w:w="514" w:type="dxa"/>
            <w:vAlign w:val="top"/>
            <w:vMerge w:val="continue"/>
            <w:textDirection w:val="tbRlV"/>
            <w:tcBorders>
              <w:top w:val="nil"/>
              <w:bottom w:val="nil"/>
            </w:tcBorders>
          </w:tcPr>
          <w:p>
            <w:pPr>
              <w:rPr>
                <w:rFonts w:ascii="Arial"/>
                <w:sz w:val="21"/>
              </w:rPr>
            </w:pPr>
            <w:r/>
          </w:p>
        </w:tc>
        <w:tc>
          <w:tcPr>
            <w:tcW w:w="1458" w:type="dxa"/>
            <w:vAlign w:val="top"/>
            <w:vMerge w:val="continue"/>
            <w:tcBorders>
              <w:top w:val="nil"/>
              <w:bottom w:val="nil"/>
            </w:tcBorders>
          </w:tcPr>
          <w:p>
            <w:pPr>
              <w:rPr>
                <w:rFonts w:ascii="Arial"/>
                <w:sz w:val="21"/>
              </w:rPr>
            </w:pPr>
            <w:r/>
          </w:p>
        </w:tc>
        <w:tc>
          <w:tcPr>
            <w:tcW w:w="829" w:type="dxa"/>
            <w:vAlign w:val="top"/>
          </w:tcPr>
          <w:p>
            <w:pPr>
              <w:pStyle w:val="TableText"/>
              <w:ind w:left="182"/>
              <w:spacing w:before="22" w:line="190" w:lineRule="auto"/>
              <w:rPr>
                <w:sz w:val="22"/>
                <w:szCs w:val="22"/>
              </w:rPr>
            </w:pPr>
            <w:r>
              <w:rPr>
                <w:sz w:val="22"/>
                <w:szCs w:val="22"/>
                <w:spacing w:val="5"/>
              </w:rPr>
              <w:t>出水</w:t>
            </w:r>
          </w:p>
        </w:tc>
        <w:tc>
          <w:tcPr>
            <w:tcW w:w="1169" w:type="dxa"/>
            <w:vAlign w:val="top"/>
          </w:tcPr>
          <w:p>
            <w:pPr>
              <w:pStyle w:val="TableText"/>
              <w:ind w:left="413"/>
              <w:spacing w:before="45" w:line="171" w:lineRule="auto"/>
              <w:rPr>
                <w:sz w:val="22"/>
                <w:szCs w:val="22"/>
              </w:rPr>
            </w:pPr>
            <w:r>
              <w:rPr>
                <w:sz w:val="22"/>
                <w:szCs w:val="22"/>
                <w:spacing w:val="-4"/>
              </w:rPr>
              <w:t>754</w:t>
            </w:r>
          </w:p>
        </w:tc>
        <w:tc>
          <w:tcPr>
            <w:tcW w:w="1318" w:type="dxa"/>
            <w:vAlign w:val="top"/>
          </w:tcPr>
          <w:p>
            <w:pPr>
              <w:pStyle w:val="TableText"/>
              <w:ind w:left="484"/>
              <w:spacing w:before="45" w:line="171" w:lineRule="auto"/>
              <w:rPr>
                <w:sz w:val="22"/>
                <w:szCs w:val="22"/>
              </w:rPr>
            </w:pPr>
            <w:r>
              <w:rPr>
                <w:sz w:val="22"/>
                <w:szCs w:val="22"/>
                <w:spacing w:val="-3"/>
              </w:rPr>
              <w:t>332</w:t>
            </w:r>
          </w:p>
        </w:tc>
        <w:tc>
          <w:tcPr>
            <w:tcW w:w="979" w:type="dxa"/>
            <w:vAlign w:val="top"/>
          </w:tcPr>
          <w:p>
            <w:pPr>
              <w:pStyle w:val="TableText"/>
              <w:ind w:left="376"/>
              <w:spacing w:before="45" w:line="171" w:lineRule="auto"/>
              <w:rPr>
                <w:sz w:val="22"/>
                <w:szCs w:val="22"/>
              </w:rPr>
            </w:pPr>
            <w:r>
              <w:rPr>
                <w:sz w:val="22"/>
                <w:szCs w:val="22"/>
                <w:spacing w:val="-3"/>
              </w:rPr>
              <w:t>90</w:t>
            </w:r>
          </w:p>
        </w:tc>
        <w:tc>
          <w:tcPr>
            <w:tcW w:w="1109" w:type="dxa"/>
            <w:vAlign w:val="top"/>
          </w:tcPr>
          <w:p>
            <w:pPr>
              <w:pStyle w:val="TableText"/>
              <w:ind w:left="437"/>
              <w:spacing w:before="45" w:line="171" w:lineRule="auto"/>
              <w:rPr>
                <w:sz w:val="22"/>
                <w:szCs w:val="22"/>
              </w:rPr>
            </w:pPr>
            <w:r>
              <w:rPr>
                <w:sz w:val="22"/>
                <w:szCs w:val="22"/>
                <w:spacing w:val="-3"/>
              </w:rPr>
              <w:t>60</w:t>
            </w:r>
          </w:p>
        </w:tc>
        <w:tc>
          <w:tcPr>
            <w:tcW w:w="1123" w:type="dxa"/>
            <w:vAlign w:val="top"/>
          </w:tcPr>
          <w:p>
            <w:pPr>
              <w:pStyle w:val="TableText"/>
              <w:ind w:left="448"/>
              <w:spacing w:before="45" w:line="171" w:lineRule="auto"/>
              <w:rPr>
                <w:sz w:val="22"/>
                <w:szCs w:val="22"/>
              </w:rPr>
            </w:pPr>
            <w:r>
              <w:rPr>
                <w:sz w:val="22"/>
                <w:szCs w:val="22"/>
                <w:spacing w:val="-7"/>
              </w:rPr>
              <w:t>10</w:t>
            </w:r>
          </w:p>
        </w:tc>
      </w:tr>
      <w:tr>
        <w:trPr>
          <w:trHeight w:val="289" w:hRule="atLeast"/>
        </w:trPr>
        <w:tc>
          <w:tcPr>
            <w:tcW w:w="514" w:type="dxa"/>
            <w:vAlign w:val="top"/>
            <w:vMerge w:val="continue"/>
            <w:textDirection w:val="tbRlV"/>
            <w:tcBorders>
              <w:top w:val="nil"/>
            </w:tcBorders>
          </w:tcPr>
          <w:p>
            <w:pPr>
              <w:rPr>
                <w:rFonts w:ascii="Arial"/>
                <w:sz w:val="21"/>
              </w:rPr>
            </w:pPr>
            <w:r/>
          </w:p>
        </w:tc>
        <w:tc>
          <w:tcPr>
            <w:tcW w:w="1458" w:type="dxa"/>
            <w:vAlign w:val="top"/>
            <w:vMerge w:val="continue"/>
            <w:tcBorders>
              <w:top w:val="nil"/>
            </w:tcBorders>
          </w:tcPr>
          <w:p>
            <w:pPr>
              <w:rPr>
                <w:rFonts w:ascii="Arial"/>
                <w:sz w:val="21"/>
              </w:rPr>
            </w:pPr>
            <w:r/>
          </w:p>
        </w:tc>
        <w:tc>
          <w:tcPr>
            <w:tcW w:w="829" w:type="dxa"/>
            <w:vAlign w:val="top"/>
          </w:tcPr>
          <w:p>
            <w:pPr>
              <w:pStyle w:val="TableText"/>
              <w:ind w:left="72"/>
              <w:spacing w:before="44" w:line="197" w:lineRule="auto"/>
              <w:rPr>
                <w:sz w:val="22"/>
                <w:szCs w:val="22"/>
              </w:rPr>
            </w:pPr>
            <w:r>
              <w:rPr>
                <w:sz w:val="22"/>
                <w:szCs w:val="22"/>
                <w:spacing w:val="3"/>
              </w:rPr>
              <w:t>去除率</w:t>
            </w:r>
          </w:p>
        </w:tc>
        <w:tc>
          <w:tcPr>
            <w:tcW w:w="1169" w:type="dxa"/>
            <w:vAlign w:val="top"/>
          </w:tcPr>
          <w:p>
            <w:pPr>
              <w:pStyle w:val="TableText"/>
              <w:ind w:left="413"/>
              <w:spacing w:before="65" w:line="179" w:lineRule="auto"/>
              <w:rPr>
                <w:sz w:val="22"/>
                <w:szCs w:val="22"/>
              </w:rPr>
            </w:pPr>
            <w:r>
              <w:rPr>
                <w:sz w:val="22"/>
                <w:szCs w:val="22"/>
                <w:spacing w:val="-3"/>
              </w:rPr>
              <w:t>65%</w:t>
            </w:r>
          </w:p>
        </w:tc>
        <w:tc>
          <w:tcPr>
            <w:tcW w:w="1318" w:type="dxa"/>
            <w:vAlign w:val="top"/>
          </w:tcPr>
          <w:p>
            <w:pPr>
              <w:pStyle w:val="TableText"/>
              <w:ind w:left="484"/>
              <w:spacing w:before="65" w:line="179" w:lineRule="auto"/>
              <w:rPr>
                <w:sz w:val="22"/>
                <w:szCs w:val="22"/>
              </w:rPr>
            </w:pPr>
            <w:r>
              <w:rPr>
                <w:sz w:val="22"/>
                <w:szCs w:val="22"/>
                <w:spacing w:val="-4"/>
              </w:rPr>
              <w:t>70%</w:t>
            </w:r>
          </w:p>
        </w:tc>
        <w:tc>
          <w:tcPr>
            <w:tcW w:w="979" w:type="dxa"/>
            <w:vAlign w:val="top"/>
          </w:tcPr>
          <w:p>
            <w:pPr>
              <w:pStyle w:val="TableText"/>
              <w:ind w:left="376"/>
              <w:spacing w:before="148" w:line="131" w:lineRule="exact"/>
              <w:rPr>
                <w:sz w:val="22"/>
                <w:szCs w:val="22"/>
              </w:rPr>
            </w:pPr>
            <w:r>
              <w:rPr>
                <w:sz w:val="22"/>
                <w:szCs w:val="22"/>
                <w:position w:val="-5"/>
              </w:rPr>
              <w:t>一</w:t>
            </w:r>
          </w:p>
        </w:tc>
        <w:tc>
          <w:tcPr>
            <w:tcW w:w="1109" w:type="dxa"/>
            <w:vAlign w:val="top"/>
          </w:tcPr>
          <w:p>
            <w:pPr>
              <w:pStyle w:val="TableText"/>
              <w:ind w:left="437"/>
              <w:spacing w:before="148" w:line="131" w:lineRule="exact"/>
              <w:rPr>
                <w:sz w:val="22"/>
                <w:szCs w:val="22"/>
              </w:rPr>
            </w:pPr>
            <w:r>
              <w:rPr>
                <w:sz w:val="22"/>
                <w:szCs w:val="22"/>
                <w:position w:val="-5"/>
              </w:rPr>
              <w:t>一</w:t>
            </w:r>
          </w:p>
        </w:tc>
        <w:tc>
          <w:tcPr>
            <w:tcW w:w="1123" w:type="dxa"/>
            <w:vAlign w:val="top"/>
          </w:tcPr>
          <w:p>
            <w:pPr>
              <w:pStyle w:val="TableText"/>
              <w:ind w:left="448"/>
              <w:spacing w:before="148" w:line="131" w:lineRule="exact"/>
              <w:rPr>
                <w:sz w:val="22"/>
                <w:szCs w:val="22"/>
              </w:rPr>
            </w:pPr>
            <w:r>
              <w:rPr>
                <w:sz w:val="22"/>
                <w:szCs w:val="22"/>
                <w:position w:val="-5"/>
              </w:rPr>
              <w:t>一</w:t>
            </w:r>
          </w:p>
        </w:tc>
      </w:tr>
      <w:tr>
        <w:trPr>
          <w:trHeight w:val="260" w:hRule="atLeast"/>
        </w:trPr>
        <w:tc>
          <w:tcPr>
            <w:tcW w:w="514" w:type="dxa"/>
            <w:vAlign w:val="top"/>
            <w:vMerge w:val="restart"/>
            <w:tcBorders>
              <w:bottom w:val="nil"/>
            </w:tcBorders>
          </w:tcPr>
          <w:p>
            <w:pPr>
              <w:spacing w:line="263" w:lineRule="auto"/>
              <w:rPr>
                <w:rFonts w:ascii="Arial"/>
                <w:sz w:val="21"/>
              </w:rPr>
            </w:pPr>
            <w:r/>
          </w:p>
          <w:p>
            <w:pPr>
              <w:pStyle w:val="TableText"/>
              <w:ind w:left="194"/>
              <w:spacing w:before="71"/>
              <w:rPr>
                <w:sz w:val="22"/>
                <w:szCs w:val="22"/>
              </w:rPr>
            </w:pPr>
            <w:r>
              <w:rPr>
                <w:sz w:val="22"/>
                <w:szCs w:val="22"/>
              </w:rPr>
              <w:t>6</w:t>
            </w:r>
          </w:p>
        </w:tc>
        <w:tc>
          <w:tcPr>
            <w:tcW w:w="1458" w:type="dxa"/>
            <w:vAlign w:val="top"/>
            <w:vMerge w:val="restart"/>
            <w:tcBorders>
              <w:bottom w:val="nil"/>
            </w:tcBorders>
          </w:tcPr>
          <w:p>
            <w:pPr>
              <w:rPr>
                <w:rFonts w:ascii="Arial"/>
                <w:sz w:val="21"/>
              </w:rPr>
            </w:pPr>
            <w:r/>
          </w:p>
          <w:p>
            <w:pPr>
              <w:pStyle w:val="TableText"/>
              <w:ind w:left="390"/>
              <w:spacing w:before="72" w:line="219" w:lineRule="auto"/>
              <w:rPr>
                <w:sz w:val="22"/>
                <w:szCs w:val="22"/>
              </w:rPr>
            </w:pPr>
            <w:r>
              <w:rPr>
                <w:sz w:val="22"/>
                <w:szCs w:val="22"/>
                <w:spacing w:val="-2"/>
              </w:rPr>
              <w:t>缺氧池</w:t>
            </w:r>
          </w:p>
        </w:tc>
        <w:tc>
          <w:tcPr>
            <w:tcW w:w="829" w:type="dxa"/>
            <w:vAlign w:val="top"/>
          </w:tcPr>
          <w:p>
            <w:pPr>
              <w:pStyle w:val="TableText"/>
              <w:ind w:left="182"/>
              <w:spacing w:before="24" w:line="189" w:lineRule="auto"/>
              <w:rPr>
                <w:sz w:val="22"/>
                <w:szCs w:val="22"/>
              </w:rPr>
            </w:pPr>
            <w:r>
              <w:rPr>
                <w:sz w:val="22"/>
                <w:szCs w:val="22"/>
                <w:spacing w:val="-2"/>
              </w:rPr>
              <w:t>进水</w:t>
            </w:r>
          </w:p>
        </w:tc>
        <w:tc>
          <w:tcPr>
            <w:tcW w:w="1169" w:type="dxa"/>
            <w:vAlign w:val="top"/>
          </w:tcPr>
          <w:p>
            <w:pPr>
              <w:pStyle w:val="TableText"/>
              <w:ind w:left="413"/>
              <w:spacing w:before="47" w:line="170" w:lineRule="auto"/>
              <w:rPr>
                <w:sz w:val="22"/>
                <w:szCs w:val="22"/>
              </w:rPr>
            </w:pPr>
            <w:r>
              <w:rPr>
                <w:sz w:val="22"/>
                <w:szCs w:val="22"/>
                <w:spacing w:val="-4"/>
              </w:rPr>
              <w:t>754</w:t>
            </w:r>
          </w:p>
        </w:tc>
        <w:tc>
          <w:tcPr>
            <w:tcW w:w="1318" w:type="dxa"/>
            <w:vAlign w:val="top"/>
          </w:tcPr>
          <w:p>
            <w:pPr>
              <w:pStyle w:val="TableText"/>
              <w:ind w:left="484"/>
              <w:spacing w:before="47" w:line="170" w:lineRule="auto"/>
              <w:rPr>
                <w:sz w:val="22"/>
                <w:szCs w:val="22"/>
              </w:rPr>
            </w:pPr>
            <w:r>
              <w:rPr>
                <w:sz w:val="22"/>
                <w:szCs w:val="22"/>
                <w:spacing w:val="-3"/>
              </w:rPr>
              <w:t>332</w:t>
            </w:r>
          </w:p>
        </w:tc>
        <w:tc>
          <w:tcPr>
            <w:tcW w:w="979" w:type="dxa"/>
            <w:vAlign w:val="top"/>
          </w:tcPr>
          <w:p>
            <w:pPr>
              <w:pStyle w:val="TableText"/>
              <w:ind w:left="376"/>
              <w:spacing w:before="47" w:line="170" w:lineRule="auto"/>
              <w:rPr>
                <w:sz w:val="22"/>
                <w:szCs w:val="22"/>
              </w:rPr>
            </w:pPr>
            <w:r>
              <w:rPr>
                <w:sz w:val="22"/>
                <w:szCs w:val="22"/>
                <w:spacing w:val="-3"/>
              </w:rPr>
              <w:t>90</w:t>
            </w:r>
          </w:p>
        </w:tc>
        <w:tc>
          <w:tcPr>
            <w:tcW w:w="1109" w:type="dxa"/>
            <w:vAlign w:val="top"/>
          </w:tcPr>
          <w:p>
            <w:pPr>
              <w:pStyle w:val="TableText"/>
              <w:ind w:left="437"/>
              <w:spacing w:before="47" w:line="170" w:lineRule="auto"/>
              <w:rPr>
                <w:sz w:val="22"/>
                <w:szCs w:val="22"/>
              </w:rPr>
            </w:pPr>
            <w:r>
              <w:rPr>
                <w:sz w:val="22"/>
                <w:szCs w:val="22"/>
                <w:spacing w:val="-3"/>
              </w:rPr>
              <w:t>60</w:t>
            </w:r>
          </w:p>
        </w:tc>
        <w:tc>
          <w:tcPr>
            <w:tcW w:w="1123" w:type="dxa"/>
            <w:vAlign w:val="top"/>
          </w:tcPr>
          <w:p>
            <w:pPr>
              <w:pStyle w:val="TableText"/>
              <w:ind w:left="448"/>
              <w:spacing w:before="47" w:line="170" w:lineRule="auto"/>
              <w:rPr>
                <w:sz w:val="22"/>
                <w:szCs w:val="22"/>
              </w:rPr>
            </w:pPr>
            <w:r>
              <w:rPr>
                <w:sz w:val="22"/>
                <w:szCs w:val="22"/>
                <w:spacing w:val="-7"/>
              </w:rPr>
              <w:t>10</w:t>
            </w:r>
          </w:p>
        </w:tc>
      </w:tr>
      <w:tr>
        <w:trPr>
          <w:trHeight w:val="269" w:hRule="atLeast"/>
        </w:trPr>
        <w:tc>
          <w:tcPr>
            <w:tcW w:w="514" w:type="dxa"/>
            <w:vAlign w:val="top"/>
            <w:vMerge w:val="continue"/>
            <w:tcBorders>
              <w:top w:val="nil"/>
              <w:bottom w:val="nil"/>
            </w:tcBorders>
          </w:tcPr>
          <w:p>
            <w:pPr>
              <w:rPr>
                <w:rFonts w:ascii="Arial"/>
                <w:sz w:val="21"/>
              </w:rPr>
            </w:pPr>
            <w:r/>
          </w:p>
        </w:tc>
        <w:tc>
          <w:tcPr>
            <w:tcW w:w="1458" w:type="dxa"/>
            <w:vAlign w:val="top"/>
            <w:vMerge w:val="continue"/>
            <w:tcBorders>
              <w:top w:val="nil"/>
              <w:bottom w:val="nil"/>
            </w:tcBorders>
          </w:tcPr>
          <w:p>
            <w:pPr>
              <w:rPr>
                <w:rFonts w:ascii="Arial"/>
                <w:sz w:val="21"/>
              </w:rPr>
            </w:pPr>
            <w:r/>
          </w:p>
        </w:tc>
        <w:tc>
          <w:tcPr>
            <w:tcW w:w="829" w:type="dxa"/>
            <w:vAlign w:val="top"/>
          </w:tcPr>
          <w:p>
            <w:pPr>
              <w:pStyle w:val="TableText"/>
              <w:ind w:left="182"/>
              <w:spacing w:before="34" w:line="188" w:lineRule="auto"/>
              <w:rPr>
                <w:sz w:val="22"/>
                <w:szCs w:val="22"/>
              </w:rPr>
            </w:pPr>
            <w:r>
              <w:rPr>
                <w:sz w:val="22"/>
                <w:szCs w:val="22"/>
                <w:color w:val="405060"/>
                <w:spacing w:val="5"/>
              </w:rPr>
              <w:t>出水</w:t>
            </w:r>
          </w:p>
        </w:tc>
        <w:tc>
          <w:tcPr>
            <w:tcW w:w="1169" w:type="dxa"/>
            <w:vAlign w:val="top"/>
          </w:tcPr>
          <w:p>
            <w:pPr>
              <w:pStyle w:val="TableText"/>
              <w:ind w:left="413"/>
              <w:spacing w:before="57" w:line="169" w:lineRule="auto"/>
              <w:rPr>
                <w:sz w:val="22"/>
                <w:szCs w:val="22"/>
              </w:rPr>
            </w:pPr>
            <w:r>
              <w:rPr>
                <w:sz w:val="22"/>
                <w:szCs w:val="22"/>
                <w:spacing w:val="-3"/>
              </w:rPr>
              <w:t>641</w:t>
            </w:r>
          </w:p>
        </w:tc>
        <w:tc>
          <w:tcPr>
            <w:tcW w:w="1318" w:type="dxa"/>
            <w:vAlign w:val="top"/>
          </w:tcPr>
          <w:p>
            <w:pPr>
              <w:pStyle w:val="TableText"/>
              <w:ind w:left="484"/>
              <w:spacing w:before="57" w:line="169" w:lineRule="auto"/>
              <w:rPr>
                <w:sz w:val="22"/>
                <w:szCs w:val="22"/>
              </w:rPr>
            </w:pPr>
            <w:r>
              <w:rPr>
                <w:sz w:val="22"/>
                <w:szCs w:val="22"/>
                <w:spacing w:val="-3"/>
              </w:rPr>
              <w:t>283</w:t>
            </w:r>
          </w:p>
        </w:tc>
        <w:tc>
          <w:tcPr>
            <w:tcW w:w="979" w:type="dxa"/>
            <w:vAlign w:val="top"/>
          </w:tcPr>
          <w:p>
            <w:pPr>
              <w:pStyle w:val="TableText"/>
              <w:ind w:left="376"/>
              <w:spacing w:before="57" w:line="169" w:lineRule="auto"/>
              <w:rPr>
                <w:sz w:val="22"/>
                <w:szCs w:val="22"/>
              </w:rPr>
            </w:pPr>
            <w:r>
              <w:rPr>
                <w:sz w:val="22"/>
                <w:szCs w:val="22"/>
                <w:spacing w:val="-3"/>
              </w:rPr>
              <w:t>90</w:t>
            </w:r>
          </w:p>
        </w:tc>
        <w:tc>
          <w:tcPr>
            <w:tcW w:w="1109" w:type="dxa"/>
            <w:vAlign w:val="top"/>
          </w:tcPr>
          <w:p>
            <w:pPr>
              <w:pStyle w:val="TableText"/>
              <w:ind w:left="437"/>
              <w:spacing w:before="57" w:line="169" w:lineRule="auto"/>
              <w:rPr>
                <w:sz w:val="22"/>
                <w:szCs w:val="22"/>
              </w:rPr>
            </w:pPr>
            <w:r>
              <w:rPr>
                <w:sz w:val="22"/>
                <w:szCs w:val="22"/>
                <w:spacing w:val="-4"/>
              </w:rPr>
              <w:t>30</w:t>
            </w:r>
          </w:p>
        </w:tc>
        <w:tc>
          <w:tcPr>
            <w:tcW w:w="1123" w:type="dxa"/>
            <w:vAlign w:val="top"/>
          </w:tcPr>
          <w:p>
            <w:pPr>
              <w:pStyle w:val="TableText"/>
              <w:ind w:left="448"/>
              <w:spacing w:before="57" w:line="169" w:lineRule="auto"/>
              <w:rPr>
                <w:sz w:val="22"/>
                <w:szCs w:val="22"/>
              </w:rPr>
            </w:pPr>
            <w:r>
              <w:rPr>
                <w:sz w:val="22"/>
                <w:szCs w:val="22"/>
                <w:spacing w:val="-7"/>
              </w:rPr>
              <w:t>10</w:t>
            </w:r>
          </w:p>
        </w:tc>
      </w:tr>
      <w:tr>
        <w:trPr>
          <w:trHeight w:val="280" w:hRule="atLeast"/>
        </w:trPr>
        <w:tc>
          <w:tcPr>
            <w:tcW w:w="514" w:type="dxa"/>
            <w:vAlign w:val="top"/>
            <w:vMerge w:val="continue"/>
            <w:tcBorders>
              <w:top w:val="nil"/>
            </w:tcBorders>
          </w:tcPr>
          <w:p>
            <w:pPr>
              <w:rPr>
                <w:rFonts w:ascii="Arial"/>
                <w:sz w:val="21"/>
              </w:rPr>
            </w:pPr>
            <w:r/>
          </w:p>
        </w:tc>
        <w:tc>
          <w:tcPr>
            <w:tcW w:w="1458" w:type="dxa"/>
            <w:vAlign w:val="top"/>
            <w:vMerge w:val="continue"/>
            <w:tcBorders>
              <w:top w:val="nil"/>
            </w:tcBorders>
          </w:tcPr>
          <w:p>
            <w:pPr>
              <w:rPr>
                <w:rFonts w:ascii="Arial"/>
                <w:sz w:val="21"/>
              </w:rPr>
            </w:pPr>
            <w:r/>
          </w:p>
        </w:tc>
        <w:tc>
          <w:tcPr>
            <w:tcW w:w="829" w:type="dxa"/>
            <w:vAlign w:val="top"/>
          </w:tcPr>
          <w:p>
            <w:pPr>
              <w:pStyle w:val="TableText"/>
              <w:ind w:left="72"/>
              <w:spacing w:before="36" w:line="196" w:lineRule="auto"/>
              <w:rPr>
                <w:sz w:val="22"/>
                <w:szCs w:val="22"/>
              </w:rPr>
            </w:pPr>
            <w:r>
              <w:rPr>
                <w:sz w:val="22"/>
                <w:szCs w:val="22"/>
                <w:color w:val="405050"/>
                <w:spacing w:val="3"/>
              </w:rPr>
              <w:t>去除率</w:t>
            </w:r>
          </w:p>
        </w:tc>
        <w:tc>
          <w:tcPr>
            <w:tcW w:w="1169" w:type="dxa"/>
            <w:vAlign w:val="top"/>
          </w:tcPr>
          <w:p>
            <w:pPr>
              <w:pStyle w:val="TableText"/>
              <w:ind w:left="413"/>
              <w:spacing w:before="57" w:line="178" w:lineRule="auto"/>
              <w:rPr>
                <w:sz w:val="22"/>
                <w:szCs w:val="22"/>
              </w:rPr>
            </w:pPr>
            <w:r>
              <w:rPr>
                <w:sz w:val="22"/>
                <w:szCs w:val="22"/>
                <w:spacing w:val="-6"/>
              </w:rPr>
              <w:t>15%</w:t>
            </w:r>
          </w:p>
        </w:tc>
        <w:tc>
          <w:tcPr>
            <w:tcW w:w="1318" w:type="dxa"/>
            <w:vAlign w:val="top"/>
          </w:tcPr>
          <w:p>
            <w:pPr>
              <w:pStyle w:val="TableText"/>
              <w:ind w:left="484"/>
              <w:spacing w:before="57" w:line="178" w:lineRule="auto"/>
              <w:rPr>
                <w:sz w:val="22"/>
                <w:szCs w:val="22"/>
              </w:rPr>
            </w:pPr>
            <w:r>
              <w:rPr>
                <w:sz w:val="22"/>
                <w:szCs w:val="22"/>
                <w:spacing w:val="-6"/>
              </w:rPr>
              <w:t>15%</w:t>
            </w:r>
          </w:p>
        </w:tc>
        <w:tc>
          <w:tcPr>
            <w:tcW w:w="979" w:type="dxa"/>
            <w:vAlign w:val="top"/>
          </w:tcPr>
          <w:p>
            <w:pPr>
              <w:pStyle w:val="TableText"/>
              <w:ind w:left="376"/>
              <w:spacing w:before="140" w:line="130" w:lineRule="exact"/>
              <w:rPr>
                <w:sz w:val="22"/>
                <w:szCs w:val="22"/>
              </w:rPr>
            </w:pPr>
            <w:r>
              <w:rPr>
                <w:sz w:val="22"/>
                <w:szCs w:val="22"/>
                <w:position w:val="-6"/>
              </w:rPr>
              <w:t>一</w:t>
            </w:r>
          </w:p>
        </w:tc>
        <w:tc>
          <w:tcPr>
            <w:tcW w:w="1109" w:type="dxa"/>
            <w:vAlign w:val="top"/>
          </w:tcPr>
          <w:p>
            <w:pPr>
              <w:pStyle w:val="TableText"/>
              <w:ind w:left="387"/>
              <w:spacing w:before="57" w:line="178" w:lineRule="auto"/>
              <w:rPr>
                <w:sz w:val="22"/>
                <w:szCs w:val="22"/>
              </w:rPr>
            </w:pPr>
            <w:r>
              <w:rPr>
                <w:sz w:val="22"/>
                <w:szCs w:val="22"/>
                <w:spacing w:val="-3"/>
              </w:rPr>
              <w:t>30%</w:t>
            </w:r>
          </w:p>
        </w:tc>
        <w:tc>
          <w:tcPr>
            <w:tcW w:w="1123" w:type="dxa"/>
            <w:vAlign w:val="top"/>
          </w:tcPr>
          <w:p>
            <w:pPr>
              <w:pStyle w:val="TableText"/>
              <w:ind w:left="448"/>
              <w:spacing w:before="140" w:line="130" w:lineRule="exact"/>
              <w:rPr>
                <w:sz w:val="22"/>
                <w:szCs w:val="22"/>
              </w:rPr>
            </w:pPr>
            <w:r>
              <w:rPr>
                <w:sz w:val="22"/>
                <w:szCs w:val="22"/>
                <w:position w:val="-6"/>
              </w:rPr>
              <w:t>一</w:t>
            </w:r>
          </w:p>
        </w:tc>
      </w:tr>
      <w:tr>
        <w:trPr>
          <w:trHeight w:val="259" w:hRule="atLeast"/>
        </w:trPr>
        <w:tc>
          <w:tcPr>
            <w:tcW w:w="514" w:type="dxa"/>
            <w:vAlign w:val="top"/>
            <w:vMerge w:val="restart"/>
            <w:textDirection w:val="tbRlV"/>
            <w:tcBorders>
              <w:bottom w:val="nil"/>
            </w:tcBorders>
          </w:tcPr>
          <w:p>
            <w:pPr>
              <w:pStyle w:val="TableText"/>
              <w:ind w:left="266"/>
              <w:spacing w:before="211" w:line="151" w:lineRule="exact"/>
              <w:rPr>
                <w:sz w:val="22"/>
                <w:szCs w:val="22"/>
              </w:rPr>
            </w:pPr>
            <w:r>
              <w:rPr>
                <w:sz w:val="22"/>
                <w:szCs w:val="22"/>
                <w:spacing w:val="54"/>
                <w:w w:val="125"/>
                <w:position w:val="-3"/>
              </w:rPr>
              <w:t>7</w:t>
            </w:r>
          </w:p>
        </w:tc>
        <w:tc>
          <w:tcPr>
            <w:tcW w:w="1458" w:type="dxa"/>
            <w:vAlign w:val="top"/>
            <w:vMerge w:val="restart"/>
            <w:tcBorders>
              <w:bottom w:val="nil"/>
            </w:tcBorders>
          </w:tcPr>
          <w:p>
            <w:pPr>
              <w:spacing w:line="243" w:lineRule="auto"/>
              <w:rPr>
                <w:rFonts w:ascii="Arial"/>
                <w:sz w:val="21"/>
              </w:rPr>
            </w:pPr>
            <w:r/>
          </w:p>
          <w:p>
            <w:pPr>
              <w:pStyle w:val="TableText"/>
              <w:ind w:left="390"/>
              <w:spacing w:before="72" w:line="220" w:lineRule="auto"/>
              <w:rPr>
                <w:sz w:val="22"/>
                <w:szCs w:val="22"/>
              </w:rPr>
            </w:pPr>
            <w:r>
              <w:rPr>
                <w:sz w:val="22"/>
                <w:szCs w:val="22"/>
                <w:spacing w:val="3"/>
              </w:rPr>
              <w:t>曝气池</w:t>
            </w:r>
          </w:p>
        </w:tc>
        <w:tc>
          <w:tcPr>
            <w:tcW w:w="829" w:type="dxa"/>
            <w:vAlign w:val="top"/>
          </w:tcPr>
          <w:p>
            <w:pPr>
              <w:pStyle w:val="TableText"/>
              <w:ind w:left="182"/>
              <w:spacing w:before="26" w:line="187" w:lineRule="auto"/>
              <w:rPr>
                <w:sz w:val="22"/>
                <w:szCs w:val="22"/>
              </w:rPr>
            </w:pPr>
            <w:r>
              <w:rPr>
                <w:sz w:val="22"/>
                <w:szCs w:val="22"/>
                <w:spacing w:val="-2"/>
              </w:rPr>
              <w:t>进水</w:t>
            </w:r>
          </w:p>
        </w:tc>
        <w:tc>
          <w:tcPr>
            <w:tcW w:w="1169" w:type="dxa"/>
            <w:vAlign w:val="top"/>
          </w:tcPr>
          <w:p>
            <w:pPr>
              <w:pStyle w:val="TableText"/>
              <w:ind w:left="413"/>
              <w:spacing w:before="47" w:line="169" w:lineRule="auto"/>
              <w:rPr>
                <w:sz w:val="22"/>
                <w:szCs w:val="22"/>
              </w:rPr>
            </w:pPr>
            <w:r>
              <w:rPr>
                <w:sz w:val="22"/>
                <w:szCs w:val="22"/>
                <w:spacing w:val="-3"/>
              </w:rPr>
              <w:t>641</w:t>
            </w:r>
          </w:p>
        </w:tc>
        <w:tc>
          <w:tcPr>
            <w:tcW w:w="1318" w:type="dxa"/>
            <w:vAlign w:val="top"/>
          </w:tcPr>
          <w:p>
            <w:pPr>
              <w:pStyle w:val="TableText"/>
              <w:ind w:left="484"/>
              <w:spacing w:before="47" w:line="169" w:lineRule="auto"/>
              <w:rPr>
                <w:sz w:val="22"/>
                <w:szCs w:val="22"/>
              </w:rPr>
            </w:pPr>
            <w:r>
              <w:rPr>
                <w:sz w:val="22"/>
                <w:szCs w:val="22"/>
                <w:spacing w:val="-3"/>
              </w:rPr>
              <w:t>283</w:t>
            </w:r>
          </w:p>
        </w:tc>
        <w:tc>
          <w:tcPr>
            <w:tcW w:w="979" w:type="dxa"/>
            <w:vAlign w:val="top"/>
          </w:tcPr>
          <w:p>
            <w:pPr>
              <w:pStyle w:val="TableText"/>
              <w:ind w:left="376"/>
              <w:spacing w:before="47" w:line="169" w:lineRule="auto"/>
              <w:rPr>
                <w:sz w:val="22"/>
                <w:szCs w:val="22"/>
              </w:rPr>
            </w:pPr>
            <w:r>
              <w:rPr>
                <w:sz w:val="22"/>
                <w:szCs w:val="22"/>
                <w:spacing w:val="-3"/>
              </w:rPr>
              <w:t>90</w:t>
            </w:r>
          </w:p>
        </w:tc>
        <w:tc>
          <w:tcPr>
            <w:tcW w:w="1109" w:type="dxa"/>
            <w:vAlign w:val="top"/>
          </w:tcPr>
          <w:p>
            <w:pPr>
              <w:pStyle w:val="TableText"/>
              <w:ind w:left="437"/>
              <w:spacing w:before="47" w:line="169" w:lineRule="auto"/>
              <w:rPr>
                <w:sz w:val="22"/>
                <w:szCs w:val="22"/>
              </w:rPr>
            </w:pPr>
            <w:r>
              <w:rPr>
                <w:sz w:val="22"/>
                <w:szCs w:val="22"/>
                <w:spacing w:val="-4"/>
              </w:rPr>
              <w:t>30</w:t>
            </w:r>
          </w:p>
        </w:tc>
        <w:tc>
          <w:tcPr>
            <w:tcW w:w="1123" w:type="dxa"/>
            <w:vAlign w:val="top"/>
          </w:tcPr>
          <w:p>
            <w:pPr>
              <w:pStyle w:val="TableText"/>
              <w:ind w:left="448"/>
              <w:spacing w:before="47" w:line="169" w:lineRule="auto"/>
              <w:rPr>
                <w:sz w:val="22"/>
                <w:szCs w:val="22"/>
              </w:rPr>
            </w:pPr>
            <w:r>
              <w:rPr>
                <w:sz w:val="22"/>
                <w:szCs w:val="22"/>
                <w:spacing w:val="-7"/>
              </w:rPr>
              <w:t>10</w:t>
            </w:r>
          </w:p>
        </w:tc>
      </w:tr>
      <w:tr>
        <w:trPr>
          <w:trHeight w:val="289" w:hRule="atLeast"/>
        </w:trPr>
        <w:tc>
          <w:tcPr>
            <w:tcW w:w="514" w:type="dxa"/>
            <w:vAlign w:val="top"/>
            <w:vMerge w:val="continue"/>
            <w:textDirection w:val="tbRlV"/>
            <w:tcBorders>
              <w:top w:val="nil"/>
              <w:bottom w:val="nil"/>
            </w:tcBorders>
          </w:tcPr>
          <w:p>
            <w:pPr>
              <w:rPr>
                <w:rFonts w:ascii="Arial"/>
                <w:sz w:val="21"/>
              </w:rPr>
            </w:pPr>
            <w:r/>
          </w:p>
        </w:tc>
        <w:tc>
          <w:tcPr>
            <w:tcW w:w="1458" w:type="dxa"/>
            <w:vAlign w:val="top"/>
            <w:vMerge w:val="continue"/>
            <w:tcBorders>
              <w:top w:val="nil"/>
              <w:bottom w:val="nil"/>
            </w:tcBorders>
          </w:tcPr>
          <w:p>
            <w:pPr>
              <w:rPr>
                <w:rFonts w:ascii="Arial"/>
                <w:sz w:val="21"/>
              </w:rPr>
            </w:pPr>
            <w:r/>
          </w:p>
        </w:tc>
        <w:tc>
          <w:tcPr>
            <w:tcW w:w="829" w:type="dxa"/>
            <w:vAlign w:val="top"/>
          </w:tcPr>
          <w:p>
            <w:pPr>
              <w:pStyle w:val="TableText"/>
              <w:ind w:left="182"/>
              <w:spacing w:before="46" w:line="195" w:lineRule="auto"/>
              <w:rPr>
                <w:sz w:val="22"/>
                <w:szCs w:val="22"/>
              </w:rPr>
            </w:pPr>
            <w:r>
              <w:rPr>
                <w:sz w:val="22"/>
                <w:szCs w:val="22"/>
                <w:spacing w:val="5"/>
              </w:rPr>
              <w:t>出水</w:t>
            </w:r>
          </w:p>
        </w:tc>
        <w:tc>
          <w:tcPr>
            <w:tcW w:w="1169" w:type="dxa"/>
            <w:vAlign w:val="top"/>
          </w:tcPr>
          <w:p>
            <w:pPr>
              <w:pStyle w:val="TableText"/>
              <w:ind w:left="413"/>
              <w:spacing w:before="69" w:line="176" w:lineRule="auto"/>
              <w:rPr>
                <w:sz w:val="22"/>
                <w:szCs w:val="22"/>
              </w:rPr>
            </w:pPr>
            <w:r>
              <w:rPr>
                <w:sz w:val="22"/>
                <w:szCs w:val="22"/>
                <w:spacing w:val="-3"/>
              </w:rPr>
              <w:t>224</w:t>
            </w:r>
          </w:p>
        </w:tc>
        <w:tc>
          <w:tcPr>
            <w:tcW w:w="1318" w:type="dxa"/>
            <w:vAlign w:val="top"/>
          </w:tcPr>
          <w:p>
            <w:pPr>
              <w:pStyle w:val="TableText"/>
              <w:ind w:left="544"/>
              <w:spacing w:before="69" w:line="176" w:lineRule="auto"/>
              <w:rPr>
                <w:sz w:val="22"/>
                <w:szCs w:val="22"/>
              </w:rPr>
            </w:pPr>
            <w:r>
              <w:rPr>
                <w:sz w:val="22"/>
                <w:szCs w:val="22"/>
                <w:spacing w:val="-3"/>
              </w:rPr>
              <w:t>85</w:t>
            </w:r>
          </w:p>
        </w:tc>
        <w:tc>
          <w:tcPr>
            <w:tcW w:w="979" w:type="dxa"/>
            <w:vAlign w:val="top"/>
          </w:tcPr>
          <w:p>
            <w:pPr>
              <w:pStyle w:val="TableText"/>
              <w:ind w:left="376"/>
              <w:spacing w:before="69" w:line="176" w:lineRule="auto"/>
              <w:rPr>
                <w:sz w:val="22"/>
                <w:szCs w:val="22"/>
              </w:rPr>
            </w:pPr>
            <w:r>
              <w:rPr>
                <w:sz w:val="22"/>
                <w:szCs w:val="22"/>
                <w:spacing w:val="-3"/>
              </w:rPr>
              <w:t>90</w:t>
            </w:r>
          </w:p>
        </w:tc>
        <w:tc>
          <w:tcPr>
            <w:tcW w:w="1109" w:type="dxa"/>
            <w:vAlign w:val="top"/>
          </w:tcPr>
          <w:p>
            <w:pPr>
              <w:pStyle w:val="TableText"/>
              <w:ind w:left="437"/>
              <w:spacing w:before="69" w:line="176" w:lineRule="auto"/>
              <w:rPr>
                <w:sz w:val="22"/>
                <w:szCs w:val="22"/>
              </w:rPr>
            </w:pPr>
            <w:r>
              <w:rPr>
                <w:sz w:val="22"/>
                <w:szCs w:val="22"/>
                <w:spacing w:val="-4"/>
              </w:rPr>
              <w:t>30</w:t>
            </w:r>
          </w:p>
        </w:tc>
        <w:tc>
          <w:tcPr>
            <w:tcW w:w="1123" w:type="dxa"/>
            <w:vAlign w:val="top"/>
          </w:tcPr>
          <w:p>
            <w:pPr>
              <w:pStyle w:val="TableText"/>
              <w:ind w:left="448"/>
              <w:spacing w:before="69" w:line="176" w:lineRule="auto"/>
              <w:rPr>
                <w:sz w:val="22"/>
                <w:szCs w:val="22"/>
              </w:rPr>
            </w:pPr>
            <w:r>
              <w:rPr>
                <w:sz w:val="22"/>
                <w:szCs w:val="22"/>
                <w:spacing w:val="-7"/>
              </w:rPr>
              <w:t>10</w:t>
            </w:r>
          </w:p>
        </w:tc>
      </w:tr>
      <w:tr>
        <w:trPr>
          <w:trHeight w:val="260" w:hRule="atLeast"/>
        </w:trPr>
        <w:tc>
          <w:tcPr>
            <w:tcW w:w="514" w:type="dxa"/>
            <w:vAlign w:val="top"/>
            <w:vMerge w:val="continue"/>
            <w:textDirection w:val="tbRlV"/>
            <w:tcBorders>
              <w:top w:val="nil"/>
            </w:tcBorders>
          </w:tcPr>
          <w:p>
            <w:pPr>
              <w:rPr>
                <w:rFonts w:ascii="Arial"/>
                <w:sz w:val="21"/>
              </w:rPr>
            </w:pPr>
            <w:r/>
          </w:p>
        </w:tc>
        <w:tc>
          <w:tcPr>
            <w:tcW w:w="1458" w:type="dxa"/>
            <w:vAlign w:val="top"/>
            <w:vMerge w:val="continue"/>
            <w:tcBorders>
              <w:top w:val="nil"/>
            </w:tcBorders>
          </w:tcPr>
          <w:p>
            <w:pPr>
              <w:rPr>
                <w:rFonts w:ascii="Arial"/>
                <w:sz w:val="21"/>
              </w:rPr>
            </w:pPr>
            <w:r/>
          </w:p>
        </w:tc>
        <w:tc>
          <w:tcPr>
            <w:tcW w:w="829" w:type="dxa"/>
            <w:vAlign w:val="top"/>
          </w:tcPr>
          <w:p>
            <w:pPr>
              <w:pStyle w:val="TableText"/>
              <w:ind w:left="72"/>
              <w:spacing w:before="28" w:line="186" w:lineRule="auto"/>
              <w:rPr>
                <w:sz w:val="22"/>
                <w:szCs w:val="22"/>
              </w:rPr>
            </w:pPr>
            <w:r>
              <w:rPr>
                <w:sz w:val="22"/>
                <w:szCs w:val="22"/>
                <w:spacing w:val="3"/>
              </w:rPr>
              <w:t>去除率</w:t>
            </w:r>
          </w:p>
        </w:tc>
        <w:tc>
          <w:tcPr>
            <w:tcW w:w="1169" w:type="dxa"/>
            <w:vAlign w:val="top"/>
          </w:tcPr>
          <w:p>
            <w:pPr>
              <w:pStyle w:val="TableText"/>
              <w:ind w:left="413"/>
              <w:spacing w:before="49" w:line="168" w:lineRule="auto"/>
              <w:rPr>
                <w:sz w:val="22"/>
                <w:szCs w:val="22"/>
              </w:rPr>
            </w:pPr>
            <w:r>
              <w:rPr>
                <w:sz w:val="22"/>
                <w:szCs w:val="22"/>
                <w:spacing w:val="-3"/>
              </w:rPr>
              <w:t>65%</w:t>
            </w:r>
          </w:p>
        </w:tc>
        <w:tc>
          <w:tcPr>
            <w:tcW w:w="1318" w:type="dxa"/>
            <w:vAlign w:val="top"/>
          </w:tcPr>
          <w:p>
            <w:pPr>
              <w:pStyle w:val="TableText"/>
              <w:ind w:left="484"/>
              <w:spacing w:before="49" w:line="168" w:lineRule="auto"/>
              <w:rPr>
                <w:sz w:val="22"/>
                <w:szCs w:val="22"/>
              </w:rPr>
            </w:pPr>
            <w:r>
              <w:rPr>
                <w:sz w:val="22"/>
                <w:szCs w:val="22"/>
                <w:spacing w:val="-4"/>
              </w:rPr>
              <w:t>70%</w:t>
            </w:r>
          </w:p>
        </w:tc>
        <w:tc>
          <w:tcPr>
            <w:tcW w:w="979" w:type="dxa"/>
            <w:vAlign w:val="top"/>
          </w:tcPr>
          <w:p>
            <w:pPr>
              <w:pStyle w:val="TableText"/>
              <w:ind w:left="376"/>
              <w:spacing w:before="132" w:line="118" w:lineRule="exact"/>
              <w:rPr>
                <w:sz w:val="22"/>
                <w:szCs w:val="22"/>
              </w:rPr>
            </w:pPr>
            <w:r>
              <w:rPr>
                <w:sz w:val="22"/>
                <w:szCs w:val="22"/>
                <w:position w:val="-6"/>
              </w:rPr>
              <w:t>一</w:t>
            </w:r>
          </w:p>
        </w:tc>
        <w:tc>
          <w:tcPr>
            <w:tcW w:w="1109" w:type="dxa"/>
            <w:vAlign w:val="top"/>
          </w:tcPr>
          <w:p>
            <w:pPr>
              <w:pStyle w:val="TableText"/>
              <w:ind w:left="437"/>
              <w:spacing w:before="132" w:line="118" w:lineRule="exact"/>
              <w:rPr>
                <w:sz w:val="22"/>
                <w:szCs w:val="22"/>
              </w:rPr>
            </w:pPr>
            <w:r>
              <w:rPr>
                <w:sz w:val="22"/>
                <w:szCs w:val="22"/>
                <w:position w:val="-6"/>
              </w:rPr>
              <w:t>一</w:t>
            </w:r>
          </w:p>
        </w:tc>
        <w:tc>
          <w:tcPr>
            <w:tcW w:w="1123" w:type="dxa"/>
            <w:vAlign w:val="top"/>
          </w:tcPr>
          <w:p>
            <w:pPr>
              <w:pStyle w:val="TableText"/>
              <w:ind w:left="448"/>
              <w:spacing w:before="132" w:line="118" w:lineRule="exact"/>
              <w:rPr>
                <w:sz w:val="22"/>
                <w:szCs w:val="22"/>
              </w:rPr>
            </w:pPr>
            <w:r>
              <w:rPr>
                <w:sz w:val="22"/>
                <w:szCs w:val="22"/>
                <w:position w:val="-6"/>
              </w:rPr>
              <w:t>一</w:t>
            </w:r>
          </w:p>
        </w:tc>
      </w:tr>
      <w:tr>
        <w:trPr>
          <w:trHeight w:val="269" w:hRule="atLeast"/>
        </w:trPr>
        <w:tc>
          <w:tcPr>
            <w:tcW w:w="514" w:type="dxa"/>
            <w:vAlign w:val="top"/>
            <w:vMerge w:val="restart"/>
            <w:textDirection w:val="tbRlV"/>
            <w:tcBorders>
              <w:bottom w:val="nil"/>
            </w:tcBorders>
          </w:tcPr>
          <w:p>
            <w:pPr>
              <w:pStyle w:val="TableText"/>
              <w:ind w:left="269"/>
              <w:spacing w:before="211" w:line="156" w:lineRule="exact"/>
              <w:rPr>
                <w:sz w:val="22"/>
                <w:szCs w:val="22"/>
              </w:rPr>
            </w:pPr>
            <w:r>
              <w:rPr>
                <w:sz w:val="22"/>
                <w:szCs w:val="22"/>
                <w:spacing w:val="54"/>
                <w:w w:val="125"/>
                <w:position w:val="-3"/>
              </w:rPr>
              <w:t>8</w:t>
            </w:r>
          </w:p>
        </w:tc>
        <w:tc>
          <w:tcPr>
            <w:tcW w:w="1458" w:type="dxa"/>
            <w:vAlign w:val="top"/>
            <w:vMerge w:val="restart"/>
            <w:tcBorders>
              <w:bottom w:val="nil"/>
            </w:tcBorders>
          </w:tcPr>
          <w:p>
            <w:pPr>
              <w:spacing w:line="245" w:lineRule="auto"/>
              <w:rPr>
                <w:rFonts w:ascii="Arial"/>
                <w:sz w:val="21"/>
              </w:rPr>
            </w:pPr>
            <w:r/>
          </w:p>
          <w:p>
            <w:pPr>
              <w:pStyle w:val="TableText"/>
              <w:ind w:left="390"/>
              <w:spacing w:before="72" w:line="220" w:lineRule="auto"/>
              <w:rPr>
                <w:sz w:val="22"/>
                <w:szCs w:val="22"/>
              </w:rPr>
            </w:pPr>
            <w:r>
              <w:rPr>
                <w:sz w:val="22"/>
                <w:szCs w:val="22"/>
                <w:spacing w:val="3"/>
              </w:rPr>
              <w:t>二沉池</w:t>
            </w:r>
          </w:p>
        </w:tc>
        <w:tc>
          <w:tcPr>
            <w:tcW w:w="829" w:type="dxa"/>
            <w:vAlign w:val="top"/>
          </w:tcPr>
          <w:p>
            <w:pPr>
              <w:pStyle w:val="TableText"/>
              <w:ind w:left="182"/>
              <w:spacing w:before="37" w:line="186" w:lineRule="auto"/>
              <w:rPr>
                <w:sz w:val="22"/>
                <w:szCs w:val="22"/>
              </w:rPr>
            </w:pPr>
            <w:r>
              <w:rPr>
                <w:sz w:val="22"/>
                <w:szCs w:val="22"/>
                <w:spacing w:val="-2"/>
              </w:rPr>
              <w:t>进水</w:t>
            </w:r>
          </w:p>
        </w:tc>
        <w:tc>
          <w:tcPr>
            <w:tcW w:w="1169" w:type="dxa"/>
            <w:vAlign w:val="top"/>
          </w:tcPr>
          <w:p>
            <w:pPr>
              <w:pStyle w:val="TableText"/>
              <w:ind w:left="413"/>
              <w:spacing w:before="59" w:line="167" w:lineRule="auto"/>
              <w:rPr>
                <w:sz w:val="22"/>
                <w:szCs w:val="22"/>
              </w:rPr>
            </w:pPr>
            <w:r>
              <w:rPr>
                <w:sz w:val="22"/>
                <w:szCs w:val="22"/>
                <w:spacing w:val="-3"/>
              </w:rPr>
              <w:t>224</w:t>
            </w:r>
          </w:p>
        </w:tc>
        <w:tc>
          <w:tcPr>
            <w:tcW w:w="1318" w:type="dxa"/>
            <w:vAlign w:val="top"/>
          </w:tcPr>
          <w:p>
            <w:pPr>
              <w:pStyle w:val="TableText"/>
              <w:ind w:left="544"/>
              <w:spacing w:before="59" w:line="167" w:lineRule="auto"/>
              <w:rPr>
                <w:sz w:val="22"/>
                <w:szCs w:val="22"/>
              </w:rPr>
            </w:pPr>
            <w:r>
              <w:rPr>
                <w:sz w:val="22"/>
                <w:szCs w:val="22"/>
                <w:spacing w:val="-3"/>
              </w:rPr>
              <w:t>85</w:t>
            </w:r>
          </w:p>
        </w:tc>
        <w:tc>
          <w:tcPr>
            <w:tcW w:w="979" w:type="dxa"/>
            <w:vAlign w:val="top"/>
          </w:tcPr>
          <w:p>
            <w:pPr>
              <w:pStyle w:val="TableText"/>
              <w:ind w:left="376"/>
              <w:spacing w:before="59" w:line="167" w:lineRule="auto"/>
              <w:rPr>
                <w:sz w:val="22"/>
                <w:szCs w:val="22"/>
              </w:rPr>
            </w:pPr>
            <w:r>
              <w:rPr>
                <w:sz w:val="22"/>
                <w:szCs w:val="22"/>
                <w:spacing w:val="-3"/>
              </w:rPr>
              <w:t>90</w:t>
            </w:r>
          </w:p>
        </w:tc>
        <w:tc>
          <w:tcPr>
            <w:tcW w:w="1109" w:type="dxa"/>
            <w:vAlign w:val="top"/>
          </w:tcPr>
          <w:p>
            <w:pPr>
              <w:pStyle w:val="TableText"/>
              <w:ind w:left="437"/>
              <w:spacing w:before="59" w:line="167" w:lineRule="auto"/>
              <w:rPr>
                <w:sz w:val="22"/>
                <w:szCs w:val="22"/>
              </w:rPr>
            </w:pPr>
            <w:r>
              <w:rPr>
                <w:sz w:val="22"/>
                <w:szCs w:val="22"/>
                <w:spacing w:val="-4"/>
              </w:rPr>
              <w:t>30</w:t>
            </w:r>
          </w:p>
        </w:tc>
        <w:tc>
          <w:tcPr>
            <w:tcW w:w="1123" w:type="dxa"/>
            <w:vAlign w:val="top"/>
          </w:tcPr>
          <w:p>
            <w:pPr>
              <w:pStyle w:val="TableText"/>
              <w:ind w:left="448"/>
              <w:spacing w:before="59" w:line="167" w:lineRule="auto"/>
              <w:rPr>
                <w:sz w:val="22"/>
                <w:szCs w:val="22"/>
              </w:rPr>
            </w:pPr>
            <w:r>
              <w:rPr>
                <w:sz w:val="22"/>
                <w:szCs w:val="22"/>
                <w:spacing w:val="-7"/>
              </w:rPr>
              <w:t>10</w:t>
            </w:r>
          </w:p>
        </w:tc>
      </w:tr>
      <w:tr>
        <w:trPr>
          <w:trHeight w:val="280" w:hRule="atLeast"/>
        </w:trPr>
        <w:tc>
          <w:tcPr>
            <w:tcW w:w="514" w:type="dxa"/>
            <w:vAlign w:val="top"/>
            <w:vMerge w:val="continue"/>
            <w:textDirection w:val="tbRlV"/>
            <w:tcBorders>
              <w:top w:val="nil"/>
              <w:bottom w:val="nil"/>
            </w:tcBorders>
          </w:tcPr>
          <w:p>
            <w:pPr>
              <w:rPr>
                <w:rFonts w:ascii="Arial"/>
                <w:sz w:val="21"/>
              </w:rPr>
            </w:pPr>
            <w:r/>
          </w:p>
        </w:tc>
        <w:tc>
          <w:tcPr>
            <w:tcW w:w="1458" w:type="dxa"/>
            <w:vAlign w:val="top"/>
            <w:vMerge w:val="continue"/>
            <w:tcBorders>
              <w:top w:val="nil"/>
              <w:bottom w:val="nil"/>
            </w:tcBorders>
          </w:tcPr>
          <w:p>
            <w:pPr>
              <w:rPr>
                <w:rFonts w:ascii="Arial"/>
                <w:sz w:val="21"/>
              </w:rPr>
            </w:pPr>
            <w:r/>
          </w:p>
        </w:tc>
        <w:tc>
          <w:tcPr>
            <w:tcW w:w="829" w:type="dxa"/>
            <w:vAlign w:val="top"/>
          </w:tcPr>
          <w:p>
            <w:pPr>
              <w:pStyle w:val="TableText"/>
              <w:ind w:left="182"/>
              <w:spacing w:before="38" w:line="194" w:lineRule="auto"/>
              <w:rPr>
                <w:sz w:val="22"/>
                <w:szCs w:val="22"/>
              </w:rPr>
            </w:pPr>
            <w:r>
              <w:rPr>
                <w:sz w:val="22"/>
                <w:szCs w:val="22"/>
                <w:color w:val="404050"/>
                <w:spacing w:val="5"/>
              </w:rPr>
              <w:t>出水</w:t>
            </w:r>
          </w:p>
        </w:tc>
        <w:tc>
          <w:tcPr>
            <w:tcW w:w="1169" w:type="dxa"/>
            <w:vAlign w:val="top"/>
          </w:tcPr>
          <w:p>
            <w:pPr>
              <w:pStyle w:val="TableText"/>
              <w:ind w:left="413"/>
              <w:spacing w:before="61" w:line="175" w:lineRule="auto"/>
              <w:rPr>
                <w:sz w:val="22"/>
                <w:szCs w:val="22"/>
              </w:rPr>
            </w:pPr>
            <w:r>
              <w:rPr>
                <w:sz w:val="22"/>
                <w:szCs w:val="22"/>
                <w:spacing w:val="-3"/>
              </w:rPr>
              <w:t>202</w:t>
            </w:r>
          </w:p>
        </w:tc>
        <w:tc>
          <w:tcPr>
            <w:tcW w:w="1318" w:type="dxa"/>
            <w:vAlign w:val="top"/>
          </w:tcPr>
          <w:p>
            <w:pPr>
              <w:pStyle w:val="TableText"/>
              <w:ind w:left="544"/>
              <w:spacing w:before="61" w:line="175" w:lineRule="auto"/>
              <w:rPr>
                <w:sz w:val="22"/>
                <w:szCs w:val="22"/>
              </w:rPr>
            </w:pPr>
            <w:r>
              <w:rPr>
                <w:sz w:val="22"/>
                <w:szCs w:val="22"/>
                <w:spacing w:val="-4"/>
              </w:rPr>
              <w:t>76</w:t>
            </w:r>
          </w:p>
        </w:tc>
        <w:tc>
          <w:tcPr>
            <w:tcW w:w="979" w:type="dxa"/>
            <w:vAlign w:val="top"/>
          </w:tcPr>
          <w:p>
            <w:pPr>
              <w:pStyle w:val="TableText"/>
              <w:ind w:left="376"/>
              <w:spacing w:before="61" w:line="175" w:lineRule="auto"/>
              <w:rPr>
                <w:sz w:val="22"/>
                <w:szCs w:val="22"/>
              </w:rPr>
            </w:pPr>
            <w:r>
              <w:rPr>
                <w:sz w:val="22"/>
                <w:szCs w:val="22"/>
                <w:spacing w:val="-3"/>
              </w:rPr>
              <w:t>27</w:t>
            </w:r>
          </w:p>
        </w:tc>
        <w:tc>
          <w:tcPr>
            <w:tcW w:w="1109" w:type="dxa"/>
            <w:vAlign w:val="top"/>
          </w:tcPr>
          <w:p>
            <w:pPr>
              <w:pStyle w:val="TableText"/>
              <w:ind w:left="437"/>
              <w:spacing w:before="61" w:line="175" w:lineRule="auto"/>
              <w:rPr>
                <w:sz w:val="22"/>
                <w:szCs w:val="22"/>
              </w:rPr>
            </w:pPr>
            <w:r>
              <w:rPr>
                <w:sz w:val="22"/>
                <w:szCs w:val="22"/>
                <w:color w:val="404050"/>
                <w:spacing w:val="-4"/>
              </w:rPr>
              <w:t>30</w:t>
            </w:r>
          </w:p>
        </w:tc>
        <w:tc>
          <w:tcPr>
            <w:tcW w:w="1123" w:type="dxa"/>
            <w:vAlign w:val="top"/>
          </w:tcPr>
          <w:p>
            <w:pPr>
              <w:pStyle w:val="TableText"/>
              <w:ind w:left="448"/>
              <w:spacing w:before="61" w:line="175" w:lineRule="auto"/>
              <w:rPr>
                <w:sz w:val="22"/>
                <w:szCs w:val="22"/>
              </w:rPr>
            </w:pPr>
            <w:r>
              <w:rPr>
                <w:sz w:val="22"/>
                <w:szCs w:val="22"/>
                <w:spacing w:val="-7"/>
              </w:rPr>
              <w:t>10</w:t>
            </w:r>
          </w:p>
        </w:tc>
      </w:tr>
      <w:tr>
        <w:trPr>
          <w:trHeight w:val="260" w:hRule="atLeast"/>
        </w:trPr>
        <w:tc>
          <w:tcPr>
            <w:tcW w:w="514" w:type="dxa"/>
            <w:vAlign w:val="top"/>
            <w:vMerge w:val="continue"/>
            <w:textDirection w:val="tbRlV"/>
            <w:tcBorders>
              <w:top w:val="nil"/>
            </w:tcBorders>
          </w:tcPr>
          <w:p>
            <w:pPr>
              <w:rPr>
                <w:rFonts w:ascii="Arial"/>
                <w:sz w:val="21"/>
              </w:rPr>
            </w:pPr>
            <w:r/>
          </w:p>
        </w:tc>
        <w:tc>
          <w:tcPr>
            <w:tcW w:w="1458" w:type="dxa"/>
            <w:vAlign w:val="top"/>
            <w:vMerge w:val="continue"/>
            <w:tcBorders>
              <w:top w:val="nil"/>
            </w:tcBorders>
          </w:tcPr>
          <w:p>
            <w:pPr>
              <w:rPr>
                <w:rFonts w:ascii="Arial"/>
                <w:sz w:val="21"/>
              </w:rPr>
            </w:pPr>
            <w:r/>
          </w:p>
        </w:tc>
        <w:tc>
          <w:tcPr>
            <w:tcW w:w="829" w:type="dxa"/>
            <w:vAlign w:val="top"/>
          </w:tcPr>
          <w:p>
            <w:pPr>
              <w:pStyle w:val="TableText"/>
              <w:ind w:left="72"/>
              <w:spacing w:before="28" w:line="186" w:lineRule="auto"/>
              <w:rPr>
                <w:sz w:val="22"/>
                <w:szCs w:val="22"/>
              </w:rPr>
            </w:pPr>
            <w:r>
              <w:rPr>
                <w:sz w:val="22"/>
                <w:szCs w:val="22"/>
                <w:spacing w:val="3"/>
              </w:rPr>
              <w:t>去除率</w:t>
            </w:r>
          </w:p>
        </w:tc>
        <w:tc>
          <w:tcPr>
            <w:tcW w:w="1169" w:type="dxa"/>
            <w:vAlign w:val="top"/>
          </w:tcPr>
          <w:p>
            <w:pPr>
              <w:pStyle w:val="TableText"/>
              <w:ind w:left="413"/>
              <w:spacing w:before="50" w:line="167" w:lineRule="auto"/>
              <w:rPr>
                <w:sz w:val="22"/>
                <w:szCs w:val="22"/>
              </w:rPr>
            </w:pPr>
            <w:r>
              <w:rPr>
                <w:sz w:val="22"/>
                <w:szCs w:val="22"/>
                <w:spacing w:val="-6"/>
              </w:rPr>
              <w:t>10%</w:t>
            </w:r>
          </w:p>
        </w:tc>
        <w:tc>
          <w:tcPr>
            <w:tcW w:w="1318" w:type="dxa"/>
            <w:vAlign w:val="top"/>
          </w:tcPr>
          <w:p>
            <w:pPr>
              <w:pStyle w:val="TableText"/>
              <w:ind w:left="484"/>
              <w:spacing w:before="50" w:line="167" w:lineRule="auto"/>
              <w:rPr>
                <w:sz w:val="22"/>
                <w:szCs w:val="22"/>
              </w:rPr>
            </w:pPr>
            <w:r>
              <w:rPr>
                <w:sz w:val="22"/>
                <w:szCs w:val="22"/>
                <w:spacing w:val="-6"/>
              </w:rPr>
              <w:t>10%</w:t>
            </w:r>
          </w:p>
        </w:tc>
        <w:tc>
          <w:tcPr>
            <w:tcW w:w="979" w:type="dxa"/>
            <w:vAlign w:val="top"/>
          </w:tcPr>
          <w:p>
            <w:pPr>
              <w:pStyle w:val="TableText"/>
              <w:ind w:left="316"/>
              <w:spacing w:before="50" w:line="167" w:lineRule="auto"/>
              <w:rPr>
                <w:sz w:val="22"/>
                <w:szCs w:val="22"/>
              </w:rPr>
            </w:pPr>
            <w:r>
              <w:rPr>
                <w:sz w:val="22"/>
                <w:szCs w:val="22"/>
                <w:spacing w:val="-4"/>
              </w:rPr>
              <w:t>70%</w:t>
            </w:r>
          </w:p>
        </w:tc>
        <w:tc>
          <w:tcPr>
            <w:tcW w:w="1109" w:type="dxa"/>
            <w:vAlign w:val="top"/>
          </w:tcPr>
          <w:p>
            <w:pPr>
              <w:pStyle w:val="TableText"/>
              <w:ind w:left="437"/>
              <w:spacing w:before="133" w:line="116" w:lineRule="exact"/>
              <w:rPr>
                <w:sz w:val="22"/>
                <w:szCs w:val="22"/>
              </w:rPr>
            </w:pPr>
            <w:r>
              <w:rPr>
                <w:sz w:val="22"/>
                <w:szCs w:val="22"/>
                <w:position w:val="-6"/>
              </w:rPr>
              <w:t>一</w:t>
            </w:r>
          </w:p>
        </w:tc>
        <w:tc>
          <w:tcPr>
            <w:tcW w:w="1123" w:type="dxa"/>
            <w:vAlign w:val="top"/>
          </w:tcPr>
          <w:p>
            <w:pPr>
              <w:pStyle w:val="TableText"/>
              <w:ind w:left="448"/>
              <w:spacing w:before="133" w:line="116" w:lineRule="exact"/>
              <w:rPr>
                <w:sz w:val="22"/>
                <w:szCs w:val="22"/>
              </w:rPr>
            </w:pPr>
            <w:r>
              <w:rPr>
                <w:sz w:val="22"/>
                <w:szCs w:val="22"/>
                <w:position w:val="-6"/>
              </w:rPr>
              <w:t>一</w:t>
            </w:r>
          </w:p>
        </w:tc>
      </w:tr>
      <w:tr>
        <w:trPr>
          <w:trHeight w:val="285" w:hRule="atLeast"/>
        </w:trPr>
        <w:tc>
          <w:tcPr>
            <w:tcW w:w="514" w:type="dxa"/>
            <w:vAlign w:val="top"/>
          </w:tcPr>
          <w:p>
            <w:pPr>
              <w:pStyle w:val="TableText"/>
              <w:ind w:left="194"/>
              <w:spacing w:before="60" w:line="180" w:lineRule="auto"/>
              <w:rPr>
                <w:sz w:val="22"/>
                <w:szCs w:val="22"/>
              </w:rPr>
            </w:pPr>
            <w:r>
              <w:rPr>
                <w:sz w:val="22"/>
                <w:szCs w:val="22"/>
                <w:color w:val="505050"/>
              </w:rPr>
              <w:t>9</w:t>
            </w:r>
          </w:p>
        </w:tc>
        <w:tc>
          <w:tcPr>
            <w:tcW w:w="2287" w:type="dxa"/>
            <w:vAlign w:val="top"/>
            <w:gridSpan w:val="2"/>
          </w:tcPr>
          <w:p>
            <w:pPr>
              <w:pStyle w:val="TableText"/>
              <w:ind w:left="720"/>
              <w:spacing w:before="39" w:line="198" w:lineRule="auto"/>
              <w:rPr>
                <w:sz w:val="22"/>
                <w:szCs w:val="22"/>
              </w:rPr>
            </w:pPr>
            <w:r>
              <w:rPr>
                <w:sz w:val="22"/>
                <w:szCs w:val="22"/>
                <w:spacing w:val="2"/>
              </w:rPr>
              <w:t>出水要求</w:t>
            </w:r>
          </w:p>
        </w:tc>
        <w:tc>
          <w:tcPr>
            <w:tcW w:w="1169" w:type="dxa"/>
            <w:vAlign w:val="top"/>
          </w:tcPr>
          <w:p>
            <w:pPr>
              <w:pStyle w:val="TableText"/>
              <w:ind w:left="303"/>
              <w:spacing w:before="58" w:line="182" w:lineRule="auto"/>
              <w:rPr>
                <w:sz w:val="22"/>
                <w:szCs w:val="22"/>
              </w:rPr>
            </w:pPr>
            <w:r>
              <w:rPr>
                <w:sz w:val="22"/>
                <w:szCs w:val="22"/>
                <w:spacing w:val="-5"/>
              </w:rPr>
              <w:t>≤500</w:t>
            </w:r>
          </w:p>
        </w:tc>
        <w:tc>
          <w:tcPr>
            <w:tcW w:w="1318" w:type="dxa"/>
            <w:vAlign w:val="top"/>
          </w:tcPr>
          <w:p>
            <w:pPr>
              <w:pStyle w:val="TableText"/>
              <w:ind w:left="375"/>
              <w:spacing w:before="58" w:line="182" w:lineRule="auto"/>
              <w:rPr>
                <w:sz w:val="22"/>
                <w:szCs w:val="22"/>
              </w:rPr>
            </w:pPr>
            <w:r>
              <w:rPr>
                <w:sz w:val="22"/>
                <w:szCs w:val="22"/>
                <w:spacing w:val="-5"/>
              </w:rPr>
              <w:t>≤250</w:t>
            </w:r>
          </w:p>
        </w:tc>
        <w:tc>
          <w:tcPr>
            <w:tcW w:w="979" w:type="dxa"/>
            <w:vAlign w:val="top"/>
          </w:tcPr>
          <w:p>
            <w:pPr>
              <w:pStyle w:val="TableText"/>
              <w:ind w:left="206"/>
              <w:spacing w:before="58" w:line="182" w:lineRule="auto"/>
              <w:rPr>
                <w:sz w:val="22"/>
                <w:szCs w:val="22"/>
              </w:rPr>
            </w:pPr>
            <w:r>
              <w:rPr>
                <w:sz w:val="22"/>
                <w:szCs w:val="22"/>
                <w:spacing w:val="-5"/>
              </w:rPr>
              <w:t>≤300</w:t>
            </w:r>
          </w:p>
        </w:tc>
        <w:tc>
          <w:tcPr>
            <w:tcW w:w="1109" w:type="dxa"/>
            <w:vAlign w:val="top"/>
          </w:tcPr>
          <w:p>
            <w:pPr>
              <w:pStyle w:val="TableText"/>
              <w:ind w:left="327"/>
              <w:spacing w:before="58" w:line="182" w:lineRule="auto"/>
              <w:rPr>
                <w:sz w:val="22"/>
                <w:szCs w:val="22"/>
              </w:rPr>
            </w:pPr>
            <w:r>
              <w:rPr>
                <w:sz w:val="22"/>
                <w:szCs w:val="22"/>
                <w:spacing w:val="-6"/>
              </w:rPr>
              <w:t>≤45</w:t>
            </w:r>
          </w:p>
        </w:tc>
        <w:tc>
          <w:tcPr>
            <w:tcW w:w="1123" w:type="dxa"/>
            <w:vAlign w:val="top"/>
          </w:tcPr>
          <w:p>
            <w:pPr>
              <w:pStyle w:val="TableText"/>
              <w:ind w:left="338"/>
              <w:spacing w:before="58" w:line="182" w:lineRule="auto"/>
              <w:rPr>
                <w:sz w:val="22"/>
                <w:szCs w:val="22"/>
              </w:rPr>
            </w:pPr>
            <w:r>
              <w:rPr>
                <w:sz w:val="22"/>
                <w:szCs w:val="22"/>
                <w:spacing w:val="-6"/>
              </w:rPr>
              <w:t>≤50</w:t>
            </w:r>
          </w:p>
        </w:tc>
      </w:tr>
    </w:tbl>
    <w:p>
      <w:pPr>
        <w:ind w:left="84" w:right="114" w:firstLine="500"/>
        <w:spacing w:before="55" w:line="380" w:lineRule="auto"/>
        <w:rPr>
          <w:rFonts w:ascii="SimSun" w:hAnsi="SimSun" w:eastAsia="SimSun" w:cs="SimSun"/>
          <w:sz w:val="23"/>
          <w:szCs w:val="23"/>
        </w:rPr>
      </w:pPr>
      <w:r>
        <w:rPr>
          <w:rFonts w:ascii="SimSun" w:hAnsi="SimSun" w:eastAsia="SimSun" w:cs="SimSun"/>
          <w:sz w:val="24"/>
          <w:szCs w:val="24"/>
        </w:rPr>
        <w:t>综上所述，本项目厂区自建污水处理站处理采用“格栅+调节+气浮+厌氧接</w:t>
      </w:r>
      <w:r>
        <w:rPr>
          <w:rFonts w:ascii="SimSun" w:hAnsi="SimSun" w:eastAsia="SimSun" w:cs="SimSun"/>
          <w:sz w:val="24"/>
          <w:szCs w:val="24"/>
          <w:spacing w:val="8"/>
        </w:rPr>
        <w:t xml:space="preserve"> </w:t>
      </w:r>
      <w:r>
        <w:rPr>
          <w:rFonts w:ascii="SimSun" w:hAnsi="SimSun" w:eastAsia="SimSun" w:cs="SimSun"/>
          <w:sz w:val="23"/>
          <w:szCs w:val="23"/>
          <w:spacing w:val="10"/>
        </w:rPr>
        <w:t>触池+</w:t>
      </w:r>
      <w:r>
        <w:rPr>
          <w:rFonts w:ascii="Times New Roman" w:hAnsi="Times New Roman" w:eastAsia="Times New Roman" w:cs="Times New Roman"/>
          <w:sz w:val="23"/>
          <w:szCs w:val="23"/>
        </w:rPr>
        <w:t>AOAO</w:t>
      </w:r>
      <w:r>
        <w:rPr>
          <w:rFonts w:ascii="Times New Roman" w:hAnsi="Times New Roman" w:eastAsia="Times New Roman" w:cs="Times New Roman"/>
          <w:sz w:val="23"/>
          <w:szCs w:val="23"/>
          <w:spacing w:val="10"/>
        </w:rPr>
        <w:t>+</w:t>
      </w:r>
      <w:r>
        <w:rPr>
          <w:rFonts w:ascii="Times New Roman" w:hAnsi="Times New Roman" w:eastAsia="Times New Roman" w:cs="Times New Roman"/>
          <w:sz w:val="23"/>
          <w:szCs w:val="23"/>
          <w:spacing w:val="-3"/>
        </w:rPr>
        <w:t xml:space="preserve"> </w:t>
      </w:r>
      <w:r>
        <w:rPr>
          <w:rFonts w:ascii="SimSun" w:hAnsi="SimSun" w:eastAsia="SimSun" w:cs="SimSun"/>
          <w:sz w:val="23"/>
          <w:szCs w:val="23"/>
          <w:spacing w:val="10"/>
        </w:rPr>
        <w:t>沉淀+消毒”处理工艺，属于《屠宰及肉类加工业污染防治可行技</w:t>
      </w:r>
    </w:p>
    <w:p>
      <w:pPr>
        <w:spacing w:line="380" w:lineRule="auto"/>
        <w:sectPr>
          <w:headerReference w:type="default" r:id="rId193"/>
          <w:footerReference w:type="default" r:id="rId291"/>
          <w:pgSz w:w="11910" w:h="16840"/>
          <w:pgMar w:top="1207" w:right="1725" w:bottom="962" w:left="1675" w:header="915" w:footer="777" w:gutter="0"/>
        </w:sectPr>
        <w:rPr>
          <w:rFonts w:ascii="SimSun" w:hAnsi="SimSun" w:eastAsia="SimSun" w:cs="SimSun"/>
          <w:sz w:val="23"/>
          <w:szCs w:val="23"/>
        </w:rPr>
      </w:pPr>
    </w:p>
    <w:p>
      <w:pPr>
        <w:ind w:left="185" w:right="192" w:firstLine="29"/>
        <w:spacing w:before="255" w:line="360" w:lineRule="auto"/>
        <w:jc w:val="both"/>
        <w:rPr>
          <w:rFonts w:ascii="SimSun" w:hAnsi="SimSun" w:eastAsia="SimSun" w:cs="SimSun"/>
          <w:sz w:val="24"/>
          <w:szCs w:val="24"/>
        </w:rPr>
      </w:pPr>
      <w:r>
        <w:rPr>
          <w:rFonts w:ascii="SimSun" w:hAnsi="SimSun" w:eastAsia="SimSun" w:cs="SimSun"/>
          <w:sz w:val="24"/>
          <w:szCs w:val="24"/>
          <w:spacing w:val="8"/>
        </w:rPr>
        <w:t>术指南》 </w:t>
      </w:r>
      <w:r>
        <w:rPr>
          <w:rFonts w:ascii="Times New Roman" w:hAnsi="Times New Roman" w:eastAsia="Times New Roman" w:cs="Times New Roman"/>
          <w:sz w:val="24"/>
          <w:szCs w:val="24"/>
          <w:spacing w:val="8"/>
        </w:rPr>
        <w:t>(</w:t>
      </w:r>
      <w:r>
        <w:rPr>
          <w:rFonts w:ascii="Times New Roman" w:hAnsi="Times New Roman" w:eastAsia="Times New Roman" w:cs="Times New Roman"/>
          <w:sz w:val="24"/>
          <w:szCs w:val="24"/>
        </w:rPr>
        <w:t>HJ</w:t>
      </w:r>
      <w:r>
        <w:rPr>
          <w:rFonts w:ascii="Times New Roman" w:hAnsi="Times New Roman" w:eastAsia="Times New Roman" w:cs="Times New Roman"/>
          <w:sz w:val="24"/>
          <w:szCs w:val="24"/>
          <w:spacing w:val="8"/>
        </w:rPr>
        <w:t>1285-2023)      </w:t>
      </w:r>
      <w:r>
        <w:rPr>
          <w:rFonts w:ascii="SimSun" w:hAnsi="SimSun" w:eastAsia="SimSun" w:cs="SimSun"/>
          <w:sz w:val="24"/>
          <w:szCs w:val="24"/>
          <w:spacing w:val="8"/>
        </w:rPr>
        <w:t>“表1屠宰废水污染防治可行技术”中可行技术3</w:t>
      </w:r>
      <w:r>
        <w:rPr>
          <w:rFonts w:ascii="SimSun" w:hAnsi="SimSun" w:eastAsia="SimSun" w:cs="SimSun"/>
          <w:sz w:val="24"/>
          <w:szCs w:val="24"/>
          <w:spacing w:val="5"/>
        </w:rPr>
        <w:t xml:space="preserve"> </w:t>
      </w:r>
      <w:r>
        <w:rPr>
          <w:rFonts w:ascii="SimSun" w:hAnsi="SimSun" w:eastAsia="SimSun" w:cs="SimSun"/>
          <w:sz w:val="24"/>
          <w:szCs w:val="24"/>
          <w:spacing w:val="25"/>
        </w:rPr>
        <w:t>“①预处理技术(格栅+气浮)+②厌氧技术(水解酸化)+③好氧技术(生物</w:t>
      </w:r>
      <w:r>
        <w:rPr>
          <w:rFonts w:ascii="SimSun" w:hAnsi="SimSun" w:eastAsia="SimSun" w:cs="SimSun"/>
          <w:sz w:val="24"/>
          <w:szCs w:val="24"/>
          <w:spacing w:val="16"/>
        </w:rPr>
        <w:t xml:space="preserve"> </w:t>
      </w:r>
      <w:r>
        <w:rPr>
          <w:rFonts w:ascii="SimSun" w:hAnsi="SimSun" w:eastAsia="SimSun" w:cs="SimSun"/>
          <w:sz w:val="24"/>
          <w:szCs w:val="24"/>
          <w:spacing w:val="18"/>
        </w:rPr>
        <w:t>接触氣化)+①深度处理技术(消毒)”。</w:t>
      </w:r>
    </w:p>
    <w:p>
      <w:pPr>
        <w:ind w:left="818"/>
        <w:spacing w:line="220" w:lineRule="auto"/>
        <w:rPr>
          <w:rFonts w:ascii="SimSun" w:hAnsi="SimSun" w:eastAsia="SimSun" w:cs="SimSun"/>
          <w:sz w:val="24"/>
          <w:szCs w:val="24"/>
        </w:rPr>
      </w:pPr>
      <w:r>
        <w:rPr>
          <w:rFonts w:ascii="SimSun" w:hAnsi="SimSun" w:eastAsia="SimSun" w:cs="SimSun"/>
          <w:sz w:val="24"/>
          <w:szCs w:val="24"/>
          <w:b/>
          <w:bCs/>
          <w:spacing w:val="2"/>
        </w:rPr>
        <w:t>(2</w:t>
      </w:r>
      <w:r>
        <w:rPr>
          <w:rFonts w:ascii="SimSun" w:hAnsi="SimSun" w:eastAsia="SimSun" w:cs="SimSun"/>
          <w:sz w:val="24"/>
          <w:szCs w:val="24"/>
          <w:spacing w:val="-52"/>
        </w:rPr>
        <w:t xml:space="preserve"> </w:t>
      </w:r>
      <w:r>
        <w:rPr>
          <w:rFonts w:ascii="SimSun" w:hAnsi="SimSun" w:eastAsia="SimSun" w:cs="SimSun"/>
          <w:sz w:val="24"/>
          <w:szCs w:val="24"/>
          <w:b/>
          <w:bCs/>
          <w:spacing w:val="2"/>
        </w:rPr>
        <w:t>)处置措施可行性分析</w:t>
      </w:r>
    </w:p>
    <w:p>
      <w:pPr>
        <w:ind w:left="698"/>
        <w:spacing w:before="171" w:line="219" w:lineRule="auto"/>
        <w:rPr>
          <w:rFonts w:ascii="SimSun" w:hAnsi="SimSun" w:eastAsia="SimSun" w:cs="SimSun"/>
          <w:sz w:val="24"/>
          <w:szCs w:val="24"/>
        </w:rPr>
      </w:pPr>
      <w:r>
        <w:rPr>
          <w:rFonts w:ascii="SimSun" w:hAnsi="SimSun" w:eastAsia="SimSun" w:cs="SimSun"/>
          <w:sz w:val="24"/>
          <w:szCs w:val="24"/>
          <w:b/>
          <w:bCs/>
          <w:spacing w:val="16"/>
        </w:rPr>
        <w:t>1)屠宰淡季</w:t>
      </w:r>
    </w:p>
    <w:p>
      <w:pPr>
        <w:ind w:left="214" w:right="188" w:firstLine="480"/>
        <w:spacing w:before="214" w:line="354" w:lineRule="auto"/>
        <w:jc w:val="both"/>
        <w:rPr>
          <w:rFonts w:ascii="SimSun" w:hAnsi="SimSun" w:eastAsia="SimSun" w:cs="SimSun"/>
          <w:sz w:val="24"/>
          <w:szCs w:val="24"/>
        </w:rPr>
      </w:pPr>
      <w:r>
        <w:rPr>
          <w:rFonts w:ascii="SimSun" w:hAnsi="SimSun" w:eastAsia="SimSun" w:cs="SimSun"/>
          <w:sz w:val="24"/>
          <w:szCs w:val="24"/>
          <w:spacing w:val="4"/>
        </w:rPr>
        <w:t>项目淡季废水量约666m³/d&lt;污水处理站设计处理量1100m³/d,</w:t>
      </w:r>
      <w:r>
        <w:rPr>
          <w:rFonts w:ascii="SimSun" w:hAnsi="SimSun" w:eastAsia="SimSun" w:cs="SimSun"/>
          <w:sz w:val="24"/>
          <w:szCs w:val="24"/>
          <w:spacing w:val="-18"/>
        </w:rPr>
        <w:t xml:space="preserve"> </w:t>
      </w:r>
      <w:r>
        <w:rPr>
          <w:rFonts w:ascii="SimSun" w:hAnsi="SimSun" w:eastAsia="SimSun" w:cs="SimSun"/>
          <w:sz w:val="24"/>
          <w:szCs w:val="24"/>
          <w:spacing w:val="4"/>
        </w:rPr>
        <w:t>污水处理站</w:t>
      </w:r>
      <w:r>
        <w:rPr>
          <w:rFonts w:ascii="SimSun" w:hAnsi="SimSun" w:eastAsia="SimSun" w:cs="SimSun"/>
          <w:sz w:val="24"/>
          <w:szCs w:val="24"/>
        </w:rPr>
        <w:t xml:space="preserve"> </w:t>
      </w:r>
      <w:r>
        <w:rPr>
          <w:rFonts w:ascii="SimSun" w:hAnsi="SimSun" w:eastAsia="SimSun" w:cs="SimSun"/>
          <w:sz w:val="24"/>
          <w:szCs w:val="24"/>
          <w:spacing w:val="4"/>
        </w:rPr>
        <w:t>处理工艺为《排污许可证申请与核发技术规范农副食品加工工业屠宰及肉类加</w:t>
      </w:r>
      <w:r>
        <w:rPr>
          <w:rFonts w:ascii="SimSun" w:hAnsi="SimSun" w:eastAsia="SimSun" w:cs="SimSun"/>
          <w:sz w:val="24"/>
          <w:szCs w:val="24"/>
          <w:spacing w:val="11"/>
        </w:rPr>
        <w:t xml:space="preserve"> </w:t>
      </w:r>
      <w:r>
        <w:rPr>
          <w:rFonts w:ascii="SimSun" w:hAnsi="SimSun" w:eastAsia="SimSun" w:cs="SimSun"/>
          <w:sz w:val="24"/>
          <w:szCs w:val="24"/>
          <w:spacing w:val="4"/>
        </w:rPr>
        <w:t>工工业》 </w:t>
      </w:r>
      <w:r>
        <w:rPr>
          <w:rFonts w:ascii="Times New Roman" w:hAnsi="Times New Roman" w:eastAsia="Times New Roman" w:cs="Times New Roman"/>
          <w:sz w:val="24"/>
          <w:szCs w:val="24"/>
          <w:spacing w:val="4"/>
        </w:rPr>
        <w:t>(</w:t>
      </w:r>
      <w:r>
        <w:rPr>
          <w:rFonts w:ascii="Times New Roman" w:hAnsi="Times New Roman" w:eastAsia="Times New Roman" w:cs="Times New Roman"/>
          <w:sz w:val="24"/>
          <w:szCs w:val="24"/>
        </w:rPr>
        <w:t>HJ</w:t>
      </w:r>
      <w:r>
        <w:rPr>
          <w:rFonts w:ascii="Times New Roman" w:hAnsi="Times New Roman" w:eastAsia="Times New Roman" w:cs="Times New Roman"/>
          <w:sz w:val="24"/>
          <w:szCs w:val="24"/>
          <w:spacing w:val="4"/>
        </w:rPr>
        <w:t>860.3-2018)    </w:t>
      </w:r>
      <w:r>
        <w:rPr>
          <w:rFonts w:ascii="SimSun" w:hAnsi="SimSun" w:eastAsia="SimSun" w:cs="SimSun"/>
          <w:sz w:val="24"/>
          <w:szCs w:val="24"/>
          <w:spacing w:val="4"/>
        </w:rPr>
        <w:t>中可行的处理技术工艺，因此本项目生产废水进入</w:t>
      </w:r>
      <w:r>
        <w:rPr>
          <w:rFonts w:ascii="SimSun" w:hAnsi="SimSun" w:eastAsia="SimSun" w:cs="SimSun"/>
          <w:sz w:val="24"/>
          <w:szCs w:val="24"/>
          <w:spacing w:val="1"/>
        </w:rPr>
        <w:t xml:space="preserve"> </w:t>
      </w:r>
      <w:r>
        <w:rPr>
          <w:rFonts w:ascii="SimSun" w:hAnsi="SimSun" w:eastAsia="SimSun" w:cs="SimSun"/>
          <w:sz w:val="24"/>
          <w:szCs w:val="24"/>
          <w:spacing w:val="-3"/>
        </w:rPr>
        <w:t>污水处理站处置后可实现达标排放。</w:t>
      </w:r>
    </w:p>
    <w:p>
      <w:pPr>
        <w:ind w:left="698"/>
        <w:spacing w:before="1" w:line="219" w:lineRule="auto"/>
        <w:rPr>
          <w:rFonts w:ascii="SimSun" w:hAnsi="SimSun" w:eastAsia="SimSun" w:cs="SimSun"/>
          <w:sz w:val="24"/>
          <w:szCs w:val="24"/>
        </w:rPr>
      </w:pPr>
      <w:r>
        <w:rPr>
          <w:rFonts w:ascii="SimSun" w:hAnsi="SimSun" w:eastAsia="SimSun" w:cs="SimSun"/>
          <w:sz w:val="24"/>
          <w:szCs w:val="24"/>
          <w:b/>
          <w:bCs/>
          <w:spacing w:val="19"/>
        </w:rPr>
        <w:t>2)屠宰旺季</w:t>
      </w:r>
    </w:p>
    <w:p>
      <w:pPr>
        <w:ind w:left="214" w:right="188" w:firstLine="480"/>
        <w:spacing w:before="194" w:line="356" w:lineRule="auto"/>
        <w:jc w:val="both"/>
        <w:rPr>
          <w:rFonts w:ascii="SimSun" w:hAnsi="SimSun" w:eastAsia="SimSun" w:cs="SimSun"/>
          <w:sz w:val="24"/>
          <w:szCs w:val="24"/>
        </w:rPr>
      </w:pPr>
      <w:r>
        <w:rPr>
          <w:rFonts w:ascii="SimSun" w:hAnsi="SimSun" w:eastAsia="SimSun" w:cs="SimSun"/>
          <w:sz w:val="24"/>
          <w:szCs w:val="24"/>
        </w:rPr>
        <w:t>项目旺季废水量约946.5</w:t>
      </w:r>
      <w:r>
        <w:rPr>
          <w:rFonts w:ascii="Times New Roman" w:hAnsi="Times New Roman" w:eastAsia="Times New Roman" w:cs="Times New Roman"/>
          <w:sz w:val="24"/>
          <w:szCs w:val="24"/>
        </w:rPr>
        <w:t>m³/d</w:t>
      </w:r>
      <w:r>
        <w:rPr>
          <w:rFonts w:ascii="SimSun" w:hAnsi="SimSun" w:eastAsia="SimSun" w:cs="SimSun"/>
          <w:sz w:val="24"/>
          <w:szCs w:val="24"/>
        </w:rPr>
        <w:t>&lt;污水处理站设计处</w:t>
      </w:r>
      <w:r>
        <w:rPr>
          <w:rFonts w:ascii="SimSun" w:hAnsi="SimSun" w:eastAsia="SimSun" w:cs="SimSun"/>
          <w:sz w:val="24"/>
          <w:szCs w:val="24"/>
          <w:spacing w:val="-1"/>
        </w:rPr>
        <w:t>理量1100</w:t>
      </w:r>
      <w:r>
        <w:rPr>
          <w:rFonts w:ascii="Times New Roman" w:hAnsi="Times New Roman" w:eastAsia="Times New Roman" w:cs="Times New Roman"/>
          <w:sz w:val="24"/>
          <w:szCs w:val="24"/>
          <w:spacing w:val="-1"/>
        </w:rPr>
        <w:t>m³/d,</w:t>
      </w:r>
      <w:r>
        <w:rPr>
          <w:rFonts w:ascii="Times New Roman" w:hAnsi="Times New Roman" w:eastAsia="Times New Roman" w:cs="Times New Roman"/>
          <w:sz w:val="24"/>
          <w:szCs w:val="24"/>
          <w:spacing w:val="23"/>
          <w:w w:val="101"/>
        </w:rPr>
        <w:t xml:space="preserve">  </w:t>
      </w:r>
      <w:r>
        <w:rPr>
          <w:rFonts w:ascii="SimSun" w:hAnsi="SimSun" w:eastAsia="SimSun" w:cs="SimSun"/>
          <w:sz w:val="24"/>
          <w:szCs w:val="24"/>
          <w:spacing w:val="-1"/>
        </w:rPr>
        <w:t>污水处理站</w:t>
      </w:r>
      <w:r>
        <w:rPr>
          <w:rFonts w:ascii="SimSun" w:hAnsi="SimSun" w:eastAsia="SimSun" w:cs="SimSun"/>
          <w:sz w:val="24"/>
          <w:szCs w:val="24"/>
        </w:rPr>
        <w:t xml:space="preserve"> </w:t>
      </w:r>
      <w:r>
        <w:rPr>
          <w:rFonts w:ascii="SimSun" w:hAnsi="SimSun" w:eastAsia="SimSun" w:cs="SimSun"/>
          <w:sz w:val="24"/>
          <w:szCs w:val="24"/>
          <w:spacing w:val="4"/>
        </w:rPr>
        <w:t>处理工艺为《排污许可证申请与核发技术规范农副食品加工工业屠宰及肉类加</w:t>
      </w:r>
      <w:r>
        <w:rPr>
          <w:rFonts w:ascii="SimSun" w:hAnsi="SimSun" w:eastAsia="SimSun" w:cs="SimSun"/>
          <w:sz w:val="24"/>
          <w:szCs w:val="24"/>
          <w:spacing w:val="11"/>
        </w:rPr>
        <w:t xml:space="preserve"> </w:t>
      </w:r>
      <w:r>
        <w:rPr>
          <w:rFonts w:ascii="SimSun" w:hAnsi="SimSun" w:eastAsia="SimSun" w:cs="SimSun"/>
          <w:sz w:val="24"/>
          <w:szCs w:val="24"/>
          <w:spacing w:val="4"/>
        </w:rPr>
        <w:t>工工业》 </w:t>
      </w:r>
      <w:r>
        <w:rPr>
          <w:rFonts w:ascii="Times New Roman" w:hAnsi="Times New Roman" w:eastAsia="Times New Roman" w:cs="Times New Roman"/>
          <w:sz w:val="24"/>
          <w:szCs w:val="24"/>
          <w:spacing w:val="4"/>
        </w:rPr>
        <w:t>(</w:t>
      </w:r>
      <w:r>
        <w:rPr>
          <w:rFonts w:ascii="Times New Roman" w:hAnsi="Times New Roman" w:eastAsia="Times New Roman" w:cs="Times New Roman"/>
          <w:sz w:val="24"/>
          <w:szCs w:val="24"/>
        </w:rPr>
        <w:t>HJ</w:t>
      </w:r>
      <w:r>
        <w:rPr>
          <w:rFonts w:ascii="Times New Roman" w:hAnsi="Times New Roman" w:eastAsia="Times New Roman" w:cs="Times New Roman"/>
          <w:sz w:val="24"/>
          <w:szCs w:val="24"/>
          <w:spacing w:val="4"/>
        </w:rPr>
        <w:t>860.3-2018)    </w:t>
      </w:r>
      <w:r>
        <w:rPr>
          <w:rFonts w:ascii="SimSun" w:hAnsi="SimSun" w:eastAsia="SimSun" w:cs="SimSun"/>
          <w:sz w:val="24"/>
          <w:szCs w:val="24"/>
          <w:spacing w:val="4"/>
        </w:rPr>
        <w:t>中可行的处理技术工艺，因此本项目生产废水进入</w:t>
      </w:r>
      <w:r>
        <w:rPr>
          <w:rFonts w:ascii="SimSun" w:hAnsi="SimSun" w:eastAsia="SimSun" w:cs="SimSun"/>
          <w:sz w:val="24"/>
          <w:szCs w:val="24"/>
        </w:rPr>
        <w:t xml:space="preserve"> </w:t>
      </w:r>
      <w:r>
        <w:rPr>
          <w:rFonts w:ascii="SimSun" w:hAnsi="SimSun" w:eastAsia="SimSun" w:cs="SimSun"/>
          <w:sz w:val="24"/>
          <w:szCs w:val="24"/>
          <w:spacing w:val="-3"/>
        </w:rPr>
        <w:t>污水处理站处置后可实现达标排放。</w:t>
      </w:r>
    </w:p>
    <w:p>
      <w:pPr>
        <w:ind w:left="698"/>
        <w:spacing w:before="1" w:line="220" w:lineRule="auto"/>
        <w:rPr>
          <w:rFonts w:ascii="SimSun" w:hAnsi="SimSun" w:eastAsia="SimSun" w:cs="SimSun"/>
          <w:sz w:val="24"/>
          <w:szCs w:val="24"/>
        </w:rPr>
      </w:pPr>
      <w:r>
        <w:rPr>
          <w:rFonts w:ascii="SimSun" w:hAnsi="SimSun" w:eastAsia="SimSun" w:cs="SimSun"/>
          <w:sz w:val="24"/>
          <w:szCs w:val="24"/>
          <w:b/>
          <w:bCs/>
          <w:spacing w:val="-1"/>
        </w:rPr>
        <w:t>3、排放情况</w:t>
      </w:r>
    </w:p>
    <w:p>
      <w:pPr>
        <w:ind w:left="695"/>
        <w:spacing w:before="235" w:line="219" w:lineRule="auto"/>
        <w:rPr>
          <w:rFonts w:ascii="SimSun" w:hAnsi="SimSun" w:eastAsia="SimSun" w:cs="SimSun"/>
          <w:sz w:val="24"/>
          <w:szCs w:val="24"/>
        </w:rPr>
      </w:pPr>
      <w:r>
        <w:rPr>
          <w:rFonts w:ascii="SimSun" w:hAnsi="SimSun" w:eastAsia="SimSun" w:cs="SimSun"/>
          <w:sz w:val="24"/>
          <w:szCs w:val="24"/>
          <w:spacing w:val="-1"/>
        </w:rPr>
        <w:t>本项目污水处理设施对水污染物的去除率及排放情况见下表。</w:t>
      </w:r>
    </w:p>
    <w:p>
      <w:pPr>
        <w:ind w:left="1228"/>
        <w:spacing w:before="134" w:line="219" w:lineRule="auto"/>
        <w:rPr>
          <w:rFonts w:ascii="SimSun" w:hAnsi="SimSun" w:eastAsia="SimSun" w:cs="SimSun"/>
          <w:sz w:val="24"/>
          <w:szCs w:val="24"/>
        </w:rPr>
      </w:pPr>
      <w:r>
        <w:rPr>
          <w:rFonts w:ascii="SimSun" w:hAnsi="SimSun" w:eastAsia="SimSun" w:cs="SimSun"/>
          <w:sz w:val="24"/>
          <w:szCs w:val="24"/>
          <w:b/>
          <w:bCs/>
          <w:spacing w:val="-3"/>
        </w:rPr>
        <w:t>表3.11-10项目废水主要污染物产生、处理和排放情况统计表</w:t>
      </w:r>
    </w:p>
    <w:p>
      <w:pPr>
        <w:spacing w:line="144" w:lineRule="auto"/>
        <w:rPr>
          <w:rFonts w:ascii="Arial"/>
          <w:sz w:val="2"/>
        </w:rPr>
      </w:pPr>
      <w:r>
        <w:rPr>
          <w:rFonts w:ascii="Arial"/>
          <w:sz w:val="2"/>
        </w:rPr>
      </w:r>
    </w:p>
    <w:tbl>
      <w:tblPr>
        <w:tblStyle w:val="TableNormal"/>
        <w:tblW w:w="8702"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84"/>
        <w:gridCol w:w="280"/>
        <w:gridCol w:w="769"/>
        <w:gridCol w:w="260"/>
        <w:gridCol w:w="1299"/>
        <w:gridCol w:w="919"/>
        <w:gridCol w:w="739"/>
        <w:gridCol w:w="769"/>
        <w:gridCol w:w="759"/>
        <w:gridCol w:w="789"/>
        <w:gridCol w:w="659"/>
        <w:gridCol w:w="776"/>
      </w:tblGrid>
      <w:tr>
        <w:trPr>
          <w:trHeight w:val="265" w:hRule="atLeast"/>
        </w:trPr>
        <w:tc>
          <w:tcPr>
            <w:shd w:val="clear" w:fill="BEBEBE"/>
            <w:tcW w:w="684" w:type="dxa"/>
            <w:vAlign w:val="top"/>
            <w:vMerge w:val="restart"/>
            <w:tcBorders>
              <w:bottom w:val="nil"/>
            </w:tcBorders>
          </w:tcPr>
          <w:p>
            <w:pPr>
              <w:pStyle w:val="TableText"/>
              <w:ind w:left="37"/>
              <w:spacing w:before="171" w:line="220" w:lineRule="auto"/>
              <w:rPr>
                <w:sz w:val="20"/>
                <w:szCs w:val="20"/>
              </w:rPr>
            </w:pPr>
            <w:r>
              <w:rPr>
                <w:sz w:val="20"/>
                <w:szCs w:val="20"/>
                <w:b/>
                <w:bCs/>
                <w:spacing w:val="-5"/>
              </w:rPr>
              <w:t>污染源</w:t>
            </w:r>
          </w:p>
        </w:tc>
        <w:tc>
          <w:tcPr>
            <w:shd w:val="clear" w:fill="BDBDBD"/>
            <w:tcW w:w="1049" w:type="dxa"/>
            <w:vAlign w:val="top"/>
            <w:gridSpan w:val="2"/>
            <w:vMerge w:val="restart"/>
            <w:tcBorders>
              <w:bottom w:val="nil"/>
            </w:tcBorders>
          </w:tcPr>
          <w:p>
            <w:pPr>
              <w:pStyle w:val="TableText"/>
              <w:ind w:left="213"/>
              <w:spacing w:before="31" w:line="221" w:lineRule="auto"/>
              <w:rPr>
                <w:sz w:val="20"/>
                <w:szCs w:val="20"/>
              </w:rPr>
            </w:pPr>
            <w:r>
              <w:rPr>
                <w:sz w:val="20"/>
                <w:szCs w:val="20"/>
                <w:b/>
                <w:bCs/>
                <w:spacing w:val="-4"/>
              </w:rPr>
              <w:t>排放量</w:t>
            </w:r>
          </w:p>
          <w:p>
            <w:pPr>
              <w:pStyle w:val="TableText"/>
              <w:ind w:left="163"/>
              <w:spacing w:before="32" w:line="213" w:lineRule="auto"/>
              <w:rPr>
                <w:sz w:val="20"/>
                <w:szCs w:val="20"/>
              </w:rPr>
            </w:pPr>
            <w:r>
              <w:rPr>
                <w:sz w:val="20"/>
                <w:szCs w:val="20"/>
                <w:b/>
                <w:bCs/>
                <w:spacing w:val="-9"/>
              </w:rPr>
              <w:t>(m³/a)</w:t>
            </w:r>
          </w:p>
        </w:tc>
        <w:tc>
          <w:tcPr>
            <w:shd w:val="clear" w:fill="BDBDBD"/>
            <w:tcW w:w="1559" w:type="dxa"/>
            <w:vAlign w:val="top"/>
            <w:gridSpan w:val="2"/>
            <w:vMerge w:val="restart"/>
            <w:tcBorders>
              <w:bottom w:val="nil"/>
            </w:tcBorders>
          </w:tcPr>
          <w:p>
            <w:pPr>
              <w:pStyle w:val="TableText"/>
              <w:ind w:left="354"/>
              <w:spacing w:before="171" w:line="220" w:lineRule="auto"/>
              <w:rPr>
                <w:sz w:val="20"/>
                <w:szCs w:val="20"/>
              </w:rPr>
            </w:pPr>
            <w:r>
              <w:rPr>
                <w:sz w:val="20"/>
                <w:szCs w:val="20"/>
                <w:b/>
                <w:bCs/>
                <w:spacing w:val="-5"/>
              </w:rPr>
              <w:t>处理情况</w:t>
            </w:r>
          </w:p>
        </w:tc>
        <w:tc>
          <w:tcPr>
            <w:shd w:val="clear" w:fill="BDBDBD"/>
            <w:tcW w:w="5410" w:type="dxa"/>
            <w:vAlign w:val="top"/>
            <w:gridSpan w:val="7"/>
          </w:tcPr>
          <w:p>
            <w:pPr>
              <w:pStyle w:val="TableText"/>
              <w:ind w:left="2385"/>
              <w:spacing w:before="30" w:line="207" w:lineRule="auto"/>
              <w:rPr>
                <w:sz w:val="20"/>
                <w:szCs w:val="20"/>
              </w:rPr>
            </w:pPr>
            <w:r>
              <w:rPr>
                <w:sz w:val="20"/>
                <w:szCs w:val="20"/>
                <w:b/>
                <w:bCs/>
                <w:spacing w:val="-5"/>
              </w:rPr>
              <w:t>污染物</w:t>
            </w:r>
          </w:p>
        </w:tc>
      </w:tr>
      <w:tr>
        <w:trPr>
          <w:trHeight w:val="269" w:hRule="atLeast"/>
        </w:trPr>
        <w:tc>
          <w:tcPr>
            <w:tcW w:w="684" w:type="dxa"/>
            <w:vAlign w:val="top"/>
            <w:vMerge w:val="continue"/>
            <w:tcBorders>
              <w:top w:val="nil"/>
            </w:tcBorders>
          </w:tcPr>
          <w:p>
            <w:pPr>
              <w:rPr>
                <w:rFonts w:ascii="Arial"/>
                <w:sz w:val="21"/>
              </w:rPr>
            </w:pPr>
            <w:r/>
          </w:p>
        </w:tc>
        <w:tc>
          <w:tcPr>
            <w:tcW w:w="1049" w:type="dxa"/>
            <w:vAlign w:val="top"/>
            <w:gridSpan w:val="2"/>
            <w:vMerge w:val="continue"/>
            <w:tcBorders>
              <w:top w:val="nil"/>
            </w:tcBorders>
          </w:tcPr>
          <w:p>
            <w:pPr>
              <w:rPr>
                <w:rFonts w:ascii="Arial"/>
                <w:sz w:val="21"/>
              </w:rPr>
            </w:pPr>
            <w:r/>
          </w:p>
        </w:tc>
        <w:tc>
          <w:tcPr>
            <w:tcW w:w="1559" w:type="dxa"/>
            <w:vAlign w:val="top"/>
            <w:gridSpan w:val="2"/>
            <w:vMerge w:val="continue"/>
            <w:tcBorders>
              <w:top w:val="nil"/>
            </w:tcBorders>
          </w:tcPr>
          <w:p>
            <w:pPr>
              <w:rPr>
                <w:rFonts w:ascii="Arial"/>
                <w:sz w:val="21"/>
              </w:rPr>
            </w:pPr>
            <w:r/>
          </w:p>
        </w:tc>
        <w:tc>
          <w:tcPr>
            <w:shd w:val="clear" w:fill="BDBDBD"/>
            <w:tcW w:w="919" w:type="dxa"/>
            <w:vAlign w:val="top"/>
          </w:tcPr>
          <w:p>
            <w:pPr>
              <w:pStyle w:val="TableText"/>
              <w:ind w:left="305"/>
              <w:spacing w:before="88" w:line="157" w:lineRule="auto"/>
              <w:rPr>
                <w:sz w:val="20"/>
                <w:szCs w:val="20"/>
              </w:rPr>
            </w:pPr>
            <w:r>
              <w:rPr>
                <w:sz w:val="20"/>
                <w:szCs w:val="20"/>
                <w:b/>
                <w:bCs/>
                <w:spacing w:val="-4"/>
              </w:rPr>
              <w:t>COD</w:t>
            </w:r>
          </w:p>
        </w:tc>
        <w:tc>
          <w:tcPr>
            <w:shd w:val="clear" w:fill="BDBDBD"/>
            <w:tcW w:w="739" w:type="dxa"/>
            <w:vAlign w:val="top"/>
          </w:tcPr>
          <w:p>
            <w:pPr>
              <w:pStyle w:val="TableText"/>
              <w:ind w:left="116"/>
              <w:spacing w:before="68" w:line="176" w:lineRule="auto"/>
              <w:rPr>
                <w:rFonts w:ascii="Calibri" w:hAnsi="Calibri" w:eastAsia="Calibri" w:cs="Calibri"/>
                <w:sz w:val="20"/>
                <w:szCs w:val="20"/>
              </w:rPr>
            </w:pPr>
            <w:r>
              <w:rPr>
                <w:sz w:val="20"/>
                <w:szCs w:val="20"/>
                <w:b/>
                <w:bCs/>
                <w:spacing w:val="-3"/>
              </w:rPr>
              <w:t>BOD</w:t>
            </w:r>
            <w:r>
              <w:rPr>
                <w:rFonts w:ascii="Calibri" w:hAnsi="Calibri" w:eastAsia="Calibri" w:cs="Calibri"/>
                <w:sz w:val="20"/>
                <w:szCs w:val="20"/>
                <w:b/>
                <w:bCs/>
                <w:spacing w:val="-3"/>
              </w:rPr>
              <w:t>₅</w:t>
            </w:r>
          </w:p>
        </w:tc>
        <w:tc>
          <w:tcPr>
            <w:shd w:val="clear" w:fill="BDBDBD"/>
            <w:tcW w:w="769" w:type="dxa"/>
            <w:vAlign w:val="top"/>
          </w:tcPr>
          <w:p>
            <w:pPr>
              <w:pStyle w:val="TableText"/>
              <w:ind w:left="277"/>
              <w:spacing w:before="88" w:line="157" w:lineRule="auto"/>
              <w:rPr>
                <w:sz w:val="20"/>
                <w:szCs w:val="20"/>
              </w:rPr>
            </w:pPr>
            <w:r>
              <w:rPr>
                <w:sz w:val="20"/>
                <w:szCs w:val="20"/>
                <w:b/>
                <w:bCs/>
                <w:spacing w:val="-5"/>
              </w:rPr>
              <w:t>SS</w:t>
            </w:r>
          </w:p>
        </w:tc>
        <w:tc>
          <w:tcPr>
            <w:shd w:val="clear" w:fill="BDBDBD"/>
            <w:tcW w:w="759" w:type="dxa"/>
            <w:vAlign w:val="top"/>
          </w:tcPr>
          <w:p>
            <w:pPr>
              <w:pStyle w:val="TableText"/>
              <w:ind w:left="78"/>
              <w:spacing w:before="70" w:line="174" w:lineRule="auto"/>
              <w:rPr>
                <w:sz w:val="20"/>
                <w:szCs w:val="20"/>
              </w:rPr>
            </w:pPr>
            <w:r>
              <w:rPr>
                <w:sz w:val="20"/>
                <w:szCs w:val="20"/>
                <w:b/>
                <w:bCs/>
                <w:spacing w:val="-3"/>
              </w:rPr>
              <w:t>NH</w:t>
            </w:r>
            <w:r>
              <w:rPr>
                <w:rFonts w:ascii="Calibri" w:hAnsi="Calibri" w:eastAsia="Calibri" w:cs="Calibri"/>
                <w:sz w:val="20"/>
                <w:szCs w:val="20"/>
                <w:b/>
                <w:bCs/>
                <w:spacing w:val="-3"/>
              </w:rPr>
              <w:t>₃</w:t>
            </w:r>
            <w:r>
              <w:rPr>
                <w:sz w:val="20"/>
                <w:szCs w:val="20"/>
                <w:b/>
                <w:bCs/>
                <w:spacing w:val="-3"/>
              </w:rPr>
              <w:t>-N</w:t>
            </w:r>
          </w:p>
        </w:tc>
        <w:tc>
          <w:tcPr>
            <w:shd w:val="clear" w:fill="BDBDBD"/>
            <w:tcW w:w="789" w:type="dxa"/>
            <w:vAlign w:val="top"/>
          </w:tcPr>
          <w:p>
            <w:pPr>
              <w:pStyle w:val="TableText"/>
              <w:ind w:left="289"/>
              <w:spacing w:before="91" w:line="168" w:lineRule="exact"/>
              <w:rPr>
                <w:sz w:val="20"/>
                <w:szCs w:val="20"/>
              </w:rPr>
            </w:pPr>
            <w:r>
              <w:rPr>
                <w:sz w:val="20"/>
                <w:szCs w:val="20"/>
                <w:b/>
                <w:bCs/>
                <w:spacing w:val="-4"/>
                <w:position w:val="-2"/>
              </w:rPr>
              <w:t>TN</w:t>
            </w:r>
          </w:p>
        </w:tc>
        <w:tc>
          <w:tcPr>
            <w:shd w:val="clear" w:fill="BDBDBD"/>
            <w:tcW w:w="659" w:type="dxa"/>
            <w:vAlign w:val="top"/>
          </w:tcPr>
          <w:p>
            <w:pPr>
              <w:pStyle w:val="TableText"/>
              <w:ind w:left="230"/>
              <w:spacing w:before="91" w:line="168" w:lineRule="exact"/>
              <w:rPr>
                <w:sz w:val="20"/>
                <w:szCs w:val="20"/>
              </w:rPr>
            </w:pPr>
            <w:r>
              <w:rPr>
                <w:sz w:val="20"/>
                <w:szCs w:val="20"/>
                <w:b/>
                <w:bCs/>
                <w:spacing w:val="-4"/>
                <w:position w:val="-2"/>
              </w:rPr>
              <w:t>TP</w:t>
            </w:r>
          </w:p>
        </w:tc>
        <w:tc>
          <w:tcPr>
            <w:shd w:val="clear" w:fill="BDBDBD"/>
            <w:tcW w:w="776" w:type="dxa"/>
            <w:vAlign w:val="top"/>
          </w:tcPr>
          <w:p>
            <w:pPr>
              <w:pStyle w:val="TableText"/>
              <w:spacing w:before="34" w:line="207" w:lineRule="auto"/>
              <w:jc w:val="right"/>
              <w:rPr>
                <w:sz w:val="20"/>
                <w:szCs w:val="20"/>
              </w:rPr>
            </w:pPr>
            <w:r>
              <w:rPr>
                <w:sz w:val="20"/>
                <w:szCs w:val="20"/>
                <w:b/>
                <w:bCs/>
                <w:spacing w:val="-17"/>
              </w:rPr>
              <w:t>动植物油</w:t>
            </w:r>
          </w:p>
        </w:tc>
      </w:tr>
      <w:tr>
        <w:trPr>
          <w:trHeight w:val="249" w:hRule="atLeast"/>
        </w:trPr>
        <w:tc>
          <w:tcPr>
            <w:tcW w:w="684" w:type="dxa"/>
            <w:vAlign w:val="top"/>
            <w:vMerge w:val="restart"/>
            <w:tcBorders>
              <w:bottom w:val="nil"/>
            </w:tcBorders>
          </w:tcPr>
          <w:p>
            <w:pPr>
              <w:spacing w:line="294" w:lineRule="auto"/>
              <w:rPr>
                <w:rFonts w:ascii="Arial"/>
                <w:sz w:val="21"/>
              </w:rPr>
            </w:pPr>
            <w:r/>
          </w:p>
          <w:p>
            <w:pPr>
              <w:spacing w:line="294" w:lineRule="auto"/>
              <w:rPr>
                <w:rFonts w:ascii="Arial"/>
                <w:sz w:val="21"/>
              </w:rPr>
            </w:pPr>
            <w:r/>
          </w:p>
          <w:p>
            <w:pPr>
              <w:spacing w:line="294" w:lineRule="auto"/>
              <w:rPr>
                <w:rFonts w:ascii="Arial"/>
                <w:sz w:val="21"/>
              </w:rPr>
            </w:pPr>
            <w:r/>
          </w:p>
          <w:p>
            <w:pPr>
              <w:spacing w:line="295" w:lineRule="auto"/>
              <w:rPr>
                <w:rFonts w:ascii="Arial"/>
                <w:sz w:val="21"/>
              </w:rPr>
            </w:pPr>
            <w:r/>
          </w:p>
          <w:p>
            <w:pPr>
              <w:pStyle w:val="TableText"/>
              <w:ind w:left="35"/>
              <w:spacing w:before="65" w:line="220" w:lineRule="auto"/>
              <w:rPr>
                <w:sz w:val="20"/>
                <w:szCs w:val="20"/>
              </w:rPr>
            </w:pPr>
            <w:r>
              <w:rPr>
                <w:sz w:val="20"/>
                <w:szCs w:val="20"/>
                <w:spacing w:val="-3"/>
              </w:rPr>
              <w:t>生活污</w:t>
            </w:r>
          </w:p>
          <w:p>
            <w:pPr>
              <w:pStyle w:val="TableText"/>
              <w:ind w:left="35"/>
              <w:spacing w:before="21" w:line="219" w:lineRule="auto"/>
              <w:rPr>
                <w:sz w:val="20"/>
                <w:szCs w:val="20"/>
              </w:rPr>
            </w:pPr>
            <w:r>
              <w:rPr>
                <w:sz w:val="20"/>
                <w:szCs w:val="20"/>
                <w:spacing w:val="-3"/>
              </w:rPr>
              <w:t>水、餐</w:t>
            </w:r>
          </w:p>
          <w:p>
            <w:pPr>
              <w:pStyle w:val="TableText"/>
              <w:ind w:left="35"/>
              <w:spacing w:before="12" w:line="219" w:lineRule="auto"/>
              <w:rPr>
                <w:sz w:val="20"/>
                <w:szCs w:val="20"/>
              </w:rPr>
            </w:pPr>
            <w:r>
              <w:rPr>
                <w:sz w:val="20"/>
                <w:szCs w:val="20"/>
                <w:spacing w:val="-2"/>
              </w:rPr>
              <w:t>饮废水</w:t>
            </w:r>
          </w:p>
        </w:tc>
        <w:tc>
          <w:tcPr>
            <w:tcW w:w="280" w:type="dxa"/>
            <w:vAlign w:val="top"/>
            <w:vMerge w:val="restart"/>
            <w:textDirection w:val="tbRlV"/>
            <w:tcBorders>
              <w:bottom w:val="nil"/>
            </w:tcBorders>
          </w:tcPr>
          <w:p>
            <w:pPr>
              <w:pStyle w:val="TableText"/>
              <w:spacing w:before="47" w:line="199" w:lineRule="auto"/>
              <w:rPr>
                <w:sz w:val="20"/>
                <w:szCs w:val="20"/>
              </w:rPr>
            </w:pPr>
            <w:r>
              <w:rPr>
                <w:sz w:val="20"/>
                <w:szCs w:val="20"/>
                <w:color w:val="B09080"/>
                <w:spacing w:val="-3"/>
              </w:rPr>
              <w:t>淡</w:t>
            </w:r>
            <w:r>
              <w:rPr>
                <w:sz w:val="20"/>
                <w:szCs w:val="20"/>
                <w:color w:val="B09080"/>
                <w:spacing w:val="14"/>
              </w:rPr>
              <w:t xml:space="preserve"> </w:t>
            </w:r>
            <w:r>
              <w:rPr>
                <w:sz w:val="20"/>
                <w:szCs w:val="20"/>
                <w:color w:val="B09080"/>
                <w:spacing w:val="-3"/>
              </w:rPr>
              <w:t>季</w:t>
            </w:r>
          </w:p>
        </w:tc>
        <w:tc>
          <w:tcPr>
            <w:tcW w:w="769" w:type="dxa"/>
            <w:vAlign w:val="top"/>
            <w:vMerge w:val="restart"/>
            <w:tcBorders>
              <w:bottom w:val="nil"/>
            </w:tcBorders>
          </w:tcPr>
          <w:p>
            <w:pPr>
              <w:pStyle w:val="TableText"/>
              <w:ind w:left="171"/>
              <w:spacing w:before="178"/>
              <w:rPr>
                <w:sz w:val="20"/>
                <w:szCs w:val="20"/>
              </w:rPr>
            </w:pPr>
            <w:r>
              <w:rPr>
                <w:sz w:val="20"/>
                <w:szCs w:val="20"/>
                <w:spacing w:val="-3"/>
              </w:rPr>
              <w:t>3888</w:t>
            </w:r>
          </w:p>
        </w:tc>
        <w:tc>
          <w:tcPr>
            <w:tcW w:w="260" w:type="dxa"/>
            <w:vAlign w:val="top"/>
            <w:vMerge w:val="restart"/>
            <w:textDirection w:val="tbRlV"/>
            <w:tcBorders>
              <w:bottom w:val="nil"/>
            </w:tcBorders>
          </w:tcPr>
          <w:p>
            <w:pPr>
              <w:pStyle w:val="TableText"/>
              <w:ind w:left="395"/>
              <w:spacing w:before="35" w:line="201" w:lineRule="auto"/>
              <w:rPr>
                <w:sz w:val="20"/>
                <w:szCs w:val="20"/>
              </w:rPr>
            </w:pPr>
            <w:r>
              <w:rPr>
                <w:sz w:val="20"/>
                <w:szCs w:val="20"/>
              </w:rPr>
              <w:t>处</w:t>
            </w:r>
            <w:r>
              <w:rPr>
                <w:sz w:val="20"/>
                <w:szCs w:val="20"/>
                <w:spacing w:val="-10"/>
              </w:rPr>
              <w:t xml:space="preserve"> </w:t>
            </w:r>
            <w:r>
              <w:rPr>
                <w:sz w:val="20"/>
                <w:szCs w:val="20"/>
              </w:rPr>
              <w:t>理</w:t>
            </w:r>
            <w:r>
              <w:rPr>
                <w:sz w:val="20"/>
                <w:szCs w:val="20"/>
                <w:spacing w:val="-10"/>
              </w:rPr>
              <w:t xml:space="preserve"> </w:t>
            </w:r>
            <w:r>
              <w:rPr>
                <w:sz w:val="20"/>
                <w:szCs w:val="20"/>
              </w:rPr>
              <w:t>前</w:t>
            </w:r>
          </w:p>
        </w:tc>
        <w:tc>
          <w:tcPr>
            <w:tcW w:w="1299" w:type="dxa"/>
            <w:vAlign w:val="top"/>
          </w:tcPr>
          <w:p>
            <w:pPr>
              <w:pStyle w:val="TableText"/>
              <w:ind w:left="42"/>
              <w:spacing w:before="22" w:line="200" w:lineRule="auto"/>
              <w:rPr>
                <w:sz w:val="20"/>
                <w:szCs w:val="20"/>
              </w:rPr>
            </w:pPr>
            <w:r>
              <w:rPr>
                <w:sz w:val="20"/>
                <w:szCs w:val="20"/>
                <w:spacing w:val="-1"/>
              </w:rPr>
              <w:t>产生浓度mg/L</w:t>
            </w:r>
          </w:p>
        </w:tc>
        <w:tc>
          <w:tcPr>
            <w:tcW w:w="919" w:type="dxa"/>
            <w:vAlign w:val="top"/>
          </w:tcPr>
          <w:p>
            <w:pPr>
              <w:pStyle w:val="TableText"/>
              <w:ind w:left="303"/>
              <w:spacing w:before="49" w:line="175" w:lineRule="auto"/>
              <w:rPr>
                <w:sz w:val="20"/>
                <w:szCs w:val="20"/>
              </w:rPr>
            </w:pPr>
            <w:r>
              <w:rPr>
                <w:sz w:val="20"/>
                <w:szCs w:val="20"/>
                <w:spacing w:val="-3"/>
              </w:rPr>
              <w:t>325</w:t>
            </w:r>
          </w:p>
        </w:tc>
        <w:tc>
          <w:tcPr>
            <w:tcW w:w="739" w:type="dxa"/>
            <w:vAlign w:val="top"/>
          </w:tcPr>
          <w:p>
            <w:pPr>
              <w:pStyle w:val="TableText"/>
              <w:ind w:left="214"/>
              <w:spacing w:before="49" w:line="175" w:lineRule="auto"/>
              <w:rPr>
                <w:sz w:val="20"/>
                <w:szCs w:val="20"/>
              </w:rPr>
            </w:pPr>
            <w:r>
              <w:rPr>
                <w:sz w:val="20"/>
                <w:szCs w:val="20"/>
                <w:spacing w:val="-3"/>
              </w:rPr>
              <w:t>200</w:t>
            </w:r>
          </w:p>
        </w:tc>
        <w:tc>
          <w:tcPr>
            <w:tcW w:w="769" w:type="dxa"/>
            <w:vAlign w:val="top"/>
          </w:tcPr>
          <w:p>
            <w:pPr>
              <w:pStyle w:val="TableText"/>
              <w:ind w:left="225"/>
              <w:spacing w:before="49" w:line="175" w:lineRule="auto"/>
              <w:rPr>
                <w:sz w:val="20"/>
                <w:szCs w:val="20"/>
              </w:rPr>
            </w:pPr>
            <w:r>
              <w:rPr>
                <w:sz w:val="20"/>
                <w:szCs w:val="20"/>
                <w:spacing w:val="-3"/>
              </w:rPr>
              <w:t>200</w:t>
            </w:r>
          </w:p>
        </w:tc>
        <w:tc>
          <w:tcPr>
            <w:tcW w:w="759" w:type="dxa"/>
            <w:vAlign w:val="top"/>
          </w:tcPr>
          <w:p>
            <w:pPr>
              <w:pStyle w:val="TableText"/>
              <w:ind w:left="175"/>
              <w:spacing w:before="49" w:line="175" w:lineRule="auto"/>
              <w:rPr>
                <w:sz w:val="20"/>
                <w:szCs w:val="20"/>
              </w:rPr>
            </w:pPr>
            <w:r>
              <w:rPr>
                <w:sz w:val="20"/>
                <w:szCs w:val="20"/>
                <w:spacing w:val="-3"/>
              </w:rPr>
              <w:t>37.7</w:t>
            </w:r>
          </w:p>
        </w:tc>
        <w:tc>
          <w:tcPr>
            <w:tcW w:w="789" w:type="dxa"/>
            <w:vAlign w:val="top"/>
          </w:tcPr>
          <w:p>
            <w:pPr>
              <w:pStyle w:val="TableText"/>
              <w:ind w:left="187"/>
              <w:spacing w:before="49" w:line="175" w:lineRule="auto"/>
              <w:rPr>
                <w:sz w:val="20"/>
                <w:szCs w:val="20"/>
              </w:rPr>
            </w:pPr>
            <w:r>
              <w:rPr>
                <w:sz w:val="20"/>
                <w:szCs w:val="20"/>
                <w:spacing w:val="-2"/>
              </w:rPr>
              <w:t>49.8</w:t>
            </w:r>
          </w:p>
        </w:tc>
        <w:tc>
          <w:tcPr>
            <w:tcW w:w="659" w:type="dxa"/>
            <w:vAlign w:val="top"/>
          </w:tcPr>
          <w:p>
            <w:pPr>
              <w:pStyle w:val="TableText"/>
              <w:ind w:left="128"/>
              <w:spacing w:before="49" w:line="175" w:lineRule="auto"/>
              <w:rPr>
                <w:sz w:val="20"/>
                <w:szCs w:val="20"/>
              </w:rPr>
            </w:pPr>
            <w:r>
              <w:rPr>
                <w:sz w:val="20"/>
                <w:szCs w:val="20"/>
                <w:spacing w:val="-2"/>
              </w:rPr>
              <w:t>4.28</w:t>
            </w:r>
          </w:p>
        </w:tc>
        <w:tc>
          <w:tcPr>
            <w:tcW w:w="776" w:type="dxa"/>
            <w:vAlign w:val="top"/>
          </w:tcPr>
          <w:p>
            <w:pPr>
              <w:pStyle w:val="TableText"/>
              <w:ind w:left="279"/>
              <w:spacing w:before="49" w:line="175" w:lineRule="auto"/>
              <w:rPr>
                <w:sz w:val="20"/>
                <w:szCs w:val="20"/>
              </w:rPr>
            </w:pPr>
            <w:r>
              <w:rPr>
                <w:sz w:val="20"/>
                <w:szCs w:val="20"/>
                <w:spacing w:val="-3"/>
              </w:rPr>
              <w:t>20</w:t>
            </w:r>
          </w:p>
        </w:tc>
      </w:tr>
      <w:tr>
        <w:trPr>
          <w:trHeight w:val="260" w:hRule="atLeast"/>
        </w:trPr>
        <w:tc>
          <w:tcPr>
            <w:tcW w:w="684" w:type="dxa"/>
            <w:vAlign w:val="top"/>
            <w:vMerge w:val="continue"/>
            <w:tcBorders>
              <w:top w:val="nil"/>
              <w:bottom w:val="nil"/>
            </w:tcBorders>
          </w:tcPr>
          <w:p>
            <w:pPr>
              <w:rPr>
                <w:rFonts w:ascii="Arial"/>
                <w:sz w:val="21"/>
              </w:rPr>
            </w:pPr>
            <w:r/>
          </w:p>
        </w:tc>
        <w:tc>
          <w:tcPr>
            <w:tcW w:w="28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60" w:type="dxa"/>
            <w:vAlign w:val="top"/>
            <w:vMerge w:val="continue"/>
            <w:textDirection w:val="tbRlV"/>
            <w:tcBorders>
              <w:top w:val="nil"/>
              <w:bottom w:val="nil"/>
            </w:tcBorders>
          </w:tcPr>
          <w:p>
            <w:pPr>
              <w:rPr>
                <w:rFonts w:ascii="Arial"/>
                <w:sz w:val="21"/>
              </w:rPr>
            </w:pPr>
            <w:r/>
          </w:p>
        </w:tc>
        <w:tc>
          <w:tcPr>
            <w:tcW w:w="1299" w:type="dxa"/>
            <w:vAlign w:val="top"/>
          </w:tcPr>
          <w:p>
            <w:pPr>
              <w:pStyle w:val="TableText"/>
              <w:ind w:left="192"/>
              <w:spacing w:before="30" w:line="203" w:lineRule="auto"/>
              <w:rPr>
                <w:sz w:val="20"/>
                <w:szCs w:val="20"/>
              </w:rPr>
            </w:pPr>
            <w:r>
              <w:rPr>
                <w:sz w:val="20"/>
                <w:szCs w:val="20"/>
                <w:spacing w:val="-2"/>
              </w:rPr>
              <w:t>产生量t/a</w:t>
            </w:r>
          </w:p>
        </w:tc>
        <w:tc>
          <w:tcPr>
            <w:tcW w:w="919" w:type="dxa"/>
            <w:vAlign w:val="top"/>
          </w:tcPr>
          <w:p>
            <w:pPr>
              <w:pStyle w:val="TableText"/>
              <w:ind w:left="152"/>
              <w:spacing w:before="50" w:line="184" w:lineRule="auto"/>
              <w:rPr>
                <w:sz w:val="20"/>
                <w:szCs w:val="20"/>
              </w:rPr>
            </w:pPr>
            <w:r>
              <w:rPr>
                <w:sz w:val="20"/>
                <w:szCs w:val="20"/>
                <w:spacing w:val="-4"/>
              </w:rPr>
              <w:t>1.2636</w:t>
            </w:r>
          </w:p>
        </w:tc>
        <w:tc>
          <w:tcPr>
            <w:tcW w:w="739" w:type="dxa"/>
            <w:vAlign w:val="top"/>
          </w:tcPr>
          <w:p>
            <w:pPr>
              <w:pStyle w:val="TableText"/>
              <w:ind w:left="63"/>
              <w:spacing w:before="50" w:line="184" w:lineRule="auto"/>
              <w:rPr>
                <w:sz w:val="20"/>
                <w:szCs w:val="20"/>
              </w:rPr>
            </w:pPr>
            <w:r>
              <w:rPr>
                <w:sz w:val="20"/>
                <w:szCs w:val="20"/>
                <w:spacing w:val="-2"/>
              </w:rPr>
              <w:t>0.7776</w:t>
            </w:r>
          </w:p>
        </w:tc>
        <w:tc>
          <w:tcPr>
            <w:tcW w:w="769" w:type="dxa"/>
            <w:vAlign w:val="top"/>
          </w:tcPr>
          <w:p>
            <w:pPr>
              <w:pStyle w:val="TableText"/>
              <w:ind w:left="75"/>
              <w:spacing w:before="50" w:line="184" w:lineRule="auto"/>
              <w:rPr>
                <w:sz w:val="20"/>
                <w:szCs w:val="20"/>
              </w:rPr>
            </w:pPr>
            <w:r>
              <w:rPr>
                <w:sz w:val="20"/>
                <w:szCs w:val="20"/>
                <w:spacing w:val="-2"/>
              </w:rPr>
              <w:t>0.7776</w:t>
            </w:r>
          </w:p>
        </w:tc>
        <w:tc>
          <w:tcPr>
            <w:tcW w:w="759" w:type="dxa"/>
            <w:vAlign w:val="top"/>
          </w:tcPr>
          <w:p>
            <w:pPr>
              <w:pStyle w:val="TableText"/>
              <w:ind w:left="76"/>
              <w:spacing w:before="50" w:line="184" w:lineRule="auto"/>
              <w:rPr>
                <w:sz w:val="20"/>
                <w:szCs w:val="20"/>
              </w:rPr>
            </w:pPr>
            <w:r>
              <w:rPr>
                <w:sz w:val="20"/>
                <w:szCs w:val="20"/>
                <w:spacing w:val="-2"/>
              </w:rPr>
              <w:t>0.1466</w:t>
            </w:r>
          </w:p>
        </w:tc>
        <w:tc>
          <w:tcPr>
            <w:tcW w:w="789" w:type="dxa"/>
            <w:vAlign w:val="top"/>
          </w:tcPr>
          <w:p>
            <w:pPr>
              <w:pStyle w:val="TableText"/>
              <w:ind w:left="87"/>
              <w:spacing w:before="50" w:line="184" w:lineRule="auto"/>
              <w:rPr>
                <w:sz w:val="20"/>
                <w:szCs w:val="20"/>
              </w:rPr>
            </w:pPr>
            <w:r>
              <w:rPr>
                <w:sz w:val="20"/>
                <w:szCs w:val="20"/>
                <w:spacing w:val="-2"/>
              </w:rPr>
              <w:t>0.1936</w:t>
            </w:r>
          </w:p>
        </w:tc>
        <w:tc>
          <w:tcPr>
            <w:tcW w:w="659" w:type="dxa"/>
            <w:vAlign w:val="top"/>
          </w:tcPr>
          <w:p>
            <w:pPr>
              <w:pStyle w:val="TableText"/>
              <w:ind w:left="27"/>
              <w:spacing w:before="50" w:line="184" w:lineRule="auto"/>
              <w:rPr>
                <w:sz w:val="20"/>
                <w:szCs w:val="20"/>
              </w:rPr>
            </w:pPr>
            <w:r>
              <w:rPr>
                <w:sz w:val="20"/>
                <w:szCs w:val="20"/>
                <w:spacing w:val="-2"/>
              </w:rPr>
              <w:t>0.0166</w:t>
            </w:r>
          </w:p>
        </w:tc>
        <w:tc>
          <w:tcPr>
            <w:tcW w:w="776" w:type="dxa"/>
            <w:vAlign w:val="top"/>
          </w:tcPr>
          <w:p>
            <w:pPr>
              <w:pStyle w:val="TableText"/>
              <w:ind w:left="79"/>
              <w:spacing w:before="50" w:line="184" w:lineRule="auto"/>
              <w:rPr>
                <w:sz w:val="20"/>
                <w:szCs w:val="20"/>
              </w:rPr>
            </w:pPr>
            <w:r>
              <w:rPr>
                <w:sz w:val="20"/>
                <w:szCs w:val="20"/>
                <w:spacing w:val="-2"/>
              </w:rPr>
              <w:t>0.0778</w:t>
            </w:r>
          </w:p>
        </w:tc>
      </w:tr>
      <w:tr>
        <w:trPr>
          <w:trHeight w:val="259" w:hRule="atLeast"/>
        </w:trPr>
        <w:tc>
          <w:tcPr>
            <w:tcW w:w="684" w:type="dxa"/>
            <w:vAlign w:val="top"/>
            <w:vMerge w:val="continue"/>
            <w:tcBorders>
              <w:top w:val="nil"/>
              <w:bottom w:val="nil"/>
            </w:tcBorders>
          </w:tcPr>
          <w:p>
            <w:pPr>
              <w:rPr>
                <w:rFonts w:ascii="Arial"/>
                <w:sz w:val="21"/>
              </w:rPr>
            </w:pPr>
            <w:r/>
          </w:p>
        </w:tc>
        <w:tc>
          <w:tcPr>
            <w:tcW w:w="280" w:type="dxa"/>
            <w:vAlign w:val="top"/>
            <w:vMerge w:val="restart"/>
            <w:textDirection w:val="tbRlV"/>
            <w:tcBorders>
              <w:bottom w:val="nil"/>
            </w:tcBorders>
          </w:tcPr>
          <w:p>
            <w:pPr>
              <w:pStyle w:val="TableText"/>
              <w:spacing w:before="46" w:line="200" w:lineRule="auto"/>
              <w:jc w:val="right"/>
              <w:rPr>
                <w:sz w:val="20"/>
                <w:szCs w:val="20"/>
              </w:rPr>
            </w:pPr>
            <w:r>
              <w:rPr>
                <w:sz w:val="20"/>
                <w:szCs w:val="20"/>
                <w:spacing w:val="-12"/>
              </w:rPr>
              <w:t>旺</w:t>
            </w:r>
            <w:r>
              <w:rPr>
                <w:sz w:val="20"/>
                <w:szCs w:val="20"/>
                <w:spacing w:val="54"/>
              </w:rPr>
              <w:t xml:space="preserve"> </w:t>
            </w:r>
            <w:r>
              <w:rPr>
                <w:sz w:val="20"/>
                <w:szCs w:val="20"/>
                <w:spacing w:val="-8"/>
              </w:rPr>
              <w:t>季</w:t>
            </w:r>
          </w:p>
        </w:tc>
        <w:tc>
          <w:tcPr>
            <w:tcW w:w="769" w:type="dxa"/>
            <w:vAlign w:val="top"/>
            <w:vMerge w:val="restart"/>
            <w:tcBorders>
              <w:bottom w:val="nil"/>
            </w:tcBorders>
          </w:tcPr>
          <w:p>
            <w:pPr>
              <w:pStyle w:val="TableText"/>
              <w:ind w:left="171"/>
              <w:spacing w:before="189"/>
              <w:rPr>
                <w:sz w:val="20"/>
                <w:szCs w:val="20"/>
              </w:rPr>
            </w:pPr>
            <w:r>
              <w:rPr>
                <w:sz w:val="20"/>
                <w:szCs w:val="20"/>
                <w:spacing w:val="-5"/>
              </w:rPr>
              <w:t>1296</w:t>
            </w:r>
          </w:p>
        </w:tc>
        <w:tc>
          <w:tcPr>
            <w:tcW w:w="260" w:type="dxa"/>
            <w:vAlign w:val="top"/>
            <w:vMerge w:val="continue"/>
            <w:textDirection w:val="tbRlV"/>
            <w:tcBorders>
              <w:top w:val="nil"/>
              <w:bottom w:val="nil"/>
            </w:tcBorders>
          </w:tcPr>
          <w:p>
            <w:pPr>
              <w:rPr>
                <w:rFonts w:ascii="Arial"/>
                <w:sz w:val="21"/>
              </w:rPr>
            </w:pPr>
            <w:r/>
          </w:p>
        </w:tc>
        <w:tc>
          <w:tcPr>
            <w:tcW w:w="1299" w:type="dxa"/>
            <w:vAlign w:val="top"/>
          </w:tcPr>
          <w:p>
            <w:pPr>
              <w:pStyle w:val="TableText"/>
              <w:ind w:left="42"/>
              <w:spacing w:before="23" w:line="208" w:lineRule="auto"/>
              <w:rPr>
                <w:sz w:val="20"/>
                <w:szCs w:val="20"/>
              </w:rPr>
            </w:pPr>
            <w:r>
              <w:rPr>
                <w:sz w:val="20"/>
                <w:szCs w:val="20"/>
                <w:spacing w:val="-1"/>
              </w:rPr>
              <w:t>产生浓度mg/L</w:t>
            </w:r>
          </w:p>
        </w:tc>
        <w:tc>
          <w:tcPr>
            <w:tcW w:w="919" w:type="dxa"/>
            <w:vAlign w:val="top"/>
          </w:tcPr>
          <w:p>
            <w:pPr>
              <w:pStyle w:val="TableText"/>
              <w:ind w:left="303"/>
              <w:spacing w:before="49" w:line="184" w:lineRule="auto"/>
              <w:rPr>
                <w:sz w:val="20"/>
                <w:szCs w:val="20"/>
              </w:rPr>
            </w:pPr>
            <w:r>
              <w:rPr>
                <w:sz w:val="20"/>
                <w:szCs w:val="20"/>
                <w:spacing w:val="-3"/>
              </w:rPr>
              <w:t>325</w:t>
            </w:r>
          </w:p>
        </w:tc>
        <w:tc>
          <w:tcPr>
            <w:tcW w:w="739" w:type="dxa"/>
            <w:vAlign w:val="top"/>
          </w:tcPr>
          <w:p>
            <w:pPr>
              <w:pStyle w:val="TableText"/>
              <w:ind w:left="214"/>
              <w:spacing w:before="49" w:line="184" w:lineRule="auto"/>
              <w:rPr>
                <w:sz w:val="20"/>
                <w:szCs w:val="20"/>
              </w:rPr>
            </w:pPr>
            <w:r>
              <w:rPr>
                <w:sz w:val="20"/>
                <w:szCs w:val="20"/>
                <w:spacing w:val="-3"/>
              </w:rPr>
              <w:t>200</w:t>
            </w:r>
          </w:p>
        </w:tc>
        <w:tc>
          <w:tcPr>
            <w:tcW w:w="769" w:type="dxa"/>
            <w:vAlign w:val="top"/>
          </w:tcPr>
          <w:p>
            <w:pPr>
              <w:pStyle w:val="TableText"/>
              <w:ind w:left="225"/>
              <w:spacing w:before="49" w:line="184" w:lineRule="auto"/>
              <w:rPr>
                <w:sz w:val="20"/>
                <w:szCs w:val="20"/>
              </w:rPr>
            </w:pPr>
            <w:r>
              <w:rPr>
                <w:sz w:val="20"/>
                <w:szCs w:val="20"/>
                <w:spacing w:val="-3"/>
              </w:rPr>
              <w:t>200</w:t>
            </w:r>
          </w:p>
        </w:tc>
        <w:tc>
          <w:tcPr>
            <w:tcW w:w="759" w:type="dxa"/>
            <w:vAlign w:val="top"/>
          </w:tcPr>
          <w:p>
            <w:pPr>
              <w:pStyle w:val="TableText"/>
              <w:ind w:left="175"/>
              <w:spacing w:before="49" w:line="184" w:lineRule="auto"/>
              <w:rPr>
                <w:sz w:val="20"/>
                <w:szCs w:val="20"/>
              </w:rPr>
            </w:pPr>
            <w:r>
              <w:rPr>
                <w:sz w:val="20"/>
                <w:szCs w:val="20"/>
                <w:spacing w:val="-3"/>
              </w:rPr>
              <w:t>37.7</w:t>
            </w:r>
          </w:p>
        </w:tc>
        <w:tc>
          <w:tcPr>
            <w:tcW w:w="789" w:type="dxa"/>
            <w:vAlign w:val="top"/>
          </w:tcPr>
          <w:p>
            <w:pPr>
              <w:pStyle w:val="TableText"/>
              <w:ind w:left="187"/>
              <w:spacing w:before="49" w:line="184" w:lineRule="auto"/>
              <w:rPr>
                <w:sz w:val="20"/>
                <w:szCs w:val="20"/>
              </w:rPr>
            </w:pPr>
            <w:r>
              <w:rPr>
                <w:sz w:val="20"/>
                <w:szCs w:val="20"/>
                <w:spacing w:val="-2"/>
              </w:rPr>
              <w:t>49.8</w:t>
            </w:r>
          </w:p>
        </w:tc>
        <w:tc>
          <w:tcPr>
            <w:tcW w:w="659" w:type="dxa"/>
            <w:vAlign w:val="top"/>
          </w:tcPr>
          <w:p>
            <w:pPr>
              <w:pStyle w:val="TableText"/>
              <w:ind w:left="128"/>
              <w:spacing w:before="49" w:line="184" w:lineRule="auto"/>
              <w:rPr>
                <w:sz w:val="20"/>
                <w:szCs w:val="20"/>
              </w:rPr>
            </w:pPr>
            <w:r>
              <w:rPr>
                <w:sz w:val="20"/>
                <w:szCs w:val="20"/>
                <w:spacing w:val="-2"/>
              </w:rPr>
              <w:t>4.28</w:t>
            </w:r>
          </w:p>
        </w:tc>
        <w:tc>
          <w:tcPr>
            <w:tcW w:w="776" w:type="dxa"/>
            <w:vAlign w:val="top"/>
          </w:tcPr>
          <w:p>
            <w:pPr>
              <w:pStyle w:val="TableText"/>
              <w:ind w:left="279"/>
              <w:spacing w:before="49" w:line="184" w:lineRule="auto"/>
              <w:rPr>
                <w:sz w:val="20"/>
                <w:szCs w:val="20"/>
              </w:rPr>
            </w:pPr>
            <w:r>
              <w:rPr>
                <w:sz w:val="20"/>
                <w:szCs w:val="20"/>
                <w:spacing w:val="-3"/>
              </w:rPr>
              <w:t>20</w:t>
            </w:r>
          </w:p>
        </w:tc>
      </w:tr>
      <w:tr>
        <w:trPr>
          <w:trHeight w:val="270" w:hRule="atLeast"/>
        </w:trPr>
        <w:tc>
          <w:tcPr>
            <w:tcW w:w="684" w:type="dxa"/>
            <w:vAlign w:val="top"/>
            <w:vMerge w:val="continue"/>
            <w:tcBorders>
              <w:top w:val="nil"/>
              <w:bottom w:val="nil"/>
            </w:tcBorders>
          </w:tcPr>
          <w:p>
            <w:pPr>
              <w:rPr>
                <w:rFonts w:ascii="Arial"/>
                <w:sz w:val="21"/>
              </w:rPr>
            </w:pPr>
            <w:r/>
          </w:p>
        </w:tc>
        <w:tc>
          <w:tcPr>
            <w:tcW w:w="28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60" w:type="dxa"/>
            <w:vAlign w:val="top"/>
            <w:vMerge w:val="continue"/>
            <w:textDirection w:val="tbRlV"/>
            <w:tcBorders>
              <w:top w:val="nil"/>
              <w:bottom w:val="nil"/>
            </w:tcBorders>
          </w:tcPr>
          <w:p>
            <w:pPr>
              <w:rPr>
                <w:rFonts w:ascii="Arial"/>
                <w:sz w:val="21"/>
              </w:rPr>
            </w:pPr>
            <w:r/>
          </w:p>
        </w:tc>
        <w:tc>
          <w:tcPr>
            <w:tcW w:w="1299" w:type="dxa"/>
            <w:vAlign w:val="top"/>
          </w:tcPr>
          <w:p>
            <w:pPr>
              <w:pStyle w:val="TableText"/>
              <w:ind w:left="192"/>
              <w:spacing w:before="41" w:line="202" w:lineRule="auto"/>
              <w:rPr>
                <w:sz w:val="20"/>
                <w:szCs w:val="20"/>
              </w:rPr>
            </w:pPr>
            <w:r>
              <w:rPr>
                <w:sz w:val="20"/>
                <w:szCs w:val="20"/>
                <w:spacing w:val="-2"/>
              </w:rPr>
              <w:t>产生量t/a</w:t>
            </w:r>
          </w:p>
        </w:tc>
        <w:tc>
          <w:tcPr>
            <w:tcW w:w="919" w:type="dxa"/>
            <w:vAlign w:val="top"/>
          </w:tcPr>
          <w:p>
            <w:pPr>
              <w:pStyle w:val="TableText"/>
              <w:ind w:left="152"/>
              <w:spacing w:before="61" w:line="183" w:lineRule="auto"/>
              <w:rPr>
                <w:sz w:val="20"/>
                <w:szCs w:val="20"/>
              </w:rPr>
            </w:pPr>
            <w:r>
              <w:rPr>
                <w:sz w:val="20"/>
                <w:szCs w:val="20"/>
                <w:spacing w:val="-2"/>
              </w:rPr>
              <w:t>0.4212</w:t>
            </w:r>
          </w:p>
        </w:tc>
        <w:tc>
          <w:tcPr>
            <w:tcW w:w="739" w:type="dxa"/>
            <w:vAlign w:val="top"/>
          </w:tcPr>
          <w:p>
            <w:pPr>
              <w:pStyle w:val="TableText"/>
              <w:ind w:left="63"/>
              <w:spacing w:before="61" w:line="183" w:lineRule="auto"/>
              <w:rPr>
                <w:sz w:val="20"/>
                <w:szCs w:val="20"/>
              </w:rPr>
            </w:pPr>
            <w:r>
              <w:rPr>
                <w:sz w:val="20"/>
                <w:szCs w:val="20"/>
                <w:spacing w:val="-2"/>
              </w:rPr>
              <w:t>0.2592</w:t>
            </w:r>
          </w:p>
        </w:tc>
        <w:tc>
          <w:tcPr>
            <w:tcW w:w="769" w:type="dxa"/>
            <w:vAlign w:val="top"/>
          </w:tcPr>
          <w:p>
            <w:pPr>
              <w:pStyle w:val="TableText"/>
              <w:ind w:left="75"/>
              <w:spacing w:before="61" w:line="183" w:lineRule="auto"/>
              <w:rPr>
                <w:sz w:val="20"/>
                <w:szCs w:val="20"/>
              </w:rPr>
            </w:pPr>
            <w:r>
              <w:rPr>
                <w:sz w:val="20"/>
                <w:szCs w:val="20"/>
                <w:spacing w:val="-2"/>
              </w:rPr>
              <w:t>0.2592</w:t>
            </w:r>
          </w:p>
        </w:tc>
        <w:tc>
          <w:tcPr>
            <w:tcW w:w="759" w:type="dxa"/>
            <w:vAlign w:val="top"/>
          </w:tcPr>
          <w:p>
            <w:pPr>
              <w:pStyle w:val="TableText"/>
              <w:ind w:left="76"/>
              <w:spacing w:before="61" w:line="183" w:lineRule="auto"/>
              <w:rPr>
                <w:sz w:val="20"/>
                <w:szCs w:val="20"/>
              </w:rPr>
            </w:pPr>
            <w:r>
              <w:rPr>
                <w:sz w:val="20"/>
                <w:szCs w:val="20"/>
                <w:spacing w:val="-2"/>
              </w:rPr>
              <w:t>0.0489</w:t>
            </w:r>
          </w:p>
        </w:tc>
        <w:tc>
          <w:tcPr>
            <w:tcW w:w="789" w:type="dxa"/>
            <w:vAlign w:val="top"/>
          </w:tcPr>
          <w:p>
            <w:pPr>
              <w:pStyle w:val="TableText"/>
              <w:ind w:left="87"/>
              <w:spacing w:before="61" w:line="183" w:lineRule="auto"/>
              <w:rPr>
                <w:sz w:val="20"/>
                <w:szCs w:val="20"/>
              </w:rPr>
            </w:pPr>
            <w:r>
              <w:rPr>
                <w:sz w:val="20"/>
                <w:szCs w:val="20"/>
                <w:spacing w:val="-2"/>
              </w:rPr>
              <w:t>0.0645</w:t>
            </w:r>
          </w:p>
        </w:tc>
        <w:tc>
          <w:tcPr>
            <w:tcW w:w="659" w:type="dxa"/>
            <w:vAlign w:val="top"/>
          </w:tcPr>
          <w:p>
            <w:pPr>
              <w:pStyle w:val="TableText"/>
              <w:ind w:left="27"/>
              <w:spacing w:before="61" w:line="183" w:lineRule="auto"/>
              <w:rPr>
                <w:sz w:val="20"/>
                <w:szCs w:val="20"/>
              </w:rPr>
            </w:pPr>
            <w:r>
              <w:rPr>
                <w:sz w:val="20"/>
                <w:szCs w:val="20"/>
                <w:spacing w:val="-2"/>
              </w:rPr>
              <w:t>0.0056</w:t>
            </w:r>
          </w:p>
        </w:tc>
        <w:tc>
          <w:tcPr>
            <w:tcW w:w="776" w:type="dxa"/>
            <w:vAlign w:val="top"/>
          </w:tcPr>
          <w:p>
            <w:pPr>
              <w:pStyle w:val="TableText"/>
              <w:ind w:left="79"/>
              <w:spacing w:before="61" w:line="183" w:lineRule="auto"/>
              <w:rPr>
                <w:sz w:val="20"/>
                <w:szCs w:val="20"/>
              </w:rPr>
            </w:pPr>
            <w:r>
              <w:rPr>
                <w:sz w:val="20"/>
                <w:szCs w:val="20"/>
                <w:spacing w:val="-2"/>
              </w:rPr>
              <w:t>0.0259</w:t>
            </w:r>
          </w:p>
        </w:tc>
      </w:tr>
      <w:tr>
        <w:trPr>
          <w:trHeight w:val="249" w:hRule="atLeast"/>
        </w:trPr>
        <w:tc>
          <w:tcPr>
            <w:tcW w:w="684" w:type="dxa"/>
            <w:vAlign w:val="top"/>
            <w:vMerge w:val="continue"/>
            <w:tcBorders>
              <w:top w:val="nil"/>
              <w:bottom w:val="nil"/>
            </w:tcBorders>
          </w:tcPr>
          <w:p>
            <w:pPr>
              <w:rPr>
                <w:rFonts w:ascii="Arial"/>
                <w:sz w:val="21"/>
              </w:rPr>
            </w:pPr>
            <w:r/>
          </w:p>
        </w:tc>
        <w:tc>
          <w:tcPr>
            <w:tcW w:w="280" w:type="dxa"/>
            <w:vAlign w:val="top"/>
            <w:vMerge w:val="restart"/>
            <w:textDirection w:val="tbRlV"/>
            <w:tcBorders>
              <w:bottom w:val="nil"/>
            </w:tcBorders>
          </w:tcPr>
          <w:p>
            <w:pPr>
              <w:pStyle w:val="TableText"/>
              <w:spacing w:before="47" w:line="200" w:lineRule="auto"/>
              <w:jc w:val="right"/>
              <w:rPr>
                <w:sz w:val="20"/>
                <w:szCs w:val="20"/>
              </w:rPr>
            </w:pPr>
            <w:r>
              <w:rPr>
                <w:sz w:val="20"/>
                <w:szCs w:val="20"/>
                <w:spacing w:val="-7"/>
              </w:rPr>
              <w:t>全</w:t>
            </w:r>
            <w:r>
              <w:rPr>
                <w:sz w:val="20"/>
                <w:szCs w:val="20"/>
                <w:spacing w:val="29"/>
              </w:rPr>
              <w:t xml:space="preserve"> </w:t>
            </w:r>
            <w:r>
              <w:rPr>
                <w:sz w:val="20"/>
                <w:szCs w:val="20"/>
                <w:spacing w:val="-7"/>
              </w:rPr>
              <w:t>年</w:t>
            </w:r>
          </w:p>
        </w:tc>
        <w:tc>
          <w:tcPr>
            <w:tcW w:w="769" w:type="dxa"/>
            <w:vAlign w:val="top"/>
            <w:vMerge w:val="restart"/>
            <w:tcBorders>
              <w:bottom w:val="nil"/>
            </w:tcBorders>
          </w:tcPr>
          <w:p>
            <w:pPr>
              <w:pStyle w:val="TableText"/>
              <w:ind w:left="171"/>
              <w:spacing w:before="180"/>
              <w:rPr>
                <w:sz w:val="20"/>
                <w:szCs w:val="20"/>
              </w:rPr>
            </w:pPr>
            <w:r>
              <w:rPr>
                <w:sz w:val="20"/>
                <w:szCs w:val="20"/>
                <w:spacing w:val="-3"/>
              </w:rPr>
              <w:t>5184</w:t>
            </w:r>
          </w:p>
        </w:tc>
        <w:tc>
          <w:tcPr>
            <w:tcW w:w="260" w:type="dxa"/>
            <w:vAlign w:val="top"/>
            <w:vMerge w:val="continue"/>
            <w:textDirection w:val="tbRlV"/>
            <w:tcBorders>
              <w:top w:val="nil"/>
              <w:bottom w:val="nil"/>
            </w:tcBorders>
          </w:tcPr>
          <w:p>
            <w:pPr>
              <w:rPr>
                <w:rFonts w:ascii="Arial"/>
                <w:sz w:val="21"/>
              </w:rPr>
            </w:pPr>
            <w:r/>
          </w:p>
        </w:tc>
        <w:tc>
          <w:tcPr>
            <w:tcW w:w="1299" w:type="dxa"/>
            <w:vAlign w:val="top"/>
          </w:tcPr>
          <w:p>
            <w:pPr>
              <w:pStyle w:val="TableText"/>
              <w:ind w:left="42"/>
              <w:spacing w:before="24" w:line="198" w:lineRule="auto"/>
              <w:rPr>
                <w:sz w:val="20"/>
                <w:szCs w:val="20"/>
              </w:rPr>
            </w:pPr>
            <w:r>
              <w:rPr>
                <w:sz w:val="20"/>
                <w:szCs w:val="20"/>
                <w:spacing w:val="-1"/>
              </w:rPr>
              <w:t>产生浓度mg/L</w:t>
            </w:r>
          </w:p>
        </w:tc>
        <w:tc>
          <w:tcPr>
            <w:tcW w:w="919" w:type="dxa"/>
            <w:vAlign w:val="top"/>
          </w:tcPr>
          <w:p>
            <w:pPr>
              <w:pStyle w:val="TableText"/>
              <w:ind w:left="303"/>
              <w:spacing w:before="51" w:line="173" w:lineRule="auto"/>
              <w:rPr>
                <w:sz w:val="20"/>
                <w:szCs w:val="20"/>
              </w:rPr>
            </w:pPr>
            <w:r>
              <w:rPr>
                <w:sz w:val="20"/>
                <w:szCs w:val="20"/>
                <w:spacing w:val="-3"/>
              </w:rPr>
              <w:t>325</w:t>
            </w:r>
          </w:p>
        </w:tc>
        <w:tc>
          <w:tcPr>
            <w:tcW w:w="739" w:type="dxa"/>
            <w:vAlign w:val="top"/>
          </w:tcPr>
          <w:p>
            <w:pPr>
              <w:pStyle w:val="TableText"/>
              <w:ind w:left="214"/>
              <w:spacing w:before="51" w:line="173" w:lineRule="auto"/>
              <w:rPr>
                <w:sz w:val="20"/>
                <w:szCs w:val="20"/>
              </w:rPr>
            </w:pPr>
            <w:r>
              <w:rPr>
                <w:sz w:val="20"/>
                <w:szCs w:val="20"/>
                <w:spacing w:val="-3"/>
              </w:rPr>
              <w:t>200</w:t>
            </w:r>
          </w:p>
        </w:tc>
        <w:tc>
          <w:tcPr>
            <w:tcW w:w="769" w:type="dxa"/>
            <w:vAlign w:val="top"/>
          </w:tcPr>
          <w:p>
            <w:pPr>
              <w:pStyle w:val="TableText"/>
              <w:ind w:left="225"/>
              <w:spacing w:before="51" w:line="173" w:lineRule="auto"/>
              <w:rPr>
                <w:sz w:val="20"/>
                <w:szCs w:val="20"/>
              </w:rPr>
            </w:pPr>
            <w:r>
              <w:rPr>
                <w:sz w:val="20"/>
                <w:szCs w:val="20"/>
                <w:color w:val="303040"/>
                <w:spacing w:val="-3"/>
              </w:rPr>
              <w:t>200</w:t>
            </w:r>
          </w:p>
        </w:tc>
        <w:tc>
          <w:tcPr>
            <w:tcW w:w="759" w:type="dxa"/>
            <w:vAlign w:val="top"/>
          </w:tcPr>
          <w:p>
            <w:pPr>
              <w:pStyle w:val="TableText"/>
              <w:ind w:left="175"/>
              <w:spacing w:before="51" w:line="173" w:lineRule="auto"/>
              <w:rPr>
                <w:sz w:val="20"/>
                <w:szCs w:val="20"/>
              </w:rPr>
            </w:pPr>
            <w:r>
              <w:rPr>
                <w:sz w:val="20"/>
                <w:szCs w:val="20"/>
                <w:spacing w:val="-3"/>
              </w:rPr>
              <w:t>37.7</w:t>
            </w:r>
          </w:p>
        </w:tc>
        <w:tc>
          <w:tcPr>
            <w:tcW w:w="789" w:type="dxa"/>
            <w:vAlign w:val="top"/>
          </w:tcPr>
          <w:p>
            <w:pPr>
              <w:pStyle w:val="TableText"/>
              <w:ind w:left="187"/>
              <w:spacing w:before="51" w:line="173" w:lineRule="auto"/>
              <w:rPr>
                <w:sz w:val="20"/>
                <w:szCs w:val="20"/>
              </w:rPr>
            </w:pPr>
            <w:r>
              <w:rPr>
                <w:sz w:val="20"/>
                <w:szCs w:val="20"/>
                <w:spacing w:val="-2"/>
              </w:rPr>
              <w:t>49.8</w:t>
            </w:r>
          </w:p>
        </w:tc>
        <w:tc>
          <w:tcPr>
            <w:tcW w:w="659" w:type="dxa"/>
            <w:vAlign w:val="top"/>
          </w:tcPr>
          <w:p>
            <w:pPr>
              <w:pStyle w:val="TableText"/>
              <w:ind w:left="128"/>
              <w:spacing w:before="51" w:line="173" w:lineRule="auto"/>
              <w:rPr>
                <w:sz w:val="20"/>
                <w:szCs w:val="20"/>
              </w:rPr>
            </w:pPr>
            <w:r>
              <w:rPr>
                <w:sz w:val="20"/>
                <w:szCs w:val="20"/>
                <w:spacing w:val="-2"/>
              </w:rPr>
              <w:t>4.28</w:t>
            </w:r>
          </w:p>
        </w:tc>
        <w:tc>
          <w:tcPr>
            <w:tcW w:w="776" w:type="dxa"/>
            <w:vAlign w:val="top"/>
          </w:tcPr>
          <w:p>
            <w:pPr>
              <w:pStyle w:val="TableText"/>
              <w:ind w:left="279"/>
              <w:spacing w:before="51" w:line="173" w:lineRule="auto"/>
              <w:rPr>
                <w:sz w:val="20"/>
                <w:szCs w:val="20"/>
              </w:rPr>
            </w:pPr>
            <w:r>
              <w:rPr>
                <w:sz w:val="20"/>
                <w:szCs w:val="20"/>
                <w:spacing w:val="-3"/>
              </w:rPr>
              <w:t>20</w:t>
            </w:r>
          </w:p>
        </w:tc>
      </w:tr>
      <w:tr>
        <w:trPr>
          <w:trHeight w:val="259" w:hRule="atLeast"/>
        </w:trPr>
        <w:tc>
          <w:tcPr>
            <w:tcW w:w="684" w:type="dxa"/>
            <w:vAlign w:val="top"/>
            <w:vMerge w:val="continue"/>
            <w:tcBorders>
              <w:top w:val="nil"/>
              <w:bottom w:val="nil"/>
            </w:tcBorders>
          </w:tcPr>
          <w:p>
            <w:pPr>
              <w:rPr>
                <w:rFonts w:ascii="Arial"/>
                <w:sz w:val="21"/>
              </w:rPr>
            </w:pPr>
            <w:r/>
          </w:p>
        </w:tc>
        <w:tc>
          <w:tcPr>
            <w:tcW w:w="28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60" w:type="dxa"/>
            <w:vAlign w:val="top"/>
            <w:vMerge w:val="continue"/>
            <w:textDirection w:val="tbRlV"/>
            <w:tcBorders>
              <w:top w:val="nil"/>
            </w:tcBorders>
          </w:tcPr>
          <w:p>
            <w:pPr>
              <w:rPr>
                <w:rFonts w:ascii="Arial"/>
                <w:sz w:val="21"/>
              </w:rPr>
            </w:pPr>
            <w:r/>
          </w:p>
        </w:tc>
        <w:tc>
          <w:tcPr>
            <w:tcW w:w="1299" w:type="dxa"/>
            <w:vAlign w:val="top"/>
          </w:tcPr>
          <w:p>
            <w:pPr>
              <w:pStyle w:val="TableText"/>
              <w:ind w:left="192"/>
              <w:spacing w:before="32" w:line="200" w:lineRule="auto"/>
              <w:rPr>
                <w:sz w:val="20"/>
                <w:szCs w:val="20"/>
              </w:rPr>
            </w:pPr>
            <w:r>
              <w:rPr>
                <w:sz w:val="20"/>
                <w:szCs w:val="20"/>
                <w:spacing w:val="-2"/>
              </w:rPr>
              <w:t>产生量t/a</w:t>
            </w:r>
          </w:p>
        </w:tc>
        <w:tc>
          <w:tcPr>
            <w:tcW w:w="919" w:type="dxa"/>
            <w:vAlign w:val="top"/>
          </w:tcPr>
          <w:p>
            <w:pPr>
              <w:pStyle w:val="TableText"/>
              <w:ind w:left="152"/>
              <w:spacing w:before="51" w:line="182" w:lineRule="auto"/>
              <w:rPr>
                <w:sz w:val="20"/>
                <w:szCs w:val="20"/>
              </w:rPr>
            </w:pPr>
            <w:r>
              <w:rPr>
                <w:sz w:val="20"/>
                <w:szCs w:val="20"/>
                <w:spacing w:val="-4"/>
              </w:rPr>
              <w:t>1.6848</w:t>
            </w:r>
          </w:p>
        </w:tc>
        <w:tc>
          <w:tcPr>
            <w:tcW w:w="739" w:type="dxa"/>
            <w:vAlign w:val="top"/>
          </w:tcPr>
          <w:p>
            <w:pPr>
              <w:pStyle w:val="TableText"/>
              <w:ind w:left="63"/>
              <w:spacing w:before="51" w:line="182" w:lineRule="auto"/>
              <w:rPr>
                <w:sz w:val="20"/>
                <w:szCs w:val="20"/>
              </w:rPr>
            </w:pPr>
            <w:r>
              <w:rPr>
                <w:sz w:val="20"/>
                <w:szCs w:val="20"/>
                <w:spacing w:val="-4"/>
              </w:rPr>
              <w:t>1.0368</w:t>
            </w:r>
          </w:p>
        </w:tc>
        <w:tc>
          <w:tcPr>
            <w:tcW w:w="769" w:type="dxa"/>
            <w:vAlign w:val="top"/>
          </w:tcPr>
          <w:p>
            <w:pPr>
              <w:pStyle w:val="TableText"/>
              <w:ind w:left="75"/>
              <w:spacing w:before="51" w:line="182" w:lineRule="auto"/>
              <w:rPr>
                <w:sz w:val="20"/>
                <w:szCs w:val="20"/>
              </w:rPr>
            </w:pPr>
            <w:r>
              <w:rPr>
                <w:sz w:val="20"/>
                <w:szCs w:val="20"/>
                <w:spacing w:val="-4"/>
              </w:rPr>
              <w:t>1.0368</w:t>
            </w:r>
          </w:p>
        </w:tc>
        <w:tc>
          <w:tcPr>
            <w:tcW w:w="759" w:type="dxa"/>
            <w:vAlign w:val="top"/>
          </w:tcPr>
          <w:p>
            <w:pPr>
              <w:pStyle w:val="TableText"/>
              <w:ind w:left="76"/>
              <w:spacing w:before="51" w:line="182" w:lineRule="auto"/>
              <w:rPr>
                <w:sz w:val="20"/>
                <w:szCs w:val="20"/>
              </w:rPr>
            </w:pPr>
            <w:r>
              <w:rPr>
                <w:sz w:val="20"/>
                <w:szCs w:val="20"/>
                <w:spacing w:val="-2"/>
              </w:rPr>
              <w:t>0.1954</w:t>
            </w:r>
          </w:p>
        </w:tc>
        <w:tc>
          <w:tcPr>
            <w:tcW w:w="789" w:type="dxa"/>
            <w:vAlign w:val="top"/>
          </w:tcPr>
          <w:p>
            <w:pPr>
              <w:pStyle w:val="TableText"/>
              <w:ind w:left="87"/>
              <w:spacing w:before="51" w:line="182" w:lineRule="auto"/>
              <w:rPr>
                <w:sz w:val="20"/>
                <w:szCs w:val="20"/>
              </w:rPr>
            </w:pPr>
            <w:r>
              <w:rPr>
                <w:sz w:val="20"/>
                <w:szCs w:val="20"/>
                <w:spacing w:val="-2"/>
              </w:rPr>
              <w:t>0.2582</w:t>
            </w:r>
          </w:p>
        </w:tc>
        <w:tc>
          <w:tcPr>
            <w:tcW w:w="659" w:type="dxa"/>
            <w:vAlign w:val="top"/>
          </w:tcPr>
          <w:p>
            <w:pPr>
              <w:pStyle w:val="TableText"/>
              <w:ind w:left="27"/>
              <w:spacing w:before="51" w:line="182" w:lineRule="auto"/>
              <w:rPr>
                <w:sz w:val="20"/>
                <w:szCs w:val="20"/>
              </w:rPr>
            </w:pPr>
            <w:r>
              <w:rPr>
                <w:sz w:val="20"/>
                <w:szCs w:val="20"/>
                <w:spacing w:val="-2"/>
              </w:rPr>
              <w:t>0.0222</w:t>
            </w:r>
          </w:p>
        </w:tc>
        <w:tc>
          <w:tcPr>
            <w:tcW w:w="776" w:type="dxa"/>
            <w:vAlign w:val="top"/>
          </w:tcPr>
          <w:p>
            <w:pPr>
              <w:pStyle w:val="TableText"/>
              <w:ind w:left="79"/>
              <w:spacing w:before="51" w:line="182" w:lineRule="auto"/>
              <w:rPr>
                <w:sz w:val="20"/>
                <w:szCs w:val="20"/>
              </w:rPr>
            </w:pPr>
            <w:r>
              <w:rPr>
                <w:sz w:val="20"/>
                <w:szCs w:val="20"/>
                <w:spacing w:val="-2"/>
              </w:rPr>
              <w:t>0.1037</w:t>
            </w:r>
          </w:p>
        </w:tc>
      </w:tr>
      <w:tr>
        <w:trPr>
          <w:trHeight w:val="270" w:hRule="atLeast"/>
        </w:trPr>
        <w:tc>
          <w:tcPr>
            <w:tcW w:w="684" w:type="dxa"/>
            <w:vAlign w:val="top"/>
            <w:vMerge w:val="continue"/>
            <w:tcBorders>
              <w:top w:val="nil"/>
              <w:bottom w:val="nil"/>
            </w:tcBorders>
          </w:tcPr>
          <w:p>
            <w:pPr>
              <w:rPr>
                <w:rFonts w:ascii="Arial"/>
                <w:sz w:val="21"/>
              </w:rPr>
            </w:pPr>
            <w:r/>
          </w:p>
        </w:tc>
        <w:tc>
          <w:tcPr>
            <w:tcW w:w="280" w:type="dxa"/>
            <w:vAlign w:val="top"/>
            <w:vMerge w:val="restart"/>
            <w:textDirection w:val="tbRlV"/>
            <w:tcBorders>
              <w:bottom w:val="nil"/>
            </w:tcBorders>
          </w:tcPr>
          <w:p>
            <w:pPr>
              <w:pStyle w:val="TableText"/>
              <w:spacing w:before="47" w:line="199" w:lineRule="auto"/>
              <w:jc w:val="right"/>
              <w:rPr>
                <w:sz w:val="20"/>
                <w:szCs w:val="20"/>
              </w:rPr>
            </w:pPr>
            <w:r>
              <w:rPr>
                <w:sz w:val="20"/>
                <w:szCs w:val="20"/>
                <w:spacing w:val="-12"/>
              </w:rPr>
              <w:t>淡</w:t>
            </w:r>
            <w:r>
              <w:rPr>
                <w:sz w:val="20"/>
                <w:szCs w:val="20"/>
                <w:spacing w:val="49"/>
              </w:rPr>
              <w:t xml:space="preserve"> </w:t>
            </w:r>
            <w:r>
              <w:rPr>
                <w:sz w:val="20"/>
                <w:szCs w:val="20"/>
                <w:spacing w:val="-8"/>
              </w:rPr>
              <w:t>季</w:t>
            </w:r>
          </w:p>
        </w:tc>
        <w:tc>
          <w:tcPr>
            <w:tcW w:w="769" w:type="dxa"/>
            <w:vAlign w:val="top"/>
            <w:vMerge w:val="restart"/>
            <w:tcBorders>
              <w:bottom w:val="nil"/>
            </w:tcBorders>
          </w:tcPr>
          <w:p>
            <w:pPr>
              <w:pStyle w:val="TableText"/>
              <w:ind w:left="171"/>
              <w:spacing w:before="192"/>
              <w:rPr>
                <w:sz w:val="20"/>
                <w:szCs w:val="20"/>
              </w:rPr>
            </w:pPr>
            <w:r>
              <w:rPr>
                <w:sz w:val="20"/>
                <w:szCs w:val="20"/>
                <w:spacing w:val="-3"/>
              </w:rPr>
              <w:t>3888</w:t>
            </w:r>
          </w:p>
        </w:tc>
        <w:tc>
          <w:tcPr>
            <w:tcW w:w="260" w:type="dxa"/>
            <w:vAlign w:val="top"/>
            <w:vMerge w:val="restart"/>
            <w:textDirection w:val="tbRlV"/>
            <w:tcBorders>
              <w:bottom w:val="nil"/>
            </w:tcBorders>
          </w:tcPr>
          <w:p>
            <w:pPr>
              <w:pStyle w:val="TableText"/>
              <w:ind w:left="409"/>
              <w:spacing w:before="34" w:line="201" w:lineRule="auto"/>
              <w:rPr>
                <w:sz w:val="20"/>
                <w:szCs w:val="20"/>
              </w:rPr>
            </w:pPr>
            <w:r>
              <w:rPr>
                <w:sz w:val="20"/>
                <w:szCs w:val="20"/>
              </w:rPr>
              <w:t>处</w:t>
            </w:r>
            <w:r>
              <w:rPr>
                <w:sz w:val="20"/>
                <w:szCs w:val="20"/>
                <w:spacing w:val="-11"/>
              </w:rPr>
              <w:t xml:space="preserve"> </w:t>
            </w:r>
            <w:r>
              <w:rPr>
                <w:sz w:val="20"/>
                <w:szCs w:val="20"/>
              </w:rPr>
              <w:t>理</w:t>
            </w:r>
            <w:r>
              <w:rPr>
                <w:sz w:val="20"/>
                <w:szCs w:val="20"/>
                <w:spacing w:val="-11"/>
              </w:rPr>
              <w:t xml:space="preserve"> </w:t>
            </w:r>
            <w:r>
              <w:rPr>
                <w:sz w:val="20"/>
                <w:szCs w:val="20"/>
              </w:rPr>
              <w:t>后</w:t>
            </w:r>
          </w:p>
        </w:tc>
        <w:tc>
          <w:tcPr>
            <w:tcW w:w="1299" w:type="dxa"/>
            <w:vAlign w:val="top"/>
          </w:tcPr>
          <w:p>
            <w:pPr>
              <w:pStyle w:val="TableText"/>
              <w:ind w:left="42"/>
              <w:spacing w:before="36" w:line="206" w:lineRule="auto"/>
              <w:rPr>
                <w:sz w:val="20"/>
                <w:szCs w:val="20"/>
              </w:rPr>
            </w:pPr>
            <w:r>
              <w:rPr>
                <w:sz w:val="20"/>
                <w:szCs w:val="20"/>
                <w:spacing w:val="-1"/>
              </w:rPr>
              <w:t>排放浓度mg/L</w:t>
            </w:r>
          </w:p>
        </w:tc>
        <w:tc>
          <w:tcPr>
            <w:tcW w:w="919" w:type="dxa"/>
            <w:vAlign w:val="top"/>
          </w:tcPr>
          <w:p>
            <w:pPr>
              <w:pStyle w:val="TableText"/>
              <w:ind w:left="303"/>
              <w:spacing w:before="62" w:line="182" w:lineRule="auto"/>
              <w:rPr>
                <w:sz w:val="20"/>
                <w:szCs w:val="20"/>
              </w:rPr>
            </w:pPr>
            <w:r>
              <w:rPr>
                <w:sz w:val="20"/>
                <w:szCs w:val="20"/>
                <w:spacing w:val="-3"/>
              </w:rPr>
              <w:t>280</w:t>
            </w:r>
          </w:p>
        </w:tc>
        <w:tc>
          <w:tcPr>
            <w:tcW w:w="739" w:type="dxa"/>
            <w:vAlign w:val="top"/>
          </w:tcPr>
          <w:p>
            <w:pPr>
              <w:pStyle w:val="TableText"/>
              <w:ind w:left="214"/>
              <w:spacing w:before="62" w:line="182" w:lineRule="auto"/>
              <w:rPr>
                <w:sz w:val="20"/>
                <w:szCs w:val="20"/>
              </w:rPr>
            </w:pPr>
            <w:r>
              <w:rPr>
                <w:sz w:val="20"/>
                <w:szCs w:val="20"/>
                <w:color w:val="403050"/>
                <w:spacing w:val="-6"/>
              </w:rPr>
              <w:t>160</w:t>
            </w:r>
          </w:p>
        </w:tc>
        <w:tc>
          <w:tcPr>
            <w:tcW w:w="769" w:type="dxa"/>
            <w:vAlign w:val="top"/>
          </w:tcPr>
          <w:p>
            <w:pPr>
              <w:pStyle w:val="TableText"/>
              <w:ind w:left="225"/>
              <w:spacing w:before="62" w:line="182" w:lineRule="auto"/>
              <w:rPr>
                <w:sz w:val="20"/>
                <w:szCs w:val="20"/>
              </w:rPr>
            </w:pPr>
            <w:r>
              <w:rPr>
                <w:sz w:val="20"/>
                <w:szCs w:val="20"/>
                <w:color w:val="403050"/>
                <w:spacing w:val="-6"/>
              </w:rPr>
              <w:t>160</w:t>
            </w:r>
          </w:p>
        </w:tc>
        <w:tc>
          <w:tcPr>
            <w:tcW w:w="759" w:type="dxa"/>
            <w:vAlign w:val="top"/>
          </w:tcPr>
          <w:p>
            <w:pPr>
              <w:pStyle w:val="TableText"/>
              <w:ind w:left="276"/>
              <w:spacing w:before="62" w:line="182" w:lineRule="auto"/>
              <w:rPr>
                <w:sz w:val="20"/>
                <w:szCs w:val="20"/>
              </w:rPr>
            </w:pPr>
            <w:r>
              <w:rPr>
                <w:sz w:val="20"/>
                <w:szCs w:val="20"/>
                <w:spacing w:val="-3"/>
              </w:rPr>
              <w:t>30</w:t>
            </w:r>
          </w:p>
        </w:tc>
        <w:tc>
          <w:tcPr>
            <w:tcW w:w="789" w:type="dxa"/>
            <w:vAlign w:val="top"/>
          </w:tcPr>
          <w:p>
            <w:pPr>
              <w:pStyle w:val="TableText"/>
              <w:ind w:left="287"/>
              <w:spacing w:before="62" w:line="182" w:lineRule="auto"/>
              <w:rPr>
                <w:sz w:val="20"/>
                <w:szCs w:val="20"/>
              </w:rPr>
            </w:pPr>
            <w:r>
              <w:rPr>
                <w:sz w:val="20"/>
                <w:szCs w:val="20"/>
                <w:spacing w:val="-2"/>
              </w:rPr>
              <w:t>45</w:t>
            </w:r>
          </w:p>
        </w:tc>
        <w:tc>
          <w:tcPr>
            <w:tcW w:w="659" w:type="dxa"/>
            <w:vAlign w:val="top"/>
          </w:tcPr>
          <w:p>
            <w:pPr>
              <w:pStyle w:val="TableText"/>
              <w:ind w:left="128"/>
              <w:spacing w:before="62" w:line="182" w:lineRule="auto"/>
              <w:rPr>
                <w:sz w:val="20"/>
                <w:szCs w:val="20"/>
              </w:rPr>
            </w:pPr>
            <w:r>
              <w:rPr>
                <w:sz w:val="20"/>
                <w:szCs w:val="20"/>
                <w:spacing w:val="-3"/>
              </w:rPr>
              <w:t>3.52</w:t>
            </w:r>
          </w:p>
        </w:tc>
        <w:tc>
          <w:tcPr>
            <w:tcW w:w="776" w:type="dxa"/>
            <w:vAlign w:val="top"/>
          </w:tcPr>
          <w:p>
            <w:pPr>
              <w:pStyle w:val="TableText"/>
              <w:ind w:left="279"/>
              <w:spacing w:before="62" w:line="182" w:lineRule="auto"/>
              <w:rPr>
                <w:sz w:val="20"/>
                <w:szCs w:val="20"/>
              </w:rPr>
            </w:pPr>
            <w:r>
              <w:rPr>
                <w:sz w:val="20"/>
                <w:szCs w:val="20"/>
                <w:spacing w:val="-6"/>
              </w:rPr>
              <w:t>16</w:t>
            </w:r>
          </w:p>
        </w:tc>
      </w:tr>
      <w:tr>
        <w:trPr>
          <w:trHeight w:val="250" w:hRule="atLeast"/>
        </w:trPr>
        <w:tc>
          <w:tcPr>
            <w:tcW w:w="684" w:type="dxa"/>
            <w:vAlign w:val="top"/>
            <w:vMerge w:val="continue"/>
            <w:tcBorders>
              <w:top w:val="nil"/>
              <w:bottom w:val="nil"/>
            </w:tcBorders>
          </w:tcPr>
          <w:p>
            <w:pPr>
              <w:rPr>
                <w:rFonts w:ascii="Arial"/>
                <w:sz w:val="21"/>
              </w:rPr>
            </w:pPr>
            <w:r/>
          </w:p>
        </w:tc>
        <w:tc>
          <w:tcPr>
            <w:tcW w:w="28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60" w:type="dxa"/>
            <w:vAlign w:val="top"/>
            <w:vMerge w:val="continue"/>
            <w:textDirection w:val="tbRlV"/>
            <w:tcBorders>
              <w:top w:val="nil"/>
              <w:bottom w:val="nil"/>
            </w:tcBorders>
          </w:tcPr>
          <w:p>
            <w:pPr>
              <w:rPr>
                <w:rFonts w:ascii="Arial"/>
                <w:sz w:val="21"/>
              </w:rPr>
            </w:pPr>
            <w:r/>
          </w:p>
        </w:tc>
        <w:tc>
          <w:tcPr>
            <w:tcW w:w="1299" w:type="dxa"/>
            <w:vAlign w:val="top"/>
          </w:tcPr>
          <w:p>
            <w:pPr>
              <w:pStyle w:val="TableText"/>
              <w:ind w:left="192"/>
              <w:spacing w:before="34" w:line="190" w:lineRule="auto"/>
              <w:rPr>
                <w:sz w:val="20"/>
                <w:szCs w:val="20"/>
              </w:rPr>
            </w:pPr>
            <w:r>
              <w:rPr>
                <w:sz w:val="20"/>
                <w:szCs w:val="20"/>
                <w:spacing w:val="-2"/>
              </w:rPr>
              <w:t>排放量t/a</w:t>
            </w:r>
          </w:p>
        </w:tc>
        <w:tc>
          <w:tcPr>
            <w:tcW w:w="919" w:type="dxa"/>
            <w:vAlign w:val="top"/>
          </w:tcPr>
          <w:p>
            <w:pPr>
              <w:pStyle w:val="TableText"/>
              <w:ind w:left="152"/>
              <w:spacing w:before="53" w:line="172" w:lineRule="auto"/>
              <w:rPr>
                <w:sz w:val="20"/>
                <w:szCs w:val="20"/>
              </w:rPr>
            </w:pPr>
            <w:r>
              <w:rPr>
                <w:sz w:val="20"/>
                <w:szCs w:val="20"/>
                <w:spacing w:val="-4"/>
              </w:rPr>
              <w:t>1.0886</w:t>
            </w:r>
          </w:p>
        </w:tc>
        <w:tc>
          <w:tcPr>
            <w:tcW w:w="739" w:type="dxa"/>
            <w:vAlign w:val="top"/>
          </w:tcPr>
          <w:p>
            <w:pPr>
              <w:pStyle w:val="TableText"/>
              <w:ind w:left="63"/>
              <w:spacing w:before="53" w:line="172" w:lineRule="auto"/>
              <w:rPr>
                <w:sz w:val="20"/>
                <w:szCs w:val="20"/>
              </w:rPr>
            </w:pPr>
            <w:r>
              <w:rPr>
                <w:sz w:val="20"/>
                <w:szCs w:val="20"/>
                <w:spacing w:val="-2"/>
              </w:rPr>
              <w:t>0.6221</w:t>
            </w:r>
          </w:p>
        </w:tc>
        <w:tc>
          <w:tcPr>
            <w:tcW w:w="769" w:type="dxa"/>
            <w:vAlign w:val="top"/>
          </w:tcPr>
          <w:p>
            <w:pPr>
              <w:pStyle w:val="TableText"/>
              <w:ind w:left="75"/>
              <w:spacing w:before="53" w:line="172" w:lineRule="auto"/>
              <w:rPr>
                <w:sz w:val="20"/>
                <w:szCs w:val="20"/>
              </w:rPr>
            </w:pPr>
            <w:r>
              <w:rPr>
                <w:sz w:val="20"/>
                <w:szCs w:val="20"/>
                <w:spacing w:val="-2"/>
              </w:rPr>
              <w:t>0.6221</w:t>
            </w:r>
          </w:p>
        </w:tc>
        <w:tc>
          <w:tcPr>
            <w:tcW w:w="759" w:type="dxa"/>
            <w:vAlign w:val="top"/>
          </w:tcPr>
          <w:p>
            <w:pPr>
              <w:pStyle w:val="TableText"/>
              <w:ind w:left="76"/>
              <w:spacing w:before="53" w:line="172" w:lineRule="auto"/>
              <w:rPr>
                <w:sz w:val="20"/>
                <w:szCs w:val="20"/>
              </w:rPr>
            </w:pPr>
            <w:r>
              <w:rPr>
                <w:sz w:val="20"/>
                <w:szCs w:val="20"/>
                <w:spacing w:val="-2"/>
              </w:rPr>
              <w:t>0.1166</w:t>
            </w:r>
          </w:p>
        </w:tc>
        <w:tc>
          <w:tcPr>
            <w:tcW w:w="789" w:type="dxa"/>
            <w:vAlign w:val="top"/>
          </w:tcPr>
          <w:p>
            <w:pPr>
              <w:pStyle w:val="TableText"/>
              <w:ind w:left="87"/>
              <w:spacing w:before="53" w:line="172" w:lineRule="auto"/>
              <w:rPr>
                <w:sz w:val="20"/>
                <w:szCs w:val="20"/>
              </w:rPr>
            </w:pPr>
            <w:r>
              <w:rPr>
                <w:sz w:val="20"/>
                <w:szCs w:val="20"/>
                <w:spacing w:val="-2"/>
              </w:rPr>
              <w:t>0.1750</w:t>
            </w:r>
          </w:p>
        </w:tc>
        <w:tc>
          <w:tcPr>
            <w:tcW w:w="659" w:type="dxa"/>
            <w:vAlign w:val="top"/>
          </w:tcPr>
          <w:p>
            <w:pPr>
              <w:pStyle w:val="TableText"/>
              <w:ind w:left="27"/>
              <w:spacing w:before="53" w:line="172" w:lineRule="auto"/>
              <w:rPr>
                <w:sz w:val="20"/>
                <w:szCs w:val="20"/>
              </w:rPr>
            </w:pPr>
            <w:r>
              <w:rPr>
                <w:sz w:val="20"/>
                <w:szCs w:val="20"/>
                <w:spacing w:val="-2"/>
              </w:rPr>
              <w:t>0.0137</w:t>
            </w:r>
          </w:p>
        </w:tc>
        <w:tc>
          <w:tcPr>
            <w:tcW w:w="776" w:type="dxa"/>
            <w:vAlign w:val="top"/>
          </w:tcPr>
          <w:p>
            <w:pPr>
              <w:pStyle w:val="TableText"/>
              <w:ind w:left="79"/>
              <w:spacing w:before="53" w:line="172" w:lineRule="auto"/>
              <w:rPr>
                <w:sz w:val="20"/>
                <w:szCs w:val="20"/>
              </w:rPr>
            </w:pPr>
            <w:r>
              <w:rPr>
                <w:sz w:val="20"/>
                <w:szCs w:val="20"/>
                <w:spacing w:val="-2"/>
              </w:rPr>
              <w:t>0.0622</w:t>
            </w:r>
          </w:p>
        </w:tc>
      </w:tr>
      <w:tr>
        <w:trPr>
          <w:trHeight w:val="259" w:hRule="atLeast"/>
        </w:trPr>
        <w:tc>
          <w:tcPr>
            <w:tcW w:w="684" w:type="dxa"/>
            <w:vAlign w:val="top"/>
            <w:vMerge w:val="continue"/>
            <w:tcBorders>
              <w:top w:val="nil"/>
              <w:bottom w:val="nil"/>
            </w:tcBorders>
          </w:tcPr>
          <w:p>
            <w:pPr>
              <w:rPr>
                <w:rFonts w:ascii="Arial"/>
                <w:sz w:val="21"/>
              </w:rPr>
            </w:pPr>
            <w:r/>
          </w:p>
        </w:tc>
        <w:tc>
          <w:tcPr>
            <w:tcW w:w="280" w:type="dxa"/>
            <w:vAlign w:val="top"/>
            <w:vMerge w:val="restart"/>
            <w:textDirection w:val="tbRlV"/>
            <w:tcBorders>
              <w:bottom w:val="nil"/>
            </w:tcBorders>
          </w:tcPr>
          <w:p>
            <w:pPr>
              <w:pStyle w:val="TableText"/>
              <w:spacing w:before="46" w:line="200" w:lineRule="auto"/>
              <w:jc w:val="right"/>
              <w:rPr>
                <w:sz w:val="20"/>
                <w:szCs w:val="20"/>
              </w:rPr>
            </w:pPr>
            <w:r>
              <w:rPr>
                <w:sz w:val="20"/>
                <w:szCs w:val="20"/>
                <w:spacing w:val="-10"/>
              </w:rPr>
              <w:t>旺</w:t>
            </w:r>
            <w:r>
              <w:rPr>
                <w:sz w:val="20"/>
                <w:szCs w:val="20"/>
                <w:spacing w:val="36"/>
              </w:rPr>
              <w:t xml:space="preserve"> </w:t>
            </w:r>
            <w:r>
              <w:rPr>
                <w:sz w:val="20"/>
                <w:szCs w:val="20"/>
                <w:spacing w:val="-8"/>
              </w:rPr>
              <w:t>季</w:t>
            </w:r>
          </w:p>
        </w:tc>
        <w:tc>
          <w:tcPr>
            <w:tcW w:w="769" w:type="dxa"/>
            <w:vAlign w:val="top"/>
            <w:vMerge w:val="restart"/>
            <w:tcBorders>
              <w:bottom w:val="nil"/>
            </w:tcBorders>
          </w:tcPr>
          <w:p>
            <w:pPr>
              <w:pStyle w:val="TableText"/>
              <w:ind w:left="171"/>
              <w:spacing w:before="182"/>
              <w:rPr>
                <w:sz w:val="20"/>
                <w:szCs w:val="20"/>
              </w:rPr>
            </w:pPr>
            <w:r>
              <w:rPr>
                <w:sz w:val="20"/>
                <w:szCs w:val="20"/>
                <w:spacing w:val="-5"/>
              </w:rPr>
              <w:t>1296</w:t>
            </w:r>
          </w:p>
        </w:tc>
        <w:tc>
          <w:tcPr>
            <w:tcW w:w="260" w:type="dxa"/>
            <w:vAlign w:val="top"/>
            <w:vMerge w:val="continue"/>
            <w:textDirection w:val="tbRlV"/>
            <w:tcBorders>
              <w:top w:val="nil"/>
              <w:bottom w:val="nil"/>
            </w:tcBorders>
          </w:tcPr>
          <w:p>
            <w:pPr>
              <w:rPr>
                <w:rFonts w:ascii="Arial"/>
                <w:sz w:val="21"/>
              </w:rPr>
            </w:pPr>
            <w:r/>
          </w:p>
        </w:tc>
        <w:tc>
          <w:tcPr>
            <w:tcW w:w="1299" w:type="dxa"/>
            <w:vAlign w:val="top"/>
          </w:tcPr>
          <w:p>
            <w:pPr>
              <w:pStyle w:val="TableText"/>
              <w:ind w:left="42"/>
              <w:spacing w:before="26" w:line="205" w:lineRule="auto"/>
              <w:rPr>
                <w:sz w:val="20"/>
                <w:szCs w:val="20"/>
              </w:rPr>
            </w:pPr>
            <w:r>
              <w:rPr>
                <w:sz w:val="20"/>
                <w:szCs w:val="20"/>
                <w:spacing w:val="-1"/>
              </w:rPr>
              <w:t>排放浓度mg/L</w:t>
            </w:r>
          </w:p>
        </w:tc>
        <w:tc>
          <w:tcPr>
            <w:tcW w:w="919" w:type="dxa"/>
            <w:vAlign w:val="top"/>
          </w:tcPr>
          <w:p>
            <w:pPr>
              <w:pStyle w:val="TableText"/>
              <w:ind w:left="303"/>
              <w:spacing w:before="52" w:line="181" w:lineRule="auto"/>
              <w:rPr>
                <w:sz w:val="20"/>
                <w:szCs w:val="20"/>
              </w:rPr>
            </w:pPr>
            <w:r>
              <w:rPr>
                <w:sz w:val="20"/>
                <w:szCs w:val="20"/>
                <w:spacing w:val="-3"/>
              </w:rPr>
              <w:t>280</w:t>
            </w:r>
          </w:p>
        </w:tc>
        <w:tc>
          <w:tcPr>
            <w:tcW w:w="739" w:type="dxa"/>
            <w:vAlign w:val="top"/>
          </w:tcPr>
          <w:p>
            <w:pPr>
              <w:pStyle w:val="TableText"/>
              <w:ind w:left="214"/>
              <w:spacing w:before="52" w:line="181" w:lineRule="auto"/>
              <w:rPr>
                <w:sz w:val="20"/>
                <w:szCs w:val="20"/>
              </w:rPr>
            </w:pPr>
            <w:r>
              <w:rPr>
                <w:sz w:val="20"/>
                <w:szCs w:val="20"/>
                <w:spacing w:val="-6"/>
              </w:rPr>
              <w:t>160</w:t>
            </w:r>
          </w:p>
        </w:tc>
        <w:tc>
          <w:tcPr>
            <w:tcW w:w="769" w:type="dxa"/>
            <w:vAlign w:val="top"/>
          </w:tcPr>
          <w:p>
            <w:pPr>
              <w:pStyle w:val="TableText"/>
              <w:ind w:left="225"/>
              <w:spacing w:before="52" w:line="181" w:lineRule="auto"/>
              <w:rPr>
                <w:sz w:val="20"/>
                <w:szCs w:val="20"/>
              </w:rPr>
            </w:pPr>
            <w:r>
              <w:rPr>
                <w:sz w:val="20"/>
                <w:szCs w:val="20"/>
                <w:color w:val="404050"/>
                <w:spacing w:val="-6"/>
              </w:rPr>
              <w:t>160</w:t>
            </w:r>
          </w:p>
        </w:tc>
        <w:tc>
          <w:tcPr>
            <w:tcW w:w="759" w:type="dxa"/>
            <w:vAlign w:val="top"/>
          </w:tcPr>
          <w:p>
            <w:pPr>
              <w:pStyle w:val="TableText"/>
              <w:ind w:left="276"/>
              <w:spacing w:before="52" w:line="181" w:lineRule="auto"/>
              <w:rPr>
                <w:sz w:val="20"/>
                <w:szCs w:val="20"/>
              </w:rPr>
            </w:pPr>
            <w:r>
              <w:rPr>
                <w:sz w:val="20"/>
                <w:szCs w:val="20"/>
                <w:spacing w:val="-3"/>
              </w:rPr>
              <w:t>30</w:t>
            </w:r>
          </w:p>
        </w:tc>
        <w:tc>
          <w:tcPr>
            <w:tcW w:w="789" w:type="dxa"/>
            <w:vAlign w:val="top"/>
          </w:tcPr>
          <w:p>
            <w:pPr>
              <w:pStyle w:val="TableText"/>
              <w:ind w:left="287"/>
              <w:spacing w:before="52" w:line="181" w:lineRule="auto"/>
              <w:rPr>
                <w:sz w:val="20"/>
                <w:szCs w:val="20"/>
              </w:rPr>
            </w:pPr>
            <w:r>
              <w:rPr>
                <w:sz w:val="20"/>
                <w:szCs w:val="20"/>
                <w:spacing w:val="-2"/>
              </w:rPr>
              <w:t>45</w:t>
            </w:r>
          </w:p>
        </w:tc>
        <w:tc>
          <w:tcPr>
            <w:tcW w:w="659" w:type="dxa"/>
            <w:vAlign w:val="top"/>
          </w:tcPr>
          <w:p>
            <w:pPr>
              <w:pStyle w:val="TableText"/>
              <w:ind w:left="128"/>
              <w:spacing w:before="52" w:line="181" w:lineRule="auto"/>
              <w:rPr>
                <w:sz w:val="20"/>
                <w:szCs w:val="20"/>
              </w:rPr>
            </w:pPr>
            <w:r>
              <w:rPr>
                <w:sz w:val="20"/>
                <w:szCs w:val="20"/>
                <w:spacing w:val="-3"/>
              </w:rPr>
              <w:t>3.52</w:t>
            </w:r>
          </w:p>
        </w:tc>
        <w:tc>
          <w:tcPr>
            <w:tcW w:w="776" w:type="dxa"/>
            <w:vAlign w:val="top"/>
          </w:tcPr>
          <w:p>
            <w:pPr>
              <w:pStyle w:val="TableText"/>
              <w:ind w:left="279"/>
              <w:spacing w:before="52" w:line="181" w:lineRule="auto"/>
              <w:rPr>
                <w:sz w:val="20"/>
                <w:szCs w:val="20"/>
              </w:rPr>
            </w:pPr>
            <w:r>
              <w:rPr>
                <w:sz w:val="20"/>
                <w:szCs w:val="20"/>
                <w:spacing w:val="-6"/>
              </w:rPr>
              <w:t>16</w:t>
            </w:r>
          </w:p>
        </w:tc>
      </w:tr>
      <w:tr>
        <w:trPr>
          <w:trHeight w:val="250" w:hRule="atLeast"/>
        </w:trPr>
        <w:tc>
          <w:tcPr>
            <w:tcW w:w="684" w:type="dxa"/>
            <w:vAlign w:val="top"/>
            <w:vMerge w:val="continue"/>
            <w:tcBorders>
              <w:top w:val="nil"/>
              <w:bottom w:val="nil"/>
            </w:tcBorders>
          </w:tcPr>
          <w:p>
            <w:pPr>
              <w:rPr>
                <w:rFonts w:ascii="Arial"/>
                <w:sz w:val="21"/>
              </w:rPr>
            </w:pPr>
            <w:r/>
          </w:p>
        </w:tc>
        <w:tc>
          <w:tcPr>
            <w:tcW w:w="28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60" w:type="dxa"/>
            <w:vAlign w:val="top"/>
            <w:vMerge w:val="continue"/>
            <w:textDirection w:val="tbRlV"/>
            <w:tcBorders>
              <w:top w:val="nil"/>
              <w:bottom w:val="nil"/>
            </w:tcBorders>
          </w:tcPr>
          <w:p>
            <w:pPr>
              <w:rPr>
                <w:rFonts w:ascii="Arial"/>
                <w:sz w:val="21"/>
              </w:rPr>
            </w:pPr>
            <w:r/>
          </w:p>
        </w:tc>
        <w:tc>
          <w:tcPr>
            <w:tcW w:w="1299" w:type="dxa"/>
            <w:vAlign w:val="top"/>
          </w:tcPr>
          <w:p>
            <w:pPr>
              <w:pStyle w:val="TableText"/>
              <w:ind w:left="192"/>
              <w:spacing w:before="35" w:line="189" w:lineRule="auto"/>
              <w:rPr>
                <w:sz w:val="20"/>
                <w:szCs w:val="20"/>
              </w:rPr>
            </w:pPr>
            <w:r>
              <w:rPr>
                <w:sz w:val="20"/>
                <w:szCs w:val="20"/>
                <w:spacing w:val="-2"/>
              </w:rPr>
              <w:t>排放量t/a</w:t>
            </w:r>
          </w:p>
        </w:tc>
        <w:tc>
          <w:tcPr>
            <w:tcW w:w="919" w:type="dxa"/>
            <w:vAlign w:val="top"/>
          </w:tcPr>
          <w:p>
            <w:pPr>
              <w:pStyle w:val="TableText"/>
              <w:ind w:left="152"/>
              <w:spacing w:before="54" w:line="171" w:lineRule="auto"/>
              <w:rPr>
                <w:sz w:val="20"/>
                <w:szCs w:val="20"/>
              </w:rPr>
            </w:pPr>
            <w:r>
              <w:rPr>
                <w:sz w:val="20"/>
                <w:szCs w:val="20"/>
                <w:spacing w:val="-2"/>
              </w:rPr>
              <w:t>0.3629</w:t>
            </w:r>
          </w:p>
        </w:tc>
        <w:tc>
          <w:tcPr>
            <w:tcW w:w="739" w:type="dxa"/>
            <w:vAlign w:val="top"/>
          </w:tcPr>
          <w:p>
            <w:pPr>
              <w:pStyle w:val="TableText"/>
              <w:ind w:left="63"/>
              <w:spacing w:before="54" w:line="171" w:lineRule="auto"/>
              <w:rPr>
                <w:sz w:val="20"/>
                <w:szCs w:val="20"/>
              </w:rPr>
            </w:pPr>
            <w:r>
              <w:rPr>
                <w:sz w:val="20"/>
                <w:szCs w:val="20"/>
                <w:spacing w:val="-2"/>
              </w:rPr>
              <w:t>0.2074</w:t>
            </w:r>
          </w:p>
        </w:tc>
        <w:tc>
          <w:tcPr>
            <w:tcW w:w="769" w:type="dxa"/>
            <w:vAlign w:val="top"/>
          </w:tcPr>
          <w:p>
            <w:pPr>
              <w:pStyle w:val="TableText"/>
              <w:ind w:left="75"/>
              <w:spacing w:before="54" w:line="171" w:lineRule="auto"/>
              <w:rPr>
                <w:sz w:val="20"/>
                <w:szCs w:val="20"/>
              </w:rPr>
            </w:pPr>
            <w:r>
              <w:rPr>
                <w:sz w:val="20"/>
                <w:szCs w:val="20"/>
                <w:spacing w:val="-2"/>
              </w:rPr>
              <w:t>0.2074</w:t>
            </w:r>
          </w:p>
        </w:tc>
        <w:tc>
          <w:tcPr>
            <w:tcW w:w="759" w:type="dxa"/>
            <w:vAlign w:val="top"/>
          </w:tcPr>
          <w:p>
            <w:pPr>
              <w:pStyle w:val="TableText"/>
              <w:ind w:left="76"/>
              <w:spacing w:before="54" w:line="171" w:lineRule="auto"/>
              <w:rPr>
                <w:sz w:val="20"/>
                <w:szCs w:val="20"/>
              </w:rPr>
            </w:pPr>
            <w:r>
              <w:rPr>
                <w:sz w:val="20"/>
                <w:szCs w:val="20"/>
                <w:spacing w:val="-2"/>
              </w:rPr>
              <w:t>0.0389</w:t>
            </w:r>
          </w:p>
        </w:tc>
        <w:tc>
          <w:tcPr>
            <w:tcW w:w="789" w:type="dxa"/>
            <w:vAlign w:val="top"/>
          </w:tcPr>
          <w:p>
            <w:pPr>
              <w:pStyle w:val="TableText"/>
              <w:ind w:left="87"/>
              <w:spacing w:before="54" w:line="171" w:lineRule="auto"/>
              <w:rPr>
                <w:sz w:val="20"/>
                <w:szCs w:val="20"/>
              </w:rPr>
            </w:pPr>
            <w:r>
              <w:rPr>
                <w:sz w:val="20"/>
                <w:szCs w:val="20"/>
                <w:spacing w:val="-2"/>
              </w:rPr>
              <w:t>0.0583</w:t>
            </w:r>
          </w:p>
        </w:tc>
        <w:tc>
          <w:tcPr>
            <w:tcW w:w="659" w:type="dxa"/>
            <w:vAlign w:val="top"/>
          </w:tcPr>
          <w:p>
            <w:pPr>
              <w:pStyle w:val="TableText"/>
              <w:ind w:left="27"/>
              <w:spacing w:before="54" w:line="171" w:lineRule="auto"/>
              <w:rPr>
                <w:sz w:val="20"/>
                <w:szCs w:val="20"/>
              </w:rPr>
            </w:pPr>
            <w:r>
              <w:rPr>
                <w:sz w:val="20"/>
                <w:szCs w:val="20"/>
                <w:spacing w:val="-2"/>
              </w:rPr>
              <w:t>0.0046</w:t>
            </w:r>
          </w:p>
        </w:tc>
        <w:tc>
          <w:tcPr>
            <w:tcW w:w="776" w:type="dxa"/>
            <w:vAlign w:val="top"/>
          </w:tcPr>
          <w:p>
            <w:pPr>
              <w:pStyle w:val="TableText"/>
              <w:ind w:left="79"/>
              <w:spacing w:before="54" w:line="171" w:lineRule="auto"/>
              <w:rPr>
                <w:sz w:val="20"/>
                <w:szCs w:val="20"/>
              </w:rPr>
            </w:pPr>
            <w:r>
              <w:rPr>
                <w:sz w:val="20"/>
                <w:szCs w:val="20"/>
                <w:spacing w:val="-2"/>
              </w:rPr>
              <w:t>0.0207</w:t>
            </w:r>
          </w:p>
        </w:tc>
      </w:tr>
      <w:tr>
        <w:trPr>
          <w:trHeight w:val="270" w:hRule="atLeast"/>
        </w:trPr>
        <w:tc>
          <w:tcPr>
            <w:tcW w:w="684" w:type="dxa"/>
            <w:vAlign w:val="top"/>
            <w:vMerge w:val="continue"/>
            <w:tcBorders>
              <w:top w:val="nil"/>
              <w:bottom w:val="nil"/>
            </w:tcBorders>
          </w:tcPr>
          <w:p>
            <w:pPr>
              <w:rPr>
                <w:rFonts w:ascii="Arial"/>
                <w:sz w:val="21"/>
              </w:rPr>
            </w:pPr>
            <w:r/>
          </w:p>
        </w:tc>
        <w:tc>
          <w:tcPr>
            <w:tcW w:w="280" w:type="dxa"/>
            <w:vAlign w:val="top"/>
            <w:vMerge w:val="restart"/>
            <w:textDirection w:val="tbRlV"/>
            <w:tcBorders>
              <w:bottom w:val="nil"/>
            </w:tcBorders>
          </w:tcPr>
          <w:p>
            <w:pPr>
              <w:pStyle w:val="TableText"/>
              <w:spacing w:before="47" w:line="200" w:lineRule="auto"/>
              <w:jc w:val="right"/>
              <w:rPr>
                <w:sz w:val="20"/>
                <w:szCs w:val="20"/>
              </w:rPr>
            </w:pPr>
            <w:r>
              <w:rPr>
                <w:sz w:val="20"/>
                <w:szCs w:val="20"/>
                <w:spacing w:val="-6"/>
              </w:rPr>
              <w:t>全</w:t>
            </w:r>
            <w:r>
              <w:rPr>
                <w:sz w:val="20"/>
                <w:szCs w:val="20"/>
                <w:spacing w:val="49"/>
              </w:rPr>
              <w:t xml:space="preserve"> </w:t>
            </w:r>
            <w:r>
              <w:rPr>
                <w:sz w:val="20"/>
                <w:szCs w:val="20"/>
                <w:spacing w:val="-6"/>
              </w:rPr>
              <w:t>年</w:t>
            </w:r>
          </w:p>
        </w:tc>
        <w:tc>
          <w:tcPr>
            <w:tcW w:w="769" w:type="dxa"/>
            <w:vAlign w:val="top"/>
            <w:vMerge w:val="restart"/>
            <w:tcBorders>
              <w:bottom w:val="nil"/>
            </w:tcBorders>
          </w:tcPr>
          <w:p>
            <w:pPr>
              <w:pStyle w:val="TableText"/>
              <w:ind w:left="171"/>
              <w:spacing w:before="193"/>
              <w:rPr>
                <w:sz w:val="20"/>
                <w:szCs w:val="20"/>
              </w:rPr>
            </w:pPr>
            <w:r>
              <w:rPr>
                <w:sz w:val="20"/>
                <w:szCs w:val="20"/>
                <w:spacing w:val="-3"/>
              </w:rPr>
              <w:t>5184</w:t>
            </w:r>
          </w:p>
        </w:tc>
        <w:tc>
          <w:tcPr>
            <w:tcW w:w="260" w:type="dxa"/>
            <w:vAlign w:val="top"/>
            <w:vMerge w:val="continue"/>
            <w:textDirection w:val="tbRlV"/>
            <w:tcBorders>
              <w:top w:val="nil"/>
              <w:bottom w:val="nil"/>
            </w:tcBorders>
          </w:tcPr>
          <w:p>
            <w:pPr>
              <w:rPr>
                <w:rFonts w:ascii="Arial"/>
                <w:sz w:val="21"/>
              </w:rPr>
            </w:pPr>
            <w:r/>
          </w:p>
        </w:tc>
        <w:tc>
          <w:tcPr>
            <w:tcW w:w="1299" w:type="dxa"/>
            <w:vAlign w:val="top"/>
          </w:tcPr>
          <w:p>
            <w:pPr>
              <w:pStyle w:val="TableText"/>
              <w:ind w:left="42"/>
              <w:spacing w:before="37" w:line="205" w:lineRule="auto"/>
              <w:rPr>
                <w:sz w:val="20"/>
                <w:szCs w:val="20"/>
              </w:rPr>
            </w:pPr>
            <w:r>
              <w:rPr>
                <w:sz w:val="20"/>
                <w:szCs w:val="20"/>
                <w:spacing w:val="-1"/>
              </w:rPr>
              <w:t>排放浓度mg/L</w:t>
            </w:r>
          </w:p>
        </w:tc>
        <w:tc>
          <w:tcPr>
            <w:tcW w:w="919" w:type="dxa"/>
            <w:vAlign w:val="top"/>
          </w:tcPr>
          <w:p>
            <w:pPr>
              <w:pStyle w:val="TableText"/>
              <w:ind w:left="303"/>
              <w:spacing w:before="63" w:line="181" w:lineRule="auto"/>
              <w:rPr>
                <w:sz w:val="20"/>
                <w:szCs w:val="20"/>
              </w:rPr>
            </w:pPr>
            <w:r>
              <w:rPr>
                <w:sz w:val="20"/>
                <w:szCs w:val="20"/>
                <w:spacing w:val="-3"/>
              </w:rPr>
              <w:t>280</w:t>
            </w:r>
          </w:p>
        </w:tc>
        <w:tc>
          <w:tcPr>
            <w:tcW w:w="739" w:type="dxa"/>
            <w:vAlign w:val="top"/>
          </w:tcPr>
          <w:p>
            <w:pPr>
              <w:pStyle w:val="TableText"/>
              <w:ind w:left="214"/>
              <w:spacing w:before="63" w:line="181" w:lineRule="auto"/>
              <w:rPr>
                <w:sz w:val="20"/>
                <w:szCs w:val="20"/>
              </w:rPr>
            </w:pPr>
            <w:r>
              <w:rPr>
                <w:sz w:val="20"/>
                <w:szCs w:val="20"/>
                <w:spacing w:val="-6"/>
              </w:rPr>
              <w:t>160</w:t>
            </w:r>
          </w:p>
        </w:tc>
        <w:tc>
          <w:tcPr>
            <w:tcW w:w="769" w:type="dxa"/>
            <w:vAlign w:val="top"/>
          </w:tcPr>
          <w:p>
            <w:pPr>
              <w:pStyle w:val="TableText"/>
              <w:ind w:left="225"/>
              <w:spacing w:before="63" w:line="181" w:lineRule="auto"/>
              <w:rPr>
                <w:sz w:val="20"/>
                <w:szCs w:val="20"/>
              </w:rPr>
            </w:pPr>
            <w:r>
              <w:rPr>
                <w:sz w:val="20"/>
                <w:szCs w:val="20"/>
                <w:spacing w:val="-6"/>
              </w:rPr>
              <w:t>160</w:t>
            </w:r>
          </w:p>
        </w:tc>
        <w:tc>
          <w:tcPr>
            <w:tcW w:w="759" w:type="dxa"/>
            <w:vAlign w:val="top"/>
          </w:tcPr>
          <w:p>
            <w:pPr>
              <w:pStyle w:val="TableText"/>
              <w:ind w:left="276"/>
              <w:spacing w:before="63" w:line="181" w:lineRule="auto"/>
              <w:rPr>
                <w:sz w:val="20"/>
                <w:szCs w:val="20"/>
              </w:rPr>
            </w:pPr>
            <w:r>
              <w:rPr>
                <w:sz w:val="20"/>
                <w:szCs w:val="20"/>
                <w:spacing w:val="-3"/>
              </w:rPr>
              <w:t>30</w:t>
            </w:r>
          </w:p>
        </w:tc>
        <w:tc>
          <w:tcPr>
            <w:tcW w:w="789" w:type="dxa"/>
            <w:vAlign w:val="top"/>
          </w:tcPr>
          <w:p>
            <w:pPr>
              <w:pStyle w:val="TableText"/>
              <w:ind w:left="287"/>
              <w:spacing w:before="63" w:line="181" w:lineRule="auto"/>
              <w:rPr>
                <w:sz w:val="20"/>
                <w:szCs w:val="20"/>
              </w:rPr>
            </w:pPr>
            <w:r>
              <w:rPr>
                <w:sz w:val="20"/>
                <w:szCs w:val="20"/>
                <w:spacing w:val="-2"/>
              </w:rPr>
              <w:t>45</w:t>
            </w:r>
          </w:p>
        </w:tc>
        <w:tc>
          <w:tcPr>
            <w:tcW w:w="659" w:type="dxa"/>
            <w:vAlign w:val="top"/>
          </w:tcPr>
          <w:p>
            <w:pPr>
              <w:pStyle w:val="TableText"/>
              <w:ind w:left="128"/>
              <w:spacing w:before="63" w:line="181" w:lineRule="auto"/>
              <w:rPr>
                <w:sz w:val="20"/>
                <w:szCs w:val="20"/>
              </w:rPr>
            </w:pPr>
            <w:r>
              <w:rPr>
                <w:sz w:val="20"/>
                <w:szCs w:val="20"/>
                <w:spacing w:val="-3"/>
              </w:rPr>
              <w:t>3.52</w:t>
            </w:r>
          </w:p>
        </w:tc>
        <w:tc>
          <w:tcPr>
            <w:tcW w:w="776" w:type="dxa"/>
            <w:vAlign w:val="top"/>
          </w:tcPr>
          <w:p>
            <w:pPr>
              <w:pStyle w:val="TableText"/>
              <w:ind w:left="279"/>
              <w:spacing w:before="63" w:line="181" w:lineRule="auto"/>
              <w:rPr>
                <w:sz w:val="20"/>
                <w:szCs w:val="20"/>
              </w:rPr>
            </w:pPr>
            <w:r>
              <w:rPr>
                <w:sz w:val="20"/>
                <w:szCs w:val="20"/>
                <w:spacing w:val="-6"/>
              </w:rPr>
              <w:t>16</w:t>
            </w:r>
          </w:p>
        </w:tc>
      </w:tr>
      <w:tr>
        <w:trPr>
          <w:trHeight w:val="259" w:hRule="atLeast"/>
        </w:trPr>
        <w:tc>
          <w:tcPr>
            <w:tcW w:w="684" w:type="dxa"/>
            <w:vAlign w:val="top"/>
            <w:vMerge w:val="continue"/>
            <w:tcBorders>
              <w:top w:val="nil"/>
            </w:tcBorders>
          </w:tcPr>
          <w:p>
            <w:pPr>
              <w:rPr>
                <w:rFonts w:ascii="Arial"/>
                <w:sz w:val="21"/>
              </w:rPr>
            </w:pPr>
            <w:r/>
          </w:p>
        </w:tc>
        <w:tc>
          <w:tcPr>
            <w:tcW w:w="28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60" w:type="dxa"/>
            <w:vAlign w:val="top"/>
            <w:vMerge w:val="continue"/>
            <w:textDirection w:val="tbRlV"/>
            <w:tcBorders>
              <w:top w:val="nil"/>
            </w:tcBorders>
          </w:tcPr>
          <w:p>
            <w:pPr>
              <w:rPr>
                <w:rFonts w:ascii="Arial"/>
                <w:sz w:val="21"/>
              </w:rPr>
            </w:pPr>
            <w:r/>
          </w:p>
        </w:tc>
        <w:tc>
          <w:tcPr>
            <w:tcW w:w="1299" w:type="dxa"/>
            <w:vAlign w:val="top"/>
          </w:tcPr>
          <w:p>
            <w:pPr>
              <w:pStyle w:val="TableText"/>
              <w:ind w:left="192"/>
              <w:spacing w:before="35" w:line="197" w:lineRule="auto"/>
              <w:rPr>
                <w:sz w:val="20"/>
                <w:szCs w:val="20"/>
              </w:rPr>
            </w:pPr>
            <w:r>
              <w:rPr>
                <w:sz w:val="20"/>
                <w:szCs w:val="20"/>
                <w:color w:val="606040"/>
                <w:spacing w:val="-2"/>
              </w:rPr>
              <w:t>排放量t/a</w:t>
            </w:r>
          </w:p>
        </w:tc>
        <w:tc>
          <w:tcPr>
            <w:tcW w:w="919" w:type="dxa"/>
            <w:vAlign w:val="top"/>
          </w:tcPr>
          <w:p>
            <w:pPr>
              <w:pStyle w:val="TableText"/>
              <w:ind w:left="152"/>
              <w:spacing w:before="53" w:line="180" w:lineRule="auto"/>
              <w:rPr>
                <w:sz w:val="20"/>
                <w:szCs w:val="20"/>
              </w:rPr>
            </w:pPr>
            <w:r>
              <w:rPr>
                <w:sz w:val="20"/>
                <w:szCs w:val="20"/>
                <w:spacing w:val="-4"/>
              </w:rPr>
              <w:t>1.4515</w:t>
            </w:r>
          </w:p>
        </w:tc>
        <w:tc>
          <w:tcPr>
            <w:tcW w:w="739" w:type="dxa"/>
            <w:vAlign w:val="top"/>
          </w:tcPr>
          <w:p>
            <w:pPr>
              <w:pStyle w:val="TableText"/>
              <w:ind w:left="63"/>
              <w:spacing w:before="53" w:line="180" w:lineRule="auto"/>
              <w:rPr>
                <w:sz w:val="20"/>
                <w:szCs w:val="20"/>
              </w:rPr>
            </w:pPr>
            <w:r>
              <w:rPr>
                <w:sz w:val="20"/>
                <w:szCs w:val="20"/>
                <w:spacing w:val="-2"/>
              </w:rPr>
              <w:t>0.8294</w:t>
            </w:r>
          </w:p>
        </w:tc>
        <w:tc>
          <w:tcPr>
            <w:tcW w:w="769" w:type="dxa"/>
            <w:vAlign w:val="top"/>
          </w:tcPr>
          <w:p>
            <w:pPr>
              <w:pStyle w:val="TableText"/>
              <w:ind w:left="75"/>
              <w:spacing w:before="53" w:line="180" w:lineRule="auto"/>
              <w:rPr>
                <w:sz w:val="20"/>
                <w:szCs w:val="20"/>
              </w:rPr>
            </w:pPr>
            <w:r>
              <w:rPr>
                <w:sz w:val="20"/>
                <w:szCs w:val="20"/>
                <w:spacing w:val="-2"/>
              </w:rPr>
              <w:t>0.8294</w:t>
            </w:r>
          </w:p>
        </w:tc>
        <w:tc>
          <w:tcPr>
            <w:tcW w:w="759" w:type="dxa"/>
            <w:vAlign w:val="top"/>
          </w:tcPr>
          <w:p>
            <w:pPr>
              <w:pStyle w:val="TableText"/>
              <w:ind w:left="76"/>
              <w:spacing w:before="53" w:line="180" w:lineRule="auto"/>
              <w:rPr>
                <w:sz w:val="20"/>
                <w:szCs w:val="20"/>
              </w:rPr>
            </w:pPr>
            <w:r>
              <w:rPr>
                <w:sz w:val="20"/>
                <w:szCs w:val="20"/>
                <w:spacing w:val="-2"/>
              </w:rPr>
              <w:t>0.1555</w:t>
            </w:r>
          </w:p>
        </w:tc>
        <w:tc>
          <w:tcPr>
            <w:tcW w:w="789" w:type="dxa"/>
            <w:vAlign w:val="top"/>
          </w:tcPr>
          <w:p>
            <w:pPr>
              <w:pStyle w:val="TableText"/>
              <w:ind w:left="37"/>
              <w:spacing w:before="53" w:line="180" w:lineRule="auto"/>
              <w:rPr>
                <w:sz w:val="20"/>
                <w:szCs w:val="20"/>
              </w:rPr>
            </w:pPr>
            <w:r>
              <w:rPr>
                <w:sz w:val="20"/>
                <w:szCs w:val="20"/>
                <w:spacing w:val="-2"/>
              </w:rPr>
              <w:t>0.23320</w:t>
            </w:r>
          </w:p>
        </w:tc>
        <w:tc>
          <w:tcPr>
            <w:tcW w:w="659" w:type="dxa"/>
            <w:vAlign w:val="top"/>
          </w:tcPr>
          <w:p>
            <w:pPr>
              <w:pStyle w:val="TableText"/>
              <w:ind w:left="27"/>
              <w:spacing w:before="53" w:line="180" w:lineRule="auto"/>
              <w:rPr>
                <w:sz w:val="20"/>
                <w:szCs w:val="20"/>
              </w:rPr>
            </w:pPr>
            <w:r>
              <w:rPr>
                <w:sz w:val="20"/>
                <w:szCs w:val="20"/>
                <w:spacing w:val="-2"/>
              </w:rPr>
              <w:t>0.0183</w:t>
            </w:r>
          </w:p>
        </w:tc>
        <w:tc>
          <w:tcPr>
            <w:tcW w:w="776" w:type="dxa"/>
            <w:vAlign w:val="top"/>
          </w:tcPr>
          <w:p>
            <w:pPr>
              <w:pStyle w:val="TableText"/>
              <w:ind w:left="79"/>
              <w:spacing w:before="53" w:line="180" w:lineRule="auto"/>
              <w:rPr>
                <w:sz w:val="20"/>
                <w:szCs w:val="20"/>
              </w:rPr>
            </w:pPr>
            <w:r>
              <w:rPr>
                <w:sz w:val="20"/>
                <w:szCs w:val="20"/>
                <w:spacing w:val="-2"/>
              </w:rPr>
              <w:t>0.0829</w:t>
            </w:r>
          </w:p>
        </w:tc>
      </w:tr>
      <w:tr>
        <w:trPr>
          <w:trHeight w:val="250" w:hRule="atLeast"/>
        </w:trPr>
        <w:tc>
          <w:tcPr>
            <w:tcW w:w="684" w:type="dxa"/>
            <w:vAlign w:val="top"/>
            <w:vMerge w:val="restart"/>
            <w:tcBorders>
              <w:bottom w:val="nil"/>
            </w:tcBorders>
          </w:tcPr>
          <w:p>
            <w:pPr>
              <w:spacing w:line="253" w:lineRule="auto"/>
              <w:rPr>
                <w:rFonts w:ascii="Arial"/>
                <w:sz w:val="21"/>
              </w:rPr>
            </w:pPr>
            <w:r/>
          </w:p>
          <w:p>
            <w:pPr>
              <w:spacing w:line="254" w:lineRule="auto"/>
              <w:rPr>
                <w:rFonts w:ascii="Arial"/>
                <w:sz w:val="21"/>
              </w:rPr>
            </w:pPr>
            <w:r/>
          </w:p>
          <w:p>
            <w:pPr>
              <w:pStyle w:val="TableText"/>
              <w:ind w:left="35"/>
              <w:spacing w:before="65" w:line="220" w:lineRule="auto"/>
              <w:rPr>
                <w:sz w:val="20"/>
                <w:szCs w:val="20"/>
              </w:rPr>
            </w:pPr>
            <w:r>
              <w:rPr>
                <w:sz w:val="20"/>
                <w:szCs w:val="20"/>
                <w:spacing w:val="-3"/>
              </w:rPr>
              <w:t>生猪屠</w:t>
            </w:r>
          </w:p>
          <w:p>
            <w:pPr>
              <w:pStyle w:val="TableText"/>
              <w:ind w:left="35"/>
              <w:spacing w:before="21" w:line="219" w:lineRule="auto"/>
              <w:rPr>
                <w:sz w:val="20"/>
                <w:szCs w:val="20"/>
              </w:rPr>
            </w:pPr>
            <w:r>
              <w:rPr>
                <w:sz w:val="20"/>
                <w:szCs w:val="20"/>
                <w:spacing w:val="3"/>
              </w:rPr>
              <w:t>宰废水</w:t>
            </w:r>
          </w:p>
        </w:tc>
        <w:tc>
          <w:tcPr>
            <w:tcW w:w="280" w:type="dxa"/>
            <w:vAlign w:val="top"/>
            <w:vMerge w:val="restart"/>
            <w:textDirection w:val="tbRlV"/>
            <w:tcBorders>
              <w:bottom w:val="nil"/>
            </w:tcBorders>
          </w:tcPr>
          <w:p>
            <w:pPr>
              <w:pStyle w:val="TableText"/>
              <w:spacing w:before="47" w:line="199" w:lineRule="auto"/>
              <w:jc w:val="right"/>
              <w:rPr>
                <w:sz w:val="20"/>
                <w:szCs w:val="20"/>
              </w:rPr>
            </w:pPr>
            <w:r>
              <w:rPr>
                <w:sz w:val="20"/>
                <w:szCs w:val="20"/>
                <w:color w:val="605050"/>
                <w:spacing w:val="-7"/>
              </w:rPr>
              <w:t>淡</w:t>
            </w:r>
            <w:r>
              <w:rPr>
                <w:sz w:val="20"/>
                <w:szCs w:val="20"/>
                <w:color w:val="605050"/>
                <w:spacing w:val="32"/>
              </w:rPr>
              <w:t xml:space="preserve"> </w:t>
            </w:r>
            <w:r>
              <w:rPr>
                <w:sz w:val="20"/>
                <w:szCs w:val="20"/>
                <w:color w:val="605050"/>
                <w:spacing w:val="-7"/>
              </w:rPr>
              <w:t>季</w:t>
            </w:r>
          </w:p>
        </w:tc>
        <w:tc>
          <w:tcPr>
            <w:tcW w:w="769" w:type="dxa"/>
            <w:vAlign w:val="top"/>
            <w:vMerge w:val="restart"/>
            <w:tcBorders>
              <w:bottom w:val="nil"/>
            </w:tcBorders>
          </w:tcPr>
          <w:p>
            <w:pPr>
              <w:pStyle w:val="TableText"/>
              <w:ind w:left="70"/>
              <w:spacing w:before="184"/>
              <w:rPr>
                <w:sz w:val="20"/>
                <w:szCs w:val="20"/>
              </w:rPr>
            </w:pPr>
            <w:r>
              <w:rPr>
                <w:sz w:val="20"/>
                <w:szCs w:val="20"/>
                <w:spacing w:val="-4"/>
              </w:rPr>
              <w:t>144450</w:t>
            </w:r>
          </w:p>
        </w:tc>
        <w:tc>
          <w:tcPr>
            <w:tcW w:w="260" w:type="dxa"/>
            <w:vAlign w:val="top"/>
            <w:vMerge w:val="restart"/>
            <w:textDirection w:val="tbRlV"/>
            <w:tcBorders>
              <w:bottom w:val="nil"/>
            </w:tcBorders>
          </w:tcPr>
          <w:p>
            <w:pPr>
              <w:pStyle w:val="TableText"/>
              <w:ind w:left="411"/>
              <w:spacing w:before="35" w:line="201" w:lineRule="auto"/>
              <w:rPr>
                <w:sz w:val="20"/>
                <w:szCs w:val="20"/>
              </w:rPr>
            </w:pPr>
            <w:r>
              <w:rPr>
                <w:sz w:val="20"/>
                <w:szCs w:val="20"/>
              </w:rPr>
              <w:t>处</w:t>
            </w:r>
            <w:r>
              <w:rPr>
                <w:sz w:val="20"/>
                <w:szCs w:val="20"/>
                <w:spacing w:val="-10"/>
              </w:rPr>
              <w:t xml:space="preserve"> </w:t>
            </w:r>
            <w:r>
              <w:rPr>
                <w:sz w:val="20"/>
                <w:szCs w:val="20"/>
              </w:rPr>
              <w:t>理</w:t>
            </w:r>
            <w:r>
              <w:rPr>
                <w:sz w:val="20"/>
                <w:szCs w:val="20"/>
                <w:spacing w:val="-10"/>
              </w:rPr>
              <w:t xml:space="preserve"> </w:t>
            </w:r>
            <w:r>
              <w:rPr>
                <w:sz w:val="20"/>
                <w:szCs w:val="20"/>
              </w:rPr>
              <w:t>前</w:t>
            </w:r>
          </w:p>
        </w:tc>
        <w:tc>
          <w:tcPr>
            <w:tcW w:w="1299" w:type="dxa"/>
            <w:vAlign w:val="top"/>
          </w:tcPr>
          <w:p>
            <w:pPr>
              <w:pStyle w:val="TableText"/>
              <w:ind w:left="42"/>
              <w:spacing w:before="28" w:line="195" w:lineRule="auto"/>
              <w:rPr>
                <w:sz w:val="20"/>
                <w:szCs w:val="20"/>
              </w:rPr>
            </w:pPr>
            <w:r>
              <w:rPr>
                <w:sz w:val="20"/>
                <w:szCs w:val="20"/>
                <w:spacing w:val="-1"/>
              </w:rPr>
              <w:t>产生浓度mg/L</w:t>
            </w:r>
          </w:p>
        </w:tc>
        <w:tc>
          <w:tcPr>
            <w:tcW w:w="919" w:type="dxa"/>
            <w:vAlign w:val="top"/>
          </w:tcPr>
          <w:p>
            <w:pPr>
              <w:pStyle w:val="TableText"/>
              <w:ind w:left="253"/>
              <w:spacing w:before="55" w:line="170" w:lineRule="auto"/>
              <w:rPr>
                <w:sz w:val="20"/>
                <w:szCs w:val="20"/>
              </w:rPr>
            </w:pPr>
            <w:r>
              <w:rPr>
                <w:sz w:val="20"/>
                <w:szCs w:val="20"/>
                <w:spacing w:val="-2"/>
              </w:rPr>
              <w:t>2100</w:t>
            </w:r>
          </w:p>
        </w:tc>
        <w:tc>
          <w:tcPr>
            <w:tcW w:w="739" w:type="dxa"/>
            <w:vAlign w:val="top"/>
          </w:tcPr>
          <w:p>
            <w:pPr>
              <w:pStyle w:val="TableText"/>
              <w:ind w:left="164"/>
              <w:spacing w:before="55" w:line="170" w:lineRule="auto"/>
              <w:rPr>
                <w:sz w:val="20"/>
                <w:szCs w:val="20"/>
              </w:rPr>
            </w:pPr>
            <w:r>
              <w:rPr>
                <w:sz w:val="20"/>
                <w:szCs w:val="20"/>
                <w:spacing w:val="-5"/>
              </w:rPr>
              <w:t>1000</w:t>
            </w:r>
          </w:p>
        </w:tc>
        <w:tc>
          <w:tcPr>
            <w:tcW w:w="769" w:type="dxa"/>
            <w:vAlign w:val="top"/>
          </w:tcPr>
          <w:p>
            <w:pPr>
              <w:pStyle w:val="TableText"/>
              <w:ind w:left="174"/>
              <w:spacing w:before="55" w:line="170" w:lineRule="auto"/>
              <w:rPr>
                <w:sz w:val="20"/>
                <w:szCs w:val="20"/>
              </w:rPr>
            </w:pPr>
            <w:r>
              <w:rPr>
                <w:sz w:val="20"/>
                <w:szCs w:val="20"/>
                <w:spacing w:val="-5"/>
              </w:rPr>
              <w:t>1000</w:t>
            </w:r>
          </w:p>
        </w:tc>
        <w:tc>
          <w:tcPr>
            <w:tcW w:w="759" w:type="dxa"/>
            <w:vAlign w:val="top"/>
          </w:tcPr>
          <w:p>
            <w:pPr>
              <w:pStyle w:val="TableText"/>
              <w:ind w:left="225"/>
              <w:spacing w:before="55" w:line="170" w:lineRule="auto"/>
              <w:rPr>
                <w:sz w:val="20"/>
                <w:szCs w:val="20"/>
              </w:rPr>
            </w:pPr>
            <w:r>
              <w:rPr>
                <w:sz w:val="20"/>
                <w:szCs w:val="20"/>
                <w:spacing w:val="-6"/>
              </w:rPr>
              <w:t>150</w:t>
            </w:r>
          </w:p>
        </w:tc>
        <w:tc>
          <w:tcPr>
            <w:tcW w:w="789" w:type="dxa"/>
            <w:vAlign w:val="top"/>
          </w:tcPr>
          <w:p>
            <w:pPr>
              <w:pStyle w:val="TableText"/>
              <w:ind w:left="236"/>
              <w:spacing w:before="55" w:line="170" w:lineRule="auto"/>
              <w:rPr>
                <w:sz w:val="20"/>
                <w:szCs w:val="20"/>
              </w:rPr>
            </w:pPr>
            <w:r>
              <w:rPr>
                <w:sz w:val="20"/>
                <w:szCs w:val="20"/>
                <w:spacing w:val="-6"/>
              </w:rPr>
              <w:t>150</w:t>
            </w:r>
          </w:p>
        </w:tc>
        <w:tc>
          <w:tcPr>
            <w:tcW w:w="659" w:type="dxa"/>
            <w:vAlign w:val="top"/>
          </w:tcPr>
          <w:p>
            <w:pPr>
              <w:pStyle w:val="TableText"/>
              <w:ind w:left="227"/>
              <w:spacing w:before="55" w:line="170" w:lineRule="auto"/>
              <w:rPr>
                <w:sz w:val="20"/>
                <w:szCs w:val="20"/>
              </w:rPr>
            </w:pPr>
            <w:r>
              <w:rPr>
                <w:sz w:val="20"/>
                <w:szCs w:val="20"/>
                <w:spacing w:val="-3"/>
              </w:rPr>
              <w:t>20</w:t>
            </w:r>
          </w:p>
        </w:tc>
        <w:tc>
          <w:tcPr>
            <w:tcW w:w="776" w:type="dxa"/>
            <w:vAlign w:val="top"/>
          </w:tcPr>
          <w:p>
            <w:pPr>
              <w:pStyle w:val="TableText"/>
              <w:ind w:left="229"/>
              <w:spacing w:before="55" w:line="170" w:lineRule="auto"/>
              <w:rPr>
                <w:sz w:val="20"/>
                <w:szCs w:val="20"/>
              </w:rPr>
            </w:pPr>
            <w:r>
              <w:rPr>
                <w:sz w:val="20"/>
                <w:szCs w:val="20"/>
                <w:spacing w:val="-3"/>
              </w:rPr>
              <w:t>200</w:t>
            </w:r>
          </w:p>
        </w:tc>
      </w:tr>
      <w:tr>
        <w:trPr>
          <w:trHeight w:val="259" w:hRule="atLeast"/>
        </w:trPr>
        <w:tc>
          <w:tcPr>
            <w:tcW w:w="684" w:type="dxa"/>
            <w:vAlign w:val="top"/>
            <w:vMerge w:val="continue"/>
            <w:tcBorders>
              <w:top w:val="nil"/>
              <w:bottom w:val="nil"/>
            </w:tcBorders>
          </w:tcPr>
          <w:p>
            <w:pPr>
              <w:rPr>
                <w:rFonts w:ascii="Arial"/>
                <w:sz w:val="21"/>
              </w:rPr>
            </w:pPr>
            <w:r/>
          </w:p>
        </w:tc>
        <w:tc>
          <w:tcPr>
            <w:tcW w:w="28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60" w:type="dxa"/>
            <w:vAlign w:val="top"/>
            <w:vMerge w:val="continue"/>
            <w:textDirection w:val="tbRlV"/>
            <w:tcBorders>
              <w:top w:val="nil"/>
              <w:bottom w:val="nil"/>
            </w:tcBorders>
          </w:tcPr>
          <w:p>
            <w:pPr>
              <w:rPr>
                <w:rFonts w:ascii="Arial"/>
                <w:sz w:val="21"/>
              </w:rPr>
            </w:pPr>
            <w:r/>
          </w:p>
        </w:tc>
        <w:tc>
          <w:tcPr>
            <w:tcW w:w="1299" w:type="dxa"/>
            <w:vAlign w:val="top"/>
          </w:tcPr>
          <w:p>
            <w:pPr>
              <w:pStyle w:val="TableText"/>
              <w:ind w:left="192"/>
              <w:spacing w:before="35" w:line="197" w:lineRule="auto"/>
              <w:rPr>
                <w:sz w:val="20"/>
                <w:szCs w:val="20"/>
              </w:rPr>
            </w:pPr>
            <w:r>
              <w:rPr>
                <w:sz w:val="20"/>
                <w:szCs w:val="20"/>
                <w:spacing w:val="-2"/>
              </w:rPr>
              <w:t>产生量t/a</w:t>
            </w:r>
          </w:p>
        </w:tc>
        <w:tc>
          <w:tcPr>
            <w:tcW w:w="919" w:type="dxa"/>
            <w:vAlign w:val="top"/>
          </w:tcPr>
          <w:p>
            <w:pPr>
              <w:pStyle w:val="TableText"/>
              <w:ind w:left="103"/>
              <w:spacing w:before="55" w:line="179" w:lineRule="auto"/>
              <w:rPr>
                <w:sz w:val="20"/>
                <w:szCs w:val="20"/>
              </w:rPr>
            </w:pPr>
            <w:r>
              <w:rPr>
                <w:sz w:val="20"/>
                <w:szCs w:val="20"/>
                <w:spacing w:val="-2"/>
              </w:rPr>
              <w:t>303.345</w:t>
            </w:r>
          </w:p>
        </w:tc>
        <w:tc>
          <w:tcPr>
            <w:tcW w:w="739" w:type="dxa"/>
            <w:vAlign w:val="top"/>
          </w:tcPr>
          <w:p>
            <w:pPr>
              <w:pStyle w:val="TableText"/>
              <w:ind w:left="63"/>
              <w:spacing w:before="55" w:line="179" w:lineRule="auto"/>
              <w:rPr>
                <w:sz w:val="20"/>
                <w:szCs w:val="20"/>
              </w:rPr>
            </w:pPr>
            <w:r>
              <w:rPr>
                <w:sz w:val="20"/>
                <w:szCs w:val="20"/>
                <w:spacing w:val="-4"/>
              </w:rPr>
              <w:t>144.45</w:t>
            </w:r>
          </w:p>
        </w:tc>
        <w:tc>
          <w:tcPr>
            <w:tcW w:w="769" w:type="dxa"/>
            <w:vAlign w:val="top"/>
          </w:tcPr>
          <w:p>
            <w:pPr>
              <w:pStyle w:val="TableText"/>
              <w:ind w:left="75"/>
              <w:spacing w:before="55" w:line="179" w:lineRule="auto"/>
              <w:rPr>
                <w:sz w:val="20"/>
                <w:szCs w:val="20"/>
              </w:rPr>
            </w:pPr>
            <w:r>
              <w:rPr>
                <w:sz w:val="20"/>
                <w:szCs w:val="20"/>
                <w:spacing w:val="-4"/>
              </w:rPr>
              <w:t>144.45</w:t>
            </w:r>
          </w:p>
        </w:tc>
        <w:tc>
          <w:tcPr>
            <w:tcW w:w="759" w:type="dxa"/>
            <w:vAlign w:val="top"/>
          </w:tcPr>
          <w:p>
            <w:pPr>
              <w:pStyle w:val="TableText"/>
              <w:ind w:left="26"/>
              <w:spacing w:before="55" w:line="179" w:lineRule="auto"/>
              <w:rPr>
                <w:sz w:val="20"/>
                <w:szCs w:val="20"/>
              </w:rPr>
            </w:pPr>
            <w:r>
              <w:rPr>
                <w:sz w:val="20"/>
                <w:szCs w:val="20"/>
                <w:spacing w:val="-2"/>
              </w:rPr>
              <w:t>21.6675</w:t>
            </w:r>
          </w:p>
        </w:tc>
        <w:tc>
          <w:tcPr>
            <w:tcW w:w="789" w:type="dxa"/>
            <w:vAlign w:val="top"/>
          </w:tcPr>
          <w:p>
            <w:pPr>
              <w:pStyle w:val="TableText"/>
              <w:ind w:left="37"/>
              <w:spacing w:before="55" w:line="179" w:lineRule="auto"/>
              <w:rPr>
                <w:sz w:val="20"/>
                <w:szCs w:val="20"/>
              </w:rPr>
            </w:pPr>
            <w:r>
              <w:rPr>
                <w:sz w:val="20"/>
                <w:szCs w:val="20"/>
                <w:spacing w:val="-2"/>
              </w:rPr>
              <w:t>21.6675</w:t>
            </w:r>
          </w:p>
        </w:tc>
        <w:tc>
          <w:tcPr>
            <w:tcW w:w="659" w:type="dxa"/>
            <w:vAlign w:val="top"/>
          </w:tcPr>
          <w:p>
            <w:pPr>
              <w:pStyle w:val="TableText"/>
              <w:ind w:left="78"/>
              <w:spacing w:before="55" w:line="179" w:lineRule="auto"/>
              <w:rPr>
                <w:sz w:val="20"/>
                <w:szCs w:val="20"/>
              </w:rPr>
            </w:pPr>
            <w:r>
              <w:rPr>
                <w:sz w:val="20"/>
                <w:szCs w:val="20"/>
                <w:spacing w:val="-2"/>
              </w:rPr>
              <w:t>2.889</w:t>
            </w:r>
          </w:p>
        </w:tc>
        <w:tc>
          <w:tcPr>
            <w:tcW w:w="776" w:type="dxa"/>
            <w:vAlign w:val="top"/>
          </w:tcPr>
          <w:p>
            <w:pPr>
              <w:pStyle w:val="TableText"/>
              <w:ind w:left="128"/>
              <w:spacing w:before="55" w:line="179" w:lineRule="auto"/>
              <w:rPr>
                <w:sz w:val="20"/>
                <w:szCs w:val="20"/>
              </w:rPr>
            </w:pPr>
            <w:r>
              <w:rPr>
                <w:sz w:val="20"/>
                <w:szCs w:val="20"/>
                <w:spacing w:val="-2"/>
              </w:rPr>
              <w:t>28.89</w:t>
            </w:r>
          </w:p>
        </w:tc>
      </w:tr>
      <w:tr>
        <w:trPr>
          <w:trHeight w:val="270" w:hRule="atLeast"/>
        </w:trPr>
        <w:tc>
          <w:tcPr>
            <w:tcW w:w="684" w:type="dxa"/>
            <w:vAlign w:val="top"/>
            <w:vMerge w:val="continue"/>
            <w:tcBorders>
              <w:top w:val="nil"/>
              <w:bottom w:val="nil"/>
            </w:tcBorders>
          </w:tcPr>
          <w:p>
            <w:pPr>
              <w:rPr>
                <w:rFonts w:ascii="Arial"/>
                <w:sz w:val="21"/>
              </w:rPr>
            </w:pPr>
            <w:r/>
          </w:p>
        </w:tc>
        <w:tc>
          <w:tcPr>
            <w:tcW w:w="280" w:type="dxa"/>
            <w:vAlign w:val="top"/>
            <w:vMerge w:val="restart"/>
            <w:textDirection w:val="tbRlV"/>
            <w:tcBorders>
              <w:bottom w:val="nil"/>
            </w:tcBorders>
          </w:tcPr>
          <w:p>
            <w:pPr>
              <w:pStyle w:val="TableText"/>
              <w:spacing w:before="46" w:line="200" w:lineRule="auto"/>
              <w:rPr>
                <w:sz w:val="20"/>
                <w:szCs w:val="20"/>
              </w:rPr>
            </w:pPr>
            <w:r>
              <w:rPr>
                <w:sz w:val="20"/>
                <w:szCs w:val="20"/>
                <w:color w:val="908080"/>
                <w:spacing w:val="-3"/>
              </w:rPr>
              <w:t>旺</w:t>
            </w:r>
            <w:r>
              <w:rPr>
                <w:sz w:val="20"/>
                <w:szCs w:val="20"/>
                <w:color w:val="908080"/>
                <w:spacing w:val="40"/>
              </w:rPr>
              <w:t xml:space="preserve"> </w:t>
            </w:r>
            <w:r>
              <w:rPr>
                <w:sz w:val="20"/>
                <w:szCs w:val="20"/>
                <w:color w:val="908080"/>
                <w:spacing w:val="-3"/>
              </w:rPr>
              <w:t>季</w:t>
            </w:r>
          </w:p>
        </w:tc>
        <w:tc>
          <w:tcPr>
            <w:tcW w:w="769" w:type="dxa"/>
            <w:vAlign w:val="top"/>
            <w:vMerge w:val="restart"/>
            <w:tcBorders>
              <w:bottom w:val="nil"/>
            </w:tcBorders>
          </w:tcPr>
          <w:p>
            <w:pPr>
              <w:pStyle w:val="TableText"/>
              <w:ind w:left="21"/>
              <w:spacing w:before="195" w:line="239" w:lineRule="auto"/>
              <w:rPr>
                <w:sz w:val="20"/>
                <w:szCs w:val="20"/>
              </w:rPr>
            </w:pPr>
            <w:r>
              <w:rPr>
                <w:sz w:val="20"/>
                <w:szCs w:val="20"/>
                <w:spacing w:val="-2"/>
              </w:rPr>
              <w:t>69528.6</w:t>
            </w:r>
          </w:p>
        </w:tc>
        <w:tc>
          <w:tcPr>
            <w:tcW w:w="260" w:type="dxa"/>
            <w:vAlign w:val="top"/>
            <w:vMerge w:val="continue"/>
            <w:textDirection w:val="tbRlV"/>
            <w:tcBorders>
              <w:top w:val="nil"/>
              <w:bottom w:val="nil"/>
            </w:tcBorders>
          </w:tcPr>
          <w:p>
            <w:pPr>
              <w:rPr>
                <w:rFonts w:ascii="Arial"/>
                <w:sz w:val="21"/>
              </w:rPr>
            </w:pPr>
            <w:r/>
          </w:p>
        </w:tc>
        <w:tc>
          <w:tcPr>
            <w:tcW w:w="1299" w:type="dxa"/>
            <w:vAlign w:val="top"/>
          </w:tcPr>
          <w:p>
            <w:pPr>
              <w:pStyle w:val="TableText"/>
              <w:ind w:left="42"/>
              <w:spacing w:before="40" w:line="203" w:lineRule="auto"/>
              <w:rPr>
                <w:sz w:val="20"/>
                <w:szCs w:val="20"/>
              </w:rPr>
            </w:pPr>
            <w:r>
              <w:rPr>
                <w:sz w:val="20"/>
                <w:szCs w:val="20"/>
                <w:spacing w:val="-1"/>
              </w:rPr>
              <w:t>产生浓度mg/L</w:t>
            </w:r>
          </w:p>
        </w:tc>
        <w:tc>
          <w:tcPr>
            <w:tcW w:w="919" w:type="dxa"/>
            <w:vAlign w:val="top"/>
          </w:tcPr>
          <w:p>
            <w:pPr>
              <w:pStyle w:val="TableText"/>
              <w:ind w:left="253"/>
              <w:spacing w:before="66" w:line="179" w:lineRule="auto"/>
              <w:rPr>
                <w:sz w:val="20"/>
                <w:szCs w:val="20"/>
              </w:rPr>
            </w:pPr>
            <w:r>
              <w:rPr>
                <w:sz w:val="20"/>
                <w:szCs w:val="20"/>
                <w:spacing w:val="-2"/>
              </w:rPr>
              <w:t>2100</w:t>
            </w:r>
          </w:p>
        </w:tc>
        <w:tc>
          <w:tcPr>
            <w:tcW w:w="739" w:type="dxa"/>
            <w:vAlign w:val="top"/>
          </w:tcPr>
          <w:p>
            <w:pPr>
              <w:pStyle w:val="TableText"/>
              <w:ind w:left="164"/>
              <w:spacing w:before="66" w:line="179" w:lineRule="auto"/>
              <w:rPr>
                <w:sz w:val="20"/>
                <w:szCs w:val="20"/>
              </w:rPr>
            </w:pPr>
            <w:r>
              <w:rPr>
                <w:sz w:val="20"/>
                <w:szCs w:val="20"/>
                <w:spacing w:val="-5"/>
              </w:rPr>
              <w:t>1000</w:t>
            </w:r>
          </w:p>
        </w:tc>
        <w:tc>
          <w:tcPr>
            <w:tcW w:w="769" w:type="dxa"/>
            <w:vAlign w:val="top"/>
          </w:tcPr>
          <w:p>
            <w:pPr>
              <w:pStyle w:val="TableText"/>
              <w:ind w:left="174"/>
              <w:spacing w:before="66" w:line="179" w:lineRule="auto"/>
              <w:rPr>
                <w:sz w:val="20"/>
                <w:szCs w:val="20"/>
              </w:rPr>
            </w:pPr>
            <w:r>
              <w:rPr>
                <w:sz w:val="20"/>
                <w:szCs w:val="20"/>
                <w:spacing w:val="-5"/>
              </w:rPr>
              <w:t>1000</w:t>
            </w:r>
          </w:p>
        </w:tc>
        <w:tc>
          <w:tcPr>
            <w:tcW w:w="759" w:type="dxa"/>
            <w:vAlign w:val="top"/>
          </w:tcPr>
          <w:p>
            <w:pPr>
              <w:pStyle w:val="TableText"/>
              <w:ind w:left="225"/>
              <w:spacing w:before="66" w:line="179" w:lineRule="auto"/>
              <w:rPr>
                <w:sz w:val="20"/>
                <w:szCs w:val="20"/>
              </w:rPr>
            </w:pPr>
            <w:r>
              <w:rPr>
                <w:sz w:val="20"/>
                <w:szCs w:val="20"/>
                <w:spacing w:val="-6"/>
              </w:rPr>
              <w:t>150</w:t>
            </w:r>
          </w:p>
        </w:tc>
        <w:tc>
          <w:tcPr>
            <w:tcW w:w="789" w:type="dxa"/>
            <w:vAlign w:val="top"/>
          </w:tcPr>
          <w:p>
            <w:pPr>
              <w:pStyle w:val="TableText"/>
              <w:ind w:left="236"/>
              <w:spacing w:before="66" w:line="179" w:lineRule="auto"/>
              <w:rPr>
                <w:sz w:val="20"/>
                <w:szCs w:val="20"/>
              </w:rPr>
            </w:pPr>
            <w:r>
              <w:rPr>
                <w:sz w:val="20"/>
                <w:szCs w:val="20"/>
                <w:spacing w:val="-6"/>
              </w:rPr>
              <w:t>150</w:t>
            </w:r>
          </w:p>
        </w:tc>
        <w:tc>
          <w:tcPr>
            <w:tcW w:w="659" w:type="dxa"/>
            <w:vAlign w:val="top"/>
          </w:tcPr>
          <w:p>
            <w:pPr>
              <w:pStyle w:val="TableText"/>
              <w:ind w:left="227"/>
              <w:spacing w:before="66" w:line="179" w:lineRule="auto"/>
              <w:rPr>
                <w:sz w:val="20"/>
                <w:szCs w:val="20"/>
              </w:rPr>
            </w:pPr>
            <w:r>
              <w:rPr>
                <w:sz w:val="20"/>
                <w:szCs w:val="20"/>
                <w:spacing w:val="-3"/>
              </w:rPr>
              <w:t>20</w:t>
            </w:r>
          </w:p>
        </w:tc>
        <w:tc>
          <w:tcPr>
            <w:tcW w:w="776" w:type="dxa"/>
            <w:vAlign w:val="top"/>
          </w:tcPr>
          <w:p>
            <w:pPr>
              <w:pStyle w:val="TableText"/>
              <w:ind w:left="229"/>
              <w:spacing w:before="66" w:line="179" w:lineRule="auto"/>
              <w:rPr>
                <w:sz w:val="20"/>
                <w:szCs w:val="20"/>
              </w:rPr>
            </w:pPr>
            <w:r>
              <w:rPr>
                <w:sz w:val="20"/>
                <w:szCs w:val="20"/>
                <w:spacing w:val="-3"/>
              </w:rPr>
              <w:t>200</w:t>
            </w:r>
          </w:p>
        </w:tc>
      </w:tr>
      <w:tr>
        <w:trPr>
          <w:trHeight w:val="259" w:hRule="atLeast"/>
        </w:trPr>
        <w:tc>
          <w:tcPr>
            <w:tcW w:w="684" w:type="dxa"/>
            <w:vAlign w:val="top"/>
            <w:vMerge w:val="continue"/>
            <w:tcBorders>
              <w:top w:val="nil"/>
              <w:bottom w:val="nil"/>
            </w:tcBorders>
          </w:tcPr>
          <w:p>
            <w:pPr>
              <w:rPr>
                <w:rFonts w:ascii="Arial"/>
                <w:sz w:val="21"/>
              </w:rPr>
            </w:pPr>
            <w:r/>
          </w:p>
        </w:tc>
        <w:tc>
          <w:tcPr>
            <w:tcW w:w="28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60" w:type="dxa"/>
            <w:vAlign w:val="top"/>
            <w:vMerge w:val="continue"/>
            <w:textDirection w:val="tbRlV"/>
            <w:tcBorders>
              <w:top w:val="nil"/>
              <w:bottom w:val="nil"/>
            </w:tcBorders>
          </w:tcPr>
          <w:p>
            <w:pPr>
              <w:rPr>
                <w:rFonts w:ascii="Arial"/>
                <w:sz w:val="21"/>
              </w:rPr>
            </w:pPr>
            <w:r/>
          </w:p>
        </w:tc>
        <w:tc>
          <w:tcPr>
            <w:tcW w:w="1299" w:type="dxa"/>
            <w:vAlign w:val="top"/>
          </w:tcPr>
          <w:p>
            <w:pPr>
              <w:pStyle w:val="TableText"/>
              <w:ind w:left="192"/>
              <w:spacing w:before="35" w:line="197" w:lineRule="auto"/>
              <w:rPr>
                <w:sz w:val="20"/>
                <w:szCs w:val="20"/>
              </w:rPr>
            </w:pPr>
            <w:r>
              <w:rPr>
                <w:sz w:val="20"/>
                <w:szCs w:val="20"/>
                <w:color w:val="806060"/>
                <w:spacing w:val="-2"/>
              </w:rPr>
              <w:t>产生量t/a</w:t>
            </w:r>
          </w:p>
        </w:tc>
        <w:tc>
          <w:tcPr>
            <w:tcW w:w="919" w:type="dxa"/>
            <w:vAlign w:val="top"/>
          </w:tcPr>
          <w:p>
            <w:pPr>
              <w:pStyle w:val="TableText"/>
              <w:ind w:left="53"/>
              <w:spacing w:before="56" w:line="178" w:lineRule="auto"/>
              <w:rPr>
                <w:sz w:val="20"/>
                <w:szCs w:val="20"/>
              </w:rPr>
            </w:pPr>
            <w:r>
              <w:rPr>
                <w:sz w:val="20"/>
                <w:szCs w:val="20"/>
                <w:spacing w:val="-3"/>
              </w:rPr>
              <w:t>146.0101</w:t>
            </w:r>
          </w:p>
        </w:tc>
        <w:tc>
          <w:tcPr>
            <w:tcW w:w="739" w:type="dxa"/>
            <w:vAlign w:val="top"/>
          </w:tcPr>
          <w:p>
            <w:pPr>
              <w:pStyle w:val="TableText"/>
              <w:ind w:left="14"/>
              <w:spacing w:before="56" w:line="178" w:lineRule="auto"/>
              <w:rPr>
                <w:sz w:val="20"/>
                <w:szCs w:val="20"/>
              </w:rPr>
            </w:pPr>
            <w:r>
              <w:rPr>
                <w:sz w:val="20"/>
                <w:szCs w:val="20"/>
                <w:spacing w:val="-2"/>
              </w:rPr>
              <w:t>69.5286</w:t>
            </w:r>
          </w:p>
        </w:tc>
        <w:tc>
          <w:tcPr>
            <w:tcW w:w="769" w:type="dxa"/>
            <w:vAlign w:val="top"/>
          </w:tcPr>
          <w:p>
            <w:pPr>
              <w:pStyle w:val="TableText"/>
              <w:ind w:left="25"/>
              <w:spacing w:before="56" w:line="178" w:lineRule="auto"/>
              <w:rPr>
                <w:sz w:val="20"/>
                <w:szCs w:val="20"/>
              </w:rPr>
            </w:pPr>
            <w:r>
              <w:rPr>
                <w:sz w:val="20"/>
                <w:szCs w:val="20"/>
                <w:spacing w:val="-2"/>
              </w:rPr>
              <w:t>69.5286</w:t>
            </w:r>
          </w:p>
        </w:tc>
        <w:tc>
          <w:tcPr>
            <w:tcW w:w="759" w:type="dxa"/>
            <w:vAlign w:val="top"/>
          </w:tcPr>
          <w:p>
            <w:pPr>
              <w:pStyle w:val="TableText"/>
              <w:ind w:left="26"/>
              <w:spacing w:before="56" w:line="178" w:lineRule="auto"/>
              <w:rPr>
                <w:sz w:val="20"/>
                <w:szCs w:val="20"/>
              </w:rPr>
            </w:pPr>
            <w:r>
              <w:rPr>
                <w:sz w:val="20"/>
                <w:szCs w:val="20"/>
                <w:spacing w:val="-3"/>
              </w:rPr>
              <w:t>10.4293</w:t>
            </w:r>
          </w:p>
        </w:tc>
        <w:tc>
          <w:tcPr>
            <w:tcW w:w="789" w:type="dxa"/>
            <w:vAlign w:val="top"/>
          </w:tcPr>
          <w:p>
            <w:pPr>
              <w:pStyle w:val="TableText"/>
              <w:ind w:left="37"/>
              <w:spacing w:before="56" w:line="178" w:lineRule="auto"/>
              <w:rPr>
                <w:sz w:val="20"/>
                <w:szCs w:val="20"/>
              </w:rPr>
            </w:pPr>
            <w:r>
              <w:rPr>
                <w:sz w:val="20"/>
                <w:szCs w:val="20"/>
                <w:spacing w:val="-3"/>
              </w:rPr>
              <w:t>10.4293</w:t>
            </w:r>
          </w:p>
        </w:tc>
        <w:tc>
          <w:tcPr>
            <w:tcW w:w="659" w:type="dxa"/>
            <w:vAlign w:val="top"/>
          </w:tcPr>
          <w:p>
            <w:pPr>
              <w:pStyle w:val="TableText"/>
              <w:ind w:left="27"/>
              <w:spacing w:before="56" w:line="178" w:lineRule="auto"/>
              <w:rPr>
                <w:sz w:val="20"/>
                <w:szCs w:val="20"/>
              </w:rPr>
            </w:pPr>
            <w:r>
              <w:rPr>
                <w:sz w:val="20"/>
                <w:szCs w:val="20"/>
                <w:spacing w:val="-4"/>
              </w:rPr>
              <w:t>1.3906</w:t>
            </w:r>
          </w:p>
        </w:tc>
        <w:tc>
          <w:tcPr>
            <w:tcW w:w="776" w:type="dxa"/>
            <w:vAlign w:val="top"/>
          </w:tcPr>
          <w:p>
            <w:pPr>
              <w:pStyle w:val="TableText"/>
              <w:ind w:left="29"/>
              <w:spacing w:before="56" w:line="178" w:lineRule="auto"/>
              <w:rPr>
                <w:sz w:val="20"/>
                <w:szCs w:val="20"/>
              </w:rPr>
            </w:pPr>
            <w:r>
              <w:rPr>
                <w:sz w:val="20"/>
                <w:szCs w:val="20"/>
                <w:spacing w:val="-3"/>
              </w:rPr>
              <w:t>13.9057</w:t>
            </w:r>
          </w:p>
        </w:tc>
      </w:tr>
      <w:tr>
        <w:trPr>
          <w:trHeight w:val="250" w:hRule="atLeast"/>
        </w:trPr>
        <w:tc>
          <w:tcPr>
            <w:tcW w:w="684" w:type="dxa"/>
            <w:vAlign w:val="top"/>
            <w:vMerge w:val="continue"/>
            <w:tcBorders>
              <w:top w:val="nil"/>
              <w:bottom w:val="nil"/>
            </w:tcBorders>
          </w:tcPr>
          <w:p>
            <w:pPr>
              <w:rPr>
                <w:rFonts w:ascii="Arial"/>
                <w:sz w:val="21"/>
              </w:rPr>
            </w:pPr>
            <w:r/>
          </w:p>
        </w:tc>
        <w:tc>
          <w:tcPr>
            <w:tcW w:w="280" w:type="dxa"/>
            <w:vAlign w:val="top"/>
            <w:vMerge w:val="restart"/>
            <w:textDirection w:val="tbRlV"/>
            <w:tcBorders>
              <w:bottom w:val="nil"/>
            </w:tcBorders>
          </w:tcPr>
          <w:p>
            <w:pPr>
              <w:pStyle w:val="TableText"/>
              <w:spacing w:before="47" w:line="200" w:lineRule="auto"/>
              <w:jc w:val="right"/>
              <w:rPr>
                <w:sz w:val="20"/>
                <w:szCs w:val="20"/>
              </w:rPr>
            </w:pPr>
            <w:r>
              <w:rPr>
                <w:sz w:val="20"/>
                <w:szCs w:val="20"/>
                <w:color w:val="606060"/>
                <w:spacing w:val="-2"/>
              </w:rPr>
              <w:t>全</w:t>
            </w:r>
            <w:r>
              <w:rPr>
                <w:sz w:val="20"/>
                <w:szCs w:val="20"/>
                <w:color w:val="606060"/>
                <w:spacing w:val="33"/>
              </w:rPr>
              <w:t xml:space="preserve"> </w:t>
            </w:r>
            <w:r>
              <w:rPr>
                <w:sz w:val="20"/>
                <w:szCs w:val="20"/>
                <w:color w:val="606060"/>
                <w:spacing w:val="-2"/>
              </w:rPr>
              <w:t>年</w:t>
            </w:r>
          </w:p>
        </w:tc>
        <w:tc>
          <w:tcPr>
            <w:tcW w:w="769" w:type="dxa"/>
            <w:vAlign w:val="top"/>
            <w:vMerge w:val="restart"/>
            <w:tcBorders>
              <w:bottom w:val="nil"/>
            </w:tcBorders>
          </w:tcPr>
          <w:p>
            <w:pPr>
              <w:pStyle w:val="TableText"/>
              <w:spacing w:before="196" w:line="239" w:lineRule="auto"/>
              <w:jc w:val="right"/>
              <w:rPr>
                <w:sz w:val="20"/>
                <w:szCs w:val="20"/>
              </w:rPr>
            </w:pPr>
            <w:r>
              <w:rPr>
                <w:sz w:val="20"/>
                <w:szCs w:val="20"/>
                <w:spacing w:val="-7"/>
              </w:rPr>
              <w:t>213978.6</w:t>
            </w:r>
          </w:p>
        </w:tc>
        <w:tc>
          <w:tcPr>
            <w:tcW w:w="260" w:type="dxa"/>
            <w:vAlign w:val="top"/>
            <w:vMerge w:val="continue"/>
            <w:textDirection w:val="tbRlV"/>
            <w:tcBorders>
              <w:top w:val="nil"/>
              <w:bottom w:val="nil"/>
            </w:tcBorders>
          </w:tcPr>
          <w:p>
            <w:pPr>
              <w:rPr>
                <w:rFonts w:ascii="Arial"/>
                <w:sz w:val="21"/>
              </w:rPr>
            </w:pPr>
            <w:r/>
          </w:p>
        </w:tc>
        <w:tc>
          <w:tcPr>
            <w:tcW w:w="1299" w:type="dxa"/>
            <w:vAlign w:val="top"/>
          </w:tcPr>
          <w:p>
            <w:pPr>
              <w:pStyle w:val="TableText"/>
              <w:ind w:left="42"/>
              <w:spacing w:before="30" w:line="193" w:lineRule="auto"/>
              <w:rPr>
                <w:sz w:val="20"/>
                <w:szCs w:val="20"/>
              </w:rPr>
            </w:pPr>
            <w:r>
              <w:rPr>
                <w:sz w:val="20"/>
                <w:szCs w:val="20"/>
                <w:spacing w:val="-1"/>
              </w:rPr>
              <w:t>产生浓度mg/L</w:t>
            </w:r>
          </w:p>
        </w:tc>
        <w:tc>
          <w:tcPr>
            <w:tcW w:w="919" w:type="dxa"/>
            <w:vAlign w:val="top"/>
          </w:tcPr>
          <w:p>
            <w:pPr>
              <w:pStyle w:val="TableText"/>
              <w:ind w:left="253"/>
              <w:spacing w:before="56" w:line="169" w:lineRule="auto"/>
              <w:rPr>
                <w:sz w:val="20"/>
                <w:szCs w:val="20"/>
              </w:rPr>
            </w:pPr>
            <w:r>
              <w:rPr>
                <w:sz w:val="20"/>
                <w:szCs w:val="20"/>
                <w:spacing w:val="-2"/>
              </w:rPr>
              <w:t>2100</w:t>
            </w:r>
          </w:p>
        </w:tc>
        <w:tc>
          <w:tcPr>
            <w:tcW w:w="739" w:type="dxa"/>
            <w:vAlign w:val="top"/>
          </w:tcPr>
          <w:p>
            <w:pPr>
              <w:pStyle w:val="TableText"/>
              <w:ind w:left="164"/>
              <w:spacing w:before="56" w:line="169" w:lineRule="auto"/>
              <w:rPr>
                <w:sz w:val="20"/>
                <w:szCs w:val="20"/>
              </w:rPr>
            </w:pPr>
            <w:r>
              <w:rPr>
                <w:sz w:val="20"/>
                <w:szCs w:val="20"/>
                <w:spacing w:val="-5"/>
              </w:rPr>
              <w:t>1000</w:t>
            </w:r>
          </w:p>
        </w:tc>
        <w:tc>
          <w:tcPr>
            <w:tcW w:w="769" w:type="dxa"/>
            <w:vAlign w:val="top"/>
          </w:tcPr>
          <w:p>
            <w:pPr>
              <w:pStyle w:val="TableText"/>
              <w:ind w:left="174"/>
              <w:spacing w:before="56" w:line="169" w:lineRule="auto"/>
              <w:rPr>
                <w:sz w:val="20"/>
                <w:szCs w:val="20"/>
              </w:rPr>
            </w:pPr>
            <w:r>
              <w:rPr>
                <w:sz w:val="20"/>
                <w:szCs w:val="20"/>
                <w:spacing w:val="-5"/>
              </w:rPr>
              <w:t>1000</w:t>
            </w:r>
          </w:p>
        </w:tc>
        <w:tc>
          <w:tcPr>
            <w:tcW w:w="759" w:type="dxa"/>
            <w:vAlign w:val="top"/>
          </w:tcPr>
          <w:p>
            <w:pPr>
              <w:pStyle w:val="TableText"/>
              <w:ind w:left="225"/>
              <w:spacing w:before="56" w:line="169" w:lineRule="auto"/>
              <w:rPr>
                <w:sz w:val="20"/>
                <w:szCs w:val="20"/>
              </w:rPr>
            </w:pPr>
            <w:r>
              <w:rPr>
                <w:sz w:val="20"/>
                <w:szCs w:val="20"/>
                <w:spacing w:val="-6"/>
              </w:rPr>
              <w:t>150</w:t>
            </w:r>
          </w:p>
        </w:tc>
        <w:tc>
          <w:tcPr>
            <w:tcW w:w="789" w:type="dxa"/>
            <w:vAlign w:val="top"/>
          </w:tcPr>
          <w:p>
            <w:pPr>
              <w:pStyle w:val="TableText"/>
              <w:ind w:left="236"/>
              <w:spacing w:before="56" w:line="169" w:lineRule="auto"/>
              <w:rPr>
                <w:sz w:val="20"/>
                <w:szCs w:val="20"/>
              </w:rPr>
            </w:pPr>
            <w:r>
              <w:rPr>
                <w:sz w:val="20"/>
                <w:szCs w:val="20"/>
                <w:spacing w:val="-6"/>
              </w:rPr>
              <w:t>150</w:t>
            </w:r>
          </w:p>
        </w:tc>
        <w:tc>
          <w:tcPr>
            <w:tcW w:w="659" w:type="dxa"/>
            <w:vAlign w:val="top"/>
          </w:tcPr>
          <w:p>
            <w:pPr>
              <w:pStyle w:val="TableText"/>
              <w:ind w:left="227"/>
              <w:spacing w:before="56" w:line="169" w:lineRule="auto"/>
              <w:rPr>
                <w:sz w:val="20"/>
                <w:szCs w:val="20"/>
              </w:rPr>
            </w:pPr>
            <w:r>
              <w:rPr>
                <w:sz w:val="20"/>
                <w:szCs w:val="20"/>
                <w:spacing w:val="-3"/>
              </w:rPr>
              <w:t>20</w:t>
            </w:r>
          </w:p>
        </w:tc>
        <w:tc>
          <w:tcPr>
            <w:tcW w:w="776" w:type="dxa"/>
            <w:vAlign w:val="top"/>
          </w:tcPr>
          <w:p>
            <w:pPr>
              <w:pStyle w:val="TableText"/>
              <w:ind w:left="229"/>
              <w:spacing w:before="56" w:line="169" w:lineRule="auto"/>
              <w:rPr>
                <w:sz w:val="20"/>
                <w:szCs w:val="20"/>
              </w:rPr>
            </w:pPr>
            <w:r>
              <w:rPr>
                <w:sz w:val="20"/>
                <w:szCs w:val="20"/>
                <w:spacing w:val="-3"/>
              </w:rPr>
              <w:t>200</w:t>
            </w:r>
          </w:p>
        </w:tc>
      </w:tr>
      <w:tr>
        <w:trPr>
          <w:trHeight w:val="270" w:hRule="atLeast"/>
        </w:trPr>
        <w:tc>
          <w:tcPr>
            <w:tcW w:w="684" w:type="dxa"/>
            <w:vAlign w:val="top"/>
            <w:vMerge w:val="continue"/>
            <w:tcBorders>
              <w:top w:val="nil"/>
            </w:tcBorders>
          </w:tcPr>
          <w:p>
            <w:pPr>
              <w:rPr>
                <w:rFonts w:ascii="Arial"/>
                <w:sz w:val="21"/>
              </w:rPr>
            </w:pPr>
            <w:r/>
          </w:p>
        </w:tc>
        <w:tc>
          <w:tcPr>
            <w:tcW w:w="28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60" w:type="dxa"/>
            <w:vAlign w:val="top"/>
            <w:vMerge w:val="continue"/>
            <w:textDirection w:val="tbRlV"/>
            <w:tcBorders>
              <w:top w:val="nil"/>
            </w:tcBorders>
          </w:tcPr>
          <w:p>
            <w:pPr>
              <w:rPr>
                <w:rFonts w:ascii="Arial"/>
                <w:sz w:val="21"/>
              </w:rPr>
            </w:pPr>
            <w:r/>
          </w:p>
        </w:tc>
        <w:tc>
          <w:tcPr>
            <w:tcW w:w="1299" w:type="dxa"/>
            <w:vAlign w:val="top"/>
          </w:tcPr>
          <w:p>
            <w:pPr>
              <w:pStyle w:val="TableText"/>
              <w:ind w:left="192"/>
              <w:spacing w:before="46" w:line="197" w:lineRule="auto"/>
              <w:rPr>
                <w:sz w:val="20"/>
                <w:szCs w:val="20"/>
              </w:rPr>
            </w:pPr>
            <w:r>
              <w:rPr>
                <w:sz w:val="20"/>
                <w:szCs w:val="20"/>
                <w:spacing w:val="-2"/>
              </w:rPr>
              <w:t>产生量t/a</w:t>
            </w:r>
          </w:p>
        </w:tc>
        <w:tc>
          <w:tcPr>
            <w:tcW w:w="919" w:type="dxa"/>
            <w:vAlign w:val="top"/>
          </w:tcPr>
          <w:p>
            <w:pPr>
              <w:pStyle w:val="TableText"/>
              <w:ind w:left="53"/>
              <w:spacing w:before="67" w:line="178" w:lineRule="auto"/>
              <w:rPr>
                <w:sz w:val="20"/>
                <w:szCs w:val="20"/>
              </w:rPr>
            </w:pPr>
            <w:r>
              <w:rPr>
                <w:sz w:val="20"/>
                <w:szCs w:val="20"/>
                <w:spacing w:val="-1"/>
              </w:rPr>
              <w:t>449.3551</w:t>
            </w:r>
          </w:p>
        </w:tc>
        <w:tc>
          <w:tcPr>
            <w:tcW w:w="739" w:type="dxa"/>
            <w:vAlign w:val="top"/>
          </w:tcPr>
          <w:p>
            <w:pPr>
              <w:pStyle w:val="TableText"/>
              <w:spacing w:before="67" w:line="178" w:lineRule="auto"/>
              <w:jc w:val="right"/>
              <w:rPr>
                <w:sz w:val="20"/>
                <w:szCs w:val="20"/>
              </w:rPr>
            </w:pPr>
            <w:r>
              <w:rPr>
                <w:sz w:val="20"/>
                <w:szCs w:val="20"/>
                <w:spacing w:val="-11"/>
              </w:rPr>
              <w:t>213.9786</w:t>
            </w:r>
          </w:p>
        </w:tc>
        <w:tc>
          <w:tcPr>
            <w:tcW w:w="769" w:type="dxa"/>
            <w:vAlign w:val="top"/>
          </w:tcPr>
          <w:p>
            <w:pPr>
              <w:pStyle w:val="TableText"/>
              <w:spacing w:before="67" w:line="178" w:lineRule="auto"/>
              <w:jc w:val="right"/>
              <w:rPr>
                <w:sz w:val="20"/>
                <w:szCs w:val="20"/>
              </w:rPr>
            </w:pPr>
            <w:r>
              <w:rPr>
                <w:sz w:val="20"/>
                <w:szCs w:val="20"/>
                <w:spacing w:val="-8"/>
              </w:rPr>
              <w:t>213.9786</w:t>
            </w:r>
          </w:p>
        </w:tc>
        <w:tc>
          <w:tcPr>
            <w:tcW w:w="759" w:type="dxa"/>
            <w:vAlign w:val="top"/>
          </w:tcPr>
          <w:p>
            <w:pPr>
              <w:pStyle w:val="TableText"/>
              <w:ind w:left="26"/>
              <w:spacing w:before="67" w:line="178" w:lineRule="auto"/>
              <w:rPr>
                <w:sz w:val="20"/>
                <w:szCs w:val="20"/>
              </w:rPr>
            </w:pPr>
            <w:r>
              <w:rPr>
                <w:sz w:val="20"/>
                <w:szCs w:val="20"/>
                <w:spacing w:val="-2"/>
              </w:rPr>
              <w:t>32.0968</w:t>
            </w:r>
          </w:p>
        </w:tc>
        <w:tc>
          <w:tcPr>
            <w:tcW w:w="789" w:type="dxa"/>
            <w:vAlign w:val="top"/>
          </w:tcPr>
          <w:p>
            <w:pPr>
              <w:pStyle w:val="TableText"/>
              <w:ind w:left="37"/>
              <w:spacing w:before="67" w:line="178" w:lineRule="auto"/>
              <w:rPr>
                <w:sz w:val="20"/>
                <w:szCs w:val="20"/>
              </w:rPr>
            </w:pPr>
            <w:r>
              <w:rPr>
                <w:sz w:val="20"/>
                <w:szCs w:val="20"/>
                <w:spacing w:val="-2"/>
              </w:rPr>
              <w:t>32.0968</w:t>
            </w:r>
          </w:p>
        </w:tc>
        <w:tc>
          <w:tcPr>
            <w:tcW w:w="659" w:type="dxa"/>
            <w:vAlign w:val="top"/>
          </w:tcPr>
          <w:p>
            <w:pPr>
              <w:pStyle w:val="TableText"/>
              <w:ind w:left="27"/>
              <w:spacing w:before="67" w:line="178" w:lineRule="auto"/>
              <w:rPr>
                <w:sz w:val="20"/>
                <w:szCs w:val="20"/>
              </w:rPr>
            </w:pPr>
            <w:r>
              <w:rPr>
                <w:sz w:val="20"/>
                <w:szCs w:val="20"/>
                <w:spacing w:val="-1"/>
              </w:rPr>
              <w:t>4.2796</w:t>
            </w:r>
          </w:p>
        </w:tc>
        <w:tc>
          <w:tcPr>
            <w:tcW w:w="776" w:type="dxa"/>
            <w:vAlign w:val="top"/>
          </w:tcPr>
          <w:p>
            <w:pPr>
              <w:pStyle w:val="TableText"/>
              <w:ind w:left="29"/>
              <w:spacing w:before="67" w:line="178" w:lineRule="auto"/>
              <w:rPr>
                <w:sz w:val="20"/>
                <w:szCs w:val="20"/>
              </w:rPr>
            </w:pPr>
            <w:r>
              <w:rPr>
                <w:sz w:val="20"/>
                <w:szCs w:val="20"/>
                <w:spacing w:val="-1"/>
              </w:rPr>
              <w:t>42.7957</w:t>
            </w:r>
          </w:p>
        </w:tc>
      </w:tr>
      <w:tr>
        <w:trPr>
          <w:trHeight w:val="259" w:hRule="atLeast"/>
        </w:trPr>
        <w:tc>
          <w:tcPr>
            <w:tcW w:w="684" w:type="dxa"/>
            <w:vAlign w:val="top"/>
            <w:vMerge w:val="restart"/>
            <w:tcBorders>
              <w:bottom w:val="nil"/>
            </w:tcBorders>
          </w:tcPr>
          <w:p>
            <w:pPr>
              <w:pStyle w:val="TableText"/>
              <w:ind w:left="35"/>
              <w:spacing w:before="27" w:line="220" w:lineRule="auto"/>
              <w:rPr>
                <w:sz w:val="20"/>
                <w:szCs w:val="20"/>
              </w:rPr>
            </w:pPr>
            <w:r>
              <w:rPr>
                <w:sz w:val="20"/>
                <w:szCs w:val="20"/>
                <w:color w:val="706060"/>
                <w:spacing w:val="3"/>
              </w:rPr>
              <w:t>肉牛屠</w:t>
            </w:r>
          </w:p>
          <w:p>
            <w:pPr>
              <w:pStyle w:val="TableText"/>
              <w:ind w:left="35"/>
              <w:spacing w:before="31" w:line="209" w:lineRule="auto"/>
              <w:rPr>
                <w:sz w:val="20"/>
                <w:szCs w:val="20"/>
              </w:rPr>
            </w:pPr>
            <w:r>
              <w:rPr>
                <w:sz w:val="20"/>
                <w:szCs w:val="20"/>
                <w:spacing w:val="3"/>
              </w:rPr>
              <w:t>宰废水</w:t>
            </w:r>
          </w:p>
        </w:tc>
        <w:tc>
          <w:tcPr>
            <w:tcW w:w="280" w:type="dxa"/>
            <w:vAlign w:val="top"/>
            <w:vMerge w:val="restart"/>
            <w:textDirection w:val="tbRlV"/>
            <w:tcBorders>
              <w:bottom w:val="nil"/>
            </w:tcBorders>
          </w:tcPr>
          <w:p>
            <w:pPr>
              <w:pStyle w:val="TableText"/>
              <w:spacing w:before="47" w:line="199" w:lineRule="auto"/>
              <w:jc w:val="right"/>
              <w:rPr>
                <w:sz w:val="20"/>
                <w:szCs w:val="20"/>
              </w:rPr>
            </w:pPr>
            <w:r>
              <w:rPr>
                <w:sz w:val="20"/>
                <w:szCs w:val="20"/>
                <w:spacing w:val="-2"/>
              </w:rPr>
              <w:t>淡</w:t>
            </w:r>
            <w:r>
              <w:rPr>
                <w:sz w:val="20"/>
                <w:szCs w:val="20"/>
                <w:spacing w:val="36"/>
              </w:rPr>
              <w:t xml:space="preserve"> </w:t>
            </w:r>
            <w:r>
              <w:rPr>
                <w:sz w:val="20"/>
                <w:szCs w:val="20"/>
                <w:spacing w:val="-2"/>
              </w:rPr>
              <w:t>季</w:t>
            </w:r>
          </w:p>
        </w:tc>
        <w:tc>
          <w:tcPr>
            <w:tcW w:w="769" w:type="dxa"/>
            <w:vAlign w:val="top"/>
            <w:vMerge w:val="restart"/>
            <w:tcBorders>
              <w:bottom w:val="nil"/>
            </w:tcBorders>
          </w:tcPr>
          <w:p>
            <w:pPr>
              <w:pStyle w:val="TableText"/>
              <w:ind w:left="121"/>
              <w:spacing w:before="196"/>
              <w:rPr>
                <w:sz w:val="20"/>
                <w:szCs w:val="20"/>
              </w:rPr>
            </w:pPr>
            <w:r>
              <w:rPr>
                <w:sz w:val="20"/>
                <w:szCs w:val="20"/>
                <w:spacing w:val="-2"/>
              </w:rPr>
              <w:t>25407</w:t>
            </w:r>
          </w:p>
        </w:tc>
        <w:tc>
          <w:tcPr>
            <w:shd w:val="clear" w:fill="E9E9E0"/>
            <w:tcW w:w="260" w:type="dxa"/>
            <w:vAlign w:val="top"/>
            <w:vMerge w:val="restart"/>
            <w:textDirection w:val="tbRlV"/>
            <w:tcBorders>
              <w:bottom w:val="nil"/>
            </w:tcBorders>
          </w:tcPr>
          <w:p>
            <w:pPr>
              <w:pStyle w:val="TableText"/>
              <w:ind w:left="14"/>
              <w:spacing w:before="34" w:line="204" w:lineRule="auto"/>
              <w:rPr>
                <w:sz w:val="20"/>
                <w:szCs w:val="20"/>
              </w:rPr>
            </w:pPr>
            <w:r>
              <w:rPr>
                <w:sz w:val="20"/>
                <w:szCs w:val="20"/>
                <w:spacing w:val="17"/>
              </w:rPr>
              <w:t>处理</w:t>
            </w:r>
          </w:p>
        </w:tc>
        <w:tc>
          <w:tcPr>
            <w:tcW w:w="1299" w:type="dxa"/>
            <w:vAlign w:val="top"/>
          </w:tcPr>
          <w:p>
            <w:pPr>
              <w:pStyle w:val="TableText"/>
              <w:ind w:left="42"/>
              <w:spacing w:before="31" w:line="201" w:lineRule="auto"/>
              <w:rPr>
                <w:sz w:val="20"/>
                <w:szCs w:val="20"/>
              </w:rPr>
            </w:pPr>
            <w:r>
              <w:rPr>
                <w:sz w:val="20"/>
                <w:szCs w:val="20"/>
                <w:spacing w:val="-1"/>
              </w:rPr>
              <w:t>产生浓度mg/L</w:t>
            </w:r>
          </w:p>
        </w:tc>
        <w:tc>
          <w:tcPr>
            <w:tcW w:w="919" w:type="dxa"/>
            <w:vAlign w:val="top"/>
          </w:tcPr>
          <w:p>
            <w:pPr>
              <w:pStyle w:val="TableText"/>
              <w:ind w:left="253"/>
              <w:spacing w:before="57" w:line="177" w:lineRule="auto"/>
              <w:rPr>
                <w:sz w:val="20"/>
                <w:szCs w:val="20"/>
              </w:rPr>
            </w:pPr>
            <w:r>
              <w:rPr>
                <w:sz w:val="20"/>
                <w:szCs w:val="20"/>
                <w:spacing w:val="-2"/>
              </w:rPr>
              <w:t>2000</w:t>
            </w:r>
          </w:p>
        </w:tc>
        <w:tc>
          <w:tcPr>
            <w:tcW w:w="739" w:type="dxa"/>
            <w:vAlign w:val="top"/>
          </w:tcPr>
          <w:p>
            <w:pPr>
              <w:pStyle w:val="TableText"/>
              <w:ind w:left="214"/>
              <w:spacing w:before="57" w:line="177" w:lineRule="auto"/>
              <w:rPr>
                <w:sz w:val="20"/>
                <w:szCs w:val="20"/>
              </w:rPr>
            </w:pPr>
            <w:r>
              <w:rPr>
                <w:sz w:val="20"/>
                <w:szCs w:val="20"/>
                <w:spacing w:val="-3"/>
              </w:rPr>
              <w:t>600</w:t>
            </w:r>
          </w:p>
        </w:tc>
        <w:tc>
          <w:tcPr>
            <w:tcW w:w="769" w:type="dxa"/>
            <w:vAlign w:val="top"/>
          </w:tcPr>
          <w:p>
            <w:pPr>
              <w:pStyle w:val="TableText"/>
              <w:ind w:left="225"/>
              <w:spacing w:before="57" w:line="177" w:lineRule="auto"/>
              <w:rPr>
                <w:sz w:val="20"/>
                <w:szCs w:val="20"/>
              </w:rPr>
            </w:pPr>
            <w:r>
              <w:rPr>
                <w:sz w:val="20"/>
                <w:szCs w:val="20"/>
                <w:spacing w:val="-3"/>
              </w:rPr>
              <w:t>350</w:t>
            </w:r>
          </w:p>
        </w:tc>
        <w:tc>
          <w:tcPr>
            <w:tcW w:w="759" w:type="dxa"/>
            <w:vAlign w:val="top"/>
          </w:tcPr>
          <w:p>
            <w:pPr>
              <w:pStyle w:val="TableText"/>
              <w:ind w:left="225"/>
              <w:spacing w:before="57" w:line="177" w:lineRule="auto"/>
              <w:rPr>
                <w:sz w:val="20"/>
                <w:szCs w:val="20"/>
              </w:rPr>
            </w:pPr>
            <w:r>
              <w:rPr>
                <w:sz w:val="20"/>
                <w:szCs w:val="20"/>
                <w:spacing w:val="-3"/>
              </w:rPr>
              <w:t>200</w:t>
            </w:r>
          </w:p>
        </w:tc>
        <w:tc>
          <w:tcPr>
            <w:tcW w:w="789" w:type="dxa"/>
            <w:vAlign w:val="top"/>
          </w:tcPr>
          <w:p>
            <w:pPr>
              <w:pStyle w:val="TableText"/>
              <w:ind w:left="236"/>
              <w:spacing w:before="57" w:line="177" w:lineRule="auto"/>
              <w:rPr>
                <w:sz w:val="20"/>
                <w:szCs w:val="20"/>
              </w:rPr>
            </w:pPr>
            <w:r>
              <w:rPr>
                <w:sz w:val="20"/>
                <w:szCs w:val="20"/>
                <w:spacing w:val="-3"/>
              </w:rPr>
              <w:t>300</w:t>
            </w:r>
          </w:p>
        </w:tc>
        <w:tc>
          <w:tcPr>
            <w:tcW w:w="659" w:type="dxa"/>
            <w:vAlign w:val="top"/>
          </w:tcPr>
          <w:p>
            <w:pPr>
              <w:pStyle w:val="TableText"/>
              <w:ind w:left="227"/>
              <w:spacing w:before="57" w:line="177" w:lineRule="auto"/>
              <w:rPr>
                <w:sz w:val="20"/>
                <w:szCs w:val="20"/>
              </w:rPr>
            </w:pPr>
            <w:r>
              <w:rPr>
                <w:sz w:val="20"/>
                <w:szCs w:val="20"/>
                <w:spacing w:val="-3"/>
              </w:rPr>
              <w:t>20</w:t>
            </w:r>
          </w:p>
        </w:tc>
        <w:tc>
          <w:tcPr>
            <w:tcW w:w="776" w:type="dxa"/>
            <w:vAlign w:val="top"/>
          </w:tcPr>
          <w:p>
            <w:pPr>
              <w:pStyle w:val="TableText"/>
              <w:ind w:left="329"/>
              <w:spacing w:before="57" w:line="177" w:lineRule="auto"/>
              <w:rPr>
                <w:sz w:val="20"/>
                <w:szCs w:val="20"/>
              </w:rPr>
            </w:pPr>
            <w:r>
              <w:rPr>
                <w:sz w:val="20"/>
                <w:szCs w:val="20"/>
              </w:rPr>
              <w:t>5</w:t>
            </w:r>
          </w:p>
        </w:tc>
      </w:tr>
      <w:tr>
        <w:trPr>
          <w:trHeight w:val="265" w:hRule="atLeast"/>
        </w:trPr>
        <w:tc>
          <w:tcPr>
            <w:tcW w:w="684" w:type="dxa"/>
            <w:vAlign w:val="top"/>
            <w:vMerge w:val="continue"/>
            <w:tcBorders>
              <w:top w:val="nil"/>
            </w:tcBorders>
          </w:tcPr>
          <w:p>
            <w:pPr>
              <w:rPr>
                <w:rFonts w:ascii="Arial"/>
                <w:sz w:val="21"/>
              </w:rPr>
            </w:pPr>
            <w:r/>
          </w:p>
        </w:tc>
        <w:tc>
          <w:tcPr>
            <w:tcW w:w="28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60" w:type="dxa"/>
            <w:vAlign w:val="top"/>
            <w:vMerge w:val="continue"/>
            <w:textDirection w:val="tbRlV"/>
            <w:tcBorders>
              <w:top w:val="nil"/>
            </w:tcBorders>
          </w:tcPr>
          <w:p>
            <w:pPr>
              <w:rPr>
                <w:rFonts w:ascii="Arial"/>
                <w:sz w:val="21"/>
              </w:rPr>
            </w:pPr>
            <w:r/>
          </w:p>
        </w:tc>
        <w:tc>
          <w:tcPr>
            <w:tcW w:w="1299" w:type="dxa"/>
            <w:vAlign w:val="top"/>
          </w:tcPr>
          <w:p>
            <w:pPr>
              <w:pStyle w:val="TableText"/>
              <w:ind w:left="192"/>
              <w:spacing w:before="38" w:line="200" w:lineRule="auto"/>
              <w:rPr>
                <w:sz w:val="20"/>
                <w:szCs w:val="20"/>
              </w:rPr>
            </w:pPr>
            <w:r>
              <w:rPr>
                <w:sz w:val="20"/>
                <w:szCs w:val="20"/>
                <w:color w:val="403040"/>
                <w:spacing w:val="-2"/>
              </w:rPr>
              <w:t>产生量t/a</w:t>
            </w:r>
          </w:p>
        </w:tc>
        <w:tc>
          <w:tcPr>
            <w:tcW w:w="919" w:type="dxa"/>
            <w:vAlign w:val="top"/>
          </w:tcPr>
          <w:p>
            <w:pPr>
              <w:pStyle w:val="TableText"/>
              <w:ind w:left="103"/>
              <w:spacing w:before="57" w:line="182" w:lineRule="auto"/>
              <w:rPr>
                <w:sz w:val="20"/>
                <w:szCs w:val="20"/>
              </w:rPr>
            </w:pPr>
            <w:r>
              <w:rPr>
                <w:sz w:val="20"/>
                <w:szCs w:val="20"/>
                <w:spacing w:val="-2"/>
              </w:rPr>
              <w:t>50.8140</w:t>
            </w:r>
          </w:p>
        </w:tc>
        <w:tc>
          <w:tcPr>
            <w:tcW w:w="739" w:type="dxa"/>
            <w:vAlign w:val="top"/>
          </w:tcPr>
          <w:p>
            <w:pPr>
              <w:pStyle w:val="TableText"/>
              <w:ind w:left="14"/>
              <w:spacing w:before="57" w:line="182" w:lineRule="auto"/>
              <w:rPr>
                <w:sz w:val="20"/>
                <w:szCs w:val="20"/>
              </w:rPr>
            </w:pPr>
            <w:r>
              <w:rPr>
                <w:sz w:val="20"/>
                <w:szCs w:val="20"/>
                <w:spacing w:val="-3"/>
              </w:rPr>
              <w:t>15.2442</w:t>
            </w:r>
          </w:p>
        </w:tc>
        <w:tc>
          <w:tcPr>
            <w:tcW w:w="769" w:type="dxa"/>
            <w:vAlign w:val="top"/>
          </w:tcPr>
          <w:p>
            <w:pPr>
              <w:pStyle w:val="TableText"/>
              <w:ind w:left="75"/>
              <w:spacing w:before="57" w:line="182" w:lineRule="auto"/>
              <w:rPr>
                <w:sz w:val="20"/>
                <w:szCs w:val="20"/>
              </w:rPr>
            </w:pPr>
            <w:r>
              <w:rPr>
                <w:sz w:val="20"/>
                <w:szCs w:val="20"/>
                <w:spacing w:val="-2"/>
              </w:rPr>
              <w:t>8.8925</w:t>
            </w:r>
          </w:p>
        </w:tc>
        <w:tc>
          <w:tcPr>
            <w:tcW w:w="759" w:type="dxa"/>
            <w:vAlign w:val="top"/>
          </w:tcPr>
          <w:p>
            <w:pPr>
              <w:pStyle w:val="TableText"/>
              <w:ind w:left="76"/>
              <w:spacing w:before="57" w:line="182" w:lineRule="auto"/>
              <w:rPr>
                <w:sz w:val="20"/>
                <w:szCs w:val="20"/>
              </w:rPr>
            </w:pPr>
            <w:r>
              <w:rPr>
                <w:sz w:val="20"/>
                <w:szCs w:val="20"/>
                <w:spacing w:val="-2"/>
              </w:rPr>
              <w:t>5.0814</w:t>
            </w:r>
          </w:p>
        </w:tc>
        <w:tc>
          <w:tcPr>
            <w:tcW w:w="789" w:type="dxa"/>
            <w:vAlign w:val="top"/>
          </w:tcPr>
          <w:p>
            <w:pPr>
              <w:pStyle w:val="TableText"/>
              <w:ind w:left="87"/>
              <w:spacing w:before="57" w:line="182" w:lineRule="auto"/>
              <w:rPr>
                <w:sz w:val="20"/>
                <w:szCs w:val="20"/>
              </w:rPr>
            </w:pPr>
            <w:r>
              <w:rPr>
                <w:sz w:val="20"/>
                <w:szCs w:val="20"/>
                <w:spacing w:val="-2"/>
              </w:rPr>
              <w:t>7.6221</w:t>
            </w:r>
          </w:p>
        </w:tc>
        <w:tc>
          <w:tcPr>
            <w:tcW w:w="659" w:type="dxa"/>
            <w:vAlign w:val="top"/>
          </w:tcPr>
          <w:p>
            <w:pPr>
              <w:pStyle w:val="TableText"/>
              <w:ind w:left="27"/>
              <w:spacing w:before="57" w:line="182" w:lineRule="auto"/>
              <w:rPr>
                <w:sz w:val="20"/>
                <w:szCs w:val="20"/>
              </w:rPr>
            </w:pPr>
            <w:r>
              <w:rPr>
                <w:sz w:val="20"/>
                <w:szCs w:val="20"/>
                <w:spacing w:val="-2"/>
              </w:rPr>
              <w:t>0.5081</w:t>
            </w:r>
          </w:p>
        </w:tc>
        <w:tc>
          <w:tcPr>
            <w:tcW w:w="776" w:type="dxa"/>
            <w:vAlign w:val="top"/>
          </w:tcPr>
          <w:p>
            <w:pPr>
              <w:pStyle w:val="TableText"/>
              <w:ind w:left="79"/>
              <w:spacing w:before="57" w:line="182" w:lineRule="auto"/>
              <w:rPr>
                <w:sz w:val="20"/>
                <w:szCs w:val="20"/>
              </w:rPr>
            </w:pPr>
            <w:r>
              <w:rPr>
                <w:sz w:val="20"/>
                <w:szCs w:val="20"/>
                <w:spacing w:val="-2"/>
              </w:rPr>
              <w:t>0.1270</w:t>
            </w:r>
          </w:p>
        </w:tc>
      </w:tr>
    </w:tbl>
    <w:p>
      <w:pPr>
        <w:pStyle w:val="BodyText"/>
        <w:rPr/>
      </w:pPr>
      <w:r/>
    </w:p>
    <w:p>
      <w:pPr>
        <w:sectPr>
          <w:headerReference w:type="default" r:id="rId292"/>
          <w:footerReference w:type="default" r:id="rId293"/>
          <w:pgSz w:w="11910" w:h="16840"/>
          <w:pgMar w:top="1207" w:right="1622" w:bottom="922" w:left="1574" w:header="915" w:footer="751" w:gutter="0"/>
        </w:sectPr>
        <w:rPr/>
      </w:pPr>
    </w:p>
    <w:p>
      <w:pPr>
        <w:spacing w:before="16"/>
        <w:rPr/>
      </w:pPr>
      <w:r/>
    </w:p>
    <w:tbl>
      <w:tblPr>
        <w:tblStyle w:val="TableNormal"/>
        <w:tblW w:w="8682"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84"/>
        <w:gridCol w:w="270"/>
        <w:gridCol w:w="769"/>
        <w:gridCol w:w="250"/>
        <w:gridCol w:w="1288"/>
        <w:gridCol w:w="909"/>
        <w:gridCol w:w="739"/>
        <w:gridCol w:w="779"/>
        <w:gridCol w:w="769"/>
        <w:gridCol w:w="799"/>
        <w:gridCol w:w="639"/>
        <w:gridCol w:w="787"/>
      </w:tblGrid>
      <w:tr>
        <w:trPr>
          <w:trHeight w:val="265" w:hRule="atLeast"/>
        </w:trPr>
        <w:tc>
          <w:tcPr>
            <w:shd w:val="clear" w:fill="BDBDBD"/>
            <w:tcW w:w="684" w:type="dxa"/>
            <w:vAlign w:val="top"/>
            <w:vMerge w:val="restart"/>
            <w:tcBorders>
              <w:bottom w:val="nil"/>
            </w:tcBorders>
          </w:tcPr>
          <w:p>
            <w:pPr>
              <w:pStyle w:val="TableText"/>
              <w:ind w:left="37"/>
              <w:spacing w:before="170" w:line="220" w:lineRule="auto"/>
              <w:rPr>
                <w:sz w:val="20"/>
                <w:szCs w:val="20"/>
              </w:rPr>
            </w:pPr>
            <w:r>
              <w:rPr>
                <w:sz w:val="20"/>
                <w:szCs w:val="20"/>
                <w:b/>
                <w:bCs/>
                <w:spacing w:val="-5"/>
              </w:rPr>
              <w:t>污染源</w:t>
            </w:r>
          </w:p>
        </w:tc>
        <w:tc>
          <w:tcPr>
            <w:shd w:val="clear" w:fill="BDBDBD"/>
            <w:tcW w:w="1039" w:type="dxa"/>
            <w:vAlign w:val="top"/>
            <w:gridSpan w:val="2"/>
            <w:vMerge w:val="restart"/>
            <w:tcBorders>
              <w:bottom w:val="nil"/>
            </w:tcBorders>
          </w:tcPr>
          <w:p>
            <w:pPr>
              <w:pStyle w:val="TableText"/>
              <w:ind w:left="213"/>
              <w:spacing w:before="41" w:line="221" w:lineRule="auto"/>
              <w:rPr>
                <w:sz w:val="20"/>
                <w:szCs w:val="20"/>
              </w:rPr>
            </w:pPr>
            <w:r>
              <w:rPr>
                <w:sz w:val="20"/>
                <w:szCs w:val="20"/>
                <w:b/>
                <w:bCs/>
                <w:spacing w:val="-4"/>
              </w:rPr>
              <w:t>排放量</w:t>
            </w:r>
          </w:p>
          <w:p>
            <w:pPr>
              <w:pStyle w:val="TableText"/>
              <w:ind w:left="163"/>
              <w:spacing w:before="12" w:line="213" w:lineRule="auto"/>
              <w:rPr>
                <w:sz w:val="20"/>
                <w:szCs w:val="20"/>
              </w:rPr>
            </w:pPr>
            <w:r>
              <w:rPr>
                <w:sz w:val="20"/>
                <w:szCs w:val="20"/>
                <w:b/>
                <w:bCs/>
                <w:spacing w:val="-9"/>
              </w:rPr>
              <w:t>(m³/a)</w:t>
            </w:r>
          </w:p>
        </w:tc>
        <w:tc>
          <w:tcPr>
            <w:shd w:val="clear" w:fill="BDBDBD"/>
            <w:tcW w:w="1538" w:type="dxa"/>
            <w:vAlign w:val="top"/>
            <w:gridSpan w:val="2"/>
            <w:vMerge w:val="restart"/>
            <w:tcBorders>
              <w:bottom w:val="nil"/>
            </w:tcBorders>
          </w:tcPr>
          <w:p>
            <w:pPr>
              <w:pStyle w:val="TableText"/>
              <w:ind w:left="344"/>
              <w:spacing w:before="170" w:line="220" w:lineRule="auto"/>
              <w:rPr>
                <w:sz w:val="20"/>
                <w:szCs w:val="20"/>
              </w:rPr>
            </w:pPr>
            <w:r>
              <w:rPr>
                <w:sz w:val="20"/>
                <w:szCs w:val="20"/>
                <w:b/>
                <w:bCs/>
                <w:spacing w:val="-5"/>
              </w:rPr>
              <w:t>处理情况</w:t>
            </w:r>
          </w:p>
        </w:tc>
        <w:tc>
          <w:tcPr>
            <w:shd w:val="clear" w:fill="BDBDBD"/>
            <w:tcW w:w="5421" w:type="dxa"/>
            <w:vAlign w:val="top"/>
            <w:gridSpan w:val="7"/>
          </w:tcPr>
          <w:p>
            <w:pPr>
              <w:pStyle w:val="TableText"/>
              <w:ind w:left="2406"/>
              <w:spacing w:before="30" w:line="207" w:lineRule="auto"/>
              <w:rPr>
                <w:sz w:val="20"/>
                <w:szCs w:val="20"/>
              </w:rPr>
            </w:pPr>
            <w:r>
              <w:rPr>
                <w:sz w:val="20"/>
                <w:szCs w:val="20"/>
                <w:b/>
                <w:bCs/>
                <w:spacing w:val="-5"/>
              </w:rPr>
              <w:t>污染物</w:t>
            </w:r>
          </w:p>
        </w:tc>
      </w:tr>
      <w:tr>
        <w:trPr>
          <w:trHeight w:val="259" w:hRule="atLeast"/>
        </w:trPr>
        <w:tc>
          <w:tcPr>
            <w:tcW w:w="684" w:type="dxa"/>
            <w:vAlign w:val="top"/>
            <w:vMerge w:val="continue"/>
            <w:tcBorders>
              <w:top w:val="nil"/>
            </w:tcBorders>
          </w:tcPr>
          <w:p>
            <w:pPr>
              <w:rPr>
                <w:rFonts w:ascii="Arial"/>
                <w:sz w:val="21"/>
              </w:rPr>
            </w:pPr>
            <w:r/>
          </w:p>
        </w:tc>
        <w:tc>
          <w:tcPr>
            <w:tcW w:w="1039" w:type="dxa"/>
            <w:vAlign w:val="top"/>
            <w:gridSpan w:val="2"/>
            <w:vMerge w:val="continue"/>
            <w:tcBorders>
              <w:top w:val="nil"/>
            </w:tcBorders>
          </w:tcPr>
          <w:p>
            <w:pPr>
              <w:rPr>
                <w:rFonts w:ascii="Arial"/>
                <w:sz w:val="21"/>
              </w:rPr>
            </w:pPr>
            <w:r/>
          </w:p>
        </w:tc>
        <w:tc>
          <w:tcPr>
            <w:tcW w:w="1538" w:type="dxa"/>
            <w:vAlign w:val="top"/>
            <w:gridSpan w:val="2"/>
            <w:vMerge w:val="continue"/>
            <w:tcBorders>
              <w:top w:val="nil"/>
            </w:tcBorders>
          </w:tcPr>
          <w:p>
            <w:pPr>
              <w:rPr>
                <w:rFonts w:ascii="Arial"/>
                <w:sz w:val="21"/>
              </w:rPr>
            </w:pPr>
            <w:r/>
          </w:p>
        </w:tc>
        <w:tc>
          <w:tcPr>
            <w:shd w:val="clear" w:fill="BDBDBD"/>
            <w:tcW w:w="909" w:type="dxa"/>
            <w:vAlign w:val="top"/>
          </w:tcPr>
          <w:p>
            <w:pPr>
              <w:pStyle w:val="TableText"/>
              <w:ind w:left="296"/>
              <w:spacing w:before="78" w:line="157" w:lineRule="auto"/>
              <w:rPr>
                <w:sz w:val="20"/>
                <w:szCs w:val="20"/>
              </w:rPr>
            </w:pPr>
            <w:r>
              <w:rPr>
                <w:sz w:val="20"/>
                <w:szCs w:val="20"/>
                <w:b/>
                <w:bCs/>
                <w:spacing w:val="-4"/>
              </w:rPr>
              <w:t>COD</w:t>
            </w:r>
          </w:p>
        </w:tc>
        <w:tc>
          <w:tcPr>
            <w:shd w:val="clear" w:fill="BDBDBD"/>
            <w:tcW w:w="739" w:type="dxa"/>
            <w:vAlign w:val="top"/>
          </w:tcPr>
          <w:p>
            <w:pPr>
              <w:pStyle w:val="TableText"/>
              <w:ind w:left="117"/>
              <w:spacing w:before="58" w:line="176" w:lineRule="auto"/>
              <w:rPr>
                <w:rFonts w:ascii="Calibri" w:hAnsi="Calibri" w:eastAsia="Calibri" w:cs="Calibri"/>
                <w:sz w:val="20"/>
                <w:szCs w:val="20"/>
              </w:rPr>
            </w:pPr>
            <w:r>
              <w:rPr>
                <w:sz w:val="20"/>
                <w:szCs w:val="20"/>
                <w:b/>
                <w:bCs/>
                <w:spacing w:val="-3"/>
              </w:rPr>
              <w:t>BOD</w:t>
            </w:r>
            <w:r>
              <w:rPr>
                <w:rFonts w:ascii="Calibri" w:hAnsi="Calibri" w:eastAsia="Calibri" w:cs="Calibri"/>
                <w:sz w:val="20"/>
                <w:szCs w:val="20"/>
                <w:b/>
                <w:bCs/>
                <w:spacing w:val="-3"/>
              </w:rPr>
              <w:t>₅</w:t>
            </w:r>
          </w:p>
        </w:tc>
        <w:tc>
          <w:tcPr>
            <w:shd w:val="clear" w:fill="BDBDBD"/>
            <w:tcW w:w="779" w:type="dxa"/>
            <w:vAlign w:val="top"/>
          </w:tcPr>
          <w:p>
            <w:pPr>
              <w:pStyle w:val="TableText"/>
              <w:ind w:left="288"/>
              <w:spacing w:before="78" w:line="157" w:lineRule="auto"/>
              <w:rPr>
                <w:sz w:val="20"/>
                <w:szCs w:val="20"/>
              </w:rPr>
            </w:pPr>
            <w:r>
              <w:rPr>
                <w:sz w:val="20"/>
                <w:szCs w:val="20"/>
                <w:b/>
                <w:bCs/>
                <w:spacing w:val="-5"/>
              </w:rPr>
              <w:t>SS</w:t>
            </w:r>
          </w:p>
        </w:tc>
        <w:tc>
          <w:tcPr>
            <w:shd w:val="clear" w:fill="BDBDBD"/>
            <w:tcW w:w="769" w:type="dxa"/>
            <w:vAlign w:val="top"/>
          </w:tcPr>
          <w:p>
            <w:pPr>
              <w:pStyle w:val="TableText"/>
              <w:ind w:left="79"/>
              <w:spacing w:before="60" w:line="174" w:lineRule="auto"/>
              <w:rPr>
                <w:sz w:val="20"/>
                <w:szCs w:val="20"/>
              </w:rPr>
            </w:pPr>
            <w:r>
              <w:rPr>
                <w:sz w:val="20"/>
                <w:szCs w:val="20"/>
                <w:b/>
                <w:bCs/>
                <w:spacing w:val="-3"/>
              </w:rPr>
              <w:t>NH</w:t>
            </w:r>
            <w:r>
              <w:rPr>
                <w:rFonts w:ascii="Calibri" w:hAnsi="Calibri" w:eastAsia="Calibri" w:cs="Calibri"/>
                <w:sz w:val="20"/>
                <w:szCs w:val="20"/>
                <w:b/>
                <w:bCs/>
                <w:spacing w:val="-3"/>
              </w:rPr>
              <w:t>₃</w:t>
            </w:r>
            <w:r>
              <w:rPr>
                <w:sz w:val="20"/>
                <w:szCs w:val="20"/>
                <w:b/>
                <w:bCs/>
                <w:spacing w:val="-3"/>
              </w:rPr>
              <w:t>-N</w:t>
            </w:r>
          </w:p>
        </w:tc>
        <w:tc>
          <w:tcPr>
            <w:shd w:val="clear" w:fill="BDBDBD"/>
            <w:tcW w:w="799" w:type="dxa"/>
            <w:vAlign w:val="top"/>
          </w:tcPr>
          <w:p>
            <w:pPr>
              <w:pStyle w:val="TableText"/>
              <w:ind w:left="300"/>
              <w:spacing w:before="81" w:line="168" w:lineRule="exact"/>
              <w:rPr>
                <w:sz w:val="20"/>
                <w:szCs w:val="20"/>
              </w:rPr>
            </w:pPr>
            <w:r>
              <w:rPr>
                <w:sz w:val="20"/>
                <w:szCs w:val="20"/>
                <w:b/>
                <w:bCs/>
                <w:spacing w:val="-4"/>
                <w:position w:val="-2"/>
              </w:rPr>
              <w:t>TN</w:t>
            </w:r>
          </w:p>
        </w:tc>
        <w:tc>
          <w:tcPr>
            <w:shd w:val="clear" w:fill="BDBDBD"/>
            <w:tcW w:w="639" w:type="dxa"/>
            <w:vAlign w:val="top"/>
          </w:tcPr>
          <w:p>
            <w:pPr>
              <w:pStyle w:val="TableText"/>
              <w:ind w:left="221"/>
              <w:spacing w:before="81" w:line="168" w:lineRule="exact"/>
              <w:rPr>
                <w:sz w:val="20"/>
                <w:szCs w:val="20"/>
              </w:rPr>
            </w:pPr>
            <w:r>
              <w:rPr>
                <w:sz w:val="20"/>
                <w:szCs w:val="20"/>
                <w:b/>
                <w:bCs/>
                <w:spacing w:val="-4"/>
                <w:position w:val="-2"/>
              </w:rPr>
              <w:t>TP</w:t>
            </w:r>
          </w:p>
        </w:tc>
        <w:tc>
          <w:tcPr>
            <w:shd w:val="clear" w:fill="BDBDBD"/>
            <w:tcW w:w="787" w:type="dxa"/>
            <w:vAlign w:val="top"/>
          </w:tcPr>
          <w:p>
            <w:pPr>
              <w:pStyle w:val="TableText"/>
              <w:spacing w:before="24" w:line="207" w:lineRule="auto"/>
              <w:jc w:val="right"/>
              <w:rPr>
                <w:sz w:val="20"/>
                <w:szCs w:val="20"/>
              </w:rPr>
            </w:pPr>
            <w:r>
              <w:rPr>
                <w:sz w:val="20"/>
                <w:szCs w:val="20"/>
                <w:b/>
                <w:bCs/>
                <w:spacing w:val="-14"/>
              </w:rPr>
              <w:t>动植物油</w:t>
            </w:r>
          </w:p>
        </w:tc>
      </w:tr>
      <w:tr>
        <w:trPr>
          <w:trHeight w:val="270" w:hRule="atLeast"/>
        </w:trPr>
        <w:tc>
          <w:tcPr>
            <w:tcW w:w="684" w:type="dxa"/>
            <w:vAlign w:val="top"/>
            <w:vMerge w:val="restart"/>
            <w:tcBorders>
              <w:bottom w:val="nil"/>
            </w:tcBorders>
          </w:tcPr>
          <w:p>
            <w:pPr>
              <w:rPr>
                <w:rFonts w:ascii="Arial"/>
                <w:sz w:val="21"/>
              </w:rPr>
            </w:pPr>
            <w:r/>
          </w:p>
        </w:tc>
        <w:tc>
          <w:tcPr>
            <w:tcW w:w="270" w:type="dxa"/>
            <w:vAlign w:val="top"/>
            <w:vMerge w:val="restart"/>
            <w:textDirection w:val="tbRlV"/>
            <w:tcBorders>
              <w:bottom w:val="nil"/>
            </w:tcBorders>
          </w:tcPr>
          <w:p>
            <w:pPr>
              <w:pStyle w:val="TableText"/>
              <w:spacing w:before="56" w:line="200" w:lineRule="auto"/>
              <w:rPr>
                <w:sz w:val="20"/>
                <w:szCs w:val="20"/>
              </w:rPr>
            </w:pPr>
            <w:r>
              <w:rPr>
                <w:sz w:val="20"/>
                <w:szCs w:val="20"/>
                <w:color w:val="807060"/>
                <w:spacing w:val="-2"/>
              </w:rPr>
              <w:t>旺</w:t>
            </w:r>
            <w:r>
              <w:rPr>
                <w:sz w:val="20"/>
                <w:szCs w:val="20"/>
                <w:color w:val="807060"/>
                <w:spacing w:val="20"/>
              </w:rPr>
              <w:t xml:space="preserve"> </w:t>
            </w:r>
            <w:r>
              <w:rPr>
                <w:sz w:val="20"/>
                <w:szCs w:val="20"/>
                <w:color w:val="807060"/>
                <w:spacing w:val="-2"/>
              </w:rPr>
              <w:t>季</w:t>
            </w:r>
          </w:p>
        </w:tc>
        <w:tc>
          <w:tcPr>
            <w:tcW w:w="769" w:type="dxa"/>
            <w:vAlign w:val="top"/>
            <w:vMerge w:val="restart"/>
            <w:tcBorders>
              <w:bottom w:val="nil"/>
            </w:tcBorders>
          </w:tcPr>
          <w:p>
            <w:pPr>
              <w:pStyle w:val="TableText"/>
              <w:spacing w:before="188" w:line="239" w:lineRule="auto"/>
              <w:jc w:val="right"/>
              <w:rPr>
                <w:sz w:val="20"/>
                <w:szCs w:val="20"/>
              </w:rPr>
            </w:pPr>
            <w:r>
              <w:rPr>
                <w:sz w:val="20"/>
                <w:szCs w:val="20"/>
                <w:spacing w:val="-7"/>
              </w:rPr>
              <w:t>12195.36</w:t>
            </w:r>
          </w:p>
        </w:tc>
        <w:tc>
          <w:tcPr>
            <w:tcW w:w="250" w:type="dxa"/>
            <w:vAlign w:val="top"/>
            <w:vMerge w:val="restart"/>
            <w:tcBorders>
              <w:bottom w:val="nil"/>
            </w:tcBorders>
          </w:tcPr>
          <w:p>
            <w:pPr>
              <w:pStyle w:val="TableText"/>
              <w:ind w:left="12"/>
              <w:spacing w:before="31" w:line="221" w:lineRule="auto"/>
              <w:rPr>
                <w:sz w:val="20"/>
                <w:szCs w:val="20"/>
              </w:rPr>
            </w:pPr>
            <w:r>
              <w:rPr>
                <w:sz w:val="20"/>
                <w:szCs w:val="20"/>
                <w:color w:val="303040"/>
              </w:rPr>
              <w:t>前</w:t>
            </w:r>
          </w:p>
        </w:tc>
        <w:tc>
          <w:tcPr>
            <w:tcW w:w="1288" w:type="dxa"/>
            <w:vAlign w:val="top"/>
          </w:tcPr>
          <w:p>
            <w:pPr>
              <w:pStyle w:val="TableText"/>
              <w:ind w:left="32"/>
              <w:spacing w:before="32" w:line="210" w:lineRule="auto"/>
              <w:rPr>
                <w:sz w:val="20"/>
                <w:szCs w:val="20"/>
              </w:rPr>
            </w:pPr>
            <w:r>
              <w:rPr>
                <w:sz w:val="20"/>
                <w:szCs w:val="20"/>
                <w:spacing w:val="-1"/>
              </w:rPr>
              <w:t>产生浓度mg/L</w:t>
            </w:r>
          </w:p>
        </w:tc>
        <w:tc>
          <w:tcPr>
            <w:tcW w:w="909" w:type="dxa"/>
            <w:vAlign w:val="top"/>
          </w:tcPr>
          <w:p>
            <w:pPr>
              <w:pStyle w:val="TableText"/>
              <w:ind w:left="243"/>
              <w:spacing w:before="59" w:line="185" w:lineRule="auto"/>
              <w:rPr>
                <w:sz w:val="20"/>
                <w:szCs w:val="20"/>
              </w:rPr>
            </w:pPr>
            <w:r>
              <w:rPr>
                <w:sz w:val="20"/>
                <w:szCs w:val="20"/>
                <w:spacing w:val="-2"/>
              </w:rPr>
              <w:t>2000</w:t>
            </w:r>
          </w:p>
        </w:tc>
        <w:tc>
          <w:tcPr>
            <w:tcW w:w="739" w:type="dxa"/>
            <w:vAlign w:val="top"/>
          </w:tcPr>
          <w:p>
            <w:pPr>
              <w:pStyle w:val="TableText"/>
              <w:ind w:left="215"/>
              <w:spacing w:before="59" w:line="185" w:lineRule="auto"/>
              <w:rPr>
                <w:sz w:val="20"/>
                <w:szCs w:val="20"/>
              </w:rPr>
            </w:pPr>
            <w:r>
              <w:rPr>
                <w:sz w:val="20"/>
                <w:szCs w:val="20"/>
                <w:spacing w:val="-3"/>
              </w:rPr>
              <w:t>600</w:t>
            </w:r>
          </w:p>
        </w:tc>
        <w:tc>
          <w:tcPr>
            <w:tcW w:w="779" w:type="dxa"/>
            <w:vAlign w:val="top"/>
          </w:tcPr>
          <w:p>
            <w:pPr>
              <w:pStyle w:val="TableText"/>
              <w:ind w:left="236"/>
              <w:spacing w:before="59" w:line="185" w:lineRule="auto"/>
              <w:rPr>
                <w:sz w:val="20"/>
                <w:szCs w:val="20"/>
              </w:rPr>
            </w:pPr>
            <w:r>
              <w:rPr>
                <w:sz w:val="20"/>
                <w:szCs w:val="20"/>
                <w:spacing w:val="-3"/>
              </w:rPr>
              <w:t>350</w:t>
            </w:r>
          </w:p>
        </w:tc>
        <w:tc>
          <w:tcPr>
            <w:tcW w:w="769" w:type="dxa"/>
            <w:vAlign w:val="top"/>
          </w:tcPr>
          <w:p>
            <w:pPr>
              <w:pStyle w:val="TableText"/>
              <w:ind w:left="226"/>
              <w:spacing w:before="59" w:line="185" w:lineRule="auto"/>
              <w:rPr>
                <w:sz w:val="20"/>
                <w:szCs w:val="20"/>
              </w:rPr>
            </w:pPr>
            <w:r>
              <w:rPr>
                <w:sz w:val="20"/>
                <w:szCs w:val="20"/>
                <w:spacing w:val="-3"/>
              </w:rPr>
              <w:t>200</w:t>
            </w:r>
          </w:p>
        </w:tc>
        <w:tc>
          <w:tcPr>
            <w:tcW w:w="799" w:type="dxa"/>
            <w:vAlign w:val="top"/>
          </w:tcPr>
          <w:p>
            <w:pPr>
              <w:pStyle w:val="TableText"/>
              <w:ind w:left="247"/>
              <w:spacing w:before="59" w:line="185" w:lineRule="auto"/>
              <w:rPr>
                <w:sz w:val="20"/>
                <w:szCs w:val="20"/>
              </w:rPr>
            </w:pPr>
            <w:r>
              <w:rPr>
                <w:sz w:val="20"/>
                <w:szCs w:val="20"/>
                <w:spacing w:val="-3"/>
              </w:rPr>
              <w:t>300</w:t>
            </w:r>
          </w:p>
        </w:tc>
        <w:tc>
          <w:tcPr>
            <w:tcW w:w="639" w:type="dxa"/>
            <w:vAlign w:val="top"/>
          </w:tcPr>
          <w:p>
            <w:pPr>
              <w:pStyle w:val="TableText"/>
              <w:ind w:left="219"/>
              <w:spacing w:before="59" w:line="185" w:lineRule="auto"/>
              <w:rPr>
                <w:sz w:val="20"/>
                <w:szCs w:val="20"/>
              </w:rPr>
            </w:pPr>
            <w:r>
              <w:rPr>
                <w:sz w:val="20"/>
                <w:szCs w:val="20"/>
                <w:spacing w:val="-3"/>
              </w:rPr>
              <w:t>20</w:t>
            </w:r>
          </w:p>
        </w:tc>
        <w:tc>
          <w:tcPr>
            <w:tcW w:w="787" w:type="dxa"/>
            <w:vAlign w:val="top"/>
          </w:tcPr>
          <w:p>
            <w:pPr>
              <w:pStyle w:val="TableText"/>
              <w:ind w:left="340"/>
              <w:spacing w:before="59" w:line="185" w:lineRule="auto"/>
              <w:rPr>
                <w:sz w:val="20"/>
                <w:szCs w:val="20"/>
              </w:rPr>
            </w:pPr>
            <w:r>
              <w:rPr>
                <w:sz w:val="20"/>
                <w:szCs w:val="20"/>
              </w:rPr>
              <w:t>5</w:t>
            </w:r>
          </w:p>
        </w:tc>
      </w:tr>
      <w:tr>
        <w:trPr>
          <w:trHeight w:val="260" w:hRule="atLeast"/>
        </w:trPr>
        <w:tc>
          <w:tcPr>
            <w:tcW w:w="684" w:type="dxa"/>
            <w:vAlign w:val="top"/>
            <w:vMerge w:val="continue"/>
            <w:tcBorders>
              <w:top w:val="nil"/>
              <w:bottom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0" w:type="dxa"/>
            <w:vAlign w:val="top"/>
            <w:vMerge w:val="continue"/>
            <w:tcBorders>
              <w:top w:val="nil"/>
              <w:bottom w:val="nil"/>
            </w:tcBorders>
          </w:tcPr>
          <w:p>
            <w:pPr>
              <w:rPr>
                <w:rFonts w:ascii="Arial"/>
                <w:sz w:val="21"/>
              </w:rPr>
            </w:pPr>
            <w:r/>
          </w:p>
        </w:tc>
        <w:tc>
          <w:tcPr>
            <w:tcW w:w="1288" w:type="dxa"/>
            <w:vAlign w:val="top"/>
          </w:tcPr>
          <w:p>
            <w:pPr>
              <w:pStyle w:val="TableText"/>
              <w:ind w:left="181"/>
              <w:spacing w:before="28" w:line="204" w:lineRule="auto"/>
              <w:rPr>
                <w:sz w:val="20"/>
                <w:szCs w:val="20"/>
              </w:rPr>
            </w:pPr>
            <w:r>
              <w:rPr>
                <w:sz w:val="20"/>
                <w:szCs w:val="20"/>
                <w:spacing w:val="-2"/>
              </w:rPr>
              <w:t>产生量t/a</w:t>
            </w:r>
          </w:p>
        </w:tc>
        <w:tc>
          <w:tcPr>
            <w:tcW w:w="909" w:type="dxa"/>
            <w:vAlign w:val="top"/>
          </w:tcPr>
          <w:p>
            <w:pPr>
              <w:pStyle w:val="TableText"/>
              <w:ind w:left="94"/>
              <w:spacing w:before="49" w:line="185" w:lineRule="auto"/>
              <w:rPr>
                <w:sz w:val="20"/>
                <w:szCs w:val="20"/>
              </w:rPr>
            </w:pPr>
            <w:r>
              <w:rPr>
                <w:sz w:val="20"/>
                <w:szCs w:val="20"/>
                <w:spacing w:val="-2"/>
              </w:rPr>
              <w:t>24.3907</w:t>
            </w:r>
          </w:p>
        </w:tc>
        <w:tc>
          <w:tcPr>
            <w:tcW w:w="739" w:type="dxa"/>
            <w:vAlign w:val="top"/>
          </w:tcPr>
          <w:p>
            <w:pPr>
              <w:pStyle w:val="TableText"/>
              <w:ind w:left="64"/>
              <w:spacing w:before="49" w:line="185" w:lineRule="auto"/>
              <w:rPr>
                <w:sz w:val="20"/>
                <w:szCs w:val="20"/>
              </w:rPr>
            </w:pPr>
            <w:r>
              <w:rPr>
                <w:sz w:val="20"/>
                <w:szCs w:val="20"/>
                <w:spacing w:val="-2"/>
              </w:rPr>
              <w:t>7.3172</w:t>
            </w:r>
          </w:p>
        </w:tc>
        <w:tc>
          <w:tcPr>
            <w:tcW w:w="779" w:type="dxa"/>
            <w:vAlign w:val="top"/>
          </w:tcPr>
          <w:p>
            <w:pPr>
              <w:pStyle w:val="TableText"/>
              <w:ind w:left="86"/>
              <w:spacing w:before="49" w:line="185" w:lineRule="auto"/>
              <w:rPr>
                <w:sz w:val="20"/>
                <w:szCs w:val="20"/>
              </w:rPr>
            </w:pPr>
            <w:r>
              <w:rPr>
                <w:sz w:val="20"/>
                <w:szCs w:val="20"/>
                <w:spacing w:val="-1"/>
              </w:rPr>
              <w:t>4.2684</w:t>
            </w:r>
          </w:p>
        </w:tc>
        <w:tc>
          <w:tcPr>
            <w:tcW w:w="769" w:type="dxa"/>
            <w:vAlign w:val="top"/>
          </w:tcPr>
          <w:p>
            <w:pPr>
              <w:pStyle w:val="TableText"/>
              <w:ind w:left="77"/>
              <w:spacing w:before="49" w:line="185" w:lineRule="auto"/>
              <w:rPr>
                <w:sz w:val="20"/>
                <w:szCs w:val="20"/>
              </w:rPr>
            </w:pPr>
            <w:r>
              <w:rPr>
                <w:sz w:val="20"/>
                <w:szCs w:val="20"/>
                <w:spacing w:val="-2"/>
              </w:rPr>
              <w:t>2.4391</w:t>
            </w:r>
          </w:p>
        </w:tc>
        <w:tc>
          <w:tcPr>
            <w:tcW w:w="799" w:type="dxa"/>
            <w:vAlign w:val="top"/>
          </w:tcPr>
          <w:p>
            <w:pPr>
              <w:pStyle w:val="TableText"/>
              <w:ind w:left="98"/>
              <w:spacing w:before="49" w:line="185" w:lineRule="auto"/>
              <w:rPr>
                <w:sz w:val="20"/>
                <w:szCs w:val="20"/>
              </w:rPr>
            </w:pPr>
            <w:r>
              <w:rPr>
                <w:sz w:val="20"/>
                <w:szCs w:val="20"/>
                <w:spacing w:val="-2"/>
              </w:rPr>
              <w:t>3.6586</w:t>
            </w:r>
          </w:p>
        </w:tc>
        <w:tc>
          <w:tcPr>
            <w:tcW w:w="639" w:type="dxa"/>
            <w:vAlign w:val="top"/>
          </w:tcPr>
          <w:p>
            <w:pPr>
              <w:pStyle w:val="TableText"/>
              <w:ind w:left="18"/>
              <w:spacing w:before="49" w:line="185" w:lineRule="auto"/>
              <w:rPr>
                <w:sz w:val="20"/>
                <w:szCs w:val="20"/>
              </w:rPr>
            </w:pPr>
            <w:r>
              <w:rPr>
                <w:sz w:val="20"/>
                <w:szCs w:val="20"/>
                <w:spacing w:val="-2"/>
              </w:rPr>
              <w:t>0.2439</w:t>
            </w:r>
          </w:p>
        </w:tc>
        <w:tc>
          <w:tcPr>
            <w:tcW w:w="787" w:type="dxa"/>
            <w:vAlign w:val="top"/>
          </w:tcPr>
          <w:p>
            <w:pPr>
              <w:pStyle w:val="TableText"/>
              <w:ind w:left="90"/>
              <w:spacing w:before="49" w:line="185" w:lineRule="auto"/>
              <w:rPr>
                <w:sz w:val="20"/>
                <w:szCs w:val="20"/>
              </w:rPr>
            </w:pPr>
            <w:r>
              <w:rPr>
                <w:sz w:val="20"/>
                <w:szCs w:val="20"/>
                <w:spacing w:val="-2"/>
              </w:rPr>
              <w:t>0.0610</w:t>
            </w:r>
          </w:p>
        </w:tc>
      </w:tr>
      <w:tr>
        <w:trPr>
          <w:trHeight w:val="270" w:hRule="atLeast"/>
        </w:trPr>
        <w:tc>
          <w:tcPr>
            <w:tcW w:w="684" w:type="dxa"/>
            <w:vAlign w:val="top"/>
            <w:vMerge w:val="continue"/>
            <w:tcBorders>
              <w:top w:val="nil"/>
              <w:bottom w:val="nil"/>
            </w:tcBorders>
          </w:tcPr>
          <w:p>
            <w:pPr>
              <w:rPr>
                <w:rFonts w:ascii="Arial"/>
                <w:sz w:val="21"/>
              </w:rPr>
            </w:pPr>
            <w:r/>
          </w:p>
        </w:tc>
        <w:tc>
          <w:tcPr>
            <w:tcW w:w="270" w:type="dxa"/>
            <w:vAlign w:val="top"/>
            <w:vMerge w:val="restart"/>
            <w:textDirection w:val="tbRlV"/>
            <w:tcBorders>
              <w:bottom w:val="nil"/>
            </w:tcBorders>
          </w:tcPr>
          <w:p>
            <w:pPr>
              <w:pStyle w:val="TableText"/>
              <w:spacing w:before="57" w:line="200" w:lineRule="auto"/>
              <w:jc w:val="right"/>
              <w:rPr>
                <w:sz w:val="20"/>
                <w:szCs w:val="20"/>
              </w:rPr>
            </w:pPr>
            <w:r>
              <w:rPr>
                <w:sz w:val="20"/>
                <w:szCs w:val="20"/>
                <w:spacing w:val="-8"/>
              </w:rPr>
              <w:t>全</w:t>
            </w:r>
            <w:r>
              <w:rPr>
                <w:sz w:val="20"/>
                <w:szCs w:val="20"/>
                <w:spacing w:val="29"/>
              </w:rPr>
              <w:t xml:space="preserve"> </w:t>
            </w:r>
            <w:r>
              <w:rPr>
                <w:sz w:val="20"/>
                <w:szCs w:val="20"/>
                <w:spacing w:val="-8"/>
              </w:rPr>
              <w:t>年</w:t>
            </w:r>
          </w:p>
        </w:tc>
        <w:tc>
          <w:tcPr>
            <w:tcW w:w="769" w:type="dxa"/>
            <w:vAlign w:val="top"/>
            <w:vMerge w:val="restart"/>
            <w:tcBorders>
              <w:bottom w:val="nil"/>
            </w:tcBorders>
          </w:tcPr>
          <w:p>
            <w:pPr>
              <w:pStyle w:val="TableText"/>
              <w:spacing w:before="178" w:line="239" w:lineRule="auto"/>
              <w:jc w:val="right"/>
              <w:rPr>
                <w:sz w:val="20"/>
                <w:szCs w:val="20"/>
              </w:rPr>
            </w:pPr>
            <w:r>
              <w:rPr>
                <w:sz w:val="20"/>
                <w:szCs w:val="20"/>
                <w:spacing w:val="-7"/>
              </w:rPr>
              <w:t>37602.36</w:t>
            </w:r>
          </w:p>
        </w:tc>
        <w:tc>
          <w:tcPr>
            <w:tcW w:w="250" w:type="dxa"/>
            <w:vAlign w:val="top"/>
            <w:vMerge w:val="continue"/>
            <w:tcBorders>
              <w:top w:val="nil"/>
              <w:bottom w:val="nil"/>
            </w:tcBorders>
          </w:tcPr>
          <w:p>
            <w:pPr>
              <w:rPr>
                <w:rFonts w:ascii="Arial"/>
                <w:sz w:val="21"/>
              </w:rPr>
            </w:pPr>
            <w:r/>
          </w:p>
        </w:tc>
        <w:tc>
          <w:tcPr>
            <w:tcW w:w="1288" w:type="dxa"/>
            <w:vAlign w:val="top"/>
          </w:tcPr>
          <w:p>
            <w:pPr>
              <w:pStyle w:val="TableText"/>
              <w:ind w:left="32"/>
              <w:spacing w:before="32" w:line="210" w:lineRule="auto"/>
              <w:rPr>
                <w:sz w:val="20"/>
                <w:szCs w:val="20"/>
              </w:rPr>
            </w:pPr>
            <w:r>
              <w:rPr>
                <w:sz w:val="20"/>
                <w:szCs w:val="20"/>
                <w:spacing w:val="-1"/>
              </w:rPr>
              <w:t>产生浓度mg/L</w:t>
            </w:r>
          </w:p>
        </w:tc>
        <w:tc>
          <w:tcPr>
            <w:tcW w:w="909" w:type="dxa"/>
            <w:vAlign w:val="top"/>
          </w:tcPr>
          <w:p>
            <w:pPr>
              <w:pStyle w:val="TableText"/>
              <w:ind w:left="243"/>
              <w:spacing w:before="59" w:line="185" w:lineRule="auto"/>
              <w:rPr>
                <w:sz w:val="20"/>
                <w:szCs w:val="20"/>
              </w:rPr>
            </w:pPr>
            <w:r>
              <w:rPr>
                <w:sz w:val="20"/>
                <w:szCs w:val="20"/>
                <w:spacing w:val="-2"/>
              </w:rPr>
              <w:t>2000</w:t>
            </w:r>
          </w:p>
        </w:tc>
        <w:tc>
          <w:tcPr>
            <w:tcW w:w="739" w:type="dxa"/>
            <w:vAlign w:val="top"/>
          </w:tcPr>
          <w:p>
            <w:pPr>
              <w:pStyle w:val="TableText"/>
              <w:ind w:left="215"/>
              <w:spacing w:before="59" w:line="185" w:lineRule="auto"/>
              <w:rPr>
                <w:sz w:val="20"/>
                <w:szCs w:val="20"/>
              </w:rPr>
            </w:pPr>
            <w:r>
              <w:rPr>
                <w:sz w:val="20"/>
                <w:szCs w:val="20"/>
                <w:spacing w:val="-3"/>
              </w:rPr>
              <w:t>600</w:t>
            </w:r>
          </w:p>
        </w:tc>
        <w:tc>
          <w:tcPr>
            <w:tcW w:w="779" w:type="dxa"/>
            <w:vAlign w:val="top"/>
          </w:tcPr>
          <w:p>
            <w:pPr>
              <w:pStyle w:val="TableText"/>
              <w:ind w:left="236"/>
              <w:spacing w:before="59" w:line="185" w:lineRule="auto"/>
              <w:rPr>
                <w:sz w:val="20"/>
                <w:szCs w:val="20"/>
              </w:rPr>
            </w:pPr>
            <w:r>
              <w:rPr>
                <w:sz w:val="20"/>
                <w:szCs w:val="20"/>
                <w:spacing w:val="-3"/>
              </w:rPr>
              <w:t>350</w:t>
            </w:r>
          </w:p>
        </w:tc>
        <w:tc>
          <w:tcPr>
            <w:tcW w:w="769" w:type="dxa"/>
            <w:vAlign w:val="top"/>
          </w:tcPr>
          <w:p>
            <w:pPr>
              <w:pStyle w:val="TableText"/>
              <w:ind w:left="226"/>
              <w:spacing w:before="59" w:line="185" w:lineRule="auto"/>
              <w:rPr>
                <w:sz w:val="20"/>
                <w:szCs w:val="20"/>
              </w:rPr>
            </w:pPr>
            <w:r>
              <w:rPr>
                <w:sz w:val="20"/>
                <w:szCs w:val="20"/>
                <w:spacing w:val="-3"/>
              </w:rPr>
              <w:t>200</w:t>
            </w:r>
          </w:p>
        </w:tc>
        <w:tc>
          <w:tcPr>
            <w:tcW w:w="799" w:type="dxa"/>
            <w:vAlign w:val="top"/>
          </w:tcPr>
          <w:p>
            <w:pPr>
              <w:pStyle w:val="TableText"/>
              <w:ind w:left="247"/>
              <w:spacing w:before="59" w:line="185" w:lineRule="auto"/>
              <w:rPr>
                <w:sz w:val="20"/>
                <w:szCs w:val="20"/>
              </w:rPr>
            </w:pPr>
            <w:r>
              <w:rPr>
                <w:sz w:val="20"/>
                <w:szCs w:val="20"/>
                <w:spacing w:val="-3"/>
              </w:rPr>
              <w:t>300</w:t>
            </w:r>
          </w:p>
        </w:tc>
        <w:tc>
          <w:tcPr>
            <w:tcW w:w="639" w:type="dxa"/>
            <w:vAlign w:val="top"/>
          </w:tcPr>
          <w:p>
            <w:pPr>
              <w:pStyle w:val="TableText"/>
              <w:ind w:left="219"/>
              <w:spacing w:before="59" w:line="185" w:lineRule="auto"/>
              <w:rPr>
                <w:sz w:val="20"/>
                <w:szCs w:val="20"/>
              </w:rPr>
            </w:pPr>
            <w:r>
              <w:rPr>
                <w:sz w:val="20"/>
                <w:szCs w:val="20"/>
                <w:spacing w:val="-3"/>
              </w:rPr>
              <w:t>20</w:t>
            </w:r>
          </w:p>
        </w:tc>
        <w:tc>
          <w:tcPr>
            <w:tcW w:w="787" w:type="dxa"/>
            <w:vAlign w:val="top"/>
          </w:tcPr>
          <w:p>
            <w:pPr>
              <w:pStyle w:val="TableText"/>
              <w:ind w:left="340"/>
              <w:spacing w:before="59" w:line="185" w:lineRule="auto"/>
              <w:rPr>
                <w:sz w:val="20"/>
                <w:szCs w:val="20"/>
              </w:rPr>
            </w:pPr>
            <w:r>
              <w:rPr>
                <w:sz w:val="20"/>
                <w:szCs w:val="20"/>
              </w:rPr>
              <w:t>5</w:t>
            </w:r>
          </w:p>
        </w:tc>
      </w:tr>
      <w:tr>
        <w:trPr>
          <w:trHeight w:val="240" w:hRule="atLeast"/>
        </w:trPr>
        <w:tc>
          <w:tcPr>
            <w:tcW w:w="684" w:type="dxa"/>
            <w:vAlign w:val="top"/>
            <w:vMerge w:val="continue"/>
            <w:tcBorders>
              <w:top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0" w:type="dxa"/>
            <w:vAlign w:val="top"/>
            <w:vMerge w:val="continue"/>
            <w:tcBorders>
              <w:top w:val="nil"/>
            </w:tcBorders>
          </w:tcPr>
          <w:p>
            <w:pPr>
              <w:rPr>
                <w:rFonts w:ascii="Arial"/>
                <w:sz w:val="21"/>
              </w:rPr>
            </w:pPr>
            <w:r/>
          </w:p>
        </w:tc>
        <w:tc>
          <w:tcPr>
            <w:tcW w:w="1288" w:type="dxa"/>
            <w:vAlign w:val="top"/>
          </w:tcPr>
          <w:p>
            <w:pPr>
              <w:pStyle w:val="TableText"/>
              <w:ind w:left="181"/>
              <w:spacing w:before="18" w:line="195" w:lineRule="auto"/>
              <w:rPr>
                <w:sz w:val="20"/>
                <w:szCs w:val="20"/>
              </w:rPr>
            </w:pPr>
            <w:r>
              <w:rPr>
                <w:sz w:val="20"/>
                <w:szCs w:val="20"/>
                <w:spacing w:val="-2"/>
              </w:rPr>
              <w:t>产生量t/a</w:t>
            </w:r>
          </w:p>
        </w:tc>
        <w:tc>
          <w:tcPr>
            <w:tcW w:w="909" w:type="dxa"/>
            <w:vAlign w:val="top"/>
          </w:tcPr>
          <w:p>
            <w:pPr>
              <w:pStyle w:val="TableText"/>
              <w:ind w:left="94"/>
              <w:spacing w:before="39" w:line="176" w:lineRule="auto"/>
              <w:rPr>
                <w:sz w:val="20"/>
                <w:szCs w:val="20"/>
              </w:rPr>
            </w:pPr>
            <w:r>
              <w:rPr>
                <w:sz w:val="20"/>
                <w:szCs w:val="20"/>
                <w:spacing w:val="-2"/>
              </w:rPr>
              <w:t>75.2047</w:t>
            </w:r>
          </w:p>
        </w:tc>
        <w:tc>
          <w:tcPr>
            <w:tcW w:w="739" w:type="dxa"/>
            <w:vAlign w:val="top"/>
          </w:tcPr>
          <w:p>
            <w:pPr>
              <w:pStyle w:val="TableText"/>
              <w:ind w:left="15"/>
              <w:spacing w:before="39" w:line="176" w:lineRule="auto"/>
              <w:rPr>
                <w:sz w:val="20"/>
                <w:szCs w:val="20"/>
              </w:rPr>
            </w:pPr>
            <w:r>
              <w:rPr>
                <w:sz w:val="20"/>
                <w:szCs w:val="20"/>
                <w:spacing w:val="-2"/>
              </w:rPr>
              <w:t>22.5614</w:t>
            </w:r>
          </w:p>
        </w:tc>
        <w:tc>
          <w:tcPr>
            <w:tcW w:w="779" w:type="dxa"/>
            <w:vAlign w:val="top"/>
          </w:tcPr>
          <w:p>
            <w:pPr>
              <w:pStyle w:val="TableText"/>
              <w:ind w:left="36"/>
              <w:spacing w:before="39" w:line="176" w:lineRule="auto"/>
              <w:rPr>
                <w:sz w:val="20"/>
                <w:szCs w:val="20"/>
              </w:rPr>
            </w:pPr>
            <w:r>
              <w:rPr>
                <w:sz w:val="20"/>
                <w:szCs w:val="20"/>
                <w:spacing w:val="-3"/>
              </w:rPr>
              <w:t>13.1608</w:t>
            </w:r>
          </w:p>
        </w:tc>
        <w:tc>
          <w:tcPr>
            <w:tcW w:w="769" w:type="dxa"/>
            <w:vAlign w:val="top"/>
          </w:tcPr>
          <w:p>
            <w:pPr>
              <w:pStyle w:val="TableText"/>
              <w:ind w:left="77"/>
              <w:spacing w:before="39" w:line="176" w:lineRule="auto"/>
              <w:rPr>
                <w:sz w:val="20"/>
                <w:szCs w:val="20"/>
              </w:rPr>
            </w:pPr>
            <w:r>
              <w:rPr>
                <w:sz w:val="20"/>
                <w:szCs w:val="20"/>
                <w:spacing w:val="-2"/>
              </w:rPr>
              <w:t>7.5205</w:t>
            </w:r>
          </w:p>
        </w:tc>
        <w:tc>
          <w:tcPr>
            <w:tcW w:w="799" w:type="dxa"/>
            <w:vAlign w:val="top"/>
          </w:tcPr>
          <w:p>
            <w:pPr>
              <w:pStyle w:val="TableText"/>
              <w:ind w:left="48"/>
              <w:spacing w:before="39" w:line="176" w:lineRule="auto"/>
              <w:rPr>
                <w:sz w:val="20"/>
                <w:szCs w:val="20"/>
              </w:rPr>
            </w:pPr>
            <w:r>
              <w:rPr>
                <w:sz w:val="20"/>
                <w:szCs w:val="20"/>
                <w:spacing w:val="-3"/>
              </w:rPr>
              <w:t>11.2807</w:t>
            </w:r>
          </w:p>
        </w:tc>
        <w:tc>
          <w:tcPr>
            <w:tcW w:w="639" w:type="dxa"/>
            <w:vAlign w:val="top"/>
          </w:tcPr>
          <w:p>
            <w:pPr>
              <w:pStyle w:val="TableText"/>
              <w:ind w:left="18"/>
              <w:spacing w:before="39" w:line="176" w:lineRule="auto"/>
              <w:rPr>
                <w:sz w:val="20"/>
                <w:szCs w:val="20"/>
              </w:rPr>
            </w:pPr>
            <w:r>
              <w:rPr>
                <w:sz w:val="20"/>
                <w:szCs w:val="20"/>
                <w:spacing w:val="-2"/>
              </w:rPr>
              <w:t>0.7520</w:t>
            </w:r>
          </w:p>
        </w:tc>
        <w:tc>
          <w:tcPr>
            <w:tcW w:w="787" w:type="dxa"/>
            <w:vAlign w:val="top"/>
          </w:tcPr>
          <w:p>
            <w:pPr>
              <w:pStyle w:val="TableText"/>
              <w:ind w:left="90"/>
              <w:spacing w:before="39" w:line="176" w:lineRule="auto"/>
              <w:rPr>
                <w:sz w:val="20"/>
                <w:szCs w:val="20"/>
              </w:rPr>
            </w:pPr>
            <w:r>
              <w:rPr>
                <w:sz w:val="20"/>
                <w:szCs w:val="20"/>
                <w:spacing w:val="-2"/>
              </w:rPr>
              <w:t>0.1880</w:t>
            </w:r>
          </w:p>
        </w:tc>
      </w:tr>
      <w:tr>
        <w:trPr>
          <w:trHeight w:val="260" w:hRule="atLeast"/>
        </w:trPr>
        <w:tc>
          <w:tcPr>
            <w:tcW w:w="684" w:type="dxa"/>
            <w:vAlign w:val="top"/>
            <w:vMerge w:val="restart"/>
            <w:tcBorders>
              <w:bottom w:val="nil"/>
            </w:tcBorders>
          </w:tcPr>
          <w:p>
            <w:pPr>
              <w:spacing w:line="255" w:lineRule="auto"/>
              <w:rPr>
                <w:rFonts w:ascii="Arial"/>
                <w:sz w:val="21"/>
              </w:rPr>
            </w:pPr>
            <w:r/>
          </w:p>
          <w:p>
            <w:pPr>
              <w:spacing w:line="255" w:lineRule="auto"/>
              <w:rPr>
                <w:rFonts w:ascii="Arial"/>
                <w:sz w:val="21"/>
              </w:rPr>
            </w:pPr>
            <w:r/>
          </w:p>
          <w:p>
            <w:pPr>
              <w:pStyle w:val="TableText"/>
              <w:ind w:left="35" w:right="25"/>
              <w:spacing w:before="65" w:line="242" w:lineRule="auto"/>
              <w:rPr>
                <w:sz w:val="20"/>
                <w:szCs w:val="20"/>
              </w:rPr>
            </w:pPr>
            <w:r>
              <w:rPr>
                <w:sz w:val="20"/>
                <w:szCs w:val="20"/>
                <w:spacing w:val="4"/>
              </w:rPr>
              <w:t>车辆冲</w:t>
            </w:r>
            <w:r>
              <w:rPr>
                <w:sz w:val="20"/>
                <w:szCs w:val="20"/>
              </w:rPr>
              <w:t xml:space="preserve"> </w:t>
            </w:r>
            <w:r>
              <w:rPr>
                <w:sz w:val="20"/>
                <w:szCs w:val="20"/>
                <w:spacing w:val="-2"/>
              </w:rPr>
              <w:t>洗废水</w:t>
            </w:r>
          </w:p>
        </w:tc>
        <w:tc>
          <w:tcPr>
            <w:tcW w:w="270" w:type="dxa"/>
            <w:vAlign w:val="top"/>
            <w:vMerge w:val="restart"/>
            <w:textDirection w:val="tbRlV"/>
            <w:tcBorders>
              <w:bottom w:val="nil"/>
            </w:tcBorders>
          </w:tcPr>
          <w:p>
            <w:pPr>
              <w:pStyle w:val="TableText"/>
              <w:spacing w:before="57" w:line="199" w:lineRule="auto"/>
              <w:rPr>
                <w:sz w:val="20"/>
                <w:szCs w:val="20"/>
              </w:rPr>
            </w:pPr>
            <w:r>
              <w:rPr>
                <w:sz w:val="20"/>
                <w:szCs w:val="20"/>
                <w:spacing w:val="-3"/>
              </w:rPr>
              <w:t>淡</w:t>
            </w:r>
            <w:r>
              <w:rPr>
                <w:sz w:val="20"/>
                <w:szCs w:val="20"/>
                <w:spacing w:val="34"/>
              </w:rPr>
              <w:t xml:space="preserve"> </w:t>
            </w:r>
            <w:r>
              <w:rPr>
                <w:sz w:val="20"/>
                <w:szCs w:val="20"/>
                <w:spacing w:val="-3"/>
              </w:rPr>
              <w:t>季</w:t>
            </w:r>
          </w:p>
        </w:tc>
        <w:tc>
          <w:tcPr>
            <w:tcW w:w="769" w:type="dxa"/>
            <w:vAlign w:val="top"/>
            <w:vMerge w:val="restart"/>
            <w:tcBorders>
              <w:bottom w:val="nil"/>
            </w:tcBorders>
          </w:tcPr>
          <w:p>
            <w:pPr>
              <w:pStyle w:val="TableText"/>
              <w:ind w:left="171"/>
              <w:spacing w:before="188"/>
              <w:rPr>
                <w:sz w:val="20"/>
                <w:szCs w:val="20"/>
              </w:rPr>
            </w:pPr>
            <w:r>
              <w:rPr>
                <w:sz w:val="20"/>
                <w:szCs w:val="20"/>
                <w:spacing w:val="-5"/>
              </w:rPr>
              <w:t>1296</w:t>
            </w:r>
          </w:p>
        </w:tc>
        <w:tc>
          <w:tcPr>
            <w:tcW w:w="250" w:type="dxa"/>
            <w:vAlign w:val="top"/>
            <w:vMerge w:val="restart"/>
            <w:textDirection w:val="tbRlV"/>
            <w:tcBorders>
              <w:bottom w:val="nil"/>
            </w:tcBorders>
          </w:tcPr>
          <w:p>
            <w:pPr>
              <w:pStyle w:val="TableText"/>
              <w:ind w:left="446"/>
              <w:spacing w:before="35" w:line="201" w:lineRule="auto"/>
              <w:rPr>
                <w:sz w:val="20"/>
                <w:szCs w:val="20"/>
              </w:rPr>
            </w:pPr>
            <w:r>
              <w:rPr>
                <w:sz w:val="20"/>
                <w:szCs w:val="20"/>
                <w:spacing w:val="11"/>
              </w:rPr>
              <w:t>处理</w:t>
            </w:r>
            <w:r>
              <w:rPr>
                <w:sz w:val="20"/>
                <w:szCs w:val="20"/>
                <w:spacing w:val="-30"/>
              </w:rPr>
              <w:t xml:space="preserve"> </w:t>
            </w:r>
            <w:r>
              <w:rPr>
                <w:sz w:val="20"/>
                <w:szCs w:val="20"/>
                <w:spacing w:val="11"/>
              </w:rPr>
              <w:t>前</w:t>
            </w:r>
          </w:p>
        </w:tc>
        <w:tc>
          <w:tcPr>
            <w:tcW w:w="1288" w:type="dxa"/>
            <w:vAlign w:val="top"/>
          </w:tcPr>
          <w:p>
            <w:pPr>
              <w:pStyle w:val="TableText"/>
              <w:ind w:left="32"/>
              <w:spacing w:before="22" w:line="210" w:lineRule="auto"/>
              <w:rPr>
                <w:sz w:val="20"/>
                <w:szCs w:val="20"/>
              </w:rPr>
            </w:pPr>
            <w:r>
              <w:rPr>
                <w:sz w:val="20"/>
                <w:szCs w:val="20"/>
                <w:spacing w:val="-1"/>
              </w:rPr>
              <w:t>产生浓度mg/L</w:t>
            </w:r>
          </w:p>
        </w:tc>
        <w:tc>
          <w:tcPr>
            <w:tcW w:w="909" w:type="dxa"/>
            <w:vAlign w:val="top"/>
          </w:tcPr>
          <w:p>
            <w:pPr>
              <w:pStyle w:val="TableText"/>
              <w:ind w:left="294"/>
              <w:spacing w:before="49" w:line="185" w:lineRule="auto"/>
              <w:rPr>
                <w:sz w:val="20"/>
                <w:szCs w:val="20"/>
              </w:rPr>
            </w:pPr>
            <w:r>
              <w:rPr>
                <w:sz w:val="20"/>
                <w:szCs w:val="20"/>
                <w:spacing w:val="-3"/>
              </w:rPr>
              <w:t>300</w:t>
            </w:r>
          </w:p>
        </w:tc>
        <w:tc>
          <w:tcPr>
            <w:tcW w:w="739" w:type="dxa"/>
            <w:vAlign w:val="top"/>
          </w:tcPr>
          <w:p>
            <w:pPr>
              <w:pStyle w:val="TableText"/>
              <w:ind w:left="215"/>
              <w:spacing w:before="49" w:line="185" w:lineRule="auto"/>
              <w:rPr>
                <w:sz w:val="20"/>
                <w:szCs w:val="20"/>
              </w:rPr>
            </w:pPr>
            <w:r>
              <w:rPr>
                <w:sz w:val="20"/>
                <w:szCs w:val="20"/>
                <w:spacing w:val="-3"/>
              </w:rPr>
              <w:t>250</w:t>
            </w:r>
          </w:p>
        </w:tc>
        <w:tc>
          <w:tcPr>
            <w:tcW w:w="779" w:type="dxa"/>
            <w:vAlign w:val="top"/>
          </w:tcPr>
          <w:p>
            <w:pPr>
              <w:pStyle w:val="TableText"/>
              <w:ind w:left="236"/>
              <w:spacing w:before="49" w:line="185" w:lineRule="auto"/>
              <w:rPr>
                <w:sz w:val="20"/>
                <w:szCs w:val="20"/>
              </w:rPr>
            </w:pPr>
            <w:r>
              <w:rPr>
                <w:sz w:val="20"/>
                <w:szCs w:val="20"/>
                <w:spacing w:val="-3"/>
              </w:rPr>
              <w:t>300</w:t>
            </w:r>
          </w:p>
        </w:tc>
        <w:tc>
          <w:tcPr>
            <w:tcW w:w="769" w:type="dxa"/>
            <w:vAlign w:val="top"/>
          </w:tcPr>
          <w:p>
            <w:pPr>
              <w:pStyle w:val="TableText"/>
              <w:ind w:left="277"/>
              <w:spacing w:before="49" w:line="185" w:lineRule="auto"/>
              <w:rPr>
                <w:sz w:val="20"/>
                <w:szCs w:val="20"/>
              </w:rPr>
            </w:pPr>
            <w:r>
              <w:rPr>
                <w:sz w:val="20"/>
                <w:szCs w:val="20"/>
                <w:spacing w:val="-3"/>
              </w:rPr>
              <w:t>50</w:t>
            </w:r>
          </w:p>
        </w:tc>
        <w:tc>
          <w:tcPr>
            <w:tcW w:w="799" w:type="dxa"/>
            <w:vAlign w:val="top"/>
          </w:tcPr>
          <w:p>
            <w:pPr>
              <w:pStyle w:val="TableText"/>
              <w:ind w:left="297"/>
              <w:spacing w:before="49" w:line="185" w:lineRule="auto"/>
              <w:rPr>
                <w:sz w:val="20"/>
                <w:szCs w:val="20"/>
              </w:rPr>
            </w:pPr>
            <w:r>
              <w:rPr>
                <w:sz w:val="20"/>
                <w:szCs w:val="20"/>
                <w:spacing w:val="-3"/>
              </w:rPr>
              <w:t>80</w:t>
            </w:r>
          </w:p>
        </w:tc>
        <w:tc>
          <w:tcPr>
            <w:tcW w:w="639" w:type="dxa"/>
            <w:vAlign w:val="top"/>
            <w:textDirection w:val="tbRlV"/>
          </w:tcPr>
          <w:p>
            <w:pPr>
              <w:pStyle w:val="TableText"/>
              <w:spacing w:before="272" w:line="137" w:lineRule="exact"/>
              <w:rPr>
                <w:sz w:val="20"/>
                <w:szCs w:val="20"/>
              </w:rPr>
            </w:pPr>
            <w:r>
              <w:rPr>
                <w:sz w:val="20"/>
                <w:szCs w:val="20"/>
                <w:spacing w:val="33"/>
                <w:w w:val="125"/>
                <w:position w:val="-3"/>
              </w:rPr>
              <w:t>5</w:t>
            </w:r>
          </w:p>
        </w:tc>
        <w:tc>
          <w:tcPr>
            <w:tcW w:w="787" w:type="dxa"/>
            <w:vAlign w:val="top"/>
          </w:tcPr>
          <w:p>
            <w:pPr>
              <w:pStyle w:val="TableText"/>
              <w:ind w:left="340"/>
              <w:spacing w:before="34" w:line="199" w:lineRule="auto"/>
              <w:rPr>
                <w:sz w:val="20"/>
                <w:szCs w:val="20"/>
              </w:rPr>
            </w:pPr>
            <w:r>
              <w:rPr>
                <w:sz w:val="20"/>
                <w:szCs w:val="20"/>
                <w:color w:val="404050"/>
              </w:rPr>
              <w:t>/</w:t>
            </w:r>
          </w:p>
        </w:tc>
      </w:tr>
      <w:tr>
        <w:trPr>
          <w:trHeight w:val="270" w:hRule="atLeast"/>
        </w:trPr>
        <w:tc>
          <w:tcPr>
            <w:tcW w:w="684" w:type="dxa"/>
            <w:vAlign w:val="top"/>
            <w:vMerge w:val="continue"/>
            <w:tcBorders>
              <w:top w:val="nil"/>
              <w:bottom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181"/>
              <w:spacing w:before="38" w:line="204" w:lineRule="auto"/>
              <w:rPr>
                <w:sz w:val="20"/>
                <w:szCs w:val="20"/>
              </w:rPr>
            </w:pPr>
            <w:r>
              <w:rPr>
                <w:sz w:val="20"/>
                <w:szCs w:val="20"/>
                <w:spacing w:val="-2"/>
              </w:rPr>
              <w:t>产生量t/a</w:t>
            </w:r>
          </w:p>
        </w:tc>
        <w:tc>
          <w:tcPr>
            <w:tcW w:w="909" w:type="dxa"/>
            <w:vAlign w:val="top"/>
          </w:tcPr>
          <w:p>
            <w:pPr>
              <w:pStyle w:val="TableText"/>
              <w:ind w:left="144"/>
              <w:spacing w:before="59" w:line="185" w:lineRule="auto"/>
              <w:rPr>
                <w:sz w:val="20"/>
                <w:szCs w:val="20"/>
              </w:rPr>
            </w:pPr>
            <w:r>
              <w:rPr>
                <w:sz w:val="20"/>
                <w:szCs w:val="20"/>
                <w:spacing w:val="-2"/>
              </w:rPr>
              <w:t>0.5778</w:t>
            </w:r>
          </w:p>
        </w:tc>
        <w:tc>
          <w:tcPr>
            <w:tcW w:w="739" w:type="dxa"/>
            <w:vAlign w:val="top"/>
          </w:tcPr>
          <w:p>
            <w:pPr>
              <w:pStyle w:val="TableText"/>
              <w:ind w:left="64"/>
              <w:spacing w:before="59" w:line="185" w:lineRule="auto"/>
              <w:rPr>
                <w:sz w:val="20"/>
                <w:szCs w:val="20"/>
              </w:rPr>
            </w:pPr>
            <w:r>
              <w:rPr>
                <w:sz w:val="20"/>
                <w:szCs w:val="20"/>
                <w:spacing w:val="-2"/>
              </w:rPr>
              <w:t>0.4815</w:t>
            </w:r>
          </w:p>
        </w:tc>
        <w:tc>
          <w:tcPr>
            <w:tcW w:w="779" w:type="dxa"/>
            <w:vAlign w:val="top"/>
          </w:tcPr>
          <w:p>
            <w:pPr>
              <w:pStyle w:val="TableText"/>
              <w:ind w:left="86"/>
              <w:spacing w:before="59" w:line="185" w:lineRule="auto"/>
              <w:rPr>
                <w:sz w:val="20"/>
                <w:szCs w:val="20"/>
              </w:rPr>
            </w:pPr>
            <w:r>
              <w:rPr>
                <w:sz w:val="20"/>
                <w:szCs w:val="20"/>
                <w:spacing w:val="-2"/>
              </w:rPr>
              <w:t>0.5778</w:t>
            </w:r>
          </w:p>
        </w:tc>
        <w:tc>
          <w:tcPr>
            <w:tcW w:w="769" w:type="dxa"/>
            <w:vAlign w:val="top"/>
          </w:tcPr>
          <w:p>
            <w:pPr>
              <w:pStyle w:val="TableText"/>
              <w:ind w:left="77"/>
              <w:spacing w:before="59" w:line="185" w:lineRule="auto"/>
              <w:rPr>
                <w:sz w:val="20"/>
                <w:szCs w:val="20"/>
              </w:rPr>
            </w:pPr>
            <w:r>
              <w:rPr>
                <w:sz w:val="20"/>
                <w:szCs w:val="20"/>
                <w:spacing w:val="-2"/>
              </w:rPr>
              <w:t>0.0963</w:t>
            </w:r>
          </w:p>
        </w:tc>
        <w:tc>
          <w:tcPr>
            <w:tcW w:w="799" w:type="dxa"/>
            <w:vAlign w:val="top"/>
          </w:tcPr>
          <w:p>
            <w:pPr>
              <w:pStyle w:val="TableText"/>
              <w:ind w:left="98"/>
              <w:spacing w:before="59" w:line="185" w:lineRule="auto"/>
              <w:rPr>
                <w:sz w:val="20"/>
                <w:szCs w:val="20"/>
              </w:rPr>
            </w:pPr>
            <w:r>
              <w:rPr>
                <w:sz w:val="20"/>
                <w:szCs w:val="20"/>
                <w:spacing w:val="-2"/>
              </w:rPr>
              <w:t>0.1541</w:t>
            </w:r>
          </w:p>
        </w:tc>
        <w:tc>
          <w:tcPr>
            <w:tcW w:w="639" w:type="dxa"/>
            <w:vAlign w:val="top"/>
          </w:tcPr>
          <w:p>
            <w:pPr>
              <w:pStyle w:val="TableText"/>
              <w:ind w:left="18"/>
              <w:spacing w:before="59" w:line="185" w:lineRule="auto"/>
              <w:rPr>
                <w:sz w:val="20"/>
                <w:szCs w:val="20"/>
              </w:rPr>
            </w:pPr>
            <w:r>
              <w:rPr>
                <w:sz w:val="20"/>
                <w:szCs w:val="20"/>
                <w:spacing w:val="-2"/>
              </w:rPr>
              <w:t>0.0096</w:t>
            </w:r>
          </w:p>
        </w:tc>
        <w:tc>
          <w:tcPr>
            <w:tcW w:w="787" w:type="dxa"/>
            <w:vAlign w:val="top"/>
          </w:tcPr>
          <w:p>
            <w:pPr>
              <w:pStyle w:val="TableText"/>
              <w:ind w:left="340"/>
              <w:spacing w:before="59" w:line="185" w:lineRule="auto"/>
              <w:rPr>
                <w:sz w:val="20"/>
                <w:szCs w:val="20"/>
              </w:rPr>
            </w:pPr>
            <w:r>
              <w:rPr>
                <w:sz w:val="20"/>
                <w:szCs w:val="20"/>
              </w:rPr>
              <w:t>0</w:t>
            </w:r>
          </w:p>
        </w:tc>
      </w:tr>
      <w:tr>
        <w:trPr>
          <w:trHeight w:val="260" w:hRule="atLeast"/>
        </w:trPr>
        <w:tc>
          <w:tcPr>
            <w:tcW w:w="684" w:type="dxa"/>
            <w:vAlign w:val="top"/>
            <w:vMerge w:val="continue"/>
            <w:tcBorders>
              <w:top w:val="nil"/>
              <w:bottom w:val="nil"/>
            </w:tcBorders>
          </w:tcPr>
          <w:p>
            <w:pPr>
              <w:rPr>
                <w:rFonts w:ascii="Arial"/>
                <w:sz w:val="21"/>
              </w:rPr>
            </w:pPr>
            <w:r/>
          </w:p>
        </w:tc>
        <w:tc>
          <w:tcPr>
            <w:tcW w:w="270" w:type="dxa"/>
            <w:vAlign w:val="top"/>
            <w:vMerge w:val="restart"/>
            <w:textDirection w:val="tbRlV"/>
            <w:tcBorders>
              <w:bottom w:val="nil"/>
            </w:tcBorders>
          </w:tcPr>
          <w:p>
            <w:pPr>
              <w:pStyle w:val="TableText"/>
              <w:spacing w:before="56" w:line="200" w:lineRule="auto"/>
              <w:jc w:val="right"/>
              <w:rPr>
                <w:sz w:val="20"/>
                <w:szCs w:val="20"/>
              </w:rPr>
            </w:pPr>
            <w:r>
              <w:rPr>
                <w:sz w:val="20"/>
                <w:szCs w:val="20"/>
                <w:spacing w:val="-7"/>
              </w:rPr>
              <w:t>旺</w:t>
            </w:r>
            <w:r>
              <w:rPr>
                <w:sz w:val="20"/>
                <w:szCs w:val="20"/>
                <w:spacing w:val="18"/>
              </w:rPr>
              <w:t xml:space="preserve"> </w:t>
            </w:r>
            <w:r>
              <w:rPr>
                <w:sz w:val="20"/>
                <w:szCs w:val="20"/>
                <w:spacing w:val="-7"/>
              </w:rPr>
              <w:t>季</w:t>
            </w:r>
          </w:p>
        </w:tc>
        <w:tc>
          <w:tcPr>
            <w:tcW w:w="769" w:type="dxa"/>
            <w:vAlign w:val="top"/>
            <w:vMerge w:val="restart"/>
            <w:tcBorders>
              <w:bottom w:val="nil"/>
            </w:tcBorders>
          </w:tcPr>
          <w:p>
            <w:pPr>
              <w:pStyle w:val="TableText"/>
              <w:ind w:left="221"/>
              <w:spacing w:before="178"/>
              <w:rPr>
                <w:sz w:val="20"/>
                <w:szCs w:val="20"/>
              </w:rPr>
            </w:pPr>
            <w:r>
              <w:rPr>
                <w:sz w:val="20"/>
                <w:szCs w:val="20"/>
                <w:spacing w:val="-3"/>
              </w:rPr>
              <w:t>576</w:t>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32"/>
              <w:spacing w:before="22" w:line="210" w:lineRule="auto"/>
              <w:rPr>
                <w:sz w:val="20"/>
                <w:szCs w:val="20"/>
              </w:rPr>
            </w:pPr>
            <w:r>
              <w:rPr>
                <w:sz w:val="20"/>
                <w:szCs w:val="20"/>
                <w:spacing w:val="-1"/>
              </w:rPr>
              <w:t>产生浓度mg/L</w:t>
            </w:r>
          </w:p>
        </w:tc>
        <w:tc>
          <w:tcPr>
            <w:tcW w:w="909" w:type="dxa"/>
            <w:vAlign w:val="top"/>
          </w:tcPr>
          <w:p>
            <w:pPr>
              <w:pStyle w:val="TableText"/>
              <w:ind w:left="294"/>
              <w:spacing w:before="49" w:line="185" w:lineRule="auto"/>
              <w:rPr>
                <w:sz w:val="20"/>
                <w:szCs w:val="20"/>
              </w:rPr>
            </w:pPr>
            <w:r>
              <w:rPr>
                <w:sz w:val="20"/>
                <w:szCs w:val="20"/>
                <w:spacing w:val="-3"/>
              </w:rPr>
              <w:t>300</w:t>
            </w:r>
          </w:p>
        </w:tc>
        <w:tc>
          <w:tcPr>
            <w:tcW w:w="739" w:type="dxa"/>
            <w:vAlign w:val="top"/>
          </w:tcPr>
          <w:p>
            <w:pPr>
              <w:pStyle w:val="TableText"/>
              <w:ind w:left="215"/>
              <w:spacing w:before="49" w:line="185" w:lineRule="auto"/>
              <w:rPr>
                <w:sz w:val="20"/>
                <w:szCs w:val="20"/>
              </w:rPr>
            </w:pPr>
            <w:r>
              <w:rPr>
                <w:sz w:val="20"/>
                <w:szCs w:val="20"/>
                <w:spacing w:val="-3"/>
              </w:rPr>
              <w:t>250</w:t>
            </w:r>
          </w:p>
        </w:tc>
        <w:tc>
          <w:tcPr>
            <w:tcW w:w="779" w:type="dxa"/>
            <w:vAlign w:val="top"/>
          </w:tcPr>
          <w:p>
            <w:pPr>
              <w:pStyle w:val="TableText"/>
              <w:ind w:left="236"/>
              <w:spacing w:before="49" w:line="185" w:lineRule="auto"/>
              <w:rPr>
                <w:sz w:val="20"/>
                <w:szCs w:val="20"/>
              </w:rPr>
            </w:pPr>
            <w:r>
              <w:rPr>
                <w:sz w:val="20"/>
                <w:szCs w:val="20"/>
                <w:spacing w:val="-3"/>
              </w:rPr>
              <w:t>300</w:t>
            </w:r>
          </w:p>
        </w:tc>
        <w:tc>
          <w:tcPr>
            <w:tcW w:w="769" w:type="dxa"/>
            <w:vAlign w:val="top"/>
          </w:tcPr>
          <w:p>
            <w:pPr>
              <w:pStyle w:val="TableText"/>
              <w:ind w:left="277"/>
              <w:spacing w:before="49" w:line="185" w:lineRule="auto"/>
              <w:rPr>
                <w:sz w:val="20"/>
                <w:szCs w:val="20"/>
              </w:rPr>
            </w:pPr>
            <w:r>
              <w:rPr>
                <w:sz w:val="20"/>
                <w:szCs w:val="20"/>
                <w:spacing w:val="-3"/>
              </w:rPr>
              <w:t>50</w:t>
            </w:r>
          </w:p>
        </w:tc>
        <w:tc>
          <w:tcPr>
            <w:tcW w:w="799" w:type="dxa"/>
            <w:vAlign w:val="top"/>
          </w:tcPr>
          <w:p>
            <w:pPr>
              <w:pStyle w:val="TableText"/>
              <w:ind w:left="297"/>
              <w:spacing w:before="49" w:line="185" w:lineRule="auto"/>
              <w:rPr>
                <w:sz w:val="20"/>
                <w:szCs w:val="20"/>
              </w:rPr>
            </w:pPr>
            <w:r>
              <w:rPr>
                <w:sz w:val="20"/>
                <w:szCs w:val="20"/>
                <w:spacing w:val="-3"/>
              </w:rPr>
              <w:t>80</w:t>
            </w:r>
          </w:p>
        </w:tc>
        <w:tc>
          <w:tcPr>
            <w:tcW w:w="639" w:type="dxa"/>
            <w:vAlign w:val="top"/>
            <w:textDirection w:val="tbRlV"/>
          </w:tcPr>
          <w:p>
            <w:pPr>
              <w:pStyle w:val="TableText"/>
              <w:spacing w:before="272" w:line="137" w:lineRule="exact"/>
              <w:rPr>
                <w:sz w:val="20"/>
                <w:szCs w:val="20"/>
              </w:rPr>
            </w:pPr>
            <w:r>
              <w:rPr>
                <w:sz w:val="20"/>
                <w:szCs w:val="20"/>
                <w:spacing w:val="33"/>
                <w:w w:val="125"/>
                <w:position w:val="-3"/>
              </w:rPr>
              <w:t>5</w:t>
            </w:r>
          </w:p>
        </w:tc>
        <w:tc>
          <w:tcPr>
            <w:tcW w:w="787" w:type="dxa"/>
            <w:vAlign w:val="top"/>
          </w:tcPr>
          <w:p>
            <w:pPr>
              <w:pStyle w:val="TableText"/>
              <w:ind w:left="340"/>
              <w:spacing w:before="34" w:line="199" w:lineRule="auto"/>
              <w:rPr>
                <w:sz w:val="20"/>
                <w:szCs w:val="20"/>
              </w:rPr>
            </w:pPr>
            <w:r>
              <w:rPr>
                <w:sz w:val="20"/>
                <w:szCs w:val="20"/>
                <w:color w:val="404050"/>
              </w:rPr>
              <w:t>/</w:t>
            </w:r>
          </w:p>
        </w:tc>
      </w:tr>
      <w:tr>
        <w:trPr>
          <w:trHeight w:val="240" w:hRule="atLeast"/>
        </w:trPr>
        <w:tc>
          <w:tcPr>
            <w:tcW w:w="684" w:type="dxa"/>
            <w:vAlign w:val="top"/>
            <w:vMerge w:val="continue"/>
            <w:tcBorders>
              <w:top w:val="nil"/>
              <w:bottom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181"/>
              <w:spacing w:before="18" w:line="195" w:lineRule="auto"/>
              <w:rPr>
                <w:sz w:val="20"/>
                <w:szCs w:val="20"/>
              </w:rPr>
            </w:pPr>
            <w:r>
              <w:rPr>
                <w:sz w:val="20"/>
                <w:szCs w:val="20"/>
                <w:spacing w:val="-2"/>
              </w:rPr>
              <w:t>产生量t/a</w:t>
            </w:r>
          </w:p>
        </w:tc>
        <w:tc>
          <w:tcPr>
            <w:tcW w:w="909" w:type="dxa"/>
            <w:vAlign w:val="top"/>
          </w:tcPr>
          <w:p>
            <w:pPr>
              <w:pStyle w:val="TableText"/>
              <w:ind w:left="144"/>
              <w:spacing w:before="39" w:line="176" w:lineRule="auto"/>
              <w:rPr>
                <w:sz w:val="20"/>
                <w:szCs w:val="20"/>
              </w:rPr>
            </w:pPr>
            <w:r>
              <w:rPr>
                <w:sz w:val="20"/>
                <w:szCs w:val="20"/>
                <w:spacing w:val="-2"/>
              </w:rPr>
              <w:t>0.1728</w:t>
            </w:r>
          </w:p>
        </w:tc>
        <w:tc>
          <w:tcPr>
            <w:tcW w:w="739" w:type="dxa"/>
            <w:vAlign w:val="top"/>
          </w:tcPr>
          <w:p>
            <w:pPr>
              <w:pStyle w:val="TableText"/>
              <w:ind w:left="64"/>
              <w:spacing w:before="39" w:line="176" w:lineRule="auto"/>
              <w:rPr>
                <w:sz w:val="20"/>
                <w:szCs w:val="20"/>
              </w:rPr>
            </w:pPr>
            <w:r>
              <w:rPr>
                <w:sz w:val="20"/>
                <w:szCs w:val="20"/>
                <w:spacing w:val="-2"/>
              </w:rPr>
              <w:t>0.1440</w:t>
            </w:r>
          </w:p>
        </w:tc>
        <w:tc>
          <w:tcPr>
            <w:tcW w:w="779" w:type="dxa"/>
            <w:vAlign w:val="top"/>
          </w:tcPr>
          <w:p>
            <w:pPr>
              <w:pStyle w:val="TableText"/>
              <w:ind w:left="86"/>
              <w:spacing w:before="39" w:line="176" w:lineRule="auto"/>
              <w:rPr>
                <w:sz w:val="20"/>
                <w:szCs w:val="20"/>
              </w:rPr>
            </w:pPr>
            <w:r>
              <w:rPr>
                <w:sz w:val="20"/>
                <w:szCs w:val="20"/>
                <w:spacing w:val="-2"/>
              </w:rPr>
              <w:t>0.1728</w:t>
            </w:r>
          </w:p>
        </w:tc>
        <w:tc>
          <w:tcPr>
            <w:tcW w:w="769" w:type="dxa"/>
            <w:vAlign w:val="top"/>
          </w:tcPr>
          <w:p>
            <w:pPr>
              <w:pStyle w:val="TableText"/>
              <w:ind w:left="77"/>
              <w:spacing w:before="39" w:line="176" w:lineRule="auto"/>
              <w:rPr>
                <w:sz w:val="20"/>
                <w:szCs w:val="20"/>
              </w:rPr>
            </w:pPr>
            <w:r>
              <w:rPr>
                <w:sz w:val="20"/>
                <w:szCs w:val="20"/>
                <w:spacing w:val="-2"/>
              </w:rPr>
              <w:t>0.0288</w:t>
            </w:r>
          </w:p>
        </w:tc>
        <w:tc>
          <w:tcPr>
            <w:tcW w:w="799" w:type="dxa"/>
            <w:vAlign w:val="top"/>
          </w:tcPr>
          <w:p>
            <w:pPr>
              <w:pStyle w:val="TableText"/>
              <w:ind w:left="98"/>
              <w:spacing w:before="39" w:line="176" w:lineRule="auto"/>
              <w:rPr>
                <w:sz w:val="20"/>
                <w:szCs w:val="20"/>
              </w:rPr>
            </w:pPr>
            <w:r>
              <w:rPr>
                <w:sz w:val="20"/>
                <w:szCs w:val="20"/>
                <w:spacing w:val="-2"/>
              </w:rPr>
              <w:t>0.0461</w:t>
            </w:r>
          </w:p>
        </w:tc>
        <w:tc>
          <w:tcPr>
            <w:tcW w:w="639" w:type="dxa"/>
            <w:vAlign w:val="top"/>
          </w:tcPr>
          <w:p>
            <w:pPr>
              <w:pStyle w:val="TableText"/>
              <w:ind w:left="18"/>
              <w:spacing w:before="39" w:line="176" w:lineRule="auto"/>
              <w:rPr>
                <w:sz w:val="20"/>
                <w:szCs w:val="20"/>
              </w:rPr>
            </w:pPr>
            <w:r>
              <w:rPr>
                <w:sz w:val="20"/>
                <w:szCs w:val="20"/>
                <w:spacing w:val="-2"/>
              </w:rPr>
              <w:t>0.0029</w:t>
            </w:r>
          </w:p>
        </w:tc>
        <w:tc>
          <w:tcPr>
            <w:tcW w:w="787" w:type="dxa"/>
            <w:vAlign w:val="top"/>
          </w:tcPr>
          <w:p>
            <w:pPr>
              <w:pStyle w:val="TableText"/>
              <w:ind w:left="340"/>
              <w:spacing w:before="39" w:line="176" w:lineRule="auto"/>
              <w:rPr>
                <w:sz w:val="20"/>
                <w:szCs w:val="20"/>
              </w:rPr>
            </w:pPr>
            <w:r>
              <w:rPr>
                <w:sz w:val="20"/>
                <w:szCs w:val="20"/>
              </w:rPr>
              <w:t>0</w:t>
            </w:r>
          </w:p>
        </w:tc>
      </w:tr>
      <w:tr>
        <w:trPr>
          <w:trHeight w:val="269" w:hRule="atLeast"/>
        </w:trPr>
        <w:tc>
          <w:tcPr>
            <w:tcW w:w="684" w:type="dxa"/>
            <w:vAlign w:val="top"/>
            <w:vMerge w:val="continue"/>
            <w:tcBorders>
              <w:top w:val="nil"/>
              <w:bottom w:val="nil"/>
            </w:tcBorders>
          </w:tcPr>
          <w:p>
            <w:pPr>
              <w:rPr>
                <w:rFonts w:ascii="Arial"/>
                <w:sz w:val="21"/>
              </w:rPr>
            </w:pPr>
            <w:r/>
          </w:p>
        </w:tc>
        <w:tc>
          <w:tcPr>
            <w:tcW w:w="270" w:type="dxa"/>
            <w:vAlign w:val="top"/>
            <w:vMerge w:val="restart"/>
            <w:textDirection w:val="tbRlV"/>
            <w:tcBorders>
              <w:bottom w:val="nil"/>
            </w:tcBorders>
          </w:tcPr>
          <w:p>
            <w:pPr>
              <w:pStyle w:val="TableText"/>
              <w:spacing w:before="57" w:line="200" w:lineRule="auto"/>
              <w:rPr>
                <w:sz w:val="20"/>
                <w:szCs w:val="20"/>
              </w:rPr>
            </w:pPr>
            <w:r>
              <w:rPr>
                <w:sz w:val="20"/>
                <w:szCs w:val="20"/>
                <w:spacing w:val="-2"/>
              </w:rPr>
              <w:t>全</w:t>
            </w:r>
            <w:r>
              <w:rPr>
                <w:sz w:val="20"/>
                <w:szCs w:val="20"/>
                <w:spacing w:val="31"/>
              </w:rPr>
              <w:t xml:space="preserve"> </w:t>
            </w:r>
            <w:r>
              <w:rPr>
                <w:sz w:val="20"/>
                <w:szCs w:val="20"/>
                <w:spacing w:val="-2"/>
              </w:rPr>
              <w:t>年</w:t>
            </w:r>
          </w:p>
        </w:tc>
        <w:tc>
          <w:tcPr>
            <w:tcW w:w="769" w:type="dxa"/>
            <w:vAlign w:val="top"/>
            <w:vMerge w:val="restart"/>
            <w:tcBorders>
              <w:bottom w:val="nil"/>
            </w:tcBorders>
          </w:tcPr>
          <w:p>
            <w:pPr>
              <w:pStyle w:val="TableText"/>
              <w:ind w:left="171"/>
              <w:spacing w:before="188"/>
              <w:rPr>
                <w:sz w:val="20"/>
                <w:szCs w:val="20"/>
              </w:rPr>
            </w:pPr>
            <w:r>
              <w:rPr>
                <w:sz w:val="20"/>
                <w:szCs w:val="20"/>
                <w:spacing w:val="-5"/>
              </w:rPr>
              <w:t>1872</w:t>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32"/>
              <w:spacing w:before="32" w:line="209" w:lineRule="auto"/>
              <w:rPr>
                <w:sz w:val="20"/>
                <w:szCs w:val="20"/>
              </w:rPr>
            </w:pPr>
            <w:r>
              <w:rPr>
                <w:sz w:val="20"/>
                <w:szCs w:val="20"/>
                <w:spacing w:val="-1"/>
              </w:rPr>
              <w:t>产生浓度mg/L</w:t>
            </w:r>
          </w:p>
        </w:tc>
        <w:tc>
          <w:tcPr>
            <w:tcW w:w="909" w:type="dxa"/>
            <w:vAlign w:val="top"/>
          </w:tcPr>
          <w:p>
            <w:pPr>
              <w:pStyle w:val="TableText"/>
              <w:ind w:left="294"/>
              <w:spacing w:before="59" w:line="184" w:lineRule="auto"/>
              <w:rPr>
                <w:sz w:val="20"/>
                <w:szCs w:val="20"/>
              </w:rPr>
            </w:pPr>
            <w:r>
              <w:rPr>
                <w:sz w:val="20"/>
                <w:szCs w:val="20"/>
                <w:spacing w:val="-3"/>
              </w:rPr>
              <w:t>300</w:t>
            </w:r>
          </w:p>
        </w:tc>
        <w:tc>
          <w:tcPr>
            <w:tcW w:w="739" w:type="dxa"/>
            <w:vAlign w:val="top"/>
          </w:tcPr>
          <w:p>
            <w:pPr>
              <w:pStyle w:val="TableText"/>
              <w:ind w:left="215"/>
              <w:spacing w:before="59" w:line="184" w:lineRule="auto"/>
              <w:rPr>
                <w:sz w:val="20"/>
                <w:szCs w:val="20"/>
              </w:rPr>
            </w:pPr>
            <w:r>
              <w:rPr>
                <w:sz w:val="20"/>
                <w:szCs w:val="20"/>
                <w:spacing w:val="-3"/>
              </w:rPr>
              <w:t>250</w:t>
            </w:r>
          </w:p>
        </w:tc>
        <w:tc>
          <w:tcPr>
            <w:tcW w:w="779" w:type="dxa"/>
            <w:vAlign w:val="top"/>
          </w:tcPr>
          <w:p>
            <w:pPr>
              <w:pStyle w:val="TableText"/>
              <w:ind w:left="236"/>
              <w:spacing w:before="59" w:line="184" w:lineRule="auto"/>
              <w:rPr>
                <w:sz w:val="20"/>
                <w:szCs w:val="20"/>
              </w:rPr>
            </w:pPr>
            <w:r>
              <w:rPr>
                <w:sz w:val="20"/>
                <w:szCs w:val="20"/>
                <w:spacing w:val="-3"/>
              </w:rPr>
              <w:t>300</w:t>
            </w:r>
          </w:p>
        </w:tc>
        <w:tc>
          <w:tcPr>
            <w:tcW w:w="769" w:type="dxa"/>
            <w:vAlign w:val="top"/>
          </w:tcPr>
          <w:p>
            <w:pPr>
              <w:pStyle w:val="TableText"/>
              <w:ind w:left="277"/>
              <w:spacing w:before="59" w:line="184" w:lineRule="auto"/>
              <w:rPr>
                <w:sz w:val="20"/>
                <w:szCs w:val="20"/>
              </w:rPr>
            </w:pPr>
            <w:r>
              <w:rPr>
                <w:sz w:val="20"/>
                <w:szCs w:val="20"/>
                <w:spacing w:val="-3"/>
              </w:rPr>
              <w:t>50</w:t>
            </w:r>
          </w:p>
        </w:tc>
        <w:tc>
          <w:tcPr>
            <w:tcW w:w="799" w:type="dxa"/>
            <w:vAlign w:val="top"/>
          </w:tcPr>
          <w:p>
            <w:pPr>
              <w:pStyle w:val="TableText"/>
              <w:ind w:left="297"/>
              <w:spacing w:before="59" w:line="184" w:lineRule="auto"/>
              <w:rPr>
                <w:sz w:val="20"/>
                <w:szCs w:val="20"/>
              </w:rPr>
            </w:pPr>
            <w:r>
              <w:rPr>
                <w:sz w:val="20"/>
                <w:szCs w:val="20"/>
                <w:spacing w:val="-3"/>
              </w:rPr>
              <w:t>80</w:t>
            </w:r>
          </w:p>
        </w:tc>
        <w:tc>
          <w:tcPr>
            <w:tcW w:w="639" w:type="dxa"/>
            <w:vAlign w:val="top"/>
            <w:textDirection w:val="tbRlV"/>
          </w:tcPr>
          <w:p>
            <w:pPr>
              <w:pStyle w:val="TableText"/>
              <w:spacing w:before="272" w:line="137" w:lineRule="exact"/>
              <w:rPr>
                <w:sz w:val="20"/>
                <w:szCs w:val="20"/>
              </w:rPr>
            </w:pPr>
            <w:r>
              <w:rPr>
                <w:sz w:val="20"/>
                <w:szCs w:val="20"/>
                <w:spacing w:val="43"/>
                <w:w w:val="125"/>
                <w:position w:val="-3"/>
              </w:rPr>
              <w:t>5</w:t>
            </w:r>
          </w:p>
        </w:tc>
        <w:tc>
          <w:tcPr>
            <w:tcW w:w="787" w:type="dxa"/>
            <w:vAlign w:val="top"/>
          </w:tcPr>
          <w:p>
            <w:pPr>
              <w:pStyle w:val="TableText"/>
              <w:ind w:left="340"/>
              <w:spacing w:before="44" w:line="198" w:lineRule="auto"/>
              <w:rPr>
                <w:sz w:val="20"/>
                <w:szCs w:val="20"/>
              </w:rPr>
            </w:pPr>
            <w:r>
              <w:rPr>
                <w:sz w:val="20"/>
                <w:szCs w:val="20"/>
                <w:color w:val="404050"/>
              </w:rPr>
              <w:t>/</w:t>
            </w:r>
          </w:p>
        </w:tc>
      </w:tr>
      <w:tr>
        <w:trPr>
          <w:trHeight w:val="260" w:hRule="atLeast"/>
        </w:trPr>
        <w:tc>
          <w:tcPr>
            <w:tcW w:w="684" w:type="dxa"/>
            <w:vAlign w:val="top"/>
            <w:vMerge w:val="continue"/>
            <w:tcBorders>
              <w:top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0" w:type="dxa"/>
            <w:vAlign w:val="top"/>
            <w:vMerge w:val="continue"/>
            <w:textDirection w:val="tbRlV"/>
            <w:tcBorders>
              <w:top w:val="nil"/>
            </w:tcBorders>
          </w:tcPr>
          <w:p>
            <w:pPr>
              <w:spacing w:line="240" w:lineRule="exact"/>
              <w:rPr>
                <w:rFonts w:ascii="Arial"/>
                <w:sz w:val="20"/>
              </w:rPr>
            </w:pPr>
            <w:r/>
          </w:p>
        </w:tc>
        <w:tc>
          <w:tcPr>
            <w:tcW w:w="1288" w:type="dxa"/>
            <w:vAlign w:val="top"/>
          </w:tcPr>
          <w:p>
            <w:pPr>
              <w:pStyle w:val="TableText"/>
              <w:ind w:left="181"/>
              <w:spacing w:before="30" w:line="203" w:lineRule="auto"/>
              <w:rPr>
                <w:sz w:val="20"/>
                <w:szCs w:val="20"/>
              </w:rPr>
            </w:pPr>
            <w:r>
              <w:rPr>
                <w:sz w:val="20"/>
                <w:szCs w:val="20"/>
                <w:spacing w:val="-2"/>
              </w:rPr>
              <w:t>产生量t/a</w:t>
            </w:r>
          </w:p>
        </w:tc>
        <w:tc>
          <w:tcPr>
            <w:tcW w:w="909" w:type="dxa"/>
            <w:vAlign w:val="top"/>
          </w:tcPr>
          <w:p>
            <w:pPr>
              <w:pStyle w:val="TableText"/>
              <w:ind w:left="144"/>
              <w:spacing w:before="50" w:line="184" w:lineRule="auto"/>
              <w:rPr>
                <w:sz w:val="20"/>
                <w:szCs w:val="20"/>
              </w:rPr>
            </w:pPr>
            <w:r>
              <w:rPr>
                <w:sz w:val="20"/>
                <w:szCs w:val="20"/>
                <w:spacing w:val="-2"/>
              </w:rPr>
              <w:t>0.7506</w:t>
            </w:r>
          </w:p>
        </w:tc>
        <w:tc>
          <w:tcPr>
            <w:tcW w:w="739" w:type="dxa"/>
            <w:vAlign w:val="top"/>
          </w:tcPr>
          <w:p>
            <w:pPr>
              <w:pStyle w:val="TableText"/>
              <w:ind w:left="64"/>
              <w:spacing w:before="50" w:line="184" w:lineRule="auto"/>
              <w:rPr>
                <w:sz w:val="20"/>
                <w:szCs w:val="20"/>
              </w:rPr>
            </w:pPr>
            <w:r>
              <w:rPr>
                <w:sz w:val="20"/>
                <w:szCs w:val="20"/>
                <w:spacing w:val="-2"/>
              </w:rPr>
              <w:t>0.6255</w:t>
            </w:r>
          </w:p>
        </w:tc>
        <w:tc>
          <w:tcPr>
            <w:tcW w:w="779" w:type="dxa"/>
            <w:vAlign w:val="top"/>
          </w:tcPr>
          <w:p>
            <w:pPr>
              <w:pStyle w:val="TableText"/>
              <w:ind w:left="86"/>
              <w:spacing w:before="50" w:line="184" w:lineRule="auto"/>
              <w:rPr>
                <w:sz w:val="20"/>
                <w:szCs w:val="20"/>
              </w:rPr>
            </w:pPr>
            <w:r>
              <w:rPr>
                <w:sz w:val="20"/>
                <w:szCs w:val="20"/>
                <w:spacing w:val="-2"/>
              </w:rPr>
              <w:t>0.7506</w:t>
            </w:r>
          </w:p>
        </w:tc>
        <w:tc>
          <w:tcPr>
            <w:tcW w:w="769" w:type="dxa"/>
            <w:vAlign w:val="top"/>
          </w:tcPr>
          <w:p>
            <w:pPr>
              <w:pStyle w:val="TableText"/>
              <w:ind w:left="77"/>
              <w:spacing w:before="50" w:line="184" w:lineRule="auto"/>
              <w:rPr>
                <w:sz w:val="20"/>
                <w:szCs w:val="20"/>
              </w:rPr>
            </w:pPr>
            <w:r>
              <w:rPr>
                <w:sz w:val="20"/>
                <w:szCs w:val="20"/>
                <w:spacing w:val="-2"/>
              </w:rPr>
              <w:t>0.1251</w:t>
            </w:r>
          </w:p>
        </w:tc>
        <w:tc>
          <w:tcPr>
            <w:tcW w:w="799" w:type="dxa"/>
            <w:vAlign w:val="top"/>
          </w:tcPr>
          <w:p>
            <w:pPr>
              <w:pStyle w:val="TableText"/>
              <w:ind w:left="98"/>
              <w:spacing w:before="50" w:line="184" w:lineRule="auto"/>
              <w:rPr>
                <w:sz w:val="20"/>
                <w:szCs w:val="20"/>
              </w:rPr>
            </w:pPr>
            <w:r>
              <w:rPr>
                <w:sz w:val="20"/>
                <w:szCs w:val="20"/>
                <w:spacing w:val="-2"/>
              </w:rPr>
              <w:t>0.2002</w:t>
            </w:r>
          </w:p>
        </w:tc>
        <w:tc>
          <w:tcPr>
            <w:tcW w:w="639" w:type="dxa"/>
            <w:vAlign w:val="top"/>
          </w:tcPr>
          <w:p>
            <w:pPr>
              <w:pStyle w:val="TableText"/>
              <w:ind w:left="18"/>
              <w:spacing w:before="50" w:line="184" w:lineRule="auto"/>
              <w:rPr>
                <w:sz w:val="20"/>
                <w:szCs w:val="20"/>
              </w:rPr>
            </w:pPr>
            <w:r>
              <w:rPr>
                <w:sz w:val="20"/>
                <w:szCs w:val="20"/>
                <w:spacing w:val="-2"/>
              </w:rPr>
              <w:t>0.0125</w:t>
            </w:r>
          </w:p>
        </w:tc>
        <w:tc>
          <w:tcPr>
            <w:tcW w:w="787" w:type="dxa"/>
            <w:vAlign w:val="top"/>
          </w:tcPr>
          <w:p>
            <w:pPr>
              <w:pStyle w:val="TableText"/>
              <w:ind w:left="340"/>
              <w:spacing w:before="50" w:line="184" w:lineRule="auto"/>
              <w:rPr>
                <w:sz w:val="20"/>
                <w:szCs w:val="20"/>
              </w:rPr>
            </w:pPr>
            <w:r>
              <w:rPr>
                <w:sz w:val="20"/>
                <w:szCs w:val="20"/>
              </w:rPr>
              <w:t>0</w:t>
            </w:r>
          </w:p>
        </w:tc>
      </w:tr>
      <w:tr>
        <w:trPr>
          <w:trHeight w:val="269" w:hRule="atLeast"/>
        </w:trPr>
        <w:tc>
          <w:tcPr>
            <w:tcW w:w="684" w:type="dxa"/>
            <w:vAlign w:val="top"/>
            <w:vMerge w:val="restart"/>
            <w:tcBorders>
              <w:bottom w:val="nil"/>
            </w:tcBorders>
          </w:tcPr>
          <w:p>
            <w:pPr>
              <w:spacing w:line="262" w:lineRule="auto"/>
              <w:rPr>
                <w:rFonts w:ascii="Arial"/>
                <w:sz w:val="21"/>
              </w:rPr>
            </w:pPr>
            <w:r/>
          </w:p>
          <w:p>
            <w:pPr>
              <w:spacing w:line="262" w:lineRule="auto"/>
              <w:rPr>
                <w:rFonts w:ascii="Arial"/>
                <w:sz w:val="21"/>
              </w:rPr>
            </w:pPr>
            <w:r/>
          </w:p>
          <w:p>
            <w:pPr>
              <w:pStyle w:val="TableText"/>
              <w:ind w:left="35"/>
              <w:spacing w:before="65" w:line="221" w:lineRule="auto"/>
              <w:rPr>
                <w:sz w:val="20"/>
                <w:szCs w:val="20"/>
              </w:rPr>
            </w:pPr>
            <w:r>
              <w:rPr>
                <w:sz w:val="20"/>
                <w:szCs w:val="20"/>
                <w:spacing w:val="6"/>
              </w:rPr>
              <w:t>冷却系</w:t>
            </w:r>
          </w:p>
          <w:p>
            <w:pPr>
              <w:pStyle w:val="TableText"/>
              <w:ind w:left="35"/>
              <w:spacing w:before="7" w:line="219" w:lineRule="auto"/>
              <w:rPr>
                <w:sz w:val="20"/>
                <w:szCs w:val="20"/>
              </w:rPr>
            </w:pPr>
            <w:r>
              <w:rPr>
                <w:sz w:val="20"/>
                <w:szCs w:val="20"/>
                <w:spacing w:val="3"/>
              </w:rPr>
              <w:t>统排水</w:t>
            </w:r>
          </w:p>
        </w:tc>
        <w:tc>
          <w:tcPr>
            <w:tcW w:w="270" w:type="dxa"/>
            <w:vAlign w:val="top"/>
            <w:vMerge w:val="restart"/>
            <w:textDirection w:val="tbRlV"/>
            <w:tcBorders>
              <w:bottom w:val="nil"/>
            </w:tcBorders>
          </w:tcPr>
          <w:p>
            <w:pPr>
              <w:pStyle w:val="TableText"/>
              <w:spacing w:before="57" w:line="199" w:lineRule="auto"/>
              <w:jc w:val="right"/>
              <w:rPr>
                <w:sz w:val="20"/>
                <w:szCs w:val="20"/>
              </w:rPr>
            </w:pPr>
            <w:r>
              <w:rPr>
                <w:sz w:val="20"/>
                <w:szCs w:val="20"/>
                <w:color w:val="504050"/>
                <w:spacing w:val="-8"/>
              </w:rPr>
              <w:t>淡</w:t>
            </w:r>
            <w:r>
              <w:rPr>
                <w:sz w:val="20"/>
                <w:szCs w:val="20"/>
                <w:color w:val="504050"/>
                <w:spacing w:val="31"/>
              </w:rPr>
              <w:t xml:space="preserve"> </w:t>
            </w:r>
            <w:r>
              <w:rPr>
                <w:sz w:val="20"/>
                <w:szCs w:val="20"/>
                <w:color w:val="504050"/>
                <w:spacing w:val="-8"/>
              </w:rPr>
              <w:t>季</w:t>
            </w:r>
          </w:p>
        </w:tc>
        <w:tc>
          <w:tcPr>
            <w:tcW w:w="769" w:type="dxa"/>
            <w:vAlign w:val="top"/>
            <w:vMerge w:val="restart"/>
            <w:tcBorders>
              <w:bottom w:val="nil"/>
            </w:tcBorders>
          </w:tcPr>
          <w:p>
            <w:pPr>
              <w:pStyle w:val="TableText"/>
              <w:ind w:left="171"/>
              <w:spacing w:before="179"/>
              <w:rPr>
                <w:sz w:val="20"/>
                <w:szCs w:val="20"/>
              </w:rPr>
            </w:pPr>
            <w:r>
              <w:rPr>
                <w:sz w:val="20"/>
                <w:szCs w:val="20"/>
                <w:spacing w:val="-3"/>
              </w:rPr>
              <w:t>3240</w:t>
            </w:r>
          </w:p>
        </w:tc>
        <w:tc>
          <w:tcPr>
            <w:tcW w:w="250" w:type="dxa"/>
            <w:vAlign w:val="top"/>
            <w:vMerge w:val="restart"/>
            <w:textDirection w:val="tbRlV"/>
            <w:tcBorders>
              <w:bottom w:val="nil"/>
            </w:tcBorders>
          </w:tcPr>
          <w:p>
            <w:pPr>
              <w:pStyle w:val="TableText"/>
              <w:ind w:left="436"/>
              <w:spacing w:before="35" w:line="201" w:lineRule="auto"/>
              <w:rPr>
                <w:sz w:val="20"/>
                <w:szCs w:val="20"/>
              </w:rPr>
            </w:pPr>
            <w:r>
              <w:rPr>
                <w:sz w:val="20"/>
                <w:szCs w:val="20"/>
                <w:spacing w:val="34"/>
              </w:rPr>
              <w:t>处理前</w:t>
            </w:r>
          </w:p>
        </w:tc>
        <w:tc>
          <w:tcPr>
            <w:tcW w:w="1288" w:type="dxa"/>
            <w:vAlign w:val="top"/>
          </w:tcPr>
          <w:p>
            <w:pPr>
              <w:pStyle w:val="TableText"/>
              <w:ind w:left="32"/>
              <w:spacing w:before="33" w:line="208" w:lineRule="auto"/>
              <w:rPr>
                <w:sz w:val="20"/>
                <w:szCs w:val="20"/>
              </w:rPr>
            </w:pPr>
            <w:r>
              <w:rPr>
                <w:sz w:val="20"/>
                <w:szCs w:val="20"/>
                <w:spacing w:val="-1"/>
              </w:rPr>
              <w:t>产生浓度mg/L</w:t>
            </w:r>
          </w:p>
        </w:tc>
        <w:tc>
          <w:tcPr>
            <w:tcW w:w="909" w:type="dxa"/>
            <w:vAlign w:val="top"/>
          </w:tcPr>
          <w:p>
            <w:pPr>
              <w:pStyle w:val="TableText"/>
              <w:ind w:left="344"/>
              <w:spacing w:before="59" w:line="184" w:lineRule="auto"/>
              <w:rPr>
                <w:sz w:val="20"/>
                <w:szCs w:val="20"/>
              </w:rPr>
            </w:pPr>
            <w:r>
              <w:rPr>
                <w:sz w:val="20"/>
                <w:szCs w:val="20"/>
                <w:spacing w:val="-3"/>
              </w:rPr>
              <w:t>60</w:t>
            </w:r>
          </w:p>
        </w:tc>
        <w:tc>
          <w:tcPr>
            <w:tcW w:w="739" w:type="dxa"/>
            <w:vAlign w:val="top"/>
          </w:tcPr>
          <w:p>
            <w:pPr>
              <w:pStyle w:val="TableText"/>
              <w:ind w:left="315"/>
              <w:spacing w:before="45" w:line="197" w:lineRule="auto"/>
              <w:rPr>
                <w:sz w:val="20"/>
                <w:szCs w:val="20"/>
              </w:rPr>
            </w:pPr>
            <w:r>
              <w:rPr>
                <w:sz w:val="20"/>
                <w:szCs w:val="20"/>
              </w:rPr>
              <w:t>/</w:t>
            </w:r>
          </w:p>
        </w:tc>
        <w:tc>
          <w:tcPr>
            <w:tcW w:w="779" w:type="dxa"/>
            <w:vAlign w:val="top"/>
          </w:tcPr>
          <w:p>
            <w:pPr>
              <w:pStyle w:val="TableText"/>
              <w:ind w:left="286"/>
              <w:spacing w:before="59" w:line="184" w:lineRule="auto"/>
              <w:rPr>
                <w:sz w:val="20"/>
                <w:szCs w:val="20"/>
              </w:rPr>
            </w:pPr>
            <w:r>
              <w:rPr>
                <w:sz w:val="20"/>
                <w:szCs w:val="20"/>
                <w:spacing w:val="-3"/>
              </w:rPr>
              <w:t>50</w:t>
            </w:r>
          </w:p>
        </w:tc>
        <w:tc>
          <w:tcPr>
            <w:tcW w:w="769" w:type="dxa"/>
            <w:vAlign w:val="top"/>
          </w:tcPr>
          <w:p>
            <w:pPr>
              <w:pStyle w:val="TableText"/>
              <w:ind w:left="327"/>
              <w:spacing w:before="45" w:line="197" w:lineRule="auto"/>
              <w:rPr>
                <w:sz w:val="20"/>
                <w:szCs w:val="20"/>
              </w:rPr>
            </w:pPr>
            <w:r>
              <w:rPr>
                <w:sz w:val="20"/>
                <w:szCs w:val="20"/>
                <w:color w:val="403040"/>
              </w:rPr>
              <w:t>/</w:t>
            </w:r>
          </w:p>
        </w:tc>
        <w:tc>
          <w:tcPr>
            <w:tcW w:w="799" w:type="dxa"/>
            <w:vAlign w:val="top"/>
          </w:tcPr>
          <w:p>
            <w:pPr>
              <w:pStyle w:val="TableText"/>
              <w:ind w:left="348"/>
              <w:spacing w:before="45" w:line="197" w:lineRule="auto"/>
              <w:rPr>
                <w:sz w:val="20"/>
                <w:szCs w:val="20"/>
              </w:rPr>
            </w:pPr>
            <w:r>
              <w:rPr>
                <w:sz w:val="20"/>
                <w:szCs w:val="20"/>
              </w:rPr>
              <w:t>/</w:t>
            </w:r>
          </w:p>
        </w:tc>
        <w:tc>
          <w:tcPr>
            <w:tcW w:w="639" w:type="dxa"/>
            <w:vAlign w:val="top"/>
          </w:tcPr>
          <w:p>
            <w:pPr>
              <w:pStyle w:val="TableText"/>
              <w:ind w:left="268"/>
              <w:spacing w:before="45" w:line="197" w:lineRule="auto"/>
              <w:rPr>
                <w:sz w:val="20"/>
                <w:szCs w:val="20"/>
              </w:rPr>
            </w:pPr>
            <w:r>
              <w:rPr>
                <w:sz w:val="20"/>
                <w:szCs w:val="20"/>
                <w:color w:val="505060"/>
              </w:rPr>
              <w:t>/</w:t>
            </w:r>
          </w:p>
        </w:tc>
        <w:tc>
          <w:tcPr>
            <w:tcW w:w="787" w:type="dxa"/>
            <w:vAlign w:val="top"/>
          </w:tcPr>
          <w:p>
            <w:pPr>
              <w:pStyle w:val="TableText"/>
              <w:ind w:left="340"/>
              <w:spacing w:before="45" w:line="197" w:lineRule="auto"/>
              <w:rPr>
                <w:sz w:val="20"/>
                <w:szCs w:val="20"/>
              </w:rPr>
            </w:pPr>
            <w:r>
              <w:rPr>
                <w:sz w:val="20"/>
                <w:szCs w:val="20"/>
                <w:color w:val="405060"/>
              </w:rPr>
              <w:t>/</w:t>
            </w:r>
          </w:p>
        </w:tc>
      </w:tr>
      <w:tr>
        <w:trPr>
          <w:trHeight w:val="240" w:hRule="atLeast"/>
        </w:trPr>
        <w:tc>
          <w:tcPr>
            <w:tcW w:w="684" w:type="dxa"/>
            <w:vAlign w:val="top"/>
            <w:vMerge w:val="continue"/>
            <w:tcBorders>
              <w:top w:val="nil"/>
              <w:bottom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181"/>
              <w:spacing w:before="20" w:line="193" w:lineRule="auto"/>
              <w:rPr>
                <w:sz w:val="20"/>
                <w:szCs w:val="20"/>
              </w:rPr>
            </w:pPr>
            <w:r>
              <w:rPr>
                <w:sz w:val="20"/>
                <w:szCs w:val="20"/>
                <w:spacing w:val="-2"/>
              </w:rPr>
              <w:t>产生量t/a</w:t>
            </w:r>
          </w:p>
        </w:tc>
        <w:tc>
          <w:tcPr>
            <w:tcW w:w="909" w:type="dxa"/>
            <w:vAlign w:val="top"/>
          </w:tcPr>
          <w:p>
            <w:pPr>
              <w:pStyle w:val="TableText"/>
              <w:ind w:left="144"/>
              <w:spacing w:before="41" w:line="174" w:lineRule="auto"/>
              <w:rPr>
                <w:sz w:val="20"/>
                <w:szCs w:val="20"/>
              </w:rPr>
            </w:pPr>
            <w:r>
              <w:rPr>
                <w:sz w:val="20"/>
                <w:szCs w:val="20"/>
                <w:spacing w:val="-2"/>
              </w:rPr>
              <w:t>0.1944</w:t>
            </w:r>
          </w:p>
        </w:tc>
        <w:tc>
          <w:tcPr>
            <w:tcW w:w="739" w:type="dxa"/>
            <w:vAlign w:val="top"/>
          </w:tcPr>
          <w:p>
            <w:pPr>
              <w:pStyle w:val="TableText"/>
              <w:ind w:left="315"/>
              <w:spacing w:before="41" w:line="174" w:lineRule="auto"/>
              <w:rPr>
                <w:sz w:val="20"/>
                <w:szCs w:val="20"/>
              </w:rPr>
            </w:pPr>
            <w:r>
              <w:rPr>
                <w:sz w:val="20"/>
                <w:szCs w:val="20"/>
              </w:rPr>
              <w:t>0</w:t>
            </w:r>
          </w:p>
        </w:tc>
        <w:tc>
          <w:tcPr>
            <w:tcW w:w="779" w:type="dxa"/>
            <w:vAlign w:val="top"/>
          </w:tcPr>
          <w:p>
            <w:pPr>
              <w:pStyle w:val="TableText"/>
              <w:ind w:left="86"/>
              <w:spacing w:before="41" w:line="174" w:lineRule="auto"/>
              <w:rPr>
                <w:sz w:val="20"/>
                <w:szCs w:val="20"/>
              </w:rPr>
            </w:pPr>
            <w:r>
              <w:rPr>
                <w:sz w:val="20"/>
                <w:szCs w:val="20"/>
                <w:spacing w:val="-2"/>
              </w:rPr>
              <w:t>0.1620</w:t>
            </w:r>
          </w:p>
        </w:tc>
        <w:tc>
          <w:tcPr>
            <w:tcW w:w="769" w:type="dxa"/>
            <w:vAlign w:val="top"/>
          </w:tcPr>
          <w:p>
            <w:pPr>
              <w:pStyle w:val="TableText"/>
              <w:ind w:left="327"/>
              <w:spacing w:before="41" w:line="174" w:lineRule="auto"/>
              <w:rPr>
                <w:sz w:val="20"/>
                <w:szCs w:val="20"/>
              </w:rPr>
            </w:pPr>
            <w:r>
              <w:rPr>
                <w:sz w:val="20"/>
                <w:szCs w:val="20"/>
              </w:rPr>
              <w:t>0</w:t>
            </w:r>
          </w:p>
        </w:tc>
        <w:tc>
          <w:tcPr>
            <w:tcW w:w="799" w:type="dxa"/>
            <w:vAlign w:val="top"/>
          </w:tcPr>
          <w:p>
            <w:pPr>
              <w:pStyle w:val="TableText"/>
              <w:ind w:left="348"/>
              <w:spacing w:before="41" w:line="174" w:lineRule="auto"/>
              <w:rPr>
                <w:sz w:val="20"/>
                <w:szCs w:val="20"/>
              </w:rPr>
            </w:pPr>
            <w:r>
              <w:rPr>
                <w:sz w:val="20"/>
                <w:szCs w:val="20"/>
              </w:rPr>
              <w:t>0</w:t>
            </w:r>
          </w:p>
        </w:tc>
        <w:tc>
          <w:tcPr>
            <w:tcW w:w="639" w:type="dxa"/>
            <w:vAlign w:val="top"/>
          </w:tcPr>
          <w:p>
            <w:pPr>
              <w:pStyle w:val="TableText"/>
              <w:ind w:left="268"/>
              <w:spacing w:before="41" w:line="174" w:lineRule="auto"/>
              <w:rPr>
                <w:sz w:val="20"/>
                <w:szCs w:val="20"/>
              </w:rPr>
            </w:pPr>
            <w:r>
              <w:rPr>
                <w:sz w:val="20"/>
                <w:szCs w:val="20"/>
              </w:rPr>
              <w:t>0</w:t>
            </w:r>
          </w:p>
        </w:tc>
        <w:tc>
          <w:tcPr>
            <w:tcW w:w="787" w:type="dxa"/>
            <w:vAlign w:val="top"/>
          </w:tcPr>
          <w:p>
            <w:pPr>
              <w:pStyle w:val="TableText"/>
              <w:ind w:left="340"/>
              <w:spacing w:before="41" w:line="174" w:lineRule="auto"/>
              <w:rPr>
                <w:sz w:val="20"/>
                <w:szCs w:val="20"/>
              </w:rPr>
            </w:pPr>
            <w:r>
              <w:rPr>
                <w:sz w:val="20"/>
                <w:szCs w:val="20"/>
              </w:rPr>
              <w:t>0</w:t>
            </w:r>
          </w:p>
        </w:tc>
      </w:tr>
      <w:tr>
        <w:trPr>
          <w:trHeight w:val="260" w:hRule="atLeast"/>
        </w:trPr>
        <w:tc>
          <w:tcPr>
            <w:tcW w:w="684" w:type="dxa"/>
            <w:vAlign w:val="top"/>
            <w:vMerge w:val="continue"/>
            <w:tcBorders>
              <w:top w:val="nil"/>
              <w:bottom w:val="nil"/>
            </w:tcBorders>
          </w:tcPr>
          <w:p>
            <w:pPr>
              <w:rPr>
                <w:rFonts w:ascii="Arial"/>
                <w:sz w:val="21"/>
              </w:rPr>
            </w:pPr>
            <w:r/>
          </w:p>
        </w:tc>
        <w:tc>
          <w:tcPr>
            <w:tcW w:w="270" w:type="dxa"/>
            <w:vAlign w:val="top"/>
            <w:vMerge w:val="restart"/>
            <w:textDirection w:val="tbRlV"/>
            <w:tcBorders>
              <w:bottom w:val="nil"/>
            </w:tcBorders>
          </w:tcPr>
          <w:p>
            <w:pPr>
              <w:pStyle w:val="TableText"/>
              <w:spacing w:before="56" w:line="200" w:lineRule="auto"/>
              <w:rPr>
                <w:sz w:val="20"/>
                <w:szCs w:val="20"/>
              </w:rPr>
            </w:pPr>
            <w:r>
              <w:rPr>
                <w:sz w:val="20"/>
                <w:szCs w:val="20"/>
                <w:color w:val="604040"/>
                <w:spacing w:val="-2"/>
              </w:rPr>
              <w:t>旺</w:t>
            </w:r>
            <w:r>
              <w:rPr>
                <w:sz w:val="20"/>
                <w:szCs w:val="20"/>
                <w:color w:val="604040"/>
                <w:spacing w:val="22"/>
              </w:rPr>
              <w:t xml:space="preserve"> </w:t>
            </w:r>
            <w:r>
              <w:rPr>
                <w:sz w:val="20"/>
                <w:szCs w:val="20"/>
                <w:color w:val="604040"/>
                <w:spacing w:val="-2"/>
              </w:rPr>
              <w:t>季</w:t>
            </w:r>
          </w:p>
        </w:tc>
        <w:tc>
          <w:tcPr>
            <w:tcW w:w="769" w:type="dxa"/>
            <w:vAlign w:val="top"/>
            <w:vMerge w:val="restart"/>
            <w:tcBorders>
              <w:bottom w:val="nil"/>
            </w:tcBorders>
          </w:tcPr>
          <w:p>
            <w:pPr>
              <w:pStyle w:val="TableText"/>
              <w:ind w:left="171"/>
              <w:spacing w:before="190"/>
              <w:rPr>
                <w:sz w:val="20"/>
                <w:szCs w:val="20"/>
              </w:rPr>
            </w:pPr>
            <w:r>
              <w:rPr>
                <w:sz w:val="20"/>
                <w:szCs w:val="20"/>
                <w:spacing w:val="-5"/>
              </w:rPr>
              <w:t>1080</w:t>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32"/>
              <w:spacing w:before="24" w:line="208" w:lineRule="auto"/>
              <w:rPr>
                <w:sz w:val="20"/>
                <w:szCs w:val="20"/>
              </w:rPr>
            </w:pPr>
            <w:r>
              <w:rPr>
                <w:sz w:val="20"/>
                <w:szCs w:val="20"/>
                <w:spacing w:val="-1"/>
              </w:rPr>
              <w:t>产生浓度mg/L</w:t>
            </w:r>
          </w:p>
        </w:tc>
        <w:tc>
          <w:tcPr>
            <w:tcW w:w="909" w:type="dxa"/>
            <w:vAlign w:val="top"/>
          </w:tcPr>
          <w:p>
            <w:pPr>
              <w:pStyle w:val="TableText"/>
              <w:ind w:left="344"/>
              <w:spacing w:before="50" w:line="184" w:lineRule="auto"/>
              <w:rPr>
                <w:sz w:val="20"/>
                <w:szCs w:val="20"/>
              </w:rPr>
            </w:pPr>
            <w:r>
              <w:rPr>
                <w:sz w:val="20"/>
                <w:szCs w:val="20"/>
                <w:spacing w:val="-3"/>
              </w:rPr>
              <w:t>60</w:t>
            </w:r>
          </w:p>
        </w:tc>
        <w:tc>
          <w:tcPr>
            <w:tcW w:w="739" w:type="dxa"/>
            <w:vAlign w:val="top"/>
            <w:textDirection w:val="tbRlV"/>
          </w:tcPr>
          <w:p>
            <w:pPr>
              <w:spacing w:line="247" w:lineRule="auto"/>
              <w:rPr>
                <w:rFonts w:ascii="Arial"/>
                <w:sz w:val="21"/>
              </w:rPr>
            </w:pPr>
            <w:r/>
          </w:p>
          <w:p>
            <w:pPr>
              <w:pStyle w:val="TableText"/>
              <w:ind w:left="4"/>
              <w:spacing w:before="67" w:line="130" w:lineRule="exact"/>
              <w:rPr>
                <w:sz w:val="20"/>
                <w:szCs w:val="20"/>
              </w:rPr>
            </w:pPr>
            <w:r>
              <w:rPr>
                <w:sz w:val="20"/>
                <w:szCs w:val="20"/>
                <w:spacing w:val="50"/>
                <w:w w:val="140"/>
                <w:position w:val="-1"/>
              </w:rPr>
              <w:t>/</w:t>
            </w:r>
          </w:p>
        </w:tc>
        <w:tc>
          <w:tcPr>
            <w:tcW w:w="779" w:type="dxa"/>
            <w:vAlign w:val="top"/>
          </w:tcPr>
          <w:p>
            <w:pPr>
              <w:pStyle w:val="TableText"/>
              <w:ind w:left="286"/>
              <w:spacing w:before="50" w:line="184" w:lineRule="auto"/>
              <w:rPr>
                <w:sz w:val="20"/>
                <w:szCs w:val="20"/>
              </w:rPr>
            </w:pPr>
            <w:r>
              <w:rPr>
                <w:sz w:val="20"/>
                <w:szCs w:val="20"/>
                <w:spacing w:val="-3"/>
              </w:rPr>
              <w:t>50</w:t>
            </w:r>
          </w:p>
        </w:tc>
        <w:tc>
          <w:tcPr>
            <w:tcW w:w="769" w:type="dxa"/>
            <w:vAlign w:val="top"/>
          </w:tcPr>
          <w:p>
            <w:pPr>
              <w:pStyle w:val="TableText"/>
              <w:ind w:left="327"/>
              <w:spacing w:before="36" w:line="197" w:lineRule="auto"/>
              <w:rPr>
                <w:sz w:val="20"/>
                <w:szCs w:val="20"/>
              </w:rPr>
            </w:pPr>
            <w:r>
              <w:rPr>
                <w:sz w:val="20"/>
                <w:szCs w:val="20"/>
              </w:rPr>
              <w:t>/</w:t>
            </w:r>
          </w:p>
        </w:tc>
        <w:tc>
          <w:tcPr>
            <w:tcW w:w="799" w:type="dxa"/>
            <w:vAlign w:val="top"/>
          </w:tcPr>
          <w:p>
            <w:pPr>
              <w:pStyle w:val="TableText"/>
              <w:ind w:left="348"/>
              <w:spacing w:before="36" w:line="197" w:lineRule="auto"/>
              <w:rPr>
                <w:sz w:val="20"/>
                <w:szCs w:val="20"/>
              </w:rPr>
            </w:pPr>
            <w:r>
              <w:rPr>
                <w:sz w:val="20"/>
                <w:szCs w:val="20"/>
                <w:color w:val="404040"/>
              </w:rPr>
              <w:t>/</w:t>
            </w:r>
          </w:p>
        </w:tc>
        <w:tc>
          <w:tcPr>
            <w:tcW w:w="639" w:type="dxa"/>
            <w:vAlign w:val="top"/>
          </w:tcPr>
          <w:p>
            <w:pPr>
              <w:pStyle w:val="TableText"/>
              <w:ind w:left="268"/>
              <w:spacing w:before="36" w:line="197" w:lineRule="auto"/>
              <w:rPr>
                <w:sz w:val="20"/>
                <w:szCs w:val="20"/>
              </w:rPr>
            </w:pPr>
            <w:r>
              <w:rPr>
                <w:sz w:val="20"/>
                <w:szCs w:val="20"/>
                <w:color w:val="505060"/>
              </w:rPr>
              <w:t>/</w:t>
            </w:r>
          </w:p>
        </w:tc>
        <w:tc>
          <w:tcPr>
            <w:tcW w:w="787" w:type="dxa"/>
            <w:vAlign w:val="top"/>
          </w:tcPr>
          <w:p>
            <w:pPr>
              <w:pStyle w:val="TableText"/>
              <w:ind w:left="340"/>
              <w:spacing w:before="36" w:line="197" w:lineRule="auto"/>
              <w:rPr>
                <w:sz w:val="20"/>
                <w:szCs w:val="20"/>
              </w:rPr>
            </w:pPr>
            <w:r>
              <w:rPr>
                <w:sz w:val="20"/>
                <w:szCs w:val="20"/>
                <w:color w:val="404060"/>
              </w:rPr>
              <w:t>/</w:t>
            </w:r>
          </w:p>
        </w:tc>
      </w:tr>
      <w:tr>
        <w:trPr>
          <w:trHeight w:val="270" w:hRule="atLeast"/>
        </w:trPr>
        <w:tc>
          <w:tcPr>
            <w:tcW w:w="684" w:type="dxa"/>
            <w:vAlign w:val="top"/>
            <w:vMerge w:val="continue"/>
            <w:tcBorders>
              <w:top w:val="nil"/>
              <w:bottom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181"/>
              <w:spacing w:before="41" w:line="202" w:lineRule="auto"/>
              <w:rPr>
                <w:sz w:val="20"/>
                <w:szCs w:val="20"/>
              </w:rPr>
            </w:pPr>
            <w:r>
              <w:rPr>
                <w:sz w:val="20"/>
                <w:szCs w:val="20"/>
                <w:spacing w:val="-2"/>
              </w:rPr>
              <w:t>产生量t/a</w:t>
            </w:r>
          </w:p>
        </w:tc>
        <w:tc>
          <w:tcPr>
            <w:tcW w:w="909" w:type="dxa"/>
            <w:vAlign w:val="top"/>
          </w:tcPr>
          <w:p>
            <w:pPr>
              <w:pStyle w:val="TableText"/>
              <w:ind w:left="144"/>
              <w:spacing w:before="60" w:line="184" w:lineRule="auto"/>
              <w:rPr>
                <w:sz w:val="20"/>
                <w:szCs w:val="20"/>
              </w:rPr>
            </w:pPr>
            <w:r>
              <w:rPr>
                <w:sz w:val="20"/>
                <w:szCs w:val="20"/>
                <w:spacing w:val="-2"/>
              </w:rPr>
              <w:t>0.0648</w:t>
            </w:r>
          </w:p>
        </w:tc>
        <w:tc>
          <w:tcPr>
            <w:tcW w:w="739" w:type="dxa"/>
            <w:vAlign w:val="top"/>
          </w:tcPr>
          <w:p>
            <w:pPr>
              <w:pStyle w:val="TableText"/>
              <w:ind w:left="315"/>
              <w:spacing w:before="60" w:line="184" w:lineRule="auto"/>
              <w:rPr>
                <w:sz w:val="20"/>
                <w:szCs w:val="20"/>
              </w:rPr>
            </w:pPr>
            <w:r>
              <w:rPr>
                <w:sz w:val="20"/>
                <w:szCs w:val="20"/>
              </w:rPr>
              <w:t>0</w:t>
            </w:r>
          </w:p>
        </w:tc>
        <w:tc>
          <w:tcPr>
            <w:tcW w:w="779" w:type="dxa"/>
            <w:vAlign w:val="top"/>
          </w:tcPr>
          <w:p>
            <w:pPr>
              <w:pStyle w:val="TableText"/>
              <w:ind w:left="86"/>
              <w:spacing w:before="60" w:line="184" w:lineRule="auto"/>
              <w:rPr>
                <w:sz w:val="20"/>
                <w:szCs w:val="20"/>
              </w:rPr>
            </w:pPr>
            <w:r>
              <w:rPr>
                <w:sz w:val="20"/>
                <w:szCs w:val="20"/>
                <w:spacing w:val="-2"/>
              </w:rPr>
              <w:t>0.0540</w:t>
            </w:r>
          </w:p>
        </w:tc>
        <w:tc>
          <w:tcPr>
            <w:tcW w:w="769" w:type="dxa"/>
            <w:vAlign w:val="top"/>
          </w:tcPr>
          <w:p>
            <w:pPr>
              <w:pStyle w:val="TableText"/>
              <w:ind w:left="327"/>
              <w:spacing w:before="60" w:line="184" w:lineRule="auto"/>
              <w:rPr>
                <w:sz w:val="20"/>
                <w:szCs w:val="20"/>
              </w:rPr>
            </w:pPr>
            <w:r>
              <w:rPr>
                <w:sz w:val="20"/>
                <w:szCs w:val="20"/>
              </w:rPr>
              <w:t>0</w:t>
            </w:r>
          </w:p>
        </w:tc>
        <w:tc>
          <w:tcPr>
            <w:tcW w:w="799" w:type="dxa"/>
            <w:vAlign w:val="top"/>
          </w:tcPr>
          <w:p>
            <w:pPr>
              <w:pStyle w:val="TableText"/>
              <w:ind w:left="348"/>
              <w:spacing w:before="60" w:line="184" w:lineRule="auto"/>
              <w:rPr>
                <w:sz w:val="20"/>
                <w:szCs w:val="20"/>
              </w:rPr>
            </w:pPr>
            <w:r>
              <w:rPr>
                <w:sz w:val="20"/>
                <w:szCs w:val="20"/>
              </w:rPr>
              <w:t>0</w:t>
            </w:r>
          </w:p>
        </w:tc>
        <w:tc>
          <w:tcPr>
            <w:tcW w:w="639" w:type="dxa"/>
            <w:vAlign w:val="top"/>
          </w:tcPr>
          <w:p>
            <w:pPr>
              <w:pStyle w:val="TableText"/>
              <w:ind w:left="268"/>
              <w:spacing w:before="60" w:line="184" w:lineRule="auto"/>
              <w:rPr>
                <w:sz w:val="20"/>
                <w:szCs w:val="20"/>
              </w:rPr>
            </w:pPr>
            <w:r>
              <w:rPr>
                <w:sz w:val="20"/>
                <w:szCs w:val="20"/>
              </w:rPr>
              <w:t>0</w:t>
            </w:r>
          </w:p>
        </w:tc>
        <w:tc>
          <w:tcPr>
            <w:tcW w:w="787" w:type="dxa"/>
            <w:vAlign w:val="top"/>
          </w:tcPr>
          <w:p>
            <w:pPr>
              <w:pStyle w:val="TableText"/>
              <w:ind w:left="340"/>
              <w:spacing w:before="60" w:line="184" w:lineRule="auto"/>
              <w:rPr>
                <w:sz w:val="20"/>
                <w:szCs w:val="20"/>
              </w:rPr>
            </w:pPr>
            <w:r>
              <w:rPr>
                <w:sz w:val="20"/>
                <w:szCs w:val="20"/>
              </w:rPr>
              <w:t>0</w:t>
            </w:r>
          </w:p>
        </w:tc>
      </w:tr>
      <w:tr>
        <w:trPr>
          <w:trHeight w:val="260" w:hRule="atLeast"/>
        </w:trPr>
        <w:tc>
          <w:tcPr>
            <w:tcW w:w="684" w:type="dxa"/>
            <w:vAlign w:val="top"/>
            <w:vMerge w:val="continue"/>
            <w:tcBorders>
              <w:top w:val="nil"/>
              <w:bottom w:val="nil"/>
            </w:tcBorders>
          </w:tcPr>
          <w:p>
            <w:pPr>
              <w:rPr>
                <w:rFonts w:ascii="Arial"/>
                <w:sz w:val="21"/>
              </w:rPr>
            </w:pPr>
            <w:r/>
          </w:p>
        </w:tc>
        <w:tc>
          <w:tcPr>
            <w:tcW w:w="270" w:type="dxa"/>
            <w:vAlign w:val="top"/>
            <w:vMerge w:val="restart"/>
            <w:textDirection w:val="tbRlV"/>
            <w:tcBorders>
              <w:bottom w:val="nil"/>
            </w:tcBorders>
          </w:tcPr>
          <w:p>
            <w:pPr>
              <w:pStyle w:val="TableText"/>
              <w:spacing w:before="57" w:line="200" w:lineRule="auto"/>
              <w:rPr>
                <w:sz w:val="20"/>
                <w:szCs w:val="20"/>
              </w:rPr>
            </w:pPr>
            <w:r>
              <w:rPr>
                <w:sz w:val="20"/>
                <w:szCs w:val="20"/>
                <w:color w:val="908080"/>
                <w:spacing w:val="-2"/>
              </w:rPr>
              <w:t>全</w:t>
            </w:r>
            <w:r>
              <w:rPr>
                <w:sz w:val="20"/>
                <w:szCs w:val="20"/>
                <w:color w:val="908080"/>
                <w:spacing w:val="32"/>
              </w:rPr>
              <w:t xml:space="preserve"> </w:t>
            </w:r>
            <w:r>
              <w:rPr>
                <w:sz w:val="20"/>
                <w:szCs w:val="20"/>
                <w:color w:val="908080"/>
                <w:spacing w:val="-2"/>
              </w:rPr>
              <w:t>年</w:t>
            </w:r>
          </w:p>
        </w:tc>
        <w:tc>
          <w:tcPr>
            <w:tcW w:w="769" w:type="dxa"/>
            <w:vAlign w:val="top"/>
            <w:vMerge w:val="restart"/>
            <w:tcBorders>
              <w:bottom w:val="nil"/>
            </w:tcBorders>
          </w:tcPr>
          <w:p>
            <w:pPr>
              <w:pStyle w:val="TableText"/>
              <w:ind w:left="171"/>
              <w:spacing w:before="190"/>
              <w:rPr>
                <w:sz w:val="20"/>
                <w:szCs w:val="20"/>
              </w:rPr>
            </w:pPr>
            <w:r>
              <w:rPr>
                <w:sz w:val="20"/>
                <w:szCs w:val="20"/>
                <w:spacing w:val="-2"/>
              </w:rPr>
              <w:t>4320</w:t>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32"/>
              <w:spacing w:before="24" w:line="208" w:lineRule="auto"/>
              <w:rPr>
                <w:sz w:val="20"/>
                <w:szCs w:val="20"/>
              </w:rPr>
            </w:pPr>
            <w:r>
              <w:rPr>
                <w:sz w:val="20"/>
                <w:szCs w:val="20"/>
                <w:spacing w:val="-1"/>
              </w:rPr>
              <w:t>产生浓度mg/L</w:t>
            </w:r>
          </w:p>
        </w:tc>
        <w:tc>
          <w:tcPr>
            <w:tcW w:w="909" w:type="dxa"/>
            <w:vAlign w:val="top"/>
          </w:tcPr>
          <w:p>
            <w:pPr>
              <w:pStyle w:val="TableText"/>
              <w:ind w:left="344"/>
              <w:spacing w:before="50" w:line="184" w:lineRule="auto"/>
              <w:rPr>
                <w:sz w:val="20"/>
                <w:szCs w:val="20"/>
              </w:rPr>
            </w:pPr>
            <w:r>
              <w:rPr>
                <w:sz w:val="20"/>
                <w:szCs w:val="20"/>
                <w:spacing w:val="-3"/>
              </w:rPr>
              <w:t>60</w:t>
            </w:r>
          </w:p>
        </w:tc>
        <w:tc>
          <w:tcPr>
            <w:tcW w:w="739" w:type="dxa"/>
            <w:vAlign w:val="top"/>
            <w:textDirection w:val="tbRlV"/>
          </w:tcPr>
          <w:p>
            <w:pPr>
              <w:spacing w:line="247" w:lineRule="auto"/>
              <w:rPr>
                <w:rFonts w:ascii="Arial"/>
                <w:sz w:val="21"/>
              </w:rPr>
            </w:pPr>
            <w:r/>
          </w:p>
          <w:p>
            <w:pPr>
              <w:pStyle w:val="TableText"/>
              <w:ind w:left="4"/>
              <w:spacing w:before="67" w:line="130" w:lineRule="exact"/>
              <w:rPr>
                <w:sz w:val="20"/>
                <w:szCs w:val="20"/>
              </w:rPr>
            </w:pPr>
            <w:r>
              <w:rPr>
                <w:sz w:val="20"/>
                <w:szCs w:val="20"/>
                <w:color w:val="404060"/>
                <w:spacing w:val="50"/>
                <w:w w:val="140"/>
                <w:position w:val="-1"/>
              </w:rPr>
              <w:t>/</w:t>
            </w:r>
          </w:p>
        </w:tc>
        <w:tc>
          <w:tcPr>
            <w:tcW w:w="779" w:type="dxa"/>
            <w:vAlign w:val="top"/>
          </w:tcPr>
          <w:p>
            <w:pPr>
              <w:pStyle w:val="TableText"/>
              <w:ind w:left="286"/>
              <w:spacing w:before="50" w:line="184" w:lineRule="auto"/>
              <w:rPr>
                <w:sz w:val="20"/>
                <w:szCs w:val="20"/>
              </w:rPr>
            </w:pPr>
            <w:r>
              <w:rPr>
                <w:sz w:val="20"/>
                <w:szCs w:val="20"/>
                <w:spacing w:val="-3"/>
              </w:rPr>
              <w:t>50</w:t>
            </w:r>
          </w:p>
        </w:tc>
        <w:tc>
          <w:tcPr>
            <w:tcW w:w="769" w:type="dxa"/>
            <w:vAlign w:val="top"/>
            <w:textDirection w:val="tbRlV"/>
          </w:tcPr>
          <w:p>
            <w:pPr>
              <w:spacing w:line="264" w:lineRule="auto"/>
              <w:rPr>
                <w:rFonts w:ascii="Arial"/>
                <w:sz w:val="21"/>
              </w:rPr>
            </w:pPr>
            <w:r/>
          </w:p>
          <w:p>
            <w:pPr>
              <w:pStyle w:val="TableText"/>
              <w:ind w:left="4"/>
              <w:spacing w:before="67" w:line="130" w:lineRule="exact"/>
              <w:rPr>
                <w:sz w:val="20"/>
                <w:szCs w:val="20"/>
              </w:rPr>
            </w:pPr>
            <w:r>
              <w:rPr>
                <w:sz w:val="20"/>
                <w:szCs w:val="20"/>
                <w:color w:val="404050"/>
                <w:spacing w:val="50"/>
                <w:w w:val="140"/>
                <w:position w:val="-1"/>
              </w:rPr>
              <w:t>/</w:t>
            </w:r>
          </w:p>
        </w:tc>
        <w:tc>
          <w:tcPr>
            <w:tcW w:w="799" w:type="dxa"/>
            <w:vAlign w:val="top"/>
            <w:textDirection w:val="tbRlV"/>
          </w:tcPr>
          <w:p>
            <w:pPr>
              <w:spacing w:line="273" w:lineRule="auto"/>
              <w:rPr>
                <w:rFonts w:ascii="Arial"/>
                <w:sz w:val="21"/>
              </w:rPr>
            </w:pPr>
            <w:r/>
          </w:p>
          <w:p>
            <w:pPr>
              <w:pStyle w:val="TableText"/>
              <w:ind w:left="4"/>
              <w:spacing w:before="67" w:line="130" w:lineRule="exact"/>
              <w:rPr>
                <w:sz w:val="20"/>
                <w:szCs w:val="20"/>
              </w:rPr>
            </w:pPr>
            <w:r>
              <w:rPr>
                <w:sz w:val="20"/>
                <w:szCs w:val="20"/>
                <w:color w:val="404040"/>
                <w:spacing w:val="50"/>
                <w:w w:val="140"/>
                <w:position w:val="-1"/>
              </w:rPr>
              <w:t>/</w:t>
            </w:r>
          </w:p>
        </w:tc>
        <w:tc>
          <w:tcPr>
            <w:tcW w:w="639" w:type="dxa"/>
            <w:vAlign w:val="top"/>
          </w:tcPr>
          <w:p>
            <w:pPr>
              <w:pStyle w:val="TableText"/>
              <w:ind w:left="268"/>
              <w:spacing w:before="36" w:line="197" w:lineRule="auto"/>
              <w:rPr>
                <w:sz w:val="20"/>
                <w:szCs w:val="20"/>
              </w:rPr>
            </w:pPr>
            <w:r>
              <w:rPr>
                <w:sz w:val="20"/>
                <w:szCs w:val="20"/>
                <w:color w:val="505060"/>
              </w:rPr>
              <w:t>/</w:t>
            </w:r>
          </w:p>
        </w:tc>
        <w:tc>
          <w:tcPr>
            <w:tcW w:w="787" w:type="dxa"/>
            <w:vAlign w:val="top"/>
            <w:textDirection w:val="tbRlV"/>
          </w:tcPr>
          <w:p>
            <w:pPr>
              <w:spacing w:line="269" w:lineRule="auto"/>
              <w:rPr>
                <w:rFonts w:ascii="Arial"/>
                <w:sz w:val="21"/>
              </w:rPr>
            </w:pPr>
            <w:r/>
          </w:p>
          <w:p>
            <w:pPr>
              <w:pStyle w:val="TableText"/>
              <w:ind w:left="4"/>
              <w:spacing w:before="67" w:line="130" w:lineRule="exact"/>
              <w:rPr>
                <w:sz w:val="20"/>
                <w:szCs w:val="20"/>
              </w:rPr>
            </w:pPr>
            <w:r>
              <w:rPr>
                <w:sz w:val="20"/>
                <w:szCs w:val="20"/>
                <w:color w:val="404060"/>
                <w:spacing w:val="50"/>
                <w:w w:val="140"/>
                <w:position w:val="-1"/>
              </w:rPr>
              <w:t>/</w:t>
            </w:r>
          </w:p>
        </w:tc>
      </w:tr>
      <w:tr>
        <w:trPr>
          <w:trHeight w:val="270" w:hRule="atLeast"/>
        </w:trPr>
        <w:tc>
          <w:tcPr>
            <w:tcW w:w="684" w:type="dxa"/>
            <w:vAlign w:val="top"/>
            <w:vMerge w:val="continue"/>
            <w:tcBorders>
              <w:top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0" w:type="dxa"/>
            <w:vAlign w:val="top"/>
            <w:vMerge w:val="continue"/>
            <w:textDirection w:val="tbRlV"/>
            <w:tcBorders>
              <w:top w:val="nil"/>
            </w:tcBorders>
          </w:tcPr>
          <w:p>
            <w:pPr>
              <w:spacing w:line="240" w:lineRule="exact"/>
              <w:rPr>
                <w:rFonts w:ascii="Arial"/>
                <w:sz w:val="20"/>
              </w:rPr>
            </w:pPr>
            <w:r/>
          </w:p>
        </w:tc>
        <w:tc>
          <w:tcPr>
            <w:tcW w:w="1288" w:type="dxa"/>
            <w:vAlign w:val="top"/>
          </w:tcPr>
          <w:p>
            <w:pPr>
              <w:pStyle w:val="TableText"/>
              <w:ind w:left="181"/>
              <w:spacing w:before="41" w:line="202" w:lineRule="auto"/>
              <w:rPr>
                <w:sz w:val="20"/>
                <w:szCs w:val="20"/>
              </w:rPr>
            </w:pPr>
            <w:r>
              <w:rPr>
                <w:sz w:val="20"/>
                <w:szCs w:val="20"/>
                <w:spacing w:val="-2"/>
              </w:rPr>
              <w:t>产生量t/a</w:t>
            </w:r>
          </w:p>
        </w:tc>
        <w:tc>
          <w:tcPr>
            <w:tcW w:w="909" w:type="dxa"/>
            <w:vAlign w:val="top"/>
          </w:tcPr>
          <w:p>
            <w:pPr>
              <w:pStyle w:val="TableText"/>
              <w:ind w:left="144"/>
              <w:spacing w:before="60" w:line="184" w:lineRule="auto"/>
              <w:rPr>
                <w:sz w:val="20"/>
                <w:szCs w:val="20"/>
              </w:rPr>
            </w:pPr>
            <w:r>
              <w:rPr>
                <w:sz w:val="20"/>
                <w:szCs w:val="20"/>
                <w:spacing w:val="-2"/>
              </w:rPr>
              <w:t>0.2592</w:t>
            </w:r>
          </w:p>
        </w:tc>
        <w:tc>
          <w:tcPr>
            <w:tcW w:w="739" w:type="dxa"/>
            <w:vAlign w:val="top"/>
          </w:tcPr>
          <w:p>
            <w:pPr>
              <w:pStyle w:val="TableText"/>
              <w:ind w:left="315"/>
              <w:spacing w:before="60" w:line="184" w:lineRule="auto"/>
              <w:rPr>
                <w:sz w:val="20"/>
                <w:szCs w:val="20"/>
              </w:rPr>
            </w:pPr>
            <w:r>
              <w:rPr>
                <w:sz w:val="20"/>
                <w:szCs w:val="20"/>
              </w:rPr>
              <w:t>0</w:t>
            </w:r>
          </w:p>
        </w:tc>
        <w:tc>
          <w:tcPr>
            <w:tcW w:w="779" w:type="dxa"/>
            <w:vAlign w:val="top"/>
          </w:tcPr>
          <w:p>
            <w:pPr>
              <w:pStyle w:val="TableText"/>
              <w:ind w:left="86"/>
              <w:spacing w:before="60" w:line="184" w:lineRule="auto"/>
              <w:rPr>
                <w:sz w:val="20"/>
                <w:szCs w:val="20"/>
              </w:rPr>
            </w:pPr>
            <w:r>
              <w:rPr>
                <w:sz w:val="20"/>
                <w:szCs w:val="20"/>
                <w:spacing w:val="-2"/>
              </w:rPr>
              <w:t>0.2160</w:t>
            </w:r>
          </w:p>
        </w:tc>
        <w:tc>
          <w:tcPr>
            <w:tcW w:w="769" w:type="dxa"/>
            <w:vAlign w:val="top"/>
          </w:tcPr>
          <w:p>
            <w:pPr>
              <w:pStyle w:val="TableText"/>
              <w:ind w:left="327"/>
              <w:spacing w:before="60" w:line="184" w:lineRule="auto"/>
              <w:rPr>
                <w:sz w:val="20"/>
                <w:szCs w:val="20"/>
              </w:rPr>
            </w:pPr>
            <w:r>
              <w:rPr>
                <w:sz w:val="20"/>
                <w:szCs w:val="20"/>
              </w:rPr>
              <w:t>0</w:t>
            </w:r>
          </w:p>
        </w:tc>
        <w:tc>
          <w:tcPr>
            <w:tcW w:w="799" w:type="dxa"/>
            <w:vAlign w:val="top"/>
          </w:tcPr>
          <w:p>
            <w:pPr>
              <w:pStyle w:val="TableText"/>
              <w:ind w:left="348"/>
              <w:spacing w:before="60" w:line="184" w:lineRule="auto"/>
              <w:rPr>
                <w:sz w:val="20"/>
                <w:szCs w:val="20"/>
              </w:rPr>
            </w:pPr>
            <w:r>
              <w:rPr>
                <w:sz w:val="20"/>
                <w:szCs w:val="20"/>
              </w:rPr>
              <w:t>0</w:t>
            </w:r>
          </w:p>
        </w:tc>
        <w:tc>
          <w:tcPr>
            <w:tcW w:w="639" w:type="dxa"/>
            <w:vAlign w:val="top"/>
          </w:tcPr>
          <w:p>
            <w:pPr>
              <w:pStyle w:val="TableText"/>
              <w:ind w:left="268"/>
              <w:spacing w:before="60" w:line="184" w:lineRule="auto"/>
              <w:rPr>
                <w:sz w:val="20"/>
                <w:szCs w:val="20"/>
              </w:rPr>
            </w:pPr>
            <w:r>
              <w:rPr>
                <w:sz w:val="20"/>
                <w:szCs w:val="20"/>
              </w:rPr>
              <w:t>0</w:t>
            </w:r>
          </w:p>
        </w:tc>
        <w:tc>
          <w:tcPr>
            <w:tcW w:w="787" w:type="dxa"/>
            <w:vAlign w:val="top"/>
          </w:tcPr>
          <w:p>
            <w:pPr>
              <w:pStyle w:val="TableText"/>
              <w:ind w:left="340"/>
              <w:spacing w:before="60" w:line="184" w:lineRule="auto"/>
              <w:rPr>
                <w:sz w:val="20"/>
                <w:szCs w:val="20"/>
              </w:rPr>
            </w:pPr>
            <w:r>
              <w:rPr>
                <w:sz w:val="20"/>
                <w:szCs w:val="20"/>
              </w:rPr>
              <w:t>0</w:t>
            </w:r>
          </w:p>
        </w:tc>
      </w:tr>
      <w:tr>
        <w:trPr>
          <w:trHeight w:val="239" w:hRule="atLeast"/>
        </w:trPr>
        <w:tc>
          <w:tcPr>
            <w:tcW w:w="684" w:type="dxa"/>
            <w:vAlign w:val="top"/>
            <w:vMerge w:val="restart"/>
            <w:tcBorders>
              <w:bottom w:val="nil"/>
            </w:tcBorders>
          </w:tcPr>
          <w:p>
            <w:pPr>
              <w:spacing w:line="246" w:lineRule="auto"/>
              <w:rPr>
                <w:rFonts w:ascii="Arial"/>
                <w:sz w:val="21"/>
              </w:rPr>
            </w:pPr>
            <w:r/>
          </w:p>
          <w:p>
            <w:pPr>
              <w:spacing w:line="246" w:lineRule="auto"/>
              <w:rPr>
                <w:rFonts w:ascii="Arial"/>
                <w:sz w:val="21"/>
              </w:rPr>
            </w:pPr>
            <w:r/>
          </w:p>
          <w:p>
            <w:pPr>
              <w:pStyle w:val="TableText"/>
              <w:ind w:left="234" w:right="23" w:hanging="199"/>
              <w:spacing w:before="65" w:line="251" w:lineRule="auto"/>
              <w:rPr>
                <w:sz w:val="20"/>
                <w:szCs w:val="20"/>
              </w:rPr>
            </w:pPr>
            <w:r>
              <w:rPr>
                <w:sz w:val="20"/>
                <w:szCs w:val="20"/>
                <w:spacing w:val="5"/>
              </w:rPr>
              <w:t>初期雨</w:t>
            </w:r>
            <w:r>
              <w:rPr>
                <w:sz w:val="20"/>
                <w:szCs w:val="20"/>
              </w:rPr>
              <w:t xml:space="preserve"> </w:t>
            </w:r>
            <w:r>
              <w:rPr>
                <w:sz w:val="20"/>
                <w:szCs w:val="20"/>
              </w:rPr>
              <w:t>水</w:t>
            </w:r>
          </w:p>
        </w:tc>
        <w:tc>
          <w:tcPr>
            <w:tcW w:w="270" w:type="dxa"/>
            <w:vAlign w:val="top"/>
            <w:vMerge w:val="restart"/>
            <w:textDirection w:val="tbRlV"/>
            <w:tcBorders>
              <w:bottom w:val="nil"/>
            </w:tcBorders>
          </w:tcPr>
          <w:p>
            <w:pPr>
              <w:pStyle w:val="TableText"/>
              <w:spacing w:before="57" w:line="199" w:lineRule="auto"/>
              <w:jc w:val="right"/>
              <w:rPr>
                <w:sz w:val="20"/>
                <w:szCs w:val="20"/>
              </w:rPr>
            </w:pPr>
            <w:r>
              <w:rPr>
                <w:sz w:val="20"/>
                <w:szCs w:val="20"/>
                <w:color w:val="706060"/>
                <w:spacing w:val="-5"/>
              </w:rPr>
              <w:t>淡</w:t>
            </w:r>
            <w:r>
              <w:rPr>
                <w:sz w:val="20"/>
                <w:szCs w:val="20"/>
                <w:color w:val="706060"/>
                <w:spacing w:val="15"/>
              </w:rPr>
              <w:t xml:space="preserve"> </w:t>
            </w:r>
            <w:r>
              <w:rPr>
                <w:sz w:val="20"/>
                <w:szCs w:val="20"/>
                <w:color w:val="706060"/>
                <w:spacing w:val="-5"/>
              </w:rPr>
              <w:t>季</w:t>
            </w:r>
          </w:p>
        </w:tc>
        <w:tc>
          <w:tcPr>
            <w:tcW w:w="769" w:type="dxa"/>
            <w:vAlign w:val="top"/>
            <w:vMerge w:val="restart"/>
            <w:tcBorders>
              <w:bottom w:val="nil"/>
            </w:tcBorders>
          </w:tcPr>
          <w:p>
            <w:pPr>
              <w:pStyle w:val="TableText"/>
              <w:ind w:left="221"/>
              <w:spacing w:before="180"/>
              <w:rPr>
                <w:sz w:val="20"/>
                <w:szCs w:val="20"/>
              </w:rPr>
            </w:pPr>
            <w:r>
              <w:rPr>
                <w:sz w:val="20"/>
                <w:szCs w:val="20"/>
                <w:spacing w:val="-2"/>
              </w:rPr>
              <w:t>459</w:t>
            </w:r>
          </w:p>
        </w:tc>
        <w:tc>
          <w:tcPr>
            <w:tcW w:w="250" w:type="dxa"/>
            <w:vAlign w:val="top"/>
            <w:vMerge w:val="restart"/>
            <w:textDirection w:val="tbRlV"/>
            <w:tcBorders>
              <w:bottom w:val="nil"/>
            </w:tcBorders>
          </w:tcPr>
          <w:p>
            <w:pPr>
              <w:pStyle w:val="TableText"/>
              <w:ind w:left="427"/>
              <w:spacing w:before="35" w:line="201" w:lineRule="auto"/>
              <w:rPr>
                <w:sz w:val="20"/>
                <w:szCs w:val="20"/>
              </w:rPr>
            </w:pPr>
            <w:r>
              <w:rPr>
                <w:sz w:val="20"/>
                <w:szCs w:val="20"/>
              </w:rPr>
              <w:t>处</w:t>
            </w:r>
            <w:r>
              <w:rPr>
                <w:sz w:val="20"/>
                <w:szCs w:val="20"/>
                <w:spacing w:val="-56"/>
              </w:rPr>
              <w:t xml:space="preserve"> </w:t>
            </w:r>
            <w:r>
              <w:rPr>
                <w:sz w:val="20"/>
                <w:szCs w:val="20"/>
              </w:rPr>
              <w:t>理</w:t>
            </w:r>
            <w:r>
              <w:rPr>
                <w:sz w:val="20"/>
                <w:szCs w:val="20"/>
                <w:spacing w:val="6"/>
              </w:rPr>
              <w:t xml:space="preserve"> </w:t>
            </w:r>
            <w:r>
              <w:rPr>
                <w:sz w:val="20"/>
                <w:szCs w:val="20"/>
              </w:rPr>
              <w:t>前</w:t>
            </w:r>
          </w:p>
        </w:tc>
        <w:tc>
          <w:tcPr>
            <w:tcW w:w="1288" w:type="dxa"/>
            <w:vAlign w:val="top"/>
          </w:tcPr>
          <w:p>
            <w:pPr>
              <w:pStyle w:val="TableText"/>
              <w:ind w:left="32"/>
              <w:spacing w:before="14" w:line="198" w:lineRule="auto"/>
              <w:rPr>
                <w:sz w:val="20"/>
                <w:szCs w:val="20"/>
              </w:rPr>
            </w:pPr>
            <w:r>
              <w:rPr>
                <w:sz w:val="20"/>
                <w:szCs w:val="20"/>
                <w:spacing w:val="-1"/>
              </w:rPr>
              <w:t>产生浓度mg/L</w:t>
            </w:r>
          </w:p>
        </w:tc>
        <w:tc>
          <w:tcPr>
            <w:tcW w:w="909" w:type="dxa"/>
            <w:vAlign w:val="top"/>
          </w:tcPr>
          <w:p>
            <w:pPr>
              <w:pStyle w:val="TableText"/>
              <w:ind w:left="294"/>
              <w:spacing w:before="41" w:line="173" w:lineRule="auto"/>
              <w:rPr>
                <w:sz w:val="20"/>
                <w:szCs w:val="20"/>
              </w:rPr>
            </w:pPr>
            <w:r>
              <w:rPr>
                <w:sz w:val="20"/>
                <w:szCs w:val="20"/>
                <w:spacing w:val="-3"/>
              </w:rPr>
              <w:t>300</w:t>
            </w:r>
          </w:p>
        </w:tc>
        <w:tc>
          <w:tcPr>
            <w:tcW w:w="739" w:type="dxa"/>
            <w:vAlign w:val="top"/>
          </w:tcPr>
          <w:p>
            <w:pPr>
              <w:pStyle w:val="TableText"/>
              <w:ind w:left="215"/>
              <w:spacing w:before="41" w:line="173" w:lineRule="auto"/>
              <w:rPr>
                <w:sz w:val="20"/>
                <w:szCs w:val="20"/>
              </w:rPr>
            </w:pPr>
            <w:r>
              <w:rPr>
                <w:sz w:val="20"/>
                <w:szCs w:val="20"/>
                <w:spacing w:val="-3"/>
              </w:rPr>
              <w:t>200</w:t>
            </w:r>
          </w:p>
        </w:tc>
        <w:tc>
          <w:tcPr>
            <w:tcW w:w="779" w:type="dxa"/>
            <w:vAlign w:val="top"/>
          </w:tcPr>
          <w:p>
            <w:pPr>
              <w:pStyle w:val="TableText"/>
              <w:ind w:left="236"/>
              <w:spacing w:before="41" w:line="173" w:lineRule="auto"/>
              <w:rPr>
                <w:sz w:val="20"/>
                <w:szCs w:val="20"/>
              </w:rPr>
            </w:pPr>
            <w:r>
              <w:rPr>
                <w:sz w:val="20"/>
                <w:szCs w:val="20"/>
                <w:spacing w:val="-3"/>
              </w:rPr>
              <w:t>500</w:t>
            </w:r>
          </w:p>
        </w:tc>
        <w:tc>
          <w:tcPr>
            <w:tcW w:w="769" w:type="dxa"/>
            <w:vAlign w:val="top"/>
          </w:tcPr>
          <w:p>
            <w:pPr>
              <w:pStyle w:val="TableText"/>
              <w:ind w:left="277"/>
              <w:spacing w:before="41" w:line="173" w:lineRule="auto"/>
              <w:rPr>
                <w:sz w:val="20"/>
                <w:szCs w:val="20"/>
              </w:rPr>
            </w:pPr>
            <w:r>
              <w:rPr>
                <w:sz w:val="20"/>
                <w:szCs w:val="20"/>
                <w:spacing w:val="-3"/>
              </w:rPr>
              <w:t>35</w:t>
            </w:r>
          </w:p>
        </w:tc>
        <w:tc>
          <w:tcPr>
            <w:tcW w:w="799" w:type="dxa"/>
            <w:vAlign w:val="top"/>
          </w:tcPr>
          <w:p>
            <w:pPr>
              <w:pStyle w:val="TableText"/>
              <w:ind w:left="297"/>
              <w:spacing w:before="41" w:line="173" w:lineRule="auto"/>
              <w:rPr>
                <w:sz w:val="20"/>
                <w:szCs w:val="20"/>
              </w:rPr>
            </w:pPr>
            <w:r>
              <w:rPr>
                <w:sz w:val="20"/>
                <w:szCs w:val="20"/>
                <w:spacing w:val="-3"/>
              </w:rPr>
              <w:t>50</w:t>
            </w:r>
          </w:p>
        </w:tc>
        <w:tc>
          <w:tcPr>
            <w:tcW w:w="639" w:type="dxa"/>
            <w:vAlign w:val="top"/>
          </w:tcPr>
          <w:p>
            <w:pPr>
              <w:pStyle w:val="TableText"/>
              <w:ind w:left="268"/>
              <w:spacing w:before="41" w:line="173" w:lineRule="auto"/>
              <w:rPr>
                <w:sz w:val="20"/>
                <w:szCs w:val="20"/>
              </w:rPr>
            </w:pPr>
            <w:r>
              <w:rPr>
                <w:sz w:val="20"/>
                <w:szCs w:val="20"/>
                <w:color w:val="605040"/>
              </w:rPr>
              <w:t>1</w:t>
            </w:r>
          </w:p>
        </w:tc>
        <w:tc>
          <w:tcPr>
            <w:tcW w:w="787" w:type="dxa"/>
            <w:vAlign w:val="top"/>
          </w:tcPr>
          <w:p>
            <w:pPr>
              <w:pStyle w:val="TableText"/>
              <w:ind w:left="340"/>
              <w:spacing w:before="26" w:line="187" w:lineRule="auto"/>
              <w:rPr>
                <w:sz w:val="20"/>
                <w:szCs w:val="20"/>
              </w:rPr>
            </w:pPr>
            <w:r>
              <w:rPr>
                <w:sz w:val="20"/>
                <w:szCs w:val="20"/>
                <w:color w:val="404060"/>
              </w:rPr>
              <w:t>/</w:t>
            </w:r>
          </w:p>
        </w:tc>
      </w:tr>
      <w:tr>
        <w:trPr>
          <w:trHeight w:val="260" w:hRule="atLeast"/>
        </w:trPr>
        <w:tc>
          <w:tcPr>
            <w:tcW w:w="684" w:type="dxa"/>
            <w:vAlign w:val="top"/>
            <w:vMerge w:val="continue"/>
            <w:tcBorders>
              <w:top w:val="nil"/>
              <w:bottom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181"/>
              <w:spacing w:before="32" w:line="201" w:lineRule="auto"/>
              <w:rPr>
                <w:sz w:val="20"/>
                <w:szCs w:val="20"/>
              </w:rPr>
            </w:pPr>
            <w:r>
              <w:rPr>
                <w:sz w:val="20"/>
                <w:szCs w:val="20"/>
                <w:spacing w:val="-2"/>
              </w:rPr>
              <w:t>产生量t/a</w:t>
            </w:r>
          </w:p>
        </w:tc>
        <w:tc>
          <w:tcPr>
            <w:tcW w:w="909" w:type="dxa"/>
            <w:vAlign w:val="top"/>
          </w:tcPr>
          <w:p>
            <w:pPr>
              <w:pStyle w:val="TableText"/>
              <w:ind w:left="144"/>
              <w:spacing w:before="51" w:line="183" w:lineRule="auto"/>
              <w:rPr>
                <w:sz w:val="20"/>
                <w:szCs w:val="20"/>
              </w:rPr>
            </w:pPr>
            <w:r>
              <w:rPr>
                <w:sz w:val="20"/>
                <w:szCs w:val="20"/>
                <w:spacing w:val="-2"/>
              </w:rPr>
              <w:t>0.1377</w:t>
            </w:r>
          </w:p>
        </w:tc>
        <w:tc>
          <w:tcPr>
            <w:tcW w:w="739" w:type="dxa"/>
            <w:vAlign w:val="top"/>
          </w:tcPr>
          <w:p>
            <w:pPr>
              <w:pStyle w:val="TableText"/>
              <w:ind w:left="64"/>
              <w:spacing w:before="51" w:line="183" w:lineRule="auto"/>
              <w:rPr>
                <w:sz w:val="20"/>
                <w:szCs w:val="20"/>
              </w:rPr>
            </w:pPr>
            <w:r>
              <w:rPr>
                <w:sz w:val="20"/>
                <w:szCs w:val="20"/>
                <w:spacing w:val="-2"/>
              </w:rPr>
              <w:t>0.0918</w:t>
            </w:r>
          </w:p>
        </w:tc>
        <w:tc>
          <w:tcPr>
            <w:tcW w:w="779" w:type="dxa"/>
            <w:vAlign w:val="top"/>
          </w:tcPr>
          <w:p>
            <w:pPr>
              <w:pStyle w:val="TableText"/>
              <w:ind w:left="86"/>
              <w:spacing w:before="51" w:line="183" w:lineRule="auto"/>
              <w:rPr>
                <w:sz w:val="20"/>
                <w:szCs w:val="20"/>
              </w:rPr>
            </w:pPr>
            <w:r>
              <w:rPr>
                <w:sz w:val="20"/>
                <w:szCs w:val="20"/>
                <w:spacing w:val="-2"/>
              </w:rPr>
              <w:t>0.2295</w:t>
            </w:r>
          </w:p>
        </w:tc>
        <w:tc>
          <w:tcPr>
            <w:tcW w:w="769" w:type="dxa"/>
            <w:vAlign w:val="top"/>
          </w:tcPr>
          <w:p>
            <w:pPr>
              <w:pStyle w:val="TableText"/>
              <w:ind w:left="77"/>
              <w:spacing w:before="51" w:line="183" w:lineRule="auto"/>
              <w:rPr>
                <w:sz w:val="20"/>
                <w:szCs w:val="20"/>
              </w:rPr>
            </w:pPr>
            <w:r>
              <w:rPr>
                <w:sz w:val="20"/>
                <w:szCs w:val="20"/>
                <w:spacing w:val="-2"/>
              </w:rPr>
              <w:t>0.0161</w:t>
            </w:r>
          </w:p>
        </w:tc>
        <w:tc>
          <w:tcPr>
            <w:tcW w:w="799" w:type="dxa"/>
            <w:vAlign w:val="top"/>
          </w:tcPr>
          <w:p>
            <w:pPr>
              <w:pStyle w:val="TableText"/>
              <w:ind w:left="98"/>
              <w:spacing w:before="51" w:line="183" w:lineRule="auto"/>
              <w:rPr>
                <w:sz w:val="20"/>
                <w:szCs w:val="20"/>
              </w:rPr>
            </w:pPr>
            <w:r>
              <w:rPr>
                <w:sz w:val="20"/>
                <w:szCs w:val="20"/>
                <w:spacing w:val="-2"/>
              </w:rPr>
              <w:t>0.0230</w:t>
            </w:r>
          </w:p>
        </w:tc>
        <w:tc>
          <w:tcPr>
            <w:tcW w:w="639" w:type="dxa"/>
            <w:vAlign w:val="top"/>
          </w:tcPr>
          <w:p>
            <w:pPr>
              <w:pStyle w:val="TableText"/>
              <w:ind w:left="18"/>
              <w:spacing w:before="51" w:line="183" w:lineRule="auto"/>
              <w:rPr>
                <w:sz w:val="20"/>
                <w:szCs w:val="20"/>
              </w:rPr>
            </w:pPr>
            <w:r>
              <w:rPr>
                <w:sz w:val="20"/>
                <w:szCs w:val="20"/>
                <w:spacing w:val="-2"/>
              </w:rPr>
              <w:t>0.0005</w:t>
            </w:r>
          </w:p>
        </w:tc>
        <w:tc>
          <w:tcPr>
            <w:tcW w:w="787" w:type="dxa"/>
            <w:vAlign w:val="top"/>
          </w:tcPr>
          <w:p>
            <w:pPr>
              <w:pStyle w:val="TableText"/>
              <w:ind w:left="340"/>
              <w:spacing w:before="51" w:line="183" w:lineRule="auto"/>
              <w:rPr>
                <w:sz w:val="20"/>
                <w:szCs w:val="20"/>
              </w:rPr>
            </w:pPr>
            <w:r>
              <w:rPr>
                <w:sz w:val="20"/>
                <w:szCs w:val="20"/>
              </w:rPr>
              <w:t>0</w:t>
            </w:r>
          </w:p>
        </w:tc>
      </w:tr>
      <w:tr>
        <w:trPr>
          <w:trHeight w:val="270" w:hRule="atLeast"/>
        </w:trPr>
        <w:tc>
          <w:tcPr>
            <w:tcW w:w="684" w:type="dxa"/>
            <w:vAlign w:val="top"/>
            <w:vMerge w:val="continue"/>
            <w:tcBorders>
              <w:top w:val="nil"/>
              <w:bottom w:val="nil"/>
            </w:tcBorders>
          </w:tcPr>
          <w:p>
            <w:pPr>
              <w:rPr>
                <w:rFonts w:ascii="Arial"/>
                <w:sz w:val="21"/>
              </w:rPr>
            </w:pPr>
            <w:r/>
          </w:p>
        </w:tc>
        <w:tc>
          <w:tcPr>
            <w:tcW w:w="270" w:type="dxa"/>
            <w:vAlign w:val="top"/>
            <w:vMerge w:val="restart"/>
            <w:textDirection w:val="tbRlV"/>
            <w:tcBorders>
              <w:bottom w:val="nil"/>
            </w:tcBorders>
          </w:tcPr>
          <w:p>
            <w:pPr>
              <w:pStyle w:val="TableText"/>
              <w:spacing w:before="56" w:line="200" w:lineRule="auto"/>
              <w:rPr>
                <w:sz w:val="20"/>
                <w:szCs w:val="20"/>
              </w:rPr>
            </w:pPr>
            <w:r>
              <w:rPr>
                <w:sz w:val="20"/>
                <w:szCs w:val="20"/>
                <w:color w:val="706060"/>
                <w:spacing w:val="-3"/>
              </w:rPr>
              <w:t>旺</w:t>
            </w:r>
            <w:r>
              <w:rPr>
                <w:sz w:val="20"/>
                <w:szCs w:val="20"/>
                <w:color w:val="706060"/>
                <w:spacing w:val="38"/>
              </w:rPr>
              <w:t xml:space="preserve"> </w:t>
            </w:r>
            <w:r>
              <w:rPr>
                <w:sz w:val="20"/>
                <w:szCs w:val="20"/>
                <w:color w:val="706060"/>
                <w:spacing w:val="-3"/>
              </w:rPr>
              <w:t>季</w:t>
            </w:r>
          </w:p>
        </w:tc>
        <w:tc>
          <w:tcPr>
            <w:tcW w:w="769" w:type="dxa"/>
            <w:vAlign w:val="top"/>
            <w:vMerge w:val="restart"/>
            <w:tcBorders>
              <w:bottom w:val="nil"/>
            </w:tcBorders>
          </w:tcPr>
          <w:p>
            <w:pPr>
              <w:pStyle w:val="TableText"/>
              <w:ind w:left="221"/>
              <w:spacing w:before="191"/>
              <w:rPr>
                <w:sz w:val="20"/>
                <w:szCs w:val="20"/>
              </w:rPr>
            </w:pPr>
            <w:r>
              <w:rPr>
                <w:sz w:val="20"/>
                <w:szCs w:val="20"/>
                <w:spacing w:val="-6"/>
              </w:rPr>
              <w:t>153</w:t>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32"/>
              <w:spacing w:before="35" w:line="207" w:lineRule="auto"/>
              <w:rPr>
                <w:sz w:val="20"/>
                <w:szCs w:val="20"/>
              </w:rPr>
            </w:pPr>
            <w:r>
              <w:rPr>
                <w:sz w:val="20"/>
                <w:szCs w:val="20"/>
                <w:spacing w:val="-1"/>
              </w:rPr>
              <w:t>产生浓度mg/L</w:t>
            </w:r>
          </w:p>
        </w:tc>
        <w:tc>
          <w:tcPr>
            <w:tcW w:w="909" w:type="dxa"/>
            <w:vAlign w:val="top"/>
          </w:tcPr>
          <w:p>
            <w:pPr>
              <w:pStyle w:val="TableText"/>
              <w:ind w:left="294"/>
              <w:spacing w:before="61" w:line="183" w:lineRule="auto"/>
              <w:rPr>
                <w:sz w:val="20"/>
                <w:szCs w:val="20"/>
              </w:rPr>
            </w:pPr>
            <w:r>
              <w:rPr>
                <w:sz w:val="20"/>
                <w:szCs w:val="20"/>
                <w:spacing w:val="-3"/>
              </w:rPr>
              <w:t>300</w:t>
            </w:r>
          </w:p>
        </w:tc>
        <w:tc>
          <w:tcPr>
            <w:tcW w:w="739" w:type="dxa"/>
            <w:vAlign w:val="top"/>
          </w:tcPr>
          <w:p>
            <w:pPr>
              <w:pStyle w:val="TableText"/>
              <w:ind w:left="215"/>
              <w:spacing w:before="61" w:line="183" w:lineRule="auto"/>
              <w:rPr>
                <w:sz w:val="20"/>
                <w:szCs w:val="20"/>
              </w:rPr>
            </w:pPr>
            <w:r>
              <w:rPr>
                <w:sz w:val="20"/>
                <w:szCs w:val="20"/>
                <w:spacing w:val="-3"/>
              </w:rPr>
              <w:t>200</w:t>
            </w:r>
          </w:p>
        </w:tc>
        <w:tc>
          <w:tcPr>
            <w:tcW w:w="779" w:type="dxa"/>
            <w:vAlign w:val="top"/>
          </w:tcPr>
          <w:p>
            <w:pPr>
              <w:pStyle w:val="TableText"/>
              <w:ind w:left="236"/>
              <w:spacing w:before="61" w:line="183" w:lineRule="auto"/>
              <w:rPr>
                <w:sz w:val="20"/>
                <w:szCs w:val="20"/>
              </w:rPr>
            </w:pPr>
            <w:r>
              <w:rPr>
                <w:sz w:val="20"/>
                <w:szCs w:val="20"/>
                <w:spacing w:val="-3"/>
              </w:rPr>
              <w:t>500</w:t>
            </w:r>
          </w:p>
        </w:tc>
        <w:tc>
          <w:tcPr>
            <w:tcW w:w="769" w:type="dxa"/>
            <w:vAlign w:val="top"/>
          </w:tcPr>
          <w:p>
            <w:pPr>
              <w:pStyle w:val="TableText"/>
              <w:ind w:left="277"/>
              <w:spacing w:before="61" w:line="183" w:lineRule="auto"/>
              <w:rPr>
                <w:sz w:val="20"/>
                <w:szCs w:val="20"/>
              </w:rPr>
            </w:pPr>
            <w:r>
              <w:rPr>
                <w:sz w:val="20"/>
                <w:szCs w:val="20"/>
                <w:spacing w:val="-3"/>
              </w:rPr>
              <w:t>35</w:t>
            </w:r>
          </w:p>
        </w:tc>
        <w:tc>
          <w:tcPr>
            <w:tcW w:w="799" w:type="dxa"/>
            <w:vAlign w:val="top"/>
          </w:tcPr>
          <w:p>
            <w:pPr>
              <w:pStyle w:val="TableText"/>
              <w:ind w:left="297"/>
              <w:spacing w:before="61" w:line="183" w:lineRule="auto"/>
              <w:rPr>
                <w:sz w:val="20"/>
                <w:szCs w:val="20"/>
              </w:rPr>
            </w:pPr>
            <w:r>
              <w:rPr>
                <w:sz w:val="20"/>
                <w:szCs w:val="20"/>
                <w:spacing w:val="-3"/>
              </w:rPr>
              <w:t>50</w:t>
            </w:r>
          </w:p>
        </w:tc>
        <w:tc>
          <w:tcPr>
            <w:tcW w:w="639" w:type="dxa"/>
            <w:vAlign w:val="top"/>
          </w:tcPr>
          <w:p>
            <w:pPr>
              <w:pStyle w:val="TableText"/>
              <w:ind w:left="268"/>
              <w:spacing w:before="61" w:line="183" w:lineRule="auto"/>
              <w:rPr>
                <w:sz w:val="20"/>
                <w:szCs w:val="20"/>
              </w:rPr>
            </w:pPr>
            <w:r>
              <w:rPr>
                <w:sz w:val="20"/>
                <w:szCs w:val="20"/>
                <w:color w:val="506050"/>
              </w:rPr>
              <w:t>1</w:t>
            </w:r>
          </w:p>
        </w:tc>
        <w:tc>
          <w:tcPr>
            <w:tcW w:w="787" w:type="dxa"/>
            <w:vAlign w:val="top"/>
          </w:tcPr>
          <w:p>
            <w:pPr>
              <w:pStyle w:val="TableText"/>
              <w:ind w:left="340"/>
              <w:spacing w:before="47" w:line="196" w:lineRule="auto"/>
              <w:rPr>
                <w:sz w:val="20"/>
                <w:szCs w:val="20"/>
              </w:rPr>
            </w:pPr>
            <w:r>
              <w:rPr>
                <w:sz w:val="20"/>
                <w:szCs w:val="20"/>
                <w:color w:val="405060"/>
              </w:rPr>
              <w:t>/</w:t>
            </w:r>
          </w:p>
        </w:tc>
      </w:tr>
      <w:tr>
        <w:trPr>
          <w:trHeight w:val="260" w:hRule="atLeast"/>
        </w:trPr>
        <w:tc>
          <w:tcPr>
            <w:tcW w:w="684" w:type="dxa"/>
            <w:vAlign w:val="top"/>
            <w:vMerge w:val="continue"/>
            <w:tcBorders>
              <w:top w:val="nil"/>
              <w:bottom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181"/>
              <w:spacing w:before="32" w:line="201" w:lineRule="auto"/>
              <w:rPr>
                <w:sz w:val="20"/>
                <w:szCs w:val="20"/>
              </w:rPr>
            </w:pPr>
            <w:r>
              <w:rPr>
                <w:sz w:val="20"/>
                <w:szCs w:val="20"/>
                <w:color w:val="404040"/>
                <w:spacing w:val="-2"/>
              </w:rPr>
              <w:t>产生量t/a</w:t>
            </w:r>
          </w:p>
        </w:tc>
        <w:tc>
          <w:tcPr>
            <w:tcW w:w="909" w:type="dxa"/>
            <w:vAlign w:val="top"/>
          </w:tcPr>
          <w:p>
            <w:pPr>
              <w:pStyle w:val="TableText"/>
              <w:ind w:left="144"/>
              <w:spacing w:before="51" w:line="183" w:lineRule="auto"/>
              <w:rPr>
                <w:sz w:val="20"/>
                <w:szCs w:val="20"/>
              </w:rPr>
            </w:pPr>
            <w:r>
              <w:rPr>
                <w:sz w:val="20"/>
                <w:szCs w:val="20"/>
                <w:spacing w:val="-2"/>
              </w:rPr>
              <w:t>0.0459</w:t>
            </w:r>
          </w:p>
        </w:tc>
        <w:tc>
          <w:tcPr>
            <w:tcW w:w="739" w:type="dxa"/>
            <w:vAlign w:val="top"/>
          </w:tcPr>
          <w:p>
            <w:pPr>
              <w:pStyle w:val="TableText"/>
              <w:ind w:left="64"/>
              <w:spacing w:before="51" w:line="183" w:lineRule="auto"/>
              <w:rPr>
                <w:sz w:val="20"/>
                <w:szCs w:val="20"/>
              </w:rPr>
            </w:pPr>
            <w:r>
              <w:rPr>
                <w:sz w:val="20"/>
                <w:szCs w:val="20"/>
                <w:spacing w:val="-2"/>
              </w:rPr>
              <w:t>0.0306</w:t>
            </w:r>
          </w:p>
        </w:tc>
        <w:tc>
          <w:tcPr>
            <w:tcW w:w="779" w:type="dxa"/>
            <w:vAlign w:val="top"/>
          </w:tcPr>
          <w:p>
            <w:pPr>
              <w:pStyle w:val="TableText"/>
              <w:ind w:left="86"/>
              <w:spacing w:before="51" w:line="183" w:lineRule="auto"/>
              <w:rPr>
                <w:sz w:val="20"/>
                <w:szCs w:val="20"/>
              </w:rPr>
            </w:pPr>
            <w:r>
              <w:rPr>
                <w:sz w:val="20"/>
                <w:szCs w:val="20"/>
                <w:spacing w:val="-2"/>
              </w:rPr>
              <w:t>0.0765</w:t>
            </w:r>
          </w:p>
        </w:tc>
        <w:tc>
          <w:tcPr>
            <w:tcW w:w="769" w:type="dxa"/>
            <w:vAlign w:val="top"/>
          </w:tcPr>
          <w:p>
            <w:pPr>
              <w:pStyle w:val="TableText"/>
              <w:ind w:left="77"/>
              <w:spacing w:before="51" w:line="183" w:lineRule="auto"/>
              <w:rPr>
                <w:sz w:val="20"/>
                <w:szCs w:val="20"/>
              </w:rPr>
            </w:pPr>
            <w:r>
              <w:rPr>
                <w:sz w:val="20"/>
                <w:szCs w:val="20"/>
                <w:spacing w:val="-2"/>
              </w:rPr>
              <w:t>0.0054</w:t>
            </w:r>
          </w:p>
        </w:tc>
        <w:tc>
          <w:tcPr>
            <w:tcW w:w="799" w:type="dxa"/>
            <w:vAlign w:val="top"/>
          </w:tcPr>
          <w:p>
            <w:pPr>
              <w:pStyle w:val="TableText"/>
              <w:ind w:left="98"/>
              <w:spacing w:before="51" w:line="183" w:lineRule="auto"/>
              <w:rPr>
                <w:sz w:val="20"/>
                <w:szCs w:val="20"/>
              </w:rPr>
            </w:pPr>
            <w:r>
              <w:rPr>
                <w:sz w:val="20"/>
                <w:szCs w:val="20"/>
                <w:spacing w:val="-2"/>
              </w:rPr>
              <w:t>0.0077</w:t>
            </w:r>
          </w:p>
        </w:tc>
        <w:tc>
          <w:tcPr>
            <w:tcW w:w="639" w:type="dxa"/>
            <w:vAlign w:val="top"/>
          </w:tcPr>
          <w:p>
            <w:pPr>
              <w:pStyle w:val="TableText"/>
              <w:ind w:left="18"/>
              <w:spacing w:before="51" w:line="183" w:lineRule="auto"/>
              <w:rPr>
                <w:sz w:val="20"/>
                <w:szCs w:val="20"/>
              </w:rPr>
            </w:pPr>
            <w:r>
              <w:rPr>
                <w:sz w:val="20"/>
                <w:szCs w:val="20"/>
                <w:spacing w:val="-2"/>
              </w:rPr>
              <w:t>0.0002</w:t>
            </w:r>
          </w:p>
        </w:tc>
        <w:tc>
          <w:tcPr>
            <w:tcW w:w="787" w:type="dxa"/>
            <w:vAlign w:val="top"/>
          </w:tcPr>
          <w:p>
            <w:pPr>
              <w:pStyle w:val="TableText"/>
              <w:ind w:left="340"/>
              <w:spacing w:before="51" w:line="183" w:lineRule="auto"/>
              <w:rPr>
                <w:sz w:val="20"/>
                <w:szCs w:val="20"/>
              </w:rPr>
            </w:pPr>
            <w:r>
              <w:rPr>
                <w:sz w:val="20"/>
                <w:szCs w:val="20"/>
              </w:rPr>
              <w:t>0</w:t>
            </w:r>
          </w:p>
        </w:tc>
      </w:tr>
      <w:tr>
        <w:trPr>
          <w:trHeight w:val="260" w:hRule="atLeast"/>
        </w:trPr>
        <w:tc>
          <w:tcPr>
            <w:tcW w:w="684" w:type="dxa"/>
            <w:vAlign w:val="top"/>
            <w:vMerge w:val="continue"/>
            <w:tcBorders>
              <w:top w:val="nil"/>
              <w:bottom w:val="nil"/>
            </w:tcBorders>
          </w:tcPr>
          <w:p>
            <w:pPr>
              <w:rPr>
                <w:rFonts w:ascii="Arial"/>
                <w:sz w:val="21"/>
              </w:rPr>
            </w:pPr>
            <w:r/>
          </w:p>
        </w:tc>
        <w:tc>
          <w:tcPr>
            <w:tcW w:w="270" w:type="dxa"/>
            <w:vAlign w:val="top"/>
            <w:vMerge w:val="restart"/>
            <w:textDirection w:val="tbRlV"/>
            <w:tcBorders>
              <w:bottom w:val="nil"/>
            </w:tcBorders>
          </w:tcPr>
          <w:p>
            <w:pPr>
              <w:pStyle w:val="TableText"/>
              <w:spacing w:before="57" w:line="200" w:lineRule="auto"/>
              <w:jc w:val="right"/>
              <w:rPr>
                <w:sz w:val="20"/>
                <w:szCs w:val="20"/>
              </w:rPr>
            </w:pPr>
            <w:r>
              <w:rPr>
                <w:sz w:val="20"/>
                <w:szCs w:val="20"/>
                <w:color w:val="807070"/>
                <w:spacing w:val="-6"/>
              </w:rPr>
              <w:t>全</w:t>
            </w:r>
            <w:r>
              <w:rPr>
                <w:sz w:val="20"/>
                <w:szCs w:val="20"/>
                <w:color w:val="807070"/>
                <w:spacing w:val="29"/>
              </w:rPr>
              <w:t xml:space="preserve"> </w:t>
            </w:r>
            <w:r>
              <w:rPr>
                <w:sz w:val="20"/>
                <w:szCs w:val="20"/>
                <w:color w:val="807070"/>
                <w:spacing w:val="-6"/>
              </w:rPr>
              <w:t>年</w:t>
            </w:r>
          </w:p>
        </w:tc>
        <w:tc>
          <w:tcPr>
            <w:tcW w:w="769" w:type="dxa"/>
            <w:vAlign w:val="top"/>
            <w:vMerge w:val="restart"/>
            <w:tcBorders>
              <w:bottom w:val="nil"/>
            </w:tcBorders>
          </w:tcPr>
          <w:p>
            <w:pPr>
              <w:pStyle w:val="TableText"/>
              <w:ind w:left="221"/>
              <w:spacing w:before="181"/>
              <w:rPr>
                <w:sz w:val="20"/>
                <w:szCs w:val="20"/>
              </w:rPr>
            </w:pPr>
            <w:r>
              <w:rPr>
                <w:sz w:val="20"/>
                <w:szCs w:val="20"/>
                <w:spacing w:val="-3"/>
              </w:rPr>
              <w:t>612</w:t>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32"/>
              <w:spacing w:before="25" w:line="207" w:lineRule="auto"/>
              <w:rPr>
                <w:sz w:val="20"/>
                <w:szCs w:val="20"/>
              </w:rPr>
            </w:pPr>
            <w:r>
              <w:rPr>
                <w:sz w:val="20"/>
                <w:szCs w:val="20"/>
                <w:spacing w:val="-1"/>
              </w:rPr>
              <w:t>产生浓度mg/L</w:t>
            </w:r>
          </w:p>
        </w:tc>
        <w:tc>
          <w:tcPr>
            <w:tcW w:w="909" w:type="dxa"/>
            <w:vAlign w:val="top"/>
          </w:tcPr>
          <w:p>
            <w:pPr>
              <w:pStyle w:val="TableText"/>
              <w:ind w:left="294"/>
              <w:spacing w:before="51" w:line="183" w:lineRule="auto"/>
              <w:rPr>
                <w:sz w:val="20"/>
                <w:szCs w:val="20"/>
              </w:rPr>
            </w:pPr>
            <w:r>
              <w:rPr>
                <w:sz w:val="20"/>
                <w:szCs w:val="20"/>
                <w:spacing w:val="-3"/>
              </w:rPr>
              <w:t>300</w:t>
            </w:r>
          </w:p>
        </w:tc>
        <w:tc>
          <w:tcPr>
            <w:tcW w:w="739" w:type="dxa"/>
            <w:vAlign w:val="top"/>
          </w:tcPr>
          <w:p>
            <w:pPr>
              <w:pStyle w:val="TableText"/>
              <w:ind w:left="215"/>
              <w:spacing w:before="51" w:line="183" w:lineRule="auto"/>
              <w:rPr>
                <w:sz w:val="20"/>
                <w:szCs w:val="20"/>
              </w:rPr>
            </w:pPr>
            <w:r>
              <w:rPr>
                <w:sz w:val="20"/>
                <w:szCs w:val="20"/>
                <w:spacing w:val="-3"/>
              </w:rPr>
              <w:t>200</w:t>
            </w:r>
          </w:p>
        </w:tc>
        <w:tc>
          <w:tcPr>
            <w:tcW w:w="779" w:type="dxa"/>
            <w:vAlign w:val="top"/>
          </w:tcPr>
          <w:p>
            <w:pPr>
              <w:pStyle w:val="TableText"/>
              <w:ind w:left="236"/>
              <w:spacing w:before="51" w:line="183" w:lineRule="auto"/>
              <w:rPr>
                <w:sz w:val="20"/>
                <w:szCs w:val="20"/>
              </w:rPr>
            </w:pPr>
            <w:r>
              <w:rPr>
                <w:sz w:val="20"/>
                <w:szCs w:val="20"/>
                <w:spacing w:val="-3"/>
              </w:rPr>
              <w:t>500</w:t>
            </w:r>
          </w:p>
        </w:tc>
        <w:tc>
          <w:tcPr>
            <w:tcW w:w="769" w:type="dxa"/>
            <w:vAlign w:val="top"/>
          </w:tcPr>
          <w:p>
            <w:pPr>
              <w:pStyle w:val="TableText"/>
              <w:ind w:left="277"/>
              <w:spacing w:before="51" w:line="183" w:lineRule="auto"/>
              <w:rPr>
                <w:sz w:val="20"/>
                <w:szCs w:val="20"/>
              </w:rPr>
            </w:pPr>
            <w:r>
              <w:rPr>
                <w:sz w:val="20"/>
                <w:szCs w:val="20"/>
                <w:spacing w:val="-3"/>
              </w:rPr>
              <w:t>35</w:t>
            </w:r>
          </w:p>
        </w:tc>
        <w:tc>
          <w:tcPr>
            <w:tcW w:w="799" w:type="dxa"/>
            <w:vAlign w:val="top"/>
          </w:tcPr>
          <w:p>
            <w:pPr>
              <w:pStyle w:val="TableText"/>
              <w:ind w:left="297"/>
              <w:spacing w:before="51" w:line="183" w:lineRule="auto"/>
              <w:rPr>
                <w:sz w:val="20"/>
                <w:szCs w:val="20"/>
              </w:rPr>
            </w:pPr>
            <w:r>
              <w:rPr>
                <w:sz w:val="20"/>
                <w:szCs w:val="20"/>
                <w:spacing w:val="-3"/>
              </w:rPr>
              <w:t>50</w:t>
            </w:r>
          </w:p>
        </w:tc>
        <w:tc>
          <w:tcPr>
            <w:tcW w:w="639" w:type="dxa"/>
            <w:vAlign w:val="top"/>
          </w:tcPr>
          <w:p>
            <w:pPr>
              <w:pStyle w:val="TableText"/>
              <w:ind w:left="268"/>
              <w:spacing w:before="51" w:line="183" w:lineRule="auto"/>
              <w:rPr>
                <w:sz w:val="20"/>
                <w:szCs w:val="20"/>
              </w:rPr>
            </w:pPr>
            <w:r>
              <w:rPr>
                <w:sz w:val="20"/>
                <w:szCs w:val="20"/>
                <w:color w:val="605040"/>
              </w:rPr>
              <w:t>1</w:t>
            </w:r>
          </w:p>
        </w:tc>
        <w:tc>
          <w:tcPr>
            <w:tcW w:w="787" w:type="dxa"/>
            <w:vAlign w:val="top"/>
          </w:tcPr>
          <w:p>
            <w:pPr>
              <w:pStyle w:val="TableText"/>
              <w:ind w:left="340"/>
              <w:spacing w:before="37" w:line="196" w:lineRule="auto"/>
              <w:rPr>
                <w:sz w:val="20"/>
                <w:szCs w:val="20"/>
              </w:rPr>
            </w:pPr>
            <w:r>
              <w:rPr>
                <w:sz w:val="20"/>
                <w:szCs w:val="20"/>
                <w:color w:val="404050"/>
              </w:rPr>
              <w:t>/</w:t>
            </w:r>
          </w:p>
        </w:tc>
      </w:tr>
      <w:tr>
        <w:trPr>
          <w:trHeight w:val="250" w:hRule="atLeast"/>
        </w:trPr>
        <w:tc>
          <w:tcPr>
            <w:tcW w:w="684" w:type="dxa"/>
            <w:vAlign w:val="top"/>
            <w:vMerge w:val="continue"/>
            <w:tcBorders>
              <w:top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0" w:type="dxa"/>
            <w:vAlign w:val="top"/>
            <w:vMerge w:val="continue"/>
            <w:textDirection w:val="tbRlV"/>
            <w:tcBorders>
              <w:top w:val="nil"/>
            </w:tcBorders>
          </w:tcPr>
          <w:p>
            <w:pPr>
              <w:spacing w:line="240" w:lineRule="exact"/>
              <w:rPr>
                <w:rFonts w:ascii="Arial"/>
                <w:sz w:val="20"/>
              </w:rPr>
            </w:pPr>
            <w:r/>
          </w:p>
        </w:tc>
        <w:tc>
          <w:tcPr>
            <w:tcW w:w="1288" w:type="dxa"/>
            <w:vAlign w:val="top"/>
          </w:tcPr>
          <w:p>
            <w:pPr>
              <w:pStyle w:val="TableText"/>
              <w:ind w:left="181"/>
              <w:spacing w:before="31" w:line="192" w:lineRule="auto"/>
              <w:rPr>
                <w:sz w:val="20"/>
                <w:szCs w:val="20"/>
              </w:rPr>
            </w:pPr>
            <w:r>
              <w:rPr>
                <w:sz w:val="20"/>
                <w:szCs w:val="20"/>
                <w:spacing w:val="-2"/>
              </w:rPr>
              <w:t>产生量t/a</w:t>
            </w:r>
          </w:p>
        </w:tc>
        <w:tc>
          <w:tcPr>
            <w:tcW w:w="909" w:type="dxa"/>
            <w:vAlign w:val="top"/>
          </w:tcPr>
          <w:p>
            <w:pPr>
              <w:pStyle w:val="TableText"/>
              <w:ind w:left="144"/>
              <w:spacing w:before="52" w:line="173" w:lineRule="auto"/>
              <w:rPr>
                <w:sz w:val="20"/>
                <w:szCs w:val="20"/>
              </w:rPr>
            </w:pPr>
            <w:r>
              <w:rPr>
                <w:sz w:val="20"/>
                <w:szCs w:val="20"/>
                <w:spacing w:val="-2"/>
              </w:rPr>
              <w:t>0.1836</w:t>
            </w:r>
          </w:p>
        </w:tc>
        <w:tc>
          <w:tcPr>
            <w:tcW w:w="739" w:type="dxa"/>
            <w:vAlign w:val="top"/>
          </w:tcPr>
          <w:p>
            <w:pPr>
              <w:pStyle w:val="TableText"/>
              <w:ind w:left="64"/>
              <w:spacing w:before="52" w:line="173" w:lineRule="auto"/>
              <w:rPr>
                <w:sz w:val="20"/>
                <w:szCs w:val="20"/>
              </w:rPr>
            </w:pPr>
            <w:r>
              <w:rPr>
                <w:sz w:val="20"/>
                <w:szCs w:val="20"/>
                <w:spacing w:val="-2"/>
              </w:rPr>
              <w:t>0.1224</w:t>
            </w:r>
          </w:p>
        </w:tc>
        <w:tc>
          <w:tcPr>
            <w:tcW w:w="779" w:type="dxa"/>
            <w:vAlign w:val="top"/>
          </w:tcPr>
          <w:p>
            <w:pPr>
              <w:pStyle w:val="TableText"/>
              <w:ind w:left="86"/>
              <w:spacing w:before="52" w:line="173" w:lineRule="auto"/>
              <w:rPr>
                <w:sz w:val="20"/>
                <w:szCs w:val="20"/>
              </w:rPr>
            </w:pPr>
            <w:r>
              <w:rPr>
                <w:sz w:val="20"/>
                <w:szCs w:val="20"/>
                <w:spacing w:val="-2"/>
              </w:rPr>
              <w:t>0.3060</w:t>
            </w:r>
          </w:p>
        </w:tc>
        <w:tc>
          <w:tcPr>
            <w:tcW w:w="769" w:type="dxa"/>
            <w:vAlign w:val="top"/>
          </w:tcPr>
          <w:p>
            <w:pPr>
              <w:pStyle w:val="TableText"/>
              <w:ind w:left="77"/>
              <w:spacing w:before="52" w:line="173" w:lineRule="auto"/>
              <w:rPr>
                <w:sz w:val="20"/>
                <w:szCs w:val="20"/>
              </w:rPr>
            </w:pPr>
            <w:r>
              <w:rPr>
                <w:sz w:val="20"/>
                <w:szCs w:val="20"/>
                <w:spacing w:val="-2"/>
              </w:rPr>
              <w:t>0.0215</w:t>
            </w:r>
          </w:p>
        </w:tc>
        <w:tc>
          <w:tcPr>
            <w:tcW w:w="799" w:type="dxa"/>
            <w:vAlign w:val="top"/>
          </w:tcPr>
          <w:p>
            <w:pPr>
              <w:pStyle w:val="TableText"/>
              <w:ind w:left="98"/>
              <w:spacing w:before="52" w:line="173" w:lineRule="auto"/>
              <w:rPr>
                <w:sz w:val="20"/>
                <w:szCs w:val="20"/>
              </w:rPr>
            </w:pPr>
            <w:r>
              <w:rPr>
                <w:sz w:val="20"/>
                <w:szCs w:val="20"/>
                <w:spacing w:val="-2"/>
              </w:rPr>
              <w:t>0.0307</w:t>
            </w:r>
          </w:p>
        </w:tc>
        <w:tc>
          <w:tcPr>
            <w:tcW w:w="639" w:type="dxa"/>
            <w:vAlign w:val="top"/>
          </w:tcPr>
          <w:p>
            <w:pPr>
              <w:pStyle w:val="TableText"/>
              <w:ind w:left="18"/>
              <w:spacing w:before="52" w:line="173" w:lineRule="auto"/>
              <w:rPr>
                <w:sz w:val="20"/>
                <w:szCs w:val="20"/>
              </w:rPr>
            </w:pPr>
            <w:r>
              <w:rPr>
                <w:sz w:val="20"/>
                <w:szCs w:val="20"/>
                <w:spacing w:val="-2"/>
              </w:rPr>
              <w:t>0.0007</w:t>
            </w:r>
          </w:p>
        </w:tc>
        <w:tc>
          <w:tcPr>
            <w:tcW w:w="787" w:type="dxa"/>
            <w:vAlign w:val="top"/>
          </w:tcPr>
          <w:p>
            <w:pPr>
              <w:pStyle w:val="TableText"/>
              <w:ind w:left="340"/>
              <w:spacing w:before="52" w:line="173" w:lineRule="auto"/>
              <w:rPr>
                <w:sz w:val="20"/>
                <w:szCs w:val="20"/>
              </w:rPr>
            </w:pPr>
            <w:r>
              <w:rPr>
                <w:sz w:val="20"/>
                <w:szCs w:val="20"/>
              </w:rPr>
              <w:t>0</w:t>
            </w:r>
          </w:p>
        </w:tc>
      </w:tr>
      <w:tr>
        <w:trPr>
          <w:trHeight w:val="260" w:hRule="atLeast"/>
        </w:trPr>
        <w:tc>
          <w:tcPr>
            <w:tcW w:w="684" w:type="dxa"/>
            <w:vAlign w:val="top"/>
            <w:vMerge w:val="restart"/>
            <w:tcBorders>
              <w:bottom w:val="nil"/>
            </w:tcBorders>
          </w:tcPr>
          <w:p>
            <w:pPr>
              <w:spacing w:line="385" w:lineRule="auto"/>
              <w:rPr>
                <w:rFonts w:ascii="Arial"/>
                <w:sz w:val="21"/>
              </w:rPr>
            </w:pPr>
            <w:r/>
          </w:p>
          <w:p>
            <w:pPr>
              <w:pStyle w:val="TableText"/>
              <w:ind w:left="35"/>
              <w:spacing w:before="65" w:line="220" w:lineRule="auto"/>
              <w:rPr>
                <w:sz w:val="20"/>
                <w:szCs w:val="20"/>
              </w:rPr>
            </w:pPr>
            <w:r>
              <w:rPr>
                <w:sz w:val="20"/>
                <w:szCs w:val="20"/>
                <w:spacing w:val="-3"/>
              </w:rPr>
              <w:t>蒸汽发</w:t>
            </w:r>
          </w:p>
          <w:p>
            <w:pPr>
              <w:pStyle w:val="TableText"/>
              <w:ind w:left="35"/>
              <w:spacing w:before="1" w:line="220" w:lineRule="auto"/>
              <w:rPr>
                <w:sz w:val="20"/>
                <w:szCs w:val="20"/>
              </w:rPr>
            </w:pPr>
            <w:r>
              <w:rPr>
                <w:sz w:val="20"/>
                <w:szCs w:val="20"/>
                <w:spacing w:val="-3"/>
              </w:rPr>
              <w:t>生器废</w:t>
            </w:r>
          </w:p>
          <w:p>
            <w:pPr>
              <w:pStyle w:val="TableText"/>
              <w:ind w:left="234"/>
              <w:spacing w:before="31" w:line="219" w:lineRule="auto"/>
              <w:rPr>
                <w:sz w:val="20"/>
                <w:szCs w:val="20"/>
              </w:rPr>
            </w:pPr>
            <w:r>
              <w:rPr>
                <w:sz w:val="20"/>
                <w:szCs w:val="20"/>
              </w:rPr>
              <w:t>水</w:t>
            </w:r>
          </w:p>
        </w:tc>
        <w:tc>
          <w:tcPr>
            <w:tcW w:w="270" w:type="dxa"/>
            <w:vAlign w:val="top"/>
            <w:vMerge w:val="restart"/>
            <w:textDirection w:val="tbRlV"/>
            <w:tcBorders>
              <w:bottom w:val="nil"/>
            </w:tcBorders>
          </w:tcPr>
          <w:p>
            <w:pPr>
              <w:pStyle w:val="TableText"/>
              <w:ind w:left="50"/>
              <w:spacing w:before="57" w:line="199" w:lineRule="auto"/>
              <w:rPr>
                <w:sz w:val="20"/>
                <w:szCs w:val="20"/>
              </w:rPr>
            </w:pPr>
            <w:r>
              <w:rPr>
                <w:sz w:val="20"/>
                <w:szCs w:val="20"/>
              </w:rPr>
              <w:t>淡季</w:t>
            </w:r>
          </w:p>
        </w:tc>
        <w:tc>
          <w:tcPr>
            <w:tcW w:w="769" w:type="dxa"/>
            <w:vAlign w:val="top"/>
            <w:vMerge w:val="restart"/>
            <w:tcBorders>
              <w:bottom w:val="nil"/>
            </w:tcBorders>
          </w:tcPr>
          <w:p>
            <w:pPr>
              <w:pStyle w:val="TableText"/>
              <w:ind w:left="171"/>
              <w:spacing w:before="191"/>
              <w:rPr>
                <w:sz w:val="20"/>
                <w:szCs w:val="20"/>
              </w:rPr>
            </w:pPr>
            <w:r>
              <w:rPr>
                <w:sz w:val="20"/>
                <w:szCs w:val="20"/>
                <w:spacing w:val="-5"/>
              </w:rPr>
              <w:t>1080</w:t>
            </w:r>
          </w:p>
        </w:tc>
        <w:tc>
          <w:tcPr>
            <w:tcW w:w="250" w:type="dxa"/>
            <w:vAlign w:val="top"/>
            <w:vMerge w:val="restart"/>
            <w:textDirection w:val="tbRlV"/>
            <w:tcBorders>
              <w:bottom w:val="nil"/>
            </w:tcBorders>
          </w:tcPr>
          <w:p>
            <w:pPr>
              <w:pStyle w:val="TableText"/>
              <w:ind w:left="445"/>
              <w:spacing w:before="1" w:line="200" w:lineRule="auto"/>
              <w:rPr>
                <w:sz w:val="19"/>
                <w:szCs w:val="19"/>
              </w:rPr>
            </w:pPr>
            <w:r>
              <w:rPr>
                <w:sz w:val="24"/>
                <w:szCs w:val="24"/>
                <w:spacing w:val="15"/>
              </w:rPr>
              <w:t>处理</w:t>
            </w:r>
            <w:r>
              <w:rPr>
                <w:sz w:val="19"/>
                <w:szCs w:val="19"/>
                <w:spacing w:val="15"/>
              </w:rPr>
              <w:t>前</w:t>
            </w:r>
          </w:p>
        </w:tc>
        <w:tc>
          <w:tcPr>
            <w:tcW w:w="1288" w:type="dxa"/>
            <w:vAlign w:val="top"/>
          </w:tcPr>
          <w:p>
            <w:pPr>
              <w:pStyle w:val="TableText"/>
              <w:ind w:left="32"/>
              <w:spacing w:before="25" w:line="207" w:lineRule="auto"/>
              <w:rPr>
                <w:sz w:val="20"/>
                <w:szCs w:val="20"/>
              </w:rPr>
            </w:pPr>
            <w:r>
              <w:rPr>
                <w:sz w:val="20"/>
                <w:szCs w:val="20"/>
                <w:spacing w:val="-1"/>
              </w:rPr>
              <w:t>产生浓度mg/L</w:t>
            </w:r>
          </w:p>
        </w:tc>
        <w:tc>
          <w:tcPr>
            <w:tcW w:w="909" w:type="dxa"/>
            <w:vAlign w:val="top"/>
          </w:tcPr>
          <w:p>
            <w:pPr>
              <w:pStyle w:val="TableText"/>
              <w:ind w:left="344"/>
              <w:spacing w:before="51" w:line="183" w:lineRule="auto"/>
              <w:rPr>
                <w:sz w:val="20"/>
                <w:szCs w:val="20"/>
              </w:rPr>
            </w:pPr>
            <w:r>
              <w:rPr>
                <w:sz w:val="20"/>
                <w:szCs w:val="20"/>
                <w:spacing w:val="-3"/>
              </w:rPr>
              <w:t>80</w:t>
            </w:r>
          </w:p>
        </w:tc>
        <w:tc>
          <w:tcPr>
            <w:tcW w:w="739" w:type="dxa"/>
            <w:vAlign w:val="top"/>
          </w:tcPr>
          <w:p>
            <w:pPr>
              <w:pStyle w:val="TableText"/>
              <w:ind w:left="315"/>
              <w:spacing w:before="37" w:line="196" w:lineRule="auto"/>
              <w:rPr>
                <w:sz w:val="20"/>
                <w:szCs w:val="20"/>
              </w:rPr>
            </w:pPr>
            <w:r>
              <w:rPr>
                <w:sz w:val="20"/>
                <w:szCs w:val="20"/>
              </w:rPr>
              <w:t>/</w:t>
            </w:r>
          </w:p>
        </w:tc>
        <w:tc>
          <w:tcPr>
            <w:tcW w:w="779" w:type="dxa"/>
            <w:vAlign w:val="top"/>
          </w:tcPr>
          <w:p>
            <w:pPr>
              <w:pStyle w:val="TableText"/>
              <w:ind w:left="286"/>
              <w:spacing w:before="51" w:line="183" w:lineRule="auto"/>
              <w:rPr>
                <w:sz w:val="20"/>
                <w:szCs w:val="20"/>
              </w:rPr>
            </w:pPr>
            <w:r>
              <w:rPr>
                <w:sz w:val="20"/>
                <w:szCs w:val="20"/>
                <w:spacing w:val="-3"/>
              </w:rPr>
              <w:t>50</w:t>
            </w:r>
          </w:p>
        </w:tc>
        <w:tc>
          <w:tcPr>
            <w:tcW w:w="769" w:type="dxa"/>
            <w:vAlign w:val="top"/>
          </w:tcPr>
          <w:p>
            <w:pPr>
              <w:pStyle w:val="TableText"/>
              <w:ind w:left="327"/>
              <w:spacing w:before="37" w:line="196" w:lineRule="auto"/>
              <w:rPr>
                <w:sz w:val="20"/>
                <w:szCs w:val="20"/>
              </w:rPr>
            </w:pPr>
            <w:r>
              <w:rPr>
                <w:sz w:val="20"/>
                <w:szCs w:val="20"/>
              </w:rPr>
              <w:t>/</w:t>
            </w:r>
          </w:p>
        </w:tc>
        <w:tc>
          <w:tcPr>
            <w:tcW w:w="799" w:type="dxa"/>
            <w:vAlign w:val="top"/>
          </w:tcPr>
          <w:p>
            <w:pPr>
              <w:pStyle w:val="TableText"/>
              <w:ind w:left="348"/>
              <w:spacing w:before="37" w:line="196" w:lineRule="auto"/>
              <w:rPr>
                <w:sz w:val="20"/>
                <w:szCs w:val="20"/>
              </w:rPr>
            </w:pPr>
            <w:r>
              <w:rPr>
                <w:sz w:val="20"/>
                <w:szCs w:val="20"/>
              </w:rPr>
              <w:t>/</w:t>
            </w:r>
          </w:p>
        </w:tc>
        <w:tc>
          <w:tcPr>
            <w:tcW w:w="639" w:type="dxa"/>
            <w:vAlign w:val="top"/>
          </w:tcPr>
          <w:p>
            <w:pPr>
              <w:pStyle w:val="TableText"/>
              <w:ind w:left="268"/>
              <w:spacing w:before="37" w:line="196" w:lineRule="auto"/>
              <w:rPr>
                <w:sz w:val="20"/>
                <w:szCs w:val="20"/>
              </w:rPr>
            </w:pPr>
            <w:r>
              <w:rPr>
                <w:sz w:val="20"/>
                <w:szCs w:val="20"/>
                <w:color w:val="505060"/>
              </w:rPr>
              <w:t>/</w:t>
            </w:r>
          </w:p>
        </w:tc>
        <w:tc>
          <w:tcPr>
            <w:tcW w:w="787" w:type="dxa"/>
            <w:vAlign w:val="top"/>
          </w:tcPr>
          <w:p>
            <w:pPr>
              <w:pStyle w:val="TableText"/>
              <w:ind w:left="340"/>
              <w:spacing w:before="37" w:line="196" w:lineRule="auto"/>
              <w:rPr>
                <w:sz w:val="20"/>
                <w:szCs w:val="20"/>
              </w:rPr>
            </w:pPr>
            <w:r>
              <w:rPr>
                <w:sz w:val="20"/>
                <w:szCs w:val="20"/>
                <w:color w:val="404060"/>
              </w:rPr>
              <w:t>/</w:t>
            </w:r>
          </w:p>
        </w:tc>
      </w:tr>
      <w:tr>
        <w:trPr>
          <w:trHeight w:val="270" w:hRule="atLeast"/>
        </w:trPr>
        <w:tc>
          <w:tcPr>
            <w:tcW w:w="684" w:type="dxa"/>
            <w:vAlign w:val="top"/>
            <w:vMerge w:val="continue"/>
            <w:tcBorders>
              <w:top w:val="nil"/>
              <w:bottom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181"/>
              <w:spacing w:before="42" w:line="201" w:lineRule="auto"/>
              <w:rPr>
                <w:sz w:val="20"/>
                <w:szCs w:val="20"/>
              </w:rPr>
            </w:pPr>
            <w:r>
              <w:rPr>
                <w:sz w:val="20"/>
                <w:szCs w:val="20"/>
                <w:color w:val="504040"/>
                <w:spacing w:val="-2"/>
              </w:rPr>
              <w:t>产生量t/a</w:t>
            </w:r>
          </w:p>
        </w:tc>
        <w:tc>
          <w:tcPr>
            <w:tcW w:w="909" w:type="dxa"/>
            <w:vAlign w:val="top"/>
          </w:tcPr>
          <w:p>
            <w:pPr>
              <w:pStyle w:val="TableText"/>
              <w:ind w:left="144"/>
              <w:spacing w:before="61" w:line="183" w:lineRule="auto"/>
              <w:rPr>
                <w:sz w:val="20"/>
                <w:szCs w:val="20"/>
              </w:rPr>
            </w:pPr>
            <w:r>
              <w:rPr>
                <w:sz w:val="20"/>
                <w:szCs w:val="20"/>
                <w:spacing w:val="-2"/>
              </w:rPr>
              <w:t>0.0864</w:t>
            </w:r>
          </w:p>
        </w:tc>
        <w:tc>
          <w:tcPr>
            <w:tcW w:w="739" w:type="dxa"/>
            <w:vAlign w:val="top"/>
          </w:tcPr>
          <w:p>
            <w:pPr>
              <w:pStyle w:val="TableText"/>
              <w:ind w:left="315"/>
              <w:spacing w:before="61" w:line="183" w:lineRule="auto"/>
              <w:rPr>
                <w:sz w:val="20"/>
                <w:szCs w:val="20"/>
              </w:rPr>
            </w:pPr>
            <w:r>
              <w:rPr>
                <w:sz w:val="20"/>
                <w:szCs w:val="20"/>
              </w:rPr>
              <w:t>0</w:t>
            </w:r>
          </w:p>
        </w:tc>
        <w:tc>
          <w:tcPr>
            <w:tcW w:w="779" w:type="dxa"/>
            <w:vAlign w:val="top"/>
          </w:tcPr>
          <w:p>
            <w:pPr>
              <w:pStyle w:val="TableText"/>
              <w:ind w:left="86"/>
              <w:spacing w:before="61" w:line="183" w:lineRule="auto"/>
              <w:rPr>
                <w:sz w:val="20"/>
                <w:szCs w:val="20"/>
              </w:rPr>
            </w:pPr>
            <w:r>
              <w:rPr>
                <w:sz w:val="20"/>
                <w:szCs w:val="20"/>
                <w:spacing w:val="-2"/>
              </w:rPr>
              <w:t>0.0540</w:t>
            </w:r>
          </w:p>
        </w:tc>
        <w:tc>
          <w:tcPr>
            <w:tcW w:w="769" w:type="dxa"/>
            <w:vAlign w:val="top"/>
          </w:tcPr>
          <w:p>
            <w:pPr>
              <w:pStyle w:val="TableText"/>
              <w:ind w:left="327"/>
              <w:spacing w:before="61" w:line="183" w:lineRule="auto"/>
              <w:rPr>
                <w:sz w:val="20"/>
                <w:szCs w:val="20"/>
              </w:rPr>
            </w:pPr>
            <w:r>
              <w:rPr>
                <w:sz w:val="20"/>
                <w:szCs w:val="20"/>
                <w:color w:val="303060"/>
              </w:rPr>
              <w:t>0</w:t>
            </w:r>
          </w:p>
        </w:tc>
        <w:tc>
          <w:tcPr>
            <w:tcW w:w="799" w:type="dxa"/>
            <w:vAlign w:val="top"/>
          </w:tcPr>
          <w:p>
            <w:pPr>
              <w:pStyle w:val="TableText"/>
              <w:ind w:left="348"/>
              <w:spacing w:before="61" w:line="183" w:lineRule="auto"/>
              <w:rPr>
                <w:sz w:val="20"/>
                <w:szCs w:val="20"/>
              </w:rPr>
            </w:pPr>
            <w:r>
              <w:rPr>
                <w:sz w:val="20"/>
                <w:szCs w:val="20"/>
              </w:rPr>
              <w:t>0</w:t>
            </w:r>
          </w:p>
        </w:tc>
        <w:tc>
          <w:tcPr>
            <w:tcW w:w="639" w:type="dxa"/>
            <w:vAlign w:val="top"/>
          </w:tcPr>
          <w:p>
            <w:pPr>
              <w:pStyle w:val="TableText"/>
              <w:ind w:left="268"/>
              <w:spacing w:before="61" w:line="183" w:lineRule="auto"/>
              <w:rPr>
                <w:sz w:val="20"/>
                <w:szCs w:val="20"/>
              </w:rPr>
            </w:pPr>
            <w:r>
              <w:rPr>
                <w:sz w:val="20"/>
                <w:szCs w:val="20"/>
              </w:rPr>
              <w:t>0</w:t>
            </w:r>
          </w:p>
        </w:tc>
        <w:tc>
          <w:tcPr>
            <w:tcW w:w="787" w:type="dxa"/>
            <w:vAlign w:val="top"/>
          </w:tcPr>
          <w:p>
            <w:pPr>
              <w:pStyle w:val="TableText"/>
              <w:ind w:left="340"/>
              <w:spacing w:before="61" w:line="183" w:lineRule="auto"/>
              <w:rPr>
                <w:sz w:val="20"/>
                <w:szCs w:val="20"/>
              </w:rPr>
            </w:pPr>
            <w:r>
              <w:rPr>
                <w:sz w:val="20"/>
                <w:szCs w:val="20"/>
              </w:rPr>
              <w:t>0</w:t>
            </w:r>
          </w:p>
        </w:tc>
      </w:tr>
      <w:tr>
        <w:trPr>
          <w:trHeight w:val="260" w:hRule="atLeast"/>
        </w:trPr>
        <w:tc>
          <w:tcPr>
            <w:tcW w:w="684" w:type="dxa"/>
            <w:vAlign w:val="top"/>
            <w:vMerge w:val="continue"/>
            <w:tcBorders>
              <w:top w:val="nil"/>
              <w:bottom w:val="nil"/>
            </w:tcBorders>
          </w:tcPr>
          <w:p>
            <w:pPr>
              <w:rPr>
                <w:rFonts w:ascii="Arial"/>
                <w:sz w:val="21"/>
              </w:rPr>
            </w:pPr>
            <w:r/>
          </w:p>
        </w:tc>
        <w:tc>
          <w:tcPr>
            <w:tcW w:w="270" w:type="dxa"/>
            <w:vAlign w:val="top"/>
            <w:vMerge w:val="restart"/>
            <w:textDirection w:val="tbRlV"/>
            <w:tcBorders>
              <w:bottom w:val="nil"/>
            </w:tcBorders>
          </w:tcPr>
          <w:p>
            <w:pPr>
              <w:pStyle w:val="TableText"/>
              <w:spacing w:before="56" w:line="200" w:lineRule="auto"/>
              <w:jc w:val="right"/>
              <w:rPr>
                <w:sz w:val="20"/>
                <w:szCs w:val="20"/>
              </w:rPr>
            </w:pPr>
            <w:r>
              <w:rPr>
                <w:sz w:val="20"/>
                <w:szCs w:val="20"/>
                <w:spacing w:val="-6"/>
              </w:rPr>
              <w:t>旺</w:t>
            </w:r>
            <w:r>
              <w:rPr>
                <w:sz w:val="20"/>
                <w:szCs w:val="20"/>
                <w:spacing w:val="19"/>
              </w:rPr>
              <w:t xml:space="preserve"> </w:t>
            </w:r>
            <w:r>
              <w:rPr>
                <w:sz w:val="20"/>
                <w:szCs w:val="20"/>
                <w:spacing w:val="-6"/>
              </w:rPr>
              <w:t>季</w:t>
            </w:r>
          </w:p>
        </w:tc>
        <w:tc>
          <w:tcPr>
            <w:tcW w:w="769" w:type="dxa"/>
            <w:vAlign w:val="top"/>
            <w:vMerge w:val="restart"/>
            <w:tcBorders>
              <w:bottom w:val="nil"/>
            </w:tcBorders>
          </w:tcPr>
          <w:p>
            <w:pPr>
              <w:pStyle w:val="TableText"/>
              <w:ind w:left="221"/>
              <w:spacing w:before="181"/>
              <w:rPr>
                <w:sz w:val="20"/>
                <w:szCs w:val="20"/>
              </w:rPr>
            </w:pPr>
            <w:r>
              <w:rPr>
                <w:sz w:val="20"/>
                <w:szCs w:val="20"/>
                <w:spacing w:val="-3"/>
              </w:rPr>
              <w:t>360</w:t>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32"/>
              <w:spacing w:before="25" w:line="207" w:lineRule="auto"/>
              <w:rPr>
                <w:sz w:val="20"/>
                <w:szCs w:val="20"/>
              </w:rPr>
            </w:pPr>
            <w:r>
              <w:rPr>
                <w:sz w:val="20"/>
                <w:szCs w:val="20"/>
                <w:spacing w:val="-1"/>
              </w:rPr>
              <w:t>产生浓度mg/L</w:t>
            </w:r>
          </w:p>
        </w:tc>
        <w:tc>
          <w:tcPr>
            <w:tcW w:w="909" w:type="dxa"/>
            <w:vAlign w:val="top"/>
          </w:tcPr>
          <w:p>
            <w:pPr>
              <w:pStyle w:val="TableText"/>
              <w:ind w:left="344"/>
              <w:spacing w:before="51" w:line="183" w:lineRule="auto"/>
              <w:rPr>
                <w:sz w:val="20"/>
                <w:szCs w:val="20"/>
              </w:rPr>
            </w:pPr>
            <w:r>
              <w:rPr>
                <w:sz w:val="20"/>
                <w:szCs w:val="20"/>
                <w:spacing w:val="-3"/>
              </w:rPr>
              <w:t>80</w:t>
            </w:r>
          </w:p>
        </w:tc>
        <w:tc>
          <w:tcPr>
            <w:tcW w:w="739" w:type="dxa"/>
            <w:vAlign w:val="top"/>
          </w:tcPr>
          <w:p>
            <w:pPr>
              <w:pStyle w:val="TableText"/>
              <w:ind w:left="315"/>
              <w:spacing w:before="37" w:line="196" w:lineRule="auto"/>
              <w:rPr>
                <w:sz w:val="20"/>
                <w:szCs w:val="20"/>
              </w:rPr>
            </w:pPr>
            <w:r>
              <w:rPr>
                <w:sz w:val="20"/>
                <w:szCs w:val="20"/>
                <w:color w:val="404050"/>
              </w:rPr>
              <w:t>/</w:t>
            </w:r>
          </w:p>
        </w:tc>
        <w:tc>
          <w:tcPr>
            <w:tcW w:w="779" w:type="dxa"/>
            <w:vAlign w:val="top"/>
          </w:tcPr>
          <w:p>
            <w:pPr>
              <w:pStyle w:val="TableText"/>
              <w:ind w:left="286"/>
              <w:spacing w:before="51" w:line="183" w:lineRule="auto"/>
              <w:rPr>
                <w:sz w:val="20"/>
                <w:szCs w:val="20"/>
              </w:rPr>
            </w:pPr>
            <w:r>
              <w:rPr>
                <w:sz w:val="20"/>
                <w:szCs w:val="20"/>
                <w:spacing w:val="-3"/>
              </w:rPr>
              <w:t>50</w:t>
            </w:r>
          </w:p>
        </w:tc>
        <w:tc>
          <w:tcPr>
            <w:tcW w:w="769" w:type="dxa"/>
            <w:vAlign w:val="top"/>
            <w:textDirection w:val="tbRlV"/>
          </w:tcPr>
          <w:p>
            <w:pPr>
              <w:spacing w:line="264" w:lineRule="auto"/>
              <w:rPr>
                <w:rFonts w:ascii="Arial"/>
                <w:sz w:val="21"/>
              </w:rPr>
            </w:pPr>
            <w:r/>
          </w:p>
          <w:p>
            <w:pPr>
              <w:pStyle w:val="TableText"/>
              <w:ind w:left="5"/>
              <w:spacing w:before="67" w:line="130" w:lineRule="exact"/>
              <w:rPr>
                <w:sz w:val="20"/>
                <w:szCs w:val="20"/>
              </w:rPr>
            </w:pPr>
            <w:r>
              <w:rPr>
                <w:sz w:val="20"/>
                <w:szCs w:val="20"/>
                <w:color w:val="304050"/>
                <w:spacing w:val="50"/>
                <w:w w:val="140"/>
                <w:position w:val="-1"/>
              </w:rPr>
              <w:t>/</w:t>
            </w:r>
          </w:p>
        </w:tc>
        <w:tc>
          <w:tcPr>
            <w:tcW w:w="799" w:type="dxa"/>
            <w:vAlign w:val="top"/>
            <w:textDirection w:val="tbRlV"/>
          </w:tcPr>
          <w:p>
            <w:pPr>
              <w:spacing w:line="273" w:lineRule="auto"/>
              <w:rPr>
                <w:rFonts w:ascii="Arial"/>
                <w:sz w:val="21"/>
              </w:rPr>
            </w:pPr>
            <w:r/>
          </w:p>
          <w:p>
            <w:pPr>
              <w:pStyle w:val="TableText"/>
              <w:ind w:left="5"/>
              <w:spacing w:before="67" w:line="130" w:lineRule="exact"/>
              <w:rPr>
                <w:sz w:val="20"/>
                <w:szCs w:val="20"/>
              </w:rPr>
            </w:pPr>
            <w:r>
              <w:rPr>
                <w:sz w:val="20"/>
                <w:szCs w:val="20"/>
                <w:color w:val="404050"/>
                <w:spacing w:val="50"/>
                <w:w w:val="140"/>
                <w:position w:val="-1"/>
              </w:rPr>
              <w:t>/</w:t>
            </w:r>
          </w:p>
        </w:tc>
        <w:tc>
          <w:tcPr>
            <w:tcW w:w="639" w:type="dxa"/>
            <w:vAlign w:val="top"/>
            <w:textDirection w:val="tbRlV"/>
          </w:tcPr>
          <w:p>
            <w:pPr>
              <w:pStyle w:val="TableText"/>
              <w:ind w:left="5"/>
              <w:spacing w:before="267" w:line="130" w:lineRule="exact"/>
              <w:rPr>
                <w:sz w:val="20"/>
                <w:szCs w:val="20"/>
              </w:rPr>
            </w:pPr>
            <w:r>
              <w:rPr>
                <w:sz w:val="20"/>
                <w:szCs w:val="20"/>
                <w:color w:val="505060"/>
                <w:spacing w:val="50"/>
                <w:w w:val="140"/>
                <w:position w:val="-1"/>
              </w:rPr>
              <w:t>/</w:t>
            </w:r>
          </w:p>
        </w:tc>
        <w:tc>
          <w:tcPr>
            <w:tcW w:w="787" w:type="dxa"/>
            <w:vAlign w:val="top"/>
          </w:tcPr>
          <w:p>
            <w:pPr>
              <w:pStyle w:val="TableText"/>
              <w:ind w:left="340"/>
              <w:spacing w:before="37" w:line="196" w:lineRule="auto"/>
              <w:rPr>
                <w:sz w:val="20"/>
                <w:szCs w:val="20"/>
              </w:rPr>
            </w:pPr>
            <w:r>
              <w:rPr>
                <w:sz w:val="20"/>
                <w:szCs w:val="20"/>
                <w:color w:val="404050"/>
              </w:rPr>
              <w:t>/</w:t>
            </w:r>
          </w:p>
        </w:tc>
      </w:tr>
      <w:tr>
        <w:trPr>
          <w:trHeight w:val="240" w:hRule="atLeast"/>
        </w:trPr>
        <w:tc>
          <w:tcPr>
            <w:tcW w:w="684" w:type="dxa"/>
            <w:vAlign w:val="top"/>
            <w:vMerge w:val="continue"/>
            <w:tcBorders>
              <w:top w:val="nil"/>
              <w:bottom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181"/>
              <w:spacing w:before="21" w:line="192" w:lineRule="auto"/>
              <w:rPr>
                <w:sz w:val="20"/>
                <w:szCs w:val="20"/>
              </w:rPr>
            </w:pPr>
            <w:r>
              <w:rPr>
                <w:sz w:val="20"/>
                <w:szCs w:val="20"/>
                <w:color w:val="605050"/>
                <w:spacing w:val="-2"/>
              </w:rPr>
              <w:t>产生量t/a</w:t>
            </w:r>
          </w:p>
        </w:tc>
        <w:tc>
          <w:tcPr>
            <w:tcW w:w="909" w:type="dxa"/>
            <w:vAlign w:val="top"/>
          </w:tcPr>
          <w:p>
            <w:pPr>
              <w:pStyle w:val="TableText"/>
              <w:ind w:left="144"/>
              <w:spacing w:before="42" w:line="173" w:lineRule="auto"/>
              <w:rPr>
                <w:sz w:val="20"/>
                <w:szCs w:val="20"/>
              </w:rPr>
            </w:pPr>
            <w:r>
              <w:rPr>
                <w:sz w:val="20"/>
                <w:szCs w:val="20"/>
                <w:spacing w:val="-2"/>
              </w:rPr>
              <w:t>0.0288</w:t>
            </w:r>
          </w:p>
        </w:tc>
        <w:tc>
          <w:tcPr>
            <w:tcW w:w="739" w:type="dxa"/>
            <w:vAlign w:val="top"/>
          </w:tcPr>
          <w:p>
            <w:pPr>
              <w:pStyle w:val="TableText"/>
              <w:ind w:left="315"/>
              <w:spacing w:before="42" w:line="173" w:lineRule="auto"/>
              <w:rPr>
                <w:sz w:val="20"/>
                <w:szCs w:val="20"/>
              </w:rPr>
            </w:pPr>
            <w:r>
              <w:rPr>
                <w:sz w:val="20"/>
                <w:szCs w:val="20"/>
              </w:rPr>
              <w:t>0</w:t>
            </w:r>
          </w:p>
        </w:tc>
        <w:tc>
          <w:tcPr>
            <w:tcW w:w="779" w:type="dxa"/>
            <w:vAlign w:val="top"/>
          </w:tcPr>
          <w:p>
            <w:pPr>
              <w:pStyle w:val="TableText"/>
              <w:ind w:left="86"/>
              <w:spacing w:before="42" w:line="173" w:lineRule="auto"/>
              <w:rPr>
                <w:sz w:val="20"/>
                <w:szCs w:val="20"/>
              </w:rPr>
            </w:pPr>
            <w:r>
              <w:rPr>
                <w:sz w:val="20"/>
                <w:szCs w:val="20"/>
                <w:spacing w:val="-2"/>
              </w:rPr>
              <w:t>0.0180</w:t>
            </w:r>
          </w:p>
        </w:tc>
        <w:tc>
          <w:tcPr>
            <w:tcW w:w="769" w:type="dxa"/>
            <w:vAlign w:val="top"/>
          </w:tcPr>
          <w:p>
            <w:pPr>
              <w:pStyle w:val="TableText"/>
              <w:ind w:left="327"/>
              <w:spacing w:before="42" w:line="173" w:lineRule="auto"/>
              <w:rPr>
                <w:sz w:val="20"/>
                <w:szCs w:val="20"/>
              </w:rPr>
            </w:pPr>
            <w:r>
              <w:rPr>
                <w:sz w:val="20"/>
                <w:szCs w:val="20"/>
              </w:rPr>
              <w:t>0</w:t>
            </w:r>
          </w:p>
        </w:tc>
        <w:tc>
          <w:tcPr>
            <w:tcW w:w="799" w:type="dxa"/>
            <w:vAlign w:val="top"/>
          </w:tcPr>
          <w:p>
            <w:pPr>
              <w:pStyle w:val="TableText"/>
              <w:ind w:left="348"/>
              <w:spacing w:before="42" w:line="173" w:lineRule="auto"/>
              <w:rPr>
                <w:sz w:val="20"/>
                <w:szCs w:val="20"/>
              </w:rPr>
            </w:pPr>
            <w:r>
              <w:rPr>
                <w:sz w:val="20"/>
                <w:szCs w:val="20"/>
              </w:rPr>
              <w:t>0</w:t>
            </w:r>
          </w:p>
        </w:tc>
        <w:tc>
          <w:tcPr>
            <w:tcW w:w="639" w:type="dxa"/>
            <w:vAlign w:val="top"/>
          </w:tcPr>
          <w:p>
            <w:pPr>
              <w:pStyle w:val="TableText"/>
              <w:ind w:left="268"/>
              <w:spacing w:before="42" w:line="173" w:lineRule="auto"/>
              <w:rPr>
                <w:sz w:val="20"/>
                <w:szCs w:val="20"/>
              </w:rPr>
            </w:pPr>
            <w:r>
              <w:rPr>
                <w:sz w:val="20"/>
                <w:szCs w:val="20"/>
              </w:rPr>
              <w:t>0</w:t>
            </w:r>
          </w:p>
        </w:tc>
        <w:tc>
          <w:tcPr>
            <w:tcW w:w="787" w:type="dxa"/>
            <w:vAlign w:val="top"/>
          </w:tcPr>
          <w:p>
            <w:pPr>
              <w:pStyle w:val="TableText"/>
              <w:ind w:left="340"/>
              <w:spacing w:before="42" w:line="173" w:lineRule="auto"/>
              <w:rPr>
                <w:sz w:val="20"/>
                <w:szCs w:val="20"/>
              </w:rPr>
            </w:pPr>
            <w:r>
              <w:rPr>
                <w:sz w:val="20"/>
                <w:szCs w:val="20"/>
              </w:rPr>
              <w:t>0</w:t>
            </w:r>
          </w:p>
        </w:tc>
      </w:tr>
      <w:tr>
        <w:trPr>
          <w:trHeight w:val="270" w:hRule="atLeast"/>
        </w:trPr>
        <w:tc>
          <w:tcPr>
            <w:tcW w:w="684" w:type="dxa"/>
            <w:vAlign w:val="top"/>
            <w:vMerge w:val="continue"/>
            <w:tcBorders>
              <w:top w:val="nil"/>
              <w:bottom w:val="nil"/>
            </w:tcBorders>
          </w:tcPr>
          <w:p>
            <w:pPr>
              <w:rPr>
                <w:rFonts w:ascii="Arial"/>
                <w:sz w:val="21"/>
              </w:rPr>
            </w:pPr>
            <w:r/>
          </w:p>
        </w:tc>
        <w:tc>
          <w:tcPr>
            <w:tcW w:w="270" w:type="dxa"/>
            <w:vAlign w:val="top"/>
            <w:vMerge w:val="restart"/>
            <w:textDirection w:val="tbRlV"/>
            <w:tcBorders>
              <w:bottom w:val="nil"/>
            </w:tcBorders>
          </w:tcPr>
          <w:p>
            <w:pPr>
              <w:pStyle w:val="TableText"/>
              <w:spacing w:before="57" w:line="200" w:lineRule="auto"/>
              <w:rPr>
                <w:sz w:val="20"/>
                <w:szCs w:val="20"/>
              </w:rPr>
            </w:pPr>
            <w:r>
              <w:rPr>
                <w:sz w:val="20"/>
                <w:szCs w:val="20"/>
                <w:spacing w:val="-2"/>
              </w:rPr>
              <w:t>全</w:t>
            </w:r>
            <w:r>
              <w:rPr>
                <w:sz w:val="20"/>
                <w:szCs w:val="20"/>
                <w:spacing w:val="32"/>
              </w:rPr>
              <w:t xml:space="preserve"> </w:t>
            </w:r>
            <w:r>
              <w:rPr>
                <w:sz w:val="20"/>
                <w:szCs w:val="20"/>
                <w:spacing w:val="-2"/>
              </w:rPr>
              <w:t>年</w:t>
            </w:r>
          </w:p>
        </w:tc>
        <w:tc>
          <w:tcPr>
            <w:tcW w:w="769" w:type="dxa"/>
            <w:vAlign w:val="top"/>
            <w:vMerge w:val="restart"/>
            <w:tcBorders>
              <w:bottom w:val="nil"/>
            </w:tcBorders>
          </w:tcPr>
          <w:p>
            <w:pPr>
              <w:pStyle w:val="TableText"/>
              <w:ind w:left="171"/>
              <w:spacing w:before="191"/>
              <w:rPr>
                <w:sz w:val="20"/>
                <w:szCs w:val="20"/>
              </w:rPr>
            </w:pPr>
            <w:r>
              <w:rPr>
                <w:sz w:val="20"/>
                <w:szCs w:val="20"/>
                <w:spacing w:val="-5"/>
              </w:rPr>
              <w:t>1440</w:t>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32"/>
              <w:spacing w:before="35" w:line="207" w:lineRule="auto"/>
              <w:rPr>
                <w:sz w:val="20"/>
                <w:szCs w:val="20"/>
              </w:rPr>
            </w:pPr>
            <w:r>
              <w:rPr>
                <w:sz w:val="20"/>
                <w:szCs w:val="20"/>
                <w:spacing w:val="-1"/>
              </w:rPr>
              <w:t>产生浓度mg/L</w:t>
            </w:r>
          </w:p>
        </w:tc>
        <w:tc>
          <w:tcPr>
            <w:tcW w:w="909" w:type="dxa"/>
            <w:vAlign w:val="top"/>
          </w:tcPr>
          <w:p>
            <w:pPr>
              <w:pStyle w:val="TableText"/>
              <w:ind w:left="344"/>
              <w:spacing w:before="61" w:line="183" w:lineRule="auto"/>
              <w:rPr>
                <w:sz w:val="20"/>
                <w:szCs w:val="20"/>
              </w:rPr>
            </w:pPr>
            <w:r>
              <w:rPr>
                <w:sz w:val="20"/>
                <w:szCs w:val="20"/>
                <w:spacing w:val="-3"/>
              </w:rPr>
              <w:t>80</w:t>
            </w:r>
          </w:p>
        </w:tc>
        <w:tc>
          <w:tcPr>
            <w:tcW w:w="739" w:type="dxa"/>
            <w:vAlign w:val="top"/>
            <w:textDirection w:val="tbRlV"/>
          </w:tcPr>
          <w:p>
            <w:pPr>
              <w:spacing w:line="247" w:lineRule="auto"/>
              <w:rPr>
                <w:rFonts w:ascii="Arial"/>
                <w:sz w:val="21"/>
              </w:rPr>
            </w:pPr>
            <w:r/>
          </w:p>
          <w:p>
            <w:pPr>
              <w:pStyle w:val="TableText"/>
              <w:ind w:left="15"/>
              <w:spacing w:before="67" w:line="130" w:lineRule="exact"/>
              <w:rPr>
                <w:sz w:val="20"/>
                <w:szCs w:val="20"/>
              </w:rPr>
            </w:pPr>
            <w:r>
              <w:rPr>
                <w:sz w:val="20"/>
                <w:szCs w:val="20"/>
                <w:spacing w:val="50"/>
                <w:w w:val="140"/>
                <w:position w:val="-1"/>
              </w:rPr>
              <w:t>/</w:t>
            </w:r>
          </w:p>
        </w:tc>
        <w:tc>
          <w:tcPr>
            <w:tcW w:w="779" w:type="dxa"/>
            <w:vAlign w:val="top"/>
          </w:tcPr>
          <w:p>
            <w:pPr>
              <w:pStyle w:val="TableText"/>
              <w:ind w:left="286"/>
              <w:spacing w:before="61" w:line="183" w:lineRule="auto"/>
              <w:rPr>
                <w:sz w:val="20"/>
                <w:szCs w:val="20"/>
              </w:rPr>
            </w:pPr>
            <w:r>
              <w:rPr>
                <w:sz w:val="20"/>
                <w:szCs w:val="20"/>
                <w:spacing w:val="-3"/>
              </w:rPr>
              <w:t>50</w:t>
            </w:r>
          </w:p>
        </w:tc>
        <w:tc>
          <w:tcPr>
            <w:tcW w:w="769" w:type="dxa"/>
            <w:vAlign w:val="top"/>
            <w:textDirection w:val="tbRlV"/>
          </w:tcPr>
          <w:p>
            <w:pPr>
              <w:spacing w:line="264" w:lineRule="auto"/>
              <w:rPr>
                <w:rFonts w:ascii="Arial"/>
                <w:sz w:val="21"/>
              </w:rPr>
            </w:pPr>
            <w:r/>
          </w:p>
          <w:p>
            <w:pPr>
              <w:pStyle w:val="TableText"/>
              <w:ind w:left="15"/>
              <w:spacing w:before="67" w:line="130" w:lineRule="exact"/>
              <w:rPr>
                <w:sz w:val="20"/>
                <w:szCs w:val="20"/>
              </w:rPr>
            </w:pPr>
            <w:r>
              <w:rPr>
                <w:sz w:val="20"/>
                <w:szCs w:val="20"/>
                <w:color w:val="404050"/>
                <w:spacing w:val="50"/>
                <w:w w:val="140"/>
                <w:position w:val="-1"/>
              </w:rPr>
              <w:t>/</w:t>
            </w:r>
          </w:p>
        </w:tc>
        <w:tc>
          <w:tcPr>
            <w:tcW w:w="799" w:type="dxa"/>
            <w:vAlign w:val="top"/>
            <w:textDirection w:val="tbRlV"/>
          </w:tcPr>
          <w:p>
            <w:pPr>
              <w:spacing w:line="273" w:lineRule="auto"/>
              <w:rPr>
                <w:rFonts w:ascii="Arial"/>
                <w:sz w:val="21"/>
              </w:rPr>
            </w:pPr>
            <w:r/>
          </w:p>
          <w:p>
            <w:pPr>
              <w:pStyle w:val="TableText"/>
              <w:ind w:left="15"/>
              <w:spacing w:before="67" w:line="130" w:lineRule="exact"/>
              <w:rPr>
                <w:sz w:val="20"/>
                <w:szCs w:val="20"/>
              </w:rPr>
            </w:pPr>
            <w:r>
              <w:rPr>
                <w:sz w:val="20"/>
                <w:szCs w:val="20"/>
                <w:color w:val="404050"/>
                <w:spacing w:val="50"/>
                <w:w w:val="140"/>
                <w:position w:val="-1"/>
              </w:rPr>
              <w:t>/</w:t>
            </w:r>
          </w:p>
        </w:tc>
        <w:tc>
          <w:tcPr>
            <w:tcW w:w="639" w:type="dxa"/>
            <w:vAlign w:val="top"/>
            <w:textDirection w:val="tbRlV"/>
          </w:tcPr>
          <w:p>
            <w:pPr>
              <w:pStyle w:val="TableText"/>
              <w:ind w:left="15"/>
              <w:spacing w:before="267" w:line="130" w:lineRule="exact"/>
              <w:rPr>
                <w:sz w:val="20"/>
                <w:szCs w:val="20"/>
              </w:rPr>
            </w:pPr>
            <w:r>
              <w:rPr>
                <w:sz w:val="20"/>
                <w:szCs w:val="20"/>
                <w:color w:val="505060"/>
                <w:spacing w:val="50"/>
                <w:w w:val="140"/>
                <w:position w:val="-1"/>
              </w:rPr>
              <w:t>/</w:t>
            </w:r>
          </w:p>
        </w:tc>
        <w:tc>
          <w:tcPr>
            <w:tcW w:w="787" w:type="dxa"/>
            <w:vAlign w:val="top"/>
          </w:tcPr>
          <w:p>
            <w:pPr>
              <w:pStyle w:val="TableText"/>
              <w:ind w:left="340"/>
              <w:spacing w:before="47" w:line="196" w:lineRule="auto"/>
              <w:rPr>
                <w:sz w:val="20"/>
                <w:szCs w:val="20"/>
              </w:rPr>
            </w:pPr>
            <w:r>
              <w:rPr>
                <w:sz w:val="20"/>
                <w:szCs w:val="20"/>
                <w:color w:val="404050"/>
              </w:rPr>
              <w:t>/</w:t>
            </w:r>
          </w:p>
        </w:tc>
      </w:tr>
      <w:tr>
        <w:trPr>
          <w:trHeight w:val="260" w:hRule="atLeast"/>
        </w:trPr>
        <w:tc>
          <w:tcPr>
            <w:tcW w:w="684" w:type="dxa"/>
            <w:vAlign w:val="top"/>
            <w:vMerge w:val="continue"/>
            <w:tcBorders>
              <w:top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0" w:type="dxa"/>
            <w:vAlign w:val="top"/>
            <w:vMerge w:val="continue"/>
            <w:textDirection w:val="tbRlV"/>
            <w:tcBorders>
              <w:top w:val="nil"/>
            </w:tcBorders>
          </w:tcPr>
          <w:p>
            <w:pPr>
              <w:spacing w:line="240" w:lineRule="exact"/>
              <w:rPr>
                <w:rFonts w:ascii="Arial"/>
                <w:sz w:val="20"/>
              </w:rPr>
            </w:pPr>
            <w:r/>
          </w:p>
        </w:tc>
        <w:tc>
          <w:tcPr>
            <w:tcW w:w="1288" w:type="dxa"/>
            <w:vAlign w:val="top"/>
          </w:tcPr>
          <w:p>
            <w:pPr>
              <w:pStyle w:val="TableText"/>
              <w:ind w:left="181"/>
              <w:spacing w:before="32" w:line="201" w:lineRule="auto"/>
              <w:rPr>
                <w:sz w:val="20"/>
                <w:szCs w:val="20"/>
              </w:rPr>
            </w:pPr>
            <w:r>
              <w:rPr>
                <w:sz w:val="20"/>
                <w:szCs w:val="20"/>
                <w:spacing w:val="-2"/>
              </w:rPr>
              <w:t>产生量t/a</w:t>
            </w:r>
          </w:p>
        </w:tc>
        <w:tc>
          <w:tcPr>
            <w:tcW w:w="909" w:type="dxa"/>
            <w:vAlign w:val="top"/>
          </w:tcPr>
          <w:p>
            <w:pPr>
              <w:pStyle w:val="TableText"/>
              <w:ind w:left="144"/>
              <w:spacing w:before="51" w:line="183" w:lineRule="auto"/>
              <w:rPr>
                <w:sz w:val="20"/>
                <w:szCs w:val="20"/>
              </w:rPr>
            </w:pPr>
            <w:r>
              <w:rPr>
                <w:sz w:val="20"/>
                <w:szCs w:val="20"/>
                <w:spacing w:val="-2"/>
              </w:rPr>
              <w:t>0.1152</w:t>
            </w:r>
          </w:p>
        </w:tc>
        <w:tc>
          <w:tcPr>
            <w:tcW w:w="739" w:type="dxa"/>
            <w:vAlign w:val="top"/>
          </w:tcPr>
          <w:p>
            <w:pPr>
              <w:pStyle w:val="TableText"/>
              <w:ind w:left="315"/>
              <w:spacing w:before="51" w:line="183" w:lineRule="auto"/>
              <w:rPr>
                <w:sz w:val="20"/>
                <w:szCs w:val="20"/>
              </w:rPr>
            </w:pPr>
            <w:r>
              <w:rPr>
                <w:sz w:val="20"/>
                <w:szCs w:val="20"/>
              </w:rPr>
              <w:t>0</w:t>
            </w:r>
          </w:p>
        </w:tc>
        <w:tc>
          <w:tcPr>
            <w:tcW w:w="779" w:type="dxa"/>
            <w:vAlign w:val="top"/>
          </w:tcPr>
          <w:p>
            <w:pPr>
              <w:pStyle w:val="TableText"/>
              <w:ind w:left="86"/>
              <w:spacing w:before="51" w:line="183" w:lineRule="auto"/>
              <w:rPr>
                <w:sz w:val="20"/>
                <w:szCs w:val="20"/>
              </w:rPr>
            </w:pPr>
            <w:r>
              <w:rPr>
                <w:sz w:val="20"/>
                <w:szCs w:val="20"/>
                <w:spacing w:val="-2"/>
              </w:rPr>
              <w:t>0.0720</w:t>
            </w:r>
          </w:p>
        </w:tc>
        <w:tc>
          <w:tcPr>
            <w:tcW w:w="769" w:type="dxa"/>
            <w:vAlign w:val="top"/>
          </w:tcPr>
          <w:p>
            <w:pPr>
              <w:pStyle w:val="TableText"/>
              <w:ind w:left="327"/>
              <w:spacing w:before="51" w:line="183" w:lineRule="auto"/>
              <w:rPr>
                <w:sz w:val="20"/>
                <w:szCs w:val="20"/>
              </w:rPr>
            </w:pPr>
            <w:r>
              <w:rPr>
                <w:sz w:val="20"/>
                <w:szCs w:val="20"/>
              </w:rPr>
              <w:t>0</w:t>
            </w:r>
          </w:p>
        </w:tc>
        <w:tc>
          <w:tcPr>
            <w:tcW w:w="799" w:type="dxa"/>
            <w:vAlign w:val="top"/>
          </w:tcPr>
          <w:p>
            <w:pPr>
              <w:pStyle w:val="TableText"/>
              <w:ind w:left="348"/>
              <w:spacing w:before="51" w:line="183" w:lineRule="auto"/>
              <w:rPr>
                <w:sz w:val="20"/>
                <w:szCs w:val="20"/>
              </w:rPr>
            </w:pPr>
            <w:r>
              <w:rPr>
                <w:sz w:val="20"/>
                <w:szCs w:val="20"/>
              </w:rPr>
              <w:t>0</w:t>
            </w:r>
          </w:p>
        </w:tc>
        <w:tc>
          <w:tcPr>
            <w:tcW w:w="639" w:type="dxa"/>
            <w:vAlign w:val="top"/>
          </w:tcPr>
          <w:p>
            <w:pPr>
              <w:pStyle w:val="TableText"/>
              <w:ind w:left="268"/>
              <w:spacing w:before="51" w:line="183" w:lineRule="auto"/>
              <w:rPr>
                <w:sz w:val="20"/>
                <w:szCs w:val="20"/>
              </w:rPr>
            </w:pPr>
            <w:r>
              <w:rPr>
                <w:sz w:val="20"/>
                <w:szCs w:val="20"/>
              </w:rPr>
              <w:t>0</w:t>
            </w:r>
          </w:p>
        </w:tc>
        <w:tc>
          <w:tcPr>
            <w:tcW w:w="787" w:type="dxa"/>
            <w:vAlign w:val="top"/>
          </w:tcPr>
          <w:p>
            <w:pPr>
              <w:pStyle w:val="TableText"/>
              <w:ind w:left="340"/>
              <w:spacing w:before="51" w:line="183" w:lineRule="auto"/>
              <w:rPr>
                <w:sz w:val="20"/>
                <w:szCs w:val="20"/>
              </w:rPr>
            </w:pPr>
            <w:r>
              <w:rPr>
                <w:sz w:val="20"/>
                <w:szCs w:val="20"/>
              </w:rPr>
              <w:t>0</w:t>
            </w:r>
          </w:p>
        </w:tc>
      </w:tr>
      <w:tr>
        <w:trPr>
          <w:trHeight w:val="270" w:hRule="atLeast"/>
        </w:trPr>
        <w:tc>
          <w:tcPr>
            <w:tcW w:w="684" w:type="dxa"/>
            <w:vAlign w:val="top"/>
            <w:vMerge w:val="restart"/>
            <w:tcBorders>
              <w:bottom w:val="nil"/>
            </w:tcBorders>
          </w:tcPr>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35"/>
              <w:spacing w:before="65" w:line="219" w:lineRule="auto"/>
              <w:rPr>
                <w:sz w:val="20"/>
                <w:szCs w:val="20"/>
              </w:rPr>
            </w:pPr>
            <w:r>
              <w:rPr>
                <w:sz w:val="20"/>
                <w:szCs w:val="20"/>
                <w:spacing w:val="-3"/>
              </w:rPr>
              <w:t>生产废</w:t>
            </w:r>
          </w:p>
          <w:p>
            <w:pPr>
              <w:pStyle w:val="TableText"/>
              <w:ind w:left="35"/>
              <w:spacing w:before="12" w:line="219" w:lineRule="auto"/>
              <w:rPr>
                <w:sz w:val="20"/>
                <w:szCs w:val="20"/>
              </w:rPr>
            </w:pPr>
            <w:r>
              <w:rPr>
                <w:sz w:val="20"/>
                <w:szCs w:val="20"/>
                <w:spacing w:val="3"/>
              </w:rPr>
              <w:t>水、初</w:t>
            </w:r>
          </w:p>
          <w:p>
            <w:pPr>
              <w:pStyle w:val="TableText"/>
              <w:ind w:left="135"/>
              <w:spacing w:before="43" w:line="220" w:lineRule="auto"/>
              <w:rPr>
                <w:sz w:val="20"/>
                <w:szCs w:val="20"/>
              </w:rPr>
            </w:pPr>
            <w:r>
              <w:rPr>
                <w:sz w:val="20"/>
                <w:szCs w:val="20"/>
                <w:spacing w:val="7"/>
              </w:rPr>
              <w:t>期雨</w:t>
            </w:r>
          </w:p>
          <w:p>
            <w:pPr>
              <w:pStyle w:val="TableText"/>
              <w:ind w:left="35"/>
              <w:spacing w:before="21" w:line="219" w:lineRule="auto"/>
              <w:rPr>
                <w:sz w:val="20"/>
                <w:szCs w:val="20"/>
              </w:rPr>
            </w:pPr>
            <w:r>
              <w:rPr>
                <w:sz w:val="20"/>
                <w:szCs w:val="20"/>
                <w:spacing w:val="3"/>
              </w:rPr>
              <w:t>水、蒸</w:t>
            </w:r>
          </w:p>
          <w:p>
            <w:pPr>
              <w:pStyle w:val="TableText"/>
              <w:ind w:left="35"/>
              <w:spacing w:before="13" w:line="220" w:lineRule="auto"/>
              <w:rPr>
                <w:sz w:val="20"/>
                <w:szCs w:val="20"/>
              </w:rPr>
            </w:pPr>
            <w:r>
              <w:rPr>
                <w:sz w:val="20"/>
                <w:szCs w:val="20"/>
                <w:spacing w:val="-2"/>
              </w:rPr>
              <w:t>汽发生</w:t>
            </w:r>
          </w:p>
          <w:p>
            <w:pPr>
              <w:pStyle w:val="TableText"/>
              <w:ind w:left="35"/>
              <w:spacing w:before="21" w:line="219" w:lineRule="auto"/>
              <w:rPr>
                <w:sz w:val="20"/>
                <w:szCs w:val="20"/>
              </w:rPr>
            </w:pPr>
            <w:r>
              <w:rPr>
                <w:sz w:val="20"/>
                <w:szCs w:val="20"/>
                <w:spacing w:val="-2"/>
              </w:rPr>
              <w:t>器废水</w:t>
            </w:r>
          </w:p>
        </w:tc>
        <w:tc>
          <w:tcPr>
            <w:tcW w:w="270" w:type="dxa"/>
            <w:vAlign w:val="top"/>
            <w:vMerge w:val="restart"/>
            <w:textDirection w:val="tbRlV"/>
            <w:tcBorders>
              <w:bottom w:val="nil"/>
            </w:tcBorders>
          </w:tcPr>
          <w:p>
            <w:pPr>
              <w:pStyle w:val="TableText"/>
              <w:spacing w:before="57" w:line="199" w:lineRule="auto"/>
              <w:rPr>
                <w:sz w:val="20"/>
                <w:szCs w:val="20"/>
              </w:rPr>
            </w:pPr>
            <w:r>
              <w:rPr>
                <w:sz w:val="20"/>
                <w:szCs w:val="20"/>
                <w:spacing w:val="-2"/>
              </w:rPr>
              <w:t>淡</w:t>
            </w:r>
            <w:r>
              <w:rPr>
                <w:sz w:val="20"/>
                <w:szCs w:val="20"/>
                <w:spacing w:val="15"/>
              </w:rPr>
              <w:t xml:space="preserve"> </w:t>
            </w:r>
            <w:r>
              <w:rPr>
                <w:sz w:val="20"/>
                <w:szCs w:val="20"/>
                <w:spacing w:val="-2"/>
              </w:rPr>
              <w:t>季</w:t>
            </w:r>
          </w:p>
        </w:tc>
        <w:tc>
          <w:tcPr>
            <w:tcW w:w="769" w:type="dxa"/>
            <w:vAlign w:val="top"/>
            <w:vMerge w:val="restart"/>
            <w:tcBorders>
              <w:bottom w:val="nil"/>
            </w:tcBorders>
          </w:tcPr>
          <w:p>
            <w:pPr>
              <w:pStyle w:val="TableText"/>
              <w:ind w:left="70"/>
              <w:spacing w:before="181"/>
              <w:rPr>
                <w:sz w:val="20"/>
                <w:szCs w:val="20"/>
              </w:rPr>
            </w:pPr>
            <w:r>
              <w:rPr>
                <w:sz w:val="20"/>
                <w:szCs w:val="20"/>
                <w:spacing w:val="-4"/>
              </w:rPr>
              <w:t>175932</w:t>
            </w:r>
          </w:p>
        </w:tc>
        <w:tc>
          <w:tcPr>
            <w:tcW w:w="250" w:type="dxa"/>
            <w:vAlign w:val="top"/>
            <w:vMerge w:val="restart"/>
            <w:textDirection w:val="tbRlV"/>
            <w:tcBorders>
              <w:bottom w:val="nil"/>
            </w:tcBorders>
          </w:tcPr>
          <w:p>
            <w:pPr>
              <w:pStyle w:val="TableText"/>
              <w:ind w:left="409"/>
              <w:spacing w:before="35" w:line="201" w:lineRule="auto"/>
              <w:rPr>
                <w:sz w:val="20"/>
                <w:szCs w:val="20"/>
              </w:rPr>
            </w:pPr>
            <w:r>
              <w:rPr>
                <w:sz w:val="20"/>
                <w:szCs w:val="20"/>
              </w:rPr>
              <w:t>处</w:t>
            </w:r>
            <w:r>
              <w:rPr>
                <w:sz w:val="20"/>
                <w:szCs w:val="20"/>
                <w:spacing w:val="-46"/>
              </w:rPr>
              <w:t xml:space="preserve"> </w:t>
            </w:r>
            <w:r>
              <w:rPr>
                <w:sz w:val="20"/>
                <w:szCs w:val="20"/>
              </w:rPr>
              <w:t>理</w:t>
            </w:r>
            <w:r>
              <w:rPr>
                <w:sz w:val="20"/>
                <w:szCs w:val="20"/>
                <w:spacing w:val="46"/>
              </w:rPr>
              <w:t xml:space="preserve"> </w:t>
            </w:r>
            <w:r>
              <w:rPr>
                <w:sz w:val="20"/>
                <w:szCs w:val="20"/>
              </w:rPr>
              <w:t>前</w:t>
            </w:r>
          </w:p>
        </w:tc>
        <w:tc>
          <w:tcPr>
            <w:tcW w:w="1288" w:type="dxa"/>
            <w:vAlign w:val="top"/>
          </w:tcPr>
          <w:p>
            <w:pPr>
              <w:pStyle w:val="TableText"/>
              <w:ind w:left="32"/>
              <w:spacing w:before="35" w:line="207" w:lineRule="auto"/>
              <w:rPr>
                <w:sz w:val="20"/>
                <w:szCs w:val="20"/>
              </w:rPr>
            </w:pPr>
            <w:r>
              <w:rPr>
                <w:sz w:val="20"/>
                <w:szCs w:val="20"/>
                <w:spacing w:val="-1"/>
              </w:rPr>
              <w:t>产生浓度mg/L</w:t>
            </w:r>
          </w:p>
        </w:tc>
        <w:tc>
          <w:tcPr>
            <w:tcW w:w="909" w:type="dxa"/>
            <w:vAlign w:val="top"/>
          </w:tcPr>
          <w:p>
            <w:pPr>
              <w:pStyle w:val="TableText"/>
              <w:ind w:left="94"/>
              <w:spacing w:before="61" w:line="183" w:lineRule="auto"/>
              <w:rPr>
                <w:sz w:val="20"/>
                <w:szCs w:val="20"/>
              </w:rPr>
            </w:pPr>
            <w:r>
              <w:rPr>
                <w:sz w:val="20"/>
                <w:szCs w:val="20"/>
                <w:spacing w:val="-2"/>
              </w:rPr>
              <w:t>2017.63</w:t>
            </w:r>
          </w:p>
        </w:tc>
        <w:tc>
          <w:tcPr>
            <w:tcW w:w="739" w:type="dxa"/>
            <w:vAlign w:val="top"/>
          </w:tcPr>
          <w:p>
            <w:pPr>
              <w:pStyle w:val="TableText"/>
              <w:ind w:left="64"/>
              <w:spacing w:before="61" w:line="183" w:lineRule="auto"/>
              <w:rPr>
                <w:sz w:val="20"/>
                <w:szCs w:val="20"/>
              </w:rPr>
            </w:pPr>
            <w:r>
              <w:rPr>
                <w:sz w:val="20"/>
                <w:szCs w:val="20"/>
                <w:spacing w:val="-2"/>
              </w:rPr>
              <w:t>910.07</w:t>
            </w:r>
          </w:p>
        </w:tc>
        <w:tc>
          <w:tcPr>
            <w:tcW w:w="779" w:type="dxa"/>
            <w:vAlign w:val="top"/>
          </w:tcPr>
          <w:p>
            <w:pPr>
              <w:pStyle w:val="TableText"/>
              <w:ind w:left="86"/>
              <w:spacing w:before="61" w:line="183" w:lineRule="auto"/>
              <w:rPr>
                <w:sz w:val="20"/>
                <w:szCs w:val="20"/>
              </w:rPr>
            </w:pPr>
            <w:r>
              <w:rPr>
                <w:sz w:val="20"/>
                <w:szCs w:val="20"/>
                <w:spacing w:val="-2"/>
              </w:rPr>
              <w:t>876.34</w:t>
            </w:r>
          </w:p>
        </w:tc>
        <w:tc>
          <w:tcPr>
            <w:tcW w:w="769" w:type="dxa"/>
            <w:vAlign w:val="top"/>
          </w:tcPr>
          <w:p>
            <w:pPr>
              <w:pStyle w:val="TableText"/>
              <w:ind w:left="77"/>
              <w:spacing w:before="61" w:line="183" w:lineRule="auto"/>
              <w:rPr>
                <w:sz w:val="20"/>
                <w:szCs w:val="20"/>
              </w:rPr>
            </w:pPr>
            <w:r>
              <w:rPr>
                <w:sz w:val="20"/>
                <w:szCs w:val="20"/>
                <w:spacing w:val="-4"/>
              </w:rPr>
              <w:t>152.50</w:t>
            </w:r>
          </w:p>
        </w:tc>
        <w:tc>
          <w:tcPr>
            <w:tcW w:w="799" w:type="dxa"/>
            <w:vAlign w:val="top"/>
          </w:tcPr>
          <w:p>
            <w:pPr>
              <w:pStyle w:val="TableText"/>
              <w:ind w:left="98"/>
              <w:spacing w:before="61" w:line="183" w:lineRule="auto"/>
              <w:rPr>
                <w:sz w:val="20"/>
                <w:szCs w:val="20"/>
              </w:rPr>
            </w:pPr>
            <w:r>
              <w:rPr>
                <w:sz w:val="20"/>
                <w:szCs w:val="20"/>
                <w:spacing w:val="-4"/>
              </w:rPr>
              <w:t>167.20</w:t>
            </w:r>
          </w:p>
        </w:tc>
        <w:tc>
          <w:tcPr>
            <w:tcW w:w="639" w:type="dxa"/>
            <w:vAlign w:val="top"/>
          </w:tcPr>
          <w:p>
            <w:pPr>
              <w:pStyle w:val="TableText"/>
              <w:ind w:left="69"/>
              <w:spacing w:before="61" w:line="183" w:lineRule="auto"/>
              <w:rPr>
                <w:sz w:val="20"/>
                <w:szCs w:val="20"/>
              </w:rPr>
            </w:pPr>
            <w:r>
              <w:rPr>
                <w:sz w:val="20"/>
                <w:szCs w:val="20"/>
                <w:spacing w:val="-4"/>
              </w:rPr>
              <w:t>19.35</w:t>
            </w:r>
          </w:p>
        </w:tc>
        <w:tc>
          <w:tcPr>
            <w:tcW w:w="787" w:type="dxa"/>
            <w:vAlign w:val="top"/>
          </w:tcPr>
          <w:p>
            <w:pPr>
              <w:pStyle w:val="TableText"/>
              <w:ind w:left="90"/>
              <w:spacing w:before="61" w:line="183" w:lineRule="auto"/>
              <w:rPr>
                <w:sz w:val="20"/>
                <w:szCs w:val="20"/>
              </w:rPr>
            </w:pPr>
            <w:r>
              <w:rPr>
                <w:sz w:val="20"/>
                <w:szCs w:val="20"/>
                <w:spacing w:val="-4"/>
              </w:rPr>
              <w:t>164.93</w:t>
            </w:r>
          </w:p>
        </w:tc>
      </w:tr>
      <w:tr>
        <w:trPr>
          <w:trHeight w:val="239" w:hRule="atLeast"/>
        </w:trPr>
        <w:tc>
          <w:tcPr>
            <w:tcW w:w="684" w:type="dxa"/>
            <w:vAlign w:val="top"/>
            <w:vMerge w:val="continue"/>
            <w:tcBorders>
              <w:top w:val="nil"/>
              <w:bottom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181"/>
              <w:spacing w:before="22" w:line="191" w:lineRule="auto"/>
              <w:rPr>
                <w:sz w:val="20"/>
                <w:szCs w:val="20"/>
              </w:rPr>
            </w:pPr>
            <w:r>
              <w:rPr>
                <w:sz w:val="20"/>
                <w:szCs w:val="20"/>
                <w:spacing w:val="-2"/>
              </w:rPr>
              <w:t>产生量t/a</w:t>
            </w:r>
          </w:p>
        </w:tc>
        <w:tc>
          <w:tcPr>
            <w:tcW w:w="909" w:type="dxa"/>
            <w:vAlign w:val="top"/>
          </w:tcPr>
          <w:p>
            <w:pPr>
              <w:pStyle w:val="TableText"/>
              <w:ind w:left="44"/>
              <w:spacing w:before="41" w:line="173" w:lineRule="auto"/>
              <w:rPr>
                <w:sz w:val="20"/>
                <w:szCs w:val="20"/>
              </w:rPr>
            </w:pPr>
            <w:r>
              <w:rPr>
                <w:sz w:val="20"/>
                <w:szCs w:val="20"/>
                <w:spacing w:val="-2"/>
              </w:rPr>
              <w:t>354.9663</w:t>
            </w:r>
          </w:p>
        </w:tc>
        <w:tc>
          <w:tcPr>
            <w:tcW w:w="739" w:type="dxa"/>
            <w:vAlign w:val="top"/>
          </w:tcPr>
          <w:p>
            <w:pPr>
              <w:pStyle w:val="TableText"/>
              <w:spacing w:before="41" w:line="173" w:lineRule="auto"/>
              <w:jc w:val="right"/>
              <w:rPr>
                <w:sz w:val="20"/>
                <w:szCs w:val="20"/>
              </w:rPr>
            </w:pPr>
            <w:r>
              <w:rPr>
                <w:sz w:val="20"/>
                <w:szCs w:val="20"/>
                <w:spacing w:val="-11"/>
              </w:rPr>
              <w:t>160.1100</w:t>
            </w:r>
          </w:p>
        </w:tc>
        <w:tc>
          <w:tcPr>
            <w:tcW w:w="779" w:type="dxa"/>
            <w:vAlign w:val="top"/>
          </w:tcPr>
          <w:p>
            <w:pPr>
              <w:pStyle w:val="TableText"/>
              <w:spacing w:before="41" w:line="173" w:lineRule="auto"/>
              <w:jc w:val="right"/>
              <w:rPr>
                <w:sz w:val="20"/>
                <w:szCs w:val="20"/>
              </w:rPr>
            </w:pPr>
            <w:r>
              <w:rPr>
                <w:sz w:val="20"/>
                <w:szCs w:val="20"/>
                <w:spacing w:val="-6"/>
              </w:rPr>
              <w:t>154.1768</w:t>
            </w:r>
          </w:p>
        </w:tc>
        <w:tc>
          <w:tcPr>
            <w:tcW w:w="769" w:type="dxa"/>
            <w:vAlign w:val="top"/>
          </w:tcPr>
          <w:p>
            <w:pPr>
              <w:pStyle w:val="TableText"/>
              <w:ind w:left="27"/>
              <w:spacing w:before="41" w:line="173" w:lineRule="auto"/>
              <w:rPr>
                <w:sz w:val="20"/>
                <w:szCs w:val="20"/>
              </w:rPr>
            </w:pPr>
            <w:r>
              <w:rPr>
                <w:sz w:val="20"/>
                <w:szCs w:val="20"/>
                <w:spacing w:val="-2"/>
              </w:rPr>
              <w:t>26.8298</w:t>
            </w:r>
          </w:p>
        </w:tc>
        <w:tc>
          <w:tcPr>
            <w:tcW w:w="799" w:type="dxa"/>
            <w:vAlign w:val="top"/>
          </w:tcPr>
          <w:p>
            <w:pPr>
              <w:pStyle w:val="TableText"/>
              <w:ind w:left="48"/>
              <w:spacing w:before="41" w:line="173" w:lineRule="auto"/>
              <w:rPr>
                <w:sz w:val="20"/>
                <w:szCs w:val="20"/>
              </w:rPr>
            </w:pPr>
            <w:r>
              <w:rPr>
                <w:sz w:val="20"/>
                <w:szCs w:val="20"/>
                <w:spacing w:val="-2"/>
              </w:rPr>
              <w:t>29.4162</w:t>
            </w:r>
          </w:p>
        </w:tc>
        <w:tc>
          <w:tcPr>
            <w:tcW w:w="639" w:type="dxa"/>
            <w:vAlign w:val="top"/>
          </w:tcPr>
          <w:p>
            <w:pPr>
              <w:pStyle w:val="TableText"/>
              <w:ind w:left="18"/>
              <w:spacing w:before="41" w:line="173" w:lineRule="auto"/>
              <w:rPr>
                <w:sz w:val="20"/>
                <w:szCs w:val="20"/>
              </w:rPr>
            </w:pPr>
            <w:r>
              <w:rPr>
                <w:sz w:val="20"/>
                <w:szCs w:val="20"/>
                <w:spacing w:val="-2"/>
              </w:rPr>
              <w:t>3.4041</w:t>
            </w:r>
          </w:p>
        </w:tc>
        <w:tc>
          <w:tcPr>
            <w:tcW w:w="787" w:type="dxa"/>
            <w:vAlign w:val="top"/>
          </w:tcPr>
          <w:p>
            <w:pPr>
              <w:pStyle w:val="TableText"/>
              <w:ind w:left="40"/>
              <w:spacing w:before="41" w:line="173" w:lineRule="auto"/>
              <w:rPr>
                <w:sz w:val="20"/>
                <w:szCs w:val="20"/>
              </w:rPr>
            </w:pPr>
            <w:r>
              <w:rPr>
                <w:sz w:val="20"/>
                <w:szCs w:val="20"/>
                <w:spacing w:val="-2"/>
              </w:rPr>
              <w:t>29.0170</w:t>
            </w:r>
          </w:p>
        </w:tc>
      </w:tr>
      <w:tr>
        <w:trPr>
          <w:trHeight w:val="260" w:hRule="atLeast"/>
        </w:trPr>
        <w:tc>
          <w:tcPr>
            <w:tcW w:w="684" w:type="dxa"/>
            <w:vAlign w:val="top"/>
            <w:vMerge w:val="continue"/>
            <w:tcBorders>
              <w:top w:val="nil"/>
              <w:bottom w:val="nil"/>
            </w:tcBorders>
          </w:tcPr>
          <w:p>
            <w:pPr>
              <w:rPr>
                <w:rFonts w:ascii="Arial"/>
                <w:sz w:val="21"/>
              </w:rPr>
            </w:pPr>
            <w:r/>
          </w:p>
        </w:tc>
        <w:tc>
          <w:tcPr>
            <w:tcW w:w="270" w:type="dxa"/>
            <w:vAlign w:val="top"/>
            <w:vMerge w:val="restart"/>
            <w:textDirection w:val="tbRlV"/>
            <w:tcBorders>
              <w:bottom w:val="nil"/>
            </w:tcBorders>
          </w:tcPr>
          <w:p>
            <w:pPr>
              <w:pStyle w:val="TableText"/>
              <w:ind w:left="45"/>
              <w:spacing w:before="46" w:line="200" w:lineRule="auto"/>
              <w:rPr>
                <w:sz w:val="20"/>
                <w:szCs w:val="20"/>
              </w:rPr>
            </w:pPr>
            <w:r>
              <w:rPr>
                <w:sz w:val="20"/>
                <w:szCs w:val="20"/>
                <w:spacing w:val="11"/>
              </w:rPr>
              <w:t>旺季</w:t>
            </w:r>
          </w:p>
        </w:tc>
        <w:tc>
          <w:tcPr>
            <w:tcW w:w="769" w:type="dxa"/>
            <w:vAlign w:val="top"/>
            <w:vMerge w:val="restart"/>
            <w:tcBorders>
              <w:bottom w:val="nil"/>
            </w:tcBorders>
          </w:tcPr>
          <w:p>
            <w:pPr>
              <w:pStyle w:val="TableText"/>
              <w:spacing w:before="192" w:line="239" w:lineRule="auto"/>
              <w:jc w:val="right"/>
              <w:rPr>
                <w:sz w:val="20"/>
                <w:szCs w:val="20"/>
              </w:rPr>
            </w:pPr>
            <w:r>
              <w:rPr>
                <w:sz w:val="20"/>
                <w:szCs w:val="20"/>
                <w:spacing w:val="-7"/>
              </w:rPr>
              <w:t>83892.96</w:t>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32"/>
              <w:spacing w:before="26" w:line="206" w:lineRule="auto"/>
              <w:rPr>
                <w:sz w:val="20"/>
                <w:szCs w:val="20"/>
              </w:rPr>
            </w:pPr>
            <w:r>
              <w:rPr>
                <w:sz w:val="20"/>
                <w:szCs w:val="20"/>
                <w:spacing w:val="-1"/>
              </w:rPr>
              <w:t>产生浓度mg/L</w:t>
            </w:r>
          </w:p>
        </w:tc>
        <w:tc>
          <w:tcPr>
            <w:tcW w:w="909" w:type="dxa"/>
            <w:vAlign w:val="top"/>
          </w:tcPr>
          <w:p>
            <w:pPr>
              <w:pStyle w:val="TableText"/>
              <w:ind w:left="94"/>
              <w:spacing w:before="52" w:line="182" w:lineRule="auto"/>
              <w:rPr>
                <w:sz w:val="20"/>
                <w:szCs w:val="20"/>
              </w:rPr>
            </w:pPr>
            <w:r>
              <w:rPr>
                <w:sz w:val="20"/>
                <w:szCs w:val="20"/>
                <w:spacing w:val="-2"/>
              </w:rPr>
              <w:t>2034.89</w:t>
            </w:r>
          </w:p>
        </w:tc>
        <w:tc>
          <w:tcPr>
            <w:tcW w:w="739" w:type="dxa"/>
            <w:vAlign w:val="top"/>
          </w:tcPr>
          <w:p>
            <w:pPr>
              <w:pStyle w:val="TableText"/>
              <w:ind w:left="64"/>
              <w:spacing w:before="52" w:line="182" w:lineRule="auto"/>
              <w:rPr>
                <w:sz w:val="20"/>
                <w:szCs w:val="20"/>
              </w:rPr>
            </w:pPr>
            <w:r>
              <w:rPr>
                <w:sz w:val="20"/>
                <w:szCs w:val="20"/>
                <w:spacing w:val="-2"/>
              </w:rPr>
              <w:t>918.08</w:t>
            </w:r>
          </w:p>
        </w:tc>
        <w:tc>
          <w:tcPr>
            <w:tcW w:w="779" w:type="dxa"/>
            <w:vAlign w:val="top"/>
          </w:tcPr>
          <w:p>
            <w:pPr>
              <w:pStyle w:val="TableText"/>
              <w:ind w:left="86"/>
              <w:spacing w:before="52" w:line="182" w:lineRule="auto"/>
              <w:rPr>
                <w:sz w:val="20"/>
                <w:szCs w:val="20"/>
              </w:rPr>
            </w:pPr>
            <w:r>
              <w:rPr>
                <w:sz w:val="20"/>
                <w:szCs w:val="20"/>
                <w:spacing w:val="-2"/>
              </w:rPr>
              <w:t>883.49</w:t>
            </w:r>
          </w:p>
        </w:tc>
        <w:tc>
          <w:tcPr>
            <w:tcW w:w="769" w:type="dxa"/>
            <w:vAlign w:val="top"/>
          </w:tcPr>
          <w:p>
            <w:pPr>
              <w:pStyle w:val="TableText"/>
              <w:ind w:left="77"/>
              <w:spacing w:before="52" w:line="182" w:lineRule="auto"/>
              <w:rPr>
                <w:sz w:val="20"/>
                <w:szCs w:val="20"/>
              </w:rPr>
            </w:pPr>
            <w:r>
              <w:rPr>
                <w:sz w:val="20"/>
                <w:szCs w:val="20"/>
                <w:spacing w:val="-4"/>
              </w:rPr>
              <w:t>153.80</w:t>
            </w:r>
          </w:p>
        </w:tc>
        <w:tc>
          <w:tcPr>
            <w:tcW w:w="799" w:type="dxa"/>
            <w:vAlign w:val="top"/>
          </w:tcPr>
          <w:p>
            <w:pPr>
              <w:pStyle w:val="TableText"/>
              <w:ind w:left="98"/>
              <w:spacing w:before="52" w:line="182" w:lineRule="auto"/>
              <w:rPr>
                <w:sz w:val="20"/>
                <w:szCs w:val="20"/>
              </w:rPr>
            </w:pPr>
            <w:r>
              <w:rPr>
                <w:sz w:val="20"/>
                <w:szCs w:val="20"/>
                <w:spacing w:val="-4"/>
              </w:rPr>
              <w:t>168.57</w:t>
            </w:r>
          </w:p>
        </w:tc>
        <w:tc>
          <w:tcPr>
            <w:tcW w:w="639" w:type="dxa"/>
            <w:vAlign w:val="top"/>
          </w:tcPr>
          <w:p>
            <w:pPr>
              <w:pStyle w:val="TableText"/>
              <w:ind w:left="69"/>
              <w:spacing w:before="52" w:line="182" w:lineRule="auto"/>
              <w:rPr>
                <w:sz w:val="20"/>
                <w:szCs w:val="20"/>
              </w:rPr>
            </w:pPr>
            <w:r>
              <w:rPr>
                <w:sz w:val="20"/>
                <w:szCs w:val="20"/>
                <w:spacing w:val="-4"/>
              </w:rPr>
              <w:t>19.52</w:t>
            </w:r>
          </w:p>
        </w:tc>
        <w:tc>
          <w:tcPr>
            <w:tcW w:w="787" w:type="dxa"/>
            <w:vAlign w:val="top"/>
          </w:tcPr>
          <w:p>
            <w:pPr>
              <w:pStyle w:val="TableText"/>
              <w:ind w:left="90"/>
              <w:spacing w:before="52" w:line="182" w:lineRule="auto"/>
              <w:rPr>
                <w:sz w:val="20"/>
                <w:szCs w:val="20"/>
              </w:rPr>
            </w:pPr>
            <w:r>
              <w:rPr>
                <w:sz w:val="20"/>
                <w:szCs w:val="20"/>
                <w:spacing w:val="-4"/>
              </w:rPr>
              <w:t>166.48</w:t>
            </w:r>
          </w:p>
        </w:tc>
      </w:tr>
      <w:tr>
        <w:trPr>
          <w:trHeight w:val="269" w:hRule="atLeast"/>
        </w:trPr>
        <w:tc>
          <w:tcPr>
            <w:tcW w:w="684" w:type="dxa"/>
            <w:vAlign w:val="top"/>
            <w:vMerge w:val="continue"/>
            <w:tcBorders>
              <w:top w:val="nil"/>
              <w:bottom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181"/>
              <w:spacing w:before="43" w:line="199" w:lineRule="auto"/>
              <w:rPr>
                <w:sz w:val="20"/>
                <w:szCs w:val="20"/>
              </w:rPr>
            </w:pPr>
            <w:r>
              <w:rPr>
                <w:sz w:val="20"/>
                <w:szCs w:val="20"/>
                <w:color w:val="505050"/>
                <w:spacing w:val="-2"/>
              </w:rPr>
              <w:t>产生量t/a</w:t>
            </w:r>
          </w:p>
        </w:tc>
        <w:tc>
          <w:tcPr>
            <w:tcW w:w="909" w:type="dxa"/>
            <w:vAlign w:val="top"/>
          </w:tcPr>
          <w:p>
            <w:pPr>
              <w:pStyle w:val="TableText"/>
              <w:ind w:left="44"/>
              <w:spacing w:before="62" w:line="181" w:lineRule="auto"/>
              <w:rPr>
                <w:sz w:val="20"/>
                <w:szCs w:val="20"/>
              </w:rPr>
            </w:pPr>
            <w:r>
              <w:rPr>
                <w:sz w:val="20"/>
                <w:szCs w:val="20"/>
                <w:spacing w:val="-3"/>
              </w:rPr>
              <w:t>170.7131</w:t>
            </w:r>
          </w:p>
        </w:tc>
        <w:tc>
          <w:tcPr>
            <w:tcW w:w="739" w:type="dxa"/>
            <w:vAlign w:val="top"/>
          </w:tcPr>
          <w:p>
            <w:pPr>
              <w:pStyle w:val="TableText"/>
              <w:ind w:left="15"/>
              <w:spacing w:before="62" w:line="181" w:lineRule="auto"/>
              <w:rPr>
                <w:sz w:val="20"/>
                <w:szCs w:val="20"/>
              </w:rPr>
            </w:pPr>
            <w:r>
              <w:rPr>
                <w:sz w:val="20"/>
                <w:szCs w:val="20"/>
                <w:spacing w:val="-2"/>
              </w:rPr>
              <w:t>77.0204</w:t>
            </w:r>
          </w:p>
        </w:tc>
        <w:tc>
          <w:tcPr>
            <w:tcW w:w="779" w:type="dxa"/>
            <w:vAlign w:val="top"/>
          </w:tcPr>
          <w:p>
            <w:pPr>
              <w:pStyle w:val="TableText"/>
              <w:ind w:left="36"/>
              <w:spacing w:before="62" w:line="181" w:lineRule="auto"/>
              <w:rPr>
                <w:sz w:val="20"/>
                <w:szCs w:val="20"/>
              </w:rPr>
            </w:pPr>
            <w:r>
              <w:rPr>
                <w:sz w:val="20"/>
                <w:szCs w:val="20"/>
                <w:spacing w:val="-2"/>
              </w:rPr>
              <w:t>74.1183</w:t>
            </w:r>
          </w:p>
        </w:tc>
        <w:tc>
          <w:tcPr>
            <w:tcW w:w="769" w:type="dxa"/>
            <w:vAlign w:val="top"/>
          </w:tcPr>
          <w:p>
            <w:pPr>
              <w:pStyle w:val="TableText"/>
              <w:ind w:left="27"/>
              <w:spacing w:before="62" w:line="181" w:lineRule="auto"/>
              <w:rPr>
                <w:sz w:val="20"/>
                <w:szCs w:val="20"/>
              </w:rPr>
            </w:pPr>
            <w:r>
              <w:rPr>
                <w:sz w:val="20"/>
                <w:szCs w:val="20"/>
                <w:spacing w:val="-3"/>
              </w:rPr>
              <w:t>12.9025</w:t>
            </w:r>
          </w:p>
        </w:tc>
        <w:tc>
          <w:tcPr>
            <w:tcW w:w="799" w:type="dxa"/>
            <w:vAlign w:val="top"/>
          </w:tcPr>
          <w:p>
            <w:pPr>
              <w:pStyle w:val="TableText"/>
              <w:ind w:left="48"/>
              <w:spacing w:before="62" w:line="181" w:lineRule="auto"/>
              <w:rPr>
                <w:sz w:val="20"/>
                <w:szCs w:val="20"/>
              </w:rPr>
            </w:pPr>
            <w:r>
              <w:rPr>
                <w:sz w:val="20"/>
                <w:szCs w:val="20"/>
                <w:spacing w:val="-3"/>
              </w:rPr>
              <w:t>14.1416</w:t>
            </w:r>
          </w:p>
        </w:tc>
        <w:tc>
          <w:tcPr>
            <w:tcW w:w="639" w:type="dxa"/>
            <w:vAlign w:val="top"/>
          </w:tcPr>
          <w:p>
            <w:pPr>
              <w:pStyle w:val="TableText"/>
              <w:ind w:left="18"/>
              <w:spacing w:before="62" w:line="181" w:lineRule="auto"/>
              <w:rPr>
                <w:sz w:val="20"/>
                <w:szCs w:val="20"/>
              </w:rPr>
            </w:pPr>
            <w:r>
              <w:rPr>
                <w:sz w:val="20"/>
                <w:szCs w:val="20"/>
                <w:spacing w:val="-4"/>
              </w:rPr>
              <w:t>1.6375</w:t>
            </w:r>
          </w:p>
        </w:tc>
        <w:tc>
          <w:tcPr>
            <w:tcW w:w="787" w:type="dxa"/>
            <w:vAlign w:val="top"/>
          </w:tcPr>
          <w:p>
            <w:pPr>
              <w:pStyle w:val="TableText"/>
              <w:ind w:left="40"/>
              <w:spacing w:before="62" w:line="181" w:lineRule="auto"/>
              <w:rPr>
                <w:sz w:val="20"/>
                <w:szCs w:val="20"/>
              </w:rPr>
            </w:pPr>
            <w:r>
              <w:rPr>
                <w:sz w:val="20"/>
                <w:szCs w:val="20"/>
                <w:spacing w:val="-3"/>
              </w:rPr>
              <w:t>13.9667</w:t>
            </w:r>
          </w:p>
        </w:tc>
      </w:tr>
      <w:tr>
        <w:trPr>
          <w:trHeight w:val="509" w:hRule="atLeast"/>
        </w:trPr>
        <w:tc>
          <w:tcPr>
            <w:tcW w:w="684" w:type="dxa"/>
            <w:vAlign w:val="top"/>
            <w:vMerge w:val="continue"/>
            <w:tcBorders>
              <w:top w:val="nil"/>
              <w:bottom w:val="nil"/>
            </w:tcBorders>
          </w:tcPr>
          <w:p>
            <w:pPr>
              <w:rPr>
                <w:rFonts w:ascii="Arial"/>
                <w:sz w:val="21"/>
              </w:rPr>
            </w:pPr>
            <w:r/>
          </w:p>
        </w:tc>
        <w:tc>
          <w:tcPr>
            <w:tcW w:w="270" w:type="dxa"/>
            <w:vAlign w:val="top"/>
            <w:textDirection w:val="tbRlV"/>
          </w:tcPr>
          <w:p>
            <w:pPr>
              <w:pStyle w:val="TableText"/>
              <w:ind w:left="46"/>
              <w:spacing w:before="17" w:line="200" w:lineRule="auto"/>
              <w:rPr>
                <w:sz w:val="20"/>
                <w:szCs w:val="20"/>
              </w:rPr>
            </w:pPr>
            <w:r>
              <w:rPr>
                <w:sz w:val="20"/>
                <w:szCs w:val="20"/>
                <w:color w:val="505060"/>
              </w:rPr>
              <w:t>全年</w:t>
            </w:r>
          </w:p>
        </w:tc>
        <w:tc>
          <w:tcPr>
            <w:tcW w:w="769" w:type="dxa"/>
            <w:vAlign w:val="top"/>
          </w:tcPr>
          <w:p>
            <w:pPr>
              <w:pStyle w:val="TableText"/>
              <w:spacing w:before="182" w:line="239" w:lineRule="auto"/>
              <w:jc w:val="right"/>
              <w:rPr>
                <w:sz w:val="19"/>
                <w:szCs w:val="19"/>
              </w:rPr>
            </w:pPr>
            <w:r>
              <w:rPr>
                <w:sz w:val="19"/>
                <w:szCs w:val="19"/>
                <w:spacing w:val="-13"/>
              </w:rPr>
              <w:t>25</w:t>
            </w:r>
            <w:r>
              <w:rPr>
                <w:sz w:val="19"/>
                <w:szCs w:val="19"/>
                <w:spacing w:val="-12"/>
              </w:rPr>
              <w:t>9824.9</w:t>
            </w:r>
            <w:r>
              <w:rPr>
                <w:sz w:val="19"/>
                <w:szCs w:val="19"/>
                <w:spacing w:val="-10"/>
              </w:rPr>
              <w:t>6</w:t>
            </w:r>
          </w:p>
        </w:tc>
        <w:tc>
          <w:tcPr>
            <w:tcW w:w="250" w:type="dxa"/>
            <w:vAlign w:val="top"/>
            <w:vMerge w:val="continue"/>
            <w:textDirection w:val="tbRlV"/>
            <w:tcBorders>
              <w:top w:val="nil"/>
            </w:tcBorders>
          </w:tcPr>
          <w:p>
            <w:pPr>
              <w:spacing w:line="240" w:lineRule="exact"/>
              <w:rPr>
                <w:rFonts w:ascii="Arial"/>
                <w:sz w:val="20"/>
              </w:rPr>
            </w:pPr>
            <w:r/>
          </w:p>
        </w:tc>
        <w:tc>
          <w:tcPr>
            <w:tcW w:w="1288" w:type="dxa"/>
            <w:vAlign w:val="top"/>
          </w:tcPr>
          <w:p>
            <w:pPr>
              <w:pStyle w:val="TableText"/>
              <w:ind w:left="181"/>
              <w:spacing w:before="164" w:line="219" w:lineRule="auto"/>
              <w:rPr>
                <w:sz w:val="20"/>
                <w:szCs w:val="20"/>
              </w:rPr>
            </w:pPr>
            <w:r>
              <w:rPr>
                <w:sz w:val="20"/>
                <w:szCs w:val="20"/>
                <w:spacing w:val="-2"/>
              </w:rPr>
              <w:t>产生量t/a</w:t>
            </w:r>
          </w:p>
        </w:tc>
        <w:tc>
          <w:tcPr>
            <w:tcW w:w="909" w:type="dxa"/>
            <w:vAlign w:val="top"/>
          </w:tcPr>
          <w:p>
            <w:pPr>
              <w:pStyle w:val="TableText"/>
              <w:ind w:left="44"/>
              <w:spacing w:before="183" w:line="239" w:lineRule="auto"/>
              <w:rPr>
                <w:sz w:val="20"/>
                <w:szCs w:val="20"/>
              </w:rPr>
            </w:pPr>
            <w:r>
              <w:rPr>
                <w:sz w:val="20"/>
                <w:szCs w:val="20"/>
                <w:spacing w:val="-2"/>
              </w:rPr>
              <w:t>525.6794</w:t>
            </w:r>
          </w:p>
        </w:tc>
        <w:tc>
          <w:tcPr>
            <w:tcW w:w="739" w:type="dxa"/>
            <w:vAlign w:val="top"/>
          </w:tcPr>
          <w:p>
            <w:pPr>
              <w:pStyle w:val="TableText"/>
              <w:spacing w:before="183" w:line="239" w:lineRule="auto"/>
              <w:jc w:val="right"/>
              <w:rPr>
                <w:sz w:val="20"/>
                <w:szCs w:val="20"/>
              </w:rPr>
            </w:pPr>
            <w:r>
              <w:rPr>
                <w:sz w:val="20"/>
                <w:szCs w:val="20"/>
                <w:spacing w:val="-12"/>
              </w:rPr>
              <w:t>237</w:t>
            </w:r>
            <w:r>
              <w:rPr>
                <w:sz w:val="20"/>
                <w:szCs w:val="20"/>
                <w:spacing w:val="-11"/>
              </w:rPr>
              <w:t>.130</w:t>
            </w:r>
            <w:r>
              <w:rPr>
                <w:sz w:val="20"/>
                <w:szCs w:val="20"/>
                <w:spacing w:val="-8"/>
              </w:rPr>
              <w:t>4</w:t>
            </w:r>
          </w:p>
        </w:tc>
        <w:tc>
          <w:tcPr>
            <w:tcW w:w="779" w:type="dxa"/>
            <w:vAlign w:val="top"/>
          </w:tcPr>
          <w:p>
            <w:pPr>
              <w:pStyle w:val="TableText"/>
              <w:spacing w:before="183" w:line="239" w:lineRule="auto"/>
              <w:jc w:val="right"/>
              <w:rPr>
                <w:sz w:val="20"/>
                <w:szCs w:val="20"/>
              </w:rPr>
            </w:pPr>
            <w:r>
              <w:rPr>
                <w:sz w:val="20"/>
                <w:szCs w:val="20"/>
                <w:spacing w:val="-6"/>
              </w:rPr>
              <w:t>228.2950</w:t>
            </w:r>
          </w:p>
        </w:tc>
        <w:tc>
          <w:tcPr>
            <w:tcW w:w="769" w:type="dxa"/>
            <w:vAlign w:val="top"/>
          </w:tcPr>
          <w:p>
            <w:pPr>
              <w:pStyle w:val="TableText"/>
              <w:ind w:left="27"/>
              <w:spacing w:before="183" w:line="239" w:lineRule="auto"/>
              <w:rPr>
                <w:sz w:val="20"/>
                <w:szCs w:val="20"/>
              </w:rPr>
            </w:pPr>
            <w:r>
              <w:rPr>
                <w:sz w:val="20"/>
                <w:szCs w:val="20"/>
                <w:spacing w:val="-2"/>
              </w:rPr>
              <w:t>39.7323</w:t>
            </w:r>
          </w:p>
        </w:tc>
        <w:tc>
          <w:tcPr>
            <w:tcW w:w="799" w:type="dxa"/>
            <w:vAlign w:val="top"/>
          </w:tcPr>
          <w:p>
            <w:pPr>
              <w:pStyle w:val="TableText"/>
              <w:ind w:left="48"/>
              <w:spacing w:before="183" w:line="239" w:lineRule="auto"/>
              <w:rPr>
                <w:sz w:val="20"/>
                <w:szCs w:val="20"/>
              </w:rPr>
            </w:pPr>
            <w:r>
              <w:rPr>
                <w:sz w:val="20"/>
                <w:szCs w:val="20"/>
                <w:spacing w:val="-1"/>
              </w:rPr>
              <w:t>43.5579</w:t>
            </w:r>
          </w:p>
        </w:tc>
        <w:tc>
          <w:tcPr>
            <w:tcW w:w="639" w:type="dxa"/>
            <w:vAlign w:val="top"/>
          </w:tcPr>
          <w:p>
            <w:pPr>
              <w:pStyle w:val="TableText"/>
              <w:ind w:left="18"/>
              <w:spacing w:before="183" w:line="239" w:lineRule="auto"/>
              <w:rPr>
                <w:sz w:val="20"/>
                <w:szCs w:val="20"/>
              </w:rPr>
            </w:pPr>
            <w:r>
              <w:rPr>
                <w:sz w:val="20"/>
                <w:szCs w:val="20"/>
                <w:spacing w:val="-2"/>
              </w:rPr>
              <w:t>5.0416</w:t>
            </w:r>
          </w:p>
        </w:tc>
        <w:tc>
          <w:tcPr>
            <w:tcW w:w="787" w:type="dxa"/>
            <w:vAlign w:val="top"/>
          </w:tcPr>
          <w:p>
            <w:pPr>
              <w:pStyle w:val="TableText"/>
              <w:ind w:left="40"/>
              <w:spacing w:before="183" w:line="239" w:lineRule="auto"/>
              <w:rPr>
                <w:sz w:val="20"/>
                <w:szCs w:val="20"/>
              </w:rPr>
            </w:pPr>
            <w:r>
              <w:rPr>
                <w:sz w:val="20"/>
                <w:szCs w:val="20"/>
                <w:spacing w:val="-1"/>
              </w:rPr>
              <w:t>42.9837</w:t>
            </w:r>
          </w:p>
        </w:tc>
      </w:tr>
      <w:tr>
        <w:trPr>
          <w:trHeight w:val="270" w:hRule="atLeast"/>
        </w:trPr>
        <w:tc>
          <w:tcPr>
            <w:tcW w:w="684" w:type="dxa"/>
            <w:vAlign w:val="top"/>
            <w:vMerge w:val="continue"/>
            <w:tcBorders>
              <w:top w:val="nil"/>
              <w:bottom w:val="nil"/>
            </w:tcBorders>
          </w:tcPr>
          <w:p>
            <w:pPr>
              <w:rPr>
                <w:rFonts w:ascii="Arial"/>
                <w:sz w:val="21"/>
              </w:rPr>
            </w:pPr>
            <w:r/>
          </w:p>
        </w:tc>
        <w:tc>
          <w:tcPr>
            <w:tcW w:w="270" w:type="dxa"/>
            <w:vAlign w:val="top"/>
            <w:vMerge w:val="restart"/>
            <w:textDirection w:val="tbRlV"/>
            <w:tcBorders>
              <w:bottom w:val="nil"/>
            </w:tcBorders>
          </w:tcPr>
          <w:p>
            <w:pPr>
              <w:pStyle w:val="TableText"/>
              <w:spacing w:before="57" w:line="199" w:lineRule="auto"/>
              <w:rPr>
                <w:sz w:val="20"/>
                <w:szCs w:val="20"/>
              </w:rPr>
            </w:pPr>
            <w:r>
              <w:rPr>
                <w:sz w:val="20"/>
                <w:szCs w:val="20"/>
                <w:spacing w:val="-2"/>
              </w:rPr>
              <w:t>淡</w:t>
            </w:r>
            <w:r>
              <w:rPr>
                <w:sz w:val="20"/>
                <w:szCs w:val="20"/>
                <w:spacing w:val="36"/>
              </w:rPr>
              <w:t xml:space="preserve"> </w:t>
            </w:r>
            <w:r>
              <w:rPr>
                <w:sz w:val="20"/>
                <w:szCs w:val="20"/>
                <w:spacing w:val="-2"/>
              </w:rPr>
              <w:t>季</w:t>
            </w:r>
          </w:p>
        </w:tc>
        <w:tc>
          <w:tcPr>
            <w:tcW w:w="769" w:type="dxa"/>
            <w:vAlign w:val="top"/>
            <w:vMerge w:val="restart"/>
            <w:tcBorders>
              <w:bottom w:val="nil"/>
            </w:tcBorders>
          </w:tcPr>
          <w:p>
            <w:pPr>
              <w:pStyle w:val="TableText"/>
              <w:ind w:left="70"/>
              <w:spacing w:before="194"/>
              <w:rPr>
                <w:sz w:val="20"/>
                <w:szCs w:val="20"/>
              </w:rPr>
            </w:pPr>
            <w:r>
              <w:rPr>
                <w:sz w:val="20"/>
                <w:szCs w:val="20"/>
                <w:spacing w:val="-4"/>
              </w:rPr>
              <w:t>175932</w:t>
            </w:r>
          </w:p>
        </w:tc>
        <w:tc>
          <w:tcPr>
            <w:tcW w:w="250" w:type="dxa"/>
            <w:vAlign w:val="top"/>
            <w:vMerge w:val="restart"/>
            <w:textDirection w:val="tbRlV"/>
            <w:tcBorders>
              <w:bottom w:val="nil"/>
            </w:tcBorders>
          </w:tcPr>
          <w:p>
            <w:pPr>
              <w:pStyle w:val="TableText"/>
              <w:ind w:left="441"/>
              <w:spacing w:before="34" w:line="201" w:lineRule="auto"/>
              <w:rPr>
                <w:sz w:val="20"/>
                <w:szCs w:val="20"/>
              </w:rPr>
            </w:pPr>
            <w:r>
              <w:rPr>
                <w:sz w:val="20"/>
                <w:szCs w:val="20"/>
                <w:spacing w:val="1"/>
              </w:rPr>
              <w:t>处</w:t>
            </w:r>
            <w:r>
              <w:rPr>
                <w:sz w:val="20"/>
                <w:szCs w:val="20"/>
                <w:spacing w:val="-56"/>
              </w:rPr>
              <w:t xml:space="preserve"> </w:t>
            </w:r>
            <w:r>
              <w:rPr>
                <w:sz w:val="20"/>
                <w:szCs w:val="20"/>
                <w:spacing w:val="1"/>
              </w:rPr>
              <w:t>理 后</w:t>
            </w:r>
          </w:p>
        </w:tc>
        <w:tc>
          <w:tcPr>
            <w:tcW w:w="1288" w:type="dxa"/>
            <w:vAlign w:val="top"/>
          </w:tcPr>
          <w:p>
            <w:pPr>
              <w:pStyle w:val="TableText"/>
              <w:ind w:left="32"/>
              <w:spacing w:before="38" w:line="204" w:lineRule="auto"/>
              <w:rPr>
                <w:sz w:val="20"/>
                <w:szCs w:val="20"/>
              </w:rPr>
            </w:pPr>
            <w:r>
              <w:rPr>
                <w:sz w:val="20"/>
                <w:szCs w:val="20"/>
                <w:spacing w:val="-1"/>
              </w:rPr>
              <w:t>排放浓度mg/L</w:t>
            </w:r>
          </w:p>
        </w:tc>
        <w:tc>
          <w:tcPr>
            <w:tcW w:w="909" w:type="dxa"/>
            <w:vAlign w:val="top"/>
          </w:tcPr>
          <w:p>
            <w:pPr>
              <w:pStyle w:val="TableText"/>
              <w:ind w:left="294"/>
              <w:spacing w:before="65" w:line="180" w:lineRule="auto"/>
              <w:rPr>
                <w:sz w:val="20"/>
                <w:szCs w:val="20"/>
              </w:rPr>
            </w:pPr>
            <w:r>
              <w:rPr>
                <w:sz w:val="20"/>
                <w:szCs w:val="20"/>
                <w:spacing w:val="-3"/>
              </w:rPr>
              <w:t>500</w:t>
            </w:r>
          </w:p>
        </w:tc>
        <w:tc>
          <w:tcPr>
            <w:tcW w:w="739" w:type="dxa"/>
            <w:vAlign w:val="top"/>
          </w:tcPr>
          <w:p>
            <w:pPr>
              <w:pStyle w:val="TableText"/>
              <w:ind w:left="215"/>
              <w:spacing w:before="65" w:line="180" w:lineRule="auto"/>
              <w:rPr>
                <w:sz w:val="20"/>
                <w:szCs w:val="20"/>
              </w:rPr>
            </w:pPr>
            <w:r>
              <w:rPr>
                <w:sz w:val="20"/>
                <w:szCs w:val="20"/>
                <w:spacing w:val="-3"/>
              </w:rPr>
              <w:t>250</w:t>
            </w:r>
          </w:p>
        </w:tc>
        <w:tc>
          <w:tcPr>
            <w:tcW w:w="779" w:type="dxa"/>
            <w:vAlign w:val="top"/>
          </w:tcPr>
          <w:p>
            <w:pPr>
              <w:pStyle w:val="TableText"/>
              <w:ind w:left="236"/>
              <w:spacing w:before="65" w:line="180" w:lineRule="auto"/>
              <w:rPr>
                <w:sz w:val="20"/>
                <w:szCs w:val="20"/>
              </w:rPr>
            </w:pPr>
            <w:r>
              <w:rPr>
                <w:sz w:val="20"/>
                <w:szCs w:val="20"/>
                <w:spacing w:val="-3"/>
              </w:rPr>
              <w:t>300</w:t>
            </w:r>
          </w:p>
        </w:tc>
        <w:tc>
          <w:tcPr>
            <w:tcW w:w="769" w:type="dxa"/>
            <w:vAlign w:val="top"/>
          </w:tcPr>
          <w:p>
            <w:pPr>
              <w:pStyle w:val="TableText"/>
              <w:ind w:left="277"/>
              <w:spacing w:before="65" w:line="180" w:lineRule="auto"/>
              <w:rPr>
                <w:sz w:val="20"/>
                <w:szCs w:val="20"/>
              </w:rPr>
            </w:pPr>
            <w:r>
              <w:rPr>
                <w:sz w:val="20"/>
                <w:szCs w:val="20"/>
                <w:spacing w:val="-2"/>
              </w:rPr>
              <w:t>45</w:t>
            </w:r>
          </w:p>
        </w:tc>
        <w:tc>
          <w:tcPr>
            <w:tcW w:w="799" w:type="dxa"/>
            <w:vAlign w:val="top"/>
          </w:tcPr>
          <w:p>
            <w:pPr>
              <w:pStyle w:val="TableText"/>
              <w:ind w:left="297"/>
              <w:spacing w:before="65" w:line="180" w:lineRule="auto"/>
              <w:rPr>
                <w:sz w:val="20"/>
                <w:szCs w:val="20"/>
              </w:rPr>
            </w:pPr>
            <w:r>
              <w:rPr>
                <w:sz w:val="20"/>
                <w:szCs w:val="20"/>
                <w:spacing w:val="-3"/>
              </w:rPr>
              <w:t>55</w:t>
            </w:r>
          </w:p>
        </w:tc>
        <w:tc>
          <w:tcPr>
            <w:tcW w:w="639" w:type="dxa"/>
            <w:vAlign w:val="top"/>
            <w:textDirection w:val="tbRlV"/>
          </w:tcPr>
          <w:p>
            <w:pPr>
              <w:pStyle w:val="TableText"/>
              <w:ind w:left="1"/>
              <w:spacing w:before="271" w:line="141" w:lineRule="exact"/>
              <w:rPr>
                <w:sz w:val="20"/>
                <w:szCs w:val="20"/>
              </w:rPr>
            </w:pPr>
            <w:r>
              <w:rPr>
                <w:sz w:val="20"/>
                <w:szCs w:val="20"/>
                <w:spacing w:val="49"/>
                <w:w w:val="125"/>
                <w:position w:val="-3"/>
              </w:rPr>
              <w:t>8</w:t>
            </w:r>
          </w:p>
        </w:tc>
        <w:tc>
          <w:tcPr>
            <w:tcW w:w="787" w:type="dxa"/>
            <w:vAlign w:val="top"/>
          </w:tcPr>
          <w:p>
            <w:pPr>
              <w:pStyle w:val="TableText"/>
              <w:ind w:left="290"/>
              <w:spacing w:before="65" w:line="180" w:lineRule="auto"/>
              <w:rPr>
                <w:sz w:val="20"/>
                <w:szCs w:val="20"/>
              </w:rPr>
            </w:pPr>
            <w:r>
              <w:rPr>
                <w:sz w:val="20"/>
                <w:szCs w:val="20"/>
                <w:spacing w:val="-3"/>
              </w:rPr>
              <w:t>50</w:t>
            </w:r>
          </w:p>
        </w:tc>
      </w:tr>
      <w:tr>
        <w:trPr>
          <w:trHeight w:val="260" w:hRule="atLeast"/>
        </w:trPr>
        <w:tc>
          <w:tcPr>
            <w:tcW w:w="684" w:type="dxa"/>
            <w:vAlign w:val="top"/>
            <w:vMerge w:val="continue"/>
            <w:tcBorders>
              <w:top w:val="nil"/>
              <w:bottom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181"/>
              <w:spacing w:before="36" w:line="197" w:lineRule="auto"/>
              <w:rPr>
                <w:sz w:val="20"/>
                <w:szCs w:val="20"/>
              </w:rPr>
            </w:pPr>
            <w:r>
              <w:rPr>
                <w:sz w:val="20"/>
                <w:szCs w:val="20"/>
                <w:spacing w:val="-2"/>
              </w:rPr>
              <w:t>排放量t/a</w:t>
            </w:r>
          </w:p>
        </w:tc>
        <w:tc>
          <w:tcPr>
            <w:tcW w:w="909" w:type="dxa"/>
            <w:vAlign w:val="top"/>
          </w:tcPr>
          <w:p>
            <w:pPr>
              <w:pStyle w:val="TableText"/>
              <w:ind w:left="94"/>
              <w:spacing w:before="55" w:line="180" w:lineRule="auto"/>
              <w:rPr>
                <w:sz w:val="20"/>
                <w:szCs w:val="20"/>
              </w:rPr>
            </w:pPr>
            <w:r>
              <w:rPr>
                <w:sz w:val="20"/>
                <w:szCs w:val="20"/>
                <w:spacing w:val="-2"/>
              </w:rPr>
              <w:t>87.9660</w:t>
            </w:r>
          </w:p>
        </w:tc>
        <w:tc>
          <w:tcPr>
            <w:tcW w:w="739" w:type="dxa"/>
            <w:vAlign w:val="top"/>
          </w:tcPr>
          <w:p>
            <w:pPr>
              <w:pStyle w:val="TableText"/>
              <w:ind w:left="15"/>
              <w:spacing w:before="55" w:line="180" w:lineRule="auto"/>
              <w:rPr>
                <w:sz w:val="20"/>
                <w:szCs w:val="20"/>
              </w:rPr>
            </w:pPr>
            <w:r>
              <w:rPr>
                <w:sz w:val="20"/>
                <w:szCs w:val="20"/>
                <w:spacing w:val="-1"/>
              </w:rPr>
              <w:t>43.9830</w:t>
            </w:r>
          </w:p>
        </w:tc>
        <w:tc>
          <w:tcPr>
            <w:tcW w:w="779" w:type="dxa"/>
            <w:vAlign w:val="top"/>
          </w:tcPr>
          <w:p>
            <w:pPr>
              <w:pStyle w:val="TableText"/>
              <w:ind w:left="36"/>
              <w:spacing w:before="55" w:line="180" w:lineRule="auto"/>
              <w:rPr>
                <w:sz w:val="20"/>
                <w:szCs w:val="20"/>
              </w:rPr>
            </w:pPr>
            <w:r>
              <w:rPr>
                <w:sz w:val="20"/>
                <w:szCs w:val="20"/>
                <w:spacing w:val="-2"/>
              </w:rPr>
              <w:t>52.7796</w:t>
            </w:r>
          </w:p>
        </w:tc>
        <w:tc>
          <w:tcPr>
            <w:tcW w:w="769" w:type="dxa"/>
            <w:vAlign w:val="top"/>
          </w:tcPr>
          <w:p>
            <w:pPr>
              <w:pStyle w:val="TableText"/>
              <w:ind w:left="77"/>
              <w:spacing w:before="55" w:line="180" w:lineRule="auto"/>
              <w:rPr>
                <w:sz w:val="20"/>
                <w:szCs w:val="20"/>
              </w:rPr>
            </w:pPr>
            <w:r>
              <w:rPr>
                <w:sz w:val="20"/>
                <w:szCs w:val="20"/>
                <w:spacing w:val="-2"/>
              </w:rPr>
              <w:t>7.9169</w:t>
            </w:r>
          </w:p>
        </w:tc>
        <w:tc>
          <w:tcPr>
            <w:tcW w:w="799" w:type="dxa"/>
            <w:vAlign w:val="top"/>
          </w:tcPr>
          <w:p>
            <w:pPr>
              <w:pStyle w:val="TableText"/>
              <w:ind w:left="98"/>
              <w:spacing w:before="55" w:line="180" w:lineRule="auto"/>
              <w:rPr>
                <w:sz w:val="20"/>
                <w:szCs w:val="20"/>
              </w:rPr>
            </w:pPr>
            <w:r>
              <w:rPr>
                <w:sz w:val="20"/>
                <w:szCs w:val="20"/>
                <w:spacing w:val="-2"/>
              </w:rPr>
              <w:t>9.6763</w:t>
            </w:r>
          </w:p>
        </w:tc>
        <w:tc>
          <w:tcPr>
            <w:tcW w:w="639" w:type="dxa"/>
            <w:vAlign w:val="top"/>
          </w:tcPr>
          <w:p>
            <w:pPr>
              <w:pStyle w:val="TableText"/>
              <w:ind w:left="18"/>
              <w:spacing w:before="55" w:line="180" w:lineRule="auto"/>
              <w:rPr>
                <w:sz w:val="20"/>
                <w:szCs w:val="20"/>
              </w:rPr>
            </w:pPr>
            <w:r>
              <w:rPr>
                <w:sz w:val="20"/>
                <w:szCs w:val="20"/>
                <w:spacing w:val="-4"/>
              </w:rPr>
              <w:t>1.4075</w:t>
            </w:r>
          </w:p>
        </w:tc>
        <w:tc>
          <w:tcPr>
            <w:tcW w:w="787" w:type="dxa"/>
            <w:vAlign w:val="top"/>
          </w:tcPr>
          <w:p>
            <w:pPr>
              <w:pStyle w:val="TableText"/>
              <w:ind w:left="90"/>
              <w:spacing w:before="55" w:line="180" w:lineRule="auto"/>
              <w:rPr>
                <w:sz w:val="20"/>
                <w:szCs w:val="20"/>
              </w:rPr>
            </w:pPr>
            <w:r>
              <w:rPr>
                <w:sz w:val="20"/>
                <w:szCs w:val="20"/>
                <w:spacing w:val="-2"/>
              </w:rPr>
              <w:t>8.7966</w:t>
            </w:r>
          </w:p>
        </w:tc>
      </w:tr>
      <w:tr>
        <w:trPr>
          <w:trHeight w:val="260" w:hRule="atLeast"/>
        </w:trPr>
        <w:tc>
          <w:tcPr>
            <w:tcW w:w="684" w:type="dxa"/>
            <w:vAlign w:val="top"/>
            <w:vMerge w:val="continue"/>
            <w:tcBorders>
              <w:top w:val="nil"/>
              <w:bottom w:val="nil"/>
            </w:tcBorders>
          </w:tcPr>
          <w:p>
            <w:pPr>
              <w:rPr>
                <w:rFonts w:ascii="Arial"/>
                <w:sz w:val="21"/>
              </w:rPr>
            </w:pPr>
            <w:r/>
          </w:p>
        </w:tc>
        <w:tc>
          <w:tcPr>
            <w:tcW w:w="270" w:type="dxa"/>
            <w:vAlign w:val="top"/>
            <w:vMerge w:val="restart"/>
            <w:textDirection w:val="tbRlV"/>
            <w:tcBorders>
              <w:bottom w:val="nil"/>
            </w:tcBorders>
          </w:tcPr>
          <w:p>
            <w:pPr>
              <w:pStyle w:val="TableText"/>
              <w:spacing w:before="56" w:line="200" w:lineRule="auto"/>
              <w:jc w:val="right"/>
              <w:rPr>
                <w:sz w:val="20"/>
                <w:szCs w:val="20"/>
              </w:rPr>
            </w:pPr>
            <w:r>
              <w:rPr>
                <w:sz w:val="20"/>
                <w:szCs w:val="20"/>
                <w:color w:val="605050"/>
                <w:spacing w:val="-10"/>
              </w:rPr>
              <w:t>旺</w:t>
            </w:r>
            <w:r>
              <w:rPr>
                <w:sz w:val="20"/>
                <w:szCs w:val="20"/>
                <w:color w:val="605050"/>
                <w:spacing w:val="36"/>
              </w:rPr>
              <w:t xml:space="preserve"> </w:t>
            </w:r>
            <w:r>
              <w:rPr>
                <w:sz w:val="20"/>
                <w:szCs w:val="20"/>
                <w:color w:val="605050"/>
                <w:spacing w:val="-8"/>
              </w:rPr>
              <w:t>季</w:t>
            </w:r>
          </w:p>
        </w:tc>
        <w:tc>
          <w:tcPr>
            <w:tcW w:w="769" w:type="dxa"/>
            <w:vAlign w:val="top"/>
            <w:vMerge w:val="restart"/>
            <w:tcBorders>
              <w:bottom w:val="nil"/>
            </w:tcBorders>
          </w:tcPr>
          <w:p>
            <w:pPr>
              <w:pStyle w:val="TableText"/>
              <w:spacing w:before="184" w:line="239" w:lineRule="auto"/>
              <w:jc w:val="right"/>
              <w:rPr>
                <w:sz w:val="20"/>
                <w:szCs w:val="20"/>
              </w:rPr>
            </w:pPr>
            <w:r>
              <w:rPr>
                <w:sz w:val="20"/>
                <w:szCs w:val="20"/>
                <w:spacing w:val="-7"/>
              </w:rPr>
              <w:t>83892.96</w:t>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32"/>
              <w:spacing w:before="28" w:line="204" w:lineRule="auto"/>
              <w:rPr>
                <w:sz w:val="20"/>
                <w:szCs w:val="20"/>
              </w:rPr>
            </w:pPr>
            <w:r>
              <w:rPr>
                <w:sz w:val="20"/>
                <w:szCs w:val="20"/>
                <w:spacing w:val="-1"/>
              </w:rPr>
              <w:t>排放浓度mg/L</w:t>
            </w:r>
          </w:p>
        </w:tc>
        <w:tc>
          <w:tcPr>
            <w:tcW w:w="909" w:type="dxa"/>
            <w:vAlign w:val="top"/>
          </w:tcPr>
          <w:p>
            <w:pPr>
              <w:pStyle w:val="TableText"/>
              <w:ind w:left="294"/>
              <w:spacing w:before="55" w:line="180" w:lineRule="auto"/>
              <w:rPr>
                <w:sz w:val="20"/>
                <w:szCs w:val="20"/>
              </w:rPr>
            </w:pPr>
            <w:r>
              <w:rPr>
                <w:sz w:val="20"/>
                <w:szCs w:val="20"/>
                <w:spacing w:val="-3"/>
              </w:rPr>
              <w:t>500</w:t>
            </w:r>
          </w:p>
        </w:tc>
        <w:tc>
          <w:tcPr>
            <w:tcW w:w="739" w:type="dxa"/>
            <w:vAlign w:val="top"/>
          </w:tcPr>
          <w:p>
            <w:pPr>
              <w:pStyle w:val="TableText"/>
              <w:ind w:left="215"/>
              <w:spacing w:before="55" w:line="180" w:lineRule="auto"/>
              <w:rPr>
                <w:sz w:val="20"/>
                <w:szCs w:val="20"/>
              </w:rPr>
            </w:pPr>
            <w:r>
              <w:rPr>
                <w:sz w:val="20"/>
                <w:szCs w:val="20"/>
                <w:spacing w:val="-3"/>
              </w:rPr>
              <w:t>250</w:t>
            </w:r>
          </w:p>
        </w:tc>
        <w:tc>
          <w:tcPr>
            <w:tcW w:w="779" w:type="dxa"/>
            <w:vAlign w:val="top"/>
          </w:tcPr>
          <w:p>
            <w:pPr>
              <w:pStyle w:val="TableText"/>
              <w:ind w:left="236"/>
              <w:spacing w:before="55" w:line="180" w:lineRule="auto"/>
              <w:rPr>
                <w:sz w:val="20"/>
                <w:szCs w:val="20"/>
              </w:rPr>
            </w:pPr>
            <w:r>
              <w:rPr>
                <w:sz w:val="20"/>
                <w:szCs w:val="20"/>
                <w:spacing w:val="-3"/>
              </w:rPr>
              <w:t>300</w:t>
            </w:r>
          </w:p>
        </w:tc>
        <w:tc>
          <w:tcPr>
            <w:tcW w:w="769" w:type="dxa"/>
            <w:vAlign w:val="top"/>
          </w:tcPr>
          <w:p>
            <w:pPr>
              <w:pStyle w:val="TableText"/>
              <w:ind w:left="277"/>
              <w:spacing w:before="55" w:line="180" w:lineRule="auto"/>
              <w:rPr>
                <w:sz w:val="20"/>
                <w:szCs w:val="20"/>
              </w:rPr>
            </w:pPr>
            <w:r>
              <w:rPr>
                <w:sz w:val="20"/>
                <w:szCs w:val="20"/>
                <w:spacing w:val="-2"/>
              </w:rPr>
              <w:t>45</w:t>
            </w:r>
          </w:p>
        </w:tc>
        <w:tc>
          <w:tcPr>
            <w:tcW w:w="799" w:type="dxa"/>
            <w:vAlign w:val="top"/>
          </w:tcPr>
          <w:p>
            <w:pPr>
              <w:pStyle w:val="TableText"/>
              <w:ind w:left="297"/>
              <w:spacing w:before="55" w:line="180" w:lineRule="auto"/>
              <w:rPr>
                <w:sz w:val="20"/>
                <w:szCs w:val="20"/>
              </w:rPr>
            </w:pPr>
            <w:r>
              <w:rPr>
                <w:sz w:val="20"/>
                <w:szCs w:val="20"/>
                <w:spacing w:val="-3"/>
              </w:rPr>
              <w:t>55</w:t>
            </w:r>
          </w:p>
        </w:tc>
        <w:tc>
          <w:tcPr>
            <w:tcW w:w="639" w:type="dxa"/>
            <w:vAlign w:val="top"/>
          </w:tcPr>
          <w:p>
            <w:pPr>
              <w:pStyle w:val="TableText"/>
              <w:ind w:left="268"/>
              <w:spacing w:before="55" w:line="180" w:lineRule="auto"/>
              <w:rPr>
                <w:sz w:val="20"/>
                <w:szCs w:val="20"/>
              </w:rPr>
            </w:pPr>
            <w:r>
              <w:rPr>
                <w:sz w:val="20"/>
                <w:szCs w:val="20"/>
              </w:rPr>
              <w:t>8</w:t>
            </w:r>
          </w:p>
        </w:tc>
        <w:tc>
          <w:tcPr>
            <w:tcW w:w="787" w:type="dxa"/>
            <w:vAlign w:val="top"/>
          </w:tcPr>
          <w:p>
            <w:pPr>
              <w:pStyle w:val="TableText"/>
              <w:ind w:left="290"/>
              <w:spacing w:before="55" w:line="180" w:lineRule="auto"/>
              <w:rPr>
                <w:sz w:val="20"/>
                <w:szCs w:val="20"/>
              </w:rPr>
            </w:pPr>
            <w:r>
              <w:rPr>
                <w:sz w:val="20"/>
                <w:szCs w:val="20"/>
                <w:spacing w:val="-3"/>
              </w:rPr>
              <w:t>50</w:t>
            </w:r>
          </w:p>
        </w:tc>
      </w:tr>
      <w:tr>
        <w:trPr>
          <w:trHeight w:val="250" w:hRule="atLeast"/>
        </w:trPr>
        <w:tc>
          <w:tcPr>
            <w:tcW w:w="684" w:type="dxa"/>
            <w:vAlign w:val="top"/>
            <w:vMerge w:val="continue"/>
            <w:tcBorders>
              <w:top w:val="nil"/>
              <w:bottom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0" w:type="dxa"/>
            <w:vAlign w:val="top"/>
            <w:vMerge w:val="continue"/>
            <w:textDirection w:val="tbRlV"/>
            <w:tcBorders>
              <w:top w:val="nil"/>
              <w:bottom w:val="nil"/>
            </w:tcBorders>
          </w:tcPr>
          <w:p>
            <w:pPr>
              <w:spacing w:line="240" w:lineRule="exact"/>
              <w:rPr>
                <w:rFonts w:ascii="Arial"/>
                <w:sz w:val="20"/>
              </w:rPr>
            </w:pPr>
            <w:r/>
          </w:p>
        </w:tc>
        <w:tc>
          <w:tcPr>
            <w:tcW w:w="1288" w:type="dxa"/>
            <w:vAlign w:val="top"/>
          </w:tcPr>
          <w:p>
            <w:pPr>
              <w:pStyle w:val="TableText"/>
              <w:ind w:left="181"/>
              <w:spacing w:before="36" w:line="188" w:lineRule="auto"/>
              <w:rPr>
                <w:sz w:val="20"/>
                <w:szCs w:val="20"/>
              </w:rPr>
            </w:pPr>
            <w:r>
              <w:rPr>
                <w:sz w:val="20"/>
                <w:szCs w:val="20"/>
                <w:spacing w:val="-2"/>
              </w:rPr>
              <w:t>排放量t/a</w:t>
            </w:r>
          </w:p>
        </w:tc>
        <w:tc>
          <w:tcPr>
            <w:tcW w:w="909" w:type="dxa"/>
            <w:vAlign w:val="top"/>
          </w:tcPr>
          <w:p>
            <w:pPr>
              <w:pStyle w:val="TableText"/>
              <w:ind w:left="94"/>
              <w:spacing w:before="54" w:line="171" w:lineRule="auto"/>
              <w:rPr>
                <w:sz w:val="20"/>
                <w:szCs w:val="20"/>
              </w:rPr>
            </w:pPr>
            <w:r>
              <w:rPr>
                <w:sz w:val="20"/>
                <w:szCs w:val="20"/>
                <w:spacing w:val="-1"/>
              </w:rPr>
              <w:t>41.9465</w:t>
            </w:r>
          </w:p>
        </w:tc>
        <w:tc>
          <w:tcPr>
            <w:tcW w:w="739" w:type="dxa"/>
            <w:vAlign w:val="top"/>
          </w:tcPr>
          <w:p>
            <w:pPr>
              <w:pStyle w:val="TableText"/>
              <w:ind w:left="15"/>
              <w:spacing w:before="54" w:line="171" w:lineRule="auto"/>
              <w:rPr>
                <w:sz w:val="20"/>
                <w:szCs w:val="20"/>
              </w:rPr>
            </w:pPr>
            <w:r>
              <w:rPr>
                <w:sz w:val="20"/>
                <w:szCs w:val="20"/>
                <w:spacing w:val="-2"/>
              </w:rPr>
              <w:t>20.9732</w:t>
            </w:r>
          </w:p>
        </w:tc>
        <w:tc>
          <w:tcPr>
            <w:tcW w:w="779" w:type="dxa"/>
            <w:vAlign w:val="top"/>
          </w:tcPr>
          <w:p>
            <w:pPr>
              <w:pStyle w:val="TableText"/>
              <w:ind w:left="36"/>
              <w:spacing w:before="54" w:line="171" w:lineRule="auto"/>
              <w:rPr>
                <w:sz w:val="20"/>
                <w:szCs w:val="20"/>
              </w:rPr>
            </w:pPr>
            <w:r>
              <w:rPr>
                <w:sz w:val="20"/>
                <w:szCs w:val="20"/>
                <w:spacing w:val="-2"/>
              </w:rPr>
              <w:t>25.1679</w:t>
            </w:r>
          </w:p>
        </w:tc>
        <w:tc>
          <w:tcPr>
            <w:tcW w:w="769" w:type="dxa"/>
            <w:vAlign w:val="top"/>
          </w:tcPr>
          <w:p>
            <w:pPr>
              <w:pStyle w:val="TableText"/>
              <w:ind w:left="77"/>
              <w:spacing w:before="54" w:line="171" w:lineRule="auto"/>
              <w:rPr>
                <w:sz w:val="20"/>
                <w:szCs w:val="20"/>
              </w:rPr>
            </w:pPr>
            <w:r>
              <w:rPr>
                <w:sz w:val="20"/>
                <w:szCs w:val="20"/>
                <w:spacing w:val="-2"/>
              </w:rPr>
              <w:t>3.7752</w:t>
            </w:r>
          </w:p>
        </w:tc>
        <w:tc>
          <w:tcPr>
            <w:tcW w:w="799" w:type="dxa"/>
            <w:vAlign w:val="top"/>
          </w:tcPr>
          <w:p>
            <w:pPr>
              <w:pStyle w:val="TableText"/>
              <w:ind w:left="98"/>
              <w:spacing w:before="54" w:line="171" w:lineRule="auto"/>
              <w:rPr>
                <w:sz w:val="20"/>
                <w:szCs w:val="20"/>
              </w:rPr>
            </w:pPr>
            <w:r>
              <w:rPr>
                <w:sz w:val="20"/>
                <w:szCs w:val="20"/>
                <w:spacing w:val="-1"/>
              </w:rPr>
              <w:t>4.6141</w:t>
            </w:r>
          </w:p>
        </w:tc>
        <w:tc>
          <w:tcPr>
            <w:tcW w:w="639" w:type="dxa"/>
            <w:vAlign w:val="top"/>
          </w:tcPr>
          <w:p>
            <w:pPr>
              <w:pStyle w:val="TableText"/>
              <w:ind w:left="18"/>
              <w:spacing w:before="54" w:line="171" w:lineRule="auto"/>
              <w:rPr>
                <w:sz w:val="20"/>
                <w:szCs w:val="20"/>
              </w:rPr>
            </w:pPr>
            <w:r>
              <w:rPr>
                <w:sz w:val="20"/>
                <w:szCs w:val="20"/>
                <w:spacing w:val="-2"/>
              </w:rPr>
              <w:t>0.6711</w:t>
            </w:r>
          </w:p>
        </w:tc>
        <w:tc>
          <w:tcPr>
            <w:tcW w:w="787" w:type="dxa"/>
            <w:vAlign w:val="top"/>
          </w:tcPr>
          <w:p>
            <w:pPr>
              <w:pStyle w:val="TableText"/>
              <w:ind w:left="90"/>
              <w:spacing w:before="54" w:line="171" w:lineRule="auto"/>
              <w:rPr>
                <w:sz w:val="20"/>
                <w:szCs w:val="20"/>
              </w:rPr>
            </w:pPr>
            <w:r>
              <w:rPr>
                <w:sz w:val="20"/>
                <w:szCs w:val="20"/>
                <w:spacing w:val="-1"/>
              </w:rPr>
              <w:t>4.1946</w:t>
            </w:r>
          </w:p>
        </w:tc>
      </w:tr>
      <w:tr>
        <w:trPr>
          <w:trHeight w:val="509" w:hRule="atLeast"/>
        </w:trPr>
        <w:tc>
          <w:tcPr>
            <w:tcW w:w="684" w:type="dxa"/>
            <w:vAlign w:val="top"/>
            <w:vMerge w:val="continue"/>
            <w:tcBorders>
              <w:top w:val="nil"/>
            </w:tcBorders>
          </w:tcPr>
          <w:p>
            <w:pPr>
              <w:rPr>
                <w:rFonts w:ascii="Arial"/>
                <w:sz w:val="21"/>
              </w:rPr>
            </w:pPr>
            <w:r/>
          </w:p>
        </w:tc>
        <w:tc>
          <w:tcPr>
            <w:tcW w:w="270" w:type="dxa"/>
            <w:vAlign w:val="top"/>
            <w:textDirection w:val="tbRlV"/>
          </w:tcPr>
          <w:p>
            <w:pPr>
              <w:pStyle w:val="TableText"/>
              <w:spacing w:before="57" w:line="200" w:lineRule="auto"/>
              <w:jc w:val="right"/>
              <w:rPr>
                <w:sz w:val="20"/>
                <w:szCs w:val="20"/>
              </w:rPr>
            </w:pPr>
            <w:r>
              <w:rPr>
                <w:sz w:val="20"/>
                <w:szCs w:val="20"/>
                <w:spacing w:val="-12"/>
              </w:rPr>
              <w:t>全</w:t>
            </w:r>
            <w:r>
              <w:rPr>
                <w:sz w:val="20"/>
                <w:szCs w:val="20"/>
                <w:spacing w:val="27"/>
              </w:rPr>
              <w:t xml:space="preserve"> </w:t>
            </w:r>
            <w:r>
              <w:rPr>
                <w:sz w:val="20"/>
                <w:szCs w:val="20"/>
                <w:spacing w:val="-8"/>
              </w:rPr>
              <w:t>年</w:t>
            </w:r>
          </w:p>
        </w:tc>
        <w:tc>
          <w:tcPr>
            <w:tcW w:w="769" w:type="dxa"/>
            <w:vAlign w:val="top"/>
          </w:tcPr>
          <w:p>
            <w:pPr>
              <w:pStyle w:val="TableText"/>
              <w:spacing w:before="183" w:line="239" w:lineRule="auto"/>
              <w:jc w:val="right"/>
              <w:rPr>
                <w:sz w:val="19"/>
                <w:szCs w:val="19"/>
              </w:rPr>
            </w:pPr>
            <w:r>
              <w:rPr>
                <w:sz w:val="19"/>
                <w:szCs w:val="19"/>
                <w:spacing w:val="-13"/>
              </w:rPr>
              <w:t>25</w:t>
            </w:r>
            <w:r>
              <w:rPr>
                <w:sz w:val="19"/>
                <w:szCs w:val="19"/>
                <w:spacing w:val="-12"/>
              </w:rPr>
              <w:t>9824.9</w:t>
            </w:r>
            <w:r>
              <w:rPr>
                <w:sz w:val="19"/>
                <w:szCs w:val="19"/>
                <w:spacing w:val="-10"/>
              </w:rPr>
              <w:t>6</w:t>
            </w:r>
          </w:p>
        </w:tc>
        <w:tc>
          <w:tcPr>
            <w:tcW w:w="250" w:type="dxa"/>
            <w:vAlign w:val="top"/>
            <w:vMerge w:val="continue"/>
            <w:textDirection w:val="tbRlV"/>
            <w:tcBorders>
              <w:top w:val="nil"/>
            </w:tcBorders>
          </w:tcPr>
          <w:p>
            <w:pPr>
              <w:spacing w:line="240" w:lineRule="exact"/>
              <w:rPr>
                <w:rFonts w:ascii="Arial"/>
                <w:sz w:val="20"/>
              </w:rPr>
            </w:pPr>
            <w:r/>
          </w:p>
        </w:tc>
        <w:tc>
          <w:tcPr>
            <w:tcW w:w="1288" w:type="dxa"/>
            <w:vAlign w:val="top"/>
          </w:tcPr>
          <w:p>
            <w:pPr>
              <w:pStyle w:val="TableText"/>
              <w:ind w:left="181"/>
              <w:spacing w:before="166" w:line="221" w:lineRule="auto"/>
              <w:rPr>
                <w:sz w:val="20"/>
                <w:szCs w:val="20"/>
              </w:rPr>
            </w:pPr>
            <w:r>
              <w:rPr>
                <w:sz w:val="20"/>
                <w:szCs w:val="20"/>
                <w:spacing w:val="-2"/>
              </w:rPr>
              <w:t>排放量t/a</w:t>
            </w:r>
          </w:p>
        </w:tc>
        <w:tc>
          <w:tcPr>
            <w:tcW w:w="909" w:type="dxa"/>
            <w:vAlign w:val="top"/>
          </w:tcPr>
          <w:p>
            <w:pPr>
              <w:pStyle w:val="TableText"/>
              <w:ind w:left="44"/>
              <w:spacing w:before="184" w:line="239" w:lineRule="auto"/>
              <w:rPr>
                <w:sz w:val="20"/>
                <w:szCs w:val="20"/>
              </w:rPr>
            </w:pPr>
            <w:r>
              <w:rPr>
                <w:sz w:val="20"/>
                <w:szCs w:val="20"/>
                <w:spacing w:val="-3"/>
              </w:rPr>
              <w:t>129.9125</w:t>
            </w:r>
          </w:p>
        </w:tc>
        <w:tc>
          <w:tcPr>
            <w:tcW w:w="739" w:type="dxa"/>
            <w:vAlign w:val="top"/>
          </w:tcPr>
          <w:p>
            <w:pPr>
              <w:pStyle w:val="TableText"/>
              <w:ind w:left="15"/>
              <w:spacing w:before="184" w:line="239" w:lineRule="auto"/>
              <w:rPr>
                <w:sz w:val="20"/>
                <w:szCs w:val="20"/>
              </w:rPr>
            </w:pPr>
            <w:r>
              <w:rPr>
                <w:sz w:val="20"/>
                <w:szCs w:val="20"/>
                <w:spacing w:val="-2"/>
              </w:rPr>
              <w:t>64.9562</w:t>
            </w:r>
          </w:p>
        </w:tc>
        <w:tc>
          <w:tcPr>
            <w:tcW w:w="779" w:type="dxa"/>
            <w:vAlign w:val="top"/>
          </w:tcPr>
          <w:p>
            <w:pPr>
              <w:pStyle w:val="TableText"/>
              <w:ind w:left="36"/>
              <w:spacing w:before="184" w:line="239" w:lineRule="auto"/>
              <w:rPr>
                <w:sz w:val="20"/>
                <w:szCs w:val="20"/>
              </w:rPr>
            </w:pPr>
            <w:r>
              <w:rPr>
                <w:sz w:val="20"/>
                <w:szCs w:val="20"/>
                <w:spacing w:val="-2"/>
              </w:rPr>
              <w:t>77.9475</w:t>
            </w:r>
          </w:p>
        </w:tc>
        <w:tc>
          <w:tcPr>
            <w:tcW w:w="769" w:type="dxa"/>
            <w:vAlign w:val="top"/>
          </w:tcPr>
          <w:p>
            <w:pPr>
              <w:pStyle w:val="TableText"/>
              <w:ind w:left="27"/>
              <w:spacing w:before="184" w:line="239" w:lineRule="auto"/>
              <w:rPr>
                <w:sz w:val="20"/>
                <w:szCs w:val="20"/>
              </w:rPr>
            </w:pPr>
            <w:r>
              <w:rPr>
                <w:sz w:val="20"/>
                <w:szCs w:val="20"/>
                <w:spacing w:val="-3"/>
              </w:rPr>
              <w:t>11.6921</w:t>
            </w:r>
          </w:p>
        </w:tc>
        <w:tc>
          <w:tcPr>
            <w:tcW w:w="799" w:type="dxa"/>
            <w:vAlign w:val="top"/>
          </w:tcPr>
          <w:p>
            <w:pPr>
              <w:pStyle w:val="TableText"/>
              <w:ind w:left="48"/>
              <w:spacing w:before="184" w:line="239" w:lineRule="auto"/>
              <w:rPr>
                <w:sz w:val="20"/>
                <w:szCs w:val="20"/>
              </w:rPr>
            </w:pPr>
            <w:r>
              <w:rPr>
                <w:sz w:val="20"/>
                <w:szCs w:val="20"/>
                <w:spacing w:val="-3"/>
              </w:rPr>
              <w:t>14.2904</w:t>
            </w:r>
          </w:p>
        </w:tc>
        <w:tc>
          <w:tcPr>
            <w:tcW w:w="639" w:type="dxa"/>
            <w:vAlign w:val="top"/>
          </w:tcPr>
          <w:p>
            <w:pPr>
              <w:pStyle w:val="TableText"/>
              <w:ind w:left="18"/>
              <w:spacing w:before="184" w:line="239" w:lineRule="auto"/>
              <w:rPr>
                <w:sz w:val="20"/>
                <w:szCs w:val="20"/>
              </w:rPr>
            </w:pPr>
            <w:r>
              <w:rPr>
                <w:sz w:val="20"/>
                <w:szCs w:val="20"/>
                <w:spacing w:val="-2"/>
              </w:rPr>
              <w:t>2.0786</w:t>
            </w:r>
          </w:p>
        </w:tc>
        <w:tc>
          <w:tcPr>
            <w:tcW w:w="787" w:type="dxa"/>
            <w:vAlign w:val="top"/>
          </w:tcPr>
          <w:p>
            <w:pPr>
              <w:pStyle w:val="TableText"/>
              <w:ind w:left="40"/>
              <w:spacing w:before="184" w:line="239" w:lineRule="auto"/>
              <w:rPr>
                <w:sz w:val="20"/>
                <w:szCs w:val="20"/>
              </w:rPr>
            </w:pPr>
            <w:r>
              <w:rPr>
                <w:sz w:val="20"/>
                <w:szCs w:val="20"/>
                <w:spacing w:val="-3"/>
              </w:rPr>
              <w:t>12.9912</w:t>
            </w:r>
          </w:p>
        </w:tc>
      </w:tr>
      <w:tr>
        <w:trPr>
          <w:trHeight w:val="270" w:hRule="atLeast"/>
        </w:trPr>
        <w:tc>
          <w:tcPr>
            <w:tcW w:w="684" w:type="dxa"/>
            <w:vAlign w:val="top"/>
            <w:vMerge w:val="restart"/>
            <w:tcBorders>
              <w:bottom w:val="nil"/>
            </w:tcBorders>
          </w:tcPr>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pStyle w:val="TableText"/>
              <w:ind w:left="35"/>
              <w:spacing w:before="65" w:line="220" w:lineRule="auto"/>
              <w:rPr>
                <w:sz w:val="20"/>
                <w:szCs w:val="20"/>
              </w:rPr>
            </w:pPr>
            <w:r>
              <w:rPr>
                <w:sz w:val="20"/>
                <w:szCs w:val="20"/>
                <w:spacing w:val="-2"/>
              </w:rPr>
              <w:t>全厂废</w:t>
            </w:r>
          </w:p>
          <w:p>
            <w:pPr>
              <w:pStyle w:val="TableText"/>
              <w:ind w:left="35"/>
              <w:spacing w:before="21" w:line="219" w:lineRule="auto"/>
              <w:rPr>
                <w:sz w:val="20"/>
                <w:szCs w:val="20"/>
              </w:rPr>
            </w:pPr>
            <w:r>
              <w:rPr>
                <w:sz w:val="20"/>
                <w:szCs w:val="20"/>
                <w:spacing w:val="-3"/>
              </w:rPr>
              <w:t>水混合</w:t>
            </w:r>
          </w:p>
          <w:p>
            <w:pPr>
              <w:pStyle w:val="TableText"/>
              <w:ind w:left="135"/>
              <w:spacing w:before="25" w:line="221" w:lineRule="auto"/>
              <w:rPr>
                <w:sz w:val="20"/>
                <w:szCs w:val="20"/>
              </w:rPr>
            </w:pPr>
            <w:r>
              <w:rPr>
                <w:sz w:val="20"/>
                <w:szCs w:val="20"/>
                <w:color w:val="404040"/>
                <w:spacing w:val="14"/>
              </w:rPr>
              <w:t>排口</w:t>
            </w:r>
          </w:p>
        </w:tc>
        <w:tc>
          <w:tcPr>
            <w:tcW w:w="270" w:type="dxa"/>
            <w:vAlign w:val="top"/>
            <w:vMerge w:val="restart"/>
            <w:textDirection w:val="tbRlV"/>
            <w:tcBorders>
              <w:bottom w:val="nil"/>
            </w:tcBorders>
          </w:tcPr>
          <w:p>
            <w:pPr>
              <w:pStyle w:val="TableText"/>
              <w:ind w:left="264"/>
              <w:spacing w:before="57" w:line="199" w:lineRule="auto"/>
              <w:rPr>
                <w:sz w:val="20"/>
                <w:szCs w:val="20"/>
              </w:rPr>
            </w:pPr>
            <w:r>
              <w:rPr>
                <w:sz w:val="20"/>
                <w:szCs w:val="20"/>
              </w:rPr>
              <w:t>淡</w:t>
            </w:r>
            <w:r>
              <w:rPr>
                <w:sz w:val="20"/>
                <w:szCs w:val="20"/>
                <w:spacing w:val="37"/>
              </w:rPr>
              <w:t xml:space="preserve"> </w:t>
            </w:r>
            <w:r>
              <w:rPr>
                <w:sz w:val="20"/>
                <w:szCs w:val="20"/>
              </w:rPr>
              <w:t>季</w:t>
            </w:r>
          </w:p>
        </w:tc>
        <w:tc>
          <w:tcPr>
            <w:tcW w:w="1019" w:type="dxa"/>
            <w:vAlign w:val="top"/>
            <w:gridSpan w:val="2"/>
            <w:vMerge w:val="restart"/>
            <w:tcBorders>
              <w:bottom w:val="nil"/>
            </w:tcBorders>
          </w:tcPr>
          <w:p>
            <w:pPr>
              <w:pStyle w:val="TableText"/>
              <w:ind w:left="201"/>
              <w:spacing w:before="95" w:line="197" w:lineRule="auto"/>
              <w:rPr>
                <w:sz w:val="20"/>
                <w:szCs w:val="20"/>
              </w:rPr>
            </w:pPr>
            <w:r>
              <w:rPr>
                <w:sz w:val="20"/>
                <w:szCs w:val="20"/>
                <w:spacing w:val="-4"/>
              </w:rPr>
              <w:t>179820</w:t>
            </w:r>
          </w:p>
          <w:p>
            <w:pPr>
              <w:pStyle w:val="TableText"/>
              <w:spacing w:line="222" w:lineRule="auto"/>
              <w:jc w:val="right"/>
              <w:rPr>
                <w:sz w:val="20"/>
                <w:szCs w:val="20"/>
              </w:rPr>
            </w:pPr>
            <w:r>
              <w:rPr>
                <w:sz w:val="20"/>
                <w:szCs w:val="20"/>
                <w:spacing w:val="-5"/>
              </w:rPr>
              <w:t>(4.16m³/t</w:t>
            </w:r>
          </w:p>
          <w:p>
            <w:pPr>
              <w:pStyle w:val="TableText"/>
              <w:ind w:left="251"/>
              <w:spacing w:before="16" w:line="220" w:lineRule="auto"/>
              <w:rPr>
                <w:sz w:val="20"/>
                <w:szCs w:val="20"/>
              </w:rPr>
            </w:pPr>
            <w:r>
              <w:rPr>
                <w:sz w:val="20"/>
                <w:szCs w:val="20"/>
                <w:spacing w:val="3"/>
              </w:rPr>
              <w:t>(活屠</w:t>
            </w:r>
          </w:p>
          <w:p>
            <w:pPr>
              <w:pStyle w:val="TableText"/>
              <w:ind w:left="301"/>
              <w:spacing w:before="14" w:line="221" w:lineRule="auto"/>
              <w:rPr>
                <w:sz w:val="20"/>
                <w:szCs w:val="20"/>
              </w:rPr>
            </w:pPr>
            <w:r>
              <w:rPr>
                <w:sz w:val="20"/>
                <w:szCs w:val="20"/>
                <w:spacing w:val="14"/>
              </w:rPr>
              <w:t>重))</w:t>
            </w:r>
          </w:p>
        </w:tc>
        <w:tc>
          <w:tcPr>
            <w:tcW w:w="1288" w:type="dxa"/>
            <w:vAlign w:val="top"/>
          </w:tcPr>
          <w:p>
            <w:pPr>
              <w:pStyle w:val="TableText"/>
              <w:ind w:left="32"/>
              <w:spacing w:before="40" w:line="203" w:lineRule="auto"/>
              <w:rPr>
                <w:sz w:val="20"/>
                <w:szCs w:val="20"/>
              </w:rPr>
            </w:pPr>
            <w:r>
              <w:rPr>
                <w:sz w:val="20"/>
                <w:szCs w:val="20"/>
                <w:spacing w:val="-1"/>
              </w:rPr>
              <w:t>排放浓度mg/L</w:t>
            </w:r>
          </w:p>
        </w:tc>
        <w:tc>
          <w:tcPr>
            <w:tcW w:w="909" w:type="dxa"/>
            <w:vAlign w:val="top"/>
          </w:tcPr>
          <w:p>
            <w:pPr>
              <w:pStyle w:val="TableText"/>
              <w:ind w:left="144"/>
              <w:spacing w:before="66" w:line="179" w:lineRule="auto"/>
              <w:rPr>
                <w:sz w:val="20"/>
                <w:szCs w:val="20"/>
              </w:rPr>
            </w:pPr>
            <w:r>
              <w:rPr>
                <w:sz w:val="20"/>
                <w:szCs w:val="20"/>
                <w:spacing w:val="-1"/>
              </w:rPr>
              <w:t>495.24</w:t>
            </w:r>
          </w:p>
        </w:tc>
        <w:tc>
          <w:tcPr>
            <w:tcW w:w="739" w:type="dxa"/>
            <w:vAlign w:val="top"/>
          </w:tcPr>
          <w:p>
            <w:pPr>
              <w:pStyle w:val="TableText"/>
              <w:ind w:left="64"/>
              <w:spacing w:before="66" w:line="179" w:lineRule="auto"/>
              <w:rPr>
                <w:sz w:val="20"/>
                <w:szCs w:val="20"/>
              </w:rPr>
            </w:pPr>
            <w:r>
              <w:rPr>
                <w:sz w:val="20"/>
                <w:szCs w:val="20"/>
                <w:spacing w:val="-2"/>
              </w:rPr>
              <w:t>248.05</w:t>
            </w:r>
          </w:p>
        </w:tc>
        <w:tc>
          <w:tcPr>
            <w:tcW w:w="779" w:type="dxa"/>
            <w:vAlign w:val="top"/>
          </w:tcPr>
          <w:p>
            <w:pPr>
              <w:pStyle w:val="TableText"/>
              <w:ind w:left="86"/>
              <w:spacing w:before="66" w:line="179" w:lineRule="auto"/>
              <w:rPr>
                <w:sz w:val="20"/>
                <w:szCs w:val="20"/>
              </w:rPr>
            </w:pPr>
            <w:r>
              <w:rPr>
                <w:sz w:val="20"/>
                <w:szCs w:val="20"/>
                <w:spacing w:val="-2"/>
              </w:rPr>
              <w:t>296.97</w:t>
            </w:r>
          </w:p>
        </w:tc>
        <w:tc>
          <w:tcPr>
            <w:tcW w:w="769" w:type="dxa"/>
            <w:vAlign w:val="top"/>
          </w:tcPr>
          <w:p>
            <w:pPr>
              <w:pStyle w:val="TableText"/>
              <w:ind w:left="127"/>
              <w:spacing w:before="66" w:line="179" w:lineRule="auto"/>
              <w:rPr>
                <w:sz w:val="20"/>
                <w:szCs w:val="20"/>
              </w:rPr>
            </w:pPr>
            <w:r>
              <w:rPr>
                <w:sz w:val="20"/>
                <w:szCs w:val="20"/>
                <w:spacing w:val="-2"/>
              </w:rPr>
              <w:t>44.68</w:t>
            </w:r>
          </w:p>
        </w:tc>
        <w:tc>
          <w:tcPr>
            <w:tcW w:w="799" w:type="dxa"/>
            <w:vAlign w:val="top"/>
          </w:tcPr>
          <w:p>
            <w:pPr>
              <w:pStyle w:val="TableText"/>
              <w:ind w:left="148"/>
              <w:spacing w:before="66" w:line="179" w:lineRule="auto"/>
              <w:rPr>
                <w:sz w:val="20"/>
                <w:szCs w:val="20"/>
              </w:rPr>
            </w:pPr>
            <w:r>
              <w:rPr>
                <w:sz w:val="20"/>
                <w:szCs w:val="20"/>
                <w:spacing w:val="-2"/>
              </w:rPr>
              <w:t>54.78</w:t>
            </w:r>
          </w:p>
        </w:tc>
        <w:tc>
          <w:tcPr>
            <w:tcW w:w="639" w:type="dxa"/>
            <w:vAlign w:val="top"/>
          </w:tcPr>
          <w:p>
            <w:pPr>
              <w:pStyle w:val="TableText"/>
              <w:ind w:left="119"/>
              <w:spacing w:before="66" w:line="179" w:lineRule="auto"/>
              <w:rPr>
                <w:sz w:val="20"/>
                <w:szCs w:val="20"/>
              </w:rPr>
            </w:pPr>
            <w:r>
              <w:rPr>
                <w:sz w:val="20"/>
                <w:szCs w:val="20"/>
                <w:spacing w:val="-3"/>
              </w:rPr>
              <w:t>7.90</w:t>
            </w:r>
          </w:p>
        </w:tc>
        <w:tc>
          <w:tcPr>
            <w:tcW w:w="787" w:type="dxa"/>
            <w:vAlign w:val="top"/>
          </w:tcPr>
          <w:p>
            <w:pPr>
              <w:pStyle w:val="TableText"/>
              <w:ind w:left="139"/>
              <w:spacing w:before="66" w:line="179" w:lineRule="auto"/>
              <w:rPr>
                <w:sz w:val="20"/>
                <w:szCs w:val="20"/>
              </w:rPr>
            </w:pPr>
            <w:r>
              <w:rPr>
                <w:sz w:val="20"/>
                <w:szCs w:val="20"/>
                <w:spacing w:val="-2"/>
              </w:rPr>
              <w:t>49.26</w:t>
            </w:r>
          </w:p>
        </w:tc>
      </w:tr>
      <w:tr>
        <w:trPr>
          <w:trHeight w:val="260" w:hRule="atLeast"/>
        </w:trPr>
        <w:tc>
          <w:tcPr>
            <w:tcW w:w="684" w:type="dxa"/>
            <w:vAlign w:val="top"/>
            <w:vMerge w:val="continue"/>
            <w:tcBorders>
              <w:top w:val="nil"/>
              <w:bottom w:val="nil"/>
            </w:tcBorders>
          </w:tcPr>
          <w:p>
            <w:pPr>
              <w:rPr>
                <w:rFonts w:ascii="Arial"/>
                <w:sz w:val="21"/>
              </w:rPr>
            </w:pPr>
            <w:r/>
          </w:p>
        </w:tc>
        <w:tc>
          <w:tcPr>
            <w:tcW w:w="270" w:type="dxa"/>
            <w:vAlign w:val="top"/>
            <w:vMerge w:val="continue"/>
            <w:textDirection w:val="tbRlV"/>
            <w:tcBorders>
              <w:top w:val="nil"/>
              <w:bottom w:val="nil"/>
            </w:tcBorders>
          </w:tcPr>
          <w:p>
            <w:pPr>
              <w:rPr>
                <w:rFonts w:ascii="Arial"/>
                <w:sz w:val="21"/>
              </w:rPr>
            </w:pPr>
            <w:r/>
          </w:p>
        </w:tc>
        <w:tc>
          <w:tcPr>
            <w:tcW w:w="1019" w:type="dxa"/>
            <w:vAlign w:val="top"/>
            <w:gridSpan w:val="2"/>
            <w:vMerge w:val="continue"/>
            <w:tcBorders>
              <w:top w:val="nil"/>
              <w:bottom w:val="nil"/>
            </w:tcBorders>
          </w:tcPr>
          <w:p>
            <w:pPr>
              <w:rPr>
                <w:rFonts w:ascii="Arial"/>
                <w:sz w:val="21"/>
              </w:rPr>
            </w:pPr>
            <w:r/>
          </w:p>
        </w:tc>
        <w:tc>
          <w:tcPr>
            <w:tcW w:w="1288" w:type="dxa"/>
            <w:vAlign w:val="top"/>
          </w:tcPr>
          <w:p>
            <w:pPr>
              <w:pStyle w:val="TableText"/>
              <w:ind w:left="181"/>
              <w:spacing w:before="37" w:line="196" w:lineRule="auto"/>
              <w:rPr>
                <w:sz w:val="20"/>
                <w:szCs w:val="20"/>
              </w:rPr>
            </w:pPr>
            <w:r>
              <w:rPr>
                <w:sz w:val="20"/>
                <w:szCs w:val="20"/>
                <w:spacing w:val="-2"/>
              </w:rPr>
              <w:t>排放量t/a</w:t>
            </w:r>
          </w:p>
        </w:tc>
        <w:tc>
          <w:tcPr>
            <w:tcW w:w="909" w:type="dxa"/>
            <w:vAlign w:val="top"/>
          </w:tcPr>
          <w:p>
            <w:pPr>
              <w:pStyle w:val="TableText"/>
              <w:ind w:left="94"/>
              <w:spacing w:before="56" w:line="179" w:lineRule="auto"/>
              <w:rPr>
                <w:sz w:val="20"/>
                <w:szCs w:val="20"/>
              </w:rPr>
            </w:pPr>
            <w:r>
              <w:rPr>
                <w:sz w:val="20"/>
                <w:szCs w:val="20"/>
                <w:spacing w:val="-2"/>
              </w:rPr>
              <w:t>89.0546</w:t>
            </w:r>
          </w:p>
        </w:tc>
        <w:tc>
          <w:tcPr>
            <w:tcW w:w="739" w:type="dxa"/>
            <w:vAlign w:val="top"/>
          </w:tcPr>
          <w:p>
            <w:pPr>
              <w:pStyle w:val="TableText"/>
              <w:ind w:left="15"/>
              <w:spacing w:before="56" w:line="179" w:lineRule="auto"/>
              <w:rPr>
                <w:sz w:val="20"/>
                <w:szCs w:val="20"/>
              </w:rPr>
            </w:pPr>
            <w:r>
              <w:rPr>
                <w:sz w:val="20"/>
                <w:szCs w:val="20"/>
                <w:spacing w:val="-1"/>
              </w:rPr>
              <w:t>44.6051</w:t>
            </w:r>
          </w:p>
        </w:tc>
        <w:tc>
          <w:tcPr>
            <w:tcW w:w="779" w:type="dxa"/>
            <w:vAlign w:val="top"/>
          </w:tcPr>
          <w:p>
            <w:pPr>
              <w:pStyle w:val="TableText"/>
              <w:ind w:left="36"/>
              <w:spacing w:before="56" w:line="179" w:lineRule="auto"/>
              <w:rPr>
                <w:sz w:val="20"/>
                <w:szCs w:val="20"/>
              </w:rPr>
            </w:pPr>
            <w:r>
              <w:rPr>
                <w:sz w:val="20"/>
                <w:szCs w:val="20"/>
                <w:spacing w:val="-2"/>
              </w:rPr>
              <w:t>53.4017</w:t>
            </w:r>
          </w:p>
        </w:tc>
        <w:tc>
          <w:tcPr>
            <w:tcW w:w="769" w:type="dxa"/>
            <w:vAlign w:val="top"/>
          </w:tcPr>
          <w:p>
            <w:pPr>
              <w:pStyle w:val="TableText"/>
              <w:ind w:left="77"/>
              <w:spacing w:before="56" w:line="179" w:lineRule="auto"/>
              <w:rPr>
                <w:sz w:val="20"/>
                <w:szCs w:val="20"/>
              </w:rPr>
            </w:pPr>
            <w:r>
              <w:rPr>
                <w:sz w:val="20"/>
                <w:szCs w:val="20"/>
                <w:spacing w:val="-2"/>
              </w:rPr>
              <w:t>8.0336</w:t>
            </w:r>
          </w:p>
        </w:tc>
        <w:tc>
          <w:tcPr>
            <w:tcW w:w="799" w:type="dxa"/>
            <w:vAlign w:val="top"/>
          </w:tcPr>
          <w:p>
            <w:pPr>
              <w:pStyle w:val="TableText"/>
              <w:ind w:left="98"/>
              <w:spacing w:before="56" w:line="179" w:lineRule="auto"/>
              <w:rPr>
                <w:sz w:val="20"/>
                <w:szCs w:val="20"/>
              </w:rPr>
            </w:pPr>
            <w:r>
              <w:rPr>
                <w:sz w:val="20"/>
                <w:szCs w:val="20"/>
                <w:spacing w:val="-2"/>
              </w:rPr>
              <w:t>9.8512</w:t>
            </w:r>
          </w:p>
        </w:tc>
        <w:tc>
          <w:tcPr>
            <w:tcW w:w="639" w:type="dxa"/>
            <w:vAlign w:val="top"/>
          </w:tcPr>
          <w:p>
            <w:pPr>
              <w:pStyle w:val="TableText"/>
              <w:ind w:left="18"/>
              <w:spacing w:before="56" w:line="179" w:lineRule="auto"/>
              <w:rPr>
                <w:sz w:val="20"/>
                <w:szCs w:val="20"/>
              </w:rPr>
            </w:pPr>
            <w:r>
              <w:rPr>
                <w:sz w:val="20"/>
                <w:szCs w:val="20"/>
                <w:spacing w:val="-4"/>
              </w:rPr>
              <w:t>1.4211</w:t>
            </w:r>
          </w:p>
        </w:tc>
        <w:tc>
          <w:tcPr>
            <w:tcW w:w="787" w:type="dxa"/>
            <w:vAlign w:val="top"/>
          </w:tcPr>
          <w:p>
            <w:pPr>
              <w:pStyle w:val="TableText"/>
              <w:ind w:left="90"/>
              <w:spacing w:before="56" w:line="179" w:lineRule="auto"/>
              <w:rPr>
                <w:sz w:val="20"/>
                <w:szCs w:val="20"/>
              </w:rPr>
            </w:pPr>
            <w:r>
              <w:rPr>
                <w:sz w:val="20"/>
                <w:szCs w:val="20"/>
                <w:spacing w:val="-2"/>
              </w:rPr>
              <w:t>8.8588</w:t>
            </w:r>
          </w:p>
        </w:tc>
      </w:tr>
      <w:tr>
        <w:trPr>
          <w:trHeight w:val="519" w:hRule="atLeast"/>
        </w:trPr>
        <w:tc>
          <w:tcPr>
            <w:tcW w:w="684" w:type="dxa"/>
            <w:vAlign w:val="top"/>
            <w:vMerge w:val="continue"/>
            <w:tcBorders>
              <w:top w:val="nil"/>
              <w:bottom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1019" w:type="dxa"/>
            <w:vAlign w:val="top"/>
            <w:gridSpan w:val="2"/>
            <w:vMerge w:val="continue"/>
            <w:tcBorders>
              <w:top w:val="nil"/>
            </w:tcBorders>
          </w:tcPr>
          <w:p>
            <w:pPr>
              <w:rPr>
                <w:rFonts w:ascii="Arial"/>
                <w:sz w:val="21"/>
              </w:rPr>
            </w:pPr>
            <w:r/>
          </w:p>
        </w:tc>
        <w:tc>
          <w:tcPr>
            <w:tcW w:w="1288" w:type="dxa"/>
            <w:vAlign w:val="top"/>
          </w:tcPr>
          <w:p>
            <w:pPr>
              <w:pStyle w:val="TableText"/>
              <w:ind w:left="181" w:right="55" w:hanging="149"/>
              <w:spacing w:before="38" w:line="217" w:lineRule="auto"/>
              <w:rPr>
                <w:sz w:val="20"/>
                <w:szCs w:val="20"/>
              </w:rPr>
            </w:pPr>
            <w:r>
              <w:rPr>
                <w:sz w:val="20"/>
                <w:szCs w:val="20"/>
                <w:spacing w:val="-2"/>
              </w:rPr>
              <w:t>单位排放量kg</w:t>
            </w:r>
            <w:r>
              <w:rPr>
                <w:sz w:val="20"/>
                <w:szCs w:val="20"/>
                <w:spacing w:val="3"/>
              </w:rPr>
              <w:t xml:space="preserve"> </w:t>
            </w:r>
            <w:r>
              <w:rPr>
                <w:sz w:val="20"/>
                <w:szCs w:val="20"/>
                <w:spacing w:val="7"/>
              </w:rPr>
              <w:t>t(活屠重)</w:t>
            </w:r>
          </w:p>
        </w:tc>
        <w:tc>
          <w:tcPr>
            <w:tcW w:w="909" w:type="dxa"/>
            <w:vAlign w:val="top"/>
          </w:tcPr>
          <w:p>
            <w:pPr>
              <w:pStyle w:val="TableText"/>
              <w:ind w:left="243"/>
              <w:spacing w:before="185" w:line="239" w:lineRule="auto"/>
              <w:rPr>
                <w:sz w:val="20"/>
                <w:szCs w:val="20"/>
              </w:rPr>
            </w:pPr>
            <w:r>
              <w:rPr>
                <w:sz w:val="20"/>
                <w:szCs w:val="20"/>
                <w:spacing w:val="-2"/>
              </w:rPr>
              <w:t>2.06</w:t>
            </w:r>
          </w:p>
        </w:tc>
        <w:tc>
          <w:tcPr>
            <w:tcW w:w="739" w:type="dxa"/>
            <w:vAlign w:val="top"/>
          </w:tcPr>
          <w:p>
            <w:pPr>
              <w:pStyle w:val="TableText"/>
              <w:ind w:left="165"/>
              <w:spacing w:before="185" w:line="239" w:lineRule="auto"/>
              <w:rPr>
                <w:sz w:val="20"/>
                <w:szCs w:val="20"/>
              </w:rPr>
            </w:pPr>
            <w:r>
              <w:rPr>
                <w:sz w:val="20"/>
                <w:szCs w:val="20"/>
                <w:spacing w:val="-5"/>
              </w:rPr>
              <w:t>1.03</w:t>
            </w:r>
          </w:p>
        </w:tc>
        <w:tc>
          <w:tcPr>
            <w:tcW w:w="779" w:type="dxa"/>
            <w:vAlign w:val="top"/>
          </w:tcPr>
          <w:p>
            <w:pPr>
              <w:pStyle w:val="TableText"/>
              <w:ind w:left="185"/>
              <w:spacing w:before="185" w:line="239" w:lineRule="auto"/>
              <w:rPr>
                <w:sz w:val="20"/>
                <w:szCs w:val="20"/>
              </w:rPr>
            </w:pPr>
            <w:r>
              <w:rPr>
                <w:sz w:val="20"/>
                <w:szCs w:val="20"/>
                <w:spacing w:val="-5"/>
              </w:rPr>
              <w:t>1.24</w:t>
            </w:r>
          </w:p>
        </w:tc>
        <w:tc>
          <w:tcPr>
            <w:tcW w:w="769" w:type="dxa"/>
            <w:vAlign w:val="top"/>
          </w:tcPr>
          <w:p>
            <w:pPr>
              <w:pStyle w:val="TableText"/>
              <w:ind w:left="176"/>
              <w:spacing w:before="185" w:line="239" w:lineRule="auto"/>
              <w:rPr>
                <w:sz w:val="20"/>
                <w:szCs w:val="20"/>
              </w:rPr>
            </w:pPr>
            <w:r>
              <w:rPr>
                <w:sz w:val="20"/>
                <w:szCs w:val="20"/>
                <w:spacing w:val="-2"/>
              </w:rPr>
              <w:t>0.19</w:t>
            </w:r>
          </w:p>
        </w:tc>
        <w:tc>
          <w:tcPr>
            <w:tcW w:w="799" w:type="dxa"/>
            <w:vAlign w:val="top"/>
          </w:tcPr>
          <w:p>
            <w:pPr>
              <w:pStyle w:val="TableText"/>
              <w:ind w:left="198"/>
              <w:spacing w:before="185" w:line="239" w:lineRule="auto"/>
              <w:rPr>
                <w:sz w:val="20"/>
                <w:szCs w:val="20"/>
              </w:rPr>
            </w:pPr>
            <w:r>
              <w:rPr>
                <w:sz w:val="20"/>
                <w:szCs w:val="20"/>
                <w:spacing w:val="-2"/>
              </w:rPr>
              <w:t>0.23</w:t>
            </w:r>
          </w:p>
        </w:tc>
        <w:tc>
          <w:tcPr>
            <w:tcW w:w="639" w:type="dxa"/>
            <w:vAlign w:val="top"/>
          </w:tcPr>
          <w:p>
            <w:pPr>
              <w:pStyle w:val="TableText"/>
              <w:ind w:left="119"/>
              <w:spacing w:before="185" w:line="239" w:lineRule="auto"/>
              <w:rPr>
                <w:sz w:val="20"/>
                <w:szCs w:val="20"/>
              </w:rPr>
            </w:pPr>
            <w:r>
              <w:rPr>
                <w:sz w:val="20"/>
                <w:szCs w:val="20"/>
                <w:spacing w:val="-2"/>
              </w:rPr>
              <w:t>0.03</w:t>
            </w:r>
          </w:p>
        </w:tc>
        <w:tc>
          <w:tcPr>
            <w:tcW w:w="787" w:type="dxa"/>
            <w:vAlign w:val="top"/>
          </w:tcPr>
          <w:p>
            <w:pPr>
              <w:pStyle w:val="TableText"/>
              <w:ind w:left="189"/>
              <w:spacing w:before="185" w:line="239" w:lineRule="auto"/>
              <w:rPr>
                <w:sz w:val="20"/>
                <w:szCs w:val="20"/>
              </w:rPr>
            </w:pPr>
            <w:r>
              <w:rPr>
                <w:sz w:val="20"/>
                <w:szCs w:val="20"/>
                <w:spacing w:val="-2"/>
              </w:rPr>
              <w:t>0.21</w:t>
            </w:r>
          </w:p>
        </w:tc>
      </w:tr>
      <w:tr>
        <w:trPr>
          <w:trHeight w:val="260" w:hRule="atLeast"/>
        </w:trPr>
        <w:tc>
          <w:tcPr>
            <w:tcW w:w="684" w:type="dxa"/>
            <w:vAlign w:val="top"/>
            <w:vMerge w:val="continue"/>
            <w:tcBorders>
              <w:top w:val="nil"/>
              <w:bottom w:val="nil"/>
            </w:tcBorders>
          </w:tcPr>
          <w:p>
            <w:pPr>
              <w:rPr>
                <w:rFonts w:ascii="Arial"/>
                <w:sz w:val="21"/>
              </w:rPr>
            </w:pPr>
            <w:r/>
          </w:p>
        </w:tc>
        <w:tc>
          <w:tcPr>
            <w:tcW w:w="270" w:type="dxa"/>
            <w:vAlign w:val="top"/>
            <w:vMerge w:val="restart"/>
            <w:textDirection w:val="tbRlV"/>
            <w:tcBorders>
              <w:bottom w:val="nil"/>
            </w:tcBorders>
          </w:tcPr>
          <w:p>
            <w:pPr>
              <w:pStyle w:val="TableText"/>
              <w:ind w:left="259"/>
              <w:spacing w:before="56" w:line="200" w:lineRule="auto"/>
              <w:rPr>
                <w:sz w:val="20"/>
                <w:szCs w:val="20"/>
              </w:rPr>
            </w:pPr>
            <w:r>
              <w:rPr>
                <w:sz w:val="20"/>
                <w:szCs w:val="20"/>
              </w:rPr>
              <w:t>旺</w:t>
            </w:r>
            <w:r>
              <w:rPr>
                <w:sz w:val="20"/>
                <w:szCs w:val="20"/>
                <w:spacing w:val="22"/>
              </w:rPr>
              <w:t xml:space="preserve"> </w:t>
            </w:r>
            <w:r>
              <w:rPr>
                <w:sz w:val="20"/>
                <w:szCs w:val="20"/>
              </w:rPr>
              <w:t>季</w:t>
            </w:r>
          </w:p>
        </w:tc>
        <w:tc>
          <w:tcPr>
            <w:tcW w:w="1019" w:type="dxa"/>
            <w:vAlign w:val="top"/>
            <w:gridSpan w:val="2"/>
            <w:vMerge w:val="restart"/>
            <w:tcBorders>
              <w:bottom w:val="nil"/>
            </w:tcBorders>
          </w:tcPr>
          <w:p>
            <w:pPr>
              <w:pStyle w:val="TableText"/>
              <w:ind w:left="100"/>
              <w:spacing w:before="107" w:line="187" w:lineRule="auto"/>
              <w:rPr>
                <w:sz w:val="20"/>
                <w:szCs w:val="20"/>
              </w:rPr>
            </w:pPr>
            <w:r>
              <w:rPr>
                <w:sz w:val="20"/>
                <w:szCs w:val="20"/>
                <w:spacing w:val="-1"/>
              </w:rPr>
              <w:t>85188.96</w:t>
            </w:r>
          </w:p>
          <w:p>
            <w:pPr>
              <w:pStyle w:val="TableText"/>
              <w:ind w:left="251" w:hanging="100"/>
              <w:spacing w:line="235" w:lineRule="auto"/>
              <w:rPr>
                <w:sz w:val="20"/>
                <w:szCs w:val="20"/>
              </w:rPr>
            </w:pPr>
            <w:r>
              <w:rPr>
                <w:sz w:val="20"/>
                <w:szCs w:val="20"/>
                <w:spacing w:val="-5"/>
              </w:rPr>
              <w:t>(4.10m³/t</w:t>
            </w:r>
            <w:r>
              <w:rPr>
                <w:sz w:val="20"/>
                <w:szCs w:val="20"/>
                <w:spacing w:val="1"/>
              </w:rPr>
              <w:t xml:space="preserve"> </w:t>
            </w:r>
            <w:r>
              <w:rPr>
                <w:sz w:val="20"/>
                <w:szCs w:val="20"/>
                <w:spacing w:val="3"/>
              </w:rPr>
              <w:t>(活屠</w:t>
            </w:r>
          </w:p>
          <w:p>
            <w:pPr>
              <w:pStyle w:val="TableText"/>
              <w:ind w:left="221"/>
              <w:spacing w:line="211" w:lineRule="auto"/>
              <w:rPr>
                <w:sz w:val="20"/>
                <w:szCs w:val="20"/>
              </w:rPr>
            </w:pPr>
            <w:r>
              <w:rPr>
                <w:sz w:val="20"/>
                <w:szCs w:val="20"/>
                <w:spacing w:val="-6"/>
              </w:rPr>
              <w:t>重</w:t>
            </w:r>
            <w:r>
              <w:rPr>
                <w:sz w:val="20"/>
                <w:szCs w:val="20"/>
                <w:spacing w:val="14"/>
              </w:rPr>
              <w:t xml:space="preserve"> </w:t>
            </w:r>
            <w:r>
              <w:rPr>
                <w:sz w:val="20"/>
                <w:szCs w:val="20"/>
                <w:spacing w:val="-6"/>
              </w:rPr>
              <w:t>)</w:t>
            </w:r>
            <w:r>
              <w:rPr>
                <w:sz w:val="20"/>
                <w:szCs w:val="20"/>
                <w:spacing w:val="15"/>
              </w:rPr>
              <w:t xml:space="preserve"> </w:t>
            </w:r>
            <w:r>
              <w:rPr>
                <w:sz w:val="20"/>
                <w:szCs w:val="20"/>
                <w:spacing w:val="-6"/>
              </w:rPr>
              <w:t>)</w:t>
            </w:r>
          </w:p>
        </w:tc>
        <w:tc>
          <w:tcPr>
            <w:tcW w:w="1288" w:type="dxa"/>
            <w:vAlign w:val="top"/>
          </w:tcPr>
          <w:p>
            <w:pPr>
              <w:pStyle w:val="TableText"/>
              <w:ind w:left="32"/>
              <w:spacing w:before="31" w:line="202" w:lineRule="auto"/>
              <w:rPr>
                <w:sz w:val="20"/>
                <w:szCs w:val="20"/>
              </w:rPr>
            </w:pPr>
            <w:r>
              <w:rPr>
                <w:sz w:val="20"/>
                <w:szCs w:val="20"/>
                <w:spacing w:val="-1"/>
              </w:rPr>
              <w:t>排放浓度mg/L</w:t>
            </w:r>
          </w:p>
        </w:tc>
        <w:tc>
          <w:tcPr>
            <w:tcW w:w="909" w:type="dxa"/>
            <w:vAlign w:val="top"/>
          </w:tcPr>
          <w:p>
            <w:pPr>
              <w:pStyle w:val="TableText"/>
              <w:ind w:left="144"/>
              <w:spacing w:before="57" w:line="178" w:lineRule="auto"/>
              <w:rPr>
                <w:sz w:val="20"/>
                <w:szCs w:val="20"/>
              </w:rPr>
            </w:pPr>
            <w:r>
              <w:rPr>
                <w:sz w:val="20"/>
                <w:szCs w:val="20"/>
                <w:spacing w:val="-1"/>
              </w:rPr>
              <w:t>496.65</w:t>
            </w:r>
          </w:p>
        </w:tc>
        <w:tc>
          <w:tcPr>
            <w:tcW w:w="739" w:type="dxa"/>
            <w:vAlign w:val="top"/>
          </w:tcPr>
          <w:p>
            <w:pPr>
              <w:pStyle w:val="TableText"/>
              <w:ind w:left="64"/>
              <w:spacing w:before="57" w:line="178" w:lineRule="auto"/>
              <w:rPr>
                <w:sz w:val="20"/>
                <w:szCs w:val="20"/>
              </w:rPr>
            </w:pPr>
            <w:r>
              <w:rPr>
                <w:sz w:val="20"/>
                <w:szCs w:val="20"/>
                <w:spacing w:val="-2"/>
              </w:rPr>
              <w:t>248.63</w:t>
            </w:r>
          </w:p>
        </w:tc>
        <w:tc>
          <w:tcPr>
            <w:tcW w:w="779" w:type="dxa"/>
            <w:vAlign w:val="top"/>
          </w:tcPr>
          <w:p>
            <w:pPr>
              <w:pStyle w:val="TableText"/>
              <w:ind w:left="86"/>
              <w:spacing w:before="57" w:line="178" w:lineRule="auto"/>
              <w:rPr>
                <w:sz w:val="20"/>
                <w:szCs w:val="20"/>
              </w:rPr>
            </w:pPr>
            <w:r>
              <w:rPr>
                <w:sz w:val="20"/>
                <w:szCs w:val="20"/>
                <w:spacing w:val="-2"/>
              </w:rPr>
              <w:t>297.87</w:t>
            </w:r>
          </w:p>
        </w:tc>
        <w:tc>
          <w:tcPr>
            <w:tcW w:w="769" w:type="dxa"/>
            <w:vAlign w:val="top"/>
          </w:tcPr>
          <w:p>
            <w:pPr>
              <w:pStyle w:val="TableText"/>
              <w:ind w:left="127"/>
              <w:spacing w:before="57" w:line="178" w:lineRule="auto"/>
              <w:rPr>
                <w:sz w:val="20"/>
                <w:szCs w:val="20"/>
              </w:rPr>
            </w:pPr>
            <w:r>
              <w:rPr>
                <w:sz w:val="20"/>
                <w:szCs w:val="20"/>
                <w:spacing w:val="-2"/>
              </w:rPr>
              <w:t>44.77</w:t>
            </w:r>
          </w:p>
        </w:tc>
        <w:tc>
          <w:tcPr>
            <w:tcW w:w="799" w:type="dxa"/>
            <w:vAlign w:val="top"/>
          </w:tcPr>
          <w:p>
            <w:pPr>
              <w:pStyle w:val="TableText"/>
              <w:ind w:left="148"/>
              <w:spacing w:before="57" w:line="178" w:lineRule="auto"/>
              <w:rPr>
                <w:sz w:val="20"/>
                <w:szCs w:val="20"/>
              </w:rPr>
            </w:pPr>
            <w:r>
              <w:rPr>
                <w:sz w:val="20"/>
                <w:szCs w:val="20"/>
                <w:spacing w:val="-2"/>
              </w:rPr>
              <w:t>54.85</w:t>
            </w:r>
          </w:p>
        </w:tc>
        <w:tc>
          <w:tcPr>
            <w:tcW w:w="639" w:type="dxa"/>
            <w:vAlign w:val="top"/>
          </w:tcPr>
          <w:p>
            <w:pPr>
              <w:pStyle w:val="TableText"/>
              <w:ind w:left="119"/>
              <w:spacing w:before="57" w:line="178" w:lineRule="auto"/>
              <w:rPr>
                <w:sz w:val="20"/>
                <w:szCs w:val="20"/>
              </w:rPr>
            </w:pPr>
            <w:r>
              <w:rPr>
                <w:sz w:val="20"/>
                <w:szCs w:val="20"/>
                <w:spacing w:val="-3"/>
              </w:rPr>
              <w:t>7.93</w:t>
            </w:r>
          </w:p>
        </w:tc>
        <w:tc>
          <w:tcPr>
            <w:tcW w:w="787" w:type="dxa"/>
            <w:vAlign w:val="top"/>
          </w:tcPr>
          <w:p>
            <w:pPr>
              <w:pStyle w:val="TableText"/>
              <w:ind w:left="139"/>
              <w:spacing w:before="57" w:line="178" w:lineRule="auto"/>
              <w:rPr>
                <w:sz w:val="20"/>
                <w:szCs w:val="20"/>
              </w:rPr>
            </w:pPr>
            <w:r>
              <w:rPr>
                <w:sz w:val="20"/>
                <w:szCs w:val="20"/>
                <w:spacing w:val="-2"/>
              </w:rPr>
              <w:t>49.48</w:t>
            </w:r>
          </w:p>
        </w:tc>
      </w:tr>
      <w:tr>
        <w:trPr>
          <w:trHeight w:val="270" w:hRule="atLeast"/>
        </w:trPr>
        <w:tc>
          <w:tcPr>
            <w:tcW w:w="684" w:type="dxa"/>
            <w:vAlign w:val="top"/>
            <w:vMerge w:val="continue"/>
            <w:tcBorders>
              <w:top w:val="nil"/>
              <w:bottom w:val="nil"/>
            </w:tcBorders>
          </w:tcPr>
          <w:p>
            <w:pPr>
              <w:rPr>
                <w:rFonts w:ascii="Arial"/>
                <w:sz w:val="21"/>
              </w:rPr>
            </w:pPr>
            <w:r/>
          </w:p>
        </w:tc>
        <w:tc>
          <w:tcPr>
            <w:tcW w:w="270" w:type="dxa"/>
            <w:vAlign w:val="top"/>
            <w:vMerge w:val="continue"/>
            <w:textDirection w:val="tbRlV"/>
            <w:tcBorders>
              <w:top w:val="nil"/>
              <w:bottom w:val="nil"/>
            </w:tcBorders>
          </w:tcPr>
          <w:p>
            <w:pPr>
              <w:rPr>
                <w:rFonts w:ascii="Arial"/>
                <w:sz w:val="21"/>
              </w:rPr>
            </w:pPr>
            <w:r/>
          </w:p>
        </w:tc>
        <w:tc>
          <w:tcPr>
            <w:tcW w:w="1019" w:type="dxa"/>
            <w:vAlign w:val="top"/>
            <w:gridSpan w:val="2"/>
            <w:vMerge w:val="continue"/>
            <w:tcBorders>
              <w:top w:val="nil"/>
              <w:bottom w:val="nil"/>
            </w:tcBorders>
          </w:tcPr>
          <w:p>
            <w:pPr>
              <w:rPr>
                <w:rFonts w:ascii="Arial"/>
                <w:sz w:val="21"/>
              </w:rPr>
            </w:pPr>
            <w:r/>
          </w:p>
        </w:tc>
        <w:tc>
          <w:tcPr>
            <w:tcW w:w="1288" w:type="dxa"/>
            <w:vAlign w:val="top"/>
          </w:tcPr>
          <w:p>
            <w:pPr>
              <w:pStyle w:val="TableText"/>
              <w:ind w:left="181"/>
              <w:spacing w:before="48" w:line="195" w:lineRule="auto"/>
              <w:rPr>
                <w:sz w:val="20"/>
                <w:szCs w:val="20"/>
              </w:rPr>
            </w:pPr>
            <w:r>
              <w:rPr>
                <w:sz w:val="20"/>
                <w:szCs w:val="20"/>
                <w:spacing w:val="-2"/>
              </w:rPr>
              <w:t>排放量t/a</w:t>
            </w:r>
          </w:p>
        </w:tc>
        <w:tc>
          <w:tcPr>
            <w:tcW w:w="909" w:type="dxa"/>
            <w:vAlign w:val="top"/>
          </w:tcPr>
          <w:p>
            <w:pPr>
              <w:pStyle w:val="TableText"/>
              <w:ind w:left="94"/>
              <w:spacing w:before="67" w:line="178" w:lineRule="auto"/>
              <w:rPr>
                <w:sz w:val="20"/>
                <w:szCs w:val="20"/>
              </w:rPr>
            </w:pPr>
            <w:r>
              <w:rPr>
                <w:sz w:val="20"/>
                <w:szCs w:val="20"/>
                <w:spacing w:val="-1"/>
              </w:rPr>
              <w:t>42.3094</w:t>
            </w:r>
          </w:p>
        </w:tc>
        <w:tc>
          <w:tcPr>
            <w:tcW w:w="739" w:type="dxa"/>
            <w:vAlign w:val="top"/>
          </w:tcPr>
          <w:p>
            <w:pPr>
              <w:pStyle w:val="TableText"/>
              <w:ind w:left="15"/>
              <w:spacing w:before="67" w:line="178" w:lineRule="auto"/>
              <w:rPr>
                <w:sz w:val="20"/>
                <w:szCs w:val="20"/>
              </w:rPr>
            </w:pPr>
            <w:r>
              <w:rPr>
                <w:sz w:val="20"/>
                <w:szCs w:val="20"/>
                <w:spacing w:val="-2"/>
              </w:rPr>
              <w:t>21.1806</w:t>
            </w:r>
          </w:p>
        </w:tc>
        <w:tc>
          <w:tcPr>
            <w:tcW w:w="779" w:type="dxa"/>
            <w:vAlign w:val="top"/>
          </w:tcPr>
          <w:p>
            <w:pPr>
              <w:pStyle w:val="TableText"/>
              <w:ind w:left="36"/>
              <w:spacing w:before="67" w:line="178" w:lineRule="auto"/>
              <w:rPr>
                <w:sz w:val="20"/>
                <w:szCs w:val="20"/>
              </w:rPr>
            </w:pPr>
            <w:r>
              <w:rPr>
                <w:sz w:val="20"/>
                <w:szCs w:val="20"/>
                <w:spacing w:val="-2"/>
              </w:rPr>
              <w:t>25.3752</w:t>
            </w:r>
          </w:p>
        </w:tc>
        <w:tc>
          <w:tcPr>
            <w:tcW w:w="769" w:type="dxa"/>
            <w:vAlign w:val="top"/>
          </w:tcPr>
          <w:p>
            <w:pPr>
              <w:pStyle w:val="TableText"/>
              <w:ind w:left="77"/>
              <w:spacing w:before="67" w:line="178" w:lineRule="auto"/>
              <w:rPr>
                <w:sz w:val="20"/>
                <w:szCs w:val="20"/>
              </w:rPr>
            </w:pPr>
            <w:r>
              <w:rPr>
                <w:sz w:val="20"/>
                <w:szCs w:val="20"/>
                <w:spacing w:val="-2"/>
              </w:rPr>
              <w:t>3.8141</w:t>
            </w:r>
          </w:p>
        </w:tc>
        <w:tc>
          <w:tcPr>
            <w:tcW w:w="799" w:type="dxa"/>
            <w:vAlign w:val="top"/>
          </w:tcPr>
          <w:p>
            <w:pPr>
              <w:pStyle w:val="TableText"/>
              <w:ind w:left="98"/>
              <w:spacing w:before="67" w:line="178" w:lineRule="auto"/>
              <w:rPr>
                <w:sz w:val="20"/>
                <w:szCs w:val="20"/>
              </w:rPr>
            </w:pPr>
            <w:r>
              <w:rPr>
                <w:sz w:val="20"/>
                <w:szCs w:val="20"/>
                <w:spacing w:val="-1"/>
              </w:rPr>
              <w:t>4.6724</w:t>
            </w:r>
          </w:p>
        </w:tc>
        <w:tc>
          <w:tcPr>
            <w:tcW w:w="639" w:type="dxa"/>
            <w:vAlign w:val="top"/>
          </w:tcPr>
          <w:p>
            <w:pPr>
              <w:pStyle w:val="TableText"/>
              <w:ind w:left="18"/>
              <w:spacing w:before="67" w:line="178" w:lineRule="auto"/>
              <w:rPr>
                <w:sz w:val="20"/>
                <w:szCs w:val="20"/>
              </w:rPr>
            </w:pPr>
            <w:r>
              <w:rPr>
                <w:sz w:val="20"/>
                <w:szCs w:val="20"/>
                <w:spacing w:val="-2"/>
              </w:rPr>
              <w:t>0.6757</w:t>
            </w:r>
          </w:p>
        </w:tc>
        <w:tc>
          <w:tcPr>
            <w:tcW w:w="787" w:type="dxa"/>
            <w:vAlign w:val="top"/>
          </w:tcPr>
          <w:p>
            <w:pPr>
              <w:pStyle w:val="TableText"/>
              <w:ind w:left="90"/>
              <w:spacing w:before="67" w:line="178" w:lineRule="auto"/>
              <w:rPr>
                <w:sz w:val="20"/>
                <w:szCs w:val="20"/>
              </w:rPr>
            </w:pPr>
            <w:r>
              <w:rPr>
                <w:sz w:val="20"/>
                <w:szCs w:val="20"/>
                <w:spacing w:val="-1"/>
              </w:rPr>
              <w:t>4.2154</w:t>
            </w:r>
          </w:p>
        </w:tc>
      </w:tr>
      <w:tr>
        <w:trPr>
          <w:trHeight w:val="509" w:hRule="atLeast"/>
        </w:trPr>
        <w:tc>
          <w:tcPr>
            <w:tcW w:w="684" w:type="dxa"/>
            <w:vAlign w:val="top"/>
            <w:vMerge w:val="continue"/>
            <w:tcBorders>
              <w:top w:val="nil"/>
              <w:bottom w:val="nil"/>
            </w:tcBorders>
          </w:tcPr>
          <w:p>
            <w:pPr>
              <w:rPr>
                <w:rFonts w:ascii="Arial"/>
                <w:sz w:val="21"/>
              </w:rPr>
            </w:pPr>
            <w:r/>
          </w:p>
        </w:tc>
        <w:tc>
          <w:tcPr>
            <w:tcW w:w="270" w:type="dxa"/>
            <w:vAlign w:val="top"/>
            <w:vMerge w:val="continue"/>
            <w:textDirection w:val="tbRlV"/>
            <w:tcBorders>
              <w:top w:val="nil"/>
            </w:tcBorders>
          </w:tcPr>
          <w:p>
            <w:pPr>
              <w:rPr>
                <w:rFonts w:ascii="Arial"/>
                <w:sz w:val="21"/>
              </w:rPr>
            </w:pPr>
            <w:r/>
          </w:p>
        </w:tc>
        <w:tc>
          <w:tcPr>
            <w:tcW w:w="1019" w:type="dxa"/>
            <w:vAlign w:val="top"/>
            <w:gridSpan w:val="2"/>
            <w:vMerge w:val="continue"/>
            <w:tcBorders>
              <w:top w:val="nil"/>
            </w:tcBorders>
          </w:tcPr>
          <w:p>
            <w:pPr>
              <w:rPr>
                <w:rFonts w:ascii="Arial"/>
                <w:sz w:val="21"/>
              </w:rPr>
            </w:pPr>
            <w:r/>
          </w:p>
        </w:tc>
        <w:tc>
          <w:tcPr>
            <w:tcW w:w="1288" w:type="dxa"/>
            <w:vAlign w:val="top"/>
          </w:tcPr>
          <w:p>
            <w:pPr>
              <w:pStyle w:val="TableText"/>
              <w:ind w:left="181" w:right="55" w:hanging="149"/>
              <w:spacing w:before="20" w:line="221" w:lineRule="auto"/>
              <w:rPr>
                <w:sz w:val="20"/>
                <w:szCs w:val="20"/>
              </w:rPr>
            </w:pPr>
            <w:r>
              <w:rPr>
                <w:sz w:val="20"/>
                <w:szCs w:val="20"/>
                <w:spacing w:val="-2"/>
              </w:rPr>
              <w:t>单位排放量kg</w:t>
            </w:r>
            <w:r>
              <w:rPr>
                <w:sz w:val="20"/>
                <w:szCs w:val="20"/>
                <w:spacing w:val="3"/>
              </w:rPr>
              <w:t xml:space="preserve"> </w:t>
            </w:r>
            <w:r>
              <w:rPr>
                <w:sz w:val="20"/>
                <w:szCs w:val="20"/>
                <w:spacing w:val="7"/>
              </w:rPr>
              <w:t>t(活屠重)</w:t>
            </w:r>
          </w:p>
        </w:tc>
        <w:tc>
          <w:tcPr>
            <w:tcW w:w="909" w:type="dxa"/>
            <w:vAlign w:val="top"/>
          </w:tcPr>
          <w:p>
            <w:pPr>
              <w:pStyle w:val="TableText"/>
              <w:ind w:left="243"/>
              <w:spacing w:before="187" w:line="239" w:lineRule="auto"/>
              <w:rPr>
                <w:sz w:val="20"/>
                <w:szCs w:val="20"/>
              </w:rPr>
            </w:pPr>
            <w:r>
              <w:rPr>
                <w:sz w:val="20"/>
                <w:szCs w:val="20"/>
                <w:spacing w:val="-2"/>
              </w:rPr>
              <w:t>2.03</w:t>
            </w:r>
          </w:p>
        </w:tc>
        <w:tc>
          <w:tcPr>
            <w:tcW w:w="739" w:type="dxa"/>
            <w:vAlign w:val="top"/>
          </w:tcPr>
          <w:p>
            <w:pPr>
              <w:pStyle w:val="TableText"/>
              <w:ind w:left="165"/>
              <w:spacing w:before="187" w:line="239" w:lineRule="auto"/>
              <w:rPr>
                <w:sz w:val="20"/>
                <w:szCs w:val="20"/>
              </w:rPr>
            </w:pPr>
            <w:r>
              <w:rPr>
                <w:sz w:val="20"/>
                <w:szCs w:val="20"/>
                <w:spacing w:val="-5"/>
              </w:rPr>
              <w:t>1.02</w:t>
            </w:r>
          </w:p>
        </w:tc>
        <w:tc>
          <w:tcPr>
            <w:tcW w:w="779" w:type="dxa"/>
            <w:vAlign w:val="top"/>
          </w:tcPr>
          <w:p>
            <w:pPr>
              <w:pStyle w:val="TableText"/>
              <w:ind w:left="185"/>
              <w:spacing w:before="187" w:line="239" w:lineRule="auto"/>
              <w:rPr>
                <w:sz w:val="20"/>
                <w:szCs w:val="20"/>
              </w:rPr>
            </w:pPr>
            <w:r>
              <w:rPr>
                <w:sz w:val="20"/>
                <w:szCs w:val="20"/>
                <w:spacing w:val="-5"/>
              </w:rPr>
              <w:t>1.22</w:t>
            </w:r>
          </w:p>
        </w:tc>
        <w:tc>
          <w:tcPr>
            <w:tcW w:w="769" w:type="dxa"/>
            <w:vAlign w:val="top"/>
          </w:tcPr>
          <w:p>
            <w:pPr>
              <w:pStyle w:val="TableText"/>
              <w:ind w:left="176"/>
              <w:spacing w:before="187" w:line="239" w:lineRule="auto"/>
              <w:rPr>
                <w:sz w:val="20"/>
                <w:szCs w:val="20"/>
              </w:rPr>
            </w:pPr>
            <w:r>
              <w:rPr>
                <w:sz w:val="20"/>
                <w:szCs w:val="20"/>
                <w:spacing w:val="-2"/>
              </w:rPr>
              <w:t>0.18</w:t>
            </w:r>
          </w:p>
        </w:tc>
        <w:tc>
          <w:tcPr>
            <w:tcW w:w="799" w:type="dxa"/>
            <w:vAlign w:val="top"/>
          </w:tcPr>
          <w:p>
            <w:pPr>
              <w:pStyle w:val="TableText"/>
              <w:ind w:left="198"/>
              <w:spacing w:before="187" w:line="239" w:lineRule="auto"/>
              <w:rPr>
                <w:sz w:val="20"/>
                <w:szCs w:val="20"/>
              </w:rPr>
            </w:pPr>
            <w:r>
              <w:rPr>
                <w:sz w:val="20"/>
                <w:szCs w:val="20"/>
                <w:spacing w:val="-2"/>
              </w:rPr>
              <w:t>0.22</w:t>
            </w:r>
          </w:p>
        </w:tc>
        <w:tc>
          <w:tcPr>
            <w:tcW w:w="639" w:type="dxa"/>
            <w:vAlign w:val="top"/>
          </w:tcPr>
          <w:p>
            <w:pPr>
              <w:pStyle w:val="TableText"/>
              <w:ind w:left="119"/>
              <w:spacing w:before="187" w:line="239" w:lineRule="auto"/>
              <w:rPr>
                <w:sz w:val="20"/>
                <w:szCs w:val="20"/>
              </w:rPr>
            </w:pPr>
            <w:r>
              <w:rPr>
                <w:sz w:val="20"/>
                <w:szCs w:val="20"/>
                <w:spacing w:val="-2"/>
              </w:rPr>
              <w:t>0.03</w:t>
            </w:r>
          </w:p>
        </w:tc>
        <w:tc>
          <w:tcPr>
            <w:tcW w:w="787" w:type="dxa"/>
            <w:vAlign w:val="top"/>
          </w:tcPr>
          <w:p>
            <w:pPr>
              <w:pStyle w:val="TableText"/>
              <w:ind w:left="189"/>
              <w:spacing w:before="187" w:line="239" w:lineRule="auto"/>
              <w:rPr>
                <w:sz w:val="20"/>
                <w:szCs w:val="20"/>
              </w:rPr>
            </w:pPr>
            <w:r>
              <w:rPr>
                <w:sz w:val="20"/>
                <w:szCs w:val="20"/>
                <w:spacing w:val="-2"/>
              </w:rPr>
              <w:t>0.20</w:t>
            </w:r>
          </w:p>
        </w:tc>
      </w:tr>
      <w:tr>
        <w:trPr>
          <w:trHeight w:val="264" w:hRule="atLeast"/>
        </w:trPr>
        <w:tc>
          <w:tcPr>
            <w:tcW w:w="684" w:type="dxa"/>
            <w:vAlign w:val="top"/>
            <w:vMerge w:val="continue"/>
            <w:tcBorders>
              <w:top w:val="nil"/>
            </w:tcBorders>
          </w:tcPr>
          <w:p>
            <w:pPr>
              <w:rPr>
                <w:rFonts w:ascii="Arial"/>
                <w:sz w:val="21"/>
              </w:rPr>
            </w:pPr>
            <w:r/>
          </w:p>
        </w:tc>
        <w:tc>
          <w:tcPr>
            <w:tcW w:w="270" w:type="dxa"/>
            <w:vAlign w:val="top"/>
          </w:tcPr>
          <w:p>
            <w:pPr>
              <w:pStyle w:val="TableText"/>
              <w:ind w:left="11"/>
              <w:spacing w:before="45" w:line="192" w:lineRule="auto"/>
              <w:rPr>
                <w:sz w:val="20"/>
                <w:szCs w:val="20"/>
              </w:rPr>
            </w:pPr>
            <w:r>
              <w:rPr>
                <w:sz w:val="20"/>
                <w:szCs w:val="20"/>
                <w:color w:val="604040"/>
              </w:rPr>
              <w:t>全</w:t>
            </w:r>
          </w:p>
        </w:tc>
        <w:tc>
          <w:tcPr>
            <w:tcW w:w="1019" w:type="dxa"/>
            <w:vAlign w:val="top"/>
            <w:gridSpan w:val="2"/>
          </w:tcPr>
          <w:p>
            <w:pPr>
              <w:pStyle w:val="TableText"/>
              <w:ind w:left="50"/>
              <w:spacing w:before="57" w:line="181" w:lineRule="auto"/>
              <w:rPr>
                <w:sz w:val="20"/>
                <w:szCs w:val="20"/>
              </w:rPr>
            </w:pPr>
            <w:r>
              <w:rPr>
                <w:sz w:val="20"/>
                <w:szCs w:val="20"/>
                <w:spacing w:val="-2"/>
              </w:rPr>
              <w:t>265008.96</w:t>
            </w:r>
          </w:p>
        </w:tc>
        <w:tc>
          <w:tcPr>
            <w:tcW w:w="1288" w:type="dxa"/>
            <w:vAlign w:val="top"/>
          </w:tcPr>
          <w:p>
            <w:pPr>
              <w:pStyle w:val="TableText"/>
              <w:ind w:left="181"/>
              <w:spacing w:before="39" w:line="198" w:lineRule="auto"/>
              <w:rPr>
                <w:sz w:val="20"/>
                <w:szCs w:val="20"/>
              </w:rPr>
            </w:pPr>
            <w:r>
              <w:rPr>
                <w:sz w:val="20"/>
                <w:szCs w:val="20"/>
                <w:spacing w:val="-2"/>
              </w:rPr>
              <w:t>排放量t/a</w:t>
            </w:r>
          </w:p>
        </w:tc>
        <w:tc>
          <w:tcPr>
            <w:tcW w:w="909" w:type="dxa"/>
            <w:vAlign w:val="top"/>
          </w:tcPr>
          <w:p>
            <w:pPr>
              <w:pStyle w:val="TableText"/>
              <w:ind w:left="44"/>
              <w:spacing w:before="57" w:line="181" w:lineRule="auto"/>
              <w:rPr>
                <w:sz w:val="20"/>
                <w:szCs w:val="20"/>
              </w:rPr>
            </w:pPr>
            <w:r>
              <w:rPr>
                <w:sz w:val="20"/>
                <w:szCs w:val="20"/>
                <w:spacing w:val="-3"/>
              </w:rPr>
              <w:t>131.3640</w:t>
            </w:r>
          </w:p>
        </w:tc>
        <w:tc>
          <w:tcPr>
            <w:tcW w:w="739" w:type="dxa"/>
            <w:vAlign w:val="top"/>
          </w:tcPr>
          <w:p>
            <w:pPr>
              <w:pStyle w:val="TableText"/>
              <w:ind w:left="15"/>
              <w:spacing w:before="57" w:line="181" w:lineRule="auto"/>
              <w:rPr>
                <w:sz w:val="20"/>
                <w:szCs w:val="20"/>
              </w:rPr>
            </w:pPr>
            <w:r>
              <w:rPr>
                <w:sz w:val="20"/>
                <w:szCs w:val="20"/>
                <w:spacing w:val="-2"/>
              </w:rPr>
              <w:t>65.7857</w:t>
            </w:r>
          </w:p>
        </w:tc>
        <w:tc>
          <w:tcPr>
            <w:tcW w:w="779" w:type="dxa"/>
            <w:vAlign w:val="top"/>
          </w:tcPr>
          <w:p>
            <w:pPr>
              <w:pStyle w:val="TableText"/>
              <w:ind w:left="36"/>
              <w:spacing w:before="57" w:line="181" w:lineRule="auto"/>
              <w:rPr>
                <w:sz w:val="20"/>
                <w:szCs w:val="20"/>
              </w:rPr>
            </w:pPr>
            <w:r>
              <w:rPr>
                <w:sz w:val="20"/>
                <w:szCs w:val="20"/>
                <w:spacing w:val="-2"/>
              </w:rPr>
              <w:t>78.7769</w:t>
            </w:r>
          </w:p>
        </w:tc>
        <w:tc>
          <w:tcPr>
            <w:tcW w:w="769" w:type="dxa"/>
            <w:vAlign w:val="top"/>
          </w:tcPr>
          <w:p>
            <w:pPr>
              <w:pStyle w:val="TableText"/>
              <w:ind w:left="27"/>
              <w:spacing w:before="57" w:line="181" w:lineRule="auto"/>
              <w:rPr>
                <w:sz w:val="20"/>
                <w:szCs w:val="20"/>
              </w:rPr>
            </w:pPr>
            <w:r>
              <w:rPr>
                <w:sz w:val="20"/>
                <w:szCs w:val="20"/>
                <w:spacing w:val="-3"/>
              </w:rPr>
              <w:t>11.8476</w:t>
            </w:r>
          </w:p>
        </w:tc>
        <w:tc>
          <w:tcPr>
            <w:tcW w:w="799" w:type="dxa"/>
            <w:vAlign w:val="top"/>
          </w:tcPr>
          <w:p>
            <w:pPr>
              <w:pStyle w:val="TableText"/>
              <w:ind w:left="48"/>
              <w:spacing w:before="57" w:line="181" w:lineRule="auto"/>
              <w:rPr>
                <w:sz w:val="20"/>
                <w:szCs w:val="20"/>
              </w:rPr>
            </w:pPr>
            <w:r>
              <w:rPr>
                <w:sz w:val="20"/>
                <w:szCs w:val="20"/>
                <w:spacing w:val="-3"/>
              </w:rPr>
              <w:t>14.5237</w:t>
            </w:r>
          </w:p>
        </w:tc>
        <w:tc>
          <w:tcPr>
            <w:tcW w:w="639" w:type="dxa"/>
            <w:vAlign w:val="top"/>
          </w:tcPr>
          <w:p>
            <w:pPr>
              <w:pStyle w:val="TableText"/>
              <w:ind w:left="18"/>
              <w:spacing w:before="57" w:line="181" w:lineRule="auto"/>
              <w:rPr>
                <w:sz w:val="20"/>
                <w:szCs w:val="20"/>
              </w:rPr>
            </w:pPr>
            <w:r>
              <w:rPr>
                <w:sz w:val="20"/>
                <w:szCs w:val="20"/>
                <w:spacing w:val="-2"/>
              </w:rPr>
              <w:t>2.0968</w:t>
            </w:r>
          </w:p>
        </w:tc>
        <w:tc>
          <w:tcPr>
            <w:tcW w:w="787" w:type="dxa"/>
            <w:vAlign w:val="top"/>
          </w:tcPr>
          <w:p>
            <w:pPr>
              <w:pStyle w:val="TableText"/>
              <w:ind w:left="40"/>
              <w:spacing w:before="57" w:line="181" w:lineRule="auto"/>
              <w:rPr>
                <w:sz w:val="20"/>
                <w:szCs w:val="20"/>
              </w:rPr>
            </w:pPr>
            <w:r>
              <w:rPr>
                <w:sz w:val="20"/>
                <w:szCs w:val="20"/>
                <w:spacing w:val="-3"/>
              </w:rPr>
              <w:t>13.0742</w:t>
            </w:r>
          </w:p>
        </w:tc>
      </w:tr>
    </w:tbl>
    <w:p>
      <w:pPr>
        <w:pStyle w:val="BodyText"/>
        <w:rPr/>
      </w:pPr>
      <w:r/>
    </w:p>
    <w:p>
      <w:pPr>
        <w:sectPr>
          <w:headerReference w:type="default" r:id="rId294"/>
          <w:footerReference w:type="default" r:id="rId295"/>
          <w:pgSz w:w="11910" w:h="16840"/>
          <w:pgMar w:top="1167" w:right="1642" w:bottom="922" w:left="1574" w:header="874" w:footer="751" w:gutter="0"/>
        </w:sectPr>
        <w:rPr/>
      </w:pPr>
    </w:p>
    <w:p>
      <w:pPr>
        <w:spacing w:before="4"/>
        <w:rPr/>
      </w:pPr>
      <w:r/>
    </w:p>
    <w:tbl>
      <w:tblPr>
        <w:tblStyle w:val="TableNormal"/>
        <w:tblW w:w="8682"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94"/>
        <w:gridCol w:w="280"/>
        <w:gridCol w:w="779"/>
        <w:gridCol w:w="260"/>
        <w:gridCol w:w="1299"/>
        <w:gridCol w:w="919"/>
        <w:gridCol w:w="739"/>
        <w:gridCol w:w="759"/>
        <w:gridCol w:w="759"/>
        <w:gridCol w:w="779"/>
        <w:gridCol w:w="649"/>
        <w:gridCol w:w="766"/>
      </w:tblGrid>
      <w:tr>
        <w:trPr>
          <w:trHeight w:val="265" w:hRule="atLeast"/>
        </w:trPr>
        <w:tc>
          <w:tcPr>
            <w:shd w:val="clear" w:fill="BDBDBD"/>
            <w:tcW w:w="694" w:type="dxa"/>
            <w:vAlign w:val="top"/>
            <w:vMerge w:val="restart"/>
            <w:tcBorders>
              <w:bottom w:val="nil"/>
            </w:tcBorders>
          </w:tcPr>
          <w:p>
            <w:pPr>
              <w:pStyle w:val="TableText"/>
              <w:ind w:left="37"/>
              <w:spacing w:before="161" w:line="220" w:lineRule="auto"/>
              <w:rPr>
                <w:sz w:val="20"/>
                <w:szCs w:val="20"/>
              </w:rPr>
            </w:pPr>
            <w:r>
              <w:rPr>
                <w:sz w:val="20"/>
                <w:szCs w:val="20"/>
                <w:b/>
                <w:bCs/>
                <w:spacing w:val="-5"/>
              </w:rPr>
              <w:t>污染源</w:t>
            </w:r>
          </w:p>
        </w:tc>
        <w:tc>
          <w:tcPr>
            <w:shd w:val="clear" w:fill="BDBDBD"/>
            <w:tcW w:w="1059" w:type="dxa"/>
            <w:vAlign w:val="top"/>
            <w:gridSpan w:val="2"/>
            <w:vMerge w:val="restart"/>
            <w:tcBorders>
              <w:bottom w:val="nil"/>
            </w:tcBorders>
          </w:tcPr>
          <w:p>
            <w:pPr>
              <w:pStyle w:val="TableText"/>
              <w:ind w:left="223"/>
              <w:spacing w:before="41" w:line="221" w:lineRule="auto"/>
              <w:rPr>
                <w:sz w:val="20"/>
                <w:szCs w:val="20"/>
              </w:rPr>
            </w:pPr>
            <w:r>
              <w:rPr>
                <w:sz w:val="20"/>
                <w:szCs w:val="20"/>
                <w:b/>
                <w:bCs/>
                <w:spacing w:val="-4"/>
              </w:rPr>
              <w:t>排放量</w:t>
            </w:r>
          </w:p>
          <w:p>
            <w:pPr>
              <w:pStyle w:val="TableText"/>
              <w:ind w:left="173"/>
              <w:spacing w:before="2" w:line="214" w:lineRule="auto"/>
              <w:rPr>
                <w:sz w:val="20"/>
                <w:szCs w:val="20"/>
              </w:rPr>
            </w:pPr>
            <w:r>
              <w:rPr>
                <w:sz w:val="20"/>
                <w:szCs w:val="20"/>
                <w:b/>
                <w:bCs/>
                <w:spacing w:val="-9"/>
              </w:rPr>
              <w:t>(m³/a)</w:t>
            </w:r>
          </w:p>
        </w:tc>
        <w:tc>
          <w:tcPr>
            <w:shd w:val="clear" w:fill="BDBDBD"/>
            <w:tcW w:w="1559" w:type="dxa"/>
            <w:vAlign w:val="top"/>
            <w:gridSpan w:val="2"/>
            <w:vMerge w:val="restart"/>
            <w:tcBorders>
              <w:bottom w:val="nil"/>
            </w:tcBorders>
          </w:tcPr>
          <w:p>
            <w:pPr>
              <w:pStyle w:val="TableText"/>
              <w:ind w:left="354"/>
              <w:spacing w:before="161" w:line="220" w:lineRule="auto"/>
              <w:rPr>
                <w:sz w:val="20"/>
                <w:szCs w:val="20"/>
              </w:rPr>
            </w:pPr>
            <w:r>
              <w:rPr>
                <w:sz w:val="20"/>
                <w:szCs w:val="20"/>
                <w:b/>
                <w:bCs/>
                <w:spacing w:val="-5"/>
              </w:rPr>
              <w:t>处理情况</w:t>
            </w:r>
          </w:p>
        </w:tc>
        <w:tc>
          <w:tcPr>
            <w:shd w:val="clear" w:fill="BDBDBD"/>
            <w:tcW w:w="5370" w:type="dxa"/>
            <w:vAlign w:val="top"/>
            <w:gridSpan w:val="7"/>
          </w:tcPr>
          <w:p>
            <w:pPr>
              <w:pStyle w:val="TableText"/>
              <w:ind w:left="2375"/>
              <w:spacing w:before="30" w:line="207" w:lineRule="auto"/>
              <w:rPr>
                <w:sz w:val="20"/>
                <w:szCs w:val="20"/>
              </w:rPr>
            </w:pPr>
            <w:r>
              <w:rPr>
                <w:sz w:val="20"/>
                <w:szCs w:val="20"/>
                <w:b/>
                <w:bCs/>
                <w:spacing w:val="-5"/>
              </w:rPr>
              <w:t>污染物</w:t>
            </w:r>
          </w:p>
        </w:tc>
      </w:tr>
      <w:tr>
        <w:trPr>
          <w:trHeight w:val="250" w:hRule="atLeast"/>
        </w:trPr>
        <w:tc>
          <w:tcPr>
            <w:tcW w:w="694" w:type="dxa"/>
            <w:vAlign w:val="top"/>
            <w:vMerge w:val="continue"/>
            <w:tcBorders>
              <w:top w:val="nil"/>
            </w:tcBorders>
          </w:tcPr>
          <w:p>
            <w:pPr>
              <w:rPr>
                <w:rFonts w:ascii="Arial"/>
                <w:sz w:val="21"/>
              </w:rPr>
            </w:pPr>
            <w:r/>
          </w:p>
        </w:tc>
        <w:tc>
          <w:tcPr>
            <w:tcW w:w="1059" w:type="dxa"/>
            <w:vAlign w:val="top"/>
            <w:gridSpan w:val="2"/>
            <w:vMerge w:val="continue"/>
            <w:tcBorders>
              <w:top w:val="nil"/>
            </w:tcBorders>
          </w:tcPr>
          <w:p>
            <w:pPr>
              <w:rPr>
                <w:rFonts w:ascii="Arial"/>
                <w:sz w:val="21"/>
              </w:rPr>
            </w:pPr>
            <w:r/>
          </w:p>
        </w:tc>
        <w:tc>
          <w:tcPr>
            <w:tcW w:w="1559" w:type="dxa"/>
            <w:vAlign w:val="top"/>
            <w:gridSpan w:val="2"/>
            <w:vMerge w:val="continue"/>
            <w:tcBorders>
              <w:top w:val="nil"/>
            </w:tcBorders>
          </w:tcPr>
          <w:p>
            <w:pPr>
              <w:rPr>
                <w:rFonts w:ascii="Arial"/>
                <w:sz w:val="21"/>
              </w:rPr>
            </w:pPr>
            <w:r/>
          </w:p>
        </w:tc>
        <w:tc>
          <w:tcPr>
            <w:shd w:val="clear" w:fill="BDBDBD"/>
            <w:tcW w:w="919" w:type="dxa"/>
            <w:vAlign w:val="top"/>
          </w:tcPr>
          <w:p>
            <w:pPr>
              <w:pStyle w:val="TableText"/>
              <w:ind w:left="305"/>
              <w:spacing w:before="78" w:line="162" w:lineRule="exact"/>
              <w:rPr>
                <w:sz w:val="20"/>
                <w:szCs w:val="20"/>
              </w:rPr>
            </w:pPr>
            <w:r>
              <w:rPr>
                <w:sz w:val="20"/>
                <w:szCs w:val="20"/>
                <w:b/>
                <w:bCs/>
                <w:spacing w:val="-4"/>
                <w:position w:val="-2"/>
              </w:rPr>
              <w:t>COD</w:t>
            </w:r>
          </w:p>
        </w:tc>
        <w:tc>
          <w:tcPr>
            <w:shd w:val="clear" w:fill="BDBDBD"/>
            <w:tcW w:w="739" w:type="dxa"/>
            <w:vAlign w:val="top"/>
          </w:tcPr>
          <w:p>
            <w:pPr>
              <w:pStyle w:val="TableText"/>
              <w:ind w:left="116"/>
              <w:spacing w:before="59" w:line="167" w:lineRule="auto"/>
              <w:rPr>
                <w:rFonts w:ascii="Calibri" w:hAnsi="Calibri" w:eastAsia="Calibri" w:cs="Calibri"/>
                <w:sz w:val="20"/>
                <w:szCs w:val="20"/>
              </w:rPr>
            </w:pPr>
            <w:r>
              <w:rPr>
                <w:sz w:val="20"/>
                <w:szCs w:val="20"/>
                <w:b/>
                <w:bCs/>
                <w:spacing w:val="-3"/>
              </w:rPr>
              <w:t>BOD</w:t>
            </w:r>
            <w:r>
              <w:rPr>
                <w:rFonts w:ascii="Calibri" w:hAnsi="Calibri" w:eastAsia="Calibri" w:cs="Calibri"/>
                <w:sz w:val="20"/>
                <w:szCs w:val="20"/>
                <w:b/>
                <w:bCs/>
                <w:spacing w:val="-3"/>
              </w:rPr>
              <w:t>₅</w:t>
            </w:r>
          </w:p>
        </w:tc>
        <w:tc>
          <w:tcPr>
            <w:shd w:val="clear" w:fill="BDBDBD"/>
            <w:tcW w:w="759" w:type="dxa"/>
            <w:vAlign w:val="top"/>
          </w:tcPr>
          <w:p>
            <w:pPr>
              <w:pStyle w:val="TableText"/>
              <w:ind w:left="277"/>
              <w:spacing w:before="78" w:line="162" w:lineRule="exact"/>
              <w:rPr>
                <w:sz w:val="20"/>
                <w:szCs w:val="20"/>
              </w:rPr>
            </w:pPr>
            <w:r>
              <w:rPr>
                <w:sz w:val="20"/>
                <w:szCs w:val="20"/>
                <w:b/>
                <w:bCs/>
                <w:spacing w:val="-5"/>
                <w:position w:val="-2"/>
              </w:rPr>
              <w:t>SS</w:t>
            </w:r>
          </w:p>
        </w:tc>
        <w:tc>
          <w:tcPr>
            <w:shd w:val="clear" w:fill="BDBDBD"/>
            <w:tcW w:w="759" w:type="dxa"/>
            <w:vAlign w:val="top"/>
          </w:tcPr>
          <w:p>
            <w:pPr>
              <w:pStyle w:val="TableText"/>
              <w:ind w:left="78"/>
              <w:spacing w:before="60" w:line="166" w:lineRule="auto"/>
              <w:rPr>
                <w:sz w:val="20"/>
                <w:szCs w:val="20"/>
              </w:rPr>
            </w:pPr>
            <w:r>
              <w:rPr>
                <w:sz w:val="20"/>
                <w:szCs w:val="20"/>
                <w:b/>
                <w:bCs/>
                <w:spacing w:val="-3"/>
              </w:rPr>
              <w:t>NH</w:t>
            </w:r>
            <w:r>
              <w:rPr>
                <w:rFonts w:ascii="Calibri" w:hAnsi="Calibri" w:eastAsia="Calibri" w:cs="Calibri"/>
                <w:sz w:val="20"/>
                <w:szCs w:val="20"/>
                <w:b/>
                <w:bCs/>
                <w:spacing w:val="-3"/>
              </w:rPr>
              <w:t>₃</w:t>
            </w:r>
            <w:r>
              <w:rPr>
                <w:sz w:val="20"/>
                <w:szCs w:val="20"/>
                <w:b/>
                <w:bCs/>
                <w:spacing w:val="-3"/>
              </w:rPr>
              <w:t>-N</w:t>
            </w:r>
          </w:p>
        </w:tc>
        <w:tc>
          <w:tcPr>
            <w:shd w:val="clear" w:fill="BDBDBD"/>
            <w:tcW w:w="779" w:type="dxa"/>
            <w:vAlign w:val="top"/>
          </w:tcPr>
          <w:p>
            <w:pPr>
              <w:pStyle w:val="TableText"/>
              <w:ind w:left="289"/>
              <w:spacing w:before="81" w:line="158" w:lineRule="exact"/>
              <w:rPr>
                <w:sz w:val="20"/>
                <w:szCs w:val="20"/>
              </w:rPr>
            </w:pPr>
            <w:r>
              <w:rPr>
                <w:sz w:val="20"/>
                <w:szCs w:val="20"/>
                <w:b/>
                <w:bCs/>
                <w:spacing w:val="-4"/>
                <w:position w:val="-2"/>
              </w:rPr>
              <w:t>TN</w:t>
            </w:r>
          </w:p>
        </w:tc>
        <w:tc>
          <w:tcPr>
            <w:shd w:val="clear" w:fill="BDBDBD"/>
            <w:tcW w:w="649" w:type="dxa"/>
            <w:vAlign w:val="top"/>
          </w:tcPr>
          <w:p>
            <w:pPr>
              <w:pStyle w:val="TableText"/>
              <w:ind w:left="220"/>
              <w:spacing w:before="81" w:line="158" w:lineRule="exact"/>
              <w:rPr>
                <w:sz w:val="20"/>
                <w:szCs w:val="20"/>
              </w:rPr>
            </w:pPr>
            <w:r>
              <w:rPr>
                <w:sz w:val="20"/>
                <w:szCs w:val="20"/>
                <w:b/>
                <w:bCs/>
                <w:spacing w:val="-4"/>
                <w:position w:val="-2"/>
              </w:rPr>
              <w:t>TP</w:t>
            </w:r>
          </w:p>
        </w:tc>
        <w:tc>
          <w:tcPr>
            <w:shd w:val="clear" w:fill="BDBDBD"/>
            <w:tcW w:w="766" w:type="dxa"/>
            <w:vAlign w:val="top"/>
          </w:tcPr>
          <w:p>
            <w:pPr>
              <w:pStyle w:val="TableText"/>
              <w:spacing w:before="25" w:line="198" w:lineRule="auto"/>
              <w:jc w:val="right"/>
              <w:rPr>
                <w:sz w:val="20"/>
                <w:szCs w:val="20"/>
              </w:rPr>
            </w:pPr>
            <w:r>
              <w:rPr>
                <w:sz w:val="20"/>
                <w:szCs w:val="20"/>
                <w:b/>
                <w:bCs/>
                <w:spacing w:val="-19"/>
              </w:rPr>
              <w:t>动植物油</w:t>
            </w:r>
          </w:p>
        </w:tc>
      </w:tr>
      <w:tr>
        <w:trPr>
          <w:trHeight w:val="769" w:hRule="atLeast"/>
        </w:trPr>
        <w:tc>
          <w:tcPr>
            <w:tcW w:w="694" w:type="dxa"/>
            <w:vAlign w:val="top"/>
          </w:tcPr>
          <w:p>
            <w:pPr>
              <w:rPr>
                <w:rFonts w:ascii="Arial"/>
                <w:sz w:val="21"/>
              </w:rPr>
            </w:pPr>
            <w:r/>
          </w:p>
        </w:tc>
        <w:tc>
          <w:tcPr>
            <w:tcW w:w="280" w:type="dxa"/>
            <w:vAlign w:val="top"/>
          </w:tcPr>
          <w:p>
            <w:pPr>
              <w:pStyle w:val="TableText"/>
              <w:ind w:left="30"/>
              <w:spacing w:before="18" w:line="219" w:lineRule="auto"/>
              <w:rPr>
                <w:sz w:val="20"/>
                <w:szCs w:val="20"/>
              </w:rPr>
            </w:pPr>
            <w:r>
              <w:rPr>
                <w:sz w:val="20"/>
                <w:szCs w:val="20"/>
              </w:rPr>
              <w:t>年</w:t>
            </w:r>
          </w:p>
        </w:tc>
        <w:tc>
          <w:tcPr>
            <w:tcW w:w="1039" w:type="dxa"/>
            <w:vAlign w:val="top"/>
            <w:gridSpan w:val="2"/>
          </w:tcPr>
          <w:p>
            <w:pPr>
              <w:pStyle w:val="TableText"/>
              <w:ind w:left="261" w:right="10" w:hanging="100"/>
              <w:spacing w:before="22" w:line="235" w:lineRule="auto"/>
              <w:rPr>
                <w:sz w:val="20"/>
                <w:szCs w:val="20"/>
              </w:rPr>
            </w:pPr>
            <w:r>
              <w:rPr>
                <w:sz w:val="20"/>
                <w:szCs w:val="20"/>
                <w:spacing w:val="-5"/>
              </w:rPr>
              <w:t>(4.14m³/t</w:t>
            </w:r>
            <w:r>
              <w:rPr>
                <w:sz w:val="20"/>
                <w:szCs w:val="20"/>
                <w:spacing w:val="1"/>
              </w:rPr>
              <w:t xml:space="preserve"> </w:t>
            </w:r>
            <w:r>
              <w:rPr>
                <w:sz w:val="20"/>
                <w:szCs w:val="20"/>
                <w:spacing w:val="3"/>
              </w:rPr>
              <w:t>(活屠</w:t>
            </w:r>
          </w:p>
          <w:p>
            <w:pPr>
              <w:pStyle w:val="TableText"/>
              <w:ind w:left="191"/>
              <w:spacing w:line="210" w:lineRule="auto"/>
              <w:rPr>
                <w:sz w:val="20"/>
                <w:szCs w:val="20"/>
              </w:rPr>
            </w:pPr>
            <w:r>
              <w:rPr>
                <w:sz w:val="20"/>
                <w:szCs w:val="20"/>
                <w:spacing w:val="14"/>
              </w:rPr>
              <w:t>重))</w:t>
            </w:r>
          </w:p>
        </w:tc>
        <w:tc>
          <w:tcPr>
            <w:tcW w:w="1299" w:type="dxa"/>
            <w:vAlign w:val="top"/>
          </w:tcPr>
          <w:p>
            <w:pPr>
              <w:pStyle w:val="TableText"/>
              <w:ind w:left="81" w:right="56" w:hanging="40"/>
              <w:spacing w:before="151"/>
              <w:rPr>
                <w:sz w:val="20"/>
                <w:szCs w:val="20"/>
              </w:rPr>
            </w:pPr>
            <w:r>
              <w:rPr>
                <w:sz w:val="20"/>
                <w:szCs w:val="20"/>
                <w:spacing w:val="-2"/>
              </w:rPr>
              <w:t>单位排放量kg</w:t>
            </w:r>
            <w:r>
              <w:rPr>
                <w:sz w:val="20"/>
                <w:szCs w:val="20"/>
                <w:spacing w:val="3"/>
              </w:rPr>
              <w:t xml:space="preserve"> </w:t>
            </w:r>
            <w:r>
              <w:rPr>
                <w:sz w:val="20"/>
                <w:szCs w:val="20"/>
                <w:spacing w:val="7"/>
              </w:rPr>
              <w:t>t(活屠重)</w:t>
            </w:r>
          </w:p>
        </w:tc>
        <w:tc>
          <w:tcPr>
            <w:tcW w:w="919" w:type="dxa"/>
            <w:vAlign w:val="top"/>
          </w:tcPr>
          <w:p>
            <w:pPr>
              <w:spacing w:line="241" w:lineRule="auto"/>
              <w:rPr>
                <w:rFonts w:ascii="Arial"/>
                <w:sz w:val="21"/>
              </w:rPr>
            </w:pPr>
            <w:r/>
          </w:p>
          <w:p>
            <w:pPr>
              <w:pStyle w:val="TableText"/>
              <w:ind w:left="253"/>
              <w:spacing w:before="65" w:line="239" w:lineRule="auto"/>
              <w:rPr>
                <w:sz w:val="20"/>
                <w:szCs w:val="20"/>
              </w:rPr>
            </w:pPr>
            <w:r>
              <w:rPr>
                <w:sz w:val="20"/>
                <w:szCs w:val="20"/>
                <w:spacing w:val="-2"/>
              </w:rPr>
              <w:t>2.05</w:t>
            </w:r>
          </w:p>
        </w:tc>
        <w:tc>
          <w:tcPr>
            <w:tcW w:w="739" w:type="dxa"/>
            <w:vAlign w:val="top"/>
          </w:tcPr>
          <w:p>
            <w:pPr>
              <w:spacing w:line="241" w:lineRule="auto"/>
              <w:rPr>
                <w:rFonts w:ascii="Arial"/>
                <w:sz w:val="21"/>
              </w:rPr>
            </w:pPr>
            <w:r/>
          </w:p>
          <w:p>
            <w:pPr>
              <w:pStyle w:val="TableText"/>
              <w:ind w:left="164"/>
              <w:spacing w:before="65" w:line="239" w:lineRule="auto"/>
              <w:rPr>
                <w:sz w:val="20"/>
                <w:szCs w:val="20"/>
              </w:rPr>
            </w:pPr>
            <w:r>
              <w:rPr>
                <w:sz w:val="20"/>
                <w:szCs w:val="20"/>
                <w:spacing w:val="-5"/>
              </w:rPr>
              <w:t>1.03</w:t>
            </w:r>
          </w:p>
        </w:tc>
        <w:tc>
          <w:tcPr>
            <w:tcW w:w="759" w:type="dxa"/>
            <w:vAlign w:val="top"/>
          </w:tcPr>
          <w:p>
            <w:pPr>
              <w:spacing w:line="241" w:lineRule="auto"/>
              <w:rPr>
                <w:rFonts w:ascii="Arial"/>
                <w:sz w:val="21"/>
              </w:rPr>
            </w:pPr>
            <w:r/>
          </w:p>
          <w:p>
            <w:pPr>
              <w:pStyle w:val="TableText"/>
              <w:ind w:left="175"/>
              <w:spacing w:before="65" w:line="239" w:lineRule="auto"/>
              <w:rPr>
                <w:sz w:val="20"/>
                <w:szCs w:val="20"/>
              </w:rPr>
            </w:pPr>
            <w:r>
              <w:rPr>
                <w:sz w:val="20"/>
                <w:szCs w:val="20"/>
                <w:spacing w:val="-5"/>
              </w:rPr>
              <w:t>1.23</w:t>
            </w:r>
          </w:p>
        </w:tc>
        <w:tc>
          <w:tcPr>
            <w:tcW w:w="759" w:type="dxa"/>
            <w:vAlign w:val="top"/>
          </w:tcPr>
          <w:p>
            <w:pPr>
              <w:spacing w:line="241" w:lineRule="auto"/>
              <w:rPr>
                <w:rFonts w:ascii="Arial"/>
                <w:sz w:val="21"/>
              </w:rPr>
            </w:pPr>
            <w:r/>
          </w:p>
          <w:p>
            <w:pPr>
              <w:pStyle w:val="TableText"/>
              <w:ind w:left="175"/>
              <w:spacing w:before="65" w:line="239" w:lineRule="auto"/>
              <w:rPr>
                <w:sz w:val="20"/>
                <w:szCs w:val="20"/>
              </w:rPr>
            </w:pPr>
            <w:r>
              <w:rPr>
                <w:sz w:val="20"/>
                <w:szCs w:val="20"/>
                <w:spacing w:val="-2"/>
              </w:rPr>
              <w:t>0.19</w:t>
            </w:r>
          </w:p>
        </w:tc>
        <w:tc>
          <w:tcPr>
            <w:tcW w:w="779" w:type="dxa"/>
            <w:vAlign w:val="top"/>
          </w:tcPr>
          <w:p>
            <w:pPr>
              <w:spacing w:line="241" w:lineRule="auto"/>
              <w:rPr>
                <w:rFonts w:ascii="Arial"/>
                <w:sz w:val="21"/>
              </w:rPr>
            </w:pPr>
            <w:r/>
          </w:p>
          <w:p>
            <w:pPr>
              <w:pStyle w:val="TableText"/>
              <w:ind w:left="186"/>
              <w:spacing w:before="65" w:line="239" w:lineRule="auto"/>
              <w:rPr>
                <w:sz w:val="20"/>
                <w:szCs w:val="20"/>
              </w:rPr>
            </w:pPr>
            <w:r>
              <w:rPr>
                <w:sz w:val="20"/>
                <w:szCs w:val="20"/>
                <w:spacing w:val="-2"/>
              </w:rPr>
              <w:t>0.23</w:t>
            </w:r>
          </w:p>
        </w:tc>
        <w:tc>
          <w:tcPr>
            <w:tcW w:w="649" w:type="dxa"/>
            <w:vAlign w:val="top"/>
          </w:tcPr>
          <w:p>
            <w:pPr>
              <w:spacing w:line="241" w:lineRule="auto"/>
              <w:rPr>
                <w:rFonts w:ascii="Arial"/>
                <w:sz w:val="21"/>
              </w:rPr>
            </w:pPr>
            <w:r/>
          </w:p>
          <w:p>
            <w:pPr>
              <w:pStyle w:val="TableText"/>
              <w:ind w:left="118"/>
              <w:spacing w:before="65" w:line="239" w:lineRule="auto"/>
              <w:rPr>
                <w:sz w:val="20"/>
                <w:szCs w:val="20"/>
              </w:rPr>
            </w:pPr>
            <w:r>
              <w:rPr>
                <w:sz w:val="20"/>
                <w:szCs w:val="20"/>
                <w:spacing w:val="-2"/>
              </w:rPr>
              <w:t>0.03</w:t>
            </w:r>
          </w:p>
        </w:tc>
        <w:tc>
          <w:tcPr>
            <w:tcW w:w="766" w:type="dxa"/>
            <w:vAlign w:val="top"/>
          </w:tcPr>
          <w:p>
            <w:pPr>
              <w:spacing w:line="241" w:lineRule="auto"/>
              <w:rPr>
                <w:rFonts w:ascii="Arial"/>
                <w:sz w:val="21"/>
              </w:rPr>
            </w:pPr>
            <w:r/>
          </w:p>
          <w:p>
            <w:pPr>
              <w:pStyle w:val="TableText"/>
              <w:ind w:left="178"/>
              <w:spacing w:before="65" w:line="239" w:lineRule="auto"/>
              <w:rPr>
                <w:sz w:val="20"/>
                <w:szCs w:val="20"/>
              </w:rPr>
            </w:pPr>
            <w:r>
              <w:rPr>
                <w:sz w:val="20"/>
                <w:szCs w:val="20"/>
                <w:spacing w:val="-2"/>
              </w:rPr>
              <w:t>0.20</w:t>
            </w:r>
          </w:p>
        </w:tc>
      </w:tr>
      <w:tr>
        <w:trPr>
          <w:trHeight w:val="250" w:hRule="atLeast"/>
        </w:trPr>
        <w:tc>
          <w:tcPr>
            <w:tcW w:w="2013" w:type="dxa"/>
            <w:vAlign w:val="top"/>
            <w:gridSpan w:val="4"/>
            <w:vMerge w:val="restart"/>
            <w:tcBorders>
              <w:bottom w:val="nil"/>
            </w:tcBorders>
          </w:tcPr>
          <w:p>
            <w:pPr>
              <w:pStyle w:val="TableText"/>
              <w:spacing w:before="159" w:line="219" w:lineRule="auto"/>
              <w:rPr>
                <w:sz w:val="20"/>
                <w:szCs w:val="20"/>
              </w:rPr>
            </w:pPr>
            <w:r>
              <w:rPr>
                <w:sz w:val="20"/>
                <w:szCs w:val="20"/>
                <w:spacing w:val="-7"/>
              </w:rPr>
              <w:t>《肉类加工工业水污染</w:t>
            </w:r>
          </w:p>
          <w:p>
            <w:pPr>
              <w:pStyle w:val="TableText"/>
              <w:ind w:left="95"/>
              <w:spacing w:before="23" w:line="220" w:lineRule="auto"/>
              <w:rPr>
                <w:sz w:val="20"/>
                <w:szCs w:val="20"/>
              </w:rPr>
            </w:pPr>
            <w:r>
              <w:rPr>
                <w:sz w:val="20"/>
                <w:szCs w:val="20"/>
                <w:spacing w:val="-1"/>
              </w:rPr>
              <w:t>物排放标准》(GB134</w:t>
            </w:r>
          </w:p>
          <w:p>
            <w:pPr>
              <w:pStyle w:val="TableText"/>
              <w:ind w:left="145"/>
              <w:spacing w:before="31" w:line="219" w:lineRule="auto"/>
              <w:rPr>
                <w:sz w:val="20"/>
                <w:szCs w:val="20"/>
              </w:rPr>
            </w:pPr>
            <w:r>
              <w:rPr>
                <w:sz w:val="20"/>
                <w:szCs w:val="20"/>
                <w:spacing w:val="1"/>
              </w:rPr>
              <w:t>57-92)(畜类屠宰加</w:t>
            </w:r>
          </w:p>
          <w:p>
            <w:pPr>
              <w:pStyle w:val="TableText"/>
              <w:ind w:left="244"/>
              <w:spacing w:before="15" w:line="214" w:lineRule="auto"/>
              <w:rPr>
                <w:sz w:val="20"/>
                <w:szCs w:val="20"/>
              </w:rPr>
            </w:pPr>
            <w:r>
              <w:rPr>
                <w:sz w:val="20"/>
                <w:szCs w:val="20"/>
                <w:spacing w:val="-1"/>
              </w:rPr>
              <w:t>工)三级标准mg/L</w:t>
            </w:r>
          </w:p>
        </w:tc>
        <w:tc>
          <w:tcPr>
            <w:tcW w:w="1299" w:type="dxa"/>
            <w:vAlign w:val="top"/>
          </w:tcPr>
          <w:p>
            <w:pPr>
              <w:pStyle w:val="TableText"/>
              <w:ind w:left="41"/>
              <w:spacing w:before="23" w:line="200" w:lineRule="auto"/>
              <w:rPr>
                <w:sz w:val="20"/>
                <w:szCs w:val="20"/>
              </w:rPr>
            </w:pPr>
            <w:r>
              <w:rPr>
                <w:sz w:val="20"/>
                <w:szCs w:val="20"/>
                <w:spacing w:val="-1"/>
              </w:rPr>
              <w:t>排放浓度mg/L</w:t>
            </w:r>
          </w:p>
        </w:tc>
        <w:tc>
          <w:tcPr>
            <w:tcW w:w="919" w:type="dxa"/>
            <w:vAlign w:val="top"/>
          </w:tcPr>
          <w:p>
            <w:pPr>
              <w:pStyle w:val="TableText"/>
              <w:ind w:left="303"/>
              <w:spacing w:before="49" w:line="176" w:lineRule="auto"/>
              <w:rPr>
                <w:sz w:val="20"/>
                <w:szCs w:val="20"/>
              </w:rPr>
            </w:pPr>
            <w:r>
              <w:rPr>
                <w:sz w:val="20"/>
                <w:szCs w:val="20"/>
                <w:spacing w:val="-3"/>
              </w:rPr>
              <w:t>500</w:t>
            </w:r>
          </w:p>
        </w:tc>
        <w:tc>
          <w:tcPr>
            <w:tcW w:w="739" w:type="dxa"/>
            <w:vAlign w:val="top"/>
          </w:tcPr>
          <w:p>
            <w:pPr>
              <w:pStyle w:val="TableText"/>
              <w:ind w:left="214"/>
              <w:spacing w:before="49" w:line="176" w:lineRule="auto"/>
              <w:rPr>
                <w:sz w:val="20"/>
                <w:szCs w:val="20"/>
              </w:rPr>
            </w:pPr>
            <w:r>
              <w:rPr>
                <w:sz w:val="20"/>
                <w:szCs w:val="20"/>
                <w:spacing w:val="-3"/>
              </w:rPr>
              <w:t>300</w:t>
            </w:r>
          </w:p>
        </w:tc>
        <w:tc>
          <w:tcPr>
            <w:tcW w:w="759" w:type="dxa"/>
            <w:vAlign w:val="top"/>
          </w:tcPr>
          <w:p>
            <w:pPr>
              <w:pStyle w:val="TableText"/>
              <w:ind w:left="225"/>
              <w:spacing w:before="49" w:line="176" w:lineRule="auto"/>
              <w:rPr>
                <w:sz w:val="20"/>
                <w:szCs w:val="20"/>
              </w:rPr>
            </w:pPr>
            <w:r>
              <w:rPr>
                <w:sz w:val="20"/>
                <w:szCs w:val="20"/>
                <w:spacing w:val="-2"/>
              </w:rPr>
              <w:t>400</w:t>
            </w:r>
          </w:p>
        </w:tc>
        <w:tc>
          <w:tcPr>
            <w:tcW w:w="759" w:type="dxa"/>
            <w:vAlign w:val="top"/>
          </w:tcPr>
          <w:p>
            <w:pPr>
              <w:pStyle w:val="TableText"/>
              <w:ind w:left="326"/>
              <w:spacing w:before="49" w:line="176" w:lineRule="auto"/>
              <w:rPr>
                <w:sz w:val="20"/>
                <w:szCs w:val="20"/>
              </w:rPr>
            </w:pPr>
            <w:r>
              <w:rPr>
                <w:sz w:val="20"/>
                <w:szCs w:val="20"/>
              </w:rPr>
              <w:t>1</w:t>
            </w:r>
          </w:p>
        </w:tc>
        <w:tc>
          <w:tcPr>
            <w:tcW w:w="779" w:type="dxa"/>
            <w:vAlign w:val="top"/>
          </w:tcPr>
          <w:p>
            <w:pPr>
              <w:pStyle w:val="TableText"/>
              <w:ind w:left="337"/>
              <w:spacing w:before="34" w:line="190" w:lineRule="auto"/>
              <w:rPr>
                <w:sz w:val="20"/>
                <w:szCs w:val="20"/>
              </w:rPr>
            </w:pPr>
            <w:r>
              <w:rPr>
                <w:sz w:val="20"/>
                <w:szCs w:val="20"/>
                <w:color w:val="403040"/>
              </w:rPr>
              <w:t>/</w:t>
            </w:r>
          </w:p>
        </w:tc>
        <w:tc>
          <w:tcPr>
            <w:tcW w:w="649" w:type="dxa"/>
            <w:vAlign w:val="top"/>
          </w:tcPr>
          <w:p>
            <w:pPr>
              <w:pStyle w:val="TableText"/>
              <w:ind w:left="267"/>
              <w:spacing w:before="34" w:line="190" w:lineRule="auto"/>
              <w:rPr>
                <w:sz w:val="20"/>
                <w:szCs w:val="20"/>
              </w:rPr>
            </w:pPr>
            <w:r>
              <w:rPr>
                <w:sz w:val="20"/>
                <w:szCs w:val="20"/>
              </w:rPr>
              <w:t>/</w:t>
            </w:r>
          </w:p>
        </w:tc>
        <w:tc>
          <w:tcPr>
            <w:tcW w:w="766" w:type="dxa"/>
            <w:vAlign w:val="top"/>
          </w:tcPr>
          <w:p>
            <w:pPr>
              <w:pStyle w:val="TableText"/>
              <w:ind w:left="279"/>
              <w:spacing w:before="49" w:line="176" w:lineRule="auto"/>
              <w:rPr>
                <w:sz w:val="20"/>
                <w:szCs w:val="20"/>
              </w:rPr>
            </w:pPr>
            <w:r>
              <w:rPr>
                <w:sz w:val="20"/>
                <w:szCs w:val="20"/>
                <w:spacing w:val="-3"/>
              </w:rPr>
              <w:t>60</w:t>
            </w:r>
          </w:p>
        </w:tc>
      </w:tr>
      <w:tr>
        <w:trPr>
          <w:trHeight w:val="519" w:hRule="atLeast"/>
        </w:trPr>
        <w:tc>
          <w:tcPr>
            <w:tcW w:w="2013" w:type="dxa"/>
            <w:vAlign w:val="top"/>
            <w:gridSpan w:val="4"/>
            <w:vMerge w:val="continue"/>
            <w:tcBorders>
              <w:top w:val="nil"/>
              <w:bottom w:val="nil"/>
            </w:tcBorders>
          </w:tcPr>
          <w:p>
            <w:pPr>
              <w:rPr>
                <w:rFonts w:ascii="Arial"/>
                <w:sz w:val="21"/>
              </w:rPr>
            </w:pPr>
            <w:r/>
          </w:p>
        </w:tc>
        <w:tc>
          <w:tcPr>
            <w:tcW w:w="1299" w:type="dxa"/>
            <w:vAlign w:val="top"/>
          </w:tcPr>
          <w:p>
            <w:pPr>
              <w:pStyle w:val="TableText"/>
              <w:ind w:left="41"/>
              <w:spacing w:before="32" w:line="214" w:lineRule="auto"/>
              <w:rPr>
                <w:sz w:val="20"/>
                <w:szCs w:val="20"/>
              </w:rPr>
            </w:pPr>
            <w:r>
              <w:rPr>
                <w:sz w:val="20"/>
                <w:szCs w:val="20"/>
                <w:spacing w:val="2"/>
              </w:rPr>
              <w:t>排放总量</w:t>
            </w:r>
            <w:r>
              <w:rPr>
                <w:sz w:val="20"/>
                <w:szCs w:val="20"/>
              </w:rPr>
              <w:t>kg</w:t>
            </w:r>
            <w:r>
              <w:rPr>
                <w:sz w:val="20"/>
                <w:szCs w:val="20"/>
                <w:spacing w:val="2"/>
              </w:rPr>
              <w:t>/t</w:t>
            </w:r>
          </w:p>
          <w:p>
            <w:pPr>
              <w:pStyle w:val="TableText"/>
              <w:ind w:left="242"/>
              <w:spacing w:before="16" w:line="211" w:lineRule="auto"/>
              <w:rPr>
                <w:sz w:val="20"/>
                <w:szCs w:val="20"/>
              </w:rPr>
            </w:pPr>
            <w:r>
              <w:rPr>
                <w:sz w:val="20"/>
                <w:szCs w:val="20"/>
                <w:spacing w:val="8"/>
              </w:rPr>
              <w:t>(活屠重)</w:t>
            </w:r>
          </w:p>
        </w:tc>
        <w:tc>
          <w:tcPr>
            <w:tcW w:w="919" w:type="dxa"/>
            <w:vAlign w:val="top"/>
          </w:tcPr>
          <w:p>
            <w:pPr>
              <w:pStyle w:val="TableText"/>
              <w:ind w:left="303"/>
              <w:spacing w:before="179" w:line="239" w:lineRule="auto"/>
              <w:rPr>
                <w:sz w:val="20"/>
                <w:szCs w:val="20"/>
              </w:rPr>
            </w:pPr>
            <w:r>
              <w:rPr>
                <w:sz w:val="20"/>
                <w:szCs w:val="20"/>
                <w:spacing w:val="-3"/>
              </w:rPr>
              <w:t>3.3</w:t>
            </w:r>
          </w:p>
        </w:tc>
        <w:tc>
          <w:tcPr>
            <w:tcW w:w="739" w:type="dxa"/>
            <w:vAlign w:val="top"/>
          </w:tcPr>
          <w:p>
            <w:pPr>
              <w:pStyle w:val="TableText"/>
              <w:ind w:left="214"/>
              <w:spacing w:before="179" w:line="239" w:lineRule="auto"/>
              <w:rPr>
                <w:sz w:val="20"/>
                <w:szCs w:val="20"/>
              </w:rPr>
            </w:pPr>
            <w:r>
              <w:rPr>
                <w:sz w:val="20"/>
                <w:szCs w:val="20"/>
                <w:spacing w:val="-3"/>
              </w:rPr>
              <w:t>2.0</w:t>
            </w:r>
          </w:p>
        </w:tc>
        <w:tc>
          <w:tcPr>
            <w:tcW w:w="759" w:type="dxa"/>
            <w:vAlign w:val="top"/>
          </w:tcPr>
          <w:p>
            <w:pPr>
              <w:pStyle w:val="TableText"/>
              <w:ind w:left="225"/>
              <w:spacing w:before="179" w:line="239" w:lineRule="auto"/>
              <w:rPr>
                <w:sz w:val="20"/>
                <w:szCs w:val="20"/>
              </w:rPr>
            </w:pPr>
            <w:r>
              <w:rPr>
                <w:sz w:val="20"/>
                <w:szCs w:val="20"/>
                <w:spacing w:val="-3"/>
              </w:rPr>
              <w:t>2.6</w:t>
            </w:r>
          </w:p>
        </w:tc>
        <w:tc>
          <w:tcPr>
            <w:tcW w:w="759" w:type="dxa"/>
            <w:vAlign w:val="top"/>
          </w:tcPr>
          <w:p>
            <w:pPr>
              <w:pStyle w:val="TableText"/>
              <w:ind w:left="326"/>
              <w:spacing w:before="165" w:line="224" w:lineRule="auto"/>
              <w:rPr>
                <w:sz w:val="20"/>
                <w:szCs w:val="20"/>
              </w:rPr>
            </w:pPr>
            <w:r>
              <w:rPr>
                <w:sz w:val="20"/>
                <w:szCs w:val="20"/>
                <w:color w:val="504060"/>
              </w:rPr>
              <w:t>/</w:t>
            </w:r>
          </w:p>
        </w:tc>
        <w:tc>
          <w:tcPr>
            <w:tcW w:w="779" w:type="dxa"/>
            <w:vAlign w:val="top"/>
            <w:textDirection w:val="tbRlV"/>
          </w:tcPr>
          <w:p>
            <w:pPr>
              <w:spacing w:line="264" w:lineRule="auto"/>
              <w:rPr>
                <w:rFonts w:ascii="Arial"/>
                <w:sz w:val="21"/>
              </w:rPr>
            </w:pPr>
            <w:r/>
          </w:p>
          <w:p>
            <w:pPr>
              <w:pStyle w:val="TableText"/>
              <w:ind w:left="132"/>
              <w:spacing w:before="67" w:line="130" w:lineRule="exact"/>
              <w:rPr>
                <w:sz w:val="20"/>
                <w:szCs w:val="20"/>
              </w:rPr>
            </w:pPr>
            <w:r>
              <w:rPr>
                <w:sz w:val="20"/>
                <w:szCs w:val="20"/>
                <w:color w:val="403040"/>
                <w:spacing w:val="50"/>
                <w:w w:val="140"/>
                <w:position w:val="-1"/>
              </w:rPr>
              <w:t>/</w:t>
            </w:r>
          </w:p>
        </w:tc>
        <w:tc>
          <w:tcPr>
            <w:tcW w:w="649" w:type="dxa"/>
            <w:vAlign w:val="top"/>
          </w:tcPr>
          <w:p>
            <w:pPr>
              <w:pStyle w:val="TableText"/>
              <w:ind w:left="267"/>
              <w:spacing w:before="165" w:line="224" w:lineRule="auto"/>
              <w:rPr>
                <w:sz w:val="20"/>
                <w:szCs w:val="20"/>
              </w:rPr>
            </w:pPr>
            <w:r>
              <w:rPr>
                <w:sz w:val="20"/>
                <w:szCs w:val="20"/>
                <w:color w:val="404040"/>
              </w:rPr>
              <w:t>/</w:t>
            </w:r>
          </w:p>
        </w:tc>
        <w:tc>
          <w:tcPr>
            <w:tcW w:w="766" w:type="dxa"/>
            <w:vAlign w:val="top"/>
          </w:tcPr>
          <w:p>
            <w:pPr>
              <w:pStyle w:val="TableText"/>
              <w:ind w:left="229"/>
              <w:spacing w:before="179" w:line="239" w:lineRule="auto"/>
              <w:rPr>
                <w:sz w:val="20"/>
                <w:szCs w:val="20"/>
              </w:rPr>
            </w:pPr>
            <w:r>
              <w:rPr>
                <w:sz w:val="20"/>
                <w:szCs w:val="20"/>
                <w:spacing w:val="-3"/>
              </w:rPr>
              <w:t>0.4</w:t>
            </w:r>
          </w:p>
        </w:tc>
      </w:tr>
      <w:tr>
        <w:trPr>
          <w:trHeight w:val="519" w:hRule="atLeast"/>
        </w:trPr>
        <w:tc>
          <w:tcPr>
            <w:tcW w:w="2013" w:type="dxa"/>
            <w:vAlign w:val="top"/>
            <w:gridSpan w:val="4"/>
            <w:vMerge w:val="continue"/>
            <w:tcBorders>
              <w:top w:val="nil"/>
            </w:tcBorders>
          </w:tcPr>
          <w:p>
            <w:pPr>
              <w:rPr>
                <w:rFonts w:ascii="Arial"/>
                <w:sz w:val="21"/>
              </w:rPr>
            </w:pPr>
            <w:r/>
          </w:p>
        </w:tc>
        <w:tc>
          <w:tcPr>
            <w:tcW w:w="1299" w:type="dxa"/>
            <w:vAlign w:val="top"/>
          </w:tcPr>
          <w:p>
            <w:pPr>
              <w:pStyle w:val="TableText"/>
              <w:ind w:left="91"/>
              <w:spacing w:before="30" w:line="219" w:lineRule="auto"/>
              <w:rPr>
                <w:sz w:val="20"/>
                <w:szCs w:val="20"/>
              </w:rPr>
            </w:pPr>
            <w:r>
              <w:rPr>
                <w:sz w:val="20"/>
                <w:szCs w:val="20"/>
                <w:spacing w:val="16"/>
              </w:rPr>
              <w:t>排水量m³/t</w:t>
            </w:r>
          </w:p>
          <w:p>
            <w:pPr>
              <w:pStyle w:val="TableText"/>
              <w:ind w:left="242"/>
              <w:spacing w:before="12" w:line="211" w:lineRule="auto"/>
              <w:rPr>
                <w:sz w:val="20"/>
                <w:szCs w:val="20"/>
              </w:rPr>
            </w:pPr>
            <w:r>
              <w:rPr>
                <w:sz w:val="20"/>
                <w:szCs w:val="20"/>
                <w:spacing w:val="8"/>
              </w:rPr>
              <w:t>(活屠重)</w:t>
            </w:r>
          </w:p>
        </w:tc>
        <w:tc>
          <w:tcPr>
            <w:tcW w:w="5370" w:type="dxa"/>
            <w:vAlign w:val="top"/>
            <w:gridSpan w:val="7"/>
          </w:tcPr>
          <w:p>
            <w:pPr>
              <w:pStyle w:val="TableText"/>
              <w:ind w:left="2523"/>
              <w:spacing w:before="179" w:line="239" w:lineRule="auto"/>
              <w:rPr>
                <w:sz w:val="20"/>
                <w:szCs w:val="20"/>
              </w:rPr>
            </w:pPr>
            <w:r>
              <w:rPr>
                <w:sz w:val="20"/>
                <w:szCs w:val="20"/>
                <w:spacing w:val="-3"/>
              </w:rPr>
              <w:t>6.5</w:t>
            </w:r>
          </w:p>
        </w:tc>
      </w:tr>
      <w:tr>
        <w:trPr>
          <w:trHeight w:val="250" w:hRule="atLeast"/>
        </w:trPr>
        <w:tc>
          <w:tcPr>
            <w:tcW w:w="3312" w:type="dxa"/>
            <w:vAlign w:val="top"/>
            <w:gridSpan w:val="5"/>
          </w:tcPr>
          <w:p>
            <w:pPr>
              <w:pStyle w:val="TableText"/>
              <w:ind w:left="244"/>
              <w:spacing w:before="30" w:line="193" w:lineRule="auto"/>
              <w:rPr>
                <w:sz w:val="20"/>
                <w:szCs w:val="20"/>
              </w:rPr>
            </w:pPr>
            <w:r>
              <w:rPr>
                <w:sz w:val="20"/>
                <w:szCs w:val="20"/>
                <w:spacing w:val="1"/>
              </w:rPr>
              <w:t>安州区第三污水处理厂进水水质</w:t>
            </w:r>
          </w:p>
        </w:tc>
        <w:tc>
          <w:tcPr>
            <w:tcW w:w="919" w:type="dxa"/>
            <w:vAlign w:val="top"/>
          </w:tcPr>
          <w:p>
            <w:pPr>
              <w:pStyle w:val="TableText"/>
              <w:ind w:left="303"/>
              <w:spacing w:before="51" w:line="174" w:lineRule="auto"/>
              <w:rPr>
                <w:sz w:val="20"/>
                <w:szCs w:val="20"/>
              </w:rPr>
            </w:pPr>
            <w:r>
              <w:rPr>
                <w:sz w:val="20"/>
                <w:szCs w:val="20"/>
                <w:spacing w:val="-3"/>
              </w:rPr>
              <w:t>500</w:t>
            </w:r>
          </w:p>
        </w:tc>
        <w:tc>
          <w:tcPr>
            <w:tcW w:w="739" w:type="dxa"/>
            <w:vAlign w:val="top"/>
          </w:tcPr>
          <w:p>
            <w:pPr>
              <w:pStyle w:val="TableText"/>
              <w:ind w:left="214"/>
              <w:spacing w:before="51" w:line="174" w:lineRule="auto"/>
              <w:rPr>
                <w:sz w:val="20"/>
                <w:szCs w:val="20"/>
              </w:rPr>
            </w:pPr>
            <w:r>
              <w:rPr>
                <w:sz w:val="20"/>
                <w:szCs w:val="20"/>
                <w:spacing w:val="-3"/>
              </w:rPr>
              <w:t>300</w:t>
            </w:r>
          </w:p>
        </w:tc>
        <w:tc>
          <w:tcPr>
            <w:tcW w:w="759" w:type="dxa"/>
            <w:vAlign w:val="top"/>
          </w:tcPr>
          <w:p>
            <w:pPr>
              <w:pStyle w:val="TableText"/>
              <w:ind w:left="225"/>
              <w:spacing w:before="51" w:line="174" w:lineRule="auto"/>
              <w:rPr>
                <w:sz w:val="20"/>
                <w:szCs w:val="20"/>
              </w:rPr>
            </w:pPr>
            <w:r>
              <w:rPr>
                <w:sz w:val="20"/>
                <w:szCs w:val="20"/>
                <w:spacing w:val="-2"/>
              </w:rPr>
              <w:t>400</w:t>
            </w:r>
          </w:p>
        </w:tc>
        <w:tc>
          <w:tcPr>
            <w:tcW w:w="759" w:type="dxa"/>
            <w:vAlign w:val="top"/>
          </w:tcPr>
          <w:p>
            <w:pPr>
              <w:pStyle w:val="TableText"/>
              <w:ind w:left="276"/>
              <w:spacing w:before="51" w:line="174" w:lineRule="auto"/>
              <w:rPr>
                <w:sz w:val="20"/>
                <w:szCs w:val="20"/>
              </w:rPr>
            </w:pPr>
            <w:r>
              <w:rPr>
                <w:sz w:val="20"/>
                <w:szCs w:val="20"/>
                <w:spacing w:val="-2"/>
              </w:rPr>
              <w:t>45</w:t>
            </w:r>
          </w:p>
        </w:tc>
        <w:tc>
          <w:tcPr>
            <w:tcW w:w="779" w:type="dxa"/>
            <w:vAlign w:val="top"/>
          </w:tcPr>
          <w:p>
            <w:pPr>
              <w:pStyle w:val="TableText"/>
              <w:ind w:left="287"/>
              <w:spacing w:before="51" w:line="174" w:lineRule="auto"/>
              <w:rPr>
                <w:sz w:val="20"/>
                <w:szCs w:val="20"/>
              </w:rPr>
            </w:pPr>
            <w:r>
              <w:rPr>
                <w:sz w:val="20"/>
                <w:szCs w:val="20"/>
                <w:spacing w:val="-3"/>
              </w:rPr>
              <w:t>55</w:t>
            </w:r>
          </w:p>
        </w:tc>
        <w:tc>
          <w:tcPr>
            <w:tcW w:w="649" w:type="dxa"/>
            <w:vAlign w:val="top"/>
          </w:tcPr>
          <w:p>
            <w:pPr>
              <w:pStyle w:val="TableText"/>
              <w:ind w:left="267"/>
              <w:spacing w:before="51" w:line="174" w:lineRule="auto"/>
              <w:rPr>
                <w:sz w:val="20"/>
                <w:szCs w:val="20"/>
              </w:rPr>
            </w:pPr>
            <w:r>
              <w:rPr>
                <w:sz w:val="20"/>
                <w:szCs w:val="20"/>
              </w:rPr>
              <w:t>8</w:t>
            </w:r>
          </w:p>
        </w:tc>
        <w:tc>
          <w:tcPr>
            <w:tcW w:w="766" w:type="dxa"/>
            <w:vAlign w:val="top"/>
          </w:tcPr>
          <w:p>
            <w:pPr>
              <w:pStyle w:val="TableText"/>
              <w:ind w:left="329"/>
              <w:spacing w:before="36" w:line="188" w:lineRule="auto"/>
              <w:rPr>
                <w:sz w:val="20"/>
                <w:szCs w:val="20"/>
              </w:rPr>
            </w:pPr>
            <w:r>
              <w:rPr>
                <w:sz w:val="20"/>
                <w:szCs w:val="20"/>
              </w:rPr>
              <w:t>/</w:t>
            </w:r>
          </w:p>
        </w:tc>
      </w:tr>
      <w:tr>
        <w:trPr>
          <w:trHeight w:val="259" w:hRule="atLeast"/>
        </w:trPr>
        <w:tc>
          <w:tcPr>
            <w:tcW w:w="694" w:type="dxa"/>
            <w:vAlign w:val="top"/>
            <w:vMerge w:val="restart"/>
            <w:tcBorders>
              <w:bottom w:val="nil"/>
            </w:tcBorders>
          </w:tcPr>
          <w:p>
            <w:pPr>
              <w:spacing w:line="273" w:lineRule="auto"/>
              <w:rPr>
                <w:rFonts w:ascii="Arial"/>
                <w:sz w:val="21"/>
              </w:rPr>
            </w:pPr>
            <w:r/>
          </w:p>
          <w:p>
            <w:pPr>
              <w:pStyle w:val="TableText"/>
              <w:ind w:left="35"/>
              <w:spacing w:before="65" w:line="204" w:lineRule="auto"/>
              <w:rPr>
                <w:sz w:val="20"/>
                <w:szCs w:val="20"/>
              </w:rPr>
            </w:pPr>
            <w:r>
              <w:rPr>
                <w:sz w:val="20"/>
                <w:szCs w:val="20"/>
                <w:spacing w:val="5"/>
              </w:rPr>
              <w:t>安州区</w:t>
            </w:r>
          </w:p>
          <w:p>
            <w:pPr>
              <w:pStyle w:val="TableText"/>
              <w:ind w:left="5"/>
              <w:spacing w:line="219" w:lineRule="auto"/>
              <w:rPr>
                <w:sz w:val="20"/>
                <w:szCs w:val="20"/>
              </w:rPr>
            </w:pPr>
            <w:r>
              <w:rPr>
                <w:sz w:val="20"/>
                <w:szCs w:val="20"/>
                <w:spacing w:val="23"/>
              </w:rPr>
              <w:t>第三污</w:t>
            </w:r>
          </w:p>
          <w:p>
            <w:pPr>
              <w:pStyle w:val="TableText"/>
              <w:ind w:right="1"/>
              <w:spacing w:before="12" w:line="219" w:lineRule="auto"/>
              <w:jc w:val="right"/>
              <w:rPr>
                <w:sz w:val="20"/>
                <w:szCs w:val="20"/>
              </w:rPr>
            </w:pPr>
            <w:r>
              <w:rPr>
                <w:sz w:val="20"/>
                <w:szCs w:val="20"/>
                <w:spacing w:val="22"/>
              </w:rPr>
              <w:t>水处理</w:t>
            </w:r>
          </w:p>
          <w:p>
            <w:pPr>
              <w:pStyle w:val="TableText"/>
              <w:ind w:left="35"/>
              <w:spacing w:before="53" w:line="220" w:lineRule="auto"/>
              <w:rPr>
                <w:sz w:val="20"/>
                <w:szCs w:val="20"/>
              </w:rPr>
            </w:pPr>
            <w:r>
              <w:rPr>
                <w:sz w:val="20"/>
                <w:szCs w:val="20"/>
                <w:spacing w:val="9"/>
              </w:rPr>
              <w:t>厂排口</w:t>
            </w:r>
          </w:p>
        </w:tc>
        <w:tc>
          <w:tcPr>
            <w:tcW w:w="280" w:type="dxa"/>
            <w:vAlign w:val="top"/>
            <w:vMerge w:val="restart"/>
            <w:textDirection w:val="tbRlV"/>
            <w:tcBorders>
              <w:bottom w:val="nil"/>
            </w:tcBorders>
          </w:tcPr>
          <w:p>
            <w:pPr>
              <w:pStyle w:val="TableText"/>
              <w:spacing w:before="47" w:line="199" w:lineRule="auto"/>
              <w:rPr>
                <w:sz w:val="20"/>
                <w:szCs w:val="20"/>
              </w:rPr>
            </w:pPr>
            <w:r>
              <w:rPr>
                <w:sz w:val="20"/>
                <w:szCs w:val="20"/>
                <w:spacing w:val="-2"/>
              </w:rPr>
              <w:t>淡 季</w:t>
            </w:r>
          </w:p>
        </w:tc>
        <w:tc>
          <w:tcPr>
            <w:tcW w:w="1039" w:type="dxa"/>
            <w:vAlign w:val="top"/>
            <w:gridSpan w:val="2"/>
            <w:vMerge w:val="restart"/>
            <w:tcBorders>
              <w:bottom w:val="nil"/>
            </w:tcBorders>
          </w:tcPr>
          <w:p>
            <w:pPr>
              <w:pStyle w:val="TableText"/>
              <w:ind w:left="211"/>
              <w:spacing w:before="180"/>
              <w:rPr>
                <w:sz w:val="20"/>
                <w:szCs w:val="20"/>
              </w:rPr>
            </w:pPr>
            <w:r>
              <w:rPr>
                <w:sz w:val="20"/>
                <w:szCs w:val="20"/>
                <w:spacing w:val="-4"/>
              </w:rPr>
              <w:t>179820</w:t>
            </w:r>
          </w:p>
        </w:tc>
        <w:tc>
          <w:tcPr>
            <w:tcW w:w="1299" w:type="dxa"/>
            <w:vAlign w:val="top"/>
          </w:tcPr>
          <w:p>
            <w:pPr>
              <w:pStyle w:val="TableText"/>
              <w:ind w:left="41"/>
              <w:spacing w:before="24" w:line="207" w:lineRule="auto"/>
              <w:rPr>
                <w:sz w:val="20"/>
                <w:szCs w:val="20"/>
              </w:rPr>
            </w:pPr>
            <w:r>
              <w:rPr>
                <w:sz w:val="20"/>
                <w:szCs w:val="20"/>
                <w:spacing w:val="-1"/>
              </w:rPr>
              <w:t>排放浓度mg/L</w:t>
            </w:r>
          </w:p>
        </w:tc>
        <w:tc>
          <w:tcPr>
            <w:tcW w:w="919" w:type="dxa"/>
            <w:vAlign w:val="top"/>
          </w:tcPr>
          <w:p>
            <w:pPr>
              <w:pStyle w:val="TableText"/>
              <w:ind w:left="353"/>
              <w:spacing w:before="51" w:line="182" w:lineRule="auto"/>
              <w:rPr>
                <w:sz w:val="20"/>
                <w:szCs w:val="20"/>
              </w:rPr>
            </w:pPr>
            <w:r>
              <w:rPr>
                <w:sz w:val="20"/>
                <w:szCs w:val="20"/>
                <w:spacing w:val="-2"/>
              </w:rPr>
              <w:t>40</w:t>
            </w:r>
          </w:p>
        </w:tc>
        <w:tc>
          <w:tcPr>
            <w:tcW w:w="739" w:type="dxa"/>
            <w:vAlign w:val="top"/>
          </w:tcPr>
          <w:p>
            <w:pPr>
              <w:pStyle w:val="TableText"/>
              <w:ind w:left="263"/>
              <w:spacing w:before="51" w:line="182" w:lineRule="auto"/>
              <w:rPr>
                <w:sz w:val="20"/>
                <w:szCs w:val="20"/>
              </w:rPr>
            </w:pPr>
            <w:r>
              <w:rPr>
                <w:sz w:val="20"/>
                <w:szCs w:val="20"/>
                <w:spacing w:val="-6"/>
              </w:rPr>
              <w:t>10</w:t>
            </w:r>
          </w:p>
        </w:tc>
        <w:tc>
          <w:tcPr>
            <w:tcW w:w="759" w:type="dxa"/>
            <w:vAlign w:val="top"/>
          </w:tcPr>
          <w:p>
            <w:pPr>
              <w:pStyle w:val="TableText"/>
              <w:ind w:left="275"/>
              <w:spacing w:before="51" w:line="182" w:lineRule="auto"/>
              <w:rPr>
                <w:sz w:val="20"/>
                <w:szCs w:val="20"/>
              </w:rPr>
            </w:pPr>
            <w:r>
              <w:rPr>
                <w:sz w:val="20"/>
                <w:szCs w:val="20"/>
                <w:spacing w:val="-6"/>
              </w:rPr>
              <w:t>10</w:t>
            </w:r>
          </w:p>
        </w:tc>
        <w:tc>
          <w:tcPr>
            <w:tcW w:w="759" w:type="dxa"/>
            <w:vAlign w:val="top"/>
          </w:tcPr>
          <w:p>
            <w:pPr>
              <w:pStyle w:val="TableText"/>
              <w:ind w:left="326"/>
              <w:spacing w:before="51" w:line="182" w:lineRule="auto"/>
              <w:rPr>
                <w:sz w:val="20"/>
                <w:szCs w:val="20"/>
              </w:rPr>
            </w:pPr>
            <w:r>
              <w:rPr>
                <w:sz w:val="20"/>
                <w:szCs w:val="20"/>
              </w:rPr>
              <w:t>5</w:t>
            </w:r>
          </w:p>
        </w:tc>
        <w:tc>
          <w:tcPr>
            <w:tcW w:w="779" w:type="dxa"/>
            <w:vAlign w:val="top"/>
          </w:tcPr>
          <w:p>
            <w:pPr>
              <w:pStyle w:val="TableText"/>
              <w:ind w:left="287"/>
              <w:spacing w:before="51" w:line="182" w:lineRule="auto"/>
              <w:rPr>
                <w:sz w:val="20"/>
                <w:szCs w:val="20"/>
              </w:rPr>
            </w:pPr>
            <w:r>
              <w:rPr>
                <w:sz w:val="20"/>
                <w:szCs w:val="20"/>
                <w:spacing w:val="-6"/>
              </w:rPr>
              <w:t>15</w:t>
            </w:r>
          </w:p>
        </w:tc>
        <w:tc>
          <w:tcPr>
            <w:tcW w:w="649" w:type="dxa"/>
            <w:vAlign w:val="top"/>
          </w:tcPr>
          <w:p>
            <w:pPr>
              <w:pStyle w:val="TableText"/>
              <w:ind w:left="168"/>
              <w:spacing w:before="51" w:line="182" w:lineRule="auto"/>
              <w:rPr>
                <w:sz w:val="20"/>
                <w:szCs w:val="20"/>
              </w:rPr>
            </w:pPr>
            <w:r>
              <w:rPr>
                <w:sz w:val="20"/>
                <w:szCs w:val="20"/>
                <w:spacing w:val="-3"/>
              </w:rPr>
              <w:t>0.2</w:t>
            </w:r>
          </w:p>
        </w:tc>
        <w:tc>
          <w:tcPr>
            <w:tcW w:w="766" w:type="dxa"/>
            <w:vAlign w:val="top"/>
          </w:tcPr>
          <w:p>
            <w:pPr>
              <w:pStyle w:val="TableText"/>
              <w:ind w:left="329"/>
              <w:spacing w:before="51" w:line="182" w:lineRule="auto"/>
              <w:rPr>
                <w:sz w:val="20"/>
                <w:szCs w:val="20"/>
              </w:rPr>
            </w:pPr>
            <w:r>
              <w:rPr>
                <w:sz w:val="20"/>
                <w:szCs w:val="20"/>
                <w:color w:val="404040"/>
              </w:rPr>
              <w:t>1</w:t>
            </w:r>
          </w:p>
        </w:tc>
      </w:tr>
      <w:tr>
        <w:trPr>
          <w:trHeight w:val="250" w:hRule="atLeast"/>
        </w:trPr>
        <w:tc>
          <w:tcPr>
            <w:tcW w:w="694" w:type="dxa"/>
            <w:vAlign w:val="top"/>
            <w:vMerge w:val="continue"/>
            <w:tcBorders>
              <w:top w:val="nil"/>
              <w:bottom w:val="nil"/>
            </w:tcBorders>
          </w:tcPr>
          <w:p>
            <w:pPr>
              <w:rPr>
                <w:rFonts w:ascii="Arial"/>
                <w:sz w:val="21"/>
              </w:rPr>
            </w:pPr>
            <w:r/>
          </w:p>
        </w:tc>
        <w:tc>
          <w:tcPr>
            <w:tcW w:w="280" w:type="dxa"/>
            <w:vAlign w:val="top"/>
            <w:vMerge w:val="continue"/>
            <w:textDirection w:val="tbRlV"/>
            <w:tcBorders>
              <w:top w:val="nil"/>
            </w:tcBorders>
          </w:tcPr>
          <w:p>
            <w:pPr>
              <w:rPr>
                <w:rFonts w:ascii="Arial"/>
                <w:sz w:val="21"/>
              </w:rPr>
            </w:pPr>
            <w:r/>
          </w:p>
        </w:tc>
        <w:tc>
          <w:tcPr>
            <w:tcW w:w="1039" w:type="dxa"/>
            <w:vAlign w:val="top"/>
            <w:gridSpan w:val="2"/>
            <w:vMerge w:val="continue"/>
            <w:tcBorders>
              <w:top w:val="nil"/>
            </w:tcBorders>
          </w:tcPr>
          <w:p>
            <w:pPr>
              <w:rPr>
                <w:rFonts w:ascii="Arial"/>
                <w:sz w:val="21"/>
              </w:rPr>
            </w:pPr>
            <w:r/>
          </w:p>
        </w:tc>
        <w:tc>
          <w:tcPr>
            <w:tcW w:w="1299" w:type="dxa"/>
            <w:vAlign w:val="top"/>
          </w:tcPr>
          <w:p>
            <w:pPr>
              <w:pStyle w:val="TableText"/>
              <w:ind w:left="192"/>
              <w:spacing w:before="34" w:line="190" w:lineRule="auto"/>
              <w:rPr>
                <w:sz w:val="20"/>
                <w:szCs w:val="20"/>
              </w:rPr>
            </w:pPr>
            <w:r>
              <w:rPr>
                <w:sz w:val="20"/>
                <w:szCs w:val="20"/>
                <w:spacing w:val="-2"/>
              </w:rPr>
              <w:t>排放量t/a</w:t>
            </w:r>
          </w:p>
        </w:tc>
        <w:tc>
          <w:tcPr>
            <w:tcW w:w="919" w:type="dxa"/>
            <w:vAlign w:val="top"/>
          </w:tcPr>
          <w:p>
            <w:pPr>
              <w:pStyle w:val="TableText"/>
              <w:ind w:left="152"/>
              <w:spacing w:before="52" w:line="173" w:lineRule="auto"/>
              <w:rPr>
                <w:sz w:val="20"/>
                <w:szCs w:val="20"/>
              </w:rPr>
            </w:pPr>
            <w:r>
              <w:rPr>
                <w:sz w:val="20"/>
                <w:szCs w:val="20"/>
                <w:spacing w:val="-2"/>
              </w:rPr>
              <w:t>7.1928</w:t>
            </w:r>
          </w:p>
        </w:tc>
        <w:tc>
          <w:tcPr>
            <w:tcW w:w="739" w:type="dxa"/>
            <w:vAlign w:val="top"/>
          </w:tcPr>
          <w:p>
            <w:pPr>
              <w:pStyle w:val="TableText"/>
              <w:ind w:left="63"/>
              <w:spacing w:before="52" w:line="173" w:lineRule="auto"/>
              <w:rPr>
                <w:sz w:val="20"/>
                <w:szCs w:val="20"/>
              </w:rPr>
            </w:pPr>
            <w:r>
              <w:rPr>
                <w:sz w:val="20"/>
                <w:szCs w:val="20"/>
                <w:spacing w:val="-4"/>
              </w:rPr>
              <w:t>1.7982</w:t>
            </w:r>
          </w:p>
        </w:tc>
        <w:tc>
          <w:tcPr>
            <w:tcW w:w="759" w:type="dxa"/>
            <w:vAlign w:val="top"/>
          </w:tcPr>
          <w:p>
            <w:pPr>
              <w:pStyle w:val="TableText"/>
              <w:ind w:left="74"/>
              <w:spacing w:before="52" w:line="173" w:lineRule="auto"/>
              <w:rPr>
                <w:sz w:val="20"/>
                <w:szCs w:val="20"/>
              </w:rPr>
            </w:pPr>
            <w:r>
              <w:rPr>
                <w:sz w:val="20"/>
                <w:szCs w:val="20"/>
                <w:spacing w:val="-4"/>
              </w:rPr>
              <w:t>1.7982</w:t>
            </w:r>
          </w:p>
        </w:tc>
        <w:tc>
          <w:tcPr>
            <w:tcW w:w="759" w:type="dxa"/>
            <w:vAlign w:val="top"/>
          </w:tcPr>
          <w:p>
            <w:pPr>
              <w:pStyle w:val="TableText"/>
              <w:ind w:left="76"/>
              <w:spacing w:before="52" w:line="173" w:lineRule="auto"/>
              <w:rPr>
                <w:sz w:val="20"/>
                <w:szCs w:val="20"/>
              </w:rPr>
            </w:pPr>
            <w:r>
              <w:rPr>
                <w:sz w:val="20"/>
                <w:szCs w:val="20"/>
                <w:spacing w:val="-2"/>
              </w:rPr>
              <w:t>0.8991</w:t>
            </w:r>
          </w:p>
        </w:tc>
        <w:tc>
          <w:tcPr>
            <w:tcW w:w="779" w:type="dxa"/>
            <w:vAlign w:val="top"/>
          </w:tcPr>
          <w:p>
            <w:pPr>
              <w:pStyle w:val="TableText"/>
              <w:ind w:left="87"/>
              <w:spacing w:before="52" w:line="173" w:lineRule="auto"/>
              <w:rPr>
                <w:sz w:val="20"/>
                <w:szCs w:val="20"/>
              </w:rPr>
            </w:pPr>
            <w:r>
              <w:rPr>
                <w:sz w:val="20"/>
                <w:szCs w:val="20"/>
                <w:spacing w:val="-2"/>
              </w:rPr>
              <w:t>2.6973</w:t>
            </w:r>
          </w:p>
        </w:tc>
        <w:tc>
          <w:tcPr>
            <w:tcW w:w="649" w:type="dxa"/>
            <w:vAlign w:val="top"/>
          </w:tcPr>
          <w:p>
            <w:pPr>
              <w:pStyle w:val="TableText"/>
              <w:ind w:left="17"/>
              <w:spacing w:before="52" w:line="173" w:lineRule="auto"/>
              <w:rPr>
                <w:sz w:val="20"/>
                <w:szCs w:val="20"/>
              </w:rPr>
            </w:pPr>
            <w:r>
              <w:rPr>
                <w:sz w:val="20"/>
                <w:szCs w:val="20"/>
                <w:spacing w:val="-2"/>
              </w:rPr>
              <w:t>0.0360</w:t>
            </w:r>
          </w:p>
        </w:tc>
        <w:tc>
          <w:tcPr>
            <w:tcW w:w="766" w:type="dxa"/>
            <w:vAlign w:val="top"/>
          </w:tcPr>
          <w:p>
            <w:pPr>
              <w:pStyle w:val="TableText"/>
              <w:ind w:left="79"/>
              <w:spacing w:before="52" w:line="173" w:lineRule="auto"/>
              <w:rPr>
                <w:sz w:val="20"/>
                <w:szCs w:val="20"/>
              </w:rPr>
            </w:pPr>
            <w:r>
              <w:rPr>
                <w:sz w:val="20"/>
                <w:szCs w:val="20"/>
                <w:spacing w:val="-2"/>
              </w:rPr>
              <w:t>0.1798</w:t>
            </w:r>
          </w:p>
        </w:tc>
      </w:tr>
      <w:tr>
        <w:trPr>
          <w:trHeight w:val="259" w:hRule="atLeast"/>
        </w:trPr>
        <w:tc>
          <w:tcPr>
            <w:tcW w:w="694" w:type="dxa"/>
            <w:vAlign w:val="top"/>
            <w:vMerge w:val="continue"/>
            <w:tcBorders>
              <w:top w:val="nil"/>
              <w:bottom w:val="nil"/>
            </w:tcBorders>
          </w:tcPr>
          <w:p>
            <w:pPr>
              <w:rPr>
                <w:rFonts w:ascii="Arial"/>
                <w:sz w:val="21"/>
              </w:rPr>
            </w:pPr>
            <w:r/>
          </w:p>
        </w:tc>
        <w:tc>
          <w:tcPr>
            <w:tcW w:w="280" w:type="dxa"/>
            <w:vAlign w:val="top"/>
            <w:vMerge w:val="restart"/>
            <w:tcBorders>
              <w:bottom w:val="nil"/>
            </w:tcBorders>
          </w:tcPr>
          <w:p>
            <w:pPr>
              <w:pStyle w:val="TableText"/>
              <w:ind w:left="30"/>
              <w:spacing w:before="33" w:line="220" w:lineRule="auto"/>
              <w:rPr>
                <w:sz w:val="20"/>
                <w:szCs w:val="20"/>
              </w:rPr>
            </w:pPr>
            <w:r>
              <w:rPr>
                <w:sz w:val="20"/>
                <w:szCs w:val="20"/>
              </w:rPr>
              <w:t>旺</w:t>
            </w:r>
          </w:p>
          <w:p>
            <w:pPr>
              <w:pStyle w:val="TableText"/>
              <w:ind w:left="30"/>
              <w:spacing w:line="219" w:lineRule="auto"/>
              <w:rPr>
                <w:sz w:val="20"/>
                <w:szCs w:val="20"/>
              </w:rPr>
            </w:pPr>
            <w:r>
              <w:rPr>
                <w:sz w:val="20"/>
                <w:szCs w:val="20"/>
              </w:rPr>
              <w:t>季</w:t>
            </w:r>
          </w:p>
        </w:tc>
        <w:tc>
          <w:tcPr>
            <w:tcW w:w="1039" w:type="dxa"/>
            <w:vAlign w:val="top"/>
            <w:gridSpan w:val="2"/>
            <w:vMerge w:val="restart"/>
            <w:tcBorders>
              <w:bottom w:val="nil"/>
            </w:tcBorders>
          </w:tcPr>
          <w:p>
            <w:pPr>
              <w:pStyle w:val="TableText"/>
              <w:ind w:left="111"/>
              <w:spacing w:before="192" w:line="239" w:lineRule="auto"/>
              <w:rPr>
                <w:sz w:val="20"/>
                <w:szCs w:val="20"/>
              </w:rPr>
            </w:pPr>
            <w:r>
              <w:rPr>
                <w:sz w:val="20"/>
                <w:szCs w:val="20"/>
                <w:spacing w:val="-1"/>
              </w:rPr>
              <w:t>85188.96</w:t>
            </w:r>
          </w:p>
        </w:tc>
        <w:tc>
          <w:tcPr>
            <w:tcW w:w="1299" w:type="dxa"/>
            <w:vAlign w:val="top"/>
          </w:tcPr>
          <w:p>
            <w:pPr>
              <w:pStyle w:val="TableText"/>
              <w:ind w:left="41"/>
              <w:spacing w:before="25" w:line="206" w:lineRule="auto"/>
              <w:rPr>
                <w:sz w:val="20"/>
                <w:szCs w:val="20"/>
              </w:rPr>
            </w:pPr>
            <w:r>
              <w:rPr>
                <w:sz w:val="20"/>
                <w:szCs w:val="20"/>
                <w:spacing w:val="-1"/>
              </w:rPr>
              <w:t>排放浓度mg/L</w:t>
            </w:r>
          </w:p>
        </w:tc>
        <w:tc>
          <w:tcPr>
            <w:tcW w:w="919" w:type="dxa"/>
            <w:vAlign w:val="top"/>
          </w:tcPr>
          <w:p>
            <w:pPr>
              <w:pStyle w:val="TableText"/>
              <w:ind w:left="353"/>
              <w:spacing w:before="51" w:line="182" w:lineRule="auto"/>
              <w:rPr>
                <w:sz w:val="20"/>
                <w:szCs w:val="20"/>
              </w:rPr>
            </w:pPr>
            <w:r>
              <w:rPr>
                <w:sz w:val="20"/>
                <w:szCs w:val="20"/>
                <w:spacing w:val="-2"/>
              </w:rPr>
              <w:t>40</w:t>
            </w:r>
          </w:p>
        </w:tc>
        <w:tc>
          <w:tcPr>
            <w:tcW w:w="739" w:type="dxa"/>
            <w:vAlign w:val="top"/>
          </w:tcPr>
          <w:p>
            <w:pPr>
              <w:pStyle w:val="TableText"/>
              <w:ind w:left="263"/>
              <w:spacing w:before="51" w:line="182" w:lineRule="auto"/>
              <w:rPr>
                <w:sz w:val="20"/>
                <w:szCs w:val="20"/>
              </w:rPr>
            </w:pPr>
            <w:r>
              <w:rPr>
                <w:sz w:val="20"/>
                <w:szCs w:val="20"/>
                <w:color w:val="303060"/>
                <w:spacing w:val="-6"/>
              </w:rPr>
              <w:t>10</w:t>
            </w:r>
          </w:p>
        </w:tc>
        <w:tc>
          <w:tcPr>
            <w:tcW w:w="759" w:type="dxa"/>
            <w:vAlign w:val="top"/>
          </w:tcPr>
          <w:p>
            <w:pPr>
              <w:pStyle w:val="TableText"/>
              <w:ind w:left="275"/>
              <w:spacing w:before="51" w:line="182" w:lineRule="auto"/>
              <w:rPr>
                <w:sz w:val="20"/>
                <w:szCs w:val="20"/>
              </w:rPr>
            </w:pPr>
            <w:r>
              <w:rPr>
                <w:sz w:val="20"/>
                <w:szCs w:val="20"/>
                <w:color w:val="403040"/>
                <w:spacing w:val="-6"/>
              </w:rPr>
              <w:t>10</w:t>
            </w:r>
          </w:p>
        </w:tc>
        <w:tc>
          <w:tcPr>
            <w:tcW w:w="759" w:type="dxa"/>
            <w:vAlign w:val="top"/>
          </w:tcPr>
          <w:p>
            <w:pPr>
              <w:pStyle w:val="TableText"/>
              <w:ind w:left="326"/>
              <w:spacing w:before="51" w:line="182" w:lineRule="auto"/>
              <w:rPr>
                <w:sz w:val="20"/>
                <w:szCs w:val="20"/>
              </w:rPr>
            </w:pPr>
            <w:r>
              <w:rPr>
                <w:sz w:val="20"/>
                <w:szCs w:val="20"/>
              </w:rPr>
              <w:t>5</w:t>
            </w:r>
          </w:p>
        </w:tc>
        <w:tc>
          <w:tcPr>
            <w:tcW w:w="779" w:type="dxa"/>
            <w:vAlign w:val="top"/>
          </w:tcPr>
          <w:p>
            <w:pPr>
              <w:pStyle w:val="TableText"/>
              <w:ind w:left="287"/>
              <w:spacing w:before="51" w:line="182" w:lineRule="auto"/>
              <w:rPr>
                <w:sz w:val="20"/>
                <w:szCs w:val="20"/>
              </w:rPr>
            </w:pPr>
            <w:r>
              <w:rPr>
                <w:sz w:val="20"/>
                <w:szCs w:val="20"/>
                <w:spacing w:val="-6"/>
              </w:rPr>
              <w:t>15</w:t>
            </w:r>
          </w:p>
        </w:tc>
        <w:tc>
          <w:tcPr>
            <w:tcW w:w="649" w:type="dxa"/>
            <w:vAlign w:val="top"/>
          </w:tcPr>
          <w:p>
            <w:pPr>
              <w:pStyle w:val="TableText"/>
              <w:ind w:left="168"/>
              <w:spacing w:before="51" w:line="182" w:lineRule="auto"/>
              <w:rPr>
                <w:sz w:val="20"/>
                <w:szCs w:val="20"/>
              </w:rPr>
            </w:pPr>
            <w:r>
              <w:rPr>
                <w:sz w:val="20"/>
                <w:szCs w:val="20"/>
                <w:spacing w:val="-3"/>
              </w:rPr>
              <w:t>0.2</w:t>
            </w:r>
          </w:p>
        </w:tc>
        <w:tc>
          <w:tcPr>
            <w:tcW w:w="766" w:type="dxa"/>
            <w:vAlign w:val="top"/>
          </w:tcPr>
          <w:p>
            <w:pPr>
              <w:pStyle w:val="TableText"/>
              <w:ind w:left="329"/>
              <w:spacing w:before="51" w:line="182" w:lineRule="auto"/>
              <w:rPr>
                <w:sz w:val="20"/>
                <w:szCs w:val="20"/>
              </w:rPr>
            </w:pPr>
            <w:r>
              <w:rPr>
                <w:sz w:val="20"/>
                <w:szCs w:val="20"/>
              </w:rPr>
              <w:t>1</w:t>
            </w:r>
          </w:p>
        </w:tc>
      </w:tr>
      <w:tr>
        <w:trPr>
          <w:trHeight w:val="260" w:hRule="atLeast"/>
        </w:trPr>
        <w:tc>
          <w:tcPr>
            <w:tcW w:w="694" w:type="dxa"/>
            <w:vAlign w:val="top"/>
            <w:vMerge w:val="continue"/>
            <w:tcBorders>
              <w:top w:val="nil"/>
              <w:bottom w:val="nil"/>
            </w:tcBorders>
          </w:tcPr>
          <w:p>
            <w:pPr>
              <w:rPr>
                <w:rFonts w:ascii="Arial"/>
                <w:sz w:val="21"/>
              </w:rPr>
            </w:pPr>
            <w:r/>
          </w:p>
        </w:tc>
        <w:tc>
          <w:tcPr>
            <w:tcW w:w="280" w:type="dxa"/>
            <w:vAlign w:val="top"/>
            <w:vMerge w:val="continue"/>
            <w:tcBorders>
              <w:top w:val="nil"/>
            </w:tcBorders>
          </w:tcPr>
          <w:p>
            <w:pPr>
              <w:rPr>
                <w:rFonts w:ascii="Arial"/>
                <w:sz w:val="21"/>
              </w:rPr>
            </w:pPr>
            <w:r/>
          </w:p>
        </w:tc>
        <w:tc>
          <w:tcPr>
            <w:tcW w:w="1039" w:type="dxa"/>
            <w:vAlign w:val="top"/>
            <w:gridSpan w:val="2"/>
            <w:vMerge w:val="continue"/>
            <w:tcBorders>
              <w:top w:val="nil"/>
            </w:tcBorders>
          </w:tcPr>
          <w:p>
            <w:pPr>
              <w:rPr>
                <w:rFonts w:ascii="Arial"/>
                <w:sz w:val="21"/>
              </w:rPr>
            </w:pPr>
            <w:r/>
          </w:p>
        </w:tc>
        <w:tc>
          <w:tcPr>
            <w:tcW w:w="1299" w:type="dxa"/>
            <w:vAlign w:val="top"/>
          </w:tcPr>
          <w:p>
            <w:pPr>
              <w:pStyle w:val="TableText"/>
              <w:ind w:left="192"/>
              <w:spacing w:before="34" w:line="199" w:lineRule="auto"/>
              <w:rPr>
                <w:sz w:val="20"/>
                <w:szCs w:val="20"/>
              </w:rPr>
            </w:pPr>
            <w:r>
              <w:rPr>
                <w:sz w:val="20"/>
                <w:szCs w:val="20"/>
                <w:spacing w:val="-2"/>
              </w:rPr>
              <w:t>排放量t/a</w:t>
            </w:r>
          </w:p>
        </w:tc>
        <w:tc>
          <w:tcPr>
            <w:tcW w:w="919" w:type="dxa"/>
            <w:vAlign w:val="top"/>
          </w:tcPr>
          <w:p>
            <w:pPr>
              <w:pStyle w:val="TableText"/>
              <w:ind w:left="152"/>
              <w:spacing w:before="52" w:line="182" w:lineRule="auto"/>
              <w:rPr>
                <w:sz w:val="20"/>
                <w:szCs w:val="20"/>
              </w:rPr>
            </w:pPr>
            <w:r>
              <w:rPr>
                <w:sz w:val="20"/>
                <w:szCs w:val="20"/>
                <w:spacing w:val="-2"/>
              </w:rPr>
              <w:t>3.4076</w:t>
            </w:r>
          </w:p>
        </w:tc>
        <w:tc>
          <w:tcPr>
            <w:tcW w:w="739" w:type="dxa"/>
            <w:vAlign w:val="top"/>
          </w:tcPr>
          <w:p>
            <w:pPr>
              <w:pStyle w:val="TableText"/>
              <w:ind w:left="63"/>
              <w:spacing w:before="52" w:line="182" w:lineRule="auto"/>
              <w:rPr>
                <w:sz w:val="20"/>
                <w:szCs w:val="20"/>
              </w:rPr>
            </w:pPr>
            <w:r>
              <w:rPr>
                <w:sz w:val="20"/>
                <w:szCs w:val="20"/>
                <w:spacing w:val="-2"/>
              </w:rPr>
              <w:t>0.8519</w:t>
            </w:r>
          </w:p>
        </w:tc>
        <w:tc>
          <w:tcPr>
            <w:tcW w:w="759" w:type="dxa"/>
            <w:vAlign w:val="top"/>
          </w:tcPr>
          <w:p>
            <w:pPr>
              <w:pStyle w:val="TableText"/>
              <w:ind w:left="74"/>
              <w:spacing w:before="52" w:line="182" w:lineRule="auto"/>
              <w:rPr>
                <w:sz w:val="20"/>
                <w:szCs w:val="20"/>
              </w:rPr>
            </w:pPr>
            <w:r>
              <w:rPr>
                <w:sz w:val="20"/>
                <w:szCs w:val="20"/>
                <w:spacing w:val="-2"/>
              </w:rPr>
              <w:t>0.8519</w:t>
            </w:r>
          </w:p>
        </w:tc>
        <w:tc>
          <w:tcPr>
            <w:tcW w:w="759" w:type="dxa"/>
            <w:vAlign w:val="top"/>
          </w:tcPr>
          <w:p>
            <w:pPr>
              <w:pStyle w:val="TableText"/>
              <w:ind w:left="76"/>
              <w:spacing w:before="52" w:line="182" w:lineRule="auto"/>
              <w:rPr>
                <w:sz w:val="20"/>
                <w:szCs w:val="20"/>
              </w:rPr>
            </w:pPr>
            <w:r>
              <w:rPr>
                <w:sz w:val="20"/>
                <w:szCs w:val="20"/>
                <w:spacing w:val="-2"/>
              </w:rPr>
              <w:t>0.4259</w:t>
            </w:r>
          </w:p>
        </w:tc>
        <w:tc>
          <w:tcPr>
            <w:tcW w:w="779" w:type="dxa"/>
            <w:vAlign w:val="top"/>
          </w:tcPr>
          <w:p>
            <w:pPr>
              <w:pStyle w:val="TableText"/>
              <w:ind w:left="87"/>
              <w:spacing w:before="52" w:line="182" w:lineRule="auto"/>
              <w:rPr>
                <w:sz w:val="20"/>
                <w:szCs w:val="20"/>
              </w:rPr>
            </w:pPr>
            <w:r>
              <w:rPr>
                <w:sz w:val="20"/>
                <w:szCs w:val="20"/>
                <w:spacing w:val="-4"/>
              </w:rPr>
              <w:t>1.2778</w:t>
            </w:r>
          </w:p>
        </w:tc>
        <w:tc>
          <w:tcPr>
            <w:tcW w:w="649" w:type="dxa"/>
            <w:vAlign w:val="top"/>
          </w:tcPr>
          <w:p>
            <w:pPr>
              <w:pStyle w:val="TableText"/>
              <w:ind w:left="17"/>
              <w:spacing w:before="52" w:line="182" w:lineRule="auto"/>
              <w:rPr>
                <w:sz w:val="20"/>
                <w:szCs w:val="20"/>
              </w:rPr>
            </w:pPr>
            <w:r>
              <w:rPr>
                <w:sz w:val="20"/>
                <w:szCs w:val="20"/>
                <w:spacing w:val="-2"/>
              </w:rPr>
              <w:t>0.0170</w:t>
            </w:r>
          </w:p>
        </w:tc>
        <w:tc>
          <w:tcPr>
            <w:tcW w:w="766" w:type="dxa"/>
            <w:vAlign w:val="top"/>
          </w:tcPr>
          <w:p>
            <w:pPr>
              <w:pStyle w:val="TableText"/>
              <w:ind w:left="79"/>
              <w:spacing w:before="52" w:line="182" w:lineRule="auto"/>
              <w:rPr>
                <w:sz w:val="20"/>
                <w:szCs w:val="20"/>
              </w:rPr>
            </w:pPr>
            <w:r>
              <w:rPr>
                <w:sz w:val="20"/>
                <w:szCs w:val="20"/>
                <w:spacing w:val="-2"/>
              </w:rPr>
              <w:t>0.0852</w:t>
            </w:r>
          </w:p>
        </w:tc>
      </w:tr>
      <w:tr>
        <w:trPr>
          <w:trHeight w:val="509" w:hRule="atLeast"/>
        </w:trPr>
        <w:tc>
          <w:tcPr>
            <w:tcW w:w="694" w:type="dxa"/>
            <w:vAlign w:val="top"/>
            <w:vMerge w:val="continue"/>
            <w:tcBorders>
              <w:top w:val="nil"/>
            </w:tcBorders>
          </w:tcPr>
          <w:p>
            <w:pPr>
              <w:rPr>
                <w:rFonts w:ascii="Arial"/>
                <w:sz w:val="21"/>
              </w:rPr>
            </w:pPr>
            <w:r/>
          </w:p>
        </w:tc>
        <w:tc>
          <w:tcPr>
            <w:tcW w:w="280" w:type="dxa"/>
            <w:vAlign w:val="top"/>
            <w:textDirection w:val="tbRlV"/>
          </w:tcPr>
          <w:p>
            <w:pPr>
              <w:pStyle w:val="TableText"/>
              <w:spacing w:before="47" w:line="200" w:lineRule="auto"/>
              <w:jc w:val="right"/>
              <w:rPr>
                <w:sz w:val="20"/>
                <w:szCs w:val="20"/>
              </w:rPr>
            </w:pPr>
            <w:r>
              <w:rPr>
                <w:sz w:val="20"/>
                <w:szCs w:val="20"/>
                <w:spacing w:val="-12"/>
              </w:rPr>
              <w:t>全</w:t>
            </w:r>
            <w:r>
              <w:rPr>
                <w:sz w:val="20"/>
                <w:szCs w:val="20"/>
                <w:spacing w:val="28"/>
              </w:rPr>
              <w:t xml:space="preserve"> </w:t>
            </w:r>
            <w:r>
              <w:rPr>
                <w:sz w:val="20"/>
                <w:szCs w:val="20"/>
                <w:spacing w:val="-8"/>
              </w:rPr>
              <w:t>年</w:t>
            </w:r>
          </w:p>
        </w:tc>
        <w:tc>
          <w:tcPr>
            <w:tcW w:w="1039" w:type="dxa"/>
            <w:vAlign w:val="top"/>
            <w:gridSpan w:val="2"/>
          </w:tcPr>
          <w:p>
            <w:pPr>
              <w:pStyle w:val="TableText"/>
              <w:ind w:left="60"/>
              <w:spacing w:before="183" w:line="239" w:lineRule="auto"/>
              <w:rPr>
                <w:sz w:val="20"/>
                <w:szCs w:val="20"/>
              </w:rPr>
            </w:pPr>
            <w:r>
              <w:rPr>
                <w:sz w:val="20"/>
                <w:szCs w:val="20"/>
                <w:spacing w:val="-2"/>
              </w:rPr>
              <w:t>265008.96</w:t>
            </w:r>
          </w:p>
        </w:tc>
        <w:tc>
          <w:tcPr>
            <w:tcW w:w="1299" w:type="dxa"/>
            <w:vAlign w:val="top"/>
          </w:tcPr>
          <w:p>
            <w:pPr>
              <w:pStyle w:val="TableText"/>
              <w:ind w:left="192"/>
              <w:spacing w:before="164" w:line="221" w:lineRule="auto"/>
              <w:rPr>
                <w:sz w:val="20"/>
                <w:szCs w:val="20"/>
              </w:rPr>
            </w:pPr>
            <w:r>
              <w:rPr>
                <w:sz w:val="20"/>
                <w:szCs w:val="20"/>
                <w:spacing w:val="-2"/>
              </w:rPr>
              <w:t>排放量t/a</w:t>
            </w:r>
          </w:p>
        </w:tc>
        <w:tc>
          <w:tcPr>
            <w:tcW w:w="919" w:type="dxa"/>
            <w:vAlign w:val="top"/>
          </w:tcPr>
          <w:p>
            <w:pPr>
              <w:pStyle w:val="TableText"/>
              <w:ind w:left="102"/>
              <w:spacing w:before="183" w:line="239" w:lineRule="auto"/>
              <w:rPr>
                <w:sz w:val="20"/>
                <w:szCs w:val="20"/>
              </w:rPr>
            </w:pPr>
            <w:r>
              <w:rPr>
                <w:sz w:val="20"/>
                <w:szCs w:val="20"/>
                <w:spacing w:val="-3"/>
              </w:rPr>
              <w:t>10.6004</w:t>
            </w:r>
          </w:p>
        </w:tc>
        <w:tc>
          <w:tcPr>
            <w:tcW w:w="739" w:type="dxa"/>
            <w:vAlign w:val="top"/>
          </w:tcPr>
          <w:p>
            <w:pPr>
              <w:pStyle w:val="TableText"/>
              <w:ind w:left="63"/>
              <w:spacing w:before="183" w:line="239" w:lineRule="auto"/>
              <w:rPr>
                <w:sz w:val="20"/>
                <w:szCs w:val="20"/>
              </w:rPr>
            </w:pPr>
            <w:r>
              <w:rPr>
                <w:sz w:val="20"/>
                <w:szCs w:val="20"/>
                <w:spacing w:val="-2"/>
              </w:rPr>
              <w:t>2.6501</w:t>
            </w:r>
          </w:p>
        </w:tc>
        <w:tc>
          <w:tcPr>
            <w:tcW w:w="759" w:type="dxa"/>
            <w:vAlign w:val="top"/>
          </w:tcPr>
          <w:p>
            <w:pPr>
              <w:pStyle w:val="TableText"/>
              <w:ind w:left="74"/>
              <w:spacing w:before="183" w:line="239" w:lineRule="auto"/>
              <w:rPr>
                <w:sz w:val="20"/>
                <w:szCs w:val="20"/>
              </w:rPr>
            </w:pPr>
            <w:r>
              <w:rPr>
                <w:sz w:val="20"/>
                <w:szCs w:val="20"/>
                <w:spacing w:val="-2"/>
              </w:rPr>
              <w:t>2.6501</w:t>
            </w:r>
          </w:p>
        </w:tc>
        <w:tc>
          <w:tcPr>
            <w:tcW w:w="759" w:type="dxa"/>
            <w:vAlign w:val="top"/>
          </w:tcPr>
          <w:p>
            <w:pPr>
              <w:pStyle w:val="TableText"/>
              <w:ind w:left="76"/>
              <w:spacing w:before="183" w:line="239" w:lineRule="auto"/>
              <w:rPr>
                <w:sz w:val="20"/>
                <w:szCs w:val="20"/>
              </w:rPr>
            </w:pPr>
            <w:r>
              <w:rPr>
                <w:sz w:val="20"/>
                <w:szCs w:val="20"/>
                <w:spacing w:val="-4"/>
              </w:rPr>
              <w:t>1.3250</w:t>
            </w:r>
          </w:p>
        </w:tc>
        <w:tc>
          <w:tcPr>
            <w:tcW w:w="779" w:type="dxa"/>
            <w:vAlign w:val="top"/>
          </w:tcPr>
          <w:p>
            <w:pPr>
              <w:pStyle w:val="TableText"/>
              <w:ind w:left="87"/>
              <w:spacing w:before="183" w:line="239" w:lineRule="auto"/>
              <w:rPr>
                <w:sz w:val="20"/>
                <w:szCs w:val="20"/>
              </w:rPr>
            </w:pPr>
            <w:r>
              <w:rPr>
                <w:sz w:val="20"/>
                <w:szCs w:val="20"/>
                <w:spacing w:val="-2"/>
              </w:rPr>
              <w:t>3.9751</w:t>
            </w:r>
          </w:p>
        </w:tc>
        <w:tc>
          <w:tcPr>
            <w:tcW w:w="649" w:type="dxa"/>
            <w:vAlign w:val="top"/>
          </w:tcPr>
          <w:p>
            <w:pPr>
              <w:pStyle w:val="TableText"/>
              <w:ind w:left="17"/>
              <w:spacing w:before="183" w:line="239" w:lineRule="auto"/>
              <w:rPr>
                <w:sz w:val="20"/>
                <w:szCs w:val="20"/>
              </w:rPr>
            </w:pPr>
            <w:r>
              <w:rPr>
                <w:sz w:val="20"/>
                <w:szCs w:val="20"/>
                <w:spacing w:val="-2"/>
              </w:rPr>
              <w:t>0.0530</w:t>
            </w:r>
          </w:p>
        </w:tc>
        <w:tc>
          <w:tcPr>
            <w:tcW w:w="766" w:type="dxa"/>
            <w:vAlign w:val="top"/>
          </w:tcPr>
          <w:p>
            <w:pPr>
              <w:pStyle w:val="TableText"/>
              <w:ind w:left="79"/>
              <w:spacing w:before="183" w:line="239" w:lineRule="auto"/>
              <w:rPr>
                <w:sz w:val="20"/>
                <w:szCs w:val="20"/>
              </w:rPr>
            </w:pPr>
            <w:r>
              <w:rPr>
                <w:sz w:val="20"/>
                <w:szCs w:val="20"/>
                <w:spacing w:val="-2"/>
              </w:rPr>
              <w:t>0.2650</w:t>
            </w:r>
          </w:p>
        </w:tc>
      </w:tr>
      <w:tr>
        <w:trPr>
          <w:trHeight w:val="1008" w:hRule="atLeast"/>
        </w:trPr>
        <w:tc>
          <w:tcPr>
            <w:tcW w:w="3312" w:type="dxa"/>
            <w:vAlign w:val="top"/>
            <w:gridSpan w:val="5"/>
          </w:tcPr>
          <w:p>
            <w:pPr>
              <w:pStyle w:val="TableText"/>
              <w:spacing w:before="34" w:line="219" w:lineRule="auto"/>
              <w:rPr>
                <w:sz w:val="20"/>
                <w:szCs w:val="20"/>
              </w:rPr>
            </w:pPr>
            <w:r>
              <w:rPr>
                <w:sz w:val="20"/>
                <w:szCs w:val="20"/>
                <w:spacing w:val="-2"/>
              </w:rPr>
              <w:t>《四川省岷江、沱江流域水污染物排</w:t>
            </w:r>
          </w:p>
          <w:p>
            <w:pPr>
              <w:pStyle w:val="TableText"/>
              <w:ind w:left="194"/>
              <w:spacing w:before="13" w:line="220" w:lineRule="auto"/>
              <w:rPr>
                <w:sz w:val="20"/>
                <w:szCs w:val="20"/>
              </w:rPr>
            </w:pPr>
            <w:r>
              <w:rPr>
                <w:sz w:val="20"/>
                <w:szCs w:val="20"/>
                <w:spacing w:val="1"/>
              </w:rPr>
              <w:t>放标准》(</w:t>
            </w:r>
            <w:r>
              <w:rPr>
                <w:sz w:val="20"/>
                <w:szCs w:val="20"/>
              </w:rPr>
              <w:t>DB</w:t>
            </w:r>
            <w:r>
              <w:rPr>
                <w:sz w:val="20"/>
                <w:szCs w:val="20"/>
                <w:spacing w:val="1"/>
              </w:rPr>
              <w:t>51/2311-2016)表1中</w:t>
            </w:r>
          </w:p>
          <w:p>
            <w:pPr>
              <w:pStyle w:val="TableText"/>
              <w:ind w:left="45"/>
              <w:spacing w:before="50" w:line="188" w:lineRule="auto"/>
              <w:rPr>
                <w:sz w:val="20"/>
                <w:szCs w:val="20"/>
              </w:rPr>
            </w:pPr>
            <w:r>
              <w:rPr>
                <w:sz w:val="20"/>
                <w:szCs w:val="20"/>
                <w:spacing w:val="-1"/>
              </w:rPr>
              <w:t>工业园区集中式污水处理厂排放标准</w:t>
            </w:r>
          </w:p>
          <w:p>
            <w:pPr>
              <w:pStyle w:val="TableText"/>
              <w:ind w:left="1445"/>
              <w:spacing w:line="203" w:lineRule="auto"/>
              <w:rPr>
                <w:sz w:val="20"/>
                <w:szCs w:val="20"/>
              </w:rPr>
            </w:pPr>
            <w:r>
              <w:rPr>
                <w:sz w:val="20"/>
                <w:szCs w:val="20"/>
                <w:spacing w:val="-1"/>
              </w:rPr>
              <w:t>mg/L</w:t>
            </w:r>
          </w:p>
        </w:tc>
        <w:tc>
          <w:tcPr>
            <w:tcW w:w="919" w:type="dxa"/>
            <w:vAlign w:val="top"/>
          </w:tcPr>
          <w:p>
            <w:pPr>
              <w:spacing w:line="366" w:lineRule="auto"/>
              <w:rPr>
                <w:rFonts w:ascii="Arial"/>
                <w:sz w:val="21"/>
              </w:rPr>
            </w:pPr>
            <w:r/>
          </w:p>
          <w:p>
            <w:pPr>
              <w:pStyle w:val="TableText"/>
              <w:ind w:left="353"/>
              <w:spacing w:before="65"/>
              <w:rPr>
                <w:sz w:val="20"/>
                <w:szCs w:val="20"/>
              </w:rPr>
            </w:pPr>
            <w:r>
              <w:rPr>
                <w:sz w:val="20"/>
                <w:szCs w:val="20"/>
                <w:spacing w:val="-2"/>
              </w:rPr>
              <w:t>40</w:t>
            </w:r>
          </w:p>
        </w:tc>
        <w:tc>
          <w:tcPr>
            <w:tcW w:w="739" w:type="dxa"/>
            <w:vAlign w:val="top"/>
          </w:tcPr>
          <w:p>
            <w:pPr>
              <w:spacing w:line="366" w:lineRule="auto"/>
              <w:rPr>
                <w:rFonts w:ascii="Arial"/>
                <w:sz w:val="21"/>
              </w:rPr>
            </w:pPr>
            <w:r/>
          </w:p>
          <w:p>
            <w:pPr>
              <w:pStyle w:val="TableText"/>
              <w:ind w:left="263"/>
              <w:spacing w:before="65"/>
              <w:rPr>
                <w:sz w:val="20"/>
                <w:szCs w:val="20"/>
              </w:rPr>
            </w:pPr>
            <w:r>
              <w:rPr>
                <w:sz w:val="20"/>
                <w:szCs w:val="20"/>
                <w:spacing w:val="-6"/>
              </w:rPr>
              <w:t>10</w:t>
            </w:r>
          </w:p>
        </w:tc>
        <w:tc>
          <w:tcPr>
            <w:tcW w:w="759" w:type="dxa"/>
            <w:vAlign w:val="top"/>
          </w:tcPr>
          <w:p>
            <w:pPr>
              <w:spacing w:line="352" w:lineRule="auto"/>
              <w:rPr>
                <w:rFonts w:ascii="Arial"/>
                <w:sz w:val="21"/>
              </w:rPr>
            </w:pPr>
            <w:r/>
          </w:p>
          <w:p>
            <w:pPr>
              <w:pStyle w:val="TableText"/>
              <w:ind w:left="325"/>
              <w:spacing w:before="65" w:line="224" w:lineRule="auto"/>
              <w:rPr>
                <w:sz w:val="20"/>
                <w:szCs w:val="20"/>
              </w:rPr>
            </w:pPr>
            <w:r>
              <w:rPr>
                <w:sz w:val="20"/>
                <w:szCs w:val="20"/>
                <w:color w:val="504050"/>
              </w:rPr>
              <w:t>/</w:t>
            </w:r>
          </w:p>
        </w:tc>
        <w:tc>
          <w:tcPr>
            <w:tcW w:w="759" w:type="dxa"/>
            <w:vAlign w:val="top"/>
          </w:tcPr>
          <w:p>
            <w:pPr>
              <w:spacing w:line="350" w:lineRule="auto"/>
              <w:rPr>
                <w:rFonts w:ascii="Arial"/>
                <w:sz w:val="21"/>
              </w:rPr>
            </w:pPr>
            <w:r/>
          </w:p>
          <w:p>
            <w:pPr>
              <w:pStyle w:val="TableText"/>
              <w:ind w:left="26"/>
              <w:spacing w:before="65" w:line="222" w:lineRule="auto"/>
              <w:rPr>
                <w:sz w:val="20"/>
                <w:szCs w:val="20"/>
              </w:rPr>
            </w:pPr>
            <w:r>
              <w:rPr>
                <w:sz w:val="20"/>
                <w:szCs w:val="20"/>
                <w:spacing w:val="-3"/>
              </w:rPr>
              <w:t>3(5)</w:t>
            </w:r>
          </w:p>
        </w:tc>
        <w:tc>
          <w:tcPr>
            <w:tcW w:w="779" w:type="dxa"/>
            <w:vAlign w:val="top"/>
          </w:tcPr>
          <w:p>
            <w:pPr>
              <w:spacing w:line="366" w:lineRule="auto"/>
              <w:rPr>
                <w:rFonts w:ascii="Arial"/>
                <w:sz w:val="21"/>
              </w:rPr>
            </w:pPr>
            <w:r/>
          </w:p>
          <w:p>
            <w:pPr>
              <w:pStyle w:val="TableText"/>
              <w:ind w:left="287"/>
              <w:spacing w:before="65"/>
              <w:rPr>
                <w:sz w:val="20"/>
                <w:szCs w:val="20"/>
              </w:rPr>
            </w:pPr>
            <w:r>
              <w:rPr>
                <w:sz w:val="20"/>
                <w:szCs w:val="20"/>
                <w:spacing w:val="-6"/>
              </w:rPr>
              <w:t>15</w:t>
            </w:r>
          </w:p>
        </w:tc>
        <w:tc>
          <w:tcPr>
            <w:tcW w:w="649" w:type="dxa"/>
            <w:vAlign w:val="top"/>
          </w:tcPr>
          <w:p>
            <w:pPr>
              <w:spacing w:line="366" w:lineRule="auto"/>
              <w:rPr>
                <w:rFonts w:ascii="Arial"/>
                <w:sz w:val="21"/>
              </w:rPr>
            </w:pPr>
            <w:r/>
          </w:p>
          <w:p>
            <w:pPr>
              <w:pStyle w:val="TableText"/>
              <w:ind w:left="168"/>
              <w:spacing w:before="65" w:line="239" w:lineRule="auto"/>
              <w:rPr>
                <w:sz w:val="20"/>
                <w:szCs w:val="20"/>
              </w:rPr>
            </w:pPr>
            <w:r>
              <w:rPr>
                <w:sz w:val="20"/>
                <w:szCs w:val="20"/>
                <w:spacing w:val="-3"/>
              </w:rPr>
              <w:t>0.5</w:t>
            </w:r>
          </w:p>
        </w:tc>
        <w:tc>
          <w:tcPr>
            <w:tcW w:w="766" w:type="dxa"/>
            <w:vAlign w:val="top"/>
          </w:tcPr>
          <w:p>
            <w:pPr>
              <w:spacing w:line="352" w:lineRule="auto"/>
              <w:rPr>
                <w:rFonts w:ascii="Arial"/>
                <w:sz w:val="21"/>
              </w:rPr>
            </w:pPr>
            <w:r/>
          </w:p>
          <w:p>
            <w:pPr>
              <w:pStyle w:val="TableText"/>
              <w:ind w:left="329"/>
              <w:spacing w:before="65" w:line="224" w:lineRule="auto"/>
              <w:rPr>
                <w:sz w:val="20"/>
                <w:szCs w:val="20"/>
              </w:rPr>
            </w:pPr>
            <w:r>
              <w:rPr>
                <w:sz w:val="20"/>
                <w:szCs w:val="20"/>
                <w:color w:val="605060"/>
              </w:rPr>
              <w:t>/</w:t>
            </w:r>
          </w:p>
        </w:tc>
      </w:tr>
      <w:tr>
        <w:trPr>
          <w:trHeight w:val="509" w:hRule="atLeast"/>
        </w:trPr>
        <w:tc>
          <w:tcPr>
            <w:tcW w:w="3312" w:type="dxa"/>
            <w:vAlign w:val="top"/>
            <w:gridSpan w:val="5"/>
          </w:tcPr>
          <w:p>
            <w:pPr>
              <w:pStyle w:val="TableText"/>
              <w:ind w:left="45"/>
              <w:spacing w:before="26" w:line="219" w:lineRule="auto"/>
              <w:rPr>
                <w:sz w:val="20"/>
                <w:szCs w:val="20"/>
              </w:rPr>
            </w:pPr>
            <w:r>
              <w:rPr>
                <w:sz w:val="20"/>
                <w:szCs w:val="20"/>
              </w:rPr>
              <w:t>《地表水环境质量标准》(GB3838-2</w:t>
            </w:r>
          </w:p>
          <w:p>
            <w:pPr>
              <w:pStyle w:val="TableText"/>
              <w:ind w:left="845"/>
              <w:spacing w:before="21" w:line="197" w:lineRule="auto"/>
              <w:rPr>
                <w:sz w:val="20"/>
                <w:szCs w:val="20"/>
              </w:rPr>
            </w:pPr>
            <w:r>
              <w:rPr>
                <w:sz w:val="20"/>
                <w:szCs w:val="20"/>
                <w:spacing w:val="-1"/>
              </w:rPr>
              <w:t>002)Ⅲ类水质标准</w:t>
            </w:r>
          </w:p>
        </w:tc>
        <w:tc>
          <w:tcPr>
            <w:tcW w:w="919" w:type="dxa"/>
            <w:vAlign w:val="top"/>
          </w:tcPr>
          <w:p>
            <w:pPr>
              <w:pStyle w:val="TableText"/>
              <w:ind w:left="402"/>
              <w:spacing w:before="171" w:line="224" w:lineRule="auto"/>
              <w:rPr>
                <w:sz w:val="20"/>
                <w:szCs w:val="20"/>
              </w:rPr>
            </w:pPr>
            <w:r>
              <w:rPr>
                <w:sz w:val="20"/>
                <w:szCs w:val="20"/>
                <w:color w:val="504050"/>
              </w:rPr>
              <w:t>/</w:t>
            </w:r>
          </w:p>
        </w:tc>
        <w:tc>
          <w:tcPr>
            <w:tcW w:w="739" w:type="dxa"/>
            <w:vAlign w:val="top"/>
          </w:tcPr>
          <w:p>
            <w:pPr>
              <w:pStyle w:val="TableText"/>
              <w:ind w:left="313"/>
              <w:spacing w:before="171" w:line="224" w:lineRule="auto"/>
              <w:rPr>
                <w:sz w:val="20"/>
                <w:szCs w:val="20"/>
              </w:rPr>
            </w:pPr>
            <w:r>
              <w:rPr>
                <w:sz w:val="20"/>
                <w:szCs w:val="20"/>
                <w:color w:val="605050"/>
              </w:rPr>
              <w:t>/</w:t>
            </w:r>
          </w:p>
        </w:tc>
        <w:tc>
          <w:tcPr>
            <w:tcW w:w="759" w:type="dxa"/>
            <w:vAlign w:val="top"/>
            <w:textDirection w:val="tbRlV"/>
          </w:tcPr>
          <w:p>
            <w:pPr>
              <w:spacing w:line="256" w:lineRule="auto"/>
              <w:rPr>
                <w:rFonts w:ascii="Arial"/>
                <w:sz w:val="21"/>
              </w:rPr>
            </w:pPr>
            <w:r/>
          </w:p>
          <w:p>
            <w:pPr>
              <w:pStyle w:val="TableText"/>
              <w:ind w:left="139"/>
              <w:spacing w:before="67" w:line="131" w:lineRule="exact"/>
              <w:rPr>
                <w:sz w:val="20"/>
                <w:szCs w:val="20"/>
              </w:rPr>
            </w:pPr>
            <w:r>
              <w:rPr>
                <w:sz w:val="20"/>
                <w:szCs w:val="20"/>
                <w:color w:val="505050"/>
                <w:spacing w:val="50"/>
                <w:w w:val="140"/>
                <w:position w:val="-1"/>
              </w:rPr>
              <w:t>/</w:t>
            </w:r>
          </w:p>
        </w:tc>
        <w:tc>
          <w:tcPr>
            <w:tcW w:w="759" w:type="dxa"/>
            <w:vAlign w:val="top"/>
          </w:tcPr>
          <w:p>
            <w:pPr>
              <w:pStyle w:val="TableText"/>
              <w:ind w:left="326"/>
              <w:spacing w:before="171" w:line="224" w:lineRule="auto"/>
              <w:rPr>
                <w:sz w:val="20"/>
                <w:szCs w:val="20"/>
              </w:rPr>
            </w:pPr>
            <w:r>
              <w:rPr>
                <w:sz w:val="20"/>
                <w:szCs w:val="20"/>
                <w:color w:val="504050"/>
              </w:rPr>
              <w:t>/</w:t>
            </w:r>
          </w:p>
        </w:tc>
        <w:tc>
          <w:tcPr>
            <w:tcW w:w="779" w:type="dxa"/>
            <w:vAlign w:val="top"/>
            <w:textDirection w:val="tbRlV"/>
          </w:tcPr>
          <w:p>
            <w:pPr>
              <w:spacing w:line="264" w:lineRule="auto"/>
              <w:rPr>
                <w:rFonts w:ascii="Arial"/>
                <w:sz w:val="21"/>
              </w:rPr>
            </w:pPr>
            <w:r/>
          </w:p>
          <w:p>
            <w:pPr>
              <w:pStyle w:val="TableText"/>
              <w:ind w:left="139"/>
              <w:spacing w:before="67" w:line="130" w:lineRule="exact"/>
              <w:rPr>
                <w:sz w:val="20"/>
                <w:szCs w:val="20"/>
              </w:rPr>
            </w:pPr>
            <w:r>
              <w:rPr>
                <w:sz w:val="20"/>
                <w:szCs w:val="20"/>
                <w:color w:val="504040"/>
                <w:spacing w:val="50"/>
                <w:w w:val="140"/>
                <w:position w:val="-1"/>
              </w:rPr>
              <w:t>/</w:t>
            </w:r>
          </w:p>
        </w:tc>
        <w:tc>
          <w:tcPr>
            <w:tcW w:w="649" w:type="dxa"/>
            <w:vAlign w:val="top"/>
          </w:tcPr>
          <w:p>
            <w:pPr>
              <w:pStyle w:val="TableText"/>
              <w:ind w:left="168"/>
              <w:spacing w:before="185" w:line="239" w:lineRule="auto"/>
              <w:rPr>
                <w:sz w:val="20"/>
                <w:szCs w:val="20"/>
              </w:rPr>
            </w:pPr>
            <w:r>
              <w:rPr>
                <w:sz w:val="20"/>
                <w:szCs w:val="20"/>
                <w:spacing w:val="-3"/>
              </w:rPr>
              <w:t>0.2</w:t>
            </w:r>
          </w:p>
        </w:tc>
        <w:tc>
          <w:tcPr>
            <w:tcW w:w="766" w:type="dxa"/>
            <w:vAlign w:val="top"/>
          </w:tcPr>
          <w:p>
            <w:pPr>
              <w:pStyle w:val="TableText"/>
              <w:ind w:left="329"/>
              <w:spacing w:before="171" w:line="224" w:lineRule="auto"/>
              <w:rPr>
                <w:sz w:val="20"/>
                <w:szCs w:val="20"/>
              </w:rPr>
            </w:pPr>
            <w:r>
              <w:rPr>
                <w:sz w:val="20"/>
                <w:szCs w:val="20"/>
                <w:color w:val="404040"/>
              </w:rPr>
              <w:t>/</w:t>
            </w:r>
          </w:p>
        </w:tc>
      </w:tr>
      <w:tr>
        <w:trPr>
          <w:trHeight w:val="519" w:hRule="atLeast"/>
        </w:trPr>
        <w:tc>
          <w:tcPr>
            <w:tcW w:w="3312" w:type="dxa"/>
            <w:vAlign w:val="top"/>
            <w:gridSpan w:val="5"/>
          </w:tcPr>
          <w:p>
            <w:pPr>
              <w:pStyle w:val="TableText"/>
              <w:ind w:left="254" w:right="73" w:hanging="209"/>
              <w:spacing w:before="47" w:line="213" w:lineRule="auto"/>
              <w:rPr>
                <w:sz w:val="20"/>
                <w:szCs w:val="20"/>
              </w:rPr>
            </w:pPr>
            <w:r>
              <w:rPr>
                <w:sz w:val="20"/>
                <w:szCs w:val="20"/>
                <w:spacing w:val="-2"/>
              </w:rPr>
              <w:t>《城镇污水处理厂污染物排放标准》</w:t>
            </w:r>
            <w:r>
              <w:rPr>
                <w:sz w:val="20"/>
                <w:szCs w:val="20"/>
                <w:spacing w:val="14"/>
              </w:rPr>
              <w:t xml:space="preserve"> </w:t>
            </w:r>
            <w:r>
              <w:rPr>
                <w:sz w:val="20"/>
                <w:szCs w:val="20"/>
              </w:rPr>
              <w:t>(GB18918-2002)一级A标mg/L</w:t>
            </w:r>
          </w:p>
        </w:tc>
        <w:tc>
          <w:tcPr>
            <w:tcW w:w="919" w:type="dxa"/>
            <w:vAlign w:val="top"/>
          </w:tcPr>
          <w:p>
            <w:pPr>
              <w:pStyle w:val="TableText"/>
              <w:ind w:left="353"/>
              <w:spacing w:before="186"/>
              <w:rPr>
                <w:sz w:val="20"/>
                <w:szCs w:val="20"/>
              </w:rPr>
            </w:pPr>
            <w:r>
              <w:rPr>
                <w:sz w:val="20"/>
                <w:szCs w:val="20"/>
                <w:spacing w:val="-3"/>
              </w:rPr>
              <w:t>50</w:t>
            </w:r>
          </w:p>
        </w:tc>
        <w:tc>
          <w:tcPr>
            <w:tcW w:w="739" w:type="dxa"/>
            <w:vAlign w:val="top"/>
          </w:tcPr>
          <w:p>
            <w:pPr>
              <w:pStyle w:val="TableText"/>
              <w:ind w:left="263"/>
              <w:spacing w:before="186"/>
              <w:rPr>
                <w:sz w:val="20"/>
                <w:szCs w:val="20"/>
              </w:rPr>
            </w:pPr>
            <w:r>
              <w:rPr>
                <w:sz w:val="20"/>
                <w:szCs w:val="20"/>
                <w:spacing w:val="-6"/>
              </w:rPr>
              <w:t>10</w:t>
            </w:r>
          </w:p>
        </w:tc>
        <w:tc>
          <w:tcPr>
            <w:tcW w:w="759" w:type="dxa"/>
            <w:vAlign w:val="top"/>
          </w:tcPr>
          <w:p>
            <w:pPr>
              <w:pStyle w:val="TableText"/>
              <w:ind w:left="275"/>
              <w:spacing w:before="186"/>
              <w:rPr>
                <w:sz w:val="20"/>
                <w:szCs w:val="20"/>
              </w:rPr>
            </w:pPr>
            <w:r>
              <w:rPr>
                <w:sz w:val="20"/>
                <w:szCs w:val="20"/>
                <w:spacing w:val="-6"/>
              </w:rPr>
              <w:t>10</w:t>
            </w:r>
          </w:p>
        </w:tc>
        <w:tc>
          <w:tcPr>
            <w:tcW w:w="759" w:type="dxa"/>
            <w:vAlign w:val="top"/>
          </w:tcPr>
          <w:p>
            <w:pPr>
              <w:pStyle w:val="TableText"/>
              <w:ind w:left="326"/>
              <w:spacing w:before="186"/>
              <w:rPr>
                <w:sz w:val="20"/>
                <w:szCs w:val="20"/>
              </w:rPr>
            </w:pPr>
            <w:r>
              <w:rPr>
                <w:sz w:val="20"/>
                <w:szCs w:val="20"/>
              </w:rPr>
              <w:t>5</w:t>
            </w:r>
          </w:p>
        </w:tc>
        <w:tc>
          <w:tcPr>
            <w:tcW w:w="779" w:type="dxa"/>
            <w:vAlign w:val="top"/>
          </w:tcPr>
          <w:p>
            <w:pPr>
              <w:pStyle w:val="TableText"/>
              <w:ind w:left="287"/>
              <w:spacing w:before="186"/>
              <w:rPr>
                <w:sz w:val="20"/>
                <w:szCs w:val="20"/>
              </w:rPr>
            </w:pPr>
            <w:r>
              <w:rPr>
                <w:sz w:val="20"/>
                <w:szCs w:val="20"/>
                <w:spacing w:val="-6"/>
              </w:rPr>
              <w:t>15</w:t>
            </w:r>
          </w:p>
        </w:tc>
        <w:tc>
          <w:tcPr>
            <w:tcW w:w="649" w:type="dxa"/>
            <w:vAlign w:val="top"/>
          </w:tcPr>
          <w:p>
            <w:pPr>
              <w:pStyle w:val="TableText"/>
              <w:ind w:left="168"/>
              <w:spacing w:before="186" w:line="239" w:lineRule="auto"/>
              <w:rPr>
                <w:sz w:val="20"/>
                <w:szCs w:val="20"/>
              </w:rPr>
            </w:pPr>
            <w:r>
              <w:rPr>
                <w:sz w:val="20"/>
                <w:szCs w:val="20"/>
                <w:spacing w:val="-3"/>
              </w:rPr>
              <w:t>0.5</w:t>
            </w:r>
          </w:p>
        </w:tc>
        <w:tc>
          <w:tcPr>
            <w:tcW w:w="766" w:type="dxa"/>
            <w:vAlign w:val="top"/>
          </w:tcPr>
          <w:p>
            <w:pPr>
              <w:pStyle w:val="TableText"/>
              <w:ind w:left="329"/>
              <w:spacing w:before="187" w:line="241" w:lineRule="auto"/>
              <w:rPr>
                <w:sz w:val="20"/>
                <w:szCs w:val="20"/>
              </w:rPr>
            </w:pPr>
            <w:r>
              <w:rPr>
                <w:sz w:val="20"/>
                <w:szCs w:val="20"/>
              </w:rPr>
              <w:t>1</w:t>
            </w:r>
          </w:p>
        </w:tc>
      </w:tr>
      <w:tr>
        <w:trPr>
          <w:trHeight w:val="534" w:hRule="atLeast"/>
        </w:trPr>
        <w:tc>
          <w:tcPr>
            <w:tcW w:w="8682" w:type="dxa"/>
            <w:vAlign w:val="top"/>
            <w:gridSpan w:val="12"/>
          </w:tcPr>
          <w:p>
            <w:pPr>
              <w:pStyle w:val="TableText"/>
              <w:ind w:left="15" w:right="144"/>
              <w:spacing w:before="17" w:line="234" w:lineRule="auto"/>
              <w:rPr>
                <w:sz w:val="20"/>
                <w:szCs w:val="20"/>
              </w:rPr>
            </w:pPr>
            <w:r>
              <w:rPr>
                <w:sz w:val="20"/>
                <w:szCs w:val="20"/>
              </w:rPr>
              <w:t>注：《四川省岷江、沱江流域水污染物排放标准》中氨氮指标括号外数值为水温&gt;12℃时的控制指</w:t>
            </w:r>
            <w:r>
              <w:rPr>
                <w:sz w:val="20"/>
                <w:szCs w:val="20"/>
                <w:spacing w:val="11"/>
              </w:rPr>
              <w:t xml:space="preserve"> </w:t>
            </w:r>
            <w:r>
              <w:rPr>
                <w:sz w:val="20"/>
                <w:szCs w:val="20"/>
              </w:rPr>
              <w:t>标，括号内数值为水温≤12℃时的控制指</w:t>
            </w:r>
            <w:r>
              <w:rPr>
                <w:sz w:val="20"/>
                <w:szCs w:val="20"/>
                <w:spacing w:val="-1"/>
              </w:rPr>
              <w:t>标。</w:t>
            </w:r>
          </w:p>
        </w:tc>
      </w:tr>
    </w:tbl>
    <w:p>
      <w:pPr>
        <w:ind w:left="194" w:right="6" w:firstLine="500"/>
        <w:spacing w:before="54" w:line="346" w:lineRule="auto"/>
        <w:rPr>
          <w:rFonts w:ascii="SimSun" w:hAnsi="SimSun" w:eastAsia="SimSun" w:cs="SimSun"/>
          <w:sz w:val="23"/>
          <w:szCs w:val="23"/>
        </w:rPr>
      </w:pPr>
      <w:r>
        <w:rPr>
          <w:rFonts w:ascii="SimSun" w:hAnsi="SimSun" w:eastAsia="SimSun" w:cs="SimSun"/>
          <w:sz w:val="25"/>
          <w:szCs w:val="25"/>
        </w:rPr>
        <w:t>根据上表，本项目餐饮废水经隔油池处理后与生</w:t>
      </w:r>
      <w:r>
        <w:rPr>
          <w:rFonts w:ascii="SimSun" w:hAnsi="SimSun" w:eastAsia="SimSun" w:cs="SimSun"/>
          <w:sz w:val="25"/>
          <w:szCs w:val="25"/>
          <w:spacing w:val="-1"/>
        </w:rPr>
        <w:t>活污水一同经过厂区内设</w:t>
      </w:r>
      <w:r>
        <w:rPr>
          <w:rFonts w:ascii="SimSun" w:hAnsi="SimSun" w:eastAsia="SimSun" w:cs="SimSun"/>
          <w:sz w:val="25"/>
          <w:szCs w:val="25"/>
        </w:rPr>
        <w:t xml:space="preserve"> </w:t>
      </w:r>
      <w:r>
        <w:rPr>
          <w:rFonts w:ascii="SimSun" w:hAnsi="SimSun" w:eastAsia="SimSun" w:cs="SimSun"/>
          <w:sz w:val="23"/>
          <w:szCs w:val="23"/>
          <w:spacing w:val="8"/>
        </w:rPr>
        <w:t>置的预处理池处理达《污水综合排放标准》</w:t>
      </w:r>
      <w:r>
        <w:rPr>
          <w:rFonts w:ascii="SimSun" w:hAnsi="SimSun" w:eastAsia="SimSun" w:cs="SimSun"/>
          <w:sz w:val="23"/>
          <w:szCs w:val="23"/>
          <w:spacing w:val="76"/>
        </w:rPr>
        <w:t xml:space="preserve"> </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8"/>
        </w:rPr>
        <w:t>8978-199</w:t>
      </w:r>
      <w:r>
        <w:rPr>
          <w:rFonts w:ascii="Times New Roman" w:hAnsi="Times New Roman" w:eastAsia="Times New Roman" w:cs="Times New Roman"/>
          <w:sz w:val="23"/>
          <w:szCs w:val="23"/>
          <w:spacing w:val="7"/>
        </w:rPr>
        <w:t>6)     </w:t>
      </w:r>
      <w:r>
        <w:rPr>
          <w:rFonts w:ascii="SimSun" w:hAnsi="SimSun" w:eastAsia="SimSun" w:cs="SimSun"/>
          <w:sz w:val="23"/>
          <w:szCs w:val="23"/>
          <w:spacing w:val="7"/>
        </w:rPr>
        <w:t>中三级标准；生</w:t>
      </w:r>
    </w:p>
    <w:p>
      <w:pPr>
        <w:ind w:left="79" w:right="215" w:firstLine="115"/>
        <w:spacing w:before="59" w:line="358" w:lineRule="auto"/>
        <w:rPr>
          <w:rFonts w:ascii="Times New Roman" w:hAnsi="Times New Roman" w:eastAsia="Times New Roman" w:cs="Times New Roman"/>
          <w:sz w:val="23"/>
          <w:szCs w:val="23"/>
        </w:rPr>
      </w:pPr>
      <w:r>
        <w:rPr>
          <w:rFonts w:ascii="SimSun" w:hAnsi="SimSun" w:eastAsia="SimSun" w:cs="SimSun"/>
          <w:sz w:val="23"/>
          <w:szCs w:val="23"/>
          <w:spacing w:val="24"/>
        </w:rPr>
        <w:t>产废水、初期雨水、蒸汽发生器废水进入厂区自建污水处理站(处理工艺为</w:t>
      </w:r>
      <w:r>
        <w:rPr>
          <w:rFonts w:ascii="SimSun" w:hAnsi="SimSun" w:eastAsia="SimSun" w:cs="SimSun"/>
          <w:sz w:val="23"/>
          <w:szCs w:val="23"/>
          <w:spacing w:val="14"/>
        </w:rPr>
        <w:t xml:space="preserve"> </w:t>
      </w:r>
      <w:r>
        <w:rPr>
          <w:rFonts w:ascii="SimSun" w:hAnsi="SimSun" w:eastAsia="SimSun" w:cs="SimSun"/>
          <w:sz w:val="23"/>
          <w:szCs w:val="23"/>
          <w:spacing w:val="16"/>
        </w:rPr>
        <w:t>“格栅+调节+气浮+厌氧接触池+</w:t>
      </w:r>
      <w:r>
        <w:rPr>
          <w:rFonts w:ascii="Times New Roman" w:hAnsi="Times New Roman" w:eastAsia="Times New Roman" w:cs="Times New Roman"/>
          <w:sz w:val="23"/>
          <w:szCs w:val="23"/>
        </w:rPr>
        <w:t>AOAO</w:t>
      </w:r>
      <w:r>
        <w:rPr>
          <w:rFonts w:ascii="Times New Roman" w:hAnsi="Times New Roman" w:eastAsia="Times New Roman" w:cs="Times New Roman"/>
          <w:sz w:val="23"/>
          <w:szCs w:val="23"/>
          <w:spacing w:val="16"/>
        </w:rPr>
        <w:t>+</w:t>
      </w:r>
      <w:r>
        <w:rPr>
          <w:rFonts w:ascii="Times New Roman" w:hAnsi="Times New Roman" w:eastAsia="Times New Roman" w:cs="Times New Roman"/>
          <w:sz w:val="23"/>
          <w:szCs w:val="23"/>
          <w:spacing w:val="-19"/>
        </w:rPr>
        <w:t xml:space="preserve"> </w:t>
      </w:r>
      <w:r>
        <w:rPr>
          <w:rFonts w:ascii="SimSun" w:hAnsi="SimSun" w:eastAsia="SimSun" w:cs="SimSun"/>
          <w:sz w:val="23"/>
          <w:szCs w:val="23"/>
          <w:spacing w:val="16"/>
        </w:rPr>
        <w:t>沉淀+消</w:t>
      </w:r>
      <w:r>
        <w:rPr>
          <w:rFonts w:ascii="SimSun" w:hAnsi="SimSun" w:eastAsia="SimSun" w:cs="SimSun"/>
          <w:sz w:val="23"/>
          <w:szCs w:val="23"/>
          <w:spacing w:val="15"/>
        </w:rPr>
        <w:t>毒”,处理能力为1100</w:t>
      </w:r>
      <w:r>
        <w:rPr>
          <w:rFonts w:ascii="Times New Roman" w:hAnsi="Times New Roman" w:eastAsia="Times New Roman" w:cs="Times New Roman"/>
          <w:sz w:val="23"/>
          <w:szCs w:val="23"/>
          <w:spacing w:val="15"/>
        </w:rPr>
        <w:t>m³/d)</w:t>
      </w:r>
    </w:p>
    <w:p>
      <w:pPr>
        <w:ind w:left="79" w:right="202" w:firstLine="115"/>
        <w:spacing w:before="26" w:line="376" w:lineRule="auto"/>
        <w:tabs>
          <w:tab w:val="left" w:pos="193"/>
        </w:tabs>
        <w:rPr>
          <w:rFonts w:ascii="SimSun" w:hAnsi="SimSun" w:eastAsia="SimSun" w:cs="SimSun"/>
          <w:sz w:val="23"/>
          <w:szCs w:val="23"/>
        </w:rPr>
      </w:pPr>
      <w:r>
        <w:rPr>
          <w:rFonts w:ascii="SimSun" w:hAnsi="SimSun" w:eastAsia="SimSun" w:cs="SimSun"/>
          <w:sz w:val="23"/>
          <w:szCs w:val="23"/>
          <w:spacing w:val="13"/>
        </w:rPr>
        <w:t>处理达到《肉类加工工业水污染物排放标准》</w:t>
      </w:r>
      <w:r>
        <w:rPr>
          <w:rFonts w:ascii="SimSun" w:hAnsi="SimSun" w:eastAsia="SimSun" w:cs="SimSun"/>
          <w:sz w:val="23"/>
          <w:szCs w:val="23"/>
          <w:spacing w:val="75"/>
        </w:rPr>
        <w:t xml:space="preserve"> </w:t>
      </w:r>
      <w:r>
        <w:rPr>
          <w:rFonts w:ascii="Times New Roman" w:hAnsi="Times New Roman" w:eastAsia="Times New Roman" w:cs="Times New Roman"/>
          <w:sz w:val="23"/>
          <w:szCs w:val="23"/>
          <w:spacing w:val="13"/>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13"/>
        </w:rPr>
        <w:t>13457-92)    </w:t>
      </w:r>
      <w:r>
        <w:rPr>
          <w:rFonts w:ascii="SimSun" w:hAnsi="SimSun" w:eastAsia="SimSun" w:cs="SimSun"/>
          <w:sz w:val="23"/>
          <w:szCs w:val="23"/>
          <w:spacing w:val="12"/>
        </w:rPr>
        <w:t>表3中(畜类屠</w:t>
      </w:r>
      <w:r>
        <w:rPr>
          <w:rFonts w:ascii="SimSun" w:hAnsi="SimSun" w:eastAsia="SimSun" w:cs="SimSun"/>
          <w:sz w:val="23"/>
          <w:szCs w:val="23"/>
        </w:rPr>
        <w:t xml:space="preserve"> </w:t>
      </w:r>
      <w:r>
        <w:rPr>
          <w:rFonts w:ascii="SimSun" w:hAnsi="SimSun" w:eastAsia="SimSun" w:cs="SimSun"/>
          <w:sz w:val="23"/>
          <w:szCs w:val="23"/>
          <w:spacing w:val="20"/>
        </w:rPr>
        <w:t>宰加工)三级标准后，与生活污水一同经厂区总排口排至园区污水管网，经管</w:t>
      </w:r>
      <w:r>
        <w:rPr>
          <w:rFonts w:ascii="SimSun" w:hAnsi="SimSun" w:eastAsia="SimSun" w:cs="SimSun"/>
          <w:sz w:val="23"/>
          <w:szCs w:val="23"/>
          <w:spacing w:val="11"/>
        </w:rPr>
        <w:t xml:space="preserve"> </w:t>
      </w:r>
      <w:r>
        <w:rPr>
          <w:rFonts w:ascii="SimSun" w:hAnsi="SimSun" w:eastAsia="SimSun" w:cs="SimSun"/>
          <w:sz w:val="23"/>
          <w:szCs w:val="23"/>
          <w:spacing w:val="19"/>
        </w:rPr>
        <w:t>网引至安州区第三污水处理厂处理，</w:t>
      </w:r>
      <w:r>
        <w:rPr>
          <w:rFonts w:ascii="SimSun" w:hAnsi="SimSun" w:eastAsia="SimSun" w:cs="SimSun"/>
          <w:sz w:val="23"/>
          <w:szCs w:val="23"/>
        </w:rPr>
        <w:t>CODcr</w:t>
      </w:r>
      <w:r>
        <w:rPr>
          <w:rFonts w:ascii="SimSun" w:hAnsi="SimSun" w:eastAsia="SimSun" w:cs="SimSun"/>
          <w:sz w:val="23"/>
          <w:szCs w:val="23"/>
          <w:spacing w:val="19"/>
        </w:rPr>
        <w:t>、</w:t>
      </w:r>
      <w:r>
        <w:rPr>
          <w:rFonts w:ascii="SimSun" w:hAnsi="SimSun" w:eastAsia="SimSun" w:cs="SimSun"/>
          <w:sz w:val="23"/>
          <w:szCs w:val="23"/>
        </w:rPr>
        <w:t>BOD</w:t>
      </w:r>
      <w:r>
        <w:rPr>
          <w:rFonts w:ascii="Calibri" w:hAnsi="Calibri" w:eastAsia="Calibri" w:cs="Calibri"/>
          <w:sz w:val="23"/>
          <w:szCs w:val="23"/>
          <w:spacing w:val="19"/>
        </w:rPr>
        <w:t>₅</w:t>
      </w:r>
      <w:r>
        <w:rPr>
          <w:rFonts w:ascii="Calibri" w:hAnsi="Calibri" w:eastAsia="Calibri" w:cs="Calibri"/>
          <w:sz w:val="23"/>
          <w:szCs w:val="23"/>
          <w:spacing w:val="-11"/>
        </w:rPr>
        <w:t xml:space="preserve"> </w:t>
      </w:r>
      <w:r>
        <w:rPr>
          <w:rFonts w:ascii="SimSun" w:hAnsi="SimSun" w:eastAsia="SimSun" w:cs="SimSun"/>
          <w:sz w:val="23"/>
          <w:szCs w:val="23"/>
          <w:spacing w:val="19"/>
        </w:rPr>
        <w:t>、</w:t>
      </w:r>
      <w:r>
        <w:rPr>
          <w:rFonts w:ascii="SimSun" w:hAnsi="SimSun" w:eastAsia="SimSun" w:cs="SimSun"/>
          <w:sz w:val="23"/>
          <w:szCs w:val="23"/>
          <w:spacing w:val="9"/>
        </w:rPr>
        <w:t xml:space="preserve">   </w:t>
      </w:r>
      <w:r>
        <w:rPr>
          <w:rFonts w:ascii="SimSun" w:hAnsi="SimSun" w:eastAsia="SimSun" w:cs="SimSun"/>
          <w:sz w:val="23"/>
          <w:szCs w:val="23"/>
          <w:spacing w:val="19"/>
        </w:rPr>
        <w:t>氨氮、总氮、指标达到</w:t>
      </w:r>
      <w:r>
        <w:rPr>
          <w:rFonts w:ascii="SimSun" w:hAnsi="SimSun" w:eastAsia="SimSun" w:cs="SimSun"/>
          <w:sz w:val="23"/>
          <w:szCs w:val="23"/>
        </w:rPr>
        <w:t xml:space="preserve"> </w:t>
      </w:r>
      <w:r>
        <w:rPr>
          <w:rFonts w:ascii="SimSun" w:hAnsi="SimSun" w:eastAsia="SimSun" w:cs="SimSun"/>
          <w:sz w:val="23"/>
          <w:szCs w:val="23"/>
          <w:spacing w:val="5"/>
        </w:rPr>
        <w:t>《四川省岷江、沱江流域水污染物排放标准》</w:t>
      </w:r>
      <w:r>
        <w:rPr>
          <w:rFonts w:ascii="SimSun" w:hAnsi="SimSun" w:eastAsia="SimSun" w:cs="SimSun"/>
          <w:sz w:val="23"/>
          <w:szCs w:val="23"/>
          <w:spacing w:val="76"/>
        </w:rPr>
        <w:t xml:space="preserve"> </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DB</w:t>
      </w:r>
      <w:r>
        <w:rPr>
          <w:rFonts w:ascii="Times New Roman" w:hAnsi="Times New Roman" w:eastAsia="Times New Roman" w:cs="Times New Roman"/>
          <w:sz w:val="23"/>
          <w:szCs w:val="23"/>
          <w:spacing w:val="5"/>
        </w:rPr>
        <w:t>51/2311</w:t>
      </w:r>
      <w:r>
        <w:rPr>
          <w:rFonts w:ascii="Times New Roman" w:hAnsi="Times New Roman" w:eastAsia="Times New Roman" w:cs="Times New Roman"/>
          <w:sz w:val="23"/>
          <w:szCs w:val="23"/>
          <w:spacing w:val="4"/>
        </w:rPr>
        <w:t>-2016)     </w:t>
      </w:r>
      <w:r>
        <w:rPr>
          <w:rFonts w:ascii="SimSun" w:hAnsi="SimSun" w:eastAsia="SimSun" w:cs="SimSun"/>
          <w:sz w:val="23"/>
          <w:szCs w:val="23"/>
          <w:spacing w:val="4"/>
        </w:rPr>
        <w:t>表1中工业园</w:t>
      </w:r>
      <w:r>
        <w:rPr>
          <w:rFonts w:ascii="SimSun" w:hAnsi="SimSun" w:eastAsia="SimSun" w:cs="SimSun"/>
          <w:sz w:val="23"/>
          <w:szCs w:val="23"/>
        </w:rPr>
        <w:t xml:space="preserve"> </w:t>
      </w:r>
      <w:r>
        <w:rPr>
          <w:rFonts w:ascii="SimSun" w:hAnsi="SimSun" w:eastAsia="SimSun" w:cs="SimSun"/>
          <w:sz w:val="23"/>
          <w:szCs w:val="23"/>
          <w:spacing w:val="25"/>
        </w:rPr>
        <w:t>区集中式污水处理厂排放标准限值，总磷指标达到《地表水</w:t>
      </w:r>
      <w:r>
        <w:rPr>
          <w:rFonts w:ascii="SimSun" w:hAnsi="SimSun" w:eastAsia="SimSun" w:cs="SimSun"/>
          <w:sz w:val="23"/>
          <w:szCs w:val="23"/>
          <w:spacing w:val="24"/>
        </w:rPr>
        <w:t>环境质量标准》</w:t>
      </w:r>
      <w:r>
        <w:rPr>
          <w:rFonts w:ascii="SimSun" w:hAnsi="SimSun" w:eastAsia="SimSun" w:cs="SimSun"/>
          <w:sz w:val="23"/>
          <w:szCs w:val="23"/>
        </w:rPr>
        <w:t xml:space="preserve"> </w:t>
      </w:r>
      <w:r>
        <w:rPr>
          <w:rFonts w:ascii="Times New Roman" w:hAnsi="Times New Roman" w:eastAsia="Times New Roman" w:cs="Times New Roman"/>
          <w:sz w:val="23"/>
          <w:szCs w:val="23"/>
        </w:rPr>
        <w:tab/>
      </w:r>
      <w:r>
        <w:rPr>
          <w:rFonts w:ascii="Times New Roman" w:hAnsi="Times New Roman" w:eastAsia="Times New Roman" w:cs="Times New Roman"/>
          <w:sz w:val="23"/>
          <w:szCs w:val="23"/>
          <w:spacing w:val="11"/>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11"/>
        </w:rPr>
        <w:t>3838-2002)Ⅲ     </w:t>
      </w:r>
      <w:r>
        <w:rPr>
          <w:rFonts w:ascii="SimSun" w:hAnsi="SimSun" w:eastAsia="SimSun" w:cs="SimSun"/>
          <w:sz w:val="23"/>
          <w:szCs w:val="23"/>
          <w:spacing w:val="11"/>
        </w:rPr>
        <w:t>类水质标准，其余指标达到《城镇污水处理厂污染物排放</w:t>
      </w:r>
      <w:r>
        <w:rPr>
          <w:rFonts w:ascii="SimSun" w:hAnsi="SimSun" w:eastAsia="SimSun" w:cs="SimSun"/>
          <w:sz w:val="23"/>
          <w:szCs w:val="23"/>
        </w:rPr>
        <w:t xml:space="preserve">  </w:t>
      </w:r>
      <w:r>
        <w:rPr>
          <w:rFonts w:ascii="SimSun" w:hAnsi="SimSun" w:eastAsia="SimSun" w:cs="SimSun"/>
          <w:sz w:val="23"/>
          <w:szCs w:val="23"/>
          <w:spacing w:val="2"/>
        </w:rPr>
        <w:t>标准》</w:t>
      </w:r>
      <w:r>
        <w:rPr>
          <w:rFonts w:ascii="SimSun" w:hAnsi="SimSun" w:eastAsia="SimSun" w:cs="SimSun"/>
          <w:sz w:val="23"/>
          <w:szCs w:val="23"/>
          <w:spacing w:val="82"/>
        </w:rPr>
        <w:t xml:space="preserve"> </w:t>
      </w:r>
      <w:r>
        <w:rPr>
          <w:rFonts w:ascii="Times New Roman" w:hAnsi="Times New Roman" w:eastAsia="Times New Roman" w:cs="Times New Roman"/>
          <w:sz w:val="23"/>
          <w:szCs w:val="23"/>
          <w:spacing w:val="2"/>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2"/>
        </w:rPr>
        <w:t>18918-2002)     </w:t>
      </w:r>
      <w:r>
        <w:rPr>
          <w:rFonts w:ascii="SimSun" w:hAnsi="SimSun" w:eastAsia="SimSun" w:cs="SimSun"/>
          <w:sz w:val="23"/>
          <w:szCs w:val="23"/>
          <w:spacing w:val="2"/>
        </w:rPr>
        <w:t>一</w:t>
      </w:r>
      <w:r>
        <w:rPr>
          <w:rFonts w:ascii="SimSun" w:hAnsi="SimSun" w:eastAsia="SimSun" w:cs="SimSun"/>
          <w:sz w:val="23"/>
          <w:szCs w:val="23"/>
          <w:spacing w:val="-45"/>
        </w:rPr>
        <w:t xml:space="preserve"> </w:t>
      </w:r>
      <w:r>
        <w:rPr>
          <w:rFonts w:ascii="SimSun" w:hAnsi="SimSun" w:eastAsia="SimSun" w:cs="SimSun"/>
          <w:sz w:val="23"/>
          <w:szCs w:val="23"/>
          <w:spacing w:val="2"/>
        </w:rPr>
        <w:t>级</w:t>
      </w:r>
      <w:r>
        <w:rPr>
          <w:rFonts w:ascii="Times New Roman" w:hAnsi="Times New Roman" w:eastAsia="Times New Roman" w:cs="Times New Roman"/>
          <w:sz w:val="23"/>
          <w:szCs w:val="23"/>
          <w:spacing w:val="2"/>
        </w:rPr>
        <w:t>A</w:t>
      </w:r>
      <w:r>
        <w:rPr>
          <w:rFonts w:ascii="SimSun" w:hAnsi="SimSun" w:eastAsia="SimSun" w:cs="SimSun"/>
          <w:sz w:val="23"/>
          <w:szCs w:val="23"/>
          <w:spacing w:val="2"/>
        </w:rPr>
        <w:t>标准后，排入涪江。</w:t>
      </w:r>
    </w:p>
    <w:p>
      <w:pPr>
        <w:ind w:left="658"/>
        <w:spacing w:before="39" w:line="219" w:lineRule="auto"/>
        <w:rPr>
          <w:rFonts w:ascii="SimSun" w:hAnsi="SimSun" w:eastAsia="SimSun" w:cs="SimSun"/>
          <w:sz w:val="23"/>
          <w:szCs w:val="23"/>
        </w:rPr>
      </w:pPr>
      <w:r>
        <w:rPr>
          <w:rFonts w:ascii="SimSun" w:hAnsi="SimSun" w:eastAsia="SimSun" w:cs="SimSun"/>
          <w:sz w:val="23"/>
          <w:szCs w:val="23"/>
          <w:b/>
          <w:bCs/>
          <w:spacing w:val="8"/>
        </w:rPr>
        <w:t>4、建设项目污染物排放信息</w:t>
      </w:r>
    </w:p>
    <w:p>
      <w:pPr>
        <w:ind w:left="665"/>
        <w:spacing w:before="209" w:line="219" w:lineRule="auto"/>
        <w:rPr>
          <w:rFonts w:ascii="SimSun" w:hAnsi="SimSun" w:eastAsia="SimSun" w:cs="SimSun"/>
          <w:sz w:val="23"/>
          <w:szCs w:val="23"/>
        </w:rPr>
      </w:pPr>
      <w:r>
        <w:rPr>
          <w:rFonts w:ascii="SimSun" w:hAnsi="SimSun" w:eastAsia="SimSun" w:cs="SimSun"/>
          <w:sz w:val="23"/>
          <w:szCs w:val="23"/>
          <w:spacing w:val="9"/>
        </w:rPr>
        <w:t>项目废水类别、污染物及污染治理设施信息废水排放口基本情况见下表。</w:t>
      </w:r>
    </w:p>
    <w:p>
      <w:pPr>
        <w:ind w:left="1129"/>
        <w:spacing w:before="236" w:line="219" w:lineRule="auto"/>
        <w:rPr>
          <w:rFonts w:ascii="SimSun" w:hAnsi="SimSun" w:eastAsia="SimSun" w:cs="SimSun"/>
          <w:sz w:val="23"/>
          <w:szCs w:val="23"/>
        </w:rPr>
      </w:pPr>
      <w:r>
        <w:drawing>
          <wp:anchor distT="0" distB="0" distL="0" distR="0" simplePos="0" relativeHeight="252356608" behindDoc="0" locked="0" layoutInCell="1" allowOverlap="1">
            <wp:simplePos x="0" y="0"/>
            <wp:positionH relativeFrom="column">
              <wp:posOffset>22232</wp:posOffset>
            </wp:positionH>
            <wp:positionV relativeFrom="paragraph">
              <wp:posOffset>288173</wp:posOffset>
            </wp:positionV>
            <wp:extent cx="5486393" cy="7302"/>
            <wp:effectExtent l="0" t="0" r="0" b="0"/>
            <wp:wrapNone/>
            <wp:docPr id="70" name="IM 70"/>
            <wp:cNvGraphicFramePr/>
            <a:graphic>
              <a:graphicData uri="http://schemas.openxmlformats.org/drawingml/2006/picture">
                <pic:pic>
                  <pic:nvPicPr>
                    <pic:cNvPr id="70" name="IM 70"/>
                    <pic:cNvPicPr/>
                  </pic:nvPicPr>
                  <pic:blipFill>
                    <a:blip r:embed="rId298"/>
                    <a:stretch>
                      <a:fillRect/>
                    </a:stretch>
                  </pic:blipFill>
                  <pic:spPr>
                    <a:xfrm rot="0">
                      <a:off x="0" y="0"/>
                      <a:ext cx="5486393" cy="7302"/>
                    </a:xfrm>
                    <a:prstGeom prst="rect">
                      <a:avLst/>
                    </a:prstGeom>
                  </pic:spPr>
                </pic:pic>
              </a:graphicData>
            </a:graphic>
          </wp:anchor>
        </w:drawing>
      </w:r>
      <w:r>
        <w:rPr>
          <w:rFonts w:ascii="SimSun" w:hAnsi="SimSun" w:eastAsia="SimSun" w:cs="SimSun"/>
          <w:sz w:val="23"/>
          <w:szCs w:val="23"/>
          <w:b/>
          <w:bCs/>
          <w:spacing w:val="-16"/>
        </w:rPr>
        <w:t>表</w:t>
      </w:r>
      <w:r>
        <w:rPr>
          <w:rFonts w:ascii="SimSun" w:hAnsi="SimSun" w:eastAsia="SimSun" w:cs="SimSun"/>
          <w:sz w:val="23"/>
          <w:szCs w:val="23"/>
          <w:spacing w:val="-36"/>
        </w:rPr>
        <w:t xml:space="preserve"> </w:t>
      </w:r>
      <w:r>
        <w:rPr>
          <w:rFonts w:ascii="SimSun" w:hAnsi="SimSun" w:eastAsia="SimSun" w:cs="SimSun"/>
          <w:sz w:val="23"/>
          <w:szCs w:val="23"/>
          <w:b/>
          <w:bCs/>
          <w:spacing w:val="-16"/>
        </w:rPr>
        <w:t>3</w:t>
      </w:r>
      <w:r>
        <w:rPr>
          <w:rFonts w:ascii="SimSun" w:hAnsi="SimSun" w:eastAsia="SimSun" w:cs="SimSun"/>
          <w:sz w:val="23"/>
          <w:szCs w:val="23"/>
          <w:spacing w:val="-33"/>
        </w:rPr>
        <w:t xml:space="preserve"> </w:t>
      </w:r>
      <w:r>
        <w:rPr>
          <w:rFonts w:ascii="SimSun" w:hAnsi="SimSun" w:eastAsia="SimSun" w:cs="SimSun"/>
          <w:sz w:val="23"/>
          <w:szCs w:val="23"/>
          <w:b/>
          <w:bCs/>
          <w:spacing w:val="-16"/>
        </w:rPr>
        <w:t>.</w:t>
      </w:r>
      <w:r>
        <w:rPr>
          <w:rFonts w:ascii="SimSun" w:hAnsi="SimSun" w:eastAsia="SimSun" w:cs="SimSun"/>
          <w:sz w:val="23"/>
          <w:szCs w:val="23"/>
          <w:spacing w:val="-16"/>
        </w:rPr>
        <w:t xml:space="preserve"> </w:t>
      </w:r>
      <w:r>
        <w:rPr>
          <w:rFonts w:ascii="SimSun" w:hAnsi="SimSun" w:eastAsia="SimSun" w:cs="SimSun"/>
          <w:sz w:val="23"/>
          <w:szCs w:val="23"/>
          <w:b/>
          <w:bCs/>
          <w:spacing w:val="-16"/>
        </w:rPr>
        <w:t>1</w:t>
      </w:r>
      <w:r>
        <w:rPr>
          <w:rFonts w:ascii="SimSun" w:hAnsi="SimSun" w:eastAsia="SimSun" w:cs="SimSun"/>
          <w:sz w:val="23"/>
          <w:szCs w:val="23"/>
          <w:spacing w:val="-23"/>
        </w:rPr>
        <w:t xml:space="preserve"> </w:t>
      </w:r>
      <w:r>
        <w:rPr>
          <w:rFonts w:ascii="SimSun" w:hAnsi="SimSun" w:eastAsia="SimSun" w:cs="SimSun"/>
          <w:sz w:val="23"/>
          <w:szCs w:val="23"/>
          <w:b/>
          <w:bCs/>
          <w:spacing w:val="-16"/>
        </w:rPr>
        <w:t>1</w:t>
      </w:r>
      <w:r>
        <w:rPr>
          <w:rFonts w:ascii="SimSun" w:hAnsi="SimSun" w:eastAsia="SimSun" w:cs="SimSun"/>
          <w:sz w:val="23"/>
          <w:szCs w:val="23"/>
          <w:spacing w:val="-42"/>
        </w:rPr>
        <w:t xml:space="preserve"> </w:t>
      </w:r>
      <w:r>
        <w:rPr>
          <w:rFonts w:ascii="SimSun" w:hAnsi="SimSun" w:eastAsia="SimSun" w:cs="SimSun"/>
          <w:sz w:val="23"/>
          <w:szCs w:val="23"/>
          <w:b/>
          <w:bCs/>
          <w:spacing w:val="-16"/>
        </w:rPr>
        <w:t>-</w:t>
      </w:r>
      <w:r>
        <w:rPr>
          <w:rFonts w:ascii="SimSun" w:hAnsi="SimSun" w:eastAsia="SimSun" w:cs="SimSun"/>
          <w:sz w:val="23"/>
          <w:szCs w:val="23"/>
          <w:spacing w:val="-23"/>
        </w:rPr>
        <w:t xml:space="preserve"> </w:t>
      </w:r>
      <w:r>
        <w:rPr>
          <w:rFonts w:ascii="SimSun" w:hAnsi="SimSun" w:eastAsia="SimSun" w:cs="SimSun"/>
          <w:sz w:val="23"/>
          <w:szCs w:val="23"/>
          <w:b/>
          <w:bCs/>
          <w:spacing w:val="-16"/>
        </w:rPr>
        <w:t>1</w:t>
      </w:r>
      <w:r>
        <w:rPr>
          <w:rFonts w:ascii="SimSun" w:hAnsi="SimSun" w:eastAsia="SimSun" w:cs="SimSun"/>
          <w:sz w:val="23"/>
          <w:szCs w:val="23"/>
          <w:spacing w:val="-23"/>
        </w:rPr>
        <w:t xml:space="preserve"> </w:t>
      </w:r>
      <w:r>
        <w:rPr>
          <w:rFonts w:ascii="SimSun" w:hAnsi="SimSun" w:eastAsia="SimSun" w:cs="SimSun"/>
          <w:sz w:val="23"/>
          <w:szCs w:val="23"/>
          <w:b/>
          <w:bCs/>
          <w:spacing w:val="-16"/>
        </w:rPr>
        <w:t>1</w:t>
      </w:r>
      <w:r>
        <w:rPr>
          <w:rFonts w:ascii="SimSun" w:hAnsi="SimSun" w:eastAsia="SimSun" w:cs="SimSun"/>
          <w:sz w:val="23"/>
          <w:szCs w:val="23"/>
          <w:spacing w:val="-41"/>
        </w:rPr>
        <w:t xml:space="preserve"> </w:t>
      </w:r>
      <w:r>
        <w:rPr>
          <w:rFonts w:ascii="SimSun" w:hAnsi="SimSun" w:eastAsia="SimSun" w:cs="SimSun"/>
          <w:sz w:val="23"/>
          <w:szCs w:val="23"/>
          <w:b/>
          <w:bCs/>
          <w:spacing w:val="-16"/>
        </w:rPr>
        <w:t>废</w:t>
      </w:r>
      <w:r>
        <w:rPr>
          <w:rFonts w:ascii="SimSun" w:hAnsi="SimSun" w:eastAsia="SimSun" w:cs="SimSun"/>
          <w:sz w:val="23"/>
          <w:szCs w:val="23"/>
          <w:spacing w:val="-37"/>
        </w:rPr>
        <w:t xml:space="preserve"> </w:t>
      </w:r>
      <w:r>
        <w:rPr>
          <w:rFonts w:ascii="SimSun" w:hAnsi="SimSun" w:eastAsia="SimSun" w:cs="SimSun"/>
          <w:sz w:val="23"/>
          <w:szCs w:val="23"/>
          <w:b/>
          <w:bCs/>
          <w:spacing w:val="-16"/>
        </w:rPr>
        <w:t>水</w:t>
      </w:r>
      <w:r>
        <w:rPr>
          <w:rFonts w:ascii="SimSun" w:hAnsi="SimSun" w:eastAsia="SimSun" w:cs="SimSun"/>
          <w:sz w:val="23"/>
          <w:szCs w:val="23"/>
          <w:spacing w:val="-40"/>
        </w:rPr>
        <w:t xml:space="preserve"> </w:t>
      </w:r>
      <w:r>
        <w:rPr>
          <w:rFonts w:ascii="SimSun" w:hAnsi="SimSun" w:eastAsia="SimSun" w:cs="SimSun"/>
          <w:sz w:val="23"/>
          <w:szCs w:val="23"/>
          <w:b/>
          <w:bCs/>
          <w:spacing w:val="-16"/>
        </w:rPr>
        <w:t>类</w:t>
      </w:r>
      <w:r>
        <w:rPr>
          <w:rFonts w:ascii="SimSun" w:hAnsi="SimSun" w:eastAsia="SimSun" w:cs="SimSun"/>
          <w:sz w:val="23"/>
          <w:szCs w:val="23"/>
          <w:spacing w:val="-37"/>
        </w:rPr>
        <w:t xml:space="preserve"> </w:t>
      </w:r>
      <w:r>
        <w:rPr>
          <w:rFonts w:ascii="SimSun" w:hAnsi="SimSun" w:eastAsia="SimSun" w:cs="SimSun"/>
          <w:sz w:val="23"/>
          <w:szCs w:val="23"/>
          <w:b/>
          <w:bCs/>
          <w:spacing w:val="-16"/>
        </w:rPr>
        <w:t>别</w:t>
      </w:r>
      <w:r>
        <w:rPr>
          <w:rFonts w:ascii="SimSun" w:hAnsi="SimSun" w:eastAsia="SimSun" w:cs="SimSun"/>
          <w:sz w:val="23"/>
          <w:szCs w:val="23"/>
          <w:spacing w:val="-23"/>
        </w:rPr>
        <w:t xml:space="preserve"> </w:t>
      </w:r>
      <w:r>
        <w:rPr>
          <w:rFonts w:ascii="SimSun" w:hAnsi="SimSun" w:eastAsia="SimSun" w:cs="SimSun"/>
          <w:sz w:val="23"/>
          <w:szCs w:val="23"/>
          <w:b/>
          <w:bCs/>
          <w:spacing w:val="-16"/>
        </w:rPr>
        <w:t>、</w:t>
      </w:r>
      <w:r>
        <w:rPr>
          <w:rFonts w:ascii="SimSun" w:hAnsi="SimSun" w:eastAsia="SimSun" w:cs="SimSun"/>
          <w:sz w:val="23"/>
          <w:szCs w:val="23"/>
          <w:spacing w:val="-38"/>
        </w:rPr>
        <w:t xml:space="preserve"> </w:t>
      </w:r>
      <w:r>
        <w:rPr>
          <w:rFonts w:ascii="SimSun" w:hAnsi="SimSun" w:eastAsia="SimSun" w:cs="SimSun"/>
          <w:sz w:val="23"/>
          <w:szCs w:val="23"/>
          <w:b/>
          <w:bCs/>
          <w:spacing w:val="-16"/>
        </w:rPr>
        <w:t>污</w:t>
      </w:r>
      <w:r>
        <w:rPr>
          <w:rFonts w:ascii="SimSun" w:hAnsi="SimSun" w:eastAsia="SimSun" w:cs="SimSun"/>
          <w:sz w:val="23"/>
          <w:szCs w:val="23"/>
          <w:spacing w:val="-37"/>
        </w:rPr>
        <w:t xml:space="preserve"> </w:t>
      </w:r>
      <w:r>
        <w:rPr>
          <w:rFonts w:ascii="SimSun" w:hAnsi="SimSun" w:eastAsia="SimSun" w:cs="SimSun"/>
          <w:sz w:val="23"/>
          <w:szCs w:val="23"/>
          <w:b/>
          <w:bCs/>
          <w:spacing w:val="-16"/>
        </w:rPr>
        <w:t>染</w:t>
      </w:r>
      <w:r>
        <w:rPr>
          <w:rFonts w:ascii="SimSun" w:hAnsi="SimSun" w:eastAsia="SimSun" w:cs="SimSun"/>
          <w:sz w:val="23"/>
          <w:szCs w:val="23"/>
          <w:spacing w:val="-39"/>
        </w:rPr>
        <w:t xml:space="preserve"> </w:t>
      </w:r>
      <w:r>
        <w:rPr>
          <w:rFonts w:ascii="SimSun" w:hAnsi="SimSun" w:eastAsia="SimSun" w:cs="SimSun"/>
          <w:sz w:val="23"/>
          <w:szCs w:val="23"/>
          <w:b/>
          <w:bCs/>
          <w:spacing w:val="-16"/>
        </w:rPr>
        <w:t>物</w:t>
      </w:r>
      <w:r>
        <w:rPr>
          <w:rFonts w:ascii="SimSun" w:hAnsi="SimSun" w:eastAsia="SimSun" w:cs="SimSun"/>
          <w:sz w:val="23"/>
          <w:szCs w:val="23"/>
          <w:spacing w:val="-41"/>
        </w:rPr>
        <w:t xml:space="preserve"> </w:t>
      </w:r>
      <w:r>
        <w:rPr>
          <w:rFonts w:ascii="SimSun" w:hAnsi="SimSun" w:eastAsia="SimSun" w:cs="SimSun"/>
          <w:sz w:val="23"/>
          <w:szCs w:val="23"/>
          <w:b/>
          <w:bCs/>
          <w:spacing w:val="-16"/>
        </w:rPr>
        <w:t>及</w:t>
      </w:r>
      <w:r>
        <w:rPr>
          <w:rFonts w:ascii="SimSun" w:hAnsi="SimSun" w:eastAsia="SimSun" w:cs="SimSun"/>
          <w:sz w:val="23"/>
          <w:szCs w:val="23"/>
          <w:spacing w:val="-38"/>
        </w:rPr>
        <w:t xml:space="preserve"> </w:t>
      </w:r>
      <w:r>
        <w:rPr>
          <w:rFonts w:ascii="SimSun" w:hAnsi="SimSun" w:eastAsia="SimSun" w:cs="SimSun"/>
          <w:sz w:val="23"/>
          <w:szCs w:val="23"/>
          <w:b/>
          <w:bCs/>
          <w:spacing w:val="-16"/>
        </w:rPr>
        <w:t>污</w:t>
      </w:r>
      <w:r>
        <w:rPr>
          <w:rFonts w:ascii="SimSun" w:hAnsi="SimSun" w:eastAsia="SimSun" w:cs="SimSun"/>
          <w:sz w:val="23"/>
          <w:szCs w:val="23"/>
          <w:spacing w:val="-37"/>
        </w:rPr>
        <w:t xml:space="preserve"> </w:t>
      </w:r>
      <w:r>
        <w:rPr>
          <w:rFonts w:ascii="SimSun" w:hAnsi="SimSun" w:eastAsia="SimSun" w:cs="SimSun"/>
          <w:sz w:val="23"/>
          <w:szCs w:val="23"/>
          <w:b/>
          <w:bCs/>
          <w:spacing w:val="-16"/>
        </w:rPr>
        <w:t>染</w:t>
      </w:r>
      <w:r>
        <w:rPr>
          <w:rFonts w:ascii="SimSun" w:hAnsi="SimSun" w:eastAsia="SimSun" w:cs="SimSun"/>
          <w:sz w:val="23"/>
          <w:szCs w:val="23"/>
          <w:spacing w:val="-34"/>
        </w:rPr>
        <w:t xml:space="preserve"> </w:t>
      </w:r>
      <w:r>
        <w:rPr>
          <w:rFonts w:ascii="SimSun" w:hAnsi="SimSun" w:eastAsia="SimSun" w:cs="SimSun"/>
          <w:sz w:val="23"/>
          <w:szCs w:val="23"/>
          <w:b/>
          <w:bCs/>
          <w:spacing w:val="-17"/>
        </w:rPr>
        <w:t>治</w:t>
      </w:r>
      <w:r>
        <w:rPr>
          <w:rFonts w:ascii="SimSun" w:hAnsi="SimSun" w:eastAsia="SimSun" w:cs="SimSun"/>
          <w:sz w:val="23"/>
          <w:szCs w:val="23"/>
          <w:spacing w:val="-37"/>
        </w:rPr>
        <w:t xml:space="preserve"> </w:t>
      </w:r>
      <w:r>
        <w:rPr>
          <w:rFonts w:ascii="SimSun" w:hAnsi="SimSun" w:eastAsia="SimSun" w:cs="SimSun"/>
          <w:sz w:val="23"/>
          <w:szCs w:val="23"/>
          <w:b/>
          <w:bCs/>
          <w:spacing w:val="-17"/>
        </w:rPr>
        <w:t>理</w:t>
      </w:r>
      <w:r>
        <w:rPr>
          <w:rFonts w:ascii="SimSun" w:hAnsi="SimSun" w:eastAsia="SimSun" w:cs="SimSun"/>
          <w:sz w:val="23"/>
          <w:szCs w:val="23"/>
          <w:spacing w:val="-36"/>
        </w:rPr>
        <w:t xml:space="preserve"> </w:t>
      </w:r>
      <w:r>
        <w:rPr>
          <w:rFonts w:ascii="SimSun" w:hAnsi="SimSun" w:eastAsia="SimSun" w:cs="SimSun"/>
          <w:sz w:val="23"/>
          <w:szCs w:val="23"/>
          <w:b/>
          <w:bCs/>
          <w:spacing w:val="-17"/>
        </w:rPr>
        <w:t>设</w:t>
      </w:r>
      <w:r>
        <w:rPr>
          <w:rFonts w:ascii="SimSun" w:hAnsi="SimSun" w:eastAsia="SimSun" w:cs="SimSun"/>
          <w:sz w:val="23"/>
          <w:szCs w:val="23"/>
          <w:spacing w:val="-41"/>
        </w:rPr>
        <w:t xml:space="preserve"> </w:t>
      </w:r>
      <w:r>
        <w:rPr>
          <w:rFonts w:ascii="SimSun" w:hAnsi="SimSun" w:eastAsia="SimSun" w:cs="SimSun"/>
          <w:sz w:val="23"/>
          <w:szCs w:val="23"/>
          <w:b/>
          <w:bCs/>
          <w:spacing w:val="-17"/>
        </w:rPr>
        <w:t>施</w:t>
      </w:r>
      <w:r>
        <w:rPr>
          <w:rFonts w:ascii="SimSun" w:hAnsi="SimSun" w:eastAsia="SimSun" w:cs="SimSun"/>
          <w:sz w:val="23"/>
          <w:szCs w:val="23"/>
          <w:spacing w:val="-40"/>
        </w:rPr>
        <w:t xml:space="preserve"> </w:t>
      </w:r>
      <w:r>
        <w:rPr>
          <w:rFonts w:ascii="SimSun" w:hAnsi="SimSun" w:eastAsia="SimSun" w:cs="SimSun"/>
          <w:sz w:val="23"/>
          <w:szCs w:val="23"/>
          <w:b/>
          <w:bCs/>
          <w:spacing w:val="-17"/>
        </w:rPr>
        <w:t>信</w:t>
      </w:r>
      <w:r>
        <w:rPr>
          <w:rFonts w:ascii="SimSun" w:hAnsi="SimSun" w:eastAsia="SimSun" w:cs="SimSun"/>
          <w:sz w:val="23"/>
          <w:szCs w:val="23"/>
          <w:spacing w:val="-30"/>
        </w:rPr>
        <w:t xml:space="preserve"> </w:t>
      </w:r>
      <w:r>
        <w:rPr>
          <w:rFonts w:ascii="SimSun" w:hAnsi="SimSun" w:eastAsia="SimSun" w:cs="SimSun"/>
          <w:sz w:val="23"/>
          <w:szCs w:val="23"/>
          <w:b/>
          <w:bCs/>
          <w:spacing w:val="-17"/>
        </w:rPr>
        <w:t>息</w:t>
      </w:r>
      <w:r>
        <w:rPr>
          <w:rFonts w:ascii="SimSun" w:hAnsi="SimSun" w:eastAsia="SimSun" w:cs="SimSun"/>
          <w:sz w:val="23"/>
          <w:szCs w:val="23"/>
          <w:spacing w:val="-41"/>
        </w:rPr>
        <w:t xml:space="preserve"> </w:t>
      </w:r>
      <w:r>
        <w:rPr>
          <w:rFonts w:ascii="SimSun" w:hAnsi="SimSun" w:eastAsia="SimSun" w:cs="SimSun"/>
          <w:sz w:val="23"/>
          <w:szCs w:val="23"/>
          <w:b/>
          <w:bCs/>
          <w:spacing w:val="-17"/>
        </w:rPr>
        <w:t>表</w:t>
      </w:r>
    </w:p>
    <w:p>
      <w:pPr>
        <w:ind w:left="85"/>
        <w:spacing w:before="25" w:line="238" w:lineRule="auto"/>
        <w:rPr>
          <w:rFonts w:ascii="SimSun" w:hAnsi="SimSun" w:eastAsia="SimSun" w:cs="SimSun"/>
          <w:sz w:val="23"/>
          <w:szCs w:val="23"/>
        </w:rPr>
      </w:pPr>
      <w:r>
        <w:drawing>
          <wp:anchor distT="0" distB="0" distL="0" distR="0" simplePos="0" relativeHeight="252355584" behindDoc="0" locked="0" layoutInCell="1" allowOverlap="1">
            <wp:simplePos x="0" y="0"/>
            <wp:positionH relativeFrom="column">
              <wp:posOffset>9527</wp:posOffset>
            </wp:positionH>
            <wp:positionV relativeFrom="paragraph">
              <wp:posOffset>235178</wp:posOffset>
            </wp:positionV>
            <wp:extent cx="5492747" cy="12725"/>
            <wp:effectExtent l="0" t="0" r="0" b="0"/>
            <wp:wrapNone/>
            <wp:docPr id="72" name="IM 72"/>
            <wp:cNvGraphicFramePr/>
            <a:graphic>
              <a:graphicData uri="http://schemas.openxmlformats.org/drawingml/2006/picture">
                <pic:pic>
                  <pic:nvPicPr>
                    <pic:cNvPr id="72" name="IM 72"/>
                    <pic:cNvPicPr/>
                  </pic:nvPicPr>
                  <pic:blipFill>
                    <a:blip r:embed="rId299"/>
                    <a:stretch>
                      <a:fillRect/>
                    </a:stretch>
                  </pic:blipFill>
                  <pic:spPr>
                    <a:xfrm rot="0">
                      <a:off x="0" y="0"/>
                      <a:ext cx="5492747" cy="12725"/>
                    </a:xfrm>
                    <a:prstGeom prst="rect">
                      <a:avLst/>
                    </a:prstGeom>
                  </pic:spPr>
                </pic:pic>
              </a:graphicData>
            </a:graphic>
          </wp:anchor>
        </w:drawing>
      </w:r>
      <w:r>
        <w:drawing>
          <wp:anchor distT="0" distB="0" distL="0" distR="0" simplePos="0" relativeHeight="252354560" behindDoc="1" locked="0" layoutInCell="1" allowOverlap="1">
            <wp:simplePos x="0" y="0"/>
            <wp:positionH relativeFrom="column">
              <wp:posOffset>225446</wp:posOffset>
            </wp:positionH>
            <wp:positionV relativeFrom="paragraph">
              <wp:posOffset>-6171</wp:posOffset>
            </wp:positionV>
            <wp:extent cx="4438636" cy="215899"/>
            <wp:effectExtent l="0" t="0" r="0" b="0"/>
            <wp:wrapNone/>
            <wp:docPr id="74" name="IM 74"/>
            <wp:cNvGraphicFramePr/>
            <a:graphic>
              <a:graphicData uri="http://schemas.openxmlformats.org/drawingml/2006/picture">
                <pic:pic>
                  <pic:nvPicPr>
                    <pic:cNvPr id="74" name="IM 74"/>
                    <pic:cNvPicPr/>
                  </pic:nvPicPr>
                  <pic:blipFill>
                    <a:blip r:embed="rId300"/>
                    <a:stretch>
                      <a:fillRect/>
                    </a:stretch>
                  </pic:blipFill>
                  <pic:spPr>
                    <a:xfrm rot="0">
                      <a:off x="0" y="0"/>
                      <a:ext cx="4438636" cy="215899"/>
                    </a:xfrm>
                    <a:prstGeom prst="rect">
                      <a:avLst/>
                    </a:prstGeom>
                  </pic:spPr>
                </pic:pic>
              </a:graphicData>
            </a:graphic>
          </wp:anchor>
        </w:drawing>
      </w:r>
      <w:r>
        <w:rPr>
          <w:rFonts w:ascii="SimHei" w:hAnsi="SimHei" w:eastAsia="SimHei" w:cs="SimHei"/>
          <w:sz w:val="28"/>
          <w:szCs w:val="28"/>
          <w:spacing w:val="-15"/>
          <w:position w:val="-7"/>
        </w:rPr>
        <w:t>序</w:t>
      </w:r>
      <w:r>
        <w:rPr>
          <w:rFonts w:ascii="SimHei" w:hAnsi="SimHei" w:eastAsia="SimHei" w:cs="SimHei"/>
          <w:sz w:val="28"/>
          <w:szCs w:val="28"/>
          <w:spacing w:val="17"/>
          <w:position w:val="-7"/>
        </w:rPr>
        <w:t xml:space="preserve">   </w:t>
      </w:r>
      <w:r>
        <w:rPr>
          <w:rFonts w:ascii="SimSun" w:hAnsi="SimSun" w:eastAsia="SimSun" w:cs="SimSun"/>
          <w:sz w:val="23"/>
          <w:szCs w:val="23"/>
          <w:b/>
          <w:bCs/>
          <w:spacing w:val="-15"/>
        </w:rPr>
        <w:t>废水</w:t>
      </w:r>
      <w:r>
        <w:rPr>
          <w:rFonts w:ascii="SimSun" w:hAnsi="SimSun" w:eastAsia="SimSun" w:cs="SimSun"/>
          <w:sz w:val="23"/>
          <w:szCs w:val="23"/>
          <w:spacing w:val="-15"/>
        </w:rPr>
        <w:t xml:space="preserve">      </w:t>
      </w:r>
      <w:r>
        <w:rPr>
          <w:rFonts w:ascii="SimSun" w:hAnsi="SimSun" w:eastAsia="SimSun" w:cs="SimSun"/>
          <w:sz w:val="23"/>
          <w:szCs w:val="23"/>
          <w:b/>
          <w:bCs/>
          <w:spacing w:val="-15"/>
        </w:rPr>
        <w:t>污染物</w:t>
      </w:r>
      <w:r>
        <w:rPr>
          <w:rFonts w:ascii="SimSun" w:hAnsi="SimSun" w:eastAsia="SimSun" w:cs="SimSun"/>
          <w:sz w:val="23"/>
          <w:szCs w:val="23"/>
          <w:spacing w:val="113"/>
        </w:rPr>
        <w:t xml:space="preserve"> </w:t>
      </w:r>
      <w:r>
        <w:rPr>
          <w:rFonts w:ascii="SimSun" w:hAnsi="SimSun" w:eastAsia="SimSun" w:cs="SimSun"/>
          <w:sz w:val="23"/>
          <w:szCs w:val="23"/>
          <w:b/>
          <w:bCs/>
          <w:spacing w:val="-15"/>
          <w:position w:val="1"/>
        </w:rPr>
        <w:t>排放|排放</w:t>
      </w:r>
      <w:r>
        <w:rPr>
          <w:rFonts w:ascii="SimSun" w:hAnsi="SimSun" w:eastAsia="SimSun" w:cs="SimSun"/>
          <w:sz w:val="23"/>
          <w:szCs w:val="23"/>
          <w:spacing w:val="-15"/>
          <w:position w:val="1"/>
        </w:rPr>
        <w:t xml:space="preserve">   </w:t>
      </w:r>
      <w:r>
        <w:rPr>
          <w:rFonts w:ascii="SimSun" w:hAnsi="SimSun" w:eastAsia="SimSun" w:cs="SimSun"/>
          <w:sz w:val="23"/>
          <w:szCs w:val="23"/>
          <w:spacing w:val="-16"/>
          <w:position w:val="1"/>
        </w:rPr>
        <w:t xml:space="preserve">      </w:t>
      </w:r>
      <w:r>
        <w:rPr>
          <w:rFonts w:ascii="SimSun" w:hAnsi="SimSun" w:eastAsia="SimSun" w:cs="SimSun"/>
          <w:sz w:val="23"/>
          <w:szCs w:val="23"/>
          <w:b/>
          <w:bCs/>
          <w:spacing w:val="-16"/>
          <w:position w:val="2"/>
        </w:rPr>
        <w:t>污染治理设施</w:t>
      </w:r>
      <w:r>
        <w:rPr>
          <w:rFonts w:ascii="SimSun" w:hAnsi="SimSun" w:eastAsia="SimSun" w:cs="SimSun"/>
          <w:sz w:val="23"/>
          <w:szCs w:val="23"/>
          <w:spacing w:val="-16"/>
          <w:position w:val="2"/>
        </w:rPr>
        <w:t xml:space="preserve">        </w:t>
      </w:r>
      <w:r>
        <w:rPr>
          <w:rFonts w:ascii="SimSun" w:hAnsi="SimSun" w:eastAsia="SimSun" w:cs="SimSun"/>
          <w:sz w:val="23"/>
          <w:szCs w:val="23"/>
          <w:b/>
          <w:bCs/>
          <w:spacing w:val="-16"/>
        </w:rPr>
        <w:t>排放口排放口排放口</w:t>
      </w:r>
    </w:p>
    <w:p>
      <w:pPr>
        <w:spacing w:line="238" w:lineRule="auto"/>
        <w:sectPr>
          <w:headerReference w:type="default" r:id="rId296"/>
          <w:footerReference w:type="default" r:id="rId297"/>
          <w:pgSz w:w="11910" w:h="16840"/>
          <w:pgMar w:top="1169" w:right="1622" w:bottom="940" w:left="1594" w:header="815" w:footer="732" w:gutter="0"/>
        </w:sectPr>
        <w:rPr>
          <w:rFonts w:ascii="SimSun" w:hAnsi="SimSun" w:eastAsia="SimSun" w:cs="SimSun"/>
          <w:sz w:val="23"/>
          <w:szCs w:val="23"/>
        </w:rPr>
      </w:pPr>
    </w:p>
    <w:p>
      <w:pPr>
        <w:spacing w:before="26"/>
        <w:rPr/>
      </w:pPr>
      <w:r/>
    </w:p>
    <w:tbl>
      <w:tblPr>
        <w:tblStyle w:val="TableNormal"/>
        <w:tblW w:w="8509" w:type="dxa"/>
        <w:tblInd w:w="7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95"/>
        <w:gridCol w:w="1318"/>
        <w:gridCol w:w="1039"/>
        <w:gridCol w:w="469"/>
        <w:gridCol w:w="629"/>
        <w:gridCol w:w="699"/>
        <w:gridCol w:w="859"/>
        <w:gridCol w:w="1249"/>
        <w:gridCol w:w="689"/>
        <w:gridCol w:w="629"/>
        <w:gridCol w:w="634"/>
      </w:tblGrid>
      <w:tr>
        <w:trPr>
          <w:trHeight w:val="832" w:hRule="atLeast"/>
        </w:trPr>
        <w:tc>
          <w:tcPr>
            <w:shd w:val="clear" w:fill="BDBDBD"/>
            <w:tcW w:w="295" w:type="dxa"/>
            <w:vAlign w:val="top"/>
          </w:tcPr>
          <w:p>
            <w:pPr>
              <w:pStyle w:val="TableText"/>
              <w:ind w:left="38"/>
              <w:spacing w:before="41" w:line="221" w:lineRule="auto"/>
              <w:rPr>
                <w:sz w:val="21"/>
                <w:szCs w:val="21"/>
              </w:rPr>
            </w:pPr>
            <w:r>
              <w:rPr>
                <w:sz w:val="21"/>
                <w:szCs w:val="21"/>
                <w:b/>
                <w:bCs/>
                <w:spacing w:val="-3"/>
              </w:rPr>
              <w:t>号</w:t>
            </w:r>
          </w:p>
        </w:tc>
        <w:tc>
          <w:tcPr>
            <w:shd w:val="clear" w:fill="BDBDBD"/>
            <w:tcW w:w="1318" w:type="dxa"/>
            <w:vAlign w:val="top"/>
          </w:tcPr>
          <w:p>
            <w:pPr>
              <w:pStyle w:val="TableText"/>
              <w:ind w:left="442"/>
              <w:spacing w:before="10" w:line="219" w:lineRule="auto"/>
              <w:rPr>
                <w:sz w:val="21"/>
                <w:szCs w:val="21"/>
              </w:rPr>
            </w:pPr>
            <w:r>
              <w:rPr>
                <w:sz w:val="21"/>
                <w:szCs w:val="21"/>
                <w:b/>
                <w:bCs/>
                <w:spacing w:val="-5"/>
              </w:rPr>
              <w:t>类别</w:t>
            </w:r>
          </w:p>
        </w:tc>
        <w:tc>
          <w:tcPr>
            <w:shd w:val="clear" w:fill="BDBDBD"/>
            <w:tcW w:w="1039" w:type="dxa"/>
            <w:vAlign w:val="top"/>
          </w:tcPr>
          <w:p>
            <w:pPr>
              <w:pStyle w:val="TableText"/>
              <w:ind w:left="305"/>
              <w:spacing w:before="40" w:line="219" w:lineRule="auto"/>
              <w:rPr>
                <w:sz w:val="21"/>
                <w:szCs w:val="21"/>
              </w:rPr>
            </w:pPr>
            <w:r>
              <w:rPr>
                <w:sz w:val="21"/>
                <w:szCs w:val="21"/>
                <w:b/>
                <w:bCs/>
                <w:spacing w:val="-5"/>
              </w:rPr>
              <w:t>种类</w:t>
            </w:r>
          </w:p>
        </w:tc>
        <w:tc>
          <w:tcPr>
            <w:shd w:val="clear" w:fill="BDBDBD"/>
            <w:tcW w:w="469" w:type="dxa"/>
            <w:vAlign w:val="top"/>
          </w:tcPr>
          <w:p>
            <w:pPr>
              <w:pStyle w:val="TableText"/>
              <w:ind w:left="15"/>
              <w:spacing w:before="41" w:line="221" w:lineRule="auto"/>
              <w:rPr>
                <w:sz w:val="21"/>
                <w:szCs w:val="21"/>
              </w:rPr>
            </w:pPr>
            <w:r>
              <w:rPr>
                <w:sz w:val="21"/>
                <w:szCs w:val="21"/>
                <w:b/>
                <w:bCs/>
                <w:spacing w:val="5"/>
              </w:rPr>
              <w:t>去向</w:t>
            </w:r>
          </w:p>
        </w:tc>
        <w:tc>
          <w:tcPr>
            <w:shd w:val="clear" w:fill="BDBDBD"/>
            <w:tcW w:w="629" w:type="dxa"/>
            <w:vAlign w:val="top"/>
          </w:tcPr>
          <w:p>
            <w:pPr>
              <w:pStyle w:val="TableText"/>
              <w:ind w:left="96"/>
              <w:spacing w:before="40" w:line="219" w:lineRule="auto"/>
              <w:rPr>
                <w:sz w:val="21"/>
                <w:szCs w:val="21"/>
              </w:rPr>
            </w:pPr>
            <w:r>
              <w:rPr>
                <w:sz w:val="21"/>
                <w:szCs w:val="21"/>
                <w:b/>
                <w:bCs/>
                <w:spacing w:val="-5"/>
              </w:rPr>
              <w:t>规律</w:t>
            </w:r>
          </w:p>
        </w:tc>
        <w:tc>
          <w:tcPr>
            <w:shd w:val="clear" w:fill="BDBDBD"/>
            <w:tcW w:w="699" w:type="dxa"/>
            <w:vAlign w:val="top"/>
          </w:tcPr>
          <w:p>
            <w:pPr>
              <w:pStyle w:val="TableText"/>
              <w:ind w:left="27"/>
              <w:spacing w:before="21" w:line="220" w:lineRule="auto"/>
              <w:rPr>
                <w:sz w:val="21"/>
                <w:szCs w:val="21"/>
              </w:rPr>
            </w:pPr>
            <w:r>
              <w:rPr>
                <w:sz w:val="21"/>
                <w:szCs w:val="21"/>
                <w:b/>
                <w:bCs/>
                <w:spacing w:val="1"/>
              </w:rPr>
              <w:t>污染治</w:t>
            </w:r>
          </w:p>
          <w:p>
            <w:pPr>
              <w:pStyle w:val="TableText"/>
              <w:ind w:left="27"/>
              <w:spacing w:before="41" w:line="209" w:lineRule="auto"/>
              <w:rPr>
                <w:sz w:val="21"/>
                <w:szCs w:val="21"/>
              </w:rPr>
            </w:pPr>
            <w:r>
              <w:rPr>
                <w:sz w:val="21"/>
                <w:szCs w:val="21"/>
                <w:b/>
                <w:bCs/>
                <w:spacing w:val="-5"/>
              </w:rPr>
              <w:t>理设施</w:t>
            </w:r>
          </w:p>
          <w:p>
            <w:pPr>
              <w:pStyle w:val="TableText"/>
              <w:ind w:left="137"/>
              <w:spacing w:line="219" w:lineRule="auto"/>
              <w:rPr>
                <w:sz w:val="21"/>
                <w:szCs w:val="21"/>
              </w:rPr>
            </w:pPr>
            <w:r>
              <w:rPr>
                <w:sz w:val="21"/>
                <w:szCs w:val="21"/>
                <w:b/>
                <w:bCs/>
                <w:spacing w:val="-5"/>
              </w:rPr>
              <w:t>编号</w:t>
            </w:r>
          </w:p>
        </w:tc>
        <w:tc>
          <w:tcPr>
            <w:shd w:val="clear" w:fill="BDBDBD"/>
            <w:tcW w:w="859" w:type="dxa"/>
            <w:vAlign w:val="top"/>
          </w:tcPr>
          <w:p>
            <w:pPr>
              <w:pStyle w:val="TableText"/>
              <w:spacing w:before="171" w:line="220" w:lineRule="auto"/>
              <w:jc w:val="right"/>
              <w:rPr>
                <w:sz w:val="21"/>
                <w:szCs w:val="21"/>
              </w:rPr>
            </w:pPr>
            <w:r>
              <w:rPr>
                <w:sz w:val="21"/>
                <w:szCs w:val="21"/>
                <w:b/>
                <w:bCs/>
                <w:spacing w:val="-5"/>
              </w:rPr>
              <w:t>污染治理</w:t>
            </w:r>
          </w:p>
          <w:p>
            <w:pPr>
              <w:pStyle w:val="TableText"/>
              <w:spacing w:before="20" w:line="221" w:lineRule="auto"/>
              <w:jc w:val="right"/>
              <w:rPr>
                <w:sz w:val="21"/>
                <w:szCs w:val="21"/>
              </w:rPr>
            </w:pPr>
            <w:r>
              <w:rPr>
                <w:sz w:val="21"/>
                <w:szCs w:val="21"/>
                <w:b/>
                <w:bCs/>
                <w:spacing w:val="-6"/>
              </w:rPr>
              <w:t>设施名称</w:t>
            </w:r>
          </w:p>
        </w:tc>
        <w:tc>
          <w:tcPr>
            <w:shd w:val="clear" w:fill="BDBDBD"/>
            <w:tcW w:w="1249" w:type="dxa"/>
            <w:vAlign w:val="top"/>
          </w:tcPr>
          <w:p>
            <w:pPr>
              <w:pStyle w:val="TableText"/>
              <w:ind w:left="100"/>
              <w:spacing w:before="171" w:line="220" w:lineRule="auto"/>
              <w:rPr>
                <w:sz w:val="21"/>
                <w:szCs w:val="21"/>
              </w:rPr>
            </w:pPr>
            <w:r>
              <w:rPr>
                <w:sz w:val="21"/>
                <w:szCs w:val="21"/>
                <w:b/>
                <w:bCs/>
                <w:spacing w:val="-4"/>
              </w:rPr>
              <w:t>污染治理设</w:t>
            </w:r>
          </w:p>
          <w:p>
            <w:pPr>
              <w:pStyle w:val="TableText"/>
              <w:ind w:left="309"/>
              <w:spacing w:before="22" w:line="222" w:lineRule="auto"/>
              <w:rPr>
                <w:sz w:val="21"/>
                <w:szCs w:val="21"/>
              </w:rPr>
            </w:pPr>
            <w:r>
              <w:rPr>
                <w:sz w:val="21"/>
                <w:szCs w:val="21"/>
                <w:b/>
                <w:bCs/>
                <w:spacing w:val="-4"/>
              </w:rPr>
              <w:t>施工艺</w:t>
            </w:r>
          </w:p>
        </w:tc>
        <w:tc>
          <w:tcPr>
            <w:shd w:val="clear" w:fill="BDBDBD"/>
            <w:tcW w:w="689" w:type="dxa"/>
            <w:vAlign w:val="top"/>
          </w:tcPr>
          <w:p>
            <w:pPr>
              <w:pStyle w:val="TableText"/>
              <w:ind w:left="130"/>
              <w:spacing w:before="40" w:line="219" w:lineRule="auto"/>
              <w:rPr>
                <w:sz w:val="21"/>
                <w:szCs w:val="21"/>
              </w:rPr>
            </w:pPr>
            <w:r>
              <w:rPr>
                <w:sz w:val="21"/>
                <w:szCs w:val="21"/>
                <w:b/>
                <w:bCs/>
                <w:spacing w:val="-5"/>
              </w:rPr>
              <w:t>编号</w:t>
            </w:r>
          </w:p>
        </w:tc>
        <w:tc>
          <w:tcPr>
            <w:shd w:val="clear" w:fill="BDBDBD"/>
            <w:tcW w:w="629" w:type="dxa"/>
            <w:vAlign w:val="top"/>
          </w:tcPr>
          <w:p>
            <w:pPr>
              <w:pStyle w:val="TableText"/>
              <w:spacing w:before="41" w:line="221" w:lineRule="auto"/>
              <w:jc w:val="right"/>
              <w:rPr>
                <w:sz w:val="21"/>
                <w:szCs w:val="21"/>
              </w:rPr>
            </w:pPr>
            <w:r>
              <w:rPr>
                <w:sz w:val="21"/>
                <w:szCs w:val="21"/>
                <w:b/>
                <w:bCs/>
                <w:spacing w:val="-16"/>
              </w:rPr>
              <w:t>设</w:t>
            </w:r>
            <w:r>
              <w:rPr>
                <w:sz w:val="21"/>
                <w:szCs w:val="21"/>
                <w:b/>
                <w:bCs/>
                <w:spacing w:val="-15"/>
              </w:rPr>
              <w:t>置</w:t>
            </w:r>
            <w:r>
              <w:rPr>
                <w:sz w:val="21"/>
                <w:szCs w:val="21"/>
                <w:b/>
                <w:bCs/>
                <w:spacing w:val="-11"/>
              </w:rPr>
              <w:t>是</w:t>
            </w:r>
          </w:p>
          <w:p>
            <w:pPr>
              <w:pStyle w:val="TableText"/>
              <w:ind w:left="98" w:hanging="77"/>
              <w:spacing w:before="25" w:line="221" w:lineRule="auto"/>
              <w:rPr>
                <w:sz w:val="21"/>
                <w:szCs w:val="21"/>
              </w:rPr>
            </w:pPr>
            <w:r>
              <w:rPr>
                <w:sz w:val="21"/>
                <w:szCs w:val="21"/>
                <w:b/>
                <w:bCs/>
                <w:spacing w:val="-16"/>
              </w:rPr>
              <w:t>否符</w:t>
            </w:r>
            <w:r>
              <w:rPr>
                <w:sz w:val="21"/>
                <w:szCs w:val="21"/>
                <w:b/>
                <w:bCs/>
                <w:spacing w:val="-10"/>
              </w:rPr>
              <w:t>合</w:t>
            </w:r>
            <w:r>
              <w:rPr>
                <w:sz w:val="21"/>
                <w:szCs w:val="21"/>
                <w:spacing w:val="1"/>
              </w:rPr>
              <w:t xml:space="preserve"> </w:t>
            </w:r>
            <w:r>
              <w:rPr>
                <w:sz w:val="21"/>
                <w:szCs w:val="21"/>
                <w:b/>
                <w:bCs/>
                <w:spacing w:val="-8"/>
              </w:rPr>
              <w:t>要求</w:t>
            </w:r>
          </w:p>
        </w:tc>
        <w:tc>
          <w:tcPr>
            <w:shd w:val="clear" w:fill="BDBDBD"/>
            <w:tcW w:w="634" w:type="dxa"/>
            <w:vAlign w:val="top"/>
          </w:tcPr>
          <w:p>
            <w:pPr>
              <w:pStyle w:val="TableText"/>
              <w:ind w:left="102"/>
              <w:spacing w:before="40" w:line="219" w:lineRule="auto"/>
              <w:rPr>
                <w:sz w:val="21"/>
                <w:szCs w:val="21"/>
              </w:rPr>
            </w:pPr>
            <w:r>
              <w:rPr>
                <w:sz w:val="21"/>
                <w:szCs w:val="21"/>
                <w:b/>
                <w:bCs/>
                <w:spacing w:val="-5"/>
              </w:rPr>
              <w:t>类型</w:t>
            </w:r>
          </w:p>
        </w:tc>
      </w:tr>
      <w:tr>
        <w:trPr>
          <w:trHeight w:val="538" w:hRule="atLeast"/>
        </w:trPr>
        <w:tc>
          <w:tcPr>
            <w:tcW w:w="295" w:type="dxa"/>
            <w:vAlign w:val="top"/>
            <w:vMerge w:val="restart"/>
            <w:tcBorders>
              <w:bottom w:val="nil"/>
            </w:tcBorders>
          </w:tcPr>
          <w:p>
            <w:pPr>
              <w:spacing w:line="266" w:lineRule="auto"/>
              <w:rPr>
                <w:rFonts w:ascii="Arial"/>
                <w:sz w:val="21"/>
              </w:rPr>
            </w:pPr>
            <w:r/>
          </w:p>
          <w:p>
            <w:pPr>
              <w:spacing w:line="266" w:lineRule="auto"/>
              <w:rPr>
                <w:rFonts w:ascii="Arial"/>
                <w:sz w:val="21"/>
              </w:rPr>
            </w:pPr>
            <w:r/>
          </w:p>
          <w:p>
            <w:pPr>
              <w:spacing w:line="267" w:lineRule="auto"/>
              <w:rPr>
                <w:rFonts w:ascii="Arial"/>
                <w:sz w:val="21"/>
              </w:rPr>
            </w:pPr>
            <w:r/>
          </w:p>
          <w:p>
            <w:pPr>
              <w:pStyle w:val="TableText"/>
              <w:ind w:left="84"/>
              <w:spacing w:before="68" w:line="241" w:lineRule="auto"/>
              <w:rPr>
                <w:sz w:val="21"/>
                <w:szCs w:val="21"/>
              </w:rPr>
            </w:pPr>
            <w:r>
              <w:rPr>
                <w:sz w:val="21"/>
                <w:szCs w:val="21"/>
                <w:color w:val="505050"/>
              </w:rPr>
              <w:t>1</w:t>
            </w:r>
          </w:p>
        </w:tc>
        <w:tc>
          <w:tcPr>
            <w:tcW w:w="1318" w:type="dxa"/>
            <w:vAlign w:val="top"/>
          </w:tcPr>
          <w:p>
            <w:pPr>
              <w:pStyle w:val="TableText"/>
              <w:ind w:left="229"/>
              <w:spacing w:before="41" w:line="219" w:lineRule="auto"/>
              <w:rPr>
                <w:sz w:val="21"/>
                <w:szCs w:val="21"/>
              </w:rPr>
            </w:pPr>
            <w:r>
              <w:rPr>
                <w:sz w:val="21"/>
                <w:szCs w:val="21"/>
                <w:spacing w:val="-2"/>
              </w:rPr>
              <w:t>生活污水</w:t>
            </w:r>
          </w:p>
          <w:p>
            <w:pPr>
              <w:pStyle w:val="TableText"/>
              <w:ind w:left="119"/>
              <w:spacing w:before="10" w:line="199" w:lineRule="auto"/>
              <w:rPr>
                <w:sz w:val="21"/>
                <w:szCs w:val="21"/>
              </w:rPr>
            </w:pPr>
            <w:r>
              <w:rPr>
                <w:sz w:val="21"/>
                <w:szCs w:val="21"/>
                <w:spacing w:val="7"/>
              </w:rPr>
              <w:t>(餐饮废水)</w:t>
            </w:r>
          </w:p>
        </w:tc>
        <w:tc>
          <w:tcPr>
            <w:tcW w:w="1039" w:type="dxa"/>
            <w:vAlign w:val="top"/>
            <w:vMerge w:val="restart"/>
            <w:tcBorders>
              <w:bottom w:val="nil"/>
            </w:tcBorders>
          </w:tcPr>
          <w:p>
            <w:pPr>
              <w:pStyle w:val="TableText"/>
              <w:ind w:left="241"/>
              <w:spacing w:before="112" w:line="183" w:lineRule="auto"/>
              <w:rPr>
                <w:sz w:val="21"/>
                <w:szCs w:val="21"/>
              </w:rPr>
            </w:pPr>
            <w:r>
              <w:rPr>
                <w:sz w:val="21"/>
                <w:szCs w:val="21"/>
                <w:spacing w:val="-6"/>
              </w:rPr>
              <w:t>COD、</w:t>
            </w:r>
          </w:p>
          <w:p>
            <w:pPr>
              <w:pStyle w:val="TableText"/>
              <w:ind w:left="141"/>
              <w:spacing w:before="32" w:line="183" w:lineRule="auto"/>
              <w:rPr>
                <w:sz w:val="21"/>
                <w:szCs w:val="21"/>
              </w:rPr>
            </w:pPr>
            <w:r>
              <w:rPr>
                <w:sz w:val="21"/>
                <w:szCs w:val="21"/>
                <w:spacing w:val="-1"/>
              </w:rPr>
              <w:t>BOD</w:t>
            </w:r>
            <w:r>
              <w:rPr>
                <w:rFonts w:ascii="Calibri" w:hAnsi="Calibri" w:eastAsia="Calibri" w:cs="Calibri"/>
                <w:sz w:val="21"/>
                <w:szCs w:val="21"/>
                <w:spacing w:val="-1"/>
              </w:rPr>
              <w:t>₅</w:t>
            </w:r>
            <w:r>
              <w:rPr>
                <w:sz w:val="21"/>
                <w:szCs w:val="21"/>
                <w:spacing w:val="-1"/>
              </w:rPr>
              <w:t>、</w:t>
            </w:r>
          </w:p>
          <w:p>
            <w:pPr>
              <w:pStyle w:val="TableText"/>
              <w:ind w:left="302"/>
              <w:spacing w:before="90" w:line="183" w:lineRule="auto"/>
              <w:rPr>
                <w:sz w:val="21"/>
                <w:szCs w:val="21"/>
              </w:rPr>
            </w:pPr>
            <w:r>
              <w:rPr>
                <w:sz w:val="21"/>
                <w:szCs w:val="21"/>
                <w:spacing w:val="-7"/>
              </w:rPr>
              <w:t>SS、</w:t>
            </w:r>
          </w:p>
          <w:p>
            <w:pPr>
              <w:pStyle w:val="TableText"/>
              <w:ind w:left="91"/>
              <w:spacing w:before="34" w:line="182" w:lineRule="auto"/>
              <w:rPr>
                <w:sz w:val="21"/>
                <w:szCs w:val="21"/>
              </w:rPr>
            </w:pPr>
            <w:r>
              <w:rPr>
                <w:sz w:val="21"/>
                <w:szCs w:val="21"/>
                <w:spacing w:val="-2"/>
              </w:rPr>
              <w:t>NH</w:t>
            </w:r>
            <w:r>
              <w:rPr>
                <w:rFonts w:ascii="Calibri" w:hAnsi="Calibri" w:eastAsia="Calibri" w:cs="Calibri"/>
                <w:sz w:val="21"/>
                <w:szCs w:val="21"/>
                <w:spacing w:val="-2"/>
              </w:rPr>
              <w:t>₃</w:t>
            </w:r>
            <w:r>
              <w:rPr>
                <w:sz w:val="21"/>
                <w:szCs w:val="21"/>
                <w:spacing w:val="-2"/>
              </w:rPr>
              <w:t>-N、</w:t>
            </w:r>
          </w:p>
          <w:p>
            <w:pPr>
              <w:pStyle w:val="TableText"/>
              <w:ind w:left="302"/>
              <w:spacing w:before="92" w:line="182" w:lineRule="auto"/>
              <w:rPr>
                <w:sz w:val="21"/>
                <w:szCs w:val="21"/>
              </w:rPr>
            </w:pPr>
            <w:r>
              <w:rPr>
                <w:sz w:val="21"/>
                <w:szCs w:val="21"/>
                <w:spacing w:val="-7"/>
              </w:rPr>
              <w:t>TN、</w:t>
            </w:r>
          </w:p>
          <w:p>
            <w:pPr>
              <w:pStyle w:val="TableText"/>
              <w:ind w:left="191"/>
              <w:spacing w:before="1" w:line="220" w:lineRule="auto"/>
              <w:rPr>
                <w:sz w:val="21"/>
                <w:szCs w:val="21"/>
              </w:rPr>
            </w:pPr>
            <w:r>
              <w:rPr>
                <w:sz w:val="21"/>
                <w:szCs w:val="21"/>
              </w:rPr>
              <w:t>TP</w:t>
            </w:r>
            <w:r>
              <w:rPr>
                <w:sz w:val="21"/>
                <w:szCs w:val="21"/>
                <w:spacing w:val="7"/>
              </w:rPr>
              <w:t>、动</w:t>
            </w:r>
          </w:p>
          <w:p>
            <w:pPr>
              <w:pStyle w:val="TableText"/>
              <w:ind w:left="191"/>
              <w:spacing w:before="19" w:line="199" w:lineRule="auto"/>
              <w:rPr>
                <w:sz w:val="21"/>
                <w:szCs w:val="21"/>
              </w:rPr>
            </w:pPr>
            <w:r>
              <w:rPr>
                <w:sz w:val="21"/>
                <w:szCs w:val="21"/>
                <w:spacing w:val="7"/>
              </w:rPr>
              <w:t>植物油</w:t>
            </w:r>
          </w:p>
        </w:tc>
        <w:tc>
          <w:tcPr>
            <w:tcW w:w="469" w:type="dxa"/>
            <w:vAlign w:val="top"/>
            <w:vMerge w:val="restart"/>
            <w:tcBorders>
              <w:bottom w:val="nil"/>
            </w:tcBorders>
          </w:tcPr>
          <w:p>
            <w:pPr>
              <w:rPr>
                <w:rFonts w:ascii="Arial"/>
                <w:sz w:val="21"/>
              </w:rPr>
            </w:pPr>
            <w:r/>
          </w:p>
          <w:p>
            <w:pPr>
              <w:pStyle w:val="TableText"/>
              <w:ind w:left="12"/>
              <w:spacing w:before="68" w:line="219" w:lineRule="auto"/>
              <w:rPr>
                <w:sz w:val="21"/>
                <w:szCs w:val="21"/>
              </w:rPr>
            </w:pPr>
            <w:r>
              <w:rPr>
                <w:sz w:val="21"/>
                <w:szCs w:val="21"/>
                <w:spacing w:val="11"/>
              </w:rPr>
              <w:t>安州</w:t>
            </w:r>
          </w:p>
          <w:p>
            <w:pPr>
              <w:pStyle w:val="TableText"/>
              <w:ind w:left="12" w:right="12"/>
              <w:spacing w:before="21" w:line="239" w:lineRule="auto"/>
              <w:jc w:val="both"/>
              <w:rPr>
                <w:sz w:val="21"/>
                <w:szCs w:val="21"/>
              </w:rPr>
            </w:pPr>
            <w:r>
              <w:rPr>
                <w:sz w:val="21"/>
                <w:szCs w:val="21"/>
                <w:spacing w:val="6"/>
              </w:rPr>
              <w:t>区第</w:t>
            </w:r>
            <w:r>
              <w:rPr>
                <w:sz w:val="21"/>
                <w:szCs w:val="21"/>
              </w:rPr>
              <w:t xml:space="preserve"> </w:t>
            </w:r>
            <w:r>
              <w:rPr>
                <w:sz w:val="21"/>
                <w:szCs w:val="21"/>
                <w:spacing w:val="-5"/>
              </w:rPr>
              <w:t>三污</w:t>
            </w:r>
            <w:r>
              <w:rPr>
                <w:sz w:val="21"/>
                <w:szCs w:val="21"/>
              </w:rPr>
              <w:t xml:space="preserve"> </w:t>
            </w:r>
            <w:r>
              <w:rPr>
                <w:sz w:val="21"/>
                <w:szCs w:val="21"/>
                <w:spacing w:val="-6"/>
              </w:rPr>
              <w:t>水处</w:t>
            </w:r>
            <w:r>
              <w:rPr>
                <w:sz w:val="21"/>
                <w:szCs w:val="21"/>
              </w:rPr>
              <w:t xml:space="preserve"> </w:t>
            </w:r>
            <w:r>
              <w:rPr>
                <w:sz w:val="21"/>
                <w:szCs w:val="21"/>
                <w:spacing w:val="6"/>
              </w:rPr>
              <w:t>理厂</w:t>
            </w:r>
          </w:p>
        </w:tc>
        <w:tc>
          <w:tcPr>
            <w:tcW w:w="629" w:type="dxa"/>
            <w:vAlign w:val="top"/>
            <w:vMerge w:val="restart"/>
            <w:tcBorders>
              <w:bottom w:val="nil"/>
            </w:tcBorders>
          </w:tcPr>
          <w:p>
            <w:pPr>
              <w:spacing w:line="387" w:lineRule="auto"/>
              <w:rPr>
                <w:rFonts w:ascii="Arial"/>
                <w:sz w:val="21"/>
              </w:rPr>
            </w:pPr>
            <w:r/>
          </w:p>
          <w:p>
            <w:pPr>
              <w:pStyle w:val="TableText"/>
              <w:ind w:left="23"/>
              <w:spacing w:before="62" w:line="220" w:lineRule="auto"/>
              <w:rPr>
                <w:sz w:val="19"/>
                <w:szCs w:val="19"/>
              </w:rPr>
            </w:pPr>
            <w:r>
              <w:rPr>
                <w:sz w:val="19"/>
                <w:szCs w:val="19"/>
                <w:spacing w:val="-2"/>
              </w:rPr>
              <w:t>连续排</w:t>
            </w:r>
          </w:p>
          <w:p>
            <w:pPr>
              <w:pStyle w:val="TableText"/>
              <w:ind w:left="23"/>
              <w:spacing w:before="34" w:line="221" w:lineRule="auto"/>
              <w:rPr>
                <w:sz w:val="19"/>
                <w:szCs w:val="19"/>
              </w:rPr>
            </w:pPr>
            <w:r>
              <w:rPr>
                <w:sz w:val="19"/>
                <w:szCs w:val="19"/>
                <w:spacing w:val="-2"/>
              </w:rPr>
              <w:t>放、流</w:t>
            </w:r>
          </w:p>
          <w:p>
            <w:pPr>
              <w:pStyle w:val="TableText"/>
              <w:spacing w:before="70" w:line="32" w:lineRule="exact"/>
              <w:jc w:val="right"/>
              <w:rPr>
                <w:sz w:val="12"/>
                <w:szCs w:val="12"/>
              </w:rPr>
            </w:pPr>
            <w:r>
              <w:rPr>
                <w:sz w:val="12"/>
                <w:szCs w:val="12"/>
                <w:color w:val="607080"/>
                <w:spacing w:val="-5"/>
                <w:w w:val="39"/>
                <w:position w:val="1"/>
              </w:rPr>
              <w:t>,</w:t>
            </w:r>
          </w:p>
          <w:p>
            <w:pPr>
              <w:pStyle w:val="TableText"/>
              <w:ind w:left="192" w:right="25" w:hanging="179"/>
              <w:spacing w:before="1" w:line="226" w:lineRule="auto"/>
              <w:rPr>
                <w:sz w:val="19"/>
                <w:szCs w:val="19"/>
              </w:rPr>
            </w:pPr>
            <w:r>
              <w:rPr>
                <w:spacing w:val="13"/>
              </w:rPr>
              <w:t>量不稳</w:t>
            </w:r>
            <w:r>
              <w:rPr/>
              <w:t xml:space="preserve"> </w:t>
            </w:r>
            <w:r>
              <w:rPr>
                <w:sz w:val="19"/>
                <w:szCs w:val="19"/>
              </w:rPr>
              <w:t>定</w:t>
            </w:r>
          </w:p>
        </w:tc>
        <w:tc>
          <w:tcPr>
            <w:tcW w:w="699" w:type="dxa"/>
            <w:vAlign w:val="top"/>
          </w:tcPr>
          <w:p>
            <w:pPr>
              <w:pStyle w:val="TableText"/>
              <w:ind w:left="75"/>
              <w:spacing w:before="224" w:line="184" w:lineRule="auto"/>
              <w:rPr>
                <w:sz w:val="21"/>
                <w:szCs w:val="21"/>
              </w:rPr>
            </w:pPr>
            <w:r>
              <w:rPr>
                <w:sz w:val="21"/>
                <w:szCs w:val="21"/>
                <w:spacing w:val="-1"/>
              </w:rPr>
              <w:t>TW001</w:t>
            </w:r>
          </w:p>
        </w:tc>
        <w:tc>
          <w:tcPr>
            <w:tcW w:w="859" w:type="dxa"/>
            <w:vAlign w:val="top"/>
          </w:tcPr>
          <w:p>
            <w:pPr>
              <w:pStyle w:val="TableText"/>
              <w:spacing w:before="32" w:line="221" w:lineRule="auto"/>
              <w:jc w:val="right"/>
              <w:rPr>
                <w:sz w:val="21"/>
                <w:szCs w:val="21"/>
              </w:rPr>
            </w:pPr>
            <w:r>
              <w:rPr>
                <w:sz w:val="21"/>
                <w:szCs w:val="21"/>
                <w:spacing w:val="-13"/>
              </w:rPr>
              <w:t>隔油池</w:t>
            </w:r>
            <w:r>
              <w:rPr>
                <w:sz w:val="21"/>
                <w:szCs w:val="21"/>
                <w:spacing w:val="-61"/>
              </w:rPr>
              <w:t xml:space="preserve"> </w:t>
            </w:r>
            <w:r>
              <w:rPr>
                <w:sz w:val="21"/>
                <w:szCs w:val="21"/>
                <w:spacing w:val="-13"/>
              </w:rPr>
              <w:t>、</w:t>
            </w:r>
          </w:p>
          <w:p>
            <w:pPr>
              <w:pStyle w:val="TableText"/>
              <w:spacing w:before="18" w:line="198" w:lineRule="auto"/>
              <w:jc w:val="right"/>
              <w:rPr>
                <w:sz w:val="21"/>
                <w:szCs w:val="21"/>
              </w:rPr>
            </w:pPr>
            <w:r>
              <w:rPr>
                <w:sz w:val="21"/>
                <w:szCs w:val="21"/>
                <w:spacing w:val="-2"/>
              </w:rPr>
              <w:t>预处理池</w:t>
            </w:r>
          </w:p>
        </w:tc>
        <w:tc>
          <w:tcPr>
            <w:tcW w:w="1249" w:type="dxa"/>
            <w:vAlign w:val="top"/>
          </w:tcPr>
          <w:p>
            <w:pPr>
              <w:pStyle w:val="TableText"/>
              <w:ind w:left="96"/>
              <w:spacing w:before="172" w:line="220" w:lineRule="auto"/>
              <w:rPr>
                <w:sz w:val="21"/>
                <w:szCs w:val="21"/>
              </w:rPr>
            </w:pPr>
            <w:r>
              <w:rPr>
                <w:sz w:val="21"/>
                <w:szCs w:val="21"/>
                <w:spacing w:val="2"/>
              </w:rPr>
              <w:t>隔油、沉淀</w:t>
            </w:r>
          </w:p>
        </w:tc>
        <w:tc>
          <w:tcPr>
            <w:tcW w:w="689" w:type="dxa"/>
            <w:vAlign w:val="top"/>
            <w:vMerge w:val="restart"/>
            <w:tcBorders>
              <w:bottom w:val="nil"/>
            </w:tcBorders>
          </w:tcPr>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77"/>
              <w:spacing w:before="68" w:line="184" w:lineRule="auto"/>
              <w:rPr>
                <w:sz w:val="21"/>
                <w:szCs w:val="21"/>
              </w:rPr>
            </w:pPr>
            <w:r>
              <w:rPr>
                <w:sz w:val="21"/>
                <w:szCs w:val="21"/>
                <w:spacing w:val="-1"/>
              </w:rPr>
              <w:t>DW001</w:t>
            </w:r>
          </w:p>
        </w:tc>
        <w:tc>
          <w:tcPr>
            <w:tcW w:w="629" w:type="dxa"/>
            <w:vAlign w:val="top"/>
            <w:vMerge w:val="restart"/>
            <w:tcBorders>
              <w:bottom w:val="nil"/>
            </w:tcBorders>
          </w:tcPr>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208"/>
              <w:spacing w:before="68" w:line="223" w:lineRule="auto"/>
              <w:rPr>
                <w:sz w:val="21"/>
                <w:szCs w:val="21"/>
              </w:rPr>
            </w:pPr>
            <w:r>
              <w:rPr>
                <w:sz w:val="21"/>
                <w:szCs w:val="21"/>
              </w:rPr>
              <w:t>是</w:t>
            </w:r>
          </w:p>
        </w:tc>
        <w:tc>
          <w:tcPr>
            <w:tcW w:w="634" w:type="dxa"/>
            <w:vAlign w:val="top"/>
            <w:vMerge w:val="restart"/>
            <w:textDirection w:val="tbRlV"/>
            <w:tcBorders>
              <w:bottom w:val="nil"/>
            </w:tcBorders>
          </w:tcPr>
          <w:p>
            <w:pPr>
              <w:pStyle w:val="TableText"/>
              <w:ind w:left="339"/>
              <w:spacing w:before="212" w:line="203" w:lineRule="auto"/>
              <w:rPr>
                <w:sz w:val="21"/>
                <w:szCs w:val="21"/>
              </w:rPr>
            </w:pPr>
            <w:r>
              <w:rPr>
                <w:sz w:val="21"/>
                <w:szCs w:val="21"/>
                <w:spacing w:val="21"/>
              </w:rPr>
              <w:t>一般排放口</w:t>
            </w:r>
          </w:p>
        </w:tc>
      </w:tr>
      <w:tr>
        <w:trPr>
          <w:trHeight w:val="1360" w:hRule="atLeast"/>
        </w:trPr>
        <w:tc>
          <w:tcPr>
            <w:tcW w:w="295" w:type="dxa"/>
            <w:vAlign w:val="top"/>
            <w:vMerge w:val="continue"/>
            <w:tcBorders>
              <w:top w:val="nil"/>
            </w:tcBorders>
          </w:tcPr>
          <w:p>
            <w:pPr>
              <w:rPr>
                <w:rFonts w:ascii="Arial"/>
                <w:sz w:val="21"/>
              </w:rPr>
            </w:pPr>
            <w:r/>
          </w:p>
        </w:tc>
        <w:tc>
          <w:tcPr>
            <w:tcW w:w="1318" w:type="dxa"/>
            <w:vAlign w:val="top"/>
          </w:tcPr>
          <w:p>
            <w:pPr>
              <w:spacing w:line="244" w:lineRule="auto"/>
              <w:rPr>
                <w:rFonts w:ascii="Arial"/>
                <w:sz w:val="21"/>
              </w:rPr>
            </w:pPr>
            <w:r/>
          </w:p>
          <w:p>
            <w:pPr>
              <w:pStyle w:val="TableText"/>
              <w:ind w:left="20" w:right="14"/>
              <w:spacing w:before="69" w:line="234" w:lineRule="auto"/>
              <w:jc w:val="both"/>
              <w:rPr>
                <w:sz w:val="21"/>
                <w:szCs w:val="21"/>
              </w:rPr>
            </w:pPr>
            <w:r>
              <w:rPr>
                <w:sz w:val="21"/>
                <w:szCs w:val="21"/>
                <w:spacing w:val="1"/>
              </w:rPr>
              <w:t>生产废水、初</w:t>
            </w:r>
            <w:r>
              <w:rPr>
                <w:sz w:val="21"/>
                <w:szCs w:val="21"/>
                <w:spacing w:val="4"/>
              </w:rPr>
              <w:t xml:space="preserve"> </w:t>
            </w:r>
            <w:r>
              <w:rPr>
                <w:sz w:val="21"/>
                <w:szCs w:val="21"/>
                <w:spacing w:val="2"/>
              </w:rPr>
              <w:t>期雨水、蒸汽</w:t>
            </w:r>
            <w:r>
              <w:rPr>
                <w:sz w:val="21"/>
                <w:szCs w:val="21"/>
              </w:rPr>
              <w:t xml:space="preserve"> </w:t>
            </w:r>
            <w:r>
              <w:rPr>
                <w:sz w:val="21"/>
                <w:szCs w:val="21"/>
                <w:spacing w:val="21"/>
              </w:rPr>
              <w:t>发生器废水</w:t>
            </w:r>
          </w:p>
        </w:tc>
        <w:tc>
          <w:tcPr>
            <w:tcW w:w="1039" w:type="dxa"/>
            <w:vAlign w:val="top"/>
            <w:vMerge w:val="continue"/>
            <w:tcBorders>
              <w:top w:val="nil"/>
            </w:tcBorders>
          </w:tcPr>
          <w:p>
            <w:pPr>
              <w:rPr>
                <w:rFonts w:ascii="Arial"/>
                <w:sz w:val="21"/>
              </w:rPr>
            </w:pPr>
            <w:r/>
          </w:p>
        </w:tc>
        <w:tc>
          <w:tcPr>
            <w:tcW w:w="469" w:type="dxa"/>
            <w:vAlign w:val="top"/>
            <w:vMerge w:val="continue"/>
            <w:tcBorders>
              <w:top w:val="nil"/>
            </w:tcBorders>
          </w:tcPr>
          <w:p>
            <w:pPr>
              <w:rPr>
                <w:rFonts w:ascii="Arial"/>
                <w:sz w:val="21"/>
              </w:rPr>
            </w:pPr>
            <w:r/>
          </w:p>
        </w:tc>
        <w:tc>
          <w:tcPr>
            <w:tcW w:w="629" w:type="dxa"/>
            <w:vAlign w:val="top"/>
            <w:vMerge w:val="continue"/>
            <w:tcBorders>
              <w:top w:val="nil"/>
            </w:tcBorders>
          </w:tcPr>
          <w:p>
            <w:pPr>
              <w:rPr>
                <w:rFonts w:ascii="Arial"/>
                <w:sz w:val="21"/>
              </w:rPr>
            </w:pPr>
            <w:r/>
          </w:p>
        </w:tc>
        <w:tc>
          <w:tcPr>
            <w:tcW w:w="699" w:type="dxa"/>
            <w:vAlign w:val="top"/>
          </w:tcPr>
          <w:p>
            <w:pPr>
              <w:spacing w:line="283" w:lineRule="auto"/>
              <w:rPr>
                <w:rFonts w:ascii="Arial"/>
                <w:sz w:val="21"/>
              </w:rPr>
            </w:pPr>
            <w:r/>
          </w:p>
          <w:p>
            <w:pPr>
              <w:spacing w:line="283" w:lineRule="auto"/>
              <w:rPr>
                <w:rFonts w:ascii="Arial"/>
                <w:sz w:val="21"/>
              </w:rPr>
            </w:pPr>
            <w:r/>
          </w:p>
          <w:p>
            <w:pPr>
              <w:pStyle w:val="TableText"/>
              <w:ind w:left="75"/>
              <w:spacing w:before="68" w:line="183" w:lineRule="auto"/>
              <w:rPr>
                <w:sz w:val="21"/>
                <w:szCs w:val="21"/>
              </w:rPr>
            </w:pPr>
            <w:r>
              <w:rPr>
                <w:sz w:val="21"/>
                <w:szCs w:val="21"/>
                <w:spacing w:val="-1"/>
              </w:rPr>
              <w:t>TW002</w:t>
            </w:r>
          </w:p>
        </w:tc>
        <w:tc>
          <w:tcPr>
            <w:tcW w:w="859" w:type="dxa"/>
            <w:vAlign w:val="top"/>
          </w:tcPr>
          <w:p>
            <w:pPr>
              <w:spacing w:line="372" w:lineRule="auto"/>
              <w:rPr>
                <w:rFonts w:ascii="Arial"/>
                <w:sz w:val="21"/>
              </w:rPr>
            </w:pPr>
            <w:r/>
          </w:p>
          <w:p>
            <w:pPr>
              <w:pStyle w:val="TableText"/>
              <w:ind w:left="105" w:right="101" w:firstLine="110"/>
              <w:spacing w:before="68" w:line="244" w:lineRule="auto"/>
              <w:rPr>
                <w:sz w:val="21"/>
                <w:szCs w:val="21"/>
              </w:rPr>
            </w:pPr>
            <w:r>
              <w:rPr>
                <w:sz w:val="21"/>
                <w:szCs w:val="21"/>
                <w:spacing w:val="-5"/>
              </w:rPr>
              <w:t>污水</w:t>
            </w:r>
            <w:r>
              <w:rPr>
                <w:sz w:val="21"/>
                <w:szCs w:val="21"/>
              </w:rPr>
              <w:t xml:space="preserve">  </w:t>
            </w:r>
            <w:r>
              <w:rPr>
                <w:sz w:val="21"/>
                <w:szCs w:val="21"/>
                <w:spacing w:val="3"/>
              </w:rPr>
              <w:t>处理站</w:t>
            </w:r>
          </w:p>
        </w:tc>
        <w:tc>
          <w:tcPr>
            <w:tcW w:w="1249" w:type="dxa"/>
            <w:vAlign w:val="top"/>
          </w:tcPr>
          <w:p>
            <w:pPr>
              <w:pStyle w:val="TableText"/>
              <w:ind w:left="96"/>
              <w:spacing w:before="173" w:line="219" w:lineRule="auto"/>
              <w:rPr>
                <w:sz w:val="21"/>
                <w:szCs w:val="21"/>
              </w:rPr>
            </w:pPr>
            <w:r>
              <w:rPr>
                <w:sz w:val="21"/>
                <w:szCs w:val="21"/>
                <w:spacing w:val="-2"/>
              </w:rPr>
              <w:t>格栅+调节+</w:t>
            </w:r>
          </w:p>
          <w:p>
            <w:pPr>
              <w:pStyle w:val="TableText"/>
              <w:ind w:left="26" w:right="26" w:firstLine="10"/>
              <w:spacing w:before="29" w:line="239" w:lineRule="auto"/>
              <w:jc w:val="both"/>
              <w:rPr>
                <w:sz w:val="21"/>
                <w:szCs w:val="21"/>
              </w:rPr>
            </w:pPr>
            <w:r>
              <w:rPr>
                <w:sz w:val="21"/>
                <w:szCs w:val="21"/>
                <w:spacing w:val="2"/>
              </w:rPr>
              <w:t>气浮+厌氧接</w:t>
            </w:r>
            <w:r>
              <w:rPr>
                <w:sz w:val="21"/>
                <w:szCs w:val="21"/>
              </w:rPr>
              <w:t xml:space="preserve"> </w:t>
            </w:r>
            <w:r>
              <w:rPr>
                <w:sz w:val="21"/>
                <w:szCs w:val="21"/>
                <w:spacing w:val="28"/>
              </w:rPr>
              <w:t>触池+AO</w:t>
            </w:r>
            <w:r>
              <w:rPr>
                <w:sz w:val="21"/>
                <w:szCs w:val="21"/>
                <w:spacing w:val="-62"/>
              </w:rPr>
              <w:t xml:space="preserve"> </w:t>
            </w:r>
            <w:r>
              <w:rPr>
                <w:sz w:val="21"/>
                <w:szCs w:val="21"/>
                <w:spacing w:val="28"/>
              </w:rPr>
              <w:t>AO</w:t>
            </w:r>
            <w:r>
              <w:rPr>
                <w:sz w:val="21"/>
                <w:szCs w:val="21"/>
              </w:rPr>
              <w:t xml:space="preserve"> </w:t>
            </w:r>
            <w:r>
              <w:rPr>
                <w:sz w:val="21"/>
                <w:szCs w:val="21"/>
                <w:spacing w:val="13"/>
              </w:rPr>
              <w:t>+沉淀+消毒</w:t>
            </w:r>
          </w:p>
        </w:tc>
        <w:tc>
          <w:tcPr>
            <w:tcW w:w="689" w:type="dxa"/>
            <w:vAlign w:val="top"/>
            <w:vMerge w:val="continue"/>
            <w:tcBorders>
              <w:top w:val="nil"/>
            </w:tcBorders>
          </w:tcPr>
          <w:p>
            <w:pPr>
              <w:rPr>
                <w:rFonts w:ascii="Arial"/>
                <w:sz w:val="21"/>
              </w:rPr>
            </w:pPr>
            <w:r/>
          </w:p>
        </w:tc>
        <w:tc>
          <w:tcPr>
            <w:tcW w:w="629" w:type="dxa"/>
            <w:vAlign w:val="top"/>
            <w:vMerge w:val="continue"/>
            <w:tcBorders>
              <w:top w:val="nil"/>
            </w:tcBorders>
          </w:tcPr>
          <w:p>
            <w:pPr>
              <w:rPr>
                <w:rFonts w:ascii="Arial"/>
                <w:sz w:val="21"/>
              </w:rPr>
            </w:pPr>
            <w:r/>
          </w:p>
        </w:tc>
        <w:tc>
          <w:tcPr>
            <w:tcW w:w="634" w:type="dxa"/>
            <w:vAlign w:val="top"/>
            <w:vMerge w:val="continue"/>
            <w:textDirection w:val="tbRlV"/>
            <w:tcBorders>
              <w:top w:val="nil"/>
            </w:tcBorders>
          </w:tcPr>
          <w:p>
            <w:pPr>
              <w:rPr>
                <w:rFonts w:ascii="Arial"/>
                <w:sz w:val="21"/>
              </w:rPr>
            </w:pPr>
            <w:r/>
          </w:p>
        </w:tc>
      </w:tr>
    </w:tbl>
    <w:p>
      <w:pPr>
        <w:ind w:left="2683"/>
        <w:spacing w:before="40" w:line="219" w:lineRule="auto"/>
        <w:rPr>
          <w:rFonts w:ascii="SimSun" w:hAnsi="SimSun" w:eastAsia="SimSun" w:cs="SimSun"/>
          <w:sz w:val="25"/>
          <w:szCs w:val="25"/>
        </w:rPr>
      </w:pPr>
      <w:r>
        <w:drawing>
          <wp:anchor distT="0" distB="0" distL="0" distR="0" simplePos="0" relativeHeight="252386304" behindDoc="0" locked="0" layoutInCell="1" allowOverlap="1">
            <wp:simplePos x="0" y="0"/>
            <wp:positionH relativeFrom="column">
              <wp:posOffset>0</wp:posOffset>
            </wp:positionH>
            <wp:positionV relativeFrom="paragraph">
              <wp:posOffset>176141</wp:posOffset>
            </wp:positionV>
            <wp:extent cx="5562628" cy="7937"/>
            <wp:effectExtent l="0" t="0" r="0" b="0"/>
            <wp:wrapNone/>
            <wp:docPr id="76" name="IM 76"/>
            <wp:cNvGraphicFramePr/>
            <a:graphic>
              <a:graphicData uri="http://schemas.openxmlformats.org/drawingml/2006/picture">
                <pic:pic>
                  <pic:nvPicPr>
                    <pic:cNvPr id="76" name="IM 76"/>
                    <pic:cNvPicPr/>
                  </pic:nvPicPr>
                  <pic:blipFill>
                    <a:blip r:embed="rId303"/>
                    <a:stretch>
                      <a:fillRect/>
                    </a:stretch>
                  </pic:blipFill>
                  <pic:spPr>
                    <a:xfrm rot="0">
                      <a:off x="0" y="0"/>
                      <a:ext cx="5562628" cy="7937"/>
                    </a:xfrm>
                    <a:prstGeom prst="rect">
                      <a:avLst/>
                    </a:prstGeom>
                  </pic:spPr>
                </pic:pic>
              </a:graphicData>
            </a:graphic>
          </wp:anchor>
        </w:drawing>
      </w:r>
      <w:r>
        <w:rPr>
          <w:rFonts w:ascii="SimSun" w:hAnsi="SimSun" w:eastAsia="SimSun" w:cs="SimSun"/>
          <w:sz w:val="25"/>
          <w:szCs w:val="25"/>
          <w:b/>
          <w:bCs/>
          <w:spacing w:val="-4"/>
        </w:rPr>
        <w:t>表3.11-12废水排放口基本情况</w:t>
      </w:r>
    </w:p>
    <w:p>
      <w:pPr>
        <w:spacing w:line="33" w:lineRule="auto"/>
        <w:rPr>
          <w:rFonts w:ascii="Arial"/>
          <w:sz w:val="2"/>
        </w:rPr>
      </w:pPr>
      <w:r>
        <w:rPr>
          <w:rFonts w:ascii="Arial"/>
          <w:sz w:val="2"/>
        </w:rPr>
      </w:r>
    </w:p>
    <w:tbl>
      <w:tblPr>
        <w:tblStyle w:val="TableNormal"/>
        <w:tblW w:w="8539" w:type="dxa"/>
        <w:tblInd w:w="7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5"/>
        <w:gridCol w:w="709"/>
        <w:gridCol w:w="1149"/>
        <w:gridCol w:w="989"/>
        <w:gridCol w:w="529"/>
        <w:gridCol w:w="639"/>
        <w:gridCol w:w="589"/>
        <w:gridCol w:w="689"/>
        <w:gridCol w:w="949"/>
        <w:gridCol w:w="2032"/>
      </w:tblGrid>
      <w:tr>
        <w:trPr>
          <w:trHeight w:val="284" w:hRule="atLeast"/>
        </w:trPr>
        <w:tc>
          <w:tcPr>
            <w:shd w:val="clear" w:fill="BDBDBD"/>
            <w:tcW w:w="265" w:type="dxa"/>
            <w:vAlign w:val="top"/>
            <w:vMerge w:val="restart"/>
            <w:textDirection w:val="tbRlV"/>
            <w:tcBorders>
              <w:bottom w:val="nil"/>
            </w:tcBorders>
          </w:tcPr>
          <w:p>
            <w:pPr>
              <w:pStyle w:val="TableText"/>
              <w:ind w:left="140"/>
              <w:spacing w:before="33" w:line="199" w:lineRule="auto"/>
              <w:rPr>
                <w:sz w:val="22"/>
                <w:szCs w:val="22"/>
              </w:rPr>
            </w:pPr>
            <w:r>
              <w:rPr>
                <w:sz w:val="22"/>
                <w:szCs w:val="22"/>
                <w:b/>
                <w:bCs/>
                <w:spacing w:val="-3"/>
              </w:rPr>
              <w:t>序</w:t>
            </w:r>
            <w:r>
              <w:rPr>
                <w:sz w:val="22"/>
                <w:szCs w:val="22"/>
                <w:spacing w:val="-13"/>
              </w:rPr>
              <w:t xml:space="preserve"> </w:t>
            </w:r>
            <w:r>
              <w:rPr>
                <w:sz w:val="22"/>
                <w:szCs w:val="22"/>
                <w:b/>
                <w:bCs/>
                <w:spacing w:val="-3"/>
              </w:rPr>
              <w:t>号</w:t>
            </w:r>
          </w:p>
        </w:tc>
        <w:tc>
          <w:tcPr>
            <w:shd w:val="clear" w:fill="BDBDBD"/>
            <w:tcW w:w="709" w:type="dxa"/>
            <w:vAlign w:val="top"/>
            <w:vMerge w:val="restart"/>
            <w:tcBorders>
              <w:bottom w:val="nil"/>
            </w:tcBorders>
          </w:tcPr>
          <w:p>
            <w:pPr>
              <w:pStyle w:val="TableText"/>
              <w:ind w:left="122" w:hanging="109"/>
              <w:spacing w:before="172" w:line="227" w:lineRule="auto"/>
              <w:rPr>
                <w:sz w:val="22"/>
                <w:szCs w:val="22"/>
              </w:rPr>
            </w:pPr>
            <w:r>
              <w:rPr>
                <w:sz w:val="22"/>
                <w:szCs w:val="22"/>
                <w:b/>
                <w:bCs/>
                <w:spacing w:val="6"/>
              </w:rPr>
              <w:t>排放口</w:t>
            </w:r>
            <w:r>
              <w:rPr>
                <w:sz w:val="22"/>
                <w:szCs w:val="22"/>
              </w:rPr>
              <w:t xml:space="preserve"> </w:t>
            </w:r>
            <w:r>
              <w:rPr>
                <w:sz w:val="22"/>
                <w:szCs w:val="22"/>
                <w:b/>
                <w:bCs/>
                <w:spacing w:val="-5"/>
              </w:rPr>
              <w:t>编号</w:t>
            </w:r>
          </w:p>
        </w:tc>
        <w:tc>
          <w:tcPr>
            <w:shd w:val="clear" w:fill="BDBDBD"/>
            <w:tcW w:w="1149" w:type="dxa"/>
            <w:vAlign w:val="top"/>
            <w:vMerge w:val="restart"/>
            <w:tcBorders>
              <w:bottom w:val="nil"/>
            </w:tcBorders>
          </w:tcPr>
          <w:p>
            <w:pPr>
              <w:pStyle w:val="TableText"/>
              <w:ind w:left="124" w:right="143" w:firstLine="109"/>
              <w:spacing w:before="172" w:line="228" w:lineRule="auto"/>
              <w:rPr>
                <w:sz w:val="22"/>
                <w:szCs w:val="22"/>
              </w:rPr>
            </w:pPr>
            <w:r>
              <w:rPr>
                <w:sz w:val="22"/>
                <w:szCs w:val="22"/>
                <w:b/>
                <w:bCs/>
                <w:spacing w:val="6"/>
              </w:rPr>
              <w:t>排放口</w:t>
            </w:r>
            <w:r>
              <w:rPr>
                <w:sz w:val="22"/>
                <w:szCs w:val="22"/>
              </w:rPr>
              <w:t xml:space="preserve"> </w:t>
            </w:r>
            <w:r>
              <w:rPr>
                <w:sz w:val="22"/>
                <w:szCs w:val="22"/>
                <w:b/>
                <w:bCs/>
                <w:spacing w:val="-5"/>
              </w:rPr>
              <w:t>地理坐标</w:t>
            </w:r>
          </w:p>
        </w:tc>
        <w:tc>
          <w:tcPr>
            <w:shd w:val="clear" w:fill="BDBDBD"/>
            <w:tcW w:w="989" w:type="dxa"/>
            <w:vAlign w:val="top"/>
            <w:vMerge w:val="restart"/>
            <w:tcBorders>
              <w:bottom w:val="nil"/>
            </w:tcBorders>
          </w:tcPr>
          <w:p>
            <w:pPr>
              <w:pStyle w:val="TableText"/>
              <w:ind w:left="155"/>
              <w:spacing w:before="41" w:line="219" w:lineRule="auto"/>
              <w:rPr>
                <w:sz w:val="22"/>
                <w:szCs w:val="22"/>
              </w:rPr>
            </w:pPr>
            <w:r>
              <w:rPr>
                <w:sz w:val="22"/>
                <w:szCs w:val="22"/>
                <w:b/>
                <w:bCs/>
                <w:spacing w:val="-5"/>
              </w:rPr>
              <w:t>废水排</w:t>
            </w:r>
          </w:p>
          <w:p>
            <w:pPr>
              <w:pStyle w:val="TableText"/>
              <w:ind w:left="265"/>
              <w:spacing w:line="221" w:lineRule="auto"/>
              <w:rPr>
                <w:sz w:val="22"/>
                <w:szCs w:val="22"/>
              </w:rPr>
            </w:pPr>
            <w:r>
              <w:rPr>
                <w:sz w:val="22"/>
                <w:szCs w:val="22"/>
                <w:b/>
                <w:bCs/>
                <w:spacing w:val="-5"/>
              </w:rPr>
              <w:t>放量</w:t>
            </w:r>
          </w:p>
          <w:p>
            <w:pPr>
              <w:pStyle w:val="TableText"/>
              <w:ind w:left="215"/>
              <w:spacing w:before="18" w:line="200" w:lineRule="auto"/>
              <w:rPr>
                <w:sz w:val="22"/>
                <w:szCs w:val="22"/>
              </w:rPr>
            </w:pPr>
            <w:r>
              <w:rPr>
                <w:sz w:val="22"/>
                <w:szCs w:val="22"/>
                <w:b/>
                <w:bCs/>
                <w:spacing w:val="-10"/>
              </w:rPr>
              <w:t>(t/a)</w:t>
            </w:r>
          </w:p>
        </w:tc>
        <w:tc>
          <w:tcPr>
            <w:shd w:val="clear" w:fill="BDBDBD"/>
            <w:tcW w:w="529" w:type="dxa"/>
            <w:vAlign w:val="top"/>
            <w:vMerge w:val="restart"/>
            <w:tcBorders>
              <w:bottom w:val="nil"/>
            </w:tcBorders>
          </w:tcPr>
          <w:p>
            <w:pPr>
              <w:pStyle w:val="TableText"/>
              <w:ind w:left="36" w:right="26"/>
              <w:spacing w:before="162" w:line="221" w:lineRule="auto"/>
              <w:rPr>
                <w:sz w:val="22"/>
                <w:szCs w:val="22"/>
              </w:rPr>
            </w:pPr>
            <w:r>
              <w:rPr>
                <w:sz w:val="22"/>
                <w:szCs w:val="22"/>
                <w:b/>
                <w:bCs/>
                <w:spacing w:val="-7"/>
              </w:rPr>
              <w:t>排放</w:t>
            </w:r>
            <w:r>
              <w:rPr>
                <w:sz w:val="22"/>
                <w:szCs w:val="22"/>
              </w:rPr>
              <w:t xml:space="preserve"> </w:t>
            </w:r>
            <w:r>
              <w:rPr>
                <w:sz w:val="22"/>
                <w:szCs w:val="22"/>
                <w:b/>
                <w:bCs/>
                <w:spacing w:val="6"/>
              </w:rPr>
              <w:t>去向</w:t>
            </w:r>
          </w:p>
        </w:tc>
        <w:tc>
          <w:tcPr>
            <w:shd w:val="clear" w:fill="BDBDBD"/>
            <w:tcW w:w="639" w:type="dxa"/>
            <w:vAlign w:val="top"/>
            <w:vMerge w:val="restart"/>
            <w:tcBorders>
              <w:bottom w:val="nil"/>
            </w:tcBorders>
          </w:tcPr>
          <w:p>
            <w:pPr>
              <w:pStyle w:val="TableText"/>
              <w:ind w:left="205" w:hanging="189"/>
              <w:spacing w:before="163" w:line="235" w:lineRule="auto"/>
              <w:rPr>
                <w:sz w:val="22"/>
                <w:szCs w:val="22"/>
              </w:rPr>
            </w:pPr>
            <w:r>
              <w:rPr>
                <w:sz w:val="22"/>
                <w:szCs w:val="22"/>
                <w:b/>
                <w:bCs/>
                <w:spacing w:val="-24"/>
              </w:rPr>
              <w:t>排</w:t>
            </w:r>
            <w:r>
              <w:rPr>
                <w:sz w:val="22"/>
                <w:szCs w:val="22"/>
                <w:b/>
                <w:bCs/>
                <w:spacing w:val="-23"/>
              </w:rPr>
              <w:t>放</w:t>
            </w:r>
            <w:r>
              <w:rPr>
                <w:sz w:val="22"/>
                <w:szCs w:val="22"/>
                <w:b/>
                <w:bCs/>
                <w:spacing w:val="-10"/>
              </w:rPr>
              <w:t>规</w:t>
            </w:r>
            <w:r>
              <w:rPr>
                <w:sz w:val="22"/>
                <w:szCs w:val="22"/>
                <w:spacing w:val="1"/>
              </w:rPr>
              <w:t xml:space="preserve"> </w:t>
            </w:r>
            <w:r>
              <w:rPr>
                <w:sz w:val="22"/>
                <w:szCs w:val="22"/>
                <w:b/>
                <w:bCs/>
                <w:spacing w:val="-3"/>
              </w:rPr>
              <w:t>律</w:t>
            </w:r>
          </w:p>
        </w:tc>
        <w:tc>
          <w:tcPr>
            <w:shd w:val="clear" w:fill="080808"/>
            <w:tcW w:w="589" w:type="dxa"/>
            <w:vAlign w:val="top"/>
            <w:vMerge w:val="restart"/>
            <w:tcBorders>
              <w:bottom w:val="nil"/>
            </w:tcBorders>
          </w:tcPr>
          <w:p>
            <w:pPr>
              <w:pStyle w:val="TableText"/>
              <w:ind w:left="68"/>
              <w:spacing w:before="11" w:line="219" w:lineRule="auto"/>
              <w:rPr>
                <w:sz w:val="22"/>
                <w:szCs w:val="22"/>
              </w:rPr>
            </w:pPr>
            <w:r>
              <w:rPr>
                <w:sz w:val="22"/>
                <w:szCs w:val="22"/>
                <w:b/>
                <w:bCs/>
                <w:spacing w:val="-1"/>
              </w:rPr>
              <w:t>间歇</w:t>
            </w:r>
          </w:p>
          <w:p>
            <w:pPr>
              <w:pStyle w:val="TableText"/>
              <w:ind w:left="68"/>
              <w:spacing w:before="30" w:line="221" w:lineRule="auto"/>
              <w:rPr>
                <w:sz w:val="22"/>
                <w:szCs w:val="22"/>
              </w:rPr>
            </w:pPr>
            <w:r>
              <w:rPr>
                <w:sz w:val="22"/>
                <w:szCs w:val="22"/>
                <w:b/>
                <w:bCs/>
                <w:spacing w:val="-5"/>
              </w:rPr>
              <w:t>排放</w:t>
            </w:r>
          </w:p>
          <w:p>
            <w:pPr>
              <w:pStyle w:val="TableText"/>
              <w:ind w:left="68"/>
              <w:spacing w:before="7" w:line="209" w:lineRule="auto"/>
              <w:rPr>
                <w:sz w:val="22"/>
                <w:szCs w:val="22"/>
              </w:rPr>
            </w:pPr>
            <w:r>
              <w:rPr>
                <w:sz w:val="22"/>
                <w:szCs w:val="22"/>
                <w:b/>
                <w:bCs/>
                <w:spacing w:val="-2"/>
              </w:rPr>
              <w:t>时段</w:t>
            </w:r>
          </w:p>
        </w:tc>
        <w:tc>
          <w:tcPr>
            <w:shd w:val="clear" w:fill="BDBDBD"/>
            <w:tcW w:w="3670" w:type="dxa"/>
            <w:vAlign w:val="top"/>
            <w:gridSpan w:val="3"/>
          </w:tcPr>
          <w:p>
            <w:pPr>
              <w:pStyle w:val="TableText"/>
              <w:ind w:left="859"/>
              <w:spacing w:before="30" w:line="204" w:lineRule="auto"/>
              <w:rPr>
                <w:sz w:val="22"/>
                <w:szCs w:val="22"/>
              </w:rPr>
            </w:pPr>
            <w:r>
              <w:rPr>
                <w:sz w:val="22"/>
                <w:szCs w:val="22"/>
                <w:b/>
                <w:bCs/>
                <w:spacing w:val="-2"/>
              </w:rPr>
              <w:t>受纳污水处理厂信息</w:t>
            </w:r>
          </w:p>
        </w:tc>
      </w:tr>
      <w:tr>
        <w:trPr>
          <w:trHeight w:val="538" w:hRule="atLeast"/>
        </w:trPr>
        <w:tc>
          <w:tcPr>
            <w:tcW w:w="265" w:type="dxa"/>
            <w:vAlign w:val="top"/>
            <w:vMerge w:val="continue"/>
            <w:textDirection w:val="tbRlV"/>
            <w:tcBorders>
              <w:top w:val="nil"/>
            </w:tcBorders>
          </w:tcPr>
          <w:p>
            <w:pPr>
              <w:rPr>
                <w:rFonts w:ascii="Arial"/>
                <w:sz w:val="21"/>
              </w:rPr>
            </w:pPr>
            <w:r/>
          </w:p>
        </w:tc>
        <w:tc>
          <w:tcPr>
            <w:tcW w:w="709" w:type="dxa"/>
            <w:vAlign w:val="top"/>
            <w:vMerge w:val="continue"/>
            <w:tcBorders>
              <w:top w:val="nil"/>
            </w:tcBorders>
          </w:tcPr>
          <w:p>
            <w:pPr>
              <w:rPr>
                <w:rFonts w:ascii="Arial"/>
                <w:sz w:val="21"/>
              </w:rPr>
            </w:pPr>
            <w:r/>
          </w:p>
        </w:tc>
        <w:tc>
          <w:tcPr>
            <w:tcW w:w="1149" w:type="dxa"/>
            <w:vAlign w:val="top"/>
            <w:vMerge w:val="continue"/>
            <w:tcBorders>
              <w:top w:val="nil"/>
            </w:tcBorders>
          </w:tcPr>
          <w:p>
            <w:pPr>
              <w:rPr>
                <w:rFonts w:ascii="Arial"/>
                <w:sz w:val="21"/>
              </w:rPr>
            </w:pPr>
            <w:r/>
          </w:p>
        </w:tc>
        <w:tc>
          <w:tcPr>
            <w:tcW w:w="989" w:type="dxa"/>
            <w:vAlign w:val="top"/>
            <w:vMerge w:val="continue"/>
            <w:tcBorders>
              <w:top w:val="nil"/>
            </w:tcBorders>
          </w:tcPr>
          <w:p>
            <w:pPr>
              <w:rPr>
                <w:rFonts w:ascii="Arial"/>
                <w:sz w:val="21"/>
              </w:rPr>
            </w:pPr>
            <w:r/>
          </w:p>
        </w:tc>
        <w:tc>
          <w:tcPr>
            <w:tcW w:w="529" w:type="dxa"/>
            <w:vAlign w:val="top"/>
            <w:vMerge w:val="continue"/>
            <w:tcBorders>
              <w:top w:val="nil"/>
            </w:tcBorders>
          </w:tcPr>
          <w:p>
            <w:pPr>
              <w:rPr>
                <w:rFonts w:ascii="Arial"/>
                <w:sz w:val="21"/>
              </w:rPr>
            </w:pPr>
            <w:r/>
          </w:p>
        </w:tc>
        <w:tc>
          <w:tcPr>
            <w:tcW w:w="639" w:type="dxa"/>
            <w:vAlign w:val="top"/>
            <w:vMerge w:val="continue"/>
            <w:tcBorders>
              <w:top w:val="nil"/>
            </w:tcBorders>
          </w:tcPr>
          <w:p>
            <w:pPr>
              <w:rPr>
                <w:rFonts w:ascii="Arial"/>
                <w:sz w:val="21"/>
              </w:rPr>
            </w:pPr>
            <w:r/>
          </w:p>
        </w:tc>
        <w:tc>
          <w:tcPr>
            <w:tcW w:w="589" w:type="dxa"/>
            <w:vAlign w:val="top"/>
            <w:vMerge w:val="continue"/>
            <w:tcBorders>
              <w:top w:val="nil"/>
            </w:tcBorders>
          </w:tcPr>
          <w:p>
            <w:pPr>
              <w:rPr>
                <w:rFonts w:ascii="Arial"/>
                <w:sz w:val="21"/>
              </w:rPr>
            </w:pPr>
            <w:r/>
          </w:p>
        </w:tc>
        <w:tc>
          <w:tcPr>
            <w:shd w:val="clear" w:fill="BDBDBD"/>
            <w:tcW w:w="689" w:type="dxa"/>
            <w:vAlign w:val="top"/>
          </w:tcPr>
          <w:p>
            <w:pPr>
              <w:pStyle w:val="TableText"/>
              <w:ind w:left="119"/>
              <w:spacing w:before="159" w:line="221" w:lineRule="auto"/>
              <w:rPr>
                <w:sz w:val="22"/>
                <w:szCs w:val="22"/>
              </w:rPr>
            </w:pPr>
            <w:r>
              <w:rPr>
                <w:sz w:val="22"/>
                <w:szCs w:val="22"/>
                <w:b/>
                <w:bCs/>
                <w:spacing w:val="-6"/>
              </w:rPr>
              <w:t>名称</w:t>
            </w:r>
          </w:p>
        </w:tc>
        <w:tc>
          <w:tcPr>
            <w:shd w:val="clear" w:fill="BDBDBD"/>
            <w:tcW w:w="949" w:type="dxa"/>
            <w:vAlign w:val="top"/>
          </w:tcPr>
          <w:p>
            <w:pPr>
              <w:pStyle w:val="TableText"/>
              <w:ind w:left="249" w:right="149" w:hanging="109"/>
              <w:spacing w:before="17" w:line="210" w:lineRule="auto"/>
              <w:rPr>
                <w:sz w:val="22"/>
                <w:szCs w:val="22"/>
              </w:rPr>
            </w:pPr>
            <w:r>
              <w:rPr>
                <w:sz w:val="22"/>
                <w:szCs w:val="22"/>
                <w:b/>
                <w:bCs/>
                <w:spacing w:val="-6"/>
              </w:rPr>
              <w:t>污染物</w:t>
            </w:r>
            <w:r>
              <w:rPr>
                <w:sz w:val="22"/>
                <w:szCs w:val="22"/>
              </w:rPr>
              <w:t xml:space="preserve"> </w:t>
            </w:r>
            <w:r>
              <w:rPr>
                <w:sz w:val="22"/>
                <w:szCs w:val="22"/>
                <w:b/>
                <w:bCs/>
                <w:spacing w:val="-5"/>
              </w:rPr>
              <w:t>种类</w:t>
            </w:r>
          </w:p>
        </w:tc>
        <w:tc>
          <w:tcPr>
            <w:shd w:val="clear" w:fill="BDBDBD"/>
            <w:tcW w:w="2032" w:type="dxa"/>
            <w:vAlign w:val="top"/>
          </w:tcPr>
          <w:p>
            <w:pPr>
              <w:pStyle w:val="TableText"/>
              <w:ind w:left="11" w:firstLine="9"/>
              <w:spacing w:before="37" w:line="206" w:lineRule="auto"/>
              <w:rPr>
                <w:sz w:val="22"/>
                <w:szCs w:val="22"/>
              </w:rPr>
            </w:pPr>
            <w:r>
              <w:rPr>
                <w:sz w:val="22"/>
                <w:szCs w:val="22"/>
                <w:b/>
                <w:bCs/>
                <w:spacing w:val="-20"/>
                <w:w w:val="97"/>
              </w:rPr>
              <w:t>国家或地方污染物排放</w:t>
            </w:r>
            <w:r>
              <w:rPr>
                <w:sz w:val="22"/>
                <w:szCs w:val="22"/>
                <w:spacing w:val="13"/>
              </w:rPr>
              <w:t xml:space="preserve"> </w:t>
            </w:r>
            <w:r>
              <w:rPr>
                <w:sz w:val="22"/>
                <w:szCs w:val="22"/>
                <w:b/>
                <w:bCs/>
              </w:rPr>
              <w:t>标准浓度限值(mg/L)</w:t>
            </w:r>
          </w:p>
        </w:tc>
      </w:tr>
      <w:tr>
        <w:trPr>
          <w:trHeight w:val="1908" w:hRule="atLeast"/>
        </w:trPr>
        <w:tc>
          <w:tcPr>
            <w:tcW w:w="265" w:type="dxa"/>
            <w:vAlign w:val="top"/>
          </w:tcPr>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38"/>
              <w:spacing w:before="71" w:line="241" w:lineRule="auto"/>
              <w:rPr>
                <w:sz w:val="22"/>
                <w:szCs w:val="22"/>
              </w:rPr>
            </w:pPr>
            <w:r>
              <w:rPr>
                <w:sz w:val="22"/>
                <w:szCs w:val="22"/>
                <w:b/>
                <w:bCs/>
                <w:color w:val="303050"/>
                <w:spacing w:val="-3"/>
              </w:rPr>
              <w:t>1</w:t>
            </w:r>
          </w:p>
        </w:tc>
        <w:tc>
          <w:tcPr>
            <w:tcW w:w="709" w:type="dxa"/>
            <w:vAlign w:val="top"/>
          </w:tcPr>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pStyle w:val="TableText"/>
              <w:ind w:left="73"/>
              <w:spacing w:before="72" w:line="184" w:lineRule="auto"/>
              <w:rPr>
                <w:sz w:val="22"/>
                <w:szCs w:val="22"/>
              </w:rPr>
            </w:pPr>
            <w:r>
              <w:rPr>
                <w:sz w:val="22"/>
                <w:szCs w:val="22"/>
                <w:b/>
                <w:bCs/>
                <w:spacing w:val="-4"/>
              </w:rPr>
              <w:t>DW001</w:t>
            </w:r>
          </w:p>
        </w:tc>
        <w:tc>
          <w:tcPr>
            <w:tcW w:w="1149" w:type="dxa"/>
            <w:vAlign w:val="top"/>
          </w:tcPr>
          <w:p>
            <w:pPr>
              <w:spacing w:line="348" w:lineRule="auto"/>
              <w:rPr>
                <w:rFonts w:ascii="Arial"/>
                <w:sz w:val="21"/>
              </w:rPr>
            </w:pPr>
            <w:r/>
          </w:p>
          <w:p>
            <w:pPr>
              <w:spacing w:line="348" w:lineRule="auto"/>
              <w:rPr>
                <w:rFonts w:ascii="Arial"/>
                <w:sz w:val="21"/>
              </w:rPr>
            </w:pPr>
            <w:r/>
          </w:p>
          <w:p>
            <w:pPr>
              <w:pStyle w:val="TableText"/>
              <w:ind w:left="13"/>
              <w:spacing w:before="72" w:line="224" w:lineRule="auto"/>
              <w:rPr>
                <w:sz w:val="22"/>
                <w:szCs w:val="22"/>
              </w:rPr>
            </w:pPr>
            <w:r>
              <w:rPr>
                <w:sz w:val="22"/>
                <w:szCs w:val="22"/>
                <w:b/>
                <w:bCs/>
                <w:spacing w:val="-11"/>
              </w:rPr>
              <w:t>E104.537315</w:t>
            </w:r>
            <w:r>
              <w:rPr>
                <w:sz w:val="22"/>
                <w:szCs w:val="22"/>
                <w:spacing w:val="9"/>
              </w:rPr>
              <w:t xml:space="preserve"> </w:t>
            </w:r>
            <w:r>
              <w:rPr>
                <w:sz w:val="22"/>
                <w:szCs w:val="22"/>
                <w:b/>
                <w:bCs/>
                <w:spacing w:val="-3"/>
              </w:rPr>
              <w:t>N31.540143</w:t>
            </w:r>
          </w:p>
        </w:tc>
        <w:tc>
          <w:tcPr>
            <w:tcW w:w="989" w:type="dxa"/>
            <w:vAlign w:val="top"/>
          </w:tcPr>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spacing w:before="71" w:line="239" w:lineRule="auto"/>
              <w:jc w:val="right"/>
              <w:rPr>
                <w:sz w:val="22"/>
                <w:szCs w:val="22"/>
              </w:rPr>
            </w:pPr>
            <w:r>
              <w:rPr>
                <w:sz w:val="22"/>
                <w:szCs w:val="22"/>
                <w:spacing w:val="-3"/>
              </w:rPr>
              <w:t>265008.96</w:t>
            </w:r>
          </w:p>
        </w:tc>
        <w:tc>
          <w:tcPr>
            <w:tcW w:w="529" w:type="dxa"/>
            <w:vAlign w:val="top"/>
          </w:tcPr>
          <w:p>
            <w:pPr>
              <w:spacing w:line="358" w:lineRule="auto"/>
              <w:rPr>
                <w:rFonts w:ascii="Arial"/>
                <w:sz w:val="21"/>
              </w:rPr>
            </w:pPr>
            <w:r/>
          </w:p>
          <w:p>
            <w:pPr>
              <w:pStyle w:val="TableText"/>
              <w:ind w:left="32"/>
              <w:spacing w:before="71" w:line="219" w:lineRule="auto"/>
              <w:rPr>
                <w:sz w:val="22"/>
                <w:szCs w:val="22"/>
              </w:rPr>
            </w:pPr>
            <w:r>
              <w:rPr>
                <w:sz w:val="22"/>
                <w:szCs w:val="22"/>
                <w:spacing w:val="-3"/>
              </w:rPr>
              <w:t>城镇</w:t>
            </w:r>
          </w:p>
          <w:p>
            <w:pPr>
              <w:pStyle w:val="TableText"/>
              <w:ind w:left="32"/>
              <w:spacing w:before="19" w:line="219" w:lineRule="auto"/>
              <w:rPr>
                <w:sz w:val="22"/>
                <w:szCs w:val="22"/>
              </w:rPr>
            </w:pPr>
            <w:r>
              <w:rPr>
                <w:sz w:val="22"/>
                <w:szCs w:val="22"/>
                <w:spacing w:val="5"/>
              </w:rPr>
              <w:t>污水</w:t>
            </w:r>
          </w:p>
          <w:p>
            <w:pPr>
              <w:pStyle w:val="TableText"/>
              <w:ind w:left="142" w:right="38" w:hanging="110"/>
              <w:spacing w:before="24" w:line="225" w:lineRule="auto"/>
              <w:rPr>
                <w:sz w:val="22"/>
                <w:szCs w:val="22"/>
              </w:rPr>
            </w:pPr>
            <w:r>
              <w:rPr>
                <w:sz w:val="22"/>
                <w:szCs w:val="22"/>
                <w:spacing w:val="3"/>
              </w:rPr>
              <w:t>处理</w:t>
            </w:r>
            <w:r>
              <w:rPr>
                <w:sz w:val="22"/>
                <w:szCs w:val="22"/>
              </w:rPr>
              <w:t xml:space="preserve"> </w:t>
            </w:r>
            <w:r>
              <w:rPr>
                <w:sz w:val="22"/>
                <w:szCs w:val="22"/>
              </w:rPr>
              <w:t>厂</w:t>
            </w:r>
          </w:p>
        </w:tc>
        <w:tc>
          <w:tcPr>
            <w:tcW w:w="639" w:type="dxa"/>
            <w:vAlign w:val="top"/>
          </w:tcPr>
          <w:p>
            <w:pPr>
              <w:spacing w:line="359" w:lineRule="auto"/>
              <w:rPr>
                <w:rFonts w:ascii="Arial"/>
                <w:sz w:val="21"/>
              </w:rPr>
            </w:pPr>
            <w:r/>
          </w:p>
          <w:p>
            <w:pPr>
              <w:pStyle w:val="TableText"/>
              <w:spacing w:before="71" w:line="220" w:lineRule="auto"/>
              <w:jc w:val="right"/>
              <w:rPr>
                <w:sz w:val="22"/>
                <w:szCs w:val="22"/>
              </w:rPr>
            </w:pPr>
            <w:r>
              <w:rPr>
                <w:sz w:val="22"/>
                <w:szCs w:val="22"/>
                <w:spacing w:val="-18"/>
              </w:rPr>
              <w:t>连续</w:t>
            </w:r>
            <w:r>
              <w:rPr>
                <w:sz w:val="22"/>
                <w:szCs w:val="22"/>
                <w:spacing w:val="-9"/>
              </w:rPr>
              <w:t>排</w:t>
            </w:r>
          </w:p>
          <w:p>
            <w:pPr>
              <w:pStyle w:val="TableText"/>
              <w:spacing w:before="18" w:line="221" w:lineRule="auto"/>
              <w:jc w:val="right"/>
              <w:rPr>
                <w:sz w:val="22"/>
                <w:szCs w:val="22"/>
              </w:rPr>
            </w:pPr>
            <w:r>
              <w:rPr>
                <w:sz w:val="22"/>
                <w:szCs w:val="22"/>
                <w:spacing w:val="-18"/>
              </w:rPr>
              <w:t>放</w:t>
            </w:r>
            <w:r>
              <w:rPr>
                <w:sz w:val="22"/>
                <w:szCs w:val="22"/>
                <w:spacing w:val="-17"/>
              </w:rPr>
              <w:t>、</w:t>
            </w:r>
            <w:r>
              <w:rPr>
                <w:sz w:val="22"/>
                <w:szCs w:val="22"/>
                <w:spacing w:val="-10"/>
              </w:rPr>
              <w:t>流</w:t>
            </w:r>
          </w:p>
          <w:p>
            <w:pPr>
              <w:pStyle w:val="TableText"/>
              <w:ind w:left="201" w:hanging="188"/>
              <w:spacing w:before="14" w:line="230" w:lineRule="auto"/>
              <w:rPr>
                <w:sz w:val="22"/>
                <w:szCs w:val="22"/>
              </w:rPr>
            </w:pPr>
            <w:r>
              <w:rPr>
                <w:sz w:val="22"/>
                <w:szCs w:val="22"/>
                <w:spacing w:val="-16"/>
              </w:rPr>
              <w:t>量不</w:t>
            </w:r>
            <w:r>
              <w:rPr>
                <w:sz w:val="22"/>
                <w:szCs w:val="22"/>
                <w:spacing w:val="-13"/>
              </w:rPr>
              <w:t>稳</w:t>
            </w:r>
            <w:r>
              <w:rPr>
                <w:sz w:val="22"/>
                <w:szCs w:val="22"/>
              </w:rPr>
              <w:t xml:space="preserve"> </w:t>
            </w:r>
            <w:r>
              <w:rPr>
                <w:sz w:val="22"/>
                <w:szCs w:val="22"/>
              </w:rPr>
              <w:t>定</w:t>
            </w:r>
          </w:p>
        </w:tc>
        <w:tc>
          <w:tcPr>
            <w:tcW w:w="589" w:type="dxa"/>
            <w:vAlign w:val="top"/>
            <w:textDirection w:val="tbRlV"/>
          </w:tcPr>
          <w:p>
            <w:pPr>
              <w:pStyle w:val="TableText"/>
              <w:ind w:left="823"/>
              <w:spacing w:before="242" w:line="143" w:lineRule="exact"/>
              <w:rPr>
                <w:sz w:val="22"/>
                <w:szCs w:val="22"/>
              </w:rPr>
            </w:pPr>
            <w:r>
              <w:rPr>
                <w:sz w:val="22"/>
                <w:szCs w:val="22"/>
                <w:color w:val="404050"/>
                <w:spacing w:val="54"/>
                <w:w w:val="141"/>
                <w:position w:val="-1"/>
              </w:rPr>
              <w:t>/</w:t>
            </w:r>
          </w:p>
        </w:tc>
        <w:tc>
          <w:tcPr>
            <w:tcW w:w="689" w:type="dxa"/>
            <w:vAlign w:val="top"/>
          </w:tcPr>
          <w:p>
            <w:pPr>
              <w:spacing w:line="376" w:lineRule="auto"/>
              <w:rPr>
                <w:rFonts w:ascii="Arial"/>
                <w:sz w:val="21"/>
              </w:rPr>
            </w:pPr>
            <w:r/>
          </w:p>
          <w:p>
            <w:pPr>
              <w:pStyle w:val="TableText"/>
              <w:spacing w:before="72" w:line="219" w:lineRule="auto"/>
              <w:jc w:val="right"/>
              <w:rPr>
                <w:sz w:val="22"/>
                <w:szCs w:val="22"/>
              </w:rPr>
            </w:pPr>
            <w:r>
              <w:rPr>
                <w:sz w:val="22"/>
                <w:szCs w:val="22"/>
                <w:spacing w:val="4"/>
              </w:rPr>
              <w:t>安州区</w:t>
            </w:r>
          </w:p>
          <w:p>
            <w:pPr>
              <w:pStyle w:val="TableText"/>
              <w:ind w:left="6"/>
              <w:spacing w:line="219" w:lineRule="auto"/>
              <w:rPr>
                <w:sz w:val="22"/>
                <w:szCs w:val="22"/>
              </w:rPr>
            </w:pPr>
            <w:r>
              <w:rPr>
                <w:sz w:val="22"/>
                <w:szCs w:val="22"/>
                <w:spacing w:val="-2"/>
              </w:rPr>
              <w:t>第三污</w:t>
            </w:r>
          </w:p>
          <w:p>
            <w:pPr>
              <w:pStyle w:val="TableText"/>
              <w:ind w:left="6"/>
              <w:spacing w:before="18" w:line="219" w:lineRule="auto"/>
              <w:rPr>
                <w:sz w:val="22"/>
                <w:szCs w:val="22"/>
              </w:rPr>
            </w:pPr>
            <w:r>
              <w:rPr>
                <w:sz w:val="22"/>
                <w:szCs w:val="22"/>
                <w:spacing w:val="-3"/>
              </w:rPr>
              <w:t>水处理</w:t>
            </w:r>
          </w:p>
          <w:p>
            <w:pPr>
              <w:pStyle w:val="TableText"/>
              <w:ind w:left="225"/>
              <w:spacing w:before="9" w:line="220" w:lineRule="auto"/>
              <w:rPr>
                <w:sz w:val="22"/>
                <w:szCs w:val="22"/>
              </w:rPr>
            </w:pPr>
            <w:r>
              <w:rPr>
                <w:sz w:val="22"/>
                <w:szCs w:val="22"/>
              </w:rPr>
              <w:t>厂</w:t>
            </w:r>
          </w:p>
        </w:tc>
        <w:tc>
          <w:tcPr>
            <w:tcW w:w="949" w:type="dxa"/>
            <w:vAlign w:val="top"/>
          </w:tcPr>
          <w:p>
            <w:pPr>
              <w:pStyle w:val="TableText"/>
              <w:ind w:left="196"/>
              <w:spacing w:before="225" w:line="183" w:lineRule="auto"/>
              <w:rPr>
                <w:sz w:val="22"/>
                <w:szCs w:val="22"/>
              </w:rPr>
            </w:pPr>
            <w:r>
              <w:rPr>
                <w:sz w:val="22"/>
                <w:szCs w:val="22"/>
                <w:spacing w:val="-6"/>
              </w:rPr>
              <w:t>COD、</w:t>
            </w:r>
          </w:p>
          <w:p>
            <w:pPr>
              <w:pStyle w:val="TableText"/>
              <w:ind w:left="137"/>
              <w:spacing w:before="82" w:line="183" w:lineRule="auto"/>
              <w:rPr>
                <w:sz w:val="22"/>
                <w:szCs w:val="22"/>
              </w:rPr>
            </w:pPr>
            <w:r>
              <w:rPr>
                <w:sz w:val="22"/>
                <w:szCs w:val="22"/>
                <w:spacing w:val="-4"/>
              </w:rPr>
              <w:t>BODs、</w:t>
            </w:r>
          </w:p>
          <w:p>
            <w:pPr>
              <w:pStyle w:val="TableText"/>
              <w:ind w:left="16"/>
              <w:spacing w:before="2" w:line="183" w:lineRule="auto"/>
              <w:rPr>
                <w:sz w:val="22"/>
                <w:szCs w:val="22"/>
              </w:rPr>
            </w:pPr>
            <w:r>
              <w:rPr>
                <w:sz w:val="22"/>
                <w:szCs w:val="22"/>
                <w:spacing w:val="-2"/>
              </w:rPr>
              <w:t>SS、NH</w:t>
            </w:r>
            <w:r>
              <w:rPr>
                <w:rFonts w:ascii="Calibri" w:hAnsi="Calibri" w:eastAsia="Calibri" w:cs="Calibri"/>
                <w:sz w:val="22"/>
                <w:szCs w:val="22"/>
                <w:spacing w:val="-2"/>
              </w:rPr>
              <w:t>₃</w:t>
            </w:r>
            <w:r>
              <w:rPr>
                <w:sz w:val="22"/>
                <w:szCs w:val="22"/>
                <w:spacing w:val="-2"/>
              </w:rPr>
              <w:t>-</w:t>
            </w:r>
          </w:p>
          <w:p>
            <w:pPr>
              <w:pStyle w:val="TableText"/>
              <w:ind w:left="86"/>
              <w:spacing w:before="92" w:line="172" w:lineRule="auto"/>
              <w:rPr>
                <w:sz w:val="22"/>
                <w:szCs w:val="22"/>
              </w:rPr>
            </w:pPr>
            <w:r>
              <w:rPr>
                <w:sz w:val="22"/>
                <w:szCs w:val="22"/>
                <w:spacing w:val="-5"/>
              </w:rPr>
              <w:t>N、TN、</w:t>
            </w:r>
          </w:p>
          <w:p>
            <w:pPr>
              <w:pStyle w:val="TableText"/>
              <w:ind w:left="26"/>
              <w:spacing w:line="219" w:lineRule="auto"/>
              <w:rPr>
                <w:sz w:val="22"/>
                <w:szCs w:val="22"/>
              </w:rPr>
            </w:pPr>
            <w:r>
              <w:rPr>
                <w:sz w:val="22"/>
                <w:szCs w:val="22"/>
                <w:spacing w:val="-1"/>
              </w:rPr>
              <w:t>TP、动植</w:t>
            </w:r>
          </w:p>
          <w:p>
            <w:pPr>
              <w:pStyle w:val="TableText"/>
              <w:ind w:left="246"/>
              <w:spacing w:before="10" w:line="221" w:lineRule="auto"/>
              <w:rPr>
                <w:sz w:val="22"/>
                <w:szCs w:val="22"/>
              </w:rPr>
            </w:pPr>
            <w:r>
              <w:rPr>
                <w:sz w:val="22"/>
                <w:szCs w:val="22"/>
                <w:spacing w:val="11"/>
              </w:rPr>
              <w:t>物油</w:t>
            </w:r>
          </w:p>
        </w:tc>
        <w:tc>
          <w:tcPr>
            <w:tcW w:w="2032" w:type="dxa"/>
            <w:vAlign w:val="top"/>
          </w:tcPr>
          <w:p>
            <w:pPr>
              <w:pStyle w:val="TableText"/>
              <w:ind w:left="548"/>
              <w:spacing w:before="98" w:line="183" w:lineRule="auto"/>
              <w:rPr>
                <w:sz w:val="22"/>
                <w:szCs w:val="22"/>
              </w:rPr>
            </w:pPr>
            <w:r>
              <w:rPr>
                <w:sz w:val="22"/>
                <w:szCs w:val="22"/>
                <w:spacing w:val="-1"/>
              </w:rPr>
              <w:t>COD:40</w:t>
            </w:r>
          </w:p>
          <w:p>
            <w:pPr>
              <w:pStyle w:val="TableText"/>
              <w:ind w:left="558"/>
              <w:spacing w:before="3" w:line="219" w:lineRule="auto"/>
              <w:rPr>
                <w:sz w:val="22"/>
                <w:szCs w:val="22"/>
              </w:rPr>
            </w:pPr>
            <w:r>
              <w:rPr>
                <w:sz w:val="22"/>
                <w:szCs w:val="22"/>
                <w:spacing w:val="-5"/>
              </w:rPr>
              <w:t>BOD</w:t>
            </w:r>
            <w:r>
              <w:rPr>
                <w:rFonts w:ascii="Calibri" w:hAnsi="Calibri" w:eastAsia="Calibri" w:cs="Calibri"/>
                <w:sz w:val="22"/>
                <w:szCs w:val="22"/>
                <w:spacing w:val="-5"/>
              </w:rPr>
              <w:t>₃</w:t>
            </w:r>
            <w:r>
              <w:rPr>
                <w:rFonts w:ascii="Calibri" w:hAnsi="Calibri" w:eastAsia="Calibri" w:cs="Calibri"/>
                <w:sz w:val="22"/>
                <w:szCs w:val="22"/>
                <w:spacing w:val="-6"/>
              </w:rPr>
              <w:t xml:space="preserve"> </w:t>
            </w:r>
            <w:r>
              <w:rPr>
                <w:sz w:val="22"/>
                <w:szCs w:val="22"/>
                <w:spacing w:val="-5"/>
              </w:rPr>
              <w:t>:10</w:t>
            </w:r>
          </w:p>
          <w:p>
            <w:pPr>
              <w:pStyle w:val="TableText"/>
              <w:ind w:left="268" w:right="692" w:firstLine="459"/>
              <w:spacing w:before="77" w:line="190" w:lineRule="auto"/>
              <w:rPr>
                <w:sz w:val="22"/>
                <w:szCs w:val="22"/>
              </w:rPr>
            </w:pPr>
            <w:r>
              <w:rPr>
                <w:sz w:val="22"/>
                <w:szCs w:val="22"/>
                <w:spacing w:val="-2"/>
              </w:rPr>
              <w:t>SS:10</w:t>
            </w:r>
            <w:r>
              <w:rPr>
                <w:sz w:val="22"/>
                <w:szCs w:val="22"/>
              </w:rPr>
              <w:t xml:space="preserve"> </w:t>
            </w:r>
            <w:r>
              <w:rPr>
                <w:sz w:val="22"/>
                <w:szCs w:val="22"/>
                <w:spacing w:val="-1"/>
              </w:rPr>
              <w:t>NH</w:t>
            </w:r>
            <w:r>
              <w:rPr>
                <w:rFonts w:ascii="Calibri" w:hAnsi="Calibri" w:eastAsia="Calibri" w:cs="Calibri"/>
                <w:sz w:val="22"/>
                <w:szCs w:val="22"/>
                <w:spacing w:val="-1"/>
              </w:rPr>
              <w:t>₃</w:t>
            </w:r>
            <w:r>
              <w:rPr>
                <w:sz w:val="22"/>
                <w:szCs w:val="22"/>
                <w:spacing w:val="-1"/>
              </w:rPr>
              <w:t>-N:3(5)</w:t>
            </w:r>
          </w:p>
          <w:p>
            <w:pPr>
              <w:pStyle w:val="TableText"/>
              <w:ind w:left="727"/>
              <w:spacing w:before="65" w:line="184" w:lineRule="auto"/>
              <w:rPr>
                <w:sz w:val="22"/>
                <w:szCs w:val="22"/>
              </w:rPr>
            </w:pPr>
            <w:r>
              <w:rPr>
                <w:sz w:val="22"/>
                <w:szCs w:val="22"/>
                <w:spacing w:val="-1"/>
              </w:rPr>
              <w:t>TN:15</w:t>
            </w:r>
          </w:p>
          <w:p>
            <w:pPr>
              <w:pStyle w:val="TableText"/>
              <w:ind w:left="667"/>
              <w:spacing w:before="17" w:line="208" w:lineRule="auto"/>
              <w:rPr>
                <w:sz w:val="22"/>
                <w:szCs w:val="22"/>
              </w:rPr>
            </w:pPr>
            <w:r>
              <w:rPr>
                <w:sz w:val="22"/>
                <w:szCs w:val="22"/>
                <w:spacing w:val="-1"/>
              </w:rPr>
              <w:t>TP:0.2</w:t>
            </w:r>
          </w:p>
          <w:p>
            <w:pPr>
              <w:pStyle w:val="TableText"/>
              <w:ind w:left="397"/>
              <w:spacing w:before="1" w:line="198" w:lineRule="auto"/>
              <w:rPr>
                <w:sz w:val="22"/>
                <w:szCs w:val="22"/>
              </w:rPr>
            </w:pPr>
            <w:r>
              <w:rPr>
                <w:sz w:val="22"/>
                <w:szCs w:val="22"/>
                <w:spacing w:val="3"/>
              </w:rPr>
              <w:t>动植物油：1</w:t>
            </w:r>
          </w:p>
        </w:tc>
      </w:tr>
    </w:tbl>
    <w:p>
      <w:pPr>
        <w:ind w:left="149" w:right="426" w:firstLine="490"/>
        <w:spacing w:before="63" w:line="391" w:lineRule="auto"/>
        <w:rPr>
          <w:rFonts w:ascii="SimSun" w:hAnsi="SimSun" w:eastAsia="SimSun" w:cs="SimSun"/>
          <w:sz w:val="24"/>
          <w:szCs w:val="24"/>
        </w:rPr>
      </w:pPr>
      <w:r>
        <w:rPr>
          <w:rFonts w:ascii="SimSun" w:hAnsi="SimSun" w:eastAsia="SimSun" w:cs="SimSun"/>
          <w:sz w:val="24"/>
          <w:szCs w:val="24"/>
        </w:rPr>
        <w:t>综上所述，项目运营期产生废水排放去向明确，处理方式有效、可行，不</w:t>
      </w:r>
      <w:r>
        <w:rPr>
          <w:rFonts w:ascii="SimSun" w:hAnsi="SimSun" w:eastAsia="SimSun" w:cs="SimSun"/>
          <w:sz w:val="24"/>
          <w:szCs w:val="24"/>
          <w:spacing w:val="12"/>
        </w:rPr>
        <w:t xml:space="preserve"> </w:t>
      </w:r>
      <w:r>
        <w:rPr>
          <w:rFonts w:ascii="SimSun" w:hAnsi="SimSun" w:eastAsia="SimSun" w:cs="SimSun"/>
          <w:sz w:val="24"/>
          <w:szCs w:val="24"/>
        </w:rPr>
        <w:t>会对项目周边水体造成明显影响。</w:t>
      </w:r>
    </w:p>
    <w:p>
      <w:pPr>
        <w:ind w:left="153"/>
        <w:spacing w:line="221" w:lineRule="auto"/>
        <w:rPr>
          <w:rFonts w:ascii="SimHei" w:hAnsi="SimHei" w:eastAsia="SimHei" w:cs="SimHei"/>
          <w:sz w:val="24"/>
          <w:szCs w:val="24"/>
        </w:rPr>
      </w:pPr>
      <w:r>
        <w:rPr>
          <w:rFonts w:ascii="SimHei" w:hAnsi="SimHei" w:eastAsia="SimHei" w:cs="SimHei"/>
          <w:sz w:val="24"/>
          <w:szCs w:val="24"/>
          <w:b/>
          <w:bCs/>
          <w:spacing w:val="16"/>
        </w:rPr>
        <w:t>3.11.2废气排放及治理</w:t>
      </w:r>
    </w:p>
    <w:p>
      <w:pPr>
        <w:ind w:left="149" w:right="448" w:firstLine="500"/>
        <w:spacing w:before="214" w:line="355" w:lineRule="auto"/>
        <w:rPr>
          <w:rFonts w:ascii="SimSun" w:hAnsi="SimSun" w:eastAsia="SimSun" w:cs="SimSun"/>
          <w:sz w:val="24"/>
          <w:szCs w:val="24"/>
        </w:rPr>
      </w:pPr>
      <w:r>
        <w:rPr>
          <w:rFonts w:ascii="SimSun" w:hAnsi="SimSun" w:eastAsia="SimSun" w:cs="SimSun"/>
          <w:sz w:val="24"/>
          <w:szCs w:val="24"/>
          <w:spacing w:val="3"/>
        </w:rPr>
        <w:t>本项目废气主要为恶臭(待宰及屠宰过程恶臭和污水处理站恶臭、固废暂</w:t>
      </w:r>
      <w:r>
        <w:rPr>
          <w:rFonts w:ascii="SimSun" w:hAnsi="SimSun" w:eastAsia="SimSun" w:cs="SimSun"/>
          <w:sz w:val="24"/>
          <w:szCs w:val="24"/>
          <w:spacing w:val="4"/>
        </w:rPr>
        <w:t xml:space="preserve"> </w:t>
      </w:r>
      <w:r>
        <w:rPr>
          <w:rFonts w:ascii="SimSun" w:hAnsi="SimSun" w:eastAsia="SimSun" w:cs="SimSun"/>
          <w:sz w:val="24"/>
          <w:szCs w:val="24"/>
          <w:spacing w:val="4"/>
        </w:rPr>
        <w:t>存恶臭)、燃烧废气、污水处理产生的沼气、食堂</w:t>
      </w:r>
      <w:r>
        <w:rPr>
          <w:rFonts w:ascii="SimSun" w:hAnsi="SimSun" w:eastAsia="SimSun" w:cs="SimSun"/>
          <w:sz w:val="24"/>
          <w:szCs w:val="24"/>
          <w:spacing w:val="3"/>
        </w:rPr>
        <w:t>油烟、备用柴油发电机废</w:t>
      </w:r>
    </w:p>
    <w:p>
      <w:pPr>
        <w:ind w:left="149"/>
        <w:spacing w:before="1" w:line="220" w:lineRule="auto"/>
        <w:rPr>
          <w:rFonts w:ascii="SimSun" w:hAnsi="SimSun" w:eastAsia="SimSun" w:cs="SimSun"/>
          <w:sz w:val="24"/>
          <w:szCs w:val="24"/>
        </w:rPr>
      </w:pPr>
      <w:r>
        <w:rPr>
          <w:rFonts w:ascii="SimSun" w:hAnsi="SimSun" w:eastAsia="SimSun" w:cs="SimSun"/>
          <w:sz w:val="24"/>
          <w:szCs w:val="24"/>
          <w:spacing w:val="-6"/>
        </w:rPr>
        <w:t>气</w:t>
      </w:r>
      <w:r>
        <w:rPr>
          <w:rFonts w:ascii="SimSun" w:hAnsi="SimSun" w:eastAsia="SimSun" w:cs="SimSun"/>
          <w:sz w:val="24"/>
          <w:szCs w:val="24"/>
          <w:spacing w:val="-55"/>
        </w:rPr>
        <w:t xml:space="preserve"> </w:t>
      </w:r>
      <w:r>
        <w:rPr>
          <w:rFonts w:ascii="SimSun" w:hAnsi="SimSun" w:eastAsia="SimSun" w:cs="SimSun"/>
          <w:sz w:val="24"/>
          <w:szCs w:val="24"/>
          <w:spacing w:val="-6"/>
        </w:rPr>
        <w:t>。</w:t>
      </w:r>
    </w:p>
    <w:p>
      <w:pPr>
        <w:ind w:left="653"/>
        <w:spacing w:before="179" w:line="219" w:lineRule="auto"/>
        <w:rPr>
          <w:rFonts w:ascii="SimSun" w:hAnsi="SimSun" w:eastAsia="SimSun" w:cs="SimSun"/>
          <w:sz w:val="24"/>
          <w:szCs w:val="24"/>
        </w:rPr>
      </w:pPr>
      <w:r>
        <w:rPr>
          <w:rFonts w:ascii="SimSun" w:hAnsi="SimSun" w:eastAsia="SimSun" w:cs="SimSun"/>
          <w:sz w:val="24"/>
          <w:szCs w:val="24"/>
          <w:b/>
          <w:bCs/>
          <w:spacing w:val="-8"/>
        </w:rPr>
        <w:t>1、恶臭</w:t>
      </w:r>
    </w:p>
    <w:p>
      <w:pPr>
        <w:ind w:left="149" w:right="296" w:firstLine="500"/>
        <w:spacing w:before="198" w:line="347" w:lineRule="auto"/>
        <w:jc w:val="both"/>
        <w:rPr>
          <w:rFonts w:ascii="SimSun" w:hAnsi="SimSun" w:eastAsia="SimSun" w:cs="SimSun"/>
          <w:sz w:val="24"/>
          <w:szCs w:val="24"/>
        </w:rPr>
      </w:pPr>
      <w:r>
        <w:rPr>
          <w:rFonts w:ascii="SimSun" w:hAnsi="SimSun" w:eastAsia="SimSun" w:cs="SimSun"/>
          <w:sz w:val="24"/>
          <w:szCs w:val="24"/>
          <w:spacing w:val="4"/>
        </w:rPr>
        <w:t>恶臭为多组分低浓度的混合气体，其成分可达几十到几百种，各成分之间 </w:t>
      </w:r>
      <w:r>
        <w:rPr>
          <w:rFonts w:ascii="SimSun" w:hAnsi="SimSun" w:eastAsia="SimSun" w:cs="SimSun"/>
          <w:sz w:val="24"/>
          <w:szCs w:val="24"/>
          <w:spacing w:val="11"/>
        </w:rPr>
        <w:t>既有协同作用也有颉顽作用。恶臭污染主要是通过影响人们的嗅觉来影响环</w:t>
      </w:r>
      <w:r>
        <w:rPr>
          <w:rFonts w:ascii="SimSun" w:hAnsi="SimSun" w:eastAsia="SimSun" w:cs="SimSun"/>
          <w:sz w:val="24"/>
          <w:szCs w:val="24"/>
          <w:spacing w:val="18"/>
        </w:rPr>
        <w:t xml:space="preserve"> </w:t>
      </w:r>
      <w:r>
        <w:rPr>
          <w:rFonts w:ascii="SimSun" w:hAnsi="SimSun" w:eastAsia="SimSun" w:cs="SimSun"/>
          <w:sz w:val="24"/>
          <w:szCs w:val="24"/>
          <w:spacing w:val="4"/>
        </w:rPr>
        <w:t>境。由于个人的生理、心理条件、年龄、性别、职业、习惯等因素的不同对恶</w:t>
      </w:r>
      <w:r>
        <w:rPr>
          <w:rFonts w:ascii="SimSun" w:hAnsi="SimSun" w:eastAsia="SimSun" w:cs="SimSun"/>
          <w:sz w:val="24"/>
          <w:szCs w:val="24"/>
          <w:spacing w:val="5"/>
        </w:rPr>
        <w:t xml:space="preserve"> </w:t>
      </w:r>
      <w:r>
        <w:rPr>
          <w:rFonts w:ascii="SimSun" w:hAnsi="SimSun" w:eastAsia="SimSun" w:cs="SimSun"/>
          <w:sz w:val="24"/>
          <w:szCs w:val="24"/>
          <w:spacing w:val="11"/>
        </w:rPr>
        <w:t>臭的敏感程度、厌恶程度和可耐受程度也不同。恶臭的影响也与污染源的性</w:t>
      </w:r>
      <w:r>
        <w:rPr>
          <w:rFonts w:ascii="SimSun" w:hAnsi="SimSun" w:eastAsia="SimSun" w:cs="SimSun"/>
          <w:sz w:val="24"/>
          <w:szCs w:val="24"/>
          <w:spacing w:val="15"/>
        </w:rPr>
        <w:t xml:space="preserve"> </w:t>
      </w:r>
      <w:r>
        <w:rPr>
          <w:rFonts w:ascii="SimSun" w:hAnsi="SimSun" w:eastAsia="SimSun" w:cs="SimSun"/>
          <w:sz w:val="24"/>
          <w:szCs w:val="24"/>
          <w:spacing w:val="-3"/>
        </w:rPr>
        <w:t>质、大气状况和距污染源的方位及距离有关。</w:t>
      </w:r>
    </w:p>
    <w:p>
      <w:pPr>
        <w:ind w:left="149" w:right="290" w:firstLine="500"/>
        <w:spacing w:before="35" w:line="362" w:lineRule="auto"/>
        <w:jc w:val="both"/>
        <w:rPr>
          <w:rFonts w:ascii="SimSun" w:hAnsi="SimSun" w:eastAsia="SimSun" w:cs="SimSun"/>
          <w:sz w:val="24"/>
          <w:szCs w:val="24"/>
        </w:rPr>
      </w:pPr>
      <w:r>
        <w:rPr>
          <w:rFonts w:ascii="SimSun" w:hAnsi="SimSun" w:eastAsia="SimSun" w:cs="SimSun"/>
          <w:sz w:val="24"/>
          <w:szCs w:val="24"/>
          <w:spacing w:val="4"/>
        </w:rPr>
        <w:t>与屠宰场有关的恶臭物质多达23种，大多为氨、硫化氢、硫醇类、酮类、</w:t>
      </w:r>
      <w:r>
        <w:rPr>
          <w:rFonts w:ascii="SimSun" w:hAnsi="SimSun" w:eastAsia="SimSun" w:cs="SimSun"/>
          <w:sz w:val="24"/>
          <w:szCs w:val="24"/>
          <w:spacing w:val="6"/>
        </w:rPr>
        <w:t xml:space="preserve"> </w:t>
      </w:r>
      <w:r>
        <w:rPr>
          <w:rFonts w:ascii="SimSun" w:hAnsi="SimSun" w:eastAsia="SimSun" w:cs="SimSun"/>
          <w:sz w:val="24"/>
          <w:szCs w:val="24"/>
          <w:spacing w:val="4"/>
        </w:rPr>
        <w:t>胺类、吲哚类和醛类，若未及时清除或清除后不能及时处理，将会使臭味成倍</w:t>
      </w:r>
      <w:r>
        <w:rPr>
          <w:rFonts w:ascii="SimSun" w:hAnsi="SimSun" w:eastAsia="SimSun" w:cs="SimSun"/>
          <w:sz w:val="24"/>
          <w:szCs w:val="24"/>
          <w:spacing w:val="2"/>
        </w:rPr>
        <w:t xml:space="preserve"> </w:t>
      </w:r>
      <w:r>
        <w:rPr>
          <w:rFonts w:ascii="SimSun" w:hAnsi="SimSun" w:eastAsia="SimSun" w:cs="SimSun"/>
          <w:sz w:val="24"/>
          <w:szCs w:val="24"/>
          <w:spacing w:val="4"/>
        </w:rPr>
        <w:t>增加，进一步产生甲基硫醇、二甲基二硫醚、甲硫醚、三甲胺等恶臭气体，并</w:t>
      </w:r>
      <w:r>
        <w:rPr>
          <w:rFonts w:ascii="SimSun" w:hAnsi="SimSun" w:eastAsia="SimSun" w:cs="SimSun"/>
          <w:sz w:val="24"/>
          <w:szCs w:val="24"/>
          <w:spacing w:val="3"/>
        </w:rPr>
        <w:t xml:space="preserve"> </w:t>
      </w:r>
      <w:r>
        <w:rPr>
          <w:rFonts w:ascii="SimSun" w:hAnsi="SimSun" w:eastAsia="SimSun" w:cs="SimSun"/>
          <w:sz w:val="24"/>
          <w:szCs w:val="24"/>
          <w:spacing w:val="-3"/>
        </w:rPr>
        <w:t>会孳生大量蚊蝇，影响环境卫生。</w:t>
      </w:r>
    </w:p>
    <w:p>
      <w:pPr>
        <w:spacing w:line="362" w:lineRule="auto"/>
        <w:sectPr>
          <w:headerReference w:type="default" r:id="rId301"/>
          <w:footerReference w:type="default" r:id="rId302"/>
          <w:pgSz w:w="11910" w:h="16840"/>
          <w:pgMar w:top="1167" w:right="1529" w:bottom="962" w:left="1619" w:header="874" w:footer="791" w:gutter="0"/>
        </w:sectPr>
        <w:rPr>
          <w:rFonts w:ascii="SimSun" w:hAnsi="SimSun" w:eastAsia="SimSun" w:cs="SimSun"/>
          <w:sz w:val="24"/>
          <w:szCs w:val="24"/>
        </w:rPr>
      </w:pPr>
    </w:p>
    <w:p>
      <w:pPr>
        <w:ind w:left="84" w:right="127" w:firstLine="480"/>
        <w:spacing w:before="290" w:line="367" w:lineRule="auto"/>
        <w:jc w:val="both"/>
        <w:rPr>
          <w:rFonts w:ascii="SimSun" w:hAnsi="SimSun" w:eastAsia="SimSun" w:cs="SimSun"/>
          <w:sz w:val="23"/>
          <w:szCs w:val="23"/>
        </w:rPr>
      </w:pPr>
      <w:r>
        <w:rPr>
          <w:rFonts w:ascii="SimSun" w:hAnsi="SimSun" w:eastAsia="SimSun" w:cs="SimSun"/>
          <w:sz w:val="23"/>
          <w:szCs w:val="23"/>
          <w:spacing w:val="14"/>
        </w:rPr>
        <w:t>本项目恶臭主要产生于生猪待宰圈舍、屠宰车间、肉牛待宰圈舍、屠宰车</w:t>
      </w:r>
      <w:r>
        <w:rPr>
          <w:rFonts w:ascii="SimSun" w:hAnsi="SimSun" w:eastAsia="SimSun" w:cs="SimSun"/>
          <w:sz w:val="23"/>
          <w:szCs w:val="23"/>
          <w:spacing w:val="11"/>
        </w:rPr>
        <w:t xml:space="preserve"> </w:t>
      </w:r>
      <w:r>
        <w:rPr>
          <w:rFonts w:ascii="SimSun" w:hAnsi="SimSun" w:eastAsia="SimSun" w:cs="SimSun"/>
          <w:sz w:val="23"/>
          <w:szCs w:val="23"/>
          <w:spacing w:val="14"/>
        </w:rPr>
        <w:t>间、污水处理站及固废暂存间。生猪、肉牛待宰过程中产生的粪尿排泄物，屠</w:t>
      </w:r>
      <w:r>
        <w:rPr>
          <w:rFonts w:ascii="SimSun" w:hAnsi="SimSun" w:eastAsia="SimSun" w:cs="SimSun"/>
          <w:sz w:val="23"/>
          <w:szCs w:val="23"/>
          <w:spacing w:val="4"/>
        </w:rPr>
        <w:t xml:space="preserve"> </w:t>
      </w:r>
      <w:r>
        <w:rPr>
          <w:rFonts w:ascii="SimSun" w:hAnsi="SimSun" w:eastAsia="SimSun" w:cs="SimSun"/>
          <w:sz w:val="23"/>
          <w:szCs w:val="23"/>
          <w:spacing w:val="18"/>
        </w:rPr>
        <w:t>宰解剖过程中内脏、肠内容物、粪便、尿液等，污水</w:t>
      </w:r>
      <w:r>
        <w:rPr>
          <w:rFonts w:ascii="SimSun" w:hAnsi="SimSun" w:eastAsia="SimSun" w:cs="SimSun"/>
          <w:sz w:val="23"/>
          <w:szCs w:val="23"/>
          <w:spacing w:val="17"/>
        </w:rPr>
        <w:t>处理站污泥处理单元(如</w:t>
      </w:r>
      <w:r>
        <w:rPr>
          <w:rFonts w:ascii="SimSun" w:hAnsi="SimSun" w:eastAsia="SimSun" w:cs="SimSun"/>
          <w:sz w:val="23"/>
          <w:szCs w:val="23"/>
        </w:rPr>
        <w:t xml:space="preserve"> </w:t>
      </w:r>
      <w:r>
        <w:rPr>
          <w:rFonts w:ascii="SimSun" w:hAnsi="SimSun" w:eastAsia="SimSun" w:cs="SimSun"/>
          <w:sz w:val="23"/>
          <w:szCs w:val="23"/>
          <w:spacing w:val="21"/>
        </w:rPr>
        <w:t>调节池、厌氧接触池等),固废暂存间内暂存屠宰废物、胃溶物、毛</w:t>
      </w:r>
      <w:r>
        <w:rPr>
          <w:rFonts w:ascii="SimSun" w:hAnsi="SimSun" w:eastAsia="SimSun" w:cs="SimSun"/>
          <w:sz w:val="23"/>
          <w:szCs w:val="23"/>
          <w:spacing w:val="20"/>
        </w:rPr>
        <w:t>皮等废弃</w:t>
      </w:r>
      <w:r>
        <w:rPr>
          <w:rFonts w:ascii="SimSun" w:hAnsi="SimSun" w:eastAsia="SimSun" w:cs="SimSun"/>
          <w:sz w:val="23"/>
          <w:szCs w:val="23"/>
        </w:rPr>
        <w:t xml:space="preserve"> </w:t>
      </w:r>
      <w:r>
        <w:rPr>
          <w:rFonts w:ascii="SimSun" w:hAnsi="SimSun" w:eastAsia="SimSun" w:cs="SimSun"/>
          <w:sz w:val="23"/>
          <w:szCs w:val="23"/>
          <w:spacing w:val="6"/>
        </w:rPr>
        <w:t>物，均会产生臭气气体，主要为</w:t>
      </w:r>
      <w:r>
        <w:rPr>
          <w:rFonts w:ascii="Times New Roman" w:hAnsi="Times New Roman" w:eastAsia="Times New Roman" w:cs="Times New Roman"/>
          <w:sz w:val="23"/>
          <w:szCs w:val="23"/>
        </w:rPr>
        <w:t>NH</w:t>
      </w:r>
      <w:r>
        <w:rPr>
          <w:rFonts w:ascii="Times New Roman" w:hAnsi="Times New Roman" w:eastAsia="Times New Roman" w:cs="Times New Roman"/>
          <w:sz w:val="23"/>
          <w:szCs w:val="23"/>
          <w:spacing w:val="6"/>
        </w:rPr>
        <w:t>₃</w:t>
      </w:r>
      <w:r>
        <w:rPr>
          <w:rFonts w:ascii="Times New Roman" w:hAnsi="Times New Roman" w:eastAsia="Times New Roman" w:cs="Times New Roman"/>
          <w:sz w:val="23"/>
          <w:szCs w:val="23"/>
          <w:spacing w:val="-27"/>
        </w:rPr>
        <w:t xml:space="preserve"> </w:t>
      </w:r>
      <w:r>
        <w:rPr>
          <w:rFonts w:ascii="SimSun" w:hAnsi="SimSun" w:eastAsia="SimSun" w:cs="SimSun"/>
          <w:sz w:val="23"/>
          <w:szCs w:val="23"/>
          <w:spacing w:val="6"/>
        </w:rPr>
        <w:t>、</w:t>
      </w:r>
      <w:r>
        <w:rPr>
          <w:rFonts w:ascii="Times New Roman" w:hAnsi="Times New Roman" w:eastAsia="Times New Roman" w:cs="Times New Roman"/>
          <w:sz w:val="23"/>
          <w:szCs w:val="23"/>
          <w:spacing w:val="6"/>
        </w:rPr>
        <w:t>H₂S</w:t>
      </w:r>
      <w:r>
        <w:rPr>
          <w:rFonts w:ascii="SimSun" w:hAnsi="SimSun" w:eastAsia="SimSun" w:cs="SimSun"/>
          <w:sz w:val="23"/>
          <w:szCs w:val="23"/>
          <w:spacing w:val="6"/>
        </w:rPr>
        <w:t>。</w:t>
      </w:r>
    </w:p>
    <w:p>
      <w:pPr>
        <w:ind w:left="708"/>
        <w:spacing w:line="219" w:lineRule="auto"/>
        <w:rPr>
          <w:rFonts w:ascii="SimSun" w:hAnsi="SimSun" w:eastAsia="SimSun" w:cs="SimSun"/>
          <w:sz w:val="25"/>
          <w:szCs w:val="25"/>
        </w:rPr>
      </w:pPr>
      <w:r>
        <w:rPr>
          <w:rFonts w:ascii="SimSun" w:hAnsi="SimSun" w:eastAsia="SimSun" w:cs="SimSun"/>
          <w:sz w:val="25"/>
          <w:szCs w:val="25"/>
          <w:b/>
          <w:bCs/>
          <w:spacing w:val="-4"/>
        </w:rPr>
        <w:t>(1)生猪待宰圈舍、屠宰车间恶臭</w:t>
      </w:r>
    </w:p>
    <w:p>
      <w:pPr>
        <w:ind w:left="568"/>
        <w:spacing w:before="180" w:line="217" w:lineRule="auto"/>
        <w:rPr>
          <w:rFonts w:ascii="SimSun" w:hAnsi="SimSun" w:eastAsia="SimSun" w:cs="SimSun"/>
          <w:sz w:val="23"/>
          <w:szCs w:val="23"/>
        </w:rPr>
      </w:pPr>
      <w:r>
        <w:rPr>
          <w:rFonts w:ascii="SimSun" w:hAnsi="SimSun" w:eastAsia="SimSun" w:cs="SimSun"/>
          <w:sz w:val="23"/>
          <w:szCs w:val="23"/>
          <w:b/>
          <w:bCs/>
          <w:spacing w:val="10"/>
        </w:rPr>
        <w:t>①产生情况</w:t>
      </w:r>
    </w:p>
    <w:p>
      <w:pPr>
        <w:ind w:left="84" w:right="129" w:firstLine="480"/>
        <w:spacing w:before="246" w:line="370" w:lineRule="auto"/>
        <w:rPr>
          <w:rFonts w:ascii="SimSun" w:hAnsi="SimSun" w:eastAsia="SimSun" w:cs="SimSun"/>
          <w:sz w:val="23"/>
          <w:szCs w:val="23"/>
        </w:rPr>
      </w:pPr>
      <w:r>
        <w:rPr>
          <w:rFonts w:ascii="SimSun" w:hAnsi="SimSun" w:eastAsia="SimSun" w:cs="SimSun"/>
          <w:sz w:val="23"/>
          <w:szCs w:val="23"/>
          <w:spacing w:val="13"/>
        </w:rPr>
        <w:t>生猪待宰圈舍恶臭：本项目收运的生猪由专业的运输车辆运至项目区内。</w:t>
      </w:r>
      <w:r>
        <w:rPr>
          <w:rFonts w:ascii="SimSun" w:hAnsi="SimSun" w:eastAsia="SimSun" w:cs="SimSun"/>
          <w:sz w:val="23"/>
          <w:szCs w:val="23"/>
          <w:spacing w:val="18"/>
        </w:rPr>
        <w:t xml:space="preserve"> </w:t>
      </w:r>
      <w:r>
        <w:rPr>
          <w:rFonts w:ascii="SimSun" w:hAnsi="SimSun" w:eastAsia="SimSun" w:cs="SimSun"/>
          <w:sz w:val="23"/>
          <w:szCs w:val="23"/>
          <w:spacing w:val="16"/>
        </w:rPr>
        <w:t>项目设置生猪待宰圈舍，生猪在厂区内静养时间为</w:t>
      </w:r>
      <w:r>
        <w:rPr>
          <w:rFonts w:ascii="SimSun" w:hAnsi="SimSun" w:eastAsia="SimSun" w:cs="SimSun"/>
          <w:sz w:val="23"/>
          <w:szCs w:val="23"/>
          <w:spacing w:val="15"/>
        </w:rPr>
        <w:t>12</w:t>
      </w:r>
      <w:r>
        <w:rPr>
          <w:rFonts w:ascii="Times New Roman" w:hAnsi="Times New Roman" w:eastAsia="Times New Roman" w:cs="Times New Roman"/>
          <w:sz w:val="23"/>
          <w:szCs w:val="23"/>
          <w:spacing w:val="15"/>
        </w:rPr>
        <w:t>h</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15"/>
        </w:rPr>
        <w:t>、不提供食物、仅维持</w:t>
      </w:r>
      <w:r>
        <w:rPr>
          <w:rFonts w:ascii="SimSun" w:hAnsi="SimSun" w:eastAsia="SimSun" w:cs="SimSun"/>
          <w:sz w:val="23"/>
          <w:szCs w:val="23"/>
        </w:rPr>
        <w:t xml:space="preserve"> </w:t>
      </w:r>
      <w:r>
        <w:rPr>
          <w:rFonts w:ascii="SimSun" w:hAnsi="SimSun" w:eastAsia="SimSun" w:cs="SimSun"/>
          <w:sz w:val="23"/>
          <w:szCs w:val="23"/>
          <w:spacing w:val="14"/>
        </w:rPr>
        <w:t>水源，静养过程中产生少量粪尿排泄物，这些粪便产生</w:t>
      </w:r>
      <w:r>
        <w:rPr>
          <w:rFonts w:ascii="Times New Roman" w:hAnsi="Times New Roman" w:eastAsia="Times New Roman" w:cs="Times New Roman"/>
          <w:sz w:val="23"/>
          <w:szCs w:val="23"/>
        </w:rPr>
        <w:t>NH</w:t>
      </w:r>
      <w:r>
        <w:rPr>
          <w:rFonts w:ascii="Times New Roman" w:hAnsi="Times New Roman" w:eastAsia="Times New Roman" w:cs="Times New Roman"/>
          <w:sz w:val="23"/>
          <w:szCs w:val="23"/>
          <w:spacing w:val="14"/>
        </w:rPr>
        <w:t>₃</w:t>
      </w:r>
      <w:r>
        <w:rPr>
          <w:rFonts w:ascii="Times New Roman" w:hAnsi="Times New Roman" w:eastAsia="Times New Roman" w:cs="Times New Roman"/>
          <w:sz w:val="23"/>
          <w:szCs w:val="23"/>
          <w:spacing w:val="-33"/>
        </w:rPr>
        <w:t xml:space="preserve"> </w:t>
      </w:r>
      <w:r>
        <w:rPr>
          <w:rFonts w:ascii="SimSun" w:hAnsi="SimSun" w:eastAsia="SimSun" w:cs="SimSun"/>
          <w:sz w:val="23"/>
          <w:szCs w:val="23"/>
          <w:spacing w:val="14"/>
        </w:rPr>
        <w:t>、</w:t>
      </w:r>
      <w:r>
        <w:rPr>
          <w:rFonts w:ascii="Times New Roman" w:hAnsi="Times New Roman" w:eastAsia="Times New Roman" w:cs="Times New Roman"/>
          <w:sz w:val="23"/>
          <w:szCs w:val="23"/>
          <w:spacing w:val="14"/>
        </w:rPr>
        <w:t>H₂S  </w:t>
      </w:r>
      <w:r>
        <w:rPr>
          <w:rFonts w:ascii="SimSun" w:hAnsi="SimSun" w:eastAsia="SimSun" w:cs="SimSun"/>
          <w:sz w:val="23"/>
          <w:szCs w:val="23"/>
          <w:spacing w:val="14"/>
        </w:rPr>
        <w:t>等</w:t>
      </w:r>
      <w:r>
        <w:rPr>
          <w:rFonts w:ascii="SimSun" w:hAnsi="SimSun" w:eastAsia="SimSun" w:cs="SimSun"/>
          <w:sz w:val="23"/>
          <w:szCs w:val="23"/>
          <w:spacing w:val="13"/>
        </w:rPr>
        <w:t>恶臭有害</w:t>
      </w:r>
      <w:r>
        <w:rPr>
          <w:rFonts w:ascii="SimSun" w:hAnsi="SimSun" w:eastAsia="SimSun" w:cs="SimSun"/>
          <w:sz w:val="23"/>
          <w:szCs w:val="23"/>
        </w:rPr>
        <w:t xml:space="preserve"> </w:t>
      </w:r>
      <w:r>
        <w:rPr>
          <w:rFonts w:ascii="SimSun" w:hAnsi="SimSun" w:eastAsia="SimSun" w:cs="SimSun"/>
          <w:sz w:val="23"/>
          <w:szCs w:val="23"/>
          <w:spacing w:val="14"/>
        </w:rPr>
        <w:t>气体，若未及时清除或清除后不能及时处理，将会使臭味成倍增加，进一步产</w:t>
      </w:r>
      <w:r>
        <w:rPr>
          <w:rFonts w:ascii="SimSun" w:hAnsi="SimSun" w:eastAsia="SimSun" w:cs="SimSun"/>
          <w:sz w:val="23"/>
          <w:szCs w:val="23"/>
          <w:spacing w:val="7"/>
        </w:rPr>
        <w:t xml:space="preserve"> </w:t>
      </w:r>
      <w:r>
        <w:rPr>
          <w:rFonts w:ascii="SimSun" w:hAnsi="SimSun" w:eastAsia="SimSun" w:cs="SimSun"/>
          <w:sz w:val="23"/>
          <w:szCs w:val="23"/>
          <w:spacing w:val="14"/>
        </w:rPr>
        <w:t>生甲基硫醇、二甲基二硫醚、二甲胺等恶臭气体，并会孳生大量蚊蝇，影响环</w:t>
      </w:r>
      <w:r>
        <w:rPr>
          <w:rFonts w:ascii="SimSun" w:hAnsi="SimSun" w:eastAsia="SimSun" w:cs="SimSun"/>
          <w:sz w:val="23"/>
          <w:szCs w:val="23"/>
          <w:spacing w:val="4"/>
        </w:rPr>
        <w:t xml:space="preserve"> </w:t>
      </w:r>
      <w:r>
        <w:rPr>
          <w:rFonts w:ascii="SimSun" w:hAnsi="SimSun" w:eastAsia="SimSun" w:cs="SimSun"/>
          <w:sz w:val="23"/>
          <w:szCs w:val="23"/>
          <w:spacing w:val="8"/>
        </w:rPr>
        <w:t>境卫生。</w:t>
      </w:r>
    </w:p>
    <w:p>
      <w:pPr>
        <w:ind w:left="84" w:right="130" w:firstLine="480"/>
        <w:spacing w:before="22" w:line="370" w:lineRule="auto"/>
        <w:rPr>
          <w:rFonts w:ascii="SimSun" w:hAnsi="SimSun" w:eastAsia="SimSun" w:cs="SimSun"/>
          <w:sz w:val="23"/>
          <w:szCs w:val="23"/>
        </w:rPr>
      </w:pPr>
      <w:r>
        <w:rPr>
          <w:rFonts w:ascii="SimSun" w:hAnsi="SimSun" w:eastAsia="SimSun" w:cs="SimSun"/>
          <w:sz w:val="23"/>
          <w:szCs w:val="23"/>
          <w:spacing w:val="14"/>
        </w:rPr>
        <w:t>生猪屠宰车间恶臭：根据建设单位提供资料，项目生猪屠宰采用机械化生</w:t>
      </w:r>
      <w:r>
        <w:rPr>
          <w:rFonts w:ascii="SimSun" w:hAnsi="SimSun" w:eastAsia="SimSun" w:cs="SimSun"/>
          <w:sz w:val="23"/>
          <w:szCs w:val="23"/>
          <w:spacing w:val="12"/>
        </w:rPr>
        <w:t xml:space="preserve"> </w:t>
      </w:r>
      <w:r>
        <w:rPr>
          <w:rFonts w:ascii="SimSun" w:hAnsi="SimSun" w:eastAsia="SimSun" w:cs="SimSun"/>
          <w:sz w:val="23"/>
          <w:szCs w:val="23"/>
          <w:spacing w:val="14"/>
        </w:rPr>
        <w:t>产线，此生产线的最大特点就是人工参与量较传统屠宰工艺人工量少很多，生</w:t>
      </w:r>
      <w:r>
        <w:rPr>
          <w:rFonts w:ascii="SimSun" w:hAnsi="SimSun" w:eastAsia="SimSun" w:cs="SimSun"/>
          <w:sz w:val="23"/>
          <w:szCs w:val="23"/>
          <w:spacing w:val="3"/>
        </w:rPr>
        <w:t xml:space="preserve"> </w:t>
      </w:r>
      <w:r>
        <w:rPr>
          <w:rFonts w:ascii="SimSun" w:hAnsi="SimSun" w:eastAsia="SimSun" w:cs="SimSun"/>
          <w:sz w:val="23"/>
          <w:szCs w:val="23"/>
          <w:spacing w:val="14"/>
        </w:rPr>
        <w:t>产线较为封闭，主要恶臭产生源为机械化屠宰加工线上。由于屠宰加工过程许</w:t>
      </w:r>
      <w:r>
        <w:rPr>
          <w:rFonts w:ascii="SimSun" w:hAnsi="SimSun" w:eastAsia="SimSun" w:cs="SimSun"/>
          <w:sz w:val="23"/>
          <w:szCs w:val="23"/>
          <w:spacing w:val="1"/>
        </w:rPr>
        <w:t xml:space="preserve"> </w:t>
      </w:r>
      <w:r>
        <w:rPr>
          <w:rFonts w:ascii="SimSun" w:hAnsi="SimSun" w:eastAsia="SimSun" w:cs="SimSun"/>
          <w:sz w:val="23"/>
          <w:szCs w:val="23"/>
          <w:spacing w:val="14"/>
        </w:rPr>
        <w:t>多作业都要使用热水或冷水，地面上容易积水，所以空气湿度很高。屠宰间恶</w:t>
      </w:r>
      <w:r>
        <w:rPr>
          <w:rFonts w:ascii="SimSun" w:hAnsi="SimSun" w:eastAsia="SimSun" w:cs="SimSun"/>
          <w:sz w:val="23"/>
          <w:szCs w:val="23"/>
          <w:spacing w:val="4"/>
        </w:rPr>
        <w:t xml:space="preserve"> </w:t>
      </w:r>
      <w:r>
        <w:rPr>
          <w:rFonts w:ascii="SimSun" w:hAnsi="SimSun" w:eastAsia="SimSun" w:cs="SimSun"/>
          <w:sz w:val="23"/>
          <w:szCs w:val="23"/>
          <w:spacing w:val="14"/>
        </w:rPr>
        <w:t>臭气体主要由内脏加工区产生内脏、胃肠容物等的臭气及血腥味混在一起，产</w:t>
      </w:r>
      <w:r>
        <w:rPr>
          <w:rFonts w:ascii="SimSun" w:hAnsi="SimSun" w:eastAsia="SimSun" w:cs="SimSun"/>
          <w:sz w:val="23"/>
          <w:szCs w:val="23"/>
          <w:spacing w:val="7"/>
        </w:rPr>
        <w:t xml:space="preserve"> </w:t>
      </w:r>
      <w:r>
        <w:rPr>
          <w:rFonts w:ascii="SimSun" w:hAnsi="SimSun" w:eastAsia="SimSun" w:cs="SimSun"/>
          <w:sz w:val="23"/>
          <w:szCs w:val="23"/>
          <w:spacing w:val="13"/>
        </w:rPr>
        <w:t>生刺鼻的腥臭味，如不加以防范，恶臭气体易迅速扩散到整个厂区直至外界。</w:t>
      </w:r>
      <w:r>
        <w:rPr>
          <w:rFonts w:ascii="SimSun" w:hAnsi="SimSun" w:eastAsia="SimSun" w:cs="SimSun"/>
          <w:sz w:val="23"/>
          <w:szCs w:val="23"/>
          <w:spacing w:val="11"/>
        </w:rPr>
        <w:t xml:space="preserve"> </w:t>
      </w:r>
      <w:r>
        <w:rPr>
          <w:rFonts w:ascii="SimSun" w:hAnsi="SimSun" w:eastAsia="SimSun" w:cs="SimSun"/>
          <w:sz w:val="23"/>
          <w:szCs w:val="23"/>
          <w:spacing w:val="14"/>
        </w:rPr>
        <w:t>此外如果有血、肉、骨或脂肪残留而不及时处理，便会迅速腐烂，腥臭气更为</w:t>
      </w:r>
      <w:r>
        <w:rPr>
          <w:rFonts w:ascii="SimSun" w:hAnsi="SimSun" w:eastAsia="SimSun" w:cs="SimSun"/>
          <w:sz w:val="23"/>
          <w:szCs w:val="23"/>
          <w:spacing w:val="4"/>
        </w:rPr>
        <w:t xml:space="preserve"> </w:t>
      </w:r>
      <w:r>
        <w:rPr>
          <w:rFonts w:ascii="SimSun" w:hAnsi="SimSun" w:eastAsia="SimSun" w:cs="SimSun"/>
          <w:sz w:val="23"/>
          <w:szCs w:val="23"/>
          <w:spacing w:val="15"/>
        </w:rPr>
        <w:t>严重。</w:t>
      </w:r>
    </w:p>
    <w:p>
      <w:pPr>
        <w:ind w:left="84" w:right="229" w:firstLine="480"/>
        <w:spacing w:before="53" w:line="351" w:lineRule="auto"/>
        <w:rPr>
          <w:rFonts w:ascii="SimSun" w:hAnsi="SimSun" w:eastAsia="SimSun" w:cs="SimSun"/>
          <w:sz w:val="23"/>
          <w:szCs w:val="23"/>
        </w:rPr>
      </w:pPr>
      <w:r>
        <w:rPr>
          <w:rFonts w:ascii="SimSun" w:hAnsi="SimSun" w:eastAsia="SimSun" w:cs="SimSun"/>
          <w:sz w:val="23"/>
          <w:szCs w:val="23"/>
          <w:spacing w:val="7"/>
        </w:rPr>
        <w:t>本项目设计生猪最大屠宰量为40万头/年，生猪待宰圈舍、屠宰车间恶臭气</w:t>
      </w:r>
      <w:r>
        <w:rPr>
          <w:rFonts w:ascii="SimSun" w:hAnsi="SimSun" w:eastAsia="SimSun" w:cs="SimSun"/>
          <w:sz w:val="23"/>
          <w:szCs w:val="23"/>
          <w:spacing w:val="11"/>
        </w:rPr>
        <w:t xml:space="preserve"> </w:t>
      </w:r>
      <w:r>
        <w:rPr>
          <w:rFonts w:ascii="SimSun" w:hAnsi="SimSun" w:eastAsia="SimSun" w:cs="SimSun"/>
          <w:sz w:val="23"/>
          <w:szCs w:val="23"/>
          <w:spacing w:val="10"/>
        </w:rPr>
        <w:t>体产生量通过类比《绵阳斯坦瑞食品科技有限公司年屠宰60万</w:t>
      </w:r>
      <w:r>
        <w:rPr>
          <w:rFonts w:ascii="SimSun" w:hAnsi="SimSun" w:eastAsia="SimSun" w:cs="SimSun"/>
          <w:sz w:val="23"/>
          <w:szCs w:val="23"/>
          <w:spacing w:val="9"/>
        </w:rPr>
        <w:t>头生猪项目》</w:t>
      </w:r>
    </w:p>
    <w:p>
      <w:pPr>
        <w:ind w:left="84" w:right="269"/>
        <w:spacing w:line="372" w:lineRule="auto"/>
        <w:rPr>
          <w:rFonts w:ascii="SimSun" w:hAnsi="SimSun" w:eastAsia="SimSun" w:cs="SimSun"/>
          <w:sz w:val="23"/>
          <w:szCs w:val="23"/>
        </w:rPr>
      </w:pPr>
      <w:r>
        <w:rPr>
          <w:rFonts w:ascii="SimSun" w:hAnsi="SimSun" w:eastAsia="SimSun" w:cs="SimSun"/>
          <w:sz w:val="23"/>
          <w:szCs w:val="23"/>
          <w:spacing w:val="3"/>
        </w:rPr>
        <w:t>2024年9月28日委托检测报告(项目编号： </w:t>
      </w:r>
      <w:r>
        <w:rPr>
          <w:rFonts w:ascii="Times New Roman" w:hAnsi="Times New Roman" w:eastAsia="Times New Roman" w:cs="Times New Roman"/>
          <w:sz w:val="23"/>
          <w:szCs w:val="23"/>
        </w:rPr>
        <w:t>SCLCICISYXGS</w:t>
      </w:r>
      <w:r>
        <w:rPr>
          <w:rFonts w:ascii="Times New Roman" w:hAnsi="Times New Roman" w:eastAsia="Times New Roman" w:cs="Times New Roman"/>
          <w:sz w:val="23"/>
          <w:szCs w:val="23"/>
          <w:spacing w:val="3"/>
        </w:rPr>
        <w:t>6060-0001),        </w:t>
      </w:r>
      <w:r>
        <w:rPr>
          <w:rFonts w:ascii="SimSun" w:hAnsi="SimSun" w:eastAsia="SimSun" w:cs="SimSun"/>
          <w:sz w:val="23"/>
          <w:szCs w:val="23"/>
          <w:spacing w:val="3"/>
        </w:rPr>
        <w:t>绵</w:t>
      </w:r>
      <w:r>
        <w:rPr>
          <w:rFonts w:ascii="SimSun" w:hAnsi="SimSun" w:eastAsia="SimSun" w:cs="SimSun"/>
          <w:sz w:val="23"/>
          <w:szCs w:val="23"/>
          <w:spacing w:val="-25"/>
        </w:rPr>
        <w:t xml:space="preserve"> </w:t>
      </w:r>
      <w:r>
        <w:rPr>
          <w:rFonts w:ascii="SimSun" w:hAnsi="SimSun" w:eastAsia="SimSun" w:cs="SimSun"/>
          <w:sz w:val="23"/>
          <w:szCs w:val="23"/>
          <w:spacing w:val="3"/>
        </w:rPr>
        <w:t>阳</w:t>
      </w:r>
      <w:r>
        <w:rPr>
          <w:rFonts w:ascii="SimSun" w:hAnsi="SimSun" w:eastAsia="SimSun" w:cs="SimSun"/>
          <w:sz w:val="23"/>
          <w:szCs w:val="23"/>
        </w:rPr>
        <w:t xml:space="preserve"> </w:t>
      </w:r>
      <w:r>
        <w:rPr>
          <w:rFonts w:ascii="SimSun" w:hAnsi="SimSun" w:eastAsia="SimSun" w:cs="SimSun"/>
          <w:sz w:val="23"/>
          <w:szCs w:val="23"/>
          <w:spacing w:val="7"/>
        </w:rPr>
        <w:t>斯坦瑞食品科技有限公司年屠宰60万头生猪项目详细情况见下表：</w:t>
      </w:r>
    </w:p>
    <w:p>
      <w:pPr>
        <w:ind w:left="998"/>
        <w:spacing w:before="6" w:line="219" w:lineRule="auto"/>
        <w:rPr>
          <w:rFonts w:ascii="SimSun" w:hAnsi="SimSun" w:eastAsia="SimSun" w:cs="SimSun"/>
          <w:sz w:val="24"/>
          <w:szCs w:val="24"/>
        </w:rPr>
      </w:pPr>
      <w:r>
        <w:rPr>
          <w:rFonts w:ascii="SimSun" w:hAnsi="SimSun" w:eastAsia="SimSun" w:cs="SimSun"/>
          <w:sz w:val="24"/>
          <w:szCs w:val="24"/>
          <w:b/>
          <w:bCs/>
          <w:spacing w:val="-3"/>
        </w:rPr>
        <w:t>表3.11-13项目生猪待宰圈舍、屠宰车间恶臭污染物产生量类比</w:t>
      </w:r>
    </w:p>
    <w:p>
      <w:pPr>
        <w:spacing w:line="14" w:lineRule="exact"/>
        <w:rPr/>
      </w:pPr>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94"/>
        <w:gridCol w:w="3785"/>
        <w:gridCol w:w="3830"/>
      </w:tblGrid>
      <w:tr>
        <w:trPr>
          <w:trHeight w:val="561" w:hRule="atLeast"/>
        </w:trPr>
        <w:tc>
          <w:tcPr>
            <w:shd w:val="clear" w:fill="BDBDBD"/>
            <w:tcW w:w="894" w:type="dxa"/>
            <w:vAlign w:val="top"/>
          </w:tcPr>
          <w:p>
            <w:pPr>
              <w:pStyle w:val="TableText"/>
              <w:ind w:left="127"/>
              <w:spacing w:before="11" w:line="220" w:lineRule="auto"/>
              <w:rPr>
                <w:sz w:val="21"/>
                <w:szCs w:val="21"/>
              </w:rPr>
            </w:pPr>
            <w:r>
              <w:rPr>
                <w:sz w:val="21"/>
                <w:szCs w:val="21"/>
                <w:b/>
                <w:bCs/>
                <w:spacing w:val="-5"/>
              </w:rPr>
              <w:t>建设单</w:t>
            </w:r>
          </w:p>
          <w:p>
            <w:pPr>
              <w:pStyle w:val="TableText"/>
              <w:ind w:left="127"/>
              <w:spacing w:before="50" w:line="210" w:lineRule="auto"/>
              <w:rPr>
                <w:sz w:val="21"/>
                <w:szCs w:val="21"/>
              </w:rPr>
            </w:pPr>
            <w:r>
              <w:rPr>
                <w:sz w:val="21"/>
                <w:szCs w:val="21"/>
                <w:b/>
                <w:bCs/>
                <w:spacing w:val="-5"/>
              </w:rPr>
              <w:t>位名称</w:t>
            </w:r>
          </w:p>
        </w:tc>
        <w:tc>
          <w:tcPr>
            <w:shd w:val="clear" w:fill="BDBDBD"/>
            <w:tcW w:w="3785" w:type="dxa"/>
            <w:vAlign w:val="top"/>
          </w:tcPr>
          <w:p>
            <w:pPr>
              <w:pStyle w:val="TableText"/>
              <w:ind w:left="524"/>
              <w:spacing w:before="179" w:line="219" w:lineRule="auto"/>
              <w:rPr>
                <w:sz w:val="21"/>
                <w:szCs w:val="21"/>
              </w:rPr>
            </w:pPr>
            <w:r>
              <w:rPr>
                <w:sz w:val="21"/>
                <w:szCs w:val="21"/>
                <w:b/>
                <w:bCs/>
                <w:spacing w:val="-1"/>
              </w:rPr>
              <w:t>绵阳斯坦瑞食品科技有限公司</w:t>
            </w:r>
          </w:p>
        </w:tc>
        <w:tc>
          <w:tcPr>
            <w:shd w:val="clear" w:fill="BDBDBD"/>
            <w:tcW w:w="3830" w:type="dxa"/>
            <w:vAlign w:val="top"/>
          </w:tcPr>
          <w:p>
            <w:pPr>
              <w:pStyle w:val="TableText"/>
              <w:ind w:left="1599"/>
              <w:spacing w:before="179" w:line="219" w:lineRule="auto"/>
              <w:rPr>
                <w:sz w:val="21"/>
                <w:szCs w:val="21"/>
              </w:rPr>
            </w:pPr>
            <w:r>
              <w:rPr>
                <w:sz w:val="21"/>
                <w:szCs w:val="21"/>
                <w:b/>
                <w:bCs/>
                <w:spacing w:val="9"/>
              </w:rPr>
              <w:t>本项目</w:t>
            </w:r>
          </w:p>
        </w:tc>
      </w:tr>
      <w:tr>
        <w:trPr>
          <w:trHeight w:val="258" w:hRule="atLeast"/>
        </w:trPr>
        <w:tc>
          <w:tcPr>
            <w:tcW w:w="894" w:type="dxa"/>
            <w:vAlign w:val="top"/>
          </w:tcPr>
          <w:p>
            <w:pPr>
              <w:pStyle w:val="TableText"/>
              <w:ind w:left="15"/>
              <w:spacing w:before="33" w:line="189" w:lineRule="auto"/>
              <w:rPr>
                <w:sz w:val="21"/>
                <w:szCs w:val="21"/>
              </w:rPr>
            </w:pPr>
            <w:r>
              <w:rPr>
                <w:sz w:val="21"/>
                <w:szCs w:val="21"/>
                <w:color w:val="706060"/>
                <w:spacing w:val="2"/>
              </w:rPr>
              <w:t>项目名称</w:t>
            </w:r>
          </w:p>
        </w:tc>
        <w:tc>
          <w:tcPr>
            <w:tcW w:w="3785" w:type="dxa"/>
            <w:vAlign w:val="top"/>
          </w:tcPr>
          <w:p>
            <w:pPr>
              <w:pStyle w:val="TableText"/>
              <w:ind w:left="830"/>
              <w:spacing w:before="31" w:line="190" w:lineRule="auto"/>
              <w:rPr>
                <w:sz w:val="21"/>
                <w:szCs w:val="21"/>
              </w:rPr>
            </w:pPr>
            <w:r>
              <w:rPr>
                <w:sz w:val="21"/>
                <w:szCs w:val="21"/>
                <w:spacing w:val="3"/>
              </w:rPr>
              <w:t>年屠宰60万头生猪项目</w:t>
            </w:r>
          </w:p>
        </w:tc>
        <w:tc>
          <w:tcPr>
            <w:tcW w:w="3830" w:type="dxa"/>
            <w:vAlign w:val="top"/>
          </w:tcPr>
          <w:p>
            <w:pPr>
              <w:pStyle w:val="TableText"/>
              <w:ind w:left="65"/>
              <w:spacing w:before="31" w:line="190" w:lineRule="auto"/>
              <w:rPr>
                <w:sz w:val="21"/>
                <w:szCs w:val="21"/>
              </w:rPr>
            </w:pPr>
            <w:r>
              <w:rPr>
                <w:sz w:val="21"/>
                <w:szCs w:val="21"/>
                <w:spacing w:val="2"/>
              </w:rPr>
              <w:t>A级生猪、肉牛定点屠宰及食品加工项目</w:t>
            </w:r>
          </w:p>
        </w:tc>
      </w:tr>
      <w:tr>
        <w:trPr>
          <w:trHeight w:val="820" w:hRule="atLeast"/>
        </w:trPr>
        <w:tc>
          <w:tcPr>
            <w:tcW w:w="894" w:type="dxa"/>
            <w:vAlign w:val="top"/>
          </w:tcPr>
          <w:p>
            <w:pPr>
              <w:spacing w:line="245" w:lineRule="auto"/>
              <w:rPr>
                <w:rFonts w:ascii="Arial"/>
                <w:sz w:val="21"/>
              </w:rPr>
            </w:pPr>
            <w:r/>
          </w:p>
          <w:p>
            <w:pPr>
              <w:pStyle w:val="TableText"/>
              <w:ind w:left="15"/>
              <w:spacing w:before="68" w:line="219" w:lineRule="auto"/>
              <w:rPr>
                <w:sz w:val="21"/>
                <w:szCs w:val="21"/>
              </w:rPr>
            </w:pPr>
            <w:r>
              <w:rPr>
                <w:sz w:val="21"/>
                <w:szCs w:val="21"/>
                <w:spacing w:val="-3"/>
              </w:rPr>
              <w:t>建设规模</w:t>
            </w:r>
          </w:p>
        </w:tc>
        <w:tc>
          <w:tcPr>
            <w:tcW w:w="3785" w:type="dxa"/>
            <w:vAlign w:val="top"/>
          </w:tcPr>
          <w:p>
            <w:pPr>
              <w:pStyle w:val="TableText"/>
              <w:ind w:left="100" w:right="98" w:firstLine="50"/>
              <w:spacing w:before="52" w:line="222" w:lineRule="auto"/>
              <w:jc w:val="both"/>
              <w:rPr>
                <w:sz w:val="21"/>
                <w:szCs w:val="21"/>
              </w:rPr>
            </w:pPr>
            <w:r>
              <w:rPr>
                <w:sz w:val="21"/>
                <w:szCs w:val="21"/>
                <w:spacing w:val="3"/>
              </w:rPr>
              <w:t>生猪屠宰量60万头，年工作时间300d,</w:t>
            </w:r>
            <w:r>
              <w:rPr>
                <w:sz w:val="21"/>
                <w:szCs w:val="21"/>
              </w:rPr>
              <w:t xml:space="preserve"> </w:t>
            </w:r>
            <w:r>
              <w:rPr>
                <w:sz w:val="21"/>
                <w:szCs w:val="21"/>
                <w:spacing w:val="-1"/>
              </w:rPr>
              <w:t>每天1班，每班8小时；委托检测期间实</w:t>
            </w:r>
            <w:r>
              <w:rPr>
                <w:sz w:val="21"/>
                <w:szCs w:val="21"/>
                <w:spacing w:val="8"/>
              </w:rPr>
              <w:t xml:space="preserve"> </w:t>
            </w:r>
            <w:r>
              <w:rPr>
                <w:sz w:val="21"/>
                <w:szCs w:val="21"/>
                <w:spacing w:val="2"/>
              </w:rPr>
              <w:t>际工况为30%,生猪实际屠宰量为600头</w:t>
            </w:r>
          </w:p>
        </w:tc>
        <w:tc>
          <w:tcPr>
            <w:tcW w:w="3830" w:type="dxa"/>
            <w:vAlign w:val="top"/>
          </w:tcPr>
          <w:p>
            <w:pPr>
              <w:pStyle w:val="TableText"/>
              <w:ind w:left="65"/>
              <w:spacing w:before="54" w:line="219" w:lineRule="auto"/>
              <w:rPr>
                <w:sz w:val="21"/>
                <w:szCs w:val="21"/>
              </w:rPr>
            </w:pPr>
            <w:r>
              <w:rPr>
                <w:sz w:val="21"/>
                <w:szCs w:val="21"/>
              </w:rPr>
              <w:t>生猪屠宰量40万头/年，年工作时间360d</w:t>
            </w:r>
          </w:p>
          <w:p>
            <w:pPr>
              <w:pStyle w:val="TableText"/>
              <w:ind w:left="385"/>
              <w:spacing w:before="7" w:line="216" w:lineRule="auto"/>
              <w:rPr>
                <w:sz w:val="21"/>
                <w:szCs w:val="21"/>
              </w:rPr>
            </w:pPr>
            <w:r>
              <w:rPr>
                <w:sz w:val="21"/>
                <w:szCs w:val="21"/>
              </w:rPr>
              <w:t>(其中淡季270d、旺季90d),每天1</w:t>
            </w:r>
          </w:p>
          <w:p>
            <w:pPr>
              <w:pStyle w:val="TableText"/>
              <w:ind w:left="65"/>
              <w:spacing w:before="26" w:line="199" w:lineRule="auto"/>
              <w:rPr>
                <w:sz w:val="21"/>
                <w:szCs w:val="21"/>
              </w:rPr>
            </w:pPr>
            <w:r>
              <w:rPr>
                <w:sz w:val="21"/>
                <w:szCs w:val="21"/>
                <w:spacing w:val="1"/>
              </w:rPr>
              <w:t>班，每班8小时，折算淡季生猪屠宰能力</w:t>
            </w:r>
          </w:p>
        </w:tc>
      </w:tr>
    </w:tbl>
    <w:p>
      <w:pPr>
        <w:pStyle w:val="BodyText"/>
        <w:rPr/>
      </w:pPr>
      <w:r/>
    </w:p>
    <w:p>
      <w:pPr>
        <w:sectPr>
          <w:headerReference w:type="default" r:id="rId304"/>
          <w:footerReference w:type="default" r:id="rId305"/>
          <w:pgSz w:w="11910" w:h="16840"/>
          <w:pgMar w:top="1219" w:right="1705" w:bottom="950" w:left="1685" w:header="865" w:footer="742" w:gutter="0"/>
        </w:sectPr>
        <w:rPr/>
      </w:pPr>
    </w:p>
    <w:p>
      <w:pPr>
        <w:spacing w:line="237" w:lineRule="exact"/>
        <w:rPr/>
      </w:pPr>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94"/>
        <w:gridCol w:w="629"/>
        <w:gridCol w:w="579"/>
        <w:gridCol w:w="649"/>
        <w:gridCol w:w="429"/>
        <w:gridCol w:w="649"/>
        <w:gridCol w:w="839"/>
        <w:gridCol w:w="909"/>
        <w:gridCol w:w="889"/>
        <w:gridCol w:w="2033"/>
      </w:tblGrid>
      <w:tr>
        <w:trPr>
          <w:trHeight w:val="793" w:hRule="atLeast"/>
        </w:trPr>
        <w:tc>
          <w:tcPr>
            <w:tcW w:w="894" w:type="dxa"/>
            <w:vAlign w:val="top"/>
          </w:tcPr>
          <w:p>
            <w:pPr>
              <w:rPr>
                <w:rFonts w:ascii="Arial"/>
                <w:sz w:val="21"/>
              </w:rPr>
            </w:pPr>
            <w:r/>
          </w:p>
        </w:tc>
        <w:tc>
          <w:tcPr>
            <w:tcW w:w="3774" w:type="dxa"/>
            <w:vAlign w:val="top"/>
            <w:gridSpan w:val="6"/>
          </w:tcPr>
          <w:p>
            <w:pPr>
              <w:pStyle w:val="TableText"/>
              <w:ind w:left="10"/>
              <w:spacing w:before="13" w:line="219" w:lineRule="auto"/>
              <w:rPr>
                <w:sz w:val="21"/>
                <w:szCs w:val="21"/>
              </w:rPr>
            </w:pPr>
            <w:r>
              <w:rPr>
                <w:sz w:val="21"/>
                <w:szCs w:val="21"/>
              </w:rPr>
              <w:t>/d(75头/h);生猪待宰圈舍、屠宰车间</w:t>
            </w:r>
          </w:p>
          <w:p>
            <w:pPr>
              <w:pStyle w:val="TableText"/>
              <w:ind w:left="10"/>
              <w:spacing w:before="30" w:line="215" w:lineRule="auto"/>
              <w:rPr>
                <w:sz w:val="21"/>
                <w:szCs w:val="21"/>
              </w:rPr>
            </w:pPr>
            <w:r>
              <w:rPr>
                <w:sz w:val="21"/>
                <w:szCs w:val="21"/>
                <w:spacing w:val="-2"/>
              </w:rPr>
              <w:t>为封闭车间，并设置负压抽风系统，收集</w:t>
            </w:r>
            <w:r>
              <w:rPr>
                <w:sz w:val="21"/>
                <w:szCs w:val="21"/>
                <w:spacing w:val="8"/>
              </w:rPr>
              <w:t xml:space="preserve"> </w:t>
            </w:r>
            <w:r>
              <w:rPr>
                <w:sz w:val="21"/>
                <w:szCs w:val="21"/>
                <w:spacing w:val="-1"/>
              </w:rPr>
              <w:t>效率均按90%计。</w:t>
            </w:r>
          </w:p>
        </w:tc>
        <w:tc>
          <w:tcPr>
            <w:tcW w:w="3831" w:type="dxa"/>
            <w:vAlign w:val="top"/>
            <w:gridSpan w:val="3"/>
          </w:tcPr>
          <w:p>
            <w:pPr>
              <w:pStyle w:val="TableText"/>
              <w:ind w:left="16" w:right="244"/>
              <w:spacing w:before="14" w:line="248" w:lineRule="auto"/>
              <w:rPr>
                <w:sz w:val="21"/>
                <w:szCs w:val="21"/>
              </w:rPr>
            </w:pPr>
            <w:r>
              <w:rPr>
                <w:sz w:val="21"/>
                <w:szCs w:val="21"/>
                <w:spacing w:val="-1"/>
              </w:rPr>
              <w:t>为1000头/d、旺季生猪屠宰能力为1444</w:t>
            </w:r>
            <w:r>
              <w:rPr>
                <w:sz w:val="21"/>
                <w:szCs w:val="21"/>
                <w:spacing w:val="10"/>
              </w:rPr>
              <w:t xml:space="preserve"> </w:t>
            </w:r>
            <w:r>
              <w:rPr>
                <w:sz w:val="21"/>
                <w:szCs w:val="21"/>
                <w:spacing w:val="-1"/>
              </w:rPr>
              <w:t>头/d。</w:t>
            </w:r>
          </w:p>
        </w:tc>
      </w:tr>
      <w:tr>
        <w:trPr>
          <w:trHeight w:val="558" w:hRule="atLeast"/>
        </w:trPr>
        <w:tc>
          <w:tcPr>
            <w:tcW w:w="894" w:type="dxa"/>
            <w:vAlign w:val="top"/>
            <w:vMerge w:val="restart"/>
            <w:tcBorders>
              <w:bottom w:val="nil"/>
            </w:tcBorders>
          </w:tcPr>
          <w:p>
            <w:pPr>
              <w:pStyle w:val="TableText"/>
              <w:ind w:left="15"/>
              <w:spacing w:before="150" w:line="219" w:lineRule="auto"/>
              <w:rPr>
                <w:sz w:val="21"/>
                <w:szCs w:val="21"/>
              </w:rPr>
            </w:pPr>
            <w:r>
              <w:rPr>
                <w:sz w:val="21"/>
                <w:szCs w:val="21"/>
                <w:spacing w:val="4"/>
              </w:rPr>
              <w:t>生猪待宰</w:t>
            </w:r>
          </w:p>
          <w:p>
            <w:pPr>
              <w:pStyle w:val="TableText"/>
              <w:ind w:left="124" w:right="21" w:hanging="109"/>
              <w:spacing w:before="21" w:line="239" w:lineRule="auto"/>
              <w:rPr>
                <w:sz w:val="21"/>
                <w:szCs w:val="21"/>
              </w:rPr>
            </w:pPr>
            <w:r>
              <w:rPr>
                <w:sz w:val="21"/>
                <w:szCs w:val="21"/>
                <w:spacing w:val="1"/>
              </w:rPr>
              <w:t>圈舍恶臭</w:t>
            </w:r>
            <w:r>
              <w:rPr>
                <w:sz w:val="21"/>
                <w:szCs w:val="21"/>
                <w:spacing w:val="2"/>
              </w:rPr>
              <w:t xml:space="preserve"> </w:t>
            </w:r>
            <w:r>
              <w:rPr>
                <w:sz w:val="21"/>
                <w:szCs w:val="21"/>
                <w:spacing w:val="-2"/>
              </w:rPr>
              <w:t>产生量</w:t>
            </w:r>
          </w:p>
        </w:tc>
        <w:tc>
          <w:tcPr>
            <w:tcW w:w="629" w:type="dxa"/>
            <w:vAlign w:val="top"/>
          </w:tcPr>
          <w:p>
            <w:pPr>
              <w:pStyle w:val="TableText"/>
              <w:spacing w:before="41" w:line="221" w:lineRule="auto"/>
              <w:jc w:val="right"/>
              <w:rPr>
                <w:sz w:val="21"/>
                <w:szCs w:val="21"/>
              </w:rPr>
            </w:pPr>
            <w:r>
              <w:rPr>
                <w:sz w:val="21"/>
                <w:szCs w:val="21"/>
                <w:color w:val="505050"/>
                <w:spacing w:val="-8"/>
              </w:rPr>
              <w:t>取其平</w:t>
            </w:r>
          </w:p>
          <w:p>
            <w:pPr>
              <w:pStyle w:val="TableText"/>
              <w:ind w:left="90"/>
              <w:spacing w:before="37" w:line="191" w:lineRule="auto"/>
              <w:rPr>
                <w:sz w:val="21"/>
                <w:szCs w:val="21"/>
              </w:rPr>
            </w:pPr>
            <w:r>
              <w:rPr>
                <w:sz w:val="21"/>
                <w:szCs w:val="21"/>
                <w:spacing w:val="-3"/>
              </w:rPr>
              <w:t>均值</w:t>
            </w:r>
          </w:p>
        </w:tc>
        <w:tc>
          <w:tcPr>
            <w:tcW w:w="579" w:type="dxa"/>
            <w:vAlign w:val="top"/>
          </w:tcPr>
          <w:p>
            <w:pPr>
              <w:pStyle w:val="TableText"/>
              <w:ind w:left="11" w:right="34" w:firstLine="60"/>
              <w:spacing w:before="42" w:line="221" w:lineRule="auto"/>
              <w:rPr>
                <w:sz w:val="21"/>
                <w:szCs w:val="21"/>
              </w:rPr>
            </w:pPr>
            <w:r>
              <w:rPr>
                <w:sz w:val="21"/>
                <w:szCs w:val="21"/>
                <w:spacing w:val="6"/>
              </w:rPr>
              <w:t>浓度</w:t>
            </w:r>
            <w:r>
              <w:rPr>
                <w:sz w:val="21"/>
                <w:szCs w:val="21"/>
              </w:rPr>
              <w:t xml:space="preserve"> </w:t>
            </w:r>
            <w:r>
              <w:rPr>
                <w:sz w:val="21"/>
                <w:szCs w:val="21"/>
                <w:spacing w:val="-1"/>
              </w:rPr>
              <w:t>mg/m³</w:t>
            </w:r>
          </w:p>
        </w:tc>
        <w:tc>
          <w:tcPr>
            <w:tcW w:w="649" w:type="dxa"/>
            <w:vAlign w:val="top"/>
          </w:tcPr>
          <w:p>
            <w:pPr>
              <w:pStyle w:val="TableText"/>
              <w:ind w:left="12" w:right="4"/>
              <w:spacing w:before="31" w:line="227" w:lineRule="auto"/>
              <w:rPr>
                <w:sz w:val="21"/>
                <w:szCs w:val="21"/>
              </w:rPr>
            </w:pPr>
            <w:r>
              <w:rPr>
                <w:sz w:val="21"/>
                <w:szCs w:val="21"/>
                <w:spacing w:val="-4"/>
              </w:rPr>
              <w:t>标杆流</w:t>
            </w:r>
            <w:r>
              <w:rPr>
                <w:sz w:val="21"/>
                <w:szCs w:val="21"/>
                <w:spacing w:val="1"/>
              </w:rPr>
              <w:t xml:space="preserve"> </w:t>
            </w:r>
            <w:r>
              <w:rPr>
                <w:sz w:val="21"/>
                <w:szCs w:val="21"/>
                <w:spacing w:val="-2"/>
              </w:rPr>
              <w:t>量m³/h</w:t>
            </w:r>
          </w:p>
        </w:tc>
        <w:tc>
          <w:tcPr>
            <w:tcW w:w="429" w:type="dxa"/>
            <w:vAlign w:val="top"/>
          </w:tcPr>
          <w:p>
            <w:pPr>
              <w:pStyle w:val="TableText"/>
              <w:spacing w:before="30" w:line="219" w:lineRule="auto"/>
              <w:jc w:val="right"/>
              <w:rPr>
                <w:sz w:val="21"/>
                <w:szCs w:val="21"/>
              </w:rPr>
            </w:pPr>
            <w:r>
              <w:rPr>
                <w:sz w:val="21"/>
                <w:szCs w:val="21"/>
                <w:spacing w:val="-8"/>
              </w:rPr>
              <w:t>收集</w:t>
            </w:r>
          </w:p>
          <w:p>
            <w:pPr>
              <w:pStyle w:val="TableText"/>
              <w:spacing w:line="219" w:lineRule="auto"/>
              <w:jc w:val="right"/>
              <w:rPr>
                <w:sz w:val="21"/>
                <w:szCs w:val="21"/>
              </w:rPr>
            </w:pPr>
            <w:r>
              <w:rPr>
                <w:sz w:val="21"/>
                <w:szCs w:val="21"/>
                <w:spacing w:val="-8"/>
              </w:rPr>
              <w:t>效率</w:t>
            </w:r>
          </w:p>
        </w:tc>
        <w:tc>
          <w:tcPr>
            <w:tcW w:w="649" w:type="dxa"/>
            <w:vAlign w:val="top"/>
          </w:tcPr>
          <w:p>
            <w:pPr>
              <w:pStyle w:val="TableText"/>
              <w:ind w:left="14" w:right="2"/>
              <w:spacing w:before="40" w:line="223" w:lineRule="auto"/>
              <w:rPr>
                <w:sz w:val="21"/>
                <w:szCs w:val="21"/>
              </w:rPr>
            </w:pPr>
            <w:r>
              <w:rPr>
                <w:sz w:val="21"/>
                <w:szCs w:val="21"/>
                <w:spacing w:val="-3"/>
              </w:rPr>
              <w:t>产生速</w:t>
            </w:r>
            <w:r>
              <w:rPr>
                <w:sz w:val="21"/>
                <w:szCs w:val="21"/>
              </w:rPr>
              <w:t xml:space="preserve"> </w:t>
            </w:r>
            <w:r>
              <w:rPr>
                <w:sz w:val="21"/>
                <w:szCs w:val="21"/>
                <w:spacing w:val="-2"/>
              </w:rPr>
              <w:t>率kg/h</w:t>
            </w:r>
          </w:p>
        </w:tc>
        <w:tc>
          <w:tcPr>
            <w:tcW w:w="839" w:type="dxa"/>
            <w:vAlign w:val="top"/>
          </w:tcPr>
          <w:p>
            <w:pPr>
              <w:pStyle w:val="TableText"/>
              <w:ind w:left="45" w:hanging="29"/>
              <w:spacing w:before="40" w:line="222" w:lineRule="auto"/>
              <w:rPr>
                <w:sz w:val="21"/>
                <w:szCs w:val="21"/>
              </w:rPr>
            </w:pPr>
            <w:r>
              <w:rPr>
                <w:sz w:val="21"/>
                <w:szCs w:val="21"/>
                <w:spacing w:val="-7"/>
              </w:rPr>
              <w:t>每头猪产</w:t>
            </w:r>
            <w:r>
              <w:rPr>
                <w:sz w:val="21"/>
                <w:szCs w:val="21"/>
              </w:rPr>
              <w:t xml:space="preserve"> </w:t>
            </w:r>
            <w:r>
              <w:rPr>
                <w:sz w:val="21"/>
                <w:szCs w:val="21"/>
                <w:spacing w:val="-6"/>
              </w:rPr>
              <w:t>物系数g</w:t>
            </w:r>
          </w:p>
        </w:tc>
        <w:tc>
          <w:tcPr>
            <w:tcW w:w="1798" w:type="dxa"/>
            <w:vAlign w:val="top"/>
            <w:gridSpan w:val="2"/>
          </w:tcPr>
          <w:p>
            <w:pPr>
              <w:pStyle w:val="TableText"/>
              <w:ind w:left="477"/>
              <w:spacing w:before="180" w:line="219" w:lineRule="auto"/>
              <w:rPr>
                <w:sz w:val="21"/>
                <w:szCs w:val="21"/>
              </w:rPr>
            </w:pPr>
            <w:r>
              <w:rPr>
                <w:sz w:val="21"/>
                <w:szCs w:val="21"/>
                <w:spacing w:val="-3"/>
              </w:rPr>
              <w:t>核算方法</w:t>
            </w:r>
          </w:p>
        </w:tc>
        <w:tc>
          <w:tcPr>
            <w:tcW w:w="2033" w:type="dxa"/>
            <w:vAlign w:val="top"/>
          </w:tcPr>
          <w:p>
            <w:pPr>
              <w:pStyle w:val="TableText"/>
              <w:ind w:left="218"/>
              <w:spacing w:before="173" w:line="214" w:lineRule="auto"/>
              <w:rPr>
                <w:sz w:val="21"/>
                <w:szCs w:val="21"/>
              </w:rPr>
            </w:pPr>
            <w:r>
              <w:rPr>
                <w:sz w:val="21"/>
                <w:szCs w:val="21"/>
                <w:spacing w:val="-1"/>
              </w:rPr>
              <w:t>每头猪产物系数g</w:t>
            </w:r>
          </w:p>
        </w:tc>
      </w:tr>
      <w:tr>
        <w:trPr>
          <w:trHeight w:val="229" w:hRule="atLeast"/>
        </w:trPr>
        <w:tc>
          <w:tcPr>
            <w:tcW w:w="894" w:type="dxa"/>
            <w:vAlign w:val="top"/>
            <w:vMerge w:val="continue"/>
            <w:tcBorders>
              <w:top w:val="nil"/>
              <w:bottom w:val="nil"/>
            </w:tcBorders>
          </w:tcPr>
          <w:p>
            <w:pPr>
              <w:rPr>
                <w:rFonts w:ascii="Arial"/>
                <w:sz w:val="21"/>
              </w:rPr>
            </w:pPr>
            <w:r/>
          </w:p>
        </w:tc>
        <w:tc>
          <w:tcPr>
            <w:tcW w:w="629" w:type="dxa"/>
            <w:vAlign w:val="top"/>
          </w:tcPr>
          <w:p>
            <w:pPr>
              <w:pStyle w:val="TableText"/>
              <w:ind w:left="90"/>
              <w:spacing w:before="66" w:line="153" w:lineRule="exact"/>
              <w:rPr>
                <w:rFonts w:ascii="Calibri" w:hAnsi="Calibri" w:eastAsia="Calibri" w:cs="Calibri"/>
                <w:sz w:val="21"/>
                <w:szCs w:val="21"/>
              </w:rPr>
            </w:pPr>
            <w:r>
              <w:rPr>
                <w:sz w:val="21"/>
                <w:szCs w:val="21"/>
                <w:spacing w:val="-1"/>
                <w:position w:val="-2"/>
              </w:rPr>
              <w:t>NH</w:t>
            </w:r>
            <w:r>
              <w:rPr>
                <w:rFonts w:ascii="Calibri" w:hAnsi="Calibri" w:eastAsia="Calibri" w:cs="Calibri"/>
                <w:sz w:val="21"/>
                <w:szCs w:val="21"/>
                <w:spacing w:val="-1"/>
                <w:position w:val="-2"/>
              </w:rPr>
              <w:t>₃</w:t>
            </w:r>
          </w:p>
        </w:tc>
        <w:tc>
          <w:tcPr>
            <w:tcW w:w="579" w:type="dxa"/>
            <w:vAlign w:val="top"/>
          </w:tcPr>
          <w:p>
            <w:pPr>
              <w:pStyle w:val="TableText"/>
              <w:ind w:left="71"/>
              <w:spacing w:before="53" w:line="166" w:lineRule="exact"/>
              <w:rPr>
                <w:sz w:val="21"/>
                <w:szCs w:val="21"/>
              </w:rPr>
            </w:pPr>
            <w:r>
              <w:rPr>
                <w:sz w:val="21"/>
                <w:szCs w:val="21"/>
                <w:spacing w:val="-3"/>
                <w:position w:val="-2"/>
              </w:rPr>
              <w:t>2.67</w:t>
            </w:r>
          </w:p>
        </w:tc>
        <w:tc>
          <w:tcPr>
            <w:tcW w:w="649" w:type="dxa"/>
            <w:vAlign w:val="top"/>
            <w:vMerge w:val="restart"/>
            <w:tcBorders>
              <w:bottom w:val="nil"/>
            </w:tcBorders>
          </w:tcPr>
          <w:p>
            <w:pPr>
              <w:pStyle w:val="TableText"/>
              <w:ind w:left="52"/>
              <w:spacing w:before="163"/>
              <w:rPr>
                <w:sz w:val="21"/>
                <w:szCs w:val="21"/>
              </w:rPr>
            </w:pPr>
            <w:r>
              <w:rPr>
                <w:sz w:val="21"/>
                <w:szCs w:val="21"/>
                <w:spacing w:val="-2"/>
              </w:rPr>
              <w:t>40260</w:t>
            </w:r>
          </w:p>
        </w:tc>
        <w:tc>
          <w:tcPr>
            <w:tcW w:w="429" w:type="dxa"/>
            <w:vAlign w:val="top"/>
            <w:vMerge w:val="restart"/>
            <w:tcBorders>
              <w:bottom w:val="nil"/>
            </w:tcBorders>
          </w:tcPr>
          <w:p>
            <w:pPr>
              <w:pStyle w:val="TableText"/>
              <w:ind w:left="43"/>
              <w:spacing w:before="163"/>
              <w:rPr>
                <w:sz w:val="21"/>
                <w:szCs w:val="21"/>
              </w:rPr>
            </w:pPr>
            <w:r>
              <w:rPr>
                <w:sz w:val="21"/>
                <w:szCs w:val="21"/>
                <w:spacing w:val="-3"/>
              </w:rPr>
              <w:t>90%</w:t>
            </w:r>
          </w:p>
        </w:tc>
        <w:tc>
          <w:tcPr>
            <w:tcW w:w="649" w:type="dxa"/>
            <w:vAlign w:val="top"/>
          </w:tcPr>
          <w:p>
            <w:pPr>
              <w:pStyle w:val="TableText"/>
              <w:ind w:left="54"/>
              <w:spacing w:before="53" w:line="166" w:lineRule="exact"/>
              <w:rPr>
                <w:sz w:val="21"/>
                <w:szCs w:val="21"/>
              </w:rPr>
            </w:pPr>
            <w:r>
              <w:rPr>
                <w:sz w:val="21"/>
                <w:szCs w:val="21"/>
                <w:color w:val="505050"/>
                <w:spacing w:val="-2"/>
                <w:position w:val="-2"/>
              </w:rPr>
              <w:t>0.119</w:t>
            </w:r>
          </w:p>
        </w:tc>
        <w:tc>
          <w:tcPr>
            <w:tcW w:w="839" w:type="dxa"/>
            <w:vAlign w:val="top"/>
          </w:tcPr>
          <w:p>
            <w:pPr>
              <w:pStyle w:val="TableText"/>
              <w:ind w:left="205"/>
              <w:spacing w:before="53" w:line="166" w:lineRule="exact"/>
              <w:rPr>
                <w:sz w:val="21"/>
                <w:szCs w:val="21"/>
              </w:rPr>
            </w:pPr>
            <w:r>
              <w:rPr>
                <w:sz w:val="21"/>
                <w:szCs w:val="21"/>
                <w:color w:val="304050"/>
                <w:spacing w:val="-5"/>
                <w:position w:val="-2"/>
              </w:rPr>
              <w:t>1.59</w:t>
            </w:r>
          </w:p>
        </w:tc>
        <w:tc>
          <w:tcPr>
            <w:tcW w:w="909" w:type="dxa"/>
            <w:vAlign w:val="top"/>
            <w:vMerge w:val="restart"/>
            <w:tcBorders>
              <w:bottom w:val="nil"/>
            </w:tcBorders>
          </w:tcPr>
          <w:p>
            <w:pPr>
              <w:pStyle w:val="TableText"/>
              <w:ind w:left="136"/>
              <w:spacing w:before="142" w:line="219" w:lineRule="auto"/>
              <w:rPr>
                <w:sz w:val="21"/>
                <w:szCs w:val="21"/>
              </w:rPr>
            </w:pPr>
            <w:r>
              <w:rPr>
                <w:sz w:val="21"/>
                <w:szCs w:val="21"/>
                <w:spacing w:val="-2"/>
              </w:rPr>
              <w:t>类比法</w:t>
            </w:r>
          </w:p>
        </w:tc>
        <w:tc>
          <w:tcPr>
            <w:tcW w:w="889" w:type="dxa"/>
            <w:vAlign w:val="top"/>
          </w:tcPr>
          <w:p>
            <w:pPr>
              <w:pStyle w:val="TableText"/>
              <w:ind w:left="227"/>
              <w:spacing w:before="66" w:line="153" w:lineRule="exact"/>
              <w:rPr>
                <w:rFonts w:ascii="Calibri" w:hAnsi="Calibri" w:eastAsia="Calibri" w:cs="Calibri"/>
                <w:sz w:val="21"/>
                <w:szCs w:val="21"/>
              </w:rPr>
            </w:pPr>
            <w:r>
              <w:rPr>
                <w:sz w:val="21"/>
                <w:szCs w:val="21"/>
                <w:color w:val="403030"/>
                <w:spacing w:val="-1"/>
                <w:position w:val="-2"/>
              </w:rPr>
              <w:t>NH</w:t>
            </w:r>
            <w:r>
              <w:rPr>
                <w:rFonts w:ascii="Calibri" w:hAnsi="Calibri" w:eastAsia="Calibri" w:cs="Calibri"/>
                <w:sz w:val="21"/>
                <w:szCs w:val="21"/>
                <w:color w:val="403030"/>
                <w:spacing w:val="-1"/>
                <w:position w:val="-2"/>
              </w:rPr>
              <w:t>₃</w:t>
            </w:r>
          </w:p>
        </w:tc>
        <w:tc>
          <w:tcPr>
            <w:tcW w:w="2033" w:type="dxa"/>
            <w:vAlign w:val="top"/>
          </w:tcPr>
          <w:p>
            <w:pPr>
              <w:pStyle w:val="TableText"/>
              <w:ind w:left="798"/>
              <w:spacing w:before="53" w:line="166" w:lineRule="exact"/>
              <w:rPr>
                <w:sz w:val="21"/>
                <w:szCs w:val="21"/>
              </w:rPr>
            </w:pPr>
            <w:r>
              <w:rPr>
                <w:sz w:val="21"/>
                <w:szCs w:val="21"/>
                <w:spacing w:val="-5"/>
                <w:position w:val="-2"/>
              </w:rPr>
              <w:t>1.59</w:t>
            </w:r>
          </w:p>
        </w:tc>
      </w:tr>
      <w:tr>
        <w:trPr>
          <w:trHeight w:val="239" w:hRule="atLeast"/>
        </w:trPr>
        <w:tc>
          <w:tcPr>
            <w:tcW w:w="894" w:type="dxa"/>
            <w:vAlign w:val="top"/>
            <w:vMerge w:val="continue"/>
            <w:tcBorders>
              <w:top w:val="nil"/>
            </w:tcBorders>
          </w:tcPr>
          <w:p>
            <w:pPr>
              <w:rPr>
                <w:rFonts w:ascii="Arial"/>
                <w:sz w:val="21"/>
              </w:rPr>
            </w:pPr>
            <w:r/>
          </w:p>
        </w:tc>
        <w:tc>
          <w:tcPr>
            <w:tcW w:w="629" w:type="dxa"/>
            <w:vAlign w:val="top"/>
          </w:tcPr>
          <w:p>
            <w:pPr>
              <w:pStyle w:val="TableText"/>
              <w:ind w:left="90"/>
              <w:spacing w:before="57" w:line="172" w:lineRule="exact"/>
              <w:rPr>
                <w:sz w:val="21"/>
                <w:szCs w:val="21"/>
              </w:rPr>
            </w:pPr>
            <w:r>
              <w:rPr>
                <w:sz w:val="21"/>
                <w:szCs w:val="21"/>
                <w:spacing w:val="-2"/>
                <w:position w:val="-1"/>
              </w:rPr>
              <w:t>H</w:t>
            </w:r>
            <w:r>
              <w:rPr>
                <w:rFonts w:ascii="Calibri" w:hAnsi="Calibri" w:eastAsia="Calibri" w:cs="Calibri"/>
                <w:sz w:val="21"/>
                <w:szCs w:val="21"/>
                <w:spacing w:val="-2"/>
                <w:position w:val="-1"/>
              </w:rPr>
              <w:t>₂</w:t>
            </w:r>
            <w:r>
              <w:rPr>
                <w:sz w:val="21"/>
                <w:szCs w:val="21"/>
                <w:spacing w:val="-2"/>
                <w:position w:val="-1"/>
              </w:rPr>
              <w:t>S</w:t>
            </w:r>
          </w:p>
        </w:tc>
        <w:tc>
          <w:tcPr>
            <w:tcW w:w="579" w:type="dxa"/>
            <w:vAlign w:val="top"/>
          </w:tcPr>
          <w:p>
            <w:pPr>
              <w:pStyle w:val="TableText"/>
              <w:ind w:left="11"/>
              <w:spacing w:before="44" w:line="162" w:lineRule="auto"/>
              <w:rPr>
                <w:sz w:val="21"/>
                <w:szCs w:val="21"/>
              </w:rPr>
            </w:pPr>
            <w:r>
              <w:rPr>
                <w:sz w:val="21"/>
                <w:szCs w:val="21"/>
                <w:color w:val="505050"/>
                <w:spacing w:val="-2"/>
              </w:rPr>
              <w:t>0.989</w:t>
            </w:r>
          </w:p>
        </w:tc>
        <w:tc>
          <w:tcPr>
            <w:tcW w:w="649" w:type="dxa"/>
            <w:vAlign w:val="top"/>
            <w:vMerge w:val="continue"/>
            <w:tcBorders>
              <w:top w:val="nil"/>
            </w:tcBorders>
          </w:tcPr>
          <w:p>
            <w:pPr>
              <w:rPr>
                <w:rFonts w:ascii="Arial"/>
                <w:sz w:val="21"/>
              </w:rPr>
            </w:pPr>
            <w:r/>
          </w:p>
        </w:tc>
        <w:tc>
          <w:tcPr>
            <w:tcW w:w="429" w:type="dxa"/>
            <w:vAlign w:val="top"/>
            <w:vMerge w:val="continue"/>
            <w:tcBorders>
              <w:top w:val="nil"/>
            </w:tcBorders>
          </w:tcPr>
          <w:p>
            <w:pPr>
              <w:rPr>
                <w:rFonts w:ascii="Arial"/>
                <w:sz w:val="21"/>
              </w:rPr>
            </w:pPr>
            <w:r/>
          </w:p>
        </w:tc>
        <w:tc>
          <w:tcPr>
            <w:tcW w:w="649" w:type="dxa"/>
            <w:vAlign w:val="top"/>
          </w:tcPr>
          <w:p>
            <w:pPr>
              <w:pStyle w:val="TableText"/>
              <w:ind w:left="54"/>
              <w:spacing w:before="44" w:line="162" w:lineRule="auto"/>
              <w:rPr>
                <w:sz w:val="21"/>
                <w:szCs w:val="21"/>
              </w:rPr>
            </w:pPr>
            <w:r>
              <w:rPr>
                <w:sz w:val="21"/>
                <w:szCs w:val="21"/>
                <w:color w:val="505050"/>
                <w:spacing w:val="-2"/>
              </w:rPr>
              <w:t>0.044</w:t>
            </w:r>
          </w:p>
        </w:tc>
        <w:tc>
          <w:tcPr>
            <w:tcW w:w="839" w:type="dxa"/>
            <w:vAlign w:val="top"/>
          </w:tcPr>
          <w:p>
            <w:pPr>
              <w:pStyle w:val="TableText"/>
              <w:ind w:left="205"/>
              <w:spacing w:before="44" w:line="162" w:lineRule="auto"/>
              <w:rPr>
                <w:sz w:val="21"/>
                <w:szCs w:val="21"/>
              </w:rPr>
            </w:pPr>
            <w:r>
              <w:rPr>
                <w:sz w:val="21"/>
                <w:szCs w:val="21"/>
                <w:spacing w:val="-2"/>
              </w:rPr>
              <w:t>0.59</w:t>
            </w:r>
          </w:p>
        </w:tc>
        <w:tc>
          <w:tcPr>
            <w:tcW w:w="909" w:type="dxa"/>
            <w:vAlign w:val="top"/>
            <w:vMerge w:val="continue"/>
            <w:tcBorders>
              <w:top w:val="nil"/>
            </w:tcBorders>
          </w:tcPr>
          <w:p>
            <w:pPr>
              <w:rPr>
                <w:rFonts w:ascii="Arial"/>
                <w:sz w:val="21"/>
              </w:rPr>
            </w:pPr>
            <w:r/>
          </w:p>
        </w:tc>
        <w:tc>
          <w:tcPr>
            <w:tcW w:w="889" w:type="dxa"/>
            <w:vAlign w:val="top"/>
          </w:tcPr>
          <w:p>
            <w:pPr>
              <w:pStyle w:val="TableText"/>
              <w:ind w:left="227"/>
              <w:spacing w:before="57" w:line="172" w:lineRule="exact"/>
              <w:rPr>
                <w:sz w:val="21"/>
                <w:szCs w:val="21"/>
              </w:rPr>
            </w:pPr>
            <w:r>
              <w:rPr>
                <w:sz w:val="21"/>
                <w:szCs w:val="21"/>
                <w:spacing w:val="-2"/>
                <w:position w:val="-1"/>
              </w:rPr>
              <w:t>H</w:t>
            </w:r>
            <w:r>
              <w:rPr>
                <w:rFonts w:ascii="Calibri" w:hAnsi="Calibri" w:eastAsia="Calibri" w:cs="Calibri"/>
                <w:sz w:val="21"/>
                <w:szCs w:val="21"/>
                <w:spacing w:val="-2"/>
                <w:position w:val="-1"/>
              </w:rPr>
              <w:t>₂</w:t>
            </w:r>
            <w:r>
              <w:rPr>
                <w:sz w:val="21"/>
                <w:szCs w:val="21"/>
                <w:spacing w:val="-2"/>
                <w:position w:val="-1"/>
              </w:rPr>
              <w:t>S</w:t>
            </w:r>
          </w:p>
        </w:tc>
        <w:tc>
          <w:tcPr>
            <w:tcW w:w="2033" w:type="dxa"/>
            <w:vAlign w:val="top"/>
          </w:tcPr>
          <w:p>
            <w:pPr>
              <w:pStyle w:val="TableText"/>
              <w:ind w:left="798"/>
              <w:spacing w:before="44" w:line="162" w:lineRule="auto"/>
              <w:rPr>
                <w:sz w:val="21"/>
                <w:szCs w:val="21"/>
              </w:rPr>
            </w:pPr>
            <w:r>
              <w:rPr>
                <w:sz w:val="21"/>
                <w:szCs w:val="21"/>
                <w:spacing w:val="-2"/>
              </w:rPr>
              <w:t>0.59</w:t>
            </w:r>
          </w:p>
        </w:tc>
      </w:tr>
      <w:tr>
        <w:trPr>
          <w:trHeight w:val="538" w:hRule="atLeast"/>
        </w:trPr>
        <w:tc>
          <w:tcPr>
            <w:tcW w:w="894" w:type="dxa"/>
            <w:vAlign w:val="top"/>
            <w:vMerge w:val="restart"/>
            <w:tcBorders>
              <w:bottom w:val="nil"/>
            </w:tcBorders>
          </w:tcPr>
          <w:p>
            <w:pPr>
              <w:pStyle w:val="TableText"/>
              <w:ind w:left="15"/>
              <w:spacing w:before="154" w:line="219" w:lineRule="auto"/>
              <w:rPr>
                <w:sz w:val="21"/>
                <w:szCs w:val="21"/>
              </w:rPr>
            </w:pPr>
            <w:r>
              <w:rPr>
                <w:sz w:val="21"/>
                <w:szCs w:val="21"/>
                <w:spacing w:val="4"/>
              </w:rPr>
              <w:t>生猪屠宰</w:t>
            </w:r>
          </w:p>
          <w:p>
            <w:pPr>
              <w:pStyle w:val="TableText"/>
              <w:ind w:left="15"/>
              <w:spacing w:before="30" w:line="219" w:lineRule="auto"/>
              <w:rPr>
                <w:sz w:val="21"/>
                <w:szCs w:val="21"/>
              </w:rPr>
            </w:pPr>
            <w:r>
              <w:rPr>
                <w:sz w:val="21"/>
                <w:szCs w:val="21"/>
                <w:spacing w:val="-2"/>
              </w:rPr>
              <w:t>车间恶臭</w:t>
            </w:r>
          </w:p>
          <w:p>
            <w:pPr>
              <w:pStyle w:val="TableText"/>
              <w:ind w:left="124"/>
              <w:spacing w:before="10" w:line="219" w:lineRule="auto"/>
              <w:rPr>
                <w:sz w:val="21"/>
                <w:szCs w:val="21"/>
              </w:rPr>
            </w:pPr>
            <w:r>
              <w:rPr>
                <w:sz w:val="21"/>
                <w:szCs w:val="21"/>
                <w:spacing w:val="-2"/>
              </w:rPr>
              <w:t>产生量</w:t>
            </w:r>
          </w:p>
        </w:tc>
        <w:tc>
          <w:tcPr>
            <w:tcW w:w="629" w:type="dxa"/>
            <w:vAlign w:val="top"/>
          </w:tcPr>
          <w:p>
            <w:pPr>
              <w:pStyle w:val="TableText"/>
              <w:spacing w:before="35" w:line="221" w:lineRule="auto"/>
              <w:jc w:val="right"/>
              <w:rPr>
                <w:sz w:val="21"/>
                <w:szCs w:val="21"/>
              </w:rPr>
            </w:pPr>
            <w:r>
              <w:rPr>
                <w:sz w:val="21"/>
                <w:szCs w:val="21"/>
                <w:color w:val="404050"/>
                <w:spacing w:val="-8"/>
              </w:rPr>
              <w:t>取其平</w:t>
            </w:r>
          </w:p>
          <w:p>
            <w:pPr>
              <w:pStyle w:val="TableText"/>
              <w:ind w:left="90"/>
              <w:spacing w:before="16" w:line="197" w:lineRule="auto"/>
              <w:rPr>
                <w:sz w:val="21"/>
                <w:szCs w:val="21"/>
              </w:rPr>
            </w:pPr>
            <w:r>
              <w:rPr>
                <w:sz w:val="21"/>
                <w:szCs w:val="21"/>
                <w:spacing w:val="-3"/>
              </w:rPr>
              <w:t>均值</w:t>
            </w:r>
          </w:p>
        </w:tc>
        <w:tc>
          <w:tcPr>
            <w:tcW w:w="579" w:type="dxa"/>
            <w:vAlign w:val="top"/>
          </w:tcPr>
          <w:p>
            <w:pPr>
              <w:pStyle w:val="TableText"/>
              <w:ind w:left="11" w:right="34" w:firstLine="60"/>
              <w:spacing w:before="45" w:line="200" w:lineRule="auto"/>
              <w:rPr>
                <w:sz w:val="21"/>
                <w:szCs w:val="21"/>
              </w:rPr>
            </w:pPr>
            <w:r>
              <w:rPr>
                <w:sz w:val="21"/>
                <w:szCs w:val="21"/>
                <w:spacing w:val="6"/>
              </w:rPr>
              <w:t>浓度</w:t>
            </w:r>
            <w:r>
              <w:rPr>
                <w:sz w:val="21"/>
                <w:szCs w:val="21"/>
              </w:rPr>
              <w:t xml:space="preserve"> </w:t>
            </w:r>
            <w:r>
              <w:rPr>
                <w:sz w:val="21"/>
                <w:szCs w:val="21"/>
                <w:spacing w:val="-1"/>
              </w:rPr>
              <w:t>mg/m³</w:t>
            </w:r>
          </w:p>
        </w:tc>
        <w:tc>
          <w:tcPr>
            <w:tcW w:w="649" w:type="dxa"/>
            <w:vAlign w:val="top"/>
          </w:tcPr>
          <w:p>
            <w:pPr>
              <w:pStyle w:val="TableText"/>
              <w:ind w:left="12" w:right="4"/>
              <w:spacing w:before="43" w:line="213" w:lineRule="auto"/>
              <w:rPr>
                <w:sz w:val="21"/>
                <w:szCs w:val="21"/>
              </w:rPr>
            </w:pPr>
            <w:r>
              <w:rPr>
                <w:sz w:val="21"/>
                <w:szCs w:val="21"/>
                <w:spacing w:val="-4"/>
              </w:rPr>
              <w:t>标杆流</w:t>
            </w:r>
            <w:r>
              <w:rPr>
                <w:sz w:val="21"/>
                <w:szCs w:val="21"/>
                <w:spacing w:val="1"/>
              </w:rPr>
              <w:t xml:space="preserve"> </w:t>
            </w:r>
            <w:r>
              <w:rPr>
                <w:sz w:val="21"/>
                <w:szCs w:val="21"/>
                <w:spacing w:val="-2"/>
              </w:rPr>
              <w:t>量m³/h</w:t>
            </w:r>
          </w:p>
        </w:tc>
        <w:tc>
          <w:tcPr>
            <w:tcW w:w="429" w:type="dxa"/>
            <w:vAlign w:val="top"/>
          </w:tcPr>
          <w:p>
            <w:pPr>
              <w:pStyle w:val="TableText"/>
              <w:spacing w:before="14" w:line="219" w:lineRule="auto"/>
              <w:jc w:val="right"/>
              <w:rPr>
                <w:sz w:val="21"/>
                <w:szCs w:val="21"/>
              </w:rPr>
            </w:pPr>
            <w:r>
              <w:rPr>
                <w:sz w:val="21"/>
                <w:szCs w:val="21"/>
                <w:spacing w:val="-8"/>
              </w:rPr>
              <w:t>收集</w:t>
            </w:r>
          </w:p>
          <w:p>
            <w:pPr>
              <w:pStyle w:val="TableText"/>
              <w:spacing w:before="20" w:line="214" w:lineRule="auto"/>
              <w:jc w:val="right"/>
              <w:rPr>
                <w:sz w:val="21"/>
                <w:szCs w:val="21"/>
              </w:rPr>
            </w:pPr>
            <w:r>
              <w:rPr>
                <w:sz w:val="21"/>
                <w:szCs w:val="21"/>
                <w:spacing w:val="-8"/>
              </w:rPr>
              <w:t>效率</w:t>
            </w:r>
          </w:p>
        </w:tc>
        <w:tc>
          <w:tcPr>
            <w:tcW w:w="649" w:type="dxa"/>
            <w:vAlign w:val="top"/>
          </w:tcPr>
          <w:p>
            <w:pPr>
              <w:pStyle w:val="TableText"/>
              <w:spacing w:before="24" w:line="219" w:lineRule="auto"/>
              <w:jc w:val="right"/>
              <w:rPr>
                <w:sz w:val="21"/>
                <w:szCs w:val="21"/>
              </w:rPr>
            </w:pPr>
            <w:r>
              <w:rPr>
                <w:sz w:val="21"/>
                <w:szCs w:val="21"/>
                <w:spacing w:val="-3"/>
              </w:rPr>
              <w:t>产生速</w:t>
            </w:r>
          </w:p>
          <w:p>
            <w:pPr>
              <w:pStyle w:val="TableText"/>
              <w:ind w:right="2"/>
              <w:spacing w:before="24" w:line="202" w:lineRule="auto"/>
              <w:jc w:val="right"/>
              <w:rPr>
                <w:sz w:val="21"/>
                <w:szCs w:val="21"/>
              </w:rPr>
            </w:pPr>
            <w:r>
              <w:rPr>
                <w:sz w:val="21"/>
                <w:szCs w:val="21"/>
                <w:color w:val="504040"/>
                <w:spacing w:val="-2"/>
              </w:rPr>
              <w:t>率kg/h</w:t>
            </w:r>
          </w:p>
        </w:tc>
        <w:tc>
          <w:tcPr>
            <w:tcW w:w="839" w:type="dxa"/>
            <w:vAlign w:val="top"/>
          </w:tcPr>
          <w:p>
            <w:pPr>
              <w:pStyle w:val="TableText"/>
              <w:ind w:left="25" w:hanging="9"/>
              <w:spacing w:before="13" w:line="226" w:lineRule="auto"/>
              <w:rPr>
                <w:sz w:val="21"/>
                <w:szCs w:val="21"/>
              </w:rPr>
            </w:pPr>
            <w:r>
              <w:rPr>
                <w:sz w:val="21"/>
                <w:szCs w:val="21"/>
                <w:spacing w:val="-7"/>
              </w:rPr>
              <w:t>每头猪产</w:t>
            </w:r>
            <w:r>
              <w:rPr>
                <w:sz w:val="21"/>
                <w:szCs w:val="21"/>
              </w:rPr>
              <w:t xml:space="preserve"> </w:t>
            </w:r>
            <w:r>
              <w:rPr>
                <w:sz w:val="21"/>
                <w:szCs w:val="21"/>
                <w:spacing w:val="-6"/>
              </w:rPr>
              <w:t>物系数g</w:t>
            </w:r>
          </w:p>
        </w:tc>
        <w:tc>
          <w:tcPr>
            <w:tcW w:w="1798" w:type="dxa"/>
            <w:vAlign w:val="top"/>
            <w:gridSpan w:val="2"/>
          </w:tcPr>
          <w:p>
            <w:pPr>
              <w:pStyle w:val="TableText"/>
              <w:ind w:left="477"/>
              <w:spacing w:before="174" w:line="219" w:lineRule="auto"/>
              <w:rPr>
                <w:sz w:val="21"/>
                <w:szCs w:val="21"/>
              </w:rPr>
            </w:pPr>
            <w:r>
              <w:rPr>
                <w:sz w:val="21"/>
                <w:szCs w:val="21"/>
                <w:spacing w:val="-3"/>
              </w:rPr>
              <w:t>核算方法</w:t>
            </w:r>
          </w:p>
        </w:tc>
        <w:tc>
          <w:tcPr>
            <w:tcW w:w="2033" w:type="dxa"/>
            <w:vAlign w:val="top"/>
          </w:tcPr>
          <w:p>
            <w:pPr>
              <w:pStyle w:val="TableText"/>
              <w:ind w:left="218"/>
              <w:spacing w:before="167" w:line="214" w:lineRule="auto"/>
              <w:rPr>
                <w:sz w:val="21"/>
                <w:szCs w:val="21"/>
              </w:rPr>
            </w:pPr>
            <w:r>
              <w:rPr>
                <w:sz w:val="21"/>
                <w:szCs w:val="21"/>
                <w:spacing w:val="-1"/>
              </w:rPr>
              <w:t>每头猪产物系数g</w:t>
            </w:r>
          </w:p>
        </w:tc>
      </w:tr>
      <w:tr>
        <w:trPr>
          <w:trHeight w:val="249" w:hRule="atLeast"/>
        </w:trPr>
        <w:tc>
          <w:tcPr>
            <w:tcW w:w="894" w:type="dxa"/>
            <w:vAlign w:val="top"/>
            <w:vMerge w:val="continue"/>
            <w:tcBorders>
              <w:top w:val="nil"/>
              <w:bottom w:val="nil"/>
            </w:tcBorders>
          </w:tcPr>
          <w:p>
            <w:pPr>
              <w:rPr>
                <w:rFonts w:ascii="Arial"/>
                <w:sz w:val="21"/>
              </w:rPr>
            </w:pPr>
            <w:r/>
          </w:p>
        </w:tc>
        <w:tc>
          <w:tcPr>
            <w:tcW w:w="629" w:type="dxa"/>
            <w:vAlign w:val="top"/>
          </w:tcPr>
          <w:p>
            <w:pPr>
              <w:pStyle w:val="TableText"/>
              <w:ind w:left="90"/>
              <w:spacing w:before="60" w:line="157"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579" w:type="dxa"/>
            <w:vAlign w:val="top"/>
          </w:tcPr>
          <w:p>
            <w:pPr>
              <w:pStyle w:val="TableText"/>
              <w:ind w:left="71"/>
              <w:spacing w:before="47" w:line="168" w:lineRule="auto"/>
              <w:rPr>
                <w:sz w:val="21"/>
                <w:szCs w:val="21"/>
              </w:rPr>
            </w:pPr>
            <w:r>
              <w:rPr>
                <w:sz w:val="21"/>
                <w:szCs w:val="21"/>
                <w:spacing w:val="-3"/>
              </w:rPr>
              <w:t>2.28</w:t>
            </w:r>
          </w:p>
        </w:tc>
        <w:tc>
          <w:tcPr>
            <w:tcW w:w="649" w:type="dxa"/>
            <w:vAlign w:val="top"/>
            <w:vMerge w:val="restart"/>
            <w:tcBorders>
              <w:bottom w:val="nil"/>
            </w:tcBorders>
          </w:tcPr>
          <w:p>
            <w:pPr>
              <w:pStyle w:val="TableText"/>
              <w:ind w:left="52"/>
              <w:spacing w:before="177"/>
              <w:rPr>
                <w:sz w:val="21"/>
                <w:szCs w:val="21"/>
              </w:rPr>
            </w:pPr>
            <w:r>
              <w:rPr>
                <w:sz w:val="21"/>
                <w:szCs w:val="21"/>
                <w:spacing w:val="-4"/>
              </w:rPr>
              <w:t>16072</w:t>
            </w:r>
          </w:p>
        </w:tc>
        <w:tc>
          <w:tcPr>
            <w:tcW w:w="429" w:type="dxa"/>
            <w:vAlign w:val="top"/>
            <w:vMerge w:val="restart"/>
            <w:tcBorders>
              <w:bottom w:val="nil"/>
            </w:tcBorders>
          </w:tcPr>
          <w:p>
            <w:pPr>
              <w:pStyle w:val="TableText"/>
              <w:spacing w:before="177"/>
              <w:jc w:val="right"/>
              <w:rPr>
                <w:sz w:val="21"/>
                <w:szCs w:val="21"/>
              </w:rPr>
            </w:pPr>
            <w:r>
              <w:rPr>
                <w:sz w:val="21"/>
                <w:szCs w:val="21"/>
                <w:spacing w:val="-4"/>
              </w:rPr>
              <w:t>90%-</w:t>
            </w:r>
          </w:p>
        </w:tc>
        <w:tc>
          <w:tcPr>
            <w:tcW w:w="649" w:type="dxa"/>
            <w:vAlign w:val="top"/>
          </w:tcPr>
          <w:p>
            <w:pPr>
              <w:pStyle w:val="TableText"/>
              <w:ind w:left="54"/>
              <w:spacing w:before="47" w:line="168" w:lineRule="auto"/>
              <w:rPr>
                <w:sz w:val="21"/>
                <w:szCs w:val="21"/>
              </w:rPr>
            </w:pPr>
            <w:r>
              <w:rPr>
                <w:sz w:val="21"/>
                <w:szCs w:val="21"/>
                <w:color w:val="806050"/>
                <w:spacing w:val="-2"/>
              </w:rPr>
              <w:t>0.041</w:t>
            </w:r>
          </w:p>
        </w:tc>
        <w:tc>
          <w:tcPr>
            <w:tcW w:w="839" w:type="dxa"/>
            <w:vAlign w:val="top"/>
          </w:tcPr>
          <w:p>
            <w:pPr>
              <w:pStyle w:val="TableText"/>
              <w:ind w:left="205"/>
              <w:spacing w:before="47" w:line="168" w:lineRule="auto"/>
              <w:rPr>
                <w:sz w:val="21"/>
                <w:szCs w:val="21"/>
              </w:rPr>
            </w:pPr>
            <w:r>
              <w:rPr>
                <w:sz w:val="21"/>
                <w:szCs w:val="21"/>
                <w:color w:val="505040"/>
                <w:spacing w:val="-2"/>
              </w:rPr>
              <w:t>0.54</w:t>
            </w:r>
          </w:p>
        </w:tc>
        <w:tc>
          <w:tcPr>
            <w:tcW w:w="909" w:type="dxa"/>
            <w:vAlign w:val="top"/>
            <w:vMerge w:val="restart"/>
            <w:tcBorders>
              <w:bottom w:val="nil"/>
            </w:tcBorders>
          </w:tcPr>
          <w:p>
            <w:pPr>
              <w:pStyle w:val="TableText"/>
              <w:ind w:left="136"/>
              <w:spacing w:before="156" w:line="219" w:lineRule="auto"/>
              <w:rPr>
                <w:sz w:val="21"/>
                <w:szCs w:val="21"/>
              </w:rPr>
            </w:pPr>
            <w:r>
              <w:rPr>
                <w:sz w:val="21"/>
                <w:szCs w:val="21"/>
                <w:spacing w:val="-2"/>
              </w:rPr>
              <w:t>类比法</w:t>
            </w:r>
          </w:p>
        </w:tc>
        <w:tc>
          <w:tcPr>
            <w:tcW w:w="889" w:type="dxa"/>
            <w:vAlign w:val="top"/>
          </w:tcPr>
          <w:p>
            <w:pPr>
              <w:pStyle w:val="TableText"/>
              <w:ind w:left="227"/>
              <w:spacing w:before="60" w:line="157"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2033" w:type="dxa"/>
            <w:vAlign w:val="top"/>
          </w:tcPr>
          <w:p>
            <w:pPr>
              <w:pStyle w:val="TableText"/>
              <w:ind w:left="798"/>
              <w:spacing w:before="47" w:line="168" w:lineRule="auto"/>
              <w:rPr>
                <w:sz w:val="21"/>
                <w:szCs w:val="21"/>
              </w:rPr>
            </w:pPr>
            <w:r>
              <w:rPr>
                <w:sz w:val="21"/>
                <w:szCs w:val="21"/>
                <w:color w:val="505040"/>
                <w:spacing w:val="-2"/>
              </w:rPr>
              <w:t>0.54</w:t>
            </w:r>
          </w:p>
        </w:tc>
      </w:tr>
      <w:tr>
        <w:trPr>
          <w:trHeight w:val="254" w:hRule="atLeast"/>
        </w:trPr>
        <w:tc>
          <w:tcPr>
            <w:tcW w:w="894" w:type="dxa"/>
            <w:vAlign w:val="top"/>
            <w:vMerge w:val="continue"/>
            <w:tcBorders>
              <w:top w:val="nil"/>
            </w:tcBorders>
          </w:tcPr>
          <w:p>
            <w:pPr>
              <w:rPr>
                <w:rFonts w:ascii="Arial"/>
                <w:sz w:val="21"/>
              </w:rPr>
            </w:pPr>
            <w:r/>
          </w:p>
        </w:tc>
        <w:tc>
          <w:tcPr>
            <w:tcW w:w="629" w:type="dxa"/>
            <w:vAlign w:val="top"/>
          </w:tcPr>
          <w:p>
            <w:pPr>
              <w:pStyle w:val="TableText"/>
              <w:ind w:left="90"/>
              <w:spacing w:before="60" w:line="161" w:lineRule="auto"/>
              <w:rPr>
                <w:sz w:val="21"/>
                <w:szCs w:val="21"/>
              </w:rPr>
            </w:pPr>
            <w:r>
              <w:rPr>
                <w:sz w:val="21"/>
                <w:szCs w:val="21"/>
                <w:color w:val="706050"/>
                <w:spacing w:val="-2"/>
              </w:rPr>
              <w:t>H</w:t>
            </w:r>
            <w:r>
              <w:rPr>
                <w:rFonts w:ascii="Calibri" w:hAnsi="Calibri" w:eastAsia="Calibri" w:cs="Calibri"/>
                <w:sz w:val="21"/>
                <w:szCs w:val="21"/>
                <w:color w:val="706050"/>
                <w:spacing w:val="-2"/>
              </w:rPr>
              <w:t>₂</w:t>
            </w:r>
            <w:r>
              <w:rPr>
                <w:sz w:val="21"/>
                <w:szCs w:val="21"/>
                <w:color w:val="706050"/>
                <w:spacing w:val="-2"/>
              </w:rPr>
              <w:t>S</w:t>
            </w:r>
          </w:p>
        </w:tc>
        <w:tc>
          <w:tcPr>
            <w:tcW w:w="579" w:type="dxa"/>
            <w:vAlign w:val="top"/>
          </w:tcPr>
          <w:p>
            <w:pPr>
              <w:pStyle w:val="TableText"/>
              <w:ind w:left="11"/>
              <w:spacing w:before="48" w:line="172" w:lineRule="auto"/>
              <w:rPr>
                <w:sz w:val="21"/>
                <w:szCs w:val="21"/>
              </w:rPr>
            </w:pPr>
            <w:r>
              <w:rPr>
                <w:sz w:val="21"/>
                <w:szCs w:val="21"/>
                <w:color w:val="705050"/>
                <w:spacing w:val="-2"/>
              </w:rPr>
              <w:t>0.639</w:t>
            </w:r>
          </w:p>
        </w:tc>
        <w:tc>
          <w:tcPr>
            <w:tcW w:w="649" w:type="dxa"/>
            <w:vAlign w:val="top"/>
            <w:vMerge w:val="continue"/>
            <w:tcBorders>
              <w:top w:val="nil"/>
            </w:tcBorders>
          </w:tcPr>
          <w:p>
            <w:pPr>
              <w:rPr>
                <w:rFonts w:ascii="Arial"/>
                <w:sz w:val="21"/>
              </w:rPr>
            </w:pPr>
            <w:r/>
          </w:p>
        </w:tc>
        <w:tc>
          <w:tcPr>
            <w:tcW w:w="429" w:type="dxa"/>
            <w:vAlign w:val="top"/>
            <w:vMerge w:val="continue"/>
            <w:tcBorders>
              <w:top w:val="nil"/>
            </w:tcBorders>
          </w:tcPr>
          <w:p>
            <w:pPr>
              <w:rPr>
                <w:rFonts w:ascii="Arial"/>
                <w:sz w:val="21"/>
              </w:rPr>
            </w:pPr>
            <w:r/>
          </w:p>
        </w:tc>
        <w:tc>
          <w:tcPr>
            <w:tcW w:w="649" w:type="dxa"/>
            <w:vAlign w:val="top"/>
          </w:tcPr>
          <w:p>
            <w:pPr>
              <w:pStyle w:val="TableText"/>
              <w:ind w:left="54"/>
              <w:spacing w:before="48" w:line="172" w:lineRule="auto"/>
              <w:rPr>
                <w:sz w:val="21"/>
                <w:szCs w:val="21"/>
              </w:rPr>
            </w:pPr>
            <w:r>
              <w:rPr>
                <w:sz w:val="21"/>
                <w:szCs w:val="21"/>
                <w:spacing w:val="-2"/>
              </w:rPr>
              <w:t>0.011</w:t>
            </w:r>
          </w:p>
        </w:tc>
        <w:tc>
          <w:tcPr>
            <w:tcW w:w="839" w:type="dxa"/>
            <w:vAlign w:val="top"/>
          </w:tcPr>
          <w:p>
            <w:pPr>
              <w:pStyle w:val="TableText"/>
              <w:ind w:left="205"/>
              <w:spacing w:before="48" w:line="172" w:lineRule="auto"/>
              <w:rPr>
                <w:sz w:val="21"/>
                <w:szCs w:val="21"/>
              </w:rPr>
            </w:pPr>
            <w:r>
              <w:rPr>
                <w:sz w:val="21"/>
                <w:szCs w:val="21"/>
                <w:color w:val="504040"/>
                <w:spacing w:val="-2"/>
              </w:rPr>
              <w:t>0.15</w:t>
            </w:r>
          </w:p>
        </w:tc>
        <w:tc>
          <w:tcPr>
            <w:tcW w:w="909" w:type="dxa"/>
            <w:vAlign w:val="top"/>
            <w:vMerge w:val="continue"/>
            <w:tcBorders>
              <w:top w:val="nil"/>
            </w:tcBorders>
          </w:tcPr>
          <w:p>
            <w:pPr>
              <w:rPr>
                <w:rFonts w:ascii="Arial"/>
                <w:sz w:val="21"/>
              </w:rPr>
            </w:pPr>
            <w:r/>
          </w:p>
        </w:tc>
        <w:tc>
          <w:tcPr>
            <w:tcW w:w="889" w:type="dxa"/>
            <w:vAlign w:val="top"/>
          </w:tcPr>
          <w:p>
            <w:pPr>
              <w:pStyle w:val="TableText"/>
              <w:ind w:left="227"/>
              <w:spacing w:before="60" w:line="161" w:lineRule="auto"/>
              <w:rPr>
                <w:sz w:val="21"/>
                <w:szCs w:val="21"/>
              </w:rPr>
            </w:pPr>
            <w:r>
              <w:rPr>
                <w:sz w:val="21"/>
                <w:szCs w:val="21"/>
                <w:color w:val="605040"/>
                <w:spacing w:val="-2"/>
              </w:rPr>
              <w:t>H</w:t>
            </w:r>
            <w:r>
              <w:rPr>
                <w:rFonts w:ascii="Calibri" w:hAnsi="Calibri" w:eastAsia="Calibri" w:cs="Calibri"/>
                <w:sz w:val="21"/>
                <w:szCs w:val="21"/>
                <w:color w:val="605040"/>
                <w:spacing w:val="-2"/>
              </w:rPr>
              <w:t>₂</w:t>
            </w:r>
            <w:r>
              <w:rPr>
                <w:sz w:val="21"/>
                <w:szCs w:val="21"/>
                <w:color w:val="605040"/>
                <w:spacing w:val="-2"/>
              </w:rPr>
              <w:t>S</w:t>
            </w:r>
          </w:p>
        </w:tc>
        <w:tc>
          <w:tcPr>
            <w:tcW w:w="2033" w:type="dxa"/>
            <w:vAlign w:val="top"/>
          </w:tcPr>
          <w:p>
            <w:pPr>
              <w:pStyle w:val="TableText"/>
              <w:ind w:left="798"/>
              <w:spacing w:before="48" w:line="172" w:lineRule="auto"/>
              <w:rPr>
                <w:sz w:val="21"/>
                <w:szCs w:val="21"/>
              </w:rPr>
            </w:pPr>
            <w:r>
              <w:rPr>
                <w:sz w:val="21"/>
                <w:szCs w:val="21"/>
                <w:spacing w:val="-2"/>
              </w:rPr>
              <w:t>0.15</w:t>
            </w:r>
          </w:p>
        </w:tc>
      </w:tr>
    </w:tbl>
    <w:p>
      <w:pPr>
        <w:ind w:left="605"/>
        <w:spacing w:before="63" w:line="219" w:lineRule="auto"/>
        <w:rPr>
          <w:rFonts w:ascii="SimSun" w:hAnsi="SimSun" w:eastAsia="SimSun" w:cs="SimSun"/>
          <w:sz w:val="24"/>
          <w:szCs w:val="24"/>
        </w:rPr>
      </w:pPr>
      <w:r>
        <w:rPr>
          <w:rFonts w:ascii="SimSun" w:hAnsi="SimSun" w:eastAsia="SimSun" w:cs="SimSun"/>
          <w:sz w:val="24"/>
          <w:szCs w:val="24"/>
        </w:rPr>
        <w:t>本项目生猪待宰圈舍、屠宰车间恶臭产生情况见下</w:t>
      </w:r>
      <w:r>
        <w:rPr>
          <w:rFonts w:ascii="SimSun" w:hAnsi="SimSun" w:eastAsia="SimSun" w:cs="SimSun"/>
          <w:sz w:val="24"/>
          <w:szCs w:val="24"/>
          <w:spacing w:val="-1"/>
        </w:rPr>
        <w:t>表。</w:t>
      </w:r>
    </w:p>
    <w:p>
      <w:pPr>
        <w:ind w:left="898"/>
        <w:spacing w:before="193" w:line="199" w:lineRule="auto"/>
        <w:rPr>
          <w:rFonts w:ascii="SimSun" w:hAnsi="SimSun" w:eastAsia="SimSun" w:cs="SimSun"/>
          <w:sz w:val="24"/>
          <w:szCs w:val="24"/>
        </w:rPr>
      </w:pPr>
      <w:r>
        <w:rPr>
          <w:rFonts w:ascii="SimSun" w:hAnsi="SimSun" w:eastAsia="SimSun" w:cs="SimSun"/>
          <w:sz w:val="24"/>
          <w:szCs w:val="24"/>
          <w:b/>
          <w:bCs/>
          <w:spacing w:val="-3"/>
        </w:rPr>
        <w:t>表3.11-14项目生猪待宰圈舍、屠宰车间恶臭源强统计情况一览表</w:t>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54"/>
        <w:gridCol w:w="559"/>
        <w:gridCol w:w="1089"/>
        <w:gridCol w:w="1148"/>
        <w:gridCol w:w="1179"/>
        <w:gridCol w:w="699"/>
        <w:gridCol w:w="839"/>
        <w:gridCol w:w="739"/>
        <w:gridCol w:w="919"/>
        <w:gridCol w:w="774"/>
      </w:tblGrid>
      <w:tr>
        <w:trPr>
          <w:trHeight w:val="285" w:hRule="atLeast"/>
        </w:trPr>
        <w:tc>
          <w:tcPr>
            <w:shd w:val="clear" w:fill="BDBDBD"/>
            <w:tcW w:w="554" w:type="dxa"/>
            <w:vAlign w:val="top"/>
            <w:vMerge w:val="restart"/>
            <w:tcBorders>
              <w:bottom w:val="nil"/>
            </w:tcBorders>
          </w:tcPr>
          <w:p>
            <w:pPr>
              <w:spacing w:line="241" w:lineRule="auto"/>
              <w:rPr>
                <w:rFonts w:ascii="Arial"/>
                <w:sz w:val="21"/>
              </w:rPr>
            </w:pPr>
            <w:r/>
          </w:p>
          <w:p>
            <w:pPr>
              <w:pStyle w:val="TableText"/>
              <w:ind w:left="167" w:right="75" w:hanging="109"/>
              <w:spacing w:before="68" w:line="252" w:lineRule="auto"/>
              <w:rPr>
                <w:sz w:val="21"/>
                <w:szCs w:val="21"/>
              </w:rPr>
            </w:pPr>
            <w:r>
              <w:rPr>
                <w:sz w:val="21"/>
                <w:szCs w:val="21"/>
                <w:b/>
                <w:bCs/>
                <w:spacing w:val="-8"/>
              </w:rPr>
              <w:t>污染</w:t>
            </w:r>
            <w:r>
              <w:rPr>
                <w:sz w:val="21"/>
                <w:szCs w:val="21"/>
              </w:rPr>
              <w:t xml:space="preserve"> </w:t>
            </w:r>
            <w:r>
              <w:rPr>
                <w:sz w:val="21"/>
                <w:szCs w:val="21"/>
                <w:b/>
                <w:bCs/>
                <w:spacing w:val="-3"/>
              </w:rPr>
              <w:t>源</w:t>
            </w:r>
          </w:p>
        </w:tc>
        <w:tc>
          <w:tcPr>
            <w:shd w:val="clear" w:fill="BDBDBD"/>
            <w:tcW w:w="559" w:type="dxa"/>
            <w:vAlign w:val="top"/>
            <w:vMerge w:val="restart"/>
            <w:tcBorders>
              <w:bottom w:val="nil"/>
            </w:tcBorders>
          </w:tcPr>
          <w:p>
            <w:pPr>
              <w:spacing w:line="370" w:lineRule="auto"/>
              <w:rPr>
                <w:rFonts w:ascii="Arial"/>
                <w:sz w:val="21"/>
              </w:rPr>
            </w:pPr>
            <w:r/>
          </w:p>
          <w:p>
            <w:pPr>
              <w:pStyle w:val="TableText"/>
              <w:ind w:left="63"/>
              <w:spacing w:before="69" w:line="220" w:lineRule="auto"/>
              <w:rPr>
                <w:sz w:val="21"/>
                <w:szCs w:val="21"/>
              </w:rPr>
            </w:pPr>
            <w:r>
              <w:rPr>
                <w:sz w:val="21"/>
                <w:szCs w:val="21"/>
                <w:b/>
                <w:bCs/>
                <w:spacing w:val="1"/>
              </w:rPr>
              <w:t>时期</w:t>
            </w:r>
          </w:p>
        </w:tc>
        <w:tc>
          <w:tcPr>
            <w:shd w:val="clear" w:fill="BDBDBD"/>
            <w:tcW w:w="1089" w:type="dxa"/>
            <w:vAlign w:val="top"/>
            <w:vMerge w:val="restart"/>
            <w:tcBorders>
              <w:bottom w:val="nil"/>
            </w:tcBorders>
          </w:tcPr>
          <w:p>
            <w:pPr>
              <w:spacing w:line="370" w:lineRule="auto"/>
              <w:rPr>
                <w:rFonts w:ascii="Arial"/>
                <w:sz w:val="21"/>
              </w:rPr>
            </w:pPr>
            <w:r/>
          </w:p>
          <w:p>
            <w:pPr>
              <w:pStyle w:val="TableText"/>
              <w:ind w:left="114"/>
              <w:spacing w:before="68" w:line="219" w:lineRule="auto"/>
              <w:rPr>
                <w:sz w:val="21"/>
                <w:szCs w:val="21"/>
              </w:rPr>
            </w:pPr>
            <w:r>
              <w:rPr>
                <w:sz w:val="21"/>
                <w:szCs w:val="21"/>
                <w:b/>
                <w:bCs/>
                <w:spacing w:val="-5"/>
              </w:rPr>
              <w:t>暂存规模</w:t>
            </w:r>
          </w:p>
        </w:tc>
        <w:tc>
          <w:tcPr>
            <w:shd w:val="clear" w:fill="BDBDBD"/>
            <w:tcW w:w="2327" w:type="dxa"/>
            <w:vAlign w:val="top"/>
            <w:gridSpan w:val="2"/>
          </w:tcPr>
          <w:p>
            <w:pPr>
              <w:pStyle w:val="TableText"/>
              <w:ind w:left="405"/>
              <w:spacing w:before="40" w:line="206" w:lineRule="auto"/>
              <w:rPr>
                <w:sz w:val="21"/>
                <w:szCs w:val="21"/>
              </w:rPr>
            </w:pPr>
            <w:r>
              <w:rPr>
                <w:sz w:val="21"/>
                <w:szCs w:val="21"/>
                <w:b/>
                <w:bCs/>
                <w:spacing w:val="-4"/>
              </w:rPr>
              <w:t>污染源产生系数</w:t>
            </w:r>
          </w:p>
        </w:tc>
        <w:tc>
          <w:tcPr>
            <w:shd w:val="clear" w:fill="BDBDBD"/>
            <w:tcW w:w="699" w:type="dxa"/>
            <w:vAlign w:val="top"/>
            <w:vMerge w:val="restart"/>
            <w:tcBorders>
              <w:bottom w:val="nil"/>
            </w:tcBorders>
          </w:tcPr>
          <w:p>
            <w:pPr>
              <w:pStyle w:val="TableText"/>
              <w:ind w:left="139"/>
              <w:spacing w:before="280" w:line="219" w:lineRule="auto"/>
              <w:rPr>
                <w:sz w:val="21"/>
                <w:szCs w:val="21"/>
              </w:rPr>
            </w:pPr>
            <w:r>
              <w:rPr>
                <w:sz w:val="21"/>
                <w:szCs w:val="21"/>
                <w:b/>
                <w:bCs/>
                <w:spacing w:val="-5"/>
              </w:rPr>
              <w:t>核算</w:t>
            </w:r>
          </w:p>
          <w:p>
            <w:pPr>
              <w:pStyle w:val="TableText"/>
              <w:ind w:left="139"/>
              <w:spacing w:before="52" w:line="221" w:lineRule="auto"/>
              <w:rPr>
                <w:sz w:val="21"/>
                <w:szCs w:val="21"/>
              </w:rPr>
            </w:pPr>
            <w:r>
              <w:rPr>
                <w:sz w:val="21"/>
                <w:szCs w:val="21"/>
                <w:b/>
                <w:bCs/>
                <w:spacing w:val="-5"/>
              </w:rPr>
              <w:t>方法</w:t>
            </w:r>
          </w:p>
        </w:tc>
        <w:tc>
          <w:tcPr>
            <w:shd w:val="clear" w:fill="BDBDBD"/>
            <w:tcW w:w="3271" w:type="dxa"/>
            <w:vAlign w:val="top"/>
            <w:gridSpan w:val="4"/>
          </w:tcPr>
          <w:p>
            <w:pPr>
              <w:pStyle w:val="TableText"/>
              <w:ind w:left="1099"/>
              <w:spacing w:before="40" w:line="206" w:lineRule="auto"/>
              <w:rPr>
                <w:sz w:val="21"/>
                <w:szCs w:val="21"/>
              </w:rPr>
            </w:pPr>
            <w:r>
              <w:rPr>
                <w:sz w:val="21"/>
                <w:szCs w:val="21"/>
                <w:b/>
                <w:bCs/>
                <w:spacing w:val="-4"/>
              </w:rPr>
              <w:t>源强产生量</w:t>
            </w:r>
          </w:p>
        </w:tc>
      </w:tr>
      <w:tr>
        <w:trPr>
          <w:trHeight w:val="249" w:hRule="atLeast"/>
        </w:trPr>
        <w:tc>
          <w:tcPr>
            <w:tcW w:w="554" w:type="dxa"/>
            <w:vAlign w:val="top"/>
            <w:vMerge w:val="continue"/>
            <w:tcBorders>
              <w:top w:val="nil"/>
              <w:bottom w:val="nil"/>
            </w:tcBorders>
          </w:tcPr>
          <w:p>
            <w:pPr>
              <w:rPr>
                <w:rFonts w:ascii="Arial"/>
                <w:sz w:val="21"/>
              </w:rPr>
            </w:pPr>
            <w:r/>
          </w:p>
        </w:tc>
        <w:tc>
          <w:tcPr>
            <w:tcW w:w="559" w:type="dxa"/>
            <w:vAlign w:val="top"/>
            <w:vMerge w:val="continue"/>
            <w:tcBorders>
              <w:top w:val="nil"/>
              <w:bottom w:val="nil"/>
            </w:tcBorders>
          </w:tcPr>
          <w:p>
            <w:pPr>
              <w:rPr>
                <w:rFonts w:ascii="Arial"/>
                <w:sz w:val="21"/>
              </w:rPr>
            </w:pPr>
            <w:r/>
          </w:p>
        </w:tc>
        <w:tc>
          <w:tcPr>
            <w:tcW w:w="1089" w:type="dxa"/>
            <w:vAlign w:val="top"/>
            <w:vMerge w:val="continue"/>
            <w:tcBorders>
              <w:top w:val="nil"/>
              <w:bottom w:val="nil"/>
            </w:tcBorders>
          </w:tcPr>
          <w:p>
            <w:pPr>
              <w:rPr>
                <w:rFonts w:ascii="Arial"/>
                <w:sz w:val="21"/>
              </w:rPr>
            </w:pPr>
            <w:r/>
          </w:p>
        </w:tc>
        <w:tc>
          <w:tcPr>
            <w:shd w:val="clear" w:fill="BDBDBD"/>
            <w:tcW w:w="1148" w:type="dxa"/>
            <w:vAlign w:val="top"/>
            <w:vMerge w:val="restart"/>
            <w:tcBorders>
              <w:bottom w:val="nil"/>
            </w:tcBorders>
          </w:tcPr>
          <w:p>
            <w:pPr>
              <w:spacing w:line="261" w:lineRule="auto"/>
              <w:rPr>
                <w:rFonts w:ascii="Arial"/>
                <w:sz w:val="21"/>
              </w:rPr>
            </w:pPr>
            <w:r/>
          </w:p>
          <w:p>
            <w:pPr>
              <w:pStyle w:val="TableText"/>
              <w:ind w:left="355"/>
              <w:spacing w:before="69" w:line="182" w:lineRule="auto"/>
              <w:rPr>
                <w:rFonts w:ascii="Calibri" w:hAnsi="Calibri" w:eastAsia="Calibri" w:cs="Calibri"/>
                <w:sz w:val="21"/>
                <w:szCs w:val="21"/>
              </w:rPr>
            </w:pPr>
            <w:r>
              <w:rPr>
                <w:sz w:val="21"/>
                <w:szCs w:val="21"/>
                <w:b/>
                <w:bCs/>
                <w:spacing w:val="-3"/>
              </w:rPr>
              <w:t>NH</w:t>
            </w:r>
            <w:r>
              <w:rPr>
                <w:rFonts w:ascii="Calibri" w:hAnsi="Calibri" w:eastAsia="Calibri" w:cs="Calibri"/>
                <w:sz w:val="21"/>
                <w:szCs w:val="21"/>
                <w:b/>
                <w:bCs/>
                <w:spacing w:val="-3"/>
              </w:rPr>
              <w:t>₃</w:t>
            </w:r>
          </w:p>
        </w:tc>
        <w:tc>
          <w:tcPr>
            <w:shd w:val="clear" w:fill="BDBDBD"/>
            <w:tcW w:w="1179" w:type="dxa"/>
            <w:vAlign w:val="top"/>
            <w:vMerge w:val="restart"/>
            <w:tcBorders>
              <w:bottom w:val="nil"/>
            </w:tcBorders>
          </w:tcPr>
          <w:p>
            <w:pPr>
              <w:spacing w:line="262" w:lineRule="auto"/>
              <w:rPr>
                <w:rFonts w:ascii="Arial"/>
                <w:sz w:val="21"/>
              </w:rPr>
            </w:pPr>
            <w:r/>
          </w:p>
          <w:p>
            <w:pPr>
              <w:pStyle w:val="TableText"/>
              <w:ind w:left="377"/>
              <w:spacing w:before="68" w:line="183" w:lineRule="auto"/>
              <w:rPr>
                <w:sz w:val="21"/>
                <w:szCs w:val="21"/>
              </w:rPr>
            </w:pPr>
            <w:r>
              <w:rPr>
                <w:sz w:val="21"/>
                <w:szCs w:val="21"/>
                <w:b/>
                <w:bCs/>
                <w:spacing w:val="-3"/>
              </w:rPr>
              <w:t>H</w:t>
            </w:r>
            <w:r>
              <w:rPr>
                <w:rFonts w:ascii="Calibri" w:hAnsi="Calibri" w:eastAsia="Calibri" w:cs="Calibri"/>
                <w:sz w:val="21"/>
                <w:szCs w:val="21"/>
                <w:b/>
                <w:bCs/>
                <w:spacing w:val="-3"/>
              </w:rPr>
              <w:t>₂</w:t>
            </w:r>
            <w:r>
              <w:rPr>
                <w:sz w:val="21"/>
                <w:szCs w:val="21"/>
                <w:b/>
                <w:bCs/>
                <w:spacing w:val="-3"/>
              </w:rPr>
              <w:t>S</w:t>
            </w:r>
          </w:p>
        </w:tc>
        <w:tc>
          <w:tcPr>
            <w:tcW w:w="699" w:type="dxa"/>
            <w:vAlign w:val="top"/>
            <w:vMerge w:val="continue"/>
            <w:tcBorders>
              <w:top w:val="nil"/>
              <w:bottom w:val="nil"/>
            </w:tcBorders>
          </w:tcPr>
          <w:p>
            <w:pPr>
              <w:rPr>
                <w:rFonts w:ascii="Arial"/>
                <w:sz w:val="21"/>
              </w:rPr>
            </w:pPr>
            <w:r/>
          </w:p>
        </w:tc>
        <w:tc>
          <w:tcPr>
            <w:shd w:val="clear" w:fill="BDBDBD"/>
            <w:tcW w:w="1578" w:type="dxa"/>
            <w:vAlign w:val="top"/>
            <w:gridSpan w:val="2"/>
          </w:tcPr>
          <w:p>
            <w:pPr>
              <w:pStyle w:val="TableText"/>
              <w:ind w:left="579"/>
              <w:spacing w:before="52" w:line="164" w:lineRule="auto"/>
              <w:rPr>
                <w:rFonts w:ascii="Calibri" w:hAnsi="Calibri" w:eastAsia="Calibri" w:cs="Calibri"/>
                <w:sz w:val="21"/>
                <w:szCs w:val="21"/>
              </w:rPr>
            </w:pPr>
            <w:r>
              <w:rPr>
                <w:sz w:val="21"/>
                <w:szCs w:val="21"/>
                <w:b/>
                <w:bCs/>
                <w:spacing w:val="-3"/>
              </w:rPr>
              <w:t>NH</w:t>
            </w:r>
            <w:r>
              <w:rPr>
                <w:rFonts w:ascii="Calibri" w:hAnsi="Calibri" w:eastAsia="Calibri" w:cs="Calibri"/>
                <w:sz w:val="21"/>
                <w:szCs w:val="21"/>
                <w:b/>
                <w:bCs/>
                <w:spacing w:val="-3"/>
              </w:rPr>
              <w:t>₃</w:t>
            </w:r>
          </w:p>
        </w:tc>
        <w:tc>
          <w:tcPr>
            <w:shd w:val="clear" w:fill="BDBDBD"/>
            <w:tcW w:w="1693" w:type="dxa"/>
            <w:vAlign w:val="top"/>
            <w:gridSpan w:val="2"/>
          </w:tcPr>
          <w:p>
            <w:pPr>
              <w:pStyle w:val="TableText"/>
              <w:ind w:left="661"/>
              <w:spacing w:before="52" w:line="164" w:lineRule="auto"/>
              <w:rPr>
                <w:sz w:val="21"/>
                <w:szCs w:val="21"/>
              </w:rPr>
            </w:pPr>
            <w:r>
              <w:rPr>
                <w:sz w:val="21"/>
                <w:szCs w:val="21"/>
                <w:b/>
                <w:bCs/>
                <w:spacing w:val="-3"/>
              </w:rPr>
              <w:t>H</w:t>
            </w:r>
            <w:r>
              <w:rPr>
                <w:rFonts w:ascii="Calibri" w:hAnsi="Calibri" w:eastAsia="Calibri" w:cs="Calibri"/>
                <w:sz w:val="21"/>
                <w:szCs w:val="21"/>
                <w:b/>
                <w:bCs/>
                <w:spacing w:val="-3"/>
              </w:rPr>
              <w:t>₂</w:t>
            </w:r>
            <w:r>
              <w:rPr>
                <w:sz w:val="21"/>
                <w:szCs w:val="21"/>
                <w:b/>
                <w:bCs/>
                <w:spacing w:val="-3"/>
              </w:rPr>
              <w:t>S</w:t>
            </w:r>
          </w:p>
        </w:tc>
      </w:tr>
      <w:tr>
        <w:trPr>
          <w:trHeight w:val="539" w:hRule="atLeast"/>
        </w:trPr>
        <w:tc>
          <w:tcPr>
            <w:tcW w:w="554" w:type="dxa"/>
            <w:vAlign w:val="top"/>
            <w:vMerge w:val="continue"/>
            <w:tcBorders>
              <w:top w:val="nil"/>
            </w:tcBorders>
          </w:tcPr>
          <w:p>
            <w:pPr>
              <w:rPr>
                <w:rFonts w:ascii="Arial"/>
                <w:sz w:val="21"/>
              </w:rPr>
            </w:pPr>
            <w:r/>
          </w:p>
        </w:tc>
        <w:tc>
          <w:tcPr>
            <w:tcW w:w="559" w:type="dxa"/>
            <w:vAlign w:val="top"/>
            <w:vMerge w:val="continue"/>
            <w:tcBorders>
              <w:top w:val="nil"/>
            </w:tcBorders>
          </w:tcPr>
          <w:p>
            <w:pPr>
              <w:rPr>
                <w:rFonts w:ascii="Arial"/>
                <w:sz w:val="21"/>
              </w:rPr>
            </w:pPr>
            <w:r/>
          </w:p>
        </w:tc>
        <w:tc>
          <w:tcPr>
            <w:tcW w:w="1089" w:type="dxa"/>
            <w:vAlign w:val="top"/>
            <w:vMerge w:val="continue"/>
            <w:tcBorders>
              <w:top w:val="nil"/>
            </w:tcBorders>
          </w:tcPr>
          <w:p>
            <w:pPr>
              <w:rPr>
                <w:rFonts w:ascii="Arial"/>
                <w:sz w:val="21"/>
              </w:rPr>
            </w:pPr>
            <w:r/>
          </w:p>
        </w:tc>
        <w:tc>
          <w:tcPr>
            <w:tcW w:w="1148" w:type="dxa"/>
            <w:vAlign w:val="top"/>
            <w:vMerge w:val="continue"/>
            <w:tcBorders>
              <w:top w:val="nil"/>
            </w:tcBorders>
          </w:tcPr>
          <w:p>
            <w:pPr>
              <w:rPr>
                <w:rFonts w:ascii="Arial"/>
                <w:sz w:val="21"/>
              </w:rPr>
            </w:pPr>
            <w:r/>
          </w:p>
        </w:tc>
        <w:tc>
          <w:tcPr>
            <w:tcW w:w="1179" w:type="dxa"/>
            <w:vAlign w:val="top"/>
            <w:vMerge w:val="continue"/>
            <w:tcBorders>
              <w:top w:val="nil"/>
            </w:tcBorders>
          </w:tcPr>
          <w:p>
            <w:pPr>
              <w:rPr>
                <w:rFonts w:ascii="Arial"/>
                <w:sz w:val="21"/>
              </w:rPr>
            </w:pPr>
            <w:r/>
          </w:p>
        </w:tc>
        <w:tc>
          <w:tcPr>
            <w:tcW w:w="699" w:type="dxa"/>
            <w:vAlign w:val="top"/>
            <w:vMerge w:val="continue"/>
            <w:tcBorders>
              <w:top w:val="nil"/>
            </w:tcBorders>
          </w:tcPr>
          <w:p>
            <w:pPr>
              <w:rPr>
                <w:rFonts w:ascii="Arial"/>
                <w:sz w:val="21"/>
              </w:rPr>
            </w:pPr>
            <w:r/>
          </w:p>
        </w:tc>
        <w:tc>
          <w:tcPr>
            <w:shd w:val="clear" w:fill="BDBDBD"/>
            <w:tcW w:w="839" w:type="dxa"/>
            <w:vAlign w:val="top"/>
          </w:tcPr>
          <w:p>
            <w:pPr>
              <w:pStyle w:val="TableText"/>
              <w:ind w:left="99" w:right="107"/>
              <w:spacing w:before="26" w:line="221" w:lineRule="auto"/>
              <w:rPr>
                <w:sz w:val="21"/>
                <w:szCs w:val="21"/>
              </w:rPr>
            </w:pPr>
            <w:r>
              <w:rPr>
                <w:sz w:val="21"/>
                <w:szCs w:val="21"/>
                <w:b/>
                <w:bCs/>
                <w:spacing w:val="-5"/>
              </w:rPr>
              <w:t>产生速</w:t>
            </w:r>
            <w:r>
              <w:rPr>
                <w:sz w:val="21"/>
                <w:szCs w:val="21"/>
              </w:rPr>
              <w:t xml:space="preserve"> </w:t>
            </w:r>
            <w:r>
              <w:rPr>
                <w:sz w:val="21"/>
                <w:szCs w:val="21"/>
                <w:b/>
                <w:bCs/>
                <w:spacing w:val="-4"/>
              </w:rPr>
              <w:t>率kg/h</w:t>
            </w:r>
          </w:p>
        </w:tc>
        <w:tc>
          <w:tcPr>
            <w:shd w:val="clear" w:fill="BDBDBD"/>
            <w:tcW w:w="739" w:type="dxa"/>
            <w:vAlign w:val="top"/>
          </w:tcPr>
          <w:p>
            <w:pPr>
              <w:pStyle w:val="TableText"/>
              <w:ind w:left="50"/>
              <w:spacing w:before="36" w:line="219" w:lineRule="auto"/>
              <w:rPr>
                <w:sz w:val="21"/>
                <w:szCs w:val="21"/>
              </w:rPr>
            </w:pPr>
            <w:r>
              <w:rPr>
                <w:sz w:val="21"/>
                <w:szCs w:val="21"/>
                <w:b/>
                <w:bCs/>
                <w:spacing w:val="-5"/>
              </w:rPr>
              <w:t>产生量</w:t>
            </w:r>
          </w:p>
          <w:p>
            <w:pPr>
              <w:pStyle w:val="TableText"/>
              <w:ind w:left="211"/>
              <w:spacing w:before="16" w:line="199" w:lineRule="auto"/>
              <w:rPr>
                <w:sz w:val="21"/>
                <w:szCs w:val="21"/>
              </w:rPr>
            </w:pPr>
            <w:r>
              <w:rPr>
                <w:sz w:val="21"/>
                <w:szCs w:val="21"/>
                <w:b/>
                <w:bCs/>
                <w:spacing w:val="-6"/>
              </w:rPr>
              <w:t>t/a</w:t>
            </w:r>
          </w:p>
        </w:tc>
        <w:tc>
          <w:tcPr>
            <w:shd w:val="clear" w:fill="BDBDBD"/>
            <w:tcW w:w="919" w:type="dxa"/>
            <w:vAlign w:val="top"/>
          </w:tcPr>
          <w:p>
            <w:pPr>
              <w:pStyle w:val="TableText"/>
              <w:ind w:left="41"/>
              <w:spacing w:before="36" w:line="219" w:lineRule="auto"/>
              <w:rPr>
                <w:sz w:val="21"/>
                <w:szCs w:val="21"/>
              </w:rPr>
            </w:pPr>
            <w:r>
              <w:rPr>
                <w:sz w:val="21"/>
                <w:szCs w:val="21"/>
                <w:b/>
                <w:bCs/>
                <w:spacing w:val="-4"/>
              </w:rPr>
              <w:t>产生速率</w:t>
            </w:r>
          </w:p>
          <w:p>
            <w:pPr>
              <w:pStyle w:val="TableText"/>
              <w:ind w:left="252"/>
              <w:spacing w:before="4" w:line="210" w:lineRule="auto"/>
              <w:rPr>
                <w:sz w:val="21"/>
                <w:szCs w:val="21"/>
              </w:rPr>
            </w:pPr>
            <w:r>
              <w:rPr>
                <w:sz w:val="21"/>
                <w:szCs w:val="21"/>
                <w:b/>
                <w:bCs/>
                <w:spacing w:val="-4"/>
              </w:rPr>
              <w:t>kg/h</w:t>
            </w:r>
          </w:p>
        </w:tc>
        <w:tc>
          <w:tcPr>
            <w:shd w:val="clear" w:fill="BDBDBD"/>
            <w:tcW w:w="774" w:type="dxa"/>
            <w:vAlign w:val="top"/>
          </w:tcPr>
          <w:p>
            <w:pPr>
              <w:pStyle w:val="TableText"/>
              <w:ind w:left="221" w:right="69" w:hanging="149"/>
              <w:spacing w:before="37" w:line="216" w:lineRule="auto"/>
              <w:rPr>
                <w:sz w:val="21"/>
                <w:szCs w:val="21"/>
              </w:rPr>
            </w:pPr>
            <w:r>
              <w:rPr>
                <w:sz w:val="21"/>
                <w:szCs w:val="21"/>
                <w:b/>
                <w:bCs/>
                <w:spacing w:val="-5"/>
              </w:rPr>
              <w:t>产生量</w:t>
            </w:r>
            <w:r>
              <w:rPr>
                <w:sz w:val="21"/>
                <w:szCs w:val="21"/>
              </w:rPr>
              <w:t xml:space="preserve"> </w:t>
            </w:r>
            <w:r>
              <w:rPr>
                <w:sz w:val="21"/>
                <w:szCs w:val="21"/>
                <w:b/>
                <w:bCs/>
                <w:spacing w:val="-6"/>
              </w:rPr>
              <w:t>t/a</w:t>
            </w:r>
          </w:p>
        </w:tc>
      </w:tr>
      <w:tr>
        <w:trPr>
          <w:trHeight w:val="269" w:hRule="atLeast"/>
        </w:trPr>
        <w:tc>
          <w:tcPr>
            <w:tcW w:w="554" w:type="dxa"/>
            <w:vAlign w:val="top"/>
            <w:vMerge w:val="restart"/>
            <w:tcBorders>
              <w:bottom w:val="nil"/>
            </w:tcBorders>
          </w:tcPr>
          <w:p>
            <w:pPr>
              <w:pStyle w:val="TableText"/>
              <w:ind w:left="55" w:right="52"/>
              <w:spacing w:before="51" w:line="221" w:lineRule="auto"/>
              <w:rPr>
                <w:sz w:val="21"/>
                <w:szCs w:val="21"/>
              </w:rPr>
            </w:pPr>
            <w:r>
              <w:rPr>
                <w:sz w:val="21"/>
                <w:szCs w:val="21"/>
                <w:spacing w:val="-5"/>
              </w:rPr>
              <w:t>生猪</w:t>
            </w:r>
            <w:r>
              <w:rPr>
                <w:sz w:val="21"/>
                <w:szCs w:val="21"/>
              </w:rPr>
              <w:t xml:space="preserve"> </w:t>
            </w:r>
            <w:r>
              <w:rPr>
                <w:sz w:val="21"/>
                <w:szCs w:val="21"/>
                <w:spacing w:val="8"/>
              </w:rPr>
              <w:t>待宰</w:t>
            </w:r>
          </w:p>
          <w:p>
            <w:pPr>
              <w:pStyle w:val="TableText"/>
              <w:ind w:left="55"/>
              <w:spacing w:before="28" w:line="206" w:lineRule="auto"/>
              <w:rPr>
                <w:sz w:val="21"/>
                <w:szCs w:val="21"/>
              </w:rPr>
            </w:pPr>
            <w:r>
              <w:rPr>
                <w:sz w:val="21"/>
                <w:szCs w:val="21"/>
                <w:spacing w:val="4"/>
              </w:rPr>
              <w:t>圈舍</w:t>
            </w:r>
          </w:p>
        </w:tc>
        <w:tc>
          <w:tcPr>
            <w:tcW w:w="559" w:type="dxa"/>
            <w:vAlign w:val="top"/>
          </w:tcPr>
          <w:p>
            <w:pPr>
              <w:pStyle w:val="TableText"/>
              <w:ind w:left="60"/>
              <w:spacing w:before="30" w:line="201" w:lineRule="auto"/>
              <w:rPr>
                <w:sz w:val="21"/>
                <w:szCs w:val="21"/>
              </w:rPr>
            </w:pPr>
            <w:r>
              <w:rPr>
                <w:sz w:val="21"/>
                <w:szCs w:val="21"/>
                <w:spacing w:val="4"/>
              </w:rPr>
              <w:t>淡季</w:t>
            </w:r>
          </w:p>
        </w:tc>
        <w:tc>
          <w:tcPr>
            <w:tcW w:w="1089" w:type="dxa"/>
            <w:vAlign w:val="top"/>
          </w:tcPr>
          <w:p>
            <w:pPr>
              <w:pStyle w:val="TableText"/>
              <w:ind w:left="111"/>
              <w:spacing w:before="30" w:line="201" w:lineRule="auto"/>
              <w:rPr>
                <w:sz w:val="21"/>
                <w:szCs w:val="21"/>
              </w:rPr>
            </w:pPr>
            <w:r>
              <w:rPr>
                <w:sz w:val="21"/>
                <w:szCs w:val="21"/>
              </w:rPr>
              <w:t>1000头/d</w:t>
            </w:r>
          </w:p>
        </w:tc>
        <w:tc>
          <w:tcPr>
            <w:tcW w:w="1148" w:type="dxa"/>
            <w:vAlign w:val="top"/>
            <w:vMerge w:val="restart"/>
            <w:tcBorders>
              <w:bottom w:val="nil"/>
            </w:tcBorders>
          </w:tcPr>
          <w:p>
            <w:pPr>
              <w:pStyle w:val="TableText"/>
              <w:ind w:left="253"/>
              <w:spacing w:before="193" w:line="208" w:lineRule="auto"/>
              <w:rPr>
                <w:sz w:val="21"/>
                <w:szCs w:val="21"/>
              </w:rPr>
            </w:pPr>
            <w:r>
              <w:rPr>
                <w:sz w:val="21"/>
                <w:szCs w:val="21"/>
                <w:spacing w:val="-4"/>
              </w:rPr>
              <w:t>1.59g/</w:t>
            </w:r>
          </w:p>
          <w:p>
            <w:pPr>
              <w:pStyle w:val="TableText"/>
              <w:ind w:left="212"/>
              <w:spacing w:line="219" w:lineRule="auto"/>
              <w:rPr>
                <w:sz w:val="21"/>
                <w:szCs w:val="21"/>
              </w:rPr>
            </w:pPr>
            <w:r>
              <w:rPr>
                <w:sz w:val="21"/>
                <w:szCs w:val="21"/>
                <w:spacing w:val="-19"/>
              </w:rPr>
              <w:t>(头</w:t>
            </w:r>
            <w:r>
              <w:rPr>
                <w:sz w:val="21"/>
                <w:szCs w:val="21"/>
                <w:spacing w:val="-1"/>
              </w:rPr>
              <w:t xml:space="preserve"> </w:t>
            </w:r>
            <w:r>
              <w:rPr>
                <w:sz w:val="21"/>
                <w:szCs w:val="21"/>
                <w:spacing w:val="-19"/>
              </w:rPr>
              <w:t>·</w:t>
            </w:r>
            <w:r>
              <w:rPr>
                <w:sz w:val="21"/>
                <w:szCs w:val="21"/>
                <w:spacing w:val="-70"/>
              </w:rPr>
              <w:t xml:space="preserve"> </w:t>
            </w:r>
            <w:r>
              <w:rPr>
                <w:sz w:val="21"/>
                <w:szCs w:val="21"/>
                <w:spacing w:val="-19"/>
              </w:rPr>
              <w:t>天)</w:t>
            </w:r>
          </w:p>
        </w:tc>
        <w:tc>
          <w:tcPr>
            <w:tcW w:w="1179" w:type="dxa"/>
            <w:vAlign w:val="top"/>
            <w:vMerge w:val="restart"/>
            <w:tcBorders>
              <w:bottom w:val="nil"/>
            </w:tcBorders>
          </w:tcPr>
          <w:p>
            <w:pPr>
              <w:pStyle w:val="TableText"/>
              <w:ind w:left="264"/>
              <w:spacing w:before="193" w:line="208" w:lineRule="auto"/>
              <w:rPr>
                <w:sz w:val="21"/>
                <w:szCs w:val="21"/>
              </w:rPr>
            </w:pPr>
            <w:r>
              <w:rPr>
                <w:sz w:val="21"/>
                <w:szCs w:val="21"/>
                <w:spacing w:val="-2"/>
              </w:rPr>
              <w:t>0.59g/</w:t>
            </w:r>
          </w:p>
          <w:p>
            <w:pPr>
              <w:pStyle w:val="TableText"/>
              <w:ind w:left="225"/>
              <w:spacing w:line="219" w:lineRule="auto"/>
              <w:rPr>
                <w:sz w:val="21"/>
                <w:szCs w:val="21"/>
              </w:rPr>
            </w:pPr>
            <w:r>
              <w:rPr>
                <w:sz w:val="21"/>
                <w:szCs w:val="21"/>
                <w:spacing w:val="-19"/>
              </w:rPr>
              <w:t>(头</w:t>
            </w:r>
            <w:r>
              <w:rPr>
                <w:sz w:val="21"/>
                <w:szCs w:val="21"/>
                <w:spacing w:val="-1"/>
              </w:rPr>
              <w:t xml:space="preserve"> </w:t>
            </w:r>
            <w:r>
              <w:rPr>
                <w:sz w:val="21"/>
                <w:szCs w:val="21"/>
                <w:spacing w:val="-19"/>
              </w:rPr>
              <w:t>·</w:t>
            </w:r>
            <w:r>
              <w:rPr>
                <w:sz w:val="21"/>
                <w:szCs w:val="21"/>
                <w:spacing w:val="-70"/>
              </w:rPr>
              <w:t xml:space="preserve"> </w:t>
            </w:r>
            <w:r>
              <w:rPr>
                <w:sz w:val="21"/>
                <w:szCs w:val="21"/>
                <w:spacing w:val="-19"/>
              </w:rPr>
              <w:t>天)</w:t>
            </w:r>
          </w:p>
        </w:tc>
        <w:tc>
          <w:tcPr>
            <w:tcW w:w="699" w:type="dxa"/>
            <w:vAlign w:val="top"/>
            <w:vMerge w:val="restart"/>
            <w:tcBorders>
              <w:bottom w:val="nil"/>
            </w:tcBorders>
          </w:tcPr>
          <w:p>
            <w:pPr>
              <w:pStyle w:val="TableText"/>
              <w:ind w:left="25"/>
              <w:spacing w:before="170" w:line="219" w:lineRule="auto"/>
              <w:rPr>
                <w:sz w:val="21"/>
                <w:szCs w:val="21"/>
              </w:rPr>
            </w:pPr>
            <w:r>
              <w:rPr>
                <w:sz w:val="21"/>
                <w:szCs w:val="21"/>
                <w:spacing w:val="-2"/>
              </w:rPr>
              <w:t>类比法</w:t>
            </w:r>
          </w:p>
        </w:tc>
        <w:tc>
          <w:tcPr>
            <w:tcW w:w="839" w:type="dxa"/>
            <w:vAlign w:val="top"/>
          </w:tcPr>
          <w:p>
            <w:pPr>
              <w:pStyle w:val="TableText"/>
              <w:ind w:left="96"/>
              <w:spacing w:before="51" w:line="182" w:lineRule="auto"/>
              <w:rPr>
                <w:sz w:val="21"/>
                <w:szCs w:val="21"/>
              </w:rPr>
            </w:pPr>
            <w:r>
              <w:rPr>
                <w:sz w:val="21"/>
                <w:szCs w:val="21"/>
                <w:spacing w:val="-2"/>
              </w:rPr>
              <w:t>0.1325</w:t>
            </w:r>
          </w:p>
        </w:tc>
        <w:tc>
          <w:tcPr>
            <w:tcW w:w="739" w:type="dxa"/>
            <w:vAlign w:val="top"/>
          </w:tcPr>
          <w:p>
            <w:pPr>
              <w:pStyle w:val="TableText"/>
              <w:ind w:left="47"/>
              <w:spacing w:before="51" w:line="182" w:lineRule="auto"/>
              <w:rPr>
                <w:sz w:val="21"/>
                <w:szCs w:val="21"/>
              </w:rPr>
            </w:pPr>
            <w:r>
              <w:rPr>
                <w:sz w:val="21"/>
                <w:szCs w:val="21"/>
                <w:spacing w:val="-2"/>
              </w:rPr>
              <w:t>0.4293</w:t>
            </w:r>
          </w:p>
        </w:tc>
        <w:tc>
          <w:tcPr>
            <w:tcW w:w="919" w:type="dxa"/>
            <w:vAlign w:val="top"/>
          </w:tcPr>
          <w:p>
            <w:pPr>
              <w:pStyle w:val="TableText"/>
              <w:ind w:left="138"/>
              <w:spacing w:before="51" w:line="182" w:lineRule="auto"/>
              <w:rPr>
                <w:sz w:val="21"/>
                <w:szCs w:val="21"/>
              </w:rPr>
            </w:pPr>
            <w:r>
              <w:rPr>
                <w:sz w:val="21"/>
                <w:szCs w:val="21"/>
                <w:spacing w:val="-2"/>
              </w:rPr>
              <w:t>0.0492</w:t>
            </w:r>
          </w:p>
        </w:tc>
        <w:tc>
          <w:tcPr>
            <w:tcW w:w="774" w:type="dxa"/>
            <w:vAlign w:val="top"/>
          </w:tcPr>
          <w:p>
            <w:pPr>
              <w:pStyle w:val="TableText"/>
              <w:ind w:left="69"/>
              <w:spacing w:before="51" w:line="182" w:lineRule="auto"/>
              <w:rPr>
                <w:sz w:val="21"/>
                <w:szCs w:val="21"/>
              </w:rPr>
            </w:pPr>
            <w:r>
              <w:rPr>
                <w:sz w:val="21"/>
                <w:szCs w:val="21"/>
                <w:spacing w:val="-2"/>
              </w:rPr>
              <w:t>0.1593</w:t>
            </w:r>
          </w:p>
        </w:tc>
      </w:tr>
      <w:tr>
        <w:trPr>
          <w:trHeight w:val="269" w:hRule="atLeast"/>
        </w:trPr>
        <w:tc>
          <w:tcPr>
            <w:tcW w:w="554" w:type="dxa"/>
            <w:vAlign w:val="top"/>
            <w:vMerge w:val="continue"/>
            <w:tcBorders>
              <w:top w:val="nil"/>
              <w:bottom w:val="nil"/>
            </w:tcBorders>
          </w:tcPr>
          <w:p>
            <w:pPr>
              <w:rPr>
                <w:rFonts w:ascii="Arial"/>
                <w:sz w:val="21"/>
              </w:rPr>
            </w:pPr>
            <w:r/>
          </w:p>
        </w:tc>
        <w:tc>
          <w:tcPr>
            <w:tcW w:w="559" w:type="dxa"/>
            <w:vAlign w:val="top"/>
          </w:tcPr>
          <w:p>
            <w:pPr>
              <w:pStyle w:val="TableText"/>
              <w:ind w:left="60"/>
              <w:spacing w:before="31" w:line="200" w:lineRule="auto"/>
              <w:rPr>
                <w:sz w:val="21"/>
                <w:szCs w:val="21"/>
              </w:rPr>
            </w:pPr>
            <w:r>
              <w:rPr>
                <w:sz w:val="21"/>
                <w:szCs w:val="21"/>
                <w:color w:val="606070"/>
                <w:spacing w:val="4"/>
              </w:rPr>
              <w:t>旺季</w:t>
            </w:r>
          </w:p>
        </w:tc>
        <w:tc>
          <w:tcPr>
            <w:tcW w:w="1089" w:type="dxa"/>
            <w:vAlign w:val="top"/>
          </w:tcPr>
          <w:p>
            <w:pPr>
              <w:pStyle w:val="TableText"/>
              <w:ind w:left="111"/>
              <w:spacing w:before="31" w:line="200" w:lineRule="auto"/>
              <w:rPr>
                <w:sz w:val="21"/>
                <w:szCs w:val="21"/>
              </w:rPr>
            </w:pPr>
            <w:r>
              <w:rPr>
                <w:sz w:val="21"/>
                <w:szCs w:val="21"/>
              </w:rPr>
              <w:t>1444头/d</w:t>
            </w:r>
          </w:p>
        </w:tc>
        <w:tc>
          <w:tcPr>
            <w:tcW w:w="1148" w:type="dxa"/>
            <w:vAlign w:val="top"/>
            <w:vMerge w:val="continue"/>
            <w:tcBorders>
              <w:top w:val="nil"/>
              <w:bottom w:val="nil"/>
            </w:tcBorders>
          </w:tcPr>
          <w:p>
            <w:pPr>
              <w:rPr>
                <w:rFonts w:ascii="Arial"/>
                <w:sz w:val="21"/>
              </w:rPr>
            </w:pPr>
            <w:r/>
          </w:p>
        </w:tc>
        <w:tc>
          <w:tcPr>
            <w:tcW w:w="1179" w:type="dxa"/>
            <w:vAlign w:val="top"/>
            <w:vMerge w:val="continue"/>
            <w:tcBorders>
              <w:top w:val="nil"/>
              <w:bottom w:val="nil"/>
            </w:tcBorders>
          </w:tcPr>
          <w:p>
            <w:pPr>
              <w:rPr>
                <w:rFonts w:ascii="Arial"/>
                <w:sz w:val="21"/>
              </w:rPr>
            </w:pPr>
            <w:r/>
          </w:p>
        </w:tc>
        <w:tc>
          <w:tcPr>
            <w:tcW w:w="699" w:type="dxa"/>
            <w:vAlign w:val="top"/>
            <w:vMerge w:val="continue"/>
            <w:tcBorders>
              <w:top w:val="nil"/>
            </w:tcBorders>
          </w:tcPr>
          <w:p>
            <w:pPr>
              <w:rPr>
                <w:rFonts w:ascii="Arial"/>
                <w:sz w:val="21"/>
              </w:rPr>
            </w:pPr>
            <w:r/>
          </w:p>
        </w:tc>
        <w:tc>
          <w:tcPr>
            <w:tcW w:w="839" w:type="dxa"/>
            <w:vAlign w:val="top"/>
          </w:tcPr>
          <w:p>
            <w:pPr>
              <w:pStyle w:val="TableText"/>
              <w:ind w:left="96"/>
              <w:spacing w:before="53" w:line="181" w:lineRule="auto"/>
              <w:rPr>
                <w:sz w:val="21"/>
                <w:szCs w:val="21"/>
              </w:rPr>
            </w:pPr>
            <w:r>
              <w:rPr>
                <w:sz w:val="21"/>
                <w:szCs w:val="21"/>
                <w:spacing w:val="-2"/>
              </w:rPr>
              <w:t>0.1913</w:t>
            </w:r>
          </w:p>
        </w:tc>
        <w:tc>
          <w:tcPr>
            <w:tcW w:w="739" w:type="dxa"/>
            <w:vAlign w:val="top"/>
          </w:tcPr>
          <w:p>
            <w:pPr>
              <w:pStyle w:val="TableText"/>
              <w:ind w:left="47"/>
              <w:spacing w:before="53" w:line="181" w:lineRule="auto"/>
              <w:rPr>
                <w:sz w:val="21"/>
                <w:szCs w:val="21"/>
              </w:rPr>
            </w:pPr>
            <w:r>
              <w:rPr>
                <w:sz w:val="21"/>
                <w:szCs w:val="21"/>
                <w:spacing w:val="-2"/>
              </w:rPr>
              <w:t>0.2066</w:t>
            </w:r>
          </w:p>
        </w:tc>
        <w:tc>
          <w:tcPr>
            <w:tcW w:w="919" w:type="dxa"/>
            <w:vAlign w:val="top"/>
          </w:tcPr>
          <w:p>
            <w:pPr>
              <w:pStyle w:val="TableText"/>
              <w:ind w:left="138"/>
              <w:spacing w:before="53" w:line="181" w:lineRule="auto"/>
              <w:rPr>
                <w:sz w:val="21"/>
                <w:szCs w:val="21"/>
              </w:rPr>
            </w:pPr>
            <w:r>
              <w:rPr>
                <w:sz w:val="21"/>
                <w:szCs w:val="21"/>
                <w:spacing w:val="-2"/>
              </w:rPr>
              <w:t>0.0710</w:t>
            </w:r>
          </w:p>
        </w:tc>
        <w:tc>
          <w:tcPr>
            <w:tcW w:w="774" w:type="dxa"/>
            <w:vAlign w:val="top"/>
          </w:tcPr>
          <w:p>
            <w:pPr>
              <w:pStyle w:val="TableText"/>
              <w:ind w:left="69"/>
              <w:spacing w:before="53" w:line="181" w:lineRule="auto"/>
              <w:rPr>
                <w:sz w:val="21"/>
                <w:szCs w:val="21"/>
              </w:rPr>
            </w:pPr>
            <w:r>
              <w:rPr>
                <w:sz w:val="21"/>
                <w:szCs w:val="21"/>
                <w:spacing w:val="-2"/>
              </w:rPr>
              <w:t>0.0767</w:t>
            </w:r>
          </w:p>
        </w:tc>
      </w:tr>
      <w:tr>
        <w:trPr>
          <w:trHeight w:val="269" w:hRule="atLeast"/>
        </w:trPr>
        <w:tc>
          <w:tcPr>
            <w:tcW w:w="554" w:type="dxa"/>
            <w:vAlign w:val="top"/>
            <w:vMerge w:val="continue"/>
            <w:tcBorders>
              <w:top w:val="nil"/>
            </w:tcBorders>
          </w:tcPr>
          <w:p>
            <w:pPr>
              <w:rPr>
                <w:rFonts w:ascii="Arial"/>
                <w:sz w:val="21"/>
              </w:rPr>
            </w:pPr>
            <w:r/>
          </w:p>
        </w:tc>
        <w:tc>
          <w:tcPr>
            <w:tcW w:w="559" w:type="dxa"/>
            <w:vAlign w:val="top"/>
          </w:tcPr>
          <w:p>
            <w:pPr>
              <w:pStyle w:val="TableText"/>
              <w:ind w:left="60"/>
              <w:spacing w:before="32" w:line="199" w:lineRule="auto"/>
              <w:rPr>
                <w:sz w:val="21"/>
                <w:szCs w:val="21"/>
              </w:rPr>
            </w:pPr>
            <w:r>
              <w:rPr>
                <w:sz w:val="21"/>
                <w:szCs w:val="21"/>
                <w:color w:val="404050"/>
                <w:spacing w:val="-3"/>
              </w:rPr>
              <w:t>全年</w:t>
            </w:r>
          </w:p>
        </w:tc>
        <w:tc>
          <w:tcPr>
            <w:tcW w:w="1089" w:type="dxa"/>
            <w:vAlign w:val="top"/>
          </w:tcPr>
          <w:p>
            <w:pPr>
              <w:pStyle w:val="TableText"/>
              <w:ind w:left="111"/>
              <w:spacing w:before="32" w:line="199" w:lineRule="auto"/>
              <w:rPr>
                <w:sz w:val="21"/>
                <w:szCs w:val="21"/>
              </w:rPr>
            </w:pPr>
            <w:r>
              <w:rPr>
                <w:sz w:val="21"/>
                <w:szCs w:val="21"/>
                <w:spacing w:val="-2"/>
              </w:rPr>
              <w:t>40万头/a</w:t>
            </w:r>
          </w:p>
        </w:tc>
        <w:tc>
          <w:tcPr>
            <w:tcW w:w="1148" w:type="dxa"/>
            <w:vAlign w:val="top"/>
            <w:vMerge w:val="continue"/>
            <w:tcBorders>
              <w:top w:val="nil"/>
            </w:tcBorders>
          </w:tcPr>
          <w:p>
            <w:pPr>
              <w:rPr>
                <w:rFonts w:ascii="Arial"/>
                <w:sz w:val="21"/>
              </w:rPr>
            </w:pPr>
            <w:r/>
          </w:p>
        </w:tc>
        <w:tc>
          <w:tcPr>
            <w:tcW w:w="1179" w:type="dxa"/>
            <w:vAlign w:val="top"/>
            <w:vMerge w:val="continue"/>
            <w:tcBorders>
              <w:top w:val="nil"/>
            </w:tcBorders>
          </w:tcPr>
          <w:p>
            <w:pPr>
              <w:rPr>
                <w:rFonts w:ascii="Arial"/>
                <w:sz w:val="21"/>
              </w:rPr>
            </w:pPr>
            <w:r/>
          </w:p>
        </w:tc>
        <w:tc>
          <w:tcPr>
            <w:tcW w:w="699" w:type="dxa"/>
            <w:vAlign w:val="top"/>
          </w:tcPr>
          <w:p>
            <w:pPr>
              <w:pStyle w:val="TableText"/>
              <w:ind w:left="285"/>
              <w:spacing w:before="38" w:line="194" w:lineRule="auto"/>
              <w:rPr>
                <w:sz w:val="21"/>
                <w:szCs w:val="21"/>
              </w:rPr>
            </w:pPr>
            <w:r>
              <w:rPr>
                <w:sz w:val="21"/>
                <w:szCs w:val="21"/>
              </w:rPr>
              <w:t>/</w:t>
            </w:r>
          </w:p>
        </w:tc>
        <w:tc>
          <w:tcPr>
            <w:tcW w:w="839" w:type="dxa"/>
            <w:vAlign w:val="top"/>
          </w:tcPr>
          <w:p>
            <w:pPr>
              <w:pStyle w:val="TableText"/>
              <w:ind w:left="356"/>
              <w:spacing w:before="38" w:line="194" w:lineRule="auto"/>
              <w:rPr>
                <w:sz w:val="21"/>
                <w:szCs w:val="21"/>
              </w:rPr>
            </w:pPr>
            <w:r>
              <w:rPr>
                <w:sz w:val="21"/>
                <w:szCs w:val="21"/>
              </w:rPr>
              <w:t>/</w:t>
            </w:r>
          </w:p>
        </w:tc>
        <w:tc>
          <w:tcPr>
            <w:tcW w:w="739" w:type="dxa"/>
            <w:vAlign w:val="top"/>
          </w:tcPr>
          <w:p>
            <w:pPr>
              <w:pStyle w:val="TableText"/>
              <w:ind w:left="47"/>
              <w:spacing w:before="53" w:line="181" w:lineRule="auto"/>
              <w:rPr>
                <w:sz w:val="21"/>
                <w:szCs w:val="21"/>
              </w:rPr>
            </w:pPr>
            <w:r>
              <w:rPr>
                <w:sz w:val="21"/>
                <w:szCs w:val="21"/>
                <w:spacing w:val="-2"/>
              </w:rPr>
              <w:t>0.6359</w:t>
            </w:r>
          </w:p>
        </w:tc>
        <w:tc>
          <w:tcPr>
            <w:tcW w:w="919" w:type="dxa"/>
            <w:vAlign w:val="top"/>
          </w:tcPr>
          <w:p>
            <w:pPr>
              <w:pStyle w:val="TableText"/>
              <w:ind w:left="398"/>
              <w:spacing w:before="38" w:line="194" w:lineRule="auto"/>
              <w:rPr>
                <w:sz w:val="21"/>
                <w:szCs w:val="21"/>
              </w:rPr>
            </w:pPr>
            <w:r>
              <w:rPr>
                <w:sz w:val="21"/>
                <w:szCs w:val="21"/>
              </w:rPr>
              <w:t>/</w:t>
            </w:r>
          </w:p>
        </w:tc>
        <w:tc>
          <w:tcPr>
            <w:tcW w:w="774" w:type="dxa"/>
            <w:vAlign w:val="top"/>
          </w:tcPr>
          <w:p>
            <w:pPr>
              <w:pStyle w:val="TableText"/>
              <w:ind w:left="69"/>
              <w:spacing w:before="53" w:line="181" w:lineRule="auto"/>
              <w:rPr>
                <w:sz w:val="21"/>
                <w:szCs w:val="21"/>
              </w:rPr>
            </w:pPr>
            <w:r>
              <w:rPr>
                <w:sz w:val="21"/>
                <w:szCs w:val="21"/>
                <w:spacing w:val="-2"/>
              </w:rPr>
              <w:t>0.2360</w:t>
            </w:r>
          </w:p>
        </w:tc>
      </w:tr>
      <w:tr>
        <w:trPr>
          <w:trHeight w:val="279" w:hRule="atLeast"/>
        </w:trPr>
        <w:tc>
          <w:tcPr>
            <w:tcW w:w="554" w:type="dxa"/>
            <w:vAlign w:val="top"/>
            <w:vMerge w:val="restart"/>
            <w:tcBorders>
              <w:bottom w:val="nil"/>
            </w:tcBorders>
          </w:tcPr>
          <w:p>
            <w:pPr>
              <w:pStyle w:val="TableText"/>
              <w:ind w:left="55"/>
              <w:spacing w:before="44" w:line="220" w:lineRule="auto"/>
              <w:rPr>
                <w:sz w:val="21"/>
                <w:szCs w:val="21"/>
              </w:rPr>
            </w:pPr>
            <w:r>
              <w:rPr>
                <w:sz w:val="21"/>
                <w:szCs w:val="21"/>
                <w:color w:val="404040"/>
                <w:spacing w:val="-3"/>
              </w:rPr>
              <w:t>生猪</w:t>
            </w:r>
          </w:p>
          <w:p>
            <w:pPr>
              <w:pStyle w:val="TableText"/>
              <w:ind w:left="55"/>
              <w:spacing w:before="29" w:line="219" w:lineRule="auto"/>
              <w:rPr>
                <w:sz w:val="21"/>
                <w:szCs w:val="21"/>
              </w:rPr>
            </w:pPr>
            <w:r>
              <w:rPr>
                <w:sz w:val="21"/>
                <w:szCs w:val="21"/>
                <w:spacing w:val="8"/>
              </w:rPr>
              <w:t>屠宰</w:t>
            </w:r>
          </w:p>
          <w:p>
            <w:pPr>
              <w:pStyle w:val="TableText"/>
              <w:ind w:left="55"/>
              <w:spacing w:before="10" w:line="219" w:lineRule="auto"/>
              <w:rPr>
                <w:sz w:val="21"/>
                <w:szCs w:val="21"/>
              </w:rPr>
            </w:pPr>
            <w:r>
              <w:rPr>
                <w:sz w:val="21"/>
                <w:szCs w:val="21"/>
                <w:spacing w:val="10"/>
              </w:rPr>
              <w:t>车间</w:t>
            </w:r>
          </w:p>
        </w:tc>
        <w:tc>
          <w:tcPr>
            <w:tcW w:w="559" w:type="dxa"/>
            <w:vAlign w:val="top"/>
          </w:tcPr>
          <w:p>
            <w:pPr>
              <w:pStyle w:val="TableText"/>
              <w:ind w:left="60"/>
              <w:spacing w:before="42" w:line="199" w:lineRule="auto"/>
              <w:rPr>
                <w:sz w:val="21"/>
                <w:szCs w:val="21"/>
              </w:rPr>
            </w:pPr>
            <w:r>
              <w:rPr>
                <w:sz w:val="21"/>
                <w:szCs w:val="21"/>
                <w:color w:val="605060"/>
                <w:spacing w:val="4"/>
              </w:rPr>
              <w:t>淡季</w:t>
            </w:r>
          </w:p>
        </w:tc>
        <w:tc>
          <w:tcPr>
            <w:tcW w:w="1089" w:type="dxa"/>
            <w:vAlign w:val="top"/>
          </w:tcPr>
          <w:p>
            <w:pPr>
              <w:pStyle w:val="TableText"/>
              <w:ind w:left="111"/>
              <w:spacing w:before="43" w:line="198" w:lineRule="auto"/>
              <w:rPr>
                <w:sz w:val="21"/>
                <w:szCs w:val="21"/>
              </w:rPr>
            </w:pPr>
            <w:r>
              <w:rPr>
                <w:sz w:val="21"/>
                <w:szCs w:val="21"/>
              </w:rPr>
              <w:t>1000头/d</w:t>
            </w:r>
          </w:p>
        </w:tc>
        <w:tc>
          <w:tcPr>
            <w:tcW w:w="1148" w:type="dxa"/>
            <w:vAlign w:val="top"/>
            <w:vMerge w:val="restart"/>
            <w:tcBorders>
              <w:bottom w:val="nil"/>
            </w:tcBorders>
          </w:tcPr>
          <w:p>
            <w:pPr>
              <w:pStyle w:val="TableText"/>
              <w:ind w:left="253"/>
              <w:spacing w:before="196" w:line="214" w:lineRule="auto"/>
              <w:rPr>
                <w:sz w:val="21"/>
                <w:szCs w:val="21"/>
              </w:rPr>
            </w:pPr>
            <w:r>
              <w:rPr>
                <w:sz w:val="21"/>
                <w:szCs w:val="21"/>
                <w:spacing w:val="-2"/>
              </w:rPr>
              <w:t>0.54g/</w:t>
            </w:r>
          </w:p>
          <w:p>
            <w:pPr>
              <w:pStyle w:val="TableText"/>
              <w:ind w:left="142"/>
              <w:spacing w:before="4" w:line="219" w:lineRule="auto"/>
              <w:rPr>
                <w:sz w:val="21"/>
                <w:szCs w:val="21"/>
              </w:rPr>
            </w:pPr>
            <w:r>
              <w:rPr>
                <w:sz w:val="21"/>
                <w:szCs w:val="21"/>
                <w:spacing w:val="-19"/>
              </w:rPr>
              <w:t>(头</w:t>
            </w:r>
            <w:r>
              <w:rPr>
                <w:sz w:val="21"/>
                <w:szCs w:val="21"/>
                <w:spacing w:val="-1"/>
              </w:rPr>
              <w:t xml:space="preserve"> </w:t>
            </w:r>
            <w:r>
              <w:rPr>
                <w:sz w:val="21"/>
                <w:szCs w:val="21"/>
                <w:spacing w:val="-19"/>
              </w:rPr>
              <w:t>·</w:t>
            </w:r>
            <w:r>
              <w:rPr>
                <w:sz w:val="21"/>
                <w:szCs w:val="21"/>
                <w:spacing w:val="-70"/>
              </w:rPr>
              <w:t xml:space="preserve"> </w:t>
            </w:r>
            <w:r>
              <w:rPr>
                <w:sz w:val="21"/>
                <w:szCs w:val="21"/>
                <w:spacing w:val="-19"/>
              </w:rPr>
              <w:t>天)</w:t>
            </w:r>
          </w:p>
        </w:tc>
        <w:tc>
          <w:tcPr>
            <w:tcW w:w="1179" w:type="dxa"/>
            <w:vAlign w:val="top"/>
            <w:vMerge w:val="restart"/>
            <w:tcBorders>
              <w:bottom w:val="nil"/>
            </w:tcBorders>
          </w:tcPr>
          <w:p>
            <w:pPr>
              <w:pStyle w:val="TableText"/>
              <w:ind w:left="264"/>
              <w:spacing w:before="196" w:line="214" w:lineRule="auto"/>
              <w:rPr>
                <w:sz w:val="21"/>
                <w:szCs w:val="21"/>
              </w:rPr>
            </w:pPr>
            <w:r>
              <w:rPr>
                <w:sz w:val="21"/>
                <w:szCs w:val="21"/>
                <w:spacing w:val="-1"/>
              </w:rPr>
              <w:t>0.15g/</w:t>
            </w:r>
          </w:p>
          <w:p>
            <w:pPr>
              <w:pStyle w:val="TableText"/>
              <w:ind w:left="165"/>
              <w:spacing w:before="4" w:line="219" w:lineRule="auto"/>
              <w:rPr>
                <w:sz w:val="21"/>
                <w:szCs w:val="21"/>
              </w:rPr>
            </w:pPr>
            <w:r>
              <w:rPr>
                <w:sz w:val="21"/>
                <w:szCs w:val="21"/>
                <w:spacing w:val="-19"/>
              </w:rPr>
              <w:t>(头</w:t>
            </w:r>
            <w:r>
              <w:rPr>
                <w:sz w:val="21"/>
                <w:szCs w:val="21"/>
                <w:spacing w:val="-1"/>
              </w:rPr>
              <w:t xml:space="preserve"> </w:t>
            </w:r>
            <w:r>
              <w:rPr>
                <w:sz w:val="21"/>
                <w:szCs w:val="21"/>
                <w:spacing w:val="-19"/>
              </w:rPr>
              <w:t>·</w:t>
            </w:r>
            <w:r>
              <w:rPr>
                <w:sz w:val="21"/>
                <w:szCs w:val="21"/>
                <w:spacing w:val="-70"/>
              </w:rPr>
              <w:t xml:space="preserve"> </w:t>
            </w:r>
            <w:r>
              <w:rPr>
                <w:sz w:val="21"/>
                <w:szCs w:val="21"/>
                <w:spacing w:val="-19"/>
              </w:rPr>
              <w:t>天)</w:t>
            </w:r>
          </w:p>
        </w:tc>
        <w:tc>
          <w:tcPr>
            <w:tcW w:w="699" w:type="dxa"/>
            <w:vAlign w:val="top"/>
            <w:vMerge w:val="restart"/>
            <w:tcBorders>
              <w:bottom w:val="nil"/>
            </w:tcBorders>
          </w:tcPr>
          <w:p>
            <w:pPr>
              <w:pStyle w:val="TableText"/>
              <w:ind w:left="25"/>
              <w:spacing w:before="183" w:line="219" w:lineRule="auto"/>
              <w:rPr>
                <w:sz w:val="21"/>
                <w:szCs w:val="21"/>
              </w:rPr>
            </w:pPr>
            <w:r>
              <w:rPr>
                <w:sz w:val="21"/>
                <w:szCs w:val="21"/>
                <w:spacing w:val="-2"/>
              </w:rPr>
              <w:t>类比法</w:t>
            </w:r>
          </w:p>
        </w:tc>
        <w:tc>
          <w:tcPr>
            <w:tcW w:w="839" w:type="dxa"/>
            <w:vAlign w:val="top"/>
          </w:tcPr>
          <w:p>
            <w:pPr>
              <w:pStyle w:val="TableText"/>
              <w:ind w:left="96"/>
              <w:spacing w:before="64" w:line="180" w:lineRule="auto"/>
              <w:rPr>
                <w:sz w:val="21"/>
                <w:szCs w:val="21"/>
              </w:rPr>
            </w:pPr>
            <w:r>
              <w:rPr>
                <w:sz w:val="21"/>
                <w:szCs w:val="21"/>
                <w:spacing w:val="-2"/>
              </w:rPr>
              <w:t>0.0675</w:t>
            </w:r>
          </w:p>
        </w:tc>
        <w:tc>
          <w:tcPr>
            <w:tcW w:w="739" w:type="dxa"/>
            <w:vAlign w:val="top"/>
          </w:tcPr>
          <w:p>
            <w:pPr>
              <w:pStyle w:val="TableText"/>
              <w:ind w:left="47"/>
              <w:spacing w:before="64" w:line="180" w:lineRule="auto"/>
              <w:rPr>
                <w:sz w:val="21"/>
                <w:szCs w:val="21"/>
              </w:rPr>
            </w:pPr>
            <w:r>
              <w:rPr>
                <w:sz w:val="21"/>
                <w:szCs w:val="21"/>
                <w:spacing w:val="-2"/>
              </w:rPr>
              <w:t>0.1458</w:t>
            </w:r>
          </w:p>
        </w:tc>
        <w:tc>
          <w:tcPr>
            <w:tcW w:w="919" w:type="dxa"/>
            <w:vAlign w:val="top"/>
          </w:tcPr>
          <w:p>
            <w:pPr>
              <w:pStyle w:val="TableText"/>
              <w:ind w:left="138"/>
              <w:spacing w:before="64" w:line="180" w:lineRule="auto"/>
              <w:rPr>
                <w:sz w:val="21"/>
                <w:szCs w:val="21"/>
              </w:rPr>
            </w:pPr>
            <w:r>
              <w:rPr>
                <w:sz w:val="21"/>
                <w:szCs w:val="21"/>
                <w:spacing w:val="-2"/>
              </w:rPr>
              <w:t>0.0188</w:t>
            </w:r>
          </w:p>
        </w:tc>
        <w:tc>
          <w:tcPr>
            <w:tcW w:w="774" w:type="dxa"/>
            <w:vAlign w:val="top"/>
          </w:tcPr>
          <w:p>
            <w:pPr>
              <w:pStyle w:val="TableText"/>
              <w:ind w:left="69"/>
              <w:spacing w:before="64" w:line="180" w:lineRule="auto"/>
              <w:rPr>
                <w:sz w:val="21"/>
                <w:szCs w:val="21"/>
              </w:rPr>
            </w:pPr>
            <w:r>
              <w:rPr>
                <w:sz w:val="21"/>
                <w:szCs w:val="21"/>
                <w:spacing w:val="-2"/>
              </w:rPr>
              <w:t>0.0405</w:t>
            </w:r>
          </w:p>
        </w:tc>
      </w:tr>
      <w:tr>
        <w:trPr>
          <w:trHeight w:val="269" w:hRule="atLeast"/>
        </w:trPr>
        <w:tc>
          <w:tcPr>
            <w:tcW w:w="554" w:type="dxa"/>
            <w:vAlign w:val="top"/>
            <w:vMerge w:val="continue"/>
            <w:tcBorders>
              <w:top w:val="nil"/>
              <w:bottom w:val="nil"/>
            </w:tcBorders>
          </w:tcPr>
          <w:p>
            <w:pPr>
              <w:rPr>
                <w:rFonts w:ascii="Arial"/>
                <w:sz w:val="21"/>
              </w:rPr>
            </w:pPr>
            <w:r/>
          </w:p>
        </w:tc>
        <w:tc>
          <w:tcPr>
            <w:tcW w:w="559" w:type="dxa"/>
            <w:vAlign w:val="top"/>
          </w:tcPr>
          <w:p>
            <w:pPr>
              <w:pStyle w:val="TableText"/>
              <w:ind w:left="60"/>
              <w:spacing w:before="34" w:line="197" w:lineRule="auto"/>
              <w:rPr>
                <w:sz w:val="21"/>
                <w:szCs w:val="21"/>
              </w:rPr>
            </w:pPr>
            <w:r>
              <w:rPr>
                <w:sz w:val="21"/>
                <w:szCs w:val="21"/>
                <w:color w:val="506060"/>
                <w:spacing w:val="4"/>
              </w:rPr>
              <w:t>旺季</w:t>
            </w:r>
          </w:p>
        </w:tc>
        <w:tc>
          <w:tcPr>
            <w:tcW w:w="1089" w:type="dxa"/>
            <w:vAlign w:val="top"/>
          </w:tcPr>
          <w:p>
            <w:pPr>
              <w:pStyle w:val="TableText"/>
              <w:ind w:left="111"/>
              <w:spacing w:before="34" w:line="197" w:lineRule="auto"/>
              <w:rPr>
                <w:sz w:val="21"/>
                <w:szCs w:val="21"/>
              </w:rPr>
            </w:pPr>
            <w:r>
              <w:rPr>
                <w:sz w:val="21"/>
                <w:szCs w:val="21"/>
              </w:rPr>
              <w:t>1444头/d</w:t>
            </w:r>
          </w:p>
        </w:tc>
        <w:tc>
          <w:tcPr>
            <w:tcW w:w="1148" w:type="dxa"/>
            <w:vAlign w:val="top"/>
            <w:vMerge w:val="continue"/>
            <w:tcBorders>
              <w:top w:val="nil"/>
              <w:bottom w:val="nil"/>
            </w:tcBorders>
          </w:tcPr>
          <w:p>
            <w:pPr>
              <w:rPr>
                <w:rFonts w:ascii="Arial"/>
                <w:sz w:val="21"/>
              </w:rPr>
            </w:pPr>
            <w:r/>
          </w:p>
        </w:tc>
        <w:tc>
          <w:tcPr>
            <w:tcW w:w="1179" w:type="dxa"/>
            <w:vAlign w:val="top"/>
            <w:vMerge w:val="continue"/>
            <w:tcBorders>
              <w:top w:val="nil"/>
              <w:bottom w:val="nil"/>
            </w:tcBorders>
          </w:tcPr>
          <w:p>
            <w:pPr>
              <w:rPr>
                <w:rFonts w:ascii="Arial"/>
                <w:sz w:val="21"/>
              </w:rPr>
            </w:pPr>
            <w:r/>
          </w:p>
        </w:tc>
        <w:tc>
          <w:tcPr>
            <w:tcW w:w="699" w:type="dxa"/>
            <w:vAlign w:val="top"/>
            <w:vMerge w:val="continue"/>
            <w:tcBorders>
              <w:top w:val="nil"/>
            </w:tcBorders>
          </w:tcPr>
          <w:p>
            <w:pPr>
              <w:rPr>
                <w:rFonts w:ascii="Arial"/>
                <w:sz w:val="21"/>
              </w:rPr>
            </w:pPr>
            <w:r/>
          </w:p>
        </w:tc>
        <w:tc>
          <w:tcPr>
            <w:tcW w:w="839" w:type="dxa"/>
            <w:vAlign w:val="top"/>
          </w:tcPr>
          <w:p>
            <w:pPr>
              <w:pStyle w:val="TableText"/>
              <w:ind w:left="96"/>
              <w:spacing w:before="55" w:line="179" w:lineRule="auto"/>
              <w:rPr>
                <w:sz w:val="21"/>
                <w:szCs w:val="21"/>
              </w:rPr>
            </w:pPr>
            <w:r>
              <w:rPr>
                <w:sz w:val="21"/>
                <w:szCs w:val="21"/>
                <w:spacing w:val="-2"/>
              </w:rPr>
              <w:t>0.0975</w:t>
            </w:r>
          </w:p>
        </w:tc>
        <w:tc>
          <w:tcPr>
            <w:tcW w:w="739" w:type="dxa"/>
            <w:vAlign w:val="top"/>
          </w:tcPr>
          <w:p>
            <w:pPr>
              <w:pStyle w:val="TableText"/>
              <w:ind w:left="47"/>
              <w:spacing w:before="55" w:line="179" w:lineRule="auto"/>
              <w:rPr>
                <w:sz w:val="21"/>
                <w:szCs w:val="21"/>
              </w:rPr>
            </w:pPr>
            <w:r>
              <w:rPr>
                <w:sz w:val="21"/>
                <w:szCs w:val="21"/>
                <w:spacing w:val="-2"/>
              </w:rPr>
              <w:t>0.0702</w:t>
            </w:r>
          </w:p>
        </w:tc>
        <w:tc>
          <w:tcPr>
            <w:tcW w:w="919" w:type="dxa"/>
            <w:vAlign w:val="top"/>
          </w:tcPr>
          <w:p>
            <w:pPr>
              <w:pStyle w:val="TableText"/>
              <w:ind w:left="138"/>
              <w:spacing w:before="55" w:line="179" w:lineRule="auto"/>
              <w:rPr>
                <w:sz w:val="21"/>
                <w:szCs w:val="21"/>
              </w:rPr>
            </w:pPr>
            <w:r>
              <w:rPr>
                <w:sz w:val="21"/>
                <w:szCs w:val="21"/>
                <w:spacing w:val="-2"/>
              </w:rPr>
              <w:t>0.0271</w:t>
            </w:r>
          </w:p>
        </w:tc>
        <w:tc>
          <w:tcPr>
            <w:tcW w:w="774" w:type="dxa"/>
            <w:vAlign w:val="top"/>
          </w:tcPr>
          <w:p>
            <w:pPr>
              <w:pStyle w:val="TableText"/>
              <w:ind w:left="69"/>
              <w:spacing w:before="55" w:line="179" w:lineRule="auto"/>
              <w:rPr>
                <w:sz w:val="21"/>
                <w:szCs w:val="21"/>
              </w:rPr>
            </w:pPr>
            <w:r>
              <w:rPr>
                <w:sz w:val="21"/>
                <w:szCs w:val="21"/>
                <w:spacing w:val="-2"/>
              </w:rPr>
              <w:t>0.0195</w:t>
            </w:r>
          </w:p>
        </w:tc>
      </w:tr>
      <w:tr>
        <w:trPr>
          <w:trHeight w:val="280" w:hRule="atLeast"/>
        </w:trPr>
        <w:tc>
          <w:tcPr>
            <w:tcW w:w="554" w:type="dxa"/>
            <w:vAlign w:val="top"/>
            <w:vMerge w:val="continue"/>
            <w:tcBorders>
              <w:top w:val="nil"/>
            </w:tcBorders>
          </w:tcPr>
          <w:p>
            <w:pPr>
              <w:rPr>
                <w:rFonts w:ascii="Arial"/>
                <w:sz w:val="21"/>
              </w:rPr>
            </w:pPr>
            <w:r/>
          </w:p>
        </w:tc>
        <w:tc>
          <w:tcPr>
            <w:tcW w:w="559" w:type="dxa"/>
            <w:vAlign w:val="top"/>
          </w:tcPr>
          <w:p>
            <w:pPr>
              <w:pStyle w:val="TableText"/>
              <w:ind w:left="60"/>
              <w:spacing w:before="45" w:line="197" w:lineRule="auto"/>
              <w:rPr>
                <w:sz w:val="21"/>
                <w:szCs w:val="21"/>
              </w:rPr>
            </w:pPr>
            <w:r>
              <w:rPr>
                <w:sz w:val="21"/>
                <w:szCs w:val="21"/>
                <w:spacing w:val="-3"/>
              </w:rPr>
              <w:t>全年</w:t>
            </w:r>
          </w:p>
        </w:tc>
        <w:tc>
          <w:tcPr>
            <w:tcW w:w="1089" w:type="dxa"/>
            <w:vAlign w:val="top"/>
          </w:tcPr>
          <w:p>
            <w:pPr>
              <w:pStyle w:val="TableText"/>
              <w:ind w:left="111"/>
              <w:spacing w:before="45" w:line="197" w:lineRule="auto"/>
              <w:rPr>
                <w:sz w:val="21"/>
                <w:szCs w:val="21"/>
              </w:rPr>
            </w:pPr>
            <w:r>
              <w:rPr>
                <w:sz w:val="21"/>
                <w:szCs w:val="21"/>
                <w:spacing w:val="-2"/>
              </w:rPr>
              <w:t>40万头/a</w:t>
            </w:r>
          </w:p>
        </w:tc>
        <w:tc>
          <w:tcPr>
            <w:tcW w:w="1148" w:type="dxa"/>
            <w:vAlign w:val="top"/>
            <w:vMerge w:val="continue"/>
            <w:tcBorders>
              <w:top w:val="nil"/>
            </w:tcBorders>
          </w:tcPr>
          <w:p>
            <w:pPr>
              <w:rPr>
                <w:rFonts w:ascii="Arial"/>
                <w:sz w:val="21"/>
              </w:rPr>
            </w:pPr>
            <w:r/>
          </w:p>
        </w:tc>
        <w:tc>
          <w:tcPr>
            <w:tcW w:w="1179" w:type="dxa"/>
            <w:vAlign w:val="top"/>
            <w:vMerge w:val="continue"/>
            <w:tcBorders>
              <w:top w:val="nil"/>
            </w:tcBorders>
          </w:tcPr>
          <w:p>
            <w:pPr>
              <w:rPr>
                <w:rFonts w:ascii="Arial"/>
                <w:sz w:val="21"/>
              </w:rPr>
            </w:pPr>
            <w:r/>
          </w:p>
        </w:tc>
        <w:tc>
          <w:tcPr>
            <w:tcW w:w="699" w:type="dxa"/>
            <w:vAlign w:val="top"/>
          </w:tcPr>
          <w:p>
            <w:pPr>
              <w:pStyle w:val="TableText"/>
              <w:ind w:left="285"/>
              <w:spacing w:before="51" w:line="192" w:lineRule="auto"/>
              <w:rPr>
                <w:sz w:val="21"/>
                <w:szCs w:val="21"/>
              </w:rPr>
            </w:pPr>
            <w:r>
              <w:rPr>
                <w:sz w:val="21"/>
                <w:szCs w:val="21"/>
                <w:color w:val="303040"/>
              </w:rPr>
              <w:t>/</w:t>
            </w:r>
          </w:p>
        </w:tc>
        <w:tc>
          <w:tcPr>
            <w:tcW w:w="839" w:type="dxa"/>
            <w:vAlign w:val="top"/>
          </w:tcPr>
          <w:p>
            <w:pPr>
              <w:pStyle w:val="TableText"/>
              <w:ind w:left="356"/>
              <w:spacing w:before="51" w:line="192" w:lineRule="auto"/>
              <w:rPr>
                <w:sz w:val="21"/>
                <w:szCs w:val="21"/>
              </w:rPr>
            </w:pPr>
            <w:r>
              <w:rPr>
                <w:sz w:val="21"/>
                <w:szCs w:val="21"/>
              </w:rPr>
              <w:t>/</w:t>
            </w:r>
          </w:p>
        </w:tc>
        <w:tc>
          <w:tcPr>
            <w:tcW w:w="739" w:type="dxa"/>
            <w:vAlign w:val="top"/>
          </w:tcPr>
          <w:p>
            <w:pPr>
              <w:pStyle w:val="TableText"/>
              <w:ind w:left="47"/>
              <w:spacing w:before="66" w:line="179" w:lineRule="auto"/>
              <w:rPr>
                <w:sz w:val="21"/>
                <w:szCs w:val="21"/>
              </w:rPr>
            </w:pPr>
            <w:r>
              <w:rPr>
                <w:sz w:val="21"/>
                <w:szCs w:val="21"/>
                <w:spacing w:val="-2"/>
              </w:rPr>
              <w:t>0.2160</w:t>
            </w:r>
          </w:p>
        </w:tc>
        <w:tc>
          <w:tcPr>
            <w:tcW w:w="919" w:type="dxa"/>
            <w:vAlign w:val="top"/>
          </w:tcPr>
          <w:p>
            <w:pPr>
              <w:pStyle w:val="TableText"/>
              <w:ind w:left="398"/>
              <w:spacing w:before="51" w:line="192" w:lineRule="auto"/>
              <w:rPr>
                <w:sz w:val="21"/>
                <w:szCs w:val="21"/>
              </w:rPr>
            </w:pPr>
            <w:r>
              <w:rPr>
                <w:sz w:val="21"/>
                <w:szCs w:val="21"/>
                <w:color w:val="403050"/>
              </w:rPr>
              <w:t>/</w:t>
            </w:r>
          </w:p>
        </w:tc>
        <w:tc>
          <w:tcPr>
            <w:tcW w:w="774" w:type="dxa"/>
            <w:vAlign w:val="top"/>
          </w:tcPr>
          <w:p>
            <w:pPr>
              <w:pStyle w:val="TableText"/>
              <w:ind w:left="69"/>
              <w:spacing w:before="66" w:line="179" w:lineRule="auto"/>
              <w:rPr>
                <w:sz w:val="21"/>
                <w:szCs w:val="21"/>
              </w:rPr>
            </w:pPr>
            <w:r>
              <w:rPr>
                <w:sz w:val="21"/>
                <w:szCs w:val="21"/>
                <w:spacing w:val="-2"/>
              </w:rPr>
              <w:t>0.0600</w:t>
            </w:r>
          </w:p>
        </w:tc>
      </w:tr>
      <w:tr>
        <w:trPr>
          <w:trHeight w:val="259" w:hRule="atLeast"/>
        </w:trPr>
        <w:tc>
          <w:tcPr>
            <w:tcW w:w="554" w:type="dxa"/>
            <w:vAlign w:val="top"/>
            <w:vMerge w:val="restart"/>
            <w:tcBorders>
              <w:bottom w:val="nil"/>
            </w:tcBorders>
          </w:tcPr>
          <w:p>
            <w:pPr>
              <w:spacing w:line="244" w:lineRule="auto"/>
              <w:rPr>
                <w:rFonts w:ascii="Arial"/>
                <w:sz w:val="21"/>
              </w:rPr>
            </w:pPr>
            <w:r/>
          </w:p>
          <w:p>
            <w:pPr>
              <w:pStyle w:val="TableText"/>
              <w:ind w:left="58"/>
              <w:spacing w:before="68" w:line="221" w:lineRule="auto"/>
              <w:rPr>
                <w:sz w:val="21"/>
                <w:szCs w:val="21"/>
              </w:rPr>
            </w:pPr>
            <w:r>
              <w:rPr>
                <w:sz w:val="21"/>
                <w:szCs w:val="21"/>
                <w:b/>
                <w:bCs/>
                <w:spacing w:val="-5"/>
              </w:rPr>
              <w:t>合计</w:t>
            </w:r>
          </w:p>
        </w:tc>
        <w:tc>
          <w:tcPr>
            <w:tcW w:w="1648" w:type="dxa"/>
            <w:vAlign w:val="top"/>
            <w:gridSpan w:val="2"/>
          </w:tcPr>
          <w:p>
            <w:pPr>
              <w:pStyle w:val="TableText"/>
              <w:ind w:left="603"/>
              <w:spacing w:before="31" w:line="191" w:lineRule="auto"/>
              <w:rPr>
                <w:sz w:val="21"/>
                <w:szCs w:val="21"/>
              </w:rPr>
            </w:pPr>
            <w:r>
              <w:rPr>
                <w:sz w:val="21"/>
                <w:szCs w:val="21"/>
                <w:b/>
                <w:bCs/>
                <w:spacing w:val="-6"/>
              </w:rPr>
              <w:t>淡季</w:t>
            </w:r>
          </w:p>
        </w:tc>
        <w:tc>
          <w:tcPr>
            <w:tcW w:w="1148" w:type="dxa"/>
            <w:vAlign w:val="top"/>
            <w:textDirection w:val="tbRlV"/>
          </w:tcPr>
          <w:p>
            <w:pPr>
              <w:spacing w:line="446" w:lineRule="auto"/>
              <w:rPr>
                <w:rFonts w:ascii="Arial"/>
                <w:sz w:val="21"/>
              </w:rPr>
            </w:pPr>
            <w:r/>
          </w:p>
          <w:p>
            <w:pPr>
              <w:pStyle w:val="TableText"/>
              <w:ind w:left="8"/>
              <w:spacing w:before="70" w:line="137" w:lineRule="exact"/>
              <w:rPr>
                <w:sz w:val="21"/>
                <w:szCs w:val="21"/>
              </w:rPr>
            </w:pPr>
            <w:r>
              <w:rPr>
                <w:sz w:val="21"/>
                <w:szCs w:val="21"/>
                <w:spacing w:val="52"/>
                <w:w w:val="141"/>
                <w:position w:val="-1"/>
              </w:rPr>
              <w:t>/</w:t>
            </w:r>
          </w:p>
        </w:tc>
        <w:tc>
          <w:tcPr>
            <w:tcW w:w="1179" w:type="dxa"/>
            <w:vAlign w:val="top"/>
          </w:tcPr>
          <w:p>
            <w:pPr>
              <w:pStyle w:val="TableText"/>
              <w:ind w:left="524"/>
              <w:spacing w:before="40" w:line="183" w:lineRule="auto"/>
              <w:rPr>
                <w:sz w:val="21"/>
                <w:szCs w:val="21"/>
              </w:rPr>
            </w:pPr>
            <w:r>
              <w:rPr>
                <w:sz w:val="21"/>
                <w:szCs w:val="21"/>
                <w:color w:val="504050"/>
              </w:rPr>
              <w:t>/</w:t>
            </w:r>
          </w:p>
        </w:tc>
        <w:tc>
          <w:tcPr>
            <w:tcW w:w="699" w:type="dxa"/>
            <w:vAlign w:val="top"/>
            <w:vMerge w:val="restart"/>
            <w:tcBorders>
              <w:bottom w:val="nil"/>
            </w:tcBorders>
          </w:tcPr>
          <w:p>
            <w:pPr>
              <w:pStyle w:val="TableText"/>
              <w:ind w:left="25"/>
              <w:spacing w:before="175" w:line="219" w:lineRule="auto"/>
              <w:rPr>
                <w:sz w:val="21"/>
                <w:szCs w:val="21"/>
              </w:rPr>
            </w:pPr>
            <w:r>
              <w:rPr>
                <w:sz w:val="21"/>
                <w:szCs w:val="21"/>
                <w:spacing w:val="-2"/>
              </w:rPr>
              <w:t>类比法</w:t>
            </w:r>
          </w:p>
        </w:tc>
        <w:tc>
          <w:tcPr>
            <w:tcW w:w="839" w:type="dxa"/>
            <w:vAlign w:val="top"/>
          </w:tcPr>
          <w:p>
            <w:pPr>
              <w:pStyle w:val="TableText"/>
              <w:ind w:left="99"/>
              <w:spacing w:before="54" w:line="171" w:lineRule="auto"/>
              <w:rPr>
                <w:sz w:val="21"/>
                <w:szCs w:val="21"/>
              </w:rPr>
            </w:pPr>
            <w:r>
              <w:rPr>
                <w:sz w:val="21"/>
                <w:szCs w:val="21"/>
                <w:b/>
                <w:bCs/>
                <w:spacing w:val="-4"/>
              </w:rPr>
              <w:t>0.2000</w:t>
            </w:r>
          </w:p>
        </w:tc>
        <w:tc>
          <w:tcPr>
            <w:tcW w:w="739" w:type="dxa"/>
            <w:vAlign w:val="top"/>
          </w:tcPr>
          <w:p>
            <w:pPr>
              <w:pStyle w:val="TableText"/>
              <w:ind w:left="50"/>
              <w:spacing w:before="54" w:line="171" w:lineRule="auto"/>
              <w:rPr>
                <w:sz w:val="21"/>
                <w:szCs w:val="21"/>
              </w:rPr>
            </w:pPr>
            <w:r>
              <w:rPr>
                <w:sz w:val="21"/>
                <w:szCs w:val="21"/>
                <w:b/>
                <w:bCs/>
                <w:spacing w:val="-4"/>
              </w:rPr>
              <w:t>0.5751</w:t>
            </w:r>
          </w:p>
        </w:tc>
        <w:tc>
          <w:tcPr>
            <w:tcW w:w="919" w:type="dxa"/>
            <w:vAlign w:val="top"/>
          </w:tcPr>
          <w:p>
            <w:pPr>
              <w:pStyle w:val="TableText"/>
              <w:ind w:left="141"/>
              <w:spacing w:before="54" w:line="171" w:lineRule="auto"/>
              <w:rPr>
                <w:sz w:val="21"/>
                <w:szCs w:val="21"/>
              </w:rPr>
            </w:pPr>
            <w:r>
              <w:rPr>
                <w:sz w:val="21"/>
                <w:szCs w:val="21"/>
                <w:b/>
                <w:bCs/>
                <w:spacing w:val="-4"/>
              </w:rPr>
              <w:t>0.0680</w:t>
            </w:r>
          </w:p>
        </w:tc>
        <w:tc>
          <w:tcPr>
            <w:tcW w:w="774" w:type="dxa"/>
            <w:vAlign w:val="top"/>
          </w:tcPr>
          <w:p>
            <w:pPr>
              <w:pStyle w:val="TableText"/>
              <w:ind w:left="72"/>
              <w:spacing w:before="54" w:line="171" w:lineRule="auto"/>
              <w:rPr>
                <w:sz w:val="21"/>
                <w:szCs w:val="21"/>
              </w:rPr>
            </w:pPr>
            <w:r>
              <w:rPr>
                <w:sz w:val="21"/>
                <w:szCs w:val="21"/>
                <w:b/>
                <w:bCs/>
                <w:spacing w:val="-4"/>
              </w:rPr>
              <w:t>0.1998</w:t>
            </w:r>
          </w:p>
        </w:tc>
      </w:tr>
      <w:tr>
        <w:trPr>
          <w:trHeight w:val="279" w:hRule="atLeast"/>
        </w:trPr>
        <w:tc>
          <w:tcPr>
            <w:tcW w:w="554" w:type="dxa"/>
            <w:vAlign w:val="top"/>
            <w:vMerge w:val="continue"/>
            <w:tcBorders>
              <w:top w:val="nil"/>
              <w:bottom w:val="nil"/>
            </w:tcBorders>
          </w:tcPr>
          <w:p>
            <w:pPr>
              <w:rPr>
                <w:rFonts w:ascii="Arial"/>
                <w:sz w:val="21"/>
              </w:rPr>
            </w:pPr>
            <w:r/>
          </w:p>
        </w:tc>
        <w:tc>
          <w:tcPr>
            <w:tcW w:w="1648" w:type="dxa"/>
            <w:vAlign w:val="top"/>
            <w:gridSpan w:val="2"/>
          </w:tcPr>
          <w:p>
            <w:pPr>
              <w:pStyle w:val="TableText"/>
              <w:ind w:left="603"/>
              <w:spacing w:before="43" w:line="198" w:lineRule="auto"/>
              <w:rPr>
                <w:sz w:val="21"/>
                <w:szCs w:val="21"/>
              </w:rPr>
            </w:pPr>
            <w:r>
              <w:rPr>
                <w:sz w:val="21"/>
                <w:szCs w:val="21"/>
                <w:b/>
                <w:bCs/>
                <w:spacing w:val="-2"/>
              </w:rPr>
              <w:t>旺季</w:t>
            </w:r>
          </w:p>
        </w:tc>
        <w:tc>
          <w:tcPr>
            <w:tcW w:w="1148" w:type="dxa"/>
            <w:vAlign w:val="top"/>
            <w:textDirection w:val="tbRlV"/>
          </w:tcPr>
          <w:p>
            <w:pPr>
              <w:spacing w:line="446" w:lineRule="auto"/>
              <w:rPr>
                <w:rFonts w:ascii="Arial"/>
                <w:sz w:val="21"/>
              </w:rPr>
            </w:pPr>
            <w:r/>
          </w:p>
          <w:p>
            <w:pPr>
              <w:pStyle w:val="TableText"/>
              <w:ind w:left="18"/>
              <w:spacing w:before="70" w:line="137" w:lineRule="exact"/>
              <w:rPr>
                <w:sz w:val="21"/>
                <w:szCs w:val="21"/>
              </w:rPr>
            </w:pPr>
            <w:r>
              <w:rPr>
                <w:sz w:val="21"/>
                <w:szCs w:val="21"/>
                <w:color w:val="404040"/>
                <w:spacing w:val="52"/>
                <w:w w:val="141"/>
                <w:position w:val="-1"/>
              </w:rPr>
              <w:t>/</w:t>
            </w:r>
          </w:p>
        </w:tc>
        <w:tc>
          <w:tcPr>
            <w:tcW w:w="1179" w:type="dxa"/>
            <w:vAlign w:val="top"/>
          </w:tcPr>
          <w:p>
            <w:pPr>
              <w:pStyle w:val="TableText"/>
              <w:ind w:left="524"/>
              <w:spacing w:before="51" w:line="191" w:lineRule="auto"/>
              <w:rPr>
                <w:sz w:val="21"/>
                <w:szCs w:val="21"/>
              </w:rPr>
            </w:pPr>
            <w:r>
              <w:rPr>
                <w:sz w:val="21"/>
                <w:szCs w:val="21"/>
              </w:rPr>
              <w:t>/</w:t>
            </w:r>
          </w:p>
        </w:tc>
        <w:tc>
          <w:tcPr>
            <w:tcW w:w="699" w:type="dxa"/>
            <w:vAlign w:val="top"/>
            <w:vMerge w:val="continue"/>
            <w:tcBorders>
              <w:top w:val="nil"/>
            </w:tcBorders>
          </w:tcPr>
          <w:p>
            <w:pPr>
              <w:rPr>
                <w:rFonts w:ascii="Arial"/>
                <w:sz w:val="21"/>
              </w:rPr>
            </w:pPr>
            <w:r/>
          </w:p>
        </w:tc>
        <w:tc>
          <w:tcPr>
            <w:tcW w:w="839" w:type="dxa"/>
            <w:vAlign w:val="top"/>
          </w:tcPr>
          <w:p>
            <w:pPr>
              <w:pStyle w:val="TableText"/>
              <w:ind w:left="99"/>
              <w:spacing w:before="65" w:line="179" w:lineRule="auto"/>
              <w:rPr>
                <w:sz w:val="21"/>
                <w:szCs w:val="21"/>
              </w:rPr>
            </w:pPr>
            <w:r>
              <w:rPr>
                <w:sz w:val="21"/>
                <w:szCs w:val="21"/>
                <w:b/>
                <w:bCs/>
                <w:spacing w:val="-4"/>
              </w:rPr>
              <w:t>0.2888</w:t>
            </w:r>
          </w:p>
        </w:tc>
        <w:tc>
          <w:tcPr>
            <w:tcW w:w="739" w:type="dxa"/>
            <w:vAlign w:val="top"/>
          </w:tcPr>
          <w:p>
            <w:pPr>
              <w:pStyle w:val="TableText"/>
              <w:ind w:left="50"/>
              <w:spacing w:before="65" w:line="179" w:lineRule="auto"/>
              <w:rPr>
                <w:sz w:val="21"/>
                <w:szCs w:val="21"/>
              </w:rPr>
            </w:pPr>
            <w:r>
              <w:rPr>
                <w:sz w:val="21"/>
                <w:szCs w:val="21"/>
                <w:b/>
                <w:bCs/>
                <w:spacing w:val="-4"/>
              </w:rPr>
              <w:t>0.2768</w:t>
            </w:r>
          </w:p>
        </w:tc>
        <w:tc>
          <w:tcPr>
            <w:tcW w:w="919" w:type="dxa"/>
            <w:vAlign w:val="top"/>
          </w:tcPr>
          <w:p>
            <w:pPr>
              <w:pStyle w:val="TableText"/>
              <w:ind w:left="141"/>
              <w:spacing w:before="65" w:line="179" w:lineRule="auto"/>
              <w:rPr>
                <w:sz w:val="21"/>
                <w:szCs w:val="21"/>
              </w:rPr>
            </w:pPr>
            <w:r>
              <w:rPr>
                <w:sz w:val="21"/>
                <w:szCs w:val="21"/>
                <w:b/>
                <w:bCs/>
                <w:spacing w:val="-4"/>
              </w:rPr>
              <w:t>0.0981</w:t>
            </w:r>
          </w:p>
        </w:tc>
        <w:tc>
          <w:tcPr>
            <w:tcW w:w="774" w:type="dxa"/>
            <w:vAlign w:val="top"/>
          </w:tcPr>
          <w:p>
            <w:pPr>
              <w:pStyle w:val="TableText"/>
              <w:ind w:left="72"/>
              <w:spacing w:before="65" w:line="179" w:lineRule="auto"/>
              <w:rPr>
                <w:sz w:val="21"/>
                <w:szCs w:val="21"/>
              </w:rPr>
            </w:pPr>
            <w:r>
              <w:rPr>
                <w:sz w:val="21"/>
                <w:szCs w:val="21"/>
                <w:b/>
                <w:bCs/>
                <w:spacing w:val="-4"/>
              </w:rPr>
              <w:t>0.0962</w:t>
            </w:r>
          </w:p>
        </w:tc>
      </w:tr>
      <w:tr>
        <w:trPr>
          <w:trHeight w:val="274" w:hRule="atLeast"/>
        </w:trPr>
        <w:tc>
          <w:tcPr>
            <w:tcW w:w="554" w:type="dxa"/>
            <w:vAlign w:val="top"/>
            <w:vMerge w:val="continue"/>
            <w:tcBorders>
              <w:top w:val="nil"/>
            </w:tcBorders>
          </w:tcPr>
          <w:p>
            <w:pPr>
              <w:rPr>
                <w:rFonts w:ascii="Arial"/>
                <w:sz w:val="21"/>
              </w:rPr>
            </w:pPr>
            <w:r/>
          </w:p>
        </w:tc>
        <w:tc>
          <w:tcPr>
            <w:tcW w:w="1648" w:type="dxa"/>
            <w:vAlign w:val="top"/>
            <w:gridSpan w:val="2"/>
          </w:tcPr>
          <w:p>
            <w:pPr>
              <w:pStyle w:val="TableText"/>
              <w:ind w:left="603"/>
              <w:spacing w:before="34" w:line="202" w:lineRule="auto"/>
              <w:rPr>
                <w:sz w:val="21"/>
                <w:szCs w:val="21"/>
              </w:rPr>
            </w:pPr>
            <w:r>
              <w:rPr>
                <w:sz w:val="21"/>
                <w:szCs w:val="21"/>
                <w:b/>
                <w:bCs/>
                <w:spacing w:val="-5"/>
              </w:rPr>
              <w:t>全年</w:t>
            </w:r>
          </w:p>
        </w:tc>
        <w:tc>
          <w:tcPr>
            <w:tcW w:w="1148" w:type="dxa"/>
            <w:vAlign w:val="top"/>
            <w:textDirection w:val="tbRlV"/>
          </w:tcPr>
          <w:p>
            <w:pPr>
              <w:spacing w:line="446" w:lineRule="auto"/>
              <w:rPr>
                <w:rFonts w:ascii="Arial"/>
                <w:sz w:val="21"/>
              </w:rPr>
            </w:pPr>
            <w:r/>
          </w:p>
          <w:p>
            <w:pPr>
              <w:pStyle w:val="TableText"/>
              <w:ind w:left="9"/>
              <w:spacing w:before="70" w:line="137" w:lineRule="exact"/>
              <w:rPr>
                <w:sz w:val="21"/>
                <w:szCs w:val="21"/>
              </w:rPr>
            </w:pPr>
            <w:r>
              <w:rPr>
                <w:sz w:val="21"/>
                <w:szCs w:val="21"/>
                <w:color w:val="605060"/>
                <w:spacing w:val="52"/>
                <w:w w:val="141"/>
                <w:position w:val="-1"/>
              </w:rPr>
              <w:t>/</w:t>
            </w:r>
          </w:p>
        </w:tc>
        <w:tc>
          <w:tcPr>
            <w:tcW w:w="1179" w:type="dxa"/>
            <w:vAlign w:val="top"/>
          </w:tcPr>
          <w:p>
            <w:pPr>
              <w:pStyle w:val="TableText"/>
              <w:ind w:left="524"/>
              <w:spacing w:before="43" w:line="194" w:lineRule="auto"/>
              <w:rPr>
                <w:sz w:val="21"/>
                <w:szCs w:val="21"/>
              </w:rPr>
            </w:pPr>
            <w:r>
              <w:rPr>
                <w:sz w:val="21"/>
                <w:szCs w:val="21"/>
                <w:color w:val="303050"/>
              </w:rPr>
              <w:t>/</w:t>
            </w:r>
          </w:p>
        </w:tc>
        <w:tc>
          <w:tcPr>
            <w:tcW w:w="699" w:type="dxa"/>
            <w:vAlign w:val="top"/>
          </w:tcPr>
          <w:p>
            <w:pPr>
              <w:pStyle w:val="TableText"/>
              <w:ind w:left="285"/>
              <w:spacing w:before="43" w:line="194" w:lineRule="auto"/>
              <w:rPr>
                <w:sz w:val="21"/>
                <w:szCs w:val="21"/>
              </w:rPr>
            </w:pPr>
            <w:r>
              <w:rPr>
                <w:sz w:val="21"/>
                <w:szCs w:val="21"/>
                <w:color w:val="605060"/>
              </w:rPr>
              <w:t>/</w:t>
            </w:r>
          </w:p>
        </w:tc>
        <w:tc>
          <w:tcPr>
            <w:tcW w:w="839" w:type="dxa"/>
            <w:vAlign w:val="top"/>
          </w:tcPr>
          <w:p>
            <w:pPr>
              <w:pStyle w:val="TableText"/>
              <w:ind w:left="356"/>
              <w:spacing w:before="43" w:line="194" w:lineRule="auto"/>
              <w:rPr>
                <w:sz w:val="21"/>
                <w:szCs w:val="21"/>
              </w:rPr>
            </w:pPr>
            <w:r>
              <w:rPr>
                <w:sz w:val="21"/>
                <w:szCs w:val="21"/>
              </w:rPr>
              <w:t>/</w:t>
            </w:r>
          </w:p>
        </w:tc>
        <w:tc>
          <w:tcPr>
            <w:tcW w:w="739" w:type="dxa"/>
            <w:vAlign w:val="top"/>
          </w:tcPr>
          <w:p>
            <w:pPr>
              <w:pStyle w:val="TableText"/>
              <w:ind w:left="50"/>
              <w:spacing w:before="56" w:line="182" w:lineRule="auto"/>
              <w:rPr>
                <w:sz w:val="21"/>
                <w:szCs w:val="21"/>
              </w:rPr>
            </w:pPr>
            <w:r>
              <w:rPr>
                <w:sz w:val="21"/>
                <w:szCs w:val="21"/>
                <w:b/>
                <w:bCs/>
                <w:spacing w:val="-4"/>
              </w:rPr>
              <w:t>0.8519</w:t>
            </w:r>
          </w:p>
        </w:tc>
        <w:tc>
          <w:tcPr>
            <w:tcW w:w="919" w:type="dxa"/>
            <w:vAlign w:val="top"/>
          </w:tcPr>
          <w:p>
            <w:pPr>
              <w:pStyle w:val="TableText"/>
              <w:ind w:left="398"/>
              <w:spacing w:before="43" w:line="194" w:lineRule="auto"/>
              <w:rPr>
                <w:sz w:val="21"/>
                <w:szCs w:val="21"/>
              </w:rPr>
            </w:pPr>
            <w:r>
              <w:rPr>
                <w:sz w:val="21"/>
                <w:szCs w:val="21"/>
              </w:rPr>
              <w:t>/</w:t>
            </w:r>
          </w:p>
        </w:tc>
        <w:tc>
          <w:tcPr>
            <w:tcW w:w="774" w:type="dxa"/>
            <w:vAlign w:val="top"/>
          </w:tcPr>
          <w:p>
            <w:pPr>
              <w:pStyle w:val="TableText"/>
              <w:ind w:left="123"/>
              <w:spacing w:before="56" w:line="182" w:lineRule="auto"/>
              <w:rPr>
                <w:sz w:val="21"/>
                <w:szCs w:val="21"/>
              </w:rPr>
            </w:pPr>
            <w:r>
              <w:rPr>
                <w:sz w:val="21"/>
                <w:szCs w:val="21"/>
                <w:b/>
                <w:bCs/>
                <w:spacing w:val="-4"/>
              </w:rPr>
              <w:t>0.296</w:t>
            </w:r>
          </w:p>
        </w:tc>
      </w:tr>
    </w:tbl>
    <w:p>
      <w:pPr>
        <w:ind w:left="578"/>
        <w:spacing w:before="58" w:line="217" w:lineRule="auto"/>
        <w:rPr>
          <w:rFonts w:ascii="SimSun" w:hAnsi="SimSun" w:eastAsia="SimSun" w:cs="SimSun"/>
          <w:sz w:val="24"/>
          <w:szCs w:val="24"/>
        </w:rPr>
      </w:pPr>
      <w:r>
        <w:rPr>
          <w:rFonts w:ascii="SimSun" w:hAnsi="SimSun" w:eastAsia="SimSun" w:cs="SimSun"/>
          <w:sz w:val="24"/>
          <w:szCs w:val="24"/>
          <w:b/>
          <w:bCs/>
          <w:spacing w:val="-4"/>
        </w:rPr>
        <w:t>②治理措施</w:t>
      </w:r>
    </w:p>
    <w:p>
      <w:pPr>
        <w:ind w:left="94" w:right="133" w:firstLine="480"/>
        <w:spacing w:before="223" w:line="309" w:lineRule="auto"/>
        <w:rPr>
          <w:rFonts w:ascii="SimSun" w:hAnsi="SimSun" w:eastAsia="SimSun" w:cs="SimSun"/>
          <w:sz w:val="24"/>
          <w:szCs w:val="24"/>
        </w:rPr>
      </w:pPr>
      <w:r>
        <w:rPr>
          <w:rFonts w:ascii="SimSun" w:hAnsi="SimSun" w:eastAsia="SimSun" w:cs="SimSun"/>
          <w:sz w:val="24"/>
          <w:szCs w:val="24"/>
        </w:rPr>
        <w:t>a、生猪待宰圈舍拟采取密闭框架结构厂房，设置两道门及送排风系统，且 </w:t>
      </w:r>
      <w:r>
        <w:rPr>
          <w:rFonts w:ascii="SimSun" w:hAnsi="SimSun" w:eastAsia="SimSun" w:cs="SimSun"/>
          <w:sz w:val="24"/>
          <w:szCs w:val="24"/>
        </w:rPr>
        <w:t>在厂房四周定期喷洒微生物除臭剂，采用干清粪工艺，</w:t>
      </w:r>
      <w:r>
        <w:rPr>
          <w:rFonts w:ascii="SimSun" w:hAnsi="SimSun" w:eastAsia="SimSun" w:cs="SimSun"/>
          <w:sz w:val="24"/>
          <w:szCs w:val="24"/>
          <w:spacing w:val="-1"/>
        </w:rPr>
        <w:t>干粪清理后采用袋装收</w:t>
      </w:r>
      <w:r>
        <w:rPr>
          <w:rFonts w:ascii="SimSun" w:hAnsi="SimSun" w:eastAsia="SimSun" w:cs="SimSun"/>
          <w:sz w:val="24"/>
          <w:szCs w:val="24"/>
        </w:rPr>
        <w:t xml:space="preserve">  </w:t>
      </w:r>
      <w:r>
        <w:rPr>
          <w:rFonts w:ascii="SimSun" w:hAnsi="SimSun" w:eastAsia="SimSun" w:cs="SimSun"/>
          <w:sz w:val="24"/>
          <w:szCs w:val="24"/>
        </w:rPr>
        <w:t>集暂存于生猪待宰圈舍内，最终转运至固废暂存间，</w:t>
      </w:r>
      <w:r>
        <w:rPr>
          <w:rFonts w:ascii="SimSun" w:hAnsi="SimSun" w:eastAsia="SimSun" w:cs="SimSun"/>
          <w:sz w:val="24"/>
          <w:szCs w:val="24"/>
          <w:spacing w:val="-1"/>
        </w:rPr>
        <w:t>每天清运，不露天堆放。</w:t>
      </w:r>
    </w:p>
    <w:p>
      <w:pPr>
        <w:ind w:left="94" w:right="131"/>
        <w:spacing w:before="177" w:line="326" w:lineRule="auto"/>
        <w:rPr>
          <w:rFonts w:ascii="SimSun" w:hAnsi="SimSun" w:eastAsia="SimSun" w:cs="SimSun"/>
          <w:sz w:val="24"/>
          <w:szCs w:val="24"/>
        </w:rPr>
      </w:pPr>
      <w:r>
        <w:rPr>
          <w:rFonts w:ascii="SimSun" w:hAnsi="SimSun" w:eastAsia="SimSun" w:cs="SimSun"/>
          <w:sz w:val="24"/>
          <w:szCs w:val="24"/>
          <w:spacing w:val="1"/>
        </w:rPr>
        <w:t>根据建设单位提供资料可知，为了保证生猪待宰圈舍(1</w:t>
      </w:r>
      <w:r>
        <w:rPr>
          <w:rFonts w:ascii="Times New Roman" w:hAnsi="Times New Roman" w:eastAsia="Times New Roman" w:cs="Times New Roman"/>
          <w:sz w:val="24"/>
          <w:szCs w:val="24"/>
          <w:spacing w:val="1"/>
        </w:rPr>
        <w:t>F</w:t>
      </w:r>
      <w:r>
        <w:rPr>
          <w:rFonts w:ascii="Times New Roman" w:hAnsi="Times New Roman" w:eastAsia="Times New Roman" w:cs="Times New Roman"/>
          <w:sz w:val="24"/>
          <w:szCs w:val="24"/>
          <w:spacing w:val="-17"/>
        </w:rPr>
        <w:t xml:space="preserve"> </w:t>
      </w:r>
      <w:r>
        <w:rPr>
          <w:rFonts w:ascii="SimSun" w:hAnsi="SimSun" w:eastAsia="SimSun" w:cs="SimSun"/>
          <w:sz w:val="24"/>
          <w:szCs w:val="24"/>
          <w:spacing w:val="1"/>
        </w:rPr>
        <w:t>、</w:t>
      </w:r>
      <w:r>
        <w:rPr>
          <w:rFonts w:ascii="Times New Roman" w:hAnsi="Times New Roman" w:eastAsia="Times New Roman" w:cs="Times New Roman"/>
          <w:sz w:val="24"/>
          <w:szCs w:val="24"/>
          <w:spacing w:val="1"/>
        </w:rPr>
        <w:t>2F </w:t>
      </w:r>
      <w:r>
        <w:rPr>
          <w:rFonts w:ascii="SimSun" w:hAnsi="SimSun" w:eastAsia="SimSun" w:cs="SimSun"/>
          <w:sz w:val="24"/>
          <w:szCs w:val="24"/>
          <w:spacing w:val="1"/>
        </w:rPr>
        <w:t>生猪待宰圈舍高</w:t>
      </w:r>
      <w:r>
        <w:rPr>
          <w:rFonts w:ascii="SimSun" w:hAnsi="SimSun" w:eastAsia="SimSun" w:cs="SimSun"/>
          <w:sz w:val="24"/>
          <w:szCs w:val="24"/>
        </w:rPr>
        <w:t xml:space="preserve"> </w:t>
      </w:r>
      <w:r>
        <w:rPr>
          <w:rFonts w:ascii="SimSun" w:hAnsi="SimSun" w:eastAsia="SimSun" w:cs="SimSun"/>
          <w:sz w:val="24"/>
          <w:szCs w:val="24"/>
          <w:spacing w:val="7"/>
        </w:rPr>
        <w:t>均为</w:t>
      </w:r>
      <w:r>
        <w:rPr>
          <w:rFonts w:ascii="Times New Roman" w:hAnsi="Times New Roman" w:eastAsia="Times New Roman" w:cs="Times New Roman"/>
          <w:sz w:val="24"/>
          <w:szCs w:val="24"/>
          <w:spacing w:val="7"/>
        </w:rPr>
        <w:t>H=7.5m,</w:t>
      </w:r>
      <w:r>
        <w:rPr>
          <w:rFonts w:ascii="Times New Roman" w:hAnsi="Times New Roman" w:eastAsia="Times New Roman" w:cs="Times New Roman"/>
          <w:sz w:val="24"/>
          <w:szCs w:val="24"/>
          <w:spacing w:val="39"/>
        </w:rPr>
        <w:t xml:space="preserve"> </w:t>
      </w:r>
      <w:r>
        <w:rPr>
          <w:rFonts w:ascii="SimSun" w:hAnsi="SimSun" w:eastAsia="SimSun" w:cs="SimSun"/>
          <w:sz w:val="24"/>
          <w:szCs w:val="24"/>
          <w:spacing w:val="7"/>
        </w:rPr>
        <w:t>面积均为576</w:t>
      </w:r>
      <w:r>
        <w:rPr>
          <w:rFonts w:ascii="Times New Roman" w:hAnsi="Times New Roman" w:eastAsia="Times New Roman" w:cs="Times New Roman"/>
          <w:sz w:val="24"/>
          <w:szCs w:val="24"/>
          <w:spacing w:val="7"/>
        </w:rPr>
        <w:t>m²)</w:t>
      </w:r>
      <w:r>
        <w:rPr>
          <w:rFonts w:ascii="Times New Roman" w:hAnsi="Times New Roman" w:eastAsia="Times New Roman" w:cs="Times New Roman"/>
          <w:sz w:val="24"/>
          <w:szCs w:val="24"/>
          <w:spacing w:val="22"/>
        </w:rPr>
        <w:t xml:space="preserve">  </w:t>
      </w:r>
      <w:r>
        <w:rPr>
          <w:rFonts w:ascii="SimSun" w:hAnsi="SimSun" w:eastAsia="SimSun" w:cs="SimSun"/>
          <w:sz w:val="24"/>
          <w:szCs w:val="24"/>
          <w:spacing w:val="7"/>
        </w:rPr>
        <w:t>整个空间</w:t>
      </w:r>
      <w:r>
        <w:rPr>
          <w:rFonts w:ascii="SimSun" w:hAnsi="SimSun" w:eastAsia="SimSun" w:cs="SimSun"/>
          <w:sz w:val="24"/>
          <w:szCs w:val="24"/>
          <w:spacing w:val="6"/>
        </w:rPr>
        <w:t>属于负压空间，且换气次数不低于3</w:t>
      </w:r>
      <w:r>
        <w:rPr>
          <w:rFonts w:ascii="SimSun" w:hAnsi="SimSun" w:eastAsia="SimSun" w:cs="SimSun"/>
          <w:sz w:val="24"/>
          <w:szCs w:val="24"/>
        </w:rPr>
        <w:t xml:space="preserve"> </w:t>
      </w:r>
      <w:r>
        <w:rPr>
          <w:rFonts w:ascii="SimSun" w:hAnsi="SimSun" w:eastAsia="SimSun" w:cs="SimSun"/>
          <w:sz w:val="24"/>
          <w:szCs w:val="24"/>
          <w:spacing w:val="-1"/>
        </w:rPr>
        <w:t>次/</w:t>
      </w:r>
      <w:r>
        <w:rPr>
          <w:rFonts w:ascii="Times New Roman" w:hAnsi="Times New Roman" w:eastAsia="Times New Roman" w:cs="Times New Roman"/>
          <w:sz w:val="24"/>
          <w:szCs w:val="24"/>
          <w:spacing w:val="-1"/>
        </w:rPr>
        <w:t>h</w:t>
      </w:r>
      <w:r>
        <w:rPr>
          <w:rFonts w:ascii="Times New Roman" w:hAnsi="Times New Roman" w:eastAsia="Times New Roman" w:cs="Times New Roman"/>
          <w:sz w:val="24"/>
          <w:szCs w:val="24"/>
          <w:spacing w:val="-16"/>
        </w:rPr>
        <w:t xml:space="preserve"> </w:t>
      </w:r>
      <w:r>
        <w:rPr>
          <w:rFonts w:ascii="SimSun" w:hAnsi="SimSun" w:eastAsia="SimSun" w:cs="SimSun"/>
          <w:sz w:val="24"/>
          <w:szCs w:val="24"/>
          <w:spacing w:val="-1"/>
        </w:rPr>
        <w:t>进行设计，经计算生猪待宰圈舍通风量为25920</w:t>
      </w:r>
      <w:r>
        <w:rPr>
          <w:rFonts w:ascii="Times New Roman" w:hAnsi="Times New Roman" w:eastAsia="Times New Roman" w:cs="Times New Roman"/>
          <w:sz w:val="24"/>
          <w:szCs w:val="24"/>
          <w:spacing w:val="-1"/>
        </w:rPr>
        <w:t>m³/h</w:t>
      </w:r>
      <w:r>
        <w:rPr>
          <w:rFonts w:ascii="Times New Roman" w:hAnsi="Times New Roman" w:eastAsia="Times New Roman" w:cs="Times New Roman"/>
          <w:sz w:val="24"/>
          <w:szCs w:val="24"/>
          <w:spacing w:val="-28"/>
        </w:rPr>
        <w:t xml:space="preserve"> </w:t>
      </w:r>
      <w:r>
        <w:rPr>
          <w:rFonts w:ascii="SimSun" w:hAnsi="SimSun" w:eastAsia="SimSun" w:cs="SimSun"/>
          <w:sz w:val="24"/>
          <w:szCs w:val="24"/>
          <w:spacing w:val="-1"/>
        </w:rPr>
        <w:t>。因此，为确保生猪待</w:t>
      </w:r>
      <w:r>
        <w:rPr>
          <w:rFonts w:ascii="SimSun" w:hAnsi="SimSun" w:eastAsia="SimSun" w:cs="SimSun"/>
          <w:sz w:val="24"/>
          <w:szCs w:val="24"/>
        </w:rPr>
        <w:t xml:space="preserve"> </w:t>
      </w:r>
      <w:r>
        <w:rPr>
          <w:rFonts w:ascii="SimSun" w:hAnsi="SimSun" w:eastAsia="SimSun" w:cs="SimSun"/>
          <w:sz w:val="24"/>
          <w:szCs w:val="24"/>
          <w:spacing w:val="2"/>
        </w:rPr>
        <w:t>宰圈舍恶臭污染物的有效收集，并经与建设</w:t>
      </w:r>
      <w:r>
        <w:rPr>
          <w:rFonts w:ascii="SimSun" w:hAnsi="SimSun" w:eastAsia="SimSun" w:cs="SimSun"/>
          <w:sz w:val="24"/>
          <w:szCs w:val="24"/>
          <w:spacing w:val="1"/>
        </w:rPr>
        <w:t>单位沟通，生猪待宰圈舍拟设置1</w:t>
      </w:r>
      <w:r>
        <w:rPr>
          <w:rFonts w:ascii="SimSun" w:hAnsi="SimSun" w:eastAsia="SimSun" w:cs="SimSun"/>
          <w:sz w:val="24"/>
          <w:szCs w:val="24"/>
        </w:rPr>
        <w:t xml:space="preserve">  </w:t>
      </w:r>
      <w:r>
        <w:rPr>
          <w:rFonts w:ascii="SimSun" w:hAnsi="SimSun" w:eastAsia="SimSun" w:cs="SimSun"/>
          <w:sz w:val="24"/>
          <w:szCs w:val="24"/>
          <w:spacing w:val="7"/>
        </w:rPr>
        <w:t>台风机(风量为30000m³/h)进行负压抽风，经负</w:t>
      </w:r>
      <w:r>
        <w:rPr>
          <w:rFonts w:ascii="SimSun" w:hAnsi="SimSun" w:eastAsia="SimSun" w:cs="SimSun"/>
          <w:sz w:val="24"/>
          <w:szCs w:val="24"/>
          <w:spacing w:val="6"/>
        </w:rPr>
        <w:t>压抽风抽出的废气由喷淋</w:t>
      </w:r>
    </w:p>
    <w:p>
      <w:pPr>
        <w:ind w:left="94" w:right="354"/>
        <w:spacing w:before="152" w:line="294" w:lineRule="auto"/>
        <w:rPr>
          <w:rFonts w:ascii="SimSun" w:hAnsi="SimSun" w:eastAsia="SimSun" w:cs="SimSun"/>
          <w:sz w:val="24"/>
          <w:szCs w:val="24"/>
        </w:rPr>
      </w:pPr>
      <w:r>
        <w:rPr>
          <w:rFonts w:ascii="Times New Roman" w:hAnsi="Times New Roman" w:eastAsia="Times New Roman" w:cs="Times New Roman"/>
          <w:sz w:val="24"/>
          <w:szCs w:val="24"/>
          <w:spacing w:val="6"/>
        </w:rPr>
        <w:t>+</w:t>
      </w:r>
      <w:r>
        <w:rPr>
          <w:rFonts w:ascii="Times New Roman" w:hAnsi="Times New Roman" w:eastAsia="Times New Roman" w:cs="Times New Roman"/>
          <w:sz w:val="24"/>
          <w:szCs w:val="24"/>
        </w:rPr>
        <w:t>UV</w:t>
      </w:r>
      <w:r>
        <w:rPr>
          <w:rFonts w:ascii="SimSun" w:hAnsi="SimSun" w:eastAsia="SimSun" w:cs="SimSun"/>
          <w:sz w:val="24"/>
          <w:szCs w:val="24"/>
          <w:spacing w:val="6"/>
        </w:rPr>
        <w:t>光解+活性炭吸附装置</w:t>
      </w:r>
      <w:r>
        <w:rPr>
          <w:rFonts w:ascii="SimSun" w:hAnsi="SimSun" w:eastAsia="SimSun" w:cs="SimSun"/>
          <w:sz w:val="24"/>
          <w:szCs w:val="24"/>
          <w:spacing w:val="-12"/>
        </w:rPr>
        <w:t xml:space="preserve"> </w:t>
      </w:r>
      <w:r>
        <w:rPr>
          <w:rFonts w:ascii="Times New Roman" w:hAnsi="Times New Roman" w:eastAsia="Times New Roman" w:cs="Times New Roman"/>
          <w:sz w:val="24"/>
          <w:szCs w:val="24"/>
          <w:spacing w:val="6"/>
        </w:rPr>
        <w:t>(</w:t>
      </w:r>
      <w:r>
        <w:rPr>
          <w:rFonts w:ascii="Times New Roman" w:hAnsi="Times New Roman" w:eastAsia="Times New Roman" w:cs="Times New Roman"/>
          <w:sz w:val="24"/>
          <w:szCs w:val="24"/>
        </w:rPr>
        <w:t>TA</w:t>
      </w:r>
      <w:r>
        <w:rPr>
          <w:rFonts w:ascii="Times New Roman" w:hAnsi="Times New Roman" w:eastAsia="Times New Roman" w:cs="Times New Roman"/>
          <w:sz w:val="24"/>
          <w:szCs w:val="24"/>
          <w:spacing w:val="6"/>
        </w:rPr>
        <w:t>001)   </w:t>
      </w:r>
      <w:r>
        <w:rPr>
          <w:rFonts w:ascii="SimSun" w:hAnsi="SimSun" w:eastAsia="SimSun" w:cs="SimSun"/>
          <w:sz w:val="24"/>
          <w:szCs w:val="24"/>
          <w:spacing w:val="6"/>
        </w:rPr>
        <w:t>后，由1根15</w:t>
      </w:r>
      <w:r>
        <w:rPr>
          <w:rFonts w:ascii="Times New Roman" w:hAnsi="Times New Roman" w:eastAsia="Times New Roman" w:cs="Times New Roman"/>
          <w:sz w:val="24"/>
          <w:szCs w:val="24"/>
          <w:spacing w:val="6"/>
        </w:rPr>
        <w:t>m</w:t>
      </w:r>
      <w:r>
        <w:rPr>
          <w:rFonts w:ascii="Times New Roman" w:hAnsi="Times New Roman" w:eastAsia="Times New Roman" w:cs="Times New Roman"/>
          <w:sz w:val="24"/>
          <w:szCs w:val="24"/>
          <w:spacing w:val="-25"/>
        </w:rPr>
        <w:t xml:space="preserve"> </w:t>
      </w:r>
      <w:r>
        <w:rPr>
          <w:rFonts w:ascii="SimSun" w:hAnsi="SimSun" w:eastAsia="SimSun" w:cs="SimSun"/>
          <w:sz w:val="24"/>
          <w:szCs w:val="24"/>
          <w:spacing w:val="6"/>
        </w:rPr>
        <w:t>高排气筒</w:t>
      </w:r>
      <w:r>
        <w:rPr>
          <w:rFonts w:ascii="SimSun" w:hAnsi="SimSun" w:eastAsia="SimSun" w:cs="SimSun"/>
          <w:sz w:val="24"/>
          <w:szCs w:val="24"/>
          <w:spacing w:val="-45"/>
        </w:rPr>
        <w:t xml:space="preserve"> </w:t>
      </w:r>
      <w:r>
        <w:rPr>
          <w:rFonts w:ascii="Times New Roman" w:hAnsi="Times New Roman" w:eastAsia="Times New Roman" w:cs="Times New Roman"/>
          <w:sz w:val="24"/>
          <w:szCs w:val="24"/>
          <w:spacing w:val="6"/>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6"/>
        </w:rPr>
        <w:t>001)    </w:t>
      </w:r>
      <w:r>
        <w:rPr>
          <w:rFonts w:ascii="SimSun" w:hAnsi="SimSun" w:eastAsia="SimSun" w:cs="SimSun"/>
          <w:sz w:val="24"/>
          <w:szCs w:val="24"/>
          <w:spacing w:val="6"/>
        </w:rPr>
        <w:t>排</w:t>
      </w:r>
      <w:r>
        <w:rPr>
          <w:rFonts w:ascii="SimSun" w:hAnsi="SimSun" w:eastAsia="SimSun" w:cs="SimSun"/>
          <w:sz w:val="24"/>
          <w:szCs w:val="24"/>
        </w:rPr>
        <w:t xml:space="preserve"> </w:t>
      </w:r>
      <w:r>
        <w:rPr>
          <w:rFonts w:ascii="SimSun" w:hAnsi="SimSun" w:eastAsia="SimSun" w:cs="SimSun"/>
          <w:sz w:val="24"/>
          <w:szCs w:val="24"/>
          <w:spacing w:val="17"/>
        </w:rPr>
        <w:t>放，收集率按95%,处置效率按95%计算。</w:t>
      </w:r>
    </w:p>
    <w:p>
      <w:pPr>
        <w:ind w:left="94" w:right="187" w:firstLine="470"/>
        <w:spacing w:before="250" w:line="304" w:lineRule="auto"/>
        <w:rPr>
          <w:rFonts w:ascii="SimSun" w:hAnsi="SimSun" w:eastAsia="SimSun" w:cs="SimSun"/>
          <w:sz w:val="24"/>
          <w:szCs w:val="24"/>
        </w:rPr>
      </w:pPr>
      <w:r>
        <w:rPr>
          <w:rFonts w:ascii="SimSun" w:hAnsi="SimSun" w:eastAsia="SimSun" w:cs="SimSun"/>
          <w:sz w:val="24"/>
          <w:szCs w:val="24"/>
          <w:spacing w:val="-1"/>
        </w:rPr>
        <w:t>b、根据《猪屠宰与分割车间设计规范》 (GB503</w:t>
      </w:r>
      <w:r>
        <w:rPr>
          <w:rFonts w:ascii="SimSun" w:hAnsi="SimSun" w:eastAsia="SimSun" w:cs="SimSun"/>
          <w:sz w:val="24"/>
          <w:szCs w:val="24"/>
          <w:spacing w:val="-2"/>
        </w:rPr>
        <w:t>17-2009),</w:t>
      </w:r>
      <w:r>
        <w:rPr>
          <w:rFonts w:ascii="SimSun" w:hAnsi="SimSun" w:eastAsia="SimSun" w:cs="SimSun"/>
          <w:sz w:val="24"/>
          <w:szCs w:val="24"/>
          <w:spacing w:val="51"/>
        </w:rPr>
        <w:t xml:space="preserve">  </w:t>
      </w:r>
      <w:r>
        <w:rPr>
          <w:rFonts w:ascii="SimSun" w:hAnsi="SimSun" w:eastAsia="SimSun" w:cs="SimSun"/>
          <w:sz w:val="24"/>
          <w:szCs w:val="24"/>
          <w:spacing w:val="-2"/>
        </w:rPr>
        <w:t>屠宰车间应</w:t>
      </w:r>
      <w:r>
        <w:rPr>
          <w:rFonts w:ascii="SimSun" w:hAnsi="SimSun" w:eastAsia="SimSun" w:cs="SimSun"/>
          <w:sz w:val="24"/>
          <w:szCs w:val="24"/>
        </w:rPr>
        <w:t xml:space="preserve">  </w:t>
      </w:r>
      <w:r>
        <w:rPr>
          <w:rFonts w:ascii="SimSun" w:hAnsi="SimSun" w:eastAsia="SimSun" w:cs="SimSun"/>
          <w:sz w:val="24"/>
          <w:szCs w:val="24"/>
        </w:rPr>
        <w:t>以自然通风为主，对于散发臭味多的加工间，如副产</w:t>
      </w:r>
      <w:r>
        <w:rPr>
          <w:rFonts w:ascii="SimSun" w:hAnsi="SimSun" w:eastAsia="SimSun" w:cs="SimSun"/>
          <w:sz w:val="24"/>
          <w:szCs w:val="24"/>
          <w:spacing w:val="-1"/>
        </w:rPr>
        <w:t>品肠胃加工间，换气次数</w:t>
      </w:r>
      <w:r>
        <w:rPr>
          <w:rFonts w:ascii="SimSun" w:hAnsi="SimSun" w:eastAsia="SimSun" w:cs="SimSun"/>
          <w:sz w:val="24"/>
          <w:szCs w:val="24"/>
        </w:rPr>
        <w:t xml:space="preserve"> </w:t>
      </w:r>
      <w:r>
        <w:rPr>
          <w:rFonts w:ascii="SimSun" w:hAnsi="SimSun" w:eastAsia="SimSun" w:cs="SimSun"/>
          <w:sz w:val="24"/>
          <w:szCs w:val="24"/>
          <w:spacing w:val="-2"/>
        </w:rPr>
        <w:t>不宜小于6次/</w:t>
      </w:r>
      <w:r>
        <w:rPr>
          <w:rFonts w:ascii="Times New Roman" w:hAnsi="Times New Roman" w:eastAsia="Times New Roman" w:cs="Times New Roman"/>
          <w:sz w:val="24"/>
          <w:szCs w:val="24"/>
          <w:spacing w:val="-2"/>
        </w:rPr>
        <w:t>h</w:t>
      </w:r>
      <w:r>
        <w:rPr>
          <w:rFonts w:ascii="SimSun" w:hAnsi="SimSun" w:eastAsia="SimSun" w:cs="SimSun"/>
          <w:sz w:val="24"/>
          <w:szCs w:val="24"/>
          <w:spacing w:val="-2"/>
        </w:rPr>
        <w:t>。本项目生猪屠宰车间拟采取框架结构、密闭厂房、设置两道门</w:t>
      </w:r>
    </w:p>
    <w:p>
      <w:pPr>
        <w:spacing w:line="304" w:lineRule="auto"/>
        <w:sectPr>
          <w:headerReference w:type="default" r:id="rId306"/>
          <w:footerReference w:type="default" r:id="rId307"/>
          <w:pgSz w:w="11910" w:h="16840"/>
          <w:pgMar w:top="1207" w:right="1715" w:bottom="922" w:left="1685" w:header="915" w:footer="751" w:gutter="0"/>
        </w:sectPr>
        <w:rPr>
          <w:rFonts w:ascii="SimSun" w:hAnsi="SimSun" w:eastAsia="SimSun" w:cs="SimSun"/>
          <w:sz w:val="24"/>
          <w:szCs w:val="24"/>
        </w:rPr>
      </w:pPr>
    </w:p>
    <w:p>
      <w:pPr>
        <w:ind w:left="104" w:right="262"/>
        <w:spacing w:before="290" w:line="378" w:lineRule="auto"/>
        <w:rPr>
          <w:rFonts w:ascii="SimSun" w:hAnsi="SimSun" w:eastAsia="SimSun" w:cs="SimSun"/>
          <w:sz w:val="22"/>
          <w:szCs w:val="22"/>
        </w:rPr>
      </w:pPr>
      <w:r>
        <w:rPr>
          <w:rFonts w:ascii="SimSun" w:hAnsi="SimSun" w:eastAsia="SimSun" w:cs="SimSun"/>
          <w:sz w:val="22"/>
          <w:szCs w:val="22"/>
          <w:spacing w:val="19"/>
        </w:rPr>
        <w:t>及送排风系统，且在厂房四周定期喷洒微生物除臭剂，根据建设单位提供资料</w:t>
      </w:r>
      <w:r>
        <w:rPr>
          <w:rFonts w:ascii="SimSun" w:hAnsi="SimSun" w:eastAsia="SimSun" w:cs="SimSun"/>
          <w:sz w:val="22"/>
          <w:szCs w:val="22"/>
        </w:rPr>
        <w:t xml:space="preserve"> </w:t>
      </w:r>
      <w:r>
        <w:rPr>
          <w:rFonts w:ascii="SimSun" w:hAnsi="SimSun" w:eastAsia="SimSun" w:cs="SimSun"/>
          <w:sz w:val="22"/>
          <w:szCs w:val="22"/>
          <w:spacing w:val="20"/>
        </w:rPr>
        <w:t>可知，为确保项目生猪屠宰车间恶臭污染物的有效收集，</w:t>
      </w:r>
      <w:r>
        <w:rPr>
          <w:rFonts w:ascii="SimSun" w:hAnsi="SimSun" w:eastAsia="SimSun" w:cs="SimSun"/>
          <w:sz w:val="22"/>
          <w:szCs w:val="22"/>
          <w:spacing w:val="19"/>
        </w:rPr>
        <w:t>整个空间属于负压空</w:t>
      </w:r>
      <w:r>
        <w:rPr>
          <w:rFonts w:ascii="SimSun" w:hAnsi="SimSun" w:eastAsia="SimSun" w:cs="SimSun"/>
          <w:sz w:val="22"/>
          <w:szCs w:val="22"/>
        </w:rPr>
        <w:t xml:space="preserve"> </w:t>
      </w:r>
      <w:r>
        <w:rPr>
          <w:rFonts w:ascii="SimSun" w:hAnsi="SimSun" w:eastAsia="SimSun" w:cs="SimSun"/>
          <w:sz w:val="22"/>
          <w:szCs w:val="22"/>
          <w:spacing w:val="15"/>
        </w:rPr>
        <w:t>间，生猪屠宰车间内生猪屠宰区(层高</w:t>
      </w:r>
      <w:r>
        <w:rPr>
          <w:rFonts w:ascii="Times New Roman" w:hAnsi="Times New Roman" w:eastAsia="Times New Roman" w:cs="Times New Roman"/>
          <w:sz w:val="22"/>
          <w:szCs w:val="22"/>
          <w:spacing w:val="15"/>
        </w:rPr>
        <w:t>H=7.5m,    </w:t>
      </w:r>
      <w:r>
        <w:rPr>
          <w:rFonts w:ascii="SimSun" w:hAnsi="SimSun" w:eastAsia="SimSun" w:cs="SimSun"/>
          <w:sz w:val="22"/>
          <w:szCs w:val="22"/>
          <w:spacing w:val="15"/>
        </w:rPr>
        <w:t>面积1355</w:t>
      </w:r>
      <w:r>
        <w:rPr>
          <w:rFonts w:ascii="Times New Roman" w:hAnsi="Times New Roman" w:eastAsia="Times New Roman" w:cs="Times New Roman"/>
          <w:sz w:val="22"/>
          <w:szCs w:val="22"/>
          <w:spacing w:val="15"/>
        </w:rPr>
        <w:t>m²)</w:t>
      </w:r>
      <w:r>
        <w:rPr>
          <w:rFonts w:ascii="Times New Roman" w:hAnsi="Times New Roman" w:eastAsia="Times New Roman" w:cs="Times New Roman"/>
          <w:sz w:val="22"/>
          <w:szCs w:val="22"/>
          <w:spacing w:val="-29"/>
        </w:rPr>
        <w:t xml:space="preserve"> </w:t>
      </w:r>
      <w:r>
        <w:rPr>
          <w:rFonts w:ascii="SimSun" w:hAnsi="SimSun" w:eastAsia="SimSun" w:cs="SimSun"/>
          <w:sz w:val="22"/>
          <w:szCs w:val="22"/>
          <w:spacing w:val="15"/>
        </w:rPr>
        <w:t>、</w:t>
      </w:r>
      <w:r>
        <w:rPr>
          <w:rFonts w:ascii="SimSun" w:hAnsi="SimSun" w:eastAsia="SimSun" w:cs="SimSun"/>
          <w:sz w:val="22"/>
          <w:szCs w:val="22"/>
          <w:spacing w:val="102"/>
        </w:rPr>
        <w:t xml:space="preserve"> </w:t>
      </w:r>
      <w:r>
        <w:rPr>
          <w:rFonts w:ascii="SimSun" w:hAnsi="SimSun" w:eastAsia="SimSun" w:cs="SimSun"/>
          <w:sz w:val="22"/>
          <w:szCs w:val="22"/>
          <w:spacing w:val="15"/>
        </w:rPr>
        <w:t>生猪分割区</w:t>
      </w:r>
    </w:p>
    <w:p>
      <w:pPr>
        <w:ind w:left="104" w:right="172" w:firstLine="120"/>
        <w:spacing w:before="9" w:line="388" w:lineRule="auto"/>
        <w:rPr>
          <w:rFonts w:ascii="SimSun" w:hAnsi="SimSun" w:eastAsia="SimSun" w:cs="SimSun"/>
          <w:sz w:val="22"/>
          <w:szCs w:val="22"/>
        </w:rPr>
      </w:pPr>
      <w:r>
        <w:rPr>
          <w:rFonts w:ascii="SimSun" w:hAnsi="SimSun" w:eastAsia="SimSun" w:cs="SimSun"/>
          <w:sz w:val="22"/>
          <w:szCs w:val="22"/>
          <w:spacing w:val="10"/>
        </w:rPr>
        <w:t>(层高</w:t>
      </w:r>
      <w:r>
        <w:rPr>
          <w:rFonts w:ascii="Times New Roman" w:hAnsi="Times New Roman" w:eastAsia="Times New Roman" w:cs="Times New Roman"/>
          <w:sz w:val="22"/>
          <w:szCs w:val="22"/>
          <w:spacing w:val="10"/>
        </w:rPr>
        <w:t>H=7.5m,    </w:t>
      </w:r>
      <w:r>
        <w:rPr>
          <w:rFonts w:ascii="SimSun" w:hAnsi="SimSun" w:eastAsia="SimSun" w:cs="SimSun"/>
          <w:sz w:val="22"/>
          <w:szCs w:val="22"/>
          <w:spacing w:val="10"/>
        </w:rPr>
        <w:t>面积约820</w:t>
      </w:r>
      <w:r>
        <w:rPr>
          <w:rFonts w:ascii="Times New Roman" w:hAnsi="Times New Roman" w:eastAsia="Times New Roman" w:cs="Times New Roman"/>
          <w:sz w:val="22"/>
          <w:szCs w:val="22"/>
          <w:spacing w:val="10"/>
        </w:rPr>
        <w:t>m²)   </w:t>
      </w:r>
      <w:r>
        <w:rPr>
          <w:rFonts w:ascii="SimSun" w:hAnsi="SimSun" w:eastAsia="SimSun" w:cs="SimSun"/>
          <w:sz w:val="22"/>
          <w:szCs w:val="22"/>
          <w:spacing w:val="10"/>
        </w:rPr>
        <w:t>均按换气次数不低于3次/</w:t>
      </w:r>
      <w:r>
        <w:rPr>
          <w:rFonts w:ascii="Times New Roman" w:hAnsi="Times New Roman" w:eastAsia="Times New Roman" w:cs="Times New Roman"/>
          <w:sz w:val="22"/>
          <w:szCs w:val="22"/>
          <w:spacing w:val="10"/>
        </w:rPr>
        <w:t>h </w:t>
      </w:r>
      <w:r>
        <w:rPr>
          <w:rFonts w:ascii="SimSun" w:hAnsi="SimSun" w:eastAsia="SimSun" w:cs="SimSun"/>
          <w:sz w:val="22"/>
          <w:szCs w:val="22"/>
          <w:spacing w:val="10"/>
        </w:rPr>
        <w:t>进行设计，副产品肠</w:t>
      </w:r>
      <w:r>
        <w:rPr>
          <w:rFonts w:ascii="SimSun" w:hAnsi="SimSun" w:eastAsia="SimSun" w:cs="SimSun"/>
          <w:sz w:val="22"/>
          <w:szCs w:val="22"/>
          <w:spacing w:val="6"/>
        </w:rPr>
        <w:t xml:space="preserve"> </w:t>
      </w:r>
      <w:r>
        <w:rPr>
          <w:rFonts w:ascii="SimSun" w:hAnsi="SimSun" w:eastAsia="SimSun" w:cs="SimSun"/>
          <w:sz w:val="22"/>
          <w:szCs w:val="22"/>
          <w:spacing w:val="13"/>
        </w:rPr>
        <w:t>胃加工间(层高</w:t>
      </w:r>
      <w:r>
        <w:rPr>
          <w:rFonts w:ascii="Times New Roman" w:hAnsi="Times New Roman" w:eastAsia="Times New Roman" w:cs="Times New Roman"/>
          <w:sz w:val="22"/>
          <w:szCs w:val="22"/>
          <w:spacing w:val="13"/>
        </w:rPr>
        <w:t>H=7.5m,    </w:t>
      </w:r>
      <w:r>
        <w:rPr>
          <w:rFonts w:ascii="SimSun" w:hAnsi="SimSun" w:eastAsia="SimSun" w:cs="SimSun"/>
          <w:sz w:val="22"/>
          <w:szCs w:val="22"/>
          <w:spacing w:val="13"/>
        </w:rPr>
        <w:t>面积200</w:t>
      </w:r>
      <w:r>
        <w:rPr>
          <w:rFonts w:ascii="Times New Roman" w:hAnsi="Times New Roman" w:eastAsia="Times New Roman" w:cs="Times New Roman"/>
          <w:sz w:val="22"/>
          <w:szCs w:val="22"/>
          <w:spacing w:val="13"/>
        </w:rPr>
        <w:t>m²)   </w:t>
      </w:r>
      <w:r>
        <w:rPr>
          <w:rFonts w:ascii="SimSun" w:hAnsi="SimSun" w:eastAsia="SimSun" w:cs="SimSun"/>
          <w:sz w:val="22"/>
          <w:szCs w:val="22"/>
          <w:spacing w:val="13"/>
        </w:rPr>
        <w:t>按换气次数不低于6次/</w:t>
      </w:r>
      <w:r>
        <w:rPr>
          <w:rFonts w:ascii="Times New Roman" w:hAnsi="Times New Roman" w:eastAsia="Times New Roman" w:cs="Times New Roman"/>
          <w:sz w:val="22"/>
          <w:szCs w:val="22"/>
          <w:spacing w:val="13"/>
        </w:rPr>
        <w:t>h</w:t>
      </w:r>
      <w:r>
        <w:rPr>
          <w:rFonts w:ascii="SimSun" w:hAnsi="SimSun" w:eastAsia="SimSun" w:cs="SimSun"/>
          <w:sz w:val="22"/>
          <w:szCs w:val="22"/>
          <w:spacing w:val="13"/>
        </w:rPr>
        <w:t>进行设计，经计</w:t>
      </w:r>
      <w:r>
        <w:rPr>
          <w:rFonts w:ascii="SimSun" w:hAnsi="SimSun" w:eastAsia="SimSun" w:cs="SimSun"/>
          <w:sz w:val="22"/>
          <w:szCs w:val="22"/>
          <w:spacing w:val="15"/>
        </w:rPr>
        <w:t xml:space="preserve"> </w:t>
      </w:r>
      <w:r>
        <w:rPr>
          <w:rFonts w:ascii="SimSun" w:hAnsi="SimSun" w:eastAsia="SimSun" w:cs="SimSun"/>
          <w:sz w:val="22"/>
          <w:szCs w:val="22"/>
          <w:spacing w:val="13"/>
        </w:rPr>
        <w:t>算生猪屠宰车间通风量为57937.5</w:t>
      </w:r>
      <w:r>
        <w:rPr>
          <w:rFonts w:ascii="Times New Roman" w:hAnsi="Times New Roman" w:eastAsia="Times New Roman" w:cs="Times New Roman"/>
          <w:sz w:val="22"/>
          <w:szCs w:val="22"/>
          <w:spacing w:val="13"/>
        </w:rPr>
        <w:t>m³/h</w:t>
      </w:r>
      <w:r>
        <w:rPr>
          <w:rFonts w:ascii="Times New Roman" w:hAnsi="Times New Roman" w:eastAsia="Times New Roman" w:cs="Times New Roman"/>
          <w:sz w:val="22"/>
          <w:szCs w:val="22"/>
          <w:spacing w:val="-9"/>
        </w:rPr>
        <w:t xml:space="preserve"> </w:t>
      </w:r>
      <w:r>
        <w:rPr>
          <w:rFonts w:ascii="SimSun" w:hAnsi="SimSun" w:eastAsia="SimSun" w:cs="SimSun"/>
          <w:sz w:val="22"/>
          <w:szCs w:val="22"/>
          <w:spacing w:val="13"/>
        </w:rPr>
        <w:t>。</w:t>
      </w:r>
      <w:r>
        <w:rPr>
          <w:rFonts w:ascii="SimSun" w:hAnsi="SimSun" w:eastAsia="SimSun" w:cs="SimSun"/>
          <w:sz w:val="22"/>
          <w:szCs w:val="22"/>
          <w:spacing w:val="-65"/>
        </w:rPr>
        <w:t xml:space="preserve"> </w:t>
      </w:r>
      <w:r>
        <w:rPr>
          <w:rFonts w:ascii="SimSun" w:hAnsi="SimSun" w:eastAsia="SimSun" w:cs="SimSun"/>
          <w:sz w:val="22"/>
          <w:szCs w:val="22"/>
          <w:spacing w:val="13"/>
        </w:rPr>
        <w:t>经与建设单位沟通，生猪屠宰车间拟设</w:t>
      </w:r>
      <w:r>
        <w:rPr>
          <w:rFonts w:ascii="SimSun" w:hAnsi="SimSun" w:eastAsia="SimSun" w:cs="SimSun"/>
          <w:sz w:val="22"/>
          <w:szCs w:val="22"/>
        </w:rPr>
        <w:t xml:space="preserve"> </w:t>
      </w:r>
      <w:r>
        <w:rPr>
          <w:rFonts w:ascii="SimSun" w:hAnsi="SimSun" w:eastAsia="SimSun" w:cs="SimSun"/>
          <w:sz w:val="22"/>
          <w:szCs w:val="22"/>
          <w:spacing w:val="19"/>
        </w:rPr>
        <w:t>置1台风机(风量为60000m³/h) 进</w:t>
      </w:r>
      <w:r>
        <w:rPr>
          <w:rFonts w:ascii="SimSun" w:hAnsi="SimSun" w:eastAsia="SimSun" w:cs="SimSun"/>
          <w:sz w:val="22"/>
          <w:szCs w:val="22"/>
          <w:spacing w:val="18"/>
        </w:rPr>
        <w:t>行负压抽风，经喷淋+</w:t>
      </w:r>
      <w:r>
        <w:rPr>
          <w:rFonts w:ascii="SimSun" w:hAnsi="SimSun" w:eastAsia="SimSun" w:cs="SimSun"/>
          <w:sz w:val="22"/>
          <w:szCs w:val="22"/>
        </w:rPr>
        <w:t>UV</w:t>
      </w:r>
      <w:r>
        <w:rPr>
          <w:rFonts w:ascii="SimSun" w:hAnsi="SimSun" w:eastAsia="SimSun" w:cs="SimSun"/>
          <w:sz w:val="22"/>
          <w:szCs w:val="22"/>
          <w:spacing w:val="18"/>
        </w:rPr>
        <w:t xml:space="preserve"> 光解+活性炭吸附装</w:t>
      </w:r>
      <w:r>
        <w:rPr>
          <w:rFonts w:ascii="SimSun" w:hAnsi="SimSun" w:eastAsia="SimSun" w:cs="SimSun"/>
          <w:sz w:val="22"/>
          <w:szCs w:val="22"/>
        </w:rPr>
        <w:t xml:space="preserve"> </w:t>
      </w:r>
      <w:r>
        <w:rPr>
          <w:rFonts w:ascii="SimSun" w:hAnsi="SimSun" w:eastAsia="SimSun" w:cs="SimSun"/>
          <w:sz w:val="22"/>
          <w:szCs w:val="22"/>
          <w:spacing w:val="15"/>
        </w:rPr>
        <w:t>置 </w:t>
      </w:r>
      <w:r>
        <w:rPr>
          <w:rFonts w:ascii="Times New Roman" w:hAnsi="Times New Roman" w:eastAsia="Times New Roman" w:cs="Times New Roman"/>
          <w:sz w:val="22"/>
          <w:szCs w:val="22"/>
          <w:spacing w:val="15"/>
        </w:rPr>
        <w:t>(</w:t>
      </w:r>
      <w:r>
        <w:rPr>
          <w:rFonts w:ascii="Times New Roman" w:hAnsi="Times New Roman" w:eastAsia="Times New Roman" w:cs="Times New Roman"/>
          <w:sz w:val="22"/>
          <w:szCs w:val="22"/>
        </w:rPr>
        <w:t>TA</w:t>
      </w:r>
      <w:r>
        <w:rPr>
          <w:rFonts w:ascii="Times New Roman" w:hAnsi="Times New Roman" w:eastAsia="Times New Roman" w:cs="Times New Roman"/>
          <w:sz w:val="22"/>
          <w:szCs w:val="22"/>
          <w:spacing w:val="15"/>
        </w:rPr>
        <w:t>002)    </w:t>
      </w:r>
      <w:r>
        <w:rPr>
          <w:rFonts w:ascii="SimSun" w:hAnsi="SimSun" w:eastAsia="SimSun" w:cs="SimSun"/>
          <w:sz w:val="22"/>
          <w:szCs w:val="22"/>
          <w:spacing w:val="15"/>
        </w:rPr>
        <w:t>处理由15</w:t>
      </w:r>
      <w:r>
        <w:rPr>
          <w:rFonts w:ascii="Times New Roman" w:hAnsi="Times New Roman" w:eastAsia="Times New Roman" w:cs="Times New Roman"/>
          <w:sz w:val="22"/>
          <w:szCs w:val="22"/>
          <w:spacing w:val="15"/>
        </w:rPr>
        <w:t>m</w:t>
      </w:r>
      <w:r>
        <w:rPr>
          <w:rFonts w:ascii="Times New Roman" w:hAnsi="Times New Roman" w:eastAsia="Times New Roman" w:cs="Times New Roman"/>
          <w:sz w:val="22"/>
          <w:szCs w:val="22"/>
          <w:spacing w:val="-16"/>
        </w:rPr>
        <w:t xml:space="preserve"> </w:t>
      </w:r>
      <w:r>
        <w:rPr>
          <w:rFonts w:ascii="SimSun" w:hAnsi="SimSun" w:eastAsia="SimSun" w:cs="SimSun"/>
          <w:sz w:val="22"/>
          <w:szCs w:val="22"/>
          <w:spacing w:val="15"/>
        </w:rPr>
        <w:t>高排气筒</w:t>
      </w:r>
      <w:r>
        <w:rPr>
          <w:rFonts w:ascii="SimSun" w:hAnsi="SimSun" w:eastAsia="SimSun" w:cs="SimSun"/>
          <w:sz w:val="22"/>
          <w:szCs w:val="22"/>
          <w:spacing w:val="-14"/>
        </w:rPr>
        <w:t xml:space="preserve"> </w:t>
      </w:r>
      <w:r>
        <w:rPr>
          <w:rFonts w:ascii="Times New Roman" w:hAnsi="Times New Roman" w:eastAsia="Times New Roman" w:cs="Times New Roman"/>
          <w:sz w:val="22"/>
          <w:szCs w:val="22"/>
          <w:spacing w:val="15"/>
        </w:rPr>
        <w:t>(</w:t>
      </w:r>
      <w:r>
        <w:rPr>
          <w:rFonts w:ascii="Times New Roman" w:hAnsi="Times New Roman" w:eastAsia="Times New Roman" w:cs="Times New Roman"/>
          <w:sz w:val="22"/>
          <w:szCs w:val="22"/>
        </w:rPr>
        <w:t>DA</w:t>
      </w:r>
      <w:r>
        <w:rPr>
          <w:rFonts w:ascii="Times New Roman" w:hAnsi="Times New Roman" w:eastAsia="Times New Roman" w:cs="Times New Roman"/>
          <w:sz w:val="22"/>
          <w:szCs w:val="22"/>
          <w:spacing w:val="15"/>
        </w:rPr>
        <w:t>002)     </w:t>
      </w:r>
      <w:r>
        <w:rPr>
          <w:rFonts w:ascii="SimSun" w:hAnsi="SimSun" w:eastAsia="SimSun" w:cs="SimSun"/>
          <w:sz w:val="22"/>
          <w:szCs w:val="22"/>
          <w:spacing w:val="15"/>
        </w:rPr>
        <w:t>排放。收集率按95%,处置效率按</w:t>
      </w:r>
      <w:r>
        <w:rPr>
          <w:rFonts w:ascii="SimSun" w:hAnsi="SimSun" w:eastAsia="SimSun" w:cs="SimSun"/>
          <w:sz w:val="22"/>
          <w:szCs w:val="22"/>
        </w:rPr>
        <w:t xml:space="preserve"> </w:t>
      </w:r>
      <w:r>
        <w:rPr>
          <w:rFonts w:ascii="SimSun" w:hAnsi="SimSun" w:eastAsia="SimSun" w:cs="SimSun"/>
          <w:sz w:val="22"/>
          <w:szCs w:val="22"/>
          <w:spacing w:val="21"/>
        </w:rPr>
        <w:t>95%计算。每日屠宰完毕后及时采用高压</w:t>
      </w:r>
      <w:r>
        <w:rPr>
          <w:rFonts w:ascii="SimSun" w:hAnsi="SimSun" w:eastAsia="SimSun" w:cs="SimSun"/>
          <w:sz w:val="22"/>
          <w:szCs w:val="22"/>
          <w:spacing w:val="20"/>
        </w:rPr>
        <w:t>水枪及时冲洗，减少胃内容物、血水</w:t>
      </w:r>
      <w:r>
        <w:rPr>
          <w:rFonts w:ascii="SimSun" w:hAnsi="SimSun" w:eastAsia="SimSun" w:cs="SimSun"/>
          <w:sz w:val="22"/>
          <w:szCs w:val="22"/>
        </w:rPr>
        <w:t xml:space="preserve">  </w:t>
      </w:r>
      <w:r>
        <w:rPr>
          <w:rFonts w:ascii="SimSun" w:hAnsi="SimSun" w:eastAsia="SimSun" w:cs="SimSun"/>
          <w:sz w:val="22"/>
          <w:szCs w:val="22"/>
          <w:spacing w:val="17"/>
        </w:rPr>
        <w:t>等在车间停留时间，从而减小恶臭源强。</w:t>
      </w:r>
    </w:p>
    <w:p>
      <w:pPr>
        <w:ind w:left="104" w:right="145" w:firstLine="470"/>
        <w:spacing w:before="74" w:line="336" w:lineRule="auto"/>
        <w:rPr>
          <w:rFonts w:ascii="SimSun" w:hAnsi="SimSun" w:eastAsia="SimSun" w:cs="SimSun"/>
          <w:sz w:val="22"/>
          <w:szCs w:val="22"/>
        </w:rPr>
      </w:pPr>
      <w:r>
        <w:rPr>
          <w:rFonts w:ascii="Times New Roman" w:hAnsi="Times New Roman" w:eastAsia="Times New Roman" w:cs="Times New Roman"/>
          <w:sz w:val="22"/>
          <w:szCs w:val="22"/>
          <w:spacing w:val="19"/>
        </w:rPr>
        <w:t>c</w:t>
      </w:r>
      <w:r>
        <w:rPr>
          <w:rFonts w:ascii="Times New Roman" w:hAnsi="Times New Roman" w:eastAsia="Times New Roman" w:cs="Times New Roman"/>
          <w:sz w:val="22"/>
          <w:szCs w:val="22"/>
          <w:spacing w:val="-22"/>
        </w:rPr>
        <w:t xml:space="preserve"> </w:t>
      </w:r>
      <w:r>
        <w:rPr>
          <w:rFonts w:ascii="SimSun" w:hAnsi="SimSun" w:eastAsia="SimSun" w:cs="SimSun"/>
          <w:sz w:val="22"/>
          <w:szCs w:val="22"/>
          <w:spacing w:val="19"/>
        </w:rPr>
        <w:t>、生猪屠宰加工车间应配备自动真空采血系统，刺杀与采血一次完成，血</w:t>
      </w:r>
      <w:r>
        <w:rPr>
          <w:rFonts w:ascii="SimSun" w:hAnsi="SimSun" w:eastAsia="SimSun" w:cs="SimSun"/>
          <w:sz w:val="22"/>
          <w:szCs w:val="22"/>
        </w:rPr>
        <w:t xml:space="preserve"> </w:t>
      </w:r>
      <w:r>
        <w:rPr>
          <w:rFonts w:ascii="SimSun" w:hAnsi="SimSun" w:eastAsia="SimSun" w:cs="SimSun"/>
          <w:sz w:val="22"/>
          <w:szCs w:val="22"/>
          <w:spacing w:val="20"/>
        </w:rPr>
        <w:t>液通过血液输送系统及输送管道送至血液储存罐，尽量减</w:t>
      </w:r>
      <w:r>
        <w:rPr>
          <w:rFonts w:ascii="SimSun" w:hAnsi="SimSun" w:eastAsia="SimSun" w:cs="SimSun"/>
          <w:sz w:val="22"/>
          <w:szCs w:val="22"/>
          <w:spacing w:val="19"/>
        </w:rPr>
        <w:t>少血液产生的异味在</w:t>
      </w:r>
      <w:r>
        <w:rPr>
          <w:rFonts w:ascii="SimSun" w:hAnsi="SimSun" w:eastAsia="SimSun" w:cs="SimSun"/>
          <w:sz w:val="22"/>
          <w:szCs w:val="22"/>
        </w:rPr>
        <w:t xml:space="preserve">  </w:t>
      </w:r>
      <w:r>
        <w:rPr>
          <w:rFonts w:ascii="SimSun" w:hAnsi="SimSun" w:eastAsia="SimSun" w:cs="SimSun"/>
          <w:sz w:val="22"/>
          <w:szCs w:val="22"/>
          <w:spacing w:val="17"/>
        </w:rPr>
        <w:t>空气中的扩散。</w:t>
      </w:r>
    </w:p>
    <w:p>
      <w:pPr>
        <w:ind w:left="104" w:right="143" w:firstLine="470"/>
        <w:spacing w:before="208" w:line="336" w:lineRule="auto"/>
        <w:rPr>
          <w:rFonts w:ascii="SimSun" w:hAnsi="SimSun" w:eastAsia="SimSun" w:cs="SimSun"/>
          <w:sz w:val="22"/>
          <w:szCs w:val="22"/>
        </w:rPr>
      </w:pPr>
      <w:r>
        <w:rPr>
          <w:rFonts w:ascii="Times New Roman" w:hAnsi="Times New Roman" w:eastAsia="Times New Roman" w:cs="Times New Roman"/>
          <w:sz w:val="22"/>
          <w:szCs w:val="22"/>
          <w:spacing w:val="17"/>
        </w:rPr>
        <w:t>d</w:t>
      </w:r>
      <w:r>
        <w:rPr>
          <w:rFonts w:ascii="Times New Roman" w:hAnsi="Times New Roman" w:eastAsia="Times New Roman" w:cs="Times New Roman"/>
          <w:sz w:val="22"/>
          <w:szCs w:val="22"/>
          <w:spacing w:val="-14"/>
        </w:rPr>
        <w:t xml:space="preserve"> </w:t>
      </w:r>
      <w:r>
        <w:rPr>
          <w:rFonts w:ascii="SimSun" w:hAnsi="SimSun" w:eastAsia="SimSun" w:cs="SimSun"/>
          <w:sz w:val="22"/>
          <w:szCs w:val="22"/>
          <w:spacing w:val="17"/>
        </w:rPr>
        <w:t>、</w:t>
      </w:r>
      <w:r>
        <w:rPr>
          <w:rFonts w:ascii="SimSun" w:hAnsi="SimSun" w:eastAsia="SimSun" w:cs="SimSun"/>
          <w:sz w:val="22"/>
          <w:szCs w:val="22"/>
          <w:spacing w:val="-62"/>
        </w:rPr>
        <w:t xml:space="preserve"> </w:t>
      </w:r>
      <w:r>
        <w:rPr>
          <w:rFonts w:ascii="SimSun" w:hAnsi="SimSun" w:eastAsia="SimSun" w:cs="SimSun"/>
          <w:sz w:val="22"/>
          <w:szCs w:val="22"/>
          <w:spacing w:val="17"/>
        </w:rPr>
        <w:t>设置专人及时清理生猪屠宰及分割产生的胃内容物、碎肉和碎骨等废弃</w:t>
      </w:r>
      <w:r>
        <w:rPr>
          <w:rFonts w:ascii="SimSun" w:hAnsi="SimSun" w:eastAsia="SimSun" w:cs="SimSun"/>
          <w:sz w:val="22"/>
          <w:szCs w:val="22"/>
        </w:rPr>
        <w:t xml:space="preserve"> </w:t>
      </w:r>
      <w:r>
        <w:rPr>
          <w:rFonts w:ascii="SimSun" w:hAnsi="SimSun" w:eastAsia="SimSun" w:cs="SimSun"/>
          <w:sz w:val="22"/>
          <w:szCs w:val="22"/>
          <w:spacing w:val="19"/>
        </w:rPr>
        <w:t>物，采用密闭桶装运输至固废暂存间暂存，交由资质单位处置，暂</w:t>
      </w:r>
      <w:r>
        <w:rPr>
          <w:rFonts w:ascii="SimSun" w:hAnsi="SimSun" w:eastAsia="SimSun" w:cs="SimSun"/>
          <w:sz w:val="22"/>
          <w:szCs w:val="22"/>
          <w:spacing w:val="18"/>
        </w:rPr>
        <w:t>存时间&lt;8</w:t>
      </w:r>
      <w:r>
        <w:rPr>
          <w:rFonts w:ascii="Times New Roman" w:hAnsi="Times New Roman" w:eastAsia="Times New Roman" w:cs="Times New Roman"/>
          <w:sz w:val="22"/>
          <w:szCs w:val="22"/>
          <w:spacing w:val="18"/>
        </w:rPr>
        <w:t>h,</w:t>
      </w:r>
      <w:r>
        <w:rPr>
          <w:rFonts w:ascii="Times New Roman" w:hAnsi="Times New Roman" w:eastAsia="Times New Roman" w:cs="Times New Roman"/>
          <w:sz w:val="22"/>
          <w:szCs w:val="22"/>
        </w:rPr>
        <w:t xml:space="preserve">    </w:t>
      </w:r>
      <w:r>
        <w:rPr>
          <w:rFonts w:ascii="SimSun" w:hAnsi="SimSun" w:eastAsia="SimSun" w:cs="SimSun"/>
          <w:sz w:val="22"/>
          <w:szCs w:val="22"/>
          <w:spacing w:val="16"/>
        </w:rPr>
        <w:t>减少恶臭。</w:t>
      </w:r>
    </w:p>
    <w:p>
      <w:pPr>
        <w:ind w:left="104" w:right="141" w:firstLine="470"/>
        <w:spacing w:before="198" w:line="307" w:lineRule="auto"/>
        <w:rPr>
          <w:rFonts w:ascii="SimSun" w:hAnsi="SimSun" w:eastAsia="SimSun" w:cs="SimSun"/>
          <w:sz w:val="22"/>
          <w:szCs w:val="22"/>
        </w:rPr>
      </w:pPr>
      <w:r>
        <w:rPr>
          <w:rFonts w:ascii="Times New Roman" w:hAnsi="Times New Roman" w:eastAsia="Times New Roman" w:cs="Times New Roman"/>
          <w:sz w:val="22"/>
          <w:szCs w:val="22"/>
          <w:spacing w:val="19"/>
        </w:rPr>
        <w:t>e</w:t>
      </w:r>
      <w:r>
        <w:rPr>
          <w:rFonts w:ascii="Times New Roman" w:hAnsi="Times New Roman" w:eastAsia="Times New Roman" w:cs="Times New Roman"/>
          <w:sz w:val="22"/>
          <w:szCs w:val="22"/>
          <w:spacing w:val="-17"/>
        </w:rPr>
        <w:t xml:space="preserve"> </w:t>
      </w:r>
      <w:r>
        <w:rPr>
          <w:rFonts w:ascii="SimSun" w:hAnsi="SimSun" w:eastAsia="SimSun" w:cs="SimSun"/>
          <w:sz w:val="22"/>
          <w:szCs w:val="22"/>
          <w:spacing w:val="19"/>
        </w:rPr>
        <w:t>、刺杀刀具及时消毒，生猪屠宰废物等及时转运至固废暂存间分区暂存外</w:t>
      </w:r>
      <w:r>
        <w:rPr>
          <w:rFonts w:ascii="SimSun" w:hAnsi="SimSun" w:eastAsia="SimSun" w:cs="SimSun"/>
          <w:sz w:val="22"/>
          <w:szCs w:val="22"/>
        </w:rPr>
        <w:t xml:space="preserve"> </w:t>
      </w:r>
      <w:r>
        <w:rPr>
          <w:rFonts w:ascii="SimSun" w:hAnsi="SimSun" w:eastAsia="SimSun" w:cs="SimSun"/>
          <w:sz w:val="22"/>
          <w:szCs w:val="22"/>
          <w:spacing w:val="14"/>
        </w:rPr>
        <w:t>售，减少异味。</w:t>
      </w:r>
    </w:p>
    <w:p>
      <w:pPr>
        <w:ind w:left="104" w:right="325" w:firstLine="470"/>
        <w:spacing w:before="198" w:line="377" w:lineRule="auto"/>
        <w:rPr>
          <w:rFonts w:ascii="SimSun" w:hAnsi="SimSun" w:eastAsia="SimSun" w:cs="SimSun"/>
          <w:sz w:val="22"/>
          <w:szCs w:val="22"/>
        </w:rPr>
      </w:pPr>
      <w:r>
        <w:rPr>
          <w:rFonts w:ascii="SimSun" w:hAnsi="SimSun" w:eastAsia="SimSun" w:cs="SimSun"/>
          <w:sz w:val="22"/>
          <w:szCs w:val="22"/>
          <w:spacing w:val="27"/>
        </w:rPr>
        <w:t>经采取以上措施后，恶臭处理系统(喷淋+</w:t>
      </w:r>
      <w:r>
        <w:rPr>
          <w:rFonts w:ascii="Times New Roman" w:hAnsi="Times New Roman" w:eastAsia="Times New Roman" w:cs="Times New Roman"/>
          <w:sz w:val="22"/>
          <w:szCs w:val="22"/>
        </w:rPr>
        <w:t>UV</w:t>
      </w:r>
      <w:r>
        <w:rPr>
          <w:rFonts w:ascii="Times New Roman" w:hAnsi="Times New Roman" w:eastAsia="Times New Roman" w:cs="Times New Roman"/>
          <w:sz w:val="22"/>
          <w:szCs w:val="22"/>
          <w:spacing w:val="27"/>
        </w:rPr>
        <w:t xml:space="preserve"> </w:t>
      </w:r>
      <w:r>
        <w:rPr>
          <w:rFonts w:ascii="SimSun" w:hAnsi="SimSun" w:eastAsia="SimSun" w:cs="SimSun"/>
          <w:sz w:val="22"/>
          <w:szCs w:val="22"/>
          <w:spacing w:val="27"/>
        </w:rPr>
        <w:t>光解+活性炭吸附装置)对</w:t>
      </w:r>
      <w:r>
        <w:rPr>
          <w:rFonts w:ascii="SimSun" w:hAnsi="SimSun" w:eastAsia="SimSun" w:cs="SimSun"/>
          <w:sz w:val="22"/>
          <w:szCs w:val="22"/>
          <w:spacing w:val="1"/>
        </w:rPr>
        <w:t xml:space="preserve"> </w:t>
      </w:r>
      <w:r>
        <w:rPr>
          <w:rFonts w:ascii="SimSun" w:hAnsi="SimSun" w:eastAsia="SimSun" w:cs="SimSun"/>
          <w:sz w:val="22"/>
          <w:szCs w:val="22"/>
          <w:spacing w:val="14"/>
        </w:rPr>
        <w:t>恶臭去除效率见下表。</w:t>
      </w:r>
    </w:p>
    <w:p>
      <w:pPr>
        <w:ind w:left="2338"/>
        <w:spacing w:line="214" w:lineRule="auto"/>
        <w:rPr>
          <w:rFonts w:ascii="SimSun" w:hAnsi="SimSun" w:eastAsia="SimSun" w:cs="SimSun"/>
          <w:sz w:val="24"/>
          <w:szCs w:val="24"/>
        </w:rPr>
      </w:pPr>
      <w:r>
        <w:rPr>
          <w:rFonts w:ascii="SimSun" w:hAnsi="SimSun" w:eastAsia="SimSun" w:cs="SimSun"/>
          <w:sz w:val="24"/>
          <w:szCs w:val="24"/>
          <w:b/>
          <w:bCs/>
          <w:spacing w:val="-3"/>
        </w:rPr>
        <w:t>表3.11-15项目恶臭处理系统去除效率</w:t>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163"/>
        <w:gridCol w:w="1348"/>
        <w:gridCol w:w="2487"/>
        <w:gridCol w:w="1618"/>
        <w:gridCol w:w="1893"/>
      </w:tblGrid>
      <w:tr>
        <w:trPr>
          <w:trHeight w:val="284" w:hRule="atLeast"/>
        </w:trPr>
        <w:tc>
          <w:tcPr>
            <w:shd w:val="clear" w:fill="BDBDBD"/>
            <w:tcW w:w="1163" w:type="dxa"/>
            <w:vAlign w:val="top"/>
          </w:tcPr>
          <w:p>
            <w:pPr>
              <w:pStyle w:val="TableText"/>
              <w:ind w:left="377"/>
              <w:spacing w:before="50" w:line="206" w:lineRule="auto"/>
              <w:rPr>
                <w:sz w:val="20"/>
                <w:szCs w:val="20"/>
              </w:rPr>
            </w:pPr>
            <w:r>
              <w:rPr>
                <w:sz w:val="20"/>
                <w:szCs w:val="20"/>
                <w:b/>
                <w:bCs/>
                <w:spacing w:val="-5"/>
              </w:rPr>
              <w:t>工艺</w:t>
            </w:r>
          </w:p>
        </w:tc>
        <w:tc>
          <w:tcPr>
            <w:shd w:val="clear" w:fill="BDBDBD"/>
            <w:tcW w:w="1348" w:type="dxa"/>
            <w:vAlign w:val="top"/>
          </w:tcPr>
          <w:p>
            <w:pPr>
              <w:pStyle w:val="TableText"/>
              <w:ind w:left="364"/>
              <w:spacing w:before="40" w:line="216" w:lineRule="auto"/>
              <w:rPr>
                <w:sz w:val="20"/>
                <w:szCs w:val="20"/>
              </w:rPr>
            </w:pPr>
            <w:r>
              <w:rPr>
                <w:sz w:val="20"/>
                <w:szCs w:val="20"/>
                <w:b/>
                <w:bCs/>
                <w:spacing w:val="-5"/>
              </w:rPr>
              <w:t>水洗塔</w:t>
            </w:r>
          </w:p>
        </w:tc>
        <w:tc>
          <w:tcPr>
            <w:shd w:val="clear" w:fill="BDBDBD"/>
            <w:tcW w:w="2487" w:type="dxa"/>
            <w:vAlign w:val="top"/>
          </w:tcPr>
          <w:p>
            <w:pPr>
              <w:pStyle w:val="TableText"/>
              <w:ind w:left="936"/>
              <w:spacing w:before="40" w:line="216" w:lineRule="auto"/>
              <w:rPr>
                <w:sz w:val="20"/>
                <w:szCs w:val="20"/>
              </w:rPr>
            </w:pPr>
            <w:r>
              <w:rPr>
                <w:sz w:val="20"/>
                <w:szCs w:val="20"/>
                <w:b/>
                <w:bCs/>
                <w:spacing w:val="-3"/>
              </w:rPr>
              <w:t>UV光解</w:t>
            </w:r>
          </w:p>
        </w:tc>
        <w:tc>
          <w:tcPr>
            <w:shd w:val="clear" w:fill="BDBDBD"/>
            <w:tcW w:w="1618" w:type="dxa"/>
            <w:vAlign w:val="top"/>
          </w:tcPr>
          <w:p>
            <w:pPr>
              <w:pStyle w:val="TableText"/>
              <w:ind w:left="309"/>
              <w:spacing w:before="40" w:line="216" w:lineRule="auto"/>
              <w:rPr>
                <w:sz w:val="20"/>
                <w:szCs w:val="20"/>
              </w:rPr>
            </w:pPr>
            <w:r>
              <w:rPr>
                <w:sz w:val="20"/>
                <w:szCs w:val="20"/>
                <w:b/>
                <w:bCs/>
                <w:spacing w:val="-4"/>
              </w:rPr>
              <w:t>活性炭吸附</w:t>
            </w:r>
          </w:p>
        </w:tc>
        <w:tc>
          <w:tcPr>
            <w:shd w:val="clear" w:fill="BDBDBD"/>
            <w:tcW w:w="1893" w:type="dxa"/>
            <w:vAlign w:val="top"/>
          </w:tcPr>
          <w:p>
            <w:pPr>
              <w:pStyle w:val="TableText"/>
              <w:ind w:left="641"/>
              <w:spacing w:before="40" w:line="216" w:lineRule="auto"/>
              <w:rPr>
                <w:sz w:val="20"/>
                <w:szCs w:val="20"/>
              </w:rPr>
            </w:pPr>
            <w:r>
              <w:rPr>
                <w:sz w:val="20"/>
                <w:szCs w:val="20"/>
                <w:b/>
                <w:bCs/>
                <w:spacing w:val="-6"/>
              </w:rPr>
              <w:t>总效率</w:t>
            </w:r>
          </w:p>
        </w:tc>
      </w:tr>
      <w:tr>
        <w:trPr>
          <w:trHeight w:val="269" w:hRule="atLeast"/>
        </w:trPr>
        <w:tc>
          <w:tcPr>
            <w:tcW w:w="1163" w:type="dxa"/>
            <w:vAlign w:val="top"/>
          </w:tcPr>
          <w:p>
            <w:pPr>
              <w:pStyle w:val="TableText"/>
              <w:ind w:left="474"/>
              <w:spacing w:before="40" w:line="202" w:lineRule="auto"/>
              <w:rPr>
                <w:sz w:val="20"/>
                <w:szCs w:val="20"/>
              </w:rPr>
            </w:pPr>
            <w:r>
              <w:rPr>
                <w:sz w:val="20"/>
                <w:szCs w:val="20"/>
              </w:rPr>
              <w:t>氨</w:t>
            </w:r>
          </w:p>
        </w:tc>
        <w:tc>
          <w:tcPr>
            <w:tcW w:w="1348" w:type="dxa"/>
            <w:vAlign w:val="top"/>
          </w:tcPr>
          <w:p>
            <w:pPr>
              <w:pStyle w:val="TableText"/>
              <w:ind w:left="512"/>
              <w:spacing w:before="59" w:line="184" w:lineRule="auto"/>
              <w:rPr>
                <w:sz w:val="20"/>
                <w:szCs w:val="20"/>
              </w:rPr>
            </w:pPr>
            <w:r>
              <w:rPr>
                <w:sz w:val="20"/>
                <w:szCs w:val="20"/>
                <w:spacing w:val="-2"/>
              </w:rPr>
              <w:t>40%</w:t>
            </w:r>
          </w:p>
        </w:tc>
        <w:tc>
          <w:tcPr>
            <w:tcW w:w="2487" w:type="dxa"/>
            <w:vAlign w:val="top"/>
          </w:tcPr>
          <w:p>
            <w:pPr>
              <w:pStyle w:val="TableText"/>
              <w:ind w:left="1083"/>
              <w:spacing w:before="59" w:line="184" w:lineRule="auto"/>
              <w:rPr>
                <w:sz w:val="20"/>
                <w:szCs w:val="20"/>
              </w:rPr>
            </w:pPr>
            <w:r>
              <w:rPr>
                <w:sz w:val="20"/>
                <w:szCs w:val="20"/>
                <w:color w:val="404050"/>
                <w:spacing w:val="-3"/>
              </w:rPr>
              <w:t>60%</w:t>
            </w:r>
          </w:p>
        </w:tc>
        <w:tc>
          <w:tcPr>
            <w:tcW w:w="1618" w:type="dxa"/>
            <w:vAlign w:val="top"/>
          </w:tcPr>
          <w:p>
            <w:pPr>
              <w:pStyle w:val="TableText"/>
              <w:ind w:left="656"/>
              <w:spacing w:before="59" w:line="184" w:lineRule="auto"/>
              <w:rPr>
                <w:sz w:val="20"/>
                <w:szCs w:val="20"/>
              </w:rPr>
            </w:pPr>
            <w:r>
              <w:rPr>
                <w:sz w:val="20"/>
                <w:szCs w:val="20"/>
                <w:spacing w:val="-2"/>
              </w:rPr>
              <w:t>80%</w:t>
            </w:r>
          </w:p>
        </w:tc>
        <w:tc>
          <w:tcPr>
            <w:tcW w:w="1893" w:type="dxa"/>
            <w:vAlign w:val="top"/>
          </w:tcPr>
          <w:p>
            <w:pPr>
              <w:pStyle w:val="TableText"/>
              <w:ind w:left="788"/>
              <w:spacing w:before="59" w:line="184" w:lineRule="auto"/>
              <w:rPr>
                <w:sz w:val="20"/>
                <w:szCs w:val="20"/>
              </w:rPr>
            </w:pPr>
            <w:r>
              <w:rPr>
                <w:sz w:val="20"/>
                <w:szCs w:val="20"/>
                <w:spacing w:val="-2"/>
              </w:rPr>
              <w:t>95%</w:t>
            </w:r>
          </w:p>
        </w:tc>
      </w:tr>
      <w:tr>
        <w:trPr>
          <w:trHeight w:val="269" w:hRule="atLeast"/>
        </w:trPr>
        <w:tc>
          <w:tcPr>
            <w:tcW w:w="1163" w:type="dxa"/>
            <w:vAlign w:val="top"/>
          </w:tcPr>
          <w:p>
            <w:pPr>
              <w:pStyle w:val="TableText"/>
              <w:ind w:left="275"/>
              <w:spacing w:before="41" w:line="201" w:lineRule="auto"/>
              <w:rPr>
                <w:sz w:val="20"/>
                <w:szCs w:val="20"/>
              </w:rPr>
            </w:pPr>
            <w:r>
              <w:rPr>
                <w:sz w:val="20"/>
                <w:szCs w:val="20"/>
                <w:spacing w:val="-2"/>
              </w:rPr>
              <w:t>硫化氢</w:t>
            </w:r>
          </w:p>
        </w:tc>
        <w:tc>
          <w:tcPr>
            <w:tcW w:w="1348" w:type="dxa"/>
            <w:vAlign w:val="top"/>
          </w:tcPr>
          <w:p>
            <w:pPr>
              <w:pStyle w:val="TableText"/>
              <w:ind w:left="512"/>
              <w:spacing w:before="59" w:line="184" w:lineRule="auto"/>
              <w:rPr>
                <w:sz w:val="20"/>
                <w:szCs w:val="20"/>
              </w:rPr>
            </w:pPr>
            <w:r>
              <w:rPr>
                <w:sz w:val="20"/>
                <w:szCs w:val="20"/>
                <w:spacing w:val="-2"/>
              </w:rPr>
              <w:t>40%</w:t>
            </w:r>
          </w:p>
        </w:tc>
        <w:tc>
          <w:tcPr>
            <w:tcW w:w="2487" w:type="dxa"/>
            <w:vAlign w:val="top"/>
          </w:tcPr>
          <w:p>
            <w:pPr>
              <w:pStyle w:val="TableText"/>
              <w:ind w:left="1083"/>
              <w:spacing w:before="59" w:line="184" w:lineRule="auto"/>
              <w:rPr>
                <w:sz w:val="20"/>
                <w:szCs w:val="20"/>
              </w:rPr>
            </w:pPr>
            <w:r>
              <w:rPr>
                <w:sz w:val="20"/>
                <w:szCs w:val="20"/>
                <w:color w:val="404040"/>
                <w:spacing w:val="-3"/>
              </w:rPr>
              <w:t>60%</w:t>
            </w:r>
          </w:p>
        </w:tc>
        <w:tc>
          <w:tcPr>
            <w:tcW w:w="1618" w:type="dxa"/>
            <w:vAlign w:val="top"/>
          </w:tcPr>
          <w:p>
            <w:pPr>
              <w:pStyle w:val="TableText"/>
              <w:ind w:left="656"/>
              <w:spacing w:before="59" w:line="184" w:lineRule="auto"/>
              <w:rPr>
                <w:sz w:val="20"/>
                <w:szCs w:val="20"/>
              </w:rPr>
            </w:pPr>
            <w:r>
              <w:rPr>
                <w:sz w:val="20"/>
                <w:szCs w:val="20"/>
                <w:spacing w:val="-2"/>
              </w:rPr>
              <w:t>80%</w:t>
            </w:r>
          </w:p>
        </w:tc>
        <w:tc>
          <w:tcPr>
            <w:tcW w:w="1893" w:type="dxa"/>
            <w:vAlign w:val="top"/>
          </w:tcPr>
          <w:p>
            <w:pPr>
              <w:pStyle w:val="TableText"/>
              <w:ind w:left="788"/>
              <w:spacing w:before="59" w:line="184" w:lineRule="auto"/>
              <w:rPr>
                <w:sz w:val="20"/>
                <w:szCs w:val="20"/>
              </w:rPr>
            </w:pPr>
            <w:r>
              <w:rPr>
                <w:sz w:val="20"/>
                <w:szCs w:val="20"/>
                <w:spacing w:val="-2"/>
              </w:rPr>
              <w:t>95%</w:t>
            </w:r>
          </w:p>
        </w:tc>
      </w:tr>
      <w:tr>
        <w:trPr>
          <w:trHeight w:val="2588" w:hRule="atLeast"/>
        </w:trPr>
        <w:tc>
          <w:tcPr>
            <w:tcW w:w="8509" w:type="dxa"/>
            <w:vAlign w:val="top"/>
            <w:gridSpan w:val="5"/>
          </w:tcPr>
          <w:p>
            <w:pPr>
              <w:pStyle w:val="TableText"/>
              <w:ind w:left="15" w:right="170"/>
              <w:spacing w:before="31" w:line="235" w:lineRule="auto"/>
              <w:rPr>
                <w:sz w:val="20"/>
                <w:szCs w:val="20"/>
              </w:rPr>
            </w:pPr>
            <w:r>
              <w:rPr>
                <w:sz w:val="20"/>
                <w:szCs w:val="20"/>
              </w:rPr>
              <w:t>备注：1.碱洗塔：参考文献《碱液吸收法处理硫化氢废气》(段晓堂蚌埠市永艳染料化工有限责</w:t>
            </w:r>
            <w:r>
              <w:rPr>
                <w:sz w:val="20"/>
                <w:szCs w:val="20"/>
                <w:spacing w:val="12"/>
              </w:rPr>
              <w:t xml:space="preserve"> </w:t>
            </w:r>
            <w:r>
              <w:rPr>
                <w:sz w:val="20"/>
                <w:szCs w:val="20"/>
              </w:rPr>
              <w:t>任公司，233040)中碱液吸收对硫化氢的去除效率为93.76%~99.2%,碱洗液</w:t>
            </w:r>
            <w:r>
              <w:rPr>
                <w:sz w:val="20"/>
                <w:szCs w:val="20"/>
                <w:spacing w:val="-1"/>
              </w:rPr>
              <w:t>对氨的去除较对硫化</w:t>
            </w:r>
            <w:r>
              <w:rPr>
                <w:sz w:val="20"/>
                <w:szCs w:val="20"/>
              </w:rPr>
              <w:t xml:space="preserve">  </w:t>
            </w:r>
            <w:r>
              <w:rPr>
                <w:sz w:val="20"/>
                <w:szCs w:val="20"/>
              </w:rPr>
              <w:t>氢的去除效率低，本项目采用水洗塔保守均取40%。下同。</w:t>
            </w:r>
          </w:p>
          <w:p>
            <w:pPr>
              <w:pStyle w:val="TableText"/>
              <w:ind w:left="15" w:right="389"/>
              <w:spacing w:before="1" w:line="233" w:lineRule="auto"/>
              <w:rPr>
                <w:sz w:val="20"/>
                <w:szCs w:val="20"/>
              </w:rPr>
            </w:pPr>
            <w:r>
              <w:rPr>
                <w:sz w:val="20"/>
                <w:szCs w:val="20"/>
              </w:rPr>
              <w:t>p.UV光解：参考文献《紫外光技术在污水恶臭气体处理中的应用》(吴正华上</w:t>
            </w:r>
            <w:r>
              <w:rPr>
                <w:sz w:val="20"/>
                <w:szCs w:val="20"/>
                <w:spacing w:val="-1"/>
              </w:rPr>
              <w:t>海市城市排水市</w:t>
            </w:r>
            <w:r>
              <w:rPr>
                <w:sz w:val="20"/>
                <w:szCs w:val="20"/>
              </w:rPr>
              <w:t xml:space="preserve"> </w:t>
            </w:r>
            <w:r>
              <w:rPr>
                <w:sz w:val="20"/>
                <w:szCs w:val="20"/>
                <w:spacing w:val="6"/>
              </w:rPr>
              <w:t>中运营有限公司)中紫外光(</w:t>
            </w:r>
            <w:r>
              <w:rPr>
                <w:sz w:val="20"/>
                <w:szCs w:val="20"/>
              </w:rPr>
              <w:t>UV</w:t>
            </w:r>
            <w:r>
              <w:rPr>
                <w:sz w:val="20"/>
                <w:szCs w:val="20"/>
                <w:spacing w:val="6"/>
              </w:rPr>
              <w:t>光解)对H</w:t>
            </w:r>
            <w:r>
              <w:rPr>
                <w:rFonts w:ascii="Calibri" w:hAnsi="Calibri" w:eastAsia="Calibri" w:cs="Calibri"/>
                <w:sz w:val="20"/>
                <w:szCs w:val="20"/>
                <w:spacing w:val="6"/>
              </w:rPr>
              <w:t>₂</w:t>
            </w:r>
            <w:r>
              <w:rPr>
                <w:sz w:val="20"/>
                <w:szCs w:val="20"/>
                <w:spacing w:val="6"/>
              </w:rPr>
              <w:t>S去除率达91.29%,</w:t>
            </w:r>
            <w:r>
              <w:rPr>
                <w:sz w:val="20"/>
                <w:szCs w:val="20"/>
              </w:rPr>
              <w:t>NH</w:t>
            </w:r>
            <w:r>
              <w:rPr>
                <w:rFonts w:ascii="Calibri" w:hAnsi="Calibri" w:eastAsia="Calibri" w:cs="Calibri"/>
                <w:sz w:val="20"/>
                <w:szCs w:val="20"/>
                <w:spacing w:val="6"/>
              </w:rPr>
              <w:t>₃</w:t>
            </w:r>
            <w:r>
              <w:rPr>
                <w:sz w:val="20"/>
                <w:szCs w:val="20"/>
                <w:spacing w:val="6"/>
              </w:rPr>
              <w:t>去除率达93.4%,本项目</w:t>
            </w:r>
          </w:p>
          <w:p>
            <w:pPr>
              <w:pStyle w:val="TableText"/>
              <w:ind w:left="15"/>
              <w:spacing w:before="19" w:line="220" w:lineRule="auto"/>
              <w:rPr>
                <w:sz w:val="20"/>
                <w:szCs w:val="20"/>
              </w:rPr>
            </w:pPr>
            <w:r>
              <w:rPr>
                <w:sz w:val="20"/>
                <w:szCs w:val="20"/>
                <w:spacing w:val="-1"/>
              </w:rPr>
              <w:t>结合其他实例运行效果保守取60%。下同。</w:t>
            </w:r>
          </w:p>
          <w:p>
            <w:pPr>
              <w:pStyle w:val="TableText"/>
              <w:ind w:left="15"/>
              <w:spacing w:before="9" w:line="218" w:lineRule="auto"/>
              <w:rPr>
                <w:sz w:val="20"/>
                <w:szCs w:val="20"/>
              </w:rPr>
            </w:pPr>
            <w:r>
              <w:rPr>
                <w:sz w:val="20"/>
                <w:szCs w:val="20"/>
              </w:rPr>
              <w:t>3.活性炭吸附：根据《环境保护产品技术要求工业废气吸附净化装置》(HJ/T386-2007):吸附</w:t>
            </w:r>
          </w:p>
          <w:p>
            <w:pPr>
              <w:pStyle w:val="TableText"/>
              <w:ind w:left="15" w:right="92"/>
              <w:spacing w:before="44" w:line="224" w:lineRule="auto"/>
              <w:rPr>
                <w:sz w:val="20"/>
                <w:szCs w:val="20"/>
              </w:rPr>
            </w:pPr>
            <w:r>
              <w:rPr>
                <w:sz w:val="20"/>
                <w:szCs w:val="20"/>
              </w:rPr>
              <w:t>净化装置净化效率不低于90%。活性炭吸附广泛用于恶臭治理方面，置于废气处理系统末端为废</w:t>
            </w:r>
            <w:r>
              <w:rPr>
                <w:sz w:val="20"/>
                <w:szCs w:val="20"/>
                <w:spacing w:val="4"/>
              </w:rPr>
              <w:t xml:space="preserve">  </w:t>
            </w:r>
            <w:r>
              <w:rPr>
                <w:sz w:val="20"/>
                <w:szCs w:val="20"/>
              </w:rPr>
              <w:t>气达标做保证，其去除效率跟活性炭的过滤面积、过滤风速、活性炭的层</w:t>
            </w:r>
            <w:r>
              <w:rPr>
                <w:sz w:val="20"/>
                <w:szCs w:val="20"/>
                <w:spacing w:val="-1"/>
              </w:rPr>
              <w:t>厚等有关。本项目活性</w:t>
            </w:r>
            <w:r>
              <w:rPr>
                <w:sz w:val="20"/>
                <w:szCs w:val="20"/>
              </w:rPr>
              <w:t xml:space="preserve"> </w:t>
            </w:r>
            <w:r>
              <w:rPr>
                <w:sz w:val="20"/>
                <w:szCs w:val="20"/>
              </w:rPr>
              <w:t>炭吸附保守取80%。下同。</w:t>
            </w:r>
          </w:p>
        </w:tc>
      </w:tr>
    </w:tbl>
    <w:p>
      <w:pPr>
        <w:ind w:left="104" w:right="702" w:firstLine="500"/>
        <w:spacing w:before="54" w:line="397" w:lineRule="auto"/>
        <w:rPr>
          <w:rFonts w:ascii="SimSun" w:hAnsi="SimSun" w:eastAsia="SimSun" w:cs="SimSun"/>
          <w:sz w:val="22"/>
          <w:szCs w:val="22"/>
        </w:rPr>
      </w:pPr>
      <w:r>
        <w:rPr>
          <w:rFonts w:ascii="SimSun" w:hAnsi="SimSun" w:eastAsia="SimSun" w:cs="SimSun"/>
          <w:sz w:val="24"/>
          <w:szCs w:val="24"/>
        </w:rPr>
        <w:t>根据上表，本项目恶臭处理系统(喷淋+UV光解+活性炭吸附装置)对恶</w:t>
      </w:r>
      <w:r>
        <w:rPr>
          <w:rFonts w:ascii="SimSun" w:hAnsi="SimSun" w:eastAsia="SimSun" w:cs="SimSun"/>
          <w:sz w:val="24"/>
          <w:szCs w:val="24"/>
          <w:spacing w:val="11"/>
        </w:rPr>
        <w:t xml:space="preserve"> </w:t>
      </w:r>
      <w:r>
        <w:rPr>
          <w:rFonts w:ascii="SimSun" w:hAnsi="SimSun" w:eastAsia="SimSun" w:cs="SimSun"/>
          <w:sz w:val="22"/>
          <w:szCs w:val="22"/>
          <w:spacing w:val="24"/>
        </w:rPr>
        <w:t>臭的去除效率能达到95%。</w:t>
      </w:r>
    </w:p>
    <w:p>
      <w:pPr>
        <w:spacing w:line="397" w:lineRule="auto"/>
        <w:sectPr>
          <w:headerReference w:type="default" r:id="rId308"/>
          <w:footerReference w:type="default" r:id="rId309"/>
          <w:pgSz w:w="11910" w:h="16840"/>
          <w:pgMar w:top="1216" w:right="1715" w:bottom="983" w:left="1675" w:header="877" w:footer="785" w:gutter="0"/>
        </w:sectPr>
        <w:rPr>
          <w:rFonts w:ascii="SimSun" w:hAnsi="SimSun" w:eastAsia="SimSun" w:cs="SimSun"/>
          <w:sz w:val="22"/>
          <w:szCs w:val="22"/>
        </w:rPr>
      </w:pPr>
    </w:p>
    <w:p>
      <w:pPr>
        <w:ind w:left="565"/>
        <w:spacing w:before="278" w:line="219" w:lineRule="auto"/>
        <w:rPr>
          <w:rFonts w:ascii="SimSun" w:hAnsi="SimSun" w:eastAsia="SimSun" w:cs="SimSun"/>
          <w:sz w:val="23"/>
          <w:szCs w:val="23"/>
        </w:rPr>
      </w:pPr>
      <w:r>
        <w:rPr>
          <w:rFonts w:ascii="SimSun" w:hAnsi="SimSun" w:eastAsia="SimSun" w:cs="SimSun"/>
          <w:sz w:val="23"/>
          <w:szCs w:val="23"/>
          <w:spacing w:val="9"/>
        </w:rPr>
        <w:t>本项目在厂房四周定期喷洒微生物除臭剂，根据《自然科学》现代化农</w:t>
      </w:r>
    </w:p>
    <w:p>
      <w:pPr>
        <w:ind w:left="84" w:right="241"/>
        <w:spacing w:before="198" w:line="368" w:lineRule="auto"/>
        <w:rPr>
          <w:rFonts w:ascii="SimSun" w:hAnsi="SimSun" w:eastAsia="SimSun" w:cs="SimSun"/>
          <w:sz w:val="23"/>
          <w:szCs w:val="23"/>
        </w:rPr>
      </w:pPr>
      <w:r>
        <w:rPr>
          <w:rFonts w:ascii="SimSun" w:hAnsi="SimSun" w:eastAsia="SimSun" w:cs="SimSun"/>
          <w:sz w:val="23"/>
          <w:szCs w:val="23"/>
          <w:spacing w:val="25"/>
        </w:rPr>
        <w:t>业，2011年第6期(总第383期)“微生物除臭剂研究进展”(赵晓锋、隋文</w:t>
      </w:r>
      <w:r>
        <w:rPr>
          <w:rFonts w:ascii="SimSun" w:hAnsi="SimSun" w:eastAsia="SimSun" w:cs="SimSun"/>
          <w:sz w:val="23"/>
          <w:szCs w:val="23"/>
          <w:spacing w:val="12"/>
        </w:rPr>
        <w:t xml:space="preserve"> </w:t>
      </w:r>
      <w:r>
        <w:rPr>
          <w:rFonts w:ascii="SimSun" w:hAnsi="SimSun" w:eastAsia="SimSun" w:cs="SimSun"/>
          <w:sz w:val="23"/>
          <w:szCs w:val="23"/>
          <w:spacing w:val="13"/>
        </w:rPr>
        <w:t>志)的资料，经国家环境分析测试中心和陕西环境监测中心测试养殖场生物除</w:t>
      </w:r>
      <w:r>
        <w:rPr>
          <w:rFonts w:ascii="SimSun" w:hAnsi="SimSun" w:eastAsia="SimSun" w:cs="SimSun"/>
          <w:sz w:val="23"/>
          <w:szCs w:val="23"/>
          <w:spacing w:val="3"/>
        </w:rPr>
        <w:t xml:space="preserve"> </w:t>
      </w:r>
      <w:r>
        <w:rPr>
          <w:rFonts w:ascii="SimSun" w:hAnsi="SimSun" w:eastAsia="SimSun" w:cs="SimSun"/>
          <w:sz w:val="23"/>
          <w:szCs w:val="23"/>
          <w:spacing w:val="19"/>
        </w:rPr>
        <w:t>臭剂(大力克、万洁芬等)对</w:t>
      </w:r>
      <w:r>
        <w:rPr>
          <w:rFonts w:ascii="SimSun" w:hAnsi="SimSun" w:eastAsia="SimSun" w:cs="SimSun"/>
          <w:sz w:val="23"/>
          <w:szCs w:val="23"/>
        </w:rPr>
        <w:t>NH</w:t>
      </w:r>
      <w:r>
        <w:rPr>
          <w:rFonts w:ascii="Calibri" w:hAnsi="Calibri" w:eastAsia="Calibri" w:cs="Calibri"/>
          <w:sz w:val="23"/>
          <w:szCs w:val="23"/>
          <w:spacing w:val="19"/>
        </w:rPr>
        <w:t>₃   </w:t>
      </w:r>
      <w:r>
        <w:rPr>
          <w:rFonts w:ascii="SimSun" w:hAnsi="SimSun" w:eastAsia="SimSun" w:cs="SimSun"/>
          <w:sz w:val="23"/>
          <w:szCs w:val="23"/>
          <w:spacing w:val="19"/>
        </w:rPr>
        <w:t>和</w:t>
      </w:r>
      <w:r>
        <w:rPr>
          <w:rFonts w:ascii="SimSun" w:hAnsi="SimSun" w:eastAsia="SimSun" w:cs="SimSun"/>
          <w:sz w:val="23"/>
          <w:szCs w:val="23"/>
          <w:spacing w:val="-40"/>
        </w:rPr>
        <w:t xml:space="preserve"> </w:t>
      </w:r>
      <w:r>
        <w:rPr>
          <w:rFonts w:ascii="SimSun" w:hAnsi="SimSun" w:eastAsia="SimSun" w:cs="SimSun"/>
          <w:sz w:val="23"/>
          <w:szCs w:val="23"/>
          <w:spacing w:val="19"/>
        </w:rPr>
        <w:t>H</w:t>
      </w:r>
      <w:r>
        <w:rPr>
          <w:rFonts w:ascii="Calibri" w:hAnsi="Calibri" w:eastAsia="Calibri" w:cs="Calibri"/>
          <w:sz w:val="23"/>
          <w:szCs w:val="23"/>
          <w:spacing w:val="19"/>
        </w:rPr>
        <w:t>₂</w:t>
      </w:r>
      <w:r>
        <w:rPr>
          <w:rFonts w:ascii="SimSun" w:hAnsi="SimSun" w:eastAsia="SimSun" w:cs="SimSun"/>
          <w:sz w:val="23"/>
          <w:szCs w:val="23"/>
          <w:spacing w:val="19"/>
        </w:rPr>
        <w:t>S 的去除效率分别为92.6%和89%。本</w:t>
      </w:r>
      <w:r>
        <w:rPr>
          <w:rFonts w:ascii="SimSun" w:hAnsi="SimSun" w:eastAsia="SimSun" w:cs="SimSun"/>
          <w:sz w:val="23"/>
          <w:szCs w:val="23"/>
        </w:rPr>
        <w:t xml:space="preserve"> </w:t>
      </w:r>
      <w:r>
        <w:rPr>
          <w:rFonts w:ascii="SimSun" w:hAnsi="SimSun" w:eastAsia="SimSun" w:cs="SimSun"/>
          <w:sz w:val="23"/>
          <w:szCs w:val="23"/>
          <w:spacing w:val="12"/>
        </w:rPr>
        <w:t>项目喷洒微生物除臭剂对</w:t>
      </w:r>
      <w:r>
        <w:rPr>
          <w:rFonts w:ascii="Times New Roman" w:hAnsi="Times New Roman" w:eastAsia="Times New Roman" w:cs="Times New Roman"/>
          <w:sz w:val="23"/>
          <w:szCs w:val="23"/>
        </w:rPr>
        <w:t>NH</w:t>
      </w:r>
      <w:r>
        <w:rPr>
          <w:rFonts w:ascii="Times New Roman" w:hAnsi="Times New Roman" w:eastAsia="Times New Roman" w:cs="Times New Roman"/>
          <w:sz w:val="23"/>
          <w:szCs w:val="23"/>
          <w:spacing w:val="12"/>
        </w:rPr>
        <w:t>₃</w:t>
      </w:r>
      <w:r>
        <w:rPr>
          <w:rFonts w:ascii="Times New Roman" w:hAnsi="Times New Roman" w:eastAsia="Times New Roman" w:cs="Times New Roman"/>
          <w:sz w:val="23"/>
          <w:szCs w:val="23"/>
          <w:spacing w:val="30"/>
        </w:rPr>
        <w:t xml:space="preserve"> </w:t>
      </w:r>
      <w:r>
        <w:rPr>
          <w:rFonts w:ascii="SimSun" w:hAnsi="SimSun" w:eastAsia="SimSun" w:cs="SimSun"/>
          <w:sz w:val="23"/>
          <w:szCs w:val="23"/>
          <w:spacing w:val="12"/>
        </w:rPr>
        <w:t>和</w:t>
      </w:r>
      <w:r>
        <w:rPr>
          <w:rFonts w:ascii="SimSun" w:hAnsi="SimSun" w:eastAsia="SimSun" w:cs="SimSun"/>
          <w:sz w:val="23"/>
          <w:szCs w:val="23"/>
          <w:spacing w:val="-45"/>
        </w:rPr>
        <w:t xml:space="preserve"> </w:t>
      </w:r>
      <w:r>
        <w:rPr>
          <w:rFonts w:ascii="Times New Roman" w:hAnsi="Times New Roman" w:eastAsia="Times New Roman" w:cs="Times New Roman"/>
          <w:sz w:val="23"/>
          <w:szCs w:val="23"/>
          <w:spacing w:val="12"/>
        </w:rPr>
        <w:t>H₂S</w:t>
      </w:r>
      <w:r>
        <w:rPr>
          <w:rFonts w:ascii="Times New Roman" w:hAnsi="Times New Roman" w:eastAsia="Times New Roman" w:cs="Times New Roman"/>
          <w:sz w:val="23"/>
          <w:szCs w:val="23"/>
          <w:spacing w:val="24"/>
        </w:rPr>
        <w:t xml:space="preserve"> </w:t>
      </w:r>
      <w:r>
        <w:rPr>
          <w:rFonts w:ascii="SimSun" w:hAnsi="SimSun" w:eastAsia="SimSun" w:cs="SimSun"/>
          <w:sz w:val="23"/>
          <w:szCs w:val="23"/>
          <w:spacing w:val="12"/>
        </w:rPr>
        <w:t>的去除效率保守取50%。</w:t>
      </w:r>
    </w:p>
    <w:p>
      <w:pPr>
        <w:ind w:left="568"/>
        <w:spacing w:line="217" w:lineRule="auto"/>
        <w:rPr>
          <w:rFonts w:ascii="SimSun" w:hAnsi="SimSun" w:eastAsia="SimSun" w:cs="SimSun"/>
          <w:sz w:val="23"/>
          <w:szCs w:val="23"/>
        </w:rPr>
      </w:pPr>
      <w:r>
        <w:rPr>
          <w:rFonts w:ascii="SimSun" w:hAnsi="SimSun" w:eastAsia="SimSun" w:cs="SimSun"/>
          <w:sz w:val="23"/>
          <w:szCs w:val="23"/>
          <w:b/>
          <w:bCs/>
          <w:spacing w:val="10"/>
        </w:rPr>
        <w:t>③排放情况</w:t>
      </w:r>
    </w:p>
    <w:p>
      <w:pPr>
        <w:ind w:left="84" w:right="244" w:firstLine="480"/>
        <w:spacing w:before="223" w:line="380" w:lineRule="auto"/>
        <w:rPr>
          <w:rFonts w:ascii="SimSun" w:hAnsi="SimSun" w:eastAsia="SimSun" w:cs="SimSun"/>
          <w:sz w:val="23"/>
          <w:szCs w:val="23"/>
        </w:rPr>
      </w:pPr>
      <w:r>
        <w:rPr>
          <w:rFonts w:ascii="SimSun" w:hAnsi="SimSun" w:eastAsia="SimSun" w:cs="SimSun"/>
          <w:sz w:val="23"/>
          <w:szCs w:val="23"/>
          <w:spacing w:val="11"/>
        </w:rPr>
        <w:t>生猪待宰圈舍、屠宰车间恶臭采取密闭框架</w:t>
      </w:r>
      <w:r>
        <w:rPr>
          <w:rFonts w:ascii="SimSun" w:hAnsi="SimSun" w:eastAsia="SimSun" w:cs="SimSun"/>
          <w:sz w:val="23"/>
          <w:szCs w:val="23"/>
          <w:spacing w:val="10"/>
        </w:rPr>
        <w:t>结构厂房，设置两道门及负压</w:t>
      </w:r>
      <w:r>
        <w:rPr>
          <w:rFonts w:ascii="SimSun" w:hAnsi="SimSun" w:eastAsia="SimSun" w:cs="SimSun"/>
          <w:sz w:val="23"/>
          <w:szCs w:val="23"/>
        </w:rPr>
        <w:t xml:space="preserve"> </w:t>
      </w:r>
      <w:r>
        <w:rPr>
          <w:rFonts w:ascii="SimSun" w:hAnsi="SimSun" w:eastAsia="SimSun" w:cs="SimSun"/>
          <w:sz w:val="23"/>
          <w:szCs w:val="23"/>
          <w:spacing w:val="10"/>
        </w:rPr>
        <w:t>抽风，经负压集中收集处理后，生猪待宰圈舍</w:t>
      </w:r>
      <w:r>
        <w:rPr>
          <w:rFonts w:ascii="Times New Roman" w:hAnsi="Times New Roman" w:eastAsia="Times New Roman" w:cs="Times New Roman"/>
          <w:sz w:val="23"/>
          <w:szCs w:val="23"/>
        </w:rPr>
        <w:t>DA</w:t>
      </w:r>
      <w:r>
        <w:rPr>
          <w:rFonts w:ascii="Times New Roman" w:hAnsi="Times New Roman" w:eastAsia="Times New Roman" w:cs="Times New Roman"/>
          <w:sz w:val="23"/>
          <w:szCs w:val="23"/>
          <w:spacing w:val="10"/>
        </w:rPr>
        <w:t>001</w:t>
      </w:r>
      <w:r>
        <w:rPr>
          <w:rFonts w:ascii="SimSun" w:hAnsi="SimSun" w:eastAsia="SimSun" w:cs="SimSun"/>
          <w:sz w:val="23"/>
          <w:szCs w:val="23"/>
          <w:spacing w:val="10"/>
        </w:rPr>
        <w:t>中</w:t>
      </w:r>
      <w:r>
        <w:rPr>
          <w:rFonts w:ascii="Times New Roman" w:hAnsi="Times New Roman" w:eastAsia="Times New Roman" w:cs="Times New Roman"/>
          <w:sz w:val="23"/>
          <w:szCs w:val="23"/>
        </w:rPr>
        <w:t>NH</w:t>
      </w:r>
      <w:r>
        <w:rPr>
          <w:rFonts w:ascii="Times New Roman" w:hAnsi="Times New Roman" w:eastAsia="Times New Roman" w:cs="Times New Roman"/>
          <w:sz w:val="23"/>
          <w:szCs w:val="23"/>
          <w:spacing w:val="10"/>
        </w:rPr>
        <w:t>₃</w:t>
      </w:r>
      <w:r>
        <w:rPr>
          <w:rFonts w:ascii="SimSun" w:hAnsi="SimSun" w:eastAsia="SimSun" w:cs="SimSun"/>
          <w:sz w:val="23"/>
          <w:szCs w:val="23"/>
          <w:spacing w:val="10"/>
        </w:rPr>
        <w:t>有组织排放量为</w:t>
      </w:r>
    </w:p>
    <w:p>
      <w:pPr>
        <w:ind w:left="84" w:right="315"/>
        <w:spacing w:line="359" w:lineRule="auto"/>
        <w:rPr>
          <w:rFonts w:ascii="SimSun" w:hAnsi="SimSun" w:eastAsia="SimSun" w:cs="SimSun"/>
          <w:sz w:val="23"/>
          <w:szCs w:val="23"/>
        </w:rPr>
      </w:pPr>
      <w:r>
        <w:rPr>
          <w:rFonts w:ascii="Times New Roman" w:hAnsi="Times New Roman" w:eastAsia="Times New Roman" w:cs="Times New Roman"/>
          <w:sz w:val="23"/>
          <w:szCs w:val="23"/>
          <w:spacing w:val="4"/>
        </w:rPr>
        <w:t>0.0302t/a,H₂S    </w:t>
      </w:r>
      <w:r>
        <w:rPr>
          <w:rFonts w:ascii="SimSun" w:hAnsi="SimSun" w:eastAsia="SimSun" w:cs="SimSun"/>
          <w:sz w:val="23"/>
          <w:szCs w:val="23"/>
          <w:spacing w:val="4"/>
        </w:rPr>
        <w:t>有组织排放量为0.0112</w:t>
      </w:r>
      <w:r>
        <w:rPr>
          <w:rFonts w:ascii="Times New Roman" w:hAnsi="Times New Roman" w:eastAsia="Times New Roman" w:cs="Times New Roman"/>
          <w:sz w:val="23"/>
          <w:szCs w:val="23"/>
          <w:spacing w:val="4"/>
        </w:rPr>
        <w:t>t/a;   </w:t>
      </w:r>
      <w:r>
        <w:rPr>
          <w:rFonts w:ascii="SimSun" w:hAnsi="SimSun" w:eastAsia="SimSun" w:cs="SimSun"/>
          <w:sz w:val="23"/>
          <w:szCs w:val="23"/>
          <w:spacing w:val="4"/>
        </w:rPr>
        <w:t>屠宰车间</w:t>
      </w:r>
      <w:r>
        <w:rPr>
          <w:rFonts w:ascii="Times New Roman" w:hAnsi="Times New Roman" w:eastAsia="Times New Roman" w:cs="Times New Roman"/>
          <w:sz w:val="23"/>
          <w:szCs w:val="23"/>
        </w:rPr>
        <w:t>DA</w:t>
      </w:r>
      <w:r>
        <w:rPr>
          <w:rFonts w:ascii="Times New Roman" w:hAnsi="Times New Roman" w:eastAsia="Times New Roman" w:cs="Times New Roman"/>
          <w:sz w:val="23"/>
          <w:szCs w:val="23"/>
          <w:spacing w:val="4"/>
        </w:rPr>
        <w:t>002</w:t>
      </w:r>
      <w:r>
        <w:rPr>
          <w:rFonts w:ascii="SimSun" w:hAnsi="SimSun" w:eastAsia="SimSun" w:cs="SimSun"/>
          <w:sz w:val="23"/>
          <w:szCs w:val="23"/>
          <w:spacing w:val="4"/>
        </w:rPr>
        <w:t>中</w:t>
      </w:r>
      <w:r>
        <w:rPr>
          <w:rFonts w:ascii="Times New Roman" w:hAnsi="Times New Roman" w:eastAsia="Times New Roman" w:cs="Times New Roman"/>
          <w:sz w:val="23"/>
          <w:szCs w:val="23"/>
        </w:rPr>
        <w:t>NH</w:t>
      </w:r>
      <w:r>
        <w:rPr>
          <w:rFonts w:ascii="Times New Roman" w:hAnsi="Times New Roman" w:eastAsia="Times New Roman" w:cs="Times New Roman"/>
          <w:sz w:val="23"/>
          <w:szCs w:val="23"/>
          <w:spacing w:val="4"/>
        </w:rPr>
        <w:t>₃</w:t>
      </w:r>
      <w:r>
        <w:rPr>
          <w:rFonts w:ascii="SimSun" w:hAnsi="SimSun" w:eastAsia="SimSun" w:cs="SimSun"/>
          <w:sz w:val="23"/>
          <w:szCs w:val="23"/>
          <w:spacing w:val="4"/>
        </w:rPr>
        <w:t>有组织排放量</w:t>
      </w:r>
      <w:r>
        <w:rPr>
          <w:rFonts w:ascii="SimSun" w:hAnsi="SimSun" w:eastAsia="SimSun" w:cs="SimSun"/>
          <w:sz w:val="23"/>
          <w:szCs w:val="23"/>
          <w:spacing w:val="12"/>
        </w:rPr>
        <w:t xml:space="preserve"> </w:t>
      </w:r>
      <w:r>
        <w:rPr>
          <w:rFonts w:ascii="SimSun" w:hAnsi="SimSun" w:eastAsia="SimSun" w:cs="SimSun"/>
          <w:sz w:val="23"/>
          <w:szCs w:val="23"/>
          <w:spacing w:val="-3"/>
        </w:rPr>
        <w:t>为0.0102t/a,H</w:t>
      </w:r>
      <w:r>
        <w:rPr>
          <w:rFonts w:ascii="Calibri" w:hAnsi="Calibri" w:eastAsia="Calibri" w:cs="Calibri"/>
          <w:sz w:val="23"/>
          <w:szCs w:val="23"/>
          <w:spacing w:val="-3"/>
        </w:rPr>
        <w:t>₂</w:t>
      </w:r>
      <w:r>
        <w:rPr>
          <w:rFonts w:ascii="SimSun" w:hAnsi="SimSun" w:eastAsia="SimSun" w:cs="SimSun"/>
          <w:sz w:val="23"/>
          <w:szCs w:val="23"/>
          <w:spacing w:val="-3"/>
        </w:rPr>
        <w:t>S 有组织排放量为0.0028t/a。</w:t>
      </w:r>
    </w:p>
    <w:p>
      <w:pPr>
        <w:ind w:left="84" w:right="204" w:firstLine="480"/>
        <w:spacing w:before="18" w:line="369" w:lineRule="auto"/>
        <w:jc w:val="both"/>
        <w:rPr>
          <w:rFonts w:ascii="SimSun" w:hAnsi="SimSun" w:eastAsia="SimSun" w:cs="SimSun"/>
          <w:sz w:val="23"/>
          <w:szCs w:val="23"/>
        </w:rPr>
      </w:pPr>
      <w:r>
        <w:rPr>
          <w:rFonts w:ascii="SimSun" w:hAnsi="SimSun" w:eastAsia="SimSun" w:cs="SimSun"/>
          <w:sz w:val="23"/>
          <w:szCs w:val="23"/>
          <w:spacing w:val="11"/>
        </w:rPr>
        <w:t>经采取以上措施后，本项目生猪待宰圈舍、屠宰车间恶臭有5%未收集，生</w:t>
      </w:r>
      <w:r>
        <w:rPr>
          <w:rFonts w:ascii="SimSun" w:hAnsi="SimSun" w:eastAsia="SimSun" w:cs="SimSun"/>
          <w:sz w:val="23"/>
          <w:szCs w:val="23"/>
          <w:spacing w:val="16"/>
        </w:rPr>
        <w:t xml:space="preserve"> </w:t>
      </w:r>
      <w:r>
        <w:rPr>
          <w:rFonts w:ascii="SimSun" w:hAnsi="SimSun" w:eastAsia="SimSun" w:cs="SimSun"/>
          <w:sz w:val="23"/>
          <w:szCs w:val="23"/>
          <w:spacing w:val="10"/>
        </w:rPr>
        <w:t>猪待宰圈舍、屠宰车间为密闭厂房且定期喷洒微</w:t>
      </w:r>
      <w:r>
        <w:rPr>
          <w:rFonts w:ascii="SimSun" w:hAnsi="SimSun" w:eastAsia="SimSun" w:cs="SimSun"/>
          <w:sz w:val="23"/>
          <w:szCs w:val="23"/>
          <w:spacing w:val="9"/>
        </w:rPr>
        <w:t>生物除臭剂，喷洒微生物除臭</w:t>
      </w:r>
      <w:r>
        <w:rPr>
          <w:rFonts w:ascii="SimSun" w:hAnsi="SimSun" w:eastAsia="SimSun" w:cs="SimSun"/>
          <w:sz w:val="23"/>
          <w:szCs w:val="23"/>
        </w:rPr>
        <w:t xml:space="preserve"> </w:t>
      </w:r>
      <w:r>
        <w:rPr>
          <w:rFonts w:ascii="SimSun" w:hAnsi="SimSun" w:eastAsia="SimSun" w:cs="SimSun"/>
          <w:sz w:val="23"/>
          <w:szCs w:val="23"/>
          <w:spacing w:val="11"/>
        </w:rPr>
        <w:t>剂对</w:t>
      </w:r>
      <w:r>
        <w:rPr>
          <w:rFonts w:ascii="Times New Roman" w:hAnsi="Times New Roman" w:eastAsia="Times New Roman" w:cs="Times New Roman"/>
          <w:sz w:val="23"/>
          <w:szCs w:val="23"/>
        </w:rPr>
        <w:t>NH</w:t>
      </w:r>
      <w:r>
        <w:rPr>
          <w:rFonts w:ascii="Times New Roman" w:hAnsi="Times New Roman" w:eastAsia="Times New Roman" w:cs="Times New Roman"/>
          <w:sz w:val="23"/>
          <w:szCs w:val="23"/>
          <w:spacing w:val="11"/>
        </w:rPr>
        <w:t>₃</w:t>
      </w:r>
      <w:r>
        <w:rPr>
          <w:rFonts w:ascii="SimSun" w:hAnsi="SimSun" w:eastAsia="SimSun" w:cs="SimSun"/>
          <w:sz w:val="23"/>
          <w:szCs w:val="23"/>
          <w:spacing w:val="11"/>
        </w:rPr>
        <w:t>和</w:t>
      </w:r>
      <w:r>
        <w:rPr>
          <w:rFonts w:ascii="Times New Roman" w:hAnsi="Times New Roman" w:eastAsia="Times New Roman" w:cs="Times New Roman"/>
          <w:sz w:val="23"/>
          <w:szCs w:val="23"/>
          <w:spacing w:val="11"/>
        </w:rPr>
        <w:t>H₂S</w:t>
      </w:r>
      <w:r>
        <w:rPr>
          <w:rFonts w:ascii="SimSun" w:hAnsi="SimSun" w:eastAsia="SimSun" w:cs="SimSun"/>
          <w:sz w:val="23"/>
          <w:szCs w:val="23"/>
          <w:spacing w:val="11"/>
        </w:rPr>
        <w:t>的去除效率保守取50%计，生猪待宰圈舍、屠宰车间恶臭产生及</w:t>
      </w:r>
      <w:r>
        <w:rPr>
          <w:rFonts w:ascii="SimSun" w:hAnsi="SimSun" w:eastAsia="SimSun" w:cs="SimSun"/>
          <w:sz w:val="23"/>
          <w:szCs w:val="23"/>
          <w:spacing w:val="6"/>
        </w:rPr>
        <w:t xml:space="preserve"> </w:t>
      </w:r>
      <w:r>
        <w:rPr>
          <w:rFonts w:ascii="SimSun" w:hAnsi="SimSun" w:eastAsia="SimSun" w:cs="SimSun"/>
          <w:sz w:val="23"/>
          <w:szCs w:val="23"/>
          <w:spacing w:val="8"/>
        </w:rPr>
        <w:t>排放情况见下表。</w:t>
      </w:r>
    </w:p>
    <w:p>
      <w:pPr>
        <w:ind w:left="988"/>
        <w:spacing w:before="1" w:line="219" w:lineRule="auto"/>
        <w:rPr>
          <w:rFonts w:ascii="SimSun" w:hAnsi="SimSun" w:eastAsia="SimSun" w:cs="SimSun"/>
          <w:sz w:val="24"/>
          <w:szCs w:val="24"/>
        </w:rPr>
      </w:pPr>
      <w:r>
        <w:rPr>
          <w:rFonts w:ascii="SimSun" w:hAnsi="SimSun" w:eastAsia="SimSun" w:cs="SimSun"/>
          <w:sz w:val="24"/>
          <w:szCs w:val="24"/>
          <w:b/>
          <w:bCs/>
          <w:spacing w:val="-3"/>
        </w:rPr>
        <w:t>表3.11-16生猪待宰圈舍、屠宰车间恶臭产生及排放情况一览表</w:t>
      </w:r>
    </w:p>
    <w:p>
      <w:pPr>
        <w:spacing w:line="141" w:lineRule="auto"/>
        <w:rPr>
          <w:rFonts w:ascii="Arial"/>
          <w:sz w:val="2"/>
        </w:rPr>
      </w:pPr>
      <w:r>
        <w:rPr>
          <w:rFonts w:ascii="Arial"/>
          <w:sz w:val="2"/>
        </w:rPr>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459"/>
        <w:gridCol w:w="470"/>
        <w:gridCol w:w="709"/>
        <w:gridCol w:w="609"/>
        <w:gridCol w:w="1378"/>
        <w:gridCol w:w="959"/>
        <w:gridCol w:w="1059"/>
        <w:gridCol w:w="1149"/>
        <w:gridCol w:w="679"/>
        <w:gridCol w:w="574"/>
      </w:tblGrid>
      <w:tr>
        <w:trPr>
          <w:trHeight w:val="534" w:hRule="atLeast"/>
        </w:trPr>
        <w:tc>
          <w:tcPr>
            <w:shd w:val="clear" w:fill="BDBDBD"/>
            <w:tcW w:w="454" w:type="dxa"/>
            <w:vAlign w:val="top"/>
          </w:tcPr>
          <w:p>
            <w:pPr>
              <w:pStyle w:val="TableText"/>
              <w:ind w:left="97" w:right="15" w:hanging="79"/>
              <w:spacing w:before="12" w:line="225" w:lineRule="auto"/>
              <w:rPr>
                <w:sz w:val="21"/>
                <w:szCs w:val="21"/>
              </w:rPr>
            </w:pPr>
            <w:r>
              <w:rPr>
                <w:sz w:val="21"/>
                <w:szCs w:val="21"/>
                <w:b/>
                <w:bCs/>
                <w:spacing w:val="-8"/>
              </w:rPr>
              <w:t>污染</w:t>
            </w:r>
            <w:r>
              <w:rPr>
                <w:sz w:val="21"/>
                <w:szCs w:val="21"/>
              </w:rPr>
              <w:t xml:space="preserve"> </w:t>
            </w:r>
            <w:r>
              <w:rPr>
                <w:sz w:val="21"/>
                <w:szCs w:val="21"/>
                <w:b/>
                <w:bCs/>
                <w:spacing w:val="-3"/>
              </w:rPr>
              <w:t>源</w:t>
            </w:r>
          </w:p>
        </w:tc>
        <w:tc>
          <w:tcPr>
            <w:shd w:val="clear" w:fill="BEBEBE"/>
            <w:tcW w:w="459" w:type="dxa"/>
            <w:vAlign w:val="top"/>
          </w:tcPr>
          <w:p>
            <w:pPr>
              <w:pStyle w:val="TableText"/>
              <w:ind w:left="13"/>
              <w:spacing w:before="161" w:line="220" w:lineRule="auto"/>
              <w:rPr>
                <w:sz w:val="21"/>
                <w:szCs w:val="21"/>
              </w:rPr>
            </w:pPr>
            <w:r>
              <w:rPr>
                <w:sz w:val="21"/>
                <w:szCs w:val="21"/>
                <w:b/>
                <w:bCs/>
                <w:spacing w:val="1"/>
              </w:rPr>
              <w:t>时期</w:t>
            </w:r>
          </w:p>
        </w:tc>
        <w:tc>
          <w:tcPr>
            <w:shd w:val="clear" w:fill="BDBDBD"/>
            <w:tcW w:w="470" w:type="dxa"/>
            <w:vAlign w:val="top"/>
          </w:tcPr>
          <w:p>
            <w:pPr>
              <w:pStyle w:val="TableText"/>
              <w:ind w:left="124" w:right="34" w:hanging="110"/>
              <w:spacing w:before="21" w:line="221" w:lineRule="auto"/>
              <w:rPr>
                <w:sz w:val="21"/>
                <w:szCs w:val="21"/>
              </w:rPr>
            </w:pPr>
            <w:r>
              <w:rPr>
                <w:sz w:val="21"/>
                <w:szCs w:val="21"/>
                <w:b/>
                <w:bCs/>
                <w:spacing w:val="-8"/>
              </w:rPr>
              <w:t>污染</w:t>
            </w:r>
            <w:r>
              <w:rPr>
                <w:sz w:val="21"/>
                <w:szCs w:val="21"/>
              </w:rPr>
              <w:t xml:space="preserve"> </w:t>
            </w:r>
            <w:r>
              <w:rPr>
                <w:sz w:val="21"/>
                <w:szCs w:val="21"/>
                <w:b/>
                <w:bCs/>
                <w:spacing w:val="-3"/>
              </w:rPr>
              <w:t>物</w:t>
            </w:r>
          </w:p>
        </w:tc>
        <w:tc>
          <w:tcPr>
            <w:shd w:val="clear" w:fill="BDBDBD"/>
            <w:tcW w:w="709" w:type="dxa"/>
            <w:vAlign w:val="top"/>
          </w:tcPr>
          <w:p>
            <w:pPr>
              <w:pStyle w:val="TableText"/>
              <w:ind w:left="15" w:right="42" w:firstLine="20"/>
              <w:spacing w:before="29" w:line="201" w:lineRule="auto"/>
              <w:rPr>
                <w:sz w:val="21"/>
                <w:szCs w:val="21"/>
              </w:rPr>
            </w:pPr>
            <w:r>
              <w:rPr>
                <w:sz w:val="21"/>
                <w:szCs w:val="21"/>
                <w:b/>
                <w:bCs/>
                <w:spacing w:val="-5"/>
              </w:rPr>
              <w:t>产生速</w:t>
            </w:r>
            <w:r>
              <w:rPr>
                <w:sz w:val="21"/>
                <w:szCs w:val="21"/>
              </w:rPr>
              <w:t xml:space="preserve"> </w:t>
            </w:r>
            <w:r>
              <w:rPr>
                <w:sz w:val="21"/>
                <w:szCs w:val="21"/>
                <w:b/>
                <w:bCs/>
                <w:spacing w:val="-4"/>
              </w:rPr>
              <w:t>率kg/h</w:t>
            </w:r>
          </w:p>
        </w:tc>
        <w:tc>
          <w:tcPr>
            <w:shd w:val="clear" w:fill="BDBDBD"/>
            <w:tcW w:w="609" w:type="dxa"/>
            <w:vAlign w:val="top"/>
          </w:tcPr>
          <w:p>
            <w:pPr>
              <w:pStyle w:val="TableText"/>
              <w:ind w:left="35" w:right="46" w:firstLine="50"/>
              <w:spacing w:before="21" w:line="221" w:lineRule="auto"/>
              <w:rPr>
                <w:sz w:val="21"/>
                <w:szCs w:val="21"/>
              </w:rPr>
            </w:pPr>
            <w:r>
              <w:rPr>
                <w:sz w:val="21"/>
                <w:szCs w:val="21"/>
                <w:b/>
                <w:bCs/>
                <w:spacing w:val="-7"/>
              </w:rPr>
              <w:t>产生</w:t>
            </w:r>
            <w:r>
              <w:rPr>
                <w:sz w:val="21"/>
                <w:szCs w:val="21"/>
              </w:rPr>
              <w:t xml:space="preserve"> </w:t>
            </w:r>
            <w:r>
              <w:rPr>
                <w:sz w:val="21"/>
                <w:szCs w:val="21"/>
                <w:b/>
                <w:bCs/>
                <w:spacing w:val="-5"/>
              </w:rPr>
              <w:t>量t/a</w:t>
            </w:r>
          </w:p>
        </w:tc>
        <w:tc>
          <w:tcPr>
            <w:shd w:val="clear" w:fill="BDBDBD"/>
            <w:tcW w:w="2337" w:type="dxa"/>
            <w:vAlign w:val="top"/>
            <w:gridSpan w:val="2"/>
          </w:tcPr>
          <w:p>
            <w:pPr>
              <w:pStyle w:val="TableText"/>
              <w:ind w:left="726"/>
              <w:spacing w:before="159" w:line="219" w:lineRule="auto"/>
              <w:rPr>
                <w:sz w:val="21"/>
                <w:szCs w:val="21"/>
              </w:rPr>
            </w:pPr>
            <w:r>
              <w:rPr>
                <w:sz w:val="21"/>
                <w:szCs w:val="21"/>
                <w:b/>
                <w:bCs/>
                <w:spacing w:val="-4"/>
              </w:rPr>
              <w:t>采取措施</w:t>
            </w:r>
          </w:p>
        </w:tc>
        <w:tc>
          <w:tcPr>
            <w:shd w:val="clear" w:fill="BDBDBD"/>
            <w:tcW w:w="1059" w:type="dxa"/>
            <w:vAlign w:val="top"/>
          </w:tcPr>
          <w:p>
            <w:pPr>
              <w:pStyle w:val="TableText"/>
              <w:spacing w:before="30" w:line="193" w:lineRule="auto"/>
              <w:jc w:val="right"/>
              <w:rPr>
                <w:sz w:val="21"/>
                <w:szCs w:val="21"/>
              </w:rPr>
            </w:pPr>
            <w:r>
              <w:rPr>
                <w:sz w:val="21"/>
                <w:szCs w:val="21"/>
                <w:b/>
                <w:bCs/>
                <w:spacing w:val="-7"/>
              </w:rPr>
              <w:t>臭气收集效</w:t>
            </w:r>
          </w:p>
          <w:p>
            <w:pPr>
              <w:pStyle w:val="TableText"/>
              <w:ind w:left="259"/>
              <w:spacing w:line="219" w:lineRule="auto"/>
              <w:rPr>
                <w:sz w:val="21"/>
                <w:szCs w:val="21"/>
              </w:rPr>
            </w:pPr>
            <w:r>
              <w:rPr>
                <w:sz w:val="21"/>
                <w:szCs w:val="21"/>
                <w:b/>
                <w:bCs/>
                <w:spacing w:val="9"/>
              </w:rPr>
              <w:t>率(%)</w:t>
            </w:r>
          </w:p>
        </w:tc>
        <w:tc>
          <w:tcPr>
            <w:shd w:val="clear" w:fill="BDBDBD"/>
            <w:tcW w:w="1149" w:type="dxa"/>
            <w:vAlign w:val="top"/>
          </w:tcPr>
          <w:p>
            <w:pPr>
              <w:pStyle w:val="TableText"/>
              <w:ind w:left="50"/>
              <w:spacing w:before="40" w:line="219" w:lineRule="auto"/>
              <w:rPr>
                <w:sz w:val="21"/>
                <w:szCs w:val="21"/>
              </w:rPr>
            </w:pPr>
            <w:r>
              <w:rPr>
                <w:sz w:val="21"/>
                <w:szCs w:val="21"/>
                <w:b/>
                <w:bCs/>
                <w:spacing w:val="-4"/>
              </w:rPr>
              <w:t>臭气去除效</w:t>
            </w:r>
          </w:p>
          <w:p>
            <w:pPr>
              <w:pStyle w:val="TableText"/>
              <w:ind w:left="310"/>
              <w:spacing w:line="205" w:lineRule="auto"/>
              <w:rPr>
                <w:sz w:val="21"/>
                <w:szCs w:val="21"/>
              </w:rPr>
            </w:pPr>
            <w:r>
              <w:rPr>
                <w:sz w:val="21"/>
                <w:szCs w:val="21"/>
                <w:b/>
                <w:bCs/>
                <w:spacing w:val="6"/>
              </w:rPr>
              <w:t>率(%)</w:t>
            </w:r>
          </w:p>
        </w:tc>
        <w:tc>
          <w:tcPr>
            <w:shd w:val="clear" w:fill="BEBEBE"/>
            <w:tcW w:w="679" w:type="dxa"/>
            <w:vAlign w:val="top"/>
          </w:tcPr>
          <w:p>
            <w:pPr>
              <w:pStyle w:val="TableText"/>
              <w:ind w:left="21" w:right="25"/>
              <w:spacing w:before="31" w:line="200" w:lineRule="auto"/>
              <w:rPr>
                <w:sz w:val="21"/>
                <w:szCs w:val="21"/>
              </w:rPr>
            </w:pPr>
            <w:r>
              <w:rPr>
                <w:sz w:val="21"/>
                <w:szCs w:val="21"/>
                <w:b/>
                <w:bCs/>
                <w:spacing w:val="-5"/>
              </w:rPr>
              <w:t>排放速</w:t>
            </w:r>
            <w:r>
              <w:rPr>
                <w:sz w:val="21"/>
                <w:szCs w:val="21"/>
              </w:rPr>
              <w:t xml:space="preserve"> </w:t>
            </w:r>
            <w:r>
              <w:rPr>
                <w:sz w:val="21"/>
                <w:szCs w:val="21"/>
                <w:b/>
                <w:bCs/>
                <w:spacing w:val="-4"/>
              </w:rPr>
              <w:t>率kg/h</w:t>
            </w:r>
          </w:p>
        </w:tc>
        <w:tc>
          <w:tcPr>
            <w:shd w:val="clear" w:fill="BDBDBD"/>
            <w:tcW w:w="574" w:type="dxa"/>
            <w:vAlign w:val="top"/>
          </w:tcPr>
          <w:p>
            <w:pPr>
              <w:pStyle w:val="TableText"/>
              <w:ind w:left="22" w:right="24" w:firstLine="50"/>
              <w:spacing w:before="21" w:line="221" w:lineRule="auto"/>
              <w:rPr>
                <w:sz w:val="21"/>
                <w:szCs w:val="21"/>
              </w:rPr>
            </w:pPr>
            <w:r>
              <w:rPr>
                <w:sz w:val="21"/>
                <w:szCs w:val="21"/>
                <w:b/>
                <w:bCs/>
                <w:spacing w:val="-7"/>
              </w:rPr>
              <w:t>排放</w:t>
            </w:r>
            <w:r>
              <w:rPr>
                <w:sz w:val="21"/>
                <w:szCs w:val="21"/>
              </w:rPr>
              <w:t xml:space="preserve"> </w:t>
            </w:r>
            <w:r>
              <w:rPr>
                <w:sz w:val="21"/>
                <w:szCs w:val="21"/>
                <w:b/>
                <w:bCs/>
                <w:spacing w:val="-5"/>
              </w:rPr>
              <w:t>量t/a</w:t>
            </w:r>
          </w:p>
        </w:tc>
      </w:tr>
      <w:tr>
        <w:trPr>
          <w:trHeight w:val="250" w:hRule="atLeast"/>
        </w:trPr>
        <w:tc>
          <w:tcPr>
            <w:tcW w:w="454" w:type="dxa"/>
            <w:vAlign w:val="top"/>
            <w:vMerge w:val="restart"/>
            <w:tcBorders>
              <w:bottom w:val="nil"/>
            </w:tcBorders>
          </w:tcPr>
          <w:p>
            <w:pPr>
              <w:spacing w:line="319" w:lineRule="auto"/>
              <w:rPr>
                <w:rFonts w:ascii="Arial"/>
                <w:sz w:val="21"/>
              </w:rPr>
            </w:pPr>
            <w:r/>
          </w:p>
          <w:p>
            <w:pPr>
              <w:pStyle w:val="TableText"/>
              <w:ind w:left="15"/>
              <w:spacing w:before="69" w:line="230" w:lineRule="auto"/>
              <w:rPr>
                <w:sz w:val="21"/>
                <w:szCs w:val="21"/>
              </w:rPr>
            </w:pPr>
            <w:r>
              <w:rPr>
                <w:sz w:val="21"/>
                <w:szCs w:val="21"/>
                <w:spacing w:val="-9"/>
              </w:rPr>
              <w:t>生猪</w:t>
            </w:r>
            <w:r>
              <w:rPr>
                <w:sz w:val="21"/>
                <w:szCs w:val="21"/>
              </w:rPr>
              <w:t xml:space="preserve"> </w:t>
            </w:r>
            <w:r>
              <w:rPr>
                <w:sz w:val="21"/>
                <w:szCs w:val="21"/>
                <w:spacing w:val="4"/>
              </w:rPr>
              <w:t>待宰</w:t>
            </w:r>
          </w:p>
          <w:p>
            <w:pPr>
              <w:pStyle w:val="TableText"/>
              <w:spacing w:before="7" w:line="221" w:lineRule="auto"/>
              <w:jc w:val="right"/>
              <w:rPr>
                <w:sz w:val="21"/>
                <w:szCs w:val="21"/>
              </w:rPr>
            </w:pPr>
            <w:r>
              <w:rPr>
                <w:sz w:val="21"/>
                <w:szCs w:val="21"/>
                <w:spacing w:val="4"/>
              </w:rPr>
              <w:t>圈舍</w:t>
            </w:r>
          </w:p>
        </w:tc>
        <w:tc>
          <w:tcPr>
            <w:tcW w:w="459" w:type="dxa"/>
            <w:vAlign w:val="top"/>
            <w:vMerge w:val="restart"/>
            <w:tcBorders>
              <w:bottom w:val="nil"/>
            </w:tcBorders>
          </w:tcPr>
          <w:p>
            <w:pPr>
              <w:pStyle w:val="TableText"/>
              <w:ind w:left="10"/>
              <w:spacing w:before="148" w:line="219" w:lineRule="auto"/>
              <w:rPr>
                <w:sz w:val="21"/>
                <w:szCs w:val="21"/>
              </w:rPr>
            </w:pPr>
            <w:r>
              <w:rPr>
                <w:sz w:val="21"/>
                <w:szCs w:val="21"/>
                <w:spacing w:val="4"/>
              </w:rPr>
              <w:t>淡季</w:t>
            </w:r>
          </w:p>
        </w:tc>
        <w:tc>
          <w:tcPr>
            <w:tcW w:w="470" w:type="dxa"/>
            <w:vAlign w:val="top"/>
          </w:tcPr>
          <w:p>
            <w:pPr>
              <w:pStyle w:val="TableText"/>
              <w:ind w:left="11"/>
              <w:spacing w:before="53" w:line="164" w:lineRule="auto"/>
              <w:rPr>
                <w:rFonts w:ascii="Calibri" w:hAnsi="Calibri" w:eastAsia="Calibri" w:cs="Calibri"/>
                <w:sz w:val="21"/>
                <w:szCs w:val="21"/>
              </w:rPr>
            </w:pPr>
            <w:r>
              <w:rPr>
                <w:sz w:val="21"/>
                <w:szCs w:val="21"/>
                <w:color w:val="A07060"/>
                <w:spacing w:val="-1"/>
              </w:rPr>
              <w:t>NH</w:t>
            </w:r>
            <w:r>
              <w:rPr>
                <w:rFonts w:ascii="Calibri" w:hAnsi="Calibri" w:eastAsia="Calibri" w:cs="Calibri"/>
                <w:sz w:val="21"/>
                <w:szCs w:val="21"/>
                <w:color w:val="A07060"/>
                <w:spacing w:val="-1"/>
              </w:rPr>
              <w:t>₃</w:t>
            </w:r>
          </w:p>
        </w:tc>
        <w:tc>
          <w:tcPr>
            <w:tcW w:w="709" w:type="dxa"/>
            <w:vAlign w:val="top"/>
          </w:tcPr>
          <w:p>
            <w:pPr>
              <w:pStyle w:val="TableText"/>
              <w:ind w:left="32"/>
              <w:spacing w:before="40" w:line="175" w:lineRule="auto"/>
              <w:rPr>
                <w:sz w:val="21"/>
                <w:szCs w:val="21"/>
              </w:rPr>
            </w:pPr>
            <w:r>
              <w:rPr>
                <w:sz w:val="21"/>
                <w:szCs w:val="21"/>
                <w:spacing w:val="-2"/>
              </w:rPr>
              <w:t>0.1325</w:t>
            </w:r>
          </w:p>
        </w:tc>
        <w:tc>
          <w:tcPr>
            <w:tcW w:w="609" w:type="dxa"/>
            <w:vAlign w:val="top"/>
          </w:tcPr>
          <w:p>
            <w:pPr>
              <w:pStyle w:val="TableText"/>
              <w:spacing w:before="40" w:line="175" w:lineRule="auto"/>
              <w:jc w:val="right"/>
              <w:rPr>
                <w:sz w:val="21"/>
                <w:szCs w:val="21"/>
              </w:rPr>
            </w:pPr>
            <w:r>
              <w:rPr>
                <w:sz w:val="21"/>
                <w:szCs w:val="21"/>
                <w:spacing w:val="-8"/>
              </w:rPr>
              <w:t>0.4293</w:t>
            </w:r>
          </w:p>
        </w:tc>
        <w:tc>
          <w:tcPr>
            <w:tcW w:w="1378" w:type="dxa"/>
            <w:vAlign w:val="top"/>
            <w:vMerge w:val="restart"/>
            <w:tcBorders>
              <w:bottom w:val="nil"/>
            </w:tcBorders>
          </w:tcPr>
          <w:p>
            <w:pPr>
              <w:pStyle w:val="TableText"/>
              <w:ind w:left="14"/>
              <w:spacing w:before="247" w:line="218" w:lineRule="auto"/>
              <w:rPr>
                <w:sz w:val="21"/>
                <w:szCs w:val="21"/>
              </w:rPr>
            </w:pPr>
            <w:r>
              <w:rPr>
                <w:sz w:val="21"/>
                <w:szCs w:val="21"/>
                <w:spacing w:val="-2"/>
              </w:rPr>
              <w:t>负压收集+喷淋</w:t>
            </w:r>
          </w:p>
          <w:p>
            <w:pPr>
              <w:pStyle w:val="TableText"/>
              <w:ind w:left="153"/>
              <w:spacing w:before="12" w:line="219" w:lineRule="auto"/>
              <w:rPr>
                <w:sz w:val="21"/>
                <w:szCs w:val="21"/>
              </w:rPr>
            </w:pPr>
            <w:r>
              <w:rPr>
                <w:sz w:val="21"/>
                <w:szCs w:val="21"/>
                <w:spacing w:val="-2"/>
              </w:rPr>
              <w:t>+UV光氧+活</w:t>
            </w:r>
          </w:p>
          <w:p>
            <w:pPr>
              <w:pStyle w:val="TableText"/>
              <w:ind w:left="54"/>
              <w:spacing w:before="30" w:line="219" w:lineRule="auto"/>
              <w:rPr>
                <w:sz w:val="21"/>
                <w:szCs w:val="21"/>
              </w:rPr>
            </w:pPr>
            <w:r>
              <w:rPr>
                <w:sz w:val="21"/>
                <w:szCs w:val="21"/>
                <w:spacing w:val="-2"/>
              </w:rPr>
              <w:t>性炭吸附装置</w:t>
            </w:r>
          </w:p>
          <w:p>
            <w:pPr>
              <w:pStyle w:val="TableText"/>
              <w:ind w:left="314"/>
              <w:spacing w:before="35" w:line="222" w:lineRule="auto"/>
              <w:rPr>
                <w:sz w:val="21"/>
                <w:szCs w:val="21"/>
              </w:rPr>
            </w:pPr>
            <w:r>
              <w:rPr>
                <w:sz w:val="21"/>
                <w:szCs w:val="21"/>
                <w:spacing w:val="-6"/>
              </w:rPr>
              <w:t>(TA001)</w:t>
            </w:r>
          </w:p>
        </w:tc>
        <w:tc>
          <w:tcPr>
            <w:tcW w:w="959" w:type="dxa"/>
            <w:vAlign w:val="top"/>
            <w:vMerge w:val="restart"/>
            <w:tcBorders>
              <w:bottom w:val="nil"/>
            </w:tcBorders>
          </w:tcPr>
          <w:p>
            <w:pPr>
              <w:pStyle w:val="TableText"/>
              <w:ind w:left="205"/>
              <w:spacing w:before="239" w:line="219" w:lineRule="auto"/>
              <w:rPr>
                <w:sz w:val="21"/>
                <w:szCs w:val="21"/>
              </w:rPr>
            </w:pPr>
            <w:r>
              <w:rPr>
                <w:sz w:val="21"/>
                <w:szCs w:val="21"/>
                <w:spacing w:val="3"/>
              </w:rPr>
              <w:t>15m高</w:t>
            </w:r>
          </w:p>
          <w:p>
            <w:pPr>
              <w:pStyle w:val="TableText"/>
              <w:ind w:left="155"/>
              <w:spacing w:before="30" w:line="219" w:lineRule="auto"/>
              <w:rPr>
                <w:sz w:val="21"/>
                <w:szCs w:val="21"/>
              </w:rPr>
            </w:pPr>
            <w:r>
              <w:rPr>
                <w:sz w:val="21"/>
                <w:szCs w:val="21"/>
                <w:spacing w:val="4"/>
              </w:rPr>
              <w:t>排气筒</w:t>
            </w:r>
          </w:p>
          <w:p>
            <w:pPr>
              <w:pStyle w:val="TableText"/>
              <w:ind w:left="105"/>
              <w:spacing w:before="44" w:line="218" w:lineRule="auto"/>
              <w:rPr>
                <w:sz w:val="21"/>
                <w:szCs w:val="21"/>
              </w:rPr>
            </w:pPr>
            <w:r>
              <w:rPr>
                <w:sz w:val="21"/>
                <w:szCs w:val="21"/>
                <w:spacing w:val="-6"/>
              </w:rPr>
              <w:t>(DA001)</w:t>
            </w:r>
          </w:p>
          <w:p>
            <w:pPr>
              <w:pStyle w:val="TableText"/>
              <w:ind w:left="266"/>
              <w:spacing w:line="220" w:lineRule="auto"/>
              <w:rPr>
                <w:sz w:val="21"/>
                <w:szCs w:val="21"/>
              </w:rPr>
            </w:pPr>
            <w:r>
              <w:rPr>
                <w:sz w:val="21"/>
                <w:szCs w:val="21"/>
                <w:spacing w:val="-3"/>
              </w:rPr>
              <w:t>排放</w:t>
            </w:r>
          </w:p>
        </w:tc>
        <w:tc>
          <w:tcPr>
            <w:tcW w:w="1059" w:type="dxa"/>
            <w:vAlign w:val="top"/>
          </w:tcPr>
          <w:p>
            <w:pPr>
              <w:pStyle w:val="TableText"/>
              <w:ind w:left="417"/>
              <w:spacing w:before="40" w:line="175" w:lineRule="auto"/>
              <w:rPr>
                <w:sz w:val="21"/>
                <w:szCs w:val="21"/>
              </w:rPr>
            </w:pPr>
            <w:r>
              <w:rPr>
                <w:sz w:val="21"/>
                <w:szCs w:val="21"/>
                <w:spacing w:val="-3"/>
              </w:rPr>
              <w:t>95</w:t>
            </w:r>
          </w:p>
        </w:tc>
        <w:tc>
          <w:tcPr>
            <w:tcW w:w="1149" w:type="dxa"/>
            <w:vAlign w:val="top"/>
          </w:tcPr>
          <w:p>
            <w:pPr>
              <w:pStyle w:val="TableText"/>
              <w:ind w:left="467"/>
              <w:spacing w:before="40" w:line="175" w:lineRule="auto"/>
              <w:rPr>
                <w:sz w:val="21"/>
                <w:szCs w:val="21"/>
              </w:rPr>
            </w:pPr>
            <w:r>
              <w:rPr>
                <w:sz w:val="21"/>
                <w:szCs w:val="21"/>
                <w:spacing w:val="-3"/>
              </w:rPr>
              <w:t>95</w:t>
            </w:r>
          </w:p>
        </w:tc>
        <w:tc>
          <w:tcPr>
            <w:tcW w:w="679" w:type="dxa"/>
            <w:vAlign w:val="top"/>
          </w:tcPr>
          <w:p>
            <w:pPr>
              <w:pStyle w:val="TableText"/>
              <w:ind w:left="18"/>
              <w:spacing w:before="40" w:line="175" w:lineRule="auto"/>
              <w:rPr>
                <w:sz w:val="21"/>
                <w:szCs w:val="21"/>
              </w:rPr>
            </w:pPr>
            <w:r>
              <w:rPr>
                <w:sz w:val="21"/>
                <w:szCs w:val="21"/>
                <w:spacing w:val="-2"/>
              </w:rPr>
              <w:t>0.0063</w:t>
            </w:r>
          </w:p>
        </w:tc>
        <w:tc>
          <w:tcPr>
            <w:tcW w:w="574" w:type="dxa"/>
            <w:vAlign w:val="top"/>
          </w:tcPr>
          <w:p>
            <w:pPr>
              <w:pStyle w:val="TableText"/>
              <w:spacing w:before="40" w:line="175" w:lineRule="auto"/>
              <w:jc w:val="right"/>
              <w:rPr>
                <w:sz w:val="21"/>
                <w:szCs w:val="21"/>
              </w:rPr>
            </w:pPr>
            <w:r>
              <w:rPr>
                <w:sz w:val="21"/>
                <w:szCs w:val="21"/>
                <w:spacing w:val="-17"/>
              </w:rPr>
              <w:t>0.</w:t>
            </w:r>
            <w:r>
              <w:rPr>
                <w:sz w:val="21"/>
                <w:szCs w:val="21"/>
                <w:spacing w:val="-16"/>
              </w:rPr>
              <w:t>020</w:t>
            </w:r>
            <w:r>
              <w:rPr>
                <w:sz w:val="21"/>
                <w:szCs w:val="21"/>
                <w:spacing w:val="-8"/>
              </w:rPr>
              <w:t>4</w:t>
            </w:r>
          </w:p>
        </w:tc>
      </w:tr>
      <w:tr>
        <w:trPr>
          <w:trHeight w:val="249" w:hRule="atLeast"/>
        </w:trPr>
        <w:tc>
          <w:tcPr>
            <w:tcW w:w="454" w:type="dxa"/>
            <w:vAlign w:val="top"/>
            <w:vMerge w:val="continue"/>
            <w:tcBorders>
              <w:top w:val="nil"/>
              <w:bottom w:val="nil"/>
            </w:tcBorders>
          </w:tcPr>
          <w:p>
            <w:pPr>
              <w:rPr>
                <w:rFonts w:ascii="Arial"/>
                <w:sz w:val="21"/>
              </w:rPr>
            </w:pPr>
            <w:r/>
          </w:p>
        </w:tc>
        <w:tc>
          <w:tcPr>
            <w:tcW w:w="459" w:type="dxa"/>
            <w:vAlign w:val="top"/>
            <w:vMerge w:val="continue"/>
            <w:tcBorders>
              <w:top w:val="nil"/>
            </w:tcBorders>
          </w:tcPr>
          <w:p>
            <w:pPr>
              <w:rPr>
                <w:rFonts w:ascii="Arial"/>
                <w:sz w:val="21"/>
              </w:rPr>
            </w:pPr>
            <w:r/>
          </w:p>
        </w:tc>
        <w:tc>
          <w:tcPr>
            <w:tcW w:w="470" w:type="dxa"/>
            <w:vAlign w:val="top"/>
          </w:tcPr>
          <w:p>
            <w:pPr>
              <w:pStyle w:val="TableText"/>
              <w:ind w:left="11"/>
              <w:spacing w:before="53" w:line="163"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709" w:type="dxa"/>
            <w:vAlign w:val="top"/>
          </w:tcPr>
          <w:p>
            <w:pPr>
              <w:pStyle w:val="TableText"/>
              <w:ind w:left="32"/>
              <w:spacing w:before="41" w:line="174" w:lineRule="auto"/>
              <w:rPr>
                <w:sz w:val="21"/>
                <w:szCs w:val="21"/>
              </w:rPr>
            </w:pPr>
            <w:r>
              <w:rPr>
                <w:sz w:val="21"/>
                <w:szCs w:val="21"/>
                <w:spacing w:val="-2"/>
              </w:rPr>
              <w:t>0.0492</w:t>
            </w:r>
          </w:p>
        </w:tc>
        <w:tc>
          <w:tcPr>
            <w:tcW w:w="609" w:type="dxa"/>
            <w:vAlign w:val="top"/>
          </w:tcPr>
          <w:p>
            <w:pPr>
              <w:pStyle w:val="TableText"/>
              <w:spacing w:before="41" w:line="174" w:lineRule="auto"/>
              <w:jc w:val="right"/>
              <w:rPr>
                <w:sz w:val="21"/>
                <w:szCs w:val="21"/>
              </w:rPr>
            </w:pPr>
            <w:r>
              <w:rPr>
                <w:sz w:val="21"/>
                <w:szCs w:val="21"/>
                <w:color w:val="606060"/>
                <w:spacing w:val="-8"/>
              </w:rPr>
              <w:t>0.1593</w:t>
            </w:r>
          </w:p>
        </w:tc>
        <w:tc>
          <w:tcPr>
            <w:tcW w:w="137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17"/>
              <w:spacing w:before="41" w:line="174" w:lineRule="auto"/>
              <w:rPr>
                <w:sz w:val="21"/>
                <w:szCs w:val="21"/>
              </w:rPr>
            </w:pPr>
            <w:r>
              <w:rPr>
                <w:sz w:val="21"/>
                <w:szCs w:val="21"/>
                <w:spacing w:val="-3"/>
              </w:rPr>
              <w:t>95</w:t>
            </w:r>
          </w:p>
        </w:tc>
        <w:tc>
          <w:tcPr>
            <w:tcW w:w="1149" w:type="dxa"/>
            <w:vAlign w:val="top"/>
          </w:tcPr>
          <w:p>
            <w:pPr>
              <w:pStyle w:val="TableText"/>
              <w:ind w:left="467"/>
              <w:spacing w:before="41" w:line="174" w:lineRule="auto"/>
              <w:rPr>
                <w:sz w:val="21"/>
                <w:szCs w:val="21"/>
              </w:rPr>
            </w:pPr>
            <w:r>
              <w:rPr>
                <w:sz w:val="21"/>
                <w:szCs w:val="21"/>
                <w:spacing w:val="-3"/>
              </w:rPr>
              <w:t>95</w:t>
            </w:r>
          </w:p>
        </w:tc>
        <w:tc>
          <w:tcPr>
            <w:tcW w:w="679" w:type="dxa"/>
            <w:vAlign w:val="top"/>
          </w:tcPr>
          <w:p>
            <w:pPr>
              <w:pStyle w:val="TableText"/>
              <w:ind w:left="18"/>
              <w:spacing w:before="41" w:line="174" w:lineRule="auto"/>
              <w:rPr>
                <w:sz w:val="21"/>
                <w:szCs w:val="21"/>
              </w:rPr>
            </w:pPr>
            <w:r>
              <w:rPr>
                <w:sz w:val="21"/>
                <w:szCs w:val="21"/>
                <w:spacing w:val="-2"/>
              </w:rPr>
              <w:t>0.0023</w:t>
            </w:r>
          </w:p>
        </w:tc>
        <w:tc>
          <w:tcPr>
            <w:tcW w:w="574" w:type="dxa"/>
            <w:vAlign w:val="top"/>
          </w:tcPr>
          <w:p>
            <w:pPr>
              <w:pStyle w:val="TableText"/>
              <w:spacing w:before="41" w:line="174" w:lineRule="auto"/>
              <w:jc w:val="right"/>
              <w:rPr>
                <w:sz w:val="21"/>
                <w:szCs w:val="21"/>
              </w:rPr>
            </w:pPr>
            <w:r>
              <w:rPr>
                <w:sz w:val="21"/>
                <w:szCs w:val="21"/>
                <w:spacing w:val="-16"/>
              </w:rPr>
              <w:t>0.00</w:t>
            </w:r>
            <w:r>
              <w:rPr>
                <w:sz w:val="21"/>
                <w:szCs w:val="21"/>
                <w:spacing w:val="-15"/>
              </w:rPr>
              <w:t>7</w:t>
            </w:r>
            <w:r>
              <w:rPr>
                <w:sz w:val="21"/>
                <w:szCs w:val="21"/>
                <w:spacing w:val="-11"/>
              </w:rPr>
              <w:t>6</w:t>
            </w:r>
          </w:p>
        </w:tc>
      </w:tr>
      <w:tr>
        <w:trPr>
          <w:trHeight w:val="229" w:hRule="atLeast"/>
        </w:trPr>
        <w:tc>
          <w:tcPr>
            <w:tcW w:w="454" w:type="dxa"/>
            <w:vAlign w:val="top"/>
            <w:vMerge w:val="continue"/>
            <w:tcBorders>
              <w:top w:val="nil"/>
              <w:bottom w:val="nil"/>
            </w:tcBorders>
          </w:tcPr>
          <w:p>
            <w:pPr>
              <w:rPr>
                <w:rFonts w:ascii="Arial"/>
                <w:sz w:val="21"/>
              </w:rPr>
            </w:pPr>
            <w:r/>
          </w:p>
        </w:tc>
        <w:tc>
          <w:tcPr>
            <w:tcW w:w="459" w:type="dxa"/>
            <w:vAlign w:val="top"/>
            <w:vMerge w:val="restart"/>
            <w:tcBorders>
              <w:bottom w:val="nil"/>
            </w:tcBorders>
          </w:tcPr>
          <w:p>
            <w:pPr>
              <w:pStyle w:val="TableText"/>
              <w:ind w:left="10"/>
              <w:spacing w:before="140" w:line="219" w:lineRule="auto"/>
              <w:rPr>
                <w:sz w:val="21"/>
                <w:szCs w:val="21"/>
              </w:rPr>
            </w:pPr>
            <w:r>
              <w:rPr>
                <w:sz w:val="21"/>
                <w:szCs w:val="21"/>
                <w:spacing w:val="4"/>
              </w:rPr>
              <w:t>旺季</w:t>
            </w:r>
          </w:p>
        </w:tc>
        <w:tc>
          <w:tcPr>
            <w:tcW w:w="470" w:type="dxa"/>
            <w:vAlign w:val="top"/>
          </w:tcPr>
          <w:p>
            <w:pPr>
              <w:pStyle w:val="TableText"/>
              <w:ind w:left="11"/>
              <w:spacing w:before="64" w:line="155" w:lineRule="exact"/>
              <w:rPr>
                <w:rFonts w:ascii="Calibri" w:hAnsi="Calibri" w:eastAsia="Calibri" w:cs="Calibri"/>
                <w:sz w:val="21"/>
                <w:szCs w:val="21"/>
              </w:rPr>
            </w:pPr>
            <w:r>
              <w:rPr>
                <w:sz w:val="21"/>
                <w:szCs w:val="21"/>
                <w:color w:val="805050"/>
                <w:spacing w:val="-1"/>
                <w:position w:val="-2"/>
              </w:rPr>
              <w:t>NH</w:t>
            </w:r>
            <w:r>
              <w:rPr>
                <w:rFonts w:ascii="Calibri" w:hAnsi="Calibri" w:eastAsia="Calibri" w:cs="Calibri"/>
                <w:sz w:val="21"/>
                <w:szCs w:val="21"/>
                <w:color w:val="805050"/>
                <w:spacing w:val="-1"/>
                <w:position w:val="-2"/>
              </w:rPr>
              <w:t>₃</w:t>
            </w:r>
          </w:p>
        </w:tc>
        <w:tc>
          <w:tcPr>
            <w:tcW w:w="709" w:type="dxa"/>
            <w:vAlign w:val="top"/>
          </w:tcPr>
          <w:p>
            <w:pPr>
              <w:pStyle w:val="TableText"/>
              <w:ind w:left="32"/>
              <w:spacing w:before="51" w:line="168" w:lineRule="exact"/>
              <w:rPr>
                <w:sz w:val="21"/>
                <w:szCs w:val="21"/>
              </w:rPr>
            </w:pPr>
            <w:r>
              <w:rPr>
                <w:sz w:val="21"/>
                <w:szCs w:val="21"/>
                <w:color w:val="808060"/>
                <w:spacing w:val="-2"/>
                <w:position w:val="-2"/>
              </w:rPr>
              <w:t>0.1913</w:t>
            </w:r>
          </w:p>
        </w:tc>
        <w:tc>
          <w:tcPr>
            <w:tcW w:w="609" w:type="dxa"/>
            <w:vAlign w:val="top"/>
          </w:tcPr>
          <w:p>
            <w:pPr>
              <w:pStyle w:val="TableText"/>
              <w:spacing w:before="51" w:line="168" w:lineRule="exact"/>
              <w:jc w:val="right"/>
              <w:rPr>
                <w:sz w:val="21"/>
                <w:szCs w:val="21"/>
              </w:rPr>
            </w:pPr>
            <w:r>
              <w:rPr>
                <w:sz w:val="21"/>
                <w:szCs w:val="21"/>
                <w:spacing w:val="-8"/>
                <w:position w:val="-2"/>
              </w:rPr>
              <w:t>0.2066</w:t>
            </w:r>
          </w:p>
        </w:tc>
        <w:tc>
          <w:tcPr>
            <w:tcW w:w="137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17"/>
              <w:spacing w:before="51" w:line="168" w:lineRule="exact"/>
              <w:rPr>
                <w:sz w:val="21"/>
                <w:szCs w:val="21"/>
              </w:rPr>
            </w:pPr>
            <w:r>
              <w:rPr>
                <w:sz w:val="21"/>
                <w:szCs w:val="21"/>
                <w:spacing w:val="-3"/>
                <w:position w:val="-2"/>
              </w:rPr>
              <w:t>95</w:t>
            </w:r>
          </w:p>
        </w:tc>
        <w:tc>
          <w:tcPr>
            <w:tcW w:w="1149" w:type="dxa"/>
            <w:vAlign w:val="top"/>
          </w:tcPr>
          <w:p>
            <w:pPr>
              <w:pStyle w:val="TableText"/>
              <w:ind w:left="467"/>
              <w:spacing w:before="51" w:line="168" w:lineRule="exact"/>
              <w:rPr>
                <w:sz w:val="21"/>
                <w:szCs w:val="21"/>
              </w:rPr>
            </w:pPr>
            <w:r>
              <w:rPr>
                <w:sz w:val="21"/>
                <w:szCs w:val="21"/>
                <w:spacing w:val="-3"/>
                <w:position w:val="-2"/>
              </w:rPr>
              <w:t>95</w:t>
            </w:r>
          </w:p>
        </w:tc>
        <w:tc>
          <w:tcPr>
            <w:tcW w:w="679" w:type="dxa"/>
            <w:vAlign w:val="top"/>
          </w:tcPr>
          <w:p>
            <w:pPr>
              <w:pStyle w:val="TableText"/>
              <w:ind w:left="18"/>
              <w:spacing w:before="51" w:line="168" w:lineRule="exact"/>
              <w:rPr>
                <w:sz w:val="21"/>
                <w:szCs w:val="21"/>
              </w:rPr>
            </w:pPr>
            <w:r>
              <w:rPr>
                <w:sz w:val="21"/>
                <w:szCs w:val="21"/>
                <w:spacing w:val="-2"/>
                <w:position w:val="-2"/>
              </w:rPr>
              <w:t>0.0091</w:t>
            </w:r>
          </w:p>
        </w:tc>
        <w:tc>
          <w:tcPr>
            <w:tcW w:w="574" w:type="dxa"/>
            <w:vAlign w:val="top"/>
          </w:tcPr>
          <w:p>
            <w:pPr>
              <w:pStyle w:val="TableText"/>
              <w:spacing w:before="51" w:line="168" w:lineRule="exact"/>
              <w:jc w:val="right"/>
              <w:rPr>
                <w:sz w:val="21"/>
                <w:szCs w:val="21"/>
              </w:rPr>
            </w:pPr>
            <w:r>
              <w:rPr>
                <w:sz w:val="21"/>
                <w:szCs w:val="21"/>
                <w:spacing w:val="-16"/>
                <w:position w:val="-2"/>
              </w:rPr>
              <w:t>0.</w:t>
            </w:r>
            <w:r>
              <w:rPr>
                <w:sz w:val="21"/>
                <w:szCs w:val="21"/>
                <w:spacing w:val="-15"/>
                <w:position w:val="-2"/>
              </w:rPr>
              <w:t>009</w:t>
            </w:r>
            <w:r>
              <w:rPr>
                <w:sz w:val="21"/>
                <w:szCs w:val="21"/>
                <w:spacing w:val="-13"/>
                <w:position w:val="-2"/>
              </w:rPr>
              <w:t>8</w:t>
            </w:r>
          </w:p>
        </w:tc>
      </w:tr>
      <w:tr>
        <w:trPr>
          <w:trHeight w:val="250" w:hRule="atLeast"/>
        </w:trPr>
        <w:tc>
          <w:tcPr>
            <w:tcW w:w="454" w:type="dxa"/>
            <w:vAlign w:val="top"/>
            <w:vMerge w:val="continue"/>
            <w:tcBorders>
              <w:top w:val="nil"/>
              <w:bottom w:val="nil"/>
            </w:tcBorders>
          </w:tcPr>
          <w:p>
            <w:pPr>
              <w:rPr>
                <w:rFonts w:ascii="Arial"/>
                <w:sz w:val="21"/>
              </w:rPr>
            </w:pPr>
            <w:r/>
          </w:p>
        </w:tc>
        <w:tc>
          <w:tcPr>
            <w:tcW w:w="459" w:type="dxa"/>
            <w:vAlign w:val="top"/>
            <w:vMerge w:val="continue"/>
            <w:tcBorders>
              <w:top w:val="nil"/>
            </w:tcBorders>
          </w:tcPr>
          <w:p>
            <w:pPr>
              <w:rPr>
                <w:rFonts w:ascii="Arial"/>
                <w:sz w:val="21"/>
              </w:rPr>
            </w:pPr>
            <w:r/>
          </w:p>
        </w:tc>
        <w:tc>
          <w:tcPr>
            <w:tcW w:w="470" w:type="dxa"/>
            <w:vAlign w:val="top"/>
          </w:tcPr>
          <w:p>
            <w:pPr>
              <w:pStyle w:val="TableText"/>
              <w:ind w:left="11"/>
              <w:spacing w:before="55" w:line="162"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709" w:type="dxa"/>
            <w:vAlign w:val="top"/>
          </w:tcPr>
          <w:p>
            <w:pPr>
              <w:pStyle w:val="TableText"/>
              <w:ind w:left="81"/>
              <w:spacing w:before="43" w:line="173" w:lineRule="auto"/>
              <w:rPr>
                <w:sz w:val="21"/>
                <w:szCs w:val="21"/>
              </w:rPr>
            </w:pPr>
            <w:r>
              <w:rPr>
                <w:sz w:val="21"/>
                <w:szCs w:val="21"/>
                <w:color w:val="403050"/>
                <w:spacing w:val="-2"/>
              </w:rPr>
              <w:t>0.071</w:t>
            </w:r>
          </w:p>
        </w:tc>
        <w:tc>
          <w:tcPr>
            <w:tcW w:w="609" w:type="dxa"/>
            <w:vAlign w:val="top"/>
          </w:tcPr>
          <w:p>
            <w:pPr>
              <w:pStyle w:val="TableText"/>
              <w:spacing w:before="43" w:line="173" w:lineRule="auto"/>
              <w:jc w:val="right"/>
              <w:rPr>
                <w:sz w:val="21"/>
                <w:szCs w:val="21"/>
              </w:rPr>
            </w:pPr>
            <w:r>
              <w:rPr>
                <w:sz w:val="21"/>
                <w:szCs w:val="21"/>
                <w:spacing w:val="-8"/>
              </w:rPr>
              <w:t>0.0767</w:t>
            </w:r>
          </w:p>
        </w:tc>
        <w:tc>
          <w:tcPr>
            <w:tcW w:w="137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17"/>
              <w:spacing w:before="43" w:line="173" w:lineRule="auto"/>
              <w:rPr>
                <w:sz w:val="21"/>
                <w:szCs w:val="21"/>
              </w:rPr>
            </w:pPr>
            <w:r>
              <w:rPr>
                <w:sz w:val="21"/>
                <w:szCs w:val="21"/>
                <w:spacing w:val="-3"/>
              </w:rPr>
              <w:t>95</w:t>
            </w:r>
          </w:p>
        </w:tc>
        <w:tc>
          <w:tcPr>
            <w:tcW w:w="1149" w:type="dxa"/>
            <w:vAlign w:val="top"/>
          </w:tcPr>
          <w:p>
            <w:pPr>
              <w:pStyle w:val="TableText"/>
              <w:ind w:left="467"/>
              <w:spacing w:before="43" w:line="173" w:lineRule="auto"/>
              <w:rPr>
                <w:sz w:val="21"/>
                <w:szCs w:val="21"/>
              </w:rPr>
            </w:pPr>
            <w:r>
              <w:rPr>
                <w:sz w:val="21"/>
                <w:szCs w:val="21"/>
                <w:spacing w:val="-3"/>
              </w:rPr>
              <w:t>95</w:t>
            </w:r>
          </w:p>
        </w:tc>
        <w:tc>
          <w:tcPr>
            <w:tcW w:w="679" w:type="dxa"/>
            <w:vAlign w:val="top"/>
          </w:tcPr>
          <w:p>
            <w:pPr>
              <w:pStyle w:val="TableText"/>
              <w:ind w:left="18"/>
              <w:spacing w:before="43" w:line="173" w:lineRule="auto"/>
              <w:rPr>
                <w:sz w:val="21"/>
                <w:szCs w:val="21"/>
              </w:rPr>
            </w:pPr>
            <w:r>
              <w:rPr>
                <w:sz w:val="21"/>
                <w:szCs w:val="21"/>
                <w:spacing w:val="-2"/>
              </w:rPr>
              <w:t>0.0034</w:t>
            </w:r>
          </w:p>
        </w:tc>
        <w:tc>
          <w:tcPr>
            <w:tcW w:w="574" w:type="dxa"/>
            <w:vAlign w:val="top"/>
          </w:tcPr>
          <w:p>
            <w:pPr>
              <w:pStyle w:val="TableText"/>
              <w:spacing w:before="43" w:line="173" w:lineRule="auto"/>
              <w:jc w:val="right"/>
              <w:rPr>
                <w:sz w:val="21"/>
                <w:szCs w:val="21"/>
              </w:rPr>
            </w:pPr>
            <w:r>
              <w:rPr>
                <w:sz w:val="21"/>
                <w:szCs w:val="21"/>
                <w:color w:val="505050"/>
                <w:spacing w:val="-16"/>
              </w:rPr>
              <w:t>0.00</w:t>
            </w:r>
            <w:r>
              <w:rPr>
                <w:sz w:val="21"/>
                <w:szCs w:val="21"/>
                <w:color w:val="505050"/>
                <w:spacing w:val="-15"/>
              </w:rPr>
              <w:t>3</w:t>
            </w:r>
            <w:r>
              <w:rPr>
                <w:sz w:val="21"/>
                <w:szCs w:val="21"/>
                <w:color w:val="505050"/>
                <w:spacing w:val="-11"/>
              </w:rPr>
              <w:t>6</w:t>
            </w:r>
          </w:p>
        </w:tc>
      </w:tr>
      <w:tr>
        <w:trPr>
          <w:trHeight w:val="250" w:hRule="atLeast"/>
        </w:trPr>
        <w:tc>
          <w:tcPr>
            <w:tcW w:w="454" w:type="dxa"/>
            <w:vAlign w:val="top"/>
            <w:vMerge w:val="continue"/>
            <w:tcBorders>
              <w:top w:val="nil"/>
              <w:bottom w:val="nil"/>
            </w:tcBorders>
          </w:tcPr>
          <w:p>
            <w:pPr>
              <w:rPr>
                <w:rFonts w:ascii="Arial"/>
                <w:sz w:val="21"/>
              </w:rPr>
            </w:pPr>
            <w:r/>
          </w:p>
        </w:tc>
        <w:tc>
          <w:tcPr>
            <w:tcW w:w="459" w:type="dxa"/>
            <w:vAlign w:val="top"/>
            <w:vMerge w:val="restart"/>
            <w:tcBorders>
              <w:bottom w:val="nil"/>
            </w:tcBorders>
          </w:tcPr>
          <w:p>
            <w:pPr>
              <w:pStyle w:val="TableText"/>
              <w:ind w:left="10"/>
              <w:spacing w:before="141" w:line="219" w:lineRule="auto"/>
              <w:rPr>
                <w:sz w:val="21"/>
                <w:szCs w:val="21"/>
              </w:rPr>
            </w:pPr>
            <w:r>
              <w:rPr>
                <w:sz w:val="21"/>
                <w:szCs w:val="21"/>
                <w:spacing w:val="-3"/>
              </w:rPr>
              <w:t>全年</w:t>
            </w:r>
          </w:p>
        </w:tc>
        <w:tc>
          <w:tcPr>
            <w:tcW w:w="470" w:type="dxa"/>
            <w:vAlign w:val="top"/>
          </w:tcPr>
          <w:p>
            <w:pPr>
              <w:pStyle w:val="TableText"/>
              <w:ind w:left="11"/>
              <w:spacing w:before="55" w:line="162"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709" w:type="dxa"/>
            <w:vAlign w:val="top"/>
          </w:tcPr>
          <w:p>
            <w:pPr>
              <w:pStyle w:val="TableText"/>
              <w:ind w:left="292"/>
              <w:spacing w:before="27" w:line="187" w:lineRule="auto"/>
              <w:rPr>
                <w:sz w:val="21"/>
                <w:szCs w:val="21"/>
              </w:rPr>
            </w:pPr>
            <w:r>
              <w:rPr>
                <w:sz w:val="21"/>
                <w:szCs w:val="21"/>
              </w:rPr>
              <w:t>/</w:t>
            </w:r>
          </w:p>
        </w:tc>
        <w:tc>
          <w:tcPr>
            <w:tcW w:w="609" w:type="dxa"/>
            <w:vAlign w:val="top"/>
          </w:tcPr>
          <w:p>
            <w:pPr>
              <w:pStyle w:val="TableText"/>
              <w:spacing w:before="43" w:line="173" w:lineRule="auto"/>
              <w:jc w:val="right"/>
              <w:rPr>
                <w:sz w:val="21"/>
                <w:szCs w:val="21"/>
              </w:rPr>
            </w:pPr>
            <w:r>
              <w:rPr>
                <w:sz w:val="21"/>
                <w:szCs w:val="21"/>
                <w:spacing w:val="-8"/>
              </w:rPr>
              <w:t>0.6359</w:t>
            </w:r>
          </w:p>
        </w:tc>
        <w:tc>
          <w:tcPr>
            <w:tcW w:w="137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66"/>
              <w:spacing w:before="27" w:line="187" w:lineRule="auto"/>
              <w:rPr>
                <w:sz w:val="21"/>
                <w:szCs w:val="21"/>
              </w:rPr>
            </w:pPr>
            <w:r>
              <w:rPr>
                <w:sz w:val="21"/>
                <w:szCs w:val="21"/>
              </w:rPr>
              <w:t>/</w:t>
            </w:r>
          </w:p>
        </w:tc>
        <w:tc>
          <w:tcPr>
            <w:tcW w:w="1149" w:type="dxa"/>
            <w:vAlign w:val="top"/>
          </w:tcPr>
          <w:p>
            <w:pPr>
              <w:pStyle w:val="TableText"/>
              <w:ind w:left="517"/>
              <w:spacing w:before="27" w:line="187" w:lineRule="auto"/>
              <w:rPr>
                <w:sz w:val="21"/>
                <w:szCs w:val="21"/>
              </w:rPr>
            </w:pPr>
            <w:r>
              <w:rPr>
                <w:sz w:val="21"/>
                <w:szCs w:val="21"/>
              </w:rPr>
              <w:t>/</w:t>
            </w:r>
          </w:p>
        </w:tc>
        <w:tc>
          <w:tcPr>
            <w:tcW w:w="679" w:type="dxa"/>
            <w:vAlign w:val="top"/>
          </w:tcPr>
          <w:p>
            <w:pPr>
              <w:pStyle w:val="TableText"/>
              <w:ind w:left="278"/>
              <w:spacing w:before="27" w:line="187" w:lineRule="auto"/>
              <w:rPr>
                <w:sz w:val="21"/>
                <w:szCs w:val="21"/>
              </w:rPr>
            </w:pPr>
            <w:r>
              <w:rPr>
                <w:sz w:val="21"/>
                <w:szCs w:val="21"/>
              </w:rPr>
              <w:t>/</w:t>
            </w:r>
          </w:p>
        </w:tc>
        <w:tc>
          <w:tcPr>
            <w:tcW w:w="574" w:type="dxa"/>
            <w:vAlign w:val="top"/>
          </w:tcPr>
          <w:p>
            <w:pPr>
              <w:pStyle w:val="TableText"/>
              <w:spacing w:before="43" w:line="173" w:lineRule="auto"/>
              <w:jc w:val="right"/>
              <w:rPr>
                <w:sz w:val="21"/>
                <w:szCs w:val="21"/>
              </w:rPr>
            </w:pPr>
            <w:r>
              <w:rPr>
                <w:sz w:val="21"/>
                <w:szCs w:val="21"/>
                <w:spacing w:val="-16"/>
              </w:rPr>
              <w:t>0</w:t>
            </w:r>
            <w:r>
              <w:rPr>
                <w:sz w:val="21"/>
                <w:szCs w:val="21"/>
                <w:spacing w:val="-15"/>
              </w:rPr>
              <w:t>.030</w:t>
            </w:r>
            <w:r>
              <w:rPr>
                <w:sz w:val="21"/>
                <w:szCs w:val="21"/>
                <w:spacing w:val="-14"/>
              </w:rPr>
              <w:t>2</w:t>
            </w:r>
          </w:p>
        </w:tc>
      </w:tr>
      <w:tr>
        <w:trPr>
          <w:trHeight w:val="229" w:hRule="atLeast"/>
        </w:trPr>
        <w:tc>
          <w:tcPr>
            <w:tcW w:w="454" w:type="dxa"/>
            <w:vAlign w:val="top"/>
            <w:vMerge w:val="continue"/>
            <w:tcBorders>
              <w:top w:val="nil"/>
            </w:tcBorders>
          </w:tcPr>
          <w:p>
            <w:pPr>
              <w:rPr>
                <w:rFonts w:ascii="Arial"/>
                <w:sz w:val="21"/>
              </w:rPr>
            </w:pPr>
            <w:r/>
          </w:p>
        </w:tc>
        <w:tc>
          <w:tcPr>
            <w:tcW w:w="459" w:type="dxa"/>
            <w:vAlign w:val="top"/>
            <w:vMerge w:val="continue"/>
            <w:tcBorders>
              <w:top w:val="nil"/>
            </w:tcBorders>
          </w:tcPr>
          <w:p>
            <w:pPr>
              <w:rPr>
                <w:rFonts w:ascii="Arial"/>
                <w:sz w:val="21"/>
              </w:rPr>
            </w:pPr>
            <w:r/>
          </w:p>
        </w:tc>
        <w:tc>
          <w:tcPr>
            <w:tcW w:w="470" w:type="dxa"/>
            <w:vAlign w:val="top"/>
          </w:tcPr>
          <w:p>
            <w:pPr>
              <w:pStyle w:val="TableText"/>
              <w:ind w:left="11"/>
              <w:spacing w:before="65" w:line="154" w:lineRule="exact"/>
              <w:rPr>
                <w:sz w:val="21"/>
                <w:szCs w:val="21"/>
              </w:rPr>
            </w:pPr>
            <w:r>
              <w:rPr>
                <w:sz w:val="21"/>
                <w:szCs w:val="21"/>
                <w:spacing w:val="-2"/>
                <w:position w:val="-2"/>
              </w:rPr>
              <w:t>H</w:t>
            </w:r>
            <w:r>
              <w:rPr>
                <w:rFonts w:ascii="Calibri" w:hAnsi="Calibri" w:eastAsia="Calibri" w:cs="Calibri"/>
                <w:sz w:val="21"/>
                <w:szCs w:val="21"/>
                <w:spacing w:val="-2"/>
                <w:position w:val="-2"/>
              </w:rPr>
              <w:t>₂</w:t>
            </w:r>
            <w:r>
              <w:rPr>
                <w:sz w:val="21"/>
                <w:szCs w:val="21"/>
                <w:spacing w:val="-2"/>
                <w:position w:val="-2"/>
              </w:rPr>
              <w:t>S</w:t>
            </w:r>
          </w:p>
        </w:tc>
        <w:tc>
          <w:tcPr>
            <w:tcW w:w="709" w:type="dxa"/>
            <w:vAlign w:val="top"/>
          </w:tcPr>
          <w:p>
            <w:pPr>
              <w:pStyle w:val="TableText"/>
              <w:ind w:left="292"/>
              <w:spacing w:before="37" w:line="160" w:lineRule="auto"/>
              <w:rPr>
                <w:sz w:val="21"/>
                <w:szCs w:val="21"/>
              </w:rPr>
            </w:pPr>
            <w:r>
              <w:rPr>
                <w:sz w:val="21"/>
                <w:szCs w:val="21"/>
              </w:rPr>
              <w:t>/</w:t>
            </w:r>
          </w:p>
        </w:tc>
        <w:tc>
          <w:tcPr>
            <w:tcW w:w="609" w:type="dxa"/>
            <w:vAlign w:val="top"/>
          </w:tcPr>
          <w:p>
            <w:pPr>
              <w:pStyle w:val="TableText"/>
              <w:ind w:left="32"/>
              <w:spacing w:before="52" w:line="167" w:lineRule="exact"/>
              <w:rPr>
                <w:sz w:val="21"/>
                <w:szCs w:val="21"/>
              </w:rPr>
            </w:pPr>
            <w:r>
              <w:rPr>
                <w:sz w:val="21"/>
                <w:szCs w:val="21"/>
                <w:spacing w:val="-2"/>
                <w:position w:val="-2"/>
              </w:rPr>
              <w:t>0.236</w:t>
            </w:r>
          </w:p>
        </w:tc>
        <w:tc>
          <w:tcPr>
            <w:tcW w:w="1378" w:type="dxa"/>
            <w:vAlign w:val="top"/>
            <w:vMerge w:val="continue"/>
            <w:tcBorders>
              <w:top w:val="nil"/>
            </w:tcBorders>
          </w:tcPr>
          <w:p>
            <w:pPr>
              <w:rPr>
                <w:rFonts w:ascii="Arial"/>
                <w:sz w:val="21"/>
              </w:rPr>
            </w:pPr>
            <w:r/>
          </w:p>
        </w:tc>
        <w:tc>
          <w:tcPr>
            <w:tcW w:w="959" w:type="dxa"/>
            <w:vAlign w:val="top"/>
            <w:vMerge w:val="continue"/>
            <w:tcBorders>
              <w:top w:val="nil"/>
            </w:tcBorders>
          </w:tcPr>
          <w:p>
            <w:pPr>
              <w:rPr>
                <w:rFonts w:ascii="Arial"/>
                <w:sz w:val="21"/>
              </w:rPr>
            </w:pPr>
            <w:r/>
          </w:p>
        </w:tc>
        <w:tc>
          <w:tcPr>
            <w:tcW w:w="1059" w:type="dxa"/>
            <w:vAlign w:val="top"/>
          </w:tcPr>
          <w:p>
            <w:pPr>
              <w:pStyle w:val="TableText"/>
              <w:ind w:left="466"/>
              <w:spacing w:before="37" w:line="160" w:lineRule="auto"/>
              <w:rPr>
                <w:sz w:val="21"/>
                <w:szCs w:val="21"/>
              </w:rPr>
            </w:pPr>
            <w:r>
              <w:rPr>
                <w:sz w:val="21"/>
                <w:szCs w:val="21"/>
              </w:rPr>
              <w:t>/</w:t>
            </w:r>
          </w:p>
        </w:tc>
        <w:tc>
          <w:tcPr>
            <w:tcW w:w="1149" w:type="dxa"/>
            <w:vAlign w:val="top"/>
          </w:tcPr>
          <w:p>
            <w:pPr>
              <w:pStyle w:val="TableText"/>
              <w:ind w:left="517"/>
              <w:spacing w:before="37" w:line="160" w:lineRule="auto"/>
              <w:rPr>
                <w:sz w:val="21"/>
                <w:szCs w:val="21"/>
              </w:rPr>
            </w:pPr>
            <w:r>
              <w:rPr>
                <w:sz w:val="21"/>
                <w:szCs w:val="21"/>
                <w:color w:val="303040"/>
              </w:rPr>
              <w:t>/</w:t>
            </w:r>
          </w:p>
        </w:tc>
        <w:tc>
          <w:tcPr>
            <w:tcW w:w="679" w:type="dxa"/>
            <w:vAlign w:val="top"/>
          </w:tcPr>
          <w:p>
            <w:pPr>
              <w:pStyle w:val="TableText"/>
              <w:ind w:left="278"/>
              <w:spacing w:before="37" w:line="160" w:lineRule="auto"/>
              <w:rPr>
                <w:sz w:val="21"/>
                <w:szCs w:val="21"/>
              </w:rPr>
            </w:pPr>
            <w:r>
              <w:rPr>
                <w:sz w:val="21"/>
                <w:szCs w:val="21"/>
              </w:rPr>
              <w:t>/</w:t>
            </w:r>
          </w:p>
        </w:tc>
        <w:tc>
          <w:tcPr>
            <w:tcW w:w="574" w:type="dxa"/>
            <w:vAlign w:val="top"/>
          </w:tcPr>
          <w:p>
            <w:pPr>
              <w:pStyle w:val="TableText"/>
              <w:spacing w:before="52" w:line="167" w:lineRule="exact"/>
              <w:jc w:val="right"/>
              <w:rPr>
                <w:sz w:val="21"/>
                <w:szCs w:val="21"/>
              </w:rPr>
            </w:pPr>
            <w:r>
              <w:rPr>
                <w:sz w:val="21"/>
                <w:szCs w:val="21"/>
                <w:color w:val="908070"/>
                <w:spacing w:val="-16"/>
                <w:position w:val="-2"/>
              </w:rPr>
              <w:t>0</w:t>
            </w:r>
            <w:r>
              <w:rPr>
                <w:sz w:val="21"/>
                <w:szCs w:val="21"/>
                <w:color w:val="908070"/>
                <w:spacing w:val="-15"/>
                <w:position w:val="-2"/>
              </w:rPr>
              <w:t>.011</w:t>
            </w:r>
            <w:r>
              <w:rPr>
                <w:sz w:val="21"/>
                <w:szCs w:val="21"/>
                <w:color w:val="908070"/>
                <w:spacing w:val="-14"/>
                <w:position w:val="-2"/>
              </w:rPr>
              <w:t>2</w:t>
            </w:r>
          </w:p>
        </w:tc>
      </w:tr>
      <w:tr>
        <w:trPr>
          <w:trHeight w:val="250" w:hRule="atLeast"/>
        </w:trPr>
        <w:tc>
          <w:tcPr>
            <w:tcW w:w="454" w:type="dxa"/>
            <w:vAlign w:val="top"/>
            <w:vMerge w:val="restart"/>
            <w:tcBorders>
              <w:bottom w:val="nil"/>
            </w:tcBorders>
          </w:tcPr>
          <w:p>
            <w:pPr>
              <w:spacing w:line="313" w:lineRule="auto"/>
              <w:rPr>
                <w:rFonts w:ascii="Arial"/>
                <w:sz w:val="21"/>
              </w:rPr>
            </w:pPr>
            <w:r/>
          </w:p>
          <w:p>
            <w:pPr>
              <w:pStyle w:val="TableText"/>
              <w:ind w:left="15"/>
              <w:spacing w:before="68" w:line="237" w:lineRule="auto"/>
              <w:rPr>
                <w:sz w:val="21"/>
                <w:szCs w:val="21"/>
              </w:rPr>
            </w:pPr>
            <w:r>
              <w:rPr>
                <w:sz w:val="21"/>
                <w:szCs w:val="21"/>
                <w:spacing w:val="-9"/>
              </w:rPr>
              <w:t>生猪</w:t>
            </w:r>
            <w:r>
              <w:rPr>
                <w:sz w:val="21"/>
                <w:szCs w:val="21"/>
              </w:rPr>
              <w:t xml:space="preserve"> </w:t>
            </w:r>
            <w:r>
              <w:rPr>
                <w:sz w:val="21"/>
                <w:szCs w:val="21"/>
                <w:spacing w:val="4"/>
              </w:rPr>
              <w:t>屠宰</w:t>
            </w:r>
          </w:p>
          <w:p>
            <w:pPr>
              <w:pStyle w:val="TableText"/>
              <w:spacing w:line="219" w:lineRule="auto"/>
              <w:jc w:val="right"/>
              <w:rPr>
                <w:sz w:val="21"/>
                <w:szCs w:val="21"/>
              </w:rPr>
            </w:pPr>
            <w:r>
              <w:rPr>
                <w:sz w:val="21"/>
                <w:szCs w:val="21"/>
                <w:spacing w:val="4"/>
              </w:rPr>
              <w:t>车间</w:t>
            </w:r>
          </w:p>
        </w:tc>
        <w:tc>
          <w:tcPr>
            <w:tcW w:w="459" w:type="dxa"/>
            <w:vAlign w:val="top"/>
            <w:vMerge w:val="restart"/>
            <w:tcBorders>
              <w:bottom w:val="nil"/>
            </w:tcBorders>
          </w:tcPr>
          <w:p>
            <w:pPr>
              <w:pStyle w:val="TableText"/>
              <w:ind w:left="10"/>
              <w:spacing w:before="141" w:line="219" w:lineRule="auto"/>
              <w:rPr>
                <w:sz w:val="21"/>
                <w:szCs w:val="21"/>
              </w:rPr>
            </w:pPr>
            <w:r>
              <w:rPr>
                <w:sz w:val="21"/>
                <w:szCs w:val="21"/>
                <w:spacing w:val="4"/>
              </w:rPr>
              <w:t>淡季</w:t>
            </w:r>
          </w:p>
        </w:tc>
        <w:tc>
          <w:tcPr>
            <w:tcW w:w="470" w:type="dxa"/>
            <w:vAlign w:val="top"/>
          </w:tcPr>
          <w:p>
            <w:pPr>
              <w:pStyle w:val="TableText"/>
              <w:ind w:left="11"/>
              <w:spacing w:before="56" w:line="161" w:lineRule="auto"/>
              <w:rPr>
                <w:rFonts w:ascii="Calibri" w:hAnsi="Calibri" w:eastAsia="Calibri" w:cs="Calibri"/>
                <w:sz w:val="21"/>
                <w:szCs w:val="21"/>
              </w:rPr>
            </w:pPr>
            <w:r>
              <w:rPr>
                <w:sz w:val="21"/>
                <w:szCs w:val="21"/>
                <w:color w:val="705050"/>
                <w:spacing w:val="-1"/>
              </w:rPr>
              <w:t>NH</w:t>
            </w:r>
            <w:r>
              <w:rPr>
                <w:rFonts w:ascii="Calibri" w:hAnsi="Calibri" w:eastAsia="Calibri" w:cs="Calibri"/>
                <w:sz w:val="21"/>
                <w:szCs w:val="21"/>
                <w:color w:val="705050"/>
                <w:spacing w:val="-1"/>
              </w:rPr>
              <w:t>₃</w:t>
            </w:r>
          </w:p>
        </w:tc>
        <w:tc>
          <w:tcPr>
            <w:tcW w:w="709" w:type="dxa"/>
            <w:vAlign w:val="top"/>
          </w:tcPr>
          <w:p>
            <w:pPr>
              <w:pStyle w:val="TableText"/>
              <w:ind w:left="32"/>
              <w:spacing w:before="43" w:line="173" w:lineRule="auto"/>
              <w:rPr>
                <w:sz w:val="21"/>
                <w:szCs w:val="21"/>
              </w:rPr>
            </w:pPr>
            <w:r>
              <w:rPr>
                <w:sz w:val="21"/>
                <w:szCs w:val="21"/>
                <w:spacing w:val="-2"/>
              </w:rPr>
              <w:t>0.0675</w:t>
            </w:r>
          </w:p>
        </w:tc>
        <w:tc>
          <w:tcPr>
            <w:tcW w:w="609" w:type="dxa"/>
            <w:vAlign w:val="top"/>
          </w:tcPr>
          <w:p>
            <w:pPr>
              <w:pStyle w:val="TableText"/>
              <w:spacing w:before="43" w:line="173" w:lineRule="auto"/>
              <w:jc w:val="right"/>
              <w:rPr>
                <w:sz w:val="21"/>
                <w:szCs w:val="21"/>
              </w:rPr>
            </w:pPr>
            <w:r>
              <w:rPr>
                <w:sz w:val="21"/>
                <w:szCs w:val="21"/>
                <w:spacing w:val="-8"/>
              </w:rPr>
              <w:t>0.1458</w:t>
            </w:r>
          </w:p>
        </w:tc>
        <w:tc>
          <w:tcPr>
            <w:tcW w:w="1378" w:type="dxa"/>
            <w:vAlign w:val="top"/>
            <w:vMerge w:val="restart"/>
            <w:tcBorders>
              <w:bottom w:val="nil"/>
            </w:tcBorders>
          </w:tcPr>
          <w:p>
            <w:pPr>
              <w:pStyle w:val="TableText"/>
              <w:ind w:left="14"/>
              <w:spacing w:before="230" w:line="218" w:lineRule="auto"/>
              <w:rPr>
                <w:sz w:val="21"/>
                <w:szCs w:val="21"/>
              </w:rPr>
            </w:pPr>
            <w:r>
              <w:rPr>
                <w:sz w:val="21"/>
                <w:szCs w:val="21"/>
                <w:spacing w:val="-2"/>
              </w:rPr>
              <w:t>负压收集+喷淋</w:t>
            </w:r>
          </w:p>
          <w:p>
            <w:pPr>
              <w:pStyle w:val="TableText"/>
              <w:ind w:left="153"/>
              <w:spacing w:before="32" w:line="219" w:lineRule="auto"/>
              <w:rPr>
                <w:sz w:val="21"/>
                <w:szCs w:val="21"/>
              </w:rPr>
            </w:pPr>
            <w:r>
              <w:rPr>
                <w:sz w:val="21"/>
                <w:szCs w:val="21"/>
                <w:spacing w:val="-2"/>
              </w:rPr>
              <w:t>+UV光氧+活</w:t>
            </w:r>
          </w:p>
          <w:p>
            <w:pPr>
              <w:pStyle w:val="TableText"/>
              <w:ind w:left="54"/>
              <w:spacing w:before="20" w:line="219" w:lineRule="auto"/>
              <w:rPr>
                <w:sz w:val="21"/>
                <w:szCs w:val="21"/>
              </w:rPr>
            </w:pPr>
            <w:r>
              <w:rPr>
                <w:sz w:val="21"/>
                <w:szCs w:val="21"/>
                <w:spacing w:val="-2"/>
              </w:rPr>
              <w:t>性炭吸附装置</w:t>
            </w:r>
          </w:p>
          <w:p>
            <w:pPr>
              <w:pStyle w:val="TableText"/>
              <w:ind w:left="314"/>
              <w:spacing w:before="35" w:line="222" w:lineRule="auto"/>
              <w:rPr>
                <w:sz w:val="21"/>
                <w:szCs w:val="21"/>
              </w:rPr>
            </w:pPr>
            <w:r>
              <w:rPr>
                <w:sz w:val="21"/>
                <w:szCs w:val="21"/>
                <w:spacing w:val="-6"/>
              </w:rPr>
              <w:t>(TA002)</w:t>
            </w:r>
          </w:p>
        </w:tc>
        <w:tc>
          <w:tcPr>
            <w:tcW w:w="959" w:type="dxa"/>
            <w:vAlign w:val="top"/>
            <w:vMerge w:val="restart"/>
            <w:tcBorders>
              <w:bottom w:val="nil"/>
            </w:tcBorders>
          </w:tcPr>
          <w:p>
            <w:pPr>
              <w:pStyle w:val="TableText"/>
              <w:ind w:left="205"/>
              <w:spacing w:before="232" w:line="219" w:lineRule="auto"/>
              <w:rPr>
                <w:sz w:val="21"/>
                <w:szCs w:val="21"/>
              </w:rPr>
            </w:pPr>
            <w:r>
              <w:rPr>
                <w:sz w:val="21"/>
                <w:szCs w:val="21"/>
                <w:spacing w:val="3"/>
              </w:rPr>
              <w:t>15m高</w:t>
            </w:r>
          </w:p>
          <w:p>
            <w:pPr>
              <w:pStyle w:val="TableText"/>
              <w:ind w:left="155"/>
              <w:spacing w:before="20" w:line="219" w:lineRule="auto"/>
              <w:rPr>
                <w:sz w:val="21"/>
                <w:szCs w:val="21"/>
              </w:rPr>
            </w:pPr>
            <w:r>
              <w:rPr>
                <w:sz w:val="21"/>
                <w:szCs w:val="21"/>
                <w:spacing w:val="4"/>
              </w:rPr>
              <w:t>排气筒</w:t>
            </w:r>
          </w:p>
          <w:p>
            <w:pPr>
              <w:pStyle w:val="TableText"/>
              <w:ind w:left="105"/>
              <w:spacing w:before="44" w:line="222" w:lineRule="auto"/>
              <w:rPr>
                <w:sz w:val="21"/>
                <w:szCs w:val="21"/>
              </w:rPr>
            </w:pPr>
            <w:r>
              <w:rPr>
                <w:sz w:val="21"/>
                <w:szCs w:val="21"/>
                <w:spacing w:val="-6"/>
              </w:rPr>
              <w:t>(DA002)</w:t>
            </w:r>
          </w:p>
          <w:p>
            <w:pPr>
              <w:pStyle w:val="TableText"/>
              <w:ind w:left="266"/>
              <w:spacing w:before="5" w:line="221" w:lineRule="auto"/>
              <w:rPr>
                <w:sz w:val="21"/>
                <w:szCs w:val="21"/>
              </w:rPr>
            </w:pPr>
            <w:r>
              <w:rPr>
                <w:sz w:val="21"/>
                <w:szCs w:val="21"/>
                <w:spacing w:val="-3"/>
              </w:rPr>
              <w:t>排放</w:t>
            </w:r>
          </w:p>
        </w:tc>
        <w:tc>
          <w:tcPr>
            <w:tcW w:w="1059" w:type="dxa"/>
            <w:vAlign w:val="top"/>
          </w:tcPr>
          <w:p>
            <w:pPr>
              <w:pStyle w:val="TableText"/>
              <w:ind w:left="417"/>
              <w:spacing w:before="43" w:line="173" w:lineRule="auto"/>
              <w:rPr>
                <w:sz w:val="21"/>
                <w:szCs w:val="21"/>
              </w:rPr>
            </w:pPr>
            <w:r>
              <w:rPr>
                <w:sz w:val="21"/>
                <w:szCs w:val="21"/>
                <w:spacing w:val="-3"/>
              </w:rPr>
              <w:t>95</w:t>
            </w:r>
          </w:p>
        </w:tc>
        <w:tc>
          <w:tcPr>
            <w:tcW w:w="1149" w:type="dxa"/>
            <w:vAlign w:val="top"/>
          </w:tcPr>
          <w:p>
            <w:pPr>
              <w:pStyle w:val="TableText"/>
              <w:ind w:left="467"/>
              <w:spacing w:before="43" w:line="173" w:lineRule="auto"/>
              <w:rPr>
                <w:sz w:val="21"/>
                <w:szCs w:val="21"/>
              </w:rPr>
            </w:pPr>
            <w:r>
              <w:rPr>
                <w:sz w:val="21"/>
                <w:szCs w:val="21"/>
                <w:spacing w:val="-3"/>
              </w:rPr>
              <w:t>95</w:t>
            </w:r>
          </w:p>
        </w:tc>
        <w:tc>
          <w:tcPr>
            <w:tcW w:w="679" w:type="dxa"/>
            <w:vAlign w:val="top"/>
          </w:tcPr>
          <w:p>
            <w:pPr>
              <w:pStyle w:val="TableText"/>
              <w:ind w:left="18"/>
              <w:spacing w:before="43" w:line="173" w:lineRule="auto"/>
              <w:rPr>
                <w:sz w:val="21"/>
                <w:szCs w:val="21"/>
              </w:rPr>
            </w:pPr>
            <w:r>
              <w:rPr>
                <w:sz w:val="21"/>
                <w:szCs w:val="21"/>
                <w:spacing w:val="-2"/>
              </w:rPr>
              <w:t>0.0032</w:t>
            </w:r>
          </w:p>
        </w:tc>
        <w:tc>
          <w:tcPr>
            <w:tcW w:w="574" w:type="dxa"/>
            <w:vAlign w:val="top"/>
          </w:tcPr>
          <w:p>
            <w:pPr>
              <w:pStyle w:val="TableText"/>
              <w:spacing w:before="43" w:line="173" w:lineRule="auto"/>
              <w:jc w:val="right"/>
              <w:rPr>
                <w:sz w:val="21"/>
                <w:szCs w:val="21"/>
              </w:rPr>
            </w:pPr>
            <w:r>
              <w:rPr>
                <w:sz w:val="21"/>
                <w:szCs w:val="21"/>
                <w:spacing w:val="-16"/>
              </w:rPr>
              <w:t>0.0</w:t>
            </w:r>
            <w:r>
              <w:rPr>
                <w:sz w:val="21"/>
                <w:szCs w:val="21"/>
                <w:spacing w:val="-15"/>
              </w:rPr>
              <w:t>06</w:t>
            </w:r>
            <w:r>
              <w:rPr>
                <w:sz w:val="21"/>
                <w:szCs w:val="21"/>
                <w:spacing w:val="-12"/>
              </w:rPr>
              <w:t>9</w:t>
            </w:r>
          </w:p>
        </w:tc>
      </w:tr>
      <w:tr>
        <w:trPr>
          <w:trHeight w:val="229" w:hRule="atLeast"/>
        </w:trPr>
        <w:tc>
          <w:tcPr>
            <w:tcW w:w="454" w:type="dxa"/>
            <w:vAlign w:val="top"/>
            <w:vMerge w:val="continue"/>
            <w:tcBorders>
              <w:top w:val="nil"/>
              <w:bottom w:val="nil"/>
            </w:tcBorders>
          </w:tcPr>
          <w:p>
            <w:pPr>
              <w:rPr>
                <w:rFonts w:ascii="Arial"/>
                <w:sz w:val="21"/>
              </w:rPr>
            </w:pPr>
            <w:r/>
          </w:p>
        </w:tc>
        <w:tc>
          <w:tcPr>
            <w:tcW w:w="459" w:type="dxa"/>
            <w:vAlign w:val="top"/>
            <w:vMerge w:val="continue"/>
            <w:tcBorders>
              <w:top w:val="nil"/>
            </w:tcBorders>
          </w:tcPr>
          <w:p>
            <w:pPr>
              <w:rPr>
                <w:rFonts w:ascii="Arial"/>
                <w:sz w:val="21"/>
              </w:rPr>
            </w:pPr>
            <w:r/>
          </w:p>
        </w:tc>
        <w:tc>
          <w:tcPr>
            <w:tcW w:w="470" w:type="dxa"/>
            <w:vAlign w:val="top"/>
          </w:tcPr>
          <w:p>
            <w:pPr>
              <w:pStyle w:val="TableText"/>
              <w:ind w:left="11"/>
              <w:spacing w:before="66" w:line="153" w:lineRule="exact"/>
              <w:rPr>
                <w:sz w:val="21"/>
                <w:szCs w:val="21"/>
              </w:rPr>
            </w:pPr>
            <w:r>
              <w:rPr>
                <w:sz w:val="21"/>
                <w:szCs w:val="21"/>
                <w:spacing w:val="-2"/>
                <w:position w:val="-2"/>
              </w:rPr>
              <w:t>H</w:t>
            </w:r>
            <w:r>
              <w:rPr>
                <w:rFonts w:ascii="Calibri" w:hAnsi="Calibri" w:eastAsia="Calibri" w:cs="Calibri"/>
                <w:sz w:val="21"/>
                <w:szCs w:val="21"/>
                <w:spacing w:val="-2"/>
                <w:position w:val="-2"/>
              </w:rPr>
              <w:t>₂</w:t>
            </w:r>
            <w:r>
              <w:rPr>
                <w:sz w:val="21"/>
                <w:szCs w:val="21"/>
                <w:spacing w:val="-2"/>
                <w:position w:val="-2"/>
              </w:rPr>
              <w:t>S</w:t>
            </w:r>
          </w:p>
        </w:tc>
        <w:tc>
          <w:tcPr>
            <w:tcW w:w="709" w:type="dxa"/>
            <w:vAlign w:val="top"/>
          </w:tcPr>
          <w:p>
            <w:pPr>
              <w:pStyle w:val="TableText"/>
              <w:ind w:left="32"/>
              <w:spacing w:before="53" w:line="166" w:lineRule="exact"/>
              <w:rPr>
                <w:sz w:val="21"/>
                <w:szCs w:val="21"/>
              </w:rPr>
            </w:pPr>
            <w:r>
              <w:rPr>
                <w:sz w:val="21"/>
                <w:szCs w:val="21"/>
                <w:spacing w:val="-2"/>
                <w:position w:val="-2"/>
              </w:rPr>
              <w:t>0.0188</w:t>
            </w:r>
          </w:p>
        </w:tc>
        <w:tc>
          <w:tcPr>
            <w:tcW w:w="609" w:type="dxa"/>
            <w:vAlign w:val="top"/>
          </w:tcPr>
          <w:p>
            <w:pPr>
              <w:pStyle w:val="TableText"/>
              <w:spacing w:before="53" w:line="166" w:lineRule="exact"/>
              <w:jc w:val="right"/>
              <w:rPr>
                <w:sz w:val="21"/>
                <w:szCs w:val="21"/>
              </w:rPr>
            </w:pPr>
            <w:r>
              <w:rPr>
                <w:sz w:val="21"/>
                <w:szCs w:val="21"/>
                <w:spacing w:val="-8"/>
                <w:position w:val="-2"/>
              </w:rPr>
              <w:t>0.0405</w:t>
            </w:r>
          </w:p>
        </w:tc>
        <w:tc>
          <w:tcPr>
            <w:tcW w:w="137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17"/>
              <w:spacing w:before="53" w:line="166" w:lineRule="exact"/>
              <w:rPr>
                <w:sz w:val="21"/>
                <w:szCs w:val="21"/>
              </w:rPr>
            </w:pPr>
            <w:r>
              <w:rPr>
                <w:sz w:val="21"/>
                <w:szCs w:val="21"/>
                <w:spacing w:val="-3"/>
                <w:position w:val="-2"/>
              </w:rPr>
              <w:t>95</w:t>
            </w:r>
          </w:p>
        </w:tc>
        <w:tc>
          <w:tcPr>
            <w:tcW w:w="1149" w:type="dxa"/>
            <w:vAlign w:val="top"/>
          </w:tcPr>
          <w:p>
            <w:pPr>
              <w:pStyle w:val="TableText"/>
              <w:ind w:left="467"/>
              <w:spacing w:before="53" w:line="166" w:lineRule="exact"/>
              <w:rPr>
                <w:sz w:val="21"/>
                <w:szCs w:val="21"/>
              </w:rPr>
            </w:pPr>
            <w:r>
              <w:rPr>
                <w:sz w:val="21"/>
                <w:szCs w:val="21"/>
                <w:spacing w:val="-3"/>
                <w:position w:val="-2"/>
              </w:rPr>
              <w:t>95</w:t>
            </w:r>
          </w:p>
        </w:tc>
        <w:tc>
          <w:tcPr>
            <w:tcW w:w="679" w:type="dxa"/>
            <w:vAlign w:val="top"/>
          </w:tcPr>
          <w:p>
            <w:pPr>
              <w:pStyle w:val="TableText"/>
              <w:ind w:left="18"/>
              <w:spacing w:before="53" w:line="166" w:lineRule="exact"/>
              <w:rPr>
                <w:sz w:val="21"/>
                <w:szCs w:val="21"/>
              </w:rPr>
            </w:pPr>
            <w:r>
              <w:rPr>
                <w:sz w:val="21"/>
                <w:szCs w:val="21"/>
                <w:spacing w:val="-2"/>
                <w:position w:val="-2"/>
              </w:rPr>
              <w:t>0.0009</w:t>
            </w:r>
          </w:p>
        </w:tc>
        <w:tc>
          <w:tcPr>
            <w:tcW w:w="574" w:type="dxa"/>
            <w:vAlign w:val="top"/>
          </w:tcPr>
          <w:p>
            <w:pPr>
              <w:pStyle w:val="TableText"/>
              <w:spacing w:before="53" w:line="166" w:lineRule="exact"/>
              <w:jc w:val="right"/>
              <w:rPr>
                <w:sz w:val="21"/>
                <w:szCs w:val="21"/>
              </w:rPr>
            </w:pPr>
            <w:r>
              <w:rPr>
                <w:sz w:val="21"/>
                <w:szCs w:val="21"/>
                <w:spacing w:val="-16"/>
                <w:position w:val="-2"/>
              </w:rPr>
              <w:t>0.0</w:t>
            </w:r>
            <w:r>
              <w:rPr>
                <w:sz w:val="21"/>
                <w:szCs w:val="21"/>
                <w:spacing w:val="-15"/>
                <w:position w:val="-2"/>
              </w:rPr>
              <w:t>01</w:t>
            </w:r>
            <w:r>
              <w:rPr>
                <w:sz w:val="21"/>
                <w:szCs w:val="21"/>
                <w:spacing w:val="-12"/>
                <w:position w:val="-2"/>
              </w:rPr>
              <w:t>9</w:t>
            </w:r>
          </w:p>
        </w:tc>
      </w:tr>
      <w:tr>
        <w:trPr>
          <w:trHeight w:val="250" w:hRule="atLeast"/>
        </w:trPr>
        <w:tc>
          <w:tcPr>
            <w:tcW w:w="454" w:type="dxa"/>
            <w:vAlign w:val="top"/>
            <w:vMerge w:val="continue"/>
            <w:tcBorders>
              <w:top w:val="nil"/>
              <w:bottom w:val="nil"/>
            </w:tcBorders>
          </w:tcPr>
          <w:p>
            <w:pPr>
              <w:rPr>
                <w:rFonts w:ascii="Arial"/>
                <w:sz w:val="21"/>
              </w:rPr>
            </w:pPr>
            <w:r/>
          </w:p>
        </w:tc>
        <w:tc>
          <w:tcPr>
            <w:tcW w:w="459" w:type="dxa"/>
            <w:vAlign w:val="top"/>
            <w:vMerge w:val="restart"/>
            <w:tcBorders>
              <w:bottom w:val="nil"/>
            </w:tcBorders>
          </w:tcPr>
          <w:p>
            <w:pPr>
              <w:pStyle w:val="TableText"/>
              <w:ind w:left="10"/>
              <w:spacing w:before="153" w:line="219" w:lineRule="auto"/>
              <w:rPr>
                <w:sz w:val="21"/>
                <w:szCs w:val="21"/>
              </w:rPr>
            </w:pPr>
            <w:r>
              <w:rPr>
                <w:sz w:val="21"/>
                <w:szCs w:val="21"/>
                <w:spacing w:val="4"/>
              </w:rPr>
              <w:t>旺季</w:t>
            </w:r>
          </w:p>
        </w:tc>
        <w:tc>
          <w:tcPr>
            <w:tcW w:w="470" w:type="dxa"/>
            <w:vAlign w:val="top"/>
          </w:tcPr>
          <w:p>
            <w:pPr>
              <w:pStyle w:val="TableText"/>
              <w:ind w:left="11"/>
              <w:spacing w:before="58" w:line="160"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709" w:type="dxa"/>
            <w:vAlign w:val="top"/>
          </w:tcPr>
          <w:p>
            <w:pPr>
              <w:pStyle w:val="TableText"/>
              <w:ind w:left="32"/>
              <w:spacing w:before="44" w:line="172" w:lineRule="auto"/>
              <w:rPr>
                <w:sz w:val="21"/>
                <w:szCs w:val="21"/>
              </w:rPr>
            </w:pPr>
            <w:r>
              <w:rPr>
                <w:sz w:val="21"/>
                <w:szCs w:val="21"/>
                <w:spacing w:val="-2"/>
              </w:rPr>
              <w:t>0.0975</w:t>
            </w:r>
          </w:p>
        </w:tc>
        <w:tc>
          <w:tcPr>
            <w:tcW w:w="609" w:type="dxa"/>
            <w:vAlign w:val="top"/>
          </w:tcPr>
          <w:p>
            <w:pPr>
              <w:pStyle w:val="TableText"/>
              <w:spacing w:before="44" w:line="172" w:lineRule="auto"/>
              <w:jc w:val="right"/>
              <w:rPr>
                <w:sz w:val="21"/>
                <w:szCs w:val="21"/>
              </w:rPr>
            </w:pPr>
            <w:r>
              <w:rPr>
                <w:sz w:val="21"/>
                <w:szCs w:val="21"/>
                <w:spacing w:val="-8"/>
              </w:rPr>
              <w:t>0.0702</w:t>
            </w:r>
          </w:p>
        </w:tc>
        <w:tc>
          <w:tcPr>
            <w:tcW w:w="137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17"/>
              <w:spacing w:before="44" w:line="172" w:lineRule="auto"/>
              <w:rPr>
                <w:sz w:val="21"/>
                <w:szCs w:val="21"/>
              </w:rPr>
            </w:pPr>
            <w:r>
              <w:rPr>
                <w:sz w:val="21"/>
                <w:szCs w:val="21"/>
                <w:spacing w:val="-3"/>
              </w:rPr>
              <w:t>95</w:t>
            </w:r>
          </w:p>
        </w:tc>
        <w:tc>
          <w:tcPr>
            <w:tcW w:w="1149" w:type="dxa"/>
            <w:vAlign w:val="top"/>
          </w:tcPr>
          <w:p>
            <w:pPr>
              <w:pStyle w:val="TableText"/>
              <w:ind w:left="467"/>
              <w:spacing w:before="44" w:line="172" w:lineRule="auto"/>
              <w:rPr>
                <w:sz w:val="21"/>
                <w:szCs w:val="21"/>
              </w:rPr>
            </w:pPr>
            <w:r>
              <w:rPr>
                <w:sz w:val="21"/>
                <w:szCs w:val="21"/>
                <w:spacing w:val="-3"/>
              </w:rPr>
              <w:t>95</w:t>
            </w:r>
          </w:p>
        </w:tc>
        <w:tc>
          <w:tcPr>
            <w:tcW w:w="679" w:type="dxa"/>
            <w:vAlign w:val="top"/>
          </w:tcPr>
          <w:p>
            <w:pPr>
              <w:pStyle w:val="TableText"/>
              <w:ind w:left="18"/>
              <w:spacing w:before="44" w:line="172" w:lineRule="auto"/>
              <w:rPr>
                <w:sz w:val="21"/>
                <w:szCs w:val="21"/>
              </w:rPr>
            </w:pPr>
            <w:r>
              <w:rPr>
                <w:sz w:val="21"/>
                <w:szCs w:val="21"/>
                <w:spacing w:val="-2"/>
              </w:rPr>
              <w:t>0.0046</w:t>
            </w:r>
          </w:p>
        </w:tc>
        <w:tc>
          <w:tcPr>
            <w:tcW w:w="574" w:type="dxa"/>
            <w:vAlign w:val="top"/>
          </w:tcPr>
          <w:p>
            <w:pPr>
              <w:pStyle w:val="TableText"/>
              <w:spacing w:before="44" w:line="172" w:lineRule="auto"/>
              <w:jc w:val="right"/>
              <w:rPr>
                <w:sz w:val="21"/>
                <w:szCs w:val="21"/>
              </w:rPr>
            </w:pPr>
            <w:r>
              <w:rPr>
                <w:sz w:val="21"/>
                <w:szCs w:val="21"/>
                <w:color w:val="606060"/>
                <w:spacing w:val="-16"/>
              </w:rPr>
              <w:t>0</w:t>
            </w:r>
            <w:r>
              <w:rPr>
                <w:sz w:val="21"/>
                <w:szCs w:val="21"/>
                <w:color w:val="606060"/>
                <w:spacing w:val="-15"/>
              </w:rPr>
              <w:t>.003</w:t>
            </w:r>
            <w:r>
              <w:rPr>
                <w:sz w:val="21"/>
                <w:szCs w:val="21"/>
                <w:color w:val="606060"/>
                <w:spacing w:val="-14"/>
              </w:rPr>
              <w:t>3</w:t>
            </w:r>
          </w:p>
        </w:tc>
      </w:tr>
      <w:tr>
        <w:trPr>
          <w:trHeight w:val="250" w:hRule="atLeast"/>
        </w:trPr>
        <w:tc>
          <w:tcPr>
            <w:tcW w:w="454" w:type="dxa"/>
            <w:vAlign w:val="top"/>
            <w:vMerge w:val="continue"/>
            <w:tcBorders>
              <w:top w:val="nil"/>
              <w:bottom w:val="nil"/>
            </w:tcBorders>
          </w:tcPr>
          <w:p>
            <w:pPr>
              <w:rPr>
                <w:rFonts w:ascii="Arial"/>
                <w:sz w:val="21"/>
              </w:rPr>
            </w:pPr>
            <w:r/>
          </w:p>
        </w:tc>
        <w:tc>
          <w:tcPr>
            <w:tcW w:w="459" w:type="dxa"/>
            <w:vAlign w:val="top"/>
            <w:vMerge w:val="continue"/>
            <w:tcBorders>
              <w:top w:val="nil"/>
            </w:tcBorders>
          </w:tcPr>
          <w:p>
            <w:pPr>
              <w:rPr>
                <w:rFonts w:ascii="Arial"/>
                <w:sz w:val="21"/>
              </w:rPr>
            </w:pPr>
            <w:r/>
          </w:p>
        </w:tc>
        <w:tc>
          <w:tcPr>
            <w:tcW w:w="470" w:type="dxa"/>
            <w:vAlign w:val="top"/>
          </w:tcPr>
          <w:p>
            <w:pPr>
              <w:pStyle w:val="TableText"/>
              <w:ind w:left="11"/>
              <w:spacing w:before="56" w:line="161"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709" w:type="dxa"/>
            <w:vAlign w:val="top"/>
          </w:tcPr>
          <w:p>
            <w:pPr>
              <w:pStyle w:val="TableText"/>
              <w:ind w:left="32"/>
              <w:spacing w:before="44" w:line="172" w:lineRule="auto"/>
              <w:rPr>
                <w:sz w:val="21"/>
                <w:szCs w:val="21"/>
              </w:rPr>
            </w:pPr>
            <w:r>
              <w:rPr>
                <w:sz w:val="21"/>
                <w:szCs w:val="21"/>
                <w:spacing w:val="-2"/>
              </w:rPr>
              <w:t>0.0271</w:t>
            </w:r>
          </w:p>
        </w:tc>
        <w:tc>
          <w:tcPr>
            <w:tcW w:w="609" w:type="dxa"/>
            <w:vAlign w:val="top"/>
          </w:tcPr>
          <w:p>
            <w:pPr>
              <w:pStyle w:val="TableText"/>
              <w:spacing w:before="44" w:line="172" w:lineRule="auto"/>
              <w:jc w:val="right"/>
              <w:rPr>
                <w:sz w:val="21"/>
                <w:szCs w:val="21"/>
              </w:rPr>
            </w:pPr>
            <w:r>
              <w:rPr>
                <w:sz w:val="21"/>
                <w:szCs w:val="21"/>
                <w:color w:val="405050"/>
                <w:spacing w:val="-8"/>
              </w:rPr>
              <w:t>0.0195</w:t>
            </w:r>
          </w:p>
        </w:tc>
        <w:tc>
          <w:tcPr>
            <w:tcW w:w="137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17"/>
              <w:spacing w:before="44" w:line="172" w:lineRule="auto"/>
              <w:rPr>
                <w:sz w:val="21"/>
                <w:szCs w:val="21"/>
              </w:rPr>
            </w:pPr>
            <w:r>
              <w:rPr>
                <w:sz w:val="21"/>
                <w:szCs w:val="21"/>
                <w:spacing w:val="-3"/>
              </w:rPr>
              <w:t>95</w:t>
            </w:r>
          </w:p>
        </w:tc>
        <w:tc>
          <w:tcPr>
            <w:tcW w:w="1149" w:type="dxa"/>
            <w:vAlign w:val="top"/>
          </w:tcPr>
          <w:p>
            <w:pPr>
              <w:pStyle w:val="TableText"/>
              <w:ind w:left="467"/>
              <w:spacing w:before="44" w:line="172" w:lineRule="auto"/>
              <w:rPr>
                <w:sz w:val="21"/>
                <w:szCs w:val="21"/>
              </w:rPr>
            </w:pPr>
            <w:r>
              <w:rPr>
                <w:sz w:val="21"/>
                <w:szCs w:val="21"/>
                <w:spacing w:val="-3"/>
              </w:rPr>
              <w:t>95</w:t>
            </w:r>
          </w:p>
        </w:tc>
        <w:tc>
          <w:tcPr>
            <w:tcW w:w="679" w:type="dxa"/>
            <w:vAlign w:val="top"/>
          </w:tcPr>
          <w:p>
            <w:pPr>
              <w:pStyle w:val="TableText"/>
              <w:ind w:left="18"/>
              <w:spacing w:before="44" w:line="172" w:lineRule="auto"/>
              <w:rPr>
                <w:sz w:val="21"/>
                <w:szCs w:val="21"/>
              </w:rPr>
            </w:pPr>
            <w:r>
              <w:rPr>
                <w:sz w:val="21"/>
                <w:szCs w:val="21"/>
                <w:spacing w:val="-2"/>
              </w:rPr>
              <w:t>0.0013</w:t>
            </w:r>
          </w:p>
        </w:tc>
        <w:tc>
          <w:tcPr>
            <w:tcW w:w="574" w:type="dxa"/>
            <w:vAlign w:val="top"/>
          </w:tcPr>
          <w:p>
            <w:pPr>
              <w:pStyle w:val="TableText"/>
              <w:spacing w:before="44" w:line="172" w:lineRule="auto"/>
              <w:jc w:val="right"/>
              <w:rPr>
                <w:sz w:val="21"/>
                <w:szCs w:val="21"/>
              </w:rPr>
            </w:pPr>
            <w:r>
              <w:rPr>
                <w:sz w:val="21"/>
                <w:szCs w:val="21"/>
                <w:spacing w:val="-16"/>
              </w:rPr>
              <w:t>0.0</w:t>
            </w:r>
            <w:r>
              <w:rPr>
                <w:sz w:val="21"/>
                <w:szCs w:val="21"/>
                <w:spacing w:val="-15"/>
              </w:rPr>
              <w:t>00</w:t>
            </w:r>
            <w:r>
              <w:rPr>
                <w:sz w:val="21"/>
                <w:szCs w:val="21"/>
                <w:spacing w:val="-12"/>
              </w:rPr>
              <w:t>9</w:t>
            </w:r>
          </w:p>
        </w:tc>
      </w:tr>
      <w:tr>
        <w:trPr>
          <w:trHeight w:val="229" w:hRule="atLeast"/>
        </w:trPr>
        <w:tc>
          <w:tcPr>
            <w:tcW w:w="454" w:type="dxa"/>
            <w:vAlign w:val="top"/>
            <w:vMerge w:val="continue"/>
            <w:tcBorders>
              <w:top w:val="nil"/>
              <w:bottom w:val="nil"/>
            </w:tcBorders>
          </w:tcPr>
          <w:p>
            <w:pPr>
              <w:rPr>
                <w:rFonts w:ascii="Arial"/>
                <w:sz w:val="21"/>
              </w:rPr>
            </w:pPr>
            <w:r/>
          </w:p>
        </w:tc>
        <w:tc>
          <w:tcPr>
            <w:tcW w:w="459" w:type="dxa"/>
            <w:vAlign w:val="top"/>
            <w:vMerge w:val="restart"/>
            <w:tcBorders>
              <w:bottom w:val="nil"/>
            </w:tcBorders>
          </w:tcPr>
          <w:p>
            <w:pPr>
              <w:pStyle w:val="TableText"/>
              <w:ind w:left="10"/>
              <w:spacing w:before="143" w:line="219" w:lineRule="auto"/>
              <w:rPr>
                <w:sz w:val="21"/>
                <w:szCs w:val="21"/>
              </w:rPr>
            </w:pPr>
            <w:r>
              <w:rPr>
                <w:sz w:val="21"/>
                <w:szCs w:val="21"/>
                <w:spacing w:val="-3"/>
              </w:rPr>
              <w:t>全年</w:t>
            </w:r>
          </w:p>
        </w:tc>
        <w:tc>
          <w:tcPr>
            <w:tcW w:w="470" w:type="dxa"/>
            <w:vAlign w:val="top"/>
          </w:tcPr>
          <w:p>
            <w:pPr>
              <w:pStyle w:val="TableText"/>
              <w:ind w:left="11"/>
              <w:spacing w:before="67" w:line="152" w:lineRule="exact"/>
              <w:rPr>
                <w:rFonts w:ascii="Calibri" w:hAnsi="Calibri" w:eastAsia="Calibri" w:cs="Calibri"/>
                <w:sz w:val="21"/>
                <w:szCs w:val="21"/>
              </w:rPr>
            </w:pPr>
            <w:r>
              <w:rPr>
                <w:sz w:val="21"/>
                <w:szCs w:val="21"/>
                <w:color w:val="504040"/>
                <w:spacing w:val="-1"/>
                <w:position w:val="-2"/>
              </w:rPr>
              <w:t>NH</w:t>
            </w:r>
            <w:r>
              <w:rPr>
                <w:rFonts w:ascii="Calibri" w:hAnsi="Calibri" w:eastAsia="Calibri" w:cs="Calibri"/>
                <w:sz w:val="21"/>
                <w:szCs w:val="21"/>
                <w:color w:val="504040"/>
                <w:spacing w:val="-1"/>
                <w:position w:val="-2"/>
              </w:rPr>
              <w:t>₃</w:t>
            </w:r>
          </w:p>
        </w:tc>
        <w:tc>
          <w:tcPr>
            <w:tcW w:w="709" w:type="dxa"/>
            <w:vAlign w:val="top"/>
          </w:tcPr>
          <w:p>
            <w:pPr>
              <w:pStyle w:val="TableText"/>
              <w:ind w:left="292"/>
              <w:spacing w:before="39" w:line="158" w:lineRule="auto"/>
              <w:rPr>
                <w:sz w:val="21"/>
                <w:szCs w:val="21"/>
              </w:rPr>
            </w:pPr>
            <w:r>
              <w:rPr>
                <w:sz w:val="21"/>
                <w:szCs w:val="21"/>
              </w:rPr>
              <w:t>/</w:t>
            </w:r>
          </w:p>
        </w:tc>
        <w:tc>
          <w:tcPr>
            <w:tcW w:w="609" w:type="dxa"/>
            <w:vAlign w:val="top"/>
          </w:tcPr>
          <w:p>
            <w:pPr>
              <w:pStyle w:val="TableText"/>
              <w:ind w:left="32"/>
              <w:spacing w:before="54" w:line="165" w:lineRule="exact"/>
              <w:rPr>
                <w:sz w:val="21"/>
                <w:szCs w:val="21"/>
              </w:rPr>
            </w:pPr>
            <w:r>
              <w:rPr>
                <w:sz w:val="21"/>
                <w:szCs w:val="21"/>
                <w:spacing w:val="-2"/>
                <w:position w:val="-2"/>
              </w:rPr>
              <w:t>0.216</w:t>
            </w:r>
          </w:p>
        </w:tc>
        <w:tc>
          <w:tcPr>
            <w:tcW w:w="137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66"/>
              <w:spacing w:before="39" w:line="158" w:lineRule="auto"/>
              <w:rPr>
                <w:sz w:val="21"/>
                <w:szCs w:val="21"/>
              </w:rPr>
            </w:pPr>
            <w:r>
              <w:rPr>
                <w:sz w:val="21"/>
                <w:szCs w:val="21"/>
              </w:rPr>
              <w:t>/</w:t>
            </w:r>
          </w:p>
        </w:tc>
        <w:tc>
          <w:tcPr>
            <w:tcW w:w="1149" w:type="dxa"/>
            <w:vAlign w:val="top"/>
          </w:tcPr>
          <w:p>
            <w:pPr>
              <w:pStyle w:val="TableText"/>
              <w:ind w:left="517"/>
              <w:spacing w:before="39" w:line="158" w:lineRule="auto"/>
              <w:rPr>
                <w:sz w:val="21"/>
                <w:szCs w:val="21"/>
              </w:rPr>
            </w:pPr>
            <w:r>
              <w:rPr>
                <w:sz w:val="21"/>
                <w:szCs w:val="21"/>
              </w:rPr>
              <w:t>/</w:t>
            </w:r>
          </w:p>
        </w:tc>
        <w:tc>
          <w:tcPr>
            <w:tcW w:w="679" w:type="dxa"/>
            <w:vAlign w:val="top"/>
          </w:tcPr>
          <w:p>
            <w:pPr>
              <w:pStyle w:val="TableText"/>
              <w:ind w:left="278"/>
              <w:spacing w:before="39" w:line="158" w:lineRule="auto"/>
              <w:rPr>
                <w:sz w:val="21"/>
                <w:szCs w:val="21"/>
              </w:rPr>
            </w:pPr>
            <w:r>
              <w:rPr>
                <w:sz w:val="21"/>
                <w:szCs w:val="21"/>
              </w:rPr>
              <w:t>/</w:t>
            </w:r>
          </w:p>
        </w:tc>
        <w:tc>
          <w:tcPr>
            <w:tcW w:w="574" w:type="dxa"/>
            <w:vAlign w:val="top"/>
          </w:tcPr>
          <w:p>
            <w:pPr>
              <w:pStyle w:val="TableText"/>
              <w:spacing w:before="54" w:line="165" w:lineRule="exact"/>
              <w:jc w:val="right"/>
              <w:rPr>
                <w:sz w:val="21"/>
                <w:szCs w:val="21"/>
              </w:rPr>
            </w:pPr>
            <w:r>
              <w:rPr>
                <w:sz w:val="21"/>
                <w:szCs w:val="21"/>
                <w:color w:val="606060"/>
                <w:spacing w:val="-16"/>
                <w:position w:val="-2"/>
              </w:rPr>
              <w:t>0</w:t>
            </w:r>
            <w:r>
              <w:rPr>
                <w:sz w:val="21"/>
                <w:szCs w:val="21"/>
                <w:color w:val="606060"/>
                <w:spacing w:val="-15"/>
                <w:position w:val="-2"/>
              </w:rPr>
              <w:t>.010</w:t>
            </w:r>
            <w:r>
              <w:rPr>
                <w:sz w:val="21"/>
                <w:szCs w:val="21"/>
                <w:color w:val="606060"/>
                <w:spacing w:val="-14"/>
                <w:position w:val="-2"/>
              </w:rPr>
              <w:t>2</w:t>
            </w:r>
          </w:p>
        </w:tc>
      </w:tr>
      <w:tr>
        <w:trPr>
          <w:trHeight w:val="250" w:hRule="atLeast"/>
        </w:trPr>
        <w:tc>
          <w:tcPr>
            <w:tcW w:w="454" w:type="dxa"/>
            <w:vAlign w:val="top"/>
            <w:vMerge w:val="continue"/>
            <w:tcBorders>
              <w:top w:val="nil"/>
            </w:tcBorders>
          </w:tcPr>
          <w:p>
            <w:pPr>
              <w:rPr>
                <w:rFonts w:ascii="Arial"/>
                <w:sz w:val="21"/>
              </w:rPr>
            </w:pPr>
            <w:r/>
          </w:p>
        </w:tc>
        <w:tc>
          <w:tcPr>
            <w:tcW w:w="459" w:type="dxa"/>
            <w:vAlign w:val="top"/>
            <w:vMerge w:val="continue"/>
            <w:tcBorders>
              <w:top w:val="nil"/>
            </w:tcBorders>
          </w:tcPr>
          <w:p>
            <w:pPr>
              <w:rPr>
                <w:rFonts w:ascii="Arial"/>
                <w:sz w:val="21"/>
              </w:rPr>
            </w:pPr>
            <w:r/>
          </w:p>
        </w:tc>
        <w:tc>
          <w:tcPr>
            <w:tcW w:w="470" w:type="dxa"/>
            <w:vAlign w:val="top"/>
          </w:tcPr>
          <w:p>
            <w:pPr>
              <w:pStyle w:val="TableText"/>
              <w:ind w:left="11"/>
              <w:spacing w:before="58" w:line="160"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709" w:type="dxa"/>
            <w:vAlign w:val="top"/>
          </w:tcPr>
          <w:p>
            <w:pPr>
              <w:pStyle w:val="TableText"/>
              <w:ind w:left="292"/>
              <w:spacing w:before="45" w:line="171" w:lineRule="auto"/>
              <w:rPr>
                <w:sz w:val="21"/>
                <w:szCs w:val="21"/>
              </w:rPr>
            </w:pPr>
            <w:r>
              <w:rPr>
                <w:sz w:val="21"/>
                <w:szCs w:val="21"/>
              </w:rPr>
              <w:t>1</w:t>
            </w:r>
          </w:p>
        </w:tc>
        <w:tc>
          <w:tcPr>
            <w:tcW w:w="609" w:type="dxa"/>
            <w:vAlign w:val="top"/>
          </w:tcPr>
          <w:p>
            <w:pPr>
              <w:pStyle w:val="TableText"/>
              <w:ind w:left="83"/>
              <w:spacing w:before="45" w:line="171" w:lineRule="auto"/>
              <w:rPr>
                <w:sz w:val="21"/>
                <w:szCs w:val="21"/>
              </w:rPr>
            </w:pPr>
            <w:r>
              <w:rPr>
                <w:sz w:val="21"/>
                <w:szCs w:val="21"/>
                <w:color w:val="404040"/>
                <w:spacing w:val="-2"/>
              </w:rPr>
              <w:t>0.06</w:t>
            </w:r>
          </w:p>
        </w:tc>
        <w:tc>
          <w:tcPr>
            <w:tcW w:w="1378" w:type="dxa"/>
            <w:vAlign w:val="top"/>
            <w:vMerge w:val="continue"/>
            <w:tcBorders>
              <w:top w:val="nil"/>
            </w:tcBorders>
          </w:tcPr>
          <w:p>
            <w:pPr>
              <w:rPr>
                <w:rFonts w:ascii="Arial"/>
                <w:sz w:val="21"/>
              </w:rPr>
            </w:pPr>
            <w:r/>
          </w:p>
        </w:tc>
        <w:tc>
          <w:tcPr>
            <w:tcW w:w="959" w:type="dxa"/>
            <w:vAlign w:val="top"/>
            <w:vMerge w:val="continue"/>
            <w:tcBorders>
              <w:top w:val="nil"/>
            </w:tcBorders>
          </w:tcPr>
          <w:p>
            <w:pPr>
              <w:rPr>
                <w:rFonts w:ascii="Arial"/>
                <w:sz w:val="21"/>
              </w:rPr>
            </w:pPr>
            <w:r/>
          </w:p>
        </w:tc>
        <w:tc>
          <w:tcPr>
            <w:tcW w:w="1059" w:type="dxa"/>
            <w:vAlign w:val="top"/>
            <w:textDirection w:val="tbRlV"/>
          </w:tcPr>
          <w:p>
            <w:pPr>
              <w:spacing w:line="400" w:lineRule="auto"/>
              <w:rPr>
                <w:rFonts w:ascii="Arial"/>
                <w:sz w:val="21"/>
              </w:rPr>
            </w:pPr>
            <w:r/>
          </w:p>
          <w:p>
            <w:pPr>
              <w:pStyle w:val="TableText"/>
              <w:spacing w:before="70" w:line="137" w:lineRule="exact"/>
              <w:rPr>
                <w:sz w:val="21"/>
                <w:szCs w:val="21"/>
              </w:rPr>
            </w:pPr>
            <w:r>
              <w:rPr>
                <w:sz w:val="21"/>
                <w:szCs w:val="21"/>
                <w:spacing w:val="52"/>
                <w:w w:val="138"/>
                <w:position w:val="-1"/>
              </w:rPr>
              <w:t>/</w:t>
            </w:r>
          </w:p>
        </w:tc>
        <w:tc>
          <w:tcPr>
            <w:tcW w:w="1149" w:type="dxa"/>
            <w:vAlign w:val="top"/>
          </w:tcPr>
          <w:p>
            <w:pPr>
              <w:pStyle w:val="TableText"/>
              <w:ind w:left="517"/>
              <w:spacing w:before="30" w:line="184" w:lineRule="auto"/>
              <w:rPr>
                <w:sz w:val="21"/>
                <w:szCs w:val="21"/>
              </w:rPr>
            </w:pPr>
            <w:r>
              <w:rPr>
                <w:sz w:val="21"/>
                <w:szCs w:val="21"/>
              </w:rPr>
              <w:t>/</w:t>
            </w:r>
          </w:p>
        </w:tc>
        <w:tc>
          <w:tcPr>
            <w:tcW w:w="679" w:type="dxa"/>
            <w:vAlign w:val="top"/>
          </w:tcPr>
          <w:p>
            <w:pPr>
              <w:pStyle w:val="TableText"/>
              <w:ind w:left="278"/>
              <w:spacing w:before="45" w:line="171" w:lineRule="auto"/>
              <w:rPr>
                <w:sz w:val="21"/>
                <w:szCs w:val="21"/>
              </w:rPr>
            </w:pPr>
            <w:r>
              <w:rPr>
                <w:sz w:val="21"/>
                <w:szCs w:val="21"/>
              </w:rPr>
              <w:t>1</w:t>
            </w:r>
          </w:p>
        </w:tc>
        <w:tc>
          <w:tcPr>
            <w:tcW w:w="574" w:type="dxa"/>
            <w:vAlign w:val="top"/>
          </w:tcPr>
          <w:p>
            <w:pPr>
              <w:pStyle w:val="TableText"/>
              <w:spacing w:before="45" w:line="171" w:lineRule="auto"/>
              <w:jc w:val="right"/>
              <w:rPr>
                <w:sz w:val="21"/>
                <w:szCs w:val="21"/>
              </w:rPr>
            </w:pPr>
            <w:r>
              <w:rPr>
                <w:sz w:val="21"/>
                <w:szCs w:val="21"/>
                <w:color w:val="404050"/>
                <w:spacing w:val="-16"/>
              </w:rPr>
              <w:t>0.</w:t>
            </w:r>
            <w:r>
              <w:rPr>
                <w:sz w:val="21"/>
                <w:szCs w:val="21"/>
                <w:color w:val="404050"/>
                <w:spacing w:val="-15"/>
              </w:rPr>
              <w:t>002</w:t>
            </w:r>
            <w:r>
              <w:rPr>
                <w:sz w:val="21"/>
                <w:szCs w:val="21"/>
                <w:color w:val="404050"/>
                <w:spacing w:val="-13"/>
              </w:rPr>
              <w:t>8</w:t>
            </w:r>
          </w:p>
        </w:tc>
      </w:tr>
      <w:tr>
        <w:trPr>
          <w:trHeight w:val="229" w:hRule="atLeast"/>
        </w:trPr>
        <w:tc>
          <w:tcPr>
            <w:tcW w:w="454" w:type="dxa"/>
            <w:vAlign w:val="top"/>
            <w:vMerge w:val="restart"/>
            <w:tcBorders>
              <w:bottom w:val="nil"/>
            </w:tcBorders>
          </w:tcPr>
          <w:p>
            <w:pPr>
              <w:pStyle w:val="TableText"/>
              <w:ind w:left="15"/>
              <w:spacing w:before="125" w:line="221" w:lineRule="auto"/>
              <w:rPr>
                <w:sz w:val="21"/>
                <w:szCs w:val="21"/>
              </w:rPr>
            </w:pPr>
            <w:r>
              <w:rPr>
                <w:sz w:val="21"/>
                <w:szCs w:val="21"/>
                <w:spacing w:val="-9"/>
              </w:rPr>
              <w:t>生猪</w:t>
            </w:r>
            <w:r>
              <w:rPr>
                <w:sz w:val="21"/>
                <w:szCs w:val="21"/>
              </w:rPr>
              <w:t xml:space="preserve"> </w:t>
            </w:r>
            <w:r>
              <w:rPr>
                <w:sz w:val="21"/>
                <w:szCs w:val="21"/>
                <w:spacing w:val="4"/>
              </w:rPr>
              <w:t>待宰</w:t>
            </w:r>
          </w:p>
          <w:p>
            <w:pPr>
              <w:pStyle w:val="TableText"/>
              <w:spacing w:before="67" w:line="221" w:lineRule="auto"/>
              <w:jc w:val="right"/>
              <w:rPr>
                <w:sz w:val="21"/>
                <w:szCs w:val="21"/>
              </w:rPr>
            </w:pPr>
            <w:r>
              <w:rPr>
                <w:sz w:val="21"/>
                <w:szCs w:val="21"/>
                <w:spacing w:val="-1"/>
              </w:rPr>
              <w:t>圈舍</w:t>
            </w:r>
          </w:p>
        </w:tc>
        <w:tc>
          <w:tcPr>
            <w:tcW w:w="459" w:type="dxa"/>
            <w:vAlign w:val="top"/>
            <w:vMerge w:val="restart"/>
            <w:tcBorders>
              <w:bottom w:val="nil"/>
            </w:tcBorders>
          </w:tcPr>
          <w:p>
            <w:pPr>
              <w:pStyle w:val="TableText"/>
              <w:ind w:left="10"/>
              <w:spacing w:before="143" w:line="219" w:lineRule="auto"/>
              <w:rPr>
                <w:sz w:val="21"/>
                <w:szCs w:val="21"/>
              </w:rPr>
            </w:pPr>
            <w:r>
              <w:rPr>
                <w:sz w:val="21"/>
                <w:szCs w:val="21"/>
                <w:spacing w:val="4"/>
              </w:rPr>
              <w:t>淡季</w:t>
            </w:r>
          </w:p>
        </w:tc>
        <w:tc>
          <w:tcPr>
            <w:tcW w:w="470" w:type="dxa"/>
            <w:vAlign w:val="top"/>
          </w:tcPr>
          <w:p>
            <w:pPr>
              <w:pStyle w:val="TableText"/>
              <w:ind w:left="11"/>
              <w:spacing w:before="68" w:line="150" w:lineRule="exact"/>
              <w:rPr>
                <w:rFonts w:ascii="Calibri" w:hAnsi="Calibri" w:eastAsia="Calibri" w:cs="Calibri"/>
                <w:sz w:val="21"/>
                <w:szCs w:val="21"/>
              </w:rPr>
            </w:pPr>
            <w:r>
              <w:rPr>
                <w:sz w:val="21"/>
                <w:szCs w:val="21"/>
                <w:color w:val="604040"/>
                <w:spacing w:val="-1"/>
                <w:position w:val="-2"/>
              </w:rPr>
              <w:t>NH</w:t>
            </w:r>
            <w:r>
              <w:rPr>
                <w:rFonts w:ascii="Calibri" w:hAnsi="Calibri" w:eastAsia="Calibri" w:cs="Calibri"/>
                <w:sz w:val="21"/>
                <w:szCs w:val="21"/>
                <w:color w:val="604040"/>
                <w:spacing w:val="-1"/>
                <w:position w:val="-2"/>
              </w:rPr>
              <w:t>₃</w:t>
            </w:r>
          </w:p>
        </w:tc>
        <w:tc>
          <w:tcPr>
            <w:tcW w:w="709" w:type="dxa"/>
            <w:vAlign w:val="top"/>
          </w:tcPr>
          <w:p>
            <w:pPr>
              <w:pStyle w:val="TableText"/>
              <w:ind w:left="32"/>
              <w:spacing w:before="55" w:line="163" w:lineRule="exact"/>
              <w:rPr>
                <w:sz w:val="21"/>
                <w:szCs w:val="21"/>
              </w:rPr>
            </w:pPr>
            <w:r>
              <w:rPr>
                <w:sz w:val="21"/>
                <w:szCs w:val="21"/>
                <w:spacing w:val="-2"/>
                <w:position w:val="-2"/>
              </w:rPr>
              <w:t>0.0066</w:t>
            </w:r>
          </w:p>
        </w:tc>
        <w:tc>
          <w:tcPr>
            <w:tcW w:w="609" w:type="dxa"/>
            <w:vAlign w:val="top"/>
          </w:tcPr>
          <w:p>
            <w:pPr>
              <w:pStyle w:val="TableText"/>
              <w:spacing w:before="55" w:line="163" w:lineRule="exact"/>
              <w:jc w:val="right"/>
              <w:rPr>
                <w:sz w:val="21"/>
                <w:szCs w:val="21"/>
              </w:rPr>
            </w:pPr>
            <w:r>
              <w:rPr>
                <w:sz w:val="21"/>
                <w:szCs w:val="21"/>
                <w:color w:val="505060"/>
                <w:spacing w:val="-8"/>
                <w:position w:val="-2"/>
              </w:rPr>
              <w:t>0.0215</w:t>
            </w:r>
          </w:p>
        </w:tc>
        <w:tc>
          <w:tcPr>
            <w:tcW w:w="1378" w:type="dxa"/>
            <w:vAlign w:val="top"/>
            <w:vMerge w:val="restart"/>
            <w:tcBorders>
              <w:bottom w:val="nil"/>
            </w:tcBorders>
          </w:tcPr>
          <w:p>
            <w:pPr>
              <w:pStyle w:val="TableText"/>
              <w:ind w:left="54" w:right="40"/>
              <w:spacing w:before="212"/>
              <w:jc w:val="both"/>
              <w:rPr>
                <w:sz w:val="21"/>
                <w:szCs w:val="21"/>
              </w:rPr>
            </w:pPr>
            <w:r>
              <w:rPr>
                <w:sz w:val="21"/>
                <w:szCs w:val="21"/>
                <w:spacing w:val="2"/>
              </w:rPr>
              <w:t>设置两道门密</w:t>
            </w:r>
            <w:r>
              <w:rPr>
                <w:sz w:val="21"/>
                <w:szCs w:val="21"/>
              </w:rPr>
              <w:t xml:space="preserve"> </w:t>
            </w:r>
            <w:r>
              <w:rPr>
                <w:sz w:val="21"/>
                <w:szCs w:val="21"/>
                <w:spacing w:val="2"/>
              </w:rPr>
              <w:t>闭厂房，定期</w:t>
            </w:r>
            <w:r>
              <w:rPr>
                <w:sz w:val="21"/>
                <w:szCs w:val="21"/>
              </w:rPr>
              <w:t xml:space="preserve"> </w:t>
            </w:r>
            <w:r>
              <w:rPr>
                <w:sz w:val="21"/>
                <w:szCs w:val="21"/>
                <w:spacing w:val="1"/>
              </w:rPr>
              <w:t>喷洒微生物除</w:t>
            </w:r>
            <w:r>
              <w:rPr>
                <w:sz w:val="21"/>
                <w:szCs w:val="21"/>
                <w:spacing w:val="3"/>
              </w:rPr>
              <w:t xml:space="preserve"> </w:t>
            </w:r>
            <w:r>
              <w:rPr>
                <w:sz w:val="21"/>
                <w:szCs w:val="21"/>
                <w:spacing w:val="-2"/>
              </w:rPr>
              <w:t>臭剂，采用干</w:t>
            </w:r>
            <w:r>
              <w:rPr>
                <w:sz w:val="21"/>
                <w:szCs w:val="21"/>
                <w:spacing w:val="2"/>
              </w:rPr>
              <w:t xml:space="preserve"> </w:t>
            </w:r>
            <w:r>
              <w:rPr>
                <w:sz w:val="21"/>
                <w:szCs w:val="21"/>
                <w:spacing w:val="-2"/>
              </w:rPr>
              <w:t>清粪工艺，干</w:t>
            </w:r>
            <w:r>
              <w:rPr>
                <w:sz w:val="21"/>
                <w:szCs w:val="21"/>
                <w:spacing w:val="2"/>
              </w:rPr>
              <w:t xml:space="preserve"> </w:t>
            </w:r>
            <w:r>
              <w:rPr>
                <w:sz w:val="21"/>
                <w:szCs w:val="21"/>
                <w:spacing w:val="22"/>
              </w:rPr>
              <w:t>粪日产日清</w:t>
            </w:r>
          </w:p>
        </w:tc>
        <w:tc>
          <w:tcPr>
            <w:tcW w:w="959" w:type="dxa"/>
            <w:vAlign w:val="top"/>
            <w:vMerge w:val="restart"/>
            <w:tcBorders>
              <w:bottom w:val="nil"/>
            </w:tcBorders>
          </w:tcPr>
          <w:p>
            <w:pPr>
              <w:spacing w:line="341" w:lineRule="auto"/>
              <w:rPr>
                <w:rFonts w:ascii="Arial"/>
                <w:sz w:val="21"/>
              </w:rPr>
            </w:pPr>
            <w:r/>
          </w:p>
          <w:p>
            <w:pPr>
              <w:spacing w:line="341" w:lineRule="auto"/>
              <w:rPr>
                <w:rFonts w:ascii="Arial"/>
                <w:sz w:val="21"/>
              </w:rPr>
            </w:pPr>
            <w:r/>
          </w:p>
          <w:p>
            <w:pPr>
              <w:pStyle w:val="TableText"/>
              <w:ind w:left="155" w:right="174" w:firstLine="110"/>
              <w:spacing w:before="68" w:line="241" w:lineRule="auto"/>
              <w:rPr>
                <w:sz w:val="21"/>
                <w:szCs w:val="21"/>
              </w:rPr>
            </w:pPr>
            <w:r>
              <w:rPr>
                <w:sz w:val="21"/>
                <w:szCs w:val="21"/>
                <w:spacing w:val="-5"/>
              </w:rPr>
              <w:t>无组</w:t>
            </w:r>
            <w:r>
              <w:rPr>
                <w:sz w:val="21"/>
                <w:szCs w:val="21"/>
              </w:rPr>
              <w:t xml:space="preserve">  </w:t>
            </w:r>
            <w:r>
              <w:rPr>
                <w:sz w:val="21"/>
                <w:szCs w:val="21"/>
                <w:spacing w:val="-4"/>
              </w:rPr>
              <w:t>织排放</w:t>
            </w:r>
          </w:p>
        </w:tc>
        <w:tc>
          <w:tcPr>
            <w:tcW w:w="2208" w:type="dxa"/>
            <w:vAlign w:val="top"/>
            <w:gridSpan w:val="2"/>
          </w:tcPr>
          <w:p>
            <w:pPr>
              <w:pStyle w:val="TableText"/>
              <w:ind w:left="996"/>
              <w:spacing w:before="55" w:line="163" w:lineRule="exact"/>
              <w:rPr>
                <w:sz w:val="21"/>
                <w:szCs w:val="21"/>
              </w:rPr>
            </w:pPr>
            <w:r>
              <w:rPr>
                <w:sz w:val="21"/>
                <w:szCs w:val="21"/>
                <w:spacing w:val="-4"/>
                <w:position w:val="-2"/>
              </w:rPr>
              <w:t>50</w:t>
            </w:r>
          </w:p>
        </w:tc>
        <w:tc>
          <w:tcPr>
            <w:tcW w:w="679" w:type="dxa"/>
            <w:vAlign w:val="top"/>
          </w:tcPr>
          <w:p>
            <w:pPr>
              <w:pStyle w:val="TableText"/>
              <w:ind w:left="18"/>
              <w:spacing w:before="55" w:line="163" w:lineRule="exact"/>
              <w:rPr>
                <w:sz w:val="21"/>
                <w:szCs w:val="21"/>
              </w:rPr>
            </w:pPr>
            <w:r>
              <w:rPr>
                <w:sz w:val="21"/>
                <w:szCs w:val="21"/>
                <w:color w:val="404040"/>
                <w:spacing w:val="-2"/>
                <w:position w:val="-2"/>
              </w:rPr>
              <w:t>0.0033</w:t>
            </w:r>
          </w:p>
        </w:tc>
        <w:tc>
          <w:tcPr>
            <w:tcW w:w="574" w:type="dxa"/>
            <w:vAlign w:val="top"/>
          </w:tcPr>
          <w:p>
            <w:pPr>
              <w:pStyle w:val="TableText"/>
              <w:spacing w:before="55" w:line="163" w:lineRule="exact"/>
              <w:jc w:val="right"/>
              <w:rPr>
                <w:sz w:val="21"/>
                <w:szCs w:val="21"/>
              </w:rPr>
            </w:pPr>
            <w:r>
              <w:rPr>
                <w:sz w:val="21"/>
                <w:szCs w:val="21"/>
                <w:color w:val="908060"/>
                <w:spacing w:val="-16"/>
                <w:position w:val="-2"/>
              </w:rPr>
              <w:t>0.</w:t>
            </w:r>
            <w:r>
              <w:rPr>
                <w:sz w:val="21"/>
                <w:szCs w:val="21"/>
                <w:color w:val="908060"/>
                <w:spacing w:val="-15"/>
                <w:position w:val="-2"/>
              </w:rPr>
              <w:t>010</w:t>
            </w:r>
            <w:r>
              <w:rPr>
                <w:sz w:val="21"/>
                <w:szCs w:val="21"/>
                <w:color w:val="908060"/>
                <w:spacing w:val="-13"/>
                <w:position w:val="-2"/>
              </w:rPr>
              <w:t>7</w:t>
            </w:r>
          </w:p>
        </w:tc>
      </w:tr>
      <w:tr>
        <w:trPr>
          <w:trHeight w:val="250" w:hRule="atLeast"/>
        </w:trPr>
        <w:tc>
          <w:tcPr>
            <w:tcW w:w="454" w:type="dxa"/>
            <w:vAlign w:val="top"/>
            <w:vMerge w:val="continue"/>
            <w:tcBorders>
              <w:top w:val="nil"/>
              <w:bottom w:val="nil"/>
            </w:tcBorders>
          </w:tcPr>
          <w:p>
            <w:pPr>
              <w:rPr>
                <w:rFonts w:ascii="Arial"/>
                <w:sz w:val="21"/>
              </w:rPr>
            </w:pPr>
            <w:r/>
          </w:p>
        </w:tc>
        <w:tc>
          <w:tcPr>
            <w:tcW w:w="459" w:type="dxa"/>
            <w:vAlign w:val="top"/>
            <w:vMerge w:val="continue"/>
            <w:tcBorders>
              <w:top w:val="nil"/>
            </w:tcBorders>
          </w:tcPr>
          <w:p>
            <w:pPr>
              <w:rPr>
                <w:rFonts w:ascii="Arial"/>
                <w:sz w:val="21"/>
              </w:rPr>
            </w:pPr>
            <w:r/>
          </w:p>
        </w:tc>
        <w:tc>
          <w:tcPr>
            <w:tcW w:w="470" w:type="dxa"/>
            <w:vAlign w:val="top"/>
          </w:tcPr>
          <w:p>
            <w:pPr>
              <w:pStyle w:val="TableText"/>
              <w:ind w:left="11"/>
              <w:spacing w:before="59" w:line="159"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709" w:type="dxa"/>
            <w:vAlign w:val="top"/>
          </w:tcPr>
          <w:p>
            <w:pPr>
              <w:pStyle w:val="TableText"/>
              <w:ind w:left="32"/>
              <w:spacing w:before="46" w:line="170" w:lineRule="auto"/>
              <w:rPr>
                <w:sz w:val="21"/>
                <w:szCs w:val="21"/>
              </w:rPr>
            </w:pPr>
            <w:r>
              <w:rPr>
                <w:sz w:val="21"/>
                <w:szCs w:val="21"/>
                <w:spacing w:val="-2"/>
              </w:rPr>
              <w:t>0.0025</w:t>
            </w:r>
          </w:p>
        </w:tc>
        <w:tc>
          <w:tcPr>
            <w:tcW w:w="609" w:type="dxa"/>
            <w:vAlign w:val="top"/>
          </w:tcPr>
          <w:p>
            <w:pPr>
              <w:pStyle w:val="TableText"/>
              <w:spacing w:before="46" w:line="170" w:lineRule="auto"/>
              <w:jc w:val="right"/>
              <w:rPr>
                <w:sz w:val="21"/>
                <w:szCs w:val="21"/>
              </w:rPr>
            </w:pPr>
            <w:r>
              <w:rPr>
                <w:sz w:val="21"/>
                <w:szCs w:val="21"/>
                <w:spacing w:val="-8"/>
              </w:rPr>
              <w:t>0.0080</w:t>
            </w:r>
          </w:p>
        </w:tc>
        <w:tc>
          <w:tcPr>
            <w:tcW w:w="137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2208" w:type="dxa"/>
            <w:vAlign w:val="top"/>
            <w:gridSpan w:val="2"/>
          </w:tcPr>
          <w:p>
            <w:pPr>
              <w:pStyle w:val="TableText"/>
              <w:ind w:left="996"/>
              <w:spacing w:before="46" w:line="170" w:lineRule="auto"/>
              <w:rPr>
                <w:sz w:val="21"/>
                <w:szCs w:val="21"/>
              </w:rPr>
            </w:pPr>
            <w:r>
              <w:rPr>
                <w:sz w:val="21"/>
                <w:szCs w:val="21"/>
                <w:spacing w:val="-4"/>
              </w:rPr>
              <w:t>50</w:t>
            </w:r>
          </w:p>
        </w:tc>
        <w:tc>
          <w:tcPr>
            <w:tcW w:w="679" w:type="dxa"/>
            <w:vAlign w:val="top"/>
          </w:tcPr>
          <w:p>
            <w:pPr>
              <w:pStyle w:val="TableText"/>
              <w:ind w:left="18"/>
              <w:spacing w:before="46" w:line="170" w:lineRule="auto"/>
              <w:rPr>
                <w:sz w:val="21"/>
                <w:szCs w:val="21"/>
              </w:rPr>
            </w:pPr>
            <w:r>
              <w:rPr>
                <w:sz w:val="21"/>
                <w:szCs w:val="21"/>
                <w:spacing w:val="-2"/>
              </w:rPr>
              <w:t>0.0012</w:t>
            </w:r>
          </w:p>
        </w:tc>
        <w:tc>
          <w:tcPr>
            <w:tcW w:w="574" w:type="dxa"/>
            <w:vAlign w:val="top"/>
          </w:tcPr>
          <w:p>
            <w:pPr>
              <w:pStyle w:val="TableText"/>
              <w:spacing w:before="46" w:line="170" w:lineRule="auto"/>
              <w:jc w:val="right"/>
              <w:rPr>
                <w:sz w:val="21"/>
                <w:szCs w:val="21"/>
              </w:rPr>
            </w:pPr>
            <w:r>
              <w:rPr>
                <w:sz w:val="21"/>
                <w:szCs w:val="21"/>
                <w:color w:val="A0A080"/>
                <w:spacing w:val="-16"/>
              </w:rPr>
              <w:t>0.00</w:t>
            </w:r>
            <w:r>
              <w:rPr>
                <w:sz w:val="21"/>
                <w:szCs w:val="21"/>
                <w:color w:val="A0A080"/>
                <w:spacing w:val="-15"/>
              </w:rPr>
              <w:t>4</w:t>
            </w:r>
            <w:r>
              <w:rPr>
                <w:sz w:val="21"/>
                <w:szCs w:val="21"/>
                <w:color w:val="A0A080"/>
                <w:spacing w:val="-11"/>
              </w:rPr>
              <w:t>0</w:t>
            </w:r>
          </w:p>
        </w:tc>
      </w:tr>
      <w:tr>
        <w:trPr>
          <w:trHeight w:val="230" w:hRule="atLeast"/>
        </w:trPr>
        <w:tc>
          <w:tcPr>
            <w:tcW w:w="454" w:type="dxa"/>
            <w:vAlign w:val="top"/>
            <w:vMerge w:val="continue"/>
            <w:tcBorders>
              <w:top w:val="nil"/>
              <w:bottom w:val="nil"/>
            </w:tcBorders>
          </w:tcPr>
          <w:p>
            <w:pPr>
              <w:rPr>
                <w:rFonts w:ascii="Arial"/>
                <w:sz w:val="21"/>
              </w:rPr>
            </w:pPr>
            <w:r/>
          </w:p>
        </w:tc>
        <w:tc>
          <w:tcPr>
            <w:tcW w:w="459" w:type="dxa"/>
            <w:vAlign w:val="top"/>
            <w:vMerge w:val="restart"/>
            <w:tcBorders>
              <w:bottom w:val="nil"/>
            </w:tcBorders>
          </w:tcPr>
          <w:p>
            <w:pPr>
              <w:pStyle w:val="TableText"/>
              <w:ind w:left="10"/>
              <w:spacing w:before="145" w:line="219" w:lineRule="auto"/>
              <w:rPr>
                <w:sz w:val="21"/>
                <w:szCs w:val="21"/>
              </w:rPr>
            </w:pPr>
            <w:r>
              <w:rPr>
                <w:sz w:val="21"/>
                <w:szCs w:val="21"/>
                <w:spacing w:val="4"/>
              </w:rPr>
              <w:t>旺季</w:t>
            </w:r>
          </w:p>
        </w:tc>
        <w:tc>
          <w:tcPr>
            <w:tcW w:w="470" w:type="dxa"/>
            <w:vAlign w:val="top"/>
          </w:tcPr>
          <w:p>
            <w:pPr>
              <w:pStyle w:val="TableText"/>
              <w:ind w:left="11"/>
              <w:spacing w:before="69" w:line="151" w:lineRule="exact"/>
              <w:rPr>
                <w:rFonts w:ascii="Calibri" w:hAnsi="Calibri" w:eastAsia="Calibri" w:cs="Calibri"/>
                <w:sz w:val="21"/>
                <w:szCs w:val="21"/>
              </w:rPr>
            </w:pPr>
            <w:r>
              <w:rPr>
                <w:sz w:val="21"/>
                <w:szCs w:val="21"/>
                <w:color w:val="504040"/>
                <w:spacing w:val="-1"/>
                <w:position w:val="-2"/>
              </w:rPr>
              <w:t>NH</w:t>
            </w:r>
            <w:r>
              <w:rPr>
                <w:rFonts w:ascii="Calibri" w:hAnsi="Calibri" w:eastAsia="Calibri" w:cs="Calibri"/>
                <w:sz w:val="21"/>
                <w:szCs w:val="21"/>
                <w:color w:val="504040"/>
                <w:spacing w:val="-1"/>
                <w:position w:val="-2"/>
              </w:rPr>
              <w:t>₃</w:t>
            </w:r>
          </w:p>
        </w:tc>
        <w:tc>
          <w:tcPr>
            <w:tcW w:w="709" w:type="dxa"/>
            <w:vAlign w:val="top"/>
          </w:tcPr>
          <w:p>
            <w:pPr>
              <w:pStyle w:val="TableText"/>
              <w:ind w:left="32"/>
              <w:spacing w:before="56" w:line="163" w:lineRule="exact"/>
              <w:rPr>
                <w:sz w:val="21"/>
                <w:szCs w:val="21"/>
              </w:rPr>
            </w:pPr>
            <w:r>
              <w:rPr>
                <w:sz w:val="21"/>
                <w:szCs w:val="21"/>
                <w:spacing w:val="-2"/>
                <w:position w:val="-2"/>
              </w:rPr>
              <w:t>0.0096</w:t>
            </w:r>
          </w:p>
        </w:tc>
        <w:tc>
          <w:tcPr>
            <w:tcW w:w="609" w:type="dxa"/>
            <w:vAlign w:val="top"/>
          </w:tcPr>
          <w:p>
            <w:pPr>
              <w:pStyle w:val="TableText"/>
              <w:spacing w:before="56" w:line="163" w:lineRule="exact"/>
              <w:jc w:val="right"/>
              <w:rPr>
                <w:sz w:val="21"/>
                <w:szCs w:val="21"/>
              </w:rPr>
            </w:pPr>
            <w:r>
              <w:rPr>
                <w:sz w:val="21"/>
                <w:szCs w:val="21"/>
                <w:spacing w:val="-8"/>
                <w:position w:val="-2"/>
              </w:rPr>
              <w:t>0.0103</w:t>
            </w:r>
          </w:p>
        </w:tc>
        <w:tc>
          <w:tcPr>
            <w:tcW w:w="137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2208" w:type="dxa"/>
            <w:vAlign w:val="top"/>
            <w:gridSpan w:val="2"/>
          </w:tcPr>
          <w:p>
            <w:pPr>
              <w:pStyle w:val="TableText"/>
              <w:ind w:left="996"/>
              <w:spacing w:before="56" w:line="163" w:lineRule="exact"/>
              <w:rPr>
                <w:sz w:val="21"/>
                <w:szCs w:val="21"/>
              </w:rPr>
            </w:pPr>
            <w:r>
              <w:rPr>
                <w:sz w:val="21"/>
                <w:szCs w:val="21"/>
                <w:spacing w:val="-4"/>
                <w:position w:val="-2"/>
              </w:rPr>
              <w:t>50</w:t>
            </w:r>
          </w:p>
        </w:tc>
        <w:tc>
          <w:tcPr>
            <w:tcW w:w="679" w:type="dxa"/>
            <w:vAlign w:val="top"/>
          </w:tcPr>
          <w:p>
            <w:pPr>
              <w:pStyle w:val="TableText"/>
              <w:ind w:left="18"/>
              <w:spacing w:before="56" w:line="163" w:lineRule="exact"/>
              <w:rPr>
                <w:sz w:val="21"/>
                <w:szCs w:val="21"/>
              </w:rPr>
            </w:pPr>
            <w:r>
              <w:rPr>
                <w:sz w:val="21"/>
                <w:szCs w:val="21"/>
                <w:spacing w:val="-2"/>
                <w:position w:val="-2"/>
              </w:rPr>
              <w:t>0.0048</w:t>
            </w:r>
          </w:p>
        </w:tc>
        <w:tc>
          <w:tcPr>
            <w:tcW w:w="574" w:type="dxa"/>
            <w:vAlign w:val="top"/>
          </w:tcPr>
          <w:p>
            <w:pPr>
              <w:pStyle w:val="TableText"/>
              <w:spacing w:before="56" w:line="163" w:lineRule="exact"/>
              <w:jc w:val="right"/>
              <w:rPr>
                <w:sz w:val="21"/>
                <w:szCs w:val="21"/>
              </w:rPr>
            </w:pPr>
            <w:r>
              <w:rPr>
                <w:sz w:val="21"/>
                <w:szCs w:val="21"/>
                <w:color w:val="806060"/>
                <w:spacing w:val="-16"/>
                <w:position w:val="-2"/>
              </w:rPr>
              <w:t>0</w:t>
            </w:r>
            <w:r>
              <w:rPr>
                <w:sz w:val="21"/>
                <w:szCs w:val="21"/>
                <w:color w:val="806060"/>
                <w:spacing w:val="-15"/>
                <w:position w:val="-2"/>
              </w:rPr>
              <w:t>.005</w:t>
            </w:r>
            <w:r>
              <w:rPr>
                <w:sz w:val="21"/>
                <w:szCs w:val="21"/>
                <w:color w:val="806060"/>
                <w:spacing w:val="-14"/>
                <w:position w:val="-2"/>
              </w:rPr>
              <w:t>2</w:t>
            </w:r>
          </w:p>
        </w:tc>
      </w:tr>
      <w:tr>
        <w:trPr>
          <w:trHeight w:val="250" w:hRule="atLeast"/>
        </w:trPr>
        <w:tc>
          <w:tcPr>
            <w:tcW w:w="454" w:type="dxa"/>
            <w:vAlign w:val="top"/>
            <w:vMerge w:val="continue"/>
            <w:tcBorders>
              <w:top w:val="nil"/>
            </w:tcBorders>
          </w:tcPr>
          <w:p>
            <w:pPr>
              <w:rPr>
                <w:rFonts w:ascii="Arial"/>
                <w:sz w:val="21"/>
              </w:rPr>
            </w:pPr>
            <w:r/>
          </w:p>
        </w:tc>
        <w:tc>
          <w:tcPr>
            <w:tcW w:w="459" w:type="dxa"/>
            <w:vAlign w:val="top"/>
            <w:vMerge w:val="continue"/>
            <w:tcBorders>
              <w:top w:val="nil"/>
            </w:tcBorders>
          </w:tcPr>
          <w:p>
            <w:pPr>
              <w:rPr>
                <w:rFonts w:ascii="Arial"/>
                <w:sz w:val="21"/>
              </w:rPr>
            </w:pPr>
            <w:r/>
          </w:p>
        </w:tc>
        <w:tc>
          <w:tcPr>
            <w:tcW w:w="470" w:type="dxa"/>
            <w:vAlign w:val="top"/>
          </w:tcPr>
          <w:p>
            <w:pPr>
              <w:pStyle w:val="TableText"/>
              <w:ind w:left="11"/>
              <w:spacing w:before="59" w:line="159"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709" w:type="dxa"/>
            <w:vAlign w:val="top"/>
          </w:tcPr>
          <w:p>
            <w:pPr>
              <w:pStyle w:val="TableText"/>
              <w:ind w:left="32"/>
              <w:spacing w:before="46" w:line="170" w:lineRule="auto"/>
              <w:rPr>
                <w:sz w:val="21"/>
                <w:szCs w:val="21"/>
              </w:rPr>
            </w:pPr>
            <w:r>
              <w:rPr>
                <w:sz w:val="21"/>
                <w:szCs w:val="21"/>
                <w:color w:val="605040"/>
                <w:spacing w:val="-2"/>
              </w:rPr>
              <w:t>0.0036</w:t>
            </w:r>
          </w:p>
        </w:tc>
        <w:tc>
          <w:tcPr>
            <w:tcW w:w="609" w:type="dxa"/>
            <w:vAlign w:val="top"/>
          </w:tcPr>
          <w:p>
            <w:pPr>
              <w:pStyle w:val="TableText"/>
              <w:spacing w:before="46" w:line="170" w:lineRule="auto"/>
              <w:jc w:val="right"/>
              <w:rPr>
                <w:sz w:val="21"/>
                <w:szCs w:val="21"/>
              </w:rPr>
            </w:pPr>
            <w:r>
              <w:rPr>
                <w:sz w:val="21"/>
                <w:szCs w:val="21"/>
                <w:spacing w:val="-8"/>
              </w:rPr>
              <w:t>0.0038</w:t>
            </w:r>
          </w:p>
        </w:tc>
        <w:tc>
          <w:tcPr>
            <w:tcW w:w="137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2208" w:type="dxa"/>
            <w:vAlign w:val="top"/>
            <w:gridSpan w:val="2"/>
          </w:tcPr>
          <w:p>
            <w:pPr>
              <w:pStyle w:val="TableText"/>
              <w:ind w:left="996"/>
              <w:spacing w:before="46" w:line="170" w:lineRule="auto"/>
              <w:rPr>
                <w:sz w:val="21"/>
                <w:szCs w:val="21"/>
              </w:rPr>
            </w:pPr>
            <w:r>
              <w:rPr>
                <w:sz w:val="21"/>
                <w:szCs w:val="21"/>
                <w:spacing w:val="-4"/>
              </w:rPr>
              <w:t>50</w:t>
            </w:r>
          </w:p>
        </w:tc>
        <w:tc>
          <w:tcPr>
            <w:tcW w:w="679" w:type="dxa"/>
            <w:vAlign w:val="top"/>
          </w:tcPr>
          <w:p>
            <w:pPr>
              <w:pStyle w:val="TableText"/>
              <w:ind w:left="18"/>
              <w:spacing w:before="46" w:line="170" w:lineRule="auto"/>
              <w:rPr>
                <w:sz w:val="21"/>
                <w:szCs w:val="21"/>
              </w:rPr>
            </w:pPr>
            <w:r>
              <w:rPr>
                <w:sz w:val="21"/>
                <w:szCs w:val="21"/>
                <w:spacing w:val="-2"/>
              </w:rPr>
              <w:t>0.0018</w:t>
            </w:r>
          </w:p>
        </w:tc>
        <w:tc>
          <w:tcPr>
            <w:tcW w:w="574" w:type="dxa"/>
            <w:vAlign w:val="top"/>
          </w:tcPr>
          <w:p>
            <w:pPr>
              <w:pStyle w:val="TableText"/>
              <w:spacing w:before="46" w:line="170" w:lineRule="auto"/>
              <w:jc w:val="right"/>
              <w:rPr>
                <w:sz w:val="21"/>
                <w:szCs w:val="21"/>
              </w:rPr>
            </w:pPr>
            <w:r>
              <w:rPr>
                <w:sz w:val="21"/>
                <w:szCs w:val="21"/>
                <w:color w:val="907060"/>
                <w:spacing w:val="-16"/>
              </w:rPr>
              <w:t>0.0</w:t>
            </w:r>
            <w:r>
              <w:rPr>
                <w:sz w:val="21"/>
                <w:szCs w:val="21"/>
                <w:color w:val="907060"/>
                <w:spacing w:val="-15"/>
              </w:rPr>
              <w:t>01</w:t>
            </w:r>
            <w:r>
              <w:rPr>
                <w:sz w:val="21"/>
                <w:szCs w:val="21"/>
                <w:color w:val="907060"/>
                <w:spacing w:val="-12"/>
              </w:rPr>
              <w:t>9</w:t>
            </w:r>
          </w:p>
        </w:tc>
      </w:tr>
      <w:tr>
        <w:trPr>
          <w:trHeight w:val="239" w:hRule="atLeast"/>
        </w:trPr>
        <w:tc>
          <w:tcPr>
            <w:tcW w:w="454" w:type="dxa"/>
            <w:vAlign w:val="top"/>
            <w:vMerge w:val="restart"/>
            <w:tcBorders>
              <w:bottom w:val="nil"/>
            </w:tcBorders>
          </w:tcPr>
          <w:p>
            <w:pPr>
              <w:pStyle w:val="TableText"/>
              <w:ind w:left="15" w:firstLine="9"/>
              <w:spacing w:before="155" w:line="215" w:lineRule="auto"/>
              <w:rPr>
                <w:sz w:val="21"/>
                <w:szCs w:val="21"/>
              </w:rPr>
            </w:pPr>
            <w:r>
              <w:rPr>
                <w:sz w:val="21"/>
                <w:szCs w:val="21"/>
                <w:spacing w:val="-9"/>
              </w:rPr>
              <w:t>生猪</w:t>
            </w:r>
            <w:r>
              <w:rPr>
                <w:sz w:val="21"/>
                <w:szCs w:val="21"/>
              </w:rPr>
              <w:t xml:space="preserve"> </w:t>
            </w:r>
            <w:r>
              <w:rPr>
                <w:sz w:val="21"/>
                <w:szCs w:val="21"/>
                <w:spacing w:val="4"/>
              </w:rPr>
              <w:t>屠宰</w:t>
            </w:r>
          </w:p>
          <w:p>
            <w:pPr>
              <w:pStyle w:val="TableText"/>
              <w:spacing w:before="60" w:line="219" w:lineRule="auto"/>
              <w:jc w:val="right"/>
              <w:rPr>
                <w:sz w:val="21"/>
                <w:szCs w:val="21"/>
              </w:rPr>
            </w:pPr>
            <w:r>
              <w:rPr>
                <w:sz w:val="21"/>
                <w:szCs w:val="21"/>
                <w:spacing w:val="-1"/>
              </w:rPr>
              <w:t>车间</w:t>
            </w:r>
          </w:p>
        </w:tc>
        <w:tc>
          <w:tcPr>
            <w:tcW w:w="459" w:type="dxa"/>
            <w:vAlign w:val="top"/>
            <w:vMerge w:val="restart"/>
            <w:tcBorders>
              <w:bottom w:val="nil"/>
            </w:tcBorders>
          </w:tcPr>
          <w:p>
            <w:pPr>
              <w:pStyle w:val="TableText"/>
              <w:ind w:left="10"/>
              <w:spacing w:before="144" w:line="219" w:lineRule="auto"/>
              <w:rPr>
                <w:sz w:val="21"/>
                <w:szCs w:val="21"/>
              </w:rPr>
            </w:pPr>
            <w:r>
              <w:rPr>
                <w:sz w:val="21"/>
                <w:szCs w:val="21"/>
                <w:spacing w:val="4"/>
              </w:rPr>
              <w:t>淡季</w:t>
            </w:r>
          </w:p>
        </w:tc>
        <w:tc>
          <w:tcPr>
            <w:tcW w:w="470" w:type="dxa"/>
            <w:vAlign w:val="top"/>
          </w:tcPr>
          <w:p>
            <w:pPr>
              <w:pStyle w:val="TableText"/>
              <w:ind w:left="11"/>
              <w:spacing w:before="59" w:line="169" w:lineRule="exact"/>
              <w:rPr>
                <w:rFonts w:ascii="Calibri" w:hAnsi="Calibri" w:eastAsia="Calibri" w:cs="Calibri"/>
                <w:sz w:val="21"/>
                <w:szCs w:val="21"/>
              </w:rPr>
            </w:pPr>
            <w:r>
              <w:rPr>
                <w:sz w:val="21"/>
                <w:szCs w:val="21"/>
                <w:color w:val="604040"/>
                <w:spacing w:val="-1"/>
                <w:position w:val="-1"/>
              </w:rPr>
              <w:t>NH</w:t>
            </w:r>
            <w:r>
              <w:rPr>
                <w:rFonts w:ascii="Calibri" w:hAnsi="Calibri" w:eastAsia="Calibri" w:cs="Calibri"/>
                <w:sz w:val="21"/>
                <w:szCs w:val="21"/>
                <w:color w:val="604040"/>
                <w:spacing w:val="-1"/>
                <w:position w:val="-1"/>
              </w:rPr>
              <w:t>₃</w:t>
            </w:r>
          </w:p>
        </w:tc>
        <w:tc>
          <w:tcPr>
            <w:tcW w:w="709" w:type="dxa"/>
            <w:vAlign w:val="top"/>
          </w:tcPr>
          <w:p>
            <w:pPr>
              <w:pStyle w:val="TableText"/>
              <w:ind w:left="32"/>
              <w:spacing w:before="46" w:line="160" w:lineRule="auto"/>
              <w:rPr>
                <w:sz w:val="21"/>
                <w:szCs w:val="21"/>
              </w:rPr>
            </w:pPr>
            <w:r>
              <w:rPr>
                <w:sz w:val="21"/>
                <w:szCs w:val="21"/>
                <w:spacing w:val="-2"/>
              </w:rPr>
              <w:t>0.0034</w:t>
            </w:r>
          </w:p>
        </w:tc>
        <w:tc>
          <w:tcPr>
            <w:tcW w:w="609" w:type="dxa"/>
            <w:vAlign w:val="top"/>
          </w:tcPr>
          <w:p>
            <w:pPr>
              <w:pStyle w:val="TableText"/>
              <w:spacing w:before="46" w:line="160" w:lineRule="auto"/>
              <w:jc w:val="right"/>
              <w:rPr>
                <w:sz w:val="21"/>
                <w:szCs w:val="21"/>
              </w:rPr>
            </w:pPr>
            <w:r>
              <w:rPr>
                <w:sz w:val="21"/>
                <w:szCs w:val="21"/>
                <w:color w:val="504040"/>
                <w:spacing w:val="-8"/>
              </w:rPr>
              <w:t>0.0073</w:t>
            </w:r>
          </w:p>
        </w:tc>
        <w:tc>
          <w:tcPr>
            <w:tcW w:w="137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2208" w:type="dxa"/>
            <w:vAlign w:val="top"/>
            <w:gridSpan w:val="2"/>
          </w:tcPr>
          <w:p>
            <w:pPr>
              <w:pStyle w:val="TableText"/>
              <w:ind w:left="996"/>
              <w:spacing w:before="46" w:line="160" w:lineRule="auto"/>
              <w:rPr>
                <w:sz w:val="21"/>
                <w:szCs w:val="21"/>
              </w:rPr>
            </w:pPr>
            <w:r>
              <w:rPr>
                <w:sz w:val="21"/>
                <w:szCs w:val="21"/>
                <w:spacing w:val="-4"/>
              </w:rPr>
              <w:t>50</w:t>
            </w:r>
          </w:p>
        </w:tc>
        <w:tc>
          <w:tcPr>
            <w:tcW w:w="679" w:type="dxa"/>
            <w:vAlign w:val="top"/>
          </w:tcPr>
          <w:p>
            <w:pPr>
              <w:pStyle w:val="TableText"/>
              <w:ind w:left="18"/>
              <w:spacing w:before="46" w:line="160" w:lineRule="auto"/>
              <w:rPr>
                <w:sz w:val="21"/>
                <w:szCs w:val="21"/>
              </w:rPr>
            </w:pPr>
            <w:r>
              <w:rPr>
                <w:sz w:val="21"/>
                <w:szCs w:val="21"/>
                <w:spacing w:val="-2"/>
              </w:rPr>
              <w:t>0.0017</w:t>
            </w:r>
          </w:p>
        </w:tc>
        <w:tc>
          <w:tcPr>
            <w:tcW w:w="574" w:type="dxa"/>
            <w:vAlign w:val="top"/>
          </w:tcPr>
          <w:p>
            <w:pPr>
              <w:pStyle w:val="TableText"/>
              <w:spacing w:before="46" w:line="160" w:lineRule="auto"/>
              <w:jc w:val="right"/>
              <w:rPr>
                <w:sz w:val="21"/>
                <w:szCs w:val="21"/>
              </w:rPr>
            </w:pPr>
            <w:r>
              <w:rPr>
                <w:sz w:val="21"/>
                <w:szCs w:val="21"/>
                <w:color w:val="807060"/>
                <w:spacing w:val="-16"/>
              </w:rPr>
              <w:t>0.00</w:t>
            </w:r>
            <w:r>
              <w:rPr>
                <w:sz w:val="21"/>
                <w:szCs w:val="21"/>
                <w:color w:val="807060"/>
                <w:spacing w:val="-15"/>
              </w:rPr>
              <w:t>3</w:t>
            </w:r>
            <w:r>
              <w:rPr>
                <w:sz w:val="21"/>
                <w:szCs w:val="21"/>
                <w:color w:val="807060"/>
                <w:spacing w:val="-11"/>
              </w:rPr>
              <w:t>6</w:t>
            </w:r>
          </w:p>
        </w:tc>
      </w:tr>
      <w:tr>
        <w:trPr>
          <w:trHeight w:val="240" w:hRule="atLeast"/>
        </w:trPr>
        <w:tc>
          <w:tcPr>
            <w:tcW w:w="454" w:type="dxa"/>
            <w:vAlign w:val="top"/>
            <w:vMerge w:val="continue"/>
            <w:tcBorders>
              <w:top w:val="nil"/>
              <w:bottom w:val="nil"/>
            </w:tcBorders>
          </w:tcPr>
          <w:p>
            <w:pPr>
              <w:rPr>
                <w:rFonts w:ascii="Arial"/>
                <w:sz w:val="21"/>
              </w:rPr>
            </w:pPr>
            <w:r/>
          </w:p>
        </w:tc>
        <w:tc>
          <w:tcPr>
            <w:tcW w:w="459" w:type="dxa"/>
            <w:vAlign w:val="top"/>
            <w:vMerge w:val="continue"/>
            <w:tcBorders>
              <w:top w:val="nil"/>
            </w:tcBorders>
          </w:tcPr>
          <w:p>
            <w:pPr>
              <w:rPr>
                <w:rFonts w:ascii="Arial"/>
                <w:sz w:val="21"/>
              </w:rPr>
            </w:pPr>
            <w:r/>
          </w:p>
        </w:tc>
        <w:tc>
          <w:tcPr>
            <w:tcW w:w="470" w:type="dxa"/>
            <w:vAlign w:val="top"/>
          </w:tcPr>
          <w:p>
            <w:pPr>
              <w:pStyle w:val="TableText"/>
              <w:ind w:left="11"/>
              <w:spacing w:before="60" w:line="170" w:lineRule="exact"/>
              <w:rPr>
                <w:sz w:val="21"/>
                <w:szCs w:val="21"/>
              </w:rPr>
            </w:pPr>
            <w:r>
              <w:rPr>
                <w:sz w:val="21"/>
                <w:szCs w:val="21"/>
                <w:spacing w:val="-2"/>
                <w:position w:val="-1"/>
              </w:rPr>
              <w:t>H</w:t>
            </w:r>
            <w:r>
              <w:rPr>
                <w:rFonts w:ascii="Calibri" w:hAnsi="Calibri" w:eastAsia="Calibri" w:cs="Calibri"/>
                <w:sz w:val="21"/>
                <w:szCs w:val="21"/>
                <w:spacing w:val="-2"/>
                <w:position w:val="-1"/>
              </w:rPr>
              <w:t>₂</w:t>
            </w:r>
            <w:r>
              <w:rPr>
                <w:sz w:val="21"/>
                <w:szCs w:val="21"/>
                <w:spacing w:val="-2"/>
                <w:position w:val="-1"/>
              </w:rPr>
              <w:t>S</w:t>
            </w:r>
          </w:p>
        </w:tc>
        <w:tc>
          <w:tcPr>
            <w:tcW w:w="709" w:type="dxa"/>
            <w:vAlign w:val="top"/>
          </w:tcPr>
          <w:p>
            <w:pPr>
              <w:pStyle w:val="TableText"/>
              <w:ind w:left="32"/>
              <w:spacing w:before="48" w:line="160" w:lineRule="auto"/>
              <w:rPr>
                <w:sz w:val="21"/>
                <w:szCs w:val="21"/>
              </w:rPr>
            </w:pPr>
            <w:r>
              <w:rPr>
                <w:sz w:val="21"/>
                <w:szCs w:val="21"/>
                <w:spacing w:val="-2"/>
              </w:rPr>
              <w:t>0.0009</w:t>
            </w:r>
          </w:p>
        </w:tc>
        <w:tc>
          <w:tcPr>
            <w:tcW w:w="609" w:type="dxa"/>
            <w:vAlign w:val="top"/>
          </w:tcPr>
          <w:p>
            <w:pPr>
              <w:pStyle w:val="TableText"/>
              <w:spacing w:before="48" w:line="160" w:lineRule="auto"/>
              <w:jc w:val="right"/>
              <w:rPr>
                <w:sz w:val="21"/>
                <w:szCs w:val="21"/>
              </w:rPr>
            </w:pPr>
            <w:r>
              <w:rPr>
                <w:sz w:val="21"/>
                <w:szCs w:val="21"/>
                <w:spacing w:val="-8"/>
              </w:rPr>
              <w:t>0.0020</w:t>
            </w:r>
          </w:p>
        </w:tc>
        <w:tc>
          <w:tcPr>
            <w:tcW w:w="137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2208" w:type="dxa"/>
            <w:vAlign w:val="top"/>
            <w:gridSpan w:val="2"/>
          </w:tcPr>
          <w:p>
            <w:pPr>
              <w:pStyle w:val="TableText"/>
              <w:ind w:left="996"/>
              <w:spacing w:before="48" w:line="160" w:lineRule="auto"/>
              <w:rPr>
                <w:sz w:val="21"/>
                <w:szCs w:val="21"/>
              </w:rPr>
            </w:pPr>
            <w:r>
              <w:rPr>
                <w:sz w:val="21"/>
                <w:szCs w:val="21"/>
                <w:spacing w:val="-4"/>
              </w:rPr>
              <w:t>50</w:t>
            </w:r>
          </w:p>
        </w:tc>
        <w:tc>
          <w:tcPr>
            <w:tcW w:w="679" w:type="dxa"/>
            <w:vAlign w:val="top"/>
          </w:tcPr>
          <w:p>
            <w:pPr>
              <w:pStyle w:val="TableText"/>
              <w:ind w:left="18"/>
              <w:spacing w:before="48" w:line="160" w:lineRule="auto"/>
              <w:rPr>
                <w:sz w:val="21"/>
                <w:szCs w:val="21"/>
              </w:rPr>
            </w:pPr>
            <w:r>
              <w:rPr>
                <w:sz w:val="21"/>
                <w:szCs w:val="21"/>
                <w:spacing w:val="-2"/>
              </w:rPr>
              <w:t>0.0005</w:t>
            </w:r>
          </w:p>
        </w:tc>
        <w:tc>
          <w:tcPr>
            <w:tcW w:w="574" w:type="dxa"/>
            <w:vAlign w:val="top"/>
          </w:tcPr>
          <w:p>
            <w:pPr>
              <w:pStyle w:val="TableText"/>
              <w:spacing w:before="48" w:line="160" w:lineRule="auto"/>
              <w:jc w:val="right"/>
              <w:rPr>
                <w:sz w:val="21"/>
                <w:szCs w:val="21"/>
              </w:rPr>
            </w:pPr>
            <w:r>
              <w:rPr>
                <w:sz w:val="21"/>
                <w:szCs w:val="21"/>
                <w:color w:val="807060"/>
                <w:spacing w:val="-16"/>
              </w:rPr>
              <w:t>0.00</w:t>
            </w:r>
            <w:r>
              <w:rPr>
                <w:sz w:val="21"/>
                <w:szCs w:val="21"/>
                <w:color w:val="807060"/>
                <w:spacing w:val="-15"/>
              </w:rPr>
              <w:t>1</w:t>
            </w:r>
            <w:r>
              <w:rPr>
                <w:sz w:val="21"/>
                <w:szCs w:val="21"/>
                <w:color w:val="807060"/>
                <w:spacing w:val="-11"/>
              </w:rPr>
              <w:t>0</w:t>
            </w:r>
          </w:p>
        </w:tc>
      </w:tr>
      <w:tr>
        <w:trPr>
          <w:trHeight w:val="239" w:hRule="atLeast"/>
        </w:trPr>
        <w:tc>
          <w:tcPr>
            <w:tcW w:w="454" w:type="dxa"/>
            <w:vAlign w:val="top"/>
            <w:vMerge w:val="continue"/>
            <w:tcBorders>
              <w:top w:val="nil"/>
              <w:bottom w:val="nil"/>
            </w:tcBorders>
          </w:tcPr>
          <w:p>
            <w:pPr>
              <w:rPr>
                <w:rFonts w:ascii="Arial"/>
                <w:sz w:val="21"/>
              </w:rPr>
            </w:pPr>
            <w:r/>
          </w:p>
        </w:tc>
        <w:tc>
          <w:tcPr>
            <w:tcW w:w="459" w:type="dxa"/>
            <w:vAlign w:val="top"/>
            <w:vMerge w:val="restart"/>
            <w:tcBorders>
              <w:bottom w:val="nil"/>
            </w:tcBorders>
          </w:tcPr>
          <w:p>
            <w:pPr>
              <w:pStyle w:val="TableText"/>
              <w:ind w:left="10"/>
              <w:spacing w:before="156" w:line="219" w:lineRule="auto"/>
              <w:rPr>
                <w:sz w:val="21"/>
                <w:szCs w:val="21"/>
              </w:rPr>
            </w:pPr>
            <w:r>
              <w:rPr>
                <w:sz w:val="21"/>
                <w:szCs w:val="21"/>
                <w:spacing w:val="4"/>
              </w:rPr>
              <w:t>旺季</w:t>
            </w:r>
          </w:p>
        </w:tc>
        <w:tc>
          <w:tcPr>
            <w:tcW w:w="470" w:type="dxa"/>
            <w:vAlign w:val="top"/>
          </w:tcPr>
          <w:p>
            <w:pPr>
              <w:pStyle w:val="TableText"/>
              <w:ind w:left="11"/>
              <w:spacing w:before="60" w:line="168" w:lineRule="exact"/>
              <w:rPr>
                <w:rFonts w:ascii="Calibri" w:hAnsi="Calibri" w:eastAsia="Calibri" w:cs="Calibri"/>
                <w:sz w:val="21"/>
                <w:szCs w:val="21"/>
              </w:rPr>
            </w:pPr>
            <w:r>
              <w:rPr>
                <w:sz w:val="21"/>
                <w:szCs w:val="21"/>
                <w:spacing w:val="-1"/>
                <w:position w:val="-1"/>
              </w:rPr>
              <w:t>NH</w:t>
            </w:r>
            <w:r>
              <w:rPr>
                <w:rFonts w:ascii="Calibri" w:hAnsi="Calibri" w:eastAsia="Calibri" w:cs="Calibri"/>
                <w:sz w:val="21"/>
                <w:szCs w:val="21"/>
                <w:spacing w:val="-1"/>
                <w:position w:val="-1"/>
              </w:rPr>
              <w:t>₃</w:t>
            </w:r>
          </w:p>
        </w:tc>
        <w:tc>
          <w:tcPr>
            <w:tcW w:w="709" w:type="dxa"/>
            <w:vAlign w:val="top"/>
          </w:tcPr>
          <w:p>
            <w:pPr>
              <w:pStyle w:val="TableText"/>
              <w:ind w:left="32"/>
              <w:spacing w:before="48" w:line="159" w:lineRule="auto"/>
              <w:rPr>
                <w:sz w:val="21"/>
                <w:szCs w:val="21"/>
              </w:rPr>
            </w:pPr>
            <w:r>
              <w:rPr>
                <w:sz w:val="21"/>
                <w:szCs w:val="21"/>
                <w:spacing w:val="-2"/>
              </w:rPr>
              <w:t>0.0049</w:t>
            </w:r>
          </w:p>
        </w:tc>
        <w:tc>
          <w:tcPr>
            <w:tcW w:w="609" w:type="dxa"/>
            <w:vAlign w:val="top"/>
          </w:tcPr>
          <w:p>
            <w:pPr>
              <w:pStyle w:val="TableText"/>
              <w:spacing w:before="48" w:line="159" w:lineRule="auto"/>
              <w:jc w:val="right"/>
              <w:rPr>
                <w:sz w:val="21"/>
                <w:szCs w:val="21"/>
              </w:rPr>
            </w:pPr>
            <w:r>
              <w:rPr>
                <w:sz w:val="21"/>
                <w:szCs w:val="21"/>
                <w:color w:val="404040"/>
                <w:spacing w:val="-8"/>
              </w:rPr>
              <w:t>0.0035</w:t>
            </w:r>
          </w:p>
        </w:tc>
        <w:tc>
          <w:tcPr>
            <w:tcW w:w="137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2208" w:type="dxa"/>
            <w:vAlign w:val="top"/>
            <w:gridSpan w:val="2"/>
          </w:tcPr>
          <w:p>
            <w:pPr>
              <w:pStyle w:val="TableText"/>
              <w:ind w:left="996"/>
              <w:spacing w:before="48" w:line="159" w:lineRule="auto"/>
              <w:rPr>
                <w:sz w:val="21"/>
                <w:szCs w:val="21"/>
              </w:rPr>
            </w:pPr>
            <w:r>
              <w:rPr>
                <w:sz w:val="21"/>
                <w:szCs w:val="21"/>
                <w:spacing w:val="-4"/>
              </w:rPr>
              <w:t>50</w:t>
            </w:r>
          </w:p>
        </w:tc>
        <w:tc>
          <w:tcPr>
            <w:tcW w:w="679" w:type="dxa"/>
            <w:vAlign w:val="top"/>
          </w:tcPr>
          <w:p>
            <w:pPr>
              <w:pStyle w:val="TableText"/>
              <w:ind w:left="18"/>
              <w:spacing w:before="48" w:line="159" w:lineRule="auto"/>
              <w:rPr>
                <w:sz w:val="21"/>
                <w:szCs w:val="21"/>
              </w:rPr>
            </w:pPr>
            <w:r>
              <w:rPr>
                <w:sz w:val="21"/>
                <w:szCs w:val="21"/>
                <w:spacing w:val="-2"/>
              </w:rPr>
              <w:t>0.0024</w:t>
            </w:r>
          </w:p>
        </w:tc>
        <w:tc>
          <w:tcPr>
            <w:tcW w:w="574" w:type="dxa"/>
            <w:vAlign w:val="top"/>
          </w:tcPr>
          <w:p>
            <w:pPr>
              <w:pStyle w:val="TableText"/>
              <w:spacing w:before="48" w:line="159" w:lineRule="auto"/>
              <w:jc w:val="right"/>
              <w:rPr>
                <w:sz w:val="21"/>
                <w:szCs w:val="21"/>
              </w:rPr>
            </w:pPr>
            <w:r>
              <w:rPr>
                <w:sz w:val="21"/>
                <w:szCs w:val="21"/>
                <w:spacing w:val="-16"/>
              </w:rPr>
              <w:t>0.</w:t>
            </w:r>
            <w:r>
              <w:rPr>
                <w:sz w:val="21"/>
                <w:szCs w:val="21"/>
                <w:spacing w:val="-15"/>
              </w:rPr>
              <w:t>001</w:t>
            </w:r>
            <w:r>
              <w:rPr>
                <w:sz w:val="21"/>
                <w:szCs w:val="21"/>
                <w:spacing w:val="-13"/>
              </w:rPr>
              <w:t>8</w:t>
            </w:r>
          </w:p>
        </w:tc>
      </w:tr>
      <w:tr>
        <w:trPr>
          <w:trHeight w:val="254" w:hRule="atLeast"/>
        </w:trPr>
        <w:tc>
          <w:tcPr>
            <w:tcW w:w="454" w:type="dxa"/>
            <w:vAlign w:val="top"/>
            <w:vMerge w:val="continue"/>
            <w:tcBorders>
              <w:top w:val="nil"/>
            </w:tcBorders>
          </w:tcPr>
          <w:p>
            <w:pPr>
              <w:rPr>
                <w:rFonts w:ascii="Arial"/>
                <w:sz w:val="21"/>
              </w:rPr>
            </w:pPr>
            <w:r/>
          </w:p>
        </w:tc>
        <w:tc>
          <w:tcPr>
            <w:tcW w:w="459" w:type="dxa"/>
            <w:vAlign w:val="top"/>
            <w:vMerge w:val="continue"/>
            <w:tcBorders>
              <w:top w:val="nil"/>
            </w:tcBorders>
          </w:tcPr>
          <w:p>
            <w:pPr>
              <w:rPr>
                <w:rFonts w:ascii="Arial"/>
                <w:sz w:val="21"/>
              </w:rPr>
            </w:pPr>
            <w:r/>
          </w:p>
        </w:tc>
        <w:tc>
          <w:tcPr>
            <w:tcW w:w="470" w:type="dxa"/>
            <w:vAlign w:val="top"/>
          </w:tcPr>
          <w:p>
            <w:pPr>
              <w:pStyle w:val="TableText"/>
              <w:ind w:left="11"/>
              <w:spacing w:before="60" w:line="161"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709" w:type="dxa"/>
            <w:vAlign w:val="top"/>
          </w:tcPr>
          <w:p>
            <w:pPr>
              <w:pStyle w:val="TableText"/>
              <w:ind w:left="32"/>
              <w:spacing w:before="48" w:line="172" w:lineRule="auto"/>
              <w:rPr>
                <w:sz w:val="21"/>
                <w:szCs w:val="21"/>
              </w:rPr>
            </w:pPr>
            <w:r>
              <w:rPr>
                <w:sz w:val="21"/>
                <w:szCs w:val="21"/>
                <w:spacing w:val="-2"/>
              </w:rPr>
              <w:t>0.0014</w:t>
            </w:r>
          </w:p>
        </w:tc>
        <w:tc>
          <w:tcPr>
            <w:tcW w:w="609" w:type="dxa"/>
            <w:vAlign w:val="top"/>
          </w:tcPr>
          <w:p>
            <w:pPr>
              <w:pStyle w:val="TableText"/>
              <w:spacing w:before="48" w:line="172" w:lineRule="auto"/>
              <w:jc w:val="right"/>
              <w:rPr>
                <w:sz w:val="21"/>
                <w:szCs w:val="21"/>
              </w:rPr>
            </w:pPr>
            <w:r>
              <w:rPr>
                <w:sz w:val="21"/>
                <w:szCs w:val="21"/>
                <w:color w:val="706040"/>
                <w:spacing w:val="-8"/>
              </w:rPr>
              <w:t>0.0010</w:t>
            </w:r>
          </w:p>
        </w:tc>
        <w:tc>
          <w:tcPr>
            <w:tcW w:w="1378" w:type="dxa"/>
            <w:vAlign w:val="top"/>
            <w:vMerge w:val="continue"/>
            <w:tcBorders>
              <w:top w:val="nil"/>
            </w:tcBorders>
          </w:tcPr>
          <w:p>
            <w:pPr>
              <w:rPr>
                <w:rFonts w:ascii="Arial"/>
                <w:sz w:val="21"/>
              </w:rPr>
            </w:pPr>
            <w:r/>
          </w:p>
        </w:tc>
        <w:tc>
          <w:tcPr>
            <w:tcW w:w="959" w:type="dxa"/>
            <w:vAlign w:val="top"/>
            <w:vMerge w:val="continue"/>
            <w:tcBorders>
              <w:top w:val="nil"/>
            </w:tcBorders>
          </w:tcPr>
          <w:p>
            <w:pPr>
              <w:rPr>
                <w:rFonts w:ascii="Arial"/>
                <w:sz w:val="21"/>
              </w:rPr>
            </w:pPr>
            <w:r/>
          </w:p>
        </w:tc>
        <w:tc>
          <w:tcPr>
            <w:tcW w:w="2208" w:type="dxa"/>
            <w:vAlign w:val="top"/>
            <w:gridSpan w:val="2"/>
          </w:tcPr>
          <w:p>
            <w:pPr>
              <w:pStyle w:val="TableText"/>
              <w:ind w:left="996"/>
              <w:spacing w:before="48" w:line="172" w:lineRule="auto"/>
              <w:rPr>
                <w:sz w:val="21"/>
                <w:szCs w:val="21"/>
              </w:rPr>
            </w:pPr>
            <w:r>
              <w:rPr>
                <w:sz w:val="21"/>
                <w:szCs w:val="21"/>
                <w:color w:val="504050"/>
                <w:spacing w:val="-4"/>
              </w:rPr>
              <w:t>50</w:t>
            </w:r>
          </w:p>
        </w:tc>
        <w:tc>
          <w:tcPr>
            <w:tcW w:w="679" w:type="dxa"/>
            <w:vAlign w:val="top"/>
          </w:tcPr>
          <w:p>
            <w:pPr>
              <w:pStyle w:val="TableText"/>
              <w:ind w:left="18"/>
              <w:spacing w:before="48" w:line="172" w:lineRule="auto"/>
              <w:rPr>
                <w:sz w:val="21"/>
                <w:szCs w:val="21"/>
              </w:rPr>
            </w:pPr>
            <w:r>
              <w:rPr>
                <w:sz w:val="21"/>
                <w:szCs w:val="21"/>
                <w:spacing w:val="-2"/>
              </w:rPr>
              <w:t>0.0007</w:t>
            </w:r>
          </w:p>
        </w:tc>
        <w:tc>
          <w:tcPr>
            <w:tcW w:w="574" w:type="dxa"/>
            <w:vAlign w:val="top"/>
          </w:tcPr>
          <w:p>
            <w:pPr>
              <w:pStyle w:val="TableText"/>
              <w:spacing w:before="48" w:line="172" w:lineRule="auto"/>
              <w:jc w:val="right"/>
              <w:rPr>
                <w:sz w:val="21"/>
                <w:szCs w:val="21"/>
              </w:rPr>
            </w:pPr>
            <w:r>
              <w:rPr>
                <w:sz w:val="21"/>
                <w:szCs w:val="21"/>
                <w:spacing w:val="-16"/>
              </w:rPr>
              <w:t>0</w:t>
            </w:r>
            <w:r>
              <w:rPr>
                <w:sz w:val="21"/>
                <w:szCs w:val="21"/>
                <w:spacing w:val="-15"/>
              </w:rPr>
              <w:t>.000</w:t>
            </w:r>
            <w:r>
              <w:rPr>
                <w:sz w:val="21"/>
                <w:szCs w:val="21"/>
                <w:spacing w:val="-14"/>
              </w:rPr>
              <w:t>5</w:t>
            </w:r>
          </w:p>
        </w:tc>
      </w:tr>
    </w:tbl>
    <w:p>
      <w:pPr>
        <w:ind w:left="658"/>
        <w:spacing w:before="41" w:line="219" w:lineRule="auto"/>
        <w:rPr>
          <w:rFonts w:ascii="SimSun" w:hAnsi="SimSun" w:eastAsia="SimSun" w:cs="SimSun"/>
          <w:sz w:val="24"/>
          <w:szCs w:val="24"/>
        </w:rPr>
      </w:pPr>
      <w:r>
        <w:rPr>
          <w:rFonts w:ascii="SimSun" w:hAnsi="SimSun" w:eastAsia="SimSun" w:cs="SimSun"/>
          <w:sz w:val="24"/>
          <w:szCs w:val="24"/>
          <w:b/>
          <w:bCs/>
          <w:spacing w:val="-3"/>
        </w:rPr>
        <w:t>(2)肉牛待宰圈舍、屠宰车间恶臭</w:t>
      </w:r>
    </w:p>
    <w:p>
      <w:pPr>
        <w:ind w:left="568"/>
        <w:spacing w:before="202" w:line="217" w:lineRule="auto"/>
        <w:rPr>
          <w:rFonts w:ascii="SimSun" w:hAnsi="SimSun" w:eastAsia="SimSun" w:cs="SimSun"/>
          <w:sz w:val="23"/>
          <w:szCs w:val="23"/>
        </w:rPr>
      </w:pPr>
      <w:r>
        <w:rPr>
          <w:rFonts w:ascii="SimSun" w:hAnsi="SimSun" w:eastAsia="SimSun" w:cs="SimSun"/>
          <w:sz w:val="23"/>
          <w:szCs w:val="23"/>
          <w:b/>
          <w:bCs/>
          <w:spacing w:val="10"/>
        </w:rPr>
        <w:t>①产生情况</w:t>
      </w:r>
    </w:p>
    <w:p>
      <w:pPr>
        <w:ind w:left="565"/>
        <w:spacing w:before="195" w:line="219" w:lineRule="auto"/>
        <w:rPr>
          <w:rFonts w:ascii="SimSun" w:hAnsi="SimSun" w:eastAsia="SimSun" w:cs="SimSun"/>
          <w:sz w:val="23"/>
          <w:szCs w:val="23"/>
        </w:rPr>
      </w:pPr>
      <w:r>
        <w:rPr>
          <w:rFonts w:ascii="SimSun" w:hAnsi="SimSun" w:eastAsia="SimSun" w:cs="SimSun"/>
          <w:sz w:val="23"/>
          <w:szCs w:val="23"/>
          <w:spacing w:val="9"/>
        </w:rPr>
        <w:t>肉牛待宰圈舍恶臭：本项目收运的肉牛由专业的运输车辆运至项目区内。</w:t>
      </w:r>
    </w:p>
    <w:p>
      <w:pPr>
        <w:spacing w:line="219" w:lineRule="auto"/>
        <w:sectPr>
          <w:headerReference w:type="default" r:id="rId310"/>
          <w:footerReference w:type="default" r:id="rId311"/>
          <w:pgSz w:w="11910" w:h="16840"/>
          <w:pgMar w:top="1219" w:right="1715" w:bottom="950" w:left="1685" w:header="865" w:footer="742" w:gutter="0"/>
        </w:sectPr>
        <w:rPr>
          <w:rFonts w:ascii="SimSun" w:hAnsi="SimSun" w:eastAsia="SimSun" w:cs="SimSun"/>
          <w:sz w:val="23"/>
          <w:szCs w:val="23"/>
        </w:rPr>
      </w:pPr>
    </w:p>
    <w:p>
      <w:pPr>
        <w:ind w:left="144" w:right="193"/>
        <w:spacing w:before="271" w:line="354" w:lineRule="auto"/>
        <w:rPr>
          <w:rFonts w:ascii="SimSun" w:hAnsi="SimSun" w:eastAsia="SimSun" w:cs="SimSun"/>
          <w:sz w:val="24"/>
          <w:szCs w:val="24"/>
        </w:rPr>
      </w:pPr>
      <w:r>
        <w:rPr>
          <w:rFonts w:ascii="SimSun" w:hAnsi="SimSun" w:eastAsia="SimSun" w:cs="SimSun"/>
          <w:sz w:val="24"/>
          <w:szCs w:val="24"/>
        </w:rPr>
        <w:t>项目设置肉牛待宰圈舍，肉牛在厂区内静养时间为12</w:t>
      </w:r>
      <w:r>
        <w:rPr>
          <w:rFonts w:ascii="Times New Roman" w:hAnsi="Times New Roman" w:eastAsia="Times New Roman" w:cs="Times New Roman"/>
          <w:sz w:val="24"/>
          <w:szCs w:val="24"/>
        </w:rPr>
        <w:t>h</w:t>
      </w:r>
      <w:r>
        <w:rPr>
          <w:rFonts w:ascii="SimSun" w:hAnsi="SimSun" w:eastAsia="SimSun" w:cs="SimSun"/>
          <w:sz w:val="24"/>
          <w:szCs w:val="24"/>
        </w:rPr>
        <w:t>、</w:t>
      </w:r>
      <w:r>
        <w:rPr>
          <w:rFonts w:ascii="SimSun" w:hAnsi="SimSun" w:eastAsia="SimSun" w:cs="SimSun"/>
          <w:sz w:val="24"/>
          <w:szCs w:val="24"/>
          <w:spacing w:val="-1"/>
        </w:rPr>
        <w:t>不提供食物、仅维持水</w:t>
      </w:r>
      <w:r>
        <w:rPr>
          <w:rFonts w:ascii="SimSun" w:hAnsi="SimSun" w:eastAsia="SimSun" w:cs="SimSun"/>
          <w:sz w:val="24"/>
          <w:szCs w:val="24"/>
        </w:rPr>
        <w:t xml:space="preserve"> </w:t>
      </w:r>
      <w:r>
        <w:rPr>
          <w:rFonts w:ascii="SimSun" w:hAnsi="SimSun" w:eastAsia="SimSun" w:cs="SimSun"/>
          <w:sz w:val="24"/>
          <w:szCs w:val="24"/>
          <w:spacing w:val="-1"/>
        </w:rPr>
        <w:t>源，静养过程中产生少量粪尿排泄物，这些粪便产生</w:t>
      </w:r>
      <w:r>
        <w:rPr>
          <w:rFonts w:ascii="Times New Roman" w:hAnsi="Times New Roman" w:eastAsia="Times New Roman" w:cs="Times New Roman"/>
          <w:sz w:val="24"/>
          <w:szCs w:val="24"/>
          <w:spacing w:val="-1"/>
        </w:rPr>
        <w:t>NH₃</w:t>
      </w:r>
      <w:r>
        <w:rPr>
          <w:rFonts w:ascii="Times New Roman" w:hAnsi="Times New Roman" w:eastAsia="Times New Roman" w:cs="Times New Roman"/>
          <w:sz w:val="24"/>
          <w:szCs w:val="24"/>
          <w:spacing w:val="-32"/>
        </w:rPr>
        <w:t xml:space="preserve"> </w:t>
      </w:r>
      <w:r>
        <w:rPr>
          <w:rFonts w:ascii="SimSun" w:hAnsi="SimSun" w:eastAsia="SimSun" w:cs="SimSun"/>
          <w:sz w:val="24"/>
          <w:szCs w:val="24"/>
          <w:spacing w:val="-1"/>
        </w:rPr>
        <w:t>、</w:t>
      </w:r>
      <w:r>
        <w:rPr>
          <w:rFonts w:ascii="Times New Roman" w:hAnsi="Times New Roman" w:eastAsia="Times New Roman" w:cs="Times New Roman"/>
          <w:sz w:val="24"/>
          <w:szCs w:val="24"/>
          <w:spacing w:val="-1"/>
        </w:rPr>
        <w:t>H₂S</w:t>
      </w:r>
      <w:r>
        <w:rPr>
          <w:rFonts w:ascii="SimSun" w:hAnsi="SimSun" w:eastAsia="SimSun" w:cs="SimSun"/>
          <w:sz w:val="24"/>
          <w:szCs w:val="24"/>
          <w:spacing w:val="-1"/>
        </w:rPr>
        <w:t>等恶臭有害气</w:t>
      </w:r>
    </w:p>
    <w:p>
      <w:pPr>
        <w:ind w:left="144" w:right="314"/>
        <w:spacing w:before="3" w:line="363" w:lineRule="auto"/>
        <w:rPr>
          <w:rFonts w:ascii="SimSun" w:hAnsi="SimSun" w:eastAsia="SimSun" w:cs="SimSun"/>
          <w:sz w:val="24"/>
          <w:szCs w:val="24"/>
        </w:rPr>
      </w:pPr>
      <w:r>
        <w:rPr>
          <w:rFonts w:ascii="SimSun" w:hAnsi="SimSun" w:eastAsia="SimSun" w:cs="SimSun"/>
          <w:sz w:val="24"/>
          <w:szCs w:val="24"/>
        </w:rPr>
        <w:t>体，若未及时清除或清除后不能及时处理，将会使臭</w:t>
      </w:r>
      <w:r>
        <w:rPr>
          <w:rFonts w:ascii="SimSun" w:hAnsi="SimSun" w:eastAsia="SimSun" w:cs="SimSun"/>
          <w:sz w:val="24"/>
          <w:szCs w:val="24"/>
          <w:spacing w:val="-1"/>
        </w:rPr>
        <w:t>味成倍增加，进一步产生</w:t>
      </w:r>
      <w:r>
        <w:rPr>
          <w:rFonts w:ascii="SimSun" w:hAnsi="SimSun" w:eastAsia="SimSun" w:cs="SimSun"/>
          <w:sz w:val="24"/>
          <w:szCs w:val="24"/>
        </w:rPr>
        <w:t xml:space="preserve"> </w:t>
      </w:r>
      <w:r>
        <w:rPr>
          <w:rFonts w:ascii="SimSun" w:hAnsi="SimSun" w:eastAsia="SimSun" w:cs="SimSun"/>
          <w:sz w:val="24"/>
          <w:szCs w:val="24"/>
          <w:spacing w:val="-1"/>
        </w:rPr>
        <w:t>甲基硫醇、二甲基二硫醚、二甲胺等恶臭气体，并会孳生大</w:t>
      </w:r>
      <w:r>
        <w:rPr>
          <w:rFonts w:ascii="SimSun" w:hAnsi="SimSun" w:eastAsia="SimSun" w:cs="SimSun"/>
          <w:sz w:val="24"/>
          <w:szCs w:val="24"/>
          <w:spacing w:val="-2"/>
        </w:rPr>
        <w:t>量蚊蝇，影响环境</w:t>
      </w:r>
      <w:r>
        <w:rPr>
          <w:rFonts w:ascii="SimSun" w:hAnsi="SimSun" w:eastAsia="SimSun" w:cs="SimSun"/>
          <w:sz w:val="24"/>
          <w:szCs w:val="24"/>
        </w:rPr>
        <w:t xml:space="preserve"> </w:t>
      </w:r>
      <w:r>
        <w:rPr>
          <w:rFonts w:ascii="SimSun" w:hAnsi="SimSun" w:eastAsia="SimSun" w:cs="SimSun"/>
          <w:sz w:val="24"/>
          <w:szCs w:val="24"/>
          <w:spacing w:val="5"/>
        </w:rPr>
        <w:t>卫生</w:t>
      </w:r>
    </w:p>
    <w:p>
      <w:pPr>
        <w:ind w:left="144" w:right="307" w:firstLine="490"/>
        <w:spacing w:before="3" w:line="354" w:lineRule="auto"/>
        <w:jc w:val="both"/>
        <w:rPr>
          <w:rFonts w:ascii="SimSun" w:hAnsi="SimSun" w:eastAsia="SimSun" w:cs="SimSun"/>
          <w:sz w:val="24"/>
          <w:szCs w:val="24"/>
        </w:rPr>
      </w:pPr>
      <w:r>
        <w:rPr>
          <w:rFonts w:ascii="SimSun" w:hAnsi="SimSun" w:eastAsia="SimSun" w:cs="SimSun"/>
          <w:sz w:val="24"/>
          <w:szCs w:val="24"/>
          <w:spacing w:val="-1"/>
        </w:rPr>
        <w:t>肉牛屠宰车间恶臭：根据建设单位提供资料，项目肉牛屠宰采用机械</w:t>
      </w:r>
      <w:r>
        <w:rPr>
          <w:rFonts w:ascii="SimSun" w:hAnsi="SimSun" w:eastAsia="SimSun" w:cs="SimSun"/>
          <w:sz w:val="24"/>
          <w:szCs w:val="24"/>
          <w:spacing w:val="-2"/>
        </w:rPr>
        <w:t>化生</w:t>
      </w:r>
      <w:r>
        <w:rPr>
          <w:rFonts w:ascii="SimSun" w:hAnsi="SimSun" w:eastAsia="SimSun" w:cs="SimSun"/>
          <w:sz w:val="24"/>
          <w:szCs w:val="24"/>
        </w:rPr>
        <w:t xml:space="preserve"> </w:t>
      </w:r>
      <w:r>
        <w:rPr>
          <w:rFonts w:ascii="SimSun" w:hAnsi="SimSun" w:eastAsia="SimSun" w:cs="SimSun"/>
          <w:sz w:val="24"/>
          <w:szCs w:val="24"/>
        </w:rPr>
        <w:t>产线，此生产线的最大特点就是人工参与量较传统屠</w:t>
      </w:r>
      <w:r>
        <w:rPr>
          <w:rFonts w:ascii="SimSun" w:hAnsi="SimSun" w:eastAsia="SimSun" w:cs="SimSun"/>
          <w:sz w:val="24"/>
          <w:szCs w:val="24"/>
          <w:spacing w:val="-1"/>
        </w:rPr>
        <w:t>宰工艺人工量少很多，生</w:t>
      </w:r>
      <w:r>
        <w:rPr>
          <w:rFonts w:ascii="SimSun" w:hAnsi="SimSun" w:eastAsia="SimSun" w:cs="SimSun"/>
          <w:sz w:val="24"/>
          <w:szCs w:val="24"/>
        </w:rPr>
        <w:t xml:space="preserve"> </w:t>
      </w:r>
      <w:r>
        <w:rPr>
          <w:rFonts w:ascii="SimSun" w:hAnsi="SimSun" w:eastAsia="SimSun" w:cs="SimSun"/>
          <w:sz w:val="24"/>
          <w:szCs w:val="24"/>
        </w:rPr>
        <w:t>产线较为封闭，主要恶臭产生源为机械化屠宰加工线</w:t>
      </w:r>
      <w:r>
        <w:rPr>
          <w:rFonts w:ascii="SimSun" w:hAnsi="SimSun" w:eastAsia="SimSun" w:cs="SimSun"/>
          <w:sz w:val="24"/>
          <w:szCs w:val="24"/>
          <w:spacing w:val="-1"/>
        </w:rPr>
        <w:t>上。肉牛屠宰间恶臭气体</w:t>
      </w:r>
      <w:r>
        <w:rPr>
          <w:rFonts w:ascii="SimSun" w:hAnsi="SimSun" w:eastAsia="SimSun" w:cs="SimSun"/>
          <w:sz w:val="24"/>
          <w:szCs w:val="24"/>
        </w:rPr>
        <w:t xml:space="preserve"> </w:t>
      </w:r>
      <w:r>
        <w:rPr>
          <w:rFonts w:ascii="SimSun" w:hAnsi="SimSun" w:eastAsia="SimSun" w:cs="SimSun"/>
          <w:sz w:val="24"/>
          <w:szCs w:val="24"/>
        </w:rPr>
        <w:t>主要由内脏加工区产生内脏、胃肠容物等的臭气</w:t>
      </w:r>
      <w:r>
        <w:rPr>
          <w:rFonts w:ascii="SimSun" w:hAnsi="SimSun" w:eastAsia="SimSun" w:cs="SimSun"/>
          <w:sz w:val="24"/>
          <w:szCs w:val="24"/>
          <w:spacing w:val="-1"/>
        </w:rPr>
        <w:t>及血腥味混在一起，产生刺鼻</w:t>
      </w:r>
      <w:r>
        <w:rPr>
          <w:rFonts w:ascii="SimSun" w:hAnsi="SimSun" w:eastAsia="SimSun" w:cs="SimSun"/>
          <w:sz w:val="24"/>
          <w:szCs w:val="24"/>
        </w:rPr>
        <w:t xml:space="preserve"> </w:t>
      </w:r>
      <w:r>
        <w:rPr>
          <w:rFonts w:ascii="SimSun" w:hAnsi="SimSun" w:eastAsia="SimSun" w:cs="SimSun"/>
          <w:sz w:val="24"/>
          <w:szCs w:val="24"/>
        </w:rPr>
        <w:t>的腥臭味，如不加以防范，恶臭气体易迅速扩散到整个厂区直至外界。</w:t>
      </w:r>
      <w:r>
        <w:rPr>
          <w:rFonts w:ascii="SimSun" w:hAnsi="SimSun" w:eastAsia="SimSun" w:cs="SimSun"/>
          <w:sz w:val="24"/>
          <w:szCs w:val="24"/>
          <w:spacing w:val="-1"/>
        </w:rPr>
        <w:t>此外如</w:t>
      </w:r>
      <w:r>
        <w:rPr>
          <w:rFonts w:ascii="SimSun" w:hAnsi="SimSun" w:eastAsia="SimSun" w:cs="SimSun"/>
          <w:sz w:val="24"/>
          <w:szCs w:val="24"/>
        </w:rPr>
        <w:t xml:space="preserve"> </w:t>
      </w:r>
      <w:r>
        <w:rPr>
          <w:rFonts w:ascii="SimSun" w:hAnsi="SimSun" w:eastAsia="SimSun" w:cs="SimSun"/>
          <w:sz w:val="24"/>
          <w:szCs w:val="24"/>
          <w:spacing w:val="-1"/>
        </w:rPr>
        <w:t>果有血、肉、骨或脂肪残留而不及时处理，</w:t>
      </w:r>
      <w:r>
        <w:rPr>
          <w:rFonts w:ascii="SimSun" w:hAnsi="SimSun" w:eastAsia="SimSun" w:cs="SimSun"/>
          <w:sz w:val="24"/>
          <w:szCs w:val="24"/>
          <w:spacing w:val="-2"/>
        </w:rPr>
        <w:t>便会迅速腐烂，腥臭气更为严重。</w:t>
      </w:r>
    </w:p>
    <w:p>
      <w:pPr>
        <w:ind w:left="144" w:right="238" w:firstLine="500"/>
        <w:spacing w:before="38" w:line="356" w:lineRule="auto"/>
        <w:jc w:val="both"/>
        <w:rPr>
          <w:rFonts w:ascii="SimSun" w:hAnsi="SimSun" w:eastAsia="SimSun" w:cs="SimSun"/>
          <w:sz w:val="24"/>
          <w:szCs w:val="24"/>
        </w:rPr>
      </w:pPr>
      <w:r>
        <w:rPr>
          <w:rFonts w:ascii="SimSun" w:hAnsi="SimSun" w:eastAsia="SimSun" w:cs="SimSun"/>
          <w:sz w:val="24"/>
          <w:szCs w:val="24"/>
          <w:spacing w:val="1"/>
        </w:rPr>
        <w:t>本项目设计肉牛最大屠宰量为4万头/年，肉牛待宰圈舍、屠宰车间恶臭气</w:t>
      </w:r>
      <w:r>
        <w:rPr>
          <w:rFonts w:ascii="SimSun" w:hAnsi="SimSun" w:eastAsia="SimSun" w:cs="SimSun"/>
          <w:sz w:val="24"/>
          <w:szCs w:val="24"/>
          <w:spacing w:val="11"/>
        </w:rPr>
        <w:t xml:space="preserve"> </w:t>
      </w:r>
      <w:r>
        <w:rPr>
          <w:rFonts w:ascii="SimSun" w:hAnsi="SimSun" w:eastAsia="SimSun" w:cs="SimSun"/>
          <w:sz w:val="24"/>
          <w:szCs w:val="24"/>
        </w:rPr>
        <w:t>体产生量通过类比海东市平安区马大罕畜禽屠宰有限</w:t>
      </w:r>
      <w:r>
        <w:rPr>
          <w:rFonts w:ascii="SimSun" w:hAnsi="SimSun" w:eastAsia="SimSun" w:cs="SimSun"/>
          <w:sz w:val="24"/>
          <w:szCs w:val="24"/>
          <w:spacing w:val="-1"/>
        </w:rPr>
        <w:t>公司《平安县马大罕清真</w:t>
      </w:r>
      <w:r>
        <w:rPr>
          <w:rFonts w:ascii="SimSun" w:hAnsi="SimSun" w:eastAsia="SimSun" w:cs="SimSun"/>
          <w:sz w:val="24"/>
          <w:szCs w:val="24"/>
        </w:rPr>
        <w:t xml:space="preserve"> </w:t>
      </w:r>
      <w:r>
        <w:rPr>
          <w:rFonts w:ascii="SimSun" w:hAnsi="SimSun" w:eastAsia="SimSun" w:cs="SimSun"/>
          <w:sz w:val="24"/>
          <w:szCs w:val="24"/>
          <w:spacing w:val="2"/>
        </w:rPr>
        <w:t>牛羊定点屠宰厂建设项目竣工环境保护验收</w:t>
      </w:r>
      <w:r>
        <w:rPr>
          <w:rFonts w:ascii="SimSun" w:hAnsi="SimSun" w:eastAsia="SimSun" w:cs="SimSun"/>
          <w:sz w:val="24"/>
          <w:szCs w:val="24"/>
          <w:spacing w:val="1"/>
        </w:rPr>
        <w:t>检测》(项目编号：金检字[2020]</w:t>
      </w:r>
      <w:r>
        <w:rPr>
          <w:rFonts w:ascii="SimSun" w:hAnsi="SimSun" w:eastAsia="SimSun" w:cs="SimSun"/>
          <w:sz w:val="24"/>
          <w:szCs w:val="24"/>
        </w:rPr>
        <w:t xml:space="preserve">  </w:t>
      </w:r>
      <w:r>
        <w:rPr>
          <w:rFonts w:ascii="SimSun" w:hAnsi="SimSun" w:eastAsia="SimSun" w:cs="SimSun"/>
          <w:sz w:val="24"/>
          <w:szCs w:val="24"/>
          <w:spacing w:val="10"/>
        </w:rPr>
        <w:t>第167号),海东市平安区马大罕畜禽屠宰有限公司《平安县马大罕清真牛羊</w:t>
      </w:r>
      <w:r>
        <w:rPr>
          <w:rFonts w:ascii="SimSun" w:hAnsi="SimSun" w:eastAsia="SimSun" w:cs="SimSun"/>
          <w:sz w:val="24"/>
          <w:szCs w:val="24"/>
          <w:spacing w:val="3"/>
        </w:rPr>
        <w:t xml:space="preserve"> </w:t>
      </w:r>
      <w:r>
        <w:rPr>
          <w:rFonts w:ascii="SimSun" w:hAnsi="SimSun" w:eastAsia="SimSun" w:cs="SimSun"/>
          <w:sz w:val="24"/>
          <w:szCs w:val="24"/>
          <w:spacing w:val="-4"/>
        </w:rPr>
        <w:t>定点屠宰厂建设项目》详细情况见下表：</w:t>
      </w:r>
    </w:p>
    <w:p>
      <w:pPr>
        <w:ind w:left="1038"/>
        <w:spacing w:line="219" w:lineRule="auto"/>
        <w:rPr>
          <w:rFonts w:ascii="SimSun" w:hAnsi="SimSun" w:eastAsia="SimSun" w:cs="SimSun"/>
          <w:sz w:val="24"/>
          <w:szCs w:val="24"/>
        </w:rPr>
      </w:pPr>
      <w:r>
        <w:rPr>
          <w:rFonts w:ascii="SimSun" w:hAnsi="SimSun" w:eastAsia="SimSun" w:cs="SimSun"/>
          <w:sz w:val="24"/>
          <w:szCs w:val="24"/>
          <w:b/>
          <w:bCs/>
          <w:spacing w:val="-3"/>
        </w:rPr>
        <w:t>表3.11-17项目肉牛待宰圈舍、屠宰车间恶臭污染物产生量类比</w:t>
      </w:r>
    </w:p>
    <w:p>
      <w:pPr>
        <w:spacing w:line="14" w:lineRule="exact"/>
        <w:rPr/>
      </w:pPr>
      <w:r/>
    </w:p>
    <w:tbl>
      <w:tblPr>
        <w:tblStyle w:val="TableNormal"/>
        <w:tblW w:w="85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44"/>
        <w:gridCol w:w="4055"/>
        <w:gridCol w:w="3800"/>
      </w:tblGrid>
      <w:tr>
        <w:trPr>
          <w:trHeight w:val="542" w:hRule="atLeast"/>
        </w:trPr>
        <w:tc>
          <w:tcPr>
            <w:shd w:val="clear" w:fill="BDBDBD"/>
            <w:tcW w:w="744" w:type="dxa"/>
            <w:vAlign w:val="top"/>
          </w:tcPr>
          <w:p>
            <w:pPr>
              <w:pStyle w:val="TableText"/>
              <w:ind w:left="48"/>
              <w:spacing w:before="21" w:line="220" w:lineRule="auto"/>
              <w:rPr>
                <w:sz w:val="21"/>
                <w:szCs w:val="21"/>
              </w:rPr>
            </w:pPr>
            <w:r>
              <w:rPr>
                <w:sz w:val="21"/>
                <w:szCs w:val="21"/>
                <w:b/>
                <w:bCs/>
                <w:spacing w:val="-5"/>
              </w:rPr>
              <w:t>建设单</w:t>
            </w:r>
          </w:p>
          <w:p>
            <w:pPr>
              <w:pStyle w:val="TableText"/>
              <w:ind w:left="48"/>
              <w:spacing w:before="30" w:line="202" w:lineRule="auto"/>
              <w:rPr>
                <w:sz w:val="21"/>
                <w:szCs w:val="21"/>
              </w:rPr>
            </w:pPr>
            <w:r>
              <w:rPr>
                <w:sz w:val="21"/>
                <w:szCs w:val="21"/>
                <w:b/>
                <w:bCs/>
                <w:spacing w:val="-5"/>
              </w:rPr>
              <w:t>位名称</w:t>
            </w:r>
          </w:p>
        </w:tc>
        <w:tc>
          <w:tcPr>
            <w:shd w:val="clear" w:fill="BDBDBD"/>
            <w:tcW w:w="4055" w:type="dxa"/>
            <w:vAlign w:val="top"/>
          </w:tcPr>
          <w:p>
            <w:pPr>
              <w:pStyle w:val="TableText"/>
              <w:ind w:left="223"/>
              <w:spacing w:before="170" w:line="219" w:lineRule="auto"/>
              <w:rPr>
                <w:sz w:val="21"/>
                <w:szCs w:val="21"/>
              </w:rPr>
            </w:pPr>
            <w:r>
              <w:rPr>
                <w:sz w:val="21"/>
                <w:szCs w:val="21"/>
                <w:b/>
                <w:bCs/>
                <w:spacing w:val="-1"/>
              </w:rPr>
              <w:t>海东市平安区马大罕畜禽屠宰有限公司</w:t>
            </w:r>
          </w:p>
        </w:tc>
        <w:tc>
          <w:tcPr>
            <w:shd w:val="clear" w:fill="BDBDBD"/>
            <w:tcW w:w="3800" w:type="dxa"/>
            <w:vAlign w:val="top"/>
          </w:tcPr>
          <w:p>
            <w:pPr>
              <w:pStyle w:val="TableText"/>
              <w:ind w:left="1578"/>
              <w:spacing w:before="169" w:line="219" w:lineRule="auto"/>
              <w:rPr>
                <w:sz w:val="21"/>
                <w:szCs w:val="21"/>
              </w:rPr>
            </w:pPr>
            <w:r>
              <w:rPr>
                <w:sz w:val="21"/>
                <w:szCs w:val="21"/>
                <w:b/>
                <w:bCs/>
                <w:spacing w:val="9"/>
              </w:rPr>
              <w:t>本项目</w:t>
            </w:r>
          </w:p>
        </w:tc>
      </w:tr>
      <w:tr>
        <w:trPr>
          <w:trHeight w:val="289" w:hRule="atLeast"/>
        </w:trPr>
        <w:tc>
          <w:tcPr>
            <w:tcW w:w="744" w:type="dxa"/>
            <w:vAlign w:val="top"/>
          </w:tcPr>
          <w:p>
            <w:pPr>
              <w:pStyle w:val="TableText"/>
              <w:spacing w:before="42" w:line="208" w:lineRule="auto"/>
              <w:jc w:val="right"/>
              <w:rPr>
                <w:sz w:val="21"/>
                <w:szCs w:val="21"/>
              </w:rPr>
            </w:pPr>
            <w:r>
              <w:rPr>
                <w:sz w:val="21"/>
                <w:szCs w:val="21"/>
                <w:spacing w:val="-38"/>
              </w:rPr>
              <w:t>项目</w:t>
            </w:r>
            <w:r>
              <w:rPr>
                <w:sz w:val="21"/>
                <w:szCs w:val="21"/>
                <w:spacing w:val="-37"/>
              </w:rPr>
              <w:t>名</w:t>
            </w:r>
            <w:r>
              <w:rPr>
                <w:sz w:val="21"/>
                <w:szCs w:val="21"/>
                <w:spacing w:val="-11"/>
              </w:rPr>
              <w:t>称</w:t>
            </w:r>
          </w:p>
        </w:tc>
        <w:tc>
          <w:tcPr>
            <w:tcW w:w="4055" w:type="dxa"/>
            <w:vAlign w:val="top"/>
          </w:tcPr>
          <w:p>
            <w:pPr>
              <w:pStyle w:val="TableText"/>
              <w:ind w:left="10"/>
              <w:spacing w:before="41" w:line="209" w:lineRule="auto"/>
              <w:rPr>
                <w:sz w:val="21"/>
                <w:szCs w:val="21"/>
              </w:rPr>
            </w:pPr>
            <w:r>
              <w:rPr>
                <w:sz w:val="21"/>
                <w:szCs w:val="21"/>
                <w:spacing w:val="2"/>
              </w:rPr>
              <w:t>平安县马大罕清真牛羊定点屠宰厂建设项目</w:t>
            </w:r>
          </w:p>
        </w:tc>
        <w:tc>
          <w:tcPr>
            <w:tcW w:w="3800" w:type="dxa"/>
            <w:vAlign w:val="top"/>
          </w:tcPr>
          <w:p>
            <w:pPr>
              <w:pStyle w:val="TableText"/>
              <w:ind w:left="15"/>
              <w:spacing w:before="41" w:line="209" w:lineRule="auto"/>
              <w:rPr>
                <w:sz w:val="21"/>
                <w:szCs w:val="21"/>
              </w:rPr>
            </w:pPr>
            <w:r>
              <w:rPr>
                <w:sz w:val="21"/>
                <w:szCs w:val="21"/>
                <w:spacing w:val="1"/>
              </w:rPr>
              <w:t>A级生猪、肉牛定点屠宰及食品加工项目</w:t>
            </w:r>
          </w:p>
        </w:tc>
      </w:tr>
      <w:tr>
        <w:trPr>
          <w:trHeight w:val="1359" w:hRule="atLeast"/>
        </w:trPr>
        <w:tc>
          <w:tcPr>
            <w:tcW w:w="744" w:type="dxa"/>
            <w:vAlign w:val="top"/>
          </w:tcPr>
          <w:p>
            <w:pPr>
              <w:spacing w:line="363" w:lineRule="auto"/>
              <w:rPr>
                <w:rFonts w:ascii="Arial"/>
                <w:sz w:val="21"/>
              </w:rPr>
            </w:pPr>
            <w:r/>
          </w:p>
          <w:p>
            <w:pPr>
              <w:pStyle w:val="TableText"/>
              <w:ind w:left="154"/>
              <w:spacing w:before="68" w:line="221" w:lineRule="auto"/>
              <w:rPr>
                <w:sz w:val="21"/>
                <w:szCs w:val="21"/>
              </w:rPr>
            </w:pPr>
            <w:r>
              <w:rPr>
                <w:sz w:val="21"/>
                <w:szCs w:val="21"/>
                <w:spacing w:val="4"/>
              </w:rPr>
              <w:t>建设</w:t>
            </w:r>
          </w:p>
          <w:p>
            <w:pPr>
              <w:pStyle w:val="TableText"/>
              <w:ind w:left="154"/>
              <w:spacing w:before="17" w:line="219" w:lineRule="auto"/>
              <w:rPr>
                <w:sz w:val="21"/>
                <w:szCs w:val="21"/>
              </w:rPr>
            </w:pPr>
            <w:r>
              <w:rPr>
                <w:sz w:val="21"/>
                <w:szCs w:val="21"/>
                <w:spacing w:val="-3"/>
              </w:rPr>
              <w:t>规模</w:t>
            </w:r>
          </w:p>
        </w:tc>
        <w:tc>
          <w:tcPr>
            <w:tcW w:w="4055" w:type="dxa"/>
            <w:vAlign w:val="top"/>
          </w:tcPr>
          <w:p>
            <w:pPr>
              <w:pStyle w:val="TableText"/>
              <w:ind w:left="10" w:right="156"/>
              <w:spacing w:before="35" w:line="231" w:lineRule="auto"/>
              <w:rPr>
                <w:sz w:val="21"/>
                <w:szCs w:val="21"/>
              </w:rPr>
            </w:pPr>
            <w:r>
              <w:rPr>
                <w:sz w:val="21"/>
                <w:szCs w:val="21"/>
              </w:rPr>
              <w:t>肉牛屠宰量2万头、羊屠宰量6万头、鸡屠</w:t>
            </w:r>
            <w:r>
              <w:rPr>
                <w:sz w:val="21"/>
                <w:szCs w:val="21"/>
                <w:spacing w:val="4"/>
              </w:rPr>
              <w:t xml:space="preserve">  </w:t>
            </w:r>
            <w:r>
              <w:rPr>
                <w:sz w:val="21"/>
                <w:szCs w:val="21"/>
              </w:rPr>
              <w:t>宰量22万只/年，年工作时间350d,每天1</w:t>
            </w:r>
            <w:r>
              <w:rPr>
                <w:sz w:val="21"/>
                <w:szCs w:val="21"/>
                <w:spacing w:val="7"/>
              </w:rPr>
              <w:t xml:space="preserve">  </w:t>
            </w:r>
            <w:r>
              <w:rPr>
                <w:sz w:val="21"/>
                <w:szCs w:val="21"/>
                <w:spacing w:val="-1"/>
              </w:rPr>
              <w:t>班，每班8小时；验收检测期间实际工况为</w:t>
            </w:r>
            <w:r>
              <w:rPr>
                <w:sz w:val="21"/>
                <w:szCs w:val="21"/>
                <w:spacing w:val="10"/>
              </w:rPr>
              <w:t xml:space="preserve"> </w:t>
            </w:r>
            <w:r>
              <w:rPr>
                <w:sz w:val="21"/>
                <w:szCs w:val="21"/>
                <w:spacing w:val="1"/>
              </w:rPr>
              <w:t>肉牛屠宰量为57头/d、鸡屠宰量为1700只</w:t>
            </w:r>
            <w:r>
              <w:rPr>
                <w:sz w:val="21"/>
                <w:szCs w:val="21"/>
                <w:spacing w:val="7"/>
              </w:rPr>
              <w:t xml:space="preserve"> </w:t>
            </w:r>
            <w:r>
              <w:rPr>
                <w:sz w:val="21"/>
                <w:szCs w:val="21"/>
                <w:spacing w:val="-8"/>
              </w:rPr>
              <w:t>d。</w:t>
            </w:r>
          </w:p>
        </w:tc>
        <w:tc>
          <w:tcPr>
            <w:tcW w:w="3800" w:type="dxa"/>
            <w:vAlign w:val="top"/>
          </w:tcPr>
          <w:p>
            <w:pPr>
              <w:pStyle w:val="TableText"/>
              <w:ind w:left="15" w:right="198"/>
              <w:spacing w:before="43" w:line="226" w:lineRule="auto"/>
              <w:rPr>
                <w:sz w:val="21"/>
                <w:szCs w:val="21"/>
              </w:rPr>
            </w:pPr>
            <w:r>
              <w:rPr>
                <w:sz w:val="21"/>
                <w:szCs w:val="21"/>
              </w:rPr>
              <w:t>肉牛屠宰量4万头/年，年工作时间360d</w:t>
            </w:r>
            <w:r>
              <w:rPr>
                <w:sz w:val="21"/>
                <w:szCs w:val="21"/>
                <w:spacing w:val="4"/>
              </w:rPr>
              <w:t xml:space="preserve"> </w:t>
            </w:r>
            <w:r>
              <w:rPr>
                <w:sz w:val="21"/>
                <w:szCs w:val="21"/>
              </w:rPr>
              <w:t>(其中淡季270d、旺季90d),每天1</w:t>
            </w:r>
          </w:p>
          <w:p>
            <w:pPr>
              <w:pStyle w:val="TableText"/>
              <w:ind w:left="15" w:right="85"/>
              <w:spacing w:before="13" w:line="228" w:lineRule="auto"/>
              <w:rPr>
                <w:sz w:val="21"/>
                <w:szCs w:val="21"/>
              </w:rPr>
            </w:pPr>
            <w:r>
              <w:rPr>
                <w:sz w:val="21"/>
                <w:szCs w:val="21"/>
              </w:rPr>
              <w:t>班，每班8小时，折算淡季肉牛屠宰能力</w:t>
            </w:r>
            <w:r>
              <w:rPr>
                <w:sz w:val="21"/>
                <w:szCs w:val="21"/>
                <w:spacing w:val="12"/>
              </w:rPr>
              <w:t xml:space="preserve"> </w:t>
            </w:r>
            <w:r>
              <w:rPr>
                <w:sz w:val="21"/>
                <w:szCs w:val="21"/>
              </w:rPr>
              <w:t>为100头/d、旺季肉牛屠宰能力为144头</w:t>
            </w:r>
            <w:r>
              <w:rPr>
                <w:sz w:val="21"/>
                <w:szCs w:val="21"/>
                <w:spacing w:val="5"/>
              </w:rPr>
              <w:t xml:space="preserve">  </w:t>
            </w:r>
            <w:r>
              <w:rPr>
                <w:sz w:val="21"/>
                <w:szCs w:val="21"/>
                <w:spacing w:val="-7"/>
              </w:rPr>
              <w:t>/d。</w:t>
            </w:r>
          </w:p>
        </w:tc>
      </w:tr>
    </w:tbl>
    <w:p>
      <w:pPr>
        <w:ind w:left="144" w:right="196" w:firstLine="490"/>
        <w:spacing w:before="44" w:line="364" w:lineRule="auto"/>
        <w:rPr>
          <w:rFonts w:ascii="SimSun" w:hAnsi="SimSun" w:eastAsia="SimSun" w:cs="SimSun"/>
          <w:sz w:val="24"/>
          <w:szCs w:val="24"/>
        </w:rPr>
      </w:pPr>
      <w:r>
        <w:rPr>
          <w:rFonts w:ascii="SimSun" w:hAnsi="SimSun" w:eastAsia="SimSun" w:cs="SimSun"/>
          <w:sz w:val="24"/>
          <w:szCs w:val="24"/>
        </w:rPr>
        <w:t>海东市平安区马大罕畜禽屠宰有限公司《平安县马大罕清真牛羊定点屠宰</w:t>
      </w:r>
      <w:r>
        <w:rPr>
          <w:rFonts w:ascii="SimSun" w:hAnsi="SimSun" w:eastAsia="SimSun" w:cs="SimSun"/>
          <w:sz w:val="24"/>
          <w:szCs w:val="24"/>
          <w:spacing w:val="17"/>
        </w:rPr>
        <w:t xml:space="preserve"> </w:t>
      </w:r>
      <w:r>
        <w:rPr>
          <w:rFonts w:ascii="SimSun" w:hAnsi="SimSun" w:eastAsia="SimSun" w:cs="SimSun"/>
          <w:sz w:val="24"/>
          <w:szCs w:val="24"/>
          <w:spacing w:val="-1"/>
        </w:rPr>
        <w:t>厂建设项目》肉牛在待宰圈舍内静养时间为12</w:t>
      </w:r>
      <w:r>
        <w:rPr>
          <w:rFonts w:ascii="Times New Roman" w:hAnsi="Times New Roman" w:eastAsia="Times New Roman" w:cs="Times New Roman"/>
          <w:sz w:val="24"/>
          <w:szCs w:val="24"/>
          <w:spacing w:val="-1"/>
        </w:rPr>
        <w:t>h</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1"/>
        </w:rPr>
        <w:t>、不提供食物、仅维持水</w:t>
      </w:r>
      <w:r>
        <w:rPr>
          <w:rFonts w:ascii="SimSun" w:hAnsi="SimSun" w:eastAsia="SimSun" w:cs="SimSun"/>
          <w:sz w:val="24"/>
          <w:szCs w:val="24"/>
          <w:spacing w:val="-2"/>
        </w:rPr>
        <w:t>源，静</w:t>
      </w:r>
      <w:r>
        <w:rPr>
          <w:rFonts w:ascii="SimSun" w:hAnsi="SimSun" w:eastAsia="SimSun" w:cs="SimSun"/>
          <w:sz w:val="24"/>
          <w:szCs w:val="24"/>
        </w:rPr>
        <w:t xml:space="preserve"> </w:t>
      </w:r>
      <w:r>
        <w:rPr>
          <w:rFonts w:ascii="SimSun" w:hAnsi="SimSun" w:eastAsia="SimSun" w:cs="SimSun"/>
          <w:sz w:val="24"/>
          <w:szCs w:val="24"/>
        </w:rPr>
        <w:t>养过程中产生少量粪尿排泄物；屠宰设施均未对</w:t>
      </w:r>
      <w:r>
        <w:rPr>
          <w:rFonts w:ascii="SimSun" w:hAnsi="SimSun" w:eastAsia="SimSun" w:cs="SimSun"/>
          <w:sz w:val="24"/>
          <w:szCs w:val="24"/>
          <w:spacing w:val="-1"/>
        </w:rPr>
        <w:t>屠宰车间实施密闭和除臭措</w:t>
      </w:r>
    </w:p>
    <w:p>
      <w:pPr>
        <w:ind w:left="144" w:right="313"/>
        <w:spacing w:before="3" w:line="341" w:lineRule="auto"/>
        <w:rPr>
          <w:rFonts w:ascii="SimSun" w:hAnsi="SimSun" w:eastAsia="SimSun" w:cs="SimSun"/>
          <w:sz w:val="24"/>
          <w:szCs w:val="24"/>
        </w:rPr>
      </w:pPr>
      <w:r>
        <w:rPr>
          <w:rFonts w:ascii="SimSun" w:hAnsi="SimSun" w:eastAsia="SimSun" w:cs="SimSun"/>
          <w:sz w:val="24"/>
          <w:szCs w:val="24"/>
        </w:rPr>
        <w:t>施，产生的恶臭气体未经处理，直接无组织排放，本项</w:t>
      </w:r>
      <w:r>
        <w:rPr>
          <w:rFonts w:ascii="SimSun" w:hAnsi="SimSun" w:eastAsia="SimSun" w:cs="SimSun"/>
          <w:sz w:val="24"/>
          <w:szCs w:val="24"/>
          <w:spacing w:val="-1"/>
        </w:rPr>
        <w:t>目类比其厂界恶臭类污</w:t>
      </w:r>
      <w:r>
        <w:rPr>
          <w:rFonts w:ascii="SimSun" w:hAnsi="SimSun" w:eastAsia="SimSun" w:cs="SimSun"/>
          <w:sz w:val="24"/>
          <w:szCs w:val="24"/>
        </w:rPr>
        <w:t xml:space="preserve"> </w:t>
      </w:r>
      <w:r>
        <w:rPr>
          <w:rFonts w:ascii="SimSun" w:hAnsi="SimSun" w:eastAsia="SimSun" w:cs="SimSun"/>
          <w:sz w:val="24"/>
          <w:szCs w:val="24"/>
          <w:spacing w:val="3"/>
        </w:rPr>
        <w:t>染物浓度的实测值(厂界下风向无组织监测点浓度分别为</w:t>
      </w:r>
      <w:r>
        <w:rPr>
          <w:rFonts w:ascii="Times New Roman" w:hAnsi="Times New Roman" w:eastAsia="Times New Roman" w:cs="Times New Roman"/>
          <w:sz w:val="24"/>
          <w:szCs w:val="24"/>
        </w:rPr>
        <w:t>NH</w:t>
      </w:r>
      <w:r>
        <w:rPr>
          <w:rFonts w:ascii="Times New Roman" w:hAnsi="Times New Roman" w:eastAsia="Times New Roman" w:cs="Times New Roman"/>
          <w:sz w:val="24"/>
          <w:szCs w:val="24"/>
          <w:spacing w:val="3"/>
        </w:rPr>
        <w:t>₃:0.1</w:t>
      </w:r>
      <w:r>
        <w:rPr>
          <w:rFonts w:ascii="Times New Roman" w:hAnsi="Times New Roman" w:eastAsia="Times New Roman" w:cs="Times New Roman"/>
          <w:sz w:val="24"/>
          <w:szCs w:val="24"/>
          <w:spacing w:val="2"/>
        </w:rPr>
        <w:t>1</w:t>
      </w:r>
      <w:r>
        <w:rPr>
          <w:rFonts w:ascii="Times New Roman" w:hAnsi="Times New Roman" w:eastAsia="Times New Roman" w:cs="Times New Roman"/>
          <w:sz w:val="24"/>
          <w:szCs w:val="24"/>
        </w:rPr>
        <w:t>mg</w:t>
      </w:r>
      <w:r>
        <w:rPr>
          <w:rFonts w:ascii="Times New Roman" w:hAnsi="Times New Roman" w:eastAsia="Times New Roman" w:cs="Times New Roman"/>
          <w:sz w:val="24"/>
          <w:szCs w:val="24"/>
          <w:spacing w:val="2"/>
        </w:rPr>
        <w:t>/m³</w:t>
      </w:r>
      <w:r>
        <w:rPr>
          <w:rFonts w:ascii="SimSun" w:hAnsi="SimSun" w:eastAsia="SimSun" w:cs="SimSun"/>
          <w:sz w:val="24"/>
          <w:szCs w:val="24"/>
          <w:spacing w:val="2"/>
        </w:rPr>
        <w:t>、</w:t>
      </w:r>
    </w:p>
    <w:p>
      <w:pPr>
        <w:ind w:left="144" w:right="193"/>
        <w:spacing w:before="26" w:line="359" w:lineRule="auto"/>
        <w:rPr>
          <w:rFonts w:ascii="SimSun" w:hAnsi="SimSun" w:eastAsia="SimSun" w:cs="SimSun"/>
          <w:sz w:val="24"/>
          <w:szCs w:val="24"/>
        </w:rPr>
      </w:pPr>
      <w:r>
        <w:rPr>
          <w:rFonts w:ascii="Times New Roman" w:hAnsi="Times New Roman" w:eastAsia="Times New Roman" w:cs="Times New Roman"/>
          <w:sz w:val="24"/>
          <w:szCs w:val="24"/>
        </w:rPr>
        <w:t>H₂S:0.007mg/m³),         </w:t>
      </w:r>
      <w:r>
        <w:rPr>
          <w:rFonts w:ascii="SimSun" w:hAnsi="SimSun" w:eastAsia="SimSun" w:cs="SimSun"/>
          <w:sz w:val="24"/>
          <w:szCs w:val="24"/>
        </w:rPr>
        <w:t>由于本项目肉牛屠宰量为该项目肉牛屠</w:t>
      </w:r>
      <w:r>
        <w:rPr>
          <w:rFonts w:ascii="SimSun" w:hAnsi="SimSun" w:eastAsia="SimSun" w:cs="SimSun"/>
          <w:sz w:val="24"/>
          <w:szCs w:val="24"/>
          <w:spacing w:val="-1"/>
        </w:rPr>
        <w:t>宰量的2倍，但无</w:t>
      </w:r>
      <w:r>
        <w:rPr>
          <w:rFonts w:ascii="SimSun" w:hAnsi="SimSun" w:eastAsia="SimSun" w:cs="SimSun"/>
          <w:sz w:val="24"/>
          <w:szCs w:val="24"/>
        </w:rPr>
        <w:t xml:space="preserve">  </w:t>
      </w:r>
      <w:r>
        <w:rPr>
          <w:rFonts w:ascii="SimSun" w:hAnsi="SimSun" w:eastAsia="SimSun" w:cs="SimSun"/>
          <w:sz w:val="24"/>
          <w:szCs w:val="24"/>
        </w:rPr>
        <w:t>鸡屠宰，本次评价以最不利计，取其厂界恶臭类污染物浓</w:t>
      </w:r>
      <w:r>
        <w:rPr>
          <w:rFonts w:ascii="SimSun" w:hAnsi="SimSun" w:eastAsia="SimSun" w:cs="SimSun"/>
          <w:sz w:val="24"/>
          <w:szCs w:val="24"/>
          <w:spacing w:val="-1"/>
        </w:rPr>
        <w:t>度实测值的2倍进行计</w:t>
      </w:r>
      <w:r>
        <w:rPr>
          <w:rFonts w:ascii="SimSun" w:hAnsi="SimSun" w:eastAsia="SimSun" w:cs="SimSun"/>
          <w:sz w:val="24"/>
          <w:szCs w:val="24"/>
        </w:rPr>
        <w:t xml:space="preserve"> </w:t>
      </w:r>
      <w:r>
        <w:rPr>
          <w:rFonts w:ascii="SimSun" w:hAnsi="SimSun" w:eastAsia="SimSun" w:cs="SimSun"/>
          <w:sz w:val="24"/>
          <w:szCs w:val="24"/>
          <w:spacing w:val="-1"/>
        </w:rPr>
        <w:t>算，即</w:t>
      </w:r>
      <w:r>
        <w:rPr>
          <w:rFonts w:ascii="Times New Roman" w:hAnsi="Times New Roman" w:eastAsia="Times New Roman" w:cs="Times New Roman"/>
          <w:sz w:val="24"/>
          <w:szCs w:val="24"/>
          <w:spacing w:val="-1"/>
        </w:rPr>
        <w:t>NH₃:0.22mg/m³</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1"/>
        </w:rPr>
        <w:t>、</w:t>
      </w:r>
      <w:r>
        <w:rPr>
          <w:rFonts w:ascii="Times New Roman" w:hAnsi="Times New Roman" w:eastAsia="Times New Roman" w:cs="Times New Roman"/>
          <w:sz w:val="24"/>
          <w:szCs w:val="24"/>
          <w:spacing w:val="-1"/>
        </w:rPr>
        <w:t>H₂S:0.014m</w:t>
      </w:r>
      <w:r>
        <w:rPr>
          <w:rFonts w:ascii="Times New Roman" w:hAnsi="Times New Roman" w:eastAsia="Times New Roman" w:cs="Times New Roman"/>
          <w:sz w:val="24"/>
          <w:szCs w:val="24"/>
          <w:spacing w:val="-2"/>
        </w:rPr>
        <w:t>g/m³</w:t>
      </w:r>
      <w:r>
        <w:rPr>
          <w:rFonts w:ascii="SimSun" w:hAnsi="SimSun" w:eastAsia="SimSun" w:cs="SimSun"/>
          <w:sz w:val="24"/>
          <w:szCs w:val="24"/>
          <w:spacing w:val="-2"/>
        </w:rPr>
        <w:t>。</w:t>
      </w:r>
    </w:p>
    <w:p>
      <w:pPr>
        <w:spacing w:line="359" w:lineRule="auto"/>
        <w:sectPr>
          <w:headerReference w:type="default" r:id="rId312"/>
          <w:footerReference w:type="default" r:id="rId313"/>
          <w:pgSz w:w="11910" w:h="16840"/>
          <w:pgMar w:top="1197" w:right="1665" w:bottom="962" w:left="1635" w:header="905" w:footer="791" w:gutter="0"/>
        </w:sectPr>
        <w:rPr>
          <w:rFonts w:ascii="SimSun" w:hAnsi="SimSun" w:eastAsia="SimSun" w:cs="SimSun"/>
          <w:sz w:val="24"/>
          <w:szCs w:val="24"/>
        </w:rPr>
      </w:pPr>
    </w:p>
    <w:p>
      <w:pPr>
        <w:ind w:left="94" w:right="296" w:firstLine="470"/>
        <w:spacing w:before="288" w:line="378" w:lineRule="auto"/>
        <w:rPr>
          <w:rFonts w:ascii="SimSun" w:hAnsi="SimSun" w:eastAsia="SimSun" w:cs="SimSun"/>
          <w:sz w:val="23"/>
          <w:szCs w:val="23"/>
        </w:rPr>
      </w:pPr>
      <w:r>
        <w:rPr>
          <w:rFonts w:ascii="SimSun" w:hAnsi="SimSun" w:eastAsia="SimSun" w:cs="SimSun"/>
          <w:sz w:val="23"/>
          <w:szCs w:val="23"/>
          <w:spacing w:val="9"/>
        </w:rPr>
        <w:t>本项目肉牛待宰圈舍、屠宰车间恶臭源强参照《炼油厂恶臭气体污染物排 </w:t>
      </w:r>
      <w:r>
        <w:rPr>
          <w:rFonts w:ascii="SimSun" w:hAnsi="SimSun" w:eastAsia="SimSun" w:cs="SimSun"/>
          <w:sz w:val="23"/>
          <w:szCs w:val="23"/>
          <w:spacing w:val="8"/>
        </w:rPr>
        <w:t>放量的简易计算方法》进行估算，公式如下：</w:t>
      </w:r>
    </w:p>
    <w:p>
      <w:pPr>
        <w:ind w:left="3724"/>
        <w:spacing w:before="27" w:line="188"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Qc=CUQr</w:t>
      </w:r>
    </w:p>
    <w:p>
      <w:pPr>
        <w:ind w:left="565"/>
        <w:spacing w:before="186" w:line="214" w:lineRule="auto"/>
        <w:rPr>
          <w:rFonts w:ascii="SimSun" w:hAnsi="SimSun" w:eastAsia="SimSun" w:cs="SimSun"/>
          <w:sz w:val="23"/>
          <w:szCs w:val="23"/>
        </w:rPr>
      </w:pPr>
      <w:r>
        <w:rPr>
          <w:rFonts w:ascii="SimSun" w:hAnsi="SimSun" w:eastAsia="SimSun" w:cs="SimSun"/>
          <w:sz w:val="23"/>
          <w:szCs w:val="23"/>
          <w:spacing w:val="1"/>
        </w:rPr>
        <w:t>式中：</w:t>
      </w:r>
      <w:r>
        <w:rPr>
          <w:rFonts w:ascii="SimSun" w:hAnsi="SimSun" w:eastAsia="SimSun" w:cs="SimSun"/>
          <w:sz w:val="23"/>
          <w:szCs w:val="23"/>
        </w:rPr>
        <w:t>Qc</w:t>
      </w:r>
      <w:r>
        <w:rPr>
          <w:rFonts w:ascii="SimSun" w:hAnsi="SimSun" w:eastAsia="SimSun" w:cs="SimSun"/>
          <w:sz w:val="23"/>
          <w:szCs w:val="23"/>
          <w:spacing w:val="1"/>
        </w:rPr>
        <w:t>-恶臭类污染物排放量，</w:t>
      </w:r>
      <w:r>
        <w:rPr>
          <w:rFonts w:ascii="SimSun" w:hAnsi="SimSun" w:eastAsia="SimSun" w:cs="SimSun"/>
          <w:sz w:val="23"/>
          <w:szCs w:val="23"/>
          <w:spacing w:val="-34"/>
        </w:rPr>
        <w:t xml:space="preserve"> </w:t>
      </w:r>
      <w:r>
        <w:rPr>
          <w:rFonts w:ascii="SimSun" w:hAnsi="SimSun" w:eastAsia="SimSun" w:cs="SimSun"/>
          <w:sz w:val="23"/>
          <w:szCs w:val="23"/>
        </w:rPr>
        <w:t>kg</w:t>
      </w:r>
      <w:r>
        <w:rPr>
          <w:rFonts w:ascii="SimSun" w:hAnsi="SimSun" w:eastAsia="SimSun" w:cs="SimSun"/>
          <w:sz w:val="23"/>
          <w:szCs w:val="23"/>
          <w:spacing w:val="1"/>
        </w:rPr>
        <w:t>/h;</w:t>
      </w:r>
    </w:p>
    <w:p>
      <w:pPr>
        <w:ind w:left="1234"/>
        <w:spacing w:before="213" w:line="214" w:lineRule="auto"/>
        <w:rPr>
          <w:rFonts w:ascii="SimSun" w:hAnsi="SimSun" w:eastAsia="SimSun" w:cs="SimSun"/>
          <w:sz w:val="23"/>
          <w:szCs w:val="23"/>
        </w:rPr>
      </w:pPr>
      <w:r>
        <w:rPr>
          <w:rFonts w:ascii="SimSun" w:hAnsi="SimSun" w:eastAsia="SimSun" w:cs="SimSun"/>
          <w:sz w:val="23"/>
          <w:szCs w:val="23"/>
          <w:spacing w:val="1"/>
        </w:rPr>
        <w:t>C-厂界恶臭类污染物浓度的实测值， </w:t>
      </w:r>
      <w:r>
        <w:rPr>
          <w:rFonts w:ascii="SimSun" w:hAnsi="SimSun" w:eastAsia="SimSun" w:cs="SimSun"/>
          <w:sz w:val="23"/>
          <w:szCs w:val="23"/>
        </w:rPr>
        <w:t>mg</w:t>
      </w:r>
      <w:r>
        <w:rPr>
          <w:rFonts w:ascii="SimSun" w:hAnsi="SimSun" w:eastAsia="SimSun" w:cs="SimSun"/>
          <w:sz w:val="23"/>
          <w:szCs w:val="23"/>
          <w:spacing w:val="1"/>
        </w:rPr>
        <w:t>/m³;</w:t>
      </w:r>
    </w:p>
    <w:p>
      <w:pPr>
        <w:ind w:left="1234"/>
        <w:spacing w:before="166" w:line="212"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U-</w:t>
      </w:r>
      <w:r>
        <w:rPr>
          <w:rFonts w:ascii="SimSun" w:hAnsi="SimSun" w:eastAsia="SimSun" w:cs="SimSun"/>
          <w:sz w:val="23"/>
          <w:szCs w:val="23"/>
          <w:spacing w:val="-1"/>
        </w:rPr>
        <w:t>采样时当地平均风速， </w:t>
      </w:r>
      <w:r>
        <w:rPr>
          <w:rFonts w:ascii="Times New Roman" w:hAnsi="Times New Roman" w:eastAsia="Times New Roman" w:cs="Times New Roman"/>
          <w:sz w:val="23"/>
          <w:szCs w:val="23"/>
          <w:spacing w:val="-1"/>
        </w:rPr>
        <w:t>m/s;   </w:t>
      </w:r>
      <w:r>
        <w:rPr>
          <w:rFonts w:ascii="SimSun" w:hAnsi="SimSun" w:eastAsia="SimSun" w:cs="SimSun"/>
          <w:sz w:val="23"/>
          <w:szCs w:val="23"/>
          <w:spacing w:val="-1"/>
        </w:rPr>
        <w:t>取1.2</w:t>
      </w:r>
      <w:r>
        <w:rPr>
          <w:rFonts w:ascii="Times New Roman" w:hAnsi="Times New Roman" w:eastAsia="Times New Roman" w:cs="Times New Roman"/>
          <w:sz w:val="23"/>
          <w:szCs w:val="23"/>
          <w:spacing w:val="-1"/>
        </w:rPr>
        <w:t>m/s</w:t>
      </w:r>
    </w:p>
    <w:p>
      <w:pPr>
        <w:ind w:left="1234"/>
        <w:spacing w:before="179" w:line="212" w:lineRule="auto"/>
        <w:rPr>
          <w:rFonts w:ascii="SimSun" w:hAnsi="SimSun" w:eastAsia="SimSun" w:cs="SimSun"/>
          <w:sz w:val="23"/>
          <w:szCs w:val="23"/>
        </w:rPr>
      </w:pPr>
      <w:r>
        <w:rPr>
          <w:rFonts w:ascii="Times New Roman" w:hAnsi="Times New Roman" w:eastAsia="Times New Roman" w:cs="Times New Roman"/>
          <w:sz w:val="23"/>
          <w:szCs w:val="23"/>
        </w:rPr>
        <w:t>Qr</w:t>
      </w:r>
      <w:r>
        <w:rPr>
          <w:rFonts w:ascii="Times New Roman" w:hAnsi="Times New Roman" w:eastAsia="Times New Roman" w:cs="Times New Roman"/>
          <w:sz w:val="23"/>
          <w:szCs w:val="23"/>
          <w:spacing w:val="5"/>
        </w:rPr>
        <w:t>-</w:t>
      </w:r>
      <w:r>
        <w:rPr>
          <w:rFonts w:ascii="SimSun" w:hAnsi="SimSun" w:eastAsia="SimSun" w:cs="SimSun"/>
          <w:sz w:val="23"/>
          <w:szCs w:val="23"/>
          <w:spacing w:val="5"/>
        </w:rPr>
        <w:t>污染源强计算参数，</w:t>
      </w:r>
      <w:r>
        <w:rPr>
          <w:rFonts w:ascii="Times New Roman" w:hAnsi="Times New Roman" w:eastAsia="Times New Roman" w:cs="Times New Roman"/>
          <w:sz w:val="23"/>
          <w:szCs w:val="23"/>
          <w:spacing w:val="5"/>
        </w:rPr>
        <w:t>m²</w:t>
      </w:r>
      <w:r>
        <w:rPr>
          <w:rFonts w:ascii="SimSun" w:hAnsi="SimSun" w:eastAsia="SimSun" w:cs="SimSun"/>
          <w:sz w:val="23"/>
          <w:szCs w:val="23"/>
          <w:spacing w:val="5"/>
        </w:rPr>
        <w:t>。</w:t>
      </w:r>
    </w:p>
    <w:p>
      <w:pPr>
        <w:ind w:left="2808"/>
        <w:spacing w:before="195" w:line="214" w:lineRule="auto"/>
        <w:rPr>
          <w:rFonts w:ascii="SimSun" w:hAnsi="SimSun" w:eastAsia="SimSun" w:cs="SimSun"/>
          <w:sz w:val="24"/>
          <w:szCs w:val="24"/>
        </w:rPr>
      </w:pPr>
      <w:r>
        <w:rPr>
          <w:rFonts w:ascii="SimSun" w:hAnsi="SimSun" w:eastAsia="SimSun" w:cs="SimSun"/>
          <w:sz w:val="24"/>
          <w:szCs w:val="24"/>
          <w:b/>
          <w:bCs/>
          <w:spacing w:val="-4"/>
        </w:rPr>
        <w:t>表3.11-18污染源强计算参数</w:t>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472"/>
        <w:gridCol w:w="928"/>
        <w:gridCol w:w="839"/>
        <w:gridCol w:w="869"/>
        <w:gridCol w:w="809"/>
        <w:gridCol w:w="809"/>
        <w:gridCol w:w="859"/>
        <w:gridCol w:w="924"/>
      </w:tblGrid>
      <w:tr>
        <w:trPr>
          <w:trHeight w:val="280" w:hRule="atLeast"/>
        </w:trPr>
        <w:tc>
          <w:tcPr>
            <w:shd w:val="clear" w:fill="BDBDBD"/>
            <w:tcW w:w="2472" w:type="dxa"/>
            <w:vAlign w:val="top"/>
          </w:tcPr>
          <w:p>
            <w:pPr>
              <w:pStyle w:val="TableText"/>
              <w:ind w:left="38"/>
              <w:spacing w:before="30" w:line="201" w:lineRule="auto"/>
              <w:rPr>
                <w:sz w:val="22"/>
                <w:szCs w:val="22"/>
              </w:rPr>
            </w:pPr>
            <w:r>
              <w:rPr>
                <w:sz w:val="22"/>
                <w:szCs w:val="22"/>
                <w:b/>
                <w:bCs/>
                <w:spacing w:val="1"/>
              </w:rPr>
              <w:t>污染源等效半径(m)</w:t>
            </w:r>
          </w:p>
        </w:tc>
        <w:tc>
          <w:tcPr>
            <w:shd w:val="clear" w:fill="BDBDBD"/>
            <w:tcW w:w="928" w:type="dxa"/>
            <w:vAlign w:val="top"/>
          </w:tcPr>
          <w:p>
            <w:pPr>
              <w:pStyle w:val="TableText"/>
              <w:ind w:left="236"/>
              <w:spacing w:before="50" w:line="184" w:lineRule="auto"/>
              <w:rPr>
                <w:sz w:val="22"/>
                <w:szCs w:val="22"/>
              </w:rPr>
            </w:pPr>
            <w:r>
              <w:rPr>
                <w:sz w:val="22"/>
                <w:szCs w:val="22"/>
                <w:b/>
                <w:bCs/>
                <w:spacing w:val="-9"/>
              </w:rPr>
              <w:t>≤20</w:t>
            </w:r>
          </w:p>
        </w:tc>
        <w:tc>
          <w:tcPr>
            <w:shd w:val="clear" w:fill="BDBDBD"/>
            <w:tcW w:w="839" w:type="dxa"/>
            <w:vAlign w:val="top"/>
          </w:tcPr>
          <w:p>
            <w:pPr>
              <w:pStyle w:val="TableText"/>
              <w:ind w:left="138"/>
              <w:spacing w:before="54" w:line="181" w:lineRule="auto"/>
              <w:rPr>
                <w:sz w:val="22"/>
                <w:szCs w:val="22"/>
              </w:rPr>
            </w:pPr>
            <w:r>
              <w:rPr>
                <w:sz w:val="22"/>
                <w:szCs w:val="22"/>
                <w:b/>
                <w:bCs/>
                <w:spacing w:val="-5"/>
              </w:rPr>
              <w:t>21-40</w:t>
            </w:r>
          </w:p>
        </w:tc>
        <w:tc>
          <w:tcPr>
            <w:shd w:val="clear" w:fill="BDBDBD"/>
            <w:tcW w:w="869" w:type="dxa"/>
            <w:vAlign w:val="top"/>
          </w:tcPr>
          <w:p>
            <w:pPr>
              <w:pStyle w:val="TableText"/>
              <w:ind w:left="159"/>
              <w:spacing w:before="54" w:line="181" w:lineRule="auto"/>
              <w:rPr>
                <w:sz w:val="22"/>
                <w:szCs w:val="22"/>
              </w:rPr>
            </w:pPr>
            <w:r>
              <w:rPr>
                <w:sz w:val="22"/>
                <w:szCs w:val="22"/>
                <w:b/>
                <w:bCs/>
                <w:spacing w:val="-4"/>
              </w:rPr>
              <w:t>41-60</w:t>
            </w:r>
          </w:p>
        </w:tc>
        <w:tc>
          <w:tcPr>
            <w:shd w:val="clear" w:fill="BDBDBD"/>
            <w:tcW w:w="809" w:type="dxa"/>
            <w:vAlign w:val="top"/>
          </w:tcPr>
          <w:p>
            <w:pPr>
              <w:pStyle w:val="TableText"/>
              <w:ind w:left="130"/>
              <w:spacing w:before="54" w:line="181" w:lineRule="auto"/>
              <w:rPr>
                <w:sz w:val="22"/>
                <w:szCs w:val="22"/>
              </w:rPr>
            </w:pPr>
            <w:r>
              <w:rPr>
                <w:sz w:val="22"/>
                <w:szCs w:val="22"/>
                <w:b/>
                <w:bCs/>
                <w:spacing w:val="-5"/>
              </w:rPr>
              <w:t>61-80</w:t>
            </w:r>
          </w:p>
        </w:tc>
        <w:tc>
          <w:tcPr>
            <w:shd w:val="clear" w:fill="BDBDBD"/>
            <w:tcW w:w="809" w:type="dxa"/>
            <w:vAlign w:val="top"/>
          </w:tcPr>
          <w:p>
            <w:pPr>
              <w:pStyle w:val="TableText"/>
              <w:ind w:left="71"/>
              <w:spacing w:before="54" w:line="181" w:lineRule="auto"/>
              <w:rPr>
                <w:sz w:val="22"/>
                <w:szCs w:val="22"/>
              </w:rPr>
            </w:pPr>
            <w:r>
              <w:rPr>
                <w:sz w:val="22"/>
                <w:szCs w:val="22"/>
                <w:b/>
                <w:bCs/>
                <w:spacing w:val="-4"/>
              </w:rPr>
              <w:t>81-100</w:t>
            </w:r>
          </w:p>
        </w:tc>
        <w:tc>
          <w:tcPr>
            <w:shd w:val="clear" w:fill="BDBDBD"/>
            <w:tcW w:w="859" w:type="dxa"/>
            <w:vAlign w:val="top"/>
          </w:tcPr>
          <w:p>
            <w:pPr>
              <w:pStyle w:val="TableText"/>
              <w:ind w:left="42"/>
              <w:spacing w:before="54" w:line="181" w:lineRule="auto"/>
              <w:rPr>
                <w:sz w:val="22"/>
                <w:szCs w:val="22"/>
              </w:rPr>
            </w:pPr>
            <w:r>
              <w:rPr>
                <w:sz w:val="22"/>
                <w:szCs w:val="22"/>
                <w:b/>
                <w:bCs/>
                <w:spacing w:val="-6"/>
              </w:rPr>
              <w:t>101-120</w:t>
            </w:r>
          </w:p>
        </w:tc>
        <w:tc>
          <w:tcPr>
            <w:shd w:val="clear" w:fill="BDBDBD"/>
            <w:tcW w:w="924" w:type="dxa"/>
            <w:vAlign w:val="top"/>
          </w:tcPr>
          <w:p>
            <w:pPr>
              <w:pStyle w:val="TableText"/>
              <w:ind w:left="73"/>
              <w:spacing w:before="54" w:line="181" w:lineRule="auto"/>
              <w:rPr>
                <w:sz w:val="22"/>
                <w:szCs w:val="22"/>
              </w:rPr>
            </w:pPr>
            <w:r>
              <w:rPr>
                <w:sz w:val="22"/>
                <w:szCs w:val="22"/>
                <w:b/>
                <w:bCs/>
                <w:spacing w:val="-6"/>
              </w:rPr>
              <w:t>121-150</w:t>
            </w:r>
          </w:p>
        </w:tc>
      </w:tr>
      <w:tr>
        <w:trPr>
          <w:trHeight w:val="279" w:hRule="atLeast"/>
        </w:trPr>
        <w:tc>
          <w:tcPr>
            <w:tcW w:w="2472" w:type="dxa"/>
            <w:vAlign w:val="top"/>
          </w:tcPr>
          <w:p>
            <w:pPr>
              <w:pStyle w:val="TableText"/>
              <w:ind w:left="38"/>
              <w:spacing w:before="30" w:line="200" w:lineRule="auto"/>
              <w:rPr>
                <w:sz w:val="22"/>
                <w:szCs w:val="22"/>
              </w:rPr>
            </w:pPr>
            <w:r>
              <w:rPr>
                <w:sz w:val="22"/>
                <w:szCs w:val="22"/>
                <w:b/>
                <w:bCs/>
                <w:spacing w:val="1"/>
              </w:rPr>
              <w:t>污染源强计算参数(</w:t>
            </w:r>
            <w:r>
              <w:rPr>
                <w:sz w:val="22"/>
                <w:szCs w:val="22"/>
                <w:b/>
                <w:bCs/>
              </w:rPr>
              <w:t>Qr</w:t>
            </w:r>
            <w:r>
              <w:rPr>
                <w:sz w:val="22"/>
                <w:szCs w:val="22"/>
                <w:b/>
                <w:bCs/>
                <w:spacing w:val="1"/>
              </w:rPr>
              <w:t>)</w:t>
            </w:r>
          </w:p>
        </w:tc>
        <w:tc>
          <w:tcPr>
            <w:tcW w:w="928" w:type="dxa"/>
            <w:vAlign w:val="top"/>
          </w:tcPr>
          <w:p>
            <w:pPr>
              <w:pStyle w:val="TableText"/>
              <w:ind w:left="296"/>
              <w:spacing w:before="53" w:line="181" w:lineRule="auto"/>
              <w:rPr>
                <w:sz w:val="22"/>
                <w:szCs w:val="22"/>
              </w:rPr>
            </w:pPr>
            <w:r>
              <w:rPr>
                <w:sz w:val="22"/>
                <w:szCs w:val="22"/>
                <w:b/>
                <w:bCs/>
                <w:spacing w:val="-5"/>
              </w:rPr>
              <w:t>0.2</w:t>
            </w:r>
          </w:p>
        </w:tc>
        <w:tc>
          <w:tcPr>
            <w:tcW w:w="839" w:type="dxa"/>
            <w:vAlign w:val="top"/>
          </w:tcPr>
          <w:p>
            <w:pPr>
              <w:pStyle w:val="TableText"/>
              <w:ind w:left="248"/>
              <w:spacing w:before="53" w:line="181" w:lineRule="auto"/>
              <w:rPr>
                <w:sz w:val="22"/>
                <w:szCs w:val="22"/>
              </w:rPr>
            </w:pPr>
            <w:r>
              <w:rPr>
                <w:sz w:val="22"/>
                <w:szCs w:val="22"/>
                <w:b/>
                <w:bCs/>
                <w:spacing w:val="-5"/>
              </w:rPr>
              <w:t>0.5</w:t>
            </w:r>
          </w:p>
        </w:tc>
        <w:tc>
          <w:tcPr>
            <w:tcW w:w="869" w:type="dxa"/>
            <w:vAlign w:val="top"/>
          </w:tcPr>
          <w:p>
            <w:pPr>
              <w:pStyle w:val="TableText"/>
              <w:ind w:left="269"/>
              <w:spacing w:before="53" w:line="181" w:lineRule="auto"/>
              <w:rPr>
                <w:sz w:val="22"/>
                <w:szCs w:val="22"/>
              </w:rPr>
            </w:pPr>
            <w:r>
              <w:rPr>
                <w:sz w:val="22"/>
                <w:szCs w:val="22"/>
                <w:b/>
                <w:bCs/>
                <w:spacing w:val="-8"/>
              </w:rPr>
              <w:t>1.0</w:t>
            </w:r>
          </w:p>
        </w:tc>
        <w:tc>
          <w:tcPr>
            <w:tcW w:w="809" w:type="dxa"/>
            <w:vAlign w:val="top"/>
          </w:tcPr>
          <w:p>
            <w:pPr>
              <w:pStyle w:val="TableText"/>
              <w:ind w:left="240"/>
              <w:spacing w:before="53" w:line="181" w:lineRule="auto"/>
              <w:rPr>
                <w:sz w:val="22"/>
                <w:szCs w:val="22"/>
              </w:rPr>
            </w:pPr>
            <w:r>
              <w:rPr>
                <w:sz w:val="22"/>
                <w:szCs w:val="22"/>
                <w:b/>
                <w:bCs/>
                <w:color w:val="304040"/>
                <w:spacing w:val="-8"/>
              </w:rPr>
              <w:t>1.5</w:t>
            </w:r>
          </w:p>
        </w:tc>
        <w:tc>
          <w:tcPr>
            <w:tcW w:w="809" w:type="dxa"/>
            <w:vAlign w:val="top"/>
          </w:tcPr>
          <w:p>
            <w:pPr>
              <w:pStyle w:val="TableText"/>
              <w:ind w:left="241"/>
              <w:spacing w:before="53" w:line="181" w:lineRule="auto"/>
              <w:rPr>
                <w:sz w:val="22"/>
                <w:szCs w:val="22"/>
              </w:rPr>
            </w:pPr>
            <w:r>
              <w:rPr>
                <w:sz w:val="22"/>
                <w:szCs w:val="22"/>
                <w:b/>
                <w:bCs/>
                <w:spacing w:val="-5"/>
              </w:rPr>
              <w:t>2.0</w:t>
            </w:r>
          </w:p>
        </w:tc>
        <w:tc>
          <w:tcPr>
            <w:tcW w:w="859" w:type="dxa"/>
            <w:vAlign w:val="top"/>
          </w:tcPr>
          <w:p>
            <w:pPr>
              <w:pStyle w:val="TableText"/>
              <w:ind w:left="262"/>
              <w:spacing w:before="53" w:line="181" w:lineRule="auto"/>
              <w:rPr>
                <w:sz w:val="22"/>
                <w:szCs w:val="22"/>
              </w:rPr>
            </w:pPr>
            <w:r>
              <w:rPr>
                <w:sz w:val="22"/>
                <w:szCs w:val="22"/>
                <w:b/>
                <w:bCs/>
                <w:spacing w:val="-6"/>
              </w:rPr>
              <w:t>3.0</w:t>
            </w:r>
          </w:p>
        </w:tc>
        <w:tc>
          <w:tcPr>
            <w:tcW w:w="924" w:type="dxa"/>
            <w:vAlign w:val="top"/>
          </w:tcPr>
          <w:p>
            <w:pPr>
              <w:pStyle w:val="TableText"/>
              <w:ind w:left="293"/>
              <w:spacing w:before="53" w:line="181" w:lineRule="auto"/>
              <w:rPr>
                <w:sz w:val="22"/>
                <w:szCs w:val="22"/>
              </w:rPr>
            </w:pPr>
            <w:r>
              <w:rPr>
                <w:sz w:val="22"/>
                <w:szCs w:val="22"/>
                <w:b/>
                <w:bCs/>
                <w:spacing w:val="-5"/>
              </w:rPr>
              <w:t>4.0</w:t>
            </w:r>
          </w:p>
        </w:tc>
      </w:tr>
    </w:tbl>
    <w:p>
      <w:pPr>
        <w:ind w:left="605"/>
        <w:spacing w:before="55" w:line="219" w:lineRule="auto"/>
        <w:rPr>
          <w:rFonts w:ascii="SimSun" w:hAnsi="SimSun" w:eastAsia="SimSun" w:cs="SimSun"/>
          <w:sz w:val="24"/>
          <w:szCs w:val="24"/>
        </w:rPr>
      </w:pPr>
      <w:r>
        <w:rPr>
          <w:rFonts w:ascii="SimSun" w:hAnsi="SimSun" w:eastAsia="SimSun" w:cs="SimSun"/>
          <w:sz w:val="24"/>
          <w:szCs w:val="24"/>
        </w:rPr>
        <w:t>无组织排放污染源等效半径Ra由下式计算：</w:t>
      </w:r>
    </w:p>
    <w:p>
      <w:pPr>
        <w:ind w:left="3535"/>
        <w:spacing w:before="225" w:line="192"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Ra=(S/π)1/2</w:t>
      </w:r>
    </w:p>
    <w:p>
      <w:pPr>
        <w:ind w:left="565"/>
        <w:spacing w:before="249" w:line="219" w:lineRule="auto"/>
        <w:rPr>
          <w:rFonts w:ascii="SimSun" w:hAnsi="SimSun" w:eastAsia="SimSun" w:cs="SimSun"/>
          <w:sz w:val="23"/>
          <w:szCs w:val="23"/>
        </w:rPr>
      </w:pPr>
      <w:r>
        <w:rPr>
          <w:rFonts w:ascii="SimSun" w:hAnsi="SimSun" w:eastAsia="SimSun" w:cs="SimSun"/>
          <w:sz w:val="23"/>
          <w:szCs w:val="23"/>
          <w:spacing w:val="1"/>
        </w:rPr>
        <w:t>式中：</w:t>
      </w:r>
      <w:r>
        <w:rPr>
          <w:rFonts w:ascii="Times New Roman" w:hAnsi="Times New Roman" w:eastAsia="Times New Roman" w:cs="Times New Roman"/>
          <w:sz w:val="23"/>
          <w:szCs w:val="23"/>
          <w:spacing w:val="1"/>
        </w:rPr>
        <w:t>S-</w:t>
      </w:r>
      <w:r>
        <w:rPr>
          <w:rFonts w:ascii="SimSun" w:hAnsi="SimSun" w:eastAsia="SimSun" w:cs="SimSun"/>
          <w:sz w:val="23"/>
          <w:szCs w:val="23"/>
          <w:spacing w:val="1"/>
        </w:rPr>
        <w:t>第3类污染源平面积，</w:t>
      </w:r>
      <w:r>
        <w:rPr>
          <w:rFonts w:ascii="SimSun" w:hAnsi="SimSun" w:eastAsia="SimSun" w:cs="SimSun"/>
          <w:sz w:val="23"/>
          <w:szCs w:val="23"/>
          <w:spacing w:val="-46"/>
        </w:rPr>
        <w:t xml:space="preserve"> </w:t>
      </w:r>
      <w:r>
        <w:rPr>
          <w:rFonts w:ascii="Times New Roman" w:hAnsi="Times New Roman" w:eastAsia="Times New Roman" w:cs="Times New Roman"/>
          <w:sz w:val="23"/>
          <w:szCs w:val="23"/>
          <w:spacing w:val="1"/>
        </w:rPr>
        <w:t>m²</w:t>
      </w:r>
      <w:r>
        <w:rPr>
          <w:rFonts w:ascii="SimSun" w:hAnsi="SimSun" w:eastAsia="SimSun" w:cs="SimSun"/>
          <w:sz w:val="23"/>
          <w:szCs w:val="23"/>
          <w:spacing w:val="1"/>
        </w:rPr>
        <w:t>。</w:t>
      </w:r>
    </w:p>
    <w:p>
      <w:pPr>
        <w:ind w:left="565"/>
        <w:spacing w:before="194" w:line="216" w:lineRule="auto"/>
        <w:rPr>
          <w:rFonts w:ascii="SimSun" w:hAnsi="SimSun" w:eastAsia="SimSun" w:cs="SimSun"/>
          <w:sz w:val="23"/>
          <w:szCs w:val="23"/>
        </w:rPr>
      </w:pPr>
      <w:r>
        <w:rPr>
          <w:rFonts w:ascii="SimSun" w:hAnsi="SimSun" w:eastAsia="SimSun" w:cs="SimSun"/>
          <w:sz w:val="23"/>
          <w:szCs w:val="23"/>
          <w:spacing w:val="3"/>
        </w:rPr>
        <w:t>本项目肉牛待宰圈舍面积约为747.5m²、</w:t>
      </w:r>
      <w:r>
        <w:rPr>
          <w:rFonts w:ascii="SimSun" w:hAnsi="SimSun" w:eastAsia="SimSun" w:cs="SimSun"/>
          <w:sz w:val="23"/>
          <w:szCs w:val="23"/>
          <w:spacing w:val="-45"/>
        </w:rPr>
        <w:t xml:space="preserve"> </w:t>
      </w:r>
      <w:r>
        <w:rPr>
          <w:rFonts w:ascii="SimSun" w:hAnsi="SimSun" w:eastAsia="SimSun" w:cs="SimSun"/>
          <w:sz w:val="23"/>
          <w:szCs w:val="23"/>
          <w:spacing w:val="3"/>
        </w:rPr>
        <w:t>肉牛屠宰车间面积约为925.6m²,</w:t>
      </w:r>
    </w:p>
    <w:p>
      <w:pPr>
        <w:ind w:left="94" w:right="294"/>
        <w:spacing w:before="178" w:line="362" w:lineRule="auto"/>
        <w:rPr>
          <w:rFonts w:ascii="SimSun" w:hAnsi="SimSun" w:eastAsia="SimSun" w:cs="SimSun"/>
          <w:sz w:val="23"/>
          <w:szCs w:val="23"/>
        </w:rPr>
      </w:pPr>
      <w:r>
        <w:rPr>
          <w:rFonts w:ascii="SimSun" w:hAnsi="SimSun" w:eastAsia="SimSun" w:cs="SimSun"/>
          <w:sz w:val="23"/>
          <w:szCs w:val="23"/>
          <w:spacing w:val="5"/>
        </w:rPr>
        <w:t>等效半径分别为15.4</w:t>
      </w:r>
      <w:r>
        <w:rPr>
          <w:rFonts w:ascii="Times New Roman" w:hAnsi="Times New Roman" w:eastAsia="Times New Roman" w:cs="Times New Roman"/>
          <w:sz w:val="23"/>
          <w:szCs w:val="23"/>
          <w:spacing w:val="5"/>
        </w:rPr>
        <w:t>m</w:t>
      </w:r>
      <w:r>
        <w:rPr>
          <w:rFonts w:ascii="Times New Roman" w:hAnsi="Times New Roman" w:eastAsia="Times New Roman" w:cs="Times New Roman"/>
          <w:sz w:val="23"/>
          <w:szCs w:val="23"/>
          <w:spacing w:val="-29"/>
        </w:rPr>
        <w:t xml:space="preserve"> </w:t>
      </w:r>
      <w:r>
        <w:rPr>
          <w:rFonts w:ascii="SimSun" w:hAnsi="SimSun" w:eastAsia="SimSun" w:cs="SimSun"/>
          <w:sz w:val="23"/>
          <w:szCs w:val="23"/>
          <w:spacing w:val="5"/>
        </w:rPr>
        <w:t>、</w:t>
      </w:r>
      <w:r>
        <w:rPr>
          <w:rFonts w:ascii="Times New Roman" w:hAnsi="Times New Roman" w:eastAsia="Times New Roman" w:cs="Times New Roman"/>
          <w:sz w:val="23"/>
          <w:szCs w:val="23"/>
          <w:spacing w:val="5"/>
        </w:rPr>
        <w:t>17.2m,   </w:t>
      </w:r>
      <w:r>
        <w:rPr>
          <w:rFonts w:ascii="SimSun" w:hAnsi="SimSun" w:eastAsia="SimSun" w:cs="SimSun"/>
          <w:sz w:val="23"/>
          <w:szCs w:val="23"/>
          <w:spacing w:val="5"/>
        </w:rPr>
        <w:t>项目肉牛待宰圈舍、屠宰车间恶臭源强产生情</w:t>
      </w:r>
      <w:r>
        <w:rPr>
          <w:rFonts w:ascii="SimSun" w:hAnsi="SimSun" w:eastAsia="SimSun" w:cs="SimSun"/>
          <w:sz w:val="23"/>
          <w:szCs w:val="23"/>
        </w:rPr>
        <w:t xml:space="preserve"> </w:t>
      </w:r>
      <w:r>
        <w:rPr>
          <w:rFonts w:ascii="SimSun" w:hAnsi="SimSun" w:eastAsia="SimSun" w:cs="SimSun"/>
          <w:sz w:val="23"/>
          <w:szCs w:val="23"/>
          <w:spacing w:val="6"/>
        </w:rPr>
        <w:t>况见下表。</w:t>
      </w:r>
    </w:p>
    <w:p>
      <w:pPr>
        <w:ind w:left="868"/>
        <w:spacing w:before="1" w:line="219" w:lineRule="auto"/>
        <w:rPr>
          <w:rFonts w:ascii="SimSun" w:hAnsi="SimSun" w:eastAsia="SimSun" w:cs="SimSun"/>
          <w:sz w:val="24"/>
          <w:szCs w:val="24"/>
        </w:rPr>
      </w:pPr>
      <w:r>
        <w:rPr>
          <w:rFonts w:ascii="SimSun" w:hAnsi="SimSun" w:eastAsia="SimSun" w:cs="SimSun"/>
          <w:sz w:val="24"/>
          <w:szCs w:val="24"/>
          <w:b/>
          <w:bCs/>
          <w:spacing w:val="-3"/>
        </w:rPr>
        <w:t>表3.11-19项目肉牛待宰圈舍、屠宰车间恶臭源强统计情况一览表</w:t>
      </w:r>
    </w:p>
    <w:p>
      <w:pPr>
        <w:spacing w:line="14" w:lineRule="exact"/>
        <w:rPr/>
      </w:pPr>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44"/>
        <w:gridCol w:w="639"/>
        <w:gridCol w:w="1039"/>
        <w:gridCol w:w="929"/>
        <w:gridCol w:w="1438"/>
        <w:gridCol w:w="1069"/>
        <w:gridCol w:w="1408"/>
        <w:gridCol w:w="1133"/>
      </w:tblGrid>
      <w:tr>
        <w:trPr>
          <w:trHeight w:val="284" w:hRule="atLeast"/>
        </w:trPr>
        <w:tc>
          <w:tcPr>
            <w:shd w:val="clear" w:fill="BDBDBD"/>
            <w:tcW w:w="844" w:type="dxa"/>
            <w:vAlign w:val="top"/>
            <w:vMerge w:val="restart"/>
            <w:tcBorders>
              <w:bottom w:val="nil"/>
            </w:tcBorders>
          </w:tcPr>
          <w:p>
            <w:pPr>
              <w:pStyle w:val="TableText"/>
              <w:ind w:left="97"/>
              <w:spacing w:before="301" w:line="220" w:lineRule="auto"/>
              <w:rPr>
                <w:sz w:val="21"/>
                <w:szCs w:val="21"/>
              </w:rPr>
            </w:pPr>
            <w:r>
              <w:rPr>
                <w:sz w:val="21"/>
                <w:szCs w:val="21"/>
                <w:b/>
                <w:bCs/>
                <w:spacing w:val="-5"/>
              </w:rPr>
              <w:t>污染源</w:t>
            </w:r>
          </w:p>
        </w:tc>
        <w:tc>
          <w:tcPr>
            <w:shd w:val="clear" w:fill="BDBDBD"/>
            <w:tcW w:w="639" w:type="dxa"/>
            <w:vAlign w:val="top"/>
            <w:vMerge w:val="restart"/>
            <w:tcBorders>
              <w:bottom w:val="nil"/>
            </w:tcBorders>
          </w:tcPr>
          <w:p>
            <w:pPr>
              <w:pStyle w:val="TableText"/>
              <w:ind w:left="103"/>
              <w:spacing w:before="301" w:line="220" w:lineRule="auto"/>
              <w:rPr>
                <w:sz w:val="21"/>
                <w:szCs w:val="21"/>
              </w:rPr>
            </w:pPr>
            <w:r>
              <w:rPr>
                <w:sz w:val="21"/>
                <w:szCs w:val="21"/>
                <w:b/>
                <w:bCs/>
                <w:spacing w:val="1"/>
              </w:rPr>
              <w:t>时期</w:t>
            </w:r>
          </w:p>
        </w:tc>
        <w:tc>
          <w:tcPr>
            <w:shd w:val="clear" w:fill="BDBDBD"/>
            <w:tcW w:w="1039" w:type="dxa"/>
            <w:vAlign w:val="top"/>
            <w:vMerge w:val="restart"/>
            <w:tcBorders>
              <w:bottom w:val="nil"/>
            </w:tcBorders>
          </w:tcPr>
          <w:p>
            <w:pPr>
              <w:pStyle w:val="TableText"/>
              <w:ind w:left="94"/>
              <w:spacing w:before="300" w:line="219" w:lineRule="auto"/>
              <w:rPr>
                <w:sz w:val="21"/>
                <w:szCs w:val="21"/>
              </w:rPr>
            </w:pPr>
            <w:r>
              <w:rPr>
                <w:sz w:val="21"/>
                <w:szCs w:val="21"/>
                <w:b/>
                <w:bCs/>
                <w:spacing w:val="-4"/>
              </w:rPr>
              <w:t>屠宰规模</w:t>
            </w:r>
          </w:p>
        </w:tc>
        <w:tc>
          <w:tcPr>
            <w:shd w:val="clear" w:fill="BDBDBD"/>
            <w:tcW w:w="929" w:type="dxa"/>
            <w:vAlign w:val="top"/>
            <w:vMerge w:val="restart"/>
            <w:tcBorders>
              <w:bottom w:val="nil"/>
            </w:tcBorders>
          </w:tcPr>
          <w:p>
            <w:pPr>
              <w:pStyle w:val="TableText"/>
              <w:ind w:left="35"/>
              <w:spacing w:before="300" w:line="219" w:lineRule="auto"/>
              <w:rPr>
                <w:sz w:val="21"/>
                <w:szCs w:val="21"/>
              </w:rPr>
            </w:pPr>
            <w:r>
              <w:rPr>
                <w:sz w:val="21"/>
                <w:szCs w:val="21"/>
                <w:b/>
                <w:bCs/>
                <w:spacing w:val="-5"/>
              </w:rPr>
              <w:t>核算方法</w:t>
            </w:r>
          </w:p>
        </w:tc>
        <w:tc>
          <w:tcPr>
            <w:shd w:val="clear" w:fill="BDBDBD"/>
            <w:tcW w:w="5048" w:type="dxa"/>
            <w:vAlign w:val="top"/>
            <w:gridSpan w:val="4"/>
          </w:tcPr>
          <w:p>
            <w:pPr>
              <w:pStyle w:val="TableText"/>
              <w:ind w:left="1977"/>
              <w:spacing w:before="40" w:line="205" w:lineRule="auto"/>
              <w:rPr>
                <w:sz w:val="21"/>
                <w:szCs w:val="21"/>
              </w:rPr>
            </w:pPr>
            <w:r>
              <w:rPr>
                <w:sz w:val="21"/>
                <w:szCs w:val="21"/>
                <w:b/>
                <w:bCs/>
                <w:spacing w:val="-4"/>
              </w:rPr>
              <w:t>源强产生量</w:t>
            </w:r>
          </w:p>
        </w:tc>
      </w:tr>
      <w:tr>
        <w:trPr>
          <w:trHeight w:val="239" w:hRule="atLeast"/>
        </w:trPr>
        <w:tc>
          <w:tcPr>
            <w:tcW w:w="844" w:type="dxa"/>
            <w:vAlign w:val="top"/>
            <w:vMerge w:val="continue"/>
            <w:tcBorders>
              <w:top w:val="nil"/>
              <w:bottom w:val="nil"/>
            </w:tcBorders>
          </w:tcPr>
          <w:p>
            <w:pPr>
              <w:rPr>
                <w:rFonts w:ascii="Arial"/>
                <w:sz w:val="21"/>
              </w:rPr>
            </w:pPr>
            <w:r/>
          </w:p>
        </w:tc>
        <w:tc>
          <w:tcPr>
            <w:tcW w:w="639" w:type="dxa"/>
            <w:vAlign w:val="top"/>
            <w:vMerge w:val="continue"/>
            <w:tcBorders>
              <w:top w:val="nil"/>
              <w:bottom w:val="nil"/>
            </w:tcBorders>
          </w:tcPr>
          <w:p>
            <w:pPr>
              <w:rPr>
                <w:rFonts w:ascii="Arial"/>
                <w:sz w:val="21"/>
              </w:rPr>
            </w:pPr>
            <w:r/>
          </w:p>
        </w:tc>
        <w:tc>
          <w:tcPr>
            <w:tcW w:w="1039" w:type="dxa"/>
            <w:vAlign w:val="top"/>
            <w:vMerge w:val="continue"/>
            <w:tcBorders>
              <w:top w:val="nil"/>
              <w:bottom w:val="nil"/>
            </w:tcBorders>
          </w:tcPr>
          <w:p>
            <w:pPr>
              <w:rPr>
                <w:rFonts w:ascii="Arial"/>
                <w:sz w:val="21"/>
              </w:rPr>
            </w:pPr>
            <w:r/>
          </w:p>
        </w:tc>
        <w:tc>
          <w:tcPr>
            <w:tcW w:w="929" w:type="dxa"/>
            <w:vAlign w:val="top"/>
            <w:vMerge w:val="continue"/>
            <w:tcBorders>
              <w:top w:val="nil"/>
              <w:bottom w:val="nil"/>
            </w:tcBorders>
          </w:tcPr>
          <w:p>
            <w:pPr>
              <w:rPr>
                <w:rFonts w:ascii="Arial"/>
                <w:sz w:val="21"/>
              </w:rPr>
            </w:pPr>
            <w:r/>
          </w:p>
        </w:tc>
        <w:tc>
          <w:tcPr>
            <w:shd w:val="clear" w:fill="BDBDBD"/>
            <w:tcW w:w="2507" w:type="dxa"/>
            <w:vAlign w:val="top"/>
            <w:gridSpan w:val="2"/>
          </w:tcPr>
          <w:p>
            <w:pPr>
              <w:pStyle w:val="TableText"/>
              <w:ind w:left="1036"/>
              <w:spacing w:before="53" w:line="176" w:lineRule="exact"/>
              <w:rPr>
                <w:rFonts w:ascii="Calibri" w:hAnsi="Calibri" w:eastAsia="Calibri" w:cs="Calibri"/>
                <w:sz w:val="21"/>
                <w:szCs w:val="21"/>
              </w:rPr>
            </w:pPr>
            <w:r>
              <w:rPr>
                <w:sz w:val="21"/>
                <w:szCs w:val="21"/>
                <w:b/>
                <w:bCs/>
                <w:spacing w:val="-3"/>
                <w:position w:val="-1"/>
              </w:rPr>
              <w:t>NH</w:t>
            </w:r>
            <w:r>
              <w:rPr>
                <w:rFonts w:ascii="Calibri" w:hAnsi="Calibri" w:eastAsia="Calibri" w:cs="Calibri"/>
                <w:sz w:val="21"/>
                <w:szCs w:val="21"/>
                <w:b/>
                <w:bCs/>
                <w:spacing w:val="-3"/>
                <w:position w:val="-1"/>
              </w:rPr>
              <w:t>₃</w:t>
            </w:r>
          </w:p>
        </w:tc>
        <w:tc>
          <w:tcPr>
            <w:shd w:val="clear" w:fill="BDBDBD"/>
            <w:tcW w:w="2541" w:type="dxa"/>
            <w:vAlign w:val="top"/>
            <w:gridSpan w:val="2"/>
          </w:tcPr>
          <w:p>
            <w:pPr>
              <w:pStyle w:val="TableText"/>
              <w:ind w:left="1070"/>
              <w:spacing w:before="53" w:line="176" w:lineRule="exact"/>
              <w:rPr>
                <w:sz w:val="21"/>
                <w:szCs w:val="21"/>
              </w:rPr>
            </w:pPr>
            <w:r>
              <w:rPr>
                <w:sz w:val="21"/>
                <w:szCs w:val="21"/>
                <w:b/>
                <w:bCs/>
                <w:spacing w:val="-3"/>
                <w:position w:val="-1"/>
              </w:rPr>
              <w:t>H</w:t>
            </w:r>
            <w:r>
              <w:rPr>
                <w:rFonts w:ascii="Calibri" w:hAnsi="Calibri" w:eastAsia="Calibri" w:cs="Calibri"/>
                <w:sz w:val="21"/>
                <w:szCs w:val="21"/>
                <w:b/>
                <w:bCs/>
                <w:spacing w:val="-3"/>
                <w:position w:val="-1"/>
              </w:rPr>
              <w:t>₂</w:t>
            </w:r>
            <w:r>
              <w:rPr>
                <w:sz w:val="21"/>
                <w:szCs w:val="21"/>
                <w:b/>
                <w:bCs/>
                <w:spacing w:val="-3"/>
                <w:position w:val="-1"/>
              </w:rPr>
              <w:t>S</w:t>
            </w:r>
          </w:p>
        </w:tc>
      </w:tr>
      <w:tr>
        <w:trPr>
          <w:trHeight w:val="269" w:hRule="atLeast"/>
        </w:trPr>
        <w:tc>
          <w:tcPr>
            <w:tcW w:w="844" w:type="dxa"/>
            <w:vAlign w:val="top"/>
            <w:vMerge w:val="continue"/>
            <w:tcBorders>
              <w:top w:val="nil"/>
            </w:tcBorders>
          </w:tcPr>
          <w:p>
            <w:pPr>
              <w:rPr>
                <w:rFonts w:ascii="Arial"/>
                <w:sz w:val="21"/>
              </w:rPr>
            </w:pPr>
            <w:r/>
          </w:p>
        </w:tc>
        <w:tc>
          <w:tcPr>
            <w:tcW w:w="639" w:type="dxa"/>
            <w:vAlign w:val="top"/>
            <w:vMerge w:val="continue"/>
            <w:tcBorders>
              <w:top w:val="nil"/>
            </w:tcBorders>
          </w:tcPr>
          <w:p>
            <w:pPr>
              <w:rPr>
                <w:rFonts w:ascii="Arial"/>
                <w:sz w:val="21"/>
              </w:rPr>
            </w:pPr>
            <w:r/>
          </w:p>
        </w:tc>
        <w:tc>
          <w:tcPr>
            <w:tcW w:w="1039" w:type="dxa"/>
            <w:vAlign w:val="top"/>
            <w:vMerge w:val="continue"/>
            <w:tcBorders>
              <w:top w:val="nil"/>
            </w:tcBorders>
          </w:tcPr>
          <w:p>
            <w:pPr>
              <w:rPr>
                <w:rFonts w:ascii="Arial"/>
                <w:sz w:val="21"/>
              </w:rPr>
            </w:pPr>
            <w:r/>
          </w:p>
        </w:tc>
        <w:tc>
          <w:tcPr>
            <w:tcW w:w="929" w:type="dxa"/>
            <w:vAlign w:val="top"/>
            <w:vMerge w:val="continue"/>
            <w:tcBorders>
              <w:top w:val="nil"/>
            </w:tcBorders>
          </w:tcPr>
          <w:p>
            <w:pPr>
              <w:rPr>
                <w:rFonts w:ascii="Arial"/>
                <w:sz w:val="21"/>
              </w:rPr>
            </w:pPr>
            <w:r/>
          </w:p>
        </w:tc>
        <w:tc>
          <w:tcPr>
            <w:shd w:val="clear" w:fill="BDBDBD"/>
            <w:tcW w:w="1438" w:type="dxa"/>
            <w:vAlign w:val="top"/>
          </w:tcPr>
          <w:p>
            <w:pPr>
              <w:pStyle w:val="TableText"/>
              <w:ind w:left="87"/>
              <w:spacing w:before="21" w:line="209" w:lineRule="auto"/>
              <w:rPr>
                <w:sz w:val="21"/>
                <w:szCs w:val="21"/>
              </w:rPr>
            </w:pPr>
            <w:r>
              <w:rPr>
                <w:sz w:val="21"/>
                <w:szCs w:val="21"/>
                <w:b/>
                <w:bCs/>
                <w:spacing w:val="-4"/>
              </w:rPr>
              <w:t>产生速率kg/h</w:t>
            </w:r>
          </w:p>
        </w:tc>
        <w:tc>
          <w:tcPr>
            <w:shd w:val="clear" w:fill="BDBDBD"/>
            <w:tcW w:w="1069" w:type="dxa"/>
            <w:vAlign w:val="top"/>
          </w:tcPr>
          <w:p>
            <w:pPr>
              <w:pStyle w:val="TableText"/>
              <w:ind w:left="58"/>
              <w:spacing w:before="26" w:line="204" w:lineRule="auto"/>
              <w:rPr>
                <w:sz w:val="21"/>
                <w:szCs w:val="21"/>
              </w:rPr>
            </w:pPr>
            <w:r>
              <w:rPr>
                <w:sz w:val="21"/>
                <w:szCs w:val="21"/>
                <w:b/>
                <w:bCs/>
                <w:spacing w:val="-4"/>
              </w:rPr>
              <w:t>产生量t/a</w:t>
            </w:r>
          </w:p>
        </w:tc>
        <w:tc>
          <w:tcPr>
            <w:shd w:val="clear" w:fill="BDBDBD"/>
            <w:tcW w:w="1408" w:type="dxa"/>
            <w:vAlign w:val="top"/>
          </w:tcPr>
          <w:p>
            <w:pPr>
              <w:pStyle w:val="TableText"/>
              <w:ind w:left="69"/>
              <w:spacing w:before="21" w:line="209" w:lineRule="auto"/>
              <w:rPr>
                <w:sz w:val="21"/>
                <w:szCs w:val="21"/>
              </w:rPr>
            </w:pPr>
            <w:r>
              <w:rPr>
                <w:sz w:val="21"/>
                <w:szCs w:val="21"/>
                <w:b/>
                <w:bCs/>
                <w:spacing w:val="-4"/>
              </w:rPr>
              <w:t>产生速率kg/h</w:t>
            </w:r>
          </w:p>
        </w:tc>
        <w:tc>
          <w:tcPr>
            <w:shd w:val="clear" w:fill="BDBDBD"/>
            <w:tcW w:w="1133" w:type="dxa"/>
            <w:vAlign w:val="top"/>
          </w:tcPr>
          <w:p>
            <w:pPr>
              <w:pStyle w:val="TableText"/>
              <w:ind w:left="91"/>
              <w:spacing w:before="26" w:line="204" w:lineRule="auto"/>
              <w:rPr>
                <w:sz w:val="21"/>
                <w:szCs w:val="21"/>
              </w:rPr>
            </w:pPr>
            <w:r>
              <w:rPr>
                <w:sz w:val="21"/>
                <w:szCs w:val="21"/>
                <w:b/>
                <w:bCs/>
                <w:spacing w:val="-4"/>
              </w:rPr>
              <w:t>产生量t/a</w:t>
            </w:r>
          </w:p>
        </w:tc>
      </w:tr>
      <w:tr>
        <w:trPr>
          <w:trHeight w:val="279" w:hRule="atLeast"/>
        </w:trPr>
        <w:tc>
          <w:tcPr>
            <w:tcW w:w="844" w:type="dxa"/>
            <w:vAlign w:val="top"/>
            <w:vMerge w:val="restart"/>
            <w:tcBorders>
              <w:bottom w:val="nil"/>
            </w:tcBorders>
          </w:tcPr>
          <w:p>
            <w:pPr>
              <w:pStyle w:val="TableText"/>
              <w:ind w:left="204" w:right="7" w:hanging="189"/>
              <w:spacing w:before="190" w:line="242" w:lineRule="auto"/>
              <w:rPr>
                <w:sz w:val="21"/>
                <w:szCs w:val="21"/>
              </w:rPr>
            </w:pPr>
            <w:r>
              <w:rPr>
                <w:sz w:val="21"/>
                <w:szCs w:val="21"/>
                <w:spacing w:val="-8"/>
              </w:rPr>
              <w:t>肉牛待宰</w:t>
            </w:r>
            <w:r>
              <w:rPr>
                <w:sz w:val="21"/>
                <w:szCs w:val="21"/>
                <w:spacing w:val="2"/>
              </w:rPr>
              <w:t xml:space="preserve"> </w:t>
            </w:r>
            <w:r>
              <w:rPr>
                <w:sz w:val="21"/>
                <w:szCs w:val="21"/>
                <w:spacing w:val="4"/>
              </w:rPr>
              <w:t>圈舍</w:t>
            </w:r>
          </w:p>
        </w:tc>
        <w:tc>
          <w:tcPr>
            <w:tcW w:w="639" w:type="dxa"/>
            <w:vAlign w:val="top"/>
          </w:tcPr>
          <w:p>
            <w:pPr>
              <w:pStyle w:val="TableText"/>
              <w:ind w:left="100"/>
              <w:spacing w:before="40" w:line="201" w:lineRule="auto"/>
              <w:rPr>
                <w:sz w:val="21"/>
                <w:szCs w:val="21"/>
              </w:rPr>
            </w:pPr>
            <w:r>
              <w:rPr>
                <w:sz w:val="21"/>
                <w:szCs w:val="21"/>
                <w:color w:val="405050"/>
                <w:spacing w:val="4"/>
              </w:rPr>
              <w:t>淡季</w:t>
            </w:r>
          </w:p>
        </w:tc>
        <w:tc>
          <w:tcPr>
            <w:tcW w:w="1039" w:type="dxa"/>
            <w:vAlign w:val="top"/>
          </w:tcPr>
          <w:p>
            <w:pPr>
              <w:pStyle w:val="TableText"/>
              <w:ind w:left="142"/>
              <w:spacing w:before="41" w:line="200" w:lineRule="auto"/>
              <w:rPr>
                <w:sz w:val="21"/>
                <w:szCs w:val="21"/>
              </w:rPr>
            </w:pPr>
            <w:r>
              <w:rPr>
                <w:sz w:val="21"/>
                <w:szCs w:val="21"/>
              </w:rPr>
              <w:t>100头/d</w:t>
            </w:r>
          </w:p>
        </w:tc>
        <w:tc>
          <w:tcPr>
            <w:tcW w:w="929" w:type="dxa"/>
            <w:vAlign w:val="top"/>
            <w:vMerge w:val="restart"/>
            <w:tcBorders>
              <w:bottom w:val="nil"/>
            </w:tcBorders>
          </w:tcPr>
          <w:p>
            <w:pPr>
              <w:pStyle w:val="TableText"/>
              <w:ind w:left="142"/>
              <w:spacing w:before="171" w:line="219" w:lineRule="auto"/>
              <w:rPr>
                <w:sz w:val="21"/>
                <w:szCs w:val="21"/>
              </w:rPr>
            </w:pPr>
            <w:r>
              <w:rPr>
                <w:sz w:val="21"/>
                <w:szCs w:val="21"/>
                <w:spacing w:val="-2"/>
              </w:rPr>
              <w:t>类比法</w:t>
            </w:r>
          </w:p>
        </w:tc>
        <w:tc>
          <w:tcPr>
            <w:tcW w:w="1438" w:type="dxa"/>
            <w:vAlign w:val="top"/>
          </w:tcPr>
          <w:p>
            <w:pPr>
              <w:pStyle w:val="TableText"/>
              <w:ind w:left="443"/>
              <w:spacing w:before="63" w:line="181" w:lineRule="auto"/>
              <w:rPr>
                <w:sz w:val="21"/>
                <w:szCs w:val="21"/>
              </w:rPr>
            </w:pPr>
            <w:r>
              <w:rPr>
                <w:sz w:val="21"/>
                <w:szCs w:val="21"/>
                <w:spacing w:val="-2"/>
              </w:rPr>
              <w:t>0.053</w:t>
            </w:r>
          </w:p>
        </w:tc>
        <w:tc>
          <w:tcPr>
            <w:tcW w:w="1069" w:type="dxa"/>
            <w:vAlign w:val="top"/>
          </w:tcPr>
          <w:p>
            <w:pPr>
              <w:pStyle w:val="TableText"/>
              <w:ind w:left="215"/>
              <w:spacing w:before="63" w:line="181" w:lineRule="auto"/>
              <w:rPr>
                <w:sz w:val="21"/>
                <w:szCs w:val="21"/>
              </w:rPr>
            </w:pPr>
            <w:r>
              <w:rPr>
                <w:sz w:val="21"/>
                <w:szCs w:val="21"/>
                <w:spacing w:val="-2"/>
              </w:rPr>
              <w:t>0.1717</w:t>
            </w:r>
          </w:p>
        </w:tc>
        <w:tc>
          <w:tcPr>
            <w:tcW w:w="1408" w:type="dxa"/>
            <w:vAlign w:val="top"/>
          </w:tcPr>
          <w:p>
            <w:pPr>
              <w:pStyle w:val="TableText"/>
              <w:ind w:left="386"/>
              <w:spacing w:before="63" w:line="181" w:lineRule="auto"/>
              <w:rPr>
                <w:sz w:val="21"/>
                <w:szCs w:val="21"/>
              </w:rPr>
            </w:pPr>
            <w:r>
              <w:rPr>
                <w:sz w:val="21"/>
                <w:szCs w:val="21"/>
                <w:spacing w:val="-2"/>
              </w:rPr>
              <w:t>0.0034</w:t>
            </w:r>
          </w:p>
        </w:tc>
        <w:tc>
          <w:tcPr>
            <w:tcW w:w="1133" w:type="dxa"/>
            <w:vAlign w:val="top"/>
          </w:tcPr>
          <w:p>
            <w:pPr>
              <w:pStyle w:val="TableText"/>
              <w:ind w:left="298"/>
              <w:spacing w:before="63" w:line="181" w:lineRule="auto"/>
              <w:rPr>
                <w:sz w:val="21"/>
                <w:szCs w:val="21"/>
              </w:rPr>
            </w:pPr>
            <w:r>
              <w:rPr>
                <w:sz w:val="21"/>
                <w:szCs w:val="21"/>
                <w:spacing w:val="-2"/>
              </w:rPr>
              <w:t>0.011</w:t>
            </w:r>
          </w:p>
        </w:tc>
      </w:tr>
      <w:tr>
        <w:trPr>
          <w:trHeight w:val="259" w:hRule="atLeast"/>
        </w:trPr>
        <w:tc>
          <w:tcPr>
            <w:tcW w:w="844" w:type="dxa"/>
            <w:vAlign w:val="top"/>
            <w:vMerge w:val="continue"/>
            <w:tcBorders>
              <w:top w:val="nil"/>
              <w:bottom w:val="nil"/>
            </w:tcBorders>
          </w:tcPr>
          <w:p>
            <w:pPr>
              <w:rPr>
                <w:rFonts w:ascii="Arial"/>
                <w:sz w:val="21"/>
              </w:rPr>
            </w:pPr>
            <w:r/>
          </w:p>
        </w:tc>
        <w:tc>
          <w:tcPr>
            <w:tcW w:w="639" w:type="dxa"/>
            <w:vAlign w:val="top"/>
          </w:tcPr>
          <w:p>
            <w:pPr>
              <w:pStyle w:val="TableText"/>
              <w:ind w:left="100"/>
              <w:spacing w:before="31" w:line="191" w:lineRule="auto"/>
              <w:rPr>
                <w:sz w:val="21"/>
                <w:szCs w:val="21"/>
              </w:rPr>
            </w:pPr>
            <w:r>
              <w:rPr>
                <w:sz w:val="21"/>
                <w:szCs w:val="21"/>
                <w:color w:val="707070"/>
                <w:spacing w:val="4"/>
              </w:rPr>
              <w:t>旺季</w:t>
            </w:r>
          </w:p>
        </w:tc>
        <w:tc>
          <w:tcPr>
            <w:tcW w:w="1039" w:type="dxa"/>
            <w:vAlign w:val="top"/>
          </w:tcPr>
          <w:p>
            <w:pPr>
              <w:pStyle w:val="TableText"/>
              <w:ind w:left="142"/>
              <w:spacing w:before="31" w:line="191" w:lineRule="auto"/>
              <w:rPr>
                <w:sz w:val="21"/>
                <w:szCs w:val="21"/>
              </w:rPr>
            </w:pPr>
            <w:r>
              <w:rPr>
                <w:sz w:val="21"/>
                <w:szCs w:val="21"/>
              </w:rPr>
              <w:t>144头/d</w:t>
            </w:r>
          </w:p>
        </w:tc>
        <w:tc>
          <w:tcPr>
            <w:tcW w:w="929" w:type="dxa"/>
            <w:vAlign w:val="top"/>
            <w:vMerge w:val="continue"/>
            <w:tcBorders>
              <w:top w:val="nil"/>
            </w:tcBorders>
          </w:tcPr>
          <w:p>
            <w:pPr>
              <w:rPr>
                <w:rFonts w:ascii="Arial"/>
                <w:sz w:val="21"/>
              </w:rPr>
            </w:pPr>
            <w:r/>
          </w:p>
        </w:tc>
        <w:tc>
          <w:tcPr>
            <w:tcW w:w="1438" w:type="dxa"/>
            <w:vAlign w:val="top"/>
          </w:tcPr>
          <w:p>
            <w:pPr>
              <w:pStyle w:val="TableText"/>
              <w:ind w:left="443"/>
              <w:spacing w:before="53" w:line="172" w:lineRule="auto"/>
              <w:rPr>
                <w:sz w:val="21"/>
                <w:szCs w:val="21"/>
              </w:rPr>
            </w:pPr>
            <w:r>
              <w:rPr>
                <w:sz w:val="21"/>
                <w:szCs w:val="21"/>
                <w:spacing w:val="-2"/>
              </w:rPr>
              <w:t>0.053</w:t>
            </w:r>
          </w:p>
        </w:tc>
        <w:tc>
          <w:tcPr>
            <w:tcW w:w="1069" w:type="dxa"/>
            <w:vAlign w:val="top"/>
          </w:tcPr>
          <w:p>
            <w:pPr>
              <w:pStyle w:val="TableText"/>
              <w:ind w:left="215"/>
              <w:spacing w:before="53" w:line="172" w:lineRule="auto"/>
              <w:rPr>
                <w:sz w:val="21"/>
                <w:szCs w:val="21"/>
              </w:rPr>
            </w:pPr>
            <w:r>
              <w:rPr>
                <w:sz w:val="21"/>
                <w:szCs w:val="21"/>
                <w:spacing w:val="-2"/>
              </w:rPr>
              <w:t>0.0572</w:t>
            </w:r>
          </w:p>
        </w:tc>
        <w:tc>
          <w:tcPr>
            <w:tcW w:w="1408" w:type="dxa"/>
            <w:vAlign w:val="top"/>
          </w:tcPr>
          <w:p>
            <w:pPr>
              <w:pStyle w:val="TableText"/>
              <w:ind w:left="386"/>
              <w:spacing w:before="53" w:line="172" w:lineRule="auto"/>
              <w:rPr>
                <w:sz w:val="21"/>
                <w:szCs w:val="21"/>
              </w:rPr>
            </w:pPr>
            <w:r>
              <w:rPr>
                <w:sz w:val="21"/>
                <w:szCs w:val="21"/>
                <w:spacing w:val="-2"/>
              </w:rPr>
              <w:t>0.0034</w:t>
            </w:r>
          </w:p>
        </w:tc>
        <w:tc>
          <w:tcPr>
            <w:tcW w:w="1133" w:type="dxa"/>
            <w:vAlign w:val="top"/>
          </w:tcPr>
          <w:p>
            <w:pPr>
              <w:pStyle w:val="TableText"/>
              <w:ind w:left="249"/>
              <w:spacing w:before="53" w:line="172" w:lineRule="auto"/>
              <w:rPr>
                <w:sz w:val="21"/>
                <w:szCs w:val="21"/>
              </w:rPr>
            </w:pPr>
            <w:r>
              <w:rPr>
                <w:sz w:val="21"/>
                <w:szCs w:val="21"/>
                <w:spacing w:val="-2"/>
              </w:rPr>
              <w:t>0.0037</w:t>
            </w:r>
          </w:p>
        </w:tc>
      </w:tr>
      <w:tr>
        <w:trPr>
          <w:trHeight w:val="269" w:hRule="atLeast"/>
        </w:trPr>
        <w:tc>
          <w:tcPr>
            <w:tcW w:w="844" w:type="dxa"/>
            <w:vAlign w:val="top"/>
            <w:vMerge w:val="continue"/>
            <w:tcBorders>
              <w:top w:val="nil"/>
            </w:tcBorders>
          </w:tcPr>
          <w:p>
            <w:pPr>
              <w:rPr>
                <w:rFonts w:ascii="Arial"/>
                <w:sz w:val="21"/>
              </w:rPr>
            </w:pPr>
            <w:r/>
          </w:p>
        </w:tc>
        <w:tc>
          <w:tcPr>
            <w:tcW w:w="639" w:type="dxa"/>
            <w:vAlign w:val="top"/>
          </w:tcPr>
          <w:p>
            <w:pPr>
              <w:pStyle w:val="TableText"/>
              <w:ind w:left="100"/>
              <w:spacing w:before="33" w:line="198" w:lineRule="auto"/>
              <w:rPr>
                <w:sz w:val="21"/>
                <w:szCs w:val="21"/>
              </w:rPr>
            </w:pPr>
            <w:r>
              <w:rPr>
                <w:sz w:val="21"/>
                <w:szCs w:val="21"/>
                <w:spacing w:val="-3"/>
              </w:rPr>
              <w:t>全年</w:t>
            </w:r>
          </w:p>
        </w:tc>
        <w:tc>
          <w:tcPr>
            <w:tcW w:w="1039" w:type="dxa"/>
            <w:vAlign w:val="top"/>
          </w:tcPr>
          <w:p>
            <w:pPr>
              <w:pStyle w:val="TableText"/>
              <w:ind w:left="142"/>
              <w:spacing w:before="33" w:line="198" w:lineRule="auto"/>
              <w:rPr>
                <w:sz w:val="21"/>
                <w:szCs w:val="21"/>
              </w:rPr>
            </w:pPr>
            <w:r>
              <w:rPr>
                <w:sz w:val="21"/>
                <w:szCs w:val="21"/>
                <w:spacing w:val="-2"/>
              </w:rPr>
              <w:t>4万头/a</w:t>
            </w:r>
          </w:p>
        </w:tc>
        <w:tc>
          <w:tcPr>
            <w:tcW w:w="929" w:type="dxa"/>
            <w:vAlign w:val="top"/>
          </w:tcPr>
          <w:p>
            <w:pPr>
              <w:pStyle w:val="TableText"/>
              <w:ind w:left="402"/>
              <w:spacing w:before="39" w:line="193" w:lineRule="auto"/>
              <w:rPr>
                <w:sz w:val="21"/>
                <w:szCs w:val="21"/>
              </w:rPr>
            </w:pPr>
            <w:r>
              <w:rPr>
                <w:sz w:val="21"/>
                <w:szCs w:val="21"/>
              </w:rPr>
              <w:t>/</w:t>
            </w:r>
          </w:p>
        </w:tc>
        <w:tc>
          <w:tcPr>
            <w:tcW w:w="1438" w:type="dxa"/>
            <w:vAlign w:val="top"/>
          </w:tcPr>
          <w:p>
            <w:pPr>
              <w:pStyle w:val="TableText"/>
              <w:ind w:left="654"/>
              <w:spacing w:before="39" w:line="193" w:lineRule="auto"/>
              <w:rPr>
                <w:sz w:val="21"/>
                <w:szCs w:val="21"/>
              </w:rPr>
            </w:pPr>
            <w:r>
              <w:rPr>
                <w:sz w:val="21"/>
                <w:szCs w:val="21"/>
              </w:rPr>
              <w:t>/</w:t>
            </w:r>
          </w:p>
        </w:tc>
        <w:tc>
          <w:tcPr>
            <w:tcW w:w="1069" w:type="dxa"/>
            <w:vAlign w:val="top"/>
          </w:tcPr>
          <w:p>
            <w:pPr>
              <w:pStyle w:val="TableText"/>
              <w:ind w:left="266"/>
              <w:spacing w:before="54" w:line="180" w:lineRule="auto"/>
              <w:rPr>
                <w:sz w:val="21"/>
                <w:szCs w:val="21"/>
              </w:rPr>
            </w:pPr>
            <w:r>
              <w:rPr>
                <w:sz w:val="21"/>
                <w:szCs w:val="21"/>
                <w:spacing w:val="-2"/>
              </w:rPr>
              <w:t>0.229</w:t>
            </w:r>
          </w:p>
        </w:tc>
        <w:tc>
          <w:tcPr>
            <w:tcW w:w="1408" w:type="dxa"/>
            <w:vAlign w:val="top"/>
          </w:tcPr>
          <w:p>
            <w:pPr>
              <w:pStyle w:val="TableText"/>
              <w:ind w:left="646"/>
              <w:spacing w:before="39" w:line="193" w:lineRule="auto"/>
              <w:rPr>
                <w:sz w:val="21"/>
                <w:szCs w:val="21"/>
              </w:rPr>
            </w:pPr>
            <w:r>
              <w:rPr>
                <w:sz w:val="21"/>
                <w:szCs w:val="21"/>
              </w:rPr>
              <w:t>/</w:t>
            </w:r>
          </w:p>
        </w:tc>
        <w:tc>
          <w:tcPr>
            <w:tcW w:w="1133" w:type="dxa"/>
            <w:vAlign w:val="top"/>
          </w:tcPr>
          <w:p>
            <w:pPr>
              <w:pStyle w:val="TableText"/>
              <w:ind w:left="249"/>
              <w:spacing w:before="54" w:line="180" w:lineRule="auto"/>
              <w:rPr>
                <w:sz w:val="21"/>
                <w:szCs w:val="21"/>
              </w:rPr>
            </w:pPr>
            <w:r>
              <w:rPr>
                <w:sz w:val="21"/>
                <w:szCs w:val="21"/>
                <w:spacing w:val="-2"/>
              </w:rPr>
              <w:t>0.0147</w:t>
            </w:r>
          </w:p>
        </w:tc>
      </w:tr>
      <w:tr>
        <w:trPr>
          <w:trHeight w:val="279" w:hRule="atLeast"/>
        </w:trPr>
        <w:tc>
          <w:tcPr>
            <w:tcW w:w="844" w:type="dxa"/>
            <w:vAlign w:val="top"/>
            <w:vMerge w:val="restart"/>
            <w:tcBorders>
              <w:bottom w:val="nil"/>
            </w:tcBorders>
          </w:tcPr>
          <w:p>
            <w:pPr>
              <w:pStyle w:val="TableText"/>
              <w:ind w:left="204" w:right="7" w:hanging="189"/>
              <w:spacing w:before="185" w:line="239" w:lineRule="auto"/>
              <w:rPr>
                <w:sz w:val="21"/>
                <w:szCs w:val="21"/>
              </w:rPr>
            </w:pPr>
            <w:r>
              <w:rPr>
                <w:sz w:val="21"/>
                <w:szCs w:val="21"/>
                <w:spacing w:val="-8"/>
              </w:rPr>
              <w:t>肉牛屠宰</w:t>
            </w:r>
            <w:r>
              <w:rPr>
                <w:sz w:val="21"/>
                <w:szCs w:val="21"/>
                <w:spacing w:val="2"/>
              </w:rPr>
              <w:t xml:space="preserve"> </w:t>
            </w:r>
            <w:r>
              <w:rPr>
                <w:sz w:val="21"/>
                <w:szCs w:val="21"/>
                <w:spacing w:val="10"/>
              </w:rPr>
              <w:t>车间</w:t>
            </w:r>
          </w:p>
        </w:tc>
        <w:tc>
          <w:tcPr>
            <w:tcW w:w="639" w:type="dxa"/>
            <w:vAlign w:val="top"/>
          </w:tcPr>
          <w:p>
            <w:pPr>
              <w:pStyle w:val="TableText"/>
              <w:ind w:left="100"/>
              <w:spacing w:before="43" w:line="198" w:lineRule="auto"/>
              <w:rPr>
                <w:sz w:val="21"/>
                <w:szCs w:val="21"/>
              </w:rPr>
            </w:pPr>
            <w:r>
              <w:rPr>
                <w:sz w:val="21"/>
                <w:szCs w:val="21"/>
                <w:color w:val="707070"/>
                <w:spacing w:val="4"/>
              </w:rPr>
              <w:t>淡季</w:t>
            </w:r>
          </w:p>
        </w:tc>
        <w:tc>
          <w:tcPr>
            <w:tcW w:w="1039" w:type="dxa"/>
            <w:vAlign w:val="top"/>
          </w:tcPr>
          <w:p>
            <w:pPr>
              <w:pStyle w:val="TableText"/>
              <w:ind w:left="142"/>
              <w:spacing w:before="44" w:line="197" w:lineRule="auto"/>
              <w:rPr>
                <w:sz w:val="21"/>
                <w:szCs w:val="21"/>
              </w:rPr>
            </w:pPr>
            <w:r>
              <w:rPr>
                <w:sz w:val="21"/>
                <w:szCs w:val="21"/>
              </w:rPr>
              <w:t>100头/d</w:t>
            </w:r>
          </w:p>
        </w:tc>
        <w:tc>
          <w:tcPr>
            <w:tcW w:w="929" w:type="dxa"/>
            <w:vAlign w:val="top"/>
            <w:vMerge w:val="restart"/>
            <w:tcBorders>
              <w:bottom w:val="nil"/>
            </w:tcBorders>
          </w:tcPr>
          <w:p>
            <w:pPr>
              <w:pStyle w:val="TableText"/>
              <w:ind w:left="142"/>
              <w:spacing w:before="184" w:line="219" w:lineRule="auto"/>
              <w:rPr>
                <w:sz w:val="21"/>
                <w:szCs w:val="21"/>
              </w:rPr>
            </w:pPr>
            <w:r>
              <w:rPr>
                <w:sz w:val="21"/>
                <w:szCs w:val="21"/>
                <w:spacing w:val="-2"/>
              </w:rPr>
              <w:t>类比法</w:t>
            </w:r>
          </w:p>
        </w:tc>
        <w:tc>
          <w:tcPr>
            <w:tcW w:w="1438" w:type="dxa"/>
            <w:vAlign w:val="top"/>
          </w:tcPr>
          <w:p>
            <w:pPr>
              <w:pStyle w:val="TableText"/>
              <w:ind w:left="443"/>
              <w:spacing w:before="65" w:line="179" w:lineRule="auto"/>
              <w:rPr>
                <w:sz w:val="21"/>
                <w:szCs w:val="21"/>
              </w:rPr>
            </w:pPr>
            <w:r>
              <w:rPr>
                <w:sz w:val="21"/>
                <w:szCs w:val="21"/>
                <w:spacing w:val="-2"/>
              </w:rPr>
              <w:t>0.053</w:t>
            </w:r>
          </w:p>
        </w:tc>
        <w:tc>
          <w:tcPr>
            <w:tcW w:w="1069" w:type="dxa"/>
            <w:vAlign w:val="top"/>
          </w:tcPr>
          <w:p>
            <w:pPr>
              <w:pStyle w:val="TableText"/>
              <w:ind w:left="215"/>
              <w:spacing w:before="65" w:line="179" w:lineRule="auto"/>
              <w:rPr>
                <w:sz w:val="21"/>
                <w:szCs w:val="21"/>
              </w:rPr>
            </w:pPr>
            <w:r>
              <w:rPr>
                <w:sz w:val="21"/>
                <w:szCs w:val="21"/>
                <w:spacing w:val="-2"/>
              </w:rPr>
              <w:t>0.1145</w:t>
            </w:r>
          </w:p>
        </w:tc>
        <w:tc>
          <w:tcPr>
            <w:tcW w:w="1408" w:type="dxa"/>
            <w:vAlign w:val="top"/>
          </w:tcPr>
          <w:p>
            <w:pPr>
              <w:pStyle w:val="TableText"/>
              <w:ind w:left="386"/>
              <w:spacing w:before="65" w:line="179" w:lineRule="auto"/>
              <w:rPr>
                <w:sz w:val="21"/>
                <w:szCs w:val="21"/>
              </w:rPr>
            </w:pPr>
            <w:r>
              <w:rPr>
                <w:sz w:val="21"/>
                <w:szCs w:val="21"/>
                <w:spacing w:val="-2"/>
              </w:rPr>
              <w:t>0.0034</w:t>
            </w:r>
          </w:p>
        </w:tc>
        <w:tc>
          <w:tcPr>
            <w:tcW w:w="1133" w:type="dxa"/>
            <w:vAlign w:val="top"/>
          </w:tcPr>
          <w:p>
            <w:pPr>
              <w:pStyle w:val="TableText"/>
              <w:ind w:left="249"/>
              <w:spacing w:before="65" w:line="179" w:lineRule="auto"/>
              <w:rPr>
                <w:sz w:val="21"/>
                <w:szCs w:val="21"/>
              </w:rPr>
            </w:pPr>
            <w:r>
              <w:rPr>
                <w:sz w:val="21"/>
                <w:szCs w:val="21"/>
                <w:spacing w:val="-2"/>
              </w:rPr>
              <w:t>0.0073</w:t>
            </w:r>
          </w:p>
        </w:tc>
      </w:tr>
      <w:tr>
        <w:trPr>
          <w:trHeight w:val="269" w:hRule="atLeast"/>
        </w:trPr>
        <w:tc>
          <w:tcPr>
            <w:tcW w:w="844" w:type="dxa"/>
            <w:vAlign w:val="top"/>
            <w:vMerge w:val="continue"/>
            <w:tcBorders>
              <w:top w:val="nil"/>
              <w:bottom w:val="nil"/>
            </w:tcBorders>
          </w:tcPr>
          <w:p>
            <w:pPr>
              <w:rPr>
                <w:rFonts w:ascii="Arial"/>
                <w:sz w:val="21"/>
              </w:rPr>
            </w:pPr>
            <w:r/>
          </w:p>
        </w:tc>
        <w:tc>
          <w:tcPr>
            <w:tcW w:w="639" w:type="dxa"/>
            <w:vAlign w:val="top"/>
          </w:tcPr>
          <w:p>
            <w:pPr>
              <w:pStyle w:val="TableText"/>
              <w:ind w:left="100"/>
              <w:spacing w:before="34" w:line="197" w:lineRule="auto"/>
              <w:rPr>
                <w:sz w:val="21"/>
                <w:szCs w:val="21"/>
              </w:rPr>
            </w:pPr>
            <w:r>
              <w:rPr>
                <w:sz w:val="21"/>
                <w:szCs w:val="21"/>
                <w:color w:val="606060"/>
                <w:spacing w:val="4"/>
              </w:rPr>
              <w:t>旺季</w:t>
            </w:r>
          </w:p>
        </w:tc>
        <w:tc>
          <w:tcPr>
            <w:tcW w:w="1039" w:type="dxa"/>
            <w:vAlign w:val="top"/>
          </w:tcPr>
          <w:p>
            <w:pPr>
              <w:pStyle w:val="TableText"/>
              <w:ind w:left="142"/>
              <w:spacing w:before="34" w:line="197" w:lineRule="auto"/>
              <w:rPr>
                <w:sz w:val="21"/>
                <w:szCs w:val="21"/>
              </w:rPr>
            </w:pPr>
            <w:r>
              <w:rPr>
                <w:sz w:val="21"/>
                <w:szCs w:val="21"/>
              </w:rPr>
              <w:t>144头/d</w:t>
            </w:r>
          </w:p>
        </w:tc>
        <w:tc>
          <w:tcPr>
            <w:tcW w:w="929" w:type="dxa"/>
            <w:vAlign w:val="top"/>
            <w:vMerge w:val="continue"/>
            <w:tcBorders>
              <w:top w:val="nil"/>
            </w:tcBorders>
          </w:tcPr>
          <w:p>
            <w:pPr>
              <w:rPr>
                <w:rFonts w:ascii="Arial"/>
                <w:sz w:val="21"/>
              </w:rPr>
            </w:pPr>
            <w:r/>
          </w:p>
        </w:tc>
        <w:tc>
          <w:tcPr>
            <w:tcW w:w="1438" w:type="dxa"/>
            <w:vAlign w:val="top"/>
          </w:tcPr>
          <w:p>
            <w:pPr>
              <w:pStyle w:val="TableText"/>
              <w:ind w:left="443"/>
              <w:spacing w:before="56" w:line="178" w:lineRule="auto"/>
              <w:rPr>
                <w:sz w:val="21"/>
                <w:szCs w:val="21"/>
              </w:rPr>
            </w:pPr>
            <w:r>
              <w:rPr>
                <w:sz w:val="21"/>
                <w:szCs w:val="21"/>
                <w:spacing w:val="-2"/>
              </w:rPr>
              <w:t>0.053</w:t>
            </w:r>
          </w:p>
        </w:tc>
        <w:tc>
          <w:tcPr>
            <w:tcW w:w="1069" w:type="dxa"/>
            <w:vAlign w:val="top"/>
          </w:tcPr>
          <w:p>
            <w:pPr>
              <w:pStyle w:val="TableText"/>
              <w:ind w:left="215"/>
              <w:spacing w:before="56" w:line="178" w:lineRule="auto"/>
              <w:rPr>
                <w:sz w:val="21"/>
                <w:szCs w:val="21"/>
              </w:rPr>
            </w:pPr>
            <w:r>
              <w:rPr>
                <w:sz w:val="21"/>
                <w:szCs w:val="21"/>
                <w:spacing w:val="-2"/>
              </w:rPr>
              <w:t>0.0382</w:t>
            </w:r>
          </w:p>
        </w:tc>
        <w:tc>
          <w:tcPr>
            <w:tcW w:w="1408" w:type="dxa"/>
            <w:vAlign w:val="top"/>
          </w:tcPr>
          <w:p>
            <w:pPr>
              <w:pStyle w:val="TableText"/>
              <w:ind w:left="386"/>
              <w:spacing w:before="56" w:line="178" w:lineRule="auto"/>
              <w:rPr>
                <w:sz w:val="21"/>
                <w:szCs w:val="21"/>
              </w:rPr>
            </w:pPr>
            <w:r>
              <w:rPr>
                <w:sz w:val="21"/>
                <w:szCs w:val="21"/>
                <w:spacing w:val="-2"/>
              </w:rPr>
              <w:t>0.0034</w:t>
            </w:r>
          </w:p>
        </w:tc>
        <w:tc>
          <w:tcPr>
            <w:tcW w:w="1133" w:type="dxa"/>
            <w:vAlign w:val="top"/>
          </w:tcPr>
          <w:p>
            <w:pPr>
              <w:pStyle w:val="TableText"/>
              <w:ind w:left="249"/>
              <w:spacing w:before="56" w:line="178" w:lineRule="auto"/>
              <w:rPr>
                <w:sz w:val="21"/>
                <w:szCs w:val="21"/>
              </w:rPr>
            </w:pPr>
            <w:r>
              <w:rPr>
                <w:sz w:val="21"/>
                <w:szCs w:val="21"/>
                <w:spacing w:val="-2"/>
              </w:rPr>
              <w:t>0.0024</w:t>
            </w:r>
          </w:p>
        </w:tc>
      </w:tr>
      <w:tr>
        <w:trPr>
          <w:trHeight w:val="279" w:hRule="atLeast"/>
        </w:trPr>
        <w:tc>
          <w:tcPr>
            <w:tcW w:w="844" w:type="dxa"/>
            <w:vAlign w:val="top"/>
            <w:vMerge w:val="continue"/>
            <w:tcBorders>
              <w:top w:val="nil"/>
            </w:tcBorders>
          </w:tcPr>
          <w:p>
            <w:pPr>
              <w:rPr>
                <w:rFonts w:ascii="Arial"/>
                <w:sz w:val="21"/>
              </w:rPr>
            </w:pPr>
            <w:r/>
          </w:p>
        </w:tc>
        <w:tc>
          <w:tcPr>
            <w:tcW w:w="639" w:type="dxa"/>
            <w:vAlign w:val="top"/>
          </w:tcPr>
          <w:p>
            <w:pPr>
              <w:pStyle w:val="TableText"/>
              <w:ind w:left="100"/>
              <w:spacing w:before="46" w:line="196" w:lineRule="auto"/>
              <w:rPr>
                <w:sz w:val="21"/>
                <w:szCs w:val="21"/>
              </w:rPr>
            </w:pPr>
            <w:r>
              <w:rPr>
                <w:sz w:val="21"/>
                <w:szCs w:val="21"/>
                <w:spacing w:val="-3"/>
              </w:rPr>
              <w:t>全年</w:t>
            </w:r>
          </w:p>
        </w:tc>
        <w:tc>
          <w:tcPr>
            <w:tcW w:w="1039" w:type="dxa"/>
            <w:vAlign w:val="top"/>
          </w:tcPr>
          <w:p>
            <w:pPr>
              <w:pStyle w:val="TableText"/>
              <w:ind w:left="142"/>
              <w:spacing w:before="46" w:line="196" w:lineRule="auto"/>
              <w:rPr>
                <w:sz w:val="21"/>
                <w:szCs w:val="21"/>
              </w:rPr>
            </w:pPr>
            <w:r>
              <w:rPr>
                <w:sz w:val="21"/>
                <w:szCs w:val="21"/>
                <w:spacing w:val="-2"/>
              </w:rPr>
              <w:t>4万头/a</w:t>
            </w:r>
          </w:p>
        </w:tc>
        <w:tc>
          <w:tcPr>
            <w:tcW w:w="929" w:type="dxa"/>
            <w:vAlign w:val="top"/>
          </w:tcPr>
          <w:p>
            <w:pPr>
              <w:pStyle w:val="TableText"/>
              <w:ind w:left="402"/>
              <w:spacing w:before="51" w:line="191" w:lineRule="auto"/>
              <w:rPr>
                <w:sz w:val="21"/>
                <w:szCs w:val="21"/>
              </w:rPr>
            </w:pPr>
            <w:r>
              <w:rPr>
                <w:sz w:val="21"/>
                <w:szCs w:val="21"/>
              </w:rPr>
              <w:t>/</w:t>
            </w:r>
          </w:p>
        </w:tc>
        <w:tc>
          <w:tcPr>
            <w:tcW w:w="1438" w:type="dxa"/>
            <w:vAlign w:val="top"/>
          </w:tcPr>
          <w:p>
            <w:pPr>
              <w:pStyle w:val="TableText"/>
              <w:ind w:left="654"/>
              <w:spacing w:before="51" w:line="191" w:lineRule="auto"/>
              <w:rPr>
                <w:sz w:val="21"/>
                <w:szCs w:val="21"/>
              </w:rPr>
            </w:pPr>
            <w:r>
              <w:rPr>
                <w:sz w:val="21"/>
                <w:szCs w:val="21"/>
              </w:rPr>
              <w:t>/</w:t>
            </w:r>
          </w:p>
        </w:tc>
        <w:tc>
          <w:tcPr>
            <w:tcW w:w="1069" w:type="dxa"/>
            <w:vAlign w:val="top"/>
          </w:tcPr>
          <w:p>
            <w:pPr>
              <w:pStyle w:val="TableText"/>
              <w:ind w:left="215"/>
              <w:spacing w:before="67" w:line="177" w:lineRule="auto"/>
              <w:rPr>
                <w:sz w:val="21"/>
                <w:szCs w:val="21"/>
              </w:rPr>
            </w:pPr>
            <w:r>
              <w:rPr>
                <w:sz w:val="21"/>
                <w:szCs w:val="21"/>
                <w:spacing w:val="-2"/>
              </w:rPr>
              <w:t>0.1526</w:t>
            </w:r>
          </w:p>
        </w:tc>
        <w:tc>
          <w:tcPr>
            <w:tcW w:w="1408" w:type="dxa"/>
            <w:vAlign w:val="top"/>
          </w:tcPr>
          <w:p>
            <w:pPr>
              <w:pStyle w:val="TableText"/>
              <w:ind w:left="646"/>
              <w:spacing w:before="51" w:line="191" w:lineRule="auto"/>
              <w:rPr>
                <w:sz w:val="21"/>
                <w:szCs w:val="21"/>
              </w:rPr>
            </w:pPr>
            <w:r>
              <w:rPr>
                <w:sz w:val="21"/>
                <w:szCs w:val="21"/>
              </w:rPr>
              <w:t>/</w:t>
            </w:r>
          </w:p>
        </w:tc>
        <w:tc>
          <w:tcPr>
            <w:tcW w:w="1133" w:type="dxa"/>
            <w:vAlign w:val="top"/>
          </w:tcPr>
          <w:p>
            <w:pPr>
              <w:pStyle w:val="TableText"/>
              <w:ind w:left="249"/>
              <w:spacing w:before="67" w:line="177" w:lineRule="auto"/>
              <w:rPr>
                <w:sz w:val="21"/>
                <w:szCs w:val="21"/>
              </w:rPr>
            </w:pPr>
            <w:r>
              <w:rPr>
                <w:sz w:val="21"/>
                <w:szCs w:val="21"/>
                <w:spacing w:val="-2"/>
              </w:rPr>
              <w:t>0.0098</w:t>
            </w:r>
          </w:p>
        </w:tc>
      </w:tr>
      <w:tr>
        <w:trPr>
          <w:trHeight w:val="270" w:hRule="atLeast"/>
        </w:trPr>
        <w:tc>
          <w:tcPr>
            <w:tcW w:w="844" w:type="dxa"/>
            <w:vAlign w:val="top"/>
            <w:vMerge w:val="restart"/>
            <w:tcBorders>
              <w:bottom w:val="nil"/>
            </w:tcBorders>
          </w:tcPr>
          <w:p>
            <w:pPr>
              <w:spacing w:line="248" w:lineRule="auto"/>
              <w:rPr>
                <w:rFonts w:ascii="Arial"/>
                <w:sz w:val="21"/>
              </w:rPr>
            </w:pPr>
            <w:r/>
          </w:p>
          <w:p>
            <w:pPr>
              <w:pStyle w:val="TableText"/>
              <w:ind w:left="204"/>
              <w:spacing w:before="69" w:line="221" w:lineRule="auto"/>
              <w:rPr>
                <w:sz w:val="21"/>
                <w:szCs w:val="21"/>
              </w:rPr>
            </w:pPr>
            <w:r>
              <w:rPr>
                <w:sz w:val="21"/>
                <w:szCs w:val="21"/>
                <w:spacing w:val="-3"/>
              </w:rPr>
              <w:t>合计</w:t>
            </w:r>
          </w:p>
        </w:tc>
        <w:tc>
          <w:tcPr>
            <w:tcW w:w="1678" w:type="dxa"/>
            <w:vAlign w:val="top"/>
            <w:gridSpan w:val="2"/>
          </w:tcPr>
          <w:p>
            <w:pPr>
              <w:pStyle w:val="TableText"/>
              <w:ind w:left="620"/>
              <w:spacing w:before="37" w:line="196" w:lineRule="auto"/>
              <w:rPr>
                <w:sz w:val="21"/>
                <w:szCs w:val="21"/>
              </w:rPr>
            </w:pPr>
            <w:r>
              <w:rPr>
                <w:sz w:val="21"/>
                <w:szCs w:val="21"/>
                <w:color w:val="404050"/>
                <w:spacing w:val="4"/>
              </w:rPr>
              <w:t>淡季</w:t>
            </w:r>
          </w:p>
        </w:tc>
        <w:tc>
          <w:tcPr>
            <w:tcW w:w="929" w:type="dxa"/>
            <w:vAlign w:val="top"/>
            <w:vMerge w:val="restart"/>
            <w:tcBorders>
              <w:bottom w:val="nil"/>
            </w:tcBorders>
          </w:tcPr>
          <w:p>
            <w:pPr>
              <w:pStyle w:val="TableText"/>
              <w:ind w:left="142"/>
              <w:spacing w:before="177" w:line="219" w:lineRule="auto"/>
              <w:rPr>
                <w:sz w:val="21"/>
                <w:szCs w:val="21"/>
              </w:rPr>
            </w:pPr>
            <w:r>
              <w:rPr>
                <w:sz w:val="21"/>
                <w:szCs w:val="21"/>
                <w:spacing w:val="-2"/>
              </w:rPr>
              <w:t>类比法</w:t>
            </w:r>
          </w:p>
        </w:tc>
        <w:tc>
          <w:tcPr>
            <w:tcW w:w="1438" w:type="dxa"/>
            <w:vAlign w:val="top"/>
          </w:tcPr>
          <w:p>
            <w:pPr>
              <w:pStyle w:val="TableText"/>
              <w:ind w:left="443"/>
              <w:spacing w:before="58" w:line="177" w:lineRule="auto"/>
              <w:rPr>
                <w:sz w:val="21"/>
                <w:szCs w:val="21"/>
              </w:rPr>
            </w:pPr>
            <w:r>
              <w:rPr>
                <w:sz w:val="21"/>
                <w:szCs w:val="21"/>
                <w:spacing w:val="-2"/>
              </w:rPr>
              <w:t>0.106</w:t>
            </w:r>
          </w:p>
        </w:tc>
        <w:tc>
          <w:tcPr>
            <w:tcW w:w="1069" w:type="dxa"/>
            <w:vAlign w:val="top"/>
          </w:tcPr>
          <w:p>
            <w:pPr>
              <w:pStyle w:val="TableText"/>
              <w:ind w:left="215"/>
              <w:spacing w:before="58" w:line="177" w:lineRule="auto"/>
              <w:rPr>
                <w:sz w:val="21"/>
                <w:szCs w:val="21"/>
              </w:rPr>
            </w:pPr>
            <w:r>
              <w:rPr>
                <w:sz w:val="21"/>
                <w:szCs w:val="21"/>
                <w:spacing w:val="-2"/>
              </w:rPr>
              <w:t>0.2862</w:t>
            </w:r>
          </w:p>
        </w:tc>
        <w:tc>
          <w:tcPr>
            <w:tcW w:w="1408" w:type="dxa"/>
            <w:vAlign w:val="top"/>
          </w:tcPr>
          <w:p>
            <w:pPr>
              <w:pStyle w:val="TableText"/>
              <w:ind w:left="386"/>
              <w:spacing w:before="58" w:line="177" w:lineRule="auto"/>
              <w:rPr>
                <w:sz w:val="21"/>
                <w:szCs w:val="21"/>
              </w:rPr>
            </w:pPr>
            <w:r>
              <w:rPr>
                <w:sz w:val="21"/>
                <w:szCs w:val="21"/>
                <w:color w:val="404050"/>
                <w:spacing w:val="-2"/>
              </w:rPr>
              <w:t>0.0068</w:t>
            </w:r>
          </w:p>
        </w:tc>
        <w:tc>
          <w:tcPr>
            <w:tcW w:w="1133" w:type="dxa"/>
            <w:vAlign w:val="top"/>
          </w:tcPr>
          <w:p>
            <w:pPr>
              <w:pStyle w:val="TableText"/>
              <w:ind w:left="249"/>
              <w:spacing w:before="58" w:line="177" w:lineRule="auto"/>
              <w:rPr>
                <w:sz w:val="21"/>
                <w:szCs w:val="21"/>
              </w:rPr>
            </w:pPr>
            <w:r>
              <w:rPr>
                <w:sz w:val="21"/>
                <w:szCs w:val="21"/>
                <w:spacing w:val="-2"/>
              </w:rPr>
              <w:t>0.0183</w:t>
            </w:r>
          </w:p>
        </w:tc>
      </w:tr>
      <w:tr>
        <w:trPr>
          <w:trHeight w:val="259" w:hRule="atLeast"/>
        </w:trPr>
        <w:tc>
          <w:tcPr>
            <w:tcW w:w="844" w:type="dxa"/>
            <w:vAlign w:val="top"/>
            <w:vMerge w:val="continue"/>
            <w:tcBorders>
              <w:top w:val="nil"/>
              <w:bottom w:val="nil"/>
            </w:tcBorders>
          </w:tcPr>
          <w:p>
            <w:pPr>
              <w:rPr>
                <w:rFonts w:ascii="Arial"/>
                <w:sz w:val="21"/>
              </w:rPr>
            </w:pPr>
            <w:r/>
          </w:p>
        </w:tc>
        <w:tc>
          <w:tcPr>
            <w:tcW w:w="1678" w:type="dxa"/>
            <w:vAlign w:val="top"/>
            <w:gridSpan w:val="2"/>
          </w:tcPr>
          <w:p>
            <w:pPr>
              <w:pStyle w:val="TableText"/>
              <w:ind w:left="620"/>
              <w:spacing w:before="37" w:line="186" w:lineRule="auto"/>
              <w:rPr>
                <w:sz w:val="21"/>
                <w:szCs w:val="21"/>
              </w:rPr>
            </w:pPr>
            <w:r>
              <w:rPr>
                <w:sz w:val="21"/>
                <w:szCs w:val="21"/>
                <w:color w:val="504050"/>
                <w:spacing w:val="4"/>
              </w:rPr>
              <w:t>旺季</w:t>
            </w:r>
          </w:p>
        </w:tc>
        <w:tc>
          <w:tcPr>
            <w:tcW w:w="929" w:type="dxa"/>
            <w:vAlign w:val="top"/>
            <w:vMerge w:val="continue"/>
            <w:tcBorders>
              <w:top w:val="nil"/>
            </w:tcBorders>
          </w:tcPr>
          <w:p>
            <w:pPr>
              <w:rPr>
                <w:rFonts w:ascii="Arial"/>
                <w:sz w:val="21"/>
              </w:rPr>
            </w:pPr>
            <w:r/>
          </w:p>
        </w:tc>
        <w:tc>
          <w:tcPr>
            <w:tcW w:w="1438" w:type="dxa"/>
            <w:vAlign w:val="top"/>
          </w:tcPr>
          <w:p>
            <w:pPr>
              <w:pStyle w:val="TableText"/>
              <w:ind w:left="443"/>
              <w:spacing w:before="59" w:line="167" w:lineRule="auto"/>
              <w:rPr>
                <w:sz w:val="21"/>
                <w:szCs w:val="21"/>
              </w:rPr>
            </w:pPr>
            <w:r>
              <w:rPr>
                <w:sz w:val="21"/>
                <w:szCs w:val="21"/>
                <w:spacing w:val="-2"/>
              </w:rPr>
              <w:t>0.106</w:t>
            </w:r>
          </w:p>
        </w:tc>
        <w:tc>
          <w:tcPr>
            <w:tcW w:w="1069" w:type="dxa"/>
            <w:vAlign w:val="top"/>
          </w:tcPr>
          <w:p>
            <w:pPr>
              <w:pStyle w:val="TableText"/>
              <w:ind w:left="215"/>
              <w:spacing w:before="59" w:line="167" w:lineRule="auto"/>
              <w:rPr>
                <w:sz w:val="21"/>
                <w:szCs w:val="21"/>
              </w:rPr>
            </w:pPr>
            <w:r>
              <w:rPr>
                <w:sz w:val="21"/>
                <w:szCs w:val="21"/>
                <w:spacing w:val="-2"/>
              </w:rPr>
              <w:t>0.0954</w:t>
            </w:r>
          </w:p>
        </w:tc>
        <w:tc>
          <w:tcPr>
            <w:tcW w:w="1408" w:type="dxa"/>
            <w:vAlign w:val="top"/>
          </w:tcPr>
          <w:p>
            <w:pPr>
              <w:pStyle w:val="TableText"/>
              <w:ind w:left="386"/>
              <w:spacing w:before="59" w:line="167" w:lineRule="auto"/>
              <w:rPr>
                <w:sz w:val="21"/>
                <w:szCs w:val="21"/>
              </w:rPr>
            </w:pPr>
            <w:r>
              <w:rPr>
                <w:sz w:val="21"/>
                <w:szCs w:val="21"/>
                <w:spacing w:val="-2"/>
              </w:rPr>
              <w:t>0.0068</w:t>
            </w:r>
          </w:p>
        </w:tc>
        <w:tc>
          <w:tcPr>
            <w:tcW w:w="1133" w:type="dxa"/>
            <w:vAlign w:val="top"/>
          </w:tcPr>
          <w:p>
            <w:pPr>
              <w:pStyle w:val="TableText"/>
              <w:ind w:left="249"/>
              <w:spacing w:before="59" w:line="167" w:lineRule="auto"/>
              <w:rPr>
                <w:sz w:val="21"/>
                <w:szCs w:val="21"/>
              </w:rPr>
            </w:pPr>
            <w:r>
              <w:rPr>
                <w:sz w:val="21"/>
                <w:szCs w:val="21"/>
                <w:spacing w:val="-2"/>
              </w:rPr>
              <w:t>0.0061</w:t>
            </w:r>
          </w:p>
        </w:tc>
      </w:tr>
      <w:tr>
        <w:trPr>
          <w:trHeight w:val="284" w:hRule="atLeast"/>
        </w:trPr>
        <w:tc>
          <w:tcPr>
            <w:tcW w:w="844" w:type="dxa"/>
            <w:vAlign w:val="top"/>
            <w:vMerge w:val="continue"/>
            <w:tcBorders>
              <w:top w:val="nil"/>
            </w:tcBorders>
          </w:tcPr>
          <w:p>
            <w:pPr>
              <w:rPr>
                <w:rFonts w:ascii="Arial"/>
                <w:sz w:val="21"/>
              </w:rPr>
            </w:pPr>
            <w:r/>
          </w:p>
        </w:tc>
        <w:tc>
          <w:tcPr>
            <w:tcW w:w="1678" w:type="dxa"/>
            <w:vAlign w:val="top"/>
            <w:gridSpan w:val="2"/>
          </w:tcPr>
          <w:p>
            <w:pPr>
              <w:pStyle w:val="TableText"/>
              <w:ind w:left="620"/>
              <w:spacing w:before="48" w:line="198" w:lineRule="auto"/>
              <w:rPr>
                <w:sz w:val="21"/>
                <w:szCs w:val="21"/>
              </w:rPr>
            </w:pPr>
            <w:r>
              <w:rPr>
                <w:sz w:val="21"/>
                <w:szCs w:val="21"/>
                <w:spacing w:val="-3"/>
              </w:rPr>
              <w:t>全年</w:t>
            </w:r>
          </w:p>
        </w:tc>
        <w:tc>
          <w:tcPr>
            <w:tcW w:w="929" w:type="dxa"/>
            <w:vAlign w:val="top"/>
          </w:tcPr>
          <w:p>
            <w:pPr>
              <w:pStyle w:val="TableText"/>
              <w:ind w:left="402"/>
              <w:spacing w:before="54" w:line="193" w:lineRule="auto"/>
              <w:rPr>
                <w:sz w:val="21"/>
                <w:szCs w:val="21"/>
              </w:rPr>
            </w:pPr>
            <w:r>
              <w:rPr>
                <w:sz w:val="21"/>
                <w:szCs w:val="21"/>
                <w:color w:val="605060"/>
              </w:rPr>
              <w:t>/</w:t>
            </w:r>
          </w:p>
        </w:tc>
        <w:tc>
          <w:tcPr>
            <w:tcW w:w="1438" w:type="dxa"/>
            <w:vAlign w:val="top"/>
          </w:tcPr>
          <w:p>
            <w:pPr>
              <w:rPr>
                <w:rFonts w:ascii="Arial"/>
                <w:sz w:val="21"/>
              </w:rPr>
            </w:pPr>
            <w:r/>
          </w:p>
        </w:tc>
        <w:tc>
          <w:tcPr>
            <w:tcW w:w="1069" w:type="dxa"/>
            <w:vAlign w:val="top"/>
          </w:tcPr>
          <w:p>
            <w:pPr>
              <w:pStyle w:val="TableText"/>
              <w:ind w:left="215"/>
              <w:spacing w:before="69" w:line="180" w:lineRule="auto"/>
              <w:rPr>
                <w:sz w:val="21"/>
                <w:szCs w:val="21"/>
              </w:rPr>
            </w:pPr>
            <w:r>
              <w:rPr>
                <w:sz w:val="21"/>
                <w:szCs w:val="21"/>
                <w:spacing w:val="-2"/>
              </w:rPr>
              <w:t>0.3816</w:t>
            </w:r>
          </w:p>
        </w:tc>
        <w:tc>
          <w:tcPr>
            <w:tcW w:w="1408" w:type="dxa"/>
            <w:vAlign w:val="top"/>
          </w:tcPr>
          <w:p>
            <w:pPr>
              <w:pStyle w:val="TableText"/>
              <w:ind w:left="646"/>
              <w:spacing w:before="54" w:line="193" w:lineRule="auto"/>
              <w:rPr>
                <w:sz w:val="21"/>
                <w:szCs w:val="21"/>
              </w:rPr>
            </w:pPr>
            <w:r>
              <w:rPr>
                <w:sz w:val="21"/>
                <w:szCs w:val="21"/>
                <w:color w:val="504050"/>
              </w:rPr>
              <w:t>/</w:t>
            </w:r>
          </w:p>
        </w:tc>
        <w:tc>
          <w:tcPr>
            <w:tcW w:w="1133" w:type="dxa"/>
            <w:vAlign w:val="top"/>
          </w:tcPr>
          <w:p>
            <w:pPr>
              <w:pStyle w:val="TableText"/>
              <w:ind w:left="249"/>
              <w:spacing w:before="69" w:line="180" w:lineRule="auto"/>
              <w:rPr>
                <w:sz w:val="21"/>
                <w:szCs w:val="21"/>
              </w:rPr>
            </w:pPr>
            <w:r>
              <w:rPr>
                <w:sz w:val="21"/>
                <w:szCs w:val="21"/>
                <w:spacing w:val="-2"/>
              </w:rPr>
              <w:t>0.0245</w:t>
            </w:r>
          </w:p>
        </w:tc>
      </w:tr>
    </w:tbl>
    <w:p>
      <w:pPr>
        <w:ind w:left="598"/>
        <w:spacing w:before="58" w:line="217" w:lineRule="auto"/>
        <w:rPr>
          <w:rFonts w:ascii="SimSun" w:hAnsi="SimSun" w:eastAsia="SimSun" w:cs="SimSun"/>
          <w:sz w:val="24"/>
          <w:szCs w:val="24"/>
        </w:rPr>
      </w:pPr>
      <w:r>
        <w:rPr>
          <w:rFonts w:ascii="SimSun" w:hAnsi="SimSun" w:eastAsia="SimSun" w:cs="SimSun"/>
          <w:sz w:val="24"/>
          <w:szCs w:val="24"/>
          <w:b/>
          <w:bCs/>
          <w:spacing w:val="-4"/>
        </w:rPr>
        <w:t>②治理措施</w:t>
      </w:r>
    </w:p>
    <w:p>
      <w:pPr>
        <w:ind w:left="94" w:right="154" w:firstLine="470"/>
        <w:spacing w:before="235" w:line="319" w:lineRule="auto"/>
        <w:rPr>
          <w:rFonts w:ascii="SimSun" w:hAnsi="SimSun" w:eastAsia="SimSun" w:cs="SimSun"/>
          <w:sz w:val="23"/>
          <w:szCs w:val="23"/>
        </w:rPr>
      </w:pPr>
      <w:r>
        <w:rPr>
          <w:rFonts w:ascii="Times New Roman" w:hAnsi="Times New Roman" w:eastAsia="Times New Roman" w:cs="Times New Roman"/>
          <w:sz w:val="23"/>
          <w:szCs w:val="23"/>
          <w:spacing w:val="9"/>
        </w:rPr>
        <w:t>a</w:t>
      </w:r>
      <w:r>
        <w:rPr>
          <w:rFonts w:ascii="Times New Roman" w:hAnsi="Times New Roman" w:eastAsia="Times New Roman" w:cs="Times New Roman"/>
          <w:sz w:val="23"/>
          <w:szCs w:val="23"/>
          <w:spacing w:val="-17"/>
        </w:rPr>
        <w:t xml:space="preserve"> </w:t>
      </w:r>
      <w:r>
        <w:rPr>
          <w:rFonts w:ascii="SimSun" w:hAnsi="SimSun" w:eastAsia="SimSun" w:cs="SimSun"/>
          <w:sz w:val="23"/>
          <w:szCs w:val="23"/>
          <w:spacing w:val="9"/>
        </w:rPr>
        <w:t>、本项目肉牛待宰圈舍为密闭钢结构厂房，设置两道门及送排风系统，且</w:t>
      </w:r>
      <w:r>
        <w:rPr>
          <w:rFonts w:ascii="SimSun" w:hAnsi="SimSun" w:eastAsia="SimSun" w:cs="SimSun"/>
          <w:sz w:val="23"/>
          <w:szCs w:val="23"/>
        </w:rPr>
        <w:t xml:space="preserve"> </w:t>
      </w:r>
      <w:r>
        <w:rPr>
          <w:rFonts w:ascii="SimSun" w:hAnsi="SimSun" w:eastAsia="SimSun" w:cs="SimSun"/>
          <w:sz w:val="23"/>
          <w:szCs w:val="23"/>
          <w:spacing w:val="10"/>
        </w:rPr>
        <w:t>在厂房四周定期喷洒微生物除臭剂，采用干清粪工艺，干粪清理后采用袋</w:t>
      </w:r>
      <w:r>
        <w:rPr>
          <w:rFonts w:ascii="SimSun" w:hAnsi="SimSun" w:eastAsia="SimSun" w:cs="SimSun"/>
          <w:sz w:val="23"/>
          <w:szCs w:val="23"/>
          <w:spacing w:val="9"/>
        </w:rPr>
        <w:t>装收</w:t>
      </w:r>
      <w:r>
        <w:rPr>
          <w:rFonts w:ascii="SimSun" w:hAnsi="SimSun" w:eastAsia="SimSun" w:cs="SimSun"/>
          <w:sz w:val="23"/>
          <w:szCs w:val="23"/>
        </w:rPr>
        <w:t xml:space="preserve">  </w:t>
      </w:r>
      <w:r>
        <w:rPr>
          <w:rFonts w:ascii="SimSun" w:hAnsi="SimSun" w:eastAsia="SimSun" w:cs="SimSun"/>
          <w:sz w:val="23"/>
          <w:szCs w:val="23"/>
          <w:spacing w:val="9"/>
        </w:rPr>
        <w:t>集暂存于肉牛待宰圈舍内，最终转运至固废暂存间，每天清运，不露天堆放。</w:t>
      </w:r>
    </w:p>
    <w:p>
      <w:pPr>
        <w:ind w:left="94"/>
        <w:spacing w:before="172" w:line="212" w:lineRule="auto"/>
        <w:rPr>
          <w:rFonts w:ascii="SimSun" w:hAnsi="SimSun" w:eastAsia="SimSun" w:cs="SimSun"/>
          <w:sz w:val="23"/>
          <w:szCs w:val="23"/>
        </w:rPr>
      </w:pPr>
      <w:r>
        <w:rPr>
          <w:rFonts w:ascii="SimSun" w:hAnsi="SimSun" w:eastAsia="SimSun" w:cs="SimSun"/>
          <w:sz w:val="23"/>
          <w:szCs w:val="23"/>
          <w:spacing w:val="11"/>
        </w:rPr>
        <w:t>根据建设单位提供资料可知，为了保证肉牛待宰圈舍(高</w:t>
      </w:r>
      <w:r>
        <w:rPr>
          <w:rFonts w:ascii="Times New Roman" w:hAnsi="Times New Roman" w:eastAsia="Times New Roman" w:cs="Times New Roman"/>
          <w:sz w:val="23"/>
          <w:szCs w:val="23"/>
          <w:spacing w:val="11"/>
        </w:rPr>
        <w:t>H=8.3m,   </w:t>
      </w:r>
      <w:r>
        <w:rPr>
          <w:rFonts w:ascii="SimSun" w:hAnsi="SimSun" w:eastAsia="SimSun" w:cs="SimSun"/>
          <w:sz w:val="23"/>
          <w:szCs w:val="23"/>
          <w:spacing w:val="11"/>
        </w:rPr>
        <w:t>面积约为</w:t>
      </w:r>
    </w:p>
    <w:p>
      <w:pPr>
        <w:ind w:left="94" w:right="194"/>
        <w:spacing w:before="184" w:line="305" w:lineRule="auto"/>
        <w:rPr>
          <w:rFonts w:ascii="SimSun" w:hAnsi="SimSun" w:eastAsia="SimSun" w:cs="SimSun"/>
          <w:sz w:val="23"/>
          <w:szCs w:val="23"/>
        </w:rPr>
      </w:pPr>
      <w:r>
        <w:rPr>
          <w:rFonts w:ascii="Times New Roman" w:hAnsi="Times New Roman" w:eastAsia="Times New Roman" w:cs="Times New Roman"/>
          <w:sz w:val="23"/>
          <w:szCs w:val="23"/>
          <w:spacing w:val="6"/>
        </w:rPr>
        <w:t>750m²)   </w:t>
      </w:r>
      <w:r>
        <w:rPr>
          <w:rFonts w:ascii="SimSun" w:hAnsi="SimSun" w:eastAsia="SimSun" w:cs="SimSun"/>
          <w:sz w:val="23"/>
          <w:szCs w:val="23"/>
          <w:spacing w:val="6"/>
        </w:rPr>
        <w:t>整个空间属于负压空间，且换气</w:t>
      </w:r>
      <w:r>
        <w:rPr>
          <w:rFonts w:ascii="SimSun" w:hAnsi="SimSun" w:eastAsia="SimSun" w:cs="SimSun"/>
          <w:sz w:val="23"/>
          <w:szCs w:val="23"/>
          <w:spacing w:val="5"/>
        </w:rPr>
        <w:t>次数不低于3次/</w:t>
      </w:r>
      <w:r>
        <w:rPr>
          <w:rFonts w:ascii="Times New Roman" w:hAnsi="Times New Roman" w:eastAsia="Times New Roman" w:cs="Times New Roman"/>
          <w:sz w:val="23"/>
          <w:szCs w:val="23"/>
          <w:spacing w:val="5"/>
        </w:rPr>
        <w:t>h</w:t>
      </w:r>
      <w:r>
        <w:rPr>
          <w:rFonts w:ascii="Times New Roman" w:hAnsi="Times New Roman" w:eastAsia="Times New Roman" w:cs="Times New Roman"/>
          <w:sz w:val="23"/>
          <w:szCs w:val="23"/>
          <w:spacing w:val="-21"/>
        </w:rPr>
        <w:t xml:space="preserve"> </w:t>
      </w:r>
      <w:r>
        <w:rPr>
          <w:rFonts w:ascii="SimSun" w:hAnsi="SimSun" w:eastAsia="SimSun" w:cs="SimSun"/>
          <w:sz w:val="23"/>
          <w:szCs w:val="23"/>
          <w:spacing w:val="5"/>
        </w:rPr>
        <w:t>进行设计，经计算肉</w:t>
      </w:r>
      <w:r>
        <w:rPr>
          <w:rFonts w:ascii="SimSun" w:hAnsi="SimSun" w:eastAsia="SimSun" w:cs="SimSun"/>
          <w:sz w:val="23"/>
          <w:szCs w:val="23"/>
        </w:rPr>
        <w:t xml:space="preserve">  </w:t>
      </w:r>
      <w:r>
        <w:rPr>
          <w:rFonts w:ascii="SimSun" w:hAnsi="SimSun" w:eastAsia="SimSun" w:cs="SimSun"/>
          <w:sz w:val="23"/>
          <w:szCs w:val="23"/>
          <w:spacing w:val="8"/>
        </w:rPr>
        <w:t>牛待宰圈舍通风量为18675m³/h。因此</w:t>
      </w:r>
      <w:r>
        <w:rPr>
          <w:rFonts w:ascii="SimSun" w:hAnsi="SimSun" w:eastAsia="SimSun" w:cs="SimSun"/>
          <w:sz w:val="23"/>
          <w:szCs w:val="23"/>
          <w:spacing w:val="7"/>
        </w:rPr>
        <w:t>，为确保肉牛待宰圈舍恶臭污染物的有效</w:t>
      </w:r>
    </w:p>
    <w:p>
      <w:pPr>
        <w:spacing w:line="305" w:lineRule="auto"/>
        <w:sectPr>
          <w:headerReference w:type="default" r:id="rId314"/>
          <w:footerReference w:type="default" r:id="rId315"/>
          <w:pgSz w:w="11910" w:h="16840"/>
          <w:pgMar w:top="1219" w:right="1705" w:bottom="950" w:left="1685" w:header="865" w:footer="742" w:gutter="0"/>
        </w:sectPr>
        <w:rPr>
          <w:rFonts w:ascii="SimSun" w:hAnsi="SimSun" w:eastAsia="SimSun" w:cs="SimSun"/>
          <w:sz w:val="23"/>
          <w:szCs w:val="23"/>
        </w:rPr>
      </w:pPr>
    </w:p>
    <w:p>
      <w:pPr>
        <w:spacing w:before="298" w:line="219" w:lineRule="auto"/>
        <w:rPr>
          <w:rFonts w:ascii="SimSun" w:hAnsi="SimSun" w:eastAsia="SimSun" w:cs="SimSun"/>
          <w:sz w:val="23"/>
          <w:szCs w:val="23"/>
        </w:rPr>
      </w:pPr>
      <w:r>
        <w:rPr>
          <w:rFonts w:ascii="SimSun" w:hAnsi="SimSun" w:eastAsia="SimSun" w:cs="SimSun"/>
          <w:sz w:val="23"/>
          <w:szCs w:val="23"/>
          <w:spacing w:val="13"/>
        </w:rPr>
        <w:t>收集，并经与建设单位沟通，肉牛待宰圈舍拟设置1台风机(风量为</w:t>
      </w:r>
    </w:p>
    <w:p>
      <w:pPr>
        <w:ind w:right="103"/>
        <w:spacing w:before="164" w:line="373" w:lineRule="auto"/>
        <w:rPr>
          <w:rFonts w:ascii="SimSun" w:hAnsi="SimSun" w:eastAsia="SimSun" w:cs="SimSun"/>
          <w:sz w:val="23"/>
          <w:szCs w:val="23"/>
        </w:rPr>
      </w:pPr>
      <w:r>
        <w:rPr>
          <w:rFonts w:ascii="Times New Roman" w:hAnsi="Times New Roman" w:eastAsia="Times New Roman" w:cs="Times New Roman"/>
          <w:sz w:val="23"/>
          <w:szCs w:val="23"/>
          <w:spacing w:val="8"/>
        </w:rPr>
        <w:t>20000m³/h)   </w:t>
      </w:r>
      <w:r>
        <w:rPr>
          <w:rFonts w:ascii="SimSun" w:hAnsi="SimSun" w:eastAsia="SimSun" w:cs="SimSun"/>
          <w:sz w:val="23"/>
          <w:szCs w:val="23"/>
          <w:spacing w:val="8"/>
        </w:rPr>
        <w:t>进行负压抽风，经负压抽风抽出的废气由喷淋+</w:t>
      </w:r>
      <w:r>
        <w:rPr>
          <w:rFonts w:ascii="Times New Roman" w:hAnsi="Times New Roman" w:eastAsia="Times New Roman" w:cs="Times New Roman"/>
          <w:sz w:val="23"/>
          <w:szCs w:val="23"/>
        </w:rPr>
        <w:t>UV</w:t>
      </w:r>
      <w:r>
        <w:rPr>
          <w:rFonts w:ascii="SimSun" w:hAnsi="SimSun" w:eastAsia="SimSun" w:cs="SimSun"/>
          <w:sz w:val="23"/>
          <w:szCs w:val="23"/>
          <w:spacing w:val="8"/>
        </w:rPr>
        <w:t>光解+活性炭吸  </w:t>
      </w:r>
      <w:r>
        <w:rPr>
          <w:rFonts w:ascii="SimSun" w:hAnsi="SimSun" w:eastAsia="SimSun" w:cs="SimSun"/>
          <w:sz w:val="23"/>
          <w:szCs w:val="23"/>
          <w:spacing w:val="11"/>
        </w:rPr>
        <w:t>附装置</w:t>
      </w:r>
      <w:r>
        <w:rPr>
          <w:rFonts w:ascii="SimSun" w:hAnsi="SimSun" w:eastAsia="SimSun" w:cs="SimSun"/>
          <w:sz w:val="23"/>
          <w:szCs w:val="23"/>
          <w:spacing w:val="-33"/>
        </w:rPr>
        <w:t xml:space="preserve"> </w:t>
      </w:r>
      <w:r>
        <w:rPr>
          <w:rFonts w:ascii="Times New Roman" w:hAnsi="Times New Roman" w:eastAsia="Times New Roman" w:cs="Times New Roman"/>
          <w:sz w:val="23"/>
          <w:szCs w:val="23"/>
          <w:spacing w:val="11"/>
        </w:rPr>
        <w:t>(</w:t>
      </w:r>
      <w:r>
        <w:rPr>
          <w:rFonts w:ascii="Times New Roman" w:hAnsi="Times New Roman" w:eastAsia="Times New Roman" w:cs="Times New Roman"/>
          <w:sz w:val="23"/>
          <w:szCs w:val="23"/>
        </w:rPr>
        <w:t>TA</w:t>
      </w:r>
      <w:r>
        <w:rPr>
          <w:rFonts w:ascii="Times New Roman" w:hAnsi="Times New Roman" w:eastAsia="Times New Roman" w:cs="Times New Roman"/>
          <w:sz w:val="23"/>
          <w:szCs w:val="23"/>
          <w:spacing w:val="11"/>
        </w:rPr>
        <w:t>003)    </w:t>
      </w:r>
      <w:r>
        <w:rPr>
          <w:rFonts w:ascii="SimSun" w:hAnsi="SimSun" w:eastAsia="SimSun" w:cs="SimSun"/>
          <w:sz w:val="23"/>
          <w:szCs w:val="23"/>
          <w:spacing w:val="11"/>
        </w:rPr>
        <w:t>后，由15</w:t>
      </w:r>
      <w:r>
        <w:rPr>
          <w:rFonts w:ascii="Times New Roman" w:hAnsi="Times New Roman" w:eastAsia="Times New Roman" w:cs="Times New Roman"/>
          <w:sz w:val="23"/>
          <w:szCs w:val="23"/>
          <w:spacing w:val="11"/>
        </w:rPr>
        <w:t>m</w:t>
      </w:r>
      <w:r>
        <w:rPr>
          <w:rFonts w:ascii="Times New Roman" w:hAnsi="Times New Roman" w:eastAsia="Times New Roman" w:cs="Times New Roman"/>
          <w:sz w:val="23"/>
          <w:szCs w:val="23"/>
          <w:spacing w:val="-35"/>
        </w:rPr>
        <w:t xml:space="preserve"> </w:t>
      </w:r>
      <w:r>
        <w:rPr>
          <w:rFonts w:ascii="SimSun" w:hAnsi="SimSun" w:eastAsia="SimSun" w:cs="SimSun"/>
          <w:sz w:val="23"/>
          <w:szCs w:val="23"/>
          <w:spacing w:val="11"/>
        </w:rPr>
        <w:t>高排气筒</w:t>
      </w:r>
      <w:r>
        <w:rPr>
          <w:rFonts w:ascii="SimSun" w:hAnsi="SimSun" w:eastAsia="SimSun" w:cs="SimSun"/>
          <w:sz w:val="23"/>
          <w:szCs w:val="23"/>
          <w:spacing w:val="-29"/>
        </w:rPr>
        <w:t xml:space="preserve"> </w:t>
      </w:r>
      <w:r>
        <w:rPr>
          <w:rFonts w:ascii="Times New Roman" w:hAnsi="Times New Roman" w:eastAsia="Times New Roman" w:cs="Times New Roman"/>
          <w:sz w:val="23"/>
          <w:szCs w:val="23"/>
          <w:spacing w:val="11"/>
        </w:rPr>
        <w:t>(</w:t>
      </w:r>
      <w:r>
        <w:rPr>
          <w:rFonts w:ascii="Times New Roman" w:hAnsi="Times New Roman" w:eastAsia="Times New Roman" w:cs="Times New Roman"/>
          <w:sz w:val="23"/>
          <w:szCs w:val="23"/>
        </w:rPr>
        <w:t>DA</w:t>
      </w:r>
      <w:r>
        <w:rPr>
          <w:rFonts w:ascii="Times New Roman" w:hAnsi="Times New Roman" w:eastAsia="Times New Roman" w:cs="Times New Roman"/>
          <w:sz w:val="23"/>
          <w:szCs w:val="23"/>
          <w:spacing w:val="11"/>
        </w:rPr>
        <w:t>003)    </w:t>
      </w:r>
      <w:r>
        <w:rPr>
          <w:rFonts w:ascii="SimSun" w:hAnsi="SimSun" w:eastAsia="SimSun" w:cs="SimSun"/>
          <w:sz w:val="23"/>
          <w:szCs w:val="23"/>
          <w:spacing w:val="11"/>
        </w:rPr>
        <w:t>排放，</w:t>
      </w:r>
      <w:r>
        <w:rPr>
          <w:rFonts w:ascii="SimSun" w:hAnsi="SimSun" w:eastAsia="SimSun" w:cs="SimSun"/>
          <w:sz w:val="23"/>
          <w:szCs w:val="23"/>
          <w:spacing w:val="10"/>
        </w:rPr>
        <w:t>收集率按95%,处置效</w:t>
      </w:r>
      <w:r>
        <w:rPr>
          <w:rFonts w:ascii="SimSun" w:hAnsi="SimSun" w:eastAsia="SimSun" w:cs="SimSun"/>
          <w:sz w:val="23"/>
          <w:szCs w:val="23"/>
        </w:rPr>
        <w:t xml:space="preserve"> </w:t>
      </w:r>
      <w:r>
        <w:rPr>
          <w:rFonts w:ascii="SimSun" w:hAnsi="SimSun" w:eastAsia="SimSun" w:cs="SimSun"/>
          <w:sz w:val="23"/>
          <w:szCs w:val="23"/>
          <w:spacing w:val="13"/>
        </w:rPr>
        <w:t>率按95%计算。</w:t>
      </w:r>
    </w:p>
    <w:p>
      <w:pPr>
        <w:ind w:right="195" w:firstLine="470"/>
        <w:spacing w:before="3" w:line="305" w:lineRule="auto"/>
        <w:rPr>
          <w:rFonts w:ascii="SimSun" w:hAnsi="SimSun" w:eastAsia="SimSun" w:cs="SimSun"/>
          <w:sz w:val="23"/>
          <w:szCs w:val="23"/>
        </w:rPr>
      </w:pPr>
      <w:r>
        <w:rPr>
          <w:rFonts w:ascii="Times New Roman" w:hAnsi="Times New Roman" w:eastAsia="Times New Roman" w:cs="Times New Roman"/>
          <w:sz w:val="23"/>
          <w:szCs w:val="23"/>
          <w:spacing w:val="3"/>
        </w:rPr>
        <w:t>b</w:t>
      </w:r>
      <w:r>
        <w:rPr>
          <w:rFonts w:ascii="Times New Roman" w:hAnsi="Times New Roman" w:eastAsia="Times New Roman" w:cs="Times New Roman"/>
          <w:sz w:val="23"/>
          <w:szCs w:val="23"/>
          <w:spacing w:val="-20"/>
        </w:rPr>
        <w:t xml:space="preserve"> </w:t>
      </w:r>
      <w:r>
        <w:rPr>
          <w:rFonts w:ascii="SimSun" w:hAnsi="SimSun" w:eastAsia="SimSun" w:cs="SimSun"/>
          <w:sz w:val="23"/>
          <w:szCs w:val="23"/>
          <w:spacing w:val="3"/>
        </w:rPr>
        <w:t>、根据《牛羊屠宰与分割车间设计规范》</w:t>
      </w:r>
      <w:r>
        <w:rPr>
          <w:rFonts w:ascii="SimSun" w:hAnsi="SimSun" w:eastAsia="SimSun" w:cs="SimSun"/>
          <w:sz w:val="23"/>
          <w:szCs w:val="23"/>
          <w:spacing w:val="55"/>
        </w:rPr>
        <w:t xml:space="preserve"> </w:t>
      </w:r>
      <w:r>
        <w:rPr>
          <w:rFonts w:ascii="Times New Roman" w:hAnsi="Times New Roman" w:eastAsia="Times New Roman" w:cs="Times New Roman"/>
          <w:sz w:val="23"/>
          <w:szCs w:val="23"/>
          <w:spacing w:val="3"/>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3"/>
        </w:rPr>
        <w:t xml:space="preserve">       51225-2017),  </w:t>
      </w:r>
      <w:r>
        <w:rPr>
          <w:rFonts w:ascii="SimSun" w:hAnsi="SimSun" w:eastAsia="SimSun" w:cs="SimSun"/>
          <w:sz w:val="23"/>
          <w:szCs w:val="23"/>
          <w:spacing w:val="3"/>
        </w:rPr>
        <w:t>肉牛屠宰</w:t>
      </w:r>
      <w:r>
        <w:rPr>
          <w:rFonts w:ascii="SimSun" w:hAnsi="SimSun" w:eastAsia="SimSun" w:cs="SimSun"/>
          <w:sz w:val="23"/>
          <w:szCs w:val="23"/>
        </w:rPr>
        <w:t xml:space="preserve"> </w:t>
      </w:r>
      <w:r>
        <w:rPr>
          <w:rFonts w:ascii="SimSun" w:hAnsi="SimSun" w:eastAsia="SimSun" w:cs="SimSun"/>
          <w:sz w:val="23"/>
          <w:szCs w:val="23"/>
          <w:spacing w:val="9"/>
        </w:rPr>
        <w:t>车间应以自然通风为主，对于散发臭味多的加工间，如放血间、胴体加工间、</w:t>
      </w:r>
    </w:p>
    <w:p>
      <w:pPr>
        <w:spacing w:before="185" w:line="219" w:lineRule="auto"/>
        <w:rPr>
          <w:rFonts w:ascii="SimSun" w:hAnsi="SimSun" w:eastAsia="SimSun" w:cs="SimSun"/>
          <w:sz w:val="23"/>
          <w:szCs w:val="23"/>
        </w:rPr>
      </w:pPr>
      <w:r>
        <w:rPr>
          <w:rFonts w:ascii="SimSun" w:hAnsi="SimSun" w:eastAsia="SimSun" w:cs="SimSun"/>
          <w:sz w:val="23"/>
          <w:szCs w:val="23"/>
          <w:spacing w:val="7"/>
        </w:rPr>
        <w:t>副产品加工间，换气次数不宜小于20次/h。本项目肉牛屠宰车间采取钢结构、</w:t>
      </w:r>
    </w:p>
    <w:p>
      <w:pPr>
        <w:spacing w:before="187" w:line="219" w:lineRule="auto"/>
        <w:rPr>
          <w:rFonts w:ascii="SimSun" w:hAnsi="SimSun" w:eastAsia="SimSun" w:cs="SimSun"/>
          <w:sz w:val="23"/>
          <w:szCs w:val="23"/>
        </w:rPr>
      </w:pPr>
      <w:r>
        <w:rPr>
          <w:rFonts w:ascii="SimSun" w:hAnsi="SimSun" w:eastAsia="SimSun" w:cs="SimSun"/>
          <w:sz w:val="23"/>
          <w:szCs w:val="23"/>
          <w:spacing w:val="8"/>
        </w:rPr>
        <w:t>密闭厂房，设置两道门及送排风系统，且在厂房四周定期喷洒微生物除臭剂，</w:t>
      </w:r>
    </w:p>
    <w:p>
      <w:pPr>
        <w:spacing w:before="187" w:line="219" w:lineRule="auto"/>
        <w:rPr>
          <w:rFonts w:ascii="SimSun" w:hAnsi="SimSun" w:eastAsia="SimSun" w:cs="SimSun"/>
          <w:sz w:val="23"/>
          <w:szCs w:val="23"/>
        </w:rPr>
      </w:pPr>
      <w:r>
        <w:rPr>
          <w:rFonts w:ascii="SimSun" w:hAnsi="SimSun" w:eastAsia="SimSun" w:cs="SimSun"/>
          <w:sz w:val="23"/>
          <w:szCs w:val="23"/>
          <w:spacing w:val="10"/>
        </w:rPr>
        <w:t>根据建设单位提供资料可知，为确保项目肉牛屠宰车间恶臭污染物的</w:t>
      </w:r>
      <w:r>
        <w:rPr>
          <w:rFonts w:ascii="SimSun" w:hAnsi="SimSun" w:eastAsia="SimSun" w:cs="SimSun"/>
          <w:sz w:val="23"/>
          <w:szCs w:val="23"/>
          <w:spacing w:val="9"/>
        </w:rPr>
        <w:t>有效收</w:t>
      </w:r>
    </w:p>
    <w:p>
      <w:pPr>
        <w:ind w:right="118"/>
        <w:spacing w:before="173" w:line="314" w:lineRule="auto"/>
        <w:rPr>
          <w:rFonts w:ascii="SimSun" w:hAnsi="SimSun" w:eastAsia="SimSun" w:cs="SimSun"/>
          <w:sz w:val="23"/>
          <w:szCs w:val="23"/>
        </w:rPr>
      </w:pPr>
      <w:r>
        <w:rPr>
          <w:rFonts w:ascii="SimSun" w:hAnsi="SimSun" w:eastAsia="SimSun" w:cs="SimSun"/>
          <w:sz w:val="23"/>
          <w:szCs w:val="23"/>
          <w:spacing w:val="11"/>
        </w:rPr>
        <w:t>集，整个空间属于负压空间，肉牛屠宰车间内肉牛屠宰区(层高</w:t>
      </w:r>
      <w:r>
        <w:rPr>
          <w:rFonts w:ascii="Times New Roman" w:hAnsi="Times New Roman" w:eastAsia="Times New Roman" w:cs="Times New Roman"/>
          <w:sz w:val="23"/>
          <w:szCs w:val="23"/>
          <w:spacing w:val="11"/>
        </w:rPr>
        <w:t>H=8.3m,   </w:t>
      </w:r>
      <w:r>
        <w:rPr>
          <w:rFonts w:ascii="SimSun" w:hAnsi="SimSun" w:eastAsia="SimSun" w:cs="SimSun"/>
          <w:sz w:val="23"/>
          <w:szCs w:val="23"/>
          <w:spacing w:val="11"/>
        </w:rPr>
        <w:t>面积</w:t>
      </w:r>
      <w:r>
        <w:rPr>
          <w:rFonts w:ascii="SimSun" w:hAnsi="SimSun" w:eastAsia="SimSun" w:cs="SimSun"/>
          <w:sz w:val="23"/>
          <w:szCs w:val="23"/>
          <w:spacing w:val="7"/>
        </w:rPr>
        <w:t xml:space="preserve"> </w:t>
      </w:r>
      <w:r>
        <w:rPr>
          <w:rFonts w:ascii="SimSun" w:hAnsi="SimSun" w:eastAsia="SimSun" w:cs="SimSun"/>
          <w:sz w:val="23"/>
          <w:szCs w:val="23"/>
          <w:spacing w:val="8"/>
        </w:rPr>
        <w:t>约400</w:t>
      </w:r>
      <w:r>
        <w:rPr>
          <w:rFonts w:ascii="Times New Roman" w:hAnsi="Times New Roman" w:eastAsia="Times New Roman" w:cs="Times New Roman"/>
          <w:sz w:val="23"/>
          <w:szCs w:val="23"/>
          <w:spacing w:val="8"/>
        </w:rPr>
        <w:t>m²)</w:t>
      </w:r>
      <w:r>
        <w:rPr>
          <w:rFonts w:ascii="Times New Roman" w:hAnsi="Times New Roman" w:eastAsia="Times New Roman" w:cs="Times New Roman"/>
          <w:sz w:val="23"/>
          <w:szCs w:val="23"/>
          <w:spacing w:val="-20"/>
        </w:rPr>
        <w:t xml:space="preserve"> </w:t>
      </w:r>
      <w:r>
        <w:rPr>
          <w:rFonts w:ascii="SimSun" w:hAnsi="SimSun" w:eastAsia="SimSun" w:cs="SimSun"/>
          <w:sz w:val="23"/>
          <w:szCs w:val="23"/>
          <w:spacing w:val="8"/>
        </w:rPr>
        <w:t>、</w:t>
      </w:r>
      <w:r>
        <w:rPr>
          <w:rFonts w:ascii="SimSun" w:hAnsi="SimSun" w:eastAsia="SimSun" w:cs="SimSun"/>
          <w:sz w:val="23"/>
          <w:szCs w:val="23"/>
          <w:spacing w:val="73"/>
        </w:rPr>
        <w:t xml:space="preserve"> </w:t>
      </w:r>
      <w:r>
        <w:rPr>
          <w:rFonts w:ascii="SimSun" w:hAnsi="SimSun" w:eastAsia="SimSun" w:cs="SimSun"/>
          <w:sz w:val="23"/>
          <w:szCs w:val="23"/>
          <w:spacing w:val="8"/>
        </w:rPr>
        <w:t>肉牛分割区(层高</w:t>
      </w:r>
      <w:r>
        <w:rPr>
          <w:rFonts w:ascii="Times New Roman" w:hAnsi="Times New Roman" w:eastAsia="Times New Roman" w:cs="Times New Roman"/>
          <w:sz w:val="23"/>
          <w:szCs w:val="23"/>
          <w:spacing w:val="8"/>
        </w:rPr>
        <w:t>H=8.3m,   </w:t>
      </w:r>
      <w:r>
        <w:rPr>
          <w:rFonts w:ascii="SimSun" w:hAnsi="SimSun" w:eastAsia="SimSun" w:cs="SimSun"/>
          <w:sz w:val="23"/>
          <w:szCs w:val="23"/>
          <w:spacing w:val="8"/>
        </w:rPr>
        <w:t>面积约282</w:t>
      </w:r>
      <w:r>
        <w:rPr>
          <w:rFonts w:ascii="Times New Roman" w:hAnsi="Times New Roman" w:eastAsia="Times New Roman" w:cs="Times New Roman"/>
          <w:sz w:val="23"/>
          <w:szCs w:val="23"/>
          <w:spacing w:val="8"/>
        </w:rPr>
        <w:t>m²)   </w:t>
      </w:r>
      <w:r>
        <w:rPr>
          <w:rFonts w:ascii="SimSun" w:hAnsi="SimSun" w:eastAsia="SimSun" w:cs="SimSun"/>
          <w:sz w:val="23"/>
          <w:szCs w:val="23"/>
          <w:spacing w:val="8"/>
        </w:rPr>
        <w:t>均按换气次数不低于3</w:t>
      </w:r>
      <w:r>
        <w:rPr>
          <w:rFonts w:ascii="SimSun" w:hAnsi="SimSun" w:eastAsia="SimSun" w:cs="SimSun"/>
          <w:sz w:val="23"/>
          <w:szCs w:val="23"/>
        </w:rPr>
        <w:t xml:space="preserve"> </w:t>
      </w:r>
      <w:r>
        <w:rPr>
          <w:rFonts w:ascii="SimSun" w:hAnsi="SimSun" w:eastAsia="SimSun" w:cs="SimSun"/>
          <w:sz w:val="23"/>
          <w:szCs w:val="23"/>
          <w:spacing w:val="10"/>
        </w:rPr>
        <w:t>次/</w:t>
      </w:r>
      <w:r>
        <w:rPr>
          <w:rFonts w:ascii="Times New Roman" w:hAnsi="Times New Roman" w:eastAsia="Times New Roman" w:cs="Times New Roman"/>
          <w:sz w:val="23"/>
          <w:szCs w:val="23"/>
          <w:spacing w:val="10"/>
        </w:rPr>
        <w:t>h</w:t>
      </w:r>
      <w:r>
        <w:rPr>
          <w:rFonts w:ascii="Times New Roman" w:hAnsi="Times New Roman" w:eastAsia="Times New Roman" w:cs="Times New Roman"/>
          <w:sz w:val="23"/>
          <w:szCs w:val="23"/>
          <w:spacing w:val="-11"/>
        </w:rPr>
        <w:t xml:space="preserve"> </w:t>
      </w:r>
      <w:r>
        <w:rPr>
          <w:rFonts w:ascii="SimSun" w:hAnsi="SimSun" w:eastAsia="SimSun" w:cs="SimSun"/>
          <w:sz w:val="23"/>
          <w:szCs w:val="23"/>
          <w:spacing w:val="10"/>
        </w:rPr>
        <w:t>进行设计，放血间(层高</w:t>
      </w:r>
      <w:r>
        <w:rPr>
          <w:rFonts w:ascii="Times New Roman" w:hAnsi="Times New Roman" w:eastAsia="Times New Roman" w:cs="Times New Roman"/>
          <w:sz w:val="23"/>
          <w:szCs w:val="23"/>
          <w:spacing w:val="10"/>
        </w:rPr>
        <w:t>H=8.3m,  </w:t>
      </w:r>
      <w:r>
        <w:rPr>
          <w:rFonts w:ascii="Times New Roman" w:hAnsi="Times New Roman" w:eastAsia="Times New Roman" w:cs="Times New Roman"/>
          <w:sz w:val="23"/>
          <w:szCs w:val="23"/>
          <w:spacing w:val="9"/>
        </w:rPr>
        <w:t xml:space="preserve"> </w:t>
      </w:r>
      <w:r>
        <w:rPr>
          <w:rFonts w:ascii="SimSun" w:hAnsi="SimSun" w:eastAsia="SimSun" w:cs="SimSun"/>
          <w:sz w:val="23"/>
          <w:szCs w:val="23"/>
          <w:spacing w:val="9"/>
        </w:rPr>
        <w:t>面积约40</w:t>
      </w:r>
      <w:r>
        <w:rPr>
          <w:rFonts w:ascii="Times New Roman" w:hAnsi="Times New Roman" w:eastAsia="Times New Roman" w:cs="Times New Roman"/>
          <w:sz w:val="23"/>
          <w:szCs w:val="23"/>
          <w:spacing w:val="9"/>
        </w:rPr>
        <w:t>m²)</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9"/>
        </w:rPr>
        <w:t>、</w:t>
      </w:r>
      <w:r>
        <w:rPr>
          <w:rFonts w:ascii="SimSun" w:hAnsi="SimSun" w:eastAsia="SimSun" w:cs="SimSun"/>
          <w:sz w:val="23"/>
          <w:szCs w:val="23"/>
          <w:spacing w:val="63"/>
        </w:rPr>
        <w:t xml:space="preserve"> </w:t>
      </w:r>
      <w:r>
        <w:rPr>
          <w:rFonts w:ascii="SimSun" w:hAnsi="SimSun" w:eastAsia="SimSun" w:cs="SimSun"/>
          <w:sz w:val="23"/>
          <w:szCs w:val="23"/>
          <w:spacing w:val="9"/>
        </w:rPr>
        <w:t>胴体加工间(层高</w:t>
      </w:r>
    </w:p>
    <w:p>
      <w:pPr>
        <w:ind w:right="223"/>
        <w:spacing w:before="195" w:line="305" w:lineRule="auto"/>
        <w:rPr>
          <w:rFonts w:ascii="SimSun" w:hAnsi="SimSun" w:eastAsia="SimSun" w:cs="SimSun"/>
          <w:sz w:val="23"/>
          <w:szCs w:val="23"/>
        </w:rPr>
      </w:pPr>
      <w:r>
        <w:rPr>
          <w:rFonts w:ascii="Times New Roman" w:hAnsi="Times New Roman" w:eastAsia="Times New Roman" w:cs="Times New Roman"/>
          <w:sz w:val="23"/>
          <w:szCs w:val="23"/>
          <w:spacing w:val="8"/>
        </w:rPr>
        <w:t>H=8.3m,   </w:t>
      </w:r>
      <w:r>
        <w:rPr>
          <w:rFonts w:ascii="SimSun" w:hAnsi="SimSun" w:eastAsia="SimSun" w:cs="SimSun"/>
          <w:sz w:val="23"/>
          <w:szCs w:val="23"/>
          <w:spacing w:val="8"/>
        </w:rPr>
        <w:t>面积约50</w:t>
      </w:r>
      <w:r>
        <w:rPr>
          <w:rFonts w:ascii="Times New Roman" w:hAnsi="Times New Roman" w:eastAsia="Times New Roman" w:cs="Times New Roman"/>
          <w:sz w:val="23"/>
          <w:szCs w:val="23"/>
          <w:spacing w:val="8"/>
        </w:rPr>
        <w:t>m²)</w:t>
      </w:r>
      <w:r>
        <w:rPr>
          <w:rFonts w:ascii="Times New Roman" w:hAnsi="Times New Roman" w:eastAsia="Times New Roman" w:cs="Times New Roman"/>
          <w:sz w:val="23"/>
          <w:szCs w:val="23"/>
          <w:spacing w:val="-33"/>
        </w:rPr>
        <w:t xml:space="preserve"> </w:t>
      </w:r>
      <w:r>
        <w:rPr>
          <w:rFonts w:ascii="SimSun" w:hAnsi="SimSun" w:eastAsia="SimSun" w:cs="SimSun"/>
          <w:sz w:val="23"/>
          <w:szCs w:val="23"/>
          <w:spacing w:val="8"/>
        </w:rPr>
        <w:t>、</w:t>
      </w:r>
      <w:r>
        <w:rPr>
          <w:rFonts w:ascii="SimSun" w:hAnsi="SimSun" w:eastAsia="SimSun" w:cs="SimSun"/>
          <w:sz w:val="23"/>
          <w:szCs w:val="23"/>
          <w:spacing w:val="63"/>
        </w:rPr>
        <w:t xml:space="preserve"> </w:t>
      </w:r>
      <w:r>
        <w:rPr>
          <w:rFonts w:ascii="SimSun" w:hAnsi="SimSun" w:eastAsia="SimSun" w:cs="SimSun"/>
          <w:sz w:val="23"/>
          <w:szCs w:val="23"/>
          <w:spacing w:val="8"/>
        </w:rPr>
        <w:t>副产品加工间(层高</w:t>
      </w:r>
      <w:r>
        <w:rPr>
          <w:rFonts w:ascii="Times New Roman" w:hAnsi="Times New Roman" w:eastAsia="Times New Roman" w:cs="Times New Roman"/>
          <w:sz w:val="23"/>
          <w:szCs w:val="23"/>
          <w:spacing w:val="8"/>
        </w:rPr>
        <w:t>H=8</w:t>
      </w:r>
      <w:r>
        <w:rPr>
          <w:rFonts w:ascii="Times New Roman" w:hAnsi="Times New Roman" w:eastAsia="Times New Roman" w:cs="Times New Roman"/>
          <w:sz w:val="23"/>
          <w:szCs w:val="23"/>
          <w:spacing w:val="7"/>
        </w:rPr>
        <w:t>.3m,   </w:t>
      </w:r>
      <w:r>
        <w:rPr>
          <w:rFonts w:ascii="SimSun" w:hAnsi="SimSun" w:eastAsia="SimSun" w:cs="SimSun"/>
          <w:sz w:val="23"/>
          <w:szCs w:val="23"/>
          <w:spacing w:val="7"/>
        </w:rPr>
        <w:t>面积约63</w:t>
      </w:r>
      <w:r>
        <w:rPr>
          <w:rFonts w:ascii="Times New Roman" w:hAnsi="Times New Roman" w:eastAsia="Times New Roman" w:cs="Times New Roman"/>
          <w:sz w:val="23"/>
          <w:szCs w:val="23"/>
          <w:spacing w:val="7"/>
        </w:rPr>
        <w:t>m²)   </w:t>
      </w:r>
      <w:r>
        <w:rPr>
          <w:rFonts w:ascii="SimSun" w:hAnsi="SimSun" w:eastAsia="SimSun" w:cs="SimSun"/>
          <w:sz w:val="23"/>
          <w:szCs w:val="23"/>
          <w:spacing w:val="7"/>
        </w:rPr>
        <w:t>均按换</w:t>
      </w:r>
      <w:r>
        <w:rPr>
          <w:rFonts w:ascii="SimSun" w:hAnsi="SimSun" w:eastAsia="SimSun" w:cs="SimSun"/>
          <w:sz w:val="23"/>
          <w:szCs w:val="23"/>
        </w:rPr>
        <w:t xml:space="preserve"> </w:t>
      </w:r>
      <w:r>
        <w:rPr>
          <w:rFonts w:ascii="SimSun" w:hAnsi="SimSun" w:eastAsia="SimSun" w:cs="SimSun"/>
          <w:sz w:val="23"/>
          <w:szCs w:val="23"/>
          <w:spacing w:val="4"/>
        </w:rPr>
        <w:t>气次数不低于20次/</w:t>
      </w:r>
      <w:r>
        <w:rPr>
          <w:rFonts w:ascii="Times New Roman" w:hAnsi="Times New Roman" w:eastAsia="Times New Roman" w:cs="Times New Roman"/>
          <w:sz w:val="23"/>
          <w:szCs w:val="23"/>
          <w:spacing w:val="4"/>
        </w:rPr>
        <w:t>h</w:t>
      </w:r>
      <w:r>
        <w:rPr>
          <w:rFonts w:ascii="SimSun" w:hAnsi="SimSun" w:eastAsia="SimSun" w:cs="SimSun"/>
          <w:sz w:val="23"/>
          <w:szCs w:val="23"/>
          <w:spacing w:val="4"/>
        </w:rPr>
        <w:t>进行设计，经计算肉牛屠宰车间通风量为</w:t>
      </w:r>
      <w:r>
        <w:rPr>
          <w:rFonts w:ascii="SimSun" w:hAnsi="SimSun" w:eastAsia="SimSun" w:cs="SimSun"/>
          <w:sz w:val="23"/>
          <w:szCs w:val="23"/>
          <w:spacing w:val="3"/>
        </w:rPr>
        <w:t>42379.8</w:t>
      </w:r>
      <w:r>
        <w:rPr>
          <w:rFonts w:ascii="Times New Roman" w:hAnsi="Times New Roman" w:eastAsia="Times New Roman" w:cs="Times New Roman"/>
          <w:sz w:val="23"/>
          <w:szCs w:val="23"/>
          <w:spacing w:val="3"/>
        </w:rPr>
        <w:t>m³/h</w:t>
      </w:r>
      <w:r>
        <w:rPr>
          <w:rFonts w:ascii="Times New Roman" w:hAnsi="Times New Roman" w:eastAsia="Times New Roman" w:cs="Times New Roman"/>
          <w:sz w:val="23"/>
          <w:szCs w:val="23"/>
          <w:spacing w:val="-26"/>
        </w:rPr>
        <w:t xml:space="preserve"> </w:t>
      </w:r>
      <w:r>
        <w:rPr>
          <w:rFonts w:ascii="SimSun" w:hAnsi="SimSun" w:eastAsia="SimSun" w:cs="SimSun"/>
          <w:sz w:val="23"/>
          <w:szCs w:val="23"/>
          <w:spacing w:val="3"/>
        </w:rPr>
        <w:t>。经</w:t>
      </w:r>
    </w:p>
    <w:p>
      <w:pPr>
        <w:ind w:right="222"/>
        <w:spacing w:before="160" w:line="291" w:lineRule="auto"/>
        <w:rPr>
          <w:rFonts w:ascii="SimSun" w:hAnsi="SimSun" w:eastAsia="SimSun" w:cs="SimSun"/>
          <w:sz w:val="23"/>
          <w:szCs w:val="23"/>
        </w:rPr>
      </w:pPr>
      <w:r>
        <w:rPr>
          <w:rFonts w:ascii="SimSun" w:hAnsi="SimSun" w:eastAsia="SimSun" w:cs="SimSun"/>
          <w:sz w:val="23"/>
          <w:szCs w:val="23"/>
          <w:spacing w:val="11"/>
        </w:rPr>
        <w:t>与建设单位沟通，肉牛屠宰车间拟设置1台风机(风量为45000</w:t>
      </w:r>
      <w:r>
        <w:rPr>
          <w:rFonts w:ascii="Times New Roman" w:hAnsi="Times New Roman" w:eastAsia="Times New Roman" w:cs="Times New Roman"/>
          <w:sz w:val="23"/>
          <w:szCs w:val="23"/>
          <w:spacing w:val="11"/>
        </w:rPr>
        <w:t>m³/h)</w:t>
      </w:r>
      <w:r>
        <w:rPr>
          <w:rFonts w:ascii="Times New Roman" w:hAnsi="Times New Roman" w:eastAsia="Times New Roman" w:cs="Times New Roman"/>
          <w:sz w:val="23"/>
          <w:szCs w:val="23"/>
          <w:spacing w:val="28"/>
          <w:w w:val="101"/>
        </w:rPr>
        <w:t xml:space="preserve">  </w:t>
      </w:r>
      <w:r>
        <w:rPr>
          <w:rFonts w:ascii="SimSun" w:hAnsi="SimSun" w:eastAsia="SimSun" w:cs="SimSun"/>
          <w:sz w:val="23"/>
          <w:szCs w:val="23"/>
          <w:spacing w:val="11"/>
        </w:rPr>
        <w:t>进行负压</w:t>
      </w:r>
      <w:r>
        <w:rPr>
          <w:rFonts w:ascii="SimSun" w:hAnsi="SimSun" w:eastAsia="SimSun" w:cs="SimSun"/>
          <w:sz w:val="23"/>
          <w:szCs w:val="23"/>
        </w:rPr>
        <w:t xml:space="preserve"> </w:t>
      </w:r>
      <w:r>
        <w:rPr>
          <w:rFonts w:ascii="SimSun" w:hAnsi="SimSun" w:eastAsia="SimSun" w:cs="SimSun"/>
          <w:sz w:val="23"/>
          <w:szCs w:val="23"/>
          <w:spacing w:val="8"/>
        </w:rPr>
        <w:t>抽风，经喷淋+</w:t>
      </w:r>
      <w:r>
        <w:rPr>
          <w:rFonts w:ascii="Times New Roman" w:hAnsi="Times New Roman" w:eastAsia="Times New Roman" w:cs="Times New Roman"/>
          <w:sz w:val="23"/>
          <w:szCs w:val="23"/>
        </w:rPr>
        <w:t>UV</w:t>
      </w:r>
      <w:r>
        <w:rPr>
          <w:rFonts w:ascii="SimSun" w:hAnsi="SimSun" w:eastAsia="SimSun" w:cs="SimSun"/>
          <w:sz w:val="23"/>
          <w:szCs w:val="23"/>
          <w:spacing w:val="8"/>
        </w:rPr>
        <w:t>光解+活性炭吸附装置</w:t>
      </w:r>
      <w:r>
        <w:rPr>
          <w:rFonts w:ascii="SimSun" w:hAnsi="SimSun" w:eastAsia="SimSun" w:cs="SimSun"/>
          <w:sz w:val="23"/>
          <w:szCs w:val="23"/>
          <w:spacing w:val="-23"/>
        </w:rPr>
        <w:t xml:space="preserve"> </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TA</w:t>
      </w:r>
      <w:r>
        <w:rPr>
          <w:rFonts w:ascii="Times New Roman" w:hAnsi="Times New Roman" w:eastAsia="Times New Roman" w:cs="Times New Roman"/>
          <w:sz w:val="23"/>
          <w:szCs w:val="23"/>
          <w:spacing w:val="8"/>
        </w:rPr>
        <w:t>00</w:t>
      </w:r>
      <w:r>
        <w:rPr>
          <w:rFonts w:ascii="Times New Roman" w:hAnsi="Times New Roman" w:eastAsia="Times New Roman" w:cs="Times New Roman"/>
          <w:sz w:val="23"/>
          <w:szCs w:val="23"/>
          <w:spacing w:val="7"/>
        </w:rPr>
        <w:t>3)    </w:t>
      </w:r>
      <w:r>
        <w:rPr>
          <w:rFonts w:ascii="SimSun" w:hAnsi="SimSun" w:eastAsia="SimSun" w:cs="SimSun"/>
          <w:sz w:val="23"/>
          <w:szCs w:val="23"/>
          <w:spacing w:val="7"/>
        </w:rPr>
        <w:t>处理由15</w:t>
      </w:r>
      <w:r>
        <w:rPr>
          <w:rFonts w:ascii="Times New Roman" w:hAnsi="Times New Roman" w:eastAsia="Times New Roman" w:cs="Times New Roman"/>
          <w:sz w:val="23"/>
          <w:szCs w:val="23"/>
          <w:spacing w:val="7"/>
        </w:rPr>
        <w:t>m</w:t>
      </w:r>
      <w:r>
        <w:rPr>
          <w:rFonts w:ascii="Times New Roman" w:hAnsi="Times New Roman" w:eastAsia="Times New Roman" w:cs="Times New Roman"/>
          <w:sz w:val="23"/>
          <w:szCs w:val="23"/>
          <w:spacing w:val="-35"/>
        </w:rPr>
        <w:t xml:space="preserve"> </w:t>
      </w:r>
      <w:r>
        <w:rPr>
          <w:rFonts w:ascii="SimSun" w:hAnsi="SimSun" w:eastAsia="SimSun" w:cs="SimSun"/>
          <w:sz w:val="23"/>
          <w:szCs w:val="23"/>
          <w:spacing w:val="7"/>
        </w:rPr>
        <w:t>高排气筒</w:t>
      </w:r>
    </w:p>
    <w:p>
      <w:pPr>
        <w:ind w:right="40" w:firstLine="130"/>
        <w:spacing w:before="196" w:line="326" w:lineRule="auto"/>
        <w:rPr>
          <w:rFonts w:ascii="SimSun" w:hAnsi="SimSun" w:eastAsia="SimSun" w:cs="SimSun"/>
          <w:sz w:val="23"/>
          <w:szCs w:val="23"/>
        </w:rPr>
      </w:pPr>
      <w:r>
        <w:rPr>
          <w:rFonts w:ascii="Times New Roman" w:hAnsi="Times New Roman" w:eastAsia="Times New Roman" w:cs="Times New Roman"/>
          <w:sz w:val="23"/>
          <w:szCs w:val="23"/>
          <w:spacing w:val="15"/>
        </w:rPr>
        <w:t>(</w:t>
      </w:r>
      <w:r>
        <w:rPr>
          <w:rFonts w:ascii="Times New Roman" w:hAnsi="Times New Roman" w:eastAsia="Times New Roman" w:cs="Times New Roman"/>
          <w:sz w:val="23"/>
          <w:szCs w:val="23"/>
        </w:rPr>
        <w:t>DA</w:t>
      </w:r>
      <w:r>
        <w:rPr>
          <w:rFonts w:ascii="Times New Roman" w:hAnsi="Times New Roman" w:eastAsia="Times New Roman" w:cs="Times New Roman"/>
          <w:sz w:val="23"/>
          <w:szCs w:val="23"/>
          <w:spacing w:val="15"/>
        </w:rPr>
        <w:t>003)</w:t>
      </w:r>
      <w:r>
        <w:rPr>
          <w:rFonts w:ascii="Times New Roman" w:hAnsi="Times New Roman" w:eastAsia="Times New Roman" w:cs="Times New Roman"/>
          <w:sz w:val="23"/>
          <w:szCs w:val="23"/>
          <w:spacing w:val="2"/>
        </w:rPr>
        <w:t xml:space="preserve">    </w:t>
      </w:r>
      <w:r>
        <w:rPr>
          <w:rFonts w:ascii="SimSun" w:hAnsi="SimSun" w:eastAsia="SimSun" w:cs="SimSun"/>
          <w:sz w:val="23"/>
          <w:szCs w:val="23"/>
          <w:spacing w:val="15"/>
        </w:rPr>
        <w:t>排放。收集率按95%,处置效率按95%计算。每日</w:t>
      </w:r>
      <w:r>
        <w:rPr>
          <w:rFonts w:ascii="SimSun" w:hAnsi="SimSun" w:eastAsia="SimSun" w:cs="SimSun"/>
          <w:sz w:val="23"/>
          <w:szCs w:val="23"/>
          <w:spacing w:val="14"/>
        </w:rPr>
        <w:t>肉牛屠宰完毕后及</w:t>
      </w:r>
      <w:r>
        <w:rPr>
          <w:rFonts w:ascii="SimSun" w:hAnsi="SimSun" w:eastAsia="SimSun" w:cs="SimSun"/>
          <w:sz w:val="23"/>
          <w:szCs w:val="23"/>
          <w:spacing w:val="1"/>
        </w:rPr>
        <w:t xml:space="preserve"> </w:t>
      </w:r>
      <w:r>
        <w:rPr>
          <w:rFonts w:ascii="SimSun" w:hAnsi="SimSun" w:eastAsia="SimSun" w:cs="SimSun"/>
          <w:sz w:val="23"/>
          <w:szCs w:val="23"/>
          <w:spacing w:val="10"/>
        </w:rPr>
        <w:t>时采用高压水枪及时冲洗，减少胃内容物、血水等在车间停留时间，从而减小</w:t>
      </w:r>
      <w:r>
        <w:rPr>
          <w:rFonts w:ascii="SimSun" w:hAnsi="SimSun" w:eastAsia="SimSun" w:cs="SimSun"/>
          <w:sz w:val="23"/>
          <w:szCs w:val="23"/>
          <w:spacing w:val="9"/>
        </w:rPr>
        <w:t xml:space="preserve">  </w:t>
      </w:r>
      <w:r>
        <w:rPr>
          <w:rFonts w:ascii="SimSun" w:hAnsi="SimSun" w:eastAsia="SimSun" w:cs="SimSun"/>
          <w:sz w:val="23"/>
          <w:szCs w:val="23"/>
          <w:spacing w:val="7"/>
        </w:rPr>
        <w:t>恶臭源强。</w:t>
      </w:r>
    </w:p>
    <w:p>
      <w:pPr>
        <w:ind w:right="73" w:firstLine="470"/>
        <w:spacing w:before="298" w:line="319" w:lineRule="auto"/>
        <w:rPr>
          <w:rFonts w:ascii="SimSun" w:hAnsi="SimSun" w:eastAsia="SimSun" w:cs="SimSun"/>
          <w:sz w:val="23"/>
          <w:szCs w:val="23"/>
        </w:rPr>
      </w:pPr>
      <w:r>
        <w:rPr>
          <w:rFonts w:ascii="Times New Roman" w:hAnsi="Times New Roman" w:eastAsia="Times New Roman" w:cs="Times New Roman"/>
          <w:sz w:val="23"/>
          <w:szCs w:val="23"/>
          <w:spacing w:val="9"/>
        </w:rPr>
        <w:t>c</w:t>
      </w:r>
      <w:r>
        <w:rPr>
          <w:rFonts w:ascii="Times New Roman" w:hAnsi="Times New Roman" w:eastAsia="Times New Roman" w:cs="Times New Roman"/>
          <w:sz w:val="23"/>
          <w:szCs w:val="23"/>
          <w:spacing w:val="-18"/>
        </w:rPr>
        <w:t xml:space="preserve"> </w:t>
      </w:r>
      <w:r>
        <w:rPr>
          <w:rFonts w:ascii="SimSun" w:hAnsi="SimSun" w:eastAsia="SimSun" w:cs="SimSun"/>
          <w:sz w:val="23"/>
          <w:szCs w:val="23"/>
          <w:spacing w:val="9"/>
        </w:rPr>
        <w:t>、肉牛屠宰加工车间应配备自动真空采血系统，刺杀与采血一次完成，血</w:t>
      </w:r>
      <w:r>
        <w:rPr>
          <w:rFonts w:ascii="SimSun" w:hAnsi="SimSun" w:eastAsia="SimSun" w:cs="SimSun"/>
          <w:sz w:val="23"/>
          <w:szCs w:val="23"/>
        </w:rPr>
        <w:t xml:space="preserve"> </w:t>
      </w:r>
      <w:r>
        <w:rPr>
          <w:rFonts w:ascii="SimSun" w:hAnsi="SimSun" w:eastAsia="SimSun" w:cs="SimSun"/>
          <w:sz w:val="23"/>
          <w:szCs w:val="23"/>
          <w:spacing w:val="9"/>
        </w:rPr>
        <w:t>液通过血液输送系统及输送管道送至血液储存罐，尽量减少血液产生的异味在</w:t>
      </w:r>
      <w:r>
        <w:rPr>
          <w:rFonts w:ascii="SimSun" w:hAnsi="SimSun" w:eastAsia="SimSun" w:cs="SimSun"/>
          <w:sz w:val="23"/>
          <w:szCs w:val="23"/>
          <w:spacing w:val="7"/>
        </w:rPr>
        <w:t xml:space="preserve">  </w:t>
      </w:r>
      <w:r>
        <w:rPr>
          <w:rFonts w:ascii="SimSun" w:hAnsi="SimSun" w:eastAsia="SimSun" w:cs="SimSun"/>
          <w:sz w:val="23"/>
          <w:szCs w:val="23"/>
          <w:spacing w:val="5"/>
        </w:rPr>
        <w:t>空气中的扩散。</w:t>
      </w:r>
    </w:p>
    <w:p>
      <w:pPr>
        <w:ind w:right="71" w:firstLine="470"/>
        <w:spacing w:before="198" w:line="319" w:lineRule="auto"/>
        <w:rPr>
          <w:rFonts w:ascii="SimSun" w:hAnsi="SimSun" w:eastAsia="SimSun" w:cs="SimSun"/>
          <w:sz w:val="23"/>
          <w:szCs w:val="23"/>
        </w:rPr>
      </w:pPr>
      <w:r>
        <w:rPr>
          <w:rFonts w:ascii="Times New Roman" w:hAnsi="Times New Roman" w:eastAsia="Times New Roman" w:cs="Times New Roman"/>
          <w:sz w:val="23"/>
          <w:szCs w:val="23"/>
          <w:spacing w:val="9"/>
        </w:rPr>
        <w:t>d</w:t>
      </w:r>
      <w:r>
        <w:rPr>
          <w:rFonts w:ascii="Times New Roman" w:hAnsi="Times New Roman" w:eastAsia="Times New Roman" w:cs="Times New Roman"/>
          <w:sz w:val="23"/>
          <w:szCs w:val="23"/>
          <w:spacing w:val="-29"/>
        </w:rPr>
        <w:t xml:space="preserve"> </w:t>
      </w:r>
      <w:r>
        <w:rPr>
          <w:rFonts w:ascii="SimSun" w:hAnsi="SimSun" w:eastAsia="SimSun" w:cs="SimSun"/>
          <w:sz w:val="23"/>
          <w:szCs w:val="23"/>
          <w:spacing w:val="9"/>
        </w:rPr>
        <w:t>、设置专人及时清理肉牛屠宰及分割产生的胃内容物、碎肉和碎骨等废弃</w:t>
      </w:r>
      <w:r>
        <w:rPr>
          <w:rFonts w:ascii="SimSun" w:hAnsi="SimSun" w:eastAsia="SimSun" w:cs="SimSun"/>
          <w:sz w:val="23"/>
          <w:szCs w:val="23"/>
        </w:rPr>
        <w:t xml:space="preserve"> </w:t>
      </w:r>
      <w:r>
        <w:rPr>
          <w:rFonts w:ascii="SimSun" w:hAnsi="SimSun" w:eastAsia="SimSun" w:cs="SimSun"/>
          <w:sz w:val="23"/>
          <w:szCs w:val="23"/>
          <w:spacing w:val="9"/>
        </w:rPr>
        <w:t>物，采用密闭桶装运输至固废暂存间暂存，交由资质单位处置，暂存时间&lt;8</w:t>
      </w:r>
      <w:r>
        <w:rPr>
          <w:rFonts w:ascii="Times New Roman" w:hAnsi="Times New Roman" w:eastAsia="Times New Roman" w:cs="Times New Roman"/>
          <w:sz w:val="23"/>
          <w:szCs w:val="23"/>
          <w:spacing w:val="9"/>
        </w:rPr>
        <w:t>h,</w:t>
      </w:r>
      <w:r>
        <w:rPr>
          <w:rFonts w:ascii="Times New Roman" w:hAnsi="Times New Roman" w:eastAsia="Times New Roman" w:cs="Times New Roman"/>
          <w:sz w:val="23"/>
          <w:szCs w:val="23"/>
        </w:rPr>
        <w:t xml:space="preserve">    </w:t>
      </w:r>
      <w:r>
        <w:rPr>
          <w:rFonts w:ascii="SimSun" w:hAnsi="SimSun" w:eastAsia="SimSun" w:cs="SimSun"/>
          <w:sz w:val="23"/>
          <w:szCs w:val="23"/>
          <w:spacing w:val="11"/>
        </w:rPr>
        <w:t>减少恶臭。</w:t>
      </w:r>
    </w:p>
    <w:p>
      <w:pPr>
        <w:ind w:right="68" w:firstLine="470"/>
        <w:spacing w:before="207" w:line="282" w:lineRule="auto"/>
        <w:rPr>
          <w:rFonts w:ascii="SimSun" w:hAnsi="SimSun" w:eastAsia="SimSun" w:cs="SimSun"/>
          <w:sz w:val="23"/>
          <w:szCs w:val="23"/>
        </w:rPr>
      </w:pPr>
      <w:r>
        <w:rPr>
          <w:rFonts w:ascii="Times New Roman" w:hAnsi="Times New Roman" w:eastAsia="Times New Roman" w:cs="Times New Roman"/>
          <w:sz w:val="23"/>
          <w:szCs w:val="23"/>
          <w:spacing w:val="10"/>
        </w:rPr>
        <w:t>e</w:t>
      </w:r>
      <w:r>
        <w:rPr>
          <w:rFonts w:ascii="Times New Roman" w:hAnsi="Times New Roman" w:eastAsia="Times New Roman" w:cs="Times New Roman"/>
          <w:sz w:val="23"/>
          <w:szCs w:val="23"/>
          <w:spacing w:val="-33"/>
        </w:rPr>
        <w:t xml:space="preserve"> </w:t>
      </w:r>
      <w:r>
        <w:rPr>
          <w:rFonts w:ascii="SimSun" w:hAnsi="SimSun" w:eastAsia="SimSun" w:cs="SimSun"/>
          <w:sz w:val="23"/>
          <w:szCs w:val="23"/>
          <w:spacing w:val="10"/>
        </w:rPr>
        <w:t>、刺杀刀具及时消毒，肉牛屠宰废物等及</w:t>
      </w:r>
      <w:r>
        <w:rPr>
          <w:rFonts w:ascii="SimSun" w:hAnsi="SimSun" w:eastAsia="SimSun" w:cs="SimSun"/>
          <w:sz w:val="23"/>
          <w:szCs w:val="23"/>
          <w:spacing w:val="9"/>
        </w:rPr>
        <w:t>时转运至固废暂存间分区暂存外</w:t>
      </w:r>
      <w:r>
        <w:rPr>
          <w:rFonts w:ascii="SimSun" w:hAnsi="SimSun" w:eastAsia="SimSun" w:cs="SimSun"/>
          <w:sz w:val="23"/>
          <w:szCs w:val="23"/>
        </w:rPr>
        <w:t xml:space="preserve"> </w:t>
      </w:r>
      <w:r>
        <w:rPr>
          <w:rFonts w:ascii="SimSun" w:hAnsi="SimSun" w:eastAsia="SimSun" w:cs="SimSun"/>
          <w:sz w:val="23"/>
          <w:szCs w:val="23"/>
          <w:spacing w:val="5"/>
        </w:rPr>
        <w:t>售，减少异味。</w:t>
      </w:r>
    </w:p>
    <w:p>
      <w:pPr>
        <w:ind w:left="473"/>
        <w:spacing w:before="201" w:line="217" w:lineRule="auto"/>
        <w:rPr>
          <w:rFonts w:ascii="SimSun" w:hAnsi="SimSun" w:eastAsia="SimSun" w:cs="SimSun"/>
          <w:sz w:val="23"/>
          <w:szCs w:val="23"/>
        </w:rPr>
      </w:pPr>
      <w:r>
        <w:rPr>
          <w:rFonts w:ascii="SimSun" w:hAnsi="SimSun" w:eastAsia="SimSun" w:cs="SimSun"/>
          <w:sz w:val="23"/>
          <w:szCs w:val="23"/>
          <w:b/>
          <w:bCs/>
          <w:spacing w:val="12"/>
        </w:rPr>
        <w:t>③排放情况</w:t>
      </w:r>
    </w:p>
    <w:p>
      <w:pPr>
        <w:ind w:right="195" w:firstLine="470"/>
        <w:spacing w:before="234" w:line="372" w:lineRule="auto"/>
        <w:rPr>
          <w:rFonts w:ascii="SimSun" w:hAnsi="SimSun" w:eastAsia="SimSun" w:cs="SimSun"/>
          <w:sz w:val="23"/>
          <w:szCs w:val="23"/>
        </w:rPr>
      </w:pPr>
      <w:r>
        <w:rPr>
          <w:rFonts w:ascii="SimSun" w:hAnsi="SimSun" w:eastAsia="SimSun" w:cs="SimSun"/>
          <w:sz w:val="23"/>
          <w:szCs w:val="23"/>
          <w:spacing w:val="10"/>
        </w:rPr>
        <w:t>肉牛待宰圈舍、屠宰车间恶臭采取密闭钢结构厂房，设置两道门</w:t>
      </w:r>
      <w:r>
        <w:rPr>
          <w:rFonts w:ascii="SimSun" w:hAnsi="SimSun" w:eastAsia="SimSun" w:cs="SimSun"/>
          <w:sz w:val="23"/>
          <w:szCs w:val="23"/>
          <w:spacing w:val="9"/>
        </w:rPr>
        <w:t>及负压抽</w:t>
      </w:r>
      <w:r>
        <w:rPr>
          <w:rFonts w:ascii="SimSun" w:hAnsi="SimSun" w:eastAsia="SimSun" w:cs="SimSun"/>
          <w:sz w:val="23"/>
          <w:szCs w:val="23"/>
        </w:rPr>
        <w:t xml:space="preserve"> </w:t>
      </w:r>
      <w:r>
        <w:rPr>
          <w:rFonts w:ascii="SimSun" w:hAnsi="SimSun" w:eastAsia="SimSun" w:cs="SimSun"/>
          <w:sz w:val="23"/>
          <w:szCs w:val="23"/>
          <w:spacing w:val="10"/>
        </w:rPr>
        <w:t>风，经负压集中收集处理后，肉牛待宰圈舍、屠宰车间</w:t>
      </w:r>
      <w:r>
        <w:rPr>
          <w:rFonts w:ascii="Times New Roman" w:hAnsi="Times New Roman" w:eastAsia="Times New Roman" w:cs="Times New Roman"/>
          <w:sz w:val="23"/>
          <w:szCs w:val="23"/>
        </w:rPr>
        <w:t>NH</w:t>
      </w:r>
      <w:r>
        <w:rPr>
          <w:rFonts w:ascii="Times New Roman" w:hAnsi="Times New Roman" w:eastAsia="Times New Roman" w:cs="Times New Roman"/>
          <w:sz w:val="23"/>
          <w:szCs w:val="23"/>
          <w:spacing w:val="10"/>
        </w:rPr>
        <w:t>₃</w:t>
      </w:r>
      <w:r>
        <w:rPr>
          <w:rFonts w:ascii="SimSun" w:hAnsi="SimSun" w:eastAsia="SimSun" w:cs="SimSun"/>
          <w:sz w:val="23"/>
          <w:szCs w:val="23"/>
          <w:spacing w:val="10"/>
        </w:rPr>
        <w:t>有组织排放量为</w:t>
      </w:r>
    </w:p>
    <w:p>
      <w:pPr>
        <w:spacing w:line="372" w:lineRule="auto"/>
        <w:sectPr>
          <w:headerReference w:type="default" r:id="rId5"/>
          <w:footerReference w:type="default" r:id="rId316"/>
          <w:pgSz w:w="11910" w:h="16840"/>
          <w:pgMar w:top="1219" w:right="1786" w:bottom="960" w:left="1779" w:header="865" w:footer="753" w:gutter="0"/>
        </w:sectPr>
        <w:rPr>
          <w:rFonts w:ascii="SimSun" w:hAnsi="SimSun" w:eastAsia="SimSun" w:cs="SimSun"/>
          <w:sz w:val="23"/>
          <w:szCs w:val="23"/>
        </w:rPr>
      </w:pPr>
    </w:p>
    <w:p>
      <w:pPr>
        <w:ind w:left="94"/>
        <w:spacing w:before="298" w:line="212" w:lineRule="auto"/>
        <w:rPr>
          <w:rFonts w:ascii="SimSun" w:hAnsi="SimSun" w:eastAsia="SimSun" w:cs="SimSun"/>
          <w:sz w:val="22"/>
          <w:szCs w:val="22"/>
        </w:rPr>
      </w:pPr>
      <w:r>
        <w:rPr>
          <w:rFonts w:ascii="Times New Roman" w:hAnsi="Times New Roman" w:eastAsia="Times New Roman" w:cs="Times New Roman"/>
          <w:sz w:val="22"/>
          <w:szCs w:val="22"/>
          <w:spacing w:val="5"/>
        </w:rPr>
        <w:t>0.0181t/a,H₂S     </w:t>
      </w:r>
      <w:r>
        <w:rPr>
          <w:rFonts w:ascii="SimSun" w:hAnsi="SimSun" w:eastAsia="SimSun" w:cs="SimSun"/>
          <w:sz w:val="22"/>
          <w:szCs w:val="22"/>
          <w:spacing w:val="5"/>
        </w:rPr>
        <w:t>有组织排放量</w:t>
      </w:r>
      <w:r>
        <w:rPr>
          <w:rFonts w:ascii="SimSun" w:hAnsi="SimSun" w:eastAsia="SimSun" w:cs="SimSun"/>
          <w:sz w:val="22"/>
          <w:szCs w:val="22"/>
          <w:spacing w:val="4"/>
        </w:rPr>
        <w:t>为0.0012</w:t>
      </w:r>
      <w:r>
        <w:rPr>
          <w:rFonts w:ascii="Times New Roman" w:hAnsi="Times New Roman" w:eastAsia="Times New Roman" w:cs="Times New Roman"/>
          <w:sz w:val="22"/>
          <w:szCs w:val="22"/>
          <w:spacing w:val="4"/>
        </w:rPr>
        <w:t>t/a</w:t>
      </w:r>
      <w:r>
        <w:rPr>
          <w:rFonts w:ascii="SimSun" w:hAnsi="SimSun" w:eastAsia="SimSun" w:cs="SimSun"/>
          <w:sz w:val="22"/>
          <w:szCs w:val="22"/>
          <w:spacing w:val="4"/>
        </w:rPr>
        <w:t>。</w:t>
      </w:r>
    </w:p>
    <w:p>
      <w:pPr>
        <w:ind w:left="94" w:right="177" w:firstLine="490"/>
        <w:spacing w:before="209" w:line="388" w:lineRule="auto"/>
        <w:jc w:val="both"/>
        <w:rPr>
          <w:rFonts w:ascii="SimSun" w:hAnsi="SimSun" w:eastAsia="SimSun" w:cs="SimSun"/>
          <w:sz w:val="22"/>
          <w:szCs w:val="22"/>
        </w:rPr>
      </w:pPr>
      <w:r>
        <w:rPr>
          <w:rFonts w:ascii="SimSun" w:hAnsi="SimSun" w:eastAsia="SimSun" w:cs="SimSun"/>
          <w:sz w:val="22"/>
          <w:szCs w:val="22"/>
          <w:spacing w:val="21"/>
        </w:rPr>
        <w:t>经采取以上措施后，本项目肉牛待宰圈舍、屠宰车间恶臭有5%未收集，肉</w:t>
      </w:r>
      <w:r>
        <w:rPr>
          <w:rFonts w:ascii="SimSun" w:hAnsi="SimSun" w:eastAsia="SimSun" w:cs="SimSun"/>
          <w:sz w:val="22"/>
          <w:szCs w:val="22"/>
          <w:spacing w:val="17"/>
        </w:rPr>
        <w:t xml:space="preserve"> </w:t>
      </w:r>
      <w:r>
        <w:rPr>
          <w:rFonts w:ascii="SimSun" w:hAnsi="SimSun" w:eastAsia="SimSun" w:cs="SimSun"/>
          <w:sz w:val="22"/>
          <w:szCs w:val="22"/>
          <w:spacing w:val="20"/>
        </w:rPr>
        <w:t>牛待宰圈舍、屠宰车间为密闭厂房且定期喷洒微生物除臭剂，喷洒微</w:t>
      </w:r>
      <w:r>
        <w:rPr>
          <w:rFonts w:ascii="SimSun" w:hAnsi="SimSun" w:eastAsia="SimSun" w:cs="SimSun"/>
          <w:sz w:val="22"/>
          <w:szCs w:val="22"/>
          <w:spacing w:val="19"/>
        </w:rPr>
        <w:t>生物除臭</w:t>
      </w:r>
      <w:r>
        <w:rPr>
          <w:rFonts w:ascii="SimSun" w:hAnsi="SimSun" w:eastAsia="SimSun" w:cs="SimSun"/>
          <w:sz w:val="22"/>
          <w:szCs w:val="22"/>
        </w:rPr>
        <w:t xml:space="preserve"> </w:t>
      </w:r>
      <w:r>
        <w:rPr>
          <w:rFonts w:ascii="SimSun" w:hAnsi="SimSun" w:eastAsia="SimSun" w:cs="SimSun"/>
          <w:sz w:val="22"/>
          <w:szCs w:val="22"/>
          <w:spacing w:val="20"/>
        </w:rPr>
        <w:t>剂对</w:t>
      </w:r>
      <w:r>
        <w:rPr>
          <w:rFonts w:ascii="Times New Roman" w:hAnsi="Times New Roman" w:eastAsia="Times New Roman" w:cs="Times New Roman"/>
          <w:sz w:val="22"/>
          <w:szCs w:val="22"/>
        </w:rPr>
        <w:t>NH</w:t>
      </w:r>
      <w:r>
        <w:rPr>
          <w:rFonts w:ascii="Times New Roman" w:hAnsi="Times New Roman" w:eastAsia="Times New Roman" w:cs="Times New Roman"/>
          <w:sz w:val="22"/>
          <w:szCs w:val="22"/>
          <w:spacing w:val="20"/>
        </w:rPr>
        <w:t>₃</w:t>
      </w:r>
      <w:r>
        <w:rPr>
          <w:rFonts w:ascii="Times New Roman" w:hAnsi="Times New Roman" w:eastAsia="Times New Roman" w:cs="Times New Roman"/>
          <w:sz w:val="22"/>
          <w:szCs w:val="22"/>
          <w:spacing w:val="-12"/>
        </w:rPr>
        <w:t xml:space="preserve"> </w:t>
      </w:r>
      <w:r>
        <w:rPr>
          <w:rFonts w:ascii="SimSun" w:hAnsi="SimSun" w:eastAsia="SimSun" w:cs="SimSun"/>
          <w:sz w:val="22"/>
          <w:szCs w:val="22"/>
          <w:spacing w:val="20"/>
        </w:rPr>
        <w:t>和</w:t>
      </w:r>
      <w:r>
        <w:rPr>
          <w:rFonts w:ascii="Times New Roman" w:hAnsi="Times New Roman" w:eastAsia="Times New Roman" w:cs="Times New Roman"/>
          <w:sz w:val="22"/>
          <w:szCs w:val="22"/>
          <w:spacing w:val="20"/>
        </w:rPr>
        <w:t>H₂S</w:t>
      </w:r>
      <w:r>
        <w:rPr>
          <w:rFonts w:ascii="SimSun" w:hAnsi="SimSun" w:eastAsia="SimSun" w:cs="SimSun"/>
          <w:sz w:val="22"/>
          <w:szCs w:val="22"/>
          <w:spacing w:val="20"/>
        </w:rPr>
        <w:t>的去除效率保守取50%计，肉牛</w:t>
      </w:r>
      <w:r>
        <w:rPr>
          <w:rFonts w:ascii="SimSun" w:hAnsi="SimSun" w:eastAsia="SimSun" w:cs="SimSun"/>
          <w:sz w:val="22"/>
          <w:szCs w:val="22"/>
          <w:spacing w:val="19"/>
        </w:rPr>
        <w:t>待宰圈舍、屠宰车间恶臭产生及</w:t>
      </w:r>
      <w:r>
        <w:rPr>
          <w:rFonts w:ascii="SimSun" w:hAnsi="SimSun" w:eastAsia="SimSun" w:cs="SimSun"/>
          <w:sz w:val="22"/>
          <w:szCs w:val="22"/>
        </w:rPr>
        <w:t xml:space="preserve"> </w:t>
      </w:r>
      <w:r>
        <w:rPr>
          <w:rFonts w:ascii="SimSun" w:hAnsi="SimSun" w:eastAsia="SimSun" w:cs="SimSun"/>
          <w:sz w:val="22"/>
          <w:szCs w:val="22"/>
          <w:spacing w:val="17"/>
        </w:rPr>
        <w:t>排放情况见下表。</w:t>
      </w:r>
    </w:p>
    <w:p>
      <w:pPr>
        <w:ind w:left="1008"/>
        <w:spacing w:before="1" w:line="206" w:lineRule="auto"/>
        <w:rPr>
          <w:rFonts w:ascii="SimSun" w:hAnsi="SimSun" w:eastAsia="SimSun" w:cs="SimSun"/>
          <w:sz w:val="24"/>
          <w:szCs w:val="24"/>
        </w:rPr>
      </w:pPr>
      <w:r>
        <w:rPr>
          <w:rFonts w:ascii="SimSun" w:hAnsi="SimSun" w:eastAsia="SimSun" w:cs="SimSun"/>
          <w:sz w:val="24"/>
          <w:szCs w:val="24"/>
          <w:b/>
          <w:bCs/>
          <w:spacing w:val="-3"/>
        </w:rPr>
        <w:t>表3.11-20肉牛待宰圈舍、屠宰车间恶臭产生及排放情况一览表</w:t>
      </w:r>
    </w:p>
    <w:tbl>
      <w:tblPr>
        <w:tblStyle w:val="TableNormal"/>
        <w:tblW w:w="8494" w:type="dxa"/>
        <w:tblInd w:w="1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44"/>
        <w:gridCol w:w="459"/>
        <w:gridCol w:w="480"/>
        <w:gridCol w:w="699"/>
        <w:gridCol w:w="619"/>
        <w:gridCol w:w="1368"/>
        <w:gridCol w:w="959"/>
        <w:gridCol w:w="1059"/>
        <w:gridCol w:w="1139"/>
        <w:gridCol w:w="679"/>
        <w:gridCol w:w="589"/>
      </w:tblGrid>
      <w:tr>
        <w:trPr>
          <w:trHeight w:val="544" w:hRule="atLeast"/>
        </w:trPr>
        <w:tc>
          <w:tcPr>
            <w:shd w:val="clear" w:fill="BDBDBD"/>
            <w:tcW w:w="444" w:type="dxa"/>
            <w:vAlign w:val="top"/>
          </w:tcPr>
          <w:p>
            <w:pPr>
              <w:pStyle w:val="TableText"/>
              <w:ind w:left="107" w:right="5" w:hanging="89"/>
              <w:spacing w:before="10" w:line="230" w:lineRule="auto"/>
              <w:rPr>
                <w:sz w:val="21"/>
                <w:szCs w:val="21"/>
              </w:rPr>
            </w:pPr>
            <w:r>
              <w:rPr>
                <w:sz w:val="21"/>
                <w:szCs w:val="21"/>
                <w:b/>
                <w:bCs/>
                <w:spacing w:val="-8"/>
              </w:rPr>
              <w:t>污染</w:t>
            </w:r>
            <w:r>
              <w:rPr>
                <w:sz w:val="21"/>
                <w:szCs w:val="21"/>
              </w:rPr>
              <w:t xml:space="preserve"> </w:t>
            </w:r>
            <w:r>
              <w:rPr>
                <w:sz w:val="21"/>
                <w:szCs w:val="21"/>
                <w:b/>
                <w:bCs/>
                <w:spacing w:val="-3"/>
              </w:rPr>
              <w:t>源</w:t>
            </w:r>
          </w:p>
        </w:tc>
        <w:tc>
          <w:tcPr>
            <w:shd w:val="clear" w:fill="BDBDBD"/>
            <w:tcW w:w="459" w:type="dxa"/>
            <w:vAlign w:val="top"/>
          </w:tcPr>
          <w:p>
            <w:pPr>
              <w:pStyle w:val="TableText"/>
              <w:ind w:left="13"/>
              <w:spacing w:before="171" w:line="220" w:lineRule="auto"/>
              <w:rPr>
                <w:sz w:val="21"/>
                <w:szCs w:val="21"/>
              </w:rPr>
            </w:pPr>
            <w:r>
              <w:rPr>
                <w:sz w:val="21"/>
                <w:szCs w:val="21"/>
                <w:b/>
                <w:bCs/>
                <w:spacing w:val="1"/>
              </w:rPr>
              <w:t>时期</w:t>
            </w:r>
          </w:p>
        </w:tc>
        <w:tc>
          <w:tcPr>
            <w:shd w:val="clear" w:fill="BDBDBD"/>
            <w:tcW w:w="480" w:type="dxa"/>
            <w:vAlign w:val="top"/>
          </w:tcPr>
          <w:p>
            <w:pPr>
              <w:pStyle w:val="TableText"/>
              <w:ind w:left="124" w:right="34" w:hanging="100"/>
              <w:spacing w:before="40" w:line="217" w:lineRule="auto"/>
              <w:rPr>
                <w:sz w:val="21"/>
                <w:szCs w:val="21"/>
              </w:rPr>
            </w:pPr>
            <w:r>
              <w:rPr>
                <w:sz w:val="21"/>
                <w:szCs w:val="21"/>
                <w:b/>
                <w:bCs/>
                <w:spacing w:val="-8"/>
              </w:rPr>
              <w:t>污染</w:t>
            </w:r>
            <w:r>
              <w:rPr>
                <w:sz w:val="21"/>
                <w:szCs w:val="21"/>
              </w:rPr>
              <w:t xml:space="preserve"> </w:t>
            </w:r>
            <w:r>
              <w:rPr>
                <w:sz w:val="21"/>
                <w:szCs w:val="21"/>
                <w:b/>
                <w:bCs/>
                <w:spacing w:val="-3"/>
              </w:rPr>
              <w:t>物</w:t>
            </w:r>
          </w:p>
        </w:tc>
        <w:tc>
          <w:tcPr>
            <w:shd w:val="clear" w:fill="BDBDBD"/>
            <w:tcW w:w="699" w:type="dxa"/>
            <w:vAlign w:val="top"/>
          </w:tcPr>
          <w:p>
            <w:pPr>
              <w:pStyle w:val="TableText"/>
              <w:ind w:left="25" w:right="42"/>
              <w:spacing w:before="41" w:line="209" w:lineRule="auto"/>
              <w:rPr>
                <w:sz w:val="21"/>
                <w:szCs w:val="21"/>
              </w:rPr>
            </w:pPr>
            <w:r>
              <w:rPr>
                <w:sz w:val="21"/>
                <w:szCs w:val="21"/>
                <w:b/>
                <w:bCs/>
                <w:spacing w:val="-5"/>
              </w:rPr>
              <w:t>产生速</w:t>
            </w:r>
            <w:r>
              <w:rPr>
                <w:sz w:val="21"/>
                <w:szCs w:val="21"/>
              </w:rPr>
              <w:t xml:space="preserve"> </w:t>
            </w:r>
            <w:r>
              <w:rPr>
                <w:sz w:val="21"/>
                <w:szCs w:val="21"/>
                <w:b/>
                <w:bCs/>
                <w:spacing w:val="-4"/>
              </w:rPr>
              <w:t>率kg/h</w:t>
            </w:r>
          </w:p>
        </w:tc>
        <w:tc>
          <w:tcPr>
            <w:shd w:val="clear" w:fill="BDBDBD"/>
            <w:tcW w:w="619" w:type="dxa"/>
            <w:vAlign w:val="top"/>
          </w:tcPr>
          <w:p>
            <w:pPr>
              <w:pStyle w:val="TableText"/>
              <w:ind w:left="25" w:right="66" w:firstLine="30"/>
              <w:spacing w:before="40" w:line="217" w:lineRule="auto"/>
              <w:rPr>
                <w:sz w:val="21"/>
                <w:szCs w:val="21"/>
              </w:rPr>
            </w:pPr>
            <w:r>
              <w:rPr>
                <w:sz w:val="21"/>
                <w:szCs w:val="21"/>
                <w:b/>
                <w:bCs/>
                <w:spacing w:val="-7"/>
              </w:rPr>
              <w:t>产生</w:t>
            </w:r>
            <w:r>
              <w:rPr>
                <w:sz w:val="21"/>
                <w:szCs w:val="21"/>
              </w:rPr>
              <w:t xml:space="preserve"> </w:t>
            </w:r>
            <w:r>
              <w:rPr>
                <w:sz w:val="21"/>
                <w:szCs w:val="21"/>
                <w:b/>
                <w:bCs/>
                <w:spacing w:val="-5"/>
              </w:rPr>
              <w:t>量t/a</w:t>
            </w:r>
          </w:p>
        </w:tc>
        <w:tc>
          <w:tcPr>
            <w:shd w:val="clear" w:fill="BDBDBD"/>
            <w:tcW w:w="2327" w:type="dxa"/>
            <w:vAlign w:val="top"/>
            <w:gridSpan w:val="2"/>
          </w:tcPr>
          <w:p>
            <w:pPr>
              <w:pStyle w:val="TableText"/>
              <w:ind w:left="716"/>
              <w:spacing w:before="169" w:line="219" w:lineRule="auto"/>
              <w:rPr>
                <w:sz w:val="21"/>
                <w:szCs w:val="21"/>
              </w:rPr>
            </w:pPr>
            <w:r>
              <w:rPr>
                <w:sz w:val="21"/>
                <w:szCs w:val="21"/>
                <w:b/>
                <w:bCs/>
                <w:spacing w:val="-4"/>
              </w:rPr>
              <w:t>采取措施</w:t>
            </w:r>
          </w:p>
        </w:tc>
        <w:tc>
          <w:tcPr>
            <w:shd w:val="clear" w:fill="BDBDBD"/>
            <w:tcW w:w="1059" w:type="dxa"/>
            <w:vAlign w:val="top"/>
          </w:tcPr>
          <w:p>
            <w:pPr>
              <w:pStyle w:val="TableText"/>
              <w:spacing w:before="60" w:line="193" w:lineRule="auto"/>
              <w:jc w:val="right"/>
              <w:rPr>
                <w:sz w:val="21"/>
                <w:szCs w:val="21"/>
              </w:rPr>
            </w:pPr>
            <w:r>
              <w:rPr>
                <w:sz w:val="21"/>
                <w:szCs w:val="21"/>
                <w:b/>
                <w:bCs/>
                <w:spacing w:val="-7"/>
              </w:rPr>
              <w:t>臭气收集效</w:t>
            </w:r>
          </w:p>
          <w:p>
            <w:pPr>
              <w:pStyle w:val="TableText"/>
              <w:ind w:left="259"/>
              <w:spacing w:line="219" w:lineRule="auto"/>
              <w:rPr>
                <w:sz w:val="21"/>
                <w:szCs w:val="21"/>
              </w:rPr>
            </w:pPr>
            <w:r>
              <w:rPr>
                <w:sz w:val="21"/>
                <w:szCs w:val="21"/>
                <w:b/>
                <w:bCs/>
                <w:spacing w:val="9"/>
              </w:rPr>
              <w:t>率(%)</w:t>
            </w:r>
          </w:p>
        </w:tc>
        <w:tc>
          <w:tcPr>
            <w:shd w:val="clear" w:fill="BDBDBD"/>
            <w:tcW w:w="1139" w:type="dxa"/>
            <w:vAlign w:val="top"/>
          </w:tcPr>
          <w:p>
            <w:pPr>
              <w:pStyle w:val="TableText"/>
              <w:ind w:left="40"/>
              <w:spacing w:before="70" w:line="202" w:lineRule="auto"/>
              <w:rPr>
                <w:sz w:val="21"/>
                <w:szCs w:val="21"/>
              </w:rPr>
            </w:pPr>
            <w:r>
              <w:rPr>
                <w:sz w:val="21"/>
                <w:szCs w:val="21"/>
                <w:b/>
                <w:bCs/>
                <w:spacing w:val="-4"/>
              </w:rPr>
              <w:t>臭气去除效</w:t>
            </w:r>
          </w:p>
          <w:p>
            <w:pPr>
              <w:pStyle w:val="TableText"/>
              <w:ind w:left="300"/>
              <w:spacing w:line="205" w:lineRule="auto"/>
              <w:rPr>
                <w:sz w:val="21"/>
                <w:szCs w:val="21"/>
              </w:rPr>
            </w:pPr>
            <w:r>
              <w:rPr>
                <w:sz w:val="21"/>
                <w:szCs w:val="21"/>
                <w:b/>
                <w:bCs/>
                <w:spacing w:val="9"/>
              </w:rPr>
              <w:t>率(%)</w:t>
            </w:r>
          </w:p>
        </w:tc>
        <w:tc>
          <w:tcPr>
            <w:shd w:val="clear" w:fill="BDBDBD"/>
            <w:tcW w:w="679" w:type="dxa"/>
            <w:vAlign w:val="top"/>
          </w:tcPr>
          <w:p>
            <w:pPr>
              <w:pStyle w:val="TableText"/>
              <w:ind w:left="21" w:right="25"/>
              <w:spacing w:before="41" w:line="209" w:lineRule="auto"/>
              <w:rPr>
                <w:sz w:val="21"/>
                <w:szCs w:val="21"/>
              </w:rPr>
            </w:pPr>
            <w:r>
              <w:rPr>
                <w:sz w:val="21"/>
                <w:szCs w:val="21"/>
                <w:b/>
                <w:bCs/>
                <w:spacing w:val="-5"/>
              </w:rPr>
              <w:t>排放速</w:t>
            </w:r>
            <w:r>
              <w:rPr>
                <w:sz w:val="21"/>
                <w:szCs w:val="21"/>
              </w:rPr>
              <w:t xml:space="preserve"> </w:t>
            </w:r>
            <w:r>
              <w:rPr>
                <w:sz w:val="21"/>
                <w:szCs w:val="21"/>
                <w:b/>
                <w:bCs/>
                <w:spacing w:val="-4"/>
              </w:rPr>
              <w:t>率kg/h</w:t>
            </w:r>
          </w:p>
        </w:tc>
        <w:tc>
          <w:tcPr>
            <w:shd w:val="clear" w:fill="BDBDBD"/>
            <w:tcW w:w="589" w:type="dxa"/>
            <w:vAlign w:val="top"/>
          </w:tcPr>
          <w:p>
            <w:pPr>
              <w:pStyle w:val="TableText"/>
              <w:ind w:left="42" w:right="19" w:firstLine="10"/>
              <w:spacing w:before="13" w:line="229" w:lineRule="auto"/>
              <w:rPr>
                <w:sz w:val="21"/>
                <w:szCs w:val="21"/>
              </w:rPr>
            </w:pPr>
            <w:r>
              <w:rPr>
                <w:sz w:val="21"/>
                <w:szCs w:val="21"/>
                <w:b/>
                <w:bCs/>
                <w:spacing w:val="-7"/>
              </w:rPr>
              <w:t>排放</w:t>
            </w:r>
            <w:r>
              <w:rPr>
                <w:sz w:val="21"/>
                <w:szCs w:val="21"/>
              </w:rPr>
              <w:t xml:space="preserve">  </w:t>
            </w:r>
            <w:r>
              <w:rPr>
                <w:sz w:val="21"/>
                <w:szCs w:val="21"/>
                <w:b/>
                <w:bCs/>
                <w:spacing w:val="-5"/>
              </w:rPr>
              <w:t>量t/a</w:t>
            </w:r>
          </w:p>
        </w:tc>
      </w:tr>
      <w:tr>
        <w:trPr>
          <w:trHeight w:val="250" w:hRule="atLeast"/>
        </w:trPr>
        <w:tc>
          <w:tcPr>
            <w:tcW w:w="444" w:type="dxa"/>
            <w:vAlign w:val="top"/>
            <w:vMerge w:val="restart"/>
            <w:tcBorders>
              <w:bottom w:val="nil"/>
            </w:tcBorders>
          </w:tcPr>
          <w:p>
            <w:pPr>
              <w:pStyle w:val="TableText"/>
              <w:spacing w:before="120" w:line="221" w:lineRule="auto"/>
              <w:jc w:val="right"/>
              <w:rPr>
                <w:sz w:val="21"/>
                <w:szCs w:val="21"/>
              </w:rPr>
            </w:pPr>
            <w:r>
              <w:rPr>
                <w:sz w:val="21"/>
                <w:szCs w:val="21"/>
                <w:spacing w:val="-1"/>
              </w:rPr>
              <w:t>肉牛</w:t>
            </w:r>
          </w:p>
          <w:p>
            <w:pPr>
              <w:pStyle w:val="TableText"/>
              <w:spacing w:before="17" w:line="219" w:lineRule="auto"/>
              <w:jc w:val="right"/>
              <w:rPr>
                <w:sz w:val="21"/>
                <w:szCs w:val="21"/>
              </w:rPr>
            </w:pPr>
            <w:r>
              <w:rPr>
                <w:sz w:val="21"/>
                <w:szCs w:val="21"/>
                <w:spacing w:val="-1"/>
              </w:rPr>
              <w:t>待宰</w:t>
            </w:r>
          </w:p>
          <w:p>
            <w:pPr>
              <w:pStyle w:val="TableText"/>
              <w:spacing w:before="1" w:line="221" w:lineRule="auto"/>
              <w:jc w:val="right"/>
              <w:rPr>
                <w:sz w:val="21"/>
                <w:szCs w:val="21"/>
              </w:rPr>
            </w:pPr>
            <w:r>
              <w:rPr>
                <w:sz w:val="21"/>
                <w:szCs w:val="21"/>
                <w:spacing w:val="-1"/>
              </w:rPr>
              <w:t>圈舍</w:t>
            </w:r>
          </w:p>
        </w:tc>
        <w:tc>
          <w:tcPr>
            <w:tcW w:w="459" w:type="dxa"/>
            <w:vAlign w:val="top"/>
            <w:vMerge w:val="restart"/>
            <w:tcBorders>
              <w:bottom w:val="nil"/>
            </w:tcBorders>
          </w:tcPr>
          <w:p>
            <w:pPr>
              <w:pStyle w:val="TableText"/>
              <w:ind w:left="10"/>
              <w:spacing w:before="148" w:line="219" w:lineRule="auto"/>
              <w:rPr>
                <w:sz w:val="21"/>
                <w:szCs w:val="21"/>
              </w:rPr>
            </w:pPr>
            <w:r>
              <w:rPr>
                <w:sz w:val="21"/>
                <w:szCs w:val="21"/>
                <w:spacing w:val="4"/>
              </w:rPr>
              <w:t>淡季</w:t>
            </w:r>
          </w:p>
        </w:tc>
        <w:tc>
          <w:tcPr>
            <w:tcW w:w="480" w:type="dxa"/>
            <w:vAlign w:val="top"/>
          </w:tcPr>
          <w:p>
            <w:pPr>
              <w:pStyle w:val="TableText"/>
              <w:ind w:left="21"/>
              <w:spacing w:before="53" w:line="164"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699" w:type="dxa"/>
            <w:vAlign w:val="top"/>
          </w:tcPr>
          <w:p>
            <w:pPr>
              <w:pStyle w:val="TableText"/>
              <w:ind w:left="71"/>
              <w:spacing w:before="40" w:line="175" w:lineRule="auto"/>
              <w:rPr>
                <w:sz w:val="21"/>
                <w:szCs w:val="21"/>
              </w:rPr>
            </w:pPr>
            <w:r>
              <w:rPr>
                <w:sz w:val="21"/>
                <w:szCs w:val="21"/>
                <w:color w:val="A0A070"/>
                <w:spacing w:val="-2"/>
              </w:rPr>
              <w:t>0.053</w:t>
            </w:r>
          </w:p>
        </w:tc>
        <w:tc>
          <w:tcPr>
            <w:tcW w:w="619" w:type="dxa"/>
            <w:vAlign w:val="top"/>
          </w:tcPr>
          <w:p>
            <w:pPr>
              <w:pStyle w:val="TableText"/>
              <w:spacing w:before="40" w:line="175" w:lineRule="auto"/>
              <w:jc w:val="right"/>
              <w:rPr>
                <w:sz w:val="21"/>
                <w:szCs w:val="21"/>
              </w:rPr>
            </w:pPr>
            <w:r>
              <w:rPr>
                <w:sz w:val="21"/>
                <w:szCs w:val="21"/>
                <w:spacing w:val="-6"/>
              </w:rPr>
              <w:t>0.1717</w:t>
            </w:r>
          </w:p>
        </w:tc>
        <w:tc>
          <w:tcPr>
            <w:tcW w:w="1368" w:type="dxa"/>
            <w:vAlign w:val="top"/>
            <w:vMerge w:val="restart"/>
            <w:tcBorders>
              <w:bottom w:val="nil"/>
            </w:tcBorders>
          </w:tcPr>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spacing w:before="68" w:line="218" w:lineRule="auto"/>
              <w:jc w:val="right"/>
              <w:rPr>
                <w:sz w:val="21"/>
                <w:szCs w:val="21"/>
              </w:rPr>
            </w:pPr>
            <w:r>
              <w:rPr>
                <w:sz w:val="21"/>
                <w:szCs w:val="21"/>
                <w:spacing w:val="-4"/>
              </w:rPr>
              <w:t>负压收集+喷淋</w:t>
            </w:r>
          </w:p>
          <w:p>
            <w:pPr>
              <w:pStyle w:val="TableText"/>
              <w:ind w:left="153"/>
              <w:spacing w:before="22" w:line="219" w:lineRule="auto"/>
              <w:rPr>
                <w:sz w:val="21"/>
                <w:szCs w:val="21"/>
              </w:rPr>
            </w:pPr>
            <w:r>
              <w:rPr>
                <w:sz w:val="21"/>
                <w:szCs w:val="21"/>
                <w:spacing w:val="-2"/>
              </w:rPr>
              <w:t>+UV光氧+活</w:t>
            </w:r>
          </w:p>
          <w:p>
            <w:pPr>
              <w:pStyle w:val="TableText"/>
              <w:ind w:left="44"/>
              <w:spacing w:before="20" w:line="219" w:lineRule="auto"/>
              <w:rPr>
                <w:sz w:val="21"/>
                <w:szCs w:val="21"/>
              </w:rPr>
            </w:pPr>
            <w:r>
              <w:rPr>
                <w:sz w:val="21"/>
                <w:szCs w:val="21"/>
                <w:spacing w:val="-2"/>
              </w:rPr>
              <w:t>性炭吸附装置</w:t>
            </w:r>
          </w:p>
          <w:p>
            <w:pPr>
              <w:pStyle w:val="TableText"/>
              <w:ind w:left="304"/>
              <w:spacing w:before="25" w:line="222" w:lineRule="auto"/>
              <w:rPr>
                <w:sz w:val="21"/>
                <w:szCs w:val="21"/>
              </w:rPr>
            </w:pPr>
            <w:r>
              <w:rPr>
                <w:sz w:val="21"/>
                <w:szCs w:val="21"/>
                <w:spacing w:val="-6"/>
              </w:rPr>
              <w:t>(TA003)</w:t>
            </w:r>
          </w:p>
        </w:tc>
        <w:tc>
          <w:tcPr>
            <w:tcW w:w="959" w:type="dxa"/>
            <w:vAlign w:val="top"/>
            <w:vMerge w:val="restart"/>
            <w:tcBorders>
              <w:bottom w:val="nil"/>
            </w:tcBorders>
          </w:tcPr>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spacing w:line="294" w:lineRule="auto"/>
              <w:rPr>
                <w:rFonts w:ascii="Arial"/>
                <w:sz w:val="21"/>
              </w:rPr>
            </w:pPr>
            <w:r/>
          </w:p>
          <w:p>
            <w:pPr>
              <w:pStyle w:val="TableText"/>
              <w:ind w:left="105" w:right="149" w:firstLine="100"/>
              <w:spacing w:before="69" w:line="232" w:lineRule="auto"/>
              <w:jc w:val="both"/>
              <w:rPr>
                <w:sz w:val="21"/>
                <w:szCs w:val="21"/>
              </w:rPr>
            </w:pPr>
            <w:r>
              <w:rPr>
                <w:sz w:val="21"/>
                <w:szCs w:val="21"/>
                <w:spacing w:val="3"/>
              </w:rPr>
              <w:t>15m高</w:t>
            </w:r>
            <w:r>
              <w:rPr>
                <w:sz w:val="21"/>
                <w:szCs w:val="21"/>
                <w:spacing w:val="1"/>
              </w:rPr>
              <w:t xml:space="preserve"> </w:t>
            </w:r>
            <w:r>
              <w:rPr>
                <w:sz w:val="21"/>
                <w:szCs w:val="21"/>
                <w:spacing w:val="21"/>
              </w:rPr>
              <w:t>排气筒</w:t>
            </w:r>
            <w:r>
              <w:rPr>
                <w:sz w:val="21"/>
                <w:szCs w:val="21"/>
              </w:rPr>
              <w:t xml:space="preserve"> </w:t>
            </w:r>
            <w:r>
              <w:rPr>
                <w:sz w:val="21"/>
                <w:szCs w:val="21"/>
                <w:spacing w:val="-7"/>
              </w:rPr>
              <w:t>(DA003)</w:t>
            </w:r>
          </w:p>
          <w:p>
            <w:pPr>
              <w:pStyle w:val="TableText"/>
              <w:ind w:left="266"/>
              <w:spacing w:line="220" w:lineRule="auto"/>
              <w:rPr>
                <w:sz w:val="21"/>
                <w:szCs w:val="21"/>
              </w:rPr>
            </w:pPr>
            <w:r>
              <w:rPr>
                <w:sz w:val="21"/>
                <w:szCs w:val="21"/>
                <w:color w:val="404040"/>
                <w:spacing w:val="-3"/>
              </w:rPr>
              <w:t>排放</w:t>
            </w:r>
          </w:p>
        </w:tc>
        <w:tc>
          <w:tcPr>
            <w:tcW w:w="1059" w:type="dxa"/>
            <w:vAlign w:val="top"/>
          </w:tcPr>
          <w:p>
            <w:pPr>
              <w:pStyle w:val="TableText"/>
              <w:ind w:left="417"/>
              <w:spacing w:before="40" w:line="175" w:lineRule="auto"/>
              <w:rPr>
                <w:sz w:val="21"/>
                <w:szCs w:val="21"/>
              </w:rPr>
            </w:pPr>
            <w:r>
              <w:rPr>
                <w:sz w:val="21"/>
                <w:szCs w:val="21"/>
                <w:spacing w:val="-3"/>
              </w:rPr>
              <w:t>95</w:t>
            </w:r>
          </w:p>
        </w:tc>
        <w:tc>
          <w:tcPr>
            <w:tcW w:w="1139" w:type="dxa"/>
            <w:vAlign w:val="top"/>
          </w:tcPr>
          <w:p>
            <w:pPr>
              <w:pStyle w:val="TableText"/>
              <w:ind w:left="458"/>
              <w:spacing w:before="40" w:line="175" w:lineRule="auto"/>
              <w:rPr>
                <w:sz w:val="21"/>
                <w:szCs w:val="21"/>
              </w:rPr>
            </w:pPr>
            <w:r>
              <w:rPr>
                <w:sz w:val="21"/>
                <w:szCs w:val="21"/>
                <w:spacing w:val="-3"/>
              </w:rPr>
              <w:t>95</w:t>
            </w:r>
          </w:p>
        </w:tc>
        <w:tc>
          <w:tcPr>
            <w:tcW w:w="679" w:type="dxa"/>
            <w:vAlign w:val="top"/>
          </w:tcPr>
          <w:p>
            <w:pPr>
              <w:pStyle w:val="TableText"/>
              <w:spacing w:before="22" w:line="191" w:lineRule="auto"/>
              <w:jc w:val="right"/>
              <w:rPr>
                <w:sz w:val="21"/>
                <w:szCs w:val="21"/>
              </w:rPr>
            </w:pPr>
            <w:r>
              <w:rPr>
                <w:sz w:val="21"/>
                <w:szCs w:val="21"/>
                <w:spacing w:val="-14"/>
              </w:rPr>
              <w:t>0.0</w:t>
            </w:r>
            <w:r>
              <w:rPr>
                <w:sz w:val="21"/>
                <w:szCs w:val="21"/>
                <w:spacing w:val="-13"/>
              </w:rPr>
              <w:t>025</w:t>
            </w:r>
            <w:r>
              <w:rPr>
                <w:sz w:val="21"/>
                <w:szCs w:val="21"/>
                <w:spacing w:val="-10"/>
              </w:rPr>
              <w:t>(</w:t>
            </w:r>
          </w:p>
        </w:tc>
        <w:tc>
          <w:tcPr>
            <w:tcW w:w="589" w:type="dxa"/>
            <w:vAlign w:val="top"/>
          </w:tcPr>
          <w:p>
            <w:pPr>
              <w:pStyle w:val="TableText"/>
              <w:spacing w:before="40" w:line="175" w:lineRule="auto"/>
              <w:jc w:val="right"/>
              <w:rPr>
                <w:sz w:val="21"/>
                <w:szCs w:val="21"/>
              </w:rPr>
            </w:pPr>
            <w:r>
              <w:rPr>
                <w:sz w:val="21"/>
                <w:szCs w:val="21"/>
                <w:color w:val="505060"/>
                <w:spacing w:val="-12"/>
              </w:rPr>
              <w:t>0.0082</w:t>
            </w:r>
          </w:p>
        </w:tc>
      </w:tr>
      <w:tr>
        <w:trPr>
          <w:trHeight w:val="239" w:hRule="atLeast"/>
        </w:trPr>
        <w:tc>
          <w:tcPr>
            <w:tcW w:w="444" w:type="dxa"/>
            <w:vAlign w:val="top"/>
            <w:vMerge w:val="continue"/>
            <w:tcBorders>
              <w:top w:val="nil"/>
              <w:bottom w:val="nil"/>
            </w:tcBorders>
          </w:tcPr>
          <w:p>
            <w:pPr>
              <w:rPr>
                <w:rFonts w:ascii="Arial"/>
                <w:sz w:val="21"/>
              </w:rPr>
            </w:pPr>
            <w:r/>
          </w:p>
        </w:tc>
        <w:tc>
          <w:tcPr>
            <w:tcW w:w="459" w:type="dxa"/>
            <w:vAlign w:val="top"/>
            <w:vMerge w:val="continue"/>
            <w:tcBorders>
              <w:top w:val="nil"/>
            </w:tcBorders>
          </w:tcPr>
          <w:p>
            <w:pPr>
              <w:rPr>
                <w:rFonts w:ascii="Arial"/>
                <w:sz w:val="21"/>
              </w:rPr>
            </w:pPr>
            <w:r/>
          </w:p>
        </w:tc>
        <w:tc>
          <w:tcPr>
            <w:tcW w:w="480" w:type="dxa"/>
            <w:vAlign w:val="top"/>
          </w:tcPr>
          <w:p>
            <w:pPr>
              <w:pStyle w:val="TableText"/>
              <w:ind w:left="21"/>
              <w:spacing w:before="53" w:line="176" w:lineRule="exact"/>
              <w:rPr>
                <w:sz w:val="21"/>
                <w:szCs w:val="21"/>
              </w:rPr>
            </w:pPr>
            <w:r>
              <w:rPr>
                <w:sz w:val="21"/>
                <w:szCs w:val="21"/>
                <w:spacing w:val="-2"/>
                <w:position w:val="-1"/>
              </w:rPr>
              <w:t>H</w:t>
            </w:r>
            <w:r>
              <w:rPr>
                <w:rFonts w:ascii="Calibri" w:hAnsi="Calibri" w:eastAsia="Calibri" w:cs="Calibri"/>
                <w:sz w:val="21"/>
                <w:szCs w:val="21"/>
                <w:spacing w:val="-2"/>
                <w:position w:val="-1"/>
              </w:rPr>
              <w:t>₂</w:t>
            </w:r>
            <w:r>
              <w:rPr>
                <w:sz w:val="21"/>
                <w:szCs w:val="21"/>
                <w:spacing w:val="-2"/>
                <w:position w:val="-1"/>
              </w:rPr>
              <w:t>S</w:t>
            </w:r>
          </w:p>
        </w:tc>
        <w:tc>
          <w:tcPr>
            <w:tcW w:w="699" w:type="dxa"/>
            <w:vAlign w:val="top"/>
          </w:tcPr>
          <w:p>
            <w:pPr>
              <w:pStyle w:val="TableText"/>
              <w:ind w:left="22"/>
              <w:spacing w:before="40" w:line="166" w:lineRule="auto"/>
              <w:rPr>
                <w:sz w:val="21"/>
                <w:szCs w:val="21"/>
              </w:rPr>
            </w:pPr>
            <w:r>
              <w:rPr>
                <w:sz w:val="21"/>
                <w:szCs w:val="21"/>
                <w:spacing w:val="-2"/>
              </w:rPr>
              <w:t>0.0034</w:t>
            </w:r>
          </w:p>
        </w:tc>
        <w:tc>
          <w:tcPr>
            <w:tcW w:w="619" w:type="dxa"/>
            <w:vAlign w:val="top"/>
          </w:tcPr>
          <w:p>
            <w:pPr>
              <w:pStyle w:val="TableText"/>
              <w:ind w:left="12"/>
              <w:spacing w:before="40" w:line="166" w:lineRule="auto"/>
              <w:rPr>
                <w:sz w:val="21"/>
                <w:szCs w:val="21"/>
              </w:rPr>
            </w:pPr>
            <w:r>
              <w:rPr>
                <w:sz w:val="21"/>
                <w:szCs w:val="21"/>
                <w:spacing w:val="-2"/>
              </w:rPr>
              <w:t>0.011</w:t>
            </w:r>
          </w:p>
        </w:tc>
        <w:tc>
          <w:tcPr>
            <w:tcW w:w="136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17"/>
              <w:spacing w:before="40" w:line="166" w:lineRule="auto"/>
              <w:rPr>
                <w:sz w:val="21"/>
                <w:szCs w:val="21"/>
              </w:rPr>
            </w:pPr>
            <w:r>
              <w:rPr>
                <w:sz w:val="21"/>
                <w:szCs w:val="21"/>
                <w:spacing w:val="-3"/>
              </w:rPr>
              <w:t>95</w:t>
            </w:r>
          </w:p>
        </w:tc>
        <w:tc>
          <w:tcPr>
            <w:tcW w:w="1139" w:type="dxa"/>
            <w:vAlign w:val="top"/>
          </w:tcPr>
          <w:p>
            <w:pPr>
              <w:pStyle w:val="TableText"/>
              <w:ind w:left="458"/>
              <w:spacing w:before="40" w:line="166" w:lineRule="auto"/>
              <w:rPr>
                <w:sz w:val="21"/>
                <w:szCs w:val="21"/>
              </w:rPr>
            </w:pPr>
            <w:r>
              <w:rPr>
                <w:sz w:val="21"/>
                <w:szCs w:val="21"/>
                <w:spacing w:val="-3"/>
              </w:rPr>
              <w:t>95</w:t>
            </w:r>
          </w:p>
        </w:tc>
        <w:tc>
          <w:tcPr>
            <w:tcW w:w="679" w:type="dxa"/>
            <w:vAlign w:val="top"/>
          </w:tcPr>
          <w:p>
            <w:pPr>
              <w:pStyle w:val="TableText"/>
              <w:ind w:left="18"/>
              <w:spacing w:before="40" w:line="166" w:lineRule="auto"/>
              <w:rPr>
                <w:sz w:val="21"/>
                <w:szCs w:val="21"/>
              </w:rPr>
            </w:pPr>
            <w:r>
              <w:rPr>
                <w:sz w:val="21"/>
                <w:szCs w:val="21"/>
                <w:spacing w:val="-2"/>
              </w:rPr>
              <w:t>0.0002</w:t>
            </w:r>
          </w:p>
        </w:tc>
        <w:tc>
          <w:tcPr>
            <w:tcW w:w="589" w:type="dxa"/>
            <w:vAlign w:val="top"/>
          </w:tcPr>
          <w:p>
            <w:pPr>
              <w:pStyle w:val="TableText"/>
              <w:spacing w:before="40" w:line="166" w:lineRule="auto"/>
              <w:jc w:val="right"/>
              <w:rPr>
                <w:sz w:val="21"/>
                <w:szCs w:val="21"/>
              </w:rPr>
            </w:pPr>
            <w:r>
              <w:rPr>
                <w:sz w:val="21"/>
                <w:szCs w:val="21"/>
                <w:color w:val="303040"/>
                <w:spacing w:val="-12"/>
              </w:rPr>
              <w:t>0.0005</w:t>
            </w:r>
          </w:p>
        </w:tc>
      </w:tr>
      <w:tr>
        <w:trPr>
          <w:trHeight w:val="230" w:hRule="atLeast"/>
        </w:trPr>
        <w:tc>
          <w:tcPr>
            <w:tcW w:w="444" w:type="dxa"/>
            <w:vAlign w:val="top"/>
            <w:vMerge w:val="continue"/>
            <w:tcBorders>
              <w:top w:val="nil"/>
              <w:bottom w:val="nil"/>
            </w:tcBorders>
          </w:tcPr>
          <w:p>
            <w:pPr>
              <w:rPr>
                <w:rFonts w:ascii="Arial"/>
                <w:sz w:val="21"/>
              </w:rPr>
            </w:pPr>
            <w:r/>
          </w:p>
        </w:tc>
        <w:tc>
          <w:tcPr>
            <w:tcW w:w="459" w:type="dxa"/>
            <w:vAlign w:val="top"/>
            <w:vMerge w:val="restart"/>
            <w:tcBorders>
              <w:bottom w:val="nil"/>
            </w:tcBorders>
          </w:tcPr>
          <w:p>
            <w:pPr>
              <w:pStyle w:val="TableText"/>
              <w:ind w:left="10"/>
              <w:spacing w:before="140" w:line="219" w:lineRule="auto"/>
              <w:rPr>
                <w:sz w:val="21"/>
                <w:szCs w:val="21"/>
              </w:rPr>
            </w:pPr>
            <w:r>
              <w:rPr>
                <w:sz w:val="21"/>
                <w:szCs w:val="21"/>
                <w:spacing w:val="4"/>
              </w:rPr>
              <w:t>旺季</w:t>
            </w:r>
          </w:p>
        </w:tc>
        <w:tc>
          <w:tcPr>
            <w:tcW w:w="480" w:type="dxa"/>
            <w:vAlign w:val="top"/>
          </w:tcPr>
          <w:p>
            <w:pPr>
              <w:pStyle w:val="TableText"/>
              <w:ind w:left="21"/>
              <w:spacing w:before="64" w:line="156" w:lineRule="exact"/>
              <w:rPr>
                <w:rFonts w:ascii="Calibri" w:hAnsi="Calibri" w:eastAsia="Calibri" w:cs="Calibri"/>
                <w:sz w:val="21"/>
                <w:szCs w:val="21"/>
              </w:rPr>
            </w:pPr>
            <w:r>
              <w:rPr>
                <w:sz w:val="21"/>
                <w:szCs w:val="21"/>
                <w:color w:val="705060"/>
                <w:spacing w:val="-1"/>
                <w:position w:val="-2"/>
              </w:rPr>
              <w:t>NH</w:t>
            </w:r>
            <w:r>
              <w:rPr>
                <w:rFonts w:ascii="Calibri" w:hAnsi="Calibri" w:eastAsia="Calibri" w:cs="Calibri"/>
                <w:sz w:val="21"/>
                <w:szCs w:val="21"/>
                <w:color w:val="705060"/>
                <w:spacing w:val="-1"/>
                <w:position w:val="-2"/>
              </w:rPr>
              <w:t>₃</w:t>
            </w:r>
          </w:p>
        </w:tc>
        <w:tc>
          <w:tcPr>
            <w:tcW w:w="699" w:type="dxa"/>
            <w:vAlign w:val="top"/>
          </w:tcPr>
          <w:p>
            <w:pPr>
              <w:pStyle w:val="TableText"/>
              <w:ind w:left="71"/>
              <w:spacing w:before="51" w:line="168" w:lineRule="exact"/>
              <w:rPr>
                <w:sz w:val="21"/>
                <w:szCs w:val="21"/>
              </w:rPr>
            </w:pPr>
            <w:r>
              <w:rPr>
                <w:sz w:val="21"/>
                <w:szCs w:val="21"/>
                <w:color w:val="908070"/>
                <w:spacing w:val="-2"/>
                <w:position w:val="-2"/>
              </w:rPr>
              <w:t>0.053</w:t>
            </w:r>
          </w:p>
        </w:tc>
        <w:tc>
          <w:tcPr>
            <w:tcW w:w="619" w:type="dxa"/>
            <w:vAlign w:val="top"/>
          </w:tcPr>
          <w:p>
            <w:pPr>
              <w:pStyle w:val="TableText"/>
              <w:spacing w:before="51" w:line="168" w:lineRule="exact"/>
              <w:jc w:val="right"/>
              <w:rPr>
                <w:sz w:val="21"/>
                <w:szCs w:val="21"/>
              </w:rPr>
            </w:pPr>
            <w:r>
              <w:rPr>
                <w:sz w:val="21"/>
                <w:szCs w:val="21"/>
                <w:color w:val="A09080"/>
                <w:spacing w:val="-6"/>
                <w:position w:val="-2"/>
              </w:rPr>
              <w:t>0.0572</w:t>
            </w:r>
          </w:p>
        </w:tc>
        <w:tc>
          <w:tcPr>
            <w:tcW w:w="136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17"/>
              <w:spacing w:before="51" w:line="168" w:lineRule="exact"/>
              <w:rPr>
                <w:sz w:val="21"/>
                <w:szCs w:val="21"/>
              </w:rPr>
            </w:pPr>
            <w:r>
              <w:rPr>
                <w:sz w:val="21"/>
                <w:szCs w:val="21"/>
                <w:spacing w:val="-3"/>
                <w:position w:val="-2"/>
              </w:rPr>
              <w:t>95</w:t>
            </w:r>
          </w:p>
        </w:tc>
        <w:tc>
          <w:tcPr>
            <w:tcW w:w="1139" w:type="dxa"/>
            <w:vAlign w:val="top"/>
          </w:tcPr>
          <w:p>
            <w:pPr>
              <w:pStyle w:val="TableText"/>
              <w:ind w:left="458"/>
              <w:spacing w:before="51" w:line="168" w:lineRule="exact"/>
              <w:rPr>
                <w:sz w:val="21"/>
                <w:szCs w:val="21"/>
              </w:rPr>
            </w:pPr>
            <w:r>
              <w:rPr>
                <w:sz w:val="21"/>
                <w:szCs w:val="21"/>
                <w:spacing w:val="-3"/>
                <w:position w:val="-2"/>
              </w:rPr>
              <w:t>95</w:t>
            </w:r>
          </w:p>
        </w:tc>
        <w:tc>
          <w:tcPr>
            <w:tcW w:w="679" w:type="dxa"/>
            <w:vAlign w:val="top"/>
          </w:tcPr>
          <w:p>
            <w:pPr>
              <w:pStyle w:val="TableText"/>
              <w:ind w:left="18"/>
              <w:spacing w:before="51" w:line="168" w:lineRule="exact"/>
              <w:rPr>
                <w:sz w:val="21"/>
                <w:szCs w:val="21"/>
              </w:rPr>
            </w:pPr>
            <w:r>
              <w:rPr>
                <w:sz w:val="21"/>
                <w:szCs w:val="21"/>
                <w:spacing w:val="-2"/>
                <w:position w:val="-2"/>
              </w:rPr>
              <w:t>0.0025</w:t>
            </w:r>
          </w:p>
        </w:tc>
        <w:tc>
          <w:tcPr>
            <w:tcW w:w="589" w:type="dxa"/>
            <w:vAlign w:val="top"/>
          </w:tcPr>
          <w:p>
            <w:pPr>
              <w:pStyle w:val="TableText"/>
              <w:spacing w:before="51" w:line="168" w:lineRule="exact"/>
              <w:jc w:val="right"/>
              <w:rPr>
                <w:sz w:val="21"/>
                <w:szCs w:val="21"/>
              </w:rPr>
            </w:pPr>
            <w:r>
              <w:rPr>
                <w:sz w:val="21"/>
                <w:szCs w:val="21"/>
                <w:color w:val="909080"/>
                <w:spacing w:val="-12"/>
                <w:position w:val="-2"/>
              </w:rPr>
              <w:t>0.0027</w:t>
            </w:r>
          </w:p>
        </w:tc>
      </w:tr>
      <w:tr>
        <w:trPr>
          <w:trHeight w:val="249" w:hRule="atLeast"/>
        </w:trPr>
        <w:tc>
          <w:tcPr>
            <w:tcW w:w="444" w:type="dxa"/>
            <w:vAlign w:val="top"/>
            <w:vMerge w:val="continue"/>
            <w:tcBorders>
              <w:top w:val="nil"/>
            </w:tcBorders>
          </w:tcPr>
          <w:p>
            <w:pPr>
              <w:rPr>
                <w:rFonts w:ascii="Arial"/>
                <w:sz w:val="21"/>
              </w:rPr>
            </w:pPr>
            <w:r/>
          </w:p>
        </w:tc>
        <w:tc>
          <w:tcPr>
            <w:tcW w:w="459" w:type="dxa"/>
            <w:vAlign w:val="top"/>
            <w:vMerge w:val="continue"/>
            <w:tcBorders>
              <w:top w:val="nil"/>
            </w:tcBorders>
          </w:tcPr>
          <w:p>
            <w:pPr>
              <w:rPr>
                <w:rFonts w:ascii="Arial"/>
                <w:sz w:val="21"/>
              </w:rPr>
            </w:pPr>
            <w:r/>
          </w:p>
        </w:tc>
        <w:tc>
          <w:tcPr>
            <w:tcW w:w="480" w:type="dxa"/>
            <w:vAlign w:val="top"/>
          </w:tcPr>
          <w:p>
            <w:pPr>
              <w:pStyle w:val="TableText"/>
              <w:ind w:left="21"/>
              <w:spacing w:before="53" w:line="163"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699" w:type="dxa"/>
            <w:vAlign w:val="top"/>
          </w:tcPr>
          <w:p>
            <w:pPr>
              <w:pStyle w:val="TableText"/>
              <w:ind w:left="22"/>
              <w:spacing w:before="41" w:line="174" w:lineRule="auto"/>
              <w:rPr>
                <w:sz w:val="21"/>
                <w:szCs w:val="21"/>
              </w:rPr>
            </w:pPr>
            <w:r>
              <w:rPr>
                <w:sz w:val="21"/>
                <w:szCs w:val="21"/>
                <w:spacing w:val="-2"/>
              </w:rPr>
              <w:t>0.0034</w:t>
            </w:r>
          </w:p>
        </w:tc>
        <w:tc>
          <w:tcPr>
            <w:tcW w:w="619" w:type="dxa"/>
            <w:vAlign w:val="top"/>
          </w:tcPr>
          <w:p>
            <w:pPr>
              <w:pStyle w:val="TableText"/>
              <w:spacing w:before="41" w:line="174" w:lineRule="auto"/>
              <w:jc w:val="right"/>
              <w:rPr>
                <w:sz w:val="21"/>
                <w:szCs w:val="21"/>
              </w:rPr>
            </w:pPr>
            <w:r>
              <w:rPr>
                <w:sz w:val="21"/>
                <w:szCs w:val="21"/>
                <w:spacing w:val="-6"/>
              </w:rPr>
              <w:t>0.0037</w:t>
            </w:r>
          </w:p>
        </w:tc>
        <w:tc>
          <w:tcPr>
            <w:tcW w:w="136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17"/>
              <w:spacing w:before="41" w:line="174" w:lineRule="auto"/>
              <w:rPr>
                <w:sz w:val="21"/>
                <w:szCs w:val="21"/>
              </w:rPr>
            </w:pPr>
            <w:r>
              <w:rPr>
                <w:sz w:val="21"/>
                <w:szCs w:val="21"/>
                <w:spacing w:val="-3"/>
              </w:rPr>
              <w:t>95</w:t>
            </w:r>
          </w:p>
        </w:tc>
        <w:tc>
          <w:tcPr>
            <w:tcW w:w="1139" w:type="dxa"/>
            <w:vAlign w:val="top"/>
          </w:tcPr>
          <w:p>
            <w:pPr>
              <w:pStyle w:val="TableText"/>
              <w:ind w:left="458"/>
              <w:spacing w:before="41" w:line="174" w:lineRule="auto"/>
              <w:rPr>
                <w:sz w:val="21"/>
                <w:szCs w:val="21"/>
              </w:rPr>
            </w:pPr>
            <w:r>
              <w:rPr>
                <w:sz w:val="21"/>
                <w:szCs w:val="21"/>
                <w:spacing w:val="-3"/>
              </w:rPr>
              <w:t>95</w:t>
            </w:r>
          </w:p>
        </w:tc>
        <w:tc>
          <w:tcPr>
            <w:tcW w:w="679" w:type="dxa"/>
            <w:vAlign w:val="top"/>
          </w:tcPr>
          <w:p>
            <w:pPr>
              <w:pStyle w:val="TableText"/>
              <w:ind w:left="18"/>
              <w:spacing w:before="41" w:line="174" w:lineRule="auto"/>
              <w:rPr>
                <w:sz w:val="21"/>
                <w:szCs w:val="21"/>
              </w:rPr>
            </w:pPr>
            <w:r>
              <w:rPr>
                <w:sz w:val="21"/>
                <w:szCs w:val="21"/>
                <w:spacing w:val="-2"/>
              </w:rPr>
              <w:t>0.0002</w:t>
            </w:r>
          </w:p>
        </w:tc>
        <w:tc>
          <w:tcPr>
            <w:tcW w:w="589" w:type="dxa"/>
            <w:vAlign w:val="top"/>
          </w:tcPr>
          <w:p>
            <w:pPr>
              <w:pStyle w:val="TableText"/>
              <w:spacing w:before="41" w:line="174" w:lineRule="auto"/>
              <w:jc w:val="right"/>
              <w:rPr>
                <w:sz w:val="21"/>
                <w:szCs w:val="21"/>
              </w:rPr>
            </w:pPr>
            <w:r>
              <w:rPr>
                <w:sz w:val="21"/>
                <w:szCs w:val="21"/>
                <w:color w:val="404040"/>
                <w:spacing w:val="-12"/>
              </w:rPr>
              <w:t>0.0002</w:t>
            </w:r>
          </w:p>
        </w:tc>
      </w:tr>
      <w:tr>
        <w:trPr>
          <w:trHeight w:val="250" w:hRule="atLeast"/>
        </w:trPr>
        <w:tc>
          <w:tcPr>
            <w:tcW w:w="444" w:type="dxa"/>
            <w:vAlign w:val="top"/>
            <w:vMerge w:val="restart"/>
            <w:tcBorders>
              <w:bottom w:val="nil"/>
            </w:tcBorders>
          </w:tcPr>
          <w:p>
            <w:pPr>
              <w:pStyle w:val="TableText"/>
              <w:spacing w:before="122" w:line="221" w:lineRule="auto"/>
              <w:jc w:val="right"/>
              <w:rPr>
                <w:sz w:val="21"/>
                <w:szCs w:val="21"/>
              </w:rPr>
            </w:pPr>
            <w:r>
              <w:rPr>
                <w:sz w:val="21"/>
                <w:szCs w:val="21"/>
                <w:spacing w:val="-1"/>
              </w:rPr>
              <w:t>肉牛</w:t>
            </w:r>
          </w:p>
          <w:p>
            <w:pPr>
              <w:pStyle w:val="TableText"/>
              <w:spacing w:before="37" w:line="219" w:lineRule="auto"/>
              <w:jc w:val="right"/>
              <w:rPr>
                <w:sz w:val="21"/>
                <w:szCs w:val="21"/>
              </w:rPr>
            </w:pPr>
            <w:r>
              <w:rPr>
                <w:sz w:val="21"/>
                <w:szCs w:val="21"/>
                <w:spacing w:val="-1"/>
              </w:rPr>
              <w:t>屠宰</w:t>
            </w:r>
          </w:p>
          <w:p>
            <w:pPr>
              <w:pStyle w:val="TableText"/>
              <w:spacing w:before="10" w:line="219" w:lineRule="auto"/>
              <w:jc w:val="right"/>
              <w:rPr>
                <w:sz w:val="21"/>
                <w:szCs w:val="21"/>
              </w:rPr>
            </w:pPr>
            <w:r>
              <w:rPr>
                <w:sz w:val="21"/>
                <w:szCs w:val="21"/>
                <w:spacing w:val="-1"/>
              </w:rPr>
              <w:t>车间</w:t>
            </w:r>
          </w:p>
        </w:tc>
        <w:tc>
          <w:tcPr>
            <w:tcW w:w="459" w:type="dxa"/>
            <w:vAlign w:val="top"/>
            <w:vMerge w:val="restart"/>
            <w:tcBorders>
              <w:bottom w:val="nil"/>
            </w:tcBorders>
          </w:tcPr>
          <w:p>
            <w:pPr>
              <w:pStyle w:val="TableText"/>
              <w:ind w:left="10"/>
              <w:spacing w:before="140" w:line="219" w:lineRule="auto"/>
              <w:rPr>
                <w:sz w:val="21"/>
                <w:szCs w:val="21"/>
              </w:rPr>
            </w:pPr>
            <w:r>
              <w:rPr>
                <w:sz w:val="21"/>
                <w:szCs w:val="21"/>
                <w:spacing w:val="4"/>
              </w:rPr>
              <w:t>淡季</w:t>
            </w:r>
          </w:p>
        </w:tc>
        <w:tc>
          <w:tcPr>
            <w:tcW w:w="480" w:type="dxa"/>
            <w:vAlign w:val="top"/>
          </w:tcPr>
          <w:p>
            <w:pPr>
              <w:pStyle w:val="TableText"/>
              <w:ind w:left="21"/>
              <w:spacing w:before="55" w:line="162" w:lineRule="auto"/>
              <w:rPr>
                <w:rFonts w:ascii="Calibri" w:hAnsi="Calibri" w:eastAsia="Calibri" w:cs="Calibri"/>
                <w:sz w:val="21"/>
                <w:szCs w:val="21"/>
              </w:rPr>
            </w:pPr>
            <w:r>
              <w:rPr>
                <w:sz w:val="21"/>
                <w:szCs w:val="21"/>
                <w:color w:val="303040"/>
                <w:spacing w:val="-1"/>
              </w:rPr>
              <w:t>NH</w:t>
            </w:r>
            <w:r>
              <w:rPr>
                <w:rFonts w:ascii="Calibri" w:hAnsi="Calibri" w:eastAsia="Calibri" w:cs="Calibri"/>
                <w:sz w:val="21"/>
                <w:szCs w:val="21"/>
                <w:color w:val="303040"/>
                <w:spacing w:val="-1"/>
              </w:rPr>
              <w:t>₃</w:t>
            </w:r>
          </w:p>
        </w:tc>
        <w:tc>
          <w:tcPr>
            <w:tcW w:w="699" w:type="dxa"/>
            <w:vAlign w:val="top"/>
          </w:tcPr>
          <w:p>
            <w:pPr>
              <w:pStyle w:val="TableText"/>
              <w:ind w:left="71"/>
              <w:spacing w:before="42" w:line="174" w:lineRule="auto"/>
              <w:rPr>
                <w:sz w:val="21"/>
                <w:szCs w:val="21"/>
              </w:rPr>
            </w:pPr>
            <w:r>
              <w:rPr>
                <w:sz w:val="21"/>
                <w:szCs w:val="21"/>
                <w:color w:val="606060"/>
                <w:spacing w:val="-2"/>
              </w:rPr>
              <w:t>0.053</w:t>
            </w:r>
          </w:p>
        </w:tc>
        <w:tc>
          <w:tcPr>
            <w:tcW w:w="619" w:type="dxa"/>
            <w:vAlign w:val="top"/>
          </w:tcPr>
          <w:p>
            <w:pPr>
              <w:pStyle w:val="TableText"/>
              <w:spacing w:before="42" w:line="174" w:lineRule="auto"/>
              <w:jc w:val="right"/>
              <w:rPr>
                <w:sz w:val="21"/>
                <w:szCs w:val="21"/>
              </w:rPr>
            </w:pPr>
            <w:r>
              <w:rPr>
                <w:sz w:val="21"/>
                <w:szCs w:val="21"/>
                <w:color w:val="706050"/>
                <w:spacing w:val="-6"/>
              </w:rPr>
              <w:t>0.1145</w:t>
            </w:r>
          </w:p>
        </w:tc>
        <w:tc>
          <w:tcPr>
            <w:tcW w:w="136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17"/>
              <w:spacing w:before="42" w:line="174" w:lineRule="auto"/>
              <w:rPr>
                <w:sz w:val="21"/>
                <w:szCs w:val="21"/>
              </w:rPr>
            </w:pPr>
            <w:r>
              <w:rPr>
                <w:sz w:val="21"/>
                <w:szCs w:val="21"/>
                <w:spacing w:val="-3"/>
              </w:rPr>
              <w:t>95</w:t>
            </w:r>
          </w:p>
        </w:tc>
        <w:tc>
          <w:tcPr>
            <w:tcW w:w="1139" w:type="dxa"/>
            <w:vAlign w:val="top"/>
          </w:tcPr>
          <w:p>
            <w:pPr>
              <w:pStyle w:val="TableText"/>
              <w:ind w:left="458"/>
              <w:spacing w:before="42" w:line="174" w:lineRule="auto"/>
              <w:rPr>
                <w:sz w:val="21"/>
                <w:szCs w:val="21"/>
              </w:rPr>
            </w:pPr>
            <w:r>
              <w:rPr>
                <w:sz w:val="21"/>
                <w:szCs w:val="21"/>
                <w:spacing w:val="-3"/>
              </w:rPr>
              <w:t>95</w:t>
            </w:r>
          </w:p>
        </w:tc>
        <w:tc>
          <w:tcPr>
            <w:tcW w:w="679" w:type="dxa"/>
            <w:vAlign w:val="top"/>
          </w:tcPr>
          <w:p>
            <w:pPr>
              <w:pStyle w:val="TableText"/>
              <w:ind w:left="18"/>
              <w:spacing w:before="42" w:line="174" w:lineRule="auto"/>
              <w:rPr>
                <w:sz w:val="21"/>
                <w:szCs w:val="21"/>
              </w:rPr>
            </w:pPr>
            <w:r>
              <w:rPr>
                <w:sz w:val="21"/>
                <w:szCs w:val="21"/>
                <w:spacing w:val="-2"/>
              </w:rPr>
              <w:t>0.0025</w:t>
            </w:r>
          </w:p>
        </w:tc>
        <w:tc>
          <w:tcPr>
            <w:tcW w:w="589" w:type="dxa"/>
            <w:vAlign w:val="top"/>
          </w:tcPr>
          <w:p>
            <w:pPr>
              <w:pStyle w:val="TableText"/>
              <w:spacing w:before="42" w:line="174" w:lineRule="auto"/>
              <w:jc w:val="right"/>
              <w:rPr>
                <w:sz w:val="21"/>
                <w:szCs w:val="21"/>
              </w:rPr>
            </w:pPr>
            <w:r>
              <w:rPr>
                <w:sz w:val="21"/>
                <w:szCs w:val="21"/>
                <w:color w:val="706060"/>
                <w:spacing w:val="-14"/>
              </w:rPr>
              <w:t>0.005</w:t>
            </w:r>
            <w:r>
              <w:rPr>
                <w:sz w:val="21"/>
                <w:szCs w:val="21"/>
                <w:color w:val="706060"/>
                <w:spacing w:val="-8"/>
              </w:rPr>
              <w:t>4</w:t>
            </w:r>
          </w:p>
        </w:tc>
      </w:tr>
      <w:tr>
        <w:trPr>
          <w:trHeight w:val="230" w:hRule="atLeast"/>
        </w:trPr>
        <w:tc>
          <w:tcPr>
            <w:tcW w:w="444" w:type="dxa"/>
            <w:vAlign w:val="top"/>
            <w:vMerge w:val="continue"/>
            <w:tcBorders>
              <w:top w:val="nil"/>
              <w:bottom w:val="nil"/>
            </w:tcBorders>
          </w:tcPr>
          <w:p>
            <w:pPr>
              <w:rPr>
                <w:rFonts w:ascii="Arial"/>
                <w:sz w:val="21"/>
              </w:rPr>
            </w:pPr>
            <w:r/>
          </w:p>
        </w:tc>
        <w:tc>
          <w:tcPr>
            <w:tcW w:w="459" w:type="dxa"/>
            <w:vAlign w:val="top"/>
            <w:vMerge w:val="continue"/>
            <w:tcBorders>
              <w:top w:val="nil"/>
            </w:tcBorders>
          </w:tcPr>
          <w:p>
            <w:pPr>
              <w:rPr>
                <w:rFonts w:ascii="Arial"/>
                <w:sz w:val="21"/>
              </w:rPr>
            </w:pPr>
            <w:r/>
          </w:p>
        </w:tc>
        <w:tc>
          <w:tcPr>
            <w:tcW w:w="480" w:type="dxa"/>
            <w:vAlign w:val="top"/>
          </w:tcPr>
          <w:p>
            <w:pPr>
              <w:pStyle w:val="TableText"/>
              <w:ind w:left="21"/>
              <w:spacing w:before="65" w:line="155" w:lineRule="exact"/>
              <w:rPr>
                <w:sz w:val="21"/>
                <w:szCs w:val="21"/>
              </w:rPr>
            </w:pPr>
            <w:r>
              <w:rPr>
                <w:sz w:val="21"/>
                <w:szCs w:val="21"/>
                <w:spacing w:val="-2"/>
                <w:position w:val="-2"/>
              </w:rPr>
              <w:t>H</w:t>
            </w:r>
            <w:r>
              <w:rPr>
                <w:rFonts w:ascii="Calibri" w:hAnsi="Calibri" w:eastAsia="Calibri" w:cs="Calibri"/>
                <w:sz w:val="21"/>
                <w:szCs w:val="21"/>
                <w:spacing w:val="-2"/>
                <w:position w:val="-2"/>
              </w:rPr>
              <w:t>₂</w:t>
            </w:r>
            <w:r>
              <w:rPr>
                <w:sz w:val="21"/>
                <w:szCs w:val="21"/>
                <w:spacing w:val="-2"/>
                <w:position w:val="-2"/>
              </w:rPr>
              <w:t>S</w:t>
            </w:r>
          </w:p>
        </w:tc>
        <w:tc>
          <w:tcPr>
            <w:tcW w:w="699" w:type="dxa"/>
            <w:vAlign w:val="top"/>
          </w:tcPr>
          <w:p>
            <w:pPr>
              <w:pStyle w:val="TableText"/>
              <w:ind w:left="22"/>
              <w:spacing w:before="52" w:line="167" w:lineRule="exact"/>
              <w:rPr>
                <w:sz w:val="21"/>
                <w:szCs w:val="21"/>
              </w:rPr>
            </w:pPr>
            <w:r>
              <w:rPr>
                <w:sz w:val="21"/>
                <w:szCs w:val="21"/>
                <w:spacing w:val="-2"/>
                <w:position w:val="-2"/>
              </w:rPr>
              <w:t>0.0034</w:t>
            </w:r>
          </w:p>
        </w:tc>
        <w:tc>
          <w:tcPr>
            <w:tcW w:w="619" w:type="dxa"/>
            <w:vAlign w:val="top"/>
          </w:tcPr>
          <w:p>
            <w:pPr>
              <w:pStyle w:val="TableText"/>
              <w:spacing w:before="52" w:line="167" w:lineRule="exact"/>
              <w:jc w:val="right"/>
              <w:rPr>
                <w:sz w:val="21"/>
                <w:szCs w:val="21"/>
              </w:rPr>
            </w:pPr>
            <w:r>
              <w:rPr>
                <w:sz w:val="21"/>
                <w:szCs w:val="21"/>
                <w:spacing w:val="-6"/>
                <w:position w:val="-2"/>
              </w:rPr>
              <w:t>0.0073</w:t>
            </w:r>
          </w:p>
        </w:tc>
        <w:tc>
          <w:tcPr>
            <w:tcW w:w="136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17"/>
              <w:spacing w:before="52" w:line="167" w:lineRule="exact"/>
              <w:rPr>
                <w:sz w:val="21"/>
                <w:szCs w:val="21"/>
              </w:rPr>
            </w:pPr>
            <w:r>
              <w:rPr>
                <w:sz w:val="21"/>
                <w:szCs w:val="21"/>
                <w:spacing w:val="-3"/>
                <w:position w:val="-2"/>
              </w:rPr>
              <w:t>95</w:t>
            </w:r>
          </w:p>
        </w:tc>
        <w:tc>
          <w:tcPr>
            <w:tcW w:w="1139" w:type="dxa"/>
            <w:vAlign w:val="top"/>
          </w:tcPr>
          <w:p>
            <w:pPr>
              <w:pStyle w:val="TableText"/>
              <w:ind w:left="458"/>
              <w:spacing w:before="52" w:line="167" w:lineRule="exact"/>
              <w:rPr>
                <w:sz w:val="21"/>
                <w:szCs w:val="21"/>
              </w:rPr>
            </w:pPr>
            <w:r>
              <w:rPr>
                <w:sz w:val="21"/>
                <w:szCs w:val="21"/>
                <w:spacing w:val="-3"/>
                <w:position w:val="-2"/>
              </w:rPr>
              <w:t>95</w:t>
            </w:r>
          </w:p>
        </w:tc>
        <w:tc>
          <w:tcPr>
            <w:tcW w:w="679" w:type="dxa"/>
            <w:vAlign w:val="top"/>
          </w:tcPr>
          <w:p>
            <w:pPr>
              <w:pStyle w:val="TableText"/>
              <w:ind w:left="18"/>
              <w:spacing w:before="52" w:line="167" w:lineRule="exact"/>
              <w:rPr>
                <w:sz w:val="21"/>
                <w:szCs w:val="21"/>
              </w:rPr>
            </w:pPr>
            <w:r>
              <w:rPr>
                <w:sz w:val="21"/>
                <w:szCs w:val="21"/>
                <w:spacing w:val="-2"/>
                <w:position w:val="-2"/>
              </w:rPr>
              <w:t>0.0002</w:t>
            </w:r>
          </w:p>
        </w:tc>
        <w:tc>
          <w:tcPr>
            <w:tcW w:w="589" w:type="dxa"/>
            <w:vAlign w:val="top"/>
          </w:tcPr>
          <w:p>
            <w:pPr>
              <w:pStyle w:val="TableText"/>
              <w:spacing w:before="52" w:line="167" w:lineRule="exact"/>
              <w:jc w:val="right"/>
              <w:rPr>
                <w:sz w:val="21"/>
                <w:szCs w:val="21"/>
              </w:rPr>
            </w:pPr>
            <w:r>
              <w:rPr>
                <w:sz w:val="21"/>
                <w:szCs w:val="21"/>
                <w:color w:val="706060"/>
                <w:spacing w:val="-12"/>
                <w:position w:val="-2"/>
              </w:rPr>
              <w:t>0.0003</w:t>
            </w:r>
          </w:p>
        </w:tc>
      </w:tr>
      <w:tr>
        <w:trPr>
          <w:trHeight w:val="250" w:hRule="atLeast"/>
        </w:trPr>
        <w:tc>
          <w:tcPr>
            <w:tcW w:w="444" w:type="dxa"/>
            <w:vAlign w:val="top"/>
            <w:vMerge w:val="continue"/>
            <w:tcBorders>
              <w:top w:val="nil"/>
              <w:bottom w:val="nil"/>
            </w:tcBorders>
          </w:tcPr>
          <w:p>
            <w:pPr>
              <w:rPr>
                <w:rFonts w:ascii="Arial"/>
                <w:sz w:val="21"/>
              </w:rPr>
            </w:pPr>
            <w:r/>
          </w:p>
        </w:tc>
        <w:tc>
          <w:tcPr>
            <w:tcW w:w="459" w:type="dxa"/>
            <w:vAlign w:val="top"/>
            <w:vMerge w:val="restart"/>
            <w:tcBorders>
              <w:bottom w:val="nil"/>
            </w:tcBorders>
          </w:tcPr>
          <w:p>
            <w:pPr>
              <w:pStyle w:val="TableText"/>
              <w:ind w:left="10"/>
              <w:spacing w:before="151" w:line="219" w:lineRule="auto"/>
              <w:rPr>
                <w:sz w:val="21"/>
                <w:szCs w:val="21"/>
              </w:rPr>
            </w:pPr>
            <w:r>
              <w:rPr>
                <w:sz w:val="21"/>
                <w:szCs w:val="21"/>
                <w:spacing w:val="4"/>
              </w:rPr>
              <w:t>旺季</w:t>
            </w:r>
          </w:p>
        </w:tc>
        <w:tc>
          <w:tcPr>
            <w:tcW w:w="480" w:type="dxa"/>
            <w:vAlign w:val="top"/>
          </w:tcPr>
          <w:p>
            <w:pPr>
              <w:pStyle w:val="TableText"/>
              <w:ind w:left="21"/>
              <w:spacing w:before="55" w:line="162" w:lineRule="auto"/>
              <w:rPr>
                <w:rFonts w:ascii="Calibri" w:hAnsi="Calibri" w:eastAsia="Calibri" w:cs="Calibri"/>
                <w:sz w:val="21"/>
                <w:szCs w:val="21"/>
              </w:rPr>
            </w:pPr>
            <w:r>
              <w:rPr>
                <w:sz w:val="21"/>
                <w:szCs w:val="21"/>
                <w:color w:val="403040"/>
                <w:spacing w:val="-1"/>
              </w:rPr>
              <w:t>NH</w:t>
            </w:r>
            <w:r>
              <w:rPr>
                <w:rFonts w:ascii="Calibri" w:hAnsi="Calibri" w:eastAsia="Calibri" w:cs="Calibri"/>
                <w:sz w:val="21"/>
                <w:szCs w:val="21"/>
                <w:color w:val="403040"/>
                <w:spacing w:val="-1"/>
              </w:rPr>
              <w:t>₃</w:t>
            </w:r>
          </w:p>
        </w:tc>
        <w:tc>
          <w:tcPr>
            <w:tcW w:w="699" w:type="dxa"/>
            <w:vAlign w:val="top"/>
          </w:tcPr>
          <w:p>
            <w:pPr>
              <w:pStyle w:val="TableText"/>
              <w:ind w:left="71"/>
              <w:spacing w:before="42" w:line="174" w:lineRule="auto"/>
              <w:rPr>
                <w:sz w:val="21"/>
                <w:szCs w:val="21"/>
              </w:rPr>
            </w:pPr>
            <w:r>
              <w:rPr>
                <w:sz w:val="21"/>
                <w:szCs w:val="21"/>
                <w:color w:val="706060"/>
                <w:spacing w:val="-2"/>
              </w:rPr>
              <w:t>0.053</w:t>
            </w:r>
          </w:p>
        </w:tc>
        <w:tc>
          <w:tcPr>
            <w:tcW w:w="619" w:type="dxa"/>
            <w:vAlign w:val="top"/>
          </w:tcPr>
          <w:p>
            <w:pPr>
              <w:pStyle w:val="TableText"/>
              <w:spacing w:before="42" w:line="174" w:lineRule="auto"/>
              <w:jc w:val="right"/>
              <w:rPr>
                <w:sz w:val="21"/>
                <w:szCs w:val="21"/>
              </w:rPr>
            </w:pPr>
            <w:r>
              <w:rPr>
                <w:sz w:val="21"/>
                <w:szCs w:val="21"/>
                <w:color w:val="706050"/>
                <w:spacing w:val="-6"/>
              </w:rPr>
              <w:t>0.0382</w:t>
            </w:r>
          </w:p>
        </w:tc>
        <w:tc>
          <w:tcPr>
            <w:tcW w:w="136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17"/>
              <w:spacing w:before="42" w:line="174" w:lineRule="auto"/>
              <w:rPr>
                <w:sz w:val="21"/>
                <w:szCs w:val="21"/>
              </w:rPr>
            </w:pPr>
            <w:r>
              <w:rPr>
                <w:sz w:val="21"/>
                <w:szCs w:val="21"/>
                <w:spacing w:val="-3"/>
              </w:rPr>
              <w:t>95</w:t>
            </w:r>
          </w:p>
        </w:tc>
        <w:tc>
          <w:tcPr>
            <w:tcW w:w="1139" w:type="dxa"/>
            <w:vAlign w:val="top"/>
          </w:tcPr>
          <w:p>
            <w:pPr>
              <w:pStyle w:val="TableText"/>
              <w:ind w:left="458"/>
              <w:spacing w:before="42" w:line="174" w:lineRule="auto"/>
              <w:rPr>
                <w:sz w:val="21"/>
                <w:szCs w:val="21"/>
              </w:rPr>
            </w:pPr>
            <w:r>
              <w:rPr>
                <w:sz w:val="21"/>
                <w:szCs w:val="21"/>
                <w:spacing w:val="-3"/>
              </w:rPr>
              <w:t>95</w:t>
            </w:r>
          </w:p>
        </w:tc>
        <w:tc>
          <w:tcPr>
            <w:tcW w:w="679" w:type="dxa"/>
            <w:vAlign w:val="top"/>
          </w:tcPr>
          <w:p>
            <w:pPr>
              <w:pStyle w:val="TableText"/>
              <w:spacing w:before="25" w:line="189" w:lineRule="auto"/>
              <w:jc w:val="right"/>
              <w:rPr>
                <w:sz w:val="21"/>
                <w:szCs w:val="21"/>
              </w:rPr>
            </w:pPr>
            <w:r>
              <w:rPr>
                <w:sz w:val="21"/>
                <w:szCs w:val="21"/>
                <w:spacing w:val="-14"/>
              </w:rPr>
              <w:t>0.0</w:t>
            </w:r>
            <w:r>
              <w:rPr>
                <w:sz w:val="21"/>
                <w:szCs w:val="21"/>
                <w:spacing w:val="-13"/>
              </w:rPr>
              <w:t>025</w:t>
            </w:r>
            <w:r>
              <w:rPr>
                <w:sz w:val="21"/>
                <w:szCs w:val="21"/>
                <w:spacing w:val="-10"/>
              </w:rPr>
              <w:t>(</w:t>
            </w:r>
          </w:p>
        </w:tc>
        <w:tc>
          <w:tcPr>
            <w:tcW w:w="589" w:type="dxa"/>
            <w:vAlign w:val="top"/>
          </w:tcPr>
          <w:p>
            <w:pPr>
              <w:pStyle w:val="TableText"/>
              <w:spacing w:before="42" w:line="174" w:lineRule="auto"/>
              <w:jc w:val="right"/>
              <w:rPr>
                <w:sz w:val="21"/>
                <w:szCs w:val="21"/>
              </w:rPr>
            </w:pPr>
            <w:r>
              <w:rPr>
                <w:sz w:val="21"/>
                <w:szCs w:val="21"/>
                <w:color w:val="808070"/>
                <w:spacing w:val="-12"/>
              </w:rPr>
              <w:t>0.0018</w:t>
            </w:r>
          </w:p>
        </w:tc>
      </w:tr>
      <w:tr>
        <w:trPr>
          <w:trHeight w:val="239" w:hRule="atLeast"/>
        </w:trPr>
        <w:tc>
          <w:tcPr>
            <w:tcW w:w="444" w:type="dxa"/>
            <w:vAlign w:val="top"/>
            <w:vMerge w:val="continue"/>
            <w:tcBorders>
              <w:top w:val="nil"/>
            </w:tcBorders>
          </w:tcPr>
          <w:p>
            <w:pPr>
              <w:rPr>
                <w:rFonts w:ascii="Arial"/>
                <w:sz w:val="21"/>
              </w:rPr>
            </w:pPr>
            <w:r/>
          </w:p>
        </w:tc>
        <w:tc>
          <w:tcPr>
            <w:tcW w:w="459" w:type="dxa"/>
            <w:vAlign w:val="top"/>
            <w:vMerge w:val="continue"/>
            <w:tcBorders>
              <w:top w:val="nil"/>
            </w:tcBorders>
          </w:tcPr>
          <w:p>
            <w:pPr>
              <w:rPr>
                <w:rFonts w:ascii="Arial"/>
                <w:sz w:val="21"/>
              </w:rPr>
            </w:pPr>
            <w:r/>
          </w:p>
        </w:tc>
        <w:tc>
          <w:tcPr>
            <w:tcW w:w="480" w:type="dxa"/>
            <w:vAlign w:val="top"/>
          </w:tcPr>
          <w:p>
            <w:pPr>
              <w:pStyle w:val="TableText"/>
              <w:ind w:left="21"/>
              <w:spacing w:before="55" w:line="174" w:lineRule="exact"/>
              <w:rPr>
                <w:sz w:val="21"/>
                <w:szCs w:val="21"/>
              </w:rPr>
            </w:pPr>
            <w:r>
              <w:rPr>
                <w:sz w:val="21"/>
                <w:szCs w:val="21"/>
                <w:spacing w:val="-2"/>
                <w:position w:val="-1"/>
              </w:rPr>
              <w:t>H</w:t>
            </w:r>
            <w:r>
              <w:rPr>
                <w:rFonts w:ascii="Calibri" w:hAnsi="Calibri" w:eastAsia="Calibri" w:cs="Calibri"/>
                <w:sz w:val="21"/>
                <w:szCs w:val="21"/>
                <w:spacing w:val="-2"/>
                <w:position w:val="-1"/>
              </w:rPr>
              <w:t>₂</w:t>
            </w:r>
            <w:r>
              <w:rPr>
                <w:sz w:val="21"/>
                <w:szCs w:val="21"/>
                <w:spacing w:val="-2"/>
                <w:position w:val="-1"/>
              </w:rPr>
              <w:t>S</w:t>
            </w:r>
          </w:p>
        </w:tc>
        <w:tc>
          <w:tcPr>
            <w:tcW w:w="699" w:type="dxa"/>
            <w:vAlign w:val="top"/>
          </w:tcPr>
          <w:p>
            <w:pPr>
              <w:pStyle w:val="TableText"/>
              <w:ind w:left="22"/>
              <w:spacing w:before="42" w:line="164" w:lineRule="auto"/>
              <w:rPr>
                <w:sz w:val="21"/>
                <w:szCs w:val="21"/>
              </w:rPr>
            </w:pPr>
            <w:r>
              <w:rPr>
                <w:sz w:val="21"/>
                <w:szCs w:val="21"/>
                <w:spacing w:val="-2"/>
              </w:rPr>
              <w:t>0.0034</w:t>
            </w:r>
          </w:p>
        </w:tc>
        <w:tc>
          <w:tcPr>
            <w:tcW w:w="619" w:type="dxa"/>
            <w:vAlign w:val="top"/>
          </w:tcPr>
          <w:p>
            <w:pPr>
              <w:pStyle w:val="TableText"/>
              <w:spacing w:before="42" w:line="164" w:lineRule="auto"/>
              <w:jc w:val="right"/>
              <w:rPr>
                <w:sz w:val="21"/>
                <w:szCs w:val="21"/>
              </w:rPr>
            </w:pPr>
            <w:r>
              <w:rPr>
                <w:sz w:val="21"/>
                <w:szCs w:val="21"/>
                <w:spacing w:val="-6"/>
              </w:rPr>
              <w:t>0.0024</w:t>
            </w:r>
          </w:p>
        </w:tc>
        <w:tc>
          <w:tcPr>
            <w:tcW w:w="136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17"/>
              <w:spacing w:before="42" w:line="164" w:lineRule="auto"/>
              <w:rPr>
                <w:sz w:val="21"/>
                <w:szCs w:val="21"/>
              </w:rPr>
            </w:pPr>
            <w:r>
              <w:rPr>
                <w:sz w:val="21"/>
                <w:szCs w:val="21"/>
                <w:spacing w:val="-3"/>
              </w:rPr>
              <w:t>95</w:t>
            </w:r>
          </w:p>
        </w:tc>
        <w:tc>
          <w:tcPr>
            <w:tcW w:w="1139" w:type="dxa"/>
            <w:vAlign w:val="top"/>
          </w:tcPr>
          <w:p>
            <w:pPr>
              <w:pStyle w:val="TableText"/>
              <w:ind w:left="458"/>
              <w:spacing w:before="42" w:line="164" w:lineRule="auto"/>
              <w:rPr>
                <w:sz w:val="21"/>
                <w:szCs w:val="21"/>
              </w:rPr>
            </w:pPr>
            <w:r>
              <w:rPr>
                <w:sz w:val="21"/>
                <w:szCs w:val="21"/>
                <w:spacing w:val="-3"/>
              </w:rPr>
              <w:t>95</w:t>
            </w:r>
          </w:p>
        </w:tc>
        <w:tc>
          <w:tcPr>
            <w:tcW w:w="679" w:type="dxa"/>
            <w:vAlign w:val="top"/>
          </w:tcPr>
          <w:p>
            <w:pPr>
              <w:pStyle w:val="TableText"/>
              <w:ind w:left="18"/>
              <w:spacing w:before="42" w:line="164" w:lineRule="auto"/>
              <w:rPr>
                <w:sz w:val="21"/>
                <w:szCs w:val="21"/>
              </w:rPr>
            </w:pPr>
            <w:r>
              <w:rPr>
                <w:sz w:val="21"/>
                <w:szCs w:val="21"/>
                <w:spacing w:val="-2"/>
              </w:rPr>
              <w:t>0.0002</w:t>
            </w:r>
          </w:p>
        </w:tc>
        <w:tc>
          <w:tcPr>
            <w:tcW w:w="589" w:type="dxa"/>
            <w:vAlign w:val="top"/>
          </w:tcPr>
          <w:p>
            <w:pPr>
              <w:pStyle w:val="TableText"/>
              <w:ind w:left="19"/>
              <w:spacing w:before="42" w:line="164" w:lineRule="auto"/>
              <w:rPr>
                <w:sz w:val="21"/>
                <w:szCs w:val="21"/>
              </w:rPr>
            </w:pPr>
            <w:r>
              <w:rPr>
                <w:sz w:val="21"/>
                <w:szCs w:val="21"/>
                <w:color w:val="505050"/>
                <w:spacing w:val="-2"/>
              </w:rPr>
              <w:t>0.000</w:t>
            </w:r>
          </w:p>
        </w:tc>
      </w:tr>
      <w:tr>
        <w:trPr>
          <w:trHeight w:val="240" w:hRule="atLeast"/>
        </w:trPr>
        <w:tc>
          <w:tcPr>
            <w:tcW w:w="903" w:type="dxa"/>
            <w:vAlign w:val="top"/>
            <w:gridSpan w:val="2"/>
            <w:vMerge w:val="restart"/>
            <w:tcBorders>
              <w:bottom w:val="nil"/>
            </w:tcBorders>
          </w:tcPr>
          <w:p>
            <w:pPr>
              <w:pStyle w:val="TableText"/>
              <w:ind w:left="234"/>
              <w:spacing w:before="141" w:line="219" w:lineRule="auto"/>
              <w:rPr>
                <w:sz w:val="21"/>
                <w:szCs w:val="21"/>
              </w:rPr>
            </w:pPr>
            <w:r>
              <w:rPr>
                <w:sz w:val="21"/>
                <w:szCs w:val="21"/>
                <w:spacing w:val="4"/>
              </w:rPr>
              <w:t>淡季</w:t>
            </w:r>
          </w:p>
        </w:tc>
        <w:tc>
          <w:tcPr>
            <w:tcW w:w="480" w:type="dxa"/>
            <w:vAlign w:val="top"/>
          </w:tcPr>
          <w:p>
            <w:pPr>
              <w:pStyle w:val="TableText"/>
              <w:ind w:left="21"/>
              <w:spacing w:before="56" w:line="173" w:lineRule="exact"/>
              <w:rPr>
                <w:rFonts w:ascii="Calibri" w:hAnsi="Calibri" w:eastAsia="Calibri" w:cs="Calibri"/>
                <w:sz w:val="21"/>
                <w:szCs w:val="21"/>
              </w:rPr>
            </w:pPr>
            <w:r>
              <w:rPr>
                <w:sz w:val="21"/>
                <w:szCs w:val="21"/>
                <w:spacing w:val="-1"/>
                <w:position w:val="-1"/>
              </w:rPr>
              <w:t>NH</w:t>
            </w:r>
            <w:r>
              <w:rPr>
                <w:rFonts w:ascii="Calibri" w:hAnsi="Calibri" w:eastAsia="Calibri" w:cs="Calibri"/>
                <w:sz w:val="21"/>
                <w:szCs w:val="21"/>
                <w:spacing w:val="-1"/>
                <w:position w:val="-1"/>
              </w:rPr>
              <w:t>₃</w:t>
            </w:r>
          </w:p>
        </w:tc>
        <w:tc>
          <w:tcPr>
            <w:tcW w:w="699" w:type="dxa"/>
            <w:vAlign w:val="top"/>
          </w:tcPr>
          <w:p>
            <w:pPr>
              <w:pStyle w:val="TableText"/>
              <w:ind w:left="71"/>
              <w:spacing w:before="43" w:line="164" w:lineRule="auto"/>
              <w:rPr>
                <w:sz w:val="21"/>
                <w:szCs w:val="21"/>
              </w:rPr>
            </w:pPr>
            <w:r>
              <w:rPr>
                <w:sz w:val="21"/>
                <w:szCs w:val="21"/>
                <w:spacing w:val="-2"/>
              </w:rPr>
              <w:t>0.106</w:t>
            </w:r>
          </w:p>
        </w:tc>
        <w:tc>
          <w:tcPr>
            <w:tcW w:w="619" w:type="dxa"/>
            <w:vAlign w:val="top"/>
          </w:tcPr>
          <w:p>
            <w:pPr>
              <w:pStyle w:val="TableText"/>
              <w:spacing w:before="43" w:line="164" w:lineRule="auto"/>
              <w:jc w:val="right"/>
              <w:rPr>
                <w:sz w:val="21"/>
                <w:szCs w:val="21"/>
              </w:rPr>
            </w:pPr>
            <w:r>
              <w:rPr>
                <w:sz w:val="21"/>
                <w:szCs w:val="21"/>
                <w:spacing w:val="-6"/>
              </w:rPr>
              <w:t>0.2862</w:t>
            </w:r>
          </w:p>
        </w:tc>
        <w:tc>
          <w:tcPr>
            <w:tcW w:w="136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17"/>
              <w:spacing w:before="43" w:line="164" w:lineRule="auto"/>
              <w:rPr>
                <w:sz w:val="21"/>
                <w:szCs w:val="21"/>
              </w:rPr>
            </w:pPr>
            <w:r>
              <w:rPr>
                <w:sz w:val="21"/>
                <w:szCs w:val="21"/>
                <w:spacing w:val="-3"/>
              </w:rPr>
              <w:t>95</w:t>
            </w:r>
          </w:p>
        </w:tc>
        <w:tc>
          <w:tcPr>
            <w:tcW w:w="1139" w:type="dxa"/>
            <w:vAlign w:val="top"/>
          </w:tcPr>
          <w:p>
            <w:pPr>
              <w:pStyle w:val="TableText"/>
              <w:ind w:left="458"/>
              <w:spacing w:before="43" w:line="164" w:lineRule="auto"/>
              <w:rPr>
                <w:sz w:val="21"/>
                <w:szCs w:val="21"/>
              </w:rPr>
            </w:pPr>
            <w:r>
              <w:rPr>
                <w:sz w:val="21"/>
                <w:szCs w:val="21"/>
                <w:spacing w:val="-3"/>
              </w:rPr>
              <w:t>95</w:t>
            </w:r>
          </w:p>
        </w:tc>
        <w:tc>
          <w:tcPr>
            <w:tcW w:w="679" w:type="dxa"/>
            <w:vAlign w:val="top"/>
          </w:tcPr>
          <w:p>
            <w:pPr>
              <w:pStyle w:val="TableText"/>
              <w:ind w:left="18"/>
              <w:spacing w:before="43" w:line="164" w:lineRule="auto"/>
              <w:rPr>
                <w:sz w:val="21"/>
                <w:szCs w:val="21"/>
              </w:rPr>
            </w:pPr>
            <w:r>
              <w:rPr>
                <w:sz w:val="21"/>
                <w:szCs w:val="21"/>
                <w:spacing w:val="-2"/>
              </w:rPr>
              <w:t>0.0050</w:t>
            </w:r>
          </w:p>
        </w:tc>
        <w:tc>
          <w:tcPr>
            <w:tcW w:w="589" w:type="dxa"/>
            <w:vAlign w:val="top"/>
          </w:tcPr>
          <w:p>
            <w:pPr>
              <w:pStyle w:val="TableText"/>
              <w:spacing w:before="43" w:line="164" w:lineRule="auto"/>
              <w:jc w:val="right"/>
              <w:rPr>
                <w:sz w:val="21"/>
                <w:szCs w:val="21"/>
              </w:rPr>
            </w:pPr>
            <w:r>
              <w:rPr>
                <w:sz w:val="21"/>
                <w:szCs w:val="21"/>
                <w:color w:val="707060"/>
                <w:spacing w:val="-13"/>
              </w:rPr>
              <w:t>0</w:t>
            </w:r>
            <w:r>
              <w:rPr>
                <w:sz w:val="21"/>
                <w:szCs w:val="21"/>
                <w:color w:val="707060"/>
                <w:spacing w:val="-12"/>
              </w:rPr>
              <w:t>.013</w:t>
            </w:r>
            <w:r>
              <w:rPr>
                <w:sz w:val="21"/>
                <w:szCs w:val="21"/>
                <w:color w:val="707060"/>
                <w:spacing w:val="-11"/>
              </w:rPr>
              <w:t>6</w:t>
            </w:r>
          </w:p>
        </w:tc>
      </w:tr>
      <w:tr>
        <w:trPr>
          <w:trHeight w:val="239" w:hRule="atLeast"/>
        </w:trPr>
        <w:tc>
          <w:tcPr>
            <w:tcW w:w="903" w:type="dxa"/>
            <w:vAlign w:val="top"/>
            <w:gridSpan w:val="2"/>
            <w:vMerge w:val="continue"/>
            <w:tcBorders>
              <w:top w:val="nil"/>
            </w:tcBorders>
          </w:tcPr>
          <w:p>
            <w:pPr>
              <w:rPr>
                <w:rFonts w:ascii="Arial"/>
                <w:sz w:val="21"/>
              </w:rPr>
            </w:pPr>
            <w:r/>
          </w:p>
        </w:tc>
        <w:tc>
          <w:tcPr>
            <w:tcW w:w="480" w:type="dxa"/>
            <w:vAlign w:val="top"/>
          </w:tcPr>
          <w:p>
            <w:pPr>
              <w:pStyle w:val="TableText"/>
              <w:ind w:left="21"/>
              <w:spacing w:before="56" w:line="173" w:lineRule="exact"/>
              <w:rPr>
                <w:sz w:val="21"/>
                <w:szCs w:val="21"/>
              </w:rPr>
            </w:pPr>
            <w:r>
              <w:rPr>
                <w:sz w:val="21"/>
                <w:szCs w:val="21"/>
                <w:spacing w:val="-2"/>
                <w:position w:val="-1"/>
              </w:rPr>
              <w:t>H</w:t>
            </w:r>
            <w:r>
              <w:rPr>
                <w:rFonts w:ascii="Calibri" w:hAnsi="Calibri" w:eastAsia="Calibri" w:cs="Calibri"/>
                <w:sz w:val="21"/>
                <w:szCs w:val="21"/>
                <w:spacing w:val="-2"/>
                <w:position w:val="-1"/>
              </w:rPr>
              <w:t>₂</w:t>
            </w:r>
            <w:r>
              <w:rPr>
                <w:sz w:val="21"/>
                <w:szCs w:val="21"/>
                <w:spacing w:val="-2"/>
                <w:position w:val="-1"/>
              </w:rPr>
              <w:t>S</w:t>
            </w:r>
          </w:p>
        </w:tc>
        <w:tc>
          <w:tcPr>
            <w:tcW w:w="699" w:type="dxa"/>
            <w:vAlign w:val="top"/>
          </w:tcPr>
          <w:p>
            <w:pPr>
              <w:pStyle w:val="TableText"/>
              <w:ind w:left="22"/>
              <w:spacing w:before="43" w:line="163" w:lineRule="auto"/>
              <w:rPr>
                <w:sz w:val="21"/>
                <w:szCs w:val="21"/>
              </w:rPr>
            </w:pPr>
            <w:r>
              <w:rPr>
                <w:sz w:val="21"/>
                <w:szCs w:val="21"/>
                <w:spacing w:val="-2"/>
              </w:rPr>
              <w:t>0.0068</w:t>
            </w:r>
          </w:p>
        </w:tc>
        <w:tc>
          <w:tcPr>
            <w:tcW w:w="619" w:type="dxa"/>
            <w:vAlign w:val="top"/>
          </w:tcPr>
          <w:p>
            <w:pPr>
              <w:pStyle w:val="TableText"/>
              <w:spacing w:before="43" w:line="163" w:lineRule="auto"/>
              <w:jc w:val="right"/>
              <w:rPr>
                <w:sz w:val="21"/>
                <w:szCs w:val="21"/>
              </w:rPr>
            </w:pPr>
            <w:r>
              <w:rPr>
                <w:sz w:val="21"/>
                <w:szCs w:val="21"/>
                <w:color w:val="807070"/>
                <w:spacing w:val="-6"/>
              </w:rPr>
              <w:t>0.0183</w:t>
            </w:r>
          </w:p>
        </w:tc>
        <w:tc>
          <w:tcPr>
            <w:tcW w:w="136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17"/>
              <w:spacing w:before="43" w:line="163" w:lineRule="auto"/>
              <w:rPr>
                <w:sz w:val="21"/>
                <w:szCs w:val="21"/>
              </w:rPr>
            </w:pPr>
            <w:r>
              <w:rPr>
                <w:sz w:val="21"/>
                <w:szCs w:val="21"/>
                <w:spacing w:val="-3"/>
              </w:rPr>
              <w:t>95</w:t>
            </w:r>
          </w:p>
        </w:tc>
        <w:tc>
          <w:tcPr>
            <w:tcW w:w="1139" w:type="dxa"/>
            <w:vAlign w:val="top"/>
          </w:tcPr>
          <w:p>
            <w:pPr>
              <w:pStyle w:val="TableText"/>
              <w:ind w:left="458"/>
              <w:spacing w:before="43" w:line="163" w:lineRule="auto"/>
              <w:rPr>
                <w:sz w:val="21"/>
                <w:szCs w:val="21"/>
              </w:rPr>
            </w:pPr>
            <w:r>
              <w:rPr>
                <w:sz w:val="21"/>
                <w:szCs w:val="21"/>
                <w:spacing w:val="-3"/>
              </w:rPr>
              <w:t>95</w:t>
            </w:r>
          </w:p>
        </w:tc>
        <w:tc>
          <w:tcPr>
            <w:tcW w:w="679" w:type="dxa"/>
            <w:vAlign w:val="top"/>
          </w:tcPr>
          <w:p>
            <w:pPr>
              <w:pStyle w:val="TableText"/>
              <w:ind w:left="18"/>
              <w:spacing w:before="43" w:line="163" w:lineRule="auto"/>
              <w:rPr>
                <w:sz w:val="21"/>
                <w:szCs w:val="21"/>
              </w:rPr>
            </w:pPr>
            <w:r>
              <w:rPr>
                <w:sz w:val="21"/>
                <w:szCs w:val="21"/>
                <w:spacing w:val="-2"/>
              </w:rPr>
              <w:t>0.0003</w:t>
            </w:r>
          </w:p>
        </w:tc>
        <w:tc>
          <w:tcPr>
            <w:tcW w:w="589" w:type="dxa"/>
            <w:vAlign w:val="top"/>
          </w:tcPr>
          <w:p>
            <w:pPr>
              <w:pStyle w:val="TableText"/>
              <w:spacing w:before="43" w:line="163" w:lineRule="auto"/>
              <w:jc w:val="right"/>
              <w:rPr>
                <w:sz w:val="21"/>
                <w:szCs w:val="21"/>
              </w:rPr>
            </w:pPr>
            <w:r>
              <w:rPr>
                <w:sz w:val="21"/>
                <w:szCs w:val="21"/>
                <w:color w:val="404050"/>
                <w:spacing w:val="-12"/>
              </w:rPr>
              <w:t>0.0009</w:t>
            </w:r>
          </w:p>
        </w:tc>
      </w:tr>
      <w:tr>
        <w:trPr>
          <w:trHeight w:val="240" w:hRule="atLeast"/>
        </w:trPr>
        <w:tc>
          <w:tcPr>
            <w:tcW w:w="903" w:type="dxa"/>
            <w:vAlign w:val="top"/>
            <w:gridSpan w:val="2"/>
            <w:vMerge w:val="restart"/>
            <w:tcBorders>
              <w:bottom w:val="nil"/>
            </w:tcBorders>
          </w:tcPr>
          <w:p>
            <w:pPr>
              <w:pStyle w:val="TableText"/>
              <w:ind w:left="234"/>
              <w:spacing w:before="143" w:line="219" w:lineRule="auto"/>
              <w:rPr>
                <w:sz w:val="21"/>
                <w:szCs w:val="21"/>
              </w:rPr>
            </w:pPr>
            <w:r>
              <w:rPr>
                <w:sz w:val="21"/>
                <w:szCs w:val="21"/>
                <w:spacing w:val="4"/>
              </w:rPr>
              <w:t>旺季</w:t>
            </w:r>
          </w:p>
        </w:tc>
        <w:tc>
          <w:tcPr>
            <w:tcW w:w="480" w:type="dxa"/>
            <w:vAlign w:val="top"/>
          </w:tcPr>
          <w:p>
            <w:pPr>
              <w:pStyle w:val="TableText"/>
              <w:ind w:left="21"/>
              <w:spacing w:before="57" w:line="172" w:lineRule="exact"/>
              <w:rPr>
                <w:rFonts w:ascii="Calibri" w:hAnsi="Calibri" w:eastAsia="Calibri" w:cs="Calibri"/>
                <w:sz w:val="21"/>
                <w:szCs w:val="21"/>
              </w:rPr>
            </w:pPr>
            <w:r>
              <w:rPr>
                <w:sz w:val="21"/>
                <w:szCs w:val="21"/>
                <w:spacing w:val="-1"/>
                <w:position w:val="-1"/>
              </w:rPr>
              <w:t>NH</w:t>
            </w:r>
            <w:r>
              <w:rPr>
                <w:rFonts w:ascii="Calibri" w:hAnsi="Calibri" w:eastAsia="Calibri" w:cs="Calibri"/>
                <w:sz w:val="21"/>
                <w:szCs w:val="21"/>
                <w:spacing w:val="-1"/>
                <w:position w:val="-1"/>
              </w:rPr>
              <w:t>₃</w:t>
            </w:r>
          </w:p>
        </w:tc>
        <w:tc>
          <w:tcPr>
            <w:tcW w:w="699" w:type="dxa"/>
            <w:vAlign w:val="top"/>
          </w:tcPr>
          <w:p>
            <w:pPr>
              <w:pStyle w:val="TableText"/>
              <w:ind w:left="71"/>
              <w:spacing w:before="44" w:line="163" w:lineRule="auto"/>
              <w:rPr>
                <w:sz w:val="21"/>
                <w:szCs w:val="21"/>
              </w:rPr>
            </w:pPr>
            <w:r>
              <w:rPr>
                <w:sz w:val="21"/>
                <w:szCs w:val="21"/>
                <w:color w:val="405050"/>
                <w:spacing w:val="-2"/>
              </w:rPr>
              <w:t>0.106</w:t>
            </w:r>
          </w:p>
        </w:tc>
        <w:tc>
          <w:tcPr>
            <w:tcW w:w="619" w:type="dxa"/>
            <w:vAlign w:val="top"/>
          </w:tcPr>
          <w:p>
            <w:pPr>
              <w:pStyle w:val="TableText"/>
              <w:spacing w:before="44" w:line="163" w:lineRule="auto"/>
              <w:jc w:val="right"/>
              <w:rPr>
                <w:sz w:val="21"/>
                <w:szCs w:val="21"/>
              </w:rPr>
            </w:pPr>
            <w:r>
              <w:rPr>
                <w:sz w:val="21"/>
                <w:szCs w:val="21"/>
                <w:spacing w:val="-6"/>
              </w:rPr>
              <w:t>0.0954</w:t>
            </w:r>
          </w:p>
        </w:tc>
        <w:tc>
          <w:tcPr>
            <w:tcW w:w="136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17"/>
              <w:spacing w:before="44" w:line="163" w:lineRule="auto"/>
              <w:rPr>
                <w:sz w:val="21"/>
                <w:szCs w:val="21"/>
              </w:rPr>
            </w:pPr>
            <w:r>
              <w:rPr>
                <w:sz w:val="21"/>
                <w:szCs w:val="21"/>
                <w:spacing w:val="-3"/>
              </w:rPr>
              <w:t>95</w:t>
            </w:r>
          </w:p>
        </w:tc>
        <w:tc>
          <w:tcPr>
            <w:tcW w:w="1139" w:type="dxa"/>
            <w:vAlign w:val="top"/>
          </w:tcPr>
          <w:p>
            <w:pPr>
              <w:pStyle w:val="TableText"/>
              <w:ind w:left="458"/>
              <w:spacing w:before="44" w:line="163" w:lineRule="auto"/>
              <w:rPr>
                <w:sz w:val="21"/>
                <w:szCs w:val="21"/>
              </w:rPr>
            </w:pPr>
            <w:r>
              <w:rPr>
                <w:sz w:val="21"/>
                <w:szCs w:val="21"/>
                <w:spacing w:val="-3"/>
              </w:rPr>
              <w:t>95</w:t>
            </w:r>
          </w:p>
        </w:tc>
        <w:tc>
          <w:tcPr>
            <w:tcW w:w="679" w:type="dxa"/>
            <w:vAlign w:val="top"/>
          </w:tcPr>
          <w:p>
            <w:pPr>
              <w:pStyle w:val="TableText"/>
              <w:ind w:left="18"/>
              <w:spacing w:before="44" w:line="163" w:lineRule="auto"/>
              <w:rPr>
                <w:sz w:val="21"/>
                <w:szCs w:val="21"/>
              </w:rPr>
            </w:pPr>
            <w:r>
              <w:rPr>
                <w:sz w:val="21"/>
                <w:szCs w:val="21"/>
                <w:spacing w:val="-2"/>
              </w:rPr>
              <w:t>0.0050</w:t>
            </w:r>
          </w:p>
        </w:tc>
        <w:tc>
          <w:tcPr>
            <w:tcW w:w="589" w:type="dxa"/>
            <w:vAlign w:val="top"/>
          </w:tcPr>
          <w:p>
            <w:pPr>
              <w:pStyle w:val="TableText"/>
              <w:spacing w:before="44" w:line="163" w:lineRule="auto"/>
              <w:jc w:val="right"/>
              <w:rPr>
                <w:sz w:val="21"/>
                <w:szCs w:val="21"/>
              </w:rPr>
            </w:pPr>
            <w:r>
              <w:rPr>
                <w:sz w:val="21"/>
                <w:szCs w:val="21"/>
                <w:spacing w:val="-12"/>
              </w:rPr>
              <w:t>0.0045</w:t>
            </w:r>
          </w:p>
        </w:tc>
      </w:tr>
      <w:tr>
        <w:trPr>
          <w:trHeight w:val="239" w:hRule="atLeast"/>
        </w:trPr>
        <w:tc>
          <w:tcPr>
            <w:tcW w:w="903" w:type="dxa"/>
            <w:vAlign w:val="top"/>
            <w:gridSpan w:val="2"/>
            <w:vMerge w:val="continue"/>
            <w:tcBorders>
              <w:top w:val="nil"/>
            </w:tcBorders>
          </w:tcPr>
          <w:p>
            <w:pPr>
              <w:rPr>
                <w:rFonts w:ascii="Arial"/>
                <w:sz w:val="21"/>
              </w:rPr>
            </w:pPr>
            <w:r/>
          </w:p>
        </w:tc>
        <w:tc>
          <w:tcPr>
            <w:tcW w:w="480" w:type="dxa"/>
            <w:vAlign w:val="top"/>
          </w:tcPr>
          <w:p>
            <w:pPr>
              <w:pStyle w:val="TableText"/>
              <w:ind w:left="21"/>
              <w:spacing w:before="57" w:line="172" w:lineRule="exact"/>
              <w:rPr>
                <w:sz w:val="21"/>
                <w:szCs w:val="21"/>
              </w:rPr>
            </w:pPr>
            <w:r>
              <w:rPr>
                <w:sz w:val="21"/>
                <w:szCs w:val="21"/>
                <w:color w:val="504050"/>
                <w:spacing w:val="-2"/>
                <w:position w:val="-1"/>
              </w:rPr>
              <w:t>H</w:t>
            </w:r>
            <w:r>
              <w:rPr>
                <w:rFonts w:ascii="Calibri" w:hAnsi="Calibri" w:eastAsia="Calibri" w:cs="Calibri"/>
                <w:sz w:val="21"/>
                <w:szCs w:val="21"/>
                <w:color w:val="504050"/>
                <w:spacing w:val="-2"/>
                <w:position w:val="-1"/>
              </w:rPr>
              <w:t>₂</w:t>
            </w:r>
            <w:r>
              <w:rPr>
                <w:sz w:val="21"/>
                <w:szCs w:val="21"/>
                <w:color w:val="504050"/>
                <w:spacing w:val="-2"/>
                <w:position w:val="-1"/>
              </w:rPr>
              <w:t>S</w:t>
            </w:r>
          </w:p>
        </w:tc>
        <w:tc>
          <w:tcPr>
            <w:tcW w:w="699" w:type="dxa"/>
            <w:vAlign w:val="top"/>
          </w:tcPr>
          <w:p>
            <w:pPr>
              <w:pStyle w:val="TableText"/>
              <w:ind w:left="22"/>
              <w:spacing w:before="44" w:line="162" w:lineRule="auto"/>
              <w:rPr>
                <w:sz w:val="21"/>
                <w:szCs w:val="21"/>
              </w:rPr>
            </w:pPr>
            <w:r>
              <w:rPr>
                <w:sz w:val="21"/>
                <w:szCs w:val="21"/>
                <w:color w:val="404040"/>
                <w:spacing w:val="-2"/>
              </w:rPr>
              <w:t>0.0068</w:t>
            </w:r>
          </w:p>
        </w:tc>
        <w:tc>
          <w:tcPr>
            <w:tcW w:w="619" w:type="dxa"/>
            <w:vAlign w:val="top"/>
          </w:tcPr>
          <w:p>
            <w:pPr>
              <w:pStyle w:val="TableText"/>
              <w:spacing w:before="44" w:line="162" w:lineRule="auto"/>
              <w:jc w:val="right"/>
              <w:rPr>
                <w:sz w:val="21"/>
                <w:szCs w:val="21"/>
              </w:rPr>
            </w:pPr>
            <w:r>
              <w:rPr>
                <w:sz w:val="21"/>
                <w:szCs w:val="21"/>
                <w:color w:val="403030"/>
                <w:spacing w:val="-6"/>
              </w:rPr>
              <w:t>0.0061</w:t>
            </w:r>
          </w:p>
        </w:tc>
        <w:tc>
          <w:tcPr>
            <w:tcW w:w="136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17"/>
              <w:spacing w:before="44" w:line="162" w:lineRule="auto"/>
              <w:rPr>
                <w:sz w:val="21"/>
                <w:szCs w:val="21"/>
              </w:rPr>
            </w:pPr>
            <w:r>
              <w:rPr>
                <w:sz w:val="21"/>
                <w:szCs w:val="21"/>
                <w:spacing w:val="-3"/>
              </w:rPr>
              <w:t>95</w:t>
            </w:r>
          </w:p>
        </w:tc>
        <w:tc>
          <w:tcPr>
            <w:tcW w:w="1139" w:type="dxa"/>
            <w:vAlign w:val="top"/>
          </w:tcPr>
          <w:p>
            <w:pPr>
              <w:pStyle w:val="TableText"/>
              <w:ind w:left="458"/>
              <w:spacing w:before="44" w:line="162" w:lineRule="auto"/>
              <w:rPr>
                <w:sz w:val="21"/>
                <w:szCs w:val="21"/>
              </w:rPr>
            </w:pPr>
            <w:r>
              <w:rPr>
                <w:sz w:val="21"/>
                <w:szCs w:val="21"/>
                <w:spacing w:val="-3"/>
              </w:rPr>
              <w:t>95</w:t>
            </w:r>
          </w:p>
        </w:tc>
        <w:tc>
          <w:tcPr>
            <w:tcW w:w="679" w:type="dxa"/>
            <w:vAlign w:val="top"/>
          </w:tcPr>
          <w:p>
            <w:pPr>
              <w:pStyle w:val="TableText"/>
              <w:ind w:left="18"/>
              <w:spacing w:before="44" w:line="162" w:lineRule="auto"/>
              <w:rPr>
                <w:sz w:val="21"/>
                <w:szCs w:val="21"/>
              </w:rPr>
            </w:pPr>
            <w:r>
              <w:rPr>
                <w:sz w:val="21"/>
                <w:szCs w:val="21"/>
                <w:spacing w:val="-2"/>
              </w:rPr>
              <w:t>0.0003</w:t>
            </w:r>
          </w:p>
        </w:tc>
        <w:tc>
          <w:tcPr>
            <w:tcW w:w="589" w:type="dxa"/>
            <w:vAlign w:val="top"/>
          </w:tcPr>
          <w:p>
            <w:pPr>
              <w:pStyle w:val="TableText"/>
              <w:spacing w:before="44" w:line="162" w:lineRule="auto"/>
              <w:jc w:val="right"/>
              <w:rPr>
                <w:sz w:val="21"/>
                <w:szCs w:val="21"/>
              </w:rPr>
            </w:pPr>
            <w:r>
              <w:rPr>
                <w:sz w:val="21"/>
                <w:szCs w:val="21"/>
                <w:color w:val="909070"/>
                <w:spacing w:val="-12"/>
              </w:rPr>
              <w:t>0.0003</w:t>
            </w:r>
          </w:p>
        </w:tc>
      </w:tr>
      <w:tr>
        <w:trPr>
          <w:trHeight w:val="250" w:hRule="atLeast"/>
        </w:trPr>
        <w:tc>
          <w:tcPr>
            <w:tcW w:w="903" w:type="dxa"/>
            <w:vAlign w:val="top"/>
            <w:gridSpan w:val="2"/>
            <w:vMerge w:val="restart"/>
            <w:tcBorders>
              <w:bottom w:val="nil"/>
            </w:tcBorders>
          </w:tcPr>
          <w:p>
            <w:pPr>
              <w:pStyle w:val="TableText"/>
              <w:ind w:left="234"/>
              <w:spacing w:before="144" w:line="219" w:lineRule="auto"/>
              <w:rPr>
                <w:sz w:val="21"/>
                <w:szCs w:val="21"/>
              </w:rPr>
            </w:pPr>
            <w:r>
              <w:rPr>
                <w:sz w:val="21"/>
                <w:szCs w:val="21"/>
                <w:spacing w:val="-3"/>
              </w:rPr>
              <w:t>全年</w:t>
            </w:r>
          </w:p>
        </w:tc>
        <w:tc>
          <w:tcPr>
            <w:tcW w:w="480" w:type="dxa"/>
            <w:vAlign w:val="top"/>
          </w:tcPr>
          <w:p>
            <w:pPr>
              <w:pStyle w:val="TableText"/>
              <w:ind w:left="21"/>
              <w:spacing w:before="58" w:line="160"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699" w:type="dxa"/>
            <w:vAlign w:val="top"/>
          </w:tcPr>
          <w:p>
            <w:pPr>
              <w:pStyle w:val="TableText"/>
              <w:ind w:left="282"/>
              <w:spacing w:before="30" w:line="184" w:lineRule="auto"/>
              <w:rPr>
                <w:sz w:val="21"/>
                <w:szCs w:val="21"/>
              </w:rPr>
            </w:pPr>
            <w:r>
              <w:rPr>
                <w:sz w:val="21"/>
                <w:szCs w:val="21"/>
              </w:rPr>
              <w:t>/</w:t>
            </w:r>
          </w:p>
        </w:tc>
        <w:tc>
          <w:tcPr>
            <w:tcW w:w="619" w:type="dxa"/>
            <w:vAlign w:val="top"/>
          </w:tcPr>
          <w:p>
            <w:pPr>
              <w:pStyle w:val="TableText"/>
              <w:spacing w:before="45" w:line="171" w:lineRule="auto"/>
              <w:jc w:val="right"/>
              <w:rPr>
                <w:sz w:val="21"/>
                <w:szCs w:val="21"/>
              </w:rPr>
            </w:pPr>
            <w:r>
              <w:rPr>
                <w:sz w:val="21"/>
                <w:szCs w:val="21"/>
                <w:spacing w:val="-6"/>
              </w:rPr>
              <w:t>0.3816</w:t>
            </w:r>
          </w:p>
        </w:tc>
        <w:tc>
          <w:tcPr>
            <w:tcW w:w="136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1059" w:type="dxa"/>
            <w:vAlign w:val="top"/>
          </w:tcPr>
          <w:p>
            <w:pPr>
              <w:pStyle w:val="TableText"/>
              <w:ind w:left="417"/>
              <w:spacing w:before="45" w:line="171" w:lineRule="auto"/>
              <w:rPr>
                <w:sz w:val="21"/>
                <w:szCs w:val="21"/>
              </w:rPr>
            </w:pPr>
            <w:r>
              <w:rPr>
                <w:sz w:val="21"/>
                <w:szCs w:val="21"/>
                <w:spacing w:val="-3"/>
              </w:rPr>
              <w:t>95</w:t>
            </w:r>
          </w:p>
        </w:tc>
        <w:tc>
          <w:tcPr>
            <w:tcW w:w="1139" w:type="dxa"/>
            <w:vAlign w:val="top"/>
          </w:tcPr>
          <w:p>
            <w:pPr>
              <w:pStyle w:val="TableText"/>
              <w:ind w:left="458"/>
              <w:spacing w:before="45" w:line="171" w:lineRule="auto"/>
              <w:rPr>
                <w:sz w:val="21"/>
                <w:szCs w:val="21"/>
              </w:rPr>
            </w:pPr>
            <w:r>
              <w:rPr>
                <w:sz w:val="21"/>
                <w:szCs w:val="21"/>
                <w:spacing w:val="-3"/>
              </w:rPr>
              <w:t>95</w:t>
            </w:r>
          </w:p>
        </w:tc>
        <w:tc>
          <w:tcPr>
            <w:tcW w:w="679" w:type="dxa"/>
            <w:vAlign w:val="top"/>
          </w:tcPr>
          <w:p>
            <w:pPr>
              <w:pStyle w:val="TableText"/>
              <w:ind w:left="278"/>
              <w:spacing w:before="30" w:line="184" w:lineRule="auto"/>
              <w:rPr>
                <w:sz w:val="21"/>
                <w:szCs w:val="21"/>
              </w:rPr>
            </w:pPr>
            <w:r>
              <w:rPr>
                <w:sz w:val="21"/>
                <w:szCs w:val="21"/>
              </w:rPr>
              <w:t>/</w:t>
            </w:r>
          </w:p>
        </w:tc>
        <w:tc>
          <w:tcPr>
            <w:tcW w:w="589" w:type="dxa"/>
            <w:vAlign w:val="top"/>
          </w:tcPr>
          <w:p>
            <w:pPr>
              <w:pStyle w:val="TableText"/>
              <w:ind w:left="19"/>
              <w:spacing w:before="45" w:line="171" w:lineRule="auto"/>
              <w:rPr>
                <w:sz w:val="21"/>
                <w:szCs w:val="21"/>
              </w:rPr>
            </w:pPr>
            <w:r>
              <w:rPr>
                <w:sz w:val="21"/>
                <w:szCs w:val="21"/>
                <w:color w:val="A09080"/>
                <w:spacing w:val="-2"/>
              </w:rPr>
              <w:t>0.018</w:t>
            </w:r>
          </w:p>
        </w:tc>
      </w:tr>
      <w:tr>
        <w:trPr>
          <w:trHeight w:val="229" w:hRule="atLeast"/>
        </w:trPr>
        <w:tc>
          <w:tcPr>
            <w:tcW w:w="903" w:type="dxa"/>
            <w:vAlign w:val="top"/>
            <w:gridSpan w:val="2"/>
            <w:vMerge w:val="continue"/>
            <w:tcBorders>
              <w:top w:val="nil"/>
            </w:tcBorders>
          </w:tcPr>
          <w:p>
            <w:pPr>
              <w:rPr>
                <w:rFonts w:ascii="Arial"/>
                <w:sz w:val="21"/>
              </w:rPr>
            </w:pPr>
            <w:r/>
          </w:p>
        </w:tc>
        <w:tc>
          <w:tcPr>
            <w:tcW w:w="480" w:type="dxa"/>
            <w:vAlign w:val="top"/>
          </w:tcPr>
          <w:p>
            <w:pPr>
              <w:pStyle w:val="TableText"/>
              <w:ind w:left="21"/>
              <w:spacing w:before="68" w:line="151" w:lineRule="exact"/>
              <w:rPr>
                <w:sz w:val="21"/>
                <w:szCs w:val="21"/>
              </w:rPr>
            </w:pPr>
            <w:r>
              <w:rPr>
                <w:sz w:val="21"/>
                <w:szCs w:val="21"/>
                <w:spacing w:val="-2"/>
                <w:position w:val="-2"/>
              </w:rPr>
              <w:t>H</w:t>
            </w:r>
            <w:r>
              <w:rPr>
                <w:rFonts w:ascii="Calibri" w:hAnsi="Calibri" w:eastAsia="Calibri" w:cs="Calibri"/>
                <w:sz w:val="21"/>
                <w:szCs w:val="21"/>
                <w:spacing w:val="-2"/>
                <w:position w:val="-2"/>
              </w:rPr>
              <w:t>₂</w:t>
            </w:r>
            <w:r>
              <w:rPr>
                <w:sz w:val="21"/>
                <w:szCs w:val="21"/>
                <w:spacing w:val="-2"/>
                <w:position w:val="-2"/>
              </w:rPr>
              <w:t>S</w:t>
            </w:r>
          </w:p>
        </w:tc>
        <w:tc>
          <w:tcPr>
            <w:tcW w:w="699" w:type="dxa"/>
            <w:vAlign w:val="top"/>
          </w:tcPr>
          <w:p>
            <w:pPr>
              <w:pStyle w:val="TableText"/>
              <w:ind w:left="282"/>
              <w:spacing w:before="40" w:line="157" w:lineRule="auto"/>
              <w:rPr>
                <w:sz w:val="21"/>
                <w:szCs w:val="21"/>
              </w:rPr>
            </w:pPr>
            <w:r>
              <w:rPr>
                <w:sz w:val="21"/>
                <w:szCs w:val="21"/>
              </w:rPr>
              <w:t>/</w:t>
            </w:r>
          </w:p>
        </w:tc>
        <w:tc>
          <w:tcPr>
            <w:tcW w:w="619" w:type="dxa"/>
            <w:vAlign w:val="top"/>
          </w:tcPr>
          <w:p>
            <w:pPr>
              <w:pStyle w:val="TableText"/>
              <w:spacing w:before="55" w:line="164" w:lineRule="exact"/>
              <w:jc w:val="right"/>
              <w:rPr>
                <w:sz w:val="21"/>
                <w:szCs w:val="21"/>
              </w:rPr>
            </w:pPr>
            <w:r>
              <w:rPr>
                <w:sz w:val="21"/>
                <w:szCs w:val="21"/>
                <w:spacing w:val="-6"/>
                <w:position w:val="-2"/>
              </w:rPr>
              <w:t>0.0245</w:t>
            </w:r>
          </w:p>
        </w:tc>
        <w:tc>
          <w:tcPr>
            <w:tcW w:w="1368" w:type="dxa"/>
            <w:vAlign w:val="top"/>
            <w:vMerge w:val="continue"/>
            <w:tcBorders>
              <w:top w:val="nil"/>
            </w:tcBorders>
          </w:tcPr>
          <w:p>
            <w:pPr>
              <w:rPr>
                <w:rFonts w:ascii="Arial"/>
                <w:sz w:val="21"/>
              </w:rPr>
            </w:pPr>
            <w:r/>
          </w:p>
        </w:tc>
        <w:tc>
          <w:tcPr>
            <w:tcW w:w="959" w:type="dxa"/>
            <w:vAlign w:val="top"/>
            <w:vMerge w:val="continue"/>
            <w:tcBorders>
              <w:top w:val="nil"/>
            </w:tcBorders>
          </w:tcPr>
          <w:p>
            <w:pPr>
              <w:rPr>
                <w:rFonts w:ascii="Arial"/>
                <w:sz w:val="21"/>
              </w:rPr>
            </w:pPr>
            <w:r/>
          </w:p>
        </w:tc>
        <w:tc>
          <w:tcPr>
            <w:tcW w:w="1059" w:type="dxa"/>
            <w:vAlign w:val="top"/>
          </w:tcPr>
          <w:p>
            <w:pPr>
              <w:pStyle w:val="TableText"/>
              <w:ind w:left="417"/>
              <w:spacing w:before="55" w:line="164" w:lineRule="exact"/>
              <w:rPr>
                <w:sz w:val="21"/>
                <w:szCs w:val="21"/>
              </w:rPr>
            </w:pPr>
            <w:r>
              <w:rPr>
                <w:sz w:val="21"/>
                <w:szCs w:val="21"/>
                <w:spacing w:val="-3"/>
                <w:position w:val="-2"/>
              </w:rPr>
              <w:t>95</w:t>
            </w:r>
          </w:p>
        </w:tc>
        <w:tc>
          <w:tcPr>
            <w:tcW w:w="1139" w:type="dxa"/>
            <w:vAlign w:val="top"/>
          </w:tcPr>
          <w:p>
            <w:pPr>
              <w:pStyle w:val="TableText"/>
              <w:ind w:left="458"/>
              <w:spacing w:before="55" w:line="164" w:lineRule="exact"/>
              <w:rPr>
                <w:sz w:val="21"/>
                <w:szCs w:val="21"/>
              </w:rPr>
            </w:pPr>
            <w:r>
              <w:rPr>
                <w:sz w:val="21"/>
                <w:szCs w:val="21"/>
                <w:spacing w:val="-3"/>
                <w:position w:val="-2"/>
              </w:rPr>
              <w:t>95</w:t>
            </w:r>
          </w:p>
        </w:tc>
        <w:tc>
          <w:tcPr>
            <w:tcW w:w="679" w:type="dxa"/>
            <w:vAlign w:val="top"/>
          </w:tcPr>
          <w:p>
            <w:pPr>
              <w:pStyle w:val="TableText"/>
              <w:ind w:left="278"/>
              <w:spacing w:before="55" w:line="164" w:lineRule="exact"/>
              <w:rPr>
                <w:sz w:val="21"/>
                <w:szCs w:val="21"/>
              </w:rPr>
            </w:pPr>
            <w:r>
              <w:rPr>
                <w:sz w:val="21"/>
                <w:szCs w:val="21"/>
                <w:position w:val="-3"/>
              </w:rPr>
              <w:t>1</w:t>
            </w:r>
          </w:p>
        </w:tc>
        <w:tc>
          <w:tcPr>
            <w:tcW w:w="589" w:type="dxa"/>
            <w:vAlign w:val="top"/>
          </w:tcPr>
          <w:p>
            <w:pPr>
              <w:pStyle w:val="TableText"/>
              <w:spacing w:before="55" w:line="164" w:lineRule="exact"/>
              <w:jc w:val="right"/>
              <w:rPr>
                <w:sz w:val="21"/>
                <w:szCs w:val="21"/>
              </w:rPr>
            </w:pPr>
            <w:r>
              <w:rPr>
                <w:sz w:val="21"/>
                <w:szCs w:val="21"/>
                <w:color w:val="405050"/>
                <w:spacing w:val="-12"/>
                <w:position w:val="-2"/>
              </w:rPr>
              <w:t>0.0012</w:t>
            </w:r>
          </w:p>
        </w:tc>
      </w:tr>
      <w:tr>
        <w:trPr>
          <w:trHeight w:val="250" w:hRule="atLeast"/>
        </w:trPr>
        <w:tc>
          <w:tcPr>
            <w:tcW w:w="444" w:type="dxa"/>
            <w:vAlign w:val="top"/>
            <w:vMerge w:val="restart"/>
            <w:tcBorders>
              <w:bottom w:val="nil"/>
            </w:tcBorders>
          </w:tcPr>
          <w:p>
            <w:pPr>
              <w:pStyle w:val="TableText"/>
              <w:spacing w:before="126" w:line="221" w:lineRule="auto"/>
              <w:jc w:val="right"/>
              <w:rPr>
                <w:sz w:val="21"/>
                <w:szCs w:val="21"/>
              </w:rPr>
            </w:pPr>
            <w:r>
              <w:rPr>
                <w:sz w:val="21"/>
                <w:szCs w:val="21"/>
                <w:spacing w:val="-1"/>
              </w:rPr>
              <w:t>肉牛</w:t>
            </w:r>
          </w:p>
          <w:p>
            <w:pPr>
              <w:pStyle w:val="TableText"/>
              <w:spacing w:before="17" w:line="219" w:lineRule="auto"/>
              <w:jc w:val="right"/>
              <w:rPr>
                <w:sz w:val="21"/>
                <w:szCs w:val="21"/>
              </w:rPr>
            </w:pPr>
            <w:r>
              <w:rPr>
                <w:sz w:val="21"/>
                <w:szCs w:val="21"/>
                <w:spacing w:val="-1"/>
              </w:rPr>
              <w:t>待宰</w:t>
            </w:r>
          </w:p>
          <w:p>
            <w:pPr>
              <w:pStyle w:val="TableText"/>
              <w:spacing w:before="2" w:line="221" w:lineRule="auto"/>
              <w:jc w:val="right"/>
              <w:rPr>
                <w:sz w:val="21"/>
                <w:szCs w:val="21"/>
              </w:rPr>
            </w:pPr>
            <w:r>
              <w:rPr>
                <w:sz w:val="21"/>
                <w:szCs w:val="21"/>
                <w:spacing w:val="-1"/>
              </w:rPr>
              <w:t>圈舍</w:t>
            </w:r>
          </w:p>
        </w:tc>
        <w:tc>
          <w:tcPr>
            <w:tcW w:w="459" w:type="dxa"/>
            <w:vAlign w:val="top"/>
            <w:vMerge w:val="restart"/>
            <w:tcBorders>
              <w:bottom w:val="nil"/>
            </w:tcBorders>
          </w:tcPr>
          <w:p>
            <w:pPr>
              <w:pStyle w:val="TableText"/>
              <w:ind w:left="10"/>
              <w:spacing w:before="154" w:line="219" w:lineRule="auto"/>
              <w:rPr>
                <w:sz w:val="21"/>
                <w:szCs w:val="21"/>
              </w:rPr>
            </w:pPr>
            <w:r>
              <w:rPr>
                <w:sz w:val="21"/>
                <w:szCs w:val="21"/>
                <w:spacing w:val="4"/>
              </w:rPr>
              <w:t>淡季</w:t>
            </w:r>
          </w:p>
        </w:tc>
        <w:tc>
          <w:tcPr>
            <w:tcW w:w="480" w:type="dxa"/>
            <w:vAlign w:val="top"/>
          </w:tcPr>
          <w:p>
            <w:pPr>
              <w:pStyle w:val="TableText"/>
              <w:ind w:left="21"/>
              <w:spacing w:before="59" w:line="159" w:lineRule="auto"/>
              <w:rPr>
                <w:rFonts w:ascii="Calibri" w:hAnsi="Calibri" w:eastAsia="Calibri" w:cs="Calibri"/>
                <w:sz w:val="21"/>
                <w:szCs w:val="21"/>
              </w:rPr>
            </w:pPr>
            <w:r>
              <w:rPr>
                <w:sz w:val="21"/>
                <w:szCs w:val="21"/>
                <w:color w:val="504040"/>
                <w:spacing w:val="-1"/>
              </w:rPr>
              <w:t>NH</w:t>
            </w:r>
            <w:r>
              <w:rPr>
                <w:rFonts w:ascii="Calibri" w:hAnsi="Calibri" w:eastAsia="Calibri" w:cs="Calibri"/>
                <w:sz w:val="21"/>
                <w:szCs w:val="21"/>
                <w:color w:val="504040"/>
                <w:spacing w:val="-1"/>
              </w:rPr>
              <w:t>₃</w:t>
            </w:r>
          </w:p>
        </w:tc>
        <w:tc>
          <w:tcPr>
            <w:tcW w:w="699" w:type="dxa"/>
            <w:vAlign w:val="top"/>
          </w:tcPr>
          <w:p>
            <w:pPr>
              <w:pStyle w:val="TableText"/>
              <w:ind w:left="22"/>
              <w:spacing w:before="46" w:line="170" w:lineRule="auto"/>
              <w:rPr>
                <w:sz w:val="21"/>
                <w:szCs w:val="21"/>
              </w:rPr>
            </w:pPr>
            <w:r>
              <w:rPr>
                <w:sz w:val="21"/>
                <w:szCs w:val="21"/>
                <w:spacing w:val="-2"/>
              </w:rPr>
              <w:t>0.0027</w:t>
            </w:r>
          </w:p>
        </w:tc>
        <w:tc>
          <w:tcPr>
            <w:tcW w:w="619" w:type="dxa"/>
            <w:vAlign w:val="top"/>
          </w:tcPr>
          <w:p>
            <w:pPr>
              <w:pStyle w:val="TableText"/>
              <w:spacing w:before="46" w:line="170" w:lineRule="auto"/>
              <w:jc w:val="right"/>
              <w:rPr>
                <w:sz w:val="21"/>
                <w:szCs w:val="21"/>
              </w:rPr>
            </w:pPr>
            <w:r>
              <w:rPr>
                <w:sz w:val="21"/>
                <w:szCs w:val="21"/>
                <w:spacing w:val="-6"/>
              </w:rPr>
              <w:t>0.0086</w:t>
            </w:r>
          </w:p>
        </w:tc>
        <w:tc>
          <w:tcPr>
            <w:tcW w:w="1368" w:type="dxa"/>
            <w:vAlign w:val="top"/>
            <w:vMerge w:val="restart"/>
            <w:tcBorders>
              <w:bottom w:val="nil"/>
            </w:tcBorders>
          </w:tcPr>
          <w:p>
            <w:pPr>
              <w:pStyle w:val="TableText"/>
              <w:ind w:left="44"/>
              <w:spacing w:before="226" w:line="220" w:lineRule="auto"/>
              <w:rPr>
                <w:sz w:val="21"/>
                <w:szCs w:val="21"/>
              </w:rPr>
            </w:pPr>
            <w:r>
              <w:rPr>
                <w:sz w:val="21"/>
                <w:szCs w:val="21"/>
                <w:spacing w:val="2"/>
              </w:rPr>
              <w:t>设置两道门密</w:t>
            </w:r>
          </w:p>
          <w:p>
            <w:pPr>
              <w:pStyle w:val="TableText"/>
              <w:ind w:left="44"/>
              <w:spacing w:before="19" w:line="220" w:lineRule="auto"/>
              <w:rPr>
                <w:sz w:val="21"/>
                <w:szCs w:val="21"/>
              </w:rPr>
            </w:pPr>
            <w:r>
              <w:rPr>
                <w:sz w:val="21"/>
                <w:szCs w:val="21"/>
                <w:spacing w:val="2"/>
              </w:rPr>
              <w:t>闭厂房，定期</w:t>
            </w:r>
          </w:p>
          <w:p>
            <w:pPr>
              <w:pStyle w:val="TableText"/>
              <w:ind w:left="44"/>
              <w:spacing w:before="19" w:line="219" w:lineRule="auto"/>
              <w:rPr>
                <w:sz w:val="21"/>
                <w:szCs w:val="21"/>
              </w:rPr>
            </w:pPr>
            <w:r>
              <w:rPr>
                <w:sz w:val="21"/>
                <w:szCs w:val="21"/>
                <w:spacing w:val="1"/>
              </w:rPr>
              <w:t>喷洒微生物除</w:t>
            </w:r>
          </w:p>
          <w:p>
            <w:pPr>
              <w:pStyle w:val="TableText"/>
              <w:ind w:left="44"/>
              <w:spacing w:before="39" w:line="219" w:lineRule="auto"/>
              <w:rPr>
                <w:sz w:val="21"/>
                <w:szCs w:val="21"/>
              </w:rPr>
            </w:pPr>
            <w:r>
              <w:rPr>
                <w:sz w:val="21"/>
                <w:szCs w:val="21"/>
                <w:spacing w:val="-2"/>
              </w:rPr>
              <w:t>臭剂，采用干</w:t>
            </w:r>
          </w:p>
          <w:p>
            <w:pPr>
              <w:pStyle w:val="TableText"/>
              <w:ind w:left="44"/>
              <w:spacing w:before="20" w:line="219" w:lineRule="auto"/>
              <w:rPr>
                <w:sz w:val="21"/>
                <w:szCs w:val="21"/>
              </w:rPr>
            </w:pPr>
            <w:r>
              <w:rPr>
                <w:sz w:val="21"/>
                <w:szCs w:val="21"/>
                <w:spacing w:val="-2"/>
              </w:rPr>
              <w:t>清粪工艺，干</w:t>
            </w:r>
          </w:p>
          <w:p>
            <w:pPr>
              <w:pStyle w:val="TableText"/>
              <w:ind w:left="153"/>
              <w:spacing w:before="22" w:line="219" w:lineRule="auto"/>
              <w:rPr>
                <w:sz w:val="21"/>
                <w:szCs w:val="21"/>
              </w:rPr>
            </w:pPr>
            <w:r>
              <w:rPr>
                <w:sz w:val="21"/>
                <w:szCs w:val="21"/>
                <w:spacing w:val="2"/>
              </w:rPr>
              <w:t>粪日产日清</w:t>
            </w:r>
          </w:p>
        </w:tc>
        <w:tc>
          <w:tcPr>
            <w:tcW w:w="959" w:type="dxa"/>
            <w:vAlign w:val="top"/>
            <w:vMerge w:val="restart"/>
            <w:tcBorders>
              <w:bottom w:val="nil"/>
            </w:tcBorders>
          </w:tcPr>
          <w:p>
            <w:pPr>
              <w:spacing w:line="347" w:lineRule="auto"/>
              <w:rPr>
                <w:rFonts w:ascii="Arial"/>
                <w:sz w:val="21"/>
              </w:rPr>
            </w:pPr>
            <w:r/>
          </w:p>
          <w:p>
            <w:pPr>
              <w:spacing w:line="347" w:lineRule="auto"/>
              <w:rPr>
                <w:rFonts w:ascii="Arial"/>
                <w:sz w:val="21"/>
              </w:rPr>
            </w:pPr>
            <w:r/>
          </w:p>
          <w:p>
            <w:pPr>
              <w:pStyle w:val="TableText"/>
              <w:ind w:left="155" w:right="174" w:firstLine="110"/>
              <w:spacing w:before="69" w:line="258" w:lineRule="auto"/>
              <w:rPr>
                <w:sz w:val="21"/>
                <w:szCs w:val="21"/>
              </w:rPr>
            </w:pPr>
            <w:r>
              <w:rPr>
                <w:sz w:val="21"/>
                <w:szCs w:val="21"/>
                <w:spacing w:val="-5"/>
              </w:rPr>
              <w:t>无组</w:t>
            </w:r>
            <w:r>
              <w:rPr>
                <w:sz w:val="21"/>
                <w:szCs w:val="21"/>
              </w:rPr>
              <w:t xml:space="preserve">  </w:t>
            </w:r>
            <w:r>
              <w:rPr>
                <w:sz w:val="21"/>
                <w:szCs w:val="21"/>
                <w:spacing w:val="-4"/>
              </w:rPr>
              <w:t>织排放</w:t>
            </w:r>
          </w:p>
        </w:tc>
        <w:tc>
          <w:tcPr>
            <w:tcW w:w="2198" w:type="dxa"/>
            <w:vAlign w:val="top"/>
            <w:gridSpan w:val="2"/>
          </w:tcPr>
          <w:p>
            <w:pPr>
              <w:pStyle w:val="TableText"/>
              <w:ind w:left="987"/>
              <w:spacing w:before="46" w:line="170" w:lineRule="auto"/>
              <w:rPr>
                <w:sz w:val="21"/>
                <w:szCs w:val="21"/>
              </w:rPr>
            </w:pPr>
            <w:r>
              <w:rPr>
                <w:sz w:val="21"/>
                <w:szCs w:val="21"/>
                <w:spacing w:val="-4"/>
              </w:rPr>
              <w:t>50</w:t>
            </w:r>
          </w:p>
        </w:tc>
        <w:tc>
          <w:tcPr>
            <w:tcW w:w="679" w:type="dxa"/>
            <w:vAlign w:val="top"/>
          </w:tcPr>
          <w:p>
            <w:pPr>
              <w:pStyle w:val="TableText"/>
              <w:ind w:left="18"/>
              <w:spacing w:before="46" w:line="170" w:lineRule="auto"/>
              <w:rPr>
                <w:sz w:val="21"/>
                <w:szCs w:val="21"/>
              </w:rPr>
            </w:pPr>
            <w:r>
              <w:rPr>
                <w:sz w:val="21"/>
                <w:szCs w:val="21"/>
                <w:spacing w:val="-2"/>
              </w:rPr>
              <w:t>0.0013</w:t>
            </w:r>
          </w:p>
        </w:tc>
        <w:tc>
          <w:tcPr>
            <w:tcW w:w="589" w:type="dxa"/>
            <w:vAlign w:val="top"/>
          </w:tcPr>
          <w:p>
            <w:pPr>
              <w:pStyle w:val="TableText"/>
              <w:spacing w:before="46" w:line="170" w:lineRule="auto"/>
              <w:jc w:val="right"/>
              <w:rPr>
                <w:sz w:val="21"/>
                <w:szCs w:val="21"/>
              </w:rPr>
            </w:pPr>
            <w:r>
              <w:rPr>
                <w:sz w:val="21"/>
                <w:szCs w:val="21"/>
                <w:spacing w:val="-12"/>
              </w:rPr>
              <w:t>0.0043</w:t>
            </w:r>
          </w:p>
        </w:tc>
      </w:tr>
      <w:tr>
        <w:trPr>
          <w:trHeight w:val="240" w:hRule="atLeast"/>
        </w:trPr>
        <w:tc>
          <w:tcPr>
            <w:tcW w:w="444" w:type="dxa"/>
            <w:vAlign w:val="top"/>
            <w:vMerge w:val="continue"/>
            <w:tcBorders>
              <w:top w:val="nil"/>
              <w:bottom w:val="nil"/>
            </w:tcBorders>
          </w:tcPr>
          <w:p>
            <w:pPr>
              <w:rPr>
                <w:rFonts w:ascii="Arial"/>
                <w:sz w:val="21"/>
              </w:rPr>
            </w:pPr>
            <w:r/>
          </w:p>
        </w:tc>
        <w:tc>
          <w:tcPr>
            <w:tcW w:w="459" w:type="dxa"/>
            <w:vAlign w:val="top"/>
            <w:vMerge w:val="continue"/>
            <w:tcBorders>
              <w:top w:val="nil"/>
            </w:tcBorders>
          </w:tcPr>
          <w:p>
            <w:pPr>
              <w:rPr>
                <w:rFonts w:ascii="Arial"/>
                <w:sz w:val="21"/>
              </w:rPr>
            </w:pPr>
            <w:r/>
          </w:p>
        </w:tc>
        <w:tc>
          <w:tcPr>
            <w:tcW w:w="480" w:type="dxa"/>
            <w:vAlign w:val="top"/>
          </w:tcPr>
          <w:p>
            <w:pPr>
              <w:pStyle w:val="TableText"/>
              <w:ind w:left="21"/>
              <w:spacing w:before="59" w:line="171" w:lineRule="exact"/>
              <w:rPr>
                <w:sz w:val="21"/>
                <w:szCs w:val="21"/>
              </w:rPr>
            </w:pPr>
            <w:r>
              <w:rPr>
                <w:sz w:val="21"/>
                <w:szCs w:val="21"/>
                <w:color w:val="403040"/>
                <w:spacing w:val="-2"/>
                <w:position w:val="-1"/>
              </w:rPr>
              <w:t>H</w:t>
            </w:r>
            <w:r>
              <w:rPr>
                <w:rFonts w:ascii="Calibri" w:hAnsi="Calibri" w:eastAsia="Calibri" w:cs="Calibri"/>
                <w:sz w:val="21"/>
                <w:szCs w:val="21"/>
                <w:color w:val="403040"/>
                <w:spacing w:val="-2"/>
                <w:position w:val="-1"/>
              </w:rPr>
              <w:t>₂</w:t>
            </w:r>
            <w:r>
              <w:rPr>
                <w:sz w:val="21"/>
                <w:szCs w:val="21"/>
                <w:color w:val="403040"/>
                <w:spacing w:val="-2"/>
                <w:position w:val="-1"/>
              </w:rPr>
              <w:t>S</w:t>
            </w:r>
          </w:p>
        </w:tc>
        <w:tc>
          <w:tcPr>
            <w:tcW w:w="699" w:type="dxa"/>
            <w:vAlign w:val="top"/>
          </w:tcPr>
          <w:p>
            <w:pPr>
              <w:pStyle w:val="TableText"/>
              <w:ind w:left="22"/>
              <w:spacing w:before="46" w:line="161" w:lineRule="auto"/>
              <w:rPr>
                <w:sz w:val="21"/>
                <w:szCs w:val="21"/>
              </w:rPr>
            </w:pPr>
            <w:r>
              <w:rPr>
                <w:sz w:val="21"/>
                <w:szCs w:val="21"/>
                <w:spacing w:val="-2"/>
              </w:rPr>
              <w:t>0.0002</w:t>
            </w:r>
          </w:p>
        </w:tc>
        <w:tc>
          <w:tcPr>
            <w:tcW w:w="619" w:type="dxa"/>
            <w:vAlign w:val="top"/>
          </w:tcPr>
          <w:p>
            <w:pPr>
              <w:pStyle w:val="TableText"/>
              <w:spacing w:before="46" w:line="161" w:lineRule="auto"/>
              <w:jc w:val="right"/>
              <w:rPr>
                <w:sz w:val="21"/>
                <w:szCs w:val="21"/>
              </w:rPr>
            </w:pPr>
            <w:r>
              <w:rPr>
                <w:sz w:val="21"/>
                <w:szCs w:val="21"/>
                <w:color w:val="606050"/>
                <w:spacing w:val="-6"/>
              </w:rPr>
              <w:t>0.0006</w:t>
            </w:r>
          </w:p>
        </w:tc>
        <w:tc>
          <w:tcPr>
            <w:tcW w:w="136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2198" w:type="dxa"/>
            <w:vAlign w:val="top"/>
            <w:gridSpan w:val="2"/>
          </w:tcPr>
          <w:p>
            <w:pPr>
              <w:pStyle w:val="TableText"/>
              <w:ind w:left="987"/>
              <w:spacing w:before="46" w:line="161" w:lineRule="auto"/>
              <w:rPr>
                <w:sz w:val="21"/>
                <w:szCs w:val="21"/>
              </w:rPr>
            </w:pPr>
            <w:r>
              <w:rPr>
                <w:sz w:val="21"/>
                <w:szCs w:val="21"/>
                <w:spacing w:val="-4"/>
              </w:rPr>
              <w:t>50</w:t>
            </w:r>
          </w:p>
        </w:tc>
        <w:tc>
          <w:tcPr>
            <w:tcW w:w="679" w:type="dxa"/>
            <w:vAlign w:val="top"/>
          </w:tcPr>
          <w:p>
            <w:pPr>
              <w:pStyle w:val="TableText"/>
              <w:ind w:left="18"/>
              <w:spacing w:before="46" w:line="161" w:lineRule="auto"/>
              <w:rPr>
                <w:sz w:val="21"/>
                <w:szCs w:val="21"/>
              </w:rPr>
            </w:pPr>
            <w:r>
              <w:rPr>
                <w:sz w:val="21"/>
                <w:szCs w:val="21"/>
                <w:color w:val="505040"/>
                <w:spacing w:val="-2"/>
              </w:rPr>
              <w:t>0.0001</w:t>
            </w:r>
          </w:p>
        </w:tc>
        <w:tc>
          <w:tcPr>
            <w:tcW w:w="589" w:type="dxa"/>
            <w:vAlign w:val="top"/>
          </w:tcPr>
          <w:p>
            <w:pPr>
              <w:pStyle w:val="TableText"/>
              <w:spacing w:before="46" w:line="161" w:lineRule="auto"/>
              <w:jc w:val="right"/>
              <w:rPr>
                <w:sz w:val="21"/>
                <w:szCs w:val="21"/>
              </w:rPr>
            </w:pPr>
            <w:r>
              <w:rPr>
                <w:sz w:val="21"/>
                <w:szCs w:val="21"/>
                <w:color w:val="808070"/>
                <w:spacing w:val="-12"/>
              </w:rPr>
              <w:t>0.0003</w:t>
            </w:r>
          </w:p>
        </w:tc>
      </w:tr>
      <w:tr>
        <w:trPr>
          <w:trHeight w:val="240" w:hRule="atLeast"/>
        </w:trPr>
        <w:tc>
          <w:tcPr>
            <w:tcW w:w="444" w:type="dxa"/>
            <w:vAlign w:val="top"/>
            <w:vMerge w:val="continue"/>
            <w:tcBorders>
              <w:top w:val="nil"/>
              <w:bottom w:val="nil"/>
            </w:tcBorders>
          </w:tcPr>
          <w:p>
            <w:pPr>
              <w:rPr>
                <w:rFonts w:ascii="Arial"/>
                <w:sz w:val="21"/>
              </w:rPr>
            </w:pPr>
            <w:r/>
          </w:p>
        </w:tc>
        <w:tc>
          <w:tcPr>
            <w:tcW w:w="459" w:type="dxa"/>
            <w:vAlign w:val="top"/>
            <w:vMerge w:val="restart"/>
            <w:tcBorders>
              <w:bottom w:val="nil"/>
            </w:tcBorders>
          </w:tcPr>
          <w:p>
            <w:pPr>
              <w:pStyle w:val="TableText"/>
              <w:ind w:left="10"/>
              <w:spacing w:before="145" w:line="219" w:lineRule="auto"/>
              <w:rPr>
                <w:sz w:val="21"/>
                <w:szCs w:val="21"/>
              </w:rPr>
            </w:pPr>
            <w:r>
              <w:rPr>
                <w:sz w:val="21"/>
                <w:szCs w:val="21"/>
                <w:spacing w:val="4"/>
              </w:rPr>
              <w:t>旺季</w:t>
            </w:r>
          </w:p>
        </w:tc>
        <w:tc>
          <w:tcPr>
            <w:tcW w:w="480" w:type="dxa"/>
            <w:vAlign w:val="top"/>
          </w:tcPr>
          <w:p>
            <w:pPr>
              <w:pStyle w:val="TableText"/>
              <w:ind w:left="21"/>
              <w:spacing w:before="59" w:line="171" w:lineRule="exact"/>
              <w:rPr>
                <w:rFonts w:ascii="Calibri" w:hAnsi="Calibri" w:eastAsia="Calibri" w:cs="Calibri"/>
                <w:sz w:val="21"/>
                <w:szCs w:val="21"/>
              </w:rPr>
            </w:pPr>
            <w:r>
              <w:rPr>
                <w:sz w:val="21"/>
                <w:szCs w:val="21"/>
                <w:spacing w:val="-1"/>
                <w:position w:val="-1"/>
              </w:rPr>
              <w:t>NH</w:t>
            </w:r>
            <w:r>
              <w:rPr>
                <w:rFonts w:ascii="Calibri" w:hAnsi="Calibri" w:eastAsia="Calibri" w:cs="Calibri"/>
                <w:sz w:val="21"/>
                <w:szCs w:val="21"/>
                <w:spacing w:val="-1"/>
                <w:position w:val="-1"/>
              </w:rPr>
              <w:t>₃</w:t>
            </w:r>
          </w:p>
        </w:tc>
        <w:tc>
          <w:tcPr>
            <w:tcW w:w="699" w:type="dxa"/>
            <w:vAlign w:val="top"/>
          </w:tcPr>
          <w:p>
            <w:pPr>
              <w:pStyle w:val="TableText"/>
              <w:ind w:left="22"/>
              <w:spacing w:before="46" w:line="161" w:lineRule="auto"/>
              <w:rPr>
                <w:sz w:val="21"/>
                <w:szCs w:val="21"/>
              </w:rPr>
            </w:pPr>
            <w:r>
              <w:rPr>
                <w:sz w:val="21"/>
                <w:szCs w:val="21"/>
                <w:color w:val="404040"/>
                <w:spacing w:val="-2"/>
              </w:rPr>
              <w:t>0.0027</w:t>
            </w:r>
          </w:p>
        </w:tc>
        <w:tc>
          <w:tcPr>
            <w:tcW w:w="619" w:type="dxa"/>
            <w:vAlign w:val="top"/>
          </w:tcPr>
          <w:p>
            <w:pPr>
              <w:pStyle w:val="TableText"/>
              <w:spacing w:before="46" w:line="161" w:lineRule="auto"/>
              <w:jc w:val="right"/>
              <w:rPr>
                <w:sz w:val="21"/>
                <w:szCs w:val="21"/>
              </w:rPr>
            </w:pPr>
            <w:r>
              <w:rPr>
                <w:sz w:val="21"/>
                <w:szCs w:val="21"/>
                <w:spacing w:val="-6"/>
              </w:rPr>
              <w:t>0.0029</w:t>
            </w:r>
          </w:p>
        </w:tc>
        <w:tc>
          <w:tcPr>
            <w:tcW w:w="136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2198" w:type="dxa"/>
            <w:vAlign w:val="top"/>
            <w:gridSpan w:val="2"/>
          </w:tcPr>
          <w:p>
            <w:pPr>
              <w:pStyle w:val="TableText"/>
              <w:ind w:left="987"/>
              <w:spacing w:before="46" w:line="161" w:lineRule="auto"/>
              <w:rPr>
                <w:sz w:val="21"/>
                <w:szCs w:val="21"/>
              </w:rPr>
            </w:pPr>
            <w:r>
              <w:rPr>
                <w:sz w:val="21"/>
                <w:szCs w:val="21"/>
                <w:spacing w:val="-4"/>
              </w:rPr>
              <w:t>50</w:t>
            </w:r>
          </w:p>
        </w:tc>
        <w:tc>
          <w:tcPr>
            <w:tcW w:w="679" w:type="dxa"/>
            <w:vAlign w:val="top"/>
          </w:tcPr>
          <w:p>
            <w:pPr>
              <w:pStyle w:val="TableText"/>
              <w:ind w:left="18"/>
              <w:spacing w:before="46" w:line="161" w:lineRule="auto"/>
              <w:rPr>
                <w:sz w:val="21"/>
                <w:szCs w:val="21"/>
              </w:rPr>
            </w:pPr>
            <w:r>
              <w:rPr>
                <w:sz w:val="21"/>
                <w:szCs w:val="21"/>
                <w:spacing w:val="-2"/>
              </w:rPr>
              <w:t>0.0013</w:t>
            </w:r>
          </w:p>
        </w:tc>
        <w:tc>
          <w:tcPr>
            <w:tcW w:w="589" w:type="dxa"/>
            <w:vAlign w:val="top"/>
          </w:tcPr>
          <w:p>
            <w:pPr>
              <w:pStyle w:val="TableText"/>
              <w:spacing w:before="46" w:line="161" w:lineRule="auto"/>
              <w:jc w:val="right"/>
              <w:rPr>
                <w:sz w:val="21"/>
                <w:szCs w:val="21"/>
              </w:rPr>
            </w:pPr>
            <w:r>
              <w:rPr>
                <w:sz w:val="21"/>
                <w:szCs w:val="21"/>
                <w:color w:val="707060"/>
                <w:spacing w:val="-14"/>
              </w:rPr>
              <w:t>0.001</w:t>
            </w:r>
            <w:r>
              <w:rPr>
                <w:sz w:val="21"/>
                <w:szCs w:val="21"/>
                <w:color w:val="707060"/>
                <w:spacing w:val="-8"/>
              </w:rPr>
              <w:t>4</w:t>
            </w:r>
          </w:p>
        </w:tc>
      </w:tr>
      <w:tr>
        <w:trPr>
          <w:trHeight w:val="239" w:hRule="atLeast"/>
        </w:trPr>
        <w:tc>
          <w:tcPr>
            <w:tcW w:w="444" w:type="dxa"/>
            <w:vAlign w:val="top"/>
            <w:vMerge w:val="continue"/>
            <w:tcBorders>
              <w:top w:val="nil"/>
            </w:tcBorders>
          </w:tcPr>
          <w:p>
            <w:pPr>
              <w:rPr>
                <w:rFonts w:ascii="Arial"/>
                <w:sz w:val="21"/>
              </w:rPr>
            </w:pPr>
            <w:r/>
          </w:p>
        </w:tc>
        <w:tc>
          <w:tcPr>
            <w:tcW w:w="459" w:type="dxa"/>
            <w:vAlign w:val="top"/>
            <w:vMerge w:val="continue"/>
            <w:tcBorders>
              <w:top w:val="nil"/>
            </w:tcBorders>
          </w:tcPr>
          <w:p>
            <w:pPr>
              <w:rPr>
                <w:rFonts w:ascii="Arial"/>
                <w:sz w:val="21"/>
              </w:rPr>
            </w:pPr>
            <w:r/>
          </w:p>
        </w:tc>
        <w:tc>
          <w:tcPr>
            <w:tcW w:w="480" w:type="dxa"/>
            <w:vAlign w:val="top"/>
          </w:tcPr>
          <w:p>
            <w:pPr>
              <w:pStyle w:val="TableText"/>
              <w:ind w:left="21"/>
              <w:spacing w:before="59" w:line="170" w:lineRule="exact"/>
              <w:rPr>
                <w:sz w:val="21"/>
                <w:szCs w:val="21"/>
              </w:rPr>
            </w:pPr>
            <w:r>
              <w:rPr>
                <w:sz w:val="21"/>
                <w:szCs w:val="21"/>
                <w:spacing w:val="-2"/>
                <w:position w:val="-1"/>
              </w:rPr>
              <w:t>H</w:t>
            </w:r>
            <w:r>
              <w:rPr>
                <w:rFonts w:ascii="Calibri" w:hAnsi="Calibri" w:eastAsia="Calibri" w:cs="Calibri"/>
                <w:sz w:val="21"/>
                <w:szCs w:val="21"/>
                <w:spacing w:val="-2"/>
                <w:position w:val="-1"/>
              </w:rPr>
              <w:t>₂</w:t>
            </w:r>
            <w:r>
              <w:rPr>
                <w:sz w:val="21"/>
                <w:szCs w:val="21"/>
                <w:spacing w:val="-2"/>
                <w:position w:val="-1"/>
              </w:rPr>
              <w:t>S</w:t>
            </w:r>
          </w:p>
        </w:tc>
        <w:tc>
          <w:tcPr>
            <w:tcW w:w="699" w:type="dxa"/>
            <w:vAlign w:val="top"/>
          </w:tcPr>
          <w:p>
            <w:pPr>
              <w:pStyle w:val="TableText"/>
              <w:ind w:left="22"/>
              <w:spacing w:before="47" w:line="160" w:lineRule="auto"/>
              <w:rPr>
                <w:sz w:val="21"/>
                <w:szCs w:val="21"/>
              </w:rPr>
            </w:pPr>
            <w:r>
              <w:rPr>
                <w:sz w:val="21"/>
                <w:szCs w:val="21"/>
                <w:spacing w:val="-2"/>
              </w:rPr>
              <w:t>0.0002</w:t>
            </w:r>
          </w:p>
        </w:tc>
        <w:tc>
          <w:tcPr>
            <w:tcW w:w="619" w:type="dxa"/>
            <w:vAlign w:val="top"/>
          </w:tcPr>
          <w:p>
            <w:pPr>
              <w:pStyle w:val="TableText"/>
              <w:spacing w:before="47" w:line="160" w:lineRule="auto"/>
              <w:jc w:val="right"/>
              <w:rPr>
                <w:sz w:val="21"/>
                <w:szCs w:val="21"/>
              </w:rPr>
            </w:pPr>
            <w:r>
              <w:rPr>
                <w:sz w:val="21"/>
                <w:szCs w:val="21"/>
                <w:color w:val="404040"/>
                <w:spacing w:val="-6"/>
              </w:rPr>
              <w:t>0.0002</w:t>
            </w:r>
          </w:p>
        </w:tc>
        <w:tc>
          <w:tcPr>
            <w:tcW w:w="136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2198" w:type="dxa"/>
            <w:vAlign w:val="top"/>
            <w:gridSpan w:val="2"/>
          </w:tcPr>
          <w:p>
            <w:pPr>
              <w:pStyle w:val="TableText"/>
              <w:ind w:left="987"/>
              <w:spacing w:before="47" w:line="160" w:lineRule="auto"/>
              <w:rPr>
                <w:sz w:val="21"/>
                <w:szCs w:val="21"/>
              </w:rPr>
            </w:pPr>
            <w:r>
              <w:rPr>
                <w:sz w:val="21"/>
                <w:szCs w:val="21"/>
                <w:spacing w:val="-4"/>
              </w:rPr>
              <w:t>50</w:t>
            </w:r>
          </w:p>
        </w:tc>
        <w:tc>
          <w:tcPr>
            <w:tcW w:w="679" w:type="dxa"/>
            <w:vAlign w:val="top"/>
          </w:tcPr>
          <w:p>
            <w:pPr>
              <w:pStyle w:val="TableText"/>
              <w:ind w:left="18"/>
              <w:spacing w:before="47" w:line="160" w:lineRule="auto"/>
              <w:rPr>
                <w:sz w:val="21"/>
                <w:szCs w:val="21"/>
              </w:rPr>
            </w:pPr>
            <w:r>
              <w:rPr>
                <w:sz w:val="21"/>
                <w:szCs w:val="21"/>
                <w:spacing w:val="-2"/>
              </w:rPr>
              <w:t>0.0001</w:t>
            </w:r>
          </w:p>
        </w:tc>
        <w:tc>
          <w:tcPr>
            <w:tcW w:w="589" w:type="dxa"/>
            <w:vAlign w:val="top"/>
          </w:tcPr>
          <w:p>
            <w:pPr>
              <w:pStyle w:val="TableText"/>
              <w:ind w:left="19"/>
              <w:spacing w:before="47" w:line="160" w:lineRule="auto"/>
              <w:rPr>
                <w:sz w:val="21"/>
                <w:szCs w:val="21"/>
              </w:rPr>
            </w:pPr>
            <w:r>
              <w:rPr>
                <w:sz w:val="21"/>
                <w:szCs w:val="21"/>
                <w:color w:val="707070"/>
                <w:spacing w:val="-2"/>
              </w:rPr>
              <w:t>0.000</w:t>
            </w:r>
          </w:p>
        </w:tc>
      </w:tr>
      <w:tr>
        <w:trPr>
          <w:trHeight w:val="249" w:hRule="atLeast"/>
        </w:trPr>
        <w:tc>
          <w:tcPr>
            <w:tcW w:w="444" w:type="dxa"/>
            <w:vAlign w:val="top"/>
            <w:vMerge w:val="restart"/>
            <w:tcBorders>
              <w:bottom w:val="nil"/>
            </w:tcBorders>
          </w:tcPr>
          <w:p>
            <w:pPr>
              <w:pStyle w:val="TableText"/>
              <w:spacing w:before="107" w:line="221" w:lineRule="auto"/>
              <w:jc w:val="right"/>
              <w:rPr>
                <w:sz w:val="21"/>
                <w:szCs w:val="21"/>
              </w:rPr>
            </w:pPr>
            <w:r>
              <w:rPr>
                <w:sz w:val="21"/>
                <w:szCs w:val="21"/>
                <w:spacing w:val="-1"/>
              </w:rPr>
              <w:t>肉牛</w:t>
            </w:r>
          </w:p>
          <w:p>
            <w:pPr>
              <w:pStyle w:val="TableText"/>
              <w:spacing w:before="47" w:line="219" w:lineRule="auto"/>
              <w:jc w:val="right"/>
              <w:rPr>
                <w:sz w:val="21"/>
                <w:szCs w:val="21"/>
              </w:rPr>
            </w:pPr>
            <w:r>
              <w:rPr>
                <w:sz w:val="21"/>
                <w:szCs w:val="21"/>
                <w:spacing w:val="-1"/>
              </w:rPr>
              <w:t>屠宰</w:t>
            </w:r>
          </w:p>
          <w:p>
            <w:pPr>
              <w:pStyle w:val="TableText"/>
              <w:spacing w:before="40" w:line="219" w:lineRule="auto"/>
              <w:jc w:val="right"/>
              <w:rPr>
                <w:sz w:val="21"/>
                <w:szCs w:val="21"/>
              </w:rPr>
            </w:pPr>
            <w:r>
              <w:rPr>
                <w:sz w:val="21"/>
                <w:szCs w:val="21"/>
                <w:spacing w:val="-1"/>
              </w:rPr>
              <w:t>车间</w:t>
            </w:r>
          </w:p>
        </w:tc>
        <w:tc>
          <w:tcPr>
            <w:tcW w:w="459" w:type="dxa"/>
            <w:vAlign w:val="top"/>
            <w:vMerge w:val="restart"/>
            <w:tcBorders>
              <w:bottom w:val="nil"/>
            </w:tcBorders>
          </w:tcPr>
          <w:p>
            <w:pPr>
              <w:pStyle w:val="TableText"/>
              <w:ind w:left="10"/>
              <w:spacing w:before="145" w:line="219" w:lineRule="auto"/>
              <w:rPr>
                <w:sz w:val="21"/>
                <w:szCs w:val="21"/>
              </w:rPr>
            </w:pPr>
            <w:r>
              <w:rPr>
                <w:sz w:val="21"/>
                <w:szCs w:val="21"/>
                <w:spacing w:val="4"/>
              </w:rPr>
              <w:t>淡季</w:t>
            </w:r>
          </w:p>
        </w:tc>
        <w:tc>
          <w:tcPr>
            <w:tcW w:w="480" w:type="dxa"/>
            <w:vAlign w:val="top"/>
          </w:tcPr>
          <w:p>
            <w:pPr>
              <w:pStyle w:val="TableText"/>
              <w:ind w:left="21"/>
              <w:spacing w:before="60" w:line="157"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699" w:type="dxa"/>
            <w:vAlign w:val="top"/>
          </w:tcPr>
          <w:p>
            <w:pPr>
              <w:pStyle w:val="TableText"/>
              <w:ind w:left="22"/>
              <w:spacing w:before="47" w:line="168" w:lineRule="auto"/>
              <w:rPr>
                <w:sz w:val="21"/>
                <w:szCs w:val="21"/>
              </w:rPr>
            </w:pPr>
            <w:r>
              <w:rPr>
                <w:sz w:val="21"/>
                <w:szCs w:val="21"/>
                <w:spacing w:val="-2"/>
              </w:rPr>
              <w:t>0.0027</w:t>
            </w:r>
          </w:p>
        </w:tc>
        <w:tc>
          <w:tcPr>
            <w:tcW w:w="619" w:type="dxa"/>
            <w:vAlign w:val="top"/>
          </w:tcPr>
          <w:p>
            <w:pPr>
              <w:pStyle w:val="TableText"/>
              <w:spacing w:before="47" w:line="168" w:lineRule="auto"/>
              <w:jc w:val="right"/>
              <w:rPr>
                <w:sz w:val="21"/>
                <w:szCs w:val="21"/>
              </w:rPr>
            </w:pPr>
            <w:r>
              <w:rPr>
                <w:sz w:val="21"/>
                <w:szCs w:val="21"/>
                <w:color w:val="605050"/>
                <w:spacing w:val="-6"/>
              </w:rPr>
              <w:t>0.0057</w:t>
            </w:r>
          </w:p>
        </w:tc>
        <w:tc>
          <w:tcPr>
            <w:tcW w:w="136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2198" w:type="dxa"/>
            <w:vAlign w:val="top"/>
            <w:gridSpan w:val="2"/>
          </w:tcPr>
          <w:p>
            <w:pPr>
              <w:pStyle w:val="TableText"/>
              <w:ind w:left="987"/>
              <w:spacing w:before="47" w:line="168" w:lineRule="auto"/>
              <w:rPr>
                <w:sz w:val="21"/>
                <w:szCs w:val="21"/>
              </w:rPr>
            </w:pPr>
            <w:r>
              <w:rPr>
                <w:sz w:val="21"/>
                <w:szCs w:val="21"/>
                <w:spacing w:val="-4"/>
              </w:rPr>
              <w:t>50</w:t>
            </w:r>
          </w:p>
        </w:tc>
        <w:tc>
          <w:tcPr>
            <w:tcW w:w="679" w:type="dxa"/>
            <w:vAlign w:val="top"/>
          </w:tcPr>
          <w:p>
            <w:pPr>
              <w:pStyle w:val="TableText"/>
              <w:ind w:left="18"/>
              <w:spacing w:before="47" w:line="168" w:lineRule="auto"/>
              <w:rPr>
                <w:sz w:val="21"/>
                <w:szCs w:val="21"/>
              </w:rPr>
            </w:pPr>
            <w:r>
              <w:rPr>
                <w:sz w:val="21"/>
                <w:szCs w:val="21"/>
                <w:color w:val="504040"/>
                <w:spacing w:val="-2"/>
              </w:rPr>
              <w:t>0.0013</w:t>
            </w:r>
          </w:p>
        </w:tc>
        <w:tc>
          <w:tcPr>
            <w:tcW w:w="589" w:type="dxa"/>
            <w:vAlign w:val="top"/>
          </w:tcPr>
          <w:p>
            <w:pPr>
              <w:pStyle w:val="TableText"/>
              <w:spacing w:before="47" w:line="168" w:lineRule="auto"/>
              <w:jc w:val="right"/>
              <w:rPr>
                <w:sz w:val="21"/>
                <w:szCs w:val="21"/>
              </w:rPr>
            </w:pPr>
            <w:r>
              <w:rPr>
                <w:sz w:val="21"/>
                <w:szCs w:val="21"/>
                <w:color w:val="606060"/>
                <w:spacing w:val="-12"/>
              </w:rPr>
              <w:t>0.0029</w:t>
            </w:r>
          </w:p>
        </w:tc>
      </w:tr>
      <w:tr>
        <w:trPr>
          <w:trHeight w:val="229" w:hRule="atLeast"/>
        </w:trPr>
        <w:tc>
          <w:tcPr>
            <w:tcW w:w="444" w:type="dxa"/>
            <w:vAlign w:val="top"/>
            <w:vMerge w:val="continue"/>
            <w:tcBorders>
              <w:top w:val="nil"/>
              <w:bottom w:val="nil"/>
            </w:tcBorders>
          </w:tcPr>
          <w:p>
            <w:pPr>
              <w:rPr>
                <w:rFonts w:ascii="Arial"/>
                <w:sz w:val="21"/>
              </w:rPr>
            </w:pPr>
            <w:r/>
          </w:p>
        </w:tc>
        <w:tc>
          <w:tcPr>
            <w:tcW w:w="459" w:type="dxa"/>
            <w:vAlign w:val="top"/>
            <w:vMerge w:val="continue"/>
            <w:tcBorders>
              <w:top w:val="nil"/>
            </w:tcBorders>
          </w:tcPr>
          <w:p>
            <w:pPr>
              <w:rPr>
                <w:rFonts w:ascii="Arial"/>
                <w:sz w:val="21"/>
              </w:rPr>
            </w:pPr>
            <w:r/>
          </w:p>
        </w:tc>
        <w:tc>
          <w:tcPr>
            <w:tcW w:w="480" w:type="dxa"/>
            <w:vAlign w:val="top"/>
          </w:tcPr>
          <w:p>
            <w:pPr>
              <w:pStyle w:val="TableText"/>
              <w:ind w:left="21"/>
              <w:spacing w:before="71" w:line="148" w:lineRule="exact"/>
              <w:rPr>
                <w:sz w:val="21"/>
                <w:szCs w:val="21"/>
              </w:rPr>
            </w:pPr>
            <w:r>
              <w:rPr>
                <w:sz w:val="21"/>
                <w:szCs w:val="21"/>
                <w:spacing w:val="-2"/>
                <w:position w:val="-3"/>
              </w:rPr>
              <w:t>H</w:t>
            </w:r>
            <w:r>
              <w:rPr>
                <w:rFonts w:ascii="Calibri" w:hAnsi="Calibri" w:eastAsia="Calibri" w:cs="Calibri"/>
                <w:sz w:val="21"/>
                <w:szCs w:val="21"/>
                <w:spacing w:val="-2"/>
                <w:position w:val="-3"/>
              </w:rPr>
              <w:t>₂</w:t>
            </w:r>
            <w:r>
              <w:rPr>
                <w:sz w:val="21"/>
                <w:szCs w:val="21"/>
                <w:spacing w:val="-2"/>
                <w:position w:val="-3"/>
              </w:rPr>
              <w:t>S</w:t>
            </w:r>
          </w:p>
        </w:tc>
        <w:tc>
          <w:tcPr>
            <w:tcW w:w="699" w:type="dxa"/>
            <w:vAlign w:val="top"/>
          </w:tcPr>
          <w:p>
            <w:pPr>
              <w:pStyle w:val="TableText"/>
              <w:ind w:left="22"/>
              <w:spacing w:before="58" w:line="161" w:lineRule="exact"/>
              <w:rPr>
                <w:sz w:val="21"/>
                <w:szCs w:val="21"/>
              </w:rPr>
            </w:pPr>
            <w:r>
              <w:rPr>
                <w:sz w:val="21"/>
                <w:szCs w:val="21"/>
                <w:spacing w:val="-2"/>
                <w:position w:val="-2"/>
              </w:rPr>
              <w:t>0.0002</w:t>
            </w:r>
          </w:p>
        </w:tc>
        <w:tc>
          <w:tcPr>
            <w:tcW w:w="619" w:type="dxa"/>
            <w:vAlign w:val="top"/>
          </w:tcPr>
          <w:p>
            <w:pPr>
              <w:pStyle w:val="TableText"/>
              <w:spacing w:before="58" w:line="161" w:lineRule="exact"/>
              <w:jc w:val="right"/>
              <w:rPr>
                <w:sz w:val="21"/>
                <w:szCs w:val="21"/>
              </w:rPr>
            </w:pPr>
            <w:r>
              <w:rPr>
                <w:sz w:val="21"/>
                <w:szCs w:val="21"/>
                <w:spacing w:val="-6"/>
                <w:position w:val="-2"/>
              </w:rPr>
              <w:t>0.0004</w:t>
            </w:r>
          </w:p>
        </w:tc>
        <w:tc>
          <w:tcPr>
            <w:tcW w:w="136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2198" w:type="dxa"/>
            <w:vAlign w:val="top"/>
            <w:gridSpan w:val="2"/>
          </w:tcPr>
          <w:p>
            <w:pPr>
              <w:pStyle w:val="TableText"/>
              <w:ind w:left="987"/>
              <w:spacing w:before="58" w:line="161" w:lineRule="exact"/>
              <w:rPr>
                <w:sz w:val="21"/>
                <w:szCs w:val="21"/>
              </w:rPr>
            </w:pPr>
            <w:r>
              <w:rPr>
                <w:sz w:val="21"/>
                <w:szCs w:val="21"/>
                <w:spacing w:val="-4"/>
                <w:position w:val="-3"/>
              </w:rPr>
              <w:t>50</w:t>
            </w:r>
          </w:p>
        </w:tc>
        <w:tc>
          <w:tcPr>
            <w:tcW w:w="679" w:type="dxa"/>
            <w:vAlign w:val="top"/>
          </w:tcPr>
          <w:p>
            <w:pPr>
              <w:pStyle w:val="TableText"/>
              <w:ind w:left="18"/>
              <w:spacing w:before="58" w:line="161" w:lineRule="exact"/>
              <w:rPr>
                <w:sz w:val="21"/>
                <w:szCs w:val="21"/>
              </w:rPr>
            </w:pPr>
            <w:r>
              <w:rPr>
                <w:sz w:val="21"/>
                <w:szCs w:val="21"/>
                <w:spacing w:val="-2"/>
                <w:position w:val="-3"/>
              </w:rPr>
              <w:t>0.0001</w:t>
            </w:r>
          </w:p>
        </w:tc>
        <w:tc>
          <w:tcPr>
            <w:tcW w:w="589" w:type="dxa"/>
            <w:vAlign w:val="top"/>
          </w:tcPr>
          <w:p>
            <w:pPr>
              <w:pStyle w:val="TableText"/>
              <w:spacing w:before="58" w:line="161" w:lineRule="exact"/>
              <w:jc w:val="right"/>
              <w:rPr>
                <w:sz w:val="21"/>
                <w:szCs w:val="21"/>
              </w:rPr>
            </w:pPr>
            <w:r>
              <w:rPr>
                <w:sz w:val="21"/>
                <w:szCs w:val="21"/>
                <w:color w:val="505050"/>
                <w:spacing w:val="-12"/>
                <w:position w:val="-2"/>
              </w:rPr>
              <w:t>0.0002</w:t>
            </w:r>
          </w:p>
        </w:tc>
      </w:tr>
      <w:tr>
        <w:trPr>
          <w:trHeight w:val="250" w:hRule="atLeast"/>
        </w:trPr>
        <w:tc>
          <w:tcPr>
            <w:tcW w:w="444" w:type="dxa"/>
            <w:vAlign w:val="top"/>
            <w:vMerge w:val="continue"/>
            <w:tcBorders>
              <w:top w:val="nil"/>
              <w:bottom w:val="nil"/>
            </w:tcBorders>
          </w:tcPr>
          <w:p>
            <w:pPr>
              <w:rPr>
                <w:rFonts w:ascii="Arial"/>
                <w:sz w:val="21"/>
              </w:rPr>
            </w:pPr>
            <w:r/>
          </w:p>
        </w:tc>
        <w:tc>
          <w:tcPr>
            <w:tcW w:w="459" w:type="dxa"/>
            <w:vAlign w:val="top"/>
            <w:vMerge w:val="restart"/>
            <w:tcBorders>
              <w:bottom w:val="nil"/>
            </w:tcBorders>
          </w:tcPr>
          <w:p>
            <w:pPr>
              <w:pStyle w:val="TableText"/>
              <w:ind w:left="10"/>
              <w:spacing w:before="158" w:line="219" w:lineRule="auto"/>
              <w:rPr>
                <w:sz w:val="21"/>
                <w:szCs w:val="21"/>
              </w:rPr>
            </w:pPr>
            <w:r>
              <w:rPr>
                <w:sz w:val="21"/>
                <w:szCs w:val="21"/>
                <w:spacing w:val="4"/>
              </w:rPr>
              <w:t>旺季</w:t>
            </w:r>
          </w:p>
        </w:tc>
        <w:tc>
          <w:tcPr>
            <w:tcW w:w="480" w:type="dxa"/>
            <w:vAlign w:val="top"/>
          </w:tcPr>
          <w:p>
            <w:pPr>
              <w:pStyle w:val="TableText"/>
              <w:ind w:left="21"/>
              <w:spacing w:before="62" w:line="177" w:lineRule="exact"/>
              <w:rPr>
                <w:rFonts w:ascii="Calibri" w:hAnsi="Calibri" w:eastAsia="Calibri" w:cs="Calibri"/>
                <w:sz w:val="21"/>
                <w:szCs w:val="21"/>
              </w:rPr>
            </w:pPr>
            <w:r>
              <w:rPr>
                <w:sz w:val="21"/>
                <w:szCs w:val="21"/>
                <w:spacing w:val="-1"/>
                <w:position w:val="-1"/>
              </w:rPr>
              <w:t>NH</w:t>
            </w:r>
            <w:r>
              <w:rPr>
                <w:rFonts w:ascii="Calibri" w:hAnsi="Calibri" w:eastAsia="Calibri" w:cs="Calibri"/>
                <w:sz w:val="21"/>
                <w:szCs w:val="21"/>
                <w:spacing w:val="-1"/>
                <w:position w:val="-1"/>
              </w:rPr>
              <w:t>₃</w:t>
            </w:r>
          </w:p>
        </w:tc>
        <w:tc>
          <w:tcPr>
            <w:tcW w:w="699" w:type="dxa"/>
            <w:vAlign w:val="top"/>
          </w:tcPr>
          <w:p>
            <w:pPr>
              <w:pStyle w:val="TableText"/>
              <w:ind w:left="22"/>
              <w:spacing w:before="50" w:line="167" w:lineRule="auto"/>
              <w:rPr>
                <w:sz w:val="21"/>
                <w:szCs w:val="21"/>
              </w:rPr>
            </w:pPr>
            <w:r>
              <w:rPr>
                <w:sz w:val="21"/>
                <w:szCs w:val="21"/>
                <w:spacing w:val="-2"/>
              </w:rPr>
              <w:t>0.0027</w:t>
            </w:r>
          </w:p>
        </w:tc>
        <w:tc>
          <w:tcPr>
            <w:tcW w:w="619" w:type="dxa"/>
            <w:vAlign w:val="top"/>
          </w:tcPr>
          <w:p>
            <w:pPr>
              <w:pStyle w:val="TableText"/>
              <w:spacing w:before="50" w:line="167" w:lineRule="auto"/>
              <w:jc w:val="right"/>
              <w:rPr>
                <w:sz w:val="21"/>
                <w:szCs w:val="21"/>
              </w:rPr>
            </w:pPr>
            <w:r>
              <w:rPr>
                <w:sz w:val="21"/>
                <w:szCs w:val="21"/>
                <w:color w:val="404040"/>
                <w:spacing w:val="-6"/>
              </w:rPr>
              <w:t>0.0019</w:t>
            </w:r>
          </w:p>
        </w:tc>
        <w:tc>
          <w:tcPr>
            <w:tcW w:w="1368" w:type="dxa"/>
            <w:vAlign w:val="top"/>
            <w:vMerge w:val="continue"/>
            <w:tcBorders>
              <w:top w:val="nil"/>
              <w:bottom w:val="nil"/>
            </w:tcBorders>
          </w:tcPr>
          <w:p>
            <w:pPr>
              <w:rPr>
                <w:rFonts w:ascii="Arial"/>
                <w:sz w:val="21"/>
              </w:rPr>
            </w:pPr>
            <w:r/>
          </w:p>
        </w:tc>
        <w:tc>
          <w:tcPr>
            <w:tcW w:w="959" w:type="dxa"/>
            <w:vAlign w:val="top"/>
            <w:vMerge w:val="continue"/>
            <w:tcBorders>
              <w:top w:val="nil"/>
              <w:bottom w:val="nil"/>
            </w:tcBorders>
          </w:tcPr>
          <w:p>
            <w:pPr>
              <w:rPr>
                <w:rFonts w:ascii="Arial"/>
                <w:sz w:val="21"/>
              </w:rPr>
            </w:pPr>
            <w:r/>
          </w:p>
        </w:tc>
        <w:tc>
          <w:tcPr>
            <w:tcW w:w="2198" w:type="dxa"/>
            <w:vAlign w:val="top"/>
            <w:gridSpan w:val="2"/>
          </w:tcPr>
          <w:p>
            <w:pPr>
              <w:pStyle w:val="TableText"/>
              <w:ind w:left="987"/>
              <w:spacing w:before="50" w:line="167" w:lineRule="auto"/>
              <w:rPr>
                <w:sz w:val="21"/>
                <w:szCs w:val="21"/>
              </w:rPr>
            </w:pPr>
            <w:r>
              <w:rPr>
                <w:sz w:val="21"/>
                <w:szCs w:val="21"/>
                <w:spacing w:val="-4"/>
              </w:rPr>
              <w:t>50</w:t>
            </w:r>
          </w:p>
        </w:tc>
        <w:tc>
          <w:tcPr>
            <w:tcW w:w="679" w:type="dxa"/>
            <w:vAlign w:val="top"/>
          </w:tcPr>
          <w:p>
            <w:pPr>
              <w:pStyle w:val="TableText"/>
              <w:ind w:left="18"/>
              <w:spacing w:before="50" w:line="167" w:lineRule="auto"/>
              <w:rPr>
                <w:sz w:val="21"/>
                <w:szCs w:val="21"/>
              </w:rPr>
            </w:pPr>
            <w:r>
              <w:rPr>
                <w:sz w:val="21"/>
                <w:szCs w:val="21"/>
                <w:color w:val="505050"/>
                <w:spacing w:val="-2"/>
              </w:rPr>
              <w:t>0.0013</w:t>
            </w:r>
          </w:p>
        </w:tc>
        <w:tc>
          <w:tcPr>
            <w:tcW w:w="589" w:type="dxa"/>
            <w:vAlign w:val="top"/>
          </w:tcPr>
          <w:p>
            <w:pPr>
              <w:pStyle w:val="TableText"/>
              <w:spacing w:before="50" w:line="167" w:lineRule="auto"/>
              <w:jc w:val="right"/>
              <w:rPr>
                <w:sz w:val="21"/>
                <w:szCs w:val="21"/>
              </w:rPr>
            </w:pPr>
            <w:r>
              <w:rPr>
                <w:sz w:val="21"/>
                <w:szCs w:val="21"/>
                <w:color w:val="605050"/>
                <w:spacing w:val="-13"/>
              </w:rPr>
              <w:t>0</w:t>
            </w:r>
            <w:r>
              <w:rPr>
                <w:sz w:val="21"/>
                <w:szCs w:val="21"/>
                <w:color w:val="605050"/>
                <w:spacing w:val="-12"/>
              </w:rPr>
              <w:t>.001</w:t>
            </w:r>
            <w:r>
              <w:rPr>
                <w:sz w:val="21"/>
                <w:szCs w:val="21"/>
                <w:color w:val="605050"/>
                <w:spacing w:val="-11"/>
              </w:rPr>
              <w:t>0</w:t>
            </w:r>
          </w:p>
        </w:tc>
      </w:tr>
      <w:tr>
        <w:trPr>
          <w:trHeight w:val="254" w:hRule="atLeast"/>
        </w:trPr>
        <w:tc>
          <w:tcPr>
            <w:tcW w:w="444" w:type="dxa"/>
            <w:vAlign w:val="top"/>
            <w:vMerge w:val="continue"/>
            <w:tcBorders>
              <w:top w:val="nil"/>
            </w:tcBorders>
          </w:tcPr>
          <w:p>
            <w:pPr>
              <w:rPr>
                <w:rFonts w:ascii="Arial"/>
                <w:sz w:val="21"/>
              </w:rPr>
            </w:pPr>
            <w:r/>
          </w:p>
        </w:tc>
        <w:tc>
          <w:tcPr>
            <w:tcW w:w="459" w:type="dxa"/>
            <w:vAlign w:val="top"/>
            <w:vMerge w:val="continue"/>
            <w:tcBorders>
              <w:top w:val="nil"/>
            </w:tcBorders>
          </w:tcPr>
          <w:p>
            <w:pPr>
              <w:rPr>
                <w:rFonts w:ascii="Arial"/>
                <w:sz w:val="21"/>
              </w:rPr>
            </w:pPr>
            <w:r/>
          </w:p>
        </w:tc>
        <w:tc>
          <w:tcPr>
            <w:tcW w:w="480" w:type="dxa"/>
            <w:vAlign w:val="top"/>
          </w:tcPr>
          <w:p>
            <w:pPr>
              <w:pStyle w:val="TableText"/>
              <w:ind w:left="21"/>
              <w:spacing w:before="62" w:line="160" w:lineRule="auto"/>
              <w:rPr>
                <w:sz w:val="21"/>
                <w:szCs w:val="21"/>
              </w:rPr>
            </w:pPr>
            <w:r>
              <w:rPr>
                <w:sz w:val="21"/>
                <w:szCs w:val="21"/>
                <w:color w:val="504040"/>
                <w:spacing w:val="-2"/>
              </w:rPr>
              <w:t>H</w:t>
            </w:r>
            <w:r>
              <w:rPr>
                <w:rFonts w:ascii="Calibri" w:hAnsi="Calibri" w:eastAsia="Calibri" w:cs="Calibri"/>
                <w:sz w:val="21"/>
                <w:szCs w:val="21"/>
                <w:color w:val="504040"/>
                <w:spacing w:val="-2"/>
              </w:rPr>
              <w:t>₂</w:t>
            </w:r>
            <w:r>
              <w:rPr>
                <w:sz w:val="21"/>
                <w:szCs w:val="21"/>
                <w:color w:val="504040"/>
                <w:spacing w:val="-2"/>
              </w:rPr>
              <w:t>S</w:t>
            </w:r>
          </w:p>
        </w:tc>
        <w:tc>
          <w:tcPr>
            <w:tcW w:w="699" w:type="dxa"/>
            <w:vAlign w:val="top"/>
          </w:tcPr>
          <w:p>
            <w:pPr>
              <w:pStyle w:val="TableText"/>
              <w:ind w:left="22"/>
              <w:spacing w:before="49" w:line="171" w:lineRule="auto"/>
              <w:rPr>
                <w:sz w:val="21"/>
                <w:szCs w:val="21"/>
              </w:rPr>
            </w:pPr>
            <w:r>
              <w:rPr>
                <w:sz w:val="21"/>
                <w:szCs w:val="21"/>
                <w:spacing w:val="-2"/>
              </w:rPr>
              <w:t>0.0002</w:t>
            </w:r>
          </w:p>
        </w:tc>
        <w:tc>
          <w:tcPr>
            <w:tcW w:w="619" w:type="dxa"/>
            <w:vAlign w:val="top"/>
          </w:tcPr>
          <w:p>
            <w:pPr>
              <w:pStyle w:val="TableText"/>
              <w:ind w:left="12"/>
              <w:spacing w:before="49" w:line="171" w:lineRule="auto"/>
              <w:rPr>
                <w:sz w:val="21"/>
                <w:szCs w:val="21"/>
              </w:rPr>
            </w:pPr>
            <w:r>
              <w:rPr>
                <w:sz w:val="21"/>
                <w:szCs w:val="21"/>
                <w:spacing w:val="-2"/>
              </w:rPr>
              <w:t>0.000</w:t>
            </w:r>
          </w:p>
        </w:tc>
        <w:tc>
          <w:tcPr>
            <w:tcW w:w="1368" w:type="dxa"/>
            <w:vAlign w:val="top"/>
            <w:vMerge w:val="continue"/>
            <w:tcBorders>
              <w:top w:val="nil"/>
            </w:tcBorders>
          </w:tcPr>
          <w:p>
            <w:pPr>
              <w:rPr>
                <w:rFonts w:ascii="Arial"/>
                <w:sz w:val="21"/>
              </w:rPr>
            </w:pPr>
            <w:r/>
          </w:p>
        </w:tc>
        <w:tc>
          <w:tcPr>
            <w:tcW w:w="959" w:type="dxa"/>
            <w:vAlign w:val="top"/>
            <w:vMerge w:val="continue"/>
            <w:tcBorders>
              <w:top w:val="nil"/>
            </w:tcBorders>
          </w:tcPr>
          <w:p>
            <w:pPr>
              <w:rPr>
                <w:rFonts w:ascii="Arial"/>
                <w:sz w:val="21"/>
              </w:rPr>
            </w:pPr>
            <w:r/>
          </w:p>
        </w:tc>
        <w:tc>
          <w:tcPr>
            <w:tcW w:w="2198" w:type="dxa"/>
            <w:vAlign w:val="top"/>
            <w:gridSpan w:val="2"/>
          </w:tcPr>
          <w:p>
            <w:pPr>
              <w:pStyle w:val="TableText"/>
              <w:ind w:left="987"/>
              <w:spacing w:before="49" w:line="171" w:lineRule="auto"/>
              <w:rPr>
                <w:sz w:val="21"/>
                <w:szCs w:val="21"/>
              </w:rPr>
            </w:pPr>
            <w:r>
              <w:rPr>
                <w:sz w:val="21"/>
                <w:szCs w:val="21"/>
                <w:spacing w:val="-4"/>
              </w:rPr>
              <w:t>50</w:t>
            </w:r>
          </w:p>
        </w:tc>
        <w:tc>
          <w:tcPr>
            <w:tcW w:w="679" w:type="dxa"/>
            <w:vAlign w:val="top"/>
          </w:tcPr>
          <w:p>
            <w:pPr>
              <w:pStyle w:val="TableText"/>
              <w:ind w:left="18"/>
              <w:spacing w:before="49" w:line="171" w:lineRule="auto"/>
              <w:rPr>
                <w:sz w:val="21"/>
                <w:szCs w:val="21"/>
              </w:rPr>
            </w:pPr>
            <w:r>
              <w:rPr>
                <w:sz w:val="21"/>
                <w:szCs w:val="21"/>
                <w:spacing w:val="-2"/>
              </w:rPr>
              <w:t>0.0001</w:t>
            </w:r>
          </w:p>
        </w:tc>
        <w:tc>
          <w:tcPr>
            <w:tcW w:w="589" w:type="dxa"/>
            <w:vAlign w:val="top"/>
          </w:tcPr>
          <w:p>
            <w:pPr>
              <w:pStyle w:val="TableText"/>
              <w:spacing w:before="22" w:line="195" w:lineRule="auto"/>
              <w:jc w:val="right"/>
              <w:rPr>
                <w:sz w:val="21"/>
                <w:szCs w:val="21"/>
              </w:rPr>
            </w:pPr>
            <w:r>
              <w:rPr>
                <w:sz w:val="21"/>
                <w:szCs w:val="21"/>
                <w:spacing w:val="-12"/>
              </w:rPr>
              <w:t>p.0001</w:t>
            </w:r>
          </w:p>
        </w:tc>
      </w:tr>
    </w:tbl>
    <w:p>
      <w:pPr>
        <w:ind w:left="1028"/>
        <w:spacing w:before="61" w:line="214" w:lineRule="auto"/>
        <w:rPr>
          <w:rFonts w:ascii="SimSun" w:hAnsi="SimSun" w:eastAsia="SimSun" w:cs="SimSun"/>
          <w:sz w:val="24"/>
          <w:szCs w:val="24"/>
        </w:rPr>
      </w:pPr>
      <w:r>
        <w:drawing>
          <wp:anchor distT="0" distB="0" distL="0" distR="0" simplePos="0" relativeHeight="252632064" behindDoc="0" locked="0" layoutInCell="1" allowOverlap="1">
            <wp:simplePos x="0" y="0"/>
            <wp:positionH relativeFrom="column">
              <wp:posOffset>15881</wp:posOffset>
            </wp:positionH>
            <wp:positionV relativeFrom="paragraph">
              <wp:posOffset>183829</wp:posOffset>
            </wp:positionV>
            <wp:extent cx="5232358" cy="7620"/>
            <wp:effectExtent l="0" t="0" r="0" b="0"/>
            <wp:wrapNone/>
            <wp:docPr id="78" name="IM 78"/>
            <wp:cNvGraphicFramePr/>
            <a:graphic>
              <a:graphicData uri="http://schemas.openxmlformats.org/drawingml/2006/picture">
                <pic:pic>
                  <pic:nvPicPr>
                    <pic:cNvPr id="78" name="IM 78"/>
                    <pic:cNvPicPr/>
                  </pic:nvPicPr>
                  <pic:blipFill>
                    <a:blip r:embed="rId319"/>
                    <a:stretch>
                      <a:fillRect/>
                    </a:stretch>
                  </pic:blipFill>
                  <pic:spPr>
                    <a:xfrm rot="0">
                      <a:off x="0" y="0"/>
                      <a:ext cx="5232358" cy="7620"/>
                    </a:xfrm>
                    <a:prstGeom prst="rect">
                      <a:avLst/>
                    </a:prstGeom>
                  </pic:spPr>
                </pic:pic>
              </a:graphicData>
            </a:graphic>
          </wp:anchor>
        </w:drawing>
      </w:r>
      <w:r>
        <w:rPr>
          <w:rFonts w:ascii="SimSun" w:hAnsi="SimSun" w:eastAsia="SimSun" w:cs="SimSun"/>
          <w:sz w:val="24"/>
          <w:szCs w:val="24"/>
          <w:b/>
          <w:bCs/>
          <w:spacing w:val="-3"/>
        </w:rPr>
        <w:t>表3.11-21排气筒DA001、DA002、DA003排放情况汇总一览表</w:t>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65"/>
        <w:gridCol w:w="489"/>
        <w:gridCol w:w="709"/>
        <w:gridCol w:w="609"/>
        <w:gridCol w:w="3107"/>
        <w:gridCol w:w="659"/>
        <w:gridCol w:w="639"/>
        <w:gridCol w:w="579"/>
        <w:gridCol w:w="629"/>
        <w:gridCol w:w="614"/>
      </w:tblGrid>
      <w:tr>
        <w:trPr>
          <w:trHeight w:val="823" w:hRule="atLeast"/>
        </w:trPr>
        <w:tc>
          <w:tcPr>
            <w:shd w:val="clear" w:fill="BDBDBD"/>
            <w:tcW w:w="465" w:type="dxa"/>
            <w:vAlign w:val="top"/>
          </w:tcPr>
          <w:p>
            <w:pPr>
              <w:spacing w:line="241" w:lineRule="auto"/>
              <w:rPr>
                <w:rFonts w:ascii="Arial"/>
                <w:sz w:val="21"/>
              </w:rPr>
            </w:pPr>
            <w:r/>
          </w:p>
          <w:p>
            <w:pPr>
              <w:pStyle w:val="TableText"/>
              <w:ind w:left="18"/>
              <w:spacing w:before="68" w:line="220" w:lineRule="auto"/>
              <w:rPr>
                <w:sz w:val="21"/>
                <w:szCs w:val="21"/>
              </w:rPr>
            </w:pPr>
            <w:r>
              <w:rPr>
                <w:sz w:val="21"/>
                <w:szCs w:val="21"/>
                <w:b/>
                <w:bCs/>
                <w:spacing w:val="1"/>
              </w:rPr>
              <w:t>时期</w:t>
            </w:r>
          </w:p>
        </w:tc>
        <w:tc>
          <w:tcPr>
            <w:shd w:val="clear" w:fill="BDBDBD"/>
            <w:tcW w:w="489" w:type="dxa"/>
            <w:vAlign w:val="top"/>
          </w:tcPr>
          <w:p>
            <w:pPr>
              <w:pStyle w:val="TableText"/>
              <w:ind w:left="132" w:right="45" w:hanging="110"/>
              <w:spacing w:before="170" w:line="250" w:lineRule="auto"/>
              <w:rPr>
                <w:sz w:val="21"/>
                <w:szCs w:val="21"/>
              </w:rPr>
            </w:pPr>
            <w:r>
              <w:rPr>
                <w:sz w:val="21"/>
                <w:szCs w:val="21"/>
                <w:b/>
                <w:bCs/>
                <w:spacing w:val="-8"/>
              </w:rPr>
              <w:t>污染</w:t>
            </w:r>
            <w:r>
              <w:rPr>
                <w:sz w:val="21"/>
                <w:szCs w:val="21"/>
              </w:rPr>
              <w:t xml:space="preserve"> </w:t>
            </w:r>
            <w:r>
              <w:rPr>
                <w:sz w:val="21"/>
                <w:szCs w:val="21"/>
                <w:b/>
                <w:bCs/>
                <w:spacing w:val="-3"/>
              </w:rPr>
              <w:t>物</w:t>
            </w:r>
          </w:p>
        </w:tc>
        <w:tc>
          <w:tcPr>
            <w:shd w:val="clear" w:fill="BDBDBD"/>
            <w:tcW w:w="709" w:type="dxa"/>
            <w:vAlign w:val="top"/>
          </w:tcPr>
          <w:p>
            <w:pPr>
              <w:pStyle w:val="TableText"/>
              <w:ind w:left="33" w:right="43"/>
              <w:spacing w:before="169"/>
              <w:rPr>
                <w:sz w:val="21"/>
                <w:szCs w:val="21"/>
              </w:rPr>
            </w:pPr>
            <w:r>
              <w:rPr>
                <w:sz w:val="21"/>
                <w:szCs w:val="21"/>
                <w:b/>
                <w:bCs/>
                <w:spacing w:val="-5"/>
              </w:rPr>
              <w:t>产生速</w:t>
            </w:r>
            <w:r>
              <w:rPr>
                <w:sz w:val="21"/>
                <w:szCs w:val="21"/>
              </w:rPr>
              <w:t xml:space="preserve"> </w:t>
            </w:r>
            <w:r>
              <w:rPr>
                <w:sz w:val="21"/>
                <w:szCs w:val="21"/>
                <w:b/>
                <w:bCs/>
                <w:spacing w:val="-4"/>
              </w:rPr>
              <w:t>率kg/h</w:t>
            </w:r>
          </w:p>
        </w:tc>
        <w:tc>
          <w:tcPr>
            <w:shd w:val="clear" w:fill="BDBDBD"/>
            <w:tcW w:w="609" w:type="dxa"/>
            <w:vAlign w:val="top"/>
          </w:tcPr>
          <w:p>
            <w:pPr>
              <w:pStyle w:val="TableText"/>
              <w:ind w:left="35" w:right="47" w:firstLine="49"/>
              <w:spacing w:before="170" w:line="256" w:lineRule="auto"/>
              <w:rPr>
                <w:sz w:val="21"/>
                <w:szCs w:val="21"/>
              </w:rPr>
            </w:pPr>
            <w:r>
              <w:rPr>
                <w:sz w:val="21"/>
                <w:szCs w:val="21"/>
                <w:b/>
                <w:bCs/>
                <w:spacing w:val="-7"/>
              </w:rPr>
              <w:t>产生</w:t>
            </w:r>
            <w:r>
              <w:rPr>
                <w:sz w:val="21"/>
                <w:szCs w:val="21"/>
              </w:rPr>
              <w:t xml:space="preserve"> </w:t>
            </w:r>
            <w:r>
              <w:rPr>
                <w:sz w:val="21"/>
                <w:szCs w:val="21"/>
                <w:b/>
                <w:bCs/>
                <w:spacing w:val="-5"/>
              </w:rPr>
              <w:t>量t/a</w:t>
            </w:r>
          </w:p>
        </w:tc>
        <w:tc>
          <w:tcPr>
            <w:shd w:val="clear" w:fill="BDBDBD"/>
            <w:tcW w:w="3107" w:type="dxa"/>
            <w:vAlign w:val="top"/>
          </w:tcPr>
          <w:p>
            <w:pPr>
              <w:pStyle w:val="TableText"/>
              <w:ind w:left="1125"/>
              <w:spacing w:before="309" w:line="219" w:lineRule="auto"/>
              <w:rPr>
                <w:sz w:val="21"/>
                <w:szCs w:val="21"/>
              </w:rPr>
            </w:pPr>
            <w:r>
              <w:rPr>
                <w:sz w:val="21"/>
                <w:szCs w:val="21"/>
                <w:b/>
                <w:bCs/>
                <w:spacing w:val="-4"/>
              </w:rPr>
              <w:t>采取措施</w:t>
            </w:r>
          </w:p>
        </w:tc>
        <w:tc>
          <w:tcPr>
            <w:shd w:val="clear" w:fill="BDBDBD"/>
            <w:tcW w:w="659" w:type="dxa"/>
            <w:vAlign w:val="top"/>
          </w:tcPr>
          <w:p>
            <w:pPr>
              <w:pStyle w:val="TableText"/>
              <w:ind w:left="8"/>
              <w:spacing w:before="40" w:line="219" w:lineRule="auto"/>
              <w:rPr>
                <w:sz w:val="21"/>
                <w:szCs w:val="21"/>
              </w:rPr>
            </w:pPr>
            <w:r>
              <w:rPr>
                <w:sz w:val="21"/>
                <w:szCs w:val="21"/>
                <w:b/>
                <w:bCs/>
                <w:spacing w:val="-5"/>
              </w:rPr>
              <w:t>臭气收</w:t>
            </w:r>
          </w:p>
          <w:p>
            <w:pPr>
              <w:pStyle w:val="TableText"/>
              <w:ind w:left="8"/>
              <w:spacing w:before="20" w:line="219" w:lineRule="auto"/>
              <w:rPr>
                <w:sz w:val="21"/>
                <w:szCs w:val="21"/>
              </w:rPr>
            </w:pPr>
            <w:r>
              <w:rPr>
                <w:sz w:val="21"/>
                <w:szCs w:val="21"/>
                <w:b/>
                <w:bCs/>
                <w:spacing w:val="-5"/>
              </w:rPr>
              <w:t>集效率</w:t>
            </w:r>
          </w:p>
          <w:p>
            <w:pPr>
              <w:pStyle w:val="TableText"/>
              <w:ind w:left="99"/>
              <w:spacing w:before="3" w:line="219" w:lineRule="auto"/>
              <w:rPr>
                <w:sz w:val="21"/>
                <w:szCs w:val="21"/>
              </w:rPr>
            </w:pPr>
            <w:r>
              <w:rPr>
                <w:sz w:val="21"/>
                <w:szCs w:val="21"/>
                <w:b/>
                <w:bCs/>
                <w:spacing w:val="-13"/>
              </w:rPr>
              <w:t>(%)</w:t>
            </w:r>
          </w:p>
        </w:tc>
        <w:tc>
          <w:tcPr>
            <w:shd w:val="clear" w:fill="BDBDBD"/>
            <w:tcW w:w="639" w:type="dxa"/>
            <w:vAlign w:val="top"/>
          </w:tcPr>
          <w:p>
            <w:pPr>
              <w:pStyle w:val="TableText"/>
              <w:spacing w:before="40" w:line="219" w:lineRule="auto"/>
              <w:jc w:val="right"/>
              <w:rPr>
                <w:sz w:val="21"/>
                <w:szCs w:val="21"/>
              </w:rPr>
            </w:pPr>
            <w:r>
              <w:rPr>
                <w:sz w:val="21"/>
                <w:szCs w:val="21"/>
                <w:b/>
                <w:bCs/>
                <w:spacing w:val="-10"/>
              </w:rPr>
              <w:t>臭气去</w:t>
            </w:r>
          </w:p>
          <w:p>
            <w:pPr>
              <w:pStyle w:val="TableText"/>
              <w:spacing w:before="20" w:line="219" w:lineRule="auto"/>
              <w:jc w:val="right"/>
              <w:rPr>
                <w:sz w:val="21"/>
                <w:szCs w:val="21"/>
              </w:rPr>
            </w:pPr>
            <w:r>
              <w:rPr>
                <w:sz w:val="21"/>
                <w:szCs w:val="21"/>
                <w:b/>
                <w:bCs/>
                <w:spacing w:val="-10"/>
              </w:rPr>
              <w:t>除效率</w:t>
            </w:r>
          </w:p>
          <w:p>
            <w:pPr>
              <w:pStyle w:val="TableText"/>
              <w:ind w:left="159"/>
              <w:spacing w:before="24" w:line="201" w:lineRule="auto"/>
              <w:rPr>
                <w:sz w:val="21"/>
                <w:szCs w:val="21"/>
              </w:rPr>
            </w:pPr>
            <w:r>
              <w:rPr>
                <w:sz w:val="21"/>
                <w:szCs w:val="21"/>
                <w:b/>
                <w:bCs/>
                <w:spacing w:val="-13"/>
              </w:rPr>
              <w:t>(%)</w:t>
            </w:r>
          </w:p>
        </w:tc>
        <w:tc>
          <w:tcPr>
            <w:shd w:val="clear" w:fill="BEBEBE"/>
            <w:tcW w:w="579" w:type="dxa"/>
            <w:vAlign w:val="top"/>
          </w:tcPr>
          <w:p>
            <w:pPr>
              <w:pStyle w:val="TableText"/>
              <w:ind w:left="81"/>
              <w:spacing w:before="41" w:line="221" w:lineRule="auto"/>
              <w:rPr>
                <w:sz w:val="21"/>
                <w:szCs w:val="21"/>
              </w:rPr>
            </w:pPr>
            <w:r>
              <w:rPr>
                <w:sz w:val="21"/>
                <w:szCs w:val="21"/>
                <w:b/>
                <w:bCs/>
                <w:spacing w:val="-5"/>
              </w:rPr>
              <w:t>排放</w:t>
            </w:r>
          </w:p>
          <w:p>
            <w:pPr>
              <w:pStyle w:val="TableText"/>
              <w:ind w:left="80" w:right="74"/>
              <w:spacing w:before="37" w:line="212" w:lineRule="auto"/>
              <w:rPr>
                <w:sz w:val="21"/>
                <w:szCs w:val="21"/>
              </w:rPr>
            </w:pPr>
            <w:r>
              <w:rPr>
                <w:sz w:val="21"/>
                <w:szCs w:val="21"/>
                <w:b/>
                <w:bCs/>
                <w:spacing w:val="-6"/>
              </w:rPr>
              <w:t>速率</w:t>
            </w:r>
            <w:r>
              <w:rPr>
                <w:sz w:val="21"/>
                <w:szCs w:val="21"/>
              </w:rPr>
              <w:t xml:space="preserve"> </w:t>
            </w:r>
            <w:r>
              <w:rPr>
                <w:sz w:val="21"/>
                <w:szCs w:val="21"/>
                <w:b/>
                <w:bCs/>
                <w:spacing w:val="-4"/>
              </w:rPr>
              <w:t>kg/h</w:t>
            </w:r>
          </w:p>
        </w:tc>
        <w:tc>
          <w:tcPr>
            <w:shd w:val="clear" w:fill="BDBDBD"/>
            <w:tcW w:w="629" w:type="dxa"/>
            <w:vAlign w:val="top"/>
          </w:tcPr>
          <w:p>
            <w:pPr>
              <w:pStyle w:val="TableText"/>
              <w:ind w:left="145" w:hanging="124"/>
              <w:spacing w:before="192" w:line="254" w:lineRule="auto"/>
              <w:rPr>
                <w:sz w:val="21"/>
                <w:szCs w:val="21"/>
              </w:rPr>
            </w:pPr>
            <w:r>
              <w:rPr>
                <w:sz w:val="21"/>
                <w:szCs w:val="21"/>
                <w:b/>
                <w:bCs/>
                <w:spacing w:val="-17"/>
              </w:rPr>
              <w:t>排</w:t>
            </w:r>
            <w:r>
              <w:rPr>
                <w:sz w:val="21"/>
                <w:szCs w:val="21"/>
                <w:b/>
                <w:bCs/>
                <w:spacing w:val="-16"/>
              </w:rPr>
              <w:t>放</w:t>
            </w:r>
            <w:r>
              <w:rPr>
                <w:sz w:val="21"/>
                <w:szCs w:val="21"/>
                <w:b/>
                <w:bCs/>
                <w:spacing w:val="-9"/>
              </w:rPr>
              <w:t>量</w:t>
            </w:r>
            <w:r>
              <w:rPr>
                <w:sz w:val="21"/>
                <w:szCs w:val="21"/>
                <w:spacing w:val="1"/>
              </w:rPr>
              <w:t xml:space="preserve"> </w:t>
            </w:r>
            <w:r>
              <w:rPr>
                <w:sz w:val="21"/>
                <w:szCs w:val="21"/>
                <w:b/>
                <w:bCs/>
                <w:spacing w:val="-8"/>
              </w:rPr>
              <w:t>t/a</w:t>
            </w:r>
          </w:p>
        </w:tc>
        <w:tc>
          <w:tcPr>
            <w:shd w:val="clear" w:fill="BDBDBD"/>
            <w:tcW w:w="614" w:type="dxa"/>
            <w:vAlign w:val="top"/>
          </w:tcPr>
          <w:p>
            <w:pPr>
              <w:pStyle w:val="TableText"/>
              <w:ind w:left="23" w:right="58" w:firstLine="69"/>
              <w:spacing w:before="41" w:line="226" w:lineRule="auto"/>
              <w:jc w:val="both"/>
              <w:rPr>
                <w:sz w:val="21"/>
                <w:szCs w:val="21"/>
              </w:rPr>
            </w:pPr>
            <w:r>
              <w:rPr>
                <w:sz w:val="21"/>
                <w:szCs w:val="21"/>
                <w:b/>
                <w:bCs/>
                <w:spacing w:val="-7"/>
              </w:rPr>
              <w:t>排放</w:t>
            </w:r>
            <w:r>
              <w:rPr>
                <w:sz w:val="21"/>
                <w:szCs w:val="21"/>
              </w:rPr>
              <w:t xml:space="preserve"> </w:t>
            </w:r>
            <w:r>
              <w:rPr>
                <w:sz w:val="21"/>
                <w:szCs w:val="21"/>
                <w:b/>
                <w:bCs/>
                <w:spacing w:val="28"/>
              </w:rPr>
              <w:t>浓度</w:t>
            </w:r>
            <w:r>
              <w:rPr>
                <w:sz w:val="21"/>
                <w:szCs w:val="21"/>
              </w:rPr>
              <w:t xml:space="preserve"> </w:t>
            </w:r>
            <w:r>
              <w:rPr>
                <w:sz w:val="21"/>
                <w:szCs w:val="21"/>
                <w:b/>
                <w:bCs/>
                <w:spacing w:val="-3"/>
              </w:rPr>
              <w:t>mg/m³</w:t>
            </w:r>
          </w:p>
        </w:tc>
      </w:tr>
      <w:tr>
        <w:trPr>
          <w:trHeight w:val="249" w:hRule="atLeast"/>
        </w:trPr>
        <w:tc>
          <w:tcPr>
            <w:tcW w:w="465" w:type="dxa"/>
            <w:vAlign w:val="top"/>
            <w:vMerge w:val="restart"/>
            <w:tcBorders>
              <w:bottom w:val="nil"/>
            </w:tcBorders>
          </w:tcPr>
          <w:p>
            <w:pPr>
              <w:pStyle w:val="TableText"/>
              <w:ind w:left="15"/>
              <w:spacing w:before="139" w:line="219" w:lineRule="auto"/>
              <w:rPr>
                <w:sz w:val="21"/>
                <w:szCs w:val="21"/>
              </w:rPr>
            </w:pPr>
            <w:r>
              <w:rPr>
                <w:sz w:val="21"/>
                <w:szCs w:val="21"/>
                <w:spacing w:val="4"/>
              </w:rPr>
              <w:t>淡季</w:t>
            </w:r>
          </w:p>
        </w:tc>
        <w:tc>
          <w:tcPr>
            <w:tcW w:w="489" w:type="dxa"/>
            <w:vAlign w:val="top"/>
          </w:tcPr>
          <w:p>
            <w:pPr>
              <w:pStyle w:val="TableText"/>
              <w:ind w:left="19"/>
              <w:spacing w:before="54" w:line="162" w:lineRule="auto"/>
              <w:rPr>
                <w:rFonts w:ascii="Calibri" w:hAnsi="Calibri" w:eastAsia="Calibri" w:cs="Calibri"/>
                <w:sz w:val="21"/>
                <w:szCs w:val="21"/>
              </w:rPr>
            </w:pPr>
            <w:r>
              <w:rPr>
                <w:sz w:val="21"/>
                <w:szCs w:val="21"/>
                <w:color w:val="806060"/>
                <w:spacing w:val="-1"/>
              </w:rPr>
              <w:t>NH</w:t>
            </w:r>
            <w:r>
              <w:rPr>
                <w:rFonts w:ascii="Calibri" w:hAnsi="Calibri" w:eastAsia="Calibri" w:cs="Calibri"/>
                <w:sz w:val="21"/>
                <w:szCs w:val="21"/>
                <w:color w:val="806060"/>
                <w:spacing w:val="-1"/>
              </w:rPr>
              <w:t>₃</w:t>
            </w:r>
          </w:p>
        </w:tc>
        <w:tc>
          <w:tcPr>
            <w:tcW w:w="709" w:type="dxa"/>
            <w:vAlign w:val="top"/>
          </w:tcPr>
          <w:p>
            <w:pPr>
              <w:pStyle w:val="TableText"/>
              <w:ind w:left="30"/>
              <w:spacing w:before="42" w:line="173" w:lineRule="auto"/>
              <w:rPr>
                <w:sz w:val="21"/>
                <w:szCs w:val="21"/>
              </w:rPr>
            </w:pPr>
            <w:r>
              <w:rPr>
                <w:sz w:val="21"/>
                <w:szCs w:val="21"/>
                <w:color w:val="A09070"/>
                <w:spacing w:val="-2"/>
              </w:rPr>
              <w:t>0.1325</w:t>
            </w:r>
          </w:p>
        </w:tc>
        <w:tc>
          <w:tcPr>
            <w:tcW w:w="609" w:type="dxa"/>
            <w:vAlign w:val="top"/>
          </w:tcPr>
          <w:p>
            <w:pPr>
              <w:pStyle w:val="TableText"/>
              <w:spacing w:before="42" w:line="173" w:lineRule="auto"/>
              <w:jc w:val="right"/>
              <w:rPr>
                <w:sz w:val="21"/>
                <w:szCs w:val="21"/>
              </w:rPr>
            </w:pPr>
            <w:r>
              <w:rPr>
                <w:sz w:val="21"/>
                <w:szCs w:val="21"/>
                <w:color w:val="908070"/>
                <w:spacing w:val="-8"/>
              </w:rPr>
              <w:t>0.4293</w:t>
            </w:r>
          </w:p>
        </w:tc>
        <w:tc>
          <w:tcPr>
            <w:tcW w:w="3107" w:type="dxa"/>
            <w:vAlign w:val="top"/>
            <w:vMerge w:val="restart"/>
            <w:tcBorders>
              <w:bottom w:val="nil"/>
            </w:tcBorders>
          </w:tcPr>
          <w:p>
            <w:pPr>
              <w:pStyle w:val="TableText"/>
              <w:ind w:right="1"/>
              <w:spacing w:before="32" w:line="213" w:lineRule="auto"/>
              <w:jc w:val="right"/>
              <w:rPr>
                <w:sz w:val="21"/>
                <w:szCs w:val="21"/>
              </w:rPr>
            </w:pPr>
            <w:r>
              <w:rPr>
                <w:sz w:val="21"/>
                <w:szCs w:val="21"/>
                <w:spacing w:val="-6"/>
              </w:rPr>
              <w:t>生猪</w:t>
            </w:r>
            <w:r>
              <w:rPr>
                <w:sz w:val="21"/>
                <w:szCs w:val="21"/>
                <w:spacing w:val="-5"/>
              </w:rPr>
              <w:t>待宰圈舍恶臭经负压收集+喷</w:t>
            </w:r>
            <w:r>
              <w:rPr>
                <w:sz w:val="21"/>
                <w:szCs w:val="21"/>
                <w:spacing w:val="-3"/>
              </w:rPr>
              <w:t>_</w:t>
            </w:r>
          </w:p>
          <w:p>
            <w:pPr>
              <w:pStyle w:val="TableText"/>
              <w:ind w:left="282"/>
              <w:spacing w:before="33" w:line="218" w:lineRule="auto"/>
              <w:rPr>
                <w:sz w:val="21"/>
                <w:szCs w:val="21"/>
              </w:rPr>
            </w:pPr>
            <w:r>
              <w:rPr>
                <w:sz w:val="21"/>
                <w:szCs w:val="21"/>
                <w:spacing w:val="-1"/>
              </w:rPr>
              <w:t>淋+UV光氧+活性炭吸附装置</w:t>
            </w:r>
          </w:p>
          <w:p>
            <w:pPr>
              <w:pStyle w:val="TableText"/>
              <w:ind w:left="542"/>
              <w:spacing w:before="23" w:line="219" w:lineRule="auto"/>
              <w:rPr>
                <w:sz w:val="21"/>
                <w:szCs w:val="21"/>
              </w:rPr>
            </w:pPr>
            <w:r>
              <w:rPr>
                <w:sz w:val="21"/>
                <w:szCs w:val="21"/>
                <w:spacing w:val="1"/>
              </w:rPr>
              <w:t>(</w:t>
            </w:r>
            <w:r>
              <w:rPr>
                <w:sz w:val="21"/>
                <w:szCs w:val="21"/>
              </w:rPr>
              <w:t>TA</w:t>
            </w:r>
            <w:r>
              <w:rPr>
                <w:sz w:val="21"/>
                <w:szCs w:val="21"/>
                <w:spacing w:val="1"/>
              </w:rPr>
              <w:t>001)+15m高排气筒</w:t>
            </w:r>
          </w:p>
          <w:p>
            <w:pPr>
              <w:pStyle w:val="TableText"/>
              <w:ind w:left="962"/>
              <w:spacing w:before="22" w:line="199" w:lineRule="auto"/>
              <w:rPr>
                <w:sz w:val="21"/>
                <w:szCs w:val="21"/>
              </w:rPr>
            </w:pPr>
            <w:r>
              <w:rPr>
                <w:sz w:val="21"/>
                <w:szCs w:val="21"/>
                <w:spacing w:val="1"/>
              </w:rPr>
              <w:t>(</w:t>
            </w:r>
            <w:r>
              <w:rPr>
                <w:sz w:val="21"/>
                <w:szCs w:val="21"/>
              </w:rPr>
              <w:t>DA</w:t>
            </w:r>
            <w:r>
              <w:rPr>
                <w:sz w:val="21"/>
                <w:szCs w:val="21"/>
                <w:spacing w:val="1"/>
              </w:rPr>
              <w:t>001)排放</w:t>
            </w:r>
          </w:p>
        </w:tc>
        <w:tc>
          <w:tcPr>
            <w:tcW w:w="659" w:type="dxa"/>
            <w:vAlign w:val="top"/>
          </w:tcPr>
          <w:p>
            <w:pPr>
              <w:pStyle w:val="TableText"/>
              <w:ind w:left="215"/>
              <w:spacing w:before="42" w:line="173" w:lineRule="auto"/>
              <w:rPr>
                <w:sz w:val="21"/>
                <w:szCs w:val="21"/>
              </w:rPr>
            </w:pPr>
            <w:r>
              <w:rPr>
                <w:sz w:val="21"/>
                <w:szCs w:val="21"/>
                <w:spacing w:val="-3"/>
              </w:rPr>
              <w:t>95</w:t>
            </w:r>
          </w:p>
        </w:tc>
        <w:tc>
          <w:tcPr>
            <w:tcW w:w="639" w:type="dxa"/>
            <w:vAlign w:val="top"/>
          </w:tcPr>
          <w:p>
            <w:pPr>
              <w:pStyle w:val="TableText"/>
              <w:ind w:left="207"/>
              <w:spacing w:before="42" w:line="173" w:lineRule="auto"/>
              <w:rPr>
                <w:sz w:val="21"/>
                <w:szCs w:val="21"/>
              </w:rPr>
            </w:pPr>
            <w:r>
              <w:rPr>
                <w:sz w:val="21"/>
                <w:szCs w:val="21"/>
                <w:spacing w:val="-3"/>
              </w:rPr>
              <w:t>95</w:t>
            </w:r>
          </w:p>
        </w:tc>
        <w:tc>
          <w:tcPr>
            <w:tcW w:w="579" w:type="dxa"/>
            <w:vAlign w:val="top"/>
          </w:tcPr>
          <w:p>
            <w:pPr>
              <w:pStyle w:val="TableText"/>
              <w:spacing w:before="42" w:line="173" w:lineRule="auto"/>
              <w:jc w:val="right"/>
              <w:rPr>
                <w:sz w:val="21"/>
                <w:szCs w:val="21"/>
              </w:rPr>
            </w:pPr>
            <w:r>
              <w:rPr>
                <w:sz w:val="21"/>
                <w:szCs w:val="21"/>
                <w:spacing w:val="-14"/>
              </w:rPr>
              <w:t>0.0063</w:t>
            </w:r>
          </w:p>
        </w:tc>
        <w:tc>
          <w:tcPr>
            <w:tcW w:w="629" w:type="dxa"/>
            <w:vAlign w:val="top"/>
          </w:tcPr>
          <w:p>
            <w:pPr>
              <w:pStyle w:val="TableText"/>
              <w:spacing w:before="42" w:line="173" w:lineRule="auto"/>
              <w:jc w:val="right"/>
              <w:rPr>
                <w:sz w:val="21"/>
                <w:szCs w:val="21"/>
              </w:rPr>
            </w:pPr>
            <w:r>
              <w:rPr>
                <w:sz w:val="21"/>
                <w:szCs w:val="21"/>
                <w:spacing w:val="-5"/>
              </w:rPr>
              <w:t>0.0204</w:t>
            </w:r>
          </w:p>
        </w:tc>
        <w:tc>
          <w:tcPr>
            <w:tcW w:w="614" w:type="dxa"/>
            <w:vAlign w:val="top"/>
          </w:tcPr>
          <w:p>
            <w:pPr>
              <w:pStyle w:val="TableText"/>
              <w:ind w:left="89"/>
              <w:spacing w:before="42" w:line="173" w:lineRule="auto"/>
              <w:rPr>
                <w:sz w:val="21"/>
                <w:szCs w:val="21"/>
              </w:rPr>
            </w:pPr>
            <w:r>
              <w:rPr>
                <w:sz w:val="21"/>
                <w:szCs w:val="21"/>
                <w:color w:val="404050"/>
                <w:spacing w:val="-2"/>
              </w:rPr>
              <w:t>0.21</w:t>
            </w:r>
          </w:p>
        </w:tc>
      </w:tr>
      <w:tr>
        <w:trPr>
          <w:trHeight w:val="230" w:hRule="atLeast"/>
        </w:trPr>
        <w:tc>
          <w:tcPr>
            <w:tcW w:w="465" w:type="dxa"/>
            <w:vAlign w:val="top"/>
            <w:vMerge w:val="continue"/>
            <w:tcBorders>
              <w:top w:val="nil"/>
            </w:tcBorders>
          </w:tcPr>
          <w:p>
            <w:pPr>
              <w:rPr>
                <w:rFonts w:ascii="Arial"/>
                <w:sz w:val="21"/>
              </w:rPr>
            </w:pPr>
            <w:r/>
          </w:p>
        </w:tc>
        <w:tc>
          <w:tcPr>
            <w:tcW w:w="489" w:type="dxa"/>
            <w:vAlign w:val="top"/>
          </w:tcPr>
          <w:p>
            <w:pPr>
              <w:pStyle w:val="TableText"/>
              <w:ind w:left="19"/>
              <w:spacing w:before="65" w:line="155" w:lineRule="exact"/>
              <w:rPr>
                <w:sz w:val="21"/>
                <w:szCs w:val="21"/>
              </w:rPr>
            </w:pPr>
            <w:r>
              <w:rPr>
                <w:sz w:val="21"/>
                <w:szCs w:val="21"/>
                <w:spacing w:val="-2"/>
                <w:position w:val="-2"/>
              </w:rPr>
              <w:t>H</w:t>
            </w:r>
            <w:r>
              <w:rPr>
                <w:rFonts w:ascii="Calibri" w:hAnsi="Calibri" w:eastAsia="Calibri" w:cs="Calibri"/>
                <w:sz w:val="21"/>
                <w:szCs w:val="21"/>
                <w:spacing w:val="-2"/>
                <w:position w:val="-2"/>
              </w:rPr>
              <w:t>₂</w:t>
            </w:r>
            <w:r>
              <w:rPr>
                <w:sz w:val="21"/>
                <w:szCs w:val="21"/>
                <w:spacing w:val="-2"/>
                <w:position w:val="-2"/>
              </w:rPr>
              <w:t>S</w:t>
            </w:r>
          </w:p>
        </w:tc>
        <w:tc>
          <w:tcPr>
            <w:tcW w:w="709" w:type="dxa"/>
            <w:vAlign w:val="top"/>
          </w:tcPr>
          <w:p>
            <w:pPr>
              <w:pStyle w:val="TableText"/>
              <w:ind w:left="30"/>
              <w:spacing w:before="52" w:line="167" w:lineRule="exact"/>
              <w:rPr>
                <w:sz w:val="21"/>
                <w:szCs w:val="21"/>
              </w:rPr>
            </w:pPr>
            <w:r>
              <w:rPr>
                <w:sz w:val="21"/>
                <w:szCs w:val="21"/>
                <w:spacing w:val="-2"/>
                <w:position w:val="-2"/>
              </w:rPr>
              <w:t>0.0492</w:t>
            </w:r>
          </w:p>
        </w:tc>
        <w:tc>
          <w:tcPr>
            <w:tcW w:w="609" w:type="dxa"/>
            <w:vAlign w:val="top"/>
          </w:tcPr>
          <w:p>
            <w:pPr>
              <w:pStyle w:val="TableText"/>
              <w:spacing w:before="52" w:line="167" w:lineRule="exact"/>
              <w:jc w:val="right"/>
              <w:rPr>
                <w:sz w:val="21"/>
                <w:szCs w:val="21"/>
              </w:rPr>
            </w:pPr>
            <w:r>
              <w:rPr>
                <w:sz w:val="21"/>
                <w:szCs w:val="21"/>
                <w:spacing w:val="-8"/>
                <w:position w:val="-2"/>
              </w:rPr>
              <w:t>0.1593</w:t>
            </w:r>
          </w:p>
        </w:tc>
        <w:tc>
          <w:tcPr>
            <w:tcW w:w="3107" w:type="dxa"/>
            <w:vAlign w:val="top"/>
            <w:vMerge w:val="continue"/>
            <w:tcBorders>
              <w:top w:val="nil"/>
              <w:bottom w:val="nil"/>
            </w:tcBorders>
          </w:tcPr>
          <w:p>
            <w:pPr>
              <w:rPr>
                <w:rFonts w:ascii="Arial"/>
                <w:sz w:val="21"/>
              </w:rPr>
            </w:pPr>
            <w:r/>
          </w:p>
        </w:tc>
        <w:tc>
          <w:tcPr>
            <w:tcW w:w="659" w:type="dxa"/>
            <w:vAlign w:val="top"/>
          </w:tcPr>
          <w:p>
            <w:pPr>
              <w:pStyle w:val="TableText"/>
              <w:ind w:left="215"/>
              <w:spacing w:before="52" w:line="167" w:lineRule="exact"/>
              <w:rPr>
                <w:sz w:val="21"/>
                <w:szCs w:val="21"/>
              </w:rPr>
            </w:pPr>
            <w:r>
              <w:rPr>
                <w:sz w:val="21"/>
                <w:szCs w:val="21"/>
                <w:spacing w:val="-3"/>
                <w:position w:val="-2"/>
              </w:rPr>
              <w:t>95</w:t>
            </w:r>
          </w:p>
        </w:tc>
        <w:tc>
          <w:tcPr>
            <w:tcW w:w="639" w:type="dxa"/>
            <w:vAlign w:val="top"/>
          </w:tcPr>
          <w:p>
            <w:pPr>
              <w:pStyle w:val="TableText"/>
              <w:ind w:left="207"/>
              <w:spacing w:before="52" w:line="167" w:lineRule="exact"/>
              <w:rPr>
                <w:sz w:val="21"/>
                <w:szCs w:val="21"/>
              </w:rPr>
            </w:pPr>
            <w:r>
              <w:rPr>
                <w:sz w:val="21"/>
                <w:szCs w:val="21"/>
                <w:spacing w:val="-3"/>
                <w:position w:val="-2"/>
              </w:rPr>
              <w:t>95</w:t>
            </w:r>
          </w:p>
        </w:tc>
        <w:tc>
          <w:tcPr>
            <w:tcW w:w="579" w:type="dxa"/>
            <w:vAlign w:val="top"/>
          </w:tcPr>
          <w:p>
            <w:pPr>
              <w:pStyle w:val="TableText"/>
              <w:spacing w:before="52" w:line="167" w:lineRule="exact"/>
              <w:jc w:val="right"/>
              <w:rPr>
                <w:sz w:val="21"/>
                <w:szCs w:val="21"/>
              </w:rPr>
            </w:pPr>
            <w:r>
              <w:rPr>
                <w:sz w:val="21"/>
                <w:szCs w:val="21"/>
                <w:spacing w:val="-14"/>
                <w:position w:val="-2"/>
              </w:rPr>
              <w:t>0.0023</w:t>
            </w:r>
          </w:p>
        </w:tc>
        <w:tc>
          <w:tcPr>
            <w:tcW w:w="629" w:type="dxa"/>
            <w:vAlign w:val="top"/>
          </w:tcPr>
          <w:p>
            <w:pPr>
              <w:pStyle w:val="TableText"/>
              <w:spacing w:before="52" w:line="167" w:lineRule="exact"/>
              <w:jc w:val="right"/>
              <w:rPr>
                <w:sz w:val="21"/>
                <w:szCs w:val="21"/>
              </w:rPr>
            </w:pPr>
            <w:r>
              <w:rPr>
                <w:sz w:val="21"/>
                <w:szCs w:val="21"/>
                <w:spacing w:val="-5"/>
                <w:position w:val="-2"/>
              </w:rPr>
              <w:t>0.0076</w:t>
            </w:r>
          </w:p>
        </w:tc>
        <w:tc>
          <w:tcPr>
            <w:tcW w:w="614" w:type="dxa"/>
            <w:vAlign w:val="top"/>
          </w:tcPr>
          <w:p>
            <w:pPr>
              <w:pStyle w:val="TableText"/>
              <w:ind w:left="89"/>
              <w:spacing w:before="52" w:line="167" w:lineRule="exact"/>
              <w:rPr>
                <w:sz w:val="21"/>
                <w:szCs w:val="21"/>
              </w:rPr>
            </w:pPr>
            <w:r>
              <w:rPr>
                <w:sz w:val="21"/>
                <w:szCs w:val="21"/>
                <w:spacing w:val="-2"/>
                <w:position w:val="-2"/>
              </w:rPr>
              <w:t>0.08</w:t>
            </w:r>
          </w:p>
        </w:tc>
      </w:tr>
      <w:tr>
        <w:trPr>
          <w:trHeight w:val="240" w:hRule="atLeast"/>
        </w:trPr>
        <w:tc>
          <w:tcPr>
            <w:tcW w:w="465" w:type="dxa"/>
            <w:vAlign w:val="top"/>
            <w:vMerge w:val="restart"/>
            <w:tcBorders>
              <w:bottom w:val="nil"/>
            </w:tcBorders>
          </w:tcPr>
          <w:p>
            <w:pPr>
              <w:pStyle w:val="TableText"/>
              <w:ind w:left="15"/>
              <w:spacing w:before="191" w:line="219" w:lineRule="auto"/>
              <w:rPr>
                <w:sz w:val="21"/>
                <w:szCs w:val="21"/>
              </w:rPr>
            </w:pPr>
            <w:r>
              <w:rPr>
                <w:sz w:val="21"/>
                <w:szCs w:val="21"/>
                <w:spacing w:val="4"/>
              </w:rPr>
              <w:t>旺季</w:t>
            </w:r>
          </w:p>
        </w:tc>
        <w:tc>
          <w:tcPr>
            <w:tcW w:w="489" w:type="dxa"/>
            <w:vAlign w:val="top"/>
          </w:tcPr>
          <w:p>
            <w:pPr>
              <w:pStyle w:val="TableText"/>
              <w:ind w:left="19"/>
              <w:spacing w:before="55" w:line="175" w:lineRule="exact"/>
              <w:rPr>
                <w:rFonts w:ascii="Calibri" w:hAnsi="Calibri" w:eastAsia="Calibri" w:cs="Calibri"/>
                <w:sz w:val="21"/>
                <w:szCs w:val="21"/>
              </w:rPr>
            </w:pPr>
            <w:r>
              <w:rPr>
                <w:sz w:val="21"/>
                <w:szCs w:val="21"/>
                <w:color w:val="404040"/>
                <w:spacing w:val="-1"/>
                <w:position w:val="-1"/>
              </w:rPr>
              <w:t>NH</w:t>
            </w:r>
            <w:r>
              <w:rPr>
                <w:rFonts w:ascii="Calibri" w:hAnsi="Calibri" w:eastAsia="Calibri" w:cs="Calibri"/>
                <w:sz w:val="21"/>
                <w:szCs w:val="21"/>
                <w:color w:val="404040"/>
                <w:spacing w:val="-1"/>
                <w:position w:val="-1"/>
              </w:rPr>
              <w:t>₃</w:t>
            </w:r>
          </w:p>
        </w:tc>
        <w:tc>
          <w:tcPr>
            <w:tcW w:w="709" w:type="dxa"/>
            <w:vAlign w:val="top"/>
          </w:tcPr>
          <w:p>
            <w:pPr>
              <w:pStyle w:val="TableText"/>
              <w:ind w:left="30"/>
              <w:spacing w:before="42" w:line="165" w:lineRule="auto"/>
              <w:rPr>
                <w:sz w:val="21"/>
                <w:szCs w:val="21"/>
              </w:rPr>
            </w:pPr>
            <w:r>
              <w:rPr>
                <w:sz w:val="21"/>
                <w:szCs w:val="21"/>
                <w:color w:val="908060"/>
                <w:spacing w:val="-2"/>
              </w:rPr>
              <w:t>0.1913</w:t>
            </w:r>
          </w:p>
        </w:tc>
        <w:tc>
          <w:tcPr>
            <w:tcW w:w="609" w:type="dxa"/>
            <w:vAlign w:val="top"/>
          </w:tcPr>
          <w:p>
            <w:pPr>
              <w:pStyle w:val="TableText"/>
              <w:spacing w:before="42" w:line="165" w:lineRule="auto"/>
              <w:jc w:val="right"/>
              <w:rPr>
                <w:sz w:val="21"/>
                <w:szCs w:val="21"/>
              </w:rPr>
            </w:pPr>
            <w:r>
              <w:rPr>
                <w:sz w:val="21"/>
                <w:szCs w:val="21"/>
                <w:spacing w:val="-8"/>
              </w:rPr>
              <w:t>0.2066</w:t>
            </w:r>
          </w:p>
        </w:tc>
        <w:tc>
          <w:tcPr>
            <w:tcW w:w="3107" w:type="dxa"/>
            <w:vAlign w:val="top"/>
            <w:vMerge w:val="continue"/>
            <w:tcBorders>
              <w:top w:val="nil"/>
              <w:bottom w:val="nil"/>
            </w:tcBorders>
          </w:tcPr>
          <w:p>
            <w:pPr>
              <w:rPr>
                <w:rFonts w:ascii="Arial"/>
                <w:sz w:val="21"/>
              </w:rPr>
            </w:pPr>
            <w:r/>
          </w:p>
        </w:tc>
        <w:tc>
          <w:tcPr>
            <w:tcW w:w="659" w:type="dxa"/>
            <w:vAlign w:val="top"/>
          </w:tcPr>
          <w:p>
            <w:pPr>
              <w:pStyle w:val="TableText"/>
              <w:ind w:left="215"/>
              <w:spacing w:before="42" w:line="165" w:lineRule="auto"/>
              <w:rPr>
                <w:sz w:val="21"/>
                <w:szCs w:val="21"/>
              </w:rPr>
            </w:pPr>
            <w:r>
              <w:rPr>
                <w:sz w:val="21"/>
                <w:szCs w:val="21"/>
                <w:spacing w:val="-3"/>
              </w:rPr>
              <w:t>95</w:t>
            </w:r>
          </w:p>
        </w:tc>
        <w:tc>
          <w:tcPr>
            <w:tcW w:w="639" w:type="dxa"/>
            <w:vAlign w:val="top"/>
          </w:tcPr>
          <w:p>
            <w:pPr>
              <w:pStyle w:val="TableText"/>
              <w:ind w:left="207"/>
              <w:spacing w:before="42" w:line="165" w:lineRule="auto"/>
              <w:rPr>
                <w:sz w:val="21"/>
                <w:szCs w:val="21"/>
              </w:rPr>
            </w:pPr>
            <w:r>
              <w:rPr>
                <w:sz w:val="21"/>
                <w:szCs w:val="21"/>
                <w:spacing w:val="-3"/>
              </w:rPr>
              <w:t>95</w:t>
            </w:r>
          </w:p>
        </w:tc>
        <w:tc>
          <w:tcPr>
            <w:tcW w:w="579" w:type="dxa"/>
            <w:vAlign w:val="top"/>
          </w:tcPr>
          <w:p>
            <w:pPr>
              <w:pStyle w:val="TableText"/>
              <w:spacing w:before="42" w:line="165" w:lineRule="auto"/>
              <w:jc w:val="right"/>
              <w:rPr>
                <w:sz w:val="21"/>
                <w:szCs w:val="21"/>
              </w:rPr>
            </w:pPr>
            <w:r>
              <w:rPr>
                <w:sz w:val="21"/>
                <w:szCs w:val="21"/>
                <w:color w:val="304040"/>
                <w:spacing w:val="-14"/>
              </w:rPr>
              <w:t>0.0091</w:t>
            </w:r>
          </w:p>
        </w:tc>
        <w:tc>
          <w:tcPr>
            <w:tcW w:w="629" w:type="dxa"/>
            <w:vAlign w:val="top"/>
          </w:tcPr>
          <w:p>
            <w:pPr>
              <w:pStyle w:val="TableText"/>
              <w:spacing w:before="42" w:line="165" w:lineRule="auto"/>
              <w:jc w:val="right"/>
              <w:rPr>
                <w:sz w:val="21"/>
                <w:szCs w:val="21"/>
              </w:rPr>
            </w:pPr>
            <w:r>
              <w:rPr>
                <w:sz w:val="21"/>
                <w:szCs w:val="21"/>
                <w:spacing w:val="-5"/>
              </w:rPr>
              <w:t>0.0098</w:t>
            </w:r>
          </w:p>
        </w:tc>
        <w:tc>
          <w:tcPr>
            <w:tcW w:w="614" w:type="dxa"/>
            <w:vAlign w:val="top"/>
          </w:tcPr>
          <w:p>
            <w:pPr>
              <w:pStyle w:val="TableText"/>
              <w:ind w:left="89"/>
              <w:spacing w:before="42" w:line="165" w:lineRule="auto"/>
              <w:rPr>
                <w:sz w:val="21"/>
                <w:szCs w:val="21"/>
              </w:rPr>
            </w:pPr>
            <w:r>
              <w:rPr>
                <w:sz w:val="21"/>
                <w:szCs w:val="21"/>
                <w:color w:val="506060"/>
                <w:spacing w:val="-2"/>
              </w:rPr>
              <w:t>0.30</w:t>
            </w:r>
          </w:p>
        </w:tc>
      </w:tr>
      <w:tr>
        <w:trPr>
          <w:trHeight w:val="339" w:hRule="atLeast"/>
        </w:trPr>
        <w:tc>
          <w:tcPr>
            <w:tcW w:w="465" w:type="dxa"/>
            <w:vAlign w:val="top"/>
            <w:vMerge w:val="continue"/>
            <w:tcBorders>
              <w:top w:val="nil"/>
            </w:tcBorders>
          </w:tcPr>
          <w:p>
            <w:pPr>
              <w:rPr>
                <w:rFonts w:ascii="Arial"/>
                <w:sz w:val="21"/>
              </w:rPr>
            </w:pPr>
            <w:r/>
          </w:p>
        </w:tc>
        <w:tc>
          <w:tcPr>
            <w:tcW w:w="489" w:type="dxa"/>
            <w:vAlign w:val="top"/>
          </w:tcPr>
          <w:p>
            <w:pPr>
              <w:pStyle w:val="TableText"/>
              <w:ind w:left="19"/>
              <w:spacing w:before="105" w:line="183"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709" w:type="dxa"/>
            <w:vAlign w:val="top"/>
          </w:tcPr>
          <w:p>
            <w:pPr>
              <w:pStyle w:val="TableText"/>
              <w:ind w:left="80"/>
              <w:spacing w:before="92" w:line="208" w:lineRule="auto"/>
              <w:rPr>
                <w:sz w:val="21"/>
                <w:szCs w:val="21"/>
              </w:rPr>
            </w:pPr>
            <w:r>
              <w:rPr>
                <w:sz w:val="21"/>
                <w:szCs w:val="21"/>
                <w:spacing w:val="-2"/>
              </w:rPr>
              <w:t>0.071</w:t>
            </w:r>
          </w:p>
        </w:tc>
        <w:tc>
          <w:tcPr>
            <w:tcW w:w="609" w:type="dxa"/>
            <w:vAlign w:val="top"/>
          </w:tcPr>
          <w:p>
            <w:pPr>
              <w:pStyle w:val="TableText"/>
              <w:spacing w:before="92" w:line="208" w:lineRule="auto"/>
              <w:jc w:val="right"/>
              <w:rPr>
                <w:sz w:val="21"/>
                <w:szCs w:val="21"/>
              </w:rPr>
            </w:pPr>
            <w:r>
              <w:rPr>
                <w:sz w:val="21"/>
                <w:szCs w:val="21"/>
                <w:spacing w:val="-8"/>
              </w:rPr>
              <w:t>0.0767</w:t>
            </w:r>
          </w:p>
        </w:tc>
        <w:tc>
          <w:tcPr>
            <w:tcW w:w="3107" w:type="dxa"/>
            <w:vAlign w:val="top"/>
            <w:vMerge w:val="continue"/>
            <w:tcBorders>
              <w:top w:val="nil"/>
            </w:tcBorders>
          </w:tcPr>
          <w:p>
            <w:pPr>
              <w:rPr>
                <w:rFonts w:ascii="Arial"/>
                <w:sz w:val="21"/>
              </w:rPr>
            </w:pPr>
            <w:r/>
          </w:p>
        </w:tc>
        <w:tc>
          <w:tcPr>
            <w:tcW w:w="659" w:type="dxa"/>
            <w:vAlign w:val="top"/>
          </w:tcPr>
          <w:p>
            <w:pPr>
              <w:pStyle w:val="TableText"/>
              <w:ind w:left="215"/>
              <w:spacing w:before="92" w:line="208" w:lineRule="auto"/>
              <w:rPr>
                <w:sz w:val="21"/>
                <w:szCs w:val="21"/>
              </w:rPr>
            </w:pPr>
            <w:r>
              <w:rPr>
                <w:sz w:val="21"/>
                <w:szCs w:val="21"/>
                <w:spacing w:val="-3"/>
              </w:rPr>
              <w:t>95</w:t>
            </w:r>
          </w:p>
        </w:tc>
        <w:tc>
          <w:tcPr>
            <w:tcW w:w="639" w:type="dxa"/>
            <w:vAlign w:val="top"/>
          </w:tcPr>
          <w:p>
            <w:pPr>
              <w:pStyle w:val="TableText"/>
              <w:ind w:left="207"/>
              <w:spacing w:before="92" w:line="208" w:lineRule="auto"/>
              <w:rPr>
                <w:sz w:val="21"/>
                <w:szCs w:val="21"/>
              </w:rPr>
            </w:pPr>
            <w:r>
              <w:rPr>
                <w:sz w:val="21"/>
                <w:szCs w:val="21"/>
                <w:spacing w:val="-3"/>
              </w:rPr>
              <w:t>95</w:t>
            </w:r>
          </w:p>
        </w:tc>
        <w:tc>
          <w:tcPr>
            <w:tcW w:w="579" w:type="dxa"/>
            <w:vAlign w:val="top"/>
          </w:tcPr>
          <w:p>
            <w:pPr>
              <w:pStyle w:val="TableText"/>
              <w:spacing w:before="92" w:line="208" w:lineRule="auto"/>
              <w:jc w:val="right"/>
              <w:rPr>
                <w:sz w:val="21"/>
                <w:szCs w:val="21"/>
              </w:rPr>
            </w:pPr>
            <w:r>
              <w:rPr>
                <w:sz w:val="21"/>
                <w:szCs w:val="21"/>
                <w:spacing w:val="-16"/>
              </w:rPr>
              <w:t>0</w:t>
            </w:r>
            <w:r>
              <w:rPr>
                <w:sz w:val="21"/>
                <w:szCs w:val="21"/>
                <w:spacing w:val="-15"/>
              </w:rPr>
              <w:t>.003</w:t>
            </w:r>
            <w:r>
              <w:rPr>
                <w:sz w:val="21"/>
                <w:szCs w:val="21"/>
                <w:spacing w:val="-8"/>
              </w:rPr>
              <w:t>4</w:t>
            </w:r>
          </w:p>
        </w:tc>
        <w:tc>
          <w:tcPr>
            <w:tcW w:w="629" w:type="dxa"/>
            <w:vAlign w:val="top"/>
          </w:tcPr>
          <w:p>
            <w:pPr>
              <w:pStyle w:val="TableText"/>
              <w:spacing w:before="92" w:line="208" w:lineRule="auto"/>
              <w:jc w:val="right"/>
              <w:rPr>
                <w:sz w:val="21"/>
                <w:szCs w:val="21"/>
              </w:rPr>
            </w:pPr>
            <w:r>
              <w:rPr>
                <w:sz w:val="21"/>
                <w:szCs w:val="21"/>
                <w:spacing w:val="-5"/>
              </w:rPr>
              <w:t>0.0036</w:t>
            </w:r>
          </w:p>
        </w:tc>
        <w:tc>
          <w:tcPr>
            <w:tcW w:w="614" w:type="dxa"/>
            <w:vAlign w:val="top"/>
          </w:tcPr>
          <w:p>
            <w:pPr>
              <w:pStyle w:val="TableText"/>
              <w:ind w:left="89"/>
              <w:spacing w:before="92" w:line="208" w:lineRule="auto"/>
              <w:rPr>
                <w:sz w:val="21"/>
                <w:szCs w:val="21"/>
              </w:rPr>
            </w:pPr>
            <w:r>
              <w:rPr>
                <w:sz w:val="21"/>
                <w:szCs w:val="21"/>
                <w:spacing w:val="-2"/>
              </w:rPr>
              <w:t>0.11</w:t>
            </w:r>
          </w:p>
        </w:tc>
      </w:tr>
      <w:tr>
        <w:trPr>
          <w:trHeight w:val="249" w:hRule="atLeast"/>
        </w:trPr>
        <w:tc>
          <w:tcPr>
            <w:tcW w:w="465" w:type="dxa"/>
            <w:vAlign w:val="top"/>
            <w:vMerge w:val="restart"/>
            <w:tcBorders>
              <w:bottom w:val="nil"/>
            </w:tcBorders>
          </w:tcPr>
          <w:p>
            <w:pPr>
              <w:pStyle w:val="TableText"/>
              <w:spacing w:before="141" w:line="219" w:lineRule="auto"/>
              <w:jc w:val="right"/>
              <w:rPr>
                <w:sz w:val="20"/>
                <w:szCs w:val="20"/>
              </w:rPr>
            </w:pPr>
            <w:r>
              <w:rPr>
                <w:sz w:val="20"/>
                <w:szCs w:val="20"/>
                <w:spacing w:val="-20"/>
                <w:w w:val="96"/>
              </w:rPr>
              <w:t>淡季</w:t>
            </w:r>
            <w:r>
              <w:rPr>
                <w:sz w:val="20"/>
                <w:szCs w:val="20"/>
                <w:spacing w:val="-8"/>
                <w:w w:val="96"/>
              </w:rPr>
              <w:t>-</w:t>
            </w:r>
          </w:p>
        </w:tc>
        <w:tc>
          <w:tcPr>
            <w:tcW w:w="489" w:type="dxa"/>
            <w:vAlign w:val="top"/>
          </w:tcPr>
          <w:p>
            <w:pPr>
              <w:pStyle w:val="TableText"/>
              <w:ind w:left="19"/>
              <w:spacing w:before="56" w:line="160"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709" w:type="dxa"/>
            <w:vAlign w:val="top"/>
          </w:tcPr>
          <w:p>
            <w:pPr>
              <w:pStyle w:val="TableText"/>
              <w:ind w:left="30"/>
              <w:spacing w:before="43" w:line="172" w:lineRule="auto"/>
              <w:rPr>
                <w:sz w:val="21"/>
                <w:szCs w:val="21"/>
              </w:rPr>
            </w:pPr>
            <w:r>
              <w:rPr>
                <w:sz w:val="21"/>
                <w:szCs w:val="21"/>
                <w:spacing w:val="-2"/>
              </w:rPr>
              <w:t>0.0675</w:t>
            </w:r>
          </w:p>
        </w:tc>
        <w:tc>
          <w:tcPr>
            <w:tcW w:w="609" w:type="dxa"/>
            <w:vAlign w:val="top"/>
          </w:tcPr>
          <w:p>
            <w:pPr>
              <w:pStyle w:val="TableText"/>
              <w:spacing w:before="43" w:line="172" w:lineRule="auto"/>
              <w:jc w:val="right"/>
              <w:rPr>
                <w:sz w:val="21"/>
                <w:szCs w:val="21"/>
              </w:rPr>
            </w:pPr>
            <w:r>
              <w:rPr>
                <w:sz w:val="21"/>
                <w:szCs w:val="21"/>
                <w:color w:val="706060"/>
                <w:spacing w:val="-8"/>
              </w:rPr>
              <w:t>0.1458</w:t>
            </w:r>
          </w:p>
        </w:tc>
        <w:tc>
          <w:tcPr>
            <w:tcW w:w="3107" w:type="dxa"/>
            <w:vAlign w:val="top"/>
            <w:vMerge w:val="restart"/>
            <w:tcBorders>
              <w:bottom w:val="nil"/>
            </w:tcBorders>
          </w:tcPr>
          <w:p>
            <w:pPr>
              <w:pStyle w:val="TableText"/>
              <w:ind w:left="22"/>
              <w:spacing w:before="42" w:line="219" w:lineRule="auto"/>
              <w:rPr>
                <w:sz w:val="21"/>
                <w:szCs w:val="21"/>
              </w:rPr>
            </w:pPr>
            <w:r>
              <w:rPr>
                <w:sz w:val="21"/>
                <w:szCs w:val="21"/>
                <w:spacing w:val="-1"/>
              </w:rPr>
              <w:t>生猪屠宰车间恶臭经负压收集+喷</w:t>
            </w:r>
          </w:p>
          <w:p>
            <w:pPr>
              <w:pStyle w:val="TableText"/>
              <w:ind w:left="282"/>
              <w:spacing w:before="18" w:line="218" w:lineRule="auto"/>
              <w:rPr>
                <w:sz w:val="21"/>
                <w:szCs w:val="21"/>
              </w:rPr>
            </w:pPr>
            <w:r>
              <w:rPr>
                <w:sz w:val="21"/>
                <w:szCs w:val="21"/>
                <w:spacing w:val="-1"/>
              </w:rPr>
              <w:t>淋+UV光氧+活性炭吸附装</w:t>
            </w:r>
            <w:r>
              <w:rPr>
                <w:sz w:val="21"/>
                <w:szCs w:val="21"/>
                <w:u w:val="single" w:color="auto"/>
                <w:spacing w:val="-1"/>
              </w:rPr>
              <w:t>置</w:t>
            </w:r>
          </w:p>
          <w:p>
            <w:pPr>
              <w:pStyle w:val="TableText"/>
              <w:ind w:left="542"/>
              <w:spacing w:before="34" w:line="219" w:lineRule="auto"/>
              <w:rPr>
                <w:sz w:val="21"/>
                <w:szCs w:val="21"/>
              </w:rPr>
            </w:pPr>
            <w:r>
              <w:rPr>
                <w:sz w:val="21"/>
                <w:szCs w:val="21"/>
                <w:spacing w:val="1"/>
              </w:rPr>
              <w:t>(</w:t>
            </w:r>
            <w:r>
              <w:rPr>
                <w:sz w:val="21"/>
                <w:szCs w:val="21"/>
              </w:rPr>
              <w:t>TA</w:t>
            </w:r>
            <w:r>
              <w:rPr>
                <w:sz w:val="21"/>
                <w:szCs w:val="21"/>
                <w:spacing w:val="1"/>
              </w:rPr>
              <w:t>002)+15m高排气筒</w:t>
            </w:r>
          </w:p>
          <w:p>
            <w:pPr>
              <w:pStyle w:val="TableText"/>
              <w:ind w:left="962"/>
              <w:spacing w:before="12" w:line="196" w:lineRule="auto"/>
              <w:rPr>
                <w:sz w:val="21"/>
                <w:szCs w:val="21"/>
              </w:rPr>
            </w:pPr>
            <w:r>
              <w:rPr>
                <w:sz w:val="21"/>
                <w:szCs w:val="21"/>
                <w:spacing w:val="1"/>
              </w:rPr>
              <w:t>(</w:t>
            </w:r>
            <w:r>
              <w:rPr>
                <w:sz w:val="21"/>
                <w:szCs w:val="21"/>
              </w:rPr>
              <w:t>DA</w:t>
            </w:r>
            <w:r>
              <w:rPr>
                <w:sz w:val="21"/>
                <w:szCs w:val="21"/>
                <w:spacing w:val="1"/>
              </w:rPr>
              <w:t>002)排放</w:t>
            </w:r>
          </w:p>
        </w:tc>
        <w:tc>
          <w:tcPr>
            <w:tcW w:w="659" w:type="dxa"/>
            <w:vAlign w:val="top"/>
          </w:tcPr>
          <w:p>
            <w:pPr>
              <w:pStyle w:val="TableText"/>
              <w:ind w:left="215"/>
              <w:spacing w:before="43" w:line="172" w:lineRule="auto"/>
              <w:rPr>
                <w:sz w:val="21"/>
                <w:szCs w:val="21"/>
              </w:rPr>
            </w:pPr>
            <w:r>
              <w:rPr>
                <w:sz w:val="21"/>
                <w:szCs w:val="21"/>
                <w:spacing w:val="-3"/>
              </w:rPr>
              <w:t>95</w:t>
            </w:r>
          </w:p>
        </w:tc>
        <w:tc>
          <w:tcPr>
            <w:tcW w:w="639" w:type="dxa"/>
            <w:vAlign w:val="top"/>
          </w:tcPr>
          <w:p>
            <w:pPr>
              <w:pStyle w:val="TableText"/>
              <w:ind w:left="207"/>
              <w:spacing w:before="43" w:line="172" w:lineRule="auto"/>
              <w:rPr>
                <w:sz w:val="21"/>
                <w:szCs w:val="21"/>
              </w:rPr>
            </w:pPr>
            <w:r>
              <w:rPr>
                <w:sz w:val="21"/>
                <w:szCs w:val="21"/>
                <w:spacing w:val="-3"/>
              </w:rPr>
              <w:t>95</w:t>
            </w:r>
          </w:p>
        </w:tc>
        <w:tc>
          <w:tcPr>
            <w:tcW w:w="579" w:type="dxa"/>
            <w:vAlign w:val="top"/>
          </w:tcPr>
          <w:p>
            <w:pPr>
              <w:pStyle w:val="TableText"/>
              <w:spacing w:before="43" w:line="172" w:lineRule="auto"/>
              <w:jc w:val="right"/>
              <w:rPr>
                <w:sz w:val="21"/>
                <w:szCs w:val="21"/>
              </w:rPr>
            </w:pPr>
            <w:r>
              <w:rPr>
                <w:sz w:val="21"/>
                <w:szCs w:val="21"/>
                <w:spacing w:val="-14"/>
              </w:rPr>
              <w:t>0.0032</w:t>
            </w:r>
          </w:p>
        </w:tc>
        <w:tc>
          <w:tcPr>
            <w:tcW w:w="629" w:type="dxa"/>
            <w:vAlign w:val="top"/>
          </w:tcPr>
          <w:p>
            <w:pPr>
              <w:pStyle w:val="TableText"/>
              <w:spacing w:before="43" w:line="172" w:lineRule="auto"/>
              <w:jc w:val="right"/>
              <w:rPr>
                <w:sz w:val="21"/>
                <w:szCs w:val="21"/>
              </w:rPr>
            </w:pPr>
            <w:r>
              <w:rPr>
                <w:sz w:val="21"/>
                <w:szCs w:val="21"/>
                <w:spacing w:val="-5"/>
              </w:rPr>
              <w:t>0.0069</w:t>
            </w:r>
          </w:p>
        </w:tc>
        <w:tc>
          <w:tcPr>
            <w:tcW w:w="614" w:type="dxa"/>
            <w:vAlign w:val="top"/>
          </w:tcPr>
          <w:p>
            <w:pPr>
              <w:pStyle w:val="TableText"/>
              <w:ind w:left="89"/>
              <w:spacing w:before="43" w:line="172" w:lineRule="auto"/>
              <w:rPr>
                <w:sz w:val="21"/>
                <w:szCs w:val="21"/>
              </w:rPr>
            </w:pPr>
            <w:r>
              <w:rPr>
                <w:sz w:val="21"/>
                <w:szCs w:val="21"/>
                <w:spacing w:val="-2"/>
              </w:rPr>
              <w:t>0.05</w:t>
            </w:r>
          </w:p>
        </w:tc>
      </w:tr>
      <w:tr>
        <w:trPr>
          <w:trHeight w:val="230" w:hRule="atLeast"/>
        </w:trPr>
        <w:tc>
          <w:tcPr>
            <w:tcW w:w="465" w:type="dxa"/>
            <w:vAlign w:val="top"/>
            <w:vMerge w:val="continue"/>
            <w:tcBorders>
              <w:top w:val="nil"/>
            </w:tcBorders>
          </w:tcPr>
          <w:p>
            <w:pPr>
              <w:rPr>
                <w:rFonts w:ascii="Arial"/>
                <w:sz w:val="21"/>
              </w:rPr>
            </w:pPr>
            <w:r/>
          </w:p>
        </w:tc>
        <w:tc>
          <w:tcPr>
            <w:tcW w:w="489" w:type="dxa"/>
            <w:vAlign w:val="top"/>
          </w:tcPr>
          <w:p>
            <w:pPr>
              <w:pStyle w:val="TableText"/>
              <w:ind w:left="19"/>
              <w:spacing w:before="67" w:line="153" w:lineRule="exact"/>
              <w:rPr>
                <w:sz w:val="21"/>
                <w:szCs w:val="21"/>
              </w:rPr>
            </w:pPr>
            <w:r>
              <w:rPr>
                <w:sz w:val="21"/>
                <w:szCs w:val="21"/>
                <w:spacing w:val="-2"/>
                <w:position w:val="-2"/>
              </w:rPr>
              <w:t>H</w:t>
            </w:r>
            <w:r>
              <w:rPr>
                <w:rFonts w:ascii="Calibri" w:hAnsi="Calibri" w:eastAsia="Calibri" w:cs="Calibri"/>
                <w:sz w:val="21"/>
                <w:szCs w:val="21"/>
                <w:spacing w:val="-2"/>
                <w:position w:val="-2"/>
              </w:rPr>
              <w:t>₂</w:t>
            </w:r>
            <w:r>
              <w:rPr>
                <w:sz w:val="21"/>
                <w:szCs w:val="21"/>
                <w:spacing w:val="-2"/>
                <w:position w:val="-2"/>
              </w:rPr>
              <w:t>S</w:t>
            </w:r>
          </w:p>
        </w:tc>
        <w:tc>
          <w:tcPr>
            <w:tcW w:w="709" w:type="dxa"/>
            <w:vAlign w:val="top"/>
          </w:tcPr>
          <w:p>
            <w:pPr>
              <w:pStyle w:val="TableText"/>
              <w:ind w:left="30"/>
              <w:spacing w:before="54" w:line="166" w:lineRule="exact"/>
              <w:rPr>
                <w:sz w:val="21"/>
                <w:szCs w:val="21"/>
              </w:rPr>
            </w:pPr>
            <w:r>
              <w:rPr>
                <w:sz w:val="21"/>
                <w:szCs w:val="21"/>
                <w:color w:val="404040"/>
                <w:spacing w:val="-2"/>
                <w:position w:val="-2"/>
              </w:rPr>
              <w:t>0.0188</w:t>
            </w:r>
          </w:p>
        </w:tc>
        <w:tc>
          <w:tcPr>
            <w:tcW w:w="609" w:type="dxa"/>
            <w:vAlign w:val="top"/>
          </w:tcPr>
          <w:p>
            <w:pPr>
              <w:pStyle w:val="TableText"/>
              <w:spacing w:before="54" w:line="166" w:lineRule="exact"/>
              <w:jc w:val="right"/>
              <w:rPr>
                <w:sz w:val="21"/>
                <w:szCs w:val="21"/>
              </w:rPr>
            </w:pPr>
            <w:r>
              <w:rPr>
                <w:sz w:val="21"/>
                <w:szCs w:val="21"/>
                <w:spacing w:val="-8"/>
                <w:position w:val="-2"/>
              </w:rPr>
              <w:t>0.0405</w:t>
            </w:r>
          </w:p>
        </w:tc>
        <w:tc>
          <w:tcPr>
            <w:tcW w:w="3107" w:type="dxa"/>
            <w:vAlign w:val="top"/>
            <w:vMerge w:val="continue"/>
            <w:tcBorders>
              <w:top w:val="nil"/>
              <w:bottom w:val="nil"/>
            </w:tcBorders>
          </w:tcPr>
          <w:p>
            <w:pPr>
              <w:rPr>
                <w:rFonts w:ascii="Arial"/>
                <w:sz w:val="21"/>
              </w:rPr>
            </w:pPr>
            <w:r/>
          </w:p>
        </w:tc>
        <w:tc>
          <w:tcPr>
            <w:tcW w:w="659" w:type="dxa"/>
            <w:vAlign w:val="top"/>
          </w:tcPr>
          <w:p>
            <w:pPr>
              <w:pStyle w:val="TableText"/>
              <w:ind w:left="215"/>
              <w:spacing w:before="54" w:line="166" w:lineRule="exact"/>
              <w:rPr>
                <w:sz w:val="21"/>
                <w:szCs w:val="21"/>
              </w:rPr>
            </w:pPr>
            <w:r>
              <w:rPr>
                <w:sz w:val="21"/>
                <w:szCs w:val="21"/>
                <w:spacing w:val="-3"/>
                <w:position w:val="-2"/>
              </w:rPr>
              <w:t>95</w:t>
            </w:r>
          </w:p>
        </w:tc>
        <w:tc>
          <w:tcPr>
            <w:tcW w:w="639" w:type="dxa"/>
            <w:vAlign w:val="top"/>
          </w:tcPr>
          <w:p>
            <w:pPr>
              <w:pStyle w:val="TableText"/>
              <w:ind w:left="207"/>
              <w:spacing w:before="54" w:line="166" w:lineRule="exact"/>
              <w:rPr>
                <w:sz w:val="21"/>
                <w:szCs w:val="21"/>
              </w:rPr>
            </w:pPr>
            <w:r>
              <w:rPr>
                <w:sz w:val="21"/>
                <w:szCs w:val="21"/>
                <w:spacing w:val="-3"/>
                <w:position w:val="-2"/>
              </w:rPr>
              <w:t>95</w:t>
            </w:r>
          </w:p>
        </w:tc>
        <w:tc>
          <w:tcPr>
            <w:tcW w:w="579" w:type="dxa"/>
            <w:vAlign w:val="top"/>
          </w:tcPr>
          <w:p>
            <w:pPr>
              <w:pStyle w:val="TableText"/>
              <w:spacing w:before="54" w:line="166" w:lineRule="exact"/>
              <w:jc w:val="right"/>
              <w:rPr>
                <w:sz w:val="21"/>
                <w:szCs w:val="21"/>
              </w:rPr>
            </w:pPr>
            <w:r>
              <w:rPr>
                <w:sz w:val="21"/>
                <w:szCs w:val="21"/>
                <w:color w:val="405050"/>
                <w:spacing w:val="-15"/>
                <w:position w:val="-2"/>
              </w:rPr>
              <w:t>0.</w:t>
            </w:r>
            <w:r>
              <w:rPr>
                <w:sz w:val="21"/>
                <w:szCs w:val="21"/>
                <w:color w:val="405050"/>
                <w:spacing w:val="-14"/>
                <w:position w:val="-2"/>
              </w:rPr>
              <w:t>000</w:t>
            </w:r>
            <w:r>
              <w:rPr>
                <w:sz w:val="21"/>
                <w:szCs w:val="21"/>
                <w:color w:val="405050"/>
                <w:spacing w:val="-12"/>
                <w:position w:val="-2"/>
              </w:rPr>
              <w:t>9</w:t>
            </w:r>
          </w:p>
        </w:tc>
        <w:tc>
          <w:tcPr>
            <w:tcW w:w="629" w:type="dxa"/>
            <w:vAlign w:val="top"/>
          </w:tcPr>
          <w:p>
            <w:pPr>
              <w:pStyle w:val="TableText"/>
              <w:spacing w:before="54" w:line="166" w:lineRule="exact"/>
              <w:jc w:val="right"/>
              <w:rPr>
                <w:sz w:val="21"/>
                <w:szCs w:val="21"/>
              </w:rPr>
            </w:pPr>
            <w:r>
              <w:rPr>
                <w:sz w:val="21"/>
                <w:szCs w:val="21"/>
                <w:color w:val="606050"/>
                <w:spacing w:val="-5"/>
                <w:position w:val="-2"/>
              </w:rPr>
              <w:t>0.0019</w:t>
            </w:r>
          </w:p>
        </w:tc>
        <w:tc>
          <w:tcPr>
            <w:tcW w:w="614" w:type="dxa"/>
            <w:vAlign w:val="top"/>
          </w:tcPr>
          <w:p>
            <w:pPr>
              <w:pStyle w:val="TableText"/>
              <w:ind w:left="89"/>
              <w:spacing w:before="54" w:line="166" w:lineRule="exact"/>
              <w:rPr>
                <w:sz w:val="21"/>
                <w:szCs w:val="21"/>
              </w:rPr>
            </w:pPr>
            <w:r>
              <w:rPr>
                <w:sz w:val="21"/>
                <w:szCs w:val="21"/>
                <w:color w:val="404040"/>
                <w:spacing w:val="-2"/>
                <w:position w:val="-2"/>
              </w:rPr>
              <w:t>0.02</w:t>
            </w:r>
          </w:p>
        </w:tc>
      </w:tr>
      <w:tr>
        <w:trPr>
          <w:trHeight w:val="249" w:hRule="atLeast"/>
        </w:trPr>
        <w:tc>
          <w:tcPr>
            <w:tcW w:w="465" w:type="dxa"/>
            <w:vAlign w:val="top"/>
            <w:vMerge w:val="restart"/>
            <w:tcBorders>
              <w:bottom w:val="nil"/>
            </w:tcBorders>
          </w:tcPr>
          <w:p>
            <w:pPr>
              <w:pStyle w:val="TableText"/>
              <w:ind w:left="15"/>
              <w:spacing w:before="193" w:line="219" w:lineRule="auto"/>
              <w:rPr>
                <w:sz w:val="21"/>
                <w:szCs w:val="21"/>
              </w:rPr>
            </w:pPr>
            <w:r>
              <w:rPr>
                <w:sz w:val="21"/>
                <w:szCs w:val="21"/>
                <w:spacing w:val="4"/>
              </w:rPr>
              <w:t>旺季</w:t>
            </w:r>
          </w:p>
        </w:tc>
        <w:tc>
          <w:tcPr>
            <w:tcW w:w="489" w:type="dxa"/>
            <w:vAlign w:val="top"/>
          </w:tcPr>
          <w:p>
            <w:pPr>
              <w:pStyle w:val="TableText"/>
              <w:ind w:left="19"/>
              <w:spacing w:before="56" w:line="160" w:lineRule="auto"/>
              <w:rPr>
                <w:rFonts w:ascii="Calibri" w:hAnsi="Calibri" w:eastAsia="Calibri" w:cs="Calibri"/>
                <w:sz w:val="21"/>
                <w:szCs w:val="21"/>
              </w:rPr>
            </w:pPr>
            <w:r>
              <w:rPr>
                <w:sz w:val="21"/>
                <w:szCs w:val="21"/>
                <w:color w:val="504050"/>
                <w:spacing w:val="-1"/>
              </w:rPr>
              <w:t>NH</w:t>
            </w:r>
            <w:r>
              <w:rPr>
                <w:rFonts w:ascii="Calibri" w:hAnsi="Calibri" w:eastAsia="Calibri" w:cs="Calibri"/>
                <w:sz w:val="21"/>
                <w:szCs w:val="21"/>
                <w:color w:val="504050"/>
                <w:spacing w:val="-1"/>
              </w:rPr>
              <w:t>₃</w:t>
            </w:r>
          </w:p>
        </w:tc>
        <w:tc>
          <w:tcPr>
            <w:tcW w:w="709" w:type="dxa"/>
            <w:vAlign w:val="top"/>
          </w:tcPr>
          <w:p>
            <w:pPr>
              <w:pStyle w:val="TableText"/>
              <w:ind w:left="30"/>
              <w:spacing w:before="44" w:line="171" w:lineRule="auto"/>
              <w:rPr>
                <w:sz w:val="21"/>
                <w:szCs w:val="21"/>
              </w:rPr>
            </w:pPr>
            <w:r>
              <w:rPr>
                <w:sz w:val="21"/>
                <w:szCs w:val="21"/>
                <w:spacing w:val="-2"/>
              </w:rPr>
              <w:t>0.0975</w:t>
            </w:r>
          </w:p>
        </w:tc>
        <w:tc>
          <w:tcPr>
            <w:tcW w:w="609" w:type="dxa"/>
            <w:vAlign w:val="top"/>
          </w:tcPr>
          <w:p>
            <w:pPr>
              <w:pStyle w:val="TableText"/>
              <w:spacing w:before="44" w:line="171" w:lineRule="auto"/>
              <w:jc w:val="right"/>
              <w:rPr>
                <w:sz w:val="21"/>
                <w:szCs w:val="21"/>
              </w:rPr>
            </w:pPr>
            <w:r>
              <w:rPr>
                <w:sz w:val="21"/>
                <w:szCs w:val="21"/>
                <w:color w:val="404040"/>
                <w:spacing w:val="-8"/>
              </w:rPr>
              <w:t>0.0702</w:t>
            </w:r>
          </w:p>
        </w:tc>
        <w:tc>
          <w:tcPr>
            <w:tcW w:w="3107" w:type="dxa"/>
            <w:vAlign w:val="top"/>
            <w:vMerge w:val="continue"/>
            <w:tcBorders>
              <w:top w:val="nil"/>
              <w:bottom w:val="nil"/>
            </w:tcBorders>
          </w:tcPr>
          <w:p>
            <w:pPr>
              <w:rPr>
                <w:rFonts w:ascii="Arial"/>
                <w:sz w:val="21"/>
              </w:rPr>
            </w:pPr>
            <w:r/>
          </w:p>
        </w:tc>
        <w:tc>
          <w:tcPr>
            <w:tcW w:w="659" w:type="dxa"/>
            <w:vAlign w:val="top"/>
          </w:tcPr>
          <w:p>
            <w:pPr>
              <w:pStyle w:val="TableText"/>
              <w:ind w:left="215"/>
              <w:spacing w:before="44" w:line="171" w:lineRule="auto"/>
              <w:rPr>
                <w:sz w:val="21"/>
                <w:szCs w:val="21"/>
              </w:rPr>
            </w:pPr>
            <w:r>
              <w:rPr>
                <w:sz w:val="21"/>
                <w:szCs w:val="21"/>
                <w:spacing w:val="-3"/>
              </w:rPr>
              <w:t>95</w:t>
            </w:r>
          </w:p>
        </w:tc>
        <w:tc>
          <w:tcPr>
            <w:tcW w:w="639" w:type="dxa"/>
            <w:vAlign w:val="top"/>
          </w:tcPr>
          <w:p>
            <w:pPr>
              <w:pStyle w:val="TableText"/>
              <w:ind w:left="207"/>
              <w:spacing w:before="44" w:line="171" w:lineRule="auto"/>
              <w:rPr>
                <w:sz w:val="21"/>
                <w:szCs w:val="21"/>
              </w:rPr>
            </w:pPr>
            <w:r>
              <w:rPr>
                <w:sz w:val="21"/>
                <w:szCs w:val="21"/>
                <w:spacing w:val="-3"/>
              </w:rPr>
              <w:t>95</w:t>
            </w:r>
          </w:p>
        </w:tc>
        <w:tc>
          <w:tcPr>
            <w:tcW w:w="579" w:type="dxa"/>
            <w:vAlign w:val="top"/>
          </w:tcPr>
          <w:p>
            <w:pPr>
              <w:pStyle w:val="TableText"/>
              <w:spacing w:before="44" w:line="171" w:lineRule="auto"/>
              <w:jc w:val="right"/>
              <w:rPr>
                <w:sz w:val="21"/>
                <w:szCs w:val="21"/>
              </w:rPr>
            </w:pPr>
            <w:r>
              <w:rPr>
                <w:sz w:val="21"/>
                <w:szCs w:val="21"/>
                <w:spacing w:val="-15"/>
              </w:rPr>
              <w:t>0.0</w:t>
            </w:r>
            <w:r>
              <w:rPr>
                <w:sz w:val="21"/>
                <w:szCs w:val="21"/>
                <w:spacing w:val="-14"/>
              </w:rPr>
              <w:t>04</w:t>
            </w:r>
            <w:r>
              <w:rPr>
                <w:sz w:val="21"/>
                <w:szCs w:val="21"/>
                <w:spacing w:val="-11"/>
              </w:rPr>
              <w:t>6</w:t>
            </w:r>
          </w:p>
        </w:tc>
        <w:tc>
          <w:tcPr>
            <w:tcW w:w="629" w:type="dxa"/>
            <w:vAlign w:val="top"/>
          </w:tcPr>
          <w:p>
            <w:pPr>
              <w:pStyle w:val="TableText"/>
              <w:spacing w:before="44" w:line="171" w:lineRule="auto"/>
              <w:jc w:val="right"/>
              <w:rPr>
                <w:sz w:val="21"/>
                <w:szCs w:val="21"/>
              </w:rPr>
            </w:pPr>
            <w:r>
              <w:rPr>
                <w:sz w:val="21"/>
                <w:szCs w:val="21"/>
                <w:color w:val="807070"/>
                <w:spacing w:val="-5"/>
              </w:rPr>
              <w:t>0.0033</w:t>
            </w:r>
          </w:p>
        </w:tc>
        <w:tc>
          <w:tcPr>
            <w:tcW w:w="614" w:type="dxa"/>
            <w:vAlign w:val="top"/>
          </w:tcPr>
          <w:p>
            <w:pPr>
              <w:pStyle w:val="TableText"/>
              <w:ind w:left="89"/>
              <w:spacing w:before="44" w:line="171" w:lineRule="auto"/>
              <w:rPr>
                <w:sz w:val="21"/>
                <w:szCs w:val="21"/>
              </w:rPr>
            </w:pPr>
            <w:r>
              <w:rPr>
                <w:sz w:val="21"/>
                <w:szCs w:val="21"/>
                <w:color w:val="707060"/>
                <w:spacing w:val="-2"/>
              </w:rPr>
              <w:t>0.08</w:t>
            </w:r>
          </w:p>
        </w:tc>
      </w:tr>
      <w:tr>
        <w:trPr>
          <w:trHeight w:val="329" w:hRule="atLeast"/>
        </w:trPr>
        <w:tc>
          <w:tcPr>
            <w:tcW w:w="465" w:type="dxa"/>
            <w:vAlign w:val="top"/>
            <w:vMerge w:val="continue"/>
            <w:tcBorders>
              <w:top w:val="nil"/>
            </w:tcBorders>
          </w:tcPr>
          <w:p>
            <w:pPr>
              <w:rPr>
                <w:rFonts w:ascii="Arial"/>
                <w:sz w:val="21"/>
              </w:rPr>
            </w:pPr>
            <w:r/>
          </w:p>
        </w:tc>
        <w:tc>
          <w:tcPr>
            <w:tcW w:w="489" w:type="dxa"/>
            <w:vAlign w:val="top"/>
          </w:tcPr>
          <w:p>
            <w:pPr>
              <w:pStyle w:val="TableText"/>
              <w:ind w:left="19"/>
              <w:spacing w:before="98" w:line="183"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709" w:type="dxa"/>
            <w:vAlign w:val="top"/>
          </w:tcPr>
          <w:p>
            <w:pPr>
              <w:pStyle w:val="TableText"/>
              <w:ind w:left="30"/>
              <w:spacing w:before="85" w:line="205" w:lineRule="auto"/>
              <w:rPr>
                <w:sz w:val="21"/>
                <w:szCs w:val="21"/>
              </w:rPr>
            </w:pPr>
            <w:r>
              <w:rPr>
                <w:sz w:val="21"/>
                <w:szCs w:val="21"/>
                <w:spacing w:val="-2"/>
              </w:rPr>
              <w:t>0.0271</w:t>
            </w:r>
          </w:p>
        </w:tc>
        <w:tc>
          <w:tcPr>
            <w:tcW w:w="609" w:type="dxa"/>
            <w:vAlign w:val="top"/>
          </w:tcPr>
          <w:p>
            <w:pPr>
              <w:pStyle w:val="TableText"/>
              <w:spacing w:before="85" w:line="205" w:lineRule="auto"/>
              <w:jc w:val="right"/>
              <w:rPr>
                <w:sz w:val="21"/>
                <w:szCs w:val="21"/>
              </w:rPr>
            </w:pPr>
            <w:r>
              <w:rPr>
                <w:sz w:val="21"/>
                <w:szCs w:val="21"/>
                <w:spacing w:val="-8"/>
              </w:rPr>
              <w:t>0.0195</w:t>
            </w:r>
          </w:p>
        </w:tc>
        <w:tc>
          <w:tcPr>
            <w:tcW w:w="3107" w:type="dxa"/>
            <w:vAlign w:val="top"/>
            <w:vMerge w:val="continue"/>
            <w:tcBorders>
              <w:top w:val="nil"/>
            </w:tcBorders>
          </w:tcPr>
          <w:p>
            <w:pPr>
              <w:rPr>
                <w:rFonts w:ascii="Arial"/>
                <w:sz w:val="21"/>
              </w:rPr>
            </w:pPr>
            <w:r/>
          </w:p>
        </w:tc>
        <w:tc>
          <w:tcPr>
            <w:tcW w:w="659" w:type="dxa"/>
            <w:vAlign w:val="top"/>
          </w:tcPr>
          <w:p>
            <w:pPr>
              <w:pStyle w:val="TableText"/>
              <w:ind w:left="215"/>
              <w:spacing w:before="85" w:line="205" w:lineRule="auto"/>
              <w:rPr>
                <w:sz w:val="21"/>
                <w:szCs w:val="21"/>
              </w:rPr>
            </w:pPr>
            <w:r>
              <w:rPr>
                <w:sz w:val="21"/>
                <w:szCs w:val="21"/>
                <w:spacing w:val="-3"/>
              </w:rPr>
              <w:t>95</w:t>
            </w:r>
          </w:p>
        </w:tc>
        <w:tc>
          <w:tcPr>
            <w:tcW w:w="639" w:type="dxa"/>
            <w:vAlign w:val="top"/>
          </w:tcPr>
          <w:p>
            <w:pPr>
              <w:pStyle w:val="TableText"/>
              <w:ind w:left="207"/>
              <w:spacing w:before="85" w:line="205" w:lineRule="auto"/>
              <w:rPr>
                <w:sz w:val="21"/>
                <w:szCs w:val="21"/>
              </w:rPr>
            </w:pPr>
            <w:r>
              <w:rPr>
                <w:sz w:val="21"/>
                <w:szCs w:val="21"/>
                <w:spacing w:val="-3"/>
              </w:rPr>
              <w:t>95</w:t>
            </w:r>
          </w:p>
        </w:tc>
        <w:tc>
          <w:tcPr>
            <w:tcW w:w="579" w:type="dxa"/>
            <w:vAlign w:val="top"/>
          </w:tcPr>
          <w:p>
            <w:pPr>
              <w:pStyle w:val="TableText"/>
              <w:spacing w:before="85" w:line="205" w:lineRule="auto"/>
              <w:jc w:val="right"/>
              <w:rPr>
                <w:sz w:val="21"/>
                <w:szCs w:val="21"/>
              </w:rPr>
            </w:pPr>
            <w:r>
              <w:rPr>
                <w:sz w:val="21"/>
                <w:szCs w:val="21"/>
                <w:spacing w:val="-14"/>
              </w:rPr>
              <w:t>0.0013</w:t>
            </w:r>
          </w:p>
        </w:tc>
        <w:tc>
          <w:tcPr>
            <w:tcW w:w="629" w:type="dxa"/>
            <w:vAlign w:val="top"/>
          </w:tcPr>
          <w:p>
            <w:pPr>
              <w:pStyle w:val="TableText"/>
              <w:spacing w:before="85" w:line="205" w:lineRule="auto"/>
              <w:jc w:val="right"/>
              <w:rPr>
                <w:sz w:val="21"/>
                <w:szCs w:val="21"/>
              </w:rPr>
            </w:pPr>
            <w:r>
              <w:rPr>
                <w:sz w:val="21"/>
                <w:szCs w:val="21"/>
                <w:spacing w:val="-5"/>
              </w:rPr>
              <w:t>0.0009</w:t>
            </w:r>
          </w:p>
        </w:tc>
        <w:tc>
          <w:tcPr>
            <w:tcW w:w="614" w:type="dxa"/>
            <w:vAlign w:val="top"/>
          </w:tcPr>
          <w:p>
            <w:pPr>
              <w:pStyle w:val="TableText"/>
              <w:ind w:left="89"/>
              <w:spacing w:before="85" w:line="205" w:lineRule="auto"/>
              <w:rPr>
                <w:sz w:val="21"/>
                <w:szCs w:val="21"/>
              </w:rPr>
            </w:pPr>
            <w:r>
              <w:rPr>
                <w:sz w:val="21"/>
                <w:szCs w:val="21"/>
                <w:spacing w:val="-2"/>
              </w:rPr>
              <w:t>0.02</w:t>
            </w:r>
          </w:p>
        </w:tc>
      </w:tr>
      <w:tr>
        <w:trPr>
          <w:trHeight w:val="249" w:hRule="atLeast"/>
        </w:trPr>
        <w:tc>
          <w:tcPr>
            <w:tcW w:w="465" w:type="dxa"/>
            <w:vAlign w:val="top"/>
            <w:vMerge w:val="restart"/>
            <w:tcBorders>
              <w:bottom w:val="nil"/>
            </w:tcBorders>
          </w:tcPr>
          <w:p>
            <w:pPr>
              <w:pStyle w:val="TableText"/>
              <w:ind w:left="15"/>
              <w:spacing w:before="144" w:line="219" w:lineRule="auto"/>
              <w:rPr>
                <w:sz w:val="21"/>
                <w:szCs w:val="21"/>
              </w:rPr>
            </w:pPr>
            <w:r>
              <w:rPr>
                <w:sz w:val="21"/>
                <w:szCs w:val="21"/>
                <w:spacing w:val="4"/>
              </w:rPr>
              <w:t>淡季</w:t>
            </w:r>
          </w:p>
        </w:tc>
        <w:tc>
          <w:tcPr>
            <w:tcW w:w="489" w:type="dxa"/>
            <w:vAlign w:val="top"/>
          </w:tcPr>
          <w:p>
            <w:pPr>
              <w:pStyle w:val="TableText"/>
              <w:ind w:left="19"/>
              <w:spacing w:before="59" w:line="158" w:lineRule="auto"/>
              <w:rPr>
                <w:rFonts w:ascii="Calibri" w:hAnsi="Calibri" w:eastAsia="Calibri" w:cs="Calibri"/>
                <w:sz w:val="21"/>
                <w:szCs w:val="21"/>
              </w:rPr>
            </w:pPr>
            <w:r>
              <w:rPr>
                <w:sz w:val="21"/>
                <w:szCs w:val="21"/>
                <w:color w:val="504050"/>
                <w:spacing w:val="-1"/>
              </w:rPr>
              <w:t>NH</w:t>
            </w:r>
            <w:r>
              <w:rPr>
                <w:rFonts w:ascii="Calibri" w:hAnsi="Calibri" w:eastAsia="Calibri" w:cs="Calibri"/>
                <w:sz w:val="21"/>
                <w:szCs w:val="21"/>
                <w:color w:val="504050"/>
                <w:spacing w:val="-1"/>
              </w:rPr>
              <w:t>₃</w:t>
            </w:r>
          </w:p>
        </w:tc>
        <w:tc>
          <w:tcPr>
            <w:tcW w:w="709" w:type="dxa"/>
            <w:vAlign w:val="top"/>
          </w:tcPr>
          <w:p>
            <w:pPr>
              <w:pStyle w:val="TableText"/>
              <w:ind w:left="80"/>
              <w:spacing w:before="46" w:line="169" w:lineRule="auto"/>
              <w:rPr>
                <w:sz w:val="21"/>
                <w:szCs w:val="21"/>
              </w:rPr>
            </w:pPr>
            <w:r>
              <w:rPr>
                <w:sz w:val="21"/>
                <w:szCs w:val="21"/>
                <w:color w:val="504040"/>
                <w:spacing w:val="-2"/>
              </w:rPr>
              <w:t>0.106</w:t>
            </w:r>
          </w:p>
        </w:tc>
        <w:tc>
          <w:tcPr>
            <w:tcW w:w="609" w:type="dxa"/>
            <w:vAlign w:val="top"/>
          </w:tcPr>
          <w:p>
            <w:pPr>
              <w:pStyle w:val="TableText"/>
              <w:spacing w:before="46" w:line="169" w:lineRule="auto"/>
              <w:jc w:val="right"/>
              <w:rPr>
                <w:sz w:val="21"/>
                <w:szCs w:val="21"/>
              </w:rPr>
            </w:pPr>
            <w:r>
              <w:rPr>
                <w:sz w:val="21"/>
                <w:szCs w:val="21"/>
                <w:spacing w:val="-8"/>
              </w:rPr>
              <w:t>0.2862</w:t>
            </w:r>
          </w:p>
        </w:tc>
        <w:tc>
          <w:tcPr>
            <w:tcW w:w="3107" w:type="dxa"/>
            <w:vAlign w:val="top"/>
            <w:vMerge w:val="restart"/>
            <w:tcBorders>
              <w:bottom w:val="nil"/>
            </w:tcBorders>
          </w:tcPr>
          <w:p>
            <w:pPr>
              <w:pStyle w:val="TableText"/>
              <w:ind w:left="72"/>
              <w:spacing w:before="35" w:line="219" w:lineRule="auto"/>
              <w:rPr>
                <w:sz w:val="21"/>
                <w:szCs w:val="21"/>
              </w:rPr>
            </w:pPr>
            <w:r>
              <w:rPr>
                <w:sz w:val="21"/>
                <w:szCs w:val="21"/>
              </w:rPr>
              <w:t>肉牛待宰圈舍、屠宰车间恶臭经</w:t>
            </w:r>
          </w:p>
          <w:p>
            <w:pPr>
              <w:pStyle w:val="TableText"/>
              <w:ind w:left="122"/>
              <w:spacing w:before="18" w:line="218" w:lineRule="auto"/>
              <w:rPr>
                <w:sz w:val="21"/>
                <w:szCs w:val="21"/>
              </w:rPr>
            </w:pPr>
            <w:r>
              <w:rPr>
                <w:sz w:val="21"/>
                <w:szCs w:val="21"/>
                <w:spacing w:val="1"/>
              </w:rPr>
              <w:t>负压收集+喷淋+</w:t>
            </w:r>
            <w:r>
              <w:rPr>
                <w:sz w:val="21"/>
                <w:szCs w:val="21"/>
              </w:rPr>
              <w:t>UV</w:t>
            </w:r>
            <w:r>
              <w:rPr>
                <w:sz w:val="21"/>
                <w:szCs w:val="21"/>
                <w:spacing w:val="1"/>
              </w:rPr>
              <w:t>光氧+活性炭</w:t>
            </w:r>
          </w:p>
          <w:p>
            <w:pPr>
              <w:pStyle w:val="TableText"/>
              <w:ind w:left="233"/>
              <w:spacing w:before="22" w:line="219" w:lineRule="auto"/>
              <w:rPr>
                <w:sz w:val="21"/>
                <w:szCs w:val="21"/>
              </w:rPr>
            </w:pPr>
            <w:r>
              <w:rPr>
                <w:sz w:val="21"/>
                <w:szCs w:val="21"/>
              </w:rPr>
              <w:t>吸附装置(TA003)+15m高排气</w:t>
            </w:r>
          </w:p>
          <w:p>
            <w:pPr>
              <w:pStyle w:val="TableText"/>
              <w:ind w:left="862"/>
              <w:spacing w:before="22" w:line="208" w:lineRule="auto"/>
              <w:rPr>
                <w:sz w:val="21"/>
                <w:szCs w:val="21"/>
              </w:rPr>
            </w:pPr>
            <w:r>
              <w:rPr>
                <w:sz w:val="21"/>
                <w:szCs w:val="21"/>
                <w:spacing w:val="-1"/>
              </w:rPr>
              <w:t>筒(DA003)排放</w:t>
            </w:r>
          </w:p>
        </w:tc>
        <w:tc>
          <w:tcPr>
            <w:tcW w:w="659" w:type="dxa"/>
            <w:vAlign w:val="top"/>
          </w:tcPr>
          <w:p>
            <w:pPr>
              <w:pStyle w:val="TableText"/>
              <w:ind w:left="215"/>
              <w:spacing w:before="46" w:line="169" w:lineRule="auto"/>
              <w:rPr>
                <w:sz w:val="21"/>
                <w:szCs w:val="21"/>
              </w:rPr>
            </w:pPr>
            <w:r>
              <w:rPr>
                <w:sz w:val="21"/>
                <w:szCs w:val="21"/>
                <w:spacing w:val="-3"/>
              </w:rPr>
              <w:t>95</w:t>
            </w:r>
          </w:p>
        </w:tc>
        <w:tc>
          <w:tcPr>
            <w:tcW w:w="639" w:type="dxa"/>
            <w:vAlign w:val="top"/>
          </w:tcPr>
          <w:p>
            <w:pPr>
              <w:pStyle w:val="TableText"/>
              <w:ind w:left="207"/>
              <w:spacing w:before="46" w:line="169" w:lineRule="auto"/>
              <w:rPr>
                <w:sz w:val="21"/>
                <w:szCs w:val="21"/>
              </w:rPr>
            </w:pPr>
            <w:r>
              <w:rPr>
                <w:sz w:val="21"/>
                <w:szCs w:val="21"/>
                <w:spacing w:val="-3"/>
              </w:rPr>
              <w:t>95</w:t>
            </w:r>
          </w:p>
        </w:tc>
        <w:tc>
          <w:tcPr>
            <w:tcW w:w="579" w:type="dxa"/>
            <w:vAlign w:val="top"/>
          </w:tcPr>
          <w:p>
            <w:pPr>
              <w:pStyle w:val="TableText"/>
              <w:ind w:left="17"/>
              <w:spacing w:before="46" w:line="169" w:lineRule="auto"/>
              <w:rPr>
                <w:sz w:val="21"/>
                <w:szCs w:val="21"/>
              </w:rPr>
            </w:pPr>
            <w:r>
              <w:rPr>
                <w:sz w:val="21"/>
                <w:szCs w:val="21"/>
                <w:color w:val="405040"/>
                <w:spacing w:val="-2"/>
              </w:rPr>
              <w:t>0.005</w:t>
            </w:r>
          </w:p>
        </w:tc>
        <w:tc>
          <w:tcPr>
            <w:tcW w:w="629" w:type="dxa"/>
            <w:vAlign w:val="top"/>
          </w:tcPr>
          <w:p>
            <w:pPr>
              <w:pStyle w:val="TableText"/>
              <w:spacing w:before="46" w:line="169" w:lineRule="auto"/>
              <w:jc w:val="right"/>
              <w:rPr>
                <w:sz w:val="21"/>
                <w:szCs w:val="21"/>
              </w:rPr>
            </w:pPr>
            <w:r>
              <w:rPr>
                <w:sz w:val="21"/>
                <w:szCs w:val="21"/>
                <w:color w:val="806050"/>
                <w:spacing w:val="-5"/>
              </w:rPr>
              <w:t>0.0136</w:t>
            </w:r>
          </w:p>
        </w:tc>
        <w:tc>
          <w:tcPr>
            <w:tcW w:w="614" w:type="dxa"/>
            <w:vAlign w:val="top"/>
          </w:tcPr>
          <w:p>
            <w:pPr>
              <w:pStyle w:val="TableText"/>
              <w:ind w:left="89"/>
              <w:spacing w:before="46" w:line="169" w:lineRule="auto"/>
              <w:rPr>
                <w:sz w:val="21"/>
                <w:szCs w:val="21"/>
              </w:rPr>
            </w:pPr>
            <w:r>
              <w:rPr>
                <w:sz w:val="21"/>
                <w:szCs w:val="21"/>
                <w:color w:val="606050"/>
                <w:spacing w:val="-2"/>
              </w:rPr>
              <w:t>0.08</w:t>
            </w:r>
          </w:p>
        </w:tc>
      </w:tr>
      <w:tr>
        <w:trPr>
          <w:trHeight w:val="230" w:hRule="atLeast"/>
        </w:trPr>
        <w:tc>
          <w:tcPr>
            <w:tcW w:w="465" w:type="dxa"/>
            <w:vAlign w:val="top"/>
            <w:vMerge w:val="continue"/>
            <w:tcBorders>
              <w:top w:val="nil"/>
            </w:tcBorders>
          </w:tcPr>
          <w:p>
            <w:pPr>
              <w:rPr>
                <w:rFonts w:ascii="Arial"/>
                <w:sz w:val="21"/>
              </w:rPr>
            </w:pPr>
            <w:r/>
          </w:p>
        </w:tc>
        <w:tc>
          <w:tcPr>
            <w:tcW w:w="489" w:type="dxa"/>
            <w:vAlign w:val="top"/>
          </w:tcPr>
          <w:p>
            <w:pPr>
              <w:pStyle w:val="TableText"/>
              <w:ind w:left="19"/>
              <w:spacing w:before="70" w:line="150" w:lineRule="exact"/>
              <w:rPr>
                <w:sz w:val="21"/>
                <w:szCs w:val="21"/>
              </w:rPr>
            </w:pPr>
            <w:r>
              <w:rPr>
                <w:sz w:val="21"/>
                <w:szCs w:val="21"/>
                <w:spacing w:val="-2"/>
                <w:position w:val="-3"/>
              </w:rPr>
              <w:t>H</w:t>
            </w:r>
            <w:r>
              <w:rPr>
                <w:rFonts w:ascii="Calibri" w:hAnsi="Calibri" w:eastAsia="Calibri" w:cs="Calibri"/>
                <w:sz w:val="21"/>
                <w:szCs w:val="21"/>
                <w:spacing w:val="-2"/>
                <w:position w:val="-3"/>
              </w:rPr>
              <w:t>₂</w:t>
            </w:r>
            <w:r>
              <w:rPr>
                <w:sz w:val="21"/>
                <w:szCs w:val="21"/>
                <w:spacing w:val="-2"/>
                <w:position w:val="-3"/>
              </w:rPr>
              <w:t>S</w:t>
            </w:r>
          </w:p>
        </w:tc>
        <w:tc>
          <w:tcPr>
            <w:tcW w:w="709" w:type="dxa"/>
            <w:vAlign w:val="top"/>
          </w:tcPr>
          <w:p>
            <w:pPr>
              <w:pStyle w:val="TableText"/>
              <w:ind w:left="30"/>
              <w:spacing w:before="57" w:line="162" w:lineRule="exact"/>
              <w:rPr>
                <w:sz w:val="21"/>
                <w:szCs w:val="21"/>
              </w:rPr>
            </w:pPr>
            <w:r>
              <w:rPr>
                <w:sz w:val="21"/>
                <w:szCs w:val="21"/>
                <w:spacing w:val="-2"/>
                <w:position w:val="-2"/>
              </w:rPr>
              <w:t>0.0068</w:t>
            </w:r>
          </w:p>
        </w:tc>
        <w:tc>
          <w:tcPr>
            <w:tcW w:w="609" w:type="dxa"/>
            <w:vAlign w:val="top"/>
          </w:tcPr>
          <w:p>
            <w:pPr>
              <w:pStyle w:val="TableText"/>
              <w:spacing w:before="57" w:line="162" w:lineRule="exact"/>
              <w:jc w:val="right"/>
              <w:rPr>
                <w:sz w:val="21"/>
                <w:szCs w:val="21"/>
              </w:rPr>
            </w:pPr>
            <w:r>
              <w:rPr>
                <w:sz w:val="21"/>
                <w:szCs w:val="21"/>
                <w:color w:val="606060"/>
                <w:spacing w:val="-8"/>
                <w:position w:val="-2"/>
              </w:rPr>
              <w:t>0.0183</w:t>
            </w:r>
          </w:p>
        </w:tc>
        <w:tc>
          <w:tcPr>
            <w:tcW w:w="3107" w:type="dxa"/>
            <w:vAlign w:val="top"/>
            <w:vMerge w:val="continue"/>
            <w:tcBorders>
              <w:top w:val="nil"/>
              <w:bottom w:val="nil"/>
            </w:tcBorders>
          </w:tcPr>
          <w:p>
            <w:pPr>
              <w:rPr>
                <w:rFonts w:ascii="Arial"/>
                <w:sz w:val="21"/>
              </w:rPr>
            </w:pPr>
            <w:r/>
          </w:p>
        </w:tc>
        <w:tc>
          <w:tcPr>
            <w:tcW w:w="659" w:type="dxa"/>
            <w:vAlign w:val="top"/>
          </w:tcPr>
          <w:p>
            <w:pPr>
              <w:pStyle w:val="TableText"/>
              <w:ind w:left="215"/>
              <w:spacing w:before="57" w:line="162" w:lineRule="exact"/>
              <w:rPr>
                <w:sz w:val="21"/>
                <w:szCs w:val="21"/>
              </w:rPr>
            </w:pPr>
            <w:r>
              <w:rPr>
                <w:sz w:val="21"/>
                <w:szCs w:val="21"/>
                <w:spacing w:val="-3"/>
                <w:position w:val="-2"/>
              </w:rPr>
              <w:t>95</w:t>
            </w:r>
          </w:p>
        </w:tc>
        <w:tc>
          <w:tcPr>
            <w:tcW w:w="639" w:type="dxa"/>
            <w:vAlign w:val="top"/>
          </w:tcPr>
          <w:p>
            <w:pPr>
              <w:pStyle w:val="TableText"/>
              <w:ind w:left="207"/>
              <w:spacing w:before="57" w:line="162" w:lineRule="exact"/>
              <w:rPr>
                <w:sz w:val="21"/>
                <w:szCs w:val="21"/>
              </w:rPr>
            </w:pPr>
            <w:r>
              <w:rPr>
                <w:sz w:val="21"/>
                <w:szCs w:val="21"/>
                <w:spacing w:val="-3"/>
                <w:position w:val="-2"/>
              </w:rPr>
              <w:t>95</w:t>
            </w:r>
          </w:p>
        </w:tc>
        <w:tc>
          <w:tcPr>
            <w:tcW w:w="579" w:type="dxa"/>
            <w:vAlign w:val="top"/>
          </w:tcPr>
          <w:p>
            <w:pPr>
              <w:pStyle w:val="TableText"/>
              <w:spacing w:before="57" w:line="162" w:lineRule="exact"/>
              <w:jc w:val="right"/>
              <w:rPr>
                <w:sz w:val="21"/>
                <w:szCs w:val="21"/>
              </w:rPr>
            </w:pPr>
            <w:r>
              <w:rPr>
                <w:sz w:val="21"/>
                <w:szCs w:val="21"/>
                <w:spacing w:val="-14"/>
                <w:position w:val="-2"/>
              </w:rPr>
              <w:t>0.0003</w:t>
            </w:r>
          </w:p>
        </w:tc>
        <w:tc>
          <w:tcPr>
            <w:tcW w:w="629" w:type="dxa"/>
            <w:vAlign w:val="top"/>
          </w:tcPr>
          <w:p>
            <w:pPr>
              <w:pStyle w:val="TableText"/>
              <w:spacing w:before="57" w:line="162" w:lineRule="exact"/>
              <w:jc w:val="right"/>
              <w:rPr>
                <w:sz w:val="21"/>
                <w:szCs w:val="21"/>
              </w:rPr>
            </w:pPr>
            <w:r>
              <w:rPr>
                <w:sz w:val="21"/>
                <w:szCs w:val="21"/>
                <w:spacing w:val="-5"/>
                <w:position w:val="-2"/>
              </w:rPr>
              <w:t>0.0009</w:t>
            </w:r>
          </w:p>
        </w:tc>
        <w:tc>
          <w:tcPr>
            <w:tcW w:w="614" w:type="dxa"/>
            <w:vAlign w:val="top"/>
          </w:tcPr>
          <w:p>
            <w:pPr>
              <w:pStyle w:val="TableText"/>
              <w:ind w:left="39"/>
              <w:spacing w:before="57" w:line="162" w:lineRule="exact"/>
              <w:rPr>
                <w:sz w:val="21"/>
                <w:szCs w:val="21"/>
              </w:rPr>
            </w:pPr>
            <w:r>
              <w:rPr>
                <w:sz w:val="21"/>
                <w:szCs w:val="21"/>
                <w:spacing w:val="-2"/>
                <w:position w:val="-2"/>
              </w:rPr>
              <w:t>0.005</w:t>
            </w:r>
          </w:p>
        </w:tc>
      </w:tr>
      <w:tr>
        <w:trPr>
          <w:trHeight w:val="249" w:hRule="atLeast"/>
        </w:trPr>
        <w:tc>
          <w:tcPr>
            <w:tcW w:w="465" w:type="dxa"/>
            <w:vAlign w:val="top"/>
            <w:vMerge w:val="restart"/>
            <w:tcBorders>
              <w:bottom w:val="nil"/>
            </w:tcBorders>
          </w:tcPr>
          <w:p>
            <w:pPr>
              <w:pStyle w:val="TableText"/>
              <w:ind w:left="15"/>
              <w:spacing w:before="196" w:line="219" w:lineRule="auto"/>
              <w:rPr>
                <w:sz w:val="21"/>
                <w:szCs w:val="21"/>
              </w:rPr>
            </w:pPr>
            <w:r>
              <w:rPr>
                <w:sz w:val="21"/>
                <w:szCs w:val="21"/>
                <w:spacing w:val="4"/>
              </w:rPr>
              <w:t>旺季</w:t>
            </w:r>
          </w:p>
        </w:tc>
        <w:tc>
          <w:tcPr>
            <w:tcW w:w="489" w:type="dxa"/>
            <w:vAlign w:val="top"/>
          </w:tcPr>
          <w:p>
            <w:pPr>
              <w:pStyle w:val="TableText"/>
              <w:ind w:left="19"/>
              <w:spacing w:before="60" w:line="157"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709" w:type="dxa"/>
            <w:vAlign w:val="top"/>
          </w:tcPr>
          <w:p>
            <w:pPr>
              <w:pStyle w:val="TableText"/>
              <w:ind w:left="80"/>
              <w:spacing w:before="47" w:line="168" w:lineRule="auto"/>
              <w:rPr>
                <w:sz w:val="21"/>
                <w:szCs w:val="21"/>
              </w:rPr>
            </w:pPr>
            <w:r>
              <w:rPr>
                <w:sz w:val="21"/>
                <w:szCs w:val="21"/>
                <w:spacing w:val="-2"/>
              </w:rPr>
              <w:t>0.106</w:t>
            </w:r>
          </w:p>
        </w:tc>
        <w:tc>
          <w:tcPr>
            <w:tcW w:w="609" w:type="dxa"/>
            <w:vAlign w:val="top"/>
          </w:tcPr>
          <w:p>
            <w:pPr>
              <w:pStyle w:val="TableText"/>
              <w:spacing w:before="47" w:line="168" w:lineRule="auto"/>
              <w:jc w:val="right"/>
              <w:rPr>
                <w:sz w:val="21"/>
                <w:szCs w:val="21"/>
              </w:rPr>
            </w:pPr>
            <w:r>
              <w:rPr>
                <w:sz w:val="21"/>
                <w:szCs w:val="21"/>
                <w:color w:val="605040"/>
                <w:spacing w:val="-8"/>
              </w:rPr>
              <w:t>0.0954</w:t>
            </w:r>
          </w:p>
        </w:tc>
        <w:tc>
          <w:tcPr>
            <w:tcW w:w="3107" w:type="dxa"/>
            <w:vAlign w:val="top"/>
            <w:vMerge w:val="continue"/>
            <w:tcBorders>
              <w:top w:val="nil"/>
              <w:bottom w:val="nil"/>
            </w:tcBorders>
          </w:tcPr>
          <w:p>
            <w:pPr>
              <w:rPr>
                <w:rFonts w:ascii="Arial"/>
                <w:sz w:val="21"/>
              </w:rPr>
            </w:pPr>
            <w:r/>
          </w:p>
        </w:tc>
        <w:tc>
          <w:tcPr>
            <w:tcW w:w="659" w:type="dxa"/>
            <w:vAlign w:val="top"/>
          </w:tcPr>
          <w:p>
            <w:pPr>
              <w:pStyle w:val="TableText"/>
              <w:ind w:left="215"/>
              <w:spacing w:before="47" w:line="168" w:lineRule="auto"/>
              <w:rPr>
                <w:sz w:val="21"/>
                <w:szCs w:val="21"/>
              </w:rPr>
            </w:pPr>
            <w:r>
              <w:rPr>
                <w:sz w:val="21"/>
                <w:szCs w:val="21"/>
                <w:spacing w:val="-3"/>
              </w:rPr>
              <w:t>95</w:t>
            </w:r>
          </w:p>
        </w:tc>
        <w:tc>
          <w:tcPr>
            <w:tcW w:w="639" w:type="dxa"/>
            <w:vAlign w:val="top"/>
          </w:tcPr>
          <w:p>
            <w:pPr>
              <w:pStyle w:val="TableText"/>
              <w:ind w:left="207"/>
              <w:spacing w:before="47" w:line="168" w:lineRule="auto"/>
              <w:rPr>
                <w:sz w:val="21"/>
                <w:szCs w:val="21"/>
              </w:rPr>
            </w:pPr>
            <w:r>
              <w:rPr>
                <w:sz w:val="21"/>
                <w:szCs w:val="21"/>
                <w:spacing w:val="-3"/>
              </w:rPr>
              <w:t>95</w:t>
            </w:r>
          </w:p>
        </w:tc>
        <w:tc>
          <w:tcPr>
            <w:tcW w:w="579" w:type="dxa"/>
            <w:vAlign w:val="top"/>
          </w:tcPr>
          <w:p>
            <w:pPr>
              <w:pStyle w:val="TableText"/>
              <w:ind w:left="17"/>
              <w:spacing w:before="47" w:line="168" w:lineRule="auto"/>
              <w:rPr>
                <w:sz w:val="21"/>
                <w:szCs w:val="21"/>
              </w:rPr>
            </w:pPr>
            <w:r>
              <w:rPr>
                <w:sz w:val="21"/>
                <w:szCs w:val="21"/>
                <w:color w:val="505050"/>
                <w:spacing w:val="-2"/>
              </w:rPr>
              <w:t>0.005</w:t>
            </w:r>
          </w:p>
        </w:tc>
        <w:tc>
          <w:tcPr>
            <w:tcW w:w="629" w:type="dxa"/>
            <w:vAlign w:val="top"/>
          </w:tcPr>
          <w:p>
            <w:pPr>
              <w:pStyle w:val="TableText"/>
              <w:spacing w:before="47" w:line="168" w:lineRule="auto"/>
              <w:jc w:val="right"/>
              <w:rPr>
                <w:sz w:val="21"/>
                <w:szCs w:val="21"/>
              </w:rPr>
            </w:pPr>
            <w:r>
              <w:rPr>
                <w:sz w:val="21"/>
                <w:szCs w:val="21"/>
                <w:spacing w:val="-5"/>
              </w:rPr>
              <w:t>0.0045</w:t>
            </w:r>
          </w:p>
        </w:tc>
        <w:tc>
          <w:tcPr>
            <w:tcW w:w="614" w:type="dxa"/>
            <w:vAlign w:val="top"/>
          </w:tcPr>
          <w:p>
            <w:pPr>
              <w:pStyle w:val="TableText"/>
              <w:ind w:left="89"/>
              <w:spacing w:before="47" w:line="168" w:lineRule="auto"/>
              <w:rPr>
                <w:sz w:val="21"/>
                <w:szCs w:val="21"/>
              </w:rPr>
            </w:pPr>
            <w:r>
              <w:rPr>
                <w:sz w:val="21"/>
                <w:szCs w:val="21"/>
                <w:color w:val="505050"/>
                <w:spacing w:val="-2"/>
              </w:rPr>
              <w:t>0.08</w:t>
            </w:r>
          </w:p>
        </w:tc>
      </w:tr>
      <w:tr>
        <w:trPr>
          <w:trHeight w:val="334" w:hRule="atLeast"/>
        </w:trPr>
        <w:tc>
          <w:tcPr>
            <w:tcW w:w="465" w:type="dxa"/>
            <w:vAlign w:val="top"/>
            <w:vMerge w:val="continue"/>
            <w:tcBorders>
              <w:top w:val="nil"/>
            </w:tcBorders>
          </w:tcPr>
          <w:p>
            <w:pPr>
              <w:rPr>
                <w:rFonts w:ascii="Arial"/>
                <w:sz w:val="21"/>
              </w:rPr>
            </w:pPr>
            <w:r/>
          </w:p>
        </w:tc>
        <w:tc>
          <w:tcPr>
            <w:tcW w:w="489" w:type="dxa"/>
            <w:vAlign w:val="top"/>
          </w:tcPr>
          <w:p>
            <w:pPr>
              <w:pStyle w:val="TableText"/>
              <w:ind w:left="19"/>
              <w:spacing w:before="101" w:line="183"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709" w:type="dxa"/>
            <w:vAlign w:val="top"/>
          </w:tcPr>
          <w:p>
            <w:pPr>
              <w:pStyle w:val="TableText"/>
              <w:ind w:left="30"/>
              <w:spacing w:before="88" w:line="207" w:lineRule="auto"/>
              <w:rPr>
                <w:sz w:val="21"/>
                <w:szCs w:val="21"/>
              </w:rPr>
            </w:pPr>
            <w:r>
              <w:rPr>
                <w:sz w:val="21"/>
                <w:szCs w:val="21"/>
                <w:spacing w:val="-2"/>
              </w:rPr>
              <w:t>0.0068</w:t>
            </w:r>
          </w:p>
        </w:tc>
        <w:tc>
          <w:tcPr>
            <w:tcW w:w="609" w:type="dxa"/>
            <w:vAlign w:val="top"/>
          </w:tcPr>
          <w:p>
            <w:pPr>
              <w:pStyle w:val="TableText"/>
              <w:spacing w:before="88" w:line="207" w:lineRule="auto"/>
              <w:jc w:val="right"/>
              <w:rPr>
                <w:sz w:val="21"/>
                <w:szCs w:val="21"/>
              </w:rPr>
            </w:pPr>
            <w:r>
              <w:rPr>
                <w:sz w:val="21"/>
                <w:szCs w:val="21"/>
                <w:spacing w:val="-8"/>
              </w:rPr>
              <w:t>0.0061</w:t>
            </w:r>
          </w:p>
        </w:tc>
        <w:tc>
          <w:tcPr>
            <w:tcW w:w="3107" w:type="dxa"/>
            <w:vAlign w:val="top"/>
            <w:vMerge w:val="continue"/>
            <w:tcBorders>
              <w:top w:val="nil"/>
            </w:tcBorders>
          </w:tcPr>
          <w:p>
            <w:pPr>
              <w:rPr>
                <w:rFonts w:ascii="Arial"/>
                <w:sz w:val="21"/>
              </w:rPr>
            </w:pPr>
            <w:r/>
          </w:p>
        </w:tc>
        <w:tc>
          <w:tcPr>
            <w:tcW w:w="659" w:type="dxa"/>
            <w:vAlign w:val="top"/>
          </w:tcPr>
          <w:p>
            <w:pPr>
              <w:pStyle w:val="TableText"/>
              <w:ind w:left="215"/>
              <w:spacing w:before="88" w:line="207" w:lineRule="auto"/>
              <w:rPr>
                <w:sz w:val="21"/>
                <w:szCs w:val="21"/>
              </w:rPr>
            </w:pPr>
            <w:r>
              <w:rPr>
                <w:sz w:val="21"/>
                <w:szCs w:val="21"/>
                <w:spacing w:val="-3"/>
              </w:rPr>
              <w:t>95</w:t>
            </w:r>
          </w:p>
        </w:tc>
        <w:tc>
          <w:tcPr>
            <w:tcW w:w="639" w:type="dxa"/>
            <w:vAlign w:val="top"/>
          </w:tcPr>
          <w:p>
            <w:pPr>
              <w:pStyle w:val="TableText"/>
              <w:ind w:left="207"/>
              <w:spacing w:before="88" w:line="207" w:lineRule="auto"/>
              <w:rPr>
                <w:sz w:val="21"/>
                <w:szCs w:val="21"/>
              </w:rPr>
            </w:pPr>
            <w:r>
              <w:rPr>
                <w:sz w:val="21"/>
                <w:szCs w:val="21"/>
                <w:spacing w:val="-3"/>
              </w:rPr>
              <w:t>95</w:t>
            </w:r>
          </w:p>
        </w:tc>
        <w:tc>
          <w:tcPr>
            <w:tcW w:w="579" w:type="dxa"/>
            <w:vAlign w:val="top"/>
          </w:tcPr>
          <w:p>
            <w:pPr>
              <w:pStyle w:val="TableText"/>
              <w:spacing w:before="57" w:line="215" w:lineRule="auto"/>
              <w:jc w:val="right"/>
              <w:rPr>
                <w:sz w:val="17"/>
                <w:szCs w:val="17"/>
              </w:rPr>
            </w:pPr>
            <w:r>
              <w:rPr>
                <w:sz w:val="17"/>
                <w:szCs w:val="17"/>
                <w:spacing w:val="-19"/>
              </w:rPr>
              <w:t>0</w:t>
            </w:r>
            <w:r>
              <w:rPr>
                <w:sz w:val="17"/>
                <w:szCs w:val="17"/>
                <w:spacing w:val="-18"/>
              </w:rPr>
              <w:t>.0003|</w:t>
            </w:r>
            <w:r>
              <w:rPr>
                <w:sz w:val="17"/>
                <w:szCs w:val="17"/>
                <w:spacing w:val="-9"/>
              </w:rPr>
              <w:t>0</w:t>
            </w:r>
          </w:p>
        </w:tc>
        <w:tc>
          <w:tcPr>
            <w:tcW w:w="629" w:type="dxa"/>
            <w:vAlign w:val="top"/>
          </w:tcPr>
          <w:p>
            <w:pPr>
              <w:pStyle w:val="TableText"/>
              <w:spacing w:before="88" w:line="207" w:lineRule="auto"/>
              <w:jc w:val="right"/>
              <w:rPr>
                <w:sz w:val="21"/>
                <w:szCs w:val="21"/>
              </w:rPr>
            </w:pPr>
            <w:r>
              <w:rPr>
                <w:sz w:val="21"/>
                <w:szCs w:val="21"/>
                <w:spacing w:val="-5"/>
              </w:rPr>
              <w:t>0.0003</w:t>
            </w:r>
          </w:p>
        </w:tc>
        <w:tc>
          <w:tcPr>
            <w:tcW w:w="614" w:type="dxa"/>
            <w:vAlign w:val="top"/>
          </w:tcPr>
          <w:p>
            <w:pPr>
              <w:pStyle w:val="TableText"/>
              <w:ind w:left="39"/>
              <w:spacing w:before="88" w:line="207" w:lineRule="auto"/>
              <w:rPr>
                <w:sz w:val="21"/>
                <w:szCs w:val="21"/>
              </w:rPr>
            </w:pPr>
            <w:r>
              <w:rPr>
                <w:sz w:val="21"/>
                <w:szCs w:val="21"/>
                <w:spacing w:val="-2"/>
              </w:rPr>
              <w:t>0.005</w:t>
            </w:r>
          </w:p>
        </w:tc>
      </w:tr>
    </w:tbl>
    <w:p>
      <w:pPr>
        <w:ind w:left="605"/>
        <w:spacing w:before="62" w:line="218" w:lineRule="auto"/>
        <w:rPr>
          <w:rFonts w:ascii="SimSun" w:hAnsi="SimSun" w:eastAsia="SimSun" w:cs="SimSun"/>
          <w:sz w:val="24"/>
          <w:szCs w:val="24"/>
        </w:rPr>
      </w:pPr>
      <w:r>
        <w:rPr>
          <w:rFonts w:ascii="SimSun" w:hAnsi="SimSun" w:eastAsia="SimSun" w:cs="SimSun"/>
          <w:sz w:val="24"/>
          <w:szCs w:val="24"/>
        </w:rPr>
        <w:t>因此，生猪待宰圈舍恶臭经负压密闭抽风系统引入“喷淋+UV光解+活性炭</w:t>
      </w:r>
    </w:p>
    <w:p>
      <w:pPr>
        <w:spacing w:line="218" w:lineRule="auto"/>
        <w:sectPr>
          <w:headerReference w:type="default" r:id="rId317"/>
          <w:footerReference w:type="default" r:id="rId318"/>
          <w:pgSz w:w="11910" w:h="16840"/>
          <w:pgMar w:top="1216" w:right="1720" w:bottom="983" w:left="1675" w:header="877" w:footer="768" w:gutter="0"/>
        </w:sectPr>
        <w:rPr>
          <w:rFonts w:ascii="SimSun" w:hAnsi="SimSun" w:eastAsia="SimSun" w:cs="SimSun"/>
          <w:sz w:val="24"/>
          <w:szCs w:val="24"/>
        </w:rPr>
      </w:pPr>
    </w:p>
    <w:p>
      <w:pPr>
        <w:ind w:left="94" w:right="326"/>
        <w:spacing w:before="254" w:line="354" w:lineRule="auto"/>
        <w:rPr>
          <w:rFonts w:ascii="SimSun" w:hAnsi="SimSun" w:eastAsia="SimSun" w:cs="SimSun"/>
          <w:sz w:val="24"/>
          <w:szCs w:val="24"/>
        </w:rPr>
      </w:pPr>
      <w:r>
        <w:rPr>
          <w:rFonts w:ascii="SimSun" w:hAnsi="SimSun" w:eastAsia="SimSun" w:cs="SimSun"/>
          <w:sz w:val="24"/>
          <w:szCs w:val="24"/>
          <w:spacing w:val="1"/>
        </w:rPr>
        <w:t>吸附装置</w:t>
      </w:r>
      <w:r>
        <w:rPr>
          <w:rFonts w:ascii="SimSun" w:hAnsi="SimSun" w:eastAsia="SimSun" w:cs="SimSun"/>
          <w:sz w:val="24"/>
          <w:szCs w:val="24"/>
          <w:spacing w:val="-39"/>
        </w:rPr>
        <w:t xml:space="preserve"> </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rPr>
        <w:t>TA</w:t>
      </w:r>
      <w:r>
        <w:rPr>
          <w:rFonts w:ascii="Times New Roman" w:hAnsi="Times New Roman" w:eastAsia="Times New Roman" w:cs="Times New Roman"/>
          <w:sz w:val="24"/>
          <w:szCs w:val="24"/>
          <w:spacing w:val="1"/>
        </w:rPr>
        <w:t>001)”      </w:t>
      </w:r>
      <w:r>
        <w:rPr>
          <w:rFonts w:ascii="SimSun" w:hAnsi="SimSun" w:eastAsia="SimSun" w:cs="SimSun"/>
          <w:sz w:val="24"/>
          <w:szCs w:val="24"/>
          <w:spacing w:val="1"/>
        </w:rPr>
        <w:t>处理后，通过1根15</w:t>
      </w:r>
      <w:r>
        <w:rPr>
          <w:rFonts w:ascii="Times New Roman" w:hAnsi="Times New Roman" w:eastAsia="Times New Roman" w:cs="Times New Roman"/>
          <w:sz w:val="24"/>
          <w:szCs w:val="24"/>
          <w:spacing w:val="1"/>
        </w:rPr>
        <w:t>m</w:t>
      </w:r>
      <w:r>
        <w:rPr>
          <w:rFonts w:ascii="SimSun" w:hAnsi="SimSun" w:eastAsia="SimSun" w:cs="SimSun"/>
          <w:sz w:val="24"/>
          <w:szCs w:val="24"/>
          <w:spacing w:val="1"/>
        </w:rPr>
        <w:t>高排气筒</w:t>
      </w:r>
      <w:r>
        <w:rPr>
          <w:rFonts w:ascii="SimSun" w:hAnsi="SimSun" w:eastAsia="SimSun" w:cs="SimSun"/>
          <w:sz w:val="24"/>
          <w:szCs w:val="24"/>
          <w:spacing w:val="-24"/>
        </w:rPr>
        <w:t xml:space="preserve"> </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1"/>
        </w:rPr>
        <w:t>001)   </w:t>
      </w:r>
      <w:r>
        <w:rPr>
          <w:rFonts w:ascii="SimSun" w:hAnsi="SimSun" w:eastAsia="SimSun" w:cs="SimSun"/>
          <w:sz w:val="24"/>
          <w:szCs w:val="24"/>
          <w:spacing w:val="1"/>
        </w:rPr>
        <w:t>排放</w:t>
      </w:r>
      <w:r>
        <w:rPr>
          <w:rFonts w:ascii="SimSun" w:hAnsi="SimSun" w:eastAsia="SimSun" w:cs="SimSun"/>
          <w:sz w:val="24"/>
          <w:szCs w:val="24"/>
        </w:rPr>
        <w:t>，</w:t>
      </w:r>
      <w:r>
        <w:rPr>
          <w:rFonts w:ascii="Times New Roman" w:hAnsi="Times New Roman" w:eastAsia="Times New Roman" w:cs="Times New Roman"/>
          <w:sz w:val="24"/>
          <w:szCs w:val="24"/>
        </w:rPr>
        <w:t>NH₃</w:t>
      </w:r>
      <w:r>
        <w:rPr>
          <w:rFonts w:ascii="SimSun" w:hAnsi="SimSun" w:eastAsia="SimSun" w:cs="SimSun"/>
          <w:sz w:val="24"/>
          <w:szCs w:val="24"/>
        </w:rPr>
        <w:t>最 </w:t>
      </w:r>
      <w:r>
        <w:rPr>
          <w:rFonts w:ascii="SimSun" w:hAnsi="SimSun" w:eastAsia="SimSun" w:cs="SimSun"/>
          <w:sz w:val="24"/>
          <w:szCs w:val="24"/>
          <w:spacing w:val="8"/>
        </w:rPr>
        <w:t>大排放浓度(旺季)为0.3</w:t>
      </w:r>
      <w:r>
        <w:rPr>
          <w:rFonts w:ascii="Times New Roman" w:hAnsi="Times New Roman" w:eastAsia="Times New Roman" w:cs="Times New Roman"/>
          <w:sz w:val="24"/>
          <w:szCs w:val="24"/>
        </w:rPr>
        <w:t>mg</w:t>
      </w:r>
      <w:r>
        <w:rPr>
          <w:rFonts w:ascii="Times New Roman" w:hAnsi="Times New Roman" w:eastAsia="Times New Roman" w:cs="Times New Roman"/>
          <w:sz w:val="24"/>
          <w:szCs w:val="24"/>
          <w:spacing w:val="8"/>
        </w:rPr>
        <w:t>/m³</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8"/>
        </w:rPr>
        <w:t>、</w:t>
      </w:r>
      <w:r>
        <w:rPr>
          <w:rFonts w:ascii="Times New Roman" w:hAnsi="Times New Roman" w:eastAsia="Times New Roman" w:cs="Times New Roman"/>
          <w:sz w:val="24"/>
          <w:szCs w:val="24"/>
          <w:spacing w:val="8"/>
        </w:rPr>
        <w:t>H₂S</w:t>
      </w:r>
      <w:r>
        <w:rPr>
          <w:rFonts w:ascii="SimSun" w:hAnsi="SimSun" w:eastAsia="SimSun" w:cs="SimSun"/>
          <w:sz w:val="24"/>
          <w:szCs w:val="24"/>
          <w:spacing w:val="8"/>
        </w:rPr>
        <w:t>最大排放浓度(旺</w:t>
      </w:r>
      <w:r>
        <w:rPr>
          <w:rFonts w:ascii="SimSun" w:hAnsi="SimSun" w:eastAsia="SimSun" w:cs="SimSun"/>
          <w:sz w:val="24"/>
          <w:szCs w:val="24"/>
          <w:spacing w:val="7"/>
        </w:rPr>
        <w:t>季)为0.11</w:t>
      </w:r>
      <w:r>
        <w:rPr>
          <w:rFonts w:ascii="Times New Roman" w:hAnsi="Times New Roman" w:eastAsia="Times New Roman" w:cs="Times New Roman"/>
          <w:sz w:val="24"/>
          <w:szCs w:val="24"/>
        </w:rPr>
        <w:t>mg</w:t>
      </w:r>
      <w:r>
        <w:rPr>
          <w:rFonts w:ascii="Times New Roman" w:hAnsi="Times New Roman" w:eastAsia="Times New Roman" w:cs="Times New Roman"/>
          <w:sz w:val="24"/>
          <w:szCs w:val="24"/>
          <w:spacing w:val="7"/>
        </w:rPr>
        <w:t>/m³;</w:t>
      </w:r>
      <w:r>
        <w:rPr>
          <w:rFonts w:ascii="Times New Roman" w:hAnsi="Times New Roman" w:eastAsia="Times New Roman" w:cs="Times New Roman"/>
          <w:sz w:val="24"/>
          <w:szCs w:val="24"/>
          <w:spacing w:val="27"/>
        </w:rPr>
        <w:t xml:space="preserve">  </w:t>
      </w:r>
      <w:r>
        <w:rPr>
          <w:rFonts w:ascii="SimSun" w:hAnsi="SimSun" w:eastAsia="SimSun" w:cs="SimSun"/>
          <w:sz w:val="24"/>
          <w:szCs w:val="24"/>
          <w:spacing w:val="7"/>
        </w:rPr>
        <w:t>生</w:t>
      </w:r>
      <w:r>
        <w:rPr>
          <w:rFonts w:ascii="SimSun" w:hAnsi="SimSun" w:eastAsia="SimSun" w:cs="SimSun"/>
          <w:sz w:val="24"/>
          <w:szCs w:val="24"/>
        </w:rPr>
        <w:t xml:space="preserve"> </w:t>
      </w:r>
      <w:r>
        <w:rPr>
          <w:rFonts w:ascii="SimSun" w:hAnsi="SimSun" w:eastAsia="SimSun" w:cs="SimSun"/>
          <w:sz w:val="24"/>
          <w:szCs w:val="24"/>
        </w:rPr>
        <w:t>猪屠宰车间恶臭经负压密闭抽风系统引入“喷淋+</w:t>
      </w:r>
      <w:r>
        <w:rPr>
          <w:rFonts w:ascii="Times New Roman" w:hAnsi="Times New Roman" w:eastAsia="Times New Roman" w:cs="Times New Roman"/>
          <w:sz w:val="24"/>
          <w:szCs w:val="24"/>
        </w:rPr>
        <w:t>UV</w:t>
      </w:r>
      <w:r>
        <w:rPr>
          <w:rFonts w:ascii="SimSun" w:hAnsi="SimSun" w:eastAsia="SimSun" w:cs="SimSun"/>
          <w:sz w:val="24"/>
          <w:szCs w:val="24"/>
        </w:rPr>
        <w:t>光解+活性炭吸附装置</w:t>
      </w:r>
    </w:p>
    <w:p>
      <w:pPr>
        <w:ind w:left="94" w:right="161" w:firstLine="130"/>
        <w:spacing w:before="3" w:line="353" w:lineRule="auto"/>
        <w:rPr>
          <w:rFonts w:ascii="SimSun" w:hAnsi="SimSun" w:eastAsia="SimSun" w:cs="SimSun"/>
          <w:sz w:val="24"/>
          <w:szCs w:val="24"/>
        </w:rPr>
      </w:pPr>
      <w:r>
        <w:rPr>
          <w:rFonts w:ascii="Times New Roman" w:hAnsi="Times New Roman" w:eastAsia="Times New Roman" w:cs="Times New Roman"/>
          <w:sz w:val="24"/>
          <w:szCs w:val="24"/>
          <w:spacing w:val="-1"/>
        </w:rPr>
        <w:t>(TA002)”     </w:t>
      </w:r>
      <w:r>
        <w:rPr>
          <w:rFonts w:ascii="SimSun" w:hAnsi="SimSun" w:eastAsia="SimSun" w:cs="SimSun"/>
          <w:sz w:val="24"/>
          <w:szCs w:val="24"/>
          <w:spacing w:val="-1"/>
        </w:rPr>
        <w:t>处理后，通过1根15</w:t>
      </w:r>
      <w:r>
        <w:rPr>
          <w:rFonts w:ascii="Times New Roman" w:hAnsi="Times New Roman" w:eastAsia="Times New Roman" w:cs="Times New Roman"/>
          <w:sz w:val="24"/>
          <w:szCs w:val="24"/>
          <w:spacing w:val="-1"/>
        </w:rPr>
        <w:t>m</w:t>
      </w:r>
      <w:r>
        <w:rPr>
          <w:rFonts w:ascii="SimSun" w:hAnsi="SimSun" w:eastAsia="SimSun" w:cs="SimSun"/>
          <w:sz w:val="24"/>
          <w:szCs w:val="24"/>
          <w:spacing w:val="-1"/>
        </w:rPr>
        <w:t>高排气筒 </w:t>
      </w:r>
      <w:r>
        <w:rPr>
          <w:rFonts w:ascii="Times New Roman" w:hAnsi="Times New Roman" w:eastAsia="Times New Roman" w:cs="Times New Roman"/>
          <w:sz w:val="24"/>
          <w:szCs w:val="24"/>
          <w:spacing w:val="-1"/>
        </w:rPr>
        <w:t>(DA002)    </w:t>
      </w:r>
      <w:r>
        <w:rPr>
          <w:rFonts w:ascii="SimSun" w:hAnsi="SimSun" w:eastAsia="SimSun" w:cs="SimSun"/>
          <w:sz w:val="24"/>
          <w:szCs w:val="24"/>
          <w:spacing w:val="-1"/>
        </w:rPr>
        <w:t>排</w:t>
      </w:r>
      <w:r>
        <w:rPr>
          <w:rFonts w:ascii="SimSun" w:hAnsi="SimSun" w:eastAsia="SimSun" w:cs="SimSun"/>
          <w:sz w:val="24"/>
          <w:szCs w:val="24"/>
          <w:spacing w:val="-2"/>
        </w:rPr>
        <w:t>放，</w:t>
      </w:r>
      <w:r>
        <w:rPr>
          <w:rFonts w:ascii="Times New Roman" w:hAnsi="Times New Roman" w:eastAsia="Times New Roman" w:cs="Times New Roman"/>
          <w:sz w:val="24"/>
          <w:szCs w:val="24"/>
          <w:spacing w:val="-2"/>
        </w:rPr>
        <w:t>NH₃</w:t>
      </w:r>
      <w:r>
        <w:rPr>
          <w:rFonts w:ascii="Times New Roman" w:hAnsi="Times New Roman" w:eastAsia="Times New Roman" w:cs="Times New Roman"/>
          <w:sz w:val="24"/>
          <w:szCs w:val="24"/>
          <w:spacing w:val="-11"/>
        </w:rPr>
        <w:t xml:space="preserve"> </w:t>
      </w:r>
      <w:r>
        <w:rPr>
          <w:rFonts w:ascii="SimSun" w:hAnsi="SimSun" w:eastAsia="SimSun" w:cs="SimSun"/>
          <w:sz w:val="24"/>
          <w:szCs w:val="24"/>
          <w:spacing w:val="-2"/>
        </w:rPr>
        <w:t>最大排放浓</w:t>
      </w:r>
      <w:r>
        <w:rPr>
          <w:rFonts w:ascii="SimSun" w:hAnsi="SimSun" w:eastAsia="SimSun" w:cs="SimSun"/>
          <w:sz w:val="24"/>
          <w:szCs w:val="24"/>
        </w:rPr>
        <w:t xml:space="preserve">  </w:t>
      </w:r>
      <w:r>
        <w:rPr>
          <w:rFonts w:ascii="SimSun" w:hAnsi="SimSun" w:eastAsia="SimSun" w:cs="SimSun"/>
          <w:sz w:val="24"/>
          <w:szCs w:val="24"/>
          <w:spacing w:val="8"/>
        </w:rPr>
        <w:t>度(旺季)为0.08</w:t>
      </w:r>
      <w:r>
        <w:rPr>
          <w:rFonts w:ascii="Times New Roman" w:hAnsi="Times New Roman" w:eastAsia="Times New Roman" w:cs="Times New Roman"/>
          <w:sz w:val="24"/>
          <w:szCs w:val="24"/>
        </w:rPr>
        <w:t>mg</w:t>
      </w:r>
      <w:r>
        <w:rPr>
          <w:rFonts w:ascii="Times New Roman" w:hAnsi="Times New Roman" w:eastAsia="Times New Roman" w:cs="Times New Roman"/>
          <w:sz w:val="24"/>
          <w:szCs w:val="24"/>
          <w:spacing w:val="8"/>
        </w:rPr>
        <w:t>/m³</w:t>
      </w:r>
      <w:r>
        <w:rPr>
          <w:rFonts w:ascii="Times New Roman" w:hAnsi="Times New Roman" w:eastAsia="Times New Roman" w:cs="Times New Roman"/>
          <w:sz w:val="24"/>
          <w:szCs w:val="24"/>
          <w:spacing w:val="-19"/>
        </w:rPr>
        <w:t xml:space="preserve"> </w:t>
      </w:r>
      <w:r>
        <w:rPr>
          <w:rFonts w:ascii="SimSun" w:hAnsi="SimSun" w:eastAsia="SimSun" w:cs="SimSun"/>
          <w:sz w:val="24"/>
          <w:szCs w:val="24"/>
          <w:spacing w:val="8"/>
        </w:rPr>
        <w:t>、</w:t>
      </w:r>
      <w:r>
        <w:rPr>
          <w:rFonts w:ascii="Times New Roman" w:hAnsi="Times New Roman" w:eastAsia="Times New Roman" w:cs="Times New Roman"/>
          <w:sz w:val="24"/>
          <w:szCs w:val="24"/>
          <w:spacing w:val="8"/>
        </w:rPr>
        <w:t>H₂S</w:t>
      </w:r>
      <w:r>
        <w:rPr>
          <w:rFonts w:ascii="SimSun" w:hAnsi="SimSun" w:eastAsia="SimSun" w:cs="SimSun"/>
          <w:sz w:val="24"/>
          <w:szCs w:val="24"/>
          <w:spacing w:val="8"/>
        </w:rPr>
        <w:t>最大排放浓度(旺季)为0.02</w:t>
      </w:r>
      <w:r>
        <w:rPr>
          <w:rFonts w:ascii="Times New Roman" w:hAnsi="Times New Roman" w:eastAsia="Times New Roman" w:cs="Times New Roman"/>
          <w:sz w:val="24"/>
          <w:szCs w:val="24"/>
        </w:rPr>
        <w:t>mg</w:t>
      </w:r>
      <w:r>
        <w:rPr>
          <w:rFonts w:ascii="Times New Roman" w:hAnsi="Times New Roman" w:eastAsia="Times New Roman" w:cs="Times New Roman"/>
          <w:sz w:val="24"/>
          <w:szCs w:val="24"/>
          <w:spacing w:val="8"/>
        </w:rPr>
        <w:t>/m³;</w:t>
      </w:r>
      <w:r>
        <w:rPr>
          <w:rFonts w:ascii="Times New Roman" w:hAnsi="Times New Roman" w:eastAsia="Times New Roman" w:cs="Times New Roman"/>
          <w:sz w:val="24"/>
          <w:szCs w:val="24"/>
          <w:spacing w:val="1"/>
        </w:rPr>
        <w:t xml:space="preserve">   </w:t>
      </w:r>
      <w:r>
        <w:rPr>
          <w:rFonts w:ascii="SimSun" w:hAnsi="SimSun" w:eastAsia="SimSun" w:cs="SimSun"/>
          <w:sz w:val="24"/>
          <w:szCs w:val="24"/>
          <w:spacing w:val="8"/>
        </w:rPr>
        <w:t>肉牛待宰圈</w:t>
      </w:r>
      <w:r>
        <w:rPr>
          <w:rFonts w:ascii="SimSun" w:hAnsi="SimSun" w:eastAsia="SimSun" w:cs="SimSun"/>
          <w:sz w:val="24"/>
          <w:szCs w:val="24"/>
          <w:spacing w:val="1"/>
        </w:rPr>
        <w:t xml:space="preserve"> </w:t>
      </w:r>
      <w:r>
        <w:rPr>
          <w:rFonts w:ascii="SimSun" w:hAnsi="SimSun" w:eastAsia="SimSun" w:cs="SimSun"/>
          <w:sz w:val="24"/>
          <w:szCs w:val="24"/>
        </w:rPr>
        <w:t>舍、屠宰车间恶臭经负压密闭抽风系统引入“喷淋+</w:t>
      </w:r>
      <w:r>
        <w:rPr>
          <w:rFonts w:ascii="Times New Roman" w:hAnsi="Times New Roman" w:eastAsia="Times New Roman" w:cs="Times New Roman"/>
          <w:sz w:val="24"/>
          <w:szCs w:val="24"/>
        </w:rPr>
        <w:t>UV</w:t>
      </w:r>
      <w:r>
        <w:rPr>
          <w:rFonts w:ascii="SimSun" w:hAnsi="SimSun" w:eastAsia="SimSun" w:cs="SimSun"/>
          <w:sz w:val="24"/>
          <w:szCs w:val="24"/>
        </w:rPr>
        <w:t>光解</w:t>
      </w:r>
      <w:r>
        <w:rPr>
          <w:rFonts w:ascii="SimSun" w:hAnsi="SimSun" w:eastAsia="SimSun" w:cs="SimSun"/>
          <w:sz w:val="24"/>
          <w:szCs w:val="24"/>
          <w:spacing w:val="-1"/>
        </w:rPr>
        <w:t>+活性炭吸附装置</w:t>
      </w:r>
    </w:p>
    <w:p>
      <w:pPr>
        <w:ind w:left="94" w:right="304" w:firstLine="130"/>
        <w:spacing w:before="2" w:line="347" w:lineRule="auto"/>
        <w:rPr>
          <w:rFonts w:ascii="SimSun" w:hAnsi="SimSun" w:eastAsia="SimSun" w:cs="SimSun"/>
          <w:sz w:val="24"/>
          <w:szCs w:val="24"/>
        </w:rPr>
      </w:pPr>
      <w:r>
        <w:rPr>
          <w:rFonts w:ascii="Times New Roman" w:hAnsi="Times New Roman" w:eastAsia="Times New Roman" w:cs="Times New Roman"/>
          <w:sz w:val="24"/>
          <w:szCs w:val="24"/>
          <w:spacing w:val="-1"/>
        </w:rPr>
        <w:t>(TA003)”     </w:t>
      </w:r>
      <w:r>
        <w:rPr>
          <w:rFonts w:ascii="SimSun" w:hAnsi="SimSun" w:eastAsia="SimSun" w:cs="SimSun"/>
          <w:sz w:val="24"/>
          <w:szCs w:val="24"/>
          <w:spacing w:val="-1"/>
        </w:rPr>
        <w:t>处理后，通过1根15</w:t>
      </w:r>
      <w:r>
        <w:rPr>
          <w:rFonts w:ascii="Times New Roman" w:hAnsi="Times New Roman" w:eastAsia="Times New Roman" w:cs="Times New Roman"/>
          <w:sz w:val="24"/>
          <w:szCs w:val="24"/>
          <w:spacing w:val="-1"/>
        </w:rPr>
        <w:t>m</w:t>
      </w:r>
      <w:r>
        <w:rPr>
          <w:rFonts w:ascii="SimSun" w:hAnsi="SimSun" w:eastAsia="SimSun" w:cs="SimSun"/>
          <w:sz w:val="24"/>
          <w:szCs w:val="24"/>
          <w:spacing w:val="-1"/>
        </w:rPr>
        <w:t>高排气筒 </w:t>
      </w:r>
      <w:r>
        <w:rPr>
          <w:rFonts w:ascii="Times New Roman" w:hAnsi="Times New Roman" w:eastAsia="Times New Roman" w:cs="Times New Roman"/>
          <w:sz w:val="24"/>
          <w:szCs w:val="24"/>
          <w:spacing w:val="-1"/>
        </w:rPr>
        <w:t>(DA003)    </w:t>
      </w:r>
      <w:r>
        <w:rPr>
          <w:rFonts w:ascii="SimSun" w:hAnsi="SimSun" w:eastAsia="SimSun" w:cs="SimSun"/>
          <w:sz w:val="24"/>
          <w:szCs w:val="24"/>
          <w:spacing w:val="-1"/>
        </w:rPr>
        <w:t>排</w:t>
      </w:r>
      <w:r>
        <w:rPr>
          <w:rFonts w:ascii="SimSun" w:hAnsi="SimSun" w:eastAsia="SimSun" w:cs="SimSun"/>
          <w:sz w:val="24"/>
          <w:szCs w:val="24"/>
          <w:spacing w:val="-2"/>
        </w:rPr>
        <w:t>放，</w:t>
      </w:r>
      <w:r>
        <w:rPr>
          <w:rFonts w:ascii="Times New Roman" w:hAnsi="Times New Roman" w:eastAsia="Times New Roman" w:cs="Times New Roman"/>
          <w:sz w:val="24"/>
          <w:szCs w:val="24"/>
          <w:spacing w:val="-2"/>
        </w:rPr>
        <w:t>NH₃</w:t>
      </w:r>
      <w:r>
        <w:rPr>
          <w:rFonts w:ascii="Times New Roman" w:hAnsi="Times New Roman" w:eastAsia="Times New Roman" w:cs="Times New Roman"/>
          <w:sz w:val="24"/>
          <w:szCs w:val="24"/>
          <w:spacing w:val="-11"/>
        </w:rPr>
        <w:t xml:space="preserve"> </w:t>
      </w:r>
      <w:r>
        <w:rPr>
          <w:rFonts w:ascii="SimSun" w:hAnsi="SimSun" w:eastAsia="SimSun" w:cs="SimSun"/>
          <w:sz w:val="24"/>
          <w:szCs w:val="24"/>
          <w:spacing w:val="-2"/>
        </w:rPr>
        <w:t>最大排放浓</w:t>
      </w:r>
      <w:r>
        <w:rPr>
          <w:rFonts w:ascii="SimSun" w:hAnsi="SimSun" w:eastAsia="SimSun" w:cs="SimSun"/>
          <w:sz w:val="24"/>
          <w:szCs w:val="24"/>
        </w:rPr>
        <w:t xml:space="preserve"> </w:t>
      </w:r>
      <w:r>
        <w:rPr>
          <w:rFonts w:ascii="SimSun" w:hAnsi="SimSun" w:eastAsia="SimSun" w:cs="SimSun"/>
          <w:sz w:val="24"/>
          <w:szCs w:val="24"/>
          <w:spacing w:val="8"/>
        </w:rPr>
        <w:t>度(旺季)为0.08</w:t>
      </w:r>
      <w:r>
        <w:rPr>
          <w:rFonts w:ascii="Times New Roman" w:hAnsi="Times New Roman" w:eastAsia="Times New Roman" w:cs="Times New Roman"/>
          <w:sz w:val="24"/>
          <w:szCs w:val="24"/>
        </w:rPr>
        <w:t>mg</w:t>
      </w:r>
      <w:r>
        <w:rPr>
          <w:rFonts w:ascii="Times New Roman" w:hAnsi="Times New Roman" w:eastAsia="Times New Roman" w:cs="Times New Roman"/>
          <w:sz w:val="24"/>
          <w:szCs w:val="24"/>
          <w:spacing w:val="8"/>
        </w:rPr>
        <w:t>/m³</w:t>
      </w:r>
      <w:r>
        <w:rPr>
          <w:rFonts w:ascii="Times New Roman" w:hAnsi="Times New Roman" w:eastAsia="Times New Roman" w:cs="Times New Roman"/>
          <w:sz w:val="24"/>
          <w:szCs w:val="24"/>
          <w:spacing w:val="-33"/>
        </w:rPr>
        <w:t xml:space="preserve"> </w:t>
      </w:r>
      <w:r>
        <w:rPr>
          <w:rFonts w:ascii="SimSun" w:hAnsi="SimSun" w:eastAsia="SimSun" w:cs="SimSun"/>
          <w:sz w:val="24"/>
          <w:szCs w:val="24"/>
          <w:spacing w:val="8"/>
        </w:rPr>
        <w:t>、</w:t>
      </w:r>
      <w:r>
        <w:rPr>
          <w:rFonts w:ascii="Times New Roman" w:hAnsi="Times New Roman" w:eastAsia="Times New Roman" w:cs="Times New Roman"/>
          <w:sz w:val="24"/>
          <w:szCs w:val="24"/>
          <w:spacing w:val="8"/>
        </w:rPr>
        <w:t>H₂S</w:t>
      </w:r>
      <w:r>
        <w:rPr>
          <w:rFonts w:ascii="SimSun" w:hAnsi="SimSun" w:eastAsia="SimSun" w:cs="SimSun"/>
          <w:sz w:val="24"/>
          <w:szCs w:val="24"/>
          <w:spacing w:val="8"/>
        </w:rPr>
        <w:t>最大排放浓度(旺季)为0.005</w:t>
      </w:r>
      <w:r>
        <w:rPr>
          <w:rFonts w:ascii="Times New Roman" w:hAnsi="Times New Roman" w:eastAsia="Times New Roman" w:cs="Times New Roman"/>
          <w:sz w:val="24"/>
          <w:szCs w:val="24"/>
        </w:rPr>
        <w:t>mg</w:t>
      </w:r>
      <w:r>
        <w:rPr>
          <w:rFonts w:ascii="Times New Roman" w:hAnsi="Times New Roman" w:eastAsia="Times New Roman" w:cs="Times New Roman"/>
          <w:sz w:val="24"/>
          <w:szCs w:val="24"/>
          <w:spacing w:val="8"/>
        </w:rPr>
        <w:t>/m³,</w:t>
      </w:r>
      <w:r>
        <w:rPr>
          <w:rFonts w:ascii="Times New Roman" w:hAnsi="Times New Roman" w:eastAsia="Times New Roman" w:cs="Times New Roman"/>
          <w:sz w:val="24"/>
          <w:szCs w:val="24"/>
        </w:rPr>
        <w:t xml:space="preserve">   </w:t>
      </w:r>
      <w:r>
        <w:rPr>
          <w:rFonts w:ascii="SimSun" w:hAnsi="SimSun" w:eastAsia="SimSun" w:cs="SimSun"/>
          <w:sz w:val="24"/>
          <w:szCs w:val="24"/>
          <w:spacing w:val="8"/>
        </w:rPr>
        <w:t>均可满足</w:t>
      </w:r>
      <w:r>
        <w:rPr>
          <w:rFonts w:ascii="SimSun" w:hAnsi="SimSun" w:eastAsia="SimSun" w:cs="SimSun"/>
          <w:sz w:val="24"/>
          <w:szCs w:val="24"/>
          <w:spacing w:val="1"/>
        </w:rPr>
        <w:t xml:space="preserve"> </w:t>
      </w:r>
      <w:r>
        <w:rPr>
          <w:rFonts w:ascii="SimSun" w:hAnsi="SimSun" w:eastAsia="SimSun" w:cs="SimSun"/>
          <w:sz w:val="24"/>
          <w:szCs w:val="24"/>
          <w:spacing w:val="-1"/>
        </w:rPr>
        <w:t>《恶臭污染物排放标准》 </w:t>
      </w:r>
      <w:r>
        <w:rPr>
          <w:rFonts w:ascii="Times New Roman" w:hAnsi="Times New Roman" w:eastAsia="Times New Roman" w:cs="Times New Roman"/>
          <w:sz w:val="24"/>
          <w:szCs w:val="24"/>
          <w:spacing w:val="-1"/>
        </w:rPr>
        <w:t>(GB14554-1993)</w:t>
      </w:r>
      <w:r>
        <w:rPr>
          <w:rFonts w:ascii="Times New Roman" w:hAnsi="Times New Roman" w:eastAsia="Times New Roman" w:cs="Times New Roman"/>
          <w:sz w:val="24"/>
          <w:szCs w:val="24"/>
          <w:spacing w:val="20"/>
          <w:w w:val="101"/>
        </w:rPr>
        <w:t xml:space="preserve">   </w:t>
      </w:r>
      <w:r>
        <w:rPr>
          <w:rFonts w:ascii="SimSun" w:hAnsi="SimSun" w:eastAsia="SimSun" w:cs="SimSun"/>
          <w:sz w:val="24"/>
          <w:szCs w:val="24"/>
          <w:spacing w:val="-1"/>
        </w:rPr>
        <w:t>中表2相应排放标准。</w:t>
      </w:r>
    </w:p>
    <w:p>
      <w:pPr>
        <w:ind w:left="718"/>
        <w:spacing w:before="98" w:line="219" w:lineRule="auto"/>
        <w:rPr>
          <w:rFonts w:ascii="SimSun" w:hAnsi="SimSun" w:eastAsia="SimSun" w:cs="SimSun"/>
          <w:sz w:val="24"/>
          <w:szCs w:val="24"/>
        </w:rPr>
      </w:pPr>
      <w:r>
        <w:rPr>
          <w:rFonts w:ascii="SimSun" w:hAnsi="SimSun" w:eastAsia="SimSun" w:cs="SimSun"/>
          <w:sz w:val="24"/>
          <w:szCs w:val="24"/>
          <w:b/>
          <w:bCs/>
          <w:spacing w:val="9"/>
        </w:rPr>
        <w:t>(3)污水处理站恶臭</w:t>
      </w:r>
    </w:p>
    <w:p>
      <w:pPr>
        <w:ind w:left="588"/>
        <w:spacing w:before="172" w:line="217" w:lineRule="auto"/>
        <w:rPr>
          <w:rFonts w:ascii="SimSun" w:hAnsi="SimSun" w:eastAsia="SimSun" w:cs="SimSun"/>
          <w:sz w:val="24"/>
          <w:szCs w:val="24"/>
        </w:rPr>
      </w:pPr>
      <w:r>
        <w:rPr>
          <w:rFonts w:ascii="SimSun" w:hAnsi="SimSun" w:eastAsia="SimSun" w:cs="SimSun"/>
          <w:sz w:val="24"/>
          <w:szCs w:val="24"/>
          <w:b/>
          <w:bCs/>
        </w:rPr>
        <w:t>①产生情况</w:t>
      </w:r>
    </w:p>
    <w:p>
      <w:pPr>
        <w:ind w:left="585"/>
        <w:spacing w:before="222" w:line="219" w:lineRule="auto"/>
        <w:rPr>
          <w:rFonts w:ascii="SimSun" w:hAnsi="SimSun" w:eastAsia="SimSun" w:cs="SimSun"/>
          <w:sz w:val="24"/>
          <w:szCs w:val="24"/>
        </w:rPr>
      </w:pPr>
      <w:r>
        <w:rPr>
          <w:rFonts w:ascii="SimSun" w:hAnsi="SimSun" w:eastAsia="SimSun" w:cs="SimSun"/>
          <w:sz w:val="24"/>
          <w:szCs w:val="24"/>
          <w:spacing w:val="-2"/>
        </w:rPr>
        <w:t>污水处理站恶臭主要来源于格栅池、调节池、曝气池、沉淀池、厌氧池、</w:t>
      </w:r>
    </w:p>
    <w:p>
      <w:pPr>
        <w:ind w:left="94" w:right="196"/>
        <w:spacing w:before="176" w:line="355" w:lineRule="auto"/>
        <w:rPr>
          <w:rFonts w:ascii="SimSun" w:hAnsi="SimSun" w:eastAsia="SimSun" w:cs="SimSun"/>
          <w:sz w:val="24"/>
          <w:szCs w:val="24"/>
        </w:rPr>
      </w:pPr>
      <w:r>
        <w:rPr>
          <w:rFonts w:ascii="SimSun" w:hAnsi="SimSun" w:eastAsia="SimSun" w:cs="SimSun"/>
          <w:sz w:val="24"/>
          <w:szCs w:val="24"/>
          <w:spacing w:val="-1"/>
        </w:rPr>
        <w:t>污泥处理单元等，成分包括</w:t>
      </w:r>
      <w:r>
        <w:rPr>
          <w:rFonts w:ascii="Times New Roman" w:hAnsi="Times New Roman" w:eastAsia="Times New Roman" w:cs="Times New Roman"/>
          <w:sz w:val="24"/>
          <w:szCs w:val="24"/>
          <w:spacing w:val="-1"/>
        </w:rPr>
        <w:t>NH₃</w:t>
      </w:r>
      <w:r>
        <w:rPr>
          <w:rFonts w:ascii="Times New Roman" w:hAnsi="Times New Roman" w:eastAsia="Times New Roman" w:cs="Times New Roman"/>
          <w:sz w:val="24"/>
          <w:szCs w:val="24"/>
          <w:spacing w:val="-33"/>
        </w:rPr>
        <w:t xml:space="preserve"> </w:t>
      </w:r>
      <w:r>
        <w:rPr>
          <w:rFonts w:ascii="SimSun" w:hAnsi="SimSun" w:eastAsia="SimSun" w:cs="SimSun"/>
          <w:sz w:val="24"/>
          <w:szCs w:val="24"/>
          <w:spacing w:val="-1"/>
        </w:rPr>
        <w:t>、</w:t>
      </w:r>
      <w:r>
        <w:rPr>
          <w:rFonts w:ascii="Times New Roman" w:hAnsi="Times New Roman" w:eastAsia="Times New Roman" w:cs="Times New Roman"/>
          <w:sz w:val="24"/>
          <w:szCs w:val="24"/>
          <w:spacing w:val="-1"/>
        </w:rPr>
        <w:t>H₂S</w:t>
      </w:r>
      <w:r>
        <w:rPr>
          <w:rFonts w:ascii="SimSun" w:hAnsi="SimSun" w:eastAsia="SimSun" w:cs="SimSun"/>
          <w:sz w:val="24"/>
          <w:szCs w:val="24"/>
          <w:spacing w:val="-1"/>
        </w:rPr>
        <w:t>等物质，本项目污水处理站恶臭产生处理</w:t>
      </w:r>
      <w:r>
        <w:rPr>
          <w:rFonts w:ascii="SimSun" w:hAnsi="SimSun" w:eastAsia="SimSun" w:cs="SimSun"/>
          <w:sz w:val="24"/>
          <w:szCs w:val="24"/>
        </w:rPr>
        <w:t xml:space="preserve"> </w:t>
      </w:r>
      <w:r>
        <w:rPr>
          <w:rFonts w:ascii="SimSun" w:hAnsi="SimSun" w:eastAsia="SimSun" w:cs="SimSun"/>
          <w:sz w:val="24"/>
          <w:szCs w:val="24"/>
          <w:spacing w:val="7"/>
        </w:rPr>
        <w:t>单元(如格栅池、调节池、曝气池、沉淀池、厌氧池、污泥处理单元等)设计</w:t>
      </w:r>
      <w:r>
        <w:rPr>
          <w:rFonts w:ascii="SimSun" w:hAnsi="SimSun" w:eastAsia="SimSun" w:cs="SimSun"/>
          <w:sz w:val="24"/>
          <w:szCs w:val="24"/>
          <w:spacing w:val="11"/>
        </w:rPr>
        <w:t xml:space="preserve"> </w:t>
      </w:r>
      <w:r>
        <w:rPr>
          <w:rFonts w:ascii="SimSun" w:hAnsi="SimSun" w:eastAsia="SimSun" w:cs="SimSun"/>
          <w:sz w:val="24"/>
          <w:szCs w:val="24"/>
          <w:spacing w:val="-3"/>
        </w:rPr>
        <w:t>为封闭式，污泥定期清运，及时喷洒除臭剂。</w:t>
      </w:r>
    </w:p>
    <w:p>
      <w:pPr>
        <w:ind w:left="94" w:right="132" w:firstLine="490"/>
        <w:spacing w:before="27" w:line="354" w:lineRule="auto"/>
        <w:rPr>
          <w:rFonts w:ascii="SimSun" w:hAnsi="SimSun" w:eastAsia="SimSun" w:cs="SimSun"/>
          <w:sz w:val="24"/>
          <w:szCs w:val="24"/>
        </w:rPr>
      </w:pPr>
      <w:r>
        <w:rPr>
          <w:rFonts w:ascii="SimSun" w:hAnsi="SimSun" w:eastAsia="SimSun" w:cs="SimSun"/>
          <w:sz w:val="24"/>
          <w:szCs w:val="24"/>
          <w:spacing w:val="-1"/>
        </w:rPr>
        <w:t>根据美国</w:t>
      </w:r>
      <w:r>
        <w:rPr>
          <w:rFonts w:ascii="Times New Roman" w:hAnsi="Times New Roman" w:eastAsia="Times New Roman" w:cs="Times New Roman"/>
          <w:sz w:val="24"/>
          <w:szCs w:val="24"/>
          <w:spacing w:val="-1"/>
        </w:rPr>
        <w:t>EPA</w:t>
      </w:r>
      <w:r>
        <w:rPr>
          <w:rFonts w:ascii="SimSun" w:hAnsi="SimSun" w:eastAsia="SimSun" w:cs="SimSun"/>
          <w:sz w:val="24"/>
          <w:szCs w:val="24"/>
          <w:spacing w:val="-1"/>
        </w:rPr>
        <w:t>对城市污水处理厂恶臭污染物产生情况的研究可知，每去除</w:t>
      </w:r>
      <w:r>
        <w:rPr>
          <w:rFonts w:ascii="SimSun" w:hAnsi="SimSun" w:eastAsia="SimSun" w:cs="SimSun"/>
          <w:sz w:val="24"/>
          <w:szCs w:val="24"/>
          <w:spacing w:val="5"/>
        </w:rPr>
        <w:t xml:space="preserve">  </w:t>
      </w:r>
      <w:r>
        <w:rPr>
          <w:rFonts w:ascii="Times New Roman" w:hAnsi="Times New Roman" w:eastAsia="Times New Roman" w:cs="Times New Roman"/>
          <w:sz w:val="24"/>
          <w:szCs w:val="24"/>
          <w:spacing w:val="-2"/>
        </w:rPr>
        <w:t>1g</w:t>
      </w:r>
      <w:r>
        <w:rPr>
          <w:rFonts w:ascii="SimSun" w:hAnsi="SimSun" w:eastAsia="SimSun" w:cs="SimSun"/>
          <w:sz w:val="24"/>
          <w:szCs w:val="24"/>
          <w:spacing w:val="-2"/>
        </w:rPr>
        <w:t>的</w:t>
      </w:r>
      <w:r>
        <w:rPr>
          <w:rFonts w:ascii="Times New Roman" w:hAnsi="Times New Roman" w:eastAsia="Times New Roman" w:cs="Times New Roman"/>
          <w:sz w:val="24"/>
          <w:szCs w:val="24"/>
          <w:spacing w:val="-2"/>
        </w:rPr>
        <w:t>BODs,</w:t>
      </w:r>
      <w:r>
        <w:rPr>
          <w:rFonts w:ascii="Times New Roman" w:hAnsi="Times New Roman" w:eastAsia="Times New Roman" w:cs="Times New Roman"/>
          <w:sz w:val="24"/>
          <w:szCs w:val="24"/>
          <w:spacing w:val="17"/>
        </w:rPr>
        <w:t xml:space="preserve">  </w:t>
      </w:r>
      <w:r>
        <w:rPr>
          <w:rFonts w:ascii="SimSun" w:hAnsi="SimSun" w:eastAsia="SimSun" w:cs="SimSun"/>
          <w:sz w:val="24"/>
          <w:szCs w:val="24"/>
          <w:spacing w:val="-2"/>
        </w:rPr>
        <w:t>可产生0.0031</w:t>
      </w:r>
      <w:r>
        <w:rPr>
          <w:rFonts w:ascii="Times New Roman" w:hAnsi="Times New Roman" w:eastAsia="Times New Roman" w:cs="Times New Roman"/>
          <w:sz w:val="24"/>
          <w:szCs w:val="24"/>
          <w:spacing w:val="-2"/>
        </w:rPr>
        <w:t>g</w:t>
      </w:r>
      <w:r>
        <w:rPr>
          <w:rFonts w:ascii="SimSun" w:hAnsi="SimSun" w:eastAsia="SimSun" w:cs="SimSun"/>
          <w:sz w:val="24"/>
          <w:szCs w:val="24"/>
          <w:spacing w:val="-2"/>
        </w:rPr>
        <w:t>的</w:t>
      </w:r>
      <w:r>
        <w:rPr>
          <w:rFonts w:ascii="Times New Roman" w:hAnsi="Times New Roman" w:eastAsia="Times New Roman" w:cs="Times New Roman"/>
          <w:sz w:val="24"/>
          <w:szCs w:val="24"/>
          <w:spacing w:val="-2"/>
        </w:rPr>
        <w:t>NH₃</w:t>
      </w:r>
      <w:r>
        <w:rPr>
          <w:rFonts w:ascii="Times New Roman" w:hAnsi="Times New Roman" w:eastAsia="Times New Roman" w:cs="Times New Roman"/>
          <w:sz w:val="24"/>
          <w:szCs w:val="24"/>
          <w:spacing w:val="-33"/>
        </w:rPr>
        <w:t xml:space="preserve"> </w:t>
      </w:r>
      <w:r>
        <w:rPr>
          <w:rFonts w:ascii="SimSun" w:hAnsi="SimSun" w:eastAsia="SimSun" w:cs="SimSun"/>
          <w:sz w:val="24"/>
          <w:szCs w:val="24"/>
          <w:spacing w:val="-2"/>
        </w:rPr>
        <w:t>、</w:t>
      </w:r>
      <w:r>
        <w:rPr>
          <w:rFonts w:ascii="Times New Roman" w:hAnsi="Times New Roman" w:eastAsia="Times New Roman" w:cs="Times New Roman"/>
          <w:sz w:val="24"/>
          <w:szCs w:val="24"/>
          <w:spacing w:val="-2"/>
        </w:rPr>
        <w:t>0.00012g</w:t>
      </w:r>
      <w:r>
        <w:rPr>
          <w:rFonts w:ascii="SimSun" w:hAnsi="SimSun" w:eastAsia="SimSun" w:cs="SimSun"/>
          <w:sz w:val="24"/>
          <w:szCs w:val="24"/>
          <w:spacing w:val="-2"/>
        </w:rPr>
        <w:t>的</w:t>
      </w:r>
      <w:r>
        <w:rPr>
          <w:rFonts w:ascii="Times New Roman" w:hAnsi="Times New Roman" w:eastAsia="Times New Roman" w:cs="Times New Roman"/>
          <w:sz w:val="24"/>
          <w:szCs w:val="24"/>
          <w:spacing w:val="-2"/>
        </w:rPr>
        <w:t>H₂S,   </w:t>
      </w:r>
      <w:r>
        <w:rPr>
          <w:rFonts w:ascii="SimSun" w:hAnsi="SimSun" w:eastAsia="SimSun" w:cs="SimSun"/>
          <w:sz w:val="24"/>
          <w:szCs w:val="24"/>
          <w:spacing w:val="-2"/>
        </w:rPr>
        <w:t>根据</w:t>
      </w:r>
      <w:r>
        <w:rPr>
          <w:rFonts w:ascii="SimSun" w:hAnsi="SimSun" w:eastAsia="SimSun" w:cs="SimSun"/>
          <w:sz w:val="24"/>
          <w:szCs w:val="24"/>
          <w:spacing w:val="-3"/>
        </w:rPr>
        <w:t>污水处理站各池体对</w:t>
      </w:r>
      <w:r>
        <w:rPr>
          <w:rFonts w:ascii="SimSun" w:hAnsi="SimSun" w:eastAsia="SimSun" w:cs="SimSun"/>
          <w:sz w:val="24"/>
          <w:szCs w:val="24"/>
        </w:rPr>
        <w:t xml:space="preserve">   </w:t>
      </w:r>
      <w:r>
        <w:rPr>
          <w:rFonts w:ascii="Times New Roman" w:hAnsi="Times New Roman" w:eastAsia="Times New Roman" w:cs="Times New Roman"/>
          <w:sz w:val="24"/>
          <w:szCs w:val="24"/>
          <w:spacing w:val="-2"/>
        </w:rPr>
        <w:t>BODs</w:t>
      </w:r>
      <w:r>
        <w:rPr>
          <w:rFonts w:ascii="SimSun" w:hAnsi="SimSun" w:eastAsia="SimSun" w:cs="SimSun"/>
          <w:sz w:val="24"/>
          <w:szCs w:val="24"/>
          <w:spacing w:val="-2"/>
        </w:rPr>
        <w:t>的去除效率，本项目淡季污水处理站去除的</w:t>
      </w:r>
      <w:r>
        <w:rPr>
          <w:rFonts w:ascii="Times New Roman" w:hAnsi="Times New Roman" w:eastAsia="Times New Roman" w:cs="Times New Roman"/>
          <w:sz w:val="24"/>
          <w:szCs w:val="24"/>
          <w:spacing w:val="-2"/>
        </w:rPr>
        <w:t>BOD₅</w:t>
      </w:r>
      <w:r>
        <w:rPr>
          <w:rFonts w:ascii="SimSun" w:hAnsi="SimSun" w:eastAsia="SimSun" w:cs="SimSun"/>
          <w:sz w:val="24"/>
          <w:szCs w:val="24"/>
          <w:spacing w:val="-2"/>
        </w:rPr>
        <w:t>为61.5</w:t>
      </w:r>
      <w:r>
        <w:rPr>
          <w:rFonts w:ascii="Times New Roman" w:hAnsi="Times New Roman" w:eastAsia="Times New Roman" w:cs="Times New Roman"/>
          <w:sz w:val="24"/>
          <w:szCs w:val="24"/>
          <w:spacing w:val="-2"/>
        </w:rPr>
        <w:t>t/a,   </w:t>
      </w:r>
      <w:r>
        <w:rPr>
          <w:rFonts w:ascii="SimSun" w:hAnsi="SimSun" w:eastAsia="SimSun" w:cs="SimSun"/>
          <w:sz w:val="24"/>
          <w:szCs w:val="24"/>
          <w:spacing w:val="-2"/>
        </w:rPr>
        <w:t>则项目淡季污</w:t>
      </w:r>
      <w:r>
        <w:rPr>
          <w:rFonts w:ascii="SimSun" w:hAnsi="SimSun" w:eastAsia="SimSun" w:cs="SimSun"/>
          <w:sz w:val="24"/>
          <w:szCs w:val="24"/>
          <w:spacing w:val="2"/>
        </w:rPr>
        <w:t xml:space="preserve"> </w:t>
      </w:r>
      <w:r>
        <w:rPr>
          <w:rFonts w:ascii="SimSun" w:hAnsi="SimSun" w:eastAsia="SimSun" w:cs="SimSun"/>
          <w:sz w:val="24"/>
          <w:szCs w:val="24"/>
          <w:spacing w:val="-2"/>
        </w:rPr>
        <w:t>水处理站</w:t>
      </w:r>
      <w:r>
        <w:rPr>
          <w:rFonts w:ascii="Times New Roman" w:hAnsi="Times New Roman" w:eastAsia="Times New Roman" w:cs="Times New Roman"/>
          <w:sz w:val="24"/>
          <w:szCs w:val="24"/>
          <w:spacing w:val="-2"/>
        </w:rPr>
        <w:t>NH₃</w:t>
      </w:r>
      <w:r>
        <w:rPr>
          <w:rFonts w:ascii="SimSun" w:hAnsi="SimSun" w:eastAsia="SimSun" w:cs="SimSun"/>
          <w:sz w:val="24"/>
          <w:szCs w:val="24"/>
          <w:spacing w:val="-2"/>
        </w:rPr>
        <w:t>产生量为0.1908</w:t>
      </w:r>
      <w:r>
        <w:rPr>
          <w:rFonts w:ascii="Times New Roman" w:hAnsi="Times New Roman" w:eastAsia="Times New Roman" w:cs="Times New Roman"/>
          <w:sz w:val="24"/>
          <w:szCs w:val="24"/>
          <w:spacing w:val="-2"/>
        </w:rPr>
        <w:t>t/a,H₂S   </w:t>
      </w:r>
      <w:r>
        <w:rPr>
          <w:rFonts w:ascii="SimSun" w:hAnsi="SimSun" w:eastAsia="SimSun" w:cs="SimSun"/>
          <w:sz w:val="24"/>
          <w:szCs w:val="24"/>
          <w:spacing w:val="-2"/>
        </w:rPr>
        <w:t>产生量为0.007</w:t>
      </w:r>
      <w:r>
        <w:rPr>
          <w:rFonts w:ascii="SimSun" w:hAnsi="SimSun" w:eastAsia="SimSun" w:cs="SimSun"/>
          <w:sz w:val="24"/>
          <w:szCs w:val="24"/>
          <w:spacing w:val="-3"/>
        </w:rPr>
        <w:t>4</w:t>
      </w:r>
      <w:r>
        <w:rPr>
          <w:rFonts w:ascii="Times New Roman" w:hAnsi="Times New Roman" w:eastAsia="Times New Roman" w:cs="Times New Roman"/>
          <w:sz w:val="24"/>
          <w:szCs w:val="24"/>
          <w:spacing w:val="-3"/>
        </w:rPr>
        <w:t>t/a;   </w:t>
      </w:r>
      <w:r>
        <w:rPr>
          <w:rFonts w:ascii="SimSun" w:hAnsi="SimSun" w:eastAsia="SimSun" w:cs="SimSun"/>
          <w:sz w:val="24"/>
          <w:szCs w:val="24"/>
          <w:spacing w:val="-3"/>
        </w:rPr>
        <w:t>旺季污水处理站去除</w:t>
      </w:r>
      <w:r>
        <w:rPr>
          <w:rFonts w:ascii="SimSun" w:hAnsi="SimSun" w:eastAsia="SimSun" w:cs="SimSun"/>
          <w:sz w:val="24"/>
          <w:szCs w:val="24"/>
        </w:rPr>
        <w:t xml:space="preserve">  </w:t>
      </w:r>
      <w:r>
        <w:rPr>
          <w:rFonts w:ascii="SimSun" w:hAnsi="SimSun" w:eastAsia="SimSun" w:cs="SimSun"/>
          <w:sz w:val="24"/>
          <w:szCs w:val="24"/>
          <w:spacing w:val="-3"/>
        </w:rPr>
        <w:t>的BOD</w:t>
      </w:r>
      <w:r>
        <w:rPr>
          <w:rFonts w:ascii="Calibri" w:hAnsi="Calibri" w:eastAsia="Calibri" w:cs="Calibri"/>
          <w:sz w:val="24"/>
          <w:szCs w:val="24"/>
          <w:spacing w:val="-3"/>
        </w:rPr>
        <w:t>₅</w:t>
      </w:r>
      <w:r>
        <w:rPr>
          <w:rFonts w:ascii="Calibri" w:hAnsi="Calibri" w:eastAsia="Calibri" w:cs="Calibri"/>
          <w:sz w:val="24"/>
          <w:szCs w:val="24"/>
          <w:spacing w:val="18"/>
        </w:rPr>
        <w:t xml:space="preserve">  </w:t>
      </w:r>
      <w:r>
        <w:rPr>
          <w:rFonts w:ascii="SimSun" w:hAnsi="SimSun" w:eastAsia="SimSun" w:cs="SimSun"/>
          <w:sz w:val="24"/>
          <w:szCs w:val="24"/>
          <w:spacing w:val="-3"/>
        </w:rPr>
        <w:t>为29.6t/a,则项目旺季污水处理站NH</w:t>
      </w:r>
      <w:r>
        <w:rPr>
          <w:rFonts w:ascii="Calibri" w:hAnsi="Calibri" w:eastAsia="Calibri" w:cs="Calibri"/>
          <w:sz w:val="24"/>
          <w:szCs w:val="24"/>
          <w:spacing w:val="-3"/>
        </w:rPr>
        <w:t>₃  </w:t>
      </w:r>
      <w:r>
        <w:rPr>
          <w:rFonts w:ascii="SimSun" w:hAnsi="SimSun" w:eastAsia="SimSun" w:cs="SimSun"/>
          <w:sz w:val="24"/>
          <w:szCs w:val="24"/>
          <w:spacing w:val="-3"/>
        </w:rPr>
        <w:t>产生量为0.0918t/a,</w:t>
      </w:r>
      <w:r>
        <w:rPr>
          <w:rFonts w:ascii="SimSun" w:hAnsi="SimSun" w:eastAsia="SimSun" w:cs="SimSun"/>
          <w:sz w:val="24"/>
          <w:szCs w:val="24"/>
          <w:spacing w:val="-4"/>
        </w:rPr>
        <w:t>H</w:t>
      </w:r>
      <w:r>
        <w:rPr>
          <w:rFonts w:ascii="Calibri" w:hAnsi="Calibri" w:eastAsia="Calibri" w:cs="Calibri"/>
          <w:sz w:val="24"/>
          <w:szCs w:val="24"/>
          <w:spacing w:val="-4"/>
        </w:rPr>
        <w:t>₂</w:t>
      </w:r>
      <w:r>
        <w:rPr>
          <w:rFonts w:ascii="SimSun" w:hAnsi="SimSun" w:eastAsia="SimSun" w:cs="SimSun"/>
          <w:sz w:val="24"/>
          <w:szCs w:val="24"/>
          <w:spacing w:val="-4"/>
        </w:rPr>
        <w:t>S</w:t>
      </w:r>
      <w:r>
        <w:rPr>
          <w:rFonts w:ascii="SimSun" w:hAnsi="SimSun" w:eastAsia="SimSun" w:cs="SimSun"/>
          <w:sz w:val="24"/>
          <w:szCs w:val="24"/>
          <w:spacing w:val="-36"/>
        </w:rPr>
        <w:t xml:space="preserve"> </w:t>
      </w:r>
      <w:r>
        <w:rPr>
          <w:rFonts w:ascii="SimSun" w:hAnsi="SimSun" w:eastAsia="SimSun" w:cs="SimSun"/>
          <w:sz w:val="24"/>
          <w:szCs w:val="24"/>
          <w:spacing w:val="-4"/>
        </w:rPr>
        <w:t>产生量为</w:t>
      </w:r>
      <w:r>
        <w:rPr>
          <w:rFonts w:ascii="SimSun" w:hAnsi="SimSun" w:eastAsia="SimSun" w:cs="SimSun"/>
          <w:sz w:val="24"/>
          <w:szCs w:val="24"/>
        </w:rPr>
        <w:t xml:space="preserve"> </w:t>
      </w:r>
      <w:r>
        <w:rPr>
          <w:rFonts w:ascii="Times New Roman" w:hAnsi="Times New Roman" w:eastAsia="Times New Roman" w:cs="Times New Roman"/>
          <w:sz w:val="24"/>
          <w:szCs w:val="24"/>
          <w:spacing w:val="-1"/>
        </w:rPr>
        <w:t>0.0036t/a</w:t>
      </w:r>
      <w:r>
        <w:rPr>
          <w:rFonts w:ascii="SimSun" w:hAnsi="SimSun" w:eastAsia="SimSun" w:cs="SimSun"/>
          <w:sz w:val="24"/>
          <w:szCs w:val="24"/>
          <w:spacing w:val="-1"/>
        </w:rPr>
        <w:t>。</w:t>
      </w:r>
    </w:p>
    <w:p>
      <w:pPr>
        <w:ind w:left="585"/>
        <w:spacing w:before="17" w:line="219" w:lineRule="auto"/>
        <w:rPr>
          <w:rFonts w:ascii="SimSun" w:hAnsi="SimSun" w:eastAsia="SimSun" w:cs="SimSun"/>
          <w:sz w:val="24"/>
          <w:szCs w:val="24"/>
        </w:rPr>
      </w:pPr>
      <w:r>
        <w:rPr>
          <w:rFonts w:ascii="SimSun" w:hAnsi="SimSun" w:eastAsia="SimSun" w:cs="SimSun"/>
          <w:sz w:val="24"/>
          <w:szCs w:val="24"/>
          <w:spacing w:val="-3"/>
        </w:rPr>
        <w:t>综上，本项目恶臭污染物源强核算见下表。</w:t>
      </w:r>
    </w:p>
    <w:p>
      <w:pPr>
        <w:ind w:left="2108"/>
        <w:spacing w:before="173" w:line="214" w:lineRule="auto"/>
        <w:rPr>
          <w:rFonts w:ascii="SimSun" w:hAnsi="SimSun" w:eastAsia="SimSun" w:cs="SimSun"/>
          <w:sz w:val="24"/>
          <w:szCs w:val="24"/>
        </w:rPr>
      </w:pPr>
      <w:r>
        <w:rPr>
          <w:rFonts w:ascii="SimSun" w:hAnsi="SimSun" w:eastAsia="SimSun" w:cs="SimSun"/>
          <w:sz w:val="24"/>
          <w:szCs w:val="24"/>
          <w:b/>
          <w:bCs/>
          <w:spacing w:val="-3"/>
        </w:rPr>
        <w:t>表3.11-22污水处理站恶臭污染物源强核算</w:t>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964"/>
        <w:gridCol w:w="959"/>
        <w:gridCol w:w="1558"/>
        <w:gridCol w:w="1129"/>
        <w:gridCol w:w="1478"/>
        <w:gridCol w:w="1178"/>
        <w:gridCol w:w="1243"/>
      </w:tblGrid>
      <w:tr>
        <w:trPr>
          <w:trHeight w:val="243" w:hRule="atLeast"/>
        </w:trPr>
        <w:tc>
          <w:tcPr>
            <w:shd w:val="clear" w:fill="BDBDBD"/>
            <w:tcW w:w="964" w:type="dxa"/>
            <w:vAlign w:val="top"/>
            <w:vMerge w:val="restart"/>
            <w:tcBorders>
              <w:bottom w:val="nil"/>
            </w:tcBorders>
          </w:tcPr>
          <w:p>
            <w:pPr>
              <w:pStyle w:val="TableText"/>
              <w:ind w:left="157"/>
              <w:spacing w:before="161" w:line="220" w:lineRule="auto"/>
              <w:rPr>
                <w:sz w:val="21"/>
                <w:szCs w:val="21"/>
              </w:rPr>
            </w:pPr>
            <w:r>
              <w:rPr>
                <w:sz w:val="21"/>
                <w:szCs w:val="21"/>
                <w:b/>
                <w:bCs/>
                <w:spacing w:val="-5"/>
              </w:rPr>
              <w:t>污染源</w:t>
            </w:r>
          </w:p>
        </w:tc>
        <w:tc>
          <w:tcPr>
            <w:shd w:val="clear" w:fill="BDBDBD"/>
            <w:tcW w:w="959" w:type="dxa"/>
            <w:vAlign w:val="top"/>
            <w:vMerge w:val="restart"/>
            <w:tcBorders>
              <w:bottom w:val="nil"/>
            </w:tcBorders>
          </w:tcPr>
          <w:p>
            <w:pPr>
              <w:pStyle w:val="TableText"/>
              <w:ind w:left="263"/>
              <w:spacing w:before="161" w:line="220" w:lineRule="auto"/>
              <w:rPr>
                <w:sz w:val="21"/>
                <w:szCs w:val="21"/>
              </w:rPr>
            </w:pPr>
            <w:r>
              <w:rPr>
                <w:sz w:val="21"/>
                <w:szCs w:val="21"/>
                <w:b/>
                <w:bCs/>
                <w:spacing w:val="1"/>
              </w:rPr>
              <w:t>时期</w:t>
            </w:r>
          </w:p>
        </w:tc>
        <w:tc>
          <w:tcPr>
            <w:shd w:val="clear" w:fill="BDBDBD"/>
            <w:tcW w:w="2687" w:type="dxa"/>
            <w:vAlign w:val="top"/>
            <w:gridSpan w:val="2"/>
          </w:tcPr>
          <w:p>
            <w:pPr>
              <w:pStyle w:val="TableText"/>
              <w:ind w:left="1125"/>
              <w:spacing w:before="57" w:line="175" w:lineRule="exact"/>
              <w:rPr>
                <w:rFonts w:ascii="Calibri" w:hAnsi="Calibri" w:eastAsia="Calibri" w:cs="Calibri"/>
                <w:sz w:val="21"/>
                <w:szCs w:val="21"/>
              </w:rPr>
            </w:pPr>
            <w:r>
              <w:rPr>
                <w:sz w:val="21"/>
                <w:szCs w:val="21"/>
                <w:b/>
                <w:bCs/>
                <w:spacing w:val="-3"/>
                <w:position w:val="-1"/>
              </w:rPr>
              <w:t>NH</w:t>
            </w:r>
            <w:r>
              <w:rPr>
                <w:rFonts w:ascii="Calibri" w:hAnsi="Calibri" w:eastAsia="Calibri" w:cs="Calibri"/>
                <w:sz w:val="21"/>
                <w:szCs w:val="21"/>
                <w:b/>
                <w:bCs/>
                <w:spacing w:val="-3"/>
                <w:position w:val="-1"/>
              </w:rPr>
              <w:t>₃</w:t>
            </w:r>
          </w:p>
        </w:tc>
        <w:tc>
          <w:tcPr>
            <w:shd w:val="clear" w:fill="BDBDBD"/>
            <w:tcW w:w="2656" w:type="dxa"/>
            <w:vAlign w:val="top"/>
            <w:gridSpan w:val="2"/>
          </w:tcPr>
          <w:p>
            <w:pPr>
              <w:pStyle w:val="TableText"/>
              <w:ind w:left="1128"/>
              <w:spacing w:before="57" w:line="175" w:lineRule="exact"/>
              <w:rPr>
                <w:sz w:val="21"/>
                <w:szCs w:val="21"/>
              </w:rPr>
            </w:pPr>
            <w:r>
              <w:rPr>
                <w:sz w:val="21"/>
                <w:szCs w:val="21"/>
                <w:b/>
                <w:bCs/>
                <w:spacing w:val="-3"/>
                <w:position w:val="-1"/>
              </w:rPr>
              <w:t>H</w:t>
            </w:r>
            <w:r>
              <w:rPr>
                <w:rFonts w:ascii="Calibri" w:hAnsi="Calibri" w:eastAsia="Calibri" w:cs="Calibri"/>
                <w:sz w:val="21"/>
                <w:szCs w:val="21"/>
                <w:b/>
                <w:bCs/>
                <w:spacing w:val="-3"/>
                <w:position w:val="-1"/>
              </w:rPr>
              <w:t>₂</w:t>
            </w:r>
            <w:r>
              <w:rPr>
                <w:sz w:val="21"/>
                <w:szCs w:val="21"/>
                <w:b/>
                <w:bCs/>
                <w:spacing w:val="-3"/>
                <w:position w:val="-1"/>
              </w:rPr>
              <w:t>S</w:t>
            </w:r>
          </w:p>
        </w:tc>
        <w:tc>
          <w:tcPr>
            <w:shd w:val="clear" w:fill="BDBDBD"/>
            <w:tcW w:w="1243" w:type="dxa"/>
            <w:vAlign w:val="top"/>
            <w:vMerge w:val="restart"/>
            <w:tcBorders>
              <w:bottom w:val="nil"/>
            </w:tcBorders>
          </w:tcPr>
          <w:p>
            <w:pPr>
              <w:pStyle w:val="TableText"/>
              <w:ind w:left="201"/>
              <w:spacing w:before="160" w:line="219" w:lineRule="auto"/>
              <w:rPr>
                <w:sz w:val="21"/>
                <w:szCs w:val="21"/>
              </w:rPr>
            </w:pPr>
            <w:r>
              <w:rPr>
                <w:sz w:val="21"/>
                <w:szCs w:val="21"/>
                <w:b/>
                <w:bCs/>
                <w:spacing w:val="-5"/>
              </w:rPr>
              <w:t>核算方法</w:t>
            </w:r>
          </w:p>
        </w:tc>
      </w:tr>
      <w:tr>
        <w:trPr>
          <w:trHeight w:val="278" w:hRule="atLeast"/>
        </w:trPr>
        <w:tc>
          <w:tcPr>
            <w:tcW w:w="964" w:type="dxa"/>
            <w:vAlign w:val="top"/>
            <w:vMerge w:val="continue"/>
            <w:tcBorders>
              <w:top w:val="nil"/>
            </w:tcBorders>
          </w:tcPr>
          <w:p>
            <w:pPr>
              <w:rPr>
                <w:rFonts w:ascii="Arial"/>
                <w:sz w:val="21"/>
              </w:rPr>
            </w:pPr>
            <w:r/>
          </w:p>
        </w:tc>
        <w:tc>
          <w:tcPr>
            <w:tcW w:w="959" w:type="dxa"/>
            <w:vAlign w:val="top"/>
            <w:vMerge w:val="continue"/>
            <w:tcBorders>
              <w:top w:val="nil"/>
            </w:tcBorders>
          </w:tcPr>
          <w:p>
            <w:pPr>
              <w:rPr>
                <w:rFonts w:ascii="Arial"/>
                <w:sz w:val="21"/>
              </w:rPr>
            </w:pPr>
            <w:r/>
          </w:p>
        </w:tc>
        <w:tc>
          <w:tcPr>
            <w:shd w:val="clear" w:fill="BDBDBD"/>
            <w:tcW w:w="1558" w:type="dxa"/>
            <w:vAlign w:val="top"/>
          </w:tcPr>
          <w:p>
            <w:pPr>
              <w:pStyle w:val="TableText"/>
              <w:ind w:left="144"/>
              <w:spacing w:before="31" w:line="208" w:lineRule="auto"/>
              <w:rPr>
                <w:sz w:val="21"/>
                <w:szCs w:val="21"/>
              </w:rPr>
            </w:pPr>
            <w:r>
              <w:rPr>
                <w:sz w:val="21"/>
                <w:szCs w:val="21"/>
                <w:b/>
                <w:bCs/>
                <w:spacing w:val="-4"/>
              </w:rPr>
              <w:t>产生速率kg/h</w:t>
            </w:r>
          </w:p>
        </w:tc>
        <w:tc>
          <w:tcPr>
            <w:shd w:val="clear" w:fill="BDBDBD"/>
            <w:tcW w:w="1129" w:type="dxa"/>
            <w:vAlign w:val="top"/>
          </w:tcPr>
          <w:p>
            <w:pPr>
              <w:pStyle w:val="TableText"/>
              <w:ind w:left="87"/>
              <w:spacing w:before="37" w:line="203" w:lineRule="auto"/>
              <w:rPr>
                <w:sz w:val="21"/>
                <w:szCs w:val="21"/>
              </w:rPr>
            </w:pPr>
            <w:r>
              <w:rPr>
                <w:sz w:val="21"/>
                <w:szCs w:val="21"/>
                <w:b/>
                <w:bCs/>
                <w:spacing w:val="-4"/>
              </w:rPr>
              <w:t>产生量t/a</w:t>
            </w:r>
          </w:p>
        </w:tc>
        <w:tc>
          <w:tcPr>
            <w:shd w:val="clear" w:fill="BDBDBD"/>
            <w:tcW w:w="1478" w:type="dxa"/>
            <w:vAlign w:val="top"/>
          </w:tcPr>
          <w:p>
            <w:pPr>
              <w:pStyle w:val="TableText"/>
              <w:ind w:left="107"/>
              <w:spacing w:before="31" w:line="208" w:lineRule="auto"/>
              <w:rPr>
                <w:sz w:val="21"/>
                <w:szCs w:val="21"/>
              </w:rPr>
            </w:pPr>
            <w:r>
              <w:rPr>
                <w:sz w:val="21"/>
                <w:szCs w:val="21"/>
                <w:b/>
                <w:bCs/>
                <w:spacing w:val="-4"/>
              </w:rPr>
              <w:t>产生速率kg/h</w:t>
            </w:r>
          </w:p>
        </w:tc>
        <w:tc>
          <w:tcPr>
            <w:shd w:val="clear" w:fill="BDBDBD"/>
            <w:tcW w:w="1178" w:type="dxa"/>
            <w:vAlign w:val="top"/>
          </w:tcPr>
          <w:p>
            <w:pPr>
              <w:pStyle w:val="TableText"/>
              <w:ind w:left="109"/>
              <w:spacing w:before="37" w:line="203" w:lineRule="auto"/>
              <w:rPr>
                <w:sz w:val="21"/>
                <w:szCs w:val="21"/>
              </w:rPr>
            </w:pPr>
            <w:r>
              <w:rPr>
                <w:sz w:val="21"/>
                <w:szCs w:val="21"/>
                <w:b/>
                <w:bCs/>
                <w:spacing w:val="-4"/>
              </w:rPr>
              <w:t>产生量t/a</w:t>
            </w:r>
          </w:p>
        </w:tc>
        <w:tc>
          <w:tcPr>
            <w:tcW w:w="1243" w:type="dxa"/>
            <w:vAlign w:val="top"/>
            <w:vMerge w:val="continue"/>
            <w:tcBorders>
              <w:top w:val="nil"/>
            </w:tcBorders>
          </w:tcPr>
          <w:p>
            <w:pPr>
              <w:rPr>
                <w:rFonts w:ascii="Arial"/>
                <w:sz w:val="21"/>
              </w:rPr>
            </w:pPr>
            <w:r/>
          </w:p>
        </w:tc>
      </w:tr>
      <w:tr>
        <w:trPr>
          <w:trHeight w:val="268" w:hRule="atLeast"/>
        </w:trPr>
        <w:tc>
          <w:tcPr>
            <w:tcW w:w="964" w:type="dxa"/>
            <w:vAlign w:val="top"/>
            <w:vMerge w:val="restart"/>
            <w:tcBorders>
              <w:bottom w:val="nil"/>
            </w:tcBorders>
          </w:tcPr>
          <w:p>
            <w:pPr>
              <w:pStyle w:val="TableText"/>
              <w:ind w:left="264" w:right="178" w:hanging="110"/>
              <w:spacing w:before="171" w:line="253" w:lineRule="auto"/>
              <w:rPr>
                <w:sz w:val="21"/>
                <w:szCs w:val="21"/>
              </w:rPr>
            </w:pPr>
            <w:r>
              <w:rPr>
                <w:sz w:val="21"/>
                <w:szCs w:val="21"/>
                <w:spacing w:val="-4"/>
              </w:rPr>
              <w:t>污水处</w:t>
            </w:r>
            <w:r>
              <w:rPr>
                <w:sz w:val="21"/>
                <w:szCs w:val="21"/>
                <w:spacing w:val="1"/>
              </w:rPr>
              <w:t xml:space="preserve"> </w:t>
            </w:r>
            <w:r>
              <w:rPr>
                <w:sz w:val="21"/>
                <w:szCs w:val="21"/>
                <w:spacing w:val="5"/>
              </w:rPr>
              <w:t>理站</w:t>
            </w:r>
          </w:p>
        </w:tc>
        <w:tc>
          <w:tcPr>
            <w:tcW w:w="959" w:type="dxa"/>
            <w:vAlign w:val="top"/>
          </w:tcPr>
          <w:p>
            <w:pPr>
              <w:pStyle w:val="TableText"/>
              <w:ind w:left="260"/>
              <w:spacing w:before="31" w:line="199" w:lineRule="auto"/>
              <w:rPr>
                <w:sz w:val="21"/>
                <w:szCs w:val="21"/>
              </w:rPr>
            </w:pPr>
            <w:r>
              <w:rPr>
                <w:sz w:val="21"/>
                <w:szCs w:val="21"/>
                <w:color w:val="707060"/>
                <w:spacing w:val="4"/>
              </w:rPr>
              <w:t>淡季</w:t>
            </w:r>
          </w:p>
        </w:tc>
        <w:tc>
          <w:tcPr>
            <w:tcW w:w="1558" w:type="dxa"/>
            <w:vAlign w:val="top"/>
          </w:tcPr>
          <w:p>
            <w:pPr>
              <w:pStyle w:val="TableText"/>
              <w:ind w:left="451"/>
              <w:spacing w:before="53" w:line="180" w:lineRule="auto"/>
              <w:rPr>
                <w:sz w:val="21"/>
                <w:szCs w:val="21"/>
              </w:rPr>
            </w:pPr>
            <w:r>
              <w:rPr>
                <w:sz w:val="21"/>
                <w:szCs w:val="21"/>
                <w:spacing w:val="-2"/>
              </w:rPr>
              <w:t>0.0294</w:t>
            </w:r>
          </w:p>
        </w:tc>
        <w:tc>
          <w:tcPr>
            <w:tcW w:w="1129" w:type="dxa"/>
            <w:vAlign w:val="top"/>
          </w:tcPr>
          <w:p>
            <w:pPr>
              <w:pStyle w:val="TableText"/>
              <w:ind w:left="243"/>
              <w:spacing w:before="53" w:line="180" w:lineRule="auto"/>
              <w:rPr>
                <w:sz w:val="21"/>
                <w:szCs w:val="21"/>
              </w:rPr>
            </w:pPr>
            <w:r>
              <w:rPr>
                <w:sz w:val="21"/>
                <w:szCs w:val="21"/>
                <w:spacing w:val="-2"/>
              </w:rPr>
              <w:t>0.1908</w:t>
            </w:r>
          </w:p>
        </w:tc>
        <w:tc>
          <w:tcPr>
            <w:tcW w:w="1478" w:type="dxa"/>
            <w:vAlign w:val="top"/>
          </w:tcPr>
          <w:p>
            <w:pPr>
              <w:pStyle w:val="TableText"/>
              <w:ind w:left="414"/>
              <w:spacing w:before="53" w:line="180" w:lineRule="auto"/>
              <w:rPr>
                <w:sz w:val="21"/>
                <w:szCs w:val="21"/>
              </w:rPr>
            </w:pPr>
            <w:r>
              <w:rPr>
                <w:sz w:val="21"/>
                <w:szCs w:val="21"/>
                <w:spacing w:val="-2"/>
              </w:rPr>
              <w:t>0.0011</w:t>
            </w:r>
          </w:p>
        </w:tc>
        <w:tc>
          <w:tcPr>
            <w:tcW w:w="1178" w:type="dxa"/>
            <w:vAlign w:val="top"/>
          </w:tcPr>
          <w:p>
            <w:pPr>
              <w:pStyle w:val="TableText"/>
              <w:ind w:left="266"/>
              <w:spacing w:before="53" w:line="180" w:lineRule="auto"/>
              <w:rPr>
                <w:sz w:val="21"/>
                <w:szCs w:val="21"/>
              </w:rPr>
            </w:pPr>
            <w:r>
              <w:rPr>
                <w:sz w:val="21"/>
                <w:szCs w:val="21"/>
                <w:spacing w:val="-2"/>
              </w:rPr>
              <w:t>0.0074</w:t>
            </w:r>
          </w:p>
        </w:tc>
        <w:tc>
          <w:tcPr>
            <w:tcW w:w="1243" w:type="dxa"/>
            <w:vAlign w:val="top"/>
          </w:tcPr>
          <w:p>
            <w:pPr>
              <w:pStyle w:val="TableText"/>
              <w:ind w:left="89"/>
              <w:spacing w:before="32" w:line="198" w:lineRule="auto"/>
              <w:rPr>
                <w:sz w:val="21"/>
                <w:szCs w:val="21"/>
              </w:rPr>
            </w:pPr>
            <w:r>
              <w:rPr>
                <w:sz w:val="21"/>
                <w:szCs w:val="21"/>
                <w:spacing w:val="-2"/>
              </w:rPr>
              <w:t>产污系数法</w:t>
            </w:r>
          </w:p>
        </w:tc>
      </w:tr>
      <w:tr>
        <w:trPr>
          <w:trHeight w:val="278" w:hRule="atLeast"/>
        </w:trPr>
        <w:tc>
          <w:tcPr>
            <w:tcW w:w="964" w:type="dxa"/>
            <w:vAlign w:val="top"/>
            <w:vMerge w:val="continue"/>
            <w:tcBorders>
              <w:top w:val="nil"/>
              <w:bottom w:val="nil"/>
            </w:tcBorders>
          </w:tcPr>
          <w:p>
            <w:pPr>
              <w:rPr>
                <w:rFonts w:ascii="Arial"/>
                <w:sz w:val="21"/>
              </w:rPr>
            </w:pPr>
            <w:r/>
          </w:p>
        </w:tc>
        <w:tc>
          <w:tcPr>
            <w:tcW w:w="959" w:type="dxa"/>
            <w:vAlign w:val="top"/>
          </w:tcPr>
          <w:p>
            <w:pPr>
              <w:pStyle w:val="TableText"/>
              <w:ind w:left="260"/>
              <w:spacing w:before="43" w:line="197" w:lineRule="auto"/>
              <w:rPr>
                <w:sz w:val="21"/>
                <w:szCs w:val="21"/>
              </w:rPr>
            </w:pPr>
            <w:r>
              <w:rPr>
                <w:sz w:val="21"/>
                <w:szCs w:val="21"/>
                <w:color w:val="606070"/>
                <w:spacing w:val="4"/>
              </w:rPr>
              <w:t>旺季</w:t>
            </w:r>
          </w:p>
        </w:tc>
        <w:tc>
          <w:tcPr>
            <w:tcW w:w="1558" w:type="dxa"/>
            <w:vAlign w:val="top"/>
          </w:tcPr>
          <w:p>
            <w:pPr>
              <w:pStyle w:val="TableText"/>
              <w:ind w:left="451"/>
              <w:spacing w:before="65" w:line="178" w:lineRule="auto"/>
              <w:rPr>
                <w:sz w:val="21"/>
                <w:szCs w:val="21"/>
              </w:rPr>
            </w:pPr>
            <w:r>
              <w:rPr>
                <w:sz w:val="21"/>
                <w:szCs w:val="21"/>
                <w:spacing w:val="-2"/>
              </w:rPr>
              <w:t>0.0425</w:t>
            </w:r>
          </w:p>
        </w:tc>
        <w:tc>
          <w:tcPr>
            <w:tcW w:w="1129" w:type="dxa"/>
            <w:vAlign w:val="top"/>
          </w:tcPr>
          <w:p>
            <w:pPr>
              <w:pStyle w:val="TableText"/>
              <w:ind w:left="243"/>
              <w:spacing w:before="65" w:line="178" w:lineRule="auto"/>
              <w:rPr>
                <w:sz w:val="21"/>
                <w:szCs w:val="21"/>
              </w:rPr>
            </w:pPr>
            <w:r>
              <w:rPr>
                <w:sz w:val="21"/>
                <w:szCs w:val="21"/>
                <w:spacing w:val="-2"/>
              </w:rPr>
              <w:t>0.0918</w:t>
            </w:r>
          </w:p>
        </w:tc>
        <w:tc>
          <w:tcPr>
            <w:tcW w:w="1478" w:type="dxa"/>
            <w:vAlign w:val="top"/>
          </w:tcPr>
          <w:p>
            <w:pPr>
              <w:pStyle w:val="TableText"/>
              <w:ind w:left="414"/>
              <w:spacing w:before="65" w:line="178" w:lineRule="auto"/>
              <w:rPr>
                <w:sz w:val="21"/>
                <w:szCs w:val="21"/>
              </w:rPr>
            </w:pPr>
            <w:r>
              <w:rPr>
                <w:sz w:val="21"/>
                <w:szCs w:val="21"/>
                <w:spacing w:val="-2"/>
              </w:rPr>
              <w:t>0.0016</w:t>
            </w:r>
          </w:p>
        </w:tc>
        <w:tc>
          <w:tcPr>
            <w:tcW w:w="1178" w:type="dxa"/>
            <w:vAlign w:val="top"/>
          </w:tcPr>
          <w:p>
            <w:pPr>
              <w:pStyle w:val="TableText"/>
              <w:ind w:left="266"/>
              <w:spacing w:before="65" w:line="178" w:lineRule="auto"/>
              <w:rPr>
                <w:sz w:val="21"/>
                <w:szCs w:val="21"/>
              </w:rPr>
            </w:pPr>
            <w:r>
              <w:rPr>
                <w:sz w:val="21"/>
                <w:szCs w:val="21"/>
                <w:spacing w:val="-2"/>
              </w:rPr>
              <w:t>0.0036</w:t>
            </w:r>
          </w:p>
        </w:tc>
        <w:tc>
          <w:tcPr>
            <w:tcW w:w="1243" w:type="dxa"/>
            <w:vAlign w:val="top"/>
          </w:tcPr>
          <w:p>
            <w:pPr>
              <w:pStyle w:val="TableText"/>
              <w:ind w:left="89"/>
              <w:spacing w:before="43" w:line="197" w:lineRule="auto"/>
              <w:rPr>
                <w:sz w:val="21"/>
                <w:szCs w:val="21"/>
              </w:rPr>
            </w:pPr>
            <w:r>
              <w:rPr>
                <w:sz w:val="21"/>
                <w:szCs w:val="21"/>
                <w:spacing w:val="-2"/>
              </w:rPr>
              <w:t>产污系数法</w:t>
            </w:r>
          </w:p>
        </w:tc>
      </w:tr>
      <w:tr>
        <w:trPr>
          <w:trHeight w:val="272" w:hRule="atLeast"/>
        </w:trPr>
        <w:tc>
          <w:tcPr>
            <w:tcW w:w="964" w:type="dxa"/>
            <w:vAlign w:val="top"/>
            <w:vMerge w:val="continue"/>
            <w:tcBorders>
              <w:top w:val="nil"/>
            </w:tcBorders>
          </w:tcPr>
          <w:p>
            <w:pPr>
              <w:rPr>
                <w:rFonts w:ascii="Arial"/>
                <w:sz w:val="21"/>
              </w:rPr>
            </w:pPr>
            <w:r/>
          </w:p>
        </w:tc>
        <w:tc>
          <w:tcPr>
            <w:tcW w:w="959" w:type="dxa"/>
            <w:vAlign w:val="top"/>
          </w:tcPr>
          <w:p>
            <w:pPr>
              <w:pStyle w:val="TableText"/>
              <w:ind w:left="260"/>
              <w:spacing w:before="36" w:line="198" w:lineRule="auto"/>
              <w:rPr>
                <w:sz w:val="21"/>
                <w:szCs w:val="21"/>
              </w:rPr>
            </w:pPr>
            <w:r>
              <w:rPr>
                <w:sz w:val="21"/>
                <w:szCs w:val="21"/>
                <w:spacing w:val="-3"/>
              </w:rPr>
              <w:t>全年</w:t>
            </w:r>
          </w:p>
        </w:tc>
        <w:tc>
          <w:tcPr>
            <w:tcW w:w="1558" w:type="dxa"/>
            <w:vAlign w:val="top"/>
          </w:tcPr>
          <w:p>
            <w:pPr>
              <w:pStyle w:val="TableText"/>
              <w:ind w:left="711"/>
              <w:spacing w:before="42" w:line="193" w:lineRule="auto"/>
              <w:rPr>
                <w:sz w:val="21"/>
                <w:szCs w:val="21"/>
              </w:rPr>
            </w:pPr>
            <w:r>
              <w:rPr>
                <w:sz w:val="21"/>
                <w:szCs w:val="21"/>
                <w:color w:val="303040"/>
              </w:rPr>
              <w:t>/</w:t>
            </w:r>
          </w:p>
        </w:tc>
        <w:tc>
          <w:tcPr>
            <w:tcW w:w="1129" w:type="dxa"/>
            <w:vAlign w:val="top"/>
          </w:tcPr>
          <w:p>
            <w:pPr>
              <w:pStyle w:val="TableText"/>
              <w:ind w:left="243"/>
              <w:spacing w:before="57" w:line="180" w:lineRule="auto"/>
              <w:rPr>
                <w:sz w:val="21"/>
                <w:szCs w:val="21"/>
              </w:rPr>
            </w:pPr>
            <w:r>
              <w:rPr>
                <w:sz w:val="21"/>
                <w:szCs w:val="21"/>
                <w:spacing w:val="-2"/>
              </w:rPr>
              <w:t>0.2826</w:t>
            </w:r>
          </w:p>
        </w:tc>
        <w:tc>
          <w:tcPr>
            <w:tcW w:w="1478" w:type="dxa"/>
            <w:vAlign w:val="top"/>
          </w:tcPr>
          <w:p>
            <w:pPr>
              <w:pStyle w:val="TableText"/>
              <w:ind w:left="674"/>
              <w:spacing w:before="42" w:line="193" w:lineRule="auto"/>
              <w:rPr>
                <w:sz w:val="21"/>
                <w:szCs w:val="21"/>
              </w:rPr>
            </w:pPr>
            <w:r>
              <w:rPr>
                <w:sz w:val="21"/>
                <w:szCs w:val="21"/>
              </w:rPr>
              <w:t>/</w:t>
            </w:r>
          </w:p>
        </w:tc>
        <w:tc>
          <w:tcPr>
            <w:tcW w:w="1178" w:type="dxa"/>
            <w:vAlign w:val="top"/>
          </w:tcPr>
          <w:p>
            <w:pPr>
              <w:pStyle w:val="TableText"/>
              <w:ind w:left="266"/>
              <w:spacing w:before="57" w:line="180" w:lineRule="auto"/>
              <w:rPr>
                <w:sz w:val="21"/>
                <w:szCs w:val="21"/>
              </w:rPr>
            </w:pPr>
            <w:r>
              <w:rPr>
                <w:sz w:val="21"/>
                <w:szCs w:val="21"/>
                <w:color w:val="605050"/>
                <w:spacing w:val="-2"/>
              </w:rPr>
              <w:t>0.0109</w:t>
            </w:r>
          </w:p>
        </w:tc>
        <w:tc>
          <w:tcPr>
            <w:tcW w:w="1243" w:type="dxa"/>
            <w:vAlign w:val="top"/>
          </w:tcPr>
          <w:p>
            <w:pPr>
              <w:pStyle w:val="TableText"/>
              <w:ind w:left="558"/>
              <w:spacing w:before="42" w:line="193" w:lineRule="auto"/>
              <w:rPr>
                <w:sz w:val="21"/>
                <w:szCs w:val="21"/>
              </w:rPr>
            </w:pPr>
            <w:r>
              <w:rPr>
                <w:sz w:val="21"/>
                <w:szCs w:val="21"/>
                <w:color w:val="303040"/>
              </w:rPr>
              <w:t>/</w:t>
            </w:r>
          </w:p>
        </w:tc>
      </w:tr>
    </w:tbl>
    <w:p>
      <w:pPr>
        <w:ind w:left="608"/>
        <w:spacing w:before="69" w:line="217" w:lineRule="auto"/>
        <w:rPr>
          <w:rFonts w:ascii="SimSun" w:hAnsi="SimSun" w:eastAsia="SimSun" w:cs="SimSun"/>
          <w:sz w:val="24"/>
          <w:szCs w:val="24"/>
        </w:rPr>
      </w:pPr>
      <w:r>
        <w:rPr>
          <w:rFonts w:ascii="SimSun" w:hAnsi="SimSun" w:eastAsia="SimSun" w:cs="SimSun"/>
          <w:sz w:val="24"/>
          <w:szCs w:val="24"/>
          <w:b/>
          <w:bCs/>
          <w:spacing w:val="-4"/>
        </w:rPr>
        <w:t>②治理措施</w:t>
      </w:r>
    </w:p>
    <w:p>
      <w:pPr>
        <w:ind w:left="94" w:right="229" w:firstLine="490"/>
        <w:spacing w:before="186" w:line="311" w:lineRule="auto"/>
        <w:rPr>
          <w:rFonts w:ascii="SimSun" w:hAnsi="SimSun" w:eastAsia="SimSun" w:cs="SimSun"/>
          <w:sz w:val="24"/>
          <w:szCs w:val="24"/>
        </w:rPr>
      </w:pPr>
      <w:r>
        <w:rPr>
          <w:rFonts w:ascii="Times New Roman" w:hAnsi="Times New Roman" w:eastAsia="Times New Roman" w:cs="Times New Roman"/>
          <w:sz w:val="24"/>
          <w:szCs w:val="24"/>
          <w:spacing w:val="4"/>
        </w:rPr>
        <w:t>a</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4"/>
        </w:rPr>
        <w:t>、采用半地埋式污水处理站(面积300</w:t>
      </w:r>
      <w:r>
        <w:rPr>
          <w:rFonts w:ascii="Times New Roman" w:hAnsi="Times New Roman" w:eastAsia="Times New Roman" w:cs="Times New Roman"/>
          <w:sz w:val="24"/>
          <w:szCs w:val="24"/>
          <w:spacing w:val="4"/>
        </w:rPr>
        <w:t>m²),     </w:t>
      </w:r>
      <w:r>
        <w:rPr>
          <w:rFonts w:ascii="SimSun" w:hAnsi="SimSun" w:eastAsia="SimSun" w:cs="SimSun"/>
          <w:sz w:val="24"/>
          <w:szCs w:val="24"/>
          <w:spacing w:val="4"/>
        </w:rPr>
        <w:t>其中格栅池</w:t>
      </w:r>
      <w:r>
        <w:rPr>
          <w:rFonts w:ascii="SimSun" w:hAnsi="SimSun" w:eastAsia="SimSun" w:cs="SimSun"/>
          <w:sz w:val="24"/>
          <w:szCs w:val="24"/>
          <w:spacing w:val="3"/>
        </w:rPr>
        <w:t>、调节池为地下</w:t>
      </w:r>
      <w:r>
        <w:rPr>
          <w:rFonts w:ascii="SimSun" w:hAnsi="SimSun" w:eastAsia="SimSun" w:cs="SimSun"/>
          <w:sz w:val="24"/>
          <w:szCs w:val="24"/>
        </w:rPr>
        <w:t xml:space="preserve"> </w:t>
      </w:r>
      <w:r>
        <w:rPr>
          <w:rFonts w:ascii="SimSun" w:hAnsi="SimSun" w:eastAsia="SimSun" w:cs="SimSun"/>
          <w:sz w:val="24"/>
          <w:szCs w:val="24"/>
          <w:spacing w:val="4"/>
        </w:rPr>
        <w:t>池体。对格栅池、调节池、曝气池(换气次数50</w:t>
      </w:r>
      <w:r>
        <w:rPr>
          <w:rFonts w:ascii="Times New Roman" w:hAnsi="Times New Roman" w:eastAsia="Times New Roman" w:cs="Times New Roman"/>
          <w:sz w:val="24"/>
          <w:szCs w:val="24"/>
          <w:spacing w:val="4"/>
        </w:rPr>
        <w:t>m³</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min</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3"/>
        </w:rPr>
        <w:t>、 沉淀池、污泥处理</w:t>
      </w:r>
      <w:r>
        <w:rPr>
          <w:rFonts w:ascii="SimSun" w:hAnsi="SimSun" w:eastAsia="SimSun" w:cs="SimSun"/>
          <w:sz w:val="24"/>
          <w:szCs w:val="24"/>
        </w:rPr>
        <w:t xml:space="preserve"> </w:t>
      </w:r>
      <w:r>
        <w:rPr>
          <w:rFonts w:ascii="SimSun" w:hAnsi="SimSun" w:eastAsia="SimSun" w:cs="SimSun"/>
          <w:sz w:val="24"/>
          <w:szCs w:val="24"/>
          <w:spacing w:val="-5"/>
        </w:rPr>
        <w:t>单元等产臭单元均加盖密闭；</w:t>
      </w:r>
    </w:p>
    <w:p>
      <w:pPr>
        <w:spacing w:line="311" w:lineRule="auto"/>
        <w:sectPr>
          <w:headerReference w:type="default" r:id="rId320"/>
          <w:footerReference w:type="default" r:id="rId321"/>
          <w:pgSz w:w="11910" w:h="16840"/>
          <w:pgMar w:top="1207" w:right="1715" w:bottom="962" w:left="1675" w:header="915" w:footer="777" w:gutter="0"/>
        </w:sectPr>
        <w:rPr>
          <w:rFonts w:ascii="SimSun" w:hAnsi="SimSun" w:eastAsia="SimSun" w:cs="SimSun"/>
          <w:sz w:val="24"/>
          <w:szCs w:val="24"/>
        </w:rPr>
      </w:pPr>
    </w:p>
    <w:p>
      <w:pPr>
        <w:ind w:left="84" w:right="125" w:firstLine="480"/>
        <w:spacing w:before="280" w:line="365" w:lineRule="auto"/>
        <w:rPr>
          <w:rFonts w:ascii="SimSun" w:hAnsi="SimSun" w:eastAsia="SimSun" w:cs="SimSun"/>
          <w:sz w:val="23"/>
          <w:szCs w:val="23"/>
        </w:rPr>
      </w:pPr>
      <w:r>
        <w:rPr>
          <w:rFonts w:ascii="Times New Roman" w:hAnsi="Times New Roman" w:eastAsia="Times New Roman" w:cs="Times New Roman"/>
          <w:sz w:val="23"/>
          <w:szCs w:val="23"/>
          <w:spacing w:val="10"/>
        </w:rPr>
        <w:t>b</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10"/>
        </w:rPr>
        <w:t>、污水处理站内污泥脱水间封闭式设计，污泥及时清运，减少污泥在</w:t>
      </w:r>
      <w:r>
        <w:rPr>
          <w:rFonts w:ascii="SimSun" w:hAnsi="SimSun" w:eastAsia="SimSun" w:cs="SimSun"/>
          <w:sz w:val="23"/>
          <w:szCs w:val="23"/>
          <w:spacing w:val="9"/>
        </w:rPr>
        <w:t>厂区</w:t>
      </w:r>
      <w:r>
        <w:rPr>
          <w:rFonts w:ascii="SimSun" w:hAnsi="SimSun" w:eastAsia="SimSun" w:cs="SimSun"/>
          <w:sz w:val="23"/>
          <w:szCs w:val="23"/>
        </w:rPr>
        <w:t xml:space="preserve"> </w:t>
      </w:r>
      <w:r>
        <w:rPr>
          <w:rFonts w:ascii="SimSun" w:hAnsi="SimSun" w:eastAsia="SimSun" w:cs="SimSun"/>
          <w:sz w:val="23"/>
          <w:szCs w:val="23"/>
          <w:spacing w:val="8"/>
        </w:rPr>
        <w:t>内的堆存量和堆存时间，降低臭气对厂区周围环境的影响；</w:t>
      </w:r>
    </w:p>
    <w:p>
      <w:pPr>
        <w:ind w:left="214" w:right="656" w:firstLine="350"/>
        <w:spacing w:before="3" w:line="297" w:lineRule="auto"/>
        <w:rPr>
          <w:rFonts w:ascii="SimSun" w:hAnsi="SimSun" w:eastAsia="SimSun" w:cs="SimSun"/>
          <w:sz w:val="25"/>
          <w:szCs w:val="25"/>
        </w:rPr>
      </w:pPr>
      <w:r>
        <w:rPr>
          <w:rFonts w:ascii="Times New Roman" w:hAnsi="Times New Roman" w:eastAsia="Times New Roman" w:cs="Times New Roman"/>
          <w:sz w:val="25"/>
          <w:szCs w:val="25"/>
          <w:spacing w:val="-9"/>
        </w:rPr>
        <w:t>c</w:t>
      </w:r>
      <w:r>
        <w:rPr>
          <w:rFonts w:ascii="SimSun" w:hAnsi="SimSun" w:eastAsia="SimSun" w:cs="SimSun"/>
          <w:sz w:val="25"/>
          <w:szCs w:val="25"/>
          <w:spacing w:val="-9"/>
        </w:rPr>
        <w:t>、对污水处理站内各产臭单元分别采取负压抽风</w:t>
      </w:r>
      <w:r>
        <w:rPr>
          <w:rFonts w:ascii="SimSun" w:hAnsi="SimSun" w:eastAsia="SimSun" w:cs="SimSun"/>
          <w:sz w:val="25"/>
          <w:szCs w:val="25"/>
          <w:spacing w:val="-10"/>
        </w:rPr>
        <w:t>系统，设置1台风机</w:t>
      </w:r>
      <w:r>
        <w:rPr>
          <w:rFonts w:ascii="SimSun" w:hAnsi="SimSun" w:eastAsia="SimSun" w:cs="SimSun"/>
          <w:sz w:val="25"/>
          <w:szCs w:val="25"/>
        </w:rPr>
        <w:t xml:space="preserve"> </w:t>
      </w:r>
      <w:r>
        <w:rPr>
          <w:rFonts w:ascii="Times New Roman" w:hAnsi="Times New Roman" w:eastAsia="Times New Roman" w:cs="Times New Roman"/>
          <w:sz w:val="25"/>
          <w:szCs w:val="25"/>
          <w:spacing w:val="-5"/>
        </w:rPr>
        <w:t>(5000m³/h),     </w:t>
      </w:r>
      <w:r>
        <w:rPr>
          <w:rFonts w:ascii="SimSun" w:hAnsi="SimSun" w:eastAsia="SimSun" w:cs="SimSun"/>
          <w:sz w:val="25"/>
          <w:szCs w:val="25"/>
          <w:spacing w:val="-5"/>
        </w:rPr>
        <w:t>恶臭气体经负压收集后通过喷淋+</w:t>
      </w:r>
      <w:r>
        <w:rPr>
          <w:rFonts w:ascii="Times New Roman" w:hAnsi="Times New Roman" w:eastAsia="Times New Roman" w:cs="Times New Roman"/>
          <w:sz w:val="25"/>
          <w:szCs w:val="25"/>
          <w:spacing w:val="-5"/>
        </w:rPr>
        <w:t>UV</w:t>
      </w:r>
      <w:r>
        <w:rPr>
          <w:rFonts w:ascii="SimSun" w:hAnsi="SimSun" w:eastAsia="SimSun" w:cs="SimSun"/>
          <w:sz w:val="25"/>
          <w:szCs w:val="25"/>
          <w:spacing w:val="-5"/>
        </w:rPr>
        <w:t>光解+活性炭</w:t>
      </w:r>
      <w:r>
        <w:rPr>
          <w:rFonts w:ascii="SimSun" w:hAnsi="SimSun" w:eastAsia="SimSun" w:cs="SimSun"/>
          <w:sz w:val="25"/>
          <w:szCs w:val="25"/>
          <w:spacing w:val="-6"/>
        </w:rPr>
        <w:t>吸附装置</w:t>
      </w:r>
      <w:r>
        <w:rPr>
          <w:rFonts w:ascii="SimSun" w:hAnsi="SimSun" w:eastAsia="SimSun" w:cs="SimSun"/>
          <w:sz w:val="25"/>
          <w:szCs w:val="25"/>
        </w:rPr>
        <w:t xml:space="preserve"> </w:t>
      </w:r>
      <w:r>
        <w:rPr>
          <w:rFonts w:ascii="SimSun" w:hAnsi="SimSun" w:eastAsia="SimSun" w:cs="SimSun"/>
          <w:sz w:val="25"/>
          <w:szCs w:val="25"/>
          <w:spacing w:val="7"/>
        </w:rPr>
        <w:t>(</w:t>
      </w:r>
      <w:r>
        <w:rPr>
          <w:rFonts w:ascii="SimSun" w:hAnsi="SimSun" w:eastAsia="SimSun" w:cs="SimSun"/>
          <w:sz w:val="25"/>
          <w:szCs w:val="25"/>
        </w:rPr>
        <w:t>TA</w:t>
      </w:r>
      <w:r>
        <w:rPr>
          <w:rFonts w:ascii="SimSun" w:hAnsi="SimSun" w:eastAsia="SimSun" w:cs="SimSun"/>
          <w:sz w:val="25"/>
          <w:szCs w:val="25"/>
          <w:spacing w:val="7"/>
        </w:rPr>
        <w:t>004)</w:t>
      </w:r>
      <w:r>
        <w:rPr>
          <w:rFonts w:ascii="SimSun" w:hAnsi="SimSun" w:eastAsia="SimSun" w:cs="SimSun"/>
          <w:sz w:val="25"/>
          <w:szCs w:val="25"/>
          <w:spacing w:val="84"/>
        </w:rPr>
        <w:t xml:space="preserve"> </w:t>
      </w:r>
      <w:r>
        <w:rPr>
          <w:rFonts w:ascii="SimSun" w:hAnsi="SimSun" w:eastAsia="SimSun" w:cs="SimSun"/>
          <w:sz w:val="25"/>
          <w:szCs w:val="25"/>
          <w:spacing w:val="7"/>
        </w:rPr>
        <w:t>处理(收集效率95%、处置效率为95</w:t>
      </w:r>
      <w:r>
        <w:rPr>
          <w:rFonts w:ascii="SimSun" w:hAnsi="SimSun" w:eastAsia="SimSun" w:cs="SimSun"/>
          <w:sz w:val="25"/>
          <w:szCs w:val="25"/>
          <w:spacing w:val="6"/>
        </w:rPr>
        <w:t>%),再经15m</w:t>
      </w:r>
      <w:r>
        <w:rPr>
          <w:rFonts w:ascii="SimSun" w:hAnsi="SimSun" w:eastAsia="SimSun" w:cs="SimSun"/>
          <w:sz w:val="25"/>
          <w:szCs w:val="25"/>
          <w:spacing w:val="-57"/>
        </w:rPr>
        <w:t xml:space="preserve"> </w:t>
      </w:r>
      <w:r>
        <w:rPr>
          <w:rFonts w:ascii="SimSun" w:hAnsi="SimSun" w:eastAsia="SimSun" w:cs="SimSun"/>
          <w:sz w:val="25"/>
          <w:szCs w:val="25"/>
          <w:spacing w:val="6"/>
        </w:rPr>
        <w:t>高排气筒</w:t>
      </w:r>
    </w:p>
    <w:p>
      <w:pPr>
        <w:ind w:left="214"/>
        <w:spacing w:before="171" w:line="220" w:lineRule="auto"/>
        <w:rPr>
          <w:rFonts w:ascii="SimSun" w:hAnsi="SimSun" w:eastAsia="SimSun" w:cs="SimSun"/>
          <w:sz w:val="25"/>
          <w:szCs w:val="25"/>
        </w:rPr>
      </w:pPr>
      <w:r>
        <w:rPr>
          <w:rFonts w:ascii="SimSun" w:hAnsi="SimSun" w:eastAsia="SimSun" w:cs="SimSun"/>
          <w:sz w:val="25"/>
          <w:szCs w:val="25"/>
          <w:spacing w:val="-8"/>
        </w:rPr>
        <w:t>(DA004)</w:t>
      </w:r>
      <w:r>
        <w:rPr>
          <w:rFonts w:ascii="SimSun" w:hAnsi="SimSun" w:eastAsia="SimSun" w:cs="SimSun"/>
          <w:sz w:val="25"/>
          <w:szCs w:val="25"/>
          <w:spacing w:val="98"/>
        </w:rPr>
        <w:t xml:space="preserve"> </w:t>
      </w:r>
      <w:r>
        <w:rPr>
          <w:rFonts w:ascii="SimSun" w:hAnsi="SimSun" w:eastAsia="SimSun" w:cs="SimSun"/>
          <w:sz w:val="25"/>
          <w:szCs w:val="25"/>
          <w:spacing w:val="-8"/>
        </w:rPr>
        <w:t>达标排放。</w:t>
      </w:r>
    </w:p>
    <w:p>
      <w:pPr>
        <w:ind w:left="565"/>
        <w:spacing w:before="220" w:line="219" w:lineRule="auto"/>
        <w:rPr>
          <w:rFonts w:ascii="SimSun" w:hAnsi="SimSun" w:eastAsia="SimSun" w:cs="SimSun"/>
          <w:sz w:val="23"/>
          <w:szCs w:val="23"/>
        </w:rPr>
      </w:pPr>
      <w:r>
        <w:rPr>
          <w:rFonts w:ascii="SimSun" w:hAnsi="SimSun" w:eastAsia="SimSun" w:cs="SimSun"/>
          <w:sz w:val="23"/>
          <w:szCs w:val="23"/>
          <w:spacing w:val="10"/>
        </w:rPr>
        <w:t>d、同时加强厂区绿化，在污水处理站的周围</w:t>
      </w:r>
      <w:r>
        <w:rPr>
          <w:rFonts w:ascii="SimSun" w:hAnsi="SimSun" w:eastAsia="SimSun" w:cs="SimSun"/>
          <w:sz w:val="23"/>
          <w:szCs w:val="23"/>
          <w:spacing w:val="9"/>
        </w:rPr>
        <w:t>种植高大乔木绿化隔离带。</w:t>
      </w:r>
    </w:p>
    <w:p>
      <w:pPr>
        <w:ind w:left="568"/>
        <w:spacing w:before="171" w:line="217" w:lineRule="auto"/>
        <w:rPr>
          <w:rFonts w:ascii="SimSun" w:hAnsi="SimSun" w:eastAsia="SimSun" w:cs="SimSun"/>
          <w:sz w:val="23"/>
          <w:szCs w:val="23"/>
        </w:rPr>
      </w:pPr>
      <w:r>
        <w:rPr>
          <w:rFonts w:ascii="SimSun" w:hAnsi="SimSun" w:eastAsia="SimSun" w:cs="SimSun"/>
          <w:sz w:val="23"/>
          <w:szCs w:val="23"/>
          <w:b/>
          <w:bCs/>
          <w:spacing w:val="12"/>
        </w:rPr>
        <w:t>③排放情况</w:t>
      </w:r>
    </w:p>
    <w:p>
      <w:pPr>
        <w:ind w:left="84" w:right="285" w:firstLine="480"/>
        <w:spacing w:before="236" w:line="347" w:lineRule="auto"/>
        <w:jc w:val="both"/>
        <w:rPr>
          <w:rFonts w:ascii="SimSun" w:hAnsi="SimSun" w:eastAsia="SimSun" w:cs="SimSun"/>
          <w:sz w:val="23"/>
          <w:szCs w:val="23"/>
        </w:rPr>
      </w:pPr>
      <w:r>
        <w:rPr>
          <w:rFonts w:ascii="SimSun" w:hAnsi="SimSun" w:eastAsia="SimSun" w:cs="SimSun"/>
          <w:sz w:val="23"/>
          <w:szCs w:val="23"/>
          <w:spacing w:val="13"/>
        </w:rPr>
        <w:t>污水处理站恶臭经集中收集处理后，</w:t>
      </w:r>
      <w:r>
        <w:rPr>
          <w:rFonts w:ascii="SimSun" w:hAnsi="SimSun" w:eastAsia="SimSun" w:cs="SimSun"/>
          <w:sz w:val="23"/>
          <w:szCs w:val="23"/>
          <w:spacing w:val="-5"/>
        </w:rPr>
        <w:t xml:space="preserve"> </w:t>
      </w:r>
      <w:r>
        <w:rPr>
          <w:rFonts w:ascii="Times New Roman" w:hAnsi="Times New Roman" w:eastAsia="Times New Roman" w:cs="Times New Roman"/>
          <w:sz w:val="23"/>
          <w:szCs w:val="23"/>
        </w:rPr>
        <w:t>NH</w:t>
      </w:r>
      <w:r>
        <w:rPr>
          <w:rFonts w:ascii="Times New Roman" w:hAnsi="Times New Roman" w:eastAsia="Times New Roman" w:cs="Times New Roman"/>
          <w:sz w:val="23"/>
          <w:szCs w:val="23"/>
          <w:spacing w:val="13"/>
        </w:rPr>
        <w:t>₃</w:t>
      </w:r>
      <w:r>
        <w:rPr>
          <w:rFonts w:ascii="Times New Roman" w:hAnsi="Times New Roman" w:eastAsia="Times New Roman" w:cs="Times New Roman"/>
          <w:sz w:val="23"/>
          <w:szCs w:val="23"/>
          <w:spacing w:val="-11"/>
        </w:rPr>
        <w:t xml:space="preserve"> </w:t>
      </w:r>
      <w:r>
        <w:rPr>
          <w:rFonts w:ascii="SimSun" w:hAnsi="SimSun" w:eastAsia="SimSun" w:cs="SimSun"/>
          <w:sz w:val="23"/>
          <w:szCs w:val="23"/>
          <w:spacing w:val="13"/>
        </w:rPr>
        <w:t>有组织最大排放浓度(旺季)为</w:t>
      </w:r>
      <w:r>
        <w:rPr>
          <w:rFonts w:ascii="SimSun" w:hAnsi="SimSun" w:eastAsia="SimSun" w:cs="SimSun"/>
          <w:sz w:val="23"/>
          <w:szCs w:val="23"/>
        </w:rPr>
        <w:t xml:space="preserve"> </w:t>
      </w:r>
      <w:r>
        <w:rPr>
          <w:rFonts w:ascii="Times New Roman" w:hAnsi="Times New Roman" w:eastAsia="Times New Roman" w:cs="Times New Roman"/>
          <w:sz w:val="23"/>
          <w:szCs w:val="23"/>
          <w:spacing w:val="10"/>
        </w:rPr>
        <w:t>0.4</w:t>
      </w:r>
      <w:r>
        <w:rPr>
          <w:rFonts w:ascii="Times New Roman" w:hAnsi="Times New Roman" w:eastAsia="Times New Roman" w:cs="Times New Roman"/>
          <w:sz w:val="23"/>
          <w:szCs w:val="23"/>
        </w:rPr>
        <w:t>mg</w:t>
      </w:r>
      <w:r>
        <w:rPr>
          <w:rFonts w:ascii="Times New Roman" w:hAnsi="Times New Roman" w:eastAsia="Times New Roman" w:cs="Times New Roman"/>
          <w:sz w:val="23"/>
          <w:szCs w:val="23"/>
          <w:spacing w:val="10"/>
        </w:rPr>
        <w:t>/m³</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10"/>
        </w:rPr>
        <w:t>、</w:t>
      </w:r>
      <w:r>
        <w:rPr>
          <w:rFonts w:ascii="Times New Roman" w:hAnsi="Times New Roman" w:eastAsia="Times New Roman" w:cs="Times New Roman"/>
          <w:sz w:val="23"/>
          <w:szCs w:val="23"/>
          <w:spacing w:val="10"/>
        </w:rPr>
        <w:t>H₂S</w:t>
      </w:r>
      <w:r>
        <w:rPr>
          <w:rFonts w:ascii="Times New Roman" w:hAnsi="Times New Roman" w:eastAsia="Times New Roman" w:cs="Times New Roman"/>
          <w:sz w:val="23"/>
          <w:szCs w:val="23"/>
          <w:spacing w:val="36"/>
        </w:rPr>
        <w:t xml:space="preserve"> </w:t>
      </w:r>
      <w:r>
        <w:rPr>
          <w:rFonts w:ascii="SimSun" w:hAnsi="SimSun" w:eastAsia="SimSun" w:cs="SimSun"/>
          <w:sz w:val="23"/>
          <w:szCs w:val="23"/>
          <w:spacing w:val="10"/>
        </w:rPr>
        <w:t>有组织最大排放浓度(旺季)为0.02</w:t>
      </w:r>
      <w:r>
        <w:rPr>
          <w:rFonts w:ascii="Times New Roman" w:hAnsi="Times New Roman" w:eastAsia="Times New Roman" w:cs="Times New Roman"/>
          <w:sz w:val="23"/>
          <w:szCs w:val="23"/>
        </w:rPr>
        <w:t>mg</w:t>
      </w:r>
      <w:r>
        <w:rPr>
          <w:rFonts w:ascii="Times New Roman" w:hAnsi="Times New Roman" w:eastAsia="Times New Roman" w:cs="Times New Roman"/>
          <w:sz w:val="23"/>
          <w:szCs w:val="23"/>
          <w:spacing w:val="10"/>
        </w:rPr>
        <w:t>/m³</w:t>
      </w:r>
      <w:r>
        <w:rPr>
          <w:rFonts w:ascii="Times New Roman" w:hAnsi="Times New Roman" w:eastAsia="Times New Roman" w:cs="Times New Roman"/>
          <w:sz w:val="23"/>
          <w:szCs w:val="23"/>
          <w:spacing w:val="9"/>
        </w:rPr>
        <w:t>,   </w:t>
      </w:r>
      <w:r>
        <w:rPr>
          <w:rFonts w:ascii="SimSun" w:hAnsi="SimSun" w:eastAsia="SimSun" w:cs="SimSun"/>
          <w:sz w:val="23"/>
          <w:szCs w:val="23"/>
          <w:spacing w:val="9"/>
        </w:rPr>
        <w:t>可满足《恶臭污染</w:t>
      </w:r>
      <w:r>
        <w:rPr>
          <w:rFonts w:ascii="SimSun" w:hAnsi="SimSun" w:eastAsia="SimSun" w:cs="SimSun"/>
          <w:sz w:val="23"/>
          <w:szCs w:val="23"/>
        </w:rPr>
        <w:t xml:space="preserve"> </w:t>
      </w:r>
      <w:r>
        <w:rPr>
          <w:rFonts w:ascii="SimSun" w:hAnsi="SimSun" w:eastAsia="SimSun" w:cs="SimSun"/>
          <w:sz w:val="23"/>
          <w:szCs w:val="23"/>
          <w:spacing w:val="2"/>
        </w:rPr>
        <w:t>物排放标准》</w:t>
      </w:r>
      <w:r>
        <w:rPr>
          <w:rFonts w:ascii="SimSun" w:hAnsi="SimSun" w:eastAsia="SimSun" w:cs="SimSun"/>
          <w:sz w:val="23"/>
          <w:szCs w:val="23"/>
          <w:spacing w:val="45"/>
        </w:rPr>
        <w:t xml:space="preserve"> </w:t>
      </w:r>
      <w:r>
        <w:rPr>
          <w:rFonts w:ascii="Times New Roman" w:hAnsi="Times New Roman" w:eastAsia="Times New Roman" w:cs="Times New Roman"/>
          <w:sz w:val="23"/>
          <w:szCs w:val="23"/>
          <w:spacing w:val="2"/>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2"/>
        </w:rPr>
        <w:t>14554-1993)     </w:t>
      </w:r>
      <w:r>
        <w:rPr>
          <w:rFonts w:ascii="SimSun" w:hAnsi="SimSun" w:eastAsia="SimSun" w:cs="SimSun"/>
          <w:sz w:val="23"/>
          <w:szCs w:val="23"/>
          <w:spacing w:val="2"/>
        </w:rPr>
        <w:t>中</w:t>
      </w:r>
      <w:r>
        <w:rPr>
          <w:rFonts w:ascii="SimSun" w:hAnsi="SimSun" w:eastAsia="SimSun" w:cs="SimSun"/>
          <w:sz w:val="23"/>
          <w:szCs w:val="23"/>
          <w:spacing w:val="1"/>
        </w:rPr>
        <w:t>表2相应排放标准。</w:t>
      </w:r>
    </w:p>
    <w:p>
      <w:pPr>
        <w:ind w:left="84" w:right="216" w:firstLine="480"/>
        <w:spacing w:before="81" w:line="366" w:lineRule="auto"/>
        <w:rPr>
          <w:rFonts w:ascii="SimSun" w:hAnsi="SimSun" w:eastAsia="SimSun" w:cs="SimSun"/>
          <w:sz w:val="23"/>
          <w:szCs w:val="23"/>
        </w:rPr>
      </w:pPr>
      <w:r>
        <w:rPr>
          <w:rFonts w:ascii="SimSun" w:hAnsi="SimSun" w:eastAsia="SimSun" w:cs="SimSun"/>
          <w:sz w:val="23"/>
          <w:szCs w:val="23"/>
          <w:spacing w:val="11"/>
        </w:rPr>
        <w:t>经采取以上措施后，污水处理站恶臭有5%未收集，本项目污水处理站各臭</w:t>
      </w:r>
      <w:r>
        <w:rPr>
          <w:rFonts w:ascii="SimSun" w:hAnsi="SimSun" w:eastAsia="SimSun" w:cs="SimSun"/>
          <w:sz w:val="23"/>
          <w:szCs w:val="23"/>
          <w:spacing w:val="14"/>
        </w:rPr>
        <w:t xml:space="preserve"> </w:t>
      </w:r>
      <w:r>
        <w:rPr>
          <w:rFonts w:ascii="SimSun" w:hAnsi="SimSun" w:eastAsia="SimSun" w:cs="SimSun"/>
          <w:sz w:val="23"/>
          <w:szCs w:val="23"/>
          <w:spacing w:val="9"/>
        </w:rPr>
        <w:t>气排放设施均加盖密封，定期喷洒微生物除臭剂，喷洒微生物除臭剂对</w:t>
      </w:r>
      <w:r>
        <w:rPr>
          <w:rFonts w:ascii="Times New Roman" w:hAnsi="Times New Roman" w:eastAsia="Times New Roman" w:cs="Times New Roman"/>
          <w:sz w:val="23"/>
          <w:szCs w:val="23"/>
        </w:rPr>
        <w:t>NH</w:t>
      </w:r>
      <w:r>
        <w:rPr>
          <w:rFonts w:ascii="Times New Roman" w:hAnsi="Times New Roman" w:eastAsia="Times New Roman" w:cs="Times New Roman"/>
          <w:sz w:val="23"/>
          <w:szCs w:val="23"/>
          <w:spacing w:val="9"/>
        </w:rPr>
        <w:t>₃</w:t>
      </w:r>
      <w:r>
        <w:rPr>
          <w:rFonts w:ascii="SimSun" w:hAnsi="SimSun" w:eastAsia="SimSun" w:cs="SimSun"/>
          <w:sz w:val="23"/>
          <w:szCs w:val="23"/>
          <w:spacing w:val="9"/>
        </w:rPr>
        <w:t>和</w:t>
      </w:r>
      <w:r>
        <w:rPr>
          <w:rFonts w:ascii="SimSun" w:hAnsi="SimSun" w:eastAsia="SimSun" w:cs="SimSun"/>
          <w:sz w:val="23"/>
          <w:szCs w:val="23"/>
          <w:spacing w:val="5"/>
        </w:rPr>
        <w:t xml:space="preserve">  </w:t>
      </w:r>
      <w:r>
        <w:rPr>
          <w:rFonts w:ascii="Times New Roman" w:hAnsi="Times New Roman" w:eastAsia="Times New Roman" w:cs="Times New Roman"/>
          <w:sz w:val="23"/>
          <w:szCs w:val="23"/>
          <w:spacing w:val="11"/>
        </w:rPr>
        <w:t>H₂S</w:t>
      </w:r>
      <w:r>
        <w:rPr>
          <w:rFonts w:ascii="SimSun" w:hAnsi="SimSun" w:eastAsia="SimSun" w:cs="SimSun"/>
          <w:sz w:val="23"/>
          <w:szCs w:val="23"/>
          <w:spacing w:val="11"/>
        </w:rPr>
        <w:t>的去除效率保守取50%计，污水处理恶臭产生及排放情况见下表。</w:t>
      </w:r>
    </w:p>
    <w:p>
      <w:pPr>
        <w:ind w:left="1728"/>
        <w:spacing w:before="1" w:line="214" w:lineRule="auto"/>
        <w:rPr>
          <w:rFonts w:ascii="SimSun" w:hAnsi="SimSun" w:eastAsia="SimSun" w:cs="SimSun"/>
          <w:sz w:val="24"/>
          <w:szCs w:val="24"/>
        </w:rPr>
      </w:pPr>
      <w:r>
        <w:rPr>
          <w:rFonts w:ascii="SimSun" w:hAnsi="SimSun" w:eastAsia="SimSun" w:cs="SimSun"/>
          <w:sz w:val="24"/>
          <w:szCs w:val="24"/>
          <w:b/>
          <w:bCs/>
          <w:spacing w:val="-3"/>
        </w:rPr>
        <w:t>表3.11-23污水处理站恶臭产生及排放情况一览表</w:t>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34"/>
        <w:gridCol w:w="479"/>
        <w:gridCol w:w="699"/>
        <w:gridCol w:w="619"/>
        <w:gridCol w:w="1918"/>
        <w:gridCol w:w="1079"/>
        <w:gridCol w:w="1089"/>
        <w:gridCol w:w="699"/>
        <w:gridCol w:w="619"/>
        <w:gridCol w:w="874"/>
      </w:tblGrid>
      <w:tr>
        <w:trPr>
          <w:trHeight w:val="564" w:hRule="atLeast"/>
        </w:trPr>
        <w:tc>
          <w:tcPr>
            <w:shd w:val="clear" w:fill="BEBEBE"/>
            <w:tcW w:w="434" w:type="dxa"/>
            <w:vAlign w:val="top"/>
          </w:tcPr>
          <w:p>
            <w:pPr>
              <w:pStyle w:val="TableText"/>
              <w:spacing w:before="181" w:line="220" w:lineRule="auto"/>
              <w:jc w:val="right"/>
              <w:rPr>
                <w:sz w:val="21"/>
                <w:szCs w:val="21"/>
              </w:rPr>
            </w:pPr>
            <w:r>
              <w:rPr>
                <w:sz w:val="21"/>
                <w:szCs w:val="21"/>
                <w:b/>
                <w:bCs/>
                <w:spacing w:val="-12"/>
              </w:rPr>
              <w:t>时期</w:t>
            </w:r>
          </w:p>
        </w:tc>
        <w:tc>
          <w:tcPr>
            <w:shd w:val="clear" w:fill="BDBDBD"/>
            <w:tcW w:w="479" w:type="dxa"/>
            <w:vAlign w:val="top"/>
          </w:tcPr>
          <w:p>
            <w:pPr>
              <w:pStyle w:val="TableText"/>
              <w:ind w:left="123" w:right="34" w:hanging="100"/>
              <w:spacing w:before="10" w:line="239" w:lineRule="auto"/>
              <w:rPr>
                <w:sz w:val="21"/>
                <w:szCs w:val="21"/>
              </w:rPr>
            </w:pPr>
            <w:r>
              <w:rPr>
                <w:sz w:val="21"/>
                <w:szCs w:val="21"/>
                <w:b/>
                <w:bCs/>
                <w:spacing w:val="-8"/>
              </w:rPr>
              <w:t>污染</w:t>
            </w:r>
            <w:r>
              <w:rPr>
                <w:sz w:val="21"/>
                <w:szCs w:val="21"/>
              </w:rPr>
              <w:t xml:space="preserve"> </w:t>
            </w:r>
            <w:r>
              <w:rPr>
                <w:sz w:val="21"/>
                <w:szCs w:val="21"/>
                <w:b/>
                <w:bCs/>
                <w:spacing w:val="-3"/>
              </w:rPr>
              <w:t>物</w:t>
            </w:r>
          </w:p>
        </w:tc>
        <w:tc>
          <w:tcPr>
            <w:shd w:val="clear" w:fill="BDBDBD"/>
            <w:tcW w:w="699" w:type="dxa"/>
            <w:vAlign w:val="top"/>
          </w:tcPr>
          <w:p>
            <w:pPr>
              <w:pStyle w:val="TableText"/>
              <w:ind w:left="14" w:right="42" w:firstLine="10"/>
              <w:spacing w:before="30" w:line="214" w:lineRule="auto"/>
              <w:rPr>
                <w:sz w:val="21"/>
                <w:szCs w:val="21"/>
              </w:rPr>
            </w:pPr>
            <w:r>
              <w:rPr>
                <w:sz w:val="21"/>
                <w:szCs w:val="21"/>
                <w:b/>
                <w:bCs/>
                <w:spacing w:val="-5"/>
              </w:rPr>
              <w:t>产生速</w:t>
            </w:r>
            <w:r>
              <w:rPr>
                <w:sz w:val="21"/>
                <w:szCs w:val="21"/>
              </w:rPr>
              <w:t xml:space="preserve"> </w:t>
            </w:r>
            <w:r>
              <w:rPr>
                <w:sz w:val="21"/>
                <w:szCs w:val="21"/>
                <w:b/>
                <w:bCs/>
                <w:spacing w:val="-4"/>
              </w:rPr>
              <w:t>率kg/h</w:t>
            </w:r>
          </w:p>
        </w:tc>
        <w:tc>
          <w:tcPr>
            <w:shd w:val="clear" w:fill="BDBDBD"/>
            <w:tcW w:w="619" w:type="dxa"/>
            <w:vAlign w:val="top"/>
          </w:tcPr>
          <w:p>
            <w:pPr>
              <w:pStyle w:val="TableText"/>
              <w:ind w:left="36" w:right="56" w:firstLine="59"/>
              <w:spacing w:before="30" w:line="230" w:lineRule="auto"/>
              <w:rPr>
                <w:sz w:val="21"/>
                <w:szCs w:val="21"/>
              </w:rPr>
            </w:pPr>
            <w:r>
              <w:rPr>
                <w:sz w:val="21"/>
                <w:szCs w:val="21"/>
                <w:b/>
                <w:bCs/>
                <w:spacing w:val="-7"/>
              </w:rPr>
              <w:t>产生</w:t>
            </w:r>
            <w:r>
              <w:rPr>
                <w:sz w:val="21"/>
                <w:szCs w:val="21"/>
              </w:rPr>
              <w:t xml:space="preserve"> </w:t>
            </w:r>
            <w:r>
              <w:rPr>
                <w:sz w:val="21"/>
                <w:szCs w:val="21"/>
                <w:b/>
                <w:bCs/>
                <w:spacing w:val="-5"/>
              </w:rPr>
              <w:t>量t/a</w:t>
            </w:r>
          </w:p>
        </w:tc>
        <w:tc>
          <w:tcPr>
            <w:shd w:val="clear" w:fill="BDBDBD"/>
            <w:tcW w:w="1918" w:type="dxa"/>
            <w:vAlign w:val="top"/>
          </w:tcPr>
          <w:p>
            <w:pPr>
              <w:pStyle w:val="TableText"/>
              <w:ind w:left="527"/>
              <w:spacing w:before="179" w:line="219" w:lineRule="auto"/>
              <w:rPr>
                <w:sz w:val="21"/>
                <w:szCs w:val="21"/>
              </w:rPr>
            </w:pPr>
            <w:r>
              <w:rPr>
                <w:sz w:val="21"/>
                <w:szCs w:val="21"/>
                <w:b/>
                <w:bCs/>
                <w:spacing w:val="-4"/>
              </w:rPr>
              <w:t>采取措施</w:t>
            </w:r>
          </w:p>
        </w:tc>
        <w:tc>
          <w:tcPr>
            <w:shd w:val="clear" w:fill="BDBDBD"/>
            <w:tcW w:w="1079" w:type="dxa"/>
            <w:vAlign w:val="top"/>
          </w:tcPr>
          <w:p>
            <w:pPr>
              <w:pStyle w:val="TableText"/>
              <w:ind w:left="58" w:right="10" w:firstLine="60"/>
              <w:spacing w:before="39" w:line="226" w:lineRule="auto"/>
              <w:rPr>
                <w:sz w:val="21"/>
                <w:szCs w:val="21"/>
              </w:rPr>
            </w:pPr>
            <w:r>
              <w:rPr>
                <w:sz w:val="21"/>
                <w:szCs w:val="21"/>
                <w:b/>
                <w:bCs/>
                <w:spacing w:val="-5"/>
              </w:rPr>
              <w:t>臭气收集</w:t>
            </w:r>
            <w:r>
              <w:rPr>
                <w:sz w:val="21"/>
                <w:szCs w:val="21"/>
              </w:rPr>
              <w:t xml:space="preserve">  </w:t>
            </w:r>
            <w:r>
              <w:rPr>
                <w:sz w:val="21"/>
                <w:szCs w:val="21"/>
                <w:b/>
                <w:bCs/>
                <w:spacing w:val="-19"/>
              </w:rPr>
              <w:t>效</w:t>
            </w:r>
            <w:r>
              <w:rPr>
                <w:sz w:val="21"/>
                <w:szCs w:val="21"/>
                <w:spacing w:val="-23"/>
              </w:rPr>
              <w:t xml:space="preserve"> </w:t>
            </w:r>
            <w:r>
              <w:rPr>
                <w:sz w:val="21"/>
                <w:szCs w:val="21"/>
                <w:b/>
                <w:bCs/>
                <w:spacing w:val="-19"/>
              </w:rPr>
              <w:t>率</w:t>
            </w:r>
            <w:r>
              <w:rPr>
                <w:sz w:val="21"/>
                <w:szCs w:val="21"/>
                <w:spacing w:val="10"/>
              </w:rPr>
              <w:t xml:space="preserve"> </w:t>
            </w:r>
            <w:r>
              <w:rPr>
                <w:sz w:val="21"/>
                <w:szCs w:val="21"/>
                <w:b/>
                <w:bCs/>
                <w:spacing w:val="-19"/>
              </w:rPr>
              <w:t>(</w:t>
            </w:r>
            <w:r>
              <w:rPr>
                <w:sz w:val="21"/>
                <w:szCs w:val="21"/>
                <w:spacing w:val="-33"/>
              </w:rPr>
              <w:t xml:space="preserve"> </w:t>
            </w:r>
            <w:r>
              <w:rPr>
                <w:sz w:val="21"/>
                <w:szCs w:val="21"/>
                <w:b/>
                <w:bCs/>
                <w:spacing w:val="-19"/>
              </w:rPr>
              <w:t>%</w:t>
            </w:r>
            <w:r>
              <w:rPr>
                <w:sz w:val="21"/>
                <w:szCs w:val="21"/>
                <w:spacing w:val="-27"/>
              </w:rPr>
              <w:t xml:space="preserve"> </w:t>
            </w:r>
            <w:r>
              <w:rPr>
                <w:sz w:val="21"/>
                <w:szCs w:val="21"/>
                <w:b/>
                <w:bCs/>
                <w:spacing w:val="-19"/>
              </w:rPr>
              <w:t>)</w:t>
            </w:r>
          </w:p>
        </w:tc>
        <w:tc>
          <w:tcPr>
            <w:shd w:val="clear" w:fill="BDBDBD"/>
            <w:tcW w:w="1089" w:type="dxa"/>
            <w:vAlign w:val="top"/>
          </w:tcPr>
          <w:p>
            <w:pPr>
              <w:pStyle w:val="TableText"/>
              <w:ind w:left="39" w:firstLine="79"/>
              <w:spacing w:before="39" w:line="226" w:lineRule="auto"/>
              <w:rPr>
                <w:sz w:val="21"/>
                <w:szCs w:val="21"/>
              </w:rPr>
            </w:pPr>
            <w:r>
              <w:rPr>
                <w:sz w:val="21"/>
                <w:szCs w:val="21"/>
                <w:b/>
                <w:bCs/>
                <w:spacing w:val="-5"/>
              </w:rPr>
              <w:t>臭气去除</w:t>
            </w:r>
            <w:r>
              <w:rPr>
                <w:sz w:val="21"/>
                <w:szCs w:val="21"/>
              </w:rPr>
              <w:t xml:space="preserve">  </w:t>
            </w:r>
            <w:r>
              <w:rPr>
                <w:sz w:val="21"/>
                <w:szCs w:val="21"/>
                <w:b/>
                <w:bCs/>
                <w:spacing w:val="-15"/>
                <w:w w:val="97"/>
              </w:rPr>
              <w:t>效</w:t>
            </w:r>
            <w:r>
              <w:rPr>
                <w:sz w:val="21"/>
                <w:szCs w:val="21"/>
                <w:spacing w:val="-12"/>
              </w:rPr>
              <w:t xml:space="preserve"> </w:t>
            </w:r>
            <w:r>
              <w:rPr>
                <w:sz w:val="21"/>
                <w:szCs w:val="21"/>
                <w:b/>
                <w:bCs/>
                <w:spacing w:val="-15"/>
                <w:w w:val="97"/>
              </w:rPr>
              <w:t>率</w:t>
            </w:r>
            <w:r>
              <w:rPr>
                <w:sz w:val="21"/>
                <w:szCs w:val="21"/>
                <w:spacing w:val="20"/>
              </w:rPr>
              <w:t xml:space="preserve"> </w:t>
            </w:r>
            <w:r>
              <w:rPr>
                <w:sz w:val="21"/>
                <w:szCs w:val="21"/>
                <w:b/>
                <w:bCs/>
                <w:spacing w:val="-15"/>
                <w:w w:val="97"/>
              </w:rPr>
              <w:t>(</w:t>
            </w:r>
            <w:r>
              <w:rPr>
                <w:sz w:val="21"/>
                <w:szCs w:val="21"/>
                <w:spacing w:val="-23"/>
              </w:rPr>
              <w:t xml:space="preserve"> </w:t>
            </w:r>
            <w:r>
              <w:rPr>
                <w:sz w:val="21"/>
                <w:szCs w:val="21"/>
                <w:b/>
                <w:bCs/>
                <w:spacing w:val="-15"/>
                <w:w w:val="97"/>
              </w:rPr>
              <w:t>%</w:t>
            </w:r>
            <w:r>
              <w:rPr>
                <w:sz w:val="21"/>
                <w:szCs w:val="21"/>
                <w:spacing w:val="-16"/>
              </w:rPr>
              <w:t xml:space="preserve"> </w:t>
            </w:r>
            <w:r>
              <w:rPr>
                <w:sz w:val="21"/>
                <w:szCs w:val="21"/>
                <w:b/>
                <w:bCs/>
                <w:spacing w:val="-15"/>
                <w:w w:val="97"/>
              </w:rPr>
              <w:t>)</w:t>
            </w:r>
          </w:p>
        </w:tc>
        <w:tc>
          <w:tcPr>
            <w:shd w:val="clear" w:fill="BDBDBD"/>
            <w:tcW w:w="699" w:type="dxa"/>
            <w:vAlign w:val="top"/>
          </w:tcPr>
          <w:p>
            <w:pPr>
              <w:pStyle w:val="TableText"/>
              <w:ind w:left="30" w:right="36"/>
              <w:spacing w:before="41" w:line="221" w:lineRule="auto"/>
              <w:rPr>
                <w:sz w:val="21"/>
                <w:szCs w:val="21"/>
              </w:rPr>
            </w:pPr>
            <w:r>
              <w:rPr>
                <w:sz w:val="21"/>
                <w:szCs w:val="21"/>
                <w:b/>
                <w:bCs/>
                <w:spacing w:val="-5"/>
              </w:rPr>
              <w:t>排放速</w:t>
            </w:r>
            <w:r>
              <w:rPr>
                <w:sz w:val="21"/>
                <w:szCs w:val="21"/>
              </w:rPr>
              <w:t xml:space="preserve"> </w:t>
            </w:r>
            <w:r>
              <w:rPr>
                <w:sz w:val="21"/>
                <w:szCs w:val="21"/>
                <w:b/>
                <w:bCs/>
                <w:spacing w:val="-4"/>
              </w:rPr>
              <w:t>率kg/h</w:t>
            </w:r>
          </w:p>
        </w:tc>
        <w:tc>
          <w:tcPr>
            <w:shd w:val="clear" w:fill="BDBDBD"/>
            <w:tcW w:w="619" w:type="dxa"/>
            <w:vAlign w:val="top"/>
          </w:tcPr>
          <w:p>
            <w:pPr>
              <w:pStyle w:val="TableText"/>
              <w:ind w:left="42" w:right="50" w:firstLine="59"/>
              <w:spacing w:before="33" w:line="229" w:lineRule="auto"/>
              <w:rPr>
                <w:sz w:val="21"/>
                <w:szCs w:val="21"/>
              </w:rPr>
            </w:pPr>
            <w:r>
              <w:rPr>
                <w:sz w:val="21"/>
                <w:szCs w:val="21"/>
                <w:b/>
                <w:bCs/>
                <w:spacing w:val="-7"/>
              </w:rPr>
              <w:t>排放</w:t>
            </w:r>
            <w:r>
              <w:rPr>
                <w:sz w:val="21"/>
                <w:szCs w:val="21"/>
              </w:rPr>
              <w:t xml:space="preserve"> </w:t>
            </w:r>
            <w:r>
              <w:rPr>
                <w:sz w:val="21"/>
                <w:szCs w:val="21"/>
                <w:b/>
                <w:bCs/>
                <w:spacing w:val="-5"/>
              </w:rPr>
              <w:t>量t/a</w:t>
            </w:r>
          </w:p>
        </w:tc>
        <w:tc>
          <w:tcPr>
            <w:shd w:val="clear" w:fill="BDBDBD"/>
            <w:tcW w:w="874" w:type="dxa"/>
            <w:vAlign w:val="top"/>
          </w:tcPr>
          <w:p>
            <w:pPr>
              <w:pStyle w:val="TableText"/>
              <w:ind w:left="122" w:right="19" w:hanging="110"/>
              <w:spacing w:before="42" w:line="221" w:lineRule="auto"/>
              <w:rPr>
                <w:sz w:val="21"/>
                <w:szCs w:val="21"/>
              </w:rPr>
            </w:pPr>
            <w:r>
              <w:rPr>
                <w:sz w:val="21"/>
                <w:szCs w:val="21"/>
                <w:b/>
                <w:bCs/>
                <w:spacing w:val="-5"/>
              </w:rPr>
              <w:t>排放浓度</w:t>
            </w:r>
            <w:r>
              <w:rPr>
                <w:sz w:val="21"/>
                <w:szCs w:val="21"/>
                <w:spacing w:val="1"/>
              </w:rPr>
              <w:t xml:space="preserve"> </w:t>
            </w:r>
            <w:r>
              <w:rPr>
                <w:sz w:val="21"/>
                <w:szCs w:val="21"/>
                <w:b/>
                <w:bCs/>
                <w:spacing w:val="-3"/>
              </w:rPr>
              <w:t>mg/m³</w:t>
            </w:r>
          </w:p>
        </w:tc>
      </w:tr>
      <w:tr>
        <w:trPr>
          <w:trHeight w:val="229" w:hRule="atLeast"/>
        </w:trPr>
        <w:tc>
          <w:tcPr>
            <w:tcW w:w="434" w:type="dxa"/>
            <w:vAlign w:val="top"/>
            <w:vMerge w:val="restart"/>
            <w:tcBorders>
              <w:bottom w:val="nil"/>
            </w:tcBorders>
          </w:tcPr>
          <w:p>
            <w:pPr>
              <w:pStyle w:val="TableText"/>
              <w:spacing w:before="138" w:line="219" w:lineRule="auto"/>
              <w:jc w:val="right"/>
              <w:rPr>
                <w:sz w:val="21"/>
                <w:szCs w:val="21"/>
              </w:rPr>
            </w:pPr>
            <w:r>
              <w:rPr>
                <w:sz w:val="21"/>
                <w:szCs w:val="21"/>
                <w:spacing w:val="-7"/>
              </w:rPr>
              <w:t>淡季</w:t>
            </w:r>
          </w:p>
        </w:tc>
        <w:tc>
          <w:tcPr>
            <w:tcW w:w="479" w:type="dxa"/>
            <w:vAlign w:val="top"/>
          </w:tcPr>
          <w:p>
            <w:pPr>
              <w:pStyle w:val="TableText"/>
              <w:ind w:left="20"/>
              <w:spacing w:before="63" w:line="156" w:lineRule="exact"/>
              <w:rPr>
                <w:rFonts w:ascii="Calibri" w:hAnsi="Calibri" w:eastAsia="Calibri" w:cs="Calibri"/>
                <w:sz w:val="21"/>
                <w:szCs w:val="21"/>
              </w:rPr>
            </w:pPr>
            <w:r>
              <w:rPr>
                <w:sz w:val="21"/>
                <w:szCs w:val="21"/>
                <w:color w:val="505040"/>
                <w:spacing w:val="-1"/>
                <w:position w:val="-2"/>
              </w:rPr>
              <w:t>NH</w:t>
            </w:r>
            <w:r>
              <w:rPr>
                <w:rFonts w:ascii="Calibri" w:hAnsi="Calibri" w:eastAsia="Calibri" w:cs="Calibri"/>
                <w:sz w:val="21"/>
                <w:szCs w:val="21"/>
                <w:color w:val="505040"/>
                <w:spacing w:val="-1"/>
                <w:position w:val="-2"/>
              </w:rPr>
              <w:t>₃</w:t>
            </w:r>
          </w:p>
        </w:tc>
        <w:tc>
          <w:tcPr>
            <w:tcW w:w="699" w:type="dxa"/>
            <w:vAlign w:val="top"/>
          </w:tcPr>
          <w:p>
            <w:pPr>
              <w:pStyle w:val="TableText"/>
              <w:ind w:left="21"/>
              <w:spacing w:before="50" w:line="169" w:lineRule="exact"/>
              <w:rPr>
                <w:sz w:val="21"/>
                <w:szCs w:val="21"/>
              </w:rPr>
            </w:pPr>
            <w:r>
              <w:rPr>
                <w:sz w:val="21"/>
                <w:szCs w:val="21"/>
                <w:spacing w:val="-2"/>
                <w:position w:val="-2"/>
              </w:rPr>
              <w:t>0.0294</w:t>
            </w:r>
          </w:p>
        </w:tc>
        <w:tc>
          <w:tcPr>
            <w:tcW w:w="619" w:type="dxa"/>
            <w:vAlign w:val="top"/>
          </w:tcPr>
          <w:p>
            <w:pPr>
              <w:pStyle w:val="TableText"/>
              <w:spacing w:before="50" w:line="169" w:lineRule="exact"/>
              <w:jc w:val="right"/>
              <w:rPr>
                <w:sz w:val="21"/>
                <w:szCs w:val="21"/>
              </w:rPr>
            </w:pPr>
            <w:r>
              <w:rPr>
                <w:sz w:val="21"/>
                <w:szCs w:val="21"/>
                <w:spacing w:val="-6"/>
                <w:position w:val="-2"/>
              </w:rPr>
              <w:t>0.1908</w:t>
            </w:r>
          </w:p>
        </w:tc>
        <w:tc>
          <w:tcPr>
            <w:tcW w:w="1918" w:type="dxa"/>
            <w:vAlign w:val="top"/>
            <w:vMerge w:val="restart"/>
            <w:tcBorders>
              <w:bottom w:val="nil"/>
            </w:tcBorders>
          </w:tcPr>
          <w:p>
            <w:pPr>
              <w:pStyle w:val="TableText"/>
              <w:ind w:left="13" w:right="118"/>
              <w:spacing w:before="236" w:line="242" w:lineRule="auto"/>
              <w:jc w:val="both"/>
              <w:rPr>
                <w:sz w:val="21"/>
                <w:szCs w:val="21"/>
              </w:rPr>
            </w:pPr>
            <w:r>
              <w:rPr>
                <w:sz w:val="21"/>
                <w:szCs w:val="21"/>
              </w:rPr>
              <w:t>负压收集+喷淋+UV</w:t>
            </w:r>
            <w:r>
              <w:rPr>
                <w:sz w:val="21"/>
                <w:szCs w:val="21"/>
                <w:spacing w:val="2"/>
              </w:rPr>
              <w:t xml:space="preserve">  </w:t>
            </w:r>
            <w:r>
              <w:rPr>
                <w:sz w:val="21"/>
                <w:szCs w:val="21"/>
                <w:spacing w:val="-2"/>
              </w:rPr>
              <w:t>光解+活性炭吸附装</w:t>
            </w:r>
            <w:r>
              <w:rPr>
                <w:sz w:val="21"/>
                <w:szCs w:val="21"/>
                <w:spacing w:val="7"/>
              </w:rPr>
              <w:t xml:space="preserve"> </w:t>
            </w:r>
            <w:r>
              <w:rPr>
                <w:sz w:val="21"/>
                <w:szCs w:val="21"/>
                <w:spacing w:val="17"/>
                <w:w w:val="111"/>
              </w:rPr>
              <w:t>置(TA004)+15m</w:t>
            </w:r>
            <w:r>
              <w:rPr>
                <w:sz w:val="21"/>
                <w:szCs w:val="21"/>
              </w:rPr>
              <w:t xml:space="preserve"> </w:t>
            </w:r>
            <w:r>
              <w:rPr>
                <w:sz w:val="21"/>
                <w:szCs w:val="21"/>
                <w:spacing w:val="4"/>
              </w:rPr>
              <w:t>高排气筒(</w:t>
            </w:r>
            <w:r>
              <w:rPr>
                <w:sz w:val="21"/>
                <w:szCs w:val="21"/>
              </w:rPr>
              <w:t>DA</w:t>
            </w:r>
            <w:r>
              <w:rPr>
                <w:sz w:val="21"/>
                <w:szCs w:val="21"/>
                <w:spacing w:val="4"/>
              </w:rPr>
              <w:t>004)</w:t>
            </w:r>
          </w:p>
        </w:tc>
        <w:tc>
          <w:tcPr>
            <w:tcW w:w="1079" w:type="dxa"/>
            <w:vAlign w:val="top"/>
          </w:tcPr>
          <w:p>
            <w:pPr>
              <w:pStyle w:val="TableText"/>
              <w:ind w:left="425"/>
              <w:spacing w:before="50" w:line="169" w:lineRule="exact"/>
              <w:rPr>
                <w:sz w:val="21"/>
                <w:szCs w:val="21"/>
              </w:rPr>
            </w:pPr>
            <w:r>
              <w:rPr>
                <w:sz w:val="21"/>
                <w:szCs w:val="21"/>
                <w:spacing w:val="-3"/>
                <w:position w:val="-2"/>
              </w:rPr>
              <w:t>95</w:t>
            </w:r>
          </w:p>
        </w:tc>
        <w:tc>
          <w:tcPr>
            <w:tcW w:w="1089" w:type="dxa"/>
            <w:vAlign w:val="top"/>
          </w:tcPr>
          <w:p>
            <w:pPr>
              <w:pStyle w:val="TableText"/>
              <w:ind w:left="436"/>
              <w:spacing w:before="50" w:line="169" w:lineRule="exact"/>
              <w:rPr>
                <w:sz w:val="21"/>
                <w:szCs w:val="21"/>
              </w:rPr>
            </w:pPr>
            <w:r>
              <w:rPr>
                <w:sz w:val="21"/>
                <w:szCs w:val="21"/>
                <w:spacing w:val="-3"/>
                <w:position w:val="-2"/>
              </w:rPr>
              <w:t>95</w:t>
            </w:r>
          </w:p>
        </w:tc>
        <w:tc>
          <w:tcPr>
            <w:tcW w:w="699" w:type="dxa"/>
            <w:vAlign w:val="top"/>
          </w:tcPr>
          <w:p>
            <w:pPr>
              <w:pStyle w:val="TableText"/>
              <w:ind w:left="27"/>
              <w:spacing w:before="50" w:line="169" w:lineRule="exact"/>
              <w:rPr>
                <w:sz w:val="21"/>
                <w:szCs w:val="21"/>
              </w:rPr>
            </w:pPr>
            <w:r>
              <w:rPr>
                <w:sz w:val="21"/>
                <w:szCs w:val="21"/>
                <w:spacing w:val="-2"/>
                <w:position w:val="-2"/>
              </w:rPr>
              <w:t>0.0014</w:t>
            </w:r>
          </w:p>
        </w:tc>
        <w:tc>
          <w:tcPr>
            <w:tcW w:w="619" w:type="dxa"/>
            <w:vAlign w:val="top"/>
          </w:tcPr>
          <w:p>
            <w:pPr>
              <w:pStyle w:val="TableText"/>
              <w:spacing w:before="50" w:line="169" w:lineRule="exact"/>
              <w:jc w:val="right"/>
              <w:rPr>
                <w:sz w:val="21"/>
                <w:szCs w:val="21"/>
              </w:rPr>
            </w:pPr>
            <w:r>
              <w:rPr>
                <w:sz w:val="21"/>
                <w:szCs w:val="21"/>
                <w:spacing w:val="-7"/>
                <w:position w:val="-2"/>
              </w:rPr>
              <w:t>0.0091</w:t>
            </w:r>
          </w:p>
        </w:tc>
        <w:tc>
          <w:tcPr>
            <w:tcW w:w="874" w:type="dxa"/>
            <w:vAlign w:val="top"/>
          </w:tcPr>
          <w:p>
            <w:pPr>
              <w:pStyle w:val="TableText"/>
              <w:ind w:left="220"/>
              <w:spacing w:before="50" w:line="169" w:lineRule="exact"/>
              <w:rPr>
                <w:sz w:val="21"/>
                <w:szCs w:val="21"/>
              </w:rPr>
            </w:pPr>
            <w:r>
              <w:rPr>
                <w:sz w:val="21"/>
                <w:szCs w:val="21"/>
                <w:spacing w:val="-2"/>
                <w:position w:val="-2"/>
              </w:rPr>
              <w:t>0.28</w:t>
            </w:r>
          </w:p>
        </w:tc>
      </w:tr>
      <w:tr>
        <w:trPr>
          <w:trHeight w:val="249" w:hRule="atLeast"/>
        </w:trPr>
        <w:tc>
          <w:tcPr>
            <w:tcW w:w="434" w:type="dxa"/>
            <w:vAlign w:val="top"/>
            <w:vMerge w:val="continue"/>
            <w:tcBorders>
              <w:top w:val="nil"/>
            </w:tcBorders>
          </w:tcPr>
          <w:p>
            <w:pPr>
              <w:rPr>
                <w:rFonts w:ascii="Arial"/>
                <w:sz w:val="21"/>
              </w:rPr>
            </w:pPr>
            <w:r/>
          </w:p>
        </w:tc>
        <w:tc>
          <w:tcPr>
            <w:tcW w:w="479" w:type="dxa"/>
            <w:vAlign w:val="top"/>
          </w:tcPr>
          <w:p>
            <w:pPr>
              <w:pStyle w:val="TableText"/>
              <w:ind w:left="20"/>
              <w:spacing w:before="54" w:line="162"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699" w:type="dxa"/>
            <w:vAlign w:val="top"/>
          </w:tcPr>
          <w:p>
            <w:pPr>
              <w:pStyle w:val="TableText"/>
              <w:ind w:left="21"/>
              <w:spacing w:before="42" w:line="173" w:lineRule="auto"/>
              <w:rPr>
                <w:sz w:val="21"/>
                <w:szCs w:val="21"/>
              </w:rPr>
            </w:pPr>
            <w:r>
              <w:rPr>
                <w:sz w:val="21"/>
                <w:szCs w:val="21"/>
                <w:color w:val="404050"/>
                <w:spacing w:val="-2"/>
              </w:rPr>
              <w:t>0.0011</w:t>
            </w:r>
          </w:p>
        </w:tc>
        <w:tc>
          <w:tcPr>
            <w:tcW w:w="619" w:type="dxa"/>
            <w:vAlign w:val="top"/>
          </w:tcPr>
          <w:p>
            <w:pPr>
              <w:pStyle w:val="TableText"/>
              <w:spacing w:before="42" w:line="173" w:lineRule="auto"/>
              <w:jc w:val="right"/>
              <w:rPr>
                <w:sz w:val="21"/>
                <w:szCs w:val="21"/>
              </w:rPr>
            </w:pPr>
            <w:r>
              <w:rPr>
                <w:sz w:val="21"/>
                <w:szCs w:val="21"/>
                <w:spacing w:val="-6"/>
              </w:rPr>
              <w:t>0.0074</w:t>
            </w:r>
          </w:p>
        </w:tc>
        <w:tc>
          <w:tcPr>
            <w:tcW w:w="1918" w:type="dxa"/>
            <w:vAlign w:val="top"/>
            <w:vMerge w:val="continue"/>
            <w:tcBorders>
              <w:top w:val="nil"/>
              <w:bottom w:val="nil"/>
            </w:tcBorders>
          </w:tcPr>
          <w:p>
            <w:pPr>
              <w:rPr>
                <w:rFonts w:ascii="Arial"/>
                <w:sz w:val="21"/>
              </w:rPr>
            </w:pPr>
            <w:r/>
          </w:p>
        </w:tc>
        <w:tc>
          <w:tcPr>
            <w:tcW w:w="1079" w:type="dxa"/>
            <w:vAlign w:val="top"/>
          </w:tcPr>
          <w:p>
            <w:pPr>
              <w:pStyle w:val="TableText"/>
              <w:ind w:left="425"/>
              <w:spacing w:before="42" w:line="173" w:lineRule="auto"/>
              <w:rPr>
                <w:sz w:val="21"/>
                <w:szCs w:val="21"/>
              </w:rPr>
            </w:pPr>
            <w:r>
              <w:rPr>
                <w:sz w:val="21"/>
                <w:szCs w:val="21"/>
                <w:spacing w:val="-3"/>
              </w:rPr>
              <w:t>95</w:t>
            </w:r>
          </w:p>
        </w:tc>
        <w:tc>
          <w:tcPr>
            <w:tcW w:w="1089" w:type="dxa"/>
            <w:vAlign w:val="top"/>
          </w:tcPr>
          <w:p>
            <w:pPr>
              <w:pStyle w:val="TableText"/>
              <w:ind w:left="436"/>
              <w:spacing w:before="42" w:line="173" w:lineRule="auto"/>
              <w:rPr>
                <w:sz w:val="21"/>
                <w:szCs w:val="21"/>
              </w:rPr>
            </w:pPr>
            <w:r>
              <w:rPr>
                <w:sz w:val="21"/>
                <w:szCs w:val="21"/>
                <w:spacing w:val="-3"/>
              </w:rPr>
              <w:t>95</w:t>
            </w:r>
          </w:p>
        </w:tc>
        <w:tc>
          <w:tcPr>
            <w:tcW w:w="699" w:type="dxa"/>
            <w:vAlign w:val="top"/>
          </w:tcPr>
          <w:p>
            <w:pPr>
              <w:pStyle w:val="TableText"/>
              <w:ind w:left="27"/>
              <w:spacing w:before="42" w:line="173" w:lineRule="auto"/>
              <w:rPr>
                <w:sz w:val="21"/>
                <w:szCs w:val="21"/>
              </w:rPr>
            </w:pPr>
            <w:r>
              <w:rPr>
                <w:sz w:val="21"/>
                <w:szCs w:val="21"/>
                <w:spacing w:val="-2"/>
              </w:rPr>
              <w:t>0.0001</w:t>
            </w:r>
          </w:p>
        </w:tc>
        <w:tc>
          <w:tcPr>
            <w:tcW w:w="619" w:type="dxa"/>
            <w:vAlign w:val="top"/>
          </w:tcPr>
          <w:p>
            <w:pPr>
              <w:pStyle w:val="TableText"/>
              <w:spacing w:before="42" w:line="173" w:lineRule="auto"/>
              <w:jc w:val="right"/>
              <w:rPr>
                <w:sz w:val="21"/>
                <w:szCs w:val="21"/>
              </w:rPr>
            </w:pPr>
            <w:r>
              <w:rPr>
                <w:sz w:val="21"/>
                <w:szCs w:val="21"/>
                <w:spacing w:val="-7"/>
              </w:rPr>
              <w:t>0.0004</w:t>
            </w:r>
          </w:p>
        </w:tc>
        <w:tc>
          <w:tcPr>
            <w:tcW w:w="874" w:type="dxa"/>
            <w:vAlign w:val="top"/>
          </w:tcPr>
          <w:p>
            <w:pPr>
              <w:pStyle w:val="TableText"/>
              <w:ind w:left="220"/>
              <w:spacing w:before="42" w:line="173" w:lineRule="auto"/>
              <w:rPr>
                <w:sz w:val="21"/>
                <w:szCs w:val="21"/>
              </w:rPr>
            </w:pPr>
            <w:r>
              <w:rPr>
                <w:sz w:val="21"/>
                <w:szCs w:val="21"/>
                <w:spacing w:val="-2"/>
              </w:rPr>
              <w:t>0.01</w:t>
            </w:r>
          </w:p>
        </w:tc>
      </w:tr>
      <w:tr>
        <w:trPr>
          <w:trHeight w:val="249" w:hRule="atLeast"/>
        </w:trPr>
        <w:tc>
          <w:tcPr>
            <w:tcW w:w="434" w:type="dxa"/>
            <w:vAlign w:val="top"/>
            <w:vMerge w:val="restart"/>
            <w:tcBorders>
              <w:bottom w:val="nil"/>
            </w:tcBorders>
          </w:tcPr>
          <w:p>
            <w:pPr>
              <w:pStyle w:val="TableText"/>
              <w:spacing w:before="141" w:line="219" w:lineRule="auto"/>
              <w:jc w:val="right"/>
              <w:rPr>
                <w:sz w:val="21"/>
                <w:szCs w:val="21"/>
              </w:rPr>
            </w:pPr>
            <w:r>
              <w:rPr>
                <w:sz w:val="21"/>
                <w:szCs w:val="21"/>
                <w:spacing w:val="-11"/>
              </w:rPr>
              <w:t>旺</w:t>
            </w:r>
            <w:r>
              <w:rPr>
                <w:sz w:val="21"/>
                <w:szCs w:val="21"/>
                <w:spacing w:val="-9"/>
              </w:rPr>
              <w:t>季</w:t>
            </w:r>
          </w:p>
        </w:tc>
        <w:tc>
          <w:tcPr>
            <w:tcW w:w="479" w:type="dxa"/>
            <w:vAlign w:val="top"/>
          </w:tcPr>
          <w:p>
            <w:pPr>
              <w:pStyle w:val="TableText"/>
              <w:ind w:left="20"/>
              <w:spacing w:before="55" w:line="161"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699" w:type="dxa"/>
            <w:vAlign w:val="top"/>
          </w:tcPr>
          <w:p>
            <w:pPr>
              <w:pStyle w:val="TableText"/>
              <w:ind w:left="21"/>
              <w:spacing w:before="42" w:line="173" w:lineRule="auto"/>
              <w:rPr>
                <w:sz w:val="21"/>
                <w:szCs w:val="21"/>
              </w:rPr>
            </w:pPr>
            <w:r>
              <w:rPr>
                <w:sz w:val="21"/>
                <w:szCs w:val="21"/>
                <w:spacing w:val="-2"/>
              </w:rPr>
              <w:t>0.0425</w:t>
            </w:r>
          </w:p>
        </w:tc>
        <w:tc>
          <w:tcPr>
            <w:tcW w:w="619" w:type="dxa"/>
            <w:vAlign w:val="top"/>
          </w:tcPr>
          <w:p>
            <w:pPr>
              <w:pStyle w:val="TableText"/>
              <w:spacing w:before="42" w:line="173" w:lineRule="auto"/>
              <w:jc w:val="right"/>
              <w:rPr>
                <w:sz w:val="21"/>
                <w:szCs w:val="21"/>
              </w:rPr>
            </w:pPr>
            <w:r>
              <w:rPr>
                <w:sz w:val="21"/>
                <w:szCs w:val="21"/>
                <w:color w:val="080800"/>
                <w:spacing w:val="-6"/>
              </w:rPr>
              <w:t>0.0918</w:t>
            </w:r>
          </w:p>
        </w:tc>
        <w:tc>
          <w:tcPr>
            <w:tcW w:w="1918" w:type="dxa"/>
            <w:vAlign w:val="top"/>
            <w:vMerge w:val="continue"/>
            <w:tcBorders>
              <w:top w:val="nil"/>
              <w:bottom w:val="nil"/>
            </w:tcBorders>
          </w:tcPr>
          <w:p>
            <w:pPr>
              <w:rPr>
                <w:rFonts w:ascii="Arial"/>
                <w:sz w:val="21"/>
              </w:rPr>
            </w:pPr>
            <w:r/>
          </w:p>
        </w:tc>
        <w:tc>
          <w:tcPr>
            <w:tcW w:w="1079" w:type="dxa"/>
            <w:vAlign w:val="top"/>
          </w:tcPr>
          <w:p>
            <w:pPr>
              <w:pStyle w:val="TableText"/>
              <w:ind w:left="425"/>
              <w:spacing w:before="42" w:line="173" w:lineRule="auto"/>
              <w:rPr>
                <w:sz w:val="21"/>
                <w:szCs w:val="21"/>
              </w:rPr>
            </w:pPr>
            <w:r>
              <w:rPr>
                <w:sz w:val="21"/>
                <w:szCs w:val="21"/>
                <w:spacing w:val="-3"/>
              </w:rPr>
              <w:t>95</w:t>
            </w:r>
          </w:p>
        </w:tc>
        <w:tc>
          <w:tcPr>
            <w:tcW w:w="1089" w:type="dxa"/>
            <w:vAlign w:val="top"/>
          </w:tcPr>
          <w:p>
            <w:pPr>
              <w:pStyle w:val="TableText"/>
              <w:ind w:left="436"/>
              <w:spacing w:before="42" w:line="173" w:lineRule="auto"/>
              <w:rPr>
                <w:sz w:val="21"/>
                <w:szCs w:val="21"/>
              </w:rPr>
            </w:pPr>
            <w:r>
              <w:rPr>
                <w:sz w:val="21"/>
                <w:szCs w:val="21"/>
                <w:spacing w:val="-3"/>
              </w:rPr>
              <w:t>95</w:t>
            </w:r>
          </w:p>
        </w:tc>
        <w:tc>
          <w:tcPr>
            <w:tcW w:w="699" w:type="dxa"/>
            <w:vAlign w:val="top"/>
          </w:tcPr>
          <w:p>
            <w:pPr>
              <w:pStyle w:val="TableText"/>
              <w:ind w:left="27"/>
              <w:spacing w:before="42" w:line="173" w:lineRule="auto"/>
              <w:rPr>
                <w:sz w:val="21"/>
                <w:szCs w:val="21"/>
              </w:rPr>
            </w:pPr>
            <w:r>
              <w:rPr>
                <w:sz w:val="21"/>
                <w:szCs w:val="21"/>
                <w:spacing w:val="-2"/>
              </w:rPr>
              <w:t>0.0020</w:t>
            </w:r>
          </w:p>
        </w:tc>
        <w:tc>
          <w:tcPr>
            <w:tcW w:w="619" w:type="dxa"/>
            <w:vAlign w:val="top"/>
          </w:tcPr>
          <w:p>
            <w:pPr>
              <w:pStyle w:val="TableText"/>
              <w:spacing w:before="42" w:line="173" w:lineRule="auto"/>
              <w:jc w:val="right"/>
              <w:rPr>
                <w:sz w:val="21"/>
                <w:szCs w:val="21"/>
              </w:rPr>
            </w:pPr>
            <w:r>
              <w:rPr>
                <w:sz w:val="21"/>
                <w:szCs w:val="21"/>
                <w:spacing w:val="-7"/>
              </w:rPr>
              <w:t>0.0044</w:t>
            </w:r>
          </w:p>
        </w:tc>
        <w:tc>
          <w:tcPr>
            <w:tcW w:w="874" w:type="dxa"/>
            <w:vAlign w:val="top"/>
          </w:tcPr>
          <w:p>
            <w:pPr>
              <w:pStyle w:val="TableText"/>
              <w:ind w:left="220"/>
              <w:spacing w:before="42" w:line="173" w:lineRule="auto"/>
              <w:rPr>
                <w:sz w:val="21"/>
                <w:szCs w:val="21"/>
              </w:rPr>
            </w:pPr>
            <w:r>
              <w:rPr>
                <w:sz w:val="21"/>
                <w:szCs w:val="21"/>
                <w:spacing w:val="-2"/>
              </w:rPr>
              <w:t>0.40</w:t>
            </w:r>
          </w:p>
        </w:tc>
      </w:tr>
      <w:tr>
        <w:trPr>
          <w:trHeight w:val="229" w:hRule="atLeast"/>
        </w:trPr>
        <w:tc>
          <w:tcPr>
            <w:tcW w:w="434" w:type="dxa"/>
            <w:vAlign w:val="top"/>
            <w:vMerge w:val="continue"/>
            <w:tcBorders>
              <w:top w:val="nil"/>
            </w:tcBorders>
          </w:tcPr>
          <w:p>
            <w:pPr>
              <w:rPr>
                <w:rFonts w:ascii="Arial"/>
                <w:sz w:val="21"/>
              </w:rPr>
            </w:pPr>
            <w:r/>
          </w:p>
        </w:tc>
        <w:tc>
          <w:tcPr>
            <w:tcW w:w="479" w:type="dxa"/>
            <w:vAlign w:val="top"/>
          </w:tcPr>
          <w:p>
            <w:pPr>
              <w:pStyle w:val="TableText"/>
              <w:ind w:left="20"/>
              <w:spacing w:before="66" w:line="153" w:lineRule="exact"/>
              <w:rPr>
                <w:sz w:val="21"/>
                <w:szCs w:val="21"/>
              </w:rPr>
            </w:pPr>
            <w:r>
              <w:rPr>
                <w:sz w:val="21"/>
                <w:szCs w:val="21"/>
                <w:spacing w:val="-2"/>
                <w:position w:val="-2"/>
              </w:rPr>
              <w:t>H</w:t>
            </w:r>
            <w:r>
              <w:rPr>
                <w:rFonts w:ascii="Calibri" w:hAnsi="Calibri" w:eastAsia="Calibri" w:cs="Calibri"/>
                <w:sz w:val="21"/>
                <w:szCs w:val="21"/>
                <w:spacing w:val="-2"/>
                <w:position w:val="-2"/>
              </w:rPr>
              <w:t>₂</w:t>
            </w:r>
            <w:r>
              <w:rPr>
                <w:sz w:val="21"/>
                <w:szCs w:val="21"/>
                <w:spacing w:val="-2"/>
                <w:position w:val="-2"/>
              </w:rPr>
              <w:t>S</w:t>
            </w:r>
          </w:p>
        </w:tc>
        <w:tc>
          <w:tcPr>
            <w:tcW w:w="699" w:type="dxa"/>
            <w:vAlign w:val="top"/>
          </w:tcPr>
          <w:p>
            <w:pPr>
              <w:pStyle w:val="TableText"/>
              <w:ind w:left="21"/>
              <w:spacing w:before="53" w:line="166" w:lineRule="exact"/>
              <w:rPr>
                <w:sz w:val="21"/>
                <w:szCs w:val="21"/>
              </w:rPr>
            </w:pPr>
            <w:r>
              <w:rPr>
                <w:sz w:val="21"/>
                <w:szCs w:val="21"/>
                <w:spacing w:val="-2"/>
                <w:position w:val="-2"/>
              </w:rPr>
              <w:t>0.0016</w:t>
            </w:r>
          </w:p>
        </w:tc>
        <w:tc>
          <w:tcPr>
            <w:tcW w:w="619" w:type="dxa"/>
            <w:vAlign w:val="top"/>
          </w:tcPr>
          <w:p>
            <w:pPr>
              <w:pStyle w:val="TableText"/>
              <w:spacing w:before="53" w:line="166" w:lineRule="exact"/>
              <w:jc w:val="right"/>
              <w:rPr>
                <w:sz w:val="21"/>
                <w:szCs w:val="21"/>
              </w:rPr>
            </w:pPr>
            <w:r>
              <w:rPr>
                <w:sz w:val="21"/>
                <w:szCs w:val="21"/>
                <w:color w:val="605050"/>
                <w:spacing w:val="-6"/>
                <w:position w:val="-2"/>
              </w:rPr>
              <w:t>0.0036</w:t>
            </w:r>
          </w:p>
        </w:tc>
        <w:tc>
          <w:tcPr>
            <w:tcW w:w="1918" w:type="dxa"/>
            <w:vAlign w:val="top"/>
            <w:vMerge w:val="continue"/>
            <w:tcBorders>
              <w:top w:val="nil"/>
              <w:bottom w:val="nil"/>
            </w:tcBorders>
          </w:tcPr>
          <w:p>
            <w:pPr>
              <w:rPr>
                <w:rFonts w:ascii="Arial"/>
                <w:sz w:val="21"/>
              </w:rPr>
            </w:pPr>
            <w:r/>
          </w:p>
        </w:tc>
        <w:tc>
          <w:tcPr>
            <w:tcW w:w="1079" w:type="dxa"/>
            <w:vAlign w:val="top"/>
          </w:tcPr>
          <w:p>
            <w:pPr>
              <w:pStyle w:val="TableText"/>
              <w:ind w:left="425"/>
              <w:spacing w:before="53" w:line="166" w:lineRule="exact"/>
              <w:rPr>
                <w:sz w:val="21"/>
                <w:szCs w:val="21"/>
              </w:rPr>
            </w:pPr>
            <w:r>
              <w:rPr>
                <w:sz w:val="21"/>
                <w:szCs w:val="21"/>
                <w:spacing w:val="-3"/>
                <w:position w:val="-2"/>
              </w:rPr>
              <w:t>95</w:t>
            </w:r>
          </w:p>
        </w:tc>
        <w:tc>
          <w:tcPr>
            <w:tcW w:w="1089" w:type="dxa"/>
            <w:vAlign w:val="top"/>
          </w:tcPr>
          <w:p>
            <w:pPr>
              <w:pStyle w:val="TableText"/>
              <w:ind w:left="436"/>
              <w:spacing w:before="53" w:line="166" w:lineRule="exact"/>
              <w:rPr>
                <w:sz w:val="21"/>
                <w:szCs w:val="21"/>
              </w:rPr>
            </w:pPr>
            <w:r>
              <w:rPr>
                <w:sz w:val="21"/>
                <w:szCs w:val="21"/>
                <w:spacing w:val="-3"/>
                <w:position w:val="-2"/>
              </w:rPr>
              <w:t>95</w:t>
            </w:r>
          </w:p>
        </w:tc>
        <w:tc>
          <w:tcPr>
            <w:tcW w:w="699" w:type="dxa"/>
            <w:vAlign w:val="top"/>
          </w:tcPr>
          <w:p>
            <w:pPr>
              <w:pStyle w:val="TableText"/>
              <w:ind w:left="27"/>
              <w:spacing w:before="53" w:line="166" w:lineRule="exact"/>
              <w:rPr>
                <w:sz w:val="21"/>
                <w:szCs w:val="21"/>
              </w:rPr>
            </w:pPr>
            <w:r>
              <w:rPr>
                <w:sz w:val="21"/>
                <w:szCs w:val="21"/>
                <w:spacing w:val="-2"/>
                <w:position w:val="-2"/>
              </w:rPr>
              <w:t>0.0001</w:t>
            </w:r>
          </w:p>
        </w:tc>
        <w:tc>
          <w:tcPr>
            <w:tcW w:w="619" w:type="dxa"/>
            <w:vAlign w:val="top"/>
          </w:tcPr>
          <w:p>
            <w:pPr>
              <w:pStyle w:val="TableText"/>
              <w:spacing w:before="53" w:line="166" w:lineRule="exact"/>
              <w:jc w:val="right"/>
              <w:rPr>
                <w:sz w:val="21"/>
                <w:szCs w:val="21"/>
              </w:rPr>
            </w:pPr>
            <w:r>
              <w:rPr>
                <w:sz w:val="21"/>
                <w:szCs w:val="21"/>
                <w:spacing w:val="-7"/>
                <w:position w:val="-2"/>
              </w:rPr>
              <w:t>0.0002</w:t>
            </w:r>
          </w:p>
        </w:tc>
        <w:tc>
          <w:tcPr>
            <w:tcW w:w="874" w:type="dxa"/>
            <w:vAlign w:val="top"/>
          </w:tcPr>
          <w:p>
            <w:pPr>
              <w:pStyle w:val="TableText"/>
              <w:ind w:left="220"/>
              <w:spacing w:before="53" w:line="166" w:lineRule="exact"/>
              <w:rPr>
                <w:sz w:val="21"/>
                <w:szCs w:val="21"/>
              </w:rPr>
            </w:pPr>
            <w:r>
              <w:rPr>
                <w:sz w:val="21"/>
                <w:szCs w:val="21"/>
                <w:spacing w:val="-2"/>
                <w:position w:val="-2"/>
              </w:rPr>
              <w:t>0.02</w:t>
            </w:r>
          </w:p>
        </w:tc>
      </w:tr>
      <w:tr>
        <w:trPr>
          <w:trHeight w:val="249" w:hRule="atLeast"/>
        </w:trPr>
        <w:tc>
          <w:tcPr>
            <w:tcW w:w="434" w:type="dxa"/>
            <w:vAlign w:val="top"/>
            <w:vMerge w:val="restart"/>
            <w:tcBorders>
              <w:bottom w:val="nil"/>
            </w:tcBorders>
          </w:tcPr>
          <w:p>
            <w:pPr>
              <w:pStyle w:val="TableText"/>
              <w:spacing w:before="143" w:line="219" w:lineRule="auto"/>
              <w:jc w:val="right"/>
              <w:rPr>
                <w:sz w:val="21"/>
                <w:szCs w:val="21"/>
              </w:rPr>
            </w:pPr>
            <w:r>
              <w:rPr>
                <w:sz w:val="21"/>
                <w:szCs w:val="21"/>
                <w:spacing w:val="-6"/>
              </w:rPr>
              <w:t>全年</w:t>
            </w:r>
          </w:p>
        </w:tc>
        <w:tc>
          <w:tcPr>
            <w:tcW w:w="479" w:type="dxa"/>
            <w:vAlign w:val="top"/>
          </w:tcPr>
          <w:p>
            <w:pPr>
              <w:pStyle w:val="TableText"/>
              <w:ind w:left="20"/>
              <w:spacing w:before="57" w:line="160"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699" w:type="dxa"/>
            <w:vAlign w:val="top"/>
          </w:tcPr>
          <w:p>
            <w:pPr>
              <w:pStyle w:val="TableText"/>
              <w:ind w:left="281"/>
              <w:spacing w:before="29" w:line="184" w:lineRule="auto"/>
              <w:rPr>
                <w:sz w:val="21"/>
                <w:szCs w:val="21"/>
              </w:rPr>
            </w:pPr>
            <w:r>
              <w:rPr>
                <w:sz w:val="21"/>
                <w:szCs w:val="21"/>
              </w:rPr>
              <w:t>/</w:t>
            </w:r>
          </w:p>
        </w:tc>
        <w:tc>
          <w:tcPr>
            <w:tcW w:w="619" w:type="dxa"/>
            <w:vAlign w:val="top"/>
          </w:tcPr>
          <w:p>
            <w:pPr>
              <w:pStyle w:val="TableText"/>
              <w:spacing w:before="44" w:line="171" w:lineRule="auto"/>
              <w:jc w:val="right"/>
              <w:rPr>
                <w:sz w:val="21"/>
                <w:szCs w:val="21"/>
              </w:rPr>
            </w:pPr>
            <w:r>
              <w:rPr>
                <w:sz w:val="21"/>
                <w:szCs w:val="21"/>
                <w:spacing w:val="-6"/>
              </w:rPr>
              <w:t>0.2826</w:t>
            </w:r>
          </w:p>
        </w:tc>
        <w:tc>
          <w:tcPr>
            <w:tcW w:w="1918" w:type="dxa"/>
            <w:vAlign w:val="top"/>
            <w:vMerge w:val="continue"/>
            <w:tcBorders>
              <w:top w:val="nil"/>
              <w:bottom w:val="nil"/>
            </w:tcBorders>
          </w:tcPr>
          <w:p>
            <w:pPr>
              <w:rPr>
                <w:rFonts w:ascii="Arial"/>
                <w:sz w:val="21"/>
              </w:rPr>
            </w:pPr>
            <w:r/>
          </w:p>
        </w:tc>
        <w:tc>
          <w:tcPr>
            <w:tcW w:w="1079" w:type="dxa"/>
            <w:vAlign w:val="top"/>
          </w:tcPr>
          <w:p>
            <w:pPr>
              <w:pStyle w:val="TableText"/>
              <w:ind w:left="425"/>
              <w:spacing w:before="44" w:line="171" w:lineRule="auto"/>
              <w:rPr>
                <w:sz w:val="21"/>
                <w:szCs w:val="21"/>
              </w:rPr>
            </w:pPr>
            <w:r>
              <w:rPr>
                <w:sz w:val="21"/>
                <w:szCs w:val="21"/>
                <w:spacing w:val="-3"/>
              </w:rPr>
              <w:t>95</w:t>
            </w:r>
          </w:p>
        </w:tc>
        <w:tc>
          <w:tcPr>
            <w:tcW w:w="1089" w:type="dxa"/>
            <w:vAlign w:val="top"/>
          </w:tcPr>
          <w:p>
            <w:pPr>
              <w:pStyle w:val="TableText"/>
              <w:ind w:left="436"/>
              <w:spacing w:before="44" w:line="171" w:lineRule="auto"/>
              <w:rPr>
                <w:sz w:val="21"/>
                <w:szCs w:val="21"/>
              </w:rPr>
            </w:pPr>
            <w:r>
              <w:rPr>
                <w:sz w:val="21"/>
                <w:szCs w:val="21"/>
                <w:spacing w:val="-3"/>
              </w:rPr>
              <w:t>95</w:t>
            </w:r>
          </w:p>
        </w:tc>
        <w:tc>
          <w:tcPr>
            <w:tcW w:w="699" w:type="dxa"/>
            <w:vAlign w:val="top"/>
          </w:tcPr>
          <w:p>
            <w:pPr>
              <w:pStyle w:val="TableText"/>
              <w:ind w:left="287"/>
              <w:spacing w:before="29" w:line="184" w:lineRule="auto"/>
              <w:rPr>
                <w:sz w:val="21"/>
                <w:szCs w:val="21"/>
              </w:rPr>
            </w:pPr>
            <w:r>
              <w:rPr>
                <w:sz w:val="21"/>
                <w:szCs w:val="21"/>
              </w:rPr>
              <w:t>/</w:t>
            </w:r>
          </w:p>
        </w:tc>
        <w:tc>
          <w:tcPr>
            <w:tcW w:w="619" w:type="dxa"/>
            <w:vAlign w:val="top"/>
          </w:tcPr>
          <w:p>
            <w:pPr>
              <w:pStyle w:val="TableText"/>
              <w:spacing w:before="44" w:line="171" w:lineRule="auto"/>
              <w:jc w:val="right"/>
              <w:rPr>
                <w:sz w:val="21"/>
                <w:szCs w:val="21"/>
              </w:rPr>
            </w:pPr>
            <w:r>
              <w:rPr>
                <w:sz w:val="21"/>
                <w:szCs w:val="21"/>
                <w:spacing w:val="-7"/>
              </w:rPr>
              <w:t>0.0134</w:t>
            </w:r>
          </w:p>
        </w:tc>
        <w:tc>
          <w:tcPr>
            <w:tcW w:w="874" w:type="dxa"/>
            <w:vAlign w:val="top"/>
          </w:tcPr>
          <w:p>
            <w:pPr>
              <w:pStyle w:val="TableText"/>
              <w:ind w:left="379"/>
              <w:spacing w:before="29" w:line="184" w:lineRule="auto"/>
              <w:rPr>
                <w:sz w:val="21"/>
                <w:szCs w:val="21"/>
              </w:rPr>
            </w:pPr>
            <w:r>
              <w:rPr>
                <w:sz w:val="21"/>
                <w:szCs w:val="21"/>
              </w:rPr>
              <w:t>/</w:t>
            </w:r>
          </w:p>
        </w:tc>
      </w:tr>
      <w:tr>
        <w:trPr>
          <w:trHeight w:val="229" w:hRule="atLeast"/>
        </w:trPr>
        <w:tc>
          <w:tcPr>
            <w:tcW w:w="434" w:type="dxa"/>
            <w:vAlign w:val="top"/>
            <w:vMerge w:val="continue"/>
            <w:tcBorders>
              <w:top w:val="nil"/>
            </w:tcBorders>
          </w:tcPr>
          <w:p>
            <w:pPr>
              <w:rPr>
                <w:rFonts w:ascii="Arial"/>
                <w:sz w:val="21"/>
              </w:rPr>
            </w:pPr>
            <w:r/>
          </w:p>
        </w:tc>
        <w:tc>
          <w:tcPr>
            <w:tcW w:w="479" w:type="dxa"/>
            <w:vAlign w:val="top"/>
          </w:tcPr>
          <w:p>
            <w:pPr>
              <w:pStyle w:val="TableText"/>
              <w:ind w:left="20"/>
              <w:spacing w:before="68" w:line="151" w:lineRule="exact"/>
              <w:rPr>
                <w:sz w:val="21"/>
                <w:szCs w:val="21"/>
              </w:rPr>
            </w:pPr>
            <w:r>
              <w:rPr>
                <w:sz w:val="21"/>
                <w:szCs w:val="21"/>
                <w:spacing w:val="-2"/>
                <w:position w:val="-2"/>
              </w:rPr>
              <w:t>H</w:t>
            </w:r>
            <w:r>
              <w:rPr>
                <w:rFonts w:ascii="Calibri" w:hAnsi="Calibri" w:eastAsia="Calibri" w:cs="Calibri"/>
                <w:sz w:val="21"/>
                <w:szCs w:val="21"/>
                <w:spacing w:val="-2"/>
                <w:position w:val="-2"/>
              </w:rPr>
              <w:t>₂</w:t>
            </w:r>
            <w:r>
              <w:rPr>
                <w:sz w:val="21"/>
                <w:szCs w:val="21"/>
                <w:spacing w:val="-2"/>
                <w:position w:val="-2"/>
              </w:rPr>
              <w:t>S</w:t>
            </w:r>
          </w:p>
        </w:tc>
        <w:tc>
          <w:tcPr>
            <w:tcW w:w="699" w:type="dxa"/>
            <w:vAlign w:val="top"/>
          </w:tcPr>
          <w:p>
            <w:pPr>
              <w:pStyle w:val="TableText"/>
              <w:ind w:left="281"/>
              <w:spacing w:before="40" w:line="157" w:lineRule="auto"/>
              <w:rPr>
                <w:sz w:val="21"/>
                <w:szCs w:val="21"/>
              </w:rPr>
            </w:pPr>
            <w:r>
              <w:rPr>
                <w:sz w:val="21"/>
                <w:szCs w:val="21"/>
              </w:rPr>
              <w:t>/</w:t>
            </w:r>
          </w:p>
        </w:tc>
        <w:tc>
          <w:tcPr>
            <w:tcW w:w="619" w:type="dxa"/>
            <w:vAlign w:val="top"/>
          </w:tcPr>
          <w:p>
            <w:pPr>
              <w:pStyle w:val="TableText"/>
              <w:spacing w:before="55" w:line="164" w:lineRule="exact"/>
              <w:jc w:val="right"/>
              <w:rPr>
                <w:sz w:val="21"/>
                <w:szCs w:val="21"/>
              </w:rPr>
            </w:pPr>
            <w:r>
              <w:rPr>
                <w:sz w:val="21"/>
                <w:szCs w:val="21"/>
                <w:color w:val="606050"/>
                <w:spacing w:val="-6"/>
                <w:position w:val="-2"/>
              </w:rPr>
              <w:t>0.0109</w:t>
            </w:r>
          </w:p>
        </w:tc>
        <w:tc>
          <w:tcPr>
            <w:tcW w:w="1918" w:type="dxa"/>
            <w:vAlign w:val="top"/>
            <w:vMerge w:val="continue"/>
            <w:tcBorders>
              <w:top w:val="nil"/>
            </w:tcBorders>
          </w:tcPr>
          <w:p>
            <w:pPr>
              <w:rPr>
                <w:rFonts w:ascii="Arial"/>
                <w:sz w:val="21"/>
              </w:rPr>
            </w:pPr>
            <w:r/>
          </w:p>
        </w:tc>
        <w:tc>
          <w:tcPr>
            <w:tcW w:w="1079" w:type="dxa"/>
            <w:vAlign w:val="top"/>
          </w:tcPr>
          <w:p>
            <w:pPr>
              <w:pStyle w:val="TableText"/>
              <w:ind w:left="425"/>
              <w:spacing w:before="55" w:line="164" w:lineRule="exact"/>
              <w:rPr>
                <w:sz w:val="21"/>
                <w:szCs w:val="21"/>
              </w:rPr>
            </w:pPr>
            <w:r>
              <w:rPr>
                <w:sz w:val="21"/>
                <w:szCs w:val="21"/>
                <w:spacing w:val="-3"/>
                <w:position w:val="-2"/>
              </w:rPr>
              <w:t>95</w:t>
            </w:r>
          </w:p>
        </w:tc>
        <w:tc>
          <w:tcPr>
            <w:tcW w:w="1089" w:type="dxa"/>
            <w:vAlign w:val="top"/>
          </w:tcPr>
          <w:p>
            <w:pPr>
              <w:pStyle w:val="TableText"/>
              <w:ind w:left="436"/>
              <w:spacing w:before="55" w:line="164" w:lineRule="exact"/>
              <w:rPr>
                <w:sz w:val="21"/>
                <w:szCs w:val="21"/>
              </w:rPr>
            </w:pPr>
            <w:r>
              <w:rPr>
                <w:sz w:val="21"/>
                <w:szCs w:val="21"/>
                <w:spacing w:val="-3"/>
                <w:position w:val="-2"/>
              </w:rPr>
              <w:t>95</w:t>
            </w:r>
          </w:p>
        </w:tc>
        <w:tc>
          <w:tcPr>
            <w:tcW w:w="699" w:type="dxa"/>
            <w:vAlign w:val="top"/>
          </w:tcPr>
          <w:p>
            <w:pPr>
              <w:pStyle w:val="TableText"/>
              <w:ind w:left="287"/>
              <w:spacing w:before="40" w:line="157" w:lineRule="auto"/>
              <w:rPr>
                <w:sz w:val="21"/>
                <w:szCs w:val="21"/>
              </w:rPr>
            </w:pPr>
            <w:r>
              <w:rPr>
                <w:sz w:val="21"/>
                <w:szCs w:val="21"/>
              </w:rPr>
              <w:t>/</w:t>
            </w:r>
          </w:p>
        </w:tc>
        <w:tc>
          <w:tcPr>
            <w:tcW w:w="619" w:type="dxa"/>
            <w:vAlign w:val="top"/>
          </w:tcPr>
          <w:p>
            <w:pPr>
              <w:pStyle w:val="TableText"/>
              <w:spacing w:before="55" w:line="164" w:lineRule="exact"/>
              <w:jc w:val="right"/>
              <w:rPr>
                <w:sz w:val="21"/>
                <w:szCs w:val="21"/>
              </w:rPr>
            </w:pPr>
            <w:r>
              <w:rPr>
                <w:sz w:val="21"/>
                <w:szCs w:val="21"/>
                <w:spacing w:val="-7"/>
                <w:position w:val="-2"/>
              </w:rPr>
              <w:t>0.0005</w:t>
            </w:r>
          </w:p>
        </w:tc>
        <w:tc>
          <w:tcPr>
            <w:tcW w:w="874" w:type="dxa"/>
            <w:vAlign w:val="top"/>
          </w:tcPr>
          <w:p>
            <w:pPr>
              <w:pStyle w:val="TableText"/>
              <w:ind w:left="379"/>
              <w:spacing w:before="55" w:line="164" w:lineRule="exact"/>
              <w:rPr>
                <w:sz w:val="21"/>
                <w:szCs w:val="21"/>
              </w:rPr>
            </w:pPr>
            <w:r>
              <w:rPr>
                <w:sz w:val="21"/>
                <w:szCs w:val="21"/>
                <w:position w:val="-3"/>
              </w:rPr>
              <w:t>1</w:t>
            </w:r>
          </w:p>
        </w:tc>
      </w:tr>
      <w:tr>
        <w:trPr>
          <w:trHeight w:val="249" w:hRule="atLeast"/>
        </w:trPr>
        <w:tc>
          <w:tcPr>
            <w:tcW w:w="434" w:type="dxa"/>
            <w:vAlign w:val="top"/>
            <w:vMerge w:val="restart"/>
            <w:tcBorders>
              <w:bottom w:val="nil"/>
            </w:tcBorders>
          </w:tcPr>
          <w:p>
            <w:pPr>
              <w:pStyle w:val="TableText"/>
              <w:spacing w:before="144" w:line="219" w:lineRule="auto"/>
              <w:jc w:val="right"/>
              <w:rPr>
                <w:sz w:val="21"/>
                <w:szCs w:val="21"/>
              </w:rPr>
            </w:pPr>
            <w:r>
              <w:rPr>
                <w:sz w:val="21"/>
                <w:szCs w:val="21"/>
                <w:spacing w:val="-7"/>
              </w:rPr>
              <w:t>淡季</w:t>
            </w:r>
          </w:p>
        </w:tc>
        <w:tc>
          <w:tcPr>
            <w:tcW w:w="479" w:type="dxa"/>
            <w:vAlign w:val="top"/>
          </w:tcPr>
          <w:p>
            <w:pPr>
              <w:pStyle w:val="TableText"/>
              <w:ind w:left="20"/>
              <w:spacing w:before="59" w:line="158"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699" w:type="dxa"/>
            <w:vAlign w:val="top"/>
          </w:tcPr>
          <w:p>
            <w:pPr>
              <w:pStyle w:val="TableText"/>
              <w:ind w:left="21"/>
              <w:spacing w:before="46" w:line="169" w:lineRule="auto"/>
              <w:rPr>
                <w:sz w:val="21"/>
                <w:szCs w:val="21"/>
              </w:rPr>
            </w:pPr>
            <w:r>
              <w:rPr>
                <w:sz w:val="21"/>
                <w:szCs w:val="21"/>
                <w:spacing w:val="-2"/>
              </w:rPr>
              <w:t>0.0015</w:t>
            </w:r>
          </w:p>
        </w:tc>
        <w:tc>
          <w:tcPr>
            <w:tcW w:w="619" w:type="dxa"/>
            <w:vAlign w:val="top"/>
          </w:tcPr>
          <w:p>
            <w:pPr>
              <w:pStyle w:val="TableText"/>
              <w:spacing w:before="46" w:line="169" w:lineRule="auto"/>
              <w:jc w:val="right"/>
              <w:rPr>
                <w:sz w:val="21"/>
                <w:szCs w:val="21"/>
              </w:rPr>
            </w:pPr>
            <w:r>
              <w:rPr>
                <w:sz w:val="21"/>
                <w:szCs w:val="21"/>
                <w:color w:val="505040"/>
                <w:spacing w:val="-6"/>
              </w:rPr>
              <w:t>0.0095</w:t>
            </w:r>
          </w:p>
        </w:tc>
        <w:tc>
          <w:tcPr>
            <w:tcW w:w="1918" w:type="dxa"/>
            <w:vAlign w:val="top"/>
            <w:vMerge w:val="restart"/>
            <w:tcBorders>
              <w:bottom w:val="nil"/>
            </w:tcBorders>
          </w:tcPr>
          <w:p>
            <w:pPr>
              <w:pStyle w:val="TableText"/>
              <w:ind w:left="13"/>
              <w:spacing w:before="34" w:line="230" w:lineRule="auto"/>
              <w:jc w:val="both"/>
              <w:rPr>
                <w:sz w:val="21"/>
                <w:szCs w:val="21"/>
              </w:rPr>
            </w:pPr>
            <w:r>
              <w:rPr>
                <w:sz w:val="21"/>
                <w:szCs w:val="21"/>
                <w:spacing w:val="-2"/>
              </w:rPr>
              <w:t>污水处理站各臭气排</w:t>
            </w:r>
            <w:r>
              <w:rPr>
                <w:sz w:val="21"/>
                <w:szCs w:val="21"/>
                <w:spacing w:val="3"/>
              </w:rPr>
              <w:t xml:space="preserve"> </w:t>
            </w:r>
            <w:r>
              <w:rPr>
                <w:sz w:val="21"/>
                <w:szCs w:val="21"/>
                <w:spacing w:val="-1"/>
              </w:rPr>
              <w:t>放设施均加盖密封，</w:t>
            </w:r>
            <w:r>
              <w:rPr>
                <w:sz w:val="21"/>
                <w:szCs w:val="21"/>
              </w:rPr>
              <w:t xml:space="preserve"> </w:t>
            </w:r>
            <w:r>
              <w:rPr>
                <w:sz w:val="21"/>
                <w:szCs w:val="21"/>
              </w:rPr>
              <w:t>定期喷洒微生物除臭</w:t>
            </w:r>
            <w:r>
              <w:rPr>
                <w:sz w:val="21"/>
                <w:szCs w:val="21"/>
                <w:spacing w:val="3"/>
              </w:rPr>
              <w:t xml:space="preserve"> </w:t>
            </w:r>
            <w:r>
              <w:rPr>
                <w:sz w:val="21"/>
                <w:szCs w:val="21"/>
                <w:spacing w:val="-1"/>
              </w:rPr>
              <w:t>剂，无组织排放。</w:t>
            </w:r>
          </w:p>
        </w:tc>
        <w:tc>
          <w:tcPr>
            <w:tcW w:w="2168" w:type="dxa"/>
            <w:vAlign w:val="top"/>
            <w:gridSpan w:val="2"/>
          </w:tcPr>
          <w:p>
            <w:pPr>
              <w:pStyle w:val="TableText"/>
              <w:ind w:left="975"/>
              <w:spacing w:before="46" w:line="169" w:lineRule="auto"/>
              <w:rPr>
                <w:sz w:val="21"/>
                <w:szCs w:val="21"/>
              </w:rPr>
            </w:pPr>
            <w:r>
              <w:rPr>
                <w:sz w:val="21"/>
                <w:szCs w:val="21"/>
                <w:spacing w:val="-4"/>
              </w:rPr>
              <w:t>50</w:t>
            </w:r>
          </w:p>
        </w:tc>
        <w:tc>
          <w:tcPr>
            <w:tcW w:w="699" w:type="dxa"/>
            <w:vAlign w:val="top"/>
          </w:tcPr>
          <w:p>
            <w:pPr>
              <w:pStyle w:val="TableText"/>
              <w:ind w:left="27"/>
              <w:spacing w:before="46" w:line="169" w:lineRule="auto"/>
              <w:rPr>
                <w:sz w:val="21"/>
                <w:szCs w:val="21"/>
              </w:rPr>
            </w:pPr>
            <w:r>
              <w:rPr>
                <w:sz w:val="21"/>
                <w:szCs w:val="21"/>
                <w:spacing w:val="-2"/>
              </w:rPr>
              <w:t>0.0007</w:t>
            </w:r>
          </w:p>
        </w:tc>
        <w:tc>
          <w:tcPr>
            <w:tcW w:w="619" w:type="dxa"/>
            <w:vAlign w:val="top"/>
          </w:tcPr>
          <w:p>
            <w:pPr>
              <w:pStyle w:val="TableText"/>
              <w:spacing w:before="46" w:line="169" w:lineRule="auto"/>
              <w:jc w:val="right"/>
              <w:rPr>
                <w:sz w:val="21"/>
                <w:szCs w:val="21"/>
              </w:rPr>
            </w:pPr>
            <w:r>
              <w:rPr>
                <w:sz w:val="21"/>
                <w:szCs w:val="21"/>
                <w:spacing w:val="-7"/>
              </w:rPr>
              <w:t>0.0048</w:t>
            </w:r>
          </w:p>
        </w:tc>
        <w:tc>
          <w:tcPr>
            <w:tcW w:w="874" w:type="dxa"/>
            <w:vAlign w:val="top"/>
          </w:tcPr>
          <w:p>
            <w:pPr>
              <w:pStyle w:val="TableText"/>
              <w:ind w:left="379"/>
              <w:spacing w:before="30" w:line="183" w:lineRule="auto"/>
              <w:rPr>
                <w:sz w:val="21"/>
                <w:szCs w:val="21"/>
              </w:rPr>
            </w:pPr>
            <w:r>
              <w:rPr>
                <w:sz w:val="21"/>
                <w:szCs w:val="21"/>
              </w:rPr>
              <w:t>/</w:t>
            </w:r>
          </w:p>
        </w:tc>
      </w:tr>
      <w:tr>
        <w:trPr>
          <w:trHeight w:val="229" w:hRule="atLeast"/>
        </w:trPr>
        <w:tc>
          <w:tcPr>
            <w:tcW w:w="434" w:type="dxa"/>
            <w:vAlign w:val="top"/>
            <w:vMerge w:val="continue"/>
            <w:tcBorders>
              <w:top w:val="nil"/>
            </w:tcBorders>
          </w:tcPr>
          <w:p>
            <w:pPr>
              <w:rPr>
                <w:rFonts w:ascii="Arial"/>
                <w:sz w:val="21"/>
              </w:rPr>
            </w:pPr>
            <w:r/>
          </w:p>
        </w:tc>
        <w:tc>
          <w:tcPr>
            <w:tcW w:w="479" w:type="dxa"/>
            <w:vAlign w:val="top"/>
          </w:tcPr>
          <w:p>
            <w:pPr>
              <w:pStyle w:val="TableText"/>
              <w:ind w:left="20"/>
              <w:spacing w:before="70" w:line="149" w:lineRule="exact"/>
              <w:rPr>
                <w:sz w:val="21"/>
                <w:szCs w:val="21"/>
              </w:rPr>
            </w:pPr>
            <w:r>
              <w:rPr>
                <w:sz w:val="21"/>
                <w:szCs w:val="21"/>
                <w:spacing w:val="-2"/>
                <w:position w:val="-3"/>
              </w:rPr>
              <w:t>H</w:t>
            </w:r>
            <w:r>
              <w:rPr>
                <w:rFonts w:ascii="Calibri" w:hAnsi="Calibri" w:eastAsia="Calibri" w:cs="Calibri"/>
                <w:sz w:val="21"/>
                <w:szCs w:val="21"/>
                <w:spacing w:val="-2"/>
                <w:position w:val="-3"/>
              </w:rPr>
              <w:t>₂</w:t>
            </w:r>
            <w:r>
              <w:rPr>
                <w:sz w:val="21"/>
                <w:szCs w:val="21"/>
                <w:spacing w:val="-2"/>
                <w:position w:val="-3"/>
              </w:rPr>
              <w:t>S</w:t>
            </w:r>
          </w:p>
        </w:tc>
        <w:tc>
          <w:tcPr>
            <w:tcW w:w="699" w:type="dxa"/>
            <w:vAlign w:val="top"/>
          </w:tcPr>
          <w:p>
            <w:pPr>
              <w:pStyle w:val="TableText"/>
              <w:ind w:left="21"/>
              <w:spacing w:before="57" w:line="162" w:lineRule="exact"/>
              <w:rPr>
                <w:sz w:val="21"/>
                <w:szCs w:val="21"/>
              </w:rPr>
            </w:pPr>
            <w:r>
              <w:rPr>
                <w:sz w:val="21"/>
                <w:szCs w:val="21"/>
                <w:spacing w:val="-2"/>
                <w:position w:val="-2"/>
              </w:rPr>
              <w:t>0.0001</w:t>
            </w:r>
          </w:p>
        </w:tc>
        <w:tc>
          <w:tcPr>
            <w:tcW w:w="619" w:type="dxa"/>
            <w:vAlign w:val="top"/>
          </w:tcPr>
          <w:p>
            <w:pPr>
              <w:pStyle w:val="TableText"/>
              <w:spacing w:before="57" w:line="162" w:lineRule="exact"/>
              <w:jc w:val="right"/>
              <w:rPr>
                <w:sz w:val="21"/>
                <w:szCs w:val="21"/>
              </w:rPr>
            </w:pPr>
            <w:r>
              <w:rPr>
                <w:sz w:val="21"/>
                <w:szCs w:val="21"/>
                <w:spacing w:val="-6"/>
                <w:position w:val="-2"/>
              </w:rPr>
              <w:t>0.0004</w:t>
            </w:r>
          </w:p>
        </w:tc>
        <w:tc>
          <w:tcPr>
            <w:tcW w:w="1918" w:type="dxa"/>
            <w:vAlign w:val="top"/>
            <w:vMerge w:val="continue"/>
            <w:tcBorders>
              <w:top w:val="nil"/>
              <w:bottom w:val="nil"/>
            </w:tcBorders>
          </w:tcPr>
          <w:p>
            <w:pPr>
              <w:rPr>
                <w:rFonts w:ascii="Arial"/>
                <w:sz w:val="21"/>
              </w:rPr>
            </w:pPr>
            <w:r/>
          </w:p>
        </w:tc>
        <w:tc>
          <w:tcPr>
            <w:tcW w:w="2168" w:type="dxa"/>
            <w:vAlign w:val="top"/>
            <w:gridSpan w:val="2"/>
          </w:tcPr>
          <w:p>
            <w:pPr>
              <w:pStyle w:val="TableText"/>
              <w:ind w:left="975"/>
              <w:spacing w:before="57" w:line="162" w:lineRule="exact"/>
              <w:rPr>
                <w:sz w:val="21"/>
                <w:szCs w:val="21"/>
              </w:rPr>
            </w:pPr>
            <w:r>
              <w:rPr>
                <w:sz w:val="21"/>
                <w:szCs w:val="21"/>
                <w:spacing w:val="-4"/>
                <w:position w:val="-2"/>
              </w:rPr>
              <w:t>50</w:t>
            </w:r>
          </w:p>
        </w:tc>
        <w:tc>
          <w:tcPr>
            <w:tcW w:w="699" w:type="dxa"/>
            <w:vAlign w:val="top"/>
          </w:tcPr>
          <w:p>
            <w:pPr>
              <w:pStyle w:val="TableText"/>
              <w:ind w:left="7"/>
              <w:spacing w:before="34" w:line="179" w:lineRule="auto"/>
              <w:rPr>
                <w:sz w:val="19"/>
                <w:szCs w:val="19"/>
              </w:rPr>
            </w:pPr>
            <w:r>
              <w:rPr>
                <w:sz w:val="19"/>
                <w:szCs w:val="19"/>
                <w:color w:val="404040"/>
                <w:spacing w:val="-2"/>
              </w:rPr>
              <w:t>0.00003</w:t>
            </w:r>
          </w:p>
        </w:tc>
        <w:tc>
          <w:tcPr>
            <w:tcW w:w="619" w:type="dxa"/>
            <w:vAlign w:val="top"/>
          </w:tcPr>
          <w:p>
            <w:pPr>
              <w:pStyle w:val="TableText"/>
              <w:spacing w:before="57" w:line="162" w:lineRule="exact"/>
              <w:jc w:val="right"/>
              <w:rPr>
                <w:sz w:val="21"/>
                <w:szCs w:val="21"/>
              </w:rPr>
            </w:pPr>
            <w:r>
              <w:rPr>
                <w:sz w:val="21"/>
                <w:szCs w:val="21"/>
                <w:spacing w:val="-7"/>
                <w:position w:val="-2"/>
              </w:rPr>
              <w:t>0.0002</w:t>
            </w:r>
          </w:p>
        </w:tc>
        <w:tc>
          <w:tcPr>
            <w:tcW w:w="874" w:type="dxa"/>
            <w:vAlign w:val="top"/>
          </w:tcPr>
          <w:p>
            <w:pPr>
              <w:pStyle w:val="TableText"/>
              <w:ind w:left="379"/>
              <w:spacing w:before="57" w:line="162" w:lineRule="exact"/>
              <w:rPr>
                <w:sz w:val="21"/>
                <w:szCs w:val="21"/>
              </w:rPr>
            </w:pPr>
            <w:r>
              <w:rPr>
                <w:sz w:val="21"/>
                <w:szCs w:val="21"/>
                <w:position w:val="-3"/>
              </w:rPr>
              <w:t>1</w:t>
            </w:r>
          </w:p>
        </w:tc>
      </w:tr>
      <w:tr>
        <w:trPr>
          <w:trHeight w:val="249" w:hRule="atLeast"/>
        </w:trPr>
        <w:tc>
          <w:tcPr>
            <w:tcW w:w="434" w:type="dxa"/>
            <w:vAlign w:val="top"/>
          </w:tcPr>
          <w:p>
            <w:pPr>
              <w:spacing w:line="239" w:lineRule="exact"/>
              <w:rPr>
                <w:rFonts w:ascii="Arial"/>
                <w:sz w:val="20"/>
              </w:rPr>
            </w:pPr>
            <w:r/>
          </w:p>
        </w:tc>
        <w:tc>
          <w:tcPr>
            <w:tcW w:w="479" w:type="dxa"/>
            <w:vAlign w:val="top"/>
          </w:tcPr>
          <w:p>
            <w:pPr>
              <w:pStyle w:val="TableText"/>
              <w:ind w:left="20"/>
              <w:spacing w:before="61" w:line="178" w:lineRule="exact"/>
              <w:rPr>
                <w:rFonts w:ascii="Calibri" w:hAnsi="Calibri" w:eastAsia="Calibri" w:cs="Calibri"/>
                <w:sz w:val="21"/>
                <w:szCs w:val="21"/>
              </w:rPr>
            </w:pPr>
            <w:r>
              <w:rPr>
                <w:sz w:val="21"/>
                <w:szCs w:val="21"/>
                <w:spacing w:val="-1"/>
                <w:position w:val="-1"/>
              </w:rPr>
              <w:t>NH</w:t>
            </w:r>
            <w:r>
              <w:rPr>
                <w:rFonts w:ascii="Calibri" w:hAnsi="Calibri" w:eastAsia="Calibri" w:cs="Calibri"/>
                <w:sz w:val="21"/>
                <w:szCs w:val="21"/>
                <w:spacing w:val="-1"/>
                <w:position w:val="-1"/>
              </w:rPr>
              <w:t>₃</w:t>
            </w:r>
          </w:p>
        </w:tc>
        <w:tc>
          <w:tcPr>
            <w:tcW w:w="699" w:type="dxa"/>
            <w:vAlign w:val="top"/>
          </w:tcPr>
          <w:p>
            <w:pPr>
              <w:pStyle w:val="TableText"/>
              <w:ind w:left="21"/>
              <w:spacing w:before="49" w:line="167" w:lineRule="auto"/>
              <w:rPr>
                <w:sz w:val="21"/>
                <w:szCs w:val="21"/>
              </w:rPr>
            </w:pPr>
            <w:r>
              <w:rPr>
                <w:sz w:val="21"/>
                <w:szCs w:val="21"/>
                <w:spacing w:val="-2"/>
              </w:rPr>
              <w:t>0.0021</w:t>
            </w:r>
          </w:p>
        </w:tc>
        <w:tc>
          <w:tcPr>
            <w:tcW w:w="619" w:type="dxa"/>
            <w:vAlign w:val="top"/>
          </w:tcPr>
          <w:p>
            <w:pPr>
              <w:pStyle w:val="TableText"/>
              <w:spacing w:before="49" w:line="167" w:lineRule="auto"/>
              <w:jc w:val="right"/>
              <w:rPr>
                <w:sz w:val="21"/>
                <w:szCs w:val="21"/>
              </w:rPr>
            </w:pPr>
            <w:r>
              <w:rPr>
                <w:sz w:val="21"/>
                <w:szCs w:val="21"/>
                <w:color w:val="706060"/>
                <w:spacing w:val="-6"/>
              </w:rPr>
              <w:t>0.0046</w:t>
            </w:r>
          </w:p>
        </w:tc>
        <w:tc>
          <w:tcPr>
            <w:tcW w:w="1918" w:type="dxa"/>
            <w:vAlign w:val="top"/>
            <w:vMerge w:val="continue"/>
            <w:tcBorders>
              <w:top w:val="nil"/>
              <w:bottom w:val="nil"/>
            </w:tcBorders>
          </w:tcPr>
          <w:p>
            <w:pPr>
              <w:rPr>
                <w:rFonts w:ascii="Arial"/>
                <w:sz w:val="21"/>
              </w:rPr>
            </w:pPr>
            <w:r/>
          </w:p>
        </w:tc>
        <w:tc>
          <w:tcPr>
            <w:tcW w:w="2168" w:type="dxa"/>
            <w:vAlign w:val="top"/>
            <w:gridSpan w:val="2"/>
          </w:tcPr>
          <w:p>
            <w:pPr>
              <w:pStyle w:val="TableText"/>
              <w:ind w:left="975"/>
              <w:spacing w:before="49" w:line="167" w:lineRule="auto"/>
              <w:rPr>
                <w:sz w:val="21"/>
                <w:szCs w:val="21"/>
              </w:rPr>
            </w:pPr>
            <w:r>
              <w:rPr>
                <w:sz w:val="21"/>
                <w:szCs w:val="21"/>
                <w:spacing w:val="-4"/>
              </w:rPr>
              <w:t>50</w:t>
            </w:r>
          </w:p>
        </w:tc>
        <w:tc>
          <w:tcPr>
            <w:tcW w:w="699" w:type="dxa"/>
            <w:vAlign w:val="top"/>
          </w:tcPr>
          <w:p>
            <w:pPr>
              <w:pStyle w:val="TableText"/>
              <w:ind w:left="27"/>
              <w:spacing w:before="49" w:line="167" w:lineRule="auto"/>
              <w:rPr>
                <w:sz w:val="21"/>
                <w:szCs w:val="21"/>
              </w:rPr>
            </w:pPr>
            <w:r>
              <w:rPr>
                <w:sz w:val="21"/>
                <w:szCs w:val="21"/>
                <w:spacing w:val="-2"/>
              </w:rPr>
              <w:t>0.0011</w:t>
            </w:r>
          </w:p>
        </w:tc>
        <w:tc>
          <w:tcPr>
            <w:tcW w:w="619" w:type="dxa"/>
            <w:vAlign w:val="top"/>
          </w:tcPr>
          <w:p>
            <w:pPr>
              <w:pStyle w:val="TableText"/>
              <w:spacing w:before="49" w:line="167" w:lineRule="auto"/>
              <w:jc w:val="right"/>
              <w:rPr>
                <w:sz w:val="21"/>
                <w:szCs w:val="21"/>
              </w:rPr>
            </w:pPr>
            <w:r>
              <w:rPr>
                <w:sz w:val="21"/>
                <w:szCs w:val="21"/>
                <w:color w:val="404050"/>
                <w:spacing w:val="-7"/>
              </w:rPr>
              <w:t>0.0023</w:t>
            </w:r>
          </w:p>
        </w:tc>
        <w:tc>
          <w:tcPr>
            <w:tcW w:w="874" w:type="dxa"/>
            <w:vAlign w:val="top"/>
          </w:tcPr>
          <w:p>
            <w:pPr>
              <w:pStyle w:val="TableText"/>
              <w:ind w:left="379"/>
              <w:spacing w:before="33" w:line="181" w:lineRule="auto"/>
              <w:rPr>
                <w:sz w:val="21"/>
                <w:szCs w:val="21"/>
              </w:rPr>
            </w:pPr>
            <w:r>
              <w:rPr>
                <w:sz w:val="21"/>
                <w:szCs w:val="21"/>
              </w:rPr>
              <w:t>/</w:t>
            </w:r>
          </w:p>
        </w:tc>
      </w:tr>
      <w:tr>
        <w:trPr>
          <w:trHeight w:val="334" w:hRule="atLeast"/>
        </w:trPr>
        <w:tc>
          <w:tcPr>
            <w:tcW w:w="434" w:type="dxa"/>
            <w:vAlign w:val="top"/>
          </w:tcPr>
          <w:p>
            <w:pPr>
              <w:pStyle w:val="TableText"/>
              <w:spacing w:before="18" w:line="219" w:lineRule="auto"/>
              <w:jc w:val="right"/>
              <w:rPr>
                <w:sz w:val="21"/>
                <w:szCs w:val="21"/>
              </w:rPr>
            </w:pPr>
            <w:r>
              <w:rPr>
                <w:sz w:val="21"/>
                <w:szCs w:val="21"/>
                <w:spacing w:val="-11"/>
              </w:rPr>
              <w:t>旺</w:t>
            </w:r>
            <w:r>
              <w:rPr>
                <w:sz w:val="21"/>
                <w:szCs w:val="21"/>
                <w:spacing w:val="-9"/>
              </w:rPr>
              <w:t>季</w:t>
            </w:r>
          </w:p>
        </w:tc>
        <w:tc>
          <w:tcPr>
            <w:tcW w:w="479" w:type="dxa"/>
            <w:vAlign w:val="top"/>
          </w:tcPr>
          <w:p>
            <w:pPr>
              <w:pStyle w:val="TableText"/>
              <w:ind w:left="20"/>
              <w:spacing w:before="102" w:line="183"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699" w:type="dxa"/>
            <w:vAlign w:val="top"/>
          </w:tcPr>
          <w:p>
            <w:pPr>
              <w:pStyle w:val="TableText"/>
              <w:ind w:left="21"/>
              <w:spacing w:before="89" w:line="206" w:lineRule="auto"/>
              <w:rPr>
                <w:sz w:val="21"/>
                <w:szCs w:val="21"/>
              </w:rPr>
            </w:pPr>
            <w:r>
              <w:rPr>
                <w:sz w:val="21"/>
                <w:szCs w:val="21"/>
                <w:spacing w:val="-2"/>
              </w:rPr>
              <w:t>0.0001</w:t>
            </w:r>
          </w:p>
        </w:tc>
        <w:tc>
          <w:tcPr>
            <w:tcW w:w="619" w:type="dxa"/>
            <w:vAlign w:val="top"/>
          </w:tcPr>
          <w:p>
            <w:pPr>
              <w:pStyle w:val="TableText"/>
              <w:spacing w:before="89" w:line="206" w:lineRule="auto"/>
              <w:jc w:val="right"/>
              <w:rPr>
                <w:sz w:val="21"/>
                <w:szCs w:val="21"/>
              </w:rPr>
            </w:pPr>
            <w:r>
              <w:rPr>
                <w:sz w:val="21"/>
                <w:szCs w:val="21"/>
                <w:spacing w:val="-6"/>
              </w:rPr>
              <w:t>0.0002</w:t>
            </w:r>
          </w:p>
        </w:tc>
        <w:tc>
          <w:tcPr>
            <w:tcW w:w="1918" w:type="dxa"/>
            <w:vAlign w:val="top"/>
            <w:vMerge w:val="continue"/>
            <w:tcBorders>
              <w:top w:val="nil"/>
            </w:tcBorders>
          </w:tcPr>
          <w:p>
            <w:pPr>
              <w:rPr>
                <w:rFonts w:ascii="Arial"/>
                <w:sz w:val="21"/>
              </w:rPr>
            </w:pPr>
            <w:r/>
          </w:p>
        </w:tc>
        <w:tc>
          <w:tcPr>
            <w:tcW w:w="2168" w:type="dxa"/>
            <w:vAlign w:val="top"/>
            <w:gridSpan w:val="2"/>
          </w:tcPr>
          <w:p>
            <w:pPr>
              <w:pStyle w:val="TableText"/>
              <w:ind w:left="975"/>
              <w:spacing w:before="89" w:line="206" w:lineRule="auto"/>
              <w:rPr>
                <w:sz w:val="21"/>
                <w:szCs w:val="21"/>
              </w:rPr>
            </w:pPr>
            <w:r>
              <w:rPr>
                <w:sz w:val="21"/>
                <w:szCs w:val="21"/>
                <w:spacing w:val="-4"/>
              </w:rPr>
              <w:t>50</w:t>
            </w:r>
          </w:p>
        </w:tc>
        <w:tc>
          <w:tcPr>
            <w:tcW w:w="699" w:type="dxa"/>
            <w:vAlign w:val="top"/>
          </w:tcPr>
          <w:p>
            <w:pPr>
              <w:pStyle w:val="TableText"/>
              <w:spacing w:before="89" w:line="206" w:lineRule="auto"/>
              <w:jc w:val="right"/>
              <w:rPr>
                <w:sz w:val="21"/>
                <w:szCs w:val="21"/>
              </w:rPr>
            </w:pPr>
            <w:r>
              <w:rPr>
                <w:sz w:val="21"/>
                <w:szCs w:val="21"/>
                <w:spacing w:val="-11"/>
              </w:rPr>
              <w:t>0.</w:t>
            </w:r>
            <w:r>
              <w:rPr>
                <w:sz w:val="21"/>
                <w:szCs w:val="21"/>
                <w:spacing w:val="-10"/>
              </w:rPr>
              <w:t>0000</w:t>
            </w:r>
            <w:r>
              <w:rPr>
                <w:sz w:val="21"/>
                <w:szCs w:val="21"/>
                <w:spacing w:val="-8"/>
              </w:rPr>
              <w:t>4</w:t>
            </w:r>
          </w:p>
        </w:tc>
        <w:tc>
          <w:tcPr>
            <w:tcW w:w="619" w:type="dxa"/>
            <w:vAlign w:val="top"/>
          </w:tcPr>
          <w:p>
            <w:pPr>
              <w:pStyle w:val="TableText"/>
              <w:spacing w:before="89" w:line="206" w:lineRule="auto"/>
              <w:jc w:val="right"/>
              <w:rPr>
                <w:sz w:val="21"/>
                <w:szCs w:val="21"/>
              </w:rPr>
            </w:pPr>
            <w:r>
              <w:rPr>
                <w:sz w:val="21"/>
                <w:szCs w:val="21"/>
                <w:spacing w:val="-7"/>
              </w:rPr>
              <w:t>0.0001</w:t>
            </w:r>
          </w:p>
        </w:tc>
        <w:tc>
          <w:tcPr>
            <w:tcW w:w="874" w:type="dxa"/>
            <w:vAlign w:val="top"/>
          </w:tcPr>
          <w:p>
            <w:pPr>
              <w:pStyle w:val="TableText"/>
              <w:ind w:left="379"/>
              <w:spacing w:before="74" w:line="219" w:lineRule="auto"/>
              <w:rPr>
                <w:sz w:val="21"/>
                <w:szCs w:val="21"/>
              </w:rPr>
            </w:pPr>
            <w:r>
              <w:rPr>
                <w:sz w:val="21"/>
                <w:szCs w:val="21"/>
              </w:rPr>
              <w:t>/</w:t>
            </w:r>
          </w:p>
        </w:tc>
      </w:tr>
    </w:tbl>
    <w:p>
      <w:pPr>
        <w:ind w:left="708"/>
        <w:spacing w:before="42" w:line="219" w:lineRule="auto"/>
        <w:rPr>
          <w:rFonts w:ascii="SimSun" w:hAnsi="SimSun" w:eastAsia="SimSun" w:cs="SimSun"/>
          <w:sz w:val="24"/>
          <w:szCs w:val="24"/>
        </w:rPr>
      </w:pPr>
      <w:r>
        <w:rPr>
          <w:rFonts w:ascii="SimSun" w:hAnsi="SimSun" w:eastAsia="SimSun" w:cs="SimSun"/>
          <w:sz w:val="24"/>
          <w:szCs w:val="24"/>
          <w:b/>
          <w:bCs/>
          <w:spacing w:val="-3"/>
        </w:rPr>
        <w:t>(4)固废暂存间恶臭</w:t>
      </w:r>
    </w:p>
    <w:p>
      <w:pPr>
        <w:ind w:left="84" w:right="285" w:firstLine="480"/>
        <w:spacing w:before="248" w:line="367" w:lineRule="auto"/>
        <w:rPr>
          <w:rFonts w:ascii="SimSun" w:hAnsi="SimSun" w:eastAsia="SimSun" w:cs="SimSun"/>
          <w:sz w:val="23"/>
          <w:szCs w:val="23"/>
        </w:rPr>
      </w:pPr>
      <w:r>
        <w:rPr>
          <w:rFonts w:ascii="SimSun" w:hAnsi="SimSun" w:eastAsia="SimSun" w:cs="SimSun"/>
          <w:sz w:val="23"/>
          <w:szCs w:val="23"/>
          <w:spacing w:val="10"/>
        </w:rPr>
        <w:t>项目固废暂存间设于生猪待宰圈舍北侧，主要</w:t>
      </w:r>
      <w:r>
        <w:rPr>
          <w:rFonts w:ascii="SimSun" w:hAnsi="SimSun" w:eastAsia="SimSun" w:cs="SimSun"/>
          <w:sz w:val="23"/>
          <w:szCs w:val="23"/>
          <w:spacing w:val="9"/>
        </w:rPr>
        <w:t>暂存屠宰废物、胃溶物、干</w:t>
      </w:r>
      <w:r>
        <w:rPr>
          <w:rFonts w:ascii="SimSun" w:hAnsi="SimSun" w:eastAsia="SimSun" w:cs="SimSun"/>
          <w:sz w:val="23"/>
          <w:szCs w:val="23"/>
        </w:rPr>
        <w:t xml:space="preserve"> </w:t>
      </w:r>
      <w:r>
        <w:rPr>
          <w:rFonts w:ascii="SimSun" w:hAnsi="SimSun" w:eastAsia="SimSun" w:cs="SimSun"/>
          <w:sz w:val="23"/>
          <w:szCs w:val="23"/>
          <w:spacing w:val="9"/>
        </w:rPr>
        <w:t>粪等废弃物。</w:t>
      </w:r>
    </w:p>
    <w:p>
      <w:pPr>
        <w:ind w:left="84" w:right="135" w:firstLine="480"/>
        <w:spacing w:before="5" w:line="363" w:lineRule="auto"/>
        <w:rPr>
          <w:rFonts w:ascii="SimSun" w:hAnsi="SimSun" w:eastAsia="SimSun" w:cs="SimSun"/>
          <w:sz w:val="23"/>
          <w:szCs w:val="23"/>
        </w:rPr>
      </w:pPr>
      <w:r>
        <w:rPr>
          <w:rFonts w:ascii="SimSun" w:hAnsi="SimSun" w:eastAsia="SimSun" w:cs="SimSun"/>
          <w:sz w:val="23"/>
          <w:szCs w:val="23"/>
          <w:spacing w:val="9"/>
        </w:rPr>
        <w:t>从固废暂存至运输厂外处置，存放时间一般小于8</w:t>
      </w:r>
      <w:r>
        <w:rPr>
          <w:rFonts w:ascii="Times New Roman" w:hAnsi="Times New Roman" w:eastAsia="Times New Roman" w:cs="Times New Roman"/>
          <w:sz w:val="23"/>
          <w:szCs w:val="23"/>
          <w:spacing w:val="9"/>
        </w:rPr>
        <w:t>h,   </w:t>
      </w:r>
      <w:r>
        <w:rPr>
          <w:rFonts w:ascii="SimSun" w:hAnsi="SimSun" w:eastAsia="SimSun" w:cs="SimSun"/>
          <w:sz w:val="23"/>
          <w:szCs w:val="23"/>
          <w:spacing w:val="9"/>
        </w:rPr>
        <w:t>日产日清。产生</w:t>
      </w:r>
      <w:r>
        <w:rPr>
          <w:rFonts w:ascii="SimSun" w:hAnsi="SimSun" w:eastAsia="SimSun" w:cs="SimSun"/>
          <w:sz w:val="23"/>
          <w:szCs w:val="23"/>
          <w:spacing w:val="8"/>
        </w:rPr>
        <w:t>的固</w:t>
      </w:r>
      <w:r>
        <w:rPr>
          <w:rFonts w:ascii="SimSun" w:hAnsi="SimSun" w:eastAsia="SimSun" w:cs="SimSun"/>
          <w:sz w:val="23"/>
          <w:szCs w:val="23"/>
        </w:rPr>
        <w:t xml:space="preserve">  </w:t>
      </w:r>
      <w:r>
        <w:rPr>
          <w:rFonts w:ascii="SimSun" w:hAnsi="SimSun" w:eastAsia="SimSun" w:cs="SimSun"/>
          <w:sz w:val="23"/>
          <w:szCs w:val="23"/>
          <w:spacing w:val="10"/>
        </w:rPr>
        <w:t>废用袋装密封收集后，置于固废暂存间堆放，固废暂</w:t>
      </w:r>
      <w:r>
        <w:rPr>
          <w:rFonts w:ascii="SimSun" w:hAnsi="SimSun" w:eastAsia="SimSun" w:cs="SimSun"/>
          <w:sz w:val="23"/>
          <w:szCs w:val="23"/>
          <w:spacing w:val="9"/>
        </w:rPr>
        <w:t>存间采用机械通风，产生</w:t>
      </w:r>
      <w:r>
        <w:rPr>
          <w:rFonts w:ascii="SimSun" w:hAnsi="SimSun" w:eastAsia="SimSun" w:cs="SimSun"/>
          <w:sz w:val="23"/>
          <w:szCs w:val="23"/>
        </w:rPr>
        <w:t xml:space="preserve">  </w:t>
      </w:r>
      <w:r>
        <w:rPr>
          <w:rFonts w:ascii="SimSun" w:hAnsi="SimSun" w:eastAsia="SimSun" w:cs="SimSun"/>
          <w:sz w:val="23"/>
          <w:szCs w:val="23"/>
          <w:spacing w:val="11"/>
        </w:rPr>
        <w:t>少量的恶臭与生猪屠宰车间的恶臭气体一并收集经“喷淋+</w:t>
      </w:r>
      <w:r>
        <w:rPr>
          <w:rFonts w:ascii="Times New Roman" w:hAnsi="Times New Roman" w:eastAsia="Times New Roman" w:cs="Times New Roman"/>
          <w:sz w:val="23"/>
          <w:szCs w:val="23"/>
        </w:rPr>
        <w:t>UV</w:t>
      </w:r>
      <w:r>
        <w:rPr>
          <w:rFonts w:ascii="SimSun" w:hAnsi="SimSun" w:eastAsia="SimSun" w:cs="SimSun"/>
          <w:sz w:val="23"/>
          <w:szCs w:val="23"/>
          <w:spacing w:val="11"/>
        </w:rPr>
        <w:t>光解+活性炭吸附</w:t>
      </w:r>
      <w:r>
        <w:rPr>
          <w:rFonts w:ascii="SimSun" w:hAnsi="SimSun" w:eastAsia="SimSun" w:cs="SimSun"/>
          <w:sz w:val="23"/>
          <w:szCs w:val="23"/>
          <w:spacing w:val="2"/>
        </w:rPr>
        <w:t xml:space="preserve"> </w:t>
      </w:r>
      <w:r>
        <w:rPr>
          <w:rFonts w:ascii="SimSun" w:hAnsi="SimSun" w:eastAsia="SimSun" w:cs="SimSun"/>
          <w:sz w:val="23"/>
          <w:szCs w:val="23"/>
          <w:spacing w:val="6"/>
        </w:rPr>
        <w:t>装置</w:t>
      </w:r>
      <w:r>
        <w:rPr>
          <w:rFonts w:ascii="SimSun" w:hAnsi="SimSun" w:eastAsia="SimSun" w:cs="SimSun"/>
          <w:sz w:val="23"/>
          <w:szCs w:val="23"/>
          <w:spacing w:val="-53"/>
        </w:rPr>
        <w:t xml:space="preserve"> </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TA</w:t>
      </w:r>
      <w:r>
        <w:rPr>
          <w:rFonts w:ascii="Times New Roman" w:hAnsi="Times New Roman" w:eastAsia="Times New Roman" w:cs="Times New Roman"/>
          <w:sz w:val="23"/>
          <w:szCs w:val="23"/>
          <w:spacing w:val="6"/>
        </w:rPr>
        <w:t>002)”      </w:t>
      </w:r>
      <w:r>
        <w:rPr>
          <w:rFonts w:ascii="SimSun" w:hAnsi="SimSun" w:eastAsia="SimSun" w:cs="SimSun"/>
          <w:sz w:val="23"/>
          <w:szCs w:val="23"/>
          <w:spacing w:val="6"/>
        </w:rPr>
        <w:t>除臭后，由15</w:t>
      </w:r>
      <w:r>
        <w:rPr>
          <w:rFonts w:ascii="Times New Roman" w:hAnsi="Times New Roman" w:eastAsia="Times New Roman" w:cs="Times New Roman"/>
          <w:sz w:val="23"/>
          <w:szCs w:val="23"/>
          <w:spacing w:val="6"/>
        </w:rPr>
        <w:t>m</w:t>
      </w:r>
      <w:r>
        <w:rPr>
          <w:rFonts w:ascii="SimSun" w:hAnsi="SimSun" w:eastAsia="SimSun" w:cs="SimSun"/>
          <w:sz w:val="23"/>
          <w:szCs w:val="23"/>
          <w:spacing w:val="6"/>
        </w:rPr>
        <w:t>高排气筒</w:t>
      </w:r>
      <w:r>
        <w:rPr>
          <w:rFonts w:ascii="SimSun" w:hAnsi="SimSun" w:eastAsia="SimSun" w:cs="SimSun"/>
          <w:sz w:val="23"/>
          <w:szCs w:val="23"/>
          <w:spacing w:val="-19"/>
        </w:rPr>
        <w:t xml:space="preserve"> </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DA</w:t>
      </w:r>
      <w:r>
        <w:rPr>
          <w:rFonts w:ascii="Times New Roman" w:hAnsi="Times New Roman" w:eastAsia="Times New Roman" w:cs="Times New Roman"/>
          <w:sz w:val="23"/>
          <w:szCs w:val="23"/>
          <w:spacing w:val="6"/>
        </w:rPr>
        <w:t>002)     </w:t>
      </w:r>
      <w:r>
        <w:rPr>
          <w:rFonts w:ascii="SimSun" w:hAnsi="SimSun" w:eastAsia="SimSun" w:cs="SimSun"/>
          <w:sz w:val="23"/>
          <w:szCs w:val="23"/>
          <w:spacing w:val="6"/>
        </w:rPr>
        <w:t>排</w:t>
      </w:r>
      <w:r>
        <w:rPr>
          <w:rFonts w:ascii="SimSun" w:hAnsi="SimSun" w:eastAsia="SimSun" w:cs="SimSun"/>
          <w:sz w:val="23"/>
          <w:szCs w:val="23"/>
          <w:spacing w:val="5"/>
        </w:rPr>
        <w:t>放，排放量较少，评价</w:t>
      </w:r>
      <w:r>
        <w:rPr>
          <w:rFonts w:ascii="SimSun" w:hAnsi="SimSun" w:eastAsia="SimSun" w:cs="SimSun"/>
          <w:sz w:val="23"/>
          <w:szCs w:val="23"/>
        </w:rPr>
        <w:t xml:space="preserve"> </w:t>
      </w:r>
      <w:r>
        <w:rPr>
          <w:rFonts w:ascii="SimSun" w:hAnsi="SimSun" w:eastAsia="SimSun" w:cs="SimSun"/>
          <w:sz w:val="23"/>
          <w:szCs w:val="23"/>
          <w:spacing w:val="5"/>
        </w:rPr>
        <w:t>不再定量分析。</w:t>
      </w:r>
    </w:p>
    <w:p>
      <w:pPr>
        <w:spacing w:line="363" w:lineRule="auto"/>
        <w:sectPr>
          <w:headerReference w:type="default" r:id="rId304"/>
          <w:footerReference w:type="default" r:id="rId322"/>
          <w:pgSz w:w="11910" w:h="16840"/>
          <w:pgMar w:top="1219" w:right="1705" w:bottom="990" w:left="1685" w:header="865" w:footer="782" w:gutter="0"/>
        </w:sectPr>
        <w:rPr>
          <w:rFonts w:ascii="SimSun" w:hAnsi="SimSun" w:eastAsia="SimSun" w:cs="SimSun"/>
          <w:sz w:val="23"/>
          <w:szCs w:val="23"/>
        </w:rPr>
      </w:pPr>
    </w:p>
    <w:p>
      <w:pPr>
        <w:pStyle w:val="BodyText"/>
        <w:spacing w:line="260" w:lineRule="auto"/>
        <w:rPr/>
      </w:pPr>
      <w:r/>
    </w:p>
    <w:p>
      <w:pPr>
        <w:pStyle w:val="BodyText"/>
        <w:spacing w:line="260" w:lineRule="auto"/>
        <w:rPr/>
      </w:pPr>
      <w:r/>
    </w:p>
    <w:p>
      <w:pPr>
        <w:pStyle w:val="BodyText"/>
        <w:spacing w:line="260" w:lineRule="auto"/>
        <w:rPr/>
      </w:pPr>
      <w:r/>
    </w:p>
    <w:p>
      <w:pPr>
        <w:pStyle w:val="BodyText"/>
        <w:spacing w:line="260" w:lineRule="auto"/>
        <w:rPr/>
      </w:pPr>
      <w:r/>
    </w:p>
    <w:p>
      <w:pPr>
        <w:pStyle w:val="BodyText"/>
        <w:spacing w:line="261" w:lineRule="auto"/>
        <w:rPr/>
      </w:pPr>
      <w:r/>
    </w:p>
    <w:p>
      <w:pPr>
        <w:pStyle w:val="BodyText"/>
        <w:spacing w:line="261" w:lineRule="auto"/>
        <w:rPr/>
      </w:pPr>
      <w:r/>
    </w:p>
    <w:p>
      <w:pPr>
        <w:ind w:left="104" w:right="197" w:firstLine="500"/>
        <w:spacing w:before="78" w:line="359" w:lineRule="auto"/>
        <w:rPr>
          <w:rFonts w:ascii="SimSun" w:hAnsi="SimSun" w:eastAsia="SimSun" w:cs="SimSun"/>
          <w:sz w:val="24"/>
          <w:szCs w:val="24"/>
        </w:rPr>
      </w:pPr>
      <w:r>
        <w:rPr>
          <w:rFonts w:ascii="SimSun" w:hAnsi="SimSun" w:eastAsia="SimSun" w:cs="SimSun"/>
          <w:sz w:val="24"/>
          <w:szCs w:val="24"/>
          <w:spacing w:val="-6"/>
        </w:rPr>
        <w:t>项目设置1台1.5t/h燃气蒸汽发生器，产生的蒸汽供生产过程中使用。蒸汽</w:t>
      </w:r>
      <w:r>
        <w:rPr>
          <w:rFonts w:ascii="SimSun" w:hAnsi="SimSun" w:eastAsia="SimSun" w:cs="SimSun"/>
          <w:sz w:val="24"/>
          <w:szCs w:val="24"/>
          <w:spacing w:val="7"/>
        </w:rPr>
        <w:t xml:space="preserve">  </w:t>
      </w:r>
      <w:r>
        <w:rPr>
          <w:rFonts w:ascii="SimSun" w:hAnsi="SimSun" w:eastAsia="SimSun" w:cs="SimSun"/>
          <w:sz w:val="24"/>
          <w:szCs w:val="24"/>
        </w:rPr>
        <w:t>发生器燃料耗量由蒸汽发生器输出热量、效率及燃料的低位发热量决定，项目</w:t>
      </w:r>
      <w:r>
        <w:rPr>
          <w:rFonts w:ascii="SimSun" w:hAnsi="SimSun" w:eastAsia="SimSun" w:cs="SimSun"/>
          <w:sz w:val="24"/>
          <w:szCs w:val="24"/>
          <w:spacing w:val="5"/>
        </w:rPr>
        <w:t xml:space="preserve"> </w:t>
      </w:r>
      <w:r>
        <w:rPr>
          <w:rFonts w:ascii="SimSun" w:hAnsi="SimSun" w:eastAsia="SimSun" w:cs="SimSun"/>
          <w:sz w:val="24"/>
          <w:szCs w:val="24"/>
        </w:rPr>
        <w:t>燃气蒸汽发生器每小时消耗天然气按照80m³进行核算，淡旺季每天使</w:t>
      </w:r>
      <w:r>
        <w:rPr>
          <w:rFonts w:ascii="SimSun" w:hAnsi="SimSun" w:eastAsia="SimSun" w:cs="SimSun"/>
          <w:sz w:val="24"/>
          <w:szCs w:val="24"/>
          <w:spacing w:val="-1"/>
        </w:rPr>
        <w:t>用8h, 则</w:t>
      </w:r>
      <w:r>
        <w:rPr>
          <w:rFonts w:ascii="SimSun" w:hAnsi="SimSun" w:eastAsia="SimSun" w:cs="SimSun"/>
          <w:sz w:val="24"/>
          <w:szCs w:val="24"/>
        </w:rPr>
        <w:t xml:space="preserve"> </w:t>
      </w:r>
      <w:r>
        <w:rPr>
          <w:rFonts w:ascii="SimSun" w:hAnsi="SimSun" w:eastAsia="SimSun" w:cs="SimSun"/>
          <w:sz w:val="24"/>
          <w:szCs w:val="24"/>
          <w:spacing w:val="-1"/>
        </w:rPr>
        <w:t>淡季消耗天然气约17.28万m³, 旺季消耗天然气约5.76</w:t>
      </w:r>
      <w:r>
        <w:rPr>
          <w:rFonts w:ascii="SimSun" w:hAnsi="SimSun" w:eastAsia="SimSun" w:cs="SimSun"/>
          <w:sz w:val="24"/>
          <w:szCs w:val="24"/>
          <w:spacing w:val="-2"/>
        </w:rPr>
        <w:t>万m³, 合计年消耗天然气</w:t>
      </w:r>
      <w:r>
        <w:rPr>
          <w:rFonts w:ascii="SimSun" w:hAnsi="SimSun" w:eastAsia="SimSun" w:cs="SimSun"/>
          <w:sz w:val="24"/>
          <w:szCs w:val="24"/>
        </w:rPr>
        <w:t xml:space="preserve"> </w:t>
      </w:r>
      <w:r>
        <w:rPr>
          <w:rFonts w:ascii="SimSun" w:hAnsi="SimSun" w:eastAsia="SimSun" w:cs="SimSun"/>
          <w:sz w:val="24"/>
          <w:szCs w:val="24"/>
          <w:spacing w:val="-8"/>
        </w:rPr>
        <w:t>约23.04万m³。</w:t>
      </w:r>
    </w:p>
    <w:p>
      <w:pPr>
        <w:ind w:left="104" w:right="114" w:firstLine="500"/>
        <w:spacing w:before="7" w:line="355" w:lineRule="auto"/>
        <w:jc w:val="both"/>
        <w:rPr>
          <w:rFonts w:ascii="SimSun" w:hAnsi="SimSun" w:eastAsia="SimSun" w:cs="SimSun"/>
          <w:sz w:val="24"/>
          <w:szCs w:val="24"/>
        </w:rPr>
      </w:pPr>
      <w:r>
        <w:rPr>
          <w:rFonts w:ascii="SimSun" w:hAnsi="SimSun" w:eastAsia="SimSun" w:cs="SimSun"/>
          <w:sz w:val="24"/>
          <w:szCs w:val="24"/>
          <w:spacing w:val="-1"/>
        </w:rPr>
        <w:t>根据《污染源源强核算技术指南锅炉》 (HJ991-2018)</w:t>
      </w:r>
      <w:r>
        <w:rPr>
          <w:rFonts w:ascii="SimSun" w:hAnsi="SimSun" w:eastAsia="SimSun" w:cs="SimSun"/>
          <w:sz w:val="24"/>
          <w:szCs w:val="24"/>
          <w:spacing w:val="47"/>
        </w:rPr>
        <w:t xml:space="preserve"> </w:t>
      </w:r>
      <w:r>
        <w:rPr>
          <w:rFonts w:ascii="SimSun" w:hAnsi="SimSun" w:eastAsia="SimSun" w:cs="SimSun"/>
          <w:sz w:val="24"/>
          <w:szCs w:val="24"/>
          <w:spacing w:val="-1"/>
        </w:rPr>
        <w:t>第C.7条，本项目烟</w:t>
      </w:r>
      <w:r>
        <w:rPr>
          <w:rFonts w:ascii="SimSun" w:hAnsi="SimSun" w:eastAsia="SimSun" w:cs="SimSun"/>
          <w:sz w:val="24"/>
          <w:szCs w:val="24"/>
        </w:rPr>
        <w:t xml:space="preserve"> </w:t>
      </w:r>
      <w:r>
        <w:rPr>
          <w:rFonts w:ascii="SimSun" w:hAnsi="SimSun" w:eastAsia="SimSun" w:cs="SimSun"/>
          <w:sz w:val="24"/>
          <w:szCs w:val="24"/>
        </w:rPr>
        <w:t>气量采用蒸汽发生器生产商提供的烟气量，实际烟气量为1</w:t>
      </w:r>
      <w:r>
        <w:rPr>
          <w:rFonts w:ascii="SimSun" w:hAnsi="SimSun" w:eastAsia="SimSun" w:cs="SimSun"/>
          <w:sz w:val="24"/>
          <w:szCs w:val="24"/>
          <w:spacing w:val="-1"/>
        </w:rPr>
        <w:t>200Nm³/h,</w:t>
      </w:r>
      <w:r>
        <w:rPr>
          <w:rFonts w:ascii="SimSun" w:hAnsi="SimSun" w:eastAsia="SimSun" w:cs="SimSun"/>
          <w:sz w:val="24"/>
          <w:szCs w:val="24"/>
          <w:spacing w:val="32"/>
        </w:rPr>
        <w:t xml:space="preserve"> </w:t>
      </w:r>
      <w:r>
        <w:rPr>
          <w:rFonts w:ascii="SimSun" w:hAnsi="SimSun" w:eastAsia="SimSun" w:cs="SimSun"/>
          <w:sz w:val="24"/>
          <w:szCs w:val="24"/>
          <w:spacing w:val="-1"/>
        </w:rPr>
        <w:t>同时结合</w:t>
      </w:r>
      <w:r>
        <w:rPr>
          <w:rFonts w:ascii="SimSun" w:hAnsi="SimSun" w:eastAsia="SimSun" w:cs="SimSun"/>
          <w:sz w:val="24"/>
          <w:szCs w:val="24"/>
        </w:rPr>
        <w:t xml:space="preserve"> </w:t>
      </w:r>
      <w:r>
        <w:rPr>
          <w:rFonts w:ascii="SimSun" w:hAnsi="SimSun" w:eastAsia="SimSun" w:cs="SimSun"/>
          <w:sz w:val="24"/>
          <w:szCs w:val="24"/>
          <w:spacing w:val="-1"/>
        </w:rPr>
        <w:t>《排污许可证申请与核发技术规范锅炉》</w:t>
      </w:r>
      <w:r>
        <w:rPr>
          <w:rFonts w:ascii="SimSun" w:hAnsi="SimSun" w:eastAsia="SimSun" w:cs="SimSun"/>
          <w:sz w:val="24"/>
          <w:szCs w:val="24"/>
          <w:spacing w:val="85"/>
        </w:rPr>
        <w:t xml:space="preserve"> </w:t>
      </w:r>
      <w:r>
        <w:rPr>
          <w:rFonts w:ascii="SimSun" w:hAnsi="SimSun" w:eastAsia="SimSun" w:cs="SimSun"/>
          <w:sz w:val="24"/>
          <w:szCs w:val="24"/>
          <w:spacing w:val="-1"/>
        </w:rPr>
        <w:t>(HJ953-2018),  本项目天然气废气</w:t>
      </w:r>
      <w:r>
        <w:rPr>
          <w:rFonts w:ascii="SimSun" w:hAnsi="SimSun" w:eastAsia="SimSun" w:cs="SimSun"/>
          <w:sz w:val="24"/>
          <w:szCs w:val="24"/>
        </w:rPr>
        <w:t xml:space="preserve">  </w:t>
      </w:r>
      <w:r>
        <w:rPr>
          <w:rFonts w:ascii="SimSun" w:hAnsi="SimSun" w:eastAsia="SimSun" w:cs="SimSun"/>
          <w:sz w:val="24"/>
          <w:szCs w:val="24"/>
          <w:spacing w:val="-3"/>
        </w:rPr>
        <w:t>产排污系数如下表所示。</w:t>
      </w:r>
    </w:p>
    <w:p>
      <w:pPr>
        <w:ind w:left="1928"/>
        <w:spacing w:line="206" w:lineRule="auto"/>
        <w:rPr>
          <w:rFonts w:ascii="SimSun" w:hAnsi="SimSun" w:eastAsia="SimSun" w:cs="SimSun"/>
          <w:sz w:val="24"/>
          <w:szCs w:val="24"/>
        </w:rPr>
      </w:pPr>
      <w:r>
        <w:rPr>
          <w:rFonts w:ascii="SimSun" w:hAnsi="SimSun" w:eastAsia="SimSun" w:cs="SimSun"/>
          <w:sz w:val="24"/>
          <w:szCs w:val="24"/>
          <w:b/>
          <w:bCs/>
          <w:spacing w:val="-3"/>
        </w:rPr>
        <w:t>表3.11-24天然气工业锅炉的废气产排污系数</w:t>
      </w:r>
    </w:p>
    <w:tbl>
      <w:tblPr>
        <w:tblStyle w:val="TableNormal"/>
        <w:tblW w:w="8518"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84"/>
        <w:gridCol w:w="479"/>
        <w:gridCol w:w="430"/>
        <w:gridCol w:w="449"/>
        <w:gridCol w:w="919"/>
        <w:gridCol w:w="679"/>
        <w:gridCol w:w="1998"/>
        <w:gridCol w:w="979"/>
        <w:gridCol w:w="619"/>
        <w:gridCol w:w="1482"/>
      </w:tblGrid>
      <w:tr>
        <w:trPr>
          <w:trHeight w:val="552" w:hRule="atLeast"/>
        </w:trPr>
        <w:tc>
          <w:tcPr>
            <w:shd w:val="clear" w:fill="BDBDBD"/>
            <w:tcW w:w="484" w:type="dxa"/>
            <w:vAlign w:val="top"/>
          </w:tcPr>
          <w:p>
            <w:pPr>
              <w:pStyle w:val="TableText"/>
              <w:ind w:left="18" w:right="20"/>
              <w:spacing w:before="41" w:line="220" w:lineRule="auto"/>
              <w:rPr>
                <w:sz w:val="21"/>
                <w:szCs w:val="21"/>
              </w:rPr>
            </w:pPr>
            <w:r>
              <w:rPr>
                <w:sz w:val="21"/>
                <w:szCs w:val="21"/>
                <w:b/>
                <w:bCs/>
                <w:spacing w:val="5"/>
              </w:rPr>
              <w:t>产品</w:t>
            </w:r>
            <w:r>
              <w:rPr>
                <w:sz w:val="21"/>
                <w:szCs w:val="21"/>
              </w:rPr>
              <w:t xml:space="preserve"> </w:t>
            </w:r>
            <w:r>
              <w:rPr>
                <w:sz w:val="21"/>
                <w:szCs w:val="21"/>
                <w:b/>
                <w:bCs/>
                <w:spacing w:val="-5"/>
              </w:rPr>
              <w:t>名称</w:t>
            </w:r>
          </w:p>
        </w:tc>
        <w:tc>
          <w:tcPr>
            <w:shd w:val="clear" w:fill="0B0B0B"/>
            <w:tcW w:w="479" w:type="dxa"/>
            <w:vAlign w:val="top"/>
          </w:tcPr>
          <w:p>
            <w:pPr>
              <w:pStyle w:val="TableText"/>
              <w:ind w:left="23"/>
              <w:spacing w:before="41" w:line="220" w:lineRule="auto"/>
              <w:rPr>
                <w:sz w:val="21"/>
                <w:szCs w:val="21"/>
              </w:rPr>
            </w:pPr>
            <w:r>
              <w:rPr>
                <w:sz w:val="21"/>
                <w:szCs w:val="21"/>
                <w:b/>
                <w:bCs/>
                <w:spacing w:val="-5"/>
              </w:rPr>
              <w:t>燃料</w:t>
            </w:r>
          </w:p>
          <w:p>
            <w:pPr>
              <w:pStyle w:val="TableText"/>
              <w:ind w:left="23"/>
              <w:spacing w:before="1" w:line="219" w:lineRule="auto"/>
              <w:rPr>
                <w:sz w:val="21"/>
                <w:szCs w:val="21"/>
              </w:rPr>
            </w:pPr>
            <w:r>
              <w:rPr>
                <w:sz w:val="21"/>
                <w:szCs w:val="21"/>
                <w:b/>
                <w:bCs/>
                <w:spacing w:val="-5"/>
              </w:rPr>
              <w:t>名称</w:t>
            </w:r>
          </w:p>
        </w:tc>
        <w:tc>
          <w:tcPr>
            <w:shd w:val="clear" w:fill="BDBDBD"/>
            <w:tcW w:w="430" w:type="dxa"/>
            <w:vAlign w:val="top"/>
          </w:tcPr>
          <w:p>
            <w:pPr>
              <w:pStyle w:val="TableText"/>
              <w:spacing w:before="51" w:line="212" w:lineRule="auto"/>
              <w:jc w:val="right"/>
              <w:rPr>
                <w:sz w:val="21"/>
                <w:szCs w:val="21"/>
              </w:rPr>
            </w:pPr>
            <w:r>
              <w:rPr>
                <w:sz w:val="21"/>
                <w:szCs w:val="21"/>
                <w:b/>
                <w:bCs/>
                <w:spacing w:val="-10"/>
              </w:rPr>
              <w:t>工艺</w:t>
            </w:r>
          </w:p>
          <w:p>
            <w:pPr>
              <w:pStyle w:val="TableText"/>
              <w:spacing w:before="1" w:line="218" w:lineRule="auto"/>
              <w:jc w:val="right"/>
              <w:rPr>
                <w:sz w:val="21"/>
                <w:szCs w:val="21"/>
              </w:rPr>
            </w:pPr>
            <w:r>
              <w:rPr>
                <w:sz w:val="21"/>
                <w:szCs w:val="21"/>
                <w:b/>
                <w:bCs/>
                <w:spacing w:val="-10"/>
              </w:rPr>
              <w:t>名称</w:t>
            </w:r>
          </w:p>
        </w:tc>
        <w:tc>
          <w:tcPr>
            <w:shd w:val="clear" w:fill="0B0B0B"/>
            <w:tcW w:w="449" w:type="dxa"/>
            <w:vAlign w:val="top"/>
          </w:tcPr>
          <w:p>
            <w:pPr>
              <w:pStyle w:val="TableText"/>
              <w:ind w:left="5"/>
              <w:spacing w:before="40" w:line="219" w:lineRule="auto"/>
              <w:rPr>
                <w:sz w:val="21"/>
                <w:szCs w:val="21"/>
              </w:rPr>
            </w:pPr>
            <w:r>
              <w:rPr>
                <w:sz w:val="21"/>
                <w:szCs w:val="21"/>
                <w:b/>
                <w:bCs/>
                <w:spacing w:val="-5"/>
              </w:rPr>
              <w:t>规模</w:t>
            </w:r>
          </w:p>
          <w:p>
            <w:pPr>
              <w:pStyle w:val="TableText"/>
              <w:ind w:left="5"/>
              <w:spacing w:line="219" w:lineRule="auto"/>
              <w:rPr>
                <w:sz w:val="21"/>
                <w:szCs w:val="21"/>
              </w:rPr>
            </w:pPr>
            <w:r>
              <w:rPr>
                <w:sz w:val="21"/>
                <w:szCs w:val="21"/>
                <w:b/>
                <w:bCs/>
                <w:spacing w:val="-5"/>
              </w:rPr>
              <w:t>等级</w:t>
            </w:r>
          </w:p>
        </w:tc>
        <w:tc>
          <w:tcPr>
            <w:shd w:val="clear" w:fill="BDBDBD"/>
            <w:tcW w:w="919" w:type="dxa"/>
            <w:vAlign w:val="top"/>
          </w:tcPr>
          <w:p>
            <w:pPr>
              <w:pStyle w:val="TableText"/>
              <w:ind w:left="245" w:right="152" w:hanging="110"/>
              <w:spacing w:before="41" w:line="220" w:lineRule="auto"/>
              <w:rPr>
                <w:sz w:val="21"/>
                <w:szCs w:val="21"/>
              </w:rPr>
            </w:pPr>
            <w:r>
              <w:rPr>
                <w:sz w:val="21"/>
                <w:szCs w:val="21"/>
                <w:b/>
                <w:bCs/>
                <w:spacing w:val="-6"/>
              </w:rPr>
              <w:t>污染物</w:t>
            </w:r>
            <w:r>
              <w:rPr>
                <w:sz w:val="21"/>
                <w:szCs w:val="21"/>
              </w:rPr>
              <w:t xml:space="preserve"> </w:t>
            </w:r>
            <w:r>
              <w:rPr>
                <w:sz w:val="21"/>
                <w:szCs w:val="21"/>
                <w:b/>
                <w:bCs/>
                <w:spacing w:val="-5"/>
              </w:rPr>
              <w:t>指标</w:t>
            </w:r>
          </w:p>
        </w:tc>
        <w:tc>
          <w:tcPr>
            <w:shd w:val="clear" w:fill="BDBDBD"/>
            <w:tcW w:w="679" w:type="dxa"/>
            <w:vAlign w:val="top"/>
          </w:tcPr>
          <w:p>
            <w:pPr>
              <w:pStyle w:val="TableText"/>
              <w:ind w:left="126"/>
              <w:spacing w:before="171" w:line="220" w:lineRule="auto"/>
              <w:rPr>
                <w:sz w:val="21"/>
                <w:szCs w:val="21"/>
              </w:rPr>
            </w:pPr>
            <w:r>
              <w:rPr>
                <w:sz w:val="21"/>
                <w:szCs w:val="21"/>
                <w:b/>
                <w:bCs/>
                <w:spacing w:val="-5"/>
              </w:rPr>
              <w:t>单位</w:t>
            </w:r>
          </w:p>
        </w:tc>
        <w:tc>
          <w:tcPr>
            <w:shd w:val="clear" w:fill="BDBDBD"/>
            <w:tcW w:w="1998" w:type="dxa"/>
            <w:vAlign w:val="top"/>
          </w:tcPr>
          <w:p>
            <w:pPr>
              <w:pStyle w:val="TableText"/>
              <w:ind w:left="577"/>
              <w:spacing w:before="170" w:line="219" w:lineRule="auto"/>
              <w:rPr>
                <w:sz w:val="21"/>
                <w:szCs w:val="21"/>
              </w:rPr>
            </w:pPr>
            <w:r>
              <w:rPr>
                <w:sz w:val="21"/>
                <w:szCs w:val="21"/>
                <w:b/>
                <w:bCs/>
                <w:spacing w:val="-4"/>
              </w:rPr>
              <w:t>产污系数</w:t>
            </w:r>
          </w:p>
        </w:tc>
        <w:tc>
          <w:tcPr>
            <w:shd w:val="clear" w:fill="BDBDBD"/>
            <w:tcW w:w="979" w:type="dxa"/>
            <w:vAlign w:val="top"/>
          </w:tcPr>
          <w:p>
            <w:pPr>
              <w:pStyle w:val="TableText"/>
              <w:ind w:left="69"/>
              <w:spacing w:before="40" w:line="219" w:lineRule="auto"/>
              <w:rPr>
                <w:sz w:val="21"/>
                <w:szCs w:val="21"/>
              </w:rPr>
            </w:pPr>
            <w:r>
              <w:rPr>
                <w:sz w:val="21"/>
                <w:szCs w:val="21"/>
                <w:b/>
                <w:bCs/>
                <w:spacing w:val="-4"/>
              </w:rPr>
              <w:t>末端治理</w:t>
            </w:r>
          </w:p>
          <w:p>
            <w:pPr>
              <w:pStyle w:val="TableText"/>
              <w:ind w:left="69"/>
              <w:spacing w:before="19" w:line="204" w:lineRule="auto"/>
              <w:rPr>
                <w:sz w:val="21"/>
                <w:szCs w:val="21"/>
              </w:rPr>
            </w:pPr>
            <w:r>
              <w:rPr>
                <w:sz w:val="21"/>
                <w:szCs w:val="21"/>
                <w:b/>
                <w:bCs/>
                <w:spacing w:val="-4"/>
              </w:rPr>
              <w:t>技术名称</w:t>
            </w:r>
          </w:p>
        </w:tc>
        <w:tc>
          <w:tcPr>
            <w:shd w:val="clear" w:fill="808080"/>
            <w:tcW w:w="619" w:type="dxa"/>
            <w:vAlign w:val="top"/>
          </w:tcPr>
          <w:p>
            <w:pPr>
              <w:pStyle w:val="TableText"/>
              <w:ind w:left="101"/>
              <w:spacing w:before="43" w:line="217" w:lineRule="auto"/>
              <w:rPr>
                <w:sz w:val="21"/>
                <w:szCs w:val="21"/>
              </w:rPr>
            </w:pPr>
            <w:r>
              <w:rPr>
                <w:sz w:val="21"/>
                <w:szCs w:val="21"/>
                <w:b/>
                <w:bCs/>
                <w:spacing w:val="-5"/>
              </w:rPr>
              <w:t>排污</w:t>
            </w:r>
          </w:p>
          <w:p>
            <w:pPr>
              <w:pStyle w:val="TableText"/>
              <w:ind w:left="101"/>
              <w:spacing w:line="219" w:lineRule="auto"/>
              <w:rPr>
                <w:sz w:val="21"/>
                <w:szCs w:val="21"/>
              </w:rPr>
            </w:pPr>
            <w:r>
              <w:rPr>
                <w:sz w:val="21"/>
                <w:szCs w:val="21"/>
                <w:b/>
                <w:bCs/>
                <w:spacing w:val="-6"/>
              </w:rPr>
              <w:t>系数</w:t>
            </w:r>
          </w:p>
        </w:tc>
        <w:tc>
          <w:tcPr>
            <w:shd w:val="clear" w:fill="BDBDBD"/>
            <w:tcW w:w="1482" w:type="dxa"/>
            <w:vAlign w:val="top"/>
          </w:tcPr>
          <w:p>
            <w:pPr>
              <w:pStyle w:val="TableText"/>
              <w:ind w:left="521"/>
              <w:spacing w:before="170" w:line="219" w:lineRule="auto"/>
              <w:rPr>
                <w:sz w:val="21"/>
                <w:szCs w:val="21"/>
              </w:rPr>
            </w:pPr>
            <w:r>
              <w:rPr>
                <w:sz w:val="21"/>
                <w:szCs w:val="21"/>
                <w:b/>
                <w:bCs/>
                <w:spacing w:val="-5"/>
              </w:rPr>
              <w:t>来源</w:t>
            </w:r>
          </w:p>
        </w:tc>
      </w:tr>
      <w:tr>
        <w:trPr>
          <w:trHeight w:val="279" w:hRule="atLeast"/>
        </w:trPr>
        <w:tc>
          <w:tcPr>
            <w:tcW w:w="484" w:type="dxa"/>
            <w:vAlign w:val="top"/>
            <w:vMerge w:val="restart"/>
            <w:tcBorders>
              <w:bottom w:val="nil"/>
            </w:tcBorders>
          </w:tcPr>
          <w:p>
            <w:pPr>
              <w:pStyle w:val="TableText"/>
              <w:ind w:left="15"/>
              <w:spacing w:before="184" w:line="221" w:lineRule="auto"/>
              <w:rPr>
                <w:sz w:val="21"/>
                <w:szCs w:val="21"/>
              </w:rPr>
            </w:pPr>
            <w:r>
              <w:rPr>
                <w:sz w:val="21"/>
                <w:szCs w:val="21"/>
                <w:spacing w:val="6"/>
              </w:rPr>
              <w:t>蒸汽</w:t>
            </w:r>
          </w:p>
          <w:p>
            <w:pPr>
              <w:pStyle w:val="TableText"/>
              <w:ind w:left="15"/>
              <w:spacing w:before="25" w:line="219" w:lineRule="auto"/>
              <w:rPr>
                <w:sz w:val="21"/>
                <w:szCs w:val="21"/>
              </w:rPr>
            </w:pPr>
            <w:r>
              <w:rPr>
                <w:sz w:val="21"/>
                <w:szCs w:val="21"/>
                <w:spacing w:val="4"/>
              </w:rPr>
              <w:t>热水</w:t>
            </w:r>
          </w:p>
          <w:p>
            <w:pPr>
              <w:pStyle w:val="TableText"/>
              <w:ind w:left="15"/>
              <w:spacing w:before="11" w:line="221" w:lineRule="auto"/>
              <w:rPr>
                <w:sz w:val="21"/>
                <w:szCs w:val="21"/>
              </w:rPr>
            </w:pPr>
            <w:r>
              <w:rPr>
                <w:sz w:val="21"/>
                <w:szCs w:val="21"/>
                <w:spacing w:val="7"/>
              </w:rPr>
              <w:t>其它</w:t>
            </w:r>
          </w:p>
        </w:tc>
        <w:tc>
          <w:tcPr>
            <w:tcW w:w="479" w:type="dxa"/>
            <w:vAlign w:val="top"/>
            <w:vMerge w:val="restart"/>
            <w:tcBorders>
              <w:bottom w:val="nil"/>
            </w:tcBorders>
          </w:tcPr>
          <w:p>
            <w:pPr>
              <w:spacing w:line="262" w:lineRule="auto"/>
              <w:rPr>
                <w:rFonts w:ascii="Arial"/>
                <w:sz w:val="21"/>
              </w:rPr>
            </w:pPr>
            <w:r/>
          </w:p>
          <w:p>
            <w:pPr>
              <w:pStyle w:val="TableText"/>
              <w:ind w:left="120" w:right="17" w:hanging="100"/>
              <w:spacing w:before="68" w:line="232" w:lineRule="auto"/>
              <w:rPr>
                <w:sz w:val="21"/>
                <w:szCs w:val="21"/>
              </w:rPr>
            </w:pPr>
            <w:r>
              <w:rPr>
                <w:sz w:val="21"/>
                <w:szCs w:val="21"/>
                <w:spacing w:val="5"/>
              </w:rPr>
              <w:t>天然</w:t>
            </w:r>
            <w:r>
              <w:rPr>
                <w:sz w:val="21"/>
                <w:szCs w:val="21"/>
              </w:rPr>
              <w:t xml:space="preserve"> </w:t>
            </w:r>
            <w:r>
              <w:rPr>
                <w:sz w:val="21"/>
                <w:szCs w:val="21"/>
              </w:rPr>
              <w:t>气</w:t>
            </w:r>
          </w:p>
        </w:tc>
        <w:tc>
          <w:tcPr>
            <w:tcW w:w="430" w:type="dxa"/>
            <w:vAlign w:val="top"/>
            <w:vMerge w:val="restart"/>
            <w:tcBorders>
              <w:bottom w:val="nil"/>
            </w:tcBorders>
          </w:tcPr>
          <w:p>
            <w:pPr>
              <w:spacing w:line="264" w:lineRule="auto"/>
              <w:rPr>
                <w:rFonts w:ascii="Arial"/>
                <w:sz w:val="21"/>
              </w:rPr>
            </w:pPr>
            <w:r/>
          </w:p>
          <w:p>
            <w:pPr>
              <w:pStyle w:val="TableText"/>
              <w:ind w:left="100" w:hanging="89"/>
              <w:spacing w:before="68" w:line="229" w:lineRule="auto"/>
              <w:rPr>
                <w:sz w:val="21"/>
                <w:szCs w:val="21"/>
              </w:rPr>
            </w:pPr>
            <w:r>
              <w:rPr>
                <w:sz w:val="21"/>
                <w:szCs w:val="21"/>
                <w:spacing w:val="-6"/>
              </w:rPr>
              <w:t>室燃</w:t>
            </w:r>
            <w:r>
              <w:rPr>
                <w:sz w:val="21"/>
                <w:szCs w:val="21"/>
              </w:rPr>
              <w:t xml:space="preserve"> </w:t>
            </w:r>
            <w:r>
              <w:rPr>
                <w:sz w:val="21"/>
                <w:szCs w:val="21"/>
              </w:rPr>
              <w:t>炉</w:t>
            </w:r>
          </w:p>
        </w:tc>
        <w:tc>
          <w:tcPr>
            <w:tcW w:w="449" w:type="dxa"/>
            <w:vAlign w:val="top"/>
            <w:vMerge w:val="restart"/>
            <w:tcBorders>
              <w:bottom w:val="nil"/>
            </w:tcBorders>
          </w:tcPr>
          <w:p>
            <w:pPr>
              <w:spacing w:line="262" w:lineRule="auto"/>
              <w:rPr>
                <w:rFonts w:ascii="Arial"/>
                <w:sz w:val="21"/>
              </w:rPr>
            </w:pPr>
            <w:r/>
          </w:p>
          <w:p>
            <w:pPr>
              <w:pStyle w:val="TableText"/>
              <w:ind w:left="2"/>
              <w:spacing w:before="68" w:line="220" w:lineRule="auto"/>
              <w:rPr>
                <w:sz w:val="21"/>
                <w:szCs w:val="21"/>
              </w:rPr>
            </w:pPr>
            <w:r>
              <w:rPr>
                <w:sz w:val="21"/>
                <w:szCs w:val="21"/>
                <w:spacing w:val="-3"/>
              </w:rPr>
              <w:t>所有</w:t>
            </w:r>
          </w:p>
          <w:p>
            <w:pPr>
              <w:pStyle w:val="TableText"/>
              <w:ind w:left="2"/>
              <w:spacing w:before="9" w:line="219" w:lineRule="auto"/>
              <w:rPr>
                <w:sz w:val="21"/>
                <w:szCs w:val="21"/>
              </w:rPr>
            </w:pPr>
            <w:r>
              <w:rPr>
                <w:sz w:val="21"/>
                <w:szCs w:val="21"/>
                <w:spacing w:val="-3"/>
              </w:rPr>
              <w:t>规模</w:t>
            </w:r>
          </w:p>
        </w:tc>
        <w:tc>
          <w:tcPr>
            <w:tcW w:w="919" w:type="dxa"/>
            <w:vAlign w:val="top"/>
          </w:tcPr>
          <w:p>
            <w:pPr>
              <w:pStyle w:val="TableText"/>
              <w:ind w:left="32"/>
              <w:spacing w:before="40" w:line="201" w:lineRule="auto"/>
              <w:rPr>
                <w:sz w:val="21"/>
                <w:szCs w:val="21"/>
              </w:rPr>
            </w:pPr>
            <w:r>
              <w:rPr>
                <w:sz w:val="21"/>
                <w:szCs w:val="21"/>
                <w:spacing w:val="2"/>
              </w:rPr>
              <w:t>二氧化硫</w:t>
            </w:r>
          </w:p>
        </w:tc>
        <w:tc>
          <w:tcPr>
            <w:tcW w:w="679" w:type="dxa"/>
            <w:vAlign w:val="top"/>
            <w:vMerge w:val="restart"/>
            <w:tcBorders>
              <w:bottom w:val="nil"/>
            </w:tcBorders>
          </w:tcPr>
          <w:p>
            <w:pPr>
              <w:pStyle w:val="TableText"/>
              <w:ind w:left="63"/>
              <w:spacing w:before="41" w:line="219" w:lineRule="auto"/>
              <w:rPr>
                <w:sz w:val="21"/>
                <w:szCs w:val="21"/>
              </w:rPr>
            </w:pPr>
            <w:r>
              <w:rPr>
                <w:sz w:val="21"/>
                <w:szCs w:val="21"/>
                <w:color w:val="405050"/>
                <w:spacing w:val="4"/>
              </w:rPr>
              <w:t>千克/</w:t>
            </w:r>
          </w:p>
          <w:p>
            <w:pPr>
              <w:pStyle w:val="TableText"/>
              <w:ind w:left="14"/>
              <w:spacing w:before="31" w:line="220" w:lineRule="auto"/>
              <w:rPr>
                <w:sz w:val="21"/>
                <w:szCs w:val="21"/>
              </w:rPr>
            </w:pPr>
            <w:r>
              <w:rPr>
                <w:sz w:val="21"/>
                <w:szCs w:val="21"/>
                <w:spacing w:val="2"/>
              </w:rPr>
              <w:t>万立方</w:t>
            </w:r>
          </w:p>
          <w:p>
            <w:pPr>
              <w:pStyle w:val="TableText"/>
              <w:ind w:left="63"/>
              <w:spacing w:before="19" w:line="219" w:lineRule="auto"/>
              <w:rPr>
                <w:sz w:val="21"/>
                <w:szCs w:val="21"/>
              </w:rPr>
            </w:pPr>
            <w:r>
              <w:rPr>
                <w:sz w:val="21"/>
                <w:szCs w:val="21"/>
                <w:spacing w:val="4"/>
              </w:rPr>
              <w:t>米-燃</w:t>
            </w:r>
          </w:p>
          <w:p>
            <w:pPr>
              <w:pStyle w:val="TableText"/>
              <w:ind w:left="224"/>
              <w:spacing w:before="31" w:line="205" w:lineRule="auto"/>
              <w:rPr>
                <w:sz w:val="21"/>
                <w:szCs w:val="21"/>
              </w:rPr>
            </w:pPr>
            <w:r>
              <w:rPr>
                <w:sz w:val="21"/>
                <w:szCs w:val="21"/>
              </w:rPr>
              <w:t>料</w:t>
            </w:r>
          </w:p>
        </w:tc>
        <w:tc>
          <w:tcPr>
            <w:tcW w:w="1998" w:type="dxa"/>
            <w:vAlign w:val="top"/>
          </w:tcPr>
          <w:p>
            <w:pPr>
              <w:pStyle w:val="TableText"/>
              <w:ind w:left="724"/>
              <w:spacing w:before="63" w:line="181" w:lineRule="auto"/>
              <w:rPr>
                <w:sz w:val="21"/>
                <w:szCs w:val="21"/>
              </w:rPr>
            </w:pPr>
            <w:r>
              <w:rPr>
                <w:sz w:val="21"/>
                <w:szCs w:val="21"/>
                <w:spacing w:val="-2"/>
              </w:rPr>
              <w:t>0.02S</w:t>
            </w:r>
          </w:p>
        </w:tc>
        <w:tc>
          <w:tcPr>
            <w:tcW w:w="979" w:type="dxa"/>
            <w:vAlign w:val="top"/>
            <w:vMerge w:val="restart"/>
            <w:tcBorders>
              <w:bottom w:val="nil"/>
            </w:tcBorders>
          </w:tcPr>
          <w:p>
            <w:pPr>
              <w:spacing w:line="393" w:lineRule="auto"/>
              <w:rPr>
                <w:rFonts w:ascii="Arial"/>
                <w:sz w:val="21"/>
              </w:rPr>
            </w:pPr>
            <w:r/>
          </w:p>
          <w:p>
            <w:pPr>
              <w:pStyle w:val="TableText"/>
              <w:ind w:left="277"/>
              <w:spacing w:before="69" w:line="221" w:lineRule="auto"/>
              <w:rPr>
                <w:sz w:val="21"/>
                <w:szCs w:val="21"/>
              </w:rPr>
            </w:pPr>
            <w:r>
              <w:rPr>
                <w:sz w:val="21"/>
                <w:szCs w:val="21"/>
                <w:spacing w:val="-3"/>
              </w:rPr>
              <w:t>直排</w:t>
            </w:r>
          </w:p>
        </w:tc>
        <w:tc>
          <w:tcPr>
            <w:tcW w:w="619" w:type="dxa"/>
            <w:vAlign w:val="top"/>
          </w:tcPr>
          <w:p>
            <w:pPr>
              <w:pStyle w:val="TableText"/>
              <w:ind w:left="37"/>
              <w:spacing w:before="63" w:line="181" w:lineRule="auto"/>
              <w:rPr>
                <w:sz w:val="21"/>
                <w:szCs w:val="21"/>
              </w:rPr>
            </w:pPr>
            <w:r>
              <w:rPr>
                <w:sz w:val="21"/>
                <w:szCs w:val="21"/>
                <w:spacing w:val="-2"/>
              </w:rPr>
              <w:t>0.02S</w:t>
            </w:r>
          </w:p>
        </w:tc>
        <w:tc>
          <w:tcPr>
            <w:tcW w:w="1482" w:type="dxa"/>
            <w:vAlign w:val="top"/>
            <w:vMerge w:val="restart"/>
            <w:tcBorders>
              <w:bottom w:val="nil"/>
            </w:tcBorders>
          </w:tcPr>
          <w:p>
            <w:pPr>
              <w:pStyle w:val="TableText"/>
              <w:spacing w:before="51" w:line="219" w:lineRule="auto"/>
              <w:rPr>
                <w:sz w:val="21"/>
                <w:szCs w:val="21"/>
              </w:rPr>
            </w:pPr>
            <w:r>
              <w:rPr>
                <w:sz w:val="21"/>
                <w:szCs w:val="21"/>
                <w:spacing w:val="-8"/>
              </w:rPr>
              <w:t>《排污许可证申</w:t>
            </w:r>
          </w:p>
          <w:p>
            <w:pPr>
              <w:pStyle w:val="TableText"/>
              <w:spacing w:before="21" w:line="219" w:lineRule="auto"/>
              <w:jc w:val="right"/>
              <w:rPr>
                <w:sz w:val="21"/>
                <w:szCs w:val="21"/>
              </w:rPr>
            </w:pPr>
            <w:r>
              <w:rPr>
                <w:sz w:val="21"/>
                <w:szCs w:val="21"/>
                <w:spacing w:val="-3"/>
              </w:rPr>
              <w:t>请与核发技术规</w:t>
            </w:r>
          </w:p>
          <w:p>
            <w:pPr>
              <w:pStyle w:val="TableText"/>
              <w:ind w:left="358"/>
              <w:spacing w:before="21" w:line="220" w:lineRule="auto"/>
              <w:rPr>
                <w:sz w:val="21"/>
                <w:szCs w:val="21"/>
              </w:rPr>
            </w:pPr>
            <w:r>
              <w:rPr>
                <w:sz w:val="21"/>
                <w:szCs w:val="21"/>
                <w:spacing w:val="1"/>
              </w:rPr>
              <w:t>范锅炉》</w:t>
            </w:r>
          </w:p>
          <w:p>
            <w:pPr>
              <w:pStyle w:val="TableText"/>
              <w:ind w:left="98"/>
              <w:spacing w:before="37" w:line="199" w:lineRule="auto"/>
              <w:rPr>
                <w:sz w:val="21"/>
                <w:szCs w:val="21"/>
              </w:rPr>
            </w:pPr>
            <w:r>
              <w:rPr>
                <w:sz w:val="21"/>
                <w:szCs w:val="21"/>
                <w:spacing w:val="-4"/>
              </w:rPr>
              <w:t>(HJ953-2018)</w:t>
            </w:r>
          </w:p>
        </w:tc>
      </w:tr>
      <w:tr>
        <w:trPr>
          <w:trHeight w:val="269" w:hRule="atLeast"/>
        </w:trPr>
        <w:tc>
          <w:tcPr>
            <w:tcW w:w="484" w:type="dxa"/>
            <w:vAlign w:val="top"/>
            <w:vMerge w:val="continue"/>
            <w:tcBorders>
              <w:top w:val="nil"/>
              <w:bottom w:val="nil"/>
            </w:tcBorders>
          </w:tcPr>
          <w:p>
            <w:pPr>
              <w:rPr>
                <w:rFonts w:ascii="Arial"/>
                <w:sz w:val="21"/>
              </w:rPr>
            </w:pPr>
            <w:r/>
          </w:p>
        </w:tc>
        <w:tc>
          <w:tcPr>
            <w:tcW w:w="479" w:type="dxa"/>
            <w:vAlign w:val="top"/>
            <w:vMerge w:val="continue"/>
            <w:tcBorders>
              <w:top w:val="nil"/>
              <w:bottom w:val="nil"/>
            </w:tcBorders>
          </w:tcPr>
          <w:p>
            <w:pPr>
              <w:rPr>
                <w:rFonts w:ascii="Arial"/>
                <w:sz w:val="21"/>
              </w:rPr>
            </w:pPr>
            <w:r/>
          </w:p>
        </w:tc>
        <w:tc>
          <w:tcPr>
            <w:tcW w:w="430" w:type="dxa"/>
            <w:vAlign w:val="top"/>
            <w:vMerge w:val="continue"/>
            <w:tcBorders>
              <w:top w:val="nil"/>
              <w:bottom w:val="nil"/>
            </w:tcBorders>
          </w:tcPr>
          <w:p>
            <w:pPr>
              <w:rPr>
                <w:rFonts w:ascii="Arial"/>
                <w:sz w:val="21"/>
              </w:rPr>
            </w:pPr>
            <w:r/>
          </w:p>
        </w:tc>
        <w:tc>
          <w:tcPr>
            <w:tcW w:w="449" w:type="dxa"/>
            <w:vAlign w:val="top"/>
            <w:vMerge w:val="continue"/>
            <w:tcBorders>
              <w:top w:val="nil"/>
              <w:bottom w:val="nil"/>
            </w:tcBorders>
          </w:tcPr>
          <w:p>
            <w:pPr>
              <w:rPr>
                <w:rFonts w:ascii="Arial"/>
                <w:sz w:val="21"/>
              </w:rPr>
            </w:pPr>
            <w:r/>
          </w:p>
        </w:tc>
        <w:tc>
          <w:tcPr>
            <w:tcW w:w="919" w:type="dxa"/>
            <w:vAlign w:val="top"/>
          </w:tcPr>
          <w:p>
            <w:pPr>
              <w:pStyle w:val="TableText"/>
              <w:ind w:left="132"/>
              <w:spacing w:before="33" w:line="198" w:lineRule="auto"/>
              <w:rPr>
                <w:sz w:val="21"/>
                <w:szCs w:val="21"/>
              </w:rPr>
            </w:pPr>
            <w:r>
              <w:rPr>
                <w:sz w:val="21"/>
                <w:szCs w:val="21"/>
                <w:color w:val="404040"/>
                <w:spacing w:val="-2"/>
              </w:rPr>
              <w:t>颗粒物</w:t>
            </w:r>
          </w:p>
        </w:tc>
        <w:tc>
          <w:tcPr>
            <w:tcW w:w="679" w:type="dxa"/>
            <w:vAlign w:val="top"/>
            <w:vMerge w:val="continue"/>
            <w:tcBorders>
              <w:top w:val="nil"/>
              <w:bottom w:val="nil"/>
            </w:tcBorders>
          </w:tcPr>
          <w:p>
            <w:pPr>
              <w:rPr>
                <w:rFonts w:ascii="Arial"/>
                <w:sz w:val="21"/>
              </w:rPr>
            </w:pPr>
            <w:r/>
          </w:p>
        </w:tc>
        <w:tc>
          <w:tcPr>
            <w:tcW w:w="1998" w:type="dxa"/>
            <w:vAlign w:val="top"/>
          </w:tcPr>
          <w:p>
            <w:pPr>
              <w:pStyle w:val="TableText"/>
              <w:ind w:left="784"/>
              <w:spacing w:before="53" w:line="181" w:lineRule="auto"/>
              <w:rPr>
                <w:sz w:val="21"/>
                <w:szCs w:val="21"/>
              </w:rPr>
            </w:pPr>
            <w:r>
              <w:rPr>
                <w:sz w:val="21"/>
                <w:szCs w:val="21"/>
                <w:spacing w:val="-3"/>
              </w:rPr>
              <w:t>2.86</w:t>
            </w:r>
          </w:p>
        </w:tc>
        <w:tc>
          <w:tcPr>
            <w:tcW w:w="979" w:type="dxa"/>
            <w:vAlign w:val="top"/>
            <w:vMerge w:val="continue"/>
            <w:tcBorders>
              <w:top w:val="nil"/>
              <w:bottom w:val="nil"/>
            </w:tcBorders>
          </w:tcPr>
          <w:p>
            <w:pPr>
              <w:rPr>
                <w:rFonts w:ascii="Arial"/>
                <w:sz w:val="21"/>
              </w:rPr>
            </w:pPr>
            <w:r/>
          </w:p>
        </w:tc>
        <w:tc>
          <w:tcPr>
            <w:tcW w:w="619" w:type="dxa"/>
            <w:vAlign w:val="top"/>
          </w:tcPr>
          <w:p>
            <w:pPr>
              <w:pStyle w:val="TableText"/>
              <w:ind w:left="98"/>
              <w:spacing w:before="53" w:line="181" w:lineRule="auto"/>
              <w:rPr>
                <w:sz w:val="21"/>
                <w:szCs w:val="21"/>
              </w:rPr>
            </w:pPr>
            <w:r>
              <w:rPr>
                <w:sz w:val="21"/>
                <w:szCs w:val="21"/>
                <w:spacing w:val="-3"/>
              </w:rPr>
              <w:t>2.86</w:t>
            </w:r>
          </w:p>
        </w:tc>
        <w:tc>
          <w:tcPr>
            <w:tcW w:w="1482" w:type="dxa"/>
            <w:vAlign w:val="top"/>
            <w:vMerge w:val="continue"/>
            <w:tcBorders>
              <w:top w:val="nil"/>
              <w:bottom w:val="nil"/>
            </w:tcBorders>
          </w:tcPr>
          <w:p>
            <w:pPr>
              <w:rPr>
                <w:rFonts w:ascii="Arial"/>
                <w:sz w:val="21"/>
              </w:rPr>
            </w:pPr>
            <w:r/>
          </w:p>
        </w:tc>
      </w:tr>
      <w:tr>
        <w:trPr>
          <w:trHeight w:val="279" w:hRule="atLeast"/>
        </w:trPr>
        <w:tc>
          <w:tcPr>
            <w:tcW w:w="484" w:type="dxa"/>
            <w:vAlign w:val="top"/>
            <w:vMerge w:val="continue"/>
            <w:tcBorders>
              <w:top w:val="nil"/>
              <w:bottom w:val="nil"/>
            </w:tcBorders>
          </w:tcPr>
          <w:p>
            <w:pPr>
              <w:rPr>
                <w:rFonts w:ascii="Arial"/>
                <w:sz w:val="21"/>
              </w:rPr>
            </w:pPr>
            <w:r/>
          </w:p>
        </w:tc>
        <w:tc>
          <w:tcPr>
            <w:tcW w:w="479" w:type="dxa"/>
            <w:vAlign w:val="top"/>
            <w:vMerge w:val="continue"/>
            <w:tcBorders>
              <w:top w:val="nil"/>
              <w:bottom w:val="nil"/>
            </w:tcBorders>
          </w:tcPr>
          <w:p>
            <w:pPr>
              <w:rPr>
                <w:rFonts w:ascii="Arial"/>
                <w:sz w:val="21"/>
              </w:rPr>
            </w:pPr>
            <w:r/>
          </w:p>
        </w:tc>
        <w:tc>
          <w:tcPr>
            <w:tcW w:w="430" w:type="dxa"/>
            <w:vAlign w:val="top"/>
            <w:vMerge w:val="continue"/>
            <w:tcBorders>
              <w:top w:val="nil"/>
              <w:bottom w:val="nil"/>
            </w:tcBorders>
          </w:tcPr>
          <w:p>
            <w:pPr>
              <w:rPr>
                <w:rFonts w:ascii="Arial"/>
                <w:sz w:val="21"/>
              </w:rPr>
            </w:pPr>
            <w:r/>
          </w:p>
        </w:tc>
        <w:tc>
          <w:tcPr>
            <w:tcW w:w="449" w:type="dxa"/>
            <w:vAlign w:val="top"/>
            <w:vMerge w:val="continue"/>
            <w:tcBorders>
              <w:top w:val="nil"/>
              <w:bottom w:val="nil"/>
            </w:tcBorders>
          </w:tcPr>
          <w:p>
            <w:pPr>
              <w:rPr>
                <w:rFonts w:ascii="Arial"/>
                <w:sz w:val="21"/>
              </w:rPr>
            </w:pPr>
            <w:r/>
          </w:p>
        </w:tc>
        <w:tc>
          <w:tcPr>
            <w:tcW w:w="919" w:type="dxa"/>
            <w:vAlign w:val="top"/>
            <w:vMerge w:val="restart"/>
            <w:tcBorders>
              <w:bottom w:val="nil"/>
            </w:tcBorders>
          </w:tcPr>
          <w:p>
            <w:pPr>
              <w:pStyle w:val="TableText"/>
              <w:ind w:left="32"/>
              <w:spacing w:before="172" w:line="219" w:lineRule="auto"/>
              <w:rPr>
                <w:sz w:val="21"/>
                <w:szCs w:val="21"/>
              </w:rPr>
            </w:pPr>
            <w:r>
              <w:rPr>
                <w:sz w:val="21"/>
                <w:szCs w:val="21"/>
                <w:spacing w:val="-2"/>
              </w:rPr>
              <w:t>氮氧化物</w:t>
            </w:r>
          </w:p>
        </w:tc>
        <w:tc>
          <w:tcPr>
            <w:tcW w:w="679" w:type="dxa"/>
            <w:vAlign w:val="top"/>
            <w:vMerge w:val="continue"/>
            <w:tcBorders>
              <w:top w:val="nil"/>
              <w:bottom w:val="nil"/>
            </w:tcBorders>
          </w:tcPr>
          <w:p>
            <w:pPr>
              <w:rPr>
                <w:rFonts w:ascii="Arial"/>
                <w:sz w:val="21"/>
              </w:rPr>
            </w:pPr>
            <w:r/>
          </w:p>
        </w:tc>
        <w:tc>
          <w:tcPr>
            <w:tcW w:w="1998" w:type="dxa"/>
            <w:vAlign w:val="top"/>
          </w:tcPr>
          <w:p>
            <w:pPr>
              <w:pStyle w:val="TableText"/>
              <w:ind w:left="95"/>
              <w:spacing w:before="42" w:line="199" w:lineRule="auto"/>
              <w:rPr>
                <w:sz w:val="21"/>
                <w:szCs w:val="21"/>
              </w:rPr>
            </w:pPr>
            <w:r>
              <w:rPr>
                <w:sz w:val="21"/>
                <w:szCs w:val="21"/>
                <w:spacing w:val="4"/>
              </w:rPr>
              <w:t>18.71(无低氮燃烧)</w:t>
            </w:r>
          </w:p>
        </w:tc>
        <w:tc>
          <w:tcPr>
            <w:tcW w:w="979" w:type="dxa"/>
            <w:vAlign w:val="top"/>
            <w:vMerge w:val="continue"/>
            <w:tcBorders>
              <w:top w:val="nil"/>
              <w:bottom w:val="nil"/>
            </w:tcBorders>
          </w:tcPr>
          <w:p>
            <w:pPr>
              <w:rPr>
                <w:rFonts w:ascii="Arial"/>
                <w:sz w:val="21"/>
              </w:rPr>
            </w:pPr>
            <w:r/>
          </w:p>
        </w:tc>
        <w:tc>
          <w:tcPr>
            <w:tcW w:w="619" w:type="dxa"/>
            <w:vAlign w:val="top"/>
          </w:tcPr>
          <w:p>
            <w:pPr>
              <w:pStyle w:val="TableText"/>
              <w:ind w:left="37"/>
              <w:spacing w:before="64" w:line="180" w:lineRule="auto"/>
              <w:rPr>
                <w:sz w:val="21"/>
                <w:szCs w:val="21"/>
              </w:rPr>
            </w:pPr>
            <w:r>
              <w:rPr>
                <w:sz w:val="21"/>
                <w:szCs w:val="21"/>
                <w:color w:val="605060"/>
                <w:spacing w:val="-4"/>
              </w:rPr>
              <w:t>18.71</w:t>
            </w:r>
          </w:p>
        </w:tc>
        <w:tc>
          <w:tcPr>
            <w:tcW w:w="1482" w:type="dxa"/>
            <w:vAlign w:val="top"/>
            <w:vMerge w:val="continue"/>
            <w:tcBorders>
              <w:top w:val="nil"/>
              <w:bottom w:val="nil"/>
            </w:tcBorders>
          </w:tcPr>
          <w:p>
            <w:pPr>
              <w:rPr>
                <w:rFonts w:ascii="Arial"/>
                <w:sz w:val="21"/>
              </w:rPr>
            </w:pPr>
            <w:r/>
          </w:p>
        </w:tc>
      </w:tr>
      <w:tr>
        <w:trPr>
          <w:trHeight w:val="259" w:hRule="atLeast"/>
        </w:trPr>
        <w:tc>
          <w:tcPr>
            <w:tcW w:w="484" w:type="dxa"/>
            <w:vAlign w:val="top"/>
            <w:vMerge w:val="continue"/>
            <w:tcBorders>
              <w:top w:val="nil"/>
            </w:tcBorders>
          </w:tcPr>
          <w:p>
            <w:pPr>
              <w:rPr>
                <w:rFonts w:ascii="Arial"/>
                <w:sz w:val="21"/>
              </w:rPr>
            </w:pPr>
            <w:r/>
          </w:p>
        </w:tc>
        <w:tc>
          <w:tcPr>
            <w:tcW w:w="479" w:type="dxa"/>
            <w:vAlign w:val="top"/>
            <w:vMerge w:val="continue"/>
            <w:tcBorders>
              <w:top w:val="nil"/>
            </w:tcBorders>
          </w:tcPr>
          <w:p>
            <w:pPr>
              <w:rPr>
                <w:rFonts w:ascii="Arial"/>
                <w:sz w:val="21"/>
              </w:rPr>
            </w:pPr>
            <w:r/>
          </w:p>
        </w:tc>
        <w:tc>
          <w:tcPr>
            <w:tcW w:w="430" w:type="dxa"/>
            <w:vAlign w:val="top"/>
            <w:vMerge w:val="continue"/>
            <w:tcBorders>
              <w:top w:val="nil"/>
            </w:tcBorders>
          </w:tcPr>
          <w:p>
            <w:pPr>
              <w:rPr>
                <w:rFonts w:ascii="Arial"/>
                <w:sz w:val="21"/>
              </w:rPr>
            </w:pPr>
            <w:r/>
          </w:p>
        </w:tc>
        <w:tc>
          <w:tcPr>
            <w:tcW w:w="449" w:type="dxa"/>
            <w:vAlign w:val="top"/>
            <w:vMerge w:val="continue"/>
            <w:tcBorders>
              <w:top w:val="nil"/>
            </w:tcBorders>
          </w:tcPr>
          <w:p>
            <w:pPr>
              <w:rPr>
                <w:rFonts w:ascii="Arial"/>
                <w:sz w:val="21"/>
              </w:rPr>
            </w:pPr>
            <w:r/>
          </w:p>
        </w:tc>
        <w:tc>
          <w:tcPr>
            <w:tcW w:w="919" w:type="dxa"/>
            <w:vAlign w:val="top"/>
            <w:vMerge w:val="continue"/>
            <w:tcBorders>
              <w:top w:val="nil"/>
            </w:tcBorders>
          </w:tcPr>
          <w:p>
            <w:pPr>
              <w:rPr>
                <w:rFonts w:ascii="Arial"/>
                <w:sz w:val="21"/>
              </w:rPr>
            </w:pPr>
            <w:r/>
          </w:p>
        </w:tc>
        <w:tc>
          <w:tcPr>
            <w:tcW w:w="679" w:type="dxa"/>
            <w:vAlign w:val="top"/>
            <w:vMerge w:val="continue"/>
            <w:tcBorders>
              <w:top w:val="nil"/>
            </w:tcBorders>
          </w:tcPr>
          <w:p>
            <w:pPr>
              <w:rPr>
                <w:rFonts w:ascii="Arial"/>
                <w:sz w:val="21"/>
              </w:rPr>
            </w:pPr>
            <w:r/>
          </w:p>
        </w:tc>
        <w:tc>
          <w:tcPr>
            <w:tcW w:w="1998" w:type="dxa"/>
            <w:vAlign w:val="top"/>
          </w:tcPr>
          <w:p>
            <w:pPr>
              <w:pStyle w:val="TableText"/>
              <w:ind w:left="254"/>
              <w:spacing w:before="34" w:line="189" w:lineRule="auto"/>
              <w:rPr>
                <w:sz w:val="21"/>
                <w:szCs w:val="21"/>
              </w:rPr>
            </w:pPr>
            <w:r>
              <w:rPr>
                <w:sz w:val="21"/>
                <w:szCs w:val="21"/>
                <w:spacing w:val="4"/>
              </w:rPr>
              <w:t>9.36(低氮燃烧)</w:t>
            </w:r>
          </w:p>
        </w:tc>
        <w:tc>
          <w:tcPr>
            <w:tcW w:w="979" w:type="dxa"/>
            <w:vAlign w:val="top"/>
            <w:vMerge w:val="continue"/>
            <w:tcBorders>
              <w:top w:val="nil"/>
            </w:tcBorders>
          </w:tcPr>
          <w:p>
            <w:pPr>
              <w:rPr>
                <w:rFonts w:ascii="Arial"/>
                <w:sz w:val="21"/>
              </w:rPr>
            </w:pPr>
            <w:r/>
          </w:p>
        </w:tc>
        <w:tc>
          <w:tcPr>
            <w:tcW w:w="619" w:type="dxa"/>
            <w:vAlign w:val="top"/>
          </w:tcPr>
          <w:p>
            <w:pPr>
              <w:pStyle w:val="TableText"/>
              <w:ind w:left="98"/>
              <w:spacing w:before="55" w:line="170" w:lineRule="auto"/>
              <w:rPr>
                <w:sz w:val="21"/>
                <w:szCs w:val="21"/>
              </w:rPr>
            </w:pPr>
            <w:r>
              <w:rPr>
                <w:sz w:val="21"/>
                <w:szCs w:val="21"/>
                <w:spacing w:val="-2"/>
              </w:rPr>
              <w:t>9.36</w:t>
            </w:r>
          </w:p>
        </w:tc>
        <w:tc>
          <w:tcPr>
            <w:tcW w:w="1482" w:type="dxa"/>
            <w:vAlign w:val="top"/>
            <w:vMerge w:val="continue"/>
            <w:tcBorders>
              <w:top w:val="nil"/>
            </w:tcBorders>
          </w:tcPr>
          <w:p>
            <w:pPr>
              <w:rPr>
                <w:rFonts w:ascii="Arial"/>
                <w:sz w:val="21"/>
              </w:rPr>
            </w:pPr>
            <w:r/>
          </w:p>
        </w:tc>
      </w:tr>
      <w:tr>
        <w:trPr>
          <w:trHeight w:val="562" w:hRule="atLeast"/>
        </w:trPr>
        <w:tc>
          <w:tcPr>
            <w:tcW w:w="8518" w:type="dxa"/>
            <w:vAlign w:val="top"/>
            <w:gridSpan w:val="10"/>
          </w:tcPr>
          <w:p>
            <w:pPr>
              <w:pStyle w:val="TableText"/>
              <w:ind w:left="15"/>
              <w:spacing w:before="68" w:line="214" w:lineRule="auto"/>
              <w:rPr>
                <w:sz w:val="21"/>
                <w:szCs w:val="21"/>
              </w:rPr>
            </w:pPr>
            <w:r>
              <w:rPr>
                <w:sz w:val="21"/>
                <w:szCs w:val="21"/>
                <w:spacing w:val="3"/>
              </w:rPr>
              <w:t>注：1、S指含硫量，根据《天然气》(</w:t>
            </w:r>
            <w:r>
              <w:rPr>
                <w:sz w:val="21"/>
                <w:szCs w:val="21"/>
              </w:rPr>
              <w:t>GB</w:t>
            </w:r>
            <w:r>
              <w:rPr>
                <w:sz w:val="21"/>
                <w:szCs w:val="21"/>
                <w:spacing w:val="3"/>
              </w:rPr>
              <w:t>17</w:t>
            </w:r>
            <w:r>
              <w:rPr>
                <w:sz w:val="21"/>
                <w:szCs w:val="21"/>
                <w:spacing w:val="2"/>
              </w:rPr>
              <w:t>820-2018),本项目S取100</w:t>
            </w:r>
            <w:r>
              <w:rPr>
                <w:sz w:val="21"/>
                <w:szCs w:val="21"/>
              </w:rPr>
              <w:t>mg</w:t>
            </w:r>
            <w:r>
              <w:rPr>
                <w:sz w:val="21"/>
                <w:szCs w:val="21"/>
                <w:spacing w:val="2"/>
              </w:rPr>
              <w:t>/m³。</w:t>
            </w:r>
          </w:p>
          <w:p>
            <w:pPr>
              <w:pStyle w:val="TableText"/>
              <w:ind w:left="15"/>
              <w:spacing w:before="3" w:line="208" w:lineRule="auto"/>
              <w:rPr>
                <w:sz w:val="21"/>
                <w:szCs w:val="21"/>
              </w:rPr>
            </w:pPr>
            <w:r>
              <w:rPr>
                <w:sz w:val="21"/>
                <w:szCs w:val="21"/>
                <w:spacing w:val="-1"/>
              </w:rPr>
              <w:t>2、项目采用国内领先的低氮燃烧技术。</w:t>
            </w:r>
          </w:p>
        </w:tc>
      </w:tr>
    </w:tbl>
    <w:p>
      <w:pPr>
        <w:ind w:left="114" w:right="363" w:firstLine="490"/>
        <w:spacing w:before="54" w:line="380" w:lineRule="auto"/>
        <w:rPr>
          <w:rFonts w:ascii="SimSun" w:hAnsi="SimSun" w:eastAsia="SimSun" w:cs="SimSun"/>
          <w:sz w:val="24"/>
          <w:szCs w:val="24"/>
        </w:rPr>
      </w:pPr>
      <w:r>
        <w:rPr>
          <w:rFonts w:ascii="SimSun" w:hAnsi="SimSun" w:eastAsia="SimSun" w:cs="SimSun"/>
          <w:sz w:val="24"/>
          <w:szCs w:val="24"/>
        </w:rPr>
        <w:t>根据《污染源源强核算技术指南锅炉》(HJ991-2018)第5.4产污系数法， </w:t>
      </w:r>
      <w:r>
        <w:rPr>
          <w:rFonts w:ascii="SimSun" w:hAnsi="SimSun" w:eastAsia="SimSun" w:cs="SimSun"/>
          <w:sz w:val="24"/>
          <w:szCs w:val="24"/>
          <w:spacing w:val="-3"/>
        </w:rPr>
        <w:t>燃气锅炉污染物源强按照下式计算。</w:t>
      </w:r>
    </w:p>
    <w:p>
      <w:pPr>
        <w:ind w:firstLine="2924"/>
        <w:spacing w:before="3" w:line="510" w:lineRule="exact"/>
        <w:rPr/>
      </w:pPr>
      <w:r>
        <w:rPr>
          <w:position w:val="-10"/>
        </w:rPr>
        <w:drawing>
          <wp:inline distT="0" distB="0" distL="0" distR="0">
            <wp:extent cx="1714498" cy="323796"/>
            <wp:effectExtent l="0" t="0" r="0" b="0"/>
            <wp:docPr id="82" name="IM 82"/>
            <wp:cNvGraphicFramePr/>
            <a:graphic>
              <a:graphicData uri="http://schemas.openxmlformats.org/drawingml/2006/picture">
                <pic:pic>
                  <pic:nvPicPr>
                    <pic:cNvPr id="82" name="IM 82"/>
                    <pic:cNvPicPr/>
                  </pic:nvPicPr>
                  <pic:blipFill>
                    <a:blip r:embed="rId325"/>
                    <a:stretch>
                      <a:fillRect/>
                    </a:stretch>
                  </pic:blipFill>
                  <pic:spPr>
                    <a:xfrm rot="0">
                      <a:off x="0" y="0"/>
                      <a:ext cx="1714498" cy="323796"/>
                    </a:xfrm>
                    <a:prstGeom prst="rect">
                      <a:avLst/>
                    </a:prstGeom>
                  </pic:spPr>
                </pic:pic>
              </a:graphicData>
            </a:graphic>
          </wp:inline>
        </w:drawing>
      </w:r>
    </w:p>
    <w:p>
      <w:pPr>
        <w:ind w:left="595"/>
        <w:spacing w:before="192" w:line="212" w:lineRule="auto"/>
        <w:rPr>
          <w:rFonts w:ascii="Times New Roman" w:hAnsi="Times New Roman" w:eastAsia="Times New Roman" w:cs="Times New Roman"/>
          <w:sz w:val="24"/>
          <w:szCs w:val="24"/>
        </w:rPr>
      </w:pPr>
      <w:r>
        <w:rPr>
          <w:rFonts w:ascii="SimSun" w:hAnsi="SimSun" w:eastAsia="SimSun" w:cs="SimSun"/>
          <w:sz w:val="24"/>
          <w:szCs w:val="24"/>
          <w:spacing w:val="-5"/>
        </w:rPr>
        <w:t>式中：</w:t>
      </w:r>
      <w:r>
        <w:rPr>
          <w:rFonts w:ascii="Times New Roman" w:hAnsi="Times New Roman" w:eastAsia="Times New Roman" w:cs="Times New Roman"/>
          <w:sz w:val="24"/>
          <w:szCs w:val="24"/>
          <w:spacing w:val="-5"/>
        </w:rPr>
        <w:t>E—</w:t>
      </w:r>
      <w:r>
        <w:rPr>
          <w:rFonts w:ascii="Times New Roman" w:hAnsi="Times New Roman" w:eastAsia="Times New Roman" w:cs="Times New Roman"/>
          <w:sz w:val="24"/>
          <w:szCs w:val="24"/>
          <w:spacing w:val="44"/>
        </w:rPr>
        <w:t xml:space="preserve"> </w:t>
      </w:r>
      <w:r>
        <w:rPr>
          <w:rFonts w:ascii="SimSun" w:hAnsi="SimSun" w:eastAsia="SimSun" w:cs="SimSun"/>
          <w:sz w:val="24"/>
          <w:szCs w:val="24"/>
          <w:spacing w:val="-5"/>
        </w:rPr>
        <w:t>核算时段内第</w:t>
      </w:r>
      <w:r>
        <w:rPr>
          <w:rFonts w:ascii="Times New Roman" w:hAnsi="Times New Roman" w:eastAsia="Times New Roman" w:cs="Times New Roman"/>
          <w:sz w:val="24"/>
          <w:szCs w:val="24"/>
          <w:spacing w:val="-5"/>
        </w:rPr>
        <w:t>j</w:t>
      </w:r>
      <w:r>
        <w:rPr>
          <w:rFonts w:ascii="SimSun" w:hAnsi="SimSun" w:eastAsia="SimSun" w:cs="SimSun"/>
          <w:sz w:val="24"/>
          <w:szCs w:val="24"/>
          <w:spacing w:val="-5"/>
        </w:rPr>
        <w:t>种污染物排放量，</w:t>
      </w:r>
      <w:r>
        <w:rPr>
          <w:rFonts w:ascii="Times New Roman" w:hAnsi="Times New Roman" w:eastAsia="Times New Roman" w:cs="Times New Roman"/>
          <w:sz w:val="24"/>
          <w:szCs w:val="24"/>
          <w:spacing w:val="-5"/>
        </w:rPr>
        <w:t>t;</w:t>
      </w:r>
    </w:p>
    <w:p>
      <w:pPr>
        <w:ind w:left="1294"/>
        <w:spacing w:before="203" w:line="219" w:lineRule="auto"/>
        <w:rPr>
          <w:rFonts w:ascii="SimSun" w:hAnsi="SimSun" w:eastAsia="SimSun" w:cs="SimSun"/>
          <w:sz w:val="24"/>
          <w:szCs w:val="24"/>
        </w:rPr>
      </w:pPr>
      <w:r>
        <w:rPr>
          <w:rFonts w:ascii="SimSun" w:hAnsi="SimSun" w:eastAsia="SimSun" w:cs="SimSun"/>
          <w:sz w:val="24"/>
          <w:szCs w:val="24"/>
          <w:spacing w:val="-4"/>
        </w:rPr>
        <w:t>R—</w:t>
      </w:r>
      <w:r>
        <w:rPr>
          <w:rFonts w:ascii="SimSun" w:hAnsi="SimSun" w:eastAsia="SimSun" w:cs="SimSun"/>
          <w:sz w:val="24"/>
          <w:szCs w:val="24"/>
          <w:spacing w:val="-52"/>
        </w:rPr>
        <w:t xml:space="preserve"> </w:t>
      </w:r>
      <w:r>
        <w:rPr>
          <w:rFonts w:ascii="SimSun" w:hAnsi="SimSun" w:eastAsia="SimSun" w:cs="SimSun"/>
          <w:sz w:val="24"/>
          <w:szCs w:val="24"/>
          <w:spacing w:val="-4"/>
        </w:rPr>
        <w:t>核算时段内燃料耗量，t或万m³;</w:t>
      </w:r>
    </w:p>
    <w:p>
      <w:pPr>
        <w:ind w:left="94" w:right="163" w:firstLine="1210"/>
        <w:spacing w:before="206" w:line="345" w:lineRule="auto"/>
        <w:rPr>
          <w:rFonts w:ascii="SimSun" w:hAnsi="SimSun" w:eastAsia="SimSun" w:cs="SimSun"/>
          <w:sz w:val="24"/>
          <w:szCs w:val="24"/>
        </w:rPr>
      </w:pPr>
      <w:r>
        <w:rPr>
          <w:rFonts w:ascii="SimSun" w:hAnsi="SimSun" w:eastAsia="SimSun" w:cs="SimSun"/>
          <w:sz w:val="24"/>
          <w:szCs w:val="24"/>
          <w:spacing w:val="-8"/>
        </w:rPr>
        <w:t>β—产污系数，kg/t或kg/万m³,SO</w:t>
      </w:r>
      <w:r>
        <w:rPr>
          <w:rFonts w:ascii="Calibri" w:hAnsi="Calibri" w:eastAsia="Calibri" w:cs="Calibri"/>
          <w:sz w:val="24"/>
          <w:szCs w:val="24"/>
          <w:spacing w:val="-8"/>
        </w:rPr>
        <w:t>₂</w:t>
      </w:r>
      <w:r>
        <w:rPr>
          <w:rFonts w:ascii="Calibri" w:hAnsi="Calibri" w:eastAsia="Calibri" w:cs="Calibri"/>
          <w:sz w:val="24"/>
          <w:szCs w:val="24"/>
          <w:spacing w:val="-29"/>
        </w:rPr>
        <w:t xml:space="preserve"> </w:t>
      </w:r>
      <w:r>
        <w:rPr>
          <w:rFonts w:ascii="SimSun" w:hAnsi="SimSun" w:eastAsia="SimSun" w:cs="SimSun"/>
          <w:sz w:val="24"/>
          <w:szCs w:val="24"/>
          <w:spacing w:val="-8"/>
        </w:rPr>
        <w:t>、</w:t>
      </w:r>
      <w:r>
        <w:rPr>
          <w:rFonts w:ascii="SimSun" w:hAnsi="SimSun" w:eastAsia="SimSun" w:cs="SimSun"/>
          <w:sz w:val="24"/>
          <w:szCs w:val="24"/>
          <w:spacing w:val="92"/>
        </w:rPr>
        <w:t xml:space="preserve"> </w:t>
      </w:r>
      <w:r>
        <w:rPr>
          <w:rFonts w:ascii="SimSun" w:hAnsi="SimSun" w:eastAsia="SimSun" w:cs="SimSun"/>
          <w:sz w:val="24"/>
          <w:szCs w:val="24"/>
          <w:spacing w:val="-8"/>
        </w:rPr>
        <w:t>颗粒物及氮氧化物产污系数参</w:t>
      </w:r>
      <w:r>
        <w:rPr>
          <w:rFonts w:ascii="SimSun" w:hAnsi="SimSun" w:eastAsia="SimSun" w:cs="SimSun"/>
          <w:sz w:val="24"/>
          <w:szCs w:val="24"/>
        </w:rPr>
        <w:t xml:space="preserve"> </w:t>
      </w:r>
      <w:r>
        <w:rPr>
          <w:rFonts w:ascii="SimSun" w:hAnsi="SimSun" w:eastAsia="SimSun" w:cs="SimSun"/>
          <w:sz w:val="24"/>
          <w:szCs w:val="24"/>
          <w:spacing w:val="-3"/>
        </w:rPr>
        <w:t>考《排污许可证申请与核发技术规范锅炉》</w:t>
      </w:r>
      <w:r>
        <w:rPr>
          <w:rFonts w:ascii="SimSun" w:hAnsi="SimSun" w:eastAsia="SimSun" w:cs="SimSun"/>
          <w:sz w:val="24"/>
          <w:szCs w:val="24"/>
          <w:spacing w:val="81"/>
        </w:rPr>
        <w:t xml:space="preserve"> </w:t>
      </w:r>
      <w:r>
        <w:rPr>
          <w:rFonts w:ascii="SimSun" w:hAnsi="SimSun" w:eastAsia="SimSun" w:cs="SimSun"/>
          <w:sz w:val="24"/>
          <w:szCs w:val="24"/>
          <w:spacing w:val="-3"/>
        </w:rPr>
        <w:t>(HJ953-2018</w:t>
      </w:r>
      <w:r>
        <w:rPr>
          <w:rFonts w:ascii="SimSun" w:hAnsi="SimSun" w:eastAsia="SimSun" w:cs="SimSun"/>
          <w:sz w:val="24"/>
          <w:szCs w:val="24"/>
          <w:spacing w:val="-4"/>
        </w:rPr>
        <w:t>)</w:t>
      </w:r>
      <w:r>
        <w:rPr>
          <w:rFonts w:ascii="SimSun" w:hAnsi="SimSun" w:eastAsia="SimSun" w:cs="SimSun"/>
          <w:sz w:val="24"/>
          <w:szCs w:val="24"/>
          <w:spacing w:val="41"/>
        </w:rPr>
        <w:t xml:space="preserve"> </w:t>
      </w:r>
      <w:r>
        <w:rPr>
          <w:rFonts w:ascii="SimSun" w:hAnsi="SimSun" w:eastAsia="SimSun" w:cs="SimSun"/>
          <w:sz w:val="24"/>
          <w:szCs w:val="24"/>
          <w:spacing w:val="-4"/>
        </w:rPr>
        <w:t>中“表F.3燃气工业</w:t>
      </w:r>
      <w:r>
        <w:rPr>
          <w:rFonts w:ascii="SimSun" w:hAnsi="SimSun" w:eastAsia="SimSun" w:cs="SimSun"/>
          <w:sz w:val="24"/>
          <w:szCs w:val="24"/>
        </w:rPr>
        <w:t xml:space="preserve"> </w:t>
      </w:r>
      <w:r>
        <w:rPr>
          <w:rFonts w:ascii="SimSun" w:hAnsi="SimSun" w:eastAsia="SimSun" w:cs="SimSun"/>
          <w:sz w:val="24"/>
          <w:szCs w:val="24"/>
          <w:spacing w:val="-4"/>
        </w:rPr>
        <w:t>锅炉的废气产排污系数”进行取值：0.02</w:t>
      </w:r>
      <w:r>
        <w:rPr>
          <w:rFonts w:ascii="Times New Roman" w:hAnsi="Times New Roman" w:eastAsia="Times New Roman" w:cs="Times New Roman"/>
          <w:sz w:val="24"/>
          <w:szCs w:val="24"/>
          <w:spacing w:val="-4"/>
        </w:rPr>
        <w:t>Skg/</w:t>
      </w:r>
      <w:r>
        <w:rPr>
          <w:rFonts w:ascii="SimSun" w:hAnsi="SimSun" w:eastAsia="SimSun" w:cs="SimSun"/>
          <w:sz w:val="24"/>
          <w:szCs w:val="24"/>
          <w:spacing w:val="-4"/>
        </w:rPr>
        <w:t>万</w:t>
      </w:r>
      <w:r>
        <w:rPr>
          <w:rFonts w:ascii="Times New Roman" w:hAnsi="Times New Roman" w:eastAsia="Times New Roman" w:cs="Times New Roman"/>
          <w:sz w:val="24"/>
          <w:szCs w:val="24"/>
          <w:spacing w:val="-4"/>
        </w:rPr>
        <w:t>m³-</w:t>
      </w:r>
      <w:r>
        <w:rPr>
          <w:rFonts w:ascii="Times New Roman" w:hAnsi="Times New Roman" w:eastAsia="Times New Roman" w:cs="Times New Roman"/>
          <w:sz w:val="24"/>
          <w:szCs w:val="24"/>
          <w:spacing w:val="50"/>
          <w:w w:val="101"/>
        </w:rPr>
        <w:t xml:space="preserve"> </w:t>
      </w:r>
      <w:r>
        <w:rPr>
          <w:rFonts w:ascii="SimSun" w:hAnsi="SimSun" w:eastAsia="SimSun" w:cs="SimSun"/>
          <w:sz w:val="24"/>
          <w:szCs w:val="24"/>
          <w:spacing w:val="-4"/>
        </w:rPr>
        <w:t>燃料</w:t>
      </w:r>
      <w:r>
        <w:rPr>
          <w:rFonts w:ascii="SimSun" w:hAnsi="SimSun" w:eastAsia="SimSun" w:cs="SimSun"/>
          <w:sz w:val="24"/>
          <w:szCs w:val="24"/>
          <w:spacing w:val="-37"/>
        </w:rPr>
        <w:t xml:space="preserve"> </w:t>
      </w:r>
      <w:r>
        <w:rPr>
          <w:rFonts w:ascii="Times New Roman" w:hAnsi="Times New Roman" w:eastAsia="Times New Roman" w:cs="Times New Roman"/>
          <w:sz w:val="24"/>
          <w:szCs w:val="24"/>
          <w:spacing w:val="-4"/>
        </w:rPr>
        <w:t>(S=100)</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4"/>
        </w:rPr>
        <w:t>、</w:t>
      </w:r>
      <w:r>
        <w:rPr>
          <w:rFonts w:ascii="Times New Roman" w:hAnsi="Times New Roman" w:eastAsia="Times New Roman" w:cs="Times New Roman"/>
          <w:sz w:val="24"/>
          <w:szCs w:val="24"/>
          <w:spacing w:val="-4"/>
        </w:rPr>
        <w:t>2.86kg/    </w:t>
      </w:r>
      <w:r>
        <w:rPr>
          <w:rFonts w:ascii="SimSun" w:hAnsi="SimSun" w:eastAsia="SimSun" w:cs="SimSun"/>
          <w:sz w:val="24"/>
          <w:szCs w:val="24"/>
          <w:spacing w:val="-4"/>
        </w:rPr>
        <w:t>万</w:t>
      </w:r>
      <w:r>
        <w:rPr>
          <w:rFonts w:ascii="SimSun" w:hAnsi="SimSun" w:eastAsia="SimSun" w:cs="SimSun"/>
          <w:sz w:val="24"/>
          <w:szCs w:val="24"/>
        </w:rPr>
        <w:t xml:space="preserve">  </w:t>
      </w:r>
      <w:r>
        <w:rPr>
          <w:rFonts w:ascii="Times New Roman" w:hAnsi="Times New Roman" w:eastAsia="Times New Roman" w:cs="Times New Roman"/>
          <w:sz w:val="24"/>
          <w:szCs w:val="24"/>
          <w:spacing w:val="-7"/>
        </w:rPr>
        <w:t>m³-</w:t>
      </w:r>
      <w:r>
        <w:rPr>
          <w:rFonts w:ascii="SimSun" w:hAnsi="SimSun" w:eastAsia="SimSun" w:cs="SimSun"/>
          <w:sz w:val="24"/>
          <w:szCs w:val="24"/>
          <w:spacing w:val="-7"/>
        </w:rPr>
        <w:t>燃料、9.36</w:t>
      </w:r>
      <w:r>
        <w:rPr>
          <w:rFonts w:ascii="Times New Roman" w:hAnsi="Times New Roman" w:eastAsia="Times New Roman" w:cs="Times New Roman"/>
          <w:sz w:val="24"/>
          <w:szCs w:val="24"/>
          <w:spacing w:val="-7"/>
        </w:rPr>
        <w:t>kg/</w:t>
      </w:r>
      <w:r>
        <w:rPr>
          <w:rFonts w:ascii="SimSun" w:hAnsi="SimSun" w:eastAsia="SimSun" w:cs="SimSun"/>
          <w:sz w:val="24"/>
          <w:szCs w:val="24"/>
          <w:spacing w:val="-7"/>
        </w:rPr>
        <w:t>万</w:t>
      </w:r>
      <w:r>
        <w:rPr>
          <w:rFonts w:ascii="Times New Roman" w:hAnsi="Times New Roman" w:eastAsia="Times New Roman" w:cs="Times New Roman"/>
          <w:sz w:val="24"/>
          <w:szCs w:val="24"/>
          <w:spacing w:val="-7"/>
        </w:rPr>
        <w:t>m³-</w:t>
      </w:r>
      <w:r>
        <w:rPr>
          <w:rFonts w:ascii="Times New Roman" w:hAnsi="Times New Roman" w:eastAsia="Times New Roman" w:cs="Times New Roman"/>
          <w:sz w:val="24"/>
          <w:szCs w:val="24"/>
          <w:spacing w:val="38"/>
          <w:w w:val="101"/>
        </w:rPr>
        <w:t xml:space="preserve"> </w:t>
      </w:r>
      <w:r>
        <w:rPr>
          <w:rFonts w:ascii="SimSun" w:hAnsi="SimSun" w:eastAsia="SimSun" w:cs="SimSun"/>
          <w:sz w:val="24"/>
          <w:szCs w:val="24"/>
          <w:spacing w:val="-7"/>
        </w:rPr>
        <w:t>燃料；</w:t>
      </w:r>
    </w:p>
    <w:p>
      <w:pPr>
        <w:ind w:left="114" w:right="274" w:firstLine="950"/>
        <w:spacing w:before="61" w:line="328" w:lineRule="auto"/>
        <w:rPr>
          <w:rFonts w:ascii="SimSun" w:hAnsi="SimSun" w:eastAsia="SimSun" w:cs="SimSun"/>
          <w:sz w:val="24"/>
          <w:szCs w:val="24"/>
        </w:rPr>
      </w:pPr>
      <w:r>
        <w:rPr>
          <w:rFonts w:ascii="SimSun" w:hAnsi="SimSun" w:eastAsia="SimSun" w:cs="SimSun"/>
          <w:sz w:val="24"/>
          <w:szCs w:val="24"/>
          <w:spacing w:val="2"/>
        </w:rPr>
        <w:t>η—污染物的脱除效率，%,</w:t>
      </w:r>
      <w:r>
        <w:rPr>
          <w:rFonts w:ascii="Times New Roman" w:hAnsi="Times New Roman" w:eastAsia="Times New Roman" w:cs="Times New Roman"/>
          <w:sz w:val="24"/>
          <w:szCs w:val="24"/>
        </w:rPr>
        <w:t>SO</w:t>
      </w:r>
      <w:r>
        <w:rPr>
          <w:rFonts w:ascii="Times New Roman" w:hAnsi="Times New Roman" w:eastAsia="Times New Roman" w:cs="Times New Roman"/>
          <w:sz w:val="24"/>
          <w:szCs w:val="24"/>
          <w:spacing w:val="2"/>
        </w:rPr>
        <w:t>₂</w:t>
      </w:r>
      <w:r>
        <w:rPr>
          <w:rFonts w:ascii="Times New Roman" w:hAnsi="Times New Roman" w:eastAsia="Times New Roman" w:cs="Times New Roman"/>
          <w:sz w:val="24"/>
          <w:szCs w:val="24"/>
          <w:spacing w:val="-31"/>
        </w:rPr>
        <w:t xml:space="preserve"> </w:t>
      </w:r>
      <w:r>
        <w:rPr>
          <w:rFonts w:ascii="SimSun" w:hAnsi="SimSun" w:eastAsia="SimSun" w:cs="SimSun"/>
          <w:sz w:val="24"/>
          <w:szCs w:val="24"/>
          <w:spacing w:val="2"/>
        </w:rPr>
        <w:t>、颗粒物及氮氧化物的脱除效率本次</w:t>
      </w:r>
      <w:r>
        <w:rPr>
          <w:rFonts w:ascii="SimSun" w:hAnsi="SimSun" w:eastAsia="SimSun" w:cs="SimSun"/>
          <w:sz w:val="24"/>
          <w:szCs w:val="24"/>
        </w:rPr>
        <w:t xml:space="preserve"> </w:t>
      </w:r>
      <w:r>
        <w:rPr>
          <w:rFonts w:ascii="SimSun" w:hAnsi="SimSun" w:eastAsia="SimSun" w:cs="SimSun"/>
          <w:sz w:val="24"/>
          <w:szCs w:val="24"/>
          <w:spacing w:val="-4"/>
        </w:rPr>
        <w:t>取值为0。</w:t>
      </w:r>
    </w:p>
    <w:p>
      <w:pPr>
        <w:ind w:left="605"/>
        <w:spacing w:before="45" w:line="212" w:lineRule="auto"/>
        <w:rPr>
          <w:rFonts w:ascii="SimSun" w:hAnsi="SimSun" w:eastAsia="SimSun" w:cs="SimSun"/>
          <w:sz w:val="24"/>
          <w:szCs w:val="24"/>
        </w:rPr>
      </w:pPr>
      <w:r>
        <w:rPr>
          <w:rFonts w:ascii="SimSun" w:hAnsi="SimSun" w:eastAsia="SimSun" w:cs="SimSun"/>
          <w:sz w:val="24"/>
          <w:szCs w:val="24"/>
          <w:spacing w:val="-3"/>
        </w:rPr>
        <w:t>二氧化硫：本项目天然气消耗量为23.04万</w:t>
      </w:r>
      <w:r>
        <w:rPr>
          <w:rFonts w:ascii="Times New Roman" w:hAnsi="Times New Roman" w:eastAsia="Times New Roman" w:cs="Times New Roman"/>
          <w:sz w:val="24"/>
          <w:szCs w:val="24"/>
          <w:spacing w:val="-3"/>
        </w:rPr>
        <w:t>m³</w:t>
      </w:r>
      <w:r>
        <w:rPr>
          <w:rFonts w:ascii="Times New Roman" w:hAnsi="Times New Roman" w:eastAsia="Times New Roman" w:cs="Times New Roman"/>
          <w:sz w:val="24"/>
          <w:szCs w:val="24"/>
          <w:spacing w:val="53"/>
          <w:w w:val="101"/>
        </w:rPr>
        <w:t xml:space="preserve"> </w:t>
      </w:r>
      <w:r>
        <w:rPr>
          <w:rFonts w:ascii="SimSun" w:hAnsi="SimSun" w:eastAsia="SimSun" w:cs="SimSun"/>
          <w:sz w:val="24"/>
          <w:szCs w:val="24"/>
          <w:spacing w:val="-3"/>
        </w:rPr>
        <w:t>(其中淡季约1</w:t>
      </w:r>
      <w:r>
        <w:rPr>
          <w:rFonts w:ascii="SimSun" w:hAnsi="SimSun" w:eastAsia="SimSun" w:cs="SimSun"/>
          <w:sz w:val="24"/>
          <w:szCs w:val="24"/>
          <w:spacing w:val="-4"/>
        </w:rPr>
        <w:t>7.28万</w:t>
      </w:r>
      <w:r>
        <w:rPr>
          <w:rFonts w:ascii="Times New Roman" w:hAnsi="Times New Roman" w:eastAsia="Times New Roman" w:cs="Times New Roman"/>
          <w:sz w:val="24"/>
          <w:szCs w:val="24"/>
          <w:spacing w:val="-4"/>
        </w:rPr>
        <w:t>m³,</w:t>
      </w:r>
      <w:r>
        <w:rPr>
          <w:rFonts w:ascii="Times New Roman" w:hAnsi="Times New Roman" w:eastAsia="Times New Roman" w:cs="Times New Roman"/>
          <w:sz w:val="24"/>
          <w:szCs w:val="24"/>
          <w:spacing w:val="27"/>
        </w:rPr>
        <w:t xml:space="preserve">  </w:t>
      </w:r>
      <w:r>
        <w:rPr>
          <w:rFonts w:ascii="SimSun" w:hAnsi="SimSun" w:eastAsia="SimSun" w:cs="SimSun"/>
          <w:sz w:val="24"/>
          <w:szCs w:val="24"/>
          <w:spacing w:val="-4"/>
        </w:rPr>
        <w:t>旺</w:t>
      </w:r>
    </w:p>
    <w:p>
      <w:pPr>
        <w:spacing w:line="212" w:lineRule="auto"/>
        <w:sectPr>
          <w:headerReference w:type="default" r:id="rId323"/>
          <w:footerReference w:type="default" r:id="rId324"/>
          <w:pgSz w:w="11910" w:h="16840"/>
          <w:pgMar w:top="1238" w:right="1706" w:bottom="996" w:left="1675" w:header="853" w:footer="684" w:gutter="0"/>
        </w:sectPr>
        <w:rPr>
          <w:rFonts w:ascii="SimSun" w:hAnsi="SimSun" w:eastAsia="SimSun" w:cs="SimSun"/>
          <w:sz w:val="24"/>
          <w:szCs w:val="24"/>
        </w:rPr>
      </w:pPr>
    </w:p>
    <w:p>
      <w:pPr>
        <w:ind w:left="169" w:right="500"/>
        <w:spacing w:before="273" w:line="360" w:lineRule="auto"/>
        <w:rPr>
          <w:rFonts w:ascii="SimSun" w:hAnsi="SimSun" w:eastAsia="SimSun" w:cs="SimSun"/>
          <w:sz w:val="23"/>
          <w:szCs w:val="23"/>
        </w:rPr>
      </w:pPr>
      <w:r>
        <w:rPr>
          <w:rFonts w:ascii="SimSun" w:hAnsi="SimSun" w:eastAsia="SimSun" w:cs="SimSun"/>
          <w:sz w:val="23"/>
          <w:szCs w:val="23"/>
          <w:spacing w:val="6"/>
        </w:rPr>
        <w:t>季约5.76万</w:t>
      </w:r>
      <w:r>
        <w:rPr>
          <w:rFonts w:ascii="Times New Roman" w:hAnsi="Times New Roman" w:eastAsia="Times New Roman" w:cs="Times New Roman"/>
          <w:sz w:val="23"/>
          <w:szCs w:val="23"/>
          <w:spacing w:val="6"/>
        </w:rPr>
        <w:t>m³),      </w:t>
      </w:r>
      <w:r>
        <w:rPr>
          <w:rFonts w:ascii="SimSun" w:hAnsi="SimSun" w:eastAsia="SimSun" w:cs="SimSun"/>
          <w:sz w:val="23"/>
          <w:szCs w:val="23"/>
          <w:spacing w:val="6"/>
        </w:rPr>
        <w:t>根据以上计算公式可</w:t>
      </w:r>
      <w:r>
        <w:rPr>
          <w:rFonts w:ascii="SimSun" w:hAnsi="SimSun" w:eastAsia="SimSun" w:cs="SimSun"/>
          <w:sz w:val="23"/>
          <w:szCs w:val="23"/>
          <w:spacing w:val="5"/>
        </w:rPr>
        <w:t>得，天然气蒸汽发生器二氧化硫排放量</w:t>
      </w:r>
      <w:r>
        <w:rPr>
          <w:rFonts w:ascii="SimSun" w:hAnsi="SimSun" w:eastAsia="SimSun" w:cs="SimSun"/>
          <w:sz w:val="23"/>
          <w:szCs w:val="23"/>
        </w:rPr>
        <w:t xml:space="preserve"> </w:t>
      </w:r>
      <w:r>
        <w:rPr>
          <w:rFonts w:ascii="SimSun" w:hAnsi="SimSun" w:eastAsia="SimSun" w:cs="SimSun"/>
          <w:sz w:val="23"/>
          <w:szCs w:val="23"/>
        </w:rPr>
        <w:t>为0.0461</w:t>
      </w:r>
      <w:r>
        <w:rPr>
          <w:rFonts w:ascii="Times New Roman" w:hAnsi="Times New Roman" w:eastAsia="Times New Roman" w:cs="Times New Roman"/>
          <w:sz w:val="23"/>
          <w:szCs w:val="23"/>
        </w:rPr>
        <w:t>t/a  </w:t>
      </w:r>
      <w:r>
        <w:rPr>
          <w:rFonts w:ascii="SimSun" w:hAnsi="SimSun" w:eastAsia="SimSun" w:cs="SimSun"/>
          <w:sz w:val="23"/>
          <w:szCs w:val="23"/>
        </w:rPr>
        <w:t>(其中淡季为0.0346</w:t>
      </w:r>
      <w:r>
        <w:rPr>
          <w:rFonts w:ascii="Times New Roman" w:hAnsi="Times New Roman" w:eastAsia="Times New Roman" w:cs="Times New Roman"/>
          <w:sz w:val="23"/>
          <w:szCs w:val="23"/>
        </w:rPr>
        <w:t>t,</w:t>
      </w:r>
      <w:r>
        <w:rPr>
          <w:rFonts w:ascii="Times New Roman" w:hAnsi="Times New Roman" w:eastAsia="Times New Roman" w:cs="Times New Roman"/>
          <w:sz w:val="23"/>
          <w:szCs w:val="23"/>
          <w:spacing w:val="30"/>
        </w:rPr>
        <w:t xml:space="preserve">  </w:t>
      </w:r>
      <w:r>
        <w:rPr>
          <w:rFonts w:ascii="SimSun" w:hAnsi="SimSun" w:eastAsia="SimSun" w:cs="SimSun"/>
          <w:sz w:val="23"/>
          <w:szCs w:val="23"/>
        </w:rPr>
        <w:t>旺季为0.0115</w:t>
      </w:r>
      <w:r>
        <w:rPr>
          <w:rFonts w:ascii="Times New Roman" w:hAnsi="Times New Roman" w:eastAsia="Times New Roman" w:cs="Times New Roman"/>
          <w:sz w:val="23"/>
          <w:szCs w:val="23"/>
        </w:rPr>
        <w:t>t)</w:t>
      </w:r>
      <w:r>
        <w:rPr>
          <w:rFonts w:ascii="SimSun" w:hAnsi="SimSun" w:eastAsia="SimSun" w:cs="SimSun"/>
          <w:sz w:val="23"/>
          <w:szCs w:val="23"/>
        </w:rPr>
        <w:t>。</w:t>
      </w:r>
    </w:p>
    <w:p>
      <w:pPr>
        <w:ind w:left="169" w:right="385" w:firstLine="473"/>
        <w:spacing w:before="23" w:line="361" w:lineRule="auto"/>
        <w:jc w:val="both"/>
        <w:rPr>
          <w:rFonts w:ascii="SimSun" w:hAnsi="SimSun" w:eastAsia="SimSun" w:cs="SimSun"/>
          <w:sz w:val="23"/>
          <w:szCs w:val="23"/>
        </w:rPr>
      </w:pPr>
      <w:r>
        <w:rPr>
          <w:rFonts w:ascii="SimSun" w:hAnsi="SimSun" w:eastAsia="SimSun" w:cs="SimSun"/>
          <w:sz w:val="23"/>
          <w:szCs w:val="23"/>
          <w:b/>
          <w:bCs/>
          <w:spacing w:val="11"/>
        </w:rPr>
        <w:t>颗粒物：</w:t>
      </w:r>
      <w:r>
        <w:rPr>
          <w:rFonts w:ascii="SimSun" w:hAnsi="SimSun" w:eastAsia="SimSun" w:cs="SimSun"/>
          <w:sz w:val="23"/>
          <w:szCs w:val="23"/>
          <w:spacing w:val="11"/>
        </w:rPr>
        <w:t>本项目天然气消耗量为23.04万</w:t>
      </w:r>
      <w:r>
        <w:rPr>
          <w:rFonts w:ascii="Times New Roman" w:hAnsi="Times New Roman" w:eastAsia="Times New Roman" w:cs="Times New Roman"/>
          <w:sz w:val="23"/>
          <w:szCs w:val="23"/>
          <w:spacing w:val="11"/>
        </w:rPr>
        <w:t>m³  </w:t>
      </w:r>
      <w:r>
        <w:rPr>
          <w:rFonts w:ascii="SimSun" w:hAnsi="SimSun" w:eastAsia="SimSun" w:cs="SimSun"/>
          <w:sz w:val="23"/>
          <w:szCs w:val="23"/>
          <w:spacing w:val="11"/>
        </w:rPr>
        <w:t>(其中淡季约17.28万</w:t>
      </w:r>
      <w:r>
        <w:rPr>
          <w:rFonts w:ascii="Times New Roman" w:hAnsi="Times New Roman" w:eastAsia="Times New Roman" w:cs="Times New Roman"/>
          <w:sz w:val="23"/>
          <w:szCs w:val="23"/>
          <w:spacing w:val="11"/>
        </w:rPr>
        <w:t>m³,   </w:t>
      </w:r>
      <w:r>
        <w:rPr>
          <w:rFonts w:ascii="SimSun" w:hAnsi="SimSun" w:eastAsia="SimSun" w:cs="SimSun"/>
          <w:sz w:val="23"/>
          <w:szCs w:val="23"/>
          <w:spacing w:val="11"/>
        </w:rPr>
        <w:t>旺</w:t>
      </w:r>
      <w:r>
        <w:rPr>
          <w:rFonts w:ascii="SimSun" w:hAnsi="SimSun" w:eastAsia="SimSun" w:cs="SimSun"/>
          <w:sz w:val="23"/>
          <w:szCs w:val="23"/>
          <w:spacing w:val="17"/>
        </w:rPr>
        <w:t xml:space="preserve"> </w:t>
      </w:r>
      <w:r>
        <w:rPr>
          <w:rFonts w:ascii="SimSun" w:hAnsi="SimSun" w:eastAsia="SimSun" w:cs="SimSun"/>
          <w:sz w:val="23"/>
          <w:szCs w:val="23"/>
          <w:spacing w:val="7"/>
        </w:rPr>
        <w:t>季约5.76万</w:t>
      </w:r>
      <w:r>
        <w:rPr>
          <w:rFonts w:ascii="Times New Roman" w:hAnsi="Times New Roman" w:eastAsia="Times New Roman" w:cs="Times New Roman"/>
          <w:sz w:val="23"/>
          <w:szCs w:val="23"/>
          <w:spacing w:val="7"/>
        </w:rPr>
        <w:t>m³),      </w:t>
      </w:r>
      <w:r>
        <w:rPr>
          <w:rFonts w:ascii="SimSun" w:hAnsi="SimSun" w:eastAsia="SimSun" w:cs="SimSun"/>
          <w:sz w:val="23"/>
          <w:szCs w:val="23"/>
          <w:spacing w:val="7"/>
        </w:rPr>
        <w:t>根据以上计算公式可得，烟尘产生量为：0.0659</w:t>
      </w:r>
      <w:r>
        <w:rPr>
          <w:rFonts w:ascii="Times New Roman" w:hAnsi="Times New Roman" w:eastAsia="Times New Roman" w:cs="Times New Roman"/>
          <w:sz w:val="23"/>
          <w:szCs w:val="23"/>
          <w:spacing w:val="7"/>
        </w:rPr>
        <w:t>t/a  </w:t>
      </w:r>
      <w:r>
        <w:rPr>
          <w:rFonts w:ascii="SimSun" w:hAnsi="SimSun" w:eastAsia="SimSun" w:cs="SimSun"/>
          <w:sz w:val="23"/>
          <w:szCs w:val="23"/>
          <w:spacing w:val="7"/>
        </w:rPr>
        <w:t>(其中淡</w:t>
      </w:r>
      <w:r>
        <w:rPr>
          <w:rFonts w:ascii="SimSun" w:hAnsi="SimSun" w:eastAsia="SimSun" w:cs="SimSun"/>
          <w:sz w:val="23"/>
          <w:szCs w:val="23"/>
          <w:spacing w:val="6"/>
        </w:rPr>
        <w:t xml:space="preserve"> </w:t>
      </w:r>
      <w:r>
        <w:rPr>
          <w:rFonts w:ascii="SimSun" w:hAnsi="SimSun" w:eastAsia="SimSun" w:cs="SimSun"/>
          <w:sz w:val="23"/>
          <w:szCs w:val="23"/>
          <w:spacing w:val="3"/>
        </w:rPr>
        <w:t>季为0.0494</w:t>
      </w:r>
      <w:r>
        <w:rPr>
          <w:rFonts w:ascii="Times New Roman" w:hAnsi="Times New Roman" w:eastAsia="Times New Roman" w:cs="Times New Roman"/>
          <w:sz w:val="23"/>
          <w:szCs w:val="23"/>
          <w:spacing w:val="3"/>
        </w:rPr>
        <w:t>t,   </w:t>
      </w:r>
      <w:r>
        <w:rPr>
          <w:rFonts w:ascii="SimSun" w:hAnsi="SimSun" w:eastAsia="SimSun" w:cs="SimSun"/>
          <w:sz w:val="23"/>
          <w:szCs w:val="23"/>
          <w:spacing w:val="3"/>
        </w:rPr>
        <w:t>旺季为0.0165</w:t>
      </w:r>
      <w:r>
        <w:rPr>
          <w:rFonts w:ascii="Times New Roman" w:hAnsi="Times New Roman" w:eastAsia="Times New Roman" w:cs="Times New Roman"/>
          <w:sz w:val="23"/>
          <w:szCs w:val="23"/>
          <w:spacing w:val="3"/>
        </w:rPr>
        <w:t>t)</w:t>
      </w:r>
      <w:r>
        <w:rPr>
          <w:rFonts w:ascii="SimSun" w:hAnsi="SimSun" w:eastAsia="SimSun" w:cs="SimSun"/>
          <w:sz w:val="23"/>
          <w:szCs w:val="23"/>
          <w:spacing w:val="3"/>
        </w:rPr>
        <w:t>。</w:t>
      </w:r>
    </w:p>
    <w:p>
      <w:pPr>
        <w:ind w:left="169" w:right="582" w:firstLine="470"/>
        <w:spacing w:before="76" w:line="364" w:lineRule="auto"/>
        <w:jc w:val="both"/>
        <w:rPr>
          <w:rFonts w:ascii="SimSun" w:hAnsi="SimSun" w:eastAsia="SimSun" w:cs="SimSun"/>
          <w:sz w:val="23"/>
          <w:szCs w:val="23"/>
        </w:rPr>
      </w:pPr>
      <w:r>
        <w:rPr>
          <w:rFonts w:ascii="SimSun" w:hAnsi="SimSun" w:eastAsia="SimSun" w:cs="SimSun"/>
          <w:sz w:val="23"/>
          <w:szCs w:val="23"/>
          <w:spacing w:val="9"/>
        </w:rPr>
        <w:t>氮氧化物：本项目采用国内领先的低氮燃烧技术，天然气消耗量为</w:t>
      </w:r>
      <w:r>
        <w:rPr>
          <w:rFonts w:ascii="SimSun" w:hAnsi="SimSun" w:eastAsia="SimSun" w:cs="SimSun"/>
          <w:sz w:val="23"/>
          <w:szCs w:val="23"/>
          <w:spacing w:val="8"/>
        </w:rPr>
        <w:t>23.04</w:t>
      </w:r>
      <w:r>
        <w:rPr>
          <w:rFonts w:ascii="SimSun" w:hAnsi="SimSun" w:eastAsia="SimSun" w:cs="SimSun"/>
          <w:sz w:val="23"/>
          <w:szCs w:val="23"/>
        </w:rPr>
        <w:t xml:space="preserve"> </w:t>
      </w:r>
      <w:r>
        <w:rPr>
          <w:rFonts w:ascii="SimSun" w:hAnsi="SimSun" w:eastAsia="SimSun" w:cs="SimSun"/>
          <w:sz w:val="23"/>
          <w:szCs w:val="23"/>
          <w:spacing w:val="11"/>
        </w:rPr>
        <w:t>万</w:t>
      </w:r>
      <w:r>
        <w:rPr>
          <w:rFonts w:ascii="SimSun" w:hAnsi="SimSun" w:eastAsia="SimSun" w:cs="SimSun"/>
          <w:sz w:val="23"/>
          <w:szCs w:val="23"/>
          <w:spacing w:val="-50"/>
        </w:rPr>
        <w:t xml:space="preserve"> </w:t>
      </w:r>
      <w:r>
        <w:rPr>
          <w:rFonts w:ascii="Times New Roman" w:hAnsi="Times New Roman" w:eastAsia="Times New Roman" w:cs="Times New Roman"/>
          <w:sz w:val="23"/>
          <w:szCs w:val="23"/>
          <w:spacing w:val="11"/>
        </w:rPr>
        <w:t>m³  </w:t>
      </w:r>
      <w:r>
        <w:rPr>
          <w:rFonts w:ascii="SimSun" w:hAnsi="SimSun" w:eastAsia="SimSun" w:cs="SimSun"/>
          <w:sz w:val="23"/>
          <w:szCs w:val="23"/>
          <w:spacing w:val="11"/>
        </w:rPr>
        <w:t>(其中淡季约17.28万</w:t>
      </w:r>
      <w:r>
        <w:rPr>
          <w:rFonts w:ascii="Times New Roman" w:hAnsi="Times New Roman" w:eastAsia="Times New Roman" w:cs="Times New Roman"/>
          <w:sz w:val="23"/>
          <w:szCs w:val="23"/>
          <w:spacing w:val="11"/>
        </w:rPr>
        <w:t>m³,   </w:t>
      </w:r>
      <w:r>
        <w:rPr>
          <w:rFonts w:ascii="SimSun" w:hAnsi="SimSun" w:eastAsia="SimSun" w:cs="SimSun"/>
          <w:sz w:val="23"/>
          <w:szCs w:val="23"/>
          <w:spacing w:val="11"/>
        </w:rPr>
        <w:t>旺季约</w:t>
      </w:r>
      <w:r>
        <w:rPr>
          <w:rFonts w:ascii="SimSun" w:hAnsi="SimSun" w:eastAsia="SimSun" w:cs="SimSun"/>
          <w:sz w:val="23"/>
          <w:szCs w:val="23"/>
          <w:spacing w:val="10"/>
        </w:rPr>
        <w:t>5.76万</w:t>
      </w:r>
      <w:r>
        <w:rPr>
          <w:rFonts w:ascii="Times New Roman" w:hAnsi="Times New Roman" w:eastAsia="Times New Roman" w:cs="Times New Roman"/>
          <w:sz w:val="23"/>
          <w:szCs w:val="23"/>
          <w:spacing w:val="10"/>
        </w:rPr>
        <w:t>m³),      </w:t>
      </w:r>
      <w:r>
        <w:rPr>
          <w:rFonts w:ascii="SimSun" w:hAnsi="SimSun" w:eastAsia="SimSun" w:cs="SimSun"/>
          <w:sz w:val="23"/>
          <w:szCs w:val="23"/>
          <w:spacing w:val="10"/>
        </w:rPr>
        <w:t>根据以上计算公式可</w:t>
      </w:r>
      <w:r>
        <w:rPr>
          <w:rFonts w:ascii="SimSun" w:hAnsi="SimSun" w:eastAsia="SimSun" w:cs="SimSun"/>
          <w:sz w:val="23"/>
          <w:szCs w:val="23"/>
        </w:rPr>
        <w:t xml:space="preserve">  </w:t>
      </w:r>
      <w:r>
        <w:rPr>
          <w:rFonts w:ascii="SimSun" w:hAnsi="SimSun" w:eastAsia="SimSun" w:cs="SimSun"/>
          <w:sz w:val="23"/>
          <w:szCs w:val="23"/>
          <w:spacing w:val="6"/>
        </w:rPr>
        <w:t>得，氮氧化物产生量为0.2156t/a(其中</w:t>
      </w:r>
      <w:r>
        <w:rPr>
          <w:rFonts w:ascii="SimSun" w:hAnsi="SimSun" w:eastAsia="SimSun" w:cs="SimSun"/>
          <w:sz w:val="23"/>
          <w:szCs w:val="23"/>
          <w:spacing w:val="5"/>
        </w:rPr>
        <w:t>淡季为0.1617t,</w:t>
      </w:r>
      <w:r>
        <w:rPr>
          <w:rFonts w:ascii="SimSun" w:hAnsi="SimSun" w:eastAsia="SimSun" w:cs="SimSun"/>
          <w:sz w:val="23"/>
          <w:szCs w:val="23"/>
          <w:spacing w:val="-41"/>
        </w:rPr>
        <w:t xml:space="preserve"> </w:t>
      </w:r>
      <w:r>
        <w:rPr>
          <w:rFonts w:ascii="SimSun" w:hAnsi="SimSun" w:eastAsia="SimSun" w:cs="SimSun"/>
          <w:sz w:val="23"/>
          <w:szCs w:val="23"/>
          <w:spacing w:val="5"/>
        </w:rPr>
        <w:t>旺季为0.0539t)。</w:t>
      </w:r>
    </w:p>
    <w:p>
      <w:pPr>
        <w:ind w:left="640"/>
        <w:spacing w:before="18" w:line="219" w:lineRule="auto"/>
        <w:rPr>
          <w:rFonts w:ascii="SimSun" w:hAnsi="SimSun" w:eastAsia="SimSun" w:cs="SimSun"/>
          <w:sz w:val="23"/>
          <w:szCs w:val="23"/>
        </w:rPr>
      </w:pPr>
      <w:r>
        <w:rPr>
          <w:rFonts w:ascii="SimSun" w:hAnsi="SimSun" w:eastAsia="SimSun" w:cs="SimSun"/>
          <w:sz w:val="23"/>
          <w:szCs w:val="23"/>
          <w:spacing w:val="7"/>
        </w:rPr>
        <w:t>综上，天然气耗量及燃烧废气排放情况见下表。</w:t>
      </w:r>
    </w:p>
    <w:p>
      <w:pPr>
        <w:ind w:left="1193"/>
        <w:spacing w:before="165" w:line="219" w:lineRule="auto"/>
        <w:rPr>
          <w:rFonts w:ascii="SimSun" w:hAnsi="SimSun" w:eastAsia="SimSun" w:cs="SimSun"/>
          <w:sz w:val="24"/>
          <w:szCs w:val="24"/>
        </w:rPr>
      </w:pPr>
      <w:r>
        <w:rPr>
          <w:rFonts w:ascii="SimSun" w:hAnsi="SimSun" w:eastAsia="SimSun" w:cs="SimSun"/>
          <w:sz w:val="24"/>
          <w:szCs w:val="24"/>
          <w:b/>
          <w:bCs/>
          <w:spacing w:val="-3"/>
        </w:rPr>
        <w:t>表3.11-25天然气蒸汽发生器源强核算结果及相关参数一览表</w:t>
      </w:r>
    </w:p>
    <w:p>
      <w:pPr>
        <w:spacing w:line="14" w:lineRule="exact"/>
        <w:rPr/>
      </w:pPr>
      <w:r/>
    </w:p>
    <w:tbl>
      <w:tblPr>
        <w:tblStyle w:val="TableNormal"/>
        <w:tblW w:w="8489" w:type="dxa"/>
        <w:tblInd w:w="8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24"/>
        <w:gridCol w:w="599"/>
        <w:gridCol w:w="899"/>
        <w:gridCol w:w="939"/>
        <w:gridCol w:w="1149"/>
        <w:gridCol w:w="1258"/>
        <w:gridCol w:w="1158"/>
        <w:gridCol w:w="959"/>
        <w:gridCol w:w="1004"/>
      </w:tblGrid>
      <w:tr>
        <w:trPr>
          <w:trHeight w:val="284" w:hRule="atLeast"/>
        </w:trPr>
        <w:tc>
          <w:tcPr>
            <w:shd w:val="clear" w:fill="BDBDBD"/>
            <w:tcW w:w="524" w:type="dxa"/>
            <w:vAlign w:val="top"/>
            <w:vMerge w:val="restart"/>
            <w:tcBorders>
              <w:bottom w:val="nil"/>
            </w:tcBorders>
          </w:tcPr>
          <w:p>
            <w:pPr>
              <w:spacing w:line="242" w:lineRule="auto"/>
              <w:rPr>
                <w:rFonts w:ascii="Arial"/>
                <w:sz w:val="21"/>
              </w:rPr>
            </w:pPr>
            <w:r/>
          </w:p>
          <w:p>
            <w:pPr>
              <w:pStyle w:val="TableText"/>
              <w:ind w:left="48"/>
              <w:spacing w:before="68" w:line="221" w:lineRule="auto"/>
              <w:rPr>
                <w:sz w:val="21"/>
                <w:szCs w:val="21"/>
              </w:rPr>
            </w:pPr>
            <w:r>
              <w:rPr>
                <w:sz w:val="21"/>
                <w:szCs w:val="21"/>
                <w:b/>
                <w:bCs/>
                <w:spacing w:val="-2"/>
              </w:rPr>
              <w:t>时段</w:t>
            </w:r>
          </w:p>
        </w:tc>
        <w:tc>
          <w:tcPr>
            <w:shd w:val="clear" w:fill="BDBDBD"/>
            <w:tcW w:w="599" w:type="dxa"/>
            <w:vAlign w:val="top"/>
            <w:vMerge w:val="restart"/>
            <w:tcBorders>
              <w:bottom w:val="nil"/>
            </w:tcBorders>
          </w:tcPr>
          <w:p>
            <w:pPr>
              <w:spacing w:line="241" w:lineRule="auto"/>
              <w:rPr>
                <w:rFonts w:ascii="Arial"/>
                <w:sz w:val="21"/>
              </w:rPr>
            </w:pPr>
            <w:r/>
          </w:p>
          <w:p>
            <w:pPr>
              <w:pStyle w:val="TableText"/>
              <w:ind w:left="84"/>
              <w:spacing w:before="68" w:line="220" w:lineRule="auto"/>
              <w:rPr>
                <w:sz w:val="21"/>
                <w:szCs w:val="21"/>
              </w:rPr>
            </w:pPr>
            <w:r>
              <w:rPr>
                <w:sz w:val="21"/>
                <w:szCs w:val="21"/>
                <w:b/>
                <w:bCs/>
                <w:spacing w:val="-5"/>
              </w:rPr>
              <w:t>装置</w:t>
            </w:r>
          </w:p>
        </w:tc>
        <w:tc>
          <w:tcPr>
            <w:shd w:val="clear" w:fill="BDBDBD"/>
            <w:tcW w:w="899" w:type="dxa"/>
            <w:vAlign w:val="top"/>
            <w:vMerge w:val="restart"/>
            <w:tcBorders>
              <w:bottom w:val="nil"/>
            </w:tcBorders>
          </w:tcPr>
          <w:p>
            <w:pPr>
              <w:spacing w:line="241" w:lineRule="auto"/>
              <w:rPr>
                <w:rFonts w:ascii="Arial"/>
                <w:sz w:val="21"/>
              </w:rPr>
            </w:pPr>
            <w:r/>
          </w:p>
          <w:p>
            <w:pPr>
              <w:pStyle w:val="TableText"/>
              <w:ind w:left="124"/>
              <w:spacing w:before="68" w:line="220" w:lineRule="auto"/>
              <w:rPr>
                <w:sz w:val="21"/>
                <w:szCs w:val="21"/>
              </w:rPr>
            </w:pPr>
            <w:r>
              <w:rPr>
                <w:sz w:val="21"/>
                <w:szCs w:val="21"/>
                <w:b/>
                <w:bCs/>
                <w:spacing w:val="-5"/>
              </w:rPr>
              <w:t>污染源</w:t>
            </w:r>
          </w:p>
        </w:tc>
        <w:tc>
          <w:tcPr>
            <w:shd w:val="clear" w:fill="BDBDBD"/>
            <w:tcW w:w="939" w:type="dxa"/>
            <w:vAlign w:val="top"/>
            <w:vMerge w:val="restart"/>
            <w:tcBorders>
              <w:bottom w:val="nil"/>
            </w:tcBorders>
          </w:tcPr>
          <w:p>
            <w:pPr>
              <w:spacing w:line="241" w:lineRule="auto"/>
              <w:rPr>
                <w:rFonts w:ascii="Arial"/>
                <w:sz w:val="21"/>
              </w:rPr>
            </w:pPr>
            <w:r/>
          </w:p>
          <w:p>
            <w:pPr>
              <w:pStyle w:val="TableText"/>
              <w:ind w:left="146"/>
              <w:spacing w:before="68" w:line="220" w:lineRule="auto"/>
              <w:rPr>
                <w:sz w:val="21"/>
                <w:szCs w:val="21"/>
              </w:rPr>
            </w:pPr>
            <w:r>
              <w:rPr>
                <w:sz w:val="21"/>
                <w:szCs w:val="21"/>
                <w:b/>
                <w:bCs/>
                <w:spacing w:val="-5"/>
              </w:rPr>
              <w:t>污染物</w:t>
            </w:r>
          </w:p>
        </w:tc>
        <w:tc>
          <w:tcPr>
            <w:shd w:val="clear" w:fill="BDBDBD"/>
            <w:tcW w:w="4524" w:type="dxa"/>
            <w:vAlign w:val="top"/>
            <w:gridSpan w:val="4"/>
          </w:tcPr>
          <w:p>
            <w:pPr>
              <w:pStyle w:val="TableText"/>
              <w:ind w:left="1716"/>
              <w:spacing w:before="40" w:line="205" w:lineRule="auto"/>
              <w:rPr>
                <w:sz w:val="21"/>
                <w:szCs w:val="21"/>
              </w:rPr>
            </w:pPr>
            <w:r>
              <w:rPr>
                <w:sz w:val="21"/>
                <w:szCs w:val="21"/>
                <w:b/>
                <w:bCs/>
                <w:spacing w:val="-4"/>
              </w:rPr>
              <w:t>污染物产生</w:t>
            </w:r>
          </w:p>
        </w:tc>
        <w:tc>
          <w:tcPr>
            <w:shd w:val="clear" w:fill="BDBDBD"/>
            <w:tcW w:w="1004" w:type="dxa"/>
            <w:vAlign w:val="top"/>
            <w:vMerge w:val="restart"/>
            <w:tcBorders>
              <w:bottom w:val="nil"/>
            </w:tcBorders>
          </w:tcPr>
          <w:p>
            <w:pPr>
              <w:pStyle w:val="TableText"/>
              <w:ind w:left="82"/>
              <w:spacing w:before="171" w:line="221" w:lineRule="auto"/>
              <w:rPr>
                <w:sz w:val="21"/>
                <w:szCs w:val="21"/>
              </w:rPr>
            </w:pPr>
            <w:r>
              <w:rPr>
                <w:sz w:val="21"/>
                <w:szCs w:val="21"/>
                <w:b/>
                <w:bCs/>
                <w:spacing w:val="1"/>
              </w:rPr>
              <w:t>排放时间</w:t>
            </w:r>
          </w:p>
          <w:p>
            <w:pPr>
              <w:pStyle w:val="TableText"/>
              <w:ind w:left="232"/>
              <w:spacing w:before="30" w:line="222" w:lineRule="auto"/>
              <w:rPr>
                <w:sz w:val="21"/>
                <w:szCs w:val="21"/>
              </w:rPr>
            </w:pPr>
            <w:r>
              <w:rPr>
                <w:sz w:val="21"/>
                <w:szCs w:val="21"/>
                <w:b/>
                <w:bCs/>
                <w:spacing w:val="-10"/>
              </w:rPr>
              <w:t>(h/a)</w:t>
            </w:r>
          </w:p>
        </w:tc>
      </w:tr>
      <w:tr>
        <w:trPr>
          <w:trHeight w:val="539" w:hRule="atLeast"/>
        </w:trPr>
        <w:tc>
          <w:tcPr>
            <w:tcW w:w="524" w:type="dxa"/>
            <w:vAlign w:val="top"/>
            <w:vMerge w:val="continue"/>
            <w:tcBorders>
              <w:top w:val="nil"/>
            </w:tcBorders>
          </w:tcPr>
          <w:p>
            <w:pPr>
              <w:rPr>
                <w:rFonts w:ascii="Arial"/>
                <w:sz w:val="21"/>
              </w:rPr>
            </w:pPr>
            <w:r/>
          </w:p>
        </w:tc>
        <w:tc>
          <w:tcPr>
            <w:tcW w:w="599" w:type="dxa"/>
            <w:vAlign w:val="top"/>
            <w:vMerge w:val="continue"/>
            <w:tcBorders>
              <w:top w:val="nil"/>
            </w:tcBorders>
          </w:tcPr>
          <w:p>
            <w:pPr>
              <w:rPr>
                <w:rFonts w:ascii="Arial"/>
                <w:sz w:val="21"/>
              </w:rPr>
            </w:pPr>
            <w:r/>
          </w:p>
        </w:tc>
        <w:tc>
          <w:tcPr>
            <w:tcW w:w="899" w:type="dxa"/>
            <w:vAlign w:val="top"/>
            <w:vMerge w:val="continue"/>
            <w:tcBorders>
              <w:top w:val="nil"/>
            </w:tcBorders>
          </w:tcPr>
          <w:p>
            <w:pPr>
              <w:rPr>
                <w:rFonts w:ascii="Arial"/>
                <w:sz w:val="21"/>
              </w:rPr>
            </w:pPr>
            <w:r/>
          </w:p>
        </w:tc>
        <w:tc>
          <w:tcPr>
            <w:tcW w:w="939" w:type="dxa"/>
            <w:vAlign w:val="top"/>
            <w:vMerge w:val="continue"/>
            <w:tcBorders>
              <w:top w:val="nil"/>
            </w:tcBorders>
          </w:tcPr>
          <w:p>
            <w:pPr>
              <w:rPr>
                <w:rFonts w:ascii="Arial"/>
                <w:sz w:val="21"/>
              </w:rPr>
            </w:pPr>
            <w:r/>
          </w:p>
        </w:tc>
        <w:tc>
          <w:tcPr>
            <w:shd w:val="clear" w:fill="BDBDBD"/>
            <w:tcW w:w="1149" w:type="dxa"/>
            <w:vAlign w:val="top"/>
          </w:tcPr>
          <w:p>
            <w:pPr>
              <w:pStyle w:val="TableText"/>
              <w:ind w:left="146"/>
              <w:spacing w:before="166" w:line="219" w:lineRule="auto"/>
              <w:rPr>
                <w:sz w:val="21"/>
                <w:szCs w:val="21"/>
              </w:rPr>
            </w:pPr>
            <w:r>
              <w:rPr>
                <w:sz w:val="21"/>
                <w:szCs w:val="21"/>
                <w:b/>
                <w:bCs/>
                <w:spacing w:val="-5"/>
              </w:rPr>
              <w:t>核算方法</w:t>
            </w:r>
          </w:p>
        </w:tc>
        <w:tc>
          <w:tcPr>
            <w:shd w:val="clear" w:fill="BDBDBD"/>
            <w:tcW w:w="1258" w:type="dxa"/>
            <w:vAlign w:val="top"/>
          </w:tcPr>
          <w:p>
            <w:pPr>
              <w:pStyle w:val="TableText"/>
              <w:ind w:left="307"/>
              <w:spacing w:before="17" w:line="221" w:lineRule="auto"/>
              <w:rPr>
                <w:sz w:val="21"/>
                <w:szCs w:val="21"/>
              </w:rPr>
            </w:pPr>
            <w:r>
              <w:rPr>
                <w:sz w:val="21"/>
                <w:szCs w:val="21"/>
                <w:b/>
                <w:bCs/>
                <w:spacing w:val="-5"/>
              </w:rPr>
              <w:t>烟气量</w:t>
            </w:r>
          </w:p>
          <w:p>
            <w:pPr>
              <w:pStyle w:val="TableText"/>
              <w:ind w:left="258"/>
              <w:spacing w:before="31" w:line="201" w:lineRule="auto"/>
              <w:rPr>
                <w:sz w:val="21"/>
                <w:szCs w:val="21"/>
              </w:rPr>
            </w:pPr>
            <w:r>
              <w:rPr>
                <w:sz w:val="21"/>
                <w:szCs w:val="21"/>
                <w:b/>
                <w:bCs/>
                <w:spacing w:val="-9"/>
              </w:rPr>
              <w:t>(m³/h)</w:t>
            </w:r>
          </w:p>
        </w:tc>
        <w:tc>
          <w:tcPr>
            <w:shd w:val="clear" w:fill="BDBDBD"/>
            <w:tcW w:w="1158" w:type="dxa"/>
            <w:vAlign w:val="top"/>
          </w:tcPr>
          <w:p>
            <w:pPr>
              <w:pStyle w:val="TableText"/>
              <w:ind w:left="370"/>
              <w:spacing w:before="7" w:line="220" w:lineRule="auto"/>
              <w:rPr>
                <w:sz w:val="21"/>
                <w:szCs w:val="21"/>
              </w:rPr>
            </w:pPr>
            <w:r>
              <w:rPr>
                <w:sz w:val="21"/>
                <w:szCs w:val="21"/>
                <w:b/>
                <w:bCs/>
                <w:spacing w:val="-5"/>
              </w:rPr>
              <w:t>浓度</w:t>
            </w:r>
          </w:p>
          <w:p>
            <w:pPr>
              <w:pStyle w:val="TableText"/>
              <w:ind w:left="159"/>
              <w:spacing w:before="32" w:line="210" w:lineRule="auto"/>
              <w:rPr>
                <w:sz w:val="21"/>
                <w:szCs w:val="21"/>
              </w:rPr>
            </w:pPr>
            <w:r>
              <w:rPr>
                <w:sz w:val="21"/>
                <w:szCs w:val="21"/>
                <w:b/>
                <w:bCs/>
                <w:spacing w:val="-8"/>
              </w:rPr>
              <w:t>(mg/m³)</w:t>
            </w:r>
          </w:p>
        </w:tc>
        <w:tc>
          <w:tcPr>
            <w:shd w:val="clear" w:fill="BDBDBD"/>
            <w:tcW w:w="959" w:type="dxa"/>
            <w:vAlign w:val="top"/>
          </w:tcPr>
          <w:p>
            <w:pPr>
              <w:pStyle w:val="TableText"/>
              <w:ind w:left="161"/>
              <w:spacing w:before="26" w:line="219" w:lineRule="auto"/>
              <w:rPr>
                <w:sz w:val="21"/>
                <w:szCs w:val="21"/>
              </w:rPr>
            </w:pPr>
            <w:r>
              <w:rPr>
                <w:sz w:val="21"/>
                <w:szCs w:val="21"/>
                <w:b/>
                <w:bCs/>
                <w:spacing w:val="-5"/>
              </w:rPr>
              <w:t>产生量</w:t>
            </w:r>
          </w:p>
          <w:p>
            <w:pPr>
              <w:pStyle w:val="TableText"/>
              <w:ind w:left="211"/>
              <w:spacing w:before="24" w:line="201" w:lineRule="auto"/>
              <w:rPr>
                <w:sz w:val="21"/>
                <w:szCs w:val="21"/>
              </w:rPr>
            </w:pPr>
            <w:r>
              <w:rPr>
                <w:sz w:val="21"/>
                <w:szCs w:val="21"/>
                <w:b/>
                <w:bCs/>
                <w:spacing w:val="-10"/>
              </w:rPr>
              <w:t>(t/a)</w:t>
            </w:r>
          </w:p>
        </w:tc>
        <w:tc>
          <w:tcPr>
            <w:tcW w:w="1004" w:type="dxa"/>
            <w:vAlign w:val="top"/>
            <w:vMerge w:val="continue"/>
            <w:tcBorders>
              <w:top w:val="nil"/>
            </w:tcBorders>
          </w:tcPr>
          <w:p>
            <w:pPr>
              <w:rPr>
                <w:rFonts w:ascii="Arial"/>
                <w:sz w:val="21"/>
              </w:rPr>
            </w:pPr>
            <w:r/>
          </w:p>
        </w:tc>
      </w:tr>
      <w:tr>
        <w:trPr>
          <w:trHeight w:val="279" w:hRule="atLeast"/>
        </w:trPr>
        <w:tc>
          <w:tcPr>
            <w:tcW w:w="524" w:type="dxa"/>
            <w:vAlign w:val="top"/>
            <w:vMerge w:val="restart"/>
            <w:tcBorders>
              <w:bottom w:val="nil"/>
            </w:tcBorders>
          </w:tcPr>
          <w:p>
            <w:pPr>
              <w:pStyle w:val="TableText"/>
              <w:ind w:left="45"/>
              <w:spacing w:before="309" w:line="219" w:lineRule="auto"/>
              <w:rPr>
                <w:sz w:val="21"/>
                <w:szCs w:val="21"/>
              </w:rPr>
            </w:pPr>
            <w:r>
              <w:rPr>
                <w:sz w:val="21"/>
                <w:szCs w:val="21"/>
                <w:spacing w:val="4"/>
              </w:rPr>
              <w:t>淡季</w:t>
            </w:r>
          </w:p>
        </w:tc>
        <w:tc>
          <w:tcPr>
            <w:tcW w:w="599" w:type="dxa"/>
            <w:vAlign w:val="top"/>
            <w:vMerge w:val="restart"/>
            <w:tcBorders>
              <w:bottom w:val="nil"/>
            </w:tcBorders>
          </w:tcPr>
          <w:p>
            <w:pPr>
              <w:spacing w:line="256" w:lineRule="auto"/>
              <w:rPr>
                <w:rFonts w:ascii="Arial"/>
                <w:sz w:val="21"/>
              </w:rPr>
            </w:pPr>
            <w:r/>
          </w:p>
          <w:p>
            <w:pPr>
              <w:spacing w:line="257" w:lineRule="auto"/>
              <w:rPr>
                <w:rFonts w:ascii="Arial"/>
                <w:sz w:val="21"/>
              </w:rPr>
            </w:pPr>
            <w:r/>
          </w:p>
          <w:p>
            <w:pPr>
              <w:spacing w:line="257" w:lineRule="auto"/>
              <w:rPr>
                <w:rFonts w:ascii="Arial"/>
                <w:sz w:val="21"/>
              </w:rPr>
            </w:pPr>
            <w:r/>
          </w:p>
          <w:p>
            <w:pPr>
              <w:pStyle w:val="TableText"/>
              <w:ind w:left="81"/>
              <w:spacing w:before="68" w:line="221" w:lineRule="auto"/>
              <w:rPr>
                <w:sz w:val="21"/>
                <w:szCs w:val="21"/>
              </w:rPr>
            </w:pPr>
            <w:r>
              <w:rPr>
                <w:sz w:val="21"/>
                <w:szCs w:val="21"/>
                <w:spacing w:val="6"/>
              </w:rPr>
              <w:t>蒸汽</w:t>
            </w:r>
          </w:p>
          <w:p>
            <w:pPr>
              <w:pStyle w:val="TableText"/>
              <w:ind w:left="180" w:right="78" w:hanging="99"/>
              <w:spacing w:before="36" w:line="255" w:lineRule="auto"/>
              <w:rPr>
                <w:sz w:val="21"/>
                <w:szCs w:val="21"/>
              </w:rPr>
            </w:pPr>
            <w:r>
              <w:rPr>
                <w:sz w:val="21"/>
                <w:szCs w:val="21"/>
                <w:spacing w:val="4"/>
              </w:rPr>
              <w:t>发生</w:t>
            </w:r>
            <w:r>
              <w:rPr>
                <w:sz w:val="21"/>
                <w:szCs w:val="21"/>
              </w:rPr>
              <w:t xml:space="preserve"> </w:t>
            </w:r>
            <w:r>
              <w:rPr>
                <w:sz w:val="21"/>
                <w:szCs w:val="21"/>
              </w:rPr>
              <w:t>器</w:t>
            </w:r>
          </w:p>
        </w:tc>
        <w:tc>
          <w:tcPr>
            <w:tcW w:w="899" w:type="dxa"/>
            <w:vAlign w:val="top"/>
            <w:vMerge w:val="restart"/>
            <w:tcBorders>
              <w:bottom w:val="nil"/>
            </w:tcBorders>
          </w:tcPr>
          <w:p>
            <w:pPr>
              <w:spacing w:line="309" w:lineRule="auto"/>
              <w:rPr>
                <w:rFonts w:ascii="Arial"/>
                <w:sz w:val="21"/>
              </w:rPr>
            </w:pPr>
            <w:r/>
          </w:p>
          <w:p>
            <w:pPr>
              <w:spacing w:line="309" w:lineRule="auto"/>
              <w:rPr>
                <w:rFonts w:ascii="Arial"/>
                <w:sz w:val="21"/>
              </w:rPr>
            </w:pPr>
            <w:r/>
          </w:p>
          <w:p>
            <w:pPr>
              <w:spacing w:line="309" w:lineRule="auto"/>
              <w:rPr>
                <w:rFonts w:ascii="Arial"/>
                <w:sz w:val="21"/>
              </w:rPr>
            </w:pPr>
            <w:r/>
          </w:p>
          <w:p>
            <w:pPr>
              <w:pStyle w:val="TableText"/>
              <w:ind w:left="121" w:right="17" w:hanging="99"/>
              <w:spacing w:before="68" w:line="241" w:lineRule="auto"/>
              <w:rPr>
                <w:sz w:val="21"/>
                <w:szCs w:val="21"/>
              </w:rPr>
            </w:pPr>
            <w:r>
              <w:rPr>
                <w:sz w:val="21"/>
                <w:szCs w:val="21"/>
                <w:spacing w:val="2"/>
              </w:rPr>
              <w:t>蒸汽发生</w:t>
            </w:r>
            <w:r>
              <w:rPr>
                <w:sz w:val="21"/>
                <w:szCs w:val="21"/>
              </w:rPr>
              <w:t xml:space="preserve"> </w:t>
            </w:r>
            <w:r>
              <w:rPr>
                <w:sz w:val="21"/>
                <w:szCs w:val="21"/>
                <w:spacing w:val="4"/>
              </w:rPr>
              <w:t>器烟气</w:t>
            </w:r>
          </w:p>
        </w:tc>
        <w:tc>
          <w:tcPr>
            <w:tcW w:w="939" w:type="dxa"/>
            <w:vAlign w:val="top"/>
          </w:tcPr>
          <w:p>
            <w:pPr>
              <w:pStyle w:val="TableText"/>
              <w:ind w:left="143"/>
              <w:spacing w:before="41" w:line="200" w:lineRule="auto"/>
              <w:rPr>
                <w:sz w:val="21"/>
                <w:szCs w:val="21"/>
              </w:rPr>
            </w:pPr>
            <w:r>
              <w:rPr>
                <w:sz w:val="21"/>
                <w:szCs w:val="21"/>
                <w:color w:val="505060"/>
                <w:spacing w:val="-2"/>
              </w:rPr>
              <w:t>颗粒物</w:t>
            </w:r>
          </w:p>
        </w:tc>
        <w:tc>
          <w:tcPr>
            <w:tcW w:w="1149" w:type="dxa"/>
            <w:vAlign w:val="top"/>
          </w:tcPr>
          <w:p>
            <w:pPr>
              <w:pStyle w:val="TableText"/>
              <w:ind w:left="44"/>
              <w:spacing w:before="40" w:line="201" w:lineRule="auto"/>
              <w:rPr>
                <w:sz w:val="21"/>
                <w:szCs w:val="21"/>
              </w:rPr>
            </w:pPr>
            <w:r>
              <w:rPr>
                <w:sz w:val="21"/>
                <w:szCs w:val="21"/>
                <w:spacing w:val="-2"/>
              </w:rPr>
              <w:t>产污系数法</w:t>
            </w:r>
          </w:p>
        </w:tc>
        <w:tc>
          <w:tcPr>
            <w:tcW w:w="1258" w:type="dxa"/>
            <w:vAlign w:val="top"/>
            <w:vMerge w:val="restart"/>
            <w:tcBorders>
              <w:bottom w:val="nil"/>
            </w:tcBorders>
          </w:tcPr>
          <w:p>
            <w:pPr>
              <w:spacing w:line="261" w:lineRule="auto"/>
              <w:rPr>
                <w:rFonts w:ascii="Arial"/>
                <w:sz w:val="21"/>
              </w:rPr>
            </w:pPr>
            <w:r/>
          </w:p>
          <w:p>
            <w:pPr>
              <w:pStyle w:val="TableText"/>
              <w:ind w:left="414"/>
              <w:spacing w:before="68"/>
              <w:rPr>
                <w:sz w:val="21"/>
                <w:szCs w:val="21"/>
              </w:rPr>
            </w:pPr>
            <w:r>
              <w:rPr>
                <w:sz w:val="21"/>
                <w:szCs w:val="21"/>
                <w:spacing w:val="-5"/>
              </w:rPr>
              <w:t>1200</w:t>
            </w:r>
          </w:p>
        </w:tc>
        <w:tc>
          <w:tcPr>
            <w:tcW w:w="1158" w:type="dxa"/>
            <w:vAlign w:val="top"/>
          </w:tcPr>
          <w:p>
            <w:pPr>
              <w:pStyle w:val="TableText"/>
              <w:ind w:left="367"/>
              <w:spacing w:before="61" w:line="182" w:lineRule="auto"/>
              <w:rPr>
                <w:sz w:val="21"/>
                <w:szCs w:val="21"/>
              </w:rPr>
            </w:pPr>
            <w:r>
              <w:rPr>
                <w:sz w:val="21"/>
                <w:szCs w:val="21"/>
                <w:spacing w:val="-5"/>
              </w:rPr>
              <w:t>19.1</w:t>
            </w:r>
          </w:p>
        </w:tc>
        <w:tc>
          <w:tcPr>
            <w:tcW w:w="959" w:type="dxa"/>
            <w:vAlign w:val="top"/>
          </w:tcPr>
          <w:p>
            <w:pPr>
              <w:pStyle w:val="TableText"/>
              <w:ind w:left="158"/>
              <w:spacing w:before="61" w:line="182" w:lineRule="auto"/>
              <w:rPr>
                <w:sz w:val="21"/>
                <w:szCs w:val="21"/>
              </w:rPr>
            </w:pPr>
            <w:r>
              <w:rPr>
                <w:sz w:val="21"/>
                <w:szCs w:val="21"/>
                <w:spacing w:val="-2"/>
              </w:rPr>
              <w:t>0.0494</w:t>
            </w:r>
          </w:p>
        </w:tc>
        <w:tc>
          <w:tcPr>
            <w:tcW w:w="1004" w:type="dxa"/>
            <w:vAlign w:val="top"/>
            <w:vMerge w:val="restart"/>
            <w:tcBorders>
              <w:bottom w:val="nil"/>
            </w:tcBorders>
          </w:tcPr>
          <w:p>
            <w:pPr>
              <w:spacing w:line="261" w:lineRule="auto"/>
              <w:rPr>
                <w:rFonts w:ascii="Arial"/>
                <w:sz w:val="21"/>
              </w:rPr>
            </w:pPr>
            <w:r/>
          </w:p>
          <w:p>
            <w:pPr>
              <w:pStyle w:val="TableText"/>
              <w:ind w:left="289"/>
              <w:spacing w:before="68"/>
              <w:rPr>
                <w:sz w:val="21"/>
                <w:szCs w:val="21"/>
              </w:rPr>
            </w:pPr>
            <w:r>
              <w:rPr>
                <w:sz w:val="21"/>
                <w:szCs w:val="21"/>
                <w:spacing w:val="-3"/>
              </w:rPr>
              <w:t>2160</w:t>
            </w:r>
          </w:p>
        </w:tc>
      </w:tr>
      <w:tr>
        <w:trPr>
          <w:trHeight w:val="269" w:hRule="atLeast"/>
        </w:trPr>
        <w:tc>
          <w:tcPr>
            <w:tcW w:w="524" w:type="dxa"/>
            <w:vAlign w:val="top"/>
            <w:vMerge w:val="continue"/>
            <w:tcBorders>
              <w:top w:val="nil"/>
              <w:bottom w:val="nil"/>
            </w:tcBorders>
          </w:tcPr>
          <w:p>
            <w:pPr>
              <w:rPr>
                <w:rFonts w:ascii="Arial"/>
                <w:sz w:val="21"/>
              </w:rPr>
            </w:pPr>
            <w:r/>
          </w:p>
        </w:tc>
        <w:tc>
          <w:tcPr>
            <w:tcW w:w="599" w:type="dxa"/>
            <w:vAlign w:val="top"/>
            <w:vMerge w:val="continue"/>
            <w:tcBorders>
              <w:top w:val="nil"/>
              <w:bottom w:val="nil"/>
            </w:tcBorders>
          </w:tcPr>
          <w:p>
            <w:pPr>
              <w:rPr>
                <w:rFonts w:ascii="Arial"/>
                <w:sz w:val="21"/>
              </w:rPr>
            </w:pPr>
            <w:r/>
          </w:p>
        </w:tc>
        <w:tc>
          <w:tcPr>
            <w:tcW w:w="899" w:type="dxa"/>
            <w:vAlign w:val="top"/>
            <w:vMerge w:val="continue"/>
            <w:tcBorders>
              <w:top w:val="nil"/>
              <w:bottom w:val="nil"/>
            </w:tcBorders>
          </w:tcPr>
          <w:p>
            <w:pPr>
              <w:rPr>
                <w:rFonts w:ascii="Arial"/>
                <w:sz w:val="21"/>
              </w:rPr>
            </w:pPr>
            <w:r/>
          </w:p>
        </w:tc>
        <w:tc>
          <w:tcPr>
            <w:tcW w:w="939" w:type="dxa"/>
            <w:vAlign w:val="top"/>
          </w:tcPr>
          <w:p>
            <w:pPr>
              <w:pStyle w:val="TableText"/>
              <w:ind w:left="302"/>
              <w:spacing w:before="85" w:line="174" w:lineRule="exact"/>
              <w:rPr>
                <w:sz w:val="21"/>
                <w:szCs w:val="21"/>
              </w:rPr>
            </w:pPr>
            <w:r>
              <w:rPr>
                <w:sz w:val="21"/>
                <w:szCs w:val="21"/>
                <w:spacing w:val="-1"/>
                <w:position w:val="-2"/>
              </w:rPr>
              <w:t>NOx</w:t>
            </w:r>
          </w:p>
        </w:tc>
        <w:tc>
          <w:tcPr>
            <w:tcW w:w="1149" w:type="dxa"/>
            <w:vAlign w:val="top"/>
          </w:tcPr>
          <w:p>
            <w:pPr>
              <w:pStyle w:val="TableText"/>
              <w:ind w:left="44"/>
              <w:spacing w:before="31" w:line="200" w:lineRule="auto"/>
              <w:rPr>
                <w:sz w:val="21"/>
                <w:szCs w:val="21"/>
              </w:rPr>
            </w:pPr>
            <w:r>
              <w:rPr>
                <w:sz w:val="21"/>
                <w:szCs w:val="21"/>
                <w:spacing w:val="-2"/>
              </w:rPr>
              <w:t>产污系数法</w:t>
            </w:r>
          </w:p>
        </w:tc>
        <w:tc>
          <w:tcPr>
            <w:tcW w:w="1258" w:type="dxa"/>
            <w:vAlign w:val="top"/>
            <w:vMerge w:val="continue"/>
            <w:tcBorders>
              <w:top w:val="nil"/>
              <w:bottom w:val="nil"/>
            </w:tcBorders>
          </w:tcPr>
          <w:p>
            <w:pPr>
              <w:rPr>
                <w:rFonts w:ascii="Arial"/>
                <w:sz w:val="21"/>
              </w:rPr>
            </w:pPr>
            <w:r/>
          </w:p>
        </w:tc>
        <w:tc>
          <w:tcPr>
            <w:tcW w:w="1158" w:type="dxa"/>
            <w:vAlign w:val="top"/>
          </w:tcPr>
          <w:p>
            <w:pPr>
              <w:pStyle w:val="TableText"/>
              <w:ind w:left="367"/>
              <w:spacing w:before="53" w:line="181" w:lineRule="auto"/>
              <w:rPr>
                <w:sz w:val="21"/>
                <w:szCs w:val="21"/>
              </w:rPr>
            </w:pPr>
            <w:r>
              <w:rPr>
                <w:sz w:val="21"/>
                <w:szCs w:val="21"/>
                <w:spacing w:val="-2"/>
              </w:rPr>
              <w:t>62.4</w:t>
            </w:r>
          </w:p>
        </w:tc>
        <w:tc>
          <w:tcPr>
            <w:tcW w:w="959" w:type="dxa"/>
            <w:vAlign w:val="top"/>
          </w:tcPr>
          <w:p>
            <w:pPr>
              <w:pStyle w:val="TableText"/>
              <w:ind w:left="158"/>
              <w:spacing w:before="53" w:line="181" w:lineRule="auto"/>
              <w:rPr>
                <w:sz w:val="21"/>
                <w:szCs w:val="21"/>
              </w:rPr>
            </w:pPr>
            <w:r>
              <w:rPr>
                <w:sz w:val="21"/>
                <w:szCs w:val="21"/>
                <w:color w:val="505050"/>
                <w:spacing w:val="-2"/>
              </w:rPr>
              <w:t>0.1617</w:t>
            </w:r>
          </w:p>
        </w:tc>
        <w:tc>
          <w:tcPr>
            <w:tcW w:w="1004" w:type="dxa"/>
            <w:vAlign w:val="top"/>
            <w:vMerge w:val="continue"/>
            <w:tcBorders>
              <w:top w:val="nil"/>
              <w:bottom w:val="nil"/>
            </w:tcBorders>
          </w:tcPr>
          <w:p>
            <w:pPr>
              <w:rPr>
                <w:rFonts w:ascii="Arial"/>
                <w:sz w:val="21"/>
              </w:rPr>
            </w:pPr>
            <w:r/>
          </w:p>
        </w:tc>
      </w:tr>
      <w:tr>
        <w:trPr>
          <w:trHeight w:val="259" w:hRule="atLeast"/>
        </w:trPr>
        <w:tc>
          <w:tcPr>
            <w:tcW w:w="524" w:type="dxa"/>
            <w:vAlign w:val="top"/>
            <w:vMerge w:val="continue"/>
            <w:tcBorders>
              <w:top w:val="nil"/>
            </w:tcBorders>
          </w:tcPr>
          <w:p>
            <w:pPr>
              <w:rPr>
                <w:rFonts w:ascii="Arial"/>
                <w:sz w:val="21"/>
              </w:rPr>
            </w:pPr>
            <w:r/>
          </w:p>
        </w:tc>
        <w:tc>
          <w:tcPr>
            <w:tcW w:w="599" w:type="dxa"/>
            <w:vAlign w:val="top"/>
            <w:vMerge w:val="continue"/>
            <w:tcBorders>
              <w:top w:val="nil"/>
              <w:bottom w:val="nil"/>
            </w:tcBorders>
          </w:tcPr>
          <w:p>
            <w:pPr>
              <w:rPr>
                <w:rFonts w:ascii="Arial"/>
                <w:sz w:val="21"/>
              </w:rPr>
            </w:pPr>
            <w:r/>
          </w:p>
        </w:tc>
        <w:tc>
          <w:tcPr>
            <w:tcW w:w="899" w:type="dxa"/>
            <w:vAlign w:val="top"/>
            <w:vMerge w:val="continue"/>
            <w:tcBorders>
              <w:top w:val="nil"/>
              <w:bottom w:val="nil"/>
            </w:tcBorders>
          </w:tcPr>
          <w:p>
            <w:pPr>
              <w:rPr>
                <w:rFonts w:ascii="Arial"/>
                <w:sz w:val="21"/>
              </w:rPr>
            </w:pPr>
            <w:r/>
          </w:p>
        </w:tc>
        <w:tc>
          <w:tcPr>
            <w:tcW w:w="939" w:type="dxa"/>
            <w:vAlign w:val="top"/>
          </w:tcPr>
          <w:p>
            <w:pPr>
              <w:pStyle w:val="TableText"/>
              <w:ind w:left="252"/>
              <w:spacing w:before="65" w:line="161" w:lineRule="auto"/>
              <w:rPr>
                <w:rFonts w:ascii="Calibri" w:hAnsi="Calibri" w:eastAsia="Calibri" w:cs="Calibri"/>
                <w:sz w:val="21"/>
                <w:szCs w:val="21"/>
              </w:rPr>
            </w:pPr>
            <w:r>
              <w:rPr>
                <w:sz w:val="21"/>
                <w:szCs w:val="21"/>
                <w:spacing w:val="-4"/>
              </w:rPr>
              <w:t>SO</w:t>
            </w:r>
            <w:r>
              <w:rPr>
                <w:rFonts w:ascii="Calibri" w:hAnsi="Calibri" w:eastAsia="Calibri" w:cs="Calibri"/>
                <w:sz w:val="21"/>
                <w:szCs w:val="21"/>
                <w:spacing w:val="-4"/>
              </w:rPr>
              <w:t>₂</w:t>
            </w:r>
          </w:p>
        </w:tc>
        <w:tc>
          <w:tcPr>
            <w:tcW w:w="1149" w:type="dxa"/>
            <w:vAlign w:val="top"/>
          </w:tcPr>
          <w:p>
            <w:pPr>
              <w:pStyle w:val="TableText"/>
              <w:ind w:left="44"/>
              <w:spacing w:before="32" w:line="190" w:lineRule="auto"/>
              <w:rPr>
                <w:sz w:val="21"/>
                <w:szCs w:val="21"/>
              </w:rPr>
            </w:pPr>
            <w:r>
              <w:rPr>
                <w:sz w:val="21"/>
                <w:szCs w:val="21"/>
                <w:spacing w:val="-2"/>
              </w:rPr>
              <w:t>产污系数法</w:t>
            </w:r>
          </w:p>
        </w:tc>
        <w:tc>
          <w:tcPr>
            <w:tcW w:w="1258" w:type="dxa"/>
            <w:vAlign w:val="top"/>
            <w:vMerge w:val="continue"/>
            <w:tcBorders>
              <w:top w:val="nil"/>
            </w:tcBorders>
          </w:tcPr>
          <w:p>
            <w:pPr>
              <w:rPr>
                <w:rFonts w:ascii="Arial"/>
                <w:sz w:val="21"/>
              </w:rPr>
            </w:pPr>
            <w:r/>
          </w:p>
        </w:tc>
        <w:tc>
          <w:tcPr>
            <w:tcW w:w="1158" w:type="dxa"/>
            <w:vAlign w:val="top"/>
          </w:tcPr>
          <w:p>
            <w:pPr>
              <w:pStyle w:val="TableText"/>
              <w:ind w:left="367"/>
              <w:spacing w:before="53" w:line="172" w:lineRule="auto"/>
              <w:rPr>
                <w:sz w:val="21"/>
                <w:szCs w:val="21"/>
              </w:rPr>
            </w:pPr>
            <w:r>
              <w:rPr>
                <w:sz w:val="21"/>
                <w:szCs w:val="21"/>
                <w:spacing w:val="-5"/>
              </w:rPr>
              <w:t>13.3</w:t>
            </w:r>
          </w:p>
        </w:tc>
        <w:tc>
          <w:tcPr>
            <w:tcW w:w="959" w:type="dxa"/>
            <w:vAlign w:val="top"/>
          </w:tcPr>
          <w:p>
            <w:pPr>
              <w:pStyle w:val="TableText"/>
              <w:ind w:left="158"/>
              <w:spacing w:before="53" w:line="172" w:lineRule="auto"/>
              <w:rPr>
                <w:sz w:val="21"/>
                <w:szCs w:val="21"/>
              </w:rPr>
            </w:pPr>
            <w:r>
              <w:rPr>
                <w:sz w:val="21"/>
                <w:szCs w:val="21"/>
                <w:spacing w:val="-2"/>
              </w:rPr>
              <w:t>0.0346</w:t>
            </w:r>
          </w:p>
        </w:tc>
        <w:tc>
          <w:tcPr>
            <w:tcW w:w="1004" w:type="dxa"/>
            <w:vAlign w:val="top"/>
            <w:vMerge w:val="continue"/>
            <w:tcBorders>
              <w:top w:val="nil"/>
            </w:tcBorders>
          </w:tcPr>
          <w:p>
            <w:pPr>
              <w:rPr>
                <w:rFonts w:ascii="Arial"/>
                <w:sz w:val="21"/>
              </w:rPr>
            </w:pPr>
            <w:r/>
          </w:p>
        </w:tc>
      </w:tr>
      <w:tr>
        <w:trPr>
          <w:trHeight w:val="289" w:hRule="atLeast"/>
        </w:trPr>
        <w:tc>
          <w:tcPr>
            <w:tcW w:w="524" w:type="dxa"/>
            <w:vAlign w:val="top"/>
            <w:vMerge w:val="restart"/>
            <w:tcBorders>
              <w:bottom w:val="nil"/>
            </w:tcBorders>
          </w:tcPr>
          <w:p>
            <w:pPr>
              <w:spacing w:line="253" w:lineRule="auto"/>
              <w:rPr>
                <w:rFonts w:ascii="Arial"/>
                <w:sz w:val="21"/>
              </w:rPr>
            </w:pPr>
            <w:r/>
          </w:p>
          <w:p>
            <w:pPr>
              <w:pStyle w:val="TableText"/>
              <w:ind w:left="45"/>
              <w:spacing w:before="69" w:line="219" w:lineRule="auto"/>
              <w:rPr>
                <w:sz w:val="21"/>
                <w:szCs w:val="21"/>
              </w:rPr>
            </w:pPr>
            <w:r>
              <w:rPr>
                <w:sz w:val="21"/>
                <w:szCs w:val="21"/>
                <w:spacing w:val="4"/>
              </w:rPr>
              <w:t>旺季</w:t>
            </w:r>
          </w:p>
        </w:tc>
        <w:tc>
          <w:tcPr>
            <w:tcW w:w="599" w:type="dxa"/>
            <w:vAlign w:val="top"/>
            <w:vMerge w:val="continue"/>
            <w:tcBorders>
              <w:top w:val="nil"/>
              <w:bottom w:val="nil"/>
            </w:tcBorders>
          </w:tcPr>
          <w:p>
            <w:pPr>
              <w:rPr>
                <w:rFonts w:ascii="Arial"/>
                <w:sz w:val="21"/>
              </w:rPr>
            </w:pPr>
            <w:r/>
          </w:p>
        </w:tc>
        <w:tc>
          <w:tcPr>
            <w:tcW w:w="899" w:type="dxa"/>
            <w:vAlign w:val="top"/>
            <w:vMerge w:val="continue"/>
            <w:tcBorders>
              <w:top w:val="nil"/>
              <w:bottom w:val="nil"/>
            </w:tcBorders>
          </w:tcPr>
          <w:p>
            <w:pPr>
              <w:rPr>
                <w:rFonts w:ascii="Arial"/>
                <w:sz w:val="21"/>
              </w:rPr>
            </w:pPr>
            <w:r/>
          </w:p>
        </w:tc>
        <w:tc>
          <w:tcPr>
            <w:tcW w:w="939" w:type="dxa"/>
            <w:vAlign w:val="top"/>
          </w:tcPr>
          <w:p>
            <w:pPr>
              <w:pStyle w:val="TableText"/>
              <w:ind w:left="143"/>
              <w:spacing w:before="44" w:line="206" w:lineRule="auto"/>
              <w:rPr>
                <w:sz w:val="21"/>
                <w:szCs w:val="21"/>
              </w:rPr>
            </w:pPr>
            <w:r>
              <w:rPr>
                <w:sz w:val="21"/>
                <w:szCs w:val="21"/>
                <w:color w:val="405050"/>
                <w:spacing w:val="-2"/>
              </w:rPr>
              <w:t>颗粒物</w:t>
            </w:r>
          </w:p>
        </w:tc>
        <w:tc>
          <w:tcPr>
            <w:tcW w:w="1149" w:type="dxa"/>
            <w:vAlign w:val="top"/>
          </w:tcPr>
          <w:p>
            <w:pPr>
              <w:pStyle w:val="TableText"/>
              <w:ind w:left="44"/>
              <w:spacing w:before="43" w:line="207" w:lineRule="auto"/>
              <w:rPr>
                <w:sz w:val="21"/>
                <w:szCs w:val="21"/>
              </w:rPr>
            </w:pPr>
            <w:r>
              <w:rPr>
                <w:sz w:val="21"/>
                <w:szCs w:val="21"/>
                <w:spacing w:val="-2"/>
              </w:rPr>
              <w:t>产污系数法</w:t>
            </w:r>
          </w:p>
        </w:tc>
        <w:tc>
          <w:tcPr>
            <w:tcW w:w="1258" w:type="dxa"/>
            <w:vAlign w:val="top"/>
            <w:vMerge w:val="restart"/>
            <w:tcBorders>
              <w:bottom w:val="nil"/>
            </w:tcBorders>
          </w:tcPr>
          <w:p>
            <w:pPr>
              <w:spacing w:line="274" w:lineRule="auto"/>
              <w:rPr>
                <w:rFonts w:ascii="Arial"/>
                <w:sz w:val="21"/>
              </w:rPr>
            </w:pPr>
            <w:r/>
          </w:p>
          <w:p>
            <w:pPr>
              <w:pStyle w:val="TableText"/>
              <w:ind w:left="414"/>
              <w:spacing w:before="68"/>
              <w:rPr>
                <w:sz w:val="21"/>
                <w:szCs w:val="21"/>
              </w:rPr>
            </w:pPr>
            <w:r>
              <w:rPr>
                <w:sz w:val="21"/>
                <w:szCs w:val="21"/>
                <w:spacing w:val="-5"/>
              </w:rPr>
              <w:t>1200</w:t>
            </w:r>
          </w:p>
        </w:tc>
        <w:tc>
          <w:tcPr>
            <w:tcW w:w="1158" w:type="dxa"/>
            <w:vAlign w:val="top"/>
          </w:tcPr>
          <w:p>
            <w:pPr>
              <w:pStyle w:val="TableText"/>
              <w:ind w:left="367"/>
              <w:spacing w:before="65" w:line="188" w:lineRule="auto"/>
              <w:rPr>
                <w:sz w:val="21"/>
                <w:szCs w:val="21"/>
              </w:rPr>
            </w:pPr>
            <w:r>
              <w:rPr>
                <w:sz w:val="21"/>
                <w:szCs w:val="21"/>
                <w:spacing w:val="-5"/>
              </w:rPr>
              <w:t>19.1</w:t>
            </w:r>
          </w:p>
        </w:tc>
        <w:tc>
          <w:tcPr>
            <w:tcW w:w="959" w:type="dxa"/>
            <w:vAlign w:val="top"/>
          </w:tcPr>
          <w:p>
            <w:pPr>
              <w:pStyle w:val="TableText"/>
              <w:ind w:left="158"/>
              <w:spacing w:before="65" w:line="188" w:lineRule="auto"/>
              <w:rPr>
                <w:sz w:val="21"/>
                <w:szCs w:val="21"/>
              </w:rPr>
            </w:pPr>
            <w:r>
              <w:rPr>
                <w:sz w:val="21"/>
                <w:szCs w:val="21"/>
                <w:color w:val="606050"/>
                <w:spacing w:val="-2"/>
              </w:rPr>
              <w:t>0.0165</w:t>
            </w:r>
          </w:p>
        </w:tc>
        <w:tc>
          <w:tcPr>
            <w:tcW w:w="1004" w:type="dxa"/>
            <w:vAlign w:val="top"/>
            <w:vMerge w:val="restart"/>
            <w:tcBorders>
              <w:bottom w:val="nil"/>
            </w:tcBorders>
          </w:tcPr>
          <w:p>
            <w:pPr>
              <w:spacing w:line="274" w:lineRule="auto"/>
              <w:rPr>
                <w:rFonts w:ascii="Arial"/>
                <w:sz w:val="21"/>
              </w:rPr>
            </w:pPr>
            <w:r/>
          </w:p>
          <w:p>
            <w:pPr>
              <w:pStyle w:val="TableText"/>
              <w:ind w:left="339"/>
              <w:spacing w:before="68"/>
              <w:rPr>
                <w:sz w:val="21"/>
                <w:szCs w:val="21"/>
              </w:rPr>
            </w:pPr>
            <w:r>
              <w:rPr>
                <w:sz w:val="21"/>
                <w:szCs w:val="21"/>
                <w:spacing w:val="-3"/>
              </w:rPr>
              <w:t>720</w:t>
            </w:r>
          </w:p>
        </w:tc>
      </w:tr>
      <w:tr>
        <w:trPr>
          <w:trHeight w:val="259" w:hRule="atLeast"/>
        </w:trPr>
        <w:tc>
          <w:tcPr>
            <w:tcW w:w="524" w:type="dxa"/>
            <w:vAlign w:val="top"/>
            <w:vMerge w:val="continue"/>
            <w:tcBorders>
              <w:top w:val="nil"/>
              <w:bottom w:val="nil"/>
            </w:tcBorders>
          </w:tcPr>
          <w:p>
            <w:pPr>
              <w:rPr>
                <w:rFonts w:ascii="Arial"/>
                <w:sz w:val="21"/>
              </w:rPr>
            </w:pPr>
            <w:r/>
          </w:p>
        </w:tc>
        <w:tc>
          <w:tcPr>
            <w:tcW w:w="599" w:type="dxa"/>
            <w:vAlign w:val="top"/>
            <w:vMerge w:val="continue"/>
            <w:tcBorders>
              <w:top w:val="nil"/>
              <w:bottom w:val="nil"/>
            </w:tcBorders>
          </w:tcPr>
          <w:p>
            <w:pPr>
              <w:rPr>
                <w:rFonts w:ascii="Arial"/>
                <w:sz w:val="21"/>
              </w:rPr>
            </w:pPr>
            <w:r/>
          </w:p>
        </w:tc>
        <w:tc>
          <w:tcPr>
            <w:tcW w:w="899" w:type="dxa"/>
            <w:vAlign w:val="top"/>
            <w:vMerge w:val="continue"/>
            <w:tcBorders>
              <w:top w:val="nil"/>
              <w:bottom w:val="nil"/>
            </w:tcBorders>
          </w:tcPr>
          <w:p>
            <w:pPr>
              <w:rPr>
                <w:rFonts w:ascii="Arial"/>
                <w:sz w:val="21"/>
              </w:rPr>
            </w:pPr>
            <w:r/>
          </w:p>
        </w:tc>
        <w:tc>
          <w:tcPr>
            <w:tcW w:w="939" w:type="dxa"/>
            <w:vAlign w:val="top"/>
          </w:tcPr>
          <w:p>
            <w:pPr>
              <w:pStyle w:val="TableText"/>
              <w:ind w:left="302"/>
              <w:spacing w:before="88" w:line="161" w:lineRule="exact"/>
              <w:rPr>
                <w:sz w:val="21"/>
                <w:szCs w:val="21"/>
              </w:rPr>
            </w:pPr>
            <w:r>
              <w:rPr>
                <w:sz w:val="21"/>
                <w:szCs w:val="21"/>
                <w:spacing w:val="-1"/>
                <w:position w:val="-3"/>
              </w:rPr>
              <w:t>NOx</w:t>
            </w:r>
          </w:p>
        </w:tc>
        <w:tc>
          <w:tcPr>
            <w:tcW w:w="1149" w:type="dxa"/>
            <w:vAlign w:val="top"/>
          </w:tcPr>
          <w:p>
            <w:pPr>
              <w:pStyle w:val="TableText"/>
              <w:ind w:left="44"/>
              <w:spacing w:before="34" w:line="189" w:lineRule="auto"/>
              <w:rPr>
                <w:sz w:val="21"/>
                <w:szCs w:val="21"/>
              </w:rPr>
            </w:pPr>
            <w:r>
              <w:rPr>
                <w:sz w:val="21"/>
                <w:szCs w:val="21"/>
                <w:spacing w:val="-2"/>
              </w:rPr>
              <w:t>产污系数法</w:t>
            </w:r>
          </w:p>
        </w:tc>
        <w:tc>
          <w:tcPr>
            <w:tcW w:w="1258" w:type="dxa"/>
            <w:vAlign w:val="top"/>
            <w:vMerge w:val="continue"/>
            <w:tcBorders>
              <w:top w:val="nil"/>
              <w:bottom w:val="nil"/>
            </w:tcBorders>
          </w:tcPr>
          <w:p>
            <w:pPr>
              <w:rPr>
                <w:rFonts w:ascii="Arial"/>
                <w:sz w:val="21"/>
              </w:rPr>
            </w:pPr>
            <w:r/>
          </w:p>
        </w:tc>
        <w:tc>
          <w:tcPr>
            <w:tcW w:w="1158" w:type="dxa"/>
            <w:vAlign w:val="top"/>
          </w:tcPr>
          <w:p>
            <w:pPr>
              <w:pStyle w:val="TableText"/>
              <w:ind w:left="367"/>
              <w:spacing w:before="55" w:line="170" w:lineRule="auto"/>
              <w:rPr>
                <w:sz w:val="21"/>
                <w:szCs w:val="21"/>
              </w:rPr>
            </w:pPr>
            <w:r>
              <w:rPr>
                <w:sz w:val="21"/>
                <w:szCs w:val="21"/>
                <w:spacing w:val="-2"/>
              </w:rPr>
              <w:t>62.4</w:t>
            </w:r>
          </w:p>
        </w:tc>
        <w:tc>
          <w:tcPr>
            <w:tcW w:w="959" w:type="dxa"/>
            <w:vAlign w:val="top"/>
          </w:tcPr>
          <w:p>
            <w:pPr>
              <w:pStyle w:val="TableText"/>
              <w:ind w:left="158"/>
              <w:spacing w:before="55" w:line="170" w:lineRule="auto"/>
              <w:rPr>
                <w:sz w:val="21"/>
                <w:szCs w:val="21"/>
              </w:rPr>
            </w:pPr>
            <w:r>
              <w:rPr>
                <w:sz w:val="21"/>
                <w:szCs w:val="21"/>
                <w:spacing w:val="-2"/>
              </w:rPr>
              <w:t>0.0539</w:t>
            </w:r>
          </w:p>
        </w:tc>
        <w:tc>
          <w:tcPr>
            <w:tcW w:w="1004" w:type="dxa"/>
            <w:vAlign w:val="top"/>
            <w:vMerge w:val="continue"/>
            <w:tcBorders>
              <w:top w:val="nil"/>
              <w:bottom w:val="nil"/>
            </w:tcBorders>
          </w:tcPr>
          <w:p>
            <w:pPr>
              <w:rPr>
                <w:rFonts w:ascii="Arial"/>
                <w:sz w:val="21"/>
              </w:rPr>
            </w:pPr>
            <w:r/>
          </w:p>
        </w:tc>
      </w:tr>
      <w:tr>
        <w:trPr>
          <w:trHeight w:val="269" w:hRule="atLeast"/>
        </w:trPr>
        <w:tc>
          <w:tcPr>
            <w:tcW w:w="524" w:type="dxa"/>
            <w:vAlign w:val="top"/>
            <w:vMerge w:val="continue"/>
            <w:tcBorders>
              <w:top w:val="nil"/>
            </w:tcBorders>
          </w:tcPr>
          <w:p>
            <w:pPr>
              <w:rPr>
                <w:rFonts w:ascii="Arial"/>
                <w:sz w:val="21"/>
              </w:rPr>
            </w:pPr>
            <w:r/>
          </w:p>
        </w:tc>
        <w:tc>
          <w:tcPr>
            <w:tcW w:w="599" w:type="dxa"/>
            <w:vAlign w:val="top"/>
            <w:vMerge w:val="continue"/>
            <w:tcBorders>
              <w:top w:val="nil"/>
              <w:bottom w:val="nil"/>
            </w:tcBorders>
          </w:tcPr>
          <w:p>
            <w:pPr>
              <w:rPr>
                <w:rFonts w:ascii="Arial"/>
                <w:sz w:val="21"/>
              </w:rPr>
            </w:pPr>
            <w:r/>
          </w:p>
        </w:tc>
        <w:tc>
          <w:tcPr>
            <w:tcW w:w="899" w:type="dxa"/>
            <w:vAlign w:val="top"/>
            <w:vMerge w:val="continue"/>
            <w:tcBorders>
              <w:top w:val="nil"/>
              <w:bottom w:val="nil"/>
            </w:tcBorders>
          </w:tcPr>
          <w:p>
            <w:pPr>
              <w:rPr>
                <w:rFonts w:ascii="Arial"/>
                <w:sz w:val="21"/>
              </w:rPr>
            </w:pPr>
            <w:r/>
          </w:p>
        </w:tc>
        <w:tc>
          <w:tcPr>
            <w:tcW w:w="939" w:type="dxa"/>
            <w:vAlign w:val="top"/>
          </w:tcPr>
          <w:p>
            <w:pPr>
              <w:pStyle w:val="TableText"/>
              <w:ind w:left="252"/>
              <w:spacing w:before="69" w:line="167" w:lineRule="auto"/>
              <w:rPr>
                <w:rFonts w:ascii="Calibri" w:hAnsi="Calibri" w:eastAsia="Calibri" w:cs="Calibri"/>
                <w:sz w:val="21"/>
                <w:szCs w:val="21"/>
              </w:rPr>
            </w:pPr>
            <w:r>
              <w:rPr>
                <w:sz w:val="21"/>
                <w:szCs w:val="21"/>
                <w:spacing w:val="-4"/>
              </w:rPr>
              <w:t>SO</w:t>
            </w:r>
            <w:r>
              <w:rPr>
                <w:rFonts w:ascii="Calibri" w:hAnsi="Calibri" w:eastAsia="Calibri" w:cs="Calibri"/>
                <w:sz w:val="21"/>
                <w:szCs w:val="21"/>
                <w:spacing w:val="-4"/>
              </w:rPr>
              <w:t>₂</w:t>
            </w:r>
          </w:p>
        </w:tc>
        <w:tc>
          <w:tcPr>
            <w:tcW w:w="1149" w:type="dxa"/>
            <w:vAlign w:val="top"/>
          </w:tcPr>
          <w:p>
            <w:pPr>
              <w:pStyle w:val="TableText"/>
              <w:ind w:left="44"/>
              <w:spacing w:before="34" w:line="197" w:lineRule="auto"/>
              <w:rPr>
                <w:sz w:val="21"/>
                <w:szCs w:val="21"/>
              </w:rPr>
            </w:pPr>
            <w:r>
              <w:rPr>
                <w:sz w:val="21"/>
                <w:szCs w:val="21"/>
                <w:spacing w:val="-2"/>
              </w:rPr>
              <w:t>产污系数法</w:t>
            </w:r>
          </w:p>
        </w:tc>
        <w:tc>
          <w:tcPr>
            <w:tcW w:w="1258" w:type="dxa"/>
            <w:vAlign w:val="top"/>
            <w:vMerge w:val="continue"/>
            <w:tcBorders>
              <w:top w:val="nil"/>
            </w:tcBorders>
          </w:tcPr>
          <w:p>
            <w:pPr>
              <w:rPr>
                <w:rFonts w:ascii="Arial"/>
                <w:sz w:val="21"/>
              </w:rPr>
            </w:pPr>
            <w:r/>
          </w:p>
        </w:tc>
        <w:tc>
          <w:tcPr>
            <w:tcW w:w="1158" w:type="dxa"/>
            <w:vAlign w:val="top"/>
          </w:tcPr>
          <w:p>
            <w:pPr>
              <w:pStyle w:val="TableText"/>
              <w:ind w:left="367"/>
              <w:spacing w:before="56" w:line="178" w:lineRule="auto"/>
              <w:rPr>
                <w:sz w:val="21"/>
                <w:szCs w:val="21"/>
              </w:rPr>
            </w:pPr>
            <w:r>
              <w:rPr>
                <w:sz w:val="21"/>
                <w:szCs w:val="21"/>
                <w:spacing w:val="-5"/>
              </w:rPr>
              <w:t>13.3</w:t>
            </w:r>
          </w:p>
        </w:tc>
        <w:tc>
          <w:tcPr>
            <w:tcW w:w="959" w:type="dxa"/>
            <w:vAlign w:val="top"/>
          </w:tcPr>
          <w:p>
            <w:pPr>
              <w:pStyle w:val="TableText"/>
              <w:ind w:left="158"/>
              <w:spacing w:before="56" w:line="178" w:lineRule="auto"/>
              <w:rPr>
                <w:sz w:val="21"/>
                <w:szCs w:val="21"/>
              </w:rPr>
            </w:pPr>
            <w:r>
              <w:rPr>
                <w:sz w:val="21"/>
                <w:szCs w:val="21"/>
                <w:spacing w:val="-2"/>
              </w:rPr>
              <w:t>0.0115</w:t>
            </w:r>
          </w:p>
        </w:tc>
        <w:tc>
          <w:tcPr>
            <w:tcW w:w="1004" w:type="dxa"/>
            <w:vAlign w:val="top"/>
            <w:vMerge w:val="continue"/>
            <w:tcBorders>
              <w:top w:val="nil"/>
            </w:tcBorders>
          </w:tcPr>
          <w:p>
            <w:pPr>
              <w:rPr>
                <w:rFonts w:ascii="Arial"/>
                <w:sz w:val="21"/>
              </w:rPr>
            </w:pPr>
            <w:r/>
          </w:p>
        </w:tc>
      </w:tr>
      <w:tr>
        <w:trPr>
          <w:trHeight w:val="279" w:hRule="atLeast"/>
        </w:trPr>
        <w:tc>
          <w:tcPr>
            <w:tcW w:w="524" w:type="dxa"/>
            <w:vAlign w:val="top"/>
            <w:vMerge w:val="restart"/>
            <w:tcBorders>
              <w:bottom w:val="nil"/>
            </w:tcBorders>
          </w:tcPr>
          <w:p>
            <w:pPr>
              <w:pStyle w:val="TableText"/>
              <w:ind w:left="45"/>
              <w:spacing w:before="296" w:line="219" w:lineRule="auto"/>
              <w:rPr>
                <w:sz w:val="21"/>
                <w:szCs w:val="21"/>
              </w:rPr>
            </w:pPr>
            <w:r>
              <w:rPr>
                <w:sz w:val="21"/>
                <w:szCs w:val="21"/>
                <w:spacing w:val="-3"/>
              </w:rPr>
              <w:t>全年</w:t>
            </w:r>
          </w:p>
        </w:tc>
        <w:tc>
          <w:tcPr>
            <w:tcW w:w="599" w:type="dxa"/>
            <w:vAlign w:val="top"/>
            <w:vMerge w:val="continue"/>
            <w:tcBorders>
              <w:top w:val="nil"/>
              <w:bottom w:val="nil"/>
            </w:tcBorders>
          </w:tcPr>
          <w:p>
            <w:pPr>
              <w:rPr>
                <w:rFonts w:ascii="Arial"/>
                <w:sz w:val="21"/>
              </w:rPr>
            </w:pPr>
            <w:r/>
          </w:p>
        </w:tc>
        <w:tc>
          <w:tcPr>
            <w:tcW w:w="899" w:type="dxa"/>
            <w:vAlign w:val="top"/>
            <w:vMerge w:val="continue"/>
            <w:tcBorders>
              <w:top w:val="nil"/>
              <w:bottom w:val="nil"/>
            </w:tcBorders>
          </w:tcPr>
          <w:p>
            <w:pPr>
              <w:rPr>
                <w:rFonts w:ascii="Arial"/>
                <w:sz w:val="21"/>
              </w:rPr>
            </w:pPr>
            <w:r/>
          </w:p>
        </w:tc>
        <w:tc>
          <w:tcPr>
            <w:tcW w:w="939" w:type="dxa"/>
            <w:vAlign w:val="top"/>
          </w:tcPr>
          <w:p>
            <w:pPr>
              <w:pStyle w:val="TableText"/>
              <w:ind w:left="143"/>
              <w:spacing w:before="47" w:line="195" w:lineRule="auto"/>
              <w:rPr>
                <w:sz w:val="21"/>
                <w:szCs w:val="21"/>
              </w:rPr>
            </w:pPr>
            <w:r>
              <w:rPr>
                <w:sz w:val="21"/>
                <w:szCs w:val="21"/>
                <w:spacing w:val="-2"/>
              </w:rPr>
              <w:t>颗粒物</w:t>
            </w:r>
          </w:p>
        </w:tc>
        <w:tc>
          <w:tcPr>
            <w:tcW w:w="1149" w:type="dxa"/>
            <w:vAlign w:val="top"/>
          </w:tcPr>
          <w:p>
            <w:pPr>
              <w:pStyle w:val="TableText"/>
              <w:ind w:left="513"/>
              <w:spacing w:before="51" w:line="191" w:lineRule="auto"/>
              <w:rPr>
                <w:sz w:val="21"/>
                <w:szCs w:val="21"/>
              </w:rPr>
            </w:pPr>
            <w:r>
              <w:rPr>
                <w:sz w:val="21"/>
                <w:szCs w:val="21"/>
              </w:rPr>
              <w:t>/</w:t>
            </w:r>
          </w:p>
        </w:tc>
        <w:tc>
          <w:tcPr>
            <w:tcW w:w="1258" w:type="dxa"/>
            <w:vAlign w:val="top"/>
          </w:tcPr>
          <w:p>
            <w:pPr>
              <w:pStyle w:val="TableText"/>
              <w:ind w:left="564"/>
              <w:spacing w:before="51" w:line="191" w:lineRule="auto"/>
              <w:rPr>
                <w:sz w:val="21"/>
                <w:szCs w:val="21"/>
              </w:rPr>
            </w:pPr>
            <w:r>
              <w:rPr>
                <w:sz w:val="21"/>
                <w:szCs w:val="21"/>
              </w:rPr>
              <w:t>/</w:t>
            </w:r>
          </w:p>
        </w:tc>
        <w:tc>
          <w:tcPr>
            <w:tcW w:w="1158" w:type="dxa"/>
            <w:vAlign w:val="top"/>
          </w:tcPr>
          <w:p>
            <w:pPr>
              <w:pStyle w:val="TableText"/>
              <w:ind w:left="516"/>
              <w:spacing w:before="51" w:line="191" w:lineRule="auto"/>
              <w:rPr>
                <w:sz w:val="21"/>
                <w:szCs w:val="21"/>
              </w:rPr>
            </w:pPr>
            <w:r>
              <w:rPr>
                <w:sz w:val="21"/>
                <w:szCs w:val="21"/>
              </w:rPr>
              <w:t>/</w:t>
            </w:r>
          </w:p>
        </w:tc>
        <w:tc>
          <w:tcPr>
            <w:tcW w:w="959" w:type="dxa"/>
            <w:vAlign w:val="top"/>
          </w:tcPr>
          <w:p>
            <w:pPr>
              <w:pStyle w:val="TableText"/>
              <w:ind w:left="158"/>
              <w:spacing w:before="67" w:line="177" w:lineRule="auto"/>
              <w:rPr>
                <w:sz w:val="21"/>
                <w:szCs w:val="21"/>
              </w:rPr>
            </w:pPr>
            <w:r>
              <w:rPr>
                <w:sz w:val="21"/>
                <w:szCs w:val="21"/>
                <w:spacing w:val="-2"/>
              </w:rPr>
              <w:t>0.0659</w:t>
            </w:r>
          </w:p>
        </w:tc>
        <w:tc>
          <w:tcPr>
            <w:tcW w:w="1004" w:type="dxa"/>
            <w:vAlign w:val="top"/>
            <w:vMerge w:val="restart"/>
            <w:tcBorders>
              <w:bottom w:val="nil"/>
            </w:tcBorders>
          </w:tcPr>
          <w:p>
            <w:pPr>
              <w:spacing w:line="247" w:lineRule="auto"/>
              <w:rPr>
                <w:rFonts w:ascii="Arial"/>
                <w:sz w:val="21"/>
              </w:rPr>
            </w:pPr>
            <w:r/>
          </w:p>
          <w:p>
            <w:pPr>
              <w:pStyle w:val="TableText"/>
              <w:ind w:left="289"/>
              <w:spacing w:before="68"/>
              <w:rPr>
                <w:sz w:val="21"/>
                <w:szCs w:val="21"/>
              </w:rPr>
            </w:pPr>
            <w:r>
              <w:rPr>
                <w:sz w:val="21"/>
                <w:szCs w:val="21"/>
                <w:spacing w:val="-3"/>
              </w:rPr>
              <w:t>2880</w:t>
            </w:r>
          </w:p>
        </w:tc>
      </w:tr>
      <w:tr>
        <w:trPr>
          <w:trHeight w:val="249" w:hRule="atLeast"/>
        </w:trPr>
        <w:tc>
          <w:tcPr>
            <w:tcW w:w="524" w:type="dxa"/>
            <w:vAlign w:val="top"/>
            <w:vMerge w:val="continue"/>
            <w:tcBorders>
              <w:top w:val="nil"/>
              <w:bottom w:val="nil"/>
            </w:tcBorders>
          </w:tcPr>
          <w:p>
            <w:pPr>
              <w:rPr>
                <w:rFonts w:ascii="Arial"/>
                <w:sz w:val="21"/>
              </w:rPr>
            </w:pPr>
            <w:r/>
          </w:p>
        </w:tc>
        <w:tc>
          <w:tcPr>
            <w:tcW w:w="599" w:type="dxa"/>
            <w:vAlign w:val="top"/>
            <w:vMerge w:val="continue"/>
            <w:tcBorders>
              <w:top w:val="nil"/>
              <w:bottom w:val="nil"/>
            </w:tcBorders>
          </w:tcPr>
          <w:p>
            <w:pPr>
              <w:rPr>
                <w:rFonts w:ascii="Arial"/>
                <w:sz w:val="21"/>
              </w:rPr>
            </w:pPr>
            <w:r/>
          </w:p>
        </w:tc>
        <w:tc>
          <w:tcPr>
            <w:tcW w:w="899" w:type="dxa"/>
            <w:vAlign w:val="top"/>
            <w:vMerge w:val="continue"/>
            <w:tcBorders>
              <w:top w:val="nil"/>
              <w:bottom w:val="nil"/>
            </w:tcBorders>
          </w:tcPr>
          <w:p>
            <w:pPr>
              <w:rPr>
                <w:rFonts w:ascii="Arial"/>
                <w:sz w:val="21"/>
              </w:rPr>
            </w:pPr>
            <w:r/>
          </w:p>
        </w:tc>
        <w:tc>
          <w:tcPr>
            <w:tcW w:w="939" w:type="dxa"/>
            <w:vAlign w:val="top"/>
          </w:tcPr>
          <w:p>
            <w:pPr>
              <w:pStyle w:val="TableText"/>
              <w:ind w:left="302"/>
              <w:spacing w:before="81" w:line="158" w:lineRule="exact"/>
              <w:rPr>
                <w:sz w:val="21"/>
                <w:szCs w:val="21"/>
              </w:rPr>
            </w:pPr>
            <w:r>
              <w:rPr>
                <w:sz w:val="21"/>
                <w:szCs w:val="21"/>
                <w:spacing w:val="-1"/>
                <w:position w:val="-3"/>
              </w:rPr>
              <w:t>NOx</w:t>
            </w:r>
          </w:p>
        </w:tc>
        <w:tc>
          <w:tcPr>
            <w:tcW w:w="1149" w:type="dxa"/>
            <w:vAlign w:val="top"/>
          </w:tcPr>
          <w:p>
            <w:pPr>
              <w:pStyle w:val="TableText"/>
              <w:ind w:left="513"/>
              <w:spacing w:before="49" w:line="167" w:lineRule="auto"/>
              <w:rPr>
                <w:sz w:val="21"/>
                <w:szCs w:val="21"/>
              </w:rPr>
            </w:pPr>
            <w:r>
              <w:rPr>
                <w:sz w:val="21"/>
                <w:szCs w:val="21"/>
              </w:rPr>
              <w:t>1</w:t>
            </w:r>
          </w:p>
        </w:tc>
        <w:tc>
          <w:tcPr>
            <w:tcW w:w="1258" w:type="dxa"/>
            <w:vAlign w:val="top"/>
          </w:tcPr>
          <w:p>
            <w:pPr>
              <w:pStyle w:val="TableText"/>
              <w:ind w:left="564"/>
              <w:spacing w:before="49" w:line="167" w:lineRule="auto"/>
              <w:rPr>
                <w:sz w:val="21"/>
                <w:szCs w:val="21"/>
              </w:rPr>
            </w:pPr>
            <w:r>
              <w:rPr>
                <w:sz w:val="21"/>
                <w:szCs w:val="21"/>
              </w:rPr>
              <w:t>1</w:t>
            </w:r>
          </w:p>
        </w:tc>
        <w:tc>
          <w:tcPr>
            <w:tcW w:w="1158" w:type="dxa"/>
            <w:vAlign w:val="top"/>
          </w:tcPr>
          <w:p>
            <w:pPr>
              <w:pStyle w:val="TableText"/>
              <w:ind w:left="516"/>
              <w:spacing w:before="49" w:line="167" w:lineRule="auto"/>
              <w:rPr>
                <w:sz w:val="21"/>
                <w:szCs w:val="21"/>
              </w:rPr>
            </w:pPr>
            <w:r>
              <w:rPr>
                <w:sz w:val="21"/>
                <w:szCs w:val="21"/>
              </w:rPr>
              <w:t>1</w:t>
            </w:r>
          </w:p>
        </w:tc>
        <w:tc>
          <w:tcPr>
            <w:tcW w:w="959" w:type="dxa"/>
            <w:vAlign w:val="top"/>
          </w:tcPr>
          <w:p>
            <w:pPr>
              <w:pStyle w:val="TableText"/>
              <w:ind w:left="158"/>
              <w:spacing w:before="49" w:line="167" w:lineRule="auto"/>
              <w:rPr>
                <w:sz w:val="21"/>
                <w:szCs w:val="21"/>
              </w:rPr>
            </w:pPr>
            <w:r>
              <w:rPr>
                <w:sz w:val="21"/>
                <w:szCs w:val="21"/>
                <w:spacing w:val="-2"/>
              </w:rPr>
              <w:t>0.2156</w:t>
            </w:r>
          </w:p>
        </w:tc>
        <w:tc>
          <w:tcPr>
            <w:tcW w:w="1004" w:type="dxa"/>
            <w:vAlign w:val="top"/>
            <w:vMerge w:val="continue"/>
            <w:tcBorders>
              <w:top w:val="nil"/>
              <w:bottom w:val="nil"/>
            </w:tcBorders>
          </w:tcPr>
          <w:p>
            <w:pPr>
              <w:rPr>
                <w:rFonts w:ascii="Arial"/>
                <w:sz w:val="21"/>
              </w:rPr>
            </w:pPr>
            <w:r/>
          </w:p>
        </w:tc>
      </w:tr>
      <w:tr>
        <w:trPr>
          <w:trHeight w:val="249" w:hRule="atLeast"/>
        </w:trPr>
        <w:tc>
          <w:tcPr>
            <w:tcW w:w="524" w:type="dxa"/>
            <w:vAlign w:val="top"/>
            <w:vMerge w:val="continue"/>
            <w:tcBorders>
              <w:top w:val="nil"/>
            </w:tcBorders>
          </w:tcPr>
          <w:p>
            <w:pPr>
              <w:rPr>
                <w:rFonts w:ascii="Arial"/>
                <w:sz w:val="21"/>
              </w:rPr>
            </w:pPr>
            <w:r/>
          </w:p>
        </w:tc>
        <w:tc>
          <w:tcPr>
            <w:tcW w:w="599" w:type="dxa"/>
            <w:vAlign w:val="top"/>
            <w:vMerge w:val="continue"/>
            <w:tcBorders>
              <w:top w:val="nil"/>
            </w:tcBorders>
          </w:tcPr>
          <w:p>
            <w:pPr>
              <w:rPr>
                <w:rFonts w:ascii="Arial"/>
                <w:sz w:val="21"/>
              </w:rPr>
            </w:pPr>
            <w:r/>
          </w:p>
        </w:tc>
        <w:tc>
          <w:tcPr>
            <w:tcW w:w="899" w:type="dxa"/>
            <w:vAlign w:val="top"/>
            <w:vMerge w:val="continue"/>
            <w:tcBorders>
              <w:top w:val="nil"/>
            </w:tcBorders>
          </w:tcPr>
          <w:p>
            <w:pPr>
              <w:rPr>
                <w:rFonts w:ascii="Arial"/>
                <w:sz w:val="21"/>
              </w:rPr>
            </w:pPr>
            <w:r/>
          </w:p>
        </w:tc>
        <w:tc>
          <w:tcPr>
            <w:tcW w:w="939" w:type="dxa"/>
            <w:vAlign w:val="top"/>
          </w:tcPr>
          <w:p>
            <w:pPr>
              <w:pStyle w:val="TableText"/>
              <w:ind w:left="252"/>
              <w:spacing w:before="62" w:line="177" w:lineRule="exact"/>
              <w:rPr>
                <w:rFonts w:ascii="Calibri" w:hAnsi="Calibri" w:eastAsia="Calibri" w:cs="Calibri"/>
                <w:sz w:val="21"/>
                <w:szCs w:val="21"/>
              </w:rPr>
            </w:pPr>
            <w:r>
              <w:rPr>
                <w:sz w:val="21"/>
                <w:szCs w:val="21"/>
                <w:spacing w:val="-4"/>
                <w:position w:val="-1"/>
              </w:rPr>
              <w:t>SO</w:t>
            </w:r>
            <w:r>
              <w:rPr>
                <w:rFonts w:ascii="Calibri" w:hAnsi="Calibri" w:eastAsia="Calibri" w:cs="Calibri"/>
                <w:sz w:val="21"/>
                <w:szCs w:val="21"/>
                <w:spacing w:val="-4"/>
                <w:position w:val="-1"/>
              </w:rPr>
              <w:t>₂</w:t>
            </w:r>
          </w:p>
        </w:tc>
        <w:tc>
          <w:tcPr>
            <w:tcW w:w="1149" w:type="dxa"/>
            <w:vAlign w:val="top"/>
          </w:tcPr>
          <w:p>
            <w:pPr>
              <w:pStyle w:val="TableText"/>
              <w:ind w:left="513"/>
              <w:spacing w:before="34" w:line="180" w:lineRule="auto"/>
              <w:rPr>
                <w:sz w:val="21"/>
                <w:szCs w:val="21"/>
              </w:rPr>
            </w:pPr>
            <w:r>
              <w:rPr>
                <w:sz w:val="21"/>
                <w:szCs w:val="21"/>
              </w:rPr>
              <w:t>/</w:t>
            </w:r>
          </w:p>
        </w:tc>
        <w:tc>
          <w:tcPr>
            <w:tcW w:w="1258" w:type="dxa"/>
            <w:vAlign w:val="top"/>
          </w:tcPr>
          <w:p>
            <w:pPr>
              <w:pStyle w:val="TableText"/>
              <w:ind w:left="564"/>
              <w:spacing w:before="34" w:line="180" w:lineRule="auto"/>
              <w:rPr>
                <w:sz w:val="21"/>
                <w:szCs w:val="21"/>
              </w:rPr>
            </w:pPr>
            <w:r>
              <w:rPr>
                <w:sz w:val="21"/>
                <w:szCs w:val="21"/>
              </w:rPr>
              <w:t>/</w:t>
            </w:r>
          </w:p>
        </w:tc>
        <w:tc>
          <w:tcPr>
            <w:tcW w:w="1158" w:type="dxa"/>
            <w:vAlign w:val="top"/>
          </w:tcPr>
          <w:p>
            <w:pPr>
              <w:pStyle w:val="TableText"/>
              <w:ind w:left="516"/>
              <w:spacing w:before="34" w:line="180" w:lineRule="auto"/>
              <w:rPr>
                <w:sz w:val="21"/>
                <w:szCs w:val="21"/>
              </w:rPr>
            </w:pPr>
            <w:r>
              <w:rPr>
                <w:sz w:val="21"/>
                <w:szCs w:val="21"/>
              </w:rPr>
              <w:t>/</w:t>
            </w:r>
          </w:p>
        </w:tc>
        <w:tc>
          <w:tcPr>
            <w:tcW w:w="959" w:type="dxa"/>
            <w:vAlign w:val="top"/>
          </w:tcPr>
          <w:p>
            <w:pPr>
              <w:pStyle w:val="TableText"/>
              <w:ind w:left="158"/>
              <w:spacing w:before="50" w:line="166" w:lineRule="auto"/>
              <w:rPr>
                <w:sz w:val="21"/>
                <w:szCs w:val="21"/>
              </w:rPr>
            </w:pPr>
            <w:r>
              <w:rPr>
                <w:sz w:val="21"/>
                <w:szCs w:val="21"/>
                <w:spacing w:val="-2"/>
              </w:rPr>
              <w:t>0.0461</w:t>
            </w:r>
          </w:p>
        </w:tc>
        <w:tc>
          <w:tcPr>
            <w:tcW w:w="1004" w:type="dxa"/>
            <w:vAlign w:val="top"/>
            <w:vMerge w:val="continue"/>
            <w:tcBorders>
              <w:top w:val="nil"/>
            </w:tcBorders>
          </w:tcPr>
          <w:p>
            <w:pPr>
              <w:rPr>
                <w:rFonts w:ascii="Arial"/>
                <w:sz w:val="21"/>
              </w:rPr>
            </w:pPr>
            <w:r/>
          </w:p>
        </w:tc>
      </w:tr>
    </w:tbl>
    <w:p>
      <w:pPr>
        <w:ind w:left="1933"/>
        <w:spacing w:before="47" w:line="214" w:lineRule="auto"/>
        <w:rPr>
          <w:rFonts w:ascii="SimSun" w:hAnsi="SimSun" w:eastAsia="SimSun" w:cs="SimSun"/>
          <w:sz w:val="24"/>
          <w:szCs w:val="24"/>
        </w:rPr>
      </w:pPr>
      <w:r>
        <w:drawing>
          <wp:anchor distT="0" distB="0" distL="0" distR="0" simplePos="0" relativeHeight="252754944" behindDoc="0" locked="0" layoutInCell="1" allowOverlap="1">
            <wp:simplePos x="0" y="0"/>
            <wp:positionH relativeFrom="column">
              <wp:posOffset>0</wp:posOffset>
            </wp:positionH>
            <wp:positionV relativeFrom="paragraph">
              <wp:posOffset>174644</wp:posOffset>
            </wp:positionV>
            <wp:extent cx="5568979" cy="7620"/>
            <wp:effectExtent l="0" t="0" r="0" b="0"/>
            <wp:wrapNone/>
            <wp:docPr id="84" name="IM 84"/>
            <wp:cNvGraphicFramePr/>
            <a:graphic>
              <a:graphicData uri="http://schemas.openxmlformats.org/drawingml/2006/picture">
                <pic:pic>
                  <pic:nvPicPr>
                    <pic:cNvPr id="84" name="IM 84"/>
                    <pic:cNvPicPr/>
                  </pic:nvPicPr>
                  <pic:blipFill>
                    <a:blip r:embed="rId328"/>
                    <a:stretch>
                      <a:fillRect/>
                    </a:stretch>
                  </pic:blipFill>
                  <pic:spPr>
                    <a:xfrm rot="0">
                      <a:off x="0" y="0"/>
                      <a:ext cx="5568979" cy="7620"/>
                    </a:xfrm>
                    <a:prstGeom prst="rect">
                      <a:avLst/>
                    </a:prstGeom>
                  </pic:spPr>
                </pic:pic>
              </a:graphicData>
            </a:graphic>
          </wp:anchor>
        </w:drawing>
      </w:r>
      <w:r>
        <w:rPr>
          <w:rFonts w:ascii="SimSun" w:hAnsi="SimSun" w:eastAsia="SimSun" w:cs="SimSun"/>
          <w:sz w:val="24"/>
          <w:szCs w:val="24"/>
          <w:b/>
          <w:bCs/>
          <w:spacing w:val="-3"/>
        </w:rPr>
        <w:t>表3.11-26天然气蒸汽发生器烟气排放情况统计</w:t>
      </w:r>
    </w:p>
    <w:tbl>
      <w:tblPr>
        <w:tblStyle w:val="TableNormal"/>
        <w:tblW w:w="8509" w:type="dxa"/>
        <w:tblInd w:w="7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974"/>
        <w:gridCol w:w="899"/>
        <w:gridCol w:w="719"/>
        <w:gridCol w:w="1078"/>
        <w:gridCol w:w="919"/>
        <w:gridCol w:w="999"/>
        <w:gridCol w:w="989"/>
        <w:gridCol w:w="859"/>
        <w:gridCol w:w="1073"/>
      </w:tblGrid>
      <w:tr>
        <w:trPr>
          <w:trHeight w:val="284" w:hRule="atLeast"/>
        </w:trPr>
        <w:tc>
          <w:tcPr>
            <w:shd w:val="clear" w:fill="BDBDBD"/>
            <w:tcW w:w="974" w:type="dxa"/>
            <w:vAlign w:val="top"/>
            <w:vMerge w:val="restart"/>
            <w:tcBorders>
              <w:bottom w:val="nil"/>
            </w:tcBorders>
          </w:tcPr>
          <w:p>
            <w:pPr>
              <w:spacing w:line="252" w:lineRule="auto"/>
              <w:rPr>
                <w:rFonts w:ascii="Arial"/>
                <w:sz w:val="21"/>
              </w:rPr>
            </w:pPr>
            <w:r/>
          </w:p>
          <w:p>
            <w:pPr>
              <w:pStyle w:val="TableText"/>
              <w:ind w:left="58"/>
              <w:spacing w:before="68" w:line="221" w:lineRule="auto"/>
              <w:rPr>
                <w:sz w:val="21"/>
                <w:szCs w:val="21"/>
              </w:rPr>
            </w:pPr>
            <w:r>
              <w:rPr>
                <w:sz w:val="21"/>
                <w:szCs w:val="21"/>
                <w:b/>
                <w:bCs/>
                <w:spacing w:val="-4"/>
              </w:rPr>
              <w:t>排放时段</w:t>
            </w:r>
          </w:p>
        </w:tc>
        <w:tc>
          <w:tcPr>
            <w:shd w:val="clear" w:fill="BDBDBD"/>
            <w:tcW w:w="3615" w:type="dxa"/>
            <w:vAlign w:val="top"/>
            <w:gridSpan w:val="4"/>
          </w:tcPr>
          <w:p>
            <w:pPr>
              <w:pStyle w:val="TableText"/>
              <w:ind w:left="733"/>
              <w:spacing w:before="40" w:line="205" w:lineRule="auto"/>
              <w:rPr>
                <w:sz w:val="21"/>
                <w:szCs w:val="21"/>
              </w:rPr>
            </w:pPr>
            <w:r>
              <w:rPr>
                <w:sz w:val="21"/>
                <w:szCs w:val="21"/>
                <w:b/>
                <w:bCs/>
                <w:spacing w:val="-3"/>
              </w:rPr>
              <w:t>DA005排气筒排放参数</w:t>
            </w:r>
          </w:p>
        </w:tc>
        <w:tc>
          <w:tcPr>
            <w:shd w:val="clear" w:fill="BDBDBD"/>
            <w:tcW w:w="999" w:type="dxa"/>
            <w:vAlign w:val="top"/>
            <w:vMerge w:val="restart"/>
            <w:tcBorders>
              <w:bottom w:val="nil"/>
            </w:tcBorders>
          </w:tcPr>
          <w:p>
            <w:pPr>
              <w:spacing w:line="251" w:lineRule="auto"/>
              <w:rPr>
                <w:rFonts w:ascii="Arial"/>
                <w:sz w:val="21"/>
              </w:rPr>
            </w:pPr>
            <w:r/>
          </w:p>
          <w:p>
            <w:pPr>
              <w:pStyle w:val="TableText"/>
              <w:ind w:left="178"/>
              <w:spacing w:before="68" w:line="220" w:lineRule="auto"/>
              <w:rPr>
                <w:sz w:val="21"/>
                <w:szCs w:val="21"/>
              </w:rPr>
            </w:pPr>
            <w:r>
              <w:rPr>
                <w:sz w:val="21"/>
                <w:szCs w:val="21"/>
                <w:b/>
                <w:bCs/>
                <w:spacing w:val="-5"/>
              </w:rPr>
              <w:t>污染物</w:t>
            </w:r>
          </w:p>
        </w:tc>
        <w:tc>
          <w:tcPr>
            <w:shd w:val="clear" w:fill="BDBDBD"/>
            <w:tcW w:w="989" w:type="dxa"/>
            <w:vAlign w:val="top"/>
            <w:vMerge w:val="restart"/>
            <w:tcBorders>
              <w:bottom w:val="nil"/>
            </w:tcBorders>
          </w:tcPr>
          <w:p>
            <w:pPr>
              <w:pStyle w:val="TableText"/>
              <w:ind w:left="69"/>
              <w:spacing w:before="180" w:line="219" w:lineRule="auto"/>
              <w:rPr>
                <w:sz w:val="21"/>
                <w:szCs w:val="21"/>
              </w:rPr>
            </w:pPr>
            <w:r>
              <w:rPr>
                <w:sz w:val="21"/>
                <w:szCs w:val="21"/>
                <w:b/>
                <w:bCs/>
                <w:spacing w:val="-4"/>
              </w:rPr>
              <w:t>排放速率</w:t>
            </w:r>
          </w:p>
          <w:p>
            <w:pPr>
              <w:pStyle w:val="TableText"/>
              <w:ind w:left="90"/>
              <w:spacing w:before="23" w:line="214" w:lineRule="auto"/>
              <w:rPr>
                <w:sz w:val="27"/>
                <w:szCs w:val="27"/>
              </w:rPr>
            </w:pPr>
            <w:r>
              <w:rPr>
                <w:sz w:val="27"/>
                <w:szCs w:val="27"/>
                <w:b/>
                <w:bCs/>
                <w:spacing w:val="-11"/>
              </w:rPr>
              <w:t>(kg/h)</w:t>
            </w:r>
          </w:p>
        </w:tc>
        <w:tc>
          <w:tcPr>
            <w:shd w:val="clear" w:fill="BDBDBD"/>
            <w:tcW w:w="859" w:type="dxa"/>
            <w:vAlign w:val="top"/>
            <w:vMerge w:val="restart"/>
            <w:tcBorders>
              <w:bottom w:val="nil"/>
            </w:tcBorders>
          </w:tcPr>
          <w:p>
            <w:pPr>
              <w:pStyle w:val="TableText"/>
              <w:ind w:left="110"/>
              <w:spacing w:before="171" w:line="221" w:lineRule="auto"/>
              <w:rPr>
                <w:sz w:val="21"/>
                <w:szCs w:val="21"/>
              </w:rPr>
            </w:pPr>
            <w:r>
              <w:rPr>
                <w:sz w:val="21"/>
                <w:szCs w:val="21"/>
                <w:b/>
                <w:bCs/>
                <w:spacing w:val="-5"/>
              </w:rPr>
              <w:t>排放量</w:t>
            </w:r>
          </w:p>
          <w:p>
            <w:pPr>
              <w:pStyle w:val="TableText"/>
              <w:ind w:left="160"/>
              <w:spacing w:before="30" w:line="222" w:lineRule="auto"/>
              <w:rPr>
                <w:sz w:val="21"/>
                <w:szCs w:val="21"/>
              </w:rPr>
            </w:pPr>
            <w:r>
              <w:rPr>
                <w:sz w:val="21"/>
                <w:szCs w:val="21"/>
                <w:b/>
                <w:bCs/>
                <w:spacing w:val="-10"/>
              </w:rPr>
              <w:t>(t/a)</w:t>
            </w:r>
          </w:p>
        </w:tc>
        <w:tc>
          <w:tcPr>
            <w:shd w:val="clear" w:fill="BEBEBE"/>
            <w:tcW w:w="1073" w:type="dxa"/>
            <w:vAlign w:val="top"/>
            <w:vMerge w:val="restart"/>
            <w:tcBorders>
              <w:bottom w:val="nil"/>
            </w:tcBorders>
          </w:tcPr>
          <w:p>
            <w:pPr>
              <w:pStyle w:val="TableText"/>
              <w:ind w:left="111"/>
              <w:spacing w:before="171" w:line="220" w:lineRule="auto"/>
              <w:rPr>
                <w:sz w:val="21"/>
                <w:szCs w:val="21"/>
              </w:rPr>
            </w:pPr>
            <w:r>
              <w:rPr>
                <w:sz w:val="21"/>
                <w:szCs w:val="21"/>
                <w:b/>
                <w:bCs/>
                <w:spacing w:val="-4"/>
              </w:rPr>
              <w:t>排放浓度</w:t>
            </w:r>
          </w:p>
          <w:p>
            <w:pPr>
              <w:pStyle w:val="TableText"/>
              <w:ind w:left="111"/>
              <w:spacing w:before="31" w:line="214" w:lineRule="auto"/>
              <w:rPr>
                <w:sz w:val="21"/>
                <w:szCs w:val="21"/>
              </w:rPr>
            </w:pPr>
            <w:r>
              <w:rPr>
                <w:sz w:val="21"/>
                <w:szCs w:val="21"/>
                <w:b/>
                <w:bCs/>
                <w:spacing w:val="-8"/>
              </w:rPr>
              <w:t>(mg/m³)</w:t>
            </w:r>
          </w:p>
        </w:tc>
      </w:tr>
      <w:tr>
        <w:trPr>
          <w:trHeight w:val="548" w:hRule="atLeast"/>
        </w:trPr>
        <w:tc>
          <w:tcPr>
            <w:tcW w:w="974" w:type="dxa"/>
            <w:vAlign w:val="top"/>
            <w:vMerge w:val="continue"/>
            <w:tcBorders>
              <w:top w:val="nil"/>
            </w:tcBorders>
          </w:tcPr>
          <w:p>
            <w:pPr>
              <w:rPr>
                <w:rFonts w:ascii="Arial"/>
                <w:sz w:val="21"/>
              </w:rPr>
            </w:pPr>
            <w:r/>
          </w:p>
        </w:tc>
        <w:tc>
          <w:tcPr>
            <w:shd w:val="clear" w:fill="BDBDBD"/>
            <w:tcW w:w="899" w:type="dxa"/>
            <w:vAlign w:val="top"/>
          </w:tcPr>
          <w:p>
            <w:pPr>
              <w:pStyle w:val="TableText"/>
              <w:ind w:left="124"/>
              <w:spacing w:before="27" w:line="220" w:lineRule="auto"/>
              <w:rPr>
                <w:sz w:val="21"/>
                <w:szCs w:val="21"/>
              </w:rPr>
            </w:pPr>
            <w:r>
              <w:rPr>
                <w:sz w:val="21"/>
                <w:szCs w:val="21"/>
                <w:b/>
                <w:bCs/>
                <w:spacing w:val="-5"/>
              </w:rPr>
              <w:t>排风量</w:t>
            </w:r>
          </w:p>
          <w:p>
            <w:pPr>
              <w:pStyle w:val="TableText"/>
              <w:ind w:left="73"/>
              <w:spacing w:before="22" w:line="209" w:lineRule="auto"/>
              <w:rPr>
                <w:sz w:val="21"/>
                <w:szCs w:val="21"/>
              </w:rPr>
            </w:pPr>
            <w:r>
              <w:rPr>
                <w:sz w:val="21"/>
                <w:szCs w:val="21"/>
                <w:b/>
                <w:bCs/>
                <w:spacing w:val="-9"/>
              </w:rPr>
              <w:t>(m³/h)</w:t>
            </w:r>
          </w:p>
        </w:tc>
        <w:tc>
          <w:tcPr>
            <w:shd w:val="clear" w:fill="BDBDBD"/>
            <w:tcW w:w="719" w:type="dxa"/>
            <w:vAlign w:val="top"/>
          </w:tcPr>
          <w:p>
            <w:pPr>
              <w:pStyle w:val="TableText"/>
              <w:ind w:left="144"/>
              <w:spacing w:before="26" w:line="214" w:lineRule="auto"/>
              <w:rPr>
                <w:sz w:val="21"/>
                <w:szCs w:val="21"/>
              </w:rPr>
            </w:pPr>
            <w:r>
              <w:rPr>
                <w:sz w:val="21"/>
                <w:szCs w:val="21"/>
                <w:b/>
                <w:bCs/>
                <w:spacing w:val="1"/>
              </w:rPr>
              <w:t>高度</w:t>
            </w:r>
          </w:p>
          <w:p>
            <w:pPr>
              <w:pStyle w:val="TableText"/>
              <w:ind w:left="144"/>
              <w:spacing w:line="222" w:lineRule="auto"/>
              <w:rPr>
                <w:sz w:val="21"/>
                <w:szCs w:val="21"/>
              </w:rPr>
            </w:pPr>
            <w:r>
              <w:rPr>
                <w:sz w:val="21"/>
                <w:szCs w:val="21"/>
                <w:b/>
                <w:bCs/>
                <w:spacing w:val="-13"/>
              </w:rPr>
              <w:t>(m)</w:t>
            </w:r>
          </w:p>
        </w:tc>
        <w:tc>
          <w:tcPr>
            <w:shd w:val="clear" w:fill="BDBDBD"/>
            <w:tcW w:w="1078" w:type="dxa"/>
            <w:vAlign w:val="top"/>
          </w:tcPr>
          <w:p>
            <w:pPr>
              <w:pStyle w:val="TableText"/>
              <w:ind w:left="5"/>
              <w:spacing w:before="26" w:line="219" w:lineRule="auto"/>
              <w:rPr>
                <w:sz w:val="21"/>
                <w:szCs w:val="21"/>
              </w:rPr>
            </w:pPr>
            <w:r>
              <w:rPr>
                <w:sz w:val="21"/>
                <w:szCs w:val="21"/>
                <w:b/>
                <w:bCs/>
                <w:spacing w:val="-4"/>
              </w:rPr>
              <w:t>排气筒内径</w:t>
            </w:r>
          </w:p>
          <w:p>
            <w:pPr>
              <w:pStyle w:val="TableText"/>
              <w:ind w:left="376"/>
              <w:spacing w:before="53" w:line="183" w:lineRule="auto"/>
              <w:rPr>
                <w:sz w:val="21"/>
                <w:szCs w:val="21"/>
              </w:rPr>
            </w:pPr>
            <w:r>
              <w:rPr>
                <w:sz w:val="21"/>
                <w:szCs w:val="21"/>
                <w:b/>
                <w:bCs/>
                <w:spacing w:val="-13"/>
              </w:rPr>
              <w:t>(m)</w:t>
            </w:r>
          </w:p>
        </w:tc>
        <w:tc>
          <w:tcPr>
            <w:shd w:val="clear" w:fill="BDBDBD"/>
            <w:tcW w:w="919" w:type="dxa"/>
            <w:vAlign w:val="top"/>
          </w:tcPr>
          <w:p>
            <w:pPr>
              <w:pStyle w:val="TableText"/>
              <w:ind w:left="37"/>
              <w:spacing w:before="37" w:line="220" w:lineRule="auto"/>
              <w:rPr>
                <w:sz w:val="21"/>
                <w:szCs w:val="21"/>
              </w:rPr>
            </w:pPr>
            <w:r>
              <w:rPr>
                <w:sz w:val="21"/>
                <w:szCs w:val="21"/>
                <w:b/>
                <w:bCs/>
                <w:spacing w:val="-4"/>
              </w:rPr>
              <w:t>烟气温度</w:t>
            </w:r>
          </w:p>
          <w:p>
            <w:pPr>
              <w:pStyle w:val="TableText"/>
              <w:ind w:left="247"/>
              <w:spacing w:before="21" w:line="201" w:lineRule="auto"/>
              <w:rPr>
                <w:sz w:val="21"/>
                <w:szCs w:val="21"/>
              </w:rPr>
            </w:pPr>
            <w:r>
              <w:rPr>
                <w:sz w:val="21"/>
                <w:szCs w:val="21"/>
                <w:b/>
                <w:bCs/>
                <w:spacing w:val="-14"/>
              </w:rPr>
              <w:t>(℃)</w:t>
            </w:r>
          </w:p>
        </w:tc>
        <w:tc>
          <w:tcPr>
            <w:tcW w:w="999" w:type="dxa"/>
            <w:vAlign w:val="top"/>
            <w:vMerge w:val="continue"/>
            <w:tcBorders>
              <w:top w:val="nil"/>
            </w:tcBorders>
          </w:tcPr>
          <w:p>
            <w:pPr>
              <w:rPr>
                <w:rFonts w:ascii="Arial"/>
                <w:sz w:val="21"/>
              </w:rPr>
            </w:pPr>
            <w:r/>
          </w:p>
        </w:tc>
        <w:tc>
          <w:tcPr>
            <w:tcW w:w="989" w:type="dxa"/>
            <w:vAlign w:val="top"/>
            <w:vMerge w:val="continue"/>
            <w:tcBorders>
              <w:top w:val="nil"/>
            </w:tcBorders>
          </w:tcPr>
          <w:p>
            <w:pPr>
              <w:rPr>
                <w:rFonts w:ascii="Arial"/>
                <w:sz w:val="21"/>
              </w:rPr>
            </w:pPr>
            <w:r/>
          </w:p>
        </w:tc>
        <w:tc>
          <w:tcPr>
            <w:tcW w:w="859" w:type="dxa"/>
            <w:vAlign w:val="top"/>
            <w:vMerge w:val="continue"/>
            <w:tcBorders>
              <w:top w:val="nil"/>
            </w:tcBorders>
          </w:tcPr>
          <w:p>
            <w:pPr>
              <w:rPr>
                <w:rFonts w:ascii="Arial"/>
                <w:sz w:val="21"/>
              </w:rPr>
            </w:pPr>
            <w:r/>
          </w:p>
        </w:tc>
        <w:tc>
          <w:tcPr>
            <w:tcW w:w="1073" w:type="dxa"/>
            <w:vAlign w:val="top"/>
            <w:vMerge w:val="continue"/>
            <w:tcBorders>
              <w:top w:val="nil"/>
            </w:tcBorders>
          </w:tcPr>
          <w:p>
            <w:pPr>
              <w:rPr>
                <w:rFonts w:ascii="Arial"/>
                <w:sz w:val="21"/>
              </w:rPr>
            </w:pPr>
            <w:r/>
          </w:p>
        </w:tc>
      </w:tr>
      <w:tr>
        <w:trPr>
          <w:trHeight w:val="268" w:hRule="atLeast"/>
        </w:trPr>
        <w:tc>
          <w:tcPr>
            <w:tcW w:w="974" w:type="dxa"/>
            <w:vAlign w:val="top"/>
            <w:vMerge w:val="restart"/>
            <w:tcBorders>
              <w:bottom w:val="nil"/>
            </w:tcBorders>
          </w:tcPr>
          <w:p>
            <w:pPr>
              <w:pStyle w:val="TableText"/>
              <w:ind w:left="265"/>
              <w:spacing w:before="280" w:line="219" w:lineRule="auto"/>
              <w:rPr>
                <w:sz w:val="21"/>
                <w:szCs w:val="21"/>
              </w:rPr>
            </w:pPr>
            <w:r>
              <w:rPr>
                <w:sz w:val="21"/>
                <w:szCs w:val="21"/>
                <w:spacing w:val="4"/>
              </w:rPr>
              <w:t>淡季</w:t>
            </w:r>
          </w:p>
        </w:tc>
        <w:tc>
          <w:tcPr>
            <w:tcW w:w="899" w:type="dxa"/>
            <w:vAlign w:val="top"/>
            <w:vMerge w:val="restart"/>
            <w:tcBorders>
              <w:bottom w:val="nil"/>
            </w:tcBorders>
          </w:tcPr>
          <w:p>
            <w:pPr>
              <w:pStyle w:val="TableText"/>
              <w:ind w:left="230"/>
              <w:spacing w:before="302"/>
              <w:rPr>
                <w:sz w:val="21"/>
                <w:szCs w:val="21"/>
              </w:rPr>
            </w:pPr>
            <w:r>
              <w:rPr>
                <w:sz w:val="21"/>
                <w:szCs w:val="21"/>
                <w:spacing w:val="-5"/>
              </w:rPr>
              <w:t>1200</w:t>
            </w:r>
          </w:p>
        </w:tc>
        <w:tc>
          <w:tcPr>
            <w:tcW w:w="719" w:type="dxa"/>
            <w:vAlign w:val="top"/>
            <w:vMerge w:val="restart"/>
            <w:tcBorders>
              <w:bottom w:val="nil"/>
            </w:tcBorders>
          </w:tcPr>
          <w:p>
            <w:pPr>
              <w:pStyle w:val="TableText"/>
              <w:ind w:left="241"/>
              <w:spacing w:before="302"/>
              <w:rPr>
                <w:sz w:val="21"/>
                <w:szCs w:val="21"/>
              </w:rPr>
            </w:pPr>
            <w:r>
              <w:rPr>
                <w:sz w:val="21"/>
                <w:szCs w:val="21"/>
                <w:spacing w:val="-6"/>
              </w:rPr>
              <w:t>18</w:t>
            </w:r>
          </w:p>
        </w:tc>
        <w:tc>
          <w:tcPr>
            <w:tcW w:w="1078" w:type="dxa"/>
            <w:vAlign w:val="top"/>
            <w:vMerge w:val="restart"/>
            <w:tcBorders>
              <w:bottom w:val="nil"/>
            </w:tcBorders>
          </w:tcPr>
          <w:p>
            <w:pPr>
              <w:pStyle w:val="TableText"/>
              <w:ind w:left="372"/>
              <w:spacing w:before="302" w:line="239" w:lineRule="auto"/>
              <w:rPr>
                <w:sz w:val="21"/>
                <w:szCs w:val="21"/>
              </w:rPr>
            </w:pPr>
            <w:r>
              <w:rPr>
                <w:sz w:val="21"/>
                <w:szCs w:val="21"/>
                <w:spacing w:val="-3"/>
              </w:rPr>
              <w:t>0.2</w:t>
            </w:r>
          </w:p>
        </w:tc>
        <w:tc>
          <w:tcPr>
            <w:tcW w:w="919" w:type="dxa"/>
            <w:vAlign w:val="top"/>
            <w:vMerge w:val="restart"/>
            <w:tcBorders>
              <w:bottom w:val="nil"/>
            </w:tcBorders>
          </w:tcPr>
          <w:p>
            <w:pPr>
              <w:pStyle w:val="TableText"/>
              <w:ind w:left="294"/>
              <w:spacing w:before="302"/>
              <w:rPr>
                <w:sz w:val="21"/>
                <w:szCs w:val="21"/>
              </w:rPr>
            </w:pPr>
            <w:r>
              <w:rPr>
                <w:sz w:val="21"/>
                <w:szCs w:val="21"/>
                <w:spacing w:val="-6"/>
              </w:rPr>
              <w:t>100</w:t>
            </w:r>
          </w:p>
        </w:tc>
        <w:tc>
          <w:tcPr>
            <w:tcW w:w="999" w:type="dxa"/>
            <w:vAlign w:val="top"/>
          </w:tcPr>
          <w:p>
            <w:pPr>
              <w:pStyle w:val="TableText"/>
              <w:ind w:left="175"/>
              <w:spacing w:before="32" w:line="198" w:lineRule="auto"/>
              <w:rPr>
                <w:sz w:val="21"/>
                <w:szCs w:val="21"/>
              </w:rPr>
            </w:pPr>
            <w:r>
              <w:rPr>
                <w:sz w:val="21"/>
                <w:szCs w:val="21"/>
                <w:color w:val="505050"/>
                <w:spacing w:val="-2"/>
              </w:rPr>
              <w:t>颗粒物</w:t>
            </w:r>
          </w:p>
        </w:tc>
        <w:tc>
          <w:tcPr>
            <w:tcW w:w="989" w:type="dxa"/>
            <w:vAlign w:val="top"/>
          </w:tcPr>
          <w:p>
            <w:pPr>
              <w:pStyle w:val="TableText"/>
              <w:ind w:left="176"/>
              <w:spacing w:before="52" w:line="181" w:lineRule="auto"/>
              <w:rPr>
                <w:sz w:val="21"/>
                <w:szCs w:val="21"/>
              </w:rPr>
            </w:pPr>
            <w:r>
              <w:rPr>
                <w:sz w:val="21"/>
                <w:szCs w:val="21"/>
                <w:spacing w:val="-2"/>
              </w:rPr>
              <w:t>0.0229</w:t>
            </w:r>
          </w:p>
        </w:tc>
        <w:tc>
          <w:tcPr>
            <w:tcW w:w="859" w:type="dxa"/>
            <w:vAlign w:val="top"/>
          </w:tcPr>
          <w:p>
            <w:pPr>
              <w:pStyle w:val="TableText"/>
              <w:ind w:left="107"/>
              <w:spacing w:before="52" w:line="181" w:lineRule="auto"/>
              <w:rPr>
                <w:sz w:val="21"/>
                <w:szCs w:val="21"/>
              </w:rPr>
            </w:pPr>
            <w:r>
              <w:rPr>
                <w:sz w:val="21"/>
                <w:szCs w:val="21"/>
                <w:spacing w:val="-2"/>
              </w:rPr>
              <w:t>0.0494</w:t>
            </w:r>
          </w:p>
        </w:tc>
        <w:tc>
          <w:tcPr>
            <w:tcW w:w="1073" w:type="dxa"/>
            <w:vAlign w:val="top"/>
          </w:tcPr>
          <w:p>
            <w:pPr>
              <w:pStyle w:val="TableText"/>
              <w:ind w:left="318"/>
              <w:spacing w:before="52" w:line="181" w:lineRule="auto"/>
              <w:rPr>
                <w:sz w:val="21"/>
                <w:szCs w:val="21"/>
              </w:rPr>
            </w:pPr>
            <w:r>
              <w:rPr>
                <w:sz w:val="21"/>
                <w:szCs w:val="21"/>
                <w:spacing w:val="-5"/>
              </w:rPr>
              <w:t>19.1</w:t>
            </w:r>
          </w:p>
        </w:tc>
      </w:tr>
      <w:tr>
        <w:trPr>
          <w:trHeight w:val="239" w:hRule="atLeast"/>
        </w:trPr>
        <w:tc>
          <w:tcPr>
            <w:tcW w:w="974" w:type="dxa"/>
            <w:vAlign w:val="top"/>
            <w:vMerge w:val="continue"/>
            <w:tcBorders>
              <w:top w:val="nil"/>
              <w:bottom w:val="nil"/>
            </w:tcBorders>
          </w:tcPr>
          <w:p>
            <w:pPr>
              <w:rPr>
                <w:rFonts w:ascii="Arial"/>
                <w:sz w:val="21"/>
              </w:rPr>
            </w:pPr>
            <w:r/>
          </w:p>
        </w:tc>
        <w:tc>
          <w:tcPr>
            <w:tcW w:w="899" w:type="dxa"/>
            <w:vAlign w:val="top"/>
            <w:vMerge w:val="continue"/>
            <w:tcBorders>
              <w:top w:val="nil"/>
              <w:bottom w:val="nil"/>
            </w:tcBorders>
          </w:tcPr>
          <w:p>
            <w:pPr>
              <w:rPr>
                <w:rFonts w:ascii="Arial"/>
                <w:sz w:val="21"/>
              </w:rPr>
            </w:pPr>
            <w:r/>
          </w:p>
        </w:tc>
        <w:tc>
          <w:tcPr>
            <w:tcW w:w="719" w:type="dxa"/>
            <w:vAlign w:val="top"/>
            <w:vMerge w:val="continue"/>
            <w:tcBorders>
              <w:top w:val="nil"/>
              <w:bottom w:val="nil"/>
            </w:tcBorders>
          </w:tcPr>
          <w:p>
            <w:pPr>
              <w:rPr>
                <w:rFonts w:ascii="Arial"/>
                <w:sz w:val="21"/>
              </w:rPr>
            </w:pPr>
            <w:r/>
          </w:p>
        </w:tc>
        <w:tc>
          <w:tcPr>
            <w:tcW w:w="1078" w:type="dxa"/>
            <w:vAlign w:val="top"/>
            <w:vMerge w:val="continue"/>
            <w:tcBorders>
              <w:top w:val="nil"/>
              <w:bottom w:val="nil"/>
            </w:tcBorders>
          </w:tcPr>
          <w:p>
            <w:pPr>
              <w:rPr>
                <w:rFonts w:ascii="Arial"/>
                <w:sz w:val="21"/>
              </w:rPr>
            </w:pPr>
            <w:r/>
          </w:p>
        </w:tc>
        <w:tc>
          <w:tcPr>
            <w:tcW w:w="919" w:type="dxa"/>
            <w:vAlign w:val="top"/>
            <w:vMerge w:val="continue"/>
            <w:tcBorders>
              <w:top w:val="nil"/>
              <w:bottom w:val="nil"/>
            </w:tcBorders>
          </w:tcPr>
          <w:p>
            <w:pPr>
              <w:rPr>
                <w:rFonts w:ascii="Arial"/>
                <w:sz w:val="21"/>
              </w:rPr>
            </w:pPr>
            <w:r/>
          </w:p>
        </w:tc>
        <w:tc>
          <w:tcPr>
            <w:tcW w:w="999" w:type="dxa"/>
            <w:vAlign w:val="top"/>
          </w:tcPr>
          <w:p>
            <w:pPr>
              <w:pStyle w:val="TableText"/>
              <w:ind w:left="336"/>
              <w:spacing w:before="77" w:line="152" w:lineRule="exact"/>
              <w:rPr>
                <w:sz w:val="21"/>
                <w:szCs w:val="21"/>
              </w:rPr>
            </w:pPr>
            <w:r>
              <w:rPr>
                <w:sz w:val="21"/>
                <w:szCs w:val="21"/>
                <w:spacing w:val="-1"/>
                <w:position w:val="-3"/>
              </w:rPr>
              <w:t>NOx</w:t>
            </w:r>
          </w:p>
        </w:tc>
        <w:tc>
          <w:tcPr>
            <w:tcW w:w="989" w:type="dxa"/>
            <w:vAlign w:val="top"/>
          </w:tcPr>
          <w:p>
            <w:pPr>
              <w:pStyle w:val="TableText"/>
              <w:ind w:left="176"/>
              <w:spacing w:before="44" w:line="162" w:lineRule="auto"/>
              <w:rPr>
                <w:sz w:val="21"/>
                <w:szCs w:val="21"/>
              </w:rPr>
            </w:pPr>
            <w:r>
              <w:rPr>
                <w:sz w:val="21"/>
                <w:szCs w:val="21"/>
                <w:spacing w:val="-2"/>
              </w:rPr>
              <w:t>0.0749</w:t>
            </w:r>
          </w:p>
        </w:tc>
        <w:tc>
          <w:tcPr>
            <w:tcW w:w="859" w:type="dxa"/>
            <w:vAlign w:val="top"/>
          </w:tcPr>
          <w:p>
            <w:pPr>
              <w:pStyle w:val="TableText"/>
              <w:ind w:left="107"/>
              <w:spacing w:before="44" w:line="162" w:lineRule="auto"/>
              <w:rPr>
                <w:sz w:val="21"/>
                <w:szCs w:val="21"/>
              </w:rPr>
            </w:pPr>
            <w:r>
              <w:rPr>
                <w:sz w:val="21"/>
                <w:szCs w:val="21"/>
                <w:color w:val="605050"/>
                <w:spacing w:val="-2"/>
              </w:rPr>
              <w:t>0.1617</w:t>
            </w:r>
          </w:p>
        </w:tc>
        <w:tc>
          <w:tcPr>
            <w:tcW w:w="1073" w:type="dxa"/>
            <w:vAlign w:val="top"/>
          </w:tcPr>
          <w:p>
            <w:pPr>
              <w:pStyle w:val="TableText"/>
              <w:ind w:left="318"/>
              <w:spacing w:before="44" w:line="162" w:lineRule="auto"/>
              <w:rPr>
                <w:sz w:val="21"/>
                <w:szCs w:val="21"/>
              </w:rPr>
            </w:pPr>
            <w:r>
              <w:rPr>
                <w:sz w:val="21"/>
                <w:szCs w:val="21"/>
                <w:spacing w:val="-2"/>
              </w:rPr>
              <w:t>62.4</w:t>
            </w:r>
          </w:p>
        </w:tc>
      </w:tr>
      <w:tr>
        <w:trPr>
          <w:trHeight w:val="229" w:hRule="atLeast"/>
        </w:trPr>
        <w:tc>
          <w:tcPr>
            <w:tcW w:w="974" w:type="dxa"/>
            <w:vAlign w:val="top"/>
            <w:vMerge w:val="continue"/>
            <w:tcBorders>
              <w:top w:val="nil"/>
            </w:tcBorders>
          </w:tcPr>
          <w:p>
            <w:pPr>
              <w:rPr>
                <w:rFonts w:ascii="Arial"/>
                <w:sz w:val="21"/>
              </w:rPr>
            </w:pPr>
            <w:r/>
          </w:p>
        </w:tc>
        <w:tc>
          <w:tcPr>
            <w:tcW w:w="899" w:type="dxa"/>
            <w:vAlign w:val="top"/>
            <w:vMerge w:val="continue"/>
            <w:tcBorders>
              <w:top w:val="nil"/>
            </w:tcBorders>
          </w:tcPr>
          <w:p>
            <w:pPr>
              <w:rPr>
                <w:rFonts w:ascii="Arial"/>
                <w:sz w:val="21"/>
              </w:rPr>
            </w:pPr>
            <w:r/>
          </w:p>
        </w:tc>
        <w:tc>
          <w:tcPr>
            <w:tcW w:w="719" w:type="dxa"/>
            <w:vAlign w:val="top"/>
            <w:vMerge w:val="continue"/>
            <w:tcBorders>
              <w:top w:val="nil"/>
            </w:tcBorders>
          </w:tcPr>
          <w:p>
            <w:pPr>
              <w:rPr>
                <w:rFonts w:ascii="Arial"/>
                <w:sz w:val="21"/>
              </w:rPr>
            </w:pPr>
            <w:r/>
          </w:p>
        </w:tc>
        <w:tc>
          <w:tcPr>
            <w:tcW w:w="1078" w:type="dxa"/>
            <w:vAlign w:val="top"/>
            <w:vMerge w:val="continue"/>
            <w:tcBorders>
              <w:top w:val="nil"/>
            </w:tcBorders>
          </w:tcPr>
          <w:p>
            <w:pPr>
              <w:rPr>
                <w:rFonts w:ascii="Arial"/>
                <w:sz w:val="21"/>
              </w:rPr>
            </w:pPr>
            <w:r/>
          </w:p>
        </w:tc>
        <w:tc>
          <w:tcPr>
            <w:tcW w:w="919" w:type="dxa"/>
            <w:vAlign w:val="top"/>
            <w:vMerge w:val="continue"/>
            <w:tcBorders>
              <w:top w:val="nil"/>
            </w:tcBorders>
          </w:tcPr>
          <w:p>
            <w:pPr>
              <w:rPr>
                <w:rFonts w:ascii="Arial"/>
                <w:sz w:val="21"/>
              </w:rPr>
            </w:pPr>
            <w:r/>
          </w:p>
        </w:tc>
        <w:tc>
          <w:tcPr>
            <w:tcW w:w="999" w:type="dxa"/>
            <w:vAlign w:val="top"/>
          </w:tcPr>
          <w:p>
            <w:pPr>
              <w:pStyle w:val="TableText"/>
              <w:ind w:left="286"/>
              <w:spacing w:before="68" w:line="151" w:lineRule="exact"/>
              <w:rPr>
                <w:rFonts w:ascii="Calibri" w:hAnsi="Calibri" w:eastAsia="Calibri" w:cs="Calibri"/>
                <w:sz w:val="21"/>
                <w:szCs w:val="21"/>
              </w:rPr>
            </w:pPr>
            <w:r>
              <w:rPr>
                <w:sz w:val="21"/>
                <w:szCs w:val="21"/>
                <w:spacing w:val="-4"/>
                <w:position w:val="-2"/>
              </w:rPr>
              <w:t>SO</w:t>
            </w:r>
            <w:r>
              <w:rPr>
                <w:rFonts w:ascii="Calibri" w:hAnsi="Calibri" w:eastAsia="Calibri" w:cs="Calibri"/>
                <w:sz w:val="21"/>
                <w:szCs w:val="21"/>
                <w:spacing w:val="-4"/>
                <w:position w:val="-2"/>
              </w:rPr>
              <w:t>₂</w:t>
            </w:r>
          </w:p>
        </w:tc>
        <w:tc>
          <w:tcPr>
            <w:tcW w:w="989" w:type="dxa"/>
            <w:vAlign w:val="top"/>
          </w:tcPr>
          <w:p>
            <w:pPr>
              <w:pStyle w:val="TableText"/>
              <w:ind w:left="176"/>
              <w:spacing w:before="55" w:line="164" w:lineRule="exact"/>
              <w:rPr>
                <w:sz w:val="21"/>
                <w:szCs w:val="21"/>
              </w:rPr>
            </w:pPr>
            <w:r>
              <w:rPr>
                <w:sz w:val="21"/>
                <w:szCs w:val="21"/>
                <w:spacing w:val="-2"/>
                <w:position w:val="-2"/>
              </w:rPr>
              <w:t>0.0160</w:t>
            </w:r>
          </w:p>
        </w:tc>
        <w:tc>
          <w:tcPr>
            <w:tcW w:w="859" w:type="dxa"/>
            <w:vAlign w:val="top"/>
          </w:tcPr>
          <w:p>
            <w:pPr>
              <w:pStyle w:val="TableText"/>
              <w:ind w:left="107"/>
              <w:spacing w:before="55" w:line="164" w:lineRule="exact"/>
              <w:rPr>
                <w:sz w:val="21"/>
                <w:szCs w:val="21"/>
              </w:rPr>
            </w:pPr>
            <w:r>
              <w:rPr>
                <w:sz w:val="21"/>
                <w:szCs w:val="21"/>
                <w:spacing w:val="-2"/>
                <w:position w:val="-2"/>
              </w:rPr>
              <w:t>0.0346</w:t>
            </w:r>
          </w:p>
        </w:tc>
        <w:tc>
          <w:tcPr>
            <w:tcW w:w="1073" w:type="dxa"/>
            <w:vAlign w:val="top"/>
          </w:tcPr>
          <w:p>
            <w:pPr>
              <w:pStyle w:val="TableText"/>
              <w:ind w:left="318"/>
              <w:spacing w:before="55" w:line="164" w:lineRule="exact"/>
              <w:rPr>
                <w:sz w:val="21"/>
                <w:szCs w:val="21"/>
              </w:rPr>
            </w:pPr>
            <w:r>
              <w:rPr>
                <w:sz w:val="21"/>
                <w:szCs w:val="21"/>
                <w:color w:val="606080"/>
                <w:spacing w:val="-5"/>
                <w:position w:val="-2"/>
              </w:rPr>
              <w:t>13.3</w:t>
            </w:r>
          </w:p>
        </w:tc>
      </w:tr>
      <w:tr>
        <w:trPr>
          <w:trHeight w:val="289" w:hRule="atLeast"/>
        </w:trPr>
        <w:tc>
          <w:tcPr>
            <w:tcW w:w="974" w:type="dxa"/>
            <w:vAlign w:val="top"/>
            <w:vMerge w:val="restart"/>
            <w:tcBorders>
              <w:bottom w:val="nil"/>
            </w:tcBorders>
          </w:tcPr>
          <w:p>
            <w:pPr>
              <w:pStyle w:val="TableText"/>
              <w:ind w:left="265"/>
              <w:spacing w:before="305" w:line="219" w:lineRule="auto"/>
              <w:rPr>
                <w:sz w:val="21"/>
                <w:szCs w:val="21"/>
              </w:rPr>
            </w:pPr>
            <w:r>
              <w:rPr>
                <w:sz w:val="21"/>
                <w:szCs w:val="21"/>
                <w:spacing w:val="4"/>
              </w:rPr>
              <w:t>旺季</w:t>
            </w:r>
          </w:p>
        </w:tc>
        <w:tc>
          <w:tcPr>
            <w:tcW w:w="899" w:type="dxa"/>
            <w:vAlign w:val="top"/>
            <w:vMerge w:val="restart"/>
            <w:tcBorders>
              <w:bottom w:val="nil"/>
            </w:tcBorders>
          </w:tcPr>
          <w:p>
            <w:pPr>
              <w:spacing w:line="256" w:lineRule="auto"/>
              <w:rPr>
                <w:rFonts w:ascii="Arial"/>
                <w:sz w:val="21"/>
              </w:rPr>
            </w:pPr>
            <w:r/>
          </w:p>
          <w:p>
            <w:pPr>
              <w:pStyle w:val="TableText"/>
              <w:ind w:left="230"/>
              <w:spacing w:before="68"/>
              <w:rPr>
                <w:sz w:val="21"/>
                <w:szCs w:val="21"/>
              </w:rPr>
            </w:pPr>
            <w:r>
              <w:rPr>
                <w:sz w:val="21"/>
                <w:szCs w:val="21"/>
                <w:spacing w:val="-5"/>
              </w:rPr>
              <w:t>1200</w:t>
            </w:r>
          </w:p>
        </w:tc>
        <w:tc>
          <w:tcPr>
            <w:tcW w:w="719" w:type="dxa"/>
            <w:vAlign w:val="top"/>
            <w:vMerge w:val="restart"/>
            <w:tcBorders>
              <w:bottom w:val="nil"/>
            </w:tcBorders>
          </w:tcPr>
          <w:p>
            <w:pPr>
              <w:spacing w:line="256" w:lineRule="auto"/>
              <w:rPr>
                <w:rFonts w:ascii="Arial"/>
                <w:sz w:val="21"/>
              </w:rPr>
            </w:pPr>
            <w:r/>
          </w:p>
          <w:p>
            <w:pPr>
              <w:pStyle w:val="TableText"/>
              <w:ind w:left="241"/>
              <w:spacing w:before="68"/>
              <w:rPr>
                <w:sz w:val="21"/>
                <w:szCs w:val="21"/>
              </w:rPr>
            </w:pPr>
            <w:r>
              <w:rPr>
                <w:sz w:val="21"/>
                <w:szCs w:val="21"/>
                <w:spacing w:val="-6"/>
              </w:rPr>
              <w:t>18</w:t>
            </w:r>
          </w:p>
        </w:tc>
        <w:tc>
          <w:tcPr>
            <w:tcW w:w="1078" w:type="dxa"/>
            <w:vAlign w:val="top"/>
            <w:vMerge w:val="restart"/>
            <w:tcBorders>
              <w:bottom w:val="nil"/>
            </w:tcBorders>
          </w:tcPr>
          <w:p>
            <w:pPr>
              <w:spacing w:line="256" w:lineRule="auto"/>
              <w:rPr>
                <w:rFonts w:ascii="Arial"/>
                <w:sz w:val="21"/>
              </w:rPr>
            </w:pPr>
            <w:r/>
          </w:p>
          <w:p>
            <w:pPr>
              <w:pStyle w:val="TableText"/>
              <w:ind w:left="372"/>
              <w:spacing w:before="68" w:line="239" w:lineRule="auto"/>
              <w:rPr>
                <w:sz w:val="21"/>
                <w:szCs w:val="21"/>
              </w:rPr>
            </w:pPr>
            <w:r>
              <w:rPr>
                <w:sz w:val="21"/>
                <w:szCs w:val="21"/>
                <w:spacing w:val="-3"/>
              </w:rPr>
              <w:t>0.2</w:t>
            </w:r>
          </w:p>
        </w:tc>
        <w:tc>
          <w:tcPr>
            <w:tcW w:w="919" w:type="dxa"/>
            <w:vAlign w:val="top"/>
            <w:vMerge w:val="restart"/>
            <w:tcBorders>
              <w:bottom w:val="nil"/>
            </w:tcBorders>
          </w:tcPr>
          <w:p>
            <w:pPr>
              <w:spacing w:line="256" w:lineRule="auto"/>
              <w:rPr>
                <w:rFonts w:ascii="Arial"/>
                <w:sz w:val="21"/>
              </w:rPr>
            </w:pPr>
            <w:r/>
          </w:p>
          <w:p>
            <w:pPr>
              <w:pStyle w:val="TableText"/>
              <w:ind w:left="294"/>
              <w:spacing w:before="68"/>
              <w:rPr>
                <w:sz w:val="21"/>
                <w:szCs w:val="21"/>
              </w:rPr>
            </w:pPr>
            <w:r>
              <w:rPr>
                <w:sz w:val="21"/>
                <w:szCs w:val="21"/>
                <w:spacing w:val="-6"/>
              </w:rPr>
              <w:t>100</w:t>
            </w:r>
          </w:p>
        </w:tc>
        <w:tc>
          <w:tcPr>
            <w:tcW w:w="999" w:type="dxa"/>
            <w:vAlign w:val="top"/>
          </w:tcPr>
          <w:p>
            <w:pPr>
              <w:pStyle w:val="TableText"/>
              <w:ind w:left="175"/>
              <w:spacing w:before="45" w:line="205" w:lineRule="auto"/>
              <w:rPr>
                <w:sz w:val="21"/>
                <w:szCs w:val="21"/>
              </w:rPr>
            </w:pPr>
            <w:r>
              <w:rPr>
                <w:sz w:val="21"/>
                <w:szCs w:val="21"/>
                <w:color w:val="606070"/>
                <w:spacing w:val="-2"/>
              </w:rPr>
              <w:t>颗粒物</w:t>
            </w:r>
          </w:p>
        </w:tc>
        <w:tc>
          <w:tcPr>
            <w:tcW w:w="989" w:type="dxa"/>
            <w:vAlign w:val="top"/>
          </w:tcPr>
          <w:p>
            <w:pPr>
              <w:pStyle w:val="TableText"/>
              <w:ind w:left="176"/>
              <w:spacing w:before="66" w:line="187" w:lineRule="auto"/>
              <w:rPr>
                <w:sz w:val="21"/>
                <w:szCs w:val="21"/>
              </w:rPr>
            </w:pPr>
            <w:r>
              <w:rPr>
                <w:sz w:val="21"/>
                <w:szCs w:val="21"/>
                <w:spacing w:val="-2"/>
              </w:rPr>
              <w:t>0.0229</w:t>
            </w:r>
          </w:p>
        </w:tc>
        <w:tc>
          <w:tcPr>
            <w:tcW w:w="859" w:type="dxa"/>
            <w:vAlign w:val="top"/>
          </w:tcPr>
          <w:p>
            <w:pPr>
              <w:pStyle w:val="TableText"/>
              <w:ind w:left="107"/>
              <w:spacing w:before="66" w:line="187" w:lineRule="auto"/>
              <w:rPr>
                <w:sz w:val="21"/>
                <w:szCs w:val="21"/>
              </w:rPr>
            </w:pPr>
            <w:r>
              <w:rPr>
                <w:sz w:val="21"/>
                <w:szCs w:val="21"/>
                <w:spacing w:val="-2"/>
              </w:rPr>
              <w:t>0.0165</w:t>
            </w:r>
          </w:p>
        </w:tc>
        <w:tc>
          <w:tcPr>
            <w:tcW w:w="1073" w:type="dxa"/>
            <w:vAlign w:val="top"/>
          </w:tcPr>
          <w:p>
            <w:pPr>
              <w:pStyle w:val="TableText"/>
              <w:ind w:left="318"/>
              <w:spacing w:before="66" w:line="187" w:lineRule="auto"/>
              <w:rPr>
                <w:sz w:val="21"/>
                <w:szCs w:val="21"/>
              </w:rPr>
            </w:pPr>
            <w:r>
              <w:rPr>
                <w:sz w:val="21"/>
                <w:szCs w:val="21"/>
                <w:spacing w:val="-5"/>
              </w:rPr>
              <w:t>19.1</w:t>
            </w:r>
          </w:p>
        </w:tc>
      </w:tr>
      <w:tr>
        <w:trPr>
          <w:trHeight w:val="239" w:hRule="atLeast"/>
        </w:trPr>
        <w:tc>
          <w:tcPr>
            <w:tcW w:w="974" w:type="dxa"/>
            <w:vAlign w:val="top"/>
            <w:vMerge w:val="continue"/>
            <w:tcBorders>
              <w:top w:val="nil"/>
              <w:bottom w:val="nil"/>
            </w:tcBorders>
          </w:tcPr>
          <w:p>
            <w:pPr>
              <w:rPr>
                <w:rFonts w:ascii="Arial"/>
                <w:sz w:val="21"/>
              </w:rPr>
            </w:pPr>
            <w:r/>
          </w:p>
        </w:tc>
        <w:tc>
          <w:tcPr>
            <w:tcW w:w="899" w:type="dxa"/>
            <w:vAlign w:val="top"/>
            <w:vMerge w:val="continue"/>
            <w:tcBorders>
              <w:top w:val="nil"/>
              <w:bottom w:val="nil"/>
            </w:tcBorders>
          </w:tcPr>
          <w:p>
            <w:pPr>
              <w:rPr>
                <w:rFonts w:ascii="Arial"/>
                <w:sz w:val="21"/>
              </w:rPr>
            </w:pPr>
            <w:r/>
          </w:p>
        </w:tc>
        <w:tc>
          <w:tcPr>
            <w:tcW w:w="719" w:type="dxa"/>
            <w:vAlign w:val="top"/>
            <w:vMerge w:val="continue"/>
            <w:tcBorders>
              <w:top w:val="nil"/>
              <w:bottom w:val="nil"/>
            </w:tcBorders>
          </w:tcPr>
          <w:p>
            <w:pPr>
              <w:rPr>
                <w:rFonts w:ascii="Arial"/>
                <w:sz w:val="21"/>
              </w:rPr>
            </w:pPr>
            <w:r/>
          </w:p>
        </w:tc>
        <w:tc>
          <w:tcPr>
            <w:tcW w:w="1078" w:type="dxa"/>
            <w:vAlign w:val="top"/>
            <w:vMerge w:val="continue"/>
            <w:tcBorders>
              <w:top w:val="nil"/>
              <w:bottom w:val="nil"/>
            </w:tcBorders>
          </w:tcPr>
          <w:p>
            <w:pPr>
              <w:rPr>
                <w:rFonts w:ascii="Arial"/>
                <w:sz w:val="21"/>
              </w:rPr>
            </w:pPr>
            <w:r/>
          </w:p>
        </w:tc>
        <w:tc>
          <w:tcPr>
            <w:tcW w:w="919" w:type="dxa"/>
            <w:vAlign w:val="top"/>
            <w:vMerge w:val="continue"/>
            <w:tcBorders>
              <w:top w:val="nil"/>
              <w:bottom w:val="nil"/>
            </w:tcBorders>
          </w:tcPr>
          <w:p>
            <w:pPr>
              <w:rPr>
                <w:rFonts w:ascii="Arial"/>
                <w:sz w:val="21"/>
              </w:rPr>
            </w:pPr>
            <w:r/>
          </w:p>
        </w:tc>
        <w:tc>
          <w:tcPr>
            <w:tcW w:w="999" w:type="dxa"/>
            <w:vAlign w:val="top"/>
          </w:tcPr>
          <w:p>
            <w:pPr>
              <w:pStyle w:val="TableText"/>
              <w:ind w:left="336"/>
              <w:spacing w:before="80" w:line="148" w:lineRule="exact"/>
              <w:rPr>
                <w:sz w:val="21"/>
                <w:szCs w:val="21"/>
              </w:rPr>
            </w:pPr>
            <w:r>
              <w:rPr>
                <w:sz w:val="21"/>
                <w:szCs w:val="21"/>
                <w:spacing w:val="-1"/>
                <w:position w:val="-3"/>
              </w:rPr>
              <w:t>NOx</w:t>
            </w:r>
          </w:p>
        </w:tc>
        <w:tc>
          <w:tcPr>
            <w:tcW w:w="989" w:type="dxa"/>
            <w:vAlign w:val="top"/>
          </w:tcPr>
          <w:p>
            <w:pPr>
              <w:pStyle w:val="TableText"/>
              <w:ind w:left="176"/>
              <w:spacing w:before="48" w:line="159" w:lineRule="auto"/>
              <w:rPr>
                <w:sz w:val="21"/>
                <w:szCs w:val="21"/>
              </w:rPr>
            </w:pPr>
            <w:r>
              <w:rPr>
                <w:sz w:val="21"/>
                <w:szCs w:val="21"/>
                <w:color w:val="504040"/>
                <w:spacing w:val="-2"/>
              </w:rPr>
              <w:t>0.0749</w:t>
            </w:r>
          </w:p>
        </w:tc>
        <w:tc>
          <w:tcPr>
            <w:tcW w:w="859" w:type="dxa"/>
            <w:vAlign w:val="top"/>
          </w:tcPr>
          <w:p>
            <w:pPr>
              <w:pStyle w:val="TableText"/>
              <w:ind w:left="107"/>
              <w:spacing w:before="48" w:line="159" w:lineRule="auto"/>
              <w:rPr>
                <w:sz w:val="21"/>
                <w:szCs w:val="21"/>
              </w:rPr>
            </w:pPr>
            <w:r>
              <w:rPr>
                <w:sz w:val="21"/>
                <w:szCs w:val="21"/>
                <w:color w:val="807060"/>
                <w:spacing w:val="-2"/>
              </w:rPr>
              <w:t>0.0539</w:t>
            </w:r>
          </w:p>
        </w:tc>
        <w:tc>
          <w:tcPr>
            <w:tcW w:w="1073" w:type="dxa"/>
            <w:vAlign w:val="top"/>
          </w:tcPr>
          <w:p>
            <w:pPr>
              <w:pStyle w:val="TableText"/>
              <w:ind w:left="318"/>
              <w:spacing w:before="48" w:line="159" w:lineRule="auto"/>
              <w:rPr>
                <w:sz w:val="21"/>
                <w:szCs w:val="21"/>
              </w:rPr>
            </w:pPr>
            <w:r>
              <w:rPr>
                <w:sz w:val="21"/>
                <w:szCs w:val="21"/>
                <w:spacing w:val="-2"/>
              </w:rPr>
              <w:t>62.4</w:t>
            </w:r>
          </w:p>
        </w:tc>
      </w:tr>
      <w:tr>
        <w:trPr>
          <w:trHeight w:val="254" w:hRule="atLeast"/>
        </w:trPr>
        <w:tc>
          <w:tcPr>
            <w:tcW w:w="974" w:type="dxa"/>
            <w:vAlign w:val="top"/>
            <w:vMerge w:val="continue"/>
            <w:tcBorders>
              <w:top w:val="nil"/>
            </w:tcBorders>
          </w:tcPr>
          <w:p>
            <w:pPr>
              <w:rPr>
                <w:rFonts w:ascii="Arial"/>
                <w:sz w:val="21"/>
              </w:rPr>
            </w:pPr>
            <w:r/>
          </w:p>
        </w:tc>
        <w:tc>
          <w:tcPr>
            <w:tcW w:w="899" w:type="dxa"/>
            <w:vAlign w:val="top"/>
            <w:vMerge w:val="continue"/>
            <w:tcBorders>
              <w:top w:val="nil"/>
            </w:tcBorders>
          </w:tcPr>
          <w:p>
            <w:pPr>
              <w:rPr>
                <w:rFonts w:ascii="Arial"/>
                <w:sz w:val="21"/>
              </w:rPr>
            </w:pPr>
            <w:r/>
          </w:p>
        </w:tc>
        <w:tc>
          <w:tcPr>
            <w:tcW w:w="719" w:type="dxa"/>
            <w:vAlign w:val="top"/>
            <w:vMerge w:val="continue"/>
            <w:tcBorders>
              <w:top w:val="nil"/>
            </w:tcBorders>
          </w:tcPr>
          <w:p>
            <w:pPr>
              <w:rPr>
                <w:rFonts w:ascii="Arial"/>
                <w:sz w:val="21"/>
              </w:rPr>
            </w:pPr>
            <w:r/>
          </w:p>
        </w:tc>
        <w:tc>
          <w:tcPr>
            <w:tcW w:w="1078" w:type="dxa"/>
            <w:vAlign w:val="top"/>
            <w:vMerge w:val="continue"/>
            <w:tcBorders>
              <w:top w:val="nil"/>
            </w:tcBorders>
          </w:tcPr>
          <w:p>
            <w:pPr>
              <w:rPr>
                <w:rFonts w:ascii="Arial"/>
                <w:sz w:val="21"/>
              </w:rPr>
            </w:pPr>
            <w:r/>
          </w:p>
        </w:tc>
        <w:tc>
          <w:tcPr>
            <w:tcW w:w="919" w:type="dxa"/>
            <w:vAlign w:val="top"/>
            <w:vMerge w:val="continue"/>
            <w:tcBorders>
              <w:top w:val="nil"/>
            </w:tcBorders>
          </w:tcPr>
          <w:p>
            <w:pPr>
              <w:rPr>
                <w:rFonts w:ascii="Arial"/>
                <w:sz w:val="21"/>
              </w:rPr>
            </w:pPr>
            <w:r/>
          </w:p>
        </w:tc>
        <w:tc>
          <w:tcPr>
            <w:tcW w:w="999" w:type="dxa"/>
            <w:vAlign w:val="top"/>
          </w:tcPr>
          <w:p>
            <w:pPr>
              <w:pStyle w:val="TableText"/>
              <w:ind w:left="286"/>
              <w:spacing w:before="60" w:line="161" w:lineRule="auto"/>
              <w:rPr>
                <w:rFonts w:ascii="Calibri" w:hAnsi="Calibri" w:eastAsia="Calibri" w:cs="Calibri"/>
                <w:sz w:val="21"/>
                <w:szCs w:val="21"/>
              </w:rPr>
            </w:pPr>
            <w:r>
              <w:rPr>
                <w:sz w:val="21"/>
                <w:szCs w:val="21"/>
                <w:spacing w:val="-4"/>
              </w:rPr>
              <w:t>SO</w:t>
            </w:r>
            <w:r>
              <w:rPr>
                <w:rFonts w:ascii="Calibri" w:hAnsi="Calibri" w:eastAsia="Calibri" w:cs="Calibri"/>
                <w:sz w:val="21"/>
                <w:szCs w:val="21"/>
                <w:spacing w:val="-4"/>
              </w:rPr>
              <w:t>₂</w:t>
            </w:r>
          </w:p>
        </w:tc>
        <w:tc>
          <w:tcPr>
            <w:tcW w:w="989" w:type="dxa"/>
            <w:vAlign w:val="top"/>
          </w:tcPr>
          <w:p>
            <w:pPr>
              <w:pStyle w:val="TableText"/>
              <w:ind w:left="176"/>
              <w:spacing w:before="48" w:line="172" w:lineRule="auto"/>
              <w:rPr>
                <w:sz w:val="21"/>
                <w:szCs w:val="21"/>
              </w:rPr>
            </w:pPr>
            <w:r>
              <w:rPr>
                <w:sz w:val="21"/>
                <w:szCs w:val="21"/>
                <w:spacing w:val="-2"/>
              </w:rPr>
              <w:t>0.0160</w:t>
            </w:r>
          </w:p>
        </w:tc>
        <w:tc>
          <w:tcPr>
            <w:tcW w:w="859" w:type="dxa"/>
            <w:vAlign w:val="top"/>
          </w:tcPr>
          <w:p>
            <w:pPr>
              <w:pStyle w:val="TableText"/>
              <w:ind w:left="107"/>
              <w:spacing w:before="48" w:line="172" w:lineRule="auto"/>
              <w:rPr>
                <w:sz w:val="21"/>
                <w:szCs w:val="21"/>
              </w:rPr>
            </w:pPr>
            <w:r>
              <w:rPr>
                <w:sz w:val="21"/>
                <w:szCs w:val="21"/>
                <w:color w:val="706050"/>
                <w:spacing w:val="-2"/>
              </w:rPr>
              <w:t>0.0115</w:t>
            </w:r>
          </w:p>
        </w:tc>
        <w:tc>
          <w:tcPr>
            <w:tcW w:w="1073" w:type="dxa"/>
            <w:vAlign w:val="top"/>
          </w:tcPr>
          <w:p>
            <w:pPr>
              <w:pStyle w:val="TableText"/>
              <w:ind w:left="318"/>
              <w:spacing w:before="48" w:line="172" w:lineRule="auto"/>
              <w:rPr>
                <w:sz w:val="21"/>
                <w:szCs w:val="21"/>
              </w:rPr>
            </w:pPr>
            <w:r>
              <w:rPr>
                <w:sz w:val="21"/>
                <w:szCs w:val="21"/>
                <w:color w:val="907080"/>
                <w:spacing w:val="-5"/>
              </w:rPr>
              <w:t>13.3</w:t>
            </w:r>
          </w:p>
        </w:tc>
      </w:tr>
    </w:tbl>
    <w:p>
      <w:pPr>
        <w:ind w:left="169" w:right="309" w:firstLine="500"/>
        <w:spacing w:before="65" w:line="368" w:lineRule="auto"/>
        <w:rPr>
          <w:rFonts w:ascii="SimSun" w:hAnsi="SimSun" w:eastAsia="SimSun" w:cs="SimSun"/>
          <w:sz w:val="23"/>
          <w:szCs w:val="23"/>
        </w:rPr>
      </w:pPr>
      <w:r>
        <w:rPr>
          <w:rFonts w:ascii="SimSun" w:hAnsi="SimSun" w:eastAsia="SimSun" w:cs="SimSun"/>
          <w:sz w:val="24"/>
          <w:szCs w:val="24"/>
        </w:rPr>
        <w:t>根据《四川省人民政府关于印发&lt;四川省空气质量</w:t>
      </w:r>
      <w:r>
        <w:rPr>
          <w:rFonts w:ascii="SimSun" w:hAnsi="SimSun" w:eastAsia="SimSun" w:cs="SimSun"/>
          <w:sz w:val="24"/>
          <w:szCs w:val="24"/>
          <w:spacing w:val="-1"/>
        </w:rPr>
        <w:t>持续改善行动计划实施方</w:t>
      </w:r>
      <w:r>
        <w:rPr>
          <w:rFonts w:ascii="SimSun" w:hAnsi="SimSun" w:eastAsia="SimSun" w:cs="SimSun"/>
          <w:sz w:val="24"/>
          <w:szCs w:val="24"/>
        </w:rPr>
        <w:t xml:space="preserve"> </w:t>
      </w:r>
      <w:r>
        <w:rPr>
          <w:rFonts w:ascii="SimSun" w:hAnsi="SimSun" w:eastAsia="SimSun" w:cs="SimSun"/>
          <w:sz w:val="23"/>
          <w:szCs w:val="23"/>
          <w:spacing w:val="18"/>
        </w:rPr>
        <w:t>案&gt;的通知》(川府发〔2024)15号〕,本项目位于四川省大气污染防治重点区</w:t>
      </w:r>
      <w:r>
        <w:rPr>
          <w:rFonts w:ascii="SimSun" w:hAnsi="SimSun" w:eastAsia="SimSun" w:cs="SimSun"/>
          <w:sz w:val="23"/>
          <w:szCs w:val="23"/>
          <w:spacing w:val="14"/>
        </w:rPr>
        <w:t xml:space="preserve"> </w:t>
      </w:r>
      <w:r>
        <w:rPr>
          <w:rFonts w:ascii="SimSun" w:hAnsi="SimSun" w:eastAsia="SimSun" w:cs="SimSun"/>
          <w:sz w:val="23"/>
          <w:szCs w:val="23"/>
          <w:spacing w:val="6"/>
        </w:rPr>
        <w:t>域“绵阳市安州区”,执行《锅炉大气污染物排放标准》</w:t>
      </w:r>
      <w:r>
        <w:rPr>
          <w:rFonts w:ascii="SimSun" w:hAnsi="SimSun" w:eastAsia="SimSun" w:cs="SimSun"/>
          <w:sz w:val="23"/>
          <w:szCs w:val="23"/>
          <w:spacing w:val="65"/>
        </w:rPr>
        <w:t xml:space="preserve"> </w:t>
      </w:r>
      <w:r>
        <w:rPr>
          <w:rFonts w:ascii="SimSun" w:hAnsi="SimSun" w:eastAsia="SimSun" w:cs="SimSun"/>
          <w:sz w:val="23"/>
          <w:szCs w:val="23"/>
          <w:spacing w:val="6"/>
        </w:rPr>
        <w:t>(</w:t>
      </w:r>
      <w:r>
        <w:rPr>
          <w:rFonts w:ascii="SimSun" w:hAnsi="SimSun" w:eastAsia="SimSun" w:cs="SimSun"/>
          <w:sz w:val="23"/>
          <w:szCs w:val="23"/>
        </w:rPr>
        <w:t>GB</w:t>
      </w:r>
      <w:r>
        <w:rPr>
          <w:rFonts w:ascii="SimSun" w:hAnsi="SimSun" w:eastAsia="SimSun" w:cs="SimSun"/>
          <w:sz w:val="23"/>
          <w:szCs w:val="23"/>
          <w:spacing w:val="5"/>
        </w:rPr>
        <w:t>13271-2014)</w:t>
      </w:r>
      <w:r>
        <w:rPr>
          <w:rFonts w:ascii="SimSun" w:hAnsi="SimSun" w:eastAsia="SimSun" w:cs="SimSun"/>
          <w:sz w:val="23"/>
          <w:szCs w:val="23"/>
          <w:spacing w:val="34"/>
        </w:rPr>
        <w:t xml:space="preserve">  </w:t>
      </w:r>
      <w:r>
        <w:rPr>
          <w:rFonts w:ascii="SimSun" w:hAnsi="SimSun" w:eastAsia="SimSun" w:cs="SimSun"/>
          <w:sz w:val="23"/>
          <w:szCs w:val="23"/>
          <w:spacing w:val="5"/>
        </w:rPr>
        <w:t>表</w:t>
      </w:r>
      <w:r>
        <w:rPr>
          <w:rFonts w:ascii="SimSun" w:hAnsi="SimSun" w:eastAsia="SimSun" w:cs="SimSun"/>
          <w:sz w:val="23"/>
          <w:szCs w:val="23"/>
        </w:rPr>
        <w:t xml:space="preserve">  </w:t>
      </w:r>
      <w:r>
        <w:rPr>
          <w:rFonts w:ascii="SimSun" w:hAnsi="SimSun" w:eastAsia="SimSun" w:cs="SimSun"/>
          <w:sz w:val="23"/>
          <w:szCs w:val="23"/>
          <w:spacing w:val="3"/>
        </w:rPr>
        <w:t>3标准限值。</w:t>
      </w:r>
    </w:p>
    <w:p>
      <w:pPr>
        <w:ind w:left="310" w:right="1005" w:firstLine="330"/>
        <w:spacing w:before="46" w:line="358" w:lineRule="auto"/>
        <w:rPr>
          <w:rFonts w:ascii="SimSun" w:hAnsi="SimSun" w:eastAsia="SimSun" w:cs="SimSun"/>
          <w:sz w:val="23"/>
          <w:szCs w:val="23"/>
        </w:rPr>
      </w:pPr>
      <w:r>
        <w:rPr>
          <w:rFonts w:ascii="SimSun" w:hAnsi="SimSun" w:eastAsia="SimSun" w:cs="SimSun"/>
          <w:sz w:val="23"/>
          <w:szCs w:val="23"/>
          <w:spacing w:val="9"/>
        </w:rPr>
        <w:t>综上，项目燃气蒸汽发生器采用低氮燃烧技术，废气经18</w:t>
      </w:r>
      <w:r>
        <w:rPr>
          <w:rFonts w:ascii="Times New Roman" w:hAnsi="Times New Roman" w:eastAsia="Times New Roman" w:cs="Times New Roman"/>
          <w:sz w:val="23"/>
          <w:szCs w:val="23"/>
          <w:spacing w:val="8"/>
        </w:rPr>
        <w:t>m</w:t>
      </w:r>
      <w:r>
        <w:rPr>
          <w:rFonts w:ascii="SimSun" w:hAnsi="SimSun" w:eastAsia="SimSun" w:cs="SimSun"/>
          <w:sz w:val="23"/>
          <w:szCs w:val="23"/>
          <w:spacing w:val="8"/>
        </w:rPr>
        <w:t>高排气筒</w:t>
      </w:r>
      <w:r>
        <w:rPr>
          <w:rFonts w:ascii="SimSun" w:hAnsi="SimSun" w:eastAsia="SimSun" w:cs="SimSun"/>
          <w:sz w:val="23"/>
          <w:szCs w:val="23"/>
        </w:rPr>
        <w:t xml:space="preserve"> </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DA</w:t>
      </w:r>
      <w:r>
        <w:rPr>
          <w:rFonts w:ascii="Times New Roman" w:hAnsi="Times New Roman" w:eastAsia="Times New Roman" w:cs="Times New Roman"/>
          <w:sz w:val="23"/>
          <w:szCs w:val="23"/>
          <w:spacing w:val="8"/>
        </w:rPr>
        <w:t>005)</w:t>
      </w:r>
      <w:r>
        <w:rPr>
          <w:rFonts w:ascii="Times New Roman" w:hAnsi="Times New Roman" w:eastAsia="Times New Roman" w:cs="Times New Roman"/>
          <w:sz w:val="23"/>
          <w:szCs w:val="23"/>
          <w:spacing w:val="22"/>
          <w:w w:val="101"/>
        </w:rPr>
        <w:t xml:space="preserve">   </w:t>
      </w:r>
      <w:r>
        <w:rPr>
          <w:rFonts w:ascii="SimSun" w:hAnsi="SimSun" w:eastAsia="SimSun" w:cs="SimSun"/>
          <w:sz w:val="23"/>
          <w:szCs w:val="23"/>
          <w:spacing w:val="8"/>
        </w:rPr>
        <w:t>排放，排气筒中颗粒物、二氧化硫、氮氧化物排放浓度为</w:t>
      </w:r>
    </w:p>
    <w:p>
      <w:pPr>
        <w:ind w:left="169"/>
        <w:spacing w:before="21" w:line="212" w:lineRule="auto"/>
        <w:rPr>
          <w:rFonts w:ascii="SimSun" w:hAnsi="SimSun" w:eastAsia="SimSun" w:cs="SimSun"/>
          <w:sz w:val="23"/>
          <w:szCs w:val="23"/>
        </w:rPr>
      </w:pPr>
      <w:r>
        <w:rPr>
          <w:rFonts w:ascii="Times New Roman" w:hAnsi="Times New Roman" w:eastAsia="Times New Roman" w:cs="Times New Roman"/>
          <w:sz w:val="23"/>
          <w:szCs w:val="23"/>
          <w:spacing w:val="3"/>
        </w:rPr>
        <w:t>19.1</w:t>
      </w:r>
      <w:r>
        <w:rPr>
          <w:rFonts w:ascii="Times New Roman" w:hAnsi="Times New Roman" w:eastAsia="Times New Roman" w:cs="Times New Roman"/>
          <w:sz w:val="23"/>
          <w:szCs w:val="23"/>
        </w:rPr>
        <w:t>mg</w:t>
      </w:r>
      <w:r>
        <w:rPr>
          <w:rFonts w:ascii="Times New Roman" w:hAnsi="Times New Roman" w:eastAsia="Times New Roman" w:cs="Times New Roman"/>
          <w:sz w:val="23"/>
          <w:szCs w:val="23"/>
          <w:spacing w:val="3"/>
        </w:rPr>
        <w:t>/m³</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3"/>
        </w:rPr>
        <w:t>、</w:t>
      </w:r>
      <w:r>
        <w:rPr>
          <w:rFonts w:ascii="Times New Roman" w:hAnsi="Times New Roman" w:eastAsia="Times New Roman" w:cs="Times New Roman"/>
          <w:sz w:val="23"/>
          <w:szCs w:val="23"/>
          <w:spacing w:val="3"/>
        </w:rPr>
        <w:t>13.3</w:t>
      </w:r>
      <w:r>
        <w:rPr>
          <w:rFonts w:ascii="Times New Roman" w:hAnsi="Times New Roman" w:eastAsia="Times New Roman" w:cs="Times New Roman"/>
          <w:sz w:val="23"/>
          <w:szCs w:val="23"/>
        </w:rPr>
        <w:t>mg</w:t>
      </w:r>
      <w:r>
        <w:rPr>
          <w:rFonts w:ascii="Times New Roman" w:hAnsi="Times New Roman" w:eastAsia="Times New Roman" w:cs="Times New Roman"/>
          <w:sz w:val="23"/>
          <w:szCs w:val="23"/>
          <w:spacing w:val="3"/>
        </w:rPr>
        <w:t>/m³</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3"/>
        </w:rPr>
        <w:t>、</w:t>
      </w:r>
      <w:r>
        <w:rPr>
          <w:rFonts w:ascii="Times New Roman" w:hAnsi="Times New Roman" w:eastAsia="Times New Roman" w:cs="Times New Roman"/>
          <w:sz w:val="23"/>
          <w:szCs w:val="23"/>
          <w:spacing w:val="3"/>
        </w:rPr>
        <w:t>62.4</w:t>
      </w:r>
      <w:r>
        <w:rPr>
          <w:rFonts w:ascii="Times New Roman" w:hAnsi="Times New Roman" w:eastAsia="Times New Roman" w:cs="Times New Roman"/>
          <w:sz w:val="23"/>
          <w:szCs w:val="23"/>
        </w:rPr>
        <w:t>mg</w:t>
      </w:r>
      <w:r>
        <w:rPr>
          <w:rFonts w:ascii="Times New Roman" w:hAnsi="Times New Roman" w:eastAsia="Times New Roman" w:cs="Times New Roman"/>
          <w:sz w:val="23"/>
          <w:szCs w:val="23"/>
          <w:spacing w:val="3"/>
        </w:rPr>
        <w:t>/m</w:t>
      </w:r>
      <w:r>
        <w:rPr>
          <w:rFonts w:ascii="Times New Roman" w:hAnsi="Times New Roman" w:eastAsia="Times New Roman" w:cs="Times New Roman"/>
          <w:sz w:val="23"/>
          <w:szCs w:val="23"/>
          <w:spacing w:val="2"/>
        </w:rPr>
        <w:t>³,      </w:t>
      </w:r>
      <w:r>
        <w:rPr>
          <w:rFonts w:ascii="SimSun" w:hAnsi="SimSun" w:eastAsia="SimSun" w:cs="SimSun"/>
          <w:sz w:val="23"/>
          <w:szCs w:val="23"/>
          <w:spacing w:val="2"/>
        </w:rPr>
        <w:t>能够满足《锅炉大气污染物排放标准》</w:t>
      </w:r>
    </w:p>
    <w:p>
      <w:pPr>
        <w:spacing w:line="212" w:lineRule="auto"/>
        <w:sectPr>
          <w:headerReference w:type="default" r:id="rId326"/>
          <w:footerReference w:type="default" r:id="rId327"/>
          <w:pgSz w:w="11910" w:h="16840"/>
          <w:pgMar w:top="1219" w:right="1529" w:bottom="990" w:left="1609" w:header="865" w:footer="782" w:gutter="0"/>
        </w:sectPr>
        <w:rPr>
          <w:rFonts w:ascii="SimSun" w:hAnsi="SimSun" w:eastAsia="SimSun" w:cs="SimSun"/>
          <w:sz w:val="23"/>
          <w:szCs w:val="23"/>
        </w:rPr>
      </w:pPr>
    </w:p>
    <w:p>
      <w:pPr>
        <w:ind w:right="971" w:firstLine="130"/>
        <w:spacing w:before="244" w:line="371" w:lineRule="auto"/>
        <w:rPr>
          <w:rFonts w:ascii="SimSun" w:hAnsi="SimSun" w:eastAsia="SimSun" w:cs="SimSun"/>
          <w:sz w:val="24"/>
          <w:szCs w:val="24"/>
        </w:rPr>
      </w:pP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3"/>
        </w:rPr>
        <w:t>13271-2014)   </w:t>
      </w:r>
      <w:r>
        <w:rPr>
          <w:rFonts w:ascii="SimSun" w:hAnsi="SimSun" w:eastAsia="SimSun" w:cs="SimSun"/>
          <w:sz w:val="24"/>
          <w:szCs w:val="24"/>
          <w:spacing w:val="3"/>
        </w:rPr>
        <w:t>表3标准(颗粒物、二氧化硫、氮氧化物排放限值为</w:t>
      </w:r>
      <w:r>
        <w:rPr>
          <w:rFonts w:ascii="SimSun" w:hAnsi="SimSun" w:eastAsia="SimSun" w:cs="SimSun"/>
          <w:sz w:val="24"/>
          <w:szCs w:val="24"/>
          <w:spacing w:val="14"/>
        </w:rPr>
        <w:t xml:space="preserve"> </w:t>
      </w:r>
      <w:r>
        <w:rPr>
          <w:rFonts w:ascii="Times New Roman" w:hAnsi="Times New Roman" w:eastAsia="Times New Roman" w:cs="Times New Roman"/>
          <w:sz w:val="24"/>
          <w:szCs w:val="24"/>
          <w:spacing w:val="-3"/>
        </w:rPr>
        <w:t>20mg/m³</w:t>
      </w:r>
      <w:r>
        <w:rPr>
          <w:rFonts w:ascii="Times New Roman" w:hAnsi="Times New Roman" w:eastAsia="Times New Roman" w:cs="Times New Roman"/>
          <w:sz w:val="24"/>
          <w:szCs w:val="24"/>
          <w:spacing w:val="-17"/>
        </w:rPr>
        <w:t xml:space="preserve"> </w:t>
      </w:r>
      <w:r>
        <w:rPr>
          <w:rFonts w:ascii="SimSun" w:hAnsi="SimSun" w:eastAsia="SimSun" w:cs="SimSun"/>
          <w:sz w:val="24"/>
          <w:szCs w:val="24"/>
          <w:spacing w:val="-3"/>
        </w:rPr>
        <w:t>、</w:t>
      </w:r>
      <w:r>
        <w:rPr>
          <w:rFonts w:ascii="Times New Roman" w:hAnsi="Times New Roman" w:eastAsia="Times New Roman" w:cs="Times New Roman"/>
          <w:sz w:val="24"/>
          <w:szCs w:val="24"/>
          <w:spacing w:val="-3"/>
        </w:rPr>
        <w:t>50mg/m³</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3"/>
        </w:rPr>
        <w:t>、</w:t>
      </w:r>
      <w:r>
        <w:rPr>
          <w:rFonts w:ascii="Times New Roman" w:hAnsi="Times New Roman" w:eastAsia="Times New Roman" w:cs="Times New Roman"/>
          <w:sz w:val="24"/>
          <w:szCs w:val="24"/>
          <w:spacing w:val="-3"/>
        </w:rPr>
        <w:t>150mg/m³)</w:t>
      </w:r>
      <w:r>
        <w:rPr>
          <w:rFonts w:ascii="SimSun" w:hAnsi="SimSun" w:eastAsia="SimSun" w:cs="SimSun"/>
          <w:sz w:val="24"/>
          <w:szCs w:val="24"/>
          <w:spacing w:val="-3"/>
        </w:rPr>
        <w:t>。</w:t>
      </w:r>
    </w:p>
    <w:p>
      <w:pPr>
        <w:ind w:left="483"/>
        <w:spacing w:line="219" w:lineRule="auto"/>
        <w:rPr>
          <w:rFonts w:ascii="SimSun" w:hAnsi="SimSun" w:eastAsia="SimSun" w:cs="SimSun"/>
          <w:sz w:val="24"/>
          <w:szCs w:val="24"/>
        </w:rPr>
      </w:pPr>
      <w:r>
        <w:rPr>
          <w:rFonts w:ascii="SimSun" w:hAnsi="SimSun" w:eastAsia="SimSun" w:cs="SimSun"/>
          <w:sz w:val="24"/>
          <w:szCs w:val="24"/>
          <w:b/>
          <w:bCs/>
          <w:spacing w:val="-1"/>
        </w:rPr>
        <w:t>3、污水处理站沼气</w:t>
      </w:r>
    </w:p>
    <w:p>
      <w:pPr>
        <w:ind w:right="120" w:firstLine="480"/>
        <w:spacing w:before="190" w:line="353" w:lineRule="auto"/>
        <w:rPr>
          <w:rFonts w:ascii="SimSun" w:hAnsi="SimSun" w:eastAsia="SimSun" w:cs="SimSun"/>
          <w:sz w:val="24"/>
          <w:szCs w:val="24"/>
        </w:rPr>
      </w:pPr>
      <w:r>
        <w:rPr>
          <w:rFonts w:ascii="SimSun" w:hAnsi="SimSun" w:eastAsia="SimSun" w:cs="SimSun"/>
          <w:sz w:val="24"/>
          <w:szCs w:val="24"/>
          <w:spacing w:val="2"/>
        </w:rPr>
        <w:t>本项目废水处理工艺采取“格栅+调节+气浮+厌氧接触池+</w:t>
      </w:r>
      <w:r>
        <w:rPr>
          <w:rFonts w:ascii="Times New Roman" w:hAnsi="Times New Roman" w:eastAsia="Times New Roman" w:cs="Times New Roman"/>
          <w:sz w:val="24"/>
          <w:szCs w:val="24"/>
        </w:rPr>
        <w:t>AOAO</w:t>
      </w:r>
      <w:r>
        <w:rPr>
          <w:rFonts w:ascii="Times New Roman" w:hAnsi="Times New Roman" w:eastAsia="Times New Roman" w:cs="Times New Roman"/>
          <w:sz w:val="24"/>
          <w:szCs w:val="24"/>
          <w:spacing w:val="2"/>
        </w:rPr>
        <w:t>+</w:t>
      </w:r>
      <w:r>
        <w:rPr>
          <w:rFonts w:ascii="SimSun" w:hAnsi="SimSun" w:eastAsia="SimSun" w:cs="SimSun"/>
          <w:sz w:val="24"/>
          <w:szCs w:val="24"/>
          <w:spacing w:val="2"/>
        </w:rPr>
        <w:t>沉淀+消</w:t>
      </w:r>
      <w:r>
        <w:rPr>
          <w:rFonts w:ascii="SimSun" w:hAnsi="SimSun" w:eastAsia="SimSun" w:cs="SimSun"/>
          <w:sz w:val="24"/>
          <w:szCs w:val="24"/>
          <w:spacing w:val="9"/>
        </w:rPr>
        <w:t xml:space="preserve"> </w:t>
      </w:r>
      <w:r>
        <w:rPr>
          <w:rFonts w:ascii="SimSun" w:hAnsi="SimSun" w:eastAsia="SimSun" w:cs="SimSun"/>
          <w:sz w:val="24"/>
          <w:szCs w:val="24"/>
          <w:spacing w:val="3"/>
        </w:rPr>
        <w:t>毒”,在废水处理设施运行过程中厌氧接触池内的厌氧发酵会产生沼气，根据</w:t>
      </w:r>
      <w:r>
        <w:rPr>
          <w:rFonts w:ascii="SimSun" w:hAnsi="SimSun" w:eastAsia="SimSun" w:cs="SimSun"/>
          <w:sz w:val="24"/>
          <w:szCs w:val="24"/>
          <w:spacing w:val="11"/>
        </w:rPr>
        <w:t xml:space="preserve"> </w:t>
      </w:r>
      <w:r>
        <w:rPr>
          <w:rFonts w:ascii="SimSun" w:hAnsi="SimSun" w:eastAsia="SimSun" w:cs="SimSun"/>
          <w:sz w:val="24"/>
          <w:szCs w:val="24"/>
        </w:rPr>
        <w:t>《规模化畜禽养殖场沼气工程设计规范》 </w:t>
      </w:r>
      <w:r>
        <w:rPr>
          <w:rFonts w:ascii="Times New Roman" w:hAnsi="Times New Roman" w:eastAsia="Times New Roman" w:cs="Times New Roman"/>
          <w:sz w:val="24"/>
          <w:szCs w:val="24"/>
        </w:rPr>
        <w:t>(NY/T1222-2006),      </w:t>
      </w:r>
      <w:r>
        <w:rPr>
          <w:rFonts w:ascii="SimSun" w:hAnsi="SimSun" w:eastAsia="SimSun" w:cs="SimSun"/>
          <w:sz w:val="24"/>
          <w:szCs w:val="24"/>
        </w:rPr>
        <w:t>每除去1</w:t>
      </w:r>
      <w:r>
        <w:rPr>
          <w:rFonts w:ascii="Times New Roman" w:hAnsi="Times New Roman" w:eastAsia="Times New Roman" w:cs="Times New Roman"/>
          <w:sz w:val="24"/>
          <w:szCs w:val="24"/>
        </w:rPr>
        <w:t>kgCOD</w:t>
      </w:r>
      <w:r>
        <w:rPr>
          <w:rFonts w:ascii="Times New Roman" w:hAnsi="Times New Roman" w:eastAsia="Times New Roman" w:cs="Times New Roman"/>
          <w:sz w:val="24"/>
          <w:szCs w:val="24"/>
          <w:spacing w:val="7"/>
        </w:rPr>
        <w:t xml:space="preserve"> </w:t>
      </w:r>
      <w:r>
        <w:rPr>
          <w:rFonts w:ascii="SimSun" w:hAnsi="SimSun" w:eastAsia="SimSun" w:cs="SimSun"/>
          <w:sz w:val="24"/>
          <w:szCs w:val="24"/>
          <w:spacing w:val="3"/>
        </w:rPr>
        <w:t>将产生0.35</w:t>
      </w:r>
      <w:r>
        <w:rPr>
          <w:rFonts w:ascii="Times New Roman" w:hAnsi="Times New Roman" w:eastAsia="Times New Roman" w:cs="Times New Roman"/>
          <w:sz w:val="24"/>
          <w:szCs w:val="24"/>
          <w:spacing w:val="3"/>
        </w:rPr>
        <w:t>m³</w:t>
      </w:r>
      <w:r>
        <w:rPr>
          <w:rFonts w:ascii="SimSun" w:hAnsi="SimSun" w:eastAsia="SimSun" w:cs="SimSun"/>
          <w:sz w:val="24"/>
          <w:szCs w:val="24"/>
          <w:spacing w:val="3"/>
        </w:rPr>
        <w:t>甲烷，本项目污水处理站厌氧接触池对</w:t>
      </w:r>
      <w:r>
        <w:rPr>
          <w:rFonts w:ascii="Times New Roman" w:hAnsi="Times New Roman" w:eastAsia="Times New Roman" w:cs="Times New Roman"/>
          <w:sz w:val="24"/>
          <w:szCs w:val="24"/>
        </w:rPr>
        <w:t>COD</w:t>
      </w:r>
      <w:r>
        <w:rPr>
          <w:rFonts w:ascii="SimSun" w:hAnsi="SimSun" w:eastAsia="SimSun" w:cs="SimSun"/>
          <w:sz w:val="24"/>
          <w:szCs w:val="24"/>
          <w:spacing w:val="3"/>
        </w:rPr>
        <w:t>的去除率为20%,沼</w:t>
      </w:r>
      <w:r>
        <w:rPr>
          <w:rFonts w:ascii="SimSun" w:hAnsi="SimSun" w:eastAsia="SimSun" w:cs="SimSun"/>
          <w:sz w:val="24"/>
          <w:szCs w:val="24"/>
          <w:spacing w:val="8"/>
        </w:rPr>
        <w:t xml:space="preserve">  </w:t>
      </w:r>
      <w:r>
        <w:rPr>
          <w:rFonts w:ascii="SimSun" w:hAnsi="SimSun" w:eastAsia="SimSun" w:cs="SimSun"/>
          <w:sz w:val="24"/>
          <w:szCs w:val="24"/>
          <w:spacing w:val="3"/>
        </w:rPr>
        <w:t>气中甲烷含量为70%左右。</w:t>
      </w:r>
    </w:p>
    <w:p>
      <w:pPr>
        <w:ind w:right="154" w:firstLine="480"/>
        <w:spacing w:before="16" w:line="350" w:lineRule="auto"/>
        <w:rPr>
          <w:rFonts w:ascii="SimSun" w:hAnsi="SimSun" w:eastAsia="SimSun" w:cs="SimSun"/>
          <w:sz w:val="24"/>
          <w:szCs w:val="24"/>
        </w:rPr>
      </w:pPr>
      <w:r>
        <w:rPr>
          <w:rFonts w:ascii="SimSun" w:hAnsi="SimSun" w:eastAsia="SimSun" w:cs="SimSun"/>
          <w:sz w:val="24"/>
          <w:szCs w:val="24"/>
          <w:spacing w:val="-2"/>
        </w:rPr>
        <w:t>本项目污水处理站厌氧接触池淡季</w:t>
      </w:r>
      <w:r>
        <w:rPr>
          <w:rFonts w:ascii="Times New Roman" w:hAnsi="Times New Roman" w:eastAsia="Times New Roman" w:cs="Times New Roman"/>
          <w:sz w:val="24"/>
          <w:szCs w:val="24"/>
          <w:spacing w:val="-2"/>
        </w:rPr>
        <w:t>COD</w:t>
      </w:r>
      <w:r>
        <w:rPr>
          <w:rFonts w:ascii="SimSun" w:hAnsi="SimSun" w:eastAsia="SimSun" w:cs="SimSun"/>
          <w:sz w:val="24"/>
          <w:szCs w:val="24"/>
          <w:spacing w:val="-2"/>
        </w:rPr>
        <w:t>去除量为57.5</w:t>
      </w:r>
      <w:r>
        <w:rPr>
          <w:rFonts w:ascii="Times New Roman" w:hAnsi="Times New Roman" w:eastAsia="Times New Roman" w:cs="Times New Roman"/>
          <w:sz w:val="24"/>
          <w:szCs w:val="24"/>
          <w:spacing w:val="-2"/>
        </w:rPr>
        <w:t>t,</w:t>
      </w:r>
      <w:r>
        <w:rPr>
          <w:rFonts w:ascii="Times New Roman" w:hAnsi="Times New Roman" w:eastAsia="Times New Roman" w:cs="Times New Roman"/>
          <w:sz w:val="24"/>
          <w:szCs w:val="24"/>
          <w:spacing w:val="33"/>
        </w:rPr>
        <w:t xml:space="preserve">  </w:t>
      </w:r>
      <w:r>
        <w:rPr>
          <w:rFonts w:ascii="SimSun" w:hAnsi="SimSun" w:eastAsia="SimSun" w:cs="SimSun"/>
          <w:sz w:val="24"/>
          <w:szCs w:val="24"/>
          <w:spacing w:val="-2"/>
        </w:rPr>
        <w:t>则淡季甲烷产生量</w:t>
      </w:r>
      <w:r>
        <w:rPr>
          <w:rFonts w:ascii="SimSun" w:hAnsi="SimSun" w:eastAsia="SimSun" w:cs="SimSun"/>
          <w:sz w:val="24"/>
          <w:szCs w:val="24"/>
        </w:rPr>
        <w:t xml:space="preserve"> </w:t>
      </w:r>
      <w:r>
        <w:rPr>
          <w:rFonts w:ascii="SimSun" w:hAnsi="SimSun" w:eastAsia="SimSun" w:cs="SimSun"/>
          <w:sz w:val="24"/>
          <w:szCs w:val="24"/>
          <w:spacing w:val="-1"/>
        </w:rPr>
        <w:t>约为20127</w:t>
      </w:r>
      <w:r>
        <w:rPr>
          <w:rFonts w:ascii="Times New Roman" w:hAnsi="Times New Roman" w:eastAsia="Times New Roman" w:cs="Times New Roman"/>
          <w:sz w:val="24"/>
          <w:szCs w:val="24"/>
          <w:spacing w:val="-1"/>
        </w:rPr>
        <w:t>m³,</w:t>
      </w:r>
      <w:r>
        <w:rPr>
          <w:rFonts w:ascii="Times New Roman" w:hAnsi="Times New Roman" w:eastAsia="Times New Roman" w:cs="Times New Roman"/>
          <w:sz w:val="24"/>
          <w:szCs w:val="24"/>
          <w:spacing w:val="22"/>
        </w:rPr>
        <w:t xml:space="preserve">  </w:t>
      </w:r>
      <w:r>
        <w:rPr>
          <w:rFonts w:ascii="SimSun" w:hAnsi="SimSun" w:eastAsia="SimSun" w:cs="SimSun"/>
          <w:sz w:val="24"/>
          <w:szCs w:val="24"/>
          <w:spacing w:val="-1"/>
        </w:rPr>
        <w:t>经计算淡季沼气产生量约为28752</w:t>
      </w:r>
      <w:r>
        <w:rPr>
          <w:rFonts w:ascii="Times New Roman" w:hAnsi="Times New Roman" w:eastAsia="Times New Roman" w:cs="Times New Roman"/>
          <w:sz w:val="24"/>
          <w:szCs w:val="24"/>
          <w:spacing w:val="-1"/>
        </w:rPr>
        <w:t>m³;   </w:t>
      </w:r>
      <w:r>
        <w:rPr>
          <w:rFonts w:ascii="SimSun" w:hAnsi="SimSun" w:eastAsia="SimSun" w:cs="SimSun"/>
          <w:sz w:val="24"/>
          <w:szCs w:val="24"/>
          <w:spacing w:val="-1"/>
        </w:rPr>
        <w:t>旺季</w:t>
      </w:r>
      <w:r>
        <w:rPr>
          <w:rFonts w:ascii="Times New Roman" w:hAnsi="Times New Roman" w:eastAsia="Times New Roman" w:cs="Times New Roman"/>
          <w:sz w:val="24"/>
          <w:szCs w:val="24"/>
          <w:spacing w:val="-1"/>
        </w:rPr>
        <w:t>CO</w:t>
      </w:r>
      <w:r>
        <w:rPr>
          <w:rFonts w:ascii="Times New Roman" w:hAnsi="Times New Roman" w:eastAsia="Times New Roman" w:cs="Times New Roman"/>
          <w:sz w:val="24"/>
          <w:szCs w:val="24"/>
          <w:spacing w:val="-2"/>
        </w:rPr>
        <w:t>D</w:t>
      </w:r>
      <w:r>
        <w:rPr>
          <w:rFonts w:ascii="SimSun" w:hAnsi="SimSun" w:eastAsia="SimSun" w:cs="SimSun"/>
          <w:sz w:val="24"/>
          <w:szCs w:val="24"/>
          <w:spacing w:val="-2"/>
        </w:rPr>
        <w:t>去除量为27.7</w:t>
      </w:r>
      <w:r>
        <w:rPr>
          <w:rFonts w:ascii="Times New Roman" w:hAnsi="Times New Roman" w:eastAsia="Times New Roman" w:cs="Times New Roman"/>
          <w:sz w:val="24"/>
          <w:szCs w:val="24"/>
          <w:spacing w:val="-2"/>
        </w:rPr>
        <w:t>t,</w:t>
      </w:r>
      <w:r>
        <w:rPr>
          <w:rFonts w:ascii="Times New Roman" w:hAnsi="Times New Roman" w:eastAsia="Times New Roman" w:cs="Times New Roman"/>
          <w:sz w:val="24"/>
          <w:szCs w:val="24"/>
        </w:rPr>
        <w:t xml:space="preserve">   </w:t>
      </w:r>
      <w:r>
        <w:rPr>
          <w:rFonts w:ascii="SimSun" w:hAnsi="SimSun" w:eastAsia="SimSun" w:cs="SimSun"/>
          <w:sz w:val="24"/>
          <w:szCs w:val="24"/>
          <w:spacing w:val="1"/>
        </w:rPr>
        <w:t>则旺季甲烷产生量约9679</w:t>
      </w:r>
      <w:r>
        <w:rPr>
          <w:rFonts w:ascii="Times New Roman" w:hAnsi="Times New Roman" w:eastAsia="Times New Roman" w:cs="Times New Roman"/>
          <w:sz w:val="24"/>
          <w:szCs w:val="24"/>
          <w:spacing w:val="1"/>
        </w:rPr>
        <w:t>m³,</w:t>
      </w:r>
      <w:r>
        <w:rPr>
          <w:rFonts w:ascii="Times New Roman" w:hAnsi="Times New Roman" w:eastAsia="Times New Roman" w:cs="Times New Roman"/>
          <w:sz w:val="24"/>
          <w:szCs w:val="24"/>
          <w:spacing w:val="27"/>
        </w:rPr>
        <w:t xml:space="preserve">  </w:t>
      </w:r>
      <w:r>
        <w:rPr>
          <w:rFonts w:ascii="SimSun" w:hAnsi="SimSun" w:eastAsia="SimSun" w:cs="SimSun"/>
          <w:sz w:val="24"/>
          <w:szCs w:val="24"/>
          <w:spacing w:val="1"/>
        </w:rPr>
        <w:t>经计算</w:t>
      </w:r>
      <w:r>
        <w:rPr>
          <w:rFonts w:ascii="SimSun" w:hAnsi="SimSun" w:eastAsia="SimSun" w:cs="SimSun"/>
          <w:sz w:val="24"/>
          <w:szCs w:val="24"/>
        </w:rPr>
        <w:t>旺季沼气产生量约为13828</w:t>
      </w:r>
      <w:r>
        <w:rPr>
          <w:rFonts w:ascii="Times New Roman" w:hAnsi="Times New Roman" w:eastAsia="Times New Roman" w:cs="Times New Roman"/>
          <w:sz w:val="24"/>
          <w:szCs w:val="24"/>
        </w:rPr>
        <w:t>m³,</w:t>
      </w:r>
      <w:r>
        <w:rPr>
          <w:rFonts w:ascii="Times New Roman" w:hAnsi="Times New Roman" w:eastAsia="Times New Roman" w:cs="Times New Roman"/>
          <w:sz w:val="24"/>
          <w:szCs w:val="24"/>
          <w:spacing w:val="26"/>
          <w:w w:val="101"/>
        </w:rPr>
        <w:t xml:space="preserve">  </w:t>
      </w:r>
      <w:r>
        <w:rPr>
          <w:rFonts w:ascii="SimSun" w:hAnsi="SimSun" w:eastAsia="SimSun" w:cs="SimSun"/>
          <w:sz w:val="24"/>
          <w:szCs w:val="24"/>
        </w:rPr>
        <w:t>综上本项  </w:t>
      </w:r>
      <w:r>
        <w:rPr>
          <w:rFonts w:ascii="SimSun" w:hAnsi="SimSun" w:eastAsia="SimSun" w:cs="SimSun"/>
          <w:sz w:val="24"/>
          <w:szCs w:val="24"/>
          <w:spacing w:val="-2"/>
        </w:rPr>
        <w:t>目全年沼气产生量约为42580</w:t>
      </w:r>
      <w:r>
        <w:rPr>
          <w:rFonts w:ascii="Times New Roman" w:hAnsi="Times New Roman" w:eastAsia="Times New Roman" w:cs="Times New Roman"/>
          <w:sz w:val="24"/>
          <w:szCs w:val="24"/>
          <w:spacing w:val="-2"/>
        </w:rPr>
        <w:t>m³(118.28m³/d</w:t>
      </w:r>
      <w:r>
        <w:rPr>
          <w:rFonts w:ascii="Times New Roman" w:hAnsi="Times New Roman" w:eastAsia="Times New Roman" w:cs="Times New Roman"/>
          <w:sz w:val="24"/>
          <w:szCs w:val="24"/>
          <w:spacing w:val="-27"/>
        </w:rPr>
        <w:t xml:space="preserve"> </w:t>
      </w:r>
      <w:r>
        <w:rPr>
          <w:rFonts w:ascii="SimSun" w:hAnsi="SimSun" w:eastAsia="SimSun" w:cs="SimSun"/>
          <w:sz w:val="24"/>
          <w:szCs w:val="24"/>
          <w:spacing w:val="-2"/>
        </w:rPr>
        <w:t>、</w:t>
      </w:r>
      <w:r>
        <w:rPr>
          <w:rFonts w:ascii="Times New Roman" w:hAnsi="Times New Roman" w:eastAsia="Times New Roman" w:cs="Times New Roman"/>
          <w:sz w:val="24"/>
          <w:szCs w:val="24"/>
          <w:spacing w:val="-2"/>
        </w:rPr>
        <w:t>4.93m³/h)</w:t>
      </w:r>
      <w:r>
        <w:rPr>
          <w:rFonts w:ascii="SimSun" w:hAnsi="SimSun" w:eastAsia="SimSun" w:cs="SimSun"/>
          <w:sz w:val="24"/>
          <w:szCs w:val="24"/>
          <w:spacing w:val="-2"/>
        </w:rPr>
        <w:t>。</w:t>
      </w:r>
    </w:p>
    <w:p>
      <w:pPr>
        <w:ind w:right="194" w:firstLine="480"/>
        <w:spacing w:before="65" w:line="355" w:lineRule="auto"/>
        <w:jc w:val="both"/>
        <w:rPr>
          <w:rFonts w:ascii="SimSun" w:hAnsi="SimSun" w:eastAsia="SimSun" w:cs="SimSun"/>
          <w:sz w:val="24"/>
          <w:szCs w:val="24"/>
        </w:rPr>
      </w:pPr>
      <w:r>
        <w:rPr>
          <w:rFonts w:ascii="SimSun" w:hAnsi="SimSun" w:eastAsia="SimSun" w:cs="SimSun"/>
          <w:sz w:val="24"/>
          <w:szCs w:val="24"/>
        </w:rPr>
        <w:t>污水处理站厌氧接触池厌氧发酵产生的沼气</w:t>
      </w:r>
      <w:r>
        <w:rPr>
          <w:rFonts w:ascii="SimSun" w:hAnsi="SimSun" w:eastAsia="SimSun" w:cs="SimSun"/>
          <w:sz w:val="24"/>
          <w:szCs w:val="24"/>
          <w:spacing w:val="-1"/>
        </w:rPr>
        <w:t>，加盖密闭收集，经净化处理</w:t>
      </w:r>
      <w:r>
        <w:rPr>
          <w:rFonts w:ascii="SimSun" w:hAnsi="SimSun" w:eastAsia="SimSun" w:cs="SimSun"/>
          <w:sz w:val="24"/>
          <w:szCs w:val="24"/>
        </w:rPr>
        <w:t xml:space="preserve"> </w:t>
      </w:r>
      <w:r>
        <w:rPr>
          <w:rFonts w:ascii="SimSun" w:hAnsi="SimSun" w:eastAsia="SimSun" w:cs="SimSun"/>
          <w:sz w:val="24"/>
          <w:szCs w:val="24"/>
        </w:rPr>
        <w:t>后通过输配气系统可用于居民生活用气、沼气发</w:t>
      </w:r>
      <w:r>
        <w:rPr>
          <w:rFonts w:ascii="SimSun" w:hAnsi="SimSun" w:eastAsia="SimSun" w:cs="SimSun"/>
          <w:sz w:val="24"/>
          <w:szCs w:val="24"/>
          <w:spacing w:val="-1"/>
        </w:rPr>
        <w:t>电等，本项目拟设置沼气净化</w:t>
      </w:r>
      <w:r>
        <w:rPr>
          <w:rFonts w:ascii="SimSun" w:hAnsi="SimSun" w:eastAsia="SimSun" w:cs="SimSun"/>
          <w:sz w:val="24"/>
          <w:szCs w:val="24"/>
        </w:rPr>
        <w:t xml:space="preserve"> </w:t>
      </w:r>
      <w:r>
        <w:rPr>
          <w:rFonts w:ascii="SimSun" w:hAnsi="SimSun" w:eastAsia="SimSun" w:cs="SimSun"/>
          <w:sz w:val="24"/>
          <w:szCs w:val="24"/>
          <w:spacing w:val="-2"/>
        </w:rPr>
        <w:t>和收集系统1套对沼气收集处置后作为食堂燃料或火炬燃烧。</w:t>
      </w:r>
    </w:p>
    <w:p>
      <w:pPr>
        <w:ind w:left="480"/>
        <w:spacing w:before="7" w:line="220" w:lineRule="auto"/>
        <w:rPr>
          <w:rFonts w:ascii="SimSun" w:hAnsi="SimSun" w:eastAsia="SimSun" w:cs="SimSun"/>
          <w:sz w:val="24"/>
          <w:szCs w:val="24"/>
        </w:rPr>
      </w:pPr>
      <w:r>
        <w:rPr>
          <w:rFonts w:ascii="SimSun" w:hAnsi="SimSun" w:eastAsia="SimSun" w:cs="SimSun"/>
          <w:sz w:val="24"/>
          <w:szCs w:val="24"/>
          <w:spacing w:val="-5"/>
        </w:rPr>
        <w:t>沼气处置措施工艺流程示意图如下：</w:t>
      </w:r>
    </w:p>
    <w:p>
      <w:pPr>
        <w:pStyle w:val="BodyText"/>
        <w:spacing w:line="258" w:lineRule="auto"/>
        <w:rPr/>
      </w:pPr>
      <w:r/>
    </w:p>
    <w:p>
      <w:pPr>
        <w:ind w:left="3560"/>
        <w:spacing w:before="49" w:line="219" w:lineRule="auto"/>
        <w:rPr>
          <w:rFonts w:ascii="SimSun" w:hAnsi="SimSun" w:eastAsia="SimSun" w:cs="SimSun"/>
          <w:sz w:val="15"/>
          <w:szCs w:val="15"/>
        </w:rPr>
      </w:pPr>
      <w:r>
        <w:drawing>
          <wp:anchor distT="0" distB="0" distL="0" distR="0" simplePos="0" relativeHeight="252785664" behindDoc="1" locked="0" layoutInCell="1" allowOverlap="1">
            <wp:simplePos x="0" y="0"/>
            <wp:positionH relativeFrom="column">
              <wp:posOffset>215919</wp:posOffset>
            </wp:positionH>
            <wp:positionV relativeFrom="paragraph">
              <wp:posOffset>-93104</wp:posOffset>
            </wp:positionV>
            <wp:extent cx="4813300" cy="685874"/>
            <wp:effectExtent l="0" t="0" r="0" b="0"/>
            <wp:wrapNone/>
            <wp:docPr id="86" name="IM 86"/>
            <wp:cNvGraphicFramePr/>
            <a:graphic>
              <a:graphicData uri="http://schemas.openxmlformats.org/drawingml/2006/picture">
                <pic:pic>
                  <pic:nvPicPr>
                    <pic:cNvPr id="86" name="IM 86"/>
                    <pic:cNvPicPr/>
                  </pic:nvPicPr>
                  <pic:blipFill>
                    <a:blip r:embed="rId331"/>
                    <a:stretch>
                      <a:fillRect/>
                    </a:stretch>
                  </pic:blipFill>
                  <pic:spPr>
                    <a:xfrm rot="0">
                      <a:off x="0" y="0"/>
                      <a:ext cx="4813300" cy="685874"/>
                    </a:xfrm>
                    <a:prstGeom prst="rect">
                      <a:avLst/>
                    </a:prstGeom>
                  </pic:spPr>
                </pic:pic>
              </a:graphicData>
            </a:graphic>
          </wp:anchor>
        </w:drawing>
      </w:r>
      <w:r>
        <w:rPr>
          <w:rFonts w:ascii="SimSun" w:hAnsi="SimSun" w:eastAsia="SimSun" w:cs="SimSun"/>
          <w:sz w:val="15"/>
          <w:szCs w:val="15"/>
          <w:spacing w:val="-1"/>
        </w:rPr>
        <w:t>废脱硫剂</w:t>
      </w:r>
    </w:p>
    <w:p>
      <w:pPr>
        <w:pStyle w:val="BodyText"/>
        <w:spacing w:line="351" w:lineRule="auto"/>
        <w:rPr/>
      </w:pPr>
      <w:r/>
    </w:p>
    <w:p>
      <w:pPr>
        <w:ind w:left="480"/>
        <w:spacing w:before="50" w:line="220" w:lineRule="auto"/>
        <w:rPr>
          <w:rFonts w:ascii="SimSun" w:hAnsi="SimSun" w:eastAsia="SimSun" w:cs="SimSun"/>
          <w:sz w:val="15"/>
          <w:szCs w:val="15"/>
        </w:rPr>
      </w:pPr>
      <w:r>
        <w:rPr>
          <w:rFonts w:ascii="SimSun" w:hAnsi="SimSun" w:eastAsia="SimSun" w:cs="SimSun"/>
          <w:sz w:val="15"/>
          <w:szCs w:val="15"/>
          <w:spacing w:val="2"/>
          <w:position w:val="1"/>
        </w:rPr>
        <w:t>厌氧接触池</w:t>
      </w:r>
      <w:r>
        <w:rPr>
          <w:rFonts w:ascii="SimSun" w:hAnsi="SimSun" w:eastAsia="SimSun" w:cs="SimSun"/>
          <w:sz w:val="15"/>
          <w:szCs w:val="15"/>
          <w:spacing w:val="12"/>
          <w:position w:val="1"/>
        </w:rPr>
        <w:t xml:space="preserve">      </w:t>
      </w:r>
      <w:r>
        <w:rPr>
          <w:rFonts w:ascii="SimSun" w:hAnsi="SimSun" w:eastAsia="SimSun" w:cs="SimSun"/>
          <w:sz w:val="15"/>
          <w:szCs w:val="15"/>
          <w:spacing w:val="2"/>
        </w:rPr>
        <w:t>沼气</w:t>
      </w:r>
      <w:r>
        <w:rPr>
          <w:rFonts w:ascii="SimSun" w:hAnsi="SimSun" w:eastAsia="SimSun" w:cs="SimSun"/>
          <w:sz w:val="15"/>
          <w:szCs w:val="15"/>
          <w:spacing w:val="10"/>
        </w:rPr>
        <w:t xml:space="preserve">      </w:t>
      </w:r>
      <w:r>
        <w:rPr>
          <w:rFonts w:ascii="SimSun" w:hAnsi="SimSun" w:eastAsia="SimSun" w:cs="SimSun"/>
          <w:sz w:val="15"/>
          <w:szCs w:val="15"/>
          <w:spacing w:val="2"/>
          <w:position w:val="-3"/>
        </w:rPr>
        <w:t>脱水器-     </w:t>
      </w:r>
      <w:r>
        <w:rPr>
          <w:rFonts w:ascii="SimSun" w:hAnsi="SimSun" w:eastAsia="SimSun" w:cs="SimSun"/>
          <w:sz w:val="15"/>
          <w:szCs w:val="15"/>
          <w:spacing w:val="2"/>
        </w:rPr>
        <w:t>脱硫装置一     阻火器一    储气柜一    食堂燃烧</w:t>
      </w:r>
      <w:r>
        <w:rPr>
          <w:rFonts w:ascii="SimSun" w:hAnsi="SimSun" w:eastAsia="SimSun" w:cs="SimSun"/>
          <w:sz w:val="15"/>
          <w:szCs w:val="15"/>
          <w:spacing w:val="1"/>
        </w:rPr>
        <w:t>或火炬燃烧</w:t>
      </w:r>
    </w:p>
    <w:p>
      <w:pPr>
        <w:ind w:left="2423"/>
        <w:spacing w:before="32" w:line="220" w:lineRule="auto"/>
        <w:rPr>
          <w:rFonts w:ascii="SimSun" w:hAnsi="SimSun" w:eastAsia="SimSun" w:cs="SimSun"/>
          <w:sz w:val="24"/>
          <w:szCs w:val="24"/>
        </w:rPr>
      </w:pPr>
      <w:r>
        <w:rPr>
          <w:rFonts w:ascii="SimSun" w:hAnsi="SimSun" w:eastAsia="SimSun" w:cs="SimSun"/>
          <w:sz w:val="24"/>
          <w:szCs w:val="24"/>
          <w:b/>
          <w:bCs/>
          <w:spacing w:val="-9"/>
        </w:rPr>
        <w:t>图3.11-2沼气处理工艺流程示意图</w:t>
      </w:r>
    </w:p>
    <w:p>
      <w:pPr>
        <w:ind w:right="192" w:firstLine="483"/>
        <w:spacing w:before="186" w:line="361" w:lineRule="auto"/>
        <w:rPr>
          <w:rFonts w:ascii="SimSun" w:hAnsi="SimSun" w:eastAsia="SimSun" w:cs="SimSun"/>
          <w:sz w:val="24"/>
          <w:szCs w:val="24"/>
        </w:rPr>
      </w:pPr>
      <w:r>
        <w:rPr>
          <w:rFonts w:ascii="SimSun" w:hAnsi="SimSun" w:eastAsia="SimSun" w:cs="SimSun"/>
          <w:sz w:val="24"/>
          <w:szCs w:val="24"/>
          <w:b/>
          <w:bCs/>
          <w:spacing w:val="-1"/>
        </w:rPr>
        <w:t>工艺原理：</w:t>
      </w:r>
      <w:r>
        <w:rPr>
          <w:rFonts w:ascii="SimSun" w:hAnsi="SimSun" w:eastAsia="SimSun" w:cs="SimSun"/>
          <w:sz w:val="24"/>
          <w:szCs w:val="24"/>
          <w:spacing w:val="-1"/>
        </w:rPr>
        <w:t>沼气从厌氧接触池流入管道，首先经过冷凝水去除罐和脱硫装</w:t>
      </w:r>
      <w:r>
        <w:rPr>
          <w:rFonts w:ascii="SimSun" w:hAnsi="SimSun" w:eastAsia="SimSun" w:cs="SimSun"/>
          <w:sz w:val="24"/>
          <w:szCs w:val="24"/>
          <w:spacing w:val="6"/>
        </w:rPr>
        <w:t xml:space="preserve"> </w:t>
      </w:r>
      <w:r>
        <w:rPr>
          <w:rFonts w:ascii="SimSun" w:hAnsi="SimSun" w:eastAsia="SimSun" w:cs="SimSun"/>
          <w:sz w:val="24"/>
          <w:szCs w:val="24"/>
          <w:spacing w:val="-1"/>
        </w:rPr>
        <w:t>置，其目的是净化沼气。净化后的沼气从贮气柜进</w:t>
      </w:r>
      <w:r>
        <w:rPr>
          <w:rFonts w:ascii="SimSun" w:hAnsi="SimSun" w:eastAsia="SimSun" w:cs="SimSun"/>
          <w:sz w:val="24"/>
          <w:szCs w:val="24"/>
          <w:spacing w:val="-2"/>
        </w:rPr>
        <w:t>入后续沼气利用系统。</w:t>
      </w:r>
    </w:p>
    <w:p>
      <w:pPr>
        <w:ind w:left="480"/>
        <w:spacing w:line="217" w:lineRule="auto"/>
        <w:rPr>
          <w:rFonts w:ascii="SimSun" w:hAnsi="SimSun" w:eastAsia="SimSun" w:cs="SimSun"/>
          <w:sz w:val="24"/>
          <w:szCs w:val="24"/>
        </w:rPr>
      </w:pPr>
      <w:r>
        <w:rPr>
          <w:rFonts w:ascii="SimSun" w:hAnsi="SimSun" w:eastAsia="SimSun" w:cs="SimSun"/>
          <w:sz w:val="24"/>
          <w:szCs w:val="24"/>
          <w:spacing w:val="15"/>
        </w:rPr>
        <w:t>①脱水器(气水分离器)</w:t>
      </w:r>
    </w:p>
    <w:p>
      <w:pPr>
        <w:ind w:right="190" w:firstLine="480"/>
        <w:spacing w:before="184" w:line="354" w:lineRule="auto"/>
        <w:rPr>
          <w:rFonts w:ascii="SimSun" w:hAnsi="SimSun" w:eastAsia="SimSun" w:cs="SimSun"/>
          <w:sz w:val="24"/>
          <w:szCs w:val="24"/>
        </w:rPr>
      </w:pPr>
      <w:r>
        <w:rPr>
          <w:rFonts w:ascii="SimSun" w:hAnsi="SimSun" w:eastAsia="SimSun" w:cs="SimSun"/>
          <w:sz w:val="24"/>
          <w:szCs w:val="24"/>
          <w:spacing w:val="-1"/>
        </w:rPr>
        <w:t>沼气是高湿度的混合气。沼气自沼气池进入管道时，温度逐渐降低，管道</w:t>
      </w:r>
      <w:r>
        <w:rPr>
          <w:rFonts w:ascii="SimSun" w:hAnsi="SimSun" w:eastAsia="SimSun" w:cs="SimSun"/>
          <w:sz w:val="24"/>
          <w:szCs w:val="24"/>
          <w:spacing w:val="16"/>
        </w:rPr>
        <w:t xml:space="preserve"> </w:t>
      </w:r>
      <w:r>
        <w:rPr>
          <w:rFonts w:ascii="SimSun" w:hAnsi="SimSun" w:eastAsia="SimSun" w:cs="SimSun"/>
          <w:sz w:val="24"/>
          <w:szCs w:val="24"/>
        </w:rPr>
        <w:t>中会产生大量含杂质的冷凝水。如果不从系统中除去，</w:t>
      </w:r>
      <w:r>
        <w:rPr>
          <w:rFonts w:ascii="SimSun" w:hAnsi="SimSun" w:eastAsia="SimSun" w:cs="SimSun"/>
          <w:sz w:val="24"/>
          <w:szCs w:val="24"/>
          <w:spacing w:val="-1"/>
        </w:rPr>
        <w:t>容易堵塞、破坏管道设</w:t>
      </w:r>
      <w:r>
        <w:rPr>
          <w:rFonts w:ascii="SimSun" w:hAnsi="SimSun" w:eastAsia="SimSun" w:cs="SimSun"/>
          <w:sz w:val="24"/>
          <w:szCs w:val="24"/>
        </w:rPr>
        <w:t xml:space="preserve"> </w:t>
      </w:r>
      <w:r>
        <w:rPr>
          <w:rFonts w:ascii="SimSun" w:hAnsi="SimSun" w:eastAsia="SimSun" w:cs="SimSun"/>
          <w:sz w:val="24"/>
          <w:szCs w:val="24"/>
        </w:rPr>
        <w:t>备。项目沼气脱水采用过滤器，此过滤器是一</w:t>
      </w:r>
      <w:r>
        <w:rPr>
          <w:rFonts w:ascii="SimSun" w:hAnsi="SimSun" w:eastAsia="SimSun" w:cs="SimSun"/>
          <w:sz w:val="24"/>
          <w:szCs w:val="24"/>
          <w:spacing w:val="-1"/>
        </w:rPr>
        <w:t>种用于滤除沼气中所含的固体杂</w:t>
      </w:r>
      <w:r>
        <w:rPr>
          <w:rFonts w:ascii="SimSun" w:hAnsi="SimSun" w:eastAsia="SimSun" w:cs="SimSun"/>
          <w:sz w:val="24"/>
          <w:szCs w:val="24"/>
        </w:rPr>
        <w:t xml:space="preserve"> </w:t>
      </w:r>
      <w:r>
        <w:rPr>
          <w:rFonts w:ascii="SimSun" w:hAnsi="SimSun" w:eastAsia="SimSun" w:cs="SimSun"/>
          <w:sz w:val="24"/>
          <w:szCs w:val="24"/>
        </w:rPr>
        <w:t>质和水分的装置，由罐体和充填于罐体内的砾石组</w:t>
      </w:r>
      <w:r>
        <w:rPr>
          <w:rFonts w:ascii="SimSun" w:hAnsi="SimSun" w:eastAsia="SimSun" w:cs="SimSun"/>
          <w:sz w:val="24"/>
          <w:szCs w:val="24"/>
          <w:spacing w:val="-1"/>
        </w:rPr>
        <w:t>成。罐体为圆筒形，其底部</w:t>
      </w:r>
      <w:r>
        <w:rPr>
          <w:rFonts w:ascii="SimSun" w:hAnsi="SimSun" w:eastAsia="SimSun" w:cs="SimSun"/>
          <w:sz w:val="24"/>
          <w:szCs w:val="24"/>
        </w:rPr>
        <w:t xml:space="preserve"> </w:t>
      </w:r>
      <w:r>
        <w:rPr>
          <w:rFonts w:ascii="SimSun" w:hAnsi="SimSun" w:eastAsia="SimSun" w:cs="SimSun"/>
          <w:sz w:val="24"/>
          <w:szCs w:val="24"/>
        </w:rPr>
        <w:t>为开孔筛板，筛板下方带有圆弧形集水器，集</w:t>
      </w:r>
      <w:r>
        <w:rPr>
          <w:rFonts w:ascii="SimSun" w:hAnsi="SimSun" w:eastAsia="SimSun" w:cs="SimSun"/>
          <w:sz w:val="24"/>
          <w:szCs w:val="24"/>
          <w:spacing w:val="-1"/>
        </w:rPr>
        <w:t>水器底部装有放水阀，罐体内带</w:t>
      </w:r>
      <w:r>
        <w:rPr>
          <w:rFonts w:ascii="SimSun" w:hAnsi="SimSun" w:eastAsia="SimSun" w:cs="SimSun"/>
          <w:sz w:val="24"/>
          <w:szCs w:val="24"/>
        </w:rPr>
        <w:t xml:space="preserve"> </w:t>
      </w:r>
      <w:r>
        <w:rPr>
          <w:rFonts w:ascii="SimSun" w:hAnsi="SimSun" w:eastAsia="SimSun" w:cs="SimSun"/>
          <w:sz w:val="24"/>
          <w:szCs w:val="24"/>
        </w:rPr>
        <w:t>有半隔板将罐体分隔为底部连通的左罐体和右罐体</w:t>
      </w:r>
      <w:r>
        <w:rPr>
          <w:rFonts w:ascii="SimSun" w:hAnsi="SimSun" w:eastAsia="SimSun" w:cs="SimSun"/>
          <w:sz w:val="24"/>
          <w:szCs w:val="24"/>
          <w:spacing w:val="-1"/>
        </w:rPr>
        <w:t>，左右罐体上分别开有沼气</w:t>
      </w:r>
      <w:r>
        <w:rPr>
          <w:rFonts w:ascii="SimSun" w:hAnsi="SimSun" w:eastAsia="SimSun" w:cs="SimSun"/>
          <w:sz w:val="24"/>
          <w:szCs w:val="24"/>
        </w:rPr>
        <w:t xml:space="preserve"> </w:t>
      </w:r>
      <w:r>
        <w:rPr>
          <w:rFonts w:ascii="SimSun" w:hAnsi="SimSun" w:eastAsia="SimSun" w:cs="SimSun"/>
          <w:sz w:val="24"/>
          <w:szCs w:val="24"/>
        </w:rPr>
        <w:t>进出口。沼气通过过滤器时可使其中的固体颗粒被截留，</w:t>
      </w:r>
      <w:r>
        <w:rPr>
          <w:rFonts w:ascii="SimSun" w:hAnsi="SimSun" w:eastAsia="SimSun" w:cs="SimSun"/>
          <w:sz w:val="24"/>
          <w:szCs w:val="24"/>
          <w:spacing w:val="-1"/>
        </w:rPr>
        <w:t>部分水分冷凝于砾石</w:t>
      </w:r>
      <w:r>
        <w:rPr>
          <w:rFonts w:ascii="SimSun" w:hAnsi="SimSun" w:eastAsia="SimSun" w:cs="SimSun"/>
          <w:sz w:val="24"/>
          <w:szCs w:val="24"/>
        </w:rPr>
        <w:t xml:space="preserve"> </w:t>
      </w:r>
      <w:r>
        <w:rPr>
          <w:rFonts w:ascii="SimSun" w:hAnsi="SimSun" w:eastAsia="SimSun" w:cs="SimSun"/>
          <w:sz w:val="24"/>
          <w:szCs w:val="24"/>
          <w:spacing w:val="-4"/>
        </w:rPr>
        <w:t>表面并经集水器排出。</w:t>
      </w:r>
    </w:p>
    <w:p>
      <w:pPr>
        <w:spacing w:line="354" w:lineRule="auto"/>
        <w:sectPr>
          <w:headerReference w:type="default" r:id="rId329"/>
          <w:footerReference w:type="default" r:id="rId330"/>
          <w:pgSz w:w="11910" w:h="16840"/>
          <w:pgMar w:top="1197" w:right="1786" w:bottom="962" w:left="1779" w:header="905" w:footer="791" w:gutter="0"/>
        </w:sectPr>
        <w:rPr>
          <w:rFonts w:ascii="SimSun" w:hAnsi="SimSun" w:eastAsia="SimSun" w:cs="SimSun"/>
          <w:sz w:val="24"/>
          <w:szCs w:val="24"/>
        </w:rPr>
      </w:pPr>
    </w:p>
    <w:p>
      <w:pPr>
        <w:ind w:left="585"/>
        <w:spacing w:before="280" w:line="217" w:lineRule="auto"/>
        <w:rPr>
          <w:rFonts w:ascii="SimSun" w:hAnsi="SimSun" w:eastAsia="SimSun" w:cs="SimSun"/>
          <w:sz w:val="22"/>
          <w:szCs w:val="22"/>
        </w:rPr>
      </w:pPr>
      <w:r>
        <w:rPr>
          <w:rFonts w:ascii="SimSun" w:hAnsi="SimSun" w:eastAsia="SimSun" w:cs="SimSun"/>
          <w:sz w:val="22"/>
          <w:szCs w:val="22"/>
          <w:spacing w:val="32"/>
        </w:rPr>
        <w:t>②脱硫(硫化氢的去除)</w:t>
      </w:r>
    </w:p>
    <w:p>
      <w:pPr>
        <w:ind w:left="94" w:right="225" w:firstLine="490"/>
        <w:spacing w:before="201" w:line="395" w:lineRule="auto"/>
        <w:rPr>
          <w:rFonts w:ascii="SimSun" w:hAnsi="SimSun" w:eastAsia="SimSun" w:cs="SimSun"/>
          <w:sz w:val="22"/>
          <w:szCs w:val="22"/>
        </w:rPr>
      </w:pPr>
      <w:r>
        <w:rPr>
          <w:rFonts w:ascii="SimSun" w:hAnsi="SimSun" w:eastAsia="SimSun" w:cs="SimSun"/>
          <w:sz w:val="22"/>
          <w:szCs w:val="22"/>
          <w:spacing w:val="19"/>
        </w:rPr>
        <w:t>沼气需要进行脱硫处理，以防止对沼气输送管道的腐蚀影响。本项目脱硫</w:t>
      </w:r>
      <w:r>
        <w:rPr>
          <w:rFonts w:ascii="SimSun" w:hAnsi="SimSun" w:eastAsia="SimSun" w:cs="SimSun"/>
          <w:sz w:val="22"/>
          <w:szCs w:val="22"/>
          <w:spacing w:val="10"/>
        </w:rPr>
        <w:t xml:space="preserve"> </w:t>
      </w:r>
      <w:r>
        <w:rPr>
          <w:rFonts w:ascii="SimSun" w:hAnsi="SimSun" w:eastAsia="SimSun" w:cs="SimSun"/>
          <w:sz w:val="22"/>
          <w:szCs w:val="22"/>
          <w:spacing w:val="22"/>
        </w:rPr>
        <w:t>剂为氧化铁，采用常温</w:t>
      </w:r>
      <w:r>
        <w:rPr>
          <w:rFonts w:ascii="SimSun" w:hAnsi="SimSun" w:eastAsia="SimSun" w:cs="SimSun"/>
          <w:sz w:val="22"/>
          <w:szCs w:val="22"/>
        </w:rPr>
        <w:t>Fe</w:t>
      </w:r>
      <w:r>
        <w:rPr>
          <w:rFonts w:ascii="Calibri" w:hAnsi="Calibri" w:eastAsia="Calibri" w:cs="Calibri"/>
          <w:sz w:val="22"/>
          <w:szCs w:val="22"/>
          <w:spacing w:val="22"/>
        </w:rPr>
        <w:t>₂</w:t>
      </w:r>
      <w:r>
        <w:rPr>
          <w:rFonts w:ascii="SimSun" w:hAnsi="SimSun" w:eastAsia="SimSun" w:cs="SimSun"/>
          <w:sz w:val="22"/>
          <w:szCs w:val="22"/>
          <w:spacing w:val="22"/>
        </w:rPr>
        <w:t>O</w:t>
      </w:r>
      <w:r>
        <w:rPr>
          <w:rFonts w:ascii="Calibri" w:hAnsi="Calibri" w:eastAsia="Calibri" w:cs="Calibri"/>
          <w:sz w:val="22"/>
          <w:szCs w:val="22"/>
          <w:spacing w:val="22"/>
        </w:rPr>
        <w:t>₃</w:t>
      </w:r>
      <w:r>
        <w:rPr>
          <w:rFonts w:ascii="Calibri" w:hAnsi="Calibri" w:eastAsia="Calibri" w:cs="Calibri"/>
          <w:sz w:val="22"/>
          <w:szCs w:val="22"/>
          <w:spacing w:val="48"/>
        </w:rPr>
        <w:t xml:space="preserve"> </w:t>
      </w:r>
      <w:r>
        <w:rPr>
          <w:rFonts w:ascii="SimSun" w:hAnsi="SimSun" w:eastAsia="SimSun" w:cs="SimSun"/>
          <w:sz w:val="22"/>
          <w:szCs w:val="22"/>
          <w:spacing w:val="22"/>
        </w:rPr>
        <w:t>干式脱硫法，它是将</w:t>
      </w:r>
      <w:r>
        <w:rPr>
          <w:rFonts w:ascii="SimSun" w:hAnsi="SimSun" w:eastAsia="SimSun" w:cs="SimSun"/>
          <w:sz w:val="22"/>
          <w:szCs w:val="22"/>
        </w:rPr>
        <w:t>Fe</w:t>
      </w:r>
      <w:r>
        <w:rPr>
          <w:rFonts w:ascii="Calibri" w:hAnsi="Calibri" w:eastAsia="Calibri" w:cs="Calibri"/>
          <w:sz w:val="22"/>
          <w:szCs w:val="22"/>
          <w:spacing w:val="22"/>
        </w:rPr>
        <w:t>₂</w:t>
      </w:r>
      <w:r>
        <w:rPr>
          <w:rFonts w:ascii="SimSun" w:hAnsi="SimSun" w:eastAsia="SimSun" w:cs="SimSun"/>
          <w:sz w:val="22"/>
          <w:szCs w:val="22"/>
          <w:spacing w:val="21"/>
        </w:rPr>
        <w:t>O</w:t>
      </w:r>
      <w:r>
        <w:rPr>
          <w:rFonts w:ascii="Calibri" w:hAnsi="Calibri" w:eastAsia="Calibri" w:cs="Calibri"/>
          <w:sz w:val="22"/>
          <w:szCs w:val="22"/>
          <w:spacing w:val="21"/>
        </w:rPr>
        <w:t>₃</w:t>
      </w:r>
      <w:r>
        <w:rPr>
          <w:rFonts w:ascii="Calibri" w:hAnsi="Calibri" w:eastAsia="Calibri" w:cs="Calibri"/>
          <w:sz w:val="22"/>
          <w:szCs w:val="22"/>
          <w:spacing w:val="4"/>
        </w:rPr>
        <w:t xml:space="preserve">  </w:t>
      </w:r>
      <w:r>
        <w:rPr>
          <w:rFonts w:ascii="SimSun" w:hAnsi="SimSun" w:eastAsia="SimSun" w:cs="SimSun"/>
          <w:sz w:val="22"/>
          <w:szCs w:val="22"/>
          <w:spacing w:val="21"/>
        </w:rPr>
        <w:t>屑(或粉)和木屑混合</w:t>
      </w:r>
      <w:r>
        <w:rPr>
          <w:rFonts w:ascii="SimSun" w:hAnsi="SimSun" w:eastAsia="SimSun" w:cs="SimSun"/>
          <w:sz w:val="22"/>
          <w:szCs w:val="22"/>
        </w:rPr>
        <w:t xml:space="preserve">  </w:t>
      </w:r>
      <w:r>
        <w:rPr>
          <w:rFonts w:ascii="SimSun" w:hAnsi="SimSun" w:eastAsia="SimSun" w:cs="SimSun"/>
          <w:sz w:val="22"/>
          <w:szCs w:val="22"/>
          <w:spacing w:val="21"/>
        </w:rPr>
        <w:t>制成脱硫剂，以湿态(含水40%左右)填充于脱硫装置内。</w:t>
      </w:r>
      <w:r>
        <w:rPr>
          <w:rFonts w:ascii="SimSun" w:hAnsi="SimSun" w:eastAsia="SimSun" w:cs="SimSun"/>
          <w:sz w:val="22"/>
          <w:szCs w:val="22"/>
          <w:spacing w:val="-7"/>
        </w:rPr>
        <w:t xml:space="preserve"> </w:t>
      </w:r>
      <w:r>
        <w:rPr>
          <w:rFonts w:ascii="SimSun" w:hAnsi="SimSun" w:eastAsia="SimSun" w:cs="SimSun"/>
          <w:sz w:val="22"/>
          <w:szCs w:val="22"/>
        </w:rPr>
        <w:t>Fe</w:t>
      </w:r>
      <w:r>
        <w:rPr>
          <w:rFonts w:ascii="Calibri" w:hAnsi="Calibri" w:eastAsia="Calibri" w:cs="Calibri"/>
          <w:sz w:val="22"/>
          <w:szCs w:val="22"/>
          <w:spacing w:val="21"/>
        </w:rPr>
        <w:t>₂</w:t>
      </w:r>
      <w:r>
        <w:rPr>
          <w:rFonts w:ascii="SimSun" w:hAnsi="SimSun" w:eastAsia="SimSun" w:cs="SimSun"/>
          <w:sz w:val="22"/>
          <w:szCs w:val="22"/>
          <w:spacing w:val="21"/>
        </w:rPr>
        <w:t>O</w:t>
      </w:r>
      <w:r>
        <w:rPr>
          <w:rFonts w:ascii="Calibri" w:hAnsi="Calibri" w:eastAsia="Calibri" w:cs="Calibri"/>
          <w:sz w:val="22"/>
          <w:szCs w:val="22"/>
          <w:spacing w:val="21"/>
        </w:rPr>
        <w:t>₃  </w:t>
      </w:r>
      <w:r>
        <w:rPr>
          <w:rFonts w:ascii="SimSun" w:hAnsi="SimSun" w:eastAsia="SimSun" w:cs="SimSun"/>
          <w:sz w:val="22"/>
          <w:szCs w:val="22"/>
          <w:spacing w:val="21"/>
        </w:rPr>
        <w:t>脱硫剂为条状</w:t>
      </w:r>
      <w:r>
        <w:rPr>
          <w:rFonts w:ascii="SimSun" w:hAnsi="SimSun" w:eastAsia="SimSun" w:cs="SimSun"/>
          <w:sz w:val="22"/>
          <w:szCs w:val="22"/>
        </w:rPr>
        <w:t xml:space="preserve"> </w:t>
      </w:r>
      <w:r>
        <w:rPr>
          <w:rFonts w:ascii="SimSun" w:hAnsi="SimSun" w:eastAsia="SimSun" w:cs="SimSun"/>
          <w:sz w:val="22"/>
          <w:szCs w:val="22"/>
          <w:spacing w:val="18"/>
        </w:rPr>
        <w:t>多孔结构固体，对</w:t>
      </w:r>
      <w:r>
        <w:rPr>
          <w:rFonts w:ascii="Times New Roman" w:hAnsi="Times New Roman" w:eastAsia="Times New Roman" w:cs="Times New Roman"/>
          <w:sz w:val="22"/>
          <w:szCs w:val="22"/>
          <w:spacing w:val="18"/>
        </w:rPr>
        <w:t>H₂S</w:t>
      </w:r>
      <w:r>
        <w:rPr>
          <w:rFonts w:ascii="SimSun" w:hAnsi="SimSun" w:eastAsia="SimSun" w:cs="SimSun"/>
          <w:sz w:val="22"/>
          <w:szCs w:val="22"/>
          <w:spacing w:val="18"/>
        </w:rPr>
        <w:t>能进行快速的不可逆化学吸附，数秒内可将</w:t>
      </w:r>
      <w:r>
        <w:rPr>
          <w:rFonts w:ascii="Times New Roman" w:hAnsi="Times New Roman" w:eastAsia="Times New Roman" w:cs="Times New Roman"/>
          <w:sz w:val="22"/>
          <w:szCs w:val="22"/>
          <w:spacing w:val="18"/>
        </w:rPr>
        <w:t>H₂S</w:t>
      </w:r>
      <w:r>
        <w:rPr>
          <w:rFonts w:ascii="SimSun" w:hAnsi="SimSun" w:eastAsia="SimSun" w:cs="SimSun"/>
          <w:sz w:val="22"/>
          <w:szCs w:val="22"/>
          <w:spacing w:val="18"/>
        </w:rPr>
        <w:t>脱除到</w:t>
      </w:r>
    </w:p>
    <w:p>
      <w:pPr>
        <w:ind w:left="94"/>
        <w:spacing w:line="220" w:lineRule="auto"/>
        <w:rPr>
          <w:rFonts w:ascii="SimSun" w:hAnsi="SimSun" w:eastAsia="SimSun" w:cs="SimSun"/>
          <w:sz w:val="22"/>
          <w:szCs w:val="22"/>
        </w:rPr>
      </w:pPr>
      <w:r>
        <w:rPr>
          <w:rFonts w:ascii="SimSun" w:hAnsi="SimSun" w:eastAsia="SimSun" w:cs="SimSun"/>
          <w:sz w:val="22"/>
          <w:szCs w:val="22"/>
          <w:spacing w:val="9"/>
        </w:rPr>
        <w:t>1×10-6以下。当沼气通过时，经如下反应，达到脱硫</w:t>
      </w:r>
      <w:r>
        <w:rPr>
          <w:rFonts w:ascii="SimSun" w:hAnsi="SimSun" w:eastAsia="SimSun" w:cs="SimSun"/>
          <w:sz w:val="22"/>
          <w:szCs w:val="22"/>
          <w:spacing w:val="8"/>
        </w:rPr>
        <w:t>目的：</w:t>
      </w:r>
    </w:p>
    <w:p>
      <w:pPr>
        <w:ind w:left="2394"/>
        <w:spacing w:before="261" w:line="188" w:lineRule="auto"/>
        <w:rPr>
          <w:rFonts w:ascii="Times New Roman" w:hAnsi="Times New Roman" w:eastAsia="Times New Roman" w:cs="Times New Roman"/>
          <w:sz w:val="22"/>
          <w:szCs w:val="22"/>
        </w:rPr>
      </w:pPr>
      <w:r>
        <w:rPr>
          <w:rFonts w:ascii="Times New Roman" w:hAnsi="Times New Roman" w:eastAsia="Times New Roman" w:cs="Times New Roman"/>
          <w:sz w:val="22"/>
          <w:szCs w:val="22"/>
        </w:rPr>
        <w:t>Fe₂O₃·H₂O+3H₂S→Fe₂S·3H</w:t>
      </w:r>
      <w:r>
        <w:rPr>
          <w:rFonts w:ascii="Times New Roman" w:hAnsi="Times New Roman" w:eastAsia="Times New Roman" w:cs="Times New Roman"/>
          <w:sz w:val="22"/>
          <w:szCs w:val="22"/>
          <w:spacing w:val="-1"/>
        </w:rPr>
        <w:t>₂O+3H₂O</w:t>
      </w:r>
    </w:p>
    <w:p>
      <w:pPr>
        <w:ind w:left="2554"/>
        <w:spacing w:before="211" w:line="188" w:lineRule="auto"/>
        <w:rPr>
          <w:rFonts w:ascii="Times New Roman" w:hAnsi="Times New Roman" w:eastAsia="Times New Roman" w:cs="Times New Roman"/>
          <w:sz w:val="22"/>
          <w:szCs w:val="22"/>
        </w:rPr>
      </w:pPr>
      <w:r>
        <w:rPr>
          <w:rFonts w:ascii="Times New Roman" w:hAnsi="Times New Roman" w:eastAsia="Times New Roman" w:cs="Times New Roman"/>
          <w:sz w:val="22"/>
          <w:szCs w:val="22"/>
        </w:rPr>
        <w:t>Fe₂O₃·H₂O+3H₂S→2FeS</w:t>
      </w:r>
      <w:r>
        <w:rPr>
          <w:rFonts w:ascii="Times New Roman" w:hAnsi="Times New Roman" w:eastAsia="Times New Roman" w:cs="Times New Roman"/>
          <w:sz w:val="22"/>
          <w:szCs w:val="22"/>
          <w:spacing w:val="-1"/>
        </w:rPr>
        <w:t>+S+4H₂O</w:t>
      </w:r>
    </w:p>
    <w:p>
      <w:pPr>
        <w:ind w:left="94" w:right="150" w:firstLine="490"/>
        <w:spacing w:before="168" w:line="387" w:lineRule="auto"/>
        <w:rPr>
          <w:rFonts w:ascii="SimSun" w:hAnsi="SimSun" w:eastAsia="SimSun" w:cs="SimSun"/>
          <w:sz w:val="22"/>
          <w:szCs w:val="22"/>
        </w:rPr>
      </w:pPr>
      <w:r>
        <w:rPr>
          <w:rFonts w:ascii="SimSun" w:hAnsi="SimSun" w:eastAsia="SimSun" w:cs="SimSun"/>
          <w:sz w:val="22"/>
          <w:szCs w:val="22"/>
          <w:spacing w:val="19"/>
        </w:rPr>
        <w:t>脱硫剂工作一定时间后，其活性会逐渐下降，脱硫效果逐渐变差，就需要</w:t>
      </w:r>
      <w:r>
        <w:rPr>
          <w:rFonts w:ascii="SimSun" w:hAnsi="SimSun" w:eastAsia="SimSun" w:cs="SimSun"/>
          <w:sz w:val="22"/>
          <w:szCs w:val="22"/>
          <w:spacing w:val="6"/>
        </w:rPr>
        <w:t xml:space="preserve">  </w:t>
      </w:r>
      <w:r>
        <w:rPr>
          <w:rFonts w:ascii="SimSun" w:hAnsi="SimSun" w:eastAsia="SimSun" w:cs="SimSun"/>
          <w:sz w:val="22"/>
          <w:szCs w:val="22"/>
          <w:spacing w:val="21"/>
        </w:rPr>
        <w:t>对脱硫剂进行处理。当脱硫剂中硫未达到30%时，脱硫剂可进行再生；若脱硫</w:t>
      </w:r>
      <w:r>
        <w:rPr>
          <w:rFonts w:ascii="SimSun" w:hAnsi="SimSun" w:eastAsia="SimSun" w:cs="SimSun"/>
          <w:sz w:val="22"/>
          <w:szCs w:val="22"/>
          <w:spacing w:val="1"/>
        </w:rPr>
        <w:t xml:space="preserve">  </w:t>
      </w:r>
      <w:r>
        <w:rPr>
          <w:rFonts w:ascii="SimSun" w:hAnsi="SimSun" w:eastAsia="SimSun" w:cs="SimSun"/>
          <w:sz w:val="22"/>
          <w:szCs w:val="22"/>
          <w:spacing w:val="21"/>
        </w:rPr>
        <w:t>剂硫容超过30%时，就要更新脱硫剂。经类比同规模养殖场经采用专用沼气脱</w:t>
      </w:r>
      <w:r>
        <w:rPr>
          <w:rFonts w:ascii="SimSun" w:hAnsi="SimSun" w:eastAsia="SimSun" w:cs="SimSun"/>
          <w:sz w:val="22"/>
          <w:szCs w:val="22"/>
          <w:spacing w:val="2"/>
        </w:rPr>
        <w:t xml:space="preserve">  </w:t>
      </w:r>
      <w:r>
        <w:rPr>
          <w:rFonts w:ascii="SimSun" w:hAnsi="SimSun" w:eastAsia="SimSun" w:cs="SimSun"/>
          <w:sz w:val="22"/>
          <w:szCs w:val="22"/>
          <w:spacing w:val="19"/>
        </w:rPr>
        <w:t>硫剂脱硫后，硫去除率可达到85%以上，沼气净化后</w:t>
      </w:r>
      <w:r>
        <w:rPr>
          <w:rFonts w:ascii="Times New Roman" w:hAnsi="Times New Roman" w:eastAsia="Times New Roman" w:cs="Times New Roman"/>
          <w:sz w:val="22"/>
          <w:szCs w:val="22"/>
          <w:spacing w:val="19"/>
        </w:rPr>
        <w:t>H₂S</w:t>
      </w:r>
      <w:r>
        <w:rPr>
          <w:rFonts w:ascii="Times New Roman" w:hAnsi="Times New Roman" w:eastAsia="Times New Roman" w:cs="Times New Roman"/>
          <w:sz w:val="22"/>
          <w:szCs w:val="22"/>
          <w:spacing w:val="18"/>
        </w:rPr>
        <w:t xml:space="preserve"> </w:t>
      </w:r>
      <w:r>
        <w:rPr>
          <w:rFonts w:ascii="SimSun" w:hAnsi="SimSun" w:eastAsia="SimSun" w:cs="SimSun"/>
          <w:sz w:val="22"/>
          <w:szCs w:val="22"/>
          <w:spacing w:val="18"/>
        </w:rPr>
        <w:t>含量较低，不会对大气</w:t>
      </w:r>
      <w:r>
        <w:rPr>
          <w:rFonts w:ascii="SimSun" w:hAnsi="SimSun" w:eastAsia="SimSun" w:cs="SimSun"/>
          <w:sz w:val="22"/>
          <w:szCs w:val="22"/>
        </w:rPr>
        <w:t xml:space="preserve"> </w:t>
      </w:r>
      <w:r>
        <w:rPr>
          <w:rFonts w:ascii="SimSun" w:hAnsi="SimSun" w:eastAsia="SimSun" w:cs="SimSun"/>
          <w:sz w:val="22"/>
          <w:szCs w:val="22"/>
          <w:spacing w:val="17"/>
        </w:rPr>
        <w:t>环境造成影响。</w:t>
      </w:r>
    </w:p>
    <w:p>
      <w:pPr>
        <w:ind w:left="98" w:right="229" w:firstLine="490"/>
        <w:spacing w:before="30" w:line="381" w:lineRule="auto"/>
        <w:rPr>
          <w:rFonts w:ascii="SimSun" w:hAnsi="SimSun" w:eastAsia="SimSun" w:cs="SimSun"/>
          <w:sz w:val="22"/>
          <w:szCs w:val="22"/>
        </w:rPr>
      </w:pPr>
      <w:r>
        <w:rPr>
          <w:rFonts w:ascii="SimSun" w:hAnsi="SimSun" w:eastAsia="SimSun" w:cs="SimSun"/>
          <w:sz w:val="22"/>
          <w:szCs w:val="22"/>
          <w:b/>
          <w:bCs/>
          <w:spacing w:val="18"/>
        </w:rPr>
        <w:t>本环评要求：建设单位应将沼气进行收集净化处理后经食堂燃料回用或火</w:t>
      </w:r>
      <w:r>
        <w:rPr>
          <w:rFonts w:ascii="SimSun" w:hAnsi="SimSun" w:eastAsia="SimSun" w:cs="SimSun"/>
          <w:sz w:val="22"/>
          <w:szCs w:val="22"/>
          <w:spacing w:val="1"/>
        </w:rPr>
        <w:t xml:space="preserve"> </w:t>
      </w:r>
      <w:r>
        <w:rPr>
          <w:rFonts w:ascii="SimSun" w:hAnsi="SimSun" w:eastAsia="SimSun" w:cs="SimSun"/>
          <w:sz w:val="22"/>
          <w:szCs w:val="22"/>
          <w:b/>
          <w:bCs/>
          <w:spacing w:val="17"/>
        </w:rPr>
        <w:t>炬点燃排至大气环境，不可直接向大气环境</w:t>
      </w:r>
      <w:r>
        <w:rPr>
          <w:rFonts w:ascii="SimSun" w:hAnsi="SimSun" w:eastAsia="SimSun" w:cs="SimSun"/>
          <w:sz w:val="22"/>
          <w:szCs w:val="22"/>
          <w:b/>
          <w:bCs/>
          <w:spacing w:val="16"/>
        </w:rPr>
        <w:t>排放。</w:t>
      </w:r>
    </w:p>
    <w:p>
      <w:pPr>
        <w:ind w:left="588"/>
        <w:spacing w:before="3" w:line="220" w:lineRule="auto"/>
        <w:rPr>
          <w:rFonts w:ascii="SimSun" w:hAnsi="SimSun" w:eastAsia="SimSun" w:cs="SimSun"/>
          <w:sz w:val="22"/>
          <w:szCs w:val="22"/>
        </w:rPr>
      </w:pPr>
      <w:r>
        <w:rPr>
          <w:rFonts w:ascii="SimSun" w:hAnsi="SimSun" w:eastAsia="SimSun" w:cs="SimSun"/>
          <w:sz w:val="22"/>
          <w:szCs w:val="22"/>
          <w:b/>
          <w:bCs/>
          <w:spacing w:val="15"/>
        </w:rPr>
        <w:t>4、油烟废气</w:t>
      </w:r>
    </w:p>
    <w:p>
      <w:pPr>
        <w:ind w:left="585"/>
        <w:spacing w:before="219" w:line="219" w:lineRule="auto"/>
        <w:rPr>
          <w:rFonts w:ascii="SimSun" w:hAnsi="SimSun" w:eastAsia="SimSun" w:cs="SimSun"/>
          <w:sz w:val="22"/>
          <w:szCs w:val="22"/>
        </w:rPr>
      </w:pPr>
      <w:r>
        <w:rPr>
          <w:rFonts w:ascii="SimSun" w:hAnsi="SimSun" w:eastAsia="SimSun" w:cs="SimSun"/>
          <w:sz w:val="22"/>
          <w:szCs w:val="22"/>
          <w:spacing w:val="20"/>
        </w:rPr>
        <w:t>本项目设有职工食堂，食堂燃料用项目产生的</w:t>
      </w:r>
      <w:r>
        <w:rPr>
          <w:rFonts w:ascii="SimSun" w:hAnsi="SimSun" w:eastAsia="SimSun" w:cs="SimSun"/>
          <w:sz w:val="22"/>
          <w:szCs w:val="22"/>
          <w:spacing w:val="19"/>
        </w:rPr>
        <w:t>沼气为燃料，属于清洁能</w:t>
      </w:r>
    </w:p>
    <w:p>
      <w:pPr>
        <w:ind w:left="94" w:right="127"/>
        <w:spacing w:before="200" w:line="387" w:lineRule="auto"/>
        <w:rPr>
          <w:rFonts w:ascii="SimSun" w:hAnsi="SimSun" w:eastAsia="SimSun" w:cs="SimSun"/>
          <w:sz w:val="22"/>
          <w:szCs w:val="22"/>
        </w:rPr>
      </w:pPr>
      <w:r>
        <w:rPr>
          <w:rFonts w:ascii="SimSun" w:hAnsi="SimSun" w:eastAsia="SimSun" w:cs="SimSun"/>
          <w:sz w:val="22"/>
          <w:szCs w:val="22"/>
          <w:spacing w:val="20"/>
        </w:rPr>
        <w:t>源，燃烧对周围环境空气质量影响小，因此本项目运营过程中</w:t>
      </w:r>
      <w:r>
        <w:rPr>
          <w:rFonts w:ascii="SimSun" w:hAnsi="SimSun" w:eastAsia="SimSun" w:cs="SimSun"/>
          <w:sz w:val="22"/>
          <w:szCs w:val="22"/>
          <w:spacing w:val="19"/>
        </w:rPr>
        <w:t>食堂产生的废气</w:t>
      </w:r>
      <w:r>
        <w:rPr>
          <w:rFonts w:ascii="SimSun" w:hAnsi="SimSun" w:eastAsia="SimSun" w:cs="SimSun"/>
          <w:sz w:val="22"/>
          <w:szCs w:val="22"/>
        </w:rPr>
        <w:t xml:space="preserve">  </w:t>
      </w:r>
      <w:r>
        <w:rPr>
          <w:rFonts w:ascii="SimSun" w:hAnsi="SimSun" w:eastAsia="SimSun" w:cs="SimSun"/>
          <w:sz w:val="22"/>
          <w:szCs w:val="22"/>
          <w:spacing w:val="20"/>
        </w:rPr>
        <w:t>主要为厨房油烟。油烟指烹调油烟，由水蒸汽和油珠组成，它是</w:t>
      </w:r>
      <w:r>
        <w:rPr>
          <w:rFonts w:ascii="SimSun" w:hAnsi="SimSun" w:eastAsia="SimSun" w:cs="SimSun"/>
          <w:sz w:val="22"/>
          <w:szCs w:val="22"/>
          <w:spacing w:val="19"/>
        </w:rPr>
        <w:t>食用油加热到</w:t>
      </w:r>
      <w:r>
        <w:rPr>
          <w:rFonts w:ascii="SimSun" w:hAnsi="SimSun" w:eastAsia="SimSun" w:cs="SimSun"/>
          <w:sz w:val="22"/>
          <w:szCs w:val="22"/>
        </w:rPr>
        <w:t xml:space="preserve">  </w:t>
      </w:r>
      <w:r>
        <w:rPr>
          <w:rFonts w:ascii="SimSun" w:hAnsi="SimSun" w:eastAsia="SimSun" w:cs="SimSun"/>
          <w:sz w:val="22"/>
          <w:szCs w:val="22"/>
          <w:spacing w:val="19"/>
        </w:rPr>
        <w:t>250℃以上，油脂发生氧化、水解、聚合、裂解等反应，随沸腾的油挥发出来的</w:t>
      </w:r>
      <w:r>
        <w:rPr>
          <w:rFonts w:ascii="SimSun" w:hAnsi="SimSun" w:eastAsia="SimSun" w:cs="SimSun"/>
          <w:sz w:val="22"/>
          <w:szCs w:val="22"/>
          <w:spacing w:val="12"/>
        </w:rPr>
        <w:t xml:space="preserve"> </w:t>
      </w:r>
      <w:r>
        <w:rPr>
          <w:rFonts w:ascii="SimSun" w:hAnsi="SimSun" w:eastAsia="SimSun" w:cs="SimSun"/>
          <w:sz w:val="22"/>
          <w:szCs w:val="22"/>
          <w:spacing w:val="17"/>
        </w:rPr>
        <w:t>烹调烟气，厨房油烟废气主要成分为动植物油烟。</w:t>
      </w:r>
    </w:p>
    <w:p>
      <w:pPr>
        <w:ind w:left="94" w:right="176" w:firstLine="490"/>
        <w:spacing w:before="8" w:line="389" w:lineRule="auto"/>
        <w:rPr>
          <w:rFonts w:ascii="SimSun" w:hAnsi="SimSun" w:eastAsia="SimSun" w:cs="SimSun"/>
          <w:sz w:val="22"/>
          <w:szCs w:val="22"/>
        </w:rPr>
      </w:pPr>
      <w:r>
        <w:rPr>
          <w:rFonts w:ascii="SimSun" w:hAnsi="SimSun" w:eastAsia="SimSun" w:cs="SimSun"/>
          <w:sz w:val="22"/>
          <w:szCs w:val="22"/>
          <w:spacing w:val="15"/>
        </w:rPr>
        <w:t>本项目建成后约200人在食堂就餐，食堂年工作时间360天，日工作6</w:t>
      </w:r>
      <w:r>
        <w:rPr>
          <w:rFonts w:ascii="Times New Roman" w:hAnsi="Times New Roman" w:eastAsia="Times New Roman" w:cs="Times New Roman"/>
          <w:sz w:val="22"/>
          <w:szCs w:val="22"/>
          <w:spacing w:val="15"/>
        </w:rPr>
        <w:t>h</w:t>
      </w:r>
      <w:r>
        <w:rPr>
          <w:rFonts w:ascii="Times New Roman" w:hAnsi="Times New Roman" w:eastAsia="Times New Roman" w:cs="Times New Roman"/>
          <w:sz w:val="22"/>
          <w:szCs w:val="22"/>
          <w:spacing w:val="14"/>
        </w:rPr>
        <w:t>,   </w:t>
      </w:r>
      <w:r>
        <w:rPr>
          <w:rFonts w:ascii="SimSun" w:hAnsi="SimSun" w:eastAsia="SimSun" w:cs="SimSun"/>
          <w:sz w:val="22"/>
          <w:szCs w:val="22"/>
          <w:spacing w:val="14"/>
        </w:rPr>
        <w:t>食</w:t>
      </w:r>
      <w:r>
        <w:rPr>
          <w:rFonts w:ascii="SimSun" w:hAnsi="SimSun" w:eastAsia="SimSun" w:cs="SimSun"/>
          <w:sz w:val="22"/>
          <w:szCs w:val="22"/>
        </w:rPr>
        <w:t xml:space="preserve">  </w:t>
      </w:r>
      <w:r>
        <w:rPr>
          <w:rFonts w:ascii="SimSun" w:hAnsi="SimSun" w:eastAsia="SimSun" w:cs="SimSun"/>
          <w:sz w:val="22"/>
          <w:szCs w:val="22"/>
          <w:spacing w:val="8"/>
        </w:rPr>
        <w:t>堂人均用沼气量按0.55</w:t>
      </w:r>
      <w:r>
        <w:rPr>
          <w:rFonts w:ascii="Times New Roman" w:hAnsi="Times New Roman" w:eastAsia="Times New Roman" w:cs="Times New Roman"/>
          <w:sz w:val="22"/>
          <w:szCs w:val="22"/>
          <w:spacing w:val="8"/>
        </w:rPr>
        <w:t>m³/d,   </w:t>
      </w:r>
      <w:r>
        <w:rPr>
          <w:rFonts w:ascii="SimSun" w:hAnsi="SimSun" w:eastAsia="SimSun" w:cs="SimSun"/>
          <w:sz w:val="22"/>
          <w:szCs w:val="22"/>
          <w:spacing w:val="8"/>
        </w:rPr>
        <w:t>经核算，职工食堂沼气用量为39600</w:t>
      </w:r>
      <w:r>
        <w:rPr>
          <w:rFonts w:ascii="Times New Roman" w:hAnsi="Times New Roman" w:eastAsia="Times New Roman" w:cs="Times New Roman"/>
          <w:sz w:val="22"/>
          <w:szCs w:val="22"/>
          <w:spacing w:val="8"/>
        </w:rPr>
        <w:t>m³/a</w:t>
      </w:r>
      <w:r>
        <w:rPr>
          <w:rFonts w:ascii="Times New Roman" w:hAnsi="Times New Roman" w:eastAsia="Times New Roman" w:cs="Times New Roman"/>
          <w:sz w:val="22"/>
          <w:szCs w:val="22"/>
          <w:spacing w:val="7"/>
        </w:rPr>
        <w:t>,    </w:t>
      </w:r>
      <w:r>
        <w:rPr>
          <w:rFonts w:ascii="SimSun" w:hAnsi="SimSun" w:eastAsia="SimSun" w:cs="SimSun"/>
          <w:sz w:val="22"/>
          <w:szCs w:val="22"/>
          <w:spacing w:val="7"/>
        </w:rPr>
        <w:t>本</w:t>
      </w:r>
      <w:r>
        <w:rPr>
          <w:rFonts w:ascii="SimSun" w:hAnsi="SimSun" w:eastAsia="SimSun" w:cs="SimSun"/>
          <w:sz w:val="22"/>
          <w:szCs w:val="22"/>
          <w:spacing w:val="-48"/>
        </w:rPr>
        <w:t xml:space="preserve"> </w:t>
      </w:r>
      <w:r>
        <w:rPr>
          <w:rFonts w:ascii="SimSun" w:hAnsi="SimSun" w:eastAsia="SimSun" w:cs="SimSun"/>
          <w:sz w:val="22"/>
          <w:szCs w:val="22"/>
          <w:spacing w:val="7"/>
        </w:rPr>
        <w:t>项 目</w:t>
      </w:r>
      <w:r>
        <w:rPr>
          <w:rFonts w:ascii="SimSun" w:hAnsi="SimSun" w:eastAsia="SimSun" w:cs="SimSun"/>
          <w:sz w:val="22"/>
          <w:szCs w:val="22"/>
        </w:rPr>
        <w:t xml:space="preserve">  </w:t>
      </w:r>
      <w:r>
        <w:rPr>
          <w:rFonts w:ascii="SimSun" w:hAnsi="SimSun" w:eastAsia="SimSun" w:cs="SimSun"/>
          <w:sz w:val="22"/>
          <w:szCs w:val="22"/>
          <w:spacing w:val="16"/>
        </w:rPr>
        <w:t>沼气产生量为42580</w:t>
      </w:r>
      <w:r>
        <w:rPr>
          <w:rFonts w:ascii="Times New Roman" w:hAnsi="Times New Roman" w:eastAsia="Times New Roman" w:cs="Times New Roman"/>
          <w:sz w:val="22"/>
          <w:szCs w:val="22"/>
          <w:spacing w:val="16"/>
        </w:rPr>
        <w:t>m³/a,   </w:t>
      </w:r>
      <w:r>
        <w:rPr>
          <w:rFonts w:ascii="SimSun" w:hAnsi="SimSun" w:eastAsia="SimSun" w:cs="SimSun"/>
          <w:sz w:val="22"/>
          <w:szCs w:val="22"/>
          <w:spacing w:val="16"/>
        </w:rPr>
        <w:t>能满足本项目食堂沼气用量。油烟产生情况参照《排</w:t>
      </w:r>
      <w:r>
        <w:rPr>
          <w:rFonts w:ascii="SimSun" w:hAnsi="SimSun" w:eastAsia="SimSun" w:cs="SimSun"/>
          <w:sz w:val="22"/>
          <w:szCs w:val="22"/>
        </w:rPr>
        <w:t xml:space="preserve"> </w:t>
      </w:r>
      <w:r>
        <w:rPr>
          <w:rFonts w:ascii="SimSun" w:hAnsi="SimSun" w:eastAsia="SimSun" w:cs="SimSun"/>
          <w:sz w:val="22"/>
          <w:szCs w:val="22"/>
          <w:spacing w:val="22"/>
        </w:rPr>
        <w:t>放源统计调查产排污核算方法和系数手册-生活污</w:t>
      </w:r>
      <w:r>
        <w:rPr>
          <w:rFonts w:ascii="SimSun" w:hAnsi="SimSun" w:eastAsia="SimSun" w:cs="SimSun"/>
          <w:sz w:val="22"/>
          <w:szCs w:val="22"/>
          <w:spacing w:val="21"/>
        </w:rPr>
        <w:t>染源产排污系数手册》,生活</w:t>
      </w:r>
      <w:r>
        <w:rPr>
          <w:rFonts w:ascii="SimSun" w:hAnsi="SimSun" w:eastAsia="SimSun" w:cs="SimSun"/>
          <w:sz w:val="22"/>
          <w:szCs w:val="22"/>
        </w:rPr>
        <w:t xml:space="preserve"> </w:t>
      </w:r>
      <w:r>
        <w:rPr>
          <w:rFonts w:ascii="SimSun" w:hAnsi="SimSun" w:eastAsia="SimSun" w:cs="SimSun"/>
          <w:sz w:val="22"/>
          <w:szCs w:val="22"/>
          <w:spacing w:val="25"/>
        </w:rPr>
        <w:t>及其他大气污染物排放系数表(节选部分)见下表：</w:t>
      </w:r>
    </w:p>
    <w:p>
      <w:pPr>
        <w:ind w:left="1488"/>
        <w:spacing w:before="17" w:line="214" w:lineRule="auto"/>
        <w:rPr>
          <w:rFonts w:ascii="SimSun" w:hAnsi="SimSun" w:eastAsia="SimSun" w:cs="SimSun"/>
          <w:sz w:val="24"/>
          <w:szCs w:val="24"/>
        </w:rPr>
      </w:pPr>
      <w:r>
        <w:rPr>
          <w:rFonts w:ascii="SimSun" w:hAnsi="SimSun" w:eastAsia="SimSun" w:cs="SimSun"/>
          <w:sz w:val="24"/>
          <w:szCs w:val="24"/>
          <w:b/>
          <w:bCs/>
          <w:spacing w:val="-1"/>
        </w:rPr>
        <w:t>表3.11-27生活及其他大气污染物排放系数表(节选)</w:t>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543"/>
        <w:gridCol w:w="1148"/>
        <w:gridCol w:w="2467"/>
        <w:gridCol w:w="1528"/>
        <w:gridCol w:w="1813"/>
      </w:tblGrid>
      <w:tr>
        <w:trPr>
          <w:trHeight w:val="292" w:hRule="atLeast"/>
        </w:trPr>
        <w:tc>
          <w:tcPr>
            <w:shd w:val="clear" w:fill="BDBDBD"/>
            <w:tcW w:w="1543" w:type="dxa"/>
            <w:vAlign w:val="top"/>
          </w:tcPr>
          <w:p>
            <w:pPr>
              <w:pStyle w:val="TableText"/>
              <w:ind w:left="218"/>
              <w:spacing w:before="40" w:line="203" w:lineRule="auto"/>
              <w:rPr>
                <w:sz w:val="22"/>
                <w:szCs w:val="22"/>
              </w:rPr>
            </w:pPr>
            <w:r>
              <w:rPr>
                <w:sz w:val="22"/>
                <w:szCs w:val="22"/>
                <w:b/>
                <w:bCs/>
                <w:spacing w:val="-4"/>
              </w:rPr>
              <w:t>污染物类型</w:t>
            </w:r>
          </w:p>
        </w:tc>
        <w:tc>
          <w:tcPr>
            <w:shd w:val="clear" w:fill="BDBDBD"/>
            <w:tcW w:w="3615" w:type="dxa"/>
            <w:vAlign w:val="top"/>
            <w:gridSpan w:val="2"/>
          </w:tcPr>
          <w:p>
            <w:pPr>
              <w:pStyle w:val="TableText"/>
              <w:ind w:left="1265"/>
              <w:spacing w:before="40" w:line="203" w:lineRule="auto"/>
              <w:rPr>
                <w:sz w:val="22"/>
                <w:szCs w:val="22"/>
              </w:rPr>
            </w:pPr>
            <w:r>
              <w:rPr>
                <w:sz w:val="22"/>
                <w:szCs w:val="22"/>
                <w:b/>
                <w:bCs/>
                <w:spacing w:val="-4"/>
              </w:rPr>
              <w:t>排放源类型</w:t>
            </w:r>
          </w:p>
        </w:tc>
        <w:tc>
          <w:tcPr>
            <w:shd w:val="clear" w:fill="BDBDBD"/>
            <w:tcW w:w="1528" w:type="dxa"/>
            <w:vAlign w:val="top"/>
          </w:tcPr>
          <w:p>
            <w:pPr>
              <w:pStyle w:val="TableText"/>
              <w:ind w:left="320"/>
              <w:spacing w:before="40" w:line="203" w:lineRule="auto"/>
              <w:rPr>
                <w:sz w:val="22"/>
                <w:szCs w:val="22"/>
              </w:rPr>
            </w:pPr>
            <w:r>
              <w:rPr>
                <w:sz w:val="22"/>
                <w:szCs w:val="22"/>
                <w:b/>
                <w:bCs/>
                <w:spacing w:val="-4"/>
              </w:rPr>
              <w:t>排放系数</w:t>
            </w:r>
          </w:p>
        </w:tc>
        <w:tc>
          <w:tcPr>
            <w:shd w:val="clear" w:fill="BDBDBD"/>
            <w:tcW w:w="1813" w:type="dxa"/>
            <w:vAlign w:val="top"/>
          </w:tcPr>
          <w:p>
            <w:pPr>
              <w:pStyle w:val="TableText"/>
              <w:ind w:left="682"/>
              <w:spacing w:before="41" w:line="202" w:lineRule="auto"/>
              <w:rPr>
                <w:sz w:val="22"/>
                <w:szCs w:val="22"/>
              </w:rPr>
            </w:pPr>
            <w:r>
              <w:rPr>
                <w:sz w:val="22"/>
                <w:szCs w:val="22"/>
                <w:b/>
                <w:bCs/>
                <w:spacing w:val="-5"/>
              </w:rPr>
              <w:t>单位</w:t>
            </w:r>
          </w:p>
        </w:tc>
      </w:tr>
      <w:tr>
        <w:trPr>
          <w:trHeight w:val="258" w:hRule="atLeast"/>
        </w:trPr>
        <w:tc>
          <w:tcPr>
            <w:tcW w:w="1543" w:type="dxa"/>
            <w:vAlign w:val="top"/>
            <w:vMerge w:val="restart"/>
            <w:tcBorders>
              <w:bottom w:val="nil"/>
            </w:tcBorders>
          </w:tcPr>
          <w:p>
            <w:pPr>
              <w:pStyle w:val="TableText"/>
              <w:ind w:left="104"/>
              <w:spacing w:before="310" w:line="219" w:lineRule="auto"/>
              <w:rPr>
                <w:sz w:val="22"/>
                <w:szCs w:val="22"/>
              </w:rPr>
            </w:pPr>
            <w:r>
              <w:rPr>
                <w:sz w:val="22"/>
                <w:szCs w:val="22"/>
                <w:spacing w:val="-2"/>
              </w:rPr>
              <w:t>挥发性有机物</w:t>
            </w:r>
          </w:p>
        </w:tc>
        <w:tc>
          <w:tcPr>
            <w:tcW w:w="1148" w:type="dxa"/>
            <w:vAlign w:val="top"/>
            <w:vMerge w:val="restart"/>
            <w:tcBorders>
              <w:bottom w:val="nil"/>
            </w:tcBorders>
          </w:tcPr>
          <w:p>
            <w:pPr>
              <w:pStyle w:val="TableText"/>
              <w:ind w:left="132"/>
              <w:spacing w:before="312" w:line="219" w:lineRule="auto"/>
              <w:rPr>
                <w:sz w:val="22"/>
                <w:szCs w:val="22"/>
              </w:rPr>
            </w:pPr>
            <w:r>
              <w:rPr>
                <w:sz w:val="22"/>
                <w:szCs w:val="22"/>
                <w:spacing w:val="3"/>
              </w:rPr>
              <w:t>餐饮油烟</w:t>
            </w:r>
          </w:p>
        </w:tc>
        <w:tc>
          <w:tcPr>
            <w:tcW w:w="2467" w:type="dxa"/>
            <w:vAlign w:val="top"/>
          </w:tcPr>
          <w:p>
            <w:pPr>
              <w:pStyle w:val="TableText"/>
              <w:ind w:left="453"/>
              <w:spacing w:before="21" w:line="190" w:lineRule="auto"/>
              <w:rPr>
                <w:sz w:val="22"/>
                <w:szCs w:val="22"/>
              </w:rPr>
            </w:pPr>
            <w:r>
              <w:rPr>
                <w:sz w:val="22"/>
                <w:szCs w:val="22"/>
                <w:spacing w:val="6"/>
              </w:rPr>
              <w:t>一区(地域分类)</w:t>
            </w:r>
          </w:p>
        </w:tc>
        <w:tc>
          <w:tcPr>
            <w:tcW w:w="1528" w:type="dxa"/>
            <w:vAlign w:val="top"/>
          </w:tcPr>
          <w:p>
            <w:pPr>
              <w:pStyle w:val="TableText"/>
              <w:ind w:left="596"/>
              <w:spacing w:before="44" w:line="171" w:lineRule="auto"/>
              <w:rPr>
                <w:sz w:val="22"/>
                <w:szCs w:val="22"/>
              </w:rPr>
            </w:pPr>
            <w:r>
              <w:rPr>
                <w:sz w:val="22"/>
                <w:szCs w:val="22"/>
                <w:spacing w:val="-6"/>
              </w:rPr>
              <w:t>165</w:t>
            </w:r>
          </w:p>
        </w:tc>
        <w:tc>
          <w:tcPr>
            <w:tcW w:w="1813" w:type="dxa"/>
            <w:vAlign w:val="top"/>
          </w:tcPr>
          <w:p>
            <w:pPr>
              <w:pStyle w:val="TableText"/>
              <w:ind w:left="349"/>
              <w:spacing w:before="14" w:line="196" w:lineRule="auto"/>
              <w:rPr>
                <w:sz w:val="22"/>
                <w:szCs w:val="22"/>
              </w:rPr>
            </w:pPr>
            <w:r>
              <w:rPr>
                <w:sz w:val="22"/>
                <w:szCs w:val="22"/>
                <w:spacing w:val="-10"/>
              </w:rPr>
              <w:t>g/(人</w:t>
            </w:r>
            <w:r>
              <w:rPr>
                <w:sz w:val="22"/>
                <w:szCs w:val="22"/>
                <w:spacing w:val="-13"/>
              </w:rPr>
              <w:t xml:space="preserve"> </w:t>
            </w:r>
            <w:r>
              <w:rPr>
                <w:sz w:val="22"/>
                <w:szCs w:val="22"/>
                <w:spacing w:val="-10"/>
              </w:rPr>
              <w:t>·</w:t>
            </w:r>
            <w:r>
              <w:rPr>
                <w:sz w:val="22"/>
                <w:szCs w:val="22"/>
                <w:spacing w:val="-90"/>
              </w:rPr>
              <w:t xml:space="preserve"> </w:t>
            </w:r>
            <w:r>
              <w:rPr>
                <w:sz w:val="22"/>
                <w:szCs w:val="22"/>
                <w:spacing w:val="-10"/>
              </w:rPr>
              <w:t>年)</w:t>
            </w:r>
          </w:p>
        </w:tc>
      </w:tr>
      <w:tr>
        <w:trPr>
          <w:trHeight w:val="277" w:hRule="atLeast"/>
        </w:trPr>
        <w:tc>
          <w:tcPr>
            <w:tcW w:w="1543" w:type="dxa"/>
            <w:vAlign w:val="top"/>
            <w:vMerge w:val="continue"/>
            <w:tcBorders>
              <w:top w:val="nil"/>
              <w:bottom w:val="nil"/>
            </w:tcBorders>
          </w:tcPr>
          <w:p>
            <w:pPr>
              <w:rPr>
                <w:rFonts w:ascii="Arial"/>
                <w:sz w:val="21"/>
              </w:rPr>
            </w:pPr>
            <w:r/>
          </w:p>
        </w:tc>
        <w:tc>
          <w:tcPr>
            <w:tcW w:w="1148" w:type="dxa"/>
            <w:vAlign w:val="top"/>
            <w:vMerge w:val="continue"/>
            <w:tcBorders>
              <w:top w:val="nil"/>
              <w:bottom w:val="nil"/>
            </w:tcBorders>
          </w:tcPr>
          <w:p>
            <w:pPr>
              <w:rPr>
                <w:rFonts w:ascii="Arial"/>
                <w:sz w:val="21"/>
              </w:rPr>
            </w:pPr>
            <w:r/>
          </w:p>
        </w:tc>
        <w:tc>
          <w:tcPr>
            <w:tcW w:w="2467" w:type="dxa"/>
            <w:vAlign w:val="top"/>
          </w:tcPr>
          <w:p>
            <w:pPr>
              <w:pStyle w:val="TableText"/>
              <w:ind w:left="453"/>
              <w:spacing w:before="33" w:line="196" w:lineRule="auto"/>
              <w:rPr>
                <w:sz w:val="22"/>
                <w:szCs w:val="22"/>
              </w:rPr>
            </w:pPr>
            <w:r>
              <w:rPr>
                <w:sz w:val="22"/>
                <w:szCs w:val="22"/>
                <w:spacing w:val="6"/>
              </w:rPr>
              <w:t>二区(地域分类)</w:t>
            </w:r>
          </w:p>
        </w:tc>
        <w:tc>
          <w:tcPr>
            <w:tcW w:w="1528" w:type="dxa"/>
            <w:vAlign w:val="top"/>
          </w:tcPr>
          <w:p>
            <w:pPr>
              <w:pStyle w:val="TableText"/>
              <w:ind w:left="596"/>
              <w:spacing w:before="56" w:line="177" w:lineRule="auto"/>
              <w:rPr>
                <w:sz w:val="22"/>
                <w:szCs w:val="22"/>
              </w:rPr>
            </w:pPr>
            <w:r>
              <w:rPr>
                <w:sz w:val="22"/>
                <w:szCs w:val="22"/>
                <w:spacing w:val="-3"/>
              </w:rPr>
              <w:t>232</w:t>
            </w:r>
          </w:p>
        </w:tc>
        <w:tc>
          <w:tcPr>
            <w:tcW w:w="1813" w:type="dxa"/>
            <w:vAlign w:val="top"/>
          </w:tcPr>
          <w:p>
            <w:pPr>
              <w:pStyle w:val="TableText"/>
              <w:ind w:left="349"/>
              <w:spacing w:before="27" w:line="201" w:lineRule="auto"/>
              <w:rPr>
                <w:sz w:val="22"/>
                <w:szCs w:val="22"/>
              </w:rPr>
            </w:pPr>
            <w:r>
              <w:rPr>
                <w:sz w:val="22"/>
                <w:szCs w:val="22"/>
                <w:spacing w:val="-10"/>
              </w:rPr>
              <w:t>g/(人</w:t>
            </w:r>
            <w:r>
              <w:rPr>
                <w:sz w:val="22"/>
                <w:szCs w:val="22"/>
                <w:spacing w:val="-13"/>
              </w:rPr>
              <w:t xml:space="preserve"> </w:t>
            </w:r>
            <w:r>
              <w:rPr>
                <w:sz w:val="22"/>
                <w:szCs w:val="22"/>
                <w:spacing w:val="-10"/>
              </w:rPr>
              <w:t>·</w:t>
            </w:r>
            <w:r>
              <w:rPr>
                <w:sz w:val="22"/>
                <w:szCs w:val="22"/>
                <w:spacing w:val="-90"/>
              </w:rPr>
              <w:t xml:space="preserve"> </w:t>
            </w:r>
            <w:r>
              <w:rPr>
                <w:sz w:val="22"/>
                <w:szCs w:val="22"/>
                <w:spacing w:val="-10"/>
              </w:rPr>
              <w:t>年)</w:t>
            </w:r>
          </w:p>
        </w:tc>
      </w:tr>
      <w:tr>
        <w:trPr>
          <w:trHeight w:val="272" w:hRule="atLeast"/>
        </w:trPr>
        <w:tc>
          <w:tcPr>
            <w:tcW w:w="1543" w:type="dxa"/>
            <w:vAlign w:val="top"/>
            <w:vMerge w:val="continue"/>
            <w:tcBorders>
              <w:top w:val="nil"/>
            </w:tcBorders>
          </w:tcPr>
          <w:p>
            <w:pPr>
              <w:rPr>
                <w:rFonts w:ascii="Arial"/>
                <w:sz w:val="21"/>
              </w:rPr>
            </w:pPr>
            <w:r/>
          </w:p>
        </w:tc>
        <w:tc>
          <w:tcPr>
            <w:tcW w:w="1148" w:type="dxa"/>
            <w:vAlign w:val="top"/>
            <w:vMerge w:val="continue"/>
            <w:tcBorders>
              <w:top w:val="nil"/>
            </w:tcBorders>
          </w:tcPr>
          <w:p>
            <w:pPr>
              <w:rPr>
                <w:rFonts w:ascii="Arial"/>
                <w:sz w:val="21"/>
              </w:rPr>
            </w:pPr>
            <w:r/>
          </w:p>
        </w:tc>
        <w:tc>
          <w:tcPr>
            <w:tcW w:w="2467" w:type="dxa"/>
            <w:vAlign w:val="top"/>
          </w:tcPr>
          <w:p>
            <w:pPr>
              <w:pStyle w:val="TableText"/>
              <w:ind w:left="453"/>
              <w:spacing w:before="36" w:line="189" w:lineRule="auto"/>
              <w:rPr>
                <w:sz w:val="22"/>
                <w:szCs w:val="22"/>
              </w:rPr>
            </w:pPr>
            <w:r>
              <w:rPr>
                <w:sz w:val="22"/>
                <w:szCs w:val="22"/>
                <w:spacing w:val="6"/>
              </w:rPr>
              <w:t>三区(地域分类)</w:t>
            </w:r>
          </w:p>
        </w:tc>
        <w:tc>
          <w:tcPr>
            <w:tcW w:w="1528" w:type="dxa"/>
            <w:vAlign w:val="top"/>
          </w:tcPr>
          <w:p>
            <w:pPr>
              <w:pStyle w:val="TableText"/>
              <w:ind w:left="596"/>
              <w:spacing w:before="59" w:line="170" w:lineRule="auto"/>
              <w:rPr>
                <w:sz w:val="22"/>
                <w:szCs w:val="22"/>
              </w:rPr>
            </w:pPr>
            <w:r>
              <w:rPr>
                <w:sz w:val="22"/>
                <w:szCs w:val="22"/>
                <w:spacing w:val="-3"/>
              </w:rPr>
              <w:t>301</w:t>
            </w:r>
          </w:p>
        </w:tc>
        <w:tc>
          <w:tcPr>
            <w:tcW w:w="1813" w:type="dxa"/>
            <w:vAlign w:val="top"/>
          </w:tcPr>
          <w:p>
            <w:pPr>
              <w:pStyle w:val="TableText"/>
              <w:ind w:left="409"/>
              <w:spacing w:before="29" w:line="195" w:lineRule="auto"/>
              <w:rPr>
                <w:sz w:val="22"/>
                <w:szCs w:val="22"/>
              </w:rPr>
            </w:pPr>
            <w:r>
              <w:rPr>
                <w:sz w:val="22"/>
                <w:szCs w:val="22"/>
                <w:color w:val="504040"/>
                <w:spacing w:val="-12"/>
              </w:rPr>
              <w:t>g(人</w:t>
            </w:r>
            <w:r>
              <w:rPr>
                <w:sz w:val="22"/>
                <w:szCs w:val="22"/>
                <w:color w:val="504040"/>
                <w:spacing w:val="-13"/>
              </w:rPr>
              <w:t xml:space="preserve"> </w:t>
            </w:r>
            <w:r>
              <w:rPr>
                <w:sz w:val="22"/>
                <w:szCs w:val="22"/>
                <w:color w:val="504040"/>
                <w:spacing w:val="-12"/>
              </w:rPr>
              <w:t>·</w:t>
            </w:r>
            <w:r>
              <w:rPr>
                <w:sz w:val="22"/>
                <w:szCs w:val="22"/>
                <w:color w:val="504040"/>
                <w:spacing w:val="-88"/>
              </w:rPr>
              <w:t xml:space="preserve"> </w:t>
            </w:r>
            <w:r>
              <w:rPr>
                <w:sz w:val="22"/>
                <w:szCs w:val="22"/>
                <w:color w:val="504040"/>
                <w:spacing w:val="-12"/>
              </w:rPr>
              <w:t>年)</w:t>
            </w:r>
          </w:p>
        </w:tc>
      </w:tr>
    </w:tbl>
    <w:p>
      <w:pPr>
        <w:ind w:left="575"/>
        <w:spacing w:before="55" w:line="219" w:lineRule="auto"/>
        <w:rPr>
          <w:rFonts w:ascii="SimSun" w:hAnsi="SimSun" w:eastAsia="SimSun" w:cs="SimSun"/>
          <w:sz w:val="24"/>
          <w:szCs w:val="24"/>
        </w:rPr>
      </w:pPr>
      <w:r>
        <w:rPr>
          <w:rFonts w:ascii="SimSun" w:hAnsi="SimSun" w:eastAsia="SimSun" w:cs="SimSun"/>
          <w:sz w:val="24"/>
          <w:szCs w:val="24"/>
          <w:spacing w:val="1"/>
        </w:rPr>
        <w:t>经查阅《排放源统计调查产排污核算方法和系数</w:t>
      </w:r>
      <w:r>
        <w:rPr>
          <w:rFonts w:ascii="SimSun" w:hAnsi="SimSun" w:eastAsia="SimSun" w:cs="SimSun"/>
          <w:sz w:val="24"/>
          <w:szCs w:val="24"/>
        </w:rPr>
        <w:t>手册-生活污染源产排污系</w:t>
      </w:r>
    </w:p>
    <w:p>
      <w:pPr>
        <w:spacing w:line="219" w:lineRule="auto"/>
        <w:sectPr>
          <w:headerReference w:type="default" r:id="rId332"/>
          <w:footerReference w:type="default" r:id="rId333"/>
          <w:pgSz w:w="11910" w:h="16840"/>
          <w:pgMar w:top="1216" w:right="1715" w:bottom="993" w:left="1685" w:header="877" w:footer="778" w:gutter="0"/>
        </w:sectPr>
        <w:rPr>
          <w:rFonts w:ascii="SimSun" w:hAnsi="SimSun" w:eastAsia="SimSun" w:cs="SimSun"/>
          <w:sz w:val="24"/>
          <w:szCs w:val="24"/>
        </w:rPr>
      </w:pPr>
    </w:p>
    <w:p>
      <w:pPr>
        <w:ind w:left="94" w:right="245"/>
        <w:spacing w:before="275" w:line="354" w:lineRule="auto"/>
        <w:rPr>
          <w:rFonts w:ascii="SimSun" w:hAnsi="SimSun" w:eastAsia="SimSun" w:cs="SimSun"/>
          <w:sz w:val="24"/>
          <w:szCs w:val="24"/>
        </w:rPr>
      </w:pPr>
      <w:r>
        <w:rPr>
          <w:rFonts w:ascii="SimSun" w:hAnsi="SimSun" w:eastAsia="SimSun" w:cs="SimSun"/>
          <w:sz w:val="24"/>
          <w:szCs w:val="24"/>
        </w:rPr>
        <w:t>数手册》,四川省属于“三区”,则油烟产生量为0.06t/a,速率为0.03kg/h。本</w:t>
      </w:r>
      <w:r>
        <w:rPr>
          <w:rFonts w:ascii="SimSun" w:hAnsi="SimSun" w:eastAsia="SimSun" w:cs="SimSun"/>
          <w:sz w:val="24"/>
          <w:szCs w:val="24"/>
          <w:spacing w:val="18"/>
        </w:rPr>
        <w:t xml:space="preserve"> </w:t>
      </w:r>
      <w:r>
        <w:rPr>
          <w:rFonts w:ascii="SimSun" w:hAnsi="SimSun" w:eastAsia="SimSun" w:cs="SimSun"/>
          <w:sz w:val="24"/>
          <w:szCs w:val="24"/>
          <w:spacing w:val="8"/>
        </w:rPr>
        <w:t>项目食堂内拟设有6个灶头，根据《饮食业油烟排放标准(试行)》</w:t>
      </w:r>
    </w:p>
    <w:p>
      <w:pPr>
        <w:ind w:left="94" w:right="334" w:firstLine="140"/>
        <w:spacing w:line="367" w:lineRule="auto"/>
        <w:rPr>
          <w:rFonts w:ascii="SimSun" w:hAnsi="SimSun" w:eastAsia="SimSun" w:cs="SimSun"/>
          <w:sz w:val="24"/>
          <w:szCs w:val="24"/>
        </w:rPr>
      </w:pPr>
      <w:r>
        <w:rPr>
          <w:rFonts w:ascii="Times New Roman" w:hAnsi="Times New Roman" w:eastAsia="Times New Roman" w:cs="Times New Roman"/>
          <w:sz w:val="24"/>
          <w:szCs w:val="24"/>
        </w:rPr>
        <w:t>(GB18483-2001),      </w:t>
      </w:r>
      <w:r>
        <w:rPr>
          <w:rFonts w:ascii="SimSun" w:hAnsi="SimSun" w:eastAsia="SimSun" w:cs="SimSun"/>
          <w:sz w:val="24"/>
          <w:szCs w:val="24"/>
        </w:rPr>
        <w:t>基准灶头数≥6属于大型规模饮食业单位，油烟</w:t>
      </w:r>
      <w:r>
        <w:rPr>
          <w:rFonts w:ascii="SimSun" w:hAnsi="SimSun" w:eastAsia="SimSun" w:cs="SimSun"/>
          <w:sz w:val="24"/>
          <w:szCs w:val="24"/>
          <w:spacing w:val="-1"/>
        </w:rPr>
        <w:t>最高允许</w:t>
      </w:r>
      <w:r>
        <w:rPr>
          <w:rFonts w:ascii="SimSun" w:hAnsi="SimSun" w:eastAsia="SimSun" w:cs="SimSun"/>
          <w:sz w:val="24"/>
          <w:szCs w:val="24"/>
        </w:rPr>
        <w:t xml:space="preserve"> </w:t>
      </w:r>
      <w:r>
        <w:rPr>
          <w:rFonts w:ascii="SimSun" w:hAnsi="SimSun" w:eastAsia="SimSun" w:cs="SimSun"/>
          <w:sz w:val="24"/>
          <w:szCs w:val="24"/>
          <w:spacing w:val="1"/>
        </w:rPr>
        <w:t>排放浓度为2.0</w:t>
      </w:r>
      <w:r>
        <w:rPr>
          <w:rFonts w:ascii="Times New Roman" w:hAnsi="Times New Roman" w:eastAsia="Times New Roman" w:cs="Times New Roman"/>
          <w:sz w:val="24"/>
          <w:szCs w:val="24"/>
        </w:rPr>
        <w:t>mg</w:t>
      </w:r>
      <w:r>
        <w:rPr>
          <w:rFonts w:ascii="Times New Roman" w:hAnsi="Times New Roman" w:eastAsia="Times New Roman" w:cs="Times New Roman"/>
          <w:sz w:val="24"/>
          <w:szCs w:val="24"/>
          <w:spacing w:val="1"/>
        </w:rPr>
        <w:t>/m³,</w:t>
      </w:r>
      <w:r>
        <w:rPr>
          <w:rFonts w:ascii="Times New Roman" w:hAnsi="Times New Roman" w:eastAsia="Times New Roman" w:cs="Times New Roman"/>
          <w:sz w:val="24"/>
          <w:szCs w:val="24"/>
          <w:spacing w:val="23"/>
        </w:rPr>
        <w:t xml:space="preserve">  </w:t>
      </w:r>
      <w:r>
        <w:rPr>
          <w:rFonts w:ascii="SimSun" w:hAnsi="SimSun" w:eastAsia="SimSun" w:cs="SimSun"/>
          <w:sz w:val="24"/>
          <w:szCs w:val="24"/>
          <w:spacing w:val="1"/>
        </w:rPr>
        <w:t>净化设施最低去除效率不得低于85%。</w:t>
      </w:r>
    </w:p>
    <w:p>
      <w:pPr>
        <w:ind w:left="94" w:right="260" w:firstLine="490"/>
        <w:spacing w:before="12" w:line="340" w:lineRule="auto"/>
        <w:rPr>
          <w:rFonts w:ascii="SimSun" w:hAnsi="SimSun" w:eastAsia="SimSun" w:cs="SimSun"/>
          <w:sz w:val="24"/>
          <w:szCs w:val="24"/>
        </w:rPr>
      </w:pPr>
      <w:r>
        <w:rPr>
          <w:rFonts w:ascii="SimSun" w:hAnsi="SimSun" w:eastAsia="SimSun" w:cs="SimSun"/>
          <w:sz w:val="24"/>
          <w:szCs w:val="24"/>
          <w:spacing w:val="2"/>
        </w:rPr>
        <w:t>本项目拟设置油烟废气处理效率为不低于85%的油烟净化装置，处理后引</w:t>
      </w:r>
      <w:r>
        <w:rPr>
          <w:rFonts w:ascii="SimSun" w:hAnsi="SimSun" w:eastAsia="SimSun" w:cs="SimSun"/>
          <w:sz w:val="24"/>
          <w:szCs w:val="24"/>
          <w:spacing w:val="14"/>
        </w:rPr>
        <w:t xml:space="preserve"> </w:t>
      </w:r>
      <w:r>
        <w:rPr>
          <w:rFonts w:ascii="SimSun" w:hAnsi="SimSun" w:eastAsia="SimSun" w:cs="SimSun"/>
          <w:sz w:val="24"/>
          <w:szCs w:val="24"/>
          <w:spacing w:val="5"/>
        </w:rPr>
        <w:t>至楼顶</w:t>
      </w:r>
      <w:r>
        <w:rPr>
          <w:rFonts w:ascii="SimSun" w:hAnsi="SimSun" w:eastAsia="SimSun" w:cs="SimSun"/>
          <w:sz w:val="24"/>
          <w:szCs w:val="24"/>
          <w:spacing w:val="-29"/>
        </w:rPr>
        <w:t xml:space="preserve"> </w:t>
      </w:r>
      <w:r>
        <w:rPr>
          <w:rFonts w:ascii="Times New Roman" w:hAnsi="Times New Roman" w:eastAsia="Times New Roman" w:cs="Times New Roman"/>
          <w:sz w:val="24"/>
          <w:szCs w:val="24"/>
          <w:spacing w:val="5"/>
        </w:rPr>
        <w:t>(</w:t>
      </w:r>
      <w:r>
        <w:rPr>
          <w:rFonts w:ascii="Times New Roman" w:hAnsi="Times New Roman" w:eastAsia="Times New Roman" w:cs="Times New Roman"/>
          <w:sz w:val="24"/>
          <w:szCs w:val="24"/>
        </w:rPr>
        <w:t>DA</w:t>
      </w:r>
      <w:r>
        <w:rPr>
          <w:rFonts w:ascii="Times New Roman" w:hAnsi="Times New Roman" w:eastAsia="Times New Roman" w:cs="Times New Roman"/>
          <w:sz w:val="24"/>
          <w:szCs w:val="24"/>
          <w:spacing w:val="5"/>
        </w:rPr>
        <w:t>006)   </w:t>
      </w:r>
      <w:r>
        <w:rPr>
          <w:rFonts w:ascii="SimSun" w:hAnsi="SimSun" w:eastAsia="SimSun" w:cs="SimSun"/>
          <w:sz w:val="24"/>
          <w:szCs w:val="24"/>
          <w:spacing w:val="5"/>
        </w:rPr>
        <w:t>达标排放，每个灶头的标准排风量2000</w:t>
      </w:r>
      <w:r>
        <w:rPr>
          <w:rFonts w:ascii="Times New Roman" w:hAnsi="Times New Roman" w:eastAsia="Times New Roman" w:cs="Times New Roman"/>
          <w:sz w:val="24"/>
          <w:szCs w:val="24"/>
          <w:spacing w:val="5"/>
        </w:rPr>
        <w:t>m³/h  </w:t>
      </w:r>
      <w:r>
        <w:rPr>
          <w:rFonts w:ascii="SimSun" w:hAnsi="SimSun" w:eastAsia="SimSun" w:cs="SimSun"/>
          <w:sz w:val="24"/>
          <w:szCs w:val="24"/>
          <w:spacing w:val="5"/>
        </w:rPr>
        <w:t>(共6个灶头),</w:t>
      </w:r>
      <w:r>
        <w:rPr>
          <w:rFonts w:ascii="SimSun" w:hAnsi="SimSun" w:eastAsia="SimSun" w:cs="SimSun"/>
          <w:sz w:val="24"/>
          <w:szCs w:val="24"/>
        </w:rPr>
        <w:t xml:space="preserve"> </w:t>
      </w:r>
      <w:r>
        <w:rPr>
          <w:rFonts w:ascii="SimSun" w:hAnsi="SimSun" w:eastAsia="SimSun" w:cs="SimSun"/>
          <w:sz w:val="24"/>
          <w:szCs w:val="24"/>
          <w:spacing w:val="-2"/>
        </w:rPr>
        <w:t>则食堂油烟有组织排放量为0.009</w:t>
      </w:r>
      <w:r>
        <w:rPr>
          <w:rFonts w:ascii="Times New Roman" w:hAnsi="Times New Roman" w:eastAsia="Times New Roman" w:cs="Times New Roman"/>
          <w:sz w:val="24"/>
          <w:szCs w:val="24"/>
          <w:spacing w:val="-2"/>
        </w:rPr>
        <w:t>t/a,   </w:t>
      </w:r>
      <w:r>
        <w:rPr>
          <w:rFonts w:ascii="SimSun" w:hAnsi="SimSun" w:eastAsia="SimSun" w:cs="SimSun"/>
          <w:sz w:val="24"/>
          <w:szCs w:val="24"/>
          <w:spacing w:val="-2"/>
        </w:rPr>
        <w:t>排放速率为0.</w:t>
      </w:r>
      <w:r>
        <w:rPr>
          <w:rFonts w:ascii="SimSun" w:hAnsi="SimSun" w:eastAsia="SimSun" w:cs="SimSun"/>
          <w:sz w:val="24"/>
          <w:szCs w:val="24"/>
          <w:spacing w:val="-3"/>
        </w:rPr>
        <w:t>004</w:t>
      </w:r>
      <w:r>
        <w:rPr>
          <w:rFonts w:ascii="Times New Roman" w:hAnsi="Times New Roman" w:eastAsia="Times New Roman" w:cs="Times New Roman"/>
          <w:sz w:val="24"/>
          <w:szCs w:val="24"/>
          <w:spacing w:val="-3"/>
        </w:rPr>
        <w:t>kg/h,</w:t>
      </w:r>
      <w:r>
        <w:rPr>
          <w:rFonts w:ascii="Times New Roman" w:hAnsi="Times New Roman" w:eastAsia="Times New Roman" w:cs="Times New Roman"/>
          <w:sz w:val="24"/>
          <w:szCs w:val="24"/>
          <w:spacing w:val="22"/>
          <w:w w:val="101"/>
        </w:rPr>
        <w:t xml:space="preserve">  </w:t>
      </w:r>
      <w:r>
        <w:rPr>
          <w:rFonts w:ascii="SimSun" w:hAnsi="SimSun" w:eastAsia="SimSun" w:cs="SimSun"/>
          <w:sz w:val="24"/>
          <w:szCs w:val="24"/>
          <w:spacing w:val="-3"/>
        </w:rPr>
        <w:t>排放浓度为</w:t>
      </w:r>
    </w:p>
    <w:p>
      <w:pPr>
        <w:ind w:left="94" w:right="361"/>
        <w:spacing w:before="35" w:line="363" w:lineRule="auto"/>
        <w:rPr>
          <w:rFonts w:ascii="SimSun" w:hAnsi="SimSun" w:eastAsia="SimSun" w:cs="SimSun"/>
          <w:sz w:val="24"/>
          <w:szCs w:val="24"/>
        </w:rPr>
      </w:pPr>
      <w:r>
        <w:rPr>
          <w:rFonts w:ascii="Times New Roman" w:hAnsi="Times New Roman" w:eastAsia="Times New Roman" w:cs="Times New Roman"/>
          <w:sz w:val="24"/>
          <w:szCs w:val="24"/>
          <w:spacing w:val="4"/>
        </w:rPr>
        <w:t>0.3</w:t>
      </w:r>
      <w:r>
        <w:rPr>
          <w:rFonts w:ascii="Times New Roman" w:hAnsi="Times New Roman" w:eastAsia="Times New Roman" w:cs="Times New Roman"/>
          <w:sz w:val="24"/>
          <w:szCs w:val="24"/>
        </w:rPr>
        <w:t>mg</w:t>
      </w:r>
      <w:r>
        <w:rPr>
          <w:rFonts w:ascii="Times New Roman" w:hAnsi="Times New Roman" w:eastAsia="Times New Roman" w:cs="Times New Roman"/>
          <w:sz w:val="24"/>
          <w:szCs w:val="24"/>
          <w:spacing w:val="4"/>
        </w:rPr>
        <w:t>/m³,   </w:t>
      </w:r>
      <w:r>
        <w:rPr>
          <w:rFonts w:ascii="SimSun" w:hAnsi="SimSun" w:eastAsia="SimSun" w:cs="SimSun"/>
          <w:sz w:val="24"/>
          <w:szCs w:val="24"/>
          <w:spacing w:val="4"/>
        </w:rPr>
        <w:t>满足《饮食业油烟排放标准(试行)》</w:t>
      </w:r>
      <w:r>
        <w:rPr>
          <w:rFonts w:ascii="SimSun" w:hAnsi="SimSun" w:eastAsia="SimSun" w:cs="SimSun"/>
          <w:sz w:val="24"/>
          <w:szCs w:val="24"/>
          <w:spacing w:val="73"/>
        </w:rPr>
        <w:t xml:space="preserve"> </w:t>
      </w:r>
      <w:r>
        <w:rPr>
          <w:rFonts w:ascii="Times New Roman" w:hAnsi="Times New Roman" w:eastAsia="Times New Roman" w:cs="Times New Roman"/>
          <w:sz w:val="24"/>
          <w:szCs w:val="24"/>
          <w:spacing w:val="4"/>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4"/>
        </w:rPr>
        <w:t>18483-2001)   </w:t>
      </w:r>
      <w:r>
        <w:rPr>
          <w:rFonts w:ascii="SimSun" w:hAnsi="SimSun" w:eastAsia="SimSun" w:cs="SimSun"/>
          <w:sz w:val="24"/>
          <w:szCs w:val="24"/>
          <w:spacing w:val="4"/>
        </w:rPr>
        <w:t>中表2限</w:t>
      </w:r>
      <w:r>
        <w:rPr>
          <w:rFonts w:ascii="SimSun" w:hAnsi="SimSun" w:eastAsia="SimSun" w:cs="SimSun"/>
          <w:sz w:val="24"/>
          <w:szCs w:val="24"/>
        </w:rPr>
        <w:t xml:space="preserve"> </w:t>
      </w:r>
      <w:r>
        <w:rPr>
          <w:rFonts w:ascii="SimSun" w:hAnsi="SimSun" w:eastAsia="SimSun" w:cs="SimSun"/>
          <w:sz w:val="24"/>
          <w:szCs w:val="24"/>
          <w:spacing w:val="2"/>
        </w:rPr>
        <w:t>值要求(最高允许排放浓度2.0</w:t>
      </w:r>
      <w:r>
        <w:rPr>
          <w:rFonts w:ascii="SimSun" w:hAnsi="SimSun" w:eastAsia="SimSun" w:cs="SimSun"/>
          <w:sz w:val="24"/>
          <w:szCs w:val="24"/>
        </w:rPr>
        <w:t>mg</w:t>
      </w:r>
      <w:r>
        <w:rPr>
          <w:rFonts w:ascii="SimSun" w:hAnsi="SimSun" w:eastAsia="SimSun" w:cs="SimSun"/>
          <w:sz w:val="24"/>
          <w:szCs w:val="24"/>
          <w:spacing w:val="2"/>
        </w:rPr>
        <w:t>/m³),  对区域环境</w:t>
      </w:r>
      <w:r>
        <w:rPr>
          <w:rFonts w:ascii="SimSun" w:hAnsi="SimSun" w:eastAsia="SimSun" w:cs="SimSun"/>
          <w:sz w:val="24"/>
          <w:szCs w:val="24"/>
          <w:spacing w:val="1"/>
        </w:rPr>
        <w:t>影响很小。</w:t>
      </w:r>
    </w:p>
    <w:p>
      <w:pPr>
        <w:ind w:left="588"/>
        <w:spacing w:line="218" w:lineRule="auto"/>
        <w:rPr>
          <w:rFonts w:ascii="SimSun" w:hAnsi="SimSun" w:eastAsia="SimSun" w:cs="SimSun"/>
          <w:sz w:val="24"/>
          <w:szCs w:val="24"/>
        </w:rPr>
      </w:pPr>
      <w:r>
        <w:rPr>
          <w:rFonts w:ascii="SimSun" w:hAnsi="SimSun" w:eastAsia="SimSun" w:cs="SimSun"/>
          <w:sz w:val="24"/>
          <w:szCs w:val="24"/>
          <w:b/>
          <w:bCs/>
          <w:spacing w:val="-1"/>
        </w:rPr>
        <w:t>5、备用柴油发电机烟气</w:t>
      </w:r>
    </w:p>
    <w:p>
      <w:pPr>
        <w:ind w:left="94" w:right="146" w:firstLine="490"/>
        <w:spacing w:before="188" w:line="377" w:lineRule="auto"/>
        <w:rPr>
          <w:rFonts w:ascii="SimSun" w:hAnsi="SimSun" w:eastAsia="SimSun" w:cs="SimSun"/>
          <w:sz w:val="19"/>
          <w:szCs w:val="19"/>
        </w:rPr>
      </w:pPr>
      <w:r>
        <w:rPr>
          <w:rFonts w:ascii="SimSun" w:hAnsi="SimSun" w:eastAsia="SimSun" w:cs="SimSun"/>
          <w:sz w:val="24"/>
          <w:szCs w:val="24"/>
        </w:rPr>
        <w:t>项目发电机房配置1台250</w:t>
      </w:r>
      <w:r>
        <w:rPr>
          <w:rFonts w:ascii="Times New Roman" w:hAnsi="Times New Roman" w:eastAsia="Times New Roman" w:cs="Times New Roman"/>
          <w:sz w:val="24"/>
          <w:szCs w:val="24"/>
        </w:rPr>
        <w:t>kw</w:t>
      </w:r>
      <w:r>
        <w:rPr>
          <w:rFonts w:ascii="SimSun" w:hAnsi="SimSun" w:eastAsia="SimSun" w:cs="SimSun"/>
          <w:sz w:val="24"/>
          <w:szCs w:val="24"/>
        </w:rPr>
        <w:t>自启动柴油发电机组，仅停电时使用。发电机</w:t>
      </w:r>
      <w:r>
        <w:rPr>
          <w:rFonts w:ascii="SimSun" w:hAnsi="SimSun" w:eastAsia="SimSun" w:cs="SimSun"/>
          <w:sz w:val="24"/>
          <w:szCs w:val="24"/>
          <w:spacing w:val="4"/>
        </w:rPr>
        <w:t xml:space="preserve"> </w:t>
      </w:r>
      <w:r>
        <w:rPr>
          <w:rFonts w:ascii="SimSun" w:hAnsi="SimSun" w:eastAsia="SimSun" w:cs="SimSun"/>
          <w:sz w:val="24"/>
          <w:szCs w:val="24"/>
        </w:rPr>
        <w:t>使用频率较低，采用清洁燃料0#柴油，通过规范操</w:t>
      </w:r>
      <w:r>
        <w:rPr>
          <w:rFonts w:ascii="SimSun" w:hAnsi="SimSun" w:eastAsia="SimSun" w:cs="SimSun"/>
          <w:sz w:val="24"/>
          <w:szCs w:val="24"/>
          <w:spacing w:val="-1"/>
        </w:rPr>
        <w:t>作、控制好燃烧状况，燃烧</w:t>
      </w:r>
      <w:r>
        <w:rPr>
          <w:rFonts w:ascii="SimSun" w:hAnsi="SimSun" w:eastAsia="SimSun" w:cs="SimSun"/>
          <w:sz w:val="24"/>
          <w:szCs w:val="24"/>
        </w:rPr>
        <w:t xml:space="preserve">  </w:t>
      </w:r>
      <w:r>
        <w:rPr>
          <w:rFonts w:ascii="SimSun" w:hAnsi="SimSun" w:eastAsia="SimSun" w:cs="SimSun"/>
          <w:sz w:val="24"/>
          <w:szCs w:val="24"/>
          <w:spacing w:val="-2"/>
        </w:rPr>
        <w:t>废气中的主要污染物烟尘、</w:t>
      </w:r>
      <w:r>
        <w:rPr>
          <w:rFonts w:ascii="Times New Roman" w:hAnsi="Times New Roman" w:eastAsia="Times New Roman" w:cs="Times New Roman"/>
          <w:sz w:val="24"/>
          <w:szCs w:val="24"/>
          <w:spacing w:val="-2"/>
        </w:rPr>
        <w:t>NOx</w:t>
      </w:r>
      <w:r>
        <w:rPr>
          <w:rFonts w:ascii="Times New Roman" w:hAnsi="Times New Roman" w:eastAsia="Times New Roman" w:cs="Times New Roman"/>
          <w:sz w:val="24"/>
          <w:szCs w:val="24"/>
          <w:spacing w:val="-34"/>
        </w:rPr>
        <w:t xml:space="preserve"> </w:t>
      </w:r>
      <w:r>
        <w:rPr>
          <w:rFonts w:ascii="SimSun" w:hAnsi="SimSun" w:eastAsia="SimSun" w:cs="SimSun"/>
          <w:sz w:val="24"/>
          <w:szCs w:val="24"/>
          <w:spacing w:val="-2"/>
        </w:rPr>
        <w:t>、</w:t>
      </w:r>
      <w:r>
        <w:rPr>
          <w:rFonts w:ascii="Times New Roman" w:hAnsi="Times New Roman" w:eastAsia="Times New Roman" w:cs="Times New Roman"/>
          <w:sz w:val="24"/>
          <w:szCs w:val="24"/>
          <w:spacing w:val="-2"/>
        </w:rPr>
        <w:t>SO₂</w:t>
      </w:r>
      <w:r>
        <w:rPr>
          <w:rFonts w:ascii="Times New Roman" w:hAnsi="Times New Roman" w:eastAsia="Times New Roman" w:cs="Times New Roman"/>
          <w:sz w:val="24"/>
          <w:szCs w:val="24"/>
          <w:spacing w:val="-18"/>
        </w:rPr>
        <w:t xml:space="preserve"> </w:t>
      </w:r>
      <w:r>
        <w:rPr>
          <w:rFonts w:ascii="SimSun" w:hAnsi="SimSun" w:eastAsia="SimSun" w:cs="SimSun"/>
          <w:sz w:val="24"/>
          <w:szCs w:val="24"/>
          <w:spacing w:val="-2"/>
        </w:rPr>
        <w:t>经设备自带废气处理设施处理后引至</w:t>
      </w:r>
      <w:r>
        <w:rPr>
          <w:rFonts w:ascii="SimSun" w:hAnsi="SimSun" w:eastAsia="SimSun" w:cs="SimSun"/>
          <w:sz w:val="24"/>
          <w:szCs w:val="24"/>
          <w:spacing w:val="-3"/>
        </w:rPr>
        <w:t>屋顶</w:t>
      </w:r>
      <w:r>
        <w:rPr>
          <w:rFonts w:ascii="SimSun" w:hAnsi="SimSun" w:eastAsia="SimSun" w:cs="SimSun"/>
          <w:sz w:val="24"/>
          <w:szCs w:val="24"/>
        </w:rPr>
        <w:t xml:space="preserve"> </w:t>
      </w:r>
      <w:r>
        <w:rPr>
          <w:rFonts w:ascii="SimSun" w:hAnsi="SimSun" w:eastAsia="SimSun" w:cs="SimSun"/>
          <w:sz w:val="19"/>
          <w:szCs w:val="19"/>
          <w:spacing w:val="-5"/>
        </w:rPr>
        <w:t>排</w:t>
      </w:r>
      <w:r>
        <w:rPr>
          <w:rFonts w:ascii="SimSun" w:hAnsi="SimSun" w:eastAsia="SimSun" w:cs="SimSun"/>
          <w:sz w:val="19"/>
          <w:szCs w:val="19"/>
          <w:spacing w:val="-13"/>
        </w:rPr>
        <w:t xml:space="preserve"> </w:t>
      </w:r>
      <w:r>
        <w:rPr>
          <w:rFonts w:ascii="SimSun" w:hAnsi="SimSun" w:eastAsia="SimSun" w:cs="SimSun"/>
          <w:sz w:val="19"/>
          <w:szCs w:val="19"/>
          <w:spacing w:val="-5"/>
        </w:rPr>
        <w:t>放</w:t>
      </w:r>
      <w:r>
        <w:rPr>
          <w:rFonts w:ascii="SimSun" w:hAnsi="SimSun" w:eastAsia="SimSun" w:cs="SimSun"/>
          <w:sz w:val="19"/>
          <w:szCs w:val="19"/>
          <w:spacing w:val="-20"/>
        </w:rPr>
        <w:t xml:space="preserve"> </w:t>
      </w:r>
      <w:r>
        <w:rPr>
          <w:rFonts w:ascii="SimSun" w:hAnsi="SimSun" w:eastAsia="SimSun" w:cs="SimSun"/>
          <w:sz w:val="19"/>
          <w:szCs w:val="19"/>
          <w:spacing w:val="-5"/>
        </w:rPr>
        <w:t>。</w:t>
      </w:r>
    </w:p>
    <w:p>
      <w:pPr>
        <w:ind w:left="538"/>
        <w:spacing w:before="1" w:line="219" w:lineRule="auto"/>
        <w:rPr>
          <w:rFonts w:ascii="SimSun" w:hAnsi="SimSun" w:eastAsia="SimSun" w:cs="SimSun"/>
          <w:sz w:val="24"/>
          <w:szCs w:val="24"/>
        </w:rPr>
      </w:pPr>
      <w:r>
        <w:rPr>
          <w:rFonts w:ascii="SimSun" w:hAnsi="SimSun" w:eastAsia="SimSun" w:cs="SimSun"/>
          <w:sz w:val="24"/>
          <w:szCs w:val="24"/>
          <w:b/>
          <w:bCs/>
          <w:spacing w:val="-2"/>
        </w:rPr>
        <w:t>6、废气产生及排放情况</w:t>
      </w:r>
    </w:p>
    <w:p>
      <w:pPr>
        <w:ind w:left="585"/>
        <w:spacing w:before="198" w:line="219" w:lineRule="auto"/>
        <w:rPr>
          <w:rFonts w:ascii="SimSun" w:hAnsi="SimSun" w:eastAsia="SimSun" w:cs="SimSun"/>
          <w:sz w:val="24"/>
          <w:szCs w:val="24"/>
        </w:rPr>
      </w:pPr>
      <w:r>
        <w:rPr>
          <w:rFonts w:ascii="SimSun" w:hAnsi="SimSun" w:eastAsia="SimSun" w:cs="SimSun"/>
          <w:sz w:val="24"/>
          <w:szCs w:val="24"/>
          <w:spacing w:val="-3"/>
        </w:rPr>
        <w:t>综上所述，项目废气产生及排放情况见下表。</w:t>
      </w:r>
    </w:p>
    <w:p>
      <w:pPr>
        <w:ind w:left="2218"/>
        <w:spacing w:before="170" w:line="217" w:lineRule="auto"/>
        <w:rPr>
          <w:rFonts w:ascii="SimSun" w:hAnsi="SimSun" w:eastAsia="SimSun" w:cs="SimSun"/>
          <w:sz w:val="23"/>
          <w:szCs w:val="23"/>
        </w:rPr>
      </w:pPr>
      <w:r>
        <w:rPr>
          <w:rFonts w:ascii="SimSun" w:hAnsi="SimSun" w:eastAsia="SimSun" w:cs="SimSun"/>
          <w:sz w:val="23"/>
          <w:szCs w:val="23"/>
          <w:b/>
          <w:bCs/>
          <w:spacing w:val="-3"/>
        </w:rPr>
        <w:t>表3.11-28有组织排放口基本信息一览表</w:t>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83"/>
        <w:gridCol w:w="669"/>
        <w:gridCol w:w="459"/>
        <w:gridCol w:w="429"/>
        <w:gridCol w:w="480"/>
        <w:gridCol w:w="639"/>
        <w:gridCol w:w="1149"/>
        <w:gridCol w:w="1089"/>
        <w:gridCol w:w="2312"/>
      </w:tblGrid>
      <w:tr>
        <w:trPr>
          <w:trHeight w:val="284" w:hRule="atLeast"/>
        </w:trPr>
        <w:tc>
          <w:tcPr>
            <w:shd w:val="clear" w:fill="BDBDBD"/>
            <w:tcW w:w="1283" w:type="dxa"/>
            <w:vAlign w:val="top"/>
            <w:vMerge w:val="restart"/>
            <w:tcBorders>
              <w:bottom w:val="nil"/>
            </w:tcBorders>
          </w:tcPr>
          <w:p>
            <w:pPr>
              <w:pStyle w:val="TableText"/>
              <w:ind w:left="427"/>
              <w:spacing w:before="180" w:line="219" w:lineRule="auto"/>
              <w:rPr>
                <w:sz w:val="21"/>
                <w:szCs w:val="21"/>
              </w:rPr>
            </w:pPr>
            <w:r>
              <w:rPr>
                <w:sz w:val="21"/>
                <w:szCs w:val="21"/>
                <w:b/>
                <w:bCs/>
                <w:spacing w:val="-5"/>
              </w:rPr>
              <w:t>产污</w:t>
            </w:r>
          </w:p>
          <w:p>
            <w:pPr>
              <w:pStyle w:val="TableText"/>
              <w:ind w:left="427"/>
              <w:spacing w:before="21" w:line="220" w:lineRule="auto"/>
              <w:rPr>
                <w:sz w:val="21"/>
                <w:szCs w:val="21"/>
              </w:rPr>
            </w:pPr>
            <w:r>
              <w:rPr>
                <w:sz w:val="21"/>
                <w:szCs w:val="21"/>
                <w:b/>
                <w:bCs/>
                <w:spacing w:val="-5"/>
              </w:rPr>
              <w:t>环节</w:t>
            </w:r>
          </w:p>
        </w:tc>
        <w:tc>
          <w:tcPr>
            <w:shd w:val="clear" w:fill="BDBDBD"/>
            <w:tcW w:w="669" w:type="dxa"/>
            <w:vAlign w:val="top"/>
            <w:vMerge w:val="restart"/>
            <w:tcBorders>
              <w:bottom w:val="nil"/>
            </w:tcBorders>
          </w:tcPr>
          <w:p>
            <w:pPr>
              <w:pStyle w:val="TableText"/>
              <w:ind w:left="14"/>
              <w:spacing w:before="43" w:line="234" w:lineRule="auto"/>
              <w:jc w:val="both"/>
              <w:rPr>
                <w:sz w:val="21"/>
                <w:szCs w:val="21"/>
              </w:rPr>
            </w:pPr>
            <w:r>
              <w:rPr>
                <w:sz w:val="21"/>
                <w:szCs w:val="21"/>
                <w:b/>
                <w:bCs/>
                <w:spacing w:val="2"/>
              </w:rPr>
              <w:t>排放口</w:t>
            </w:r>
            <w:r>
              <w:rPr>
                <w:sz w:val="21"/>
                <w:szCs w:val="21"/>
              </w:rPr>
              <w:t xml:space="preserve"> </w:t>
            </w:r>
            <w:r>
              <w:rPr>
                <w:sz w:val="21"/>
                <w:szCs w:val="21"/>
                <w:b/>
                <w:bCs/>
                <w:spacing w:val="-10"/>
              </w:rPr>
              <w:t>编号或</w:t>
            </w:r>
            <w:r>
              <w:rPr>
                <w:sz w:val="21"/>
                <w:szCs w:val="21"/>
                <w:spacing w:val="1"/>
              </w:rPr>
              <w:t xml:space="preserve"> </w:t>
            </w:r>
            <w:r>
              <w:rPr>
                <w:sz w:val="21"/>
                <w:szCs w:val="21"/>
                <w:b/>
                <w:bCs/>
                <w:spacing w:val="38"/>
              </w:rPr>
              <w:t>名称</w:t>
            </w:r>
          </w:p>
        </w:tc>
        <w:tc>
          <w:tcPr>
            <w:shd w:val="clear" w:fill="BDBDBD"/>
            <w:tcW w:w="6557" w:type="dxa"/>
            <w:vAlign w:val="top"/>
            <w:gridSpan w:val="7"/>
          </w:tcPr>
          <w:p>
            <w:pPr>
              <w:pStyle w:val="TableText"/>
              <w:ind w:left="2525"/>
              <w:spacing w:before="39" w:line="206" w:lineRule="auto"/>
              <w:rPr>
                <w:sz w:val="21"/>
                <w:szCs w:val="21"/>
              </w:rPr>
            </w:pPr>
            <w:r>
              <w:rPr>
                <w:sz w:val="21"/>
                <w:szCs w:val="21"/>
                <w:b/>
                <w:bCs/>
                <w:spacing w:val="-4"/>
              </w:rPr>
              <w:t>排放口基本情况</w:t>
            </w:r>
          </w:p>
        </w:tc>
      </w:tr>
      <w:tr>
        <w:trPr>
          <w:trHeight w:val="279" w:hRule="atLeast"/>
        </w:trPr>
        <w:tc>
          <w:tcPr>
            <w:tcW w:w="1283" w:type="dxa"/>
            <w:vAlign w:val="top"/>
            <w:vMerge w:val="continue"/>
            <w:tcBorders>
              <w:top w:val="nil"/>
              <w:bottom w:val="nil"/>
            </w:tcBorders>
          </w:tcPr>
          <w:p>
            <w:pPr>
              <w:rPr>
                <w:rFonts w:ascii="Arial"/>
                <w:sz w:val="21"/>
              </w:rPr>
            </w:pPr>
            <w:r/>
          </w:p>
        </w:tc>
        <w:tc>
          <w:tcPr>
            <w:tcW w:w="669" w:type="dxa"/>
            <w:vAlign w:val="top"/>
            <w:vMerge w:val="continue"/>
            <w:tcBorders>
              <w:top w:val="nil"/>
              <w:bottom w:val="nil"/>
            </w:tcBorders>
          </w:tcPr>
          <w:p>
            <w:pPr>
              <w:rPr>
                <w:rFonts w:ascii="Arial"/>
                <w:sz w:val="21"/>
              </w:rPr>
            </w:pPr>
            <w:r/>
          </w:p>
        </w:tc>
        <w:tc>
          <w:tcPr>
            <w:shd w:val="clear" w:fill="BDBDBD"/>
            <w:tcW w:w="459" w:type="dxa"/>
            <w:vAlign w:val="top"/>
            <w:vMerge w:val="restart"/>
            <w:tcBorders>
              <w:bottom w:val="nil"/>
            </w:tcBorders>
          </w:tcPr>
          <w:p>
            <w:pPr>
              <w:pStyle w:val="TableText"/>
              <w:ind w:left="115" w:right="6" w:hanging="99"/>
              <w:spacing w:before="65" w:line="212" w:lineRule="auto"/>
              <w:rPr>
                <w:sz w:val="21"/>
                <w:szCs w:val="21"/>
              </w:rPr>
            </w:pPr>
            <w:r>
              <w:rPr>
                <w:sz w:val="21"/>
                <w:szCs w:val="21"/>
                <w:b/>
                <w:bCs/>
              </w:rPr>
              <w:t>高度</w:t>
            </w:r>
            <w:r>
              <w:rPr>
                <w:sz w:val="21"/>
                <w:szCs w:val="21"/>
              </w:rPr>
              <w:t xml:space="preserve"> </w:t>
            </w:r>
            <w:r>
              <w:rPr>
                <w:sz w:val="21"/>
                <w:szCs w:val="21"/>
                <w:b/>
                <w:bCs/>
                <w:spacing w:val="-5"/>
              </w:rPr>
              <w:t>/m</w:t>
            </w:r>
          </w:p>
        </w:tc>
        <w:tc>
          <w:tcPr>
            <w:shd w:val="clear" w:fill="BDBDBD"/>
            <w:tcW w:w="429" w:type="dxa"/>
            <w:vAlign w:val="top"/>
            <w:vMerge w:val="restart"/>
            <w:tcBorders>
              <w:bottom w:val="nil"/>
            </w:tcBorders>
          </w:tcPr>
          <w:p>
            <w:pPr>
              <w:pStyle w:val="TableText"/>
              <w:spacing w:before="66" w:line="219" w:lineRule="auto"/>
              <w:jc w:val="right"/>
              <w:rPr>
                <w:sz w:val="21"/>
                <w:szCs w:val="21"/>
              </w:rPr>
            </w:pPr>
            <w:r>
              <w:rPr>
                <w:sz w:val="21"/>
                <w:szCs w:val="21"/>
                <w:b/>
                <w:bCs/>
                <w:spacing w:val="-29"/>
              </w:rPr>
              <w:t>内</w:t>
            </w:r>
            <w:r>
              <w:rPr>
                <w:sz w:val="21"/>
                <w:szCs w:val="21"/>
                <w:b/>
                <w:bCs/>
                <w:spacing w:val="-11"/>
              </w:rPr>
              <w:t>径</w:t>
            </w:r>
          </w:p>
          <w:p>
            <w:pPr>
              <w:pStyle w:val="TableText"/>
              <w:ind w:left="106"/>
              <w:spacing w:before="7" w:line="198" w:lineRule="auto"/>
              <w:rPr>
                <w:sz w:val="21"/>
                <w:szCs w:val="21"/>
              </w:rPr>
            </w:pPr>
            <w:r>
              <w:rPr>
                <w:sz w:val="21"/>
                <w:szCs w:val="21"/>
                <w:b/>
                <w:bCs/>
                <w:spacing w:val="-5"/>
              </w:rPr>
              <w:t>/m</w:t>
            </w:r>
          </w:p>
        </w:tc>
        <w:tc>
          <w:tcPr>
            <w:shd w:val="clear" w:fill="BDBDBD"/>
            <w:tcW w:w="480" w:type="dxa"/>
            <w:vAlign w:val="top"/>
            <w:vMerge w:val="restart"/>
            <w:tcBorders>
              <w:bottom w:val="nil"/>
            </w:tcBorders>
          </w:tcPr>
          <w:p>
            <w:pPr>
              <w:pStyle w:val="TableText"/>
              <w:ind w:left="27"/>
              <w:spacing w:before="67" w:line="220" w:lineRule="auto"/>
              <w:rPr>
                <w:sz w:val="21"/>
                <w:szCs w:val="21"/>
              </w:rPr>
            </w:pPr>
            <w:r>
              <w:rPr>
                <w:sz w:val="21"/>
                <w:szCs w:val="21"/>
                <w:b/>
                <w:bCs/>
                <w:spacing w:val="-5"/>
              </w:rPr>
              <w:t>温度</w:t>
            </w:r>
          </w:p>
          <w:p>
            <w:pPr>
              <w:pStyle w:val="TableText"/>
              <w:ind w:left="77"/>
              <w:spacing w:before="39" w:line="168" w:lineRule="auto"/>
              <w:rPr>
                <w:sz w:val="21"/>
                <w:szCs w:val="21"/>
              </w:rPr>
            </w:pPr>
            <w:r>
              <w:rPr>
                <w:sz w:val="21"/>
                <w:szCs w:val="21"/>
                <w:b/>
                <w:bCs/>
                <w:spacing w:val="-7"/>
              </w:rPr>
              <w:t>1℃</w:t>
            </w:r>
          </w:p>
        </w:tc>
        <w:tc>
          <w:tcPr>
            <w:shd w:val="clear" w:fill="BEBEBE"/>
            <w:tcW w:w="639" w:type="dxa"/>
            <w:vAlign w:val="top"/>
            <w:vMerge w:val="restart"/>
            <w:tcBorders>
              <w:bottom w:val="nil"/>
            </w:tcBorders>
          </w:tcPr>
          <w:p>
            <w:pPr>
              <w:pStyle w:val="TableText"/>
              <w:ind w:left="107"/>
              <w:spacing w:before="176" w:line="219" w:lineRule="auto"/>
              <w:rPr>
                <w:sz w:val="21"/>
                <w:szCs w:val="21"/>
              </w:rPr>
            </w:pPr>
            <w:r>
              <w:rPr>
                <w:sz w:val="21"/>
                <w:szCs w:val="21"/>
                <w:b/>
                <w:bCs/>
                <w:spacing w:val="-5"/>
              </w:rPr>
              <w:t>类型</w:t>
            </w:r>
          </w:p>
        </w:tc>
        <w:tc>
          <w:tcPr>
            <w:shd w:val="clear" w:fill="BDBDBD"/>
            <w:tcW w:w="2238" w:type="dxa"/>
            <w:vAlign w:val="top"/>
            <w:gridSpan w:val="2"/>
          </w:tcPr>
          <w:p>
            <w:pPr>
              <w:pStyle w:val="TableText"/>
              <w:ind w:left="689"/>
              <w:spacing w:before="36" w:line="204" w:lineRule="auto"/>
              <w:rPr>
                <w:sz w:val="21"/>
                <w:szCs w:val="21"/>
              </w:rPr>
            </w:pPr>
            <w:r>
              <w:rPr>
                <w:sz w:val="21"/>
                <w:szCs w:val="21"/>
                <w:b/>
                <w:bCs/>
                <w:spacing w:val="-4"/>
              </w:rPr>
              <w:t>地理坐标</w:t>
            </w:r>
          </w:p>
        </w:tc>
        <w:tc>
          <w:tcPr>
            <w:shd w:val="clear" w:fill="BDBDBD"/>
            <w:tcW w:w="2312" w:type="dxa"/>
            <w:vAlign w:val="top"/>
            <w:vMerge w:val="restart"/>
            <w:tcBorders>
              <w:bottom w:val="nil"/>
            </w:tcBorders>
          </w:tcPr>
          <w:p>
            <w:pPr>
              <w:pStyle w:val="TableText"/>
              <w:ind w:left="730"/>
              <w:spacing w:before="176" w:line="219" w:lineRule="auto"/>
              <w:rPr>
                <w:sz w:val="21"/>
                <w:szCs w:val="21"/>
              </w:rPr>
            </w:pPr>
            <w:r>
              <w:rPr>
                <w:sz w:val="21"/>
                <w:szCs w:val="21"/>
                <w:b/>
                <w:bCs/>
                <w:spacing w:val="-4"/>
              </w:rPr>
              <w:t>执行标准</w:t>
            </w:r>
          </w:p>
        </w:tc>
      </w:tr>
      <w:tr>
        <w:trPr>
          <w:trHeight w:val="269" w:hRule="atLeast"/>
        </w:trPr>
        <w:tc>
          <w:tcPr>
            <w:tcW w:w="1283" w:type="dxa"/>
            <w:vAlign w:val="top"/>
            <w:vMerge w:val="continue"/>
            <w:tcBorders>
              <w:top w:val="nil"/>
            </w:tcBorders>
          </w:tcPr>
          <w:p>
            <w:pPr>
              <w:rPr>
                <w:rFonts w:ascii="Arial"/>
                <w:sz w:val="21"/>
              </w:rPr>
            </w:pPr>
            <w:r/>
          </w:p>
        </w:tc>
        <w:tc>
          <w:tcPr>
            <w:tcW w:w="669" w:type="dxa"/>
            <w:vAlign w:val="top"/>
            <w:vMerge w:val="continue"/>
            <w:tcBorders>
              <w:top w:val="nil"/>
            </w:tcBorders>
          </w:tcPr>
          <w:p>
            <w:pPr>
              <w:rPr>
                <w:rFonts w:ascii="Arial"/>
                <w:sz w:val="21"/>
              </w:rPr>
            </w:pPr>
            <w:r/>
          </w:p>
        </w:tc>
        <w:tc>
          <w:tcPr>
            <w:tcW w:w="459" w:type="dxa"/>
            <w:vAlign w:val="top"/>
            <w:vMerge w:val="continue"/>
            <w:tcBorders>
              <w:top w:val="nil"/>
            </w:tcBorders>
          </w:tcPr>
          <w:p>
            <w:pPr>
              <w:rPr>
                <w:rFonts w:ascii="Arial"/>
                <w:sz w:val="21"/>
              </w:rPr>
            </w:pPr>
            <w:r/>
          </w:p>
        </w:tc>
        <w:tc>
          <w:tcPr>
            <w:tcW w:w="429" w:type="dxa"/>
            <w:vAlign w:val="top"/>
            <w:vMerge w:val="continue"/>
            <w:tcBorders>
              <w:top w:val="nil"/>
            </w:tcBorders>
          </w:tcPr>
          <w:p>
            <w:pPr>
              <w:rPr>
                <w:rFonts w:ascii="Arial"/>
                <w:sz w:val="21"/>
              </w:rPr>
            </w:pPr>
            <w:r/>
          </w:p>
        </w:tc>
        <w:tc>
          <w:tcPr>
            <w:tcW w:w="480" w:type="dxa"/>
            <w:vAlign w:val="top"/>
            <w:vMerge w:val="continue"/>
            <w:tcBorders>
              <w:top w:val="nil"/>
            </w:tcBorders>
          </w:tcPr>
          <w:p>
            <w:pPr>
              <w:rPr>
                <w:rFonts w:ascii="Arial"/>
                <w:sz w:val="21"/>
              </w:rPr>
            </w:pPr>
            <w:r/>
          </w:p>
        </w:tc>
        <w:tc>
          <w:tcPr>
            <w:tcW w:w="639" w:type="dxa"/>
            <w:vAlign w:val="top"/>
            <w:vMerge w:val="continue"/>
            <w:tcBorders>
              <w:top w:val="nil"/>
            </w:tcBorders>
          </w:tcPr>
          <w:p>
            <w:pPr>
              <w:rPr>
                <w:rFonts w:ascii="Arial"/>
                <w:sz w:val="21"/>
              </w:rPr>
            </w:pPr>
            <w:r/>
          </w:p>
        </w:tc>
        <w:tc>
          <w:tcPr>
            <w:shd w:val="clear" w:fill="BDBDBD"/>
            <w:tcW w:w="1149" w:type="dxa"/>
            <w:vAlign w:val="top"/>
          </w:tcPr>
          <w:p>
            <w:pPr>
              <w:pStyle w:val="TableText"/>
              <w:ind w:left="208"/>
              <w:spacing w:before="28" w:line="203" w:lineRule="auto"/>
              <w:rPr>
                <w:sz w:val="21"/>
                <w:szCs w:val="21"/>
              </w:rPr>
            </w:pPr>
            <w:r>
              <w:rPr>
                <w:sz w:val="21"/>
                <w:szCs w:val="21"/>
                <w:b/>
                <w:bCs/>
                <w:spacing w:val="28"/>
              </w:rPr>
              <w:t>经度/°</w:t>
            </w:r>
          </w:p>
        </w:tc>
        <w:tc>
          <w:tcPr>
            <w:shd w:val="clear" w:fill="BDBDBD"/>
            <w:tcW w:w="1089" w:type="dxa"/>
            <w:vAlign w:val="top"/>
          </w:tcPr>
          <w:p>
            <w:pPr>
              <w:pStyle w:val="TableText"/>
              <w:ind w:left="19"/>
              <w:spacing w:before="28" w:line="203" w:lineRule="auto"/>
              <w:rPr>
                <w:sz w:val="21"/>
                <w:szCs w:val="21"/>
              </w:rPr>
            </w:pPr>
            <w:r>
              <w:rPr>
                <w:sz w:val="21"/>
                <w:szCs w:val="21"/>
                <w:b/>
                <w:bCs/>
                <w:spacing w:val="28"/>
              </w:rPr>
              <w:t>纬度/°</w:t>
            </w:r>
          </w:p>
        </w:tc>
        <w:tc>
          <w:tcPr>
            <w:tcW w:w="2312" w:type="dxa"/>
            <w:vAlign w:val="top"/>
            <w:vMerge w:val="continue"/>
            <w:tcBorders>
              <w:top w:val="nil"/>
            </w:tcBorders>
          </w:tcPr>
          <w:p>
            <w:pPr>
              <w:rPr>
                <w:rFonts w:ascii="Arial"/>
                <w:sz w:val="21"/>
              </w:rPr>
            </w:pPr>
            <w:r/>
          </w:p>
        </w:tc>
      </w:tr>
      <w:tr>
        <w:trPr>
          <w:trHeight w:val="599" w:hRule="atLeast"/>
        </w:trPr>
        <w:tc>
          <w:tcPr>
            <w:tcW w:w="1283" w:type="dxa"/>
            <w:vAlign w:val="top"/>
          </w:tcPr>
          <w:p>
            <w:pPr>
              <w:pStyle w:val="TableText"/>
              <w:spacing w:before="201" w:line="219" w:lineRule="auto"/>
              <w:jc w:val="right"/>
              <w:rPr>
                <w:sz w:val="21"/>
                <w:szCs w:val="21"/>
              </w:rPr>
            </w:pPr>
            <w:r>
              <w:rPr>
                <w:sz w:val="21"/>
                <w:szCs w:val="21"/>
                <w:spacing w:val="-16"/>
              </w:rPr>
              <w:t>生猪待宰圈舍]</w:t>
            </w:r>
          </w:p>
        </w:tc>
        <w:tc>
          <w:tcPr>
            <w:tcW w:w="669" w:type="dxa"/>
            <w:vAlign w:val="top"/>
          </w:tcPr>
          <w:p>
            <w:pPr>
              <w:pStyle w:val="TableText"/>
              <w:ind w:left="61"/>
              <w:spacing w:before="253" w:line="185" w:lineRule="auto"/>
              <w:rPr>
                <w:sz w:val="21"/>
                <w:szCs w:val="21"/>
              </w:rPr>
            </w:pPr>
            <w:r>
              <w:rPr>
                <w:sz w:val="21"/>
                <w:szCs w:val="21"/>
                <w:spacing w:val="-1"/>
              </w:rPr>
              <w:t>DA001</w:t>
            </w:r>
          </w:p>
        </w:tc>
        <w:tc>
          <w:tcPr>
            <w:tcW w:w="459" w:type="dxa"/>
            <w:vAlign w:val="top"/>
          </w:tcPr>
          <w:p>
            <w:pPr>
              <w:pStyle w:val="TableText"/>
              <w:ind w:left="112"/>
              <w:spacing w:before="221"/>
              <w:rPr>
                <w:sz w:val="21"/>
                <w:szCs w:val="21"/>
              </w:rPr>
            </w:pPr>
            <w:r>
              <w:rPr>
                <w:sz w:val="21"/>
                <w:szCs w:val="21"/>
                <w:color w:val="302040"/>
                <w:spacing w:val="-6"/>
              </w:rPr>
              <w:t>15</w:t>
            </w:r>
          </w:p>
        </w:tc>
        <w:tc>
          <w:tcPr>
            <w:tcW w:w="429" w:type="dxa"/>
            <w:vAlign w:val="top"/>
          </w:tcPr>
          <w:p>
            <w:pPr>
              <w:pStyle w:val="TableText"/>
              <w:ind w:left="44"/>
              <w:spacing w:before="222" w:line="239" w:lineRule="auto"/>
              <w:rPr>
                <w:sz w:val="21"/>
                <w:szCs w:val="21"/>
              </w:rPr>
            </w:pPr>
            <w:r>
              <w:rPr>
                <w:sz w:val="21"/>
                <w:szCs w:val="21"/>
                <w:spacing w:val="-3"/>
              </w:rPr>
              <w:t>0.8</w:t>
            </w:r>
          </w:p>
        </w:tc>
        <w:tc>
          <w:tcPr>
            <w:tcW w:w="480" w:type="dxa"/>
            <w:vAlign w:val="top"/>
          </w:tcPr>
          <w:p>
            <w:pPr>
              <w:pStyle w:val="TableText"/>
              <w:ind w:left="124"/>
              <w:spacing w:before="221"/>
              <w:rPr>
                <w:sz w:val="21"/>
                <w:szCs w:val="21"/>
              </w:rPr>
            </w:pPr>
            <w:r>
              <w:rPr>
                <w:sz w:val="21"/>
                <w:szCs w:val="21"/>
                <w:spacing w:val="-3"/>
              </w:rPr>
              <w:t>25</w:t>
            </w:r>
          </w:p>
        </w:tc>
        <w:tc>
          <w:tcPr>
            <w:tcW w:w="639" w:type="dxa"/>
            <w:vAlign w:val="top"/>
          </w:tcPr>
          <w:p>
            <w:pPr>
              <w:pStyle w:val="TableText"/>
              <w:ind w:left="104"/>
              <w:spacing w:before="62" w:line="237" w:lineRule="auto"/>
              <w:rPr>
                <w:sz w:val="21"/>
                <w:szCs w:val="21"/>
              </w:rPr>
            </w:pPr>
            <w:r>
              <w:rPr>
                <w:sz w:val="20"/>
                <w:szCs w:val="20"/>
                <w:spacing w:val="-20"/>
                <w:w w:val="95"/>
              </w:rPr>
              <w:t>一般</w:t>
            </w:r>
            <w:r>
              <w:rPr>
                <w:sz w:val="20"/>
                <w:szCs w:val="20"/>
                <w:spacing w:val="-8"/>
                <w:w w:val="95"/>
              </w:rPr>
              <w:t>排</w:t>
            </w:r>
            <w:r>
              <w:rPr>
                <w:sz w:val="20"/>
                <w:szCs w:val="20"/>
                <w:spacing w:val="1"/>
              </w:rPr>
              <w:t xml:space="preserve"> </w:t>
            </w:r>
            <w:r>
              <w:rPr>
                <w:sz w:val="21"/>
                <w:szCs w:val="21"/>
                <w:spacing w:val="14"/>
              </w:rPr>
              <w:t>放口</w:t>
            </w:r>
          </w:p>
        </w:tc>
        <w:tc>
          <w:tcPr>
            <w:tcW w:w="1149" w:type="dxa"/>
            <w:vAlign w:val="top"/>
          </w:tcPr>
          <w:p>
            <w:pPr>
              <w:pStyle w:val="TableText"/>
              <w:spacing w:before="222" w:line="239" w:lineRule="auto"/>
              <w:jc w:val="right"/>
              <w:rPr>
                <w:sz w:val="21"/>
                <w:szCs w:val="21"/>
              </w:rPr>
            </w:pPr>
            <w:r>
              <w:rPr>
                <w:sz w:val="21"/>
                <w:szCs w:val="21"/>
                <w:spacing w:val="-3"/>
              </w:rPr>
              <w:t>E104.534638</w:t>
            </w:r>
          </w:p>
        </w:tc>
        <w:tc>
          <w:tcPr>
            <w:tcW w:w="1089" w:type="dxa"/>
            <w:vAlign w:val="top"/>
          </w:tcPr>
          <w:p>
            <w:pPr>
              <w:pStyle w:val="TableText"/>
              <w:ind w:left="16"/>
              <w:spacing w:before="222" w:line="239" w:lineRule="auto"/>
              <w:rPr>
                <w:sz w:val="21"/>
                <w:szCs w:val="21"/>
              </w:rPr>
            </w:pPr>
            <w:r>
              <w:rPr>
                <w:sz w:val="21"/>
                <w:szCs w:val="21"/>
                <w:spacing w:val="-1"/>
              </w:rPr>
              <w:t>N31.541972</w:t>
            </w:r>
          </w:p>
        </w:tc>
        <w:tc>
          <w:tcPr>
            <w:tcW w:w="2312" w:type="dxa"/>
            <w:vAlign w:val="top"/>
            <w:vMerge w:val="restart"/>
            <w:tcBorders>
              <w:bottom w:val="nil"/>
            </w:tcBorders>
          </w:tcPr>
          <w:p>
            <w:pPr>
              <w:spacing w:line="344" w:lineRule="auto"/>
              <w:rPr>
                <w:rFonts w:ascii="Arial"/>
                <w:sz w:val="21"/>
              </w:rPr>
            </w:pPr>
            <w:r/>
          </w:p>
          <w:p>
            <w:pPr>
              <w:spacing w:line="345" w:lineRule="auto"/>
              <w:rPr>
                <w:rFonts w:ascii="Arial"/>
                <w:sz w:val="21"/>
              </w:rPr>
            </w:pPr>
            <w:r/>
          </w:p>
          <w:p>
            <w:pPr>
              <w:pStyle w:val="TableText"/>
              <w:spacing w:before="68" w:line="219" w:lineRule="auto"/>
              <w:rPr>
                <w:sz w:val="21"/>
                <w:szCs w:val="21"/>
              </w:rPr>
            </w:pPr>
            <w:r>
              <w:rPr>
                <w:sz w:val="21"/>
                <w:szCs w:val="21"/>
                <w:spacing w:val="-2"/>
              </w:rPr>
              <w:t>《恶臭污染物排放标准》</w:t>
            </w:r>
          </w:p>
          <w:p>
            <w:pPr>
              <w:pStyle w:val="TableText"/>
              <w:ind w:left="257"/>
              <w:spacing w:before="21" w:line="220" w:lineRule="auto"/>
              <w:rPr>
                <w:sz w:val="21"/>
                <w:szCs w:val="21"/>
              </w:rPr>
            </w:pPr>
            <w:r>
              <w:rPr>
                <w:sz w:val="21"/>
                <w:szCs w:val="21"/>
              </w:rPr>
              <w:t>(GB14554-93)中表2</w:t>
            </w:r>
          </w:p>
          <w:p>
            <w:pPr>
              <w:pStyle w:val="TableText"/>
              <w:ind w:left="517"/>
              <w:spacing w:before="19" w:line="219" w:lineRule="auto"/>
              <w:rPr>
                <w:sz w:val="21"/>
                <w:szCs w:val="21"/>
              </w:rPr>
            </w:pPr>
            <w:r>
              <w:rPr>
                <w:sz w:val="21"/>
                <w:szCs w:val="21"/>
                <w:spacing w:val="-2"/>
              </w:rPr>
              <w:t>相关标准限值</w:t>
            </w:r>
          </w:p>
        </w:tc>
      </w:tr>
      <w:tr>
        <w:trPr>
          <w:trHeight w:val="549" w:hRule="atLeast"/>
        </w:trPr>
        <w:tc>
          <w:tcPr>
            <w:tcW w:w="1283" w:type="dxa"/>
            <w:vAlign w:val="top"/>
          </w:tcPr>
          <w:p>
            <w:pPr>
              <w:pStyle w:val="TableText"/>
              <w:spacing w:before="172" w:line="219" w:lineRule="auto"/>
              <w:jc w:val="right"/>
              <w:rPr>
                <w:sz w:val="21"/>
                <w:szCs w:val="21"/>
              </w:rPr>
            </w:pPr>
            <w:r>
              <w:rPr>
                <w:sz w:val="21"/>
                <w:szCs w:val="21"/>
                <w:spacing w:val="-1"/>
              </w:rPr>
              <w:t>生猪屠宰车间</w:t>
            </w:r>
          </w:p>
        </w:tc>
        <w:tc>
          <w:tcPr>
            <w:tcW w:w="669" w:type="dxa"/>
            <w:vAlign w:val="top"/>
          </w:tcPr>
          <w:p>
            <w:pPr>
              <w:pStyle w:val="TableText"/>
              <w:ind w:left="61"/>
              <w:spacing w:before="224" w:line="185" w:lineRule="auto"/>
              <w:rPr>
                <w:sz w:val="21"/>
                <w:szCs w:val="21"/>
              </w:rPr>
            </w:pPr>
            <w:r>
              <w:rPr>
                <w:sz w:val="21"/>
                <w:szCs w:val="21"/>
                <w:spacing w:val="-1"/>
              </w:rPr>
              <w:t>DA002</w:t>
            </w:r>
          </w:p>
        </w:tc>
        <w:tc>
          <w:tcPr>
            <w:tcW w:w="459" w:type="dxa"/>
            <w:vAlign w:val="top"/>
          </w:tcPr>
          <w:p>
            <w:pPr>
              <w:pStyle w:val="TableText"/>
              <w:ind w:left="112"/>
              <w:spacing w:before="192"/>
              <w:rPr>
                <w:sz w:val="21"/>
                <w:szCs w:val="21"/>
              </w:rPr>
            </w:pPr>
            <w:r>
              <w:rPr>
                <w:sz w:val="21"/>
                <w:szCs w:val="21"/>
                <w:spacing w:val="-6"/>
              </w:rPr>
              <w:t>15</w:t>
            </w:r>
          </w:p>
        </w:tc>
        <w:tc>
          <w:tcPr>
            <w:tcW w:w="429" w:type="dxa"/>
            <w:vAlign w:val="top"/>
          </w:tcPr>
          <w:p>
            <w:pPr>
              <w:pStyle w:val="TableText"/>
              <w:ind w:left="44"/>
              <w:spacing w:before="193" w:line="239" w:lineRule="auto"/>
              <w:rPr>
                <w:sz w:val="21"/>
                <w:szCs w:val="21"/>
              </w:rPr>
            </w:pPr>
            <w:r>
              <w:rPr>
                <w:sz w:val="21"/>
                <w:szCs w:val="21"/>
                <w:spacing w:val="-6"/>
              </w:rPr>
              <w:t>1.2</w:t>
            </w:r>
          </w:p>
        </w:tc>
        <w:tc>
          <w:tcPr>
            <w:tcW w:w="480" w:type="dxa"/>
            <w:vAlign w:val="top"/>
          </w:tcPr>
          <w:p>
            <w:pPr>
              <w:pStyle w:val="TableText"/>
              <w:ind w:left="124"/>
              <w:spacing w:before="192"/>
              <w:rPr>
                <w:sz w:val="21"/>
                <w:szCs w:val="21"/>
              </w:rPr>
            </w:pPr>
            <w:r>
              <w:rPr>
                <w:sz w:val="21"/>
                <w:szCs w:val="21"/>
                <w:spacing w:val="-3"/>
              </w:rPr>
              <w:t>25</w:t>
            </w:r>
          </w:p>
        </w:tc>
        <w:tc>
          <w:tcPr>
            <w:tcW w:w="639" w:type="dxa"/>
            <w:vAlign w:val="top"/>
          </w:tcPr>
          <w:p>
            <w:pPr>
              <w:pStyle w:val="TableText"/>
              <w:spacing w:before="43" w:line="221" w:lineRule="auto"/>
              <w:jc w:val="right"/>
              <w:rPr>
                <w:sz w:val="20"/>
                <w:szCs w:val="20"/>
              </w:rPr>
            </w:pPr>
            <w:r>
              <w:rPr>
                <w:sz w:val="20"/>
                <w:szCs w:val="20"/>
                <w:color w:val="605050"/>
                <w:spacing w:val="-20"/>
                <w:w w:val="95"/>
              </w:rPr>
              <w:t>一般</w:t>
            </w:r>
            <w:r>
              <w:rPr>
                <w:sz w:val="20"/>
                <w:szCs w:val="20"/>
                <w:color w:val="605050"/>
                <w:spacing w:val="-8"/>
                <w:w w:val="95"/>
              </w:rPr>
              <w:t>排</w:t>
            </w:r>
          </w:p>
          <w:p>
            <w:pPr>
              <w:pStyle w:val="TableText"/>
              <w:ind w:left="104"/>
              <w:spacing w:before="31" w:line="198" w:lineRule="auto"/>
              <w:rPr>
                <w:sz w:val="21"/>
                <w:szCs w:val="21"/>
              </w:rPr>
            </w:pPr>
            <w:r>
              <w:rPr>
                <w:sz w:val="21"/>
                <w:szCs w:val="21"/>
                <w:spacing w:val="15"/>
              </w:rPr>
              <w:t>放口</w:t>
            </w:r>
          </w:p>
        </w:tc>
        <w:tc>
          <w:tcPr>
            <w:tcW w:w="1149" w:type="dxa"/>
            <w:vAlign w:val="top"/>
          </w:tcPr>
          <w:p>
            <w:pPr>
              <w:pStyle w:val="TableText"/>
              <w:spacing w:before="193" w:line="239" w:lineRule="auto"/>
              <w:jc w:val="right"/>
              <w:rPr>
                <w:sz w:val="21"/>
                <w:szCs w:val="21"/>
              </w:rPr>
            </w:pPr>
            <w:r>
              <w:rPr>
                <w:sz w:val="21"/>
                <w:szCs w:val="21"/>
                <w:spacing w:val="-3"/>
              </w:rPr>
              <w:t>E104.534584</w:t>
            </w:r>
          </w:p>
        </w:tc>
        <w:tc>
          <w:tcPr>
            <w:tcW w:w="1089" w:type="dxa"/>
            <w:vAlign w:val="top"/>
          </w:tcPr>
          <w:p>
            <w:pPr>
              <w:pStyle w:val="TableText"/>
              <w:ind w:left="16"/>
              <w:spacing w:before="193" w:line="239" w:lineRule="auto"/>
              <w:rPr>
                <w:sz w:val="21"/>
                <w:szCs w:val="21"/>
              </w:rPr>
            </w:pPr>
            <w:r>
              <w:rPr>
                <w:sz w:val="21"/>
                <w:szCs w:val="21"/>
                <w:spacing w:val="-1"/>
              </w:rPr>
              <w:t>N31.541918</w:t>
            </w:r>
          </w:p>
        </w:tc>
        <w:tc>
          <w:tcPr>
            <w:tcW w:w="2312" w:type="dxa"/>
            <w:vAlign w:val="top"/>
            <w:vMerge w:val="continue"/>
            <w:tcBorders>
              <w:top w:val="nil"/>
              <w:bottom w:val="nil"/>
            </w:tcBorders>
          </w:tcPr>
          <w:p>
            <w:pPr>
              <w:rPr>
                <w:rFonts w:ascii="Arial"/>
                <w:sz w:val="21"/>
              </w:rPr>
            </w:pPr>
            <w:r/>
          </w:p>
        </w:tc>
      </w:tr>
      <w:tr>
        <w:trPr>
          <w:trHeight w:val="549" w:hRule="atLeast"/>
        </w:trPr>
        <w:tc>
          <w:tcPr>
            <w:tcW w:w="1283" w:type="dxa"/>
            <w:vAlign w:val="top"/>
          </w:tcPr>
          <w:p>
            <w:pPr>
              <w:pStyle w:val="TableText"/>
              <w:ind w:left="15" w:firstLine="88"/>
              <w:spacing w:before="33" w:line="222" w:lineRule="auto"/>
              <w:rPr>
                <w:sz w:val="21"/>
                <w:szCs w:val="21"/>
              </w:rPr>
            </w:pPr>
            <w:r>
              <w:rPr>
                <w:sz w:val="21"/>
                <w:szCs w:val="21"/>
              </w:rPr>
              <w:t>肉牛待宰圈  </w:t>
            </w:r>
            <w:r>
              <w:rPr>
                <w:sz w:val="21"/>
                <w:szCs w:val="21"/>
                <w:spacing w:val="-1"/>
              </w:rPr>
              <w:t>舍、屠宰车间</w:t>
            </w:r>
          </w:p>
        </w:tc>
        <w:tc>
          <w:tcPr>
            <w:tcW w:w="669" w:type="dxa"/>
            <w:vAlign w:val="top"/>
          </w:tcPr>
          <w:p>
            <w:pPr>
              <w:pStyle w:val="TableText"/>
              <w:ind w:left="61"/>
              <w:spacing w:before="225" w:line="185" w:lineRule="auto"/>
              <w:rPr>
                <w:sz w:val="21"/>
                <w:szCs w:val="21"/>
              </w:rPr>
            </w:pPr>
            <w:r>
              <w:rPr>
                <w:sz w:val="21"/>
                <w:szCs w:val="21"/>
                <w:spacing w:val="-1"/>
              </w:rPr>
              <w:t>DA003</w:t>
            </w:r>
          </w:p>
        </w:tc>
        <w:tc>
          <w:tcPr>
            <w:tcW w:w="459" w:type="dxa"/>
            <w:vAlign w:val="top"/>
          </w:tcPr>
          <w:p>
            <w:pPr>
              <w:pStyle w:val="TableText"/>
              <w:ind w:left="112"/>
              <w:spacing w:before="194"/>
              <w:rPr>
                <w:sz w:val="21"/>
                <w:szCs w:val="21"/>
              </w:rPr>
            </w:pPr>
            <w:r>
              <w:rPr>
                <w:sz w:val="21"/>
                <w:szCs w:val="21"/>
                <w:spacing w:val="-6"/>
              </w:rPr>
              <w:t>15</w:t>
            </w:r>
          </w:p>
        </w:tc>
        <w:tc>
          <w:tcPr>
            <w:tcW w:w="429" w:type="dxa"/>
            <w:vAlign w:val="top"/>
          </w:tcPr>
          <w:p>
            <w:pPr>
              <w:pStyle w:val="TableText"/>
              <w:ind w:left="44"/>
              <w:spacing w:before="194" w:line="239" w:lineRule="auto"/>
              <w:rPr>
                <w:sz w:val="21"/>
                <w:szCs w:val="21"/>
              </w:rPr>
            </w:pPr>
            <w:r>
              <w:rPr>
                <w:sz w:val="21"/>
                <w:szCs w:val="21"/>
                <w:spacing w:val="-6"/>
              </w:rPr>
              <w:t>1.2</w:t>
            </w:r>
          </w:p>
        </w:tc>
        <w:tc>
          <w:tcPr>
            <w:tcW w:w="480" w:type="dxa"/>
            <w:vAlign w:val="top"/>
          </w:tcPr>
          <w:p>
            <w:pPr>
              <w:pStyle w:val="TableText"/>
              <w:ind w:left="124"/>
              <w:spacing w:before="194"/>
              <w:rPr>
                <w:sz w:val="21"/>
                <w:szCs w:val="21"/>
              </w:rPr>
            </w:pPr>
            <w:r>
              <w:rPr>
                <w:sz w:val="21"/>
                <w:szCs w:val="21"/>
                <w:spacing w:val="-3"/>
              </w:rPr>
              <w:t>25</w:t>
            </w:r>
          </w:p>
        </w:tc>
        <w:tc>
          <w:tcPr>
            <w:tcW w:w="639" w:type="dxa"/>
            <w:vAlign w:val="top"/>
          </w:tcPr>
          <w:p>
            <w:pPr>
              <w:pStyle w:val="TableText"/>
              <w:ind w:left="104" w:firstLine="39"/>
              <w:spacing w:before="34" w:line="233" w:lineRule="auto"/>
              <w:rPr>
                <w:sz w:val="21"/>
                <w:szCs w:val="21"/>
              </w:rPr>
            </w:pPr>
            <w:r>
              <w:rPr>
                <w:sz w:val="19"/>
                <w:szCs w:val="19"/>
                <w:spacing w:val="-17"/>
                <w:w w:val="92"/>
              </w:rPr>
              <w:t>一般</w:t>
            </w:r>
            <w:r>
              <w:rPr>
                <w:sz w:val="19"/>
                <w:szCs w:val="19"/>
                <w:spacing w:val="-8"/>
                <w:w w:val="92"/>
              </w:rPr>
              <w:t>排</w:t>
            </w:r>
            <w:r>
              <w:rPr>
                <w:sz w:val="19"/>
                <w:szCs w:val="19"/>
              </w:rPr>
              <w:t xml:space="preserve"> </w:t>
            </w:r>
            <w:r>
              <w:rPr>
                <w:sz w:val="21"/>
                <w:szCs w:val="21"/>
                <w:spacing w:val="14"/>
              </w:rPr>
              <w:t>放口</w:t>
            </w:r>
          </w:p>
        </w:tc>
        <w:tc>
          <w:tcPr>
            <w:tcW w:w="1149" w:type="dxa"/>
            <w:vAlign w:val="top"/>
          </w:tcPr>
          <w:p>
            <w:pPr>
              <w:pStyle w:val="TableText"/>
              <w:spacing w:before="194" w:line="239" w:lineRule="auto"/>
              <w:jc w:val="right"/>
              <w:rPr>
                <w:sz w:val="21"/>
                <w:szCs w:val="21"/>
              </w:rPr>
            </w:pPr>
            <w:r>
              <w:rPr>
                <w:sz w:val="21"/>
                <w:szCs w:val="21"/>
                <w:spacing w:val="-3"/>
              </w:rPr>
              <w:t>E104.534509</w:t>
            </w:r>
          </w:p>
        </w:tc>
        <w:tc>
          <w:tcPr>
            <w:tcW w:w="1089" w:type="dxa"/>
            <w:vAlign w:val="top"/>
          </w:tcPr>
          <w:p>
            <w:pPr>
              <w:pStyle w:val="TableText"/>
              <w:ind w:left="16"/>
              <w:spacing w:before="194" w:line="239" w:lineRule="auto"/>
              <w:rPr>
                <w:sz w:val="21"/>
                <w:szCs w:val="21"/>
              </w:rPr>
            </w:pPr>
            <w:r>
              <w:rPr>
                <w:sz w:val="21"/>
                <w:szCs w:val="21"/>
                <w:spacing w:val="-1"/>
              </w:rPr>
              <w:t>N31.541875</w:t>
            </w:r>
          </w:p>
        </w:tc>
        <w:tc>
          <w:tcPr>
            <w:tcW w:w="2312" w:type="dxa"/>
            <w:vAlign w:val="top"/>
            <w:vMerge w:val="continue"/>
            <w:tcBorders>
              <w:top w:val="nil"/>
              <w:bottom w:val="nil"/>
            </w:tcBorders>
          </w:tcPr>
          <w:p>
            <w:pPr>
              <w:rPr>
                <w:rFonts w:ascii="Arial"/>
                <w:sz w:val="21"/>
              </w:rPr>
            </w:pPr>
            <w:r/>
          </w:p>
        </w:tc>
      </w:tr>
      <w:tr>
        <w:trPr>
          <w:trHeight w:val="539" w:hRule="atLeast"/>
        </w:trPr>
        <w:tc>
          <w:tcPr>
            <w:tcW w:w="1283" w:type="dxa"/>
            <w:vAlign w:val="top"/>
          </w:tcPr>
          <w:p>
            <w:pPr>
              <w:pStyle w:val="TableText"/>
              <w:ind w:left="104"/>
              <w:spacing w:before="174" w:line="219" w:lineRule="auto"/>
              <w:rPr>
                <w:sz w:val="21"/>
                <w:szCs w:val="21"/>
              </w:rPr>
            </w:pPr>
            <w:r>
              <w:rPr>
                <w:sz w:val="21"/>
                <w:szCs w:val="21"/>
                <w:spacing w:val="2"/>
              </w:rPr>
              <w:t>污水处理站</w:t>
            </w:r>
          </w:p>
        </w:tc>
        <w:tc>
          <w:tcPr>
            <w:tcW w:w="669" w:type="dxa"/>
            <w:vAlign w:val="top"/>
          </w:tcPr>
          <w:p>
            <w:pPr>
              <w:pStyle w:val="TableText"/>
              <w:ind w:left="61"/>
              <w:spacing w:before="226" w:line="185" w:lineRule="auto"/>
              <w:rPr>
                <w:sz w:val="21"/>
                <w:szCs w:val="21"/>
              </w:rPr>
            </w:pPr>
            <w:r>
              <w:rPr>
                <w:sz w:val="21"/>
                <w:szCs w:val="21"/>
                <w:spacing w:val="-1"/>
              </w:rPr>
              <w:t>DA004</w:t>
            </w:r>
          </w:p>
        </w:tc>
        <w:tc>
          <w:tcPr>
            <w:tcW w:w="459" w:type="dxa"/>
            <w:vAlign w:val="top"/>
          </w:tcPr>
          <w:p>
            <w:pPr>
              <w:pStyle w:val="TableText"/>
              <w:ind w:left="112"/>
              <w:spacing w:before="194"/>
              <w:rPr>
                <w:sz w:val="21"/>
                <w:szCs w:val="21"/>
              </w:rPr>
            </w:pPr>
            <w:r>
              <w:rPr>
                <w:sz w:val="21"/>
                <w:szCs w:val="21"/>
                <w:color w:val="402040"/>
                <w:spacing w:val="-6"/>
              </w:rPr>
              <w:t>15</w:t>
            </w:r>
          </w:p>
        </w:tc>
        <w:tc>
          <w:tcPr>
            <w:tcW w:w="429" w:type="dxa"/>
            <w:vAlign w:val="top"/>
          </w:tcPr>
          <w:p>
            <w:pPr>
              <w:pStyle w:val="TableText"/>
              <w:ind w:left="44"/>
              <w:spacing w:before="195" w:line="239" w:lineRule="auto"/>
              <w:rPr>
                <w:sz w:val="21"/>
                <w:szCs w:val="21"/>
              </w:rPr>
            </w:pPr>
            <w:r>
              <w:rPr>
                <w:sz w:val="21"/>
                <w:szCs w:val="21"/>
                <w:spacing w:val="-3"/>
              </w:rPr>
              <w:t>0.4</w:t>
            </w:r>
          </w:p>
        </w:tc>
        <w:tc>
          <w:tcPr>
            <w:tcW w:w="480" w:type="dxa"/>
            <w:vAlign w:val="top"/>
          </w:tcPr>
          <w:p>
            <w:pPr>
              <w:pStyle w:val="TableText"/>
              <w:ind w:left="124"/>
              <w:spacing w:before="194"/>
              <w:rPr>
                <w:sz w:val="21"/>
                <w:szCs w:val="21"/>
              </w:rPr>
            </w:pPr>
            <w:r>
              <w:rPr>
                <w:sz w:val="21"/>
                <w:szCs w:val="21"/>
                <w:spacing w:val="-3"/>
              </w:rPr>
              <w:t>25</w:t>
            </w:r>
          </w:p>
        </w:tc>
        <w:tc>
          <w:tcPr>
            <w:tcW w:w="639" w:type="dxa"/>
            <w:vAlign w:val="top"/>
          </w:tcPr>
          <w:p>
            <w:pPr>
              <w:pStyle w:val="TableText"/>
              <w:ind w:left="103" w:hanging="39"/>
              <w:spacing w:before="26" w:line="221" w:lineRule="auto"/>
              <w:rPr>
                <w:sz w:val="21"/>
                <w:szCs w:val="21"/>
              </w:rPr>
            </w:pPr>
            <w:r>
              <w:rPr>
                <w:sz w:val="21"/>
                <w:szCs w:val="21"/>
                <w:spacing w:val="-21"/>
                <w:w w:val="97"/>
              </w:rPr>
              <w:t>一般</w:t>
            </w:r>
            <w:r>
              <w:rPr>
                <w:sz w:val="21"/>
                <w:szCs w:val="21"/>
                <w:spacing w:val="-9"/>
                <w:w w:val="97"/>
              </w:rPr>
              <w:t>排</w:t>
            </w:r>
            <w:r>
              <w:rPr>
                <w:sz w:val="21"/>
                <w:szCs w:val="21"/>
                <w:spacing w:val="2"/>
              </w:rPr>
              <w:t xml:space="preserve"> </w:t>
            </w:r>
            <w:r>
              <w:rPr>
                <w:sz w:val="21"/>
                <w:szCs w:val="21"/>
                <w:spacing w:val="14"/>
              </w:rPr>
              <w:t>放口</w:t>
            </w:r>
          </w:p>
        </w:tc>
        <w:tc>
          <w:tcPr>
            <w:tcW w:w="1149" w:type="dxa"/>
            <w:vAlign w:val="top"/>
          </w:tcPr>
          <w:p>
            <w:pPr>
              <w:pStyle w:val="TableText"/>
              <w:spacing w:before="195" w:line="239" w:lineRule="auto"/>
              <w:jc w:val="right"/>
              <w:rPr>
                <w:sz w:val="21"/>
                <w:szCs w:val="21"/>
              </w:rPr>
            </w:pPr>
            <w:r>
              <w:rPr>
                <w:sz w:val="21"/>
                <w:szCs w:val="21"/>
                <w:spacing w:val="-3"/>
              </w:rPr>
              <w:t>E104.537329</w:t>
            </w:r>
          </w:p>
        </w:tc>
        <w:tc>
          <w:tcPr>
            <w:tcW w:w="1089" w:type="dxa"/>
            <w:vAlign w:val="top"/>
          </w:tcPr>
          <w:p>
            <w:pPr>
              <w:pStyle w:val="TableText"/>
              <w:ind w:left="16"/>
              <w:spacing w:before="195" w:line="239" w:lineRule="auto"/>
              <w:rPr>
                <w:sz w:val="21"/>
                <w:szCs w:val="21"/>
              </w:rPr>
            </w:pPr>
            <w:r>
              <w:rPr>
                <w:sz w:val="21"/>
                <w:szCs w:val="21"/>
                <w:spacing w:val="-1"/>
              </w:rPr>
              <w:t>N31.540045</w:t>
            </w:r>
          </w:p>
        </w:tc>
        <w:tc>
          <w:tcPr>
            <w:tcW w:w="2312" w:type="dxa"/>
            <w:vAlign w:val="top"/>
            <w:vMerge w:val="continue"/>
            <w:tcBorders>
              <w:top w:val="nil"/>
            </w:tcBorders>
          </w:tcPr>
          <w:p>
            <w:pPr>
              <w:rPr>
                <w:rFonts w:ascii="Arial"/>
                <w:sz w:val="21"/>
              </w:rPr>
            </w:pPr>
            <w:r/>
          </w:p>
        </w:tc>
      </w:tr>
      <w:tr>
        <w:trPr>
          <w:trHeight w:val="818" w:hRule="atLeast"/>
        </w:trPr>
        <w:tc>
          <w:tcPr>
            <w:tcW w:w="1283" w:type="dxa"/>
            <w:vAlign w:val="top"/>
          </w:tcPr>
          <w:p>
            <w:pPr>
              <w:pStyle w:val="TableText"/>
              <w:ind w:left="424"/>
              <w:spacing w:before="166" w:line="221" w:lineRule="auto"/>
              <w:rPr>
                <w:sz w:val="21"/>
                <w:szCs w:val="21"/>
              </w:rPr>
            </w:pPr>
            <w:r>
              <w:rPr>
                <w:sz w:val="21"/>
                <w:szCs w:val="21"/>
                <w:spacing w:val="6"/>
              </w:rPr>
              <w:t>燃气</w:t>
            </w:r>
          </w:p>
          <w:p>
            <w:pPr>
              <w:pStyle w:val="TableText"/>
              <w:ind w:left="104"/>
              <w:spacing w:before="18" w:line="220" w:lineRule="auto"/>
              <w:rPr>
                <w:sz w:val="21"/>
                <w:szCs w:val="21"/>
              </w:rPr>
            </w:pPr>
            <w:r>
              <w:rPr>
                <w:sz w:val="21"/>
                <w:szCs w:val="21"/>
                <w:spacing w:val="-2"/>
              </w:rPr>
              <w:t>蒸汽发生器</w:t>
            </w:r>
          </w:p>
        </w:tc>
        <w:tc>
          <w:tcPr>
            <w:tcW w:w="669" w:type="dxa"/>
            <w:vAlign w:val="top"/>
          </w:tcPr>
          <w:p>
            <w:pPr>
              <w:spacing w:line="297" w:lineRule="auto"/>
              <w:rPr>
                <w:rFonts w:ascii="Arial"/>
                <w:sz w:val="21"/>
              </w:rPr>
            </w:pPr>
            <w:r/>
          </w:p>
          <w:p>
            <w:pPr>
              <w:pStyle w:val="TableText"/>
              <w:ind w:left="61"/>
              <w:spacing w:before="68" w:line="185" w:lineRule="auto"/>
              <w:rPr>
                <w:sz w:val="21"/>
                <w:szCs w:val="21"/>
              </w:rPr>
            </w:pPr>
            <w:r>
              <w:rPr>
                <w:sz w:val="21"/>
                <w:szCs w:val="21"/>
                <w:spacing w:val="-1"/>
              </w:rPr>
              <w:t>DA005</w:t>
            </w:r>
          </w:p>
        </w:tc>
        <w:tc>
          <w:tcPr>
            <w:tcW w:w="459" w:type="dxa"/>
            <w:vAlign w:val="top"/>
          </w:tcPr>
          <w:p>
            <w:pPr>
              <w:spacing w:line="266" w:lineRule="auto"/>
              <w:rPr>
                <w:rFonts w:ascii="Arial"/>
                <w:sz w:val="21"/>
              </w:rPr>
            </w:pPr>
            <w:r/>
          </w:p>
          <w:p>
            <w:pPr>
              <w:pStyle w:val="TableText"/>
              <w:ind w:left="112"/>
              <w:spacing w:before="68"/>
              <w:rPr>
                <w:sz w:val="21"/>
                <w:szCs w:val="21"/>
              </w:rPr>
            </w:pPr>
            <w:r>
              <w:rPr>
                <w:sz w:val="21"/>
                <w:szCs w:val="21"/>
                <w:spacing w:val="-6"/>
              </w:rPr>
              <w:t>18</w:t>
            </w:r>
          </w:p>
        </w:tc>
        <w:tc>
          <w:tcPr>
            <w:tcW w:w="429" w:type="dxa"/>
            <w:vAlign w:val="top"/>
          </w:tcPr>
          <w:p>
            <w:pPr>
              <w:spacing w:line="266" w:lineRule="auto"/>
              <w:rPr>
                <w:rFonts w:ascii="Arial"/>
                <w:sz w:val="21"/>
              </w:rPr>
            </w:pPr>
            <w:r/>
          </w:p>
          <w:p>
            <w:pPr>
              <w:pStyle w:val="TableText"/>
              <w:ind w:left="44"/>
              <w:spacing w:before="68" w:line="239" w:lineRule="auto"/>
              <w:rPr>
                <w:sz w:val="21"/>
                <w:szCs w:val="21"/>
              </w:rPr>
            </w:pPr>
            <w:r>
              <w:rPr>
                <w:sz w:val="21"/>
                <w:szCs w:val="21"/>
                <w:spacing w:val="-3"/>
              </w:rPr>
              <w:t>0.2</w:t>
            </w:r>
          </w:p>
        </w:tc>
        <w:tc>
          <w:tcPr>
            <w:tcW w:w="480" w:type="dxa"/>
            <w:vAlign w:val="top"/>
          </w:tcPr>
          <w:p>
            <w:pPr>
              <w:spacing w:line="266" w:lineRule="auto"/>
              <w:rPr>
                <w:rFonts w:ascii="Arial"/>
                <w:sz w:val="21"/>
              </w:rPr>
            </w:pPr>
            <w:r/>
          </w:p>
          <w:p>
            <w:pPr>
              <w:pStyle w:val="TableText"/>
              <w:ind w:left="74"/>
              <w:spacing w:before="68"/>
              <w:rPr>
                <w:sz w:val="21"/>
                <w:szCs w:val="21"/>
              </w:rPr>
            </w:pPr>
            <w:r>
              <w:rPr>
                <w:sz w:val="21"/>
                <w:szCs w:val="21"/>
                <w:spacing w:val="-6"/>
              </w:rPr>
              <w:t>100</w:t>
            </w:r>
          </w:p>
        </w:tc>
        <w:tc>
          <w:tcPr>
            <w:tcW w:w="639" w:type="dxa"/>
            <w:vAlign w:val="top"/>
          </w:tcPr>
          <w:p>
            <w:pPr>
              <w:pStyle w:val="TableText"/>
              <w:ind w:left="103" w:hanging="89"/>
              <w:spacing w:before="178" w:line="248" w:lineRule="auto"/>
              <w:rPr>
                <w:sz w:val="21"/>
                <w:szCs w:val="21"/>
              </w:rPr>
            </w:pPr>
            <w:r>
              <w:rPr>
                <w:sz w:val="21"/>
                <w:szCs w:val="21"/>
                <w:spacing w:val="-6"/>
              </w:rPr>
              <w:t>主要排</w:t>
            </w:r>
            <w:r>
              <w:rPr>
                <w:sz w:val="21"/>
                <w:szCs w:val="21"/>
                <w:spacing w:val="1"/>
              </w:rPr>
              <w:t xml:space="preserve"> </w:t>
            </w:r>
            <w:r>
              <w:rPr>
                <w:sz w:val="21"/>
                <w:szCs w:val="21"/>
                <w:spacing w:val="13"/>
              </w:rPr>
              <w:t>放口</w:t>
            </w:r>
          </w:p>
        </w:tc>
        <w:tc>
          <w:tcPr>
            <w:tcW w:w="1149" w:type="dxa"/>
            <w:vAlign w:val="top"/>
          </w:tcPr>
          <w:p>
            <w:pPr>
              <w:spacing w:line="251" w:lineRule="auto"/>
              <w:rPr>
                <w:rFonts w:ascii="Arial"/>
                <w:sz w:val="21"/>
              </w:rPr>
            </w:pPr>
            <w:r/>
          </w:p>
          <w:p>
            <w:pPr>
              <w:pStyle w:val="TableText"/>
              <w:spacing w:before="69" w:line="224" w:lineRule="auto"/>
              <w:jc w:val="right"/>
              <w:rPr>
                <w:sz w:val="21"/>
                <w:szCs w:val="21"/>
              </w:rPr>
            </w:pPr>
            <w:r>
              <w:rPr>
                <w:sz w:val="21"/>
                <w:szCs w:val="21"/>
                <w:spacing w:val="-12"/>
              </w:rPr>
              <w:t>E104.537954]</w:t>
            </w:r>
          </w:p>
        </w:tc>
        <w:tc>
          <w:tcPr>
            <w:tcW w:w="1089" w:type="dxa"/>
            <w:vAlign w:val="top"/>
          </w:tcPr>
          <w:p>
            <w:pPr>
              <w:spacing w:line="266" w:lineRule="auto"/>
              <w:rPr>
                <w:rFonts w:ascii="Arial"/>
                <w:sz w:val="21"/>
              </w:rPr>
            </w:pPr>
            <w:r/>
          </w:p>
          <w:p>
            <w:pPr>
              <w:pStyle w:val="TableText"/>
              <w:ind w:left="16"/>
              <w:spacing w:before="68" w:line="239" w:lineRule="auto"/>
              <w:rPr>
                <w:sz w:val="21"/>
                <w:szCs w:val="21"/>
              </w:rPr>
            </w:pPr>
            <w:r>
              <w:rPr>
                <w:sz w:val="21"/>
                <w:szCs w:val="21"/>
                <w:spacing w:val="-1"/>
              </w:rPr>
              <w:t>N31.539533</w:t>
            </w:r>
          </w:p>
        </w:tc>
        <w:tc>
          <w:tcPr>
            <w:tcW w:w="2312" w:type="dxa"/>
            <w:vAlign w:val="top"/>
          </w:tcPr>
          <w:p>
            <w:pPr>
              <w:pStyle w:val="TableText"/>
              <w:spacing w:before="46" w:line="220" w:lineRule="auto"/>
              <w:rPr>
                <w:sz w:val="21"/>
                <w:szCs w:val="21"/>
              </w:rPr>
            </w:pPr>
            <w:r>
              <w:rPr>
                <w:sz w:val="21"/>
                <w:szCs w:val="21"/>
                <w:spacing w:val="-7"/>
              </w:rPr>
              <w:t>《锅炉大气污染物排放标</w:t>
            </w:r>
          </w:p>
          <w:p>
            <w:pPr>
              <w:pStyle w:val="TableText"/>
              <w:ind w:left="58"/>
              <w:spacing w:before="30" w:line="221" w:lineRule="auto"/>
              <w:rPr>
                <w:sz w:val="21"/>
                <w:szCs w:val="21"/>
              </w:rPr>
            </w:pPr>
            <w:r>
              <w:rPr>
                <w:sz w:val="21"/>
                <w:szCs w:val="21"/>
                <w:spacing w:val="3"/>
              </w:rPr>
              <w:t>准》(</w:t>
            </w:r>
            <w:r>
              <w:rPr>
                <w:sz w:val="21"/>
                <w:szCs w:val="21"/>
              </w:rPr>
              <w:t>GB</w:t>
            </w:r>
            <w:r>
              <w:rPr>
                <w:sz w:val="21"/>
                <w:szCs w:val="21"/>
                <w:spacing w:val="3"/>
              </w:rPr>
              <w:t>13271-2014)</w:t>
            </w:r>
          </w:p>
          <w:p>
            <w:pPr>
              <w:pStyle w:val="TableText"/>
              <w:ind w:left="358"/>
              <w:spacing w:before="6" w:line="196" w:lineRule="auto"/>
              <w:rPr>
                <w:sz w:val="21"/>
                <w:szCs w:val="21"/>
              </w:rPr>
            </w:pPr>
            <w:r>
              <w:rPr>
                <w:sz w:val="21"/>
                <w:szCs w:val="21"/>
                <w:spacing w:val="1"/>
              </w:rPr>
              <w:t>表3特别排放限值</w:t>
            </w:r>
          </w:p>
        </w:tc>
      </w:tr>
      <w:tr>
        <w:trPr>
          <w:trHeight w:val="823" w:hRule="atLeast"/>
        </w:trPr>
        <w:tc>
          <w:tcPr>
            <w:tcW w:w="1283" w:type="dxa"/>
            <w:vAlign w:val="top"/>
          </w:tcPr>
          <w:p>
            <w:pPr>
              <w:spacing w:line="248" w:lineRule="auto"/>
              <w:rPr>
                <w:rFonts w:ascii="Arial"/>
                <w:sz w:val="21"/>
              </w:rPr>
            </w:pPr>
            <w:r/>
          </w:p>
          <w:p>
            <w:pPr>
              <w:pStyle w:val="TableText"/>
              <w:ind w:left="424"/>
              <w:spacing w:before="68" w:line="220" w:lineRule="auto"/>
              <w:rPr>
                <w:sz w:val="21"/>
                <w:szCs w:val="21"/>
              </w:rPr>
            </w:pPr>
            <w:r>
              <w:rPr>
                <w:sz w:val="21"/>
                <w:szCs w:val="21"/>
                <w:spacing w:val="-3"/>
              </w:rPr>
              <w:t>食堂</w:t>
            </w:r>
          </w:p>
        </w:tc>
        <w:tc>
          <w:tcPr>
            <w:tcW w:w="669" w:type="dxa"/>
            <w:vAlign w:val="top"/>
          </w:tcPr>
          <w:p>
            <w:pPr>
              <w:spacing w:line="299" w:lineRule="auto"/>
              <w:rPr>
                <w:rFonts w:ascii="Arial"/>
                <w:sz w:val="21"/>
              </w:rPr>
            </w:pPr>
            <w:r/>
          </w:p>
          <w:p>
            <w:pPr>
              <w:pStyle w:val="TableText"/>
              <w:ind w:left="61"/>
              <w:spacing w:before="68" w:line="185" w:lineRule="auto"/>
              <w:rPr>
                <w:sz w:val="21"/>
                <w:szCs w:val="21"/>
              </w:rPr>
            </w:pPr>
            <w:r>
              <w:rPr>
                <w:sz w:val="21"/>
                <w:szCs w:val="21"/>
                <w:spacing w:val="-1"/>
              </w:rPr>
              <w:t>DA006</w:t>
            </w:r>
          </w:p>
        </w:tc>
        <w:tc>
          <w:tcPr>
            <w:tcW w:w="459" w:type="dxa"/>
            <w:vAlign w:val="top"/>
          </w:tcPr>
          <w:p>
            <w:pPr>
              <w:spacing w:line="268" w:lineRule="auto"/>
              <w:rPr>
                <w:rFonts w:ascii="Arial"/>
                <w:sz w:val="21"/>
              </w:rPr>
            </w:pPr>
            <w:r/>
          </w:p>
          <w:p>
            <w:pPr>
              <w:pStyle w:val="TableText"/>
              <w:ind w:left="112"/>
              <w:spacing w:before="68"/>
              <w:rPr>
                <w:sz w:val="21"/>
                <w:szCs w:val="21"/>
              </w:rPr>
            </w:pPr>
            <w:r>
              <w:rPr>
                <w:sz w:val="21"/>
                <w:szCs w:val="21"/>
                <w:spacing w:val="-6"/>
              </w:rPr>
              <w:t>15</w:t>
            </w:r>
          </w:p>
        </w:tc>
        <w:tc>
          <w:tcPr>
            <w:tcW w:w="429" w:type="dxa"/>
            <w:vAlign w:val="top"/>
          </w:tcPr>
          <w:p>
            <w:pPr>
              <w:spacing w:line="268" w:lineRule="auto"/>
              <w:rPr>
                <w:rFonts w:ascii="Arial"/>
                <w:sz w:val="21"/>
              </w:rPr>
            </w:pPr>
            <w:r/>
          </w:p>
          <w:p>
            <w:pPr>
              <w:pStyle w:val="TableText"/>
              <w:ind w:left="44"/>
              <w:spacing w:before="68" w:line="239" w:lineRule="auto"/>
              <w:rPr>
                <w:sz w:val="21"/>
                <w:szCs w:val="21"/>
              </w:rPr>
            </w:pPr>
            <w:r>
              <w:rPr>
                <w:sz w:val="21"/>
                <w:szCs w:val="21"/>
                <w:spacing w:val="-3"/>
              </w:rPr>
              <w:t>0.6</w:t>
            </w:r>
          </w:p>
        </w:tc>
        <w:tc>
          <w:tcPr>
            <w:tcW w:w="480" w:type="dxa"/>
            <w:vAlign w:val="top"/>
          </w:tcPr>
          <w:p>
            <w:pPr>
              <w:spacing w:line="268" w:lineRule="auto"/>
              <w:rPr>
                <w:rFonts w:ascii="Arial"/>
                <w:sz w:val="21"/>
              </w:rPr>
            </w:pPr>
            <w:r/>
          </w:p>
          <w:p>
            <w:pPr>
              <w:pStyle w:val="TableText"/>
              <w:ind w:left="74"/>
              <w:spacing w:before="68"/>
              <w:rPr>
                <w:sz w:val="21"/>
                <w:szCs w:val="21"/>
              </w:rPr>
            </w:pPr>
            <w:r>
              <w:rPr>
                <w:sz w:val="21"/>
                <w:szCs w:val="21"/>
                <w:spacing w:val="-6"/>
              </w:rPr>
              <w:t>100</w:t>
            </w:r>
          </w:p>
        </w:tc>
        <w:tc>
          <w:tcPr>
            <w:tcW w:w="639" w:type="dxa"/>
            <w:vAlign w:val="top"/>
          </w:tcPr>
          <w:p>
            <w:pPr>
              <w:pStyle w:val="TableText"/>
              <w:ind w:left="104"/>
              <w:spacing w:before="169" w:line="260" w:lineRule="auto"/>
              <w:rPr>
                <w:sz w:val="21"/>
                <w:szCs w:val="21"/>
              </w:rPr>
            </w:pPr>
            <w:r>
              <w:rPr>
                <w:sz w:val="20"/>
                <w:szCs w:val="20"/>
                <w:spacing w:val="-20"/>
                <w:w w:val="95"/>
              </w:rPr>
              <w:t>一般</w:t>
            </w:r>
            <w:r>
              <w:rPr>
                <w:sz w:val="20"/>
                <w:szCs w:val="20"/>
                <w:spacing w:val="-8"/>
                <w:w w:val="95"/>
              </w:rPr>
              <w:t>排</w:t>
            </w:r>
            <w:r>
              <w:rPr>
                <w:sz w:val="20"/>
                <w:szCs w:val="20"/>
                <w:spacing w:val="1"/>
              </w:rPr>
              <w:t xml:space="preserve"> </w:t>
            </w:r>
            <w:r>
              <w:rPr>
                <w:sz w:val="21"/>
                <w:szCs w:val="21"/>
                <w:spacing w:val="14"/>
              </w:rPr>
              <w:t>放口</w:t>
            </w:r>
          </w:p>
        </w:tc>
        <w:tc>
          <w:tcPr>
            <w:tcW w:w="1149" w:type="dxa"/>
            <w:vAlign w:val="top"/>
          </w:tcPr>
          <w:p>
            <w:pPr>
              <w:spacing w:line="268" w:lineRule="auto"/>
              <w:rPr>
                <w:rFonts w:ascii="Arial"/>
                <w:sz w:val="21"/>
              </w:rPr>
            </w:pPr>
            <w:r/>
          </w:p>
          <w:p>
            <w:pPr>
              <w:pStyle w:val="TableText"/>
              <w:spacing w:before="68" w:line="239" w:lineRule="auto"/>
              <w:jc w:val="right"/>
              <w:rPr>
                <w:sz w:val="21"/>
                <w:szCs w:val="21"/>
              </w:rPr>
            </w:pPr>
            <w:r>
              <w:rPr>
                <w:sz w:val="21"/>
                <w:szCs w:val="21"/>
                <w:spacing w:val="-3"/>
              </w:rPr>
              <w:t>E104.536465</w:t>
            </w:r>
          </w:p>
        </w:tc>
        <w:tc>
          <w:tcPr>
            <w:tcW w:w="1089" w:type="dxa"/>
            <w:vAlign w:val="top"/>
          </w:tcPr>
          <w:p>
            <w:pPr>
              <w:spacing w:line="268" w:lineRule="auto"/>
              <w:rPr>
                <w:rFonts w:ascii="Arial"/>
                <w:sz w:val="21"/>
              </w:rPr>
            </w:pPr>
            <w:r/>
          </w:p>
          <w:p>
            <w:pPr>
              <w:pStyle w:val="TableText"/>
              <w:ind w:left="16"/>
              <w:spacing w:before="68" w:line="239" w:lineRule="auto"/>
              <w:rPr>
                <w:sz w:val="21"/>
                <w:szCs w:val="21"/>
              </w:rPr>
            </w:pPr>
            <w:r>
              <w:rPr>
                <w:sz w:val="21"/>
                <w:szCs w:val="21"/>
                <w:spacing w:val="-1"/>
              </w:rPr>
              <w:t>N31.539142</w:t>
            </w:r>
          </w:p>
        </w:tc>
        <w:tc>
          <w:tcPr>
            <w:tcW w:w="2312" w:type="dxa"/>
            <w:vAlign w:val="top"/>
          </w:tcPr>
          <w:p>
            <w:pPr>
              <w:pStyle w:val="TableText"/>
              <w:ind w:left="42"/>
              <w:spacing w:before="28" w:line="220" w:lineRule="auto"/>
              <w:rPr>
                <w:sz w:val="21"/>
                <w:szCs w:val="21"/>
              </w:rPr>
            </w:pPr>
            <w:r>
              <w:rPr>
                <w:sz w:val="21"/>
                <w:szCs w:val="21"/>
              </w:rPr>
              <w:t>《饮食业油烟排放标准</w:t>
            </w:r>
          </w:p>
          <w:p>
            <w:pPr>
              <w:pStyle w:val="TableText"/>
              <w:ind w:left="257"/>
              <w:spacing w:before="29" w:line="220" w:lineRule="auto"/>
              <w:rPr>
                <w:sz w:val="21"/>
                <w:szCs w:val="21"/>
              </w:rPr>
            </w:pPr>
            <w:r>
              <w:rPr>
                <w:sz w:val="21"/>
                <w:szCs w:val="21"/>
              </w:rPr>
              <w:t>(试行)》(GB18483-</w:t>
            </w:r>
          </w:p>
          <w:p>
            <w:pPr>
              <w:pStyle w:val="TableText"/>
              <w:ind w:left="888"/>
              <w:spacing w:before="32" w:line="195" w:lineRule="auto"/>
              <w:rPr>
                <w:sz w:val="21"/>
                <w:szCs w:val="21"/>
              </w:rPr>
            </w:pPr>
            <w:r>
              <w:rPr>
                <w:sz w:val="21"/>
                <w:szCs w:val="21"/>
                <w:spacing w:val="-2"/>
              </w:rPr>
              <w:t>2001)</w:t>
            </w:r>
          </w:p>
        </w:tc>
      </w:tr>
    </w:tbl>
    <w:p>
      <w:pPr>
        <w:pStyle w:val="BodyText"/>
        <w:rPr/>
      </w:pPr>
      <w:r/>
    </w:p>
    <w:p>
      <w:pPr>
        <w:sectPr>
          <w:headerReference w:type="default" r:id="rId320"/>
          <w:footerReference w:type="default" r:id="rId334"/>
          <w:pgSz w:w="11910" w:h="16840"/>
          <w:pgMar w:top="1207" w:right="1715" w:bottom="962" w:left="1675" w:header="915" w:footer="791" w:gutter="0"/>
        </w:sectPr>
        <w:rPr/>
      </w:pPr>
    </w:p>
    <w:p>
      <w:pPr>
        <w:pStyle w:val="BodyText"/>
        <w:spacing w:line="242" w:lineRule="auto"/>
        <w:rPr/>
      </w:pPr>
      <w:r/>
    </w:p>
    <w:p>
      <w:pPr>
        <w:ind w:left="4808"/>
        <w:spacing w:before="75" w:line="219" w:lineRule="auto"/>
        <w:rPr>
          <w:rFonts w:ascii="SimSun" w:hAnsi="SimSun" w:eastAsia="SimSun" w:cs="SimSun"/>
          <w:sz w:val="23"/>
          <w:szCs w:val="23"/>
        </w:rPr>
      </w:pPr>
      <w:r>
        <w:rPr>
          <w:rFonts w:ascii="SimSun" w:hAnsi="SimSun" w:eastAsia="SimSun" w:cs="SimSun"/>
          <w:sz w:val="23"/>
          <w:szCs w:val="23"/>
          <w:b/>
          <w:bCs/>
          <w:spacing w:val="-3"/>
        </w:rPr>
        <w:t>表3.11-29废气污染源源强核算结果及相关参数一览表</w:t>
      </w:r>
    </w:p>
    <w:p>
      <w:pPr>
        <w:spacing w:line="59" w:lineRule="auto"/>
        <w:rPr>
          <w:rFonts w:ascii="Arial"/>
          <w:sz w:val="2"/>
        </w:rPr>
      </w:pPr>
      <w:r>
        <w:rPr>
          <w:rFonts w:ascii="Arial"/>
          <w:sz w:val="2"/>
        </w:rPr>
      </w:r>
    </w:p>
    <w:tbl>
      <w:tblPr>
        <w:tblStyle w:val="TableNormal"/>
        <w:tblW w:w="150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15"/>
        <w:gridCol w:w="510"/>
        <w:gridCol w:w="210"/>
        <w:gridCol w:w="659"/>
        <w:gridCol w:w="660"/>
        <w:gridCol w:w="509"/>
        <w:gridCol w:w="659"/>
        <w:gridCol w:w="849"/>
        <w:gridCol w:w="869"/>
        <w:gridCol w:w="4597"/>
        <w:gridCol w:w="450"/>
        <w:gridCol w:w="420"/>
        <w:gridCol w:w="670"/>
        <w:gridCol w:w="839"/>
        <w:gridCol w:w="849"/>
        <w:gridCol w:w="450"/>
        <w:gridCol w:w="1664"/>
      </w:tblGrid>
      <w:tr>
        <w:trPr>
          <w:trHeight w:val="286" w:hRule="atLeast"/>
        </w:trPr>
        <w:tc>
          <w:tcPr>
            <w:tcW w:w="215" w:type="dxa"/>
            <w:vAlign w:val="top"/>
            <w:tcBorders>
              <w:bottom w:val="nil"/>
            </w:tcBorders>
          </w:tcPr>
          <w:p>
            <w:pPr>
              <w:rPr>
                <w:rFonts w:ascii="Arial"/>
                <w:sz w:val="21"/>
              </w:rPr>
            </w:pPr>
            <w:r/>
          </w:p>
        </w:tc>
        <w:tc>
          <w:tcPr>
            <w:shd w:val="clear" w:fill="BDBDBD"/>
            <w:tcW w:w="510" w:type="dxa"/>
            <w:vAlign w:val="top"/>
            <w:vMerge w:val="restart"/>
            <w:tcBorders>
              <w:bottom w:val="nil"/>
            </w:tcBorders>
          </w:tcPr>
          <w:p>
            <w:pPr>
              <w:spacing w:line="241" w:lineRule="auto"/>
              <w:rPr>
                <w:rFonts w:ascii="Arial"/>
                <w:sz w:val="21"/>
              </w:rPr>
            </w:pPr>
            <w:r/>
          </w:p>
          <w:p>
            <w:pPr>
              <w:pStyle w:val="TableText"/>
              <w:ind w:left="32"/>
              <w:spacing w:before="68" w:line="220" w:lineRule="auto"/>
              <w:rPr>
                <w:sz w:val="21"/>
                <w:szCs w:val="21"/>
              </w:rPr>
            </w:pPr>
            <w:r>
              <w:rPr>
                <w:sz w:val="21"/>
                <w:szCs w:val="21"/>
                <w:b/>
                <w:bCs/>
                <w:spacing w:val="-5"/>
              </w:rPr>
              <w:t>装置</w:t>
            </w:r>
          </w:p>
        </w:tc>
        <w:tc>
          <w:tcPr>
            <w:shd w:val="clear" w:fill="BDBDBD"/>
            <w:tcW w:w="210" w:type="dxa"/>
            <w:vAlign w:val="top"/>
            <w:vMerge w:val="restart"/>
            <w:textDirection w:val="tbRlV"/>
            <w:tcBorders>
              <w:bottom w:val="nil"/>
            </w:tcBorders>
          </w:tcPr>
          <w:p>
            <w:pPr>
              <w:pStyle w:val="TableText"/>
              <w:ind w:left="132"/>
              <w:spacing w:before="11" w:line="196" w:lineRule="auto"/>
              <w:rPr>
                <w:sz w:val="19"/>
                <w:szCs w:val="19"/>
              </w:rPr>
            </w:pPr>
            <w:r>
              <w:rPr>
                <w:sz w:val="19"/>
                <w:szCs w:val="19"/>
                <w:b/>
                <w:bCs/>
                <w:spacing w:val="-2"/>
              </w:rPr>
              <w:t>时期</w:t>
            </w:r>
          </w:p>
        </w:tc>
        <w:tc>
          <w:tcPr>
            <w:shd w:val="clear" w:fill="BDBDBD"/>
            <w:tcW w:w="659" w:type="dxa"/>
            <w:vAlign w:val="top"/>
            <w:vMerge w:val="restart"/>
            <w:tcBorders>
              <w:bottom w:val="nil"/>
            </w:tcBorders>
          </w:tcPr>
          <w:p>
            <w:pPr>
              <w:spacing w:line="241" w:lineRule="auto"/>
              <w:rPr>
                <w:rFonts w:ascii="Arial"/>
                <w:sz w:val="21"/>
              </w:rPr>
            </w:pPr>
            <w:r/>
          </w:p>
          <w:p>
            <w:pPr>
              <w:pStyle w:val="TableText"/>
              <w:ind w:left="2"/>
              <w:spacing w:before="68" w:line="220" w:lineRule="auto"/>
              <w:rPr>
                <w:sz w:val="21"/>
                <w:szCs w:val="21"/>
              </w:rPr>
            </w:pPr>
            <w:r>
              <w:rPr>
                <w:sz w:val="21"/>
                <w:szCs w:val="21"/>
                <w:b/>
                <w:bCs/>
                <w:spacing w:val="-5"/>
              </w:rPr>
              <w:t>污染源</w:t>
            </w:r>
          </w:p>
        </w:tc>
        <w:tc>
          <w:tcPr>
            <w:shd w:val="clear" w:fill="BDBDBD"/>
            <w:tcW w:w="660" w:type="dxa"/>
            <w:vAlign w:val="top"/>
            <w:vMerge w:val="restart"/>
            <w:tcBorders>
              <w:bottom w:val="nil"/>
            </w:tcBorders>
          </w:tcPr>
          <w:p>
            <w:pPr>
              <w:spacing w:line="241" w:lineRule="auto"/>
              <w:rPr>
                <w:rFonts w:ascii="Arial"/>
                <w:sz w:val="21"/>
              </w:rPr>
            </w:pPr>
            <w:r/>
          </w:p>
          <w:p>
            <w:pPr>
              <w:pStyle w:val="TableText"/>
              <w:ind w:left="3"/>
              <w:spacing w:before="68" w:line="220" w:lineRule="auto"/>
              <w:rPr>
                <w:sz w:val="21"/>
                <w:szCs w:val="21"/>
              </w:rPr>
            </w:pPr>
            <w:r>
              <w:rPr>
                <w:sz w:val="21"/>
                <w:szCs w:val="21"/>
                <w:b/>
                <w:bCs/>
                <w:spacing w:val="-5"/>
              </w:rPr>
              <w:t>污染物</w:t>
            </w:r>
          </w:p>
        </w:tc>
        <w:tc>
          <w:tcPr>
            <w:shd w:val="clear" w:fill="BDBDBD"/>
            <w:tcW w:w="2886" w:type="dxa"/>
            <w:vAlign w:val="top"/>
            <w:gridSpan w:val="4"/>
          </w:tcPr>
          <w:p>
            <w:pPr>
              <w:pStyle w:val="TableText"/>
              <w:ind w:left="813"/>
              <w:spacing w:before="40" w:line="207" w:lineRule="auto"/>
              <w:rPr>
                <w:sz w:val="21"/>
                <w:szCs w:val="21"/>
              </w:rPr>
            </w:pPr>
            <w:r>
              <w:rPr>
                <w:sz w:val="21"/>
                <w:szCs w:val="21"/>
                <w:b/>
                <w:bCs/>
                <w:spacing w:val="-4"/>
              </w:rPr>
              <w:t>污染物的产生</w:t>
            </w:r>
          </w:p>
        </w:tc>
        <w:tc>
          <w:tcPr>
            <w:shd w:val="clear" w:fill="BDBDBD"/>
            <w:tcW w:w="5467" w:type="dxa"/>
            <w:vAlign w:val="top"/>
            <w:gridSpan w:val="3"/>
          </w:tcPr>
          <w:p>
            <w:pPr>
              <w:pStyle w:val="TableText"/>
              <w:ind w:left="2317"/>
              <w:spacing w:before="41" w:line="206" w:lineRule="auto"/>
              <w:rPr>
                <w:sz w:val="21"/>
                <w:szCs w:val="21"/>
              </w:rPr>
            </w:pPr>
            <w:r>
              <w:rPr>
                <w:sz w:val="21"/>
                <w:szCs w:val="21"/>
                <w:b/>
                <w:bCs/>
                <w:spacing w:val="-5"/>
              </w:rPr>
              <w:t>治理措施</w:t>
            </w:r>
          </w:p>
        </w:tc>
        <w:tc>
          <w:tcPr>
            <w:shd w:val="clear" w:fill="BDBDBD"/>
            <w:tcW w:w="2358" w:type="dxa"/>
            <w:vAlign w:val="top"/>
            <w:gridSpan w:val="3"/>
          </w:tcPr>
          <w:p>
            <w:pPr>
              <w:pStyle w:val="TableText"/>
              <w:ind w:left="660"/>
              <w:spacing w:before="41" w:line="206" w:lineRule="auto"/>
              <w:rPr>
                <w:sz w:val="21"/>
                <w:szCs w:val="21"/>
              </w:rPr>
            </w:pPr>
            <w:r>
              <w:rPr>
                <w:sz w:val="21"/>
                <w:szCs w:val="21"/>
                <w:b/>
                <w:bCs/>
                <w:spacing w:val="-4"/>
              </w:rPr>
              <w:t>污染物排放</w:t>
            </w:r>
          </w:p>
        </w:tc>
        <w:tc>
          <w:tcPr>
            <w:shd w:val="clear" w:fill="BDBDBD"/>
            <w:tcW w:w="450" w:type="dxa"/>
            <w:vAlign w:val="top"/>
            <w:vMerge w:val="restart"/>
            <w:tcBorders>
              <w:bottom w:val="nil"/>
            </w:tcBorders>
          </w:tcPr>
          <w:p>
            <w:pPr>
              <w:pStyle w:val="TableText"/>
              <w:ind w:left="22"/>
              <w:spacing w:before="42" w:line="229" w:lineRule="auto"/>
              <w:jc w:val="both"/>
              <w:rPr>
                <w:sz w:val="21"/>
                <w:szCs w:val="21"/>
              </w:rPr>
            </w:pPr>
            <w:r>
              <w:rPr>
                <w:sz w:val="21"/>
                <w:szCs w:val="21"/>
                <w:b/>
                <w:bCs/>
                <w:spacing w:val="-15"/>
              </w:rPr>
              <w:t>排放</w:t>
            </w:r>
            <w:r>
              <w:rPr>
                <w:sz w:val="21"/>
                <w:szCs w:val="21"/>
              </w:rPr>
              <w:t xml:space="preserve"> </w:t>
            </w:r>
            <w:r>
              <w:rPr>
                <w:sz w:val="21"/>
                <w:szCs w:val="21"/>
                <w:b/>
                <w:bCs/>
                <w:spacing w:val="-4"/>
              </w:rPr>
              <w:t>时间</w:t>
            </w:r>
            <w:r>
              <w:rPr>
                <w:sz w:val="21"/>
                <w:szCs w:val="21"/>
              </w:rPr>
              <w:t xml:space="preserve"> </w:t>
            </w:r>
            <w:r>
              <w:rPr>
                <w:sz w:val="21"/>
                <w:szCs w:val="21"/>
                <w:b/>
                <w:bCs/>
                <w:spacing w:val="13"/>
                <w:w w:val="119"/>
              </w:rPr>
              <w:t>/h</w:t>
            </w:r>
          </w:p>
        </w:tc>
        <w:tc>
          <w:tcPr>
            <w:shd w:val="clear" w:fill="BDBDBD"/>
            <w:tcW w:w="1664" w:type="dxa"/>
            <w:vAlign w:val="top"/>
            <w:vMerge w:val="restart"/>
            <w:tcBorders>
              <w:bottom w:val="nil"/>
            </w:tcBorders>
          </w:tcPr>
          <w:p>
            <w:pPr>
              <w:spacing w:line="241" w:lineRule="auto"/>
              <w:rPr>
                <w:rFonts w:ascii="Arial"/>
                <w:sz w:val="21"/>
              </w:rPr>
            </w:pPr>
            <w:r/>
          </w:p>
          <w:p>
            <w:pPr>
              <w:pStyle w:val="TableText"/>
              <w:ind w:left="412"/>
              <w:spacing w:before="68" w:line="219" w:lineRule="auto"/>
              <w:rPr>
                <w:sz w:val="21"/>
                <w:szCs w:val="21"/>
              </w:rPr>
            </w:pPr>
            <w:r>
              <w:rPr>
                <w:sz w:val="21"/>
                <w:szCs w:val="21"/>
                <w:b/>
                <w:bCs/>
                <w:spacing w:val="-4"/>
              </w:rPr>
              <w:t>执行标准</w:t>
            </w:r>
          </w:p>
        </w:tc>
      </w:tr>
      <w:tr>
        <w:trPr>
          <w:trHeight w:val="538" w:hRule="atLeast"/>
        </w:trPr>
        <w:tc>
          <w:tcPr>
            <w:shd w:val="clear" w:fill="BDBDBD"/>
            <w:tcW w:w="215" w:type="dxa"/>
            <w:vAlign w:val="top"/>
            <w:textDirection w:val="tbRlV"/>
            <w:tcBorders>
              <w:top w:val="nil"/>
            </w:tcBorders>
          </w:tcPr>
          <w:p>
            <w:pPr>
              <w:pStyle w:val="TableText"/>
              <w:spacing w:before="10" w:line="173" w:lineRule="exact"/>
              <w:rPr>
                <w:sz w:val="11"/>
                <w:szCs w:val="11"/>
              </w:rPr>
            </w:pPr>
            <w:r>
              <w:rPr>
                <w:sz w:val="11"/>
                <w:szCs w:val="11"/>
                <w:spacing w:val="12"/>
                <w:position w:val="1"/>
              </w:rPr>
              <w:t>工序</w:t>
            </w:r>
          </w:p>
        </w:tc>
        <w:tc>
          <w:tcPr>
            <w:tcW w:w="510" w:type="dxa"/>
            <w:vAlign w:val="top"/>
            <w:vMerge w:val="continue"/>
            <w:tcBorders>
              <w:top w:val="nil"/>
            </w:tcBorders>
          </w:tcPr>
          <w:p>
            <w:pPr>
              <w:rPr>
                <w:rFonts w:ascii="Arial"/>
                <w:sz w:val="21"/>
              </w:rPr>
            </w:pPr>
            <w:r/>
          </w:p>
        </w:tc>
        <w:tc>
          <w:tcPr>
            <w:tcW w:w="210" w:type="dxa"/>
            <w:vAlign w:val="top"/>
            <w:vMerge w:val="continue"/>
            <w:textDirection w:val="tbRlV"/>
            <w:tcBorders>
              <w:top w:val="nil"/>
            </w:tcBorders>
          </w:tcPr>
          <w:p>
            <w:pPr>
              <w:spacing w:line="200" w:lineRule="exact"/>
              <w:rPr>
                <w:rFonts w:ascii="Arial"/>
                <w:sz w:val="16"/>
              </w:rPr>
            </w:pPr>
            <w:r/>
          </w:p>
        </w:tc>
        <w:tc>
          <w:tcPr>
            <w:tcW w:w="659" w:type="dxa"/>
            <w:vAlign w:val="top"/>
            <w:vMerge w:val="continue"/>
            <w:tcBorders>
              <w:top w:val="nil"/>
            </w:tcBorders>
          </w:tcPr>
          <w:p>
            <w:pPr>
              <w:rPr>
                <w:rFonts w:ascii="Arial"/>
                <w:sz w:val="21"/>
              </w:rPr>
            </w:pPr>
            <w:r/>
          </w:p>
        </w:tc>
        <w:tc>
          <w:tcPr>
            <w:tcW w:w="660" w:type="dxa"/>
            <w:vAlign w:val="top"/>
            <w:vMerge w:val="continue"/>
            <w:tcBorders>
              <w:top w:val="nil"/>
            </w:tcBorders>
          </w:tcPr>
          <w:p>
            <w:pPr>
              <w:rPr>
                <w:rFonts w:ascii="Arial"/>
                <w:sz w:val="21"/>
              </w:rPr>
            </w:pPr>
            <w:r/>
          </w:p>
        </w:tc>
        <w:tc>
          <w:tcPr>
            <w:shd w:val="clear" w:fill="BDBDBD"/>
            <w:tcW w:w="509" w:type="dxa"/>
            <w:vAlign w:val="top"/>
          </w:tcPr>
          <w:p>
            <w:pPr>
              <w:pStyle w:val="TableText"/>
              <w:ind w:left="33"/>
              <w:spacing w:before="24" w:line="219" w:lineRule="auto"/>
              <w:rPr>
                <w:sz w:val="21"/>
                <w:szCs w:val="21"/>
              </w:rPr>
            </w:pPr>
            <w:r>
              <w:rPr>
                <w:sz w:val="21"/>
                <w:szCs w:val="21"/>
                <w:b/>
                <w:bCs/>
                <w:spacing w:val="-5"/>
              </w:rPr>
              <w:t>核算</w:t>
            </w:r>
          </w:p>
          <w:p>
            <w:pPr>
              <w:pStyle w:val="TableText"/>
              <w:ind w:left="33"/>
              <w:spacing w:before="2" w:line="221" w:lineRule="auto"/>
              <w:rPr>
                <w:sz w:val="21"/>
                <w:szCs w:val="21"/>
              </w:rPr>
            </w:pPr>
            <w:r>
              <w:rPr>
                <w:sz w:val="21"/>
                <w:szCs w:val="21"/>
                <w:b/>
                <w:bCs/>
                <w:spacing w:val="-5"/>
              </w:rPr>
              <w:t>方法</w:t>
            </w:r>
          </w:p>
        </w:tc>
        <w:tc>
          <w:tcPr>
            <w:shd w:val="clear" w:fill="BDBDBD"/>
            <w:tcW w:w="659" w:type="dxa"/>
            <w:vAlign w:val="top"/>
          </w:tcPr>
          <w:p>
            <w:pPr>
              <w:pStyle w:val="TableText"/>
              <w:ind w:left="4" w:right="21"/>
              <w:spacing w:before="25" w:line="221" w:lineRule="auto"/>
              <w:rPr>
                <w:sz w:val="21"/>
                <w:szCs w:val="21"/>
              </w:rPr>
            </w:pPr>
            <w:r>
              <w:rPr>
                <w:sz w:val="21"/>
                <w:szCs w:val="21"/>
                <w:b/>
                <w:bCs/>
                <w:spacing w:val="-5"/>
              </w:rPr>
              <w:t>产生量</w:t>
            </w:r>
            <w:r>
              <w:rPr>
                <w:sz w:val="21"/>
                <w:szCs w:val="21"/>
              </w:rPr>
              <w:t xml:space="preserve"> </w:t>
            </w:r>
            <w:r>
              <w:rPr>
                <w:sz w:val="21"/>
                <w:szCs w:val="21"/>
                <w:b/>
                <w:bCs/>
                <w:spacing w:val="-4"/>
              </w:rPr>
              <w:t>/(t/a)</w:t>
            </w:r>
          </w:p>
        </w:tc>
        <w:tc>
          <w:tcPr>
            <w:shd w:val="clear" w:fill="BDBDBD"/>
            <w:tcW w:w="849" w:type="dxa"/>
            <w:vAlign w:val="top"/>
          </w:tcPr>
          <w:p>
            <w:pPr>
              <w:pStyle w:val="TableText"/>
              <w:ind w:left="44" w:hanging="29"/>
              <w:spacing w:before="34" w:line="217" w:lineRule="auto"/>
              <w:rPr>
                <w:sz w:val="21"/>
                <w:szCs w:val="21"/>
              </w:rPr>
            </w:pPr>
            <w:r>
              <w:rPr>
                <w:sz w:val="21"/>
                <w:szCs w:val="21"/>
                <w:b/>
                <w:bCs/>
                <w:spacing w:val="-7"/>
              </w:rPr>
              <w:t>产生速率</w:t>
            </w:r>
            <w:r>
              <w:rPr>
                <w:sz w:val="21"/>
                <w:szCs w:val="21"/>
                <w:spacing w:val="1"/>
              </w:rPr>
              <w:t xml:space="preserve"> </w:t>
            </w:r>
            <w:r>
              <w:rPr>
                <w:sz w:val="21"/>
                <w:szCs w:val="21"/>
                <w:b/>
                <w:bCs/>
                <w:spacing w:val="-5"/>
              </w:rPr>
              <w:t>/(kg/h)</w:t>
            </w:r>
          </w:p>
        </w:tc>
        <w:tc>
          <w:tcPr>
            <w:shd w:val="clear" w:fill="BDBDBD"/>
            <w:tcW w:w="869" w:type="dxa"/>
            <w:vAlign w:val="top"/>
          </w:tcPr>
          <w:p>
            <w:pPr>
              <w:pStyle w:val="TableText"/>
              <w:ind w:left="13" w:right="20" w:hanging="7"/>
              <w:spacing w:before="34" w:line="217" w:lineRule="auto"/>
              <w:rPr>
                <w:sz w:val="21"/>
                <w:szCs w:val="21"/>
              </w:rPr>
            </w:pPr>
            <w:r>
              <w:rPr>
                <w:sz w:val="21"/>
                <w:szCs w:val="21"/>
                <w:b/>
                <w:bCs/>
                <w:spacing w:val="-5"/>
              </w:rPr>
              <w:t>产生浓度</w:t>
            </w:r>
            <w:r>
              <w:rPr>
                <w:sz w:val="21"/>
                <w:szCs w:val="21"/>
                <w:spacing w:val="1"/>
              </w:rPr>
              <w:t xml:space="preserve"> </w:t>
            </w:r>
            <w:r>
              <w:rPr>
                <w:sz w:val="21"/>
                <w:szCs w:val="21"/>
                <w:spacing w:val="-9"/>
              </w:rPr>
              <w:t>/</w:t>
            </w:r>
            <w:r>
              <w:rPr>
                <w:sz w:val="21"/>
                <w:szCs w:val="21"/>
                <w:b/>
                <w:bCs/>
                <w:spacing w:val="-9"/>
              </w:rPr>
              <w:t>(mg/m³)</w:t>
            </w:r>
          </w:p>
        </w:tc>
        <w:tc>
          <w:tcPr>
            <w:shd w:val="clear" w:fill="BDBDBD"/>
            <w:tcW w:w="4597" w:type="dxa"/>
            <w:vAlign w:val="top"/>
          </w:tcPr>
          <w:p>
            <w:pPr>
              <w:pStyle w:val="TableText"/>
              <w:ind w:left="2077"/>
              <w:spacing w:before="176" w:line="229" w:lineRule="auto"/>
              <w:rPr>
                <w:sz w:val="21"/>
                <w:szCs w:val="21"/>
              </w:rPr>
            </w:pPr>
            <w:r>
              <w:rPr>
                <w:sz w:val="21"/>
                <w:szCs w:val="21"/>
                <w:b/>
                <w:bCs/>
                <w:spacing w:val="-5"/>
              </w:rPr>
              <w:t>工艺</w:t>
            </w:r>
          </w:p>
        </w:tc>
        <w:tc>
          <w:tcPr>
            <w:shd w:val="clear" w:fill="BDBDBD"/>
            <w:tcW w:w="870" w:type="dxa"/>
            <w:vAlign w:val="top"/>
            <w:gridSpan w:val="2"/>
          </w:tcPr>
          <w:p>
            <w:pPr>
              <w:pStyle w:val="TableText"/>
              <w:ind w:left="10"/>
              <w:spacing w:before="14" w:line="219" w:lineRule="auto"/>
              <w:rPr>
                <w:sz w:val="21"/>
                <w:szCs w:val="21"/>
              </w:rPr>
            </w:pPr>
            <w:r>
              <w:rPr>
                <w:sz w:val="21"/>
                <w:szCs w:val="21"/>
                <w:b/>
                <w:bCs/>
                <w:spacing w:val="-6"/>
              </w:rPr>
              <w:t>收集处理</w:t>
            </w:r>
          </w:p>
          <w:p>
            <w:pPr>
              <w:pStyle w:val="TableText"/>
              <w:ind w:left="10"/>
              <w:spacing w:before="30" w:line="205" w:lineRule="auto"/>
              <w:rPr>
                <w:sz w:val="21"/>
                <w:szCs w:val="21"/>
              </w:rPr>
            </w:pPr>
            <w:r>
              <w:rPr>
                <w:sz w:val="21"/>
                <w:szCs w:val="21"/>
                <w:b/>
                <w:bCs/>
                <w:spacing w:val="-5"/>
              </w:rPr>
              <w:t>效率效率</w:t>
            </w:r>
          </w:p>
        </w:tc>
        <w:tc>
          <w:tcPr>
            <w:shd w:val="clear" w:fill="BDBDBD"/>
            <w:tcW w:w="670" w:type="dxa"/>
            <w:vAlign w:val="top"/>
          </w:tcPr>
          <w:p>
            <w:pPr>
              <w:pStyle w:val="TableText"/>
              <w:ind w:left="76" w:hanging="46"/>
              <w:spacing w:before="16" w:line="225" w:lineRule="auto"/>
              <w:rPr>
                <w:sz w:val="21"/>
                <w:szCs w:val="21"/>
              </w:rPr>
            </w:pPr>
            <w:r>
              <w:rPr>
                <w:sz w:val="21"/>
                <w:szCs w:val="21"/>
                <w:b/>
                <w:bCs/>
                <w:spacing w:val="-19"/>
              </w:rPr>
              <w:t>排放量</w:t>
            </w:r>
            <w:r>
              <w:rPr>
                <w:sz w:val="21"/>
                <w:szCs w:val="21"/>
              </w:rPr>
              <w:t xml:space="preserve"> </w:t>
            </w:r>
            <w:r>
              <w:rPr>
                <w:sz w:val="21"/>
                <w:szCs w:val="21"/>
                <w:b/>
                <w:bCs/>
                <w:spacing w:val="-11"/>
              </w:rPr>
              <w:t>/(t/a)</w:t>
            </w:r>
          </w:p>
        </w:tc>
        <w:tc>
          <w:tcPr>
            <w:shd w:val="clear" w:fill="BDBDBD"/>
            <w:tcW w:w="839" w:type="dxa"/>
            <w:vAlign w:val="top"/>
          </w:tcPr>
          <w:p>
            <w:pPr>
              <w:pStyle w:val="TableText"/>
              <w:ind w:left="49" w:hanging="29"/>
              <w:spacing w:before="13" w:line="226" w:lineRule="auto"/>
              <w:rPr>
                <w:sz w:val="21"/>
                <w:szCs w:val="21"/>
              </w:rPr>
            </w:pPr>
            <w:r>
              <w:rPr>
                <w:sz w:val="21"/>
                <w:szCs w:val="21"/>
                <w:b/>
                <w:bCs/>
                <w:spacing w:val="-12"/>
              </w:rPr>
              <w:t>排</w:t>
            </w:r>
            <w:r>
              <w:rPr>
                <w:sz w:val="21"/>
                <w:szCs w:val="21"/>
                <w:b/>
                <w:bCs/>
                <w:spacing w:val="-11"/>
              </w:rPr>
              <w:t>放速</w:t>
            </w:r>
            <w:r>
              <w:rPr>
                <w:sz w:val="21"/>
                <w:szCs w:val="21"/>
                <w:b/>
                <w:bCs/>
                <w:spacing w:val="-10"/>
              </w:rPr>
              <w:t>率</w:t>
            </w:r>
            <w:r>
              <w:rPr>
                <w:sz w:val="21"/>
                <w:szCs w:val="21"/>
                <w:spacing w:val="2"/>
              </w:rPr>
              <w:t xml:space="preserve"> </w:t>
            </w:r>
            <w:r>
              <w:rPr>
                <w:sz w:val="21"/>
                <w:szCs w:val="21"/>
                <w:b/>
                <w:bCs/>
                <w:spacing w:val="-6"/>
              </w:rPr>
              <w:t>/(kg/h)</w:t>
            </w:r>
          </w:p>
        </w:tc>
        <w:tc>
          <w:tcPr>
            <w:shd w:val="clear" w:fill="BDBDBD"/>
            <w:tcW w:w="849" w:type="dxa"/>
            <w:vAlign w:val="top"/>
          </w:tcPr>
          <w:p>
            <w:pPr>
              <w:pStyle w:val="TableText"/>
              <w:ind w:left="18" w:firstLine="2"/>
              <w:spacing w:before="16" w:line="225" w:lineRule="auto"/>
              <w:rPr>
                <w:sz w:val="21"/>
                <w:szCs w:val="21"/>
              </w:rPr>
            </w:pPr>
            <w:r>
              <w:rPr>
                <w:sz w:val="21"/>
                <w:szCs w:val="21"/>
                <w:b/>
                <w:bCs/>
                <w:spacing w:val="-8"/>
              </w:rPr>
              <w:t>排放浓度</w:t>
            </w:r>
            <w:r>
              <w:rPr>
                <w:sz w:val="21"/>
                <w:szCs w:val="21"/>
              </w:rPr>
              <w:t xml:space="preserve"> </w:t>
            </w:r>
            <w:r>
              <w:rPr>
                <w:sz w:val="21"/>
                <w:szCs w:val="21"/>
                <w:spacing w:val="-10"/>
              </w:rPr>
              <w:t>/</w:t>
            </w:r>
            <w:r>
              <w:rPr>
                <w:sz w:val="21"/>
                <w:szCs w:val="21"/>
                <w:b/>
                <w:bCs/>
                <w:spacing w:val="-10"/>
              </w:rPr>
              <w:t>(mg/m³)</w:t>
            </w:r>
          </w:p>
        </w:tc>
        <w:tc>
          <w:tcPr>
            <w:tcW w:w="450" w:type="dxa"/>
            <w:vAlign w:val="top"/>
            <w:vMerge w:val="continue"/>
            <w:tcBorders>
              <w:top w:val="nil"/>
            </w:tcBorders>
          </w:tcPr>
          <w:p>
            <w:pPr>
              <w:rPr>
                <w:rFonts w:ascii="Arial"/>
                <w:sz w:val="21"/>
              </w:rPr>
            </w:pPr>
            <w:r/>
          </w:p>
        </w:tc>
        <w:tc>
          <w:tcPr>
            <w:tcW w:w="1664" w:type="dxa"/>
            <w:vAlign w:val="top"/>
            <w:vMerge w:val="continue"/>
            <w:tcBorders>
              <w:top w:val="nil"/>
            </w:tcBorders>
          </w:tcPr>
          <w:p>
            <w:pPr>
              <w:rPr>
                <w:rFonts w:ascii="Arial"/>
                <w:sz w:val="21"/>
              </w:rPr>
            </w:pPr>
            <w:r/>
          </w:p>
        </w:tc>
      </w:tr>
      <w:tr>
        <w:trPr>
          <w:trHeight w:val="445" w:hRule="atLeast"/>
        </w:trPr>
        <w:tc>
          <w:tcPr>
            <w:tcW w:w="215" w:type="dxa"/>
            <w:vAlign w:val="top"/>
            <w:tcBorders>
              <w:bottom w:val="nil"/>
            </w:tcBorders>
          </w:tcPr>
          <w:p>
            <w:pPr>
              <w:rPr>
                <w:rFonts w:ascii="Arial"/>
                <w:sz w:val="21"/>
              </w:rPr>
            </w:pPr>
            <w:r/>
          </w:p>
        </w:tc>
        <w:tc>
          <w:tcPr>
            <w:tcW w:w="510" w:type="dxa"/>
            <w:vAlign w:val="top"/>
            <w:vMerge w:val="restart"/>
            <w:tcBorders>
              <w:bottom w:val="nil"/>
            </w:tcBorders>
          </w:tcPr>
          <w:p>
            <w:pPr>
              <w:spacing w:line="311" w:lineRule="auto"/>
              <w:rPr>
                <w:rFonts w:ascii="Arial"/>
                <w:sz w:val="21"/>
              </w:rPr>
            </w:pPr>
            <w:r/>
          </w:p>
          <w:p>
            <w:pPr>
              <w:spacing w:line="312" w:lineRule="auto"/>
              <w:rPr>
                <w:rFonts w:ascii="Arial"/>
                <w:sz w:val="21"/>
              </w:rPr>
            </w:pPr>
            <w:r/>
          </w:p>
          <w:p>
            <w:pPr>
              <w:spacing w:line="312" w:lineRule="auto"/>
              <w:rPr>
                <w:rFonts w:ascii="Arial"/>
                <w:sz w:val="21"/>
              </w:rPr>
            </w:pPr>
            <w:r/>
          </w:p>
          <w:p>
            <w:pPr>
              <w:pStyle w:val="TableText"/>
              <w:ind w:left="29" w:right="33"/>
              <w:spacing w:before="69" w:line="215" w:lineRule="auto"/>
              <w:rPr>
                <w:sz w:val="21"/>
                <w:szCs w:val="21"/>
              </w:rPr>
            </w:pPr>
            <w:r>
              <w:rPr>
                <w:sz w:val="21"/>
                <w:szCs w:val="21"/>
                <w:spacing w:val="-5"/>
              </w:rPr>
              <w:t>生猪</w:t>
            </w:r>
            <w:r>
              <w:rPr>
                <w:sz w:val="21"/>
                <w:szCs w:val="21"/>
              </w:rPr>
              <w:t xml:space="preserve"> </w:t>
            </w:r>
            <w:r>
              <w:rPr>
                <w:sz w:val="21"/>
                <w:szCs w:val="21"/>
                <w:spacing w:val="8"/>
              </w:rPr>
              <w:t>待宰</w:t>
            </w:r>
          </w:p>
          <w:p>
            <w:pPr>
              <w:pStyle w:val="TableText"/>
              <w:ind w:left="29"/>
              <w:spacing w:before="41" w:line="221" w:lineRule="auto"/>
              <w:rPr>
                <w:sz w:val="21"/>
                <w:szCs w:val="21"/>
              </w:rPr>
            </w:pPr>
            <w:r>
              <w:rPr>
                <w:sz w:val="21"/>
                <w:szCs w:val="21"/>
                <w:spacing w:val="4"/>
              </w:rPr>
              <w:t>圈舍</w:t>
            </w:r>
          </w:p>
        </w:tc>
        <w:tc>
          <w:tcPr>
            <w:tcW w:w="210" w:type="dxa"/>
            <w:vAlign w:val="top"/>
            <w:vMerge w:val="restart"/>
            <w:textDirection w:val="tbRlV"/>
            <w:tcBorders>
              <w:bottom w:val="nil"/>
            </w:tcBorders>
          </w:tcPr>
          <w:p>
            <w:pPr>
              <w:pStyle w:val="TableText"/>
              <w:ind w:left="427"/>
              <w:spacing w:before="8" w:line="192" w:lineRule="auto"/>
              <w:rPr>
                <w:sz w:val="21"/>
                <w:szCs w:val="21"/>
              </w:rPr>
            </w:pPr>
            <w:r>
              <w:rPr>
                <w:sz w:val="21"/>
                <w:szCs w:val="21"/>
              </w:rPr>
              <w:t>淡</w:t>
            </w:r>
          </w:p>
        </w:tc>
        <w:tc>
          <w:tcPr>
            <w:tcW w:w="659" w:type="dxa"/>
            <w:vAlign w:val="top"/>
            <w:vMerge w:val="restart"/>
            <w:tcBorders>
              <w:bottom w:val="nil"/>
            </w:tcBorders>
          </w:tcPr>
          <w:p>
            <w:pPr>
              <w:pStyle w:val="TableText"/>
              <w:spacing w:before="300" w:line="220" w:lineRule="auto"/>
              <w:rPr>
                <w:sz w:val="21"/>
                <w:szCs w:val="21"/>
              </w:rPr>
            </w:pPr>
            <w:r>
              <w:rPr>
                <w:sz w:val="21"/>
                <w:szCs w:val="21"/>
                <w:spacing w:val="3"/>
              </w:rPr>
              <w:t>有组织</w:t>
            </w:r>
          </w:p>
        </w:tc>
        <w:tc>
          <w:tcPr>
            <w:tcW w:w="660" w:type="dxa"/>
            <w:vAlign w:val="top"/>
          </w:tcPr>
          <w:p>
            <w:pPr>
              <w:pStyle w:val="TableText"/>
              <w:ind w:left="110"/>
              <w:spacing w:before="152" w:line="182"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509" w:type="dxa"/>
            <w:vAlign w:val="top"/>
            <w:vMerge w:val="restart"/>
            <w:tcBorders>
              <w:bottom w:val="nil"/>
            </w:tcBorders>
          </w:tcPr>
          <w:p>
            <w:pPr>
              <w:spacing w:line="369" w:lineRule="auto"/>
              <w:rPr>
                <w:rFonts w:ascii="Arial"/>
                <w:sz w:val="21"/>
              </w:rPr>
            </w:pPr>
            <w:r/>
          </w:p>
          <w:p>
            <w:pPr>
              <w:pStyle w:val="TableText"/>
              <w:ind w:left="139" w:right="35" w:hanging="109"/>
              <w:spacing w:before="68" w:line="257" w:lineRule="auto"/>
              <w:rPr>
                <w:sz w:val="21"/>
                <w:szCs w:val="21"/>
              </w:rPr>
            </w:pPr>
            <w:r>
              <w:rPr>
                <w:sz w:val="21"/>
                <w:szCs w:val="21"/>
                <w:spacing w:val="6"/>
              </w:rPr>
              <w:t>类比</w:t>
            </w:r>
            <w:r>
              <w:rPr>
                <w:sz w:val="21"/>
                <w:szCs w:val="21"/>
              </w:rPr>
              <w:t xml:space="preserve"> </w:t>
            </w:r>
            <w:r>
              <w:rPr>
                <w:sz w:val="21"/>
                <w:szCs w:val="21"/>
              </w:rPr>
              <w:t>法</w:t>
            </w:r>
          </w:p>
        </w:tc>
        <w:tc>
          <w:tcPr>
            <w:tcW w:w="659" w:type="dxa"/>
            <w:vAlign w:val="top"/>
          </w:tcPr>
          <w:p>
            <w:pPr>
              <w:pStyle w:val="TableText"/>
              <w:ind w:left="1"/>
              <w:spacing w:before="140" w:line="239" w:lineRule="auto"/>
              <w:rPr>
                <w:sz w:val="21"/>
                <w:szCs w:val="21"/>
              </w:rPr>
            </w:pPr>
            <w:r>
              <w:rPr>
                <w:sz w:val="21"/>
                <w:szCs w:val="21"/>
                <w:spacing w:val="-2"/>
              </w:rPr>
              <w:t>0.4293</w:t>
            </w:r>
          </w:p>
        </w:tc>
        <w:tc>
          <w:tcPr>
            <w:tcW w:w="849" w:type="dxa"/>
            <w:vAlign w:val="top"/>
          </w:tcPr>
          <w:p>
            <w:pPr>
              <w:pStyle w:val="TableText"/>
              <w:ind w:left="102"/>
              <w:spacing w:before="140" w:line="239" w:lineRule="auto"/>
              <w:rPr>
                <w:sz w:val="21"/>
                <w:szCs w:val="21"/>
              </w:rPr>
            </w:pPr>
            <w:r>
              <w:rPr>
                <w:sz w:val="21"/>
                <w:szCs w:val="21"/>
                <w:spacing w:val="-2"/>
              </w:rPr>
              <w:t>0.1325</w:t>
            </w:r>
          </w:p>
        </w:tc>
        <w:tc>
          <w:tcPr>
            <w:tcW w:w="869" w:type="dxa"/>
            <w:vAlign w:val="top"/>
          </w:tcPr>
          <w:p>
            <w:pPr>
              <w:pStyle w:val="TableText"/>
              <w:ind w:left="213"/>
              <w:spacing w:before="140" w:line="239" w:lineRule="auto"/>
              <w:rPr>
                <w:sz w:val="21"/>
                <w:szCs w:val="21"/>
              </w:rPr>
            </w:pPr>
            <w:r>
              <w:rPr>
                <w:sz w:val="21"/>
                <w:szCs w:val="21"/>
                <w:spacing w:val="-2"/>
              </w:rPr>
              <w:t>4.42</w:t>
            </w:r>
          </w:p>
        </w:tc>
        <w:tc>
          <w:tcPr>
            <w:tcW w:w="4597" w:type="dxa"/>
            <w:vAlign w:val="top"/>
            <w:vMerge w:val="restart"/>
            <w:tcBorders>
              <w:bottom w:val="nil"/>
            </w:tcBorders>
          </w:tcPr>
          <w:p>
            <w:pPr>
              <w:pStyle w:val="TableText"/>
              <w:ind w:left="14" w:right="463"/>
              <w:spacing w:before="37"/>
              <w:rPr>
                <w:sz w:val="21"/>
                <w:szCs w:val="21"/>
              </w:rPr>
            </w:pPr>
            <w:r>
              <w:rPr>
                <w:sz w:val="21"/>
                <w:szCs w:val="21"/>
                <w:spacing w:val="4"/>
              </w:rPr>
              <w:t>负压收集(风量30000m³/h)+喷淋+</w:t>
            </w:r>
            <w:r>
              <w:rPr>
                <w:sz w:val="21"/>
                <w:szCs w:val="21"/>
              </w:rPr>
              <w:t>UV</w:t>
            </w:r>
            <w:r>
              <w:rPr>
                <w:sz w:val="21"/>
                <w:szCs w:val="21"/>
                <w:spacing w:val="4"/>
              </w:rPr>
              <w:t>光解+活</w:t>
            </w:r>
            <w:r>
              <w:rPr>
                <w:sz w:val="21"/>
                <w:szCs w:val="21"/>
                <w:spacing w:val="17"/>
              </w:rPr>
              <w:t xml:space="preserve"> </w:t>
            </w:r>
            <w:r>
              <w:rPr>
                <w:sz w:val="21"/>
                <w:szCs w:val="21"/>
              </w:rPr>
              <w:t>性炭吸附装置(TA001)+15m高排气筒</w:t>
            </w:r>
          </w:p>
          <w:p>
            <w:pPr>
              <w:pStyle w:val="TableText"/>
              <w:ind w:left="14"/>
              <w:spacing w:before="2" w:line="181" w:lineRule="auto"/>
              <w:rPr>
                <w:sz w:val="21"/>
                <w:szCs w:val="21"/>
              </w:rPr>
            </w:pPr>
            <w:r>
              <w:rPr>
                <w:sz w:val="21"/>
                <w:szCs w:val="21"/>
              </w:rPr>
              <w:t>(DA001),有组织排放。</w:t>
            </w:r>
          </w:p>
        </w:tc>
        <w:tc>
          <w:tcPr>
            <w:tcW w:w="450" w:type="dxa"/>
            <w:vAlign w:val="top"/>
          </w:tcPr>
          <w:p>
            <w:pPr>
              <w:pStyle w:val="TableText"/>
              <w:ind w:left="57"/>
              <w:spacing w:before="140"/>
              <w:rPr>
                <w:sz w:val="21"/>
                <w:szCs w:val="21"/>
              </w:rPr>
            </w:pPr>
            <w:r>
              <w:rPr>
                <w:sz w:val="21"/>
                <w:szCs w:val="21"/>
                <w:spacing w:val="-3"/>
              </w:rPr>
              <w:t>95%</w:t>
            </w:r>
          </w:p>
        </w:tc>
        <w:tc>
          <w:tcPr>
            <w:tcW w:w="420" w:type="dxa"/>
            <w:vAlign w:val="top"/>
          </w:tcPr>
          <w:p>
            <w:pPr>
              <w:pStyle w:val="TableText"/>
              <w:ind w:left="47"/>
              <w:spacing w:before="140"/>
              <w:rPr>
                <w:sz w:val="21"/>
                <w:szCs w:val="21"/>
              </w:rPr>
            </w:pPr>
            <w:r>
              <w:rPr>
                <w:sz w:val="21"/>
                <w:szCs w:val="21"/>
                <w:spacing w:val="-3"/>
              </w:rPr>
              <w:t>95%</w:t>
            </w:r>
          </w:p>
        </w:tc>
        <w:tc>
          <w:tcPr>
            <w:tcW w:w="670" w:type="dxa"/>
            <w:vAlign w:val="top"/>
          </w:tcPr>
          <w:p>
            <w:pPr>
              <w:pStyle w:val="TableText"/>
              <w:ind w:left="17"/>
              <w:spacing w:before="140" w:line="239" w:lineRule="auto"/>
              <w:rPr>
                <w:sz w:val="21"/>
                <w:szCs w:val="21"/>
              </w:rPr>
            </w:pPr>
            <w:r>
              <w:rPr>
                <w:sz w:val="21"/>
                <w:szCs w:val="21"/>
                <w:spacing w:val="-2"/>
              </w:rPr>
              <w:t>0.0204</w:t>
            </w:r>
          </w:p>
        </w:tc>
        <w:tc>
          <w:tcPr>
            <w:tcW w:w="839" w:type="dxa"/>
            <w:vAlign w:val="top"/>
          </w:tcPr>
          <w:p>
            <w:pPr>
              <w:pStyle w:val="TableText"/>
              <w:ind w:left="97"/>
              <w:spacing w:before="140" w:line="239" w:lineRule="auto"/>
              <w:rPr>
                <w:sz w:val="21"/>
                <w:szCs w:val="21"/>
              </w:rPr>
            </w:pPr>
            <w:r>
              <w:rPr>
                <w:sz w:val="21"/>
                <w:szCs w:val="21"/>
                <w:spacing w:val="-2"/>
              </w:rPr>
              <w:t>0.0063</w:t>
            </w:r>
          </w:p>
        </w:tc>
        <w:tc>
          <w:tcPr>
            <w:tcW w:w="849" w:type="dxa"/>
            <w:vAlign w:val="top"/>
          </w:tcPr>
          <w:p>
            <w:pPr>
              <w:pStyle w:val="TableText"/>
              <w:ind w:left="208"/>
              <w:spacing w:before="140" w:line="239" w:lineRule="auto"/>
              <w:rPr>
                <w:sz w:val="21"/>
                <w:szCs w:val="21"/>
              </w:rPr>
            </w:pPr>
            <w:r>
              <w:rPr>
                <w:sz w:val="21"/>
                <w:szCs w:val="21"/>
                <w:spacing w:val="-2"/>
              </w:rPr>
              <w:t>0.21</w:t>
            </w:r>
          </w:p>
        </w:tc>
        <w:tc>
          <w:tcPr>
            <w:tcW w:w="450" w:type="dxa"/>
            <w:vAlign w:val="top"/>
            <w:vMerge w:val="restart"/>
            <w:tcBorders>
              <w:bottom w:val="nil"/>
            </w:tcBorders>
          </w:tcPr>
          <w:p>
            <w:pPr>
              <w:spacing w:line="264" w:lineRule="auto"/>
              <w:rPr>
                <w:rFonts w:ascii="Arial"/>
                <w:sz w:val="21"/>
              </w:rPr>
            </w:pPr>
            <w:r/>
          </w:p>
          <w:p>
            <w:pPr>
              <w:spacing w:line="264" w:lineRule="auto"/>
              <w:rPr>
                <w:rFonts w:ascii="Arial"/>
                <w:sz w:val="21"/>
              </w:rPr>
            </w:pPr>
            <w:r/>
          </w:p>
          <w:p>
            <w:pPr>
              <w:pStyle w:val="TableText"/>
              <w:ind w:left="19"/>
              <w:spacing w:before="68"/>
              <w:rPr>
                <w:sz w:val="21"/>
                <w:szCs w:val="21"/>
              </w:rPr>
            </w:pPr>
            <w:r>
              <w:rPr>
                <w:sz w:val="21"/>
                <w:szCs w:val="21"/>
                <w:spacing w:val="-2"/>
              </w:rPr>
              <w:t>6480</w:t>
            </w:r>
          </w:p>
        </w:tc>
        <w:tc>
          <w:tcPr>
            <w:tcW w:w="1664" w:type="dxa"/>
            <w:vAlign w:val="top"/>
            <w:vMerge w:val="restart"/>
            <w:tcBorders>
              <w:bottom w:val="nil"/>
            </w:tcBorders>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34"/>
              <w:spacing w:before="69" w:line="219" w:lineRule="auto"/>
              <w:rPr>
                <w:sz w:val="21"/>
                <w:szCs w:val="21"/>
              </w:rPr>
            </w:pPr>
            <w:r>
              <w:rPr>
                <w:sz w:val="21"/>
                <w:szCs w:val="21"/>
              </w:rPr>
              <w:t>《恶臭污染物排</w:t>
            </w:r>
          </w:p>
          <w:p>
            <w:pPr>
              <w:pStyle w:val="TableText"/>
              <w:ind w:left="459"/>
              <w:spacing w:before="31" w:line="220" w:lineRule="auto"/>
              <w:rPr>
                <w:sz w:val="21"/>
                <w:szCs w:val="21"/>
              </w:rPr>
            </w:pPr>
            <w:r>
              <w:rPr>
                <w:sz w:val="21"/>
                <w:szCs w:val="21"/>
                <w:spacing w:val="-4"/>
              </w:rPr>
              <w:t>放标准》</w:t>
            </w:r>
          </w:p>
          <w:p>
            <w:pPr>
              <w:pStyle w:val="TableText"/>
              <w:ind w:left="199"/>
              <w:spacing w:before="42" w:line="222" w:lineRule="auto"/>
              <w:rPr>
                <w:sz w:val="21"/>
                <w:szCs w:val="21"/>
              </w:rPr>
            </w:pPr>
            <w:r>
              <w:rPr>
                <w:sz w:val="21"/>
                <w:szCs w:val="21"/>
                <w:spacing w:val="-4"/>
              </w:rPr>
              <w:t>(GB14554-93)</w:t>
            </w:r>
          </w:p>
        </w:tc>
      </w:tr>
      <w:tr>
        <w:trPr>
          <w:trHeight w:val="347" w:hRule="atLeast"/>
        </w:trPr>
        <w:tc>
          <w:tcPr>
            <w:tcW w:w="215" w:type="dxa"/>
            <w:vAlign w:val="top"/>
            <w:tcBorders>
              <w:bottom w:val="nil"/>
              <w:top w:val="nil"/>
            </w:tcBorders>
          </w:tcPr>
          <w:p>
            <w:pPr>
              <w:rPr>
                <w:rFonts w:ascii="Arial"/>
                <w:sz w:val="21"/>
              </w:rPr>
            </w:pPr>
            <w:r/>
          </w:p>
        </w:tc>
        <w:tc>
          <w:tcPr>
            <w:tcW w:w="510" w:type="dxa"/>
            <w:vAlign w:val="top"/>
            <w:vMerge w:val="continue"/>
            <w:tcBorders>
              <w:top w:val="nil"/>
              <w:bottom w:val="nil"/>
            </w:tcBorders>
          </w:tcPr>
          <w:p>
            <w:pPr>
              <w:rPr>
                <w:rFonts w:ascii="Arial"/>
                <w:sz w:val="21"/>
              </w:rPr>
            </w:pPr>
            <w:r/>
          </w:p>
        </w:tc>
        <w:tc>
          <w:tcPr>
            <w:tcW w:w="210" w:type="dxa"/>
            <w:vAlign w:val="top"/>
            <w:vMerge w:val="continue"/>
            <w:textDirection w:val="tbRlV"/>
            <w:tcBorders>
              <w:top w:val="nil"/>
            </w:tcBorders>
          </w:tcPr>
          <w:p>
            <w:pPr>
              <w:spacing w:line="200" w:lineRule="exact"/>
              <w:rPr>
                <w:rFonts w:ascii="Arial"/>
                <w:sz w:val="16"/>
              </w:rPr>
            </w:pPr>
            <w:r/>
          </w:p>
        </w:tc>
        <w:tc>
          <w:tcPr>
            <w:tcW w:w="659" w:type="dxa"/>
            <w:vAlign w:val="top"/>
            <w:vMerge w:val="continue"/>
            <w:tcBorders>
              <w:top w:val="nil"/>
            </w:tcBorders>
          </w:tcPr>
          <w:p>
            <w:pPr>
              <w:rPr>
                <w:rFonts w:ascii="Arial"/>
                <w:sz w:val="21"/>
              </w:rPr>
            </w:pPr>
            <w:r/>
          </w:p>
        </w:tc>
        <w:tc>
          <w:tcPr>
            <w:tcW w:w="660" w:type="dxa"/>
            <w:vAlign w:val="top"/>
          </w:tcPr>
          <w:p>
            <w:pPr>
              <w:pStyle w:val="TableText"/>
              <w:ind w:left="110"/>
              <w:spacing w:before="108" w:line="183"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509" w:type="dxa"/>
            <w:vAlign w:val="top"/>
            <w:vMerge w:val="continue"/>
            <w:tcBorders>
              <w:top w:val="nil"/>
              <w:bottom w:val="nil"/>
            </w:tcBorders>
          </w:tcPr>
          <w:p>
            <w:pPr>
              <w:rPr>
                <w:rFonts w:ascii="Arial"/>
                <w:sz w:val="21"/>
              </w:rPr>
            </w:pPr>
            <w:r/>
          </w:p>
        </w:tc>
        <w:tc>
          <w:tcPr>
            <w:tcW w:w="659" w:type="dxa"/>
            <w:vAlign w:val="top"/>
          </w:tcPr>
          <w:p>
            <w:pPr>
              <w:pStyle w:val="TableText"/>
              <w:ind w:left="1"/>
              <w:spacing w:before="95" w:line="212" w:lineRule="auto"/>
              <w:rPr>
                <w:sz w:val="21"/>
                <w:szCs w:val="21"/>
              </w:rPr>
            </w:pPr>
            <w:r>
              <w:rPr>
                <w:sz w:val="21"/>
                <w:szCs w:val="21"/>
                <w:spacing w:val="-2"/>
              </w:rPr>
              <w:t>0.1593</w:t>
            </w:r>
          </w:p>
        </w:tc>
        <w:tc>
          <w:tcPr>
            <w:tcW w:w="849" w:type="dxa"/>
            <w:vAlign w:val="top"/>
          </w:tcPr>
          <w:p>
            <w:pPr>
              <w:pStyle w:val="TableText"/>
              <w:ind w:left="102"/>
              <w:spacing w:before="95" w:line="212" w:lineRule="auto"/>
              <w:rPr>
                <w:sz w:val="21"/>
                <w:szCs w:val="21"/>
              </w:rPr>
            </w:pPr>
            <w:r>
              <w:rPr>
                <w:sz w:val="21"/>
                <w:szCs w:val="21"/>
                <w:spacing w:val="-2"/>
              </w:rPr>
              <w:t>0.0492</w:t>
            </w:r>
          </w:p>
        </w:tc>
        <w:tc>
          <w:tcPr>
            <w:tcW w:w="869" w:type="dxa"/>
            <w:vAlign w:val="top"/>
          </w:tcPr>
          <w:p>
            <w:pPr>
              <w:pStyle w:val="TableText"/>
              <w:ind w:left="213"/>
              <w:spacing w:before="95" w:line="212" w:lineRule="auto"/>
              <w:rPr>
                <w:sz w:val="21"/>
                <w:szCs w:val="21"/>
              </w:rPr>
            </w:pPr>
            <w:r>
              <w:rPr>
                <w:sz w:val="21"/>
                <w:szCs w:val="21"/>
                <w:spacing w:val="-5"/>
              </w:rPr>
              <w:t>1.64</w:t>
            </w:r>
          </w:p>
        </w:tc>
        <w:tc>
          <w:tcPr>
            <w:tcW w:w="4597" w:type="dxa"/>
            <w:vAlign w:val="top"/>
            <w:vMerge w:val="continue"/>
            <w:tcBorders>
              <w:top w:val="nil"/>
            </w:tcBorders>
          </w:tcPr>
          <w:p>
            <w:pPr>
              <w:rPr>
                <w:rFonts w:ascii="Arial"/>
                <w:sz w:val="21"/>
              </w:rPr>
            </w:pPr>
            <w:r/>
          </w:p>
        </w:tc>
        <w:tc>
          <w:tcPr>
            <w:tcW w:w="450" w:type="dxa"/>
            <w:vAlign w:val="top"/>
          </w:tcPr>
          <w:p>
            <w:pPr>
              <w:pStyle w:val="TableText"/>
              <w:ind w:left="57"/>
              <w:spacing w:before="95" w:line="212" w:lineRule="auto"/>
              <w:rPr>
                <w:sz w:val="21"/>
                <w:szCs w:val="21"/>
              </w:rPr>
            </w:pPr>
            <w:r>
              <w:rPr>
                <w:sz w:val="21"/>
                <w:szCs w:val="21"/>
                <w:spacing w:val="-3"/>
              </w:rPr>
              <w:t>95%</w:t>
            </w:r>
          </w:p>
        </w:tc>
        <w:tc>
          <w:tcPr>
            <w:tcW w:w="420" w:type="dxa"/>
            <w:vAlign w:val="top"/>
          </w:tcPr>
          <w:p>
            <w:pPr>
              <w:pStyle w:val="TableText"/>
              <w:ind w:left="47"/>
              <w:spacing w:before="95" w:line="212" w:lineRule="auto"/>
              <w:rPr>
                <w:sz w:val="21"/>
                <w:szCs w:val="21"/>
              </w:rPr>
            </w:pPr>
            <w:r>
              <w:rPr>
                <w:sz w:val="21"/>
                <w:szCs w:val="21"/>
                <w:spacing w:val="-3"/>
              </w:rPr>
              <w:t>95%</w:t>
            </w:r>
          </w:p>
        </w:tc>
        <w:tc>
          <w:tcPr>
            <w:tcW w:w="670" w:type="dxa"/>
            <w:vAlign w:val="top"/>
          </w:tcPr>
          <w:p>
            <w:pPr>
              <w:pStyle w:val="TableText"/>
              <w:ind w:left="27"/>
              <w:spacing w:before="95" w:line="212" w:lineRule="auto"/>
              <w:rPr>
                <w:sz w:val="21"/>
                <w:szCs w:val="21"/>
              </w:rPr>
            </w:pPr>
            <w:r>
              <w:rPr>
                <w:sz w:val="21"/>
                <w:szCs w:val="21"/>
                <w:spacing w:val="-2"/>
              </w:rPr>
              <w:t>0.0076</w:t>
            </w:r>
          </w:p>
        </w:tc>
        <w:tc>
          <w:tcPr>
            <w:tcW w:w="839" w:type="dxa"/>
            <w:vAlign w:val="top"/>
          </w:tcPr>
          <w:p>
            <w:pPr>
              <w:pStyle w:val="TableText"/>
              <w:ind w:left="97"/>
              <w:spacing w:before="95" w:line="212" w:lineRule="auto"/>
              <w:rPr>
                <w:sz w:val="21"/>
                <w:szCs w:val="21"/>
              </w:rPr>
            </w:pPr>
            <w:r>
              <w:rPr>
                <w:sz w:val="21"/>
                <w:szCs w:val="21"/>
                <w:spacing w:val="-2"/>
              </w:rPr>
              <w:t>0.0023</w:t>
            </w:r>
          </w:p>
        </w:tc>
        <w:tc>
          <w:tcPr>
            <w:tcW w:w="849" w:type="dxa"/>
            <w:vAlign w:val="top"/>
          </w:tcPr>
          <w:p>
            <w:pPr>
              <w:pStyle w:val="TableText"/>
              <w:ind w:left="208"/>
              <w:spacing w:before="95" w:line="212" w:lineRule="auto"/>
              <w:rPr>
                <w:sz w:val="21"/>
                <w:szCs w:val="21"/>
              </w:rPr>
            </w:pPr>
            <w:r>
              <w:rPr>
                <w:sz w:val="21"/>
                <w:szCs w:val="21"/>
                <w:spacing w:val="-2"/>
              </w:rPr>
              <w:t>0.08</w:t>
            </w:r>
          </w:p>
        </w:tc>
        <w:tc>
          <w:tcPr>
            <w:tcW w:w="450" w:type="dxa"/>
            <w:vAlign w:val="top"/>
            <w:vMerge w:val="continue"/>
            <w:tcBorders>
              <w:top w:val="nil"/>
              <w:bottom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237" w:hRule="atLeast"/>
        </w:trPr>
        <w:tc>
          <w:tcPr>
            <w:tcW w:w="215" w:type="dxa"/>
            <w:vAlign w:val="top"/>
            <w:tcBorders>
              <w:bottom w:val="nil"/>
              <w:top w:val="nil"/>
            </w:tcBorders>
          </w:tcPr>
          <w:p>
            <w:pPr>
              <w:spacing w:line="227" w:lineRule="exact"/>
              <w:rPr>
                <w:rFonts w:ascii="Arial"/>
                <w:sz w:val="19"/>
              </w:rPr>
            </w:pPr>
            <w:r/>
          </w:p>
        </w:tc>
        <w:tc>
          <w:tcPr>
            <w:tcW w:w="510" w:type="dxa"/>
            <w:vAlign w:val="top"/>
            <w:vMerge w:val="continue"/>
            <w:tcBorders>
              <w:top w:val="nil"/>
              <w:bottom w:val="nil"/>
            </w:tcBorders>
          </w:tcPr>
          <w:p>
            <w:pPr>
              <w:rPr>
                <w:rFonts w:ascii="Arial"/>
                <w:sz w:val="21"/>
              </w:rPr>
            </w:pPr>
            <w:r/>
          </w:p>
        </w:tc>
        <w:tc>
          <w:tcPr>
            <w:tcW w:w="210" w:type="dxa"/>
            <w:vAlign w:val="top"/>
            <w:vMerge w:val="restart"/>
            <w:textDirection w:val="tbRlV"/>
            <w:tcBorders>
              <w:bottom w:val="nil"/>
            </w:tcBorders>
          </w:tcPr>
          <w:p>
            <w:pPr>
              <w:pStyle w:val="TableText"/>
              <w:spacing w:before="3" w:line="200" w:lineRule="auto"/>
              <w:rPr>
                <w:sz w:val="21"/>
                <w:szCs w:val="21"/>
              </w:rPr>
            </w:pPr>
            <w:r>
              <w:rPr>
                <w:sz w:val="21"/>
                <w:szCs w:val="21"/>
              </w:rPr>
              <w:t>季</w:t>
            </w:r>
          </w:p>
        </w:tc>
        <w:tc>
          <w:tcPr>
            <w:tcW w:w="659" w:type="dxa"/>
            <w:vAlign w:val="top"/>
            <w:vMerge w:val="restart"/>
            <w:tcBorders>
              <w:bottom w:val="nil"/>
            </w:tcBorders>
          </w:tcPr>
          <w:p>
            <w:pPr>
              <w:pStyle w:val="TableText"/>
              <w:spacing w:before="178" w:line="220" w:lineRule="auto"/>
              <w:rPr>
                <w:sz w:val="21"/>
                <w:szCs w:val="21"/>
              </w:rPr>
            </w:pPr>
            <w:r>
              <w:rPr>
                <w:sz w:val="21"/>
                <w:szCs w:val="21"/>
                <w:spacing w:val="3"/>
              </w:rPr>
              <w:t>无组织</w:t>
            </w:r>
          </w:p>
        </w:tc>
        <w:tc>
          <w:tcPr>
            <w:tcW w:w="660" w:type="dxa"/>
            <w:vAlign w:val="top"/>
          </w:tcPr>
          <w:p>
            <w:pPr>
              <w:pStyle w:val="TableText"/>
              <w:ind w:left="110"/>
              <w:spacing w:before="71" w:line="156" w:lineRule="exact"/>
              <w:rPr>
                <w:rFonts w:ascii="Calibri" w:hAnsi="Calibri" w:eastAsia="Calibri" w:cs="Calibri"/>
                <w:sz w:val="21"/>
                <w:szCs w:val="21"/>
              </w:rPr>
            </w:pPr>
            <w:r>
              <w:rPr>
                <w:sz w:val="21"/>
                <w:szCs w:val="21"/>
                <w:spacing w:val="-1"/>
                <w:position w:val="-2"/>
              </w:rPr>
              <w:t>NH</w:t>
            </w:r>
            <w:r>
              <w:rPr>
                <w:rFonts w:ascii="Calibri" w:hAnsi="Calibri" w:eastAsia="Calibri" w:cs="Calibri"/>
                <w:sz w:val="21"/>
                <w:szCs w:val="21"/>
                <w:spacing w:val="-1"/>
                <w:position w:val="-2"/>
              </w:rPr>
              <w:t>₃</w:t>
            </w:r>
          </w:p>
        </w:tc>
        <w:tc>
          <w:tcPr>
            <w:tcW w:w="509" w:type="dxa"/>
            <w:vAlign w:val="top"/>
            <w:vMerge w:val="continue"/>
            <w:tcBorders>
              <w:top w:val="nil"/>
              <w:bottom w:val="nil"/>
            </w:tcBorders>
          </w:tcPr>
          <w:p>
            <w:pPr>
              <w:rPr>
                <w:rFonts w:ascii="Arial"/>
                <w:sz w:val="21"/>
              </w:rPr>
            </w:pPr>
            <w:r/>
          </w:p>
        </w:tc>
        <w:tc>
          <w:tcPr>
            <w:tcW w:w="659" w:type="dxa"/>
            <w:vAlign w:val="top"/>
          </w:tcPr>
          <w:p>
            <w:pPr>
              <w:pStyle w:val="TableText"/>
              <w:ind w:left="1"/>
              <w:spacing w:before="58" w:line="169" w:lineRule="exact"/>
              <w:rPr>
                <w:sz w:val="21"/>
                <w:szCs w:val="21"/>
              </w:rPr>
            </w:pPr>
            <w:r>
              <w:rPr>
                <w:sz w:val="21"/>
                <w:szCs w:val="21"/>
                <w:spacing w:val="-2"/>
                <w:position w:val="-2"/>
              </w:rPr>
              <w:t>0.0215</w:t>
            </w:r>
          </w:p>
        </w:tc>
        <w:tc>
          <w:tcPr>
            <w:tcW w:w="849" w:type="dxa"/>
            <w:vAlign w:val="top"/>
          </w:tcPr>
          <w:p>
            <w:pPr>
              <w:pStyle w:val="TableText"/>
              <w:ind w:left="102"/>
              <w:spacing w:before="58" w:line="169" w:lineRule="exact"/>
              <w:rPr>
                <w:sz w:val="21"/>
                <w:szCs w:val="21"/>
              </w:rPr>
            </w:pPr>
            <w:r>
              <w:rPr>
                <w:sz w:val="21"/>
                <w:szCs w:val="21"/>
                <w:spacing w:val="-2"/>
                <w:position w:val="-2"/>
              </w:rPr>
              <w:t>0.0066</w:t>
            </w:r>
          </w:p>
        </w:tc>
        <w:tc>
          <w:tcPr>
            <w:tcW w:w="869" w:type="dxa"/>
            <w:vAlign w:val="top"/>
          </w:tcPr>
          <w:p>
            <w:pPr>
              <w:pStyle w:val="TableText"/>
              <w:ind w:left="373"/>
              <w:spacing w:before="42" w:line="162" w:lineRule="auto"/>
              <w:rPr>
                <w:sz w:val="21"/>
                <w:szCs w:val="21"/>
              </w:rPr>
            </w:pPr>
            <w:r>
              <w:rPr>
                <w:sz w:val="21"/>
                <w:szCs w:val="21"/>
              </w:rPr>
              <w:t>/</w:t>
            </w:r>
          </w:p>
        </w:tc>
        <w:tc>
          <w:tcPr>
            <w:tcW w:w="4597" w:type="dxa"/>
            <w:vAlign w:val="top"/>
            <w:vMerge w:val="restart"/>
            <w:tcBorders>
              <w:bottom w:val="nil"/>
            </w:tcBorders>
          </w:tcPr>
          <w:p>
            <w:pPr>
              <w:pStyle w:val="TableText"/>
              <w:ind w:left="14" w:right="156"/>
              <w:spacing w:before="45" w:line="215" w:lineRule="auto"/>
              <w:rPr>
                <w:sz w:val="21"/>
                <w:szCs w:val="21"/>
              </w:rPr>
            </w:pPr>
            <w:r>
              <w:rPr>
                <w:sz w:val="21"/>
                <w:szCs w:val="21"/>
              </w:rPr>
              <w:t>设置两道门密闭厂房，定期喷洒微生物除臭剂，</w:t>
            </w:r>
            <w:r>
              <w:rPr>
                <w:sz w:val="21"/>
                <w:szCs w:val="21"/>
                <w:spacing w:val="4"/>
              </w:rPr>
              <w:t xml:space="preserve"> </w:t>
            </w:r>
            <w:r>
              <w:rPr>
                <w:sz w:val="21"/>
                <w:szCs w:val="21"/>
              </w:rPr>
              <w:t>采用干清粪工艺，干粪日产日清，无组织排放。</w:t>
            </w:r>
          </w:p>
        </w:tc>
        <w:tc>
          <w:tcPr>
            <w:tcW w:w="870" w:type="dxa"/>
            <w:vAlign w:val="top"/>
            <w:gridSpan w:val="2"/>
          </w:tcPr>
          <w:p>
            <w:pPr>
              <w:pStyle w:val="TableText"/>
              <w:ind w:left="267"/>
              <w:spacing w:before="58" w:line="169" w:lineRule="exact"/>
              <w:rPr>
                <w:sz w:val="21"/>
                <w:szCs w:val="21"/>
              </w:rPr>
            </w:pPr>
            <w:r>
              <w:rPr>
                <w:sz w:val="21"/>
                <w:szCs w:val="21"/>
                <w:spacing w:val="-3"/>
                <w:position w:val="-2"/>
              </w:rPr>
              <w:t>50%</w:t>
            </w:r>
          </w:p>
        </w:tc>
        <w:tc>
          <w:tcPr>
            <w:tcW w:w="670" w:type="dxa"/>
            <w:vAlign w:val="top"/>
          </w:tcPr>
          <w:p>
            <w:pPr>
              <w:pStyle w:val="TableText"/>
              <w:ind w:left="27"/>
              <w:spacing w:before="58" w:line="169" w:lineRule="exact"/>
              <w:rPr>
                <w:sz w:val="21"/>
                <w:szCs w:val="21"/>
              </w:rPr>
            </w:pPr>
            <w:r>
              <w:rPr>
                <w:sz w:val="21"/>
                <w:szCs w:val="21"/>
                <w:spacing w:val="-2"/>
                <w:position w:val="-2"/>
              </w:rPr>
              <w:t>0.0107</w:t>
            </w:r>
          </w:p>
        </w:tc>
        <w:tc>
          <w:tcPr>
            <w:tcW w:w="839" w:type="dxa"/>
            <w:vAlign w:val="top"/>
          </w:tcPr>
          <w:p>
            <w:pPr>
              <w:pStyle w:val="TableText"/>
              <w:ind w:left="97"/>
              <w:spacing w:before="58" w:line="169" w:lineRule="exact"/>
              <w:rPr>
                <w:sz w:val="21"/>
                <w:szCs w:val="21"/>
              </w:rPr>
            </w:pPr>
            <w:r>
              <w:rPr>
                <w:sz w:val="21"/>
                <w:szCs w:val="21"/>
                <w:spacing w:val="-2"/>
                <w:position w:val="-2"/>
              </w:rPr>
              <w:t>0.0033</w:t>
            </w:r>
          </w:p>
        </w:tc>
        <w:tc>
          <w:tcPr>
            <w:tcW w:w="849" w:type="dxa"/>
            <w:vAlign w:val="top"/>
          </w:tcPr>
          <w:p>
            <w:pPr>
              <w:pStyle w:val="TableText"/>
              <w:ind w:left="368"/>
              <w:spacing w:before="42" w:line="162" w:lineRule="auto"/>
              <w:rPr>
                <w:sz w:val="21"/>
                <w:szCs w:val="21"/>
              </w:rPr>
            </w:pPr>
            <w:r>
              <w:rPr>
                <w:sz w:val="21"/>
                <w:szCs w:val="21"/>
                <w:color w:val="404060"/>
              </w:rPr>
              <w:t>/</w:t>
            </w:r>
          </w:p>
        </w:tc>
        <w:tc>
          <w:tcPr>
            <w:tcW w:w="450" w:type="dxa"/>
            <w:vAlign w:val="top"/>
            <w:vMerge w:val="continue"/>
            <w:tcBorders>
              <w:top w:val="nil"/>
              <w:bottom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298" w:hRule="atLeast"/>
        </w:trPr>
        <w:tc>
          <w:tcPr>
            <w:tcW w:w="215" w:type="dxa"/>
            <w:vAlign w:val="top"/>
            <w:tcBorders>
              <w:bottom w:val="nil"/>
              <w:top w:val="nil"/>
            </w:tcBorders>
          </w:tcPr>
          <w:p>
            <w:pPr>
              <w:rPr>
                <w:rFonts w:ascii="Arial"/>
                <w:sz w:val="21"/>
              </w:rPr>
            </w:pPr>
            <w:r/>
          </w:p>
        </w:tc>
        <w:tc>
          <w:tcPr>
            <w:tcW w:w="510" w:type="dxa"/>
            <w:vAlign w:val="top"/>
            <w:vMerge w:val="continue"/>
            <w:tcBorders>
              <w:top w:val="nil"/>
              <w:bottom w:val="nil"/>
            </w:tcBorders>
          </w:tcPr>
          <w:p>
            <w:pPr>
              <w:rPr>
                <w:rFonts w:ascii="Arial"/>
                <w:sz w:val="21"/>
              </w:rPr>
            </w:pPr>
            <w:r/>
          </w:p>
        </w:tc>
        <w:tc>
          <w:tcPr>
            <w:tcW w:w="210" w:type="dxa"/>
            <w:vAlign w:val="top"/>
            <w:vMerge w:val="continue"/>
            <w:textDirection w:val="tbRlV"/>
            <w:tcBorders>
              <w:top w:val="nil"/>
            </w:tcBorders>
          </w:tcPr>
          <w:p>
            <w:pPr>
              <w:spacing w:line="200" w:lineRule="exact"/>
              <w:rPr>
                <w:rFonts w:ascii="Arial"/>
                <w:sz w:val="16"/>
              </w:rPr>
            </w:pPr>
            <w:r/>
          </w:p>
        </w:tc>
        <w:tc>
          <w:tcPr>
            <w:tcW w:w="659" w:type="dxa"/>
            <w:vAlign w:val="top"/>
            <w:vMerge w:val="continue"/>
            <w:tcBorders>
              <w:top w:val="nil"/>
            </w:tcBorders>
          </w:tcPr>
          <w:p>
            <w:pPr>
              <w:rPr>
                <w:rFonts w:ascii="Arial"/>
                <w:sz w:val="21"/>
              </w:rPr>
            </w:pPr>
            <w:r/>
          </w:p>
        </w:tc>
        <w:tc>
          <w:tcPr>
            <w:tcW w:w="660" w:type="dxa"/>
            <w:vAlign w:val="top"/>
          </w:tcPr>
          <w:p>
            <w:pPr>
              <w:pStyle w:val="TableText"/>
              <w:ind w:left="110"/>
              <w:spacing w:before="84" w:line="179"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509" w:type="dxa"/>
            <w:vAlign w:val="top"/>
            <w:vMerge w:val="continue"/>
            <w:tcBorders>
              <w:top w:val="nil"/>
            </w:tcBorders>
          </w:tcPr>
          <w:p>
            <w:pPr>
              <w:rPr>
                <w:rFonts w:ascii="Arial"/>
                <w:sz w:val="21"/>
              </w:rPr>
            </w:pPr>
            <w:r/>
          </w:p>
        </w:tc>
        <w:tc>
          <w:tcPr>
            <w:tcW w:w="659" w:type="dxa"/>
            <w:vAlign w:val="top"/>
          </w:tcPr>
          <w:p>
            <w:pPr>
              <w:pStyle w:val="TableText"/>
              <w:ind w:left="1"/>
              <w:spacing w:before="71" w:line="190" w:lineRule="auto"/>
              <w:rPr>
                <w:sz w:val="21"/>
                <w:szCs w:val="21"/>
              </w:rPr>
            </w:pPr>
            <w:r>
              <w:rPr>
                <w:sz w:val="21"/>
                <w:szCs w:val="21"/>
                <w:spacing w:val="-2"/>
              </w:rPr>
              <w:t>0.0080</w:t>
            </w:r>
          </w:p>
        </w:tc>
        <w:tc>
          <w:tcPr>
            <w:tcW w:w="849" w:type="dxa"/>
            <w:vAlign w:val="top"/>
          </w:tcPr>
          <w:p>
            <w:pPr>
              <w:pStyle w:val="TableText"/>
              <w:ind w:left="102"/>
              <w:spacing w:before="71" w:line="190" w:lineRule="auto"/>
              <w:rPr>
                <w:sz w:val="21"/>
                <w:szCs w:val="21"/>
              </w:rPr>
            </w:pPr>
            <w:r>
              <w:rPr>
                <w:sz w:val="21"/>
                <w:szCs w:val="21"/>
                <w:spacing w:val="-2"/>
              </w:rPr>
              <w:t>0.0025</w:t>
            </w:r>
          </w:p>
        </w:tc>
        <w:tc>
          <w:tcPr>
            <w:tcW w:w="869" w:type="dxa"/>
            <w:vAlign w:val="top"/>
          </w:tcPr>
          <w:p>
            <w:pPr>
              <w:pStyle w:val="TableText"/>
              <w:ind w:left="373"/>
              <w:spacing w:before="55" w:line="204" w:lineRule="auto"/>
              <w:rPr>
                <w:sz w:val="21"/>
                <w:szCs w:val="21"/>
              </w:rPr>
            </w:pPr>
            <w:r>
              <w:rPr>
                <w:sz w:val="21"/>
                <w:szCs w:val="21"/>
                <w:color w:val="404050"/>
              </w:rPr>
              <w:t>/</w:t>
            </w:r>
          </w:p>
        </w:tc>
        <w:tc>
          <w:tcPr>
            <w:tcW w:w="4597" w:type="dxa"/>
            <w:vAlign w:val="top"/>
            <w:vMerge w:val="continue"/>
            <w:tcBorders>
              <w:top w:val="nil"/>
            </w:tcBorders>
          </w:tcPr>
          <w:p>
            <w:pPr>
              <w:rPr>
                <w:rFonts w:ascii="Arial"/>
                <w:sz w:val="21"/>
              </w:rPr>
            </w:pPr>
            <w:r/>
          </w:p>
        </w:tc>
        <w:tc>
          <w:tcPr>
            <w:tcW w:w="870" w:type="dxa"/>
            <w:vAlign w:val="top"/>
            <w:gridSpan w:val="2"/>
          </w:tcPr>
          <w:p>
            <w:pPr>
              <w:pStyle w:val="TableText"/>
              <w:ind w:left="267"/>
              <w:spacing w:before="71" w:line="190" w:lineRule="auto"/>
              <w:rPr>
                <w:sz w:val="21"/>
                <w:szCs w:val="21"/>
              </w:rPr>
            </w:pPr>
            <w:r>
              <w:rPr>
                <w:sz w:val="21"/>
                <w:szCs w:val="21"/>
                <w:spacing w:val="-3"/>
              </w:rPr>
              <w:t>50%</w:t>
            </w:r>
          </w:p>
        </w:tc>
        <w:tc>
          <w:tcPr>
            <w:tcW w:w="670" w:type="dxa"/>
            <w:vAlign w:val="top"/>
          </w:tcPr>
          <w:p>
            <w:pPr>
              <w:pStyle w:val="TableText"/>
              <w:ind w:left="27"/>
              <w:spacing w:before="71" w:line="190" w:lineRule="auto"/>
              <w:rPr>
                <w:sz w:val="21"/>
                <w:szCs w:val="21"/>
              </w:rPr>
            </w:pPr>
            <w:r>
              <w:rPr>
                <w:sz w:val="21"/>
                <w:szCs w:val="21"/>
                <w:spacing w:val="-2"/>
              </w:rPr>
              <w:t>0.0040</w:t>
            </w:r>
          </w:p>
        </w:tc>
        <w:tc>
          <w:tcPr>
            <w:tcW w:w="839" w:type="dxa"/>
            <w:vAlign w:val="top"/>
          </w:tcPr>
          <w:p>
            <w:pPr>
              <w:pStyle w:val="TableText"/>
              <w:ind w:left="97"/>
              <w:spacing w:before="71" w:line="190" w:lineRule="auto"/>
              <w:rPr>
                <w:sz w:val="21"/>
                <w:szCs w:val="21"/>
              </w:rPr>
            </w:pPr>
            <w:r>
              <w:rPr>
                <w:sz w:val="21"/>
                <w:szCs w:val="21"/>
                <w:spacing w:val="-2"/>
              </w:rPr>
              <w:t>0.0012</w:t>
            </w:r>
          </w:p>
        </w:tc>
        <w:tc>
          <w:tcPr>
            <w:tcW w:w="849" w:type="dxa"/>
            <w:vAlign w:val="top"/>
          </w:tcPr>
          <w:p>
            <w:pPr>
              <w:pStyle w:val="TableText"/>
              <w:ind w:left="368"/>
              <w:spacing w:before="55" w:line="204" w:lineRule="auto"/>
              <w:rPr>
                <w:sz w:val="21"/>
                <w:szCs w:val="21"/>
              </w:rPr>
            </w:pPr>
            <w:r>
              <w:rPr>
                <w:sz w:val="21"/>
                <w:szCs w:val="21"/>
                <w:color w:val="404050"/>
              </w:rPr>
              <w:t>/</w:t>
            </w:r>
          </w:p>
        </w:tc>
        <w:tc>
          <w:tcPr>
            <w:tcW w:w="450" w:type="dxa"/>
            <w:vAlign w:val="top"/>
            <w:vMerge w:val="continue"/>
            <w:tcBorders>
              <w:top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437" w:hRule="atLeast"/>
        </w:trPr>
        <w:tc>
          <w:tcPr>
            <w:tcW w:w="215" w:type="dxa"/>
            <w:vAlign w:val="top"/>
            <w:tcBorders>
              <w:bottom w:val="nil"/>
              <w:top w:val="nil"/>
            </w:tcBorders>
          </w:tcPr>
          <w:p>
            <w:pPr>
              <w:rPr>
                <w:rFonts w:ascii="Arial"/>
                <w:sz w:val="21"/>
              </w:rPr>
            </w:pPr>
            <w:r/>
          </w:p>
        </w:tc>
        <w:tc>
          <w:tcPr>
            <w:tcW w:w="510" w:type="dxa"/>
            <w:vAlign w:val="top"/>
            <w:vMerge w:val="continue"/>
            <w:tcBorders>
              <w:top w:val="nil"/>
              <w:bottom w:val="nil"/>
            </w:tcBorders>
          </w:tcPr>
          <w:p>
            <w:pPr>
              <w:rPr>
                <w:rFonts w:ascii="Arial"/>
                <w:sz w:val="21"/>
              </w:rPr>
            </w:pPr>
            <w:r/>
          </w:p>
        </w:tc>
        <w:tc>
          <w:tcPr>
            <w:tcW w:w="210" w:type="dxa"/>
            <w:vAlign w:val="top"/>
            <w:vMerge w:val="restart"/>
            <w:textDirection w:val="tbRlV"/>
            <w:tcBorders>
              <w:bottom w:val="nil"/>
            </w:tcBorders>
          </w:tcPr>
          <w:p>
            <w:pPr>
              <w:pStyle w:val="TableText"/>
              <w:ind w:left="454"/>
              <w:spacing w:before="5" w:line="201" w:lineRule="auto"/>
              <w:rPr>
                <w:sz w:val="21"/>
                <w:szCs w:val="21"/>
              </w:rPr>
            </w:pPr>
            <w:r>
              <w:rPr>
                <w:sz w:val="21"/>
                <w:szCs w:val="21"/>
              </w:rPr>
              <w:t>旺</w:t>
            </w:r>
          </w:p>
        </w:tc>
        <w:tc>
          <w:tcPr>
            <w:tcW w:w="659" w:type="dxa"/>
            <w:vAlign w:val="top"/>
            <w:vMerge w:val="restart"/>
            <w:tcBorders>
              <w:bottom w:val="nil"/>
            </w:tcBorders>
          </w:tcPr>
          <w:p>
            <w:pPr>
              <w:spacing w:line="243" w:lineRule="auto"/>
              <w:rPr>
                <w:rFonts w:ascii="Arial"/>
                <w:sz w:val="21"/>
              </w:rPr>
            </w:pPr>
            <w:r/>
          </w:p>
          <w:p>
            <w:pPr>
              <w:pStyle w:val="TableText"/>
              <w:spacing w:before="68" w:line="220" w:lineRule="auto"/>
              <w:rPr>
                <w:sz w:val="21"/>
                <w:szCs w:val="21"/>
              </w:rPr>
            </w:pPr>
            <w:r>
              <w:rPr>
                <w:sz w:val="21"/>
                <w:szCs w:val="21"/>
                <w:spacing w:val="3"/>
              </w:rPr>
              <w:t>有组织</w:t>
            </w:r>
          </w:p>
        </w:tc>
        <w:tc>
          <w:tcPr>
            <w:tcW w:w="660" w:type="dxa"/>
            <w:vAlign w:val="top"/>
          </w:tcPr>
          <w:p>
            <w:pPr>
              <w:pStyle w:val="TableText"/>
              <w:ind w:left="110"/>
              <w:spacing w:before="156" w:line="182"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509" w:type="dxa"/>
            <w:vAlign w:val="top"/>
            <w:vMerge w:val="restart"/>
            <w:tcBorders>
              <w:bottom w:val="nil"/>
            </w:tcBorders>
          </w:tcPr>
          <w:p>
            <w:pPr>
              <w:spacing w:line="402" w:lineRule="auto"/>
              <w:rPr>
                <w:rFonts w:ascii="Arial"/>
                <w:sz w:val="21"/>
              </w:rPr>
            </w:pPr>
            <w:r/>
          </w:p>
          <w:p>
            <w:pPr>
              <w:pStyle w:val="TableText"/>
              <w:ind w:left="139" w:right="35" w:hanging="109"/>
              <w:spacing w:before="68" w:line="248" w:lineRule="auto"/>
              <w:rPr>
                <w:sz w:val="21"/>
                <w:szCs w:val="21"/>
              </w:rPr>
            </w:pPr>
            <w:r>
              <w:rPr>
                <w:sz w:val="21"/>
                <w:szCs w:val="21"/>
                <w:spacing w:val="6"/>
              </w:rPr>
              <w:t>类比</w:t>
            </w:r>
            <w:r>
              <w:rPr>
                <w:sz w:val="21"/>
                <w:szCs w:val="21"/>
              </w:rPr>
              <w:t xml:space="preserve"> </w:t>
            </w:r>
            <w:r>
              <w:rPr>
                <w:sz w:val="21"/>
                <w:szCs w:val="21"/>
              </w:rPr>
              <w:t>法</w:t>
            </w:r>
          </w:p>
        </w:tc>
        <w:tc>
          <w:tcPr>
            <w:tcW w:w="659" w:type="dxa"/>
            <w:vAlign w:val="top"/>
          </w:tcPr>
          <w:p>
            <w:pPr>
              <w:pStyle w:val="TableText"/>
              <w:ind w:left="1"/>
              <w:spacing w:before="143" w:line="239" w:lineRule="auto"/>
              <w:rPr>
                <w:sz w:val="21"/>
                <w:szCs w:val="21"/>
              </w:rPr>
            </w:pPr>
            <w:r>
              <w:rPr>
                <w:sz w:val="21"/>
                <w:szCs w:val="21"/>
                <w:spacing w:val="-2"/>
              </w:rPr>
              <w:t>0.2066</w:t>
            </w:r>
          </w:p>
        </w:tc>
        <w:tc>
          <w:tcPr>
            <w:tcW w:w="849" w:type="dxa"/>
            <w:vAlign w:val="top"/>
          </w:tcPr>
          <w:p>
            <w:pPr>
              <w:pStyle w:val="TableText"/>
              <w:ind w:left="102"/>
              <w:spacing w:before="143" w:line="239" w:lineRule="auto"/>
              <w:rPr>
                <w:sz w:val="21"/>
                <w:szCs w:val="21"/>
              </w:rPr>
            </w:pPr>
            <w:r>
              <w:rPr>
                <w:sz w:val="21"/>
                <w:szCs w:val="21"/>
                <w:spacing w:val="-2"/>
              </w:rPr>
              <w:t>0.1913</w:t>
            </w:r>
          </w:p>
        </w:tc>
        <w:tc>
          <w:tcPr>
            <w:tcW w:w="869" w:type="dxa"/>
            <w:vAlign w:val="top"/>
          </w:tcPr>
          <w:p>
            <w:pPr>
              <w:pStyle w:val="TableText"/>
              <w:ind w:left="213"/>
              <w:spacing w:before="143" w:line="239" w:lineRule="auto"/>
              <w:rPr>
                <w:sz w:val="21"/>
                <w:szCs w:val="21"/>
              </w:rPr>
            </w:pPr>
            <w:r>
              <w:rPr>
                <w:sz w:val="21"/>
                <w:szCs w:val="21"/>
                <w:spacing w:val="-2"/>
              </w:rPr>
              <w:t>6.38</w:t>
            </w:r>
          </w:p>
        </w:tc>
        <w:tc>
          <w:tcPr>
            <w:tcW w:w="4597" w:type="dxa"/>
            <w:vAlign w:val="top"/>
            <w:vMerge w:val="restart"/>
            <w:tcBorders>
              <w:bottom w:val="nil"/>
            </w:tcBorders>
          </w:tcPr>
          <w:p>
            <w:pPr>
              <w:pStyle w:val="TableText"/>
              <w:ind w:left="14" w:right="463"/>
              <w:spacing w:before="50" w:line="237" w:lineRule="auto"/>
              <w:rPr>
                <w:sz w:val="21"/>
                <w:szCs w:val="21"/>
              </w:rPr>
            </w:pPr>
            <w:r>
              <w:rPr>
                <w:sz w:val="21"/>
                <w:szCs w:val="21"/>
                <w:spacing w:val="4"/>
              </w:rPr>
              <w:t>负压收集(风量30000m³/h)+喷淋+</w:t>
            </w:r>
            <w:r>
              <w:rPr>
                <w:sz w:val="21"/>
                <w:szCs w:val="21"/>
              </w:rPr>
              <w:t>UV</w:t>
            </w:r>
            <w:r>
              <w:rPr>
                <w:sz w:val="21"/>
                <w:szCs w:val="21"/>
                <w:spacing w:val="4"/>
              </w:rPr>
              <w:t>光解+活</w:t>
            </w:r>
            <w:r>
              <w:rPr>
                <w:sz w:val="21"/>
                <w:szCs w:val="21"/>
                <w:spacing w:val="17"/>
              </w:rPr>
              <w:t xml:space="preserve"> </w:t>
            </w:r>
            <w:r>
              <w:rPr>
                <w:sz w:val="21"/>
                <w:szCs w:val="21"/>
              </w:rPr>
              <w:t>性炭吸附装置(TA001)+15m高排气筒</w:t>
            </w:r>
          </w:p>
          <w:p>
            <w:pPr>
              <w:pStyle w:val="TableText"/>
              <w:ind w:left="14"/>
              <w:spacing w:before="1" w:line="201" w:lineRule="auto"/>
              <w:rPr>
                <w:sz w:val="21"/>
                <w:szCs w:val="21"/>
              </w:rPr>
            </w:pPr>
            <w:r>
              <w:rPr>
                <w:sz w:val="21"/>
                <w:szCs w:val="21"/>
              </w:rPr>
              <w:t>(DA001),有组织排放。</w:t>
            </w:r>
          </w:p>
        </w:tc>
        <w:tc>
          <w:tcPr>
            <w:tcW w:w="450" w:type="dxa"/>
            <w:vAlign w:val="top"/>
          </w:tcPr>
          <w:p>
            <w:pPr>
              <w:pStyle w:val="TableText"/>
              <w:ind w:left="57"/>
              <w:spacing w:before="143"/>
              <w:rPr>
                <w:sz w:val="21"/>
                <w:szCs w:val="21"/>
              </w:rPr>
            </w:pPr>
            <w:r>
              <w:rPr>
                <w:sz w:val="21"/>
                <w:szCs w:val="21"/>
                <w:spacing w:val="-3"/>
              </w:rPr>
              <w:t>95%</w:t>
            </w:r>
          </w:p>
        </w:tc>
        <w:tc>
          <w:tcPr>
            <w:tcW w:w="420" w:type="dxa"/>
            <w:vAlign w:val="top"/>
          </w:tcPr>
          <w:p>
            <w:pPr>
              <w:pStyle w:val="TableText"/>
              <w:ind w:left="47"/>
              <w:spacing w:before="143"/>
              <w:rPr>
                <w:sz w:val="21"/>
                <w:szCs w:val="21"/>
              </w:rPr>
            </w:pPr>
            <w:r>
              <w:rPr>
                <w:sz w:val="21"/>
                <w:szCs w:val="21"/>
                <w:spacing w:val="-3"/>
              </w:rPr>
              <w:t>95%</w:t>
            </w:r>
          </w:p>
        </w:tc>
        <w:tc>
          <w:tcPr>
            <w:tcW w:w="670" w:type="dxa"/>
            <w:vAlign w:val="top"/>
          </w:tcPr>
          <w:p>
            <w:pPr>
              <w:pStyle w:val="TableText"/>
              <w:ind w:left="27"/>
              <w:spacing w:before="143" w:line="239" w:lineRule="auto"/>
              <w:rPr>
                <w:sz w:val="21"/>
                <w:szCs w:val="21"/>
              </w:rPr>
            </w:pPr>
            <w:r>
              <w:rPr>
                <w:sz w:val="21"/>
                <w:szCs w:val="21"/>
                <w:spacing w:val="-2"/>
              </w:rPr>
              <w:t>0.0098</w:t>
            </w:r>
          </w:p>
        </w:tc>
        <w:tc>
          <w:tcPr>
            <w:tcW w:w="839" w:type="dxa"/>
            <w:vAlign w:val="top"/>
          </w:tcPr>
          <w:p>
            <w:pPr>
              <w:pStyle w:val="TableText"/>
              <w:ind w:left="97"/>
              <w:spacing w:before="143" w:line="239" w:lineRule="auto"/>
              <w:rPr>
                <w:sz w:val="21"/>
                <w:szCs w:val="21"/>
              </w:rPr>
            </w:pPr>
            <w:r>
              <w:rPr>
                <w:sz w:val="21"/>
                <w:szCs w:val="21"/>
                <w:spacing w:val="-2"/>
              </w:rPr>
              <w:t>0.0091</w:t>
            </w:r>
          </w:p>
        </w:tc>
        <w:tc>
          <w:tcPr>
            <w:tcW w:w="849" w:type="dxa"/>
            <w:vAlign w:val="top"/>
          </w:tcPr>
          <w:p>
            <w:pPr>
              <w:pStyle w:val="TableText"/>
              <w:ind w:left="208"/>
              <w:spacing w:before="143" w:line="239" w:lineRule="auto"/>
              <w:rPr>
                <w:sz w:val="21"/>
                <w:szCs w:val="21"/>
              </w:rPr>
            </w:pPr>
            <w:r>
              <w:rPr>
                <w:sz w:val="21"/>
                <w:szCs w:val="21"/>
                <w:spacing w:val="-2"/>
              </w:rPr>
              <w:t>0.30</w:t>
            </w:r>
          </w:p>
        </w:tc>
        <w:tc>
          <w:tcPr>
            <w:tcW w:w="450" w:type="dxa"/>
            <w:vAlign w:val="top"/>
            <w:vMerge w:val="restart"/>
            <w:tcBorders>
              <w:bottom w:val="nil"/>
            </w:tcBorders>
          </w:tcPr>
          <w:p>
            <w:pPr>
              <w:spacing w:line="275" w:lineRule="auto"/>
              <w:rPr>
                <w:rFonts w:ascii="Arial"/>
                <w:sz w:val="21"/>
              </w:rPr>
            </w:pPr>
            <w:r/>
          </w:p>
          <w:p>
            <w:pPr>
              <w:spacing w:line="276" w:lineRule="auto"/>
              <w:rPr>
                <w:rFonts w:ascii="Arial"/>
                <w:sz w:val="21"/>
              </w:rPr>
            </w:pPr>
            <w:r/>
          </w:p>
          <w:p>
            <w:pPr>
              <w:pStyle w:val="TableText"/>
              <w:ind w:left="19"/>
              <w:spacing w:before="68"/>
              <w:rPr>
                <w:sz w:val="21"/>
                <w:szCs w:val="21"/>
              </w:rPr>
            </w:pPr>
            <w:r>
              <w:rPr>
                <w:sz w:val="21"/>
                <w:szCs w:val="21"/>
                <w:spacing w:val="-3"/>
              </w:rPr>
              <w:t>2160</w:t>
            </w:r>
          </w:p>
        </w:tc>
        <w:tc>
          <w:tcPr>
            <w:tcW w:w="1664" w:type="dxa"/>
            <w:vAlign w:val="top"/>
            <w:vMerge w:val="continue"/>
            <w:tcBorders>
              <w:top w:val="nil"/>
              <w:bottom w:val="nil"/>
            </w:tcBorders>
          </w:tcPr>
          <w:p>
            <w:pPr>
              <w:rPr>
                <w:rFonts w:ascii="Arial"/>
                <w:sz w:val="21"/>
              </w:rPr>
            </w:pPr>
            <w:r/>
          </w:p>
        </w:tc>
      </w:tr>
      <w:tr>
        <w:trPr>
          <w:trHeight w:val="382" w:hRule="atLeast"/>
        </w:trPr>
        <w:tc>
          <w:tcPr>
            <w:tcW w:w="215" w:type="dxa"/>
            <w:vAlign w:val="top"/>
            <w:tcBorders>
              <w:bottom w:val="nil"/>
              <w:top w:val="nil"/>
            </w:tcBorders>
          </w:tcPr>
          <w:p>
            <w:pPr>
              <w:rPr>
                <w:rFonts w:ascii="Arial"/>
                <w:sz w:val="21"/>
              </w:rPr>
            </w:pPr>
            <w:r/>
          </w:p>
        </w:tc>
        <w:tc>
          <w:tcPr>
            <w:tcW w:w="510" w:type="dxa"/>
            <w:vAlign w:val="top"/>
            <w:vMerge w:val="continue"/>
            <w:tcBorders>
              <w:top w:val="nil"/>
              <w:bottom w:val="nil"/>
            </w:tcBorders>
          </w:tcPr>
          <w:p>
            <w:pPr>
              <w:rPr>
                <w:rFonts w:ascii="Arial"/>
                <w:sz w:val="21"/>
              </w:rPr>
            </w:pPr>
            <w:r/>
          </w:p>
        </w:tc>
        <w:tc>
          <w:tcPr>
            <w:tcW w:w="210" w:type="dxa"/>
            <w:vAlign w:val="top"/>
            <w:vMerge w:val="continue"/>
            <w:textDirection w:val="tbRlV"/>
            <w:tcBorders>
              <w:top w:val="nil"/>
            </w:tcBorders>
          </w:tcPr>
          <w:p>
            <w:pPr>
              <w:spacing w:line="200" w:lineRule="exact"/>
              <w:rPr>
                <w:rFonts w:ascii="Arial"/>
                <w:sz w:val="16"/>
              </w:rPr>
            </w:pPr>
            <w:r/>
          </w:p>
        </w:tc>
        <w:tc>
          <w:tcPr>
            <w:tcW w:w="659" w:type="dxa"/>
            <w:vAlign w:val="top"/>
            <w:vMerge w:val="continue"/>
            <w:tcBorders>
              <w:top w:val="nil"/>
            </w:tcBorders>
          </w:tcPr>
          <w:p>
            <w:pPr>
              <w:rPr>
                <w:rFonts w:ascii="Arial"/>
                <w:sz w:val="21"/>
              </w:rPr>
            </w:pPr>
            <w:r/>
          </w:p>
        </w:tc>
        <w:tc>
          <w:tcPr>
            <w:tcW w:w="660" w:type="dxa"/>
            <w:vAlign w:val="top"/>
          </w:tcPr>
          <w:p>
            <w:pPr>
              <w:pStyle w:val="TableText"/>
              <w:ind w:left="110"/>
              <w:spacing w:before="129" w:line="183"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509" w:type="dxa"/>
            <w:vAlign w:val="top"/>
            <w:vMerge w:val="continue"/>
            <w:tcBorders>
              <w:top w:val="nil"/>
              <w:bottom w:val="nil"/>
            </w:tcBorders>
          </w:tcPr>
          <w:p>
            <w:pPr>
              <w:rPr>
                <w:rFonts w:ascii="Arial"/>
                <w:sz w:val="21"/>
              </w:rPr>
            </w:pPr>
            <w:r/>
          </w:p>
        </w:tc>
        <w:tc>
          <w:tcPr>
            <w:tcW w:w="659" w:type="dxa"/>
            <w:vAlign w:val="top"/>
          </w:tcPr>
          <w:p>
            <w:pPr>
              <w:pStyle w:val="TableText"/>
              <w:ind w:left="1"/>
              <w:spacing w:before="116" w:line="225" w:lineRule="auto"/>
              <w:rPr>
                <w:sz w:val="21"/>
                <w:szCs w:val="21"/>
              </w:rPr>
            </w:pPr>
            <w:r>
              <w:rPr>
                <w:sz w:val="21"/>
                <w:szCs w:val="21"/>
                <w:spacing w:val="-2"/>
              </w:rPr>
              <w:t>0.0767</w:t>
            </w:r>
          </w:p>
        </w:tc>
        <w:tc>
          <w:tcPr>
            <w:tcW w:w="849" w:type="dxa"/>
            <w:vAlign w:val="top"/>
          </w:tcPr>
          <w:p>
            <w:pPr>
              <w:pStyle w:val="TableText"/>
              <w:ind w:left="152"/>
              <w:spacing w:before="116" w:line="225" w:lineRule="auto"/>
              <w:rPr>
                <w:sz w:val="21"/>
                <w:szCs w:val="21"/>
              </w:rPr>
            </w:pPr>
            <w:r>
              <w:rPr>
                <w:sz w:val="21"/>
                <w:szCs w:val="21"/>
                <w:spacing w:val="-2"/>
              </w:rPr>
              <w:t>0.071</w:t>
            </w:r>
          </w:p>
        </w:tc>
        <w:tc>
          <w:tcPr>
            <w:tcW w:w="869" w:type="dxa"/>
            <w:vAlign w:val="top"/>
          </w:tcPr>
          <w:p>
            <w:pPr>
              <w:pStyle w:val="TableText"/>
              <w:ind w:left="213"/>
              <w:spacing w:before="116" w:line="225" w:lineRule="auto"/>
              <w:rPr>
                <w:sz w:val="21"/>
                <w:szCs w:val="21"/>
              </w:rPr>
            </w:pPr>
            <w:r>
              <w:rPr>
                <w:sz w:val="21"/>
                <w:szCs w:val="21"/>
                <w:spacing w:val="-3"/>
              </w:rPr>
              <w:t>2.37</w:t>
            </w:r>
          </w:p>
        </w:tc>
        <w:tc>
          <w:tcPr>
            <w:tcW w:w="4597" w:type="dxa"/>
            <w:vAlign w:val="top"/>
            <w:vMerge w:val="continue"/>
            <w:tcBorders>
              <w:top w:val="nil"/>
            </w:tcBorders>
          </w:tcPr>
          <w:p>
            <w:pPr>
              <w:rPr>
                <w:rFonts w:ascii="Arial"/>
                <w:sz w:val="21"/>
              </w:rPr>
            </w:pPr>
            <w:r/>
          </w:p>
        </w:tc>
        <w:tc>
          <w:tcPr>
            <w:tcW w:w="450" w:type="dxa"/>
            <w:vAlign w:val="top"/>
          </w:tcPr>
          <w:p>
            <w:pPr>
              <w:pStyle w:val="TableText"/>
              <w:ind w:left="57"/>
              <w:spacing w:before="116" w:line="225" w:lineRule="auto"/>
              <w:rPr>
                <w:sz w:val="21"/>
                <w:szCs w:val="21"/>
              </w:rPr>
            </w:pPr>
            <w:r>
              <w:rPr>
                <w:sz w:val="21"/>
                <w:szCs w:val="21"/>
                <w:spacing w:val="-3"/>
              </w:rPr>
              <w:t>95%</w:t>
            </w:r>
          </w:p>
        </w:tc>
        <w:tc>
          <w:tcPr>
            <w:tcW w:w="420" w:type="dxa"/>
            <w:vAlign w:val="top"/>
          </w:tcPr>
          <w:p>
            <w:pPr>
              <w:pStyle w:val="TableText"/>
              <w:ind w:left="47"/>
              <w:spacing w:before="116" w:line="225" w:lineRule="auto"/>
              <w:rPr>
                <w:sz w:val="21"/>
                <w:szCs w:val="21"/>
              </w:rPr>
            </w:pPr>
            <w:r>
              <w:rPr>
                <w:sz w:val="21"/>
                <w:szCs w:val="21"/>
                <w:spacing w:val="-3"/>
              </w:rPr>
              <w:t>95%</w:t>
            </w:r>
          </w:p>
        </w:tc>
        <w:tc>
          <w:tcPr>
            <w:tcW w:w="670" w:type="dxa"/>
            <w:vAlign w:val="top"/>
          </w:tcPr>
          <w:p>
            <w:pPr>
              <w:pStyle w:val="TableText"/>
              <w:ind w:left="27"/>
              <w:spacing w:before="116" w:line="225" w:lineRule="auto"/>
              <w:rPr>
                <w:sz w:val="21"/>
                <w:szCs w:val="21"/>
              </w:rPr>
            </w:pPr>
            <w:r>
              <w:rPr>
                <w:sz w:val="21"/>
                <w:szCs w:val="21"/>
                <w:spacing w:val="-2"/>
              </w:rPr>
              <w:t>0.0036</w:t>
            </w:r>
          </w:p>
        </w:tc>
        <w:tc>
          <w:tcPr>
            <w:tcW w:w="839" w:type="dxa"/>
            <w:vAlign w:val="top"/>
          </w:tcPr>
          <w:p>
            <w:pPr>
              <w:pStyle w:val="TableText"/>
              <w:ind w:left="97"/>
              <w:spacing w:before="116" w:line="225" w:lineRule="auto"/>
              <w:rPr>
                <w:sz w:val="21"/>
                <w:szCs w:val="21"/>
              </w:rPr>
            </w:pPr>
            <w:r>
              <w:rPr>
                <w:sz w:val="21"/>
                <w:szCs w:val="21"/>
                <w:spacing w:val="-2"/>
              </w:rPr>
              <w:t>0.0034</w:t>
            </w:r>
          </w:p>
        </w:tc>
        <w:tc>
          <w:tcPr>
            <w:tcW w:w="849" w:type="dxa"/>
            <w:vAlign w:val="top"/>
          </w:tcPr>
          <w:p>
            <w:pPr>
              <w:pStyle w:val="TableText"/>
              <w:ind w:left="208"/>
              <w:spacing w:before="116" w:line="225" w:lineRule="auto"/>
              <w:rPr>
                <w:sz w:val="21"/>
                <w:szCs w:val="21"/>
              </w:rPr>
            </w:pPr>
            <w:r>
              <w:rPr>
                <w:sz w:val="21"/>
                <w:szCs w:val="21"/>
                <w:spacing w:val="-2"/>
              </w:rPr>
              <w:t>0.11</w:t>
            </w:r>
          </w:p>
        </w:tc>
        <w:tc>
          <w:tcPr>
            <w:tcW w:w="450" w:type="dxa"/>
            <w:vAlign w:val="top"/>
            <w:vMerge w:val="continue"/>
            <w:tcBorders>
              <w:top w:val="nil"/>
              <w:bottom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227" w:hRule="atLeast"/>
        </w:trPr>
        <w:tc>
          <w:tcPr>
            <w:tcW w:w="215" w:type="dxa"/>
            <w:vAlign w:val="top"/>
            <w:tcBorders>
              <w:bottom w:val="nil"/>
              <w:top w:val="nil"/>
            </w:tcBorders>
          </w:tcPr>
          <w:p>
            <w:pPr>
              <w:spacing w:line="217" w:lineRule="exact"/>
              <w:rPr>
                <w:rFonts w:ascii="Arial"/>
                <w:sz w:val="18"/>
              </w:rPr>
            </w:pPr>
            <w:r/>
          </w:p>
        </w:tc>
        <w:tc>
          <w:tcPr>
            <w:tcW w:w="510" w:type="dxa"/>
            <w:vAlign w:val="top"/>
            <w:vMerge w:val="continue"/>
            <w:tcBorders>
              <w:top w:val="nil"/>
              <w:bottom w:val="nil"/>
            </w:tcBorders>
          </w:tcPr>
          <w:p>
            <w:pPr>
              <w:rPr>
                <w:rFonts w:ascii="Arial"/>
                <w:sz w:val="21"/>
              </w:rPr>
            </w:pPr>
            <w:r/>
          </w:p>
        </w:tc>
        <w:tc>
          <w:tcPr>
            <w:tcW w:w="210" w:type="dxa"/>
            <w:vAlign w:val="top"/>
            <w:vMerge w:val="restart"/>
            <w:textDirection w:val="tbRlV"/>
            <w:tcBorders>
              <w:bottom w:val="nil"/>
            </w:tcBorders>
          </w:tcPr>
          <w:p>
            <w:pPr>
              <w:pStyle w:val="TableText"/>
              <w:spacing w:before="3" w:line="200" w:lineRule="auto"/>
              <w:rPr>
                <w:sz w:val="21"/>
                <w:szCs w:val="21"/>
              </w:rPr>
            </w:pPr>
            <w:r>
              <w:rPr>
                <w:sz w:val="21"/>
                <w:szCs w:val="21"/>
              </w:rPr>
              <w:t>季</w:t>
            </w:r>
          </w:p>
        </w:tc>
        <w:tc>
          <w:tcPr>
            <w:tcW w:w="659" w:type="dxa"/>
            <w:vAlign w:val="top"/>
            <w:vMerge w:val="restart"/>
            <w:tcBorders>
              <w:bottom w:val="nil"/>
            </w:tcBorders>
          </w:tcPr>
          <w:p>
            <w:pPr>
              <w:pStyle w:val="TableText"/>
              <w:spacing w:before="184" w:line="220" w:lineRule="auto"/>
              <w:rPr>
                <w:sz w:val="21"/>
                <w:szCs w:val="21"/>
              </w:rPr>
            </w:pPr>
            <w:r>
              <w:rPr>
                <w:sz w:val="21"/>
                <w:szCs w:val="21"/>
                <w:spacing w:val="3"/>
              </w:rPr>
              <w:t>无组织</w:t>
            </w:r>
          </w:p>
        </w:tc>
        <w:tc>
          <w:tcPr>
            <w:tcW w:w="660" w:type="dxa"/>
            <w:vAlign w:val="top"/>
          </w:tcPr>
          <w:p>
            <w:pPr>
              <w:pStyle w:val="TableText"/>
              <w:ind w:left="110"/>
              <w:spacing w:before="67" w:line="150" w:lineRule="exact"/>
              <w:rPr>
                <w:rFonts w:ascii="Calibri" w:hAnsi="Calibri" w:eastAsia="Calibri" w:cs="Calibri"/>
                <w:sz w:val="21"/>
                <w:szCs w:val="21"/>
              </w:rPr>
            </w:pPr>
            <w:r>
              <w:rPr>
                <w:sz w:val="21"/>
                <w:szCs w:val="21"/>
                <w:spacing w:val="-1"/>
                <w:position w:val="-2"/>
              </w:rPr>
              <w:t>NH</w:t>
            </w:r>
            <w:r>
              <w:rPr>
                <w:rFonts w:ascii="Calibri" w:hAnsi="Calibri" w:eastAsia="Calibri" w:cs="Calibri"/>
                <w:sz w:val="21"/>
                <w:szCs w:val="21"/>
                <w:spacing w:val="-1"/>
                <w:position w:val="-2"/>
              </w:rPr>
              <w:t>₃</w:t>
            </w:r>
          </w:p>
        </w:tc>
        <w:tc>
          <w:tcPr>
            <w:tcW w:w="509" w:type="dxa"/>
            <w:vAlign w:val="top"/>
            <w:vMerge w:val="continue"/>
            <w:tcBorders>
              <w:top w:val="nil"/>
              <w:bottom w:val="nil"/>
            </w:tcBorders>
          </w:tcPr>
          <w:p>
            <w:pPr>
              <w:rPr>
                <w:rFonts w:ascii="Arial"/>
                <w:sz w:val="21"/>
              </w:rPr>
            </w:pPr>
            <w:r/>
          </w:p>
        </w:tc>
        <w:tc>
          <w:tcPr>
            <w:tcW w:w="659" w:type="dxa"/>
            <w:vAlign w:val="top"/>
          </w:tcPr>
          <w:p>
            <w:pPr>
              <w:pStyle w:val="TableText"/>
              <w:ind w:left="1"/>
              <w:spacing w:before="54" w:line="163" w:lineRule="exact"/>
              <w:rPr>
                <w:sz w:val="21"/>
                <w:szCs w:val="21"/>
              </w:rPr>
            </w:pPr>
            <w:r>
              <w:rPr>
                <w:sz w:val="21"/>
                <w:szCs w:val="21"/>
                <w:spacing w:val="-2"/>
                <w:position w:val="-2"/>
              </w:rPr>
              <w:t>0.0103</w:t>
            </w:r>
          </w:p>
        </w:tc>
        <w:tc>
          <w:tcPr>
            <w:tcW w:w="849" w:type="dxa"/>
            <w:vAlign w:val="top"/>
          </w:tcPr>
          <w:p>
            <w:pPr>
              <w:pStyle w:val="TableText"/>
              <w:ind w:left="102"/>
              <w:spacing w:before="54" w:line="163" w:lineRule="exact"/>
              <w:rPr>
                <w:sz w:val="21"/>
                <w:szCs w:val="21"/>
              </w:rPr>
            </w:pPr>
            <w:r>
              <w:rPr>
                <w:sz w:val="21"/>
                <w:szCs w:val="21"/>
                <w:spacing w:val="-2"/>
                <w:position w:val="-2"/>
              </w:rPr>
              <w:t>0.0096</w:t>
            </w:r>
          </w:p>
        </w:tc>
        <w:tc>
          <w:tcPr>
            <w:tcW w:w="869" w:type="dxa"/>
            <w:vAlign w:val="top"/>
          </w:tcPr>
          <w:p>
            <w:pPr>
              <w:pStyle w:val="TableText"/>
              <w:ind w:left="373"/>
              <w:spacing w:before="39" w:line="178" w:lineRule="exact"/>
              <w:rPr>
                <w:sz w:val="21"/>
                <w:szCs w:val="21"/>
              </w:rPr>
            </w:pPr>
            <w:r>
              <w:rPr>
                <w:sz w:val="21"/>
                <w:szCs w:val="21"/>
                <w:position w:val="-2"/>
              </w:rPr>
              <w:t>/</w:t>
            </w:r>
          </w:p>
        </w:tc>
        <w:tc>
          <w:tcPr>
            <w:tcW w:w="4597" w:type="dxa"/>
            <w:vAlign w:val="top"/>
            <w:vMerge w:val="restart"/>
            <w:tcBorders>
              <w:bottom w:val="nil"/>
            </w:tcBorders>
          </w:tcPr>
          <w:p>
            <w:pPr>
              <w:pStyle w:val="TableText"/>
              <w:ind w:left="14" w:right="156"/>
              <w:spacing w:before="33" w:line="227" w:lineRule="auto"/>
              <w:rPr>
                <w:sz w:val="21"/>
                <w:szCs w:val="21"/>
              </w:rPr>
            </w:pPr>
            <w:r>
              <w:rPr>
                <w:sz w:val="21"/>
                <w:szCs w:val="21"/>
              </w:rPr>
              <w:t>设置两道门密闭厂房，定期喷洒微生物除臭剂，</w:t>
            </w:r>
            <w:r>
              <w:rPr>
                <w:sz w:val="21"/>
                <w:szCs w:val="21"/>
                <w:spacing w:val="4"/>
              </w:rPr>
              <w:t xml:space="preserve"> </w:t>
            </w:r>
            <w:r>
              <w:rPr>
                <w:sz w:val="21"/>
                <w:szCs w:val="21"/>
              </w:rPr>
              <w:t>采用干清粪工艺，干粪日产日清，无组织排放。</w:t>
            </w:r>
          </w:p>
        </w:tc>
        <w:tc>
          <w:tcPr>
            <w:tcW w:w="870" w:type="dxa"/>
            <w:vAlign w:val="top"/>
            <w:gridSpan w:val="2"/>
          </w:tcPr>
          <w:p>
            <w:pPr>
              <w:pStyle w:val="TableText"/>
              <w:ind w:left="267"/>
              <w:spacing w:before="54" w:line="163" w:lineRule="exact"/>
              <w:rPr>
                <w:sz w:val="21"/>
                <w:szCs w:val="21"/>
              </w:rPr>
            </w:pPr>
            <w:r>
              <w:rPr>
                <w:sz w:val="21"/>
                <w:szCs w:val="21"/>
                <w:spacing w:val="-3"/>
                <w:position w:val="-2"/>
              </w:rPr>
              <w:t>50%</w:t>
            </w:r>
          </w:p>
        </w:tc>
        <w:tc>
          <w:tcPr>
            <w:tcW w:w="670" w:type="dxa"/>
            <w:vAlign w:val="top"/>
          </w:tcPr>
          <w:p>
            <w:pPr>
              <w:pStyle w:val="TableText"/>
              <w:ind w:left="27"/>
              <w:spacing w:before="54" w:line="163" w:lineRule="exact"/>
              <w:rPr>
                <w:sz w:val="21"/>
                <w:szCs w:val="21"/>
              </w:rPr>
            </w:pPr>
            <w:r>
              <w:rPr>
                <w:sz w:val="21"/>
                <w:szCs w:val="21"/>
                <w:spacing w:val="-2"/>
                <w:position w:val="-2"/>
              </w:rPr>
              <w:t>0.0052</w:t>
            </w:r>
          </w:p>
        </w:tc>
        <w:tc>
          <w:tcPr>
            <w:tcW w:w="839" w:type="dxa"/>
            <w:vAlign w:val="top"/>
          </w:tcPr>
          <w:p>
            <w:pPr>
              <w:pStyle w:val="TableText"/>
              <w:ind w:left="97"/>
              <w:spacing w:before="54" w:line="163" w:lineRule="exact"/>
              <w:rPr>
                <w:sz w:val="21"/>
                <w:szCs w:val="21"/>
              </w:rPr>
            </w:pPr>
            <w:r>
              <w:rPr>
                <w:sz w:val="21"/>
                <w:szCs w:val="21"/>
                <w:spacing w:val="-2"/>
                <w:position w:val="-2"/>
              </w:rPr>
              <w:t>0.0048</w:t>
            </w:r>
          </w:p>
        </w:tc>
        <w:tc>
          <w:tcPr>
            <w:tcW w:w="849" w:type="dxa"/>
            <w:vAlign w:val="top"/>
          </w:tcPr>
          <w:p>
            <w:pPr>
              <w:pStyle w:val="TableText"/>
              <w:ind w:left="368"/>
              <w:spacing w:before="54" w:line="163" w:lineRule="exact"/>
              <w:rPr>
                <w:sz w:val="21"/>
                <w:szCs w:val="21"/>
              </w:rPr>
            </w:pPr>
            <w:r>
              <w:rPr>
                <w:sz w:val="21"/>
                <w:szCs w:val="21"/>
                <w:position w:val="-3"/>
              </w:rPr>
              <w:t>1</w:t>
            </w:r>
          </w:p>
        </w:tc>
        <w:tc>
          <w:tcPr>
            <w:tcW w:w="450" w:type="dxa"/>
            <w:vAlign w:val="top"/>
            <w:vMerge w:val="continue"/>
            <w:tcBorders>
              <w:top w:val="nil"/>
              <w:bottom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323" w:hRule="atLeast"/>
        </w:trPr>
        <w:tc>
          <w:tcPr>
            <w:tcW w:w="215" w:type="dxa"/>
            <w:vAlign w:val="top"/>
            <w:tcBorders>
              <w:bottom w:val="nil"/>
              <w:top w:val="nil"/>
            </w:tcBorders>
          </w:tcPr>
          <w:p>
            <w:pPr>
              <w:rPr>
                <w:rFonts w:ascii="Arial"/>
                <w:sz w:val="21"/>
              </w:rPr>
            </w:pPr>
            <w:r/>
          </w:p>
        </w:tc>
        <w:tc>
          <w:tcPr>
            <w:tcW w:w="510" w:type="dxa"/>
            <w:vAlign w:val="top"/>
            <w:vMerge w:val="continue"/>
            <w:tcBorders>
              <w:top w:val="nil"/>
            </w:tcBorders>
          </w:tcPr>
          <w:p>
            <w:pPr>
              <w:rPr>
                <w:rFonts w:ascii="Arial"/>
                <w:sz w:val="21"/>
              </w:rPr>
            </w:pPr>
            <w:r/>
          </w:p>
        </w:tc>
        <w:tc>
          <w:tcPr>
            <w:tcW w:w="210" w:type="dxa"/>
            <w:vAlign w:val="top"/>
            <w:vMerge w:val="continue"/>
            <w:textDirection w:val="tbRlV"/>
            <w:tcBorders>
              <w:top w:val="nil"/>
            </w:tcBorders>
          </w:tcPr>
          <w:p>
            <w:pPr>
              <w:spacing w:line="200" w:lineRule="exact"/>
              <w:rPr>
                <w:rFonts w:ascii="Arial"/>
                <w:sz w:val="16"/>
              </w:rPr>
            </w:pPr>
            <w:r/>
          </w:p>
        </w:tc>
        <w:tc>
          <w:tcPr>
            <w:tcW w:w="659" w:type="dxa"/>
            <w:vAlign w:val="top"/>
            <w:vMerge w:val="continue"/>
            <w:tcBorders>
              <w:top w:val="nil"/>
            </w:tcBorders>
          </w:tcPr>
          <w:p>
            <w:pPr>
              <w:rPr>
                <w:rFonts w:ascii="Arial"/>
                <w:sz w:val="21"/>
              </w:rPr>
            </w:pPr>
            <w:r/>
          </w:p>
        </w:tc>
        <w:tc>
          <w:tcPr>
            <w:tcW w:w="660" w:type="dxa"/>
            <w:vAlign w:val="top"/>
          </w:tcPr>
          <w:p>
            <w:pPr>
              <w:pStyle w:val="TableText"/>
              <w:ind w:left="110"/>
              <w:spacing w:before="100" w:line="183"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509" w:type="dxa"/>
            <w:vAlign w:val="top"/>
            <w:vMerge w:val="continue"/>
            <w:tcBorders>
              <w:top w:val="nil"/>
            </w:tcBorders>
          </w:tcPr>
          <w:p>
            <w:pPr>
              <w:rPr>
                <w:rFonts w:ascii="Arial"/>
                <w:sz w:val="21"/>
              </w:rPr>
            </w:pPr>
            <w:r/>
          </w:p>
        </w:tc>
        <w:tc>
          <w:tcPr>
            <w:tcW w:w="659" w:type="dxa"/>
            <w:vAlign w:val="top"/>
          </w:tcPr>
          <w:p>
            <w:pPr>
              <w:pStyle w:val="TableText"/>
              <w:ind w:left="1"/>
              <w:spacing w:before="87" w:line="198" w:lineRule="auto"/>
              <w:rPr>
                <w:sz w:val="21"/>
                <w:szCs w:val="21"/>
              </w:rPr>
            </w:pPr>
            <w:r>
              <w:rPr>
                <w:sz w:val="21"/>
                <w:szCs w:val="21"/>
                <w:spacing w:val="-2"/>
              </w:rPr>
              <w:t>0.0038</w:t>
            </w:r>
          </w:p>
        </w:tc>
        <w:tc>
          <w:tcPr>
            <w:tcW w:w="849" w:type="dxa"/>
            <w:vAlign w:val="top"/>
          </w:tcPr>
          <w:p>
            <w:pPr>
              <w:pStyle w:val="TableText"/>
              <w:ind w:left="102"/>
              <w:spacing w:before="87" w:line="198" w:lineRule="auto"/>
              <w:rPr>
                <w:sz w:val="21"/>
                <w:szCs w:val="21"/>
              </w:rPr>
            </w:pPr>
            <w:r>
              <w:rPr>
                <w:sz w:val="21"/>
                <w:szCs w:val="21"/>
                <w:spacing w:val="-2"/>
              </w:rPr>
              <w:t>0.0036</w:t>
            </w:r>
          </w:p>
        </w:tc>
        <w:tc>
          <w:tcPr>
            <w:tcW w:w="869" w:type="dxa"/>
            <w:vAlign w:val="top"/>
          </w:tcPr>
          <w:p>
            <w:pPr>
              <w:pStyle w:val="TableText"/>
              <w:ind w:left="373"/>
              <w:spacing w:before="71" w:line="212" w:lineRule="auto"/>
              <w:rPr>
                <w:sz w:val="21"/>
                <w:szCs w:val="21"/>
              </w:rPr>
            </w:pPr>
            <w:r>
              <w:rPr>
                <w:sz w:val="21"/>
                <w:szCs w:val="21"/>
                <w:color w:val="403040"/>
              </w:rPr>
              <w:t>/</w:t>
            </w:r>
          </w:p>
        </w:tc>
        <w:tc>
          <w:tcPr>
            <w:tcW w:w="4597" w:type="dxa"/>
            <w:vAlign w:val="top"/>
            <w:vMerge w:val="continue"/>
            <w:tcBorders>
              <w:top w:val="nil"/>
            </w:tcBorders>
          </w:tcPr>
          <w:p>
            <w:pPr>
              <w:rPr>
                <w:rFonts w:ascii="Arial"/>
                <w:sz w:val="21"/>
              </w:rPr>
            </w:pPr>
            <w:r/>
          </w:p>
        </w:tc>
        <w:tc>
          <w:tcPr>
            <w:tcW w:w="870" w:type="dxa"/>
            <w:vAlign w:val="top"/>
            <w:gridSpan w:val="2"/>
          </w:tcPr>
          <w:p>
            <w:pPr>
              <w:pStyle w:val="TableText"/>
              <w:ind w:left="267"/>
              <w:spacing w:before="87" w:line="198" w:lineRule="auto"/>
              <w:rPr>
                <w:sz w:val="21"/>
                <w:szCs w:val="21"/>
              </w:rPr>
            </w:pPr>
            <w:r>
              <w:rPr>
                <w:sz w:val="21"/>
                <w:szCs w:val="21"/>
                <w:spacing w:val="-3"/>
              </w:rPr>
              <w:t>50%</w:t>
            </w:r>
          </w:p>
        </w:tc>
        <w:tc>
          <w:tcPr>
            <w:tcW w:w="670" w:type="dxa"/>
            <w:vAlign w:val="top"/>
          </w:tcPr>
          <w:p>
            <w:pPr>
              <w:pStyle w:val="TableText"/>
              <w:ind w:left="27"/>
              <w:spacing w:before="87" w:line="198" w:lineRule="auto"/>
              <w:rPr>
                <w:sz w:val="21"/>
                <w:szCs w:val="21"/>
              </w:rPr>
            </w:pPr>
            <w:r>
              <w:rPr>
                <w:sz w:val="21"/>
                <w:szCs w:val="21"/>
                <w:spacing w:val="-2"/>
              </w:rPr>
              <w:t>0.0019</w:t>
            </w:r>
          </w:p>
        </w:tc>
        <w:tc>
          <w:tcPr>
            <w:tcW w:w="839" w:type="dxa"/>
            <w:vAlign w:val="top"/>
          </w:tcPr>
          <w:p>
            <w:pPr>
              <w:pStyle w:val="TableText"/>
              <w:ind w:left="97"/>
              <w:spacing w:before="87" w:line="198" w:lineRule="auto"/>
              <w:rPr>
                <w:sz w:val="21"/>
                <w:szCs w:val="21"/>
              </w:rPr>
            </w:pPr>
            <w:r>
              <w:rPr>
                <w:sz w:val="21"/>
                <w:szCs w:val="21"/>
                <w:spacing w:val="-2"/>
              </w:rPr>
              <w:t>0.0018</w:t>
            </w:r>
          </w:p>
        </w:tc>
        <w:tc>
          <w:tcPr>
            <w:tcW w:w="849" w:type="dxa"/>
            <w:vAlign w:val="top"/>
          </w:tcPr>
          <w:p>
            <w:pPr>
              <w:pStyle w:val="TableText"/>
              <w:ind w:left="368"/>
              <w:spacing w:before="71" w:line="212" w:lineRule="auto"/>
              <w:rPr>
                <w:sz w:val="21"/>
                <w:szCs w:val="21"/>
              </w:rPr>
            </w:pPr>
            <w:r>
              <w:rPr>
                <w:sz w:val="21"/>
                <w:szCs w:val="21"/>
              </w:rPr>
              <w:t>/</w:t>
            </w:r>
          </w:p>
        </w:tc>
        <w:tc>
          <w:tcPr>
            <w:tcW w:w="450" w:type="dxa"/>
            <w:vAlign w:val="top"/>
            <w:vMerge w:val="continue"/>
            <w:tcBorders>
              <w:top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386" w:hRule="atLeast"/>
        </w:trPr>
        <w:tc>
          <w:tcPr>
            <w:tcW w:w="215" w:type="dxa"/>
            <w:vAlign w:val="top"/>
            <w:tcBorders>
              <w:bottom w:val="nil"/>
              <w:top w:val="nil"/>
            </w:tcBorders>
          </w:tcPr>
          <w:p>
            <w:pPr>
              <w:rPr>
                <w:rFonts w:ascii="Arial"/>
                <w:sz w:val="21"/>
              </w:rPr>
            </w:pPr>
            <w:r/>
          </w:p>
        </w:tc>
        <w:tc>
          <w:tcPr>
            <w:tcW w:w="510" w:type="dxa"/>
            <w:vAlign w:val="top"/>
            <w:vMerge w:val="restart"/>
            <w:tcBorders>
              <w:bottom w:val="nil"/>
            </w:tcBorders>
          </w:tcPr>
          <w:p>
            <w:pPr>
              <w:spacing w:line="316" w:lineRule="auto"/>
              <w:rPr>
                <w:rFonts w:ascii="Arial"/>
                <w:sz w:val="21"/>
              </w:rPr>
            </w:pPr>
            <w:r/>
          </w:p>
          <w:p>
            <w:pPr>
              <w:spacing w:line="317" w:lineRule="auto"/>
              <w:rPr>
                <w:rFonts w:ascii="Arial"/>
                <w:sz w:val="21"/>
              </w:rPr>
            </w:pPr>
            <w:r/>
          </w:p>
          <w:p>
            <w:pPr>
              <w:spacing w:line="317" w:lineRule="auto"/>
              <w:rPr>
                <w:rFonts w:ascii="Arial"/>
                <w:sz w:val="21"/>
              </w:rPr>
            </w:pPr>
            <w:r/>
          </w:p>
          <w:p>
            <w:pPr>
              <w:pStyle w:val="TableText"/>
              <w:ind w:left="29" w:right="33"/>
              <w:spacing w:before="68" w:line="230" w:lineRule="auto"/>
              <w:rPr>
                <w:sz w:val="21"/>
                <w:szCs w:val="21"/>
              </w:rPr>
            </w:pPr>
            <w:r>
              <w:rPr>
                <w:sz w:val="21"/>
                <w:szCs w:val="21"/>
                <w:spacing w:val="-5"/>
              </w:rPr>
              <w:t>生猪</w:t>
            </w:r>
            <w:r>
              <w:rPr>
                <w:sz w:val="21"/>
                <w:szCs w:val="21"/>
              </w:rPr>
              <w:t xml:space="preserve"> </w:t>
            </w:r>
            <w:r>
              <w:rPr>
                <w:sz w:val="21"/>
                <w:szCs w:val="21"/>
                <w:spacing w:val="8"/>
              </w:rPr>
              <w:t>屠宰</w:t>
            </w:r>
          </w:p>
          <w:p>
            <w:pPr>
              <w:pStyle w:val="TableText"/>
              <w:ind w:left="29"/>
              <w:spacing w:before="16" w:line="219" w:lineRule="auto"/>
              <w:rPr>
                <w:sz w:val="21"/>
                <w:szCs w:val="21"/>
              </w:rPr>
            </w:pPr>
            <w:r>
              <w:rPr>
                <w:sz w:val="21"/>
                <w:szCs w:val="21"/>
                <w:spacing w:val="10"/>
              </w:rPr>
              <w:t>车间</w:t>
            </w:r>
          </w:p>
        </w:tc>
        <w:tc>
          <w:tcPr>
            <w:tcW w:w="210" w:type="dxa"/>
            <w:vAlign w:val="top"/>
            <w:vMerge w:val="restart"/>
            <w:textDirection w:val="tbRlV"/>
            <w:tcBorders>
              <w:bottom w:val="nil"/>
            </w:tcBorders>
          </w:tcPr>
          <w:p>
            <w:pPr>
              <w:pStyle w:val="TableText"/>
              <w:ind w:left="430"/>
              <w:spacing w:before="3" w:line="199" w:lineRule="auto"/>
              <w:rPr>
                <w:sz w:val="21"/>
                <w:szCs w:val="21"/>
              </w:rPr>
            </w:pPr>
            <w:r>
              <w:rPr>
                <w:sz w:val="21"/>
                <w:szCs w:val="21"/>
              </w:rPr>
              <w:t>淡</w:t>
            </w:r>
            <w:r>
              <w:rPr>
                <w:sz w:val="21"/>
                <w:szCs w:val="21"/>
                <w:spacing w:val="-23"/>
              </w:rPr>
              <w:t xml:space="preserve"> </w:t>
            </w:r>
            <w:r>
              <w:rPr>
                <w:sz w:val="21"/>
                <w:szCs w:val="21"/>
              </w:rPr>
              <w:t>季</w:t>
            </w:r>
          </w:p>
        </w:tc>
        <w:tc>
          <w:tcPr>
            <w:tcW w:w="659" w:type="dxa"/>
            <w:vAlign w:val="top"/>
            <w:vMerge w:val="restart"/>
            <w:tcBorders>
              <w:bottom w:val="nil"/>
            </w:tcBorders>
          </w:tcPr>
          <w:p>
            <w:pPr>
              <w:pStyle w:val="TableText"/>
              <w:spacing w:before="304" w:line="220" w:lineRule="auto"/>
              <w:rPr>
                <w:sz w:val="21"/>
                <w:szCs w:val="21"/>
              </w:rPr>
            </w:pPr>
            <w:r>
              <w:rPr>
                <w:sz w:val="21"/>
                <w:szCs w:val="21"/>
                <w:spacing w:val="3"/>
              </w:rPr>
              <w:t>有组织</w:t>
            </w:r>
          </w:p>
        </w:tc>
        <w:tc>
          <w:tcPr>
            <w:tcW w:w="660" w:type="dxa"/>
            <w:vAlign w:val="top"/>
          </w:tcPr>
          <w:p>
            <w:pPr>
              <w:pStyle w:val="TableText"/>
              <w:ind w:left="110"/>
              <w:spacing w:before="127" w:line="182"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509" w:type="dxa"/>
            <w:vAlign w:val="top"/>
            <w:vMerge w:val="restart"/>
            <w:tcBorders>
              <w:bottom w:val="nil"/>
            </w:tcBorders>
          </w:tcPr>
          <w:p>
            <w:pPr>
              <w:spacing w:line="392" w:lineRule="auto"/>
              <w:rPr>
                <w:rFonts w:ascii="Arial"/>
                <w:sz w:val="21"/>
              </w:rPr>
            </w:pPr>
            <w:r/>
          </w:p>
          <w:p>
            <w:pPr>
              <w:pStyle w:val="TableText"/>
              <w:ind w:left="139" w:right="35" w:hanging="109"/>
              <w:spacing w:before="68" w:line="266" w:lineRule="auto"/>
              <w:rPr>
                <w:sz w:val="21"/>
                <w:szCs w:val="21"/>
              </w:rPr>
            </w:pPr>
            <w:r>
              <w:rPr>
                <w:sz w:val="21"/>
                <w:szCs w:val="21"/>
                <w:spacing w:val="6"/>
              </w:rPr>
              <w:t>类比</w:t>
            </w:r>
            <w:r>
              <w:rPr>
                <w:sz w:val="21"/>
                <w:szCs w:val="21"/>
              </w:rPr>
              <w:t xml:space="preserve"> </w:t>
            </w:r>
            <w:r>
              <w:rPr>
                <w:sz w:val="21"/>
                <w:szCs w:val="21"/>
              </w:rPr>
              <w:t>法</w:t>
            </w:r>
          </w:p>
        </w:tc>
        <w:tc>
          <w:tcPr>
            <w:tcW w:w="659" w:type="dxa"/>
            <w:vAlign w:val="top"/>
          </w:tcPr>
          <w:p>
            <w:pPr>
              <w:pStyle w:val="TableText"/>
              <w:ind w:left="1"/>
              <w:spacing w:before="114" w:line="230" w:lineRule="auto"/>
              <w:rPr>
                <w:sz w:val="21"/>
                <w:szCs w:val="21"/>
              </w:rPr>
            </w:pPr>
            <w:r>
              <w:rPr>
                <w:sz w:val="21"/>
                <w:szCs w:val="21"/>
                <w:spacing w:val="-2"/>
              </w:rPr>
              <w:t>0.1458</w:t>
            </w:r>
          </w:p>
        </w:tc>
        <w:tc>
          <w:tcPr>
            <w:tcW w:w="849" w:type="dxa"/>
            <w:vAlign w:val="top"/>
          </w:tcPr>
          <w:p>
            <w:pPr>
              <w:pStyle w:val="TableText"/>
              <w:ind w:left="102"/>
              <w:spacing w:before="114" w:line="230" w:lineRule="auto"/>
              <w:rPr>
                <w:sz w:val="21"/>
                <w:szCs w:val="21"/>
              </w:rPr>
            </w:pPr>
            <w:r>
              <w:rPr>
                <w:sz w:val="21"/>
                <w:szCs w:val="21"/>
                <w:spacing w:val="-2"/>
              </w:rPr>
              <w:t>0.0675</w:t>
            </w:r>
          </w:p>
        </w:tc>
        <w:tc>
          <w:tcPr>
            <w:tcW w:w="869" w:type="dxa"/>
            <w:vAlign w:val="top"/>
          </w:tcPr>
          <w:p>
            <w:pPr>
              <w:pStyle w:val="TableText"/>
              <w:ind w:left="213"/>
              <w:spacing w:before="114" w:line="230" w:lineRule="auto"/>
              <w:rPr>
                <w:sz w:val="21"/>
                <w:szCs w:val="21"/>
              </w:rPr>
            </w:pPr>
            <w:r>
              <w:rPr>
                <w:sz w:val="21"/>
                <w:szCs w:val="21"/>
                <w:spacing w:val="-5"/>
              </w:rPr>
              <w:t>1.13</w:t>
            </w:r>
          </w:p>
        </w:tc>
        <w:tc>
          <w:tcPr>
            <w:tcW w:w="4597" w:type="dxa"/>
            <w:vAlign w:val="top"/>
            <w:vMerge w:val="restart"/>
            <w:tcBorders>
              <w:bottom w:val="nil"/>
            </w:tcBorders>
          </w:tcPr>
          <w:p>
            <w:pPr>
              <w:pStyle w:val="TableText"/>
              <w:ind w:left="14" w:right="463"/>
              <w:spacing w:before="31" w:line="237" w:lineRule="auto"/>
              <w:rPr>
                <w:sz w:val="21"/>
                <w:szCs w:val="21"/>
              </w:rPr>
            </w:pPr>
            <w:r>
              <w:rPr>
                <w:sz w:val="21"/>
                <w:szCs w:val="21"/>
                <w:spacing w:val="4"/>
              </w:rPr>
              <w:t>负压收集(风量60000m³/h)+喷淋+</w:t>
            </w:r>
            <w:r>
              <w:rPr>
                <w:sz w:val="21"/>
                <w:szCs w:val="21"/>
              </w:rPr>
              <w:t>UV</w:t>
            </w:r>
            <w:r>
              <w:rPr>
                <w:sz w:val="21"/>
                <w:szCs w:val="21"/>
                <w:spacing w:val="4"/>
              </w:rPr>
              <w:t>光解+活</w:t>
            </w:r>
            <w:r>
              <w:rPr>
                <w:sz w:val="21"/>
                <w:szCs w:val="21"/>
                <w:spacing w:val="17"/>
              </w:rPr>
              <w:t xml:space="preserve"> </w:t>
            </w:r>
            <w:r>
              <w:rPr>
                <w:sz w:val="21"/>
                <w:szCs w:val="21"/>
              </w:rPr>
              <w:t>性炭吸附装置(TA002)+15m高排气筒</w:t>
            </w:r>
          </w:p>
          <w:p>
            <w:pPr>
              <w:pStyle w:val="TableText"/>
              <w:ind w:left="14"/>
              <w:spacing w:line="198" w:lineRule="auto"/>
              <w:rPr>
                <w:sz w:val="21"/>
                <w:szCs w:val="21"/>
              </w:rPr>
            </w:pPr>
            <w:r>
              <w:rPr>
                <w:sz w:val="21"/>
                <w:szCs w:val="21"/>
              </w:rPr>
              <w:t>(DA002),有组织排放。</w:t>
            </w:r>
          </w:p>
        </w:tc>
        <w:tc>
          <w:tcPr>
            <w:tcW w:w="450" w:type="dxa"/>
            <w:vAlign w:val="top"/>
          </w:tcPr>
          <w:p>
            <w:pPr>
              <w:pStyle w:val="TableText"/>
              <w:ind w:left="57"/>
              <w:spacing w:before="114" w:line="230" w:lineRule="auto"/>
              <w:rPr>
                <w:sz w:val="21"/>
                <w:szCs w:val="21"/>
              </w:rPr>
            </w:pPr>
            <w:r>
              <w:rPr>
                <w:sz w:val="21"/>
                <w:szCs w:val="21"/>
                <w:spacing w:val="-3"/>
              </w:rPr>
              <w:t>95%</w:t>
            </w:r>
          </w:p>
        </w:tc>
        <w:tc>
          <w:tcPr>
            <w:tcW w:w="420" w:type="dxa"/>
            <w:vAlign w:val="top"/>
          </w:tcPr>
          <w:p>
            <w:pPr>
              <w:pStyle w:val="TableText"/>
              <w:ind w:left="47"/>
              <w:spacing w:before="114" w:line="230" w:lineRule="auto"/>
              <w:rPr>
                <w:sz w:val="21"/>
                <w:szCs w:val="21"/>
              </w:rPr>
            </w:pPr>
            <w:r>
              <w:rPr>
                <w:sz w:val="21"/>
                <w:szCs w:val="21"/>
                <w:spacing w:val="-3"/>
              </w:rPr>
              <w:t>95%</w:t>
            </w:r>
          </w:p>
        </w:tc>
        <w:tc>
          <w:tcPr>
            <w:tcW w:w="670" w:type="dxa"/>
            <w:vAlign w:val="top"/>
          </w:tcPr>
          <w:p>
            <w:pPr>
              <w:pStyle w:val="TableText"/>
              <w:ind w:left="17"/>
              <w:spacing w:before="125" w:line="239" w:lineRule="auto"/>
              <w:rPr>
                <w:sz w:val="19"/>
                <w:szCs w:val="19"/>
              </w:rPr>
            </w:pPr>
            <w:r>
              <w:rPr>
                <w:sz w:val="19"/>
                <w:szCs w:val="19"/>
                <w:position w:val="-2"/>
              </w:rPr>
              <w:drawing>
                <wp:inline distT="0" distB="0" distL="0" distR="0">
                  <wp:extent cx="60963" cy="137136"/>
                  <wp:effectExtent l="0" t="0" r="0" b="0"/>
                  <wp:docPr id="90" name="IM 90"/>
                  <wp:cNvGraphicFramePr/>
                  <a:graphic>
                    <a:graphicData uri="http://schemas.openxmlformats.org/drawingml/2006/picture">
                      <pic:pic>
                        <pic:nvPicPr>
                          <pic:cNvPr id="90" name="IM 90"/>
                          <pic:cNvPicPr/>
                        </pic:nvPicPr>
                        <pic:blipFill>
                          <a:blip r:embed="rId337"/>
                          <a:stretch>
                            <a:fillRect/>
                          </a:stretch>
                        </pic:blipFill>
                        <pic:spPr>
                          <a:xfrm rot="0">
                            <a:off x="0" y="0"/>
                            <a:ext cx="60963" cy="137136"/>
                          </a:xfrm>
                          <a:prstGeom prst="rect">
                            <a:avLst/>
                          </a:prstGeom>
                        </pic:spPr>
                      </pic:pic>
                    </a:graphicData>
                  </a:graphic>
                </wp:inline>
              </w:drawing>
            </w:r>
            <w:r>
              <w:rPr>
                <w:sz w:val="19"/>
                <w:szCs w:val="19"/>
              </w:rPr>
              <w:t>.0069</w:t>
            </w:r>
          </w:p>
        </w:tc>
        <w:tc>
          <w:tcPr>
            <w:tcW w:w="839" w:type="dxa"/>
            <w:vAlign w:val="top"/>
          </w:tcPr>
          <w:p>
            <w:pPr>
              <w:pStyle w:val="TableText"/>
              <w:ind w:left="97"/>
              <w:spacing w:before="114" w:line="230" w:lineRule="auto"/>
              <w:rPr>
                <w:sz w:val="21"/>
                <w:szCs w:val="21"/>
              </w:rPr>
            </w:pPr>
            <w:r>
              <w:rPr>
                <w:sz w:val="21"/>
                <w:szCs w:val="21"/>
                <w:spacing w:val="-2"/>
              </w:rPr>
              <w:t>0.0032</w:t>
            </w:r>
          </w:p>
        </w:tc>
        <w:tc>
          <w:tcPr>
            <w:tcW w:w="849" w:type="dxa"/>
            <w:vAlign w:val="top"/>
          </w:tcPr>
          <w:p>
            <w:pPr>
              <w:pStyle w:val="TableText"/>
              <w:ind w:left="208"/>
              <w:spacing w:before="114" w:line="230" w:lineRule="auto"/>
              <w:rPr>
                <w:sz w:val="21"/>
                <w:szCs w:val="21"/>
              </w:rPr>
            </w:pPr>
            <w:r>
              <w:rPr>
                <w:sz w:val="21"/>
                <w:szCs w:val="21"/>
                <w:spacing w:val="-2"/>
              </w:rPr>
              <w:t>0.05</w:t>
            </w:r>
          </w:p>
        </w:tc>
        <w:tc>
          <w:tcPr>
            <w:tcW w:w="450" w:type="dxa"/>
            <w:vAlign w:val="top"/>
            <w:vMerge w:val="restart"/>
            <w:tcBorders>
              <w:bottom w:val="nil"/>
            </w:tcBorders>
          </w:tcPr>
          <w:p>
            <w:pPr>
              <w:spacing w:line="281" w:lineRule="auto"/>
              <w:rPr>
                <w:rFonts w:ascii="Arial"/>
                <w:sz w:val="21"/>
              </w:rPr>
            </w:pPr>
            <w:r/>
          </w:p>
          <w:p>
            <w:pPr>
              <w:spacing w:line="281" w:lineRule="auto"/>
              <w:rPr>
                <w:rFonts w:ascii="Arial"/>
                <w:sz w:val="21"/>
              </w:rPr>
            </w:pPr>
            <w:r/>
          </w:p>
          <w:p>
            <w:pPr>
              <w:pStyle w:val="TableText"/>
              <w:ind w:left="19"/>
              <w:spacing w:before="68"/>
              <w:rPr>
                <w:sz w:val="21"/>
                <w:szCs w:val="21"/>
              </w:rPr>
            </w:pPr>
            <w:r>
              <w:rPr>
                <w:sz w:val="21"/>
                <w:szCs w:val="21"/>
                <w:spacing w:val="-3"/>
              </w:rPr>
              <w:t>2160</w:t>
            </w:r>
          </w:p>
        </w:tc>
        <w:tc>
          <w:tcPr>
            <w:tcW w:w="1664" w:type="dxa"/>
            <w:vAlign w:val="top"/>
            <w:vMerge w:val="continue"/>
            <w:tcBorders>
              <w:top w:val="nil"/>
              <w:bottom w:val="nil"/>
            </w:tcBorders>
          </w:tcPr>
          <w:p>
            <w:pPr>
              <w:rPr>
                <w:rFonts w:ascii="Arial"/>
                <w:sz w:val="21"/>
              </w:rPr>
            </w:pPr>
            <w:r/>
          </w:p>
        </w:tc>
      </w:tr>
      <w:tr>
        <w:trPr>
          <w:trHeight w:val="410" w:hRule="atLeast"/>
        </w:trPr>
        <w:tc>
          <w:tcPr>
            <w:tcW w:w="215" w:type="dxa"/>
            <w:vAlign w:val="top"/>
            <w:tcBorders>
              <w:bottom w:val="nil"/>
              <w:top w:val="nil"/>
            </w:tcBorders>
          </w:tcPr>
          <w:p>
            <w:pPr>
              <w:rPr>
                <w:rFonts w:ascii="Arial"/>
                <w:sz w:val="21"/>
              </w:rPr>
            </w:pPr>
            <w:r/>
          </w:p>
        </w:tc>
        <w:tc>
          <w:tcPr>
            <w:tcW w:w="510" w:type="dxa"/>
            <w:vAlign w:val="top"/>
            <w:vMerge w:val="continue"/>
            <w:tcBorders>
              <w:top w:val="nil"/>
              <w:bottom w:val="nil"/>
            </w:tcBorders>
          </w:tcPr>
          <w:p>
            <w:pPr>
              <w:rPr>
                <w:rFonts w:ascii="Arial"/>
                <w:sz w:val="21"/>
              </w:rPr>
            </w:pPr>
            <w:r/>
          </w:p>
        </w:tc>
        <w:tc>
          <w:tcPr>
            <w:tcW w:w="210" w:type="dxa"/>
            <w:vAlign w:val="top"/>
            <w:vMerge w:val="continue"/>
            <w:textDirection w:val="tbRlV"/>
            <w:tcBorders>
              <w:top w:val="nil"/>
              <w:bottom w:val="nil"/>
            </w:tcBorders>
          </w:tcPr>
          <w:p>
            <w:pPr>
              <w:spacing w:line="200" w:lineRule="exact"/>
              <w:rPr>
                <w:rFonts w:ascii="Arial"/>
                <w:sz w:val="16"/>
              </w:rPr>
            </w:pPr>
            <w:r/>
          </w:p>
        </w:tc>
        <w:tc>
          <w:tcPr>
            <w:tcW w:w="659" w:type="dxa"/>
            <w:vAlign w:val="top"/>
            <w:vMerge w:val="continue"/>
            <w:tcBorders>
              <w:top w:val="nil"/>
            </w:tcBorders>
          </w:tcPr>
          <w:p>
            <w:pPr>
              <w:rPr>
                <w:rFonts w:ascii="Arial"/>
                <w:sz w:val="21"/>
              </w:rPr>
            </w:pPr>
            <w:r/>
          </w:p>
        </w:tc>
        <w:tc>
          <w:tcPr>
            <w:tcW w:w="660" w:type="dxa"/>
            <w:vAlign w:val="top"/>
          </w:tcPr>
          <w:p>
            <w:pPr>
              <w:pStyle w:val="TableText"/>
              <w:ind w:left="110"/>
              <w:spacing w:before="141" w:line="183"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509" w:type="dxa"/>
            <w:vAlign w:val="top"/>
            <w:vMerge w:val="continue"/>
            <w:tcBorders>
              <w:top w:val="nil"/>
              <w:bottom w:val="nil"/>
            </w:tcBorders>
          </w:tcPr>
          <w:p>
            <w:pPr>
              <w:rPr>
                <w:rFonts w:ascii="Arial"/>
                <w:sz w:val="21"/>
              </w:rPr>
            </w:pPr>
            <w:r/>
          </w:p>
        </w:tc>
        <w:tc>
          <w:tcPr>
            <w:tcW w:w="659" w:type="dxa"/>
            <w:vAlign w:val="top"/>
          </w:tcPr>
          <w:p>
            <w:pPr>
              <w:pStyle w:val="TableText"/>
              <w:ind w:left="1"/>
              <w:spacing w:before="128" w:line="239" w:lineRule="auto"/>
              <w:rPr>
                <w:sz w:val="21"/>
                <w:szCs w:val="21"/>
              </w:rPr>
            </w:pPr>
            <w:r>
              <w:rPr>
                <w:sz w:val="21"/>
                <w:szCs w:val="21"/>
                <w:spacing w:val="-2"/>
              </w:rPr>
              <w:t>0.0405</w:t>
            </w:r>
          </w:p>
        </w:tc>
        <w:tc>
          <w:tcPr>
            <w:tcW w:w="849" w:type="dxa"/>
            <w:vAlign w:val="top"/>
          </w:tcPr>
          <w:p>
            <w:pPr>
              <w:pStyle w:val="TableText"/>
              <w:ind w:left="102"/>
              <w:spacing w:before="128" w:line="239" w:lineRule="auto"/>
              <w:rPr>
                <w:sz w:val="21"/>
                <w:szCs w:val="21"/>
              </w:rPr>
            </w:pPr>
            <w:r>
              <w:rPr>
                <w:sz w:val="21"/>
                <w:szCs w:val="21"/>
                <w:spacing w:val="-2"/>
              </w:rPr>
              <w:t>0.0188</w:t>
            </w:r>
          </w:p>
        </w:tc>
        <w:tc>
          <w:tcPr>
            <w:tcW w:w="869" w:type="dxa"/>
            <w:vAlign w:val="top"/>
          </w:tcPr>
          <w:p>
            <w:pPr>
              <w:pStyle w:val="TableText"/>
              <w:ind w:left="213"/>
              <w:spacing w:before="128" w:line="239" w:lineRule="auto"/>
              <w:rPr>
                <w:sz w:val="21"/>
                <w:szCs w:val="21"/>
              </w:rPr>
            </w:pPr>
            <w:r>
              <w:rPr>
                <w:sz w:val="21"/>
                <w:szCs w:val="21"/>
                <w:spacing w:val="-2"/>
              </w:rPr>
              <w:t>0.31</w:t>
            </w:r>
          </w:p>
        </w:tc>
        <w:tc>
          <w:tcPr>
            <w:tcW w:w="4597" w:type="dxa"/>
            <w:vAlign w:val="top"/>
            <w:vMerge w:val="continue"/>
            <w:tcBorders>
              <w:top w:val="nil"/>
            </w:tcBorders>
          </w:tcPr>
          <w:p>
            <w:pPr>
              <w:rPr>
                <w:rFonts w:ascii="Arial"/>
                <w:sz w:val="21"/>
              </w:rPr>
            </w:pPr>
            <w:r/>
          </w:p>
        </w:tc>
        <w:tc>
          <w:tcPr>
            <w:tcW w:w="450" w:type="dxa"/>
            <w:vAlign w:val="top"/>
          </w:tcPr>
          <w:p>
            <w:pPr>
              <w:pStyle w:val="TableText"/>
              <w:ind w:left="57"/>
              <w:spacing w:before="128" w:line="239" w:lineRule="auto"/>
              <w:rPr>
                <w:sz w:val="21"/>
                <w:szCs w:val="21"/>
              </w:rPr>
            </w:pPr>
            <w:r>
              <w:rPr>
                <w:sz w:val="21"/>
                <w:szCs w:val="21"/>
                <w:spacing w:val="-3"/>
              </w:rPr>
              <w:t>95%</w:t>
            </w:r>
          </w:p>
        </w:tc>
        <w:tc>
          <w:tcPr>
            <w:tcW w:w="420" w:type="dxa"/>
            <w:vAlign w:val="top"/>
          </w:tcPr>
          <w:p>
            <w:pPr>
              <w:pStyle w:val="TableText"/>
              <w:ind w:left="47"/>
              <w:spacing w:before="128" w:line="239" w:lineRule="auto"/>
              <w:rPr>
                <w:sz w:val="21"/>
                <w:szCs w:val="21"/>
              </w:rPr>
            </w:pPr>
            <w:r>
              <w:rPr>
                <w:sz w:val="21"/>
                <w:szCs w:val="21"/>
                <w:spacing w:val="-3"/>
              </w:rPr>
              <w:t>95%</w:t>
            </w:r>
          </w:p>
        </w:tc>
        <w:tc>
          <w:tcPr>
            <w:tcW w:w="670" w:type="dxa"/>
            <w:vAlign w:val="top"/>
          </w:tcPr>
          <w:p>
            <w:pPr>
              <w:pStyle w:val="TableText"/>
              <w:ind w:left="27"/>
              <w:spacing w:before="128" w:line="239" w:lineRule="auto"/>
              <w:rPr>
                <w:sz w:val="21"/>
                <w:szCs w:val="21"/>
              </w:rPr>
            </w:pPr>
            <w:r>
              <w:rPr>
                <w:sz w:val="21"/>
                <w:szCs w:val="21"/>
                <w:spacing w:val="-2"/>
              </w:rPr>
              <w:t>0.0019</w:t>
            </w:r>
          </w:p>
        </w:tc>
        <w:tc>
          <w:tcPr>
            <w:tcW w:w="839" w:type="dxa"/>
            <w:vAlign w:val="top"/>
          </w:tcPr>
          <w:p>
            <w:pPr>
              <w:pStyle w:val="TableText"/>
              <w:ind w:left="97"/>
              <w:spacing w:before="128" w:line="239" w:lineRule="auto"/>
              <w:rPr>
                <w:sz w:val="21"/>
                <w:szCs w:val="21"/>
              </w:rPr>
            </w:pPr>
            <w:r>
              <w:rPr>
                <w:sz w:val="21"/>
                <w:szCs w:val="21"/>
                <w:spacing w:val="-2"/>
              </w:rPr>
              <w:t>0.0009</w:t>
            </w:r>
          </w:p>
        </w:tc>
        <w:tc>
          <w:tcPr>
            <w:tcW w:w="849" w:type="dxa"/>
            <w:vAlign w:val="top"/>
          </w:tcPr>
          <w:p>
            <w:pPr>
              <w:pStyle w:val="TableText"/>
              <w:ind w:left="208"/>
              <w:spacing w:before="128" w:line="239" w:lineRule="auto"/>
              <w:rPr>
                <w:sz w:val="21"/>
                <w:szCs w:val="21"/>
              </w:rPr>
            </w:pPr>
            <w:r>
              <w:rPr>
                <w:sz w:val="21"/>
                <w:szCs w:val="21"/>
                <w:spacing w:val="-2"/>
              </w:rPr>
              <w:t>0.02</w:t>
            </w:r>
          </w:p>
        </w:tc>
        <w:tc>
          <w:tcPr>
            <w:tcW w:w="450" w:type="dxa"/>
            <w:vAlign w:val="top"/>
            <w:vMerge w:val="continue"/>
            <w:tcBorders>
              <w:top w:val="nil"/>
              <w:bottom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318" w:hRule="atLeast"/>
        </w:trPr>
        <w:tc>
          <w:tcPr>
            <w:tcW w:w="215" w:type="dxa"/>
            <w:vAlign w:val="top"/>
            <w:textDirection w:val="tbRlV"/>
            <w:tcBorders>
              <w:bottom w:val="nil"/>
              <w:top w:val="nil"/>
            </w:tcBorders>
          </w:tcPr>
          <w:p>
            <w:pPr>
              <w:pStyle w:val="TableText"/>
              <w:spacing w:before="9" w:line="198" w:lineRule="auto"/>
              <w:jc w:val="right"/>
              <w:rPr>
                <w:sz w:val="19"/>
                <w:szCs w:val="19"/>
              </w:rPr>
            </w:pPr>
            <w:r>
              <w:rPr>
                <w:sz w:val="19"/>
                <w:szCs w:val="19"/>
                <w:spacing w:val="-18"/>
                <w:w w:val="90"/>
              </w:rPr>
              <w:t>屠</w:t>
            </w:r>
            <w:r>
              <w:rPr>
                <w:sz w:val="19"/>
                <w:szCs w:val="19"/>
                <w:spacing w:val="-8"/>
                <w:w w:val="90"/>
              </w:rPr>
              <w:t>宰</w:t>
            </w:r>
          </w:p>
        </w:tc>
        <w:tc>
          <w:tcPr>
            <w:tcW w:w="510" w:type="dxa"/>
            <w:vAlign w:val="top"/>
            <w:vMerge w:val="continue"/>
            <w:tcBorders>
              <w:top w:val="nil"/>
              <w:bottom w:val="nil"/>
            </w:tcBorders>
          </w:tcPr>
          <w:p>
            <w:pPr>
              <w:rPr>
                <w:rFonts w:ascii="Arial"/>
                <w:sz w:val="21"/>
              </w:rPr>
            </w:pPr>
            <w:r/>
          </w:p>
        </w:tc>
        <w:tc>
          <w:tcPr>
            <w:tcW w:w="210" w:type="dxa"/>
            <w:vAlign w:val="top"/>
            <w:vMerge w:val="continue"/>
            <w:textDirection w:val="tbRlV"/>
            <w:tcBorders>
              <w:top w:val="nil"/>
              <w:bottom w:val="nil"/>
            </w:tcBorders>
          </w:tcPr>
          <w:p>
            <w:pPr>
              <w:spacing w:line="200" w:lineRule="exact"/>
              <w:rPr>
                <w:rFonts w:ascii="Arial"/>
                <w:sz w:val="16"/>
              </w:rPr>
            </w:pPr>
            <w:r/>
          </w:p>
        </w:tc>
        <w:tc>
          <w:tcPr>
            <w:tcW w:w="659" w:type="dxa"/>
            <w:vAlign w:val="top"/>
            <w:vMerge w:val="restart"/>
            <w:tcBorders>
              <w:bottom w:val="nil"/>
            </w:tcBorders>
          </w:tcPr>
          <w:p>
            <w:pPr>
              <w:pStyle w:val="TableText"/>
              <w:spacing w:before="208" w:line="220" w:lineRule="auto"/>
              <w:rPr>
                <w:sz w:val="21"/>
                <w:szCs w:val="21"/>
              </w:rPr>
            </w:pPr>
            <w:r>
              <w:rPr>
                <w:sz w:val="21"/>
                <w:szCs w:val="21"/>
                <w:spacing w:val="3"/>
              </w:rPr>
              <w:t>无组织</w:t>
            </w:r>
          </w:p>
        </w:tc>
        <w:tc>
          <w:tcPr>
            <w:tcW w:w="660" w:type="dxa"/>
            <w:vAlign w:val="top"/>
          </w:tcPr>
          <w:p>
            <w:pPr>
              <w:pStyle w:val="TableText"/>
              <w:ind w:left="110"/>
              <w:spacing w:before="100" w:line="182"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509" w:type="dxa"/>
            <w:vAlign w:val="top"/>
            <w:vMerge w:val="continue"/>
            <w:tcBorders>
              <w:top w:val="nil"/>
              <w:bottom w:val="nil"/>
            </w:tcBorders>
          </w:tcPr>
          <w:p>
            <w:pPr>
              <w:rPr>
                <w:rFonts w:ascii="Arial"/>
                <w:sz w:val="21"/>
              </w:rPr>
            </w:pPr>
            <w:r/>
          </w:p>
        </w:tc>
        <w:tc>
          <w:tcPr>
            <w:tcW w:w="659" w:type="dxa"/>
            <w:vAlign w:val="top"/>
          </w:tcPr>
          <w:p>
            <w:pPr>
              <w:pStyle w:val="TableText"/>
              <w:ind w:left="1"/>
              <w:spacing w:before="88" w:line="193" w:lineRule="auto"/>
              <w:rPr>
                <w:sz w:val="21"/>
                <w:szCs w:val="21"/>
              </w:rPr>
            </w:pPr>
            <w:r>
              <w:rPr>
                <w:sz w:val="21"/>
                <w:szCs w:val="21"/>
                <w:spacing w:val="-2"/>
              </w:rPr>
              <w:t>0.0073</w:t>
            </w:r>
          </w:p>
        </w:tc>
        <w:tc>
          <w:tcPr>
            <w:tcW w:w="849" w:type="dxa"/>
            <w:vAlign w:val="top"/>
          </w:tcPr>
          <w:p>
            <w:pPr>
              <w:pStyle w:val="TableText"/>
              <w:ind w:left="102"/>
              <w:spacing w:before="88" w:line="193" w:lineRule="auto"/>
              <w:rPr>
                <w:sz w:val="21"/>
                <w:szCs w:val="21"/>
              </w:rPr>
            </w:pPr>
            <w:r>
              <w:rPr>
                <w:sz w:val="21"/>
                <w:szCs w:val="21"/>
                <w:spacing w:val="-2"/>
              </w:rPr>
              <w:t>0.0034</w:t>
            </w:r>
          </w:p>
        </w:tc>
        <w:tc>
          <w:tcPr>
            <w:tcW w:w="869" w:type="dxa"/>
            <w:vAlign w:val="top"/>
          </w:tcPr>
          <w:p>
            <w:pPr>
              <w:pStyle w:val="TableText"/>
              <w:ind w:left="373"/>
              <w:spacing w:before="73" w:line="206" w:lineRule="auto"/>
              <w:rPr>
                <w:sz w:val="21"/>
                <w:szCs w:val="21"/>
              </w:rPr>
            </w:pPr>
            <w:r>
              <w:rPr>
                <w:sz w:val="21"/>
                <w:szCs w:val="21"/>
                <w:color w:val="404050"/>
              </w:rPr>
              <w:t>/</w:t>
            </w:r>
          </w:p>
        </w:tc>
        <w:tc>
          <w:tcPr>
            <w:tcW w:w="4597" w:type="dxa"/>
            <w:vAlign w:val="top"/>
            <w:vMerge w:val="restart"/>
            <w:tcBorders>
              <w:bottom w:val="nil"/>
            </w:tcBorders>
          </w:tcPr>
          <w:p>
            <w:pPr>
              <w:pStyle w:val="TableText"/>
              <w:ind w:left="14" w:right="156"/>
              <w:spacing w:before="76" w:line="226" w:lineRule="auto"/>
              <w:rPr>
                <w:sz w:val="21"/>
                <w:szCs w:val="21"/>
              </w:rPr>
            </w:pPr>
            <w:r>
              <w:rPr>
                <w:sz w:val="21"/>
                <w:szCs w:val="21"/>
              </w:rPr>
              <w:t>设置两道门密闭厂房，定期喷洒微生物除臭剂，</w:t>
            </w:r>
            <w:r>
              <w:rPr>
                <w:sz w:val="21"/>
                <w:szCs w:val="21"/>
                <w:spacing w:val="4"/>
              </w:rPr>
              <w:t xml:space="preserve"> </w:t>
            </w:r>
            <w:r>
              <w:rPr>
                <w:sz w:val="21"/>
                <w:szCs w:val="21"/>
              </w:rPr>
              <w:t>采用干清粪工艺，干粪日产日清，无组织排放。</w:t>
            </w:r>
          </w:p>
        </w:tc>
        <w:tc>
          <w:tcPr>
            <w:tcW w:w="870" w:type="dxa"/>
            <w:vAlign w:val="top"/>
            <w:gridSpan w:val="2"/>
          </w:tcPr>
          <w:p>
            <w:pPr>
              <w:pStyle w:val="TableText"/>
              <w:ind w:left="267"/>
              <w:spacing w:before="88" w:line="193" w:lineRule="auto"/>
              <w:rPr>
                <w:sz w:val="21"/>
                <w:szCs w:val="21"/>
              </w:rPr>
            </w:pPr>
            <w:r>
              <w:rPr>
                <w:sz w:val="21"/>
                <w:szCs w:val="21"/>
                <w:spacing w:val="-3"/>
              </w:rPr>
              <w:t>50%</w:t>
            </w:r>
          </w:p>
        </w:tc>
        <w:tc>
          <w:tcPr>
            <w:tcW w:w="670" w:type="dxa"/>
            <w:vAlign w:val="top"/>
          </w:tcPr>
          <w:p>
            <w:pPr>
              <w:pStyle w:val="TableText"/>
              <w:ind w:left="27"/>
              <w:spacing w:before="88" w:line="193" w:lineRule="auto"/>
              <w:rPr>
                <w:sz w:val="21"/>
                <w:szCs w:val="21"/>
              </w:rPr>
            </w:pPr>
            <w:r>
              <w:rPr>
                <w:sz w:val="21"/>
                <w:szCs w:val="21"/>
                <w:spacing w:val="-2"/>
              </w:rPr>
              <w:t>0.0036</w:t>
            </w:r>
          </w:p>
        </w:tc>
        <w:tc>
          <w:tcPr>
            <w:tcW w:w="839" w:type="dxa"/>
            <w:vAlign w:val="top"/>
          </w:tcPr>
          <w:p>
            <w:pPr>
              <w:pStyle w:val="TableText"/>
              <w:ind w:left="97"/>
              <w:spacing w:before="88" w:line="193" w:lineRule="auto"/>
              <w:rPr>
                <w:sz w:val="21"/>
                <w:szCs w:val="21"/>
              </w:rPr>
            </w:pPr>
            <w:r>
              <w:rPr>
                <w:sz w:val="21"/>
                <w:szCs w:val="21"/>
                <w:spacing w:val="-2"/>
              </w:rPr>
              <w:t>0.0017</w:t>
            </w:r>
          </w:p>
        </w:tc>
        <w:tc>
          <w:tcPr>
            <w:tcW w:w="849" w:type="dxa"/>
            <w:vAlign w:val="top"/>
          </w:tcPr>
          <w:p>
            <w:pPr>
              <w:pStyle w:val="TableText"/>
              <w:ind w:left="368"/>
              <w:spacing w:before="73" w:line="206" w:lineRule="auto"/>
              <w:rPr>
                <w:sz w:val="21"/>
                <w:szCs w:val="21"/>
              </w:rPr>
            </w:pPr>
            <w:r>
              <w:rPr>
                <w:sz w:val="21"/>
                <w:szCs w:val="21"/>
              </w:rPr>
              <w:t>/</w:t>
            </w:r>
          </w:p>
        </w:tc>
        <w:tc>
          <w:tcPr>
            <w:tcW w:w="450" w:type="dxa"/>
            <w:vAlign w:val="top"/>
            <w:vMerge w:val="continue"/>
            <w:tcBorders>
              <w:top w:val="nil"/>
              <w:bottom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273" w:hRule="atLeast"/>
        </w:trPr>
        <w:tc>
          <w:tcPr>
            <w:tcW w:w="215" w:type="dxa"/>
            <w:vAlign w:val="top"/>
            <w:tcBorders>
              <w:bottom w:val="nil"/>
              <w:top w:val="nil"/>
            </w:tcBorders>
          </w:tcPr>
          <w:p>
            <w:pPr>
              <w:rPr>
                <w:rFonts w:ascii="Arial"/>
                <w:sz w:val="21"/>
              </w:rPr>
            </w:pPr>
            <w:r/>
          </w:p>
        </w:tc>
        <w:tc>
          <w:tcPr>
            <w:tcW w:w="510" w:type="dxa"/>
            <w:vAlign w:val="top"/>
            <w:vMerge w:val="continue"/>
            <w:tcBorders>
              <w:top w:val="nil"/>
              <w:bottom w:val="nil"/>
            </w:tcBorders>
          </w:tcPr>
          <w:p>
            <w:pPr>
              <w:rPr>
                <w:rFonts w:ascii="Arial"/>
                <w:sz w:val="21"/>
              </w:rPr>
            </w:pPr>
            <w:r/>
          </w:p>
        </w:tc>
        <w:tc>
          <w:tcPr>
            <w:tcW w:w="210" w:type="dxa"/>
            <w:vAlign w:val="top"/>
            <w:vMerge w:val="continue"/>
            <w:textDirection w:val="tbRlV"/>
            <w:tcBorders>
              <w:top w:val="nil"/>
            </w:tcBorders>
          </w:tcPr>
          <w:p>
            <w:pPr>
              <w:spacing w:line="200" w:lineRule="exact"/>
              <w:rPr>
                <w:rFonts w:ascii="Arial"/>
                <w:sz w:val="16"/>
              </w:rPr>
            </w:pPr>
            <w:r/>
          </w:p>
        </w:tc>
        <w:tc>
          <w:tcPr>
            <w:tcW w:w="659" w:type="dxa"/>
            <w:vAlign w:val="top"/>
            <w:vMerge w:val="continue"/>
            <w:tcBorders>
              <w:top w:val="nil"/>
            </w:tcBorders>
          </w:tcPr>
          <w:p>
            <w:pPr>
              <w:rPr>
                <w:rFonts w:ascii="Arial"/>
                <w:sz w:val="21"/>
              </w:rPr>
            </w:pPr>
            <w:r/>
          </w:p>
        </w:tc>
        <w:tc>
          <w:tcPr>
            <w:tcW w:w="660" w:type="dxa"/>
            <w:vAlign w:val="top"/>
          </w:tcPr>
          <w:p>
            <w:pPr>
              <w:pStyle w:val="TableText"/>
              <w:ind w:left="110"/>
              <w:spacing w:before="73" w:line="167"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509" w:type="dxa"/>
            <w:vAlign w:val="top"/>
            <w:vMerge w:val="continue"/>
            <w:tcBorders>
              <w:top w:val="nil"/>
            </w:tcBorders>
          </w:tcPr>
          <w:p>
            <w:pPr>
              <w:rPr>
                <w:rFonts w:ascii="Arial"/>
                <w:sz w:val="21"/>
              </w:rPr>
            </w:pPr>
            <w:r/>
          </w:p>
        </w:tc>
        <w:tc>
          <w:tcPr>
            <w:tcW w:w="659" w:type="dxa"/>
            <w:vAlign w:val="top"/>
          </w:tcPr>
          <w:p>
            <w:pPr>
              <w:pStyle w:val="TableText"/>
              <w:ind w:left="1"/>
              <w:spacing w:before="60" w:line="178" w:lineRule="auto"/>
              <w:rPr>
                <w:sz w:val="21"/>
                <w:szCs w:val="21"/>
              </w:rPr>
            </w:pPr>
            <w:r>
              <w:rPr>
                <w:sz w:val="21"/>
                <w:szCs w:val="21"/>
                <w:spacing w:val="-2"/>
              </w:rPr>
              <w:t>0.0020</w:t>
            </w:r>
          </w:p>
        </w:tc>
        <w:tc>
          <w:tcPr>
            <w:tcW w:w="849" w:type="dxa"/>
            <w:vAlign w:val="top"/>
          </w:tcPr>
          <w:p>
            <w:pPr>
              <w:pStyle w:val="TableText"/>
              <w:ind w:left="102"/>
              <w:spacing w:before="60" w:line="178" w:lineRule="auto"/>
              <w:rPr>
                <w:sz w:val="21"/>
                <w:szCs w:val="21"/>
              </w:rPr>
            </w:pPr>
            <w:r>
              <w:rPr>
                <w:sz w:val="21"/>
                <w:szCs w:val="21"/>
                <w:spacing w:val="-2"/>
              </w:rPr>
              <w:t>0.0009</w:t>
            </w:r>
          </w:p>
        </w:tc>
        <w:tc>
          <w:tcPr>
            <w:tcW w:w="869" w:type="dxa"/>
            <w:vAlign w:val="top"/>
          </w:tcPr>
          <w:p>
            <w:pPr>
              <w:pStyle w:val="TableText"/>
              <w:ind w:left="373"/>
              <w:spacing w:before="45" w:line="191" w:lineRule="auto"/>
              <w:rPr>
                <w:sz w:val="21"/>
                <w:szCs w:val="21"/>
              </w:rPr>
            </w:pPr>
            <w:r>
              <w:rPr>
                <w:sz w:val="21"/>
                <w:szCs w:val="21"/>
              </w:rPr>
              <w:t>/</w:t>
            </w:r>
          </w:p>
        </w:tc>
        <w:tc>
          <w:tcPr>
            <w:tcW w:w="4597" w:type="dxa"/>
            <w:vAlign w:val="top"/>
            <w:vMerge w:val="continue"/>
            <w:tcBorders>
              <w:top w:val="nil"/>
            </w:tcBorders>
          </w:tcPr>
          <w:p>
            <w:pPr>
              <w:rPr>
                <w:rFonts w:ascii="Arial"/>
                <w:sz w:val="21"/>
              </w:rPr>
            </w:pPr>
            <w:r/>
          </w:p>
        </w:tc>
        <w:tc>
          <w:tcPr>
            <w:tcW w:w="870" w:type="dxa"/>
            <w:vAlign w:val="top"/>
            <w:gridSpan w:val="2"/>
          </w:tcPr>
          <w:p>
            <w:pPr>
              <w:pStyle w:val="TableText"/>
              <w:ind w:left="267"/>
              <w:spacing w:before="60" w:line="178" w:lineRule="auto"/>
              <w:rPr>
                <w:sz w:val="21"/>
                <w:szCs w:val="21"/>
              </w:rPr>
            </w:pPr>
            <w:r>
              <w:rPr>
                <w:sz w:val="21"/>
                <w:szCs w:val="21"/>
                <w:spacing w:val="-3"/>
              </w:rPr>
              <w:t>50%</w:t>
            </w:r>
          </w:p>
        </w:tc>
        <w:tc>
          <w:tcPr>
            <w:tcW w:w="670" w:type="dxa"/>
            <w:vAlign w:val="top"/>
          </w:tcPr>
          <w:p>
            <w:pPr>
              <w:pStyle w:val="TableText"/>
              <w:ind w:left="27"/>
              <w:spacing w:before="60" w:line="178" w:lineRule="auto"/>
              <w:rPr>
                <w:sz w:val="21"/>
                <w:szCs w:val="21"/>
              </w:rPr>
            </w:pPr>
            <w:r>
              <w:rPr>
                <w:sz w:val="21"/>
                <w:szCs w:val="21"/>
                <w:spacing w:val="-2"/>
              </w:rPr>
              <w:t>0.0010</w:t>
            </w:r>
          </w:p>
        </w:tc>
        <w:tc>
          <w:tcPr>
            <w:tcW w:w="839" w:type="dxa"/>
            <w:vAlign w:val="top"/>
          </w:tcPr>
          <w:p>
            <w:pPr>
              <w:pStyle w:val="TableText"/>
              <w:ind w:left="97"/>
              <w:spacing w:before="60" w:line="178" w:lineRule="auto"/>
              <w:rPr>
                <w:sz w:val="21"/>
                <w:szCs w:val="21"/>
              </w:rPr>
            </w:pPr>
            <w:r>
              <w:rPr>
                <w:sz w:val="21"/>
                <w:szCs w:val="21"/>
                <w:spacing w:val="-2"/>
              </w:rPr>
              <w:t>0.0005</w:t>
            </w:r>
          </w:p>
        </w:tc>
        <w:tc>
          <w:tcPr>
            <w:tcW w:w="849" w:type="dxa"/>
            <w:vAlign w:val="top"/>
          </w:tcPr>
          <w:p>
            <w:pPr>
              <w:pStyle w:val="TableText"/>
              <w:ind w:left="368"/>
              <w:spacing w:before="45" w:line="191" w:lineRule="auto"/>
              <w:rPr>
                <w:sz w:val="21"/>
                <w:szCs w:val="21"/>
              </w:rPr>
            </w:pPr>
            <w:r>
              <w:rPr>
                <w:sz w:val="21"/>
                <w:szCs w:val="21"/>
              </w:rPr>
              <w:t>/</w:t>
            </w:r>
          </w:p>
        </w:tc>
        <w:tc>
          <w:tcPr>
            <w:tcW w:w="450" w:type="dxa"/>
            <w:vAlign w:val="top"/>
            <w:vMerge w:val="continue"/>
            <w:tcBorders>
              <w:top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372" w:hRule="atLeast"/>
        </w:trPr>
        <w:tc>
          <w:tcPr>
            <w:tcW w:w="215" w:type="dxa"/>
            <w:vAlign w:val="top"/>
            <w:tcBorders>
              <w:bottom w:val="nil"/>
              <w:top w:val="nil"/>
            </w:tcBorders>
          </w:tcPr>
          <w:p>
            <w:pPr>
              <w:rPr>
                <w:rFonts w:ascii="Arial"/>
                <w:sz w:val="21"/>
              </w:rPr>
            </w:pPr>
            <w:r/>
          </w:p>
        </w:tc>
        <w:tc>
          <w:tcPr>
            <w:tcW w:w="510" w:type="dxa"/>
            <w:vAlign w:val="top"/>
            <w:vMerge w:val="continue"/>
            <w:tcBorders>
              <w:top w:val="nil"/>
              <w:bottom w:val="nil"/>
            </w:tcBorders>
          </w:tcPr>
          <w:p>
            <w:pPr>
              <w:rPr>
                <w:rFonts w:ascii="Arial"/>
                <w:sz w:val="21"/>
              </w:rPr>
            </w:pPr>
            <w:r/>
          </w:p>
        </w:tc>
        <w:tc>
          <w:tcPr>
            <w:tcW w:w="210" w:type="dxa"/>
            <w:vAlign w:val="top"/>
            <w:vMerge w:val="restart"/>
            <w:textDirection w:val="tbRlV"/>
            <w:tcBorders>
              <w:bottom w:val="nil"/>
            </w:tcBorders>
          </w:tcPr>
          <w:p>
            <w:pPr>
              <w:pStyle w:val="TableText"/>
              <w:ind w:left="418"/>
              <w:spacing w:before="5" w:line="201" w:lineRule="auto"/>
              <w:rPr>
                <w:sz w:val="21"/>
                <w:szCs w:val="21"/>
              </w:rPr>
            </w:pPr>
            <w:r>
              <w:rPr>
                <w:sz w:val="21"/>
                <w:szCs w:val="21"/>
              </w:rPr>
              <w:t>旺</w:t>
            </w:r>
          </w:p>
        </w:tc>
        <w:tc>
          <w:tcPr>
            <w:tcW w:w="659" w:type="dxa"/>
            <w:vAlign w:val="top"/>
            <w:vMerge w:val="restart"/>
            <w:tcBorders>
              <w:bottom w:val="nil"/>
            </w:tcBorders>
          </w:tcPr>
          <w:p>
            <w:pPr>
              <w:spacing w:line="247" w:lineRule="auto"/>
              <w:rPr>
                <w:rFonts w:ascii="Arial"/>
                <w:sz w:val="21"/>
              </w:rPr>
            </w:pPr>
            <w:r/>
          </w:p>
          <w:p>
            <w:pPr>
              <w:pStyle w:val="TableText"/>
              <w:spacing w:before="68" w:line="220" w:lineRule="auto"/>
              <w:rPr>
                <w:sz w:val="21"/>
                <w:szCs w:val="21"/>
              </w:rPr>
            </w:pPr>
            <w:r>
              <w:rPr>
                <w:sz w:val="21"/>
                <w:szCs w:val="21"/>
                <w:spacing w:val="3"/>
              </w:rPr>
              <w:t>有组织</w:t>
            </w:r>
          </w:p>
        </w:tc>
        <w:tc>
          <w:tcPr>
            <w:tcW w:w="660" w:type="dxa"/>
            <w:vAlign w:val="top"/>
          </w:tcPr>
          <w:p>
            <w:pPr>
              <w:pStyle w:val="TableText"/>
              <w:ind w:left="110"/>
              <w:spacing w:before="130" w:line="182"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509" w:type="dxa"/>
            <w:vAlign w:val="top"/>
            <w:vMerge w:val="restart"/>
            <w:tcBorders>
              <w:bottom w:val="nil"/>
            </w:tcBorders>
          </w:tcPr>
          <w:p>
            <w:pPr>
              <w:spacing w:line="396" w:lineRule="auto"/>
              <w:rPr>
                <w:rFonts w:ascii="Arial"/>
                <w:sz w:val="21"/>
              </w:rPr>
            </w:pPr>
            <w:r/>
          </w:p>
          <w:p>
            <w:pPr>
              <w:pStyle w:val="TableText"/>
              <w:ind w:left="139" w:right="35" w:hanging="109"/>
              <w:spacing w:before="68" w:line="248" w:lineRule="auto"/>
              <w:rPr>
                <w:sz w:val="21"/>
                <w:szCs w:val="21"/>
              </w:rPr>
            </w:pPr>
            <w:r>
              <w:rPr>
                <w:sz w:val="21"/>
                <w:szCs w:val="21"/>
                <w:spacing w:val="6"/>
              </w:rPr>
              <w:t>类比</w:t>
            </w:r>
            <w:r>
              <w:rPr>
                <w:sz w:val="21"/>
                <w:szCs w:val="21"/>
              </w:rPr>
              <w:t xml:space="preserve"> </w:t>
            </w:r>
            <w:r>
              <w:rPr>
                <w:sz w:val="21"/>
                <w:szCs w:val="21"/>
              </w:rPr>
              <w:t>法</w:t>
            </w:r>
          </w:p>
        </w:tc>
        <w:tc>
          <w:tcPr>
            <w:tcW w:w="659" w:type="dxa"/>
            <w:vAlign w:val="top"/>
          </w:tcPr>
          <w:p>
            <w:pPr>
              <w:pStyle w:val="TableText"/>
              <w:ind w:left="1"/>
              <w:spacing w:before="117" w:line="215" w:lineRule="auto"/>
              <w:rPr>
                <w:sz w:val="21"/>
                <w:szCs w:val="21"/>
              </w:rPr>
            </w:pPr>
            <w:r>
              <w:rPr>
                <w:sz w:val="21"/>
                <w:szCs w:val="21"/>
                <w:spacing w:val="-2"/>
              </w:rPr>
              <w:t>0.0702</w:t>
            </w:r>
          </w:p>
        </w:tc>
        <w:tc>
          <w:tcPr>
            <w:tcW w:w="849" w:type="dxa"/>
            <w:vAlign w:val="top"/>
          </w:tcPr>
          <w:p>
            <w:pPr>
              <w:pStyle w:val="TableText"/>
              <w:ind w:left="102"/>
              <w:spacing w:before="117" w:line="215" w:lineRule="auto"/>
              <w:rPr>
                <w:sz w:val="21"/>
                <w:szCs w:val="21"/>
              </w:rPr>
            </w:pPr>
            <w:r>
              <w:rPr>
                <w:sz w:val="21"/>
                <w:szCs w:val="21"/>
                <w:spacing w:val="-2"/>
              </w:rPr>
              <w:t>0.0975</w:t>
            </w:r>
          </w:p>
        </w:tc>
        <w:tc>
          <w:tcPr>
            <w:tcW w:w="869" w:type="dxa"/>
            <w:vAlign w:val="top"/>
          </w:tcPr>
          <w:p>
            <w:pPr>
              <w:pStyle w:val="TableText"/>
              <w:ind w:left="213"/>
              <w:spacing w:before="117" w:line="215" w:lineRule="auto"/>
              <w:rPr>
                <w:sz w:val="21"/>
                <w:szCs w:val="21"/>
              </w:rPr>
            </w:pPr>
            <w:r>
              <w:rPr>
                <w:sz w:val="21"/>
                <w:szCs w:val="21"/>
                <w:spacing w:val="-5"/>
              </w:rPr>
              <w:t>1.63</w:t>
            </w:r>
          </w:p>
        </w:tc>
        <w:tc>
          <w:tcPr>
            <w:tcW w:w="4597" w:type="dxa"/>
            <w:vAlign w:val="top"/>
            <w:vMerge w:val="restart"/>
            <w:tcBorders>
              <w:bottom w:val="nil"/>
            </w:tcBorders>
          </w:tcPr>
          <w:p>
            <w:pPr>
              <w:pStyle w:val="TableText"/>
              <w:ind w:left="14" w:right="463"/>
              <w:spacing w:before="55" w:line="222" w:lineRule="auto"/>
              <w:rPr>
                <w:sz w:val="21"/>
                <w:szCs w:val="21"/>
              </w:rPr>
            </w:pPr>
            <w:r>
              <w:rPr>
                <w:sz w:val="21"/>
                <w:szCs w:val="21"/>
                <w:spacing w:val="4"/>
              </w:rPr>
              <w:t>负压收集(风量60000m³/h)+喷淋+</w:t>
            </w:r>
            <w:r>
              <w:rPr>
                <w:sz w:val="21"/>
                <w:szCs w:val="21"/>
              </w:rPr>
              <w:t>UV</w:t>
            </w:r>
            <w:r>
              <w:rPr>
                <w:sz w:val="21"/>
                <w:szCs w:val="21"/>
                <w:spacing w:val="4"/>
              </w:rPr>
              <w:t>光解+活</w:t>
            </w:r>
            <w:r>
              <w:rPr>
                <w:sz w:val="21"/>
                <w:szCs w:val="21"/>
                <w:spacing w:val="17"/>
              </w:rPr>
              <w:t xml:space="preserve"> </w:t>
            </w:r>
            <w:r>
              <w:rPr>
                <w:sz w:val="21"/>
                <w:szCs w:val="21"/>
              </w:rPr>
              <w:t>性炭吸附装置(TA002)+15m高排气筒</w:t>
            </w:r>
          </w:p>
          <w:p>
            <w:pPr>
              <w:pStyle w:val="TableText"/>
              <w:ind w:left="14"/>
              <w:spacing w:before="12" w:line="208" w:lineRule="auto"/>
              <w:rPr>
                <w:sz w:val="21"/>
                <w:szCs w:val="21"/>
              </w:rPr>
            </w:pPr>
            <w:r>
              <w:rPr>
                <w:sz w:val="21"/>
                <w:szCs w:val="21"/>
              </w:rPr>
              <w:t>(DA002),有组织排放。</w:t>
            </w:r>
          </w:p>
        </w:tc>
        <w:tc>
          <w:tcPr>
            <w:tcW w:w="450" w:type="dxa"/>
            <w:vAlign w:val="top"/>
          </w:tcPr>
          <w:p>
            <w:pPr>
              <w:pStyle w:val="TableText"/>
              <w:ind w:left="57"/>
              <w:spacing w:before="117" w:line="215" w:lineRule="auto"/>
              <w:rPr>
                <w:sz w:val="21"/>
                <w:szCs w:val="21"/>
              </w:rPr>
            </w:pPr>
            <w:r>
              <w:rPr>
                <w:sz w:val="21"/>
                <w:szCs w:val="21"/>
                <w:spacing w:val="-3"/>
              </w:rPr>
              <w:t>95%</w:t>
            </w:r>
          </w:p>
        </w:tc>
        <w:tc>
          <w:tcPr>
            <w:tcW w:w="420" w:type="dxa"/>
            <w:vAlign w:val="top"/>
          </w:tcPr>
          <w:p>
            <w:pPr>
              <w:pStyle w:val="TableText"/>
              <w:ind w:left="47"/>
              <w:spacing w:before="117" w:line="215" w:lineRule="auto"/>
              <w:rPr>
                <w:sz w:val="21"/>
                <w:szCs w:val="21"/>
              </w:rPr>
            </w:pPr>
            <w:r>
              <w:rPr>
                <w:sz w:val="21"/>
                <w:szCs w:val="21"/>
                <w:spacing w:val="-3"/>
              </w:rPr>
              <w:t>95%</w:t>
            </w:r>
          </w:p>
        </w:tc>
        <w:tc>
          <w:tcPr>
            <w:tcW w:w="670" w:type="dxa"/>
            <w:vAlign w:val="top"/>
          </w:tcPr>
          <w:p>
            <w:pPr>
              <w:pStyle w:val="TableText"/>
              <w:ind w:left="27"/>
              <w:spacing w:before="117" w:line="215" w:lineRule="auto"/>
              <w:rPr>
                <w:sz w:val="21"/>
                <w:szCs w:val="21"/>
              </w:rPr>
            </w:pPr>
            <w:r>
              <w:rPr>
                <w:sz w:val="21"/>
                <w:szCs w:val="21"/>
                <w:spacing w:val="-2"/>
              </w:rPr>
              <w:t>0.0033</w:t>
            </w:r>
          </w:p>
        </w:tc>
        <w:tc>
          <w:tcPr>
            <w:tcW w:w="839" w:type="dxa"/>
            <w:vAlign w:val="top"/>
          </w:tcPr>
          <w:p>
            <w:pPr>
              <w:pStyle w:val="TableText"/>
              <w:ind w:left="97"/>
              <w:spacing w:before="117" w:line="215" w:lineRule="auto"/>
              <w:rPr>
                <w:sz w:val="21"/>
                <w:szCs w:val="21"/>
              </w:rPr>
            </w:pPr>
            <w:r>
              <w:rPr>
                <w:sz w:val="21"/>
                <w:szCs w:val="21"/>
                <w:spacing w:val="-2"/>
              </w:rPr>
              <w:t>0.0046</w:t>
            </w:r>
          </w:p>
        </w:tc>
        <w:tc>
          <w:tcPr>
            <w:tcW w:w="849" w:type="dxa"/>
            <w:vAlign w:val="top"/>
          </w:tcPr>
          <w:p>
            <w:pPr>
              <w:pStyle w:val="TableText"/>
              <w:ind w:left="208"/>
              <w:spacing w:before="117" w:line="215" w:lineRule="auto"/>
              <w:rPr>
                <w:sz w:val="21"/>
                <w:szCs w:val="21"/>
              </w:rPr>
            </w:pPr>
            <w:r>
              <w:rPr>
                <w:sz w:val="21"/>
                <w:szCs w:val="21"/>
                <w:spacing w:val="-2"/>
              </w:rPr>
              <w:t>0.08</w:t>
            </w:r>
          </w:p>
        </w:tc>
        <w:tc>
          <w:tcPr>
            <w:tcW w:w="450" w:type="dxa"/>
            <w:vAlign w:val="top"/>
            <w:vMerge w:val="restart"/>
            <w:tcBorders>
              <w:bottom w:val="nil"/>
            </w:tcBorders>
          </w:tcPr>
          <w:p>
            <w:pPr>
              <w:spacing w:line="272" w:lineRule="auto"/>
              <w:rPr>
                <w:rFonts w:ascii="Arial"/>
                <w:sz w:val="21"/>
              </w:rPr>
            </w:pPr>
            <w:r/>
          </w:p>
          <w:p>
            <w:pPr>
              <w:spacing w:line="273" w:lineRule="auto"/>
              <w:rPr>
                <w:rFonts w:ascii="Arial"/>
                <w:sz w:val="21"/>
              </w:rPr>
            </w:pPr>
            <w:r/>
          </w:p>
          <w:p>
            <w:pPr>
              <w:pStyle w:val="TableText"/>
              <w:ind w:left="39"/>
              <w:spacing w:before="68"/>
              <w:rPr>
                <w:sz w:val="21"/>
                <w:szCs w:val="21"/>
              </w:rPr>
            </w:pPr>
            <w:r>
              <w:rPr>
                <w:sz w:val="21"/>
                <w:szCs w:val="21"/>
                <w:spacing w:val="-3"/>
              </w:rPr>
              <w:t>720</w:t>
            </w:r>
          </w:p>
        </w:tc>
        <w:tc>
          <w:tcPr>
            <w:tcW w:w="1664" w:type="dxa"/>
            <w:vAlign w:val="top"/>
            <w:vMerge w:val="continue"/>
            <w:tcBorders>
              <w:top w:val="nil"/>
              <w:bottom w:val="nil"/>
            </w:tcBorders>
          </w:tcPr>
          <w:p>
            <w:pPr>
              <w:rPr>
                <w:rFonts w:ascii="Arial"/>
                <w:sz w:val="21"/>
              </w:rPr>
            </w:pPr>
            <w:r/>
          </w:p>
        </w:tc>
      </w:tr>
      <w:tr>
        <w:trPr>
          <w:trHeight w:val="438" w:hRule="atLeast"/>
        </w:trPr>
        <w:tc>
          <w:tcPr>
            <w:tcW w:w="215" w:type="dxa"/>
            <w:vAlign w:val="top"/>
            <w:tcBorders>
              <w:bottom w:val="nil"/>
              <w:top w:val="nil"/>
            </w:tcBorders>
          </w:tcPr>
          <w:p>
            <w:pPr>
              <w:rPr>
                <w:rFonts w:ascii="Arial"/>
                <w:sz w:val="21"/>
              </w:rPr>
            </w:pPr>
            <w:r/>
          </w:p>
        </w:tc>
        <w:tc>
          <w:tcPr>
            <w:tcW w:w="510" w:type="dxa"/>
            <w:vAlign w:val="top"/>
            <w:vMerge w:val="continue"/>
            <w:tcBorders>
              <w:top w:val="nil"/>
              <w:bottom w:val="nil"/>
            </w:tcBorders>
          </w:tcPr>
          <w:p>
            <w:pPr>
              <w:rPr>
                <w:rFonts w:ascii="Arial"/>
                <w:sz w:val="21"/>
              </w:rPr>
            </w:pPr>
            <w:r/>
          </w:p>
        </w:tc>
        <w:tc>
          <w:tcPr>
            <w:tcW w:w="210" w:type="dxa"/>
            <w:vAlign w:val="top"/>
            <w:vMerge w:val="continue"/>
            <w:textDirection w:val="tbRlV"/>
            <w:tcBorders>
              <w:top w:val="nil"/>
            </w:tcBorders>
          </w:tcPr>
          <w:p>
            <w:pPr>
              <w:spacing w:line="200" w:lineRule="exact"/>
              <w:rPr>
                <w:rFonts w:ascii="Arial"/>
                <w:sz w:val="16"/>
              </w:rPr>
            </w:pPr>
            <w:r/>
          </w:p>
        </w:tc>
        <w:tc>
          <w:tcPr>
            <w:tcW w:w="659" w:type="dxa"/>
            <w:vAlign w:val="top"/>
            <w:vMerge w:val="continue"/>
            <w:tcBorders>
              <w:top w:val="nil"/>
            </w:tcBorders>
          </w:tcPr>
          <w:p>
            <w:pPr>
              <w:rPr>
                <w:rFonts w:ascii="Arial"/>
                <w:sz w:val="21"/>
              </w:rPr>
            </w:pPr>
            <w:r/>
          </w:p>
        </w:tc>
        <w:tc>
          <w:tcPr>
            <w:tcW w:w="660" w:type="dxa"/>
            <w:vAlign w:val="top"/>
          </w:tcPr>
          <w:p>
            <w:pPr>
              <w:pStyle w:val="TableText"/>
              <w:ind w:left="110"/>
              <w:spacing w:before="158" w:line="183"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509" w:type="dxa"/>
            <w:vAlign w:val="top"/>
            <w:vMerge w:val="continue"/>
            <w:tcBorders>
              <w:top w:val="nil"/>
              <w:bottom w:val="nil"/>
            </w:tcBorders>
          </w:tcPr>
          <w:p>
            <w:pPr>
              <w:rPr>
                <w:rFonts w:ascii="Arial"/>
                <w:sz w:val="21"/>
              </w:rPr>
            </w:pPr>
            <w:r/>
          </w:p>
        </w:tc>
        <w:tc>
          <w:tcPr>
            <w:tcW w:w="659" w:type="dxa"/>
            <w:vAlign w:val="top"/>
          </w:tcPr>
          <w:p>
            <w:pPr>
              <w:pStyle w:val="TableText"/>
              <w:ind w:left="1"/>
              <w:spacing w:before="145" w:line="239" w:lineRule="auto"/>
              <w:rPr>
                <w:sz w:val="21"/>
                <w:szCs w:val="21"/>
              </w:rPr>
            </w:pPr>
            <w:r>
              <w:rPr>
                <w:sz w:val="21"/>
                <w:szCs w:val="21"/>
                <w:spacing w:val="-2"/>
              </w:rPr>
              <w:t>0.0195</w:t>
            </w:r>
          </w:p>
        </w:tc>
        <w:tc>
          <w:tcPr>
            <w:tcW w:w="849" w:type="dxa"/>
            <w:vAlign w:val="top"/>
          </w:tcPr>
          <w:p>
            <w:pPr>
              <w:pStyle w:val="TableText"/>
              <w:ind w:left="102"/>
              <w:spacing w:before="145" w:line="239" w:lineRule="auto"/>
              <w:rPr>
                <w:sz w:val="21"/>
                <w:szCs w:val="21"/>
              </w:rPr>
            </w:pPr>
            <w:r>
              <w:rPr>
                <w:sz w:val="21"/>
                <w:szCs w:val="21"/>
                <w:spacing w:val="-2"/>
              </w:rPr>
              <w:t>0.0271</w:t>
            </w:r>
          </w:p>
        </w:tc>
        <w:tc>
          <w:tcPr>
            <w:tcW w:w="869" w:type="dxa"/>
            <w:vAlign w:val="top"/>
          </w:tcPr>
          <w:p>
            <w:pPr>
              <w:pStyle w:val="TableText"/>
              <w:ind w:left="213"/>
              <w:spacing w:before="145" w:line="239" w:lineRule="auto"/>
              <w:rPr>
                <w:sz w:val="21"/>
                <w:szCs w:val="21"/>
              </w:rPr>
            </w:pPr>
            <w:r>
              <w:rPr>
                <w:sz w:val="21"/>
                <w:szCs w:val="21"/>
                <w:spacing w:val="-2"/>
              </w:rPr>
              <w:t>0.45</w:t>
            </w:r>
          </w:p>
        </w:tc>
        <w:tc>
          <w:tcPr>
            <w:tcW w:w="4597" w:type="dxa"/>
            <w:vAlign w:val="top"/>
            <w:vMerge w:val="continue"/>
            <w:tcBorders>
              <w:top w:val="nil"/>
            </w:tcBorders>
          </w:tcPr>
          <w:p>
            <w:pPr>
              <w:rPr>
                <w:rFonts w:ascii="Arial"/>
                <w:sz w:val="21"/>
              </w:rPr>
            </w:pPr>
            <w:r/>
          </w:p>
        </w:tc>
        <w:tc>
          <w:tcPr>
            <w:tcW w:w="450" w:type="dxa"/>
            <w:vAlign w:val="top"/>
          </w:tcPr>
          <w:p>
            <w:pPr>
              <w:pStyle w:val="TableText"/>
              <w:ind w:left="57"/>
              <w:spacing w:before="145"/>
              <w:rPr>
                <w:sz w:val="21"/>
                <w:szCs w:val="21"/>
              </w:rPr>
            </w:pPr>
            <w:r>
              <w:rPr>
                <w:sz w:val="21"/>
                <w:szCs w:val="21"/>
                <w:spacing w:val="-3"/>
              </w:rPr>
              <w:t>95%</w:t>
            </w:r>
          </w:p>
        </w:tc>
        <w:tc>
          <w:tcPr>
            <w:tcW w:w="420" w:type="dxa"/>
            <w:vAlign w:val="top"/>
          </w:tcPr>
          <w:p>
            <w:pPr>
              <w:pStyle w:val="TableText"/>
              <w:ind w:left="47"/>
              <w:spacing w:before="145"/>
              <w:rPr>
                <w:sz w:val="21"/>
                <w:szCs w:val="21"/>
              </w:rPr>
            </w:pPr>
            <w:r>
              <w:rPr>
                <w:sz w:val="21"/>
                <w:szCs w:val="21"/>
                <w:spacing w:val="-3"/>
              </w:rPr>
              <w:t>95%</w:t>
            </w:r>
          </w:p>
        </w:tc>
        <w:tc>
          <w:tcPr>
            <w:tcW w:w="670" w:type="dxa"/>
            <w:vAlign w:val="top"/>
          </w:tcPr>
          <w:p>
            <w:pPr>
              <w:pStyle w:val="TableText"/>
              <w:ind w:left="17"/>
              <w:spacing w:before="27" w:line="209" w:lineRule="auto"/>
              <w:rPr>
                <w:sz w:val="21"/>
                <w:szCs w:val="21"/>
              </w:rPr>
            </w:pPr>
            <w:r>
              <w:rPr>
                <w:sz w:val="21"/>
                <w:szCs w:val="21"/>
              </w:rPr>
              <w:t>(</w:t>
            </w:r>
          </w:p>
          <w:p>
            <w:pPr>
              <w:pStyle w:val="TableText"/>
              <w:spacing w:line="162" w:lineRule="exact"/>
              <w:jc w:val="right"/>
              <w:rPr>
                <w:sz w:val="21"/>
                <w:szCs w:val="21"/>
              </w:rPr>
            </w:pPr>
            <w:r>
              <w:rPr>
                <w:sz w:val="21"/>
                <w:szCs w:val="21"/>
                <w:spacing w:val="-2"/>
                <w:position w:val="-2"/>
              </w:rPr>
              <w:t>0.0009</w:t>
            </w:r>
          </w:p>
        </w:tc>
        <w:tc>
          <w:tcPr>
            <w:tcW w:w="839" w:type="dxa"/>
            <w:vAlign w:val="top"/>
          </w:tcPr>
          <w:p>
            <w:pPr>
              <w:pStyle w:val="TableText"/>
              <w:ind w:left="97"/>
              <w:spacing w:before="145" w:line="239" w:lineRule="auto"/>
              <w:rPr>
                <w:sz w:val="21"/>
                <w:szCs w:val="21"/>
              </w:rPr>
            </w:pPr>
            <w:r>
              <w:rPr>
                <w:sz w:val="21"/>
                <w:szCs w:val="21"/>
                <w:spacing w:val="-2"/>
              </w:rPr>
              <w:t>0.0013</w:t>
            </w:r>
          </w:p>
        </w:tc>
        <w:tc>
          <w:tcPr>
            <w:tcW w:w="849" w:type="dxa"/>
            <w:vAlign w:val="top"/>
          </w:tcPr>
          <w:p>
            <w:pPr>
              <w:pStyle w:val="TableText"/>
              <w:ind w:left="208"/>
              <w:spacing w:before="145" w:line="239" w:lineRule="auto"/>
              <w:rPr>
                <w:sz w:val="21"/>
                <w:szCs w:val="21"/>
              </w:rPr>
            </w:pPr>
            <w:r>
              <w:rPr>
                <w:sz w:val="21"/>
                <w:szCs w:val="21"/>
                <w:spacing w:val="-2"/>
              </w:rPr>
              <w:t>0.02</w:t>
            </w:r>
          </w:p>
        </w:tc>
        <w:tc>
          <w:tcPr>
            <w:tcW w:w="450" w:type="dxa"/>
            <w:vAlign w:val="top"/>
            <w:vMerge w:val="continue"/>
            <w:tcBorders>
              <w:top w:val="nil"/>
              <w:bottom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236" w:hRule="atLeast"/>
        </w:trPr>
        <w:tc>
          <w:tcPr>
            <w:tcW w:w="215" w:type="dxa"/>
            <w:vAlign w:val="top"/>
            <w:tcBorders>
              <w:bottom w:val="nil"/>
              <w:top w:val="nil"/>
            </w:tcBorders>
          </w:tcPr>
          <w:p>
            <w:pPr>
              <w:spacing w:line="226" w:lineRule="exact"/>
              <w:rPr>
                <w:rFonts w:ascii="Arial"/>
                <w:sz w:val="19"/>
              </w:rPr>
            </w:pPr>
            <w:r/>
          </w:p>
        </w:tc>
        <w:tc>
          <w:tcPr>
            <w:tcW w:w="510" w:type="dxa"/>
            <w:vAlign w:val="top"/>
            <w:vMerge w:val="continue"/>
            <w:tcBorders>
              <w:top w:val="nil"/>
              <w:bottom w:val="nil"/>
            </w:tcBorders>
          </w:tcPr>
          <w:p>
            <w:pPr>
              <w:rPr>
                <w:rFonts w:ascii="Arial"/>
                <w:sz w:val="21"/>
              </w:rPr>
            </w:pPr>
            <w:r/>
          </w:p>
        </w:tc>
        <w:tc>
          <w:tcPr>
            <w:tcW w:w="210" w:type="dxa"/>
            <w:vAlign w:val="top"/>
            <w:vMerge w:val="restart"/>
            <w:textDirection w:val="tbRlV"/>
            <w:tcBorders>
              <w:bottom w:val="nil"/>
            </w:tcBorders>
          </w:tcPr>
          <w:p>
            <w:pPr>
              <w:pStyle w:val="TableText"/>
              <w:spacing w:before="3" w:line="200" w:lineRule="auto"/>
              <w:rPr>
                <w:sz w:val="21"/>
                <w:szCs w:val="21"/>
              </w:rPr>
            </w:pPr>
            <w:r>
              <w:rPr>
                <w:sz w:val="21"/>
                <w:szCs w:val="21"/>
              </w:rPr>
              <w:t>季</w:t>
            </w:r>
          </w:p>
        </w:tc>
        <w:tc>
          <w:tcPr>
            <w:tcW w:w="659" w:type="dxa"/>
            <w:vAlign w:val="top"/>
            <w:vMerge w:val="restart"/>
            <w:tcBorders>
              <w:bottom w:val="nil"/>
            </w:tcBorders>
          </w:tcPr>
          <w:p>
            <w:pPr>
              <w:pStyle w:val="TableText"/>
              <w:spacing w:before="177" w:line="220" w:lineRule="auto"/>
              <w:rPr>
                <w:sz w:val="21"/>
                <w:szCs w:val="21"/>
              </w:rPr>
            </w:pPr>
            <w:r>
              <w:rPr>
                <w:sz w:val="21"/>
                <w:szCs w:val="21"/>
                <w:spacing w:val="3"/>
              </w:rPr>
              <w:t>无组织</w:t>
            </w:r>
          </w:p>
        </w:tc>
        <w:tc>
          <w:tcPr>
            <w:tcW w:w="660" w:type="dxa"/>
            <w:vAlign w:val="top"/>
          </w:tcPr>
          <w:p>
            <w:pPr>
              <w:pStyle w:val="TableText"/>
              <w:ind w:left="110"/>
              <w:spacing w:before="60" w:line="166" w:lineRule="exact"/>
              <w:rPr>
                <w:rFonts w:ascii="Calibri" w:hAnsi="Calibri" w:eastAsia="Calibri" w:cs="Calibri"/>
                <w:sz w:val="21"/>
                <w:szCs w:val="21"/>
              </w:rPr>
            </w:pPr>
            <w:r>
              <w:rPr>
                <w:sz w:val="21"/>
                <w:szCs w:val="21"/>
                <w:spacing w:val="-1"/>
                <w:position w:val="-1"/>
              </w:rPr>
              <w:t>NH</w:t>
            </w:r>
            <w:r>
              <w:rPr>
                <w:rFonts w:ascii="Calibri" w:hAnsi="Calibri" w:eastAsia="Calibri" w:cs="Calibri"/>
                <w:sz w:val="21"/>
                <w:szCs w:val="21"/>
                <w:spacing w:val="-1"/>
                <w:position w:val="-1"/>
              </w:rPr>
              <w:t>₃</w:t>
            </w:r>
          </w:p>
        </w:tc>
        <w:tc>
          <w:tcPr>
            <w:tcW w:w="509" w:type="dxa"/>
            <w:vAlign w:val="top"/>
            <w:vMerge w:val="continue"/>
            <w:tcBorders>
              <w:top w:val="nil"/>
              <w:bottom w:val="nil"/>
            </w:tcBorders>
          </w:tcPr>
          <w:p>
            <w:pPr>
              <w:rPr>
                <w:rFonts w:ascii="Arial"/>
                <w:sz w:val="21"/>
              </w:rPr>
            </w:pPr>
            <w:r/>
          </w:p>
        </w:tc>
        <w:tc>
          <w:tcPr>
            <w:tcW w:w="659" w:type="dxa"/>
            <w:vAlign w:val="top"/>
          </w:tcPr>
          <w:p>
            <w:pPr>
              <w:pStyle w:val="TableText"/>
              <w:ind w:left="1"/>
              <w:spacing w:before="47" w:line="157" w:lineRule="auto"/>
              <w:rPr>
                <w:sz w:val="21"/>
                <w:szCs w:val="21"/>
              </w:rPr>
            </w:pPr>
            <w:r>
              <w:rPr>
                <w:sz w:val="21"/>
                <w:szCs w:val="21"/>
                <w:spacing w:val="-2"/>
              </w:rPr>
              <w:t>0.0035</w:t>
            </w:r>
          </w:p>
        </w:tc>
        <w:tc>
          <w:tcPr>
            <w:tcW w:w="849" w:type="dxa"/>
            <w:vAlign w:val="top"/>
          </w:tcPr>
          <w:p>
            <w:pPr>
              <w:pStyle w:val="TableText"/>
              <w:ind w:left="102"/>
              <w:spacing w:before="47" w:line="157" w:lineRule="auto"/>
              <w:rPr>
                <w:sz w:val="21"/>
                <w:szCs w:val="21"/>
              </w:rPr>
            </w:pPr>
            <w:r>
              <w:rPr>
                <w:sz w:val="21"/>
                <w:szCs w:val="21"/>
                <w:spacing w:val="-2"/>
              </w:rPr>
              <w:t>0.0049</w:t>
            </w:r>
          </w:p>
        </w:tc>
        <w:tc>
          <w:tcPr>
            <w:tcW w:w="869" w:type="dxa"/>
            <w:vAlign w:val="top"/>
          </w:tcPr>
          <w:p>
            <w:pPr>
              <w:pStyle w:val="TableText"/>
              <w:ind w:left="373"/>
              <w:spacing w:before="32" w:line="170" w:lineRule="auto"/>
              <w:rPr>
                <w:sz w:val="21"/>
                <w:szCs w:val="21"/>
              </w:rPr>
            </w:pPr>
            <w:r>
              <w:rPr>
                <w:sz w:val="21"/>
                <w:szCs w:val="21"/>
              </w:rPr>
              <w:t>/</w:t>
            </w:r>
          </w:p>
        </w:tc>
        <w:tc>
          <w:tcPr>
            <w:tcW w:w="4597" w:type="dxa"/>
            <w:vAlign w:val="top"/>
            <w:vMerge w:val="restart"/>
            <w:tcBorders>
              <w:bottom w:val="nil"/>
            </w:tcBorders>
          </w:tcPr>
          <w:p>
            <w:pPr>
              <w:pStyle w:val="TableText"/>
              <w:ind w:left="14" w:right="156"/>
              <w:spacing w:before="34" w:line="222" w:lineRule="auto"/>
              <w:rPr>
                <w:sz w:val="21"/>
                <w:szCs w:val="21"/>
              </w:rPr>
            </w:pPr>
            <w:r>
              <w:rPr>
                <w:sz w:val="21"/>
                <w:szCs w:val="21"/>
              </w:rPr>
              <w:t>设置两道门密闭厂房，定期喷洒微生物除臭剂，</w:t>
            </w:r>
            <w:r>
              <w:rPr>
                <w:sz w:val="21"/>
                <w:szCs w:val="21"/>
                <w:spacing w:val="4"/>
              </w:rPr>
              <w:t xml:space="preserve"> </w:t>
            </w:r>
            <w:r>
              <w:rPr>
                <w:sz w:val="21"/>
                <w:szCs w:val="21"/>
              </w:rPr>
              <w:t>采用干清粪工艺，干粪日产日清，无组织排放。</w:t>
            </w:r>
          </w:p>
        </w:tc>
        <w:tc>
          <w:tcPr>
            <w:tcW w:w="870" w:type="dxa"/>
            <w:vAlign w:val="top"/>
            <w:gridSpan w:val="2"/>
          </w:tcPr>
          <w:p>
            <w:pPr>
              <w:pStyle w:val="TableText"/>
              <w:ind w:left="267"/>
              <w:spacing w:before="47" w:line="157" w:lineRule="auto"/>
              <w:rPr>
                <w:sz w:val="21"/>
                <w:szCs w:val="21"/>
              </w:rPr>
            </w:pPr>
            <w:r>
              <w:rPr>
                <w:sz w:val="21"/>
                <w:szCs w:val="21"/>
                <w:spacing w:val="-3"/>
              </w:rPr>
              <w:t>50%</w:t>
            </w:r>
          </w:p>
        </w:tc>
        <w:tc>
          <w:tcPr>
            <w:tcW w:w="670" w:type="dxa"/>
            <w:vAlign w:val="top"/>
          </w:tcPr>
          <w:p>
            <w:pPr>
              <w:pStyle w:val="TableText"/>
              <w:ind w:left="27"/>
              <w:spacing w:before="47" w:line="157" w:lineRule="auto"/>
              <w:rPr>
                <w:sz w:val="21"/>
                <w:szCs w:val="21"/>
              </w:rPr>
            </w:pPr>
            <w:r>
              <w:rPr>
                <w:sz w:val="21"/>
                <w:szCs w:val="21"/>
                <w:spacing w:val="-2"/>
              </w:rPr>
              <w:t>0.0018</w:t>
            </w:r>
          </w:p>
        </w:tc>
        <w:tc>
          <w:tcPr>
            <w:tcW w:w="839" w:type="dxa"/>
            <w:vAlign w:val="top"/>
          </w:tcPr>
          <w:p>
            <w:pPr>
              <w:pStyle w:val="TableText"/>
              <w:ind w:left="97"/>
              <w:spacing w:before="47" w:line="157" w:lineRule="auto"/>
              <w:rPr>
                <w:sz w:val="21"/>
                <w:szCs w:val="21"/>
              </w:rPr>
            </w:pPr>
            <w:r>
              <w:rPr>
                <w:sz w:val="21"/>
                <w:szCs w:val="21"/>
                <w:spacing w:val="-2"/>
              </w:rPr>
              <w:t>0.0024</w:t>
            </w:r>
          </w:p>
        </w:tc>
        <w:tc>
          <w:tcPr>
            <w:tcW w:w="849" w:type="dxa"/>
            <w:vAlign w:val="top"/>
          </w:tcPr>
          <w:p>
            <w:pPr>
              <w:pStyle w:val="TableText"/>
              <w:ind w:left="368"/>
              <w:spacing w:before="32" w:line="170" w:lineRule="auto"/>
              <w:rPr>
                <w:sz w:val="21"/>
                <w:szCs w:val="21"/>
              </w:rPr>
            </w:pPr>
            <w:r>
              <w:rPr>
                <w:sz w:val="21"/>
                <w:szCs w:val="21"/>
              </w:rPr>
              <w:t>/</w:t>
            </w:r>
          </w:p>
        </w:tc>
        <w:tc>
          <w:tcPr>
            <w:tcW w:w="450" w:type="dxa"/>
            <w:vAlign w:val="top"/>
            <w:vMerge w:val="continue"/>
            <w:tcBorders>
              <w:top w:val="nil"/>
              <w:bottom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304" w:hRule="atLeast"/>
        </w:trPr>
        <w:tc>
          <w:tcPr>
            <w:tcW w:w="215" w:type="dxa"/>
            <w:vAlign w:val="top"/>
            <w:tcBorders>
              <w:bottom w:val="nil"/>
              <w:top w:val="nil"/>
            </w:tcBorders>
          </w:tcPr>
          <w:p>
            <w:pPr>
              <w:rPr>
                <w:rFonts w:ascii="Arial"/>
                <w:sz w:val="21"/>
              </w:rPr>
            </w:pPr>
            <w:r/>
          </w:p>
        </w:tc>
        <w:tc>
          <w:tcPr>
            <w:tcW w:w="510" w:type="dxa"/>
            <w:vAlign w:val="top"/>
            <w:vMerge w:val="continue"/>
            <w:tcBorders>
              <w:top w:val="nil"/>
            </w:tcBorders>
          </w:tcPr>
          <w:p>
            <w:pPr>
              <w:rPr>
                <w:rFonts w:ascii="Arial"/>
                <w:sz w:val="21"/>
              </w:rPr>
            </w:pPr>
            <w:r/>
          </w:p>
        </w:tc>
        <w:tc>
          <w:tcPr>
            <w:tcW w:w="210" w:type="dxa"/>
            <w:vAlign w:val="top"/>
            <w:vMerge w:val="continue"/>
            <w:textDirection w:val="tbRlV"/>
            <w:tcBorders>
              <w:top w:val="nil"/>
            </w:tcBorders>
          </w:tcPr>
          <w:p>
            <w:pPr>
              <w:spacing w:line="200" w:lineRule="exact"/>
              <w:rPr>
                <w:rFonts w:ascii="Arial"/>
                <w:sz w:val="16"/>
              </w:rPr>
            </w:pPr>
            <w:r/>
          </w:p>
        </w:tc>
        <w:tc>
          <w:tcPr>
            <w:tcW w:w="659" w:type="dxa"/>
            <w:vAlign w:val="top"/>
            <w:vMerge w:val="continue"/>
            <w:tcBorders>
              <w:top w:val="nil"/>
            </w:tcBorders>
          </w:tcPr>
          <w:p>
            <w:pPr>
              <w:rPr>
                <w:rFonts w:ascii="Arial"/>
                <w:sz w:val="21"/>
              </w:rPr>
            </w:pPr>
            <w:r/>
          </w:p>
        </w:tc>
        <w:tc>
          <w:tcPr>
            <w:tcW w:w="660" w:type="dxa"/>
            <w:vAlign w:val="top"/>
          </w:tcPr>
          <w:p>
            <w:pPr>
              <w:pStyle w:val="TableText"/>
              <w:ind w:left="110"/>
              <w:spacing w:before="93" w:line="176"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509" w:type="dxa"/>
            <w:vAlign w:val="top"/>
            <w:vMerge w:val="continue"/>
            <w:tcBorders>
              <w:top w:val="nil"/>
            </w:tcBorders>
          </w:tcPr>
          <w:p>
            <w:pPr>
              <w:rPr>
                <w:rFonts w:ascii="Arial"/>
                <w:sz w:val="21"/>
              </w:rPr>
            </w:pPr>
            <w:r/>
          </w:p>
        </w:tc>
        <w:tc>
          <w:tcPr>
            <w:tcW w:w="659" w:type="dxa"/>
            <w:vAlign w:val="top"/>
          </w:tcPr>
          <w:p>
            <w:pPr>
              <w:pStyle w:val="TableText"/>
              <w:ind w:left="1"/>
              <w:spacing w:before="81" w:line="187" w:lineRule="auto"/>
              <w:rPr>
                <w:sz w:val="21"/>
                <w:szCs w:val="21"/>
              </w:rPr>
            </w:pPr>
            <w:r>
              <w:rPr>
                <w:sz w:val="21"/>
                <w:szCs w:val="21"/>
                <w:spacing w:val="-2"/>
              </w:rPr>
              <w:t>0.0010</w:t>
            </w:r>
          </w:p>
        </w:tc>
        <w:tc>
          <w:tcPr>
            <w:tcW w:w="849" w:type="dxa"/>
            <w:vAlign w:val="top"/>
          </w:tcPr>
          <w:p>
            <w:pPr>
              <w:pStyle w:val="TableText"/>
              <w:ind w:left="102"/>
              <w:spacing w:before="81" w:line="187" w:lineRule="auto"/>
              <w:rPr>
                <w:sz w:val="21"/>
                <w:szCs w:val="21"/>
              </w:rPr>
            </w:pPr>
            <w:r>
              <w:rPr>
                <w:sz w:val="21"/>
                <w:szCs w:val="21"/>
                <w:spacing w:val="-2"/>
              </w:rPr>
              <w:t>0.0014</w:t>
            </w:r>
          </w:p>
        </w:tc>
        <w:tc>
          <w:tcPr>
            <w:tcW w:w="869" w:type="dxa"/>
            <w:vAlign w:val="top"/>
          </w:tcPr>
          <w:p>
            <w:pPr>
              <w:pStyle w:val="TableText"/>
              <w:ind w:left="373"/>
              <w:spacing w:before="66" w:line="200" w:lineRule="auto"/>
              <w:rPr>
                <w:sz w:val="21"/>
                <w:szCs w:val="21"/>
              </w:rPr>
            </w:pPr>
            <w:r>
              <w:rPr>
                <w:sz w:val="21"/>
                <w:szCs w:val="21"/>
                <w:color w:val="404050"/>
              </w:rPr>
              <w:t>/</w:t>
            </w:r>
          </w:p>
        </w:tc>
        <w:tc>
          <w:tcPr>
            <w:tcW w:w="4597" w:type="dxa"/>
            <w:vAlign w:val="top"/>
            <w:vMerge w:val="continue"/>
            <w:tcBorders>
              <w:top w:val="nil"/>
            </w:tcBorders>
          </w:tcPr>
          <w:p>
            <w:pPr>
              <w:rPr>
                <w:rFonts w:ascii="Arial"/>
                <w:sz w:val="21"/>
              </w:rPr>
            </w:pPr>
            <w:r/>
          </w:p>
        </w:tc>
        <w:tc>
          <w:tcPr>
            <w:tcW w:w="870" w:type="dxa"/>
            <w:vAlign w:val="top"/>
            <w:gridSpan w:val="2"/>
          </w:tcPr>
          <w:p>
            <w:pPr>
              <w:pStyle w:val="TableText"/>
              <w:ind w:left="267"/>
              <w:spacing w:before="81" w:line="187" w:lineRule="auto"/>
              <w:rPr>
                <w:sz w:val="21"/>
                <w:szCs w:val="21"/>
              </w:rPr>
            </w:pPr>
            <w:r>
              <w:rPr>
                <w:sz w:val="21"/>
                <w:szCs w:val="21"/>
                <w:spacing w:val="-3"/>
              </w:rPr>
              <w:t>50%</w:t>
            </w:r>
          </w:p>
        </w:tc>
        <w:tc>
          <w:tcPr>
            <w:tcW w:w="670" w:type="dxa"/>
            <w:vAlign w:val="top"/>
          </w:tcPr>
          <w:p>
            <w:pPr>
              <w:pStyle w:val="TableText"/>
              <w:ind w:left="27"/>
              <w:spacing w:before="81" w:line="187" w:lineRule="auto"/>
              <w:rPr>
                <w:sz w:val="21"/>
                <w:szCs w:val="21"/>
              </w:rPr>
            </w:pPr>
            <w:r>
              <w:rPr>
                <w:sz w:val="21"/>
                <w:szCs w:val="21"/>
                <w:spacing w:val="-2"/>
              </w:rPr>
              <w:t>0.0005</w:t>
            </w:r>
          </w:p>
        </w:tc>
        <w:tc>
          <w:tcPr>
            <w:tcW w:w="839" w:type="dxa"/>
            <w:vAlign w:val="top"/>
          </w:tcPr>
          <w:p>
            <w:pPr>
              <w:pStyle w:val="TableText"/>
              <w:ind w:left="97"/>
              <w:spacing w:before="81" w:line="187" w:lineRule="auto"/>
              <w:rPr>
                <w:sz w:val="21"/>
                <w:szCs w:val="21"/>
              </w:rPr>
            </w:pPr>
            <w:r>
              <w:rPr>
                <w:sz w:val="21"/>
                <w:szCs w:val="21"/>
                <w:spacing w:val="-2"/>
              </w:rPr>
              <w:t>0.0007</w:t>
            </w:r>
          </w:p>
        </w:tc>
        <w:tc>
          <w:tcPr>
            <w:tcW w:w="849" w:type="dxa"/>
            <w:vAlign w:val="top"/>
          </w:tcPr>
          <w:p>
            <w:pPr>
              <w:pStyle w:val="TableText"/>
              <w:ind w:left="368"/>
              <w:spacing w:before="66" w:line="200" w:lineRule="auto"/>
              <w:rPr>
                <w:sz w:val="21"/>
                <w:szCs w:val="21"/>
              </w:rPr>
            </w:pPr>
            <w:r>
              <w:rPr>
                <w:sz w:val="21"/>
                <w:szCs w:val="21"/>
              </w:rPr>
              <w:t>/</w:t>
            </w:r>
          </w:p>
        </w:tc>
        <w:tc>
          <w:tcPr>
            <w:tcW w:w="450" w:type="dxa"/>
            <w:vAlign w:val="top"/>
            <w:vMerge w:val="continue"/>
            <w:tcBorders>
              <w:top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341" w:hRule="atLeast"/>
        </w:trPr>
        <w:tc>
          <w:tcPr>
            <w:tcW w:w="215" w:type="dxa"/>
            <w:vAlign w:val="top"/>
            <w:tcBorders>
              <w:bottom w:val="nil"/>
              <w:top w:val="nil"/>
            </w:tcBorders>
          </w:tcPr>
          <w:p>
            <w:pPr>
              <w:rPr>
                <w:rFonts w:ascii="Arial"/>
                <w:sz w:val="21"/>
              </w:rPr>
            </w:pPr>
            <w:r/>
          </w:p>
        </w:tc>
        <w:tc>
          <w:tcPr>
            <w:tcW w:w="510" w:type="dxa"/>
            <w:vAlign w:val="top"/>
            <w:vMerge w:val="restart"/>
            <w:tcBorders>
              <w:bottom w:val="nil"/>
            </w:tcBorders>
          </w:tcPr>
          <w:p>
            <w:pPr>
              <w:pStyle w:val="TableText"/>
              <w:ind w:left="29"/>
              <w:spacing w:before="237" w:line="221" w:lineRule="auto"/>
              <w:rPr>
                <w:sz w:val="21"/>
                <w:szCs w:val="21"/>
              </w:rPr>
            </w:pPr>
            <w:r>
              <w:rPr>
                <w:sz w:val="21"/>
                <w:szCs w:val="21"/>
                <w:spacing w:val="6"/>
              </w:rPr>
              <w:t>肉牛</w:t>
            </w:r>
          </w:p>
          <w:p>
            <w:pPr>
              <w:pStyle w:val="TableText"/>
              <w:ind w:left="29"/>
              <w:spacing w:before="27" w:line="219" w:lineRule="auto"/>
              <w:rPr>
                <w:sz w:val="21"/>
                <w:szCs w:val="21"/>
              </w:rPr>
            </w:pPr>
            <w:r>
              <w:rPr>
                <w:sz w:val="21"/>
                <w:szCs w:val="21"/>
                <w:spacing w:val="8"/>
              </w:rPr>
              <w:t>待宰</w:t>
            </w:r>
          </w:p>
          <w:p>
            <w:pPr>
              <w:pStyle w:val="TableText"/>
              <w:ind w:left="139"/>
              <w:spacing w:before="31" w:line="212" w:lineRule="auto"/>
              <w:rPr>
                <w:sz w:val="21"/>
                <w:szCs w:val="21"/>
              </w:rPr>
            </w:pPr>
            <w:r>
              <w:rPr>
                <w:sz w:val="21"/>
                <w:szCs w:val="21"/>
              </w:rPr>
              <w:t>圈</w:t>
            </w:r>
          </w:p>
          <w:p>
            <w:pPr>
              <w:pStyle w:val="TableText"/>
              <w:spacing w:line="221" w:lineRule="auto"/>
              <w:jc w:val="right"/>
              <w:rPr>
                <w:sz w:val="21"/>
                <w:szCs w:val="21"/>
              </w:rPr>
            </w:pPr>
            <w:r>
              <w:rPr>
                <w:sz w:val="21"/>
                <w:szCs w:val="21"/>
                <w:spacing w:val="-32"/>
              </w:rPr>
              <w:t>舍</w:t>
            </w:r>
            <w:r>
              <w:rPr>
                <w:sz w:val="21"/>
                <w:szCs w:val="21"/>
                <w:spacing w:val="28"/>
              </w:rPr>
              <w:t xml:space="preserve"> </w:t>
            </w:r>
            <w:r>
              <w:rPr>
                <w:sz w:val="21"/>
                <w:szCs w:val="21"/>
                <w:spacing w:val="-32"/>
              </w:rPr>
              <w:t>、</w:t>
            </w:r>
          </w:p>
          <w:p>
            <w:pPr>
              <w:pStyle w:val="TableText"/>
              <w:ind w:left="39"/>
              <w:spacing w:before="16" w:line="219" w:lineRule="auto"/>
              <w:rPr>
                <w:sz w:val="21"/>
                <w:szCs w:val="21"/>
              </w:rPr>
            </w:pPr>
            <w:r>
              <w:rPr>
                <w:sz w:val="21"/>
                <w:szCs w:val="21"/>
                <w:spacing w:val="8"/>
              </w:rPr>
              <w:t>屠宰</w:t>
            </w:r>
          </w:p>
          <w:p>
            <w:pPr>
              <w:pStyle w:val="TableText"/>
              <w:ind w:left="29"/>
              <w:spacing w:before="31" w:line="219" w:lineRule="auto"/>
              <w:rPr>
                <w:sz w:val="21"/>
                <w:szCs w:val="21"/>
              </w:rPr>
            </w:pPr>
            <w:r>
              <w:rPr>
                <w:sz w:val="21"/>
                <w:szCs w:val="21"/>
                <w:spacing w:val="10"/>
              </w:rPr>
              <w:t>车间</w:t>
            </w:r>
          </w:p>
        </w:tc>
        <w:tc>
          <w:tcPr>
            <w:tcW w:w="210" w:type="dxa"/>
            <w:vAlign w:val="top"/>
            <w:vMerge w:val="restart"/>
            <w:textDirection w:val="tbRlV"/>
            <w:tcBorders>
              <w:bottom w:val="nil"/>
            </w:tcBorders>
          </w:tcPr>
          <w:p>
            <w:pPr>
              <w:pStyle w:val="TableText"/>
              <w:ind w:left="433"/>
              <w:spacing w:before="3" w:line="199" w:lineRule="auto"/>
              <w:rPr>
                <w:sz w:val="21"/>
                <w:szCs w:val="21"/>
              </w:rPr>
            </w:pPr>
            <w:r>
              <w:rPr>
                <w:sz w:val="21"/>
                <w:szCs w:val="21"/>
                <w:spacing w:val="26"/>
              </w:rPr>
              <w:t>淡季</w:t>
            </w:r>
          </w:p>
        </w:tc>
        <w:tc>
          <w:tcPr>
            <w:tcW w:w="659" w:type="dxa"/>
            <w:vAlign w:val="top"/>
            <w:vMerge w:val="restart"/>
            <w:tcBorders>
              <w:bottom w:val="nil"/>
            </w:tcBorders>
          </w:tcPr>
          <w:p>
            <w:pPr>
              <w:pStyle w:val="TableText"/>
              <w:spacing w:before="307" w:line="220" w:lineRule="auto"/>
              <w:rPr>
                <w:sz w:val="21"/>
                <w:szCs w:val="21"/>
              </w:rPr>
            </w:pPr>
            <w:r>
              <w:rPr>
                <w:sz w:val="21"/>
                <w:szCs w:val="21"/>
                <w:spacing w:val="3"/>
              </w:rPr>
              <w:t>有组织</w:t>
            </w:r>
          </w:p>
        </w:tc>
        <w:tc>
          <w:tcPr>
            <w:tcW w:w="660" w:type="dxa"/>
            <w:vAlign w:val="top"/>
          </w:tcPr>
          <w:p>
            <w:pPr>
              <w:pStyle w:val="TableText"/>
              <w:ind w:left="110"/>
              <w:spacing w:before="110" w:line="182"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509" w:type="dxa"/>
            <w:vAlign w:val="top"/>
            <w:vMerge w:val="restart"/>
            <w:tcBorders>
              <w:bottom w:val="nil"/>
            </w:tcBorders>
          </w:tcPr>
          <w:p>
            <w:pPr>
              <w:spacing w:line="365" w:lineRule="auto"/>
              <w:rPr>
                <w:rFonts w:ascii="Arial"/>
                <w:sz w:val="21"/>
              </w:rPr>
            </w:pPr>
            <w:r/>
          </w:p>
          <w:p>
            <w:pPr>
              <w:pStyle w:val="TableText"/>
              <w:ind w:left="139" w:right="35" w:hanging="109"/>
              <w:spacing w:before="69" w:line="257" w:lineRule="auto"/>
              <w:rPr>
                <w:sz w:val="21"/>
                <w:szCs w:val="21"/>
              </w:rPr>
            </w:pPr>
            <w:r>
              <w:rPr>
                <w:sz w:val="21"/>
                <w:szCs w:val="21"/>
                <w:spacing w:val="6"/>
              </w:rPr>
              <w:t>类比</w:t>
            </w:r>
            <w:r>
              <w:rPr>
                <w:sz w:val="21"/>
                <w:szCs w:val="21"/>
              </w:rPr>
              <w:t xml:space="preserve"> </w:t>
            </w:r>
            <w:r>
              <w:rPr>
                <w:sz w:val="21"/>
                <w:szCs w:val="21"/>
              </w:rPr>
              <w:t>法</w:t>
            </w:r>
          </w:p>
        </w:tc>
        <w:tc>
          <w:tcPr>
            <w:tcW w:w="659" w:type="dxa"/>
            <w:vAlign w:val="top"/>
          </w:tcPr>
          <w:p>
            <w:pPr>
              <w:pStyle w:val="TableText"/>
              <w:ind w:left="1"/>
              <w:spacing w:before="97" w:line="205" w:lineRule="auto"/>
              <w:rPr>
                <w:sz w:val="21"/>
                <w:szCs w:val="21"/>
              </w:rPr>
            </w:pPr>
            <w:r>
              <w:rPr>
                <w:sz w:val="21"/>
                <w:szCs w:val="21"/>
                <w:spacing w:val="-2"/>
              </w:rPr>
              <w:t>0.2862</w:t>
            </w:r>
          </w:p>
        </w:tc>
        <w:tc>
          <w:tcPr>
            <w:tcW w:w="849" w:type="dxa"/>
            <w:vAlign w:val="top"/>
          </w:tcPr>
          <w:p>
            <w:pPr>
              <w:pStyle w:val="TableText"/>
              <w:ind w:left="152"/>
              <w:spacing w:before="97" w:line="205" w:lineRule="auto"/>
              <w:rPr>
                <w:sz w:val="21"/>
                <w:szCs w:val="21"/>
              </w:rPr>
            </w:pPr>
            <w:r>
              <w:rPr>
                <w:sz w:val="21"/>
                <w:szCs w:val="21"/>
                <w:spacing w:val="-2"/>
              </w:rPr>
              <w:t>0.106</w:t>
            </w:r>
          </w:p>
        </w:tc>
        <w:tc>
          <w:tcPr>
            <w:tcW w:w="869" w:type="dxa"/>
            <w:vAlign w:val="top"/>
          </w:tcPr>
          <w:p>
            <w:pPr>
              <w:pStyle w:val="TableText"/>
              <w:ind w:left="213"/>
              <w:spacing w:before="97" w:line="205" w:lineRule="auto"/>
              <w:rPr>
                <w:sz w:val="21"/>
                <w:szCs w:val="21"/>
              </w:rPr>
            </w:pPr>
            <w:r>
              <w:rPr>
                <w:sz w:val="21"/>
                <w:szCs w:val="21"/>
                <w:spacing w:val="-5"/>
              </w:rPr>
              <w:t>1.63</w:t>
            </w:r>
          </w:p>
        </w:tc>
        <w:tc>
          <w:tcPr>
            <w:tcW w:w="4597" w:type="dxa"/>
            <w:vAlign w:val="top"/>
            <w:vMerge w:val="restart"/>
            <w:tcBorders>
              <w:bottom w:val="nil"/>
            </w:tcBorders>
          </w:tcPr>
          <w:p>
            <w:pPr>
              <w:pStyle w:val="TableText"/>
              <w:ind w:left="14" w:right="351" w:firstLine="9"/>
              <w:spacing w:before="35" w:line="232" w:lineRule="auto"/>
              <w:rPr>
                <w:sz w:val="21"/>
                <w:szCs w:val="21"/>
              </w:rPr>
            </w:pPr>
            <w:r>
              <w:rPr>
                <w:sz w:val="21"/>
                <w:szCs w:val="21"/>
                <w:spacing w:val="4"/>
              </w:rPr>
              <w:t>分别经负压收集(风量65000m³/h)+喷淋+</w:t>
            </w:r>
            <w:r>
              <w:rPr>
                <w:sz w:val="21"/>
                <w:szCs w:val="21"/>
              </w:rPr>
              <w:t>UV</w:t>
            </w:r>
            <w:r>
              <w:rPr>
                <w:sz w:val="21"/>
                <w:szCs w:val="21"/>
                <w:spacing w:val="4"/>
              </w:rPr>
              <w:t>光</w:t>
            </w:r>
            <w:r>
              <w:rPr>
                <w:sz w:val="21"/>
                <w:szCs w:val="21"/>
                <w:spacing w:val="14"/>
              </w:rPr>
              <w:t xml:space="preserve"> </w:t>
            </w:r>
            <w:r>
              <w:rPr>
                <w:sz w:val="21"/>
                <w:szCs w:val="21"/>
              </w:rPr>
              <w:t>解+活性炭吸附装置(TA003)+15m高排气筒</w:t>
            </w:r>
          </w:p>
          <w:p>
            <w:pPr>
              <w:pStyle w:val="TableText"/>
              <w:ind w:left="14"/>
              <w:spacing w:line="197" w:lineRule="auto"/>
              <w:rPr>
                <w:sz w:val="21"/>
                <w:szCs w:val="21"/>
              </w:rPr>
            </w:pPr>
            <w:r>
              <w:rPr>
                <w:sz w:val="21"/>
                <w:szCs w:val="21"/>
              </w:rPr>
              <w:t>(DA003),有组织排放。</w:t>
            </w:r>
          </w:p>
        </w:tc>
        <w:tc>
          <w:tcPr>
            <w:tcW w:w="450" w:type="dxa"/>
            <w:vAlign w:val="top"/>
          </w:tcPr>
          <w:p>
            <w:pPr>
              <w:pStyle w:val="TableText"/>
              <w:ind w:left="57"/>
              <w:spacing w:before="97" w:line="205" w:lineRule="auto"/>
              <w:rPr>
                <w:sz w:val="21"/>
                <w:szCs w:val="21"/>
              </w:rPr>
            </w:pPr>
            <w:r>
              <w:rPr>
                <w:sz w:val="21"/>
                <w:szCs w:val="21"/>
                <w:spacing w:val="-3"/>
              </w:rPr>
              <w:t>95%</w:t>
            </w:r>
          </w:p>
        </w:tc>
        <w:tc>
          <w:tcPr>
            <w:tcW w:w="420" w:type="dxa"/>
            <w:vAlign w:val="top"/>
          </w:tcPr>
          <w:p>
            <w:pPr>
              <w:pStyle w:val="TableText"/>
              <w:ind w:left="47"/>
              <w:spacing w:before="97" w:line="205" w:lineRule="auto"/>
              <w:rPr>
                <w:sz w:val="21"/>
                <w:szCs w:val="21"/>
              </w:rPr>
            </w:pPr>
            <w:r>
              <w:rPr>
                <w:sz w:val="21"/>
                <w:szCs w:val="21"/>
                <w:spacing w:val="-3"/>
              </w:rPr>
              <w:t>95%</w:t>
            </w:r>
          </w:p>
        </w:tc>
        <w:tc>
          <w:tcPr>
            <w:tcW w:w="670" w:type="dxa"/>
            <w:vAlign w:val="top"/>
          </w:tcPr>
          <w:p>
            <w:pPr>
              <w:pStyle w:val="TableText"/>
              <w:ind w:left="17"/>
              <w:spacing w:before="118" w:line="206" w:lineRule="auto"/>
              <w:rPr>
                <w:sz w:val="19"/>
                <w:szCs w:val="19"/>
              </w:rPr>
            </w:pPr>
            <w:r>
              <w:rPr>
                <w:sz w:val="19"/>
                <w:szCs w:val="19"/>
                <w:position w:val="-2"/>
              </w:rPr>
              <w:drawing>
                <wp:inline distT="0" distB="0" distL="0" distR="0">
                  <wp:extent cx="60963" cy="130784"/>
                  <wp:effectExtent l="0" t="0" r="0" b="0"/>
                  <wp:docPr id="92" name="IM 92"/>
                  <wp:cNvGraphicFramePr/>
                  <a:graphic>
                    <a:graphicData uri="http://schemas.openxmlformats.org/drawingml/2006/picture">
                      <pic:pic>
                        <pic:nvPicPr>
                          <pic:cNvPr id="92" name="IM 92"/>
                          <pic:cNvPicPr/>
                        </pic:nvPicPr>
                        <pic:blipFill>
                          <a:blip r:embed="rId338"/>
                          <a:stretch>
                            <a:fillRect/>
                          </a:stretch>
                        </pic:blipFill>
                        <pic:spPr>
                          <a:xfrm rot="0">
                            <a:off x="0" y="0"/>
                            <a:ext cx="60963" cy="130784"/>
                          </a:xfrm>
                          <a:prstGeom prst="rect">
                            <a:avLst/>
                          </a:prstGeom>
                        </pic:spPr>
                      </pic:pic>
                    </a:graphicData>
                  </a:graphic>
                </wp:inline>
              </w:drawing>
            </w:r>
            <w:r>
              <w:rPr>
                <w:sz w:val="19"/>
                <w:szCs w:val="19"/>
              </w:rPr>
              <w:t>.0136</w:t>
            </w:r>
          </w:p>
        </w:tc>
        <w:tc>
          <w:tcPr>
            <w:tcW w:w="839" w:type="dxa"/>
            <w:vAlign w:val="top"/>
          </w:tcPr>
          <w:p>
            <w:pPr>
              <w:pStyle w:val="TableText"/>
              <w:ind w:left="147"/>
              <w:spacing w:before="97" w:line="205" w:lineRule="auto"/>
              <w:rPr>
                <w:sz w:val="21"/>
                <w:szCs w:val="21"/>
              </w:rPr>
            </w:pPr>
            <w:r>
              <w:rPr>
                <w:sz w:val="21"/>
                <w:szCs w:val="21"/>
                <w:spacing w:val="-2"/>
              </w:rPr>
              <w:t>0.005</w:t>
            </w:r>
          </w:p>
        </w:tc>
        <w:tc>
          <w:tcPr>
            <w:tcW w:w="849" w:type="dxa"/>
            <w:vAlign w:val="top"/>
          </w:tcPr>
          <w:p>
            <w:pPr>
              <w:pStyle w:val="TableText"/>
              <w:ind w:left="208"/>
              <w:spacing w:before="97" w:line="205" w:lineRule="auto"/>
              <w:rPr>
                <w:sz w:val="21"/>
                <w:szCs w:val="21"/>
              </w:rPr>
            </w:pPr>
            <w:r>
              <w:rPr>
                <w:sz w:val="21"/>
                <w:szCs w:val="21"/>
                <w:spacing w:val="-2"/>
              </w:rPr>
              <w:t>0.08</w:t>
            </w:r>
          </w:p>
        </w:tc>
        <w:tc>
          <w:tcPr>
            <w:tcW w:w="450" w:type="dxa"/>
            <w:vAlign w:val="top"/>
            <w:vMerge w:val="restart"/>
            <w:tcBorders>
              <w:bottom w:val="nil"/>
            </w:tcBorders>
          </w:tcPr>
          <w:p>
            <w:pPr>
              <w:spacing w:line="267" w:lineRule="auto"/>
              <w:rPr>
                <w:rFonts w:ascii="Arial"/>
                <w:sz w:val="21"/>
              </w:rPr>
            </w:pPr>
            <w:r/>
          </w:p>
          <w:p>
            <w:pPr>
              <w:spacing w:line="268" w:lineRule="auto"/>
              <w:rPr>
                <w:rFonts w:ascii="Arial"/>
                <w:sz w:val="21"/>
              </w:rPr>
            </w:pPr>
            <w:r/>
          </w:p>
          <w:p>
            <w:pPr>
              <w:pStyle w:val="TableText"/>
              <w:ind w:left="19"/>
              <w:spacing w:before="68"/>
              <w:rPr>
                <w:sz w:val="21"/>
                <w:szCs w:val="21"/>
              </w:rPr>
            </w:pPr>
            <w:r>
              <w:rPr>
                <w:sz w:val="21"/>
                <w:szCs w:val="21"/>
                <w:spacing w:val="-3"/>
              </w:rPr>
              <w:t>2160</w:t>
            </w:r>
          </w:p>
        </w:tc>
        <w:tc>
          <w:tcPr>
            <w:tcW w:w="1664" w:type="dxa"/>
            <w:vAlign w:val="top"/>
            <w:vMerge w:val="continue"/>
            <w:tcBorders>
              <w:top w:val="nil"/>
              <w:bottom w:val="nil"/>
            </w:tcBorders>
          </w:tcPr>
          <w:p>
            <w:pPr>
              <w:rPr>
                <w:rFonts w:ascii="Arial"/>
                <w:sz w:val="21"/>
              </w:rPr>
            </w:pPr>
            <w:r/>
          </w:p>
        </w:tc>
      </w:tr>
      <w:tr>
        <w:trPr>
          <w:trHeight w:val="447" w:hRule="atLeast"/>
        </w:trPr>
        <w:tc>
          <w:tcPr>
            <w:tcW w:w="215" w:type="dxa"/>
            <w:vAlign w:val="top"/>
            <w:tcBorders>
              <w:bottom w:val="nil"/>
              <w:top w:val="nil"/>
            </w:tcBorders>
          </w:tcPr>
          <w:p>
            <w:pPr>
              <w:rPr>
                <w:rFonts w:ascii="Arial"/>
                <w:sz w:val="21"/>
              </w:rPr>
            </w:pPr>
            <w:r/>
          </w:p>
        </w:tc>
        <w:tc>
          <w:tcPr>
            <w:tcW w:w="510" w:type="dxa"/>
            <w:vAlign w:val="top"/>
            <w:vMerge w:val="continue"/>
            <w:tcBorders>
              <w:top w:val="nil"/>
              <w:bottom w:val="nil"/>
            </w:tcBorders>
          </w:tcPr>
          <w:p>
            <w:pPr>
              <w:rPr>
                <w:rFonts w:ascii="Arial"/>
                <w:sz w:val="21"/>
              </w:rPr>
            </w:pPr>
            <w:r/>
          </w:p>
        </w:tc>
        <w:tc>
          <w:tcPr>
            <w:tcW w:w="210" w:type="dxa"/>
            <w:vAlign w:val="top"/>
            <w:vMerge w:val="continue"/>
            <w:textDirection w:val="tbRlV"/>
            <w:tcBorders>
              <w:top w:val="nil"/>
              <w:bottom w:val="nil"/>
            </w:tcBorders>
          </w:tcPr>
          <w:p>
            <w:pPr>
              <w:spacing w:line="200" w:lineRule="exact"/>
              <w:rPr>
                <w:rFonts w:ascii="Arial"/>
                <w:sz w:val="16"/>
              </w:rPr>
            </w:pPr>
            <w:r/>
          </w:p>
        </w:tc>
        <w:tc>
          <w:tcPr>
            <w:tcW w:w="659" w:type="dxa"/>
            <w:vAlign w:val="top"/>
            <w:vMerge w:val="continue"/>
            <w:tcBorders>
              <w:top w:val="nil"/>
            </w:tcBorders>
          </w:tcPr>
          <w:p>
            <w:pPr>
              <w:rPr>
                <w:rFonts w:ascii="Arial"/>
                <w:sz w:val="21"/>
              </w:rPr>
            </w:pPr>
            <w:r/>
          </w:p>
        </w:tc>
        <w:tc>
          <w:tcPr>
            <w:tcW w:w="660" w:type="dxa"/>
            <w:vAlign w:val="top"/>
          </w:tcPr>
          <w:p>
            <w:pPr>
              <w:pStyle w:val="TableText"/>
              <w:ind w:left="110"/>
              <w:spacing w:before="169" w:line="183"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509" w:type="dxa"/>
            <w:vAlign w:val="top"/>
            <w:vMerge w:val="continue"/>
            <w:tcBorders>
              <w:top w:val="nil"/>
              <w:bottom w:val="nil"/>
            </w:tcBorders>
          </w:tcPr>
          <w:p>
            <w:pPr>
              <w:rPr>
                <w:rFonts w:ascii="Arial"/>
                <w:sz w:val="21"/>
              </w:rPr>
            </w:pPr>
            <w:r/>
          </w:p>
        </w:tc>
        <w:tc>
          <w:tcPr>
            <w:tcW w:w="659" w:type="dxa"/>
            <w:vAlign w:val="top"/>
          </w:tcPr>
          <w:p>
            <w:pPr>
              <w:pStyle w:val="TableText"/>
              <w:ind w:left="1"/>
              <w:spacing w:before="156" w:line="239" w:lineRule="auto"/>
              <w:rPr>
                <w:sz w:val="21"/>
                <w:szCs w:val="21"/>
              </w:rPr>
            </w:pPr>
            <w:r>
              <w:rPr>
                <w:sz w:val="21"/>
                <w:szCs w:val="21"/>
                <w:spacing w:val="-2"/>
              </w:rPr>
              <w:t>0.0183</w:t>
            </w:r>
          </w:p>
        </w:tc>
        <w:tc>
          <w:tcPr>
            <w:tcW w:w="849" w:type="dxa"/>
            <w:vAlign w:val="top"/>
          </w:tcPr>
          <w:p>
            <w:pPr>
              <w:pStyle w:val="TableText"/>
              <w:ind w:left="102"/>
              <w:spacing w:before="156" w:line="239" w:lineRule="auto"/>
              <w:rPr>
                <w:sz w:val="21"/>
                <w:szCs w:val="21"/>
              </w:rPr>
            </w:pPr>
            <w:r>
              <w:rPr>
                <w:sz w:val="21"/>
                <w:szCs w:val="21"/>
                <w:spacing w:val="-2"/>
              </w:rPr>
              <w:t>0.0068</w:t>
            </w:r>
          </w:p>
        </w:tc>
        <w:tc>
          <w:tcPr>
            <w:tcW w:w="869" w:type="dxa"/>
            <w:vAlign w:val="top"/>
          </w:tcPr>
          <w:p>
            <w:pPr>
              <w:pStyle w:val="TableText"/>
              <w:ind w:left="213"/>
              <w:spacing w:before="156" w:line="239" w:lineRule="auto"/>
              <w:rPr>
                <w:sz w:val="21"/>
                <w:szCs w:val="21"/>
              </w:rPr>
            </w:pPr>
            <w:r>
              <w:rPr>
                <w:sz w:val="21"/>
                <w:szCs w:val="21"/>
                <w:spacing w:val="-2"/>
              </w:rPr>
              <w:t>0.10</w:t>
            </w:r>
          </w:p>
        </w:tc>
        <w:tc>
          <w:tcPr>
            <w:tcW w:w="4597" w:type="dxa"/>
            <w:vAlign w:val="top"/>
            <w:vMerge w:val="continue"/>
            <w:tcBorders>
              <w:top w:val="nil"/>
            </w:tcBorders>
          </w:tcPr>
          <w:p>
            <w:pPr>
              <w:rPr>
                <w:rFonts w:ascii="Arial"/>
                <w:sz w:val="21"/>
              </w:rPr>
            </w:pPr>
            <w:r/>
          </w:p>
        </w:tc>
        <w:tc>
          <w:tcPr>
            <w:tcW w:w="450" w:type="dxa"/>
            <w:vAlign w:val="top"/>
          </w:tcPr>
          <w:p>
            <w:pPr>
              <w:pStyle w:val="TableText"/>
              <w:ind w:left="57"/>
              <w:spacing w:before="156"/>
              <w:rPr>
                <w:sz w:val="21"/>
                <w:szCs w:val="21"/>
              </w:rPr>
            </w:pPr>
            <w:r>
              <w:rPr>
                <w:sz w:val="21"/>
                <w:szCs w:val="21"/>
                <w:spacing w:val="-3"/>
              </w:rPr>
              <w:t>95%</w:t>
            </w:r>
          </w:p>
        </w:tc>
        <w:tc>
          <w:tcPr>
            <w:tcW w:w="420" w:type="dxa"/>
            <w:vAlign w:val="top"/>
          </w:tcPr>
          <w:p>
            <w:pPr>
              <w:pStyle w:val="TableText"/>
              <w:ind w:left="47"/>
              <w:spacing w:before="156"/>
              <w:rPr>
                <w:sz w:val="21"/>
                <w:szCs w:val="21"/>
              </w:rPr>
            </w:pPr>
            <w:r>
              <w:rPr>
                <w:sz w:val="21"/>
                <w:szCs w:val="21"/>
                <w:spacing w:val="-3"/>
              </w:rPr>
              <w:t>95%</w:t>
            </w:r>
          </w:p>
        </w:tc>
        <w:tc>
          <w:tcPr>
            <w:tcW w:w="670" w:type="dxa"/>
            <w:vAlign w:val="top"/>
          </w:tcPr>
          <w:p>
            <w:pPr>
              <w:pStyle w:val="TableText"/>
              <w:ind w:left="27"/>
              <w:spacing w:before="156" w:line="239" w:lineRule="auto"/>
              <w:rPr>
                <w:sz w:val="21"/>
                <w:szCs w:val="21"/>
              </w:rPr>
            </w:pPr>
            <w:r>
              <w:rPr>
                <w:sz w:val="21"/>
                <w:szCs w:val="21"/>
                <w:spacing w:val="-2"/>
              </w:rPr>
              <w:t>0.0009</w:t>
            </w:r>
          </w:p>
        </w:tc>
        <w:tc>
          <w:tcPr>
            <w:tcW w:w="839" w:type="dxa"/>
            <w:vAlign w:val="top"/>
          </w:tcPr>
          <w:p>
            <w:pPr>
              <w:pStyle w:val="TableText"/>
              <w:ind w:left="97"/>
              <w:spacing w:before="156" w:line="239" w:lineRule="auto"/>
              <w:rPr>
                <w:sz w:val="21"/>
                <w:szCs w:val="21"/>
              </w:rPr>
            </w:pPr>
            <w:r>
              <w:rPr>
                <w:sz w:val="21"/>
                <w:szCs w:val="21"/>
                <w:spacing w:val="-2"/>
              </w:rPr>
              <w:t>0.0003</w:t>
            </w:r>
          </w:p>
        </w:tc>
        <w:tc>
          <w:tcPr>
            <w:tcW w:w="849" w:type="dxa"/>
            <w:vAlign w:val="top"/>
          </w:tcPr>
          <w:p>
            <w:pPr>
              <w:pStyle w:val="TableText"/>
              <w:ind w:left="158"/>
              <w:spacing w:before="156" w:line="239" w:lineRule="auto"/>
              <w:rPr>
                <w:sz w:val="21"/>
                <w:szCs w:val="21"/>
              </w:rPr>
            </w:pPr>
            <w:r>
              <w:rPr>
                <w:sz w:val="21"/>
                <w:szCs w:val="21"/>
                <w:spacing w:val="-2"/>
              </w:rPr>
              <w:t>0.005</w:t>
            </w:r>
          </w:p>
        </w:tc>
        <w:tc>
          <w:tcPr>
            <w:tcW w:w="450" w:type="dxa"/>
            <w:vAlign w:val="top"/>
            <w:vMerge w:val="continue"/>
            <w:tcBorders>
              <w:top w:val="nil"/>
              <w:bottom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236" w:hRule="atLeast"/>
        </w:trPr>
        <w:tc>
          <w:tcPr>
            <w:tcW w:w="215" w:type="dxa"/>
            <w:vAlign w:val="top"/>
            <w:tcBorders>
              <w:bottom w:val="nil"/>
              <w:top w:val="nil"/>
            </w:tcBorders>
          </w:tcPr>
          <w:p>
            <w:pPr>
              <w:spacing w:line="226" w:lineRule="exact"/>
              <w:rPr>
                <w:rFonts w:ascii="Arial"/>
                <w:sz w:val="19"/>
              </w:rPr>
            </w:pPr>
            <w:r/>
          </w:p>
        </w:tc>
        <w:tc>
          <w:tcPr>
            <w:tcW w:w="510" w:type="dxa"/>
            <w:vAlign w:val="top"/>
            <w:vMerge w:val="continue"/>
            <w:tcBorders>
              <w:top w:val="nil"/>
              <w:bottom w:val="nil"/>
            </w:tcBorders>
          </w:tcPr>
          <w:p>
            <w:pPr>
              <w:rPr>
                <w:rFonts w:ascii="Arial"/>
                <w:sz w:val="21"/>
              </w:rPr>
            </w:pPr>
            <w:r/>
          </w:p>
        </w:tc>
        <w:tc>
          <w:tcPr>
            <w:tcW w:w="210" w:type="dxa"/>
            <w:vAlign w:val="top"/>
            <w:vMerge w:val="continue"/>
            <w:textDirection w:val="tbRlV"/>
            <w:tcBorders>
              <w:top w:val="nil"/>
              <w:bottom w:val="nil"/>
            </w:tcBorders>
          </w:tcPr>
          <w:p>
            <w:pPr>
              <w:spacing w:line="200" w:lineRule="exact"/>
              <w:rPr>
                <w:rFonts w:ascii="Arial"/>
                <w:sz w:val="16"/>
              </w:rPr>
            </w:pPr>
            <w:r/>
          </w:p>
        </w:tc>
        <w:tc>
          <w:tcPr>
            <w:tcW w:w="659" w:type="dxa"/>
            <w:vAlign w:val="top"/>
            <w:vMerge w:val="restart"/>
            <w:tcBorders>
              <w:bottom w:val="nil"/>
            </w:tcBorders>
          </w:tcPr>
          <w:p>
            <w:pPr>
              <w:pStyle w:val="TableText"/>
              <w:spacing w:before="179" w:line="220" w:lineRule="auto"/>
              <w:rPr>
                <w:sz w:val="21"/>
                <w:szCs w:val="21"/>
              </w:rPr>
            </w:pPr>
            <w:r>
              <w:rPr>
                <w:sz w:val="21"/>
                <w:szCs w:val="21"/>
                <w:spacing w:val="3"/>
              </w:rPr>
              <w:t>无组织</w:t>
            </w:r>
          </w:p>
        </w:tc>
        <w:tc>
          <w:tcPr>
            <w:tcW w:w="660" w:type="dxa"/>
            <w:vAlign w:val="top"/>
          </w:tcPr>
          <w:p>
            <w:pPr>
              <w:pStyle w:val="TableText"/>
              <w:ind w:left="110"/>
              <w:spacing w:before="62" w:line="164" w:lineRule="exact"/>
              <w:rPr>
                <w:rFonts w:ascii="Calibri" w:hAnsi="Calibri" w:eastAsia="Calibri" w:cs="Calibri"/>
                <w:sz w:val="21"/>
                <w:szCs w:val="21"/>
              </w:rPr>
            </w:pPr>
            <w:r>
              <w:rPr>
                <w:sz w:val="21"/>
                <w:szCs w:val="21"/>
                <w:spacing w:val="-1"/>
                <w:position w:val="-1"/>
              </w:rPr>
              <w:t>NH</w:t>
            </w:r>
            <w:r>
              <w:rPr>
                <w:rFonts w:ascii="Calibri" w:hAnsi="Calibri" w:eastAsia="Calibri" w:cs="Calibri"/>
                <w:sz w:val="21"/>
                <w:szCs w:val="21"/>
                <w:spacing w:val="-1"/>
                <w:position w:val="-1"/>
              </w:rPr>
              <w:t>₃</w:t>
            </w:r>
          </w:p>
        </w:tc>
        <w:tc>
          <w:tcPr>
            <w:tcW w:w="509" w:type="dxa"/>
            <w:vAlign w:val="top"/>
            <w:vMerge w:val="continue"/>
            <w:tcBorders>
              <w:top w:val="nil"/>
              <w:bottom w:val="nil"/>
            </w:tcBorders>
          </w:tcPr>
          <w:p>
            <w:pPr>
              <w:rPr>
                <w:rFonts w:ascii="Arial"/>
                <w:sz w:val="21"/>
              </w:rPr>
            </w:pPr>
            <w:r/>
          </w:p>
        </w:tc>
        <w:tc>
          <w:tcPr>
            <w:tcW w:w="659" w:type="dxa"/>
            <w:vAlign w:val="top"/>
          </w:tcPr>
          <w:p>
            <w:pPr>
              <w:pStyle w:val="TableText"/>
              <w:ind w:left="1"/>
              <w:spacing w:before="49" w:line="177" w:lineRule="exact"/>
              <w:rPr>
                <w:sz w:val="21"/>
                <w:szCs w:val="21"/>
              </w:rPr>
            </w:pPr>
            <w:r>
              <w:rPr>
                <w:sz w:val="21"/>
                <w:szCs w:val="21"/>
                <w:spacing w:val="-2"/>
                <w:position w:val="-2"/>
              </w:rPr>
              <w:t>0.0143</w:t>
            </w:r>
          </w:p>
        </w:tc>
        <w:tc>
          <w:tcPr>
            <w:tcW w:w="849" w:type="dxa"/>
            <w:vAlign w:val="top"/>
          </w:tcPr>
          <w:p>
            <w:pPr>
              <w:pStyle w:val="TableText"/>
              <w:ind w:left="102"/>
              <w:spacing w:before="49" w:line="177" w:lineRule="exact"/>
              <w:rPr>
                <w:sz w:val="21"/>
                <w:szCs w:val="21"/>
              </w:rPr>
            </w:pPr>
            <w:r>
              <w:rPr>
                <w:sz w:val="21"/>
                <w:szCs w:val="21"/>
                <w:spacing w:val="-2"/>
                <w:position w:val="-2"/>
              </w:rPr>
              <w:t>0.0054</w:t>
            </w:r>
          </w:p>
        </w:tc>
        <w:tc>
          <w:tcPr>
            <w:tcW w:w="869" w:type="dxa"/>
            <w:vAlign w:val="top"/>
          </w:tcPr>
          <w:p>
            <w:pPr>
              <w:pStyle w:val="TableText"/>
              <w:ind w:left="373"/>
              <w:spacing w:before="34" w:line="168" w:lineRule="auto"/>
              <w:rPr>
                <w:sz w:val="21"/>
                <w:szCs w:val="21"/>
              </w:rPr>
            </w:pPr>
            <w:r>
              <w:rPr>
                <w:sz w:val="21"/>
                <w:szCs w:val="21"/>
                <w:color w:val="202040"/>
              </w:rPr>
              <w:t>/</w:t>
            </w:r>
          </w:p>
        </w:tc>
        <w:tc>
          <w:tcPr>
            <w:tcW w:w="4597" w:type="dxa"/>
            <w:vAlign w:val="top"/>
            <w:vMerge w:val="restart"/>
            <w:tcBorders>
              <w:bottom w:val="nil"/>
            </w:tcBorders>
          </w:tcPr>
          <w:p>
            <w:pPr>
              <w:pStyle w:val="TableText"/>
              <w:ind w:left="14" w:right="156"/>
              <w:spacing w:before="67" w:line="207" w:lineRule="auto"/>
              <w:rPr>
                <w:sz w:val="21"/>
                <w:szCs w:val="21"/>
              </w:rPr>
            </w:pPr>
            <w:r>
              <w:rPr>
                <w:sz w:val="21"/>
                <w:szCs w:val="21"/>
              </w:rPr>
              <w:t>设置两道门密闭厂房，定期喷洒微生物除臭剂，</w:t>
            </w:r>
            <w:r>
              <w:rPr>
                <w:sz w:val="21"/>
                <w:szCs w:val="21"/>
                <w:spacing w:val="4"/>
              </w:rPr>
              <w:t xml:space="preserve"> </w:t>
            </w:r>
            <w:r>
              <w:rPr>
                <w:sz w:val="21"/>
                <w:szCs w:val="21"/>
              </w:rPr>
              <w:t>采用干清粪工艺，干粪日产日清，无组织排放。</w:t>
            </w:r>
          </w:p>
        </w:tc>
        <w:tc>
          <w:tcPr>
            <w:tcW w:w="870" w:type="dxa"/>
            <w:vAlign w:val="top"/>
            <w:gridSpan w:val="2"/>
          </w:tcPr>
          <w:p>
            <w:pPr>
              <w:pStyle w:val="TableText"/>
              <w:ind w:left="267"/>
              <w:spacing w:before="49" w:line="177" w:lineRule="exact"/>
              <w:rPr>
                <w:sz w:val="21"/>
                <w:szCs w:val="21"/>
              </w:rPr>
            </w:pPr>
            <w:r>
              <w:rPr>
                <w:sz w:val="21"/>
                <w:szCs w:val="21"/>
                <w:color w:val="303040"/>
                <w:spacing w:val="-3"/>
                <w:position w:val="-2"/>
              </w:rPr>
              <w:t>50%</w:t>
            </w:r>
          </w:p>
        </w:tc>
        <w:tc>
          <w:tcPr>
            <w:tcW w:w="670" w:type="dxa"/>
            <w:vAlign w:val="top"/>
          </w:tcPr>
          <w:p>
            <w:pPr>
              <w:pStyle w:val="TableText"/>
              <w:ind w:left="27"/>
              <w:spacing w:before="49" w:line="177" w:lineRule="exact"/>
              <w:rPr>
                <w:sz w:val="21"/>
                <w:szCs w:val="21"/>
              </w:rPr>
            </w:pPr>
            <w:r>
              <w:rPr>
                <w:sz w:val="21"/>
                <w:szCs w:val="21"/>
                <w:spacing w:val="-2"/>
                <w:position w:val="-2"/>
              </w:rPr>
              <w:t>0.0072</w:t>
            </w:r>
          </w:p>
        </w:tc>
        <w:tc>
          <w:tcPr>
            <w:tcW w:w="839" w:type="dxa"/>
            <w:vAlign w:val="top"/>
          </w:tcPr>
          <w:p>
            <w:pPr>
              <w:pStyle w:val="TableText"/>
              <w:ind w:left="97"/>
              <w:spacing w:before="49" w:line="177" w:lineRule="exact"/>
              <w:rPr>
                <w:sz w:val="21"/>
                <w:szCs w:val="21"/>
              </w:rPr>
            </w:pPr>
            <w:r>
              <w:rPr>
                <w:sz w:val="21"/>
                <w:szCs w:val="21"/>
                <w:spacing w:val="-2"/>
                <w:position w:val="-2"/>
              </w:rPr>
              <w:t>0.0026</w:t>
            </w:r>
          </w:p>
        </w:tc>
        <w:tc>
          <w:tcPr>
            <w:tcW w:w="849" w:type="dxa"/>
            <w:vAlign w:val="top"/>
          </w:tcPr>
          <w:p>
            <w:pPr>
              <w:pStyle w:val="TableText"/>
              <w:ind w:left="368"/>
              <w:spacing w:before="34" w:line="168" w:lineRule="auto"/>
              <w:rPr>
                <w:sz w:val="21"/>
                <w:szCs w:val="21"/>
              </w:rPr>
            </w:pPr>
            <w:r>
              <w:rPr>
                <w:sz w:val="21"/>
                <w:szCs w:val="21"/>
              </w:rPr>
              <w:t>/</w:t>
            </w:r>
          </w:p>
        </w:tc>
        <w:tc>
          <w:tcPr>
            <w:tcW w:w="450" w:type="dxa"/>
            <w:vAlign w:val="top"/>
            <w:vMerge w:val="continue"/>
            <w:tcBorders>
              <w:top w:val="nil"/>
              <w:bottom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302" w:hRule="atLeast"/>
        </w:trPr>
        <w:tc>
          <w:tcPr>
            <w:tcW w:w="215" w:type="dxa"/>
            <w:vAlign w:val="top"/>
            <w:tcBorders>
              <w:bottom w:val="nil"/>
              <w:top w:val="nil"/>
            </w:tcBorders>
          </w:tcPr>
          <w:p>
            <w:pPr>
              <w:rPr>
                <w:rFonts w:ascii="Arial"/>
                <w:sz w:val="21"/>
              </w:rPr>
            </w:pPr>
            <w:r/>
          </w:p>
        </w:tc>
        <w:tc>
          <w:tcPr>
            <w:tcW w:w="510" w:type="dxa"/>
            <w:vAlign w:val="top"/>
            <w:vMerge w:val="continue"/>
            <w:tcBorders>
              <w:top w:val="nil"/>
              <w:bottom w:val="nil"/>
            </w:tcBorders>
          </w:tcPr>
          <w:p>
            <w:pPr>
              <w:rPr>
                <w:rFonts w:ascii="Arial"/>
                <w:sz w:val="21"/>
              </w:rPr>
            </w:pPr>
            <w:r/>
          </w:p>
        </w:tc>
        <w:tc>
          <w:tcPr>
            <w:tcW w:w="210" w:type="dxa"/>
            <w:vAlign w:val="top"/>
            <w:vMerge w:val="continue"/>
            <w:textDirection w:val="tbRlV"/>
            <w:tcBorders>
              <w:top w:val="nil"/>
            </w:tcBorders>
          </w:tcPr>
          <w:p>
            <w:pPr>
              <w:spacing w:line="200" w:lineRule="exact"/>
              <w:rPr>
                <w:rFonts w:ascii="Arial"/>
                <w:sz w:val="16"/>
              </w:rPr>
            </w:pPr>
            <w:r/>
          </w:p>
        </w:tc>
        <w:tc>
          <w:tcPr>
            <w:tcW w:w="659" w:type="dxa"/>
            <w:vAlign w:val="top"/>
            <w:vMerge w:val="continue"/>
            <w:tcBorders>
              <w:top w:val="nil"/>
            </w:tcBorders>
          </w:tcPr>
          <w:p>
            <w:pPr>
              <w:rPr>
                <w:rFonts w:ascii="Arial"/>
                <w:sz w:val="21"/>
              </w:rPr>
            </w:pPr>
            <w:r/>
          </w:p>
        </w:tc>
        <w:tc>
          <w:tcPr>
            <w:tcW w:w="660" w:type="dxa"/>
            <w:vAlign w:val="top"/>
          </w:tcPr>
          <w:p>
            <w:pPr>
              <w:pStyle w:val="TableText"/>
              <w:ind w:left="110"/>
              <w:spacing w:before="96" w:line="172"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509" w:type="dxa"/>
            <w:vAlign w:val="top"/>
            <w:vMerge w:val="continue"/>
            <w:tcBorders>
              <w:top w:val="nil"/>
            </w:tcBorders>
          </w:tcPr>
          <w:p>
            <w:pPr>
              <w:rPr>
                <w:rFonts w:ascii="Arial"/>
                <w:sz w:val="21"/>
              </w:rPr>
            </w:pPr>
            <w:r/>
          </w:p>
        </w:tc>
        <w:tc>
          <w:tcPr>
            <w:tcW w:w="659" w:type="dxa"/>
            <w:vAlign w:val="top"/>
          </w:tcPr>
          <w:p>
            <w:pPr>
              <w:pStyle w:val="TableText"/>
              <w:ind w:left="51"/>
              <w:spacing w:before="83" w:line="183" w:lineRule="auto"/>
              <w:rPr>
                <w:sz w:val="21"/>
                <w:szCs w:val="21"/>
              </w:rPr>
            </w:pPr>
            <w:r>
              <w:rPr>
                <w:sz w:val="21"/>
                <w:szCs w:val="21"/>
                <w:spacing w:val="-2"/>
              </w:rPr>
              <w:t>0.001</w:t>
            </w:r>
          </w:p>
        </w:tc>
        <w:tc>
          <w:tcPr>
            <w:tcW w:w="849" w:type="dxa"/>
            <w:vAlign w:val="top"/>
          </w:tcPr>
          <w:p>
            <w:pPr>
              <w:pStyle w:val="TableText"/>
              <w:ind w:left="102"/>
              <w:spacing w:before="83" w:line="183" w:lineRule="auto"/>
              <w:rPr>
                <w:sz w:val="21"/>
                <w:szCs w:val="21"/>
              </w:rPr>
            </w:pPr>
            <w:r>
              <w:rPr>
                <w:sz w:val="21"/>
                <w:szCs w:val="21"/>
                <w:spacing w:val="-2"/>
              </w:rPr>
              <w:t>0.0004</w:t>
            </w:r>
          </w:p>
        </w:tc>
        <w:tc>
          <w:tcPr>
            <w:tcW w:w="869" w:type="dxa"/>
            <w:vAlign w:val="top"/>
          </w:tcPr>
          <w:p>
            <w:pPr>
              <w:pStyle w:val="TableText"/>
              <w:ind w:left="373"/>
              <w:spacing w:before="67" w:line="197" w:lineRule="auto"/>
              <w:rPr>
                <w:sz w:val="21"/>
                <w:szCs w:val="21"/>
              </w:rPr>
            </w:pPr>
            <w:r>
              <w:rPr>
                <w:sz w:val="21"/>
                <w:szCs w:val="21"/>
                <w:color w:val="404050"/>
              </w:rPr>
              <w:t>/</w:t>
            </w:r>
          </w:p>
        </w:tc>
        <w:tc>
          <w:tcPr>
            <w:tcW w:w="4597" w:type="dxa"/>
            <w:vAlign w:val="top"/>
            <w:vMerge w:val="continue"/>
            <w:tcBorders>
              <w:top w:val="nil"/>
            </w:tcBorders>
          </w:tcPr>
          <w:p>
            <w:pPr>
              <w:rPr>
                <w:rFonts w:ascii="Arial"/>
                <w:sz w:val="21"/>
              </w:rPr>
            </w:pPr>
            <w:r/>
          </w:p>
        </w:tc>
        <w:tc>
          <w:tcPr>
            <w:tcW w:w="870" w:type="dxa"/>
            <w:vAlign w:val="top"/>
            <w:gridSpan w:val="2"/>
          </w:tcPr>
          <w:p>
            <w:pPr>
              <w:pStyle w:val="TableText"/>
              <w:ind w:left="267"/>
              <w:spacing w:before="83" w:line="183" w:lineRule="auto"/>
              <w:rPr>
                <w:sz w:val="21"/>
                <w:szCs w:val="21"/>
              </w:rPr>
            </w:pPr>
            <w:r>
              <w:rPr>
                <w:sz w:val="21"/>
                <w:szCs w:val="21"/>
                <w:spacing w:val="-3"/>
              </w:rPr>
              <w:t>50%</w:t>
            </w:r>
          </w:p>
        </w:tc>
        <w:tc>
          <w:tcPr>
            <w:tcW w:w="670" w:type="dxa"/>
            <w:vAlign w:val="top"/>
          </w:tcPr>
          <w:p>
            <w:pPr>
              <w:pStyle w:val="TableText"/>
              <w:ind w:left="27"/>
              <w:spacing w:before="83" w:line="183" w:lineRule="auto"/>
              <w:rPr>
                <w:sz w:val="21"/>
                <w:szCs w:val="21"/>
              </w:rPr>
            </w:pPr>
            <w:r>
              <w:rPr>
                <w:sz w:val="21"/>
                <w:szCs w:val="21"/>
                <w:spacing w:val="-2"/>
              </w:rPr>
              <w:t>0.0005</w:t>
            </w:r>
          </w:p>
        </w:tc>
        <w:tc>
          <w:tcPr>
            <w:tcW w:w="839" w:type="dxa"/>
            <w:vAlign w:val="top"/>
          </w:tcPr>
          <w:p>
            <w:pPr>
              <w:pStyle w:val="TableText"/>
              <w:ind w:left="97"/>
              <w:spacing w:before="83" w:line="183" w:lineRule="auto"/>
              <w:rPr>
                <w:sz w:val="21"/>
                <w:szCs w:val="21"/>
              </w:rPr>
            </w:pPr>
            <w:r>
              <w:rPr>
                <w:sz w:val="21"/>
                <w:szCs w:val="21"/>
                <w:spacing w:val="-2"/>
              </w:rPr>
              <w:t>0.0002</w:t>
            </w:r>
          </w:p>
        </w:tc>
        <w:tc>
          <w:tcPr>
            <w:tcW w:w="849" w:type="dxa"/>
            <w:vAlign w:val="top"/>
          </w:tcPr>
          <w:p>
            <w:pPr>
              <w:pStyle w:val="TableText"/>
              <w:ind w:left="368"/>
              <w:spacing w:before="67" w:line="197" w:lineRule="auto"/>
              <w:rPr>
                <w:sz w:val="21"/>
                <w:szCs w:val="21"/>
              </w:rPr>
            </w:pPr>
            <w:r>
              <w:rPr>
                <w:sz w:val="21"/>
                <w:szCs w:val="21"/>
              </w:rPr>
              <w:t>/</w:t>
            </w:r>
          </w:p>
        </w:tc>
        <w:tc>
          <w:tcPr>
            <w:tcW w:w="450" w:type="dxa"/>
            <w:vAlign w:val="top"/>
            <w:vMerge w:val="continue"/>
            <w:tcBorders>
              <w:top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354" w:hRule="atLeast"/>
        </w:trPr>
        <w:tc>
          <w:tcPr>
            <w:tcW w:w="215" w:type="dxa"/>
            <w:vAlign w:val="top"/>
            <w:tcBorders>
              <w:bottom w:val="nil"/>
              <w:top w:val="nil"/>
            </w:tcBorders>
          </w:tcPr>
          <w:p>
            <w:pPr>
              <w:rPr>
                <w:rFonts w:ascii="Arial"/>
                <w:sz w:val="21"/>
              </w:rPr>
            </w:pPr>
            <w:r/>
          </w:p>
        </w:tc>
        <w:tc>
          <w:tcPr>
            <w:tcW w:w="510" w:type="dxa"/>
            <w:vAlign w:val="top"/>
            <w:vMerge w:val="continue"/>
            <w:tcBorders>
              <w:top w:val="nil"/>
              <w:bottom w:val="nil"/>
            </w:tcBorders>
          </w:tcPr>
          <w:p>
            <w:pPr>
              <w:rPr>
                <w:rFonts w:ascii="Arial"/>
                <w:sz w:val="21"/>
              </w:rPr>
            </w:pPr>
            <w:r/>
          </w:p>
        </w:tc>
        <w:tc>
          <w:tcPr>
            <w:tcW w:w="210" w:type="dxa"/>
            <w:vAlign w:val="top"/>
            <w:vMerge w:val="restart"/>
            <w:textDirection w:val="tbRlV"/>
            <w:tcBorders>
              <w:bottom w:val="nil"/>
            </w:tcBorders>
          </w:tcPr>
          <w:p>
            <w:pPr>
              <w:pStyle w:val="TableText"/>
              <w:ind w:left="53"/>
              <w:spacing w:before="7" w:line="200" w:lineRule="auto"/>
              <w:rPr>
                <w:sz w:val="19"/>
                <w:szCs w:val="19"/>
              </w:rPr>
            </w:pPr>
            <w:r>
              <w:rPr>
                <w:sz w:val="19"/>
                <w:szCs w:val="19"/>
                <w:spacing w:val="10"/>
              </w:rPr>
              <w:t>旺季</w:t>
            </w:r>
          </w:p>
        </w:tc>
        <w:tc>
          <w:tcPr>
            <w:tcW w:w="659" w:type="dxa"/>
            <w:vAlign w:val="top"/>
            <w:vMerge w:val="restart"/>
            <w:tcBorders>
              <w:bottom w:val="nil"/>
            </w:tcBorders>
          </w:tcPr>
          <w:p>
            <w:pPr>
              <w:pStyle w:val="TableText"/>
              <w:spacing w:before="241" w:line="220" w:lineRule="auto"/>
              <w:rPr>
                <w:sz w:val="21"/>
                <w:szCs w:val="21"/>
              </w:rPr>
            </w:pPr>
            <w:r>
              <w:rPr>
                <w:sz w:val="21"/>
                <w:szCs w:val="21"/>
                <w:spacing w:val="3"/>
              </w:rPr>
              <w:t>有组织</w:t>
            </w:r>
          </w:p>
        </w:tc>
        <w:tc>
          <w:tcPr>
            <w:tcW w:w="660" w:type="dxa"/>
            <w:vAlign w:val="top"/>
          </w:tcPr>
          <w:p>
            <w:pPr>
              <w:pStyle w:val="TableText"/>
              <w:ind w:left="110"/>
              <w:spacing w:before="123" w:line="182"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509" w:type="dxa"/>
            <w:vAlign w:val="top"/>
            <w:vMerge w:val="restart"/>
            <w:tcBorders>
              <w:bottom w:val="nil"/>
            </w:tcBorders>
          </w:tcPr>
          <w:p>
            <w:pPr>
              <w:pStyle w:val="TableText"/>
              <w:ind w:left="139" w:right="35" w:hanging="109"/>
              <w:spacing w:before="99" w:line="245" w:lineRule="auto"/>
              <w:rPr>
                <w:sz w:val="21"/>
                <w:szCs w:val="21"/>
              </w:rPr>
            </w:pPr>
            <w:r>
              <w:rPr>
                <w:sz w:val="21"/>
                <w:szCs w:val="21"/>
                <w:spacing w:val="6"/>
              </w:rPr>
              <w:t>类比</w:t>
            </w:r>
            <w:r>
              <w:rPr>
                <w:sz w:val="21"/>
                <w:szCs w:val="21"/>
              </w:rPr>
              <w:t xml:space="preserve"> </w:t>
            </w:r>
            <w:r>
              <w:rPr>
                <w:sz w:val="21"/>
                <w:szCs w:val="21"/>
              </w:rPr>
              <w:t>法</w:t>
            </w:r>
          </w:p>
        </w:tc>
        <w:tc>
          <w:tcPr>
            <w:tcW w:w="659" w:type="dxa"/>
            <w:vAlign w:val="top"/>
          </w:tcPr>
          <w:p>
            <w:pPr>
              <w:pStyle w:val="TableText"/>
              <w:ind w:left="1"/>
              <w:spacing w:before="111" w:line="204" w:lineRule="auto"/>
              <w:rPr>
                <w:sz w:val="21"/>
                <w:szCs w:val="21"/>
              </w:rPr>
            </w:pPr>
            <w:r>
              <w:rPr>
                <w:sz w:val="21"/>
                <w:szCs w:val="21"/>
                <w:spacing w:val="-2"/>
              </w:rPr>
              <w:t>0.0954</w:t>
            </w:r>
          </w:p>
        </w:tc>
        <w:tc>
          <w:tcPr>
            <w:tcW w:w="849" w:type="dxa"/>
            <w:vAlign w:val="top"/>
          </w:tcPr>
          <w:p>
            <w:pPr>
              <w:pStyle w:val="TableText"/>
              <w:ind w:left="152"/>
              <w:spacing w:before="111" w:line="204" w:lineRule="auto"/>
              <w:rPr>
                <w:sz w:val="21"/>
                <w:szCs w:val="21"/>
              </w:rPr>
            </w:pPr>
            <w:r>
              <w:rPr>
                <w:sz w:val="21"/>
                <w:szCs w:val="21"/>
                <w:spacing w:val="-2"/>
              </w:rPr>
              <w:t>0.106</w:t>
            </w:r>
          </w:p>
        </w:tc>
        <w:tc>
          <w:tcPr>
            <w:tcW w:w="869" w:type="dxa"/>
            <w:vAlign w:val="top"/>
          </w:tcPr>
          <w:p>
            <w:pPr>
              <w:pStyle w:val="TableText"/>
              <w:ind w:left="213"/>
              <w:spacing w:before="111" w:line="204" w:lineRule="auto"/>
              <w:rPr>
                <w:sz w:val="21"/>
                <w:szCs w:val="21"/>
              </w:rPr>
            </w:pPr>
            <w:r>
              <w:rPr>
                <w:sz w:val="21"/>
                <w:szCs w:val="21"/>
                <w:spacing w:val="-5"/>
              </w:rPr>
              <w:t>1.63</w:t>
            </w:r>
          </w:p>
        </w:tc>
        <w:tc>
          <w:tcPr>
            <w:tcW w:w="4597" w:type="dxa"/>
            <w:vAlign w:val="top"/>
            <w:vMerge w:val="restart"/>
            <w:tcBorders>
              <w:bottom w:val="nil"/>
            </w:tcBorders>
          </w:tcPr>
          <w:p>
            <w:pPr>
              <w:pStyle w:val="TableText"/>
              <w:ind w:left="14" w:right="362"/>
              <w:spacing w:before="108"/>
              <w:rPr>
                <w:sz w:val="21"/>
                <w:szCs w:val="21"/>
              </w:rPr>
            </w:pPr>
            <w:r>
              <w:rPr>
                <w:sz w:val="21"/>
                <w:szCs w:val="21"/>
                <w:spacing w:val="4"/>
              </w:rPr>
              <w:t>分别经负压收集(风量65000m³/h)+喷淋+</w:t>
            </w:r>
            <w:r>
              <w:rPr>
                <w:sz w:val="21"/>
                <w:szCs w:val="21"/>
              </w:rPr>
              <w:t>UV</w:t>
            </w:r>
            <w:r>
              <w:rPr>
                <w:sz w:val="21"/>
                <w:szCs w:val="21"/>
                <w:spacing w:val="4"/>
              </w:rPr>
              <w:t>光</w:t>
            </w:r>
            <w:r>
              <w:rPr>
                <w:sz w:val="21"/>
                <w:szCs w:val="21"/>
                <w:spacing w:val="13"/>
              </w:rPr>
              <w:t xml:space="preserve"> </w:t>
            </w:r>
            <w:r>
              <w:rPr>
                <w:sz w:val="21"/>
                <w:szCs w:val="21"/>
              </w:rPr>
              <w:t>解+活性炭吸附装置(TA003)+15m高排气筒</w:t>
            </w:r>
          </w:p>
        </w:tc>
        <w:tc>
          <w:tcPr>
            <w:tcW w:w="450" w:type="dxa"/>
            <w:vAlign w:val="top"/>
          </w:tcPr>
          <w:p>
            <w:pPr>
              <w:pStyle w:val="TableText"/>
              <w:ind w:left="57"/>
              <w:spacing w:before="111" w:line="204" w:lineRule="auto"/>
              <w:rPr>
                <w:sz w:val="21"/>
                <w:szCs w:val="21"/>
              </w:rPr>
            </w:pPr>
            <w:r>
              <w:rPr>
                <w:sz w:val="21"/>
                <w:szCs w:val="21"/>
                <w:spacing w:val="-3"/>
              </w:rPr>
              <w:t>95%</w:t>
            </w:r>
          </w:p>
        </w:tc>
        <w:tc>
          <w:tcPr>
            <w:tcW w:w="420" w:type="dxa"/>
            <w:vAlign w:val="top"/>
          </w:tcPr>
          <w:p>
            <w:pPr>
              <w:pStyle w:val="TableText"/>
              <w:ind w:left="47"/>
              <w:spacing w:before="111" w:line="204" w:lineRule="auto"/>
              <w:rPr>
                <w:sz w:val="21"/>
                <w:szCs w:val="21"/>
              </w:rPr>
            </w:pPr>
            <w:r>
              <w:rPr>
                <w:sz w:val="21"/>
                <w:szCs w:val="21"/>
                <w:spacing w:val="-3"/>
              </w:rPr>
              <w:t>95%</w:t>
            </w:r>
          </w:p>
        </w:tc>
        <w:tc>
          <w:tcPr>
            <w:tcW w:w="670" w:type="dxa"/>
            <w:vAlign w:val="top"/>
          </w:tcPr>
          <w:p>
            <w:pPr>
              <w:pStyle w:val="TableText"/>
              <w:ind w:left="27"/>
              <w:spacing w:before="111" w:line="204" w:lineRule="auto"/>
              <w:rPr>
                <w:sz w:val="21"/>
                <w:szCs w:val="21"/>
              </w:rPr>
            </w:pPr>
            <w:r>
              <w:rPr>
                <w:sz w:val="21"/>
                <w:szCs w:val="21"/>
                <w:spacing w:val="-2"/>
              </w:rPr>
              <w:t>0.0045</w:t>
            </w:r>
          </w:p>
        </w:tc>
        <w:tc>
          <w:tcPr>
            <w:tcW w:w="839" w:type="dxa"/>
            <w:vAlign w:val="top"/>
          </w:tcPr>
          <w:p>
            <w:pPr>
              <w:pStyle w:val="TableText"/>
              <w:ind w:left="147"/>
              <w:spacing w:before="111" w:line="204" w:lineRule="auto"/>
              <w:rPr>
                <w:sz w:val="21"/>
                <w:szCs w:val="21"/>
              </w:rPr>
            </w:pPr>
            <w:r>
              <w:rPr>
                <w:sz w:val="21"/>
                <w:szCs w:val="21"/>
                <w:spacing w:val="-2"/>
              </w:rPr>
              <w:t>0.005</w:t>
            </w:r>
          </w:p>
        </w:tc>
        <w:tc>
          <w:tcPr>
            <w:tcW w:w="849" w:type="dxa"/>
            <w:vAlign w:val="top"/>
          </w:tcPr>
          <w:p>
            <w:pPr>
              <w:pStyle w:val="TableText"/>
              <w:ind w:left="208"/>
              <w:spacing w:before="111" w:line="204" w:lineRule="auto"/>
              <w:rPr>
                <w:sz w:val="21"/>
                <w:szCs w:val="21"/>
              </w:rPr>
            </w:pPr>
            <w:r>
              <w:rPr>
                <w:sz w:val="21"/>
                <w:szCs w:val="21"/>
                <w:spacing w:val="-2"/>
              </w:rPr>
              <w:t>0.08</w:t>
            </w:r>
          </w:p>
        </w:tc>
        <w:tc>
          <w:tcPr>
            <w:tcW w:w="450" w:type="dxa"/>
            <w:vAlign w:val="top"/>
            <w:vMerge w:val="restart"/>
            <w:tcBorders>
              <w:bottom w:val="nil"/>
            </w:tcBorders>
          </w:tcPr>
          <w:p>
            <w:pPr>
              <w:pStyle w:val="TableText"/>
              <w:ind w:left="59"/>
              <w:spacing w:before="261"/>
              <w:rPr>
                <w:sz w:val="21"/>
                <w:szCs w:val="21"/>
              </w:rPr>
            </w:pPr>
            <w:r>
              <w:rPr>
                <w:sz w:val="21"/>
                <w:szCs w:val="21"/>
                <w:spacing w:val="-3"/>
              </w:rPr>
              <w:t>720</w:t>
            </w:r>
          </w:p>
        </w:tc>
        <w:tc>
          <w:tcPr>
            <w:tcW w:w="1664" w:type="dxa"/>
            <w:vAlign w:val="top"/>
            <w:vMerge w:val="continue"/>
            <w:tcBorders>
              <w:top w:val="nil"/>
              <w:bottom w:val="nil"/>
            </w:tcBorders>
          </w:tcPr>
          <w:p>
            <w:pPr>
              <w:rPr>
                <w:rFonts w:ascii="Arial"/>
                <w:sz w:val="21"/>
              </w:rPr>
            </w:pPr>
            <w:r/>
          </w:p>
        </w:tc>
      </w:tr>
      <w:tr>
        <w:trPr>
          <w:trHeight w:val="303" w:hRule="atLeast"/>
        </w:trPr>
        <w:tc>
          <w:tcPr>
            <w:tcW w:w="215" w:type="dxa"/>
            <w:vAlign w:val="top"/>
            <w:tcBorders>
              <w:top w:val="nil"/>
            </w:tcBorders>
          </w:tcPr>
          <w:p>
            <w:pPr>
              <w:rPr>
                <w:rFonts w:ascii="Arial"/>
                <w:sz w:val="21"/>
              </w:rPr>
            </w:pPr>
            <w:r/>
          </w:p>
        </w:tc>
        <w:tc>
          <w:tcPr>
            <w:tcW w:w="510" w:type="dxa"/>
            <w:vAlign w:val="top"/>
            <w:vMerge w:val="continue"/>
            <w:tcBorders>
              <w:top w:val="nil"/>
            </w:tcBorders>
          </w:tcPr>
          <w:p>
            <w:pPr>
              <w:rPr>
                <w:rFonts w:ascii="Arial"/>
                <w:sz w:val="21"/>
              </w:rPr>
            </w:pPr>
            <w:r/>
          </w:p>
        </w:tc>
        <w:tc>
          <w:tcPr>
            <w:tcW w:w="210" w:type="dxa"/>
            <w:vAlign w:val="top"/>
            <w:vMerge w:val="continue"/>
            <w:textDirection w:val="tbRlV"/>
            <w:tcBorders>
              <w:top w:val="nil"/>
            </w:tcBorders>
          </w:tcPr>
          <w:p>
            <w:pPr>
              <w:spacing w:line="200" w:lineRule="exact"/>
              <w:rPr>
                <w:rFonts w:ascii="Arial"/>
                <w:sz w:val="16"/>
              </w:rPr>
            </w:pPr>
            <w:r/>
          </w:p>
        </w:tc>
        <w:tc>
          <w:tcPr>
            <w:tcW w:w="659" w:type="dxa"/>
            <w:vAlign w:val="top"/>
            <w:vMerge w:val="continue"/>
            <w:tcBorders>
              <w:top w:val="nil"/>
            </w:tcBorders>
          </w:tcPr>
          <w:p>
            <w:pPr>
              <w:rPr>
                <w:rFonts w:ascii="Arial"/>
                <w:sz w:val="21"/>
              </w:rPr>
            </w:pPr>
            <w:r/>
          </w:p>
        </w:tc>
        <w:tc>
          <w:tcPr>
            <w:tcW w:w="660" w:type="dxa"/>
            <w:vAlign w:val="top"/>
          </w:tcPr>
          <w:p>
            <w:pPr>
              <w:pStyle w:val="TableText"/>
              <w:ind w:left="110"/>
              <w:spacing w:before="90" w:line="178"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509" w:type="dxa"/>
            <w:vAlign w:val="top"/>
            <w:vMerge w:val="continue"/>
            <w:tcBorders>
              <w:top w:val="nil"/>
            </w:tcBorders>
          </w:tcPr>
          <w:p>
            <w:pPr>
              <w:rPr>
                <w:rFonts w:ascii="Arial"/>
                <w:sz w:val="21"/>
              </w:rPr>
            </w:pPr>
            <w:r/>
          </w:p>
        </w:tc>
        <w:tc>
          <w:tcPr>
            <w:tcW w:w="659" w:type="dxa"/>
            <w:vAlign w:val="top"/>
          </w:tcPr>
          <w:p>
            <w:pPr>
              <w:pStyle w:val="TableText"/>
              <w:ind w:left="1"/>
              <w:spacing w:before="78" w:line="189" w:lineRule="auto"/>
              <w:rPr>
                <w:sz w:val="21"/>
                <w:szCs w:val="21"/>
              </w:rPr>
            </w:pPr>
            <w:r>
              <w:rPr>
                <w:sz w:val="21"/>
                <w:szCs w:val="21"/>
                <w:spacing w:val="-2"/>
              </w:rPr>
              <w:t>0.0061</w:t>
            </w:r>
          </w:p>
        </w:tc>
        <w:tc>
          <w:tcPr>
            <w:tcW w:w="849" w:type="dxa"/>
            <w:vAlign w:val="top"/>
          </w:tcPr>
          <w:p>
            <w:pPr>
              <w:pStyle w:val="TableText"/>
              <w:ind w:left="102"/>
              <w:spacing w:before="78" w:line="189" w:lineRule="auto"/>
              <w:rPr>
                <w:sz w:val="21"/>
                <w:szCs w:val="21"/>
              </w:rPr>
            </w:pPr>
            <w:r>
              <w:rPr>
                <w:sz w:val="21"/>
                <w:szCs w:val="21"/>
                <w:spacing w:val="-2"/>
              </w:rPr>
              <w:t>0.0068</w:t>
            </w:r>
          </w:p>
        </w:tc>
        <w:tc>
          <w:tcPr>
            <w:tcW w:w="869" w:type="dxa"/>
            <w:vAlign w:val="top"/>
          </w:tcPr>
          <w:p>
            <w:pPr>
              <w:pStyle w:val="TableText"/>
              <w:ind w:left="213"/>
              <w:spacing w:before="78" w:line="189" w:lineRule="auto"/>
              <w:rPr>
                <w:sz w:val="21"/>
                <w:szCs w:val="21"/>
              </w:rPr>
            </w:pPr>
            <w:r>
              <w:rPr>
                <w:sz w:val="21"/>
                <w:szCs w:val="21"/>
                <w:spacing w:val="-2"/>
              </w:rPr>
              <w:t>0.10</w:t>
            </w:r>
          </w:p>
        </w:tc>
        <w:tc>
          <w:tcPr>
            <w:tcW w:w="4597" w:type="dxa"/>
            <w:vAlign w:val="top"/>
            <w:vMerge w:val="continue"/>
            <w:tcBorders>
              <w:top w:val="nil"/>
            </w:tcBorders>
          </w:tcPr>
          <w:p>
            <w:pPr>
              <w:rPr>
                <w:rFonts w:ascii="Arial"/>
                <w:sz w:val="21"/>
              </w:rPr>
            </w:pPr>
            <w:r/>
          </w:p>
        </w:tc>
        <w:tc>
          <w:tcPr>
            <w:tcW w:w="450" w:type="dxa"/>
            <w:vAlign w:val="top"/>
          </w:tcPr>
          <w:p>
            <w:pPr>
              <w:pStyle w:val="TableText"/>
              <w:ind w:left="57"/>
              <w:spacing w:before="78" w:line="189" w:lineRule="auto"/>
              <w:rPr>
                <w:sz w:val="21"/>
                <w:szCs w:val="21"/>
              </w:rPr>
            </w:pPr>
            <w:r>
              <w:rPr>
                <w:sz w:val="21"/>
                <w:szCs w:val="21"/>
                <w:spacing w:val="-3"/>
              </w:rPr>
              <w:t>95%</w:t>
            </w:r>
          </w:p>
        </w:tc>
        <w:tc>
          <w:tcPr>
            <w:tcW w:w="420" w:type="dxa"/>
            <w:vAlign w:val="top"/>
          </w:tcPr>
          <w:p>
            <w:pPr>
              <w:pStyle w:val="TableText"/>
              <w:ind w:left="47"/>
              <w:spacing w:before="78" w:line="189" w:lineRule="auto"/>
              <w:rPr>
                <w:sz w:val="21"/>
                <w:szCs w:val="21"/>
              </w:rPr>
            </w:pPr>
            <w:r>
              <w:rPr>
                <w:sz w:val="21"/>
                <w:szCs w:val="21"/>
                <w:spacing w:val="-3"/>
              </w:rPr>
              <w:t>95%</w:t>
            </w:r>
          </w:p>
        </w:tc>
        <w:tc>
          <w:tcPr>
            <w:tcW w:w="670" w:type="dxa"/>
            <w:vAlign w:val="top"/>
          </w:tcPr>
          <w:p>
            <w:pPr>
              <w:pStyle w:val="TableText"/>
              <w:ind w:left="27"/>
              <w:spacing w:before="78" w:line="189" w:lineRule="auto"/>
              <w:rPr>
                <w:sz w:val="21"/>
                <w:szCs w:val="21"/>
              </w:rPr>
            </w:pPr>
            <w:r>
              <w:rPr>
                <w:sz w:val="21"/>
                <w:szCs w:val="21"/>
                <w:spacing w:val="-2"/>
              </w:rPr>
              <w:t>0.0003</w:t>
            </w:r>
          </w:p>
        </w:tc>
        <w:tc>
          <w:tcPr>
            <w:tcW w:w="839" w:type="dxa"/>
            <w:vAlign w:val="top"/>
          </w:tcPr>
          <w:p>
            <w:pPr>
              <w:pStyle w:val="TableText"/>
              <w:ind w:left="97"/>
              <w:spacing w:before="78" w:line="189" w:lineRule="auto"/>
              <w:rPr>
                <w:sz w:val="21"/>
                <w:szCs w:val="21"/>
              </w:rPr>
            </w:pPr>
            <w:r>
              <w:rPr>
                <w:sz w:val="21"/>
                <w:szCs w:val="21"/>
                <w:spacing w:val="-2"/>
              </w:rPr>
              <w:t>0.0003</w:t>
            </w:r>
          </w:p>
        </w:tc>
        <w:tc>
          <w:tcPr>
            <w:tcW w:w="849" w:type="dxa"/>
            <w:vAlign w:val="top"/>
          </w:tcPr>
          <w:p>
            <w:pPr>
              <w:pStyle w:val="TableText"/>
              <w:ind w:left="158"/>
              <w:spacing w:before="78" w:line="189" w:lineRule="auto"/>
              <w:rPr>
                <w:sz w:val="21"/>
                <w:szCs w:val="21"/>
              </w:rPr>
            </w:pPr>
            <w:r>
              <w:rPr>
                <w:sz w:val="21"/>
                <w:szCs w:val="21"/>
                <w:spacing w:val="-2"/>
              </w:rPr>
              <w:t>0.005</w:t>
            </w:r>
          </w:p>
        </w:tc>
        <w:tc>
          <w:tcPr>
            <w:tcW w:w="450" w:type="dxa"/>
            <w:vAlign w:val="top"/>
            <w:vMerge w:val="continue"/>
            <w:tcBorders>
              <w:top w:val="nil"/>
            </w:tcBorders>
          </w:tcPr>
          <w:p>
            <w:pPr>
              <w:rPr>
                <w:rFonts w:ascii="Arial"/>
                <w:sz w:val="21"/>
              </w:rPr>
            </w:pPr>
            <w:r/>
          </w:p>
        </w:tc>
        <w:tc>
          <w:tcPr>
            <w:tcW w:w="1664" w:type="dxa"/>
            <w:vAlign w:val="top"/>
            <w:vMerge w:val="continue"/>
            <w:tcBorders>
              <w:top w:val="nil"/>
            </w:tcBorders>
          </w:tcPr>
          <w:p>
            <w:pPr>
              <w:rPr>
                <w:rFonts w:ascii="Arial"/>
                <w:sz w:val="21"/>
              </w:rPr>
            </w:pPr>
            <w:r/>
          </w:p>
        </w:tc>
      </w:tr>
    </w:tbl>
    <w:p>
      <w:pPr>
        <w:pStyle w:val="BodyText"/>
        <w:rPr/>
      </w:pPr>
      <w:r/>
    </w:p>
    <w:p>
      <w:pPr>
        <w:sectPr>
          <w:headerReference w:type="default" r:id="rId335"/>
          <w:footerReference w:type="default" r:id="rId336"/>
          <w:pgSz w:w="16840" w:h="11910"/>
          <w:pgMar w:top="1177" w:right="905" w:bottom="952" w:left="845" w:header="885" w:footer="781" w:gutter="0"/>
        </w:sectPr>
        <w:rPr/>
      </w:pPr>
    </w:p>
    <w:p>
      <w:pPr>
        <w:spacing w:before="26"/>
        <w:rPr/>
      </w:pPr>
      <w:r/>
    </w:p>
    <w:tbl>
      <w:tblPr>
        <w:tblStyle w:val="TableNormal"/>
        <w:tblW w:w="1508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05"/>
        <w:gridCol w:w="520"/>
        <w:gridCol w:w="210"/>
        <w:gridCol w:w="689"/>
        <w:gridCol w:w="629"/>
        <w:gridCol w:w="540"/>
        <w:gridCol w:w="629"/>
        <w:gridCol w:w="849"/>
        <w:gridCol w:w="879"/>
        <w:gridCol w:w="4597"/>
        <w:gridCol w:w="450"/>
        <w:gridCol w:w="420"/>
        <w:gridCol w:w="670"/>
        <w:gridCol w:w="849"/>
        <w:gridCol w:w="839"/>
        <w:gridCol w:w="450"/>
        <w:gridCol w:w="1664"/>
      </w:tblGrid>
      <w:tr>
        <w:trPr>
          <w:trHeight w:val="259" w:hRule="atLeast"/>
        </w:trPr>
        <w:tc>
          <w:tcPr>
            <w:tcW w:w="205" w:type="dxa"/>
            <w:vAlign w:val="top"/>
            <w:tcBorders>
              <w:bottom w:val="nil"/>
            </w:tcBorders>
          </w:tcPr>
          <w:p>
            <w:pPr>
              <w:rPr>
                <w:rFonts w:ascii="Arial"/>
                <w:sz w:val="21"/>
              </w:rPr>
            </w:pPr>
            <w:r/>
          </w:p>
        </w:tc>
        <w:tc>
          <w:tcPr>
            <w:tcW w:w="520" w:type="dxa"/>
            <w:vAlign w:val="top"/>
            <w:vMerge w:val="restart"/>
            <w:tcBorders>
              <w:bottom w:val="nil"/>
            </w:tcBorders>
          </w:tcPr>
          <w:p>
            <w:pPr>
              <w:rPr>
                <w:rFonts w:ascii="Arial"/>
                <w:sz w:val="21"/>
              </w:rPr>
            </w:pPr>
            <w:r/>
          </w:p>
        </w:tc>
        <w:tc>
          <w:tcPr>
            <w:tcW w:w="210" w:type="dxa"/>
            <w:vAlign w:val="top"/>
            <w:vMerge w:val="restart"/>
            <w:tcBorders>
              <w:bottom w:val="nil"/>
            </w:tcBorders>
          </w:tcPr>
          <w:p>
            <w:pPr>
              <w:rPr>
                <w:rFonts w:ascii="Arial"/>
                <w:sz w:val="21"/>
              </w:rPr>
            </w:pPr>
            <w:r/>
          </w:p>
        </w:tc>
        <w:tc>
          <w:tcPr>
            <w:tcW w:w="689" w:type="dxa"/>
            <w:vAlign w:val="top"/>
          </w:tcPr>
          <w:p>
            <w:pPr>
              <w:rPr>
                <w:rFonts w:ascii="Arial"/>
                <w:sz w:val="21"/>
              </w:rPr>
            </w:pPr>
            <w:r/>
          </w:p>
        </w:tc>
        <w:tc>
          <w:tcPr>
            <w:tcW w:w="629" w:type="dxa"/>
            <w:vAlign w:val="top"/>
          </w:tcPr>
          <w:p>
            <w:pPr>
              <w:rPr>
                <w:rFonts w:ascii="Arial"/>
                <w:sz w:val="21"/>
              </w:rPr>
            </w:pPr>
            <w:r/>
          </w:p>
        </w:tc>
        <w:tc>
          <w:tcPr>
            <w:tcW w:w="540" w:type="dxa"/>
            <w:vAlign w:val="top"/>
            <w:vMerge w:val="restart"/>
            <w:tcBorders>
              <w:bottom w:val="nil"/>
            </w:tcBorders>
          </w:tcPr>
          <w:p>
            <w:pPr>
              <w:rPr>
                <w:rFonts w:ascii="Arial"/>
                <w:sz w:val="21"/>
              </w:rPr>
            </w:pPr>
            <w:r/>
          </w:p>
        </w:tc>
        <w:tc>
          <w:tcPr>
            <w:tcW w:w="629" w:type="dxa"/>
            <w:vAlign w:val="top"/>
          </w:tcPr>
          <w:p>
            <w:pPr>
              <w:rPr>
                <w:rFonts w:ascii="Arial"/>
                <w:sz w:val="21"/>
              </w:rPr>
            </w:pPr>
            <w:r/>
          </w:p>
        </w:tc>
        <w:tc>
          <w:tcPr>
            <w:tcW w:w="849" w:type="dxa"/>
            <w:vAlign w:val="top"/>
          </w:tcPr>
          <w:p>
            <w:pPr>
              <w:rPr>
                <w:rFonts w:ascii="Arial"/>
                <w:sz w:val="21"/>
              </w:rPr>
            </w:pPr>
            <w:r/>
          </w:p>
        </w:tc>
        <w:tc>
          <w:tcPr>
            <w:tcW w:w="879" w:type="dxa"/>
            <w:vAlign w:val="top"/>
          </w:tcPr>
          <w:p>
            <w:pPr>
              <w:rPr>
                <w:rFonts w:ascii="Arial"/>
                <w:sz w:val="21"/>
              </w:rPr>
            </w:pPr>
            <w:r/>
          </w:p>
        </w:tc>
        <w:tc>
          <w:tcPr>
            <w:tcW w:w="4597" w:type="dxa"/>
            <w:vAlign w:val="top"/>
          </w:tcPr>
          <w:p>
            <w:pPr>
              <w:pStyle w:val="TableText"/>
              <w:ind w:left="125"/>
              <w:spacing w:before="30" w:line="192" w:lineRule="auto"/>
              <w:rPr>
                <w:sz w:val="21"/>
                <w:szCs w:val="21"/>
              </w:rPr>
            </w:pPr>
            <w:r>
              <w:rPr>
                <w:sz w:val="21"/>
                <w:szCs w:val="21"/>
                <w:spacing w:val="-1"/>
              </w:rPr>
              <w:t>(DA003),有组织排放。</w:t>
            </w:r>
          </w:p>
        </w:tc>
        <w:tc>
          <w:tcPr>
            <w:tcW w:w="450" w:type="dxa"/>
            <w:vAlign w:val="top"/>
          </w:tcPr>
          <w:p>
            <w:pPr>
              <w:rPr>
                <w:rFonts w:ascii="Arial"/>
                <w:sz w:val="21"/>
              </w:rPr>
            </w:pPr>
            <w:r/>
          </w:p>
        </w:tc>
        <w:tc>
          <w:tcPr>
            <w:tcW w:w="420" w:type="dxa"/>
            <w:vAlign w:val="top"/>
          </w:tcPr>
          <w:p>
            <w:pPr>
              <w:rPr>
                <w:rFonts w:ascii="Arial"/>
                <w:sz w:val="21"/>
              </w:rPr>
            </w:pPr>
            <w:r/>
          </w:p>
        </w:tc>
        <w:tc>
          <w:tcPr>
            <w:tcW w:w="670" w:type="dxa"/>
            <w:vAlign w:val="top"/>
          </w:tcPr>
          <w:p>
            <w:pPr>
              <w:rPr>
                <w:rFonts w:ascii="Arial"/>
                <w:sz w:val="21"/>
              </w:rPr>
            </w:pPr>
            <w:r/>
          </w:p>
        </w:tc>
        <w:tc>
          <w:tcPr>
            <w:tcW w:w="849" w:type="dxa"/>
            <w:vAlign w:val="top"/>
          </w:tcPr>
          <w:p>
            <w:pPr>
              <w:rPr>
                <w:rFonts w:ascii="Arial"/>
                <w:sz w:val="21"/>
              </w:rPr>
            </w:pPr>
            <w:r/>
          </w:p>
        </w:tc>
        <w:tc>
          <w:tcPr>
            <w:tcW w:w="839" w:type="dxa"/>
            <w:vAlign w:val="top"/>
          </w:tcPr>
          <w:p>
            <w:pPr>
              <w:rPr>
                <w:rFonts w:ascii="Arial"/>
                <w:sz w:val="21"/>
              </w:rPr>
            </w:pPr>
            <w:r/>
          </w:p>
        </w:tc>
        <w:tc>
          <w:tcPr>
            <w:tcW w:w="450" w:type="dxa"/>
            <w:vAlign w:val="top"/>
            <w:vMerge w:val="restart"/>
            <w:tcBorders>
              <w:bottom w:val="nil"/>
            </w:tcBorders>
          </w:tcPr>
          <w:p>
            <w:pPr>
              <w:rPr>
                <w:rFonts w:ascii="Arial"/>
                <w:sz w:val="21"/>
              </w:rPr>
            </w:pPr>
            <w:r/>
          </w:p>
        </w:tc>
        <w:tc>
          <w:tcPr>
            <w:tcW w:w="1664" w:type="dxa"/>
            <w:vAlign w:val="top"/>
            <w:vMerge w:val="restart"/>
            <w:tcBorders>
              <w:bottom w:val="nil"/>
            </w:tcBorders>
          </w:tcPr>
          <w:p>
            <w:pPr>
              <w:rPr>
                <w:rFonts w:ascii="Arial"/>
                <w:sz w:val="21"/>
              </w:rPr>
            </w:pPr>
            <w:r/>
          </w:p>
        </w:tc>
      </w:tr>
      <w:tr>
        <w:trPr>
          <w:trHeight w:val="227" w:hRule="atLeast"/>
        </w:trPr>
        <w:tc>
          <w:tcPr>
            <w:tcW w:w="205" w:type="dxa"/>
            <w:vAlign w:val="top"/>
            <w:tcBorders>
              <w:bottom w:val="nil"/>
              <w:top w:val="nil"/>
            </w:tcBorders>
          </w:tcPr>
          <w:p>
            <w:pPr>
              <w:spacing w:line="217" w:lineRule="exact"/>
              <w:rPr>
                <w:rFonts w:ascii="Arial"/>
                <w:sz w:val="18"/>
              </w:rPr>
            </w:pPr>
            <w:r/>
          </w:p>
        </w:tc>
        <w:tc>
          <w:tcPr>
            <w:tcW w:w="520" w:type="dxa"/>
            <w:vAlign w:val="top"/>
            <w:vMerge w:val="continue"/>
            <w:tcBorders>
              <w:top w:val="nil"/>
              <w:bottom w:val="nil"/>
            </w:tcBorders>
          </w:tcPr>
          <w:p>
            <w:pPr>
              <w:rPr>
                <w:rFonts w:ascii="Arial"/>
                <w:sz w:val="21"/>
              </w:rPr>
            </w:pPr>
            <w:r/>
          </w:p>
        </w:tc>
        <w:tc>
          <w:tcPr>
            <w:tcW w:w="210" w:type="dxa"/>
            <w:vAlign w:val="top"/>
            <w:vMerge w:val="continue"/>
            <w:tcBorders>
              <w:top w:val="nil"/>
              <w:bottom w:val="nil"/>
            </w:tcBorders>
          </w:tcPr>
          <w:p>
            <w:pPr>
              <w:rPr>
                <w:rFonts w:ascii="Arial"/>
                <w:sz w:val="21"/>
              </w:rPr>
            </w:pPr>
            <w:r/>
          </w:p>
        </w:tc>
        <w:tc>
          <w:tcPr>
            <w:tcW w:w="689" w:type="dxa"/>
            <w:vAlign w:val="top"/>
            <w:vMerge w:val="restart"/>
            <w:tcBorders>
              <w:bottom w:val="nil"/>
            </w:tcBorders>
          </w:tcPr>
          <w:p>
            <w:pPr>
              <w:pStyle w:val="TableText"/>
              <w:ind w:left="20"/>
              <w:spacing w:before="165" w:line="220" w:lineRule="auto"/>
              <w:rPr>
                <w:sz w:val="21"/>
                <w:szCs w:val="21"/>
              </w:rPr>
            </w:pPr>
            <w:r>
              <w:rPr>
                <w:sz w:val="21"/>
                <w:szCs w:val="21"/>
                <w:spacing w:val="3"/>
              </w:rPr>
              <w:t>无组织</w:t>
            </w:r>
          </w:p>
        </w:tc>
        <w:tc>
          <w:tcPr>
            <w:tcW w:w="629" w:type="dxa"/>
            <w:vAlign w:val="top"/>
          </w:tcPr>
          <w:p>
            <w:pPr>
              <w:pStyle w:val="TableText"/>
              <w:ind w:left="91"/>
              <w:spacing w:before="68" w:line="149" w:lineRule="exact"/>
              <w:rPr>
                <w:rFonts w:ascii="Calibri" w:hAnsi="Calibri" w:eastAsia="Calibri" w:cs="Calibri"/>
                <w:sz w:val="21"/>
                <w:szCs w:val="21"/>
              </w:rPr>
            </w:pPr>
            <w:r>
              <w:rPr>
                <w:sz w:val="21"/>
                <w:szCs w:val="21"/>
                <w:spacing w:val="-1"/>
                <w:position w:val="-2"/>
              </w:rPr>
              <w:t>NH</w:t>
            </w:r>
            <w:r>
              <w:rPr>
                <w:rFonts w:ascii="Calibri" w:hAnsi="Calibri" w:eastAsia="Calibri" w:cs="Calibri"/>
                <w:sz w:val="21"/>
                <w:szCs w:val="21"/>
                <w:spacing w:val="-1"/>
                <w:position w:val="-2"/>
              </w:rPr>
              <w:t>₃</w:t>
            </w:r>
          </w:p>
        </w:tc>
        <w:tc>
          <w:tcPr>
            <w:tcW w:w="540" w:type="dxa"/>
            <w:vAlign w:val="top"/>
            <w:vMerge w:val="continue"/>
            <w:tcBorders>
              <w:top w:val="nil"/>
              <w:bottom w:val="nil"/>
            </w:tcBorders>
          </w:tcPr>
          <w:p>
            <w:pPr>
              <w:rPr>
                <w:rFonts w:ascii="Arial"/>
                <w:sz w:val="21"/>
              </w:rPr>
            </w:pPr>
            <w:r/>
          </w:p>
        </w:tc>
        <w:tc>
          <w:tcPr>
            <w:tcW w:w="629" w:type="dxa"/>
            <w:vAlign w:val="top"/>
          </w:tcPr>
          <w:p>
            <w:pPr>
              <w:pStyle w:val="TableText"/>
              <w:spacing w:before="55" w:line="162" w:lineRule="exact"/>
              <w:jc w:val="right"/>
              <w:rPr>
                <w:sz w:val="21"/>
                <w:szCs w:val="21"/>
              </w:rPr>
            </w:pPr>
            <w:r>
              <w:rPr>
                <w:sz w:val="21"/>
                <w:szCs w:val="21"/>
                <w:spacing w:val="-4"/>
                <w:position w:val="-2"/>
              </w:rPr>
              <w:t>0.0048</w:t>
            </w:r>
          </w:p>
        </w:tc>
        <w:tc>
          <w:tcPr>
            <w:tcW w:w="849" w:type="dxa"/>
            <w:vAlign w:val="top"/>
          </w:tcPr>
          <w:p>
            <w:pPr>
              <w:pStyle w:val="TableText"/>
              <w:ind w:left="102"/>
              <w:spacing w:before="55" w:line="162" w:lineRule="exact"/>
              <w:rPr>
                <w:sz w:val="21"/>
                <w:szCs w:val="21"/>
              </w:rPr>
            </w:pPr>
            <w:r>
              <w:rPr>
                <w:sz w:val="21"/>
                <w:szCs w:val="21"/>
                <w:spacing w:val="-2"/>
                <w:position w:val="-2"/>
              </w:rPr>
              <w:t>0.0054</w:t>
            </w:r>
          </w:p>
        </w:tc>
        <w:tc>
          <w:tcPr>
            <w:tcW w:w="879" w:type="dxa"/>
            <w:vAlign w:val="top"/>
          </w:tcPr>
          <w:p>
            <w:pPr>
              <w:pStyle w:val="TableText"/>
              <w:ind w:left="374"/>
              <w:spacing w:before="55" w:line="162" w:lineRule="exact"/>
              <w:rPr>
                <w:sz w:val="21"/>
                <w:szCs w:val="21"/>
              </w:rPr>
            </w:pPr>
            <w:r>
              <w:rPr>
                <w:sz w:val="21"/>
                <w:szCs w:val="21"/>
                <w:position w:val="-3"/>
              </w:rPr>
              <w:t>1</w:t>
            </w:r>
          </w:p>
        </w:tc>
        <w:tc>
          <w:tcPr>
            <w:tcW w:w="4597" w:type="dxa"/>
            <w:vAlign w:val="top"/>
          </w:tcPr>
          <w:p>
            <w:pPr>
              <w:pStyle w:val="TableText"/>
              <w:ind w:left="134"/>
              <w:spacing w:before="33" w:line="161" w:lineRule="auto"/>
              <w:rPr>
                <w:sz w:val="21"/>
                <w:szCs w:val="21"/>
              </w:rPr>
            </w:pPr>
            <w:r>
              <w:rPr>
                <w:sz w:val="21"/>
                <w:szCs w:val="21"/>
              </w:rPr>
              <w:t>设置两道门密闭厂房，定期喷洒微生物除臭剂，</w:t>
            </w:r>
          </w:p>
        </w:tc>
        <w:tc>
          <w:tcPr>
            <w:tcW w:w="870" w:type="dxa"/>
            <w:vAlign w:val="top"/>
            <w:gridSpan w:val="2"/>
          </w:tcPr>
          <w:p>
            <w:pPr>
              <w:pStyle w:val="TableText"/>
              <w:ind w:left="267"/>
              <w:spacing w:before="55" w:line="162" w:lineRule="exact"/>
              <w:rPr>
                <w:sz w:val="21"/>
                <w:szCs w:val="21"/>
              </w:rPr>
            </w:pPr>
            <w:r>
              <w:rPr>
                <w:sz w:val="21"/>
                <w:szCs w:val="21"/>
                <w:color w:val="404050"/>
                <w:spacing w:val="-3"/>
                <w:position w:val="-2"/>
              </w:rPr>
              <w:t>50%</w:t>
            </w:r>
          </w:p>
        </w:tc>
        <w:tc>
          <w:tcPr>
            <w:tcW w:w="670" w:type="dxa"/>
            <w:vAlign w:val="top"/>
          </w:tcPr>
          <w:p>
            <w:pPr>
              <w:pStyle w:val="TableText"/>
              <w:ind w:left="18"/>
              <w:spacing w:before="55" w:line="162" w:lineRule="exact"/>
              <w:rPr>
                <w:sz w:val="21"/>
                <w:szCs w:val="21"/>
              </w:rPr>
            </w:pPr>
            <w:r>
              <w:rPr>
                <w:sz w:val="21"/>
                <w:szCs w:val="21"/>
                <w:spacing w:val="-2"/>
                <w:position w:val="-2"/>
              </w:rPr>
              <w:t>0.0024</w:t>
            </w:r>
          </w:p>
        </w:tc>
        <w:tc>
          <w:tcPr>
            <w:tcW w:w="849" w:type="dxa"/>
            <w:vAlign w:val="top"/>
          </w:tcPr>
          <w:p>
            <w:pPr>
              <w:pStyle w:val="TableText"/>
              <w:ind w:left="108"/>
              <w:spacing w:before="55" w:line="162" w:lineRule="exact"/>
              <w:rPr>
                <w:sz w:val="21"/>
                <w:szCs w:val="21"/>
              </w:rPr>
            </w:pPr>
            <w:r>
              <w:rPr>
                <w:sz w:val="21"/>
                <w:szCs w:val="21"/>
                <w:spacing w:val="-2"/>
                <w:position w:val="-2"/>
              </w:rPr>
              <w:t>0.0026</w:t>
            </w:r>
          </w:p>
        </w:tc>
        <w:tc>
          <w:tcPr>
            <w:tcW w:w="839" w:type="dxa"/>
            <w:vAlign w:val="top"/>
          </w:tcPr>
          <w:p>
            <w:pPr>
              <w:pStyle w:val="TableText"/>
              <w:ind w:left="358"/>
              <w:spacing w:before="55" w:line="162" w:lineRule="exact"/>
              <w:rPr>
                <w:sz w:val="21"/>
                <w:szCs w:val="21"/>
              </w:rPr>
            </w:pPr>
            <w:r>
              <w:rPr>
                <w:sz w:val="21"/>
                <w:szCs w:val="21"/>
                <w:position w:val="-3"/>
              </w:rPr>
              <w:t>1</w:t>
            </w:r>
          </w:p>
        </w:tc>
        <w:tc>
          <w:tcPr>
            <w:tcW w:w="450" w:type="dxa"/>
            <w:vAlign w:val="top"/>
            <w:vMerge w:val="continue"/>
            <w:tcBorders>
              <w:top w:val="nil"/>
              <w:bottom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298" w:hRule="atLeast"/>
        </w:trPr>
        <w:tc>
          <w:tcPr>
            <w:tcW w:w="205" w:type="dxa"/>
            <w:vAlign w:val="top"/>
            <w:tcBorders>
              <w:top w:val="nil"/>
            </w:tcBorders>
          </w:tcPr>
          <w:p>
            <w:pPr>
              <w:rPr>
                <w:rFonts w:ascii="Arial"/>
                <w:sz w:val="21"/>
              </w:rPr>
            </w:pPr>
            <w:r/>
          </w:p>
        </w:tc>
        <w:tc>
          <w:tcPr>
            <w:tcW w:w="520" w:type="dxa"/>
            <w:vAlign w:val="top"/>
            <w:vMerge w:val="continue"/>
            <w:tcBorders>
              <w:top w:val="nil"/>
            </w:tcBorders>
          </w:tcPr>
          <w:p>
            <w:pPr>
              <w:rPr>
                <w:rFonts w:ascii="Arial"/>
                <w:sz w:val="21"/>
              </w:rPr>
            </w:pPr>
            <w:r/>
          </w:p>
        </w:tc>
        <w:tc>
          <w:tcPr>
            <w:tcW w:w="210" w:type="dxa"/>
            <w:vAlign w:val="top"/>
            <w:vMerge w:val="continue"/>
            <w:tcBorders>
              <w:top w:val="nil"/>
            </w:tcBorders>
          </w:tcPr>
          <w:p>
            <w:pPr>
              <w:rPr>
                <w:rFonts w:ascii="Arial"/>
                <w:sz w:val="21"/>
              </w:rPr>
            </w:pPr>
            <w:r/>
          </w:p>
        </w:tc>
        <w:tc>
          <w:tcPr>
            <w:tcW w:w="689" w:type="dxa"/>
            <w:vAlign w:val="top"/>
            <w:vMerge w:val="continue"/>
            <w:tcBorders>
              <w:top w:val="nil"/>
            </w:tcBorders>
          </w:tcPr>
          <w:p>
            <w:pPr>
              <w:rPr>
                <w:rFonts w:ascii="Arial"/>
                <w:sz w:val="21"/>
              </w:rPr>
            </w:pPr>
            <w:r/>
          </w:p>
        </w:tc>
        <w:tc>
          <w:tcPr>
            <w:tcW w:w="629" w:type="dxa"/>
            <w:vAlign w:val="top"/>
          </w:tcPr>
          <w:p>
            <w:pPr>
              <w:pStyle w:val="TableText"/>
              <w:ind w:left="91"/>
              <w:spacing w:before="80" w:line="182"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540" w:type="dxa"/>
            <w:vAlign w:val="top"/>
            <w:vMerge w:val="continue"/>
            <w:tcBorders>
              <w:top w:val="nil"/>
            </w:tcBorders>
          </w:tcPr>
          <w:p>
            <w:pPr>
              <w:rPr>
                <w:rFonts w:ascii="Arial"/>
                <w:sz w:val="21"/>
              </w:rPr>
            </w:pPr>
            <w:r/>
          </w:p>
        </w:tc>
        <w:tc>
          <w:tcPr>
            <w:tcW w:w="629" w:type="dxa"/>
            <w:vAlign w:val="top"/>
          </w:tcPr>
          <w:p>
            <w:pPr>
              <w:pStyle w:val="TableText"/>
              <w:spacing w:before="68" w:line="193" w:lineRule="auto"/>
              <w:jc w:val="right"/>
              <w:rPr>
                <w:sz w:val="21"/>
                <w:szCs w:val="21"/>
              </w:rPr>
            </w:pPr>
            <w:r>
              <w:rPr>
                <w:sz w:val="21"/>
                <w:szCs w:val="21"/>
                <w:spacing w:val="-4"/>
              </w:rPr>
              <w:t>0.0003</w:t>
            </w:r>
          </w:p>
        </w:tc>
        <w:tc>
          <w:tcPr>
            <w:tcW w:w="849" w:type="dxa"/>
            <w:vAlign w:val="top"/>
          </w:tcPr>
          <w:p>
            <w:pPr>
              <w:pStyle w:val="TableText"/>
              <w:ind w:left="102"/>
              <w:spacing w:before="68" w:line="193" w:lineRule="auto"/>
              <w:rPr>
                <w:sz w:val="21"/>
                <w:szCs w:val="21"/>
              </w:rPr>
            </w:pPr>
            <w:r>
              <w:rPr>
                <w:sz w:val="21"/>
                <w:szCs w:val="21"/>
                <w:spacing w:val="-2"/>
              </w:rPr>
              <w:t>0.0004</w:t>
            </w:r>
          </w:p>
        </w:tc>
        <w:tc>
          <w:tcPr>
            <w:tcW w:w="879" w:type="dxa"/>
            <w:vAlign w:val="top"/>
          </w:tcPr>
          <w:p>
            <w:pPr>
              <w:pStyle w:val="TableText"/>
              <w:ind w:left="374"/>
              <w:spacing w:before="53" w:line="206" w:lineRule="auto"/>
              <w:rPr>
                <w:sz w:val="21"/>
                <w:szCs w:val="21"/>
              </w:rPr>
            </w:pPr>
            <w:r>
              <w:rPr>
                <w:sz w:val="21"/>
                <w:szCs w:val="21"/>
              </w:rPr>
              <w:t>/</w:t>
            </w:r>
          </w:p>
        </w:tc>
        <w:tc>
          <w:tcPr>
            <w:tcW w:w="4597" w:type="dxa"/>
            <w:vAlign w:val="top"/>
          </w:tcPr>
          <w:p>
            <w:pPr>
              <w:pStyle w:val="TableText"/>
              <w:ind w:left="134"/>
              <w:spacing w:before="46" w:line="212" w:lineRule="auto"/>
              <w:rPr>
                <w:sz w:val="21"/>
                <w:szCs w:val="21"/>
              </w:rPr>
            </w:pPr>
            <w:r>
              <w:rPr>
                <w:sz w:val="21"/>
                <w:szCs w:val="21"/>
              </w:rPr>
              <w:t>采用干清粪工艺，干粪日产日清，无组织排放。</w:t>
            </w:r>
          </w:p>
        </w:tc>
        <w:tc>
          <w:tcPr>
            <w:tcW w:w="870" w:type="dxa"/>
            <w:vAlign w:val="top"/>
            <w:gridSpan w:val="2"/>
          </w:tcPr>
          <w:p>
            <w:pPr>
              <w:pStyle w:val="TableText"/>
              <w:ind w:left="267"/>
              <w:spacing w:before="68" w:line="193" w:lineRule="auto"/>
              <w:rPr>
                <w:sz w:val="21"/>
                <w:szCs w:val="21"/>
              </w:rPr>
            </w:pPr>
            <w:r>
              <w:rPr>
                <w:sz w:val="21"/>
                <w:szCs w:val="21"/>
                <w:spacing w:val="-3"/>
              </w:rPr>
              <w:t>50%</w:t>
            </w:r>
          </w:p>
        </w:tc>
        <w:tc>
          <w:tcPr>
            <w:tcW w:w="670" w:type="dxa"/>
            <w:vAlign w:val="top"/>
          </w:tcPr>
          <w:p>
            <w:pPr>
              <w:pStyle w:val="TableText"/>
              <w:ind w:left="18"/>
              <w:spacing w:before="68" w:line="193" w:lineRule="auto"/>
              <w:rPr>
                <w:sz w:val="21"/>
                <w:szCs w:val="21"/>
              </w:rPr>
            </w:pPr>
            <w:r>
              <w:rPr>
                <w:sz w:val="21"/>
                <w:szCs w:val="21"/>
                <w:spacing w:val="-2"/>
              </w:rPr>
              <w:t>0.0002</w:t>
            </w:r>
          </w:p>
        </w:tc>
        <w:tc>
          <w:tcPr>
            <w:tcW w:w="849" w:type="dxa"/>
            <w:vAlign w:val="top"/>
          </w:tcPr>
          <w:p>
            <w:pPr>
              <w:pStyle w:val="TableText"/>
              <w:ind w:left="108"/>
              <w:spacing w:before="68" w:line="193" w:lineRule="auto"/>
              <w:rPr>
                <w:sz w:val="21"/>
                <w:szCs w:val="21"/>
              </w:rPr>
            </w:pPr>
            <w:r>
              <w:rPr>
                <w:sz w:val="21"/>
                <w:szCs w:val="21"/>
                <w:spacing w:val="-2"/>
              </w:rPr>
              <w:t>0.0002</w:t>
            </w:r>
          </w:p>
        </w:tc>
        <w:tc>
          <w:tcPr>
            <w:tcW w:w="839" w:type="dxa"/>
            <w:vAlign w:val="top"/>
          </w:tcPr>
          <w:p>
            <w:pPr>
              <w:pStyle w:val="TableText"/>
              <w:ind w:left="358"/>
              <w:spacing w:before="53" w:line="206" w:lineRule="auto"/>
              <w:rPr>
                <w:sz w:val="21"/>
                <w:szCs w:val="21"/>
              </w:rPr>
            </w:pPr>
            <w:r>
              <w:rPr>
                <w:sz w:val="21"/>
                <w:szCs w:val="21"/>
              </w:rPr>
              <w:t>/</w:t>
            </w:r>
          </w:p>
        </w:tc>
        <w:tc>
          <w:tcPr>
            <w:tcW w:w="450" w:type="dxa"/>
            <w:vAlign w:val="top"/>
            <w:vMerge w:val="continue"/>
            <w:tcBorders>
              <w:top w:val="nil"/>
            </w:tcBorders>
          </w:tcPr>
          <w:p>
            <w:pPr>
              <w:rPr>
                <w:rFonts w:ascii="Arial"/>
                <w:sz w:val="21"/>
              </w:rPr>
            </w:pPr>
            <w:r/>
          </w:p>
        </w:tc>
        <w:tc>
          <w:tcPr>
            <w:tcW w:w="1664" w:type="dxa"/>
            <w:vAlign w:val="top"/>
            <w:vMerge w:val="continue"/>
            <w:tcBorders>
              <w:top w:val="nil"/>
            </w:tcBorders>
          </w:tcPr>
          <w:p>
            <w:pPr>
              <w:rPr>
                <w:rFonts w:ascii="Arial"/>
                <w:sz w:val="21"/>
              </w:rPr>
            </w:pPr>
            <w:r/>
          </w:p>
        </w:tc>
      </w:tr>
      <w:tr>
        <w:trPr>
          <w:trHeight w:val="265" w:hRule="atLeast"/>
        </w:trPr>
        <w:tc>
          <w:tcPr>
            <w:tcW w:w="205" w:type="dxa"/>
            <w:vAlign w:val="top"/>
            <w:tcBorders>
              <w:bottom w:val="nil"/>
            </w:tcBorders>
          </w:tcPr>
          <w:p>
            <w:pPr>
              <w:rPr>
                <w:rFonts w:ascii="Arial"/>
                <w:sz w:val="21"/>
              </w:rPr>
            </w:pPr>
            <w:r/>
          </w:p>
        </w:tc>
        <w:tc>
          <w:tcPr>
            <w:tcW w:w="520" w:type="dxa"/>
            <w:vAlign w:val="top"/>
            <w:vMerge w:val="restart"/>
            <w:tcBorders>
              <w:bottom w:val="nil"/>
            </w:tcBorders>
          </w:tcPr>
          <w:p>
            <w:pPr>
              <w:spacing w:line="260" w:lineRule="auto"/>
              <w:rPr>
                <w:rFonts w:ascii="Arial"/>
                <w:sz w:val="21"/>
              </w:rPr>
            </w:pPr>
            <w:r/>
          </w:p>
          <w:p>
            <w:pPr>
              <w:pStyle w:val="TableText"/>
              <w:ind w:left="40"/>
              <w:spacing w:before="69" w:line="221" w:lineRule="auto"/>
              <w:rPr>
                <w:sz w:val="21"/>
                <w:szCs w:val="21"/>
              </w:rPr>
            </w:pPr>
            <w:r>
              <w:rPr>
                <w:sz w:val="21"/>
                <w:szCs w:val="21"/>
                <w:spacing w:val="6"/>
              </w:rPr>
              <w:t>燃气</w:t>
            </w:r>
          </w:p>
          <w:p>
            <w:pPr>
              <w:pStyle w:val="TableText"/>
              <w:ind w:left="40"/>
              <w:spacing w:before="10" w:line="221" w:lineRule="auto"/>
              <w:rPr>
                <w:sz w:val="21"/>
                <w:szCs w:val="21"/>
              </w:rPr>
            </w:pPr>
            <w:r>
              <w:rPr>
                <w:sz w:val="21"/>
                <w:szCs w:val="21"/>
                <w:spacing w:val="6"/>
              </w:rPr>
              <w:t>蒸汽</w:t>
            </w:r>
          </w:p>
          <w:p>
            <w:pPr>
              <w:pStyle w:val="TableText"/>
              <w:ind w:left="140" w:right="40" w:hanging="100"/>
              <w:spacing w:before="16" w:line="264" w:lineRule="auto"/>
              <w:rPr>
                <w:sz w:val="21"/>
                <w:szCs w:val="21"/>
              </w:rPr>
            </w:pPr>
            <w:r>
              <w:rPr>
                <w:sz w:val="21"/>
                <w:szCs w:val="21"/>
                <w:spacing w:val="4"/>
              </w:rPr>
              <w:t>发生</w:t>
            </w:r>
            <w:r>
              <w:rPr>
                <w:sz w:val="21"/>
                <w:szCs w:val="21"/>
              </w:rPr>
              <w:t xml:space="preserve"> </w:t>
            </w:r>
            <w:r>
              <w:rPr>
                <w:sz w:val="21"/>
                <w:szCs w:val="21"/>
              </w:rPr>
              <w:t>器</w:t>
            </w:r>
          </w:p>
        </w:tc>
        <w:tc>
          <w:tcPr>
            <w:tcW w:w="210" w:type="dxa"/>
            <w:vAlign w:val="top"/>
            <w:vMerge w:val="restart"/>
            <w:textDirection w:val="tbRlV"/>
            <w:tcBorders>
              <w:bottom w:val="nil"/>
            </w:tcBorders>
          </w:tcPr>
          <w:p>
            <w:pPr>
              <w:pStyle w:val="TableText"/>
              <w:ind w:left="128"/>
              <w:spacing w:before="7" w:line="199" w:lineRule="auto"/>
              <w:rPr>
                <w:sz w:val="19"/>
                <w:szCs w:val="19"/>
              </w:rPr>
            </w:pPr>
            <w:r>
              <w:rPr>
                <w:sz w:val="19"/>
                <w:szCs w:val="19"/>
              </w:rPr>
              <w:t>淡季</w:t>
            </w:r>
          </w:p>
        </w:tc>
        <w:tc>
          <w:tcPr>
            <w:tcW w:w="689" w:type="dxa"/>
            <w:vAlign w:val="top"/>
            <w:vMerge w:val="restart"/>
            <w:tcBorders>
              <w:bottom w:val="nil"/>
            </w:tcBorders>
          </w:tcPr>
          <w:p>
            <w:pPr>
              <w:pStyle w:val="TableText"/>
              <w:ind w:left="20"/>
              <w:spacing w:before="300" w:line="220" w:lineRule="auto"/>
              <w:rPr>
                <w:sz w:val="21"/>
                <w:szCs w:val="21"/>
              </w:rPr>
            </w:pPr>
            <w:r>
              <w:rPr>
                <w:sz w:val="21"/>
                <w:szCs w:val="21"/>
                <w:spacing w:val="3"/>
              </w:rPr>
              <w:t>有组织</w:t>
            </w:r>
          </w:p>
        </w:tc>
        <w:tc>
          <w:tcPr>
            <w:tcW w:w="629" w:type="dxa"/>
            <w:vAlign w:val="top"/>
          </w:tcPr>
          <w:p>
            <w:pPr>
              <w:pStyle w:val="TableText"/>
              <w:spacing w:before="29" w:line="198" w:lineRule="auto"/>
              <w:jc w:val="right"/>
              <w:rPr>
                <w:sz w:val="21"/>
                <w:szCs w:val="21"/>
              </w:rPr>
            </w:pPr>
            <w:r>
              <w:rPr>
                <w:sz w:val="21"/>
                <w:szCs w:val="21"/>
                <w:color w:val="707070"/>
                <w:spacing w:val="-8"/>
              </w:rPr>
              <w:t>颗粒物</w:t>
            </w:r>
          </w:p>
        </w:tc>
        <w:tc>
          <w:tcPr>
            <w:tcW w:w="540" w:type="dxa"/>
            <w:vAlign w:val="top"/>
            <w:vMerge w:val="restart"/>
            <w:tcBorders>
              <w:bottom w:val="nil"/>
            </w:tcBorders>
          </w:tcPr>
          <w:p>
            <w:pPr>
              <w:pStyle w:val="TableText"/>
              <w:ind w:left="51"/>
              <w:spacing w:before="29" w:line="219" w:lineRule="auto"/>
              <w:rPr>
                <w:sz w:val="21"/>
                <w:szCs w:val="21"/>
              </w:rPr>
            </w:pPr>
            <w:r>
              <w:rPr>
                <w:sz w:val="21"/>
                <w:szCs w:val="21"/>
                <w:spacing w:val="-3"/>
              </w:rPr>
              <w:t>产污</w:t>
            </w:r>
          </w:p>
          <w:p>
            <w:pPr>
              <w:pStyle w:val="TableText"/>
              <w:ind w:left="151" w:right="48" w:hanging="100"/>
              <w:spacing w:before="31" w:line="213" w:lineRule="auto"/>
              <w:rPr>
                <w:sz w:val="21"/>
                <w:szCs w:val="21"/>
              </w:rPr>
            </w:pPr>
            <w:r>
              <w:rPr>
                <w:sz w:val="21"/>
                <w:szCs w:val="21"/>
                <w:spacing w:val="4"/>
              </w:rPr>
              <w:t>系数</w:t>
            </w:r>
            <w:r>
              <w:rPr>
                <w:sz w:val="21"/>
                <w:szCs w:val="21"/>
              </w:rPr>
              <w:t xml:space="preserve"> </w:t>
            </w:r>
            <w:r>
              <w:rPr>
                <w:sz w:val="21"/>
                <w:szCs w:val="21"/>
              </w:rPr>
              <w:t>法</w:t>
            </w:r>
          </w:p>
        </w:tc>
        <w:tc>
          <w:tcPr>
            <w:tcW w:w="629" w:type="dxa"/>
            <w:vAlign w:val="top"/>
          </w:tcPr>
          <w:p>
            <w:pPr>
              <w:pStyle w:val="TableText"/>
              <w:spacing w:before="50" w:line="180" w:lineRule="auto"/>
              <w:jc w:val="right"/>
              <w:rPr>
                <w:sz w:val="21"/>
                <w:szCs w:val="21"/>
              </w:rPr>
            </w:pPr>
            <w:r>
              <w:rPr>
                <w:sz w:val="21"/>
                <w:szCs w:val="21"/>
                <w:color w:val="606060"/>
                <w:spacing w:val="-4"/>
              </w:rPr>
              <w:t>0.0494</w:t>
            </w:r>
          </w:p>
        </w:tc>
        <w:tc>
          <w:tcPr>
            <w:tcW w:w="849" w:type="dxa"/>
            <w:vAlign w:val="top"/>
          </w:tcPr>
          <w:p>
            <w:pPr>
              <w:pStyle w:val="TableText"/>
              <w:ind w:left="102"/>
              <w:spacing w:before="50" w:line="180" w:lineRule="auto"/>
              <w:rPr>
                <w:sz w:val="21"/>
                <w:szCs w:val="21"/>
              </w:rPr>
            </w:pPr>
            <w:r>
              <w:rPr>
                <w:sz w:val="21"/>
                <w:szCs w:val="21"/>
                <w:spacing w:val="-2"/>
              </w:rPr>
              <w:t>0.0229</w:t>
            </w:r>
          </w:p>
        </w:tc>
        <w:tc>
          <w:tcPr>
            <w:tcW w:w="879" w:type="dxa"/>
            <w:vAlign w:val="top"/>
          </w:tcPr>
          <w:p>
            <w:pPr>
              <w:pStyle w:val="TableText"/>
              <w:ind w:left="223"/>
              <w:spacing w:before="50" w:line="180" w:lineRule="auto"/>
              <w:rPr>
                <w:sz w:val="21"/>
                <w:szCs w:val="21"/>
              </w:rPr>
            </w:pPr>
            <w:r>
              <w:rPr>
                <w:sz w:val="21"/>
                <w:szCs w:val="21"/>
                <w:spacing w:val="-5"/>
              </w:rPr>
              <w:t>19.1</w:t>
            </w:r>
          </w:p>
        </w:tc>
        <w:tc>
          <w:tcPr>
            <w:tcW w:w="4597" w:type="dxa"/>
            <w:vAlign w:val="top"/>
            <w:vMerge w:val="restart"/>
            <w:tcBorders>
              <w:bottom w:val="nil"/>
            </w:tcBorders>
          </w:tcPr>
          <w:p>
            <w:pPr>
              <w:spacing w:line="327" w:lineRule="auto"/>
              <w:rPr>
                <w:rFonts w:ascii="Arial"/>
                <w:sz w:val="21"/>
              </w:rPr>
            </w:pPr>
            <w:r/>
          </w:p>
          <w:p>
            <w:pPr>
              <w:spacing w:line="328" w:lineRule="auto"/>
              <w:rPr>
                <w:rFonts w:ascii="Arial"/>
                <w:sz w:val="21"/>
              </w:rPr>
            </w:pPr>
            <w:r/>
          </w:p>
          <w:p>
            <w:pPr>
              <w:pStyle w:val="TableText"/>
              <w:ind w:left="665"/>
              <w:spacing w:before="69" w:line="219" w:lineRule="auto"/>
              <w:rPr>
                <w:sz w:val="21"/>
                <w:szCs w:val="21"/>
              </w:rPr>
            </w:pPr>
            <w:r>
              <w:rPr>
                <w:sz w:val="21"/>
                <w:szCs w:val="21"/>
                <w:spacing w:val="2"/>
              </w:rPr>
              <w:t>低氮燃烧+18m高排气筒直排(</w:t>
            </w:r>
            <w:r>
              <w:rPr>
                <w:sz w:val="21"/>
                <w:szCs w:val="21"/>
              </w:rPr>
              <w:t>DA</w:t>
            </w:r>
            <w:r>
              <w:rPr>
                <w:sz w:val="21"/>
                <w:szCs w:val="21"/>
                <w:spacing w:val="2"/>
              </w:rPr>
              <w:t>005)</w:t>
            </w:r>
          </w:p>
        </w:tc>
        <w:tc>
          <w:tcPr>
            <w:tcW w:w="870" w:type="dxa"/>
            <w:vAlign w:val="top"/>
            <w:gridSpan w:val="2"/>
          </w:tcPr>
          <w:p>
            <w:pPr>
              <w:pStyle w:val="TableText"/>
              <w:ind w:left="378"/>
              <w:spacing w:before="35" w:line="193" w:lineRule="auto"/>
              <w:rPr>
                <w:sz w:val="21"/>
                <w:szCs w:val="21"/>
              </w:rPr>
            </w:pPr>
            <w:r>
              <w:rPr>
                <w:sz w:val="21"/>
                <w:szCs w:val="21"/>
              </w:rPr>
              <w:t>/</w:t>
            </w:r>
          </w:p>
        </w:tc>
        <w:tc>
          <w:tcPr>
            <w:tcW w:w="670" w:type="dxa"/>
            <w:vAlign w:val="top"/>
          </w:tcPr>
          <w:p>
            <w:pPr>
              <w:pStyle w:val="TableText"/>
              <w:ind w:left="18"/>
              <w:spacing w:before="50" w:line="180" w:lineRule="auto"/>
              <w:rPr>
                <w:sz w:val="21"/>
                <w:szCs w:val="21"/>
              </w:rPr>
            </w:pPr>
            <w:r>
              <w:rPr>
                <w:sz w:val="21"/>
                <w:szCs w:val="21"/>
                <w:color w:val="706060"/>
                <w:spacing w:val="-2"/>
              </w:rPr>
              <w:t>0.0494</w:t>
            </w:r>
          </w:p>
        </w:tc>
        <w:tc>
          <w:tcPr>
            <w:tcW w:w="849" w:type="dxa"/>
            <w:vAlign w:val="top"/>
          </w:tcPr>
          <w:p>
            <w:pPr>
              <w:pStyle w:val="TableText"/>
              <w:ind w:left="108"/>
              <w:spacing w:before="50" w:line="180" w:lineRule="auto"/>
              <w:rPr>
                <w:sz w:val="21"/>
                <w:szCs w:val="21"/>
              </w:rPr>
            </w:pPr>
            <w:r>
              <w:rPr>
                <w:sz w:val="21"/>
                <w:szCs w:val="21"/>
                <w:spacing w:val="-2"/>
              </w:rPr>
              <w:t>0.0229</w:t>
            </w:r>
          </w:p>
        </w:tc>
        <w:tc>
          <w:tcPr>
            <w:tcW w:w="839" w:type="dxa"/>
            <w:vAlign w:val="top"/>
          </w:tcPr>
          <w:p>
            <w:pPr>
              <w:pStyle w:val="TableText"/>
              <w:ind w:left="208"/>
              <w:spacing w:before="50" w:line="180" w:lineRule="auto"/>
              <w:rPr>
                <w:sz w:val="21"/>
                <w:szCs w:val="21"/>
              </w:rPr>
            </w:pPr>
            <w:r>
              <w:rPr>
                <w:sz w:val="21"/>
                <w:szCs w:val="21"/>
                <w:spacing w:val="-5"/>
              </w:rPr>
              <w:t>19.1</w:t>
            </w:r>
          </w:p>
        </w:tc>
        <w:tc>
          <w:tcPr>
            <w:tcW w:w="450" w:type="dxa"/>
            <w:vAlign w:val="top"/>
            <w:vMerge w:val="restart"/>
            <w:tcBorders>
              <w:bottom w:val="nil"/>
            </w:tcBorders>
          </w:tcPr>
          <w:p>
            <w:pPr>
              <w:spacing w:line="250" w:lineRule="auto"/>
              <w:rPr>
                <w:rFonts w:ascii="Arial"/>
                <w:sz w:val="21"/>
              </w:rPr>
            </w:pPr>
            <w:r/>
          </w:p>
          <w:p>
            <w:pPr>
              <w:pStyle w:val="TableText"/>
              <w:ind w:left="10"/>
              <w:spacing w:before="68"/>
              <w:rPr>
                <w:sz w:val="21"/>
                <w:szCs w:val="21"/>
              </w:rPr>
            </w:pPr>
            <w:r>
              <w:rPr>
                <w:sz w:val="21"/>
                <w:szCs w:val="21"/>
                <w:spacing w:val="-3"/>
              </w:rPr>
              <w:t>2160</w:t>
            </w:r>
          </w:p>
        </w:tc>
        <w:tc>
          <w:tcPr>
            <w:tcW w:w="1664" w:type="dxa"/>
            <w:vAlign w:val="top"/>
            <w:vMerge w:val="restart"/>
            <w:tcBorders>
              <w:bottom w:val="nil"/>
            </w:tcBorders>
          </w:tcPr>
          <w:p>
            <w:pPr>
              <w:pStyle w:val="TableText"/>
              <w:ind w:left="35"/>
              <w:spacing w:before="180" w:line="220" w:lineRule="auto"/>
              <w:rPr>
                <w:sz w:val="21"/>
                <w:szCs w:val="21"/>
              </w:rPr>
            </w:pPr>
            <w:r>
              <w:rPr>
                <w:sz w:val="21"/>
                <w:szCs w:val="21"/>
              </w:rPr>
              <w:t>《锅炉大气污染</w:t>
            </w:r>
          </w:p>
          <w:p>
            <w:pPr>
              <w:pStyle w:val="TableText"/>
              <w:ind w:left="249"/>
              <w:spacing w:before="29" w:line="220" w:lineRule="auto"/>
              <w:rPr>
                <w:sz w:val="21"/>
                <w:szCs w:val="21"/>
              </w:rPr>
            </w:pPr>
            <w:r>
              <w:rPr>
                <w:sz w:val="21"/>
                <w:szCs w:val="21"/>
                <w:spacing w:val="-3"/>
              </w:rPr>
              <w:t>物排放标准》</w:t>
            </w:r>
          </w:p>
          <w:p>
            <w:pPr>
              <w:pStyle w:val="TableText"/>
              <w:ind w:left="350"/>
              <w:spacing w:before="12" w:line="222" w:lineRule="auto"/>
              <w:rPr>
                <w:sz w:val="21"/>
                <w:szCs w:val="21"/>
              </w:rPr>
            </w:pPr>
            <w:r>
              <w:rPr>
                <w:sz w:val="21"/>
                <w:szCs w:val="21"/>
                <w:spacing w:val="-5"/>
              </w:rPr>
              <w:t>(GB13271-</w:t>
            </w:r>
          </w:p>
          <w:p>
            <w:pPr>
              <w:pStyle w:val="TableText"/>
              <w:ind w:left="89"/>
              <w:spacing w:before="14" w:line="219" w:lineRule="auto"/>
              <w:rPr>
                <w:sz w:val="21"/>
                <w:szCs w:val="21"/>
              </w:rPr>
            </w:pPr>
            <w:r>
              <w:rPr>
                <w:sz w:val="21"/>
                <w:szCs w:val="21"/>
                <w:spacing w:val="-1"/>
              </w:rPr>
              <w:t>2014)表3特别排</w:t>
            </w:r>
          </w:p>
          <w:p>
            <w:pPr>
              <w:pStyle w:val="TableText"/>
              <w:ind w:left="509"/>
              <w:spacing w:before="40" w:line="219" w:lineRule="auto"/>
              <w:rPr>
                <w:sz w:val="21"/>
                <w:szCs w:val="21"/>
              </w:rPr>
            </w:pPr>
            <w:r>
              <w:rPr>
                <w:sz w:val="21"/>
                <w:szCs w:val="21"/>
                <w:spacing w:val="-2"/>
              </w:rPr>
              <w:t>放限值</w:t>
            </w:r>
          </w:p>
        </w:tc>
      </w:tr>
      <w:tr>
        <w:trPr>
          <w:trHeight w:val="254" w:hRule="atLeast"/>
        </w:trPr>
        <w:tc>
          <w:tcPr>
            <w:tcW w:w="205" w:type="dxa"/>
            <w:vAlign w:val="top"/>
            <w:tcBorders>
              <w:bottom w:val="nil"/>
              <w:top w:val="nil"/>
            </w:tcBorders>
          </w:tcPr>
          <w:p>
            <w:pPr>
              <w:rPr>
                <w:rFonts w:ascii="Arial"/>
                <w:sz w:val="21"/>
              </w:rPr>
            </w:pPr>
            <w:r/>
          </w:p>
        </w:tc>
        <w:tc>
          <w:tcPr>
            <w:tcW w:w="520" w:type="dxa"/>
            <w:vAlign w:val="top"/>
            <w:vMerge w:val="continue"/>
            <w:tcBorders>
              <w:top w:val="nil"/>
              <w:bottom w:val="nil"/>
            </w:tcBorders>
          </w:tcPr>
          <w:p>
            <w:pPr>
              <w:rPr>
                <w:rFonts w:ascii="Arial"/>
                <w:sz w:val="21"/>
              </w:rPr>
            </w:pPr>
            <w:r/>
          </w:p>
        </w:tc>
        <w:tc>
          <w:tcPr>
            <w:tcW w:w="210" w:type="dxa"/>
            <w:vAlign w:val="top"/>
            <w:vMerge w:val="continue"/>
            <w:textDirection w:val="tbRlV"/>
            <w:tcBorders>
              <w:top w:val="nil"/>
              <w:bottom w:val="nil"/>
            </w:tcBorders>
          </w:tcPr>
          <w:p>
            <w:pPr>
              <w:spacing w:line="200" w:lineRule="exact"/>
              <w:rPr>
                <w:rFonts w:ascii="Arial"/>
                <w:sz w:val="16"/>
              </w:rPr>
            </w:pPr>
            <w:r/>
          </w:p>
        </w:tc>
        <w:tc>
          <w:tcPr>
            <w:tcW w:w="689" w:type="dxa"/>
            <w:vAlign w:val="top"/>
            <w:vMerge w:val="continue"/>
            <w:tcBorders>
              <w:top w:val="nil"/>
              <w:bottom w:val="nil"/>
            </w:tcBorders>
          </w:tcPr>
          <w:p>
            <w:pPr>
              <w:rPr>
                <w:rFonts w:ascii="Arial"/>
                <w:sz w:val="21"/>
              </w:rPr>
            </w:pPr>
            <w:r/>
          </w:p>
        </w:tc>
        <w:tc>
          <w:tcPr>
            <w:tcW w:w="629" w:type="dxa"/>
            <w:vAlign w:val="top"/>
          </w:tcPr>
          <w:p>
            <w:pPr>
              <w:pStyle w:val="TableText"/>
              <w:ind w:left="141"/>
              <w:spacing w:before="88" w:line="156" w:lineRule="exact"/>
              <w:rPr>
                <w:sz w:val="21"/>
                <w:szCs w:val="21"/>
              </w:rPr>
            </w:pPr>
            <w:r>
              <w:rPr>
                <w:sz w:val="21"/>
                <w:szCs w:val="21"/>
                <w:spacing w:val="-1"/>
                <w:position w:val="-3"/>
              </w:rPr>
              <w:t>NOx</w:t>
            </w:r>
          </w:p>
        </w:tc>
        <w:tc>
          <w:tcPr>
            <w:tcW w:w="540" w:type="dxa"/>
            <w:vAlign w:val="top"/>
            <w:vMerge w:val="continue"/>
            <w:tcBorders>
              <w:top w:val="nil"/>
              <w:bottom w:val="nil"/>
            </w:tcBorders>
          </w:tcPr>
          <w:p>
            <w:pPr>
              <w:rPr>
                <w:rFonts w:ascii="Arial"/>
                <w:sz w:val="21"/>
              </w:rPr>
            </w:pPr>
            <w:r/>
          </w:p>
        </w:tc>
        <w:tc>
          <w:tcPr>
            <w:tcW w:w="629" w:type="dxa"/>
            <w:vAlign w:val="top"/>
          </w:tcPr>
          <w:p>
            <w:pPr>
              <w:pStyle w:val="TableText"/>
              <w:spacing w:before="55" w:line="166" w:lineRule="auto"/>
              <w:jc w:val="right"/>
              <w:rPr>
                <w:sz w:val="21"/>
                <w:szCs w:val="21"/>
              </w:rPr>
            </w:pPr>
            <w:r>
              <w:rPr>
                <w:sz w:val="21"/>
                <w:szCs w:val="21"/>
                <w:color w:val="807060"/>
                <w:spacing w:val="-4"/>
              </w:rPr>
              <w:t>0.1617</w:t>
            </w:r>
          </w:p>
        </w:tc>
        <w:tc>
          <w:tcPr>
            <w:tcW w:w="849" w:type="dxa"/>
            <w:vAlign w:val="top"/>
          </w:tcPr>
          <w:p>
            <w:pPr>
              <w:pStyle w:val="TableText"/>
              <w:ind w:left="102"/>
              <w:spacing w:before="55" w:line="166" w:lineRule="auto"/>
              <w:rPr>
                <w:sz w:val="21"/>
                <w:szCs w:val="21"/>
              </w:rPr>
            </w:pPr>
            <w:r>
              <w:rPr>
                <w:sz w:val="21"/>
                <w:szCs w:val="21"/>
                <w:spacing w:val="-2"/>
              </w:rPr>
              <w:t>0.0749</w:t>
            </w:r>
          </w:p>
        </w:tc>
        <w:tc>
          <w:tcPr>
            <w:tcW w:w="879" w:type="dxa"/>
            <w:vAlign w:val="top"/>
          </w:tcPr>
          <w:p>
            <w:pPr>
              <w:pStyle w:val="TableText"/>
              <w:ind w:left="223"/>
              <w:spacing w:before="55" w:line="166" w:lineRule="auto"/>
              <w:rPr>
                <w:sz w:val="21"/>
                <w:szCs w:val="21"/>
              </w:rPr>
            </w:pPr>
            <w:r>
              <w:rPr>
                <w:sz w:val="21"/>
                <w:szCs w:val="21"/>
                <w:spacing w:val="-2"/>
              </w:rPr>
              <w:t>62.4</w:t>
            </w:r>
          </w:p>
        </w:tc>
        <w:tc>
          <w:tcPr>
            <w:tcW w:w="4597" w:type="dxa"/>
            <w:vAlign w:val="top"/>
            <w:vMerge w:val="continue"/>
            <w:tcBorders>
              <w:top w:val="nil"/>
              <w:bottom w:val="nil"/>
            </w:tcBorders>
          </w:tcPr>
          <w:p>
            <w:pPr>
              <w:rPr>
                <w:rFonts w:ascii="Arial"/>
                <w:sz w:val="21"/>
              </w:rPr>
            </w:pPr>
            <w:r/>
          </w:p>
        </w:tc>
        <w:tc>
          <w:tcPr>
            <w:tcW w:w="870" w:type="dxa"/>
            <w:vAlign w:val="top"/>
            <w:gridSpan w:val="2"/>
          </w:tcPr>
          <w:p>
            <w:pPr>
              <w:pStyle w:val="TableText"/>
              <w:ind w:left="378"/>
              <w:spacing w:before="40" w:line="179" w:lineRule="auto"/>
              <w:rPr>
                <w:sz w:val="21"/>
                <w:szCs w:val="21"/>
              </w:rPr>
            </w:pPr>
            <w:r>
              <w:rPr>
                <w:sz w:val="21"/>
                <w:szCs w:val="21"/>
              </w:rPr>
              <w:t>/</w:t>
            </w:r>
          </w:p>
        </w:tc>
        <w:tc>
          <w:tcPr>
            <w:tcW w:w="670" w:type="dxa"/>
            <w:vAlign w:val="top"/>
          </w:tcPr>
          <w:p>
            <w:pPr>
              <w:pStyle w:val="TableText"/>
              <w:ind w:left="18"/>
              <w:spacing w:before="55" w:line="166" w:lineRule="auto"/>
              <w:rPr>
                <w:sz w:val="21"/>
                <w:szCs w:val="21"/>
              </w:rPr>
            </w:pPr>
            <w:r>
              <w:rPr>
                <w:sz w:val="21"/>
                <w:szCs w:val="21"/>
                <w:color w:val="404040"/>
                <w:spacing w:val="-2"/>
              </w:rPr>
              <w:t>0.1617</w:t>
            </w:r>
          </w:p>
        </w:tc>
        <w:tc>
          <w:tcPr>
            <w:tcW w:w="849" w:type="dxa"/>
            <w:vAlign w:val="top"/>
          </w:tcPr>
          <w:p>
            <w:pPr>
              <w:pStyle w:val="TableText"/>
              <w:ind w:left="108"/>
              <w:spacing w:before="55" w:line="166" w:lineRule="auto"/>
              <w:rPr>
                <w:sz w:val="21"/>
                <w:szCs w:val="21"/>
              </w:rPr>
            </w:pPr>
            <w:r>
              <w:rPr>
                <w:sz w:val="21"/>
                <w:szCs w:val="21"/>
                <w:spacing w:val="-2"/>
              </w:rPr>
              <w:t>0.0749</w:t>
            </w:r>
          </w:p>
        </w:tc>
        <w:tc>
          <w:tcPr>
            <w:tcW w:w="839" w:type="dxa"/>
            <w:vAlign w:val="top"/>
          </w:tcPr>
          <w:p>
            <w:pPr>
              <w:pStyle w:val="TableText"/>
              <w:ind w:left="208"/>
              <w:spacing w:before="55" w:line="166" w:lineRule="auto"/>
              <w:rPr>
                <w:sz w:val="21"/>
                <w:szCs w:val="21"/>
              </w:rPr>
            </w:pPr>
            <w:r>
              <w:rPr>
                <w:sz w:val="21"/>
                <w:szCs w:val="21"/>
                <w:spacing w:val="-2"/>
              </w:rPr>
              <w:t>62.4</w:t>
            </w:r>
          </w:p>
        </w:tc>
        <w:tc>
          <w:tcPr>
            <w:tcW w:w="450" w:type="dxa"/>
            <w:vAlign w:val="top"/>
            <w:vMerge w:val="continue"/>
            <w:tcBorders>
              <w:top w:val="nil"/>
              <w:bottom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266" w:hRule="atLeast"/>
        </w:trPr>
        <w:tc>
          <w:tcPr>
            <w:tcW w:w="205" w:type="dxa"/>
            <w:vAlign w:val="top"/>
            <w:textDirection w:val="tbRlV"/>
            <w:tcBorders>
              <w:bottom w:val="nil"/>
              <w:top w:val="nil"/>
            </w:tcBorders>
          </w:tcPr>
          <w:p>
            <w:pPr>
              <w:spacing w:line="195" w:lineRule="exact"/>
              <w:rPr>
                <w:rFonts w:ascii="Arial"/>
                <w:sz w:val="16"/>
              </w:rPr>
            </w:pPr>
            <w:r>
              <w:pict>
                <v:shape id="_x0000_s218" style="position:absolute;margin-left:-11.5301pt;margin-top:-0.394318pt;mso-position-vertical-relative:top-margin-area;mso-position-horizontal-relative:right-margin-area;width:12.05pt;height:20pt;z-index:252909568;" filled="false" stroked="false" type="#_x0000_t202">
                  <v:fill on="false"/>
                  <v:stroke on="false"/>
                  <v:path/>
                  <v:imagedata o:title=""/>
                  <o:lock v:ext="edit" aspectratio="false"/>
                  <v:textbox inset="0mm,0mm,0mm,0mm" style="layout-flow:vertical-ideographic;">
                    <w:txbxContent>
                      <w:p>
                        <w:pPr>
                          <w:pStyle w:val="TableText"/>
                          <w:ind w:left="20"/>
                          <w:spacing w:before="20" w:line="199" w:lineRule="auto"/>
                          <w:rPr/>
                        </w:pPr>
                        <w:r>
                          <w:rPr/>
                          <w:t>蒸汽</w:t>
                        </w:r>
                      </w:p>
                    </w:txbxContent>
                  </v:textbox>
                </v:shape>
              </w:pict>
            </w:r>
            <w:r/>
          </w:p>
        </w:tc>
        <w:tc>
          <w:tcPr>
            <w:tcW w:w="520" w:type="dxa"/>
            <w:vAlign w:val="top"/>
            <w:vMerge w:val="continue"/>
            <w:tcBorders>
              <w:top w:val="nil"/>
              <w:bottom w:val="nil"/>
            </w:tcBorders>
          </w:tcPr>
          <w:p>
            <w:pPr>
              <w:rPr>
                <w:rFonts w:ascii="Arial"/>
                <w:sz w:val="21"/>
              </w:rPr>
            </w:pPr>
            <w:r/>
          </w:p>
        </w:tc>
        <w:tc>
          <w:tcPr>
            <w:tcW w:w="210" w:type="dxa"/>
            <w:vAlign w:val="top"/>
            <w:vMerge w:val="continue"/>
            <w:textDirection w:val="tbRlV"/>
            <w:tcBorders>
              <w:top w:val="nil"/>
            </w:tcBorders>
          </w:tcPr>
          <w:p>
            <w:pPr>
              <w:spacing w:line="200" w:lineRule="exact"/>
              <w:rPr>
                <w:rFonts w:ascii="Arial"/>
                <w:sz w:val="16"/>
              </w:rPr>
            </w:pPr>
            <w:r/>
          </w:p>
        </w:tc>
        <w:tc>
          <w:tcPr>
            <w:tcW w:w="689" w:type="dxa"/>
            <w:vAlign w:val="top"/>
            <w:vMerge w:val="continue"/>
            <w:tcBorders>
              <w:top w:val="nil"/>
            </w:tcBorders>
          </w:tcPr>
          <w:p>
            <w:pPr>
              <w:rPr>
                <w:rFonts w:ascii="Arial"/>
                <w:sz w:val="21"/>
              </w:rPr>
            </w:pPr>
            <w:r/>
          </w:p>
        </w:tc>
        <w:tc>
          <w:tcPr>
            <w:tcW w:w="629" w:type="dxa"/>
            <w:vAlign w:val="top"/>
          </w:tcPr>
          <w:p>
            <w:pPr>
              <w:pStyle w:val="TableText"/>
              <w:ind w:left="91"/>
              <w:spacing w:before="73" w:line="160" w:lineRule="auto"/>
              <w:rPr>
                <w:rFonts w:ascii="Calibri" w:hAnsi="Calibri" w:eastAsia="Calibri" w:cs="Calibri"/>
                <w:sz w:val="21"/>
                <w:szCs w:val="21"/>
              </w:rPr>
            </w:pPr>
            <w:r>
              <w:rPr>
                <w:sz w:val="21"/>
                <w:szCs w:val="21"/>
                <w:spacing w:val="-4"/>
              </w:rPr>
              <w:t>SO</w:t>
            </w:r>
            <w:r>
              <w:rPr>
                <w:rFonts w:ascii="Calibri" w:hAnsi="Calibri" w:eastAsia="Calibri" w:cs="Calibri"/>
                <w:sz w:val="21"/>
                <w:szCs w:val="21"/>
                <w:spacing w:val="-4"/>
              </w:rPr>
              <w:t>₂</w:t>
            </w:r>
          </w:p>
        </w:tc>
        <w:tc>
          <w:tcPr>
            <w:tcW w:w="540" w:type="dxa"/>
            <w:vAlign w:val="top"/>
            <w:vMerge w:val="continue"/>
            <w:tcBorders>
              <w:top w:val="nil"/>
            </w:tcBorders>
          </w:tcPr>
          <w:p>
            <w:pPr>
              <w:rPr>
                <w:rFonts w:ascii="Arial"/>
                <w:sz w:val="21"/>
              </w:rPr>
            </w:pPr>
            <w:r/>
          </w:p>
        </w:tc>
        <w:tc>
          <w:tcPr>
            <w:tcW w:w="629" w:type="dxa"/>
            <w:vAlign w:val="top"/>
          </w:tcPr>
          <w:p>
            <w:pPr>
              <w:pStyle w:val="TableText"/>
              <w:spacing w:before="61" w:line="171" w:lineRule="auto"/>
              <w:jc w:val="right"/>
              <w:rPr>
                <w:sz w:val="21"/>
                <w:szCs w:val="21"/>
              </w:rPr>
            </w:pPr>
            <w:r>
              <w:rPr>
                <w:sz w:val="21"/>
                <w:szCs w:val="21"/>
                <w:color w:val="606050"/>
                <w:spacing w:val="-4"/>
              </w:rPr>
              <w:t>0.0346</w:t>
            </w:r>
          </w:p>
        </w:tc>
        <w:tc>
          <w:tcPr>
            <w:tcW w:w="849" w:type="dxa"/>
            <w:vAlign w:val="top"/>
          </w:tcPr>
          <w:p>
            <w:pPr>
              <w:pStyle w:val="TableText"/>
              <w:ind w:left="102"/>
              <w:spacing w:before="61" w:line="171" w:lineRule="auto"/>
              <w:rPr>
                <w:sz w:val="21"/>
                <w:szCs w:val="21"/>
              </w:rPr>
            </w:pPr>
            <w:r>
              <w:rPr>
                <w:sz w:val="21"/>
                <w:szCs w:val="21"/>
                <w:spacing w:val="-2"/>
              </w:rPr>
              <w:t>0.0160</w:t>
            </w:r>
          </w:p>
        </w:tc>
        <w:tc>
          <w:tcPr>
            <w:tcW w:w="879" w:type="dxa"/>
            <w:vAlign w:val="top"/>
          </w:tcPr>
          <w:p>
            <w:pPr>
              <w:pStyle w:val="TableText"/>
              <w:ind w:left="223"/>
              <w:spacing w:before="61" w:line="171" w:lineRule="auto"/>
              <w:rPr>
                <w:sz w:val="21"/>
                <w:szCs w:val="21"/>
              </w:rPr>
            </w:pPr>
            <w:r>
              <w:rPr>
                <w:sz w:val="21"/>
                <w:szCs w:val="21"/>
                <w:color w:val="505050"/>
                <w:spacing w:val="-5"/>
              </w:rPr>
              <w:t>13.3</w:t>
            </w:r>
          </w:p>
        </w:tc>
        <w:tc>
          <w:tcPr>
            <w:tcW w:w="4597" w:type="dxa"/>
            <w:vAlign w:val="top"/>
            <w:vMerge w:val="continue"/>
            <w:tcBorders>
              <w:top w:val="nil"/>
              <w:bottom w:val="nil"/>
            </w:tcBorders>
          </w:tcPr>
          <w:p>
            <w:pPr>
              <w:rPr>
                <w:rFonts w:ascii="Arial"/>
                <w:sz w:val="21"/>
              </w:rPr>
            </w:pPr>
            <w:r/>
          </w:p>
        </w:tc>
        <w:tc>
          <w:tcPr>
            <w:tcW w:w="870" w:type="dxa"/>
            <w:vAlign w:val="top"/>
            <w:gridSpan w:val="2"/>
          </w:tcPr>
          <w:p>
            <w:pPr>
              <w:pStyle w:val="TableText"/>
              <w:ind w:left="378"/>
              <w:spacing w:before="46" w:line="184" w:lineRule="auto"/>
              <w:rPr>
                <w:sz w:val="21"/>
                <w:szCs w:val="21"/>
              </w:rPr>
            </w:pPr>
            <w:r>
              <w:rPr>
                <w:sz w:val="21"/>
                <w:szCs w:val="21"/>
              </w:rPr>
              <w:t>/</w:t>
            </w:r>
          </w:p>
        </w:tc>
        <w:tc>
          <w:tcPr>
            <w:tcW w:w="670" w:type="dxa"/>
            <w:vAlign w:val="top"/>
          </w:tcPr>
          <w:p>
            <w:pPr>
              <w:pStyle w:val="TableText"/>
              <w:ind w:left="18"/>
              <w:spacing w:before="61" w:line="171" w:lineRule="auto"/>
              <w:rPr>
                <w:sz w:val="21"/>
                <w:szCs w:val="21"/>
              </w:rPr>
            </w:pPr>
            <w:r>
              <w:rPr>
                <w:sz w:val="21"/>
                <w:szCs w:val="21"/>
                <w:spacing w:val="-2"/>
              </w:rPr>
              <w:t>0.0346</w:t>
            </w:r>
          </w:p>
        </w:tc>
        <w:tc>
          <w:tcPr>
            <w:tcW w:w="849" w:type="dxa"/>
            <w:vAlign w:val="top"/>
          </w:tcPr>
          <w:p>
            <w:pPr>
              <w:pStyle w:val="TableText"/>
              <w:ind w:left="108"/>
              <w:spacing w:before="61" w:line="171" w:lineRule="auto"/>
              <w:rPr>
                <w:sz w:val="21"/>
                <w:szCs w:val="21"/>
              </w:rPr>
            </w:pPr>
            <w:r>
              <w:rPr>
                <w:sz w:val="21"/>
                <w:szCs w:val="21"/>
                <w:spacing w:val="-2"/>
              </w:rPr>
              <w:t>0.0160</w:t>
            </w:r>
          </w:p>
        </w:tc>
        <w:tc>
          <w:tcPr>
            <w:tcW w:w="839" w:type="dxa"/>
            <w:vAlign w:val="top"/>
          </w:tcPr>
          <w:p>
            <w:pPr>
              <w:pStyle w:val="TableText"/>
              <w:ind w:left="208"/>
              <w:spacing w:before="61" w:line="171" w:lineRule="auto"/>
              <w:rPr>
                <w:sz w:val="21"/>
                <w:szCs w:val="21"/>
              </w:rPr>
            </w:pPr>
            <w:r>
              <w:rPr>
                <w:sz w:val="21"/>
                <w:szCs w:val="21"/>
                <w:color w:val="707060"/>
                <w:spacing w:val="-5"/>
              </w:rPr>
              <w:t>13.3</w:t>
            </w:r>
          </w:p>
        </w:tc>
        <w:tc>
          <w:tcPr>
            <w:tcW w:w="450" w:type="dxa"/>
            <w:vAlign w:val="top"/>
            <w:vMerge w:val="continue"/>
            <w:tcBorders>
              <w:top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291" w:hRule="atLeast"/>
        </w:trPr>
        <w:tc>
          <w:tcPr>
            <w:tcW w:w="205" w:type="dxa"/>
            <w:vAlign w:val="top"/>
            <w:tcBorders>
              <w:bottom w:val="nil"/>
              <w:top w:val="nil"/>
            </w:tcBorders>
          </w:tcPr>
          <w:p>
            <w:pPr>
              <w:rPr>
                <w:rFonts w:ascii="Arial"/>
                <w:sz w:val="21"/>
              </w:rPr>
            </w:pPr>
            <w:r/>
          </w:p>
        </w:tc>
        <w:tc>
          <w:tcPr>
            <w:tcW w:w="520" w:type="dxa"/>
            <w:vAlign w:val="top"/>
            <w:vMerge w:val="continue"/>
            <w:tcBorders>
              <w:top w:val="nil"/>
              <w:bottom w:val="nil"/>
            </w:tcBorders>
          </w:tcPr>
          <w:p>
            <w:pPr>
              <w:rPr>
                <w:rFonts w:ascii="Arial"/>
                <w:sz w:val="21"/>
              </w:rPr>
            </w:pPr>
            <w:r/>
          </w:p>
        </w:tc>
        <w:tc>
          <w:tcPr>
            <w:tcW w:w="210" w:type="dxa"/>
            <w:vAlign w:val="top"/>
            <w:vMerge w:val="restart"/>
            <w:textDirection w:val="tbRlV"/>
            <w:tcBorders>
              <w:bottom w:val="nil"/>
            </w:tcBorders>
          </w:tcPr>
          <w:p>
            <w:pPr>
              <w:pStyle w:val="TableText"/>
              <w:ind w:left="137"/>
              <w:spacing w:before="7" w:line="200" w:lineRule="auto"/>
              <w:rPr>
                <w:sz w:val="19"/>
                <w:szCs w:val="19"/>
              </w:rPr>
            </w:pPr>
            <w:r>
              <w:rPr>
                <w:sz w:val="19"/>
                <w:szCs w:val="19"/>
                <w:spacing w:val="10"/>
              </w:rPr>
              <w:t>旺季</w:t>
            </w:r>
          </w:p>
        </w:tc>
        <w:tc>
          <w:tcPr>
            <w:tcW w:w="689" w:type="dxa"/>
            <w:vAlign w:val="top"/>
            <w:vMerge w:val="restart"/>
            <w:tcBorders>
              <w:bottom w:val="nil"/>
            </w:tcBorders>
          </w:tcPr>
          <w:p>
            <w:pPr>
              <w:spacing w:line="255" w:lineRule="auto"/>
              <w:rPr>
                <w:rFonts w:ascii="Arial"/>
                <w:sz w:val="21"/>
              </w:rPr>
            </w:pPr>
            <w:r/>
          </w:p>
          <w:p>
            <w:pPr>
              <w:pStyle w:val="TableText"/>
              <w:ind w:left="20"/>
              <w:spacing w:before="68" w:line="220" w:lineRule="auto"/>
              <w:rPr>
                <w:sz w:val="21"/>
                <w:szCs w:val="21"/>
              </w:rPr>
            </w:pPr>
            <w:r>
              <w:rPr>
                <w:sz w:val="21"/>
                <w:szCs w:val="21"/>
                <w:spacing w:val="3"/>
              </w:rPr>
              <w:t>有组织</w:t>
            </w:r>
          </w:p>
        </w:tc>
        <w:tc>
          <w:tcPr>
            <w:tcW w:w="629" w:type="dxa"/>
            <w:vAlign w:val="top"/>
          </w:tcPr>
          <w:p>
            <w:pPr>
              <w:pStyle w:val="TableText"/>
              <w:spacing w:before="45" w:line="207" w:lineRule="auto"/>
              <w:jc w:val="right"/>
              <w:rPr>
                <w:sz w:val="21"/>
                <w:szCs w:val="21"/>
              </w:rPr>
            </w:pPr>
            <w:r>
              <w:rPr>
                <w:sz w:val="21"/>
                <w:szCs w:val="21"/>
                <w:color w:val="808080"/>
                <w:spacing w:val="-8"/>
              </w:rPr>
              <w:t>颗粒物</w:t>
            </w:r>
          </w:p>
        </w:tc>
        <w:tc>
          <w:tcPr>
            <w:tcW w:w="540" w:type="dxa"/>
            <w:vAlign w:val="top"/>
            <w:vMerge w:val="restart"/>
            <w:tcBorders>
              <w:bottom w:val="nil"/>
            </w:tcBorders>
          </w:tcPr>
          <w:p>
            <w:pPr>
              <w:pStyle w:val="TableText"/>
              <w:ind w:left="51"/>
              <w:spacing w:before="54" w:line="219" w:lineRule="auto"/>
              <w:rPr>
                <w:sz w:val="21"/>
                <w:szCs w:val="21"/>
              </w:rPr>
            </w:pPr>
            <w:r>
              <w:rPr>
                <w:sz w:val="21"/>
                <w:szCs w:val="21"/>
                <w:spacing w:val="-3"/>
              </w:rPr>
              <w:t>产污</w:t>
            </w:r>
          </w:p>
          <w:p>
            <w:pPr>
              <w:pStyle w:val="TableText"/>
              <w:ind w:left="151" w:right="48" w:hanging="100"/>
              <w:spacing w:before="10" w:line="228" w:lineRule="auto"/>
              <w:rPr>
                <w:sz w:val="21"/>
                <w:szCs w:val="21"/>
              </w:rPr>
            </w:pPr>
            <w:r>
              <w:rPr>
                <w:sz w:val="21"/>
                <w:szCs w:val="21"/>
                <w:spacing w:val="4"/>
              </w:rPr>
              <w:t>系数</w:t>
            </w:r>
            <w:r>
              <w:rPr>
                <w:sz w:val="21"/>
                <w:szCs w:val="21"/>
              </w:rPr>
              <w:t xml:space="preserve"> </w:t>
            </w:r>
            <w:r>
              <w:rPr>
                <w:sz w:val="21"/>
                <w:szCs w:val="21"/>
              </w:rPr>
              <w:t>法</w:t>
            </w:r>
          </w:p>
        </w:tc>
        <w:tc>
          <w:tcPr>
            <w:tcW w:w="629" w:type="dxa"/>
            <w:vAlign w:val="top"/>
          </w:tcPr>
          <w:p>
            <w:pPr>
              <w:pStyle w:val="TableText"/>
              <w:spacing w:before="66" w:line="189" w:lineRule="auto"/>
              <w:jc w:val="right"/>
              <w:rPr>
                <w:sz w:val="21"/>
                <w:szCs w:val="21"/>
              </w:rPr>
            </w:pPr>
            <w:r>
              <w:rPr>
                <w:sz w:val="21"/>
                <w:szCs w:val="21"/>
                <w:color w:val="505050"/>
                <w:spacing w:val="-4"/>
              </w:rPr>
              <w:t>0.0165</w:t>
            </w:r>
          </w:p>
        </w:tc>
        <w:tc>
          <w:tcPr>
            <w:tcW w:w="849" w:type="dxa"/>
            <w:vAlign w:val="top"/>
          </w:tcPr>
          <w:p>
            <w:pPr>
              <w:pStyle w:val="TableText"/>
              <w:ind w:left="102"/>
              <w:spacing w:before="66" w:line="189" w:lineRule="auto"/>
              <w:rPr>
                <w:sz w:val="21"/>
                <w:szCs w:val="21"/>
              </w:rPr>
            </w:pPr>
            <w:r>
              <w:rPr>
                <w:sz w:val="21"/>
                <w:szCs w:val="21"/>
                <w:spacing w:val="-2"/>
              </w:rPr>
              <w:t>0.0229</w:t>
            </w:r>
          </w:p>
        </w:tc>
        <w:tc>
          <w:tcPr>
            <w:tcW w:w="879" w:type="dxa"/>
            <w:vAlign w:val="top"/>
          </w:tcPr>
          <w:p>
            <w:pPr>
              <w:pStyle w:val="TableText"/>
              <w:ind w:left="223"/>
              <w:spacing w:before="66" w:line="189" w:lineRule="auto"/>
              <w:rPr>
                <w:sz w:val="21"/>
                <w:szCs w:val="21"/>
              </w:rPr>
            </w:pPr>
            <w:r>
              <w:rPr>
                <w:sz w:val="21"/>
                <w:szCs w:val="21"/>
                <w:spacing w:val="-5"/>
              </w:rPr>
              <w:t>19.1</w:t>
            </w:r>
          </w:p>
        </w:tc>
        <w:tc>
          <w:tcPr>
            <w:tcW w:w="4597" w:type="dxa"/>
            <w:vAlign w:val="top"/>
            <w:vMerge w:val="continue"/>
            <w:tcBorders>
              <w:top w:val="nil"/>
              <w:bottom w:val="nil"/>
            </w:tcBorders>
          </w:tcPr>
          <w:p>
            <w:pPr>
              <w:rPr>
                <w:rFonts w:ascii="Arial"/>
                <w:sz w:val="21"/>
              </w:rPr>
            </w:pPr>
            <w:r/>
          </w:p>
        </w:tc>
        <w:tc>
          <w:tcPr>
            <w:tcW w:w="870" w:type="dxa"/>
            <w:vAlign w:val="top"/>
            <w:gridSpan w:val="2"/>
          </w:tcPr>
          <w:p>
            <w:pPr>
              <w:pStyle w:val="TableText"/>
              <w:ind w:left="378"/>
              <w:spacing w:before="50" w:line="203" w:lineRule="auto"/>
              <w:rPr>
                <w:sz w:val="21"/>
                <w:szCs w:val="21"/>
              </w:rPr>
            </w:pPr>
            <w:r>
              <w:rPr>
                <w:sz w:val="21"/>
                <w:szCs w:val="21"/>
                <w:color w:val="505070"/>
              </w:rPr>
              <w:t>/</w:t>
            </w:r>
          </w:p>
        </w:tc>
        <w:tc>
          <w:tcPr>
            <w:tcW w:w="670" w:type="dxa"/>
            <w:vAlign w:val="top"/>
          </w:tcPr>
          <w:p>
            <w:pPr>
              <w:pStyle w:val="TableText"/>
              <w:ind w:left="18"/>
              <w:spacing w:before="66" w:line="189" w:lineRule="auto"/>
              <w:rPr>
                <w:sz w:val="21"/>
                <w:szCs w:val="21"/>
              </w:rPr>
            </w:pPr>
            <w:r>
              <w:rPr>
                <w:sz w:val="21"/>
                <w:szCs w:val="21"/>
                <w:spacing w:val="-2"/>
              </w:rPr>
              <w:t>0.0165</w:t>
            </w:r>
          </w:p>
        </w:tc>
        <w:tc>
          <w:tcPr>
            <w:tcW w:w="849" w:type="dxa"/>
            <w:vAlign w:val="top"/>
          </w:tcPr>
          <w:p>
            <w:pPr>
              <w:pStyle w:val="TableText"/>
              <w:ind w:left="108"/>
              <w:spacing w:before="66" w:line="189" w:lineRule="auto"/>
              <w:rPr>
                <w:sz w:val="21"/>
                <w:szCs w:val="21"/>
              </w:rPr>
            </w:pPr>
            <w:r>
              <w:rPr>
                <w:sz w:val="21"/>
                <w:szCs w:val="21"/>
                <w:spacing w:val="-2"/>
              </w:rPr>
              <w:t>0.0229</w:t>
            </w:r>
          </w:p>
        </w:tc>
        <w:tc>
          <w:tcPr>
            <w:tcW w:w="839" w:type="dxa"/>
            <w:vAlign w:val="top"/>
          </w:tcPr>
          <w:p>
            <w:pPr>
              <w:pStyle w:val="TableText"/>
              <w:ind w:left="208"/>
              <w:spacing w:before="66" w:line="189" w:lineRule="auto"/>
              <w:rPr>
                <w:sz w:val="21"/>
                <w:szCs w:val="21"/>
              </w:rPr>
            </w:pPr>
            <w:r>
              <w:rPr>
                <w:sz w:val="21"/>
                <w:szCs w:val="21"/>
                <w:spacing w:val="-5"/>
              </w:rPr>
              <w:t>19.1</w:t>
            </w:r>
          </w:p>
        </w:tc>
        <w:tc>
          <w:tcPr>
            <w:tcW w:w="450" w:type="dxa"/>
            <w:vAlign w:val="top"/>
            <w:vMerge w:val="restart"/>
            <w:tcBorders>
              <w:bottom w:val="nil"/>
            </w:tcBorders>
          </w:tcPr>
          <w:p>
            <w:pPr>
              <w:spacing w:line="275" w:lineRule="auto"/>
              <w:rPr>
                <w:rFonts w:ascii="Arial"/>
                <w:sz w:val="21"/>
              </w:rPr>
            </w:pPr>
            <w:r/>
          </w:p>
          <w:p>
            <w:pPr>
              <w:pStyle w:val="TableText"/>
              <w:ind w:left="60"/>
              <w:spacing w:before="68"/>
              <w:rPr>
                <w:sz w:val="21"/>
                <w:szCs w:val="21"/>
              </w:rPr>
            </w:pPr>
            <w:r>
              <w:rPr>
                <w:sz w:val="21"/>
                <w:szCs w:val="21"/>
                <w:spacing w:val="-3"/>
              </w:rPr>
              <w:t>720</w:t>
            </w:r>
          </w:p>
        </w:tc>
        <w:tc>
          <w:tcPr>
            <w:tcW w:w="1664" w:type="dxa"/>
            <w:vAlign w:val="top"/>
            <w:vMerge w:val="continue"/>
            <w:tcBorders>
              <w:top w:val="nil"/>
              <w:bottom w:val="nil"/>
            </w:tcBorders>
          </w:tcPr>
          <w:p>
            <w:pPr>
              <w:rPr>
                <w:rFonts w:ascii="Arial"/>
                <w:sz w:val="21"/>
              </w:rPr>
            </w:pPr>
            <w:r/>
          </w:p>
        </w:tc>
      </w:tr>
      <w:tr>
        <w:trPr>
          <w:trHeight w:val="227" w:hRule="atLeast"/>
        </w:trPr>
        <w:tc>
          <w:tcPr>
            <w:tcW w:w="205" w:type="dxa"/>
            <w:vAlign w:val="top"/>
            <w:tcBorders>
              <w:bottom w:val="nil"/>
              <w:top w:val="nil"/>
            </w:tcBorders>
          </w:tcPr>
          <w:p>
            <w:pPr>
              <w:spacing w:line="217" w:lineRule="exact"/>
              <w:rPr>
                <w:rFonts w:ascii="Arial"/>
                <w:sz w:val="18"/>
              </w:rPr>
            </w:pPr>
            <w:r/>
          </w:p>
        </w:tc>
        <w:tc>
          <w:tcPr>
            <w:tcW w:w="520" w:type="dxa"/>
            <w:vAlign w:val="top"/>
            <w:vMerge w:val="continue"/>
            <w:tcBorders>
              <w:top w:val="nil"/>
              <w:bottom w:val="nil"/>
            </w:tcBorders>
          </w:tcPr>
          <w:p>
            <w:pPr>
              <w:rPr>
                <w:rFonts w:ascii="Arial"/>
                <w:sz w:val="21"/>
              </w:rPr>
            </w:pPr>
            <w:r/>
          </w:p>
        </w:tc>
        <w:tc>
          <w:tcPr>
            <w:tcW w:w="210" w:type="dxa"/>
            <w:vAlign w:val="top"/>
            <w:vMerge w:val="continue"/>
            <w:textDirection w:val="tbRlV"/>
            <w:tcBorders>
              <w:top w:val="nil"/>
              <w:bottom w:val="nil"/>
            </w:tcBorders>
          </w:tcPr>
          <w:p>
            <w:pPr>
              <w:spacing w:line="200" w:lineRule="exact"/>
              <w:rPr>
                <w:rFonts w:ascii="Arial"/>
                <w:sz w:val="16"/>
              </w:rPr>
            </w:pPr>
            <w:r/>
          </w:p>
        </w:tc>
        <w:tc>
          <w:tcPr>
            <w:tcW w:w="689" w:type="dxa"/>
            <w:vAlign w:val="top"/>
            <w:vMerge w:val="continue"/>
            <w:tcBorders>
              <w:top w:val="nil"/>
              <w:bottom w:val="nil"/>
            </w:tcBorders>
          </w:tcPr>
          <w:p>
            <w:pPr>
              <w:rPr>
                <w:rFonts w:ascii="Arial"/>
                <w:sz w:val="21"/>
              </w:rPr>
            </w:pPr>
            <w:r/>
          </w:p>
        </w:tc>
        <w:tc>
          <w:tcPr>
            <w:tcW w:w="629" w:type="dxa"/>
            <w:vAlign w:val="top"/>
          </w:tcPr>
          <w:p>
            <w:pPr>
              <w:pStyle w:val="TableText"/>
              <w:ind w:left="11"/>
              <w:spacing w:before="17" w:line="184" w:lineRule="auto"/>
              <w:rPr/>
            </w:pPr>
            <w:r>
              <w:rPr>
                <w:spacing w:val="-10"/>
                <w:position w:val="1"/>
              </w:rPr>
              <w:t>[</w:t>
            </w:r>
            <w:r>
              <w:rPr>
                <w:spacing w:val="18"/>
                <w:position w:val="1"/>
              </w:rPr>
              <w:t xml:space="preserve"> </w:t>
            </w:r>
            <w:r>
              <w:rPr>
                <w:spacing w:val="-10"/>
                <w:position w:val="-1"/>
              </w:rPr>
              <w:t>NOx</w:t>
            </w:r>
          </w:p>
        </w:tc>
        <w:tc>
          <w:tcPr>
            <w:tcW w:w="540" w:type="dxa"/>
            <w:vAlign w:val="top"/>
            <w:vMerge w:val="continue"/>
            <w:tcBorders>
              <w:top w:val="nil"/>
              <w:bottom w:val="nil"/>
            </w:tcBorders>
          </w:tcPr>
          <w:p>
            <w:pPr>
              <w:rPr>
                <w:rFonts w:ascii="Arial"/>
                <w:sz w:val="21"/>
              </w:rPr>
            </w:pPr>
            <w:r/>
          </w:p>
        </w:tc>
        <w:tc>
          <w:tcPr>
            <w:tcW w:w="629" w:type="dxa"/>
            <w:vAlign w:val="top"/>
          </w:tcPr>
          <w:p>
            <w:pPr>
              <w:pStyle w:val="TableText"/>
              <w:spacing w:before="54" w:line="163" w:lineRule="exact"/>
              <w:jc w:val="right"/>
              <w:rPr>
                <w:sz w:val="21"/>
                <w:szCs w:val="21"/>
              </w:rPr>
            </w:pPr>
            <w:r>
              <w:rPr>
                <w:sz w:val="21"/>
                <w:szCs w:val="21"/>
                <w:color w:val="404040"/>
                <w:spacing w:val="-4"/>
                <w:position w:val="-2"/>
              </w:rPr>
              <w:t>0.0539</w:t>
            </w:r>
          </w:p>
        </w:tc>
        <w:tc>
          <w:tcPr>
            <w:tcW w:w="849" w:type="dxa"/>
            <w:vAlign w:val="top"/>
          </w:tcPr>
          <w:p>
            <w:pPr>
              <w:pStyle w:val="TableText"/>
              <w:ind w:left="102"/>
              <w:spacing w:before="54" w:line="163" w:lineRule="exact"/>
              <w:rPr>
                <w:sz w:val="21"/>
                <w:szCs w:val="21"/>
              </w:rPr>
            </w:pPr>
            <w:r>
              <w:rPr>
                <w:sz w:val="21"/>
                <w:szCs w:val="21"/>
                <w:spacing w:val="-2"/>
                <w:position w:val="-2"/>
              </w:rPr>
              <w:t>0.0749</w:t>
            </w:r>
          </w:p>
        </w:tc>
        <w:tc>
          <w:tcPr>
            <w:tcW w:w="879" w:type="dxa"/>
            <w:vAlign w:val="top"/>
          </w:tcPr>
          <w:p>
            <w:pPr>
              <w:pStyle w:val="TableText"/>
              <w:ind w:left="223"/>
              <w:spacing w:before="54" w:line="163" w:lineRule="exact"/>
              <w:rPr>
                <w:sz w:val="21"/>
                <w:szCs w:val="21"/>
              </w:rPr>
            </w:pPr>
            <w:r>
              <w:rPr>
                <w:sz w:val="21"/>
                <w:szCs w:val="21"/>
                <w:spacing w:val="-2"/>
                <w:position w:val="-2"/>
              </w:rPr>
              <w:t>62.4</w:t>
            </w:r>
          </w:p>
        </w:tc>
        <w:tc>
          <w:tcPr>
            <w:tcW w:w="4597" w:type="dxa"/>
            <w:vAlign w:val="top"/>
            <w:vMerge w:val="continue"/>
            <w:tcBorders>
              <w:top w:val="nil"/>
              <w:bottom w:val="nil"/>
            </w:tcBorders>
          </w:tcPr>
          <w:p>
            <w:pPr>
              <w:rPr>
                <w:rFonts w:ascii="Arial"/>
                <w:sz w:val="21"/>
              </w:rPr>
            </w:pPr>
            <w:r/>
          </w:p>
        </w:tc>
        <w:tc>
          <w:tcPr>
            <w:tcW w:w="870" w:type="dxa"/>
            <w:vAlign w:val="top"/>
            <w:gridSpan w:val="2"/>
          </w:tcPr>
          <w:p>
            <w:pPr>
              <w:pStyle w:val="TableText"/>
              <w:ind w:left="378"/>
              <w:spacing w:before="54" w:line="163" w:lineRule="exact"/>
              <w:rPr>
                <w:sz w:val="21"/>
                <w:szCs w:val="21"/>
              </w:rPr>
            </w:pPr>
            <w:r>
              <w:rPr>
                <w:sz w:val="21"/>
                <w:szCs w:val="21"/>
                <w:position w:val="-3"/>
              </w:rPr>
              <w:t>1</w:t>
            </w:r>
          </w:p>
        </w:tc>
        <w:tc>
          <w:tcPr>
            <w:tcW w:w="670" w:type="dxa"/>
            <w:vAlign w:val="top"/>
          </w:tcPr>
          <w:p>
            <w:pPr>
              <w:pStyle w:val="TableText"/>
              <w:ind w:left="18"/>
              <w:spacing w:before="54" w:line="163" w:lineRule="exact"/>
              <w:rPr>
                <w:sz w:val="21"/>
                <w:szCs w:val="21"/>
              </w:rPr>
            </w:pPr>
            <w:r>
              <w:rPr>
                <w:sz w:val="21"/>
                <w:szCs w:val="21"/>
                <w:spacing w:val="-2"/>
                <w:position w:val="-2"/>
              </w:rPr>
              <w:t>0.0539</w:t>
            </w:r>
          </w:p>
        </w:tc>
        <w:tc>
          <w:tcPr>
            <w:tcW w:w="849" w:type="dxa"/>
            <w:vAlign w:val="top"/>
          </w:tcPr>
          <w:p>
            <w:pPr>
              <w:pStyle w:val="TableText"/>
              <w:ind w:left="108"/>
              <w:spacing w:before="54" w:line="163" w:lineRule="exact"/>
              <w:rPr>
                <w:sz w:val="21"/>
                <w:szCs w:val="21"/>
              </w:rPr>
            </w:pPr>
            <w:r>
              <w:rPr>
                <w:sz w:val="21"/>
                <w:szCs w:val="21"/>
                <w:spacing w:val="-2"/>
                <w:position w:val="-2"/>
              </w:rPr>
              <w:t>0.0749</w:t>
            </w:r>
          </w:p>
        </w:tc>
        <w:tc>
          <w:tcPr>
            <w:tcW w:w="839" w:type="dxa"/>
            <w:vAlign w:val="top"/>
          </w:tcPr>
          <w:p>
            <w:pPr>
              <w:pStyle w:val="TableText"/>
              <w:ind w:left="208"/>
              <w:spacing w:before="54" w:line="163" w:lineRule="exact"/>
              <w:rPr>
                <w:sz w:val="21"/>
                <w:szCs w:val="21"/>
              </w:rPr>
            </w:pPr>
            <w:r>
              <w:rPr>
                <w:sz w:val="21"/>
                <w:szCs w:val="21"/>
                <w:spacing w:val="-2"/>
                <w:position w:val="-2"/>
              </w:rPr>
              <w:t>62.4</w:t>
            </w:r>
          </w:p>
        </w:tc>
        <w:tc>
          <w:tcPr>
            <w:tcW w:w="450" w:type="dxa"/>
            <w:vAlign w:val="top"/>
            <w:vMerge w:val="continue"/>
            <w:tcBorders>
              <w:top w:val="nil"/>
              <w:bottom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305" w:hRule="atLeast"/>
        </w:trPr>
        <w:tc>
          <w:tcPr>
            <w:tcW w:w="205" w:type="dxa"/>
            <w:vAlign w:val="top"/>
            <w:tcBorders>
              <w:top w:val="nil"/>
            </w:tcBorders>
          </w:tcPr>
          <w:p>
            <w:pPr>
              <w:rPr>
                <w:rFonts w:ascii="Arial"/>
                <w:sz w:val="21"/>
              </w:rPr>
            </w:pPr>
            <w:r/>
          </w:p>
        </w:tc>
        <w:tc>
          <w:tcPr>
            <w:tcW w:w="520" w:type="dxa"/>
            <w:vAlign w:val="top"/>
            <w:vMerge w:val="continue"/>
            <w:tcBorders>
              <w:top w:val="nil"/>
            </w:tcBorders>
          </w:tcPr>
          <w:p>
            <w:pPr>
              <w:rPr>
                <w:rFonts w:ascii="Arial"/>
                <w:sz w:val="21"/>
              </w:rPr>
            </w:pPr>
            <w:r/>
          </w:p>
        </w:tc>
        <w:tc>
          <w:tcPr>
            <w:tcW w:w="210" w:type="dxa"/>
            <w:vAlign w:val="top"/>
            <w:vMerge w:val="continue"/>
            <w:textDirection w:val="tbRlV"/>
            <w:tcBorders>
              <w:top w:val="nil"/>
            </w:tcBorders>
          </w:tcPr>
          <w:p>
            <w:pPr>
              <w:spacing w:line="200" w:lineRule="exact"/>
              <w:rPr>
                <w:rFonts w:ascii="Arial"/>
                <w:sz w:val="16"/>
              </w:rPr>
            </w:pPr>
            <w:r/>
          </w:p>
        </w:tc>
        <w:tc>
          <w:tcPr>
            <w:tcW w:w="689" w:type="dxa"/>
            <w:vAlign w:val="top"/>
            <w:vMerge w:val="continue"/>
            <w:tcBorders>
              <w:top w:val="nil"/>
            </w:tcBorders>
          </w:tcPr>
          <w:p>
            <w:pPr>
              <w:rPr>
                <w:rFonts w:ascii="Arial"/>
                <w:sz w:val="21"/>
              </w:rPr>
            </w:pPr>
            <w:r/>
          </w:p>
        </w:tc>
        <w:tc>
          <w:tcPr>
            <w:tcW w:w="629" w:type="dxa"/>
            <w:vAlign w:val="top"/>
          </w:tcPr>
          <w:p>
            <w:pPr>
              <w:pStyle w:val="TableText"/>
              <w:ind w:left="91"/>
              <w:spacing w:before="90" w:line="180" w:lineRule="auto"/>
              <w:rPr>
                <w:rFonts w:ascii="Calibri" w:hAnsi="Calibri" w:eastAsia="Calibri" w:cs="Calibri"/>
                <w:sz w:val="21"/>
                <w:szCs w:val="21"/>
              </w:rPr>
            </w:pPr>
            <w:r>
              <w:rPr>
                <w:sz w:val="21"/>
                <w:szCs w:val="21"/>
                <w:spacing w:val="-4"/>
              </w:rPr>
              <w:t>SO</w:t>
            </w:r>
            <w:r>
              <w:rPr>
                <w:rFonts w:ascii="Calibri" w:hAnsi="Calibri" w:eastAsia="Calibri" w:cs="Calibri"/>
                <w:sz w:val="21"/>
                <w:szCs w:val="21"/>
                <w:spacing w:val="-4"/>
              </w:rPr>
              <w:t>₂</w:t>
            </w:r>
          </w:p>
        </w:tc>
        <w:tc>
          <w:tcPr>
            <w:tcW w:w="540" w:type="dxa"/>
            <w:vAlign w:val="top"/>
            <w:vMerge w:val="continue"/>
            <w:tcBorders>
              <w:top w:val="nil"/>
            </w:tcBorders>
          </w:tcPr>
          <w:p>
            <w:pPr>
              <w:rPr>
                <w:rFonts w:ascii="Arial"/>
                <w:sz w:val="21"/>
              </w:rPr>
            </w:pPr>
            <w:r/>
          </w:p>
        </w:tc>
        <w:tc>
          <w:tcPr>
            <w:tcW w:w="629" w:type="dxa"/>
            <w:vAlign w:val="top"/>
          </w:tcPr>
          <w:p>
            <w:pPr>
              <w:pStyle w:val="TableText"/>
              <w:spacing w:before="77" w:line="191" w:lineRule="auto"/>
              <w:jc w:val="right"/>
              <w:rPr>
                <w:sz w:val="21"/>
                <w:szCs w:val="21"/>
              </w:rPr>
            </w:pPr>
            <w:r>
              <w:rPr>
                <w:sz w:val="21"/>
                <w:szCs w:val="21"/>
                <w:spacing w:val="-4"/>
              </w:rPr>
              <w:t>0.0115</w:t>
            </w:r>
          </w:p>
        </w:tc>
        <w:tc>
          <w:tcPr>
            <w:tcW w:w="849" w:type="dxa"/>
            <w:vAlign w:val="top"/>
          </w:tcPr>
          <w:p>
            <w:pPr>
              <w:pStyle w:val="TableText"/>
              <w:ind w:left="102"/>
              <w:spacing w:before="77" w:line="191" w:lineRule="auto"/>
              <w:rPr>
                <w:sz w:val="21"/>
                <w:szCs w:val="21"/>
              </w:rPr>
            </w:pPr>
            <w:r>
              <w:rPr>
                <w:sz w:val="21"/>
                <w:szCs w:val="21"/>
                <w:spacing w:val="-2"/>
              </w:rPr>
              <w:t>0.0160</w:t>
            </w:r>
          </w:p>
        </w:tc>
        <w:tc>
          <w:tcPr>
            <w:tcW w:w="879" w:type="dxa"/>
            <w:vAlign w:val="top"/>
          </w:tcPr>
          <w:p>
            <w:pPr>
              <w:pStyle w:val="TableText"/>
              <w:ind w:left="223"/>
              <w:spacing w:before="77" w:line="191" w:lineRule="auto"/>
              <w:rPr>
                <w:sz w:val="21"/>
                <w:szCs w:val="21"/>
              </w:rPr>
            </w:pPr>
            <w:r>
              <w:rPr>
                <w:sz w:val="21"/>
                <w:szCs w:val="21"/>
                <w:spacing w:val="-5"/>
              </w:rPr>
              <w:t>13.3</w:t>
            </w:r>
          </w:p>
        </w:tc>
        <w:tc>
          <w:tcPr>
            <w:tcW w:w="4597" w:type="dxa"/>
            <w:vAlign w:val="top"/>
            <w:vMerge w:val="continue"/>
            <w:tcBorders>
              <w:top w:val="nil"/>
            </w:tcBorders>
          </w:tcPr>
          <w:p>
            <w:pPr>
              <w:rPr>
                <w:rFonts w:ascii="Arial"/>
                <w:sz w:val="21"/>
              </w:rPr>
            </w:pPr>
            <w:r/>
          </w:p>
        </w:tc>
        <w:tc>
          <w:tcPr>
            <w:tcW w:w="870" w:type="dxa"/>
            <w:vAlign w:val="top"/>
            <w:gridSpan w:val="2"/>
          </w:tcPr>
          <w:p>
            <w:pPr>
              <w:pStyle w:val="TableText"/>
              <w:ind w:left="378"/>
              <w:spacing w:before="61" w:line="205" w:lineRule="auto"/>
              <w:rPr>
                <w:sz w:val="21"/>
                <w:szCs w:val="21"/>
              </w:rPr>
            </w:pPr>
            <w:r>
              <w:rPr>
                <w:sz w:val="21"/>
                <w:szCs w:val="21"/>
              </w:rPr>
              <w:t>/</w:t>
            </w:r>
          </w:p>
        </w:tc>
        <w:tc>
          <w:tcPr>
            <w:tcW w:w="670" w:type="dxa"/>
            <w:vAlign w:val="top"/>
          </w:tcPr>
          <w:p>
            <w:pPr>
              <w:pStyle w:val="TableText"/>
              <w:ind w:left="18"/>
              <w:spacing w:before="77" w:line="191" w:lineRule="auto"/>
              <w:rPr>
                <w:sz w:val="21"/>
                <w:szCs w:val="21"/>
              </w:rPr>
            </w:pPr>
            <w:r>
              <w:rPr>
                <w:sz w:val="21"/>
                <w:szCs w:val="21"/>
                <w:color w:val="606050"/>
                <w:spacing w:val="-2"/>
              </w:rPr>
              <w:t>0.0115</w:t>
            </w:r>
          </w:p>
        </w:tc>
        <w:tc>
          <w:tcPr>
            <w:tcW w:w="849" w:type="dxa"/>
            <w:vAlign w:val="top"/>
          </w:tcPr>
          <w:p>
            <w:pPr>
              <w:pStyle w:val="TableText"/>
              <w:ind w:left="108"/>
              <w:spacing w:before="77" w:line="191" w:lineRule="auto"/>
              <w:rPr>
                <w:sz w:val="21"/>
                <w:szCs w:val="21"/>
              </w:rPr>
            </w:pPr>
            <w:r>
              <w:rPr>
                <w:sz w:val="21"/>
                <w:szCs w:val="21"/>
                <w:spacing w:val="-2"/>
              </w:rPr>
              <w:t>0.0160</w:t>
            </w:r>
          </w:p>
        </w:tc>
        <w:tc>
          <w:tcPr>
            <w:tcW w:w="839" w:type="dxa"/>
            <w:vAlign w:val="top"/>
          </w:tcPr>
          <w:p>
            <w:pPr>
              <w:pStyle w:val="TableText"/>
              <w:ind w:left="208"/>
              <w:spacing w:before="77" w:line="191" w:lineRule="auto"/>
              <w:rPr>
                <w:sz w:val="21"/>
                <w:szCs w:val="21"/>
              </w:rPr>
            </w:pPr>
            <w:r>
              <w:rPr>
                <w:sz w:val="21"/>
                <w:szCs w:val="21"/>
                <w:spacing w:val="-5"/>
              </w:rPr>
              <w:t>13.3</w:t>
            </w:r>
          </w:p>
        </w:tc>
        <w:tc>
          <w:tcPr>
            <w:tcW w:w="450" w:type="dxa"/>
            <w:vAlign w:val="top"/>
            <w:vMerge w:val="continue"/>
            <w:tcBorders>
              <w:top w:val="nil"/>
            </w:tcBorders>
          </w:tcPr>
          <w:p>
            <w:pPr>
              <w:rPr>
                <w:rFonts w:ascii="Arial"/>
                <w:sz w:val="21"/>
              </w:rPr>
            </w:pPr>
            <w:r/>
          </w:p>
        </w:tc>
        <w:tc>
          <w:tcPr>
            <w:tcW w:w="1664" w:type="dxa"/>
            <w:vAlign w:val="top"/>
            <w:vMerge w:val="continue"/>
            <w:tcBorders>
              <w:top w:val="nil"/>
            </w:tcBorders>
          </w:tcPr>
          <w:p>
            <w:pPr>
              <w:rPr>
                <w:rFonts w:ascii="Arial"/>
                <w:sz w:val="21"/>
              </w:rPr>
            </w:pPr>
            <w:r/>
          </w:p>
        </w:tc>
      </w:tr>
      <w:tr>
        <w:trPr>
          <w:trHeight w:val="230" w:hRule="atLeast"/>
        </w:trPr>
        <w:tc>
          <w:tcPr>
            <w:tcW w:w="725" w:type="dxa"/>
            <w:vAlign w:val="top"/>
            <w:gridSpan w:val="2"/>
            <w:vMerge w:val="restart"/>
            <w:tcBorders>
              <w:bottom w:val="nil"/>
            </w:tcBorders>
          </w:tcPr>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pStyle w:val="TableText"/>
              <w:ind w:left="144" w:right="59" w:hanging="109"/>
              <w:spacing w:before="69" w:line="244" w:lineRule="auto"/>
              <w:rPr>
                <w:sz w:val="21"/>
                <w:szCs w:val="21"/>
              </w:rPr>
            </w:pPr>
            <w:r>
              <w:rPr>
                <w:sz w:val="21"/>
                <w:szCs w:val="21"/>
                <w:spacing w:val="-4"/>
              </w:rPr>
              <w:t>污水处</w:t>
            </w:r>
            <w:r>
              <w:rPr>
                <w:sz w:val="21"/>
                <w:szCs w:val="21"/>
                <w:spacing w:val="1"/>
              </w:rPr>
              <w:t xml:space="preserve"> </w:t>
            </w:r>
            <w:r>
              <w:rPr>
                <w:sz w:val="21"/>
                <w:szCs w:val="21"/>
                <w:spacing w:val="5"/>
              </w:rPr>
              <w:t>理站</w:t>
            </w:r>
          </w:p>
        </w:tc>
        <w:tc>
          <w:tcPr>
            <w:tcW w:w="210" w:type="dxa"/>
            <w:vAlign w:val="top"/>
            <w:vMerge w:val="restart"/>
            <w:textDirection w:val="tbRlV"/>
            <w:tcBorders>
              <w:bottom w:val="nil"/>
            </w:tcBorders>
          </w:tcPr>
          <w:p>
            <w:pPr>
              <w:pStyle w:val="TableText"/>
              <w:ind w:left="288"/>
              <w:spacing w:before="3" w:line="199" w:lineRule="auto"/>
              <w:rPr>
                <w:sz w:val="21"/>
                <w:szCs w:val="21"/>
              </w:rPr>
            </w:pPr>
            <w:r>
              <w:rPr>
                <w:sz w:val="21"/>
                <w:szCs w:val="21"/>
                <w:spacing w:val="26"/>
              </w:rPr>
              <w:t>淡季</w:t>
            </w:r>
          </w:p>
        </w:tc>
        <w:tc>
          <w:tcPr>
            <w:tcW w:w="689" w:type="dxa"/>
            <w:vAlign w:val="top"/>
            <w:vMerge w:val="restart"/>
            <w:tcBorders>
              <w:bottom w:val="nil"/>
            </w:tcBorders>
          </w:tcPr>
          <w:p>
            <w:pPr>
              <w:pStyle w:val="TableText"/>
              <w:ind w:left="20"/>
              <w:spacing w:before="162" w:line="220" w:lineRule="auto"/>
              <w:rPr>
                <w:sz w:val="21"/>
                <w:szCs w:val="21"/>
              </w:rPr>
            </w:pPr>
            <w:r>
              <w:rPr>
                <w:sz w:val="21"/>
                <w:szCs w:val="21"/>
                <w:spacing w:val="3"/>
              </w:rPr>
              <w:t>有组织</w:t>
            </w:r>
          </w:p>
        </w:tc>
        <w:tc>
          <w:tcPr>
            <w:tcW w:w="629" w:type="dxa"/>
            <w:vAlign w:val="top"/>
          </w:tcPr>
          <w:p>
            <w:pPr>
              <w:pStyle w:val="TableText"/>
              <w:ind w:left="91"/>
              <w:spacing w:before="65" w:line="155" w:lineRule="exact"/>
              <w:rPr>
                <w:rFonts w:ascii="Calibri" w:hAnsi="Calibri" w:eastAsia="Calibri" w:cs="Calibri"/>
                <w:sz w:val="21"/>
                <w:szCs w:val="21"/>
              </w:rPr>
            </w:pPr>
            <w:r>
              <w:rPr>
                <w:sz w:val="21"/>
                <w:szCs w:val="21"/>
                <w:spacing w:val="-1"/>
                <w:position w:val="-2"/>
              </w:rPr>
              <w:t>NH</w:t>
            </w:r>
            <w:r>
              <w:rPr>
                <w:rFonts w:ascii="Calibri" w:hAnsi="Calibri" w:eastAsia="Calibri" w:cs="Calibri"/>
                <w:sz w:val="21"/>
                <w:szCs w:val="21"/>
                <w:spacing w:val="-1"/>
                <w:position w:val="-2"/>
              </w:rPr>
              <w:t>₃</w:t>
            </w:r>
          </w:p>
        </w:tc>
        <w:tc>
          <w:tcPr>
            <w:tcW w:w="540" w:type="dxa"/>
            <w:vAlign w:val="top"/>
            <w:vMerge w:val="restart"/>
            <w:tcBorders>
              <w:bottom w:val="nil"/>
            </w:tcBorders>
          </w:tcPr>
          <w:p>
            <w:pPr>
              <w:spacing w:line="242" w:lineRule="auto"/>
              <w:rPr>
                <w:rFonts w:ascii="Arial"/>
                <w:sz w:val="21"/>
              </w:rPr>
            </w:pPr>
            <w:r/>
          </w:p>
          <w:p>
            <w:pPr>
              <w:pStyle w:val="TableText"/>
              <w:ind w:left="151" w:right="44" w:hanging="100"/>
              <w:spacing w:before="68" w:line="248" w:lineRule="auto"/>
              <w:rPr>
                <w:sz w:val="21"/>
                <w:szCs w:val="21"/>
              </w:rPr>
            </w:pPr>
            <w:r>
              <w:rPr>
                <w:sz w:val="21"/>
                <w:szCs w:val="21"/>
                <w:spacing w:val="6"/>
              </w:rPr>
              <w:t>类比</w:t>
            </w:r>
            <w:r>
              <w:rPr>
                <w:sz w:val="21"/>
                <w:szCs w:val="21"/>
              </w:rPr>
              <w:t xml:space="preserve"> </w:t>
            </w:r>
            <w:r>
              <w:rPr>
                <w:sz w:val="21"/>
                <w:szCs w:val="21"/>
              </w:rPr>
              <w:t>法</w:t>
            </w:r>
          </w:p>
        </w:tc>
        <w:tc>
          <w:tcPr>
            <w:tcW w:w="629" w:type="dxa"/>
            <w:vAlign w:val="top"/>
          </w:tcPr>
          <w:p>
            <w:pPr>
              <w:pStyle w:val="TableText"/>
              <w:spacing w:before="52" w:line="167" w:lineRule="exact"/>
              <w:jc w:val="right"/>
              <w:rPr>
                <w:sz w:val="21"/>
                <w:szCs w:val="21"/>
              </w:rPr>
            </w:pPr>
            <w:r>
              <w:rPr>
                <w:sz w:val="21"/>
                <w:szCs w:val="21"/>
                <w:color w:val="505050"/>
                <w:spacing w:val="-4"/>
                <w:position w:val="-2"/>
              </w:rPr>
              <w:t>0.1908</w:t>
            </w:r>
          </w:p>
        </w:tc>
        <w:tc>
          <w:tcPr>
            <w:tcW w:w="849" w:type="dxa"/>
            <w:vAlign w:val="top"/>
          </w:tcPr>
          <w:p>
            <w:pPr>
              <w:pStyle w:val="TableText"/>
              <w:ind w:left="102"/>
              <w:spacing w:before="52" w:line="167" w:lineRule="exact"/>
              <w:rPr>
                <w:sz w:val="21"/>
                <w:szCs w:val="21"/>
              </w:rPr>
            </w:pPr>
            <w:r>
              <w:rPr>
                <w:sz w:val="21"/>
                <w:szCs w:val="21"/>
                <w:spacing w:val="-2"/>
                <w:position w:val="-2"/>
              </w:rPr>
              <w:t>0.0294</w:t>
            </w:r>
          </w:p>
        </w:tc>
        <w:tc>
          <w:tcPr>
            <w:tcW w:w="879" w:type="dxa"/>
            <w:vAlign w:val="top"/>
          </w:tcPr>
          <w:p>
            <w:pPr>
              <w:pStyle w:val="TableText"/>
              <w:ind w:left="223"/>
              <w:spacing w:before="52" w:line="167" w:lineRule="exact"/>
              <w:rPr>
                <w:sz w:val="21"/>
                <w:szCs w:val="21"/>
              </w:rPr>
            </w:pPr>
            <w:r>
              <w:rPr>
                <w:sz w:val="21"/>
                <w:szCs w:val="21"/>
                <w:spacing w:val="-3"/>
                <w:position w:val="-2"/>
              </w:rPr>
              <w:t>5.88</w:t>
            </w:r>
          </w:p>
        </w:tc>
        <w:tc>
          <w:tcPr>
            <w:tcW w:w="4597" w:type="dxa"/>
            <w:vAlign w:val="top"/>
            <w:vMerge w:val="restart"/>
            <w:tcBorders>
              <w:bottom w:val="nil"/>
            </w:tcBorders>
          </w:tcPr>
          <w:p>
            <w:pPr>
              <w:pStyle w:val="TableText"/>
              <w:ind w:left="404" w:right="183" w:hanging="209"/>
              <w:spacing w:before="29" w:line="215" w:lineRule="auto"/>
              <w:rPr>
                <w:sz w:val="21"/>
                <w:szCs w:val="21"/>
              </w:rPr>
            </w:pPr>
            <w:r>
              <w:rPr>
                <w:sz w:val="21"/>
                <w:szCs w:val="21"/>
                <w:spacing w:val="4"/>
              </w:rPr>
              <w:t>负压收集(风量5000m³/h)+喷淋+</w:t>
            </w:r>
            <w:r>
              <w:rPr>
                <w:sz w:val="21"/>
                <w:szCs w:val="21"/>
              </w:rPr>
              <w:t>UV</w:t>
            </w:r>
            <w:r>
              <w:rPr>
                <w:sz w:val="21"/>
                <w:szCs w:val="21"/>
                <w:spacing w:val="4"/>
              </w:rPr>
              <w:t>光解+活性</w:t>
            </w:r>
            <w:r>
              <w:rPr>
                <w:sz w:val="21"/>
                <w:szCs w:val="21"/>
                <w:spacing w:val="12"/>
              </w:rPr>
              <w:t xml:space="preserve"> </w:t>
            </w:r>
            <w:r>
              <w:rPr>
                <w:sz w:val="21"/>
                <w:szCs w:val="21"/>
                <w:spacing w:val="2"/>
              </w:rPr>
              <w:t>炭吸附装置(</w:t>
            </w:r>
            <w:r>
              <w:rPr>
                <w:sz w:val="21"/>
                <w:szCs w:val="21"/>
              </w:rPr>
              <w:t>TA</w:t>
            </w:r>
            <w:r>
              <w:rPr>
                <w:sz w:val="21"/>
                <w:szCs w:val="21"/>
                <w:spacing w:val="2"/>
              </w:rPr>
              <w:t>004)+15m高排气筒(</w:t>
            </w:r>
            <w:r>
              <w:rPr>
                <w:sz w:val="21"/>
                <w:szCs w:val="21"/>
              </w:rPr>
              <w:t>DA</w:t>
            </w:r>
            <w:r>
              <w:rPr>
                <w:sz w:val="21"/>
                <w:szCs w:val="21"/>
                <w:spacing w:val="2"/>
              </w:rPr>
              <w:t>00</w:t>
            </w:r>
            <w:r>
              <w:rPr>
                <w:sz w:val="21"/>
                <w:szCs w:val="21"/>
                <w:spacing w:val="1"/>
              </w:rPr>
              <w:t>4)</w:t>
            </w:r>
          </w:p>
        </w:tc>
        <w:tc>
          <w:tcPr>
            <w:tcW w:w="450" w:type="dxa"/>
            <w:vAlign w:val="top"/>
          </w:tcPr>
          <w:p>
            <w:pPr>
              <w:pStyle w:val="TableText"/>
              <w:ind w:left="57"/>
              <w:spacing w:before="52" w:line="167" w:lineRule="exact"/>
              <w:rPr>
                <w:sz w:val="21"/>
                <w:szCs w:val="21"/>
              </w:rPr>
            </w:pPr>
            <w:r>
              <w:rPr>
                <w:sz w:val="21"/>
                <w:szCs w:val="21"/>
                <w:spacing w:val="-3"/>
                <w:position w:val="-2"/>
              </w:rPr>
              <w:t>95%</w:t>
            </w:r>
          </w:p>
        </w:tc>
        <w:tc>
          <w:tcPr>
            <w:tcW w:w="420" w:type="dxa"/>
            <w:vAlign w:val="top"/>
          </w:tcPr>
          <w:p>
            <w:pPr>
              <w:pStyle w:val="TableText"/>
              <w:ind w:left="48"/>
              <w:spacing w:before="52" w:line="167" w:lineRule="exact"/>
              <w:rPr>
                <w:sz w:val="21"/>
                <w:szCs w:val="21"/>
              </w:rPr>
            </w:pPr>
            <w:r>
              <w:rPr>
                <w:sz w:val="21"/>
                <w:szCs w:val="21"/>
                <w:spacing w:val="-3"/>
                <w:position w:val="-2"/>
              </w:rPr>
              <w:t>95%</w:t>
            </w:r>
          </w:p>
        </w:tc>
        <w:tc>
          <w:tcPr>
            <w:tcW w:w="670" w:type="dxa"/>
            <w:vAlign w:val="top"/>
          </w:tcPr>
          <w:p>
            <w:pPr>
              <w:pStyle w:val="TableText"/>
              <w:spacing w:before="20" w:line="175" w:lineRule="auto"/>
              <w:jc w:val="right"/>
              <w:rPr>
                <w:sz w:val="21"/>
                <w:szCs w:val="21"/>
              </w:rPr>
            </w:pPr>
            <w:r>
              <w:rPr>
                <w:sz w:val="21"/>
                <w:szCs w:val="21"/>
                <w:spacing w:val="-14"/>
              </w:rPr>
              <w:t>|0.0091</w:t>
            </w:r>
          </w:p>
        </w:tc>
        <w:tc>
          <w:tcPr>
            <w:tcW w:w="849" w:type="dxa"/>
            <w:vAlign w:val="top"/>
          </w:tcPr>
          <w:p>
            <w:pPr>
              <w:pStyle w:val="TableText"/>
              <w:ind w:left="108"/>
              <w:spacing w:before="52" w:line="167" w:lineRule="exact"/>
              <w:rPr>
                <w:sz w:val="21"/>
                <w:szCs w:val="21"/>
              </w:rPr>
            </w:pPr>
            <w:r>
              <w:rPr>
                <w:sz w:val="21"/>
                <w:szCs w:val="21"/>
                <w:color w:val="504040"/>
                <w:spacing w:val="-2"/>
                <w:position w:val="-2"/>
              </w:rPr>
              <w:t>0.0014</w:t>
            </w:r>
          </w:p>
        </w:tc>
        <w:tc>
          <w:tcPr>
            <w:tcW w:w="839" w:type="dxa"/>
            <w:vAlign w:val="top"/>
          </w:tcPr>
          <w:p>
            <w:pPr>
              <w:pStyle w:val="TableText"/>
              <w:ind w:left="208"/>
              <w:spacing w:before="52" w:line="167" w:lineRule="exact"/>
              <w:rPr>
                <w:sz w:val="21"/>
                <w:szCs w:val="21"/>
              </w:rPr>
            </w:pPr>
            <w:r>
              <w:rPr>
                <w:sz w:val="21"/>
                <w:szCs w:val="21"/>
                <w:color w:val="404050"/>
                <w:spacing w:val="-2"/>
                <w:position w:val="-2"/>
              </w:rPr>
              <w:t>0.28</w:t>
            </w:r>
          </w:p>
        </w:tc>
        <w:tc>
          <w:tcPr>
            <w:tcW w:w="450" w:type="dxa"/>
            <w:vAlign w:val="top"/>
            <w:vMerge w:val="restart"/>
            <w:tcBorders>
              <w:bottom w:val="nil"/>
            </w:tcBorders>
          </w:tcPr>
          <w:p>
            <w:pPr>
              <w:spacing w:line="391" w:lineRule="auto"/>
              <w:rPr>
                <w:rFonts w:ascii="Arial"/>
                <w:sz w:val="21"/>
              </w:rPr>
            </w:pPr>
            <w:r/>
          </w:p>
          <w:p>
            <w:pPr>
              <w:pStyle w:val="TableText"/>
              <w:ind w:left="10"/>
              <w:spacing w:before="68"/>
              <w:rPr>
                <w:sz w:val="21"/>
                <w:szCs w:val="21"/>
              </w:rPr>
            </w:pPr>
            <w:r>
              <w:rPr>
                <w:sz w:val="21"/>
                <w:szCs w:val="21"/>
                <w:spacing w:val="-2"/>
              </w:rPr>
              <w:t>6480</w:t>
            </w:r>
          </w:p>
        </w:tc>
        <w:tc>
          <w:tcPr>
            <w:tcW w:w="1664" w:type="dxa"/>
            <w:vAlign w:val="top"/>
            <w:vMerge w:val="restart"/>
            <w:tcBorders>
              <w:bottom w:val="nil"/>
            </w:tcBorders>
          </w:tcPr>
          <w:p>
            <w:pPr>
              <w:spacing w:line="329" w:lineRule="auto"/>
              <w:rPr>
                <w:rFonts w:ascii="Arial"/>
                <w:sz w:val="21"/>
              </w:rPr>
            </w:pPr>
            <w:r/>
          </w:p>
          <w:p>
            <w:pPr>
              <w:spacing w:line="330" w:lineRule="auto"/>
              <w:rPr>
                <w:rFonts w:ascii="Arial"/>
                <w:sz w:val="21"/>
              </w:rPr>
            </w:pPr>
            <w:r/>
          </w:p>
          <w:p>
            <w:pPr>
              <w:pStyle w:val="TableText"/>
              <w:ind w:left="35"/>
              <w:spacing w:before="68" w:line="219" w:lineRule="auto"/>
              <w:rPr>
                <w:sz w:val="21"/>
                <w:szCs w:val="21"/>
              </w:rPr>
            </w:pPr>
            <w:r>
              <w:rPr>
                <w:sz w:val="21"/>
                <w:szCs w:val="21"/>
              </w:rPr>
              <w:t>《恶臭污染物排</w:t>
            </w:r>
          </w:p>
          <w:p>
            <w:pPr>
              <w:pStyle w:val="TableText"/>
              <w:ind w:left="459"/>
              <w:spacing w:before="11" w:line="220" w:lineRule="auto"/>
              <w:rPr>
                <w:sz w:val="21"/>
                <w:szCs w:val="21"/>
              </w:rPr>
            </w:pPr>
            <w:r>
              <w:rPr>
                <w:sz w:val="21"/>
                <w:szCs w:val="21"/>
                <w:spacing w:val="-4"/>
              </w:rPr>
              <w:t>放标准》</w:t>
            </w:r>
          </w:p>
          <w:p>
            <w:pPr>
              <w:pStyle w:val="TableText"/>
              <w:ind w:left="199"/>
              <w:spacing w:before="32" w:line="222" w:lineRule="auto"/>
              <w:rPr>
                <w:sz w:val="21"/>
                <w:szCs w:val="21"/>
              </w:rPr>
            </w:pPr>
            <w:r>
              <w:rPr>
                <w:sz w:val="21"/>
                <w:szCs w:val="21"/>
                <w:spacing w:val="-4"/>
              </w:rPr>
              <w:t>(GB14554-93)</w:t>
            </w:r>
          </w:p>
        </w:tc>
      </w:tr>
      <w:tr>
        <w:trPr>
          <w:trHeight w:val="289" w:hRule="atLeast"/>
        </w:trPr>
        <w:tc>
          <w:tcPr>
            <w:tcW w:w="725" w:type="dxa"/>
            <w:vAlign w:val="top"/>
            <w:gridSpan w:val="2"/>
            <w:vMerge w:val="continue"/>
            <w:tcBorders>
              <w:top w:val="nil"/>
              <w:bottom w:val="nil"/>
            </w:tcBorders>
          </w:tcPr>
          <w:p>
            <w:pPr>
              <w:rPr>
                <w:rFonts w:ascii="Arial"/>
                <w:sz w:val="21"/>
              </w:rPr>
            </w:pPr>
            <w:r/>
          </w:p>
        </w:tc>
        <w:tc>
          <w:tcPr>
            <w:tcW w:w="210" w:type="dxa"/>
            <w:vAlign w:val="top"/>
            <w:vMerge w:val="continue"/>
            <w:textDirection w:val="tbRlV"/>
            <w:tcBorders>
              <w:top w:val="nil"/>
              <w:bottom w:val="nil"/>
            </w:tcBorders>
          </w:tcPr>
          <w:p>
            <w:pPr>
              <w:spacing w:line="200" w:lineRule="exact"/>
              <w:rPr>
                <w:rFonts w:ascii="Arial"/>
                <w:sz w:val="16"/>
              </w:rPr>
            </w:pPr>
            <w:r/>
          </w:p>
        </w:tc>
        <w:tc>
          <w:tcPr>
            <w:tcW w:w="689" w:type="dxa"/>
            <w:vAlign w:val="top"/>
            <w:vMerge w:val="continue"/>
            <w:tcBorders>
              <w:top w:val="nil"/>
            </w:tcBorders>
          </w:tcPr>
          <w:p>
            <w:pPr>
              <w:rPr>
                <w:rFonts w:ascii="Arial"/>
                <w:sz w:val="21"/>
              </w:rPr>
            </w:pPr>
            <w:r/>
          </w:p>
        </w:tc>
        <w:tc>
          <w:tcPr>
            <w:tcW w:w="629" w:type="dxa"/>
            <w:vAlign w:val="top"/>
          </w:tcPr>
          <w:p>
            <w:pPr>
              <w:pStyle w:val="TableText"/>
              <w:ind w:left="91"/>
              <w:spacing w:before="75" w:line="179"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540" w:type="dxa"/>
            <w:vAlign w:val="top"/>
            <w:vMerge w:val="continue"/>
            <w:tcBorders>
              <w:top w:val="nil"/>
              <w:bottom w:val="nil"/>
            </w:tcBorders>
          </w:tcPr>
          <w:p>
            <w:pPr>
              <w:rPr>
                <w:rFonts w:ascii="Arial"/>
                <w:sz w:val="21"/>
              </w:rPr>
            </w:pPr>
            <w:r/>
          </w:p>
        </w:tc>
        <w:tc>
          <w:tcPr>
            <w:tcW w:w="629" w:type="dxa"/>
            <w:vAlign w:val="top"/>
          </w:tcPr>
          <w:p>
            <w:pPr>
              <w:pStyle w:val="TableText"/>
              <w:spacing w:before="62" w:line="190" w:lineRule="auto"/>
              <w:jc w:val="right"/>
              <w:rPr>
                <w:sz w:val="21"/>
                <w:szCs w:val="21"/>
              </w:rPr>
            </w:pPr>
            <w:r>
              <w:rPr>
                <w:sz w:val="21"/>
                <w:szCs w:val="21"/>
                <w:spacing w:val="-4"/>
              </w:rPr>
              <w:t>0.0074</w:t>
            </w:r>
          </w:p>
        </w:tc>
        <w:tc>
          <w:tcPr>
            <w:tcW w:w="849" w:type="dxa"/>
            <w:vAlign w:val="top"/>
          </w:tcPr>
          <w:p>
            <w:pPr>
              <w:pStyle w:val="TableText"/>
              <w:ind w:left="102"/>
              <w:spacing w:before="62" w:line="190" w:lineRule="auto"/>
              <w:rPr>
                <w:sz w:val="21"/>
                <w:szCs w:val="21"/>
              </w:rPr>
            </w:pPr>
            <w:r>
              <w:rPr>
                <w:sz w:val="21"/>
                <w:szCs w:val="21"/>
                <w:spacing w:val="-2"/>
              </w:rPr>
              <w:t>0.0011</w:t>
            </w:r>
          </w:p>
        </w:tc>
        <w:tc>
          <w:tcPr>
            <w:tcW w:w="879" w:type="dxa"/>
            <w:vAlign w:val="top"/>
          </w:tcPr>
          <w:p>
            <w:pPr>
              <w:pStyle w:val="TableText"/>
              <w:ind w:left="223"/>
              <w:spacing w:before="62" w:line="190" w:lineRule="auto"/>
              <w:rPr>
                <w:sz w:val="21"/>
                <w:szCs w:val="21"/>
              </w:rPr>
            </w:pPr>
            <w:r>
              <w:rPr>
                <w:sz w:val="21"/>
                <w:szCs w:val="21"/>
                <w:spacing w:val="-2"/>
              </w:rPr>
              <w:t>0.22</w:t>
            </w:r>
          </w:p>
        </w:tc>
        <w:tc>
          <w:tcPr>
            <w:tcW w:w="4597" w:type="dxa"/>
            <w:vAlign w:val="top"/>
            <w:vMerge w:val="continue"/>
            <w:tcBorders>
              <w:top w:val="nil"/>
            </w:tcBorders>
          </w:tcPr>
          <w:p>
            <w:pPr>
              <w:rPr>
                <w:rFonts w:ascii="Arial"/>
                <w:sz w:val="21"/>
              </w:rPr>
            </w:pPr>
            <w:r/>
          </w:p>
        </w:tc>
        <w:tc>
          <w:tcPr>
            <w:tcW w:w="450" w:type="dxa"/>
            <w:vAlign w:val="top"/>
          </w:tcPr>
          <w:p>
            <w:pPr>
              <w:pStyle w:val="TableText"/>
              <w:ind w:left="57"/>
              <w:spacing w:before="62" w:line="190" w:lineRule="auto"/>
              <w:rPr>
                <w:sz w:val="21"/>
                <w:szCs w:val="21"/>
              </w:rPr>
            </w:pPr>
            <w:r>
              <w:rPr>
                <w:sz w:val="21"/>
                <w:szCs w:val="21"/>
                <w:spacing w:val="-3"/>
              </w:rPr>
              <w:t>95%</w:t>
            </w:r>
          </w:p>
        </w:tc>
        <w:tc>
          <w:tcPr>
            <w:tcW w:w="420" w:type="dxa"/>
            <w:vAlign w:val="top"/>
          </w:tcPr>
          <w:p>
            <w:pPr>
              <w:pStyle w:val="TableText"/>
              <w:ind w:left="48"/>
              <w:spacing w:before="62" w:line="190" w:lineRule="auto"/>
              <w:rPr>
                <w:sz w:val="21"/>
                <w:szCs w:val="21"/>
              </w:rPr>
            </w:pPr>
            <w:r>
              <w:rPr>
                <w:sz w:val="21"/>
                <w:szCs w:val="21"/>
                <w:spacing w:val="-3"/>
              </w:rPr>
              <w:t>95%</w:t>
            </w:r>
          </w:p>
        </w:tc>
        <w:tc>
          <w:tcPr>
            <w:tcW w:w="670" w:type="dxa"/>
            <w:vAlign w:val="top"/>
          </w:tcPr>
          <w:p>
            <w:pPr>
              <w:pStyle w:val="TableText"/>
              <w:ind w:left="18"/>
              <w:spacing w:before="62" w:line="190" w:lineRule="auto"/>
              <w:rPr>
                <w:sz w:val="21"/>
                <w:szCs w:val="21"/>
              </w:rPr>
            </w:pPr>
            <w:r>
              <w:rPr>
                <w:sz w:val="21"/>
                <w:szCs w:val="21"/>
                <w:color w:val="000008"/>
                <w:spacing w:val="-2"/>
              </w:rPr>
              <w:t>0.0004</w:t>
            </w:r>
          </w:p>
        </w:tc>
        <w:tc>
          <w:tcPr>
            <w:tcW w:w="849" w:type="dxa"/>
            <w:vAlign w:val="top"/>
          </w:tcPr>
          <w:p>
            <w:pPr>
              <w:pStyle w:val="TableText"/>
              <w:ind w:left="108"/>
              <w:spacing w:before="62" w:line="190" w:lineRule="auto"/>
              <w:rPr>
                <w:sz w:val="21"/>
                <w:szCs w:val="21"/>
              </w:rPr>
            </w:pPr>
            <w:r>
              <w:rPr>
                <w:sz w:val="21"/>
                <w:szCs w:val="21"/>
                <w:spacing w:val="-2"/>
              </w:rPr>
              <w:t>0.0001</w:t>
            </w:r>
          </w:p>
        </w:tc>
        <w:tc>
          <w:tcPr>
            <w:tcW w:w="839" w:type="dxa"/>
            <w:vAlign w:val="top"/>
          </w:tcPr>
          <w:p>
            <w:pPr>
              <w:pStyle w:val="TableText"/>
              <w:ind w:left="208"/>
              <w:spacing w:before="62" w:line="190" w:lineRule="auto"/>
              <w:rPr>
                <w:sz w:val="21"/>
                <w:szCs w:val="21"/>
              </w:rPr>
            </w:pPr>
            <w:r>
              <w:rPr>
                <w:sz w:val="21"/>
                <w:szCs w:val="21"/>
                <w:spacing w:val="-2"/>
              </w:rPr>
              <w:t>0.01</w:t>
            </w:r>
          </w:p>
        </w:tc>
        <w:tc>
          <w:tcPr>
            <w:tcW w:w="450" w:type="dxa"/>
            <w:vAlign w:val="top"/>
            <w:vMerge w:val="continue"/>
            <w:tcBorders>
              <w:top w:val="nil"/>
              <w:bottom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289" w:hRule="atLeast"/>
        </w:trPr>
        <w:tc>
          <w:tcPr>
            <w:tcW w:w="725" w:type="dxa"/>
            <w:vAlign w:val="top"/>
            <w:gridSpan w:val="2"/>
            <w:vMerge w:val="continue"/>
            <w:tcBorders>
              <w:top w:val="nil"/>
              <w:bottom w:val="nil"/>
            </w:tcBorders>
          </w:tcPr>
          <w:p>
            <w:pPr>
              <w:rPr>
                <w:rFonts w:ascii="Arial"/>
                <w:sz w:val="21"/>
              </w:rPr>
            </w:pPr>
            <w:r/>
          </w:p>
        </w:tc>
        <w:tc>
          <w:tcPr>
            <w:tcW w:w="210" w:type="dxa"/>
            <w:vAlign w:val="top"/>
            <w:vMerge w:val="continue"/>
            <w:textDirection w:val="tbRlV"/>
            <w:tcBorders>
              <w:top w:val="nil"/>
              <w:bottom w:val="nil"/>
            </w:tcBorders>
          </w:tcPr>
          <w:p>
            <w:pPr>
              <w:spacing w:line="200" w:lineRule="exact"/>
              <w:rPr>
                <w:rFonts w:ascii="Arial"/>
                <w:sz w:val="16"/>
              </w:rPr>
            </w:pPr>
            <w:r/>
          </w:p>
        </w:tc>
        <w:tc>
          <w:tcPr>
            <w:tcW w:w="689" w:type="dxa"/>
            <w:vAlign w:val="top"/>
            <w:vMerge w:val="restart"/>
            <w:tcBorders>
              <w:bottom w:val="nil"/>
            </w:tcBorders>
          </w:tcPr>
          <w:p>
            <w:pPr>
              <w:pStyle w:val="TableText"/>
              <w:ind w:left="20"/>
              <w:spacing w:before="173" w:line="220" w:lineRule="auto"/>
              <w:rPr>
                <w:sz w:val="21"/>
                <w:szCs w:val="21"/>
              </w:rPr>
            </w:pPr>
            <w:r>
              <w:rPr>
                <w:sz w:val="21"/>
                <w:szCs w:val="21"/>
                <w:spacing w:val="3"/>
              </w:rPr>
              <w:t>无组织</w:t>
            </w:r>
          </w:p>
        </w:tc>
        <w:tc>
          <w:tcPr>
            <w:tcW w:w="629" w:type="dxa"/>
            <w:vAlign w:val="top"/>
          </w:tcPr>
          <w:p>
            <w:pPr>
              <w:pStyle w:val="TableText"/>
              <w:ind w:left="91"/>
              <w:spacing w:before="76" w:line="178"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540" w:type="dxa"/>
            <w:vAlign w:val="top"/>
            <w:vMerge w:val="continue"/>
            <w:tcBorders>
              <w:top w:val="nil"/>
              <w:bottom w:val="nil"/>
            </w:tcBorders>
          </w:tcPr>
          <w:p>
            <w:pPr>
              <w:rPr>
                <w:rFonts w:ascii="Arial"/>
                <w:sz w:val="21"/>
              </w:rPr>
            </w:pPr>
            <w:r/>
          </w:p>
        </w:tc>
        <w:tc>
          <w:tcPr>
            <w:tcW w:w="629" w:type="dxa"/>
            <w:vAlign w:val="top"/>
          </w:tcPr>
          <w:p>
            <w:pPr>
              <w:pStyle w:val="TableText"/>
              <w:spacing w:before="64" w:line="189" w:lineRule="auto"/>
              <w:jc w:val="right"/>
              <w:rPr>
                <w:sz w:val="21"/>
                <w:szCs w:val="21"/>
              </w:rPr>
            </w:pPr>
            <w:r>
              <w:rPr>
                <w:sz w:val="21"/>
                <w:szCs w:val="21"/>
                <w:spacing w:val="-4"/>
              </w:rPr>
              <w:t>0.0095</w:t>
            </w:r>
          </w:p>
        </w:tc>
        <w:tc>
          <w:tcPr>
            <w:tcW w:w="849" w:type="dxa"/>
            <w:vAlign w:val="top"/>
          </w:tcPr>
          <w:p>
            <w:pPr>
              <w:pStyle w:val="TableText"/>
              <w:ind w:left="102"/>
              <w:spacing w:before="64" w:line="189" w:lineRule="auto"/>
              <w:rPr>
                <w:sz w:val="21"/>
                <w:szCs w:val="21"/>
              </w:rPr>
            </w:pPr>
            <w:r>
              <w:rPr>
                <w:sz w:val="21"/>
                <w:szCs w:val="21"/>
                <w:spacing w:val="-2"/>
              </w:rPr>
              <w:t>0.0015</w:t>
            </w:r>
          </w:p>
        </w:tc>
        <w:tc>
          <w:tcPr>
            <w:tcW w:w="879" w:type="dxa"/>
            <w:vAlign w:val="top"/>
          </w:tcPr>
          <w:p>
            <w:pPr>
              <w:pStyle w:val="TableText"/>
              <w:ind w:left="374"/>
              <w:spacing w:before="48" w:line="203" w:lineRule="auto"/>
              <w:rPr>
                <w:sz w:val="21"/>
                <w:szCs w:val="21"/>
              </w:rPr>
            </w:pPr>
            <w:r>
              <w:rPr>
                <w:sz w:val="21"/>
                <w:szCs w:val="21"/>
              </w:rPr>
              <w:t>/</w:t>
            </w:r>
          </w:p>
        </w:tc>
        <w:tc>
          <w:tcPr>
            <w:tcW w:w="4597" w:type="dxa"/>
            <w:vAlign w:val="top"/>
          </w:tcPr>
          <w:p>
            <w:pPr>
              <w:pStyle w:val="TableText"/>
              <w:ind w:left="85"/>
              <w:spacing w:before="42" w:line="208" w:lineRule="auto"/>
              <w:rPr>
                <w:sz w:val="21"/>
                <w:szCs w:val="21"/>
              </w:rPr>
            </w:pPr>
            <w:r>
              <w:rPr>
                <w:sz w:val="21"/>
                <w:szCs w:val="21"/>
                <w:spacing w:val="-1"/>
              </w:rPr>
              <w:t>污水处理站各臭气排放设施均加盖密封，定期喷</w:t>
            </w:r>
          </w:p>
        </w:tc>
        <w:tc>
          <w:tcPr>
            <w:tcW w:w="870" w:type="dxa"/>
            <w:vAlign w:val="top"/>
            <w:gridSpan w:val="2"/>
          </w:tcPr>
          <w:p>
            <w:pPr>
              <w:pStyle w:val="TableText"/>
              <w:ind w:left="267"/>
              <w:spacing w:before="64" w:line="189" w:lineRule="auto"/>
              <w:rPr>
                <w:sz w:val="21"/>
                <w:szCs w:val="21"/>
              </w:rPr>
            </w:pPr>
            <w:r>
              <w:rPr>
                <w:sz w:val="21"/>
                <w:szCs w:val="21"/>
                <w:spacing w:val="-3"/>
              </w:rPr>
              <w:t>50%</w:t>
            </w:r>
          </w:p>
        </w:tc>
        <w:tc>
          <w:tcPr>
            <w:tcW w:w="670" w:type="dxa"/>
            <w:vAlign w:val="top"/>
          </w:tcPr>
          <w:p>
            <w:pPr>
              <w:pStyle w:val="TableText"/>
              <w:ind w:left="18"/>
              <w:spacing w:before="64" w:line="189" w:lineRule="auto"/>
              <w:rPr>
                <w:sz w:val="21"/>
                <w:szCs w:val="21"/>
              </w:rPr>
            </w:pPr>
            <w:r>
              <w:rPr>
                <w:sz w:val="21"/>
                <w:szCs w:val="21"/>
                <w:spacing w:val="-2"/>
              </w:rPr>
              <w:t>0.0048</w:t>
            </w:r>
          </w:p>
        </w:tc>
        <w:tc>
          <w:tcPr>
            <w:tcW w:w="849" w:type="dxa"/>
            <w:vAlign w:val="top"/>
          </w:tcPr>
          <w:p>
            <w:pPr>
              <w:pStyle w:val="TableText"/>
              <w:ind w:left="108"/>
              <w:spacing w:before="64" w:line="189" w:lineRule="auto"/>
              <w:rPr>
                <w:sz w:val="21"/>
                <w:szCs w:val="21"/>
              </w:rPr>
            </w:pPr>
            <w:r>
              <w:rPr>
                <w:sz w:val="21"/>
                <w:szCs w:val="21"/>
                <w:spacing w:val="-2"/>
              </w:rPr>
              <w:t>0.0007</w:t>
            </w:r>
          </w:p>
        </w:tc>
        <w:tc>
          <w:tcPr>
            <w:tcW w:w="839" w:type="dxa"/>
            <w:vAlign w:val="top"/>
          </w:tcPr>
          <w:p>
            <w:pPr>
              <w:pStyle w:val="TableText"/>
              <w:ind w:left="358"/>
              <w:spacing w:before="48" w:line="203" w:lineRule="auto"/>
              <w:rPr>
                <w:sz w:val="21"/>
                <w:szCs w:val="21"/>
              </w:rPr>
            </w:pPr>
            <w:r>
              <w:rPr>
                <w:sz w:val="21"/>
                <w:szCs w:val="21"/>
              </w:rPr>
              <w:t>/</w:t>
            </w:r>
          </w:p>
        </w:tc>
        <w:tc>
          <w:tcPr>
            <w:tcW w:w="450" w:type="dxa"/>
            <w:vAlign w:val="top"/>
            <w:vMerge w:val="continue"/>
            <w:tcBorders>
              <w:top w:val="nil"/>
              <w:bottom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240" w:hRule="atLeast"/>
        </w:trPr>
        <w:tc>
          <w:tcPr>
            <w:tcW w:w="725" w:type="dxa"/>
            <w:vAlign w:val="top"/>
            <w:gridSpan w:val="2"/>
            <w:vMerge w:val="continue"/>
            <w:tcBorders>
              <w:top w:val="nil"/>
              <w:bottom w:val="nil"/>
            </w:tcBorders>
          </w:tcPr>
          <w:p>
            <w:pPr>
              <w:rPr>
                <w:rFonts w:ascii="Arial"/>
                <w:sz w:val="21"/>
              </w:rPr>
            </w:pPr>
            <w:r/>
          </w:p>
        </w:tc>
        <w:tc>
          <w:tcPr>
            <w:tcW w:w="210" w:type="dxa"/>
            <w:vAlign w:val="top"/>
            <w:vMerge w:val="continue"/>
            <w:textDirection w:val="tbRlV"/>
            <w:tcBorders>
              <w:top w:val="nil"/>
            </w:tcBorders>
          </w:tcPr>
          <w:p>
            <w:pPr>
              <w:spacing w:line="200" w:lineRule="exact"/>
              <w:rPr>
                <w:rFonts w:ascii="Arial"/>
                <w:sz w:val="16"/>
              </w:rPr>
            </w:pPr>
            <w:r/>
          </w:p>
        </w:tc>
        <w:tc>
          <w:tcPr>
            <w:tcW w:w="689" w:type="dxa"/>
            <w:vAlign w:val="top"/>
            <w:vMerge w:val="continue"/>
            <w:tcBorders>
              <w:top w:val="nil"/>
            </w:tcBorders>
          </w:tcPr>
          <w:p>
            <w:pPr>
              <w:rPr>
                <w:rFonts w:ascii="Arial"/>
                <w:sz w:val="21"/>
              </w:rPr>
            </w:pPr>
            <w:r/>
          </w:p>
        </w:tc>
        <w:tc>
          <w:tcPr>
            <w:tcW w:w="629" w:type="dxa"/>
            <w:vAlign w:val="top"/>
          </w:tcPr>
          <w:p>
            <w:pPr>
              <w:pStyle w:val="TableText"/>
              <w:ind w:left="91"/>
              <w:spacing w:before="57" w:line="172" w:lineRule="exact"/>
              <w:rPr>
                <w:sz w:val="21"/>
                <w:szCs w:val="21"/>
              </w:rPr>
            </w:pPr>
            <w:r>
              <w:rPr>
                <w:sz w:val="21"/>
                <w:szCs w:val="21"/>
                <w:spacing w:val="-2"/>
                <w:position w:val="-1"/>
              </w:rPr>
              <w:t>H</w:t>
            </w:r>
            <w:r>
              <w:rPr>
                <w:rFonts w:ascii="Calibri" w:hAnsi="Calibri" w:eastAsia="Calibri" w:cs="Calibri"/>
                <w:sz w:val="21"/>
                <w:szCs w:val="21"/>
                <w:spacing w:val="-2"/>
                <w:position w:val="-1"/>
              </w:rPr>
              <w:t>₂</w:t>
            </w:r>
            <w:r>
              <w:rPr>
                <w:sz w:val="21"/>
                <w:szCs w:val="21"/>
                <w:spacing w:val="-2"/>
                <w:position w:val="-1"/>
              </w:rPr>
              <w:t>S</w:t>
            </w:r>
          </w:p>
        </w:tc>
        <w:tc>
          <w:tcPr>
            <w:tcW w:w="540" w:type="dxa"/>
            <w:vAlign w:val="top"/>
            <w:vMerge w:val="continue"/>
            <w:tcBorders>
              <w:top w:val="nil"/>
            </w:tcBorders>
          </w:tcPr>
          <w:p>
            <w:pPr>
              <w:rPr>
                <w:rFonts w:ascii="Arial"/>
                <w:sz w:val="21"/>
              </w:rPr>
            </w:pPr>
            <w:r/>
          </w:p>
        </w:tc>
        <w:tc>
          <w:tcPr>
            <w:tcW w:w="629" w:type="dxa"/>
            <w:vAlign w:val="top"/>
          </w:tcPr>
          <w:p>
            <w:pPr>
              <w:pStyle w:val="TableText"/>
              <w:spacing w:before="44" w:line="163" w:lineRule="auto"/>
              <w:jc w:val="right"/>
              <w:rPr>
                <w:sz w:val="21"/>
                <w:szCs w:val="21"/>
              </w:rPr>
            </w:pPr>
            <w:r>
              <w:rPr>
                <w:sz w:val="21"/>
                <w:szCs w:val="21"/>
                <w:color w:val="405040"/>
                <w:spacing w:val="-4"/>
              </w:rPr>
              <w:t>0.0004</w:t>
            </w:r>
          </w:p>
        </w:tc>
        <w:tc>
          <w:tcPr>
            <w:tcW w:w="849" w:type="dxa"/>
            <w:vAlign w:val="top"/>
          </w:tcPr>
          <w:p>
            <w:pPr>
              <w:pStyle w:val="TableText"/>
              <w:ind w:left="102"/>
              <w:spacing w:before="44" w:line="163" w:lineRule="auto"/>
              <w:rPr>
                <w:sz w:val="21"/>
                <w:szCs w:val="21"/>
              </w:rPr>
            </w:pPr>
            <w:r>
              <w:rPr>
                <w:sz w:val="21"/>
                <w:szCs w:val="21"/>
                <w:color w:val="405040"/>
                <w:spacing w:val="-2"/>
              </w:rPr>
              <w:t>0.0001</w:t>
            </w:r>
          </w:p>
        </w:tc>
        <w:tc>
          <w:tcPr>
            <w:tcW w:w="879" w:type="dxa"/>
            <w:vAlign w:val="top"/>
          </w:tcPr>
          <w:p>
            <w:pPr>
              <w:pStyle w:val="TableText"/>
              <w:ind w:left="374"/>
              <w:spacing w:before="44" w:line="163" w:lineRule="auto"/>
              <w:rPr>
                <w:sz w:val="21"/>
                <w:szCs w:val="21"/>
              </w:rPr>
            </w:pPr>
            <w:r>
              <w:rPr>
                <w:sz w:val="21"/>
                <w:szCs w:val="21"/>
              </w:rPr>
              <w:t>1</w:t>
            </w:r>
          </w:p>
        </w:tc>
        <w:tc>
          <w:tcPr>
            <w:tcW w:w="4597" w:type="dxa"/>
            <w:vAlign w:val="top"/>
          </w:tcPr>
          <w:p>
            <w:pPr>
              <w:pStyle w:val="TableText"/>
              <w:ind w:left="15"/>
              <w:spacing w:before="22" w:line="182" w:lineRule="auto"/>
              <w:rPr>
                <w:sz w:val="21"/>
                <w:szCs w:val="21"/>
              </w:rPr>
            </w:pPr>
            <w:r>
              <w:rPr>
                <w:sz w:val="21"/>
                <w:szCs w:val="21"/>
                <w:spacing w:val="-1"/>
              </w:rPr>
              <w:t>洒微生物除臭剂，无组织排放。</w:t>
            </w:r>
          </w:p>
        </w:tc>
        <w:tc>
          <w:tcPr>
            <w:tcW w:w="870" w:type="dxa"/>
            <w:vAlign w:val="top"/>
            <w:gridSpan w:val="2"/>
          </w:tcPr>
          <w:p>
            <w:pPr>
              <w:pStyle w:val="TableText"/>
              <w:ind w:left="267"/>
              <w:spacing w:before="44" w:line="163" w:lineRule="auto"/>
              <w:rPr>
                <w:sz w:val="21"/>
                <w:szCs w:val="21"/>
              </w:rPr>
            </w:pPr>
            <w:r>
              <w:rPr>
                <w:sz w:val="21"/>
                <w:szCs w:val="21"/>
                <w:color w:val="303040"/>
                <w:spacing w:val="-3"/>
              </w:rPr>
              <w:t>50%</w:t>
            </w:r>
          </w:p>
        </w:tc>
        <w:tc>
          <w:tcPr>
            <w:tcW w:w="670" w:type="dxa"/>
            <w:vAlign w:val="top"/>
          </w:tcPr>
          <w:p>
            <w:pPr>
              <w:pStyle w:val="TableText"/>
              <w:ind w:left="18"/>
              <w:spacing w:before="44" w:line="163" w:lineRule="auto"/>
              <w:rPr>
                <w:sz w:val="21"/>
                <w:szCs w:val="21"/>
              </w:rPr>
            </w:pPr>
            <w:r>
              <w:rPr>
                <w:sz w:val="21"/>
                <w:szCs w:val="21"/>
                <w:spacing w:val="-2"/>
              </w:rPr>
              <w:t>0.0002</w:t>
            </w:r>
          </w:p>
        </w:tc>
        <w:tc>
          <w:tcPr>
            <w:tcW w:w="849" w:type="dxa"/>
            <w:vAlign w:val="top"/>
          </w:tcPr>
          <w:p>
            <w:pPr>
              <w:pStyle w:val="TableText"/>
              <w:ind w:left="48"/>
              <w:spacing w:before="44" w:line="163" w:lineRule="auto"/>
              <w:rPr>
                <w:sz w:val="21"/>
                <w:szCs w:val="21"/>
              </w:rPr>
            </w:pPr>
            <w:r>
              <w:rPr>
                <w:sz w:val="21"/>
                <w:szCs w:val="21"/>
                <w:spacing w:val="-2"/>
              </w:rPr>
              <w:t>0.00003</w:t>
            </w:r>
          </w:p>
        </w:tc>
        <w:tc>
          <w:tcPr>
            <w:tcW w:w="839" w:type="dxa"/>
            <w:vAlign w:val="top"/>
          </w:tcPr>
          <w:p>
            <w:pPr>
              <w:pStyle w:val="TableText"/>
              <w:ind w:left="358"/>
              <w:spacing w:before="44" w:line="163" w:lineRule="auto"/>
              <w:rPr>
                <w:sz w:val="21"/>
                <w:szCs w:val="21"/>
              </w:rPr>
            </w:pPr>
            <w:r>
              <w:rPr>
                <w:sz w:val="21"/>
                <w:szCs w:val="21"/>
              </w:rPr>
              <w:t>1</w:t>
            </w:r>
          </w:p>
        </w:tc>
        <w:tc>
          <w:tcPr>
            <w:tcW w:w="450" w:type="dxa"/>
            <w:vAlign w:val="top"/>
            <w:vMerge w:val="continue"/>
            <w:tcBorders>
              <w:top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260" w:hRule="atLeast"/>
        </w:trPr>
        <w:tc>
          <w:tcPr>
            <w:tcW w:w="725" w:type="dxa"/>
            <w:vAlign w:val="top"/>
            <w:gridSpan w:val="2"/>
            <w:vMerge w:val="continue"/>
            <w:tcBorders>
              <w:top w:val="nil"/>
              <w:bottom w:val="nil"/>
            </w:tcBorders>
          </w:tcPr>
          <w:p>
            <w:pPr>
              <w:rPr>
                <w:rFonts w:ascii="Arial"/>
                <w:sz w:val="21"/>
              </w:rPr>
            </w:pPr>
            <w:r/>
          </w:p>
        </w:tc>
        <w:tc>
          <w:tcPr>
            <w:tcW w:w="210" w:type="dxa"/>
            <w:vAlign w:val="top"/>
            <w:vMerge w:val="restart"/>
            <w:textDirection w:val="tbRlV"/>
            <w:tcBorders>
              <w:bottom w:val="nil"/>
            </w:tcBorders>
          </w:tcPr>
          <w:p>
            <w:pPr>
              <w:pStyle w:val="TableText"/>
              <w:ind w:left="304"/>
              <w:spacing w:before="3" w:line="200" w:lineRule="auto"/>
              <w:rPr>
                <w:sz w:val="21"/>
                <w:szCs w:val="21"/>
              </w:rPr>
            </w:pPr>
            <w:r>
              <w:rPr>
                <w:sz w:val="21"/>
                <w:szCs w:val="21"/>
                <w:spacing w:val="29"/>
              </w:rPr>
              <w:t>旺季</w:t>
            </w:r>
          </w:p>
        </w:tc>
        <w:tc>
          <w:tcPr>
            <w:tcW w:w="689" w:type="dxa"/>
            <w:vAlign w:val="top"/>
            <w:vMerge w:val="restart"/>
            <w:tcBorders>
              <w:bottom w:val="nil"/>
            </w:tcBorders>
          </w:tcPr>
          <w:p>
            <w:pPr>
              <w:pStyle w:val="TableText"/>
              <w:ind w:left="20"/>
              <w:spacing w:before="184" w:line="220" w:lineRule="auto"/>
              <w:rPr>
                <w:sz w:val="21"/>
                <w:szCs w:val="21"/>
              </w:rPr>
            </w:pPr>
            <w:r>
              <w:rPr>
                <w:sz w:val="21"/>
                <w:szCs w:val="21"/>
                <w:spacing w:val="3"/>
              </w:rPr>
              <w:t>有组织</w:t>
            </w:r>
          </w:p>
        </w:tc>
        <w:tc>
          <w:tcPr>
            <w:tcW w:w="629" w:type="dxa"/>
            <w:vAlign w:val="top"/>
          </w:tcPr>
          <w:p>
            <w:pPr>
              <w:pStyle w:val="TableText"/>
              <w:ind w:left="91"/>
              <w:spacing w:before="66" w:line="161"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540" w:type="dxa"/>
            <w:vAlign w:val="top"/>
            <w:vMerge w:val="restart"/>
            <w:tcBorders>
              <w:bottom w:val="nil"/>
            </w:tcBorders>
          </w:tcPr>
          <w:p>
            <w:pPr>
              <w:spacing w:line="243" w:lineRule="auto"/>
              <w:rPr>
                <w:rFonts w:ascii="Arial"/>
                <w:sz w:val="21"/>
              </w:rPr>
            </w:pPr>
            <w:r/>
          </w:p>
          <w:p>
            <w:pPr>
              <w:pStyle w:val="TableText"/>
              <w:ind w:left="151" w:right="44" w:hanging="100"/>
              <w:spacing w:before="68" w:line="266" w:lineRule="auto"/>
              <w:rPr>
                <w:sz w:val="21"/>
                <w:szCs w:val="21"/>
              </w:rPr>
            </w:pPr>
            <w:r>
              <w:rPr>
                <w:sz w:val="21"/>
                <w:szCs w:val="21"/>
                <w:spacing w:val="6"/>
              </w:rPr>
              <w:t>类比</w:t>
            </w:r>
            <w:r>
              <w:rPr>
                <w:sz w:val="21"/>
                <w:szCs w:val="21"/>
              </w:rPr>
              <w:t xml:space="preserve"> </w:t>
            </w:r>
            <w:r>
              <w:rPr>
                <w:sz w:val="21"/>
                <w:szCs w:val="21"/>
              </w:rPr>
              <w:t>法</w:t>
            </w:r>
          </w:p>
        </w:tc>
        <w:tc>
          <w:tcPr>
            <w:tcW w:w="629" w:type="dxa"/>
            <w:vAlign w:val="top"/>
          </w:tcPr>
          <w:p>
            <w:pPr>
              <w:pStyle w:val="TableText"/>
              <w:spacing w:before="54" w:line="172" w:lineRule="auto"/>
              <w:jc w:val="right"/>
              <w:rPr>
                <w:sz w:val="21"/>
                <w:szCs w:val="21"/>
              </w:rPr>
            </w:pPr>
            <w:r>
              <w:rPr>
                <w:sz w:val="21"/>
                <w:szCs w:val="21"/>
                <w:spacing w:val="-4"/>
              </w:rPr>
              <w:t>0.0918</w:t>
            </w:r>
          </w:p>
        </w:tc>
        <w:tc>
          <w:tcPr>
            <w:tcW w:w="849" w:type="dxa"/>
            <w:vAlign w:val="top"/>
          </w:tcPr>
          <w:p>
            <w:pPr>
              <w:pStyle w:val="TableText"/>
              <w:ind w:left="102"/>
              <w:spacing w:before="54" w:line="172" w:lineRule="auto"/>
              <w:rPr>
                <w:sz w:val="21"/>
                <w:szCs w:val="21"/>
              </w:rPr>
            </w:pPr>
            <w:r>
              <w:rPr>
                <w:sz w:val="21"/>
                <w:szCs w:val="21"/>
                <w:spacing w:val="-2"/>
              </w:rPr>
              <w:t>0.0425</w:t>
            </w:r>
          </w:p>
        </w:tc>
        <w:tc>
          <w:tcPr>
            <w:tcW w:w="879" w:type="dxa"/>
            <w:vAlign w:val="top"/>
          </w:tcPr>
          <w:p>
            <w:pPr>
              <w:pStyle w:val="TableText"/>
              <w:ind w:left="273"/>
              <w:spacing w:before="54" w:line="172" w:lineRule="auto"/>
              <w:rPr>
                <w:sz w:val="21"/>
                <w:szCs w:val="21"/>
              </w:rPr>
            </w:pPr>
            <w:r>
              <w:rPr>
                <w:sz w:val="21"/>
                <w:szCs w:val="21"/>
                <w:spacing w:val="-3"/>
              </w:rPr>
              <w:t>8.5</w:t>
            </w:r>
          </w:p>
        </w:tc>
        <w:tc>
          <w:tcPr>
            <w:tcW w:w="4597" w:type="dxa"/>
            <w:vAlign w:val="top"/>
            <w:vMerge w:val="restart"/>
            <w:tcBorders>
              <w:bottom w:val="nil"/>
            </w:tcBorders>
          </w:tcPr>
          <w:p>
            <w:pPr>
              <w:pStyle w:val="TableText"/>
              <w:ind w:left="404" w:right="183" w:hanging="209"/>
              <w:spacing w:before="50" w:line="219" w:lineRule="auto"/>
              <w:rPr>
                <w:sz w:val="21"/>
                <w:szCs w:val="21"/>
              </w:rPr>
            </w:pPr>
            <w:r>
              <w:rPr>
                <w:sz w:val="21"/>
                <w:szCs w:val="21"/>
                <w:spacing w:val="4"/>
              </w:rPr>
              <w:t>负压收集(风量5000m³/h)+喷淋+</w:t>
            </w:r>
            <w:r>
              <w:rPr>
                <w:sz w:val="21"/>
                <w:szCs w:val="21"/>
              </w:rPr>
              <w:t>UV</w:t>
            </w:r>
            <w:r>
              <w:rPr>
                <w:sz w:val="21"/>
                <w:szCs w:val="21"/>
                <w:spacing w:val="4"/>
              </w:rPr>
              <w:t>光解+活性</w:t>
            </w:r>
            <w:r>
              <w:rPr>
                <w:sz w:val="21"/>
                <w:szCs w:val="21"/>
                <w:spacing w:val="12"/>
              </w:rPr>
              <w:t xml:space="preserve"> </w:t>
            </w:r>
            <w:r>
              <w:rPr>
                <w:sz w:val="21"/>
                <w:szCs w:val="21"/>
                <w:spacing w:val="2"/>
              </w:rPr>
              <w:t>炭吸附装置(</w:t>
            </w:r>
            <w:r>
              <w:rPr>
                <w:sz w:val="21"/>
                <w:szCs w:val="21"/>
              </w:rPr>
              <w:t>TA</w:t>
            </w:r>
            <w:r>
              <w:rPr>
                <w:sz w:val="21"/>
                <w:szCs w:val="21"/>
                <w:spacing w:val="2"/>
              </w:rPr>
              <w:t>004)+15m高排气筒(</w:t>
            </w:r>
            <w:r>
              <w:rPr>
                <w:sz w:val="21"/>
                <w:szCs w:val="21"/>
              </w:rPr>
              <w:t>DA</w:t>
            </w:r>
            <w:r>
              <w:rPr>
                <w:sz w:val="21"/>
                <w:szCs w:val="21"/>
                <w:spacing w:val="2"/>
              </w:rPr>
              <w:t>00</w:t>
            </w:r>
            <w:r>
              <w:rPr>
                <w:sz w:val="21"/>
                <w:szCs w:val="21"/>
                <w:spacing w:val="1"/>
              </w:rPr>
              <w:t>4)</w:t>
            </w:r>
          </w:p>
        </w:tc>
        <w:tc>
          <w:tcPr>
            <w:tcW w:w="450" w:type="dxa"/>
            <w:vAlign w:val="top"/>
          </w:tcPr>
          <w:p>
            <w:pPr>
              <w:pStyle w:val="TableText"/>
              <w:ind w:left="57"/>
              <w:spacing w:before="54" w:line="172" w:lineRule="auto"/>
              <w:rPr>
                <w:sz w:val="21"/>
                <w:szCs w:val="21"/>
              </w:rPr>
            </w:pPr>
            <w:r>
              <w:rPr>
                <w:sz w:val="21"/>
                <w:szCs w:val="21"/>
                <w:spacing w:val="-3"/>
              </w:rPr>
              <w:t>95%</w:t>
            </w:r>
          </w:p>
        </w:tc>
        <w:tc>
          <w:tcPr>
            <w:tcW w:w="420" w:type="dxa"/>
            <w:vAlign w:val="top"/>
          </w:tcPr>
          <w:p>
            <w:pPr>
              <w:pStyle w:val="TableText"/>
              <w:ind w:left="48"/>
              <w:spacing w:before="54" w:line="172" w:lineRule="auto"/>
              <w:rPr>
                <w:sz w:val="21"/>
                <w:szCs w:val="21"/>
              </w:rPr>
            </w:pPr>
            <w:r>
              <w:rPr>
                <w:sz w:val="21"/>
                <w:szCs w:val="21"/>
                <w:spacing w:val="-3"/>
              </w:rPr>
              <w:t>95%</w:t>
            </w:r>
          </w:p>
        </w:tc>
        <w:tc>
          <w:tcPr>
            <w:tcW w:w="670" w:type="dxa"/>
            <w:vAlign w:val="top"/>
          </w:tcPr>
          <w:p>
            <w:pPr>
              <w:pStyle w:val="TableText"/>
              <w:ind w:left="18"/>
              <w:spacing w:before="54" w:line="172" w:lineRule="auto"/>
              <w:rPr>
                <w:sz w:val="21"/>
                <w:szCs w:val="21"/>
              </w:rPr>
            </w:pPr>
            <w:r>
              <w:rPr>
                <w:sz w:val="21"/>
                <w:szCs w:val="21"/>
                <w:color w:val="605050"/>
                <w:spacing w:val="-2"/>
              </w:rPr>
              <w:t>0.0044</w:t>
            </w:r>
          </w:p>
        </w:tc>
        <w:tc>
          <w:tcPr>
            <w:tcW w:w="849" w:type="dxa"/>
            <w:vAlign w:val="top"/>
          </w:tcPr>
          <w:p>
            <w:pPr>
              <w:pStyle w:val="TableText"/>
              <w:ind w:left="108"/>
              <w:spacing w:before="54" w:line="172" w:lineRule="auto"/>
              <w:rPr>
                <w:sz w:val="21"/>
                <w:szCs w:val="21"/>
              </w:rPr>
            </w:pPr>
            <w:r>
              <w:rPr>
                <w:sz w:val="21"/>
                <w:szCs w:val="21"/>
                <w:spacing w:val="-2"/>
              </w:rPr>
              <w:t>0.0020</w:t>
            </w:r>
          </w:p>
        </w:tc>
        <w:tc>
          <w:tcPr>
            <w:tcW w:w="839" w:type="dxa"/>
            <w:vAlign w:val="top"/>
          </w:tcPr>
          <w:p>
            <w:pPr>
              <w:pStyle w:val="TableText"/>
              <w:ind w:left="208"/>
              <w:spacing w:before="54" w:line="172" w:lineRule="auto"/>
              <w:rPr>
                <w:sz w:val="21"/>
                <w:szCs w:val="21"/>
              </w:rPr>
            </w:pPr>
            <w:r>
              <w:rPr>
                <w:sz w:val="21"/>
                <w:szCs w:val="21"/>
                <w:color w:val="404050"/>
                <w:spacing w:val="-2"/>
              </w:rPr>
              <w:t>0.40</w:t>
            </w:r>
          </w:p>
        </w:tc>
        <w:tc>
          <w:tcPr>
            <w:tcW w:w="450" w:type="dxa"/>
            <w:vAlign w:val="top"/>
            <w:vMerge w:val="restart"/>
            <w:tcBorders>
              <w:bottom w:val="nil"/>
            </w:tcBorders>
          </w:tcPr>
          <w:p>
            <w:pPr>
              <w:spacing w:line="403" w:lineRule="auto"/>
              <w:rPr>
                <w:rFonts w:ascii="Arial"/>
                <w:sz w:val="21"/>
              </w:rPr>
            </w:pPr>
            <w:r/>
          </w:p>
          <w:p>
            <w:pPr>
              <w:pStyle w:val="TableText"/>
              <w:ind w:left="10"/>
              <w:spacing w:before="68"/>
              <w:rPr>
                <w:sz w:val="21"/>
                <w:szCs w:val="21"/>
              </w:rPr>
            </w:pPr>
            <w:r>
              <w:rPr>
                <w:sz w:val="21"/>
                <w:szCs w:val="21"/>
                <w:spacing w:val="-3"/>
              </w:rPr>
              <w:t>2160</w:t>
            </w:r>
          </w:p>
        </w:tc>
        <w:tc>
          <w:tcPr>
            <w:tcW w:w="1664" w:type="dxa"/>
            <w:vAlign w:val="top"/>
            <w:vMerge w:val="continue"/>
            <w:tcBorders>
              <w:top w:val="nil"/>
              <w:bottom w:val="nil"/>
            </w:tcBorders>
          </w:tcPr>
          <w:p>
            <w:pPr>
              <w:rPr>
                <w:rFonts w:ascii="Arial"/>
                <w:sz w:val="21"/>
              </w:rPr>
            </w:pPr>
            <w:r/>
          </w:p>
        </w:tc>
      </w:tr>
      <w:tr>
        <w:trPr>
          <w:trHeight w:val="289" w:hRule="atLeast"/>
        </w:trPr>
        <w:tc>
          <w:tcPr>
            <w:tcW w:w="725" w:type="dxa"/>
            <w:vAlign w:val="top"/>
            <w:gridSpan w:val="2"/>
            <w:vMerge w:val="continue"/>
            <w:tcBorders>
              <w:top w:val="nil"/>
              <w:bottom w:val="nil"/>
            </w:tcBorders>
          </w:tcPr>
          <w:p>
            <w:pPr>
              <w:rPr>
                <w:rFonts w:ascii="Arial"/>
                <w:sz w:val="21"/>
              </w:rPr>
            </w:pPr>
            <w:r/>
          </w:p>
        </w:tc>
        <w:tc>
          <w:tcPr>
            <w:tcW w:w="210" w:type="dxa"/>
            <w:vAlign w:val="top"/>
            <w:vMerge w:val="continue"/>
            <w:textDirection w:val="tbRlV"/>
            <w:tcBorders>
              <w:top w:val="nil"/>
              <w:bottom w:val="nil"/>
            </w:tcBorders>
          </w:tcPr>
          <w:p>
            <w:pPr>
              <w:spacing w:line="200" w:lineRule="exact"/>
              <w:rPr>
                <w:rFonts w:ascii="Arial"/>
                <w:sz w:val="16"/>
              </w:rPr>
            </w:pPr>
            <w:r/>
          </w:p>
        </w:tc>
        <w:tc>
          <w:tcPr>
            <w:tcW w:w="689" w:type="dxa"/>
            <w:vAlign w:val="top"/>
            <w:vMerge w:val="continue"/>
            <w:tcBorders>
              <w:top w:val="nil"/>
            </w:tcBorders>
          </w:tcPr>
          <w:p>
            <w:pPr>
              <w:rPr>
                <w:rFonts w:ascii="Arial"/>
                <w:sz w:val="21"/>
              </w:rPr>
            </w:pPr>
            <w:r/>
          </w:p>
        </w:tc>
        <w:tc>
          <w:tcPr>
            <w:tcW w:w="629" w:type="dxa"/>
            <w:vAlign w:val="top"/>
          </w:tcPr>
          <w:p>
            <w:pPr>
              <w:pStyle w:val="TableText"/>
              <w:ind w:left="91"/>
              <w:spacing w:before="77" w:line="177"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540" w:type="dxa"/>
            <w:vAlign w:val="top"/>
            <w:vMerge w:val="continue"/>
            <w:tcBorders>
              <w:top w:val="nil"/>
              <w:bottom w:val="nil"/>
            </w:tcBorders>
          </w:tcPr>
          <w:p>
            <w:pPr>
              <w:rPr>
                <w:rFonts w:ascii="Arial"/>
                <w:sz w:val="21"/>
              </w:rPr>
            </w:pPr>
            <w:r/>
          </w:p>
        </w:tc>
        <w:tc>
          <w:tcPr>
            <w:tcW w:w="629" w:type="dxa"/>
            <w:vAlign w:val="top"/>
          </w:tcPr>
          <w:p>
            <w:pPr>
              <w:pStyle w:val="TableText"/>
              <w:spacing w:before="65" w:line="188" w:lineRule="auto"/>
              <w:jc w:val="right"/>
              <w:rPr>
                <w:sz w:val="21"/>
                <w:szCs w:val="21"/>
              </w:rPr>
            </w:pPr>
            <w:r>
              <w:rPr>
                <w:sz w:val="21"/>
                <w:szCs w:val="21"/>
                <w:spacing w:val="-4"/>
              </w:rPr>
              <w:t>0.0036</w:t>
            </w:r>
          </w:p>
        </w:tc>
        <w:tc>
          <w:tcPr>
            <w:tcW w:w="849" w:type="dxa"/>
            <w:vAlign w:val="top"/>
          </w:tcPr>
          <w:p>
            <w:pPr>
              <w:pStyle w:val="TableText"/>
              <w:ind w:left="102"/>
              <w:spacing w:before="65" w:line="188" w:lineRule="auto"/>
              <w:rPr>
                <w:sz w:val="21"/>
                <w:szCs w:val="21"/>
              </w:rPr>
            </w:pPr>
            <w:r>
              <w:rPr>
                <w:sz w:val="21"/>
                <w:szCs w:val="21"/>
                <w:spacing w:val="-2"/>
              </w:rPr>
              <w:t>0.0016</w:t>
            </w:r>
          </w:p>
        </w:tc>
        <w:tc>
          <w:tcPr>
            <w:tcW w:w="879" w:type="dxa"/>
            <w:vAlign w:val="top"/>
          </w:tcPr>
          <w:p>
            <w:pPr>
              <w:pStyle w:val="TableText"/>
              <w:ind w:left="223"/>
              <w:spacing w:before="65" w:line="188" w:lineRule="auto"/>
              <w:rPr>
                <w:sz w:val="21"/>
                <w:szCs w:val="21"/>
              </w:rPr>
            </w:pPr>
            <w:r>
              <w:rPr>
                <w:sz w:val="21"/>
                <w:szCs w:val="21"/>
                <w:spacing w:val="-2"/>
              </w:rPr>
              <w:t>0.32</w:t>
            </w:r>
          </w:p>
        </w:tc>
        <w:tc>
          <w:tcPr>
            <w:tcW w:w="4597" w:type="dxa"/>
            <w:vAlign w:val="top"/>
            <w:vMerge w:val="continue"/>
            <w:tcBorders>
              <w:top w:val="nil"/>
            </w:tcBorders>
          </w:tcPr>
          <w:p>
            <w:pPr>
              <w:rPr>
                <w:rFonts w:ascii="Arial"/>
                <w:sz w:val="21"/>
              </w:rPr>
            </w:pPr>
            <w:r/>
          </w:p>
        </w:tc>
        <w:tc>
          <w:tcPr>
            <w:tcW w:w="450" w:type="dxa"/>
            <w:vAlign w:val="top"/>
          </w:tcPr>
          <w:p>
            <w:pPr>
              <w:pStyle w:val="TableText"/>
              <w:ind w:left="57"/>
              <w:spacing w:before="65" w:line="188" w:lineRule="auto"/>
              <w:rPr>
                <w:sz w:val="21"/>
                <w:szCs w:val="21"/>
              </w:rPr>
            </w:pPr>
            <w:r>
              <w:rPr>
                <w:sz w:val="21"/>
                <w:szCs w:val="21"/>
                <w:color w:val="404040"/>
                <w:spacing w:val="-3"/>
              </w:rPr>
              <w:t>95%</w:t>
            </w:r>
          </w:p>
        </w:tc>
        <w:tc>
          <w:tcPr>
            <w:tcW w:w="420" w:type="dxa"/>
            <w:vAlign w:val="top"/>
          </w:tcPr>
          <w:p>
            <w:pPr>
              <w:pStyle w:val="TableText"/>
              <w:ind w:left="48"/>
              <w:spacing w:before="33" w:line="215" w:lineRule="auto"/>
              <w:rPr>
                <w:sz w:val="21"/>
                <w:szCs w:val="21"/>
              </w:rPr>
            </w:pPr>
            <w:r>
              <w:rPr>
                <w:sz w:val="21"/>
                <w:szCs w:val="21"/>
                <w:spacing w:val="-17"/>
              </w:rPr>
              <w:t>|95</w:t>
            </w:r>
          </w:p>
        </w:tc>
        <w:tc>
          <w:tcPr>
            <w:tcW w:w="670" w:type="dxa"/>
            <w:vAlign w:val="top"/>
          </w:tcPr>
          <w:p>
            <w:pPr>
              <w:pStyle w:val="TableText"/>
              <w:spacing w:before="33" w:line="215" w:lineRule="auto"/>
              <w:jc w:val="right"/>
              <w:rPr>
                <w:sz w:val="19"/>
                <w:szCs w:val="19"/>
              </w:rPr>
            </w:pPr>
            <w:r>
              <w:rPr>
                <w:sz w:val="19"/>
                <w:szCs w:val="19"/>
                <w:spacing w:val="-16"/>
              </w:rPr>
              <w:t>%|0</w:t>
            </w:r>
            <w:r>
              <w:rPr>
                <w:sz w:val="19"/>
                <w:szCs w:val="19"/>
                <w:spacing w:val="-15"/>
              </w:rPr>
              <w:t>.000</w:t>
            </w:r>
            <w:r>
              <w:rPr>
                <w:sz w:val="19"/>
                <w:szCs w:val="19"/>
                <w:spacing w:val="-12"/>
              </w:rPr>
              <w:t>2</w:t>
            </w:r>
          </w:p>
        </w:tc>
        <w:tc>
          <w:tcPr>
            <w:tcW w:w="849" w:type="dxa"/>
            <w:vAlign w:val="top"/>
          </w:tcPr>
          <w:p>
            <w:pPr>
              <w:pStyle w:val="TableText"/>
              <w:ind w:left="108"/>
              <w:spacing w:before="65" w:line="188" w:lineRule="auto"/>
              <w:rPr>
                <w:sz w:val="21"/>
                <w:szCs w:val="21"/>
              </w:rPr>
            </w:pPr>
            <w:r>
              <w:rPr>
                <w:sz w:val="21"/>
                <w:szCs w:val="21"/>
                <w:spacing w:val="-2"/>
              </w:rPr>
              <w:t>0.0001</w:t>
            </w:r>
          </w:p>
        </w:tc>
        <w:tc>
          <w:tcPr>
            <w:tcW w:w="839" w:type="dxa"/>
            <w:vAlign w:val="top"/>
          </w:tcPr>
          <w:p>
            <w:pPr>
              <w:pStyle w:val="TableText"/>
              <w:ind w:left="208"/>
              <w:spacing w:before="65" w:line="188" w:lineRule="auto"/>
              <w:rPr>
                <w:sz w:val="21"/>
                <w:szCs w:val="21"/>
              </w:rPr>
            </w:pPr>
            <w:r>
              <w:rPr>
                <w:sz w:val="21"/>
                <w:szCs w:val="21"/>
                <w:spacing w:val="-2"/>
              </w:rPr>
              <w:t>0.02</w:t>
            </w:r>
          </w:p>
        </w:tc>
        <w:tc>
          <w:tcPr>
            <w:tcW w:w="450" w:type="dxa"/>
            <w:vAlign w:val="top"/>
            <w:vMerge w:val="continue"/>
            <w:tcBorders>
              <w:top w:val="nil"/>
              <w:bottom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230" w:hRule="atLeast"/>
        </w:trPr>
        <w:tc>
          <w:tcPr>
            <w:tcW w:w="725" w:type="dxa"/>
            <w:vAlign w:val="top"/>
            <w:gridSpan w:val="2"/>
            <w:vMerge w:val="continue"/>
            <w:tcBorders>
              <w:top w:val="nil"/>
              <w:bottom w:val="nil"/>
            </w:tcBorders>
          </w:tcPr>
          <w:p>
            <w:pPr>
              <w:rPr>
                <w:rFonts w:ascii="Arial"/>
                <w:sz w:val="21"/>
              </w:rPr>
            </w:pPr>
            <w:r/>
          </w:p>
        </w:tc>
        <w:tc>
          <w:tcPr>
            <w:tcW w:w="210" w:type="dxa"/>
            <w:vAlign w:val="top"/>
            <w:vMerge w:val="continue"/>
            <w:textDirection w:val="tbRlV"/>
            <w:tcBorders>
              <w:top w:val="nil"/>
              <w:bottom w:val="nil"/>
            </w:tcBorders>
          </w:tcPr>
          <w:p>
            <w:pPr>
              <w:spacing w:line="200" w:lineRule="exact"/>
              <w:rPr>
                <w:rFonts w:ascii="Arial"/>
                <w:sz w:val="16"/>
              </w:rPr>
            </w:pPr>
            <w:r/>
          </w:p>
        </w:tc>
        <w:tc>
          <w:tcPr>
            <w:tcW w:w="689" w:type="dxa"/>
            <w:vAlign w:val="top"/>
            <w:vMerge w:val="restart"/>
            <w:tcBorders>
              <w:bottom w:val="nil"/>
            </w:tcBorders>
          </w:tcPr>
          <w:p>
            <w:pPr>
              <w:pStyle w:val="TableText"/>
              <w:ind w:left="20"/>
              <w:spacing w:before="175" w:line="220" w:lineRule="auto"/>
              <w:rPr>
                <w:sz w:val="21"/>
                <w:szCs w:val="21"/>
              </w:rPr>
            </w:pPr>
            <w:r>
              <w:rPr>
                <w:sz w:val="21"/>
                <w:szCs w:val="21"/>
                <w:spacing w:val="3"/>
              </w:rPr>
              <w:t>无组织</w:t>
            </w:r>
          </w:p>
        </w:tc>
        <w:tc>
          <w:tcPr>
            <w:tcW w:w="629" w:type="dxa"/>
            <w:vAlign w:val="top"/>
          </w:tcPr>
          <w:p>
            <w:pPr>
              <w:pStyle w:val="TableText"/>
              <w:ind w:left="91"/>
              <w:spacing w:before="68" w:line="151" w:lineRule="exact"/>
              <w:rPr>
                <w:rFonts w:ascii="Calibri" w:hAnsi="Calibri" w:eastAsia="Calibri" w:cs="Calibri"/>
                <w:sz w:val="21"/>
                <w:szCs w:val="21"/>
              </w:rPr>
            </w:pPr>
            <w:r>
              <w:rPr>
                <w:sz w:val="21"/>
                <w:szCs w:val="21"/>
                <w:spacing w:val="-1"/>
                <w:position w:val="-2"/>
              </w:rPr>
              <w:t>NH</w:t>
            </w:r>
            <w:r>
              <w:rPr>
                <w:rFonts w:ascii="Calibri" w:hAnsi="Calibri" w:eastAsia="Calibri" w:cs="Calibri"/>
                <w:sz w:val="21"/>
                <w:szCs w:val="21"/>
                <w:spacing w:val="-1"/>
                <w:position w:val="-2"/>
              </w:rPr>
              <w:t>₃</w:t>
            </w:r>
          </w:p>
        </w:tc>
        <w:tc>
          <w:tcPr>
            <w:tcW w:w="540" w:type="dxa"/>
            <w:vAlign w:val="top"/>
            <w:vMerge w:val="continue"/>
            <w:tcBorders>
              <w:top w:val="nil"/>
              <w:bottom w:val="nil"/>
            </w:tcBorders>
          </w:tcPr>
          <w:p>
            <w:pPr>
              <w:rPr>
                <w:rFonts w:ascii="Arial"/>
                <w:sz w:val="21"/>
              </w:rPr>
            </w:pPr>
            <w:r/>
          </w:p>
        </w:tc>
        <w:tc>
          <w:tcPr>
            <w:tcW w:w="629" w:type="dxa"/>
            <w:vAlign w:val="top"/>
          </w:tcPr>
          <w:p>
            <w:pPr>
              <w:pStyle w:val="TableText"/>
              <w:spacing w:before="55" w:line="165" w:lineRule="exact"/>
              <w:jc w:val="right"/>
              <w:rPr>
                <w:sz w:val="21"/>
                <w:szCs w:val="21"/>
              </w:rPr>
            </w:pPr>
            <w:r>
              <w:rPr>
                <w:sz w:val="21"/>
                <w:szCs w:val="21"/>
                <w:spacing w:val="-4"/>
                <w:position w:val="-2"/>
              </w:rPr>
              <w:t>0.0046</w:t>
            </w:r>
          </w:p>
        </w:tc>
        <w:tc>
          <w:tcPr>
            <w:tcW w:w="849" w:type="dxa"/>
            <w:vAlign w:val="top"/>
          </w:tcPr>
          <w:p>
            <w:pPr>
              <w:pStyle w:val="TableText"/>
              <w:ind w:left="102"/>
              <w:spacing w:before="55" w:line="165" w:lineRule="exact"/>
              <w:rPr>
                <w:sz w:val="21"/>
                <w:szCs w:val="21"/>
              </w:rPr>
            </w:pPr>
            <w:r>
              <w:rPr>
                <w:sz w:val="21"/>
                <w:szCs w:val="21"/>
                <w:spacing w:val="-2"/>
                <w:position w:val="-2"/>
              </w:rPr>
              <w:t>0.0021</w:t>
            </w:r>
          </w:p>
        </w:tc>
        <w:tc>
          <w:tcPr>
            <w:tcW w:w="879" w:type="dxa"/>
            <w:vAlign w:val="top"/>
          </w:tcPr>
          <w:p>
            <w:pPr>
              <w:pStyle w:val="TableText"/>
              <w:ind w:left="374"/>
              <w:spacing w:before="55" w:line="165" w:lineRule="exact"/>
              <w:rPr>
                <w:sz w:val="21"/>
                <w:szCs w:val="21"/>
              </w:rPr>
            </w:pPr>
            <w:r>
              <w:rPr>
                <w:sz w:val="21"/>
                <w:szCs w:val="21"/>
                <w:position w:val="-3"/>
              </w:rPr>
              <w:t>1</w:t>
            </w:r>
          </w:p>
        </w:tc>
        <w:tc>
          <w:tcPr>
            <w:tcW w:w="4597" w:type="dxa"/>
            <w:vAlign w:val="top"/>
            <w:vMerge w:val="restart"/>
            <w:tcBorders>
              <w:bottom w:val="nil"/>
            </w:tcBorders>
          </w:tcPr>
          <w:p>
            <w:pPr>
              <w:pStyle w:val="TableText"/>
              <w:ind w:left="15" w:right="101" w:firstLine="70"/>
              <w:spacing w:before="23" w:line="222" w:lineRule="auto"/>
              <w:rPr>
                <w:sz w:val="21"/>
                <w:szCs w:val="21"/>
              </w:rPr>
            </w:pPr>
            <w:r>
              <w:rPr>
                <w:sz w:val="21"/>
                <w:szCs w:val="21"/>
                <w:spacing w:val="-1"/>
              </w:rPr>
              <w:t>污水处理站各臭气排放设施均加盖密封，定期喷</w:t>
            </w:r>
            <w:r>
              <w:rPr>
                <w:sz w:val="21"/>
                <w:szCs w:val="21"/>
                <w:spacing w:val="10"/>
              </w:rPr>
              <w:t xml:space="preserve"> </w:t>
            </w:r>
            <w:r>
              <w:rPr>
                <w:sz w:val="21"/>
                <w:szCs w:val="21"/>
                <w:spacing w:val="-1"/>
              </w:rPr>
              <w:t>洒微生物除臭剂，无组织排放。</w:t>
            </w:r>
          </w:p>
        </w:tc>
        <w:tc>
          <w:tcPr>
            <w:tcW w:w="870" w:type="dxa"/>
            <w:vAlign w:val="top"/>
            <w:gridSpan w:val="2"/>
          </w:tcPr>
          <w:p>
            <w:pPr>
              <w:pStyle w:val="TableText"/>
              <w:ind w:left="267"/>
              <w:spacing w:before="55" w:line="165" w:lineRule="exact"/>
              <w:rPr>
                <w:sz w:val="21"/>
                <w:szCs w:val="21"/>
              </w:rPr>
            </w:pPr>
            <w:r>
              <w:rPr>
                <w:sz w:val="21"/>
                <w:szCs w:val="21"/>
                <w:spacing w:val="-3"/>
                <w:position w:val="-2"/>
              </w:rPr>
              <w:t>50%</w:t>
            </w:r>
          </w:p>
        </w:tc>
        <w:tc>
          <w:tcPr>
            <w:tcW w:w="670" w:type="dxa"/>
            <w:vAlign w:val="top"/>
          </w:tcPr>
          <w:p>
            <w:pPr>
              <w:pStyle w:val="TableText"/>
              <w:ind w:left="18"/>
              <w:spacing w:before="55" w:line="165" w:lineRule="exact"/>
              <w:rPr>
                <w:sz w:val="21"/>
                <w:szCs w:val="21"/>
              </w:rPr>
            </w:pPr>
            <w:r>
              <w:rPr>
                <w:sz w:val="21"/>
                <w:szCs w:val="21"/>
                <w:color w:val="504050"/>
                <w:spacing w:val="-2"/>
                <w:position w:val="-2"/>
              </w:rPr>
              <w:t>0.0023</w:t>
            </w:r>
          </w:p>
        </w:tc>
        <w:tc>
          <w:tcPr>
            <w:tcW w:w="849" w:type="dxa"/>
            <w:vAlign w:val="top"/>
          </w:tcPr>
          <w:p>
            <w:pPr>
              <w:pStyle w:val="TableText"/>
              <w:ind w:left="108"/>
              <w:spacing w:before="55" w:line="165" w:lineRule="exact"/>
              <w:rPr>
                <w:sz w:val="21"/>
                <w:szCs w:val="21"/>
              </w:rPr>
            </w:pPr>
            <w:r>
              <w:rPr>
                <w:sz w:val="21"/>
                <w:szCs w:val="21"/>
                <w:color w:val="403040"/>
                <w:spacing w:val="-2"/>
                <w:position w:val="-2"/>
              </w:rPr>
              <w:t>0.0011</w:t>
            </w:r>
          </w:p>
        </w:tc>
        <w:tc>
          <w:tcPr>
            <w:tcW w:w="839" w:type="dxa"/>
            <w:vAlign w:val="top"/>
          </w:tcPr>
          <w:p>
            <w:pPr>
              <w:pStyle w:val="TableText"/>
              <w:ind w:left="358"/>
              <w:spacing w:before="55" w:line="165" w:lineRule="exact"/>
              <w:rPr>
                <w:sz w:val="21"/>
                <w:szCs w:val="21"/>
              </w:rPr>
            </w:pPr>
            <w:r>
              <w:rPr>
                <w:sz w:val="21"/>
                <w:szCs w:val="21"/>
                <w:position w:val="-3"/>
              </w:rPr>
              <w:t>1</w:t>
            </w:r>
          </w:p>
        </w:tc>
        <w:tc>
          <w:tcPr>
            <w:tcW w:w="450" w:type="dxa"/>
            <w:vAlign w:val="top"/>
            <w:vMerge w:val="continue"/>
            <w:tcBorders>
              <w:top w:val="nil"/>
              <w:bottom w:val="nil"/>
            </w:tcBorders>
          </w:tcPr>
          <w:p>
            <w:pPr>
              <w:rPr>
                <w:rFonts w:ascii="Arial"/>
                <w:sz w:val="21"/>
              </w:rPr>
            </w:pPr>
            <w:r/>
          </w:p>
        </w:tc>
        <w:tc>
          <w:tcPr>
            <w:tcW w:w="1664" w:type="dxa"/>
            <w:vAlign w:val="top"/>
            <w:vMerge w:val="continue"/>
            <w:tcBorders>
              <w:top w:val="nil"/>
              <w:bottom w:val="nil"/>
            </w:tcBorders>
          </w:tcPr>
          <w:p>
            <w:pPr>
              <w:rPr>
                <w:rFonts w:ascii="Arial"/>
                <w:sz w:val="21"/>
              </w:rPr>
            </w:pPr>
            <w:r/>
          </w:p>
        </w:tc>
      </w:tr>
      <w:tr>
        <w:trPr>
          <w:trHeight w:val="299" w:hRule="atLeast"/>
        </w:trPr>
        <w:tc>
          <w:tcPr>
            <w:tcW w:w="725" w:type="dxa"/>
            <w:vAlign w:val="top"/>
            <w:gridSpan w:val="2"/>
            <w:vMerge w:val="continue"/>
            <w:tcBorders>
              <w:top w:val="nil"/>
            </w:tcBorders>
          </w:tcPr>
          <w:p>
            <w:pPr>
              <w:rPr>
                <w:rFonts w:ascii="Arial"/>
                <w:sz w:val="21"/>
              </w:rPr>
            </w:pPr>
            <w:r/>
          </w:p>
        </w:tc>
        <w:tc>
          <w:tcPr>
            <w:tcW w:w="210" w:type="dxa"/>
            <w:vAlign w:val="top"/>
            <w:vMerge w:val="continue"/>
            <w:textDirection w:val="tbRlV"/>
            <w:tcBorders>
              <w:top w:val="nil"/>
            </w:tcBorders>
          </w:tcPr>
          <w:p>
            <w:pPr>
              <w:spacing w:line="200" w:lineRule="exact"/>
              <w:rPr>
                <w:rFonts w:ascii="Arial"/>
                <w:sz w:val="16"/>
              </w:rPr>
            </w:pPr>
            <w:r/>
          </w:p>
        </w:tc>
        <w:tc>
          <w:tcPr>
            <w:tcW w:w="689" w:type="dxa"/>
            <w:vAlign w:val="top"/>
            <w:vMerge w:val="continue"/>
            <w:tcBorders>
              <w:top w:val="nil"/>
            </w:tcBorders>
          </w:tcPr>
          <w:p>
            <w:pPr>
              <w:rPr>
                <w:rFonts w:ascii="Arial"/>
                <w:sz w:val="21"/>
              </w:rPr>
            </w:pPr>
            <w:r/>
          </w:p>
        </w:tc>
        <w:tc>
          <w:tcPr>
            <w:tcW w:w="629" w:type="dxa"/>
            <w:vAlign w:val="top"/>
          </w:tcPr>
          <w:p>
            <w:pPr>
              <w:pStyle w:val="TableText"/>
              <w:ind w:left="91"/>
              <w:spacing w:before="87" w:line="177"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540" w:type="dxa"/>
            <w:vAlign w:val="top"/>
            <w:vMerge w:val="continue"/>
            <w:tcBorders>
              <w:top w:val="nil"/>
            </w:tcBorders>
          </w:tcPr>
          <w:p>
            <w:pPr>
              <w:rPr>
                <w:rFonts w:ascii="Arial"/>
                <w:sz w:val="21"/>
              </w:rPr>
            </w:pPr>
            <w:r/>
          </w:p>
        </w:tc>
        <w:tc>
          <w:tcPr>
            <w:tcW w:w="629" w:type="dxa"/>
            <w:vAlign w:val="top"/>
          </w:tcPr>
          <w:p>
            <w:pPr>
              <w:pStyle w:val="TableText"/>
              <w:spacing w:before="75" w:line="188" w:lineRule="auto"/>
              <w:jc w:val="right"/>
              <w:rPr>
                <w:sz w:val="21"/>
                <w:szCs w:val="21"/>
              </w:rPr>
            </w:pPr>
            <w:r>
              <w:rPr>
                <w:sz w:val="21"/>
                <w:szCs w:val="21"/>
                <w:spacing w:val="-4"/>
              </w:rPr>
              <w:t>0.0002</w:t>
            </w:r>
          </w:p>
        </w:tc>
        <w:tc>
          <w:tcPr>
            <w:tcW w:w="849" w:type="dxa"/>
            <w:vAlign w:val="top"/>
          </w:tcPr>
          <w:p>
            <w:pPr>
              <w:pStyle w:val="TableText"/>
              <w:ind w:left="102"/>
              <w:spacing w:before="75" w:line="188" w:lineRule="auto"/>
              <w:rPr>
                <w:sz w:val="21"/>
                <w:szCs w:val="21"/>
              </w:rPr>
            </w:pPr>
            <w:r>
              <w:rPr>
                <w:sz w:val="21"/>
                <w:szCs w:val="21"/>
                <w:spacing w:val="-2"/>
              </w:rPr>
              <w:t>0.0001</w:t>
            </w:r>
          </w:p>
        </w:tc>
        <w:tc>
          <w:tcPr>
            <w:tcW w:w="879" w:type="dxa"/>
            <w:vAlign w:val="top"/>
          </w:tcPr>
          <w:p>
            <w:pPr>
              <w:pStyle w:val="TableText"/>
              <w:ind w:left="374"/>
              <w:spacing w:before="60" w:line="201" w:lineRule="auto"/>
              <w:rPr>
                <w:sz w:val="21"/>
                <w:szCs w:val="21"/>
              </w:rPr>
            </w:pPr>
            <w:r>
              <w:rPr>
                <w:sz w:val="21"/>
                <w:szCs w:val="21"/>
              </w:rPr>
              <w:t>/</w:t>
            </w:r>
          </w:p>
        </w:tc>
        <w:tc>
          <w:tcPr>
            <w:tcW w:w="4597" w:type="dxa"/>
            <w:vAlign w:val="top"/>
            <w:vMerge w:val="continue"/>
            <w:tcBorders>
              <w:top w:val="nil"/>
            </w:tcBorders>
          </w:tcPr>
          <w:p>
            <w:pPr>
              <w:rPr>
                <w:rFonts w:ascii="Arial"/>
                <w:sz w:val="21"/>
              </w:rPr>
            </w:pPr>
            <w:r/>
          </w:p>
        </w:tc>
        <w:tc>
          <w:tcPr>
            <w:tcW w:w="870" w:type="dxa"/>
            <w:vAlign w:val="top"/>
            <w:gridSpan w:val="2"/>
          </w:tcPr>
          <w:p>
            <w:pPr>
              <w:pStyle w:val="TableText"/>
              <w:ind w:left="267"/>
              <w:spacing w:before="75" w:line="188" w:lineRule="auto"/>
              <w:rPr>
                <w:sz w:val="21"/>
                <w:szCs w:val="21"/>
              </w:rPr>
            </w:pPr>
            <w:r>
              <w:rPr>
                <w:sz w:val="21"/>
                <w:szCs w:val="21"/>
                <w:spacing w:val="-3"/>
              </w:rPr>
              <w:t>50%</w:t>
            </w:r>
          </w:p>
        </w:tc>
        <w:tc>
          <w:tcPr>
            <w:tcW w:w="670" w:type="dxa"/>
            <w:vAlign w:val="top"/>
          </w:tcPr>
          <w:p>
            <w:pPr>
              <w:pStyle w:val="TableText"/>
              <w:ind w:left="18"/>
              <w:spacing w:before="75" w:line="188" w:lineRule="auto"/>
              <w:rPr>
                <w:sz w:val="21"/>
                <w:szCs w:val="21"/>
              </w:rPr>
            </w:pPr>
            <w:r>
              <w:rPr>
                <w:sz w:val="21"/>
                <w:szCs w:val="21"/>
                <w:spacing w:val="-2"/>
              </w:rPr>
              <w:t>0.0001</w:t>
            </w:r>
          </w:p>
        </w:tc>
        <w:tc>
          <w:tcPr>
            <w:tcW w:w="849" w:type="dxa"/>
            <w:vAlign w:val="top"/>
          </w:tcPr>
          <w:p>
            <w:pPr>
              <w:pStyle w:val="TableText"/>
              <w:ind w:left="48"/>
              <w:spacing w:before="75" w:line="188" w:lineRule="auto"/>
              <w:rPr>
                <w:sz w:val="21"/>
                <w:szCs w:val="21"/>
              </w:rPr>
            </w:pPr>
            <w:r>
              <w:rPr>
                <w:sz w:val="21"/>
                <w:szCs w:val="21"/>
                <w:spacing w:val="-2"/>
              </w:rPr>
              <w:t>0.00004</w:t>
            </w:r>
          </w:p>
        </w:tc>
        <w:tc>
          <w:tcPr>
            <w:tcW w:w="839" w:type="dxa"/>
            <w:vAlign w:val="top"/>
          </w:tcPr>
          <w:p>
            <w:pPr>
              <w:pStyle w:val="TableText"/>
              <w:ind w:left="358"/>
              <w:spacing w:before="60" w:line="201" w:lineRule="auto"/>
              <w:rPr>
                <w:sz w:val="21"/>
                <w:szCs w:val="21"/>
              </w:rPr>
            </w:pPr>
            <w:r>
              <w:rPr>
                <w:sz w:val="21"/>
                <w:szCs w:val="21"/>
              </w:rPr>
              <w:t>/</w:t>
            </w:r>
          </w:p>
        </w:tc>
        <w:tc>
          <w:tcPr>
            <w:tcW w:w="450" w:type="dxa"/>
            <w:vAlign w:val="top"/>
            <w:vMerge w:val="continue"/>
            <w:tcBorders>
              <w:top w:val="nil"/>
            </w:tcBorders>
          </w:tcPr>
          <w:p>
            <w:pPr>
              <w:rPr>
                <w:rFonts w:ascii="Arial"/>
                <w:sz w:val="21"/>
              </w:rPr>
            </w:pPr>
            <w:r/>
          </w:p>
        </w:tc>
        <w:tc>
          <w:tcPr>
            <w:tcW w:w="1664" w:type="dxa"/>
            <w:vAlign w:val="top"/>
            <w:vMerge w:val="continue"/>
            <w:tcBorders>
              <w:top w:val="nil"/>
            </w:tcBorders>
          </w:tcPr>
          <w:p>
            <w:pPr>
              <w:rPr>
                <w:rFonts w:ascii="Arial"/>
                <w:sz w:val="21"/>
              </w:rPr>
            </w:pPr>
            <w:r/>
          </w:p>
        </w:tc>
      </w:tr>
      <w:tr>
        <w:trPr>
          <w:trHeight w:val="799" w:hRule="atLeast"/>
        </w:trPr>
        <w:tc>
          <w:tcPr>
            <w:tcW w:w="725" w:type="dxa"/>
            <w:vAlign w:val="top"/>
            <w:gridSpan w:val="2"/>
          </w:tcPr>
          <w:p>
            <w:pPr>
              <w:pStyle w:val="TableText"/>
              <w:ind w:left="144" w:right="40" w:hanging="109"/>
              <w:spacing w:before="175" w:line="215" w:lineRule="auto"/>
              <w:rPr>
                <w:sz w:val="21"/>
                <w:szCs w:val="21"/>
              </w:rPr>
            </w:pPr>
            <w:r>
              <w:rPr>
                <w:sz w:val="21"/>
                <w:szCs w:val="21"/>
                <w:spacing w:val="3"/>
              </w:rPr>
              <w:t>固废暂</w:t>
            </w:r>
            <w:r>
              <w:rPr>
                <w:sz w:val="21"/>
                <w:szCs w:val="21"/>
              </w:rPr>
              <w:t xml:space="preserve"> </w:t>
            </w:r>
            <w:r>
              <w:rPr>
                <w:sz w:val="21"/>
                <w:szCs w:val="21"/>
                <w:spacing w:val="10"/>
              </w:rPr>
              <w:t>存间</w:t>
            </w:r>
          </w:p>
        </w:tc>
        <w:tc>
          <w:tcPr>
            <w:tcW w:w="210" w:type="dxa"/>
            <w:vAlign w:val="top"/>
            <w:textDirection w:val="tbRlV"/>
          </w:tcPr>
          <w:p>
            <w:pPr>
              <w:pStyle w:val="TableText"/>
              <w:ind w:left="117"/>
              <w:spacing w:before="8" w:line="200" w:lineRule="auto"/>
              <w:rPr>
                <w:sz w:val="19"/>
                <w:szCs w:val="19"/>
              </w:rPr>
            </w:pPr>
            <w:r>
              <w:rPr>
                <w:sz w:val="19"/>
                <w:szCs w:val="19"/>
              </w:rPr>
              <w:t>全年</w:t>
            </w:r>
          </w:p>
        </w:tc>
        <w:tc>
          <w:tcPr>
            <w:tcW w:w="689" w:type="dxa"/>
            <w:vAlign w:val="top"/>
          </w:tcPr>
          <w:p>
            <w:pPr>
              <w:pStyle w:val="TableText"/>
              <w:ind w:left="20"/>
              <w:spacing w:before="306" w:line="220" w:lineRule="auto"/>
              <w:rPr>
                <w:sz w:val="21"/>
                <w:szCs w:val="21"/>
              </w:rPr>
            </w:pPr>
            <w:r>
              <w:rPr>
                <w:sz w:val="21"/>
                <w:szCs w:val="21"/>
                <w:spacing w:val="3"/>
              </w:rPr>
              <w:t>有组织</w:t>
            </w:r>
          </w:p>
        </w:tc>
        <w:tc>
          <w:tcPr>
            <w:tcW w:w="629" w:type="dxa"/>
            <w:vAlign w:val="top"/>
          </w:tcPr>
          <w:p>
            <w:pPr>
              <w:pStyle w:val="TableText"/>
              <w:ind w:left="91"/>
              <w:spacing w:before="305" w:line="219" w:lineRule="auto"/>
              <w:rPr>
                <w:sz w:val="21"/>
                <w:szCs w:val="21"/>
              </w:rPr>
            </w:pPr>
            <w:r>
              <w:rPr>
                <w:sz w:val="21"/>
                <w:szCs w:val="21"/>
                <w:spacing w:val="-3"/>
              </w:rPr>
              <w:t>恶臭</w:t>
            </w:r>
          </w:p>
        </w:tc>
        <w:tc>
          <w:tcPr>
            <w:tcW w:w="540" w:type="dxa"/>
            <w:vAlign w:val="top"/>
          </w:tcPr>
          <w:p>
            <w:pPr>
              <w:pStyle w:val="TableText"/>
              <w:ind w:left="151" w:right="44" w:hanging="100"/>
              <w:spacing w:before="165" w:line="257" w:lineRule="auto"/>
              <w:rPr>
                <w:sz w:val="21"/>
                <w:szCs w:val="21"/>
              </w:rPr>
            </w:pPr>
            <w:r>
              <w:rPr>
                <w:sz w:val="21"/>
                <w:szCs w:val="21"/>
                <w:spacing w:val="6"/>
              </w:rPr>
              <w:t>类比</w:t>
            </w:r>
            <w:r>
              <w:rPr>
                <w:sz w:val="21"/>
                <w:szCs w:val="21"/>
              </w:rPr>
              <w:t xml:space="preserve"> </w:t>
            </w:r>
            <w:r>
              <w:rPr>
                <w:sz w:val="21"/>
                <w:szCs w:val="21"/>
              </w:rPr>
              <w:t>法</w:t>
            </w:r>
          </w:p>
        </w:tc>
        <w:tc>
          <w:tcPr>
            <w:tcW w:w="629" w:type="dxa"/>
            <w:vAlign w:val="top"/>
          </w:tcPr>
          <w:p>
            <w:pPr>
              <w:pStyle w:val="TableText"/>
              <w:ind w:left="92"/>
              <w:spacing w:before="308" w:line="221" w:lineRule="auto"/>
              <w:rPr>
                <w:sz w:val="21"/>
                <w:szCs w:val="21"/>
              </w:rPr>
            </w:pPr>
            <w:r>
              <w:rPr>
                <w:sz w:val="21"/>
                <w:szCs w:val="21"/>
                <w:spacing w:val="-3"/>
              </w:rPr>
              <w:t>少量</w:t>
            </w:r>
          </w:p>
        </w:tc>
        <w:tc>
          <w:tcPr>
            <w:tcW w:w="849" w:type="dxa"/>
            <w:vAlign w:val="top"/>
          </w:tcPr>
          <w:p>
            <w:pPr>
              <w:spacing w:line="241" w:lineRule="auto"/>
              <w:rPr>
                <w:rFonts w:ascii="Arial"/>
                <w:sz w:val="21"/>
              </w:rPr>
            </w:pPr>
            <w:r/>
          </w:p>
          <w:p>
            <w:pPr>
              <w:pStyle w:val="TableText"/>
              <w:ind w:left="363"/>
              <w:spacing w:before="69" w:line="224" w:lineRule="auto"/>
              <w:rPr>
                <w:sz w:val="21"/>
                <w:szCs w:val="21"/>
              </w:rPr>
            </w:pPr>
            <w:r>
              <w:rPr>
                <w:sz w:val="21"/>
                <w:szCs w:val="21"/>
              </w:rPr>
              <w:t>/</w:t>
            </w:r>
          </w:p>
        </w:tc>
        <w:tc>
          <w:tcPr>
            <w:tcW w:w="879" w:type="dxa"/>
            <w:vAlign w:val="top"/>
          </w:tcPr>
          <w:p>
            <w:pPr>
              <w:spacing w:line="241" w:lineRule="auto"/>
              <w:rPr>
                <w:rFonts w:ascii="Arial"/>
                <w:sz w:val="21"/>
              </w:rPr>
            </w:pPr>
            <w:r/>
          </w:p>
          <w:p>
            <w:pPr>
              <w:pStyle w:val="TableText"/>
              <w:ind w:left="374"/>
              <w:spacing w:before="69" w:line="224" w:lineRule="auto"/>
              <w:rPr>
                <w:sz w:val="21"/>
                <w:szCs w:val="21"/>
              </w:rPr>
            </w:pPr>
            <w:r>
              <w:rPr>
                <w:sz w:val="21"/>
                <w:szCs w:val="21"/>
              </w:rPr>
              <w:t>/</w:t>
            </w:r>
          </w:p>
        </w:tc>
        <w:tc>
          <w:tcPr>
            <w:tcW w:w="4597" w:type="dxa"/>
            <w:vAlign w:val="top"/>
          </w:tcPr>
          <w:p>
            <w:pPr>
              <w:pStyle w:val="TableText"/>
              <w:ind w:left="134"/>
              <w:spacing w:before="43" w:line="218" w:lineRule="auto"/>
              <w:rPr>
                <w:sz w:val="21"/>
                <w:szCs w:val="21"/>
              </w:rPr>
            </w:pPr>
            <w:r>
              <w:rPr>
                <w:sz w:val="21"/>
                <w:szCs w:val="21"/>
              </w:rPr>
              <w:t>喷淋+UV光解+活性炭吸附(与生猪屠宰车间恶臭</w:t>
            </w:r>
          </w:p>
          <w:p>
            <w:pPr>
              <w:pStyle w:val="TableText"/>
              <w:ind w:left="134"/>
              <w:spacing w:before="13" w:line="211" w:lineRule="auto"/>
              <w:rPr>
                <w:sz w:val="21"/>
                <w:szCs w:val="21"/>
              </w:rPr>
            </w:pPr>
            <w:r>
              <w:rPr>
                <w:sz w:val="21"/>
                <w:szCs w:val="21"/>
              </w:rPr>
              <w:t>合用)密闭存储、日产日清、定期喷洒微生物除</w:t>
            </w:r>
          </w:p>
          <w:p>
            <w:pPr>
              <w:pStyle w:val="TableText"/>
              <w:ind w:left="2085"/>
              <w:spacing w:line="214" w:lineRule="auto"/>
              <w:rPr>
                <w:sz w:val="21"/>
                <w:szCs w:val="21"/>
              </w:rPr>
            </w:pPr>
            <w:r>
              <w:rPr>
                <w:sz w:val="21"/>
                <w:szCs w:val="21"/>
                <w:spacing w:val="6"/>
              </w:rPr>
              <w:t>臭剂</w:t>
            </w:r>
          </w:p>
        </w:tc>
        <w:tc>
          <w:tcPr>
            <w:tcW w:w="450" w:type="dxa"/>
            <w:vAlign w:val="top"/>
          </w:tcPr>
          <w:p>
            <w:pPr>
              <w:spacing w:line="256" w:lineRule="auto"/>
              <w:rPr>
                <w:rFonts w:ascii="Arial"/>
                <w:sz w:val="21"/>
              </w:rPr>
            </w:pPr>
            <w:r/>
          </w:p>
          <w:p>
            <w:pPr>
              <w:pStyle w:val="TableText"/>
              <w:ind w:left="57"/>
              <w:spacing w:before="68"/>
              <w:rPr>
                <w:sz w:val="21"/>
                <w:szCs w:val="21"/>
              </w:rPr>
            </w:pPr>
            <w:r>
              <w:rPr>
                <w:sz w:val="21"/>
                <w:szCs w:val="21"/>
                <w:spacing w:val="-3"/>
              </w:rPr>
              <w:t>95%</w:t>
            </w:r>
          </w:p>
        </w:tc>
        <w:tc>
          <w:tcPr>
            <w:tcW w:w="420" w:type="dxa"/>
            <w:vAlign w:val="top"/>
          </w:tcPr>
          <w:p>
            <w:pPr>
              <w:spacing w:line="256" w:lineRule="auto"/>
              <w:rPr>
                <w:rFonts w:ascii="Arial"/>
                <w:sz w:val="21"/>
              </w:rPr>
            </w:pPr>
            <w:r/>
          </w:p>
          <w:p>
            <w:pPr>
              <w:pStyle w:val="TableText"/>
              <w:ind w:left="48"/>
              <w:spacing w:before="68"/>
              <w:rPr>
                <w:sz w:val="21"/>
                <w:szCs w:val="21"/>
              </w:rPr>
            </w:pPr>
            <w:r>
              <w:rPr>
                <w:sz w:val="21"/>
                <w:szCs w:val="21"/>
                <w:spacing w:val="-3"/>
              </w:rPr>
              <w:t>95%</w:t>
            </w:r>
          </w:p>
        </w:tc>
        <w:tc>
          <w:tcPr>
            <w:tcW w:w="670" w:type="dxa"/>
            <w:vAlign w:val="top"/>
          </w:tcPr>
          <w:p>
            <w:pPr>
              <w:pStyle w:val="TableText"/>
              <w:ind w:left="118"/>
              <w:spacing w:before="308" w:line="221" w:lineRule="auto"/>
              <w:rPr>
                <w:sz w:val="21"/>
                <w:szCs w:val="21"/>
              </w:rPr>
            </w:pPr>
            <w:r>
              <w:rPr>
                <w:sz w:val="21"/>
                <w:szCs w:val="21"/>
                <w:spacing w:val="-3"/>
              </w:rPr>
              <w:t>少量</w:t>
            </w:r>
          </w:p>
        </w:tc>
        <w:tc>
          <w:tcPr>
            <w:tcW w:w="849" w:type="dxa"/>
            <w:vAlign w:val="top"/>
          </w:tcPr>
          <w:p>
            <w:pPr>
              <w:spacing w:line="241" w:lineRule="auto"/>
              <w:rPr>
                <w:rFonts w:ascii="Arial"/>
                <w:sz w:val="21"/>
              </w:rPr>
            </w:pPr>
            <w:r/>
          </w:p>
          <w:p>
            <w:pPr>
              <w:pStyle w:val="TableText"/>
              <w:ind w:left="368"/>
              <w:spacing w:before="69" w:line="224" w:lineRule="auto"/>
              <w:rPr>
                <w:sz w:val="21"/>
                <w:szCs w:val="21"/>
              </w:rPr>
            </w:pPr>
            <w:r>
              <w:rPr>
                <w:sz w:val="21"/>
                <w:szCs w:val="21"/>
              </w:rPr>
              <w:t>/</w:t>
            </w:r>
          </w:p>
        </w:tc>
        <w:tc>
          <w:tcPr>
            <w:tcW w:w="839" w:type="dxa"/>
            <w:vAlign w:val="top"/>
          </w:tcPr>
          <w:p>
            <w:pPr>
              <w:spacing w:line="241" w:lineRule="auto"/>
              <w:rPr>
                <w:rFonts w:ascii="Arial"/>
                <w:sz w:val="21"/>
              </w:rPr>
            </w:pPr>
            <w:r/>
          </w:p>
          <w:p>
            <w:pPr>
              <w:pStyle w:val="TableText"/>
              <w:ind w:left="358"/>
              <w:spacing w:before="69" w:line="224" w:lineRule="auto"/>
              <w:rPr>
                <w:sz w:val="21"/>
                <w:szCs w:val="21"/>
              </w:rPr>
            </w:pPr>
            <w:r>
              <w:rPr>
                <w:sz w:val="21"/>
                <w:szCs w:val="21"/>
                <w:color w:val="403040"/>
              </w:rPr>
              <w:t>/</w:t>
            </w:r>
          </w:p>
        </w:tc>
        <w:tc>
          <w:tcPr>
            <w:tcW w:w="450" w:type="dxa"/>
            <w:vAlign w:val="top"/>
          </w:tcPr>
          <w:p>
            <w:pPr>
              <w:spacing w:line="256" w:lineRule="auto"/>
              <w:rPr>
                <w:rFonts w:ascii="Arial"/>
                <w:sz w:val="21"/>
              </w:rPr>
            </w:pPr>
            <w:r/>
          </w:p>
          <w:p>
            <w:pPr>
              <w:pStyle w:val="TableText"/>
              <w:ind w:left="10"/>
              <w:spacing w:before="68"/>
              <w:rPr>
                <w:sz w:val="21"/>
                <w:szCs w:val="21"/>
              </w:rPr>
            </w:pPr>
            <w:r>
              <w:rPr>
                <w:sz w:val="21"/>
                <w:szCs w:val="21"/>
                <w:spacing w:val="-3"/>
              </w:rPr>
              <w:t>2880</w:t>
            </w:r>
          </w:p>
        </w:tc>
        <w:tc>
          <w:tcPr>
            <w:tcW w:w="1664" w:type="dxa"/>
            <w:vAlign w:val="top"/>
          </w:tcPr>
          <w:p>
            <w:pPr>
              <w:spacing w:line="241" w:lineRule="auto"/>
              <w:rPr>
                <w:rFonts w:ascii="Arial"/>
                <w:sz w:val="21"/>
              </w:rPr>
            </w:pPr>
            <w:r/>
          </w:p>
          <w:p>
            <w:pPr>
              <w:pStyle w:val="TableText"/>
              <w:ind w:left="769"/>
              <w:spacing w:before="69" w:line="224" w:lineRule="auto"/>
              <w:rPr>
                <w:sz w:val="21"/>
                <w:szCs w:val="21"/>
              </w:rPr>
            </w:pPr>
            <w:r>
              <w:rPr>
                <w:sz w:val="21"/>
                <w:szCs w:val="21"/>
              </w:rPr>
              <w:t>/</w:t>
            </w:r>
          </w:p>
        </w:tc>
      </w:tr>
      <w:tr>
        <w:trPr>
          <w:trHeight w:val="539" w:hRule="atLeast"/>
        </w:trPr>
        <w:tc>
          <w:tcPr>
            <w:tcW w:w="725" w:type="dxa"/>
            <w:vAlign w:val="top"/>
            <w:gridSpan w:val="2"/>
          </w:tcPr>
          <w:p>
            <w:pPr>
              <w:pStyle w:val="TableText"/>
              <w:ind w:left="145"/>
              <w:spacing w:before="177" w:line="221" w:lineRule="auto"/>
              <w:rPr>
                <w:sz w:val="21"/>
                <w:szCs w:val="21"/>
              </w:rPr>
            </w:pPr>
            <w:r>
              <w:rPr>
                <w:sz w:val="21"/>
                <w:szCs w:val="21"/>
                <w:spacing w:val="6"/>
              </w:rPr>
              <w:t>沼气</w:t>
            </w:r>
          </w:p>
        </w:tc>
        <w:tc>
          <w:tcPr>
            <w:tcW w:w="210" w:type="dxa"/>
            <w:vAlign w:val="top"/>
            <w:textDirection w:val="tbRlV"/>
          </w:tcPr>
          <w:p>
            <w:pPr>
              <w:pStyle w:val="TableText"/>
              <w:spacing w:before="8" w:line="200" w:lineRule="auto"/>
              <w:rPr>
                <w:sz w:val="19"/>
                <w:szCs w:val="19"/>
              </w:rPr>
            </w:pPr>
            <w:r>
              <w:rPr>
                <w:sz w:val="19"/>
                <w:szCs w:val="19"/>
                <w:spacing w:val="-6"/>
              </w:rPr>
              <w:t>全年</w:t>
            </w:r>
          </w:p>
        </w:tc>
        <w:tc>
          <w:tcPr>
            <w:tcW w:w="689" w:type="dxa"/>
            <w:vAlign w:val="top"/>
          </w:tcPr>
          <w:p>
            <w:pPr>
              <w:pStyle w:val="TableText"/>
              <w:ind w:left="20"/>
              <w:spacing w:before="177" w:line="220" w:lineRule="auto"/>
              <w:rPr>
                <w:sz w:val="21"/>
                <w:szCs w:val="21"/>
              </w:rPr>
            </w:pPr>
            <w:r>
              <w:rPr>
                <w:sz w:val="21"/>
                <w:szCs w:val="21"/>
                <w:spacing w:val="3"/>
              </w:rPr>
              <w:t>无组织</w:t>
            </w:r>
          </w:p>
        </w:tc>
        <w:tc>
          <w:tcPr>
            <w:tcW w:w="629" w:type="dxa"/>
            <w:vAlign w:val="top"/>
          </w:tcPr>
          <w:p>
            <w:pPr>
              <w:pStyle w:val="TableText"/>
              <w:ind w:left="91"/>
              <w:spacing w:before="177" w:line="221" w:lineRule="auto"/>
              <w:rPr>
                <w:sz w:val="21"/>
                <w:szCs w:val="21"/>
              </w:rPr>
            </w:pPr>
            <w:r>
              <w:rPr>
                <w:sz w:val="21"/>
                <w:szCs w:val="21"/>
                <w:spacing w:val="6"/>
              </w:rPr>
              <w:t>沼气</w:t>
            </w:r>
          </w:p>
        </w:tc>
        <w:tc>
          <w:tcPr>
            <w:tcW w:w="540" w:type="dxa"/>
            <w:vAlign w:val="top"/>
          </w:tcPr>
          <w:p>
            <w:pPr>
              <w:pStyle w:val="TableText"/>
              <w:ind w:left="51"/>
              <w:spacing w:before="46" w:line="219" w:lineRule="auto"/>
              <w:rPr>
                <w:sz w:val="21"/>
                <w:szCs w:val="21"/>
              </w:rPr>
            </w:pPr>
            <w:r>
              <w:rPr>
                <w:sz w:val="21"/>
                <w:szCs w:val="21"/>
                <w:color w:val="404040"/>
                <w:spacing w:val="6"/>
              </w:rPr>
              <w:t>类比</w:t>
            </w:r>
          </w:p>
          <w:p>
            <w:pPr>
              <w:pStyle w:val="TableText"/>
              <w:ind w:left="151"/>
              <w:spacing w:before="17" w:line="190" w:lineRule="auto"/>
              <w:rPr>
                <w:sz w:val="21"/>
                <w:szCs w:val="21"/>
              </w:rPr>
            </w:pPr>
            <w:r>
              <w:rPr>
                <w:sz w:val="21"/>
                <w:szCs w:val="21"/>
              </w:rPr>
              <w:t>法</w:t>
            </w:r>
          </w:p>
        </w:tc>
        <w:tc>
          <w:tcPr>
            <w:tcW w:w="629" w:type="dxa"/>
            <w:vAlign w:val="top"/>
          </w:tcPr>
          <w:p>
            <w:pPr>
              <w:pStyle w:val="TableText"/>
              <w:ind w:left="42" w:right="59"/>
              <w:spacing w:before="117" w:line="181" w:lineRule="auto"/>
              <w:rPr>
                <w:sz w:val="21"/>
                <w:szCs w:val="21"/>
              </w:rPr>
            </w:pPr>
            <w:r>
              <w:rPr>
                <w:sz w:val="21"/>
                <w:szCs w:val="21"/>
                <w:spacing w:val="-2"/>
              </w:rPr>
              <w:t>42580</w:t>
            </w:r>
            <w:r>
              <w:rPr>
                <w:sz w:val="21"/>
                <w:szCs w:val="21"/>
                <w:spacing w:val="1"/>
              </w:rPr>
              <w:t xml:space="preserve"> </w:t>
            </w:r>
            <w:r>
              <w:rPr>
                <w:sz w:val="21"/>
                <w:szCs w:val="21"/>
                <w:spacing w:val="-1"/>
              </w:rPr>
              <w:t>m³/a</w:t>
            </w:r>
          </w:p>
        </w:tc>
        <w:tc>
          <w:tcPr>
            <w:tcW w:w="849" w:type="dxa"/>
            <w:vAlign w:val="top"/>
          </w:tcPr>
          <w:p>
            <w:pPr>
              <w:pStyle w:val="TableText"/>
              <w:spacing w:before="182" w:line="224" w:lineRule="auto"/>
              <w:jc w:val="right"/>
              <w:rPr>
                <w:sz w:val="21"/>
                <w:szCs w:val="21"/>
              </w:rPr>
            </w:pPr>
            <w:r>
              <w:rPr>
                <w:sz w:val="21"/>
                <w:szCs w:val="21"/>
                <w:spacing w:val="-2"/>
              </w:rPr>
              <w:t>4.93m³/h</w:t>
            </w:r>
          </w:p>
        </w:tc>
        <w:tc>
          <w:tcPr>
            <w:tcW w:w="879" w:type="dxa"/>
            <w:vAlign w:val="top"/>
          </w:tcPr>
          <w:p>
            <w:pPr>
              <w:pStyle w:val="TableText"/>
              <w:ind w:left="374"/>
              <w:spacing w:before="182" w:line="224" w:lineRule="auto"/>
              <w:rPr>
                <w:sz w:val="21"/>
                <w:szCs w:val="21"/>
              </w:rPr>
            </w:pPr>
            <w:r>
              <w:rPr>
                <w:sz w:val="21"/>
                <w:szCs w:val="21"/>
                <w:color w:val="504060"/>
              </w:rPr>
              <w:t>/</w:t>
            </w:r>
          </w:p>
        </w:tc>
        <w:tc>
          <w:tcPr>
            <w:tcW w:w="4597" w:type="dxa"/>
            <w:vAlign w:val="top"/>
          </w:tcPr>
          <w:p>
            <w:pPr>
              <w:pStyle w:val="TableText"/>
              <w:ind w:left="665"/>
              <w:spacing w:before="175" w:line="219" w:lineRule="auto"/>
              <w:rPr>
                <w:sz w:val="21"/>
                <w:szCs w:val="21"/>
              </w:rPr>
            </w:pPr>
            <w:r>
              <w:rPr>
                <w:sz w:val="21"/>
                <w:szCs w:val="21"/>
                <w:spacing w:val="-1"/>
              </w:rPr>
              <w:t>脱硫净化+食堂燃烧或火炬燃烧排放</w:t>
            </w:r>
          </w:p>
        </w:tc>
        <w:tc>
          <w:tcPr>
            <w:tcW w:w="450" w:type="dxa"/>
            <w:vAlign w:val="top"/>
          </w:tcPr>
          <w:p>
            <w:pPr>
              <w:pStyle w:val="TableText"/>
              <w:ind w:left="167"/>
              <w:spacing w:before="182" w:line="224" w:lineRule="auto"/>
              <w:rPr>
                <w:sz w:val="21"/>
                <w:szCs w:val="21"/>
              </w:rPr>
            </w:pPr>
            <w:r>
              <w:rPr>
                <w:sz w:val="21"/>
                <w:szCs w:val="21"/>
              </w:rPr>
              <w:t>/</w:t>
            </w:r>
          </w:p>
        </w:tc>
        <w:tc>
          <w:tcPr>
            <w:tcW w:w="420" w:type="dxa"/>
            <w:vAlign w:val="top"/>
            <w:textDirection w:val="tbRlV"/>
          </w:tcPr>
          <w:p>
            <w:pPr>
              <w:pStyle w:val="TableText"/>
              <w:ind w:left="148"/>
              <w:spacing w:before="162" w:line="137" w:lineRule="exact"/>
              <w:rPr>
                <w:sz w:val="21"/>
                <w:szCs w:val="21"/>
              </w:rPr>
            </w:pPr>
            <w:r>
              <w:rPr>
                <w:sz w:val="21"/>
                <w:szCs w:val="21"/>
                <w:color w:val="505050"/>
                <w:spacing w:val="52"/>
                <w:w w:val="141"/>
                <w:position w:val="-1"/>
              </w:rPr>
              <w:t>/</w:t>
            </w:r>
          </w:p>
        </w:tc>
        <w:tc>
          <w:tcPr>
            <w:tcW w:w="670" w:type="dxa"/>
            <w:vAlign w:val="top"/>
          </w:tcPr>
          <w:p>
            <w:pPr>
              <w:pStyle w:val="TableText"/>
              <w:ind w:left="68" w:right="74"/>
              <w:spacing w:before="87" w:line="194" w:lineRule="auto"/>
              <w:rPr>
                <w:sz w:val="21"/>
                <w:szCs w:val="21"/>
              </w:rPr>
            </w:pPr>
            <w:r>
              <w:rPr>
                <w:sz w:val="21"/>
                <w:szCs w:val="21"/>
                <w:spacing w:val="-2"/>
              </w:rPr>
              <w:t>42580</w:t>
            </w:r>
            <w:r>
              <w:rPr>
                <w:sz w:val="21"/>
                <w:szCs w:val="21"/>
                <w:spacing w:val="1"/>
              </w:rPr>
              <w:t xml:space="preserve"> </w:t>
            </w:r>
            <w:r>
              <w:rPr>
                <w:sz w:val="21"/>
                <w:szCs w:val="21"/>
                <w:spacing w:val="-1"/>
              </w:rPr>
              <w:t>m³/a</w:t>
            </w:r>
          </w:p>
        </w:tc>
        <w:tc>
          <w:tcPr>
            <w:tcW w:w="849" w:type="dxa"/>
            <w:vAlign w:val="top"/>
          </w:tcPr>
          <w:p>
            <w:pPr>
              <w:pStyle w:val="TableText"/>
              <w:spacing w:before="182" w:line="224" w:lineRule="auto"/>
              <w:jc w:val="right"/>
              <w:rPr>
                <w:sz w:val="21"/>
                <w:szCs w:val="21"/>
              </w:rPr>
            </w:pPr>
            <w:r>
              <w:rPr>
                <w:sz w:val="21"/>
                <w:szCs w:val="21"/>
                <w:spacing w:val="-3"/>
              </w:rPr>
              <w:t>4.93m³/h</w:t>
            </w:r>
          </w:p>
        </w:tc>
        <w:tc>
          <w:tcPr>
            <w:tcW w:w="839" w:type="dxa"/>
            <w:vAlign w:val="top"/>
          </w:tcPr>
          <w:p>
            <w:pPr>
              <w:pStyle w:val="TableText"/>
              <w:ind w:left="358"/>
              <w:spacing w:before="182" w:line="224" w:lineRule="auto"/>
              <w:rPr>
                <w:sz w:val="21"/>
                <w:szCs w:val="21"/>
              </w:rPr>
            </w:pPr>
            <w:r>
              <w:rPr>
                <w:sz w:val="21"/>
                <w:szCs w:val="21"/>
              </w:rPr>
              <w:t>/</w:t>
            </w:r>
          </w:p>
        </w:tc>
        <w:tc>
          <w:tcPr>
            <w:tcW w:w="450" w:type="dxa"/>
            <w:vAlign w:val="top"/>
          </w:tcPr>
          <w:p>
            <w:pPr>
              <w:pStyle w:val="TableText"/>
              <w:ind w:left="10"/>
              <w:spacing w:before="197"/>
              <w:rPr>
                <w:sz w:val="21"/>
                <w:szCs w:val="21"/>
              </w:rPr>
            </w:pPr>
            <w:r>
              <w:rPr>
                <w:sz w:val="21"/>
                <w:szCs w:val="21"/>
                <w:spacing w:val="-2"/>
              </w:rPr>
              <w:t>6480</w:t>
            </w:r>
          </w:p>
        </w:tc>
        <w:tc>
          <w:tcPr>
            <w:tcW w:w="1664" w:type="dxa"/>
            <w:vAlign w:val="top"/>
          </w:tcPr>
          <w:p>
            <w:pPr>
              <w:pStyle w:val="TableText"/>
              <w:ind w:left="769"/>
              <w:spacing w:before="182" w:line="224" w:lineRule="auto"/>
              <w:rPr>
                <w:sz w:val="21"/>
                <w:szCs w:val="21"/>
              </w:rPr>
            </w:pPr>
            <w:r>
              <w:rPr>
                <w:sz w:val="21"/>
                <w:szCs w:val="21"/>
              </w:rPr>
              <w:t>/</w:t>
            </w:r>
          </w:p>
        </w:tc>
      </w:tr>
      <w:tr>
        <w:trPr>
          <w:trHeight w:val="839" w:hRule="atLeast"/>
        </w:trPr>
        <w:tc>
          <w:tcPr>
            <w:tcW w:w="725" w:type="dxa"/>
            <w:vAlign w:val="top"/>
            <w:gridSpan w:val="2"/>
          </w:tcPr>
          <w:p>
            <w:pPr>
              <w:pStyle w:val="TableText"/>
              <w:ind w:left="145" w:right="136"/>
              <w:spacing w:before="208" w:line="232" w:lineRule="auto"/>
              <w:rPr>
                <w:sz w:val="21"/>
                <w:szCs w:val="21"/>
              </w:rPr>
            </w:pPr>
            <w:r>
              <w:rPr>
                <w:sz w:val="21"/>
                <w:szCs w:val="21"/>
                <w:spacing w:val="-5"/>
              </w:rPr>
              <w:t>食堂</w:t>
            </w:r>
            <w:r>
              <w:rPr>
                <w:sz w:val="21"/>
                <w:szCs w:val="21"/>
              </w:rPr>
              <w:t xml:space="preserve"> </w:t>
            </w:r>
            <w:r>
              <w:rPr>
                <w:sz w:val="21"/>
                <w:szCs w:val="21"/>
                <w:spacing w:val="6"/>
              </w:rPr>
              <w:t>油烟</w:t>
            </w:r>
          </w:p>
        </w:tc>
        <w:tc>
          <w:tcPr>
            <w:tcW w:w="210" w:type="dxa"/>
            <w:vAlign w:val="top"/>
            <w:textDirection w:val="tbRlV"/>
          </w:tcPr>
          <w:p>
            <w:pPr>
              <w:pStyle w:val="TableText"/>
              <w:ind w:left="149"/>
              <w:spacing w:before="8" w:line="200" w:lineRule="auto"/>
              <w:rPr>
                <w:sz w:val="19"/>
                <w:szCs w:val="19"/>
              </w:rPr>
            </w:pPr>
            <w:r>
              <w:rPr>
                <w:sz w:val="19"/>
                <w:szCs w:val="19"/>
              </w:rPr>
              <w:t>全年</w:t>
            </w:r>
          </w:p>
        </w:tc>
        <w:tc>
          <w:tcPr>
            <w:tcW w:w="689" w:type="dxa"/>
            <w:vAlign w:val="top"/>
          </w:tcPr>
          <w:p>
            <w:pPr>
              <w:spacing w:line="257" w:lineRule="auto"/>
              <w:rPr>
                <w:rFonts w:ascii="Arial"/>
                <w:sz w:val="21"/>
              </w:rPr>
            </w:pPr>
            <w:r/>
          </w:p>
          <w:p>
            <w:pPr>
              <w:pStyle w:val="TableText"/>
              <w:ind w:left="20"/>
              <w:spacing w:before="69" w:line="219" w:lineRule="auto"/>
              <w:rPr>
                <w:sz w:val="21"/>
                <w:szCs w:val="21"/>
              </w:rPr>
            </w:pPr>
            <w:r>
              <w:rPr>
                <w:sz w:val="21"/>
                <w:szCs w:val="21"/>
                <w:spacing w:val="4"/>
              </w:rPr>
              <w:t>排气筒</w:t>
            </w:r>
          </w:p>
        </w:tc>
        <w:tc>
          <w:tcPr>
            <w:tcW w:w="629" w:type="dxa"/>
            <w:vAlign w:val="top"/>
          </w:tcPr>
          <w:p>
            <w:pPr>
              <w:spacing w:line="258" w:lineRule="auto"/>
              <w:rPr>
                <w:rFonts w:ascii="Arial"/>
                <w:sz w:val="21"/>
              </w:rPr>
            </w:pPr>
            <w:r/>
          </w:p>
          <w:p>
            <w:pPr>
              <w:pStyle w:val="TableText"/>
              <w:ind w:left="91"/>
              <w:spacing w:before="69" w:line="221" w:lineRule="auto"/>
              <w:rPr>
                <w:sz w:val="21"/>
                <w:szCs w:val="21"/>
              </w:rPr>
            </w:pPr>
            <w:r>
              <w:rPr>
                <w:sz w:val="21"/>
                <w:szCs w:val="21"/>
                <w:spacing w:val="6"/>
              </w:rPr>
              <w:t>油烟</w:t>
            </w:r>
          </w:p>
        </w:tc>
        <w:tc>
          <w:tcPr>
            <w:tcW w:w="540" w:type="dxa"/>
            <w:vAlign w:val="top"/>
          </w:tcPr>
          <w:p>
            <w:pPr>
              <w:pStyle w:val="TableText"/>
              <w:ind w:left="51"/>
              <w:spacing w:before="47" w:line="219" w:lineRule="auto"/>
              <w:rPr>
                <w:sz w:val="21"/>
                <w:szCs w:val="21"/>
              </w:rPr>
            </w:pPr>
            <w:r>
              <w:rPr>
                <w:sz w:val="21"/>
                <w:szCs w:val="21"/>
                <w:color w:val="403040"/>
                <w:spacing w:val="-3"/>
              </w:rPr>
              <w:t>产污</w:t>
            </w:r>
          </w:p>
          <w:p>
            <w:pPr>
              <w:pStyle w:val="TableText"/>
              <w:ind w:left="151" w:right="48" w:hanging="100"/>
              <w:spacing w:before="29" w:line="221" w:lineRule="auto"/>
              <w:rPr>
                <w:sz w:val="21"/>
                <w:szCs w:val="21"/>
              </w:rPr>
            </w:pPr>
            <w:r>
              <w:rPr>
                <w:sz w:val="21"/>
                <w:szCs w:val="21"/>
                <w:spacing w:val="4"/>
              </w:rPr>
              <w:t>系数</w:t>
            </w:r>
            <w:r>
              <w:rPr>
                <w:sz w:val="21"/>
                <w:szCs w:val="21"/>
              </w:rPr>
              <w:t xml:space="preserve"> </w:t>
            </w:r>
            <w:r>
              <w:rPr>
                <w:sz w:val="21"/>
                <w:szCs w:val="21"/>
              </w:rPr>
              <w:t>法</w:t>
            </w:r>
          </w:p>
        </w:tc>
        <w:tc>
          <w:tcPr>
            <w:tcW w:w="629" w:type="dxa"/>
            <w:vAlign w:val="top"/>
          </w:tcPr>
          <w:p>
            <w:pPr>
              <w:spacing w:line="278" w:lineRule="auto"/>
              <w:rPr>
                <w:rFonts w:ascii="Arial"/>
                <w:sz w:val="21"/>
              </w:rPr>
            </w:pPr>
            <w:r/>
          </w:p>
          <w:p>
            <w:pPr>
              <w:pStyle w:val="TableText"/>
              <w:ind w:left="92"/>
              <w:spacing w:before="68" w:line="239" w:lineRule="auto"/>
              <w:rPr>
                <w:sz w:val="21"/>
                <w:szCs w:val="21"/>
              </w:rPr>
            </w:pPr>
            <w:r>
              <w:rPr>
                <w:sz w:val="21"/>
                <w:szCs w:val="21"/>
                <w:spacing w:val="-2"/>
              </w:rPr>
              <w:t>0.06</w:t>
            </w:r>
          </w:p>
        </w:tc>
        <w:tc>
          <w:tcPr>
            <w:tcW w:w="849" w:type="dxa"/>
            <w:vAlign w:val="top"/>
          </w:tcPr>
          <w:p>
            <w:pPr>
              <w:spacing w:line="278" w:lineRule="auto"/>
              <w:rPr>
                <w:rFonts w:ascii="Arial"/>
                <w:sz w:val="21"/>
              </w:rPr>
            </w:pPr>
            <w:r/>
          </w:p>
          <w:p>
            <w:pPr>
              <w:pStyle w:val="TableText"/>
              <w:ind w:left="203"/>
              <w:spacing w:before="68" w:line="239" w:lineRule="auto"/>
              <w:rPr>
                <w:sz w:val="21"/>
                <w:szCs w:val="21"/>
              </w:rPr>
            </w:pPr>
            <w:r>
              <w:rPr>
                <w:sz w:val="21"/>
                <w:szCs w:val="21"/>
                <w:spacing w:val="-2"/>
              </w:rPr>
              <w:t>0.03</w:t>
            </w:r>
          </w:p>
        </w:tc>
        <w:tc>
          <w:tcPr>
            <w:tcW w:w="879" w:type="dxa"/>
            <w:vAlign w:val="top"/>
          </w:tcPr>
          <w:p>
            <w:pPr>
              <w:spacing w:line="278" w:lineRule="auto"/>
              <w:rPr>
                <w:rFonts w:ascii="Arial"/>
                <w:sz w:val="21"/>
              </w:rPr>
            </w:pPr>
            <w:r/>
          </w:p>
          <w:p>
            <w:pPr>
              <w:pStyle w:val="TableText"/>
              <w:ind w:left="273"/>
              <w:spacing w:before="68" w:line="239" w:lineRule="auto"/>
              <w:rPr>
                <w:sz w:val="21"/>
                <w:szCs w:val="21"/>
              </w:rPr>
            </w:pPr>
            <w:r>
              <w:rPr>
                <w:sz w:val="21"/>
                <w:szCs w:val="21"/>
                <w:spacing w:val="-3"/>
              </w:rPr>
              <w:t>2.5</w:t>
            </w:r>
          </w:p>
        </w:tc>
        <w:tc>
          <w:tcPr>
            <w:tcW w:w="4597" w:type="dxa"/>
            <w:vAlign w:val="top"/>
          </w:tcPr>
          <w:p>
            <w:pPr>
              <w:pStyle w:val="TableText"/>
              <w:ind w:left="455"/>
              <w:spacing w:before="207" w:line="219" w:lineRule="auto"/>
              <w:rPr>
                <w:sz w:val="21"/>
                <w:szCs w:val="21"/>
              </w:rPr>
            </w:pPr>
            <w:r>
              <w:rPr>
                <w:sz w:val="21"/>
                <w:szCs w:val="21"/>
                <w:spacing w:val="-1"/>
              </w:rPr>
              <w:t>油烟净化器处理后引至楼顶(DA006)排放</w:t>
            </w:r>
          </w:p>
          <w:p>
            <w:pPr>
              <w:pStyle w:val="TableText"/>
              <w:ind w:left="875"/>
              <w:spacing w:before="9" w:line="219" w:lineRule="auto"/>
              <w:rPr>
                <w:sz w:val="21"/>
                <w:szCs w:val="21"/>
              </w:rPr>
            </w:pPr>
            <w:r>
              <w:rPr>
                <w:sz w:val="21"/>
                <w:szCs w:val="21"/>
                <w:spacing w:val="6"/>
              </w:rPr>
              <w:t>(风机风量2000m³/h*6=12000)</w:t>
            </w:r>
          </w:p>
        </w:tc>
        <w:tc>
          <w:tcPr>
            <w:tcW w:w="870" w:type="dxa"/>
            <w:vAlign w:val="top"/>
            <w:gridSpan w:val="2"/>
          </w:tcPr>
          <w:p>
            <w:pPr>
              <w:spacing w:line="278" w:lineRule="auto"/>
              <w:rPr>
                <w:rFonts w:ascii="Arial"/>
                <w:sz w:val="21"/>
              </w:rPr>
            </w:pPr>
            <w:r/>
          </w:p>
          <w:p>
            <w:pPr>
              <w:pStyle w:val="TableText"/>
              <w:ind w:left="267"/>
              <w:spacing w:before="68"/>
              <w:rPr>
                <w:sz w:val="21"/>
                <w:szCs w:val="21"/>
              </w:rPr>
            </w:pPr>
            <w:r>
              <w:rPr>
                <w:sz w:val="21"/>
                <w:szCs w:val="21"/>
                <w:spacing w:val="-3"/>
              </w:rPr>
              <w:t>85%</w:t>
            </w:r>
          </w:p>
        </w:tc>
        <w:tc>
          <w:tcPr>
            <w:tcW w:w="670" w:type="dxa"/>
            <w:vAlign w:val="top"/>
          </w:tcPr>
          <w:p>
            <w:pPr>
              <w:spacing w:line="278" w:lineRule="auto"/>
              <w:rPr>
                <w:rFonts w:ascii="Arial"/>
                <w:sz w:val="21"/>
              </w:rPr>
            </w:pPr>
            <w:r/>
          </w:p>
          <w:p>
            <w:pPr>
              <w:pStyle w:val="TableText"/>
              <w:ind w:left="68"/>
              <w:spacing w:before="68" w:line="239" w:lineRule="auto"/>
              <w:rPr>
                <w:sz w:val="21"/>
                <w:szCs w:val="21"/>
              </w:rPr>
            </w:pPr>
            <w:r>
              <w:rPr>
                <w:sz w:val="21"/>
                <w:szCs w:val="21"/>
                <w:spacing w:val="-2"/>
              </w:rPr>
              <w:t>0.009</w:t>
            </w:r>
          </w:p>
        </w:tc>
        <w:tc>
          <w:tcPr>
            <w:tcW w:w="849" w:type="dxa"/>
            <w:vAlign w:val="top"/>
          </w:tcPr>
          <w:p>
            <w:pPr>
              <w:spacing w:line="278" w:lineRule="auto"/>
              <w:rPr>
                <w:rFonts w:ascii="Arial"/>
                <w:sz w:val="21"/>
              </w:rPr>
            </w:pPr>
            <w:r/>
          </w:p>
          <w:p>
            <w:pPr>
              <w:pStyle w:val="TableText"/>
              <w:ind w:left="158"/>
              <w:spacing w:before="68" w:line="239" w:lineRule="auto"/>
              <w:rPr>
                <w:sz w:val="21"/>
                <w:szCs w:val="21"/>
              </w:rPr>
            </w:pPr>
            <w:r>
              <w:rPr>
                <w:sz w:val="21"/>
                <w:szCs w:val="21"/>
                <w:spacing w:val="-2"/>
              </w:rPr>
              <w:t>0.004</w:t>
            </w:r>
          </w:p>
        </w:tc>
        <w:tc>
          <w:tcPr>
            <w:tcW w:w="839" w:type="dxa"/>
            <w:vAlign w:val="top"/>
          </w:tcPr>
          <w:p>
            <w:pPr>
              <w:spacing w:line="278" w:lineRule="auto"/>
              <w:rPr>
                <w:rFonts w:ascii="Arial"/>
                <w:sz w:val="21"/>
              </w:rPr>
            </w:pPr>
            <w:r/>
          </w:p>
          <w:p>
            <w:pPr>
              <w:pStyle w:val="TableText"/>
              <w:ind w:left="258"/>
              <w:spacing w:before="68" w:line="239" w:lineRule="auto"/>
              <w:rPr>
                <w:sz w:val="21"/>
                <w:szCs w:val="21"/>
              </w:rPr>
            </w:pPr>
            <w:r>
              <w:rPr>
                <w:sz w:val="21"/>
                <w:szCs w:val="21"/>
                <w:spacing w:val="-3"/>
              </w:rPr>
              <w:t>0.3</w:t>
            </w:r>
          </w:p>
        </w:tc>
        <w:tc>
          <w:tcPr>
            <w:tcW w:w="450" w:type="dxa"/>
            <w:vAlign w:val="top"/>
          </w:tcPr>
          <w:p>
            <w:pPr>
              <w:spacing w:line="278" w:lineRule="auto"/>
              <w:rPr>
                <w:rFonts w:ascii="Arial"/>
                <w:sz w:val="21"/>
              </w:rPr>
            </w:pPr>
            <w:r/>
          </w:p>
          <w:p>
            <w:pPr>
              <w:pStyle w:val="TableText"/>
              <w:ind w:left="10"/>
              <w:spacing w:before="68"/>
              <w:rPr>
                <w:sz w:val="21"/>
                <w:szCs w:val="21"/>
              </w:rPr>
            </w:pPr>
            <w:r>
              <w:rPr>
                <w:sz w:val="21"/>
                <w:szCs w:val="21"/>
                <w:spacing w:val="-3"/>
              </w:rPr>
              <w:t>2160</w:t>
            </w:r>
          </w:p>
        </w:tc>
        <w:tc>
          <w:tcPr>
            <w:tcW w:w="1664" w:type="dxa"/>
            <w:vAlign w:val="top"/>
          </w:tcPr>
          <w:p>
            <w:pPr>
              <w:pStyle w:val="TableText"/>
              <w:spacing w:before="68" w:line="220" w:lineRule="auto"/>
              <w:jc w:val="right"/>
              <w:rPr>
                <w:sz w:val="21"/>
                <w:szCs w:val="21"/>
              </w:rPr>
            </w:pPr>
            <w:r>
              <w:rPr>
                <w:sz w:val="21"/>
                <w:szCs w:val="21"/>
                <w:spacing w:val="-11"/>
              </w:rPr>
              <w:t>《</w:t>
            </w:r>
            <w:r>
              <w:rPr>
                <w:sz w:val="21"/>
                <w:szCs w:val="21"/>
                <w:spacing w:val="-10"/>
              </w:rPr>
              <w:t>饮食业油烟排</w:t>
            </w:r>
            <w:r>
              <w:rPr>
                <w:sz w:val="21"/>
                <w:szCs w:val="21"/>
                <w:spacing w:val="-9"/>
              </w:rPr>
              <w:t>放</w:t>
            </w:r>
          </w:p>
          <w:p>
            <w:pPr>
              <w:pStyle w:val="TableText"/>
              <w:ind w:left="249"/>
              <w:spacing w:before="19" w:line="220" w:lineRule="auto"/>
              <w:rPr>
                <w:sz w:val="21"/>
                <w:szCs w:val="21"/>
              </w:rPr>
            </w:pPr>
            <w:r>
              <w:rPr>
                <w:sz w:val="21"/>
                <w:szCs w:val="21"/>
                <w:spacing w:val="-3"/>
              </w:rPr>
              <w:t>标准(试行)》</w:t>
            </w:r>
          </w:p>
          <w:p>
            <w:pPr>
              <w:pStyle w:val="TableText"/>
              <w:ind w:left="89"/>
              <w:spacing w:before="32" w:line="183" w:lineRule="auto"/>
              <w:rPr>
                <w:sz w:val="21"/>
                <w:szCs w:val="21"/>
              </w:rPr>
            </w:pPr>
            <w:r>
              <w:rPr>
                <w:sz w:val="21"/>
                <w:szCs w:val="21"/>
                <w:spacing w:val="-4"/>
              </w:rPr>
              <w:t>(GB18483-2001)</w:t>
            </w:r>
          </w:p>
        </w:tc>
      </w:tr>
      <w:tr>
        <w:trPr>
          <w:trHeight w:val="804" w:hRule="atLeast"/>
        </w:trPr>
        <w:tc>
          <w:tcPr>
            <w:tcW w:w="725" w:type="dxa"/>
            <w:vAlign w:val="top"/>
            <w:gridSpan w:val="2"/>
          </w:tcPr>
          <w:p>
            <w:pPr>
              <w:pStyle w:val="TableText"/>
              <w:ind w:left="35" w:right="37"/>
              <w:spacing w:before="39" w:line="232" w:lineRule="auto"/>
              <w:rPr>
                <w:sz w:val="21"/>
                <w:szCs w:val="21"/>
              </w:rPr>
            </w:pPr>
            <w:r>
              <w:rPr>
                <w:sz w:val="21"/>
                <w:szCs w:val="21"/>
                <w:spacing w:val="-4"/>
              </w:rPr>
              <w:t>备用柴</w:t>
            </w:r>
            <w:r>
              <w:rPr>
                <w:sz w:val="21"/>
                <w:szCs w:val="21"/>
              </w:rPr>
              <w:t xml:space="preserve"> </w:t>
            </w:r>
            <w:r>
              <w:rPr>
                <w:sz w:val="21"/>
                <w:szCs w:val="21"/>
                <w:spacing w:val="4"/>
              </w:rPr>
              <w:t>油发电</w:t>
            </w:r>
          </w:p>
          <w:p>
            <w:pPr>
              <w:pStyle w:val="TableText"/>
              <w:ind w:left="35"/>
              <w:spacing w:before="1" w:line="198" w:lineRule="auto"/>
              <w:rPr>
                <w:sz w:val="21"/>
                <w:szCs w:val="21"/>
              </w:rPr>
            </w:pPr>
            <w:r>
              <w:rPr>
                <w:sz w:val="21"/>
                <w:szCs w:val="21"/>
                <w:spacing w:val="4"/>
              </w:rPr>
              <w:t>机烟气</w:t>
            </w:r>
          </w:p>
        </w:tc>
        <w:tc>
          <w:tcPr>
            <w:tcW w:w="899" w:type="dxa"/>
            <w:vAlign w:val="top"/>
            <w:gridSpan w:val="2"/>
          </w:tcPr>
          <w:p>
            <w:pPr>
              <w:pStyle w:val="TableText"/>
              <w:ind w:left="239"/>
              <w:spacing w:before="308" w:line="219" w:lineRule="auto"/>
              <w:rPr>
                <w:sz w:val="21"/>
                <w:szCs w:val="21"/>
              </w:rPr>
            </w:pPr>
            <w:r>
              <w:rPr>
                <w:sz w:val="21"/>
                <w:szCs w:val="21"/>
                <w:spacing w:val="-3"/>
              </w:rPr>
              <w:t>全年</w:t>
            </w:r>
          </w:p>
        </w:tc>
        <w:tc>
          <w:tcPr>
            <w:tcW w:w="629" w:type="dxa"/>
            <w:vAlign w:val="top"/>
          </w:tcPr>
          <w:p>
            <w:pPr>
              <w:pStyle w:val="TableText"/>
              <w:spacing w:before="59" w:line="221" w:lineRule="auto"/>
              <w:jc w:val="right"/>
              <w:rPr>
                <w:sz w:val="21"/>
                <w:szCs w:val="21"/>
              </w:rPr>
            </w:pPr>
            <w:r>
              <w:rPr>
                <w:sz w:val="21"/>
                <w:szCs w:val="21"/>
                <w:spacing w:val="-23"/>
              </w:rPr>
              <w:t>烟尘</w:t>
            </w:r>
            <w:r>
              <w:rPr>
                <w:sz w:val="21"/>
                <w:szCs w:val="21"/>
                <w:spacing w:val="-59"/>
              </w:rPr>
              <w:t xml:space="preserve"> </w:t>
            </w:r>
            <w:r>
              <w:rPr>
                <w:sz w:val="21"/>
                <w:szCs w:val="21"/>
                <w:spacing w:val="-23"/>
              </w:rPr>
              <w:t>、</w:t>
            </w:r>
          </w:p>
          <w:p>
            <w:pPr>
              <w:pStyle w:val="TableText"/>
              <w:ind w:left="11"/>
              <w:spacing w:before="68" w:line="183" w:lineRule="auto"/>
              <w:rPr>
                <w:sz w:val="21"/>
                <w:szCs w:val="21"/>
              </w:rPr>
            </w:pPr>
            <w:r>
              <w:rPr>
                <w:sz w:val="21"/>
                <w:szCs w:val="21"/>
                <w:spacing w:val="-5"/>
              </w:rPr>
              <w:t>NOx、</w:t>
            </w:r>
          </w:p>
          <w:p>
            <w:pPr>
              <w:pStyle w:val="TableText"/>
              <w:ind w:left="121"/>
              <w:spacing w:before="14" w:line="169" w:lineRule="auto"/>
              <w:rPr>
                <w:rFonts w:ascii="Calibri" w:hAnsi="Calibri" w:eastAsia="Calibri" w:cs="Calibri"/>
                <w:sz w:val="21"/>
                <w:szCs w:val="21"/>
              </w:rPr>
            </w:pPr>
            <w:r>
              <w:rPr>
                <w:sz w:val="21"/>
                <w:szCs w:val="21"/>
                <w:spacing w:val="-4"/>
              </w:rPr>
              <w:t>SO</w:t>
            </w:r>
            <w:r>
              <w:rPr>
                <w:rFonts w:ascii="Calibri" w:hAnsi="Calibri" w:eastAsia="Calibri" w:cs="Calibri"/>
                <w:sz w:val="21"/>
                <w:szCs w:val="21"/>
                <w:spacing w:val="-4"/>
              </w:rPr>
              <w:t>₂</w:t>
            </w:r>
          </w:p>
        </w:tc>
        <w:tc>
          <w:tcPr>
            <w:tcW w:w="540" w:type="dxa"/>
            <w:vAlign w:val="top"/>
          </w:tcPr>
          <w:p>
            <w:pPr>
              <w:pStyle w:val="TableText"/>
              <w:ind w:left="51"/>
              <w:spacing w:before="308" w:line="219" w:lineRule="auto"/>
              <w:rPr>
                <w:sz w:val="21"/>
                <w:szCs w:val="21"/>
              </w:rPr>
            </w:pPr>
            <w:r>
              <w:rPr>
                <w:sz w:val="21"/>
                <w:szCs w:val="21"/>
                <w:spacing w:val="6"/>
              </w:rPr>
              <w:t>类比</w:t>
            </w:r>
          </w:p>
        </w:tc>
        <w:tc>
          <w:tcPr>
            <w:tcW w:w="629" w:type="dxa"/>
            <w:vAlign w:val="top"/>
          </w:tcPr>
          <w:p>
            <w:pPr>
              <w:spacing w:line="241" w:lineRule="auto"/>
              <w:rPr>
                <w:rFonts w:ascii="Arial"/>
                <w:sz w:val="21"/>
              </w:rPr>
            </w:pPr>
            <w:r/>
          </w:p>
          <w:p>
            <w:pPr>
              <w:pStyle w:val="TableText"/>
              <w:ind w:left="92"/>
              <w:spacing w:before="68" w:line="221" w:lineRule="auto"/>
              <w:rPr>
                <w:sz w:val="21"/>
                <w:szCs w:val="21"/>
              </w:rPr>
            </w:pPr>
            <w:r>
              <w:rPr>
                <w:sz w:val="21"/>
                <w:szCs w:val="21"/>
                <w:spacing w:val="-3"/>
              </w:rPr>
              <w:t>少量</w:t>
            </w:r>
          </w:p>
        </w:tc>
        <w:tc>
          <w:tcPr>
            <w:tcW w:w="849" w:type="dxa"/>
            <w:vAlign w:val="top"/>
          </w:tcPr>
          <w:p>
            <w:pPr>
              <w:spacing w:line="244" w:lineRule="auto"/>
              <w:rPr>
                <w:rFonts w:ascii="Arial"/>
                <w:sz w:val="21"/>
              </w:rPr>
            </w:pPr>
            <w:r/>
          </w:p>
          <w:p>
            <w:pPr>
              <w:pStyle w:val="TableText"/>
              <w:ind w:left="363"/>
              <w:spacing w:before="69" w:line="224" w:lineRule="auto"/>
              <w:rPr>
                <w:sz w:val="21"/>
                <w:szCs w:val="21"/>
              </w:rPr>
            </w:pPr>
            <w:r>
              <w:rPr>
                <w:sz w:val="21"/>
                <w:szCs w:val="21"/>
              </w:rPr>
              <w:t>/</w:t>
            </w:r>
          </w:p>
        </w:tc>
        <w:tc>
          <w:tcPr>
            <w:tcW w:w="879" w:type="dxa"/>
            <w:vAlign w:val="top"/>
          </w:tcPr>
          <w:p>
            <w:pPr>
              <w:spacing w:line="244" w:lineRule="auto"/>
              <w:rPr>
                <w:rFonts w:ascii="Arial"/>
                <w:sz w:val="21"/>
              </w:rPr>
            </w:pPr>
            <w:r/>
          </w:p>
          <w:p>
            <w:pPr>
              <w:pStyle w:val="TableText"/>
              <w:ind w:left="374"/>
              <w:spacing w:before="69" w:line="224" w:lineRule="auto"/>
              <w:rPr>
                <w:sz w:val="21"/>
                <w:szCs w:val="21"/>
              </w:rPr>
            </w:pPr>
            <w:r>
              <w:rPr>
                <w:sz w:val="21"/>
                <w:szCs w:val="21"/>
              </w:rPr>
              <w:t>/</w:t>
            </w:r>
          </w:p>
        </w:tc>
        <w:tc>
          <w:tcPr>
            <w:tcW w:w="4597" w:type="dxa"/>
            <w:vAlign w:val="top"/>
          </w:tcPr>
          <w:p>
            <w:pPr>
              <w:pStyle w:val="TableText"/>
              <w:ind w:left="405"/>
              <w:spacing w:before="308" w:line="219" w:lineRule="auto"/>
              <w:rPr>
                <w:sz w:val="21"/>
                <w:szCs w:val="21"/>
              </w:rPr>
            </w:pPr>
            <w:r>
              <w:rPr>
                <w:sz w:val="21"/>
                <w:szCs w:val="21"/>
                <w:spacing w:val="-1"/>
              </w:rPr>
              <w:t>经设备自带废气装置处理后引至屋顶排放</w:t>
            </w:r>
          </w:p>
        </w:tc>
        <w:tc>
          <w:tcPr>
            <w:tcW w:w="450" w:type="dxa"/>
            <w:vAlign w:val="top"/>
          </w:tcPr>
          <w:p>
            <w:pPr>
              <w:spacing w:line="244" w:lineRule="auto"/>
              <w:rPr>
                <w:rFonts w:ascii="Arial"/>
                <w:sz w:val="21"/>
              </w:rPr>
            </w:pPr>
            <w:r/>
          </w:p>
          <w:p>
            <w:pPr>
              <w:pStyle w:val="TableText"/>
              <w:ind w:left="167"/>
              <w:spacing w:before="69" w:line="224" w:lineRule="auto"/>
              <w:rPr>
                <w:sz w:val="21"/>
                <w:szCs w:val="21"/>
              </w:rPr>
            </w:pPr>
            <w:r>
              <w:rPr>
                <w:sz w:val="21"/>
                <w:szCs w:val="21"/>
              </w:rPr>
              <w:t>/</w:t>
            </w:r>
          </w:p>
        </w:tc>
        <w:tc>
          <w:tcPr>
            <w:tcW w:w="420" w:type="dxa"/>
            <w:vAlign w:val="top"/>
            <w:textDirection w:val="tbRlV"/>
          </w:tcPr>
          <w:p>
            <w:pPr>
              <w:pStyle w:val="TableText"/>
              <w:ind w:left="280"/>
              <w:spacing w:before="162" w:line="137" w:lineRule="exact"/>
              <w:rPr>
                <w:sz w:val="21"/>
                <w:szCs w:val="21"/>
              </w:rPr>
            </w:pPr>
            <w:r>
              <w:rPr>
                <w:sz w:val="21"/>
                <w:szCs w:val="21"/>
                <w:color w:val="505050"/>
                <w:spacing w:val="52"/>
                <w:w w:val="141"/>
                <w:position w:val="-1"/>
              </w:rPr>
              <w:t>/</w:t>
            </w:r>
          </w:p>
        </w:tc>
        <w:tc>
          <w:tcPr>
            <w:tcW w:w="670" w:type="dxa"/>
            <w:vAlign w:val="top"/>
          </w:tcPr>
          <w:p>
            <w:pPr>
              <w:spacing w:line="241" w:lineRule="auto"/>
              <w:rPr>
                <w:rFonts w:ascii="Arial"/>
                <w:sz w:val="21"/>
              </w:rPr>
            </w:pPr>
            <w:r/>
          </w:p>
          <w:p>
            <w:pPr>
              <w:pStyle w:val="TableText"/>
              <w:ind w:left="118"/>
              <w:spacing w:before="68" w:line="221" w:lineRule="auto"/>
              <w:rPr>
                <w:sz w:val="21"/>
                <w:szCs w:val="21"/>
              </w:rPr>
            </w:pPr>
            <w:r>
              <w:rPr>
                <w:sz w:val="21"/>
                <w:szCs w:val="21"/>
                <w:spacing w:val="-3"/>
              </w:rPr>
              <w:t>少量</w:t>
            </w:r>
          </w:p>
        </w:tc>
        <w:tc>
          <w:tcPr>
            <w:tcW w:w="849" w:type="dxa"/>
            <w:vAlign w:val="top"/>
          </w:tcPr>
          <w:p>
            <w:pPr>
              <w:spacing w:line="244" w:lineRule="auto"/>
              <w:rPr>
                <w:rFonts w:ascii="Arial"/>
                <w:sz w:val="21"/>
              </w:rPr>
            </w:pPr>
            <w:r/>
          </w:p>
          <w:p>
            <w:pPr>
              <w:pStyle w:val="TableText"/>
              <w:ind w:left="368"/>
              <w:spacing w:before="69" w:line="224" w:lineRule="auto"/>
              <w:rPr>
                <w:sz w:val="21"/>
                <w:szCs w:val="21"/>
              </w:rPr>
            </w:pPr>
            <w:r>
              <w:rPr>
                <w:sz w:val="21"/>
                <w:szCs w:val="21"/>
              </w:rPr>
              <w:t>/</w:t>
            </w:r>
          </w:p>
        </w:tc>
        <w:tc>
          <w:tcPr>
            <w:tcW w:w="839" w:type="dxa"/>
            <w:vAlign w:val="top"/>
          </w:tcPr>
          <w:p>
            <w:pPr>
              <w:spacing w:line="244" w:lineRule="auto"/>
              <w:rPr>
                <w:rFonts w:ascii="Arial"/>
                <w:sz w:val="21"/>
              </w:rPr>
            </w:pPr>
            <w:r/>
          </w:p>
          <w:p>
            <w:pPr>
              <w:pStyle w:val="TableText"/>
              <w:ind w:left="358"/>
              <w:spacing w:before="69" w:line="224" w:lineRule="auto"/>
              <w:rPr>
                <w:sz w:val="21"/>
                <w:szCs w:val="21"/>
              </w:rPr>
            </w:pPr>
            <w:r>
              <w:rPr>
                <w:sz w:val="21"/>
                <w:szCs w:val="21"/>
              </w:rPr>
              <w:t>/</w:t>
            </w:r>
          </w:p>
        </w:tc>
        <w:tc>
          <w:tcPr>
            <w:tcW w:w="450" w:type="dxa"/>
            <w:vAlign w:val="top"/>
          </w:tcPr>
          <w:p>
            <w:pPr>
              <w:spacing w:line="259" w:lineRule="auto"/>
              <w:rPr>
                <w:rFonts w:ascii="Arial"/>
                <w:sz w:val="21"/>
              </w:rPr>
            </w:pPr>
            <w:r/>
          </w:p>
          <w:p>
            <w:pPr>
              <w:pStyle w:val="TableText"/>
              <w:ind w:left="60"/>
              <w:spacing w:before="68"/>
              <w:rPr>
                <w:sz w:val="21"/>
                <w:szCs w:val="21"/>
              </w:rPr>
            </w:pPr>
            <w:r>
              <w:rPr>
                <w:sz w:val="21"/>
                <w:szCs w:val="21"/>
                <w:spacing w:val="-3"/>
              </w:rPr>
              <w:t>360</w:t>
            </w:r>
          </w:p>
        </w:tc>
        <w:tc>
          <w:tcPr>
            <w:tcW w:w="1664" w:type="dxa"/>
            <w:vAlign w:val="top"/>
          </w:tcPr>
          <w:p>
            <w:pPr>
              <w:spacing w:line="244" w:lineRule="auto"/>
              <w:rPr>
                <w:rFonts w:ascii="Arial"/>
                <w:sz w:val="21"/>
              </w:rPr>
            </w:pPr>
            <w:r/>
          </w:p>
          <w:p>
            <w:pPr>
              <w:pStyle w:val="TableText"/>
              <w:ind w:left="769"/>
              <w:spacing w:before="69" w:line="224" w:lineRule="auto"/>
              <w:rPr>
                <w:sz w:val="21"/>
                <w:szCs w:val="21"/>
              </w:rPr>
            </w:pPr>
            <w:r>
              <w:rPr>
                <w:sz w:val="21"/>
                <w:szCs w:val="21"/>
              </w:rPr>
              <w:t>/</w:t>
            </w:r>
          </w:p>
        </w:tc>
      </w:tr>
    </w:tbl>
    <w:p>
      <w:pPr>
        <w:pStyle w:val="BodyText"/>
        <w:rPr/>
      </w:pPr>
      <w:r/>
    </w:p>
    <w:p>
      <w:pPr>
        <w:sectPr>
          <w:headerReference w:type="default" r:id="rId339"/>
          <w:footerReference w:type="default" r:id="rId340"/>
          <w:pgSz w:w="16840" w:h="11910"/>
          <w:pgMar w:top="1177" w:right="905" w:bottom="962" w:left="834" w:header="885" w:footer="791" w:gutter="0"/>
        </w:sectPr>
        <w:rPr/>
      </w:pPr>
    </w:p>
    <w:p>
      <w:pPr>
        <w:ind w:left="118"/>
        <w:spacing w:before="318" w:line="222" w:lineRule="auto"/>
        <w:rPr>
          <w:rFonts w:ascii="SimHei" w:hAnsi="SimHei" w:eastAsia="SimHei" w:cs="SimHei"/>
          <w:sz w:val="27"/>
          <w:szCs w:val="27"/>
        </w:rPr>
      </w:pPr>
      <w:r>
        <w:rPr>
          <w:rFonts w:ascii="SimHei" w:hAnsi="SimHei" w:eastAsia="SimHei" w:cs="SimHei"/>
          <w:sz w:val="27"/>
          <w:szCs w:val="27"/>
          <w:b/>
          <w:bCs/>
          <w:spacing w:val="-5"/>
        </w:rPr>
        <w:t>3.11.3噪声排放及治理措施</w:t>
      </w:r>
    </w:p>
    <w:p>
      <w:pPr>
        <w:ind w:left="114" w:right="224" w:firstLine="480"/>
        <w:spacing w:before="206" w:line="361" w:lineRule="auto"/>
        <w:jc w:val="both"/>
        <w:rPr>
          <w:rFonts w:ascii="SimSun" w:hAnsi="SimSun" w:eastAsia="SimSun" w:cs="SimSun"/>
          <w:sz w:val="23"/>
          <w:szCs w:val="23"/>
        </w:rPr>
      </w:pPr>
      <w:r>
        <w:rPr>
          <w:rFonts w:ascii="SimSun" w:hAnsi="SimSun" w:eastAsia="SimSun" w:cs="SimSun"/>
          <w:sz w:val="23"/>
          <w:szCs w:val="23"/>
          <w:spacing w:val="10"/>
        </w:rPr>
        <w:t>本项目建成后，主要噪声源为屠宰车间、空压机</w:t>
      </w:r>
      <w:r>
        <w:rPr>
          <w:rFonts w:ascii="SimSun" w:hAnsi="SimSun" w:eastAsia="SimSun" w:cs="SimSun"/>
          <w:sz w:val="23"/>
          <w:szCs w:val="23"/>
          <w:spacing w:val="9"/>
        </w:rPr>
        <w:t>房、污水处理站设备、柴</w:t>
      </w:r>
      <w:r>
        <w:rPr>
          <w:rFonts w:ascii="SimSun" w:hAnsi="SimSun" w:eastAsia="SimSun" w:cs="SimSun"/>
          <w:sz w:val="23"/>
          <w:szCs w:val="23"/>
        </w:rPr>
        <w:t xml:space="preserve"> </w:t>
      </w:r>
      <w:r>
        <w:rPr>
          <w:rFonts w:ascii="SimSun" w:hAnsi="SimSun" w:eastAsia="SimSun" w:cs="SimSun"/>
          <w:sz w:val="23"/>
          <w:szCs w:val="23"/>
          <w:spacing w:val="9"/>
        </w:rPr>
        <w:t>油发电机、锅炉房、废气处理装置、机动车及待宰车间生猪、肉牛叫声等，厂</w:t>
      </w:r>
      <w:r>
        <w:rPr>
          <w:rFonts w:ascii="SimSun" w:hAnsi="SimSun" w:eastAsia="SimSun" w:cs="SimSun"/>
          <w:sz w:val="23"/>
          <w:szCs w:val="23"/>
          <w:spacing w:val="6"/>
        </w:rPr>
        <w:t xml:space="preserve"> </w:t>
      </w:r>
      <w:r>
        <w:rPr>
          <w:rFonts w:ascii="SimSun" w:hAnsi="SimSun" w:eastAsia="SimSun" w:cs="SimSun"/>
          <w:sz w:val="23"/>
          <w:szCs w:val="23"/>
          <w:spacing w:val="7"/>
        </w:rPr>
        <w:t>区内的主要噪声声功率级调查情况见下表。</w:t>
      </w:r>
    </w:p>
    <w:p>
      <w:pPr>
        <w:ind w:left="1838"/>
        <w:spacing w:line="219" w:lineRule="auto"/>
        <w:rPr>
          <w:rFonts w:ascii="SimSun" w:hAnsi="SimSun" w:eastAsia="SimSun" w:cs="SimSun"/>
          <w:sz w:val="24"/>
          <w:szCs w:val="24"/>
        </w:rPr>
      </w:pPr>
      <w:r>
        <w:rPr>
          <w:rFonts w:ascii="SimSun" w:hAnsi="SimSun" w:eastAsia="SimSun" w:cs="SimSun"/>
          <w:sz w:val="24"/>
          <w:szCs w:val="24"/>
          <w:b/>
          <w:bCs/>
          <w:spacing w:val="-1"/>
        </w:rPr>
        <w:t>表3.11-30工业企业噪声源强调查清单(室内声源)</w:t>
      </w:r>
    </w:p>
    <w:p>
      <w:pPr>
        <w:spacing w:line="38" w:lineRule="auto"/>
        <w:rPr>
          <w:rFonts w:ascii="Arial"/>
          <w:sz w:val="2"/>
        </w:rPr>
      </w:pPr>
      <w:r>
        <w:rPr>
          <w:rFonts w:ascii="Arial"/>
          <w:sz w:val="2"/>
        </w:rPr>
      </w:r>
    </w:p>
    <w:tbl>
      <w:tblPr>
        <w:tblStyle w:val="TableNormal"/>
        <w:tblW w:w="84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24"/>
        <w:gridCol w:w="1169"/>
        <w:gridCol w:w="789"/>
        <w:gridCol w:w="649"/>
        <w:gridCol w:w="569"/>
        <w:gridCol w:w="1049"/>
        <w:gridCol w:w="1298"/>
        <w:gridCol w:w="569"/>
        <w:gridCol w:w="569"/>
        <w:gridCol w:w="320"/>
        <w:gridCol w:w="470"/>
        <w:gridCol w:w="604"/>
      </w:tblGrid>
      <w:tr>
        <w:trPr>
          <w:trHeight w:val="275" w:hRule="atLeast"/>
        </w:trPr>
        <w:tc>
          <w:tcPr>
            <w:shd w:val="clear" w:fill="BDBDBD"/>
            <w:tcW w:w="424" w:type="dxa"/>
            <w:vAlign w:val="top"/>
            <w:vMerge w:val="restart"/>
            <w:tcBorders>
              <w:bottom w:val="nil"/>
            </w:tcBorders>
          </w:tcPr>
          <w:p>
            <w:pPr>
              <w:pStyle w:val="TableText"/>
              <w:spacing w:before="151" w:line="220" w:lineRule="auto"/>
              <w:jc w:val="right"/>
              <w:rPr>
                <w:sz w:val="21"/>
                <w:szCs w:val="21"/>
              </w:rPr>
            </w:pPr>
            <w:r>
              <w:rPr>
                <w:sz w:val="21"/>
                <w:szCs w:val="21"/>
                <w:b/>
                <w:bCs/>
                <w:spacing w:val="-21"/>
              </w:rPr>
              <w:t>建</w:t>
            </w:r>
            <w:r>
              <w:rPr>
                <w:sz w:val="21"/>
                <w:szCs w:val="21"/>
                <w:b/>
                <w:bCs/>
                <w:spacing w:val="-9"/>
              </w:rPr>
              <w:t>筑</w:t>
            </w:r>
          </w:p>
          <w:p>
            <w:pPr>
              <w:pStyle w:val="TableText"/>
              <w:ind w:left="94" w:hanging="76"/>
              <w:spacing w:line="259" w:lineRule="auto"/>
              <w:rPr>
                <w:sz w:val="21"/>
                <w:szCs w:val="21"/>
              </w:rPr>
            </w:pPr>
            <w:r>
              <w:rPr>
                <w:sz w:val="21"/>
                <w:szCs w:val="21"/>
                <w:b/>
                <w:bCs/>
                <w:spacing w:val="-15"/>
              </w:rPr>
              <w:t>物名</w:t>
            </w:r>
            <w:r>
              <w:rPr>
                <w:sz w:val="21"/>
                <w:szCs w:val="21"/>
              </w:rPr>
              <w:t xml:space="preserve"> </w:t>
            </w:r>
            <w:r>
              <w:rPr>
                <w:sz w:val="21"/>
                <w:szCs w:val="21"/>
                <w:b/>
                <w:bCs/>
                <w:spacing w:val="-3"/>
              </w:rPr>
              <w:t>称</w:t>
            </w:r>
          </w:p>
        </w:tc>
        <w:tc>
          <w:tcPr>
            <w:shd w:val="clear" w:fill="BDBDBD"/>
            <w:tcW w:w="1169" w:type="dxa"/>
            <w:vAlign w:val="top"/>
            <w:vMerge w:val="restart"/>
            <w:tcBorders>
              <w:bottom w:val="nil"/>
            </w:tcBorders>
          </w:tcPr>
          <w:p>
            <w:pPr>
              <w:spacing w:line="360" w:lineRule="auto"/>
              <w:rPr>
                <w:rFonts w:ascii="Arial"/>
                <w:sz w:val="21"/>
              </w:rPr>
            </w:pPr>
            <w:r/>
          </w:p>
          <w:p>
            <w:pPr>
              <w:pStyle w:val="TableText"/>
              <w:ind w:left="154"/>
              <w:spacing w:before="69" w:line="220" w:lineRule="auto"/>
              <w:rPr>
                <w:sz w:val="21"/>
                <w:szCs w:val="21"/>
              </w:rPr>
            </w:pPr>
            <w:r>
              <w:rPr>
                <w:sz w:val="21"/>
                <w:szCs w:val="21"/>
                <w:b/>
                <w:bCs/>
                <w:spacing w:val="-5"/>
              </w:rPr>
              <w:t>声源名称</w:t>
            </w:r>
          </w:p>
        </w:tc>
        <w:tc>
          <w:tcPr>
            <w:shd w:val="clear" w:fill="BDBDBD"/>
            <w:tcW w:w="789" w:type="dxa"/>
            <w:vAlign w:val="top"/>
            <w:vMerge w:val="restart"/>
            <w:tcBorders>
              <w:bottom w:val="nil"/>
            </w:tcBorders>
          </w:tcPr>
          <w:p>
            <w:pPr>
              <w:pStyle w:val="TableText"/>
              <w:spacing w:before="151" w:line="220" w:lineRule="auto"/>
              <w:jc w:val="right"/>
              <w:rPr>
                <w:sz w:val="21"/>
                <w:szCs w:val="21"/>
              </w:rPr>
            </w:pPr>
            <w:r>
              <w:rPr>
                <w:sz w:val="21"/>
                <w:szCs w:val="21"/>
                <w:b/>
                <w:bCs/>
                <w:spacing w:val="-25"/>
              </w:rPr>
              <w:t>单声</w:t>
            </w:r>
            <w:r>
              <w:rPr>
                <w:sz w:val="21"/>
                <w:szCs w:val="21"/>
                <w:b/>
                <w:bCs/>
                <w:spacing w:val="-24"/>
              </w:rPr>
              <w:t>源</w:t>
            </w:r>
            <w:r>
              <w:rPr>
                <w:sz w:val="21"/>
                <w:szCs w:val="21"/>
                <w:b/>
                <w:bCs/>
                <w:spacing w:val="-14"/>
              </w:rPr>
              <w:t>声</w:t>
            </w:r>
          </w:p>
          <w:p>
            <w:pPr>
              <w:pStyle w:val="TableText"/>
              <w:ind w:left="75"/>
              <w:spacing w:before="29" w:line="219" w:lineRule="auto"/>
              <w:rPr>
                <w:sz w:val="21"/>
                <w:szCs w:val="21"/>
              </w:rPr>
            </w:pPr>
            <w:r>
              <w:rPr>
                <w:sz w:val="21"/>
                <w:szCs w:val="21"/>
                <w:b/>
                <w:bCs/>
                <w:spacing w:val="-5"/>
              </w:rPr>
              <w:t>功率级</w:t>
            </w:r>
          </w:p>
          <w:p>
            <w:pPr>
              <w:pStyle w:val="TableText"/>
              <w:ind w:left="124"/>
              <w:spacing w:before="24" w:line="222" w:lineRule="auto"/>
              <w:rPr>
                <w:sz w:val="21"/>
                <w:szCs w:val="21"/>
              </w:rPr>
            </w:pPr>
            <w:r>
              <w:rPr>
                <w:sz w:val="21"/>
                <w:szCs w:val="21"/>
                <w:b/>
                <w:bCs/>
                <w:spacing w:val="-5"/>
              </w:rPr>
              <w:t>dB(A)</w:t>
            </w:r>
          </w:p>
        </w:tc>
        <w:tc>
          <w:tcPr>
            <w:shd w:val="clear" w:fill="BDBDBD"/>
            <w:tcW w:w="649" w:type="dxa"/>
            <w:vAlign w:val="top"/>
            <w:vMerge w:val="restart"/>
            <w:tcBorders>
              <w:bottom w:val="nil"/>
            </w:tcBorders>
          </w:tcPr>
          <w:p>
            <w:pPr>
              <w:pStyle w:val="TableText"/>
              <w:ind w:left="106"/>
              <w:spacing w:before="280" w:line="219" w:lineRule="auto"/>
              <w:rPr>
                <w:sz w:val="21"/>
                <w:szCs w:val="21"/>
              </w:rPr>
            </w:pPr>
            <w:r>
              <w:rPr>
                <w:sz w:val="21"/>
                <w:szCs w:val="21"/>
                <w:b/>
                <w:bCs/>
                <w:spacing w:val="-5"/>
              </w:rPr>
              <w:t>核算</w:t>
            </w:r>
          </w:p>
          <w:p>
            <w:pPr>
              <w:pStyle w:val="TableText"/>
              <w:ind w:left="106"/>
              <w:spacing w:before="31" w:line="221" w:lineRule="auto"/>
              <w:rPr>
                <w:sz w:val="21"/>
                <w:szCs w:val="21"/>
              </w:rPr>
            </w:pPr>
            <w:r>
              <w:rPr>
                <w:sz w:val="21"/>
                <w:szCs w:val="21"/>
                <w:b/>
                <w:bCs/>
                <w:spacing w:val="-5"/>
              </w:rPr>
              <w:t>方法</w:t>
            </w:r>
          </w:p>
        </w:tc>
        <w:tc>
          <w:tcPr>
            <w:shd w:val="clear" w:fill="BDBDBD"/>
            <w:tcW w:w="569" w:type="dxa"/>
            <w:vAlign w:val="top"/>
            <w:vMerge w:val="restart"/>
            <w:tcBorders>
              <w:bottom w:val="nil"/>
            </w:tcBorders>
          </w:tcPr>
          <w:p>
            <w:pPr>
              <w:pStyle w:val="TableText"/>
              <w:ind w:left="66"/>
              <w:spacing w:before="280" w:line="219" w:lineRule="auto"/>
              <w:rPr>
                <w:sz w:val="21"/>
                <w:szCs w:val="21"/>
              </w:rPr>
            </w:pPr>
            <w:r>
              <w:rPr>
                <w:sz w:val="21"/>
                <w:szCs w:val="21"/>
                <w:b/>
                <w:bCs/>
                <w:spacing w:val="-5"/>
              </w:rPr>
              <w:t>数量</w:t>
            </w:r>
          </w:p>
          <w:p>
            <w:pPr>
              <w:pStyle w:val="TableText"/>
              <w:ind w:left="66"/>
              <w:spacing w:before="33" w:line="221" w:lineRule="auto"/>
              <w:rPr>
                <w:sz w:val="21"/>
                <w:szCs w:val="21"/>
              </w:rPr>
            </w:pPr>
            <w:r>
              <w:rPr>
                <w:sz w:val="21"/>
                <w:szCs w:val="21"/>
                <w:b/>
                <w:bCs/>
                <w:spacing w:val="11"/>
              </w:rPr>
              <w:t>(台)</w:t>
            </w:r>
          </w:p>
        </w:tc>
        <w:tc>
          <w:tcPr>
            <w:shd w:val="clear" w:fill="BDBDBD"/>
            <w:tcW w:w="1049" w:type="dxa"/>
            <w:vAlign w:val="top"/>
            <w:vMerge w:val="restart"/>
            <w:tcBorders>
              <w:bottom w:val="nil"/>
            </w:tcBorders>
          </w:tcPr>
          <w:p>
            <w:pPr>
              <w:pStyle w:val="TableText"/>
              <w:ind w:left="95" w:hanging="78"/>
              <w:spacing w:before="159" w:line="238" w:lineRule="auto"/>
              <w:rPr>
                <w:sz w:val="21"/>
                <w:szCs w:val="21"/>
              </w:rPr>
            </w:pPr>
            <w:r>
              <w:rPr>
                <w:sz w:val="21"/>
                <w:szCs w:val="21"/>
                <w:b/>
                <w:bCs/>
                <w:spacing w:val="-8"/>
              </w:rPr>
              <w:t>声源声功率</w:t>
            </w:r>
            <w:r>
              <w:rPr>
                <w:sz w:val="21"/>
                <w:szCs w:val="21"/>
              </w:rPr>
              <w:t xml:space="preserve"> </w:t>
            </w:r>
            <w:r>
              <w:rPr>
                <w:sz w:val="21"/>
                <w:szCs w:val="21"/>
                <w:b/>
                <w:bCs/>
                <w:spacing w:val="2"/>
              </w:rPr>
              <w:t>级/</w:t>
            </w:r>
            <w:r>
              <w:rPr>
                <w:sz w:val="21"/>
                <w:szCs w:val="21"/>
                <w:b/>
                <w:bCs/>
              </w:rPr>
              <w:t>dB</w:t>
            </w:r>
            <w:r>
              <w:rPr>
                <w:sz w:val="21"/>
                <w:szCs w:val="21"/>
                <w:b/>
                <w:bCs/>
                <w:spacing w:val="2"/>
              </w:rPr>
              <w:t>(A)</w:t>
            </w:r>
          </w:p>
          <w:p>
            <w:pPr>
              <w:pStyle w:val="TableText"/>
              <w:ind w:left="97"/>
              <w:spacing w:line="220" w:lineRule="auto"/>
              <w:rPr>
                <w:sz w:val="21"/>
                <w:szCs w:val="21"/>
              </w:rPr>
            </w:pPr>
            <w:r>
              <w:rPr>
                <w:sz w:val="21"/>
                <w:szCs w:val="21"/>
                <w:b/>
                <w:bCs/>
                <w:spacing w:val="5"/>
              </w:rPr>
              <w:t>(叠加后)</w:t>
            </w:r>
          </w:p>
        </w:tc>
        <w:tc>
          <w:tcPr>
            <w:shd w:val="clear" w:fill="BDBDBD"/>
            <w:tcW w:w="1298" w:type="dxa"/>
            <w:vAlign w:val="top"/>
            <w:vMerge w:val="restart"/>
            <w:tcBorders>
              <w:bottom w:val="nil"/>
            </w:tcBorders>
          </w:tcPr>
          <w:p>
            <w:pPr>
              <w:pStyle w:val="TableText"/>
              <w:ind w:left="328"/>
              <w:spacing w:before="291" w:line="220" w:lineRule="auto"/>
              <w:rPr>
                <w:sz w:val="21"/>
                <w:szCs w:val="21"/>
              </w:rPr>
            </w:pPr>
            <w:r>
              <w:rPr>
                <w:sz w:val="21"/>
                <w:szCs w:val="21"/>
                <w:b/>
                <w:bCs/>
                <w:spacing w:val="-5"/>
              </w:rPr>
              <w:t>声源控</w:t>
            </w:r>
          </w:p>
          <w:p>
            <w:pPr>
              <w:pStyle w:val="TableText"/>
              <w:ind w:left="328"/>
              <w:spacing w:before="19" w:line="220" w:lineRule="auto"/>
              <w:rPr>
                <w:sz w:val="21"/>
                <w:szCs w:val="21"/>
              </w:rPr>
            </w:pPr>
            <w:r>
              <w:rPr>
                <w:sz w:val="21"/>
                <w:szCs w:val="21"/>
                <w:b/>
                <w:bCs/>
                <w:spacing w:val="-5"/>
              </w:rPr>
              <w:t>制措施</w:t>
            </w:r>
          </w:p>
        </w:tc>
        <w:tc>
          <w:tcPr>
            <w:shd w:val="clear" w:fill="BDBDBD"/>
            <w:tcW w:w="1458" w:type="dxa"/>
            <w:vAlign w:val="top"/>
            <w:gridSpan w:val="3"/>
          </w:tcPr>
          <w:p>
            <w:pPr>
              <w:pStyle w:val="TableText"/>
              <w:spacing w:before="31" w:line="205" w:lineRule="auto"/>
              <w:jc w:val="right"/>
              <w:rPr>
                <w:sz w:val="21"/>
                <w:szCs w:val="21"/>
              </w:rPr>
            </w:pPr>
            <w:r>
              <w:rPr>
                <w:sz w:val="21"/>
                <w:szCs w:val="21"/>
                <w:b/>
                <w:bCs/>
                <w:spacing w:val="-9"/>
              </w:rPr>
              <w:t>空间相对位置/</w:t>
            </w:r>
            <w:r>
              <w:rPr>
                <w:sz w:val="21"/>
                <w:szCs w:val="21"/>
                <w:b/>
                <w:bCs/>
                <w:spacing w:val="-1"/>
              </w:rPr>
              <w:t>m</w:t>
            </w:r>
          </w:p>
        </w:tc>
        <w:tc>
          <w:tcPr>
            <w:shd w:val="clear" w:fill="BDBDBD"/>
            <w:tcW w:w="470" w:type="dxa"/>
            <w:vAlign w:val="top"/>
            <w:vMerge w:val="restart"/>
            <w:tcBorders>
              <w:bottom w:val="nil"/>
            </w:tcBorders>
          </w:tcPr>
          <w:p>
            <w:pPr>
              <w:pStyle w:val="TableText"/>
              <w:ind w:right="1"/>
              <w:spacing w:before="291" w:line="220" w:lineRule="auto"/>
              <w:jc w:val="right"/>
              <w:rPr>
                <w:sz w:val="21"/>
                <w:szCs w:val="21"/>
              </w:rPr>
            </w:pPr>
            <w:r>
              <w:rPr>
                <w:sz w:val="21"/>
                <w:szCs w:val="21"/>
                <w:b/>
                <w:bCs/>
                <w:spacing w:val="-5"/>
              </w:rPr>
              <w:t>运行</w:t>
            </w:r>
          </w:p>
          <w:p>
            <w:pPr>
              <w:pStyle w:val="TableText"/>
              <w:ind w:right="4"/>
              <w:spacing w:before="20" w:line="221" w:lineRule="auto"/>
              <w:jc w:val="right"/>
              <w:rPr>
                <w:sz w:val="21"/>
                <w:szCs w:val="21"/>
              </w:rPr>
            </w:pPr>
            <w:r>
              <w:rPr>
                <w:sz w:val="21"/>
                <w:szCs w:val="21"/>
                <w:b/>
                <w:bCs/>
                <w:spacing w:val="-2"/>
              </w:rPr>
              <w:t>时段</w:t>
            </w:r>
          </w:p>
        </w:tc>
        <w:tc>
          <w:tcPr>
            <w:shd w:val="clear" w:fill="BDBDBD"/>
            <w:tcW w:w="604" w:type="dxa"/>
            <w:vAlign w:val="top"/>
            <w:vMerge w:val="restart"/>
            <w:tcBorders>
              <w:bottom w:val="nil"/>
            </w:tcBorders>
          </w:tcPr>
          <w:p>
            <w:pPr>
              <w:pStyle w:val="TableText"/>
              <w:spacing w:before="31" w:line="220" w:lineRule="auto"/>
              <w:jc w:val="right"/>
              <w:rPr>
                <w:sz w:val="21"/>
                <w:szCs w:val="21"/>
              </w:rPr>
            </w:pPr>
            <w:r>
              <w:rPr>
                <w:sz w:val="21"/>
                <w:szCs w:val="21"/>
                <w:b/>
                <w:bCs/>
                <w:spacing w:val="-19"/>
                <w:w w:val="97"/>
              </w:rPr>
              <w:t>建</w:t>
            </w:r>
            <w:r>
              <w:rPr>
                <w:sz w:val="21"/>
                <w:szCs w:val="21"/>
                <w:b/>
                <w:bCs/>
                <w:spacing w:val="-18"/>
                <w:w w:val="97"/>
              </w:rPr>
              <w:t>筑</w:t>
            </w:r>
            <w:r>
              <w:rPr>
                <w:sz w:val="21"/>
                <w:szCs w:val="21"/>
                <w:b/>
                <w:bCs/>
                <w:spacing w:val="-11"/>
                <w:w w:val="97"/>
              </w:rPr>
              <w:t>物</w:t>
            </w:r>
          </w:p>
          <w:p>
            <w:pPr>
              <w:pStyle w:val="TableText"/>
              <w:ind w:left="189" w:hanging="167"/>
              <w:spacing w:before="9" w:line="234" w:lineRule="auto"/>
              <w:rPr>
                <w:sz w:val="21"/>
                <w:szCs w:val="21"/>
              </w:rPr>
            </w:pPr>
            <w:r>
              <w:rPr>
                <w:sz w:val="21"/>
                <w:szCs w:val="21"/>
                <w:b/>
                <w:bCs/>
                <w:spacing w:val="-14"/>
                <w:w w:val="96"/>
              </w:rPr>
              <w:t>插入损</w:t>
            </w:r>
            <w:r>
              <w:rPr>
                <w:sz w:val="21"/>
                <w:szCs w:val="21"/>
              </w:rPr>
              <w:t xml:space="preserve"> </w:t>
            </w:r>
            <w:r>
              <w:rPr>
                <w:sz w:val="21"/>
                <w:szCs w:val="21"/>
                <w:b/>
                <w:bCs/>
                <w:spacing w:val="-3"/>
              </w:rPr>
              <w:t>失</w:t>
            </w:r>
          </w:p>
          <w:p>
            <w:pPr>
              <w:pStyle w:val="TableText"/>
              <w:spacing w:line="202" w:lineRule="auto"/>
              <w:jc w:val="right"/>
              <w:rPr>
                <w:sz w:val="21"/>
                <w:szCs w:val="21"/>
              </w:rPr>
            </w:pPr>
            <w:r>
              <w:rPr>
                <w:sz w:val="21"/>
                <w:szCs w:val="21"/>
                <w:b/>
                <w:bCs/>
                <w:spacing w:val="-13"/>
              </w:rPr>
              <w:t>/dB(A)</w:t>
            </w:r>
          </w:p>
        </w:tc>
      </w:tr>
      <w:tr>
        <w:trPr>
          <w:trHeight w:val="779" w:hRule="atLeast"/>
        </w:trPr>
        <w:tc>
          <w:tcPr>
            <w:tcW w:w="424" w:type="dxa"/>
            <w:vAlign w:val="top"/>
            <w:vMerge w:val="continue"/>
            <w:tcBorders>
              <w:top w:val="nil"/>
            </w:tcBorders>
          </w:tcPr>
          <w:p>
            <w:pPr>
              <w:rPr>
                <w:rFonts w:ascii="Arial"/>
                <w:sz w:val="21"/>
              </w:rPr>
            </w:pPr>
            <w:r/>
          </w:p>
        </w:tc>
        <w:tc>
          <w:tcPr>
            <w:tcW w:w="1169" w:type="dxa"/>
            <w:vAlign w:val="top"/>
            <w:vMerge w:val="continue"/>
            <w:tcBorders>
              <w:top w:val="nil"/>
            </w:tcBorders>
          </w:tcPr>
          <w:p>
            <w:pPr>
              <w:rPr>
                <w:rFonts w:ascii="Arial"/>
                <w:sz w:val="21"/>
              </w:rPr>
            </w:pPr>
            <w:r/>
          </w:p>
        </w:tc>
        <w:tc>
          <w:tcPr>
            <w:tcW w:w="789" w:type="dxa"/>
            <w:vAlign w:val="top"/>
            <w:vMerge w:val="continue"/>
            <w:tcBorders>
              <w:top w:val="nil"/>
            </w:tcBorders>
          </w:tcPr>
          <w:p>
            <w:pPr>
              <w:rPr>
                <w:rFonts w:ascii="Arial"/>
                <w:sz w:val="21"/>
              </w:rPr>
            </w:pPr>
            <w:r/>
          </w:p>
        </w:tc>
        <w:tc>
          <w:tcPr>
            <w:tcW w:w="649" w:type="dxa"/>
            <w:vAlign w:val="top"/>
            <w:vMerge w:val="continue"/>
            <w:tcBorders>
              <w:top w:val="nil"/>
            </w:tcBorders>
          </w:tcPr>
          <w:p>
            <w:pPr>
              <w:rPr>
                <w:rFonts w:ascii="Arial"/>
                <w:sz w:val="21"/>
              </w:rPr>
            </w:pPr>
            <w:r/>
          </w:p>
        </w:tc>
        <w:tc>
          <w:tcPr>
            <w:tcW w:w="569" w:type="dxa"/>
            <w:vAlign w:val="top"/>
            <w:vMerge w:val="continue"/>
            <w:tcBorders>
              <w:top w:val="nil"/>
            </w:tcBorders>
          </w:tcPr>
          <w:p>
            <w:pPr>
              <w:rPr>
                <w:rFonts w:ascii="Arial"/>
                <w:sz w:val="21"/>
              </w:rPr>
            </w:pPr>
            <w:r/>
          </w:p>
        </w:tc>
        <w:tc>
          <w:tcPr>
            <w:tcW w:w="1049" w:type="dxa"/>
            <w:vAlign w:val="top"/>
            <w:vMerge w:val="continue"/>
            <w:tcBorders>
              <w:top w:val="nil"/>
            </w:tcBorders>
          </w:tcPr>
          <w:p>
            <w:pPr>
              <w:rPr>
                <w:rFonts w:ascii="Arial"/>
                <w:sz w:val="21"/>
              </w:rPr>
            </w:pPr>
            <w:r/>
          </w:p>
        </w:tc>
        <w:tc>
          <w:tcPr>
            <w:tcW w:w="1298" w:type="dxa"/>
            <w:vAlign w:val="top"/>
            <w:vMerge w:val="continue"/>
            <w:tcBorders>
              <w:top w:val="nil"/>
            </w:tcBorders>
          </w:tcPr>
          <w:p>
            <w:pPr>
              <w:rPr>
                <w:rFonts w:ascii="Arial"/>
                <w:sz w:val="21"/>
              </w:rPr>
            </w:pPr>
            <w:r/>
          </w:p>
        </w:tc>
        <w:tc>
          <w:tcPr>
            <w:shd w:val="clear" w:fill="BDBDBD"/>
            <w:tcW w:w="569" w:type="dxa"/>
            <w:vAlign w:val="top"/>
          </w:tcPr>
          <w:p>
            <w:pPr>
              <w:spacing w:line="274" w:lineRule="auto"/>
              <w:rPr>
                <w:rFonts w:ascii="Arial"/>
                <w:sz w:val="21"/>
              </w:rPr>
            </w:pPr>
            <w:r/>
          </w:p>
          <w:p>
            <w:pPr>
              <w:pStyle w:val="TableText"/>
              <w:ind w:left="230"/>
              <w:spacing w:before="68" w:line="182" w:lineRule="auto"/>
              <w:rPr>
                <w:sz w:val="21"/>
                <w:szCs w:val="21"/>
              </w:rPr>
            </w:pPr>
            <w:r>
              <w:rPr>
                <w:sz w:val="21"/>
                <w:szCs w:val="21"/>
                <w:b/>
                <w:bCs/>
                <w:spacing w:val="-3"/>
              </w:rPr>
              <w:t>X</w:t>
            </w:r>
          </w:p>
        </w:tc>
        <w:tc>
          <w:tcPr>
            <w:shd w:val="clear" w:fill="BDBDBD"/>
            <w:tcW w:w="569" w:type="dxa"/>
            <w:vAlign w:val="top"/>
          </w:tcPr>
          <w:p>
            <w:pPr>
              <w:spacing w:line="274" w:lineRule="auto"/>
              <w:rPr>
                <w:rFonts w:ascii="Arial"/>
                <w:sz w:val="21"/>
              </w:rPr>
            </w:pPr>
            <w:r/>
          </w:p>
          <w:p>
            <w:pPr>
              <w:pStyle w:val="TableText"/>
              <w:ind w:left="231"/>
              <w:spacing w:before="68" w:line="182" w:lineRule="auto"/>
              <w:rPr>
                <w:sz w:val="21"/>
                <w:szCs w:val="21"/>
              </w:rPr>
            </w:pPr>
            <w:r>
              <w:rPr>
                <w:sz w:val="21"/>
                <w:szCs w:val="21"/>
                <w:b/>
                <w:bCs/>
                <w:spacing w:val="-3"/>
              </w:rPr>
              <w:t>Y</w:t>
            </w:r>
          </w:p>
        </w:tc>
        <w:tc>
          <w:tcPr>
            <w:shd w:val="clear" w:fill="BDBDBD"/>
            <w:tcW w:w="320" w:type="dxa"/>
            <w:vAlign w:val="top"/>
          </w:tcPr>
          <w:p>
            <w:pPr>
              <w:spacing w:line="274" w:lineRule="auto"/>
              <w:rPr>
                <w:rFonts w:ascii="Arial"/>
                <w:sz w:val="21"/>
              </w:rPr>
            </w:pPr>
            <w:r/>
          </w:p>
          <w:p>
            <w:pPr>
              <w:pStyle w:val="TableText"/>
              <w:ind w:left="82"/>
              <w:spacing w:before="68" w:line="182" w:lineRule="auto"/>
              <w:rPr>
                <w:sz w:val="21"/>
                <w:szCs w:val="21"/>
              </w:rPr>
            </w:pPr>
            <w:r>
              <w:rPr>
                <w:sz w:val="21"/>
                <w:szCs w:val="21"/>
                <w:b/>
                <w:bCs/>
                <w:spacing w:val="-3"/>
              </w:rPr>
              <w:t>Z</w:t>
            </w:r>
          </w:p>
        </w:tc>
        <w:tc>
          <w:tcPr>
            <w:tcW w:w="470" w:type="dxa"/>
            <w:vAlign w:val="top"/>
            <w:vMerge w:val="continue"/>
            <w:tcBorders>
              <w:top w:val="nil"/>
            </w:tcBorders>
          </w:tcPr>
          <w:p>
            <w:pPr>
              <w:rPr>
                <w:rFonts w:ascii="Arial"/>
                <w:sz w:val="21"/>
              </w:rPr>
            </w:pPr>
            <w:r/>
          </w:p>
        </w:tc>
        <w:tc>
          <w:tcPr>
            <w:tcW w:w="604" w:type="dxa"/>
            <w:vAlign w:val="top"/>
            <w:vMerge w:val="continue"/>
            <w:tcBorders>
              <w:top w:val="nil"/>
            </w:tcBorders>
          </w:tcPr>
          <w:p>
            <w:pPr>
              <w:rPr>
                <w:rFonts w:ascii="Arial"/>
                <w:sz w:val="21"/>
              </w:rPr>
            </w:pPr>
            <w:r/>
          </w:p>
        </w:tc>
      </w:tr>
      <w:tr>
        <w:trPr>
          <w:trHeight w:val="270" w:hRule="atLeast"/>
        </w:trPr>
        <w:tc>
          <w:tcPr>
            <w:tcW w:w="424" w:type="dxa"/>
            <w:vAlign w:val="top"/>
            <w:vMerge w:val="restart"/>
            <w:tcBorders>
              <w:bottom w:val="nil"/>
            </w:tcBorders>
          </w:tcPr>
          <w:p>
            <w:pPr>
              <w:spacing w:line="318" w:lineRule="auto"/>
              <w:rPr>
                <w:rFonts w:ascii="Arial"/>
                <w:sz w:val="21"/>
              </w:rPr>
            </w:pPr>
            <w:r/>
          </w:p>
          <w:p>
            <w:pPr>
              <w:spacing w:line="319" w:lineRule="auto"/>
              <w:rPr>
                <w:rFonts w:ascii="Arial"/>
                <w:sz w:val="21"/>
              </w:rPr>
            </w:pPr>
            <w:r/>
          </w:p>
          <w:p>
            <w:pPr>
              <w:spacing w:line="319" w:lineRule="auto"/>
              <w:rPr>
                <w:rFonts w:ascii="Arial"/>
                <w:sz w:val="21"/>
              </w:rPr>
            </w:pPr>
            <w:r/>
          </w:p>
          <w:p>
            <w:pPr>
              <w:pStyle w:val="TableText"/>
              <w:spacing w:before="68" w:line="219" w:lineRule="auto"/>
              <w:jc w:val="right"/>
              <w:rPr>
                <w:sz w:val="21"/>
                <w:szCs w:val="21"/>
              </w:rPr>
            </w:pPr>
            <w:r>
              <w:rPr>
                <w:sz w:val="21"/>
                <w:szCs w:val="21"/>
                <w:spacing w:val="-12"/>
              </w:rPr>
              <w:t>生</w:t>
            </w:r>
            <w:r>
              <w:rPr>
                <w:sz w:val="21"/>
                <w:szCs w:val="21"/>
                <w:spacing w:val="-10"/>
              </w:rPr>
              <w:t>猪</w:t>
            </w:r>
          </w:p>
          <w:p>
            <w:pPr>
              <w:pStyle w:val="TableText"/>
              <w:spacing w:line="219" w:lineRule="auto"/>
              <w:jc w:val="right"/>
              <w:rPr>
                <w:sz w:val="21"/>
                <w:szCs w:val="21"/>
              </w:rPr>
            </w:pPr>
            <w:r>
              <w:rPr>
                <w:sz w:val="21"/>
                <w:szCs w:val="21"/>
                <w:spacing w:val="-11"/>
              </w:rPr>
              <w:t>屠宰</w:t>
            </w:r>
          </w:p>
          <w:p>
            <w:pPr>
              <w:pStyle w:val="TableText"/>
              <w:spacing w:before="40" w:line="219" w:lineRule="auto"/>
              <w:jc w:val="right"/>
              <w:rPr>
                <w:sz w:val="21"/>
                <w:szCs w:val="21"/>
              </w:rPr>
            </w:pPr>
            <w:r>
              <w:rPr>
                <w:sz w:val="21"/>
                <w:szCs w:val="21"/>
                <w:spacing w:val="-11"/>
              </w:rPr>
              <w:t>车间</w:t>
            </w:r>
          </w:p>
        </w:tc>
        <w:tc>
          <w:tcPr>
            <w:tcW w:w="1169" w:type="dxa"/>
            <w:vAlign w:val="top"/>
          </w:tcPr>
          <w:p>
            <w:pPr>
              <w:pStyle w:val="TableText"/>
              <w:spacing w:before="29" w:line="203" w:lineRule="auto"/>
              <w:jc w:val="right"/>
              <w:rPr>
                <w:sz w:val="21"/>
                <w:szCs w:val="21"/>
              </w:rPr>
            </w:pPr>
            <w:r>
              <w:rPr>
                <w:sz w:val="21"/>
                <w:szCs w:val="21"/>
                <w:color w:val="404040"/>
                <w:spacing w:val="-17"/>
                <w:w w:val="98"/>
              </w:rPr>
              <w:t>猪</w:t>
            </w:r>
            <w:r>
              <w:rPr>
                <w:sz w:val="21"/>
                <w:szCs w:val="21"/>
                <w:color w:val="404040"/>
                <w:spacing w:val="-16"/>
                <w:w w:val="98"/>
              </w:rPr>
              <w:t>毛预清洗</w:t>
            </w:r>
            <w:r>
              <w:rPr>
                <w:sz w:val="21"/>
                <w:szCs w:val="21"/>
                <w:color w:val="404040"/>
                <w:spacing w:val="-9"/>
                <w:w w:val="98"/>
              </w:rPr>
              <w:t>机</w:t>
            </w:r>
          </w:p>
        </w:tc>
        <w:tc>
          <w:tcPr>
            <w:tcW w:w="789" w:type="dxa"/>
            <w:vAlign w:val="top"/>
          </w:tcPr>
          <w:p>
            <w:pPr>
              <w:pStyle w:val="TableText"/>
              <w:ind w:left="281"/>
              <w:spacing w:before="50" w:line="184" w:lineRule="auto"/>
              <w:rPr>
                <w:sz w:val="21"/>
                <w:szCs w:val="21"/>
              </w:rPr>
            </w:pPr>
            <w:r>
              <w:rPr>
                <w:sz w:val="21"/>
                <w:szCs w:val="21"/>
                <w:spacing w:val="-4"/>
              </w:rPr>
              <w:t>75</w:t>
            </w:r>
          </w:p>
        </w:tc>
        <w:tc>
          <w:tcPr>
            <w:tcW w:w="649" w:type="dxa"/>
            <w:vAlign w:val="top"/>
          </w:tcPr>
          <w:p>
            <w:pPr>
              <w:pStyle w:val="TableText"/>
              <w:ind w:right="1"/>
              <w:spacing w:before="29" w:line="203" w:lineRule="auto"/>
              <w:jc w:val="right"/>
              <w:rPr>
                <w:sz w:val="21"/>
                <w:szCs w:val="21"/>
              </w:rPr>
            </w:pPr>
            <w:r>
              <w:rPr>
                <w:sz w:val="21"/>
                <w:szCs w:val="21"/>
                <w:color w:val="808080"/>
                <w:spacing w:val="-2"/>
              </w:rPr>
              <w:t>类比法</w:t>
            </w:r>
          </w:p>
        </w:tc>
        <w:tc>
          <w:tcPr>
            <w:tcW w:w="569" w:type="dxa"/>
            <w:vAlign w:val="top"/>
          </w:tcPr>
          <w:p>
            <w:pPr>
              <w:pStyle w:val="TableText"/>
              <w:ind w:left="224"/>
              <w:spacing w:before="50" w:line="184" w:lineRule="auto"/>
              <w:rPr>
                <w:sz w:val="21"/>
                <w:szCs w:val="21"/>
              </w:rPr>
            </w:pPr>
            <w:r>
              <w:rPr>
                <w:sz w:val="21"/>
                <w:szCs w:val="21"/>
                <w:color w:val="504040"/>
              </w:rPr>
              <w:t>4</w:t>
            </w:r>
          </w:p>
        </w:tc>
        <w:tc>
          <w:tcPr>
            <w:tcW w:w="1049" w:type="dxa"/>
            <w:vAlign w:val="top"/>
          </w:tcPr>
          <w:p>
            <w:pPr>
              <w:pStyle w:val="TableText"/>
              <w:ind w:left="414"/>
              <w:spacing w:before="50" w:line="184" w:lineRule="auto"/>
              <w:rPr>
                <w:sz w:val="21"/>
                <w:szCs w:val="21"/>
              </w:rPr>
            </w:pPr>
            <w:r>
              <w:rPr>
                <w:sz w:val="21"/>
                <w:szCs w:val="21"/>
                <w:spacing w:val="-3"/>
              </w:rPr>
              <w:t>81</w:t>
            </w:r>
          </w:p>
        </w:tc>
        <w:tc>
          <w:tcPr>
            <w:tcW w:w="1298" w:type="dxa"/>
            <w:vAlign w:val="top"/>
            <w:vMerge w:val="restart"/>
            <w:tcBorders>
              <w:bottom w:val="nil"/>
            </w:tcBorders>
          </w:tcPr>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16"/>
              <w:spacing w:before="68" w:line="239" w:lineRule="auto"/>
              <w:rPr>
                <w:sz w:val="21"/>
                <w:szCs w:val="21"/>
              </w:rPr>
            </w:pPr>
            <w:r>
              <w:rPr>
                <w:sz w:val="21"/>
                <w:szCs w:val="21"/>
                <w:spacing w:val="-2"/>
              </w:rPr>
              <w:t>选用低噪声设</w:t>
            </w:r>
            <w:r>
              <w:rPr>
                <w:sz w:val="21"/>
                <w:szCs w:val="21"/>
                <w:spacing w:val="1"/>
              </w:rPr>
              <w:t xml:space="preserve"> </w:t>
            </w:r>
            <w:r>
              <w:rPr>
                <w:sz w:val="21"/>
                <w:szCs w:val="21"/>
                <w:spacing w:val="22"/>
              </w:rPr>
              <w:t>备、减振安</w:t>
            </w:r>
            <w:r>
              <w:rPr>
                <w:sz w:val="21"/>
                <w:szCs w:val="21"/>
              </w:rPr>
              <w:t xml:space="preserve">  </w:t>
            </w:r>
            <w:r>
              <w:rPr>
                <w:sz w:val="21"/>
                <w:szCs w:val="21"/>
                <w:spacing w:val="1"/>
              </w:rPr>
              <w:t>装、厂房隔声</w:t>
            </w:r>
          </w:p>
        </w:tc>
        <w:tc>
          <w:tcPr>
            <w:tcW w:w="569" w:type="dxa"/>
            <w:vAlign w:val="top"/>
          </w:tcPr>
          <w:p>
            <w:pPr>
              <w:pStyle w:val="TableText"/>
              <w:ind w:left="18"/>
              <w:spacing w:before="50" w:line="184" w:lineRule="auto"/>
              <w:rPr>
                <w:sz w:val="21"/>
                <w:szCs w:val="21"/>
              </w:rPr>
            </w:pPr>
            <w:r>
              <w:rPr>
                <w:sz w:val="21"/>
                <w:szCs w:val="21"/>
                <w:spacing w:val="-2"/>
              </w:rPr>
              <w:t>63.88</w:t>
            </w:r>
          </w:p>
        </w:tc>
        <w:tc>
          <w:tcPr>
            <w:tcW w:w="569" w:type="dxa"/>
            <w:vAlign w:val="top"/>
          </w:tcPr>
          <w:p>
            <w:pPr>
              <w:pStyle w:val="TableText"/>
              <w:ind w:left="19"/>
              <w:spacing w:before="50" w:line="184" w:lineRule="auto"/>
              <w:rPr>
                <w:sz w:val="21"/>
                <w:szCs w:val="21"/>
              </w:rPr>
            </w:pPr>
            <w:r>
              <w:rPr>
                <w:sz w:val="21"/>
                <w:szCs w:val="21"/>
                <w:spacing w:val="-2"/>
              </w:rPr>
              <w:t>27.79</w:t>
            </w:r>
          </w:p>
        </w:tc>
        <w:tc>
          <w:tcPr>
            <w:tcW w:w="320" w:type="dxa"/>
            <w:vAlign w:val="top"/>
          </w:tcPr>
          <w:p>
            <w:pPr>
              <w:pStyle w:val="TableText"/>
              <w:spacing w:before="50" w:line="184" w:lineRule="auto"/>
              <w:jc w:val="right"/>
              <w:rPr>
                <w:sz w:val="21"/>
                <w:szCs w:val="21"/>
              </w:rPr>
            </w:pPr>
            <w:r>
              <w:rPr>
                <w:sz w:val="21"/>
                <w:szCs w:val="21"/>
                <w:spacing w:val="-9"/>
              </w:rPr>
              <w:t>1.2</w:t>
            </w:r>
          </w:p>
        </w:tc>
        <w:tc>
          <w:tcPr>
            <w:tcW w:w="470" w:type="dxa"/>
            <w:vAlign w:val="top"/>
          </w:tcPr>
          <w:p>
            <w:pPr>
              <w:pStyle w:val="TableText"/>
              <w:ind w:left="39"/>
              <w:spacing w:before="35" w:line="197" w:lineRule="auto"/>
              <w:rPr>
                <w:sz w:val="21"/>
                <w:szCs w:val="21"/>
              </w:rPr>
            </w:pPr>
            <w:r>
              <w:rPr>
                <w:sz w:val="21"/>
                <w:szCs w:val="21"/>
                <w:spacing w:val="-2"/>
              </w:rPr>
              <w:t>8h/d</w:t>
            </w:r>
          </w:p>
        </w:tc>
        <w:tc>
          <w:tcPr>
            <w:tcW w:w="604" w:type="dxa"/>
            <w:vAlign w:val="top"/>
          </w:tcPr>
          <w:p>
            <w:pPr>
              <w:pStyle w:val="TableText"/>
              <w:ind w:left="189"/>
              <w:spacing w:before="50" w:line="184" w:lineRule="auto"/>
              <w:rPr>
                <w:sz w:val="21"/>
                <w:szCs w:val="21"/>
              </w:rPr>
            </w:pPr>
            <w:r>
              <w:rPr>
                <w:sz w:val="21"/>
                <w:szCs w:val="21"/>
                <w:spacing w:val="-6"/>
              </w:rPr>
              <w:t>10</w:t>
            </w:r>
          </w:p>
        </w:tc>
      </w:tr>
      <w:tr>
        <w:trPr>
          <w:trHeight w:val="280" w:hRule="atLeast"/>
        </w:trPr>
        <w:tc>
          <w:tcPr>
            <w:tcW w:w="424" w:type="dxa"/>
            <w:vAlign w:val="top"/>
            <w:vMerge w:val="continue"/>
            <w:tcBorders>
              <w:top w:val="nil"/>
              <w:bottom w:val="nil"/>
            </w:tcBorders>
          </w:tcPr>
          <w:p>
            <w:pPr>
              <w:rPr>
                <w:rFonts w:ascii="Arial"/>
                <w:sz w:val="21"/>
              </w:rPr>
            </w:pPr>
            <w:r/>
          </w:p>
        </w:tc>
        <w:tc>
          <w:tcPr>
            <w:tcW w:w="1169" w:type="dxa"/>
            <w:vAlign w:val="top"/>
          </w:tcPr>
          <w:p>
            <w:pPr>
              <w:pStyle w:val="TableText"/>
              <w:ind w:left="260"/>
              <w:spacing w:before="39" w:line="203" w:lineRule="auto"/>
              <w:rPr>
                <w:sz w:val="21"/>
                <w:szCs w:val="21"/>
              </w:rPr>
            </w:pPr>
            <w:r>
              <w:rPr>
                <w:sz w:val="21"/>
                <w:szCs w:val="21"/>
                <w:color w:val="606060"/>
                <w:spacing w:val="-3"/>
              </w:rPr>
              <w:t>刨毛机</w:t>
            </w:r>
          </w:p>
        </w:tc>
        <w:tc>
          <w:tcPr>
            <w:tcW w:w="789" w:type="dxa"/>
            <w:vAlign w:val="top"/>
          </w:tcPr>
          <w:p>
            <w:pPr>
              <w:pStyle w:val="TableText"/>
              <w:ind w:left="281"/>
              <w:spacing w:before="60" w:line="184" w:lineRule="auto"/>
              <w:rPr>
                <w:sz w:val="21"/>
                <w:szCs w:val="21"/>
              </w:rPr>
            </w:pPr>
            <w:r>
              <w:rPr>
                <w:sz w:val="21"/>
                <w:szCs w:val="21"/>
                <w:spacing w:val="-4"/>
              </w:rPr>
              <w:t>75</w:t>
            </w:r>
          </w:p>
        </w:tc>
        <w:tc>
          <w:tcPr>
            <w:tcW w:w="649" w:type="dxa"/>
            <w:vAlign w:val="top"/>
          </w:tcPr>
          <w:p>
            <w:pPr>
              <w:pStyle w:val="TableText"/>
              <w:ind w:right="1"/>
              <w:spacing w:before="39" w:line="203" w:lineRule="auto"/>
              <w:jc w:val="right"/>
              <w:rPr>
                <w:sz w:val="21"/>
                <w:szCs w:val="21"/>
              </w:rPr>
            </w:pPr>
            <w:r>
              <w:rPr>
                <w:sz w:val="21"/>
                <w:szCs w:val="21"/>
                <w:color w:val="808070"/>
                <w:spacing w:val="-2"/>
              </w:rPr>
              <w:t>类比法</w:t>
            </w:r>
          </w:p>
        </w:tc>
        <w:tc>
          <w:tcPr>
            <w:tcW w:w="569" w:type="dxa"/>
            <w:vAlign w:val="top"/>
          </w:tcPr>
          <w:p>
            <w:pPr>
              <w:pStyle w:val="TableText"/>
              <w:ind w:left="224"/>
              <w:spacing w:before="60" w:line="184" w:lineRule="auto"/>
              <w:rPr>
                <w:sz w:val="21"/>
                <w:szCs w:val="21"/>
              </w:rPr>
            </w:pPr>
            <w:r>
              <w:rPr>
                <w:sz w:val="21"/>
                <w:szCs w:val="21"/>
              </w:rPr>
              <w:t>2</w:t>
            </w:r>
          </w:p>
        </w:tc>
        <w:tc>
          <w:tcPr>
            <w:tcW w:w="1049" w:type="dxa"/>
            <w:vAlign w:val="top"/>
          </w:tcPr>
          <w:p>
            <w:pPr>
              <w:pStyle w:val="TableText"/>
              <w:ind w:left="414"/>
              <w:spacing w:before="60" w:line="184" w:lineRule="auto"/>
              <w:rPr>
                <w:sz w:val="21"/>
                <w:szCs w:val="21"/>
              </w:rPr>
            </w:pPr>
            <w:r>
              <w:rPr>
                <w:sz w:val="21"/>
                <w:szCs w:val="21"/>
                <w:spacing w:val="-4"/>
              </w:rPr>
              <w:t>78</w:t>
            </w:r>
          </w:p>
        </w:tc>
        <w:tc>
          <w:tcPr>
            <w:tcW w:w="1298" w:type="dxa"/>
            <w:vAlign w:val="top"/>
            <w:vMerge w:val="continue"/>
            <w:tcBorders>
              <w:top w:val="nil"/>
              <w:bottom w:val="nil"/>
            </w:tcBorders>
          </w:tcPr>
          <w:p>
            <w:pPr>
              <w:rPr>
                <w:rFonts w:ascii="Arial"/>
                <w:sz w:val="21"/>
              </w:rPr>
            </w:pPr>
            <w:r/>
          </w:p>
        </w:tc>
        <w:tc>
          <w:tcPr>
            <w:tcW w:w="569" w:type="dxa"/>
            <w:vAlign w:val="top"/>
          </w:tcPr>
          <w:p>
            <w:pPr>
              <w:pStyle w:val="TableText"/>
              <w:ind w:left="18"/>
              <w:spacing w:before="60" w:line="184" w:lineRule="auto"/>
              <w:rPr>
                <w:sz w:val="21"/>
                <w:szCs w:val="21"/>
              </w:rPr>
            </w:pPr>
            <w:r>
              <w:rPr>
                <w:sz w:val="21"/>
                <w:szCs w:val="21"/>
                <w:spacing w:val="-2"/>
              </w:rPr>
              <w:t>52.52</w:t>
            </w:r>
          </w:p>
        </w:tc>
        <w:tc>
          <w:tcPr>
            <w:tcW w:w="569" w:type="dxa"/>
            <w:vAlign w:val="top"/>
          </w:tcPr>
          <w:p>
            <w:pPr>
              <w:pStyle w:val="TableText"/>
              <w:ind w:left="19"/>
              <w:spacing w:before="60" w:line="184" w:lineRule="auto"/>
              <w:rPr>
                <w:sz w:val="21"/>
                <w:szCs w:val="21"/>
              </w:rPr>
            </w:pPr>
            <w:r>
              <w:rPr>
                <w:sz w:val="21"/>
                <w:szCs w:val="21"/>
                <w:spacing w:val="-4"/>
              </w:rPr>
              <w:t>13.45</w:t>
            </w:r>
          </w:p>
        </w:tc>
        <w:tc>
          <w:tcPr>
            <w:tcW w:w="320" w:type="dxa"/>
            <w:vAlign w:val="top"/>
          </w:tcPr>
          <w:p>
            <w:pPr>
              <w:pStyle w:val="TableText"/>
              <w:spacing w:before="60" w:line="184" w:lineRule="auto"/>
              <w:jc w:val="right"/>
              <w:rPr>
                <w:sz w:val="21"/>
                <w:szCs w:val="21"/>
              </w:rPr>
            </w:pPr>
            <w:r>
              <w:rPr>
                <w:sz w:val="21"/>
                <w:szCs w:val="21"/>
                <w:spacing w:val="-9"/>
              </w:rPr>
              <w:t>1.2</w:t>
            </w:r>
          </w:p>
        </w:tc>
        <w:tc>
          <w:tcPr>
            <w:tcW w:w="470" w:type="dxa"/>
            <w:vAlign w:val="top"/>
          </w:tcPr>
          <w:p>
            <w:pPr>
              <w:pStyle w:val="TableText"/>
              <w:ind w:left="39"/>
              <w:spacing w:before="45" w:line="197" w:lineRule="auto"/>
              <w:rPr>
                <w:sz w:val="21"/>
                <w:szCs w:val="21"/>
              </w:rPr>
            </w:pPr>
            <w:r>
              <w:rPr>
                <w:sz w:val="21"/>
                <w:szCs w:val="21"/>
                <w:spacing w:val="-2"/>
              </w:rPr>
              <w:t>8h/d</w:t>
            </w:r>
          </w:p>
        </w:tc>
        <w:tc>
          <w:tcPr>
            <w:tcW w:w="604" w:type="dxa"/>
            <w:vAlign w:val="top"/>
          </w:tcPr>
          <w:p>
            <w:pPr>
              <w:pStyle w:val="TableText"/>
              <w:ind w:left="189"/>
              <w:spacing w:before="60" w:line="184" w:lineRule="auto"/>
              <w:rPr>
                <w:sz w:val="21"/>
                <w:szCs w:val="21"/>
              </w:rPr>
            </w:pPr>
            <w:r>
              <w:rPr>
                <w:sz w:val="21"/>
                <w:szCs w:val="21"/>
                <w:spacing w:val="-6"/>
              </w:rPr>
              <w:t>10</w:t>
            </w:r>
          </w:p>
        </w:tc>
      </w:tr>
      <w:tr>
        <w:trPr>
          <w:trHeight w:val="250" w:hRule="atLeast"/>
        </w:trPr>
        <w:tc>
          <w:tcPr>
            <w:tcW w:w="424" w:type="dxa"/>
            <w:vAlign w:val="top"/>
            <w:vMerge w:val="continue"/>
            <w:tcBorders>
              <w:top w:val="nil"/>
              <w:bottom w:val="nil"/>
            </w:tcBorders>
          </w:tcPr>
          <w:p>
            <w:pPr>
              <w:rPr>
                <w:rFonts w:ascii="Arial"/>
                <w:sz w:val="21"/>
              </w:rPr>
            </w:pPr>
            <w:r/>
          </w:p>
        </w:tc>
        <w:tc>
          <w:tcPr>
            <w:tcW w:w="1169" w:type="dxa"/>
            <w:vAlign w:val="top"/>
          </w:tcPr>
          <w:p>
            <w:pPr>
              <w:pStyle w:val="TableText"/>
              <w:ind w:left="151"/>
              <w:spacing w:before="19" w:line="194" w:lineRule="auto"/>
              <w:rPr>
                <w:sz w:val="21"/>
                <w:szCs w:val="21"/>
              </w:rPr>
            </w:pPr>
            <w:r>
              <w:rPr>
                <w:sz w:val="21"/>
                <w:szCs w:val="21"/>
                <w:spacing w:val="-2"/>
              </w:rPr>
              <w:t>预干燥机</w:t>
            </w:r>
          </w:p>
        </w:tc>
        <w:tc>
          <w:tcPr>
            <w:tcW w:w="789" w:type="dxa"/>
            <w:vAlign w:val="top"/>
          </w:tcPr>
          <w:p>
            <w:pPr>
              <w:pStyle w:val="TableText"/>
              <w:ind w:left="281"/>
              <w:spacing w:before="40" w:line="175" w:lineRule="auto"/>
              <w:rPr>
                <w:sz w:val="21"/>
                <w:szCs w:val="21"/>
              </w:rPr>
            </w:pPr>
            <w:r>
              <w:rPr>
                <w:sz w:val="21"/>
                <w:szCs w:val="21"/>
                <w:spacing w:val="-4"/>
              </w:rPr>
              <w:t>75</w:t>
            </w:r>
          </w:p>
        </w:tc>
        <w:tc>
          <w:tcPr>
            <w:tcW w:w="649" w:type="dxa"/>
            <w:vAlign w:val="top"/>
          </w:tcPr>
          <w:p>
            <w:pPr>
              <w:pStyle w:val="TableText"/>
              <w:ind w:right="1"/>
              <w:spacing w:before="19" w:line="194" w:lineRule="auto"/>
              <w:jc w:val="right"/>
              <w:rPr>
                <w:sz w:val="21"/>
                <w:szCs w:val="21"/>
              </w:rPr>
            </w:pPr>
            <w:r>
              <w:rPr>
                <w:sz w:val="21"/>
                <w:szCs w:val="21"/>
                <w:color w:val="707070"/>
                <w:spacing w:val="-2"/>
              </w:rPr>
              <w:t>类比法</w:t>
            </w:r>
          </w:p>
        </w:tc>
        <w:tc>
          <w:tcPr>
            <w:tcW w:w="569" w:type="dxa"/>
            <w:vAlign w:val="top"/>
            <w:textDirection w:val="tbRlV"/>
          </w:tcPr>
          <w:p>
            <w:pPr>
              <w:pStyle w:val="TableText"/>
              <w:spacing w:before="253" w:line="126" w:lineRule="exact"/>
              <w:rPr>
                <w:sz w:val="21"/>
                <w:szCs w:val="21"/>
              </w:rPr>
            </w:pPr>
            <w:r>
              <w:rPr>
                <w:sz w:val="21"/>
                <w:szCs w:val="21"/>
                <w:color w:val="404030"/>
                <w:spacing w:val="26"/>
                <w:w w:val="123"/>
                <w:position w:val="-3"/>
              </w:rPr>
              <w:t>1</w:t>
            </w:r>
          </w:p>
        </w:tc>
        <w:tc>
          <w:tcPr>
            <w:tcW w:w="1049" w:type="dxa"/>
            <w:vAlign w:val="top"/>
          </w:tcPr>
          <w:p>
            <w:pPr>
              <w:pStyle w:val="TableText"/>
              <w:ind w:left="414"/>
              <w:spacing w:before="40" w:line="175" w:lineRule="auto"/>
              <w:rPr>
                <w:sz w:val="21"/>
                <w:szCs w:val="21"/>
              </w:rPr>
            </w:pPr>
            <w:r>
              <w:rPr>
                <w:sz w:val="21"/>
                <w:szCs w:val="21"/>
                <w:spacing w:val="-4"/>
              </w:rPr>
              <w:t>75</w:t>
            </w:r>
          </w:p>
        </w:tc>
        <w:tc>
          <w:tcPr>
            <w:tcW w:w="1298" w:type="dxa"/>
            <w:vAlign w:val="top"/>
            <w:vMerge w:val="continue"/>
            <w:tcBorders>
              <w:top w:val="nil"/>
              <w:bottom w:val="nil"/>
            </w:tcBorders>
          </w:tcPr>
          <w:p>
            <w:pPr>
              <w:rPr>
                <w:rFonts w:ascii="Arial"/>
                <w:sz w:val="21"/>
              </w:rPr>
            </w:pPr>
            <w:r/>
          </w:p>
        </w:tc>
        <w:tc>
          <w:tcPr>
            <w:tcW w:w="569" w:type="dxa"/>
            <w:vAlign w:val="top"/>
          </w:tcPr>
          <w:p>
            <w:pPr>
              <w:pStyle w:val="TableText"/>
              <w:ind w:left="18"/>
              <w:spacing w:before="40" w:line="175" w:lineRule="auto"/>
              <w:rPr>
                <w:sz w:val="21"/>
                <w:szCs w:val="21"/>
              </w:rPr>
            </w:pPr>
            <w:r>
              <w:rPr>
                <w:sz w:val="21"/>
                <w:szCs w:val="21"/>
                <w:spacing w:val="-2"/>
              </w:rPr>
              <w:t>60.59</w:t>
            </w:r>
          </w:p>
        </w:tc>
        <w:tc>
          <w:tcPr>
            <w:tcW w:w="569" w:type="dxa"/>
            <w:vAlign w:val="top"/>
          </w:tcPr>
          <w:p>
            <w:pPr>
              <w:pStyle w:val="TableText"/>
              <w:ind w:left="19"/>
              <w:spacing w:before="40" w:line="175" w:lineRule="auto"/>
              <w:rPr>
                <w:sz w:val="21"/>
                <w:szCs w:val="21"/>
              </w:rPr>
            </w:pPr>
            <w:r>
              <w:rPr>
                <w:sz w:val="21"/>
                <w:szCs w:val="21"/>
                <w:spacing w:val="-2"/>
              </w:rPr>
              <w:t>20.62</w:t>
            </w:r>
          </w:p>
        </w:tc>
        <w:tc>
          <w:tcPr>
            <w:tcW w:w="320" w:type="dxa"/>
            <w:vAlign w:val="top"/>
          </w:tcPr>
          <w:p>
            <w:pPr>
              <w:pStyle w:val="TableText"/>
              <w:spacing w:before="40" w:line="175" w:lineRule="auto"/>
              <w:jc w:val="right"/>
              <w:rPr>
                <w:sz w:val="21"/>
                <w:szCs w:val="21"/>
              </w:rPr>
            </w:pPr>
            <w:r>
              <w:rPr>
                <w:sz w:val="21"/>
                <w:szCs w:val="21"/>
                <w:spacing w:val="-9"/>
              </w:rPr>
              <w:t>1.2</w:t>
            </w:r>
          </w:p>
        </w:tc>
        <w:tc>
          <w:tcPr>
            <w:tcW w:w="470" w:type="dxa"/>
            <w:vAlign w:val="top"/>
          </w:tcPr>
          <w:p>
            <w:pPr>
              <w:pStyle w:val="TableText"/>
              <w:ind w:left="39"/>
              <w:spacing w:before="25" w:line="189" w:lineRule="auto"/>
              <w:rPr>
                <w:sz w:val="21"/>
                <w:szCs w:val="21"/>
              </w:rPr>
            </w:pPr>
            <w:r>
              <w:rPr>
                <w:sz w:val="21"/>
                <w:szCs w:val="21"/>
                <w:spacing w:val="-2"/>
              </w:rPr>
              <w:t>8h/d</w:t>
            </w:r>
          </w:p>
        </w:tc>
        <w:tc>
          <w:tcPr>
            <w:tcW w:w="604" w:type="dxa"/>
            <w:vAlign w:val="top"/>
          </w:tcPr>
          <w:p>
            <w:pPr>
              <w:pStyle w:val="TableText"/>
              <w:ind w:left="189"/>
              <w:spacing w:before="40" w:line="175" w:lineRule="auto"/>
              <w:rPr>
                <w:sz w:val="21"/>
                <w:szCs w:val="21"/>
              </w:rPr>
            </w:pPr>
            <w:r>
              <w:rPr>
                <w:sz w:val="21"/>
                <w:szCs w:val="21"/>
                <w:color w:val="303050"/>
                <w:spacing w:val="-6"/>
              </w:rPr>
              <w:t>10</w:t>
            </w:r>
          </w:p>
        </w:tc>
      </w:tr>
      <w:tr>
        <w:trPr>
          <w:trHeight w:val="280" w:hRule="atLeast"/>
        </w:trPr>
        <w:tc>
          <w:tcPr>
            <w:tcW w:w="424" w:type="dxa"/>
            <w:vAlign w:val="top"/>
            <w:vMerge w:val="continue"/>
            <w:tcBorders>
              <w:top w:val="nil"/>
              <w:bottom w:val="nil"/>
            </w:tcBorders>
          </w:tcPr>
          <w:p>
            <w:pPr>
              <w:rPr>
                <w:rFonts w:ascii="Arial"/>
                <w:sz w:val="21"/>
              </w:rPr>
            </w:pPr>
            <w:r/>
          </w:p>
        </w:tc>
        <w:tc>
          <w:tcPr>
            <w:tcW w:w="1169" w:type="dxa"/>
            <w:vAlign w:val="top"/>
          </w:tcPr>
          <w:p>
            <w:pPr>
              <w:pStyle w:val="TableText"/>
              <w:ind w:left="260"/>
              <w:spacing w:before="39" w:line="203" w:lineRule="auto"/>
              <w:rPr>
                <w:sz w:val="21"/>
                <w:szCs w:val="21"/>
              </w:rPr>
            </w:pPr>
            <w:r>
              <w:rPr>
                <w:sz w:val="21"/>
                <w:szCs w:val="21"/>
                <w:color w:val="405040"/>
                <w:spacing w:val="-2"/>
              </w:rPr>
              <w:t>抛光机</w:t>
            </w:r>
          </w:p>
        </w:tc>
        <w:tc>
          <w:tcPr>
            <w:tcW w:w="789" w:type="dxa"/>
            <w:vAlign w:val="top"/>
          </w:tcPr>
          <w:p>
            <w:pPr>
              <w:pStyle w:val="TableText"/>
              <w:ind w:left="281"/>
              <w:spacing w:before="60" w:line="184" w:lineRule="auto"/>
              <w:rPr>
                <w:sz w:val="21"/>
                <w:szCs w:val="21"/>
              </w:rPr>
            </w:pPr>
            <w:r>
              <w:rPr>
                <w:sz w:val="21"/>
                <w:szCs w:val="21"/>
                <w:spacing w:val="-4"/>
              </w:rPr>
              <w:t>75</w:t>
            </w:r>
          </w:p>
        </w:tc>
        <w:tc>
          <w:tcPr>
            <w:tcW w:w="649" w:type="dxa"/>
            <w:vAlign w:val="top"/>
          </w:tcPr>
          <w:p>
            <w:pPr>
              <w:pStyle w:val="TableText"/>
              <w:ind w:right="1"/>
              <w:spacing w:before="39" w:line="203" w:lineRule="auto"/>
              <w:jc w:val="right"/>
              <w:rPr>
                <w:sz w:val="21"/>
                <w:szCs w:val="21"/>
              </w:rPr>
            </w:pPr>
            <w:r>
              <w:rPr>
                <w:sz w:val="21"/>
                <w:szCs w:val="21"/>
                <w:color w:val="808080"/>
                <w:spacing w:val="-2"/>
              </w:rPr>
              <w:t>类比法</w:t>
            </w:r>
          </w:p>
        </w:tc>
        <w:tc>
          <w:tcPr>
            <w:tcW w:w="569" w:type="dxa"/>
            <w:vAlign w:val="top"/>
          </w:tcPr>
          <w:p>
            <w:pPr>
              <w:pStyle w:val="TableText"/>
              <w:ind w:left="224"/>
              <w:spacing w:before="60" w:line="184" w:lineRule="auto"/>
              <w:rPr>
                <w:sz w:val="21"/>
                <w:szCs w:val="21"/>
              </w:rPr>
            </w:pPr>
            <w:r>
              <w:rPr>
                <w:sz w:val="21"/>
                <w:szCs w:val="21"/>
              </w:rPr>
              <w:t>2</w:t>
            </w:r>
          </w:p>
        </w:tc>
        <w:tc>
          <w:tcPr>
            <w:tcW w:w="1049" w:type="dxa"/>
            <w:vAlign w:val="top"/>
          </w:tcPr>
          <w:p>
            <w:pPr>
              <w:pStyle w:val="TableText"/>
              <w:ind w:left="414"/>
              <w:spacing w:before="60" w:line="184" w:lineRule="auto"/>
              <w:rPr>
                <w:sz w:val="21"/>
                <w:szCs w:val="21"/>
              </w:rPr>
            </w:pPr>
            <w:r>
              <w:rPr>
                <w:sz w:val="21"/>
                <w:szCs w:val="21"/>
                <w:spacing w:val="-4"/>
              </w:rPr>
              <w:t>78</w:t>
            </w:r>
          </w:p>
        </w:tc>
        <w:tc>
          <w:tcPr>
            <w:tcW w:w="1298" w:type="dxa"/>
            <w:vAlign w:val="top"/>
            <w:vMerge w:val="continue"/>
            <w:tcBorders>
              <w:top w:val="nil"/>
              <w:bottom w:val="nil"/>
            </w:tcBorders>
          </w:tcPr>
          <w:p>
            <w:pPr>
              <w:rPr>
                <w:rFonts w:ascii="Arial"/>
                <w:sz w:val="21"/>
              </w:rPr>
            </w:pPr>
            <w:r/>
          </w:p>
        </w:tc>
        <w:tc>
          <w:tcPr>
            <w:tcW w:w="569" w:type="dxa"/>
            <w:vAlign w:val="top"/>
          </w:tcPr>
          <w:p>
            <w:pPr>
              <w:pStyle w:val="TableText"/>
              <w:ind w:left="18"/>
              <w:spacing w:before="60" w:line="184" w:lineRule="auto"/>
              <w:rPr>
                <w:sz w:val="21"/>
                <w:szCs w:val="21"/>
              </w:rPr>
            </w:pPr>
            <w:r>
              <w:rPr>
                <w:sz w:val="21"/>
                <w:szCs w:val="21"/>
                <w:spacing w:val="-2"/>
              </w:rPr>
              <w:t>51.33</w:t>
            </w:r>
          </w:p>
        </w:tc>
        <w:tc>
          <w:tcPr>
            <w:tcW w:w="569" w:type="dxa"/>
            <w:vAlign w:val="top"/>
          </w:tcPr>
          <w:p>
            <w:pPr>
              <w:pStyle w:val="TableText"/>
              <w:ind w:left="19"/>
              <w:spacing w:before="60" w:line="184" w:lineRule="auto"/>
              <w:rPr>
                <w:sz w:val="21"/>
                <w:szCs w:val="21"/>
              </w:rPr>
            </w:pPr>
            <w:r>
              <w:rPr>
                <w:sz w:val="21"/>
                <w:szCs w:val="21"/>
                <w:spacing w:val="-2"/>
              </w:rPr>
              <w:t>22.41</w:t>
            </w:r>
          </w:p>
        </w:tc>
        <w:tc>
          <w:tcPr>
            <w:tcW w:w="320" w:type="dxa"/>
            <w:vAlign w:val="top"/>
          </w:tcPr>
          <w:p>
            <w:pPr>
              <w:pStyle w:val="TableText"/>
              <w:spacing w:before="60" w:line="184" w:lineRule="auto"/>
              <w:jc w:val="right"/>
              <w:rPr>
                <w:sz w:val="21"/>
                <w:szCs w:val="21"/>
              </w:rPr>
            </w:pPr>
            <w:r>
              <w:rPr>
                <w:sz w:val="21"/>
                <w:szCs w:val="21"/>
                <w:spacing w:val="-9"/>
              </w:rPr>
              <w:t>1.2</w:t>
            </w:r>
          </w:p>
        </w:tc>
        <w:tc>
          <w:tcPr>
            <w:tcW w:w="470" w:type="dxa"/>
            <w:vAlign w:val="top"/>
          </w:tcPr>
          <w:p>
            <w:pPr>
              <w:pStyle w:val="TableText"/>
              <w:ind w:left="39"/>
              <w:spacing w:before="45" w:line="197" w:lineRule="auto"/>
              <w:rPr>
                <w:sz w:val="21"/>
                <w:szCs w:val="21"/>
              </w:rPr>
            </w:pPr>
            <w:r>
              <w:rPr>
                <w:sz w:val="21"/>
                <w:szCs w:val="21"/>
                <w:spacing w:val="-2"/>
              </w:rPr>
              <w:t>8h/d</w:t>
            </w:r>
          </w:p>
        </w:tc>
        <w:tc>
          <w:tcPr>
            <w:tcW w:w="604" w:type="dxa"/>
            <w:vAlign w:val="top"/>
          </w:tcPr>
          <w:p>
            <w:pPr>
              <w:pStyle w:val="TableText"/>
              <w:ind w:left="189"/>
              <w:spacing w:before="60" w:line="184" w:lineRule="auto"/>
              <w:rPr>
                <w:sz w:val="21"/>
                <w:szCs w:val="21"/>
              </w:rPr>
            </w:pPr>
            <w:r>
              <w:rPr>
                <w:sz w:val="21"/>
                <w:szCs w:val="21"/>
                <w:spacing w:val="-6"/>
              </w:rPr>
              <w:t>10</w:t>
            </w:r>
          </w:p>
        </w:tc>
      </w:tr>
      <w:tr>
        <w:trPr>
          <w:trHeight w:val="280" w:hRule="atLeast"/>
        </w:trPr>
        <w:tc>
          <w:tcPr>
            <w:tcW w:w="424" w:type="dxa"/>
            <w:vAlign w:val="top"/>
            <w:vMerge w:val="continue"/>
            <w:tcBorders>
              <w:top w:val="nil"/>
              <w:bottom w:val="nil"/>
            </w:tcBorders>
          </w:tcPr>
          <w:p>
            <w:pPr>
              <w:rPr>
                <w:rFonts w:ascii="Arial"/>
                <w:sz w:val="21"/>
              </w:rPr>
            </w:pPr>
            <w:r/>
          </w:p>
        </w:tc>
        <w:tc>
          <w:tcPr>
            <w:tcW w:w="1169" w:type="dxa"/>
            <w:vAlign w:val="top"/>
          </w:tcPr>
          <w:p>
            <w:pPr>
              <w:pStyle w:val="TableText"/>
              <w:spacing w:before="39" w:line="203" w:lineRule="auto"/>
              <w:jc w:val="right"/>
              <w:rPr>
                <w:sz w:val="21"/>
                <w:szCs w:val="21"/>
              </w:rPr>
            </w:pPr>
            <w:r>
              <w:rPr>
                <w:sz w:val="21"/>
                <w:szCs w:val="21"/>
                <w:spacing w:val="-18"/>
                <w:w w:val="98"/>
              </w:rPr>
              <w:t>机器</w:t>
            </w:r>
            <w:r>
              <w:rPr>
                <w:sz w:val="21"/>
                <w:szCs w:val="21"/>
                <w:spacing w:val="-17"/>
                <w:w w:val="98"/>
              </w:rPr>
              <w:t>人劈半</w:t>
            </w:r>
            <w:r>
              <w:rPr>
                <w:sz w:val="21"/>
                <w:szCs w:val="21"/>
                <w:spacing w:val="-9"/>
                <w:w w:val="98"/>
              </w:rPr>
              <w:t>机</w:t>
            </w:r>
          </w:p>
        </w:tc>
        <w:tc>
          <w:tcPr>
            <w:tcW w:w="789" w:type="dxa"/>
            <w:vAlign w:val="top"/>
          </w:tcPr>
          <w:p>
            <w:pPr>
              <w:pStyle w:val="TableText"/>
              <w:ind w:left="281"/>
              <w:spacing w:before="60" w:line="184" w:lineRule="auto"/>
              <w:rPr>
                <w:sz w:val="21"/>
                <w:szCs w:val="21"/>
              </w:rPr>
            </w:pPr>
            <w:r>
              <w:rPr>
                <w:sz w:val="21"/>
                <w:szCs w:val="21"/>
                <w:spacing w:val="-4"/>
              </w:rPr>
              <w:t>75</w:t>
            </w:r>
          </w:p>
        </w:tc>
        <w:tc>
          <w:tcPr>
            <w:tcW w:w="649" w:type="dxa"/>
            <w:vAlign w:val="top"/>
          </w:tcPr>
          <w:p>
            <w:pPr>
              <w:pStyle w:val="TableText"/>
              <w:ind w:right="1"/>
              <w:spacing w:before="39" w:line="203" w:lineRule="auto"/>
              <w:jc w:val="right"/>
              <w:rPr>
                <w:sz w:val="21"/>
                <w:szCs w:val="21"/>
              </w:rPr>
            </w:pPr>
            <w:r>
              <w:rPr>
                <w:sz w:val="21"/>
                <w:szCs w:val="21"/>
                <w:color w:val="808080"/>
                <w:spacing w:val="-2"/>
              </w:rPr>
              <w:t>类比法</w:t>
            </w:r>
          </w:p>
        </w:tc>
        <w:tc>
          <w:tcPr>
            <w:tcW w:w="569" w:type="dxa"/>
            <w:vAlign w:val="top"/>
            <w:textDirection w:val="tbRlV"/>
          </w:tcPr>
          <w:p>
            <w:pPr>
              <w:pStyle w:val="TableText"/>
              <w:spacing w:before="245" w:line="147" w:lineRule="exact"/>
              <w:rPr>
                <w:sz w:val="21"/>
                <w:szCs w:val="21"/>
              </w:rPr>
            </w:pPr>
            <w:r>
              <w:rPr>
                <w:sz w:val="21"/>
                <w:szCs w:val="21"/>
                <w:spacing w:val="43"/>
                <w:w w:val="125"/>
                <w:position w:val="-3"/>
              </w:rPr>
              <w:t>2</w:t>
            </w:r>
          </w:p>
        </w:tc>
        <w:tc>
          <w:tcPr>
            <w:tcW w:w="1049" w:type="dxa"/>
            <w:vAlign w:val="top"/>
          </w:tcPr>
          <w:p>
            <w:pPr>
              <w:pStyle w:val="TableText"/>
              <w:ind w:left="414"/>
              <w:spacing w:before="60" w:line="184" w:lineRule="auto"/>
              <w:rPr>
                <w:sz w:val="21"/>
                <w:szCs w:val="21"/>
              </w:rPr>
            </w:pPr>
            <w:r>
              <w:rPr>
                <w:sz w:val="21"/>
                <w:szCs w:val="21"/>
                <w:spacing w:val="-4"/>
              </w:rPr>
              <w:t>78</w:t>
            </w:r>
          </w:p>
        </w:tc>
        <w:tc>
          <w:tcPr>
            <w:tcW w:w="1298" w:type="dxa"/>
            <w:vAlign w:val="top"/>
            <w:vMerge w:val="continue"/>
            <w:tcBorders>
              <w:top w:val="nil"/>
              <w:bottom w:val="nil"/>
            </w:tcBorders>
          </w:tcPr>
          <w:p>
            <w:pPr>
              <w:rPr>
                <w:rFonts w:ascii="Arial"/>
                <w:sz w:val="21"/>
              </w:rPr>
            </w:pPr>
            <w:r/>
          </w:p>
        </w:tc>
        <w:tc>
          <w:tcPr>
            <w:tcW w:w="569" w:type="dxa"/>
            <w:vAlign w:val="top"/>
          </w:tcPr>
          <w:p>
            <w:pPr>
              <w:pStyle w:val="TableText"/>
              <w:ind w:left="18"/>
              <w:spacing w:before="60" w:line="184" w:lineRule="auto"/>
              <w:rPr>
                <w:sz w:val="21"/>
                <w:szCs w:val="21"/>
              </w:rPr>
            </w:pPr>
            <w:r>
              <w:rPr>
                <w:sz w:val="21"/>
                <w:szCs w:val="21"/>
                <w:spacing w:val="-2"/>
              </w:rPr>
              <w:t>41.47</w:t>
            </w:r>
          </w:p>
        </w:tc>
        <w:tc>
          <w:tcPr>
            <w:tcW w:w="569" w:type="dxa"/>
            <w:vAlign w:val="top"/>
          </w:tcPr>
          <w:p>
            <w:pPr>
              <w:pStyle w:val="TableText"/>
              <w:ind w:left="68"/>
              <w:spacing w:before="60" w:line="184" w:lineRule="auto"/>
              <w:rPr>
                <w:sz w:val="21"/>
                <w:szCs w:val="21"/>
              </w:rPr>
            </w:pPr>
            <w:r>
              <w:rPr>
                <w:sz w:val="21"/>
                <w:szCs w:val="21"/>
                <w:spacing w:val="-2"/>
              </w:rPr>
              <w:t>4.78</w:t>
            </w:r>
          </w:p>
        </w:tc>
        <w:tc>
          <w:tcPr>
            <w:tcW w:w="320" w:type="dxa"/>
            <w:vAlign w:val="top"/>
          </w:tcPr>
          <w:p>
            <w:pPr>
              <w:pStyle w:val="TableText"/>
              <w:spacing w:before="60" w:line="184" w:lineRule="auto"/>
              <w:jc w:val="right"/>
              <w:rPr>
                <w:sz w:val="21"/>
                <w:szCs w:val="21"/>
              </w:rPr>
            </w:pPr>
            <w:r>
              <w:rPr>
                <w:sz w:val="21"/>
                <w:szCs w:val="21"/>
                <w:color w:val="203050"/>
                <w:spacing w:val="-9"/>
              </w:rPr>
              <w:t>1.5</w:t>
            </w:r>
          </w:p>
        </w:tc>
        <w:tc>
          <w:tcPr>
            <w:tcW w:w="470" w:type="dxa"/>
            <w:vAlign w:val="top"/>
          </w:tcPr>
          <w:p>
            <w:pPr>
              <w:pStyle w:val="TableText"/>
              <w:ind w:left="39"/>
              <w:spacing w:before="45" w:line="197" w:lineRule="auto"/>
              <w:rPr>
                <w:sz w:val="21"/>
                <w:szCs w:val="21"/>
              </w:rPr>
            </w:pPr>
            <w:r>
              <w:rPr>
                <w:sz w:val="21"/>
                <w:szCs w:val="21"/>
                <w:spacing w:val="-2"/>
              </w:rPr>
              <w:t>8h/d</w:t>
            </w:r>
          </w:p>
        </w:tc>
        <w:tc>
          <w:tcPr>
            <w:tcW w:w="604" w:type="dxa"/>
            <w:vAlign w:val="top"/>
          </w:tcPr>
          <w:p>
            <w:pPr>
              <w:pStyle w:val="TableText"/>
              <w:ind w:left="189"/>
              <w:spacing w:before="60" w:line="184" w:lineRule="auto"/>
              <w:rPr>
                <w:sz w:val="21"/>
                <w:szCs w:val="21"/>
              </w:rPr>
            </w:pPr>
            <w:r>
              <w:rPr>
                <w:sz w:val="21"/>
                <w:szCs w:val="21"/>
                <w:spacing w:val="-6"/>
              </w:rPr>
              <w:t>10</w:t>
            </w:r>
          </w:p>
        </w:tc>
      </w:tr>
      <w:tr>
        <w:trPr>
          <w:trHeight w:val="270" w:hRule="atLeast"/>
        </w:trPr>
        <w:tc>
          <w:tcPr>
            <w:tcW w:w="424" w:type="dxa"/>
            <w:vAlign w:val="top"/>
            <w:vMerge w:val="continue"/>
            <w:tcBorders>
              <w:top w:val="nil"/>
              <w:bottom w:val="nil"/>
            </w:tcBorders>
          </w:tcPr>
          <w:p>
            <w:pPr>
              <w:rPr>
                <w:rFonts w:ascii="Arial"/>
                <w:sz w:val="21"/>
              </w:rPr>
            </w:pPr>
            <w:r/>
          </w:p>
        </w:tc>
        <w:tc>
          <w:tcPr>
            <w:tcW w:w="1169" w:type="dxa"/>
            <w:vAlign w:val="top"/>
          </w:tcPr>
          <w:p>
            <w:pPr>
              <w:pStyle w:val="TableText"/>
              <w:ind w:left="50"/>
              <w:spacing w:before="29" w:line="203" w:lineRule="auto"/>
              <w:rPr>
                <w:sz w:val="21"/>
                <w:szCs w:val="21"/>
              </w:rPr>
            </w:pPr>
            <w:r>
              <w:rPr>
                <w:sz w:val="21"/>
                <w:szCs w:val="21"/>
                <w:spacing w:val="1"/>
              </w:rPr>
              <w:t>带式劈半锯</w:t>
            </w:r>
          </w:p>
        </w:tc>
        <w:tc>
          <w:tcPr>
            <w:tcW w:w="789" w:type="dxa"/>
            <w:vAlign w:val="top"/>
          </w:tcPr>
          <w:p>
            <w:pPr>
              <w:pStyle w:val="TableText"/>
              <w:ind w:left="281"/>
              <w:spacing w:before="50" w:line="184" w:lineRule="auto"/>
              <w:rPr>
                <w:sz w:val="21"/>
                <w:szCs w:val="21"/>
              </w:rPr>
            </w:pPr>
            <w:r>
              <w:rPr>
                <w:sz w:val="21"/>
                <w:szCs w:val="21"/>
                <w:spacing w:val="-4"/>
              </w:rPr>
              <w:t>75</w:t>
            </w:r>
          </w:p>
        </w:tc>
        <w:tc>
          <w:tcPr>
            <w:tcW w:w="649" w:type="dxa"/>
            <w:vAlign w:val="top"/>
          </w:tcPr>
          <w:p>
            <w:pPr>
              <w:pStyle w:val="TableText"/>
              <w:ind w:right="1"/>
              <w:spacing w:before="29" w:line="203" w:lineRule="auto"/>
              <w:jc w:val="right"/>
              <w:rPr>
                <w:sz w:val="21"/>
                <w:szCs w:val="21"/>
              </w:rPr>
            </w:pPr>
            <w:r>
              <w:rPr>
                <w:sz w:val="21"/>
                <w:szCs w:val="21"/>
                <w:color w:val="607060"/>
                <w:spacing w:val="-2"/>
              </w:rPr>
              <w:t>类比法</w:t>
            </w:r>
          </w:p>
        </w:tc>
        <w:tc>
          <w:tcPr>
            <w:tcW w:w="569" w:type="dxa"/>
            <w:vAlign w:val="top"/>
            <w:textDirection w:val="tbRlV"/>
          </w:tcPr>
          <w:p>
            <w:pPr>
              <w:pStyle w:val="TableText"/>
              <w:spacing w:before="245" w:line="147" w:lineRule="exact"/>
              <w:rPr>
                <w:sz w:val="21"/>
                <w:szCs w:val="21"/>
              </w:rPr>
            </w:pPr>
            <w:r>
              <w:rPr>
                <w:sz w:val="21"/>
                <w:szCs w:val="21"/>
                <w:spacing w:val="33"/>
                <w:w w:val="125"/>
                <w:position w:val="-3"/>
              </w:rPr>
              <w:t>2</w:t>
            </w:r>
          </w:p>
        </w:tc>
        <w:tc>
          <w:tcPr>
            <w:tcW w:w="1049" w:type="dxa"/>
            <w:vAlign w:val="top"/>
          </w:tcPr>
          <w:p>
            <w:pPr>
              <w:pStyle w:val="TableText"/>
              <w:ind w:left="414"/>
              <w:spacing w:before="50" w:line="184" w:lineRule="auto"/>
              <w:rPr>
                <w:sz w:val="21"/>
                <w:szCs w:val="21"/>
              </w:rPr>
            </w:pPr>
            <w:r>
              <w:rPr>
                <w:sz w:val="21"/>
                <w:szCs w:val="21"/>
                <w:spacing w:val="-4"/>
              </w:rPr>
              <w:t>78</w:t>
            </w:r>
          </w:p>
        </w:tc>
        <w:tc>
          <w:tcPr>
            <w:tcW w:w="1298" w:type="dxa"/>
            <w:vAlign w:val="top"/>
            <w:vMerge w:val="continue"/>
            <w:tcBorders>
              <w:top w:val="nil"/>
              <w:bottom w:val="nil"/>
            </w:tcBorders>
          </w:tcPr>
          <w:p>
            <w:pPr>
              <w:rPr>
                <w:rFonts w:ascii="Arial"/>
                <w:sz w:val="21"/>
              </w:rPr>
            </w:pPr>
            <w:r/>
          </w:p>
        </w:tc>
        <w:tc>
          <w:tcPr>
            <w:tcW w:w="569" w:type="dxa"/>
            <w:vAlign w:val="top"/>
          </w:tcPr>
          <w:p>
            <w:pPr>
              <w:pStyle w:val="TableText"/>
              <w:ind w:left="18"/>
              <w:spacing w:before="50" w:line="184" w:lineRule="auto"/>
              <w:rPr>
                <w:sz w:val="21"/>
                <w:szCs w:val="21"/>
              </w:rPr>
            </w:pPr>
            <w:r>
              <w:rPr>
                <w:sz w:val="21"/>
                <w:szCs w:val="21"/>
                <w:spacing w:val="-2"/>
              </w:rPr>
              <w:t>45.65</w:t>
            </w:r>
          </w:p>
        </w:tc>
        <w:tc>
          <w:tcPr>
            <w:tcW w:w="569" w:type="dxa"/>
            <w:vAlign w:val="top"/>
          </w:tcPr>
          <w:p>
            <w:pPr>
              <w:pStyle w:val="TableText"/>
              <w:ind w:left="68"/>
              <w:spacing w:before="50" w:line="184" w:lineRule="auto"/>
              <w:rPr>
                <w:sz w:val="21"/>
                <w:szCs w:val="21"/>
              </w:rPr>
            </w:pPr>
            <w:r>
              <w:rPr>
                <w:sz w:val="21"/>
                <w:szCs w:val="21"/>
                <w:spacing w:val="-2"/>
              </w:rPr>
              <w:t>8.96</w:t>
            </w:r>
          </w:p>
        </w:tc>
        <w:tc>
          <w:tcPr>
            <w:tcW w:w="320" w:type="dxa"/>
            <w:vAlign w:val="top"/>
          </w:tcPr>
          <w:p>
            <w:pPr>
              <w:pStyle w:val="TableText"/>
              <w:spacing w:before="50" w:line="184" w:lineRule="auto"/>
              <w:jc w:val="right"/>
              <w:rPr>
                <w:sz w:val="21"/>
                <w:szCs w:val="21"/>
              </w:rPr>
            </w:pPr>
            <w:r>
              <w:rPr>
                <w:sz w:val="21"/>
                <w:szCs w:val="21"/>
                <w:color w:val="505050"/>
                <w:spacing w:val="-9"/>
              </w:rPr>
              <w:t>1.5</w:t>
            </w:r>
          </w:p>
        </w:tc>
        <w:tc>
          <w:tcPr>
            <w:tcW w:w="470" w:type="dxa"/>
            <w:vAlign w:val="top"/>
          </w:tcPr>
          <w:p>
            <w:pPr>
              <w:pStyle w:val="TableText"/>
              <w:ind w:left="39"/>
              <w:spacing w:before="35" w:line="197" w:lineRule="auto"/>
              <w:rPr>
                <w:sz w:val="21"/>
                <w:szCs w:val="21"/>
              </w:rPr>
            </w:pPr>
            <w:r>
              <w:rPr>
                <w:sz w:val="21"/>
                <w:szCs w:val="21"/>
                <w:spacing w:val="-2"/>
              </w:rPr>
              <w:t>8h/d</w:t>
            </w:r>
          </w:p>
        </w:tc>
        <w:tc>
          <w:tcPr>
            <w:tcW w:w="604" w:type="dxa"/>
            <w:vAlign w:val="top"/>
          </w:tcPr>
          <w:p>
            <w:pPr>
              <w:pStyle w:val="TableText"/>
              <w:ind w:left="189"/>
              <w:spacing w:before="50" w:line="184" w:lineRule="auto"/>
              <w:rPr>
                <w:sz w:val="21"/>
                <w:szCs w:val="21"/>
              </w:rPr>
            </w:pPr>
            <w:r>
              <w:rPr>
                <w:sz w:val="21"/>
                <w:szCs w:val="21"/>
                <w:spacing w:val="-6"/>
              </w:rPr>
              <w:t>10</w:t>
            </w:r>
          </w:p>
        </w:tc>
      </w:tr>
      <w:tr>
        <w:trPr>
          <w:trHeight w:val="280" w:hRule="atLeast"/>
        </w:trPr>
        <w:tc>
          <w:tcPr>
            <w:tcW w:w="424" w:type="dxa"/>
            <w:vAlign w:val="top"/>
            <w:vMerge w:val="continue"/>
            <w:tcBorders>
              <w:top w:val="nil"/>
              <w:bottom w:val="nil"/>
            </w:tcBorders>
          </w:tcPr>
          <w:p>
            <w:pPr>
              <w:rPr>
                <w:rFonts w:ascii="Arial"/>
                <w:sz w:val="21"/>
              </w:rPr>
            </w:pPr>
            <w:r/>
          </w:p>
        </w:tc>
        <w:tc>
          <w:tcPr>
            <w:tcW w:w="1169" w:type="dxa"/>
            <w:vAlign w:val="top"/>
          </w:tcPr>
          <w:p>
            <w:pPr>
              <w:pStyle w:val="TableText"/>
              <w:ind w:left="50"/>
              <w:spacing w:before="37" w:line="204" w:lineRule="auto"/>
              <w:rPr>
                <w:sz w:val="21"/>
                <w:szCs w:val="21"/>
              </w:rPr>
            </w:pPr>
            <w:r>
              <w:rPr>
                <w:sz w:val="21"/>
                <w:szCs w:val="21"/>
                <w:color w:val="505040"/>
                <w:spacing w:val="-2"/>
              </w:rPr>
              <w:t>胴体冲淋机</w:t>
            </w:r>
          </w:p>
        </w:tc>
        <w:tc>
          <w:tcPr>
            <w:tcW w:w="789" w:type="dxa"/>
            <w:vAlign w:val="top"/>
          </w:tcPr>
          <w:p>
            <w:pPr>
              <w:pStyle w:val="TableText"/>
              <w:ind w:left="281"/>
              <w:spacing w:before="60" w:line="184" w:lineRule="auto"/>
              <w:rPr>
                <w:sz w:val="21"/>
                <w:szCs w:val="21"/>
              </w:rPr>
            </w:pPr>
            <w:r>
              <w:rPr>
                <w:sz w:val="21"/>
                <w:szCs w:val="21"/>
                <w:spacing w:val="-4"/>
              </w:rPr>
              <w:t>75</w:t>
            </w:r>
          </w:p>
        </w:tc>
        <w:tc>
          <w:tcPr>
            <w:tcW w:w="649" w:type="dxa"/>
            <w:vAlign w:val="top"/>
          </w:tcPr>
          <w:p>
            <w:pPr>
              <w:pStyle w:val="TableText"/>
              <w:ind w:right="1"/>
              <w:spacing w:before="39" w:line="203" w:lineRule="auto"/>
              <w:jc w:val="right"/>
              <w:rPr>
                <w:sz w:val="21"/>
                <w:szCs w:val="21"/>
              </w:rPr>
            </w:pPr>
            <w:r>
              <w:rPr>
                <w:sz w:val="21"/>
                <w:szCs w:val="21"/>
                <w:color w:val="808070"/>
                <w:spacing w:val="-2"/>
              </w:rPr>
              <w:t>类比法</w:t>
            </w:r>
          </w:p>
        </w:tc>
        <w:tc>
          <w:tcPr>
            <w:tcW w:w="569" w:type="dxa"/>
            <w:vAlign w:val="top"/>
          </w:tcPr>
          <w:p>
            <w:pPr>
              <w:pStyle w:val="TableText"/>
              <w:ind w:left="224"/>
              <w:spacing w:before="60" w:line="184" w:lineRule="auto"/>
              <w:rPr>
                <w:sz w:val="21"/>
                <w:szCs w:val="21"/>
              </w:rPr>
            </w:pPr>
            <w:r>
              <w:rPr>
                <w:sz w:val="21"/>
                <w:szCs w:val="21"/>
              </w:rPr>
              <w:t>2</w:t>
            </w:r>
          </w:p>
        </w:tc>
        <w:tc>
          <w:tcPr>
            <w:tcW w:w="1049" w:type="dxa"/>
            <w:vAlign w:val="top"/>
          </w:tcPr>
          <w:p>
            <w:pPr>
              <w:pStyle w:val="TableText"/>
              <w:ind w:left="414"/>
              <w:spacing w:before="60" w:line="184" w:lineRule="auto"/>
              <w:rPr>
                <w:sz w:val="21"/>
                <w:szCs w:val="21"/>
              </w:rPr>
            </w:pPr>
            <w:r>
              <w:rPr>
                <w:sz w:val="21"/>
                <w:szCs w:val="21"/>
                <w:spacing w:val="-4"/>
              </w:rPr>
              <w:t>78</w:t>
            </w:r>
          </w:p>
        </w:tc>
        <w:tc>
          <w:tcPr>
            <w:tcW w:w="1298" w:type="dxa"/>
            <w:vAlign w:val="top"/>
            <w:vMerge w:val="continue"/>
            <w:tcBorders>
              <w:top w:val="nil"/>
              <w:bottom w:val="nil"/>
            </w:tcBorders>
          </w:tcPr>
          <w:p>
            <w:pPr>
              <w:rPr>
                <w:rFonts w:ascii="Arial"/>
                <w:sz w:val="21"/>
              </w:rPr>
            </w:pPr>
            <w:r/>
          </w:p>
        </w:tc>
        <w:tc>
          <w:tcPr>
            <w:tcW w:w="569" w:type="dxa"/>
            <w:vAlign w:val="top"/>
          </w:tcPr>
          <w:p>
            <w:pPr>
              <w:pStyle w:val="TableText"/>
              <w:ind w:left="18"/>
              <w:spacing w:before="60" w:line="184" w:lineRule="auto"/>
              <w:rPr>
                <w:sz w:val="21"/>
                <w:szCs w:val="21"/>
              </w:rPr>
            </w:pPr>
            <w:r>
              <w:rPr>
                <w:sz w:val="21"/>
                <w:szCs w:val="21"/>
                <w:spacing w:val="-2"/>
              </w:rPr>
              <w:t>45.35</w:t>
            </w:r>
          </w:p>
        </w:tc>
        <w:tc>
          <w:tcPr>
            <w:tcW w:w="569" w:type="dxa"/>
            <w:vAlign w:val="top"/>
          </w:tcPr>
          <w:p>
            <w:pPr>
              <w:pStyle w:val="TableText"/>
              <w:ind w:left="19"/>
              <w:spacing w:before="60" w:line="184" w:lineRule="auto"/>
              <w:rPr>
                <w:sz w:val="21"/>
                <w:szCs w:val="21"/>
              </w:rPr>
            </w:pPr>
            <w:r>
              <w:rPr>
                <w:sz w:val="21"/>
                <w:szCs w:val="21"/>
                <w:spacing w:val="-2"/>
              </w:rPr>
              <w:t>31.38</w:t>
            </w:r>
          </w:p>
        </w:tc>
        <w:tc>
          <w:tcPr>
            <w:tcW w:w="320" w:type="dxa"/>
            <w:vAlign w:val="top"/>
          </w:tcPr>
          <w:p>
            <w:pPr>
              <w:pStyle w:val="TableText"/>
              <w:spacing w:before="60" w:line="184" w:lineRule="auto"/>
              <w:jc w:val="right"/>
              <w:rPr>
                <w:sz w:val="21"/>
                <w:szCs w:val="21"/>
              </w:rPr>
            </w:pPr>
            <w:r>
              <w:rPr>
                <w:sz w:val="21"/>
                <w:szCs w:val="21"/>
                <w:spacing w:val="-9"/>
              </w:rPr>
              <w:t>1.2</w:t>
            </w:r>
          </w:p>
        </w:tc>
        <w:tc>
          <w:tcPr>
            <w:tcW w:w="470" w:type="dxa"/>
            <w:vAlign w:val="top"/>
          </w:tcPr>
          <w:p>
            <w:pPr>
              <w:pStyle w:val="TableText"/>
              <w:ind w:left="39"/>
              <w:spacing w:before="45" w:line="197" w:lineRule="auto"/>
              <w:rPr>
                <w:sz w:val="21"/>
                <w:szCs w:val="21"/>
              </w:rPr>
            </w:pPr>
            <w:r>
              <w:rPr>
                <w:sz w:val="21"/>
                <w:szCs w:val="21"/>
                <w:spacing w:val="-2"/>
              </w:rPr>
              <w:t>8h/d</w:t>
            </w:r>
          </w:p>
        </w:tc>
        <w:tc>
          <w:tcPr>
            <w:tcW w:w="604" w:type="dxa"/>
            <w:vAlign w:val="top"/>
          </w:tcPr>
          <w:p>
            <w:pPr>
              <w:pStyle w:val="TableText"/>
              <w:ind w:left="189"/>
              <w:spacing w:before="60" w:line="184" w:lineRule="auto"/>
              <w:rPr>
                <w:sz w:val="21"/>
                <w:szCs w:val="21"/>
              </w:rPr>
            </w:pPr>
            <w:r>
              <w:rPr>
                <w:sz w:val="21"/>
                <w:szCs w:val="21"/>
                <w:spacing w:val="-6"/>
              </w:rPr>
              <w:t>10</w:t>
            </w:r>
          </w:p>
        </w:tc>
      </w:tr>
      <w:tr>
        <w:trPr>
          <w:trHeight w:val="260" w:hRule="atLeast"/>
        </w:trPr>
        <w:tc>
          <w:tcPr>
            <w:tcW w:w="424" w:type="dxa"/>
            <w:vAlign w:val="top"/>
            <w:vMerge w:val="continue"/>
            <w:tcBorders>
              <w:top w:val="nil"/>
              <w:bottom w:val="nil"/>
            </w:tcBorders>
          </w:tcPr>
          <w:p>
            <w:pPr>
              <w:rPr>
                <w:rFonts w:ascii="Arial"/>
                <w:sz w:val="21"/>
              </w:rPr>
            </w:pPr>
            <w:r/>
          </w:p>
        </w:tc>
        <w:tc>
          <w:tcPr>
            <w:tcW w:w="1169" w:type="dxa"/>
            <w:vAlign w:val="top"/>
          </w:tcPr>
          <w:p>
            <w:pPr>
              <w:pStyle w:val="TableText"/>
              <w:ind w:left="50"/>
              <w:spacing w:before="30" w:line="193" w:lineRule="auto"/>
              <w:rPr>
                <w:sz w:val="21"/>
                <w:szCs w:val="21"/>
              </w:rPr>
            </w:pPr>
            <w:r>
              <w:rPr>
                <w:sz w:val="21"/>
                <w:szCs w:val="21"/>
                <w:spacing w:val="1"/>
              </w:rPr>
              <w:t>卧式分段锯</w:t>
            </w:r>
          </w:p>
        </w:tc>
        <w:tc>
          <w:tcPr>
            <w:tcW w:w="789" w:type="dxa"/>
            <w:vAlign w:val="top"/>
          </w:tcPr>
          <w:p>
            <w:pPr>
              <w:pStyle w:val="TableText"/>
              <w:ind w:left="281"/>
              <w:spacing w:before="50" w:line="175" w:lineRule="auto"/>
              <w:rPr>
                <w:sz w:val="21"/>
                <w:szCs w:val="21"/>
              </w:rPr>
            </w:pPr>
            <w:r>
              <w:rPr>
                <w:sz w:val="21"/>
                <w:szCs w:val="21"/>
                <w:spacing w:val="-4"/>
              </w:rPr>
              <w:t>75</w:t>
            </w:r>
          </w:p>
        </w:tc>
        <w:tc>
          <w:tcPr>
            <w:tcW w:w="649" w:type="dxa"/>
            <w:vAlign w:val="top"/>
          </w:tcPr>
          <w:p>
            <w:pPr>
              <w:pStyle w:val="TableText"/>
              <w:ind w:right="1"/>
              <w:spacing w:before="29" w:line="194" w:lineRule="auto"/>
              <w:jc w:val="right"/>
              <w:rPr>
                <w:sz w:val="21"/>
                <w:szCs w:val="21"/>
              </w:rPr>
            </w:pPr>
            <w:r>
              <w:rPr>
                <w:sz w:val="21"/>
                <w:szCs w:val="21"/>
                <w:color w:val="606060"/>
                <w:spacing w:val="-2"/>
              </w:rPr>
              <w:t>类比法</w:t>
            </w:r>
          </w:p>
        </w:tc>
        <w:tc>
          <w:tcPr>
            <w:tcW w:w="569" w:type="dxa"/>
            <w:vAlign w:val="top"/>
            <w:textDirection w:val="tbRlV"/>
          </w:tcPr>
          <w:p>
            <w:pPr>
              <w:pStyle w:val="TableText"/>
              <w:spacing w:before="245" w:line="147" w:lineRule="exact"/>
              <w:rPr>
                <w:sz w:val="21"/>
                <w:szCs w:val="21"/>
              </w:rPr>
            </w:pPr>
            <w:r>
              <w:rPr>
                <w:sz w:val="21"/>
                <w:szCs w:val="21"/>
                <w:spacing w:val="33"/>
                <w:w w:val="125"/>
                <w:position w:val="-3"/>
              </w:rPr>
              <w:t>2</w:t>
            </w:r>
          </w:p>
        </w:tc>
        <w:tc>
          <w:tcPr>
            <w:tcW w:w="1049" w:type="dxa"/>
            <w:vAlign w:val="top"/>
          </w:tcPr>
          <w:p>
            <w:pPr>
              <w:pStyle w:val="TableText"/>
              <w:ind w:left="414"/>
              <w:spacing w:before="50" w:line="175" w:lineRule="auto"/>
              <w:rPr>
                <w:sz w:val="21"/>
                <w:szCs w:val="21"/>
              </w:rPr>
            </w:pPr>
            <w:r>
              <w:rPr>
                <w:sz w:val="21"/>
                <w:szCs w:val="21"/>
                <w:spacing w:val="-4"/>
              </w:rPr>
              <w:t>78</w:t>
            </w:r>
          </w:p>
        </w:tc>
        <w:tc>
          <w:tcPr>
            <w:tcW w:w="1298" w:type="dxa"/>
            <w:vAlign w:val="top"/>
            <w:vMerge w:val="continue"/>
            <w:tcBorders>
              <w:top w:val="nil"/>
              <w:bottom w:val="nil"/>
            </w:tcBorders>
          </w:tcPr>
          <w:p>
            <w:pPr>
              <w:rPr>
                <w:rFonts w:ascii="Arial"/>
                <w:sz w:val="21"/>
              </w:rPr>
            </w:pPr>
            <w:r/>
          </w:p>
        </w:tc>
        <w:tc>
          <w:tcPr>
            <w:tcW w:w="569" w:type="dxa"/>
            <w:vAlign w:val="top"/>
          </w:tcPr>
          <w:p>
            <w:pPr>
              <w:pStyle w:val="TableText"/>
              <w:ind w:left="68"/>
              <w:spacing w:before="50" w:line="175" w:lineRule="auto"/>
              <w:rPr>
                <w:sz w:val="21"/>
                <w:szCs w:val="21"/>
              </w:rPr>
            </w:pPr>
            <w:r>
              <w:rPr>
                <w:sz w:val="21"/>
                <w:szCs w:val="21"/>
                <w:spacing w:val="-2"/>
              </w:rPr>
              <w:t>9.31</w:t>
            </w:r>
          </w:p>
        </w:tc>
        <w:tc>
          <w:tcPr>
            <w:tcW w:w="569" w:type="dxa"/>
            <w:vAlign w:val="top"/>
          </w:tcPr>
          <w:p>
            <w:pPr>
              <w:pStyle w:val="TableText"/>
              <w:ind w:left="68"/>
              <w:spacing w:before="50" w:line="175" w:lineRule="auto"/>
              <w:rPr>
                <w:sz w:val="21"/>
                <w:szCs w:val="21"/>
              </w:rPr>
            </w:pPr>
            <w:r>
              <w:rPr>
                <w:sz w:val="21"/>
                <w:szCs w:val="21"/>
                <w:spacing w:val="-2"/>
              </w:rPr>
              <w:t>8.51</w:t>
            </w:r>
          </w:p>
        </w:tc>
        <w:tc>
          <w:tcPr>
            <w:tcW w:w="320" w:type="dxa"/>
            <w:vAlign w:val="top"/>
          </w:tcPr>
          <w:p>
            <w:pPr>
              <w:pStyle w:val="TableText"/>
              <w:spacing w:before="50" w:line="175" w:lineRule="auto"/>
              <w:jc w:val="right"/>
              <w:rPr>
                <w:sz w:val="21"/>
                <w:szCs w:val="21"/>
              </w:rPr>
            </w:pPr>
            <w:r>
              <w:rPr>
                <w:sz w:val="21"/>
                <w:szCs w:val="21"/>
                <w:spacing w:val="-9"/>
              </w:rPr>
              <w:t>8.7</w:t>
            </w:r>
          </w:p>
        </w:tc>
        <w:tc>
          <w:tcPr>
            <w:tcW w:w="470" w:type="dxa"/>
            <w:vAlign w:val="top"/>
          </w:tcPr>
          <w:p>
            <w:pPr>
              <w:pStyle w:val="TableText"/>
              <w:ind w:left="39"/>
              <w:spacing w:before="35" w:line="189" w:lineRule="auto"/>
              <w:rPr>
                <w:sz w:val="21"/>
                <w:szCs w:val="21"/>
              </w:rPr>
            </w:pPr>
            <w:r>
              <w:rPr>
                <w:sz w:val="21"/>
                <w:szCs w:val="21"/>
                <w:spacing w:val="-2"/>
              </w:rPr>
              <w:t>8h/d</w:t>
            </w:r>
          </w:p>
        </w:tc>
        <w:tc>
          <w:tcPr>
            <w:tcW w:w="604" w:type="dxa"/>
            <w:vAlign w:val="top"/>
          </w:tcPr>
          <w:p>
            <w:pPr>
              <w:pStyle w:val="TableText"/>
              <w:ind w:left="189"/>
              <w:spacing w:before="50" w:line="175" w:lineRule="auto"/>
              <w:rPr>
                <w:sz w:val="21"/>
                <w:szCs w:val="21"/>
              </w:rPr>
            </w:pPr>
            <w:r>
              <w:rPr>
                <w:sz w:val="21"/>
                <w:szCs w:val="21"/>
                <w:spacing w:val="-6"/>
              </w:rPr>
              <w:t>10</w:t>
            </w:r>
          </w:p>
        </w:tc>
      </w:tr>
      <w:tr>
        <w:trPr>
          <w:trHeight w:val="270" w:hRule="atLeast"/>
        </w:trPr>
        <w:tc>
          <w:tcPr>
            <w:tcW w:w="424" w:type="dxa"/>
            <w:vAlign w:val="top"/>
            <w:vMerge w:val="continue"/>
            <w:tcBorders>
              <w:top w:val="nil"/>
              <w:bottom w:val="nil"/>
            </w:tcBorders>
          </w:tcPr>
          <w:p>
            <w:pPr>
              <w:rPr>
                <w:rFonts w:ascii="Arial"/>
                <w:sz w:val="21"/>
              </w:rPr>
            </w:pPr>
            <w:r/>
          </w:p>
        </w:tc>
        <w:tc>
          <w:tcPr>
            <w:tcW w:w="1169" w:type="dxa"/>
            <w:vAlign w:val="top"/>
          </w:tcPr>
          <w:p>
            <w:pPr>
              <w:pStyle w:val="TableText"/>
              <w:spacing w:before="29" w:line="203" w:lineRule="auto"/>
              <w:jc w:val="right"/>
              <w:rPr>
                <w:sz w:val="21"/>
                <w:szCs w:val="21"/>
              </w:rPr>
            </w:pPr>
            <w:r>
              <w:rPr>
                <w:sz w:val="21"/>
                <w:szCs w:val="21"/>
                <w:spacing w:val="-20"/>
                <w:w w:val="99"/>
              </w:rPr>
              <w:t>跨臂式</w:t>
            </w:r>
            <w:r>
              <w:rPr>
                <w:sz w:val="21"/>
                <w:szCs w:val="21"/>
                <w:spacing w:val="-19"/>
                <w:w w:val="99"/>
              </w:rPr>
              <w:t>分段</w:t>
            </w:r>
            <w:r>
              <w:rPr>
                <w:sz w:val="21"/>
                <w:szCs w:val="21"/>
                <w:spacing w:val="-10"/>
                <w:w w:val="99"/>
              </w:rPr>
              <w:t>锯</w:t>
            </w:r>
          </w:p>
        </w:tc>
        <w:tc>
          <w:tcPr>
            <w:tcW w:w="789" w:type="dxa"/>
            <w:vAlign w:val="top"/>
          </w:tcPr>
          <w:p>
            <w:pPr>
              <w:pStyle w:val="TableText"/>
              <w:ind w:left="281"/>
              <w:spacing w:before="50" w:line="184" w:lineRule="auto"/>
              <w:rPr>
                <w:sz w:val="21"/>
                <w:szCs w:val="21"/>
              </w:rPr>
            </w:pPr>
            <w:r>
              <w:rPr>
                <w:sz w:val="21"/>
                <w:szCs w:val="21"/>
                <w:spacing w:val="-4"/>
              </w:rPr>
              <w:t>75</w:t>
            </w:r>
          </w:p>
        </w:tc>
        <w:tc>
          <w:tcPr>
            <w:tcW w:w="649" w:type="dxa"/>
            <w:vAlign w:val="top"/>
          </w:tcPr>
          <w:p>
            <w:pPr>
              <w:pStyle w:val="TableText"/>
              <w:ind w:right="1"/>
              <w:spacing w:before="29" w:line="203" w:lineRule="auto"/>
              <w:jc w:val="right"/>
              <w:rPr>
                <w:sz w:val="21"/>
                <w:szCs w:val="21"/>
              </w:rPr>
            </w:pPr>
            <w:r>
              <w:rPr>
                <w:sz w:val="21"/>
                <w:szCs w:val="21"/>
                <w:color w:val="808070"/>
                <w:spacing w:val="-2"/>
              </w:rPr>
              <w:t>类比法</w:t>
            </w:r>
          </w:p>
        </w:tc>
        <w:tc>
          <w:tcPr>
            <w:tcW w:w="569" w:type="dxa"/>
            <w:vAlign w:val="top"/>
            <w:textDirection w:val="tbRlV"/>
          </w:tcPr>
          <w:p>
            <w:pPr>
              <w:pStyle w:val="TableText"/>
              <w:spacing w:before="245" w:line="147" w:lineRule="exact"/>
              <w:rPr>
                <w:sz w:val="21"/>
                <w:szCs w:val="21"/>
              </w:rPr>
            </w:pPr>
            <w:r>
              <w:rPr>
                <w:sz w:val="21"/>
                <w:szCs w:val="21"/>
                <w:spacing w:val="33"/>
                <w:w w:val="125"/>
                <w:position w:val="-3"/>
              </w:rPr>
              <w:t>2</w:t>
            </w:r>
          </w:p>
        </w:tc>
        <w:tc>
          <w:tcPr>
            <w:tcW w:w="1049" w:type="dxa"/>
            <w:vAlign w:val="top"/>
          </w:tcPr>
          <w:p>
            <w:pPr>
              <w:pStyle w:val="TableText"/>
              <w:ind w:left="414"/>
              <w:spacing w:before="50" w:line="184" w:lineRule="auto"/>
              <w:rPr>
                <w:sz w:val="21"/>
                <w:szCs w:val="21"/>
              </w:rPr>
            </w:pPr>
            <w:r>
              <w:rPr>
                <w:sz w:val="21"/>
                <w:szCs w:val="21"/>
                <w:spacing w:val="-4"/>
              </w:rPr>
              <w:t>78</w:t>
            </w:r>
          </w:p>
        </w:tc>
        <w:tc>
          <w:tcPr>
            <w:tcW w:w="1298" w:type="dxa"/>
            <w:vAlign w:val="top"/>
            <w:vMerge w:val="continue"/>
            <w:tcBorders>
              <w:top w:val="nil"/>
              <w:bottom w:val="nil"/>
            </w:tcBorders>
          </w:tcPr>
          <w:p>
            <w:pPr>
              <w:rPr>
                <w:rFonts w:ascii="Arial"/>
                <w:sz w:val="21"/>
              </w:rPr>
            </w:pPr>
            <w:r/>
          </w:p>
        </w:tc>
        <w:tc>
          <w:tcPr>
            <w:tcW w:w="569" w:type="dxa"/>
            <w:vAlign w:val="top"/>
          </w:tcPr>
          <w:p>
            <w:pPr>
              <w:pStyle w:val="TableText"/>
              <w:ind w:left="18"/>
              <w:spacing w:before="50" w:line="184" w:lineRule="auto"/>
              <w:rPr>
                <w:sz w:val="21"/>
                <w:szCs w:val="21"/>
              </w:rPr>
            </w:pPr>
            <w:r>
              <w:rPr>
                <w:sz w:val="21"/>
                <w:szCs w:val="21"/>
                <w:spacing w:val="-4"/>
              </w:rPr>
              <w:t>17.72</w:t>
            </w:r>
          </w:p>
        </w:tc>
        <w:tc>
          <w:tcPr>
            <w:tcW w:w="569" w:type="dxa"/>
            <w:vAlign w:val="top"/>
          </w:tcPr>
          <w:p>
            <w:pPr>
              <w:pStyle w:val="TableText"/>
              <w:ind w:left="68"/>
              <w:spacing w:before="50" w:line="184" w:lineRule="auto"/>
              <w:rPr>
                <w:sz w:val="21"/>
                <w:szCs w:val="21"/>
              </w:rPr>
            </w:pPr>
            <w:r>
              <w:rPr>
                <w:sz w:val="21"/>
                <w:szCs w:val="21"/>
                <w:spacing w:val="-2"/>
              </w:rPr>
              <w:t>-0.2</w:t>
            </w:r>
          </w:p>
        </w:tc>
        <w:tc>
          <w:tcPr>
            <w:tcW w:w="320" w:type="dxa"/>
            <w:vAlign w:val="top"/>
          </w:tcPr>
          <w:p>
            <w:pPr>
              <w:pStyle w:val="TableText"/>
              <w:spacing w:before="50" w:line="184" w:lineRule="auto"/>
              <w:jc w:val="right"/>
              <w:rPr>
                <w:sz w:val="21"/>
                <w:szCs w:val="21"/>
              </w:rPr>
            </w:pPr>
            <w:r>
              <w:rPr>
                <w:sz w:val="21"/>
                <w:szCs w:val="21"/>
                <w:spacing w:val="-9"/>
              </w:rPr>
              <w:t>8.7</w:t>
            </w:r>
          </w:p>
        </w:tc>
        <w:tc>
          <w:tcPr>
            <w:tcW w:w="470" w:type="dxa"/>
            <w:vAlign w:val="top"/>
          </w:tcPr>
          <w:p>
            <w:pPr>
              <w:pStyle w:val="TableText"/>
              <w:ind w:left="39"/>
              <w:spacing w:before="35" w:line="197" w:lineRule="auto"/>
              <w:rPr>
                <w:sz w:val="21"/>
                <w:szCs w:val="21"/>
              </w:rPr>
            </w:pPr>
            <w:r>
              <w:rPr>
                <w:sz w:val="21"/>
                <w:szCs w:val="21"/>
                <w:spacing w:val="-2"/>
              </w:rPr>
              <w:t>8h/d</w:t>
            </w:r>
          </w:p>
        </w:tc>
        <w:tc>
          <w:tcPr>
            <w:tcW w:w="604" w:type="dxa"/>
            <w:vAlign w:val="top"/>
          </w:tcPr>
          <w:p>
            <w:pPr>
              <w:pStyle w:val="TableText"/>
              <w:ind w:left="189"/>
              <w:spacing w:before="50" w:line="184" w:lineRule="auto"/>
              <w:rPr>
                <w:sz w:val="21"/>
                <w:szCs w:val="21"/>
              </w:rPr>
            </w:pPr>
            <w:r>
              <w:rPr>
                <w:sz w:val="21"/>
                <w:szCs w:val="21"/>
                <w:spacing w:val="-6"/>
              </w:rPr>
              <w:t>10</w:t>
            </w:r>
          </w:p>
        </w:tc>
      </w:tr>
      <w:tr>
        <w:trPr>
          <w:trHeight w:val="280" w:hRule="atLeast"/>
        </w:trPr>
        <w:tc>
          <w:tcPr>
            <w:tcW w:w="424" w:type="dxa"/>
            <w:vAlign w:val="top"/>
            <w:vMerge w:val="continue"/>
            <w:tcBorders>
              <w:top w:val="nil"/>
            </w:tcBorders>
          </w:tcPr>
          <w:p>
            <w:pPr>
              <w:rPr>
                <w:rFonts w:ascii="Arial"/>
                <w:sz w:val="21"/>
              </w:rPr>
            </w:pPr>
            <w:r/>
          </w:p>
        </w:tc>
        <w:tc>
          <w:tcPr>
            <w:tcW w:w="1169" w:type="dxa"/>
            <w:vAlign w:val="top"/>
          </w:tcPr>
          <w:p>
            <w:pPr>
              <w:pStyle w:val="TableText"/>
              <w:ind w:left="260"/>
              <w:spacing w:before="39" w:line="203" w:lineRule="auto"/>
              <w:rPr>
                <w:sz w:val="21"/>
                <w:szCs w:val="21"/>
              </w:rPr>
            </w:pPr>
            <w:r>
              <w:rPr>
                <w:sz w:val="21"/>
                <w:szCs w:val="21"/>
                <w:color w:val="404040"/>
                <w:spacing w:val="-3"/>
              </w:rPr>
              <w:t>分拣机</w:t>
            </w:r>
          </w:p>
        </w:tc>
        <w:tc>
          <w:tcPr>
            <w:tcW w:w="789" w:type="dxa"/>
            <w:vAlign w:val="top"/>
          </w:tcPr>
          <w:p>
            <w:pPr>
              <w:pStyle w:val="TableText"/>
              <w:ind w:left="281"/>
              <w:spacing w:before="60" w:line="184" w:lineRule="auto"/>
              <w:rPr>
                <w:sz w:val="21"/>
                <w:szCs w:val="21"/>
              </w:rPr>
            </w:pPr>
            <w:r>
              <w:rPr>
                <w:sz w:val="21"/>
                <w:szCs w:val="21"/>
                <w:spacing w:val="-3"/>
              </w:rPr>
              <w:t>65</w:t>
            </w:r>
          </w:p>
        </w:tc>
        <w:tc>
          <w:tcPr>
            <w:tcW w:w="649" w:type="dxa"/>
            <w:vAlign w:val="top"/>
          </w:tcPr>
          <w:p>
            <w:pPr>
              <w:pStyle w:val="TableText"/>
              <w:ind w:right="1"/>
              <w:spacing w:before="39" w:line="203" w:lineRule="auto"/>
              <w:jc w:val="right"/>
              <w:rPr>
                <w:sz w:val="21"/>
                <w:szCs w:val="21"/>
              </w:rPr>
            </w:pPr>
            <w:r>
              <w:rPr>
                <w:sz w:val="21"/>
                <w:szCs w:val="21"/>
                <w:color w:val="707070"/>
                <w:spacing w:val="-2"/>
              </w:rPr>
              <w:t>类比法</w:t>
            </w:r>
          </w:p>
        </w:tc>
        <w:tc>
          <w:tcPr>
            <w:tcW w:w="569" w:type="dxa"/>
            <w:vAlign w:val="top"/>
          </w:tcPr>
          <w:p>
            <w:pPr>
              <w:pStyle w:val="TableText"/>
              <w:ind w:left="224"/>
              <w:spacing w:before="60" w:line="184" w:lineRule="auto"/>
              <w:rPr>
                <w:sz w:val="21"/>
                <w:szCs w:val="21"/>
              </w:rPr>
            </w:pPr>
            <w:r>
              <w:rPr>
                <w:sz w:val="21"/>
                <w:szCs w:val="21"/>
              </w:rPr>
              <w:t>2</w:t>
            </w:r>
          </w:p>
        </w:tc>
        <w:tc>
          <w:tcPr>
            <w:tcW w:w="1049" w:type="dxa"/>
            <w:vAlign w:val="top"/>
          </w:tcPr>
          <w:p>
            <w:pPr>
              <w:pStyle w:val="TableText"/>
              <w:ind w:left="414"/>
              <w:spacing w:before="60" w:line="184" w:lineRule="auto"/>
              <w:rPr>
                <w:sz w:val="21"/>
                <w:szCs w:val="21"/>
              </w:rPr>
            </w:pPr>
            <w:r>
              <w:rPr>
                <w:sz w:val="21"/>
                <w:szCs w:val="21"/>
                <w:spacing w:val="-3"/>
              </w:rPr>
              <w:t>68</w:t>
            </w:r>
          </w:p>
        </w:tc>
        <w:tc>
          <w:tcPr>
            <w:tcW w:w="1298" w:type="dxa"/>
            <w:vAlign w:val="top"/>
            <w:vMerge w:val="continue"/>
            <w:tcBorders>
              <w:top w:val="nil"/>
              <w:bottom w:val="nil"/>
            </w:tcBorders>
          </w:tcPr>
          <w:p>
            <w:pPr>
              <w:rPr>
                <w:rFonts w:ascii="Arial"/>
                <w:sz w:val="21"/>
              </w:rPr>
            </w:pPr>
            <w:r/>
          </w:p>
        </w:tc>
        <w:tc>
          <w:tcPr>
            <w:tcW w:w="569" w:type="dxa"/>
            <w:vAlign w:val="top"/>
          </w:tcPr>
          <w:p>
            <w:pPr>
              <w:pStyle w:val="TableText"/>
              <w:ind w:left="18"/>
              <w:spacing w:before="60" w:line="184" w:lineRule="auto"/>
              <w:rPr>
                <w:sz w:val="21"/>
                <w:szCs w:val="21"/>
              </w:rPr>
            </w:pPr>
            <w:r>
              <w:rPr>
                <w:sz w:val="21"/>
                <w:szCs w:val="21"/>
                <w:spacing w:val="-2"/>
              </w:rPr>
              <w:t>26.14</w:t>
            </w:r>
          </w:p>
        </w:tc>
        <w:tc>
          <w:tcPr>
            <w:tcW w:w="569" w:type="dxa"/>
            <w:vAlign w:val="top"/>
          </w:tcPr>
          <w:p>
            <w:pPr>
              <w:pStyle w:val="TableText"/>
              <w:ind w:left="68"/>
              <w:spacing w:before="60" w:line="184" w:lineRule="auto"/>
              <w:rPr>
                <w:sz w:val="21"/>
                <w:szCs w:val="21"/>
              </w:rPr>
            </w:pPr>
            <w:r>
              <w:rPr>
                <w:sz w:val="21"/>
                <w:szCs w:val="21"/>
                <w:spacing w:val="-2"/>
              </w:rPr>
              <w:t>8.81</w:t>
            </w:r>
          </w:p>
        </w:tc>
        <w:tc>
          <w:tcPr>
            <w:tcW w:w="320" w:type="dxa"/>
            <w:vAlign w:val="top"/>
          </w:tcPr>
          <w:p>
            <w:pPr>
              <w:pStyle w:val="TableText"/>
              <w:spacing w:before="60" w:line="184" w:lineRule="auto"/>
              <w:jc w:val="right"/>
              <w:rPr>
                <w:sz w:val="21"/>
                <w:szCs w:val="21"/>
              </w:rPr>
            </w:pPr>
            <w:r>
              <w:rPr>
                <w:sz w:val="21"/>
                <w:szCs w:val="21"/>
                <w:spacing w:val="-9"/>
              </w:rPr>
              <w:t>8.7</w:t>
            </w:r>
          </w:p>
        </w:tc>
        <w:tc>
          <w:tcPr>
            <w:tcW w:w="470" w:type="dxa"/>
            <w:vAlign w:val="top"/>
          </w:tcPr>
          <w:p>
            <w:pPr>
              <w:pStyle w:val="TableText"/>
              <w:ind w:left="39"/>
              <w:spacing w:before="45" w:line="197" w:lineRule="auto"/>
              <w:rPr>
                <w:sz w:val="21"/>
                <w:szCs w:val="21"/>
              </w:rPr>
            </w:pPr>
            <w:r>
              <w:rPr>
                <w:sz w:val="21"/>
                <w:szCs w:val="21"/>
                <w:spacing w:val="-2"/>
              </w:rPr>
              <w:t>8h/d</w:t>
            </w:r>
          </w:p>
        </w:tc>
        <w:tc>
          <w:tcPr>
            <w:tcW w:w="604" w:type="dxa"/>
            <w:vAlign w:val="top"/>
          </w:tcPr>
          <w:p>
            <w:pPr>
              <w:pStyle w:val="TableText"/>
              <w:ind w:left="189"/>
              <w:spacing w:before="60" w:line="184" w:lineRule="auto"/>
              <w:rPr>
                <w:sz w:val="21"/>
                <w:szCs w:val="21"/>
              </w:rPr>
            </w:pPr>
            <w:r>
              <w:rPr>
                <w:sz w:val="21"/>
                <w:szCs w:val="21"/>
                <w:spacing w:val="-6"/>
              </w:rPr>
              <w:t>10</w:t>
            </w:r>
          </w:p>
        </w:tc>
      </w:tr>
      <w:tr>
        <w:trPr>
          <w:trHeight w:val="280" w:hRule="atLeast"/>
        </w:trPr>
        <w:tc>
          <w:tcPr>
            <w:tcW w:w="424" w:type="dxa"/>
            <w:vAlign w:val="top"/>
            <w:vMerge w:val="restart"/>
            <w:tcBorders>
              <w:bottom w:val="nil"/>
            </w:tcBorders>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pStyle w:val="TableText"/>
              <w:spacing w:before="68" w:line="221" w:lineRule="auto"/>
              <w:jc w:val="right"/>
              <w:rPr>
                <w:sz w:val="21"/>
                <w:szCs w:val="21"/>
              </w:rPr>
            </w:pPr>
            <w:r>
              <w:rPr>
                <w:sz w:val="21"/>
                <w:szCs w:val="21"/>
                <w:spacing w:val="-17"/>
              </w:rPr>
              <w:t>肉</w:t>
            </w:r>
            <w:r>
              <w:rPr>
                <w:sz w:val="21"/>
                <w:szCs w:val="21"/>
                <w:spacing w:val="-13"/>
              </w:rPr>
              <w:t>牛</w:t>
            </w:r>
          </w:p>
          <w:p>
            <w:pPr>
              <w:pStyle w:val="TableText"/>
              <w:spacing w:before="17" w:line="219" w:lineRule="auto"/>
              <w:jc w:val="right"/>
              <w:rPr>
                <w:sz w:val="21"/>
                <w:szCs w:val="21"/>
              </w:rPr>
            </w:pPr>
            <w:r>
              <w:rPr>
                <w:sz w:val="21"/>
                <w:szCs w:val="21"/>
                <w:spacing w:val="-11"/>
              </w:rPr>
              <w:t>屠宰</w:t>
            </w:r>
          </w:p>
          <w:p>
            <w:pPr>
              <w:pStyle w:val="TableText"/>
              <w:spacing w:before="10" w:line="219" w:lineRule="auto"/>
              <w:jc w:val="right"/>
              <w:rPr>
                <w:sz w:val="21"/>
                <w:szCs w:val="21"/>
              </w:rPr>
            </w:pPr>
            <w:r>
              <w:rPr>
                <w:sz w:val="21"/>
                <w:szCs w:val="21"/>
                <w:spacing w:val="-11"/>
              </w:rPr>
              <w:t>车间</w:t>
            </w:r>
          </w:p>
        </w:tc>
        <w:tc>
          <w:tcPr>
            <w:tcW w:w="1169" w:type="dxa"/>
            <w:vAlign w:val="top"/>
          </w:tcPr>
          <w:p>
            <w:pPr>
              <w:pStyle w:val="TableText"/>
              <w:ind w:left="50"/>
              <w:spacing w:before="39" w:line="203" w:lineRule="auto"/>
              <w:rPr>
                <w:sz w:val="21"/>
                <w:szCs w:val="21"/>
              </w:rPr>
            </w:pPr>
            <w:r>
              <w:rPr>
                <w:sz w:val="21"/>
                <w:szCs w:val="21"/>
                <w:spacing w:val="-2"/>
              </w:rPr>
              <w:t>坡式提升机</w:t>
            </w:r>
          </w:p>
        </w:tc>
        <w:tc>
          <w:tcPr>
            <w:tcW w:w="789" w:type="dxa"/>
            <w:vAlign w:val="top"/>
          </w:tcPr>
          <w:p>
            <w:pPr>
              <w:pStyle w:val="TableText"/>
              <w:ind w:left="281"/>
              <w:spacing w:before="60" w:line="184" w:lineRule="auto"/>
              <w:rPr>
                <w:sz w:val="21"/>
                <w:szCs w:val="21"/>
              </w:rPr>
            </w:pPr>
            <w:r>
              <w:rPr>
                <w:sz w:val="21"/>
                <w:szCs w:val="21"/>
                <w:spacing w:val="-3"/>
              </w:rPr>
              <w:t>60</w:t>
            </w:r>
          </w:p>
        </w:tc>
        <w:tc>
          <w:tcPr>
            <w:tcW w:w="649" w:type="dxa"/>
            <w:vAlign w:val="top"/>
          </w:tcPr>
          <w:p>
            <w:pPr>
              <w:pStyle w:val="TableText"/>
              <w:ind w:right="1"/>
              <w:spacing w:before="39" w:line="203" w:lineRule="auto"/>
              <w:jc w:val="right"/>
              <w:rPr>
                <w:sz w:val="21"/>
                <w:szCs w:val="21"/>
              </w:rPr>
            </w:pPr>
            <w:r>
              <w:rPr>
                <w:sz w:val="21"/>
                <w:szCs w:val="21"/>
                <w:color w:val="909080"/>
                <w:spacing w:val="-2"/>
              </w:rPr>
              <w:t>类比法</w:t>
            </w:r>
          </w:p>
        </w:tc>
        <w:tc>
          <w:tcPr>
            <w:tcW w:w="569" w:type="dxa"/>
            <w:vAlign w:val="top"/>
            <w:textDirection w:val="tbRlV"/>
          </w:tcPr>
          <w:p>
            <w:pPr>
              <w:pStyle w:val="TableText"/>
              <w:spacing w:before="253" w:line="126" w:lineRule="exact"/>
              <w:rPr>
                <w:sz w:val="21"/>
                <w:szCs w:val="21"/>
              </w:rPr>
            </w:pPr>
            <w:r>
              <w:rPr>
                <w:sz w:val="21"/>
                <w:szCs w:val="21"/>
                <w:color w:val="605040"/>
                <w:spacing w:val="44"/>
                <w:w w:val="125"/>
                <w:position w:val="-3"/>
              </w:rPr>
              <w:t>1</w:t>
            </w:r>
          </w:p>
        </w:tc>
        <w:tc>
          <w:tcPr>
            <w:tcW w:w="1049" w:type="dxa"/>
            <w:vAlign w:val="top"/>
          </w:tcPr>
          <w:p>
            <w:pPr>
              <w:pStyle w:val="TableText"/>
              <w:ind w:left="414"/>
              <w:spacing w:before="60" w:line="184" w:lineRule="auto"/>
              <w:rPr>
                <w:sz w:val="21"/>
                <w:szCs w:val="21"/>
              </w:rPr>
            </w:pPr>
            <w:r>
              <w:rPr>
                <w:sz w:val="21"/>
                <w:szCs w:val="21"/>
                <w:spacing w:val="-3"/>
              </w:rPr>
              <w:t>60</w:t>
            </w:r>
          </w:p>
        </w:tc>
        <w:tc>
          <w:tcPr>
            <w:tcW w:w="1298" w:type="dxa"/>
            <w:vAlign w:val="top"/>
            <w:vMerge w:val="continue"/>
            <w:tcBorders>
              <w:top w:val="nil"/>
              <w:bottom w:val="nil"/>
            </w:tcBorders>
          </w:tcPr>
          <w:p>
            <w:pPr>
              <w:rPr>
                <w:rFonts w:ascii="Arial"/>
                <w:sz w:val="21"/>
              </w:rPr>
            </w:pPr>
            <w:r/>
          </w:p>
        </w:tc>
        <w:tc>
          <w:tcPr>
            <w:tcW w:w="569" w:type="dxa"/>
            <w:vAlign w:val="top"/>
          </w:tcPr>
          <w:p>
            <w:pPr>
              <w:pStyle w:val="TableText"/>
              <w:ind w:left="18"/>
              <w:spacing w:before="60" w:line="184" w:lineRule="auto"/>
              <w:rPr>
                <w:sz w:val="21"/>
                <w:szCs w:val="21"/>
              </w:rPr>
            </w:pPr>
            <w:r>
              <w:rPr>
                <w:sz w:val="21"/>
                <w:szCs w:val="21"/>
                <w:spacing w:val="-2"/>
              </w:rPr>
              <w:t>-0.48</w:t>
            </w:r>
          </w:p>
        </w:tc>
        <w:tc>
          <w:tcPr>
            <w:tcW w:w="569" w:type="dxa"/>
            <w:vAlign w:val="top"/>
          </w:tcPr>
          <w:p>
            <w:pPr>
              <w:pStyle w:val="TableText"/>
              <w:spacing w:before="60" w:line="184" w:lineRule="auto"/>
              <w:jc w:val="right"/>
              <w:rPr>
                <w:sz w:val="21"/>
                <w:szCs w:val="21"/>
              </w:rPr>
            </w:pPr>
            <w:r>
              <w:rPr>
                <w:sz w:val="21"/>
                <w:szCs w:val="21"/>
                <w:spacing w:val="-17"/>
              </w:rPr>
              <w:t>-12.1</w:t>
            </w:r>
            <w:r>
              <w:rPr>
                <w:sz w:val="21"/>
                <w:szCs w:val="21"/>
                <w:spacing w:val="-11"/>
              </w:rPr>
              <w:t>6</w:t>
            </w:r>
          </w:p>
        </w:tc>
        <w:tc>
          <w:tcPr>
            <w:tcW w:w="320" w:type="dxa"/>
            <w:vAlign w:val="top"/>
          </w:tcPr>
          <w:p>
            <w:pPr>
              <w:pStyle w:val="TableText"/>
              <w:spacing w:before="56" w:line="219" w:lineRule="auto"/>
              <w:jc w:val="right"/>
              <w:rPr/>
            </w:pPr>
            <w:r>
              <w:rPr>
                <w:spacing w:val="-22"/>
              </w:rPr>
              <w:t>1.2</w:t>
            </w:r>
            <w:r>
              <w:rPr>
                <w:spacing w:val="-6"/>
              </w:rPr>
              <w:t>k</w:t>
            </w:r>
          </w:p>
        </w:tc>
        <w:tc>
          <w:tcPr>
            <w:tcW w:w="470" w:type="dxa"/>
            <w:vAlign w:val="top"/>
          </w:tcPr>
          <w:p>
            <w:pPr>
              <w:pStyle w:val="TableText"/>
              <w:ind w:left="19"/>
              <w:spacing w:before="45" w:line="197" w:lineRule="auto"/>
              <w:rPr>
                <w:sz w:val="21"/>
                <w:szCs w:val="21"/>
              </w:rPr>
            </w:pPr>
            <w:r>
              <w:rPr>
                <w:sz w:val="21"/>
                <w:szCs w:val="21"/>
                <w:spacing w:val="-2"/>
              </w:rPr>
              <w:t>8h/d</w:t>
            </w:r>
          </w:p>
        </w:tc>
        <w:tc>
          <w:tcPr>
            <w:tcW w:w="604" w:type="dxa"/>
            <w:vAlign w:val="top"/>
          </w:tcPr>
          <w:p>
            <w:pPr>
              <w:pStyle w:val="TableText"/>
              <w:ind w:left="189"/>
              <w:spacing w:before="60" w:line="184" w:lineRule="auto"/>
              <w:rPr>
                <w:sz w:val="21"/>
                <w:szCs w:val="21"/>
              </w:rPr>
            </w:pPr>
            <w:r>
              <w:rPr>
                <w:sz w:val="21"/>
                <w:szCs w:val="21"/>
                <w:spacing w:val="-6"/>
              </w:rPr>
              <w:t>10</w:t>
            </w:r>
          </w:p>
        </w:tc>
      </w:tr>
      <w:tr>
        <w:trPr>
          <w:trHeight w:val="270" w:hRule="atLeast"/>
        </w:trPr>
        <w:tc>
          <w:tcPr>
            <w:tcW w:w="424" w:type="dxa"/>
            <w:vAlign w:val="top"/>
            <w:vMerge w:val="continue"/>
            <w:tcBorders>
              <w:top w:val="nil"/>
              <w:bottom w:val="nil"/>
            </w:tcBorders>
          </w:tcPr>
          <w:p>
            <w:pPr>
              <w:rPr>
                <w:rFonts w:ascii="Arial"/>
                <w:sz w:val="21"/>
              </w:rPr>
            </w:pPr>
            <w:r/>
          </w:p>
        </w:tc>
        <w:tc>
          <w:tcPr>
            <w:tcW w:w="1169" w:type="dxa"/>
            <w:vAlign w:val="top"/>
          </w:tcPr>
          <w:p>
            <w:pPr>
              <w:pStyle w:val="TableText"/>
              <w:ind w:left="50"/>
              <w:spacing w:before="29" w:line="203" w:lineRule="auto"/>
              <w:rPr>
                <w:sz w:val="21"/>
                <w:szCs w:val="21"/>
              </w:rPr>
            </w:pPr>
            <w:r>
              <w:rPr>
                <w:sz w:val="21"/>
                <w:szCs w:val="21"/>
                <w:spacing w:val="-2"/>
              </w:rPr>
              <w:t>放血输送机</w:t>
            </w:r>
          </w:p>
        </w:tc>
        <w:tc>
          <w:tcPr>
            <w:tcW w:w="789" w:type="dxa"/>
            <w:vAlign w:val="top"/>
          </w:tcPr>
          <w:p>
            <w:pPr>
              <w:pStyle w:val="TableText"/>
              <w:ind w:left="281"/>
              <w:spacing w:before="50" w:line="184" w:lineRule="auto"/>
              <w:rPr>
                <w:sz w:val="21"/>
                <w:szCs w:val="21"/>
              </w:rPr>
            </w:pPr>
            <w:r>
              <w:rPr>
                <w:sz w:val="21"/>
                <w:szCs w:val="21"/>
                <w:spacing w:val="-4"/>
              </w:rPr>
              <w:t>75</w:t>
            </w:r>
          </w:p>
        </w:tc>
        <w:tc>
          <w:tcPr>
            <w:tcW w:w="649" w:type="dxa"/>
            <w:vAlign w:val="top"/>
          </w:tcPr>
          <w:p>
            <w:pPr>
              <w:pStyle w:val="TableText"/>
              <w:ind w:right="1"/>
              <w:spacing w:before="29" w:line="203" w:lineRule="auto"/>
              <w:jc w:val="right"/>
              <w:rPr>
                <w:sz w:val="21"/>
                <w:szCs w:val="21"/>
              </w:rPr>
            </w:pPr>
            <w:r>
              <w:rPr>
                <w:sz w:val="21"/>
                <w:szCs w:val="21"/>
                <w:color w:val="909080"/>
                <w:spacing w:val="-2"/>
              </w:rPr>
              <w:t>类比法</w:t>
            </w:r>
          </w:p>
        </w:tc>
        <w:tc>
          <w:tcPr>
            <w:tcW w:w="569" w:type="dxa"/>
            <w:vAlign w:val="top"/>
            <w:textDirection w:val="tbRlV"/>
          </w:tcPr>
          <w:p>
            <w:pPr>
              <w:pStyle w:val="TableText"/>
              <w:spacing w:before="253" w:line="126" w:lineRule="exact"/>
              <w:rPr>
                <w:sz w:val="21"/>
                <w:szCs w:val="21"/>
              </w:rPr>
            </w:pPr>
            <w:r>
              <w:rPr>
                <w:sz w:val="21"/>
                <w:szCs w:val="21"/>
                <w:color w:val="606070"/>
                <w:spacing w:val="34"/>
                <w:w w:val="125"/>
                <w:position w:val="-3"/>
              </w:rPr>
              <w:t>1</w:t>
            </w:r>
          </w:p>
        </w:tc>
        <w:tc>
          <w:tcPr>
            <w:tcW w:w="1049" w:type="dxa"/>
            <w:vAlign w:val="top"/>
          </w:tcPr>
          <w:p>
            <w:pPr>
              <w:pStyle w:val="TableText"/>
              <w:ind w:left="414"/>
              <w:spacing w:before="50" w:line="184" w:lineRule="auto"/>
              <w:rPr>
                <w:sz w:val="21"/>
                <w:szCs w:val="21"/>
              </w:rPr>
            </w:pPr>
            <w:r>
              <w:rPr>
                <w:sz w:val="21"/>
                <w:szCs w:val="21"/>
                <w:spacing w:val="-4"/>
              </w:rPr>
              <w:t>75</w:t>
            </w:r>
          </w:p>
        </w:tc>
        <w:tc>
          <w:tcPr>
            <w:tcW w:w="1298" w:type="dxa"/>
            <w:vAlign w:val="top"/>
            <w:vMerge w:val="continue"/>
            <w:tcBorders>
              <w:top w:val="nil"/>
              <w:bottom w:val="nil"/>
            </w:tcBorders>
          </w:tcPr>
          <w:p>
            <w:pPr>
              <w:rPr>
                <w:rFonts w:ascii="Arial"/>
                <w:sz w:val="21"/>
              </w:rPr>
            </w:pPr>
            <w:r/>
          </w:p>
        </w:tc>
        <w:tc>
          <w:tcPr>
            <w:tcW w:w="569" w:type="dxa"/>
            <w:vAlign w:val="top"/>
          </w:tcPr>
          <w:p>
            <w:pPr>
              <w:pStyle w:val="TableText"/>
              <w:ind w:left="18"/>
              <w:spacing w:before="50" w:line="184" w:lineRule="auto"/>
              <w:rPr>
                <w:sz w:val="21"/>
                <w:szCs w:val="21"/>
              </w:rPr>
            </w:pPr>
            <w:r>
              <w:rPr>
                <w:sz w:val="21"/>
                <w:szCs w:val="21"/>
                <w:spacing w:val="-2"/>
              </w:rPr>
              <w:t>-5.49</w:t>
            </w:r>
          </w:p>
        </w:tc>
        <w:tc>
          <w:tcPr>
            <w:tcW w:w="569" w:type="dxa"/>
            <w:vAlign w:val="top"/>
          </w:tcPr>
          <w:p>
            <w:pPr>
              <w:pStyle w:val="TableText"/>
              <w:ind w:left="19"/>
              <w:spacing w:before="50" w:line="184" w:lineRule="auto"/>
              <w:rPr>
                <w:sz w:val="21"/>
                <w:szCs w:val="21"/>
              </w:rPr>
            </w:pPr>
            <w:r>
              <w:rPr>
                <w:sz w:val="21"/>
                <w:szCs w:val="21"/>
                <w:spacing w:val="-2"/>
              </w:rPr>
              <w:t>-19.1</w:t>
            </w:r>
          </w:p>
        </w:tc>
        <w:tc>
          <w:tcPr>
            <w:tcW w:w="320" w:type="dxa"/>
            <w:vAlign w:val="top"/>
          </w:tcPr>
          <w:p>
            <w:pPr>
              <w:pStyle w:val="TableText"/>
              <w:spacing w:before="50" w:line="184" w:lineRule="auto"/>
              <w:jc w:val="right"/>
              <w:rPr>
                <w:sz w:val="21"/>
                <w:szCs w:val="21"/>
              </w:rPr>
            </w:pPr>
            <w:r>
              <w:rPr>
                <w:sz w:val="21"/>
                <w:szCs w:val="21"/>
                <w:spacing w:val="-9"/>
              </w:rPr>
              <w:t>1.2</w:t>
            </w:r>
          </w:p>
        </w:tc>
        <w:tc>
          <w:tcPr>
            <w:tcW w:w="470" w:type="dxa"/>
            <w:vAlign w:val="top"/>
          </w:tcPr>
          <w:p>
            <w:pPr>
              <w:pStyle w:val="TableText"/>
              <w:ind w:left="39"/>
              <w:spacing w:before="35" w:line="197" w:lineRule="auto"/>
              <w:rPr>
                <w:sz w:val="21"/>
                <w:szCs w:val="21"/>
              </w:rPr>
            </w:pPr>
            <w:r>
              <w:rPr>
                <w:sz w:val="21"/>
                <w:szCs w:val="21"/>
                <w:spacing w:val="-2"/>
              </w:rPr>
              <w:t>8h/d</w:t>
            </w:r>
          </w:p>
        </w:tc>
        <w:tc>
          <w:tcPr>
            <w:tcW w:w="604" w:type="dxa"/>
            <w:vAlign w:val="top"/>
          </w:tcPr>
          <w:p>
            <w:pPr>
              <w:pStyle w:val="TableText"/>
              <w:ind w:left="189"/>
              <w:spacing w:before="50" w:line="184" w:lineRule="auto"/>
              <w:rPr>
                <w:sz w:val="21"/>
                <w:szCs w:val="21"/>
              </w:rPr>
            </w:pPr>
            <w:r>
              <w:rPr>
                <w:sz w:val="21"/>
                <w:szCs w:val="21"/>
                <w:spacing w:val="-6"/>
              </w:rPr>
              <w:t>10</w:t>
            </w:r>
          </w:p>
        </w:tc>
      </w:tr>
      <w:tr>
        <w:trPr>
          <w:trHeight w:val="539" w:hRule="atLeast"/>
        </w:trPr>
        <w:tc>
          <w:tcPr>
            <w:tcW w:w="424" w:type="dxa"/>
            <w:vAlign w:val="top"/>
            <w:vMerge w:val="continue"/>
            <w:tcBorders>
              <w:top w:val="nil"/>
              <w:bottom w:val="nil"/>
            </w:tcBorders>
          </w:tcPr>
          <w:p>
            <w:pPr>
              <w:rPr>
                <w:rFonts w:ascii="Arial"/>
                <w:sz w:val="21"/>
              </w:rPr>
            </w:pPr>
            <w:r/>
          </w:p>
        </w:tc>
        <w:tc>
          <w:tcPr>
            <w:tcW w:w="1169" w:type="dxa"/>
            <w:vAlign w:val="top"/>
          </w:tcPr>
          <w:p>
            <w:pPr>
              <w:pStyle w:val="TableText"/>
              <w:ind w:left="151"/>
              <w:spacing w:before="20" w:line="221" w:lineRule="auto"/>
              <w:rPr>
                <w:sz w:val="21"/>
                <w:szCs w:val="21"/>
              </w:rPr>
            </w:pPr>
            <w:r>
              <w:rPr>
                <w:sz w:val="21"/>
                <w:szCs w:val="21"/>
                <w:spacing w:val="2"/>
              </w:rPr>
              <w:t>空滑轮挂</w:t>
            </w:r>
          </w:p>
          <w:p>
            <w:pPr>
              <w:pStyle w:val="TableText"/>
              <w:ind w:left="151"/>
              <w:spacing w:before="16" w:line="211" w:lineRule="auto"/>
              <w:rPr>
                <w:sz w:val="21"/>
                <w:szCs w:val="21"/>
              </w:rPr>
            </w:pPr>
            <w:r>
              <w:rPr>
                <w:sz w:val="21"/>
                <w:szCs w:val="21"/>
                <w:spacing w:val="-2"/>
              </w:rPr>
              <w:t>车提升机</w:t>
            </w:r>
          </w:p>
        </w:tc>
        <w:tc>
          <w:tcPr>
            <w:tcW w:w="789" w:type="dxa"/>
            <w:vAlign w:val="top"/>
          </w:tcPr>
          <w:p>
            <w:pPr>
              <w:pStyle w:val="TableText"/>
              <w:ind w:left="281"/>
              <w:spacing w:before="190"/>
              <w:rPr>
                <w:sz w:val="21"/>
                <w:szCs w:val="21"/>
              </w:rPr>
            </w:pPr>
            <w:r>
              <w:rPr>
                <w:sz w:val="21"/>
                <w:szCs w:val="21"/>
                <w:spacing w:val="-4"/>
              </w:rPr>
              <w:t>75</w:t>
            </w:r>
          </w:p>
        </w:tc>
        <w:tc>
          <w:tcPr>
            <w:tcW w:w="649" w:type="dxa"/>
            <w:vAlign w:val="top"/>
          </w:tcPr>
          <w:p>
            <w:pPr>
              <w:pStyle w:val="TableText"/>
              <w:ind w:right="1"/>
              <w:spacing w:before="169" w:line="219" w:lineRule="auto"/>
              <w:jc w:val="right"/>
              <w:rPr>
                <w:sz w:val="21"/>
                <w:szCs w:val="21"/>
              </w:rPr>
            </w:pPr>
            <w:r>
              <w:rPr>
                <w:sz w:val="21"/>
                <w:szCs w:val="21"/>
                <w:spacing w:val="-2"/>
              </w:rPr>
              <w:t>类比法</w:t>
            </w:r>
          </w:p>
        </w:tc>
        <w:tc>
          <w:tcPr>
            <w:tcW w:w="569" w:type="dxa"/>
            <w:vAlign w:val="top"/>
            <w:textDirection w:val="tbRlV"/>
          </w:tcPr>
          <w:p>
            <w:pPr>
              <w:pStyle w:val="TableText"/>
              <w:ind w:left="133"/>
              <w:spacing w:before="186" w:line="211" w:lineRule="auto"/>
              <w:rPr>
                <w:sz w:val="21"/>
                <w:szCs w:val="21"/>
              </w:rPr>
            </w:pPr>
            <w:r>
              <w:rPr>
                <w:sz w:val="21"/>
                <w:szCs w:val="21"/>
                <w:color w:val="606050"/>
              </w:rPr>
              <w:t>工</w:t>
            </w:r>
          </w:p>
        </w:tc>
        <w:tc>
          <w:tcPr>
            <w:tcW w:w="1049" w:type="dxa"/>
            <w:vAlign w:val="top"/>
          </w:tcPr>
          <w:p>
            <w:pPr>
              <w:pStyle w:val="TableText"/>
              <w:ind w:left="414"/>
              <w:spacing w:before="190"/>
              <w:rPr>
                <w:sz w:val="21"/>
                <w:szCs w:val="21"/>
              </w:rPr>
            </w:pPr>
            <w:r>
              <w:rPr>
                <w:sz w:val="21"/>
                <w:szCs w:val="21"/>
                <w:spacing w:val="-4"/>
              </w:rPr>
              <w:t>75</w:t>
            </w:r>
          </w:p>
        </w:tc>
        <w:tc>
          <w:tcPr>
            <w:tcW w:w="1298" w:type="dxa"/>
            <w:vAlign w:val="top"/>
            <w:vMerge w:val="continue"/>
            <w:tcBorders>
              <w:top w:val="nil"/>
              <w:bottom w:val="nil"/>
            </w:tcBorders>
          </w:tcPr>
          <w:p>
            <w:pPr>
              <w:rPr>
                <w:rFonts w:ascii="Arial"/>
                <w:sz w:val="21"/>
              </w:rPr>
            </w:pPr>
            <w:r/>
          </w:p>
        </w:tc>
        <w:tc>
          <w:tcPr>
            <w:tcW w:w="569" w:type="dxa"/>
            <w:vAlign w:val="top"/>
          </w:tcPr>
          <w:p>
            <w:pPr>
              <w:pStyle w:val="TableText"/>
              <w:ind w:left="18"/>
              <w:spacing w:before="190" w:line="239" w:lineRule="auto"/>
              <w:rPr>
                <w:sz w:val="21"/>
                <w:szCs w:val="21"/>
              </w:rPr>
            </w:pPr>
            <w:r>
              <w:rPr>
                <w:sz w:val="21"/>
                <w:szCs w:val="21"/>
                <w:spacing w:val="-2"/>
              </w:rPr>
              <w:t>-13.2</w:t>
            </w:r>
          </w:p>
        </w:tc>
        <w:tc>
          <w:tcPr>
            <w:tcW w:w="569" w:type="dxa"/>
            <w:vAlign w:val="top"/>
          </w:tcPr>
          <w:p>
            <w:pPr>
              <w:pStyle w:val="TableText"/>
              <w:spacing w:before="190" w:line="239" w:lineRule="auto"/>
              <w:jc w:val="right"/>
              <w:rPr>
                <w:sz w:val="21"/>
                <w:szCs w:val="21"/>
              </w:rPr>
            </w:pPr>
            <w:r>
              <w:rPr>
                <w:sz w:val="21"/>
                <w:szCs w:val="21"/>
                <w:spacing w:val="-17"/>
              </w:rPr>
              <w:t>-25.2</w:t>
            </w:r>
            <w:r>
              <w:rPr>
                <w:sz w:val="21"/>
                <w:szCs w:val="21"/>
                <w:spacing w:val="-11"/>
              </w:rPr>
              <w:t>6</w:t>
            </w:r>
          </w:p>
        </w:tc>
        <w:tc>
          <w:tcPr>
            <w:tcW w:w="320" w:type="dxa"/>
            <w:vAlign w:val="top"/>
          </w:tcPr>
          <w:p>
            <w:pPr>
              <w:pStyle w:val="TableText"/>
              <w:spacing w:before="190" w:line="239" w:lineRule="auto"/>
              <w:jc w:val="right"/>
              <w:rPr>
                <w:sz w:val="21"/>
                <w:szCs w:val="21"/>
              </w:rPr>
            </w:pPr>
            <w:r>
              <w:rPr>
                <w:sz w:val="21"/>
                <w:szCs w:val="21"/>
                <w:spacing w:val="-9"/>
              </w:rPr>
              <w:t>1.2</w:t>
            </w:r>
          </w:p>
        </w:tc>
        <w:tc>
          <w:tcPr>
            <w:tcW w:w="470" w:type="dxa"/>
            <w:vAlign w:val="top"/>
          </w:tcPr>
          <w:p>
            <w:pPr>
              <w:pStyle w:val="TableText"/>
              <w:ind w:left="39"/>
              <w:spacing w:before="175" w:line="224" w:lineRule="auto"/>
              <w:rPr>
                <w:sz w:val="21"/>
                <w:szCs w:val="21"/>
              </w:rPr>
            </w:pPr>
            <w:r>
              <w:rPr>
                <w:sz w:val="21"/>
                <w:szCs w:val="21"/>
                <w:spacing w:val="-2"/>
              </w:rPr>
              <w:t>8h/d</w:t>
            </w:r>
          </w:p>
        </w:tc>
        <w:tc>
          <w:tcPr>
            <w:tcW w:w="604" w:type="dxa"/>
            <w:vAlign w:val="top"/>
          </w:tcPr>
          <w:p>
            <w:pPr>
              <w:pStyle w:val="TableText"/>
              <w:ind w:left="189"/>
              <w:spacing w:before="190"/>
              <w:rPr>
                <w:sz w:val="21"/>
                <w:szCs w:val="21"/>
              </w:rPr>
            </w:pPr>
            <w:r>
              <w:rPr>
                <w:sz w:val="21"/>
                <w:szCs w:val="21"/>
                <w:spacing w:val="-6"/>
              </w:rPr>
              <w:t>10</w:t>
            </w:r>
          </w:p>
        </w:tc>
      </w:tr>
      <w:tr>
        <w:trPr>
          <w:trHeight w:val="539" w:hRule="atLeast"/>
        </w:trPr>
        <w:tc>
          <w:tcPr>
            <w:tcW w:w="424" w:type="dxa"/>
            <w:vAlign w:val="top"/>
            <w:vMerge w:val="continue"/>
            <w:tcBorders>
              <w:top w:val="nil"/>
              <w:bottom w:val="nil"/>
            </w:tcBorders>
          </w:tcPr>
          <w:p>
            <w:pPr>
              <w:rPr>
                <w:rFonts w:ascii="Arial"/>
                <w:sz w:val="21"/>
              </w:rPr>
            </w:pPr>
            <w:r/>
          </w:p>
        </w:tc>
        <w:tc>
          <w:tcPr>
            <w:tcW w:w="1169" w:type="dxa"/>
            <w:vAlign w:val="top"/>
          </w:tcPr>
          <w:p>
            <w:pPr>
              <w:pStyle w:val="TableText"/>
              <w:ind w:left="260"/>
              <w:spacing w:before="31" w:line="220" w:lineRule="auto"/>
              <w:rPr>
                <w:sz w:val="21"/>
                <w:szCs w:val="21"/>
              </w:rPr>
            </w:pPr>
            <w:r>
              <w:rPr>
                <w:sz w:val="21"/>
                <w:szCs w:val="21"/>
                <w:color w:val="304040"/>
                <w:spacing w:val="-3"/>
              </w:rPr>
              <w:t>液压转</w:t>
            </w:r>
          </w:p>
          <w:p>
            <w:pPr>
              <w:pStyle w:val="TableText"/>
              <w:ind w:left="260"/>
              <w:spacing w:before="9" w:line="209" w:lineRule="auto"/>
              <w:rPr>
                <w:sz w:val="21"/>
                <w:szCs w:val="21"/>
              </w:rPr>
            </w:pPr>
            <w:r>
              <w:rPr>
                <w:sz w:val="21"/>
                <w:szCs w:val="21"/>
                <w:spacing w:val="-3"/>
              </w:rPr>
              <w:t>挂装置</w:t>
            </w:r>
          </w:p>
        </w:tc>
        <w:tc>
          <w:tcPr>
            <w:tcW w:w="789" w:type="dxa"/>
            <w:vAlign w:val="top"/>
          </w:tcPr>
          <w:p>
            <w:pPr>
              <w:pStyle w:val="TableText"/>
              <w:ind w:left="281"/>
              <w:spacing w:before="191"/>
              <w:rPr>
                <w:sz w:val="21"/>
                <w:szCs w:val="21"/>
              </w:rPr>
            </w:pPr>
            <w:r>
              <w:rPr>
                <w:sz w:val="21"/>
                <w:szCs w:val="21"/>
                <w:spacing w:val="-4"/>
              </w:rPr>
              <w:t>75</w:t>
            </w:r>
          </w:p>
        </w:tc>
        <w:tc>
          <w:tcPr>
            <w:tcW w:w="649" w:type="dxa"/>
            <w:vAlign w:val="top"/>
          </w:tcPr>
          <w:p>
            <w:pPr>
              <w:pStyle w:val="TableText"/>
              <w:ind w:right="1"/>
              <w:spacing w:before="170" w:line="219" w:lineRule="auto"/>
              <w:jc w:val="right"/>
              <w:rPr>
                <w:sz w:val="21"/>
                <w:szCs w:val="21"/>
              </w:rPr>
            </w:pPr>
            <w:r>
              <w:rPr>
                <w:sz w:val="21"/>
                <w:szCs w:val="21"/>
                <w:spacing w:val="-2"/>
              </w:rPr>
              <w:t>类比法</w:t>
            </w:r>
          </w:p>
        </w:tc>
        <w:tc>
          <w:tcPr>
            <w:tcW w:w="569" w:type="dxa"/>
            <w:vAlign w:val="top"/>
            <w:textDirection w:val="tbRlV"/>
          </w:tcPr>
          <w:p>
            <w:pPr>
              <w:pStyle w:val="TableText"/>
              <w:ind w:left="125"/>
              <w:spacing w:before="253" w:line="126" w:lineRule="exact"/>
              <w:rPr>
                <w:sz w:val="21"/>
                <w:szCs w:val="21"/>
              </w:rPr>
            </w:pPr>
            <w:r>
              <w:rPr>
                <w:sz w:val="21"/>
                <w:szCs w:val="21"/>
                <w:color w:val="605050"/>
                <w:spacing w:val="50"/>
                <w:w w:val="125"/>
                <w:position w:val="-3"/>
              </w:rPr>
              <w:t>1</w:t>
            </w:r>
          </w:p>
        </w:tc>
        <w:tc>
          <w:tcPr>
            <w:tcW w:w="1049" w:type="dxa"/>
            <w:vAlign w:val="top"/>
          </w:tcPr>
          <w:p>
            <w:pPr>
              <w:pStyle w:val="TableText"/>
              <w:ind w:left="414"/>
              <w:spacing w:before="191"/>
              <w:rPr>
                <w:sz w:val="21"/>
                <w:szCs w:val="21"/>
              </w:rPr>
            </w:pPr>
            <w:r>
              <w:rPr>
                <w:sz w:val="21"/>
                <w:szCs w:val="21"/>
                <w:spacing w:val="-4"/>
              </w:rPr>
              <w:t>75</w:t>
            </w:r>
          </w:p>
        </w:tc>
        <w:tc>
          <w:tcPr>
            <w:tcW w:w="1298" w:type="dxa"/>
            <w:vAlign w:val="top"/>
            <w:vMerge w:val="continue"/>
            <w:tcBorders>
              <w:top w:val="nil"/>
              <w:bottom w:val="nil"/>
            </w:tcBorders>
          </w:tcPr>
          <w:p>
            <w:pPr>
              <w:rPr>
                <w:rFonts w:ascii="Arial"/>
                <w:sz w:val="21"/>
              </w:rPr>
            </w:pPr>
            <w:r/>
          </w:p>
        </w:tc>
        <w:tc>
          <w:tcPr>
            <w:tcW w:w="569" w:type="dxa"/>
            <w:vAlign w:val="top"/>
          </w:tcPr>
          <w:p>
            <w:pPr>
              <w:pStyle w:val="TableText"/>
              <w:spacing w:before="191" w:line="239" w:lineRule="auto"/>
              <w:jc w:val="right"/>
              <w:rPr>
                <w:sz w:val="21"/>
                <w:szCs w:val="21"/>
              </w:rPr>
            </w:pPr>
            <w:r>
              <w:rPr>
                <w:sz w:val="21"/>
                <w:szCs w:val="21"/>
                <w:spacing w:val="-16"/>
              </w:rPr>
              <w:t>-</w:t>
            </w:r>
            <w:r>
              <w:rPr>
                <w:sz w:val="21"/>
                <w:szCs w:val="21"/>
                <w:spacing w:val="-15"/>
              </w:rPr>
              <w:t>17.8</w:t>
            </w:r>
            <w:r>
              <w:rPr>
                <w:sz w:val="21"/>
                <w:szCs w:val="21"/>
                <w:spacing w:val="-14"/>
              </w:rPr>
              <w:t>2</w:t>
            </w:r>
          </w:p>
        </w:tc>
        <w:tc>
          <w:tcPr>
            <w:tcW w:w="569" w:type="dxa"/>
            <w:vAlign w:val="top"/>
          </w:tcPr>
          <w:p>
            <w:pPr>
              <w:pStyle w:val="TableText"/>
              <w:spacing w:before="191" w:line="239" w:lineRule="auto"/>
              <w:jc w:val="right"/>
              <w:rPr>
                <w:sz w:val="21"/>
                <w:szCs w:val="21"/>
              </w:rPr>
            </w:pPr>
            <w:r>
              <w:rPr>
                <w:sz w:val="21"/>
                <w:szCs w:val="21"/>
                <w:spacing w:val="-17"/>
              </w:rPr>
              <w:t>-3</w:t>
            </w:r>
            <w:r>
              <w:rPr>
                <w:sz w:val="21"/>
                <w:szCs w:val="21"/>
                <w:spacing w:val="-16"/>
              </w:rPr>
              <w:t>1.4</w:t>
            </w:r>
            <w:r>
              <w:rPr>
                <w:sz w:val="21"/>
                <w:szCs w:val="21"/>
                <w:spacing w:val="-14"/>
              </w:rPr>
              <w:t>3</w:t>
            </w:r>
          </w:p>
        </w:tc>
        <w:tc>
          <w:tcPr>
            <w:tcW w:w="320" w:type="dxa"/>
            <w:vAlign w:val="top"/>
          </w:tcPr>
          <w:p>
            <w:pPr>
              <w:pStyle w:val="TableText"/>
              <w:spacing w:before="191" w:line="239" w:lineRule="auto"/>
              <w:jc w:val="right"/>
              <w:rPr>
                <w:sz w:val="21"/>
                <w:szCs w:val="21"/>
              </w:rPr>
            </w:pPr>
            <w:r>
              <w:rPr>
                <w:sz w:val="21"/>
                <w:szCs w:val="21"/>
                <w:spacing w:val="-9"/>
              </w:rPr>
              <w:t>1.2</w:t>
            </w:r>
          </w:p>
        </w:tc>
        <w:tc>
          <w:tcPr>
            <w:tcW w:w="470" w:type="dxa"/>
            <w:vAlign w:val="top"/>
          </w:tcPr>
          <w:p>
            <w:pPr>
              <w:pStyle w:val="TableText"/>
              <w:ind w:left="39"/>
              <w:spacing w:before="176" w:line="224" w:lineRule="auto"/>
              <w:rPr>
                <w:sz w:val="21"/>
                <w:szCs w:val="21"/>
              </w:rPr>
            </w:pPr>
            <w:r>
              <w:rPr>
                <w:sz w:val="21"/>
                <w:szCs w:val="21"/>
                <w:spacing w:val="-2"/>
              </w:rPr>
              <w:t>8h/d</w:t>
            </w:r>
          </w:p>
        </w:tc>
        <w:tc>
          <w:tcPr>
            <w:tcW w:w="604" w:type="dxa"/>
            <w:vAlign w:val="top"/>
          </w:tcPr>
          <w:p>
            <w:pPr>
              <w:pStyle w:val="TableText"/>
              <w:ind w:left="189"/>
              <w:spacing w:before="191"/>
              <w:rPr>
                <w:sz w:val="21"/>
                <w:szCs w:val="21"/>
              </w:rPr>
            </w:pPr>
            <w:r>
              <w:rPr>
                <w:sz w:val="21"/>
                <w:szCs w:val="21"/>
                <w:spacing w:val="-6"/>
              </w:rPr>
              <w:t>10</w:t>
            </w:r>
          </w:p>
        </w:tc>
      </w:tr>
      <w:tr>
        <w:trPr>
          <w:trHeight w:val="539" w:hRule="atLeast"/>
        </w:trPr>
        <w:tc>
          <w:tcPr>
            <w:tcW w:w="424" w:type="dxa"/>
            <w:vAlign w:val="top"/>
            <w:vMerge w:val="continue"/>
            <w:tcBorders>
              <w:top w:val="nil"/>
              <w:bottom w:val="nil"/>
            </w:tcBorders>
          </w:tcPr>
          <w:p>
            <w:pPr>
              <w:rPr>
                <w:rFonts w:ascii="Arial"/>
                <w:sz w:val="21"/>
              </w:rPr>
            </w:pPr>
            <w:r/>
          </w:p>
        </w:tc>
        <w:tc>
          <w:tcPr>
            <w:tcW w:w="1169" w:type="dxa"/>
            <w:vAlign w:val="top"/>
          </w:tcPr>
          <w:p>
            <w:pPr>
              <w:pStyle w:val="TableText"/>
              <w:ind w:left="150" w:right="42" w:hanging="100"/>
              <w:spacing w:before="33" w:line="218" w:lineRule="auto"/>
              <w:rPr>
                <w:sz w:val="21"/>
                <w:szCs w:val="21"/>
              </w:rPr>
            </w:pPr>
            <w:r>
              <w:rPr>
                <w:sz w:val="21"/>
                <w:szCs w:val="21"/>
                <w:spacing w:val="3"/>
              </w:rPr>
              <w:t>十二工位胴</w:t>
            </w:r>
            <w:r>
              <w:rPr>
                <w:sz w:val="21"/>
                <w:szCs w:val="21"/>
              </w:rPr>
              <w:t xml:space="preserve"> </w:t>
            </w:r>
            <w:r>
              <w:rPr>
                <w:sz w:val="21"/>
                <w:szCs w:val="21"/>
                <w:spacing w:val="-2"/>
              </w:rPr>
              <w:t>体步进机</w:t>
            </w:r>
          </w:p>
        </w:tc>
        <w:tc>
          <w:tcPr>
            <w:tcW w:w="789" w:type="dxa"/>
            <w:vAlign w:val="top"/>
          </w:tcPr>
          <w:p>
            <w:pPr>
              <w:pStyle w:val="TableText"/>
              <w:ind w:left="281"/>
              <w:spacing w:before="192"/>
              <w:rPr>
                <w:sz w:val="21"/>
                <w:szCs w:val="21"/>
              </w:rPr>
            </w:pPr>
            <w:r>
              <w:rPr>
                <w:sz w:val="21"/>
                <w:szCs w:val="21"/>
                <w:spacing w:val="-4"/>
              </w:rPr>
              <w:t>75</w:t>
            </w:r>
          </w:p>
        </w:tc>
        <w:tc>
          <w:tcPr>
            <w:tcW w:w="649" w:type="dxa"/>
            <w:vAlign w:val="top"/>
          </w:tcPr>
          <w:p>
            <w:pPr>
              <w:pStyle w:val="TableText"/>
              <w:ind w:right="1"/>
              <w:spacing w:before="171" w:line="219" w:lineRule="auto"/>
              <w:jc w:val="right"/>
              <w:rPr>
                <w:sz w:val="21"/>
                <w:szCs w:val="21"/>
              </w:rPr>
            </w:pPr>
            <w:r>
              <w:rPr>
                <w:sz w:val="21"/>
                <w:szCs w:val="21"/>
                <w:spacing w:val="-2"/>
              </w:rPr>
              <w:t>类比法</w:t>
            </w:r>
          </w:p>
        </w:tc>
        <w:tc>
          <w:tcPr>
            <w:tcW w:w="569" w:type="dxa"/>
            <w:vAlign w:val="top"/>
            <w:textDirection w:val="tbRlV"/>
          </w:tcPr>
          <w:p>
            <w:pPr>
              <w:pStyle w:val="TableText"/>
              <w:ind w:left="135"/>
              <w:spacing w:before="186" w:line="211" w:lineRule="auto"/>
              <w:rPr>
                <w:sz w:val="21"/>
                <w:szCs w:val="21"/>
              </w:rPr>
            </w:pPr>
            <w:r>
              <w:rPr>
                <w:sz w:val="21"/>
                <w:szCs w:val="21"/>
                <w:color w:val="605050"/>
              </w:rPr>
              <w:t>工</w:t>
            </w:r>
          </w:p>
        </w:tc>
        <w:tc>
          <w:tcPr>
            <w:tcW w:w="1049" w:type="dxa"/>
            <w:vAlign w:val="top"/>
          </w:tcPr>
          <w:p>
            <w:pPr>
              <w:pStyle w:val="TableText"/>
              <w:ind w:left="414"/>
              <w:spacing w:before="192"/>
              <w:rPr>
                <w:sz w:val="21"/>
                <w:szCs w:val="21"/>
              </w:rPr>
            </w:pPr>
            <w:r>
              <w:rPr>
                <w:sz w:val="21"/>
                <w:szCs w:val="21"/>
                <w:spacing w:val="-4"/>
              </w:rPr>
              <w:t>76</w:t>
            </w:r>
          </w:p>
        </w:tc>
        <w:tc>
          <w:tcPr>
            <w:tcW w:w="1298" w:type="dxa"/>
            <w:vAlign w:val="top"/>
            <w:vMerge w:val="continue"/>
            <w:tcBorders>
              <w:top w:val="nil"/>
              <w:bottom w:val="nil"/>
            </w:tcBorders>
          </w:tcPr>
          <w:p>
            <w:pPr>
              <w:rPr>
                <w:rFonts w:ascii="Arial"/>
                <w:sz w:val="21"/>
              </w:rPr>
            </w:pPr>
            <w:r/>
          </w:p>
        </w:tc>
        <w:tc>
          <w:tcPr>
            <w:tcW w:w="569" w:type="dxa"/>
            <w:vAlign w:val="top"/>
          </w:tcPr>
          <w:p>
            <w:pPr>
              <w:pStyle w:val="TableText"/>
              <w:spacing w:before="192" w:line="239" w:lineRule="auto"/>
              <w:jc w:val="right"/>
              <w:rPr>
                <w:sz w:val="21"/>
                <w:szCs w:val="21"/>
              </w:rPr>
            </w:pPr>
            <w:r>
              <w:rPr>
                <w:sz w:val="21"/>
                <w:szCs w:val="21"/>
                <w:spacing w:val="-16"/>
              </w:rPr>
              <w:t>-</w:t>
            </w:r>
            <w:r>
              <w:rPr>
                <w:sz w:val="21"/>
                <w:szCs w:val="21"/>
                <w:spacing w:val="-15"/>
              </w:rPr>
              <w:t>23.2</w:t>
            </w:r>
            <w:r>
              <w:rPr>
                <w:sz w:val="21"/>
                <w:szCs w:val="21"/>
                <w:spacing w:val="-14"/>
              </w:rPr>
              <w:t>2</w:t>
            </w:r>
          </w:p>
        </w:tc>
        <w:tc>
          <w:tcPr>
            <w:tcW w:w="569" w:type="dxa"/>
            <w:vAlign w:val="top"/>
          </w:tcPr>
          <w:p>
            <w:pPr>
              <w:pStyle w:val="TableText"/>
              <w:ind w:left="19"/>
              <w:spacing w:before="192" w:line="239" w:lineRule="auto"/>
              <w:rPr>
                <w:sz w:val="21"/>
                <w:szCs w:val="21"/>
              </w:rPr>
            </w:pPr>
            <w:r>
              <w:rPr>
                <w:sz w:val="21"/>
                <w:szCs w:val="21"/>
                <w:spacing w:val="-2"/>
              </w:rPr>
              <w:t>-34.9</w:t>
            </w:r>
          </w:p>
        </w:tc>
        <w:tc>
          <w:tcPr>
            <w:tcW w:w="320" w:type="dxa"/>
            <w:vAlign w:val="top"/>
          </w:tcPr>
          <w:p>
            <w:pPr>
              <w:pStyle w:val="TableText"/>
              <w:spacing w:before="192" w:line="239" w:lineRule="auto"/>
              <w:jc w:val="right"/>
              <w:rPr>
                <w:sz w:val="21"/>
                <w:szCs w:val="21"/>
              </w:rPr>
            </w:pPr>
            <w:r>
              <w:rPr>
                <w:sz w:val="21"/>
                <w:szCs w:val="21"/>
                <w:spacing w:val="-9"/>
              </w:rPr>
              <w:t>1.2</w:t>
            </w:r>
          </w:p>
        </w:tc>
        <w:tc>
          <w:tcPr>
            <w:tcW w:w="470" w:type="dxa"/>
            <w:vAlign w:val="top"/>
          </w:tcPr>
          <w:p>
            <w:pPr>
              <w:pStyle w:val="TableText"/>
              <w:ind w:left="39"/>
              <w:spacing w:before="177" w:line="224" w:lineRule="auto"/>
              <w:rPr>
                <w:sz w:val="21"/>
                <w:szCs w:val="21"/>
              </w:rPr>
            </w:pPr>
            <w:r>
              <w:rPr>
                <w:sz w:val="21"/>
                <w:szCs w:val="21"/>
                <w:spacing w:val="-2"/>
              </w:rPr>
              <w:t>8h/d</w:t>
            </w:r>
          </w:p>
        </w:tc>
        <w:tc>
          <w:tcPr>
            <w:tcW w:w="604" w:type="dxa"/>
            <w:vAlign w:val="top"/>
          </w:tcPr>
          <w:p>
            <w:pPr>
              <w:pStyle w:val="TableText"/>
              <w:ind w:left="189"/>
              <w:spacing w:before="192"/>
              <w:rPr>
                <w:sz w:val="21"/>
                <w:szCs w:val="21"/>
              </w:rPr>
            </w:pPr>
            <w:r>
              <w:rPr>
                <w:sz w:val="21"/>
                <w:szCs w:val="21"/>
                <w:spacing w:val="-6"/>
              </w:rPr>
              <w:t>10</w:t>
            </w:r>
          </w:p>
        </w:tc>
      </w:tr>
      <w:tr>
        <w:trPr>
          <w:trHeight w:val="539" w:hRule="atLeast"/>
        </w:trPr>
        <w:tc>
          <w:tcPr>
            <w:tcW w:w="424" w:type="dxa"/>
            <w:vAlign w:val="top"/>
            <w:vMerge w:val="continue"/>
            <w:tcBorders>
              <w:top w:val="nil"/>
              <w:bottom w:val="nil"/>
            </w:tcBorders>
          </w:tcPr>
          <w:p>
            <w:pPr>
              <w:rPr>
                <w:rFonts w:ascii="Arial"/>
                <w:sz w:val="21"/>
              </w:rPr>
            </w:pPr>
            <w:r/>
          </w:p>
        </w:tc>
        <w:tc>
          <w:tcPr>
            <w:tcW w:w="1169" w:type="dxa"/>
            <w:vAlign w:val="top"/>
          </w:tcPr>
          <w:p>
            <w:pPr>
              <w:pStyle w:val="TableText"/>
              <w:ind w:left="151" w:right="176" w:firstLine="109"/>
              <w:spacing w:before="44" w:line="213" w:lineRule="auto"/>
              <w:rPr>
                <w:sz w:val="21"/>
                <w:szCs w:val="21"/>
              </w:rPr>
            </w:pPr>
            <w:r>
              <w:rPr>
                <w:sz w:val="21"/>
                <w:szCs w:val="21"/>
                <w:spacing w:val="4"/>
              </w:rPr>
              <w:t>气动双</w:t>
            </w:r>
            <w:r>
              <w:rPr>
                <w:sz w:val="21"/>
                <w:szCs w:val="21"/>
              </w:rPr>
              <w:t xml:space="preserve"> </w:t>
            </w:r>
            <w:r>
              <w:rPr>
                <w:sz w:val="21"/>
                <w:szCs w:val="21"/>
                <w:spacing w:val="-3"/>
              </w:rPr>
              <w:t>柱升降机</w:t>
            </w:r>
          </w:p>
        </w:tc>
        <w:tc>
          <w:tcPr>
            <w:tcW w:w="789" w:type="dxa"/>
            <w:vAlign w:val="top"/>
          </w:tcPr>
          <w:p>
            <w:pPr>
              <w:pStyle w:val="TableText"/>
              <w:ind w:left="281"/>
              <w:spacing w:before="193"/>
              <w:rPr>
                <w:sz w:val="21"/>
                <w:szCs w:val="21"/>
              </w:rPr>
            </w:pPr>
            <w:r>
              <w:rPr>
                <w:sz w:val="21"/>
                <w:szCs w:val="21"/>
                <w:spacing w:val="-4"/>
              </w:rPr>
              <w:t>75</w:t>
            </w:r>
          </w:p>
        </w:tc>
        <w:tc>
          <w:tcPr>
            <w:tcW w:w="649" w:type="dxa"/>
            <w:vAlign w:val="top"/>
          </w:tcPr>
          <w:p>
            <w:pPr>
              <w:pStyle w:val="TableText"/>
              <w:ind w:right="1"/>
              <w:spacing w:before="172" w:line="219" w:lineRule="auto"/>
              <w:jc w:val="right"/>
              <w:rPr>
                <w:sz w:val="21"/>
                <w:szCs w:val="21"/>
              </w:rPr>
            </w:pPr>
            <w:r>
              <w:rPr>
                <w:sz w:val="21"/>
                <w:szCs w:val="21"/>
                <w:spacing w:val="-2"/>
              </w:rPr>
              <w:t>类比法</w:t>
            </w:r>
          </w:p>
        </w:tc>
        <w:tc>
          <w:tcPr>
            <w:tcW w:w="569" w:type="dxa"/>
            <w:vAlign w:val="top"/>
          </w:tcPr>
          <w:p>
            <w:pPr>
              <w:pStyle w:val="TableText"/>
              <w:ind w:left="224"/>
              <w:spacing w:before="193"/>
              <w:rPr>
                <w:sz w:val="21"/>
                <w:szCs w:val="21"/>
              </w:rPr>
            </w:pPr>
            <w:r>
              <w:rPr>
                <w:sz w:val="21"/>
                <w:szCs w:val="21"/>
              </w:rPr>
              <w:t>7</w:t>
            </w:r>
          </w:p>
        </w:tc>
        <w:tc>
          <w:tcPr>
            <w:tcW w:w="1049" w:type="dxa"/>
            <w:vAlign w:val="top"/>
          </w:tcPr>
          <w:p>
            <w:pPr>
              <w:pStyle w:val="TableText"/>
              <w:ind w:left="414"/>
              <w:spacing w:before="193"/>
              <w:rPr>
                <w:sz w:val="21"/>
                <w:szCs w:val="21"/>
              </w:rPr>
            </w:pPr>
            <w:r>
              <w:rPr>
                <w:sz w:val="21"/>
                <w:szCs w:val="21"/>
                <w:spacing w:val="-3"/>
              </w:rPr>
              <w:t>81</w:t>
            </w:r>
          </w:p>
        </w:tc>
        <w:tc>
          <w:tcPr>
            <w:tcW w:w="1298" w:type="dxa"/>
            <w:vAlign w:val="top"/>
            <w:vMerge w:val="continue"/>
            <w:tcBorders>
              <w:top w:val="nil"/>
              <w:bottom w:val="nil"/>
            </w:tcBorders>
          </w:tcPr>
          <w:p>
            <w:pPr>
              <w:rPr>
                <w:rFonts w:ascii="Arial"/>
                <w:sz w:val="21"/>
              </w:rPr>
            </w:pPr>
            <w:r/>
          </w:p>
        </w:tc>
        <w:tc>
          <w:tcPr>
            <w:tcW w:w="569" w:type="dxa"/>
            <w:vAlign w:val="top"/>
          </w:tcPr>
          <w:p>
            <w:pPr>
              <w:pStyle w:val="TableText"/>
              <w:ind w:left="18"/>
              <w:spacing w:before="186" w:line="239" w:lineRule="auto"/>
              <w:rPr>
                <w:sz w:val="16"/>
                <w:szCs w:val="16"/>
              </w:rPr>
            </w:pPr>
            <w:r>
              <w:rPr>
                <w:sz w:val="16"/>
                <w:szCs w:val="16"/>
                <w:spacing w:val="-5"/>
              </w:rPr>
              <w:t>-11.27</w:t>
            </w:r>
          </w:p>
        </w:tc>
        <w:tc>
          <w:tcPr>
            <w:tcW w:w="569" w:type="dxa"/>
            <w:vAlign w:val="top"/>
          </w:tcPr>
          <w:p>
            <w:pPr>
              <w:pStyle w:val="TableText"/>
              <w:spacing w:before="193" w:line="239" w:lineRule="auto"/>
              <w:jc w:val="right"/>
              <w:rPr>
                <w:sz w:val="21"/>
                <w:szCs w:val="21"/>
              </w:rPr>
            </w:pPr>
            <w:r>
              <w:rPr>
                <w:sz w:val="21"/>
                <w:szCs w:val="21"/>
                <w:spacing w:val="-18"/>
              </w:rPr>
              <w:t>-31</w:t>
            </w:r>
            <w:r>
              <w:rPr>
                <w:sz w:val="21"/>
                <w:szCs w:val="21"/>
                <w:spacing w:val="-17"/>
              </w:rPr>
              <w:t>.0</w:t>
            </w:r>
            <w:r>
              <w:rPr>
                <w:sz w:val="21"/>
                <w:szCs w:val="21"/>
                <w:spacing w:val="-8"/>
              </w:rPr>
              <w:t>4</w:t>
            </w:r>
          </w:p>
        </w:tc>
        <w:tc>
          <w:tcPr>
            <w:tcW w:w="320" w:type="dxa"/>
            <w:vAlign w:val="top"/>
          </w:tcPr>
          <w:p>
            <w:pPr>
              <w:pStyle w:val="TableText"/>
              <w:spacing w:before="193" w:line="239" w:lineRule="auto"/>
              <w:jc w:val="right"/>
              <w:rPr>
                <w:sz w:val="21"/>
                <w:szCs w:val="21"/>
              </w:rPr>
            </w:pPr>
            <w:r>
              <w:rPr>
                <w:sz w:val="21"/>
                <w:szCs w:val="21"/>
                <w:spacing w:val="-9"/>
              </w:rPr>
              <w:t>1.2</w:t>
            </w:r>
          </w:p>
        </w:tc>
        <w:tc>
          <w:tcPr>
            <w:tcW w:w="470" w:type="dxa"/>
            <w:vAlign w:val="top"/>
          </w:tcPr>
          <w:p>
            <w:pPr>
              <w:pStyle w:val="TableText"/>
              <w:ind w:left="39"/>
              <w:spacing w:before="178" w:line="224" w:lineRule="auto"/>
              <w:rPr>
                <w:sz w:val="21"/>
                <w:szCs w:val="21"/>
              </w:rPr>
            </w:pPr>
            <w:r>
              <w:rPr>
                <w:sz w:val="21"/>
                <w:szCs w:val="21"/>
                <w:spacing w:val="-2"/>
              </w:rPr>
              <w:t>8h/d</w:t>
            </w:r>
          </w:p>
        </w:tc>
        <w:tc>
          <w:tcPr>
            <w:tcW w:w="604" w:type="dxa"/>
            <w:vAlign w:val="top"/>
          </w:tcPr>
          <w:p>
            <w:pPr>
              <w:pStyle w:val="TableText"/>
              <w:ind w:left="189"/>
              <w:spacing w:before="193"/>
              <w:rPr>
                <w:sz w:val="21"/>
                <w:szCs w:val="21"/>
              </w:rPr>
            </w:pPr>
            <w:r>
              <w:rPr>
                <w:sz w:val="21"/>
                <w:szCs w:val="21"/>
                <w:spacing w:val="-6"/>
              </w:rPr>
              <w:t>10</w:t>
            </w:r>
          </w:p>
        </w:tc>
      </w:tr>
      <w:tr>
        <w:trPr>
          <w:trHeight w:val="280" w:hRule="atLeast"/>
        </w:trPr>
        <w:tc>
          <w:tcPr>
            <w:tcW w:w="424" w:type="dxa"/>
            <w:vAlign w:val="top"/>
            <w:vMerge w:val="continue"/>
            <w:tcBorders>
              <w:top w:val="nil"/>
              <w:bottom w:val="nil"/>
            </w:tcBorders>
          </w:tcPr>
          <w:p>
            <w:pPr>
              <w:rPr>
                <w:rFonts w:ascii="Arial"/>
                <w:sz w:val="21"/>
              </w:rPr>
            </w:pPr>
            <w:r/>
          </w:p>
        </w:tc>
        <w:tc>
          <w:tcPr>
            <w:tcW w:w="1169" w:type="dxa"/>
            <w:vAlign w:val="top"/>
          </w:tcPr>
          <w:p>
            <w:pPr>
              <w:pStyle w:val="TableText"/>
              <w:ind w:left="50"/>
              <w:spacing w:before="42" w:line="200" w:lineRule="auto"/>
              <w:rPr>
                <w:sz w:val="21"/>
                <w:szCs w:val="21"/>
              </w:rPr>
            </w:pPr>
            <w:r>
              <w:rPr>
                <w:sz w:val="21"/>
                <w:szCs w:val="21"/>
                <w:spacing w:val="-2"/>
              </w:rPr>
              <w:t>液压扯皮机</w:t>
            </w:r>
          </w:p>
        </w:tc>
        <w:tc>
          <w:tcPr>
            <w:tcW w:w="789" w:type="dxa"/>
            <w:vAlign w:val="top"/>
          </w:tcPr>
          <w:p>
            <w:pPr>
              <w:pStyle w:val="TableText"/>
              <w:ind w:left="281"/>
              <w:spacing w:before="65" w:line="180" w:lineRule="auto"/>
              <w:rPr>
                <w:sz w:val="21"/>
                <w:szCs w:val="21"/>
              </w:rPr>
            </w:pPr>
            <w:r>
              <w:rPr>
                <w:sz w:val="21"/>
                <w:szCs w:val="21"/>
                <w:spacing w:val="-3"/>
              </w:rPr>
              <w:t>65</w:t>
            </w:r>
          </w:p>
        </w:tc>
        <w:tc>
          <w:tcPr>
            <w:tcW w:w="649" w:type="dxa"/>
            <w:vAlign w:val="top"/>
          </w:tcPr>
          <w:p>
            <w:pPr>
              <w:pStyle w:val="TableText"/>
              <w:ind w:right="1"/>
              <w:spacing w:before="43" w:line="199" w:lineRule="auto"/>
              <w:jc w:val="right"/>
              <w:rPr>
                <w:sz w:val="21"/>
                <w:szCs w:val="21"/>
              </w:rPr>
            </w:pPr>
            <w:r>
              <w:rPr>
                <w:sz w:val="21"/>
                <w:szCs w:val="21"/>
                <w:color w:val="182818"/>
                <w:spacing w:val="-2"/>
              </w:rPr>
              <w:t>类比法</w:t>
            </w:r>
          </w:p>
        </w:tc>
        <w:tc>
          <w:tcPr>
            <w:tcW w:w="569" w:type="dxa"/>
            <w:vAlign w:val="top"/>
            <w:textDirection w:val="tbRlV"/>
          </w:tcPr>
          <w:p>
            <w:pPr>
              <w:pStyle w:val="TableText"/>
              <w:spacing w:before="253" w:line="126" w:lineRule="exact"/>
              <w:rPr>
                <w:sz w:val="21"/>
                <w:szCs w:val="21"/>
              </w:rPr>
            </w:pPr>
            <w:r>
              <w:rPr>
                <w:sz w:val="21"/>
                <w:szCs w:val="21"/>
                <w:color w:val="605050"/>
                <w:spacing w:val="48"/>
                <w:w w:val="125"/>
                <w:position w:val="-3"/>
              </w:rPr>
              <w:t>1</w:t>
            </w:r>
          </w:p>
        </w:tc>
        <w:tc>
          <w:tcPr>
            <w:tcW w:w="1049" w:type="dxa"/>
            <w:vAlign w:val="top"/>
          </w:tcPr>
          <w:p>
            <w:pPr>
              <w:pStyle w:val="TableText"/>
              <w:ind w:left="414"/>
              <w:spacing w:before="65" w:line="180" w:lineRule="auto"/>
              <w:rPr>
                <w:sz w:val="21"/>
                <w:szCs w:val="21"/>
              </w:rPr>
            </w:pPr>
            <w:r>
              <w:rPr>
                <w:sz w:val="21"/>
                <w:szCs w:val="21"/>
                <w:spacing w:val="-3"/>
              </w:rPr>
              <w:t>65</w:t>
            </w:r>
          </w:p>
        </w:tc>
        <w:tc>
          <w:tcPr>
            <w:tcW w:w="1298" w:type="dxa"/>
            <w:vAlign w:val="top"/>
            <w:vMerge w:val="continue"/>
            <w:tcBorders>
              <w:top w:val="nil"/>
              <w:bottom w:val="nil"/>
            </w:tcBorders>
          </w:tcPr>
          <w:p>
            <w:pPr>
              <w:rPr>
                <w:rFonts w:ascii="Arial"/>
                <w:sz w:val="21"/>
              </w:rPr>
            </w:pPr>
            <w:r/>
          </w:p>
        </w:tc>
        <w:tc>
          <w:tcPr>
            <w:tcW w:w="569" w:type="dxa"/>
            <w:vAlign w:val="top"/>
          </w:tcPr>
          <w:p>
            <w:pPr>
              <w:pStyle w:val="TableText"/>
              <w:ind w:left="18"/>
              <w:spacing w:before="65" w:line="180" w:lineRule="auto"/>
              <w:rPr>
                <w:sz w:val="21"/>
                <w:szCs w:val="21"/>
              </w:rPr>
            </w:pPr>
            <w:r>
              <w:rPr>
                <w:sz w:val="21"/>
                <w:szCs w:val="21"/>
                <w:spacing w:val="-2"/>
              </w:rPr>
              <w:t>-7.82</w:t>
            </w:r>
          </w:p>
        </w:tc>
        <w:tc>
          <w:tcPr>
            <w:tcW w:w="569" w:type="dxa"/>
            <w:vAlign w:val="top"/>
          </w:tcPr>
          <w:p>
            <w:pPr>
              <w:pStyle w:val="TableText"/>
              <w:spacing w:before="65" w:line="180" w:lineRule="auto"/>
              <w:jc w:val="right"/>
              <w:rPr>
                <w:sz w:val="21"/>
                <w:szCs w:val="21"/>
              </w:rPr>
            </w:pPr>
            <w:r>
              <w:rPr>
                <w:sz w:val="21"/>
                <w:szCs w:val="21"/>
                <w:spacing w:val="-17"/>
              </w:rPr>
              <w:t>-26</w:t>
            </w:r>
            <w:r>
              <w:rPr>
                <w:sz w:val="21"/>
                <w:szCs w:val="21"/>
                <w:spacing w:val="-16"/>
              </w:rPr>
              <w:t>.0</w:t>
            </w:r>
            <w:r>
              <w:rPr>
                <w:sz w:val="21"/>
                <w:szCs w:val="21"/>
                <w:spacing w:val="-13"/>
              </w:rPr>
              <w:t>8</w:t>
            </w:r>
          </w:p>
        </w:tc>
        <w:tc>
          <w:tcPr>
            <w:tcW w:w="320" w:type="dxa"/>
            <w:vAlign w:val="top"/>
          </w:tcPr>
          <w:p>
            <w:pPr>
              <w:pStyle w:val="TableText"/>
              <w:spacing w:before="65" w:line="180" w:lineRule="auto"/>
              <w:jc w:val="right"/>
              <w:rPr>
                <w:sz w:val="21"/>
                <w:szCs w:val="21"/>
              </w:rPr>
            </w:pPr>
            <w:r>
              <w:rPr>
                <w:sz w:val="21"/>
                <w:szCs w:val="21"/>
                <w:spacing w:val="-9"/>
              </w:rPr>
              <w:t>1.2</w:t>
            </w:r>
          </w:p>
        </w:tc>
        <w:tc>
          <w:tcPr>
            <w:tcW w:w="470" w:type="dxa"/>
            <w:vAlign w:val="top"/>
          </w:tcPr>
          <w:p>
            <w:pPr>
              <w:pStyle w:val="TableText"/>
              <w:ind w:left="39"/>
              <w:spacing w:before="49" w:line="194" w:lineRule="auto"/>
              <w:rPr>
                <w:sz w:val="21"/>
                <w:szCs w:val="21"/>
              </w:rPr>
            </w:pPr>
            <w:r>
              <w:rPr>
                <w:sz w:val="21"/>
                <w:szCs w:val="21"/>
                <w:spacing w:val="-2"/>
              </w:rPr>
              <w:t>8h/d</w:t>
            </w:r>
          </w:p>
        </w:tc>
        <w:tc>
          <w:tcPr>
            <w:tcW w:w="604" w:type="dxa"/>
            <w:vAlign w:val="top"/>
          </w:tcPr>
          <w:p>
            <w:pPr>
              <w:pStyle w:val="TableText"/>
              <w:ind w:left="189"/>
              <w:spacing w:before="65" w:line="180" w:lineRule="auto"/>
              <w:rPr>
                <w:sz w:val="21"/>
                <w:szCs w:val="21"/>
              </w:rPr>
            </w:pPr>
            <w:r>
              <w:rPr>
                <w:sz w:val="21"/>
                <w:szCs w:val="21"/>
                <w:spacing w:val="-6"/>
              </w:rPr>
              <w:t>10</w:t>
            </w:r>
          </w:p>
        </w:tc>
      </w:tr>
      <w:tr>
        <w:trPr>
          <w:trHeight w:val="539" w:hRule="atLeast"/>
        </w:trPr>
        <w:tc>
          <w:tcPr>
            <w:tcW w:w="424" w:type="dxa"/>
            <w:vAlign w:val="top"/>
            <w:vMerge w:val="continue"/>
            <w:tcBorders>
              <w:top w:val="nil"/>
              <w:bottom w:val="nil"/>
            </w:tcBorders>
          </w:tcPr>
          <w:p>
            <w:pPr>
              <w:rPr>
                <w:rFonts w:ascii="Arial"/>
                <w:sz w:val="21"/>
              </w:rPr>
            </w:pPr>
            <w:r/>
          </w:p>
        </w:tc>
        <w:tc>
          <w:tcPr>
            <w:tcW w:w="1169" w:type="dxa"/>
            <w:vAlign w:val="top"/>
          </w:tcPr>
          <w:p>
            <w:pPr>
              <w:pStyle w:val="TableText"/>
              <w:ind w:left="260" w:right="254"/>
              <w:spacing w:before="44" w:line="213" w:lineRule="auto"/>
              <w:rPr>
                <w:sz w:val="21"/>
                <w:szCs w:val="21"/>
              </w:rPr>
            </w:pPr>
            <w:r>
              <w:rPr>
                <w:sz w:val="21"/>
                <w:szCs w:val="21"/>
                <w:spacing w:val="4"/>
              </w:rPr>
              <w:t>自动冲</w:t>
            </w:r>
            <w:r>
              <w:rPr>
                <w:sz w:val="21"/>
                <w:szCs w:val="21"/>
              </w:rPr>
              <w:t xml:space="preserve"> </w:t>
            </w:r>
            <w:r>
              <w:rPr>
                <w:sz w:val="21"/>
                <w:szCs w:val="21"/>
                <w:spacing w:val="-2"/>
              </w:rPr>
              <w:t>洗装置</w:t>
            </w:r>
          </w:p>
        </w:tc>
        <w:tc>
          <w:tcPr>
            <w:tcW w:w="789" w:type="dxa"/>
            <w:vAlign w:val="top"/>
          </w:tcPr>
          <w:p>
            <w:pPr>
              <w:pStyle w:val="TableText"/>
              <w:ind w:left="281"/>
              <w:spacing w:before="194"/>
              <w:rPr>
                <w:sz w:val="21"/>
                <w:szCs w:val="21"/>
              </w:rPr>
            </w:pPr>
            <w:r>
              <w:rPr>
                <w:sz w:val="21"/>
                <w:szCs w:val="21"/>
                <w:spacing w:val="-4"/>
              </w:rPr>
              <w:t>70</w:t>
            </w:r>
          </w:p>
        </w:tc>
        <w:tc>
          <w:tcPr>
            <w:tcW w:w="649" w:type="dxa"/>
            <w:vAlign w:val="top"/>
          </w:tcPr>
          <w:p>
            <w:pPr>
              <w:pStyle w:val="TableText"/>
              <w:ind w:right="1"/>
              <w:spacing w:before="173" w:line="219" w:lineRule="auto"/>
              <w:jc w:val="right"/>
              <w:rPr>
                <w:sz w:val="21"/>
                <w:szCs w:val="21"/>
              </w:rPr>
            </w:pPr>
            <w:r>
              <w:rPr>
                <w:sz w:val="21"/>
                <w:szCs w:val="21"/>
                <w:spacing w:val="-2"/>
              </w:rPr>
              <w:t>类比法</w:t>
            </w:r>
          </w:p>
        </w:tc>
        <w:tc>
          <w:tcPr>
            <w:tcW w:w="569" w:type="dxa"/>
            <w:vAlign w:val="top"/>
            <w:textDirection w:val="tbRlV"/>
          </w:tcPr>
          <w:p>
            <w:pPr>
              <w:pStyle w:val="TableText"/>
              <w:ind w:left="128"/>
              <w:spacing w:before="253" w:line="126" w:lineRule="exact"/>
              <w:rPr>
                <w:sz w:val="21"/>
                <w:szCs w:val="21"/>
              </w:rPr>
            </w:pPr>
            <w:r>
              <w:rPr>
                <w:sz w:val="21"/>
                <w:szCs w:val="21"/>
                <w:color w:val="505050"/>
                <w:spacing w:val="50"/>
                <w:w w:val="125"/>
                <w:position w:val="-3"/>
              </w:rPr>
              <w:t>1</w:t>
            </w:r>
          </w:p>
        </w:tc>
        <w:tc>
          <w:tcPr>
            <w:tcW w:w="1049" w:type="dxa"/>
            <w:vAlign w:val="top"/>
          </w:tcPr>
          <w:p>
            <w:pPr>
              <w:pStyle w:val="TableText"/>
              <w:ind w:left="414"/>
              <w:spacing w:before="194"/>
              <w:rPr>
                <w:sz w:val="21"/>
                <w:szCs w:val="21"/>
              </w:rPr>
            </w:pPr>
            <w:r>
              <w:rPr>
                <w:sz w:val="21"/>
                <w:szCs w:val="21"/>
                <w:spacing w:val="-4"/>
              </w:rPr>
              <w:t>70</w:t>
            </w:r>
          </w:p>
        </w:tc>
        <w:tc>
          <w:tcPr>
            <w:tcW w:w="1298" w:type="dxa"/>
            <w:vAlign w:val="top"/>
            <w:vMerge w:val="continue"/>
            <w:tcBorders>
              <w:top w:val="nil"/>
              <w:bottom w:val="nil"/>
            </w:tcBorders>
          </w:tcPr>
          <w:p>
            <w:pPr>
              <w:rPr>
                <w:rFonts w:ascii="Arial"/>
                <w:sz w:val="21"/>
              </w:rPr>
            </w:pPr>
            <w:r/>
          </w:p>
        </w:tc>
        <w:tc>
          <w:tcPr>
            <w:tcW w:w="569" w:type="dxa"/>
            <w:vAlign w:val="top"/>
          </w:tcPr>
          <w:p>
            <w:pPr>
              <w:pStyle w:val="TableText"/>
              <w:ind w:left="18"/>
              <w:spacing w:before="187" w:line="239" w:lineRule="auto"/>
              <w:rPr>
                <w:sz w:val="16"/>
                <w:szCs w:val="16"/>
              </w:rPr>
            </w:pPr>
            <w:r>
              <w:rPr>
                <w:sz w:val="16"/>
                <w:szCs w:val="16"/>
                <w:spacing w:val="-5"/>
              </w:rPr>
              <w:t>-17.12</w:t>
            </w:r>
          </w:p>
        </w:tc>
        <w:tc>
          <w:tcPr>
            <w:tcW w:w="569" w:type="dxa"/>
            <w:vAlign w:val="top"/>
          </w:tcPr>
          <w:p>
            <w:pPr>
              <w:pStyle w:val="TableText"/>
              <w:spacing w:before="194" w:line="239" w:lineRule="auto"/>
              <w:jc w:val="right"/>
              <w:rPr>
                <w:sz w:val="21"/>
                <w:szCs w:val="21"/>
              </w:rPr>
            </w:pPr>
            <w:r>
              <w:rPr>
                <w:sz w:val="21"/>
                <w:szCs w:val="21"/>
                <w:spacing w:val="-17"/>
              </w:rPr>
              <w:t>-38</w:t>
            </w:r>
            <w:r>
              <w:rPr>
                <w:sz w:val="21"/>
                <w:szCs w:val="21"/>
                <w:spacing w:val="-16"/>
              </w:rPr>
              <w:t>.4</w:t>
            </w:r>
            <w:r>
              <w:rPr>
                <w:sz w:val="21"/>
                <w:szCs w:val="21"/>
                <w:spacing w:val="-13"/>
              </w:rPr>
              <w:t>8</w:t>
            </w:r>
          </w:p>
        </w:tc>
        <w:tc>
          <w:tcPr>
            <w:tcW w:w="320" w:type="dxa"/>
            <w:vAlign w:val="top"/>
          </w:tcPr>
          <w:p>
            <w:pPr>
              <w:pStyle w:val="TableText"/>
              <w:spacing w:before="194" w:line="239" w:lineRule="auto"/>
              <w:jc w:val="right"/>
              <w:rPr>
                <w:sz w:val="21"/>
                <w:szCs w:val="21"/>
              </w:rPr>
            </w:pPr>
            <w:r>
              <w:rPr>
                <w:sz w:val="21"/>
                <w:szCs w:val="21"/>
                <w:spacing w:val="-9"/>
              </w:rPr>
              <w:t>1.2</w:t>
            </w:r>
          </w:p>
        </w:tc>
        <w:tc>
          <w:tcPr>
            <w:tcW w:w="470" w:type="dxa"/>
            <w:vAlign w:val="top"/>
          </w:tcPr>
          <w:p>
            <w:pPr>
              <w:pStyle w:val="TableText"/>
              <w:ind w:left="39"/>
              <w:spacing w:before="179" w:line="224" w:lineRule="auto"/>
              <w:rPr>
                <w:sz w:val="21"/>
                <w:szCs w:val="21"/>
              </w:rPr>
            </w:pPr>
            <w:r>
              <w:rPr>
                <w:sz w:val="21"/>
                <w:szCs w:val="21"/>
                <w:spacing w:val="-2"/>
              </w:rPr>
              <w:t>8h/d</w:t>
            </w:r>
          </w:p>
        </w:tc>
        <w:tc>
          <w:tcPr>
            <w:tcW w:w="604" w:type="dxa"/>
            <w:vAlign w:val="top"/>
          </w:tcPr>
          <w:p>
            <w:pPr>
              <w:pStyle w:val="TableText"/>
              <w:ind w:left="189"/>
              <w:spacing w:before="194"/>
              <w:rPr>
                <w:sz w:val="21"/>
                <w:szCs w:val="21"/>
              </w:rPr>
            </w:pPr>
            <w:r>
              <w:rPr>
                <w:sz w:val="21"/>
                <w:szCs w:val="21"/>
                <w:spacing w:val="-6"/>
              </w:rPr>
              <w:t>10</w:t>
            </w:r>
          </w:p>
        </w:tc>
      </w:tr>
      <w:tr>
        <w:trPr>
          <w:trHeight w:val="550" w:hRule="atLeast"/>
        </w:trPr>
        <w:tc>
          <w:tcPr>
            <w:tcW w:w="424" w:type="dxa"/>
            <w:vAlign w:val="top"/>
            <w:vMerge w:val="continue"/>
            <w:tcBorders>
              <w:top w:val="nil"/>
            </w:tcBorders>
          </w:tcPr>
          <w:p>
            <w:pPr>
              <w:rPr>
                <w:rFonts w:ascii="Arial"/>
                <w:sz w:val="21"/>
              </w:rPr>
            </w:pPr>
            <w:r/>
          </w:p>
        </w:tc>
        <w:tc>
          <w:tcPr>
            <w:tcW w:w="1169" w:type="dxa"/>
            <w:vAlign w:val="top"/>
          </w:tcPr>
          <w:p>
            <w:pPr>
              <w:pStyle w:val="TableText"/>
              <w:ind w:left="50" w:right="49" w:firstLine="100"/>
              <w:spacing w:before="55" w:line="213" w:lineRule="auto"/>
              <w:rPr>
                <w:sz w:val="21"/>
                <w:szCs w:val="21"/>
              </w:rPr>
            </w:pPr>
            <w:r>
              <w:rPr>
                <w:sz w:val="21"/>
                <w:szCs w:val="21"/>
                <w:spacing w:val="3"/>
              </w:rPr>
              <w:t>四分体下</w:t>
            </w:r>
            <w:r>
              <w:rPr>
                <w:sz w:val="21"/>
                <w:szCs w:val="21"/>
              </w:rPr>
              <w:t xml:space="preserve">  </w:t>
            </w:r>
            <w:r>
              <w:rPr>
                <w:sz w:val="21"/>
                <w:szCs w:val="21"/>
                <w:spacing w:val="1"/>
              </w:rPr>
              <w:t>降、提升机</w:t>
            </w:r>
          </w:p>
        </w:tc>
        <w:tc>
          <w:tcPr>
            <w:tcW w:w="789" w:type="dxa"/>
            <w:vAlign w:val="top"/>
          </w:tcPr>
          <w:p>
            <w:pPr>
              <w:pStyle w:val="TableText"/>
              <w:ind w:left="281"/>
              <w:spacing w:before="195"/>
              <w:rPr>
                <w:sz w:val="21"/>
                <w:szCs w:val="21"/>
              </w:rPr>
            </w:pPr>
            <w:r>
              <w:rPr>
                <w:sz w:val="21"/>
                <w:szCs w:val="21"/>
                <w:spacing w:val="-4"/>
              </w:rPr>
              <w:t>75</w:t>
            </w:r>
          </w:p>
        </w:tc>
        <w:tc>
          <w:tcPr>
            <w:tcW w:w="649" w:type="dxa"/>
            <w:vAlign w:val="top"/>
          </w:tcPr>
          <w:p>
            <w:pPr>
              <w:pStyle w:val="TableText"/>
              <w:ind w:right="1"/>
              <w:spacing w:before="174" w:line="219" w:lineRule="auto"/>
              <w:jc w:val="right"/>
              <w:rPr>
                <w:sz w:val="21"/>
                <w:szCs w:val="21"/>
              </w:rPr>
            </w:pPr>
            <w:r>
              <w:rPr>
                <w:sz w:val="21"/>
                <w:szCs w:val="21"/>
                <w:spacing w:val="-2"/>
              </w:rPr>
              <w:t>类比法</w:t>
            </w:r>
          </w:p>
        </w:tc>
        <w:tc>
          <w:tcPr>
            <w:tcW w:w="569" w:type="dxa"/>
            <w:vAlign w:val="top"/>
          </w:tcPr>
          <w:p>
            <w:pPr>
              <w:pStyle w:val="TableText"/>
              <w:ind w:left="224"/>
              <w:spacing w:before="195" w:line="241" w:lineRule="auto"/>
              <w:rPr>
                <w:sz w:val="21"/>
                <w:szCs w:val="21"/>
              </w:rPr>
            </w:pPr>
            <w:r>
              <w:rPr>
                <w:sz w:val="21"/>
                <w:szCs w:val="21"/>
              </w:rPr>
              <w:t>2</w:t>
            </w:r>
          </w:p>
        </w:tc>
        <w:tc>
          <w:tcPr>
            <w:tcW w:w="1049" w:type="dxa"/>
            <w:vAlign w:val="top"/>
          </w:tcPr>
          <w:p>
            <w:pPr>
              <w:pStyle w:val="TableText"/>
              <w:ind w:left="414"/>
              <w:spacing w:before="195"/>
              <w:rPr>
                <w:sz w:val="21"/>
                <w:szCs w:val="21"/>
              </w:rPr>
            </w:pPr>
            <w:r>
              <w:rPr>
                <w:sz w:val="21"/>
                <w:szCs w:val="21"/>
                <w:spacing w:val="-4"/>
              </w:rPr>
              <w:t>78</w:t>
            </w:r>
          </w:p>
        </w:tc>
        <w:tc>
          <w:tcPr>
            <w:tcW w:w="1298" w:type="dxa"/>
            <w:vAlign w:val="top"/>
            <w:vMerge w:val="continue"/>
            <w:tcBorders>
              <w:top w:val="nil"/>
            </w:tcBorders>
          </w:tcPr>
          <w:p>
            <w:pPr>
              <w:rPr>
                <w:rFonts w:ascii="Arial"/>
                <w:sz w:val="21"/>
              </w:rPr>
            </w:pPr>
            <w:r/>
          </w:p>
        </w:tc>
        <w:tc>
          <w:tcPr>
            <w:tcW w:w="569" w:type="dxa"/>
            <w:vAlign w:val="top"/>
          </w:tcPr>
          <w:p>
            <w:pPr>
              <w:pStyle w:val="TableText"/>
              <w:spacing w:before="35" w:line="229" w:lineRule="auto"/>
              <w:jc w:val="right"/>
              <w:rPr>
                <w:sz w:val="21"/>
                <w:szCs w:val="21"/>
              </w:rPr>
            </w:pPr>
            <w:r>
              <w:rPr>
                <w:sz w:val="21"/>
                <w:szCs w:val="21"/>
                <w:spacing w:val="-16"/>
              </w:rPr>
              <w:t>-21</w:t>
            </w:r>
            <w:r>
              <w:rPr>
                <w:sz w:val="21"/>
                <w:szCs w:val="21"/>
                <w:spacing w:val="-15"/>
              </w:rPr>
              <w:t>.3</w:t>
            </w:r>
            <w:r>
              <w:rPr>
                <w:sz w:val="21"/>
                <w:szCs w:val="21"/>
                <w:spacing w:val="-12"/>
              </w:rPr>
              <w:t>9</w:t>
            </w:r>
          </w:p>
          <w:p>
            <w:pPr>
              <w:pStyle w:val="TableText"/>
              <w:spacing w:line="56" w:lineRule="exact"/>
              <w:jc w:val="right"/>
              <w:rPr>
                <w:sz w:val="8"/>
                <w:szCs w:val="8"/>
              </w:rPr>
            </w:pPr>
            <w:r>
              <w:rPr>
                <w:sz w:val="8"/>
                <w:szCs w:val="8"/>
                <w:color w:val="4070C0"/>
                <w:spacing w:val="1"/>
                <w:position w:val="-1"/>
              </w:rPr>
              <w:t>-</w:t>
            </w:r>
          </w:p>
        </w:tc>
        <w:tc>
          <w:tcPr>
            <w:tcW w:w="569" w:type="dxa"/>
            <w:vAlign w:val="top"/>
          </w:tcPr>
          <w:p>
            <w:pPr>
              <w:pStyle w:val="TableText"/>
              <w:spacing w:before="195" w:line="239" w:lineRule="auto"/>
              <w:jc w:val="right"/>
              <w:rPr>
                <w:sz w:val="21"/>
                <w:szCs w:val="21"/>
              </w:rPr>
            </w:pPr>
            <w:r>
              <w:rPr>
                <w:sz w:val="21"/>
                <w:szCs w:val="21"/>
                <w:spacing w:val="-18"/>
              </w:rPr>
              <w:t>-30</w:t>
            </w:r>
            <w:r>
              <w:rPr>
                <w:sz w:val="21"/>
                <w:szCs w:val="21"/>
                <w:spacing w:val="-17"/>
              </w:rPr>
              <w:t>.3</w:t>
            </w:r>
            <w:r>
              <w:rPr>
                <w:sz w:val="21"/>
                <w:szCs w:val="21"/>
                <w:spacing w:val="-8"/>
              </w:rPr>
              <w:t>4</w:t>
            </w:r>
          </w:p>
        </w:tc>
        <w:tc>
          <w:tcPr>
            <w:tcW w:w="320" w:type="dxa"/>
            <w:vAlign w:val="top"/>
          </w:tcPr>
          <w:p>
            <w:pPr>
              <w:pStyle w:val="TableText"/>
              <w:spacing w:before="195" w:line="239" w:lineRule="auto"/>
              <w:jc w:val="right"/>
              <w:rPr>
                <w:sz w:val="21"/>
                <w:szCs w:val="21"/>
              </w:rPr>
            </w:pPr>
            <w:r>
              <w:rPr>
                <w:sz w:val="21"/>
                <w:szCs w:val="21"/>
                <w:spacing w:val="-9"/>
              </w:rPr>
              <w:t>1.2</w:t>
            </w:r>
          </w:p>
        </w:tc>
        <w:tc>
          <w:tcPr>
            <w:tcW w:w="470" w:type="dxa"/>
            <w:vAlign w:val="top"/>
          </w:tcPr>
          <w:p>
            <w:pPr>
              <w:pStyle w:val="TableText"/>
              <w:ind w:left="39"/>
              <w:spacing w:before="180" w:line="224" w:lineRule="auto"/>
              <w:rPr>
                <w:sz w:val="21"/>
                <w:szCs w:val="21"/>
              </w:rPr>
            </w:pPr>
            <w:r>
              <w:rPr>
                <w:sz w:val="21"/>
                <w:szCs w:val="21"/>
                <w:spacing w:val="-2"/>
              </w:rPr>
              <w:t>8h/d</w:t>
            </w:r>
          </w:p>
        </w:tc>
        <w:tc>
          <w:tcPr>
            <w:tcW w:w="604" w:type="dxa"/>
            <w:vAlign w:val="top"/>
          </w:tcPr>
          <w:p>
            <w:pPr>
              <w:pStyle w:val="TableText"/>
              <w:ind w:left="189"/>
              <w:spacing w:before="195"/>
              <w:rPr>
                <w:sz w:val="21"/>
                <w:szCs w:val="21"/>
              </w:rPr>
            </w:pPr>
            <w:r>
              <w:rPr>
                <w:sz w:val="21"/>
                <w:szCs w:val="21"/>
                <w:spacing w:val="-6"/>
              </w:rPr>
              <w:t>10</w:t>
            </w:r>
          </w:p>
        </w:tc>
      </w:tr>
      <w:tr>
        <w:trPr>
          <w:trHeight w:val="560" w:hRule="atLeast"/>
        </w:trPr>
        <w:tc>
          <w:tcPr>
            <w:tcW w:w="424" w:type="dxa"/>
            <w:vAlign w:val="top"/>
          </w:tcPr>
          <w:p>
            <w:pPr>
              <w:pStyle w:val="TableText"/>
              <w:ind w:left="93" w:hanging="78"/>
              <w:spacing w:before="26" w:line="230" w:lineRule="auto"/>
              <w:rPr>
                <w:sz w:val="21"/>
                <w:szCs w:val="21"/>
              </w:rPr>
            </w:pPr>
            <w:r>
              <w:rPr>
                <w:sz w:val="21"/>
                <w:szCs w:val="21"/>
                <w:spacing w:val="-12"/>
              </w:rPr>
              <w:t>设</w:t>
            </w:r>
            <w:r>
              <w:rPr>
                <w:sz w:val="21"/>
                <w:szCs w:val="21"/>
                <w:spacing w:val="-10"/>
              </w:rPr>
              <w:t>备</w:t>
            </w:r>
            <w:r>
              <w:rPr>
                <w:sz w:val="21"/>
                <w:szCs w:val="21"/>
              </w:rPr>
              <w:t xml:space="preserve"> </w:t>
            </w:r>
            <w:r>
              <w:rPr>
                <w:sz w:val="21"/>
                <w:szCs w:val="21"/>
              </w:rPr>
              <w:t>房</w:t>
            </w:r>
          </w:p>
        </w:tc>
        <w:tc>
          <w:tcPr>
            <w:tcW w:w="1169" w:type="dxa"/>
            <w:vAlign w:val="top"/>
          </w:tcPr>
          <w:p>
            <w:pPr>
              <w:pStyle w:val="TableText"/>
              <w:ind w:left="260"/>
              <w:spacing w:before="183" w:line="219" w:lineRule="auto"/>
              <w:rPr>
                <w:sz w:val="21"/>
                <w:szCs w:val="21"/>
              </w:rPr>
            </w:pPr>
            <w:r>
              <w:rPr>
                <w:sz w:val="21"/>
                <w:szCs w:val="21"/>
                <w:spacing w:val="2"/>
              </w:rPr>
              <w:t>空压机</w:t>
            </w:r>
          </w:p>
        </w:tc>
        <w:tc>
          <w:tcPr>
            <w:tcW w:w="789" w:type="dxa"/>
            <w:vAlign w:val="top"/>
          </w:tcPr>
          <w:p>
            <w:pPr>
              <w:pStyle w:val="TableText"/>
              <w:ind w:left="281"/>
              <w:spacing w:before="205"/>
              <w:rPr>
                <w:sz w:val="21"/>
                <w:szCs w:val="21"/>
              </w:rPr>
            </w:pPr>
            <w:r>
              <w:rPr>
                <w:sz w:val="21"/>
                <w:szCs w:val="21"/>
                <w:spacing w:val="-3"/>
              </w:rPr>
              <w:t>85</w:t>
            </w:r>
          </w:p>
        </w:tc>
        <w:tc>
          <w:tcPr>
            <w:tcW w:w="649" w:type="dxa"/>
            <w:vAlign w:val="top"/>
          </w:tcPr>
          <w:p>
            <w:pPr>
              <w:pStyle w:val="TableText"/>
              <w:ind w:right="1"/>
              <w:spacing w:before="184" w:line="219" w:lineRule="auto"/>
              <w:jc w:val="right"/>
              <w:rPr>
                <w:sz w:val="21"/>
                <w:szCs w:val="21"/>
              </w:rPr>
            </w:pPr>
            <w:r>
              <w:rPr>
                <w:sz w:val="21"/>
                <w:szCs w:val="21"/>
                <w:spacing w:val="-2"/>
              </w:rPr>
              <w:t>类比法</w:t>
            </w:r>
          </w:p>
        </w:tc>
        <w:tc>
          <w:tcPr>
            <w:tcW w:w="569" w:type="dxa"/>
            <w:vAlign w:val="top"/>
          </w:tcPr>
          <w:p>
            <w:pPr>
              <w:pStyle w:val="TableText"/>
              <w:ind w:left="224"/>
              <w:spacing w:before="205" w:line="241" w:lineRule="auto"/>
              <w:rPr>
                <w:sz w:val="21"/>
                <w:szCs w:val="21"/>
              </w:rPr>
            </w:pPr>
            <w:r>
              <w:rPr>
                <w:sz w:val="21"/>
                <w:szCs w:val="21"/>
                <w:color w:val="405040"/>
              </w:rPr>
              <w:t>4</w:t>
            </w:r>
          </w:p>
        </w:tc>
        <w:tc>
          <w:tcPr>
            <w:tcW w:w="1049" w:type="dxa"/>
            <w:vAlign w:val="top"/>
          </w:tcPr>
          <w:p>
            <w:pPr>
              <w:pStyle w:val="TableText"/>
              <w:ind w:left="414"/>
              <w:spacing w:before="205"/>
              <w:rPr>
                <w:sz w:val="21"/>
                <w:szCs w:val="21"/>
              </w:rPr>
            </w:pPr>
            <w:r>
              <w:rPr>
                <w:sz w:val="21"/>
                <w:szCs w:val="21"/>
                <w:spacing w:val="-3"/>
              </w:rPr>
              <w:t>91</w:t>
            </w:r>
          </w:p>
        </w:tc>
        <w:tc>
          <w:tcPr>
            <w:tcW w:w="1298" w:type="dxa"/>
            <w:vAlign w:val="top"/>
          </w:tcPr>
          <w:p>
            <w:pPr>
              <w:pStyle w:val="TableText"/>
              <w:ind w:left="115" w:right="20" w:hanging="99"/>
              <w:spacing w:before="35" w:line="226" w:lineRule="auto"/>
              <w:rPr>
                <w:sz w:val="21"/>
                <w:szCs w:val="21"/>
              </w:rPr>
            </w:pPr>
            <w:r>
              <w:rPr>
                <w:sz w:val="21"/>
                <w:szCs w:val="21"/>
                <w:spacing w:val="-2"/>
              </w:rPr>
              <w:t>减振安装、设</w:t>
            </w:r>
            <w:r>
              <w:rPr>
                <w:sz w:val="21"/>
                <w:szCs w:val="21"/>
                <w:spacing w:val="2"/>
              </w:rPr>
              <w:t xml:space="preserve"> </w:t>
            </w:r>
            <w:r>
              <w:rPr>
                <w:sz w:val="21"/>
                <w:szCs w:val="21"/>
                <w:spacing w:val="2"/>
              </w:rPr>
              <w:t>置设备用房</w:t>
            </w:r>
          </w:p>
        </w:tc>
        <w:tc>
          <w:tcPr>
            <w:tcW w:w="569" w:type="dxa"/>
            <w:vAlign w:val="top"/>
          </w:tcPr>
          <w:p>
            <w:pPr>
              <w:pStyle w:val="TableText"/>
              <w:ind w:left="18"/>
              <w:spacing w:before="205" w:line="239" w:lineRule="auto"/>
              <w:rPr>
                <w:sz w:val="21"/>
                <w:szCs w:val="21"/>
              </w:rPr>
            </w:pPr>
            <w:r>
              <w:rPr>
                <w:sz w:val="21"/>
                <w:szCs w:val="21"/>
                <w:spacing w:val="-2"/>
              </w:rPr>
              <w:t>-0.81</w:t>
            </w:r>
          </w:p>
        </w:tc>
        <w:tc>
          <w:tcPr>
            <w:tcW w:w="569" w:type="dxa"/>
            <w:vAlign w:val="top"/>
          </w:tcPr>
          <w:p>
            <w:pPr>
              <w:pStyle w:val="TableText"/>
              <w:ind w:left="19"/>
              <w:spacing w:before="205" w:line="239" w:lineRule="auto"/>
              <w:rPr>
                <w:sz w:val="21"/>
                <w:szCs w:val="21"/>
              </w:rPr>
            </w:pPr>
            <w:r>
              <w:rPr>
                <w:sz w:val="21"/>
                <w:szCs w:val="21"/>
                <w:spacing w:val="-2"/>
              </w:rPr>
              <w:t>47.17</w:t>
            </w:r>
          </w:p>
        </w:tc>
        <w:tc>
          <w:tcPr>
            <w:tcW w:w="320" w:type="dxa"/>
            <w:vAlign w:val="top"/>
          </w:tcPr>
          <w:p>
            <w:pPr>
              <w:pStyle w:val="TableText"/>
              <w:spacing w:before="205" w:line="239" w:lineRule="auto"/>
              <w:jc w:val="right"/>
              <w:rPr>
                <w:sz w:val="21"/>
                <w:szCs w:val="21"/>
              </w:rPr>
            </w:pPr>
            <w:r>
              <w:rPr>
                <w:sz w:val="21"/>
                <w:szCs w:val="21"/>
                <w:spacing w:val="-9"/>
              </w:rPr>
              <w:t>0.5</w:t>
            </w:r>
          </w:p>
        </w:tc>
        <w:tc>
          <w:tcPr>
            <w:tcW w:w="470" w:type="dxa"/>
            <w:vAlign w:val="top"/>
          </w:tcPr>
          <w:p>
            <w:pPr>
              <w:pStyle w:val="TableText"/>
              <w:spacing w:before="190" w:line="224" w:lineRule="auto"/>
              <w:jc w:val="right"/>
              <w:rPr>
                <w:sz w:val="21"/>
                <w:szCs w:val="21"/>
              </w:rPr>
            </w:pPr>
            <w:r>
              <w:rPr>
                <w:sz w:val="21"/>
                <w:szCs w:val="21"/>
                <w:spacing w:val="-15"/>
                <w:w w:val="96"/>
              </w:rPr>
              <w:t>24h</w:t>
            </w:r>
            <w:r>
              <w:rPr>
                <w:sz w:val="21"/>
                <w:szCs w:val="21"/>
                <w:spacing w:val="-14"/>
                <w:w w:val="96"/>
              </w:rPr>
              <w:t>/</w:t>
            </w:r>
            <w:r>
              <w:rPr>
                <w:sz w:val="21"/>
                <w:szCs w:val="21"/>
                <w:spacing w:val="-6"/>
                <w:w w:val="96"/>
              </w:rPr>
              <w:t>d</w:t>
            </w:r>
          </w:p>
        </w:tc>
        <w:tc>
          <w:tcPr>
            <w:tcW w:w="604" w:type="dxa"/>
            <w:vAlign w:val="top"/>
          </w:tcPr>
          <w:p>
            <w:pPr>
              <w:pStyle w:val="TableText"/>
              <w:ind w:left="189"/>
              <w:spacing w:before="205"/>
              <w:rPr>
                <w:sz w:val="21"/>
                <w:szCs w:val="21"/>
              </w:rPr>
            </w:pPr>
            <w:r>
              <w:rPr>
                <w:sz w:val="21"/>
                <w:szCs w:val="21"/>
                <w:color w:val="302040"/>
                <w:spacing w:val="-6"/>
              </w:rPr>
              <w:t>15</w:t>
            </w:r>
          </w:p>
        </w:tc>
      </w:tr>
      <w:tr>
        <w:trPr>
          <w:trHeight w:val="539" w:hRule="atLeast"/>
        </w:trPr>
        <w:tc>
          <w:tcPr>
            <w:tcW w:w="424" w:type="dxa"/>
            <w:vAlign w:val="top"/>
            <w:vMerge w:val="restart"/>
            <w:tcBorders>
              <w:bottom w:val="nil"/>
            </w:tcBorders>
          </w:tcPr>
          <w:p>
            <w:pPr>
              <w:pStyle w:val="TableText"/>
              <w:spacing w:before="154" w:line="219" w:lineRule="auto"/>
              <w:jc w:val="right"/>
              <w:rPr>
                <w:sz w:val="21"/>
                <w:szCs w:val="21"/>
              </w:rPr>
            </w:pPr>
            <w:r>
              <w:rPr>
                <w:sz w:val="21"/>
                <w:szCs w:val="21"/>
                <w:spacing w:val="-12"/>
              </w:rPr>
              <w:t>污</w:t>
            </w:r>
            <w:r>
              <w:rPr>
                <w:sz w:val="21"/>
                <w:szCs w:val="21"/>
                <w:spacing w:val="-10"/>
              </w:rPr>
              <w:t>水</w:t>
            </w:r>
          </w:p>
          <w:p>
            <w:pPr>
              <w:pStyle w:val="TableText"/>
              <w:ind w:left="93" w:hanging="78"/>
              <w:spacing w:before="44" w:line="231" w:lineRule="auto"/>
              <w:rPr>
                <w:sz w:val="21"/>
                <w:szCs w:val="21"/>
              </w:rPr>
            </w:pPr>
            <w:r>
              <w:rPr>
                <w:sz w:val="21"/>
                <w:szCs w:val="21"/>
                <w:spacing w:val="-14"/>
              </w:rPr>
              <w:t>处</w:t>
            </w:r>
            <w:r>
              <w:rPr>
                <w:sz w:val="21"/>
                <w:szCs w:val="21"/>
                <w:spacing w:val="-8"/>
              </w:rPr>
              <w:t>理</w:t>
            </w:r>
            <w:r>
              <w:rPr>
                <w:sz w:val="21"/>
                <w:szCs w:val="21"/>
              </w:rPr>
              <w:t xml:space="preserve"> </w:t>
            </w:r>
            <w:r>
              <w:rPr>
                <w:sz w:val="21"/>
                <w:szCs w:val="21"/>
              </w:rPr>
              <w:t>站</w:t>
            </w:r>
          </w:p>
        </w:tc>
        <w:tc>
          <w:tcPr>
            <w:tcW w:w="1169" w:type="dxa"/>
            <w:vAlign w:val="top"/>
          </w:tcPr>
          <w:p>
            <w:pPr>
              <w:pStyle w:val="TableText"/>
              <w:ind w:left="360"/>
              <w:spacing w:before="174" w:line="219" w:lineRule="auto"/>
              <w:rPr>
                <w:sz w:val="21"/>
                <w:szCs w:val="21"/>
              </w:rPr>
            </w:pPr>
            <w:r>
              <w:rPr>
                <w:sz w:val="21"/>
                <w:szCs w:val="21"/>
                <w:spacing w:val="5"/>
              </w:rPr>
              <w:t>水泵</w:t>
            </w:r>
          </w:p>
        </w:tc>
        <w:tc>
          <w:tcPr>
            <w:tcW w:w="789" w:type="dxa"/>
            <w:vAlign w:val="top"/>
          </w:tcPr>
          <w:p>
            <w:pPr>
              <w:pStyle w:val="TableText"/>
              <w:ind w:left="281"/>
              <w:spacing w:before="195"/>
              <w:rPr>
                <w:sz w:val="21"/>
                <w:szCs w:val="21"/>
              </w:rPr>
            </w:pPr>
            <w:r>
              <w:rPr>
                <w:sz w:val="21"/>
                <w:szCs w:val="21"/>
                <w:spacing w:val="-3"/>
              </w:rPr>
              <w:t>80</w:t>
            </w:r>
          </w:p>
        </w:tc>
        <w:tc>
          <w:tcPr>
            <w:tcW w:w="649" w:type="dxa"/>
            <w:vAlign w:val="top"/>
          </w:tcPr>
          <w:p>
            <w:pPr>
              <w:pStyle w:val="TableText"/>
              <w:ind w:right="1"/>
              <w:spacing w:before="174" w:line="219" w:lineRule="auto"/>
              <w:jc w:val="right"/>
              <w:rPr>
                <w:sz w:val="21"/>
                <w:szCs w:val="21"/>
              </w:rPr>
            </w:pPr>
            <w:r>
              <w:rPr>
                <w:sz w:val="21"/>
                <w:szCs w:val="21"/>
                <w:spacing w:val="-2"/>
              </w:rPr>
              <w:t>类比法</w:t>
            </w:r>
          </w:p>
        </w:tc>
        <w:tc>
          <w:tcPr>
            <w:tcW w:w="569" w:type="dxa"/>
            <w:vAlign w:val="top"/>
          </w:tcPr>
          <w:p>
            <w:pPr>
              <w:pStyle w:val="TableText"/>
              <w:ind w:left="173"/>
              <w:spacing w:before="195" w:line="241" w:lineRule="auto"/>
              <w:rPr>
                <w:sz w:val="21"/>
                <w:szCs w:val="21"/>
              </w:rPr>
            </w:pPr>
            <w:r>
              <w:rPr>
                <w:sz w:val="21"/>
                <w:szCs w:val="21"/>
                <w:color w:val="304050"/>
                <w:spacing w:val="-6"/>
              </w:rPr>
              <w:t>11</w:t>
            </w:r>
          </w:p>
        </w:tc>
        <w:tc>
          <w:tcPr>
            <w:tcW w:w="1049" w:type="dxa"/>
            <w:vAlign w:val="top"/>
          </w:tcPr>
          <w:p>
            <w:pPr>
              <w:pStyle w:val="TableText"/>
              <w:ind w:left="414"/>
              <w:spacing w:before="195"/>
              <w:rPr>
                <w:sz w:val="21"/>
                <w:szCs w:val="21"/>
              </w:rPr>
            </w:pPr>
            <w:r>
              <w:rPr>
                <w:sz w:val="21"/>
                <w:szCs w:val="21"/>
                <w:spacing w:val="-3"/>
              </w:rPr>
              <w:t>90</w:t>
            </w:r>
          </w:p>
        </w:tc>
        <w:tc>
          <w:tcPr>
            <w:tcW w:w="1298" w:type="dxa"/>
            <w:vAlign w:val="top"/>
          </w:tcPr>
          <w:p>
            <w:pPr>
              <w:pStyle w:val="TableText"/>
              <w:ind w:left="405" w:right="20" w:hanging="389"/>
              <w:spacing w:before="35" w:line="212" w:lineRule="auto"/>
              <w:rPr>
                <w:sz w:val="21"/>
                <w:szCs w:val="21"/>
              </w:rPr>
            </w:pPr>
            <w:r>
              <w:rPr>
                <w:sz w:val="21"/>
                <w:szCs w:val="21"/>
                <w:spacing w:val="-2"/>
              </w:rPr>
              <w:t>减振安装、地</w:t>
            </w:r>
            <w:r>
              <w:rPr>
                <w:sz w:val="21"/>
                <w:szCs w:val="21"/>
                <w:spacing w:val="2"/>
              </w:rPr>
              <w:t xml:space="preserve"> </w:t>
            </w:r>
            <w:r>
              <w:rPr>
                <w:sz w:val="21"/>
                <w:szCs w:val="21"/>
                <w:spacing w:val="-3"/>
              </w:rPr>
              <w:t>埋式</w:t>
            </w:r>
          </w:p>
        </w:tc>
        <w:tc>
          <w:tcPr>
            <w:tcW w:w="569" w:type="dxa"/>
            <w:vAlign w:val="top"/>
          </w:tcPr>
          <w:p>
            <w:pPr>
              <w:pStyle w:val="TableText"/>
              <w:ind w:left="68"/>
              <w:spacing w:before="195" w:line="239" w:lineRule="auto"/>
              <w:rPr>
                <w:sz w:val="21"/>
                <w:szCs w:val="21"/>
              </w:rPr>
            </w:pPr>
            <w:r>
              <w:rPr>
                <w:sz w:val="21"/>
                <w:szCs w:val="21"/>
                <w:spacing w:val="-5"/>
              </w:rPr>
              <w:t>18.4</w:t>
            </w:r>
          </w:p>
        </w:tc>
        <w:tc>
          <w:tcPr>
            <w:tcW w:w="569" w:type="dxa"/>
            <w:vAlign w:val="top"/>
          </w:tcPr>
          <w:p>
            <w:pPr>
              <w:pStyle w:val="TableText"/>
              <w:ind w:left="19"/>
              <w:spacing w:before="195" w:line="239" w:lineRule="auto"/>
              <w:rPr>
                <w:sz w:val="21"/>
                <w:szCs w:val="21"/>
              </w:rPr>
            </w:pPr>
            <w:r>
              <w:rPr>
                <w:sz w:val="21"/>
                <w:szCs w:val="21"/>
                <w:spacing w:val="-2"/>
              </w:rPr>
              <w:t>67.95</w:t>
            </w:r>
          </w:p>
        </w:tc>
        <w:tc>
          <w:tcPr>
            <w:tcW w:w="320" w:type="dxa"/>
            <w:vAlign w:val="top"/>
          </w:tcPr>
          <w:p>
            <w:pPr>
              <w:pStyle w:val="TableText"/>
              <w:spacing w:before="195" w:line="239" w:lineRule="auto"/>
              <w:jc w:val="right"/>
              <w:rPr>
                <w:sz w:val="21"/>
                <w:szCs w:val="21"/>
              </w:rPr>
            </w:pPr>
            <w:r>
              <w:rPr>
                <w:sz w:val="21"/>
                <w:szCs w:val="21"/>
                <w:spacing w:val="-9"/>
              </w:rPr>
              <w:t>0.2</w:t>
            </w:r>
          </w:p>
        </w:tc>
        <w:tc>
          <w:tcPr>
            <w:tcW w:w="470" w:type="dxa"/>
            <w:vAlign w:val="top"/>
          </w:tcPr>
          <w:p>
            <w:pPr>
              <w:pStyle w:val="TableText"/>
              <w:spacing w:before="180" w:line="224" w:lineRule="auto"/>
              <w:jc w:val="right"/>
              <w:rPr>
                <w:sz w:val="21"/>
                <w:szCs w:val="21"/>
              </w:rPr>
            </w:pPr>
            <w:r>
              <w:rPr>
                <w:sz w:val="21"/>
                <w:szCs w:val="21"/>
                <w:spacing w:val="-15"/>
                <w:w w:val="96"/>
              </w:rPr>
              <w:t>24h</w:t>
            </w:r>
            <w:r>
              <w:rPr>
                <w:sz w:val="21"/>
                <w:szCs w:val="21"/>
                <w:spacing w:val="-14"/>
                <w:w w:val="96"/>
              </w:rPr>
              <w:t>/</w:t>
            </w:r>
            <w:r>
              <w:rPr>
                <w:sz w:val="21"/>
                <w:szCs w:val="21"/>
                <w:spacing w:val="-6"/>
                <w:w w:val="96"/>
              </w:rPr>
              <w:t>d</w:t>
            </w:r>
          </w:p>
        </w:tc>
        <w:tc>
          <w:tcPr>
            <w:tcW w:w="604" w:type="dxa"/>
            <w:vAlign w:val="top"/>
          </w:tcPr>
          <w:p>
            <w:pPr>
              <w:pStyle w:val="TableText"/>
              <w:ind w:left="189"/>
              <w:spacing w:before="195"/>
              <w:rPr>
                <w:sz w:val="21"/>
                <w:szCs w:val="21"/>
              </w:rPr>
            </w:pPr>
            <w:r>
              <w:rPr>
                <w:sz w:val="21"/>
                <w:szCs w:val="21"/>
                <w:spacing w:val="-3"/>
              </w:rPr>
              <w:t>20</w:t>
            </w:r>
          </w:p>
        </w:tc>
      </w:tr>
      <w:tr>
        <w:trPr>
          <w:trHeight w:val="539" w:hRule="atLeast"/>
        </w:trPr>
        <w:tc>
          <w:tcPr>
            <w:tcW w:w="424" w:type="dxa"/>
            <w:vAlign w:val="top"/>
            <w:vMerge w:val="continue"/>
            <w:tcBorders>
              <w:top w:val="nil"/>
            </w:tcBorders>
          </w:tcPr>
          <w:p>
            <w:pPr>
              <w:rPr>
                <w:rFonts w:ascii="Arial"/>
                <w:sz w:val="21"/>
              </w:rPr>
            </w:pPr>
            <w:r/>
          </w:p>
        </w:tc>
        <w:tc>
          <w:tcPr>
            <w:tcW w:w="1169" w:type="dxa"/>
            <w:vAlign w:val="top"/>
          </w:tcPr>
          <w:p>
            <w:pPr>
              <w:pStyle w:val="TableText"/>
              <w:ind w:left="260"/>
              <w:spacing w:before="174" w:line="219" w:lineRule="auto"/>
              <w:rPr>
                <w:sz w:val="21"/>
                <w:szCs w:val="21"/>
              </w:rPr>
            </w:pPr>
            <w:r>
              <w:rPr>
                <w:sz w:val="21"/>
                <w:szCs w:val="21"/>
                <w:spacing w:val="-3"/>
              </w:rPr>
              <w:t>鼓风机</w:t>
            </w:r>
          </w:p>
        </w:tc>
        <w:tc>
          <w:tcPr>
            <w:tcW w:w="789" w:type="dxa"/>
            <w:vAlign w:val="top"/>
          </w:tcPr>
          <w:p>
            <w:pPr>
              <w:pStyle w:val="TableText"/>
              <w:ind w:left="281"/>
              <w:spacing w:before="196"/>
              <w:rPr>
                <w:sz w:val="21"/>
                <w:szCs w:val="21"/>
              </w:rPr>
            </w:pPr>
            <w:r>
              <w:rPr>
                <w:sz w:val="21"/>
                <w:szCs w:val="21"/>
                <w:spacing w:val="-3"/>
              </w:rPr>
              <w:t>85</w:t>
            </w:r>
          </w:p>
        </w:tc>
        <w:tc>
          <w:tcPr>
            <w:tcW w:w="649" w:type="dxa"/>
            <w:vAlign w:val="top"/>
          </w:tcPr>
          <w:p>
            <w:pPr>
              <w:pStyle w:val="TableText"/>
              <w:ind w:right="1"/>
              <w:spacing w:before="175" w:line="219" w:lineRule="auto"/>
              <w:jc w:val="right"/>
              <w:rPr>
                <w:sz w:val="21"/>
                <w:szCs w:val="21"/>
              </w:rPr>
            </w:pPr>
            <w:r>
              <w:rPr>
                <w:sz w:val="21"/>
                <w:szCs w:val="21"/>
                <w:spacing w:val="-2"/>
              </w:rPr>
              <w:t>类比法</w:t>
            </w:r>
          </w:p>
        </w:tc>
        <w:tc>
          <w:tcPr>
            <w:tcW w:w="569" w:type="dxa"/>
            <w:vAlign w:val="top"/>
          </w:tcPr>
          <w:p>
            <w:pPr>
              <w:pStyle w:val="TableText"/>
              <w:ind w:left="224"/>
              <w:spacing w:before="196" w:line="241" w:lineRule="auto"/>
              <w:rPr>
                <w:sz w:val="21"/>
                <w:szCs w:val="21"/>
              </w:rPr>
            </w:pPr>
            <w:r>
              <w:rPr>
                <w:sz w:val="21"/>
                <w:szCs w:val="21"/>
                <w:color w:val="404040"/>
              </w:rPr>
              <w:t>4</w:t>
            </w:r>
          </w:p>
        </w:tc>
        <w:tc>
          <w:tcPr>
            <w:tcW w:w="1049" w:type="dxa"/>
            <w:vAlign w:val="top"/>
          </w:tcPr>
          <w:p>
            <w:pPr>
              <w:pStyle w:val="TableText"/>
              <w:ind w:left="414"/>
              <w:spacing w:before="196"/>
              <w:rPr>
                <w:sz w:val="21"/>
                <w:szCs w:val="21"/>
              </w:rPr>
            </w:pPr>
            <w:r>
              <w:rPr>
                <w:sz w:val="21"/>
                <w:szCs w:val="21"/>
                <w:spacing w:val="-3"/>
              </w:rPr>
              <w:t>91</w:t>
            </w:r>
          </w:p>
        </w:tc>
        <w:tc>
          <w:tcPr>
            <w:tcW w:w="1298" w:type="dxa"/>
            <w:vAlign w:val="top"/>
          </w:tcPr>
          <w:p>
            <w:pPr>
              <w:pStyle w:val="TableText"/>
              <w:ind w:left="16" w:right="2"/>
              <w:spacing w:before="35" w:line="217" w:lineRule="auto"/>
              <w:rPr>
                <w:sz w:val="21"/>
                <w:szCs w:val="21"/>
              </w:rPr>
            </w:pPr>
            <w:r>
              <w:rPr>
                <w:sz w:val="21"/>
                <w:szCs w:val="21"/>
                <w:spacing w:val="-2"/>
              </w:rPr>
              <w:t>选用低噪声设</w:t>
            </w:r>
            <w:r>
              <w:rPr>
                <w:sz w:val="21"/>
                <w:szCs w:val="21"/>
                <w:spacing w:val="3"/>
              </w:rPr>
              <w:t xml:space="preserve"> </w:t>
            </w:r>
            <w:r>
              <w:rPr>
                <w:sz w:val="21"/>
                <w:szCs w:val="21"/>
                <w:spacing w:val="1"/>
              </w:rPr>
              <w:t>备、减振安装</w:t>
            </w:r>
          </w:p>
        </w:tc>
        <w:tc>
          <w:tcPr>
            <w:tcW w:w="569" w:type="dxa"/>
            <w:vAlign w:val="top"/>
          </w:tcPr>
          <w:p>
            <w:pPr>
              <w:pStyle w:val="TableText"/>
              <w:ind w:left="18"/>
              <w:spacing w:before="196" w:line="239" w:lineRule="auto"/>
              <w:rPr>
                <w:sz w:val="21"/>
                <w:szCs w:val="21"/>
              </w:rPr>
            </w:pPr>
            <w:r>
              <w:rPr>
                <w:sz w:val="21"/>
                <w:szCs w:val="21"/>
                <w:color w:val="504040"/>
                <w:spacing w:val="-4"/>
              </w:rPr>
              <w:t>13.31</w:t>
            </w:r>
          </w:p>
        </w:tc>
        <w:tc>
          <w:tcPr>
            <w:tcW w:w="569" w:type="dxa"/>
            <w:vAlign w:val="top"/>
          </w:tcPr>
          <w:p>
            <w:pPr>
              <w:pStyle w:val="TableText"/>
              <w:ind w:left="19"/>
              <w:spacing w:before="196" w:line="239" w:lineRule="auto"/>
              <w:rPr>
                <w:sz w:val="21"/>
                <w:szCs w:val="21"/>
              </w:rPr>
            </w:pPr>
            <w:r>
              <w:rPr>
                <w:sz w:val="21"/>
                <w:szCs w:val="21"/>
                <w:spacing w:val="-2"/>
              </w:rPr>
              <w:t>63.64</w:t>
            </w:r>
          </w:p>
        </w:tc>
        <w:tc>
          <w:tcPr>
            <w:tcW w:w="320" w:type="dxa"/>
            <w:vAlign w:val="top"/>
          </w:tcPr>
          <w:p>
            <w:pPr>
              <w:pStyle w:val="TableText"/>
              <w:spacing w:before="196" w:line="239" w:lineRule="auto"/>
              <w:jc w:val="right"/>
              <w:rPr>
                <w:sz w:val="21"/>
                <w:szCs w:val="21"/>
              </w:rPr>
            </w:pPr>
            <w:r>
              <w:rPr>
                <w:sz w:val="21"/>
                <w:szCs w:val="21"/>
                <w:spacing w:val="-9"/>
              </w:rPr>
              <w:t>0.5</w:t>
            </w:r>
          </w:p>
        </w:tc>
        <w:tc>
          <w:tcPr>
            <w:tcW w:w="470" w:type="dxa"/>
            <w:vAlign w:val="top"/>
          </w:tcPr>
          <w:p>
            <w:pPr>
              <w:pStyle w:val="TableText"/>
              <w:spacing w:before="181" w:line="224" w:lineRule="auto"/>
              <w:jc w:val="right"/>
              <w:rPr>
                <w:sz w:val="21"/>
                <w:szCs w:val="21"/>
              </w:rPr>
            </w:pPr>
            <w:r>
              <w:rPr>
                <w:sz w:val="21"/>
                <w:szCs w:val="21"/>
                <w:spacing w:val="-15"/>
                <w:w w:val="96"/>
              </w:rPr>
              <w:t>24h</w:t>
            </w:r>
            <w:r>
              <w:rPr>
                <w:sz w:val="21"/>
                <w:szCs w:val="21"/>
                <w:spacing w:val="-14"/>
                <w:w w:val="96"/>
              </w:rPr>
              <w:t>/</w:t>
            </w:r>
            <w:r>
              <w:rPr>
                <w:sz w:val="21"/>
                <w:szCs w:val="21"/>
                <w:spacing w:val="-6"/>
                <w:w w:val="96"/>
              </w:rPr>
              <w:t>d</w:t>
            </w:r>
          </w:p>
        </w:tc>
        <w:tc>
          <w:tcPr>
            <w:tcW w:w="604" w:type="dxa"/>
            <w:vAlign w:val="top"/>
          </w:tcPr>
          <w:p>
            <w:pPr>
              <w:pStyle w:val="TableText"/>
              <w:ind w:left="189"/>
              <w:spacing w:before="196"/>
              <w:rPr>
                <w:sz w:val="21"/>
                <w:szCs w:val="21"/>
              </w:rPr>
            </w:pPr>
            <w:r>
              <w:rPr>
                <w:sz w:val="21"/>
                <w:szCs w:val="21"/>
                <w:color w:val="302040"/>
                <w:spacing w:val="-6"/>
              </w:rPr>
              <w:t>15</w:t>
            </w:r>
          </w:p>
        </w:tc>
      </w:tr>
      <w:tr>
        <w:trPr>
          <w:trHeight w:val="819" w:hRule="atLeast"/>
        </w:trPr>
        <w:tc>
          <w:tcPr>
            <w:tcW w:w="424" w:type="dxa"/>
            <w:vAlign w:val="top"/>
          </w:tcPr>
          <w:p>
            <w:pPr>
              <w:pStyle w:val="TableText"/>
              <w:spacing w:before="17" w:line="220" w:lineRule="auto"/>
              <w:jc w:val="right"/>
              <w:rPr>
                <w:sz w:val="21"/>
                <w:szCs w:val="21"/>
              </w:rPr>
            </w:pPr>
            <w:r>
              <w:rPr>
                <w:sz w:val="21"/>
                <w:szCs w:val="21"/>
                <w:spacing w:val="-11"/>
              </w:rPr>
              <w:t>柴油</w:t>
            </w:r>
          </w:p>
          <w:p>
            <w:pPr>
              <w:pStyle w:val="TableText"/>
              <w:spacing w:before="39" w:line="220" w:lineRule="auto"/>
              <w:jc w:val="right"/>
              <w:rPr>
                <w:sz w:val="21"/>
                <w:szCs w:val="21"/>
              </w:rPr>
            </w:pPr>
            <w:r>
              <w:rPr>
                <w:sz w:val="21"/>
                <w:szCs w:val="21"/>
                <w:spacing w:val="-11"/>
              </w:rPr>
              <w:t>发电</w:t>
            </w:r>
          </w:p>
          <w:p>
            <w:pPr>
              <w:pStyle w:val="TableText"/>
              <w:spacing w:before="7" w:line="214" w:lineRule="auto"/>
              <w:jc w:val="right"/>
              <w:rPr>
                <w:sz w:val="21"/>
                <w:szCs w:val="21"/>
              </w:rPr>
            </w:pPr>
            <w:r>
              <w:rPr>
                <w:sz w:val="21"/>
                <w:szCs w:val="21"/>
                <w:color w:val="605050"/>
                <w:spacing w:val="-11"/>
              </w:rPr>
              <w:t>机房</w:t>
            </w:r>
          </w:p>
        </w:tc>
        <w:tc>
          <w:tcPr>
            <w:tcW w:w="1169" w:type="dxa"/>
            <w:vAlign w:val="top"/>
          </w:tcPr>
          <w:p>
            <w:pPr>
              <w:spacing w:line="245" w:lineRule="auto"/>
              <w:rPr>
                <w:rFonts w:ascii="Arial"/>
                <w:sz w:val="21"/>
              </w:rPr>
            </w:pPr>
            <w:r/>
          </w:p>
          <w:p>
            <w:pPr>
              <w:pStyle w:val="TableText"/>
              <w:ind w:left="50"/>
              <w:spacing w:before="68" w:line="219" w:lineRule="auto"/>
              <w:rPr>
                <w:sz w:val="21"/>
                <w:szCs w:val="21"/>
              </w:rPr>
            </w:pPr>
            <w:r>
              <w:rPr>
                <w:sz w:val="21"/>
                <w:szCs w:val="21"/>
                <w:spacing w:val="-2"/>
              </w:rPr>
              <w:t>柴油发电机</w:t>
            </w:r>
          </w:p>
        </w:tc>
        <w:tc>
          <w:tcPr>
            <w:tcW w:w="789" w:type="dxa"/>
            <w:vAlign w:val="top"/>
          </w:tcPr>
          <w:p>
            <w:pPr>
              <w:spacing w:line="267" w:lineRule="auto"/>
              <w:rPr>
                <w:rFonts w:ascii="Arial"/>
                <w:sz w:val="21"/>
              </w:rPr>
            </w:pPr>
            <w:r/>
          </w:p>
          <w:p>
            <w:pPr>
              <w:pStyle w:val="TableText"/>
              <w:ind w:left="281"/>
              <w:spacing w:before="68"/>
              <w:rPr>
                <w:sz w:val="21"/>
                <w:szCs w:val="21"/>
              </w:rPr>
            </w:pPr>
            <w:r>
              <w:rPr>
                <w:sz w:val="21"/>
                <w:szCs w:val="21"/>
                <w:spacing w:val="-3"/>
              </w:rPr>
              <w:t>80</w:t>
            </w:r>
          </w:p>
        </w:tc>
        <w:tc>
          <w:tcPr>
            <w:tcW w:w="649" w:type="dxa"/>
            <w:vAlign w:val="top"/>
          </w:tcPr>
          <w:p>
            <w:pPr>
              <w:spacing w:line="247" w:lineRule="auto"/>
              <w:rPr>
                <w:rFonts w:ascii="Arial"/>
                <w:sz w:val="21"/>
              </w:rPr>
            </w:pPr>
            <w:r/>
          </w:p>
          <w:p>
            <w:pPr>
              <w:pStyle w:val="TableText"/>
              <w:ind w:right="1"/>
              <w:spacing w:before="68" w:line="219" w:lineRule="auto"/>
              <w:jc w:val="right"/>
              <w:rPr>
                <w:sz w:val="21"/>
                <w:szCs w:val="21"/>
              </w:rPr>
            </w:pPr>
            <w:r>
              <w:rPr>
                <w:sz w:val="21"/>
                <w:szCs w:val="21"/>
                <w:spacing w:val="-2"/>
              </w:rPr>
              <w:t>类比法</w:t>
            </w:r>
          </w:p>
        </w:tc>
        <w:tc>
          <w:tcPr>
            <w:tcW w:w="569" w:type="dxa"/>
            <w:vAlign w:val="top"/>
            <w:textDirection w:val="tbRlV"/>
          </w:tcPr>
          <w:p>
            <w:pPr>
              <w:pStyle w:val="TableText"/>
              <w:ind w:left="271"/>
              <w:spacing w:before="253" w:line="126" w:lineRule="exact"/>
              <w:rPr>
                <w:sz w:val="21"/>
                <w:szCs w:val="21"/>
              </w:rPr>
            </w:pPr>
            <w:r>
              <w:rPr>
                <w:sz w:val="21"/>
                <w:szCs w:val="21"/>
                <w:color w:val="605040"/>
                <w:spacing w:val="50"/>
                <w:w w:val="125"/>
                <w:position w:val="-3"/>
              </w:rPr>
              <w:t>1</w:t>
            </w:r>
          </w:p>
        </w:tc>
        <w:tc>
          <w:tcPr>
            <w:tcW w:w="1049" w:type="dxa"/>
            <w:vAlign w:val="top"/>
          </w:tcPr>
          <w:p>
            <w:pPr>
              <w:spacing w:line="267" w:lineRule="auto"/>
              <w:rPr>
                <w:rFonts w:ascii="Arial"/>
                <w:sz w:val="21"/>
              </w:rPr>
            </w:pPr>
            <w:r/>
          </w:p>
          <w:p>
            <w:pPr>
              <w:pStyle w:val="TableText"/>
              <w:ind w:left="414"/>
              <w:spacing w:before="68"/>
              <w:rPr>
                <w:sz w:val="21"/>
                <w:szCs w:val="21"/>
              </w:rPr>
            </w:pPr>
            <w:r>
              <w:rPr>
                <w:sz w:val="21"/>
                <w:szCs w:val="21"/>
                <w:spacing w:val="-3"/>
              </w:rPr>
              <w:t>80</w:t>
            </w:r>
          </w:p>
        </w:tc>
        <w:tc>
          <w:tcPr>
            <w:tcW w:w="1298" w:type="dxa"/>
            <w:vAlign w:val="top"/>
          </w:tcPr>
          <w:p>
            <w:pPr>
              <w:pStyle w:val="TableText"/>
              <w:ind w:left="16"/>
              <w:spacing w:before="37" w:line="226" w:lineRule="auto"/>
              <w:rPr>
                <w:sz w:val="21"/>
                <w:szCs w:val="21"/>
              </w:rPr>
            </w:pPr>
            <w:r>
              <w:rPr>
                <w:sz w:val="21"/>
                <w:szCs w:val="21"/>
                <w:spacing w:val="-2"/>
              </w:rPr>
              <w:t>选用低噪声设</w:t>
            </w:r>
            <w:r>
              <w:rPr>
                <w:sz w:val="21"/>
                <w:szCs w:val="21"/>
                <w:spacing w:val="1"/>
              </w:rPr>
              <w:t xml:space="preserve"> </w:t>
            </w:r>
            <w:r>
              <w:rPr>
                <w:sz w:val="21"/>
                <w:szCs w:val="21"/>
                <w:spacing w:val="22"/>
              </w:rPr>
              <w:t>备、减振安</w:t>
            </w:r>
            <w:r>
              <w:rPr>
                <w:sz w:val="21"/>
                <w:szCs w:val="21"/>
              </w:rPr>
              <w:t xml:space="preserve">  </w:t>
            </w:r>
            <w:r>
              <w:rPr>
                <w:sz w:val="21"/>
                <w:szCs w:val="21"/>
                <w:spacing w:val="1"/>
              </w:rPr>
              <w:t>装、厂房隔声</w:t>
            </w:r>
          </w:p>
        </w:tc>
        <w:tc>
          <w:tcPr>
            <w:tcW w:w="569" w:type="dxa"/>
            <w:vAlign w:val="top"/>
          </w:tcPr>
          <w:p>
            <w:pPr>
              <w:spacing w:line="267" w:lineRule="auto"/>
              <w:rPr>
                <w:rFonts w:ascii="Arial"/>
                <w:sz w:val="21"/>
              </w:rPr>
            </w:pPr>
            <w:r/>
          </w:p>
          <w:p>
            <w:pPr>
              <w:pStyle w:val="TableText"/>
              <w:spacing w:before="68" w:line="239" w:lineRule="auto"/>
              <w:jc w:val="right"/>
              <w:rPr>
                <w:sz w:val="21"/>
                <w:szCs w:val="21"/>
              </w:rPr>
            </w:pPr>
            <w:r>
              <w:rPr>
                <w:sz w:val="21"/>
                <w:szCs w:val="21"/>
                <w:spacing w:val="-15"/>
              </w:rPr>
              <w:t>-15.71</w:t>
            </w:r>
          </w:p>
        </w:tc>
        <w:tc>
          <w:tcPr>
            <w:tcW w:w="569" w:type="dxa"/>
            <w:vAlign w:val="top"/>
          </w:tcPr>
          <w:p>
            <w:pPr>
              <w:spacing w:line="267" w:lineRule="auto"/>
              <w:rPr>
                <w:rFonts w:ascii="Arial"/>
                <w:sz w:val="21"/>
              </w:rPr>
            </w:pPr>
            <w:r/>
          </w:p>
          <w:p>
            <w:pPr>
              <w:pStyle w:val="TableText"/>
              <w:spacing w:before="68" w:line="239" w:lineRule="auto"/>
              <w:jc w:val="right"/>
              <w:rPr>
                <w:sz w:val="21"/>
                <w:szCs w:val="21"/>
              </w:rPr>
            </w:pPr>
            <w:r>
              <w:rPr>
                <w:sz w:val="21"/>
                <w:szCs w:val="21"/>
                <w:spacing w:val="-16"/>
              </w:rPr>
              <w:t>-68.11</w:t>
            </w:r>
          </w:p>
        </w:tc>
        <w:tc>
          <w:tcPr>
            <w:tcW w:w="320" w:type="dxa"/>
            <w:vAlign w:val="top"/>
          </w:tcPr>
          <w:p>
            <w:pPr>
              <w:spacing w:line="267" w:lineRule="auto"/>
              <w:rPr>
                <w:rFonts w:ascii="Arial"/>
                <w:sz w:val="21"/>
              </w:rPr>
            </w:pPr>
            <w:r/>
          </w:p>
          <w:p>
            <w:pPr>
              <w:pStyle w:val="TableText"/>
              <w:spacing w:before="68" w:line="239" w:lineRule="auto"/>
              <w:jc w:val="right"/>
              <w:rPr>
                <w:sz w:val="21"/>
                <w:szCs w:val="21"/>
              </w:rPr>
            </w:pPr>
            <w:r>
              <w:rPr>
                <w:sz w:val="21"/>
                <w:szCs w:val="21"/>
                <w:spacing w:val="-9"/>
              </w:rPr>
              <w:t>0.5</w:t>
            </w:r>
          </w:p>
        </w:tc>
        <w:tc>
          <w:tcPr>
            <w:tcW w:w="470" w:type="dxa"/>
            <w:vAlign w:val="top"/>
          </w:tcPr>
          <w:p>
            <w:pPr>
              <w:spacing w:line="252" w:lineRule="auto"/>
              <w:rPr>
                <w:rFonts w:ascii="Arial"/>
                <w:sz w:val="21"/>
              </w:rPr>
            </w:pPr>
            <w:r/>
          </w:p>
          <w:p>
            <w:pPr>
              <w:pStyle w:val="TableText"/>
              <w:ind w:left="39"/>
              <w:spacing w:before="69" w:line="224" w:lineRule="auto"/>
              <w:rPr>
                <w:sz w:val="21"/>
                <w:szCs w:val="21"/>
              </w:rPr>
            </w:pPr>
            <w:r>
              <w:rPr>
                <w:sz w:val="21"/>
                <w:szCs w:val="21"/>
                <w:spacing w:val="-5"/>
              </w:rPr>
              <w:t>1h/d</w:t>
            </w:r>
          </w:p>
        </w:tc>
        <w:tc>
          <w:tcPr>
            <w:tcW w:w="604" w:type="dxa"/>
            <w:vAlign w:val="top"/>
          </w:tcPr>
          <w:p>
            <w:pPr>
              <w:spacing w:line="267" w:lineRule="auto"/>
              <w:rPr>
                <w:rFonts w:ascii="Arial"/>
                <w:sz w:val="21"/>
              </w:rPr>
            </w:pPr>
            <w:r/>
          </w:p>
          <w:p>
            <w:pPr>
              <w:pStyle w:val="TableText"/>
              <w:ind w:left="189"/>
              <w:spacing w:before="68"/>
              <w:rPr>
                <w:sz w:val="21"/>
                <w:szCs w:val="21"/>
              </w:rPr>
            </w:pPr>
            <w:r>
              <w:rPr>
                <w:sz w:val="21"/>
                <w:szCs w:val="21"/>
                <w:spacing w:val="-3"/>
              </w:rPr>
              <w:t>20</w:t>
            </w:r>
          </w:p>
        </w:tc>
      </w:tr>
      <w:tr>
        <w:trPr>
          <w:trHeight w:val="539" w:hRule="atLeast"/>
        </w:trPr>
        <w:tc>
          <w:tcPr>
            <w:tcW w:w="424" w:type="dxa"/>
            <w:vAlign w:val="top"/>
          </w:tcPr>
          <w:p>
            <w:pPr>
              <w:pStyle w:val="TableText"/>
              <w:ind w:left="92" w:hanging="77"/>
              <w:spacing w:before="19" w:line="224" w:lineRule="auto"/>
              <w:rPr>
                <w:sz w:val="21"/>
                <w:szCs w:val="21"/>
              </w:rPr>
            </w:pPr>
            <w:r>
              <w:rPr>
                <w:sz w:val="21"/>
                <w:szCs w:val="21"/>
                <w:spacing w:val="-11"/>
              </w:rPr>
              <w:t>蒸汽</w:t>
            </w:r>
            <w:r>
              <w:rPr>
                <w:sz w:val="21"/>
                <w:szCs w:val="21"/>
              </w:rPr>
              <w:t xml:space="preserve"> </w:t>
            </w:r>
            <w:r>
              <w:rPr>
                <w:sz w:val="21"/>
                <w:szCs w:val="21"/>
              </w:rPr>
              <w:t>房</w:t>
            </w:r>
          </w:p>
        </w:tc>
        <w:tc>
          <w:tcPr>
            <w:tcW w:w="1169" w:type="dxa"/>
            <w:vAlign w:val="top"/>
          </w:tcPr>
          <w:p>
            <w:pPr>
              <w:pStyle w:val="TableText"/>
              <w:ind w:left="50"/>
              <w:spacing w:before="178" w:line="220" w:lineRule="auto"/>
              <w:rPr>
                <w:sz w:val="21"/>
                <w:szCs w:val="21"/>
              </w:rPr>
            </w:pPr>
            <w:r>
              <w:rPr>
                <w:sz w:val="21"/>
                <w:szCs w:val="21"/>
                <w:spacing w:val="-2"/>
              </w:rPr>
              <w:t>蒸汽发生器</w:t>
            </w:r>
          </w:p>
        </w:tc>
        <w:tc>
          <w:tcPr>
            <w:tcW w:w="789" w:type="dxa"/>
            <w:vAlign w:val="top"/>
          </w:tcPr>
          <w:p>
            <w:pPr>
              <w:pStyle w:val="TableText"/>
              <w:ind w:left="281"/>
              <w:spacing w:before="198"/>
              <w:rPr>
                <w:sz w:val="21"/>
                <w:szCs w:val="21"/>
              </w:rPr>
            </w:pPr>
            <w:r>
              <w:rPr>
                <w:sz w:val="21"/>
                <w:szCs w:val="21"/>
                <w:spacing w:val="-3"/>
              </w:rPr>
              <w:t>90</w:t>
            </w:r>
          </w:p>
        </w:tc>
        <w:tc>
          <w:tcPr>
            <w:tcW w:w="649" w:type="dxa"/>
            <w:vAlign w:val="top"/>
          </w:tcPr>
          <w:p>
            <w:pPr>
              <w:pStyle w:val="TableText"/>
              <w:ind w:right="1"/>
              <w:spacing w:before="177" w:line="219" w:lineRule="auto"/>
              <w:jc w:val="right"/>
              <w:rPr>
                <w:sz w:val="21"/>
                <w:szCs w:val="21"/>
              </w:rPr>
            </w:pPr>
            <w:r>
              <w:rPr>
                <w:sz w:val="21"/>
                <w:szCs w:val="21"/>
                <w:spacing w:val="-2"/>
              </w:rPr>
              <w:t>类比法</w:t>
            </w:r>
          </w:p>
        </w:tc>
        <w:tc>
          <w:tcPr>
            <w:tcW w:w="569" w:type="dxa"/>
            <w:vAlign w:val="top"/>
            <w:textDirection w:val="tbRlV"/>
          </w:tcPr>
          <w:p>
            <w:pPr>
              <w:pStyle w:val="TableText"/>
              <w:ind w:left="132"/>
              <w:spacing w:before="253" w:line="126" w:lineRule="exact"/>
              <w:rPr>
                <w:sz w:val="21"/>
                <w:szCs w:val="21"/>
              </w:rPr>
            </w:pPr>
            <w:r>
              <w:rPr>
                <w:sz w:val="21"/>
                <w:szCs w:val="21"/>
                <w:color w:val="606050"/>
                <w:spacing w:val="50"/>
                <w:w w:val="125"/>
                <w:position w:val="-3"/>
              </w:rPr>
              <w:t>1</w:t>
            </w:r>
          </w:p>
        </w:tc>
        <w:tc>
          <w:tcPr>
            <w:tcW w:w="1049" w:type="dxa"/>
            <w:vAlign w:val="top"/>
          </w:tcPr>
          <w:p>
            <w:pPr>
              <w:pStyle w:val="TableText"/>
              <w:ind w:left="414"/>
              <w:spacing w:before="198"/>
              <w:rPr>
                <w:sz w:val="21"/>
                <w:szCs w:val="21"/>
              </w:rPr>
            </w:pPr>
            <w:r>
              <w:rPr>
                <w:sz w:val="21"/>
                <w:szCs w:val="21"/>
                <w:spacing w:val="-3"/>
              </w:rPr>
              <w:t>90</w:t>
            </w:r>
          </w:p>
        </w:tc>
        <w:tc>
          <w:tcPr>
            <w:tcW w:w="1298" w:type="dxa"/>
            <w:vAlign w:val="top"/>
          </w:tcPr>
          <w:p>
            <w:pPr>
              <w:pStyle w:val="TableText"/>
              <w:ind w:left="115" w:right="20" w:hanging="99"/>
              <w:spacing w:before="28" w:line="220" w:lineRule="auto"/>
              <w:rPr>
                <w:sz w:val="21"/>
                <w:szCs w:val="21"/>
              </w:rPr>
            </w:pPr>
            <w:r>
              <w:rPr>
                <w:sz w:val="21"/>
                <w:szCs w:val="21"/>
                <w:spacing w:val="-2"/>
              </w:rPr>
              <w:t>减振安装、设</w:t>
            </w:r>
            <w:r>
              <w:rPr>
                <w:sz w:val="21"/>
                <w:szCs w:val="21"/>
                <w:spacing w:val="2"/>
              </w:rPr>
              <w:t xml:space="preserve"> </w:t>
            </w:r>
            <w:r>
              <w:rPr>
                <w:sz w:val="21"/>
                <w:szCs w:val="21"/>
                <w:spacing w:val="2"/>
              </w:rPr>
              <w:t>置设备用房</w:t>
            </w:r>
          </w:p>
        </w:tc>
        <w:tc>
          <w:tcPr>
            <w:tcW w:w="569" w:type="dxa"/>
            <w:vAlign w:val="top"/>
          </w:tcPr>
          <w:p>
            <w:pPr>
              <w:pStyle w:val="TableText"/>
              <w:ind w:left="18"/>
              <w:spacing w:before="198" w:line="239" w:lineRule="auto"/>
              <w:rPr>
                <w:sz w:val="21"/>
                <w:szCs w:val="21"/>
              </w:rPr>
            </w:pPr>
            <w:r>
              <w:rPr>
                <w:sz w:val="21"/>
                <w:szCs w:val="21"/>
                <w:spacing w:val="-2"/>
              </w:rPr>
              <w:t>86.24</w:t>
            </w:r>
          </w:p>
        </w:tc>
        <w:tc>
          <w:tcPr>
            <w:tcW w:w="569" w:type="dxa"/>
            <w:vAlign w:val="top"/>
          </w:tcPr>
          <w:p>
            <w:pPr>
              <w:pStyle w:val="TableText"/>
              <w:ind w:left="68"/>
              <w:spacing w:before="198" w:line="239" w:lineRule="auto"/>
              <w:rPr>
                <w:sz w:val="21"/>
                <w:szCs w:val="21"/>
              </w:rPr>
            </w:pPr>
            <w:r>
              <w:rPr>
                <w:sz w:val="21"/>
                <w:szCs w:val="21"/>
                <w:spacing w:val="-2"/>
              </w:rPr>
              <w:t>6.39</w:t>
            </w:r>
          </w:p>
        </w:tc>
        <w:tc>
          <w:tcPr>
            <w:tcW w:w="320" w:type="dxa"/>
            <w:vAlign w:val="top"/>
          </w:tcPr>
          <w:p>
            <w:pPr>
              <w:pStyle w:val="TableText"/>
              <w:spacing w:before="198" w:line="239" w:lineRule="auto"/>
              <w:jc w:val="right"/>
              <w:rPr>
                <w:sz w:val="21"/>
                <w:szCs w:val="21"/>
              </w:rPr>
            </w:pPr>
            <w:r>
              <w:rPr>
                <w:sz w:val="21"/>
                <w:szCs w:val="21"/>
                <w:spacing w:val="-9"/>
              </w:rPr>
              <w:t>1.2</w:t>
            </w:r>
          </w:p>
        </w:tc>
        <w:tc>
          <w:tcPr>
            <w:tcW w:w="470" w:type="dxa"/>
            <w:vAlign w:val="top"/>
          </w:tcPr>
          <w:p>
            <w:pPr>
              <w:pStyle w:val="TableText"/>
              <w:ind w:left="39"/>
              <w:spacing w:before="183" w:line="224" w:lineRule="auto"/>
              <w:rPr>
                <w:sz w:val="21"/>
                <w:szCs w:val="21"/>
              </w:rPr>
            </w:pPr>
            <w:r>
              <w:rPr>
                <w:sz w:val="21"/>
                <w:szCs w:val="21"/>
                <w:spacing w:val="-2"/>
              </w:rPr>
              <w:t>8h/d</w:t>
            </w:r>
          </w:p>
        </w:tc>
        <w:tc>
          <w:tcPr>
            <w:tcW w:w="604" w:type="dxa"/>
            <w:vAlign w:val="top"/>
          </w:tcPr>
          <w:p>
            <w:pPr>
              <w:pStyle w:val="TableText"/>
              <w:ind w:left="189"/>
              <w:spacing w:before="198"/>
              <w:rPr>
                <w:sz w:val="21"/>
                <w:szCs w:val="21"/>
              </w:rPr>
            </w:pPr>
            <w:r>
              <w:rPr>
                <w:sz w:val="21"/>
                <w:szCs w:val="21"/>
                <w:spacing w:val="-3"/>
              </w:rPr>
              <w:t>20</w:t>
            </w:r>
          </w:p>
        </w:tc>
      </w:tr>
      <w:tr>
        <w:trPr>
          <w:trHeight w:val="525" w:hRule="atLeast"/>
        </w:trPr>
        <w:tc>
          <w:tcPr>
            <w:tcW w:w="424" w:type="dxa"/>
            <w:vAlign w:val="top"/>
          </w:tcPr>
          <w:p>
            <w:pPr>
              <w:pStyle w:val="TableText"/>
              <w:spacing w:before="168" w:line="219" w:lineRule="auto"/>
              <w:jc w:val="right"/>
              <w:rPr>
                <w:sz w:val="21"/>
                <w:szCs w:val="21"/>
              </w:rPr>
            </w:pPr>
            <w:r>
              <w:rPr>
                <w:sz w:val="21"/>
                <w:szCs w:val="21"/>
                <w:spacing w:val="-11"/>
              </w:rPr>
              <w:t>待宰</w:t>
            </w:r>
          </w:p>
        </w:tc>
        <w:tc>
          <w:tcPr>
            <w:tcW w:w="1169" w:type="dxa"/>
            <w:vAlign w:val="top"/>
          </w:tcPr>
          <w:p>
            <w:pPr>
              <w:pStyle w:val="TableText"/>
              <w:ind w:left="151"/>
              <w:spacing w:before="169" w:line="220" w:lineRule="auto"/>
              <w:rPr>
                <w:sz w:val="21"/>
                <w:szCs w:val="21"/>
              </w:rPr>
            </w:pPr>
            <w:r>
              <w:rPr>
                <w:sz w:val="21"/>
                <w:szCs w:val="21"/>
                <w:spacing w:val="3"/>
              </w:rPr>
              <w:t>生猪叫声</w:t>
            </w:r>
          </w:p>
        </w:tc>
        <w:tc>
          <w:tcPr>
            <w:tcW w:w="789" w:type="dxa"/>
            <w:vAlign w:val="top"/>
          </w:tcPr>
          <w:p>
            <w:pPr>
              <w:pStyle w:val="TableText"/>
              <w:ind w:left="281"/>
              <w:spacing w:before="189"/>
              <w:rPr>
                <w:sz w:val="21"/>
                <w:szCs w:val="21"/>
              </w:rPr>
            </w:pPr>
            <w:r>
              <w:rPr>
                <w:sz w:val="21"/>
                <w:szCs w:val="21"/>
                <w:spacing w:val="-3"/>
              </w:rPr>
              <w:t>65</w:t>
            </w:r>
          </w:p>
        </w:tc>
        <w:tc>
          <w:tcPr>
            <w:tcW w:w="649" w:type="dxa"/>
            <w:vAlign w:val="top"/>
          </w:tcPr>
          <w:p>
            <w:pPr>
              <w:pStyle w:val="TableText"/>
              <w:ind w:right="1"/>
              <w:spacing w:before="168" w:line="219" w:lineRule="auto"/>
              <w:jc w:val="right"/>
              <w:rPr>
                <w:sz w:val="21"/>
                <w:szCs w:val="21"/>
              </w:rPr>
            </w:pPr>
            <w:r>
              <w:rPr>
                <w:sz w:val="21"/>
                <w:szCs w:val="21"/>
                <w:spacing w:val="-2"/>
              </w:rPr>
              <w:t>类比法</w:t>
            </w:r>
          </w:p>
        </w:tc>
        <w:tc>
          <w:tcPr>
            <w:tcW w:w="569" w:type="dxa"/>
            <w:vAlign w:val="top"/>
            <w:textDirection w:val="tbRlV"/>
          </w:tcPr>
          <w:p>
            <w:pPr>
              <w:pStyle w:val="TableText"/>
              <w:ind w:left="140"/>
              <w:spacing w:before="240" w:line="137" w:lineRule="exact"/>
              <w:rPr>
                <w:sz w:val="21"/>
                <w:szCs w:val="21"/>
              </w:rPr>
            </w:pPr>
            <w:r>
              <w:rPr>
                <w:sz w:val="21"/>
                <w:szCs w:val="21"/>
                <w:color w:val="505060"/>
                <w:spacing w:val="52"/>
                <w:w w:val="141"/>
                <w:position w:val="-1"/>
              </w:rPr>
              <w:t>/</w:t>
            </w:r>
          </w:p>
        </w:tc>
        <w:tc>
          <w:tcPr>
            <w:tcW w:w="1049" w:type="dxa"/>
            <w:vAlign w:val="top"/>
          </w:tcPr>
          <w:p>
            <w:pPr>
              <w:pStyle w:val="TableText"/>
              <w:ind w:left="414"/>
              <w:spacing w:before="189"/>
              <w:rPr>
                <w:sz w:val="21"/>
                <w:szCs w:val="21"/>
              </w:rPr>
            </w:pPr>
            <w:r>
              <w:rPr>
                <w:sz w:val="21"/>
                <w:szCs w:val="21"/>
                <w:spacing w:val="-3"/>
              </w:rPr>
              <w:t>65</w:t>
            </w:r>
          </w:p>
        </w:tc>
        <w:tc>
          <w:tcPr>
            <w:tcW w:w="1298" w:type="dxa"/>
            <w:vAlign w:val="top"/>
          </w:tcPr>
          <w:p>
            <w:pPr>
              <w:pStyle w:val="TableText"/>
              <w:spacing w:before="168" w:line="219" w:lineRule="auto"/>
              <w:jc w:val="right"/>
              <w:rPr>
                <w:sz w:val="21"/>
                <w:szCs w:val="21"/>
              </w:rPr>
            </w:pPr>
            <w:r>
              <w:rPr>
                <w:sz w:val="21"/>
                <w:szCs w:val="21"/>
                <w:spacing w:val="1"/>
              </w:rPr>
              <w:t>加强管理、厂</w:t>
            </w:r>
          </w:p>
        </w:tc>
        <w:tc>
          <w:tcPr>
            <w:tcW w:w="569" w:type="dxa"/>
            <w:vAlign w:val="top"/>
          </w:tcPr>
          <w:p>
            <w:pPr>
              <w:pStyle w:val="TableText"/>
              <w:ind w:left="68"/>
              <w:spacing w:before="189" w:line="239" w:lineRule="auto"/>
              <w:rPr>
                <w:sz w:val="21"/>
                <w:szCs w:val="21"/>
              </w:rPr>
            </w:pPr>
            <w:r>
              <w:rPr>
                <w:sz w:val="21"/>
                <w:szCs w:val="21"/>
                <w:spacing w:val="-3"/>
              </w:rPr>
              <w:t>23.5</w:t>
            </w:r>
          </w:p>
        </w:tc>
        <w:tc>
          <w:tcPr>
            <w:tcW w:w="569" w:type="dxa"/>
            <w:vAlign w:val="top"/>
          </w:tcPr>
          <w:p>
            <w:pPr>
              <w:pStyle w:val="TableText"/>
              <w:ind w:left="19"/>
              <w:spacing w:before="189" w:line="239" w:lineRule="auto"/>
              <w:rPr>
                <w:sz w:val="21"/>
                <w:szCs w:val="21"/>
              </w:rPr>
            </w:pPr>
            <w:r>
              <w:rPr>
                <w:sz w:val="21"/>
                <w:szCs w:val="21"/>
                <w:spacing w:val="-2"/>
              </w:rPr>
              <w:t>54.62</w:t>
            </w:r>
          </w:p>
        </w:tc>
        <w:tc>
          <w:tcPr>
            <w:tcW w:w="320" w:type="dxa"/>
            <w:vAlign w:val="top"/>
          </w:tcPr>
          <w:p>
            <w:pPr>
              <w:pStyle w:val="TableText"/>
              <w:spacing w:before="189" w:line="239" w:lineRule="auto"/>
              <w:jc w:val="right"/>
              <w:rPr>
                <w:sz w:val="21"/>
                <w:szCs w:val="21"/>
              </w:rPr>
            </w:pPr>
            <w:r>
              <w:rPr>
                <w:sz w:val="21"/>
                <w:szCs w:val="21"/>
                <w:spacing w:val="-9"/>
              </w:rPr>
              <w:t>0.5</w:t>
            </w:r>
          </w:p>
        </w:tc>
        <w:tc>
          <w:tcPr>
            <w:tcW w:w="470" w:type="dxa"/>
            <w:vAlign w:val="top"/>
          </w:tcPr>
          <w:p>
            <w:pPr>
              <w:pStyle w:val="TableText"/>
              <w:spacing w:before="174" w:line="224" w:lineRule="auto"/>
              <w:jc w:val="right"/>
              <w:rPr>
                <w:sz w:val="21"/>
                <w:szCs w:val="21"/>
              </w:rPr>
            </w:pPr>
            <w:r>
              <w:rPr>
                <w:sz w:val="21"/>
                <w:szCs w:val="21"/>
                <w:spacing w:val="-15"/>
                <w:w w:val="96"/>
              </w:rPr>
              <w:t>24h</w:t>
            </w:r>
            <w:r>
              <w:rPr>
                <w:sz w:val="21"/>
                <w:szCs w:val="21"/>
                <w:spacing w:val="-14"/>
                <w:w w:val="96"/>
              </w:rPr>
              <w:t>/</w:t>
            </w:r>
            <w:r>
              <w:rPr>
                <w:sz w:val="21"/>
                <w:szCs w:val="21"/>
                <w:spacing w:val="-6"/>
                <w:w w:val="96"/>
              </w:rPr>
              <w:t>d</w:t>
            </w:r>
          </w:p>
        </w:tc>
        <w:tc>
          <w:tcPr>
            <w:tcW w:w="604" w:type="dxa"/>
            <w:vAlign w:val="top"/>
          </w:tcPr>
          <w:p>
            <w:pPr>
              <w:pStyle w:val="TableText"/>
              <w:ind w:left="189"/>
              <w:spacing w:before="189"/>
              <w:rPr>
                <w:sz w:val="21"/>
                <w:szCs w:val="21"/>
              </w:rPr>
            </w:pPr>
            <w:r>
              <w:rPr>
                <w:sz w:val="21"/>
                <w:szCs w:val="21"/>
                <w:spacing w:val="-6"/>
              </w:rPr>
              <w:t>10</w:t>
            </w:r>
          </w:p>
        </w:tc>
      </w:tr>
    </w:tbl>
    <w:p>
      <w:pPr>
        <w:pStyle w:val="BodyText"/>
        <w:rPr/>
      </w:pPr>
      <w:r/>
    </w:p>
    <w:p>
      <w:pPr>
        <w:sectPr>
          <w:headerReference w:type="default" r:id="rId341"/>
          <w:footerReference w:type="default" r:id="rId342"/>
          <w:pgSz w:w="11910" w:h="16840"/>
          <w:pgMar w:top="1207" w:right="1745" w:bottom="922" w:left="1675" w:header="915" w:footer="751" w:gutter="0"/>
        </w:sectPr>
        <w:rPr/>
      </w:pPr>
    </w:p>
    <w:p>
      <w:pPr>
        <w:spacing w:before="14"/>
        <w:rPr/>
      </w:pPr>
      <w:r/>
    </w:p>
    <w:tbl>
      <w:tblPr>
        <w:tblStyle w:val="TableNormal"/>
        <w:tblW w:w="85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44"/>
        <w:gridCol w:w="1149"/>
        <w:gridCol w:w="809"/>
        <w:gridCol w:w="639"/>
        <w:gridCol w:w="569"/>
        <w:gridCol w:w="1059"/>
        <w:gridCol w:w="1288"/>
        <w:gridCol w:w="589"/>
        <w:gridCol w:w="579"/>
        <w:gridCol w:w="310"/>
        <w:gridCol w:w="480"/>
        <w:gridCol w:w="604"/>
      </w:tblGrid>
      <w:tr>
        <w:trPr>
          <w:trHeight w:val="809" w:hRule="atLeast"/>
        </w:trPr>
        <w:tc>
          <w:tcPr>
            <w:tcW w:w="444" w:type="dxa"/>
            <w:vAlign w:val="top"/>
          </w:tcPr>
          <w:p>
            <w:pPr>
              <w:pStyle w:val="TableText"/>
              <w:ind w:left="23" w:hanging="8"/>
              <w:spacing w:before="24" w:line="247" w:lineRule="auto"/>
              <w:rPr>
                <w:sz w:val="19"/>
                <w:szCs w:val="19"/>
              </w:rPr>
            </w:pPr>
            <w:r>
              <w:rPr>
                <w:sz w:val="19"/>
                <w:szCs w:val="19"/>
                <w:spacing w:val="-37"/>
                <w:w w:val="96"/>
              </w:rPr>
              <w:t>圈</w:t>
            </w:r>
            <w:r>
              <w:rPr>
                <w:sz w:val="19"/>
                <w:szCs w:val="19"/>
                <w:spacing w:val="32"/>
              </w:rPr>
              <w:t xml:space="preserve"> </w:t>
            </w:r>
            <w:r>
              <w:rPr>
                <w:sz w:val="19"/>
                <w:szCs w:val="19"/>
                <w:spacing w:val="-37"/>
                <w:w w:val="96"/>
              </w:rPr>
              <w:t>、</w:t>
            </w:r>
            <w:r>
              <w:rPr>
                <w:sz w:val="19"/>
                <w:szCs w:val="19"/>
              </w:rPr>
              <w:t xml:space="preserve"> </w:t>
            </w:r>
            <w:r>
              <w:rPr>
                <w:sz w:val="19"/>
                <w:szCs w:val="19"/>
                <w:spacing w:val="-8"/>
              </w:rPr>
              <w:t>屠宰</w:t>
            </w:r>
          </w:p>
          <w:p>
            <w:pPr>
              <w:pStyle w:val="TableText"/>
              <w:ind w:left="15"/>
              <w:spacing w:line="219" w:lineRule="auto"/>
              <w:rPr>
                <w:sz w:val="19"/>
                <w:szCs w:val="19"/>
              </w:rPr>
            </w:pPr>
            <w:r>
              <w:rPr>
                <w:sz w:val="19"/>
                <w:szCs w:val="19"/>
                <w:color w:val="806050"/>
                <w:spacing w:val="9"/>
              </w:rPr>
              <w:t>车间</w:t>
            </w:r>
          </w:p>
        </w:tc>
        <w:tc>
          <w:tcPr>
            <w:tcW w:w="1149" w:type="dxa"/>
            <w:vAlign w:val="top"/>
          </w:tcPr>
          <w:p>
            <w:pPr>
              <w:spacing w:line="250" w:lineRule="auto"/>
              <w:rPr>
                <w:rFonts w:ascii="Arial"/>
                <w:sz w:val="21"/>
              </w:rPr>
            </w:pPr>
            <w:r/>
          </w:p>
          <w:p>
            <w:pPr>
              <w:pStyle w:val="TableText"/>
              <w:ind w:left="171"/>
              <w:spacing w:before="61" w:line="220" w:lineRule="auto"/>
              <w:rPr>
                <w:sz w:val="19"/>
                <w:szCs w:val="19"/>
              </w:rPr>
            </w:pPr>
            <w:r>
              <w:rPr>
                <w:sz w:val="19"/>
                <w:szCs w:val="19"/>
                <w:spacing w:val="3"/>
              </w:rPr>
              <w:t>肉牛叫声</w:t>
            </w:r>
          </w:p>
        </w:tc>
        <w:tc>
          <w:tcPr>
            <w:tcW w:w="809" w:type="dxa"/>
            <w:vAlign w:val="top"/>
          </w:tcPr>
          <w:p>
            <w:pPr>
              <w:spacing w:line="267" w:lineRule="auto"/>
              <w:rPr>
                <w:rFonts w:ascii="Arial"/>
                <w:sz w:val="21"/>
              </w:rPr>
            </w:pPr>
            <w:r/>
          </w:p>
          <w:p>
            <w:pPr>
              <w:pStyle w:val="TableText"/>
              <w:ind w:left="261"/>
              <w:spacing w:before="62"/>
              <w:rPr>
                <w:sz w:val="19"/>
                <w:szCs w:val="19"/>
              </w:rPr>
            </w:pPr>
            <w:r>
              <w:rPr>
                <w:sz w:val="19"/>
                <w:szCs w:val="19"/>
                <w:spacing w:val="-3"/>
              </w:rPr>
              <w:t>60</w:t>
            </w:r>
          </w:p>
        </w:tc>
        <w:tc>
          <w:tcPr>
            <w:tcW w:w="639" w:type="dxa"/>
            <w:vAlign w:val="top"/>
          </w:tcPr>
          <w:p>
            <w:pPr>
              <w:spacing w:line="249" w:lineRule="auto"/>
              <w:rPr>
                <w:rFonts w:ascii="Arial"/>
                <w:sz w:val="21"/>
              </w:rPr>
            </w:pPr>
            <w:r/>
          </w:p>
          <w:p>
            <w:pPr>
              <w:pStyle w:val="TableText"/>
              <w:ind w:left="12"/>
              <w:spacing w:before="62" w:line="219" w:lineRule="auto"/>
              <w:rPr>
                <w:sz w:val="19"/>
                <w:szCs w:val="19"/>
              </w:rPr>
            </w:pPr>
            <w:r>
              <w:rPr>
                <w:sz w:val="19"/>
                <w:szCs w:val="19"/>
                <w:spacing w:val="-2"/>
              </w:rPr>
              <w:t>类比法</w:t>
            </w:r>
          </w:p>
        </w:tc>
        <w:tc>
          <w:tcPr>
            <w:tcW w:w="569" w:type="dxa"/>
            <w:vAlign w:val="top"/>
            <w:textDirection w:val="tbRlV"/>
          </w:tcPr>
          <w:p>
            <w:pPr>
              <w:pStyle w:val="TableText"/>
              <w:ind w:left="287"/>
              <w:spacing w:before="259" w:line="124" w:lineRule="exact"/>
              <w:rPr>
                <w:sz w:val="19"/>
                <w:szCs w:val="19"/>
              </w:rPr>
            </w:pPr>
            <w:r>
              <w:rPr>
                <w:sz w:val="19"/>
                <w:szCs w:val="19"/>
                <w:spacing w:val="46"/>
                <w:w w:val="142"/>
                <w:position w:val="-1"/>
              </w:rPr>
              <w:t>/</w:t>
            </w:r>
          </w:p>
        </w:tc>
        <w:tc>
          <w:tcPr>
            <w:tcW w:w="1059" w:type="dxa"/>
            <w:vAlign w:val="top"/>
          </w:tcPr>
          <w:p>
            <w:pPr>
              <w:spacing w:line="267" w:lineRule="auto"/>
              <w:rPr>
                <w:rFonts w:ascii="Arial"/>
                <w:sz w:val="21"/>
              </w:rPr>
            </w:pPr>
            <w:r/>
          </w:p>
          <w:p>
            <w:pPr>
              <w:pStyle w:val="TableText"/>
              <w:ind w:left="374"/>
              <w:spacing w:before="62"/>
              <w:rPr>
                <w:sz w:val="19"/>
                <w:szCs w:val="19"/>
              </w:rPr>
            </w:pPr>
            <w:r>
              <w:rPr>
                <w:sz w:val="19"/>
                <w:szCs w:val="19"/>
                <w:spacing w:val="-3"/>
              </w:rPr>
              <w:t>60</w:t>
            </w:r>
          </w:p>
        </w:tc>
        <w:tc>
          <w:tcPr>
            <w:tcW w:w="1288" w:type="dxa"/>
            <w:vAlign w:val="top"/>
          </w:tcPr>
          <w:p>
            <w:pPr>
              <w:pStyle w:val="TableText"/>
              <w:ind w:left="305"/>
              <w:spacing w:before="23" w:line="220" w:lineRule="auto"/>
              <w:rPr>
                <w:sz w:val="19"/>
                <w:szCs w:val="19"/>
              </w:rPr>
            </w:pPr>
            <w:r>
              <w:rPr>
                <w:sz w:val="19"/>
                <w:szCs w:val="19"/>
                <w:spacing w:val="4"/>
              </w:rPr>
              <w:t>房隔声</w:t>
            </w:r>
          </w:p>
        </w:tc>
        <w:tc>
          <w:tcPr>
            <w:tcW w:w="589" w:type="dxa"/>
            <w:vAlign w:val="top"/>
          </w:tcPr>
          <w:p>
            <w:pPr>
              <w:spacing w:line="268" w:lineRule="auto"/>
              <w:rPr>
                <w:rFonts w:ascii="Arial"/>
                <w:sz w:val="21"/>
              </w:rPr>
            </w:pPr>
            <w:r/>
          </w:p>
          <w:p>
            <w:pPr>
              <w:pStyle w:val="TableText"/>
              <w:spacing w:before="61" w:line="239" w:lineRule="auto"/>
              <w:jc w:val="right"/>
              <w:rPr>
                <w:sz w:val="19"/>
                <w:szCs w:val="19"/>
              </w:rPr>
            </w:pPr>
            <w:r>
              <w:rPr>
                <w:sz w:val="19"/>
                <w:szCs w:val="19"/>
                <w:spacing w:val="-2"/>
              </w:rPr>
              <w:t>-26.83</w:t>
            </w:r>
          </w:p>
        </w:tc>
        <w:tc>
          <w:tcPr>
            <w:tcW w:w="579" w:type="dxa"/>
            <w:vAlign w:val="top"/>
          </w:tcPr>
          <w:p>
            <w:pPr>
              <w:spacing w:line="268" w:lineRule="auto"/>
              <w:rPr>
                <w:rFonts w:ascii="Arial"/>
                <w:sz w:val="21"/>
              </w:rPr>
            </w:pPr>
            <w:r/>
          </w:p>
          <w:p>
            <w:pPr>
              <w:pStyle w:val="TableText"/>
              <w:spacing w:before="61" w:line="239" w:lineRule="auto"/>
              <w:jc w:val="right"/>
              <w:rPr>
                <w:sz w:val="19"/>
                <w:szCs w:val="19"/>
              </w:rPr>
            </w:pPr>
            <w:r>
              <w:rPr>
                <w:sz w:val="19"/>
                <w:szCs w:val="19"/>
                <w:spacing w:val="-4"/>
              </w:rPr>
              <w:t>-11.59</w:t>
            </w:r>
          </w:p>
        </w:tc>
        <w:tc>
          <w:tcPr>
            <w:tcW w:w="310" w:type="dxa"/>
            <w:vAlign w:val="top"/>
          </w:tcPr>
          <w:p>
            <w:pPr>
              <w:spacing w:line="268" w:lineRule="auto"/>
              <w:rPr>
                <w:rFonts w:ascii="Arial"/>
                <w:sz w:val="21"/>
              </w:rPr>
            </w:pPr>
            <w:r/>
          </w:p>
          <w:p>
            <w:pPr>
              <w:pStyle w:val="TableText"/>
              <w:spacing w:before="61" w:line="239" w:lineRule="auto"/>
              <w:jc w:val="right"/>
              <w:rPr>
                <w:sz w:val="19"/>
                <w:szCs w:val="19"/>
              </w:rPr>
            </w:pPr>
            <w:r>
              <w:rPr>
                <w:sz w:val="19"/>
                <w:szCs w:val="19"/>
                <w:spacing w:val="-8"/>
              </w:rPr>
              <w:t>1.5</w:t>
            </w:r>
          </w:p>
        </w:tc>
        <w:tc>
          <w:tcPr>
            <w:tcW w:w="480" w:type="dxa"/>
            <w:vAlign w:val="top"/>
          </w:tcPr>
          <w:p>
            <w:pPr>
              <w:spacing w:line="254" w:lineRule="auto"/>
              <w:rPr>
                <w:rFonts w:ascii="Arial"/>
                <w:sz w:val="21"/>
              </w:rPr>
            </w:pPr>
            <w:r/>
          </w:p>
          <w:p>
            <w:pPr>
              <w:pStyle w:val="TableText"/>
              <w:spacing w:before="62" w:line="224" w:lineRule="auto"/>
              <w:jc w:val="right"/>
              <w:rPr>
                <w:sz w:val="19"/>
                <w:szCs w:val="19"/>
              </w:rPr>
            </w:pPr>
            <w:r>
              <w:rPr>
                <w:sz w:val="19"/>
                <w:szCs w:val="19"/>
                <w:spacing w:val="-5"/>
              </w:rPr>
              <w:t>24h/d</w:t>
            </w:r>
          </w:p>
        </w:tc>
        <w:tc>
          <w:tcPr>
            <w:tcW w:w="604" w:type="dxa"/>
            <w:vAlign w:val="top"/>
          </w:tcPr>
          <w:p>
            <w:pPr>
              <w:spacing w:line="267" w:lineRule="auto"/>
              <w:rPr>
                <w:rFonts w:ascii="Arial"/>
                <w:sz w:val="21"/>
              </w:rPr>
            </w:pPr>
            <w:r/>
          </w:p>
          <w:p>
            <w:pPr>
              <w:pStyle w:val="TableText"/>
              <w:ind w:left="189"/>
              <w:spacing w:before="62"/>
              <w:rPr>
                <w:sz w:val="19"/>
                <w:szCs w:val="19"/>
              </w:rPr>
            </w:pPr>
            <w:r>
              <w:rPr>
                <w:sz w:val="19"/>
                <w:szCs w:val="19"/>
                <w:spacing w:val="-6"/>
              </w:rPr>
              <w:t>10</w:t>
            </w:r>
          </w:p>
        </w:tc>
      </w:tr>
    </w:tbl>
    <w:p>
      <w:pPr>
        <w:ind w:left="1818"/>
        <w:spacing w:before="61" w:line="214" w:lineRule="auto"/>
        <w:rPr>
          <w:rFonts w:ascii="SimSun" w:hAnsi="SimSun" w:eastAsia="SimSun" w:cs="SimSun"/>
          <w:sz w:val="24"/>
          <w:szCs w:val="24"/>
        </w:rPr>
      </w:pPr>
      <w:r>
        <w:rPr>
          <w:rFonts w:ascii="SimSun" w:hAnsi="SimSun" w:eastAsia="SimSun" w:cs="SimSun"/>
          <w:sz w:val="24"/>
          <w:szCs w:val="24"/>
          <w:b/>
          <w:bCs/>
          <w:spacing w:val="-1"/>
        </w:rPr>
        <w:t>表3.11-31工业企业噪声源强调查清单(室外声源)</w:t>
      </w:r>
    </w:p>
    <w:tbl>
      <w:tblPr>
        <w:tblStyle w:val="TableNormal"/>
        <w:tblW w:w="8499" w:type="dxa"/>
        <w:tblInd w:w="1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24"/>
        <w:gridCol w:w="959"/>
        <w:gridCol w:w="1089"/>
        <w:gridCol w:w="679"/>
        <w:gridCol w:w="649"/>
        <w:gridCol w:w="499"/>
        <w:gridCol w:w="1049"/>
        <w:gridCol w:w="2557"/>
        <w:gridCol w:w="594"/>
      </w:tblGrid>
      <w:tr>
        <w:trPr>
          <w:trHeight w:val="283" w:hRule="atLeast"/>
        </w:trPr>
        <w:tc>
          <w:tcPr>
            <w:shd w:val="clear" w:fill="BEBEBE"/>
            <w:tcW w:w="424" w:type="dxa"/>
            <w:vAlign w:val="top"/>
            <w:vMerge w:val="restart"/>
            <w:tcBorders>
              <w:bottom w:val="nil"/>
            </w:tcBorders>
          </w:tcPr>
          <w:p>
            <w:pPr>
              <w:pStyle w:val="TableText"/>
              <w:spacing w:before="171" w:line="221" w:lineRule="auto"/>
              <w:jc w:val="right"/>
              <w:rPr>
                <w:sz w:val="21"/>
                <w:szCs w:val="21"/>
              </w:rPr>
            </w:pPr>
            <w:r>
              <w:rPr>
                <w:sz w:val="21"/>
                <w:szCs w:val="21"/>
                <w:b/>
                <w:bCs/>
                <w:spacing w:val="-16"/>
              </w:rPr>
              <w:t>序</w:t>
            </w:r>
            <w:r>
              <w:rPr>
                <w:sz w:val="21"/>
                <w:szCs w:val="21"/>
                <w:b/>
                <w:bCs/>
                <w:spacing w:val="-14"/>
              </w:rPr>
              <w:t>号</w:t>
            </w:r>
          </w:p>
        </w:tc>
        <w:tc>
          <w:tcPr>
            <w:shd w:val="clear" w:fill="BDBDBD"/>
            <w:tcW w:w="2048" w:type="dxa"/>
            <w:vAlign w:val="top"/>
            <w:gridSpan w:val="2"/>
            <w:vMerge w:val="restart"/>
            <w:tcBorders>
              <w:bottom w:val="nil"/>
            </w:tcBorders>
          </w:tcPr>
          <w:p>
            <w:pPr>
              <w:pStyle w:val="TableText"/>
              <w:ind w:left="593"/>
              <w:spacing w:before="171" w:line="220" w:lineRule="auto"/>
              <w:rPr>
                <w:sz w:val="21"/>
                <w:szCs w:val="21"/>
              </w:rPr>
            </w:pPr>
            <w:r>
              <w:rPr>
                <w:sz w:val="21"/>
                <w:szCs w:val="21"/>
                <w:b/>
                <w:bCs/>
                <w:spacing w:val="-5"/>
              </w:rPr>
              <w:t>声源名称</w:t>
            </w:r>
          </w:p>
        </w:tc>
        <w:tc>
          <w:tcPr>
            <w:shd w:val="clear" w:fill="BDBDBD"/>
            <w:tcW w:w="1827" w:type="dxa"/>
            <w:vAlign w:val="top"/>
            <w:gridSpan w:val="3"/>
          </w:tcPr>
          <w:p>
            <w:pPr>
              <w:pStyle w:val="TableText"/>
              <w:ind w:left="165"/>
              <w:spacing w:before="42" w:line="203" w:lineRule="auto"/>
              <w:rPr>
                <w:sz w:val="21"/>
                <w:szCs w:val="21"/>
              </w:rPr>
            </w:pPr>
            <w:r>
              <w:rPr>
                <w:sz w:val="21"/>
                <w:szCs w:val="21"/>
                <w:b/>
                <w:bCs/>
                <w:spacing w:val="-4"/>
              </w:rPr>
              <w:t>空间相对位置/m</w:t>
            </w:r>
          </w:p>
        </w:tc>
        <w:tc>
          <w:tcPr>
            <w:shd w:val="clear" w:fill="BDBDBD"/>
            <w:tcW w:w="1049" w:type="dxa"/>
            <w:vAlign w:val="top"/>
            <w:vMerge w:val="restart"/>
            <w:tcBorders>
              <w:bottom w:val="nil"/>
            </w:tcBorders>
          </w:tcPr>
          <w:p>
            <w:pPr>
              <w:pStyle w:val="TableText"/>
              <w:ind w:left="18" w:right="17" w:firstLine="80"/>
              <w:spacing w:before="41" w:line="220" w:lineRule="auto"/>
              <w:rPr>
                <w:sz w:val="21"/>
                <w:szCs w:val="21"/>
              </w:rPr>
            </w:pPr>
            <w:r>
              <w:rPr>
                <w:sz w:val="21"/>
                <w:szCs w:val="21"/>
                <w:b/>
                <w:bCs/>
                <w:spacing w:val="-1"/>
              </w:rPr>
              <w:t>声源声功</w:t>
            </w:r>
            <w:r>
              <w:rPr>
                <w:sz w:val="21"/>
                <w:szCs w:val="21"/>
                <w:spacing w:val="1"/>
              </w:rPr>
              <w:t xml:space="preserve"> </w:t>
            </w:r>
            <w:r>
              <w:rPr>
                <w:sz w:val="21"/>
                <w:szCs w:val="21"/>
                <w:b/>
                <w:bCs/>
                <w:spacing w:val="-8"/>
              </w:rPr>
              <w:t>率级/dB(A</w:t>
            </w:r>
            <w:r>
              <w:rPr>
                <w:sz w:val="21"/>
                <w:szCs w:val="21"/>
                <w:spacing w:val="-8"/>
              </w:rPr>
              <w:t>)</w:t>
            </w:r>
          </w:p>
        </w:tc>
        <w:tc>
          <w:tcPr>
            <w:shd w:val="clear" w:fill="BDBDBD"/>
            <w:tcW w:w="2557" w:type="dxa"/>
            <w:vAlign w:val="top"/>
            <w:vMerge w:val="restart"/>
            <w:tcBorders>
              <w:bottom w:val="nil"/>
            </w:tcBorders>
          </w:tcPr>
          <w:p>
            <w:pPr>
              <w:pStyle w:val="TableText"/>
              <w:ind w:left="650"/>
              <w:spacing w:before="171" w:line="220" w:lineRule="auto"/>
              <w:rPr>
                <w:sz w:val="21"/>
                <w:szCs w:val="21"/>
              </w:rPr>
            </w:pPr>
            <w:r>
              <w:rPr>
                <w:sz w:val="21"/>
                <w:szCs w:val="21"/>
                <w:b/>
                <w:bCs/>
                <w:spacing w:val="-4"/>
              </w:rPr>
              <w:t>声源控制措施</w:t>
            </w:r>
          </w:p>
        </w:tc>
        <w:tc>
          <w:tcPr>
            <w:shd w:val="clear" w:fill="ACACAC"/>
            <w:tcW w:w="594" w:type="dxa"/>
            <w:vAlign w:val="top"/>
            <w:vMerge w:val="restart"/>
            <w:tcBorders>
              <w:bottom w:val="nil"/>
            </w:tcBorders>
          </w:tcPr>
          <w:p>
            <w:pPr>
              <w:pStyle w:val="TableText"/>
              <w:ind w:left="82"/>
              <w:spacing w:before="31" w:line="220" w:lineRule="auto"/>
              <w:rPr>
                <w:sz w:val="21"/>
                <w:szCs w:val="21"/>
              </w:rPr>
            </w:pPr>
            <w:r>
              <w:rPr>
                <w:sz w:val="21"/>
                <w:szCs w:val="21"/>
                <w:b/>
                <w:bCs/>
                <w:spacing w:val="-5"/>
              </w:rPr>
              <w:t>运行</w:t>
            </w:r>
          </w:p>
          <w:p>
            <w:pPr>
              <w:pStyle w:val="TableText"/>
              <w:ind w:left="82"/>
              <w:spacing w:before="20" w:line="211" w:lineRule="auto"/>
              <w:rPr>
                <w:sz w:val="21"/>
                <w:szCs w:val="21"/>
              </w:rPr>
            </w:pPr>
            <w:r>
              <w:rPr>
                <w:sz w:val="21"/>
                <w:szCs w:val="21"/>
                <w:b/>
                <w:bCs/>
                <w:spacing w:val="-2"/>
              </w:rPr>
              <w:t>时段</w:t>
            </w:r>
          </w:p>
        </w:tc>
      </w:tr>
      <w:tr>
        <w:trPr>
          <w:trHeight w:val="259" w:hRule="atLeast"/>
        </w:trPr>
        <w:tc>
          <w:tcPr>
            <w:tcW w:w="424" w:type="dxa"/>
            <w:vAlign w:val="top"/>
            <w:vMerge w:val="continue"/>
            <w:tcBorders>
              <w:top w:val="nil"/>
            </w:tcBorders>
          </w:tcPr>
          <w:p>
            <w:pPr>
              <w:rPr>
                <w:rFonts w:ascii="Arial"/>
                <w:sz w:val="21"/>
              </w:rPr>
            </w:pPr>
            <w:r/>
          </w:p>
        </w:tc>
        <w:tc>
          <w:tcPr>
            <w:tcW w:w="2048" w:type="dxa"/>
            <w:vAlign w:val="top"/>
            <w:gridSpan w:val="2"/>
            <w:vMerge w:val="continue"/>
            <w:tcBorders>
              <w:top w:val="nil"/>
            </w:tcBorders>
          </w:tcPr>
          <w:p>
            <w:pPr>
              <w:rPr>
                <w:rFonts w:ascii="Arial"/>
                <w:sz w:val="21"/>
              </w:rPr>
            </w:pPr>
            <w:r/>
          </w:p>
        </w:tc>
        <w:tc>
          <w:tcPr>
            <w:shd w:val="clear" w:fill="BDBDBD"/>
            <w:tcW w:w="679" w:type="dxa"/>
            <w:vAlign w:val="top"/>
          </w:tcPr>
          <w:p>
            <w:pPr>
              <w:pStyle w:val="TableText"/>
              <w:ind w:left="276"/>
              <w:spacing w:before="86" w:line="163" w:lineRule="exact"/>
              <w:rPr>
                <w:sz w:val="21"/>
                <w:szCs w:val="21"/>
              </w:rPr>
            </w:pPr>
            <w:r>
              <w:rPr>
                <w:sz w:val="21"/>
                <w:szCs w:val="21"/>
                <w:b/>
                <w:bCs/>
                <w:spacing w:val="-3"/>
                <w:position w:val="-2"/>
              </w:rPr>
              <w:t>X</w:t>
            </w:r>
          </w:p>
        </w:tc>
        <w:tc>
          <w:tcPr>
            <w:shd w:val="clear" w:fill="BDBDBD"/>
            <w:tcW w:w="649" w:type="dxa"/>
            <w:vAlign w:val="top"/>
          </w:tcPr>
          <w:p>
            <w:pPr>
              <w:pStyle w:val="TableText"/>
              <w:ind w:left="263"/>
              <w:spacing w:before="86" w:line="163" w:lineRule="exact"/>
              <w:rPr>
                <w:sz w:val="21"/>
                <w:szCs w:val="21"/>
              </w:rPr>
            </w:pPr>
            <w:r>
              <w:rPr>
                <w:sz w:val="21"/>
                <w:szCs w:val="21"/>
                <w:position w:val="-2"/>
              </w:rPr>
              <w:t>Y</w:t>
            </w:r>
          </w:p>
        </w:tc>
        <w:tc>
          <w:tcPr>
            <w:shd w:val="clear" w:fill="BDBDBD"/>
            <w:tcW w:w="499" w:type="dxa"/>
            <w:vAlign w:val="top"/>
          </w:tcPr>
          <w:p>
            <w:pPr>
              <w:pStyle w:val="TableText"/>
              <w:ind w:left="187"/>
              <w:spacing w:before="86" w:line="163" w:lineRule="exact"/>
              <w:rPr>
                <w:sz w:val="21"/>
                <w:szCs w:val="21"/>
              </w:rPr>
            </w:pPr>
            <w:r>
              <w:rPr>
                <w:sz w:val="21"/>
                <w:szCs w:val="21"/>
                <w:b/>
                <w:bCs/>
                <w:spacing w:val="-3"/>
                <w:position w:val="-2"/>
              </w:rPr>
              <w:t>Z</w:t>
            </w:r>
          </w:p>
        </w:tc>
        <w:tc>
          <w:tcPr>
            <w:tcW w:w="1049" w:type="dxa"/>
            <w:vAlign w:val="top"/>
            <w:vMerge w:val="continue"/>
            <w:tcBorders>
              <w:top w:val="nil"/>
            </w:tcBorders>
          </w:tcPr>
          <w:p>
            <w:pPr>
              <w:rPr>
                <w:rFonts w:ascii="Arial"/>
                <w:sz w:val="21"/>
              </w:rPr>
            </w:pPr>
            <w:r/>
          </w:p>
        </w:tc>
        <w:tc>
          <w:tcPr>
            <w:tcW w:w="2557" w:type="dxa"/>
            <w:vAlign w:val="top"/>
            <w:vMerge w:val="continue"/>
            <w:tcBorders>
              <w:top w:val="nil"/>
            </w:tcBorders>
          </w:tcPr>
          <w:p>
            <w:pPr>
              <w:rPr>
                <w:rFonts w:ascii="Arial"/>
                <w:sz w:val="21"/>
              </w:rPr>
            </w:pPr>
            <w:r/>
          </w:p>
        </w:tc>
        <w:tc>
          <w:tcPr>
            <w:tcW w:w="594" w:type="dxa"/>
            <w:vAlign w:val="top"/>
            <w:vMerge w:val="continue"/>
            <w:tcBorders>
              <w:top w:val="nil"/>
            </w:tcBorders>
          </w:tcPr>
          <w:p>
            <w:pPr>
              <w:rPr>
                <w:rFonts w:ascii="Arial"/>
                <w:sz w:val="21"/>
              </w:rPr>
            </w:pPr>
            <w:r/>
          </w:p>
        </w:tc>
      </w:tr>
      <w:tr>
        <w:trPr>
          <w:trHeight w:val="537" w:hRule="atLeast"/>
        </w:trPr>
        <w:tc>
          <w:tcPr>
            <w:tcW w:w="424" w:type="dxa"/>
            <w:vAlign w:val="top"/>
            <w:textDirection w:val="tbRlV"/>
          </w:tcPr>
          <w:p>
            <w:pPr>
              <w:pStyle w:val="TableText"/>
              <w:ind w:left="126"/>
              <w:spacing w:before="182" w:line="126" w:lineRule="exact"/>
              <w:rPr>
                <w:sz w:val="21"/>
                <w:szCs w:val="21"/>
              </w:rPr>
            </w:pPr>
            <w:r>
              <w:rPr>
                <w:sz w:val="21"/>
                <w:szCs w:val="21"/>
                <w:color w:val="505050"/>
                <w:spacing w:val="50"/>
                <w:w w:val="125"/>
                <w:position w:val="-3"/>
              </w:rPr>
              <w:t>1</w:t>
            </w:r>
          </w:p>
        </w:tc>
        <w:tc>
          <w:tcPr>
            <w:tcW w:w="959" w:type="dxa"/>
            <w:vAlign w:val="top"/>
          </w:tcPr>
          <w:p>
            <w:pPr>
              <w:pStyle w:val="TableText"/>
              <w:ind w:left="50"/>
              <w:spacing w:before="32" w:line="220" w:lineRule="auto"/>
              <w:rPr>
                <w:sz w:val="21"/>
                <w:szCs w:val="21"/>
              </w:rPr>
            </w:pPr>
            <w:r>
              <w:rPr>
                <w:sz w:val="21"/>
                <w:szCs w:val="21"/>
                <w:spacing w:val="-2"/>
              </w:rPr>
              <w:t>废气处理</w:t>
            </w:r>
          </w:p>
          <w:p>
            <w:pPr>
              <w:pStyle w:val="TableText"/>
              <w:ind w:left="260"/>
              <w:spacing w:before="19" w:line="198" w:lineRule="auto"/>
              <w:rPr>
                <w:sz w:val="21"/>
                <w:szCs w:val="21"/>
              </w:rPr>
            </w:pPr>
            <w:r>
              <w:rPr>
                <w:sz w:val="21"/>
                <w:szCs w:val="21"/>
                <w:spacing w:val="-3"/>
              </w:rPr>
              <w:t>装置</w:t>
            </w:r>
          </w:p>
        </w:tc>
        <w:tc>
          <w:tcPr>
            <w:tcW w:w="1089" w:type="dxa"/>
            <w:vAlign w:val="top"/>
          </w:tcPr>
          <w:p>
            <w:pPr>
              <w:pStyle w:val="TableText"/>
              <w:ind w:left="111"/>
              <w:spacing w:before="170" w:line="219" w:lineRule="auto"/>
              <w:rPr>
                <w:sz w:val="21"/>
                <w:szCs w:val="21"/>
              </w:rPr>
            </w:pPr>
            <w:r>
              <w:rPr>
                <w:sz w:val="21"/>
                <w:szCs w:val="21"/>
                <w:spacing w:val="2"/>
              </w:rPr>
              <w:t>负压风机</w:t>
            </w:r>
          </w:p>
        </w:tc>
        <w:tc>
          <w:tcPr>
            <w:tcW w:w="679" w:type="dxa"/>
            <w:vAlign w:val="top"/>
          </w:tcPr>
          <w:p>
            <w:pPr>
              <w:pStyle w:val="TableText"/>
              <w:ind w:left="13"/>
              <w:spacing w:before="192" w:line="239" w:lineRule="auto"/>
              <w:rPr>
                <w:sz w:val="21"/>
                <w:szCs w:val="21"/>
              </w:rPr>
            </w:pPr>
            <w:r>
              <w:rPr>
                <w:sz w:val="21"/>
                <w:szCs w:val="21"/>
                <w:spacing w:val="-1"/>
              </w:rPr>
              <w:t>-17.16</w:t>
            </w:r>
          </w:p>
        </w:tc>
        <w:tc>
          <w:tcPr>
            <w:tcW w:w="649" w:type="dxa"/>
            <w:vAlign w:val="top"/>
          </w:tcPr>
          <w:p>
            <w:pPr>
              <w:pStyle w:val="TableText"/>
              <w:ind w:left="53"/>
              <w:spacing w:before="192" w:line="239" w:lineRule="auto"/>
              <w:rPr>
                <w:sz w:val="21"/>
                <w:szCs w:val="21"/>
              </w:rPr>
            </w:pPr>
            <w:r>
              <w:rPr>
                <w:sz w:val="21"/>
                <w:szCs w:val="21"/>
                <w:spacing w:val="-4"/>
              </w:rPr>
              <w:t>14.23</w:t>
            </w:r>
          </w:p>
        </w:tc>
        <w:tc>
          <w:tcPr>
            <w:tcW w:w="499" w:type="dxa"/>
            <w:vAlign w:val="top"/>
            <w:textDirection w:val="tbRlV"/>
          </w:tcPr>
          <w:p>
            <w:pPr>
              <w:pStyle w:val="TableText"/>
              <w:ind w:left="126"/>
              <w:spacing w:before="217" w:line="126" w:lineRule="exact"/>
              <w:rPr>
                <w:sz w:val="21"/>
                <w:szCs w:val="21"/>
              </w:rPr>
            </w:pPr>
            <w:r>
              <w:rPr>
                <w:sz w:val="21"/>
                <w:szCs w:val="21"/>
                <w:color w:val="404050"/>
                <w:spacing w:val="50"/>
                <w:w w:val="125"/>
                <w:position w:val="-3"/>
              </w:rPr>
              <w:t>1</w:t>
            </w:r>
          </w:p>
        </w:tc>
        <w:tc>
          <w:tcPr>
            <w:tcW w:w="1049" w:type="dxa"/>
            <w:vAlign w:val="top"/>
          </w:tcPr>
          <w:p>
            <w:pPr>
              <w:pStyle w:val="TableText"/>
              <w:ind w:left="415"/>
              <w:spacing w:before="192"/>
              <w:rPr>
                <w:sz w:val="21"/>
                <w:szCs w:val="21"/>
              </w:rPr>
            </w:pPr>
            <w:r>
              <w:rPr>
                <w:sz w:val="21"/>
                <w:szCs w:val="21"/>
                <w:spacing w:val="-4"/>
              </w:rPr>
              <w:t>76</w:t>
            </w:r>
          </w:p>
        </w:tc>
        <w:tc>
          <w:tcPr>
            <w:tcW w:w="2557" w:type="dxa"/>
            <w:vAlign w:val="top"/>
          </w:tcPr>
          <w:p>
            <w:pPr>
              <w:pStyle w:val="TableText"/>
              <w:ind w:left="536" w:right="127" w:hanging="419"/>
              <w:spacing w:before="51" w:line="209" w:lineRule="auto"/>
              <w:rPr>
                <w:sz w:val="21"/>
                <w:szCs w:val="21"/>
              </w:rPr>
            </w:pPr>
            <w:r>
              <w:rPr>
                <w:sz w:val="21"/>
                <w:szCs w:val="21"/>
                <w:spacing w:val="-1"/>
              </w:rPr>
              <w:t>选用低噪声设备、减振安</w:t>
            </w:r>
            <w:r>
              <w:rPr>
                <w:sz w:val="21"/>
                <w:szCs w:val="21"/>
                <w:spacing w:val="2"/>
              </w:rPr>
              <w:t xml:space="preserve"> </w:t>
            </w:r>
            <w:r>
              <w:rPr>
                <w:sz w:val="21"/>
                <w:szCs w:val="21"/>
                <w:spacing w:val="-2"/>
              </w:rPr>
              <w:t>装、设置隔音罩</w:t>
            </w:r>
          </w:p>
        </w:tc>
        <w:tc>
          <w:tcPr>
            <w:tcW w:w="594" w:type="dxa"/>
            <w:vAlign w:val="top"/>
          </w:tcPr>
          <w:p>
            <w:pPr>
              <w:pStyle w:val="TableText"/>
              <w:ind w:left="29"/>
              <w:spacing w:before="177" w:line="224" w:lineRule="auto"/>
              <w:rPr>
                <w:sz w:val="21"/>
                <w:szCs w:val="21"/>
              </w:rPr>
            </w:pPr>
            <w:r>
              <w:rPr>
                <w:sz w:val="21"/>
                <w:szCs w:val="21"/>
                <w:spacing w:val="-2"/>
              </w:rPr>
              <w:t>24h/d</w:t>
            </w:r>
          </w:p>
        </w:tc>
      </w:tr>
      <w:tr>
        <w:trPr>
          <w:trHeight w:val="547" w:hRule="atLeast"/>
        </w:trPr>
        <w:tc>
          <w:tcPr>
            <w:tcW w:w="424" w:type="dxa"/>
            <w:vAlign w:val="top"/>
            <w:textDirection w:val="tbRlV"/>
          </w:tcPr>
          <w:p>
            <w:pPr>
              <w:pStyle w:val="TableText"/>
              <w:ind w:left="128"/>
              <w:spacing w:before="174" w:line="147" w:lineRule="exact"/>
              <w:rPr>
                <w:sz w:val="21"/>
                <w:szCs w:val="21"/>
              </w:rPr>
            </w:pPr>
            <w:r>
              <w:rPr>
                <w:sz w:val="21"/>
                <w:szCs w:val="21"/>
                <w:spacing w:val="50"/>
                <w:w w:val="125"/>
                <w:position w:val="-3"/>
              </w:rPr>
              <w:t>2</w:t>
            </w:r>
          </w:p>
        </w:tc>
        <w:tc>
          <w:tcPr>
            <w:shd w:val="clear" w:fill="B5B5B2"/>
            <w:tcW w:w="959" w:type="dxa"/>
            <w:vAlign w:val="top"/>
          </w:tcPr>
          <w:p>
            <w:pPr>
              <w:pStyle w:val="TableText"/>
              <w:ind w:left="50" w:right="44"/>
              <w:spacing w:before="54" w:line="212" w:lineRule="auto"/>
              <w:rPr>
                <w:sz w:val="21"/>
                <w:szCs w:val="21"/>
              </w:rPr>
            </w:pPr>
            <w:r>
              <w:rPr>
                <w:sz w:val="21"/>
                <w:szCs w:val="21"/>
                <w:spacing w:val="3"/>
              </w:rPr>
              <w:t>食堂油烟</w:t>
            </w:r>
            <w:r>
              <w:rPr>
                <w:sz w:val="21"/>
                <w:szCs w:val="21"/>
              </w:rPr>
              <w:t xml:space="preserve"> </w:t>
            </w:r>
            <w:r>
              <w:rPr>
                <w:sz w:val="21"/>
                <w:szCs w:val="21"/>
                <w:spacing w:val="-3"/>
              </w:rPr>
              <w:t>处理装置</w:t>
            </w:r>
          </w:p>
        </w:tc>
        <w:tc>
          <w:tcPr>
            <w:tcW w:w="1089" w:type="dxa"/>
            <w:vAlign w:val="top"/>
          </w:tcPr>
          <w:p>
            <w:pPr>
              <w:pStyle w:val="TableText"/>
              <w:ind w:left="111"/>
              <w:spacing w:before="173" w:line="219" w:lineRule="auto"/>
              <w:rPr>
                <w:sz w:val="21"/>
                <w:szCs w:val="21"/>
              </w:rPr>
            </w:pPr>
            <w:r>
              <w:rPr>
                <w:sz w:val="21"/>
                <w:szCs w:val="21"/>
                <w:spacing w:val="2"/>
              </w:rPr>
              <w:t>负压风机</w:t>
            </w:r>
          </w:p>
        </w:tc>
        <w:tc>
          <w:tcPr>
            <w:tcW w:w="679" w:type="dxa"/>
            <w:vAlign w:val="top"/>
          </w:tcPr>
          <w:p>
            <w:pPr>
              <w:pStyle w:val="TableText"/>
              <w:ind w:left="13"/>
              <w:spacing w:before="195" w:line="239" w:lineRule="auto"/>
              <w:rPr>
                <w:sz w:val="21"/>
                <w:szCs w:val="21"/>
              </w:rPr>
            </w:pPr>
            <w:r>
              <w:rPr>
                <w:sz w:val="21"/>
                <w:szCs w:val="21"/>
                <w:spacing w:val="-1"/>
              </w:rPr>
              <w:t>-66.49</w:t>
            </w:r>
          </w:p>
        </w:tc>
        <w:tc>
          <w:tcPr>
            <w:tcW w:w="649" w:type="dxa"/>
            <w:vAlign w:val="top"/>
          </w:tcPr>
          <w:p>
            <w:pPr>
              <w:pStyle w:val="TableText"/>
              <w:ind w:left="154"/>
              <w:spacing w:before="195"/>
              <w:rPr>
                <w:sz w:val="21"/>
                <w:szCs w:val="21"/>
              </w:rPr>
            </w:pPr>
            <w:r>
              <w:rPr>
                <w:sz w:val="21"/>
                <w:szCs w:val="21"/>
                <w:spacing w:val="-2"/>
              </w:rPr>
              <w:t>-37</w:t>
            </w:r>
          </w:p>
        </w:tc>
        <w:tc>
          <w:tcPr>
            <w:tcW w:w="499" w:type="dxa"/>
            <w:vAlign w:val="top"/>
          </w:tcPr>
          <w:p>
            <w:pPr>
              <w:pStyle w:val="TableText"/>
              <w:ind w:left="134"/>
              <w:spacing w:before="195"/>
              <w:rPr>
                <w:sz w:val="21"/>
                <w:szCs w:val="21"/>
              </w:rPr>
            </w:pPr>
            <w:r>
              <w:rPr>
                <w:sz w:val="21"/>
                <w:szCs w:val="21"/>
                <w:color w:val="402040"/>
                <w:spacing w:val="-6"/>
              </w:rPr>
              <w:t>15</w:t>
            </w:r>
          </w:p>
        </w:tc>
        <w:tc>
          <w:tcPr>
            <w:tcW w:w="1049" w:type="dxa"/>
            <w:vAlign w:val="top"/>
          </w:tcPr>
          <w:p>
            <w:pPr>
              <w:pStyle w:val="TableText"/>
              <w:ind w:left="415"/>
              <w:spacing w:before="195"/>
              <w:rPr>
                <w:sz w:val="21"/>
                <w:szCs w:val="21"/>
              </w:rPr>
            </w:pPr>
            <w:r>
              <w:rPr>
                <w:sz w:val="21"/>
                <w:szCs w:val="21"/>
                <w:spacing w:val="-4"/>
              </w:rPr>
              <w:t>70</w:t>
            </w:r>
          </w:p>
        </w:tc>
        <w:tc>
          <w:tcPr>
            <w:tcW w:w="2557" w:type="dxa"/>
            <w:vAlign w:val="top"/>
          </w:tcPr>
          <w:p>
            <w:pPr>
              <w:pStyle w:val="TableText"/>
              <w:ind w:left="536" w:right="127" w:hanging="419"/>
              <w:spacing w:before="54" w:line="212" w:lineRule="auto"/>
              <w:rPr>
                <w:sz w:val="21"/>
                <w:szCs w:val="21"/>
              </w:rPr>
            </w:pPr>
            <w:r>
              <w:rPr>
                <w:sz w:val="21"/>
                <w:szCs w:val="21"/>
                <w:spacing w:val="-1"/>
              </w:rPr>
              <w:t>选用低噪声设备、减振安</w:t>
            </w:r>
            <w:r>
              <w:rPr>
                <w:sz w:val="21"/>
                <w:szCs w:val="21"/>
                <w:spacing w:val="2"/>
              </w:rPr>
              <w:t xml:space="preserve"> </w:t>
            </w:r>
            <w:r>
              <w:rPr>
                <w:sz w:val="21"/>
                <w:szCs w:val="21"/>
                <w:spacing w:val="-2"/>
              </w:rPr>
              <w:t>装、设置隔音罩</w:t>
            </w:r>
          </w:p>
        </w:tc>
        <w:tc>
          <w:tcPr>
            <w:tcW w:w="594" w:type="dxa"/>
            <w:vAlign w:val="top"/>
          </w:tcPr>
          <w:p>
            <w:pPr>
              <w:pStyle w:val="TableText"/>
              <w:ind w:left="79"/>
              <w:spacing w:before="180" w:line="224" w:lineRule="auto"/>
              <w:rPr>
                <w:sz w:val="21"/>
                <w:szCs w:val="21"/>
              </w:rPr>
            </w:pPr>
            <w:r>
              <w:rPr>
                <w:sz w:val="21"/>
                <w:szCs w:val="21"/>
                <w:spacing w:val="-2"/>
              </w:rPr>
              <w:t>6h/d</w:t>
            </w:r>
          </w:p>
        </w:tc>
      </w:tr>
      <w:tr>
        <w:trPr>
          <w:trHeight w:val="313" w:hRule="atLeast"/>
        </w:trPr>
        <w:tc>
          <w:tcPr>
            <w:tcW w:w="424" w:type="dxa"/>
            <w:vAlign w:val="top"/>
            <w:textDirection w:val="tbRlV"/>
          </w:tcPr>
          <w:p>
            <w:pPr>
              <w:pStyle w:val="TableText"/>
              <w:ind w:left="11"/>
              <w:spacing w:before="174" w:line="144" w:lineRule="exact"/>
              <w:rPr>
                <w:sz w:val="21"/>
                <w:szCs w:val="21"/>
              </w:rPr>
            </w:pPr>
            <w:r>
              <w:rPr>
                <w:sz w:val="21"/>
                <w:szCs w:val="21"/>
                <w:spacing w:val="51"/>
                <w:w w:val="125"/>
                <w:position w:val="-3"/>
              </w:rPr>
              <w:t>3</w:t>
            </w:r>
          </w:p>
        </w:tc>
        <w:tc>
          <w:tcPr>
            <w:tcW w:w="959" w:type="dxa"/>
            <w:vAlign w:val="top"/>
          </w:tcPr>
          <w:p>
            <w:pPr>
              <w:pStyle w:val="TableText"/>
              <w:ind w:left="151"/>
              <w:spacing w:before="57" w:line="216" w:lineRule="auto"/>
              <w:rPr>
                <w:sz w:val="21"/>
                <w:szCs w:val="21"/>
              </w:rPr>
            </w:pPr>
            <w:r>
              <w:rPr>
                <w:sz w:val="21"/>
                <w:szCs w:val="21"/>
                <w:spacing w:val="-2"/>
              </w:rPr>
              <w:t>机动车</w:t>
            </w:r>
          </w:p>
        </w:tc>
        <w:tc>
          <w:tcPr>
            <w:tcW w:w="1089" w:type="dxa"/>
            <w:vAlign w:val="top"/>
          </w:tcPr>
          <w:p>
            <w:pPr>
              <w:pStyle w:val="TableText"/>
              <w:ind w:left="111"/>
              <w:spacing w:before="57" w:line="216" w:lineRule="auto"/>
              <w:rPr>
                <w:sz w:val="21"/>
                <w:szCs w:val="21"/>
              </w:rPr>
            </w:pPr>
            <w:r>
              <w:rPr>
                <w:sz w:val="21"/>
                <w:szCs w:val="21"/>
                <w:spacing w:val="-2"/>
              </w:rPr>
              <w:t>运输车辆</w:t>
            </w:r>
          </w:p>
        </w:tc>
        <w:tc>
          <w:tcPr>
            <w:tcW w:w="679" w:type="dxa"/>
            <w:vAlign w:val="top"/>
          </w:tcPr>
          <w:p>
            <w:pPr>
              <w:pStyle w:val="TableText"/>
              <w:ind w:left="62"/>
              <w:spacing w:before="78" w:line="197" w:lineRule="auto"/>
              <w:rPr>
                <w:sz w:val="21"/>
                <w:szCs w:val="21"/>
              </w:rPr>
            </w:pPr>
            <w:r>
              <w:rPr>
                <w:sz w:val="21"/>
                <w:szCs w:val="21"/>
                <w:spacing w:val="-4"/>
              </w:rPr>
              <w:t>14.14</w:t>
            </w:r>
          </w:p>
        </w:tc>
        <w:tc>
          <w:tcPr>
            <w:tcW w:w="649" w:type="dxa"/>
            <w:vAlign w:val="top"/>
          </w:tcPr>
          <w:p>
            <w:pPr>
              <w:pStyle w:val="TableText"/>
              <w:spacing w:before="78" w:line="197" w:lineRule="auto"/>
              <w:jc w:val="right"/>
              <w:rPr>
                <w:sz w:val="21"/>
                <w:szCs w:val="21"/>
              </w:rPr>
            </w:pPr>
            <w:r>
              <w:rPr>
                <w:sz w:val="21"/>
                <w:szCs w:val="21"/>
                <w:spacing w:val="-1"/>
              </w:rPr>
              <w:t>-38.89</w:t>
            </w:r>
          </w:p>
        </w:tc>
        <w:tc>
          <w:tcPr>
            <w:tcW w:w="499" w:type="dxa"/>
            <w:vAlign w:val="top"/>
            <w:textDirection w:val="tbRlV"/>
          </w:tcPr>
          <w:p>
            <w:pPr>
              <w:pStyle w:val="TableText"/>
              <w:ind w:left="12"/>
              <w:spacing w:before="217" w:line="126" w:lineRule="exact"/>
              <w:rPr>
                <w:sz w:val="21"/>
                <w:szCs w:val="21"/>
              </w:rPr>
            </w:pPr>
            <w:r>
              <w:rPr>
                <w:sz w:val="21"/>
                <w:szCs w:val="21"/>
                <w:color w:val="404040"/>
                <w:spacing w:val="50"/>
                <w:w w:val="125"/>
                <w:position w:val="-3"/>
              </w:rPr>
              <w:t>1</w:t>
            </w:r>
          </w:p>
        </w:tc>
        <w:tc>
          <w:tcPr>
            <w:tcW w:w="1049" w:type="dxa"/>
            <w:vAlign w:val="top"/>
          </w:tcPr>
          <w:p>
            <w:pPr>
              <w:pStyle w:val="TableText"/>
              <w:ind w:left="415"/>
              <w:spacing w:before="78" w:line="197" w:lineRule="auto"/>
              <w:rPr>
                <w:sz w:val="21"/>
                <w:szCs w:val="21"/>
              </w:rPr>
            </w:pPr>
            <w:r>
              <w:rPr>
                <w:sz w:val="21"/>
                <w:szCs w:val="21"/>
                <w:spacing w:val="-3"/>
              </w:rPr>
              <w:t>90</w:t>
            </w:r>
          </w:p>
        </w:tc>
        <w:tc>
          <w:tcPr>
            <w:tcW w:w="2557" w:type="dxa"/>
            <w:vAlign w:val="top"/>
          </w:tcPr>
          <w:p>
            <w:pPr>
              <w:pStyle w:val="TableText"/>
              <w:ind w:left="16"/>
              <w:spacing w:before="57" w:line="216" w:lineRule="auto"/>
              <w:rPr>
                <w:sz w:val="21"/>
                <w:szCs w:val="21"/>
              </w:rPr>
            </w:pPr>
            <w:r>
              <w:rPr>
                <w:sz w:val="21"/>
                <w:szCs w:val="21"/>
                <w:spacing w:val="-1"/>
              </w:rPr>
              <w:t>选用低噪声设备、加强管理</w:t>
            </w:r>
          </w:p>
        </w:tc>
        <w:tc>
          <w:tcPr>
            <w:tcW w:w="594" w:type="dxa"/>
            <w:vAlign w:val="top"/>
          </w:tcPr>
          <w:p>
            <w:pPr>
              <w:pStyle w:val="TableText"/>
              <w:ind w:left="79"/>
              <w:spacing w:before="62" w:line="211" w:lineRule="auto"/>
              <w:rPr>
                <w:sz w:val="21"/>
                <w:szCs w:val="21"/>
              </w:rPr>
            </w:pPr>
            <w:r>
              <w:rPr>
                <w:sz w:val="21"/>
                <w:szCs w:val="21"/>
                <w:spacing w:val="-2"/>
              </w:rPr>
              <w:t>8h/d</w:t>
            </w:r>
          </w:p>
        </w:tc>
      </w:tr>
    </w:tbl>
    <w:p>
      <w:pPr>
        <w:ind w:left="104" w:right="121" w:firstLine="480"/>
        <w:spacing w:before="82" w:line="369" w:lineRule="auto"/>
        <w:jc w:val="both"/>
        <w:rPr>
          <w:rFonts w:ascii="SimSun" w:hAnsi="SimSun" w:eastAsia="SimSun" w:cs="SimSun"/>
          <w:sz w:val="23"/>
          <w:szCs w:val="23"/>
        </w:rPr>
      </w:pPr>
      <w:r>
        <w:rPr>
          <w:rFonts w:ascii="SimSun" w:hAnsi="SimSun" w:eastAsia="SimSun" w:cs="SimSun"/>
          <w:sz w:val="23"/>
          <w:szCs w:val="23"/>
          <w:spacing w:val="14"/>
        </w:rPr>
        <w:t>通过采取上述隔声、减振、消声等治理措施，加强管理、合理布局、绿化</w:t>
      </w:r>
      <w:r>
        <w:rPr>
          <w:rFonts w:ascii="SimSun" w:hAnsi="SimSun" w:eastAsia="SimSun" w:cs="SimSun"/>
          <w:sz w:val="23"/>
          <w:szCs w:val="23"/>
          <w:spacing w:val="10"/>
        </w:rPr>
        <w:t xml:space="preserve"> </w:t>
      </w:r>
      <w:r>
        <w:rPr>
          <w:rFonts w:ascii="SimSun" w:hAnsi="SimSun" w:eastAsia="SimSun" w:cs="SimSun"/>
          <w:sz w:val="23"/>
          <w:szCs w:val="23"/>
          <w:spacing w:val="14"/>
        </w:rPr>
        <w:t>隔声后，再经厂界距离衰减，厂界四周噪声排放可达到《工业企业厂界环境噪</w:t>
      </w:r>
      <w:r>
        <w:rPr>
          <w:rFonts w:ascii="SimSun" w:hAnsi="SimSun" w:eastAsia="SimSun" w:cs="SimSun"/>
          <w:sz w:val="23"/>
          <w:szCs w:val="23"/>
          <w:spacing w:val="6"/>
        </w:rPr>
        <w:t xml:space="preserve"> </w:t>
      </w:r>
      <w:r>
        <w:rPr>
          <w:rFonts w:ascii="SimSun" w:hAnsi="SimSun" w:eastAsia="SimSun" w:cs="SimSun"/>
          <w:sz w:val="23"/>
          <w:szCs w:val="23"/>
          <w:spacing w:val="2"/>
        </w:rPr>
        <w:t>声排放标准》</w:t>
      </w:r>
      <w:r>
        <w:rPr>
          <w:rFonts w:ascii="SimSun" w:hAnsi="SimSun" w:eastAsia="SimSun" w:cs="SimSun"/>
          <w:sz w:val="23"/>
          <w:szCs w:val="23"/>
          <w:spacing w:val="35"/>
        </w:rPr>
        <w:t xml:space="preserve"> </w:t>
      </w:r>
      <w:r>
        <w:rPr>
          <w:rFonts w:ascii="Times New Roman" w:hAnsi="Times New Roman" w:eastAsia="Times New Roman" w:cs="Times New Roman"/>
          <w:sz w:val="23"/>
          <w:szCs w:val="23"/>
          <w:spacing w:val="2"/>
        </w:rPr>
        <w:t>(</w:t>
      </w:r>
      <w:r>
        <w:rPr>
          <w:rFonts w:ascii="Times New Roman" w:hAnsi="Times New Roman" w:eastAsia="Times New Roman" w:cs="Times New Roman"/>
          <w:sz w:val="23"/>
          <w:szCs w:val="23"/>
        </w:rPr>
        <w:t>GB</w:t>
      </w:r>
      <w:r>
        <w:rPr>
          <w:rFonts w:ascii="Times New Roman" w:hAnsi="Times New Roman" w:eastAsia="Times New Roman" w:cs="Times New Roman"/>
          <w:sz w:val="23"/>
          <w:szCs w:val="23"/>
          <w:spacing w:val="2"/>
        </w:rPr>
        <w:t>12348-2008)     </w:t>
      </w:r>
      <w:r>
        <w:rPr>
          <w:rFonts w:ascii="SimSun" w:hAnsi="SimSun" w:eastAsia="SimSun" w:cs="SimSun"/>
          <w:sz w:val="23"/>
          <w:szCs w:val="23"/>
          <w:spacing w:val="2"/>
        </w:rPr>
        <w:t>中</w:t>
      </w:r>
      <w:r>
        <w:rPr>
          <w:rFonts w:ascii="SimSun" w:hAnsi="SimSun" w:eastAsia="SimSun" w:cs="SimSun"/>
          <w:sz w:val="23"/>
          <w:szCs w:val="23"/>
          <w:spacing w:val="1"/>
        </w:rPr>
        <w:t>3类标准限值要求。</w:t>
      </w:r>
    </w:p>
    <w:p>
      <w:pPr>
        <w:ind w:left="585"/>
        <w:spacing w:before="51" w:line="219" w:lineRule="auto"/>
        <w:rPr>
          <w:rFonts w:ascii="SimSun" w:hAnsi="SimSun" w:eastAsia="SimSun" w:cs="SimSun"/>
          <w:sz w:val="23"/>
          <w:szCs w:val="23"/>
        </w:rPr>
      </w:pPr>
      <w:r>
        <w:rPr>
          <w:rFonts w:ascii="SimSun" w:hAnsi="SimSun" w:eastAsia="SimSun" w:cs="SimSun"/>
          <w:sz w:val="23"/>
          <w:szCs w:val="23"/>
          <w:spacing w:val="9"/>
        </w:rPr>
        <w:t>综上分析，项目建设不会对区域周边声环境造成明显影响。</w:t>
      </w:r>
    </w:p>
    <w:p>
      <w:pPr>
        <w:ind w:left="104"/>
        <w:spacing w:before="174" w:line="221" w:lineRule="auto"/>
        <w:rPr>
          <w:rFonts w:ascii="SimHei" w:hAnsi="SimHei" w:eastAsia="SimHei" w:cs="SimHei"/>
          <w:sz w:val="27"/>
          <w:szCs w:val="27"/>
        </w:rPr>
      </w:pPr>
      <w:r>
        <w:rPr>
          <w:rFonts w:ascii="Times New Roman" w:hAnsi="Times New Roman" w:eastAsia="Times New Roman" w:cs="Times New Roman"/>
          <w:sz w:val="27"/>
          <w:szCs w:val="27"/>
          <w:spacing w:val="-4"/>
        </w:rPr>
        <w:t>3.</w:t>
      </w:r>
      <w:r>
        <w:rPr>
          <w:rFonts w:ascii="Times New Roman" w:hAnsi="Times New Roman" w:eastAsia="Times New Roman" w:cs="Times New Roman"/>
          <w:sz w:val="27"/>
          <w:szCs w:val="27"/>
          <w:spacing w:val="-21"/>
        </w:rPr>
        <w:t xml:space="preserve"> </w:t>
      </w:r>
      <w:r>
        <w:rPr>
          <w:rFonts w:ascii="SimHei" w:hAnsi="SimHei" w:eastAsia="SimHei" w:cs="SimHei"/>
          <w:sz w:val="27"/>
          <w:szCs w:val="27"/>
          <w:b/>
          <w:bCs/>
          <w:spacing w:val="-4"/>
        </w:rPr>
        <w:t>11.4固废产生及处置方案</w:t>
      </w:r>
    </w:p>
    <w:p>
      <w:pPr>
        <w:ind w:left="104" w:right="163" w:firstLine="480"/>
        <w:spacing w:before="220" w:line="369" w:lineRule="auto"/>
        <w:jc w:val="both"/>
        <w:rPr>
          <w:rFonts w:ascii="SimSun" w:hAnsi="SimSun" w:eastAsia="SimSun" w:cs="SimSun"/>
          <w:sz w:val="23"/>
          <w:szCs w:val="23"/>
        </w:rPr>
      </w:pPr>
      <w:r>
        <w:rPr>
          <w:rFonts w:ascii="SimSun" w:hAnsi="SimSun" w:eastAsia="SimSun" w:cs="SimSun"/>
          <w:sz w:val="23"/>
          <w:szCs w:val="23"/>
          <w:spacing w:val="1"/>
        </w:rPr>
        <w:t>本项目运营期固废包括生活垃圾、</w:t>
      </w:r>
      <w:r>
        <w:rPr>
          <w:rFonts w:ascii="SimSun" w:hAnsi="SimSun" w:eastAsia="SimSun" w:cs="SimSun"/>
          <w:sz w:val="23"/>
          <w:szCs w:val="23"/>
          <w:spacing w:val="57"/>
        </w:rPr>
        <w:t xml:space="preserve"> </w:t>
      </w:r>
      <w:r>
        <w:rPr>
          <w:rFonts w:ascii="SimSun" w:hAnsi="SimSun" w:eastAsia="SimSun" w:cs="SimSun"/>
          <w:sz w:val="23"/>
          <w:szCs w:val="23"/>
          <w:spacing w:val="1"/>
        </w:rPr>
        <w:t>一般固废和危险废物。 一般固废主要为</w:t>
      </w:r>
      <w:r>
        <w:rPr>
          <w:rFonts w:ascii="SimSun" w:hAnsi="SimSun" w:eastAsia="SimSun" w:cs="SimSun"/>
          <w:sz w:val="23"/>
          <w:szCs w:val="23"/>
        </w:rPr>
        <w:t xml:space="preserve">  </w:t>
      </w:r>
      <w:r>
        <w:rPr>
          <w:rFonts w:ascii="SimSun" w:hAnsi="SimSun" w:eastAsia="SimSun" w:cs="SimSun"/>
          <w:sz w:val="23"/>
          <w:szCs w:val="23"/>
          <w:spacing w:val="10"/>
        </w:rPr>
        <w:t>生猪、肉牛屠宰废物、污水处理站产生的格栅和污泥、生猪含毛蜡、废离</w:t>
      </w:r>
      <w:r>
        <w:rPr>
          <w:rFonts w:ascii="SimSun" w:hAnsi="SimSun" w:eastAsia="SimSun" w:cs="SimSun"/>
          <w:sz w:val="23"/>
          <w:szCs w:val="23"/>
          <w:spacing w:val="9"/>
        </w:rPr>
        <w:t>子交</w:t>
      </w:r>
      <w:r>
        <w:rPr>
          <w:rFonts w:ascii="SimSun" w:hAnsi="SimSun" w:eastAsia="SimSun" w:cs="SimSun"/>
          <w:sz w:val="23"/>
          <w:szCs w:val="23"/>
        </w:rPr>
        <w:t xml:space="preserve">  </w:t>
      </w:r>
      <w:r>
        <w:rPr>
          <w:rFonts w:ascii="SimSun" w:hAnsi="SimSun" w:eastAsia="SimSun" w:cs="SimSun"/>
          <w:sz w:val="23"/>
          <w:szCs w:val="23"/>
          <w:spacing w:val="17"/>
        </w:rPr>
        <w:t>换树脂、餐厨垃圾(含隔油池浮油)、沼气净化处理产生的</w:t>
      </w:r>
      <w:r>
        <w:rPr>
          <w:rFonts w:ascii="SimSun" w:hAnsi="SimSun" w:eastAsia="SimSun" w:cs="SimSun"/>
          <w:sz w:val="23"/>
          <w:szCs w:val="23"/>
          <w:spacing w:val="16"/>
        </w:rPr>
        <w:t>废脱硫剂；危险废</w:t>
      </w:r>
      <w:r>
        <w:rPr>
          <w:rFonts w:ascii="SimSun" w:hAnsi="SimSun" w:eastAsia="SimSun" w:cs="SimSun"/>
          <w:sz w:val="23"/>
          <w:szCs w:val="23"/>
        </w:rPr>
        <w:t xml:space="preserve">  </w:t>
      </w:r>
      <w:r>
        <w:rPr>
          <w:rFonts w:ascii="SimSun" w:hAnsi="SimSun" w:eastAsia="SimSun" w:cs="SimSun"/>
          <w:sz w:val="23"/>
          <w:szCs w:val="23"/>
          <w:spacing w:val="10"/>
        </w:rPr>
        <w:t>物主要为废活性炭、废</w:t>
      </w:r>
      <w:r>
        <w:rPr>
          <w:rFonts w:ascii="SimSun" w:hAnsi="SimSun" w:eastAsia="SimSun" w:cs="SimSun"/>
          <w:sz w:val="23"/>
          <w:szCs w:val="23"/>
        </w:rPr>
        <w:t>UV</w:t>
      </w:r>
      <w:r>
        <w:rPr>
          <w:rFonts w:ascii="SimSun" w:hAnsi="SimSun" w:eastAsia="SimSun" w:cs="SimSun"/>
          <w:sz w:val="23"/>
          <w:szCs w:val="23"/>
          <w:spacing w:val="10"/>
        </w:rPr>
        <w:t xml:space="preserve"> 灯管、废消毒药品</w:t>
      </w:r>
      <w:r>
        <w:rPr>
          <w:rFonts w:ascii="SimSun" w:hAnsi="SimSun" w:eastAsia="SimSun" w:cs="SimSun"/>
          <w:sz w:val="23"/>
          <w:szCs w:val="23"/>
          <w:spacing w:val="9"/>
        </w:rPr>
        <w:t>包装材料、在线监测废液、检疫废</w:t>
      </w:r>
      <w:r>
        <w:rPr>
          <w:rFonts w:ascii="SimSun" w:hAnsi="SimSun" w:eastAsia="SimSun" w:cs="SimSun"/>
          <w:sz w:val="23"/>
          <w:szCs w:val="23"/>
        </w:rPr>
        <w:t xml:space="preserve"> </w:t>
      </w:r>
      <w:r>
        <w:rPr>
          <w:rFonts w:ascii="SimSun" w:hAnsi="SimSun" w:eastAsia="SimSun" w:cs="SimSun"/>
          <w:sz w:val="23"/>
          <w:szCs w:val="23"/>
          <w:spacing w:val="6"/>
        </w:rPr>
        <w:t>弃物、废机油及含油棉纱手套。</w:t>
      </w:r>
    </w:p>
    <w:p>
      <w:pPr>
        <w:ind w:left="718"/>
        <w:spacing w:line="220" w:lineRule="auto"/>
        <w:rPr>
          <w:rFonts w:ascii="SimSun" w:hAnsi="SimSun" w:eastAsia="SimSun" w:cs="SimSun"/>
          <w:sz w:val="23"/>
          <w:szCs w:val="23"/>
        </w:rPr>
      </w:pPr>
      <w:r>
        <w:rPr>
          <w:rFonts w:ascii="SimSun" w:hAnsi="SimSun" w:eastAsia="SimSun" w:cs="SimSun"/>
          <w:sz w:val="23"/>
          <w:szCs w:val="23"/>
          <w:b/>
          <w:bCs/>
          <w:spacing w:val="21"/>
        </w:rPr>
        <w:t>(1)生活垃圾</w:t>
      </w:r>
    </w:p>
    <w:p>
      <w:pPr>
        <w:ind w:left="104" w:right="315" w:firstLine="480"/>
        <w:spacing w:before="211" w:line="372" w:lineRule="auto"/>
        <w:tabs>
          <w:tab w:val="left" w:pos="233"/>
        </w:tabs>
        <w:rPr>
          <w:rFonts w:ascii="SimSun" w:hAnsi="SimSun" w:eastAsia="SimSun" w:cs="SimSun"/>
          <w:sz w:val="23"/>
          <w:szCs w:val="23"/>
        </w:rPr>
      </w:pPr>
      <w:r>
        <w:rPr>
          <w:rFonts w:ascii="SimSun" w:hAnsi="SimSun" w:eastAsia="SimSun" w:cs="SimSun"/>
          <w:sz w:val="23"/>
          <w:szCs w:val="23"/>
          <w:spacing w:val="-7"/>
        </w:rPr>
        <w:t>项目劳动定员200人，生活垃圾产生量按0.50kg/</w:t>
      </w:r>
      <w:r>
        <w:rPr>
          <w:rFonts w:ascii="SimSun" w:hAnsi="SimSun" w:eastAsia="SimSun" w:cs="SimSun"/>
          <w:sz w:val="23"/>
          <w:szCs w:val="23"/>
          <w:spacing w:val="-8"/>
        </w:rPr>
        <w:t>人·d</w:t>
      </w:r>
      <w:r>
        <w:rPr>
          <w:rFonts w:ascii="SimSun" w:hAnsi="SimSun" w:eastAsia="SimSun" w:cs="SimSun"/>
          <w:sz w:val="23"/>
          <w:szCs w:val="23"/>
          <w:spacing w:val="-67"/>
        </w:rPr>
        <w:t xml:space="preserve"> </w:t>
      </w:r>
      <w:r>
        <w:rPr>
          <w:rFonts w:ascii="SimSun" w:hAnsi="SimSun" w:eastAsia="SimSun" w:cs="SimSun"/>
          <w:sz w:val="23"/>
          <w:szCs w:val="23"/>
          <w:spacing w:val="-8"/>
        </w:rPr>
        <w:t>计算，产生量为0.1t/d</w:t>
      </w:r>
      <w:r>
        <w:rPr>
          <w:rFonts w:ascii="SimSun" w:hAnsi="SimSun" w:eastAsia="SimSun" w:cs="SimSun"/>
          <w:sz w:val="23"/>
          <w:szCs w:val="23"/>
        </w:rPr>
        <w:t xml:space="preserve">  </w:t>
      </w:r>
      <w:r>
        <w:rPr>
          <w:rFonts w:ascii="SimSun" w:hAnsi="SimSun" w:eastAsia="SimSun" w:cs="SimSun"/>
          <w:sz w:val="23"/>
          <w:szCs w:val="23"/>
        </w:rPr>
        <w:tab/>
      </w:r>
      <w:r>
        <w:rPr>
          <w:rFonts w:ascii="SimSun" w:hAnsi="SimSun" w:eastAsia="SimSun" w:cs="SimSun"/>
          <w:sz w:val="23"/>
          <w:szCs w:val="23"/>
          <w:spacing w:val="17"/>
        </w:rPr>
        <w:t>(36t/a)。</w:t>
      </w:r>
      <w:r>
        <w:rPr>
          <w:rFonts w:ascii="SimSun" w:hAnsi="SimSun" w:eastAsia="SimSun" w:cs="SimSun"/>
          <w:sz w:val="23"/>
          <w:szCs w:val="23"/>
          <w:spacing w:val="-31"/>
        </w:rPr>
        <w:t xml:space="preserve"> </w:t>
      </w:r>
      <w:r>
        <w:rPr>
          <w:rFonts w:ascii="SimSun" w:hAnsi="SimSun" w:eastAsia="SimSun" w:cs="SimSun"/>
          <w:sz w:val="23"/>
          <w:szCs w:val="23"/>
          <w:spacing w:val="17"/>
        </w:rPr>
        <w:t>根据《固体废物分类与代码目录》(公告</w:t>
      </w:r>
      <w:r>
        <w:rPr>
          <w:rFonts w:ascii="SimSun" w:hAnsi="SimSun" w:eastAsia="SimSun" w:cs="SimSun"/>
          <w:sz w:val="23"/>
          <w:szCs w:val="23"/>
          <w:spacing w:val="16"/>
        </w:rPr>
        <w:t>2024年第4号),生活垃</w:t>
      </w:r>
      <w:r>
        <w:rPr>
          <w:rFonts w:ascii="SimSun" w:hAnsi="SimSun" w:eastAsia="SimSun" w:cs="SimSun"/>
          <w:sz w:val="23"/>
          <w:szCs w:val="23"/>
        </w:rPr>
        <w:t xml:space="preserve"> </w:t>
      </w:r>
      <w:r>
        <w:rPr>
          <w:rFonts w:ascii="SimSun" w:hAnsi="SimSun" w:eastAsia="SimSun" w:cs="SimSun"/>
          <w:sz w:val="23"/>
          <w:szCs w:val="23"/>
          <w:spacing w:val="10"/>
        </w:rPr>
        <w:t>圾属于</w:t>
      </w:r>
      <w:r>
        <w:rPr>
          <w:rFonts w:ascii="SimSun" w:hAnsi="SimSun" w:eastAsia="SimSun" w:cs="SimSun"/>
          <w:sz w:val="23"/>
          <w:szCs w:val="23"/>
          <w:spacing w:val="-69"/>
        </w:rPr>
        <w:t xml:space="preserve"> </w:t>
      </w:r>
      <w:r>
        <w:rPr>
          <w:rFonts w:ascii="Times New Roman" w:hAnsi="Times New Roman" w:eastAsia="Times New Roman" w:cs="Times New Roman"/>
          <w:sz w:val="23"/>
          <w:szCs w:val="23"/>
          <w:spacing w:val="10"/>
        </w:rPr>
        <w:t>“</w:t>
      </w:r>
      <w:r>
        <w:rPr>
          <w:rFonts w:ascii="Times New Roman" w:hAnsi="Times New Roman" w:eastAsia="Times New Roman" w:cs="Times New Roman"/>
          <w:sz w:val="23"/>
          <w:szCs w:val="23"/>
        </w:rPr>
        <w:t>SW</w:t>
      </w:r>
      <w:r>
        <w:rPr>
          <w:rFonts w:ascii="Times New Roman" w:hAnsi="Times New Roman" w:eastAsia="Times New Roman" w:cs="Times New Roman"/>
          <w:sz w:val="23"/>
          <w:szCs w:val="23"/>
          <w:spacing w:val="10"/>
        </w:rPr>
        <w:t>64</w:t>
      </w:r>
      <w:r>
        <w:rPr>
          <w:rFonts w:ascii="Times New Roman" w:hAnsi="Times New Roman" w:eastAsia="Times New Roman" w:cs="Times New Roman"/>
          <w:sz w:val="23"/>
          <w:szCs w:val="23"/>
          <w:spacing w:val="44"/>
        </w:rPr>
        <w:t xml:space="preserve"> </w:t>
      </w:r>
      <w:r>
        <w:rPr>
          <w:rFonts w:ascii="SimSun" w:hAnsi="SimSun" w:eastAsia="SimSun" w:cs="SimSun"/>
          <w:sz w:val="23"/>
          <w:szCs w:val="23"/>
          <w:spacing w:val="10"/>
        </w:rPr>
        <w:t>其他垃圾非特定行业中900-</w:t>
      </w:r>
      <w:r>
        <w:rPr>
          <w:rFonts w:ascii="SimSun" w:hAnsi="SimSun" w:eastAsia="SimSun" w:cs="SimSun"/>
          <w:sz w:val="23"/>
          <w:szCs w:val="23"/>
          <w:spacing w:val="9"/>
        </w:rPr>
        <w:t>099-</w:t>
      </w:r>
      <w:r>
        <w:rPr>
          <w:rFonts w:ascii="Times New Roman" w:hAnsi="Times New Roman" w:eastAsia="Times New Roman" w:cs="Times New Roman"/>
          <w:sz w:val="23"/>
          <w:szCs w:val="23"/>
          <w:spacing w:val="9"/>
        </w:rPr>
        <w:t>S64</w:t>
      </w:r>
      <w:r>
        <w:rPr>
          <w:rFonts w:ascii="SimSun" w:hAnsi="SimSun" w:eastAsia="SimSun" w:cs="SimSun"/>
          <w:sz w:val="23"/>
          <w:szCs w:val="23"/>
          <w:spacing w:val="9"/>
        </w:rPr>
        <w:t>以上之外的生活垃圾”,经</w:t>
      </w:r>
      <w:r>
        <w:rPr>
          <w:rFonts w:ascii="SimSun" w:hAnsi="SimSun" w:eastAsia="SimSun" w:cs="SimSun"/>
          <w:sz w:val="23"/>
          <w:szCs w:val="23"/>
        </w:rPr>
        <w:t xml:space="preserve"> </w:t>
      </w:r>
      <w:r>
        <w:rPr>
          <w:rFonts w:ascii="SimSun" w:hAnsi="SimSun" w:eastAsia="SimSun" w:cs="SimSun"/>
          <w:sz w:val="23"/>
          <w:szCs w:val="23"/>
          <w:spacing w:val="7"/>
        </w:rPr>
        <w:t>袋装收集后交由环卫部门定期清运。</w:t>
      </w:r>
    </w:p>
    <w:p>
      <w:pPr>
        <w:ind w:left="708"/>
        <w:spacing w:line="219" w:lineRule="auto"/>
        <w:rPr>
          <w:rFonts w:ascii="SimSun" w:hAnsi="SimSun" w:eastAsia="SimSun" w:cs="SimSun"/>
          <w:sz w:val="23"/>
          <w:szCs w:val="23"/>
        </w:rPr>
      </w:pPr>
      <w:r>
        <w:rPr>
          <w:rFonts w:ascii="SimSun" w:hAnsi="SimSun" w:eastAsia="SimSun" w:cs="SimSun"/>
          <w:sz w:val="23"/>
          <w:szCs w:val="23"/>
          <w:b/>
          <w:bCs/>
          <w:spacing w:val="23"/>
        </w:rPr>
        <w:t>(2)屠宰废物</w:t>
      </w:r>
    </w:p>
    <w:p>
      <w:pPr>
        <w:ind w:left="538"/>
        <w:spacing w:before="195" w:line="217" w:lineRule="auto"/>
        <w:rPr>
          <w:rFonts w:ascii="SimSun" w:hAnsi="SimSun" w:eastAsia="SimSun" w:cs="SimSun"/>
          <w:sz w:val="23"/>
          <w:szCs w:val="23"/>
        </w:rPr>
      </w:pPr>
      <w:r>
        <w:rPr>
          <w:rFonts w:ascii="SimSun" w:hAnsi="SimSun" w:eastAsia="SimSun" w:cs="SimSun"/>
          <w:sz w:val="23"/>
          <w:szCs w:val="23"/>
          <w:b/>
          <w:bCs/>
          <w:spacing w:val="11"/>
        </w:rPr>
        <w:t>①生猪屠宰废物</w:t>
      </w:r>
    </w:p>
    <w:p>
      <w:pPr>
        <w:ind w:left="585"/>
        <w:spacing w:before="255" w:line="219" w:lineRule="auto"/>
        <w:rPr>
          <w:rFonts w:ascii="SimSun" w:hAnsi="SimSun" w:eastAsia="SimSun" w:cs="SimSun"/>
          <w:sz w:val="23"/>
          <w:szCs w:val="23"/>
        </w:rPr>
      </w:pPr>
      <w:r>
        <w:rPr>
          <w:rFonts w:ascii="Times New Roman" w:hAnsi="Times New Roman" w:eastAsia="Times New Roman" w:cs="Times New Roman"/>
          <w:sz w:val="23"/>
          <w:szCs w:val="23"/>
          <w:spacing w:val="6"/>
        </w:rPr>
        <w:t>a.</w:t>
      </w:r>
      <w:r>
        <w:rPr>
          <w:rFonts w:ascii="Times New Roman" w:hAnsi="Times New Roman" w:eastAsia="Times New Roman" w:cs="Times New Roman"/>
          <w:sz w:val="23"/>
          <w:szCs w:val="23"/>
          <w:spacing w:val="-29"/>
        </w:rPr>
        <w:t xml:space="preserve"> </w:t>
      </w:r>
      <w:r>
        <w:rPr>
          <w:rFonts w:ascii="SimSun" w:hAnsi="SimSun" w:eastAsia="SimSun" w:cs="SimSun"/>
          <w:sz w:val="23"/>
          <w:szCs w:val="23"/>
          <w:spacing w:val="6"/>
        </w:rPr>
        <w:t>待宰圈粪便</w:t>
      </w:r>
    </w:p>
    <w:p>
      <w:pPr>
        <w:ind w:left="585"/>
        <w:spacing w:before="155" w:line="218" w:lineRule="auto"/>
        <w:rPr>
          <w:rFonts w:ascii="SimSun" w:hAnsi="SimSun" w:eastAsia="SimSun" w:cs="SimSun"/>
          <w:sz w:val="23"/>
          <w:szCs w:val="23"/>
        </w:rPr>
      </w:pPr>
      <w:r>
        <w:rPr>
          <w:rFonts w:ascii="SimSun" w:hAnsi="SimSun" w:eastAsia="SimSun" w:cs="SimSun"/>
          <w:sz w:val="23"/>
          <w:szCs w:val="23"/>
          <w:spacing w:val="4"/>
        </w:rPr>
        <w:t>根据《排污许可证申请与核发技术规范畜禽养殖行业》</w:t>
      </w:r>
      <w:r>
        <w:rPr>
          <w:rFonts w:ascii="SimSun" w:hAnsi="SimSun" w:eastAsia="SimSun" w:cs="SimSun"/>
          <w:sz w:val="23"/>
          <w:szCs w:val="23"/>
          <w:spacing w:val="85"/>
        </w:rPr>
        <w:t xml:space="preserve"> </w:t>
      </w:r>
      <w:r>
        <w:rPr>
          <w:rFonts w:ascii="SimSun" w:hAnsi="SimSun" w:eastAsia="SimSun" w:cs="SimSun"/>
          <w:sz w:val="23"/>
          <w:szCs w:val="23"/>
          <w:spacing w:val="4"/>
        </w:rPr>
        <w:t>(</w:t>
      </w:r>
      <w:r>
        <w:rPr>
          <w:rFonts w:ascii="SimSun" w:hAnsi="SimSun" w:eastAsia="SimSun" w:cs="SimSun"/>
          <w:sz w:val="23"/>
          <w:szCs w:val="23"/>
        </w:rPr>
        <w:t>HJ</w:t>
      </w:r>
      <w:r>
        <w:rPr>
          <w:rFonts w:ascii="SimSun" w:hAnsi="SimSun" w:eastAsia="SimSun" w:cs="SimSun"/>
          <w:sz w:val="23"/>
          <w:szCs w:val="23"/>
          <w:spacing w:val="4"/>
        </w:rPr>
        <w:t>1029-2019)</w:t>
      </w:r>
    </w:p>
    <w:p>
      <w:pPr>
        <w:ind w:left="104" w:right="313"/>
        <w:spacing w:before="176" w:line="373" w:lineRule="auto"/>
        <w:rPr>
          <w:rFonts w:ascii="SimSun" w:hAnsi="SimSun" w:eastAsia="SimSun" w:cs="SimSun"/>
          <w:sz w:val="23"/>
          <w:szCs w:val="23"/>
        </w:rPr>
      </w:pPr>
      <w:r>
        <w:rPr>
          <w:rFonts w:ascii="SimSun" w:hAnsi="SimSun" w:eastAsia="SimSun" w:cs="SimSun"/>
          <w:sz w:val="23"/>
          <w:szCs w:val="23"/>
          <w:spacing w:val="16"/>
        </w:rPr>
        <w:t>猪粪的排泄系数(1.24</w:t>
      </w:r>
      <w:r>
        <w:rPr>
          <w:rFonts w:ascii="Times New Roman" w:hAnsi="Times New Roman" w:eastAsia="Times New Roman" w:cs="Times New Roman"/>
          <w:sz w:val="23"/>
          <w:szCs w:val="23"/>
        </w:rPr>
        <w:t>kg</w:t>
      </w:r>
      <w:r>
        <w:rPr>
          <w:rFonts w:ascii="Times New Roman" w:hAnsi="Times New Roman" w:eastAsia="Times New Roman" w:cs="Times New Roman"/>
          <w:sz w:val="23"/>
          <w:szCs w:val="23"/>
          <w:spacing w:val="16"/>
        </w:rPr>
        <w:t>/d·</w:t>
      </w:r>
      <w:r>
        <w:rPr>
          <w:rFonts w:ascii="SimSun" w:hAnsi="SimSun" w:eastAsia="SimSun" w:cs="SimSun"/>
          <w:sz w:val="23"/>
          <w:szCs w:val="23"/>
          <w:spacing w:val="16"/>
        </w:rPr>
        <w:t>头),本项目年屠宰生猪40万头，则猪粪产生量为</w:t>
      </w:r>
      <w:r>
        <w:rPr>
          <w:rFonts w:ascii="SimSun" w:hAnsi="SimSun" w:eastAsia="SimSun" w:cs="SimSun"/>
          <w:sz w:val="23"/>
          <w:szCs w:val="23"/>
          <w:spacing w:val="2"/>
        </w:rPr>
        <w:t xml:space="preserve"> </w:t>
      </w:r>
      <w:r>
        <w:rPr>
          <w:rFonts w:ascii="SimSun" w:hAnsi="SimSun" w:eastAsia="SimSun" w:cs="SimSun"/>
          <w:sz w:val="23"/>
          <w:szCs w:val="23"/>
          <w:spacing w:val="13"/>
        </w:rPr>
        <w:t>1.38t/d(496t/a)。参照《固体废物分类与代码目录》(公告2024年第4号),</w:t>
      </w:r>
      <w:r>
        <w:rPr>
          <w:rFonts w:ascii="SimSun" w:hAnsi="SimSun" w:eastAsia="SimSun" w:cs="SimSun"/>
          <w:sz w:val="23"/>
          <w:szCs w:val="23"/>
          <w:spacing w:val="3"/>
        </w:rPr>
        <w:t xml:space="preserve"> </w:t>
      </w:r>
      <w:r>
        <w:rPr>
          <w:rFonts w:ascii="SimSun" w:hAnsi="SimSun" w:eastAsia="SimSun" w:cs="SimSun"/>
          <w:sz w:val="23"/>
          <w:szCs w:val="23"/>
          <w:spacing w:val="-1"/>
        </w:rPr>
        <w:t>待宰圈粪便属于</w:t>
      </w:r>
      <w:r>
        <w:rPr>
          <w:rFonts w:ascii="Times New Roman" w:hAnsi="Times New Roman" w:eastAsia="Times New Roman" w:cs="Times New Roman"/>
          <w:sz w:val="23"/>
          <w:szCs w:val="23"/>
          <w:spacing w:val="-1"/>
        </w:rPr>
        <w:t>“SW82 </w:t>
      </w:r>
      <w:r>
        <w:rPr>
          <w:rFonts w:ascii="SimSun" w:hAnsi="SimSun" w:eastAsia="SimSun" w:cs="SimSun"/>
          <w:sz w:val="23"/>
          <w:szCs w:val="23"/>
          <w:spacing w:val="-1"/>
        </w:rPr>
        <w:t>畜牧业废物畜牧业030-001-</w:t>
      </w:r>
      <w:r>
        <w:rPr>
          <w:rFonts w:ascii="Times New Roman" w:hAnsi="Times New Roman" w:eastAsia="Times New Roman" w:cs="Times New Roman"/>
          <w:sz w:val="23"/>
          <w:szCs w:val="23"/>
          <w:spacing w:val="-1"/>
        </w:rPr>
        <w:t>S82 </w:t>
      </w:r>
      <w:r>
        <w:rPr>
          <w:rFonts w:ascii="SimSun" w:hAnsi="SimSun" w:eastAsia="SimSun" w:cs="SimSun"/>
          <w:sz w:val="23"/>
          <w:szCs w:val="23"/>
          <w:spacing w:val="-1"/>
        </w:rPr>
        <w:t>畜禽粪污”。</w:t>
      </w:r>
    </w:p>
    <w:p>
      <w:pPr>
        <w:ind w:left="585"/>
        <w:spacing w:line="218" w:lineRule="auto"/>
        <w:rPr>
          <w:rFonts w:ascii="SimSun" w:hAnsi="SimSun" w:eastAsia="SimSun" w:cs="SimSun"/>
          <w:sz w:val="23"/>
          <w:szCs w:val="23"/>
        </w:rPr>
      </w:pPr>
      <w:r>
        <w:rPr>
          <w:rFonts w:ascii="SimSun" w:hAnsi="SimSun" w:eastAsia="SimSun" w:cs="SimSun"/>
          <w:sz w:val="23"/>
          <w:szCs w:val="23"/>
          <w:spacing w:val="10"/>
        </w:rPr>
        <w:t>粪便主要成分为纤维素等有机物，含有大量植物所需的营养成分，适宜作</w:t>
      </w:r>
    </w:p>
    <w:p>
      <w:pPr>
        <w:spacing w:line="218" w:lineRule="auto"/>
        <w:sectPr>
          <w:headerReference w:type="default" r:id="rId343"/>
          <w:footerReference w:type="default" r:id="rId344"/>
          <w:pgSz w:w="11910" w:h="16840"/>
          <w:pgMar w:top="1179" w:right="1705" w:bottom="960" w:left="1675" w:header="825" w:footer="736" w:gutter="0"/>
        </w:sectPr>
        <w:rPr>
          <w:rFonts w:ascii="SimSun" w:hAnsi="SimSun" w:eastAsia="SimSun" w:cs="SimSun"/>
          <w:sz w:val="23"/>
          <w:szCs w:val="23"/>
        </w:rPr>
      </w:pPr>
    </w:p>
    <w:p>
      <w:pPr>
        <w:ind w:right="194"/>
        <w:spacing w:before="260" w:line="376" w:lineRule="auto"/>
        <w:rPr>
          <w:rFonts w:ascii="SimSun" w:hAnsi="SimSun" w:eastAsia="SimSun" w:cs="SimSun"/>
          <w:sz w:val="23"/>
          <w:szCs w:val="23"/>
        </w:rPr>
      </w:pPr>
      <w:r>
        <w:rPr>
          <w:rFonts w:ascii="SimSun" w:hAnsi="SimSun" w:eastAsia="SimSun" w:cs="SimSun"/>
          <w:sz w:val="23"/>
          <w:szCs w:val="23"/>
          <w:spacing w:val="10"/>
        </w:rPr>
        <w:t>为植物种植底肥。项目待宰舍粪便采用干清粪工</w:t>
      </w:r>
      <w:r>
        <w:rPr>
          <w:rFonts w:ascii="SimSun" w:hAnsi="SimSun" w:eastAsia="SimSun" w:cs="SimSun"/>
          <w:sz w:val="23"/>
          <w:szCs w:val="23"/>
          <w:spacing w:val="9"/>
        </w:rPr>
        <w:t>艺，粪便经人工袋装密封收集</w:t>
      </w:r>
      <w:r>
        <w:rPr>
          <w:rFonts w:ascii="SimSun" w:hAnsi="SimSun" w:eastAsia="SimSun" w:cs="SimSun"/>
          <w:sz w:val="23"/>
          <w:szCs w:val="23"/>
        </w:rPr>
        <w:t xml:space="preserve"> </w:t>
      </w:r>
      <w:r>
        <w:rPr>
          <w:rFonts w:ascii="SimSun" w:hAnsi="SimSun" w:eastAsia="SimSun" w:cs="SimSun"/>
          <w:sz w:val="23"/>
          <w:szCs w:val="23"/>
          <w:spacing w:val="9"/>
        </w:rPr>
        <w:t>后，运至固废暂存间进行收集暂存，收集后由有机肥公司每日定时定点清运。</w:t>
      </w:r>
      <w:r>
        <w:rPr>
          <w:rFonts w:ascii="SimSun" w:hAnsi="SimSun" w:eastAsia="SimSun" w:cs="SimSun"/>
          <w:sz w:val="23"/>
          <w:szCs w:val="23"/>
          <w:spacing w:val="17"/>
        </w:rPr>
        <w:t xml:space="preserve"> </w:t>
      </w:r>
      <w:r>
        <w:rPr>
          <w:rFonts w:ascii="SimSun" w:hAnsi="SimSun" w:eastAsia="SimSun" w:cs="SimSun"/>
          <w:sz w:val="23"/>
          <w:szCs w:val="23"/>
          <w:spacing w:val="9"/>
        </w:rPr>
        <w:t>为防止粪便在固废暂存间内发酵产生恶臭及孳生蚊蝇，粪便应做到日产日</w:t>
      </w:r>
      <w:r>
        <w:rPr>
          <w:rFonts w:ascii="SimSun" w:hAnsi="SimSun" w:eastAsia="SimSun" w:cs="SimSun"/>
          <w:sz w:val="23"/>
          <w:szCs w:val="23"/>
          <w:spacing w:val="8"/>
        </w:rPr>
        <w:t>清。</w:t>
      </w:r>
    </w:p>
    <w:p>
      <w:pPr>
        <w:ind w:left="473"/>
        <w:spacing w:line="218" w:lineRule="auto"/>
        <w:rPr>
          <w:rFonts w:ascii="SimSun" w:hAnsi="SimSun" w:eastAsia="SimSun" w:cs="SimSun"/>
          <w:sz w:val="23"/>
          <w:szCs w:val="23"/>
        </w:rPr>
      </w:pPr>
      <w:r>
        <w:rPr>
          <w:rFonts w:ascii="SimSun" w:hAnsi="SimSun" w:eastAsia="SimSun" w:cs="SimSun"/>
          <w:sz w:val="23"/>
          <w:szCs w:val="23"/>
          <w:b/>
          <w:bCs/>
          <w:spacing w:val="8"/>
        </w:rPr>
        <w:t>环评要求：项目投运前需与有机肥公司签订处置协议后，方</w:t>
      </w:r>
      <w:r>
        <w:rPr>
          <w:rFonts w:ascii="SimSun" w:hAnsi="SimSun" w:eastAsia="SimSun" w:cs="SimSun"/>
          <w:sz w:val="23"/>
          <w:szCs w:val="23"/>
          <w:b/>
          <w:bCs/>
          <w:spacing w:val="7"/>
        </w:rPr>
        <w:t>可投入生产。</w:t>
      </w:r>
    </w:p>
    <w:p>
      <w:pPr>
        <w:ind w:left="470"/>
        <w:spacing w:before="191" w:line="219" w:lineRule="auto"/>
        <w:rPr>
          <w:rFonts w:ascii="SimSun" w:hAnsi="SimSun" w:eastAsia="SimSun" w:cs="SimSun"/>
          <w:sz w:val="23"/>
          <w:szCs w:val="23"/>
        </w:rPr>
      </w:pPr>
      <w:r>
        <w:rPr>
          <w:rFonts w:ascii="Times New Roman" w:hAnsi="Times New Roman" w:eastAsia="Times New Roman" w:cs="Times New Roman"/>
          <w:sz w:val="23"/>
          <w:szCs w:val="23"/>
          <w:spacing w:val="9"/>
        </w:rPr>
        <w:t>b.</w:t>
      </w:r>
      <w:r>
        <w:rPr>
          <w:rFonts w:ascii="SimSun" w:hAnsi="SimSun" w:eastAsia="SimSun" w:cs="SimSun"/>
          <w:sz w:val="23"/>
          <w:szCs w:val="23"/>
          <w:spacing w:val="9"/>
        </w:rPr>
        <w:t>疫病猪、病胴体、病内脏</w:t>
      </w:r>
    </w:p>
    <w:p>
      <w:pPr>
        <w:ind w:right="63" w:firstLine="470"/>
        <w:spacing w:before="187" w:line="381" w:lineRule="auto"/>
        <w:rPr>
          <w:rFonts w:ascii="SimSun" w:hAnsi="SimSun" w:eastAsia="SimSun" w:cs="SimSun"/>
          <w:sz w:val="17"/>
          <w:szCs w:val="17"/>
        </w:rPr>
      </w:pPr>
      <w:r>
        <w:rPr>
          <w:rFonts w:ascii="SimSun" w:hAnsi="SimSun" w:eastAsia="SimSun" w:cs="SimSun"/>
          <w:sz w:val="23"/>
          <w:szCs w:val="23"/>
          <w:spacing w:val="8"/>
        </w:rPr>
        <w:t>由于屠宰场牲畜在入厂时需进行检疫，牲畜在待宰圈静养0~12</w:t>
      </w:r>
      <w:r>
        <w:rPr>
          <w:rFonts w:ascii="Times New Roman" w:hAnsi="Times New Roman" w:eastAsia="Times New Roman" w:cs="Times New Roman"/>
          <w:sz w:val="23"/>
          <w:szCs w:val="23"/>
          <w:spacing w:val="8"/>
        </w:rPr>
        <w:t>h,   </w:t>
      </w:r>
      <w:r>
        <w:rPr>
          <w:rFonts w:ascii="SimSun" w:hAnsi="SimSun" w:eastAsia="SimSun" w:cs="SimSun"/>
          <w:sz w:val="23"/>
          <w:szCs w:val="23"/>
          <w:spacing w:val="8"/>
        </w:rPr>
        <w:t>发生疫情</w:t>
      </w:r>
      <w:r>
        <w:rPr>
          <w:rFonts w:ascii="SimSun" w:hAnsi="SimSun" w:eastAsia="SimSun" w:cs="SimSun"/>
          <w:sz w:val="23"/>
          <w:szCs w:val="23"/>
        </w:rPr>
        <w:t xml:space="preserve"> </w:t>
      </w:r>
      <w:r>
        <w:rPr>
          <w:rFonts w:ascii="SimSun" w:hAnsi="SimSun" w:eastAsia="SimSun" w:cs="SimSun"/>
          <w:sz w:val="23"/>
          <w:szCs w:val="23"/>
          <w:spacing w:val="13"/>
        </w:rPr>
        <w:t>的可能性较小。类比同类项目，病猪产生量为总屠宰生猪</w:t>
      </w:r>
      <w:r>
        <w:rPr>
          <w:rFonts w:ascii="SimSun" w:hAnsi="SimSun" w:eastAsia="SimSun" w:cs="SimSun"/>
          <w:sz w:val="23"/>
          <w:szCs w:val="23"/>
          <w:spacing w:val="12"/>
        </w:rPr>
        <w:t>数量的0.1%,本项目</w:t>
      </w:r>
      <w:r>
        <w:rPr>
          <w:rFonts w:ascii="SimSun" w:hAnsi="SimSun" w:eastAsia="SimSun" w:cs="SimSun"/>
          <w:sz w:val="23"/>
          <w:szCs w:val="23"/>
        </w:rPr>
        <w:t xml:space="preserve">  </w:t>
      </w:r>
      <w:r>
        <w:rPr>
          <w:rFonts w:ascii="SimSun" w:hAnsi="SimSun" w:eastAsia="SimSun" w:cs="SimSun"/>
          <w:sz w:val="23"/>
          <w:szCs w:val="23"/>
          <w:spacing w:val="7"/>
        </w:rPr>
        <w:t>年屠宰生猪40万头，则估计产生的疫病猪为400头，合44</w:t>
      </w:r>
      <w:r>
        <w:rPr>
          <w:rFonts w:ascii="Times New Roman" w:hAnsi="Times New Roman" w:eastAsia="Times New Roman" w:cs="Times New Roman"/>
          <w:sz w:val="23"/>
          <w:szCs w:val="23"/>
          <w:spacing w:val="7"/>
        </w:rPr>
        <w:t>t/a</w:t>
      </w:r>
      <w:r>
        <w:rPr>
          <w:rFonts w:ascii="Times New Roman" w:hAnsi="Times New Roman" w:eastAsia="Times New Roman" w:cs="Times New Roman"/>
          <w:sz w:val="23"/>
          <w:szCs w:val="23"/>
          <w:spacing w:val="-9"/>
        </w:rPr>
        <w:t xml:space="preserve"> </w:t>
      </w:r>
      <w:r>
        <w:rPr>
          <w:rFonts w:ascii="SimSun" w:hAnsi="SimSun" w:eastAsia="SimSun" w:cs="SimSun"/>
          <w:sz w:val="23"/>
          <w:szCs w:val="23"/>
          <w:spacing w:val="7"/>
        </w:rPr>
        <w:t>。同时，屠宰过程中</w:t>
      </w:r>
      <w:r>
        <w:rPr>
          <w:rFonts w:ascii="SimSun" w:hAnsi="SimSun" w:eastAsia="SimSun" w:cs="SimSun"/>
          <w:sz w:val="23"/>
          <w:szCs w:val="23"/>
        </w:rPr>
        <w:t xml:space="preserve"> </w:t>
      </w:r>
      <w:r>
        <w:rPr>
          <w:rFonts w:ascii="SimSun" w:hAnsi="SimSun" w:eastAsia="SimSun" w:cs="SimSun"/>
          <w:sz w:val="23"/>
          <w:szCs w:val="23"/>
          <w:spacing w:val="7"/>
        </w:rPr>
        <w:t>开膛、剖腹、劈半实行同步卫检制度，检疫不合格胴体、内脏约为300</w:t>
      </w:r>
      <w:r>
        <w:rPr>
          <w:rFonts w:ascii="Times New Roman" w:hAnsi="Times New Roman" w:eastAsia="Times New Roman" w:cs="Times New Roman"/>
          <w:sz w:val="23"/>
          <w:szCs w:val="23"/>
          <w:spacing w:val="7"/>
        </w:rPr>
        <w:t>t/a,</w:t>
      </w:r>
      <w:r>
        <w:rPr>
          <w:rFonts w:ascii="Times New Roman" w:hAnsi="Times New Roman" w:eastAsia="Times New Roman" w:cs="Times New Roman"/>
          <w:sz w:val="23"/>
          <w:szCs w:val="23"/>
          <w:spacing w:val="3"/>
        </w:rPr>
        <w:t xml:space="preserve">   </w:t>
      </w:r>
      <w:r>
        <w:rPr>
          <w:rFonts w:ascii="SimSun" w:hAnsi="SimSun" w:eastAsia="SimSun" w:cs="SimSun"/>
          <w:sz w:val="23"/>
          <w:szCs w:val="23"/>
          <w:spacing w:val="7"/>
        </w:rPr>
        <w:t>严</w:t>
      </w:r>
      <w:r>
        <w:rPr>
          <w:rFonts w:ascii="SimSun" w:hAnsi="SimSun" w:eastAsia="SimSun" w:cs="SimSun"/>
          <w:sz w:val="23"/>
          <w:szCs w:val="23"/>
          <w:spacing w:val="-46"/>
        </w:rPr>
        <w:t xml:space="preserve"> </w:t>
      </w:r>
      <w:r>
        <w:rPr>
          <w:rFonts w:ascii="SimSun" w:hAnsi="SimSun" w:eastAsia="SimSun" w:cs="SimSun"/>
          <w:sz w:val="23"/>
          <w:szCs w:val="23"/>
          <w:spacing w:val="7"/>
        </w:rPr>
        <w:t>禁</w:t>
      </w:r>
      <w:r>
        <w:rPr>
          <w:rFonts w:ascii="SimSun" w:hAnsi="SimSun" w:eastAsia="SimSun" w:cs="SimSun"/>
          <w:sz w:val="23"/>
          <w:szCs w:val="23"/>
        </w:rPr>
        <w:t xml:space="preserve"> </w:t>
      </w:r>
      <w:r>
        <w:rPr>
          <w:rFonts w:ascii="SimSun" w:hAnsi="SimSun" w:eastAsia="SimSun" w:cs="SimSun"/>
          <w:sz w:val="23"/>
          <w:szCs w:val="23"/>
          <w:spacing w:val="14"/>
        </w:rPr>
        <w:t>食用、销售和随意丢弃。参照《固体废物分类与代码目录》(公</w:t>
      </w:r>
      <w:r>
        <w:rPr>
          <w:rFonts w:ascii="SimSun" w:hAnsi="SimSun" w:eastAsia="SimSun" w:cs="SimSun"/>
          <w:sz w:val="23"/>
          <w:szCs w:val="23"/>
          <w:spacing w:val="13"/>
        </w:rPr>
        <w:t>告2024年第4</w:t>
      </w:r>
      <w:r>
        <w:rPr>
          <w:rFonts w:ascii="SimSun" w:hAnsi="SimSun" w:eastAsia="SimSun" w:cs="SimSun"/>
          <w:sz w:val="23"/>
          <w:szCs w:val="23"/>
        </w:rPr>
        <w:t xml:space="preserve">  </w:t>
      </w:r>
      <w:r>
        <w:rPr>
          <w:rFonts w:ascii="SimSun" w:hAnsi="SimSun" w:eastAsia="SimSun" w:cs="SimSun"/>
          <w:sz w:val="23"/>
          <w:szCs w:val="23"/>
          <w:spacing w:val="9"/>
        </w:rPr>
        <w:t>号),疫病猪、病胴体、病内脏属于</w:t>
      </w:r>
      <w:r>
        <w:rPr>
          <w:rFonts w:ascii="Times New Roman" w:hAnsi="Times New Roman" w:eastAsia="Times New Roman" w:cs="Times New Roman"/>
          <w:sz w:val="23"/>
          <w:szCs w:val="23"/>
          <w:spacing w:val="9"/>
        </w:rPr>
        <w:t>“</w:t>
      </w:r>
      <w:r>
        <w:rPr>
          <w:rFonts w:ascii="Times New Roman" w:hAnsi="Times New Roman" w:eastAsia="Times New Roman" w:cs="Times New Roman"/>
          <w:sz w:val="23"/>
          <w:szCs w:val="23"/>
        </w:rPr>
        <w:t>SW</w:t>
      </w:r>
      <w:r>
        <w:rPr>
          <w:rFonts w:ascii="Times New Roman" w:hAnsi="Times New Roman" w:eastAsia="Times New Roman" w:cs="Times New Roman"/>
          <w:sz w:val="23"/>
          <w:szCs w:val="23"/>
          <w:spacing w:val="9"/>
        </w:rPr>
        <w:t>82 </w:t>
      </w:r>
      <w:r>
        <w:rPr>
          <w:rFonts w:ascii="SimSun" w:hAnsi="SimSun" w:eastAsia="SimSun" w:cs="SimSun"/>
          <w:sz w:val="23"/>
          <w:szCs w:val="23"/>
          <w:spacing w:val="9"/>
        </w:rPr>
        <w:t>畜牧业废物畜牧业030-002-</w:t>
      </w:r>
      <w:r>
        <w:rPr>
          <w:rFonts w:ascii="Times New Roman" w:hAnsi="Times New Roman" w:eastAsia="Times New Roman" w:cs="Times New Roman"/>
          <w:sz w:val="23"/>
          <w:szCs w:val="23"/>
          <w:spacing w:val="9"/>
        </w:rPr>
        <w:t>S82</w:t>
      </w:r>
      <w:r>
        <w:rPr>
          <w:rFonts w:ascii="Times New Roman" w:hAnsi="Times New Roman" w:eastAsia="Times New Roman" w:cs="Times New Roman"/>
          <w:sz w:val="23"/>
          <w:szCs w:val="23"/>
          <w:spacing w:val="-1"/>
        </w:rPr>
        <w:t xml:space="preserve"> </w:t>
      </w:r>
      <w:r>
        <w:rPr>
          <w:rFonts w:ascii="SimSun" w:hAnsi="SimSun" w:eastAsia="SimSun" w:cs="SimSun"/>
          <w:sz w:val="23"/>
          <w:szCs w:val="23"/>
          <w:spacing w:val="9"/>
        </w:rPr>
        <w:t>病死</w:t>
      </w:r>
      <w:r>
        <w:rPr>
          <w:rFonts w:ascii="SimSun" w:hAnsi="SimSun" w:eastAsia="SimSun" w:cs="SimSun"/>
          <w:sz w:val="23"/>
          <w:szCs w:val="23"/>
        </w:rPr>
        <w:t xml:space="preserve"> </w:t>
      </w:r>
      <w:r>
        <w:rPr>
          <w:rFonts w:ascii="SimSun" w:hAnsi="SimSun" w:eastAsia="SimSun" w:cs="SimSun"/>
          <w:sz w:val="17"/>
          <w:szCs w:val="17"/>
          <w:spacing w:val="18"/>
        </w:rPr>
        <w:t>畜禽”。</w:t>
      </w:r>
    </w:p>
    <w:p>
      <w:pPr>
        <w:ind w:right="41" w:firstLine="470"/>
        <w:spacing w:before="90" w:line="370" w:lineRule="auto"/>
        <w:jc w:val="both"/>
        <w:rPr>
          <w:rFonts w:ascii="SimSun" w:hAnsi="SimSun" w:eastAsia="SimSun" w:cs="SimSun"/>
          <w:sz w:val="23"/>
          <w:szCs w:val="23"/>
        </w:rPr>
      </w:pPr>
      <w:r>
        <w:rPr>
          <w:rFonts w:ascii="SimSun" w:hAnsi="SimSun" w:eastAsia="SimSun" w:cs="SimSun"/>
          <w:sz w:val="23"/>
          <w:szCs w:val="23"/>
          <w:spacing w:val="15"/>
        </w:rPr>
        <w:t>根据《中华人民共和国动物防疫法》第二十一</w:t>
      </w:r>
      <w:r>
        <w:rPr>
          <w:rFonts w:ascii="SimSun" w:hAnsi="SimSun" w:eastAsia="SimSun" w:cs="SimSun"/>
          <w:sz w:val="23"/>
          <w:szCs w:val="23"/>
          <w:spacing w:val="14"/>
        </w:rPr>
        <w:t>条：动物、动物产品的运载</w:t>
      </w:r>
      <w:r>
        <w:rPr>
          <w:rFonts w:ascii="SimSun" w:hAnsi="SimSun" w:eastAsia="SimSun" w:cs="SimSun"/>
          <w:sz w:val="23"/>
          <w:szCs w:val="23"/>
        </w:rPr>
        <w:t xml:space="preserve"> </w:t>
      </w:r>
      <w:r>
        <w:rPr>
          <w:rFonts w:ascii="SimSun" w:hAnsi="SimSun" w:eastAsia="SimSun" w:cs="SimSun"/>
          <w:sz w:val="23"/>
          <w:szCs w:val="23"/>
          <w:spacing w:val="14"/>
        </w:rPr>
        <w:t>工具、垫料、包装物、容器等应当符合国务院兽医主管部门规定的动物防疫要</w:t>
      </w:r>
      <w:r>
        <w:rPr>
          <w:rFonts w:ascii="SimSun" w:hAnsi="SimSun" w:eastAsia="SimSun" w:cs="SimSun"/>
          <w:sz w:val="23"/>
          <w:szCs w:val="23"/>
          <w:spacing w:val="4"/>
        </w:rPr>
        <w:t xml:space="preserve"> </w:t>
      </w:r>
      <w:r>
        <w:rPr>
          <w:rFonts w:ascii="SimSun" w:hAnsi="SimSun" w:eastAsia="SimSun" w:cs="SimSun"/>
          <w:sz w:val="23"/>
          <w:szCs w:val="23"/>
          <w:spacing w:val="14"/>
        </w:rPr>
        <w:t>求。染疫动物及其排泄物、染疫动物产品，病死或者死因不明的动物尸体，运</w:t>
      </w:r>
      <w:r>
        <w:rPr>
          <w:rFonts w:ascii="SimSun" w:hAnsi="SimSun" w:eastAsia="SimSun" w:cs="SimSun"/>
          <w:sz w:val="23"/>
          <w:szCs w:val="23"/>
          <w:spacing w:val="1"/>
        </w:rPr>
        <w:t xml:space="preserve"> </w:t>
      </w:r>
      <w:r>
        <w:rPr>
          <w:rFonts w:ascii="SimSun" w:hAnsi="SimSun" w:eastAsia="SimSun" w:cs="SimSun"/>
          <w:sz w:val="23"/>
          <w:szCs w:val="23"/>
          <w:spacing w:val="14"/>
        </w:rPr>
        <w:t>载工具中的动物排泄物以及垫料、包装物、容器等污染物，应当按照国务院兽</w:t>
      </w:r>
      <w:r>
        <w:rPr>
          <w:rFonts w:ascii="SimSun" w:hAnsi="SimSun" w:eastAsia="SimSun" w:cs="SimSun"/>
          <w:sz w:val="23"/>
          <w:szCs w:val="23"/>
          <w:spacing w:val="2"/>
        </w:rPr>
        <w:t xml:space="preserve"> </w:t>
      </w:r>
      <w:r>
        <w:rPr>
          <w:rFonts w:ascii="SimSun" w:hAnsi="SimSun" w:eastAsia="SimSun" w:cs="SimSun"/>
          <w:sz w:val="23"/>
          <w:szCs w:val="23"/>
          <w:spacing w:val="14"/>
        </w:rPr>
        <w:t>医主管部门的规定处理，不得随意处置的规定，病死猪依照国务院兽医主管部</w:t>
      </w:r>
      <w:r>
        <w:rPr>
          <w:rFonts w:ascii="SimSun" w:hAnsi="SimSun" w:eastAsia="SimSun" w:cs="SimSun"/>
          <w:sz w:val="23"/>
          <w:szCs w:val="23"/>
          <w:spacing w:val="5"/>
        </w:rPr>
        <w:t xml:space="preserve"> </w:t>
      </w:r>
      <w:r>
        <w:rPr>
          <w:rFonts w:ascii="SimSun" w:hAnsi="SimSun" w:eastAsia="SimSun" w:cs="SimSun"/>
          <w:sz w:val="23"/>
          <w:szCs w:val="23"/>
          <w:spacing w:val="5"/>
        </w:rPr>
        <w:t>门及农业部的规定处理。</w:t>
      </w:r>
    </w:p>
    <w:p>
      <w:pPr>
        <w:ind w:right="191" w:firstLine="470"/>
        <w:spacing w:before="36" w:line="371" w:lineRule="auto"/>
        <w:jc w:val="both"/>
        <w:rPr>
          <w:rFonts w:ascii="SimSun" w:hAnsi="SimSun" w:eastAsia="SimSun" w:cs="SimSun"/>
          <w:sz w:val="23"/>
          <w:szCs w:val="23"/>
        </w:rPr>
      </w:pPr>
      <w:r>
        <w:rPr>
          <w:rFonts w:ascii="SimSun" w:hAnsi="SimSun" w:eastAsia="SimSun" w:cs="SimSun"/>
          <w:sz w:val="23"/>
          <w:szCs w:val="23"/>
          <w:spacing w:val="10"/>
        </w:rPr>
        <w:t>本项目屠宰车间内设置独立的病体暂存间，屠宰过程中发现的病猪胴体及</w:t>
      </w:r>
      <w:r>
        <w:rPr>
          <w:rFonts w:ascii="SimSun" w:hAnsi="SimSun" w:eastAsia="SimSun" w:cs="SimSun"/>
          <w:sz w:val="23"/>
          <w:szCs w:val="23"/>
          <w:spacing w:val="1"/>
        </w:rPr>
        <w:t xml:space="preserve"> </w:t>
      </w:r>
      <w:r>
        <w:rPr>
          <w:rFonts w:ascii="SimSun" w:hAnsi="SimSun" w:eastAsia="SimSun" w:cs="SimSun"/>
          <w:sz w:val="23"/>
          <w:szCs w:val="23"/>
          <w:spacing w:val="10"/>
        </w:rPr>
        <w:t>不可食用肉暂存于病体暂存间内，定期交绵阳市病死畜</w:t>
      </w:r>
      <w:r>
        <w:rPr>
          <w:rFonts w:ascii="SimSun" w:hAnsi="SimSun" w:eastAsia="SimSun" w:cs="SimSun"/>
          <w:sz w:val="23"/>
          <w:szCs w:val="23"/>
          <w:spacing w:val="9"/>
        </w:rPr>
        <w:t>禽无害化处理中心进行</w:t>
      </w:r>
      <w:r>
        <w:rPr>
          <w:rFonts w:ascii="SimSun" w:hAnsi="SimSun" w:eastAsia="SimSun" w:cs="SimSun"/>
          <w:sz w:val="23"/>
          <w:szCs w:val="23"/>
        </w:rPr>
        <w:t xml:space="preserve"> </w:t>
      </w:r>
      <w:r>
        <w:rPr>
          <w:rFonts w:ascii="SimSun" w:hAnsi="SimSun" w:eastAsia="SimSun" w:cs="SimSun"/>
          <w:sz w:val="23"/>
          <w:szCs w:val="23"/>
          <w:spacing w:val="4"/>
        </w:rPr>
        <w:t>无害化处置。</w:t>
      </w:r>
    </w:p>
    <w:p>
      <w:pPr>
        <w:ind w:left="470"/>
        <w:spacing w:before="1" w:line="219" w:lineRule="auto"/>
        <w:rPr>
          <w:rFonts w:ascii="SimSun" w:hAnsi="SimSun" w:eastAsia="SimSun" w:cs="SimSun"/>
          <w:sz w:val="23"/>
          <w:szCs w:val="23"/>
        </w:rPr>
      </w:pPr>
      <w:r>
        <w:rPr>
          <w:rFonts w:ascii="Times New Roman" w:hAnsi="Times New Roman" w:eastAsia="Times New Roman" w:cs="Times New Roman"/>
          <w:sz w:val="23"/>
          <w:szCs w:val="23"/>
          <w:spacing w:val="3"/>
        </w:rPr>
        <w:t>c.</w:t>
      </w:r>
      <w:r>
        <w:rPr>
          <w:rFonts w:ascii="Times New Roman" w:hAnsi="Times New Roman" w:eastAsia="Times New Roman" w:cs="Times New Roman"/>
          <w:sz w:val="23"/>
          <w:szCs w:val="23"/>
          <w:spacing w:val="-25"/>
        </w:rPr>
        <w:t xml:space="preserve"> </w:t>
      </w:r>
      <w:r>
        <w:rPr>
          <w:rFonts w:ascii="SimSun" w:hAnsi="SimSun" w:eastAsia="SimSun" w:cs="SimSun"/>
          <w:sz w:val="23"/>
          <w:szCs w:val="23"/>
          <w:spacing w:val="3"/>
        </w:rPr>
        <w:t>胃肠容物</w:t>
      </w:r>
    </w:p>
    <w:p>
      <w:pPr>
        <w:ind w:right="180" w:firstLine="470"/>
        <w:spacing w:before="199" w:line="369" w:lineRule="auto"/>
        <w:rPr>
          <w:rFonts w:ascii="SimSun" w:hAnsi="SimSun" w:eastAsia="SimSun" w:cs="SimSun"/>
          <w:sz w:val="23"/>
          <w:szCs w:val="23"/>
        </w:rPr>
      </w:pPr>
      <w:r>
        <w:rPr>
          <w:rFonts w:ascii="SimSun" w:hAnsi="SimSun" w:eastAsia="SimSun" w:cs="SimSun"/>
          <w:sz w:val="23"/>
          <w:szCs w:val="23"/>
          <w:spacing w:val="10"/>
        </w:rPr>
        <w:t>在内脏清理过程中，在肠、胃残留未消化的饲料，粪便及肠胃内容物主要</w:t>
      </w:r>
      <w:r>
        <w:rPr>
          <w:rFonts w:ascii="SimSun" w:hAnsi="SimSun" w:eastAsia="SimSun" w:cs="SimSun"/>
          <w:sz w:val="23"/>
          <w:szCs w:val="23"/>
        </w:rPr>
        <w:t xml:space="preserve"> </w:t>
      </w:r>
      <w:r>
        <w:rPr>
          <w:rFonts w:ascii="SimSun" w:hAnsi="SimSun" w:eastAsia="SimSun" w:cs="SimSun"/>
          <w:sz w:val="23"/>
          <w:szCs w:val="23"/>
          <w:spacing w:val="10"/>
        </w:rPr>
        <w:t>成分为纤维素等有机物，含有大量植物所需的营养成分，适</w:t>
      </w:r>
      <w:r>
        <w:rPr>
          <w:rFonts w:ascii="SimSun" w:hAnsi="SimSun" w:eastAsia="SimSun" w:cs="SimSun"/>
          <w:sz w:val="23"/>
          <w:szCs w:val="23"/>
          <w:spacing w:val="9"/>
        </w:rPr>
        <w:t>宜作为植物种植底</w:t>
      </w:r>
      <w:r>
        <w:rPr>
          <w:rFonts w:ascii="SimSun" w:hAnsi="SimSun" w:eastAsia="SimSun" w:cs="SimSun"/>
          <w:sz w:val="23"/>
          <w:szCs w:val="23"/>
        </w:rPr>
        <w:t xml:space="preserve"> </w:t>
      </w:r>
      <w:r>
        <w:rPr>
          <w:rFonts w:ascii="SimSun" w:hAnsi="SimSun" w:eastAsia="SimSun" w:cs="SimSun"/>
          <w:sz w:val="23"/>
          <w:szCs w:val="23"/>
          <w:spacing w:val="10"/>
        </w:rPr>
        <w:t>肥。胃肠内容物经桶装密封收集后，由人工运至位于待宰间南侧的固废暂存间</w:t>
      </w:r>
      <w:r>
        <w:rPr>
          <w:rFonts w:ascii="SimSun" w:hAnsi="SimSun" w:eastAsia="SimSun" w:cs="SimSun"/>
          <w:sz w:val="23"/>
          <w:szCs w:val="23"/>
          <w:spacing w:val="1"/>
        </w:rPr>
        <w:t xml:space="preserve"> </w:t>
      </w:r>
      <w:r>
        <w:rPr>
          <w:rFonts w:ascii="SimSun" w:hAnsi="SimSun" w:eastAsia="SimSun" w:cs="SimSun"/>
          <w:sz w:val="23"/>
          <w:szCs w:val="23"/>
          <w:spacing w:val="10"/>
        </w:rPr>
        <w:t>内进行收集暂存，胃肠内容物收集后交由有机肥</w:t>
      </w:r>
      <w:r>
        <w:rPr>
          <w:rFonts w:ascii="SimSun" w:hAnsi="SimSun" w:eastAsia="SimSun" w:cs="SimSun"/>
          <w:sz w:val="23"/>
          <w:szCs w:val="23"/>
          <w:spacing w:val="9"/>
        </w:rPr>
        <w:t>生产单位用作有机肥生产原</w:t>
      </w:r>
    </w:p>
    <w:p>
      <w:pPr>
        <w:ind w:right="191"/>
        <w:spacing w:before="2" w:line="371" w:lineRule="auto"/>
        <w:rPr>
          <w:rFonts w:ascii="SimSun" w:hAnsi="SimSun" w:eastAsia="SimSun" w:cs="SimSun"/>
          <w:sz w:val="23"/>
          <w:szCs w:val="23"/>
        </w:rPr>
      </w:pPr>
      <w:r>
        <w:rPr>
          <w:rFonts w:ascii="SimSun" w:hAnsi="SimSun" w:eastAsia="SimSun" w:cs="SimSun"/>
          <w:sz w:val="23"/>
          <w:szCs w:val="23"/>
          <w:spacing w:val="10"/>
        </w:rPr>
        <w:t>料。为防止胃肠内容物在项目区内发酵产生恶臭及孳生</w:t>
      </w:r>
      <w:r>
        <w:rPr>
          <w:rFonts w:ascii="SimSun" w:hAnsi="SimSun" w:eastAsia="SimSun" w:cs="SimSun"/>
          <w:sz w:val="23"/>
          <w:szCs w:val="23"/>
          <w:spacing w:val="9"/>
        </w:rPr>
        <w:t>蚊蝇，胃肠内容物应做</w:t>
      </w:r>
      <w:r>
        <w:rPr>
          <w:rFonts w:ascii="SimSun" w:hAnsi="SimSun" w:eastAsia="SimSun" w:cs="SimSun"/>
          <w:sz w:val="23"/>
          <w:szCs w:val="23"/>
        </w:rPr>
        <w:t xml:space="preserve"> </w:t>
      </w:r>
      <w:r>
        <w:rPr>
          <w:rFonts w:ascii="SimSun" w:hAnsi="SimSun" w:eastAsia="SimSun" w:cs="SimSun"/>
          <w:sz w:val="23"/>
          <w:szCs w:val="23"/>
          <w:spacing w:val="4"/>
        </w:rPr>
        <w:t>到日产日清。</w:t>
      </w:r>
    </w:p>
    <w:p>
      <w:pPr>
        <w:ind w:right="135" w:firstLine="470"/>
        <w:spacing w:before="43" w:line="375" w:lineRule="auto"/>
        <w:rPr>
          <w:rFonts w:ascii="SimSun" w:hAnsi="SimSun" w:eastAsia="SimSun" w:cs="SimSun"/>
          <w:sz w:val="23"/>
          <w:szCs w:val="23"/>
        </w:rPr>
      </w:pPr>
      <w:r>
        <w:rPr>
          <w:rFonts w:ascii="SimSun" w:hAnsi="SimSun" w:eastAsia="SimSun" w:cs="SimSun"/>
          <w:sz w:val="23"/>
          <w:szCs w:val="23"/>
          <w:spacing w:val="10"/>
        </w:rPr>
        <w:t>由于在屠宰前，猪在待宰圈长时间排空粪便</w:t>
      </w:r>
      <w:r>
        <w:rPr>
          <w:rFonts w:ascii="SimSun" w:hAnsi="SimSun" w:eastAsia="SimSun" w:cs="SimSun"/>
          <w:sz w:val="23"/>
          <w:szCs w:val="23"/>
          <w:spacing w:val="9"/>
        </w:rPr>
        <w:t>，胃肠容物剩余量较少，按照</w:t>
      </w:r>
      <w:r>
        <w:rPr>
          <w:rFonts w:ascii="SimSun" w:hAnsi="SimSun" w:eastAsia="SimSun" w:cs="SimSun"/>
          <w:sz w:val="23"/>
          <w:szCs w:val="23"/>
        </w:rPr>
        <w:t xml:space="preserve"> </w:t>
      </w:r>
      <w:r>
        <w:rPr>
          <w:rFonts w:ascii="SimSun" w:hAnsi="SimSun" w:eastAsia="SimSun" w:cs="SimSun"/>
          <w:sz w:val="23"/>
          <w:szCs w:val="23"/>
          <w:spacing w:val="8"/>
        </w:rPr>
        <w:t>每头猪肠胃容物为2.7</w:t>
      </w:r>
      <w:r>
        <w:rPr>
          <w:rFonts w:ascii="Times New Roman" w:hAnsi="Times New Roman" w:eastAsia="Times New Roman" w:cs="Times New Roman"/>
          <w:sz w:val="23"/>
          <w:szCs w:val="23"/>
        </w:rPr>
        <w:t>kg</w:t>
      </w:r>
      <w:r>
        <w:rPr>
          <w:rFonts w:ascii="SimSun" w:hAnsi="SimSun" w:eastAsia="SimSun" w:cs="SimSun"/>
          <w:sz w:val="23"/>
          <w:szCs w:val="23"/>
          <w:spacing w:val="8"/>
        </w:rPr>
        <w:t>进行核算，项目生猪</w:t>
      </w:r>
      <w:r>
        <w:rPr>
          <w:rFonts w:ascii="SimSun" w:hAnsi="SimSun" w:eastAsia="SimSun" w:cs="SimSun"/>
          <w:sz w:val="23"/>
          <w:szCs w:val="23"/>
          <w:spacing w:val="7"/>
        </w:rPr>
        <w:t>屠宰规模为40万头，则未消化饲料</w:t>
      </w:r>
    </w:p>
    <w:p>
      <w:pPr>
        <w:spacing w:line="375" w:lineRule="auto"/>
        <w:sectPr>
          <w:headerReference w:type="default" r:id="rId345"/>
          <w:footerReference w:type="default" r:id="rId346"/>
          <w:pgSz w:w="11910" w:h="16840"/>
          <w:pgMar w:top="1209" w:right="1786" w:bottom="990" w:left="1779" w:header="855" w:footer="766" w:gutter="0"/>
        </w:sectPr>
        <w:rPr>
          <w:rFonts w:ascii="SimSun" w:hAnsi="SimSun" w:eastAsia="SimSun" w:cs="SimSun"/>
          <w:sz w:val="23"/>
          <w:szCs w:val="23"/>
        </w:rPr>
      </w:pPr>
    </w:p>
    <w:p>
      <w:pPr>
        <w:spacing w:before="279" w:line="216" w:lineRule="auto"/>
        <w:rPr>
          <w:rFonts w:ascii="SimSun" w:hAnsi="SimSun" w:eastAsia="SimSun" w:cs="SimSun"/>
          <w:sz w:val="22"/>
          <w:szCs w:val="22"/>
        </w:rPr>
      </w:pPr>
      <w:r>
        <w:rPr>
          <w:rFonts w:ascii="SimSun" w:hAnsi="SimSun" w:eastAsia="SimSun" w:cs="SimSun"/>
          <w:sz w:val="22"/>
          <w:szCs w:val="22"/>
          <w:spacing w:val="24"/>
        </w:rPr>
        <w:t>产生量为1080</w:t>
      </w:r>
      <w:r>
        <w:rPr>
          <w:rFonts w:ascii="Times New Roman" w:hAnsi="Times New Roman" w:eastAsia="Times New Roman" w:cs="Times New Roman"/>
          <w:sz w:val="22"/>
          <w:szCs w:val="22"/>
          <w:spacing w:val="24"/>
        </w:rPr>
        <w:t>t/a</w:t>
      </w:r>
      <w:r>
        <w:rPr>
          <w:rFonts w:ascii="Times New Roman" w:hAnsi="Times New Roman" w:eastAsia="Times New Roman" w:cs="Times New Roman"/>
          <w:sz w:val="22"/>
          <w:szCs w:val="22"/>
          <w:spacing w:val="-25"/>
        </w:rPr>
        <w:t xml:space="preserve"> </w:t>
      </w:r>
      <w:r>
        <w:rPr>
          <w:rFonts w:ascii="SimSun" w:hAnsi="SimSun" w:eastAsia="SimSun" w:cs="SimSun"/>
          <w:sz w:val="22"/>
          <w:szCs w:val="22"/>
          <w:spacing w:val="24"/>
        </w:rPr>
        <w:t>。根据《固体废物分类与代码目录》(公告2024年第4</w:t>
      </w:r>
      <w:r>
        <w:rPr>
          <w:rFonts w:ascii="SimSun" w:hAnsi="SimSun" w:eastAsia="SimSun" w:cs="SimSun"/>
          <w:sz w:val="22"/>
          <w:szCs w:val="22"/>
          <w:spacing w:val="23"/>
        </w:rPr>
        <w:t>号),</w:t>
      </w:r>
    </w:p>
    <w:p>
      <w:pPr>
        <w:ind w:right="76"/>
        <w:spacing w:before="213" w:line="394" w:lineRule="auto"/>
        <w:rPr>
          <w:rFonts w:ascii="SimSun" w:hAnsi="SimSun" w:eastAsia="SimSun" w:cs="SimSun"/>
          <w:sz w:val="22"/>
          <w:szCs w:val="22"/>
        </w:rPr>
      </w:pPr>
      <w:r>
        <w:rPr>
          <w:rFonts w:ascii="SimSun" w:hAnsi="SimSun" w:eastAsia="SimSun" w:cs="SimSun"/>
          <w:sz w:val="22"/>
          <w:szCs w:val="22"/>
          <w:spacing w:val="9"/>
        </w:rPr>
        <w:t>胃肠容物属于</w:t>
      </w:r>
      <w:r>
        <w:rPr>
          <w:rFonts w:ascii="Times New Roman" w:hAnsi="Times New Roman" w:eastAsia="Times New Roman" w:cs="Times New Roman"/>
          <w:sz w:val="22"/>
          <w:szCs w:val="22"/>
          <w:spacing w:val="9"/>
        </w:rPr>
        <w:t>“</w:t>
      </w:r>
      <w:r>
        <w:rPr>
          <w:rFonts w:ascii="Times New Roman" w:hAnsi="Times New Roman" w:eastAsia="Times New Roman" w:cs="Times New Roman"/>
          <w:sz w:val="22"/>
          <w:szCs w:val="22"/>
        </w:rPr>
        <w:t>SW</w:t>
      </w:r>
      <w:r>
        <w:rPr>
          <w:rFonts w:ascii="Times New Roman" w:hAnsi="Times New Roman" w:eastAsia="Times New Roman" w:cs="Times New Roman"/>
          <w:sz w:val="22"/>
          <w:szCs w:val="22"/>
          <w:spacing w:val="9"/>
        </w:rPr>
        <w:t>13 </w:t>
      </w:r>
      <w:r>
        <w:rPr>
          <w:rFonts w:ascii="SimSun" w:hAnsi="SimSun" w:eastAsia="SimSun" w:cs="SimSun"/>
          <w:sz w:val="22"/>
          <w:szCs w:val="22"/>
          <w:spacing w:val="9"/>
        </w:rPr>
        <w:t>食品残渣屠宰及肉类加工135-001-</w:t>
      </w:r>
      <w:r>
        <w:rPr>
          <w:rFonts w:ascii="Times New Roman" w:hAnsi="Times New Roman" w:eastAsia="Times New Roman" w:cs="Times New Roman"/>
          <w:sz w:val="22"/>
          <w:szCs w:val="22"/>
          <w:spacing w:val="9"/>
        </w:rPr>
        <w:t>S13</w:t>
      </w:r>
      <w:r>
        <w:rPr>
          <w:rFonts w:ascii="Times New Roman" w:hAnsi="Times New Roman" w:eastAsia="Times New Roman" w:cs="Times New Roman"/>
          <w:sz w:val="22"/>
          <w:szCs w:val="22"/>
          <w:spacing w:val="-14"/>
        </w:rPr>
        <w:t xml:space="preserve"> </w:t>
      </w:r>
      <w:r>
        <w:rPr>
          <w:rFonts w:ascii="SimSun" w:hAnsi="SimSun" w:eastAsia="SimSun" w:cs="SimSun"/>
          <w:sz w:val="22"/>
          <w:szCs w:val="22"/>
          <w:spacing w:val="9"/>
        </w:rPr>
        <w:t>屠</w:t>
      </w:r>
      <w:r>
        <w:rPr>
          <w:rFonts w:ascii="SimSun" w:hAnsi="SimSun" w:eastAsia="SimSun" w:cs="SimSun"/>
          <w:sz w:val="22"/>
          <w:szCs w:val="22"/>
          <w:spacing w:val="8"/>
        </w:rPr>
        <w:t>宰废物”。采用专用</w:t>
      </w:r>
      <w:r>
        <w:rPr>
          <w:rFonts w:ascii="SimSun" w:hAnsi="SimSun" w:eastAsia="SimSun" w:cs="SimSun"/>
          <w:sz w:val="22"/>
          <w:szCs w:val="22"/>
        </w:rPr>
        <w:t xml:space="preserve"> </w:t>
      </w:r>
      <w:r>
        <w:rPr>
          <w:rFonts w:ascii="SimSun" w:hAnsi="SimSun" w:eastAsia="SimSun" w:cs="SimSun"/>
          <w:sz w:val="22"/>
          <w:szCs w:val="22"/>
          <w:spacing w:val="19"/>
        </w:rPr>
        <w:t>密闭容器收集后，与待宰间产生的粪便一同存放于固废暂</w:t>
      </w:r>
      <w:r>
        <w:rPr>
          <w:rFonts w:ascii="SimSun" w:hAnsi="SimSun" w:eastAsia="SimSun" w:cs="SimSun"/>
          <w:sz w:val="22"/>
          <w:szCs w:val="22"/>
          <w:spacing w:val="18"/>
        </w:rPr>
        <w:t>存间，使用密闭运输</w:t>
      </w:r>
      <w:r>
        <w:rPr>
          <w:rFonts w:ascii="SimSun" w:hAnsi="SimSun" w:eastAsia="SimSun" w:cs="SimSun"/>
          <w:sz w:val="22"/>
          <w:szCs w:val="22"/>
        </w:rPr>
        <w:t xml:space="preserve">  </w:t>
      </w:r>
      <w:r>
        <w:rPr>
          <w:rFonts w:ascii="SimSun" w:hAnsi="SimSun" w:eastAsia="SimSun" w:cs="SimSun"/>
          <w:sz w:val="22"/>
          <w:szCs w:val="22"/>
          <w:spacing w:val="17"/>
        </w:rPr>
        <w:t>车运输，作为有机肥原料外售，不在厂区长期堆存。</w:t>
      </w:r>
    </w:p>
    <w:p>
      <w:pPr>
        <w:ind w:left="3" w:right="146" w:firstLine="480"/>
        <w:spacing w:before="1" w:line="379" w:lineRule="auto"/>
        <w:rPr>
          <w:rFonts w:ascii="SimSun" w:hAnsi="SimSun" w:eastAsia="SimSun" w:cs="SimSun"/>
          <w:sz w:val="22"/>
          <w:szCs w:val="22"/>
        </w:rPr>
      </w:pPr>
      <w:r>
        <w:rPr>
          <w:rFonts w:ascii="SimSun" w:hAnsi="SimSun" w:eastAsia="SimSun" w:cs="SimSun"/>
          <w:sz w:val="22"/>
          <w:szCs w:val="22"/>
          <w:b/>
          <w:bCs/>
          <w:spacing w:val="19"/>
        </w:rPr>
        <w:t>环评要求：项目投运前屠宰残余物需与相关单位签订处置协议后，方可投</w:t>
      </w:r>
      <w:r>
        <w:rPr>
          <w:rFonts w:ascii="SimSun" w:hAnsi="SimSun" w:eastAsia="SimSun" w:cs="SimSun"/>
          <w:sz w:val="22"/>
          <w:szCs w:val="22"/>
        </w:rPr>
        <w:t xml:space="preserve"> </w:t>
      </w:r>
      <w:r>
        <w:rPr>
          <w:rFonts w:ascii="SimSun" w:hAnsi="SimSun" w:eastAsia="SimSun" w:cs="SimSun"/>
          <w:sz w:val="22"/>
          <w:szCs w:val="22"/>
          <w:b/>
          <w:bCs/>
          <w:spacing w:val="8"/>
        </w:rPr>
        <w:t>入生产。</w:t>
      </w:r>
    </w:p>
    <w:p>
      <w:pPr>
        <w:ind w:left="480"/>
        <w:spacing w:before="36" w:line="218" w:lineRule="auto"/>
        <w:rPr>
          <w:rFonts w:ascii="SimSun" w:hAnsi="SimSun" w:eastAsia="SimSun" w:cs="SimSun"/>
          <w:sz w:val="22"/>
          <w:szCs w:val="22"/>
        </w:rPr>
      </w:pPr>
      <w:r>
        <w:rPr>
          <w:rFonts w:ascii="SimSun" w:hAnsi="SimSun" w:eastAsia="SimSun" w:cs="SimSun"/>
          <w:sz w:val="22"/>
          <w:szCs w:val="22"/>
          <w:spacing w:val="24"/>
        </w:rPr>
        <w:t>d.屠宰废料(猪蹄壳、碎肉、淋巴组织、</w:t>
      </w:r>
      <w:r>
        <w:rPr>
          <w:rFonts w:ascii="SimSun" w:hAnsi="SimSun" w:eastAsia="SimSun" w:cs="SimSun"/>
          <w:sz w:val="22"/>
          <w:szCs w:val="22"/>
          <w:spacing w:val="23"/>
        </w:rPr>
        <w:t>不可食内脏等)</w:t>
      </w:r>
    </w:p>
    <w:p>
      <w:pPr>
        <w:ind w:left="480"/>
        <w:spacing w:before="211" w:line="219" w:lineRule="auto"/>
        <w:rPr>
          <w:rFonts w:ascii="SimSun" w:hAnsi="SimSun" w:eastAsia="SimSun" w:cs="SimSun"/>
          <w:sz w:val="22"/>
          <w:szCs w:val="22"/>
        </w:rPr>
      </w:pPr>
      <w:r>
        <w:rPr>
          <w:rFonts w:ascii="SimSun" w:hAnsi="SimSun" w:eastAsia="SimSun" w:cs="SimSun"/>
          <w:sz w:val="22"/>
          <w:szCs w:val="22"/>
          <w:spacing w:val="19"/>
        </w:rPr>
        <w:t>屠宰废料按总屠宰重量的0.5%计，本项目年屠宰40万</w:t>
      </w:r>
      <w:r>
        <w:rPr>
          <w:rFonts w:ascii="SimSun" w:hAnsi="SimSun" w:eastAsia="SimSun" w:cs="SimSun"/>
          <w:sz w:val="22"/>
          <w:szCs w:val="22"/>
          <w:spacing w:val="18"/>
        </w:rPr>
        <w:t>头生猪，每头猪约</w:t>
      </w:r>
    </w:p>
    <w:p>
      <w:pPr>
        <w:ind w:right="158"/>
        <w:spacing w:before="195" w:line="388" w:lineRule="auto"/>
        <w:rPr>
          <w:rFonts w:ascii="SimSun" w:hAnsi="SimSun" w:eastAsia="SimSun" w:cs="SimSun"/>
          <w:sz w:val="22"/>
          <w:szCs w:val="22"/>
        </w:rPr>
      </w:pPr>
      <w:r>
        <w:rPr>
          <w:rFonts w:ascii="SimSun" w:hAnsi="SimSun" w:eastAsia="SimSun" w:cs="SimSun"/>
          <w:sz w:val="22"/>
          <w:szCs w:val="22"/>
          <w:spacing w:val="16"/>
        </w:rPr>
        <w:t>110</w:t>
      </w:r>
      <w:r>
        <w:rPr>
          <w:rFonts w:ascii="SimSun" w:hAnsi="SimSun" w:eastAsia="SimSun" w:cs="SimSun"/>
          <w:sz w:val="22"/>
          <w:szCs w:val="22"/>
        </w:rPr>
        <w:t>kg</w:t>
      </w:r>
      <w:r>
        <w:rPr>
          <w:rFonts w:ascii="SimSun" w:hAnsi="SimSun" w:eastAsia="SimSun" w:cs="SimSun"/>
          <w:sz w:val="22"/>
          <w:szCs w:val="22"/>
          <w:spacing w:val="16"/>
        </w:rPr>
        <w:t>,</w:t>
      </w:r>
      <w:r>
        <w:rPr>
          <w:rFonts w:ascii="SimSun" w:hAnsi="SimSun" w:eastAsia="SimSun" w:cs="SimSun"/>
          <w:sz w:val="22"/>
          <w:szCs w:val="22"/>
          <w:spacing w:val="75"/>
        </w:rPr>
        <w:t xml:space="preserve"> </w:t>
      </w:r>
      <w:r>
        <w:rPr>
          <w:rFonts w:ascii="SimSun" w:hAnsi="SimSun" w:eastAsia="SimSun" w:cs="SimSun"/>
          <w:sz w:val="22"/>
          <w:szCs w:val="22"/>
          <w:spacing w:val="16"/>
        </w:rPr>
        <w:t>屠宰废料约220t/a。根据《固体废物分类与代码目录》(公告2024</w:t>
      </w:r>
      <w:r>
        <w:rPr>
          <w:rFonts w:ascii="SimSun" w:hAnsi="SimSun" w:eastAsia="SimSun" w:cs="SimSun"/>
          <w:sz w:val="22"/>
          <w:szCs w:val="22"/>
          <w:spacing w:val="15"/>
        </w:rPr>
        <w:t>年第</w:t>
      </w:r>
      <w:r>
        <w:rPr>
          <w:rFonts w:ascii="SimSun" w:hAnsi="SimSun" w:eastAsia="SimSun" w:cs="SimSun"/>
          <w:sz w:val="22"/>
          <w:szCs w:val="22"/>
        </w:rPr>
        <w:t xml:space="preserve"> </w:t>
      </w:r>
      <w:r>
        <w:rPr>
          <w:rFonts w:ascii="SimSun" w:hAnsi="SimSun" w:eastAsia="SimSun" w:cs="SimSun"/>
          <w:sz w:val="22"/>
          <w:szCs w:val="22"/>
          <w:spacing w:val="13"/>
        </w:rPr>
        <w:t>4号),屠宰废料属于</w:t>
      </w:r>
      <w:r>
        <w:rPr>
          <w:rFonts w:ascii="Times New Roman" w:hAnsi="Times New Roman" w:eastAsia="Times New Roman" w:cs="Times New Roman"/>
          <w:sz w:val="22"/>
          <w:szCs w:val="22"/>
          <w:spacing w:val="13"/>
        </w:rPr>
        <w:t>“</w:t>
      </w:r>
      <w:r>
        <w:rPr>
          <w:rFonts w:ascii="Times New Roman" w:hAnsi="Times New Roman" w:eastAsia="Times New Roman" w:cs="Times New Roman"/>
          <w:sz w:val="22"/>
          <w:szCs w:val="22"/>
        </w:rPr>
        <w:t>SW</w:t>
      </w:r>
      <w:r>
        <w:rPr>
          <w:rFonts w:ascii="Times New Roman" w:hAnsi="Times New Roman" w:eastAsia="Times New Roman" w:cs="Times New Roman"/>
          <w:sz w:val="22"/>
          <w:szCs w:val="22"/>
          <w:spacing w:val="13"/>
        </w:rPr>
        <w:t>13</w:t>
      </w:r>
      <w:r>
        <w:rPr>
          <w:rFonts w:ascii="Times New Roman" w:hAnsi="Times New Roman" w:eastAsia="Times New Roman" w:cs="Times New Roman"/>
          <w:sz w:val="22"/>
          <w:szCs w:val="22"/>
          <w:spacing w:val="33"/>
        </w:rPr>
        <w:t xml:space="preserve"> </w:t>
      </w:r>
      <w:r>
        <w:rPr>
          <w:rFonts w:ascii="SimSun" w:hAnsi="SimSun" w:eastAsia="SimSun" w:cs="SimSun"/>
          <w:sz w:val="22"/>
          <w:szCs w:val="22"/>
          <w:spacing w:val="13"/>
        </w:rPr>
        <w:t>食品残渣屠宰及肉类加工135-001-</w:t>
      </w:r>
      <w:r>
        <w:rPr>
          <w:rFonts w:ascii="Times New Roman" w:hAnsi="Times New Roman" w:eastAsia="Times New Roman" w:cs="Times New Roman"/>
          <w:sz w:val="22"/>
          <w:szCs w:val="22"/>
          <w:spacing w:val="13"/>
        </w:rPr>
        <w:t>S13 </w:t>
      </w:r>
      <w:r>
        <w:rPr>
          <w:rFonts w:ascii="SimSun" w:hAnsi="SimSun" w:eastAsia="SimSun" w:cs="SimSun"/>
          <w:sz w:val="22"/>
          <w:szCs w:val="22"/>
          <w:spacing w:val="13"/>
        </w:rPr>
        <w:t>屠宰废物”。</w:t>
      </w:r>
      <w:r>
        <w:rPr>
          <w:rFonts w:ascii="SimSun" w:hAnsi="SimSun" w:eastAsia="SimSun" w:cs="SimSun"/>
          <w:sz w:val="22"/>
          <w:szCs w:val="22"/>
        </w:rPr>
        <w:t xml:space="preserve"> </w:t>
      </w:r>
      <w:r>
        <w:rPr>
          <w:rFonts w:ascii="SimSun" w:hAnsi="SimSun" w:eastAsia="SimSun" w:cs="SimSun"/>
          <w:sz w:val="22"/>
          <w:szCs w:val="22"/>
          <w:spacing w:val="27"/>
        </w:rPr>
        <w:t>统一密闭收集后暂存于固废暂存间，外售综合利用(炼</w:t>
      </w:r>
      <w:r>
        <w:rPr>
          <w:rFonts w:ascii="SimSun" w:hAnsi="SimSun" w:eastAsia="SimSun" w:cs="SimSun"/>
          <w:sz w:val="22"/>
          <w:szCs w:val="22"/>
          <w:spacing w:val="26"/>
        </w:rPr>
        <w:t>明胶或油脂)或进行无</w:t>
      </w:r>
      <w:r>
        <w:rPr>
          <w:rFonts w:ascii="SimSun" w:hAnsi="SimSun" w:eastAsia="SimSun" w:cs="SimSun"/>
          <w:sz w:val="22"/>
          <w:szCs w:val="22"/>
        </w:rPr>
        <w:t xml:space="preserve"> </w:t>
      </w:r>
      <w:r>
        <w:rPr>
          <w:rFonts w:ascii="SimSun" w:hAnsi="SimSun" w:eastAsia="SimSun" w:cs="SimSun"/>
          <w:sz w:val="22"/>
          <w:szCs w:val="22"/>
          <w:spacing w:val="16"/>
        </w:rPr>
        <w:t>害化处理。</w:t>
      </w:r>
    </w:p>
    <w:p>
      <w:pPr>
        <w:ind w:left="483"/>
        <w:spacing w:line="217" w:lineRule="auto"/>
        <w:rPr>
          <w:rFonts w:ascii="SimSun" w:hAnsi="SimSun" w:eastAsia="SimSun" w:cs="SimSun"/>
          <w:sz w:val="22"/>
          <w:szCs w:val="22"/>
        </w:rPr>
      </w:pPr>
      <w:r>
        <w:rPr>
          <w:rFonts w:ascii="SimSun" w:hAnsi="SimSun" w:eastAsia="SimSun" w:cs="SimSun"/>
          <w:sz w:val="22"/>
          <w:szCs w:val="22"/>
          <w:b/>
          <w:bCs/>
          <w:spacing w:val="19"/>
        </w:rPr>
        <w:t>②肉牛屠宰废物</w:t>
      </w:r>
    </w:p>
    <w:p>
      <w:pPr>
        <w:ind w:left="480"/>
        <w:spacing w:before="257" w:line="219" w:lineRule="auto"/>
        <w:rPr>
          <w:rFonts w:ascii="SimSun" w:hAnsi="SimSun" w:eastAsia="SimSun" w:cs="SimSun"/>
          <w:sz w:val="22"/>
          <w:szCs w:val="22"/>
        </w:rPr>
      </w:pPr>
      <w:r>
        <w:rPr>
          <w:rFonts w:ascii="Times New Roman" w:hAnsi="Times New Roman" w:eastAsia="Times New Roman" w:cs="Times New Roman"/>
          <w:sz w:val="22"/>
          <w:szCs w:val="22"/>
          <w:spacing w:val="11"/>
        </w:rPr>
        <w:t>a.</w:t>
      </w:r>
      <w:r>
        <w:rPr>
          <w:rFonts w:ascii="Times New Roman" w:hAnsi="Times New Roman" w:eastAsia="Times New Roman" w:cs="Times New Roman"/>
          <w:sz w:val="22"/>
          <w:szCs w:val="22"/>
          <w:spacing w:val="-16"/>
        </w:rPr>
        <w:t xml:space="preserve"> </w:t>
      </w:r>
      <w:r>
        <w:rPr>
          <w:rFonts w:ascii="SimSun" w:hAnsi="SimSun" w:eastAsia="SimSun" w:cs="SimSun"/>
          <w:sz w:val="22"/>
          <w:szCs w:val="22"/>
          <w:spacing w:val="11"/>
        </w:rPr>
        <w:t>待宰圈粪便</w:t>
      </w:r>
    </w:p>
    <w:p>
      <w:pPr>
        <w:ind w:left="480"/>
        <w:spacing w:before="164" w:line="212" w:lineRule="auto"/>
        <w:rPr>
          <w:rFonts w:ascii="Times New Roman" w:hAnsi="Times New Roman" w:eastAsia="Times New Roman" w:cs="Times New Roman"/>
          <w:sz w:val="22"/>
          <w:szCs w:val="22"/>
        </w:rPr>
      </w:pPr>
      <w:r>
        <w:rPr>
          <w:rFonts w:ascii="SimSun" w:hAnsi="SimSun" w:eastAsia="SimSun" w:cs="SimSun"/>
          <w:sz w:val="22"/>
          <w:szCs w:val="22"/>
          <w:spacing w:val="13"/>
        </w:rPr>
        <w:t>根据《排污许可证申请与核发技术规范畜禽养</w:t>
      </w:r>
      <w:r>
        <w:rPr>
          <w:rFonts w:ascii="SimSun" w:hAnsi="SimSun" w:eastAsia="SimSun" w:cs="SimSun"/>
          <w:sz w:val="22"/>
          <w:szCs w:val="22"/>
          <w:spacing w:val="12"/>
        </w:rPr>
        <w:t>殖行业》</w:t>
      </w:r>
      <w:r>
        <w:rPr>
          <w:rFonts w:ascii="SimSun" w:hAnsi="SimSun" w:eastAsia="SimSun" w:cs="SimSun"/>
          <w:sz w:val="22"/>
          <w:szCs w:val="22"/>
          <w:spacing w:val="69"/>
        </w:rPr>
        <w:t xml:space="preserve"> </w:t>
      </w:r>
      <w:r>
        <w:rPr>
          <w:rFonts w:ascii="Times New Roman" w:hAnsi="Times New Roman" w:eastAsia="Times New Roman" w:cs="Times New Roman"/>
          <w:sz w:val="22"/>
          <w:szCs w:val="22"/>
          <w:spacing w:val="12"/>
        </w:rPr>
        <w:t>(</w:t>
      </w:r>
      <w:r>
        <w:rPr>
          <w:rFonts w:ascii="Times New Roman" w:hAnsi="Times New Roman" w:eastAsia="Times New Roman" w:cs="Times New Roman"/>
          <w:sz w:val="22"/>
          <w:szCs w:val="22"/>
        </w:rPr>
        <w:t>HJ</w:t>
      </w:r>
      <w:r>
        <w:rPr>
          <w:rFonts w:ascii="Times New Roman" w:hAnsi="Times New Roman" w:eastAsia="Times New Roman" w:cs="Times New Roman"/>
          <w:sz w:val="22"/>
          <w:szCs w:val="22"/>
          <w:spacing w:val="12"/>
        </w:rPr>
        <w:t>1029-2019)</w:t>
      </w:r>
    </w:p>
    <w:p>
      <w:pPr>
        <w:ind w:right="232"/>
        <w:spacing w:before="246" w:line="355" w:lineRule="auto"/>
        <w:rPr>
          <w:rFonts w:ascii="SimSun" w:hAnsi="SimSun" w:eastAsia="SimSun" w:cs="SimSun"/>
          <w:sz w:val="22"/>
          <w:szCs w:val="22"/>
        </w:rPr>
      </w:pPr>
      <w:r>
        <w:rPr>
          <w:rFonts w:ascii="SimSun" w:hAnsi="SimSun" w:eastAsia="SimSun" w:cs="SimSun"/>
          <w:sz w:val="22"/>
          <w:szCs w:val="22"/>
          <w:spacing w:val="20"/>
        </w:rPr>
        <w:t>肉牛的排泄系数(10.88</w:t>
      </w:r>
      <w:r>
        <w:rPr>
          <w:rFonts w:ascii="SimSun" w:hAnsi="SimSun" w:eastAsia="SimSun" w:cs="SimSun"/>
          <w:sz w:val="22"/>
          <w:szCs w:val="22"/>
        </w:rPr>
        <w:t>kg</w:t>
      </w:r>
      <w:r>
        <w:rPr>
          <w:rFonts w:ascii="SimSun" w:hAnsi="SimSun" w:eastAsia="SimSun" w:cs="SimSun"/>
          <w:sz w:val="22"/>
          <w:szCs w:val="22"/>
          <w:spacing w:val="20"/>
        </w:rPr>
        <w:t>/d·头),本项目年屠宰肉牛4</w:t>
      </w:r>
      <w:r>
        <w:rPr>
          <w:rFonts w:ascii="SimSun" w:hAnsi="SimSun" w:eastAsia="SimSun" w:cs="SimSun"/>
          <w:sz w:val="22"/>
          <w:szCs w:val="22"/>
          <w:spacing w:val="19"/>
        </w:rPr>
        <w:t>万头，则粪便产生量为</w:t>
      </w:r>
      <w:r>
        <w:rPr>
          <w:rFonts w:ascii="SimSun" w:hAnsi="SimSun" w:eastAsia="SimSun" w:cs="SimSun"/>
          <w:sz w:val="22"/>
          <w:szCs w:val="22"/>
        </w:rPr>
        <w:t xml:space="preserve"> </w:t>
      </w:r>
      <w:r>
        <w:rPr>
          <w:rFonts w:ascii="Times New Roman" w:hAnsi="Times New Roman" w:eastAsia="Times New Roman" w:cs="Times New Roman"/>
          <w:sz w:val="22"/>
          <w:szCs w:val="22"/>
          <w:spacing w:val="13"/>
        </w:rPr>
        <w:t>1.21t/d(435.2t/a)</w:t>
      </w:r>
      <w:r>
        <w:rPr>
          <w:rFonts w:ascii="Times New Roman" w:hAnsi="Times New Roman" w:eastAsia="Times New Roman" w:cs="Times New Roman"/>
          <w:sz w:val="22"/>
          <w:szCs w:val="22"/>
          <w:spacing w:val="-15"/>
        </w:rPr>
        <w:t xml:space="preserve"> </w:t>
      </w:r>
      <w:r>
        <w:rPr>
          <w:rFonts w:ascii="SimSun" w:hAnsi="SimSun" w:eastAsia="SimSun" w:cs="SimSun"/>
          <w:sz w:val="22"/>
          <w:szCs w:val="22"/>
          <w:spacing w:val="13"/>
        </w:rPr>
        <w:t>。</w:t>
      </w:r>
      <w:r>
        <w:rPr>
          <w:rFonts w:ascii="SimSun" w:hAnsi="SimSun" w:eastAsia="SimSun" w:cs="SimSun"/>
          <w:sz w:val="22"/>
          <w:szCs w:val="22"/>
          <w:spacing w:val="7"/>
        </w:rPr>
        <w:t xml:space="preserve">    </w:t>
      </w:r>
      <w:r>
        <w:rPr>
          <w:rFonts w:ascii="SimSun" w:hAnsi="SimSun" w:eastAsia="SimSun" w:cs="SimSun"/>
          <w:sz w:val="22"/>
          <w:szCs w:val="22"/>
          <w:spacing w:val="13"/>
        </w:rPr>
        <w:t>参照《固体废物分类与代码目录》(公告2024年第4</w:t>
      </w:r>
    </w:p>
    <w:p>
      <w:pPr>
        <w:ind w:right="46"/>
        <w:spacing w:before="66" w:line="382" w:lineRule="auto"/>
        <w:rPr>
          <w:rFonts w:ascii="SimSun" w:hAnsi="SimSun" w:eastAsia="SimSun" w:cs="SimSun"/>
          <w:sz w:val="22"/>
          <w:szCs w:val="22"/>
        </w:rPr>
      </w:pPr>
      <w:r>
        <w:rPr>
          <w:rFonts w:ascii="SimSun" w:hAnsi="SimSun" w:eastAsia="SimSun" w:cs="SimSun"/>
          <w:sz w:val="22"/>
          <w:szCs w:val="22"/>
          <w:spacing w:val="14"/>
        </w:rPr>
        <w:t>号),待宰圈粪便属于</w:t>
      </w:r>
      <w:r>
        <w:rPr>
          <w:rFonts w:ascii="Times New Roman" w:hAnsi="Times New Roman" w:eastAsia="Times New Roman" w:cs="Times New Roman"/>
          <w:sz w:val="22"/>
          <w:szCs w:val="22"/>
          <w:spacing w:val="14"/>
        </w:rPr>
        <w:t>“</w:t>
      </w:r>
      <w:r>
        <w:rPr>
          <w:rFonts w:ascii="Times New Roman" w:hAnsi="Times New Roman" w:eastAsia="Times New Roman" w:cs="Times New Roman"/>
          <w:sz w:val="22"/>
          <w:szCs w:val="22"/>
        </w:rPr>
        <w:t>SW</w:t>
      </w:r>
      <w:r>
        <w:rPr>
          <w:rFonts w:ascii="Times New Roman" w:hAnsi="Times New Roman" w:eastAsia="Times New Roman" w:cs="Times New Roman"/>
          <w:sz w:val="22"/>
          <w:szCs w:val="22"/>
          <w:spacing w:val="14"/>
        </w:rPr>
        <w:t>82</w:t>
      </w:r>
      <w:r>
        <w:rPr>
          <w:rFonts w:ascii="Times New Roman" w:hAnsi="Times New Roman" w:eastAsia="Times New Roman" w:cs="Times New Roman"/>
          <w:sz w:val="22"/>
          <w:szCs w:val="22"/>
          <w:spacing w:val="25"/>
          <w:w w:val="101"/>
        </w:rPr>
        <w:t xml:space="preserve"> </w:t>
      </w:r>
      <w:r>
        <w:rPr>
          <w:rFonts w:ascii="SimSun" w:hAnsi="SimSun" w:eastAsia="SimSun" w:cs="SimSun"/>
          <w:sz w:val="22"/>
          <w:szCs w:val="22"/>
          <w:spacing w:val="14"/>
        </w:rPr>
        <w:t>畜牧业废物畜牧业030-001-</w:t>
      </w:r>
      <w:r>
        <w:rPr>
          <w:rFonts w:ascii="Times New Roman" w:hAnsi="Times New Roman" w:eastAsia="Times New Roman" w:cs="Times New Roman"/>
          <w:sz w:val="22"/>
          <w:szCs w:val="22"/>
          <w:spacing w:val="14"/>
        </w:rPr>
        <w:t>S82 </w:t>
      </w:r>
      <w:r>
        <w:rPr>
          <w:rFonts w:ascii="SimSun" w:hAnsi="SimSun" w:eastAsia="SimSun" w:cs="SimSun"/>
          <w:sz w:val="22"/>
          <w:szCs w:val="22"/>
          <w:spacing w:val="14"/>
        </w:rPr>
        <w:t>畜</w:t>
      </w:r>
      <w:r>
        <w:rPr>
          <w:rFonts w:ascii="SimSun" w:hAnsi="SimSun" w:eastAsia="SimSun" w:cs="SimSun"/>
          <w:sz w:val="22"/>
          <w:szCs w:val="22"/>
          <w:spacing w:val="13"/>
        </w:rPr>
        <w:t>禽粪污”。设专用</w:t>
      </w:r>
      <w:r>
        <w:rPr>
          <w:rFonts w:ascii="SimSun" w:hAnsi="SimSun" w:eastAsia="SimSun" w:cs="SimSun"/>
          <w:sz w:val="22"/>
          <w:szCs w:val="22"/>
        </w:rPr>
        <w:t xml:space="preserve"> </w:t>
      </w:r>
      <w:r>
        <w:rPr>
          <w:rFonts w:ascii="SimSun" w:hAnsi="SimSun" w:eastAsia="SimSun" w:cs="SimSun"/>
          <w:sz w:val="22"/>
          <w:szCs w:val="22"/>
          <w:spacing w:val="17"/>
        </w:rPr>
        <w:t>容</w:t>
      </w:r>
      <w:r>
        <w:rPr>
          <w:rFonts w:ascii="SimSun" w:hAnsi="SimSun" w:eastAsia="SimSun" w:cs="SimSun"/>
          <w:sz w:val="22"/>
          <w:szCs w:val="22"/>
          <w:spacing w:val="-41"/>
        </w:rPr>
        <w:t xml:space="preserve"> </w:t>
      </w:r>
      <w:r>
        <w:rPr>
          <w:rFonts w:ascii="SimSun" w:hAnsi="SimSun" w:eastAsia="SimSun" w:cs="SimSun"/>
          <w:sz w:val="22"/>
          <w:szCs w:val="22"/>
          <w:spacing w:val="17"/>
        </w:rPr>
        <w:t>器，并进行标识，收集后暂存至固废暂存间，交有机肥单位处理。</w:t>
      </w:r>
    </w:p>
    <w:p>
      <w:pPr>
        <w:ind w:left="483"/>
        <w:spacing w:before="1" w:line="218" w:lineRule="auto"/>
        <w:rPr>
          <w:rFonts w:ascii="SimSun" w:hAnsi="SimSun" w:eastAsia="SimSun" w:cs="SimSun"/>
          <w:sz w:val="22"/>
          <w:szCs w:val="22"/>
        </w:rPr>
      </w:pPr>
      <w:r>
        <w:rPr>
          <w:rFonts w:ascii="SimSun" w:hAnsi="SimSun" w:eastAsia="SimSun" w:cs="SimSun"/>
          <w:sz w:val="22"/>
          <w:szCs w:val="22"/>
          <w:b/>
          <w:bCs/>
          <w:spacing w:val="18"/>
        </w:rPr>
        <w:t>环评要求：项目投运前需与有机肥公司签订处置协议后，</w:t>
      </w:r>
      <w:r>
        <w:rPr>
          <w:rFonts w:ascii="SimSun" w:hAnsi="SimSun" w:eastAsia="SimSun" w:cs="SimSun"/>
          <w:sz w:val="22"/>
          <w:szCs w:val="22"/>
          <w:b/>
          <w:bCs/>
          <w:spacing w:val="17"/>
        </w:rPr>
        <w:t>方可投入生产。</w:t>
      </w:r>
    </w:p>
    <w:p>
      <w:pPr>
        <w:ind w:left="480"/>
        <w:spacing w:before="233" w:line="219" w:lineRule="auto"/>
        <w:rPr>
          <w:rFonts w:ascii="SimSun" w:hAnsi="SimSun" w:eastAsia="SimSun" w:cs="SimSun"/>
          <w:sz w:val="22"/>
          <w:szCs w:val="22"/>
        </w:rPr>
      </w:pPr>
      <w:r>
        <w:rPr>
          <w:rFonts w:ascii="SimSun" w:hAnsi="SimSun" w:eastAsia="SimSun" w:cs="SimSun"/>
          <w:sz w:val="22"/>
          <w:szCs w:val="22"/>
          <w:spacing w:val="15"/>
        </w:rPr>
        <w:t>b.疫病牛、病牛四分体、病内脏</w:t>
      </w:r>
    </w:p>
    <w:p>
      <w:pPr>
        <w:ind w:right="63" w:firstLine="530"/>
        <w:spacing w:before="192" w:line="388" w:lineRule="auto"/>
        <w:rPr>
          <w:rFonts w:ascii="SimSun" w:hAnsi="SimSun" w:eastAsia="SimSun" w:cs="SimSun"/>
          <w:sz w:val="22"/>
          <w:szCs w:val="22"/>
        </w:rPr>
      </w:pPr>
      <w:r>
        <w:rPr>
          <w:rFonts w:ascii="SimSun" w:hAnsi="SimSun" w:eastAsia="SimSun" w:cs="SimSun"/>
          <w:sz w:val="22"/>
          <w:szCs w:val="22"/>
          <w:spacing w:val="16"/>
        </w:rPr>
        <w:t>由于屠宰场牲畜在入厂时需进行检疫，牲畜在待宰圈静养0~12</w:t>
      </w:r>
      <w:r>
        <w:rPr>
          <w:rFonts w:ascii="Times New Roman" w:hAnsi="Times New Roman" w:eastAsia="Times New Roman" w:cs="Times New Roman"/>
          <w:sz w:val="22"/>
          <w:szCs w:val="22"/>
          <w:spacing w:val="16"/>
        </w:rPr>
        <w:t>h,   </w:t>
      </w:r>
      <w:r>
        <w:rPr>
          <w:rFonts w:ascii="SimSun" w:hAnsi="SimSun" w:eastAsia="SimSun" w:cs="SimSun"/>
          <w:sz w:val="22"/>
          <w:szCs w:val="22"/>
          <w:spacing w:val="16"/>
        </w:rPr>
        <w:t>发生疫情</w:t>
      </w:r>
      <w:r>
        <w:rPr>
          <w:rFonts w:ascii="SimSun" w:hAnsi="SimSun" w:eastAsia="SimSun" w:cs="SimSun"/>
          <w:sz w:val="22"/>
          <w:szCs w:val="22"/>
          <w:spacing w:val="1"/>
        </w:rPr>
        <w:t xml:space="preserve"> </w:t>
      </w:r>
      <w:r>
        <w:rPr>
          <w:rFonts w:ascii="SimSun" w:hAnsi="SimSun" w:eastAsia="SimSun" w:cs="SimSun"/>
          <w:sz w:val="22"/>
          <w:szCs w:val="22"/>
          <w:spacing w:val="20"/>
        </w:rPr>
        <w:t>的可能性较小。类比同类项目，病牛产生量为总屠宰肉牛数量的0.</w:t>
      </w:r>
      <w:r>
        <w:rPr>
          <w:rFonts w:ascii="SimSun" w:hAnsi="SimSun" w:eastAsia="SimSun" w:cs="SimSun"/>
          <w:sz w:val="22"/>
          <w:szCs w:val="22"/>
          <w:spacing w:val="-50"/>
        </w:rPr>
        <w:t xml:space="preserve"> </w:t>
      </w:r>
      <w:r>
        <w:rPr>
          <w:rFonts w:ascii="SimSun" w:hAnsi="SimSun" w:eastAsia="SimSun" w:cs="SimSun"/>
          <w:sz w:val="22"/>
          <w:szCs w:val="22"/>
          <w:spacing w:val="20"/>
        </w:rPr>
        <w:t>1%,本项目</w:t>
      </w:r>
      <w:r>
        <w:rPr>
          <w:rFonts w:ascii="SimSun" w:hAnsi="SimSun" w:eastAsia="SimSun" w:cs="SimSun"/>
          <w:sz w:val="22"/>
          <w:szCs w:val="22"/>
        </w:rPr>
        <w:t xml:space="preserve">  </w:t>
      </w:r>
      <w:r>
        <w:rPr>
          <w:rFonts w:ascii="SimSun" w:hAnsi="SimSun" w:eastAsia="SimSun" w:cs="SimSun"/>
          <w:sz w:val="22"/>
          <w:szCs w:val="22"/>
          <w:spacing w:val="16"/>
        </w:rPr>
        <w:t>年屠宰肉牛4万头，则估计产生的疫病牛为40头，合20</w:t>
      </w:r>
      <w:r>
        <w:rPr>
          <w:rFonts w:ascii="Times New Roman" w:hAnsi="Times New Roman" w:eastAsia="Times New Roman" w:cs="Times New Roman"/>
          <w:sz w:val="22"/>
          <w:szCs w:val="22"/>
          <w:spacing w:val="16"/>
        </w:rPr>
        <w:t>t/a</w:t>
      </w:r>
      <w:r>
        <w:rPr>
          <w:rFonts w:ascii="Times New Roman" w:hAnsi="Times New Roman" w:eastAsia="Times New Roman" w:cs="Times New Roman"/>
          <w:sz w:val="22"/>
          <w:szCs w:val="22"/>
          <w:spacing w:val="-25"/>
        </w:rPr>
        <w:t xml:space="preserve"> </w:t>
      </w:r>
      <w:r>
        <w:rPr>
          <w:rFonts w:ascii="SimSun" w:hAnsi="SimSun" w:eastAsia="SimSun" w:cs="SimSun"/>
          <w:sz w:val="22"/>
          <w:szCs w:val="22"/>
          <w:spacing w:val="16"/>
        </w:rPr>
        <w:t>。</w:t>
      </w:r>
      <w:r>
        <w:rPr>
          <w:rFonts w:ascii="SimSun" w:hAnsi="SimSun" w:eastAsia="SimSun" w:cs="SimSun"/>
          <w:sz w:val="22"/>
          <w:szCs w:val="22"/>
          <w:spacing w:val="-57"/>
        </w:rPr>
        <w:t xml:space="preserve"> </w:t>
      </w:r>
      <w:r>
        <w:rPr>
          <w:rFonts w:ascii="SimSun" w:hAnsi="SimSun" w:eastAsia="SimSun" w:cs="SimSun"/>
          <w:sz w:val="22"/>
          <w:szCs w:val="22"/>
          <w:spacing w:val="15"/>
        </w:rPr>
        <w:t>同时，屠宰过程中开</w:t>
      </w:r>
      <w:r>
        <w:rPr>
          <w:rFonts w:ascii="SimSun" w:hAnsi="SimSun" w:eastAsia="SimSun" w:cs="SimSun"/>
          <w:sz w:val="22"/>
          <w:szCs w:val="22"/>
        </w:rPr>
        <w:t xml:space="preserve"> </w:t>
      </w:r>
      <w:r>
        <w:rPr>
          <w:rFonts w:ascii="SimSun" w:hAnsi="SimSun" w:eastAsia="SimSun" w:cs="SimSun"/>
          <w:sz w:val="22"/>
          <w:szCs w:val="22"/>
          <w:spacing w:val="15"/>
        </w:rPr>
        <w:t>膛、剖腹、劈半实行同步卫检制度，检疫不合格牛四分体、内脏约为400</w:t>
      </w:r>
      <w:r>
        <w:rPr>
          <w:rFonts w:ascii="Times New Roman" w:hAnsi="Times New Roman" w:eastAsia="Times New Roman" w:cs="Times New Roman"/>
          <w:sz w:val="22"/>
          <w:szCs w:val="22"/>
          <w:spacing w:val="15"/>
        </w:rPr>
        <w:t>t/a,   </w:t>
      </w:r>
      <w:r>
        <w:rPr>
          <w:rFonts w:ascii="SimSun" w:hAnsi="SimSun" w:eastAsia="SimSun" w:cs="SimSun"/>
          <w:sz w:val="22"/>
          <w:szCs w:val="22"/>
          <w:spacing w:val="15"/>
        </w:rPr>
        <w:t>严</w:t>
      </w:r>
      <w:r>
        <w:rPr>
          <w:rFonts w:ascii="SimSun" w:hAnsi="SimSun" w:eastAsia="SimSun" w:cs="SimSun"/>
          <w:sz w:val="22"/>
          <w:szCs w:val="22"/>
          <w:spacing w:val="14"/>
        </w:rPr>
        <w:t xml:space="preserve"> </w:t>
      </w:r>
      <w:r>
        <w:rPr>
          <w:rFonts w:ascii="SimSun" w:hAnsi="SimSun" w:eastAsia="SimSun" w:cs="SimSun"/>
          <w:sz w:val="22"/>
          <w:szCs w:val="22"/>
          <w:spacing w:val="23"/>
        </w:rPr>
        <w:t>禁食用、销售和随意丢弃。参照《固体废物分类与代码目录》(公告2024年第</w:t>
      </w:r>
      <w:r>
        <w:rPr>
          <w:rFonts w:ascii="SimSun" w:hAnsi="SimSun" w:eastAsia="SimSun" w:cs="SimSun"/>
          <w:sz w:val="22"/>
          <w:szCs w:val="22"/>
          <w:spacing w:val="15"/>
        </w:rPr>
        <w:t xml:space="preserve"> </w:t>
      </w:r>
      <w:r>
        <w:rPr>
          <w:rFonts w:ascii="SimSun" w:hAnsi="SimSun" w:eastAsia="SimSun" w:cs="SimSun"/>
          <w:sz w:val="22"/>
          <w:szCs w:val="22"/>
          <w:spacing w:val="21"/>
        </w:rPr>
        <w:t>4号),疫病牛、病牛四分体、病内脏属于</w:t>
      </w:r>
      <w:r>
        <w:rPr>
          <w:rFonts w:ascii="SimSun" w:hAnsi="SimSun" w:eastAsia="SimSun" w:cs="SimSun"/>
          <w:sz w:val="22"/>
          <w:szCs w:val="22"/>
          <w:spacing w:val="-63"/>
        </w:rPr>
        <w:t xml:space="preserve"> </w:t>
      </w:r>
      <w:r>
        <w:rPr>
          <w:rFonts w:ascii="Times New Roman" w:hAnsi="Times New Roman" w:eastAsia="Times New Roman" w:cs="Times New Roman"/>
          <w:sz w:val="22"/>
          <w:szCs w:val="22"/>
          <w:spacing w:val="21"/>
        </w:rPr>
        <w:t>“</w:t>
      </w:r>
      <w:r>
        <w:rPr>
          <w:rFonts w:ascii="Times New Roman" w:hAnsi="Times New Roman" w:eastAsia="Times New Roman" w:cs="Times New Roman"/>
          <w:sz w:val="22"/>
          <w:szCs w:val="22"/>
        </w:rPr>
        <w:t>SW</w:t>
      </w:r>
      <w:r>
        <w:rPr>
          <w:rFonts w:ascii="Times New Roman" w:hAnsi="Times New Roman" w:eastAsia="Times New Roman" w:cs="Times New Roman"/>
          <w:sz w:val="22"/>
          <w:szCs w:val="22"/>
          <w:spacing w:val="21"/>
        </w:rPr>
        <w:t>82</w:t>
      </w:r>
      <w:r>
        <w:rPr>
          <w:rFonts w:ascii="Times New Roman" w:hAnsi="Times New Roman" w:eastAsia="Times New Roman" w:cs="Times New Roman"/>
          <w:sz w:val="22"/>
          <w:szCs w:val="22"/>
          <w:spacing w:val="5"/>
        </w:rPr>
        <w:t xml:space="preserve">  </w:t>
      </w:r>
      <w:r>
        <w:rPr>
          <w:rFonts w:ascii="SimSun" w:hAnsi="SimSun" w:eastAsia="SimSun" w:cs="SimSun"/>
          <w:sz w:val="22"/>
          <w:szCs w:val="22"/>
          <w:spacing w:val="21"/>
        </w:rPr>
        <w:t>畜牧业废物畜</w:t>
      </w:r>
      <w:r>
        <w:rPr>
          <w:rFonts w:ascii="SimSun" w:hAnsi="SimSun" w:eastAsia="SimSun" w:cs="SimSun"/>
          <w:sz w:val="22"/>
          <w:szCs w:val="22"/>
          <w:spacing w:val="20"/>
        </w:rPr>
        <w:t>牧业030-002-</w:t>
      </w:r>
    </w:p>
    <w:p>
      <w:pPr>
        <w:spacing w:before="3" w:line="219" w:lineRule="auto"/>
        <w:rPr>
          <w:rFonts w:ascii="SimSun" w:hAnsi="SimSun" w:eastAsia="SimSun" w:cs="SimSun"/>
          <w:sz w:val="22"/>
          <w:szCs w:val="22"/>
        </w:rPr>
      </w:pPr>
      <w:r>
        <w:rPr>
          <w:rFonts w:ascii="SimSun" w:hAnsi="SimSun" w:eastAsia="SimSun" w:cs="SimSun"/>
          <w:sz w:val="22"/>
          <w:szCs w:val="22"/>
          <w:spacing w:val="8"/>
        </w:rPr>
        <w:t>S82</w:t>
      </w:r>
      <w:r>
        <w:rPr>
          <w:rFonts w:ascii="SimSun" w:hAnsi="SimSun" w:eastAsia="SimSun" w:cs="SimSun"/>
          <w:sz w:val="22"/>
          <w:szCs w:val="22"/>
          <w:spacing w:val="-53"/>
        </w:rPr>
        <w:t xml:space="preserve"> </w:t>
      </w:r>
      <w:r>
        <w:rPr>
          <w:rFonts w:ascii="SimSun" w:hAnsi="SimSun" w:eastAsia="SimSun" w:cs="SimSun"/>
          <w:sz w:val="22"/>
          <w:szCs w:val="22"/>
          <w:spacing w:val="8"/>
        </w:rPr>
        <w:t>病死畜禽”。</w:t>
      </w:r>
    </w:p>
    <w:p>
      <w:pPr>
        <w:ind w:right="44" w:firstLine="480"/>
        <w:spacing w:before="248" w:line="363" w:lineRule="auto"/>
        <w:rPr>
          <w:rFonts w:ascii="SimSun" w:hAnsi="SimSun" w:eastAsia="SimSun" w:cs="SimSun"/>
          <w:sz w:val="22"/>
          <w:szCs w:val="22"/>
        </w:rPr>
      </w:pPr>
      <w:r>
        <w:rPr>
          <w:rFonts w:ascii="SimSun" w:hAnsi="SimSun" w:eastAsia="SimSun" w:cs="SimSun"/>
          <w:sz w:val="22"/>
          <w:szCs w:val="22"/>
          <w:spacing w:val="25"/>
        </w:rPr>
        <w:t>根据《中华人民共和国动物防疫法》第二十一</w:t>
      </w:r>
      <w:r>
        <w:rPr>
          <w:rFonts w:ascii="SimSun" w:hAnsi="SimSun" w:eastAsia="SimSun" w:cs="SimSun"/>
          <w:sz w:val="22"/>
          <w:szCs w:val="22"/>
          <w:spacing w:val="24"/>
        </w:rPr>
        <w:t>条：动物、动物产品的运载</w:t>
      </w:r>
      <w:r>
        <w:rPr>
          <w:rFonts w:ascii="SimSun" w:hAnsi="SimSun" w:eastAsia="SimSun" w:cs="SimSun"/>
          <w:sz w:val="22"/>
          <w:szCs w:val="22"/>
        </w:rPr>
        <w:t xml:space="preserve"> </w:t>
      </w:r>
      <w:r>
        <w:rPr>
          <w:rFonts w:ascii="SimSun" w:hAnsi="SimSun" w:eastAsia="SimSun" w:cs="SimSun"/>
          <w:sz w:val="22"/>
          <w:szCs w:val="22"/>
          <w:spacing w:val="24"/>
        </w:rPr>
        <w:t>工具、垫料、包装物、容器等应当符合国务院兽医主管部门规定</w:t>
      </w:r>
      <w:r>
        <w:rPr>
          <w:rFonts w:ascii="SimSun" w:hAnsi="SimSun" w:eastAsia="SimSun" w:cs="SimSun"/>
          <w:sz w:val="22"/>
          <w:szCs w:val="22"/>
          <w:spacing w:val="23"/>
        </w:rPr>
        <w:t>的动物防疫要</w:t>
      </w:r>
    </w:p>
    <w:p>
      <w:pPr>
        <w:spacing w:line="363" w:lineRule="auto"/>
        <w:sectPr>
          <w:headerReference w:type="default" r:id="rId347"/>
          <w:footerReference w:type="default" r:id="rId348"/>
          <w:pgSz w:w="11910" w:h="16840"/>
          <w:pgMar w:top="1216" w:right="1786" w:bottom="953" w:left="1769" w:header="877" w:footer="755" w:gutter="0"/>
        </w:sectPr>
        <w:rPr>
          <w:rFonts w:ascii="SimSun" w:hAnsi="SimSun" w:eastAsia="SimSun" w:cs="SimSun"/>
          <w:sz w:val="22"/>
          <w:szCs w:val="22"/>
        </w:rPr>
      </w:pPr>
    </w:p>
    <w:p>
      <w:pPr>
        <w:ind w:right="60"/>
        <w:spacing w:before="279" w:line="370" w:lineRule="auto"/>
        <w:jc w:val="both"/>
        <w:rPr>
          <w:rFonts w:ascii="SimSun" w:hAnsi="SimSun" w:eastAsia="SimSun" w:cs="SimSun"/>
          <w:sz w:val="23"/>
          <w:szCs w:val="23"/>
        </w:rPr>
      </w:pPr>
      <w:r>
        <w:rPr>
          <w:rFonts w:ascii="SimSun" w:hAnsi="SimSun" w:eastAsia="SimSun" w:cs="SimSun"/>
          <w:sz w:val="23"/>
          <w:szCs w:val="23"/>
          <w:spacing w:val="13"/>
        </w:rPr>
        <w:t>求。染疫动物及其排泄物、染疫动物产品，病死或者死因不明的动物尸体，运</w:t>
      </w:r>
      <w:r>
        <w:rPr>
          <w:rFonts w:ascii="SimSun" w:hAnsi="SimSun" w:eastAsia="SimSun" w:cs="SimSun"/>
          <w:sz w:val="23"/>
          <w:szCs w:val="23"/>
          <w:spacing w:val="16"/>
        </w:rPr>
        <w:t xml:space="preserve"> </w:t>
      </w:r>
      <w:r>
        <w:rPr>
          <w:rFonts w:ascii="SimSun" w:hAnsi="SimSun" w:eastAsia="SimSun" w:cs="SimSun"/>
          <w:sz w:val="23"/>
          <w:szCs w:val="23"/>
          <w:spacing w:val="13"/>
        </w:rPr>
        <w:t>载工具中的动物排泄物以及垫料、包装物、容器等污染物，应当按照国务院兽</w:t>
      </w:r>
      <w:r>
        <w:rPr>
          <w:rFonts w:ascii="SimSun" w:hAnsi="SimSun" w:eastAsia="SimSun" w:cs="SimSun"/>
          <w:sz w:val="23"/>
          <w:szCs w:val="23"/>
          <w:spacing w:val="17"/>
        </w:rPr>
        <w:t xml:space="preserve"> </w:t>
      </w:r>
      <w:r>
        <w:rPr>
          <w:rFonts w:ascii="SimSun" w:hAnsi="SimSun" w:eastAsia="SimSun" w:cs="SimSun"/>
          <w:sz w:val="23"/>
          <w:szCs w:val="23"/>
          <w:spacing w:val="14"/>
        </w:rPr>
        <w:t>医主管部门的规定处理，不得随意处置的规</w:t>
      </w:r>
      <w:r>
        <w:rPr>
          <w:rFonts w:ascii="SimSun" w:hAnsi="SimSun" w:eastAsia="SimSun" w:cs="SimSun"/>
          <w:sz w:val="23"/>
          <w:szCs w:val="23"/>
          <w:spacing w:val="13"/>
        </w:rPr>
        <w:t>定，病死牛依照国务院兽医主管部</w:t>
      </w:r>
      <w:r>
        <w:rPr>
          <w:rFonts w:ascii="SimSun" w:hAnsi="SimSun" w:eastAsia="SimSun" w:cs="SimSun"/>
          <w:sz w:val="23"/>
          <w:szCs w:val="23"/>
        </w:rPr>
        <w:t xml:space="preserve"> </w:t>
      </w:r>
      <w:r>
        <w:rPr>
          <w:rFonts w:ascii="SimSun" w:hAnsi="SimSun" w:eastAsia="SimSun" w:cs="SimSun"/>
          <w:sz w:val="23"/>
          <w:szCs w:val="23"/>
          <w:spacing w:val="7"/>
        </w:rPr>
        <w:t>门及农业农村部的规定处理。</w:t>
      </w:r>
    </w:p>
    <w:p>
      <w:pPr>
        <w:ind w:right="203" w:firstLine="470"/>
        <w:spacing w:before="26" w:line="377" w:lineRule="auto"/>
        <w:jc w:val="both"/>
        <w:rPr>
          <w:rFonts w:ascii="SimSun" w:hAnsi="SimSun" w:eastAsia="SimSun" w:cs="SimSun"/>
          <w:sz w:val="23"/>
          <w:szCs w:val="23"/>
        </w:rPr>
      </w:pPr>
      <w:r>
        <w:rPr>
          <w:rFonts w:ascii="SimSun" w:hAnsi="SimSun" w:eastAsia="SimSun" w:cs="SimSun"/>
          <w:sz w:val="23"/>
          <w:szCs w:val="23"/>
          <w:spacing w:val="10"/>
        </w:rPr>
        <w:t>本项目屠宰车间内设置独立的病体暂存间，屠宰</w:t>
      </w:r>
      <w:r>
        <w:rPr>
          <w:rFonts w:ascii="SimSun" w:hAnsi="SimSun" w:eastAsia="SimSun" w:cs="SimSun"/>
          <w:sz w:val="23"/>
          <w:szCs w:val="23"/>
          <w:spacing w:val="9"/>
        </w:rPr>
        <w:t>过程中发现的病牛四分体</w:t>
      </w:r>
      <w:r>
        <w:rPr>
          <w:rFonts w:ascii="SimSun" w:hAnsi="SimSun" w:eastAsia="SimSun" w:cs="SimSun"/>
          <w:sz w:val="23"/>
          <w:szCs w:val="23"/>
        </w:rPr>
        <w:t xml:space="preserve"> </w:t>
      </w:r>
      <w:r>
        <w:rPr>
          <w:rFonts w:ascii="SimSun" w:hAnsi="SimSun" w:eastAsia="SimSun" w:cs="SimSun"/>
          <w:sz w:val="23"/>
          <w:szCs w:val="23"/>
          <w:spacing w:val="9"/>
        </w:rPr>
        <w:t>及不可食用肉暂存于病体暂存间内，定期交绵阳市病死畜禽无害化处理中心进</w:t>
      </w:r>
      <w:r>
        <w:rPr>
          <w:rFonts w:ascii="SimSun" w:hAnsi="SimSun" w:eastAsia="SimSun" w:cs="SimSun"/>
          <w:sz w:val="23"/>
          <w:szCs w:val="23"/>
          <w:spacing w:val="11"/>
        </w:rPr>
        <w:t xml:space="preserve"> </w:t>
      </w:r>
      <w:r>
        <w:rPr>
          <w:rFonts w:ascii="SimSun" w:hAnsi="SimSun" w:eastAsia="SimSun" w:cs="SimSun"/>
          <w:sz w:val="23"/>
          <w:szCs w:val="23"/>
          <w:spacing w:val="6"/>
        </w:rPr>
        <w:t>行无害化处置。</w:t>
      </w:r>
    </w:p>
    <w:p>
      <w:pPr>
        <w:ind w:left="470"/>
        <w:spacing w:line="218" w:lineRule="auto"/>
        <w:rPr>
          <w:rFonts w:ascii="SimSun" w:hAnsi="SimSun" w:eastAsia="SimSun" w:cs="SimSun"/>
          <w:sz w:val="23"/>
          <w:szCs w:val="23"/>
        </w:rPr>
      </w:pPr>
      <w:r>
        <w:rPr>
          <w:rFonts w:ascii="SimSun" w:hAnsi="SimSun" w:eastAsia="SimSun" w:cs="SimSun"/>
          <w:sz w:val="23"/>
          <w:szCs w:val="23"/>
        </w:rPr>
        <w:t>c.胃肠容物</w:t>
      </w:r>
    </w:p>
    <w:p>
      <w:pPr>
        <w:ind w:right="191" w:firstLine="470"/>
        <w:spacing w:before="188" w:line="369" w:lineRule="auto"/>
        <w:rPr>
          <w:rFonts w:ascii="SimSun" w:hAnsi="SimSun" w:eastAsia="SimSun" w:cs="SimSun"/>
          <w:sz w:val="23"/>
          <w:szCs w:val="23"/>
        </w:rPr>
      </w:pPr>
      <w:r>
        <w:rPr>
          <w:rFonts w:ascii="SimSun" w:hAnsi="SimSun" w:eastAsia="SimSun" w:cs="SimSun"/>
          <w:sz w:val="23"/>
          <w:szCs w:val="23"/>
          <w:spacing w:val="10"/>
        </w:rPr>
        <w:t>在内脏清理过程中，在肠、胃残留未消化的饲料，</w:t>
      </w:r>
      <w:r>
        <w:rPr>
          <w:rFonts w:ascii="SimSun" w:hAnsi="SimSun" w:eastAsia="SimSun" w:cs="SimSun"/>
          <w:sz w:val="23"/>
          <w:szCs w:val="23"/>
          <w:spacing w:val="9"/>
        </w:rPr>
        <w:t>粪便及肠胃内容物主要</w:t>
      </w:r>
      <w:r>
        <w:rPr>
          <w:rFonts w:ascii="SimSun" w:hAnsi="SimSun" w:eastAsia="SimSun" w:cs="SimSun"/>
          <w:sz w:val="23"/>
          <w:szCs w:val="23"/>
        </w:rPr>
        <w:t xml:space="preserve"> </w:t>
      </w:r>
      <w:r>
        <w:rPr>
          <w:rFonts w:ascii="SimSun" w:hAnsi="SimSun" w:eastAsia="SimSun" w:cs="SimSun"/>
          <w:sz w:val="23"/>
          <w:szCs w:val="23"/>
          <w:spacing w:val="9"/>
        </w:rPr>
        <w:t>成分为纤维素等有机物，含有大量植物所需的营养成分，适宜作为植物种植底</w:t>
      </w:r>
      <w:r>
        <w:rPr>
          <w:rFonts w:ascii="SimSun" w:hAnsi="SimSun" w:eastAsia="SimSun" w:cs="SimSun"/>
          <w:sz w:val="23"/>
          <w:szCs w:val="23"/>
          <w:spacing w:val="16"/>
        </w:rPr>
        <w:t xml:space="preserve"> </w:t>
      </w:r>
      <w:r>
        <w:rPr>
          <w:rFonts w:ascii="SimSun" w:hAnsi="SimSun" w:eastAsia="SimSun" w:cs="SimSun"/>
          <w:sz w:val="23"/>
          <w:szCs w:val="23"/>
          <w:spacing w:val="10"/>
        </w:rPr>
        <w:t>肥。胃肠内容物经桶装密封收集后，由人工运至位于待宰</w:t>
      </w:r>
      <w:r>
        <w:rPr>
          <w:rFonts w:ascii="SimSun" w:hAnsi="SimSun" w:eastAsia="SimSun" w:cs="SimSun"/>
          <w:sz w:val="23"/>
          <w:szCs w:val="23"/>
          <w:spacing w:val="9"/>
        </w:rPr>
        <w:t>间南侧的固废暂存间</w:t>
      </w:r>
      <w:r>
        <w:rPr>
          <w:rFonts w:ascii="SimSun" w:hAnsi="SimSun" w:eastAsia="SimSun" w:cs="SimSun"/>
          <w:sz w:val="23"/>
          <w:szCs w:val="23"/>
        </w:rPr>
        <w:t xml:space="preserve"> </w:t>
      </w:r>
      <w:r>
        <w:rPr>
          <w:rFonts w:ascii="SimSun" w:hAnsi="SimSun" w:eastAsia="SimSun" w:cs="SimSun"/>
          <w:sz w:val="23"/>
          <w:szCs w:val="23"/>
          <w:spacing w:val="10"/>
        </w:rPr>
        <w:t>内进行收集暂存，胃肠内容物收集后交由有机肥生产单位用作有机肥</w:t>
      </w:r>
      <w:r>
        <w:rPr>
          <w:rFonts w:ascii="SimSun" w:hAnsi="SimSun" w:eastAsia="SimSun" w:cs="SimSun"/>
          <w:sz w:val="23"/>
          <w:szCs w:val="23"/>
          <w:spacing w:val="9"/>
        </w:rPr>
        <w:t>生产原</w:t>
      </w:r>
    </w:p>
    <w:p>
      <w:pPr>
        <w:ind w:right="201"/>
        <w:spacing w:before="3" w:line="371" w:lineRule="auto"/>
        <w:rPr>
          <w:rFonts w:ascii="SimSun" w:hAnsi="SimSun" w:eastAsia="SimSun" w:cs="SimSun"/>
          <w:sz w:val="23"/>
          <w:szCs w:val="23"/>
        </w:rPr>
      </w:pPr>
      <w:r>
        <w:rPr>
          <w:rFonts w:ascii="SimSun" w:hAnsi="SimSun" w:eastAsia="SimSun" w:cs="SimSun"/>
          <w:sz w:val="23"/>
          <w:szCs w:val="23"/>
          <w:spacing w:val="9"/>
        </w:rPr>
        <w:t>料。为防止胃肠内容物在项目区内发酵产生恶臭及孳生蚊蝇，胃肠内容物应做</w:t>
      </w:r>
      <w:r>
        <w:rPr>
          <w:rFonts w:ascii="SimSun" w:hAnsi="SimSun" w:eastAsia="SimSun" w:cs="SimSun"/>
          <w:sz w:val="23"/>
          <w:szCs w:val="23"/>
          <w:spacing w:val="14"/>
        </w:rPr>
        <w:t xml:space="preserve"> </w:t>
      </w:r>
      <w:r>
        <w:rPr>
          <w:rFonts w:ascii="SimSun" w:hAnsi="SimSun" w:eastAsia="SimSun" w:cs="SimSun"/>
          <w:sz w:val="23"/>
          <w:szCs w:val="23"/>
          <w:spacing w:val="7"/>
        </w:rPr>
        <w:t>到日产日清。</w:t>
      </w:r>
    </w:p>
    <w:p>
      <w:pPr>
        <w:ind w:right="59" w:firstLine="470"/>
        <w:spacing w:before="42" w:line="373" w:lineRule="auto"/>
        <w:rPr>
          <w:rFonts w:ascii="SimSun" w:hAnsi="SimSun" w:eastAsia="SimSun" w:cs="SimSun"/>
          <w:sz w:val="23"/>
          <w:szCs w:val="23"/>
        </w:rPr>
      </w:pPr>
      <w:r>
        <w:rPr>
          <w:rFonts w:ascii="SimSun" w:hAnsi="SimSun" w:eastAsia="SimSun" w:cs="SimSun"/>
          <w:sz w:val="23"/>
          <w:szCs w:val="23"/>
          <w:spacing w:val="10"/>
        </w:rPr>
        <w:t>由于在屠宰前，肉牛在待宰圈长时间排空粪便，胃肠</w:t>
      </w:r>
      <w:r>
        <w:rPr>
          <w:rFonts w:ascii="SimSun" w:hAnsi="SimSun" w:eastAsia="SimSun" w:cs="SimSun"/>
          <w:sz w:val="23"/>
          <w:szCs w:val="23"/>
          <w:spacing w:val="9"/>
        </w:rPr>
        <w:t>容物剩余量较少，按</w:t>
      </w:r>
      <w:r>
        <w:rPr>
          <w:rFonts w:ascii="SimSun" w:hAnsi="SimSun" w:eastAsia="SimSun" w:cs="SimSun"/>
          <w:sz w:val="23"/>
          <w:szCs w:val="23"/>
        </w:rPr>
        <w:t xml:space="preserve">  </w:t>
      </w:r>
      <w:r>
        <w:rPr>
          <w:rFonts w:ascii="SimSun" w:hAnsi="SimSun" w:eastAsia="SimSun" w:cs="SimSun"/>
          <w:sz w:val="23"/>
          <w:szCs w:val="23"/>
          <w:spacing w:val="10"/>
        </w:rPr>
        <w:t>照每头肉牛肠胃容物为20</w:t>
      </w:r>
      <w:r>
        <w:rPr>
          <w:rFonts w:ascii="SimSun" w:hAnsi="SimSun" w:eastAsia="SimSun" w:cs="SimSun"/>
          <w:sz w:val="23"/>
          <w:szCs w:val="23"/>
        </w:rPr>
        <w:t>kg</w:t>
      </w:r>
      <w:r>
        <w:rPr>
          <w:rFonts w:ascii="SimSun" w:hAnsi="SimSun" w:eastAsia="SimSun" w:cs="SimSun"/>
          <w:sz w:val="23"/>
          <w:szCs w:val="23"/>
          <w:spacing w:val="10"/>
        </w:rPr>
        <w:t>进行核算，项目肉牛屠宰规模为4万头，则未</w:t>
      </w:r>
      <w:r>
        <w:rPr>
          <w:rFonts w:ascii="SimSun" w:hAnsi="SimSun" w:eastAsia="SimSun" w:cs="SimSun"/>
          <w:sz w:val="23"/>
          <w:szCs w:val="23"/>
          <w:spacing w:val="9"/>
        </w:rPr>
        <w:t>消化饲</w:t>
      </w:r>
      <w:r>
        <w:rPr>
          <w:rFonts w:ascii="SimSun" w:hAnsi="SimSun" w:eastAsia="SimSun" w:cs="SimSun"/>
          <w:sz w:val="23"/>
          <w:szCs w:val="23"/>
        </w:rPr>
        <w:t xml:space="preserve"> </w:t>
      </w:r>
      <w:r>
        <w:rPr>
          <w:rFonts w:ascii="SimSun" w:hAnsi="SimSun" w:eastAsia="SimSun" w:cs="SimSun"/>
          <w:sz w:val="23"/>
          <w:szCs w:val="23"/>
          <w:spacing w:val="14"/>
        </w:rPr>
        <w:t>料产生量为800t/a。根据《固体废物分</w:t>
      </w:r>
      <w:r>
        <w:rPr>
          <w:rFonts w:ascii="SimSun" w:hAnsi="SimSun" w:eastAsia="SimSun" w:cs="SimSun"/>
          <w:sz w:val="23"/>
          <w:szCs w:val="23"/>
          <w:spacing w:val="13"/>
        </w:rPr>
        <w:t>类与代码目录》(公告2024年第4号),</w:t>
      </w:r>
      <w:r>
        <w:rPr>
          <w:rFonts w:ascii="SimSun" w:hAnsi="SimSun" w:eastAsia="SimSun" w:cs="SimSun"/>
          <w:sz w:val="23"/>
          <w:szCs w:val="23"/>
        </w:rPr>
        <w:t xml:space="preserve">  </w:t>
      </w:r>
      <w:r>
        <w:rPr>
          <w:rFonts w:ascii="SimSun" w:hAnsi="SimSun" w:eastAsia="SimSun" w:cs="SimSun"/>
          <w:sz w:val="23"/>
          <w:szCs w:val="23"/>
          <w:spacing w:val="4"/>
        </w:rPr>
        <w:t>胃肠容物属于</w:t>
      </w:r>
      <w:r>
        <w:rPr>
          <w:rFonts w:ascii="SimSun" w:hAnsi="SimSun" w:eastAsia="SimSun" w:cs="SimSun"/>
          <w:sz w:val="23"/>
          <w:szCs w:val="23"/>
          <w:spacing w:val="-52"/>
        </w:rPr>
        <w:t xml:space="preserve"> </w:t>
      </w:r>
      <w:r>
        <w:rPr>
          <w:rFonts w:ascii="Times New Roman" w:hAnsi="Times New Roman" w:eastAsia="Times New Roman" w:cs="Times New Roman"/>
          <w:sz w:val="23"/>
          <w:szCs w:val="23"/>
          <w:spacing w:val="4"/>
        </w:rPr>
        <w:t>“</w:t>
      </w:r>
      <w:r>
        <w:rPr>
          <w:rFonts w:ascii="Times New Roman" w:hAnsi="Times New Roman" w:eastAsia="Times New Roman" w:cs="Times New Roman"/>
          <w:sz w:val="23"/>
          <w:szCs w:val="23"/>
        </w:rPr>
        <w:t>SW</w:t>
      </w:r>
      <w:r>
        <w:rPr>
          <w:rFonts w:ascii="Times New Roman" w:hAnsi="Times New Roman" w:eastAsia="Times New Roman" w:cs="Times New Roman"/>
          <w:sz w:val="23"/>
          <w:szCs w:val="23"/>
          <w:spacing w:val="4"/>
        </w:rPr>
        <w:t>13</w:t>
      </w:r>
      <w:r>
        <w:rPr>
          <w:rFonts w:ascii="Times New Roman" w:hAnsi="Times New Roman" w:eastAsia="Times New Roman" w:cs="Times New Roman"/>
          <w:sz w:val="23"/>
          <w:szCs w:val="23"/>
          <w:spacing w:val="43"/>
          <w:w w:val="101"/>
        </w:rPr>
        <w:t xml:space="preserve"> </w:t>
      </w:r>
      <w:r>
        <w:rPr>
          <w:rFonts w:ascii="SimSun" w:hAnsi="SimSun" w:eastAsia="SimSun" w:cs="SimSun"/>
          <w:sz w:val="23"/>
          <w:szCs w:val="23"/>
          <w:spacing w:val="4"/>
        </w:rPr>
        <w:t>食品残渣屠宰及肉类加工135-001-</w:t>
      </w:r>
      <w:r>
        <w:rPr>
          <w:rFonts w:ascii="Times New Roman" w:hAnsi="Times New Roman" w:eastAsia="Times New Roman" w:cs="Times New Roman"/>
          <w:sz w:val="23"/>
          <w:szCs w:val="23"/>
          <w:spacing w:val="4"/>
        </w:rPr>
        <w:t>S13 </w:t>
      </w:r>
      <w:r>
        <w:rPr>
          <w:rFonts w:ascii="SimSun" w:hAnsi="SimSun" w:eastAsia="SimSun" w:cs="SimSun"/>
          <w:sz w:val="23"/>
          <w:szCs w:val="23"/>
          <w:spacing w:val="4"/>
        </w:rPr>
        <w:t>屠宰废物”。采用</w:t>
      </w:r>
      <w:r>
        <w:rPr>
          <w:rFonts w:ascii="SimSun" w:hAnsi="SimSun" w:eastAsia="SimSun" w:cs="SimSun"/>
          <w:sz w:val="23"/>
          <w:szCs w:val="23"/>
        </w:rPr>
        <w:t xml:space="preserve">  </w:t>
      </w:r>
      <w:r>
        <w:rPr>
          <w:rFonts w:ascii="SimSun" w:hAnsi="SimSun" w:eastAsia="SimSun" w:cs="SimSun"/>
          <w:sz w:val="23"/>
          <w:szCs w:val="23"/>
          <w:spacing w:val="10"/>
        </w:rPr>
        <w:t>专用密闭容器收集后，与待宰间产生的粪便一同存放</w:t>
      </w:r>
      <w:r>
        <w:rPr>
          <w:rFonts w:ascii="SimSun" w:hAnsi="SimSun" w:eastAsia="SimSun" w:cs="SimSun"/>
          <w:sz w:val="23"/>
          <w:szCs w:val="23"/>
          <w:spacing w:val="9"/>
        </w:rPr>
        <w:t>于固废暂存间，使用密闭</w:t>
      </w:r>
      <w:r>
        <w:rPr>
          <w:rFonts w:ascii="SimSun" w:hAnsi="SimSun" w:eastAsia="SimSun" w:cs="SimSun"/>
          <w:sz w:val="23"/>
          <w:szCs w:val="23"/>
        </w:rPr>
        <w:t xml:space="preserve">  </w:t>
      </w:r>
      <w:r>
        <w:rPr>
          <w:rFonts w:ascii="SimSun" w:hAnsi="SimSun" w:eastAsia="SimSun" w:cs="SimSun"/>
          <w:sz w:val="23"/>
          <w:szCs w:val="23"/>
          <w:spacing w:val="9"/>
        </w:rPr>
        <w:t>运输车运输，作为有机肥原料外售，不在厂区长期堆存。</w:t>
      </w:r>
    </w:p>
    <w:p>
      <w:pPr>
        <w:ind w:left="3" w:right="147" w:firstLine="470"/>
        <w:spacing w:before="1" w:line="363" w:lineRule="auto"/>
        <w:rPr>
          <w:rFonts w:ascii="SimSun" w:hAnsi="SimSun" w:eastAsia="SimSun" w:cs="SimSun"/>
          <w:sz w:val="23"/>
          <w:szCs w:val="23"/>
        </w:rPr>
      </w:pPr>
      <w:r>
        <w:rPr>
          <w:rFonts w:ascii="SimSun" w:hAnsi="SimSun" w:eastAsia="SimSun" w:cs="SimSun"/>
          <w:sz w:val="23"/>
          <w:szCs w:val="23"/>
          <w:b/>
          <w:bCs/>
          <w:spacing w:val="9"/>
        </w:rPr>
        <w:t>环评要求：项目投运前屠宰残余物需与相关单位签订处置协议后</w:t>
      </w:r>
      <w:r>
        <w:rPr>
          <w:rFonts w:ascii="SimSun" w:hAnsi="SimSun" w:eastAsia="SimSun" w:cs="SimSun"/>
          <w:sz w:val="23"/>
          <w:szCs w:val="23"/>
          <w:b/>
          <w:bCs/>
          <w:spacing w:val="8"/>
        </w:rPr>
        <w:t>，方可投</w:t>
      </w:r>
      <w:r>
        <w:rPr>
          <w:rFonts w:ascii="SimSun" w:hAnsi="SimSun" w:eastAsia="SimSun" w:cs="SimSun"/>
          <w:sz w:val="23"/>
          <w:szCs w:val="23"/>
        </w:rPr>
        <w:t xml:space="preserve"> </w:t>
      </w:r>
      <w:r>
        <w:rPr>
          <w:rFonts w:ascii="SimSun" w:hAnsi="SimSun" w:eastAsia="SimSun" w:cs="SimSun"/>
          <w:sz w:val="23"/>
          <w:szCs w:val="23"/>
          <w:b/>
          <w:bCs/>
          <w:spacing w:val="-1"/>
        </w:rPr>
        <w:t>入生产。</w:t>
      </w:r>
    </w:p>
    <w:p>
      <w:pPr>
        <w:ind w:left="470"/>
        <w:spacing w:before="36" w:line="218" w:lineRule="auto"/>
        <w:rPr>
          <w:rFonts w:ascii="SimSun" w:hAnsi="SimSun" w:eastAsia="SimSun" w:cs="SimSun"/>
          <w:sz w:val="23"/>
          <w:szCs w:val="23"/>
        </w:rPr>
      </w:pPr>
      <w:r>
        <w:rPr>
          <w:rFonts w:ascii="SimSun" w:hAnsi="SimSun" w:eastAsia="SimSun" w:cs="SimSun"/>
          <w:sz w:val="23"/>
          <w:szCs w:val="23"/>
          <w:spacing w:val="14"/>
        </w:rPr>
        <w:t>d.屠宰废料(牛蹄壳、碎肉、淋巴组织、不可食内脏等)</w:t>
      </w:r>
    </w:p>
    <w:p>
      <w:pPr>
        <w:ind w:right="118" w:firstLine="470"/>
        <w:spacing w:before="191" w:line="361" w:lineRule="auto"/>
        <w:rPr>
          <w:rFonts w:ascii="SimSun" w:hAnsi="SimSun" w:eastAsia="SimSun" w:cs="SimSun"/>
          <w:sz w:val="23"/>
          <w:szCs w:val="23"/>
        </w:rPr>
      </w:pPr>
      <w:r>
        <w:rPr>
          <w:rFonts w:ascii="SimSun" w:hAnsi="SimSun" w:eastAsia="SimSun" w:cs="SimSun"/>
          <w:sz w:val="23"/>
          <w:szCs w:val="23"/>
          <w:spacing w:val="9"/>
        </w:rPr>
        <w:t>屠宰废料按总屠宰重量的1.8%计，本项目年屠宰4万头肉牛，每头肉牛约</w:t>
      </w:r>
      <w:r>
        <w:rPr>
          <w:rFonts w:ascii="SimSun" w:hAnsi="SimSun" w:eastAsia="SimSun" w:cs="SimSun"/>
          <w:sz w:val="23"/>
          <w:szCs w:val="23"/>
          <w:spacing w:val="4"/>
        </w:rPr>
        <w:t xml:space="preserve">  </w:t>
      </w:r>
      <w:r>
        <w:rPr>
          <w:rFonts w:ascii="Times New Roman" w:hAnsi="Times New Roman" w:eastAsia="Times New Roman" w:cs="Times New Roman"/>
          <w:sz w:val="23"/>
          <w:szCs w:val="23"/>
          <w:spacing w:val="11"/>
        </w:rPr>
        <w:t>500</w:t>
      </w:r>
      <w:r>
        <w:rPr>
          <w:rFonts w:ascii="Times New Roman" w:hAnsi="Times New Roman" w:eastAsia="Times New Roman" w:cs="Times New Roman"/>
          <w:sz w:val="23"/>
          <w:szCs w:val="23"/>
        </w:rPr>
        <w:t>kg</w:t>
      </w:r>
      <w:r>
        <w:rPr>
          <w:rFonts w:ascii="Times New Roman" w:hAnsi="Times New Roman" w:eastAsia="Times New Roman" w:cs="Times New Roman"/>
          <w:sz w:val="23"/>
          <w:szCs w:val="23"/>
          <w:spacing w:val="11"/>
        </w:rPr>
        <w:t>,   </w:t>
      </w:r>
      <w:r>
        <w:rPr>
          <w:rFonts w:ascii="SimSun" w:hAnsi="SimSun" w:eastAsia="SimSun" w:cs="SimSun"/>
          <w:sz w:val="23"/>
          <w:szCs w:val="23"/>
          <w:spacing w:val="11"/>
        </w:rPr>
        <w:t>屠宰废料约360</w:t>
      </w:r>
      <w:r>
        <w:rPr>
          <w:rFonts w:ascii="Times New Roman" w:hAnsi="Times New Roman" w:eastAsia="Times New Roman" w:cs="Times New Roman"/>
          <w:sz w:val="23"/>
          <w:szCs w:val="23"/>
          <w:spacing w:val="11"/>
        </w:rPr>
        <w:t>t/a</w:t>
      </w:r>
      <w:r>
        <w:rPr>
          <w:rFonts w:ascii="Times New Roman" w:hAnsi="Times New Roman" w:eastAsia="Times New Roman" w:cs="Times New Roman"/>
          <w:sz w:val="23"/>
          <w:szCs w:val="23"/>
          <w:spacing w:val="-12"/>
        </w:rPr>
        <w:t xml:space="preserve"> </w:t>
      </w:r>
      <w:r>
        <w:rPr>
          <w:rFonts w:ascii="SimSun" w:hAnsi="SimSun" w:eastAsia="SimSun" w:cs="SimSun"/>
          <w:sz w:val="23"/>
          <w:szCs w:val="23"/>
          <w:spacing w:val="11"/>
        </w:rPr>
        <w:t>。根据《固体废物分类与代码目录》(公告2024年第</w:t>
      </w:r>
      <w:r>
        <w:rPr>
          <w:rFonts w:ascii="SimSun" w:hAnsi="SimSun" w:eastAsia="SimSun" w:cs="SimSun"/>
          <w:sz w:val="23"/>
          <w:szCs w:val="23"/>
        </w:rPr>
        <w:t xml:space="preserve"> </w:t>
      </w:r>
      <w:r>
        <w:rPr>
          <w:rFonts w:ascii="SimSun" w:hAnsi="SimSun" w:eastAsia="SimSun" w:cs="SimSun"/>
          <w:sz w:val="23"/>
          <w:szCs w:val="23"/>
          <w:spacing w:val="8"/>
        </w:rPr>
        <w:t>4号),屠宰废料属于</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SW</w:t>
      </w:r>
      <w:r>
        <w:rPr>
          <w:rFonts w:ascii="Times New Roman" w:hAnsi="Times New Roman" w:eastAsia="Times New Roman" w:cs="Times New Roman"/>
          <w:sz w:val="23"/>
          <w:szCs w:val="23"/>
          <w:spacing w:val="8"/>
        </w:rPr>
        <w:t>13 </w:t>
      </w:r>
      <w:r>
        <w:rPr>
          <w:rFonts w:ascii="SimSun" w:hAnsi="SimSun" w:eastAsia="SimSun" w:cs="SimSun"/>
          <w:sz w:val="23"/>
          <w:szCs w:val="23"/>
          <w:spacing w:val="8"/>
        </w:rPr>
        <w:t>食品残渣屠宰及肉类加工135-001-</w:t>
      </w:r>
      <w:r>
        <w:rPr>
          <w:rFonts w:ascii="Times New Roman" w:hAnsi="Times New Roman" w:eastAsia="Times New Roman" w:cs="Times New Roman"/>
          <w:sz w:val="23"/>
          <w:szCs w:val="23"/>
          <w:spacing w:val="8"/>
        </w:rPr>
        <w:t>S13</w:t>
      </w:r>
      <w:r>
        <w:rPr>
          <w:rFonts w:ascii="SimSun" w:hAnsi="SimSun" w:eastAsia="SimSun" w:cs="SimSun"/>
          <w:sz w:val="23"/>
          <w:szCs w:val="23"/>
          <w:spacing w:val="8"/>
        </w:rPr>
        <w:t>屠宰废物</w:t>
      </w:r>
      <w:r>
        <w:rPr>
          <w:rFonts w:ascii="SimSun" w:hAnsi="SimSun" w:eastAsia="SimSun" w:cs="SimSun"/>
          <w:sz w:val="23"/>
          <w:szCs w:val="23"/>
          <w:spacing w:val="7"/>
        </w:rPr>
        <w:t>”。</w:t>
      </w:r>
      <w:r>
        <w:rPr>
          <w:rFonts w:ascii="SimSun" w:hAnsi="SimSun" w:eastAsia="SimSun" w:cs="SimSun"/>
          <w:sz w:val="23"/>
          <w:szCs w:val="23"/>
        </w:rPr>
        <w:t xml:space="preserve"> </w:t>
      </w:r>
      <w:r>
        <w:rPr>
          <w:rFonts w:ascii="SimSun" w:hAnsi="SimSun" w:eastAsia="SimSun" w:cs="SimSun"/>
          <w:sz w:val="23"/>
          <w:szCs w:val="23"/>
          <w:spacing w:val="17"/>
        </w:rPr>
        <w:t>统一密闭收集后暂存于固废暂存间，外售综合利用(炼明胶或油脂)或进行无</w:t>
      </w:r>
      <w:r>
        <w:rPr>
          <w:rFonts w:ascii="SimSun" w:hAnsi="SimSun" w:eastAsia="SimSun" w:cs="SimSun"/>
          <w:sz w:val="23"/>
          <w:szCs w:val="23"/>
          <w:spacing w:val="1"/>
        </w:rPr>
        <w:t xml:space="preserve"> </w:t>
      </w:r>
      <w:r>
        <w:rPr>
          <w:rFonts w:ascii="SimSun" w:hAnsi="SimSun" w:eastAsia="SimSun" w:cs="SimSun"/>
          <w:sz w:val="23"/>
          <w:szCs w:val="23"/>
          <w:spacing w:val="3"/>
        </w:rPr>
        <w:t>害化处理。</w:t>
      </w:r>
    </w:p>
    <w:p>
      <w:pPr>
        <w:ind w:left="613"/>
        <w:spacing w:before="68" w:line="219" w:lineRule="auto"/>
        <w:rPr>
          <w:rFonts w:ascii="SimSun" w:hAnsi="SimSun" w:eastAsia="SimSun" w:cs="SimSun"/>
          <w:sz w:val="23"/>
          <w:szCs w:val="23"/>
        </w:rPr>
      </w:pPr>
      <w:r>
        <w:rPr>
          <w:rFonts w:ascii="SimSun" w:hAnsi="SimSun" w:eastAsia="SimSun" w:cs="SimSun"/>
          <w:sz w:val="23"/>
          <w:szCs w:val="23"/>
          <w:b/>
          <w:bCs/>
          <w:spacing w:val="15"/>
        </w:rPr>
        <w:t>(3)污水处理站产生的栅渣和污泥</w:t>
      </w:r>
    </w:p>
    <w:p>
      <w:pPr>
        <w:ind w:left="470"/>
        <w:spacing w:before="189" w:line="219" w:lineRule="auto"/>
        <w:rPr>
          <w:rFonts w:ascii="SimSun" w:hAnsi="SimSun" w:eastAsia="SimSun" w:cs="SimSun"/>
          <w:sz w:val="23"/>
          <w:szCs w:val="23"/>
        </w:rPr>
      </w:pPr>
      <w:r>
        <w:rPr>
          <w:rFonts w:ascii="SimSun" w:hAnsi="SimSun" w:eastAsia="SimSun" w:cs="SimSun"/>
          <w:sz w:val="23"/>
          <w:szCs w:val="23"/>
          <w:spacing w:val="9"/>
        </w:rPr>
        <w:t>项目屠宰车间局部处理和污水处理站格栅会产生一定量的栅渣，污水处理</w:t>
      </w:r>
    </w:p>
    <w:p>
      <w:pPr>
        <w:spacing w:line="219" w:lineRule="auto"/>
        <w:sectPr>
          <w:headerReference w:type="default" r:id="rId13"/>
          <w:footerReference w:type="default" r:id="rId349"/>
          <w:pgSz w:w="11910" w:h="16840"/>
          <w:pgMar w:top="1219" w:right="1786" w:bottom="960" w:left="1779" w:header="865" w:footer="753" w:gutter="0"/>
        </w:sectPr>
        <w:rPr>
          <w:rFonts w:ascii="SimSun" w:hAnsi="SimSun" w:eastAsia="SimSun" w:cs="SimSun"/>
          <w:sz w:val="23"/>
          <w:szCs w:val="23"/>
        </w:rPr>
      </w:pPr>
    </w:p>
    <w:p>
      <w:pPr>
        <w:ind w:right="193"/>
        <w:spacing w:before="278" w:line="373" w:lineRule="auto"/>
        <w:jc w:val="both"/>
        <w:rPr>
          <w:rFonts w:ascii="SimSun" w:hAnsi="SimSun" w:eastAsia="SimSun" w:cs="SimSun"/>
          <w:sz w:val="23"/>
          <w:szCs w:val="23"/>
        </w:rPr>
      </w:pPr>
      <w:r>
        <w:rPr>
          <w:rFonts w:ascii="SimSun" w:hAnsi="SimSun" w:eastAsia="SimSun" w:cs="SimSun"/>
          <w:sz w:val="23"/>
          <w:szCs w:val="23"/>
          <w:spacing w:val="10"/>
        </w:rPr>
        <w:t>在运行过程中会产生污泥，根据同行业污水设施类</w:t>
      </w:r>
      <w:r>
        <w:rPr>
          <w:rFonts w:ascii="SimSun" w:hAnsi="SimSun" w:eastAsia="SimSun" w:cs="SimSun"/>
          <w:sz w:val="23"/>
          <w:szCs w:val="23"/>
          <w:spacing w:val="9"/>
        </w:rPr>
        <w:t>比，项目格栅渣和污泥产量</w:t>
      </w:r>
      <w:r>
        <w:rPr>
          <w:rFonts w:ascii="SimSun" w:hAnsi="SimSun" w:eastAsia="SimSun" w:cs="SimSun"/>
          <w:sz w:val="23"/>
          <w:szCs w:val="23"/>
        </w:rPr>
        <w:t xml:space="preserve"> </w:t>
      </w:r>
      <w:r>
        <w:rPr>
          <w:rFonts w:ascii="SimSun" w:hAnsi="SimSun" w:eastAsia="SimSun" w:cs="SimSun"/>
          <w:sz w:val="23"/>
          <w:szCs w:val="23"/>
          <w:spacing w:val="9"/>
        </w:rPr>
        <w:t>约为80t/a,外售有资质单位制作有机肥。本项目进入污水站废水</w:t>
      </w:r>
      <w:r>
        <w:rPr>
          <w:rFonts w:ascii="SimSun" w:hAnsi="SimSun" w:eastAsia="SimSun" w:cs="SimSun"/>
          <w:sz w:val="23"/>
          <w:szCs w:val="23"/>
          <w:spacing w:val="8"/>
        </w:rPr>
        <w:t>主要为生猪运</w:t>
      </w:r>
      <w:r>
        <w:rPr>
          <w:rFonts w:ascii="SimSun" w:hAnsi="SimSun" w:eastAsia="SimSun" w:cs="SimSun"/>
          <w:sz w:val="23"/>
          <w:szCs w:val="23"/>
        </w:rPr>
        <w:t xml:space="preserve"> </w:t>
      </w:r>
      <w:r>
        <w:rPr>
          <w:rFonts w:ascii="SimSun" w:hAnsi="SimSun" w:eastAsia="SimSun" w:cs="SimSun"/>
          <w:sz w:val="23"/>
          <w:szCs w:val="23"/>
          <w:spacing w:val="10"/>
        </w:rPr>
        <w:t>输车辆清洗废水、设备冲洗废水、地面冲洗水、屠宰</w:t>
      </w:r>
      <w:r>
        <w:rPr>
          <w:rFonts w:ascii="SimSun" w:hAnsi="SimSun" w:eastAsia="SimSun" w:cs="SimSun"/>
          <w:sz w:val="23"/>
          <w:szCs w:val="23"/>
          <w:spacing w:val="9"/>
        </w:rPr>
        <w:t>废水、初期雨水等，废水</w:t>
      </w:r>
      <w:r>
        <w:rPr>
          <w:rFonts w:ascii="SimSun" w:hAnsi="SimSun" w:eastAsia="SimSun" w:cs="SimSun"/>
          <w:sz w:val="23"/>
          <w:szCs w:val="23"/>
        </w:rPr>
        <w:t xml:space="preserve"> </w:t>
      </w:r>
      <w:r>
        <w:rPr>
          <w:rFonts w:ascii="SimSun" w:hAnsi="SimSun" w:eastAsia="SimSun" w:cs="SimSun"/>
          <w:sz w:val="23"/>
          <w:szCs w:val="23"/>
          <w:spacing w:val="10"/>
        </w:rPr>
        <w:t>中不含有重金属等污染因子，废水处理过程中产生</w:t>
      </w:r>
      <w:r>
        <w:rPr>
          <w:rFonts w:ascii="SimSun" w:hAnsi="SimSun" w:eastAsia="SimSun" w:cs="SimSun"/>
          <w:sz w:val="23"/>
          <w:szCs w:val="23"/>
          <w:spacing w:val="9"/>
        </w:rPr>
        <w:t>的污泥不属于危险废物。根</w:t>
      </w:r>
      <w:r>
        <w:rPr>
          <w:rFonts w:ascii="SimSun" w:hAnsi="SimSun" w:eastAsia="SimSun" w:cs="SimSun"/>
          <w:sz w:val="23"/>
          <w:szCs w:val="23"/>
        </w:rPr>
        <w:t xml:space="preserve"> </w:t>
      </w:r>
      <w:r>
        <w:rPr>
          <w:rFonts w:ascii="SimSun" w:hAnsi="SimSun" w:eastAsia="SimSun" w:cs="SimSun"/>
          <w:sz w:val="23"/>
          <w:szCs w:val="23"/>
          <w:spacing w:val="20"/>
        </w:rPr>
        <w:t>据《固体废物分类与代码目录》(公告2024年第</w:t>
      </w:r>
      <w:r>
        <w:rPr>
          <w:rFonts w:ascii="SimSun" w:hAnsi="SimSun" w:eastAsia="SimSun" w:cs="SimSun"/>
          <w:sz w:val="23"/>
          <w:szCs w:val="23"/>
          <w:spacing w:val="19"/>
        </w:rPr>
        <w:t>4号),污水处理站产生的栅</w:t>
      </w:r>
      <w:r>
        <w:rPr>
          <w:rFonts w:ascii="SimSun" w:hAnsi="SimSun" w:eastAsia="SimSun" w:cs="SimSun"/>
          <w:sz w:val="23"/>
          <w:szCs w:val="23"/>
        </w:rPr>
        <w:t xml:space="preserve"> </w:t>
      </w:r>
      <w:r>
        <w:rPr>
          <w:rFonts w:ascii="SimSun" w:hAnsi="SimSun" w:eastAsia="SimSun" w:cs="SimSun"/>
          <w:sz w:val="23"/>
          <w:szCs w:val="23"/>
          <w:spacing w:val="-1"/>
        </w:rPr>
        <w:t>渣和污泥属于</w:t>
      </w:r>
      <w:r>
        <w:rPr>
          <w:rFonts w:ascii="Times New Roman" w:hAnsi="Times New Roman" w:eastAsia="Times New Roman" w:cs="Times New Roman"/>
          <w:sz w:val="23"/>
          <w:szCs w:val="23"/>
          <w:spacing w:val="-1"/>
        </w:rPr>
        <w:t>“SW07 </w:t>
      </w:r>
      <w:r>
        <w:rPr>
          <w:rFonts w:ascii="SimSun" w:hAnsi="SimSun" w:eastAsia="SimSun" w:cs="SimSun"/>
          <w:sz w:val="23"/>
          <w:szCs w:val="23"/>
          <w:spacing w:val="-1"/>
        </w:rPr>
        <w:t>污泥屠宰及肉类加工135-001-</w:t>
      </w:r>
      <w:r>
        <w:rPr>
          <w:rFonts w:ascii="Times New Roman" w:hAnsi="Times New Roman" w:eastAsia="Times New Roman" w:cs="Times New Roman"/>
          <w:sz w:val="23"/>
          <w:szCs w:val="23"/>
          <w:spacing w:val="-1"/>
        </w:rPr>
        <w:t>S07 </w:t>
      </w:r>
      <w:r>
        <w:rPr>
          <w:rFonts w:ascii="SimSun" w:hAnsi="SimSun" w:eastAsia="SimSun" w:cs="SimSun"/>
          <w:sz w:val="23"/>
          <w:szCs w:val="23"/>
          <w:spacing w:val="-1"/>
        </w:rPr>
        <w:t>屠宰污泥”。</w:t>
      </w:r>
    </w:p>
    <w:p>
      <w:pPr>
        <w:ind w:left="473"/>
        <w:spacing w:line="219" w:lineRule="auto"/>
        <w:rPr>
          <w:rFonts w:ascii="SimSun" w:hAnsi="SimSun" w:eastAsia="SimSun" w:cs="SimSun"/>
          <w:sz w:val="23"/>
          <w:szCs w:val="23"/>
        </w:rPr>
      </w:pPr>
      <w:r>
        <w:rPr>
          <w:rFonts w:ascii="SimSun" w:hAnsi="SimSun" w:eastAsia="SimSun" w:cs="SimSun"/>
          <w:sz w:val="23"/>
          <w:szCs w:val="23"/>
          <w:b/>
          <w:bCs/>
          <w:spacing w:val="8"/>
        </w:rPr>
        <w:t>环评要求：该类废物产生后需及时签订处置协议，交相关单位进行处置。</w:t>
      </w:r>
    </w:p>
    <w:p>
      <w:pPr>
        <w:ind w:left="603"/>
        <w:spacing w:before="187" w:line="219" w:lineRule="auto"/>
        <w:rPr>
          <w:rFonts w:ascii="SimSun" w:hAnsi="SimSun" w:eastAsia="SimSun" w:cs="SimSun"/>
          <w:sz w:val="23"/>
          <w:szCs w:val="23"/>
        </w:rPr>
      </w:pPr>
      <w:r>
        <w:rPr>
          <w:rFonts w:ascii="SimSun" w:hAnsi="SimSun" w:eastAsia="SimSun" w:cs="SimSun"/>
          <w:sz w:val="23"/>
          <w:szCs w:val="23"/>
          <w:b/>
          <w:bCs/>
          <w:spacing w:val="19"/>
        </w:rPr>
        <w:t>(4)生猪含毛蜡</w:t>
      </w:r>
    </w:p>
    <w:p>
      <w:pPr>
        <w:ind w:right="174" w:firstLine="470"/>
        <w:spacing w:before="218" w:line="371" w:lineRule="auto"/>
        <w:jc w:val="both"/>
        <w:rPr>
          <w:rFonts w:ascii="SimSun" w:hAnsi="SimSun" w:eastAsia="SimSun" w:cs="SimSun"/>
          <w:sz w:val="23"/>
          <w:szCs w:val="23"/>
        </w:rPr>
      </w:pPr>
      <w:r>
        <w:rPr>
          <w:rFonts w:ascii="SimSun" w:hAnsi="SimSun" w:eastAsia="SimSun" w:cs="SimSun"/>
          <w:sz w:val="23"/>
          <w:szCs w:val="23"/>
          <w:spacing w:val="10"/>
        </w:rPr>
        <w:t>主要产生在生猪屠宰中的打蜡脱毛工序，产生的含毛蜡在蜡池中</w:t>
      </w:r>
      <w:r>
        <w:rPr>
          <w:rFonts w:ascii="SimSun" w:hAnsi="SimSun" w:eastAsia="SimSun" w:cs="SimSun"/>
          <w:sz w:val="23"/>
          <w:szCs w:val="23"/>
          <w:spacing w:val="9"/>
        </w:rPr>
        <w:t>融化，用</w:t>
      </w:r>
      <w:r>
        <w:rPr>
          <w:rFonts w:ascii="SimSun" w:hAnsi="SimSun" w:eastAsia="SimSun" w:cs="SimSun"/>
          <w:sz w:val="23"/>
          <w:szCs w:val="23"/>
        </w:rPr>
        <w:t xml:space="preserve"> </w:t>
      </w:r>
      <w:r>
        <w:rPr>
          <w:rFonts w:ascii="SimSun" w:hAnsi="SimSun" w:eastAsia="SimSun" w:cs="SimSun"/>
          <w:sz w:val="23"/>
          <w:szCs w:val="23"/>
          <w:spacing w:val="10"/>
        </w:rPr>
        <w:t>过的蜡脱落在浸蜡线蜡池，经加热后液体蜡融化，脱</w:t>
      </w:r>
      <w:r>
        <w:rPr>
          <w:rFonts w:ascii="SimSun" w:hAnsi="SimSun" w:eastAsia="SimSun" w:cs="SimSun"/>
          <w:sz w:val="23"/>
          <w:szCs w:val="23"/>
          <w:spacing w:val="9"/>
        </w:rPr>
        <w:t>落的小毛漂浮在液体蜡池</w:t>
      </w:r>
      <w:r>
        <w:rPr>
          <w:rFonts w:ascii="SimSun" w:hAnsi="SimSun" w:eastAsia="SimSun" w:cs="SimSun"/>
          <w:sz w:val="23"/>
          <w:szCs w:val="23"/>
        </w:rPr>
        <w:t xml:space="preserve"> </w:t>
      </w:r>
      <w:r>
        <w:rPr>
          <w:rFonts w:ascii="SimSun" w:hAnsi="SimSun" w:eastAsia="SimSun" w:cs="SimSun"/>
          <w:sz w:val="23"/>
          <w:szCs w:val="23"/>
          <w:spacing w:val="9"/>
        </w:rPr>
        <w:t>表面，小毛人工打捞后晾干水分存放暂存间，少量含毛蜡暂存于脱毛处理间专</w:t>
      </w:r>
      <w:r>
        <w:rPr>
          <w:rFonts w:ascii="SimSun" w:hAnsi="SimSun" w:eastAsia="SimSun" w:cs="SimSun"/>
          <w:sz w:val="23"/>
          <w:szCs w:val="23"/>
          <w:spacing w:val="5"/>
        </w:rPr>
        <w:t xml:space="preserve"> </w:t>
      </w:r>
      <w:r>
        <w:rPr>
          <w:rFonts w:ascii="SimSun" w:hAnsi="SimSun" w:eastAsia="SimSun" w:cs="SimSun"/>
          <w:sz w:val="23"/>
          <w:szCs w:val="23"/>
          <w:spacing w:val="10"/>
        </w:rPr>
        <w:t>用容器中，定期交回收公司处理。根据建设单位提供资料，生猪含毛蜡产生量</w:t>
      </w:r>
      <w:r>
        <w:rPr>
          <w:rFonts w:ascii="SimSun" w:hAnsi="SimSun" w:eastAsia="SimSun" w:cs="SimSun"/>
          <w:sz w:val="23"/>
          <w:szCs w:val="23"/>
          <w:spacing w:val="7"/>
        </w:rPr>
        <w:t xml:space="preserve"> </w:t>
      </w:r>
      <w:r>
        <w:rPr>
          <w:rFonts w:ascii="SimSun" w:hAnsi="SimSun" w:eastAsia="SimSun" w:cs="SimSun"/>
          <w:sz w:val="23"/>
          <w:szCs w:val="23"/>
          <w:spacing w:val="1"/>
        </w:rPr>
        <w:t>约为2</w:t>
      </w:r>
      <w:r>
        <w:rPr>
          <w:rFonts w:ascii="Times New Roman" w:hAnsi="Times New Roman" w:eastAsia="Times New Roman" w:cs="Times New Roman"/>
          <w:sz w:val="23"/>
          <w:szCs w:val="23"/>
          <w:spacing w:val="1"/>
        </w:rPr>
        <w:t>t/a</w:t>
      </w:r>
      <w:r>
        <w:rPr>
          <w:rFonts w:ascii="SimSun" w:hAnsi="SimSun" w:eastAsia="SimSun" w:cs="SimSun"/>
          <w:sz w:val="23"/>
          <w:szCs w:val="23"/>
          <w:spacing w:val="1"/>
        </w:rPr>
        <w:t>。</w:t>
      </w:r>
    </w:p>
    <w:p>
      <w:pPr>
        <w:ind w:left="470"/>
        <w:spacing w:before="17" w:line="216" w:lineRule="auto"/>
        <w:rPr>
          <w:rFonts w:ascii="SimSun" w:hAnsi="SimSun" w:eastAsia="SimSun" w:cs="SimSun"/>
          <w:sz w:val="23"/>
          <w:szCs w:val="23"/>
        </w:rPr>
      </w:pPr>
      <w:r>
        <w:rPr>
          <w:rFonts w:ascii="SimSun" w:hAnsi="SimSun" w:eastAsia="SimSun" w:cs="SimSun"/>
          <w:sz w:val="23"/>
          <w:szCs w:val="23"/>
          <w:spacing w:val="21"/>
        </w:rPr>
        <w:t>根据《固体废物分类与代码目录》(公告2024年第4号),</w:t>
      </w:r>
      <w:r>
        <w:rPr>
          <w:rFonts w:ascii="SimSun" w:hAnsi="SimSun" w:eastAsia="SimSun" w:cs="SimSun"/>
          <w:sz w:val="23"/>
          <w:szCs w:val="23"/>
          <w:spacing w:val="20"/>
        </w:rPr>
        <w:t>生猪含毛蜡属</w:t>
      </w:r>
    </w:p>
    <w:p>
      <w:pPr>
        <w:spacing w:before="234" w:line="219" w:lineRule="auto"/>
        <w:rPr>
          <w:rFonts w:ascii="SimSun" w:hAnsi="SimSun" w:eastAsia="SimSun" w:cs="SimSun"/>
          <w:sz w:val="23"/>
          <w:szCs w:val="23"/>
        </w:rPr>
      </w:pPr>
      <w:r>
        <w:rPr>
          <w:rFonts w:ascii="SimSun" w:hAnsi="SimSun" w:eastAsia="SimSun" w:cs="SimSun"/>
          <w:sz w:val="23"/>
          <w:szCs w:val="23"/>
          <w:spacing w:val="3"/>
        </w:rPr>
        <w:t>于“</w:t>
      </w:r>
      <w:r>
        <w:rPr>
          <w:rFonts w:ascii="SimSun" w:hAnsi="SimSun" w:eastAsia="SimSun" w:cs="SimSun"/>
          <w:sz w:val="23"/>
          <w:szCs w:val="23"/>
        </w:rPr>
        <w:t>SW</w:t>
      </w:r>
      <w:r>
        <w:rPr>
          <w:rFonts w:ascii="SimSun" w:hAnsi="SimSun" w:eastAsia="SimSun" w:cs="SimSun"/>
          <w:sz w:val="23"/>
          <w:szCs w:val="23"/>
          <w:spacing w:val="3"/>
        </w:rPr>
        <w:t>13</w:t>
      </w:r>
      <w:r>
        <w:rPr>
          <w:rFonts w:ascii="SimSun" w:hAnsi="SimSun" w:eastAsia="SimSun" w:cs="SimSun"/>
          <w:sz w:val="23"/>
          <w:szCs w:val="23"/>
          <w:spacing w:val="53"/>
        </w:rPr>
        <w:t xml:space="preserve"> </w:t>
      </w:r>
      <w:r>
        <w:rPr>
          <w:rFonts w:ascii="SimSun" w:hAnsi="SimSun" w:eastAsia="SimSun" w:cs="SimSun"/>
          <w:sz w:val="23"/>
          <w:szCs w:val="23"/>
          <w:spacing w:val="3"/>
        </w:rPr>
        <w:t>食品残渣屠宰及肉类加工135-001</w:t>
      </w:r>
      <w:r>
        <w:rPr>
          <w:rFonts w:ascii="SimSun" w:hAnsi="SimSun" w:eastAsia="SimSun" w:cs="SimSun"/>
          <w:sz w:val="23"/>
          <w:szCs w:val="23"/>
          <w:spacing w:val="2"/>
        </w:rPr>
        <w:t>-S13</w:t>
      </w:r>
      <w:r>
        <w:rPr>
          <w:rFonts w:ascii="SimSun" w:hAnsi="SimSun" w:eastAsia="SimSun" w:cs="SimSun"/>
          <w:sz w:val="23"/>
          <w:szCs w:val="23"/>
          <w:spacing w:val="-60"/>
        </w:rPr>
        <w:t xml:space="preserve"> </w:t>
      </w:r>
      <w:r>
        <w:rPr>
          <w:rFonts w:ascii="SimSun" w:hAnsi="SimSun" w:eastAsia="SimSun" w:cs="SimSun"/>
          <w:sz w:val="23"/>
          <w:szCs w:val="23"/>
          <w:spacing w:val="2"/>
        </w:rPr>
        <w:t>屠宰废物”。</w:t>
      </w:r>
    </w:p>
    <w:p>
      <w:pPr>
        <w:ind w:left="603"/>
        <w:spacing w:before="134" w:line="219" w:lineRule="auto"/>
        <w:rPr>
          <w:rFonts w:ascii="SimSun" w:hAnsi="SimSun" w:eastAsia="SimSun" w:cs="SimSun"/>
          <w:sz w:val="23"/>
          <w:szCs w:val="23"/>
        </w:rPr>
      </w:pPr>
      <w:r>
        <w:rPr>
          <w:rFonts w:ascii="SimSun" w:hAnsi="SimSun" w:eastAsia="SimSun" w:cs="SimSun"/>
          <w:sz w:val="23"/>
          <w:szCs w:val="23"/>
          <w:b/>
          <w:bCs/>
          <w:spacing w:val="18"/>
        </w:rPr>
        <w:t>(5)废离子交换树脂</w:t>
      </w:r>
    </w:p>
    <w:p>
      <w:pPr>
        <w:ind w:right="120" w:firstLine="470"/>
        <w:spacing w:before="218" w:line="369" w:lineRule="auto"/>
        <w:jc w:val="both"/>
        <w:rPr>
          <w:rFonts w:ascii="SimSun" w:hAnsi="SimSun" w:eastAsia="SimSun" w:cs="SimSun"/>
          <w:sz w:val="23"/>
          <w:szCs w:val="23"/>
        </w:rPr>
      </w:pPr>
      <w:r>
        <w:rPr>
          <w:rFonts w:ascii="SimSun" w:hAnsi="SimSun" w:eastAsia="SimSun" w:cs="SimSun"/>
          <w:sz w:val="23"/>
          <w:szCs w:val="23"/>
          <w:spacing w:val="8"/>
        </w:rPr>
        <w:t>一般锅炉纯水制备使用的离子交换树脂正常使用寿命为3-5年。本项目制备</w:t>
      </w:r>
      <w:r>
        <w:rPr>
          <w:rFonts w:ascii="SimSun" w:hAnsi="SimSun" w:eastAsia="SimSun" w:cs="SimSun"/>
          <w:sz w:val="23"/>
          <w:szCs w:val="23"/>
          <w:spacing w:val="2"/>
        </w:rPr>
        <w:t xml:space="preserve"> </w:t>
      </w:r>
      <w:r>
        <w:rPr>
          <w:rFonts w:ascii="SimSun" w:hAnsi="SimSun" w:eastAsia="SimSun" w:cs="SimSun"/>
          <w:sz w:val="23"/>
          <w:szCs w:val="23"/>
          <w:spacing w:val="5"/>
        </w:rPr>
        <w:t>装置废离子交换树脂产生量约为0.12</w:t>
      </w:r>
      <w:r>
        <w:rPr>
          <w:rFonts w:ascii="Times New Roman" w:hAnsi="Times New Roman" w:eastAsia="Times New Roman" w:cs="Times New Roman"/>
          <w:sz w:val="23"/>
          <w:szCs w:val="23"/>
          <w:spacing w:val="5"/>
        </w:rPr>
        <w:t>t</w:t>
      </w:r>
      <w:r>
        <w:rPr>
          <w:rFonts w:ascii="Times New Roman" w:hAnsi="Times New Roman" w:eastAsia="Times New Roman" w:cs="Times New Roman"/>
          <w:sz w:val="23"/>
          <w:szCs w:val="23"/>
          <w:spacing w:val="4"/>
        </w:rPr>
        <w:t>/3a(0.04t/a)</w:t>
      </w:r>
      <w:r>
        <w:rPr>
          <w:rFonts w:ascii="Times New Roman" w:hAnsi="Times New Roman" w:eastAsia="Times New Roman" w:cs="Times New Roman"/>
          <w:sz w:val="23"/>
          <w:szCs w:val="23"/>
          <w:spacing w:val="-26"/>
        </w:rPr>
        <w:t xml:space="preserve"> </w:t>
      </w:r>
      <w:r>
        <w:rPr>
          <w:rFonts w:ascii="SimSun" w:hAnsi="SimSun" w:eastAsia="SimSun" w:cs="SimSun"/>
          <w:sz w:val="23"/>
          <w:szCs w:val="23"/>
          <w:spacing w:val="4"/>
        </w:rPr>
        <w:t>。   根据《固体废物分类与代</w:t>
      </w:r>
      <w:r>
        <w:rPr>
          <w:rFonts w:ascii="SimSun" w:hAnsi="SimSun" w:eastAsia="SimSun" w:cs="SimSun"/>
          <w:sz w:val="23"/>
          <w:szCs w:val="23"/>
        </w:rPr>
        <w:t xml:space="preserve"> </w:t>
      </w:r>
      <w:r>
        <w:rPr>
          <w:rFonts w:ascii="SimSun" w:hAnsi="SimSun" w:eastAsia="SimSun" w:cs="SimSun"/>
          <w:sz w:val="23"/>
          <w:szCs w:val="23"/>
          <w:spacing w:val="20"/>
        </w:rPr>
        <w:t>码目录》(公告2024年第4号),废离子交换树脂属于</w:t>
      </w:r>
      <w:r>
        <w:rPr>
          <w:rFonts w:ascii="SimSun" w:hAnsi="SimSun" w:eastAsia="SimSun" w:cs="SimSun"/>
          <w:sz w:val="23"/>
          <w:szCs w:val="23"/>
          <w:spacing w:val="-59"/>
        </w:rPr>
        <w:t xml:space="preserve"> </w:t>
      </w:r>
      <w:r>
        <w:rPr>
          <w:rFonts w:ascii="Times New Roman" w:hAnsi="Times New Roman" w:eastAsia="Times New Roman" w:cs="Times New Roman"/>
          <w:sz w:val="23"/>
          <w:szCs w:val="23"/>
          <w:spacing w:val="20"/>
        </w:rPr>
        <w:t>“</w:t>
      </w:r>
      <w:r>
        <w:rPr>
          <w:rFonts w:ascii="Times New Roman" w:hAnsi="Times New Roman" w:eastAsia="Times New Roman" w:cs="Times New Roman"/>
          <w:sz w:val="23"/>
          <w:szCs w:val="23"/>
        </w:rPr>
        <w:t>SW</w:t>
      </w:r>
      <w:r>
        <w:rPr>
          <w:rFonts w:ascii="Times New Roman" w:hAnsi="Times New Roman" w:eastAsia="Times New Roman" w:cs="Times New Roman"/>
          <w:sz w:val="23"/>
          <w:szCs w:val="23"/>
          <w:spacing w:val="20"/>
        </w:rPr>
        <w:t>59</w:t>
      </w:r>
      <w:r>
        <w:rPr>
          <w:rFonts w:ascii="Times New Roman" w:hAnsi="Times New Roman" w:eastAsia="Times New Roman" w:cs="Times New Roman"/>
          <w:sz w:val="23"/>
          <w:szCs w:val="23"/>
          <w:spacing w:val="44"/>
        </w:rPr>
        <w:t xml:space="preserve"> </w:t>
      </w:r>
      <w:r>
        <w:rPr>
          <w:rFonts w:ascii="SimSun" w:hAnsi="SimSun" w:eastAsia="SimSun" w:cs="SimSun"/>
          <w:sz w:val="23"/>
          <w:szCs w:val="23"/>
          <w:spacing w:val="20"/>
        </w:rPr>
        <w:t>其他工</w:t>
      </w:r>
      <w:r>
        <w:rPr>
          <w:rFonts w:ascii="SimSun" w:hAnsi="SimSun" w:eastAsia="SimSun" w:cs="SimSun"/>
          <w:sz w:val="23"/>
          <w:szCs w:val="23"/>
          <w:spacing w:val="19"/>
        </w:rPr>
        <w:t>业固体废</w:t>
      </w:r>
      <w:r>
        <w:rPr>
          <w:rFonts w:ascii="SimSun" w:hAnsi="SimSun" w:eastAsia="SimSun" w:cs="SimSun"/>
          <w:sz w:val="23"/>
          <w:szCs w:val="23"/>
        </w:rPr>
        <w:t xml:space="preserve"> </w:t>
      </w:r>
      <w:r>
        <w:rPr>
          <w:rFonts w:ascii="SimSun" w:hAnsi="SimSun" w:eastAsia="SimSun" w:cs="SimSun"/>
          <w:sz w:val="23"/>
          <w:szCs w:val="23"/>
          <w:spacing w:val="6"/>
        </w:rPr>
        <w:t>物非特定行业900-009-S59</w:t>
      </w:r>
      <w:r>
        <w:rPr>
          <w:rFonts w:ascii="SimSun" w:hAnsi="SimSun" w:eastAsia="SimSun" w:cs="SimSun"/>
          <w:sz w:val="23"/>
          <w:szCs w:val="23"/>
          <w:spacing w:val="-60"/>
        </w:rPr>
        <w:t xml:space="preserve"> </w:t>
      </w:r>
      <w:r>
        <w:rPr>
          <w:rFonts w:ascii="SimSun" w:hAnsi="SimSun" w:eastAsia="SimSun" w:cs="SimSun"/>
          <w:sz w:val="23"/>
          <w:szCs w:val="23"/>
          <w:spacing w:val="6"/>
        </w:rPr>
        <w:t>废过滤材料”。收集后暂存于固废</w:t>
      </w:r>
      <w:r>
        <w:rPr>
          <w:rFonts w:ascii="SimSun" w:hAnsi="SimSun" w:eastAsia="SimSun" w:cs="SimSun"/>
          <w:sz w:val="23"/>
          <w:szCs w:val="23"/>
          <w:spacing w:val="5"/>
        </w:rPr>
        <w:t>暂存间，交由厂家</w:t>
      </w:r>
      <w:r>
        <w:rPr>
          <w:rFonts w:ascii="SimSun" w:hAnsi="SimSun" w:eastAsia="SimSun" w:cs="SimSun"/>
          <w:sz w:val="23"/>
          <w:szCs w:val="23"/>
        </w:rPr>
        <w:t xml:space="preserve"> </w:t>
      </w:r>
      <w:r>
        <w:rPr>
          <w:rFonts w:ascii="SimSun" w:hAnsi="SimSun" w:eastAsia="SimSun" w:cs="SimSun"/>
          <w:sz w:val="23"/>
          <w:szCs w:val="23"/>
          <w:spacing w:val="5"/>
        </w:rPr>
        <w:t>定期回收处置。</w:t>
      </w:r>
    </w:p>
    <w:p>
      <w:pPr>
        <w:ind w:left="603"/>
        <w:spacing w:before="20" w:line="219" w:lineRule="auto"/>
        <w:rPr>
          <w:rFonts w:ascii="SimSun" w:hAnsi="SimSun" w:eastAsia="SimSun" w:cs="SimSun"/>
          <w:sz w:val="23"/>
          <w:szCs w:val="23"/>
        </w:rPr>
      </w:pPr>
      <w:r>
        <w:rPr>
          <w:rFonts w:ascii="SimSun" w:hAnsi="SimSun" w:eastAsia="SimSun" w:cs="SimSun"/>
          <w:sz w:val="23"/>
          <w:szCs w:val="23"/>
          <w:b/>
          <w:bCs/>
          <w:spacing w:val="25"/>
        </w:rPr>
        <w:t>(6)餐厨垃圾(含隔油池浮油)</w:t>
      </w:r>
    </w:p>
    <w:p>
      <w:pPr>
        <w:ind w:right="193" w:firstLine="470"/>
        <w:spacing w:before="211" w:line="369" w:lineRule="auto"/>
        <w:rPr>
          <w:rFonts w:ascii="SimSun" w:hAnsi="SimSun" w:eastAsia="SimSun" w:cs="SimSun"/>
          <w:sz w:val="23"/>
          <w:szCs w:val="23"/>
        </w:rPr>
      </w:pPr>
      <w:r>
        <w:rPr>
          <w:rFonts w:ascii="SimSun" w:hAnsi="SimSun" w:eastAsia="SimSun" w:cs="SimSun"/>
          <w:sz w:val="23"/>
          <w:szCs w:val="23"/>
          <w:spacing w:val="10"/>
        </w:rPr>
        <w:t>项目食堂员工用餐会产生餐厨垃圾，餐饮废水通过设置隔油池处理后</w:t>
      </w:r>
      <w:r>
        <w:rPr>
          <w:rFonts w:ascii="SimSun" w:hAnsi="SimSun" w:eastAsia="SimSun" w:cs="SimSun"/>
          <w:sz w:val="23"/>
          <w:szCs w:val="23"/>
          <w:spacing w:val="9"/>
        </w:rPr>
        <w:t>进入</w:t>
      </w:r>
      <w:r>
        <w:rPr>
          <w:rFonts w:ascii="SimSun" w:hAnsi="SimSun" w:eastAsia="SimSun" w:cs="SimSun"/>
          <w:sz w:val="23"/>
          <w:szCs w:val="23"/>
        </w:rPr>
        <w:t xml:space="preserve"> </w:t>
      </w:r>
      <w:r>
        <w:rPr>
          <w:rFonts w:ascii="SimSun" w:hAnsi="SimSun" w:eastAsia="SimSun" w:cs="SimSun"/>
          <w:sz w:val="23"/>
          <w:szCs w:val="23"/>
          <w:spacing w:val="14"/>
        </w:rPr>
        <w:t>预处理池与生活污水一同处理，餐厨垃圾(含隔油池浮油</w:t>
      </w:r>
      <w:r>
        <w:rPr>
          <w:rFonts w:ascii="SimSun" w:hAnsi="SimSun" w:eastAsia="SimSun" w:cs="SimSun"/>
          <w:sz w:val="23"/>
          <w:szCs w:val="23"/>
          <w:spacing w:val="13"/>
        </w:rPr>
        <w:t>)产生量约为10</w:t>
      </w:r>
      <w:r>
        <w:rPr>
          <w:rFonts w:ascii="Times New Roman" w:hAnsi="Times New Roman" w:eastAsia="Times New Roman" w:cs="Times New Roman"/>
          <w:sz w:val="23"/>
          <w:szCs w:val="23"/>
          <w:spacing w:val="13"/>
        </w:rPr>
        <w:t>t/a</w:t>
      </w:r>
      <w:r>
        <w:rPr>
          <w:rFonts w:ascii="Times New Roman" w:hAnsi="Times New Roman" w:eastAsia="Times New Roman" w:cs="Times New Roman"/>
          <w:sz w:val="23"/>
          <w:szCs w:val="23"/>
          <w:spacing w:val="-26"/>
        </w:rPr>
        <w:t xml:space="preserve"> </w:t>
      </w:r>
      <w:r>
        <w:rPr>
          <w:rFonts w:ascii="SimSun" w:hAnsi="SimSun" w:eastAsia="SimSun" w:cs="SimSun"/>
          <w:sz w:val="23"/>
          <w:szCs w:val="23"/>
          <w:spacing w:val="13"/>
        </w:rPr>
        <w:t>。</w:t>
      </w:r>
      <w:r>
        <w:rPr>
          <w:rFonts w:ascii="SimSun" w:hAnsi="SimSun" w:eastAsia="SimSun" w:cs="SimSun"/>
          <w:sz w:val="23"/>
          <w:szCs w:val="23"/>
        </w:rPr>
        <w:t xml:space="preserve"> </w:t>
      </w:r>
      <w:r>
        <w:rPr>
          <w:rFonts w:ascii="SimSun" w:hAnsi="SimSun" w:eastAsia="SimSun" w:cs="SimSun"/>
          <w:sz w:val="23"/>
          <w:szCs w:val="23"/>
          <w:spacing w:val="23"/>
        </w:rPr>
        <w:t>根据《固体废物分类与代码目录》(公告2024年第4号),餐厨垃圾(含隔油</w:t>
      </w:r>
      <w:r>
        <w:rPr>
          <w:rFonts w:ascii="SimSun" w:hAnsi="SimSun" w:eastAsia="SimSun" w:cs="SimSun"/>
          <w:sz w:val="23"/>
          <w:szCs w:val="23"/>
          <w:spacing w:val="10"/>
        </w:rPr>
        <w:t xml:space="preserve"> </w:t>
      </w:r>
      <w:r>
        <w:rPr>
          <w:rFonts w:ascii="SimSun" w:hAnsi="SimSun" w:eastAsia="SimSun" w:cs="SimSun"/>
          <w:sz w:val="23"/>
          <w:szCs w:val="23"/>
          <w:spacing w:val="9"/>
        </w:rPr>
        <w:t>池浮油)属于“</w:t>
      </w:r>
      <w:r>
        <w:rPr>
          <w:rFonts w:ascii="SimSun" w:hAnsi="SimSun" w:eastAsia="SimSun" w:cs="SimSun"/>
          <w:sz w:val="23"/>
          <w:szCs w:val="23"/>
        </w:rPr>
        <w:t>SW</w:t>
      </w:r>
      <w:r>
        <w:rPr>
          <w:rFonts w:ascii="SimSun" w:hAnsi="SimSun" w:eastAsia="SimSun" w:cs="SimSun"/>
          <w:sz w:val="23"/>
          <w:szCs w:val="23"/>
          <w:spacing w:val="9"/>
        </w:rPr>
        <w:t>61</w:t>
      </w:r>
      <w:r>
        <w:rPr>
          <w:rFonts w:ascii="SimSun" w:hAnsi="SimSun" w:eastAsia="SimSun" w:cs="SimSun"/>
          <w:sz w:val="23"/>
          <w:szCs w:val="23"/>
          <w:spacing w:val="43"/>
        </w:rPr>
        <w:t xml:space="preserve"> </w:t>
      </w:r>
      <w:r>
        <w:rPr>
          <w:rFonts w:ascii="SimSun" w:hAnsi="SimSun" w:eastAsia="SimSun" w:cs="SimSun"/>
          <w:sz w:val="23"/>
          <w:szCs w:val="23"/>
          <w:spacing w:val="9"/>
        </w:rPr>
        <w:t>厨余垃圾非特定行业中900-002-S</w:t>
      </w:r>
      <w:r>
        <w:rPr>
          <w:rFonts w:ascii="SimSun" w:hAnsi="SimSun" w:eastAsia="SimSun" w:cs="SimSun"/>
          <w:sz w:val="23"/>
          <w:szCs w:val="23"/>
          <w:spacing w:val="8"/>
        </w:rPr>
        <w:t>61餐厨垃圾。环评要</w:t>
      </w:r>
    </w:p>
    <w:p>
      <w:pPr>
        <w:ind w:right="423"/>
        <w:spacing w:before="2" w:line="375" w:lineRule="auto"/>
        <w:rPr>
          <w:rFonts w:ascii="SimSun" w:hAnsi="SimSun" w:eastAsia="SimSun" w:cs="SimSun"/>
          <w:sz w:val="23"/>
          <w:szCs w:val="23"/>
        </w:rPr>
      </w:pPr>
      <w:r>
        <w:rPr>
          <w:rFonts w:ascii="SimSun" w:hAnsi="SimSun" w:eastAsia="SimSun" w:cs="SimSun"/>
          <w:sz w:val="23"/>
          <w:szCs w:val="23"/>
          <w:spacing w:val="10"/>
        </w:rPr>
        <w:t>求：该类废物分类收集后需及时签订处置协议，交有处置能力的单位进</w:t>
      </w:r>
      <w:r>
        <w:rPr>
          <w:rFonts w:ascii="SimSun" w:hAnsi="SimSun" w:eastAsia="SimSun" w:cs="SimSun"/>
          <w:sz w:val="23"/>
          <w:szCs w:val="23"/>
          <w:spacing w:val="9"/>
        </w:rPr>
        <w:t>行处</w:t>
      </w:r>
      <w:r>
        <w:rPr>
          <w:rFonts w:ascii="SimSun" w:hAnsi="SimSun" w:eastAsia="SimSun" w:cs="SimSun"/>
          <w:sz w:val="23"/>
          <w:szCs w:val="23"/>
        </w:rPr>
        <w:t xml:space="preserve"> </w:t>
      </w:r>
      <w:r>
        <w:rPr>
          <w:rFonts w:ascii="SimSun" w:hAnsi="SimSun" w:eastAsia="SimSun" w:cs="SimSun"/>
          <w:sz w:val="23"/>
          <w:szCs w:val="23"/>
          <w:spacing w:val="-2"/>
        </w:rPr>
        <w:t>置。</w:t>
      </w:r>
    </w:p>
    <w:p>
      <w:pPr>
        <w:ind w:left="603"/>
        <w:spacing w:before="1" w:line="218" w:lineRule="auto"/>
        <w:rPr>
          <w:rFonts w:ascii="SimSun" w:hAnsi="SimSun" w:eastAsia="SimSun" w:cs="SimSun"/>
          <w:sz w:val="23"/>
          <w:szCs w:val="23"/>
        </w:rPr>
      </w:pPr>
      <w:r>
        <w:rPr>
          <w:rFonts w:ascii="SimSun" w:hAnsi="SimSun" w:eastAsia="SimSun" w:cs="SimSun"/>
          <w:sz w:val="23"/>
          <w:szCs w:val="23"/>
          <w:b/>
          <w:bCs/>
          <w:spacing w:val="15"/>
        </w:rPr>
        <w:t>(7)沼气净化处理产生的废脱硫剂</w:t>
      </w:r>
    </w:p>
    <w:p>
      <w:pPr>
        <w:ind w:left="470"/>
        <w:spacing w:before="190" w:line="219" w:lineRule="auto"/>
        <w:rPr>
          <w:rFonts w:ascii="SimSun" w:hAnsi="SimSun" w:eastAsia="SimSun" w:cs="SimSun"/>
          <w:sz w:val="23"/>
          <w:szCs w:val="23"/>
        </w:rPr>
      </w:pPr>
      <w:r>
        <w:rPr>
          <w:rFonts w:ascii="SimSun" w:hAnsi="SimSun" w:eastAsia="SimSun" w:cs="SimSun"/>
          <w:sz w:val="23"/>
          <w:szCs w:val="23"/>
          <w:spacing w:val="6"/>
        </w:rPr>
        <w:t>参阅有关的研究成果— 《化学工程师》2008年第1期，“沼气脱硫技术研</w:t>
      </w:r>
    </w:p>
    <w:p>
      <w:pPr>
        <w:spacing w:line="219" w:lineRule="auto"/>
        <w:sectPr>
          <w:footerReference w:type="default" r:id="rId350"/>
          <w:pgSz w:w="11910" w:h="16840"/>
          <w:pgMar w:top="1219" w:right="1786" w:bottom="960" w:left="1779" w:header="865" w:footer="753" w:gutter="0"/>
        </w:sectPr>
        <w:rPr>
          <w:rFonts w:ascii="SimSun" w:hAnsi="SimSun" w:eastAsia="SimSun" w:cs="SimSun"/>
          <w:sz w:val="23"/>
          <w:szCs w:val="23"/>
        </w:rPr>
      </w:pPr>
    </w:p>
    <w:p>
      <w:pPr>
        <w:ind w:right="100"/>
        <w:spacing w:before="241" w:line="379" w:lineRule="auto"/>
        <w:rPr>
          <w:rFonts w:ascii="SimSun" w:hAnsi="SimSun" w:eastAsia="SimSun" w:cs="SimSun"/>
          <w:sz w:val="23"/>
          <w:szCs w:val="23"/>
        </w:rPr>
      </w:pPr>
      <w:r>
        <w:rPr>
          <w:rFonts w:ascii="SimSun" w:hAnsi="SimSun" w:eastAsia="SimSun" w:cs="SimSun"/>
          <w:sz w:val="23"/>
          <w:szCs w:val="23"/>
          <w:spacing w:val="11"/>
        </w:rPr>
        <w:t>究”可知，项目产生的沼气中</w:t>
      </w:r>
      <w:r>
        <w:rPr>
          <w:rFonts w:ascii="Times New Roman" w:hAnsi="Times New Roman" w:eastAsia="Times New Roman" w:cs="Times New Roman"/>
          <w:sz w:val="23"/>
          <w:szCs w:val="23"/>
          <w:spacing w:val="11"/>
        </w:rPr>
        <w:t>H₂S</w:t>
      </w:r>
      <w:r>
        <w:rPr>
          <w:rFonts w:ascii="Times New Roman" w:hAnsi="Times New Roman" w:eastAsia="Times New Roman" w:cs="Times New Roman"/>
          <w:sz w:val="23"/>
          <w:szCs w:val="23"/>
          <w:spacing w:val="34"/>
        </w:rPr>
        <w:t xml:space="preserve"> </w:t>
      </w:r>
      <w:r>
        <w:rPr>
          <w:rFonts w:ascii="SimSun" w:hAnsi="SimSun" w:eastAsia="SimSun" w:cs="SimSun"/>
          <w:sz w:val="23"/>
          <w:szCs w:val="23"/>
          <w:spacing w:val="11"/>
        </w:rPr>
        <w:t>约为60</w:t>
      </w:r>
      <w:r>
        <w:rPr>
          <w:rFonts w:ascii="SimSun" w:hAnsi="SimSun" w:eastAsia="SimSun" w:cs="SimSun"/>
          <w:sz w:val="23"/>
          <w:szCs w:val="23"/>
          <w:spacing w:val="10"/>
        </w:rPr>
        <w:t>00</w:t>
      </w:r>
      <w:r>
        <w:rPr>
          <w:rFonts w:ascii="Times New Roman" w:hAnsi="Times New Roman" w:eastAsia="Times New Roman" w:cs="Times New Roman"/>
          <w:sz w:val="23"/>
          <w:szCs w:val="23"/>
        </w:rPr>
        <w:t>mg</w:t>
      </w:r>
      <w:r>
        <w:rPr>
          <w:rFonts w:ascii="Times New Roman" w:hAnsi="Times New Roman" w:eastAsia="Times New Roman" w:cs="Times New Roman"/>
          <w:sz w:val="23"/>
          <w:szCs w:val="23"/>
          <w:spacing w:val="10"/>
        </w:rPr>
        <w:t>/m³,   </w:t>
      </w:r>
      <w:r>
        <w:rPr>
          <w:rFonts w:ascii="SimSun" w:hAnsi="SimSun" w:eastAsia="SimSun" w:cs="SimSun"/>
          <w:sz w:val="23"/>
          <w:szCs w:val="23"/>
          <w:spacing w:val="10"/>
        </w:rPr>
        <w:t>脱硫系统净化效率取85%,</w:t>
      </w:r>
      <w:r>
        <w:rPr>
          <w:rFonts w:ascii="SimSun" w:hAnsi="SimSun" w:eastAsia="SimSun" w:cs="SimSun"/>
          <w:sz w:val="23"/>
          <w:szCs w:val="23"/>
        </w:rPr>
        <w:t xml:space="preserve"> </w:t>
      </w:r>
      <w:r>
        <w:rPr>
          <w:rFonts w:ascii="SimSun" w:hAnsi="SimSun" w:eastAsia="SimSun" w:cs="SimSun"/>
          <w:sz w:val="23"/>
          <w:szCs w:val="23"/>
          <w:spacing w:val="8"/>
        </w:rPr>
        <w:t>则需去除的</w:t>
      </w:r>
      <w:r>
        <w:rPr>
          <w:rFonts w:ascii="Times New Roman" w:hAnsi="Times New Roman" w:eastAsia="Times New Roman" w:cs="Times New Roman"/>
          <w:sz w:val="23"/>
          <w:szCs w:val="23"/>
          <w:spacing w:val="8"/>
        </w:rPr>
        <w:t>H₂S</w:t>
      </w:r>
      <w:r>
        <w:rPr>
          <w:rFonts w:ascii="Times New Roman" w:hAnsi="Times New Roman" w:eastAsia="Times New Roman" w:cs="Times New Roman"/>
          <w:sz w:val="23"/>
          <w:szCs w:val="23"/>
          <w:spacing w:val="24"/>
        </w:rPr>
        <w:t xml:space="preserve"> </w:t>
      </w:r>
      <w:r>
        <w:rPr>
          <w:rFonts w:ascii="SimSun" w:hAnsi="SimSun" w:eastAsia="SimSun" w:cs="SimSun"/>
          <w:sz w:val="23"/>
          <w:szCs w:val="23"/>
          <w:spacing w:val="8"/>
        </w:rPr>
        <w:t>量为0.35</w:t>
      </w:r>
      <w:r>
        <w:rPr>
          <w:rFonts w:ascii="Times New Roman" w:hAnsi="Times New Roman" w:eastAsia="Times New Roman" w:cs="Times New Roman"/>
          <w:sz w:val="23"/>
          <w:szCs w:val="23"/>
          <w:spacing w:val="8"/>
        </w:rPr>
        <w:t>t/a,   </w:t>
      </w:r>
      <w:r>
        <w:rPr>
          <w:rFonts w:ascii="SimSun" w:hAnsi="SimSun" w:eastAsia="SimSun" w:cs="SimSun"/>
          <w:sz w:val="23"/>
          <w:szCs w:val="23"/>
          <w:spacing w:val="8"/>
        </w:rPr>
        <w:t>一般的氧</w:t>
      </w:r>
      <w:r>
        <w:rPr>
          <w:rFonts w:ascii="SimSun" w:hAnsi="SimSun" w:eastAsia="SimSun" w:cs="SimSun"/>
          <w:sz w:val="23"/>
          <w:szCs w:val="23"/>
          <w:spacing w:val="7"/>
        </w:rPr>
        <w:t>化铁脱硫剂为0.3</w:t>
      </w:r>
      <w:r>
        <w:rPr>
          <w:rFonts w:ascii="Times New Roman" w:hAnsi="Times New Roman" w:eastAsia="Times New Roman" w:cs="Times New Roman"/>
          <w:sz w:val="23"/>
          <w:szCs w:val="23"/>
        </w:rPr>
        <w:t>gH</w:t>
      </w:r>
      <w:r>
        <w:rPr>
          <w:rFonts w:ascii="Times New Roman" w:hAnsi="Times New Roman" w:eastAsia="Times New Roman" w:cs="Times New Roman"/>
          <w:sz w:val="23"/>
          <w:szCs w:val="23"/>
          <w:spacing w:val="7"/>
        </w:rPr>
        <w:t>₂S/g</w:t>
      </w:r>
      <w:r>
        <w:rPr>
          <w:rFonts w:ascii="Times New Roman" w:hAnsi="Times New Roman" w:eastAsia="Times New Roman" w:cs="Times New Roman"/>
          <w:sz w:val="23"/>
          <w:szCs w:val="23"/>
          <w:spacing w:val="23"/>
        </w:rPr>
        <w:t xml:space="preserve"> </w:t>
      </w:r>
      <w:r>
        <w:rPr>
          <w:rFonts w:ascii="SimSun" w:hAnsi="SimSun" w:eastAsia="SimSun" w:cs="SimSun"/>
          <w:sz w:val="23"/>
          <w:szCs w:val="23"/>
          <w:spacing w:val="7"/>
        </w:rPr>
        <w:t>脱硫剂，则本</w:t>
      </w:r>
      <w:r>
        <w:rPr>
          <w:rFonts w:ascii="SimSun" w:hAnsi="SimSun" w:eastAsia="SimSun" w:cs="SimSun"/>
          <w:sz w:val="23"/>
          <w:szCs w:val="23"/>
        </w:rPr>
        <w:t xml:space="preserve">  </w:t>
      </w:r>
      <w:r>
        <w:rPr>
          <w:rFonts w:ascii="SimSun" w:hAnsi="SimSun" w:eastAsia="SimSun" w:cs="SimSun"/>
          <w:sz w:val="23"/>
          <w:szCs w:val="23"/>
          <w:spacing w:val="7"/>
        </w:rPr>
        <w:t>项目脱硫剂使用量为1.17</w:t>
      </w:r>
      <w:r>
        <w:rPr>
          <w:rFonts w:ascii="Times New Roman" w:hAnsi="Times New Roman" w:eastAsia="Times New Roman" w:cs="Times New Roman"/>
          <w:sz w:val="23"/>
          <w:szCs w:val="23"/>
          <w:spacing w:val="7"/>
        </w:rPr>
        <w:t>t/a,   </w:t>
      </w:r>
      <w:r>
        <w:rPr>
          <w:rFonts w:ascii="SimSun" w:hAnsi="SimSun" w:eastAsia="SimSun" w:cs="SimSun"/>
          <w:sz w:val="23"/>
          <w:szCs w:val="23"/>
          <w:spacing w:val="7"/>
        </w:rPr>
        <w:t>则本项目废脱硫剂产生量为1.47</w:t>
      </w:r>
      <w:r>
        <w:rPr>
          <w:rFonts w:ascii="Times New Roman" w:hAnsi="Times New Roman" w:eastAsia="Times New Roman" w:cs="Times New Roman"/>
          <w:sz w:val="23"/>
          <w:szCs w:val="23"/>
          <w:spacing w:val="7"/>
        </w:rPr>
        <w:t>t</w:t>
      </w:r>
      <w:r>
        <w:rPr>
          <w:rFonts w:ascii="Times New Roman" w:hAnsi="Times New Roman" w:eastAsia="Times New Roman" w:cs="Times New Roman"/>
          <w:sz w:val="23"/>
          <w:szCs w:val="23"/>
          <w:spacing w:val="6"/>
        </w:rPr>
        <w:t>/a</w:t>
      </w:r>
      <w:r>
        <w:rPr>
          <w:rFonts w:ascii="Times New Roman" w:hAnsi="Times New Roman" w:eastAsia="Times New Roman" w:cs="Times New Roman"/>
          <w:sz w:val="23"/>
          <w:szCs w:val="23"/>
          <w:spacing w:val="-26"/>
        </w:rPr>
        <w:t xml:space="preserve"> </w:t>
      </w:r>
      <w:r>
        <w:rPr>
          <w:rFonts w:ascii="SimSun" w:hAnsi="SimSun" w:eastAsia="SimSun" w:cs="SimSun"/>
          <w:sz w:val="23"/>
          <w:szCs w:val="23"/>
          <w:spacing w:val="6"/>
        </w:rPr>
        <w:t>。根据《固体</w:t>
      </w:r>
      <w:r>
        <w:rPr>
          <w:rFonts w:ascii="SimSun" w:hAnsi="SimSun" w:eastAsia="SimSun" w:cs="SimSun"/>
          <w:sz w:val="23"/>
          <w:szCs w:val="23"/>
        </w:rPr>
        <w:t xml:space="preserve"> </w:t>
      </w:r>
      <w:r>
        <w:rPr>
          <w:rFonts w:ascii="SimSun" w:hAnsi="SimSun" w:eastAsia="SimSun" w:cs="SimSun"/>
          <w:sz w:val="23"/>
          <w:szCs w:val="23"/>
          <w:spacing w:val="27"/>
        </w:rPr>
        <w:t>废物分类与代码目录》(公告2024年第4号),废脱硫剂属于</w:t>
      </w:r>
      <w:r>
        <w:rPr>
          <w:rFonts w:ascii="SimSun" w:hAnsi="SimSun" w:eastAsia="SimSun" w:cs="SimSun"/>
          <w:sz w:val="23"/>
          <w:szCs w:val="23"/>
          <w:spacing w:val="-47"/>
        </w:rPr>
        <w:t xml:space="preserve"> </w:t>
      </w:r>
      <w:r>
        <w:rPr>
          <w:rFonts w:ascii="Times New Roman" w:hAnsi="Times New Roman" w:eastAsia="Times New Roman" w:cs="Times New Roman"/>
          <w:sz w:val="23"/>
          <w:szCs w:val="23"/>
          <w:spacing w:val="27"/>
        </w:rPr>
        <w:t>“</w:t>
      </w:r>
      <w:r>
        <w:rPr>
          <w:rFonts w:ascii="Times New Roman" w:hAnsi="Times New Roman" w:eastAsia="Times New Roman" w:cs="Times New Roman"/>
          <w:sz w:val="23"/>
          <w:szCs w:val="23"/>
        </w:rPr>
        <w:t>SW</w:t>
      </w:r>
      <w:r>
        <w:rPr>
          <w:rFonts w:ascii="Times New Roman" w:hAnsi="Times New Roman" w:eastAsia="Times New Roman" w:cs="Times New Roman"/>
          <w:sz w:val="23"/>
          <w:szCs w:val="23"/>
          <w:spacing w:val="27"/>
        </w:rPr>
        <w:t>59</w:t>
      </w:r>
      <w:r>
        <w:rPr>
          <w:rFonts w:ascii="Times New Roman" w:hAnsi="Times New Roman" w:eastAsia="Times New Roman" w:cs="Times New Roman"/>
          <w:sz w:val="23"/>
          <w:szCs w:val="23"/>
          <w:spacing w:val="3"/>
        </w:rPr>
        <w:t xml:space="preserve">  </w:t>
      </w:r>
      <w:r>
        <w:rPr>
          <w:rFonts w:ascii="SimSun" w:hAnsi="SimSun" w:eastAsia="SimSun" w:cs="SimSun"/>
          <w:sz w:val="23"/>
          <w:szCs w:val="23"/>
          <w:spacing w:val="27"/>
        </w:rPr>
        <w:t>其他工</w:t>
      </w:r>
      <w:r>
        <w:rPr>
          <w:rFonts w:ascii="SimSun" w:hAnsi="SimSun" w:eastAsia="SimSun" w:cs="SimSun"/>
          <w:sz w:val="23"/>
          <w:szCs w:val="23"/>
        </w:rPr>
        <w:t xml:space="preserve"> </w:t>
      </w:r>
      <w:r>
        <w:rPr>
          <w:rFonts w:ascii="SimSun" w:hAnsi="SimSun" w:eastAsia="SimSun" w:cs="SimSun"/>
          <w:sz w:val="23"/>
          <w:szCs w:val="23"/>
          <w:spacing w:val="7"/>
        </w:rPr>
        <w:t>业固体废物非特定行业900-008-S59</w:t>
      </w:r>
      <w:r>
        <w:rPr>
          <w:rFonts w:ascii="SimSun" w:hAnsi="SimSun" w:eastAsia="SimSun" w:cs="SimSun"/>
          <w:sz w:val="23"/>
          <w:szCs w:val="23"/>
          <w:spacing w:val="-26"/>
        </w:rPr>
        <w:t xml:space="preserve"> </w:t>
      </w:r>
      <w:r>
        <w:rPr>
          <w:rFonts w:ascii="SimSun" w:hAnsi="SimSun" w:eastAsia="SimSun" w:cs="SimSun"/>
          <w:sz w:val="23"/>
          <w:szCs w:val="23"/>
          <w:spacing w:val="7"/>
        </w:rPr>
        <w:t>废吸附剂”。建设单位应与厂家签订回收</w:t>
      </w:r>
      <w:r>
        <w:rPr>
          <w:rFonts w:ascii="SimSun" w:hAnsi="SimSun" w:eastAsia="SimSun" w:cs="SimSun"/>
          <w:sz w:val="23"/>
          <w:szCs w:val="23"/>
        </w:rPr>
        <w:t xml:space="preserve">  </w:t>
      </w:r>
      <w:r>
        <w:rPr>
          <w:rFonts w:ascii="SimSun" w:hAnsi="SimSun" w:eastAsia="SimSun" w:cs="SimSun"/>
          <w:sz w:val="23"/>
          <w:szCs w:val="23"/>
          <w:spacing w:val="10"/>
        </w:rPr>
        <w:t>协议，定期更换后进行收集，定期交由原生厂家进行再生处理利用，禁止自己</w:t>
      </w:r>
      <w:r>
        <w:rPr>
          <w:rFonts w:ascii="SimSun" w:hAnsi="SimSun" w:eastAsia="SimSun" w:cs="SimSun"/>
          <w:sz w:val="23"/>
          <w:szCs w:val="23"/>
        </w:rPr>
        <w:t xml:space="preserve"> </w:t>
      </w:r>
      <w:r>
        <w:rPr>
          <w:rFonts w:ascii="SimSun" w:hAnsi="SimSun" w:eastAsia="SimSun" w:cs="SimSun"/>
          <w:sz w:val="23"/>
          <w:szCs w:val="23"/>
          <w:spacing w:val="7"/>
        </w:rPr>
        <w:t>焚烧处理。</w:t>
      </w:r>
    </w:p>
    <w:p>
      <w:pPr>
        <w:ind w:left="623"/>
        <w:spacing w:line="219" w:lineRule="auto"/>
        <w:rPr>
          <w:rFonts w:ascii="SimSun" w:hAnsi="SimSun" w:eastAsia="SimSun" w:cs="SimSun"/>
          <w:sz w:val="23"/>
          <w:szCs w:val="23"/>
        </w:rPr>
      </w:pPr>
      <w:r>
        <w:rPr>
          <w:rFonts w:ascii="SimSun" w:hAnsi="SimSun" w:eastAsia="SimSun" w:cs="SimSun"/>
          <w:sz w:val="23"/>
          <w:szCs w:val="23"/>
          <w:b/>
          <w:bCs/>
          <w:spacing w:val="13"/>
        </w:rPr>
        <w:t>(8</w:t>
      </w:r>
      <w:r>
        <w:rPr>
          <w:rFonts w:ascii="SimSun" w:hAnsi="SimSun" w:eastAsia="SimSun" w:cs="SimSun"/>
          <w:sz w:val="23"/>
          <w:szCs w:val="23"/>
          <w:spacing w:val="-54"/>
        </w:rPr>
        <w:t xml:space="preserve"> </w:t>
      </w:r>
      <w:r>
        <w:rPr>
          <w:rFonts w:ascii="SimSun" w:hAnsi="SimSun" w:eastAsia="SimSun" w:cs="SimSun"/>
          <w:sz w:val="23"/>
          <w:szCs w:val="23"/>
          <w:b/>
          <w:bCs/>
          <w:spacing w:val="13"/>
        </w:rPr>
        <w:t>)废活性炭、废</w:t>
      </w:r>
      <w:r>
        <w:rPr>
          <w:rFonts w:ascii="Times New Roman" w:hAnsi="Times New Roman" w:eastAsia="Times New Roman" w:cs="Times New Roman"/>
          <w:sz w:val="23"/>
          <w:szCs w:val="23"/>
          <w:b/>
          <w:bCs/>
        </w:rPr>
        <w:t>UV</w:t>
      </w:r>
      <w:r>
        <w:rPr>
          <w:rFonts w:ascii="Times New Roman" w:hAnsi="Times New Roman" w:eastAsia="Times New Roman" w:cs="Times New Roman"/>
          <w:sz w:val="23"/>
          <w:szCs w:val="23"/>
          <w:b/>
          <w:bCs/>
          <w:spacing w:val="39"/>
          <w:w w:val="101"/>
        </w:rPr>
        <w:t xml:space="preserve"> </w:t>
      </w:r>
      <w:r>
        <w:rPr>
          <w:rFonts w:ascii="SimSun" w:hAnsi="SimSun" w:eastAsia="SimSun" w:cs="SimSun"/>
          <w:sz w:val="23"/>
          <w:szCs w:val="23"/>
          <w:b/>
          <w:bCs/>
          <w:spacing w:val="13"/>
        </w:rPr>
        <w:t>灯管</w:t>
      </w:r>
    </w:p>
    <w:p>
      <w:pPr>
        <w:ind w:right="104" w:firstLine="490"/>
        <w:spacing w:before="195" w:line="369" w:lineRule="auto"/>
        <w:tabs>
          <w:tab w:val="left" w:pos="130"/>
        </w:tabs>
        <w:rPr>
          <w:rFonts w:ascii="SimSun" w:hAnsi="SimSun" w:eastAsia="SimSun" w:cs="SimSun"/>
          <w:sz w:val="23"/>
          <w:szCs w:val="23"/>
        </w:rPr>
      </w:pPr>
      <w:r>
        <w:rPr>
          <w:rFonts w:ascii="SimSun" w:hAnsi="SimSun" w:eastAsia="SimSun" w:cs="SimSun"/>
          <w:sz w:val="23"/>
          <w:szCs w:val="23"/>
          <w:spacing w:val="12"/>
        </w:rPr>
        <w:t>项目屠宰车间、待宰车间废气分别采用“喷淋</w:t>
      </w:r>
      <w:r>
        <w:rPr>
          <w:rFonts w:ascii="SimSun" w:hAnsi="SimSun" w:eastAsia="SimSun" w:cs="SimSun"/>
          <w:sz w:val="23"/>
          <w:szCs w:val="23"/>
          <w:spacing w:val="11"/>
        </w:rPr>
        <w:t>+</w:t>
      </w:r>
      <w:r>
        <w:rPr>
          <w:rFonts w:ascii="SimSun" w:hAnsi="SimSun" w:eastAsia="SimSun" w:cs="SimSun"/>
          <w:sz w:val="23"/>
          <w:szCs w:val="23"/>
        </w:rPr>
        <w:t>UV</w:t>
      </w:r>
      <w:r>
        <w:rPr>
          <w:rFonts w:ascii="SimSun" w:hAnsi="SimSun" w:eastAsia="SimSun" w:cs="SimSun"/>
          <w:sz w:val="23"/>
          <w:szCs w:val="23"/>
          <w:spacing w:val="11"/>
        </w:rPr>
        <w:t xml:space="preserve"> 光解+活性炭吸附装置</w:t>
      </w:r>
      <w:r>
        <w:rPr>
          <w:rFonts w:ascii="SimSun" w:hAnsi="SimSun" w:eastAsia="SimSun" w:cs="SimSun"/>
          <w:sz w:val="23"/>
          <w:szCs w:val="23"/>
        </w:rPr>
        <w:t xml:space="preserve">  </w:t>
      </w:r>
      <w:r>
        <w:rPr>
          <w:rFonts w:ascii="SimSun" w:hAnsi="SimSun" w:eastAsia="SimSun" w:cs="SimSun"/>
          <w:sz w:val="23"/>
          <w:szCs w:val="23"/>
        </w:rPr>
        <w:tab/>
      </w:r>
      <w:r>
        <w:rPr>
          <w:rFonts w:ascii="SimSun" w:hAnsi="SimSun" w:eastAsia="SimSun" w:cs="SimSun"/>
          <w:sz w:val="23"/>
          <w:szCs w:val="23"/>
          <w:spacing w:val="6"/>
        </w:rPr>
        <w:t>(</w:t>
      </w:r>
      <w:r>
        <w:rPr>
          <w:rFonts w:ascii="SimSun" w:hAnsi="SimSun" w:eastAsia="SimSun" w:cs="SimSun"/>
          <w:sz w:val="23"/>
          <w:szCs w:val="23"/>
        </w:rPr>
        <w:t>TA</w:t>
      </w:r>
      <w:r>
        <w:rPr>
          <w:rFonts w:ascii="SimSun" w:hAnsi="SimSun" w:eastAsia="SimSun" w:cs="SimSun"/>
          <w:sz w:val="23"/>
          <w:szCs w:val="23"/>
          <w:spacing w:val="6"/>
        </w:rPr>
        <w:t>001、</w:t>
      </w:r>
      <w:r>
        <w:rPr>
          <w:rFonts w:ascii="SimSun" w:hAnsi="SimSun" w:eastAsia="SimSun" w:cs="SimSun"/>
          <w:sz w:val="23"/>
          <w:szCs w:val="23"/>
        </w:rPr>
        <w:t>TA</w:t>
      </w:r>
      <w:r>
        <w:rPr>
          <w:rFonts w:ascii="SimSun" w:hAnsi="SimSun" w:eastAsia="SimSun" w:cs="SimSun"/>
          <w:sz w:val="23"/>
          <w:szCs w:val="23"/>
          <w:spacing w:val="6"/>
        </w:rPr>
        <w:t>002、</w:t>
      </w:r>
      <w:r>
        <w:rPr>
          <w:rFonts w:ascii="SimSun" w:hAnsi="SimSun" w:eastAsia="SimSun" w:cs="SimSun"/>
          <w:sz w:val="23"/>
          <w:szCs w:val="23"/>
        </w:rPr>
        <w:t>TA</w:t>
      </w:r>
      <w:r>
        <w:rPr>
          <w:rFonts w:ascii="SimSun" w:hAnsi="SimSun" w:eastAsia="SimSun" w:cs="SimSun"/>
          <w:sz w:val="23"/>
          <w:szCs w:val="23"/>
          <w:spacing w:val="6"/>
        </w:rPr>
        <w:t>003)”</w:t>
      </w:r>
      <w:r>
        <w:rPr>
          <w:rFonts w:ascii="SimSun" w:hAnsi="SimSun" w:eastAsia="SimSun" w:cs="SimSun"/>
          <w:sz w:val="23"/>
          <w:szCs w:val="23"/>
          <w:spacing w:val="42"/>
        </w:rPr>
        <w:t xml:space="preserve">   </w:t>
      </w:r>
      <w:r>
        <w:rPr>
          <w:rFonts w:ascii="SimSun" w:hAnsi="SimSun" w:eastAsia="SimSun" w:cs="SimSun"/>
          <w:sz w:val="23"/>
          <w:szCs w:val="23"/>
          <w:spacing w:val="6"/>
        </w:rPr>
        <w:t>进行处理，污水处理站恶臭气体通过“喷淋+</w:t>
      </w:r>
      <w:r>
        <w:rPr>
          <w:rFonts w:ascii="SimSun" w:hAnsi="SimSun" w:eastAsia="SimSun" w:cs="SimSun"/>
          <w:sz w:val="23"/>
          <w:szCs w:val="23"/>
        </w:rPr>
        <w:t>UV </w:t>
      </w:r>
      <w:r>
        <w:rPr>
          <w:rFonts w:ascii="SimSun" w:hAnsi="SimSun" w:eastAsia="SimSun" w:cs="SimSun"/>
          <w:sz w:val="23"/>
          <w:szCs w:val="23"/>
          <w:spacing w:val="9"/>
        </w:rPr>
        <w:t>光解+活性炭吸附装置</w:t>
      </w:r>
      <w:r>
        <w:rPr>
          <w:rFonts w:ascii="SimSun" w:hAnsi="SimSun" w:eastAsia="SimSun" w:cs="SimSun"/>
          <w:sz w:val="23"/>
          <w:szCs w:val="23"/>
          <w:spacing w:val="-43"/>
        </w:rPr>
        <w:t xml:space="preserve"> </w:t>
      </w:r>
      <w:r>
        <w:rPr>
          <w:rFonts w:ascii="Times New Roman" w:hAnsi="Times New Roman" w:eastAsia="Times New Roman" w:cs="Times New Roman"/>
          <w:sz w:val="23"/>
          <w:szCs w:val="23"/>
          <w:spacing w:val="9"/>
        </w:rPr>
        <w:t>(</w:t>
      </w:r>
      <w:r>
        <w:rPr>
          <w:rFonts w:ascii="Times New Roman" w:hAnsi="Times New Roman" w:eastAsia="Times New Roman" w:cs="Times New Roman"/>
          <w:sz w:val="23"/>
          <w:szCs w:val="23"/>
        </w:rPr>
        <w:t>TA</w:t>
      </w:r>
      <w:r>
        <w:rPr>
          <w:rFonts w:ascii="Times New Roman" w:hAnsi="Times New Roman" w:eastAsia="Times New Roman" w:cs="Times New Roman"/>
          <w:sz w:val="23"/>
          <w:szCs w:val="23"/>
          <w:spacing w:val="9"/>
        </w:rPr>
        <w:t>004)”      </w:t>
      </w:r>
      <w:r>
        <w:rPr>
          <w:rFonts w:ascii="SimSun" w:hAnsi="SimSun" w:eastAsia="SimSun" w:cs="SimSun"/>
          <w:sz w:val="23"/>
          <w:szCs w:val="23"/>
          <w:spacing w:val="9"/>
        </w:rPr>
        <w:t>进行处理，以上废气处理系统会产生废活性</w:t>
      </w:r>
      <w:r>
        <w:rPr>
          <w:rFonts w:ascii="SimSun" w:hAnsi="SimSun" w:eastAsia="SimSun" w:cs="SimSun"/>
          <w:sz w:val="23"/>
          <w:szCs w:val="23"/>
        </w:rPr>
        <w:t xml:space="preserve"> </w:t>
      </w:r>
      <w:r>
        <w:rPr>
          <w:rFonts w:ascii="SimSun" w:hAnsi="SimSun" w:eastAsia="SimSun" w:cs="SimSun"/>
          <w:sz w:val="23"/>
          <w:szCs w:val="23"/>
          <w:spacing w:val="9"/>
        </w:rPr>
        <w:t>炭及废</w:t>
      </w:r>
      <w:r>
        <w:rPr>
          <w:rFonts w:ascii="Times New Roman" w:hAnsi="Times New Roman" w:eastAsia="Times New Roman" w:cs="Times New Roman"/>
          <w:sz w:val="23"/>
          <w:szCs w:val="23"/>
        </w:rPr>
        <w:t>UV</w:t>
      </w:r>
      <w:r>
        <w:rPr>
          <w:rFonts w:ascii="Times New Roman" w:hAnsi="Times New Roman" w:eastAsia="Times New Roman" w:cs="Times New Roman"/>
          <w:sz w:val="23"/>
          <w:szCs w:val="23"/>
          <w:spacing w:val="9"/>
        </w:rPr>
        <w:t xml:space="preserve"> </w:t>
      </w:r>
      <w:r>
        <w:rPr>
          <w:rFonts w:ascii="SimSun" w:hAnsi="SimSun" w:eastAsia="SimSun" w:cs="SimSun"/>
          <w:sz w:val="23"/>
          <w:szCs w:val="23"/>
          <w:spacing w:val="9"/>
        </w:rPr>
        <w:t>灯管，通过类比同类型企业，本项目废活性炭产生</w:t>
      </w:r>
      <w:r>
        <w:rPr>
          <w:rFonts w:ascii="SimSun" w:hAnsi="SimSun" w:eastAsia="SimSun" w:cs="SimSun"/>
          <w:sz w:val="23"/>
          <w:szCs w:val="23"/>
          <w:spacing w:val="8"/>
        </w:rPr>
        <w:t>量约为1.2</w:t>
      </w:r>
      <w:r>
        <w:rPr>
          <w:rFonts w:ascii="Times New Roman" w:hAnsi="Times New Roman" w:eastAsia="Times New Roman" w:cs="Times New Roman"/>
          <w:sz w:val="23"/>
          <w:szCs w:val="23"/>
          <w:spacing w:val="8"/>
        </w:rPr>
        <w:t>t/a,   </w:t>
      </w:r>
      <w:r>
        <w:rPr>
          <w:rFonts w:ascii="SimSun" w:hAnsi="SimSun" w:eastAsia="SimSun" w:cs="SimSun"/>
          <w:sz w:val="23"/>
          <w:szCs w:val="23"/>
          <w:spacing w:val="8"/>
        </w:rPr>
        <w:t>废</w:t>
      </w:r>
      <w:r>
        <w:rPr>
          <w:rFonts w:ascii="SimSun" w:hAnsi="SimSun" w:eastAsia="SimSun" w:cs="SimSun"/>
          <w:sz w:val="23"/>
          <w:szCs w:val="23"/>
        </w:rPr>
        <w:t xml:space="preserve"> </w:t>
      </w:r>
      <w:r>
        <w:rPr>
          <w:rFonts w:ascii="Times New Roman" w:hAnsi="Times New Roman" w:eastAsia="Times New Roman" w:cs="Times New Roman"/>
          <w:sz w:val="23"/>
          <w:szCs w:val="23"/>
        </w:rPr>
        <w:t>UV</w:t>
      </w:r>
      <w:r>
        <w:rPr>
          <w:rFonts w:ascii="Times New Roman" w:hAnsi="Times New Roman" w:eastAsia="Times New Roman" w:cs="Times New Roman"/>
          <w:sz w:val="23"/>
          <w:szCs w:val="23"/>
          <w:spacing w:val="-13"/>
        </w:rPr>
        <w:t xml:space="preserve"> </w:t>
      </w:r>
      <w:r>
        <w:rPr>
          <w:rFonts w:ascii="SimSun" w:hAnsi="SimSun" w:eastAsia="SimSun" w:cs="SimSun"/>
          <w:sz w:val="23"/>
          <w:szCs w:val="23"/>
          <w:spacing w:val="4"/>
        </w:rPr>
        <w:t>灯管0.002</w:t>
      </w:r>
      <w:r>
        <w:rPr>
          <w:rFonts w:ascii="Times New Roman" w:hAnsi="Times New Roman" w:eastAsia="Times New Roman" w:cs="Times New Roman"/>
          <w:sz w:val="23"/>
          <w:szCs w:val="23"/>
          <w:spacing w:val="4"/>
        </w:rPr>
        <w:t>t/a</w:t>
      </w:r>
      <w:r>
        <w:rPr>
          <w:rFonts w:ascii="SimSun" w:hAnsi="SimSun" w:eastAsia="SimSun" w:cs="SimSun"/>
          <w:sz w:val="23"/>
          <w:szCs w:val="23"/>
          <w:spacing w:val="4"/>
        </w:rPr>
        <w:t>。</w:t>
      </w:r>
    </w:p>
    <w:p>
      <w:pPr>
        <w:ind w:right="153" w:firstLine="490"/>
        <w:spacing w:before="31" w:line="370" w:lineRule="auto"/>
        <w:rPr>
          <w:rFonts w:ascii="SimSun" w:hAnsi="SimSun" w:eastAsia="SimSun" w:cs="SimSun"/>
          <w:sz w:val="23"/>
          <w:szCs w:val="23"/>
        </w:rPr>
      </w:pPr>
      <w:r>
        <w:rPr>
          <w:rFonts w:ascii="SimSun" w:hAnsi="SimSun" w:eastAsia="SimSun" w:cs="SimSun"/>
          <w:sz w:val="23"/>
          <w:szCs w:val="23"/>
          <w:spacing w:val="20"/>
        </w:rPr>
        <w:t>根据《国家危险废物名录(2025年版)》,吸收有机废气后的废活性炭属</w:t>
      </w:r>
      <w:r>
        <w:rPr>
          <w:rFonts w:ascii="SimSun" w:hAnsi="SimSun" w:eastAsia="SimSun" w:cs="SimSun"/>
          <w:sz w:val="23"/>
          <w:szCs w:val="23"/>
          <w:spacing w:val="13"/>
        </w:rPr>
        <w:t xml:space="preserve"> </w:t>
      </w:r>
      <w:r>
        <w:rPr>
          <w:rFonts w:ascii="SimSun" w:hAnsi="SimSun" w:eastAsia="SimSun" w:cs="SimSun"/>
          <w:sz w:val="23"/>
          <w:szCs w:val="23"/>
          <w:spacing w:val="11"/>
        </w:rPr>
        <w:t>于</w:t>
      </w:r>
      <w:r>
        <w:rPr>
          <w:rFonts w:ascii="SimSun" w:hAnsi="SimSun" w:eastAsia="SimSun" w:cs="SimSun"/>
          <w:sz w:val="23"/>
          <w:szCs w:val="23"/>
          <w:spacing w:val="-22"/>
        </w:rPr>
        <w:t xml:space="preserve"> </w:t>
      </w:r>
      <w:r>
        <w:rPr>
          <w:rFonts w:ascii="Times New Roman" w:hAnsi="Times New Roman" w:eastAsia="Times New Roman" w:cs="Times New Roman"/>
          <w:sz w:val="23"/>
          <w:szCs w:val="23"/>
          <w:spacing w:val="11"/>
        </w:rPr>
        <w:t>“</w:t>
      </w:r>
      <w:r>
        <w:rPr>
          <w:rFonts w:ascii="Times New Roman" w:hAnsi="Times New Roman" w:eastAsia="Times New Roman" w:cs="Times New Roman"/>
          <w:sz w:val="23"/>
          <w:szCs w:val="23"/>
        </w:rPr>
        <w:t>HW</w:t>
      </w:r>
      <w:r>
        <w:rPr>
          <w:rFonts w:ascii="Times New Roman" w:hAnsi="Times New Roman" w:eastAsia="Times New Roman" w:cs="Times New Roman"/>
          <w:sz w:val="23"/>
          <w:szCs w:val="23"/>
          <w:spacing w:val="11"/>
        </w:rPr>
        <w:t>49</w:t>
      </w:r>
      <w:r>
        <w:rPr>
          <w:rFonts w:ascii="Times New Roman" w:hAnsi="Times New Roman" w:eastAsia="Times New Roman" w:cs="Times New Roman"/>
          <w:sz w:val="23"/>
          <w:szCs w:val="23"/>
          <w:spacing w:val="55"/>
          <w:w w:val="101"/>
        </w:rPr>
        <w:t xml:space="preserve"> </w:t>
      </w:r>
      <w:r>
        <w:rPr>
          <w:rFonts w:ascii="SimSun" w:hAnsi="SimSun" w:eastAsia="SimSun" w:cs="SimSun"/>
          <w:sz w:val="23"/>
          <w:szCs w:val="23"/>
          <w:spacing w:val="11"/>
        </w:rPr>
        <w:t>其他废物”,废物代码：900-039-49“烟气、</w:t>
      </w:r>
      <w:r>
        <w:rPr>
          <w:rFonts w:ascii="Times New Roman" w:hAnsi="Times New Roman" w:eastAsia="Times New Roman" w:cs="Times New Roman"/>
          <w:sz w:val="23"/>
          <w:szCs w:val="23"/>
        </w:rPr>
        <w:t>VOCs</w:t>
      </w:r>
      <w:r>
        <w:rPr>
          <w:rFonts w:ascii="Times New Roman" w:hAnsi="Times New Roman" w:eastAsia="Times New Roman" w:cs="Times New Roman"/>
          <w:sz w:val="23"/>
          <w:szCs w:val="23"/>
          <w:spacing w:val="29"/>
          <w:w w:val="101"/>
        </w:rPr>
        <w:t xml:space="preserve"> </w:t>
      </w:r>
      <w:r>
        <w:rPr>
          <w:rFonts w:ascii="SimSun" w:hAnsi="SimSun" w:eastAsia="SimSun" w:cs="SimSun"/>
          <w:sz w:val="23"/>
          <w:szCs w:val="23"/>
          <w:spacing w:val="11"/>
        </w:rPr>
        <w:t>治理过程(不包</w:t>
      </w:r>
      <w:r>
        <w:rPr>
          <w:rFonts w:ascii="SimSun" w:hAnsi="SimSun" w:eastAsia="SimSun" w:cs="SimSun"/>
          <w:sz w:val="23"/>
          <w:szCs w:val="23"/>
        </w:rPr>
        <w:t xml:space="preserve"> </w:t>
      </w:r>
      <w:r>
        <w:rPr>
          <w:rFonts w:ascii="SimSun" w:hAnsi="SimSun" w:eastAsia="SimSun" w:cs="SimSun"/>
          <w:sz w:val="23"/>
          <w:szCs w:val="23"/>
          <w:spacing w:val="17"/>
        </w:rPr>
        <w:t>括餐饮行业油烟治理过程)产生的活性炭，化学原料和</w:t>
      </w:r>
      <w:r>
        <w:rPr>
          <w:rFonts w:ascii="SimSun" w:hAnsi="SimSun" w:eastAsia="SimSun" w:cs="SimSun"/>
          <w:sz w:val="23"/>
          <w:szCs w:val="23"/>
          <w:spacing w:val="16"/>
        </w:rPr>
        <w:t>化学制品脱色(不包括</w:t>
      </w:r>
      <w:r>
        <w:rPr>
          <w:rFonts w:ascii="SimSun" w:hAnsi="SimSun" w:eastAsia="SimSun" w:cs="SimSun"/>
          <w:sz w:val="23"/>
          <w:szCs w:val="23"/>
        </w:rPr>
        <w:t xml:space="preserve"> </w:t>
      </w:r>
      <w:r>
        <w:rPr>
          <w:rFonts w:ascii="SimSun" w:hAnsi="SimSun" w:eastAsia="SimSun" w:cs="SimSun"/>
          <w:sz w:val="23"/>
          <w:szCs w:val="23"/>
          <w:spacing w:val="17"/>
        </w:rPr>
        <w:t>有机合成食品添加剂脱色)、除杂、净化过程产生的废活性炭(不包括90</w:t>
      </w:r>
      <w:r>
        <w:rPr>
          <w:rFonts w:ascii="SimSun" w:hAnsi="SimSun" w:eastAsia="SimSun" w:cs="SimSun"/>
          <w:sz w:val="23"/>
          <w:szCs w:val="23"/>
          <w:spacing w:val="16"/>
        </w:rPr>
        <w:t>0-</w:t>
      </w:r>
    </w:p>
    <w:p>
      <w:pPr>
        <w:ind w:right="194"/>
        <w:spacing w:before="4" w:line="369" w:lineRule="auto"/>
        <w:rPr>
          <w:rFonts w:ascii="SimSun" w:hAnsi="SimSun" w:eastAsia="SimSun" w:cs="SimSun"/>
          <w:sz w:val="23"/>
          <w:szCs w:val="23"/>
        </w:rPr>
      </w:pPr>
      <w:r>
        <w:rPr>
          <w:rFonts w:ascii="SimSun" w:hAnsi="SimSun" w:eastAsia="SimSun" w:cs="SimSun"/>
          <w:sz w:val="23"/>
          <w:szCs w:val="23"/>
          <w:spacing w:val="-1"/>
        </w:rPr>
        <w:t>405-06、777-005-18、261-053-29、265-002-29、384-003-29、387-001-29类废</w:t>
      </w:r>
      <w:r>
        <w:rPr>
          <w:rFonts w:ascii="SimSun" w:hAnsi="SimSun" w:eastAsia="SimSun" w:cs="SimSun"/>
          <w:sz w:val="23"/>
          <w:szCs w:val="23"/>
          <w:spacing w:val="1"/>
        </w:rPr>
        <w:t xml:space="preserve">  </w:t>
      </w:r>
      <w:r>
        <w:rPr>
          <w:rFonts w:ascii="SimSun" w:hAnsi="SimSun" w:eastAsia="SimSun" w:cs="SimSun"/>
          <w:sz w:val="23"/>
          <w:szCs w:val="23"/>
          <w:spacing w:val="6"/>
        </w:rPr>
        <w:t>物</w:t>
      </w:r>
      <w:r>
        <w:rPr>
          <w:rFonts w:ascii="SimSun" w:hAnsi="SimSun" w:eastAsia="SimSun" w:cs="SimSun"/>
          <w:sz w:val="23"/>
          <w:szCs w:val="23"/>
          <w:spacing w:val="-14"/>
        </w:rPr>
        <w:t xml:space="preserve"> </w:t>
      </w:r>
      <w:r>
        <w:rPr>
          <w:rFonts w:ascii="SimSun" w:hAnsi="SimSun" w:eastAsia="SimSun" w:cs="SimSun"/>
          <w:sz w:val="23"/>
          <w:szCs w:val="23"/>
          <w:spacing w:val="6"/>
        </w:rPr>
        <w:t>) ”</w:t>
      </w:r>
      <w:r>
        <w:rPr>
          <w:rFonts w:ascii="SimSun" w:hAnsi="SimSun" w:eastAsia="SimSun" w:cs="SimSun"/>
          <w:sz w:val="23"/>
          <w:szCs w:val="23"/>
          <w:spacing w:val="-19"/>
        </w:rPr>
        <w:t xml:space="preserve"> </w:t>
      </w:r>
      <w:r>
        <w:rPr>
          <w:rFonts w:ascii="SimSun" w:hAnsi="SimSun" w:eastAsia="SimSun" w:cs="SimSun"/>
          <w:sz w:val="23"/>
          <w:szCs w:val="23"/>
          <w:spacing w:val="6"/>
        </w:rPr>
        <w:t>;</w:t>
      </w:r>
      <w:r>
        <w:rPr>
          <w:rFonts w:ascii="SimSun" w:hAnsi="SimSun" w:eastAsia="SimSun" w:cs="SimSun"/>
          <w:sz w:val="23"/>
          <w:szCs w:val="23"/>
          <w:spacing w:val="-27"/>
        </w:rPr>
        <w:t xml:space="preserve"> </w:t>
      </w:r>
      <w:r>
        <w:rPr>
          <w:rFonts w:ascii="SimSun" w:hAnsi="SimSun" w:eastAsia="SimSun" w:cs="SimSun"/>
          <w:sz w:val="23"/>
          <w:szCs w:val="23"/>
          <w:spacing w:val="6"/>
        </w:rPr>
        <w:t>废</w:t>
      </w:r>
      <w:r>
        <w:rPr>
          <w:rFonts w:ascii="SimSun" w:hAnsi="SimSun" w:eastAsia="SimSun" w:cs="SimSun"/>
          <w:sz w:val="23"/>
          <w:szCs w:val="23"/>
        </w:rPr>
        <w:t>UV</w:t>
      </w:r>
      <w:r>
        <w:rPr>
          <w:rFonts w:ascii="SimSun" w:hAnsi="SimSun" w:eastAsia="SimSun" w:cs="SimSun"/>
          <w:sz w:val="23"/>
          <w:szCs w:val="23"/>
          <w:spacing w:val="58"/>
        </w:rPr>
        <w:t xml:space="preserve"> </w:t>
      </w:r>
      <w:r>
        <w:rPr>
          <w:rFonts w:ascii="SimSun" w:hAnsi="SimSun" w:eastAsia="SimSun" w:cs="SimSun"/>
          <w:sz w:val="23"/>
          <w:szCs w:val="23"/>
          <w:spacing w:val="6"/>
        </w:rPr>
        <w:t>灯管属于“生产、销售及使用过程中产生的废含汞荧光灯管及</w:t>
      </w:r>
      <w:r>
        <w:rPr>
          <w:rFonts w:ascii="SimSun" w:hAnsi="SimSun" w:eastAsia="SimSun" w:cs="SimSun"/>
          <w:sz w:val="23"/>
          <w:szCs w:val="23"/>
        </w:rPr>
        <w:t xml:space="preserve"> </w:t>
      </w:r>
      <w:r>
        <w:rPr>
          <w:rFonts w:ascii="SimSun" w:hAnsi="SimSun" w:eastAsia="SimSun" w:cs="SimSun"/>
          <w:sz w:val="23"/>
          <w:szCs w:val="23"/>
          <w:spacing w:val="10"/>
        </w:rPr>
        <w:t>其他废含汞电光源，及废弃含汞电光源处理处置过程中产生的废荧光粉、</w:t>
      </w:r>
      <w:r>
        <w:rPr>
          <w:rFonts w:ascii="SimSun" w:hAnsi="SimSun" w:eastAsia="SimSun" w:cs="SimSun"/>
          <w:sz w:val="23"/>
          <w:szCs w:val="23"/>
          <w:spacing w:val="9"/>
        </w:rPr>
        <w:t>废活</w:t>
      </w:r>
      <w:r>
        <w:rPr>
          <w:rFonts w:ascii="SimSun" w:hAnsi="SimSun" w:eastAsia="SimSun" w:cs="SimSun"/>
          <w:sz w:val="23"/>
          <w:szCs w:val="23"/>
        </w:rPr>
        <w:t xml:space="preserve"> </w:t>
      </w:r>
      <w:r>
        <w:rPr>
          <w:rFonts w:ascii="SimSun" w:hAnsi="SimSun" w:eastAsia="SimSun" w:cs="SimSun"/>
          <w:sz w:val="23"/>
          <w:szCs w:val="23"/>
          <w:spacing w:val="14"/>
        </w:rPr>
        <w:t>性炭和废水处理污泥”,废物类别为</w:t>
      </w:r>
      <w:r>
        <w:rPr>
          <w:rFonts w:ascii="Times New Roman" w:hAnsi="Times New Roman" w:eastAsia="Times New Roman" w:cs="Times New Roman"/>
          <w:sz w:val="23"/>
          <w:szCs w:val="23"/>
        </w:rPr>
        <w:t>HW</w:t>
      </w:r>
      <w:r>
        <w:rPr>
          <w:rFonts w:ascii="Times New Roman" w:hAnsi="Times New Roman" w:eastAsia="Times New Roman" w:cs="Times New Roman"/>
          <w:sz w:val="23"/>
          <w:szCs w:val="23"/>
          <w:spacing w:val="14"/>
        </w:rPr>
        <w:t>29,</w:t>
      </w:r>
      <w:r>
        <w:rPr>
          <w:rFonts w:ascii="Times New Roman" w:hAnsi="Times New Roman" w:eastAsia="Times New Roman" w:cs="Times New Roman"/>
          <w:sz w:val="23"/>
          <w:szCs w:val="23"/>
          <w:spacing w:val="1"/>
        </w:rPr>
        <w:t xml:space="preserve">    </w:t>
      </w:r>
      <w:r>
        <w:rPr>
          <w:rFonts w:ascii="SimSun" w:hAnsi="SimSun" w:eastAsia="SimSun" w:cs="SimSun"/>
          <w:sz w:val="23"/>
          <w:szCs w:val="23"/>
          <w:spacing w:val="14"/>
        </w:rPr>
        <w:t>废物代码为900-023-29,分类收</w:t>
      </w:r>
      <w:r>
        <w:rPr>
          <w:rFonts w:ascii="SimSun" w:hAnsi="SimSun" w:eastAsia="SimSun" w:cs="SimSun"/>
          <w:sz w:val="23"/>
          <w:szCs w:val="23"/>
          <w:spacing w:val="1"/>
        </w:rPr>
        <w:t xml:space="preserve"> </w:t>
      </w:r>
      <w:r>
        <w:rPr>
          <w:rFonts w:ascii="SimSun" w:hAnsi="SimSun" w:eastAsia="SimSun" w:cs="SimSun"/>
          <w:sz w:val="23"/>
          <w:szCs w:val="23"/>
          <w:spacing w:val="9"/>
        </w:rPr>
        <w:t>集后暂存于危废暂存间，定期交有处理资质单位处置。</w:t>
      </w:r>
    </w:p>
    <w:p>
      <w:pPr>
        <w:ind w:left="623"/>
        <w:spacing w:before="33" w:line="219" w:lineRule="auto"/>
        <w:rPr>
          <w:rFonts w:ascii="SimSun" w:hAnsi="SimSun" w:eastAsia="SimSun" w:cs="SimSun"/>
          <w:sz w:val="23"/>
          <w:szCs w:val="23"/>
        </w:rPr>
      </w:pPr>
      <w:r>
        <w:rPr>
          <w:rFonts w:ascii="SimSun" w:hAnsi="SimSun" w:eastAsia="SimSun" w:cs="SimSun"/>
          <w:sz w:val="23"/>
          <w:szCs w:val="23"/>
          <w:b/>
          <w:bCs/>
          <w:spacing w:val="9"/>
        </w:rPr>
        <w:t>(9</w:t>
      </w:r>
      <w:r>
        <w:rPr>
          <w:rFonts w:ascii="SimSun" w:hAnsi="SimSun" w:eastAsia="SimSun" w:cs="SimSun"/>
          <w:sz w:val="23"/>
          <w:szCs w:val="23"/>
          <w:spacing w:val="-47"/>
        </w:rPr>
        <w:t xml:space="preserve"> </w:t>
      </w:r>
      <w:r>
        <w:rPr>
          <w:rFonts w:ascii="SimSun" w:hAnsi="SimSun" w:eastAsia="SimSun" w:cs="SimSun"/>
          <w:sz w:val="23"/>
          <w:szCs w:val="23"/>
          <w:b/>
          <w:bCs/>
          <w:spacing w:val="9"/>
        </w:rPr>
        <w:t>)废消毒药品包装材料</w:t>
      </w:r>
    </w:p>
    <w:p>
      <w:pPr>
        <w:ind w:right="189" w:firstLine="490"/>
        <w:spacing w:before="232" w:line="364" w:lineRule="auto"/>
        <w:rPr>
          <w:rFonts w:ascii="SimSun" w:hAnsi="SimSun" w:eastAsia="SimSun" w:cs="SimSun"/>
          <w:sz w:val="23"/>
          <w:szCs w:val="23"/>
        </w:rPr>
      </w:pPr>
      <w:r>
        <w:rPr>
          <w:rFonts w:ascii="SimSun" w:hAnsi="SimSun" w:eastAsia="SimSun" w:cs="SimSun"/>
          <w:sz w:val="23"/>
          <w:szCs w:val="23"/>
          <w:spacing w:val="9"/>
        </w:rPr>
        <w:t>本项目在生产过程中会对运输车辆、刀具、污水处理站等使用消毒药品，</w:t>
      </w:r>
      <w:r>
        <w:rPr>
          <w:rFonts w:ascii="SimSun" w:hAnsi="SimSun" w:eastAsia="SimSun" w:cs="SimSun"/>
          <w:sz w:val="23"/>
          <w:szCs w:val="23"/>
          <w:spacing w:val="5"/>
        </w:rPr>
        <w:t xml:space="preserve"> </w:t>
      </w:r>
      <w:r>
        <w:rPr>
          <w:rFonts w:ascii="SimSun" w:hAnsi="SimSun" w:eastAsia="SimSun" w:cs="SimSun"/>
          <w:sz w:val="23"/>
          <w:szCs w:val="23"/>
          <w:spacing w:val="10"/>
        </w:rPr>
        <w:t>主要涉及二氯异氰尿酸钠、聚维酮碘溶液、次氯酸钠溶液，在使用过程中会产</w:t>
      </w:r>
      <w:r>
        <w:rPr>
          <w:rFonts w:ascii="SimSun" w:hAnsi="SimSun" w:eastAsia="SimSun" w:cs="SimSun"/>
          <w:sz w:val="23"/>
          <w:szCs w:val="23"/>
          <w:spacing w:val="3"/>
        </w:rPr>
        <w:t xml:space="preserve"> </w:t>
      </w:r>
      <w:r>
        <w:rPr>
          <w:rFonts w:ascii="SimSun" w:hAnsi="SimSun" w:eastAsia="SimSun" w:cs="SimSun"/>
          <w:sz w:val="23"/>
          <w:szCs w:val="23"/>
          <w:spacing w:val="9"/>
        </w:rPr>
        <w:t>生废消毒药品包装材料，产生量约为0.05t/a</w:t>
      </w:r>
      <w:r>
        <w:rPr>
          <w:rFonts w:ascii="SimSun" w:hAnsi="SimSun" w:eastAsia="SimSun" w:cs="SimSun"/>
          <w:sz w:val="23"/>
          <w:szCs w:val="23"/>
          <w:spacing w:val="8"/>
        </w:rPr>
        <w:t>。根据《国家危险废物名录(2025</w:t>
      </w:r>
      <w:r>
        <w:rPr>
          <w:rFonts w:ascii="SimSun" w:hAnsi="SimSun" w:eastAsia="SimSun" w:cs="SimSun"/>
          <w:sz w:val="23"/>
          <w:szCs w:val="23"/>
        </w:rPr>
        <w:t xml:space="preserve"> </w:t>
      </w:r>
      <w:r>
        <w:rPr>
          <w:rFonts w:ascii="SimSun" w:hAnsi="SimSun" w:eastAsia="SimSun" w:cs="SimSun"/>
          <w:sz w:val="23"/>
          <w:szCs w:val="23"/>
          <w:spacing w:val="12"/>
        </w:rPr>
        <w:t>年版)》,废消毒药品包装材料属于</w:t>
      </w:r>
      <w:r>
        <w:rPr>
          <w:rFonts w:ascii="SimSun" w:hAnsi="SimSun" w:eastAsia="SimSun" w:cs="SimSun"/>
          <w:sz w:val="23"/>
          <w:szCs w:val="23"/>
          <w:spacing w:val="-47"/>
        </w:rPr>
        <w:t xml:space="preserve"> </w:t>
      </w:r>
      <w:r>
        <w:rPr>
          <w:rFonts w:ascii="Times New Roman" w:hAnsi="Times New Roman" w:eastAsia="Times New Roman" w:cs="Times New Roman"/>
          <w:sz w:val="23"/>
          <w:szCs w:val="23"/>
          <w:spacing w:val="12"/>
        </w:rPr>
        <w:t>“</w:t>
      </w:r>
      <w:r>
        <w:rPr>
          <w:rFonts w:ascii="Times New Roman" w:hAnsi="Times New Roman" w:eastAsia="Times New Roman" w:cs="Times New Roman"/>
          <w:sz w:val="23"/>
          <w:szCs w:val="23"/>
        </w:rPr>
        <w:t>HW</w:t>
      </w:r>
      <w:r>
        <w:rPr>
          <w:rFonts w:ascii="Times New Roman" w:hAnsi="Times New Roman" w:eastAsia="Times New Roman" w:cs="Times New Roman"/>
          <w:sz w:val="23"/>
          <w:szCs w:val="23"/>
          <w:spacing w:val="12"/>
        </w:rPr>
        <w:t>49  </w:t>
      </w:r>
      <w:r>
        <w:rPr>
          <w:rFonts w:ascii="SimSun" w:hAnsi="SimSun" w:eastAsia="SimSun" w:cs="SimSun"/>
          <w:sz w:val="23"/>
          <w:szCs w:val="23"/>
          <w:spacing w:val="12"/>
        </w:rPr>
        <w:t>其他废物，危废代码：900-041-</w:t>
      </w:r>
      <w:r>
        <w:rPr>
          <w:rFonts w:ascii="SimSun" w:hAnsi="SimSun" w:eastAsia="SimSun" w:cs="SimSun"/>
          <w:sz w:val="23"/>
          <w:szCs w:val="23"/>
        </w:rPr>
        <w:t xml:space="preserve">  </w:t>
      </w:r>
      <w:r>
        <w:rPr>
          <w:rFonts w:ascii="SimSun" w:hAnsi="SimSun" w:eastAsia="SimSun" w:cs="SimSun"/>
          <w:sz w:val="23"/>
          <w:szCs w:val="23"/>
          <w:spacing w:val="13"/>
        </w:rPr>
        <w:t>49”,分类袋装收集后暂存至危险废物暂存间，定期交有相应资质单位进行处</w:t>
      </w:r>
      <w:r>
        <w:rPr>
          <w:rFonts w:ascii="SimSun" w:hAnsi="SimSun" w:eastAsia="SimSun" w:cs="SimSun"/>
          <w:sz w:val="23"/>
          <w:szCs w:val="23"/>
        </w:rPr>
        <w:t xml:space="preserve"> </w:t>
      </w:r>
      <w:r>
        <w:rPr>
          <w:rFonts w:ascii="SimSun" w:hAnsi="SimSun" w:eastAsia="SimSun" w:cs="SimSun"/>
          <w:sz w:val="23"/>
          <w:szCs w:val="23"/>
          <w:spacing w:val="-2"/>
        </w:rPr>
        <w:t>置。</w:t>
      </w:r>
    </w:p>
    <w:p>
      <w:pPr>
        <w:ind w:left="620"/>
        <w:spacing w:before="26" w:line="212" w:lineRule="auto"/>
        <w:rPr>
          <w:rFonts w:ascii="SimSun" w:hAnsi="SimSun" w:eastAsia="SimSun" w:cs="SimSun"/>
          <w:sz w:val="23"/>
          <w:szCs w:val="23"/>
        </w:rPr>
      </w:pPr>
      <w:r>
        <w:rPr>
          <w:rFonts w:ascii="Times New Roman" w:hAnsi="Times New Roman" w:eastAsia="Times New Roman" w:cs="Times New Roman"/>
          <w:sz w:val="23"/>
          <w:szCs w:val="23"/>
          <w:b/>
          <w:bCs/>
          <w:spacing w:val="14"/>
        </w:rPr>
        <w:t>(10</w:t>
      </w:r>
      <w:r>
        <w:rPr>
          <w:rFonts w:ascii="Times New Roman" w:hAnsi="Times New Roman" w:eastAsia="Times New Roman" w:cs="Times New Roman"/>
          <w:sz w:val="23"/>
          <w:szCs w:val="23"/>
          <w:b/>
          <w:bCs/>
          <w:spacing w:val="29"/>
          <w:w w:val="101"/>
        </w:rPr>
        <w:t xml:space="preserve"> </w:t>
      </w:r>
      <w:r>
        <w:rPr>
          <w:rFonts w:ascii="SimSun" w:hAnsi="SimSun" w:eastAsia="SimSun" w:cs="SimSun"/>
          <w:sz w:val="23"/>
          <w:szCs w:val="23"/>
          <w:b/>
          <w:bCs/>
          <w:spacing w:val="14"/>
        </w:rPr>
        <w:t>)在线监测废液</w:t>
      </w:r>
    </w:p>
    <w:p>
      <w:pPr>
        <w:spacing w:line="212" w:lineRule="auto"/>
        <w:sectPr>
          <w:headerReference w:type="default" r:id="rId144"/>
          <w:footerReference w:type="default" r:id="rId351"/>
          <w:pgSz w:w="11910" w:h="16840"/>
          <w:pgMar w:top="1219" w:right="1786" w:bottom="960" w:left="1769" w:header="865" w:footer="736" w:gutter="0"/>
        </w:sectPr>
        <w:rPr>
          <w:rFonts w:ascii="SimSun" w:hAnsi="SimSun" w:eastAsia="SimSun" w:cs="SimSun"/>
          <w:sz w:val="23"/>
          <w:szCs w:val="23"/>
        </w:rPr>
      </w:pPr>
    </w:p>
    <w:p>
      <w:pPr>
        <w:ind w:left="224" w:right="284" w:firstLine="490"/>
        <w:spacing w:before="276" w:line="350" w:lineRule="auto"/>
        <w:rPr>
          <w:rFonts w:ascii="SimSun" w:hAnsi="SimSun" w:eastAsia="SimSun" w:cs="SimSun"/>
          <w:sz w:val="24"/>
          <w:szCs w:val="24"/>
        </w:rPr>
      </w:pPr>
      <w:r>
        <w:rPr>
          <w:rFonts w:ascii="SimSun" w:hAnsi="SimSun" w:eastAsia="SimSun" w:cs="SimSun"/>
          <w:sz w:val="24"/>
          <w:szCs w:val="24"/>
          <w:spacing w:val="-1"/>
        </w:rPr>
        <w:t>本项目废水在线监测系统产生的废液产生量为0.1</w:t>
      </w:r>
      <w:r>
        <w:rPr>
          <w:rFonts w:ascii="Times New Roman" w:hAnsi="Times New Roman" w:eastAsia="Times New Roman" w:cs="Times New Roman"/>
          <w:sz w:val="24"/>
          <w:szCs w:val="24"/>
          <w:spacing w:val="-1"/>
        </w:rPr>
        <w:t>t/a,   </w:t>
      </w:r>
      <w:r>
        <w:rPr>
          <w:rFonts w:ascii="SimSun" w:hAnsi="SimSun" w:eastAsia="SimSun" w:cs="SimSun"/>
          <w:sz w:val="24"/>
          <w:szCs w:val="24"/>
          <w:spacing w:val="-1"/>
        </w:rPr>
        <w:t>根据《国家危险废物</w:t>
      </w:r>
      <w:r>
        <w:rPr>
          <w:rFonts w:ascii="SimSun" w:hAnsi="SimSun" w:eastAsia="SimSun" w:cs="SimSun"/>
          <w:sz w:val="24"/>
          <w:szCs w:val="24"/>
          <w:spacing w:val="8"/>
        </w:rPr>
        <w:t xml:space="preserve"> </w:t>
      </w:r>
      <w:r>
        <w:rPr>
          <w:rFonts w:ascii="SimSun" w:hAnsi="SimSun" w:eastAsia="SimSun" w:cs="SimSun"/>
          <w:sz w:val="24"/>
          <w:szCs w:val="24"/>
          <w:spacing w:val="11"/>
        </w:rPr>
        <w:t>名录(2025年版)》,在线监测废液属于</w:t>
      </w:r>
      <w:r>
        <w:rPr>
          <w:rFonts w:ascii="SimSun" w:hAnsi="SimSun" w:eastAsia="SimSun" w:cs="SimSun"/>
          <w:sz w:val="24"/>
          <w:szCs w:val="24"/>
          <w:spacing w:val="-54"/>
        </w:rPr>
        <w:t xml:space="preserve"> </w:t>
      </w:r>
      <w:r>
        <w:rPr>
          <w:rFonts w:ascii="Times New Roman" w:hAnsi="Times New Roman" w:eastAsia="Times New Roman" w:cs="Times New Roman"/>
          <w:sz w:val="24"/>
          <w:szCs w:val="24"/>
          <w:spacing w:val="11"/>
        </w:rPr>
        <w:t>“</w:t>
      </w:r>
      <w:r>
        <w:rPr>
          <w:rFonts w:ascii="Times New Roman" w:hAnsi="Times New Roman" w:eastAsia="Times New Roman" w:cs="Times New Roman"/>
          <w:sz w:val="24"/>
          <w:szCs w:val="24"/>
        </w:rPr>
        <w:t>HW</w:t>
      </w:r>
      <w:r>
        <w:rPr>
          <w:rFonts w:ascii="Times New Roman" w:hAnsi="Times New Roman" w:eastAsia="Times New Roman" w:cs="Times New Roman"/>
          <w:sz w:val="24"/>
          <w:szCs w:val="24"/>
          <w:spacing w:val="11"/>
        </w:rPr>
        <w:t>49(900-047-49)    </w:t>
      </w:r>
      <w:r>
        <w:rPr>
          <w:rFonts w:ascii="Times New Roman" w:hAnsi="Times New Roman" w:eastAsia="Times New Roman" w:cs="Times New Roman"/>
          <w:sz w:val="24"/>
          <w:szCs w:val="24"/>
          <w:spacing w:val="10"/>
        </w:rPr>
        <w:t xml:space="preserve"> </w:t>
      </w:r>
      <w:r>
        <w:rPr>
          <w:rFonts w:ascii="SimSun" w:hAnsi="SimSun" w:eastAsia="SimSun" w:cs="SimSun"/>
          <w:sz w:val="24"/>
          <w:szCs w:val="24"/>
          <w:spacing w:val="10"/>
        </w:rPr>
        <w:t>类危险废</w:t>
      </w:r>
    </w:p>
    <w:p>
      <w:pPr>
        <w:ind w:left="224"/>
        <w:spacing w:before="45" w:line="219" w:lineRule="auto"/>
        <w:rPr>
          <w:rFonts w:ascii="SimSun" w:hAnsi="SimSun" w:eastAsia="SimSun" w:cs="SimSun"/>
          <w:sz w:val="24"/>
          <w:szCs w:val="24"/>
        </w:rPr>
      </w:pPr>
      <w:r>
        <w:rPr>
          <w:rFonts w:ascii="SimSun" w:hAnsi="SimSun" w:eastAsia="SimSun" w:cs="SimSun"/>
          <w:sz w:val="24"/>
          <w:szCs w:val="24"/>
        </w:rPr>
        <w:t>物”。分类桶装收集后暂存至危废暂存间，定期交有相应资质单位进行处置。</w:t>
      </w:r>
    </w:p>
    <w:p>
      <w:pPr>
        <w:ind w:left="848"/>
        <w:spacing w:before="161" w:line="219" w:lineRule="auto"/>
        <w:rPr>
          <w:rFonts w:ascii="SimSun" w:hAnsi="SimSun" w:eastAsia="SimSun" w:cs="SimSun"/>
          <w:sz w:val="24"/>
          <w:szCs w:val="24"/>
        </w:rPr>
      </w:pPr>
      <w:r>
        <w:rPr>
          <w:rFonts w:ascii="SimSun" w:hAnsi="SimSun" w:eastAsia="SimSun" w:cs="SimSun"/>
          <w:sz w:val="24"/>
          <w:szCs w:val="24"/>
          <w:b/>
          <w:bCs/>
          <w:spacing w:val="10"/>
        </w:rPr>
        <w:t>(11)检疫废弃物</w:t>
      </w:r>
    </w:p>
    <w:p>
      <w:pPr>
        <w:ind w:left="224" w:right="372" w:firstLine="490"/>
        <w:spacing w:before="194" w:line="365" w:lineRule="auto"/>
        <w:jc w:val="both"/>
        <w:rPr>
          <w:rFonts w:ascii="SimSun" w:hAnsi="SimSun" w:eastAsia="SimSun" w:cs="SimSun"/>
          <w:sz w:val="19"/>
          <w:szCs w:val="19"/>
        </w:rPr>
      </w:pPr>
      <w:r>
        <w:rPr>
          <w:rFonts w:ascii="SimSun" w:hAnsi="SimSun" w:eastAsia="SimSun" w:cs="SimSun"/>
          <w:sz w:val="24"/>
          <w:szCs w:val="24"/>
          <w:spacing w:val="11"/>
        </w:rPr>
        <w:t>根据检疫规程，厂区内设置检疫点(不设化</w:t>
      </w:r>
      <w:r>
        <w:rPr>
          <w:rFonts w:ascii="SimSun" w:hAnsi="SimSun" w:eastAsia="SimSun" w:cs="SimSun"/>
          <w:sz w:val="24"/>
          <w:szCs w:val="24"/>
          <w:spacing w:val="10"/>
        </w:rPr>
        <w:t>验室),在宰前检疫、宰后检</w:t>
      </w:r>
      <w:r>
        <w:rPr>
          <w:rFonts w:ascii="SimSun" w:hAnsi="SimSun" w:eastAsia="SimSun" w:cs="SimSun"/>
          <w:sz w:val="24"/>
          <w:szCs w:val="24"/>
        </w:rPr>
        <w:t xml:space="preserve"> </w:t>
      </w:r>
      <w:r>
        <w:rPr>
          <w:rFonts w:ascii="SimSun" w:hAnsi="SimSun" w:eastAsia="SimSun" w:cs="SimSun"/>
          <w:sz w:val="24"/>
          <w:szCs w:val="24"/>
          <w:spacing w:val="-1"/>
        </w:rPr>
        <w:t>疫阶段可能产生废弃针头、器皿等，产生量较少，约为0.02</w:t>
      </w:r>
      <w:r>
        <w:rPr>
          <w:rFonts w:ascii="Times New Roman" w:hAnsi="Times New Roman" w:eastAsia="Times New Roman" w:cs="Times New Roman"/>
          <w:sz w:val="24"/>
          <w:szCs w:val="24"/>
          <w:spacing w:val="-1"/>
        </w:rPr>
        <w:t>t/a</w:t>
      </w:r>
      <w:r>
        <w:rPr>
          <w:rFonts w:ascii="Times New Roman" w:hAnsi="Times New Roman" w:eastAsia="Times New Roman" w:cs="Times New Roman"/>
          <w:sz w:val="24"/>
          <w:szCs w:val="24"/>
          <w:spacing w:val="-11"/>
        </w:rPr>
        <w:t xml:space="preserve"> </w:t>
      </w:r>
      <w:r>
        <w:rPr>
          <w:rFonts w:ascii="SimSun" w:hAnsi="SimSun" w:eastAsia="SimSun" w:cs="SimSun"/>
          <w:sz w:val="24"/>
          <w:szCs w:val="24"/>
          <w:spacing w:val="-1"/>
        </w:rPr>
        <w:t>。根据《国家危</w:t>
      </w:r>
      <w:r>
        <w:rPr>
          <w:rFonts w:ascii="SimSun" w:hAnsi="SimSun" w:eastAsia="SimSun" w:cs="SimSun"/>
          <w:sz w:val="24"/>
          <w:szCs w:val="24"/>
        </w:rPr>
        <w:t xml:space="preserve"> </w:t>
      </w:r>
      <w:r>
        <w:rPr>
          <w:rFonts w:ascii="SimSun" w:hAnsi="SimSun" w:eastAsia="SimSun" w:cs="SimSun"/>
          <w:sz w:val="24"/>
          <w:szCs w:val="24"/>
          <w:spacing w:val="12"/>
        </w:rPr>
        <w:t>险废物名录(2025年版)》,该部分医疗废物属于危险废物</w:t>
      </w:r>
      <w:r>
        <w:rPr>
          <w:rFonts w:ascii="SimSun" w:hAnsi="SimSun" w:eastAsia="SimSun" w:cs="SimSun"/>
          <w:sz w:val="24"/>
          <w:szCs w:val="24"/>
          <w:spacing w:val="11"/>
        </w:rPr>
        <w:t>，类别为</w:t>
      </w:r>
      <w:r>
        <w:rPr>
          <w:rFonts w:ascii="SimSun" w:hAnsi="SimSun" w:eastAsia="SimSun" w:cs="SimSun"/>
          <w:sz w:val="24"/>
          <w:szCs w:val="24"/>
          <w:spacing w:val="-63"/>
        </w:rPr>
        <w:t xml:space="preserve"> </w:t>
      </w:r>
      <w:r>
        <w:rPr>
          <w:rFonts w:ascii="Times New Roman" w:hAnsi="Times New Roman" w:eastAsia="Times New Roman" w:cs="Times New Roman"/>
          <w:sz w:val="24"/>
          <w:szCs w:val="24"/>
          <w:spacing w:val="11"/>
        </w:rPr>
        <w:t>“</w:t>
      </w:r>
      <w:r>
        <w:rPr>
          <w:rFonts w:ascii="Times New Roman" w:hAnsi="Times New Roman" w:eastAsia="Times New Roman" w:cs="Times New Roman"/>
          <w:sz w:val="24"/>
          <w:szCs w:val="24"/>
        </w:rPr>
        <w:t>HW</w:t>
      </w:r>
      <w:r>
        <w:rPr>
          <w:rFonts w:ascii="Times New Roman" w:hAnsi="Times New Roman" w:eastAsia="Times New Roman" w:cs="Times New Roman"/>
          <w:sz w:val="24"/>
          <w:szCs w:val="24"/>
          <w:spacing w:val="11"/>
        </w:rPr>
        <w:t>01</w:t>
      </w:r>
      <w:r>
        <w:rPr>
          <w:rFonts w:ascii="Times New Roman" w:hAnsi="Times New Roman" w:eastAsia="Times New Roman" w:cs="Times New Roman"/>
          <w:sz w:val="24"/>
          <w:szCs w:val="24"/>
        </w:rPr>
        <w:t xml:space="preserve">   </w:t>
      </w:r>
      <w:r>
        <w:rPr>
          <w:rFonts w:ascii="SimSun" w:hAnsi="SimSun" w:eastAsia="SimSun" w:cs="SimSun"/>
          <w:sz w:val="24"/>
          <w:szCs w:val="24"/>
          <w:spacing w:val="-1"/>
        </w:rPr>
        <w:t>医疗废物中841-001-01为感染性废物”。危险废物应单独收集处理，经分类桶</w:t>
      </w:r>
      <w:r>
        <w:rPr>
          <w:rFonts w:ascii="SimSun" w:hAnsi="SimSun" w:eastAsia="SimSun" w:cs="SimSun"/>
          <w:sz w:val="24"/>
          <w:szCs w:val="24"/>
          <w:spacing w:val="17"/>
        </w:rPr>
        <w:t xml:space="preserve"> </w:t>
      </w:r>
      <w:r>
        <w:rPr>
          <w:rFonts w:ascii="SimSun" w:hAnsi="SimSun" w:eastAsia="SimSun" w:cs="SimSun"/>
          <w:sz w:val="24"/>
          <w:szCs w:val="24"/>
        </w:rPr>
        <w:t>装收集后暂存于危险废物暂存间，交由具有相应资质</w:t>
      </w:r>
      <w:r>
        <w:rPr>
          <w:rFonts w:ascii="SimSun" w:hAnsi="SimSun" w:eastAsia="SimSun" w:cs="SimSun"/>
          <w:sz w:val="24"/>
          <w:szCs w:val="24"/>
          <w:spacing w:val="-1"/>
        </w:rPr>
        <w:t>类别的危险废物处置单位</w:t>
      </w:r>
      <w:r>
        <w:rPr>
          <w:rFonts w:ascii="SimSun" w:hAnsi="SimSun" w:eastAsia="SimSun" w:cs="SimSun"/>
          <w:sz w:val="24"/>
          <w:szCs w:val="24"/>
        </w:rPr>
        <w:t xml:space="preserve"> </w:t>
      </w:r>
      <w:r>
        <w:rPr>
          <w:rFonts w:ascii="SimSun" w:hAnsi="SimSun" w:eastAsia="SimSun" w:cs="SimSun"/>
          <w:sz w:val="19"/>
          <w:szCs w:val="19"/>
          <w:spacing w:val="-6"/>
        </w:rPr>
        <w:t>处</w:t>
      </w:r>
      <w:r>
        <w:rPr>
          <w:rFonts w:ascii="SimSun" w:hAnsi="SimSun" w:eastAsia="SimSun" w:cs="SimSun"/>
          <w:sz w:val="19"/>
          <w:szCs w:val="19"/>
          <w:spacing w:val="-13"/>
        </w:rPr>
        <w:t xml:space="preserve"> </w:t>
      </w:r>
      <w:r>
        <w:rPr>
          <w:rFonts w:ascii="SimSun" w:hAnsi="SimSun" w:eastAsia="SimSun" w:cs="SimSun"/>
          <w:sz w:val="19"/>
          <w:szCs w:val="19"/>
          <w:spacing w:val="-6"/>
        </w:rPr>
        <w:t>置</w:t>
      </w:r>
      <w:r>
        <w:rPr>
          <w:rFonts w:ascii="SimSun" w:hAnsi="SimSun" w:eastAsia="SimSun" w:cs="SimSun"/>
          <w:sz w:val="19"/>
          <w:szCs w:val="19"/>
          <w:spacing w:val="-18"/>
        </w:rPr>
        <w:t xml:space="preserve"> </w:t>
      </w:r>
      <w:r>
        <w:rPr>
          <w:rFonts w:ascii="SimSun" w:hAnsi="SimSun" w:eastAsia="SimSun" w:cs="SimSun"/>
          <w:sz w:val="19"/>
          <w:szCs w:val="19"/>
          <w:spacing w:val="-6"/>
        </w:rPr>
        <w:t>。</w:t>
      </w:r>
    </w:p>
    <w:p>
      <w:pPr>
        <w:ind w:left="838"/>
        <w:spacing w:before="22" w:line="219" w:lineRule="auto"/>
        <w:rPr>
          <w:rFonts w:ascii="SimSun" w:hAnsi="SimSun" w:eastAsia="SimSun" w:cs="SimSun"/>
          <w:sz w:val="24"/>
          <w:szCs w:val="24"/>
        </w:rPr>
      </w:pPr>
      <w:r>
        <w:rPr>
          <w:rFonts w:ascii="SimSun" w:hAnsi="SimSun" w:eastAsia="SimSun" w:cs="SimSun"/>
          <w:sz w:val="24"/>
          <w:szCs w:val="24"/>
          <w:b/>
          <w:bCs/>
          <w:spacing w:val="6"/>
        </w:rPr>
        <w:t>(12)废机油及含油棉纱手套</w:t>
      </w:r>
    </w:p>
    <w:p>
      <w:pPr>
        <w:ind w:left="224" w:right="458" w:firstLine="490"/>
        <w:spacing w:before="193" w:line="360" w:lineRule="auto"/>
        <w:rPr>
          <w:rFonts w:ascii="SimSun" w:hAnsi="SimSun" w:eastAsia="SimSun" w:cs="SimSun"/>
          <w:sz w:val="24"/>
          <w:szCs w:val="24"/>
        </w:rPr>
      </w:pPr>
      <w:r>
        <w:rPr>
          <w:rFonts w:ascii="SimSun" w:hAnsi="SimSun" w:eastAsia="SimSun" w:cs="SimSun"/>
          <w:sz w:val="24"/>
          <w:szCs w:val="24"/>
          <w:spacing w:val="-1"/>
        </w:rPr>
        <w:t>设备维护过程中会产生废机油及含油棉纱手套，废机油产生量约为0.2</w:t>
      </w:r>
      <w:r>
        <w:rPr>
          <w:rFonts w:ascii="Times New Roman" w:hAnsi="Times New Roman" w:eastAsia="Times New Roman" w:cs="Times New Roman"/>
          <w:sz w:val="24"/>
          <w:szCs w:val="24"/>
          <w:spacing w:val="-1"/>
        </w:rPr>
        <w:t>t/a,</w:t>
      </w:r>
      <w:r>
        <w:rPr>
          <w:rFonts w:ascii="Times New Roman" w:hAnsi="Times New Roman" w:eastAsia="Times New Roman" w:cs="Times New Roman"/>
          <w:sz w:val="24"/>
          <w:szCs w:val="24"/>
          <w:spacing w:val="11"/>
        </w:rPr>
        <w:t xml:space="preserve"> </w:t>
      </w:r>
      <w:r>
        <w:rPr>
          <w:rFonts w:ascii="SimSun" w:hAnsi="SimSun" w:eastAsia="SimSun" w:cs="SimSun"/>
          <w:sz w:val="24"/>
          <w:szCs w:val="24"/>
          <w:spacing w:val="5"/>
        </w:rPr>
        <w:t>含油棉纱手套产生量约为0.1t/a。根据《国家危险废物名录(2025年版)》,</w:t>
      </w:r>
    </w:p>
    <w:p>
      <w:pPr>
        <w:ind w:left="195" w:right="254" w:firstLine="29"/>
        <w:spacing w:before="4" w:line="354" w:lineRule="auto"/>
        <w:rPr>
          <w:rFonts w:ascii="SimSun" w:hAnsi="SimSun" w:eastAsia="SimSun" w:cs="SimSun"/>
          <w:sz w:val="24"/>
          <w:szCs w:val="24"/>
        </w:rPr>
      </w:pPr>
      <w:r>
        <w:rPr>
          <w:rFonts w:ascii="SimSun" w:hAnsi="SimSun" w:eastAsia="SimSun" w:cs="SimSun"/>
          <w:sz w:val="24"/>
          <w:szCs w:val="24"/>
        </w:rPr>
        <w:t>废机油属于“其他生产、销售、使用过程中产生的废矿</w:t>
      </w:r>
      <w:r>
        <w:rPr>
          <w:rFonts w:ascii="SimSun" w:hAnsi="SimSun" w:eastAsia="SimSun" w:cs="SimSun"/>
          <w:sz w:val="24"/>
          <w:szCs w:val="24"/>
          <w:spacing w:val="-1"/>
        </w:rPr>
        <w:t>物油及沾染矿物油的废</w:t>
      </w:r>
      <w:r>
        <w:rPr>
          <w:rFonts w:ascii="SimSun" w:hAnsi="SimSun" w:eastAsia="SimSun" w:cs="SimSun"/>
          <w:sz w:val="24"/>
          <w:szCs w:val="24"/>
        </w:rPr>
        <w:t xml:space="preserve">  </w:t>
      </w:r>
      <w:r>
        <w:rPr>
          <w:rFonts w:ascii="SimSun" w:hAnsi="SimSun" w:eastAsia="SimSun" w:cs="SimSun"/>
          <w:sz w:val="24"/>
          <w:szCs w:val="24"/>
          <w:spacing w:val="8"/>
        </w:rPr>
        <w:t>弃包装物”,废物类别为</w:t>
      </w:r>
      <w:r>
        <w:rPr>
          <w:rFonts w:ascii="SimSun" w:hAnsi="SimSun" w:eastAsia="SimSun" w:cs="SimSun"/>
          <w:sz w:val="24"/>
          <w:szCs w:val="24"/>
        </w:rPr>
        <w:t>HW</w:t>
      </w:r>
      <w:r>
        <w:rPr>
          <w:rFonts w:ascii="SimSun" w:hAnsi="SimSun" w:eastAsia="SimSun" w:cs="SimSun"/>
          <w:sz w:val="24"/>
          <w:szCs w:val="24"/>
          <w:spacing w:val="8"/>
        </w:rPr>
        <w:t>08,  废物代码为900-249-08;含油棉纱手套属于</w:t>
      </w:r>
      <w:r>
        <w:rPr>
          <w:rFonts w:ascii="SimSun" w:hAnsi="SimSun" w:eastAsia="SimSun" w:cs="SimSun"/>
          <w:sz w:val="24"/>
          <w:szCs w:val="24"/>
          <w:spacing w:val="6"/>
        </w:rPr>
        <w:t xml:space="preserve">  </w:t>
      </w:r>
      <w:r>
        <w:rPr>
          <w:rFonts w:ascii="SimSun" w:hAnsi="SimSun" w:eastAsia="SimSun" w:cs="SimSun"/>
          <w:sz w:val="24"/>
          <w:szCs w:val="24"/>
          <w:spacing w:val="2"/>
        </w:rPr>
        <w:t>“含有或沾染毒性、感染性危险废物的废弃包装物、容器、过滤吸附介质”,</w:t>
      </w:r>
      <w:r>
        <w:rPr>
          <w:rFonts w:ascii="SimSun" w:hAnsi="SimSun" w:eastAsia="SimSun" w:cs="SimSun"/>
          <w:sz w:val="24"/>
          <w:szCs w:val="24"/>
          <w:spacing w:val="7"/>
        </w:rPr>
        <w:t xml:space="preserve">  </w:t>
      </w:r>
      <w:r>
        <w:rPr>
          <w:rFonts w:ascii="SimSun" w:hAnsi="SimSun" w:eastAsia="SimSun" w:cs="SimSun"/>
          <w:sz w:val="24"/>
          <w:szCs w:val="24"/>
          <w:spacing w:val="3"/>
        </w:rPr>
        <w:t>废物类别为</w:t>
      </w:r>
      <w:r>
        <w:rPr>
          <w:rFonts w:ascii="Times New Roman" w:hAnsi="Times New Roman" w:eastAsia="Times New Roman" w:cs="Times New Roman"/>
          <w:sz w:val="24"/>
          <w:szCs w:val="24"/>
        </w:rPr>
        <w:t>HW</w:t>
      </w:r>
      <w:r>
        <w:rPr>
          <w:rFonts w:ascii="Times New Roman" w:hAnsi="Times New Roman" w:eastAsia="Times New Roman" w:cs="Times New Roman"/>
          <w:sz w:val="24"/>
          <w:szCs w:val="24"/>
          <w:spacing w:val="3"/>
        </w:rPr>
        <w:t>49,   </w:t>
      </w:r>
      <w:r>
        <w:rPr>
          <w:rFonts w:ascii="SimSun" w:hAnsi="SimSun" w:eastAsia="SimSun" w:cs="SimSun"/>
          <w:sz w:val="24"/>
          <w:szCs w:val="24"/>
          <w:spacing w:val="3"/>
        </w:rPr>
        <w:t>废物代码：900-041-49,分类收集后暂存于</w:t>
      </w:r>
      <w:r>
        <w:rPr>
          <w:rFonts w:ascii="SimSun" w:hAnsi="SimSun" w:eastAsia="SimSun" w:cs="SimSun"/>
          <w:sz w:val="24"/>
          <w:szCs w:val="24"/>
          <w:spacing w:val="2"/>
        </w:rPr>
        <w:t>危废暂存间，交</w:t>
      </w:r>
      <w:r>
        <w:rPr>
          <w:rFonts w:ascii="SimSun" w:hAnsi="SimSun" w:eastAsia="SimSun" w:cs="SimSun"/>
          <w:sz w:val="24"/>
          <w:szCs w:val="24"/>
        </w:rPr>
        <w:t xml:space="preserve"> </w:t>
      </w:r>
      <w:r>
        <w:rPr>
          <w:rFonts w:ascii="SimSun" w:hAnsi="SimSun" w:eastAsia="SimSun" w:cs="SimSun"/>
          <w:sz w:val="24"/>
          <w:szCs w:val="24"/>
          <w:spacing w:val="-1"/>
        </w:rPr>
        <w:t>由有处理资质单位处置。</w:t>
      </w:r>
    </w:p>
    <w:p>
      <w:pPr>
        <w:ind w:left="715"/>
        <w:spacing w:before="34" w:line="219" w:lineRule="auto"/>
        <w:rPr>
          <w:rFonts w:ascii="SimSun" w:hAnsi="SimSun" w:eastAsia="SimSun" w:cs="SimSun"/>
          <w:sz w:val="24"/>
          <w:szCs w:val="24"/>
        </w:rPr>
      </w:pPr>
      <w:r>
        <w:rPr>
          <w:rFonts w:ascii="SimSun" w:hAnsi="SimSun" w:eastAsia="SimSun" w:cs="SimSun"/>
          <w:sz w:val="24"/>
          <w:szCs w:val="24"/>
          <w:spacing w:val="-3"/>
        </w:rPr>
        <w:t>本项目固体废物的产生及处置方式见下表。</w:t>
      </w:r>
    </w:p>
    <w:p>
      <w:pPr>
        <w:ind w:left="2108"/>
        <w:spacing w:before="172" w:line="217" w:lineRule="auto"/>
        <w:rPr>
          <w:rFonts w:ascii="SimSun" w:hAnsi="SimSun" w:eastAsia="SimSun" w:cs="SimSun"/>
          <w:sz w:val="23"/>
          <w:szCs w:val="23"/>
        </w:rPr>
      </w:pPr>
      <w:r>
        <w:rPr>
          <w:rFonts w:ascii="SimSun" w:hAnsi="SimSun" w:eastAsia="SimSun" w:cs="SimSun"/>
          <w:sz w:val="23"/>
          <w:szCs w:val="23"/>
          <w:b/>
          <w:bCs/>
          <w:spacing w:val="-3"/>
        </w:rPr>
        <w:t>表3.11-32本项目固废产生及处置情况一览表</w:t>
      </w:r>
    </w:p>
    <w:tbl>
      <w:tblPr>
        <w:tblStyle w:val="TableNormal"/>
        <w:tblW w:w="87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45"/>
        <w:gridCol w:w="1508"/>
        <w:gridCol w:w="639"/>
        <w:gridCol w:w="689"/>
        <w:gridCol w:w="230"/>
        <w:gridCol w:w="1428"/>
        <w:gridCol w:w="470"/>
        <w:gridCol w:w="3351"/>
      </w:tblGrid>
      <w:tr>
        <w:trPr>
          <w:trHeight w:val="564" w:hRule="atLeast"/>
        </w:trPr>
        <w:tc>
          <w:tcPr>
            <w:shd w:val="clear" w:fill="BDBDBD"/>
            <w:tcW w:w="1953" w:type="dxa"/>
            <w:vAlign w:val="top"/>
            <w:gridSpan w:val="2"/>
          </w:tcPr>
          <w:p>
            <w:pPr>
              <w:pStyle w:val="TableText"/>
              <w:ind w:left="757"/>
              <w:spacing w:before="180" w:line="219" w:lineRule="auto"/>
              <w:rPr>
                <w:sz w:val="21"/>
                <w:szCs w:val="21"/>
              </w:rPr>
            </w:pPr>
            <w:r>
              <w:rPr>
                <w:sz w:val="21"/>
                <w:szCs w:val="21"/>
                <w:b/>
                <w:bCs/>
                <w:spacing w:val="-5"/>
              </w:rPr>
              <w:t>种类</w:t>
            </w:r>
          </w:p>
        </w:tc>
        <w:tc>
          <w:tcPr>
            <w:shd w:val="clear" w:fill="BDBDBD"/>
            <w:tcW w:w="639" w:type="dxa"/>
            <w:vAlign w:val="top"/>
          </w:tcPr>
          <w:p>
            <w:pPr>
              <w:pStyle w:val="TableText"/>
              <w:ind w:left="105"/>
              <w:spacing w:before="44" w:line="209" w:lineRule="auto"/>
              <w:rPr>
                <w:sz w:val="21"/>
                <w:szCs w:val="21"/>
              </w:rPr>
            </w:pPr>
            <w:r>
              <w:rPr>
                <w:sz w:val="21"/>
                <w:szCs w:val="21"/>
                <w:b/>
                <w:bCs/>
                <w:spacing w:val="-5"/>
              </w:rPr>
              <w:t>主要</w:t>
            </w:r>
          </w:p>
          <w:p>
            <w:pPr>
              <w:pStyle w:val="TableText"/>
              <w:ind w:left="105"/>
              <w:spacing w:line="220" w:lineRule="auto"/>
              <w:rPr>
                <w:sz w:val="21"/>
                <w:szCs w:val="21"/>
              </w:rPr>
            </w:pPr>
            <w:r>
              <w:rPr>
                <w:sz w:val="21"/>
                <w:szCs w:val="21"/>
                <w:b/>
                <w:bCs/>
                <w:spacing w:val="-5"/>
              </w:rPr>
              <w:t>工序</w:t>
            </w:r>
          </w:p>
        </w:tc>
        <w:tc>
          <w:tcPr>
            <w:shd w:val="clear" w:fill="BDBDBD"/>
            <w:tcW w:w="689" w:type="dxa"/>
            <w:vAlign w:val="top"/>
          </w:tcPr>
          <w:p>
            <w:pPr>
              <w:pStyle w:val="TableText"/>
              <w:ind w:left="26"/>
              <w:spacing w:before="40" w:line="219" w:lineRule="auto"/>
              <w:rPr>
                <w:sz w:val="21"/>
                <w:szCs w:val="21"/>
              </w:rPr>
            </w:pPr>
            <w:r>
              <w:rPr>
                <w:sz w:val="21"/>
                <w:szCs w:val="21"/>
                <w:b/>
                <w:bCs/>
                <w:spacing w:val="-5"/>
              </w:rPr>
              <w:t>产生量</w:t>
            </w:r>
          </w:p>
          <w:p>
            <w:pPr>
              <w:pStyle w:val="TableText"/>
              <w:ind w:left="75"/>
              <w:spacing w:before="53" w:line="185" w:lineRule="auto"/>
              <w:rPr>
                <w:sz w:val="21"/>
                <w:szCs w:val="21"/>
              </w:rPr>
            </w:pPr>
            <w:r>
              <w:rPr>
                <w:sz w:val="21"/>
                <w:szCs w:val="21"/>
                <w:b/>
                <w:bCs/>
                <w:spacing w:val="-10"/>
              </w:rPr>
              <w:t>(t/a)</w:t>
            </w:r>
          </w:p>
        </w:tc>
        <w:tc>
          <w:tcPr>
            <w:shd w:val="clear" w:fill="BDBDBD"/>
            <w:tcW w:w="1658" w:type="dxa"/>
            <w:vAlign w:val="top"/>
            <w:gridSpan w:val="2"/>
          </w:tcPr>
          <w:p>
            <w:pPr>
              <w:pStyle w:val="TableText"/>
              <w:ind w:left="407"/>
              <w:spacing w:before="180" w:line="219" w:lineRule="auto"/>
              <w:rPr>
                <w:sz w:val="21"/>
                <w:szCs w:val="21"/>
              </w:rPr>
            </w:pPr>
            <w:r>
              <w:rPr>
                <w:sz w:val="21"/>
                <w:szCs w:val="21"/>
                <w:b/>
                <w:bCs/>
                <w:spacing w:val="-4"/>
              </w:rPr>
              <w:t>废物类别</w:t>
            </w:r>
          </w:p>
        </w:tc>
        <w:tc>
          <w:tcPr>
            <w:shd w:val="clear" w:fill="BDBDBD"/>
            <w:tcW w:w="470" w:type="dxa"/>
            <w:vAlign w:val="top"/>
          </w:tcPr>
          <w:p>
            <w:pPr>
              <w:pStyle w:val="TableText"/>
              <w:ind w:left="19"/>
              <w:spacing w:before="183" w:line="221" w:lineRule="auto"/>
              <w:rPr>
                <w:sz w:val="21"/>
                <w:szCs w:val="21"/>
              </w:rPr>
            </w:pPr>
            <w:r>
              <w:rPr>
                <w:sz w:val="21"/>
                <w:szCs w:val="21"/>
                <w:b/>
                <w:bCs/>
                <w:spacing w:val="-5"/>
              </w:rPr>
              <w:t>形态</w:t>
            </w:r>
          </w:p>
        </w:tc>
        <w:tc>
          <w:tcPr>
            <w:shd w:val="clear" w:fill="BDBDBD"/>
            <w:tcW w:w="3351" w:type="dxa"/>
            <w:vAlign w:val="top"/>
          </w:tcPr>
          <w:p>
            <w:pPr>
              <w:pStyle w:val="TableText"/>
              <w:ind w:left="939"/>
              <w:spacing w:before="181" w:line="220" w:lineRule="auto"/>
              <w:rPr>
                <w:sz w:val="21"/>
                <w:szCs w:val="21"/>
              </w:rPr>
            </w:pPr>
            <w:r>
              <w:rPr>
                <w:sz w:val="21"/>
                <w:szCs w:val="21"/>
                <w:b/>
                <w:bCs/>
              </w:rPr>
              <w:t>处置措施及去向</w:t>
            </w:r>
          </w:p>
        </w:tc>
      </w:tr>
      <w:tr>
        <w:trPr>
          <w:trHeight w:val="539" w:hRule="atLeast"/>
        </w:trPr>
        <w:tc>
          <w:tcPr>
            <w:tcW w:w="1953" w:type="dxa"/>
            <w:vAlign w:val="top"/>
            <w:gridSpan w:val="2"/>
          </w:tcPr>
          <w:p>
            <w:pPr>
              <w:pStyle w:val="TableText"/>
              <w:ind w:left="545"/>
              <w:spacing w:before="170" w:line="220" w:lineRule="auto"/>
              <w:rPr>
                <w:sz w:val="21"/>
                <w:szCs w:val="21"/>
              </w:rPr>
            </w:pPr>
            <w:r>
              <w:rPr>
                <w:sz w:val="21"/>
                <w:szCs w:val="21"/>
                <w:spacing w:val="-2"/>
              </w:rPr>
              <w:t>生活垃圾</w:t>
            </w:r>
          </w:p>
        </w:tc>
        <w:tc>
          <w:tcPr>
            <w:tcW w:w="639" w:type="dxa"/>
            <w:vAlign w:val="top"/>
          </w:tcPr>
          <w:p>
            <w:pPr>
              <w:pStyle w:val="TableText"/>
              <w:ind w:left="81" w:hanging="69"/>
              <w:spacing w:before="19" w:line="224" w:lineRule="auto"/>
              <w:rPr>
                <w:sz w:val="21"/>
                <w:szCs w:val="21"/>
              </w:rPr>
            </w:pPr>
            <w:r>
              <w:rPr>
                <w:sz w:val="21"/>
                <w:szCs w:val="21"/>
                <w:spacing w:val="-22"/>
              </w:rPr>
              <w:t>办公</w:t>
            </w:r>
            <w:r>
              <w:rPr>
                <w:sz w:val="21"/>
                <w:szCs w:val="21"/>
                <w:spacing w:val="-54"/>
              </w:rPr>
              <w:t xml:space="preserve"> </w:t>
            </w:r>
            <w:r>
              <w:rPr>
                <w:sz w:val="21"/>
                <w:szCs w:val="21"/>
                <w:spacing w:val="-22"/>
              </w:rPr>
              <w:t>、</w:t>
            </w:r>
            <w:r>
              <w:rPr>
                <w:sz w:val="21"/>
                <w:szCs w:val="21"/>
              </w:rPr>
              <w:t xml:space="preserve"> </w:t>
            </w:r>
            <w:r>
              <w:rPr>
                <w:sz w:val="21"/>
                <w:szCs w:val="21"/>
                <w:spacing w:val="-17"/>
              </w:rPr>
              <w:t>生活</w:t>
            </w:r>
          </w:p>
        </w:tc>
        <w:tc>
          <w:tcPr>
            <w:tcW w:w="689" w:type="dxa"/>
            <w:vAlign w:val="top"/>
          </w:tcPr>
          <w:p>
            <w:pPr>
              <w:pStyle w:val="TableText"/>
              <w:ind w:left="233"/>
              <w:spacing w:before="190"/>
              <w:rPr>
                <w:sz w:val="21"/>
                <w:szCs w:val="21"/>
              </w:rPr>
            </w:pPr>
            <w:r>
              <w:rPr>
                <w:sz w:val="21"/>
                <w:szCs w:val="21"/>
                <w:spacing w:val="-4"/>
              </w:rPr>
              <w:t>36</w:t>
            </w:r>
          </w:p>
        </w:tc>
        <w:tc>
          <w:tcPr>
            <w:tcW w:w="1658" w:type="dxa"/>
            <w:vAlign w:val="top"/>
            <w:gridSpan w:val="2"/>
          </w:tcPr>
          <w:p>
            <w:pPr>
              <w:pStyle w:val="TableText"/>
              <w:ind w:left="614"/>
              <w:spacing w:before="113" w:line="166" w:lineRule="auto"/>
              <w:rPr>
                <w:sz w:val="21"/>
                <w:szCs w:val="21"/>
              </w:rPr>
            </w:pPr>
            <w:r>
              <w:rPr>
                <w:sz w:val="21"/>
                <w:szCs w:val="21"/>
                <w:spacing w:val="-2"/>
              </w:rPr>
              <w:t>SW64</w:t>
            </w:r>
          </w:p>
          <w:p>
            <w:pPr>
              <w:pStyle w:val="TableText"/>
              <w:ind w:left="134"/>
              <w:spacing w:before="1" w:line="198" w:lineRule="auto"/>
              <w:rPr>
                <w:sz w:val="21"/>
                <w:szCs w:val="21"/>
              </w:rPr>
            </w:pPr>
            <w:r>
              <w:rPr>
                <w:sz w:val="21"/>
                <w:szCs w:val="21"/>
                <w:spacing w:val="-4"/>
              </w:rPr>
              <w:t>(900-099-S64)</w:t>
            </w:r>
          </w:p>
        </w:tc>
        <w:tc>
          <w:tcPr>
            <w:tcW w:w="470" w:type="dxa"/>
            <w:vAlign w:val="top"/>
          </w:tcPr>
          <w:p>
            <w:pPr>
              <w:pStyle w:val="TableText"/>
              <w:ind w:left="16"/>
              <w:spacing w:before="170" w:line="220" w:lineRule="auto"/>
              <w:rPr>
                <w:sz w:val="21"/>
                <w:szCs w:val="21"/>
              </w:rPr>
            </w:pPr>
            <w:r>
              <w:rPr>
                <w:sz w:val="21"/>
                <w:szCs w:val="21"/>
                <w:spacing w:val="5"/>
              </w:rPr>
              <w:t>固态</w:t>
            </w:r>
          </w:p>
        </w:tc>
        <w:tc>
          <w:tcPr>
            <w:tcW w:w="3351" w:type="dxa"/>
            <w:vAlign w:val="top"/>
          </w:tcPr>
          <w:p>
            <w:pPr>
              <w:pStyle w:val="TableText"/>
              <w:ind w:left="16" w:right="180"/>
              <w:spacing w:before="28" w:line="220" w:lineRule="auto"/>
              <w:rPr>
                <w:sz w:val="21"/>
                <w:szCs w:val="21"/>
              </w:rPr>
            </w:pPr>
            <w:r>
              <w:rPr>
                <w:sz w:val="21"/>
                <w:szCs w:val="21"/>
                <w:spacing w:val="-1"/>
              </w:rPr>
              <w:t>经垃圾桶收集后、袋装暂存在垃圾</w:t>
            </w:r>
            <w:r>
              <w:rPr>
                <w:sz w:val="21"/>
                <w:szCs w:val="21"/>
                <w:spacing w:val="4"/>
              </w:rPr>
              <w:t xml:space="preserve"> </w:t>
            </w:r>
            <w:r>
              <w:rPr>
                <w:sz w:val="21"/>
                <w:szCs w:val="21"/>
                <w:spacing w:val="-1"/>
              </w:rPr>
              <w:t>收集点，交由环卫部门定期清运。</w:t>
            </w:r>
          </w:p>
        </w:tc>
      </w:tr>
      <w:tr>
        <w:trPr>
          <w:trHeight w:val="818" w:hRule="atLeast"/>
        </w:trPr>
        <w:tc>
          <w:tcPr>
            <w:tcW w:w="445" w:type="dxa"/>
            <w:vAlign w:val="top"/>
            <w:vMerge w:val="restart"/>
            <w:tcBorders>
              <w:bottom w:val="nil"/>
            </w:tcBorders>
          </w:tcPr>
          <w:p>
            <w:pPr>
              <w:spacing w:line="266"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pStyle w:val="TableText"/>
              <w:ind w:left="15"/>
              <w:spacing w:before="69" w:line="220" w:lineRule="auto"/>
              <w:rPr>
                <w:sz w:val="21"/>
                <w:szCs w:val="21"/>
              </w:rPr>
            </w:pPr>
            <w:r>
              <w:rPr>
                <w:sz w:val="21"/>
                <w:szCs w:val="21"/>
                <w:color w:val="404030"/>
                <w:spacing w:val="-3"/>
              </w:rPr>
              <w:t>生猪</w:t>
            </w:r>
          </w:p>
          <w:p>
            <w:pPr>
              <w:pStyle w:val="TableText"/>
              <w:ind w:left="15"/>
              <w:spacing w:before="9" w:line="249" w:lineRule="auto"/>
              <w:rPr>
                <w:sz w:val="21"/>
                <w:szCs w:val="21"/>
              </w:rPr>
            </w:pPr>
            <w:r>
              <w:rPr>
                <w:sz w:val="21"/>
                <w:szCs w:val="21"/>
                <w:spacing w:val="-1"/>
              </w:rPr>
              <w:t>屠宰</w:t>
            </w:r>
            <w:r>
              <w:rPr>
                <w:sz w:val="21"/>
                <w:szCs w:val="21"/>
              </w:rPr>
              <w:t xml:space="preserve"> </w:t>
            </w:r>
            <w:r>
              <w:rPr>
                <w:sz w:val="21"/>
                <w:szCs w:val="21"/>
                <w:spacing w:val="-6"/>
              </w:rPr>
              <w:t>废物</w:t>
            </w:r>
          </w:p>
        </w:tc>
        <w:tc>
          <w:tcPr>
            <w:tcW w:w="1508" w:type="dxa"/>
            <w:vAlign w:val="top"/>
          </w:tcPr>
          <w:p>
            <w:pPr>
              <w:pStyle w:val="TableText"/>
              <w:ind w:left="430" w:right="428" w:firstLine="100"/>
              <w:spacing w:before="161" w:line="248" w:lineRule="auto"/>
              <w:rPr>
                <w:sz w:val="21"/>
                <w:szCs w:val="21"/>
              </w:rPr>
            </w:pPr>
            <w:r>
              <w:rPr>
                <w:sz w:val="21"/>
                <w:szCs w:val="21"/>
                <w:spacing w:val="8"/>
              </w:rPr>
              <w:t>待宰</w:t>
            </w:r>
            <w:r>
              <w:rPr>
                <w:sz w:val="21"/>
                <w:szCs w:val="21"/>
              </w:rPr>
              <w:t xml:space="preserve">  </w:t>
            </w:r>
            <w:r>
              <w:rPr>
                <w:sz w:val="21"/>
                <w:szCs w:val="21"/>
                <w:spacing w:val="3"/>
              </w:rPr>
              <w:t>圈粪便</w:t>
            </w:r>
          </w:p>
        </w:tc>
        <w:tc>
          <w:tcPr>
            <w:tcW w:w="639" w:type="dxa"/>
            <w:vAlign w:val="top"/>
          </w:tcPr>
          <w:p>
            <w:pPr>
              <w:pStyle w:val="TableText"/>
              <w:ind w:left="102" w:right="90"/>
              <w:spacing w:before="170" w:line="215" w:lineRule="auto"/>
              <w:rPr>
                <w:sz w:val="21"/>
                <w:szCs w:val="21"/>
              </w:rPr>
            </w:pPr>
            <w:r>
              <w:rPr>
                <w:sz w:val="21"/>
                <w:szCs w:val="21"/>
                <w:spacing w:val="-5"/>
              </w:rPr>
              <w:t>生猪</w:t>
            </w:r>
            <w:r>
              <w:rPr>
                <w:sz w:val="21"/>
                <w:szCs w:val="21"/>
              </w:rPr>
              <w:t xml:space="preserve"> </w:t>
            </w:r>
            <w:r>
              <w:rPr>
                <w:sz w:val="21"/>
                <w:szCs w:val="21"/>
                <w:spacing w:val="8"/>
              </w:rPr>
              <w:t>待宰</w:t>
            </w:r>
          </w:p>
        </w:tc>
        <w:tc>
          <w:tcPr>
            <w:tcW w:w="689" w:type="dxa"/>
            <w:vAlign w:val="top"/>
          </w:tcPr>
          <w:p>
            <w:pPr>
              <w:spacing w:line="261" w:lineRule="auto"/>
              <w:rPr>
                <w:rFonts w:ascii="Arial"/>
                <w:sz w:val="21"/>
              </w:rPr>
            </w:pPr>
            <w:r/>
          </w:p>
          <w:p>
            <w:pPr>
              <w:pStyle w:val="TableText"/>
              <w:ind w:left="173"/>
              <w:spacing w:before="68"/>
              <w:rPr>
                <w:sz w:val="21"/>
                <w:szCs w:val="21"/>
              </w:rPr>
            </w:pPr>
            <w:r>
              <w:rPr>
                <w:sz w:val="21"/>
                <w:szCs w:val="21"/>
                <w:spacing w:val="-2"/>
              </w:rPr>
              <w:t>496</w:t>
            </w:r>
          </w:p>
        </w:tc>
        <w:tc>
          <w:tcPr>
            <w:tcW w:w="230" w:type="dxa"/>
            <w:vAlign w:val="top"/>
            <w:vMerge w:val="restart"/>
            <w:textDirection w:val="tbRlV"/>
            <w:tcBorders>
              <w:bottom w:val="nil"/>
            </w:tcBorders>
          </w:tcPr>
          <w:p>
            <w:pPr>
              <w:pStyle w:val="TableText"/>
              <w:ind w:left="1532"/>
              <w:spacing w:before="4" w:line="202" w:lineRule="auto"/>
              <w:rPr>
                <w:sz w:val="21"/>
                <w:szCs w:val="21"/>
              </w:rPr>
            </w:pPr>
            <w:r>
              <w:rPr>
                <w:sz w:val="21"/>
                <w:szCs w:val="21"/>
                <w:color w:val="303040"/>
              </w:rPr>
              <w:t>般</w:t>
            </w:r>
            <w:r>
              <w:rPr>
                <w:sz w:val="21"/>
                <w:szCs w:val="21"/>
                <w:color w:val="303040"/>
                <w:spacing w:val="9"/>
              </w:rPr>
              <w:t xml:space="preserve"> </w:t>
            </w:r>
            <w:r>
              <w:rPr>
                <w:sz w:val="21"/>
                <w:szCs w:val="21"/>
                <w:color w:val="303040"/>
              </w:rPr>
              <w:t>固</w:t>
            </w:r>
            <w:r>
              <w:rPr>
                <w:sz w:val="21"/>
                <w:szCs w:val="21"/>
              </w:rPr>
              <w:t>废</w:t>
            </w:r>
          </w:p>
        </w:tc>
        <w:tc>
          <w:tcPr>
            <w:tcW w:w="1428" w:type="dxa"/>
            <w:vAlign w:val="top"/>
          </w:tcPr>
          <w:p>
            <w:pPr>
              <w:pStyle w:val="TableText"/>
              <w:ind w:left="74"/>
              <w:spacing w:before="204" w:line="222" w:lineRule="auto"/>
              <w:rPr>
                <w:sz w:val="21"/>
                <w:szCs w:val="21"/>
              </w:rPr>
            </w:pPr>
            <w:r>
              <w:rPr>
                <w:sz w:val="21"/>
                <w:szCs w:val="21"/>
                <w:spacing w:val="-1"/>
              </w:rPr>
              <w:t>SW82(030-001</w:t>
            </w:r>
          </w:p>
          <w:p>
            <w:pPr>
              <w:pStyle w:val="TableText"/>
              <w:ind w:left="444"/>
              <w:spacing w:before="7" w:line="222" w:lineRule="auto"/>
              <w:rPr>
                <w:sz w:val="21"/>
                <w:szCs w:val="21"/>
              </w:rPr>
            </w:pPr>
            <w:r>
              <w:rPr>
                <w:sz w:val="21"/>
                <w:szCs w:val="21"/>
                <w:spacing w:val="-2"/>
              </w:rPr>
              <w:t>-S82)</w:t>
            </w:r>
          </w:p>
        </w:tc>
        <w:tc>
          <w:tcPr>
            <w:tcW w:w="470" w:type="dxa"/>
            <w:vAlign w:val="top"/>
          </w:tcPr>
          <w:p>
            <w:pPr>
              <w:pStyle w:val="TableText"/>
              <w:ind w:left="126" w:right="2" w:hanging="110"/>
              <w:spacing w:before="201" w:line="220" w:lineRule="auto"/>
              <w:rPr>
                <w:sz w:val="21"/>
                <w:szCs w:val="21"/>
              </w:rPr>
            </w:pPr>
            <w:r>
              <w:rPr>
                <w:sz w:val="21"/>
                <w:szCs w:val="21"/>
                <w:spacing w:val="10"/>
              </w:rPr>
              <w:t>半固</w:t>
            </w:r>
            <w:r>
              <w:rPr>
                <w:sz w:val="21"/>
                <w:szCs w:val="21"/>
              </w:rPr>
              <w:t xml:space="preserve"> </w:t>
            </w:r>
            <w:r>
              <w:rPr>
                <w:sz w:val="21"/>
                <w:szCs w:val="21"/>
              </w:rPr>
              <w:t>态</w:t>
            </w:r>
          </w:p>
        </w:tc>
        <w:tc>
          <w:tcPr>
            <w:tcW w:w="3351" w:type="dxa"/>
            <w:vAlign w:val="top"/>
          </w:tcPr>
          <w:p>
            <w:pPr>
              <w:pStyle w:val="TableText"/>
              <w:ind w:left="16" w:right="164"/>
              <w:spacing w:before="50" w:line="222" w:lineRule="auto"/>
              <w:jc w:val="both"/>
              <w:rPr>
                <w:sz w:val="21"/>
                <w:szCs w:val="21"/>
              </w:rPr>
            </w:pPr>
            <w:r>
              <w:rPr>
                <w:sz w:val="21"/>
                <w:szCs w:val="21"/>
              </w:rPr>
              <w:t>经人工袋装密封收集后，运至固废</w:t>
            </w:r>
            <w:r>
              <w:rPr>
                <w:sz w:val="21"/>
                <w:szCs w:val="21"/>
                <w:spacing w:val="9"/>
              </w:rPr>
              <w:t xml:space="preserve"> </w:t>
            </w:r>
            <w:r>
              <w:rPr>
                <w:sz w:val="21"/>
                <w:szCs w:val="21"/>
              </w:rPr>
              <w:t>暂存间进行暂存，收集后由有机肥</w:t>
            </w:r>
            <w:r>
              <w:rPr>
                <w:sz w:val="21"/>
                <w:szCs w:val="21"/>
                <w:spacing w:val="6"/>
              </w:rPr>
              <w:t xml:space="preserve"> </w:t>
            </w:r>
            <w:r>
              <w:rPr>
                <w:sz w:val="21"/>
                <w:szCs w:val="21"/>
                <w:spacing w:val="-1"/>
              </w:rPr>
              <w:t>公司每日定时定点清运。</w:t>
            </w:r>
          </w:p>
        </w:tc>
      </w:tr>
      <w:tr>
        <w:trPr>
          <w:trHeight w:val="1087" w:hRule="atLeast"/>
        </w:trPr>
        <w:tc>
          <w:tcPr>
            <w:tcW w:w="445" w:type="dxa"/>
            <w:vAlign w:val="top"/>
            <w:vMerge w:val="continue"/>
            <w:tcBorders>
              <w:top w:val="nil"/>
              <w:bottom w:val="nil"/>
            </w:tcBorders>
          </w:tcPr>
          <w:p>
            <w:pPr>
              <w:rPr>
                <w:rFonts w:ascii="Arial"/>
                <w:sz w:val="21"/>
              </w:rPr>
            </w:pPr>
            <w:r/>
          </w:p>
        </w:tc>
        <w:tc>
          <w:tcPr>
            <w:tcW w:w="1508" w:type="dxa"/>
            <w:vAlign w:val="top"/>
          </w:tcPr>
          <w:p>
            <w:pPr>
              <w:pStyle w:val="TableText"/>
              <w:ind w:left="220" w:right="112" w:hanging="110"/>
              <w:spacing w:before="302" w:line="248" w:lineRule="auto"/>
              <w:rPr>
                <w:sz w:val="21"/>
                <w:szCs w:val="21"/>
              </w:rPr>
            </w:pPr>
            <w:r>
              <w:rPr>
                <w:sz w:val="21"/>
                <w:szCs w:val="21"/>
                <w:spacing w:val="2"/>
              </w:rPr>
              <w:t>疫病猪、病胴 </w:t>
            </w:r>
            <w:r>
              <w:rPr>
                <w:sz w:val="21"/>
                <w:szCs w:val="21"/>
                <w:spacing w:val="-2"/>
              </w:rPr>
              <w:t>体、病内脏</w:t>
            </w:r>
          </w:p>
        </w:tc>
        <w:tc>
          <w:tcPr>
            <w:tcW w:w="639" w:type="dxa"/>
            <w:vAlign w:val="top"/>
          </w:tcPr>
          <w:p>
            <w:pPr>
              <w:pStyle w:val="TableText"/>
              <w:ind w:left="102"/>
              <w:spacing w:before="292" w:line="219" w:lineRule="auto"/>
              <w:rPr>
                <w:sz w:val="21"/>
                <w:szCs w:val="21"/>
              </w:rPr>
            </w:pPr>
            <w:r>
              <w:rPr>
                <w:sz w:val="21"/>
                <w:szCs w:val="21"/>
                <w:spacing w:val="-3"/>
              </w:rPr>
              <w:t>检验</w:t>
            </w:r>
          </w:p>
          <w:p>
            <w:pPr>
              <w:pStyle w:val="TableText"/>
              <w:ind w:left="102"/>
              <w:spacing w:before="30" w:line="219" w:lineRule="auto"/>
              <w:rPr>
                <w:sz w:val="21"/>
                <w:szCs w:val="21"/>
              </w:rPr>
            </w:pPr>
            <w:r>
              <w:rPr>
                <w:sz w:val="21"/>
                <w:szCs w:val="21"/>
                <w:spacing w:val="-3"/>
              </w:rPr>
              <w:t>检疫</w:t>
            </w:r>
          </w:p>
        </w:tc>
        <w:tc>
          <w:tcPr>
            <w:tcW w:w="689" w:type="dxa"/>
            <w:vAlign w:val="top"/>
          </w:tcPr>
          <w:p>
            <w:pPr>
              <w:spacing w:line="392" w:lineRule="auto"/>
              <w:rPr>
                <w:rFonts w:ascii="Arial"/>
                <w:sz w:val="21"/>
              </w:rPr>
            </w:pPr>
            <w:r/>
          </w:p>
          <w:p>
            <w:pPr>
              <w:pStyle w:val="TableText"/>
              <w:ind w:left="173"/>
              <w:spacing w:before="68"/>
              <w:rPr>
                <w:sz w:val="21"/>
                <w:szCs w:val="21"/>
              </w:rPr>
            </w:pPr>
            <w:r>
              <w:rPr>
                <w:sz w:val="21"/>
                <w:szCs w:val="21"/>
                <w:spacing w:val="-3"/>
              </w:rPr>
              <w:t>344</w:t>
            </w:r>
          </w:p>
        </w:tc>
        <w:tc>
          <w:tcPr>
            <w:tcW w:w="230" w:type="dxa"/>
            <w:vAlign w:val="top"/>
            <w:vMerge w:val="continue"/>
            <w:textDirection w:val="tbRlV"/>
            <w:tcBorders>
              <w:top w:val="nil"/>
              <w:bottom w:val="nil"/>
            </w:tcBorders>
          </w:tcPr>
          <w:p>
            <w:pPr>
              <w:spacing w:line="220" w:lineRule="exact"/>
              <w:rPr>
                <w:rFonts w:ascii="Arial"/>
                <w:sz w:val="18"/>
              </w:rPr>
            </w:pPr>
            <w:r/>
          </w:p>
        </w:tc>
        <w:tc>
          <w:tcPr>
            <w:tcW w:w="1428" w:type="dxa"/>
            <w:vAlign w:val="top"/>
          </w:tcPr>
          <w:p>
            <w:pPr>
              <w:spacing w:line="256" w:lineRule="auto"/>
              <w:rPr>
                <w:rFonts w:ascii="Arial"/>
                <w:sz w:val="21"/>
              </w:rPr>
            </w:pPr>
            <w:r/>
          </w:p>
          <w:p>
            <w:pPr>
              <w:pStyle w:val="TableText"/>
              <w:ind w:left="74"/>
              <w:spacing w:before="68" w:line="222" w:lineRule="auto"/>
              <w:rPr>
                <w:sz w:val="21"/>
                <w:szCs w:val="21"/>
              </w:rPr>
            </w:pPr>
            <w:r>
              <w:rPr>
                <w:sz w:val="21"/>
                <w:szCs w:val="21"/>
                <w:spacing w:val="-1"/>
              </w:rPr>
              <w:t>SW82(030-002</w:t>
            </w:r>
          </w:p>
          <w:p>
            <w:pPr>
              <w:pStyle w:val="TableText"/>
              <w:ind w:left="444"/>
              <w:spacing w:before="7" w:line="222" w:lineRule="auto"/>
              <w:rPr>
                <w:sz w:val="21"/>
                <w:szCs w:val="21"/>
              </w:rPr>
            </w:pPr>
            <w:r>
              <w:rPr>
                <w:sz w:val="21"/>
                <w:szCs w:val="21"/>
                <w:spacing w:val="-2"/>
              </w:rPr>
              <w:t>-S82)</w:t>
            </w:r>
          </w:p>
        </w:tc>
        <w:tc>
          <w:tcPr>
            <w:tcW w:w="470" w:type="dxa"/>
            <w:vAlign w:val="top"/>
          </w:tcPr>
          <w:p>
            <w:pPr>
              <w:spacing w:line="372" w:lineRule="auto"/>
              <w:rPr>
                <w:rFonts w:ascii="Arial"/>
                <w:sz w:val="21"/>
              </w:rPr>
            </w:pPr>
            <w:r/>
          </w:p>
          <w:p>
            <w:pPr>
              <w:pStyle w:val="TableText"/>
              <w:ind w:left="16"/>
              <w:spacing w:before="69" w:line="220" w:lineRule="auto"/>
              <w:rPr>
                <w:sz w:val="21"/>
                <w:szCs w:val="21"/>
              </w:rPr>
            </w:pPr>
            <w:r>
              <w:rPr>
                <w:sz w:val="21"/>
                <w:szCs w:val="21"/>
                <w:spacing w:val="5"/>
              </w:rPr>
              <w:t>固态</w:t>
            </w:r>
          </w:p>
        </w:tc>
        <w:tc>
          <w:tcPr>
            <w:tcW w:w="3351" w:type="dxa"/>
            <w:vAlign w:val="top"/>
          </w:tcPr>
          <w:p>
            <w:pPr>
              <w:pStyle w:val="TableText"/>
              <w:ind w:left="16" w:right="152"/>
              <w:spacing w:before="21" w:line="232" w:lineRule="auto"/>
              <w:jc w:val="both"/>
              <w:rPr>
                <w:sz w:val="21"/>
                <w:szCs w:val="21"/>
              </w:rPr>
            </w:pPr>
            <w:r>
              <w:rPr>
                <w:sz w:val="21"/>
                <w:szCs w:val="21"/>
                <w:spacing w:val="-1"/>
              </w:rPr>
              <w:t>屠宰过程中发现的病猪胴体及不可</w:t>
            </w:r>
            <w:r>
              <w:rPr>
                <w:sz w:val="21"/>
                <w:szCs w:val="21"/>
                <w:spacing w:val="4"/>
              </w:rPr>
              <w:t xml:space="preserve"> </w:t>
            </w:r>
            <w:r>
              <w:rPr>
                <w:sz w:val="21"/>
                <w:szCs w:val="21"/>
              </w:rPr>
              <w:t>食用肉暂存于病猪胴体冻库内，定</w:t>
            </w:r>
            <w:r>
              <w:rPr>
                <w:sz w:val="21"/>
                <w:szCs w:val="21"/>
                <w:spacing w:val="12"/>
              </w:rPr>
              <w:t xml:space="preserve"> </w:t>
            </w:r>
            <w:r>
              <w:rPr>
                <w:sz w:val="21"/>
                <w:szCs w:val="21"/>
                <w:spacing w:val="1"/>
              </w:rPr>
              <w:t>期交绵阳市病死畜禽无害化处理中</w:t>
            </w:r>
            <w:r>
              <w:rPr>
                <w:sz w:val="21"/>
                <w:szCs w:val="21"/>
                <w:spacing w:val="6"/>
              </w:rPr>
              <w:t xml:space="preserve"> </w:t>
            </w:r>
            <w:r>
              <w:rPr>
                <w:sz w:val="21"/>
                <w:szCs w:val="21"/>
                <w:spacing w:val="-1"/>
              </w:rPr>
              <w:t>心进行无害化处置。</w:t>
            </w:r>
          </w:p>
        </w:tc>
      </w:tr>
      <w:tr>
        <w:trPr>
          <w:trHeight w:val="1087" w:hRule="atLeast"/>
        </w:trPr>
        <w:tc>
          <w:tcPr>
            <w:tcW w:w="445" w:type="dxa"/>
            <w:vAlign w:val="top"/>
            <w:vMerge w:val="continue"/>
            <w:tcBorders>
              <w:top w:val="nil"/>
              <w:bottom w:val="nil"/>
            </w:tcBorders>
          </w:tcPr>
          <w:p>
            <w:pPr>
              <w:rPr>
                <w:rFonts w:ascii="Arial"/>
                <w:sz w:val="21"/>
              </w:rPr>
            </w:pPr>
            <w:r/>
          </w:p>
        </w:tc>
        <w:tc>
          <w:tcPr>
            <w:tcW w:w="1508" w:type="dxa"/>
            <w:vAlign w:val="top"/>
          </w:tcPr>
          <w:p>
            <w:pPr>
              <w:spacing w:line="373" w:lineRule="auto"/>
              <w:rPr>
                <w:rFonts w:ascii="Arial"/>
                <w:sz w:val="21"/>
              </w:rPr>
            </w:pPr>
            <w:r/>
          </w:p>
          <w:p>
            <w:pPr>
              <w:pStyle w:val="TableText"/>
              <w:ind w:left="319"/>
              <w:spacing w:before="69" w:line="219" w:lineRule="auto"/>
              <w:rPr>
                <w:sz w:val="21"/>
                <w:szCs w:val="21"/>
              </w:rPr>
            </w:pPr>
            <w:r>
              <w:rPr>
                <w:sz w:val="21"/>
                <w:szCs w:val="21"/>
                <w:spacing w:val="2"/>
              </w:rPr>
              <w:t>胃肠容物</w:t>
            </w:r>
          </w:p>
        </w:tc>
        <w:tc>
          <w:tcPr>
            <w:tcW w:w="639" w:type="dxa"/>
            <w:vAlign w:val="top"/>
            <w:vMerge w:val="restart"/>
            <w:tcBorders>
              <w:bottom w:val="nil"/>
            </w:tcBorders>
          </w:tcPr>
          <w:p>
            <w:pPr>
              <w:spacing w:line="261" w:lineRule="auto"/>
              <w:rPr>
                <w:rFonts w:ascii="Arial"/>
                <w:sz w:val="21"/>
              </w:rPr>
            </w:pPr>
            <w:r/>
          </w:p>
          <w:p>
            <w:pPr>
              <w:spacing w:line="262" w:lineRule="auto"/>
              <w:rPr>
                <w:rFonts w:ascii="Arial"/>
                <w:sz w:val="21"/>
              </w:rPr>
            </w:pPr>
            <w:r/>
          </w:p>
          <w:p>
            <w:pPr>
              <w:pStyle w:val="TableText"/>
              <w:ind w:left="12" w:firstLine="89"/>
              <w:spacing w:before="68" w:line="231" w:lineRule="auto"/>
              <w:rPr>
                <w:sz w:val="21"/>
                <w:szCs w:val="21"/>
              </w:rPr>
            </w:pPr>
            <w:r>
              <w:rPr>
                <w:sz w:val="21"/>
                <w:szCs w:val="21"/>
                <w:spacing w:val="7"/>
              </w:rPr>
              <w:t>屠宰</w:t>
            </w:r>
            <w:r>
              <w:rPr>
                <w:sz w:val="21"/>
                <w:szCs w:val="21"/>
              </w:rPr>
              <w:t xml:space="preserve">  </w:t>
            </w:r>
            <w:r>
              <w:rPr>
                <w:sz w:val="21"/>
                <w:szCs w:val="21"/>
                <w:spacing w:val="-5"/>
              </w:rPr>
              <w:t>生产线</w:t>
            </w:r>
          </w:p>
        </w:tc>
        <w:tc>
          <w:tcPr>
            <w:tcW w:w="689" w:type="dxa"/>
            <w:vAlign w:val="top"/>
          </w:tcPr>
          <w:p>
            <w:pPr>
              <w:spacing w:line="415" w:lineRule="auto"/>
              <w:rPr>
                <w:rFonts w:ascii="Arial"/>
                <w:sz w:val="21"/>
              </w:rPr>
            </w:pPr>
            <w:r/>
          </w:p>
          <w:p>
            <w:pPr>
              <w:pStyle w:val="TableText"/>
              <w:ind w:left="123"/>
              <w:spacing w:before="68"/>
              <w:rPr>
                <w:sz w:val="21"/>
                <w:szCs w:val="21"/>
              </w:rPr>
            </w:pPr>
            <w:r>
              <w:rPr>
                <w:sz w:val="21"/>
                <w:szCs w:val="21"/>
                <w:spacing w:val="-5"/>
              </w:rPr>
              <w:t>1080</w:t>
            </w:r>
          </w:p>
          <w:p>
            <w:pPr>
              <w:pStyle w:val="TableText"/>
              <w:ind w:left="13"/>
              <w:spacing w:before="283" w:line="34" w:lineRule="exact"/>
              <w:rPr>
                <w:sz w:val="21"/>
                <w:szCs w:val="21"/>
              </w:rPr>
            </w:pPr>
            <w:r>
              <w:rPr>
                <w:sz w:val="21"/>
                <w:szCs w:val="21"/>
                <w:position w:val="2"/>
              </w:rPr>
              <w:t>_</w:t>
            </w:r>
          </w:p>
        </w:tc>
        <w:tc>
          <w:tcPr>
            <w:tcW w:w="230" w:type="dxa"/>
            <w:vAlign w:val="top"/>
            <w:vMerge w:val="continue"/>
            <w:textDirection w:val="tbRlV"/>
            <w:tcBorders>
              <w:top w:val="nil"/>
              <w:bottom w:val="nil"/>
            </w:tcBorders>
          </w:tcPr>
          <w:p>
            <w:pPr>
              <w:spacing w:line="220" w:lineRule="exact"/>
              <w:rPr>
                <w:rFonts w:ascii="Arial"/>
                <w:sz w:val="18"/>
              </w:rPr>
            </w:pPr>
            <w:r/>
          </w:p>
        </w:tc>
        <w:tc>
          <w:tcPr>
            <w:tcW w:w="1428" w:type="dxa"/>
            <w:vAlign w:val="top"/>
            <w:vMerge w:val="restart"/>
            <w:tcBorders>
              <w:bottom w:val="nil"/>
            </w:tcBorders>
          </w:tcPr>
          <w:p>
            <w:pPr>
              <w:spacing w:line="263" w:lineRule="auto"/>
              <w:rPr>
                <w:rFonts w:ascii="Arial"/>
                <w:sz w:val="21"/>
              </w:rPr>
            </w:pPr>
            <w:r/>
          </w:p>
          <w:p>
            <w:pPr>
              <w:spacing w:line="264" w:lineRule="auto"/>
              <w:rPr>
                <w:rFonts w:ascii="Arial"/>
                <w:sz w:val="21"/>
              </w:rPr>
            </w:pPr>
            <w:r/>
          </w:p>
          <w:p>
            <w:pPr>
              <w:pStyle w:val="TableText"/>
              <w:ind w:left="74"/>
              <w:spacing w:before="68" w:line="222" w:lineRule="auto"/>
              <w:rPr>
                <w:sz w:val="21"/>
                <w:szCs w:val="21"/>
              </w:rPr>
            </w:pPr>
            <w:r>
              <w:rPr>
                <w:sz w:val="21"/>
                <w:szCs w:val="21"/>
                <w:spacing w:val="-1"/>
              </w:rPr>
              <w:t>SW13(135-001</w:t>
            </w:r>
          </w:p>
          <w:p>
            <w:pPr>
              <w:pStyle w:val="TableText"/>
              <w:ind w:left="444"/>
              <w:spacing w:before="17" w:line="222" w:lineRule="auto"/>
              <w:rPr>
                <w:sz w:val="21"/>
                <w:szCs w:val="21"/>
              </w:rPr>
            </w:pPr>
            <w:r>
              <w:rPr>
                <w:sz w:val="21"/>
                <w:szCs w:val="21"/>
                <w:spacing w:val="-2"/>
              </w:rPr>
              <w:t>-S13)</w:t>
            </w:r>
          </w:p>
        </w:tc>
        <w:tc>
          <w:tcPr>
            <w:tcW w:w="470" w:type="dxa"/>
            <w:vAlign w:val="top"/>
          </w:tcPr>
          <w:p>
            <w:pPr>
              <w:pStyle w:val="TableText"/>
              <w:ind w:left="126" w:right="2" w:hanging="110"/>
              <w:spacing w:before="307" w:line="246" w:lineRule="auto"/>
              <w:rPr>
                <w:sz w:val="21"/>
                <w:szCs w:val="21"/>
              </w:rPr>
            </w:pPr>
            <w:r>
              <w:rPr>
                <w:sz w:val="21"/>
                <w:szCs w:val="21"/>
                <w:spacing w:val="10"/>
              </w:rPr>
              <w:t>半固</w:t>
            </w:r>
            <w:r>
              <w:rPr>
                <w:sz w:val="21"/>
                <w:szCs w:val="21"/>
              </w:rPr>
              <w:t xml:space="preserve"> </w:t>
            </w:r>
            <w:r>
              <w:rPr>
                <w:sz w:val="21"/>
                <w:szCs w:val="21"/>
              </w:rPr>
              <w:t>态</w:t>
            </w:r>
          </w:p>
        </w:tc>
        <w:tc>
          <w:tcPr>
            <w:tcW w:w="3351" w:type="dxa"/>
            <w:vAlign w:val="top"/>
          </w:tcPr>
          <w:p>
            <w:pPr>
              <w:pStyle w:val="TableText"/>
              <w:ind w:left="16" w:right="182"/>
              <w:spacing w:before="35" w:line="237" w:lineRule="auto"/>
              <w:rPr>
                <w:sz w:val="21"/>
                <w:szCs w:val="21"/>
              </w:rPr>
            </w:pPr>
            <w:r>
              <w:rPr>
                <w:sz w:val="21"/>
                <w:szCs w:val="21"/>
                <w:spacing w:val="-1"/>
              </w:rPr>
              <w:t>采用专用密闭容器收集后，暂存于</w:t>
            </w:r>
            <w:r>
              <w:rPr>
                <w:sz w:val="21"/>
                <w:szCs w:val="21"/>
                <w:spacing w:val="6"/>
              </w:rPr>
              <w:t xml:space="preserve"> </w:t>
            </w:r>
            <w:r>
              <w:rPr>
                <w:sz w:val="21"/>
                <w:szCs w:val="21"/>
              </w:rPr>
              <w:t>固废暂存间，使用密闭运输车运</w:t>
            </w:r>
          </w:p>
          <w:p>
            <w:pPr>
              <w:pStyle w:val="TableText"/>
              <w:ind w:left="16" w:right="392"/>
              <w:spacing w:before="1" w:line="220" w:lineRule="auto"/>
              <w:rPr>
                <w:sz w:val="21"/>
                <w:szCs w:val="21"/>
              </w:rPr>
            </w:pPr>
            <w:r>
              <w:rPr>
                <w:sz w:val="21"/>
                <w:szCs w:val="21"/>
                <w:spacing w:val="-1"/>
              </w:rPr>
              <w:t>输，收集后由有机肥公司每日清</w:t>
            </w:r>
            <w:r>
              <w:rPr>
                <w:sz w:val="21"/>
                <w:szCs w:val="21"/>
                <w:spacing w:val="5"/>
              </w:rPr>
              <w:t xml:space="preserve"> </w:t>
            </w:r>
            <w:r>
              <w:rPr>
                <w:sz w:val="21"/>
                <w:szCs w:val="21"/>
                <w:spacing w:val="-2"/>
              </w:rPr>
              <w:t>运。</w:t>
            </w:r>
          </w:p>
        </w:tc>
      </w:tr>
      <w:tr>
        <w:trPr>
          <w:trHeight w:val="554" w:hRule="atLeast"/>
        </w:trPr>
        <w:tc>
          <w:tcPr>
            <w:tcW w:w="445" w:type="dxa"/>
            <w:vAlign w:val="top"/>
            <w:vMerge w:val="continue"/>
            <w:tcBorders>
              <w:top w:val="nil"/>
            </w:tcBorders>
          </w:tcPr>
          <w:p>
            <w:pPr>
              <w:rPr>
                <w:rFonts w:ascii="Arial"/>
                <w:sz w:val="21"/>
              </w:rPr>
            </w:pPr>
            <w:r/>
          </w:p>
        </w:tc>
        <w:tc>
          <w:tcPr>
            <w:tcW w:w="1508" w:type="dxa"/>
            <w:vAlign w:val="top"/>
          </w:tcPr>
          <w:p>
            <w:pPr>
              <w:pStyle w:val="TableText"/>
              <w:ind w:left="10" w:right="5" w:firstLine="49"/>
              <w:spacing w:before="48" w:line="218" w:lineRule="auto"/>
              <w:rPr>
                <w:sz w:val="21"/>
                <w:szCs w:val="21"/>
              </w:rPr>
            </w:pPr>
            <w:r>
              <w:rPr>
                <w:sz w:val="21"/>
                <w:szCs w:val="21"/>
                <w:spacing w:val="-2"/>
              </w:rPr>
              <w:t>屠宰废料(猪蹄</w:t>
            </w:r>
            <w:r>
              <w:rPr>
                <w:sz w:val="21"/>
                <w:szCs w:val="21"/>
                <w:spacing w:val="3"/>
              </w:rPr>
              <w:t xml:space="preserve"> </w:t>
            </w:r>
            <w:r>
              <w:rPr>
                <w:sz w:val="21"/>
                <w:szCs w:val="21"/>
                <w:spacing w:val="1"/>
              </w:rPr>
              <w:t>壳、碎肉、淋巴</w:t>
            </w:r>
          </w:p>
        </w:tc>
        <w:tc>
          <w:tcPr>
            <w:tcW w:w="639" w:type="dxa"/>
            <w:vAlign w:val="top"/>
            <w:vMerge w:val="continue"/>
            <w:tcBorders>
              <w:top w:val="nil"/>
            </w:tcBorders>
          </w:tcPr>
          <w:p>
            <w:pPr>
              <w:rPr>
                <w:rFonts w:ascii="Arial"/>
                <w:sz w:val="21"/>
              </w:rPr>
            </w:pPr>
            <w:r/>
          </w:p>
        </w:tc>
        <w:tc>
          <w:tcPr>
            <w:tcW w:w="689" w:type="dxa"/>
            <w:vAlign w:val="top"/>
          </w:tcPr>
          <w:p>
            <w:pPr>
              <w:pStyle w:val="TableText"/>
              <w:ind w:left="173"/>
              <w:spacing w:before="199"/>
              <w:rPr>
                <w:sz w:val="21"/>
                <w:szCs w:val="21"/>
              </w:rPr>
            </w:pPr>
            <w:r>
              <w:rPr>
                <w:sz w:val="21"/>
                <w:szCs w:val="21"/>
                <w:spacing w:val="-3"/>
              </w:rPr>
              <w:t>220</w:t>
            </w:r>
          </w:p>
        </w:tc>
        <w:tc>
          <w:tcPr>
            <w:tcW w:w="230" w:type="dxa"/>
            <w:vAlign w:val="top"/>
            <w:vMerge w:val="continue"/>
            <w:textDirection w:val="tbRlV"/>
            <w:tcBorders>
              <w:top w:val="nil"/>
            </w:tcBorders>
          </w:tcPr>
          <w:p>
            <w:pPr>
              <w:spacing w:line="220" w:lineRule="exact"/>
              <w:rPr>
                <w:rFonts w:ascii="Arial"/>
                <w:sz w:val="18"/>
              </w:rPr>
            </w:pPr>
            <w:r/>
          </w:p>
        </w:tc>
        <w:tc>
          <w:tcPr>
            <w:tcW w:w="1428" w:type="dxa"/>
            <w:vAlign w:val="top"/>
            <w:vMerge w:val="continue"/>
            <w:tcBorders>
              <w:top w:val="nil"/>
            </w:tcBorders>
          </w:tcPr>
          <w:p>
            <w:pPr>
              <w:rPr>
                <w:rFonts w:ascii="Arial"/>
                <w:sz w:val="21"/>
              </w:rPr>
            </w:pPr>
            <w:r/>
          </w:p>
        </w:tc>
        <w:tc>
          <w:tcPr>
            <w:tcW w:w="470" w:type="dxa"/>
            <w:vAlign w:val="top"/>
          </w:tcPr>
          <w:p>
            <w:pPr>
              <w:pStyle w:val="TableText"/>
              <w:ind w:left="16"/>
              <w:spacing w:before="179" w:line="220" w:lineRule="auto"/>
              <w:rPr>
                <w:sz w:val="21"/>
                <w:szCs w:val="21"/>
              </w:rPr>
            </w:pPr>
            <w:r>
              <w:rPr>
                <w:sz w:val="21"/>
                <w:szCs w:val="21"/>
                <w:spacing w:val="5"/>
              </w:rPr>
              <w:t>固态</w:t>
            </w:r>
          </w:p>
        </w:tc>
        <w:tc>
          <w:tcPr>
            <w:tcW w:w="3351" w:type="dxa"/>
            <w:vAlign w:val="top"/>
          </w:tcPr>
          <w:p>
            <w:pPr>
              <w:pStyle w:val="TableText"/>
              <w:ind w:left="16" w:right="375"/>
              <w:spacing w:before="27" w:line="227" w:lineRule="auto"/>
              <w:rPr>
                <w:sz w:val="21"/>
                <w:szCs w:val="21"/>
              </w:rPr>
            </w:pPr>
            <w:r>
              <w:rPr>
                <w:sz w:val="21"/>
                <w:szCs w:val="21"/>
              </w:rPr>
              <w:t>统一密闭收集后暂存于固废暂存</w:t>
            </w:r>
            <w:r>
              <w:rPr>
                <w:sz w:val="21"/>
                <w:szCs w:val="21"/>
                <w:spacing w:val="8"/>
              </w:rPr>
              <w:t xml:space="preserve"> </w:t>
            </w:r>
            <w:r>
              <w:rPr>
                <w:sz w:val="21"/>
                <w:szCs w:val="21"/>
                <w:spacing w:val="1"/>
              </w:rPr>
              <w:t>间，外售综合利用(炼明胶或油</w:t>
            </w:r>
          </w:p>
        </w:tc>
      </w:tr>
    </w:tbl>
    <w:p>
      <w:pPr>
        <w:pStyle w:val="BodyText"/>
        <w:rPr/>
      </w:pPr>
      <w:r/>
    </w:p>
    <w:p>
      <w:pPr>
        <w:sectPr>
          <w:headerReference w:type="default" r:id="rId352"/>
          <w:footerReference w:type="default" r:id="rId353"/>
          <w:pgSz w:w="11910" w:h="16840"/>
          <w:pgMar w:top="1207" w:right="1584" w:bottom="932" w:left="1554" w:header="915" w:footer="761" w:gutter="0"/>
        </w:sectPr>
        <w:rPr/>
      </w:pPr>
    </w:p>
    <w:p>
      <w:pPr>
        <w:spacing w:line="237" w:lineRule="exact"/>
        <w:rPr/>
      </w:pPr>
      <w:r/>
    </w:p>
    <w:tbl>
      <w:tblPr>
        <w:tblStyle w:val="TableNormal"/>
        <w:tblW w:w="8730" w:type="dxa"/>
        <w:tblInd w:w="5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45"/>
        <w:gridCol w:w="1518"/>
        <w:gridCol w:w="629"/>
        <w:gridCol w:w="689"/>
        <w:gridCol w:w="230"/>
        <w:gridCol w:w="1418"/>
        <w:gridCol w:w="460"/>
        <w:gridCol w:w="3341"/>
      </w:tblGrid>
      <w:tr>
        <w:trPr>
          <w:trHeight w:val="525" w:hRule="atLeast"/>
        </w:trPr>
        <w:tc>
          <w:tcPr>
            <w:tcW w:w="445" w:type="dxa"/>
            <w:vAlign w:val="top"/>
          </w:tcPr>
          <w:p>
            <w:pPr>
              <w:rPr>
                <w:rFonts w:ascii="Arial"/>
                <w:sz w:val="21"/>
              </w:rPr>
            </w:pPr>
            <w:r/>
          </w:p>
        </w:tc>
        <w:tc>
          <w:tcPr>
            <w:tcW w:w="1518" w:type="dxa"/>
            <w:vAlign w:val="top"/>
          </w:tcPr>
          <w:p>
            <w:pPr>
              <w:pStyle w:val="TableText"/>
              <w:spacing w:before="13" w:line="219" w:lineRule="auto"/>
              <w:jc w:val="right"/>
              <w:rPr>
                <w:sz w:val="21"/>
                <w:szCs w:val="21"/>
              </w:rPr>
            </w:pPr>
            <w:r>
              <w:rPr>
                <w:sz w:val="21"/>
                <w:szCs w:val="21"/>
                <w:spacing w:val="3"/>
              </w:rPr>
              <w:t>组织、不可食内</w:t>
            </w:r>
          </w:p>
          <w:p>
            <w:pPr>
              <w:pStyle w:val="TableText"/>
              <w:ind w:left="480"/>
              <w:spacing w:before="19" w:line="204" w:lineRule="auto"/>
              <w:rPr>
                <w:sz w:val="21"/>
                <w:szCs w:val="21"/>
              </w:rPr>
            </w:pPr>
            <w:r>
              <w:rPr>
                <w:sz w:val="21"/>
                <w:szCs w:val="21"/>
                <w:color w:val="404040"/>
                <w:spacing w:val="16"/>
              </w:rPr>
              <w:t>脏等)</w:t>
            </w:r>
          </w:p>
        </w:tc>
        <w:tc>
          <w:tcPr>
            <w:tcW w:w="629" w:type="dxa"/>
            <w:vAlign w:val="top"/>
          </w:tcPr>
          <w:p>
            <w:pPr>
              <w:rPr>
                <w:rFonts w:ascii="Arial"/>
                <w:sz w:val="21"/>
              </w:rPr>
            </w:pPr>
            <w:r/>
          </w:p>
        </w:tc>
        <w:tc>
          <w:tcPr>
            <w:tcW w:w="689" w:type="dxa"/>
            <w:vAlign w:val="top"/>
          </w:tcPr>
          <w:p>
            <w:pPr>
              <w:rPr>
                <w:rFonts w:ascii="Arial"/>
                <w:sz w:val="21"/>
              </w:rPr>
            </w:pPr>
            <w:r/>
          </w:p>
        </w:tc>
        <w:tc>
          <w:tcPr>
            <w:tcW w:w="230" w:type="dxa"/>
            <w:vAlign w:val="top"/>
            <w:vMerge w:val="restart"/>
            <w:tcBorders>
              <w:bottom w:val="nil"/>
            </w:tcBorders>
          </w:tcPr>
          <w:p>
            <w:pPr>
              <w:rPr>
                <w:rFonts w:ascii="Arial"/>
                <w:sz w:val="21"/>
              </w:rPr>
            </w:pPr>
            <w:r/>
          </w:p>
        </w:tc>
        <w:tc>
          <w:tcPr>
            <w:tcW w:w="1418" w:type="dxa"/>
            <w:vAlign w:val="top"/>
          </w:tcPr>
          <w:p>
            <w:pPr>
              <w:rPr>
                <w:rFonts w:ascii="Arial"/>
                <w:sz w:val="21"/>
              </w:rPr>
            </w:pPr>
            <w:r/>
          </w:p>
        </w:tc>
        <w:tc>
          <w:tcPr>
            <w:tcW w:w="460" w:type="dxa"/>
            <w:vAlign w:val="top"/>
          </w:tcPr>
          <w:p>
            <w:pPr>
              <w:rPr>
                <w:rFonts w:ascii="Arial"/>
                <w:sz w:val="21"/>
              </w:rPr>
            </w:pPr>
            <w:r/>
          </w:p>
        </w:tc>
        <w:tc>
          <w:tcPr>
            <w:tcW w:w="3341" w:type="dxa"/>
            <w:vAlign w:val="top"/>
          </w:tcPr>
          <w:p>
            <w:pPr>
              <w:pStyle w:val="TableText"/>
              <w:ind w:left="15"/>
              <w:spacing w:before="14" w:line="220" w:lineRule="auto"/>
              <w:rPr>
                <w:sz w:val="21"/>
                <w:szCs w:val="21"/>
              </w:rPr>
            </w:pPr>
            <w:r>
              <w:rPr>
                <w:sz w:val="21"/>
                <w:szCs w:val="21"/>
              </w:rPr>
              <w:t>脂)或进行无害化处理。</w:t>
            </w:r>
          </w:p>
        </w:tc>
      </w:tr>
      <w:tr>
        <w:trPr>
          <w:trHeight w:val="829" w:hRule="atLeast"/>
        </w:trPr>
        <w:tc>
          <w:tcPr>
            <w:tcW w:w="445" w:type="dxa"/>
            <w:vAlign w:val="top"/>
            <w:vMerge w:val="restart"/>
            <w:tcBorders>
              <w:bottom w:val="nil"/>
            </w:tcBorders>
          </w:tcPr>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spacing w:before="68" w:line="221" w:lineRule="auto"/>
              <w:jc w:val="right"/>
              <w:rPr>
                <w:sz w:val="21"/>
                <w:szCs w:val="21"/>
              </w:rPr>
            </w:pPr>
            <w:r>
              <w:rPr>
                <w:sz w:val="21"/>
                <w:szCs w:val="21"/>
                <w:spacing w:val="-1"/>
              </w:rPr>
              <w:t>肉牛</w:t>
            </w:r>
          </w:p>
          <w:p>
            <w:pPr>
              <w:pStyle w:val="TableText"/>
              <w:ind w:left="15"/>
              <w:spacing w:before="26" w:line="232" w:lineRule="auto"/>
              <w:rPr>
                <w:sz w:val="21"/>
                <w:szCs w:val="21"/>
              </w:rPr>
            </w:pPr>
            <w:r>
              <w:rPr>
                <w:sz w:val="21"/>
                <w:szCs w:val="21"/>
                <w:spacing w:val="-1"/>
              </w:rPr>
              <w:t>屠宰</w:t>
            </w:r>
            <w:r>
              <w:rPr>
                <w:sz w:val="21"/>
                <w:szCs w:val="21"/>
              </w:rPr>
              <w:t xml:space="preserve"> </w:t>
            </w:r>
            <w:r>
              <w:rPr>
                <w:sz w:val="21"/>
                <w:szCs w:val="21"/>
                <w:spacing w:val="-6"/>
              </w:rPr>
              <w:t>废物</w:t>
            </w:r>
          </w:p>
        </w:tc>
        <w:tc>
          <w:tcPr>
            <w:tcW w:w="1518" w:type="dxa"/>
            <w:vAlign w:val="top"/>
          </w:tcPr>
          <w:p>
            <w:pPr>
              <w:pStyle w:val="TableText"/>
              <w:ind w:left="430" w:right="438" w:firstLine="110"/>
              <w:spacing w:before="168" w:line="257" w:lineRule="auto"/>
              <w:rPr>
                <w:sz w:val="21"/>
                <w:szCs w:val="21"/>
              </w:rPr>
            </w:pPr>
            <w:r>
              <w:rPr>
                <w:sz w:val="21"/>
                <w:szCs w:val="21"/>
                <w:spacing w:val="8"/>
              </w:rPr>
              <w:t>待宰</w:t>
            </w:r>
            <w:r>
              <w:rPr>
                <w:sz w:val="21"/>
                <w:szCs w:val="21"/>
              </w:rPr>
              <w:t xml:space="preserve">  </w:t>
            </w:r>
            <w:r>
              <w:rPr>
                <w:sz w:val="21"/>
                <w:szCs w:val="21"/>
                <w:spacing w:val="3"/>
              </w:rPr>
              <w:t>圈粪便</w:t>
            </w:r>
          </w:p>
        </w:tc>
        <w:tc>
          <w:tcPr>
            <w:tcW w:w="629" w:type="dxa"/>
            <w:vAlign w:val="top"/>
          </w:tcPr>
          <w:p>
            <w:pPr>
              <w:pStyle w:val="TableText"/>
              <w:ind w:left="92"/>
              <w:spacing w:before="169" w:line="221" w:lineRule="auto"/>
              <w:rPr>
                <w:sz w:val="21"/>
                <w:szCs w:val="21"/>
              </w:rPr>
            </w:pPr>
            <w:r>
              <w:rPr>
                <w:sz w:val="21"/>
                <w:szCs w:val="21"/>
                <w:spacing w:val="6"/>
              </w:rPr>
              <w:t>肉牛</w:t>
            </w:r>
          </w:p>
          <w:p>
            <w:pPr>
              <w:pStyle w:val="TableText"/>
              <w:ind w:left="92"/>
              <w:spacing w:before="7" w:line="219" w:lineRule="auto"/>
              <w:rPr>
                <w:sz w:val="21"/>
                <w:szCs w:val="21"/>
              </w:rPr>
            </w:pPr>
            <w:r>
              <w:rPr>
                <w:sz w:val="21"/>
                <w:szCs w:val="21"/>
                <w:spacing w:val="8"/>
              </w:rPr>
              <w:t>待宰</w:t>
            </w:r>
          </w:p>
        </w:tc>
        <w:tc>
          <w:tcPr>
            <w:tcW w:w="689" w:type="dxa"/>
            <w:vAlign w:val="top"/>
          </w:tcPr>
          <w:p>
            <w:pPr>
              <w:spacing w:line="259" w:lineRule="auto"/>
              <w:rPr>
                <w:rFonts w:ascii="Arial"/>
                <w:sz w:val="21"/>
              </w:rPr>
            </w:pPr>
            <w:r/>
          </w:p>
          <w:p>
            <w:pPr>
              <w:pStyle w:val="TableText"/>
              <w:ind w:left="72"/>
              <w:spacing w:before="68" w:line="239" w:lineRule="auto"/>
              <w:rPr>
                <w:sz w:val="21"/>
                <w:szCs w:val="21"/>
              </w:rPr>
            </w:pPr>
            <w:r>
              <w:rPr>
                <w:sz w:val="21"/>
                <w:szCs w:val="21"/>
                <w:spacing w:val="-2"/>
              </w:rPr>
              <w:t>435.2</w:t>
            </w:r>
          </w:p>
        </w:tc>
        <w:tc>
          <w:tcPr>
            <w:tcW w:w="230" w:type="dxa"/>
            <w:vAlign w:val="top"/>
            <w:vMerge w:val="continue"/>
            <w:tcBorders>
              <w:top w:val="nil"/>
              <w:bottom w:val="nil"/>
            </w:tcBorders>
          </w:tcPr>
          <w:p>
            <w:pPr>
              <w:rPr>
                <w:rFonts w:ascii="Arial"/>
                <w:sz w:val="21"/>
              </w:rPr>
            </w:pPr>
            <w:r/>
          </w:p>
        </w:tc>
        <w:tc>
          <w:tcPr>
            <w:tcW w:w="1418" w:type="dxa"/>
            <w:vAlign w:val="top"/>
          </w:tcPr>
          <w:p>
            <w:pPr>
              <w:pStyle w:val="TableText"/>
              <w:ind w:left="124"/>
              <w:spacing w:before="182" w:line="222" w:lineRule="auto"/>
              <w:rPr>
                <w:sz w:val="21"/>
                <w:szCs w:val="21"/>
              </w:rPr>
            </w:pPr>
            <w:r>
              <w:rPr>
                <w:sz w:val="21"/>
                <w:szCs w:val="21"/>
                <w:spacing w:val="-1"/>
              </w:rPr>
              <w:t>SW82(030-00</w:t>
            </w:r>
          </w:p>
          <w:p>
            <w:pPr>
              <w:pStyle w:val="TableText"/>
              <w:ind w:left="434"/>
              <w:spacing w:before="37" w:line="222" w:lineRule="auto"/>
              <w:rPr>
                <w:sz w:val="21"/>
                <w:szCs w:val="21"/>
              </w:rPr>
            </w:pPr>
            <w:r>
              <w:rPr>
                <w:sz w:val="21"/>
                <w:szCs w:val="21"/>
                <w:spacing w:val="-2"/>
              </w:rPr>
              <w:t>-S82)</w:t>
            </w:r>
          </w:p>
        </w:tc>
        <w:tc>
          <w:tcPr>
            <w:tcW w:w="460" w:type="dxa"/>
            <w:vAlign w:val="top"/>
          </w:tcPr>
          <w:p>
            <w:pPr>
              <w:pStyle w:val="TableText"/>
              <w:ind w:left="114" w:hanging="98"/>
              <w:spacing w:before="169" w:line="264" w:lineRule="auto"/>
              <w:rPr>
                <w:sz w:val="21"/>
                <w:szCs w:val="21"/>
              </w:rPr>
            </w:pPr>
            <w:r>
              <w:rPr>
                <w:sz w:val="21"/>
                <w:szCs w:val="21"/>
                <w:spacing w:val="6"/>
              </w:rPr>
              <w:t>半固</w:t>
            </w:r>
            <w:r>
              <w:rPr>
                <w:sz w:val="21"/>
                <w:szCs w:val="21"/>
              </w:rPr>
              <w:t xml:space="preserve"> </w:t>
            </w:r>
            <w:r>
              <w:rPr>
                <w:sz w:val="21"/>
                <w:szCs w:val="21"/>
              </w:rPr>
              <w:t>态</w:t>
            </w:r>
          </w:p>
        </w:tc>
        <w:tc>
          <w:tcPr>
            <w:tcW w:w="3341" w:type="dxa"/>
            <w:vAlign w:val="top"/>
          </w:tcPr>
          <w:p>
            <w:pPr>
              <w:pStyle w:val="TableText"/>
              <w:ind w:left="15" w:right="84" w:firstLine="70"/>
              <w:spacing w:before="37" w:line="229" w:lineRule="auto"/>
              <w:jc w:val="both"/>
              <w:rPr>
                <w:sz w:val="21"/>
                <w:szCs w:val="21"/>
              </w:rPr>
            </w:pPr>
            <w:r>
              <w:rPr>
                <w:sz w:val="21"/>
                <w:szCs w:val="21"/>
              </w:rPr>
              <w:t>经人工袋装密封收集后，运至固废</w:t>
            </w:r>
            <w:r>
              <w:rPr>
                <w:sz w:val="21"/>
                <w:szCs w:val="21"/>
                <w:spacing w:val="9"/>
              </w:rPr>
              <w:t xml:space="preserve"> </w:t>
            </w:r>
            <w:r>
              <w:rPr>
                <w:sz w:val="21"/>
                <w:szCs w:val="21"/>
                <w:spacing w:val="5"/>
              </w:rPr>
              <w:t>暂存间进行暂存，收集后由有机肥</w:t>
            </w:r>
            <w:r>
              <w:rPr>
                <w:sz w:val="21"/>
                <w:szCs w:val="21"/>
                <w:spacing w:val="1"/>
              </w:rPr>
              <w:t xml:space="preserve"> </w:t>
            </w:r>
            <w:r>
              <w:rPr>
                <w:sz w:val="21"/>
                <w:szCs w:val="21"/>
                <w:spacing w:val="-1"/>
              </w:rPr>
              <w:t>公司每日定时定点清运。</w:t>
            </w:r>
          </w:p>
        </w:tc>
      </w:tr>
      <w:tr>
        <w:trPr>
          <w:trHeight w:val="799" w:hRule="atLeast"/>
        </w:trPr>
        <w:tc>
          <w:tcPr>
            <w:tcW w:w="445" w:type="dxa"/>
            <w:vAlign w:val="top"/>
            <w:vMerge w:val="continue"/>
            <w:tcBorders>
              <w:top w:val="nil"/>
              <w:bottom w:val="nil"/>
            </w:tcBorders>
          </w:tcPr>
          <w:p>
            <w:pPr>
              <w:rPr>
                <w:rFonts w:ascii="Arial"/>
                <w:sz w:val="21"/>
              </w:rPr>
            </w:pPr>
            <w:r/>
          </w:p>
        </w:tc>
        <w:tc>
          <w:tcPr>
            <w:tcW w:w="1518" w:type="dxa"/>
            <w:vAlign w:val="top"/>
          </w:tcPr>
          <w:p>
            <w:pPr>
              <w:pStyle w:val="TableText"/>
              <w:ind w:left="220"/>
              <w:spacing w:before="298" w:line="219" w:lineRule="auto"/>
              <w:rPr>
                <w:sz w:val="21"/>
                <w:szCs w:val="21"/>
              </w:rPr>
            </w:pPr>
            <w:r>
              <w:rPr>
                <w:sz w:val="21"/>
                <w:szCs w:val="21"/>
                <w:spacing w:val="2"/>
              </w:rPr>
              <w:t>胃肠内容物</w:t>
            </w:r>
          </w:p>
        </w:tc>
        <w:tc>
          <w:tcPr>
            <w:tcW w:w="629" w:type="dxa"/>
            <w:vAlign w:val="top"/>
          </w:tcPr>
          <w:p>
            <w:pPr>
              <w:pStyle w:val="TableText"/>
              <w:ind w:left="12" w:firstLine="78"/>
              <w:spacing w:before="169" w:line="222" w:lineRule="auto"/>
              <w:rPr>
                <w:sz w:val="21"/>
                <w:szCs w:val="21"/>
              </w:rPr>
            </w:pPr>
            <w:r>
              <w:rPr>
                <w:sz w:val="21"/>
                <w:szCs w:val="21"/>
                <w:spacing w:val="3"/>
              </w:rPr>
              <w:t>屠宰</w:t>
            </w:r>
            <w:r>
              <w:rPr>
                <w:sz w:val="21"/>
                <w:szCs w:val="21"/>
              </w:rPr>
              <w:t xml:space="preserve">  </w:t>
            </w:r>
            <w:r>
              <w:rPr>
                <w:sz w:val="21"/>
                <w:szCs w:val="21"/>
                <w:spacing w:val="-8"/>
              </w:rPr>
              <w:t>生产线</w:t>
            </w:r>
          </w:p>
        </w:tc>
        <w:tc>
          <w:tcPr>
            <w:tcW w:w="689" w:type="dxa"/>
            <w:vAlign w:val="top"/>
          </w:tcPr>
          <w:p>
            <w:pPr>
              <w:spacing w:line="250" w:lineRule="auto"/>
              <w:rPr>
                <w:rFonts w:ascii="Arial"/>
                <w:sz w:val="21"/>
              </w:rPr>
            </w:pPr>
            <w:r/>
          </w:p>
          <w:p>
            <w:pPr>
              <w:pStyle w:val="TableText"/>
              <w:ind w:left="173"/>
              <w:spacing w:before="68"/>
              <w:rPr>
                <w:sz w:val="21"/>
                <w:szCs w:val="21"/>
              </w:rPr>
            </w:pPr>
            <w:r>
              <w:rPr>
                <w:sz w:val="21"/>
                <w:szCs w:val="21"/>
                <w:spacing w:val="-3"/>
              </w:rPr>
              <w:t>800</w:t>
            </w:r>
          </w:p>
        </w:tc>
        <w:tc>
          <w:tcPr>
            <w:tcW w:w="230" w:type="dxa"/>
            <w:vAlign w:val="top"/>
            <w:vMerge w:val="continue"/>
            <w:tcBorders>
              <w:top w:val="nil"/>
              <w:bottom w:val="nil"/>
            </w:tcBorders>
          </w:tcPr>
          <w:p>
            <w:pPr>
              <w:rPr>
                <w:rFonts w:ascii="Arial"/>
                <w:sz w:val="21"/>
              </w:rPr>
            </w:pPr>
            <w:r/>
          </w:p>
        </w:tc>
        <w:tc>
          <w:tcPr>
            <w:tcW w:w="1418" w:type="dxa"/>
            <w:vAlign w:val="top"/>
          </w:tcPr>
          <w:p>
            <w:pPr>
              <w:pStyle w:val="TableText"/>
              <w:ind w:left="74"/>
              <w:spacing w:before="173" w:line="222" w:lineRule="auto"/>
              <w:rPr>
                <w:sz w:val="21"/>
                <w:szCs w:val="21"/>
              </w:rPr>
            </w:pPr>
            <w:r>
              <w:rPr>
                <w:sz w:val="21"/>
                <w:szCs w:val="21"/>
                <w:spacing w:val="-1"/>
              </w:rPr>
              <w:t>SW13(135-001</w:t>
            </w:r>
          </w:p>
          <w:p>
            <w:pPr>
              <w:pStyle w:val="TableText"/>
              <w:ind w:left="434"/>
              <w:spacing w:before="7" w:line="222" w:lineRule="auto"/>
              <w:rPr>
                <w:sz w:val="21"/>
                <w:szCs w:val="21"/>
              </w:rPr>
            </w:pPr>
            <w:r>
              <w:rPr>
                <w:sz w:val="21"/>
                <w:szCs w:val="21"/>
                <w:spacing w:val="-2"/>
              </w:rPr>
              <w:t>-S13)</w:t>
            </w:r>
          </w:p>
        </w:tc>
        <w:tc>
          <w:tcPr>
            <w:tcW w:w="460" w:type="dxa"/>
            <w:vAlign w:val="top"/>
          </w:tcPr>
          <w:p>
            <w:pPr>
              <w:pStyle w:val="TableText"/>
              <w:ind w:left="114" w:hanging="98"/>
              <w:spacing w:before="169" w:line="229" w:lineRule="auto"/>
              <w:rPr>
                <w:sz w:val="21"/>
                <w:szCs w:val="21"/>
              </w:rPr>
            </w:pPr>
            <w:r>
              <w:rPr>
                <w:sz w:val="21"/>
                <w:szCs w:val="21"/>
                <w:spacing w:val="6"/>
              </w:rPr>
              <w:t>半固</w:t>
            </w:r>
            <w:r>
              <w:rPr>
                <w:sz w:val="21"/>
                <w:szCs w:val="21"/>
              </w:rPr>
              <w:t xml:space="preserve"> </w:t>
            </w:r>
            <w:r>
              <w:rPr>
                <w:sz w:val="21"/>
                <w:szCs w:val="21"/>
              </w:rPr>
              <w:t>态</w:t>
            </w:r>
          </w:p>
        </w:tc>
        <w:tc>
          <w:tcPr>
            <w:tcW w:w="3341" w:type="dxa"/>
            <w:vAlign w:val="top"/>
          </w:tcPr>
          <w:p>
            <w:pPr>
              <w:pStyle w:val="TableText"/>
              <w:ind w:left="15" w:right="102" w:firstLine="70"/>
              <w:spacing w:before="29" w:line="231" w:lineRule="auto"/>
              <w:rPr>
                <w:sz w:val="21"/>
                <w:szCs w:val="21"/>
              </w:rPr>
            </w:pPr>
            <w:r>
              <w:rPr>
                <w:sz w:val="21"/>
                <w:szCs w:val="21"/>
                <w:spacing w:val="-1"/>
              </w:rPr>
              <w:t>采用专用密闭容器收集后，暂存于</w:t>
            </w:r>
            <w:r>
              <w:rPr>
                <w:sz w:val="21"/>
                <w:szCs w:val="21"/>
                <w:spacing w:val="6"/>
              </w:rPr>
              <w:t xml:space="preserve"> </w:t>
            </w:r>
            <w:r>
              <w:rPr>
                <w:sz w:val="21"/>
                <w:szCs w:val="21"/>
              </w:rPr>
              <w:t>固废暂存间，使用密闭运输车运</w:t>
            </w:r>
          </w:p>
          <w:p>
            <w:pPr>
              <w:pStyle w:val="TableText"/>
              <w:ind w:left="86"/>
              <w:spacing w:before="4" w:line="202" w:lineRule="auto"/>
              <w:rPr>
                <w:sz w:val="21"/>
                <w:szCs w:val="21"/>
              </w:rPr>
            </w:pPr>
            <w:r>
              <w:rPr>
                <w:sz w:val="21"/>
                <w:szCs w:val="21"/>
                <w:spacing w:val="-1"/>
              </w:rPr>
              <w:t>输，收集后由有机肥公司每日清运</w:t>
            </w:r>
          </w:p>
        </w:tc>
      </w:tr>
      <w:tr>
        <w:trPr>
          <w:trHeight w:val="1089" w:hRule="atLeast"/>
        </w:trPr>
        <w:tc>
          <w:tcPr>
            <w:tcW w:w="445" w:type="dxa"/>
            <w:vAlign w:val="top"/>
            <w:vMerge w:val="continue"/>
            <w:tcBorders>
              <w:top w:val="nil"/>
              <w:bottom w:val="nil"/>
            </w:tcBorders>
          </w:tcPr>
          <w:p>
            <w:pPr>
              <w:rPr>
                <w:rFonts w:ascii="Arial"/>
                <w:sz w:val="21"/>
              </w:rPr>
            </w:pPr>
            <w:r/>
          </w:p>
        </w:tc>
        <w:tc>
          <w:tcPr>
            <w:tcW w:w="1518" w:type="dxa"/>
            <w:vAlign w:val="top"/>
          </w:tcPr>
          <w:p>
            <w:pPr>
              <w:rPr>
                <w:rFonts w:ascii="Arial"/>
                <w:sz w:val="21"/>
              </w:rPr>
            </w:pPr>
            <w:r/>
          </w:p>
          <w:p>
            <w:pPr>
              <w:pStyle w:val="TableText"/>
              <w:ind w:left="119" w:right="5" w:hanging="109"/>
              <w:spacing w:before="69" w:line="239" w:lineRule="auto"/>
              <w:rPr>
                <w:sz w:val="21"/>
                <w:szCs w:val="21"/>
              </w:rPr>
            </w:pPr>
            <w:r>
              <w:rPr>
                <w:sz w:val="21"/>
                <w:szCs w:val="21"/>
                <w:spacing w:val="3"/>
              </w:rPr>
              <w:t>疫病牛、病牛四</w:t>
            </w:r>
            <w:r>
              <w:rPr>
                <w:sz w:val="21"/>
                <w:szCs w:val="21"/>
              </w:rPr>
              <w:t xml:space="preserve"> </w:t>
            </w:r>
            <w:r>
              <w:rPr>
                <w:sz w:val="21"/>
                <w:szCs w:val="21"/>
                <w:spacing w:val="-2"/>
              </w:rPr>
              <w:t>分体、病内脏</w:t>
            </w:r>
          </w:p>
        </w:tc>
        <w:tc>
          <w:tcPr>
            <w:tcW w:w="629" w:type="dxa"/>
            <w:vAlign w:val="top"/>
          </w:tcPr>
          <w:p>
            <w:pPr>
              <w:pStyle w:val="TableText"/>
              <w:ind w:left="92"/>
              <w:spacing w:before="300" w:line="219" w:lineRule="auto"/>
              <w:rPr>
                <w:sz w:val="21"/>
                <w:szCs w:val="21"/>
              </w:rPr>
            </w:pPr>
            <w:r>
              <w:rPr>
                <w:sz w:val="21"/>
                <w:szCs w:val="21"/>
                <w:spacing w:val="-3"/>
              </w:rPr>
              <w:t>检验</w:t>
            </w:r>
          </w:p>
          <w:p>
            <w:pPr>
              <w:pStyle w:val="TableText"/>
              <w:ind w:left="92"/>
              <w:spacing w:before="10" w:line="219" w:lineRule="auto"/>
              <w:rPr>
                <w:sz w:val="21"/>
                <w:szCs w:val="21"/>
              </w:rPr>
            </w:pPr>
            <w:r>
              <w:rPr>
                <w:sz w:val="21"/>
                <w:szCs w:val="21"/>
                <w:spacing w:val="-3"/>
              </w:rPr>
              <w:t>检疫</w:t>
            </w:r>
          </w:p>
        </w:tc>
        <w:tc>
          <w:tcPr>
            <w:tcW w:w="689" w:type="dxa"/>
            <w:vAlign w:val="top"/>
          </w:tcPr>
          <w:p>
            <w:pPr>
              <w:spacing w:line="390" w:lineRule="auto"/>
              <w:rPr>
                <w:rFonts w:ascii="Arial"/>
                <w:sz w:val="21"/>
              </w:rPr>
            </w:pPr>
            <w:r/>
          </w:p>
          <w:p>
            <w:pPr>
              <w:pStyle w:val="TableText"/>
              <w:ind w:left="173"/>
              <w:spacing w:before="68"/>
              <w:rPr>
                <w:sz w:val="21"/>
                <w:szCs w:val="21"/>
              </w:rPr>
            </w:pPr>
            <w:r>
              <w:rPr>
                <w:sz w:val="21"/>
                <w:szCs w:val="21"/>
                <w:spacing w:val="-2"/>
              </w:rPr>
              <w:t>420</w:t>
            </w:r>
          </w:p>
        </w:tc>
        <w:tc>
          <w:tcPr>
            <w:tcW w:w="230" w:type="dxa"/>
            <w:vAlign w:val="top"/>
            <w:vMerge w:val="continue"/>
            <w:tcBorders>
              <w:top w:val="nil"/>
              <w:bottom w:val="nil"/>
            </w:tcBorders>
          </w:tcPr>
          <w:p>
            <w:pPr>
              <w:rPr>
                <w:rFonts w:ascii="Arial"/>
                <w:sz w:val="21"/>
              </w:rPr>
            </w:pPr>
            <w:r/>
          </w:p>
        </w:tc>
        <w:tc>
          <w:tcPr>
            <w:tcW w:w="1418" w:type="dxa"/>
            <w:vAlign w:val="top"/>
          </w:tcPr>
          <w:p>
            <w:pPr>
              <w:spacing w:line="244" w:lineRule="auto"/>
              <w:rPr>
                <w:rFonts w:ascii="Arial"/>
                <w:sz w:val="21"/>
              </w:rPr>
            </w:pPr>
            <w:r/>
          </w:p>
          <w:p>
            <w:pPr>
              <w:pStyle w:val="TableText"/>
              <w:ind w:left="74"/>
              <w:spacing w:before="68" w:line="222" w:lineRule="auto"/>
              <w:rPr>
                <w:sz w:val="21"/>
                <w:szCs w:val="21"/>
              </w:rPr>
            </w:pPr>
            <w:r>
              <w:rPr>
                <w:sz w:val="21"/>
                <w:szCs w:val="21"/>
                <w:spacing w:val="-1"/>
              </w:rPr>
              <w:t>SW82(030-002</w:t>
            </w:r>
          </w:p>
          <w:p>
            <w:pPr>
              <w:pStyle w:val="TableText"/>
              <w:ind w:left="434"/>
              <w:spacing w:before="17" w:line="222" w:lineRule="auto"/>
              <w:rPr>
                <w:sz w:val="21"/>
                <w:szCs w:val="21"/>
              </w:rPr>
            </w:pPr>
            <w:r>
              <w:rPr>
                <w:sz w:val="21"/>
                <w:szCs w:val="21"/>
                <w:spacing w:val="-2"/>
              </w:rPr>
              <w:t>-S82)</w:t>
            </w:r>
          </w:p>
        </w:tc>
        <w:tc>
          <w:tcPr>
            <w:tcW w:w="460" w:type="dxa"/>
            <w:vAlign w:val="top"/>
          </w:tcPr>
          <w:p>
            <w:pPr>
              <w:spacing w:line="370" w:lineRule="auto"/>
              <w:rPr>
                <w:rFonts w:ascii="Arial"/>
                <w:sz w:val="21"/>
              </w:rPr>
            </w:pPr>
            <w:r/>
          </w:p>
          <w:p>
            <w:pPr>
              <w:pStyle w:val="TableText"/>
              <w:ind w:left="16"/>
              <w:spacing w:before="69" w:line="220" w:lineRule="auto"/>
              <w:rPr>
                <w:sz w:val="21"/>
                <w:szCs w:val="21"/>
              </w:rPr>
            </w:pPr>
            <w:r>
              <w:rPr>
                <w:sz w:val="21"/>
                <w:szCs w:val="21"/>
                <w:spacing w:val="5"/>
              </w:rPr>
              <w:t>固态</w:t>
            </w:r>
          </w:p>
        </w:tc>
        <w:tc>
          <w:tcPr>
            <w:tcW w:w="3341" w:type="dxa"/>
            <w:vAlign w:val="top"/>
          </w:tcPr>
          <w:p>
            <w:pPr>
              <w:pStyle w:val="TableText"/>
              <w:ind w:left="15" w:right="81" w:firstLine="70"/>
              <w:spacing w:before="50" w:line="226" w:lineRule="auto"/>
              <w:jc w:val="both"/>
              <w:rPr>
                <w:sz w:val="21"/>
                <w:szCs w:val="21"/>
              </w:rPr>
            </w:pPr>
            <w:r>
              <w:rPr>
                <w:sz w:val="21"/>
                <w:szCs w:val="21"/>
              </w:rPr>
              <w:t>屠宰过程中发现的病牛四分体及不</w:t>
            </w:r>
            <w:r>
              <w:rPr>
                <w:sz w:val="21"/>
                <w:szCs w:val="21"/>
                <w:spacing w:val="10"/>
              </w:rPr>
              <w:t xml:space="preserve"> </w:t>
            </w:r>
            <w:r>
              <w:rPr>
                <w:sz w:val="21"/>
                <w:szCs w:val="21"/>
                <w:spacing w:val="5"/>
              </w:rPr>
              <w:t>可食用肉暂存于病体冻库内，定期</w:t>
            </w:r>
            <w:r>
              <w:rPr>
                <w:sz w:val="21"/>
                <w:szCs w:val="21"/>
                <w:spacing w:val="7"/>
              </w:rPr>
              <w:t xml:space="preserve"> </w:t>
            </w:r>
            <w:r>
              <w:rPr>
                <w:sz w:val="21"/>
                <w:szCs w:val="21"/>
                <w:spacing w:val="5"/>
              </w:rPr>
              <w:t>交绵阳市病死畜禽无害化处理中心</w:t>
            </w:r>
            <w:r>
              <w:rPr>
                <w:sz w:val="21"/>
                <w:szCs w:val="21"/>
                <w:spacing w:val="7"/>
              </w:rPr>
              <w:t xml:space="preserve"> </w:t>
            </w:r>
            <w:r>
              <w:rPr>
                <w:sz w:val="21"/>
                <w:szCs w:val="21"/>
                <w:spacing w:val="-1"/>
              </w:rPr>
              <w:t>进行无害化处置。</w:t>
            </w:r>
          </w:p>
        </w:tc>
      </w:tr>
      <w:tr>
        <w:trPr>
          <w:trHeight w:val="1179" w:hRule="atLeast"/>
        </w:trPr>
        <w:tc>
          <w:tcPr>
            <w:tcW w:w="445" w:type="dxa"/>
            <w:vAlign w:val="top"/>
            <w:vMerge w:val="continue"/>
            <w:tcBorders>
              <w:top w:val="nil"/>
            </w:tcBorders>
          </w:tcPr>
          <w:p>
            <w:pPr>
              <w:rPr>
                <w:rFonts w:ascii="Arial"/>
                <w:sz w:val="21"/>
              </w:rPr>
            </w:pPr>
            <w:r/>
          </w:p>
        </w:tc>
        <w:tc>
          <w:tcPr>
            <w:tcW w:w="1518" w:type="dxa"/>
            <w:vAlign w:val="top"/>
          </w:tcPr>
          <w:p>
            <w:pPr>
              <w:pStyle w:val="TableText"/>
              <w:ind w:left="10" w:right="15" w:firstLine="49"/>
              <w:spacing w:before="82" w:line="237" w:lineRule="auto"/>
              <w:rPr>
                <w:sz w:val="21"/>
                <w:szCs w:val="21"/>
              </w:rPr>
            </w:pPr>
            <w:r>
              <w:rPr>
                <w:sz w:val="21"/>
                <w:szCs w:val="21"/>
                <w:spacing w:val="2"/>
              </w:rPr>
              <w:t>屠宰废料(牛蹄</w:t>
            </w:r>
            <w:r>
              <w:rPr>
                <w:sz w:val="21"/>
                <w:szCs w:val="21"/>
                <w:spacing w:val="1"/>
              </w:rPr>
              <w:t xml:space="preserve"> </w:t>
            </w:r>
            <w:r>
              <w:rPr>
                <w:sz w:val="21"/>
                <w:szCs w:val="21"/>
                <w:spacing w:val="1"/>
              </w:rPr>
              <w:t>壳、碎肉、淋巴</w:t>
            </w:r>
          </w:p>
          <w:p>
            <w:pPr>
              <w:pStyle w:val="TableText"/>
              <w:spacing w:before="10" w:line="219" w:lineRule="auto"/>
              <w:jc w:val="right"/>
              <w:rPr>
                <w:sz w:val="21"/>
                <w:szCs w:val="21"/>
              </w:rPr>
            </w:pPr>
            <w:r>
              <w:rPr>
                <w:sz w:val="21"/>
                <w:szCs w:val="21"/>
                <w:spacing w:val="3"/>
              </w:rPr>
              <w:t>组织、不可食内</w:t>
            </w:r>
          </w:p>
          <w:p>
            <w:pPr>
              <w:pStyle w:val="TableText"/>
              <w:ind w:left="480"/>
              <w:spacing w:before="30" w:line="219" w:lineRule="auto"/>
              <w:rPr>
                <w:sz w:val="21"/>
                <w:szCs w:val="21"/>
              </w:rPr>
            </w:pPr>
            <w:r>
              <w:rPr>
                <w:sz w:val="21"/>
                <w:szCs w:val="21"/>
                <w:spacing w:val="16"/>
              </w:rPr>
              <w:t>脏等)</w:t>
            </w:r>
          </w:p>
        </w:tc>
        <w:tc>
          <w:tcPr>
            <w:tcW w:w="629" w:type="dxa"/>
            <w:vAlign w:val="top"/>
          </w:tcPr>
          <w:p>
            <w:pPr>
              <w:spacing w:line="290" w:lineRule="auto"/>
              <w:rPr>
                <w:rFonts w:ascii="Arial"/>
                <w:sz w:val="21"/>
              </w:rPr>
            </w:pPr>
            <w:r/>
          </w:p>
          <w:p>
            <w:pPr>
              <w:pStyle w:val="TableText"/>
              <w:ind w:left="12" w:firstLine="78"/>
              <w:spacing w:before="68" w:line="231" w:lineRule="auto"/>
              <w:rPr>
                <w:sz w:val="21"/>
                <w:szCs w:val="21"/>
              </w:rPr>
            </w:pPr>
            <w:r>
              <w:rPr>
                <w:sz w:val="21"/>
                <w:szCs w:val="21"/>
                <w:spacing w:val="3"/>
              </w:rPr>
              <w:t>屠宰</w:t>
            </w:r>
            <w:r>
              <w:rPr>
                <w:sz w:val="21"/>
                <w:szCs w:val="21"/>
              </w:rPr>
              <w:t xml:space="preserve">  </w:t>
            </w:r>
            <w:r>
              <w:rPr>
                <w:sz w:val="21"/>
                <w:szCs w:val="21"/>
                <w:spacing w:val="-8"/>
              </w:rPr>
              <w:t>生产线</w:t>
            </w:r>
          </w:p>
        </w:tc>
        <w:tc>
          <w:tcPr>
            <w:tcW w:w="689" w:type="dxa"/>
            <w:vAlign w:val="top"/>
          </w:tcPr>
          <w:p>
            <w:pPr>
              <w:spacing w:line="441" w:lineRule="auto"/>
              <w:rPr>
                <w:rFonts w:ascii="Arial"/>
                <w:sz w:val="21"/>
              </w:rPr>
            </w:pPr>
            <w:r/>
          </w:p>
          <w:p>
            <w:pPr>
              <w:pStyle w:val="TableText"/>
              <w:ind w:left="173"/>
              <w:spacing w:before="68"/>
              <w:rPr>
                <w:sz w:val="21"/>
                <w:szCs w:val="21"/>
              </w:rPr>
            </w:pPr>
            <w:r>
              <w:rPr>
                <w:sz w:val="21"/>
                <w:szCs w:val="21"/>
                <w:spacing w:val="-3"/>
              </w:rPr>
              <w:t>360</w:t>
            </w:r>
          </w:p>
        </w:tc>
        <w:tc>
          <w:tcPr>
            <w:tcW w:w="230" w:type="dxa"/>
            <w:vAlign w:val="top"/>
            <w:vMerge w:val="continue"/>
            <w:tcBorders>
              <w:top w:val="nil"/>
              <w:bottom w:val="nil"/>
            </w:tcBorders>
          </w:tcPr>
          <w:p>
            <w:pPr>
              <w:rPr>
                <w:rFonts w:ascii="Arial"/>
                <w:sz w:val="21"/>
              </w:rPr>
            </w:pPr>
            <w:r/>
          </w:p>
        </w:tc>
        <w:tc>
          <w:tcPr>
            <w:tcW w:w="1418" w:type="dxa"/>
            <w:vAlign w:val="top"/>
          </w:tcPr>
          <w:p>
            <w:pPr>
              <w:spacing w:line="304" w:lineRule="auto"/>
              <w:rPr>
                <w:rFonts w:ascii="Arial"/>
                <w:sz w:val="21"/>
              </w:rPr>
            </w:pPr>
            <w:r/>
          </w:p>
          <w:p>
            <w:pPr>
              <w:pStyle w:val="TableText"/>
              <w:ind w:left="124"/>
              <w:spacing w:before="69" w:line="222" w:lineRule="auto"/>
              <w:rPr>
                <w:sz w:val="21"/>
                <w:szCs w:val="21"/>
              </w:rPr>
            </w:pPr>
            <w:r>
              <w:rPr>
                <w:sz w:val="21"/>
                <w:szCs w:val="21"/>
                <w:spacing w:val="-1"/>
              </w:rPr>
              <w:t>SW13(135-00</w:t>
            </w:r>
          </w:p>
          <w:p>
            <w:pPr>
              <w:pStyle w:val="TableText"/>
              <w:ind w:left="434"/>
              <w:spacing w:before="7" w:line="222" w:lineRule="auto"/>
              <w:rPr>
                <w:sz w:val="21"/>
                <w:szCs w:val="21"/>
              </w:rPr>
            </w:pPr>
            <w:r>
              <w:rPr>
                <w:sz w:val="21"/>
                <w:szCs w:val="21"/>
                <w:spacing w:val="-2"/>
              </w:rPr>
              <w:t>-S13)</w:t>
            </w:r>
          </w:p>
        </w:tc>
        <w:tc>
          <w:tcPr>
            <w:tcW w:w="460" w:type="dxa"/>
            <w:vAlign w:val="top"/>
          </w:tcPr>
          <w:p>
            <w:pPr>
              <w:spacing w:line="421" w:lineRule="auto"/>
              <w:rPr>
                <w:rFonts w:ascii="Arial"/>
                <w:sz w:val="21"/>
              </w:rPr>
            </w:pPr>
            <w:r/>
          </w:p>
          <w:p>
            <w:pPr>
              <w:pStyle w:val="TableText"/>
              <w:ind w:left="16"/>
              <w:spacing w:before="68" w:line="220" w:lineRule="auto"/>
              <w:rPr>
                <w:sz w:val="21"/>
                <w:szCs w:val="21"/>
              </w:rPr>
            </w:pPr>
            <w:r>
              <w:rPr>
                <w:sz w:val="21"/>
                <w:szCs w:val="21"/>
                <w:spacing w:val="5"/>
              </w:rPr>
              <w:t>固态</w:t>
            </w:r>
          </w:p>
        </w:tc>
        <w:tc>
          <w:tcPr>
            <w:tcW w:w="3341" w:type="dxa"/>
            <w:vAlign w:val="top"/>
          </w:tcPr>
          <w:p>
            <w:pPr>
              <w:pStyle w:val="TableText"/>
              <w:ind w:left="196"/>
              <w:spacing w:before="231" w:line="219" w:lineRule="auto"/>
              <w:rPr>
                <w:sz w:val="21"/>
                <w:szCs w:val="21"/>
              </w:rPr>
            </w:pPr>
            <w:r>
              <w:rPr>
                <w:sz w:val="21"/>
                <w:szCs w:val="21"/>
              </w:rPr>
              <w:t>统一密闭收集后暂存于固废暂存</w:t>
            </w:r>
          </w:p>
          <w:p>
            <w:pPr>
              <w:pStyle w:val="TableText"/>
              <w:ind w:left="245"/>
              <w:spacing w:before="10" w:line="219" w:lineRule="auto"/>
              <w:rPr>
                <w:sz w:val="21"/>
                <w:szCs w:val="21"/>
              </w:rPr>
            </w:pPr>
            <w:r>
              <w:rPr>
                <w:sz w:val="21"/>
                <w:szCs w:val="21"/>
                <w:spacing w:val="1"/>
              </w:rPr>
              <w:t>间，外售综合利用(炼明胶或油</w:t>
            </w:r>
          </w:p>
          <w:p>
            <w:pPr>
              <w:pStyle w:val="TableText"/>
              <w:ind w:left="616"/>
              <w:spacing w:before="31" w:line="220" w:lineRule="auto"/>
              <w:rPr>
                <w:sz w:val="21"/>
                <w:szCs w:val="21"/>
              </w:rPr>
            </w:pPr>
            <w:r>
              <w:rPr>
                <w:sz w:val="21"/>
                <w:szCs w:val="21"/>
                <w:spacing w:val="-1"/>
              </w:rPr>
              <w:t>脂)或进行无害化处理。</w:t>
            </w:r>
          </w:p>
        </w:tc>
      </w:tr>
      <w:tr>
        <w:trPr>
          <w:trHeight w:val="539" w:hRule="atLeast"/>
        </w:trPr>
        <w:tc>
          <w:tcPr>
            <w:tcW w:w="1963" w:type="dxa"/>
            <w:vAlign w:val="top"/>
            <w:gridSpan w:val="2"/>
          </w:tcPr>
          <w:p>
            <w:pPr>
              <w:pStyle w:val="TableText"/>
              <w:ind w:left="234" w:right="236" w:firstLine="110"/>
              <w:spacing w:before="33" w:line="218" w:lineRule="auto"/>
              <w:rPr>
                <w:sz w:val="21"/>
                <w:szCs w:val="21"/>
              </w:rPr>
            </w:pPr>
            <w:r>
              <w:rPr>
                <w:sz w:val="21"/>
                <w:szCs w:val="21"/>
                <w:spacing w:val="2"/>
              </w:rPr>
              <w:t>污水处理站产</w:t>
            </w:r>
            <w:r>
              <w:rPr>
                <w:sz w:val="21"/>
                <w:szCs w:val="21"/>
              </w:rPr>
              <w:t xml:space="preserve">  </w:t>
            </w:r>
            <w:r>
              <w:rPr>
                <w:sz w:val="21"/>
                <w:szCs w:val="21"/>
                <w:spacing w:val="1"/>
              </w:rPr>
              <w:t>生的栅渣和污泥</w:t>
            </w:r>
          </w:p>
        </w:tc>
        <w:tc>
          <w:tcPr>
            <w:tcW w:w="629" w:type="dxa"/>
            <w:vAlign w:val="top"/>
          </w:tcPr>
          <w:p>
            <w:pPr>
              <w:pStyle w:val="TableText"/>
              <w:spacing w:before="32" w:line="219" w:lineRule="auto"/>
              <w:jc w:val="right"/>
              <w:rPr>
                <w:sz w:val="21"/>
                <w:szCs w:val="21"/>
              </w:rPr>
            </w:pPr>
            <w:r>
              <w:rPr>
                <w:sz w:val="21"/>
                <w:szCs w:val="21"/>
                <w:spacing w:val="-8"/>
              </w:rPr>
              <w:t>废水处</w:t>
            </w:r>
          </w:p>
          <w:p>
            <w:pPr>
              <w:pStyle w:val="TableText"/>
              <w:spacing w:before="21" w:line="198" w:lineRule="auto"/>
              <w:jc w:val="right"/>
              <w:rPr>
                <w:sz w:val="21"/>
                <w:szCs w:val="21"/>
              </w:rPr>
            </w:pPr>
            <w:r>
              <w:rPr>
                <w:sz w:val="21"/>
                <w:szCs w:val="21"/>
                <w:spacing w:val="-8"/>
              </w:rPr>
              <w:t>理系统</w:t>
            </w:r>
          </w:p>
        </w:tc>
        <w:tc>
          <w:tcPr>
            <w:tcW w:w="689" w:type="dxa"/>
            <w:vAlign w:val="top"/>
          </w:tcPr>
          <w:p>
            <w:pPr>
              <w:pStyle w:val="TableText"/>
              <w:ind w:left="233"/>
              <w:spacing w:before="193"/>
              <w:rPr>
                <w:sz w:val="21"/>
                <w:szCs w:val="21"/>
              </w:rPr>
            </w:pPr>
            <w:r>
              <w:rPr>
                <w:sz w:val="21"/>
                <w:szCs w:val="21"/>
                <w:spacing w:val="-3"/>
              </w:rPr>
              <w:t>80</w:t>
            </w:r>
          </w:p>
        </w:tc>
        <w:tc>
          <w:tcPr>
            <w:tcW w:w="230" w:type="dxa"/>
            <w:vAlign w:val="top"/>
            <w:vMerge w:val="continue"/>
            <w:tcBorders>
              <w:top w:val="nil"/>
              <w:bottom w:val="nil"/>
            </w:tcBorders>
          </w:tcPr>
          <w:p>
            <w:pPr>
              <w:rPr>
                <w:rFonts w:ascii="Arial"/>
                <w:sz w:val="21"/>
              </w:rPr>
            </w:pPr>
            <w:r/>
          </w:p>
        </w:tc>
        <w:tc>
          <w:tcPr>
            <w:tcW w:w="1418" w:type="dxa"/>
            <w:vAlign w:val="top"/>
          </w:tcPr>
          <w:p>
            <w:pPr>
              <w:pStyle w:val="TableText"/>
              <w:ind w:left="74"/>
              <w:spacing w:before="36" w:line="222" w:lineRule="auto"/>
              <w:rPr>
                <w:sz w:val="21"/>
                <w:szCs w:val="21"/>
              </w:rPr>
            </w:pPr>
            <w:r>
              <w:rPr>
                <w:sz w:val="21"/>
                <w:szCs w:val="21"/>
                <w:spacing w:val="-1"/>
              </w:rPr>
              <w:t>SW07(135-001</w:t>
            </w:r>
          </w:p>
          <w:p>
            <w:pPr>
              <w:pStyle w:val="TableText"/>
              <w:ind w:left="434"/>
              <w:spacing w:before="17" w:line="196" w:lineRule="auto"/>
              <w:rPr>
                <w:sz w:val="21"/>
                <w:szCs w:val="21"/>
              </w:rPr>
            </w:pPr>
            <w:r>
              <w:rPr>
                <w:sz w:val="21"/>
                <w:szCs w:val="21"/>
                <w:spacing w:val="-2"/>
              </w:rPr>
              <w:t>-S07)</w:t>
            </w:r>
          </w:p>
        </w:tc>
        <w:tc>
          <w:tcPr>
            <w:tcW w:w="460" w:type="dxa"/>
            <w:vAlign w:val="top"/>
          </w:tcPr>
          <w:p>
            <w:pPr>
              <w:pStyle w:val="TableText"/>
              <w:spacing w:before="23" w:line="220" w:lineRule="auto"/>
              <w:jc w:val="right"/>
              <w:rPr>
                <w:sz w:val="21"/>
                <w:szCs w:val="21"/>
              </w:rPr>
            </w:pPr>
            <w:r>
              <w:rPr>
                <w:sz w:val="21"/>
                <w:szCs w:val="21"/>
                <w:color w:val="807070"/>
                <w:spacing w:val="6"/>
              </w:rPr>
              <w:t>半固</w:t>
            </w:r>
          </w:p>
          <w:p>
            <w:pPr>
              <w:pStyle w:val="TableText"/>
              <w:ind w:left="116"/>
              <w:spacing w:before="34" w:line="194" w:lineRule="auto"/>
              <w:rPr>
                <w:sz w:val="21"/>
                <w:szCs w:val="21"/>
              </w:rPr>
            </w:pPr>
            <w:r>
              <w:rPr>
                <w:sz w:val="21"/>
                <w:szCs w:val="21"/>
              </w:rPr>
              <w:t>态</w:t>
            </w:r>
          </w:p>
        </w:tc>
        <w:tc>
          <w:tcPr>
            <w:tcW w:w="3341" w:type="dxa"/>
            <w:vAlign w:val="top"/>
          </w:tcPr>
          <w:p>
            <w:pPr>
              <w:pStyle w:val="TableText"/>
              <w:ind w:left="406"/>
              <w:spacing w:before="171" w:line="219" w:lineRule="auto"/>
              <w:rPr>
                <w:sz w:val="21"/>
                <w:szCs w:val="21"/>
              </w:rPr>
            </w:pPr>
            <w:r>
              <w:rPr>
                <w:sz w:val="21"/>
                <w:szCs w:val="21"/>
                <w:spacing w:val="-1"/>
              </w:rPr>
              <w:t>外售有资质单位制作有机肥</w:t>
            </w:r>
          </w:p>
        </w:tc>
      </w:tr>
      <w:tr>
        <w:trPr>
          <w:trHeight w:val="540" w:hRule="atLeast"/>
        </w:trPr>
        <w:tc>
          <w:tcPr>
            <w:tcW w:w="1963" w:type="dxa"/>
            <w:vAlign w:val="top"/>
            <w:gridSpan w:val="2"/>
          </w:tcPr>
          <w:p>
            <w:pPr>
              <w:pStyle w:val="TableText"/>
              <w:ind w:left="445"/>
              <w:spacing w:before="173" w:line="219" w:lineRule="auto"/>
              <w:rPr>
                <w:sz w:val="21"/>
                <w:szCs w:val="21"/>
              </w:rPr>
            </w:pPr>
            <w:r>
              <w:rPr>
                <w:sz w:val="21"/>
                <w:szCs w:val="21"/>
                <w:spacing w:val="-2"/>
              </w:rPr>
              <w:t>生猪含毛蜡</w:t>
            </w:r>
          </w:p>
        </w:tc>
        <w:tc>
          <w:tcPr>
            <w:tcW w:w="629" w:type="dxa"/>
            <w:vAlign w:val="top"/>
          </w:tcPr>
          <w:p>
            <w:pPr>
              <w:pStyle w:val="TableText"/>
              <w:ind w:left="92"/>
              <w:spacing w:before="174" w:line="221" w:lineRule="auto"/>
              <w:rPr>
                <w:sz w:val="21"/>
                <w:szCs w:val="21"/>
              </w:rPr>
            </w:pPr>
            <w:r>
              <w:rPr>
                <w:sz w:val="21"/>
                <w:szCs w:val="21"/>
                <w:spacing w:val="-3"/>
              </w:rPr>
              <w:t>脱毛</w:t>
            </w:r>
          </w:p>
        </w:tc>
        <w:tc>
          <w:tcPr>
            <w:tcW w:w="689" w:type="dxa"/>
            <w:vAlign w:val="top"/>
          </w:tcPr>
          <w:p>
            <w:pPr>
              <w:pStyle w:val="TableText"/>
              <w:ind w:left="283"/>
              <w:spacing w:before="194" w:line="241" w:lineRule="auto"/>
              <w:rPr>
                <w:sz w:val="21"/>
                <w:szCs w:val="21"/>
              </w:rPr>
            </w:pPr>
            <w:r>
              <w:rPr>
                <w:sz w:val="21"/>
                <w:szCs w:val="21"/>
              </w:rPr>
              <w:t>2</w:t>
            </w:r>
          </w:p>
        </w:tc>
        <w:tc>
          <w:tcPr>
            <w:tcW w:w="230" w:type="dxa"/>
            <w:vAlign w:val="top"/>
            <w:vMerge w:val="continue"/>
            <w:tcBorders>
              <w:top w:val="nil"/>
              <w:bottom w:val="nil"/>
            </w:tcBorders>
          </w:tcPr>
          <w:p>
            <w:pPr>
              <w:rPr>
                <w:rFonts w:ascii="Arial"/>
                <w:sz w:val="21"/>
              </w:rPr>
            </w:pPr>
            <w:r/>
          </w:p>
        </w:tc>
        <w:tc>
          <w:tcPr>
            <w:tcW w:w="1418" w:type="dxa"/>
            <w:vAlign w:val="top"/>
          </w:tcPr>
          <w:p>
            <w:pPr>
              <w:pStyle w:val="TableText"/>
              <w:ind w:left="124"/>
              <w:spacing w:before="56" w:line="220" w:lineRule="auto"/>
              <w:rPr>
                <w:sz w:val="21"/>
                <w:szCs w:val="21"/>
              </w:rPr>
            </w:pPr>
            <w:r>
              <w:rPr>
                <w:sz w:val="21"/>
                <w:szCs w:val="21"/>
                <w:spacing w:val="-1"/>
              </w:rPr>
              <w:t>SW13(135-00</w:t>
            </w:r>
          </w:p>
          <w:p>
            <w:pPr>
              <w:pStyle w:val="TableText"/>
              <w:ind w:left="434"/>
              <w:spacing w:line="196" w:lineRule="auto"/>
              <w:rPr>
                <w:sz w:val="21"/>
                <w:szCs w:val="21"/>
              </w:rPr>
            </w:pPr>
            <w:r>
              <w:rPr>
                <w:sz w:val="21"/>
                <w:szCs w:val="21"/>
                <w:spacing w:val="-2"/>
              </w:rPr>
              <w:t>-S13)</w:t>
            </w:r>
          </w:p>
        </w:tc>
        <w:tc>
          <w:tcPr>
            <w:tcW w:w="460" w:type="dxa"/>
            <w:vAlign w:val="top"/>
          </w:tcPr>
          <w:p>
            <w:pPr>
              <w:pStyle w:val="TableText"/>
              <w:ind w:left="16"/>
              <w:spacing w:before="174" w:line="220" w:lineRule="auto"/>
              <w:rPr>
                <w:sz w:val="21"/>
                <w:szCs w:val="21"/>
              </w:rPr>
            </w:pPr>
            <w:r>
              <w:rPr>
                <w:sz w:val="21"/>
                <w:szCs w:val="21"/>
                <w:spacing w:val="5"/>
              </w:rPr>
              <w:t>固态</w:t>
            </w:r>
          </w:p>
        </w:tc>
        <w:tc>
          <w:tcPr>
            <w:tcW w:w="3341" w:type="dxa"/>
            <w:vAlign w:val="top"/>
          </w:tcPr>
          <w:p>
            <w:pPr>
              <w:pStyle w:val="TableText"/>
              <w:ind w:left="86"/>
              <w:spacing w:before="23" w:line="219" w:lineRule="auto"/>
              <w:rPr>
                <w:sz w:val="21"/>
                <w:szCs w:val="21"/>
              </w:rPr>
            </w:pPr>
            <w:r>
              <w:rPr>
                <w:sz w:val="21"/>
                <w:szCs w:val="21"/>
              </w:rPr>
              <w:t>暂存于脱毛处理间专用容器中，定</w:t>
            </w:r>
          </w:p>
          <w:p>
            <w:pPr>
              <w:pStyle w:val="TableText"/>
              <w:ind w:left="766"/>
              <w:spacing w:before="30" w:line="199" w:lineRule="auto"/>
              <w:rPr>
                <w:sz w:val="21"/>
                <w:szCs w:val="21"/>
              </w:rPr>
            </w:pPr>
            <w:r>
              <w:rPr>
                <w:sz w:val="21"/>
                <w:szCs w:val="21"/>
              </w:rPr>
              <w:t>期交回收公司处理。</w:t>
            </w:r>
          </w:p>
        </w:tc>
      </w:tr>
      <w:tr>
        <w:trPr>
          <w:trHeight w:val="550" w:hRule="atLeast"/>
        </w:trPr>
        <w:tc>
          <w:tcPr>
            <w:tcW w:w="1963" w:type="dxa"/>
            <w:vAlign w:val="top"/>
            <w:gridSpan w:val="2"/>
          </w:tcPr>
          <w:p>
            <w:pPr>
              <w:pStyle w:val="TableText"/>
              <w:ind w:left="234"/>
              <w:spacing w:before="173" w:line="219" w:lineRule="auto"/>
              <w:rPr>
                <w:sz w:val="21"/>
                <w:szCs w:val="21"/>
              </w:rPr>
            </w:pPr>
            <w:r>
              <w:rPr>
                <w:sz w:val="21"/>
                <w:szCs w:val="21"/>
                <w:spacing w:val="-1"/>
              </w:rPr>
              <w:t>废离子交换树脂</w:t>
            </w:r>
          </w:p>
        </w:tc>
        <w:tc>
          <w:tcPr>
            <w:tcW w:w="629" w:type="dxa"/>
            <w:vAlign w:val="top"/>
          </w:tcPr>
          <w:p>
            <w:pPr>
              <w:pStyle w:val="TableText"/>
              <w:ind w:left="92"/>
              <w:spacing w:before="43" w:line="219" w:lineRule="auto"/>
              <w:rPr>
                <w:sz w:val="21"/>
                <w:szCs w:val="21"/>
              </w:rPr>
            </w:pPr>
            <w:r>
              <w:rPr>
                <w:sz w:val="21"/>
                <w:szCs w:val="21"/>
                <w:spacing w:val="4"/>
              </w:rPr>
              <w:t>软水</w:t>
            </w:r>
          </w:p>
          <w:p>
            <w:pPr>
              <w:pStyle w:val="TableText"/>
              <w:ind w:left="92"/>
              <w:spacing w:before="41" w:line="181" w:lineRule="auto"/>
              <w:rPr>
                <w:sz w:val="21"/>
                <w:szCs w:val="21"/>
              </w:rPr>
            </w:pPr>
            <w:r>
              <w:rPr>
                <w:sz w:val="21"/>
                <w:szCs w:val="21"/>
                <w:spacing w:val="-3"/>
              </w:rPr>
              <w:t>制备</w:t>
            </w:r>
          </w:p>
        </w:tc>
        <w:tc>
          <w:tcPr>
            <w:tcW w:w="689" w:type="dxa"/>
            <w:vAlign w:val="top"/>
          </w:tcPr>
          <w:p>
            <w:pPr>
              <w:pStyle w:val="TableText"/>
              <w:ind w:left="123"/>
              <w:spacing w:before="194" w:line="239" w:lineRule="auto"/>
              <w:rPr>
                <w:sz w:val="21"/>
                <w:szCs w:val="21"/>
              </w:rPr>
            </w:pPr>
            <w:r>
              <w:rPr>
                <w:sz w:val="21"/>
                <w:szCs w:val="21"/>
                <w:spacing w:val="-2"/>
              </w:rPr>
              <w:t>0.04</w:t>
            </w:r>
          </w:p>
        </w:tc>
        <w:tc>
          <w:tcPr>
            <w:tcW w:w="230" w:type="dxa"/>
            <w:vAlign w:val="top"/>
            <w:vMerge w:val="continue"/>
            <w:tcBorders>
              <w:top w:val="nil"/>
              <w:bottom w:val="nil"/>
            </w:tcBorders>
          </w:tcPr>
          <w:p>
            <w:pPr>
              <w:rPr>
                <w:rFonts w:ascii="Arial"/>
                <w:sz w:val="21"/>
              </w:rPr>
            </w:pPr>
            <w:r/>
          </w:p>
        </w:tc>
        <w:tc>
          <w:tcPr>
            <w:tcW w:w="1418" w:type="dxa"/>
            <w:vAlign w:val="top"/>
          </w:tcPr>
          <w:p>
            <w:pPr>
              <w:pStyle w:val="TableText"/>
              <w:ind w:left="74"/>
              <w:spacing w:before="47" w:line="222" w:lineRule="auto"/>
              <w:rPr>
                <w:sz w:val="21"/>
                <w:szCs w:val="21"/>
              </w:rPr>
            </w:pPr>
            <w:r>
              <w:rPr>
                <w:sz w:val="21"/>
                <w:szCs w:val="21"/>
                <w:spacing w:val="-1"/>
              </w:rPr>
              <w:t>SW59(900-009</w:t>
            </w:r>
          </w:p>
          <w:p>
            <w:pPr>
              <w:pStyle w:val="TableText"/>
              <w:ind w:left="434"/>
              <w:spacing w:before="17" w:line="196" w:lineRule="auto"/>
              <w:rPr>
                <w:sz w:val="21"/>
                <w:szCs w:val="21"/>
              </w:rPr>
            </w:pPr>
            <w:r>
              <w:rPr>
                <w:sz w:val="21"/>
                <w:szCs w:val="21"/>
                <w:spacing w:val="-2"/>
              </w:rPr>
              <w:t>-S59)</w:t>
            </w:r>
          </w:p>
        </w:tc>
        <w:tc>
          <w:tcPr>
            <w:tcW w:w="460" w:type="dxa"/>
            <w:vAlign w:val="top"/>
          </w:tcPr>
          <w:p>
            <w:pPr>
              <w:pStyle w:val="TableText"/>
              <w:ind w:left="16"/>
              <w:spacing w:before="174" w:line="220" w:lineRule="auto"/>
              <w:rPr>
                <w:sz w:val="21"/>
                <w:szCs w:val="21"/>
              </w:rPr>
            </w:pPr>
            <w:r>
              <w:rPr>
                <w:sz w:val="21"/>
                <w:szCs w:val="21"/>
                <w:spacing w:val="5"/>
              </w:rPr>
              <w:t>固态</w:t>
            </w:r>
          </w:p>
        </w:tc>
        <w:tc>
          <w:tcPr>
            <w:tcW w:w="3341" w:type="dxa"/>
            <w:vAlign w:val="top"/>
          </w:tcPr>
          <w:p>
            <w:pPr>
              <w:pStyle w:val="TableText"/>
              <w:ind w:left="86"/>
              <w:spacing w:before="43" w:line="219" w:lineRule="auto"/>
              <w:rPr>
                <w:sz w:val="21"/>
                <w:szCs w:val="21"/>
              </w:rPr>
            </w:pPr>
            <w:r>
              <w:rPr>
                <w:sz w:val="21"/>
                <w:szCs w:val="21"/>
              </w:rPr>
              <w:t>暂存于固废暂存间，交由厂家定期</w:t>
            </w:r>
          </w:p>
          <w:p>
            <w:pPr>
              <w:pStyle w:val="TableText"/>
              <w:ind w:left="1186"/>
              <w:spacing w:before="20" w:line="199" w:lineRule="auto"/>
              <w:rPr>
                <w:sz w:val="21"/>
                <w:szCs w:val="21"/>
              </w:rPr>
            </w:pPr>
            <w:r>
              <w:rPr>
                <w:sz w:val="21"/>
                <w:szCs w:val="21"/>
              </w:rPr>
              <w:t>回收处置。</w:t>
            </w:r>
          </w:p>
        </w:tc>
      </w:tr>
      <w:tr>
        <w:trPr>
          <w:trHeight w:val="549" w:hRule="atLeast"/>
        </w:trPr>
        <w:tc>
          <w:tcPr>
            <w:tcW w:w="1963" w:type="dxa"/>
            <w:vAlign w:val="top"/>
            <w:gridSpan w:val="2"/>
          </w:tcPr>
          <w:p>
            <w:pPr>
              <w:pStyle w:val="TableText"/>
              <w:ind w:left="555"/>
              <w:spacing w:before="53" w:line="219" w:lineRule="auto"/>
              <w:rPr>
                <w:sz w:val="21"/>
                <w:szCs w:val="21"/>
              </w:rPr>
            </w:pPr>
            <w:r>
              <w:rPr>
                <w:sz w:val="21"/>
                <w:szCs w:val="21"/>
                <w:spacing w:val="-2"/>
              </w:rPr>
              <w:t>餐厨垃圾</w:t>
            </w:r>
          </w:p>
          <w:p>
            <w:pPr>
              <w:pStyle w:val="TableText"/>
              <w:ind w:left="234"/>
              <w:spacing w:before="10" w:line="198" w:lineRule="auto"/>
              <w:rPr>
                <w:sz w:val="21"/>
                <w:szCs w:val="21"/>
              </w:rPr>
            </w:pPr>
            <w:r>
              <w:rPr>
                <w:sz w:val="21"/>
                <w:szCs w:val="21"/>
                <w:spacing w:val="5"/>
              </w:rPr>
              <w:t>(含隔油池浮油)</w:t>
            </w:r>
          </w:p>
        </w:tc>
        <w:tc>
          <w:tcPr>
            <w:tcW w:w="629" w:type="dxa"/>
            <w:vAlign w:val="top"/>
          </w:tcPr>
          <w:p>
            <w:pPr>
              <w:pStyle w:val="TableText"/>
              <w:ind w:left="92"/>
              <w:spacing w:before="174" w:line="220" w:lineRule="auto"/>
              <w:rPr>
                <w:sz w:val="21"/>
                <w:szCs w:val="21"/>
              </w:rPr>
            </w:pPr>
            <w:r>
              <w:rPr>
                <w:sz w:val="21"/>
                <w:szCs w:val="21"/>
                <w:spacing w:val="-3"/>
              </w:rPr>
              <w:t>食堂</w:t>
            </w:r>
          </w:p>
        </w:tc>
        <w:tc>
          <w:tcPr>
            <w:tcW w:w="689" w:type="dxa"/>
            <w:vAlign w:val="top"/>
          </w:tcPr>
          <w:p>
            <w:pPr>
              <w:pStyle w:val="TableText"/>
              <w:ind w:left="233"/>
              <w:spacing w:before="194"/>
              <w:rPr>
                <w:sz w:val="21"/>
                <w:szCs w:val="21"/>
              </w:rPr>
            </w:pPr>
            <w:r>
              <w:rPr>
                <w:sz w:val="21"/>
                <w:szCs w:val="21"/>
                <w:spacing w:val="-6"/>
              </w:rPr>
              <w:t>10</w:t>
            </w:r>
          </w:p>
        </w:tc>
        <w:tc>
          <w:tcPr>
            <w:tcW w:w="230" w:type="dxa"/>
            <w:vAlign w:val="top"/>
            <w:vMerge w:val="continue"/>
            <w:tcBorders>
              <w:top w:val="nil"/>
              <w:bottom w:val="nil"/>
            </w:tcBorders>
          </w:tcPr>
          <w:p>
            <w:pPr>
              <w:rPr>
                <w:rFonts w:ascii="Arial"/>
                <w:sz w:val="21"/>
              </w:rPr>
            </w:pPr>
            <w:r/>
          </w:p>
        </w:tc>
        <w:tc>
          <w:tcPr>
            <w:tcW w:w="1418" w:type="dxa"/>
            <w:vAlign w:val="top"/>
          </w:tcPr>
          <w:p>
            <w:pPr>
              <w:pStyle w:val="TableText"/>
              <w:ind w:left="74"/>
              <w:spacing w:before="66" w:line="220" w:lineRule="auto"/>
              <w:rPr>
                <w:sz w:val="21"/>
                <w:szCs w:val="21"/>
              </w:rPr>
            </w:pPr>
            <w:r>
              <w:rPr>
                <w:sz w:val="21"/>
                <w:szCs w:val="21"/>
                <w:spacing w:val="-1"/>
              </w:rPr>
              <w:t>SW61(900-002</w:t>
            </w:r>
          </w:p>
          <w:p>
            <w:pPr>
              <w:pStyle w:val="TableText"/>
              <w:ind w:left="434"/>
              <w:spacing w:line="195" w:lineRule="auto"/>
              <w:rPr>
                <w:sz w:val="21"/>
                <w:szCs w:val="21"/>
              </w:rPr>
            </w:pPr>
            <w:r>
              <w:rPr>
                <w:sz w:val="21"/>
                <w:szCs w:val="21"/>
                <w:spacing w:val="-2"/>
              </w:rPr>
              <w:t>-S61)</w:t>
            </w:r>
          </w:p>
        </w:tc>
        <w:tc>
          <w:tcPr>
            <w:tcW w:w="460" w:type="dxa"/>
            <w:vAlign w:val="top"/>
          </w:tcPr>
          <w:p>
            <w:pPr>
              <w:pStyle w:val="TableText"/>
              <w:ind w:left="16"/>
              <w:spacing w:before="174" w:line="220" w:lineRule="auto"/>
              <w:rPr>
                <w:sz w:val="21"/>
                <w:szCs w:val="21"/>
              </w:rPr>
            </w:pPr>
            <w:r>
              <w:rPr>
                <w:sz w:val="21"/>
                <w:szCs w:val="21"/>
                <w:spacing w:val="5"/>
              </w:rPr>
              <w:t>固态</w:t>
            </w:r>
          </w:p>
        </w:tc>
        <w:tc>
          <w:tcPr>
            <w:tcW w:w="3341" w:type="dxa"/>
            <w:vAlign w:val="top"/>
          </w:tcPr>
          <w:p>
            <w:pPr>
              <w:pStyle w:val="TableText"/>
              <w:ind w:left="86"/>
              <w:spacing w:before="43" w:line="219" w:lineRule="auto"/>
              <w:rPr>
                <w:sz w:val="21"/>
                <w:szCs w:val="21"/>
              </w:rPr>
            </w:pPr>
            <w:r>
              <w:rPr>
                <w:sz w:val="21"/>
                <w:szCs w:val="21"/>
                <w:spacing w:val="1"/>
              </w:rPr>
              <w:t>桶装分类收集，交由有处置能力的</w:t>
            </w:r>
          </w:p>
          <w:p>
            <w:pPr>
              <w:pStyle w:val="TableText"/>
              <w:ind w:left="976"/>
              <w:spacing w:before="22" w:line="197" w:lineRule="auto"/>
              <w:rPr>
                <w:sz w:val="21"/>
                <w:szCs w:val="21"/>
              </w:rPr>
            </w:pPr>
            <w:r>
              <w:rPr>
                <w:sz w:val="21"/>
                <w:szCs w:val="21"/>
              </w:rPr>
              <w:t>单位进行处理。</w:t>
            </w:r>
          </w:p>
        </w:tc>
      </w:tr>
      <w:tr>
        <w:trPr>
          <w:trHeight w:val="799" w:hRule="atLeast"/>
        </w:trPr>
        <w:tc>
          <w:tcPr>
            <w:tcW w:w="1963" w:type="dxa"/>
            <w:vAlign w:val="top"/>
            <w:gridSpan w:val="2"/>
          </w:tcPr>
          <w:p>
            <w:pPr>
              <w:pStyle w:val="TableText"/>
              <w:ind w:left="555"/>
              <w:spacing w:before="303" w:line="219" w:lineRule="auto"/>
              <w:rPr>
                <w:sz w:val="21"/>
                <w:szCs w:val="21"/>
              </w:rPr>
            </w:pPr>
            <w:r>
              <w:rPr>
                <w:sz w:val="21"/>
                <w:szCs w:val="21"/>
                <w:spacing w:val="-2"/>
              </w:rPr>
              <w:t>废脱硫剂</w:t>
            </w:r>
          </w:p>
        </w:tc>
        <w:tc>
          <w:tcPr>
            <w:tcW w:w="629" w:type="dxa"/>
            <w:vAlign w:val="top"/>
          </w:tcPr>
          <w:p>
            <w:pPr>
              <w:pStyle w:val="TableText"/>
              <w:ind w:left="92" w:right="93"/>
              <w:spacing w:before="166" w:line="239" w:lineRule="auto"/>
              <w:rPr>
                <w:sz w:val="21"/>
                <w:szCs w:val="21"/>
              </w:rPr>
            </w:pPr>
            <w:r>
              <w:rPr>
                <w:sz w:val="21"/>
                <w:szCs w:val="21"/>
                <w:spacing w:val="6"/>
              </w:rPr>
              <w:t>沼气</w:t>
            </w:r>
            <w:r>
              <w:rPr>
                <w:sz w:val="21"/>
                <w:szCs w:val="21"/>
              </w:rPr>
              <w:t xml:space="preserve"> </w:t>
            </w:r>
            <w:r>
              <w:rPr>
                <w:sz w:val="21"/>
                <w:szCs w:val="21"/>
                <w:spacing w:val="-3"/>
              </w:rPr>
              <w:t>净化</w:t>
            </w:r>
          </w:p>
        </w:tc>
        <w:tc>
          <w:tcPr>
            <w:tcW w:w="689" w:type="dxa"/>
            <w:vAlign w:val="top"/>
          </w:tcPr>
          <w:p>
            <w:pPr>
              <w:spacing w:line="255" w:lineRule="auto"/>
              <w:rPr>
                <w:rFonts w:ascii="Arial"/>
                <w:sz w:val="21"/>
              </w:rPr>
            </w:pPr>
            <w:r/>
          </w:p>
          <w:p>
            <w:pPr>
              <w:pStyle w:val="TableText"/>
              <w:ind w:left="123"/>
              <w:spacing w:before="68" w:line="239" w:lineRule="auto"/>
              <w:rPr>
                <w:sz w:val="21"/>
                <w:szCs w:val="21"/>
              </w:rPr>
            </w:pPr>
            <w:r>
              <w:rPr>
                <w:sz w:val="21"/>
                <w:szCs w:val="21"/>
                <w:spacing w:val="-5"/>
              </w:rPr>
              <w:t>1.47</w:t>
            </w:r>
          </w:p>
        </w:tc>
        <w:tc>
          <w:tcPr>
            <w:tcW w:w="230" w:type="dxa"/>
            <w:vAlign w:val="top"/>
            <w:vMerge w:val="continue"/>
            <w:tcBorders>
              <w:top w:val="nil"/>
            </w:tcBorders>
          </w:tcPr>
          <w:p>
            <w:pPr>
              <w:rPr>
                <w:rFonts w:ascii="Arial"/>
                <w:sz w:val="21"/>
              </w:rPr>
            </w:pPr>
            <w:r/>
          </w:p>
        </w:tc>
        <w:tc>
          <w:tcPr>
            <w:tcW w:w="1418" w:type="dxa"/>
            <w:vAlign w:val="top"/>
          </w:tcPr>
          <w:p>
            <w:pPr>
              <w:pStyle w:val="TableText"/>
              <w:ind w:left="74"/>
              <w:spacing w:before="197" w:line="220" w:lineRule="auto"/>
              <w:rPr>
                <w:sz w:val="21"/>
                <w:szCs w:val="21"/>
              </w:rPr>
            </w:pPr>
            <w:r>
              <w:rPr>
                <w:sz w:val="21"/>
                <w:szCs w:val="21"/>
                <w:spacing w:val="-1"/>
              </w:rPr>
              <w:t>SW59(900-008</w:t>
            </w:r>
          </w:p>
          <w:p>
            <w:pPr>
              <w:pStyle w:val="TableText"/>
              <w:ind w:left="434"/>
              <w:spacing w:line="222" w:lineRule="auto"/>
              <w:rPr>
                <w:sz w:val="21"/>
                <w:szCs w:val="21"/>
              </w:rPr>
            </w:pPr>
            <w:r>
              <w:rPr>
                <w:sz w:val="21"/>
                <w:szCs w:val="21"/>
                <w:spacing w:val="-2"/>
              </w:rPr>
              <w:t>-S59)</w:t>
            </w:r>
          </w:p>
        </w:tc>
        <w:tc>
          <w:tcPr>
            <w:tcW w:w="460" w:type="dxa"/>
            <w:vAlign w:val="top"/>
          </w:tcPr>
          <w:p>
            <w:pPr>
              <w:pStyle w:val="TableText"/>
              <w:ind w:left="16"/>
              <w:spacing w:before="305" w:line="220" w:lineRule="auto"/>
              <w:rPr>
                <w:sz w:val="21"/>
                <w:szCs w:val="21"/>
              </w:rPr>
            </w:pPr>
            <w:r>
              <w:rPr>
                <w:sz w:val="21"/>
                <w:szCs w:val="21"/>
                <w:spacing w:val="5"/>
              </w:rPr>
              <w:t>固态</w:t>
            </w:r>
          </w:p>
        </w:tc>
        <w:tc>
          <w:tcPr>
            <w:tcW w:w="3341" w:type="dxa"/>
            <w:vAlign w:val="top"/>
          </w:tcPr>
          <w:p>
            <w:pPr>
              <w:pStyle w:val="TableText"/>
              <w:ind w:left="15" w:right="40" w:firstLine="120"/>
              <w:spacing w:before="45" w:line="218" w:lineRule="auto"/>
              <w:jc w:val="both"/>
              <w:rPr>
                <w:sz w:val="21"/>
                <w:szCs w:val="21"/>
              </w:rPr>
            </w:pPr>
            <w:r>
              <w:rPr>
                <w:sz w:val="21"/>
                <w:szCs w:val="21"/>
              </w:rPr>
              <w:t>建设单位应与厂家签订回收协议，</w:t>
            </w:r>
            <w:r>
              <w:rPr>
                <w:sz w:val="21"/>
                <w:szCs w:val="21"/>
                <w:spacing w:val="3"/>
              </w:rPr>
              <w:t xml:space="preserve"> </w:t>
            </w:r>
            <w:r>
              <w:rPr>
                <w:sz w:val="21"/>
                <w:szCs w:val="21"/>
                <w:spacing w:val="5"/>
              </w:rPr>
              <w:t>定期更换后进行收集，定期交由原</w:t>
            </w:r>
            <w:r>
              <w:rPr>
                <w:sz w:val="21"/>
                <w:szCs w:val="21"/>
                <w:spacing w:val="11"/>
              </w:rPr>
              <w:t xml:space="preserve"> </w:t>
            </w:r>
            <w:r>
              <w:rPr>
                <w:sz w:val="21"/>
                <w:szCs w:val="21"/>
                <w:spacing w:val="-1"/>
              </w:rPr>
              <w:t>生厂家进行再生处理利用。</w:t>
            </w:r>
          </w:p>
        </w:tc>
      </w:tr>
      <w:tr>
        <w:trPr>
          <w:trHeight w:val="530" w:hRule="atLeast"/>
        </w:trPr>
        <w:tc>
          <w:tcPr>
            <w:tcW w:w="1963" w:type="dxa"/>
            <w:vAlign w:val="top"/>
            <w:gridSpan w:val="2"/>
          </w:tcPr>
          <w:p>
            <w:pPr>
              <w:pStyle w:val="TableText"/>
              <w:ind w:left="555"/>
              <w:spacing w:before="166" w:line="220" w:lineRule="auto"/>
              <w:rPr>
                <w:sz w:val="21"/>
                <w:szCs w:val="21"/>
              </w:rPr>
            </w:pPr>
            <w:r>
              <w:rPr>
                <w:sz w:val="21"/>
                <w:szCs w:val="21"/>
                <w:spacing w:val="3"/>
              </w:rPr>
              <w:t>废活性炭</w:t>
            </w:r>
          </w:p>
        </w:tc>
        <w:tc>
          <w:tcPr>
            <w:tcW w:w="629" w:type="dxa"/>
            <w:vAlign w:val="top"/>
            <w:vMerge w:val="restart"/>
            <w:tcBorders>
              <w:bottom w:val="nil"/>
            </w:tcBorders>
          </w:tcPr>
          <w:p>
            <w:pPr>
              <w:pStyle w:val="TableText"/>
              <w:spacing w:before="286" w:line="220" w:lineRule="auto"/>
              <w:jc w:val="right"/>
              <w:rPr>
                <w:sz w:val="21"/>
                <w:szCs w:val="21"/>
              </w:rPr>
            </w:pPr>
            <w:r>
              <w:rPr>
                <w:sz w:val="21"/>
                <w:szCs w:val="21"/>
                <w:spacing w:val="-8"/>
              </w:rPr>
              <w:t>废气处</w:t>
            </w:r>
          </w:p>
          <w:p>
            <w:pPr>
              <w:pStyle w:val="TableText"/>
              <w:spacing w:before="30" w:line="221" w:lineRule="auto"/>
              <w:jc w:val="right"/>
              <w:rPr>
                <w:sz w:val="21"/>
                <w:szCs w:val="21"/>
              </w:rPr>
            </w:pPr>
            <w:r>
              <w:rPr>
                <w:sz w:val="21"/>
                <w:szCs w:val="21"/>
                <w:spacing w:val="-8"/>
              </w:rPr>
              <w:t>理系统</w:t>
            </w:r>
          </w:p>
        </w:tc>
        <w:tc>
          <w:tcPr>
            <w:tcW w:w="689" w:type="dxa"/>
            <w:vAlign w:val="top"/>
          </w:tcPr>
          <w:p>
            <w:pPr>
              <w:pStyle w:val="TableText"/>
              <w:ind w:left="173"/>
              <w:spacing w:before="186" w:line="239" w:lineRule="auto"/>
              <w:rPr>
                <w:sz w:val="21"/>
                <w:szCs w:val="21"/>
              </w:rPr>
            </w:pPr>
            <w:r>
              <w:rPr>
                <w:sz w:val="21"/>
                <w:szCs w:val="21"/>
                <w:spacing w:val="-6"/>
              </w:rPr>
              <w:t>1.2</w:t>
            </w:r>
          </w:p>
        </w:tc>
        <w:tc>
          <w:tcPr>
            <w:tcW w:w="230" w:type="dxa"/>
            <w:vAlign w:val="top"/>
            <w:vMerge w:val="restart"/>
            <w:textDirection w:val="tbRlV"/>
            <w:tcBorders>
              <w:bottom w:val="nil"/>
            </w:tcBorders>
          </w:tcPr>
          <w:p>
            <w:pPr>
              <w:pStyle w:val="TableText"/>
              <w:ind w:left="1396"/>
              <w:spacing w:before="4" w:line="208" w:lineRule="auto"/>
              <w:rPr>
                <w:sz w:val="21"/>
                <w:szCs w:val="21"/>
              </w:rPr>
            </w:pPr>
            <w:r>
              <w:rPr>
                <w:sz w:val="21"/>
                <w:szCs w:val="21"/>
                <w:spacing w:val="-3"/>
              </w:rPr>
              <w:t>危险</w:t>
            </w:r>
            <w:r>
              <w:rPr>
                <w:sz w:val="21"/>
                <w:szCs w:val="21"/>
                <w:spacing w:val="31"/>
              </w:rPr>
              <w:t xml:space="preserve"> </w:t>
            </w:r>
            <w:r>
              <w:rPr>
                <w:sz w:val="21"/>
                <w:szCs w:val="21"/>
                <w:spacing w:val="-3"/>
              </w:rPr>
              <w:t>废物</w:t>
            </w:r>
          </w:p>
        </w:tc>
        <w:tc>
          <w:tcPr>
            <w:tcW w:w="1418" w:type="dxa"/>
            <w:vAlign w:val="top"/>
          </w:tcPr>
          <w:p>
            <w:pPr>
              <w:pStyle w:val="TableText"/>
              <w:ind w:left="493"/>
              <w:spacing w:before="109" w:line="175" w:lineRule="auto"/>
              <w:rPr>
                <w:sz w:val="21"/>
                <w:szCs w:val="21"/>
              </w:rPr>
            </w:pPr>
            <w:r>
              <w:rPr>
                <w:sz w:val="21"/>
                <w:szCs w:val="21"/>
                <w:spacing w:val="-1"/>
              </w:rPr>
              <w:t>HW49</w:t>
            </w:r>
          </w:p>
          <w:p>
            <w:pPr>
              <w:pStyle w:val="TableText"/>
              <w:ind w:left="74"/>
              <w:spacing w:line="185" w:lineRule="auto"/>
              <w:rPr>
                <w:sz w:val="21"/>
                <w:szCs w:val="21"/>
              </w:rPr>
            </w:pPr>
            <w:r>
              <w:rPr>
                <w:sz w:val="21"/>
                <w:szCs w:val="21"/>
                <w:spacing w:val="-4"/>
              </w:rPr>
              <w:t>(900-039-49)</w:t>
            </w:r>
          </w:p>
        </w:tc>
        <w:tc>
          <w:tcPr>
            <w:tcW w:w="460" w:type="dxa"/>
            <w:vAlign w:val="top"/>
          </w:tcPr>
          <w:p>
            <w:pPr>
              <w:pStyle w:val="TableText"/>
              <w:ind w:left="16"/>
              <w:spacing w:before="166" w:line="220" w:lineRule="auto"/>
              <w:rPr>
                <w:sz w:val="21"/>
                <w:szCs w:val="21"/>
              </w:rPr>
            </w:pPr>
            <w:r>
              <w:rPr>
                <w:sz w:val="21"/>
                <w:szCs w:val="21"/>
                <w:spacing w:val="5"/>
              </w:rPr>
              <w:t>固态</w:t>
            </w:r>
          </w:p>
        </w:tc>
        <w:tc>
          <w:tcPr>
            <w:tcW w:w="3341" w:type="dxa"/>
            <w:vAlign w:val="top"/>
            <w:vMerge w:val="restart"/>
            <w:tcBorders>
              <w:bottom w:val="nil"/>
            </w:tcBorders>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pStyle w:val="TableText"/>
              <w:ind w:left="86"/>
              <w:spacing w:before="69" w:line="219" w:lineRule="auto"/>
              <w:rPr>
                <w:sz w:val="21"/>
                <w:szCs w:val="21"/>
              </w:rPr>
            </w:pPr>
            <w:r>
              <w:rPr>
                <w:sz w:val="21"/>
                <w:szCs w:val="21"/>
                <w:spacing w:val="-1"/>
              </w:rPr>
              <w:t>分类收集后暂存于危废暂存间，交</w:t>
            </w:r>
          </w:p>
          <w:p>
            <w:pPr>
              <w:pStyle w:val="TableText"/>
              <w:ind w:left="876"/>
              <w:spacing w:before="31" w:line="220" w:lineRule="auto"/>
              <w:rPr>
                <w:sz w:val="21"/>
                <w:szCs w:val="21"/>
              </w:rPr>
            </w:pPr>
            <w:r>
              <w:rPr>
                <w:sz w:val="21"/>
                <w:szCs w:val="21"/>
                <w:spacing w:val="-1"/>
              </w:rPr>
              <w:t>由资质单位处置。</w:t>
            </w:r>
          </w:p>
        </w:tc>
      </w:tr>
      <w:tr>
        <w:trPr>
          <w:trHeight w:val="499" w:hRule="atLeast"/>
        </w:trPr>
        <w:tc>
          <w:tcPr>
            <w:tcW w:w="1963" w:type="dxa"/>
            <w:vAlign w:val="top"/>
            <w:gridSpan w:val="2"/>
          </w:tcPr>
          <w:p>
            <w:pPr>
              <w:pStyle w:val="TableText"/>
              <w:ind w:left="455"/>
              <w:spacing w:before="155" w:line="219" w:lineRule="auto"/>
              <w:rPr>
                <w:sz w:val="21"/>
                <w:szCs w:val="21"/>
              </w:rPr>
            </w:pPr>
            <w:r>
              <w:rPr>
                <w:sz w:val="21"/>
                <w:szCs w:val="21"/>
                <w:spacing w:val="-5"/>
              </w:rPr>
              <w:t>废</w:t>
            </w:r>
            <w:r>
              <w:rPr>
                <w:sz w:val="21"/>
                <w:szCs w:val="21"/>
                <w:spacing w:val="-47"/>
              </w:rPr>
              <w:t xml:space="preserve"> </w:t>
            </w:r>
            <w:r>
              <w:rPr>
                <w:sz w:val="21"/>
                <w:szCs w:val="21"/>
                <w:spacing w:val="-5"/>
              </w:rPr>
              <w:t>U</w:t>
            </w:r>
            <w:r>
              <w:rPr>
                <w:sz w:val="21"/>
                <w:szCs w:val="21"/>
                <w:spacing w:val="-46"/>
              </w:rPr>
              <w:t xml:space="preserve"> </w:t>
            </w:r>
            <w:r>
              <w:rPr>
                <w:sz w:val="21"/>
                <w:szCs w:val="21"/>
                <w:spacing w:val="-5"/>
              </w:rPr>
              <w:t>V</w:t>
            </w:r>
            <w:r>
              <w:rPr>
                <w:sz w:val="21"/>
                <w:szCs w:val="21"/>
                <w:spacing w:val="-42"/>
              </w:rPr>
              <w:t xml:space="preserve"> </w:t>
            </w:r>
            <w:r>
              <w:rPr>
                <w:sz w:val="21"/>
                <w:szCs w:val="21"/>
                <w:spacing w:val="-5"/>
              </w:rPr>
              <w:t>灯</w:t>
            </w:r>
            <w:r>
              <w:rPr>
                <w:sz w:val="21"/>
                <w:szCs w:val="21"/>
                <w:spacing w:val="-37"/>
              </w:rPr>
              <w:t xml:space="preserve"> </w:t>
            </w:r>
            <w:r>
              <w:rPr>
                <w:sz w:val="21"/>
                <w:szCs w:val="21"/>
                <w:spacing w:val="-5"/>
              </w:rPr>
              <w:t>管</w:t>
            </w:r>
          </w:p>
        </w:tc>
        <w:tc>
          <w:tcPr>
            <w:tcW w:w="629" w:type="dxa"/>
            <w:vAlign w:val="top"/>
            <w:vMerge w:val="continue"/>
            <w:tcBorders>
              <w:top w:val="nil"/>
            </w:tcBorders>
          </w:tcPr>
          <w:p>
            <w:pPr>
              <w:rPr>
                <w:rFonts w:ascii="Arial"/>
                <w:sz w:val="21"/>
              </w:rPr>
            </w:pPr>
            <w:r/>
          </w:p>
        </w:tc>
        <w:tc>
          <w:tcPr>
            <w:tcW w:w="689" w:type="dxa"/>
            <w:vAlign w:val="top"/>
          </w:tcPr>
          <w:p>
            <w:pPr>
              <w:pStyle w:val="TableText"/>
              <w:ind w:left="72"/>
              <w:spacing w:before="176" w:line="239" w:lineRule="auto"/>
              <w:rPr>
                <w:sz w:val="21"/>
                <w:szCs w:val="21"/>
              </w:rPr>
            </w:pPr>
            <w:r>
              <w:rPr>
                <w:sz w:val="21"/>
                <w:szCs w:val="21"/>
                <w:spacing w:val="-2"/>
              </w:rPr>
              <w:t>0.002</w:t>
            </w:r>
          </w:p>
        </w:tc>
        <w:tc>
          <w:tcPr>
            <w:tcW w:w="230" w:type="dxa"/>
            <w:vAlign w:val="top"/>
            <w:vMerge w:val="continue"/>
            <w:textDirection w:val="tbRlV"/>
            <w:tcBorders>
              <w:top w:val="nil"/>
              <w:bottom w:val="nil"/>
            </w:tcBorders>
          </w:tcPr>
          <w:p>
            <w:pPr>
              <w:spacing w:line="220" w:lineRule="exact"/>
              <w:rPr>
                <w:rFonts w:ascii="Arial"/>
                <w:sz w:val="18"/>
              </w:rPr>
            </w:pPr>
            <w:r/>
          </w:p>
        </w:tc>
        <w:tc>
          <w:tcPr>
            <w:tcW w:w="1418" w:type="dxa"/>
            <w:vAlign w:val="top"/>
          </w:tcPr>
          <w:p>
            <w:pPr>
              <w:pStyle w:val="TableText"/>
              <w:ind w:left="493"/>
              <w:spacing w:before="90" w:line="157" w:lineRule="auto"/>
              <w:rPr>
                <w:sz w:val="21"/>
                <w:szCs w:val="21"/>
              </w:rPr>
            </w:pPr>
            <w:r>
              <w:rPr>
                <w:sz w:val="21"/>
                <w:szCs w:val="21"/>
                <w:spacing w:val="-1"/>
              </w:rPr>
              <w:t>HW29</w:t>
            </w:r>
          </w:p>
          <w:p>
            <w:pPr>
              <w:pStyle w:val="TableText"/>
              <w:ind w:left="74"/>
              <w:spacing w:line="193" w:lineRule="auto"/>
              <w:rPr>
                <w:sz w:val="21"/>
                <w:szCs w:val="21"/>
              </w:rPr>
            </w:pPr>
            <w:r>
              <w:rPr>
                <w:sz w:val="21"/>
                <w:szCs w:val="21"/>
                <w:spacing w:val="-4"/>
              </w:rPr>
              <w:t>(900-023-29)</w:t>
            </w:r>
          </w:p>
        </w:tc>
        <w:tc>
          <w:tcPr>
            <w:tcW w:w="460" w:type="dxa"/>
            <w:vAlign w:val="top"/>
          </w:tcPr>
          <w:p>
            <w:pPr>
              <w:pStyle w:val="TableText"/>
              <w:ind w:left="16"/>
              <w:spacing w:before="156" w:line="220" w:lineRule="auto"/>
              <w:rPr>
                <w:sz w:val="21"/>
                <w:szCs w:val="21"/>
              </w:rPr>
            </w:pPr>
            <w:r>
              <w:rPr>
                <w:sz w:val="21"/>
                <w:szCs w:val="21"/>
                <w:spacing w:val="5"/>
              </w:rPr>
              <w:t>固态</w:t>
            </w:r>
          </w:p>
        </w:tc>
        <w:tc>
          <w:tcPr>
            <w:tcW w:w="3341" w:type="dxa"/>
            <w:vAlign w:val="top"/>
            <w:vMerge w:val="continue"/>
            <w:tcBorders>
              <w:top w:val="nil"/>
              <w:bottom w:val="nil"/>
            </w:tcBorders>
          </w:tcPr>
          <w:p>
            <w:pPr>
              <w:rPr>
                <w:rFonts w:ascii="Arial"/>
                <w:sz w:val="21"/>
              </w:rPr>
            </w:pPr>
            <w:r/>
          </w:p>
        </w:tc>
      </w:tr>
      <w:tr>
        <w:trPr>
          <w:trHeight w:val="550" w:hRule="atLeast"/>
        </w:trPr>
        <w:tc>
          <w:tcPr>
            <w:tcW w:w="1963" w:type="dxa"/>
            <w:vAlign w:val="top"/>
            <w:gridSpan w:val="2"/>
          </w:tcPr>
          <w:p>
            <w:pPr>
              <w:pStyle w:val="TableText"/>
              <w:ind w:left="445" w:right="450" w:firstLine="109"/>
              <w:spacing w:before="46" w:line="217" w:lineRule="auto"/>
              <w:rPr>
                <w:sz w:val="21"/>
                <w:szCs w:val="21"/>
              </w:rPr>
            </w:pPr>
            <w:r>
              <w:rPr>
                <w:sz w:val="21"/>
                <w:szCs w:val="21"/>
                <w:spacing w:val="-2"/>
              </w:rPr>
              <w:t>废消毒药</w:t>
            </w:r>
            <w:r>
              <w:rPr>
                <w:sz w:val="21"/>
                <w:szCs w:val="21"/>
              </w:rPr>
              <w:t xml:space="preserve">  </w:t>
            </w:r>
            <w:r>
              <w:rPr>
                <w:sz w:val="21"/>
                <w:szCs w:val="21"/>
                <w:spacing w:val="1"/>
              </w:rPr>
              <w:t>品包装材料</w:t>
            </w:r>
          </w:p>
        </w:tc>
        <w:tc>
          <w:tcPr>
            <w:tcW w:w="629" w:type="dxa"/>
            <w:vAlign w:val="top"/>
          </w:tcPr>
          <w:p>
            <w:pPr>
              <w:pStyle w:val="TableText"/>
              <w:ind w:left="92"/>
              <w:spacing w:before="176" w:line="219" w:lineRule="auto"/>
              <w:rPr>
                <w:sz w:val="21"/>
                <w:szCs w:val="21"/>
              </w:rPr>
            </w:pPr>
            <w:r>
              <w:rPr>
                <w:sz w:val="21"/>
                <w:szCs w:val="21"/>
                <w:spacing w:val="5"/>
              </w:rPr>
              <w:t>消毒</w:t>
            </w:r>
          </w:p>
        </w:tc>
        <w:tc>
          <w:tcPr>
            <w:tcW w:w="689" w:type="dxa"/>
            <w:vAlign w:val="top"/>
          </w:tcPr>
          <w:p>
            <w:pPr>
              <w:pStyle w:val="TableText"/>
              <w:ind w:left="123"/>
              <w:spacing w:before="197" w:line="239" w:lineRule="auto"/>
              <w:rPr>
                <w:sz w:val="21"/>
                <w:szCs w:val="21"/>
              </w:rPr>
            </w:pPr>
            <w:r>
              <w:rPr>
                <w:sz w:val="21"/>
                <w:szCs w:val="21"/>
                <w:spacing w:val="-2"/>
              </w:rPr>
              <w:t>0.05</w:t>
            </w:r>
          </w:p>
        </w:tc>
        <w:tc>
          <w:tcPr>
            <w:tcW w:w="230" w:type="dxa"/>
            <w:vAlign w:val="top"/>
            <w:vMerge w:val="continue"/>
            <w:textDirection w:val="tbRlV"/>
            <w:tcBorders>
              <w:top w:val="nil"/>
              <w:bottom w:val="nil"/>
            </w:tcBorders>
          </w:tcPr>
          <w:p>
            <w:pPr>
              <w:spacing w:line="220" w:lineRule="exact"/>
              <w:rPr>
                <w:rFonts w:ascii="Arial"/>
                <w:sz w:val="18"/>
              </w:rPr>
            </w:pPr>
            <w:r/>
          </w:p>
        </w:tc>
        <w:tc>
          <w:tcPr>
            <w:tcW w:w="1418" w:type="dxa"/>
            <w:vAlign w:val="top"/>
          </w:tcPr>
          <w:p>
            <w:pPr>
              <w:pStyle w:val="TableText"/>
              <w:ind w:left="493"/>
              <w:spacing w:before="130" w:line="169" w:lineRule="exact"/>
              <w:rPr>
                <w:sz w:val="21"/>
                <w:szCs w:val="21"/>
              </w:rPr>
            </w:pPr>
            <w:r>
              <w:rPr>
                <w:sz w:val="21"/>
                <w:szCs w:val="21"/>
                <w:spacing w:val="-1"/>
                <w:position w:val="-2"/>
              </w:rPr>
              <w:t>HW49</w:t>
            </w:r>
          </w:p>
          <w:p>
            <w:pPr>
              <w:pStyle w:val="TableText"/>
              <w:ind w:left="74"/>
              <w:spacing w:line="211" w:lineRule="auto"/>
              <w:rPr>
                <w:sz w:val="21"/>
                <w:szCs w:val="21"/>
              </w:rPr>
            </w:pPr>
            <w:r>
              <w:rPr>
                <w:sz w:val="21"/>
                <w:szCs w:val="21"/>
                <w:spacing w:val="-4"/>
              </w:rPr>
              <w:t>(900-041-49)</w:t>
            </w:r>
          </w:p>
        </w:tc>
        <w:tc>
          <w:tcPr>
            <w:tcW w:w="460" w:type="dxa"/>
            <w:vAlign w:val="top"/>
          </w:tcPr>
          <w:p>
            <w:pPr>
              <w:pStyle w:val="TableText"/>
              <w:ind w:left="16"/>
              <w:spacing w:before="177" w:line="220" w:lineRule="auto"/>
              <w:rPr>
                <w:sz w:val="21"/>
                <w:szCs w:val="21"/>
              </w:rPr>
            </w:pPr>
            <w:r>
              <w:rPr>
                <w:sz w:val="21"/>
                <w:szCs w:val="21"/>
                <w:spacing w:val="5"/>
              </w:rPr>
              <w:t>固态</w:t>
            </w:r>
          </w:p>
        </w:tc>
        <w:tc>
          <w:tcPr>
            <w:tcW w:w="3341" w:type="dxa"/>
            <w:vAlign w:val="top"/>
            <w:vMerge w:val="continue"/>
            <w:tcBorders>
              <w:top w:val="nil"/>
              <w:bottom w:val="nil"/>
            </w:tcBorders>
          </w:tcPr>
          <w:p>
            <w:pPr>
              <w:rPr>
                <w:rFonts w:ascii="Arial"/>
                <w:sz w:val="21"/>
              </w:rPr>
            </w:pPr>
            <w:r/>
          </w:p>
        </w:tc>
      </w:tr>
      <w:tr>
        <w:trPr>
          <w:trHeight w:val="549" w:hRule="atLeast"/>
        </w:trPr>
        <w:tc>
          <w:tcPr>
            <w:tcW w:w="1963" w:type="dxa"/>
            <w:vAlign w:val="top"/>
            <w:gridSpan w:val="2"/>
          </w:tcPr>
          <w:p>
            <w:pPr>
              <w:pStyle w:val="TableText"/>
              <w:ind w:left="345"/>
              <w:spacing w:before="177" w:line="220" w:lineRule="auto"/>
              <w:rPr>
                <w:sz w:val="21"/>
                <w:szCs w:val="21"/>
              </w:rPr>
            </w:pPr>
            <w:r>
              <w:rPr>
                <w:sz w:val="21"/>
                <w:szCs w:val="21"/>
                <w:spacing w:val="-2"/>
              </w:rPr>
              <w:t>在线监测废液</w:t>
            </w:r>
          </w:p>
        </w:tc>
        <w:tc>
          <w:tcPr>
            <w:tcW w:w="629" w:type="dxa"/>
            <w:vAlign w:val="top"/>
          </w:tcPr>
          <w:p>
            <w:pPr>
              <w:pStyle w:val="TableText"/>
              <w:spacing w:before="36" w:line="219" w:lineRule="auto"/>
              <w:jc w:val="right"/>
              <w:rPr>
                <w:sz w:val="21"/>
                <w:szCs w:val="21"/>
              </w:rPr>
            </w:pPr>
            <w:r>
              <w:rPr>
                <w:sz w:val="21"/>
                <w:szCs w:val="21"/>
                <w:spacing w:val="-8"/>
              </w:rPr>
              <w:t>废水处</w:t>
            </w:r>
          </w:p>
          <w:p>
            <w:pPr>
              <w:pStyle w:val="TableText"/>
              <w:spacing w:before="22" w:line="203" w:lineRule="auto"/>
              <w:jc w:val="right"/>
              <w:rPr>
                <w:sz w:val="21"/>
                <w:szCs w:val="21"/>
              </w:rPr>
            </w:pPr>
            <w:r>
              <w:rPr>
                <w:sz w:val="21"/>
                <w:szCs w:val="21"/>
                <w:spacing w:val="-8"/>
              </w:rPr>
              <w:t>理系统</w:t>
            </w:r>
          </w:p>
        </w:tc>
        <w:tc>
          <w:tcPr>
            <w:tcW w:w="689" w:type="dxa"/>
            <w:vAlign w:val="top"/>
          </w:tcPr>
          <w:p>
            <w:pPr>
              <w:pStyle w:val="TableText"/>
              <w:ind w:left="173"/>
              <w:spacing w:before="197" w:line="239" w:lineRule="auto"/>
              <w:rPr>
                <w:sz w:val="21"/>
                <w:szCs w:val="21"/>
              </w:rPr>
            </w:pPr>
            <w:r>
              <w:rPr>
                <w:sz w:val="21"/>
                <w:szCs w:val="21"/>
                <w:spacing w:val="-3"/>
              </w:rPr>
              <w:t>0.1</w:t>
            </w:r>
          </w:p>
        </w:tc>
        <w:tc>
          <w:tcPr>
            <w:tcW w:w="230" w:type="dxa"/>
            <w:vAlign w:val="top"/>
            <w:vMerge w:val="continue"/>
            <w:textDirection w:val="tbRlV"/>
            <w:tcBorders>
              <w:top w:val="nil"/>
              <w:bottom w:val="nil"/>
            </w:tcBorders>
          </w:tcPr>
          <w:p>
            <w:pPr>
              <w:spacing w:line="220" w:lineRule="exact"/>
              <w:rPr>
                <w:rFonts w:ascii="Arial"/>
                <w:sz w:val="18"/>
              </w:rPr>
            </w:pPr>
            <w:r/>
          </w:p>
        </w:tc>
        <w:tc>
          <w:tcPr>
            <w:tcW w:w="1418" w:type="dxa"/>
            <w:vAlign w:val="top"/>
          </w:tcPr>
          <w:p>
            <w:pPr>
              <w:pStyle w:val="TableText"/>
              <w:ind w:left="493"/>
              <w:spacing w:before="120" w:line="175" w:lineRule="auto"/>
              <w:rPr>
                <w:sz w:val="21"/>
                <w:szCs w:val="21"/>
              </w:rPr>
            </w:pPr>
            <w:r>
              <w:rPr>
                <w:sz w:val="21"/>
                <w:szCs w:val="21"/>
                <w:spacing w:val="-1"/>
              </w:rPr>
              <w:t>HW49</w:t>
            </w:r>
          </w:p>
          <w:p>
            <w:pPr>
              <w:pStyle w:val="TableText"/>
              <w:ind w:left="74"/>
              <w:spacing w:line="192" w:lineRule="auto"/>
              <w:rPr>
                <w:sz w:val="21"/>
                <w:szCs w:val="21"/>
              </w:rPr>
            </w:pPr>
            <w:r>
              <w:rPr>
                <w:sz w:val="21"/>
                <w:szCs w:val="21"/>
                <w:spacing w:val="-4"/>
              </w:rPr>
              <w:t>(900-047-49)</w:t>
            </w:r>
          </w:p>
        </w:tc>
        <w:tc>
          <w:tcPr>
            <w:tcW w:w="460" w:type="dxa"/>
            <w:vAlign w:val="top"/>
          </w:tcPr>
          <w:p>
            <w:pPr>
              <w:pStyle w:val="TableText"/>
              <w:ind w:left="16"/>
              <w:spacing w:before="177" w:line="220" w:lineRule="auto"/>
              <w:rPr>
                <w:sz w:val="21"/>
                <w:szCs w:val="21"/>
              </w:rPr>
            </w:pPr>
            <w:r>
              <w:rPr>
                <w:sz w:val="21"/>
                <w:szCs w:val="21"/>
                <w:spacing w:val="5"/>
              </w:rPr>
              <w:t>液态</w:t>
            </w:r>
          </w:p>
        </w:tc>
        <w:tc>
          <w:tcPr>
            <w:tcW w:w="3341" w:type="dxa"/>
            <w:vAlign w:val="top"/>
            <w:vMerge w:val="continue"/>
            <w:tcBorders>
              <w:top w:val="nil"/>
              <w:bottom w:val="nil"/>
            </w:tcBorders>
          </w:tcPr>
          <w:p>
            <w:pPr>
              <w:rPr>
                <w:rFonts w:ascii="Arial"/>
                <w:sz w:val="21"/>
              </w:rPr>
            </w:pPr>
            <w:r/>
          </w:p>
        </w:tc>
      </w:tr>
      <w:tr>
        <w:trPr>
          <w:trHeight w:val="550" w:hRule="atLeast"/>
        </w:trPr>
        <w:tc>
          <w:tcPr>
            <w:tcW w:w="1963" w:type="dxa"/>
            <w:vAlign w:val="top"/>
            <w:gridSpan w:val="2"/>
          </w:tcPr>
          <w:p>
            <w:pPr>
              <w:pStyle w:val="TableText"/>
              <w:ind w:left="445"/>
              <w:spacing w:before="177" w:line="219" w:lineRule="auto"/>
              <w:rPr>
                <w:sz w:val="21"/>
                <w:szCs w:val="21"/>
              </w:rPr>
            </w:pPr>
            <w:r>
              <w:rPr>
                <w:sz w:val="21"/>
                <w:szCs w:val="21"/>
                <w:spacing w:val="-2"/>
              </w:rPr>
              <w:t>检疫废弃物</w:t>
            </w:r>
          </w:p>
        </w:tc>
        <w:tc>
          <w:tcPr>
            <w:tcW w:w="629" w:type="dxa"/>
            <w:vAlign w:val="top"/>
          </w:tcPr>
          <w:p>
            <w:pPr>
              <w:pStyle w:val="TableText"/>
              <w:ind w:left="92"/>
              <w:spacing w:before="37" w:line="219" w:lineRule="auto"/>
              <w:rPr>
                <w:sz w:val="21"/>
                <w:szCs w:val="21"/>
              </w:rPr>
            </w:pPr>
            <w:r>
              <w:rPr>
                <w:sz w:val="21"/>
                <w:szCs w:val="21"/>
                <w:spacing w:val="-3"/>
              </w:rPr>
              <w:t>检验</w:t>
            </w:r>
          </w:p>
          <w:p>
            <w:pPr>
              <w:pStyle w:val="TableText"/>
              <w:ind w:left="92"/>
              <w:spacing w:before="10" w:line="213" w:lineRule="auto"/>
              <w:rPr>
                <w:sz w:val="21"/>
                <w:szCs w:val="21"/>
              </w:rPr>
            </w:pPr>
            <w:r>
              <w:rPr>
                <w:sz w:val="21"/>
                <w:szCs w:val="21"/>
                <w:spacing w:val="-3"/>
              </w:rPr>
              <w:t>检疫</w:t>
            </w:r>
          </w:p>
        </w:tc>
        <w:tc>
          <w:tcPr>
            <w:tcW w:w="689" w:type="dxa"/>
            <w:vAlign w:val="top"/>
          </w:tcPr>
          <w:p>
            <w:pPr>
              <w:pStyle w:val="TableText"/>
              <w:ind w:left="123"/>
              <w:spacing w:before="198" w:line="239" w:lineRule="auto"/>
              <w:rPr>
                <w:sz w:val="21"/>
                <w:szCs w:val="21"/>
              </w:rPr>
            </w:pPr>
            <w:r>
              <w:rPr>
                <w:sz w:val="21"/>
                <w:szCs w:val="21"/>
                <w:spacing w:val="-2"/>
              </w:rPr>
              <w:t>0.02</w:t>
            </w:r>
          </w:p>
        </w:tc>
        <w:tc>
          <w:tcPr>
            <w:tcW w:w="230" w:type="dxa"/>
            <w:vAlign w:val="top"/>
            <w:vMerge w:val="continue"/>
            <w:textDirection w:val="tbRlV"/>
            <w:tcBorders>
              <w:top w:val="nil"/>
              <w:bottom w:val="nil"/>
            </w:tcBorders>
          </w:tcPr>
          <w:p>
            <w:pPr>
              <w:spacing w:line="220" w:lineRule="exact"/>
              <w:rPr>
                <w:rFonts w:ascii="Arial"/>
                <w:sz w:val="18"/>
              </w:rPr>
            </w:pPr>
            <w:r/>
          </w:p>
        </w:tc>
        <w:tc>
          <w:tcPr>
            <w:tcW w:w="1418" w:type="dxa"/>
            <w:vAlign w:val="top"/>
          </w:tcPr>
          <w:p>
            <w:pPr>
              <w:pStyle w:val="TableText"/>
              <w:ind w:left="493"/>
              <w:spacing w:before="110" w:line="184" w:lineRule="auto"/>
              <w:rPr>
                <w:sz w:val="21"/>
                <w:szCs w:val="21"/>
              </w:rPr>
            </w:pPr>
            <w:r>
              <w:rPr>
                <w:sz w:val="21"/>
                <w:szCs w:val="21"/>
                <w:spacing w:val="-1"/>
              </w:rPr>
              <w:t>HW01</w:t>
            </w:r>
          </w:p>
          <w:p>
            <w:pPr>
              <w:pStyle w:val="TableText"/>
              <w:ind w:left="74"/>
              <w:spacing w:before="10" w:line="184" w:lineRule="auto"/>
              <w:rPr>
                <w:sz w:val="21"/>
                <w:szCs w:val="21"/>
              </w:rPr>
            </w:pPr>
            <w:r>
              <w:rPr>
                <w:sz w:val="21"/>
                <w:szCs w:val="21"/>
                <w:spacing w:val="-4"/>
              </w:rPr>
              <w:t>(841-001-01)</w:t>
            </w:r>
          </w:p>
        </w:tc>
        <w:tc>
          <w:tcPr>
            <w:tcW w:w="460" w:type="dxa"/>
            <w:vAlign w:val="top"/>
          </w:tcPr>
          <w:p>
            <w:pPr>
              <w:pStyle w:val="TableText"/>
              <w:ind w:left="16"/>
              <w:spacing w:before="178" w:line="220" w:lineRule="auto"/>
              <w:rPr>
                <w:sz w:val="21"/>
                <w:szCs w:val="21"/>
              </w:rPr>
            </w:pPr>
            <w:r>
              <w:rPr>
                <w:sz w:val="21"/>
                <w:szCs w:val="21"/>
                <w:spacing w:val="5"/>
              </w:rPr>
              <w:t>固态</w:t>
            </w:r>
          </w:p>
        </w:tc>
        <w:tc>
          <w:tcPr>
            <w:tcW w:w="3341" w:type="dxa"/>
            <w:vAlign w:val="top"/>
            <w:vMerge w:val="continue"/>
            <w:tcBorders>
              <w:top w:val="nil"/>
              <w:bottom w:val="nil"/>
            </w:tcBorders>
          </w:tcPr>
          <w:p>
            <w:pPr>
              <w:rPr>
                <w:rFonts w:ascii="Arial"/>
                <w:sz w:val="21"/>
              </w:rPr>
            </w:pPr>
            <w:r/>
          </w:p>
        </w:tc>
      </w:tr>
      <w:tr>
        <w:trPr>
          <w:trHeight w:val="510" w:hRule="atLeast"/>
        </w:trPr>
        <w:tc>
          <w:tcPr>
            <w:tcW w:w="1963" w:type="dxa"/>
            <w:vAlign w:val="top"/>
            <w:gridSpan w:val="2"/>
          </w:tcPr>
          <w:p>
            <w:pPr>
              <w:pStyle w:val="TableText"/>
              <w:ind w:left="655"/>
              <w:spacing w:before="156" w:line="219" w:lineRule="auto"/>
              <w:rPr>
                <w:sz w:val="21"/>
                <w:szCs w:val="21"/>
              </w:rPr>
            </w:pPr>
            <w:r>
              <w:rPr>
                <w:sz w:val="21"/>
                <w:szCs w:val="21"/>
                <w:spacing w:val="7"/>
              </w:rPr>
              <w:t>废机油</w:t>
            </w:r>
          </w:p>
        </w:tc>
        <w:tc>
          <w:tcPr>
            <w:tcW w:w="629" w:type="dxa"/>
            <w:vAlign w:val="top"/>
            <w:vMerge w:val="restart"/>
            <w:tcBorders>
              <w:bottom w:val="nil"/>
            </w:tcBorders>
          </w:tcPr>
          <w:p>
            <w:pPr>
              <w:pStyle w:val="TableText"/>
              <w:ind w:left="92"/>
              <w:spacing w:before="278" w:line="221" w:lineRule="auto"/>
              <w:rPr>
                <w:sz w:val="21"/>
                <w:szCs w:val="21"/>
              </w:rPr>
            </w:pPr>
            <w:r>
              <w:rPr>
                <w:sz w:val="21"/>
                <w:szCs w:val="21"/>
                <w:spacing w:val="4"/>
              </w:rPr>
              <w:t>设备</w:t>
            </w:r>
          </w:p>
          <w:p>
            <w:pPr>
              <w:pStyle w:val="TableText"/>
              <w:ind w:left="92"/>
              <w:spacing w:before="28" w:line="220" w:lineRule="auto"/>
              <w:rPr>
                <w:sz w:val="21"/>
                <w:szCs w:val="21"/>
              </w:rPr>
            </w:pPr>
            <w:r>
              <w:rPr>
                <w:sz w:val="21"/>
                <w:szCs w:val="21"/>
                <w:spacing w:val="7"/>
              </w:rPr>
              <w:t>维护</w:t>
            </w:r>
          </w:p>
        </w:tc>
        <w:tc>
          <w:tcPr>
            <w:tcW w:w="689" w:type="dxa"/>
            <w:vAlign w:val="top"/>
          </w:tcPr>
          <w:p>
            <w:pPr>
              <w:pStyle w:val="TableText"/>
              <w:ind w:left="173"/>
              <w:spacing w:before="178" w:line="239" w:lineRule="auto"/>
              <w:rPr>
                <w:sz w:val="21"/>
                <w:szCs w:val="21"/>
              </w:rPr>
            </w:pPr>
            <w:r>
              <w:rPr>
                <w:sz w:val="21"/>
                <w:szCs w:val="21"/>
                <w:spacing w:val="-3"/>
              </w:rPr>
              <w:t>0.2</w:t>
            </w:r>
          </w:p>
        </w:tc>
        <w:tc>
          <w:tcPr>
            <w:tcW w:w="230" w:type="dxa"/>
            <w:vAlign w:val="top"/>
            <w:vMerge w:val="continue"/>
            <w:textDirection w:val="tbRlV"/>
            <w:tcBorders>
              <w:top w:val="nil"/>
              <w:bottom w:val="nil"/>
            </w:tcBorders>
          </w:tcPr>
          <w:p>
            <w:pPr>
              <w:spacing w:line="220" w:lineRule="exact"/>
              <w:rPr>
                <w:rFonts w:ascii="Arial"/>
                <w:sz w:val="18"/>
              </w:rPr>
            </w:pPr>
            <w:r/>
          </w:p>
        </w:tc>
        <w:tc>
          <w:tcPr>
            <w:tcW w:w="1418" w:type="dxa"/>
            <w:vAlign w:val="top"/>
          </w:tcPr>
          <w:p>
            <w:pPr>
              <w:pStyle w:val="TableText"/>
              <w:ind w:left="493"/>
              <w:spacing w:before="92" w:line="166" w:lineRule="auto"/>
              <w:rPr>
                <w:sz w:val="21"/>
                <w:szCs w:val="21"/>
              </w:rPr>
            </w:pPr>
            <w:r>
              <w:rPr>
                <w:sz w:val="21"/>
                <w:szCs w:val="21"/>
                <w:spacing w:val="-1"/>
              </w:rPr>
              <w:t>HW08</w:t>
            </w:r>
          </w:p>
          <w:p>
            <w:pPr>
              <w:pStyle w:val="TableText"/>
              <w:ind w:left="74"/>
              <w:spacing w:line="192" w:lineRule="auto"/>
              <w:rPr>
                <w:sz w:val="21"/>
                <w:szCs w:val="21"/>
              </w:rPr>
            </w:pPr>
            <w:r>
              <w:rPr>
                <w:sz w:val="21"/>
                <w:szCs w:val="21"/>
                <w:spacing w:val="-4"/>
              </w:rPr>
              <w:t>(900-249-08)</w:t>
            </w:r>
          </w:p>
        </w:tc>
        <w:tc>
          <w:tcPr>
            <w:tcW w:w="460" w:type="dxa"/>
            <w:vAlign w:val="top"/>
          </w:tcPr>
          <w:p>
            <w:pPr>
              <w:pStyle w:val="TableText"/>
              <w:ind w:left="16"/>
              <w:spacing w:before="158" w:line="220" w:lineRule="auto"/>
              <w:rPr>
                <w:sz w:val="21"/>
                <w:szCs w:val="21"/>
              </w:rPr>
            </w:pPr>
            <w:r>
              <w:rPr>
                <w:sz w:val="21"/>
                <w:szCs w:val="21"/>
                <w:spacing w:val="5"/>
              </w:rPr>
              <w:t>液态</w:t>
            </w:r>
          </w:p>
        </w:tc>
        <w:tc>
          <w:tcPr>
            <w:tcW w:w="3341" w:type="dxa"/>
            <w:vAlign w:val="top"/>
            <w:vMerge w:val="continue"/>
            <w:tcBorders>
              <w:top w:val="nil"/>
              <w:bottom w:val="nil"/>
            </w:tcBorders>
          </w:tcPr>
          <w:p>
            <w:pPr>
              <w:rPr>
                <w:rFonts w:ascii="Arial"/>
                <w:sz w:val="21"/>
              </w:rPr>
            </w:pPr>
            <w:r/>
          </w:p>
        </w:tc>
      </w:tr>
      <w:tr>
        <w:trPr>
          <w:trHeight w:val="524" w:hRule="atLeast"/>
        </w:trPr>
        <w:tc>
          <w:tcPr>
            <w:tcW w:w="1963" w:type="dxa"/>
            <w:vAlign w:val="top"/>
            <w:gridSpan w:val="2"/>
          </w:tcPr>
          <w:p>
            <w:pPr>
              <w:pStyle w:val="TableText"/>
              <w:ind w:left="345"/>
              <w:spacing w:before="167" w:line="219" w:lineRule="auto"/>
              <w:rPr>
                <w:sz w:val="21"/>
                <w:szCs w:val="21"/>
              </w:rPr>
            </w:pPr>
            <w:r>
              <w:rPr>
                <w:sz w:val="21"/>
                <w:szCs w:val="21"/>
                <w:spacing w:val="-2"/>
              </w:rPr>
              <w:t>含油棉纱手套</w:t>
            </w:r>
          </w:p>
        </w:tc>
        <w:tc>
          <w:tcPr>
            <w:tcW w:w="629" w:type="dxa"/>
            <w:vAlign w:val="top"/>
            <w:vMerge w:val="continue"/>
            <w:tcBorders>
              <w:top w:val="nil"/>
            </w:tcBorders>
          </w:tcPr>
          <w:p>
            <w:pPr>
              <w:rPr>
                <w:rFonts w:ascii="Arial"/>
                <w:sz w:val="21"/>
              </w:rPr>
            </w:pPr>
            <w:r/>
          </w:p>
        </w:tc>
        <w:tc>
          <w:tcPr>
            <w:tcW w:w="689" w:type="dxa"/>
            <w:vAlign w:val="top"/>
          </w:tcPr>
          <w:p>
            <w:pPr>
              <w:pStyle w:val="TableText"/>
              <w:ind w:left="173"/>
              <w:spacing w:before="188" w:line="239" w:lineRule="auto"/>
              <w:rPr>
                <w:sz w:val="21"/>
                <w:szCs w:val="21"/>
              </w:rPr>
            </w:pPr>
            <w:r>
              <w:rPr>
                <w:sz w:val="21"/>
                <w:szCs w:val="21"/>
                <w:spacing w:val="-3"/>
              </w:rPr>
              <w:t>0.1</w:t>
            </w:r>
          </w:p>
        </w:tc>
        <w:tc>
          <w:tcPr>
            <w:tcW w:w="230" w:type="dxa"/>
            <w:vAlign w:val="top"/>
            <w:vMerge w:val="continue"/>
            <w:textDirection w:val="tbRlV"/>
            <w:tcBorders>
              <w:top w:val="nil"/>
            </w:tcBorders>
          </w:tcPr>
          <w:p>
            <w:pPr>
              <w:spacing w:line="220" w:lineRule="exact"/>
              <w:rPr>
                <w:rFonts w:ascii="Arial"/>
                <w:sz w:val="18"/>
              </w:rPr>
            </w:pPr>
            <w:r/>
          </w:p>
        </w:tc>
        <w:tc>
          <w:tcPr>
            <w:tcW w:w="1418" w:type="dxa"/>
            <w:vAlign w:val="top"/>
          </w:tcPr>
          <w:p>
            <w:pPr>
              <w:pStyle w:val="TableText"/>
              <w:ind w:left="493"/>
              <w:spacing w:before="112" w:line="166" w:lineRule="auto"/>
              <w:rPr>
                <w:sz w:val="21"/>
                <w:szCs w:val="21"/>
              </w:rPr>
            </w:pPr>
            <w:r>
              <w:rPr>
                <w:sz w:val="21"/>
                <w:szCs w:val="21"/>
                <w:spacing w:val="-1"/>
              </w:rPr>
              <w:t>HW49</w:t>
            </w:r>
          </w:p>
          <w:p>
            <w:pPr>
              <w:pStyle w:val="TableText"/>
              <w:ind w:left="74"/>
              <w:spacing w:line="187" w:lineRule="auto"/>
              <w:rPr>
                <w:sz w:val="21"/>
                <w:szCs w:val="21"/>
              </w:rPr>
            </w:pPr>
            <w:r>
              <w:rPr>
                <w:sz w:val="21"/>
                <w:szCs w:val="21"/>
                <w:spacing w:val="-4"/>
              </w:rPr>
              <w:t>(900-041-49)</w:t>
            </w:r>
          </w:p>
        </w:tc>
        <w:tc>
          <w:tcPr>
            <w:tcW w:w="460" w:type="dxa"/>
            <w:vAlign w:val="top"/>
          </w:tcPr>
          <w:p>
            <w:pPr>
              <w:pStyle w:val="TableText"/>
              <w:ind w:left="16"/>
              <w:spacing w:before="168" w:line="220" w:lineRule="auto"/>
              <w:rPr>
                <w:sz w:val="21"/>
                <w:szCs w:val="21"/>
              </w:rPr>
            </w:pPr>
            <w:r>
              <w:rPr>
                <w:sz w:val="21"/>
                <w:szCs w:val="21"/>
                <w:spacing w:val="5"/>
              </w:rPr>
              <w:t>固态</w:t>
            </w:r>
          </w:p>
        </w:tc>
        <w:tc>
          <w:tcPr>
            <w:tcW w:w="3341" w:type="dxa"/>
            <w:vAlign w:val="top"/>
            <w:vMerge w:val="continue"/>
            <w:tcBorders>
              <w:top w:val="nil"/>
            </w:tcBorders>
          </w:tcPr>
          <w:p>
            <w:pPr>
              <w:rPr>
                <w:rFonts w:ascii="Arial"/>
                <w:sz w:val="21"/>
              </w:rPr>
            </w:pPr>
            <w:r/>
          </w:p>
        </w:tc>
      </w:tr>
    </w:tbl>
    <w:p>
      <w:pPr>
        <w:ind w:left="2403"/>
        <w:spacing w:before="70" w:line="207" w:lineRule="auto"/>
        <w:rPr>
          <w:rFonts w:ascii="SimSun" w:hAnsi="SimSun" w:eastAsia="SimSun" w:cs="SimSun"/>
          <w:sz w:val="24"/>
          <w:szCs w:val="24"/>
        </w:rPr>
      </w:pPr>
      <w:r>
        <w:drawing>
          <wp:anchor distT="0" distB="0" distL="0" distR="0" simplePos="0" relativeHeight="253186048" behindDoc="0" locked="0" layoutInCell="1" allowOverlap="1">
            <wp:simplePos x="0" y="0"/>
            <wp:positionH relativeFrom="column">
              <wp:posOffset>0</wp:posOffset>
            </wp:positionH>
            <wp:positionV relativeFrom="paragraph">
              <wp:posOffset>189607</wp:posOffset>
            </wp:positionV>
            <wp:extent cx="5708664" cy="7620"/>
            <wp:effectExtent l="0" t="0" r="0" b="0"/>
            <wp:wrapNone/>
            <wp:docPr id="96" name="IM 96"/>
            <wp:cNvGraphicFramePr/>
            <a:graphic>
              <a:graphicData uri="http://schemas.openxmlformats.org/drawingml/2006/picture">
                <pic:pic>
                  <pic:nvPicPr>
                    <pic:cNvPr id="96" name="IM 96"/>
                    <pic:cNvPicPr/>
                  </pic:nvPicPr>
                  <pic:blipFill>
                    <a:blip r:embed="rId356"/>
                    <a:stretch>
                      <a:fillRect/>
                    </a:stretch>
                  </pic:blipFill>
                  <pic:spPr>
                    <a:xfrm rot="0">
                      <a:off x="0" y="0"/>
                      <a:ext cx="5708664" cy="7620"/>
                    </a:xfrm>
                    <a:prstGeom prst="rect">
                      <a:avLst/>
                    </a:prstGeom>
                  </pic:spPr>
                </pic:pic>
              </a:graphicData>
            </a:graphic>
          </wp:anchor>
        </w:drawing>
      </w:r>
      <w:r>
        <w:rPr>
          <w:rFonts w:ascii="SimSun" w:hAnsi="SimSun" w:eastAsia="SimSun" w:cs="SimSun"/>
          <w:sz w:val="24"/>
          <w:szCs w:val="24"/>
          <w:b/>
          <w:bCs/>
          <w:spacing w:val="-3"/>
        </w:rPr>
        <w:t>表3.11-33工程分析中危险废物汇总样表</w:t>
      </w:r>
    </w:p>
    <w:tbl>
      <w:tblPr>
        <w:tblStyle w:val="TableNormal"/>
        <w:tblW w:w="8730" w:type="dxa"/>
        <w:tblInd w:w="7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984"/>
        <w:gridCol w:w="709"/>
        <w:gridCol w:w="1049"/>
        <w:gridCol w:w="689"/>
        <w:gridCol w:w="869"/>
        <w:gridCol w:w="519"/>
        <w:gridCol w:w="1169"/>
        <w:gridCol w:w="1039"/>
        <w:gridCol w:w="649"/>
        <w:gridCol w:w="410"/>
        <w:gridCol w:w="644"/>
      </w:tblGrid>
      <w:tr>
        <w:trPr>
          <w:trHeight w:val="553" w:hRule="atLeast"/>
        </w:trPr>
        <w:tc>
          <w:tcPr>
            <w:shd w:val="clear" w:fill="BDBDBD"/>
            <w:tcW w:w="984" w:type="dxa"/>
            <w:vAlign w:val="top"/>
          </w:tcPr>
          <w:p>
            <w:pPr>
              <w:pStyle w:val="TableText"/>
              <w:ind w:left="168"/>
              <w:spacing w:before="31" w:line="220" w:lineRule="auto"/>
              <w:rPr>
                <w:sz w:val="21"/>
                <w:szCs w:val="21"/>
              </w:rPr>
            </w:pPr>
            <w:r>
              <w:rPr>
                <w:sz w:val="21"/>
                <w:szCs w:val="21"/>
                <w:b/>
                <w:bCs/>
                <w:spacing w:val="-5"/>
              </w:rPr>
              <w:t>危险废</w:t>
            </w:r>
          </w:p>
          <w:p>
            <w:pPr>
              <w:pStyle w:val="TableText"/>
              <w:ind w:left="168"/>
              <w:spacing w:before="30" w:line="203" w:lineRule="auto"/>
              <w:rPr>
                <w:sz w:val="21"/>
                <w:szCs w:val="21"/>
              </w:rPr>
            </w:pPr>
            <w:r>
              <w:rPr>
                <w:sz w:val="21"/>
                <w:szCs w:val="21"/>
                <w:b/>
                <w:bCs/>
                <w:spacing w:val="-5"/>
              </w:rPr>
              <w:t>物名称</w:t>
            </w:r>
          </w:p>
        </w:tc>
        <w:tc>
          <w:tcPr>
            <w:shd w:val="clear" w:fill="0C0C0C"/>
            <w:tcW w:w="709" w:type="dxa"/>
            <w:vAlign w:val="top"/>
          </w:tcPr>
          <w:p>
            <w:pPr>
              <w:pStyle w:val="TableText"/>
              <w:ind w:left="33"/>
              <w:spacing w:before="31" w:line="220" w:lineRule="auto"/>
              <w:rPr>
                <w:sz w:val="21"/>
                <w:szCs w:val="21"/>
              </w:rPr>
            </w:pPr>
            <w:r>
              <w:rPr>
                <w:sz w:val="21"/>
                <w:szCs w:val="21"/>
                <w:b/>
                <w:bCs/>
                <w:spacing w:val="-5"/>
              </w:rPr>
              <w:t>危险废</w:t>
            </w:r>
          </w:p>
          <w:p>
            <w:pPr>
              <w:pStyle w:val="TableText"/>
              <w:ind w:left="33"/>
              <w:spacing w:before="29" w:line="204" w:lineRule="auto"/>
              <w:rPr>
                <w:sz w:val="21"/>
                <w:szCs w:val="21"/>
              </w:rPr>
            </w:pPr>
            <w:r>
              <w:rPr>
                <w:sz w:val="21"/>
                <w:szCs w:val="21"/>
                <w:b/>
                <w:bCs/>
                <w:spacing w:val="-5"/>
              </w:rPr>
              <w:t>物类别</w:t>
            </w:r>
          </w:p>
        </w:tc>
        <w:tc>
          <w:tcPr>
            <w:shd w:val="clear" w:fill="BDBDBD"/>
            <w:tcW w:w="1049" w:type="dxa"/>
            <w:vAlign w:val="top"/>
          </w:tcPr>
          <w:p>
            <w:pPr>
              <w:pStyle w:val="TableText"/>
              <w:ind w:left="205"/>
              <w:spacing w:before="31" w:line="220" w:lineRule="auto"/>
              <w:rPr>
                <w:sz w:val="21"/>
                <w:szCs w:val="21"/>
              </w:rPr>
            </w:pPr>
            <w:r>
              <w:rPr>
                <w:sz w:val="21"/>
                <w:szCs w:val="21"/>
                <w:b/>
                <w:bCs/>
                <w:spacing w:val="-5"/>
              </w:rPr>
              <w:t>危险废</w:t>
            </w:r>
          </w:p>
          <w:p>
            <w:pPr>
              <w:pStyle w:val="TableText"/>
              <w:ind w:left="205"/>
              <w:spacing w:before="29" w:line="204" w:lineRule="auto"/>
              <w:rPr>
                <w:sz w:val="21"/>
                <w:szCs w:val="21"/>
              </w:rPr>
            </w:pPr>
            <w:r>
              <w:rPr>
                <w:sz w:val="21"/>
                <w:szCs w:val="21"/>
                <w:b/>
                <w:bCs/>
                <w:spacing w:val="-5"/>
              </w:rPr>
              <w:t>物代码</w:t>
            </w:r>
          </w:p>
        </w:tc>
        <w:tc>
          <w:tcPr>
            <w:shd w:val="clear" w:fill="BDBDBD"/>
            <w:tcW w:w="689" w:type="dxa"/>
            <w:vAlign w:val="top"/>
          </w:tcPr>
          <w:p>
            <w:pPr>
              <w:pStyle w:val="TableText"/>
              <w:ind w:left="26"/>
              <w:spacing w:before="60" w:line="219" w:lineRule="auto"/>
              <w:rPr>
                <w:sz w:val="21"/>
                <w:szCs w:val="21"/>
              </w:rPr>
            </w:pPr>
            <w:r>
              <w:rPr>
                <w:sz w:val="21"/>
                <w:szCs w:val="21"/>
                <w:b/>
                <w:bCs/>
                <w:spacing w:val="-5"/>
              </w:rPr>
              <w:t>产生量</w:t>
            </w:r>
          </w:p>
          <w:p>
            <w:pPr>
              <w:pStyle w:val="TableText"/>
              <w:ind w:left="76"/>
              <w:spacing w:before="3" w:line="202" w:lineRule="auto"/>
              <w:rPr>
                <w:sz w:val="21"/>
                <w:szCs w:val="21"/>
              </w:rPr>
            </w:pPr>
            <w:r>
              <w:rPr>
                <w:sz w:val="21"/>
                <w:szCs w:val="21"/>
                <w:b/>
                <w:bCs/>
                <w:spacing w:val="-10"/>
              </w:rPr>
              <w:t>(t/a)</w:t>
            </w:r>
          </w:p>
        </w:tc>
        <w:tc>
          <w:tcPr>
            <w:shd w:val="clear" w:fill="BDBDBD"/>
            <w:tcW w:w="869" w:type="dxa"/>
            <w:vAlign w:val="top"/>
          </w:tcPr>
          <w:p>
            <w:pPr>
              <w:pStyle w:val="TableText"/>
              <w:ind w:left="116" w:right="20" w:hanging="110"/>
              <w:spacing w:before="60" w:line="212" w:lineRule="auto"/>
              <w:rPr>
                <w:sz w:val="21"/>
                <w:szCs w:val="21"/>
              </w:rPr>
            </w:pPr>
            <w:r>
              <w:rPr>
                <w:sz w:val="21"/>
                <w:szCs w:val="21"/>
                <w:b/>
                <w:bCs/>
                <w:spacing w:val="-5"/>
              </w:rPr>
              <w:t>产生工序</w:t>
            </w:r>
            <w:r>
              <w:rPr>
                <w:sz w:val="21"/>
                <w:szCs w:val="21"/>
                <w:spacing w:val="1"/>
              </w:rPr>
              <w:t xml:space="preserve"> </w:t>
            </w:r>
            <w:r>
              <w:rPr>
                <w:sz w:val="21"/>
                <w:szCs w:val="21"/>
                <w:b/>
                <w:bCs/>
                <w:spacing w:val="-4"/>
              </w:rPr>
              <w:t>及装置</w:t>
            </w:r>
          </w:p>
        </w:tc>
        <w:tc>
          <w:tcPr>
            <w:shd w:val="clear" w:fill="BDBDBD"/>
            <w:tcW w:w="519" w:type="dxa"/>
            <w:vAlign w:val="top"/>
          </w:tcPr>
          <w:p>
            <w:pPr>
              <w:pStyle w:val="TableText"/>
              <w:ind w:left="48"/>
              <w:spacing w:before="173" w:line="221" w:lineRule="auto"/>
              <w:rPr>
                <w:sz w:val="21"/>
                <w:szCs w:val="21"/>
              </w:rPr>
            </w:pPr>
            <w:r>
              <w:rPr>
                <w:sz w:val="21"/>
                <w:szCs w:val="21"/>
                <w:b/>
                <w:bCs/>
                <w:spacing w:val="-5"/>
              </w:rPr>
              <w:t>形态</w:t>
            </w:r>
          </w:p>
        </w:tc>
        <w:tc>
          <w:tcPr>
            <w:shd w:val="clear" w:fill="BDBDBD"/>
            <w:tcW w:w="1169" w:type="dxa"/>
            <w:vAlign w:val="top"/>
          </w:tcPr>
          <w:p>
            <w:pPr>
              <w:pStyle w:val="TableText"/>
              <w:ind w:left="159"/>
              <w:spacing w:before="171" w:line="220" w:lineRule="auto"/>
              <w:rPr>
                <w:sz w:val="21"/>
                <w:szCs w:val="21"/>
              </w:rPr>
            </w:pPr>
            <w:r>
              <w:rPr>
                <w:sz w:val="21"/>
                <w:szCs w:val="21"/>
                <w:b/>
                <w:bCs/>
                <w:spacing w:val="-5"/>
              </w:rPr>
              <w:t>主要成分</w:t>
            </w:r>
          </w:p>
        </w:tc>
        <w:tc>
          <w:tcPr>
            <w:shd w:val="clear" w:fill="BDBDBD"/>
            <w:tcW w:w="1039" w:type="dxa"/>
            <w:vAlign w:val="top"/>
          </w:tcPr>
          <w:p>
            <w:pPr>
              <w:pStyle w:val="TableText"/>
              <w:ind w:left="100"/>
              <w:spacing w:before="171" w:line="220" w:lineRule="auto"/>
              <w:rPr>
                <w:sz w:val="21"/>
                <w:szCs w:val="21"/>
              </w:rPr>
            </w:pPr>
            <w:r>
              <w:rPr>
                <w:sz w:val="21"/>
                <w:szCs w:val="21"/>
                <w:b/>
                <w:bCs/>
                <w:spacing w:val="-4"/>
              </w:rPr>
              <w:t>有害成分</w:t>
            </w:r>
          </w:p>
        </w:tc>
        <w:tc>
          <w:tcPr>
            <w:shd w:val="clear" w:fill="BDBDBD"/>
            <w:tcW w:w="649" w:type="dxa"/>
            <w:vAlign w:val="top"/>
          </w:tcPr>
          <w:p>
            <w:pPr>
              <w:pStyle w:val="TableText"/>
              <w:ind w:left="91" w:right="116" w:firstLine="20"/>
              <w:spacing w:before="30" w:line="216" w:lineRule="auto"/>
              <w:rPr>
                <w:sz w:val="21"/>
                <w:szCs w:val="21"/>
              </w:rPr>
            </w:pPr>
            <w:r>
              <w:rPr>
                <w:sz w:val="21"/>
                <w:szCs w:val="21"/>
                <w:b/>
                <w:bCs/>
                <w:spacing w:val="-7"/>
              </w:rPr>
              <w:t>产废</w:t>
            </w:r>
            <w:r>
              <w:rPr>
                <w:sz w:val="21"/>
                <w:szCs w:val="21"/>
              </w:rPr>
              <w:t xml:space="preserve"> </w:t>
            </w:r>
            <w:r>
              <w:rPr>
                <w:sz w:val="21"/>
                <w:szCs w:val="21"/>
                <w:b/>
                <w:bCs/>
                <w:spacing w:val="-5"/>
              </w:rPr>
              <w:t>周期</w:t>
            </w:r>
          </w:p>
        </w:tc>
        <w:tc>
          <w:tcPr>
            <w:shd w:val="clear" w:fill="040404"/>
            <w:tcW w:w="410" w:type="dxa"/>
            <w:vAlign w:val="top"/>
          </w:tcPr>
          <w:p>
            <w:pPr>
              <w:pStyle w:val="TableText"/>
              <w:spacing w:before="31" w:line="220" w:lineRule="auto"/>
              <w:jc w:val="right"/>
              <w:rPr>
                <w:sz w:val="21"/>
                <w:szCs w:val="21"/>
              </w:rPr>
            </w:pPr>
            <w:r>
              <w:rPr>
                <w:sz w:val="21"/>
                <w:szCs w:val="21"/>
                <w:b/>
                <w:bCs/>
                <w:spacing w:val="-26"/>
                <w:w w:val="97"/>
              </w:rPr>
              <w:t>危</w:t>
            </w:r>
            <w:r>
              <w:rPr>
                <w:sz w:val="21"/>
                <w:szCs w:val="21"/>
                <w:b/>
                <w:bCs/>
                <w:spacing w:val="-10"/>
                <w:w w:val="97"/>
              </w:rPr>
              <w:t>险</w:t>
            </w:r>
          </w:p>
          <w:p>
            <w:pPr>
              <w:pStyle w:val="TableText"/>
              <w:spacing w:before="29" w:line="204" w:lineRule="auto"/>
              <w:jc w:val="right"/>
              <w:rPr>
                <w:sz w:val="21"/>
                <w:szCs w:val="21"/>
              </w:rPr>
            </w:pPr>
            <w:r>
              <w:rPr>
                <w:sz w:val="21"/>
                <w:szCs w:val="21"/>
                <w:b/>
                <w:bCs/>
                <w:spacing w:val="-19"/>
                <w:w w:val="95"/>
              </w:rPr>
              <w:t>特</w:t>
            </w:r>
            <w:r>
              <w:rPr>
                <w:sz w:val="21"/>
                <w:szCs w:val="21"/>
                <w:b/>
                <w:bCs/>
                <w:spacing w:val="-9"/>
                <w:w w:val="95"/>
              </w:rPr>
              <w:t>性</w:t>
            </w:r>
          </w:p>
        </w:tc>
        <w:tc>
          <w:tcPr>
            <w:shd w:val="clear" w:fill="080808"/>
            <w:tcW w:w="644" w:type="dxa"/>
            <w:vAlign w:val="top"/>
          </w:tcPr>
          <w:p>
            <w:pPr>
              <w:pStyle w:val="TableText"/>
              <w:spacing w:before="31" w:line="220" w:lineRule="auto"/>
              <w:jc w:val="right"/>
              <w:rPr>
                <w:sz w:val="21"/>
                <w:szCs w:val="21"/>
              </w:rPr>
            </w:pPr>
            <w:r>
              <w:rPr>
                <w:sz w:val="21"/>
                <w:szCs w:val="21"/>
                <w:b/>
                <w:bCs/>
                <w:spacing w:val="-9"/>
              </w:rPr>
              <w:t>污染防</w:t>
            </w:r>
          </w:p>
          <w:p>
            <w:pPr>
              <w:pStyle w:val="TableText"/>
              <w:spacing w:before="29" w:line="204" w:lineRule="auto"/>
              <w:jc w:val="right"/>
              <w:rPr>
                <w:sz w:val="21"/>
                <w:szCs w:val="21"/>
              </w:rPr>
            </w:pPr>
            <w:r>
              <w:rPr>
                <w:sz w:val="21"/>
                <w:szCs w:val="21"/>
                <w:b/>
                <w:bCs/>
                <w:spacing w:val="-9"/>
              </w:rPr>
              <w:t>治措施</w:t>
            </w:r>
          </w:p>
        </w:tc>
      </w:tr>
      <w:tr>
        <w:trPr>
          <w:trHeight w:val="537" w:hRule="atLeast"/>
        </w:trPr>
        <w:tc>
          <w:tcPr>
            <w:tcW w:w="984" w:type="dxa"/>
            <w:vAlign w:val="top"/>
          </w:tcPr>
          <w:p>
            <w:pPr>
              <w:pStyle w:val="TableText"/>
              <w:ind w:left="65"/>
              <w:spacing w:before="171" w:line="220" w:lineRule="auto"/>
              <w:rPr>
                <w:sz w:val="21"/>
                <w:szCs w:val="21"/>
              </w:rPr>
            </w:pPr>
            <w:r>
              <w:rPr>
                <w:sz w:val="21"/>
                <w:szCs w:val="21"/>
                <w:spacing w:val="3"/>
              </w:rPr>
              <w:t>废活性炭</w:t>
            </w:r>
          </w:p>
        </w:tc>
        <w:tc>
          <w:tcPr>
            <w:tcW w:w="709" w:type="dxa"/>
            <w:vAlign w:val="top"/>
          </w:tcPr>
          <w:p>
            <w:pPr>
              <w:pStyle w:val="TableText"/>
              <w:ind w:left="131"/>
              <w:spacing w:before="224" w:line="183" w:lineRule="auto"/>
              <w:rPr>
                <w:sz w:val="21"/>
                <w:szCs w:val="21"/>
              </w:rPr>
            </w:pPr>
            <w:r>
              <w:rPr>
                <w:sz w:val="21"/>
                <w:szCs w:val="21"/>
                <w:spacing w:val="-1"/>
              </w:rPr>
              <w:t>HW49</w:t>
            </w:r>
          </w:p>
        </w:tc>
        <w:tc>
          <w:tcPr>
            <w:tcW w:w="1049" w:type="dxa"/>
            <w:vAlign w:val="top"/>
          </w:tcPr>
          <w:p>
            <w:pPr>
              <w:pStyle w:val="TableText"/>
              <w:spacing w:before="191"/>
              <w:jc w:val="right"/>
              <w:rPr>
                <w:sz w:val="21"/>
                <w:szCs w:val="21"/>
              </w:rPr>
            </w:pPr>
            <w:r>
              <w:rPr>
                <w:sz w:val="21"/>
                <w:szCs w:val="21"/>
                <w:spacing w:val="-3"/>
              </w:rPr>
              <w:t>900-039-49</w:t>
            </w:r>
          </w:p>
        </w:tc>
        <w:tc>
          <w:tcPr>
            <w:tcW w:w="689" w:type="dxa"/>
            <w:vAlign w:val="top"/>
          </w:tcPr>
          <w:p>
            <w:pPr>
              <w:pStyle w:val="TableText"/>
              <w:ind w:left="172"/>
              <w:spacing w:before="191" w:line="239" w:lineRule="auto"/>
              <w:rPr>
                <w:sz w:val="21"/>
                <w:szCs w:val="21"/>
              </w:rPr>
            </w:pPr>
            <w:r>
              <w:rPr>
                <w:sz w:val="21"/>
                <w:szCs w:val="21"/>
                <w:spacing w:val="-6"/>
              </w:rPr>
              <w:t>1.2</w:t>
            </w:r>
          </w:p>
        </w:tc>
        <w:tc>
          <w:tcPr>
            <w:tcW w:w="869" w:type="dxa"/>
            <w:vAlign w:val="top"/>
            <w:vMerge w:val="restart"/>
            <w:tcBorders>
              <w:bottom w:val="nil"/>
            </w:tcBorders>
          </w:tcPr>
          <w:p>
            <w:pPr>
              <w:spacing w:line="241" w:lineRule="auto"/>
              <w:rPr>
                <w:rFonts w:ascii="Arial"/>
                <w:sz w:val="21"/>
              </w:rPr>
            </w:pPr>
            <w:r/>
          </w:p>
          <w:p>
            <w:pPr>
              <w:pStyle w:val="TableText"/>
              <w:ind w:left="114"/>
              <w:spacing w:before="68" w:line="220" w:lineRule="auto"/>
              <w:rPr>
                <w:sz w:val="21"/>
                <w:szCs w:val="21"/>
              </w:rPr>
            </w:pPr>
            <w:r>
              <w:rPr>
                <w:sz w:val="21"/>
                <w:szCs w:val="21"/>
                <w:spacing w:val="-2"/>
              </w:rPr>
              <w:t>废气处</w:t>
            </w:r>
          </w:p>
          <w:p>
            <w:pPr>
              <w:pStyle w:val="TableText"/>
              <w:ind w:left="114"/>
              <w:spacing w:before="19" w:line="220" w:lineRule="auto"/>
              <w:rPr>
                <w:sz w:val="21"/>
                <w:szCs w:val="21"/>
              </w:rPr>
            </w:pPr>
            <w:r>
              <w:rPr>
                <w:sz w:val="21"/>
                <w:szCs w:val="21"/>
                <w:spacing w:val="-3"/>
              </w:rPr>
              <w:t>理装置</w:t>
            </w:r>
          </w:p>
        </w:tc>
        <w:tc>
          <w:tcPr>
            <w:tcW w:w="519" w:type="dxa"/>
            <w:vAlign w:val="top"/>
          </w:tcPr>
          <w:p>
            <w:pPr>
              <w:pStyle w:val="TableText"/>
              <w:ind w:left="45"/>
              <w:spacing w:before="171" w:line="220" w:lineRule="auto"/>
              <w:rPr>
                <w:sz w:val="21"/>
                <w:szCs w:val="21"/>
              </w:rPr>
            </w:pPr>
            <w:r>
              <w:rPr>
                <w:sz w:val="21"/>
                <w:szCs w:val="21"/>
                <w:spacing w:val="5"/>
              </w:rPr>
              <w:t>固态</w:t>
            </w:r>
          </w:p>
        </w:tc>
        <w:tc>
          <w:tcPr>
            <w:tcW w:w="1169" w:type="dxa"/>
            <w:vAlign w:val="top"/>
          </w:tcPr>
          <w:p>
            <w:pPr>
              <w:pStyle w:val="TableText"/>
              <w:ind w:left="472" w:hanging="457"/>
              <w:spacing w:before="28" w:line="219" w:lineRule="auto"/>
              <w:rPr>
                <w:sz w:val="21"/>
                <w:szCs w:val="21"/>
              </w:rPr>
            </w:pPr>
            <w:r>
              <w:rPr>
                <w:sz w:val="21"/>
                <w:szCs w:val="21"/>
                <w:spacing w:val="-22"/>
              </w:rPr>
              <w:t>碳、氧、氢</w:t>
            </w:r>
            <w:r>
              <w:rPr>
                <w:sz w:val="21"/>
                <w:szCs w:val="21"/>
                <w:spacing w:val="-10"/>
              </w:rPr>
              <w:t>元</w:t>
            </w:r>
            <w:r>
              <w:rPr>
                <w:sz w:val="21"/>
                <w:szCs w:val="21"/>
                <w:spacing w:val="2"/>
              </w:rPr>
              <w:t xml:space="preserve"> </w:t>
            </w:r>
            <w:r>
              <w:rPr>
                <w:sz w:val="21"/>
                <w:szCs w:val="21"/>
              </w:rPr>
              <w:t>素</w:t>
            </w:r>
          </w:p>
        </w:tc>
        <w:tc>
          <w:tcPr>
            <w:tcW w:w="1039" w:type="dxa"/>
            <w:vAlign w:val="top"/>
          </w:tcPr>
          <w:p>
            <w:pPr>
              <w:pStyle w:val="TableText"/>
              <w:ind w:left="304" w:hanging="287"/>
              <w:spacing w:before="28" w:line="219" w:lineRule="auto"/>
              <w:rPr>
                <w:sz w:val="21"/>
                <w:szCs w:val="21"/>
              </w:rPr>
            </w:pPr>
            <w:r>
              <w:rPr>
                <w:sz w:val="21"/>
                <w:szCs w:val="21"/>
                <w:spacing w:val="-8"/>
              </w:rPr>
              <w:t>碳、氧、氢</w:t>
            </w:r>
            <w:r>
              <w:rPr>
                <w:sz w:val="21"/>
                <w:szCs w:val="21"/>
              </w:rPr>
              <w:t xml:space="preserve"> </w:t>
            </w:r>
            <w:r>
              <w:rPr>
                <w:sz w:val="21"/>
                <w:szCs w:val="21"/>
                <w:spacing w:val="-4"/>
              </w:rPr>
              <w:t>元素</w:t>
            </w:r>
          </w:p>
        </w:tc>
        <w:tc>
          <w:tcPr>
            <w:tcW w:w="649" w:type="dxa"/>
            <w:vAlign w:val="top"/>
          </w:tcPr>
          <w:p>
            <w:pPr>
              <w:pStyle w:val="TableText"/>
              <w:ind w:left="267"/>
              <w:spacing w:before="176" w:line="224" w:lineRule="auto"/>
              <w:rPr>
                <w:sz w:val="21"/>
                <w:szCs w:val="21"/>
              </w:rPr>
            </w:pPr>
            <w:r>
              <w:rPr>
                <w:sz w:val="21"/>
                <w:szCs w:val="21"/>
              </w:rPr>
              <w:t>/</w:t>
            </w:r>
          </w:p>
        </w:tc>
        <w:tc>
          <w:tcPr>
            <w:tcW w:w="410" w:type="dxa"/>
            <w:vAlign w:val="top"/>
          </w:tcPr>
          <w:p>
            <w:pPr>
              <w:pStyle w:val="TableText"/>
              <w:ind w:left="148"/>
              <w:spacing w:before="225" w:line="182" w:lineRule="auto"/>
              <w:rPr>
                <w:sz w:val="21"/>
                <w:szCs w:val="21"/>
              </w:rPr>
            </w:pPr>
            <w:r>
              <w:rPr>
                <w:sz w:val="21"/>
                <w:szCs w:val="21"/>
              </w:rPr>
              <w:t>T</w:t>
            </w:r>
          </w:p>
        </w:tc>
        <w:tc>
          <w:tcPr>
            <w:tcW w:w="644" w:type="dxa"/>
            <w:vAlign w:val="top"/>
            <w:vMerge w:val="restart"/>
            <w:tcBorders>
              <w:bottom w:val="nil"/>
            </w:tcBorders>
          </w:tcPr>
          <w:p>
            <w:pPr>
              <w:pStyle w:val="TableText"/>
              <w:spacing w:before="30" w:line="219" w:lineRule="auto"/>
              <w:jc w:val="right"/>
              <w:rPr>
                <w:sz w:val="21"/>
                <w:szCs w:val="21"/>
              </w:rPr>
            </w:pPr>
            <w:r>
              <w:rPr>
                <w:sz w:val="21"/>
                <w:szCs w:val="21"/>
                <w:color w:val="404050"/>
                <w:spacing w:val="-5"/>
              </w:rPr>
              <w:t>暂存于</w:t>
            </w:r>
          </w:p>
          <w:p>
            <w:pPr>
              <w:pStyle w:val="TableText"/>
              <w:spacing w:before="31" w:line="220" w:lineRule="auto"/>
              <w:jc w:val="right"/>
              <w:rPr>
                <w:sz w:val="21"/>
                <w:szCs w:val="21"/>
              </w:rPr>
            </w:pPr>
            <w:r>
              <w:rPr>
                <w:sz w:val="21"/>
                <w:szCs w:val="21"/>
                <w:spacing w:val="-5"/>
              </w:rPr>
              <w:t>危废暂</w:t>
            </w:r>
          </w:p>
          <w:p>
            <w:pPr>
              <w:pStyle w:val="TableText"/>
              <w:spacing w:before="29" w:line="219" w:lineRule="auto"/>
              <w:jc w:val="right"/>
              <w:rPr>
                <w:sz w:val="21"/>
                <w:szCs w:val="21"/>
              </w:rPr>
            </w:pPr>
            <w:r>
              <w:rPr>
                <w:sz w:val="21"/>
                <w:szCs w:val="21"/>
                <w:spacing w:val="-5"/>
              </w:rPr>
              <w:t>存场，</w:t>
            </w:r>
          </w:p>
          <w:p>
            <w:pPr>
              <w:pStyle w:val="TableText"/>
              <w:spacing w:before="11" w:line="220" w:lineRule="auto"/>
              <w:jc w:val="right"/>
              <w:rPr>
                <w:sz w:val="21"/>
                <w:szCs w:val="21"/>
              </w:rPr>
            </w:pPr>
            <w:r>
              <w:rPr>
                <w:sz w:val="21"/>
                <w:szCs w:val="21"/>
                <w:spacing w:val="-5"/>
              </w:rPr>
              <w:t>委托有</w:t>
            </w:r>
          </w:p>
          <w:p>
            <w:pPr>
              <w:pStyle w:val="TableText"/>
              <w:spacing w:before="29" w:line="220" w:lineRule="auto"/>
              <w:jc w:val="right"/>
              <w:rPr>
                <w:sz w:val="21"/>
                <w:szCs w:val="21"/>
              </w:rPr>
            </w:pPr>
            <w:r>
              <w:rPr>
                <w:sz w:val="21"/>
                <w:szCs w:val="21"/>
                <w:spacing w:val="-6"/>
              </w:rPr>
              <w:t>资质单</w:t>
            </w:r>
          </w:p>
          <w:p>
            <w:pPr>
              <w:pStyle w:val="TableText"/>
              <w:spacing w:before="21" w:line="214" w:lineRule="auto"/>
              <w:jc w:val="right"/>
              <w:rPr>
                <w:sz w:val="21"/>
                <w:szCs w:val="21"/>
              </w:rPr>
            </w:pPr>
            <w:r>
              <w:rPr>
                <w:sz w:val="21"/>
                <w:szCs w:val="21"/>
                <w:spacing w:val="-5"/>
              </w:rPr>
              <w:t>位处置</w:t>
            </w:r>
          </w:p>
        </w:tc>
      </w:tr>
      <w:tr>
        <w:trPr>
          <w:trHeight w:val="547" w:hRule="atLeast"/>
        </w:trPr>
        <w:tc>
          <w:tcPr>
            <w:tcW w:w="984" w:type="dxa"/>
            <w:vAlign w:val="top"/>
          </w:tcPr>
          <w:p>
            <w:pPr>
              <w:pStyle w:val="TableText"/>
              <w:ind w:left="65"/>
              <w:spacing w:before="173" w:line="219" w:lineRule="auto"/>
              <w:rPr>
                <w:sz w:val="21"/>
                <w:szCs w:val="21"/>
              </w:rPr>
            </w:pPr>
            <w:r>
              <w:rPr>
                <w:sz w:val="21"/>
                <w:szCs w:val="21"/>
                <w:spacing w:val="-2"/>
              </w:rPr>
              <w:t>废UV灯管</w:t>
            </w:r>
          </w:p>
        </w:tc>
        <w:tc>
          <w:tcPr>
            <w:tcW w:w="709" w:type="dxa"/>
            <w:vAlign w:val="top"/>
          </w:tcPr>
          <w:p>
            <w:pPr>
              <w:pStyle w:val="TableText"/>
              <w:ind w:left="131"/>
              <w:spacing w:before="227" w:line="183" w:lineRule="auto"/>
              <w:rPr>
                <w:sz w:val="21"/>
                <w:szCs w:val="21"/>
              </w:rPr>
            </w:pPr>
            <w:r>
              <w:rPr>
                <w:sz w:val="21"/>
                <w:szCs w:val="21"/>
                <w:spacing w:val="-1"/>
              </w:rPr>
              <w:t>HW29</w:t>
            </w:r>
          </w:p>
        </w:tc>
        <w:tc>
          <w:tcPr>
            <w:tcW w:w="1049" w:type="dxa"/>
            <w:vAlign w:val="top"/>
          </w:tcPr>
          <w:p>
            <w:pPr>
              <w:pStyle w:val="TableText"/>
              <w:spacing w:before="194"/>
              <w:jc w:val="right"/>
              <w:rPr>
                <w:sz w:val="21"/>
                <w:szCs w:val="21"/>
              </w:rPr>
            </w:pPr>
            <w:r>
              <w:rPr>
                <w:sz w:val="21"/>
                <w:szCs w:val="21"/>
                <w:spacing w:val="-3"/>
              </w:rPr>
              <w:t>900-023-29</w:t>
            </w:r>
          </w:p>
        </w:tc>
        <w:tc>
          <w:tcPr>
            <w:tcW w:w="689" w:type="dxa"/>
            <w:vAlign w:val="top"/>
          </w:tcPr>
          <w:p>
            <w:pPr>
              <w:pStyle w:val="TableText"/>
              <w:ind w:left="73"/>
              <w:spacing w:before="194" w:line="239" w:lineRule="auto"/>
              <w:rPr>
                <w:sz w:val="21"/>
                <w:szCs w:val="21"/>
              </w:rPr>
            </w:pPr>
            <w:r>
              <w:rPr>
                <w:sz w:val="21"/>
                <w:szCs w:val="21"/>
                <w:spacing w:val="-2"/>
              </w:rPr>
              <w:t>0.002</w:t>
            </w:r>
          </w:p>
        </w:tc>
        <w:tc>
          <w:tcPr>
            <w:tcW w:w="869" w:type="dxa"/>
            <w:vAlign w:val="top"/>
            <w:vMerge w:val="continue"/>
            <w:tcBorders>
              <w:top w:val="nil"/>
            </w:tcBorders>
          </w:tcPr>
          <w:p>
            <w:pPr>
              <w:rPr>
                <w:rFonts w:ascii="Arial"/>
                <w:sz w:val="21"/>
              </w:rPr>
            </w:pPr>
            <w:r/>
          </w:p>
        </w:tc>
        <w:tc>
          <w:tcPr>
            <w:tcW w:w="519" w:type="dxa"/>
            <w:vAlign w:val="top"/>
          </w:tcPr>
          <w:p>
            <w:pPr>
              <w:pStyle w:val="TableText"/>
              <w:ind w:left="45"/>
              <w:spacing w:before="174" w:line="220" w:lineRule="auto"/>
              <w:rPr>
                <w:sz w:val="21"/>
                <w:szCs w:val="21"/>
              </w:rPr>
            </w:pPr>
            <w:r>
              <w:rPr>
                <w:sz w:val="21"/>
                <w:szCs w:val="21"/>
                <w:spacing w:val="5"/>
              </w:rPr>
              <w:t>固态</w:t>
            </w:r>
          </w:p>
        </w:tc>
        <w:tc>
          <w:tcPr>
            <w:tcW w:w="1169" w:type="dxa"/>
            <w:vAlign w:val="top"/>
          </w:tcPr>
          <w:p>
            <w:pPr>
              <w:pStyle w:val="TableText"/>
              <w:spacing w:before="53" w:line="219" w:lineRule="auto"/>
              <w:jc w:val="right"/>
              <w:rPr>
                <w:sz w:val="21"/>
                <w:szCs w:val="21"/>
              </w:rPr>
            </w:pPr>
            <w:r>
              <w:rPr>
                <w:sz w:val="21"/>
                <w:szCs w:val="21"/>
                <w:spacing w:val="-22"/>
              </w:rPr>
              <w:t>汞、铅、镉</w:t>
            </w:r>
            <w:r>
              <w:rPr>
                <w:sz w:val="21"/>
                <w:szCs w:val="21"/>
                <w:spacing w:val="-10"/>
              </w:rPr>
              <w:t>等</w:t>
            </w:r>
          </w:p>
          <w:p>
            <w:pPr>
              <w:pStyle w:val="TableText"/>
              <w:ind w:left="265"/>
              <w:spacing w:before="1" w:line="204" w:lineRule="auto"/>
              <w:rPr>
                <w:sz w:val="21"/>
                <w:szCs w:val="21"/>
              </w:rPr>
            </w:pPr>
            <w:r>
              <w:rPr>
                <w:sz w:val="21"/>
                <w:szCs w:val="21"/>
                <w:spacing w:val="6"/>
              </w:rPr>
              <w:t>重金属</w:t>
            </w:r>
          </w:p>
        </w:tc>
        <w:tc>
          <w:tcPr>
            <w:tcW w:w="1039" w:type="dxa"/>
            <w:vAlign w:val="top"/>
          </w:tcPr>
          <w:p>
            <w:pPr>
              <w:pStyle w:val="TableText"/>
              <w:ind w:left="94" w:hanging="77"/>
              <w:spacing w:before="54" w:line="212" w:lineRule="auto"/>
              <w:rPr>
                <w:sz w:val="21"/>
                <w:szCs w:val="21"/>
              </w:rPr>
            </w:pPr>
            <w:r>
              <w:rPr>
                <w:sz w:val="21"/>
                <w:szCs w:val="21"/>
                <w:spacing w:val="-8"/>
              </w:rPr>
              <w:t>汞、铅、镉</w:t>
            </w:r>
            <w:r>
              <w:rPr>
                <w:sz w:val="21"/>
                <w:szCs w:val="21"/>
              </w:rPr>
              <w:t xml:space="preserve"> </w:t>
            </w:r>
            <w:r>
              <w:rPr>
                <w:sz w:val="21"/>
                <w:szCs w:val="21"/>
                <w:spacing w:val="-2"/>
              </w:rPr>
              <w:t>等重金属</w:t>
            </w:r>
          </w:p>
        </w:tc>
        <w:tc>
          <w:tcPr>
            <w:tcW w:w="649" w:type="dxa"/>
            <w:vAlign w:val="top"/>
          </w:tcPr>
          <w:p>
            <w:pPr>
              <w:pStyle w:val="TableText"/>
              <w:ind w:left="267"/>
              <w:spacing w:before="179" w:line="224" w:lineRule="auto"/>
              <w:rPr>
                <w:sz w:val="21"/>
                <w:szCs w:val="21"/>
              </w:rPr>
            </w:pPr>
            <w:r>
              <w:rPr>
                <w:sz w:val="21"/>
                <w:szCs w:val="21"/>
              </w:rPr>
              <w:t>/</w:t>
            </w:r>
          </w:p>
        </w:tc>
        <w:tc>
          <w:tcPr>
            <w:tcW w:w="410" w:type="dxa"/>
            <w:vAlign w:val="top"/>
          </w:tcPr>
          <w:p>
            <w:pPr>
              <w:pStyle w:val="TableText"/>
              <w:ind w:left="148"/>
              <w:spacing w:before="228" w:line="182" w:lineRule="auto"/>
              <w:rPr>
                <w:sz w:val="21"/>
                <w:szCs w:val="21"/>
              </w:rPr>
            </w:pPr>
            <w:r>
              <w:rPr>
                <w:sz w:val="21"/>
                <w:szCs w:val="21"/>
              </w:rPr>
              <w:t>T</w:t>
            </w:r>
          </w:p>
        </w:tc>
        <w:tc>
          <w:tcPr>
            <w:tcW w:w="644" w:type="dxa"/>
            <w:vAlign w:val="top"/>
            <w:vMerge w:val="continue"/>
            <w:tcBorders>
              <w:top w:val="nil"/>
              <w:bottom w:val="nil"/>
            </w:tcBorders>
          </w:tcPr>
          <w:p>
            <w:pPr>
              <w:rPr>
                <w:rFonts w:ascii="Arial"/>
                <w:sz w:val="21"/>
              </w:rPr>
            </w:pPr>
            <w:r/>
          </w:p>
        </w:tc>
      </w:tr>
      <w:tr>
        <w:trPr>
          <w:trHeight w:val="552" w:hRule="atLeast"/>
        </w:trPr>
        <w:tc>
          <w:tcPr>
            <w:tcW w:w="984" w:type="dxa"/>
            <w:vAlign w:val="top"/>
          </w:tcPr>
          <w:p>
            <w:pPr>
              <w:pStyle w:val="TableText"/>
              <w:ind w:left="64" w:hanging="49"/>
              <w:spacing w:before="36" w:line="222" w:lineRule="auto"/>
              <w:rPr>
                <w:sz w:val="21"/>
                <w:szCs w:val="21"/>
              </w:rPr>
            </w:pPr>
            <w:r>
              <w:rPr>
                <w:sz w:val="21"/>
                <w:szCs w:val="21"/>
                <w:spacing w:val="-19"/>
              </w:rPr>
              <w:t>废消毒药品</w:t>
            </w:r>
            <w:r>
              <w:rPr>
                <w:sz w:val="21"/>
                <w:szCs w:val="21"/>
                <w:spacing w:val="2"/>
              </w:rPr>
              <w:t xml:space="preserve"> </w:t>
            </w:r>
            <w:r>
              <w:rPr>
                <w:sz w:val="21"/>
                <w:szCs w:val="21"/>
                <w:spacing w:val="-4"/>
              </w:rPr>
              <w:t>包装材料</w:t>
            </w:r>
          </w:p>
        </w:tc>
        <w:tc>
          <w:tcPr>
            <w:tcW w:w="709" w:type="dxa"/>
            <w:vAlign w:val="top"/>
          </w:tcPr>
          <w:p>
            <w:pPr>
              <w:pStyle w:val="TableText"/>
              <w:ind w:left="131"/>
              <w:spacing w:before="230" w:line="183" w:lineRule="auto"/>
              <w:rPr>
                <w:sz w:val="21"/>
                <w:szCs w:val="21"/>
              </w:rPr>
            </w:pPr>
            <w:r>
              <w:rPr>
                <w:sz w:val="21"/>
                <w:szCs w:val="21"/>
                <w:spacing w:val="-1"/>
              </w:rPr>
              <w:t>HW49</w:t>
            </w:r>
          </w:p>
        </w:tc>
        <w:tc>
          <w:tcPr>
            <w:tcW w:w="1049" w:type="dxa"/>
            <w:vAlign w:val="top"/>
          </w:tcPr>
          <w:p>
            <w:pPr>
              <w:pStyle w:val="TableText"/>
              <w:spacing w:before="197"/>
              <w:jc w:val="right"/>
              <w:rPr>
                <w:sz w:val="21"/>
                <w:szCs w:val="21"/>
              </w:rPr>
            </w:pPr>
            <w:r>
              <w:rPr>
                <w:sz w:val="21"/>
                <w:szCs w:val="21"/>
                <w:spacing w:val="-3"/>
              </w:rPr>
              <w:t>900-041-49</w:t>
            </w:r>
          </w:p>
        </w:tc>
        <w:tc>
          <w:tcPr>
            <w:tcW w:w="689" w:type="dxa"/>
            <w:vAlign w:val="top"/>
          </w:tcPr>
          <w:p>
            <w:pPr>
              <w:pStyle w:val="TableText"/>
              <w:ind w:left="123"/>
              <w:spacing w:before="197" w:line="239" w:lineRule="auto"/>
              <w:rPr>
                <w:sz w:val="21"/>
                <w:szCs w:val="21"/>
              </w:rPr>
            </w:pPr>
            <w:r>
              <w:rPr>
                <w:sz w:val="21"/>
                <w:szCs w:val="21"/>
                <w:spacing w:val="-2"/>
              </w:rPr>
              <w:t>0.05</w:t>
            </w:r>
          </w:p>
        </w:tc>
        <w:tc>
          <w:tcPr>
            <w:tcW w:w="869" w:type="dxa"/>
            <w:vAlign w:val="top"/>
          </w:tcPr>
          <w:p>
            <w:pPr>
              <w:pStyle w:val="TableText"/>
              <w:ind w:left="214"/>
              <w:spacing w:before="176" w:line="219" w:lineRule="auto"/>
              <w:rPr>
                <w:sz w:val="21"/>
                <w:szCs w:val="21"/>
              </w:rPr>
            </w:pPr>
            <w:r>
              <w:rPr>
                <w:sz w:val="21"/>
                <w:szCs w:val="21"/>
                <w:spacing w:val="5"/>
              </w:rPr>
              <w:t>消毒</w:t>
            </w:r>
          </w:p>
        </w:tc>
        <w:tc>
          <w:tcPr>
            <w:tcW w:w="519" w:type="dxa"/>
            <w:vAlign w:val="top"/>
          </w:tcPr>
          <w:p>
            <w:pPr>
              <w:pStyle w:val="TableText"/>
              <w:ind w:left="45"/>
              <w:spacing w:before="177" w:line="220" w:lineRule="auto"/>
              <w:rPr>
                <w:sz w:val="21"/>
                <w:szCs w:val="21"/>
              </w:rPr>
            </w:pPr>
            <w:r>
              <w:rPr>
                <w:sz w:val="21"/>
                <w:szCs w:val="21"/>
                <w:spacing w:val="5"/>
              </w:rPr>
              <w:t>固态</w:t>
            </w:r>
          </w:p>
        </w:tc>
        <w:tc>
          <w:tcPr>
            <w:tcW w:w="1169" w:type="dxa"/>
            <w:vAlign w:val="top"/>
          </w:tcPr>
          <w:p>
            <w:pPr>
              <w:pStyle w:val="TableText"/>
              <w:ind w:left="56"/>
              <w:spacing w:before="176" w:line="219" w:lineRule="auto"/>
              <w:rPr>
                <w:sz w:val="21"/>
                <w:szCs w:val="21"/>
              </w:rPr>
            </w:pPr>
            <w:r>
              <w:rPr>
                <w:sz w:val="21"/>
                <w:szCs w:val="21"/>
                <w:spacing w:val="-2"/>
              </w:rPr>
              <w:t>废包装瓶等</w:t>
            </w:r>
          </w:p>
        </w:tc>
        <w:tc>
          <w:tcPr>
            <w:tcW w:w="1039" w:type="dxa"/>
            <w:vAlign w:val="top"/>
          </w:tcPr>
          <w:p>
            <w:pPr>
              <w:pStyle w:val="TableText"/>
              <w:ind w:left="196"/>
              <w:spacing w:before="175" w:line="219" w:lineRule="auto"/>
              <w:rPr>
                <w:sz w:val="21"/>
                <w:szCs w:val="21"/>
              </w:rPr>
            </w:pPr>
            <w:r>
              <w:rPr>
                <w:sz w:val="21"/>
                <w:szCs w:val="21"/>
                <w:spacing w:val="4"/>
              </w:rPr>
              <w:t>消毒剂</w:t>
            </w:r>
          </w:p>
        </w:tc>
        <w:tc>
          <w:tcPr>
            <w:tcW w:w="649" w:type="dxa"/>
            <w:vAlign w:val="top"/>
            <w:textDirection w:val="tbRlV"/>
          </w:tcPr>
          <w:p>
            <w:pPr>
              <w:pStyle w:val="TableText"/>
              <w:ind w:left="148"/>
              <w:spacing w:before="276" w:line="137" w:lineRule="exact"/>
              <w:rPr>
                <w:sz w:val="21"/>
                <w:szCs w:val="21"/>
              </w:rPr>
            </w:pPr>
            <w:r>
              <w:rPr>
                <w:sz w:val="21"/>
                <w:szCs w:val="21"/>
                <w:spacing w:val="52"/>
                <w:w w:val="141"/>
                <w:position w:val="-1"/>
              </w:rPr>
              <w:t>/</w:t>
            </w:r>
          </w:p>
        </w:tc>
        <w:tc>
          <w:tcPr>
            <w:tcW w:w="410" w:type="dxa"/>
            <w:vAlign w:val="top"/>
          </w:tcPr>
          <w:p>
            <w:pPr>
              <w:pStyle w:val="TableText"/>
              <w:spacing w:before="182" w:line="224" w:lineRule="auto"/>
              <w:jc w:val="right"/>
              <w:rPr>
                <w:sz w:val="21"/>
                <w:szCs w:val="21"/>
              </w:rPr>
            </w:pPr>
            <w:r>
              <w:rPr>
                <w:sz w:val="21"/>
                <w:szCs w:val="21"/>
                <w:spacing w:val="-11"/>
              </w:rPr>
              <w:t>T/I</w:t>
            </w:r>
            <w:r>
              <w:rPr>
                <w:sz w:val="21"/>
                <w:szCs w:val="21"/>
                <w:spacing w:val="-7"/>
              </w:rPr>
              <w:t>n</w:t>
            </w:r>
          </w:p>
        </w:tc>
        <w:tc>
          <w:tcPr>
            <w:tcW w:w="644" w:type="dxa"/>
            <w:vAlign w:val="top"/>
            <w:vMerge w:val="continue"/>
            <w:tcBorders>
              <w:top w:val="nil"/>
            </w:tcBorders>
          </w:tcPr>
          <w:p>
            <w:pPr>
              <w:rPr>
                <w:rFonts w:ascii="Arial"/>
                <w:sz w:val="21"/>
              </w:rPr>
            </w:pPr>
            <w:r/>
          </w:p>
        </w:tc>
      </w:tr>
    </w:tbl>
    <w:p>
      <w:pPr>
        <w:pStyle w:val="BodyText"/>
        <w:rPr/>
      </w:pPr>
      <w:r/>
    </w:p>
    <w:p>
      <w:pPr>
        <w:sectPr>
          <w:headerReference w:type="default" r:id="rId354"/>
          <w:footerReference w:type="default" r:id="rId355"/>
          <w:pgSz w:w="11910" w:h="16840"/>
          <w:pgMar w:top="1207" w:right="1420" w:bottom="922" w:left="1499" w:header="915" w:footer="751" w:gutter="0"/>
        </w:sectPr>
        <w:rPr/>
      </w:pPr>
    </w:p>
    <w:p>
      <w:pPr>
        <w:spacing w:before="26"/>
        <w:rPr/>
      </w:pPr>
      <w:r/>
    </w:p>
    <w:tbl>
      <w:tblPr>
        <w:tblStyle w:val="TableNormal"/>
        <w:tblW w:w="8725"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964"/>
        <w:gridCol w:w="709"/>
        <w:gridCol w:w="1049"/>
        <w:gridCol w:w="689"/>
        <w:gridCol w:w="879"/>
        <w:gridCol w:w="509"/>
        <w:gridCol w:w="1179"/>
        <w:gridCol w:w="1039"/>
        <w:gridCol w:w="649"/>
        <w:gridCol w:w="409"/>
        <w:gridCol w:w="650"/>
      </w:tblGrid>
      <w:tr>
        <w:trPr>
          <w:trHeight w:val="552" w:hRule="atLeast"/>
        </w:trPr>
        <w:tc>
          <w:tcPr>
            <w:shd w:val="clear" w:fill="BDBDBD"/>
            <w:tcW w:w="964" w:type="dxa"/>
            <w:vAlign w:val="top"/>
          </w:tcPr>
          <w:p>
            <w:pPr>
              <w:pStyle w:val="TableText"/>
              <w:ind w:left="158"/>
              <w:spacing w:before="41" w:line="220" w:lineRule="auto"/>
              <w:rPr>
                <w:sz w:val="21"/>
                <w:szCs w:val="21"/>
              </w:rPr>
            </w:pPr>
            <w:r>
              <w:rPr>
                <w:sz w:val="21"/>
                <w:szCs w:val="21"/>
                <w:b/>
                <w:bCs/>
                <w:spacing w:val="-5"/>
              </w:rPr>
              <w:t>危险废</w:t>
            </w:r>
          </w:p>
          <w:p>
            <w:pPr>
              <w:pStyle w:val="TableText"/>
              <w:ind w:left="158"/>
              <w:spacing w:before="20" w:line="202" w:lineRule="auto"/>
              <w:rPr>
                <w:sz w:val="21"/>
                <w:szCs w:val="21"/>
              </w:rPr>
            </w:pPr>
            <w:r>
              <w:rPr>
                <w:sz w:val="21"/>
                <w:szCs w:val="21"/>
                <w:b/>
                <w:bCs/>
                <w:spacing w:val="-5"/>
              </w:rPr>
              <w:t>物名称</w:t>
            </w:r>
          </w:p>
        </w:tc>
        <w:tc>
          <w:tcPr>
            <w:shd w:val="clear" w:fill="0C0C0C"/>
            <w:tcW w:w="709" w:type="dxa"/>
            <w:vAlign w:val="top"/>
          </w:tcPr>
          <w:p>
            <w:pPr>
              <w:pStyle w:val="TableText"/>
              <w:ind w:left="33"/>
              <w:spacing w:before="41" w:line="220" w:lineRule="auto"/>
              <w:rPr>
                <w:sz w:val="21"/>
                <w:szCs w:val="21"/>
              </w:rPr>
            </w:pPr>
            <w:r>
              <w:rPr>
                <w:sz w:val="21"/>
                <w:szCs w:val="21"/>
                <w:b/>
                <w:bCs/>
                <w:spacing w:val="-5"/>
              </w:rPr>
              <w:t>危险废</w:t>
            </w:r>
          </w:p>
          <w:p>
            <w:pPr>
              <w:pStyle w:val="TableText"/>
              <w:ind w:left="33"/>
              <w:spacing w:before="18" w:line="204" w:lineRule="auto"/>
              <w:rPr>
                <w:sz w:val="21"/>
                <w:szCs w:val="21"/>
              </w:rPr>
            </w:pPr>
            <w:r>
              <w:rPr>
                <w:sz w:val="21"/>
                <w:szCs w:val="21"/>
                <w:b/>
                <w:bCs/>
                <w:spacing w:val="-5"/>
              </w:rPr>
              <w:t>物类别</w:t>
            </w:r>
          </w:p>
        </w:tc>
        <w:tc>
          <w:tcPr>
            <w:shd w:val="clear" w:fill="BDBDBD"/>
            <w:tcW w:w="1049" w:type="dxa"/>
            <w:vAlign w:val="top"/>
          </w:tcPr>
          <w:p>
            <w:pPr>
              <w:pStyle w:val="TableText"/>
              <w:ind w:left="204"/>
              <w:spacing w:before="41" w:line="220" w:lineRule="auto"/>
              <w:rPr>
                <w:sz w:val="21"/>
                <w:szCs w:val="21"/>
              </w:rPr>
            </w:pPr>
            <w:r>
              <w:rPr>
                <w:sz w:val="21"/>
                <w:szCs w:val="21"/>
                <w:b/>
                <w:bCs/>
                <w:spacing w:val="-5"/>
              </w:rPr>
              <w:t>危险废</w:t>
            </w:r>
          </w:p>
          <w:p>
            <w:pPr>
              <w:pStyle w:val="TableText"/>
              <w:ind w:left="204"/>
              <w:spacing w:before="18" w:line="204" w:lineRule="auto"/>
              <w:rPr>
                <w:sz w:val="21"/>
                <w:szCs w:val="21"/>
              </w:rPr>
            </w:pPr>
            <w:r>
              <w:rPr>
                <w:sz w:val="21"/>
                <w:szCs w:val="21"/>
                <w:b/>
                <w:bCs/>
                <w:spacing w:val="-5"/>
              </w:rPr>
              <w:t>物代码</w:t>
            </w:r>
          </w:p>
        </w:tc>
        <w:tc>
          <w:tcPr>
            <w:shd w:val="clear" w:fill="BDBDBD"/>
            <w:tcW w:w="689" w:type="dxa"/>
            <w:vAlign w:val="top"/>
          </w:tcPr>
          <w:p>
            <w:pPr>
              <w:pStyle w:val="TableText"/>
              <w:ind w:left="26"/>
              <w:spacing w:before="30" w:line="219" w:lineRule="auto"/>
              <w:rPr>
                <w:sz w:val="21"/>
                <w:szCs w:val="21"/>
              </w:rPr>
            </w:pPr>
            <w:r>
              <w:rPr>
                <w:sz w:val="21"/>
                <w:szCs w:val="21"/>
                <w:b/>
                <w:bCs/>
                <w:spacing w:val="-5"/>
              </w:rPr>
              <w:t>产生量</w:t>
            </w:r>
          </w:p>
          <w:p>
            <w:pPr>
              <w:pStyle w:val="TableText"/>
              <w:ind w:left="76"/>
              <w:spacing w:before="53" w:line="183" w:lineRule="auto"/>
              <w:rPr>
                <w:sz w:val="21"/>
                <w:szCs w:val="21"/>
              </w:rPr>
            </w:pPr>
            <w:r>
              <w:rPr>
                <w:sz w:val="21"/>
                <w:szCs w:val="21"/>
                <w:b/>
                <w:bCs/>
                <w:spacing w:val="-10"/>
              </w:rPr>
              <w:t>(t/a)</w:t>
            </w:r>
          </w:p>
        </w:tc>
        <w:tc>
          <w:tcPr>
            <w:shd w:val="clear" w:fill="BDBDBD"/>
            <w:tcW w:w="879" w:type="dxa"/>
            <w:vAlign w:val="top"/>
          </w:tcPr>
          <w:p>
            <w:pPr>
              <w:pStyle w:val="TableText"/>
              <w:ind w:left="116" w:right="20" w:hanging="100"/>
              <w:spacing w:before="30" w:line="225" w:lineRule="auto"/>
              <w:rPr>
                <w:sz w:val="21"/>
                <w:szCs w:val="21"/>
              </w:rPr>
            </w:pPr>
            <w:r>
              <w:rPr>
                <w:sz w:val="21"/>
                <w:szCs w:val="21"/>
                <w:b/>
                <w:bCs/>
                <w:spacing w:val="-5"/>
              </w:rPr>
              <w:t>产生工序</w:t>
            </w:r>
            <w:r>
              <w:rPr>
                <w:sz w:val="21"/>
                <w:szCs w:val="21"/>
                <w:spacing w:val="1"/>
              </w:rPr>
              <w:t xml:space="preserve"> </w:t>
            </w:r>
            <w:r>
              <w:rPr>
                <w:sz w:val="21"/>
                <w:szCs w:val="21"/>
                <w:b/>
                <w:bCs/>
                <w:spacing w:val="-4"/>
              </w:rPr>
              <w:t>及装置</w:t>
            </w:r>
          </w:p>
        </w:tc>
        <w:tc>
          <w:tcPr>
            <w:shd w:val="clear" w:fill="BDBDBD"/>
            <w:tcW w:w="509" w:type="dxa"/>
            <w:vAlign w:val="top"/>
          </w:tcPr>
          <w:p>
            <w:pPr>
              <w:pStyle w:val="TableText"/>
              <w:ind w:left="38"/>
              <w:spacing w:before="173" w:line="221" w:lineRule="auto"/>
              <w:rPr>
                <w:sz w:val="21"/>
                <w:szCs w:val="21"/>
              </w:rPr>
            </w:pPr>
            <w:r>
              <w:rPr>
                <w:sz w:val="21"/>
                <w:szCs w:val="21"/>
                <w:b/>
                <w:bCs/>
                <w:spacing w:val="-5"/>
              </w:rPr>
              <w:t>形态</w:t>
            </w:r>
          </w:p>
        </w:tc>
        <w:tc>
          <w:tcPr>
            <w:shd w:val="clear" w:fill="BDBDBD"/>
            <w:tcW w:w="1179" w:type="dxa"/>
            <w:vAlign w:val="top"/>
          </w:tcPr>
          <w:p>
            <w:pPr>
              <w:pStyle w:val="TableText"/>
              <w:ind w:left="169"/>
              <w:spacing w:before="171" w:line="220" w:lineRule="auto"/>
              <w:rPr>
                <w:sz w:val="21"/>
                <w:szCs w:val="21"/>
              </w:rPr>
            </w:pPr>
            <w:r>
              <w:rPr>
                <w:sz w:val="21"/>
                <w:szCs w:val="21"/>
                <w:b/>
                <w:bCs/>
                <w:spacing w:val="-5"/>
              </w:rPr>
              <w:t>主要成分</w:t>
            </w:r>
          </w:p>
        </w:tc>
        <w:tc>
          <w:tcPr>
            <w:shd w:val="clear" w:fill="BDBDBD"/>
            <w:tcW w:w="1039" w:type="dxa"/>
            <w:vAlign w:val="top"/>
          </w:tcPr>
          <w:p>
            <w:pPr>
              <w:pStyle w:val="TableText"/>
              <w:ind w:left="100"/>
              <w:spacing w:before="171" w:line="220" w:lineRule="auto"/>
              <w:rPr>
                <w:sz w:val="21"/>
                <w:szCs w:val="21"/>
              </w:rPr>
            </w:pPr>
            <w:r>
              <w:rPr>
                <w:sz w:val="21"/>
                <w:szCs w:val="21"/>
                <w:b/>
                <w:bCs/>
                <w:spacing w:val="-4"/>
              </w:rPr>
              <w:t>有害成分</w:t>
            </w:r>
          </w:p>
        </w:tc>
        <w:tc>
          <w:tcPr>
            <w:shd w:val="clear" w:fill="BDBDBD"/>
            <w:tcW w:w="649" w:type="dxa"/>
            <w:vAlign w:val="top"/>
          </w:tcPr>
          <w:p>
            <w:pPr>
              <w:pStyle w:val="TableText"/>
              <w:ind w:left="111"/>
              <w:spacing w:before="40" w:line="219" w:lineRule="auto"/>
              <w:rPr>
                <w:sz w:val="21"/>
                <w:szCs w:val="21"/>
              </w:rPr>
            </w:pPr>
            <w:r>
              <w:rPr>
                <w:sz w:val="21"/>
                <w:szCs w:val="21"/>
                <w:b/>
                <w:bCs/>
                <w:spacing w:val="-5"/>
              </w:rPr>
              <w:t>产废</w:t>
            </w:r>
          </w:p>
          <w:p>
            <w:pPr>
              <w:pStyle w:val="TableText"/>
              <w:ind w:left="111"/>
              <w:spacing w:before="1" w:line="220" w:lineRule="auto"/>
              <w:rPr>
                <w:sz w:val="21"/>
                <w:szCs w:val="21"/>
              </w:rPr>
            </w:pPr>
            <w:r>
              <w:rPr>
                <w:sz w:val="21"/>
                <w:szCs w:val="21"/>
                <w:b/>
                <w:bCs/>
                <w:spacing w:val="-5"/>
              </w:rPr>
              <w:t>周期</w:t>
            </w:r>
          </w:p>
        </w:tc>
        <w:tc>
          <w:tcPr>
            <w:shd w:val="clear" w:fill="040404"/>
            <w:tcW w:w="409" w:type="dxa"/>
            <w:vAlign w:val="top"/>
          </w:tcPr>
          <w:p>
            <w:pPr>
              <w:pStyle w:val="TableText"/>
              <w:spacing w:before="41" w:line="220" w:lineRule="auto"/>
              <w:jc w:val="right"/>
              <w:rPr>
                <w:sz w:val="21"/>
                <w:szCs w:val="21"/>
              </w:rPr>
            </w:pPr>
            <w:r>
              <w:rPr>
                <w:sz w:val="21"/>
                <w:szCs w:val="21"/>
                <w:b/>
                <w:bCs/>
                <w:spacing w:val="-26"/>
                <w:w w:val="97"/>
              </w:rPr>
              <w:t>危</w:t>
            </w:r>
            <w:r>
              <w:rPr>
                <w:sz w:val="21"/>
                <w:szCs w:val="21"/>
                <w:b/>
                <w:bCs/>
                <w:spacing w:val="-10"/>
                <w:w w:val="97"/>
              </w:rPr>
              <w:t>险</w:t>
            </w:r>
          </w:p>
          <w:p>
            <w:pPr>
              <w:pStyle w:val="TableText"/>
              <w:spacing w:before="18" w:line="204" w:lineRule="auto"/>
              <w:jc w:val="right"/>
              <w:rPr>
                <w:sz w:val="21"/>
                <w:szCs w:val="21"/>
              </w:rPr>
            </w:pPr>
            <w:r>
              <w:rPr>
                <w:sz w:val="21"/>
                <w:szCs w:val="21"/>
                <w:b/>
                <w:bCs/>
                <w:spacing w:val="-19"/>
                <w:w w:val="95"/>
              </w:rPr>
              <w:t>特</w:t>
            </w:r>
            <w:r>
              <w:rPr>
                <w:sz w:val="21"/>
                <w:szCs w:val="21"/>
                <w:b/>
                <w:bCs/>
                <w:spacing w:val="-9"/>
                <w:w w:val="95"/>
              </w:rPr>
              <w:t>性</w:t>
            </w:r>
          </w:p>
        </w:tc>
        <w:tc>
          <w:tcPr>
            <w:shd w:val="clear" w:fill="BDBDBD"/>
            <w:tcW w:w="650" w:type="dxa"/>
            <w:vAlign w:val="top"/>
          </w:tcPr>
          <w:p>
            <w:pPr>
              <w:pStyle w:val="TableText"/>
              <w:spacing w:before="41" w:line="220" w:lineRule="auto"/>
              <w:jc w:val="right"/>
              <w:rPr>
                <w:sz w:val="21"/>
                <w:szCs w:val="21"/>
              </w:rPr>
            </w:pPr>
            <w:r>
              <w:rPr>
                <w:sz w:val="21"/>
                <w:szCs w:val="21"/>
                <w:b/>
                <w:bCs/>
                <w:spacing w:val="-7"/>
              </w:rPr>
              <w:t>污染防</w:t>
            </w:r>
          </w:p>
          <w:p>
            <w:pPr>
              <w:pStyle w:val="TableText"/>
              <w:spacing w:before="19" w:line="203" w:lineRule="auto"/>
              <w:jc w:val="right"/>
              <w:rPr>
                <w:sz w:val="21"/>
                <w:szCs w:val="21"/>
              </w:rPr>
            </w:pPr>
            <w:r>
              <w:rPr>
                <w:sz w:val="21"/>
                <w:szCs w:val="21"/>
                <w:b/>
                <w:bCs/>
                <w:spacing w:val="-7"/>
              </w:rPr>
              <w:t>治措施</w:t>
            </w:r>
          </w:p>
        </w:tc>
      </w:tr>
      <w:tr>
        <w:trPr>
          <w:trHeight w:val="518" w:hRule="atLeast"/>
        </w:trPr>
        <w:tc>
          <w:tcPr>
            <w:tcW w:w="964" w:type="dxa"/>
            <w:vAlign w:val="top"/>
          </w:tcPr>
          <w:p>
            <w:pPr>
              <w:pStyle w:val="TableText"/>
              <w:ind w:left="155"/>
              <w:spacing w:before="22" w:line="220" w:lineRule="auto"/>
              <w:rPr>
                <w:sz w:val="21"/>
                <w:szCs w:val="21"/>
              </w:rPr>
            </w:pPr>
            <w:r>
              <w:rPr>
                <w:sz w:val="21"/>
                <w:szCs w:val="21"/>
                <w:spacing w:val="-2"/>
              </w:rPr>
              <w:t>在线监</w:t>
            </w:r>
          </w:p>
          <w:p>
            <w:pPr>
              <w:pStyle w:val="TableText"/>
              <w:ind w:left="155"/>
              <w:spacing w:before="10" w:line="198" w:lineRule="auto"/>
              <w:rPr>
                <w:sz w:val="21"/>
                <w:szCs w:val="21"/>
              </w:rPr>
            </w:pPr>
            <w:r>
              <w:rPr>
                <w:sz w:val="21"/>
                <w:szCs w:val="21"/>
                <w:spacing w:val="-3"/>
              </w:rPr>
              <w:t>测废液</w:t>
            </w:r>
          </w:p>
        </w:tc>
        <w:tc>
          <w:tcPr>
            <w:tcW w:w="709" w:type="dxa"/>
            <w:vAlign w:val="top"/>
          </w:tcPr>
          <w:p>
            <w:pPr>
              <w:pStyle w:val="TableText"/>
              <w:ind w:left="131"/>
              <w:spacing w:before="215" w:line="183" w:lineRule="auto"/>
              <w:rPr>
                <w:sz w:val="21"/>
                <w:szCs w:val="21"/>
              </w:rPr>
            </w:pPr>
            <w:r>
              <w:rPr>
                <w:sz w:val="21"/>
                <w:szCs w:val="21"/>
                <w:spacing w:val="-1"/>
              </w:rPr>
              <w:t>HW49</w:t>
            </w:r>
          </w:p>
        </w:tc>
        <w:tc>
          <w:tcPr>
            <w:tcW w:w="1049" w:type="dxa"/>
            <w:vAlign w:val="top"/>
          </w:tcPr>
          <w:p>
            <w:pPr>
              <w:pStyle w:val="TableText"/>
              <w:spacing w:before="182"/>
              <w:jc w:val="right"/>
              <w:rPr>
                <w:sz w:val="21"/>
                <w:szCs w:val="21"/>
              </w:rPr>
            </w:pPr>
            <w:r>
              <w:rPr>
                <w:sz w:val="21"/>
                <w:szCs w:val="21"/>
                <w:spacing w:val="-3"/>
              </w:rPr>
              <w:t>900-047-49</w:t>
            </w:r>
          </w:p>
        </w:tc>
        <w:tc>
          <w:tcPr>
            <w:tcW w:w="689" w:type="dxa"/>
            <w:vAlign w:val="top"/>
          </w:tcPr>
          <w:p>
            <w:pPr>
              <w:pStyle w:val="TableText"/>
              <w:ind w:left="172"/>
              <w:spacing w:before="182" w:line="239" w:lineRule="auto"/>
              <w:rPr>
                <w:sz w:val="21"/>
                <w:szCs w:val="21"/>
              </w:rPr>
            </w:pPr>
            <w:r>
              <w:rPr>
                <w:sz w:val="21"/>
                <w:szCs w:val="21"/>
                <w:spacing w:val="-3"/>
              </w:rPr>
              <w:t>0.1</w:t>
            </w:r>
          </w:p>
        </w:tc>
        <w:tc>
          <w:tcPr>
            <w:tcW w:w="879" w:type="dxa"/>
            <w:vAlign w:val="top"/>
          </w:tcPr>
          <w:p>
            <w:pPr>
              <w:pStyle w:val="TableText"/>
              <w:spacing w:before="162" w:line="220" w:lineRule="auto"/>
              <w:jc w:val="right"/>
              <w:rPr>
                <w:sz w:val="21"/>
                <w:szCs w:val="21"/>
              </w:rPr>
            </w:pPr>
            <w:r>
              <w:rPr>
                <w:sz w:val="21"/>
                <w:szCs w:val="21"/>
                <w:spacing w:val="3"/>
              </w:rPr>
              <w:t>在线监测</w:t>
            </w:r>
          </w:p>
        </w:tc>
        <w:tc>
          <w:tcPr>
            <w:tcW w:w="509" w:type="dxa"/>
            <w:vAlign w:val="top"/>
          </w:tcPr>
          <w:p>
            <w:pPr>
              <w:pStyle w:val="TableText"/>
              <w:ind w:left="35"/>
              <w:spacing w:before="162" w:line="220" w:lineRule="auto"/>
              <w:rPr>
                <w:sz w:val="21"/>
                <w:szCs w:val="21"/>
              </w:rPr>
            </w:pPr>
            <w:r>
              <w:rPr>
                <w:sz w:val="21"/>
                <w:szCs w:val="21"/>
                <w:spacing w:val="5"/>
              </w:rPr>
              <w:t>液态</w:t>
            </w:r>
          </w:p>
        </w:tc>
        <w:tc>
          <w:tcPr>
            <w:tcW w:w="1179" w:type="dxa"/>
            <w:vAlign w:val="top"/>
          </w:tcPr>
          <w:p>
            <w:pPr>
              <w:pStyle w:val="TableText"/>
              <w:ind w:left="363" w:hanging="348"/>
              <w:spacing w:before="21" w:line="208" w:lineRule="auto"/>
              <w:rPr>
                <w:sz w:val="21"/>
                <w:szCs w:val="21"/>
              </w:rPr>
            </w:pPr>
            <w:r>
              <w:rPr>
                <w:sz w:val="21"/>
                <w:szCs w:val="21"/>
                <w:spacing w:val="-19"/>
                <w:w w:val="99"/>
              </w:rPr>
              <w:t>酸及</w:t>
            </w:r>
            <w:r>
              <w:rPr>
                <w:sz w:val="21"/>
                <w:szCs w:val="21"/>
                <w:spacing w:val="-18"/>
                <w:w w:val="99"/>
              </w:rPr>
              <w:t>汞铬等</w:t>
            </w:r>
            <w:r>
              <w:rPr>
                <w:sz w:val="21"/>
                <w:szCs w:val="21"/>
                <w:spacing w:val="-10"/>
                <w:w w:val="99"/>
              </w:rPr>
              <w:t>重</w:t>
            </w:r>
            <w:r>
              <w:rPr>
                <w:sz w:val="21"/>
                <w:szCs w:val="21"/>
                <w:spacing w:val="6"/>
              </w:rPr>
              <w:t xml:space="preserve"> </w:t>
            </w:r>
            <w:r>
              <w:rPr>
                <w:sz w:val="21"/>
                <w:szCs w:val="21"/>
                <w:spacing w:val="7"/>
              </w:rPr>
              <w:t>金属</w:t>
            </w:r>
          </w:p>
        </w:tc>
        <w:tc>
          <w:tcPr>
            <w:tcW w:w="1039" w:type="dxa"/>
            <w:vAlign w:val="top"/>
          </w:tcPr>
          <w:p>
            <w:pPr>
              <w:pStyle w:val="TableText"/>
              <w:ind w:left="195" w:hanging="178"/>
              <w:spacing w:before="21" w:line="214" w:lineRule="auto"/>
              <w:rPr>
                <w:sz w:val="21"/>
                <w:szCs w:val="21"/>
              </w:rPr>
            </w:pPr>
            <w:r>
              <w:rPr>
                <w:sz w:val="21"/>
                <w:szCs w:val="21"/>
                <w:spacing w:val="-8"/>
              </w:rPr>
              <w:t>酸及汞铬等</w:t>
            </w:r>
            <w:r>
              <w:rPr>
                <w:sz w:val="21"/>
                <w:szCs w:val="21"/>
              </w:rPr>
              <w:t xml:space="preserve"> </w:t>
            </w:r>
            <w:r>
              <w:rPr>
                <w:sz w:val="21"/>
                <w:szCs w:val="21"/>
                <w:spacing w:val="4"/>
              </w:rPr>
              <w:t>重金属</w:t>
            </w:r>
          </w:p>
        </w:tc>
        <w:tc>
          <w:tcPr>
            <w:tcW w:w="649" w:type="dxa"/>
            <w:vAlign w:val="top"/>
          </w:tcPr>
          <w:p>
            <w:pPr>
              <w:pStyle w:val="TableText"/>
              <w:ind w:left="267"/>
              <w:spacing w:before="167" w:line="224" w:lineRule="auto"/>
              <w:rPr>
                <w:sz w:val="21"/>
                <w:szCs w:val="21"/>
              </w:rPr>
            </w:pPr>
            <w:r>
              <w:rPr>
                <w:sz w:val="21"/>
                <w:szCs w:val="21"/>
              </w:rPr>
              <w:t>/</w:t>
            </w:r>
          </w:p>
        </w:tc>
        <w:tc>
          <w:tcPr>
            <w:tcW w:w="409" w:type="dxa"/>
            <w:vAlign w:val="top"/>
          </w:tcPr>
          <w:p>
            <w:pPr>
              <w:pStyle w:val="TableText"/>
              <w:ind w:left="38" w:hanging="19"/>
              <w:spacing w:before="66" w:line="194" w:lineRule="auto"/>
              <w:rPr>
                <w:sz w:val="21"/>
                <w:szCs w:val="21"/>
              </w:rPr>
            </w:pPr>
            <w:r>
              <w:rPr>
                <w:sz w:val="21"/>
                <w:szCs w:val="21"/>
                <w:spacing w:val="-12"/>
              </w:rPr>
              <w:t>T/</w:t>
            </w:r>
            <w:r>
              <w:rPr>
                <w:sz w:val="21"/>
                <w:szCs w:val="21"/>
                <w:spacing w:val="-11"/>
              </w:rPr>
              <w:t>C</w:t>
            </w:r>
            <w:r>
              <w:rPr>
                <w:sz w:val="21"/>
                <w:szCs w:val="21"/>
                <w:spacing w:val="-9"/>
              </w:rPr>
              <w:t>/</w:t>
            </w:r>
            <w:r>
              <w:rPr>
                <w:sz w:val="21"/>
                <w:szCs w:val="21"/>
                <w:spacing w:val="2"/>
              </w:rPr>
              <w:t xml:space="preserve"> </w:t>
            </w:r>
            <w:r>
              <w:rPr>
                <w:sz w:val="21"/>
                <w:szCs w:val="21"/>
                <w:spacing w:val="-6"/>
              </w:rPr>
              <w:t>I/R</w:t>
            </w:r>
          </w:p>
        </w:tc>
        <w:tc>
          <w:tcPr>
            <w:tcW w:w="650" w:type="dxa"/>
            <w:vAlign w:val="top"/>
          </w:tcPr>
          <w:p>
            <w:pPr>
              <w:pStyle w:val="TableText"/>
              <w:spacing w:before="47" w:line="206" w:lineRule="auto"/>
              <w:jc w:val="right"/>
              <w:rPr>
                <w:sz w:val="21"/>
                <w:szCs w:val="21"/>
              </w:rPr>
            </w:pPr>
            <w:r>
              <w:rPr>
                <w:sz w:val="21"/>
                <w:szCs w:val="21"/>
                <w:spacing w:val="-17"/>
              </w:rPr>
              <w:t>,</w:t>
            </w:r>
            <w:r>
              <w:rPr>
                <w:sz w:val="21"/>
                <w:szCs w:val="21"/>
                <w:spacing w:val="-37"/>
              </w:rPr>
              <w:t xml:space="preserve"> </w:t>
            </w:r>
            <w:r>
              <w:rPr>
                <w:sz w:val="21"/>
                <w:szCs w:val="21"/>
                <w:spacing w:val="-17"/>
              </w:rPr>
              <w:t>落</w:t>
            </w:r>
            <w:r>
              <w:rPr>
                <w:sz w:val="21"/>
                <w:szCs w:val="21"/>
                <w:spacing w:val="-34"/>
              </w:rPr>
              <w:t xml:space="preserve"> </w:t>
            </w:r>
            <w:r>
              <w:rPr>
                <w:sz w:val="21"/>
                <w:szCs w:val="21"/>
                <w:spacing w:val="-11"/>
              </w:rPr>
              <w:t>实</w:t>
            </w:r>
          </w:p>
          <w:p>
            <w:pPr>
              <w:pStyle w:val="TableText"/>
              <w:spacing w:line="198" w:lineRule="auto"/>
              <w:jc w:val="right"/>
              <w:rPr>
                <w:sz w:val="21"/>
                <w:szCs w:val="21"/>
              </w:rPr>
            </w:pPr>
            <w:r>
              <w:rPr>
                <w:sz w:val="21"/>
                <w:szCs w:val="21"/>
                <w:spacing w:val="-4"/>
              </w:rPr>
              <w:t>危险废</w:t>
            </w:r>
          </w:p>
        </w:tc>
      </w:tr>
      <w:tr>
        <w:trPr>
          <w:trHeight w:val="548" w:hRule="atLeast"/>
        </w:trPr>
        <w:tc>
          <w:tcPr>
            <w:tcW w:w="964" w:type="dxa"/>
            <w:vAlign w:val="top"/>
          </w:tcPr>
          <w:p>
            <w:pPr>
              <w:pStyle w:val="TableText"/>
              <w:ind w:left="155" w:right="176" w:firstLine="109"/>
              <w:spacing w:before="32" w:line="222" w:lineRule="auto"/>
              <w:rPr>
                <w:sz w:val="21"/>
                <w:szCs w:val="21"/>
              </w:rPr>
            </w:pPr>
            <w:r>
              <w:rPr>
                <w:sz w:val="21"/>
                <w:szCs w:val="21"/>
                <w:spacing w:val="-5"/>
              </w:rPr>
              <w:t>检疫</w:t>
            </w:r>
            <w:r>
              <w:rPr>
                <w:sz w:val="21"/>
                <w:szCs w:val="21"/>
              </w:rPr>
              <w:t xml:space="preserve">  </w:t>
            </w:r>
            <w:r>
              <w:rPr>
                <w:sz w:val="21"/>
                <w:szCs w:val="21"/>
                <w:spacing w:val="-3"/>
              </w:rPr>
              <w:t>废弃物</w:t>
            </w:r>
          </w:p>
        </w:tc>
        <w:tc>
          <w:tcPr>
            <w:tcW w:w="709" w:type="dxa"/>
            <w:vAlign w:val="top"/>
          </w:tcPr>
          <w:p>
            <w:pPr>
              <w:pStyle w:val="TableText"/>
              <w:ind w:left="131"/>
              <w:spacing w:before="226" w:line="184" w:lineRule="auto"/>
              <w:rPr>
                <w:sz w:val="21"/>
                <w:szCs w:val="21"/>
              </w:rPr>
            </w:pPr>
            <w:r>
              <w:rPr>
                <w:sz w:val="21"/>
                <w:szCs w:val="21"/>
                <w:spacing w:val="-1"/>
              </w:rPr>
              <w:t>HWO1</w:t>
            </w:r>
          </w:p>
        </w:tc>
        <w:tc>
          <w:tcPr>
            <w:tcW w:w="1049" w:type="dxa"/>
            <w:vAlign w:val="top"/>
          </w:tcPr>
          <w:p>
            <w:pPr>
              <w:pStyle w:val="TableText"/>
              <w:spacing w:before="194"/>
              <w:jc w:val="right"/>
              <w:rPr>
                <w:sz w:val="21"/>
                <w:szCs w:val="21"/>
              </w:rPr>
            </w:pPr>
            <w:r>
              <w:rPr>
                <w:sz w:val="21"/>
                <w:szCs w:val="21"/>
                <w:spacing w:val="-3"/>
              </w:rPr>
              <w:t>841-001-01</w:t>
            </w:r>
          </w:p>
        </w:tc>
        <w:tc>
          <w:tcPr>
            <w:tcW w:w="689" w:type="dxa"/>
            <w:vAlign w:val="top"/>
          </w:tcPr>
          <w:p>
            <w:pPr>
              <w:pStyle w:val="TableText"/>
              <w:ind w:left="123"/>
              <w:spacing w:before="194" w:line="239" w:lineRule="auto"/>
              <w:rPr>
                <w:sz w:val="21"/>
                <w:szCs w:val="21"/>
              </w:rPr>
            </w:pPr>
            <w:r>
              <w:rPr>
                <w:sz w:val="21"/>
                <w:szCs w:val="21"/>
                <w:spacing w:val="-2"/>
              </w:rPr>
              <w:t>0.02</w:t>
            </w:r>
          </w:p>
        </w:tc>
        <w:tc>
          <w:tcPr>
            <w:tcW w:w="879" w:type="dxa"/>
            <w:vAlign w:val="top"/>
          </w:tcPr>
          <w:p>
            <w:pPr>
              <w:pStyle w:val="TableText"/>
              <w:ind w:left="13"/>
              <w:spacing w:before="173" w:line="219" w:lineRule="auto"/>
              <w:rPr>
                <w:sz w:val="21"/>
                <w:szCs w:val="21"/>
              </w:rPr>
            </w:pPr>
            <w:r>
              <w:rPr>
                <w:sz w:val="21"/>
                <w:szCs w:val="21"/>
                <w:spacing w:val="-2"/>
              </w:rPr>
              <w:t>检验检疫</w:t>
            </w:r>
          </w:p>
        </w:tc>
        <w:tc>
          <w:tcPr>
            <w:tcW w:w="509" w:type="dxa"/>
            <w:vAlign w:val="top"/>
          </w:tcPr>
          <w:p>
            <w:pPr>
              <w:pStyle w:val="TableText"/>
              <w:ind w:left="35"/>
              <w:spacing w:before="174" w:line="220" w:lineRule="auto"/>
              <w:rPr>
                <w:sz w:val="21"/>
                <w:szCs w:val="21"/>
              </w:rPr>
            </w:pPr>
            <w:r>
              <w:rPr>
                <w:sz w:val="21"/>
                <w:szCs w:val="21"/>
                <w:spacing w:val="5"/>
              </w:rPr>
              <w:t>固态</w:t>
            </w:r>
          </w:p>
        </w:tc>
        <w:tc>
          <w:tcPr>
            <w:tcW w:w="1179" w:type="dxa"/>
            <w:vAlign w:val="top"/>
          </w:tcPr>
          <w:p>
            <w:pPr>
              <w:pStyle w:val="TableText"/>
              <w:ind w:left="373" w:hanging="358"/>
              <w:spacing w:before="44" w:line="217" w:lineRule="auto"/>
              <w:rPr>
                <w:sz w:val="21"/>
                <w:szCs w:val="21"/>
              </w:rPr>
            </w:pPr>
            <w:r>
              <w:rPr>
                <w:sz w:val="21"/>
                <w:szCs w:val="21"/>
                <w:spacing w:val="-20"/>
              </w:rPr>
              <w:t>废弃针</w:t>
            </w:r>
            <w:r>
              <w:rPr>
                <w:sz w:val="21"/>
                <w:szCs w:val="21"/>
                <w:spacing w:val="-19"/>
              </w:rPr>
              <w:t>头、</w:t>
            </w:r>
            <w:r>
              <w:rPr>
                <w:sz w:val="21"/>
                <w:szCs w:val="21"/>
                <w:spacing w:val="-10"/>
              </w:rPr>
              <w:t>器</w:t>
            </w:r>
            <w:r>
              <w:rPr>
                <w:sz w:val="21"/>
                <w:szCs w:val="21"/>
              </w:rPr>
              <w:t xml:space="preserve"> </w:t>
            </w:r>
            <w:r>
              <w:rPr>
                <w:sz w:val="21"/>
                <w:szCs w:val="21"/>
                <w:spacing w:val="-3"/>
              </w:rPr>
              <w:t>皿等</w:t>
            </w:r>
          </w:p>
        </w:tc>
        <w:tc>
          <w:tcPr>
            <w:tcW w:w="1039" w:type="dxa"/>
            <w:vAlign w:val="top"/>
            <w:textDirection w:val="tbRlV"/>
          </w:tcPr>
          <w:p>
            <w:pPr>
              <w:spacing w:line="390" w:lineRule="auto"/>
              <w:rPr>
                <w:rFonts w:ascii="Arial"/>
                <w:sz w:val="21"/>
              </w:rPr>
            </w:pPr>
            <w:r/>
          </w:p>
          <w:p>
            <w:pPr>
              <w:pStyle w:val="TableText"/>
              <w:ind w:left="145"/>
              <w:spacing w:before="70" w:line="137" w:lineRule="exact"/>
              <w:rPr>
                <w:sz w:val="21"/>
                <w:szCs w:val="21"/>
              </w:rPr>
            </w:pPr>
            <w:r>
              <w:rPr>
                <w:sz w:val="21"/>
                <w:szCs w:val="21"/>
                <w:color w:val="303040"/>
                <w:spacing w:val="52"/>
                <w:w w:val="141"/>
                <w:position w:val="-1"/>
              </w:rPr>
              <w:t>/</w:t>
            </w:r>
          </w:p>
        </w:tc>
        <w:tc>
          <w:tcPr>
            <w:tcW w:w="649" w:type="dxa"/>
            <w:vAlign w:val="top"/>
          </w:tcPr>
          <w:p>
            <w:pPr>
              <w:pStyle w:val="TableText"/>
              <w:ind w:left="267"/>
              <w:spacing w:before="179" w:line="224" w:lineRule="auto"/>
              <w:rPr>
                <w:sz w:val="21"/>
                <w:szCs w:val="21"/>
              </w:rPr>
            </w:pPr>
            <w:r>
              <w:rPr>
                <w:sz w:val="21"/>
                <w:szCs w:val="21"/>
              </w:rPr>
              <w:t>/</w:t>
            </w:r>
          </w:p>
        </w:tc>
        <w:tc>
          <w:tcPr>
            <w:tcW w:w="409" w:type="dxa"/>
            <w:vAlign w:val="top"/>
          </w:tcPr>
          <w:p>
            <w:pPr>
              <w:pStyle w:val="TableText"/>
              <w:ind w:left="98"/>
              <w:spacing w:before="194" w:line="241" w:lineRule="auto"/>
              <w:rPr>
                <w:sz w:val="21"/>
                <w:szCs w:val="21"/>
              </w:rPr>
            </w:pPr>
            <w:r>
              <w:rPr>
                <w:sz w:val="21"/>
                <w:szCs w:val="21"/>
                <w:spacing w:val="-5"/>
              </w:rPr>
              <w:t>In</w:t>
            </w:r>
          </w:p>
        </w:tc>
        <w:tc>
          <w:tcPr>
            <w:tcW w:w="650" w:type="dxa"/>
            <w:vAlign w:val="top"/>
            <w:vMerge w:val="restart"/>
            <w:tcBorders>
              <w:bottom w:val="nil"/>
            </w:tcBorders>
          </w:tcPr>
          <w:p>
            <w:pPr>
              <w:pStyle w:val="TableText"/>
              <w:spacing w:before="44" w:line="220" w:lineRule="auto"/>
              <w:jc w:val="right"/>
              <w:rPr>
                <w:sz w:val="21"/>
                <w:szCs w:val="21"/>
              </w:rPr>
            </w:pPr>
            <w:r>
              <w:rPr>
                <w:sz w:val="21"/>
                <w:szCs w:val="21"/>
                <w:spacing w:val="-4"/>
              </w:rPr>
              <w:t>物转移</w:t>
            </w:r>
          </w:p>
          <w:p>
            <w:pPr>
              <w:pStyle w:val="TableText"/>
              <w:ind w:left="158" w:hanging="139"/>
              <w:spacing w:before="29" w:line="231" w:lineRule="auto"/>
              <w:rPr>
                <w:sz w:val="21"/>
                <w:szCs w:val="21"/>
              </w:rPr>
            </w:pPr>
            <w:r>
              <w:rPr>
                <w:sz w:val="21"/>
                <w:szCs w:val="21"/>
                <w:spacing w:val="-4"/>
              </w:rPr>
              <w:t>联单制</w:t>
            </w:r>
            <w:r>
              <w:rPr>
                <w:sz w:val="21"/>
                <w:szCs w:val="21"/>
                <w:spacing w:val="1"/>
              </w:rPr>
              <w:t xml:space="preserve"> </w:t>
            </w:r>
            <w:r>
              <w:rPr>
                <w:sz w:val="21"/>
                <w:szCs w:val="21"/>
                <w:spacing w:val="-2"/>
              </w:rPr>
              <w:t>度。</w:t>
            </w:r>
          </w:p>
        </w:tc>
      </w:tr>
      <w:tr>
        <w:trPr>
          <w:trHeight w:val="269" w:hRule="atLeast"/>
        </w:trPr>
        <w:tc>
          <w:tcPr>
            <w:tcW w:w="964" w:type="dxa"/>
            <w:vAlign w:val="top"/>
          </w:tcPr>
          <w:p>
            <w:pPr>
              <w:pStyle w:val="TableText"/>
              <w:ind w:left="155"/>
              <w:spacing w:before="34" w:line="197" w:lineRule="auto"/>
              <w:rPr>
                <w:sz w:val="21"/>
                <w:szCs w:val="21"/>
              </w:rPr>
            </w:pPr>
            <w:r>
              <w:rPr>
                <w:sz w:val="21"/>
                <w:szCs w:val="21"/>
                <w:spacing w:val="7"/>
              </w:rPr>
              <w:t>废机油</w:t>
            </w:r>
          </w:p>
        </w:tc>
        <w:tc>
          <w:tcPr>
            <w:tcW w:w="709" w:type="dxa"/>
            <w:vAlign w:val="top"/>
          </w:tcPr>
          <w:p>
            <w:pPr>
              <w:pStyle w:val="TableText"/>
              <w:ind w:left="131"/>
              <w:spacing w:before="89" w:line="170" w:lineRule="exact"/>
              <w:rPr>
                <w:sz w:val="21"/>
                <w:szCs w:val="21"/>
              </w:rPr>
            </w:pPr>
            <w:r>
              <w:rPr>
                <w:sz w:val="21"/>
                <w:szCs w:val="21"/>
                <w:spacing w:val="-1"/>
                <w:position w:val="-2"/>
              </w:rPr>
              <w:t>HW08</w:t>
            </w:r>
          </w:p>
        </w:tc>
        <w:tc>
          <w:tcPr>
            <w:tcW w:w="1049" w:type="dxa"/>
            <w:vAlign w:val="top"/>
          </w:tcPr>
          <w:p>
            <w:pPr>
              <w:pStyle w:val="TableText"/>
              <w:spacing w:before="56" w:line="178" w:lineRule="auto"/>
              <w:jc w:val="right"/>
              <w:rPr>
                <w:sz w:val="21"/>
                <w:szCs w:val="21"/>
              </w:rPr>
            </w:pPr>
            <w:r>
              <w:rPr>
                <w:sz w:val="21"/>
                <w:szCs w:val="21"/>
                <w:spacing w:val="-3"/>
              </w:rPr>
              <w:t>900-249-08</w:t>
            </w:r>
          </w:p>
        </w:tc>
        <w:tc>
          <w:tcPr>
            <w:tcW w:w="689" w:type="dxa"/>
            <w:vAlign w:val="top"/>
          </w:tcPr>
          <w:p>
            <w:pPr>
              <w:pStyle w:val="TableText"/>
              <w:ind w:left="172"/>
              <w:spacing w:before="56" w:line="178" w:lineRule="auto"/>
              <w:rPr>
                <w:sz w:val="21"/>
                <w:szCs w:val="21"/>
              </w:rPr>
            </w:pPr>
            <w:r>
              <w:rPr>
                <w:sz w:val="21"/>
                <w:szCs w:val="21"/>
                <w:spacing w:val="-3"/>
              </w:rPr>
              <w:t>0.2</w:t>
            </w:r>
          </w:p>
        </w:tc>
        <w:tc>
          <w:tcPr>
            <w:tcW w:w="879" w:type="dxa"/>
            <w:vAlign w:val="top"/>
            <w:vMerge w:val="restart"/>
            <w:tcBorders>
              <w:bottom w:val="nil"/>
            </w:tcBorders>
          </w:tcPr>
          <w:p>
            <w:pPr>
              <w:pStyle w:val="TableText"/>
              <w:ind w:left="114"/>
              <w:spacing w:before="176" w:line="220" w:lineRule="auto"/>
              <w:rPr>
                <w:sz w:val="21"/>
                <w:szCs w:val="21"/>
              </w:rPr>
            </w:pPr>
            <w:r>
              <w:rPr>
                <w:sz w:val="21"/>
                <w:szCs w:val="21"/>
                <w:spacing w:val="3"/>
              </w:rPr>
              <w:t>设备维</w:t>
            </w:r>
          </w:p>
          <w:p>
            <w:pPr>
              <w:pStyle w:val="TableText"/>
              <w:ind w:left="114"/>
              <w:spacing w:before="29" w:line="219" w:lineRule="auto"/>
              <w:rPr>
                <w:sz w:val="21"/>
                <w:szCs w:val="21"/>
              </w:rPr>
            </w:pPr>
            <w:r>
              <w:rPr>
                <w:sz w:val="21"/>
                <w:szCs w:val="21"/>
                <w:spacing w:val="-3"/>
              </w:rPr>
              <w:t>护保养</w:t>
            </w:r>
          </w:p>
        </w:tc>
        <w:tc>
          <w:tcPr>
            <w:tcW w:w="509" w:type="dxa"/>
            <w:vAlign w:val="top"/>
          </w:tcPr>
          <w:p>
            <w:pPr>
              <w:pStyle w:val="TableText"/>
              <w:ind w:left="35"/>
              <w:spacing w:before="36" w:line="196" w:lineRule="auto"/>
              <w:rPr>
                <w:sz w:val="21"/>
                <w:szCs w:val="21"/>
              </w:rPr>
            </w:pPr>
            <w:r>
              <w:rPr>
                <w:sz w:val="21"/>
                <w:szCs w:val="21"/>
                <w:spacing w:val="5"/>
              </w:rPr>
              <w:t>液态</w:t>
            </w:r>
          </w:p>
        </w:tc>
        <w:tc>
          <w:tcPr>
            <w:tcW w:w="1179" w:type="dxa"/>
            <w:vAlign w:val="top"/>
          </w:tcPr>
          <w:p>
            <w:pPr>
              <w:pStyle w:val="TableText"/>
              <w:ind w:left="265"/>
              <w:spacing w:before="34" w:line="197" w:lineRule="auto"/>
              <w:rPr>
                <w:sz w:val="21"/>
                <w:szCs w:val="21"/>
              </w:rPr>
            </w:pPr>
            <w:r>
              <w:rPr>
                <w:sz w:val="21"/>
                <w:szCs w:val="21"/>
                <w:spacing w:val="7"/>
              </w:rPr>
              <w:t>矿物油</w:t>
            </w:r>
          </w:p>
        </w:tc>
        <w:tc>
          <w:tcPr>
            <w:tcW w:w="1039" w:type="dxa"/>
            <w:vAlign w:val="top"/>
          </w:tcPr>
          <w:p>
            <w:pPr>
              <w:pStyle w:val="TableText"/>
              <w:ind w:left="196"/>
              <w:spacing w:before="34" w:line="197" w:lineRule="auto"/>
              <w:rPr>
                <w:sz w:val="21"/>
                <w:szCs w:val="21"/>
              </w:rPr>
            </w:pPr>
            <w:r>
              <w:rPr>
                <w:sz w:val="21"/>
                <w:szCs w:val="21"/>
                <w:spacing w:val="7"/>
              </w:rPr>
              <w:t>矿物油</w:t>
            </w:r>
          </w:p>
        </w:tc>
        <w:tc>
          <w:tcPr>
            <w:tcW w:w="649" w:type="dxa"/>
            <w:vAlign w:val="top"/>
          </w:tcPr>
          <w:p>
            <w:pPr>
              <w:pStyle w:val="TableText"/>
              <w:spacing w:before="34" w:line="197" w:lineRule="auto"/>
              <w:jc w:val="right"/>
              <w:rPr>
                <w:sz w:val="21"/>
                <w:szCs w:val="21"/>
              </w:rPr>
            </w:pPr>
            <w:r>
              <w:rPr>
                <w:sz w:val="21"/>
                <w:szCs w:val="21"/>
                <w:spacing w:val="-3"/>
              </w:rPr>
              <w:t>12个月</w:t>
            </w:r>
          </w:p>
        </w:tc>
        <w:tc>
          <w:tcPr>
            <w:tcW w:w="409" w:type="dxa"/>
            <w:vAlign w:val="top"/>
          </w:tcPr>
          <w:p>
            <w:pPr>
              <w:pStyle w:val="TableText"/>
              <w:ind w:left="39"/>
              <w:spacing w:before="66" w:line="169" w:lineRule="auto"/>
              <w:rPr>
                <w:sz w:val="21"/>
                <w:szCs w:val="21"/>
              </w:rPr>
            </w:pPr>
            <w:r>
              <w:rPr>
                <w:sz w:val="21"/>
                <w:szCs w:val="21"/>
                <w:spacing w:val="-2"/>
              </w:rPr>
              <w:t>T,I</w:t>
            </w:r>
          </w:p>
        </w:tc>
        <w:tc>
          <w:tcPr>
            <w:tcW w:w="650" w:type="dxa"/>
            <w:vAlign w:val="top"/>
            <w:vMerge w:val="continue"/>
            <w:tcBorders>
              <w:top w:val="nil"/>
              <w:bottom w:val="nil"/>
            </w:tcBorders>
          </w:tcPr>
          <w:p>
            <w:pPr>
              <w:rPr>
                <w:rFonts w:ascii="Arial"/>
                <w:sz w:val="21"/>
              </w:rPr>
            </w:pPr>
            <w:r/>
          </w:p>
        </w:tc>
      </w:tr>
      <w:tr>
        <w:trPr>
          <w:trHeight w:val="552" w:hRule="atLeast"/>
        </w:trPr>
        <w:tc>
          <w:tcPr>
            <w:tcW w:w="964" w:type="dxa"/>
            <w:vAlign w:val="top"/>
          </w:tcPr>
          <w:p>
            <w:pPr>
              <w:pStyle w:val="TableText"/>
              <w:ind w:left="155"/>
              <w:spacing w:before="46" w:line="219" w:lineRule="auto"/>
              <w:rPr>
                <w:sz w:val="21"/>
                <w:szCs w:val="21"/>
              </w:rPr>
            </w:pPr>
            <w:r>
              <w:rPr>
                <w:sz w:val="21"/>
                <w:szCs w:val="21"/>
                <w:spacing w:val="4"/>
              </w:rPr>
              <w:t>含油棉</w:t>
            </w:r>
          </w:p>
          <w:p>
            <w:pPr>
              <w:pStyle w:val="TableText"/>
              <w:ind w:left="155"/>
              <w:spacing w:before="1" w:line="215" w:lineRule="auto"/>
              <w:rPr>
                <w:sz w:val="21"/>
                <w:szCs w:val="21"/>
              </w:rPr>
            </w:pPr>
            <w:r>
              <w:rPr>
                <w:sz w:val="21"/>
                <w:szCs w:val="21"/>
                <w:spacing w:val="3"/>
              </w:rPr>
              <w:t>纱手套</w:t>
            </w:r>
          </w:p>
        </w:tc>
        <w:tc>
          <w:tcPr>
            <w:tcW w:w="709" w:type="dxa"/>
            <w:vAlign w:val="top"/>
          </w:tcPr>
          <w:p>
            <w:pPr>
              <w:pStyle w:val="TableText"/>
              <w:ind w:left="131"/>
              <w:spacing w:before="230" w:line="183" w:lineRule="auto"/>
              <w:rPr>
                <w:sz w:val="21"/>
                <w:szCs w:val="21"/>
              </w:rPr>
            </w:pPr>
            <w:r>
              <w:rPr>
                <w:sz w:val="21"/>
                <w:szCs w:val="21"/>
                <w:spacing w:val="-1"/>
              </w:rPr>
              <w:t>HW49</w:t>
            </w:r>
          </w:p>
        </w:tc>
        <w:tc>
          <w:tcPr>
            <w:tcW w:w="1049" w:type="dxa"/>
            <w:vAlign w:val="top"/>
          </w:tcPr>
          <w:p>
            <w:pPr>
              <w:pStyle w:val="TableText"/>
              <w:spacing w:before="197"/>
              <w:jc w:val="right"/>
              <w:rPr>
                <w:sz w:val="21"/>
                <w:szCs w:val="21"/>
              </w:rPr>
            </w:pPr>
            <w:r>
              <w:rPr>
                <w:sz w:val="21"/>
                <w:szCs w:val="21"/>
                <w:spacing w:val="-3"/>
              </w:rPr>
              <w:t>900-041-49</w:t>
            </w:r>
          </w:p>
        </w:tc>
        <w:tc>
          <w:tcPr>
            <w:tcW w:w="689" w:type="dxa"/>
            <w:vAlign w:val="top"/>
          </w:tcPr>
          <w:p>
            <w:pPr>
              <w:pStyle w:val="TableText"/>
              <w:ind w:left="172"/>
              <w:spacing w:before="197" w:line="239" w:lineRule="auto"/>
              <w:rPr>
                <w:sz w:val="21"/>
                <w:szCs w:val="21"/>
              </w:rPr>
            </w:pPr>
            <w:r>
              <w:rPr>
                <w:sz w:val="21"/>
                <w:szCs w:val="21"/>
                <w:spacing w:val="-3"/>
              </w:rPr>
              <w:t>0.1</w:t>
            </w:r>
          </w:p>
        </w:tc>
        <w:tc>
          <w:tcPr>
            <w:tcW w:w="879" w:type="dxa"/>
            <w:vAlign w:val="top"/>
            <w:vMerge w:val="continue"/>
            <w:tcBorders>
              <w:top w:val="nil"/>
            </w:tcBorders>
          </w:tcPr>
          <w:p>
            <w:pPr>
              <w:rPr>
                <w:rFonts w:ascii="Arial"/>
                <w:sz w:val="21"/>
              </w:rPr>
            </w:pPr>
            <w:r/>
          </w:p>
        </w:tc>
        <w:tc>
          <w:tcPr>
            <w:tcW w:w="509" w:type="dxa"/>
            <w:vAlign w:val="top"/>
          </w:tcPr>
          <w:p>
            <w:pPr>
              <w:pStyle w:val="TableText"/>
              <w:ind w:left="35"/>
              <w:spacing w:before="177" w:line="220" w:lineRule="auto"/>
              <w:rPr>
                <w:sz w:val="21"/>
                <w:szCs w:val="21"/>
              </w:rPr>
            </w:pPr>
            <w:r>
              <w:rPr>
                <w:sz w:val="21"/>
                <w:szCs w:val="21"/>
                <w:spacing w:val="5"/>
              </w:rPr>
              <w:t>固态</w:t>
            </w:r>
          </w:p>
        </w:tc>
        <w:tc>
          <w:tcPr>
            <w:tcW w:w="1179" w:type="dxa"/>
            <w:vAlign w:val="top"/>
          </w:tcPr>
          <w:p>
            <w:pPr>
              <w:pStyle w:val="TableText"/>
              <w:ind w:left="265"/>
              <w:spacing w:before="176" w:line="219" w:lineRule="auto"/>
              <w:rPr>
                <w:sz w:val="21"/>
                <w:szCs w:val="21"/>
              </w:rPr>
            </w:pPr>
            <w:r>
              <w:rPr>
                <w:sz w:val="21"/>
                <w:szCs w:val="21"/>
                <w:spacing w:val="7"/>
              </w:rPr>
              <w:t>矿物油</w:t>
            </w:r>
          </w:p>
        </w:tc>
        <w:tc>
          <w:tcPr>
            <w:tcW w:w="1039" w:type="dxa"/>
            <w:vAlign w:val="top"/>
          </w:tcPr>
          <w:p>
            <w:pPr>
              <w:pStyle w:val="TableText"/>
              <w:ind w:left="196"/>
              <w:spacing w:before="176" w:line="219" w:lineRule="auto"/>
              <w:rPr>
                <w:sz w:val="21"/>
                <w:szCs w:val="21"/>
              </w:rPr>
            </w:pPr>
            <w:r>
              <w:rPr>
                <w:sz w:val="21"/>
                <w:szCs w:val="21"/>
                <w:spacing w:val="7"/>
              </w:rPr>
              <w:t>矿物油</w:t>
            </w:r>
          </w:p>
        </w:tc>
        <w:tc>
          <w:tcPr>
            <w:tcW w:w="649" w:type="dxa"/>
            <w:vAlign w:val="top"/>
          </w:tcPr>
          <w:p>
            <w:pPr>
              <w:pStyle w:val="TableText"/>
              <w:ind w:left="58"/>
              <w:spacing w:before="176" w:line="219" w:lineRule="auto"/>
              <w:rPr>
                <w:sz w:val="21"/>
                <w:szCs w:val="21"/>
              </w:rPr>
            </w:pPr>
            <w:r>
              <w:rPr>
                <w:sz w:val="21"/>
                <w:szCs w:val="21"/>
                <w:spacing w:val="12"/>
              </w:rPr>
              <w:t>4个月</w:t>
            </w:r>
          </w:p>
        </w:tc>
        <w:tc>
          <w:tcPr>
            <w:tcW w:w="409" w:type="dxa"/>
            <w:vAlign w:val="top"/>
          </w:tcPr>
          <w:p>
            <w:pPr>
              <w:pStyle w:val="TableText"/>
              <w:spacing w:before="182" w:line="224" w:lineRule="auto"/>
              <w:jc w:val="right"/>
              <w:rPr>
                <w:sz w:val="21"/>
                <w:szCs w:val="21"/>
              </w:rPr>
            </w:pPr>
            <w:r>
              <w:rPr>
                <w:sz w:val="21"/>
                <w:szCs w:val="21"/>
                <w:spacing w:val="-13"/>
              </w:rPr>
              <w:t>T</w:t>
            </w:r>
            <w:r>
              <w:rPr>
                <w:sz w:val="21"/>
                <w:szCs w:val="21"/>
                <w:spacing w:val="-12"/>
              </w:rPr>
              <w:t>/I</w:t>
            </w:r>
            <w:r>
              <w:rPr>
                <w:sz w:val="21"/>
                <w:szCs w:val="21"/>
                <w:spacing w:val="-7"/>
              </w:rPr>
              <w:t>n</w:t>
            </w:r>
          </w:p>
        </w:tc>
        <w:tc>
          <w:tcPr>
            <w:tcW w:w="650" w:type="dxa"/>
            <w:vAlign w:val="top"/>
            <w:vMerge w:val="continue"/>
            <w:tcBorders>
              <w:top w:val="nil"/>
            </w:tcBorders>
          </w:tcPr>
          <w:p>
            <w:pPr>
              <w:rPr>
                <w:rFonts w:ascii="Arial"/>
                <w:sz w:val="21"/>
              </w:rPr>
            </w:pPr>
            <w:r/>
          </w:p>
        </w:tc>
      </w:tr>
    </w:tbl>
    <w:p>
      <w:pPr>
        <w:ind w:left="1848"/>
        <w:spacing w:before="90" w:line="207" w:lineRule="auto"/>
        <w:rPr>
          <w:rFonts w:ascii="SimSun" w:hAnsi="SimSun" w:eastAsia="SimSun" w:cs="SimSun"/>
          <w:sz w:val="24"/>
          <w:szCs w:val="24"/>
        </w:rPr>
      </w:pPr>
      <w:r>
        <w:rPr>
          <w:rFonts w:ascii="SimSun" w:hAnsi="SimSun" w:eastAsia="SimSun" w:cs="SimSun"/>
          <w:sz w:val="24"/>
          <w:szCs w:val="24"/>
          <w:b/>
          <w:bCs/>
          <w:spacing w:val="-3"/>
        </w:rPr>
        <w:t>表3.11-34危险废物贮存场所(设施)基本情况表</w:t>
      </w:r>
    </w:p>
    <w:tbl>
      <w:tblPr>
        <w:tblStyle w:val="TableNormal"/>
        <w:tblW w:w="87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24"/>
        <w:gridCol w:w="1898"/>
        <w:gridCol w:w="649"/>
        <w:gridCol w:w="1109"/>
        <w:gridCol w:w="1019"/>
        <w:gridCol w:w="529"/>
        <w:gridCol w:w="839"/>
        <w:gridCol w:w="739"/>
        <w:gridCol w:w="704"/>
      </w:tblGrid>
      <w:tr>
        <w:trPr>
          <w:trHeight w:val="553" w:hRule="atLeast"/>
        </w:trPr>
        <w:tc>
          <w:tcPr>
            <w:shd w:val="clear" w:fill="BDBDBD"/>
            <w:tcW w:w="1224" w:type="dxa"/>
            <w:vAlign w:val="top"/>
          </w:tcPr>
          <w:p>
            <w:pPr>
              <w:pStyle w:val="TableText"/>
              <w:ind w:left="187"/>
              <w:spacing w:before="40" w:line="219" w:lineRule="auto"/>
              <w:rPr>
                <w:sz w:val="21"/>
                <w:szCs w:val="21"/>
              </w:rPr>
            </w:pPr>
            <w:r>
              <w:rPr>
                <w:sz w:val="21"/>
                <w:szCs w:val="21"/>
                <w:b/>
                <w:bCs/>
                <w:spacing w:val="-4"/>
              </w:rPr>
              <w:t>贮存场所</w:t>
            </w:r>
          </w:p>
          <w:p>
            <w:pPr>
              <w:pStyle w:val="TableText"/>
              <w:ind w:left="78"/>
              <w:spacing w:before="22" w:line="203" w:lineRule="auto"/>
              <w:rPr>
                <w:sz w:val="21"/>
                <w:szCs w:val="21"/>
              </w:rPr>
            </w:pPr>
            <w:r>
              <w:rPr>
                <w:sz w:val="21"/>
                <w:szCs w:val="21"/>
                <w:b/>
                <w:bCs/>
                <w:spacing w:val="-2"/>
              </w:rPr>
              <w:t>(设施)名称</w:t>
            </w:r>
          </w:p>
        </w:tc>
        <w:tc>
          <w:tcPr>
            <w:shd w:val="clear" w:fill="BDBDBD"/>
            <w:tcW w:w="1898" w:type="dxa"/>
            <w:vAlign w:val="top"/>
          </w:tcPr>
          <w:p>
            <w:pPr>
              <w:pStyle w:val="TableText"/>
              <w:ind w:left="313"/>
              <w:spacing w:before="171" w:line="220" w:lineRule="auto"/>
              <w:rPr>
                <w:sz w:val="21"/>
                <w:szCs w:val="21"/>
              </w:rPr>
            </w:pPr>
            <w:r>
              <w:rPr>
                <w:sz w:val="21"/>
                <w:szCs w:val="21"/>
                <w:b/>
                <w:bCs/>
                <w:spacing w:val="-4"/>
              </w:rPr>
              <w:t>危险废物名称</w:t>
            </w:r>
          </w:p>
        </w:tc>
        <w:tc>
          <w:tcPr>
            <w:shd w:val="clear" w:fill="3C3C3C"/>
            <w:tcW w:w="649" w:type="dxa"/>
            <w:vAlign w:val="top"/>
          </w:tcPr>
          <w:p>
            <w:pPr>
              <w:pStyle w:val="TableText"/>
              <w:ind w:left="105"/>
              <w:spacing w:before="41" w:line="201" w:lineRule="auto"/>
              <w:rPr>
                <w:sz w:val="21"/>
                <w:szCs w:val="21"/>
              </w:rPr>
            </w:pPr>
            <w:r>
              <w:rPr>
                <w:sz w:val="21"/>
                <w:szCs w:val="21"/>
                <w:b/>
                <w:bCs/>
                <w:spacing w:val="-5"/>
              </w:rPr>
              <w:t>废物</w:t>
            </w:r>
          </w:p>
          <w:p>
            <w:pPr>
              <w:pStyle w:val="TableText"/>
              <w:ind w:left="105"/>
              <w:spacing w:line="219" w:lineRule="auto"/>
              <w:rPr>
                <w:sz w:val="21"/>
                <w:szCs w:val="21"/>
              </w:rPr>
            </w:pPr>
            <w:r>
              <w:rPr>
                <w:sz w:val="21"/>
                <w:szCs w:val="21"/>
                <w:b/>
                <w:bCs/>
                <w:spacing w:val="-5"/>
              </w:rPr>
              <w:t>类别</w:t>
            </w:r>
          </w:p>
        </w:tc>
        <w:tc>
          <w:tcPr>
            <w:shd w:val="clear" w:fill="BDBDBD"/>
            <w:tcW w:w="1109" w:type="dxa"/>
            <w:vAlign w:val="top"/>
          </w:tcPr>
          <w:p>
            <w:pPr>
              <w:pStyle w:val="TableText"/>
              <w:ind w:left="127"/>
              <w:spacing w:before="170" w:line="219" w:lineRule="auto"/>
              <w:rPr>
                <w:sz w:val="21"/>
                <w:szCs w:val="21"/>
              </w:rPr>
            </w:pPr>
            <w:r>
              <w:rPr>
                <w:sz w:val="21"/>
                <w:szCs w:val="21"/>
                <w:b/>
                <w:bCs/>
                <w:spacing w:val="-4"/>
              </w:rPr>
              <w:t>废物代码</w:t>
            </w:r>
          </w:p>
        </w:tc>
        <w:tc>
          <w:tcPr>
            <w:shd w:val="clear" w:fill="BDBDBD"/>
            <w:tcW w:w="1019" w:type="dxa"/>
            <w:vAlign w:val="top"/>
          </w:tcPr>
          <w:p>
            <w:pPr>
              <w:pStyle w:val="TableText"/>
              <w:ind w:left="88"/>
              <w:spacing w:before="170" w:line="219" w:lineRule="auto"/>
              <w:rPr>
                <w:sz w:val="21"/>
                <w:szCs w:val="21"/>
              </w:rPr>
            </w:pPr>
            <w:r>
              <w:rPr>
                <w:sz w:val="21"/>
                <w:szCs w:val="21"/>
                <w:b/>
                <w:bCs/>
                <w:spacing w:val="-4"/>
              </w:rPr>
              <w:t>产生工序</w:t>
            </w:r>
          </w:p>
        </w:tc>
        <w:tc>
          <w:tcPr>
            <w:shd w:val="clear" w:fill="0F0F0F"/>
            <w:tcW w:w="529" w:type="dxa"/>
            <w:vAlign w:val="top"/>
          </w:tcPr>
          <w:p>
            <w:pPr>
              <w:pStyle w:val="TableText"/>
              <w:ind w:left="49" w:right="37" w:firstLine="10"/>
              <w:spacing w:before="42" w:line="220" w:lineRule="auto"/>
              <w:rPr>
                <w:sz w:val="21"/>
                <w:szCs w:val="21"/>
              </w:rPr>
            </w:pPr>
            <w:r>
              <w:rPr>
                <w:sz w:val="21"/>
                <w:szCs w:val="21"/>
                <w:b/>
                <w:bCs/>
                <w:spacing w:val="-2"/>
              </w:rPr>
              <w:t>占地</w:t>
            </w:r>
            <w:r>
              <w:rPr>
                <w:sz w:val="21"/>
                <w:szCs w:val="21"/>
              </w:rPr>
              <w:t xml:space="preserve"> </w:t>
            </w:r>
            <w:r>
              <w:rPr>
                <w:sz w:val="21"/>
                <w:szCs w:val="21"/>
                <w:b/>
                <w:bCs/>
                <w:spacing w:val="-5"/>
              </w:rPr>
              <w:t>面积</w:t>
            </w:r>
          </w:p>
        </w:tc>
        <w:tc>
          <w:tcPr>
            <w:shd w:val="clear" w:fill="BEBEBE"/>
            <w:tcW w:w="839" w:type="dxa"/>
            <w:vAlign w:val="top"/>
          </w:tcPr>
          <w:p>
            <w:pPr>
              <w:pStyle w:val="TableText"/>
              <w:spacing w:before="170" w:line="219" w:lineRule="auto"/>
              <w:jc w:val="right"/>
              <w:rPr>
                <w:sz w:val="21"/>
                <w:szCs w:val="21"/>
              </w:rPr>
            </w:pPr>
            <w:r>
              <w:rPr>
                <w:sz w:val="21"/>
                <w:szCs w:val="21"/>
                <w:b/>
                <w:bCs/>
                <w:spacing w:val="-11"/>
              </w:rPr>
              <w:t>贮</w:t>
            </w:r>
            <w:r>
              <w:rPr>
                <w:sz w:val="21"/>
                <w:szCs w:val="21"/>
                <w:b/>
                <w:bCs/>
                <w:spacing w:val="-10"/>
              </w:rPr>
              <w:t>存方</w:t>
            </w:r>
            <w:r>
              <w:rPr>
                <w:sz w:val="21"/>
                <w:szCs w:val="21"/>
                <w:b/>
                <w:bCs/>
                <w:spacing w:val="-9"/>
              </w:rPr>
              <w:t>式</w:t>
            </w:r>
          </w:p>
        </w:tc>
        <w:tc>
          <w:tcPr>
            <w:shd w:val="clear" w:fill="BDBDBD"/>
            <w:tcW w:w="739" w:type="dxa"/>
            <w:vAlign w:val="top"/>
          </w:tcPr>
          <w:p>
            <w:pPr>
              <w:pStyle w:val="TableText"/>
              <w:ind w:left="101" w:right="57" w:hanging="50"/>
              <w:spacing w:before="40" w:line="221" w:lineRule="auto"/>
              <w:rPr>
                <w:sz w:val="21"/>
                <w:szCs w:val="21"/>
              </w:rPr>
            </w:pPr>
            <w:r>
              <w:rPr>
                <w:sz w:val="21"/>
                <w:szCs w:val="21"/>
                <w:b/>
                <w:bCs/>
                <w:spacing w:val="-6"/>
              </w:rPr>
              <w:t>贮存能</w:t>
            </w:r>
            <w:r>
              <w:rPr>
                <w:sz w:val="21"/>
                <w:szCs w:val="21"/>
                <w:spacing w:val="1"/>
              </w:rPr>
              <w:t xml:space="preserve"> </w:t>
            </w:r>
            <w:r>
              <w:rPr>
                <w:sz w:val="21"/>
                <w:szCs w:val="21"/>
                <w:b/>
                <w:bCs/>
                <w:spacing w:val="9"/>
              </w:rPr>
              <w:t>力(t)</w:t>
            </w:r>
          </w:p>
        </w:tc>
        <w:tc>
          <w:tcPr>
            <w:shd w:val="clear" w:fill="BDBDBD"/>
            <w:tcW w:w="704" w:type="dxa"/>
            <w:vAlign w:val="top"/>
          </w:tcPr>
          <w:p>
            <w:pPr>
              <w:pStyle w:val="TableText"/>
              <w:ind w:left="142"/>
              <w:spacing w:before="40" w:line="219" w:lineRule="auto"/>
              <w:rPr>
                <w:sz w:val="21"/>
                <w:szCs w:val="21"/>
              </w:rPr>
            </w:pPr>
            <w:r>
              <w:rPr>
                <w:sz w:val="21"/>
                <w:szCs w:val="21"/>
                <w:b/>
                <w:bCs/>
                <w:spacing w:val="-5"/>
              </w:rPr>
              <w:t>贮存</w:t>
            </w:r>
          </w:p>
          <w:p>
            <w:pPr>
              <w:pStyle w:val="TableText"/>
              <w:ind w:left="142"/>
              <w:spacing w:before="41" w:line="186" w:lineRule="auto"/>
              <w:rPr>
                <w:sz w:val="21"/>
                <w:szCs w:val="21"/>
              </w:rPr>
            </w:pPr>
            <w:r>
              <w:rPr>
                <w:sz w:val="21"/>
                <w:szCs w:val="21"/>
                <w:b/>
                <w:bCs/>
                <w:spacing w:val="-5"/>
              </w:rPr>
              <w:t>周期</w:t>
            </w:r>
          </w:p>
        </w:tc>
      </w:tr>
      <w:tr>
        <w:trPr>
          <w:trHeight w:val="279" w:hRule="atLeast"/>
        </w:trPr>
        <w:tc>
          <w:tcPr>
            <w:tcW w:w="1224" w:type="dxa"/>
            <w:vAlign w:val="top"/>
            <w:vMerge w:val="restart"/>
            <w:tcBorders>
              <w:bottom w:val="nil"/>
            </w:tcBorders>
          </w:tcPr>
          <w:p>
            <w:pPr>
              <w:spacing w:line="334" w:lineRule="auto"/>
              <w:rPr>
                <w:rFonts w:ascii="Arial"/>
                <w:sz w:val="21"/>
              </w:rPr>
            </w:pPr>
            <w:r/>
          </w:p>
          <w:p>
            <w:pPr>
              <w:spacing w:line="335" w:lineRule="auto"/>
              <w:rPr>
                <w:rFonts w:ascii="Arial"/>
                <w:sz w:val="21"/>
              </w:rPr>
            </w:pPr>
            <w:r/>
          </w:p>
          <w:p>
            <w:pPr>
              <w:pStyle w:val="TableText"/>
              <w:ind w:left="285" w:right="278" w:firstLine="110"/>
              <w:spacing w:before="68" w:line="256" w:lineRule="auto"/>
              <w:rPr>
                <w:sz w:val="21"/>
                <w:szCs w:val="21"/>
              </w:rPr>
            </w:pPr>
            <w:r>
              <w:rPr>
                <w:sz w:val="21"/>
                <w:szCs w:val="21"/>
                <w:spacing w:val="5"/>
              </w:rPr>
              <w:t>危废</w:t>
            </w:r>
            <w:r>
              <w:rPr>
                <w:sz w:val="21"/>
                <w:szCs w:val="21"/>
              </w:rPr>
              <w:t xml:space="preserve">  </w:t>
            </w:r>
            <w:r>
              <w:rPr>
                <w:sz w:val="21"/>
                <w:szCs w:val="21"/>
                <w:spacing w:val="6"/>
              </w:rPr>
              <w:t>暂存间</w:t>
            </w:r>
          </w:p>
        </w:tc>
        <w:tc>
          <w:tcPr>
            <w:tcW w:w="1898" w:type="dxa"/>
            <w:vAlign w:val="top"/>
          </w:tcPr>
          <w:p>
            <w:pPr>
              <w:pStyle w:val="TableText"/>
              <w:ind w:left="521"/>
              <w:spacing w:before="41" w:line="200" w:lineRule="auto"/>
              <w:rPr>
                <w:sz w:val="21"/>
                <w:szCs w:val="21"/>
              </w:rPr>
            </w:pPr>
            <w:r>
              <w:rPr>
                <w:sz w:val="21"/>
                <w:szCs w:val="21"/>
                <w:color w:val="505050"/>
                <w:spacing w:val="3"/>
              </w:rPr>
              <w:t>废活性炭</w:t>
            </w:r>
          </w:p>
        </w:tc>
        <w:tc>
          <w:tcPr>
            <w:tcW w:w="649" w:type="dxa"/>
            <w:vAlign w:val="top"/>
          </w:tcPr>
          <w:p>
            <w:pPr>
              <w:pStyle w:val="TableText"/>
              <w:ind w:left="102"/>
              <w:spacing w:before="94" w:line="175" w:lineRule="exact"/>
              <w:rPr>
                <w:sz w:val="21"/>
                <w:szCs w:val="21"/>
              </w:rPr>
            </w:pPr>
            <w:r>
              <w:rPr>
                <w:sz w:val="21"/>
                <w:szCs w:val="21"/>
                <w:spacing w:val="-1"/>
                <w:position w:val="-2"/>
              </w:rPr>
              <w:t>HW49</w:t>
            </w:r>
          </w:p>
        </w:tc>
        <w:tc>
          <w:tcPr>
            <w:tcW w:w="1109" w:type="dxa"/>
            <w:vAlign w:val="top"/>
          </w:tcPr>
          <w:p>
            <w:pPr>
              <w:pStyle w:val="TableText"/>
              <w:ind w:left="24"/>
              <w:spacing w:before="61" w:line="182" w:lineRule="auto"/>
              <w:rPr>
                <w:sz w:val="21"/>
                <w:szCs w:val="21"/>
              </w:rPr>
            </w:pPr>
            <w:r>
              <w:rPr>
                <w:sz w:val="21"/>
                <w:szCs w:val="21"/>
                <w:spacing w:val="-1"/>
              </w:rPr>
              <w:t>900-039-49</w:t>
            </w:r>
          </w:p>
        </w:tc>
        <w:tc>
          <w:tcPr>
            <w:tcW w:w="1019" w:type="dxa"/>
            <w:vAlign w:val="top"/>
            <w:vMerge w:val="restart"/>
            <w:tcBorders>
              <w:bottom w:val="nil"/>
            </w:tcBorders>
          </w:tcPr>
          <w:p>
            <w:pPr>
              <w:pStyle w:val="TableText"/>
              <w:ind w:left="85"/>
              <w:spacing w:before="41" w:line="220" w:lineRule="auto"/>
              <w:rPr>
                <w:sz w:val="21"/>
                <w:szCs w:val="21"/>
              </w:rPr>
            </w:pPr>
            <w:r>
              <w:rPr>
                <w:sz w:val="21"/>
                <w:szCs w:val="21"/>
                <w:spacing w:val="-2"/>
              </w:rPr>
              <w:t>废气处理</w:t>
            </w:r>
          </w:p>
          <w:p>
            <w:pPr>
              <w:pStyle w:val="TableText"/>
              <w:ind w:left="295"/>
              <w:spacing w:before="9" w:line="217" w:lineRule="auto"/>
              <w:rPr>
                <w:sz w:val="21"/>
                <w:szCs w:val="21"/>
              </w:rPr>
            </w:pPr>
            <w:r>
              <w:rPr>
                <w:sz w:val="21"/>
                <w:szCs w:val="21"/>
                <w:spacing w:val="-3"/>
              </w:rPr>
              <w:t>装置</w:t>
            </w:r>
          </w:p>
        </w:tc>
        <w:tc>
          <w:tcPr>
            <w:tcW w:w="529" w:type="dxa"/>
            <w:vAlign w:val="top"/>
            <w:vMerge w:val="restart"/>
            <w:tcBorders>
              <w:bottom w:val="nil"/>
            </w:tcBorders>
          </w:tcPr>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5"/>
              <w:spacing w:before="68"/>
              <w:rPr>
                <w:sz w:val="21"/>
                <w:szCs w:val="21"/>
              </w:rPr>
            </w:pPr>
            <w:r>
              <w:rPr>
                <w:sz w:val="21"/>
                <w:szCs w:val="21"/>
                <w:spacing w:val="-3"/>
              </w:rPr>
              <w:t>20m²</w:t>
            </w:r>
          </w:p>
        </w:tc>
        <w:tc>
          <w:tcPr>
            <w:tcW w:w="839" w:type="dxa"/>
            <w:vAlign w:val="top"/>
          </w:tcPr>
          <w:p>
            <w:pPr>
              <w:pStyle w:val="TableText"/>
              <w:ind w:left="207"/>
              <w:spacing w:before="41" w:line="200" w:lineRule="auto"/>
              <w:rPr>
                <w:sz w:val="21"/>
                <w:szCs w:val="21"/>
              </w:rPr>
            </w:pPr>
            <w:r>
              <w:rPr>
                <w:sz w:val="21"/>
                <w:szCs w:val="21"/>
                <w:spacing w:val="-3"/>
              </w:rPr>
              <w:t>袋装</w:t>
            </w:r>
          </w:p>
        </w:tc>
        <w:tc>
          <w:tcPr>
            <w:tcW w:w="739" w:type="dxa"/>
            <w:vAlign w:val="top"/>
            <w:vMerge w:val="restart"/>
            <w:tcBorders>
              <w:bottom w:val="nil"/>
            </w:tcBorders>
          </w:tcPr>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257"/>
              <w:spacing w:before="68"/>
              <w:rPr>
                <w:sz w:val="21"/>
                <w:szCs w:val="21"/>
              </w:rPr>
            </w:pPr>
            <w:r>
              <w:rPr>
                <w:sz w:val="21"/>
                <w:szCs w:val="21"/>
                <w:spacing w:val="-6"/>
              </w:rPr>
              <w:t>10</w:t>
            </w:r>
          </w:p>
        </w:tc>
        <w:tc>
          <w:tcPr>
            <w:tcW w:w="704" w:type="dxa"/>
            <w:vAlign w:val="top"/>
          </w:tcPr>
          <w:p>
            <w:pPr>
              <w:pStyle w:val="TableText"/>
              <w:spacing w:before="40" w:line="201" w:lineRule="auto"/>
              <w:jc w:val="right"/>
              <w:rPr>
                <w:sz w:val="21"/>
                <w:szCs w:val="21"/>
              </w:rPr>
            </w:pPr>
            <w:r>
              <w:rPr>
                <w:sz w:val="21"/>
                <w:szCs w:val="21"/>
                <w:spacing w:val="8"/>
              </w:rPr>
              <w:t>12个月</w:t>
            </w:r>
          </w:p>
        </w:tc>
      </w:tr>
      <w:tr>
        <w:trPr>
          <w:trHeight w:val="269" w:hRule="atLeast"/>
        </w:trPr>
        <w:tc>
          <w:tcPr>
            <w:tcW w:w="1224" w:type="dxa"/>
            <w:vAlign w:val="top"/>
            <w:vMerge w:val="continue"/>
            <w:tcBorders>
              <w:top w:val="nil"/>
              <w:bottom w:val="nil"/>
            </w:tcBorders>
          </w:tcPr>
          <w:p>
            <w:pPr>
              <w:rPr>
                <w:rFonts w:ascii="Arial"/>
                <w:sz w:val="21"/>
              </w:rPr>
            </w:pPr>
            <w:r/>
          </w:p>
        </w:tc>
        <w:tc>
          <w:tcPr>
            <w:tcW w:w="1898" w:type="dxa"/>
            <w:vAlign w:val="top"/>
          </w:tcPr>
          <w:p>
            <w:pPr>
              <w:pStyle w:val="TableText"/>
              <w:ind w:left="521"/>
              <w:spacing w:before="31" w:line="200" w:lineRule="auto"/>
              <w:rPr>
                <w:sz w:val="21"/>
                <w:szCs w:val="21"/>
              </w:rPr>
            </w:pPr>
            <w:r>
              <w:rPr>
                <w:sz w:val="21"/>
                <w:szCs w:val="21"/>
                <w:spacing w:val="-2"/>
              </w:rPr>
              <w:t>废UV灯管</w:t>
            </w:r>
          </w:p>
        </w:tc>
        <w:tc>
          <w:tcPr>
            <w:tcW w:w="649" w:type="dxa"/>
            <w:vAlign w:val="top"/>
          </w:tcPr>
          <w:p>
            <w:pPr>
              <w:pStyle w:val="TableText"/>
              <w:ind w:left="102"/>
              <w:spacing w:before="85" w:line="174" w:lineRule="exact"/>
              <w:rPr>
                <w:sz w:val="21"/>
                <w:szCs w:val="21"/>
              </w:rPr>
            </w:pPr>
            <w:r>
              <w:rPr>
                <w:sz w:val="21"/>
                <w:szCs w:val="21"/>
                <w:spacing w:val="-1"/>
                <w:position w:val="-2"/>
              </w:rPr>
              <w:t>HW29</w:t>
            </w:r>
          </w:p>
        </w:tc>
        <w:tc>
          <w:tcPr>
            <w:tcW w:w="1109" w:type="dxa"/>
            <w:vAlign w:val="top"/>
          </w:tcPr>
          <w:p>
            <w:pPr>
              <w:pStyle w:val="TableText"/>
              <w:ind w:left="24"/>
              <w:spacing w:before="53" w:line="181" w:lineRule="auto"/>
              <w:rPr>
                <w:sz w:val="21"/>
                <w:szCs w:val="21"/>
              </w:rPr>
            </w:pPr>
            <w:r>
              <w:rPr>
                <w:sz w:val="21"/>
                <w:szCs w:val="21"/>
                <w:spacing w:val="-1"/>
              </w:rPr>
              <w:t>900-023-29</w:t>
            </w:r>
          </w:p>
        </w:tc>
        <w:tc>
          <w:tcPr>
            <w:tcW w:w="1019" w:type="dxa"/>
            <w:vAlign w:val="top"/>
            <w:vMerge w:val="continue"/>
            <w:tcBorders>
              <w:top w:val="nil"/>
            </w:tcBorders>
          </w:tcPr>
          <w:p>
            <w:pPr>
              <w:rPr>
                <w:rFonts w:ascii="Arial"/>
                <w:sz w:val="21"/>
              </w:rPr>
            </w:pPr>
            <w:r/>
          </w:p>
        </w:tc>
        <w:tc>
          <w:tcPr>
            <w:tcW w:w="529" w:type="dxa"/>
            <w:vAlign w:val="top"/>
            <w:vMerge w:val="continue"/>
            <w:tcBorders>
              <w:top w:val="nil"/>
              <w:bottom w:val="nil"/>
            </w:tcBorders>
          </w:tcPr>
          <w:p>
            <w:pPr>
              <w:rPr>
                <w:rFonts w:ascii="Arial"/>
                <w:sz w:val="21"/>
              </w:rPr>
            </w:pPr>
            <w:r/>
          </w:p>
        </w:tc>
        <w:tc>
          <w:tcPr>
            <w:tcW w:w="839" w:type="dxa"/>
            <w:vAlign w:val="top"/>
          </w:tcPr>
          <w:p>
            <w:pPr>
              <w:pStyle w:val="TableText"/>
              <w:ind w:left="207"/>
              <w:spacing w:before="32" w:line="199" w:lineRule="auto"/>
              <w:rPr>
                <w:sz w:val="21"/>
                <w:szCs w:val="21"/>
              </w:rPr>
            </w:pPr>
            <w:r>
              <w:rPr>
                <w:sz w:val="21"/>
                <w:szCs w:val="21"/>
                <w:spacing w:val="-3"/>
              </w:rPr>
              <w:t>袋装</w:t>
            </w:r>
          </w:p>
        </w:tc>
        <w:tc>
          <w:tcPr>
            <w:tcW w:w="739" w:type="dxa"/>
            <w:vAlign w:val="top"/>
            <w:vMerge w:val="continue"/>
            <w:tcBorders>
              <w:top w:val="nil"/>
              <w:bottom w:val="nil"/>
            </w:tcBorders>
          </w:tcPr>
          <w:p>
            <w:pPr>
              <w:rPr>
                <w:rFonts w:ascii="Arial"/>
                <w:sz w:val="21"/>
              </w:rPr>
            </w:pPr>
            <w:r/>
          </w:p>
        </w:tc>
        <w:tc>
          <w:tcPr>
            <w:tcW w:w="704" w:type="dxa"/>
            <w:vAlign w:val="top"/>
          </w:tcPr>
          <w:p>
            <w:pPr>
              <w:pStyle w:val="TableText"/>
              <w:spacing w:before="31" w:line="200" w:lineRule="auto"/>
              <w:jc w:val="right"/>
              <w:rPr>
                <w:sz w:val="21"/>
                <w:szCs w:val="21"/>
              </w:rPr>
            </w:pPr>
            <w:r>
              <w:rPr>
                <w:sz w:val="21"/>
                <w:szCs w:val="21"/>
                <w:color w:val="706060"/>
                <w:spacing w:val="8"/>
              </w:rPr>
              <w:t>12个月</w:t>
            </w:r>
          </w:p>
        </w:tc>
      </w:tr>
      <w:tr>
        <w:trPr>
          <w:trHeight w:val="279" w:hRule="atLeast"/>
        </w:trPr>
        <w:tc>
          <w:tcPr>
            <w:tcW w:w="1224" w:type="dxa"/>
            <w:vAlign w:val="top"/>
            <w:vMerge w:val="continue"/>
            <w:tcBorders>
              <w:top w:val="nil"/>
              <w:bottom w:val="nil"/>
            </w:tcBorders>
          </w:tcPr>
          <w:p>
            <w:pPr>
              <w:rPr>
                <w:rFonts w:ascii="Arial"/>
                <w:sz w:val="21"/>
              </w:rPr>
            </w:pPr>
            <w:r/>
          </w:p>
        </w:tc>
        <w:tc>
          <w:tcPr>
            <w:tcW w:w="1898" w:type="dxa"/>
            <w:vAlign w:val="top"/>
          </w:tcPr>
          <w:p>
            <w:pPr>
              <w:pStyle w:val="TableText"/>
              <w:spacing w:before="41" w:line="200" w:lineRule="auto"/>
              <w:jc w:val="right"/>
              <w:rPr>
                <w:sz w:val="21"/>
                <w:szCs w:val="21"/>
              </w:rPr>
            </w:pPr>
            <w:r>
              <w:rPr>
                <w:sz w:val="21"/>
                <w:szCs w:val="21"/>
                <w:spacing w:val="-2"/>
              </w:rPr>
              <w:t>废消毒药品包装材料</w:t>
            </w:r>
          </w:p>
        </w:tc>
        <w:tc>
          <w:tcPr>
            <w:tcW w:w="649" w:type="dxa"/>
            <w:vAlign w:val="top"/>
          </w:tcPr>
          <w:p>
            <w:pPr>
              <w:pStyle w:val="TableText"/>
              <w:ind w:left="102"/>
              <w:spacing w:before="96" w:line="173" w:lineRule="exact"/>
              <w:rPr>
                <w:sz w:val="21"/>
                <w:szCs w:val="21"/>
              </w:rPr>
            </w:pPr>
            <w:r>
              <w:rPr>
                <w:sz w:val="21"/>
                <w:szCs w:val="21"/>
                <w:spacing w:val="-1"/>
                <w:position w:val="-2"/>
              </w:rPr>
              <w:t>HW49</w:t>
            </w:r>
          </w:p>
        </w:tc>
        <w:tc>
          <w:tcPr>
            <w:tcW w:w="1109" w:type="dxa"/>
            <w:vAlign w:val="top"/>
          </w:tcPr>
          <w:p>
            <w:pPr>
              <w:pStyle w:val="TableText"/>
              <w:ind w:left="24"/>
              <w:spacing w:before="63" w:line="181" w:lineRule="auto"/>
              <w:rPr>
                <w:sz w:val="21"/>
                <w:szCs w:val="21"/>
              </w:rPr>
            </w:pPr>
            <w:r>
              <w:rPr>
                <w:sz w:val="21"/>
                <w:szCs w:val="21"/>
                <w:spacing w:val="-1"/>
              </w:rPr>
              <w:t>900-041-49</w:t>
            </w:r>
          </w:p>
        </w:tc>
        <w:tc>
          <w:tcPr>
            <w:tcW w:w="1019" w:type="dxa"/>
            <w:vAlign w:val="top"/>
          </w:tcPr>
          <w:p>
            <w:pPr>
              <w:pStyle w:val="TableText"/>
              <w:ind w:left="295"/>
              <w:spacing w:before="42" w:line="199" w:lineRule="auto"/>
              <w:rPr>
                <w:sz w:val="21"/>
                <w:szCs w:val="21"/>
              </w:rPr>
            </w:pPr>
            <w:r>
              <w:rPr>
                <w:sz w:val="21"/>
                <w:szCs w:val="21"/>
                <w:spacing w:val="5"/>
              </w:rPr>
              <w:t>消毒</w:t>
            </w:r>
          </w:p>
        </w:tc>
        <w:tc>
          <w:tcPr>
            <w:tcW w:w="529" w:type="dxa"/>
            <w:vAlign w:val="top"/>
            <w:vMerge w:val="continue"/>
            <w:tcBorders>
              <w:top w:val="nil"/>
              <w:bottom w:val="nil"/>
            </w:tcBorders>
          </w:tcPr>
          <w:p>
            <w:pPr>
              <w:rPr>
                <w:rFonts w:ascii="Arial"/>
                <w:sz w:val="21"/>
              </w:rPr>
            </w:pPr>
            <w:r/>
          </w:p>
        </w:tc>
        <w:tc>
          <w:tcPr>
            <w:tcW w:w="839" w:type="dxa"/>
            <w:vAlign w:val="top"/>
          </w:tcPr>
          <w:p>
            <w:pPr>
              <w:pStyle w:val="TableText"/>
              <w:ind w:left="207"/>
              <w:spacing w:before="43" w:line="198" w:lineRule="auto"/>
              <w:rPr>
                <w:sz w:val="21"/>
                <w:szCs w:val="21"/>
              </w:rPr>
            </w:pPr>
            <w:r>
              <w:rPr>
                <w:sz w:val="21"/>
                <w:szCs w:val="21"/>
                <w:spacing w:val="-3"/>
              </w:rPr>
              <w:t>袋装</w:t>
            </w:r>
          </w:p>
        </w:tc>
        <w:tc>
          <w:tcPr>
            <w:tcW w:w="739" w:type="dxa"/>
            <w:vAlign w:val="top"/>
            <w:vMerge w:val="continue"/>
            <w:tcBorders>
              <w:top w:val="nil"/>
              <w:bottom w:val="nil"/>
            </w:tcBorders>
          </w:tcPr>
          <w:p>
            <w:pPr>
              <w:rPr>
                <w:rFonts w:ascii="Arial"/>
                <w:sz w:val="21"/>
              </w:rPr>
            </w:pPr>
            <w:r/>
          </w:p>
        </w:tc>
        <w:tc>
          <w:tcPr>
            <w:tcW w:w="704" w:type="dxa"/>
            <w:vAlign w:val="top"/>
          </w:tcPr>
          <w:p>
            <w:pPr>
              <w:pStyle w:val="TableText"/>
              <w:spacing w:before="42" w:line="199" w:lineRule="auto"/>
              <w:jc w:val="right"/>
              <w:rPr>
                <w:sz w:val="21"/>
                <w:szCs w:val="21"/>
              </w:rPr>
            </w:pPr>
            <w:r>
              <w:rPr>
                <w:sz w:val="21"/>
                <w:szCs w:val="21"/>
                <w:spacing w:val="8"/>
              </w:rPr>
              <w:t>12个月</w:t>
            </w:r>
          </w:p>
        </w:tc>
      </w:tr>
      <w:tr>
        <w:trPr>
          <w:trHeight w:val="268" w:hRule="atLeast"/>
        </w:trPr>
        <w:tc>
          <w:tcPr>
            <w:tcW w:w="1224" w:type="dxa"/>
            <w:vAlign w:val="top"/>
            <w:vMerge w:val="continue"/>
            <w:tcBorders>
              <w:top w:val="nil"/>
              <w:bottom w:val="nil"/>
            </w:tcBorders>
          </w:tcPr>
          <w:p>
            <w:pPr>
              <w:rPr>
                <w:rFonts w:ascii="Arial"/>
                <w:sz w:val="21"/>
              </w:rPr>
            </w:pPr>
            <w:r/>
          </w:p>
        </w:tc>
        <w:tc>
          <w:tcPr>
            <w:tcW w:w="1898" w:type="dxa"/>
            <w:vAlign w:val="top"/>
          </w:tcPr>
          <w:p>
            <w:pPr>
              <w:pStyle w:val="TableText"/>
              <w:ind w:left="310"/>
              <w:spacing w:before="33" w:line="197" w:lineRule="auto"/>
              <w:rPr>
                <w:sz w:val="21"/>
                <w:szCs w:val="21"/>
              </w:rPr>
            </w:pPr>
            <w:r>
              <w:rPr>
                <w:sz w:val="21"/>
                <w:szCs w:val="21"/>
                <w:spacing w:val="-2"/>
              </w:rPr>
              <w:t>在线监测废液</w:t>
            </w:r>
          </w:p>
        </w:tc>
        <w:tc>
          <w:tcPr>
            <w:tcW w:w="649" w:type="dxa"/>
            <w:vAlign w:val="top"/>
          </w:tcPr>
          <w:p>
            <w:pPr>
              <w:pStyle w:val="TableText"/>
              <w:ind w:left="102"/>
              <w:spacing w:before="87" w:line="171" w:lineRule="exact"/>
              <w:rPr>
                <w:sz w:val="21"/>
                <w:szCs w:val="21"/>
              </w:rPr>
            </w:pPr>
            <w:r>
              <w:rPr>
                <w:sz w:val="21"/>
                <w:szCs w:val="21"/>
                <w:spacing w:val="-1"/>
                <w:position w:val="-2"/>
              </w:rPr>
              <w:t>HW49</w:t>
            </w:r>
          </w:p>
        </w:tc>
        <w:tc>
          <w:tcPr>
            <w:tcW w:w="1109" w:type="dxa"/>
            <w:vAlign w:val="top"/>
          </w:tcPr>
          <w:p>
            <w:pPr>
              <w:pStyle w:val="TableText"/>
              <w:ind w:left="24"/>
              <w:spacing w:before="54" w:line="179" w:lineRule="auto"/>
              <w:rPr>
                <w:sz w:val="21"/>
                <w:szCs w:val="21"/>
              </w:rPr>
            </w:pPr>
            <w:r>
              <w:rPr>
                <w:sz w:val="21"/>
                <w:szCs w:val="21"/>
                <w:spacing w:val="-1"/>
              </w:rPr>
              <w:t>900-047-49</w:t>
            </w:r>
          </w:p>
        </w:tc>
        <w:tc>
          <w:tcPr>
            <w:tcW w:w="1019" w:type="dxa"/>
            <w:vAlign w:val="top"/>
          </w:tcPr>
          <w:p>
            <w:pPr>
              <w:pStyle w:val="TableText"/>
              <w:ind w:left="85"/>
              <w:spacing w:before="33" w:line="197" w:lineRule="auto"/>
              <w:rPr>
                <w:sz w:val="21"/>
                <w:szCs w:val="21"/>
              </w:rPr>
            </w:pPr>
            <w:r>
              <w:rPr>
                <w:sz w:val="21"/>
                <w:szCs w:val="21"/>
                <w:spacing w:val="4"/>
              </w:rPr>
              <w:t>在线监测</w:t>
            </w:r>
          </w:p>
        </w:tc>
        <w:tc>
          <w:tcPr>
            <w:tcW w:w="529" w:type="dxa"/>
            <w:vAlign w:val="top"/>
            <w:vMerge w:val="continue"/>
            <w:tcBorders>
              <w:top w:val="nil"/>
              <w:bottom w:val="nil"/>
            </w:tcBorders>
          </w:tcPr>
          <w:p>
            <w:pPr>
              <w:rPr>
                <w:rFonts w:ascii="Arial"/>
                <w:sz w:val="21"/>
              </w:rPr>
            </w:pPr>
            <w:r/>
          </w:p>
        </w:tc>
        <w:tc>
          <w:tcPr>
            <w:tcW w:w="839" w:type="dxa"/>
            <w:vAlign w:val="top"/>
          </w:tcPr>
          <w:p>
            <w:pPr>
              <w:pStyle w:val="TableText"/>
              <w:spacing w:before="33" w:line="197" w:lineRule="auto"/>
              <w:jc w:val="right"/>
              <w:rPr>
                <w:sz w:val="21"/>
                <w:szCs w:val="21"/>
              </w:rPr>
            </w:pPr>
            <w:r>
              <w:rPr>
                <w:sz w:val="21"/>
                <w:szCs w:val="21"/>
                <w:color w:val="404040"/>
                <w:spacing w:val="-7"/>
              </w:rPr>
              <w:t>密封桶装</w:t>
            </w:r>
          </w:p>
        </w:tc>
        <w:tc>
          <w:tcPr>
            <w:tcW w:w="739" w:type="dxa"/>
            <w:vAlign w:val="top"/>
            <w:vMerge w:val="continue"/>
            <w:tcBorders>
              <w:top w:val="nil"/>
              <w:bottom w:val="nil"/>
            </w:tcBorders>
          </w:tcPr>
          <w:p>
            <w:pPr>
              <w:rPr>
                <w:rFonts w:ascii="Arial"/>
                <w:sz w:val="21"/>
              </w:rPr>
            </w:pPr>
            <w:r/>
          </w:p>
        </w:tc>
        <w:tc>
          <w:tcPr>
            <w:tcW w:w="704" w:type="dxa"/>
            <w:vAlign w:val="top"/>
          </w:tcPr>
          <w:p>
            <w:pPr>
              <w:pStyle w:val="TableText"/>
              <w:spacing w:before="33" w:line="197" w:lineRule="auto"/>
              <w:jc w:val="right"/>
              <w:rPr>
                <w:sz w:val="21"/>
                <w:szCs w:val="21"/>
              </w:rPr>
            </w:pPr>
            <w:r>
              <w:rPr>
                <w:sz w:val="21"/>
                <w:szCs w:val="21"/>
                <w:color w:val="706050"/>
                <w:spacing w:val="8"/>
              </w:rPr>
              <w:t>12个月</w:t>
            </w:r>
          </w:p>
        </w:tc>
      </w:tr>
      <w:tr>
        <w:trPr>
          <w:trHeight w:val="269" w:hRule="atLeast"/>
        </w:trPr>
        <w:tc>
          <w:tcPr>
            <w:tcW w:w="1224" w:type="dxa"/>
            <w:vAlign w:val="top"/>
            <w:vMerge w:val="continue"/>
            <w:tcBorders>
              <w:top w:val="nil"/>
              <w:bottom w:val="nil"/>
            </w:tcBorders>
          </w:tcPr>
          <w:p>
            <w:pPr>
              <w:rPr>
                <w:rFonts w:ascii="Arial"/>
                <w:sz w:val="21"/>
              </w:rPr>
            </w:pPr>
            <w:r/>
          </w:p>
        </w:tc>
        <w:tc>
          <w:tcPr>
            <w:tcW w:w="1898" w:type="dxa"/>
            <w:vAlign w:val="top"/>
          </w:tcPr>
          <w:p>
            <w:pPr>
              <w:pStyle w:val="TableText"/>
              <w:ind w:left="411"/>
              <w:spacing w:before="36" w:line="196" w:lineRule="auto"/>
              <w:rPr>
                <w:sz w:val="21"/>
                <w:szCs w:val="21"/>
              </w:rPr>
            </w:pPr>
            <w:r>
              <w:rPr>
                <w:sz w:val="21"/>
                <w:szCs w:val="21"/>
                <w:spacing w:val="-2"/>
              </w:rPr>
              <w:t>检疫废弃物</w:t>
            </w:r>
          </w:p>
        </w:tc>
        <w:tc>
          <w:tcPr>
            <w:tcW w:w="649" w:type="dxa"/>
            <w:vAlign w:val="top"/>
          </w:tcPr>
          <w:p>
            <w:pPr>
              <w:pStyle w:val="TableText"/>
              <w:ind w:left="102"/>
              <w:spacing w:before="89" w:line="170" w:lineRule="exact"/>
              <w:rPr>
                <w:sz w:val="21"/>
                <w:szCs w:val="21"/>
              </w:rPr>
            </w:pPr>
            <w:r>
              <w:rPr>
                <w:sz w:val="21"/>
                <w:szCs w:val="21"/>
                <w:spacing w:val="-1"/>
                <w:position w:val="-2"/>
              </w:rPr>
              <w:t>HW01</w:t>
            </w:r>
          </w:p>
        </w:tc>
        <w:tc>
          <w:tcPr>
            <w:tcW w:w="1109" w:type="dxa"/>
            <w:vAlign w:val="top"/>
          </w:tcPr>
          <w:p>
            <w:pPr>
              <w:pStyle w:val="TableText"/>
              <w:ind w:left="24"/>
              <w:spacing w:before="56" w:line="178" w:lineRule="auto"/>
              <w:rPr>
                <w:sz w:val="21"/>
                <w:szCs w:val="21"/>
              </w:rPr>
            </w:pPr>
            <w:r>
              <w:rPr>
                <w:sz w:val="21"/>
                <w:szCs w:val="21"/>
                <w:spacing w:val="-1"/>
              </w:rPr>
              <w:t>841-001-01</w:t>
            </w:r>
          </w:p>
        </w:tc>
        <w:tc>
          <w:tcPr>
            <w:tcW w:w="1019" w:type="dxa"/>
            <w:vAlign w:val="top"/>
          </w:tcPr>
          <w:p>
            <w:pPr>
              <w:pStyle w:val="TableText"/>
              <w:ind w:left="85"/>
              <w:spacing w:before="36" w:line="196" w:lineRule="auto"/>
              <w:rPr>
                <w:sz w:val="21"/>
                <w:szCs w:val="21"/>
              </w:rPr>
            </w:pPr>
            <w:r>
              <w:rPr>
                <w:sz w:val="21"/>
                <w:szCs w:val="21"/>
                <w:spacing w:val="-2"/>
              </w:rPr>
              <w:t>检验检疫</w:t>
            </w:r>
          </w:p>
        </w:tc>
        <w:tc>
          <w:tcPr>
            <w:tcW w:w="529" w:type="dxa"/>
            <w:vAlign w:val="top"/>
            <w:vMerge w:val="continue"/>
            <w:tcBorders>
              <w:top w:val="nil"/>
              <w:bottom w:val="nil"/>
            </w:tcBorders>
          </w:tcPr>
          <w:p>
            <w:pPr>
              <w:rPr>
                <w:rFonts w:ascii="Arial"/>
                <w:sz w:val="21"/>
              </w:rPr>
            </w:pPr>
            <w:r/>
          </w:p>
        </w:tc>
        <w:tc>
          <w:tcPr>
            <w:tcW w:w="839" w:type="dxa"/>
            <w:vAlign w:val="top"/>
          </w:tcPr>
          <w:p>
            <w:pPr>
              <w:pStyle w:val="TableText"/>
              <w:spacing w:before="36" w:line="196" w:lineRule="auto"/>
              <w:jc w:val="right"/>
              <w:rPr>
                <w:sz w:val="21"/>
                <w:szCs w:val="21"/>
              </w:rPr>
            </w:pPr>
            <w:r>
              <w:rPr>
                <w:sz w:val="21"/>
                <w:szCs w:val="21"/>
                <w:spacing w:val="-7"/>
              </w:rPr>
              <w:t>密封桶装</w:t>
            </w:r>
          </w:p>
        </w:tc>
        <w:tc>
          <w:tcPr>
            <w:tcW w:w="739" w:type="dxa"/>
            <w:vAlign w:val="top"/>
            <w:vMerge w:val="continue"/>
            <w:tcBorders>
              <w:top w:val="nil"/>
              <w:bottom w:val="nil"/>
            </w:tcBorders>
          </w:tcPr>
          <w:p>
            <w:pPr>
              <w:rPr>
                <w:rFonts w:ascii="Arial"/>
                <w:sz w:val="21"/>
              </w:rPr>
            </w:pPr>
            <w:r/>
          </w:p>
        </w:tc>
        <w:tc>
          <w:tcPr>
            <w:tcW w:w="704" w:type="dxa"/>
            <w:vAlign w:val="top"/>
          </w:tcPr>
          <w:p>
            <w:pPr>
              <w:pStyle w:val="TableText"/>
              <w:ind w:left="189"/>
              <w:spacing w:before="36" w:line="196" w:lineRule="auto"/>
              <w:rPr>
                <w:sz w:val="21"/>
                <w:szCs w:val="21"/>
              </w:rPr>
            </w:pPr>
            <w:r>
              <w:rPr>
                <w:sz w:val="21"/>
                <w:szCs w:val="21"/>
                <w:spacing w:val="-2"/>
              </w:rPr>
              <w:t>2天</w:t>
            </w:r>
          </w:p>
        </w:tc>
      </w:tr>
      <w:tr>
        <w:trPr>
          <w:trHeight w:val="279" w:hRule="atLeast"/>
        </w:trPr>
        <w:tc>
          <w:tcPr>
            <w:tcW w:w="1224" w:type="dxa"/>
            <w:vAlign w:val="top"/>
            <w:vMerge w:val="continue"/>
            <w:tcBorders>
              <w:top w:val="nil"/>
              <w:bottom w:val="nil"/>
            </w:tcBorders>
          </w:tcPr>
          <w:p>
            <w:pPr>
              <w:rPr>
                <w:rFonts w:ascii="Arial"/>
                <w:sz w:val="21"/>
              </w:rPr>
            </w:pPr>
            <w:r/>
          </w:p>
        </w:tc>
        <w:tc>
          <w:tcPr>
            <w:tcW w:w="1898" w:type="dxa"/>
            <w:vAlign w:val="top"/>
          </w:tcPr>
          <w:p>
            <w:pPr>
              <w:pStyle w:val="TableText"/>
              <w:ind w:left="620"/>
              <w:spacing w:before="46" w:line="196" w:lineRule="auto"/>
              <w:rPr>
                <w:sz w:val="21"/>
                <w:szCs w:val="21"/>
              </w:rPr>
            </w:pPr>
            <w:r>
              <w:rPr>
                <w:sz w:val="21"/>
                <w:szCs w:val="21"/>
                <w:color w:val="606050"/>
                <w:spacing w:val="7"/>
              </w:rPr>
              <w:t>废机油</w:t>
            </w:r>
          </w:p>
        </w:tc>
        <w:tc>
          <w:tcPr>
            <w:tcW w:w="649" w:type="dxa"/>
            <w:vAlign w:val="top"/>
          </w:tcPr>
          <w:p>
            <w:pPr>
              <w:pStyle w:val="TableText"/>
              <w:ind w:left="102"/>
              <w:spacing w:before="100" w:line="169" w:lineRule="exact"/>
              <w:rPr>
                <w:sz w:val="21"/>
                <w:szCs w:val="21"/>
              </w:rPr>
            </w:pPr>
            <w:r>
              <w:rPr>
                <w:sz w:val="21"/>
                <w:szCs w:val="21"/>
                <w:spacing w:val="-1"/>
                <w:position w:val="-2"/>
              </w:rPr>
              <w:t>HW08</w:t>
            </w:r>
          </w:p>
        </w:tc>
        <w:tc>
          <w:tcPr>
            <w:tcW w:w="1109" w:type="dxa"/>
            <w:vAlign w:val="top"/>
          </w:tcPr>
          <w:p>
            <w:pPr>
              <w:pStyle w:val="TableText"/>
              <w:ind w:left="24"/>
              <w:spacing w:before="67" w:line="177" w:lineRule="auto"/>
              <w:rPr>
                <w:sz w:val="21"/>
                <w:szCs w:val="21"/>
              </w:rPr>
            </w:pPr>
            <w:r>
              <w:rPr>
                <w:sz w:val="21"/>
                <w:szCs w:val="21"/>
                <w:spacing w:val="-1"/>
              </w:rPr>
              <w:t>900-249-08</w:t>
            </w:r>
          </w:p>
        </w:tc>
        <w:tc>
          <w:tcPr>
            <w:tcW w:w="1019" w:type="dxa"/>
            <w:vAlign w:val="top"/>
            <w:vMerge w:val="restart"/>
            <w:tcBorders>
              <w:bottom w:val="nil"/>
            </w:tcBorders>
          </w:tcPr>
          <w:p>
            <w:pPr>
              <w:pStyle w:val="TableText"/>
              <w:ind w:left="85"/>
              <w:spacing w:before="37" w:line="220" w:lineRule="auto"/>
              <w:rPr>
                <w:sz w:val="21"/>
                <w:szCs w:val="21"/>
              </w:rPr>
            </w:pPr>
            <w:r>
              <w:rPr>
                <w:sz w:val="21"/>
                <w:szCs w:val="21"/>
                <w:spacing w:val="3"/>
              </w:rPr>
              <w:t>设备维护</w:t>
            </w:r>
          </w:p>
          <w:p>
            <w:pPr>
              <w:pStyle w:val="TableText"/>
              <w:ind w:left="295"/>
              <w:spacing w:before="18" w:line="217" w:lineRule="auto"/>
              <w:rPr>
                <w:sz w:val="21"/>
                <w:szCs w:val="21"/>
              </w:rPr>
            </w:pPr>
            <w:r>
              <w:rPr>
                <w:sz w:val="21"/>
                <w:szCs w:val="21"/>
                <w:color w:val="404040"/>
                <w:spacing w:val="-3"/>
              </w:rPr>
              <w:t>保养</w:t>
            </w:r>
          </w:p>
        </w:tc>
        <w:tc>
          <w:tcPr>
            <w:tcW w:w="529" w:type="dxa"/>
            <w:vAlign w:val="top"/>
            <w:vMerge w:val="continue"/>
            <w:tcBorders>
              <w:top w:val="nil"/>
              <w:bottom w:val="nil"/>
            </w:tcBorders>
          </w:tcPr>
          <w:p>
            <w:pPr>
              <w:rPr>
                <w:rFonts w:ascii="Arial"/>
                <w:sz w:val="21"/>
              </w:rPr>
            </w:pPr>
            <w:r/>
          </w:p>
        </w:tc>
        <w:tc>
          <w:tcPr>
            <w:tcW w:w="839" w:type="dxa"/>
            <w:vAlign w:val="top"/>
          </w:tcPr>
          <w:p>
            <w:pPr>
              <w:pStyle w:val="TableText"/>
              <w:spacing w:before="46" w:line="196" w:lineRule="auto"/>
              <w:jc w:val="right"/>
              <w:rPr>
                <w:sz w:val="21"/>
                <w:szCs w:val="21"/>
              </w:rPr>
            </w:pPr>
            <w:r>
              <w:rPr>
                <w:sz w:val="21"/>
                <w:szCs w:val="21"/>
                <w:color w:val="404040"/>
                <w:spacing w:val="-7"/>
              </w:rPr>
              <w:t>密封桶装</w:t>
            </w:r>
          </w:p>
        </w:tc>
        <w:tc>
          <w:tcPr>
            <w:tcW w:w="739" w:type="dxa"/>
            <w:vAlign w:val="top"/>
            <w:vMerge w:val="continue"/>
            <w:tcBorders>
              <w:top w:val="nil"/>
              <w:bottom w:val="nil"/>
            </w:tcBorders>
          </w:tcPr>
          <w:p>
            <w:pPr>
              <w:rPr>
                <w:rFonts w:ascii="Arial"/>
                <w:sz w:val="21"/>
              </w:rPr>
            </w:pPr>
            <w:r/>
          </w:p>
        </w:tc>
        <w:tc>
          <w:tcPr>
            <w:tcW w:w="704" w:type="dxa"/>
            <w:vAlign w:val="top"/>
          </w:tcPr>
          <w:p>
            <w:pPr>
              <w:pStyle w:val="TableText"/>
              <w:spacing w:before="46" w:line="196" w:lineRule="auto"/>
              <w:jc w:val="right"/>
              <w:rPr>
                <w:sz w:val="21"/>
                <w:szCs w:val="21"/>
              </w:rPr>
            </w:pPr>
            <w:r>
              <w:rPr>
                <w:sz w:val="21"/>
                <w:szCs w:val="21"/>
                <w:spacing w:val="8"/>
              </w:rPr>
              <w:t>12个月</w:t>
            </w:r>
          </w:p>
        </w:tc>
      </w:tr>
      <w:tr>
        <w:trPr>
          <w:trHeight w:val="274" w:hRule="atLeast"/>
        </w:trPr>
        <w:tc>
          <w:tcPr>
            <w:tcW w:w="1224" w:type="dxa"/>
            <w:vAlign w:val="top"/>
            <w:vMerge w:val="continue"/>
            <w:tcBorders>
              <w:top w:val="nil"/>
            </w:tcBorders>
          </w:tcPr>
          <w:p>
            <w:pPr>
              <w:rPr>
                <w:rFonts w:ascii="Arial"/>
                <w:sz w:val="21"/>
              </w:rPr>
            </w:pPr>
            <w:r/>
          </w:p>
        </w:tc>
        <w:tc>
          <w:tcPr>
            <w:tcW w:w="1898" w:type="dxa"/>
            <w:vAlign w:val="top"/>
          </w:tcPr>
          <w:p>
            <w:pPr>
              <w:pStyle w:val="TableText"/>
              <w:ind w:left="310"/>
              <w:spacing w:before="37" w:line="199" w:lineRule="auto"/>
              <w:rPr>
                <w:sz w:val="21"/>
                <w:szCs w:val="21"/>
              </w:rPr>
            </w:pPr>
            <w:r>
              <w:rPr>
                <w:sz w:val="21"/>
                <w:szCs w:val="21"/>
                <w:spacing w:val="-2"/>
              </w:rPr>
              <w:t>含油棉纱手套</w:t>
            </w:r>
          </w:p>
        </w:tc>
        <w:tc>
          <w:tcPr>
            <w:tcW w:w="649" w:type="dxa"/>
            <w:vAlign w:val="top"/>
          </w:tcPr>
          <w:p>
            <w:pPr>
              <w:pStyle w:val="TableText"/>
              <w:ind w:left="102"/>
              <w:spacing w:before="91" w:line="173" w:lineRule="exact"/>
              <w:rPr>
                <w:sz w:val="21"/>
                <w:szCs w:val="21"/>
              </w:rPr>
            </w:pPr>
            <w:r>
              <w:rPr>
                <w:sz w:val="21"/>
                <w:szCs w:val="21"/>
                <w:spacing w:val="-1"/>
                <w:position w:val="-2"/>
              </w:rPr>
              <w:t>HW49</w:t>
            </w:r>
          </w:p>
        </w:tc>
        <w:tc>
          <w:tcPr>
            <w:tcW w:w="1109" w:type="dxa"/>
            <w:vAlign w:val="top"/>
          </w:tcPr>
          <w:p>
            <w:pPr>
              <w:pStyle w:val="TableText"/>
              <w:ind w:left="24"/>
              <w:spacing w:before="58" w:line="181" w:lineRule="auto"/>
              <w:rPr>
                <w:sz w:val="21"/>
                <w:szCs w:val="21"/>
              </w:rPr>
            </w:pPr>
            <w:r>
              <w:rPr>
                <w:sz w:val="21"/>
                <w:szCs w:val="21"/>
                <w:spacing w:val="-1"/>
              </w:rPr>
              <w:t>900-041-49</w:t>
            </w:r>
          </w:p>
        </w:tc>
        <w:tc>
          <w:tcPr>
            <w:tcW w:w="1019" w:type="dxa"/>
            <w:vAlign w:val="top"/>
            <w:vMerge w:val="continue"/>
            <w:tcBorders>
              <w:top w:val="nil"/>
            </w:tcBorders>
          </w:tcPr>
          <w:p>
            <w:pPr>
              <w:rPr>
                <w:rFonts w:ascii="Arial"/>
                <w:sz w:val="21"/>
              </w:rPr>
            </w:pPr>
            <w:r/>
          </w:p>
        </w:tc>
        <w:tc>
          <w:tcPr>
            <w:tcW w:w="529" w:type="dxa"/>
            <w:vAlign w:val="top"/>
            <w:vMerge w:val="continue"/>
            <w:tcBorders>
              <w:top w:val="nil"/>
            </w:tcBorders>
          </w:tcPr>
          <w:p>
            <w:pPr>
              <w:rPr>
                <w:rFonts w:ascii="Arial"/>
                <w:sz w:val="21"/>
              </w:rPr>
            </w:pPr>
            <w:r/>
          </w:p>
        </w:tc>
        <w:tc>
          <w:tcPr>
            <w:tcW w:w="839" w:type="dxa"/>
            <w:vAlign w:val="top"/>
          </w:tcPr>
          <w:p>
            <w:pPr>
              <w:pStyle w:val="TableText"/>
              <w:ind w:left="207"/>
              <w:spacing w:before="38" w:line="198" w:lineRule="auto"/>
              <w:rPr>
                <w:sz w:val="21"/>
                <w:szCs w:val="21"/>
              </w:rPr>
            </w:pPr>
            <w:r>
              <w:rPr>
                <w:sz w:val="21"/>
                <w:szCs w:val="21"/>
                <w:color w:val="707070"/>
                <w:spacing w:val="-3"/>
              </w:rPr>
              <w:t>袋装</w:t>
            </w:r>
          </w:p>
        </w:tc>
        <w:tc>
          <w:tcPr>
            <w:tcW w:w="739" w:type="dxa"/>
            <w:vAlign w:val="top"/>
            <w:vMerge w:val="continue"/>
            <w:tcBorders>
              <w:top w:val="nil"/>
            </w:tcBorders>
          </w:tcPr>
          <w:p>
            <w:pPr>
              <w:rPr>
                <w:rFonts w:ascii="Arial"/>
                <w:sz w:val="21"/>
              </w:rPr>
            </w:pPr>
            <w:r/>
          </w:p>
        </w:tc>
        <w:tc>
          <w:tcPr>
            <w:tcW w:w="704" w:type="dxa"/>
            <w:vAlign w:val="top"/>
          </w:tcPr>
          <w:p>
            <w:pPr>
              <w:pStyle w:val="TableText"/>
              <w:spacing w:before="37" w:line="199" w:lineRule="auto"/>
              <w:jc w:val="right"/>
              <w:rPr>
                <w:sz w:val="21"/>
                <w:szCs w:val="21"/>
              </w:rPr>
            </w:pPr>
            <w:r>
              <w:rPr>
                <w:sz w:val="21"/>
                <w:szCs w:val="21"/>
                <w:color w:val="503030"/>
                <w:spacing w:val="8"/>
              </w:rPr>
              <w:t>12个月</w:t>
            </w:r>
          </w:p>
        </w:tc>
      </w:tr>
    </w:tbl>
    <w:p>
      <w:pPr>
        <w:ind w:left="688"/>
        <w:spacing w:before="72" w:line="220" w:lineRule="auto"/>
        <w:rPr>
          <w:rFonts w:ascii="SimSun" w:hAnsi="SimSun" w:eastAsia="SimSun" w:cs="SimSun"/>
          <w:sz w:val="24"/>
          <w:szCs w:val="24"/>
        </w:rPr>
      </w:pPr>
      <w:r>
        <w:rPr>
          <w:rFonts w:ascii="SimSun" w:hAnsi="SimSun" w:eastAsia="SimSun" w:cs="SimSun"/>
          <w:sz w:val="24"/>
          <w:szCs w:val="24"/>
          <w:b/>
          <w:bCs/>
          <w:spacing w:val="-4"/>
        </w:rPr>
        <w:t>环评要求：</w:t>
      </w:r>
    </w:p>
    <w:p>
      <w:pPr>
        <w:ind w:left="204" w:right="386" w:firstLine="470"/>
        <w:spacing w:before="169" w:line="316" w:lineRule="auto"/>
        <w:rPr>
          <w:rFonts w:ascii="SimSun" w:hAnsi="SimSun" w:eastAsia="SimSun" w:cs="SimSun"/>
          <w:sz w:val="24"/>
          <w:szCs w:val="24"/>
        </w:rPr>
      </w:pPr>
      <w:r>
        <w:rPr>
          <w:rFonts w:ascii="SimSun" w:hAnsi="SimSun" w:eastAsia="SimSun" w:cs="SimSun"/>
          <w:sz w:val="24"/>
          <w:szCs w:val="24"/>
          <w:spacing w:val="11"/>
        </w:rPr>
        <w:t>1)建设单位在场区内设置1处危废暂存间(建筑面积约20</w:t>
      </w:r>
      <w:r>
        <w:rPr>
          <w:rFonts w:ascii="Times New Roman" w:hAnsi="Times New Roman" w:eastAsia="Times New Roman" w:cs="Times New Roman"/>
          <w:sz w:val="24"/>
          <w:szCs w:val="24"/>
          <w:spacing w:val="11"/>
        </w:rPr>
        <w:t>m²),</w:t>
      </w:r>
      <w:r>
        <w:rPr>
          <w:rFonts w:ascii="Times New Roman" w:hAnsi="Times New Roman" w:eastAsia="Times New Roman" w:cs="Times New Roman"/>
          <w:sz w:val="24"/>
          <w:szCs w:val="24"/>
          <w:spacing w:val="10"/>
        </w:rPr>
        <w:t xml:space="preserve">     </w:t>
      </w:r>
      <w:r>
        <w:rPr>
          <w:rFonts w:ascii="SimSun" w:hAnsi="SimSun" w:eastAsia="SimSun" w:cs="SimSun"/>
          <w:sz w:val="24"/>
          <w:szCs w:val="24"/>
          <w:spacing w:val="10"/>
        </w:rPr>
        <w:t>位于污</w:t>
      </w:r>
      <w:r>
        <w:rPr>
          <w:rFonts w:ascii="SimSun" w:hAnsi="SimSun" w:eastAsia="SimSun" w:cs="SimSun"/>
          <w:sz w:val="24"/>
          <w:szCs w:val="24"/>
        </w:rPr>
        <w:t xml:space="preserve"> </w:t>
      </w:r>
      <w:r>
        <w:rPr>
          <w:rFonts w:ascii="SimSun" w:hAnsi="SimSun" w:eastAsia="SimSun" w:cs="SimSun"/>
          <w:sz w:val="24"/>
          <w:szCs w:val="24"/>
          <w:spacing w:val="7"/>
        </w:rPr>
        <w:t>水处理站东北侧。内设高密度聚乙烯塑料桶</w:t>
      </w:r>
      <w:r>
        <w:rPr>
          <w:rFonts w:ascii="SimSun" w:hAnsi="SimSun" w:eastAsia="SimSun" w:cs="SimSun"/>
          <w:sz w:val="24"/>
          <w:szCs w:val="24"/>
          <w:spacing w:val="6"/>
        </w:rPr>
        <w:t>(内衬专用塑料袋)对卫生防疫产</w:t>
      </w:r>
      <w:r>
        <w:rPr>
          <w:rFonts w:ascii="SimSun" w:hAnsi="SimSun" w:eastAsia="SimSun" w:cs="SimSun"/>
          <w:sz w:val="24"/>
          <w:szCs w:val="24"/>
        </w:rPr>
        <w:t xml:space="preserve"> </w:t>
      </w:r>
      <w:r>
        <w:rPr>
          <w:rFonts w:ascii="SimSun" w:hAnsi="SimSun" w:eastAsia="SimSun" w:cs="SimSun"/>
          <w:sz w:val="24"/>
          <w:szCs w:val="24"/>
          <w:spacing w:val="6"/>
        </w:rPr>
        <w:t>生的废药品(含器具)进行收集，禁止与生活垃圾进行混装。做好防渗漏措</w:t>
      </w:r>
    </w:p>
    <w:p>
      <w:pPr>
        <w:ind w:left="204" w:right="265"/>
        <w:spacing w:before="148" w:line="287" w:lineRule="auto"/>
        <w:rPr>
          <w:rFonts w:ascii="SimSun" w:hAnsi="SimSun" w:eastAsia="SimSun" w:cs="SimSun"/>
          <w:sz w:val="24"/>
          <w:szCs w:val="24"/>
        </w:rPr>
      </w:pPr>
      <w:r>
        <w:rPr>
          <w:rFonts w:ascii="SimSun" w:hAnsi="SimSun" w:eastAsia="SimSun" w:cs="SimSun"/>
          <w:sz w:val="24"/>
          <w:szCs w:val="24"/>
          <w:spacing w:val="-1"/>
        </w:rPr>
        <w:t>施，地面采取混凝土地面加铺防渗剂和人工材料</w:t>
      </w:r>
      <w:r>
        <w:rPr>
          <w:rFonts w:ascii="SimSun" w:hAnsi="SimSun" w:eastAsia="SimSun" w:cs="SimSun"/>
          <w:sz w:val="24"/>
          <w:szCs w:val="24"/>
          <w:spacing w:val="-31"/>
        </w:rPr>
        <w:t xml:space="preserve"> </w:t>
      </w:r>
      <w:r>
        <w:rPr>
          <w:rFonts w:ascii="Times New Roman" w:hAnsi="Times New Roman" w:eastAsia="Times New Roman" w:cs="Times New Roman"/>
          <w:sz w:val="24"/>
          <w:szCs w:val="24"/>
          <w:spacing w:val="-1"/>
        </w:rPr>
        <w:t>(HDPE)</w:t>
      </w:r>
      <w:r>
        <w:rPr>
          <w:rFonts w:ascii="Times New Roman" w:hAnsi="Times New Roman" w:eastAsia="Times New Roman" w:cs="Times New Roman"/>
          <w:sz w:val="24"/>
          <w:szCs w:val="24"/>
          <w:spacing w:val="18"/>
        </w:rPr>
        <w:t xml:space="preserve">   </w:t>
      </w:r>
      <w:r>
        <w:rPr>
          <w:rFonts w:ascii="SimSun" w:hAnsi="SimSun" w:eastAsia="SimSun" w:cs="SimSun"/>
          <w:sz w:val="24"/>
          <w:szCs w:val="24"/>
          <w:spacing w:val="-2"/>
        </w:rPr>
        <w:t>防渗层，确保等效黏</w:t>
      </w:r>
      <w:r>
        <w:rPr>
          <w:rFonts w:ascii="SimSun" w:hAnsi="SimSun" w:eastAsia="SimSun" w:cs="SimSun"/>
          <w:sz w:val="24"/>
          <w:szCs w:val="24"/>
        </w:rPr>
        <w:t xml:space="preserve"> </w:t>
      </w:r>
      <w:r>
        <w:rPr>
          <w:rFonts w:ascii="SimSun" w:hAnsi="SimSun" w:eastAsia="SimSun" w:cs="SimSun"/>
          <w:sz w:val="24"/>
          <w:szCs w:val="24"/>
          <w:spacing w:val="-1"/>
        </w:rPr>
        <w:t>土防渗层</w:t>
      </w:r>
      <w:r>
        <w:rPr>
          <w:rFonts w:ascii="Times New Roman" w:hAnsi="Times New Roman" w:eastAsia="Times New Roman" w:cs="Times New Roman"/>
          <w:sz w:val="24"/>
          <w:szCs w:val="24"/>
          <w:spacing w:val="-1"/>
        </w:rPr>
        <w:t>K≤1×10-10cm/s,</w:t>
      </w:r>
      <w:r>
        <w:rPr>
          <w:rFonts w:ascii="Times New Roman" w:hAnsi="Times New Roman" w:eastAsia="Times New Roman" w:cs="Times New Roman"/>
          <w:sz w:val="24"/>
          <w:szCs w:val="24"/>
          <w:spacing w:val="36"/>
        </w:rPr>
        <w:t xml:space="preserve"> </w:t>
      </w:r>
      <w:r>
        <w:rPr>
          <w:rFonts w:ascii="SimSun" w:hAnsi="SimSun" w:eastAsia="SimSun" w:cs="SimSun"/>
          <w:sz w:val="24"/>
          <w:szCs w:val="24"/>
          <w:spacing w:val="-1"/>
        </w:rPr>
        <w:t>防止造成地下水污染。</w:t>
      </w:r>
    </w:p>
    <w:p>
      <w:pPr>
        <w:ind w:left="204" w:right="260" w:firstLine="470"/>
        <w:spacing w:before="241" w:line="313" w:lineRule="auto"/>
        <w:rPr>
          <w:rFonts w:ascii="Times New Roman" w:hAnsi="Times New Roman" w:eastAsia="Times New Roman" w:cs="Times New Roman"/>
          <w:sz w:val="24"/>
          <w:szCs w:val="24"/>
        </w:rPr>
      </w:pPr>
      <w:r>
        <w:rPr>
          <w:rFonts w:ascii="SimSun" w:hAnsi="SimSun" w:eastAsia="SimSun" w:cs="SimSun"/>
          <w:sz w:val="24"/>
          <w:szCs w:val="24"/>
          <w:spacing w:val="4"/>
        </w:rPr>
        <w:t>2)项目产生的医疗危险废物存放处置按照《</w:t>
      </w:r>
      <w:r>
        <w:rPr>
          <w:rFonts w:ascii="SimSun" w:hAnsi="SimSun" w:eastAsia="SimSun" w:cs="SimSun"/>
          <w:sz w:val="24"/>
          <w:szCs w:val="24"/>
          <w:spacing w:val="3"/>
        </w:rPr>
        <w:t>医疗废物分类目录》、《医疗</w:t>
      </w:r>
      <w:r>
        <w:rPr>
          <w:rFonts w:ascii="SimSun" w:hAnsi="SimSun" w:eastAsia="SimSun" w:cs="SimSun"/>
          <w:sz w:val="24"/>
          <w:szCs w:val="24"/>
        </w:rPr>
        <w:t xml:space="preserve"> </w:t>
      </w:r>
      <w:r>
        <w:rPr>
          <w:rFonts w:ascii="SimSun" w:hAnsi="SimSun" w:eastAsia="SimSun" w:cs="SimSun"/>
          <w:sz w:val="24"/>
          <w:szCs w:val="24"/>
        </w:rPr>
        <w:t>废物管理条例》、《医疗卫生机构医疗废物管理办法》</w:t>
      </w:r>
      <w:r>
        <w:rPr>
          <w:rFonts w:ascii="SimSun" w:hAnsi="SimSun" w:eastAsia="SimSun" w:cs="SimSun"/>
          <w:sz w:val="24"/>
          <w:szCs w:val="24"/>
          <w:spacing w:val="-1"/>
        </w:rPr>
        <w:t>、《危险废物贮存污染</w:t>
      </w:r>
      <w:r>
        <w:rPr>
          <w:rFonts w:ascii="SimSun" w:hAnsi="SimSun" w:eastAsia="SimSun" w:cs="SimSun"/>
          <w:sz w:val="24"/>
          <w:szCs w:val="24"/>
        </w:rPr>
        <w:t xml:space="preserve">  </w:t>
      </w:r>
      <w:r>
        <w:rPr>
          <w:rFonts w:ascii="SimSun" w:hAnsi="SimSun" w:eastAsia="SimSun" w:cs="SimSun"/>
          <w:sz w:val="24"/>
          <w:szCs w:val="24"/>
        </w:rPr>
        <w:t>控制标准》 </w:t>
      </w:r>
      <w:r>
        <w:rPr>
          <w:rFonts w:ascii="Times New Roman" w:hAnsi="Times New Roman" w:eastAsia="Times New Roman" w:cs="Times New Roman"/>
          <w:sz w:val="24"/>
          <w:szCs w:val="24"/>
        </w:rPr>
        <w:t>(GB18597-2023)   </w:t>
      </w:r>
      <w:r>
        <w:rPr>
          <w:rFonts w:ascii="SimSun" w:hAnsi="SimSun" w:eastAsia="SimSun" w:cs="SimSun"/>
          <w:sz w:val="24"/>
          <w:szCs w:val="24"/>
        </w:rPr>
        <w:t>严格执行，严禁将危险废物随意露天堆放。危险</w:t>
      </w:r>
      <w:r>
        <w:rPr>
          <w:rFonts w:ascii="SimSun" w:hAnsi="SimSun" w:eastAsia="SimSun" w:cs="SimSun"/>
          <w:sz w:val="24"/>
          <w:szCs w:val="24"/>
          <w:spacing w:val="15"/>
        </w:rPr>
        <w:t xml:space="preserve"> </w:t>
      </w:r>
      <w:r>
        <w:rPr>
          <w:rFonts w:ascii="SimSun" w:hAnsi="SimSun" w:eastAsia="SimSun" w:cs="SimSun"/>
          <w:sz w:val="24"/>
          <w:szCs w:val="24"/>
        </w:rPr>
        <w:t>废物暂存间还应严格按照《危险废物识别标志设置技术规范》</w:t>
      </w:r>
      <w:r>
        <w:rPr>
          <w:rFonts w:ascii="SimSun" w:hAnsi="SimSun" w:eastAsia="SimSun" w:cs="SimSun"/>
          <w:sz w:val="24"/>
          <w:szCs w:val="24"/>
          <w:spacing w:val="-40"/>
        </w:rPr>
        <w:t xml:space="preserve"> </w:t>
      </w:r>
      <w:r>
        <w:rPr>
          <w:rFonts w:ascii="Times New Roman" w:hAnsi="Times New Roman" w:eastAsia="Times New Roman" w:cs="Times New Roman"/>
          <w:sz w:val="24"/>
          <w:szCs w:val="24"/>
        </w:rPr>
        <w:t>(H</w:t>
      </w:r>
      <w:r>
        <w:rPr>
          <w:rFonts w:ascii="Times New Roman" w:hAnsi="Times New Roman" w:eastAsia="Times New Roman" w:cs="Times New Roman"/>
          <w:sz w:val="24"/>
          <w:szCs w:val="24"/>
          <w:spacing w:val="-1"/>
        </w:rPr>
        <w:t>J1276-2022)</w:t>
      </w:r>
    </w:p>
    <w:p>
      <w:pPr>
        <w:ind w:left="204" w:right="382"/>
        <w:spacing w:before="211" w:line="327" w:lineRule="auto"/>
        <w:rPr>
          <w:rFonts w:ascii="SimSun" w:hAnsi="SimSun" w:eastAsia="SimSun" w:cs="SimSun"/>
          <w:sz w:val="24"/>
          <w:szCs w:val="24"/>
        </w:rPr>
      </w:pPr>
      <w:r>
        <w:rPr>
          <w:rFonts w:ascii="SimSun" w:hAnsi="SimSun" w:eastAsia="SimSun" w:cs="SimSun"/>
          <w:sz w:val="24"/>
          <w:szCs w:val="24"/>
          <w:spacing w:val="-1"/>
        </w:rPr>
        <w:t>的规定设置警示标识；在项目建成投运前必须与具有相应资质类别的危险废物</w:t>
      </w:r>
      <w:r>
        <w:rPr>
          <w:rFonts w:ascii="SimSun" w:hAnsi="SimSun" w:eastAsia="SimSun" w:cs="SimSun"/>
          <w:sz w:val="24"/>
          <w:szCs w:val="24"/>
          <w:spacing w:val="3"/>
        </w:rPr>
        <w:t xml:space="preserve"> </w:t>
      </w:r>
      <w:r>
        <w:rPr>
          <w:rFonts w:ascii="SimSun" w:hAnsi="SimSun" w:eastAsia="SimSun" w:cs="SimSun"/>
          <w:sz w:val="24"/>
          <w:szCs w:val="24"/>
          <w:spacing w:val="3"/>
        </w:rPr>
        <w:t>处理资质的单位签订危险废物处置协议，由资质单位定期(医疗废物暂</w:t>
      </w:r>
      <w:r>
        <w:rPr>
          <w:rFonts w:ascii="SimSun" w:hAnsi="SimSun" w:eastAsia="SimSun" w:cs="SimSun"/>
          <w:sz w:val="24"/>
          <w:szCs w:val="24"/>
          <w:spacing w:val="2"/>
        </w:rPr>
        <w:t>时贮存</w:t>
      </w:r>
      <w:r>
        <w:rPr>
          <w:rFonts w:ascii="SimSun" w:hAnsi="SimSun" w:eastAsia="SimSun" w:cs="SimSun"/>
          <w:sz w:val="24"/>
          <w:szCs w:val="24"/>
        </w:rPr>
        <w:t xml:space="preserve"> </w:t>
      </w:r>
      <w:r>
        <w:rPr>
          <w:rFonts w:ascii="SimSun" w:hAnsi="SimSun" w:eastAsia="SimSun" w:cs="SimSun"/>
          <w:sz w:val="24"/>
          <w:szCs w:val="24"/>
          <w:spacing w:val="6"/>
        </w:rPr>
        <w:t>的时间不得超过2天)转运处置；危险废物</w:t>
      </w:r>
      <w:r>
        <w:rPr>
          <w:rFonts w:ascii="SimSun" w:hAnsi="SimSun" w:eastAsia="SimSun" w:cs="SimSun"/>
          <w:sz w:val="24"/>
          <w:szCs w:val="24"/>
          <w:spacing w:val="5"/>
        </w:rPr>
        <w:t>转运时必须安全转移，防止撒漏。</w:t>
      </w:r>
      <w:r>
        <w:rPr>
          <w:rFonts w:ascii="SimSun" w:hAnsi="SimSun" w:eastAsia="SimSun" w:cs="SimSun"/>
          <w:sz w:val="24"/>
          <w:szCs w:val="24"/>
        </w:rPr>
        <w:t xml:space="preserve"> </w:t>
      </w:r>
      <w:r>
        <w:rPr>
          <w:rFonts w:ascii="SimSun" w:hAnsi="SimSun" w:eastAsia="SimSun" w:cs="SimSun"/>
          <w:sz w:val="24"/>
          <w:szCs w:val="24"/>
        </w:rPr>
        <w:t>危险废物的处置需严格按照《危险废物转移管</w:t>
      </w:r>
      <w:r>
        <w:rPr>
          <w:rFonts w:ascii="SimSun" w:hAnsi="SimSun" w:eastAsia="SimSun" w:cs="SimSun"/>
          <w:sz w:val="24"/>
          <w:szCs w:val="24"/>
          <w:spacing w:val="-1"/>
        </w:rPr>
        <w:t>理办法》规定办理危险废物转移</w:t>
      </w:r>
      <w:r>
        <w:rPr>
          <w:rFonts w:ascii="SimSun" w:hAnsi="SimSun" w:eastAsia="SimSun" w:cs="SimSun"/>
          <w:sz w:val="24"/>
          <w:szCs w:val="24"/>
        </w:rPr>
        <w:t xml:space="preserve"> </w:t>
      </w:r>
      <w:r>
        <w:rPr>
          <w:rFonts w:ascii="SimSun" w:hAnsi="SimSun" w:eastAsia="SimSun" w:cs="SimSun"/>
          <w:sz w:val="24"/>
          <w:szCs w:val="24"/>
          <w:spacing w:val="-1"/>
        </w:rPr>
        <w:t>手续，并严格执行《危险废物转移管理办法》规定，防止二次污染。</w:t>
      </w:r>
    </w:p>
    <w:p>
      <w:pPr>
        <w:ind w:left="204" w:right="258" w:firstLine="470"/>
        <w:spacing w:before="183" w:line="291" w:lineRule="auto"/>
        <w:rPr>
          <w:rFonts w:ascii="SimSun" w:hAnsi="SimSun" w:eastAsia="SimSun" w:cs="SimSun"/>
          <w:sz w:val="24"/>
          <w:szCs w:val="24"/>
        </w:rPr>
      </w:pPr>
      <w:r>
        <w:rPr>
          <w:rFonts w:ascii="SimSun" w:hAnsi="SimSun" w:eastAsia="SimSun" w:cs="SimSun"/>
          <w:sz w:val="24"/>
          <w:szCs w:val="24"/>
          <w:spacing w:val="4"/>
        </w:rPr>
        <w:t>3)危险废物转移前应依法向危险废物转出和转入</w:t>
      </w:r>
      <w:r>
        <w:rPr>
          <w:rFonts w:ascii="SimSun" w:hAnsi="SimSun" w:eastAsia="SimSun" w:cs="SimSun"/>
          <w:sz w:val="24"/>
          <w:szCs w:val="24"/>
          <w:spacing w:val="3"/>
        </w:rPr>
        <w:t>所在的生态环境部门进行</w:t>
      </w:r>
      <w:r>
        <w:rPr>
          <w:rFonts w:ascii="SimSun" w:hAnsi="SimSun" w:eastAsia="SimSun" w:cs="SimSun"/>
          <w:sz w:val="24"/>
          <w:szCs w:val="24"/>
        </w:rPr>
        <w:t xml:space="preserve"> </w:t>
      </w:r>
      <w:r>
        <w:rPr>
          <w:rFonts w:ascii="SimSun" w:hAnsi="SimSun" w:eastAsia="SimSun" w:cs="SimSun"/>
          <w:sz w:val="24"/>
          <w:szCs w:val="24"/>
          <w:spacing w:val="-1"/>
        </w:rPr>
        <w:t>申报备案，严格按照国家危险废物管理规定，遵守《危险废物转移管理办</w:t>
      </w:r>
    </w:p>
    <w:p>
      <w:pPr>
        <w:ind w:left="204"/>
        <w:spacing w:before="182" w:line="216" w:lineRule="auto"/>
        <w:rPr>
          <w:rFonts w:ascii="SimSun" w:hAnsi="SimSun" w:eastAsia="SimSun" w:cs="SimSun"/>
          <w:sz w:val="24"/>
          <w:szCs w:val="24"/>
        </w:rPr>
      </w:pPr>
      <w:r>
        <w:rPr>
          <w:rFonts w:ascii="SimSun" w:hAnsi="SimSun" w:eastAsia="SimSun" w:cs="SimSun"/>
          <w:sz w:val="24"/>
          <w:szCs w:val="24"/>
          <w:spacing w:val="4"/>
        </w:rPr>
        <w:t>法》,交由有相应资质类别的单位进行处置，办理转移手续。</w:t>
      </w:r>
    </w:p>
    <w:p>
      <w:pPr>
        <w:spacing w:line="216" w:lineRule="auto"/>
        <w:sectPr>
          <w:headerReference w:type="default" r:id="rId357"/>
          <w:footerReference w:type="default" r:id="rId358"/>
          <w:pgSz w:w="11910" w:h="16840"/>
          <w:pgMar w:top="1167" w:right="1599" w:bottom="932" w:left="1574" w:header="874" w:footer="761" w:gutter="0"/>
        </w:sectPr>
        <w:rPr>
          <w:rFonts w:ascii="SimSun" w:hAnsi="SimSun" w:eastAsia="SimSun" w:cs="SimSun"/>
          <w:sz w:val="24"/>
          <w:szCs w:val="24"/>
        </w:rPr>
      </w:pPr>
    </w:p>
    <w:p>
      <w:pPr>
        <w:ind w:left="3" w:right="70" w:firstLine="460"/>
        <w:spacing w:before="298" w:line="371" w:lineRule="auto"/>
        <w:jc w:val="both"/>
        <w:rPr>
          <w:rFonts w:ascii="SimSun" w:hAnsi="SimSun" w:eastAsia="SimSun" w:cs="SimSun"/>
          <w:sz w:val="23"/>
          <w:szCs w:val="23"/>
        </w:rPr>
      </w:pPr>
      <w:r>
        <w:rPr>
          <w:rFonts w:ascii="SimSun" w:hAnsi="SimSun" w:eastAsia="SimSun" w:cs="SimSun"/>
          <w:sz w:val="23"/>
          <w:szCs w:val="23"/>
          <w:spacing w:val="13"/>
        </w:rPr>
        <w:t>4)危废暂存间的选址与设计、运行与管理、安全防护、环境监测及应急措</w:t>
      </w:r>
      <w:r>
        <w:rPr>
          <w:rFonts w:ascii="SimSun" w:hAnsi="SimSun" w:eastAsia="SimSun" w:cs="SimSun"/>
          <w:sz w:val="23"/>
          <w:szCs w:val="23"/>
          <w:spacing w:val="12"/>
        </w:rPr>
        <w:t xml:space="preserve"> </w:t>
      </w:r>
      <w:r>
        <w:rPr>
          <w:rFonts w:ascii="SimSun" w:hAnsi="SimSun" w:eastAsia="SimSun" w:cs="SimSun"/>
          <w:sz w:val="23"/>
          <w:szCs w:val="23"/>
          <w:spacing w:val="5"/>
        </w:rPr>
        <w:t>施等须遵循《危险废物贮存污染控制标准》</w:t>
      </w:r>
      <w:r>
        <w:rPr>
          <w:rFonts w:ascii="SimSun" w:hAnsi="SimSun" w:eastAsia="SimSun" w:cs="SimSun"/>
          <w:sz w:val="23"/>
          <w:szCs w:val="23"/>
          <w:spacing w:val="84"/>
        </w:rPr>
        <w:t xml:space="preserve"> </w:t>
      </w:r>
      <w:r>
        <w:rPr>
          <w:rFonts w:ascii="SimSun" w:hAnsi="SimSun" w:eastAsia="SimSun" w:cs="SimSun"/>
          <w:sz w:val="23"/>
          <w:szCs w:val="23"/>
          <w:spacing w:val="5"/>
        </w:rPr>
        <w:t>(</w:t>
      </w:r>
      <w:r>
        <w:rPr>
          <w:rFonts w:ascii="SimSun" w:hAnsi="SimSun" w:eastAsia="SimSun" w:cs="SimSun"/>
          <w:sz w:val="23"/>
          <w:szCs w:val="23"/>
        </w:rPr>
        <w:t>GB</w:t>
      </w:r>
      <w:r>
        <w:rPr>
          <w:rFonts w:ascii="SimSun" w:hAnsi="SimSun" w:eastAsia="SimSun" w:cs="SimSun"/>
          <w:sz w:val="23"/>
          <w:szCs w:val="23"/>
          <w:spacing w:val="5"/>
        </w:rPr>
        <w:t>18597-2023)  的规定。建设单</w:t>
      </w:r>
      <w:r>
        <w:rPr>
          <w:rFonts w:ascii="SimSun" w:hAnsi="SimSun" w:eastAsia="SimSun" w:cs="SimSun"/>
          <w:sz w:val="23"/>
          <w:szCs w:val="23"/>
        </w:rPr>
        <w:t xml:space="preserve"> </w:t>
      </w:r>
      <w:r>
        <w:rPr>
          <w:rFonts w:ascii="SimSun" w:hAnsi="SimSun" w:eastAsia="SimSun" w:cs="SimSun"/>
          <w:sz w:val="23"/>
          <w:szCs w:val="23"/>
          <w:spacing w:val="8"/>
        </w:rPr>
        <w:t>位对危险废物暂存间做好防渗、防腐处理。</w:t>
      </w:r>
    </w:p>
    <w:p>
      <w:pPr>
        <w:ind w:left="463"/>
        <w:spacing w:before="23" w:line="219" w:lineRule="auto"/>
        <w:rPr>
          <w:rFonts w:ascii="SimSun" w:hAnsi="SimSun" w:eastAsia="SimSun" w:cs="SimSun"/>
          <w:sz w:val="23"/>
          <w:szCs w:val="23"/>
        </w:rPr>
      </w:pPr>
      <w:r>
        <w:rPr>
          <w:rFonts w:ascii="SimSun" w:hAnsi="SimSun" w:eastAsia="SimSun" w:cs="SimSun"/>
          <w:sz w:val="23"/>
          <w:szCs w:val="23"/>
          <w:spacing w:val="10"/>
        </w:rPr>
        <w:t>综上所述，本项目运营期产生的固体废弃物去向明确，处置措施合</w:t>
      </w:r>
      <w:r>
        <w:rPr>
          <w:rFonts w:ascii="SimSun" w:hAnsi="SimSun" w:eastAsia="SimSun" w:cs="SimSun"/>
          <w:sz w:val="23"/>
          <w:szCs w:val="23"/>
          <w:spacing w:val="9"/>
        </w:rPr>
        <w:t>理可</w:t>
      </w:r>
    </w:p>
    <w:p>
      <w:pPr>
        <w:ind w:left="3" w:right="178"/>
        <w:spacing w:before="178" w:line="367" w:lineRule="auto"/>
        <w:rPr>
          <w:rFonts w:ascii="SimSun" w:hAnsi="SimSun" w:eastAsia="SimSun" w:cs="SimSun"/>
          <w:sz w:val="23"/>
          <w:szCs w:val="23"/>
        </w:rPr>
      </w:pPr>
      <w:r>
        <w:rPr>
          <w:rFonts w:ascii="SimSun" w:hAnsi="SimSun" w:eastAsia="SimSun" w:cs="SimSun"/>
          <w:sz w:val="23"/>
          <w:szCs w:val="23"/>
          <w:spacing w:val="10"/>
        </w:rPr>
        <w:t>行，可有效防止固体废物的逸散和对环境的二次污染，不会对周</w:t>
      </w:r>
      <w:r>
        <w:rPr>
          <w:rFonts w:ascii="SimSun" w:hAnsi="SimSun" w:eastAsia="SimSun" w:cs="SimSun"/>
          <w:sz w:val="23"/>
          <w:szCs w:val="23"/>
          <w:spacing w:val="9"/>
        </w:rPr>
        <w:t>围环境造成明</w:t>
      </w:r>
      <w:r>
        <w:rPr>
          <w:rFonts w:ascii="SimSun" w:hAnsi="SimSun" w:eastAsia="SimSun" w:cs="SimSun"/>
          <w:sz w:val="23"/>
          <w:szCs w:val="23"/>
        </w:rPr>
        <w:t xml:space="preserve"> </w:t>
      </w:r>
      <w:r>
        <w:rPr>
          <w:rFonts w:ascii="SimSun" w:hAnsi="SimSun" w:eastAsia="SimSun" w:cs="SimSun"/>
          <w:sz w:val="23"/>
          <w:szCs w:val="23"/>
          <w:spacing w:val="4"/>
        </w:rPr>
        <w:t>显不利影响。</w:t>
      </w:r>
    </w:p>
    <w:p>
      <w:pPr>
        <w:ind w:left="7"/>
        <w:spacing w:before="41" w:line="221" w:lineRule="auto"/>
        <w:rPr>
          <w:rFonts w:ascii="SimHei" w:hAnsi="SimHei" w:eastAsia="SimHei" w:cs="SimHei"/>
          <w:sz w:val="25"/>
          <w:szCs w:val="25"/>
        </w:rPr>
      </w:pPr>
      <w:r>
        <w:rPr>
          <w:rFonts w:ascii="SimHei" w:hAnsi="SimHei" w:eastAsia="SimHei" w:cs="SimHei"/>
          <w:sz w:val="25"/>
          <w:szCs w:val="25"/>
          <w:b/>
          <w:bCs/>
          <w:spacing w:val="14"/>
        </w:rPr>
        <w:t>3.11.5地下水污染途径及预防措施</w:t>
      </w:r>
    </w:p>
    <w:p>
      <w:pPr>
        <w:ind w:left="3" w:right="53" w:firstLine="460"/>
        <w:spacing w:before="222" w:line="361" w:lineRule="auto"/>
        <w:rPr>
          <w:rFonts w:ascii="SimSun" w:hAnsi="SimSun" w:eastAsia="SimSun" w:cs="SimSun"/>
          <w:sz w:val="23"/>
          <w:szCs w:val="23"/>
        </w:rPr>
      </w:pPr>
      <w:r>
        <w:rPr>
          <w:rFonts w:ascii="SimSun" w:hAnsi="SimSun" w:eastAsia="SimSun" w:cs="SimSun"/>
          <w:sz w:val="23"/>
          <w:szCs w:val="23"/>
          <w:spacing w:val="7"/>
        </w:rPr>
        <w:t>本评价依据《环境影响评价技术导则地下水环境》</w:t>
      </w:r>
      <w:r>
        <w:rPr>
          <w:rFonts w:ascii="SimSun" w:hAnsi="SimSun" w:eastAsia="SimSun" w:cs="SimSun"/>
          <w:sz w:val="23"/>
          <w:szCs w:val="23"/>
          <w:spacing w:val="99"/>
        </w:rPr>
        <w:t xml:space="preserve"> </w:t>
      </w:r>
      <w:r>
        <w:rPr>
          <w:rFonts w:ascii="SimSun" w:hAnsi="SimSun" w:eastAsia="SimSun" w:cs="SimSun"/>
          <w:sz w:val="23"/>
          <w:szCs w:val="23"/>
          <w:spacing w:val="7"/>
        </w:rPr>
        <w:t>(</w:t>
      </w:r>
      <w:r>
        <w:rPr>
          <w:rFonts w:ascii="SimSun" w:hAnsi="SimSun" w:eastAsia="SimSun" w:cs="SimSun"/>
          <w:sz w:val="23"/>
          <w:szCs w:val="23"/>
        </w:rPr>
        <w:t>HJ</w:t>
      </w:r>
      <w:r>
        <w:rPr>
          <w:rFonts w:ascii="SimSun" w:hAnsi="SimSun" w:eastAsia="SimSun" w:cs="SimSun"/>
          <w:sz w:val="23"/>
          <w:szCs w:val="23"/>
          <w:spacing w:val="7"/>
        </w:rPr>
        <w:t>610-2016)</w:t>
      </w:r>
      <w:r>
        <w:rPr>
          <w:rFonts w:ascii="SimSun" w:hAnsi="SimSun" w:eastAsia="SimSun" w:cs="SimSun"/>
          <w:sz w:val="23"/>
          <w:szCs w:val="23"/>
          <w:spacing w:val="114"/>
        </w:rPr>
        <w:t xml:space="preserve"> </w:t>
      </w:r>
      <w:r>
        <w:rPr>
          <w:rFonts w:ascii="SimSun" w:hAnsi="SimSun" w:eastAsia="SimSun" w:cs="SimSun"/>
          <w:sz w:val="23"/>
          <w:szCs w:val="23"/>
          <w:spacing w:val="7"/>
        </w:rPr>
        <w:t>中“建</w:t>
      </w:r>
      <w:r>
        <w:rPr>
          <w:rFonts w:ascii="SimSun" w:hAnsi="SimSun" w:eastAsia="SimSun" w:cs="SimSun"/>
          <w:sz w:val="23"/>
          <w:szCs w:val="23"/>
        </w:rPr>
        <w:t xml:space="preserve"> </w:t>
      </w:r>
      <w:r>
        <w:rPr>
          <w:rFonts w:ascii="SimSun" w:hAnsi="SimSun" w:eastAsia="SimSun" w:cs="SimSun"/>
          <w:sz w:val="23"/>
          <w:szCs w:val="23"/>
          <w:spacing w:val="9"/>
        </w:rPr>
        <w:t>设项目污染防控对策”的相关要求，针对本项</w:t>
      </w:r>
      <w:r>
        <w:rPr>
          <w:rFonts w:ascii="SimSun" w:hAnsi="SimSun" w:eastAsia="SimSun" w:cs="SimSun"/>
          <w:sz w:val="23"/>
          <w:szCs w:val="23"/>
          <w:spacing w:val="8"/>
        </w:rPr>
        <w:t>目提出以下地下水保护措施：</w:t>
      </w:r>
    </w:p>
    <w:p>
      <w:pPr>
        <w:ind w:left="466"/>
        <w:spacing w:line="219" w:lineRule="auto"/>
        <w:rPr>
          <w:rFonts w:ascii="SimSun" w:hAnsi="SimSun" w:eastAsia="SimSun" w:cs="SimSun"/>
          <w:sz w:val="23"/>
          <w:szCs w:val="23"/>
        </w:rPr>
      </w:pPr>
      <w:r>
        <w:rPr>
          <w:rFonts w:ascii="SimSun" w:hAnsi="SimSun" w:eastAsia="SimSun" w:cs="SimSun"/>
          <w:sz w:val="23"/>
          <w:szCs w:val="23"/>
          <w:b/>
          <w:bCs/>
          <w:spacing w:val="5"/>
        </w:rPr>
        <w:t>1、污染途径</w:t>
      </w:r>
    </w:p>
    <w:p>
      <w:pPr>
        <w:ind w:left="3" w:right="32" w:firstLine="460"/>
        <w:spacing w:before="212" w:line="378" w:lineRule="auto"/>
        <w:jc w:val="both"/>
        <w:rPr>
          <w:rFonts w:ascii="SimSun" w:hAnsi="SimSun" w:eastAsia="SimSun" w:cs="SimSun"/>
          <w:sz w:val="23"/>
          <w:szCs w:val="23"/>
        </w:rPr>
      </w:pPr>
      <w:r>
        <w:rPr>
          <w:rFonts w:ascii="SimSun" w:hAnsi="SimSun" w:eastAsia="SimSun" w:cs="SimSun"/>
          <w:sz w:val="23"/>
          <w:szCs w:val="23"/>
          <w:spacing w:val="14"/>
        </w:rPr>
        <w:t>本项目用水采用市政给水管网供给，废水经收集后进</w:t>
      </w:r>
      <w:r>
        <w:rPr>
          <w:rFonts w:ascii="SimSun" w:hAnsi="SimSun" w:eastAsia="SimSun" w:cs="SimSun"/>
          <w:sz w:val="23"/>
          <w:szCs w:val="23"/>
          <w:spacing w:val="13"/>
        </w:rPr>
        <w:t>入厂区污水处理设施</w:t>
      </w:r>
      <w:r>
        <w:rPr>
          <w:rFonts w:ascii="SimSun" w:hAnsi="SimSun" w:eastAsia="SimSun" w:cs="SimSun"/>
          <w:sz w:val="23"/>
          <w:szCs w:val="23"/>
        </w:rPr>
        <w:t xml:space="preserve"> </w:t>
      </w:r>
      <w:r>
        <w:rPr>
          <w:rFonts w:ascii="SimSun" w:hAnsi="SimSun" w:eastAsia="SimSun" w:cs="SimSun"/>
          <w:sz w:val="23"/>
          <w:szCs w:val="23"/>
          <w:spacing w:val="14"/>
        </w:rPr>
        <w:t>达标后排至园区污水管网。本项目给、排水均不会与地下水直接发生联系，故</w:t>
      </w:r>
      <w:r>
        <w:rPr>
          <w:rFonts w:ascii="SimSun" w:hAnsi="SimSun" w:eastAsia="SimSun" w:cs="SimSun"/>
          <w:sz w:val="23"/>
          <w:szCs w:val="23"/>
          <w:spacing w:val="2"/>
        </w:rPr>
        <w:t xml:space="preserve"> </w:t>
      </w:r>
      <w:r>
        <w:rPr>
          <w:rFonts w:ascii="SimSun" w:hAnsi="SimSun" w:eastAsia="SimSun" w:cs="SimSun"/>
          <w:sz w:val="23"/>
          <w:szCs w:val="23"/>
          <w:spacing w:val="14"/>
        </w:rPr>
        <w:t>本项目的建设基本不会对地下水水位造成影响。本项目的建设仅有运营期污水</w:t>
      </w:r>
      <w:r>
        <w:rPr>
          <w:rFonts w:ascii="SimSun" w:hAnsi="SimSun" w:eastAsia="SimSun" w:cs="SimSun"/>
          <w:sz w:val="23"/>
          <w:szCs w:val="23"/>
          <w:spacing w:val="4"/>
        </w:rPr>
        <w:t xml:space="preserve"> </w:t>
      </w:r>
      <w:r>
        <w:rPr>
          <w:rFonts w:ascii="SimSun" w:hAnsi="SimSun" w:eastAsia="SimSun" w:cs="SimSun"/>
          <w:sz w:val="23"/>
          <w:szCs w:val="23"/>
          <w:spacing w:val="7"/>
        </w:rPr>
        <w:t>渗漏可能对地下水的水质造成一定影响。</w:t>
      </w:r>
    </w:p>
    <w:p>
      <w:pPr>
        <w:ind w:left="3" w:right="28" w:firstLine="460"/>
        <w:spacing w:before="6" w:line="367" w:lineRule="auto"/>
        <w:jc w:val="both"/>
        <w:rPr>
          <w:rFonts w:ascii="SimSun" w:hAnsi="SimSun" w:eastAsia="SimSun" w:cs="SimSun"/>
          <w:sz w:val="23"/>
          <w:szCs w:val="23"/>
        </w:rPr>
      </w:pPr>
      <w:r>
        <w:rPr>
          <w:rFonts w:ascii="SimSun" w:hAnsi="SimSun" w:eastAsia="SimSun" w:cs="SimSun"/>
          <w:sz w:val="23"/>
          <w:szCs w:val="23"/>
          <w:spacing w:val="15"/>
        </w:rPr>
        <w:t>污染物进入地下水的途径主要是由降雨或废水排放等通过垂直渗透进入包</w:t>
      </w:r>
      <w:r>
        <w:rPr>
          <w:rFonts w:ascii="SimSun" w:hAnsi="SimSun" w:eastAsia="SimSun" w:cs="SimSun"/>
          <w:sz w:val="23"/>
          <w:szCs w:val="23"/>
        </w:rPr>
        <w:t xml:space="preserve"> </w:t>
      </w:r>
      <w:r>
        <w:rPr>
          <w:rFonts w:ascii="SimSun" w:hAnsi="SimSun" w:eastAsia="SimSun" w:cs="SimSun"/>
          <w:sz w:val="23"/>
          <w:szCs w:val="23"/>
          <w:spacing w:val="14"/>
        </w:rPr>
        <w:t>气带，进入包气带的污染物在物理、化学和生物作用下经</w:t>
      </w:r>
      <w:r>
        <w:rPr>
          <w:rFonts w:ascii="SimSun" w:hAnsi="SimSun" w:eastAsia="SimSun" w:cs="SimSun"/>
          <w:sz w:val="23"/>
          <w:szCs w:val="23"/>
          <w:spacing w:val="13"/>
        </w:rPr>
        <w:t>吸附、转化、迁移和</w:t>
      </w:r>
      <w:r>
        <w:rPr>
          <w:rFonts w:ascii="SimSun" w:hAnsi="SimSun" w:eastAsia="SimSun" w:cs="SimSun"/>
          <w:sz w:val="23"/>
          <w:szCs w:val="23"/>
        </w:rPr>
        <w:t xml:space="preserve"> </w:t>
      </w:r>
      <w:r>
        <w:rPr>
          <w:rFonts w:ascii="SimSun" w:hAnsi="SimSun" w:eastAsia="SimSun" w:cs="SimSun"/>
          <w:sz w:val="23"/>
          <w:szCs w:val="23"/>
          <w:spacing w:val="14"/>
        </w:rPr>
        <w:t>分解后输入地下水。根据工程所处区域的地质情况，拟建项目可能对地下水造</w:t>
      </w:r>
      <w:r>
        <w:rPr>
          <w:rFonts w:ascii="SimSun" w:hAnsi="SimSun" w:eastAsia="SimSun" w:cs="SimSun"/>
          <w:sz w:val="23"/>
          <w:szCs w:val="23"/>
          <w:spacing w:val="2"/>
        </w:rPr>
        <w:t xml:space="preserve"> </w:t>
      </w:r>
      <w:r>
        <w:rPr>
          <w:rFonts w:ascii="SimSun" w:hAnsi="SimSun" w:eastAsia="SimSun" w:cs="SimSun"/>
          <w:sz w:val="23"/>
          <w:szCs w:val="23"/>
          <w:spacing w:val="14"/>
        </w:rPr>
        <w:t>成污染的途径主要有：污水处理站、屠宰车间、食堂隔油池、化粪池等污水下</w:t>
      </w:r>
      <w:r>
        <w:rPr>
          <w:rFonts w:ascii="SimSun" w:hAnsi="SimSun" w:eastAsia="SimSun" w:cs="SimSun"/>
          <w:sz w:val="23"/>
          <w:szCs w:val="23"/>
          <w:spacing w:val="8"/>
        </w:rPr>
        <w:t xml:space="preserve"> </w:t>
      </w:r>
      <w:r>
        <w:rPr>
          <w:rFonts w:ascii="SimSun" w:hAnsi="SimSun" w:eastAsia="SimSun" w:cs="SimSun"/>
          <w:sz w:val="23"/>
          <w:szCs w:val="23"/>
          <w:spacing w:val="6"/>
        </w:rPr>
        <w:t>渗对地下水造成的污染。</w:t>
      </w:r>
    </w:p>
    <w:p>
      <w:pPr>
        <w:ind w:left="467"/>
        <w:spacing w:line="220" w:lineRule="auto"/>
        <w:rPr>
          <w:rFonts w:ascii="SimSun" w:hAnsi="SimSun" w:eastAsia="SimSun" w:cs="SimSun"/>
          <w:sz w:val="25"/>
          <w:szCs w:val="25"/>
        </w:rPr>
      </w:pPr>
      <w:r>
        <w:rPr>
          <w:rFonts w:ascii="SimSun" w:hAnsi="SimSun" w:eastAsia="SimSun" w:cs="SimSun"/>
          <w:sz w:val="25"/>
          <w:szCs w:val="25"/>
          <w:b/>
          <w:bCs/>
          <w:spacing w:val="-9"/>
        </w:rPr>
        <w:t>2、预防措施</w:t>
      </w:r>
    </w:p>
    <w:p>
      <w:pPr>
        <w:ind w:left="607"/>
        <w:spacing w:before="152" w:line="220" w:lineRule="auto"/>
        <w:rPr>
          <w:rFonts w:ascii="SimSun" w:hAnsi="SimSun" w:eastAsia="SimSun" w:cs="SimSun"/>
          <w:sz w:val="25"/>
          <w:szCs w:val="25"/>
        </w:rPr>
      </w:pPr>
      <w:r>
        <w:rPr>
          <w:rFonts w:ascii="SimSun" w:hAnsi="SimSun" w:eastAsia="SimSun" w:cs="SimSun"/>
          <w:sz w:val="25"/>
          <w:szCs w:val="25"/>
          <w:b/>
          <w:bCs/>
          <w:spacing w:val="5"/>
        </w:rPr>
        <w:t>(1)分区防渗</w:t>
      </w:r>
    </w:p>
    <w:p>
      <w:pPr>
        <w:ind w:left="3" w:right="28" w:firstLine="460"/>
        <w:spacing w:before="213" w:line="370" w:lineRule="auto"/>
        <w:rPr>
          <w:rFonts w:ascii="SimSun" w:hAnsi="SimSun" w:eastAsia="SimSun" w:cs="SimSun"/>
          <w:sz w:val="23"/>
          <w:szCs w:val="23"/>
        </w:rPr>
      </w:pPr>
      <w:r>
        <w:rPr>
          <w:rFonts w:ascii="SimSun" w:hAnsi="SimSun" w:eastAsia="SimSun" w:cs="SimSun"/>
          <w:sz w:val="23"/>
          <w:szCs w:val="23"/>
          <w:spacing w:val="15"/>
        </w:rPr>
        <w:t>项目的地下水污染预防措施应按照“源头控制、分区控制、污染监控</w:t>
      </w:r>
      <w:r>
        <w:rPr>
          <w:rFonts w:ascii="SimSun" w:hAnsi="SimSun" w:eastAsia="SimSun" w:cs="SimSun"/>
          <w:sz w:val="23"/>
          <w:szCs w:val="23"/>
          <w:spacing w:val="14"/>
        </w:rPr>
        <w:t>、应</w:t>
      </w:r>
      <w:r>
        <w:rPr>
          <w:rFonts w:ascii="SimSun" w:hAnsi="SimSun" w:eastAsia="SimSun" w:cs="SimSun"/>
          <w:sz w:val="23"/>
          <w:szCs w:val="23"/>
        </w:rPr>
        <w:t xml:space="preserve"> </w:t>
      </w:r>
      <w:r>
        <w:rPr>
          <w:rFonts w:ascii="SimSun" w:hAnsi="SimSun" w:eastAsia="SimSun" w:cs="SimSun"/>
          <w:sz w:val="23"/>
          <w:szCs w:val="23"/>
          <w:spacing w:val="14"/>
        </w:rPr>
        <w:t>急响应”的主动与被动防渗相结合的防渗原则。在做好防止和减少“跑、冒、</w:t>
      </w:r>
      <w:r>
        <w:rPr>
          <w:rFonts w:ascii="SimSun" w:hAnsi="SimSun" w:eastAsia="SimSun" w:cs="SimSun"/>
          <w:sz w:val="23"/>
          <w:szCs w:val="23"/>
          <w:spacing w:val="7"/>
        </w:rPr>
        <w:t xml:space="preserve"> </w:t>
      </w:r>
      <w:r>
        <w:rPr>
          <w:rFonts w:ascii="SimSun" w:hAnsi="SimSun" w:eastAsia="SimSun" w:cs="SimSun"/>
          <w:sz w:val="23"/>
          <w:szCs w:val="23"/>
          <w:spacing w:val="14"/>
        </w:rPr>
        <w:t>滴、漏”等源头防污措施的基础上，对厂区内各单元进行分区防渗处理，为防</w:t>
      </w:r>
      <w:r>
        <w:rPr>
          <w:rFonts w:ascii="SimSun" w:hAnsi="SimSun" w:eastAsia="SimSun" w:cs="SimSun"/>
          <w:sz w:val="23"/>
          <w:szCs w:val="23"/>
          <w:spacing w:val="5"/>
        </w:rPr>
        <w:t xml:space="preserve"> </w:t>
      </w:r>
      <w:r>
        <w:rPr>
          <w:rFonts w:ascii="SimSun" w:hAnsi="SimSun" w:eastAsia="SimSun" w:cs="SimSun"/>
          <w:sz w:val="23"/>
          <w:szCs w:val="23"/>
          <w:spacing w:val="23"/>
        </w:rPr>
        <w:t>止地下水污染的可能性，参照《环境影响评价技术导则地下水</w:t>
      </w:r>
      <w:r>
        <w:rPr>
          <w:rFonts w:ascii="SimSun" w:hAnsi="SimSun" w:eastAsia="SimSun" w:cs="SimSun"/>
          <w:sz w:val="23"/>
          <w:szCs w:val="23"/>
          <w:spacing w:val="22"/>
        </w:rPr>
        <w:t>环境》</w:t>
      </w:r>
      <w:r>
        <w:rPr>
          <w:rFonts w:ascii="SimSun" w:hAnsi="SimSun" w:eastAsia="SimSun" w:cs="SimSun"/>
          <w:sz w:val="23"/>
          <w:szCs w:val="23"/>
          <w:spacing w:val="85"/>
        </w:rPr>
        <w:t xml:space="preserve"> </w:t>
      </w:r>
      <w:r>
        <w:rPr>
          <w:rFonts w:ascii="SimSun" w:hAnsi="SimSun" w:eastAsia="SimSun" w:cs="SimSun"/>
          <w:sz w:val="23"/>
          <w:szCs w:val="23"/>
          <w:spacing w:val="22"/>
        </w:rPr>
        <w:t>(</w:t>
      </w:r>
      <w:r>
        <w:rPr>
          <w:rFonts w:ascii="SimSun" w:hAnsi="SimSun" w:eastAsia="SimSun" w:cs="SimSun"/>
          <w:sz w:val="23"/>
          <w:szCs w:val="23"/>
        </w:rPr>
        <w:t>HJ  </w:t>
      </w:r>
      <w:r>
        <w:rPr>
          <w:rFonts w:ascii="SimSun" w:hAnsi="SimSun" w:eastAsia="SimSun" w:cs="SimSun"/>
          <w:sz w:val="23"/>
          <w:szCs w:val="23"/>
          <w:spacing w:val="9"/>
        </w:rPr>
        <w:t>610-2016)提出分区防渗要求，拟采取的分区防渗措施主要有：</w:t>
      </w:r>
    </w:p>
    <w:p>
      <w:pPr>
        <w:ind w:left="3" w:right="59" w:firstLine="463"/>
        <w:spacing w:before="24" w:line="365" w:lineRule="auto"/>
        <w:rPr>
          <w:rFonts w:ascii="SimSun" w:hAnsi="SimSun" w:eastAsia="SimSun" w:cs="SimSun"/>
          <w:sz w:val="23"/>
          <w:szCs w:val="23"/>
        </w:rPr>
      </w:pPr>
      <w:r>
        <w:rPr>
          <w:rFonts w:ascii="SimSun" w:hAnsi="SimSun" w:eastAsia="SimSun" w:cs="SimSun"/>
          <w:sz w:val="23"/>
          <w:szCs w:val="23"/>
          <w:b/>
          <w:bCs/>
          <w:spacing w:val="24"/>
        </w:rPr>
        <w:t>重点污染防渗区：</w:t>
      </w:r>
      <w:r>
        <w:rPr>
          <w:rFonts w:ascii="SimSun" w:hAnsi="SimSun" w:eastAsia="SimSun" w:cs="SimSun"/>
          <w:sz w:val="23"/>
          <w:szCs w:val="23"/>
          <w:spacing w:val="24"/>
        </w:rPr>
        <w:t xml:space="preserve"> 柴油发电机房、污水处理站(含污泥脱水间)、隔油</w:t>
      </w:r>
      <w:r>
        <w:rPr>
          <w:rFonts w:ascii="SimSun" w:hAnsi="SimSun" w:eastAsia="SimSun" w:cs="SimSun"/>
          <w:sz w:val="23"/>
          <w:szCs w:val="23"/>
          <w:spacing w:val="7"/>
        </w:rPr>
        <w:t xml:space="preserve"> </w:t>
      </w:r>
      <w:r>
        <w:rPr>
          <w:rFonts w:ascii="SimSun" w:hAnsi="SimSun" w:eastAsia="SimSun" w:cs="SimSun"/>
          <w:sz w:val="23"/>
          <w:szCs w:val="23"/>
          <w:spacing w:val="7"/>
        </w:rPr>
        <w:t>池、固废暂存间、危废暂存间、消毒间。</w:t>
      </w:r>
    </w:p>
    <w:p>
      <w:pPr>
        <w:ind w:left="3" w:right="50" w:firstLine="463"/>
        <w:spacing w:before="21" w:line="373" w:lineRule="auto"/>
        <w:rPr>
          <w:rFonts w:ascii="SimSun" w:hAnsi="SimSun" w:eastAsia="SimSun" w:cs="SimSun"/>
          <w:sz w:val="23"/>
          <w:szCs w:val="23"/>
        </w:rPr>
      </w:pPr>
      <w:r>
        <w:rPr>
          <w:rFonts w:ascii="SimSun" w:hAnsi="SimSun" w:eastAsia="SimSun" w:cs="SimSun"/>
          <w:sz w:val="23"/>
          <w:szCs w:val="23"/>
          <w:b/>
          <w:bCs/>
          <w:spacing w:val="11"/>
        </w:rPr>
        <w:t>一般污染防渗区：</w:t>
      </w:r>
      <w:r>
        <w:rPr>
          <w:rFonts w:ascii="SimSun" w:hAnsi="SimSun" w:eastAsia="SimSun" w:cs="SimSun"/>
          <w:sz w:val="23"/>
          <w:szCs w:val="23"/>
          <w:spacing w:val="-28"/>
        </w:rPr>
        <w:t xml:space="preserve"> </w:t>
      </w:r>
      <w:r>
        <w:rPr>
          <w:rFonts w:ascii="SimSun" w:hAnsi="SimSun" w:eastAsia="SimSun" w:cs="SimSun"/>
          <w:sz w:val="23"/>
          <w:szCs w:val="23"/>
          <w:spacing w:val="11"/>
        </w:rPr>
        <w:t>生猪屠宰车间、肉牛屠宰车间、生猪待宰圈舍、肉牛待</w:t>
      </w:r>
      <w:r>
        <w:rPr>
          <w:rFonts w:ascii="SimSun" w:hAnsi="SimSun" w:eastAsia="SimSun" w:cs="SimSun"/>
          <w:sz w:val="23"/>
          <w:szCs w:val="23"/>
        </w:rPr>
        <w:t xml:space="preserve"> </w:t>
      </w:r>
      <w:r>
        <w:rPr>
          <w:rFonts w:ascii="SimSun" w:hAnsi="SimSun" w:eastAsia="SimSun" w:cs="SimSun"/>
          <w:sz w:val="23"/>
          <w:szCs w:val="23"/>
          <w:spacing w:val="7"/>
        </w:rPr>
        <w:t>宰圈舍、排酸间、预冷间、预处理池、冷库。</w:t>
      </w:r>
    </w:p>
    <w:p>
      <w:pPr>
        <w:spacing w:line="373" w:lineRule="auto"/>
        <w:sectPr>
          <w:headerReference w:type="default" r:id="rId359"/>
          <w:footerReference w:type="default" r:id="rId360"/>
          <w:pgSz w:w="11910" w:h="16840"/>
          <w:pgMar w:top="1219" w:right="1786" w:bottom="960" w:left="1786" w:header="865" w:footer="753" w:gutter="0"/>
        </w:sectPr>
        <w:rPr>
          <w:rFonts w:ascii="SimSun" w:hAnsi="SimSun" w:eastAsia="SimSun" w:cs="SimSun"/>
          <w:sz w:val="23"/>
          <w:szCs w:val="23"/>
        </w:rPr>
      </w:pPr>
    </w:p>
    <w:p>
      <w:pPr>
        <w:ind w:left="738"/>
        <w:spacing w:before="278" w:line="219" w:lineRule="auto"/>
        <w:rPr>
          <w:rFonts w:ascii="SimSun" w:hAnsi="SimSun" w:eastAsia="SimSun" w:cs="SimSun"/>
          <w:sz w:val="22"/>
          <w:szCs w:val="22"/>
        </w:rPr>
      </w:pPr>
      <w:r>
        <w:rPr>
          <w:rFonts w:ascii="SimSun" w:hAnsi="SimSun" w:eastAsia="SimSun" w:cs="SimSun"/>
          <w:sz w:val="22"/>
          <w:szCs w:val="22"/>
          <w:b/>
          <w:bCs/>
          <w:spacing w:val="11"/>
        </w:rPr>
        <w:t>简单防渗区：</w:t>
      </w:r>
      <w:r>
        <w:rPr>
          <w:rFonts w:ascii="SimSun" w:hAnsi="SimSun" w:eastAsia="SimSun" w:cs="SimSun"/>
          <w:sz w:val="22"/>
          <w:szCs w:val="22"/>
          <w:spacing w:val="-24"/>
        </w:rPr>
        <w:t xml:space="preserve"> </w:t>
      </w:r>
      <w:r>
        <w:rPr>
          <w:rFonts w:ascii="SimSun" w:hAnsi="SimSun" w:eastAsia="SimSun" w:cs="SimSun"/>
          <w:sz w:val="22"/>
          <w:szCs w:val="22"/>
          <w:spacing w:val="11"/>
        </w:rPr>
        <w:t>办公区及其他区域等。</w:t>
      </w:r>
    </w:p>
    <w:p>
      <w:pPr>
        <w:ind w:left="735"/>
        <w:spacing w:before="223" w:line="219" w:lineRule="auto"/>
        <w:rPr>
          <w:rFonts w:ascii="SimSun" w:hAnsi="SimSun" w:eastAsia="SimSun" w:cs="SimSun"/>
          <w:sz w:val="22"/>
          <w:szCs w:val="22"/>
        </w:rPr>
      </w:pPr>
      <w:r>
        <w:rPr>
          <w:rFonts w:ascii="SimSun" w:hAnsi="SimSun" w:eastAsia="SimSun" w:cs="SimSun"/>
          <w:sz w:val="22"/>
          <w:szCs w:val="22"/>
          <w:spacing w:val="15"/>
        </w:rPr>
        <w:t>项目分区防渗主要情况见下表：</w:t>
      </w:r>
    </w:p>
    <w:p>
      <w:pPr>
        <w:ind w:left="2258"/>
        <w:spacing w:before="165" w:line="207" w:lineRule="auto"/>
        <w:rPr>
          <w:rFonts w:ascii="SimSun" w:hAnsi="SimSun" w:eastAsia="SimSun" w:cs="SimSun"/>
          <w:sz w:val="24"/>
          <w:szCs w:val="24"/>
        </w:rPr>
      </w:pPr>
      <w:r>
        <w:rPr>
          <w:rFonts w:ascii="SimSun" w:hAnsi="SimSun" w:eastAsia="SimSun" w:cs="SimSun"/>
          <w:sz w:val="24"/>
          <w:szCs w:val="24"/>
          <w:b/>
          <w:bCs/>
          <w:spacing w:val="-3"/>
        </w:rPr>
        <w:t>表3.11-35项目地下水污染防渗分区情况表</w:t>
      </w:r>
    </w:p>
    <w:tbl>
      <w:tblPr>
        <w:tblStyle w:val="TableNormal"/>
        <w:tblW w:w="8834"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74"/>
        <w:gridCol w:w="2187"/>
        <w:gridCol w:w="2727"/>
        <w:gridCol w:w="1328"/>
        <w:gridCol w:w="1718"/>
      </w:tblGrid>
      <w:tr>
        <w:trPr>
          <w:trHeight w:val="295" w:hRule="atLeast"/>
        </w:trPr>
        <w:tc>
          <w:tcPr>
            <w:shd w:val="clear" w:fill="BDBDBD"/>
            <w:tcW w:w="874" w:type="dxa"/>
            <w:vAlign w:val="top"/>
          </w:tcPr>
          <w:p>
            <w:pPr>
              <w:pStyle w:val="TableText"/>
              <w:ind w:left="8"/>
              <w:spacing w:before="41" w:line="214" w:lineRule="auto"/>
              <w:rPr>
                <w:sz w:val="21"/>
                <w:szCs w:val="21"/>
              </w:rPr>
            </w:pPr>
            <w:r>
              <w:rPr>
                <w:sz w:val="21"/>
                <w:szCs w:val="21"/>
                <w:b/>
                <w:bCs/>
              </w:rPr>
              <w:t>防渗级别</w:t>
            </w:r>
          </w:p>
        </w:tc>
        <w:tc>
          <w:tcPr>
            <w:shd w:val="clear" w:fill="BDBDBD"/>
            <w:tcW w:w="2187" w:type="dxa"/>
            <w:vAlign w:val="top"/>
          </w:tcPr>
          <w:p>
            <w:pPr>
              <w:pStyle w:val="TableText"/>
              <w:ind w:left="774"/>
              <w:spacing w:before="41" w:line="214" w:lineRule="auto"/>
              <w:rPr>
                <w:sz w:val="21"/>
                <w:szCs w:val="21"/>
              </w:rPr>
            </w:pPr>
            <w:r>
              <w:rPr>
                <w:sz w:val="21"/>
                <w:szCs w:val="21"/>
                <w:b/>
                <w:bCs/>
                <w:spacing w:val="1"/>
              </w:rPr>
              <w:t>工作区</w:t>
            </w:r>
          </w:p>
        </w:tc>
        <w:tc>
          <w:tcPr>
            <w:shd w:val="clear" w:fill="BDBDBD"/>
            <w:tcW w:w="2727" w:type="dxa"/>
            <w:vAlign w:val="top"/>
          </w:tcPr>
          <w:p>
            <w:pPr>
              <w:pStyle w:val="TableText"/>
              <w:ind w:left="727"/>
              <w:spacing w:before="40" w:line="215" w:lineRule="auto"/>
              <w:rPr>
                <w:sz w:val="21"/>
                <w:szCs w:val="21"/>
              </w:rPr>
            </w:pPr>
            <w:r>
              <w:rPr>
                <w:sz w:val="21"/>
                <w:szCs w:val="21"/>
                <w:b/>
                <w:bCs/>
                <w:spacing w:val="-2"/>
              </w:rPr>
              <w:t>防渗规模要求</w:t>
            </w:r>
          </w:p>
        </w:tc>
        <w:tc>
          <w:tcPr>
            <w:shd w:val="clear" w:fill="BDBDBD"/>
            <w:tcW w:w="1328" w:type="dxa"/>
            <w:vAlign w:val="top"/>
          </w:tcPr>
          <w:p>
            <w:pPr>
              <w:pStyle w:val="TableText"/>
              <w:ind w:left="30"/>
              <w:spacing w:before="41" w:line="214" w:lineRule="auto"/>
              <w:rPr>
                <w:sz w:val="21"/>
                <w:szCs w:val="21"/>
              </w:rPr>
            </w:pPr>
            <w:r>
              <w:rPr>
                <w:sz w:val="21"/>
                <w:szCs w:val="21"/>
                <w:b/>
                <w:bCs/>
                <w:spacing w:val="-4"/>
              </w:rPr>
              <w:t>现有防渗措施</w:t>
            </w:r>
          </w:p>
        </w:tc>
        <w:tc>
          <w:tcPr>
            <w:shd w:val="clear" w:fill="BDBDBD"/>
            <w:tcW w:w="1718" w:type="dxa"/>
            <w:vAlign w:val="top"/>
          </w:tcPr>
          <w:p>
            <w:pPr>
              <w:pStyle w:val="TableText"/>
              <w:ind w:left="222"/>
              <w:spacing w:before="41" w:line="214" w:lineRule="auto"/>
              <w:rPr>
                <w:sz w:val="21"/>
                <w:szCs w:val="21"/>
              </w:rPr>
            </w:pPr>
            <w:r>
              <w:rPr>
                <w:sz w:val="21"/>
                <w:szCs w:val="21"/>
                <w:b/>
                <w:bCs/>
                <w:spacing w:val="-4"/>
              </w:rPr>
              <w:t>新增防渗措施</w:t>
            </w:r>
          </w:p>
        </w:tc>
      </w:tr>
      <w:tr>
        <w:trPr>
          <w:trHeight w:val="280" w:hRule="atLeast"/>
        </w:trPr>
        <w:tc>
          <w:tcPr>
            <w:tcW w:w="874" w:type="dxa"/>
            <w:vAlign w:val="top"/>
            <w:vMerge w:val="restart"/>
            <w:tcBorders>
              <w:bottom w:val="nil"/>
            </w:tcBorders>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115" w:right="100" w:firstLine="100"/>
              <w:spacing w:before="68" w:line="236" w:lineRule="auto"/>
              <w:rPr>
                <w:sz w:val="21"/>
                <w:szCs w:val="21"/>
              </w:rPr>
            </w:pPr>
            <w:r>
              <w:rPr>
                <w:sz w:val="21"/>
                <w:szCs w:val="21"/>
                <w:spacing w:val="9"/>
              </w:rPr>
              <w:t>重点</w:t>
            </w:r>
            <w:r>
              <w:rPr>
                <w:sz w:val="21"/>
                <w:szCs w:val="21"/>
              </w:rPr>
              <w:t xml:space="preserve">  </w:t>
            </w:r>
            <w:r>
              <w:rPr>
                <w:sz w:val="21"/>
                <w:szCs w:val="21"/>
                <w:spacing w:val="6"/>
              </w:rPr>
              <w:t>防渗区</w:t>
            </w:r>
          </w:p>
        </w:tc>
        <w:tc>
          <w:tcPr>
            <w:tcW w:w="2187" w:type="dxa"/>
            <w:vAlign w:val="top"/>
          </w:tcPr>
          <w:p>
            <w:pPr>
              <w:pStyle w:val="TableText"/>
              <w:ind w:left="141"/>
              <w:spacing w:before="37" w:line="204" w:lineRule="auto"/>
              <w:rPr>
                <w:sz w:val="21"/>
                <w:szCs w:val="21"/>
              </w:rPr>
            </w:pPr>
            <w:r>
              <w:rPr>
                <w:sz w:val="21"/>
                <w:szCs w:val="21"/>
                <w:spacing w:val="4"/>
              </w:rPr>
              <w:t>柴油发电机房(新建)</w:t>
            </w:r>
          </w:p>
        </w:tc>
        <w:tc>
          <w:tcPr>
            <w:tcW w:w="2727" w:type="dxa"/>
            <w:vAlign w:val="top"/>
            <w:vMerge w:val="restart"/>
            <w:tcBorders>
              <w:bottom w:val="nil"/>
            </w:tcBorders>
          </w:tcPr>
          <w:p>
            <w:pPr>
              <w:pStyle w:val="TableText"/>
              <w:ind w:left="14"/>
              <w:spacing w:before="60" w:line="236" w:lineRule="auto"/>
              <w:rPr>
                <w:sz w:val="21"/>
                <w:szCs w:val="21"/>
              </w:rPr>
            </w:pPr>
            <w:r>
              <w:rPr>
                <w:sz w:val="21"/>
                <w:szCs w:val="21"/>
                <w:spacing w:val="-3"/>
              </w:rPr>
              <w:t>污水管道及污水处理区，污水</w:t>
            </w:r>
            <w:r>
              <w:rPr>
                <w:sz w:val="21"/>
                <w:szCs w:val="21"/>
                <w:spacing w:val="8"/>
              </w:rPr>
              <w:t xml:space="preserve"> </w:t>
            </w:r>
            <w:r>
              <w:rPr>
                <w:sz w:val="21"/>
                <w:szCs w:val="21"/>
                <w:spacing w:val="-3"/>
              </w:rPr>
              <w:t>输送全部采用管道输送，管道</w:t>
            </w:r>
            <w:r>
              <w:rPr>
                <w:sz w:val="21"/>
                <w:szCs w:val="21"/>
                <w:spacing w:val="10"/>
              </w:rPr>
              <w:t xml:space="preserve"> </w:t>
            </w:r>
            <w:r>
              <w:rPr>
                <w:sz w:val="21"/>
                <w:szCs w:val="21"/>
                <w:spacing w:val="-3"/>
              </w:rPr>
              <w:t>材料应视输送介质的不同选择</w:t>
            </w:r>
            <w:r>
              <w:rPr>
                <w:sz w:val="21"/>
                <w:szCs w:val="21"/>
                <w:spacing w:val="10"/>
              </w:rPr>
              <w:t xml:space="preserve"> </w:t>
            </w:r>
            <w:r>
              <w:rPr>
                <w:sz w:val="21"/>
                <w:szCs w:val="21"/>
                <w:spacing w:val="-3"/>
              </w:rPr>
              <w:t>恰适材质并做表面的防腐、防</w:t>
            </w:r>
            <w:r>
              <w:rPr>
                <w:sz w:val="21"/>
                <w:szCs w:val="21"/>
                <w:spacing w:val="8"/>
              </w:rPr>
              <w:t xml:space="preserve"> </w:t>
            </w:r>
            <w:r>
              <w:rPr>
                <w:sz w:val="21"/>
                <w:szCs w:val="21"/>
                <w:spacing w:val="-3"/>
              </w:rPr>
              <w:t>锈蚀处理，减轻管道腐蚀造成</w:t>
            </w:r>
            <w:r>
              <w:rPr>
                <w:sz w:val="21"/>
                <w:szCs w:val="21"/>
                <w:spacing w:val="10"/>
              </w:rPr>
              <w:t xml:space="preserve"> </w:t>
            </w:r>
            <w:r>
              <w:rPr>
                <w:sz w:val="21"/>
                <w:szCs w:val="21"/>
                <w:spacing w:val="-4"/>
              </w:rPr>
              <w:t>的渗漏，并进行定期检查，防</w:t>
            </w:r>
            <w:r>
              <w:rPr>
                <w:sz w:val="21"/>
                <w:szCs w:val="21"/>
                <w:spacing w:val="6"/>
              </w:rPr>
              <w:t xml:space="preserve"> </w:t>
            </w:r>
            <w:r>
              <w:rPr>
                <w:sz w:val="21"/>
                <w:szCs w:val="21"/>
                <w:spacing w:val="-3"/>
              </w:rPr>
              <w:t>止跑冒漏滴的现象发生；地面</w:t>
            </w:r>
            <w:r>
              <w:rPr>
                <w:sz w:val="21"/>
                <w:szCs w:val="21"/>
                <w:spacing w:val="9"/>
              </w:rPr>
              <w:t xml:space="preserve"> </w:t>
            </w:r>
            <w:r>
              <w:rPr>
                <w:sz w:val="21"/>
                <w:szCs w:val="21"/>
                <w:spacing w:val="-2"/>
              </w:rPr>
              <w:t>采用防渗粘土层+C30防渗混</w:t>
            </w:r>
          </w:p>
          <w:p>
            <w:pPr>
              <w:pStyle w:val="TableText"/>
              <w:ind w:left="14"/>
              <w:spacing w:line="228" w:lineRule="auto"/>
              <w:rPr>
                <w:sz w:val="21"/>
                <w:szCs w:val="21"/>
              </w:rPr>
            </w:pPr>
            <w:r>
              <w:rPr>
                <w:sz w:val="21"/>
                <w:szCs w:val="21"/>
                <w:spacing w:val="-2"/>
              </w:rPr>
              <w:t>凝土+人工材料防层，等效粘</w:t>
            </w:r>
            <w:r>
              <w:rPr>
                <w:sz w:val="21"/>
                <w:szCs w:val="21"/>
              </w:rPr>
              <w:t xml:space="preserve">  </w:t>
            </w:r>
            <w:r>
              <w:rPr>
                <w:sz w:val="21"/>
                <w:szCs w:val="21"/>
                <w:spacing w:val="-2"/>
              </w:rPr>
              <w:t>土防渗层Mb≥6.0m、防渗系数</w:t>
            </w:r>
            <w:r>
              <w:rPr>
                <w:sz w:val="21"/>
                <w:szCs w:val="21"/>
                <w:spacing w:val="3"/>
              </w:rPr>
              <w:t xml:space="preserve"> </w:t>
            </w:r>
            <w:r>
              <w:rPr>
                <w:sz w:val="21"/>
                <w:szCs w:val="21"/>
                <w:spacing w:val="-3"/>
              </w:rPr>
              <w:t>K≤1×10-7cm/s。</w:t>
            </w:r>
          </w:p>
        </w:tc>
        <w:tc>
          <w:tcPr>
            <w:tcW w:w="1328" w:type="dxa"/>
            <w:vAlign w:val="top"/>
            <w:vMerge w:val="restart"/>
            <w:tcBorders>
              <w:bottom w:val="nil"/>
            </w:tcBorders>
          </w:tcPr>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ind w:left="607"/>
              <w:spacing w:before="68" w:line="224" w:lineRule="auto"/>
              <w:rPr>
                <w:sz w:val="21"/>
                <w:szCs w:val="21"/>
              </w:rPr>
            </w:pPr>
            <w:r>
              <w:rPr>
                <w:sz w:val="21"/>
                <w:szCs w:val="21"/>
                <w:color w:val="504050"/>
              </w:rPr>
              <w:t>/</w:t>
            </w:r>
          </w:p>
        </w:tc>
        <w:tc>
          <w:tcPr>
            <w:tcW w:w="1718" w:type="dxa"/>
            <w:vAlign w:val="top"/>
            <w:vMerge w:val="restart"/>
            <w:tcBorders>
              <w:bottom w:val="nil"/>
            </w:tcBorders>
          </w:tcPr>
          <w:p>
            <w:pPr>
              <w:spacing w:line="322" w:lineRule="auto"/>
              <w:rPr>
                <w:rFonts w:ascii="Arial"/>
                <w:sz w:val="21"/>
              </w:rPr>
            </w:pPr>
            <w:r/>
          </w:p>
          <w:p>
            <w:pPr>
              <w:spacing w:line="322" w:lineRule="auto"/>
              <w:rPr>
                <w:rFonts w:ascii="Arial"/>
                <w:sz w:val="21"/>
              </w:rPr>
            </w:pPr>
            <w:r/>
          </w:p>
          <w:p>
            <w:pPr>
              <w:pStyle w:val="TableText"/>
              <w:ind w:left="19"/>
              <w:spacing w:before="68" w:line="238" w:lineRule="auto"/>
              <w:rPr>
                <w:sz w:val="21"/>
                <w:szCs w:val="21"/>
              </w:rPr>
            </w:pPr>
            <w:r>
              <w:rPr>
                <w:sz w:val="21"/>
                <w:szCs w:val="21"/>
              </w:rPr>
              <w:t>防渗粘土层+C30防</w:t>
            </w:r>
            <w:r>
              <w:rPr>
                <w:sz w:val="21"/>
                <w:szCs w:val="21"/>
                <w:spacing w:val="7"/>
              </w:rPr>
              <w:t xml:space="preserve"> </w:t>
            </w:r>
            <w:r>
              <w:rPr>
                <w:sz w:val="21"/>
                <w:szCs w:val="21"/>
                <w:spacing w:val="-2"/>
              </w:rPr>
              <w:t>渗混凝土+人工材</w:t>
            </w:r>
            <w:r>
              <w:rPr>
                <w:sz w:val="21"/>
                <w:szCs w:val="21"/>
                <w:spacing w:val="1"/>
              </w:rPr>
              <w:t xml:space="preserve">  </w:t>
            </w:r>
            <w:r>
              <w:rPr>
                <w:sz w:val="21"/>
                <w:szCs w:val="21"/>
                <w:spacing w:val="-2"/>
              </w:rPr>
              <w:t>料防渗层，等效粘</w:t>
            </w:r>
            <w:r>
              <w:rPr>
                <w:sz w:val="21"/>
                <w:szCs w:val="21"/>
                <w:spacing w:val="4"/>
              </w:rPr>
              <w:t xml:space="preserve"> </w:t>
            </w:r>
            <w:r>
              <w:rPr>
                <w:sz w:val="21"/>
                <w:szCs w:val="21"/>
                <w:spacing w:val="2"/>
              </w:rPr>
              <w:t>土防渗层</w:t>
            </w:r>
          </w:p>
          <w:p>
            <w:pPr>
              <w:pStyle w:val="TableText"/>
              <w:ind w:left="19"/>
              <w:spacing w:line="256" w:lineRule="auto"/>
              <w:rPr>
                <w:sz w:val="21"/>
                <w:szCs w:val="21"/>
              </w:rPr>
            </w:pPr>
            <w:r>
              <w:rPr>
                <w:sz w:val="21"/>
                <w:szCs w:val="21"/>
                <w:spacing w:val="-7"/>
              </w:rPr>
              <w:t>Mb≥6.0m、防渗系</w:t>
            </w:r>
            <w:r>
              <w:rPr>
                <w:sz w:val="21"/>
                <w:szCs w:val="21"/>
                <w:spacing w:val="4"/>
              </w:rPr>
              <w:t xml:space="preserve"> </w:t>
            </w:r>
            <w:r>
              <w:rPr>
                <w:sz w:val="21"/>
                <w:szCs w:val="21"/>
                <w:spacing w:val="-12"/>
              </w:rPr>
              <w:t>数K≤1×10-</w:t>
            </w:r>
            <w:r>
              <w:rPr>
                <w:rFonts w:ascii="Calibri" w:hAnsi="Calibri" w:eastAsia="Calibri" w:cs="Calibri"/>
                <w:sz w:val="21"/>
                <w:szCs w:val="21"/>
                <w:spacing w:val="-12"/>
              </w:rPr>
              <w:t>⁷</w:t>
            </w:r>
            <w:r>
              <w:rPr>
                <w:sz w:val="21"/>
                <w:szCs w:val="21"/>
                <w:spacing w:val="-12"/>
              </w:rPr>
              <w:t>cm/s。</w:t>
            </w:r>
          </w:p>
        </w:tc>
      </w:tr>
      <w:tr>
        <w:trPr>
          <w:trHeight w:val="259" w:hRule="atLeast"/>
        </w:trPr>
        <w:tc>
          <w:tcPr>
            <w:tcW w:w="874" w:type="dxa"/>
            <w:vAlign w:val="top"/>
            <w:vMerge w:val="continue"/>
            <w:tcBorders>
              <w:top w:val="nil"/>
              <w:bottom w:val="nil"/>
            </w:tcBorders>
          </w:tcPr>
          <w:p>
            <w:pPr>
              <w:rPr>
                <w:rFonts w:ascii="Arial"/>
                <w:sz w:val="21"/>
              </w:rPr>
            </w:pPr>
            <w:r/>
          </w:p>
        </w:tc>
        <w:tc>
          <w:tcPr>
            <w:tcW w:w="2187" w:type="dxa"/>
            <w:vAlign w:val="top"/>
          </w:tcPr>
          <w:p>
            <w:pPr>
              <w:pStyle w:val="TableText"/>
              <w:ind w:left="241"/>
              <w:spacing w:before="28" w:line="194" w:lineRule="auto"/>
              <w:rPr>
                <w:sz w:val="21"/>
                <w:szCs w:val="21"/>
              </w:rPr>
            </w:pPr>
            <w:r>
              <w:rPr>
                <w:sz w:val="21"/>
                <w:szCs w:val="21"/>
                <w:spacing w:val="5"/>
              </w:rPr>
              <w:t>污水处理站(新建)</w:t>
            </w:r>
          </w:p>
        </w:tc>
        <w:tc>
          <w:tcPr>
            <w:tcW w:w="2727" w:type="dxa"/>
            <w:vAlign w:val="top"/>
            <w:vMerge w:val="continue"/>
            <w:tcBorders>
              <w:top w:val="nil"/>
              <w:bottom w:val="nil"/>
            </w:tcBorders>
          </w:tcPr>
          <w:p>
            <w:pPr>
              <w:rPr>
                <w:rFonts w:ascii="Arial"/>
                <w:sz w:val="21"/>
              </w:rPr>
            </w:pPr>
            <w:r/>
          </w:p>
        </w:tc>
        <w:tc>
          <w:tcPr>
            <w:tcW w:w="1328" w:type="dxa"/>
            <w:vAlign w:val="top"/>
            <w:vMerge w:val="continue"/>
            <w:tcBorders>
              <w:top w:val="nil"/>
              <w:bottom w:val="nil"/>
            </w:tcBorders>
          </w:tcPr>
          <w:p>
            <w:pPr>
              <w:rPr>
                <w:rFonts w:ascii="Arial"/>
                <w:sz w:val="21"/>
              </w:rPr>
            </w:pPr>
            <w:r/>
          </w:p>
        </w:tc>
        <w:tc>
          <w:tcPr>
            <w:tcW w:w="1718" w:type="dxa"/>
            <w:vAlign w:val="top"/>
            <w:vMerge w:val="continue"/>
            <w:tcBorders>
              <w:top w:val="nil"/>
              <w:bottom w:val="nil"/>
            </w:tcBorders>
          </w:tcPr>
          <w:p>
            <w:pPr>
              <w:rPr>
                <w:rFonts w:ascii="Arial"/>
                <w:sz w:val="21"/>
              </w:rPr>
            </w:pPr>
            <w:r/>
          </w:p>
        </w:tc>
      </w:tr>
      <w:tr>
        <w:trPr>
          <w:trHeight w:val="270" w:hRule="atLeast"/>
        </w:trPr>
        <w:tc>
          <w:tcPr>
            <w:tcW w:w="874" w:type="dxa"/>
            <w:vAlign w:val="top"/>
            <w:vMerge w:val="continue"/>
            <w:tcBorders>
              <w:top w:val="nil"/>
              <w:bottom w:val="nil"/>
            </w:tcBorders>
          </w:tcPr>
          <w:p>
            <w:pPr>
              <w:rPr>
                <w:rFonts w:ascii="Arial"/>
                <w:sz w:val="21"/>
              </w:rPr>
            </w:pPr>
            <w:r/>
          </w:p>
        </w:tc>
        <w:tc>
          <w:tcPr>
            <w:tcW w:w="2187" w:type="dxa"/>
            <w:vAlign w:val="top"/>
          </w:tcPr>
          <w:p>
            <w:pPr>
              <w:pStyle w:val="TableText"/>
              <w:ind w:left="450"/>
              <w:spacing w:before="30" w:line="202" w:lineRule="auto"/>
              <w:rPr>
                <w:sz w:val="21"/>
                <w:szCs w:val="21"/>
              </w:rPr>
            </w:pPr>
            <w:r>
              <w:rPr>
                <w:sz w:val="21"/>
                <w:szCs w:val="21"/>
                <w:spacing w:val="6"/>
              </w:rPr>
              <w:t>隔油池(新建)</w:t>
            </w:r>
          </w:p>
        </w:tc>
        <w:tc>
          <w:tcPr>
            <w:tcW w:w="2727" w:type="dxa"/>
            <w:vAlign w:val="top"/>
            <w:vMerge w:val="continue"/>
            <w:tcBorders>
              <w:top w:val="nil"/>
              <w:bottom w:val="nil"/>
            </w:tcBorders>
          </w:tcPr>
          <w:p>
            <w:pPr>
              <w:rPr>
                <w:rFonts w:ascii="Arial"/>
                <w:sz w:val="21"/>
              </w:rPr>
            </w:pPr>
            <w:r/>
          </w:p>
        </w:tc>
        <w:tc>
          <w:tcPr>
            <w:tcW w:w="1328" w:type="dxa"/>
            <w:vAlign w:val="top"/>
            <w:vMerge w:val="continue"/>
            <w:tcBorders>
              <w:top w:val="nil"/>
              <w:bottom w:val="nil"/>
            </w:tcBorders>
          </w:tcPr>
          <w:p>
            <w:pPr>
              <w:rPr>
                <w:rFonts w:ascii="Arial"/>
                <w:sz w:val="21"/>
              </w:rPr>
            </w:pPr>
            <w:r/>
          </w:p>
        </w:tc>
        <w:tc>
          <w:tcPr>
            <w:tcW w:w="1718" w:type="dxa"/>
            <w:vAlign w:val="top"/>
            <w:vMerge w:val="continue"/>
            <w:tcBorders>
              <w:top w:val="nil"/>
              <w:bottom w:val="nil"/>
            </w:tcBorders>
          </w:tcPr>
          <w:p>
            <w:pPr>
              <w:rPr>
                <w:rFonts w:ascii="Arial"/>
                <w:sz w:val="21"/>
              </w:rPr>
            </w:pPr>
            <w:r/>
          </w:p>
        </w:tc>
      </w:tr>
      <w:tr>
        <w:trPr>
          <w:trHeight w:val="279" w:hRule="atLeast"/>
        </w:trPr>
        <w:tc>
          <w:tcPr>
            <w:tcW w:w="874" w:type="dxa"/>
            <w:vAlign w:val="top"/>
            <w:vMerge w:val="continue"/>
            <w:tcBorders>
              <w:top w:val="nil"/>
              <w:bottom w:val="nil"/>
            </w:tcBorders>
          </w:tcPr>
          <w:p>
            <w:pPr>
              <w:rPr>
                <w:rFonts w:ascii="Arial"/>
                <w:sz w:val="21"/>
              </w:rPr>
            </w:pPr>
            <w:r/>
          </w:p>
        </w:tc>
        <w:tc>
          <w:tcPr>
            <w:tcW w:w="2187" w:type="dxa"/>
            <w:vAlign w:val="top"/>
          </w:tcPr>
          <w:p>
            <w:pPr>
              <w:pStyle w:val="TableText"/>
              <w:ind w:left="241"/>
              <w:spacing w:before="39" w:line="202" w:lineRule="auto"/>
              <w:rPr>
                <w:sz w:val="21"/>
                <w:szCs w:val="21"/>
              </w:rPr>
            </w:pPr>
            <w:r>
              <w:rPr>
                <w:sz w:val="21"/>
                <w:szCs w:val="21"/>
                <w:spacing w:val="5"/>
              </w:rPr>
              <w:t>固废暂存间(新建)</w:t>
            </w:r>
          </w:p>
        </w:tc>
        <w:tc>
          <w:tcPr>
            <w:tcW w:w="2727" w:type="dxa"/>
            <w:vAlign w:val="top"/>
            <w:vMerge w:val="continue"/>
            <w:tcBorders>
              <w:top w:val="nil"/>
              <w:bottom w:val="nil"/>
            </w:tcBorders>
          </w:tcPr>
          <w:p>
            <w:pPr>
              <w:rPr>
                <w:rFonts w:ascii="Arial"/>
                <w:sz w:val="21"/>
              </w:rPr>
            </w:pPr>
            <w:r/>
          </w:p>
        </w:tc>
        <w:tc>
          <w:tcPr>
            <w:tcW w:w="1328" w:type="dxa"/>
            <w:vAlign w:val="top"/>
            <w:vMerge w:val="continue"/>
            <w:tcBorders>
              <w:top w:val="nil"/>
              <w:bottom w:val="nil"/>
            </w:tcBorders>
          </w:tcPr>
          <w:p>
            <w:pPr>
              <w:rPr>
                <w:rFonts w:ascii="Arial"/>
                <w:sz w:val="21"/>
              </w:rPr>
            </w:pPr>
            <w:r/>
          </w:p>
        </w:tc>
        <w:tc>
          <w:tcPr>
            <w:tcW w:w="1718" w:type="dxa"/>
            <w:vAlign w:val="top"/>
            <w:vMerge w:val="continue"/>
            <w:tcBorders>
              <w:top w:val="nil"/>
              <w:bottom w:val="nil"/>
            </w:tcBorders>
          </w:tcPr>
          <w:p>
            <w:pPr>
              <w:rPr>
                <w:rFonts w:ascii="Arial"/>
                <w:sz w:val="21"/>
              </w:rPr>
            </w:pPr>
            <w:r/>
          </w:p>
        </w:tc>
      </w:tr>
      <w:tr>
        <w:trPr>
          <w:trHeight w:val="1868" w:hRule="atLeast"/>
        </w:trPr>
        <w:tc>
          <w:tcPr>
            <w:tcW w:w="874" w:type="dxa"/>
            <w:vAlign w:val="top"/>
            <w:vMerge w:val="continue"/>
            <w:tcBorders>
              <w:top w:val="nil"/>
              <w:bottom w:val="nil"/>
            </w:tcBorders>
          </w:tcPr>
          <w:p>
            <w:pPr>
              <w:rPr>
                <w:rFonts w:ascii="Arial"/>
                <w:sz w:val="21"/>
              </w:rPr>
            </w:pPr>
            <w:r/>
          </w:p>
        </w:tc>
        <w:tc>
          <w:tcPr>
            <w:tcW w:w="2187" w:type="dxa"/>
            <w:vAlign w:val="top"/>
          </w:tcPr>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pStyle w:val="TableText"/>
              <w:ind w:left="450"/>
              <w:spacing w:before="69" w:line="219" w:lineRule="auto"/>
              <w:rPr>
                <w:sz w:val="21"/>
                <w:szCs w:val="21"/>
              </w:rPr>
            </w:pPr>
            <w:r>
              <w:rPr>
                <w:sz w:val="21"/>
                <w:szCs w:val="21"/>
                <w:spacing w:val="6"/>
              </w:rPr>
              <w:t>消毒间(新建)</w:t>
            </w:r>
          </w:p>
        </w:tc>
        <w:tc>
          <w:tcPr>
            <w:tcW w:w="2727" w:type="dxa"/>
            <w:vAlign w:val="top"/>
            <w:vMerge w:val="continue"/>
            <w:tcBorders>
              <w:top w:val="nil"/>
            </w:tcBorders>
          </w:tcPr>
          <w:p>
            <w:pPr>
              <w:rPr>
                <w:rFonts w:ascii="Arial"/>
                <w:sz w:val="21"/>
              </w:rPr>
            </w:pPr>
            <w:r/>
          </w:p>
        </w:tc>
        <w:tc>
          <w:tcPr>
            <w:tcW w:w="1328" w:type="dxa"/>
            <w:vAlign w:val="top"/>
            <w:vMerge w:val="continue"/>
            <w:tcBorders>
              <w:top w:val="nil"/>
            </w:tcBorders>
          </w:tcPr>
          <w:p>
            <w:pPr>
              <w:rPr>
                <w:rFonts w:ascii="Arial"/>
                <w:sz w:val="21"/>
              </w:rPr>
            </w:pPr>
            <w:r/>
          </w:p>
        </w:tc>
        <w:tc>
          <w:tcPr>
            <w:tcW w:w="1718" w:type="dxa"/>
            <w:vAlign w:val="top"/>
            <w:vMerge w:val="continue"/>
            <w:tcBorders>
              <w:top w:val="nil"/>
            </w:tcBorders>
          </w:tcPr>
          <w:p>
            <w:pPr>
              <w:rPr>
                <w:rFonts w:ascii="Arial"/>
                <w:sz w:val="21"/>
              </w:rPr>
            </w:pPr>
            <w:r/>
          </w:p>
        </w:tc>
      </w:tr>
      <w:tr>
        <w:trPr>
          <w:trHeight w:val="1628" w:hRule="atLeast"/>
        </w:trPr>
        <w:tc>
          <w:tcPr>
            <w:tcW w:w="874" w:type="dxa"/>
            <w:vAlign w:val="top"/>
            <w:vMerge w:val="continue"/>
            <w:tcBorders>
              <w:top w:val="nil"/>
            </w:tcBorders>
          </w:tcPr>
          <w:p>
            <w:pPr>
              <w:rPr>
                <w:rFonts w:ascii="Arial"/>
                <w:sz w:val="21"/>
              </w:rPr>
            </w:pPr>
            <w:r/>
          </w:p>
        </w:tc>
        <w:tc>
          <w:tcPr>
            <w:tcW w:w="2187" w:type="dxa"/>
            <w:vAlign w:val="top"/>
          </w:tcPr>
          <w:p>
            <w:pPr>
              <w:spacing w:line="320" w:lineRule="auto"/>
              <w:rPr>
                <w:rFonts w:ascii="Arial"/>
                <w:sz w:val="21"/>
              </w:rPr>
            </w:pPr>
            <w:r/>
          </w:p>
          <w:p>
            <w:pPr>
              <w:spacing w:line="320" w:lineRule="auto"/>
              <w:rPr>
                <w:rFonts w:ascii="Arial"/>
                <w:sz w:val="21"/>
              </w:rPr>
            </w:pPr>
            <w:r/>
          </w:p>
          <w:p>
            <w:pPr>
              <w:pStyle w:val="TableText"/>
              <w:ind w:left="131"/>
              <w:spacing w:before="68" w:line="219" w:lineRule="auto"/>
              <w:rPr>
                <w:sz w:val="21"/>
                <w:szCs w:val="21"/>
              </w:rPr>
            </w:pPr>
            <w:r>
              <w:rPr>
                <w:sz w:val="21"/>
                <w:szCs w:val="21"/>
                <w:spacing w:val="5"/>
              </w:rPr>
              <w:t>危废暂存间(新建)</w:t>
            </w:r>
          </w:p>
        </w:tc>
        <w:tc>
          <w:tcPr>
            <w:tcW w:w="2727" w:type="dxa"/>
            <w:vAlign w:val="top"/>
          </w:tcPr>
          <w:p>
            <w:pPr>
              <w:pStyle w:val="TableText"/>
              <w:ind w:left="14"/>
              <w:spacing w:before="31" w:line="219" w:lineRule="auto"/>
              <w:rPr>
                <w:sz w:val="21"/>
                <w:szCs w:val="21"/>
              </w:rPr>
            </w:pPr>
            <w:r>
              <w:rPr>
                <w:sz w:val="21"/>
                <w:szCs w:val="21"/>
                <w:spacing w:val="-1"/>
              </w:rPr>
              <w:t>地面采用防渗粘土层+C30防</w:t>
            </w:r>
          </w:p>
          <w:p>
            <w:pPr>
              <w:pStyle w:val="TableText"/>
              <w:ind w:left="14"/>
              <w:spacing w:before="40" w:line="226" w:lineRule="auto"/>
              <w:rPr>
                <w:sz w:val="21"/>
                <w:szCs w:val="21"/>
              </w:rPr>
            </w:pPr>
            <w:r>
              <w:rPr>
                <w:sz w:val="21"/>
                <w:szCs w:val="21"/>
                <w:spacing w:val="-2"/>
              </w:rPr>
              <w:t>渗混凝土+人工材料防渗层+环</w:t>
            </w:r>
            <w:r>
              <w:rPr>
                <w:sz w:val="21"/>
                <w:szCs w:val="21"/>
              </w:rPr>
              <w:t xml:space="preserve"> </w:t>
            </w:r>
            <w:r>
              <w:rPr>
                <w:sz w:val="21"/>
                <w:szCs w:val="21"/>
                <w:spacing w:val="-3"/>
              </w:rPr>
              <w:t>氧树脂层，危废间按照《危险</w:t>
            </w:r>
            <w:r>
              <w:rPr>
                <w:sz w:val="21"/>
                <w:szCs w:val="21"/>
                <w:spacing w:val="10"/>
              </w:rPr>
              <w:t xml:space="preserve"> </w:t>
            </w:r>
            <w:r>
              <w:rPr>
                <w:sz w:val="21"/>
                <w:szCs w:val="21"/>
                <w:spacing w:val="-3"/>
              </w:rPr>
              <w:t>废物贮存污染控制标准》</w:t>
            </w:r>
          </w:p>
          <w:p>
            <w:pPr>
              <w:pStyle w:val="TableText"/>
              <w:ind w:left="14" w:right="187"/>
              <w:spacing w:before="20" w:line="222" w:lineRule="auto"/>
              <w:rPr>
                <w:sz w:val="21"/>
                <w:szCs w:val="21"/>
              </w:rPr>
            </w:pPr>
            <w:r>
              <w:rPr>
                <w:sz w:val="21"/>
                <w:szCs w:val="21"/>
                <w:spacing w:val="1"/>
              </w:rPr>
              <w:t>(</w:t>
            </w:r>
            <w:r>
              <w:rPr>
                <w:sz w:val="21"/>
                <w:szCs w:val="21"/>
              </w:rPr>
              <w:t>GB</w:t>
            </w:r>
            <w:r>
              <w:rPr>
                <w:sz w:val="21"/>
                <w:szCs w:val="21"/>
                <w:spacing w:val="1"/>
              </w:rPr>
              <w:t>18597-2023)要求，确</w:t>
            </w:r>
            <w:r>
              <w:rPr>
                <w:sz w:val="21"/>
                <w:szCs w:val="21"/>
              </w:rPr>
              <w:t xml:space="preserve">  </w:t>
            </w:r>
            <w:r>
              <w:rPr>
                <w:sz w:val="21"/>
                <w:szCs w:val="21"/>
                <w:spacing w:val="-1"/>
              </w:rPr>
              <w:t>保防渗系数K≤10-10cm/s。</w:t>
            </w:r>
          </w:p>
        </w:tc>
        <w:tc>
          <w:tcPr>
            <w:tcW w:w="1328" w:type="dxa"/>
            <w:vAlign w:val="top"/>
          </w:tcPr>
          <w:p>
            <w:pPr>
              <w:spacing w:line="323" w:lineRule="auto"/>
              <w:rPr>
                <w:rFonts w:ascii="Arial"/>
                <w:sz w:val="21"/>
              </w:rPr>
            </w:pPr>
            <w:r/>
          </w:p>
          <w:p>
            <w:pPr>
              <w:spacing w:line="323" w:lineRule="auto"/>
              <w:rPr>
                <w:rFonts w:ascii="Arial"/>
                <w:sz w:val="21"/>
              </w:rPr>
            </w:pPr>
            <w:r/>
          </w:p>
          <w:p>
            <w:pPr>
              <w:pStyle w:val="TableText"/>
              <w:ind w:left="607"/>
              <w:spacing w:before="68" w:line="224" w:lineRule="auto"/>
              <w:rPr>
                <w:sz w:val="21"/>
                <w:szCs w:val="21"/>
              </w:rPr>
            </w:pPr>
            <w:r>
              <w:rPr>
                <w:sz w:val="21"/>
                <w:szCs w:val="21"/>
              </w:rPr>
              <w:t>/</w:t>
            </w:r>
          </w:p>
        </w:tc>
        <w:tc>
          <w:tcPr>
            <w:tcW w:w="1718" w:type="dxa"/>
            <w:vAlign w:val="top"/>
          </w:tcPr>
          <w:p>
            <w:pPr>
              <w:pStyle w:val="TableText"/>
              <w:ind w:left="19"/>
              <w:spacing w:before="174" w:line="238" w:lineRule="auto"/>
              <w:rPr>
                <w:sz w:val="21"/>
                <w:szCs w:val="21"/>
              </w:rPr>
            </w:pPr>
            <w:r>
              <w:rPr>
                <w:sz w:val="21"/>
                <w:szCs w:val="21"/>
              </w:rPr>
              <w:t>防渗粘土层+C30防</w:t>
            </w:r>
            <w:r>
              <w:rPr>
                <w:sz w:val="21"/>
                <w:szCs w:val="21"/>
                <w:spacing w:val="7"/>
              </w:rPr>
              <w:t xml:space="preserve"> </w:t>
            </w:r>
            <w:r>
              <w:rPr>
                <w:sz w:val="21"/>
                <w:szCs w:val="21"/>
                <w:spacing w:val="-2"/>
              </w:rPr>
              <w:t>渗混凝土+人工材</w:t>
            </w:r>
            <w:r>
              <w:rPr>
                <w:sz w:val="21"/>
                <w:szCs w:val="21"/>
                <w:spacing w:val="1"/>
              </w:rPr>
              <w:t xml:space="preserve">  </w:t>
            </w:r>
            <w:r>
              <w:rPr>
                <w:sz w:val="21"/>
                <w:szCs w:val="21"/>
                <w:spacing w:val="-2"/>
              </w:rPr>
              <w:t>料防渗层+环氧树</w:t>
            </w:r>
            <w:r>
              <w:rPr>
                <w:sz w:val="21"/>
                <w:szCs w:val="21"/>
                <w:spacing w:val="2"/>
              </w:rPr>
              <w:t xml:space="preserve">  </w:t>
            </w:r>
            <w:r>
              <w:rPr>
                <w:sz w:val="21"/>
                <w:szCs w:val="21"/>
                <w:spacing w:val="-2"/>
              </w:rPr>
              <w:t>脂层、防渗系数</w:t>
            </w:r>
          </w:p>
          <w:p>
            <w:pPr>
              <w:pStyle w:val="TableText"/>
              <w:spacing w:before="1" w:line="224" w:lineRule="auto"/>
              <w:jc w:val="right"/>
              <w:rPr>
                <w:sz w:val="21"/>
                <w:szCs w:val="21"/>
              </w:rPr>
            </w:pPr>
            <w:r>
              <w:rPr>
                <w:sz w:val="21"/>
                <w:szCs w:val="21"/>
                <w:spacing w:val="-7"/>
              </w:rPr>
              <w:t>K≤1×10-10cm/s。</w:t>
            </w:r>
          </w:p>
        </w:tc>
      </w:tr>
      <w:tr>
        <w:trPr>
          <w:trHeight w:val="280" w:hRule="atLeast"/>
        </w:trPr>
        <w:tc>
          <w:tcPr>
            <w:tcW w:w="874" w:type="dxa"/>
            <w:vAlign w:val="top"/>
            <w:vMerge w:val="restart"/>
            <w:tcBorders>
              <w:bottom w:val="nil"/>
            </w:tcBorders>
          </w:tcPr>
          <w:p>
            <w:pPr>
              <w:spacing w:line="310" w:lineRule="auto"/>
              <w:rPr>
                <w:rFonts w:ascii="Arial"/>
                <w:sz w:val="21"/>
              </w:rPr>
            </w:pPr>
            <w:r/>
          </w:p>
          <w:p>
            <w:pPr>
              <w:spacing w:line="310" w:lineRule="auto"/>
              <w:rPr>
                <w:rFonts w:ascii="Arial"/>
                <w:sz w:val="21"/>
              </w:rPr>
            </w:pPr>
            <w:r/>
          </w:p>
          <w:p>
            <w:pPr>
              <w:spacing w:line="311" w:lineRule="auto"/>
              <w:rPr>
                <w:rFonts w:ascii="Arial"/>
                <w:sz w:val="21"/>
              </w:rPr>
            </w:pPr>
            <w:r/>
          </w:p>
          <w:p>
            <w:pPr>
              <w:pStyle w:val="TableText"/>
              <w:ind w:left="115" w:right="100" w:firstLine="100"/>
              <w:spacing w:before="68" w:line="257" w:lineRule="auto"/>
              <w:rPr>
                <w:sz w:val="21"/>
                <w:szCs w:val="21"/>
              </w:rPr>
            </w:pPr>
            <w:r>
              <w:rPr>
                <w:sz w:val="21"/>
                <w:szCs w:val="21"/>
                <w:spacing w:val="4"/>
              </w:rPr>
              <w:t>一般</w:t>
            </w:r>
            <w:r>
              <w:rPr>
                <w:sz w:val="21"/>
                <w:szCs w:val="21"/>
              </w:rPr>
              <w:t xml:space="preserve">  </w:t>
            </w:r>
            <w:r>
              <w:rPr>
                <w:sz w:val="21"/>
                <w:szCs w:val="21"/>
                <w:spacing w:val="6"/>
              </w:rPr>
              <w:t>防渗区</w:t>
            </w:r>
          </w:p>
        </w:tc>
        <w:tc>
          <w:tcPr>
            <w:tcW w:w="2187" w:type="dxa"/>
            <w:vAlign w:val="top"/>
          </w:tcPr>
          <w:p>
            <w:pPr>
              <w:pStyle w:val="TableText"/>
              <w:ind w:left="141"/>
              <w:spacing w:before="44" w:line="198" w:lineRule="auto"/>
              <w:rPr>
                <w:sz w:val="21"/>
                <w:szCs w:val="21"/>
              </w:rPr>
            </w:pPr>
            <w:r>
              <w:rPr>
                <w:sz w:val="21"/>
                <w:szCs w:val="21"/>
                <w:spacing w:val="4"/>
              </w:rPr>
              <w:t>生猪屠宰车间(新建)</w:t>
            </w:r>
          </w:p>
        </w:tc>
        <w:tc>
          <w:tcPr>
            <w:tcW w:w="2727" w:type="dxa"/>
            <w:vAlign w:val="top"/>
            <w:vMerge w:val="restart"/>
            <w:tcBorders>
              <w:bottom w:val="nil"/>
            </w:tcBorders>
          </w:tcPr>
          <w:p>
            <w:pPr>
              <w:spacing w:line="330" w:lineRule="auto"/>
              <w:rPr>
                <w:rFonts w:ascii="Arial"/>
                <w:sz w:val="21"/>
              </w:rPr>
            </w:pPr>
            <w:r/>
          </w:p>
          <w:p>
            <w:pPr>
              <w:spacing w:line="331" w:lineRule="auto"/>
              <w:rPr>
                <w:rFonts w:ascii="Arial"/>
                <w:sz w:val="21"/>
              </w:rPr>
            </w:pPr>
            <w:r/>
          </w:p>
          <w:p>
            <w:pPr>
              <w:pStyle w:val="TableText"/>
              <w:ind w:left="14"/>
              <w:spacing w:before="68" w:line="219" w:lineRule="auto"/>
              <w:rPr>
                <w:sz w:val="21"/>
                <w:szCs w:val="21"/>
              </w:rPr>
            </w:pPr>
            <w:r>
              <w:rPr>
                <w:sz w:val="21"/>
                <w:szCs w:val="21"/>
                <w:spacing w:val="-1"/>
              </w:rPr>
              <w:t>采用C30防渗混凝土+防渗粘</w:t>
            </w:r>
          </w:p>
          <w:p>
            <w:pPr>
              <w:pStyle w:val="TableText"/>
              <w:ind w:left="14"/>
              <w:spacing w:before="31" w:line="239" w:lineRule="auto"/>
              <w:rPr>
                <w:sz w:val="21"/>
                <w:szCs w:val="21"/>
              </w:rPr>
            </w:pPr>
            <w:r>
              <w:rPr>
                <w:sz w:val="21"/>
                <w:szCs w:val="21"/>
                <w:spacing w:val="-3"/>
              </w:rPr>
              <w:t>土层进行防渗处理，确保等效</w:t>
            </w:r>
            <w:r>
              <w:rPr>
                <w:sz w:val="21"/>
                <w:szCs w:val="21"/>
                <w:spacing w:val="10"/>
              </w:rPr>
              <w:t xml:space="preserve"> </w:t>
            </w:r>
            <w:r>
              <w:rPr>
                <w:sz w:val="21"/>
                <w:szCs w:val="21"/>
                <w:spacing w:val="-2"/>
              </w:rPr>
              <w:t>粘土防渗层Mb≥1.5m、防渗系</w:t>
            </w:r>
            <w:r>
              <w:rPr>
                <w:sz w:val="21"/>
                <w:szCs w:val="21"/>
                <w:spacing w:val="3"/>
              </w:rPr>
              <w:t xml:space="preserve"> </w:t>
            </w:r>
            <w:r>
              <w:rPr>
                <w:sz w:val="21"/>
                <w:szCs w:val="21"/>
                <w:spacing w:val="-1"/>
              </w:rPr>
              <w:t>数K≤1×10-7cm/s。</w:t>
            </w:r>
          </w:p>
        </w:tc>
        <w:tc>
          <w:tcPr>
            <w:tcW w:w="1328" w:type="dxa"/>
            <w:vAlign w:val="top"/>
            <w:vMerge w:val="restart"/>
            <w:tcBorders>
              <w:bottom w:val="nil"/>
            </w:tcBorders>
          </w:tcPr>
          <w:p>
            <w:pPr>
              <w:spacing w:line="339" w:lineRule="auto"/>
              <w:rPr>
                <w:rFonts w:ascii="Arial"/>
                <w:sz w:val="21"/>
              </w:rPr>
            </w:pPr>
            <w:r/>
          </w:p>
          <w:p>
            <w:pPr>
              <w:spacing w:line="339" w:lineRule="auto"/>
              <w:rPr>
                <w:rFonts w:ascii="Arial"/>
                <w:sz w:val="21"/>
              </w:rPr>
            </w:pPr>
            <w:r/>
          </w:p>
          <w:p>
            <w:pPr>
              <w:pStyle w:val="TableText"/>
              <w:ind w:left="607"/>
              <w:spacing w:before="68" w:line="224" w:lineRule="auto"/>
              <w:rPr>
                <w:sz w:val="21"/>
                <w:szCs w:val="21"/>
              </w:rPr>
            </w:pPr>
            <w:r>
              <w:rPr>
                <w:sz w:val="21"/>
                <w:szCs w:val="21"/>
              </w:rPr>
              <w:t>/</w:t>
            </w:r>
          </w:p>
        </w:tc>
        <w:tc>
          <w:tcPr>
            <w:tcW w:w="1718" w:type="dxa"/>
            <w:vAlign w:val="top"/>
            <w:vMerge w:val="restart"/>
            <w:tcBorders>
              <w:bottom w:val="nil"/>
            </w:tcBorders>
          </w:tcPr>
          <w:p>
            <w:pPr>
              <w:pStyle w:val="TableText"/>
              <w:ind w:left="19"/>
              <w:spacing w:before="53"/>
              <w:rPr>
                <w:sz w:val="21"/>
                <w:szCs w:val="21"/>
              </w:rPr>
            </w:pPr>
            <w:r>
              <w:rPr>
                <w:sz w:val="21"/>
                <w:szCs w:val="21"/>
                <w:spacing w:val="-1"/>
              </w:rPr>
              <w:t>C30防渗混凝土+防</w:t>
            </w:r>
            <w:r>
              <w:rPr>
                <w:sz w:val="21"/>
                <w:szCs w:val="21"/>
                <w:spacing w:val="1"/>
              </w:rPr>
              <w:t xml:space="preserve"> </w:t>
            </w:r>
            <w:r>
              <w:rPr>
                <w:sz w:val="21"/>
                <w:szCs w:val="21"/>
                <w:spacing w:val="-2"/>
              </w:rPr>
              <w:t>渗粘土层进行防渗</w:t>
            </w:r>
            <w:r>
              <w:rPr>
                <w:sz w:val="21"/>
                <w:szCs w:val="21"/>
                <w:spacing w:val="5"/>
              </w:rPr>
              <w:t xml:space="preserve"> </w:t>
            </w:r>
            <w:r>
              <w:rPr>
                <w:sz w:val="21"/>
                <w:szCs w:val="21"/>
                <w:spacing w:val="1"/>
              </w:rPr>
              <w:t>处理，确保等效粘</w:t>
            </w:r>
            <w:r>
              <w:rPr>
                <w:sz w:val="21"/>
                <w:szCs w:val="21"/>
              </w:rPr>
              <w:t xml:space="preserve"> </w:t>
            </w:r>
            <w:r>
              <w:rPr>
                <w:sz w:val="21"/>
                <w:szCs w:val="21"/>
                <w:spacing w:val="2"/>
              </w:rPr>
              <w:t>土防渗层</w:t>
            </w:r>
          </w:p>
          <w:p>
            <w:pPr>
              <w:pStyle w:val="TableText"/>
              <w:ind w:left="19"/>
              <w:spacing w:before="1" w:line="234" w:lineRule="auto"/>
              <w:rPr>
                <w:sz w:val="21"/>
                <w:szCs w:val="21"/>
              </w:rPr>
            </w:pPr>
            <w:r>
              <w:rPr>
                <w:sz w:val="21"/>
                <w:szCs w:val="21"/>
                <w:spacing w:val="-7"/>
              </w:rPr>
              <w:t>Mb≥1.5m、防渗系</w:t>
            </w:r>
            <w:r>
              <w:rPr>
                <w:sz w:val="21"/>
                <w:szCs w:val="21"/>
                <w:spacing w:val="4"/>
              </w:rPr>
              <w:t xml:space="preserve"> </w:t>
            </w:r>
            <w:r>
              <w:rPr>
                <w:sz w:val="21"/>
                <w:szCs w:val="21"/>
                <w:spacing w:val="-12"/>
              </w:rPr>
              <w:t>数K≤1×10-</w:t>
            </w:r>
            <w:r>
              <w:rPr>
                <w:rFonts w:ascii="Calibri" w:hAnsi="Calibri" w:eastAsia="Calibri" w:cs="Calibri"/>
                <w:sz w:val="21"/>
                <w:szCs w:val="21"/>
                <w:spacing w:val="-12"/>
              </w:rPr>
              <w:t>⁷</w:t>
            </w:r>
            <w:r>
              <w:rPr>
                <w:sz w:val="21"/>
                <w:szCs w:val="21"/>
                <w:spacing w:val="-12"/>
              </w:rPr>
              <w:t>cm/s。</w:t>
            </w:r>
          </w:p>
        </w:tc>
      </w:tr>
      <w:tr>
        <w:trPr>
          <w:trHeight w:val="259" w:hRule="atLeast"/>
        </w:trPr>
        <w:tc>
          <w:tcPr>
            <w:tcW w:w="874" w:type="dxa"/>
            <w:vAlign w:val="top"/>
            <w:vMerge w:val="continue"/>
            <w:tcBorders>
              <w:top w:val="nil"/>
              <w:bottom w:val="nil"/>
            </w:tcBorders>
          </w:tcPr>
          <w:p>
            <w:pPr>
              <w:rPr>
                <w:rFonts w:ascii="Arial"/>
                <w:sz w:val="21"/>
              </w:rPr>
            </w:pPr>
            <w:r/>
          </w:p>
        </w:tc>
        <w:tc>
          <w:tcPr>
            <w:tcW w:w="2187" w:type="dxa"/>
            <w:vAlign w:val="top"/>
          </w:tcPr>
          <w:p>
            <w:pPr>
              <w:pStyle w:val="TableText"/>
              <w:ind w:left="141"/>
              <w:spacing w:before="34" w:line="189" w:lineRule="auto"/>
              <w:rPr>
                <w:sz w:val="21"/>
                <w:szCs w:val="21"/>
              </w:rPr>
            </w:pPr>
            <w:r>
              <w:rPr>
                <w:sz w:val="21"/>
                <w:szCs w:val="21"/>
                <w:spacing w:val="4"/>
              </w:rPr>
              <w:t>肉牛屠宰车间(新建)</w:t>
            </w:r>
          </w:p>
        </w:tc>
        <w:tc>
          <w:tcPr>
            <w:tcW w:w="2727" w:type="dxa"/>
            <w:vAlign w:val="top"/>
            <w:vMerge w:val="continue"/>
            <w:tcBorders>
              <w:top w:val="nil"/>
              <w:bottom w:val="nil"/>
            </w:tcBorders>
          </w:tcPr>
          <w:p>
            <w:pPr>
              <w:rPr>
                <w:rFonts w:ascii="Arial"/>
                <w:sz w:val="21"/>
              </w:rPr>
            </w:pPr>
            <w:r/>
          </w:p>
        </w:tc>
        <w:tc>
          <w:tcPr>
            <w:tcW w:w="1328" w:type="dxa"/>
            <w:vAlign w:val="top"/>
            <w:vMerge w:val="continue"/>
            <w:tcBorders>
              <w:top w:val="nil"/>
              <w:bottom w:val="nil"/>
            </w:tcBorders>
          </w:tcPr>
          <w:p>
            <w:pPr>
              <w:rPr>
                <w:rFonts w:ascii="Arial"/>
                <w:sz w:val="21"/>
              </w:rPr>
            </w:pPr>
            <w:r/>
          </w:p>
        </w:tc>
        <w:tc>
          <w:tcPr>
            <w:tcW w:w="1718" w:type="dxa"/>
            <w:vAlign w:val="top"/>
            <w:vMerge w:val="continue"/>
            <w:tcBorders>
              <w:top w:val="nil"/>
              <w:bottom w:val="nil"/>
            </w:tcBorders>
          </w:tcPr>
          <w:p>
            <w:pPr>
              <w:rPr>
                <w:rFonts w:ascii="Arial"/>
                <w:sz w:val="21"/>
              </w:rPr>
            </w:pPr>
            <w:r/>
          </w:p>
        </w:tc>
      </w:tr>
      <w:tr>
        <w:trPr>
          <w:trHeight w:val="270" w:hRule="atLeast"/>
        </w:trPr>
        <w:tc>
          <w:tcPr>
            <w:tcW w:w="874" w:type="dxa"/>
            <w:vAlign w:val="top"/>
            <w:vMerge w:val="continue"/>
            <w:tcBorders>
              <w:top w:val="nil"/>
              <w:bottom w:val="nil"/>
            </w:tcBorders>
          </w:tcPr>
          <w:p>
            <w:pPr>
              <w:rPr>
                <w:rFonts w:ascii="Arial"/>
                <w:sz w:val="21"/>
              </w:rPr>
            </w:pPr>
            <w:r/>
          </w:p>
        </w:tc>
        <w:tc>
          <w:tcPr>
            <w:tcW w:w="2187" w:type="dxa"/>
            <w:vAlign w:val="top"/>
          </w:tcPr>
          <w:p>
            <w:pPr>
              <w:pStyle w:val="TableText"/>
              <w:ind w:left="241"/>
              <w:spacing w:before="35" w:line="197" w:lineRule="auto"/>
              <w:rPr>
                <w:sz w:val="21"/>
                <w:szCs w:val="21"/>
              </w:rPr>
            </w:pPr>
            <w:r>
              <w:rPr>
                <w:sz w:val="21"/>
                <w:szCs w:val="21"/>
                <w:spacing w:val="5"/>
              </w:rPr>
              <w:t>生猪待宰圈(新建)</w:t>
            </w:r>
          </w:p>
        </w:tc>
        <w:tc>
          <w:tcPr>
            <w:tcW w:w="2727" w:type="dxa"/>
            <w:vAlign w:val="top"/>
            <w:vMerge w:val="continue"/>
            <w:tcBorders>
              <w:top w:val="nil"/>
              <w:bottom w:val="nil"/>
            </w:tcBorders>
          </w:tcPr>
          <w:p>
            <w:pPr>
              <w:rPr>
                <w:rFonts w:ascii="Arial"/>
                <w:sz w:val="21"/>
              </w:rPr>
            </w:pPr>
            <w:r/>
          </w:p>
        </w:tc>
        <w:tc>
          <w:tcPr>
            <w:tcW w:w="1328" w:type="dxa"/>
            <w:vAlign w:val="top"/>
            <w:vMerge w:val="continue"/>
            <w:tcBorders>
              <w:top w:val="nil"/>
              <w:bottom w:val="nil"/>
            </w:tcBorders>
          </w:tcPr>
          <w:p>
            <w:pPr>
              <w:rPr>
                <w:rFonts w:ascii="Arial"/>
                <w:sz w:val="21"/>
              </w:rPr>
            </w:pPr>
            <w:r/>
          </w:p>
        </w:tc>
        <w:tc>
          <w:tcPr>
            <w:tcW w:w="1718" w:type="dxa"/>
            <w:vAlign w:val="top"/>
            <w:vMerge w:val="continue"/>
            <w:tcBorders>
              <w:top w:val="nil"/>
              <w:bottom w:val="nil"/>
            </w:tcBorders>
          </w:tcPr>
          <w:p>
            <w:pPr>
              <w:rPr>
                <w:rFonts w:ascii="Arial"/>
                <w:sz w:val="21"/>
              </w:rPr>
            </w:pPr>
            <w:r/>
          </w:p>
        </w:tc>
      </w:tr>
      <w:tr>
        <w:trPr>
          <w:trHeight w:val="280" w:hRule="atLeast"/>
        </w:trPr>
        <w:tc>
          <w:tcPr>
            <w:tcW w:w="874" w:type="dxa"/>
            <w:vAlign w:val="top"/>
            <w:vMerge w:val="continue"/>
            <w:tcBorders>
              <w:top w:val="nil"/>
              <w:bottom w:val="nil"/>
            </w:tcBorders>
          </w:tcPr>
          <w:p>
            <w:pPr>
              <w:rPr>
                <w:rFonts w:ascii="Arial"/>
                <w:sz w:val="21"/>
              </w:rPr>
            </w:pPr>
            <w:r/>
          </w:p>
        </w:tc>
        <w:tc>
          <w:tcPr>
            <w:tcW w:w="2187" w:type="dxa"/>
            <w:vAlign w:val="top"/>
          </w:tcPr>
          <w:p>
            <w:pPr>
              <w:pStyle w:val="TableText"/>
              <w:ind w:left="241"/>
              <w:spacing w:before="45" w:line="197" w:lineRule="auto"/>
              <w:rPr>
                <w:sz w:val="21"/>
                <w:szCs w:val="21"/>
              </w:rPr>
            </w:pPr>
            <w:r>
              <w:rPr>
                <w:sz w:val="21"/>
                <w:szCs w:val="21"/>
                <w:spacing w:val="5"/>
              </w:rPr>
              <w:t>肉牛待宰圈(新建)</w:t>
            </w:r>
          </w:p>
        </w:tc>
        <w:tc>
          <w:tcPr>
            <w:tcW w:w="2727" w:type="dxa"/>
            <w:vAlign w:val="top"/>
            <w:vMerge w:val="continue"/>
            <w:tcBorders>
              <w:top w:val="nil"/>
              <w:bottom w:val="nil"/>
            </w:tcBorders>
          </w:tcPr>
          <w:p>
            <w:pPr>
              <w:rPr>
                <w:rFonts w:ascii="Arial"/>
                <w:sz w:val="21"/>
              </w:rPr>
            </w:pPr>
            <w:r/>
          </w:p>
        </w:tc>
        <w:tc>
          <w:tcPr>
            <w:tcW w:w="1328" w:type="dxa"/>
            <w:vAlign w:val="top"/>
            <w:vMerge w:val="continue"/>
            <w:tcBorders>
              <w:top w:val="nil"/>
              <w:bottom w:val="nil"/>
            </w:tcBorders>
          </w:tcPr>
          <w:p>
            <w:pPr>
              <w:rPr>
                <w:rFonts w:ascii="Arial"/>
                <w:sz w:val="21"/>
              </w:rPr>
            </w:pPr>
            <w:r/>
          </w:p>
        </w:tc>
        <w:tc>
          <w:tcPr>
            <w:tcW w:w="1718" w:type="dxa"/>
            <w:vAlign w:val="top"/>
            <w:vMerge w:val="continue"/>
            <w:tcBorders>
              <w:top w:val="nil"/>
              <w:bottom w:val="nil"/>
            </w:tcBorders>
          </w:tcPr>
          <w:p>
            <w:pPr>
              <w:rPr>
                <w:rFonts w:ascii="Arial"/>
                <w:sz w:val="21"/>
              </w:rPr>
            </w:pPr>
            <w:r/>
          </w:p>
        </w:tc>
      </w:tr>
      <w:tr>
        <w:trPr>
          <w:trHeight w:val="270" w:hRule="atLeast"/>
        </w:trPr>
        <w:tc>
          <w:tcPr>
            <w:tcW w:w="874" w:type="dxa"/>
            <w:vAlign w:val="top"/>
            <w:vMerge w:val="continue"/>
            <w:tcBorders>
              <w:top w:val="nil"/>
              <w:bottom w:val="nil"/>
            </w:tcBorders>
          </w:tcPr>
          <w:p>
            <w:pPr>
              <w:rPr>
                <w:rFonts w:ascii="Arial"/>
                <w:sz w:val="21"/>
              </w:rPr>
            </w:pPr>
            <w:r/>
          </w:p>
        </w:tc>
        <w:tc>
          <w:tcPr>
            <w:tcW w:w="2187" w:type="dxa"/>
            <w:vAlign w:val="top"/>
          </w:tcPr>
          <w:p>
            <w:pPr>
              <w:pStyle w:val="TableText"/>
              <w:ind w:left="450"/>
              <w:spacing w:before="35" w:line="197" w:lineRule="auto"/>
              <w:rPr>
                <w:sz w:val="21"/>
                <w:szCs w:val="21"/>
              </w:rPr>
            </w:pPr>
            <w:r>
              <w:rPr>
                <w:sz w:val="21"/>
                <w:szCs w:val="21"/>
                <w:spacing w:val="6"/>
              </w:rPr>
              <w:t>排酸间(新建)</w:t>
            </w:r>
          </w:p>
        </w:tc>
        <w:tc>
          <w:tcPr>
            <w:tcW w:w="2727" w:type="dxa"/>
            <w:vAlign w:val="top"/>
            <w:vMerge w:val="continue"/>
            <w:tcBorders>
              <w:top w:val="nil"/>
              <w:bottom w:val="nil"/>
            </w:tcBorders>
          </w:tcPr>
          <w:p>
            <w:pPr>
              <w:rPr>
                <w:rFonts w:ascii="Arial"/>
                <w:sz w:val="21"/>
              </w:rPr>
            </w:pPr>
            <w:r/>
          </w:p>
        </w:tc>
        <w:tc>
          <w:tcPr>
            <w:tcW w:w="1328" w:type="dxa"/>
            <w:vAlign w:val="top"/>
            <w:vMerge w:val="continue"/>
            <w:tcBorders>
              <w:top w:val="nil"/>
              <w:bottom w:val="nil"/>
            </w:tcBorders>
          </w:tcPr>
          <w:p>
            <w:pPr>
              <w:rPr>
                <w:rFonts w:ascii="Arial"/>
                <w:sz w:val="21"/>
              </w:rPr>
            </w:pPr>
            <w:r/>
          </w:p>
        </w:tc>
        <w:tc>
          <w:tcPr>
            <w:tcW w:w="1718" w:type="dxa"/>
            <w:vAlign w:val="top"/>
            <w:vMerge w:val="continue"/>
            <w:tcBorders>
              <w:top w:val="nil"/>
              <w:bottom w:val="nil"/>
            </w:tcBorders>
          </w:tcPr>
          <w:p>
            <w:pPr>
              <w:rPr>
                <w:rFonts w:ascii="Arial"/>
                <w:sz w:val="21"/>
              </w:rPr>
            </w:pPr>
            <w:r/>
          </w:p>
        </w:tc>
      </w:tr>
      <w:tr>
        <w:trPr>
          <w:trHeight w:val="280" w:hRule="atLeast"/>
        </w:trPr>
        <w:tc>
          <w:tcPr>
            <w:tcW w:w="874" w:type="dxa"/>
            <w:vAlign w:val="top"/>
            <w:vMerge w:val="continue"/>
            <w:tcBorders>
              <w:top w:val="nil"/>
              <w:bottom w:val="nil"/>
            </w:tcBorders>
          </w:tcPr>
          <w:p>
            <w:pPr>
              <w:rPr>
                <w:rFonts w:ascii="Arial"/>
                <w:sz w:val="21"/>
              </w:rPr>
            </w:pPr>
            <w:r/>
          </w:p>
        </w:tc>
        <w:tc>
          <w:tcPr>
            <w:tcW w:w="2187" w:type="dxa"/>
            <w:vAlign w:val="top"/>
          </w:tcPr>
          <w:p>
            <w:pPr>
              <w:pStyle w:val="TableText"/>
              <w:ind w:left="450"/>
              <w:spacing w:before="45" w:line="197" w:lineRule="auto"/>
              <w:rPr>
                <w:sz w:val="21"/>
                <w:szCs w:val="21"/>
              </w:rPr>
            </w:pPr>
            <w:r>
              <w:rPr>
                <w:sz w:val="21"/>
                <w:szCs w:val="21"/>
                <w:spacing w:val="6"/>
              </w:rPr>
              <w:t>预冷间(新建)</w:t>
            </w:r>
          </w:p>
        </w:tc>
        <w:tc>
          <w:tcPr>
            <w:tcW w:w="2727" w:type="dxa"/>
            <w:vAlign w:val="top"/>
            <w:vMerge w:val="continue"/>
            <w:tcBorders>
              <w:top w:val="nil"/>
              <w:bottom w:val="nil"/>
            </w:tcBorders>
          </w:tcPr>
          <w:p>
            <w:pPr>
              <w:rPr>
                <w:rFonts w:ascii="Arial"/>
                <w:sz w:val="21"/>
              </w:rPr>
            </w:pPr>
            <w:r/>
          </w:p>
        </w:tc>
        <w:tc>
          <w:tcPr>
            <w:tcW w:w="1328" w:type="dxa"/>
            <w:vAlign w:val="top"/>
            <w:vMerge w:val="continue"/>
            <w:tcBorders>
              <w:top w:val="nil"/>
            </w:tcBorders>
          </w:tcPr>
          <w:p>
            <w:pPr>
              <w:rPr>
                <w:rFonts w:ascii="Arial"/>
                <w:sz w:val="21"/>
              </w:rPr>
            </w:pPr>
            <w:r/>
          </w:p>
        </w:tc>
        <w:tc>
          <w:tcPr>
            <w:tcW w:w="1718" w:type="dxa"/>
            <w:vAlign w:val="top"/>
            <w:vMerge w:val="continue"/>
            <w:tcBorders>
              <w:top w:val="nil"/>
            </w:tcBorders>
          </w:tcPr>
          <w:p>
            <w:pPr>
              <w:rPr>
                <w:rFonts w:ascii="Arial"/>
                <w:sz w:val="21"/>
              </w:rPr>
            </w:pPr>
            <w:r/>
          </w:p>
        </w:tc>
      </w:tr>
      <w:tr>
        <w:trPr>
          <w:trHeight w:val="259" w:hRule="atLeast"/>
        </w:trPr>
        <w:tc>
          <w:tcPr>
            <w:tcW w:w="874" w:type="dxa"/>
            <w:vAlign w:val="top"/>
            <w:vMerge w:val="continue"/>
            <w:tcBorders>
              <w:top w:val="nil"/>
              <w:bottom w:val="nil"/>
            </w:tcBorders>
          </w:tcPr>
          <w:p>
            <w:pPr>
              <w:rPr>
                <w:rFonts w:ascii="Arial"/>
                <w:sz w:val="21"/>
              </w:rPr>
            </w:pPr>
            <w:r/>
          </w:p>
        </w:tc>
        <w:tc>
          <w:tcPr>
            <w:tcW w:w="2187" w:type="dxa"/>
            <w:vAlign w:val="top"/>
          </w:tcPr>
          <w:p>
            <w:pPr>
              <w:pStyle w:val="TableText"/>
              <w:ind w:left="351"/>
              <w:spacing w:before="36" w:line="187" w:lineRule="auto"/>
              <w:rPr>
                <w:sz w:val="21"/>
                <w:szCs w:val="21"/>
              </w:rPr>
            </w:pPr>
            <w:r>
              <w:rPr>
                <w:sz w:val="21"/>
                <w:szCs w:val="21"/>
                <w:spacing w:val="5"/>
              </w:rPr>
              <w:t>预处理池(已建)</w:t>
            </w:r>
          </w:p>
        </w:tc>
        <w:tc>
          <w:tcPr>
            <w:tcW w:w="2727" w:type="dxa"/>
            <w:vAlign w:val="top"/>
            <w:vMerge w:val="continue"/>
            <w:tcBorders>
              <w:top w:val="nil"/>
              <w:bottom w:val="nil"/>
            </w:tcBorders>
          </w:tcPr>
          <w:p>
            <w:pPr>
              <w:rPr>
                <w:rFonts w:ascii="Arial"/>
                <w:sz w:val="21"/>
              </w:rPr>
            </w:pPr>
            <w:r/>
          </w:p>
        </w:tc>
        <w:tc>
          <w:tcPr>
            <w:tcW w:w="1328" w:type="dxa"/>
            <w:vAlign w:val="top"/>
            <w:vMerge w:val="restart"/>
            <w:tcBorders>
              <w:bottom w:val="nil"/>
            </w:tcBorders>
          </w:tcPr>
          <w:p>
            <w:pPr>
              <w:pStyle w:val="TableText"/>
              <w:ind w:left="77" w:right="71"/>
              <w:spacing w:before="26" w:line="226" w:lineRule="auto"/>
              <w:jc w:val="both"/>
              <w:rPr>
                <w:sz w:val="21"/>
                <w:szCs w:val="21"/>
              </w:rPr>
            </w:pPr>
            <w:r>
              <w:rPr>
                <w:sz w:val="21"/>
                <w:szCs w:val="21"/>
                <w:spacing w:val="-1"/>
              </w:rPr>
              <w:t>C30防渗混凝</w:t>
            </w:r>
            <w:r>
              <w:rPr>
                <w:sz w:val="21"/>
                <w:szCs w:val="21"/>
              </w:rPr>
              <w:t xml:space="preserve"> </w:t>
            </w:r>
            <w:r>
              <w:rPr>
                <w:sz w:val="21"/>
                <w:szCs w:val="21"/>
                <w:spacing w:val="2"/>
              </w:rPr>
              <w:t>土+防渗粘土</w:t>
            </w:r>
            <w:r>
              <w:rPr>
                <w:sz w:val="21"/>
                <w:szCs w:val="21"/>
                <w:spacing w:val="1"/>
              </w:rPr>
              <w:t xml:space="preserve"> </w:t>
            </w:r>
            <w:r>
              <w:rPr>
                <w:sz w:val="21"/>
                <w:szCs w:val="21"/>
                <w:spacing w:val="10"/>
              </w:rPr>
              <w:t>层防渗处理</w:t>
            </w:r>
          </w:p>
        </w:tc>
        <w:tc>
          <w:tcPr>
            <w:tcW w:w="1718" w:type="dxa"/>
            <w:vAlign w:val="top"/>
            <w:vMerge w:val="restart"/>
            <w:tcBorders>
              <w:bottom w:val="nil"/>
            </w:tcBorders>
          </w:tcPr>
          <w:p>
            <w:pPr>
              <w:spacing w:line="242" w:lineRule="auto"/>
              <w:rPr>
                <w:rFonts w:ascii="Arial"/>
                <w:sz w:val="21"/>
              </w:rPr>
            </w:pPr>
            <w:r/>
          </w:p>
          <w:p>
            <w:pPr>
              <w:pStyle w:val="TableText"/>
              <w:ind w:left="759"/>
              <w:spacing w:before="68" w:line="224" w:lineRule="auto"/>
              <w:rPr>
                <w:sz w:val="21"/>
                <w:szCs w:val="21"/>
              </w:rPr>
            </w:pPr>
            <w:r>
              <w:rPr>
                <w:sz w:val="21"/>
                <w:szCs w:val="21"/>
              </w:rPr>
              <w:t>/</w:t>
            </w:r>
          </w:p>
        </w:tc>
      </w:tr>
      <w:tr>
        <w:trPr>
          <w:trHeight w:val="539" w:hRule="atLeast"/>
        </w:trPr>
        <w:tc>
          <w:tcPr>
            <w:tcW w:w="874" w:type="dxa"/>
            <w:vAlign w:val="top"/>
            <w:vMerge w:val="continue"/>
            <w:tcBorders>
              <w:top w:val="nil"/>
            </w:tcBorders>
          </w:tcPr>
          <w:p>
            <w:pPr>
              <w:rPr>
                <w:rFonts w:ascii="Arial"/>
                <w:sz w:val="21"/>
              </w:rPr>
            </w:pPr>
            <w:r/>
          </w:p>
        </w:tc>
        <w:tc>
          <w:tcPr>
            <w:tcW w:w="2187" w:type="dxa"/>
            <w:vAlign w:val="top"/>
          </w:tcPr>
          <w:p>
            <w:pPr>
              <w:pStyle w:val="TableText"/>
              <w:ind w:left="561"/>
              <w:spacing w:before="176" w:line="219" w:lineRule="auto"/>
              <w:rPr>
                <w:sz w:val="21"/>
                <w:szCs w:val="21"/>
              </w:rPr>
            </w:pPr>
            <w:r>
              <w:rPr>
                <w:sz w:val="21"/>
                <w:szCs w:val="21"/>
                <w:spacing w:val="7"/>
              </w:rPr>
              <w:t>冷库(已建)</w:t>
            </w:r>
          </w:p>
        </w:tc>
        <w:tc>
          <w:tcPr>
            <w:tcW w:w="2727" w:type="dxa"/>
            <w:vAlign w:val="top"/>
            <w:vMerge w:val="continue"/>
            <w:tcBorders>
              <w:top w:val="nil"/>
            </w:tcBorders>
          </w:tcPr>
          <w:p>
            <w:pPr>
              <w:rPr>
                <w:rFonts w:ascii="Arial"/>
                <w:sz w:val="21"/>
              </w:rPr>
            </w:pPr>
            <w:r/>
          </w:p>
        </w:tc>
        <w:tc>
          <w:tcPr>
            <w:tcW w:w="1328" w:type="dxa"/>
            <w:vAlign w:val="top"/>
            <w:vMerge w:val="continue"/>
            <w:tcBorders>
              <w:top w:val="nil"/>
            </w:tcBorders>
          </w:tcPr>
          <w:p>
            <w:pPr>
              <w:rPr>
                <w:rFonts w:ascii="Arial"/>
                <w:sz w:val="21"/>
              </w:rPr>
            </w:pPr>
            <w:r/>
          </w:p>
        </w:tc>
        <w:tc>
          <w:tcPr>
            <w:tcW w:w="1718" w:type="dxa"/>
            <w:vAlign w:val="top"/>
            <w:vMerge w:val="continue"/>
            <w:tcBorders>
              <w:top w:val="nil"/>
            </w:tcBorders>
          </w:tcPr>
          <w:p>
            <w:pPr>
              <w:rPr>
                <w:rFonts w:ascii="Arial"/>
                <w:sz w:val="21"/>
              </w:rPr>
            </w:pPr>
            <w:r/>
          </w:p>
        </w:tc>
      </w:tr>
      <w:tr>
        <w:trPr>
          <w:trHeight w:val="554" w:hRule="atLeast"/>
        </w:trPr>
        <w:tc>
          <w:tcPr>
            <w:tcW w:w="874" w:type="dxa"/>
            <w:vAlign w:val="top"/>
          </w:tcPr>
          <w:p>
            <w:pPr>
              <w:pStyle w:val="TableText"/>
              <w:ind w:left="115" w:right="100" w:firstLine="100"/>
              <w:spacing w:before="27" w:line="227" w:lineRule="auto"/>
              <w:rPr>
                <w:sz w:val="21"/>
                <w:szCs w:val="21"/>
              </w:rPr>
            </w:pPr>
            <w:r>
              <w:rPr>
                <w:sz w:val="21"/>
                <w:szCs w:val="21"/>
                <w:spacing w:val="4"/>
              </w:rPr>
              <w:t>简单</w:t>
            </w:r>
            <w:r>
              <w:rPr>
                <w:sz w:val="21"/>
                <w:szCs w:val="21"/>
              </w:rPr>
              <w:t xml:space="preserve">  </w:t>
            </w:r>
            <w:r>
              <w:rPr>
                <w:sz w:val="21"/>
                <w:szCs w:val="21"/>
                <w:spacing w:val="6"/>
              </w:rPr>
              <w:t>防渗区</w:t>
            </w:r>
          </w:p>
        </w:tc>
        <w:tc>
          <w:tcPr>
            <w:tcW w:w="2187" w:type="dxa"/>
            <w:vAlign w:val="top"/>
          </w:tcPr>
          <w:p>
            <w:pPr>
              <w:pStyle w:val="TableText"/>
              <w:ind w:left="241"/>
              <w:spacing w:before="37" w:line="219" w:lineRule="auto"/>
              <w:rPr>
                <w:sz w:val="21"/>
                <w:szCs w:val="21"/>
              </w:rPr>
            </w:pPr>
            <w:r>
              <w:rPr>
                <w:sz w:val="21"/>
                <w:szCs w:val="21"/>
                <w:spacing w:val="1"/>
              </w:rPr>
              <w:t>办公区及其他区域</w:t>
            </w:r>
          </w:p>
          <w:p>
            <w:pPr>
              <w:pStyle w:val="TableText"/>
              <w:ind w:left="771"/>
              <w:spacing w:before="31" w:line="198" w:lineRule="auto"/>
              <w:rPr>
                <w:sz w:val="21"/>
                <w:szCs w:val="21"/>
              </w:rPr>
            </w:pPr>
            <w:r>
              <w:rPr>
                <w:sz w:val="21"/>
                <w:szCs w:val="21"/>
                <w:color w:val="505040"/>
                <w:spacing w:val="11"/>
              </w:rPr>
              <w:t>(已建)</w:t>
            </w:r>
          </w:p>
        </w:tc>
        <w:tc>
          <w:tcPr>
            <w:tcW w:w="2727" w:type="dxa"/>
            <w:vAlign w:val="top"/>
          </w:tcPr>
          <w:p>
            <w:pPr>
              <w:pStyle w:val="TableText"/>
              <w:ind w:left="723"/>
              <w:spacing w:before="177" w:line="219" w:lineRule="auto"/>
              <w:rPr>
                <w:sz w:val="21"/>
                <w:szCs w:val="21"/>
              </w:rPr>
            </w:pPr>
            <w:r>
              <w:rPr>
                <w:sz w:val="21"/>
                <w:szCs w:val="21"/>
                <w:spacing w:val="1"/>
              </w:rPr>
              <w:t>一般水泥硬化</w:t>
            </w:r>
          </w:p>
        </w:tc>
        <w:tc>
          <w:tcPr>
            <w:tcW w:w="1328" w:type="dxa"/>
            <w:vAlign w:val="top"/>
          </w:tcPr>
          <w:p>
            <w:pPr>
              <w:pStyle w:val="TableText"/>
              <w:ind w:left="237"/>
              <w:spacing w:before="178" w:line="221" w:lineRule="auto"/>
              <w:rPr>
                <w:sz w:val="21"/>
                <w:szCs w:val="21"/>
              </w:rPr>
            </w:pPr>
            <w:r>
              <w:rPr>
                <w:sz w:val="21"/>
                <w:szCs w:val="21"/>
                <w:spacing w:val="-2"/>
              </w:rPr>
              <w:t>硬化地面</w:t>
            </w:r>
          </w:p>
        </w:tc>
        <w:tc>
          <w:tcPr>
            <w:tcW w:w="1718" w:type="dxa"/>
            <w:vAlign w:val="top"/>
          </w:tcPr>
          <w:p>
            <w:pPr>
              <w:pStyle w:val="TableText"/>
              <w:ind w:left="759"/>
              <w:spacing w:before="183" w:line="224" w:lineRule="auto"/>
              <w:rPr>
                <w:sz w:val="21"/>
                <w:szCs w:val="21"/>
              </w:rPr>
            </w:pPr>
            <w:r>
              <w:rPr>
                <w:sz w:val="21"/>
                <w:szCs w:val="21"/>
              </w:rPr>
              <w:t>/</w:t>
            </w:r>
          </w:p>
        </w:tc>
      </w:tr>
    </w:tbl>
    <w:p>
      <w:pPr>
        <w:ind w:left="268" w:right="428" w:firstLine="480"/>
        <w:spacing w:before="50" w:line="374" w:lineRule="auto"/>
        <w:rPr>
          <w:rFonts w:ascii="SimSun" w:hAnsi="SimSun" w:eastAsia="SimSun" w:cs="SimSun"/>
          <w:sz w:val="22"/>
          <w:szCs w:val="22"/>
        </w:rPr>
      </w:pPr>
      <w:r>
        <w:rPr>
          <w:rFonts w:ascii="SimSun" w:hAnsi="SimSun" w:eastAsia="SimSun" w:cs="SimSun"/>
          <w:sz w:val="24"/>
          <w:szCs w:val="24"/>
          <w:b/>
          <w:bCs/>
          <w:spacing w:val="-3"/>
        </w:rPr>
        <w:t>综上，本项目拟采取的各项地下水防护措施合理，不会对周围地下水产生</w:t>
      </w:r>
      <w:r>
        <w:rPr>
          <w:rFonts w:ascii="SimSun" w:hAnsi="SimSun" w:eastAsia="SimSun" w:cs="SimSun"/>
          <w:sz w:val="24"/>
          <w:szCs w:val="24"/>
          <w:spacing w:val="2"/>
        </w:rPr>
        <w:t xml:space="preserve"> </w:t>
      </w:r>
      <w:r>
        <w:rPr>
          <w:rFonts w:ascii="SimSun" w:hAnsi="SimSun" w:eastAsia="SimSun" w:cs="SimSun"/>
          <w:sz w:val="22"/>
          <w:szCs w:val="22"/>
          <w:b/>
          <w:bCs/>
          <w:spacing w:val="13"/>
        </w:rPr>
        <w:t>污染性影响。</w:t>
      </w:r>
    </w:p>
    <w:p>
      <w:pPr>
        <w:ind w:left="878"/>
        <w:spacing w:line="220" w:lineRule="auto"/>
        <w:rPr>
          <w:rFonts w:ascii="SimSun" w:hAnsi="SimSun" w:eastAsia="SimSun" w:cs="SimSun"/>
          <w:sz w:val="25"/>
          <w:szCs w:val="25"/>
        </w:rPr>
      </w:pPr>
      <w:r>
        <w:rPr>
          <w:rFonts w:ascii="SimSun" w:hAnsi="SimSun" w:eastAsia="SimSun" w:cs="SimSun"/>
          <w:sz w:val="25"/>
          <w:szCs w:val="25"/>
          <w:b/>
          <w:bCs/>
          <w:spacing w:val="-4"/>
        </w:rPr>
        <w:t>(2</w:t>
      </w:r>
      <w:r>
        <w:rPr>
          <w:rFonts w:ascii="SimSun" w:hAnsi="SimSun" w:eastAsia="SimSun" w:cs="SimSun"/>
          <w:sz w:val="25"/>
          <w:szCs w:val="25"/>
          <w:spacing w:val="-55"/>
        </w:rPr>
        <w:t xml:space="preserve"> </w:t>
      </w:r>
      <w:r>
        <w:rPr>
          <w:rFonts w:ascii="SimSun" w:hAnsi="SimSun" w:eastAsia="SimSun" w:cs="SimSun"/>
          <w:sz w:val="25"/>
          <w:szCs w:val="25"/>
          <w:b/>
          <w:bCs/>
          <w:spacing w:val="-4"/>
        </w:rPr>
        <w:t>)其他防治措施</w:t>
      </w:r>
    </w:p>
    <w:p>
      <w:pPr>
        <w:ind w:left="264" w:right="298" w:firstLine="470"/>
        <w:spacing w:before="221" w:line="388" w:lineRule="auto"/>
        <w:jc w:val="both"/>
        <w:rPr>
          <w:rFonts w:ascii="SimSun" w:hAnsi="SimSun" w:eastAsia="SimSun" w:cs="SimSun"/>
          <w:sz w:val="22"/>
          <w:szCs w:val="22"/>
        </w:rPr>
      </w:pPr>
      <w:r>
        <w:rPr>
          <w:rFonts w:ascii="SimSun" w:hAnsi="SimSun" w:eastAsia="SimSun" w:cs="SimSun"/>
          <w:sz w:val="22"/>
          <w:szCs w:val="22"/>
          <w:spacing w:val="24"/>
        </w:rPr>
        <w:t>本项目生产工艺采用国内成熟的工艺，减少污染物的排放；各防渗分区做</w:t>
      </w:r>
      <w:r>
        <w:rPr>
          <w:rFonts w:ascii="SimSun" w:hAnsi="SimSun" w:eastAsia="SimSun" w:cs="SimSun"/>
          <w:sz w:val="22"/>
          <w:szCs w:val="22"/>
          <w:spacing w:val="2"/>
        </w:rPr>
        <w:t xml:space="preserve"> </w:t>
      </w:r>
      <w:r>
        <w:rPr>
          <w:rFonts w:ascii="SimSun" w:hAnsi="SimSun" w:eastAsia="SimSun" w:cs="SimSun"/>
          <w:sz w:val="22"/>
          <w:szCs w:val="22"/>
          <w:spacing w:val="23"/>
        </w:rPr>
        <w:t>好地面硬化，采取防雨、防风、防渗措施，污水管道等选用做防渗、防腐处理</w:t>
      </w:r>
      <w:r>
        <w:rPr>
          <w:rFonts w:ascii="SimSun" w:hAnsi="SimSun" w:eastAsia="SimSun" w:cs="SimSun"/>
          <w:sz w:val="22"/>
          <w:szCs w:val="22"/>
          <w:spacing w:val="14"/>
        </w:rPr>
        <w:t xml:space="preserve"> </w:t>
      </w:r>
      <w:r>
        <w:rPr>
          <w:rFonts w:ascii="SimSun" w:hAnsi="SimSun" w:eastAsia="SimSun" w:cs="SimSun"/>
          <w:sz w:val="22"/>
          <w:szCs w:val="22"/>
          <w:spacing w:val="9"/>
        </w:rPr>
        <w:t>的管道。</w:t>
      </w:r>
    </w:p>
    <w:p>
      <w:pPr>
        <w:ind w:left="264" w:right="300" w:firstLine="470"/>
        <w:spacing w:before="11" w:line="331" w:lineRule="auto"/>
        <w:rPr>
          <w:rFonts w:ascii="SimSun" w:hAnsi="SimSun" w:eastAsia="SimSun" w:cs="SimSun"/>
          <w:sz w:val="22"/>
          <w:szCs w:val="22"/>
        </w:rPr>
      </w:pPr>
      <w:r>
        <w:rPr>
          <w:rFonts w:ascii="SimSun" w:hAnsi="SimSun" w:eastAsia="SimSun" w:cs="SimSun"/>
          <w:sz w:val="22"/>
          <w:szCs w:val="22"/>
          <w:spacing w:val="24"/>
        </w:rPr>
        <w:t>①排水管道必须具有足够的强度，以承受外部荷载和内部水压，外部荷载</w:t>
      </w:r>
      <w:r>
        <w:rPr>
          <w:rFonts w:ascii="SimSun" w:hAnsi="SimSun" w:eastAsia="SimSun" w:cs="SimSun"/>
          <w:sz w:val="22"/>
          <w:szCs w:val="22"/>
        </w:rPr>
        <w:t xml:space="preserve"> </w:t>
      </w:r>
      <w:r>
        <w:rPr>
          <w:rFonts w:ascii="SimSun" w:hAnsi="SimSun" w:eastAsia="SimSun" w:cs="SimSun"/>
          <w:sz w:val="22"/>
          <w:szCs w:val="22"/>
          <w:spacing w:val="23"/>
        </w:rPr>
        <w:t>包括土压力形成的静荷载和由车辆运行所造成的动荷载。重力流排水管道在发</w:t>
      </w:r>
      <w:r>
        <w:rPr>
          <w:rFonts w:ascii="SimSun" w:hAnsi="SimSun" w:eastAsia="SimSun" w:cs="SimSun"/>
          <w:sz w:val="22"/>
          <w:szCs w:val="22"/>
          <w:spacing w:val="16"/>
        </w:rPr>
        <w:t xml:space="preserve"> </w:t>
      </w:r>
      <w:r>
        <w:rPr>
          <w:rFonts w:ascii="SimSun" w:hAnsi="SimSun" w:eastAsia="SimSun" w:cs="SimSun"/>
          <w:sz w:val="22"/>
          <w:szCs w:val="22"/>
          <w:spacing w:val="19"/>
        </w:rPr>
        <w:t>生淤塞，也会形成内部水压，因此重力流排水管道也需适当考虑承受内压力。</w:t>
      </w:r>
    </w:p>
    <w:p>
      <w:pPr>
        <w:ind w:left="735"/>
        <w:spacing w:before="198" w:line="217" w:lineRule="auto"/>
        <w:rPr>
          <w:rFonts w:ascii="SimSun" w:hAnsi="SimSun" w:eastAsia="SimSun" w:cs="SimSun"/>
          <w:sz w:val="22"/>
          <w:szCs w:val="22"/>
        </w:rPr>
      </w:pPr>
      <w:r>
        <w:rPr>
          <w:rFonts w:ascii="SimSun" w:hAnsi="SimSun" w:eastAsia="SimSun" w:cs="SimSun"/>
          <w:sz w:val="22"/>
          <w:szCs w:val="22"/>
          <w:spacing w:val="25"/>
        </w:rPr>
        <w:t>②排水管道除具有抗废水中杂质的冲刷和磨损的作用外，还应该具有一定</w:t>
      </w:r>
    </w:p>
    <w:p>
      <w:pPr>
        <w:spacing w:line="217" w:lineRule="auto"/>
        <w:sectPr>
          <w:headerReference w:type="default" r:id="rId361"/>
          <w:footerReference w:type="default" r:id="rId362"/>
          <w:pgSz w:w="11910" w:h="16840"/>
          <w:pgMar w:top="1216" w:right="1550" w:bottom="953" w:left="1514" w:header="877" w:footer="755" w:gutter="0"/>
        </w:sectPr>
        <w:rPr>
          <w:rFonts w:ascii="SimSun" w:hAnsi="SimSun" w:eastAsia="SimSun" w:cs="SimSun"/>
          <w:sz w:val="22"/>
          <w:szCs w:val="22"/>
        </w:rPr>
      </w:pPr>
    </w:p>
    <w:p>
      <w:pPr>
        <w:spacing w:before="282" w:line="219" w:lineRule="auto"/>
        <w:rPr>
          <w:rFonts w:ascii="SimSun" w:hAnsi="SimSun" w:eastAsia="SimSun" w:cs="SimSun"/>
          <w:sz w:val="22"/>
          <w:szCs w:val="22"/>
        </w:rPr>
      </w:pPr>
      <w:r>
        <w:rPr>
          <w:rFonts w:ascii="SimSun" w:hAnsi="SimSun" w:eastAsia="SimSun" w:cs="SimSun"/>
          <w:sz w:val="22"/>
          <w:szCs w:val="22"/>
          <w:spacing w:val="18"/>
        </w:rPr>
        <w:t>的抗腐蚀的性能，以免受废水或地下水的侵蚀作用而损坏。</w:t>
      </w:r>
    </w:p>
    <w:p>
      <w:pPr>
        <w:ind w:left="470"/>
        <w:spacing w:before="206" w:line="217" w:lineRule="auto"/>
        <w:rPr>
          <w:rFonts w:ascii="SimSun" w:hAnsi="SimSun" w:eastAsia="SimSun" w:cs="SimSun"/>
          <w:sz w:val="22"/>
          <w:szCs w:val="22"/>
        </w:rPr>
      </w:pPr>
      <w:r>
        <w:rPr>
          <w:rFonts w:ascii="SimSun" w:hAnsi="SimSun" w:eastAsia="SimSun" w:cs="SimSun"/>
          <w:sz w:val="22"/>
          <w:szCs w:val="22"/>
          <w:spacing w:val="19"/>
        </w:rPr>
        <w:t>③排水管道应具有良好的防渗漏性能，以防止废水渗出或地下水渗入。</w:t>
      </w:r>
    </w:p>
    <w:p>
      <w:pPr>
        <w:ind w:left="470"/>
        <w:spacing w:before="211" w:line="217" w:lineRule="auto"/>
        <w:rPr>
          <w:rFonts w:ascii="SimSun" w:hAnsi="SimSun" w:eastAsia="SimSun" w:cs="SimSun"/>
          <w:sz w:val="22"/>
          <w:szCs w:val="22"/>
        </w:rPr>
      </w:pPr>
      <w:r>
        <w:rPr>
          <w:rFonts w:ascii="SimSun" w:hAnsi="SimSun" w:eastAsia="SimSun" w:cs="SimSun"/>
          <w:sz w:val="22"/>
          <w:szCs w:val="22"/>
          <w:spacing w:val="19"/>
        </w:rPr>
        <w:t>④排水管道的内壁应光滑，以尽量减小管道输水的阻力损失。</w:t>
      </w:r>
    </w:p>
    <w:p>
      <w:pPr>
        <w:ind w:left="470"/>
        <w:spacing w:before="211" w:line="217" w:lineRule="auto"/>
        <w:rPr>
          <w:rFonts w:ascii="SimSun" w:hAnsi="SimSun" w:eastAsia="SimSun" w:cs="SimSun"/>
          <w:sz w:val="22"/>
          <w:szCs w:val="22"/>
        </w:rPr>
      </w:pPr>
      <w:r>
        <w:rPr>
          <w:rFonts w:ascii="SimSun" w:hAnsi="SimSun" w:eastAsia="SimSun" w:cs="SimSun"/>
          <w:sz w:val="22"/>
          <w:szCs w:val="22"/>
          <w:spacing w:val="19"/>
        </w:rPr>
        <w:t>⑤加强施工质量管理，对管道和施工技术质量要求进行严格控制。</w:t>
      </w:r>
    </w:p>
    <w:p>
      <w:pPr>
        <w:ind w:right="46" w:firstLine="470"/>
        <w:spacing w:before="194" w:line="387" w:lineRule="auto"/>
        <w:jc w:val="both"/>
        <w:rPr>
          <w:rFonts w:ascii="SimSun" w:hAnsi="SimSun" w:eastAsia="SimSun" w:cs="SimSun"/>
          <w:sz w:val="22"/>
          <w:szCs w:val="22"/>
        </w:rPr>
      </w:pPr>
      <w:r>
        <w:rPr>
          <w:rFonts w:ascii="SimSun" w:hAnsi="SimSun" w:eastAsia="SimSun" w:cs="SimSun"/>
          <w:sz w:val="22"/>
          <w:szCs w:val="22"/>
          <w:spacing w:val="24"/>
        </w:rPr>
        <w:t>本项目对可能产生地下水、土壤影响的各项途径均进行有效预防，在确保</w:t>
      </w:r>
      <w:r>
        <w:rPr>
          <w:rFonts w:ascii="SimSun" w:hAnsi="SimSun" w:eastAsia="SimSun" w:cs="SimSun"/>
          <w:sz w:val="22"/>
          <w:szCs w:val="22"/>
          <w:spacing w:val="8"/>
        </w:rPr>
        <w:t xml:space="preserve"> </w:t>
      </w:r>
      <w:r>
        <w:rPr>
          <w:rFonts w:ascii="SimSun" w:hAnsi="SimSun" w:eastAsia="SimSun" w:cs="SimSun"/>
          <w:sz w:val="22"/>
          <w:szCs w:val="22"/>
          <w:spacing w:val="24"/>
        </w:rPr>
        <w:t>各项防渗措施得以落实，并加强厂区环境管理的前提下，可有效控制厂区内的</w:t>
      </w:r>
      <w:r>
        <w:rPr>
          <w:rFonts w:ascii="SimSun" w:hAnsi="SimSun" w:eastAsia="SimSun" w:cs="SimSun"/>
          <w:sz w:val="22"/>
          <w:szCs w:val="22"/>
        </w:rPr>
        <w:t xml:space="preserve"> </w:t>
      </w:r>
      <w:r>
        <w:rPr>
          <w:rFonts w:ascii="SimSun" w:hAnsi="SimSun" w:eastAsia="SimSun" w:cs="SimSun"/>
          <w:sz w:val="22"/>
          <w:szCs w:val="22"/>
          <w:spacing w:val="24"/>
        </w:rPr>
        <w:t>污染物下渗现象，避免污染地下水、土壤，因此本项目不会对</w:t>
      </w:r>
      <w:r>
        <w:rPr>
          <w:rFonts w:ascii="SimSun" w:hAnsi="SimSun" w:eastAsia="SimSun" w:cs="SimSun"/>
          <w:sz w:val="22"/>
          <w:szCs w:val="22"/>
          <w:spacing w:val="23"/>
        </w:rPr>
        <w:t>区域地下水、土</w:t>
      </w:r>
      <w:r>
        <w:rPr>
          <w:rFonts w:ascii="SimSun" w:hAnsi="SimSun" w:eastAsia="SimSun" w:cs="SimSun"/>
          <w:sz w:val="22"/>
          <w:szCs w:val="22"/>
        </w:rPr>
        <w:t xml:space="preserve"> </w:t>
      </w:r>
      <w:r>
        <w:rPr>
          <w:rFonts w:ascii="SimSun" w:hAnsi="SimSun" w:eastAsia="SimSun" w:cs="SimSun"/>
          <w:sz w:val="22"/>
          <w:szCs w:val="22"/>
          <w:spacing w:val="16"/>
        </w:rPr>
        <w:t>壤环境产生明显不利影响。</w:t>
      </w:r>
    </w:p>
    <w:p>
      <w:pPr>
        <w:ind w:left="473"/>
        <w:spacing w:before="32" w:line="220" w:lineRule="auto"/>
        <w:rPr>
          <w:rFonts w:ascii="SimSun" w:hAnsi="SimSun" w:eastAsia="SimSun" w:cs="SimSun"/>
          <w:sz w:val="22"/>
          <w:szCs w:val="22"/>
        </w:rPr>
      </w:pPr>
      <w:r>
        <w:rPr>
          <w:rFonts w:ascii="SimSun" w:hAnsi="SimSun" w:eastAsia="SimSun" w:cs="SimSun"/>
          <w:sz w:val="22"/>
          <w:szCs w:val="22"/>
          <w:b/>
          <w:bCs/>
          <w:spacing w:val="18"/>
        </w:rPr>
        <w:t>3、非正常排放及防范措施</w:t>
      </w:r>
    </w:p>
    <w:p>
      <w:pPr>
        <w:ind w:left="613"/>
        <w:spacing w:before="178" w:line="219" w:lineRule="auto"/>
        <w:rPr>
          <w:rFonts w:ascii="SimSun" w:hAnsi="SimSun" w:eastAsia="SimSun" w:cs="SimSun"/>
          <w:sz w:val="25"/>
          <w:szCs w:val="25"/>
        </w:rPr>
      </w:pPr>
      <w:r>
        <w:rPr>
          <w:rFonts w:ascii="SimSun" w:hAnsi="SimSun" w:eastAsia="SimSun" w:cs="SimSun"/>
          <w:sz w:val="25"/>
          <w:szCs w:val="25"/>
          <w:b/>
          <w:bCs/>
          <w:spacing w:val="4"/>
        </w:rPr>
        <w:t>(1)废水事故排放</w:t>
      </w:r>
    </w:p>
    <w:p>
      <w:pPr>
        <w:ind w:right="48" w:firstLine="470"/>
        <w:spacing w:before="186" w:line="394" w:lineRule="auto"/>
        <w:rPr>
          <w:rFonts w:ascii="SimSun" w:hAnsi="SimSun" w:eastAsia="SimSun" w:cs="SimSun"/>
          <w:sz w:val="22"/>
          <w:szCs w:val="22"/>
        </w:rPr>
      </w:pPr>
      <w:r>
        <w:rPr>
          <w:rFonts w:ascii="SimSun" w:hAnsi="SimSun" w:eastAsia="SimSun" w:cs="SimSun"/>
          <w:sz w:val="22"/>
          <w:szCs w:val="22"/>
          <w:spacing w:val="24"/>
        </w:rPr>
        <w:t>本项目非正常工况主要为本项目污水处理系统发生故障或处理效率达不到</w:t>
      </w:r>
      <w:r>
        <w:rPr>
          <w:rFonts w:ascii="SimSun" w:hAnsi="SimSun" w:eastAsia="SimSun" w:cs="SimSun"/>
          <w:sz w:val="22"/>
          <w:szCs w:val="22"/>
          <w:spacing w:val="16"/>
        </w:rPr>
        <w:t xml:space="preserve"> </w:t>
      </w:r>
      <w:r>
        <w:rPr>
          <w:rFonts w:ascii="SimSun" w:hAnsi="SimSun" w:eastAsia="SimSun" w:cs="SimSun"/>
          <w:sz w:val="22"/>
          <w:szCs w:val="22"/>
          <w:spacing w:val="14"/>
        </w:rPr>
        <w:t>设计指标要求时引起的。</w:t>
      </w:r>
    </w:p>
    <w:p>
      <w:pPr>
        <w:ind w:right="74" w:firstLine="470"/>
        <w:spacing w:before="1" w:line="389" w:lineRule="auto"/>
        <w:rPr>
          <w:rFonts w:ascii="SimSun" w:hAnsi="SimSun" w:eastAsia="SimSun" w:cs="SimSun"/>
          <w:sz w:val="22"/>
          <w:szCs w:val="22"/>
        </w:rPr>
      </w:pPr>
      <w:r>
        <w:rPr>
          <w:rFonts w:ascii="SimSun" w:hAnsi="SimSun" w:eastAsia="SimSun" w:cs="SimSun"/>
          <w:sz w:val="22"/>
          <w:szCs w:val="22"/>
          <w:spacing w:val="24"/>
        </w:rPr>
        <w:t>为杜绝污水事故排放，增加安州区第三污水处理厂</w:t>
      </w:r>
      <w:r>
        <w:rPr>
          <w:rFonts w:ascii="SimSun" w:hAnsi="SimSun" w:eastAsia="SimSun" w:cs="SimSun"/>
          <w:sz w:val="22"/>
          <w:szCs w:val="22"/>
          <w:spacing w:val="23"/>
        </w:rPr>
        <w:t>处理负荷，影响污水处</w:t>
      </w:r>
      <w:r>
        <w:rPr>
          <w:rFonts w:ascii="SimSun" w:hAnsi="SimSun" w:eastAsia="SimSun" w:cs="SimSun"/>
          <w:sz w:val="22"/>
          <w:szCs w:val="22"/>
        </w:rPr>
        <w:t xml:space="preserve"> </w:t>
      </w:r>
      <w:r>
        <w:rPr>
          <w:rFonts w:ascii="SimSun" w:hAnsi="SimSun" w:eastAsia="SimSun" w:cs="SimSun"/>
          <w:sz w:val="22"/>
          <w:szCs w:val="22"/>
          <w:spacing w:val="18"/>
        </w:rPr>
        <w:t>理厂的正常运行，建议应采取以下措施来确保废水</w:t>
      </w:r>
      <w:r>
        <w:rPr>
          <w:rFonts w:ascii="SimSun" w:hAnsi="SimSun" w:eastAsia="SimSun" w:cs="SimSun"/>
          <w:sz w:val="22"/>
          <w:szCs w:val="22"/>
          <w:spacing w:val="17"/>
        </w:rPr>
        <w:t>不超标排放：</w:t>
      </w:r>
    </w:p>
    <w:p>
      <w:pPr>
        <w:ind w:right="50" w:firstLine="470"/>
        <w:spacing w:before="1" w:line="331" w:lineRule="auto"/>
        <w:rPr>
          <w:rFonts w:ascii="SimSun" w:hAnsi="SimSun" w:eastAsia="SimSun" w:cs="SimSun"/>
          <w:sz w:val="22"/>
          <w:szCs w:val="22"/>
        </w:rPr>
      </w:pPr>
      <w:r>
        <w:rPr>
          <w:rFonts w:ascii="SimSun" w:hAnsi="SimSun" w:eastAsia="SimSun" w:cs="SimSun"/>
          <w:sz w:val="22"/>
          <w:szCs w:val="22"/>
          <w:spacing w:val="24"/>
        </w:rPr>
        <w:t>①派专人对废水处理设施进行维护，及时发现处理设备的隐患，确保处理</w:t>
      </w:r>
      <w:r>
        <w:rPr>
          <w:rFonts w:ascii="SimSun" w:hAnsi="SimSun" w:eastAsia="SimSun" w:cs="SimSun"/>
          <w:sz w:val="22"/>
          <w:szCs w:val="22"/>
          <w:spacing w:val="8"/>
        </w:rPr>
        <w:t xml:space="preserve"> </w:t>
      </w:r>
      <w:r>
        <w:rPr>
          <w:rFonts w:ascii="SimSun" w:hAnsi="SimSun" w:eastAsia="SimSun" w:cs="SimSun"/>
          <w:sz w:val="22"/>
          <w:szCs w:val="22"/>
          <w:spacing w:val="24"/>
        </w:rPr>
        <w:t>系统正常运行；开、停、检修要有预案，有严密周全的计划，确保不</w:t>
      </w:r>
      <w:r>
        <w:rPr>
          <w:rFonts w:ascii="SimSun" w:hAnsi="SimSun" w:eastAsia="SimSun" w:cs="SimSun"/>
          <w:sz w:val="22"/>
          <w:szCs w:val="22"/>
          <w:spacing w:val="23"/>
        </w:rPr>
        <w:t>发生非正</w:t>
      </w:r>
      <w:r>
        <w:rPr>
          <w:rFonts w:ascii="SimSun" w:hAnsi="SimSun" w:eastAsia="SimSun" w:cs="SimSun"/>
          <w:sz w:val="22"/>
          <w:szCs w:val="22"/>
        </w:rPr>
        <w:t xml:space="preserve"> </w:t>
      </w:r>
      <w:r>
        <w:rPr>
          <w:rFonts w:ascii="SimSun" w:hAnsi="SimSun" w:eastAsia="SimSun" w:cs="SimSun"/>
          <w:sz w:val="22"/>
          <w:szCs w:val="22"/>
          <w:spacing w:val="14"/>
        </w:rPr>
        <w:t>常排放，或使影响最小；</w:t>
      </w:r>
    </w:p>
    <w:p>
      <w:pPr>
        <w:ind w:right="35" w:firstLine="470"/>
        <w:spacing w:before="225" w:line="304" w:lineRule="auto"/>
        <w:rPr>
          <w:rFonts w:ascii="SimSun" w:hAnsi="SimSun" w:eastAsia="SimSun" w:cs="SimSun"/>
          <w:sz w:val="22"/>
          <w:szCs w:val="22"/>
        </w:rPr>
      </w:pPr>
      <w:r>
        <w:rPr>
          <w:rFonts w:ascii="SimSun" w:hAnsi="SimSun" w:eastAsia="SimSun" w:cs="SimSun"/>
          <w:sz w:val="22"/>
          <w:szCs w:val="22"/>
          <w:spacing w:val="25"/>
        </w:rPr>
        <w:t>②应设有备用电源和备用处理设备和零件，以备停电或设备出现</w:t>
      </w:r>
      <w:r>
        <w:rPr>
          <w:rFonts w:ascii="SimSun" w:hAnsi="SimSun" w:eastAsia="SimSun" w:cs="SimSun"/>
          <w:sz w:val="22"/>
          <w:szCs w:val="22"/>
          <w:spacing w:val="24"/>
        </w:rPr>
        <w:t>故障时保</w:t>
      </w:r>
      <w:r>
        <w:rPr>
          <w:rFonts w:ascii="SimSun" w:hAnsi="SimSun" w:eastAsia="SimSun" w:cs="SimSun"/>
          <w:sz w:val="22"/>
          <w:szCs w:val="22"/>
        </w:rPr>
        <w:t xml:space="preserve"> </w:t>
      </w:r>
      <w:r>
        <w:rPr>
          <w:rFonts w:ascii="SimSun" w:hAnsi="SimSun" w:eastAsia="SimSun" w:cs="SimSun"/>
          <w:sz w:val="22"/>
          <w:szCs w:val="22"/>
          <w:spacing w:val="15"/>
        </w:rPr>
        <w:t>障及时更换使废水全部做到达标排放；</w:t>
      </w:r>
    </w:p>
    <w:p>
      <w:pPr>
        <w:ind w:right="38" w:firstLine="470"/>
        <w:spacing w:before="215" w:line="304" w:lineRule="auto"/>
        <w:rPr>
          <w:rFonts w:ascii="SimSun" w:hAnsi="SimSun" w:eastAsia="SimSun" w:cs="SimSun"/>
          <w:sz w:val="22"/>
          <w:szCs w:val="22"/>
        </w:rPr>
      </w:pPr>
      <w:r>
        <w:rPr>
          <w:rFonts w:ascii="SimSun" w:hAnsi="SimSun" w:eastAsia="SimSun" w:cs="SimSun"/>
          <w:sz w:val="22"/>
          <w:szCs w:val="22"/>
          <w:spacing w:val="25"/>
        </w:rPr>
        <w:t>③对员工进行岗位培训，持证上岗。经常性监测并做好值班</w:t>
      </w:r>
      <w:r>
        <w:rPr>
          <w:rFonts w:ascii="SimSun" w:hAnsi="SimSun" w:eastAsia="SimSun" w:cs="SimSun"/>
          <w:sz w:val="22"/>
          <w:szCs w:val="22"/>
          <w:spacing w:val="24"/>
        </w:rPr>
        <w:t>记录，实行岗</w:t>
      </w:r>
      <w:r>
        <w:rPr>
          <w:rFonts w:ascii="SimSun" w:hAnsi="SimSun" w:eastAsia="SimSun" w:cs="SimSun"/>
          <w:sz w:val="22"/>
          <w:szCs w:val="22"/>
        </w:rPr>
        <w:t xml:space="preserve"> </w:t>
      </w:r>
      <w:r>
        <w:rPr>
          <w:rFonts w:ascii="SimSun" w:hAnsi="SimSun" w:eastAsia="SimSun" w:cs="SimSun"/>
          <w:sz w:val="22"/>
          <w:szCs w:val="22"/>
          <w:spacing w:val="8"/>
        </w:rPr>
        <w:t>位责任制；</w:t>
      </w:r>
    </w:p>
    <w:p>
      <w:pPr>
        <w:ind w:left="470"/>
        <w:spacing w:before="207" w:line="217" w:lineRule="auto"/>
        <w:rPr>
          <w:rFonts w:ascii="SimSun" w:hAnsi="SimSun" w:eastAsia="SimSun" w:cs="SimSun"/>
          <w:sz w:val="22"/>
          <w:szCs w:val="22"/>
        </w:rPr>
      </w:pPr>
      <w:r>
        <w:rPr>
          <w:rFonts w:ascii="SimSun" w:hAnsi="SimSun" w:eastAsia="SimSun" w:cs="SimSun"/>
          <w:sz w:val="22"/>
          <w:szCs w:val="22"/>
          <w:spacing w:val="18"/>
        </w:rPr>
        <w:t>④保持场内管网的畅通，防止各污水池内污水泄漏。</w:t>
      </w:r>
    </w:p>
    <w:p>
      <w:pPr>
        <w:ind w:right="47" w:firstLine="470"/>
        <w:spacing w:before="193" w:line="349" w:lineRule="auto"/>
        <w:rPr>
          <w:rFonts w:ascii="SimSun" w:hAnsi="SimSun" w:eastAsia="SimSun" w:cs="SimSun"/>
          <w:sz w:val="22"/>
          <w:szCs w:val="22"/>
        </w:rPr>
      </w:pPr>
      <w:r>
        <w:rPr>
          <w:rFonts w:ascii="SimSun" w:hAnsi="SimSun" w:eastAsia="SimSun" w:cs="SimSun"/>
          <w:sz w:val="22"/>
          <w:szCs w:val="22"/>
          <w:spacing w:val="24"/>
        </w:rPr>
        <w:t>⑤项目生产废水排入厂区自建污水处理站，集中处理后排入安州区第三污</w:t>
      </w:r>
      <w:r>
        <w:rPr>
          <w:rFonts w:ascii="SimSun" w:hAnsi="SimSun" w:eastAsia="SimSun" w:cs="SimSun"/>
          <w:sz w:val="22"/>
          <w:szCs w:val="22"/>
          <w:spacing w:val="12"/>
        </w:rPr>
        <w:t xml:space="preserve"> </w:t>
      </w:r>
      <w:r>
        <w:rPr>
          <w:rFonts w:ascii="SimSun" w:hAnsi="SimSun" w:eastAsia="SimSun" w:cs="SimSun"/>
          <w:sz w:val="22"/>
          <w:szCs w:val="22"/>
          <w:spacing w:val="24"/>
        </w:rPr>
        <w:t>水处理厂处理，项目在厂区污水处理站设置一个废水排放口，并安装废水</w:t>
      </w:r>
      <w:r>
        <w:rPr>
          <w:rFonts w:ascii="SimSun" w:hAnsi="SimSun" w:eastAsia="SimSun" w:cs="SimSun"/>
          <w:sz w:val="22"/>
          <w:szCs w:val="22"/>
          <w:spacing w:val="23"/>
        </w:rPr>
        <w:t>在线</w:t>
      </w:r>
      <w:r>
        <w:rPr>
          <w:rFonts w:ascii="SimSun" w:hAnsi="SimSun" w:eastAsia="SimSun" w:cs="SimSun"/>
          <w:sz w:val="22"/>
          <w:szCs w:val="22"/>
        </w:rPr>
        <w:t xml:space="preserve"> </w:t>
      </w:r>
      <w:r>
        <w:rPr>
          <w:rFonts w:ascii="SimSun" w:hAnsi="SimSun" w:eastAsia="SimSun" w:cs="SimSun"/>
          <w:sz w:val="22"/>
          <w:szCs w:val="22"/>
          <w:spacing w:val="9"/>
        </w:rPr>
        <w:t>监测设施，在线监测流量、 </w:t>
      </w:r>
      <w:r>
        <w:rPr>
          <w:rFonts w:ascii="Times New Roman" w:hAnsi="Times New Roman" w:eastAsia="Times New Roman" w:cs="Times New Roman"/>
          <w:sz w:val="22"/>
          <w:szCs w:val="22"/>
        </w:rPr>
        <w:t>pH</w:t>
      </w:r>
      <w:r>
        <w:rPr>
          <w:rFonts w:ascii="Times New Roman" w:hAnsi="Times New Roman" w:eastAsia="Times New Roman" w:cs="Times New Roman"/>
          <w:sz w:val="22"/>
          <w:szCs w:val="22"/>
          <w:spacing w:val="-19"/>
        </w:rPr>
        <w:t xml:space="preserve"> </w:t>
      </w:r>
      <w:r>
        <w:rPr>
          <w:rFonts w:ascii="SimSun" w:hAnsi="SimSun" w:eastAsia="SimSun" w:cs="SimSun"/>
          <w:sz w:val="22"/>
          <w:szCs w:val="22"/>
          <w:spacing w:val="9"/>
        </w:rPr>
        <w:t>、</w:t>
      </w:r>
      <w:r>
        <w:rPr>
          <w:rFonts w:ascii="Times New Roman" w:hAnsi="Times New Roman" w:eastAsia="Times New Roman" w:cs="Times New Roman"/>
          <w:sz w:val="22"/>
          <w:szCs w:val="22"/>
        </w:rPr>
        <w:t>COD</w:t>
      </w:r>
      <w:r>
        <w:rPr>
          <w:rFonts w:ascii="Times New Roman" w:hAnsi="Times New Roman" w:eastAsia="Times New Roman" w:cs="Times New Roman"/>
          <w:sz w:val="22"/>
          <w:szCs w:val="22"/>
          <w:spacing w:val="-31"/>
        </w:rPr>
        <w:t xml:space="preserve"> </w:t>
      </w:r>
      <w:r>
        <w:rPr>
          <w:rFonts w:ascii="SimSun" w:hAnsi="SimSun" w:eastAsia="SimSun" w:cs="SimSun"/>
          <w:sz w:val="22"/>
          <w:szCs w:val="22"/>
          <w:spacing w:val="9"/>
        </w:rPr>
        <w:t>、</w:t>
      </w:r>
      <w:r>
        <w:rPr>
          <w:rFonts w:ascii="Times New Roman" w:hAnsi="Times New Roman" w:eastAsia="Times New Roman" w:cs="Times New Roman"/>
          <w:sz w:val="22"/>
          <w:szCs w:val="22"/>
        </w:rPr>
        <w:t>NH</w:t>
      </w:r>
      <w:r>
        <w:rPr>
          <w:rFonts w:ascii="Times New Roman" w:hAnsi="Times New Roman" w:eastAsia="Times New Roman" w:cs="Times New Roman"/>
          <w:sz w:val="22"/>
          <w:szCs w:val="22"/>
          <w:spacing w:val="9"/>
        </w:rPr>
        <w:t>₃-N</w:t>
      </w:r>
      <w:r>
        <w:rPr>
          <w:rFonts w:ascii="Times New Roman" w:hAnsi="Times New Roman" w:eastAsia="Times New Roman" w:cs="Times New Roman"/>
          <w:sz w:val="22"/>
          <w:szCs w:val="22"/>
          <w:spacing w:val="-31"/>
        </w:rPr>
        <w:t xml:space="preserve"> </w:t>
      </w:r>
      <w:r>
        <w:rPr>
          <w:rFonts w:ascii="SimSun" w:hAnsi="SimSun" w:eastAsia="SimSun" w:cs="SimSun"/>
          <w:sz w:val="22"/>
          <w:szCs w:val="22"/>
          <w:spacing w:val="9"/>
        </w:rPr>
        <w:t>、</w:t>
      </w:r>
      <w:r>
        <w:rPr>
          <w:rFonts w:ascii="Times New Roman" w:hAnsi="Times New Roman" w:eastAsia="Times New Roman" w:cs="Times New Roman"/>
          <w:sz w:val="22"/>
          <w:szCs w:val="22"/>
        </w:rPr>
        <w:t>TP</w:t>
      </w:r>
      <w:r>
        <w:rPr>
          <w:rFonts w:ascii="Times New Roman" w:hAnsi="Times New Roman" w:eastAsia="Times New Roman" w:cs="Times New Roman"/>
          <w:sz w:val="22"/>
          <w:szCs w:val="22"/>
          <w:spacing w:val="-31"/>
        </w:rPr>
        <w:t xml:space="preserve"> </w:t>
      </w:r>
      <w:r>
        <w:rPr>
          <w:rFonts w:ascii="SimSun" w:hAnsi="SimSun" w:eastAsia="SimSun" w:cs="SimSun"/>
          <w:sz w:val="22"/>
          <w:szCs w:val="22"/>
          <w:spacing w:val="9"/>
        </w:rPr>
        <w:t>、</w:t>
      </w:r>
      <w:r>
        <w:rPr>
          <w:rFonts w:ascii="Times New Roman" w:hAnsi="Times New Roman" w:eastAsia="Times New Roman" w:cs="Times New Roman"/>
          <w:sz w:val="22"/>
          <w:szCs w:val="22"/>
        </w:rPr>
        <w:t>TN</w:t>
      </w:r>
      <w:r>
        <w:rPr>
          <w:rFonts w:ascii="Times New Roman" w:hAnsi="Times New Roman" w:eastAsia="Times New Roman" w:cs="Times New Roman"/>
          <w:sz w:val="22"/>
          <w:szCs w:val="22"/>
          <w:spacing w:val="9"/>
        </w:rPr>
        <w:t>,         </w:t>
      </w:r>
      <w:r>
        <w:rPr>
          <w:rFonts w:ascii="SimSun" w:hAnsi="SimSun" w:eastAsia="SimSun" w:cs="SimSun"/>
          <w:sz w:val="22"/>
          <w:szCs w:val="22"/>
          <w:spacing w:val="9"/>
        </w:rPr>
        <w:t>有效防止事故废水</w:t>
      </w:r>
      <w:r>
        <w:rPr>
          <w:rFonts w:ascii="SimSun" w:hAnsi="SimSun" w:eastAsia="SimSun" w:cs="SimSun"/>
          <w:sz w:val="22"/>
          <w:szCs w:val="22"/>
        </w:rPr>
        <w:t xml:space="preserve"> </w:t>
      </w:r>
      <w:r>
        <w:rPr>
          <w:rFonts w:ascii="SimSun" w:hAnsi="SimSun" w:eastAsia="SimSun" w:cs="SimSun"/>
          <w:sz w:val="22"/>
          <w:szCs w:val="22"/>
          <w:spacing w:val="16"/>
        </w:rPr>
        <w:t>排放造成的环境污染。</w:t>
      </w:r>
    </w:p>
    <w:p>
      <w:pPr>
        <w:ind w:left="603"/>
        <w:spacing w:before="215" w:line="220" w:lineRule="auto"/>
        <w:rPr>
          <w:rFonts w:ascii="SimSun" w:hAnsi="SimSun" w:eastAsia="SimSun" w:cs="SimSun"/>
          <w:sz w:val="22"/>
          <w:szCs w:val="22"/>
        </w:rPr>
      </w:pPr>
      <w:r>
        <w:rPr>
          <w:rFonts w:ascii="SimSun" w:hAnsi="SimSun" w:eastAsia="SimSun" w:cs="SimSun"/>
          <w:sz w:val="22"/>
          <w:szCs w:val="22"/>
          <w:b/>
          <w:bCs/>
          <w:spacing w:val="25"/>
        </w:rPr>
        <w:t>(2)废气处理设施非正常排放</w:t>
      </w:r>
    </w:p>
    <w:p>
      <w:pPr>
        <w:ind w:right="54" w:firstLine="470"/>
        <w:spacing w:before="189" w:line="398" w:lineRule="auto"/>
        <w:rPr>
          <w:rFonts w:ascii="SimSun" w:hAnsi="SimSun" w:eastAsia="SimSun" w:cs="SimSun"/>
          <w:sz w:val="22"/>
          <w:szCs w:val="22"/>
        </w:rPr>
      </w:pPr>
      <w:r>
        <w:rPr>
          <w:rFonts w:ascii="SimSun" w:hAnsi="SimSun" w:eastAsia="SimSun" w:cs="SimSun"/>
          <w:sz w:val="22"/>
          <w:szCs w:val="22"/>
          <w:spacing w:val="24"/>
        </w:rPr>
        <w:t>根据工程实际情况，结合国内同类生产装置的运行情况，确定以下几种非</w:t>
      </w:r>
      <w:r>
        <w:rPr>
          <w:rFonts w:ascii="SimSun" w:hAnsi="SimSun" w:eastAsia="SimSun" w:cs="SimSun"/>
          <w:sz w:val="22"/>
          <w:szCs w:val="22"/>
          <w:spacing w:val="10"/>
        </w:rPr>
        <w:t xml:space="preserve"> </w:t>
      </w:r>
      <w:r>
        <w:rPr>
          <w:rFonts w:ascii="SimSun" w:hAnsi="SimSun" w:eastAsia="SimSun" w:cs="SimSun"/>
          <w:sz w:val="22"/>
          <w:szCs w:val="22"/>
          <w:spacing w:val="8"/>
        </w:rPr>
        <w:t>正常状况：</w:t>
      </w:r>
    </w:p>
    <w:p>
      <w:pPr>
        <w:ind w:left="470"/>
        <w:spacing w:line="217" w:lineRule="auto"/>
        <w:rPr>
          <w:rFonts w:ascii="SimSun" w:hAnsi="SimSun" w:eastAsia="SimSun" w:cs="SimSun"/>
          <w:sz w:val="22"/>
          <w:szCs w:val="22"/>
        </w:rPr>
      </w:pPr>
      <w:r>
        <w:rPr>
          <w:rFonts w:ascii="SimSun" w:hAnsi="SimSun" w:eastAsia="SimSun" w:cs="SimSun"/>
          <w:sz w:val="22"/>
          <w:szCs w:val="22"/>
          <w:spacing w:val="19"/>
        </w:rPr>
        <w:t>①开、停车污染源强分析</w:t>
      </w:r>
    </w:p>
    <w:p>
      <w:pPr>
        <w:spacing w:line="217" w:lineRule="auto"/>
        <w:sectPr>
          <w:headerReference w:type="default" r:id="rId363"/>
          <w:footerReference w:type="default" r:id="rId364"/>
          <w:pgSz w:w="11910" w:h="16840"/>
          <w:pgMar w:top="1206" w:right="1786" w:bottom="983" w:left="1779" w:header="867" w:footer="785" w:gutter="0"/>
        </w:sectPr>
        <w:rPr>
          <w:rFonts w:ascii="SimSun" w:hAnsi="SimSun" w:eastAsia="SimSun" w:cs="SimSun"/>
          <w:sz w:val="22"/>
          <w:szCs w:val="22"/>
        </w:rPr>
      </w:pPr>
    </w:p>
    <w:p>
      <w:pPr>
        <w:ind w:left="94" w:right="102" w:firstLine="480"/>
        <w:spacing w:before="260" w:line="370" w:lineRule="auto"/>
        <w:jc w:val="both"/>
        <w:rPr>
          <w:rFonts w:ascii="SimSun" w:hAnsi="SimSun" w:eastAsia="SimSun" w:cs="SimSun"/>
          <w:sz w:val="23"/>
          <w:szCs w:val="23"/>
        </w:rPr>
      </w:pPr>
      <w:bookmarkStart w:name="bookmark107" w:id="76"/>
      <w:bookmarkEnd w:id="76"/>
      <w:r>
        <w:rPr>
          <w:rFonts w:ascii="SimSun" w:hAnsi="SimSun" w:eastAsia="SimSun" w:cs="SimSun"/>
          <w:sz w:val="23"/>
          <w:szCs w:val="23"/>
          <w:spacing w:val="14"/>
        </w:rPr>
        <w:t>项目在开工生产时，首先运行废气处理装置，然后再开启生产装置，可使</w:t>
      </w:r>
      <w:r>
        <w:rPr>
          <w:rFonts w:ascii="SimSun" w:hAnsi="SimSun" w:eastAsia="SimSun" w:cs="SimSun"/>
          <w:sz w:val="23"/>
          <w:szCs w:val="23"/>
          <w:spacing w:val="12"/>
        </w:rPr>
        <w:t xml:space="preserve"> </w:t>
      </w:r>
      <w:r>
        <w:rPr>
          <w:rFonts w:ascii="SimSun" w:hAnsi="SimSun" w:eastAsia="SimSun" w:cs="SimSun"/>
          <w:sz w:val="23"/>
          <w:szCs w:val="23"/>
          <w:spacing w:val="14"/>
        </w:rPr>
        <w:t>生产线产生的废气得到有效治理。车间生产线停止时，应保持废气治理设施继</w:t>
      </w:r>
      <w:r>
        <w:rPr>
          <w:rFonts w:ascii="SimSun" w:hAnsi="SimSun" w:eastAsia="SimSun" w:cs="SimSun"/>
          <w:sz w:val="23"/>
          <w:szCs w:val="23"/>
          <w:spacing w:val="3"/>
        </w:rPr>
        <w:t xml:space="preserve"> </w:t>
      </w:r>
      <w:r>
        <w:rPr>
          <w:rFonts w:ascii="SimSun" w:hAnsi="SimSun" w:eastAsia="SimSun" w:cs="SimSun"/>
          <w:sz w:val="23"/>
          <w:szCs w:val="23"/>
          <w:spacing w:val="14"/>
        </w:rPr>
        <w:t>续运转，待生产线上的废气全部排出、得到治理后再关闭废气治理措施。由此</w:t>
      </w:r>
      <w:r>
        <w:rPr>
          <w:rFonts w:ascii="SimSun" w:hAnsi="SimSun" w:eastAsia="SimSun" w:cs="SimSun"/>
          <w:sz w:val="23"/>
          <w:szCs w:val="23"/>
          <w:spacing w:val="2"/>
        </w:rPr>
        <w:t xml:space="preserve"> </w:t>
      </w:r>
      <w:r>
        <w:rPr>
          <w:rFonts w:ascii="SimSun" w:hAnsi="SimSun" w:eastAsia="SimSun" w:cs="SimSun"/>
          <w:sz w:val="23"/>
          <w:szCs w:val="23"/>
          <w:spacing w:val="14"/>
        </w:rPr>
        <w:t>可确保开、停车时排出的污染物得到有效治理，经排放口的污染物浓度与正常</w:t>
      </w:r>
      <w:r>
        <w:rPr>
          <w:rFonts w:ascii="SimSun" w:hAnsi="SimSun" w:eastAsia="SimSun" w:cs="SimSun"/>
          <w:sz w:val="23"/>
          <w:szCs w:val="23"/>
          <w:spacing w:val="5"/>
        </w:rPr>
        <w:t xml:space="preserve"> </w:t>
      </w:r>
      <w:r>
        <w:rPr>
          <w:rFonts w:ascii="SimSun" w:hAnsi="SimSun" w:eastAsia="SimSun" w:cs="SimSun"/>
          <w:sz w:val="23"/>
          <w:szCs w:val="23"/>
          <w:spacing w:val="7"/>
        </w:rPr>
        <w:t>生产时保持一致。</w:t>
      </w:r>
    </w:p>
    <w:p>
      <w:pPr>
        <w:ind w:left="575"/>
        <w:spacing w:before="42" w:line="217" w:lineRule="auto"/>
        <w:rPr>
          <w:rFonts w:ascii="SimSun" w:hAnsi="SimSun" w:eastAsia="SimSun" w:cs="SimSun"/>
          <w:sz w:val="23"/>
          <w:szCs w:val="23"/>
        </w:rPr>
      </w:pPr>
      <w:r>
        <w:rPr>
          <w:rFonts w:ascii="SimSun" w:hAnsi="SimSun" w:eastAsia="SimSun" w:cs="SimSun"/>
          <w:sz w:val="23"/>
          <w:szCs w:val="23"/>
          <w:spacing w:val="13"/>
        </w:rPr>
        <w:t>②设备故障或检修</w:t>
      </w:r>
    </w:p>
    <w:p>
      <w:pPr>
        <w:ind w:left="94" w:right="103" w:firstLine="480"/>
        <w:spacing w:before="182" w:line="370" w:lineRule="auto"/>
        <w:rPr>
          <w:rFonts w:ascii="SimSun" w:hAnsi="SimSun" w:eastAsia="SimSun" w:cs="SimSun"/>
          <w:sz w:val="23"/>
          <w:szCs w:val="23"/>
        </w:rPr>
      </w:pPr>
      <w:r>
        <w:rPr>
          <w:rFonts w:ascii="SimSun" w:hAnsi="SimSun" w:eastAsia="SimSun" w:cs="SimSun"/>
          <w:sz w:val="23"/>
          <w:szCs w:val="23"/>
          <w:spacing w:val="13"/>
        </w:rPr>
        <w:t>生产装置检修时，首先保证整批物料加工结束后停工，待各个设备检修、</w:t>
      </w:r>
      <w:r>
        <w:rPr>
          <w:rFonts w:ascii="SimSun" w:hAnsi="SimSun" w:eastAsia="SimSun" w:cs="SimSun"/>
          <w:sz w:val="23"/>
          <w:szCs w:val="23"/>
          <w:spacing w:val="18"/>
        </w:rPr>
        <w:t xml:space="preserve"> </w:t>
      </w:r>
      <w:r>
        <w:rPr>
          <w:rFonts w:ascii="SimSun" w:hAnsi="SimSun" w:eastAsia="SimSun" w:cs="SimSun"/>
          <w:sz w:val="23"/>
          <w:szCs w:val="23"/>
          <w:spacing w:val="14"/>
        </w:rPr>
        <w:t>保养后再开工生产。本项目设备检修不需做设备内部清洁，主要涉及到设备零</w:t>
      </w:r>
      <w:r>
        <w:rPr>
          <w:rFonts w:ascii="SimSun" w:hAnsi="SimSun" w:eastAsia="SimSun" w:cs="SimSun"/>
          <w:sz w:val="23"/>
          <w:szCs w:val="23"/>
          <w:spacing w:val="2"/>
        </w:rPr>
        <w:t xml:space="preserve"> </w:t>
      </w:r>
      <w:r>
        <w:rPr>
          <w:rFonts w:ascii="SimSun" w:hAnsi="SimSun" w:eastAsia="SimSun" w:cs="SimSun"/>
          <w:sz w:val="23"/>
          <w:szCs w:val="23"/>
          <w:spacing w:val="14"/>
        </w:rPr>
        <w:t>部件更换。生产线设备若出现故障或检修时，若产污设备停止运转，即不会有</w:t>
      </w:r>
      <w:r>
        <w:rPr>
          <w:rFonts w:ascii="SimSun" w:hAnsi="SimSun" w:eastAsia="SimSun" w:cs="SimSun"/>
          <w:sz w:val="23"/>
          <w:szCs w:val="23"/>
          <w:spacing w:val="4"/>
        </w:rPr>
        <w:t xml:space="preserve"> </w:t>
      </w:r>
      <w:r>
        <w:rPr>
          <w:rFonts w:ascii="SimSun" w:hAnsi="SimSun" w:eastAsia="SimSun" w:cs="SimSun"/>
          <w:sz w:val="23"/>
          <w:szCs w:val="23"/>
          <w:spacing w:val="14"/>
        </w:rPr>
        <w:t>废气产生，若产污设备正常运转，应使废气治理设施继续运转，经排放口排放</w:t>
      </w:r>
      <w:r>
        <w:rPr>
          <w:rFonts w:ascii="SimSun" w:hAnsi="SimSun" w:eastAsia="SimSun" w:cs="SimSun"/>
          <w:sz w:val="23"/>
          <w:szCs w:val="23"/>
          <w:spacing w:val="2"/>
        </w:rPr>
        <w:t xml:space="preserve"> </w:t>
      </w:r>
      <w:r>
        <w:rPr>
          <w:rFonts w:ascii="SimSun" w:hAnsi="SimSun" w:eastAsia="SimSun" w:cs="SimSun"/>
          <w:sz w:val="23"/>
          <w:szCs w:val="23"/>
          <w:spacing w:val="7"/>
        </w:rPr>
        <w:t>的污染物浓度与正常生产时保持一致。</w:t>
      </w:r>
    </w:p>
    <w:p>
      <w:pPr>
        <w:ind w:left="575"/>
        <w:spacing w:before="32" w:line="217" w:lineRule="auto"/>
        <w:rPr>
          <w:rFonts w:ascii="SimSun" w:hAnsi="SimSun" w:eastAsia="SimSun" w:cs="SimSun"/>
          <w:sz w:val="23"/>
          <w:szCs w:val="23"/>
        </w:rPr>
      </w:pPr>
      <w:r>
        <w:rPr>
          <w:rFonts w:ascii="SimSun" w:hAnsi="SimSun" w:eastAsia="SimSun" w:cs="SimSun"/>
          <w:sz w:val="23"/>
          <w:szCs w:val="23"/>
          <w:spacing w:val="9"/>
        </w:rPr>
        <w:t>③废气处理系统出现故障源强分析</w:t>
      </w:r>
    </w:p>
    <w:p>
      <w:pPr>
        <w:ind w:left="94" w:right="106" w:firstLine="480"/>
        <w:spacing w:before="200" w:line="379" w:lineRule="auto"/>
        <w:rPr>
          <w:rFonts w:ascii="SimSun" w:hAnsi="SimSun" w:eastAsia="SimSun" w:cs="SimSun"/>
          <w:sz w:val="23"/>
          <w:szCs w:val="23"/>
        </w:rPr>
      </w:pPr>
      <w:r>
        <w:rPr>
          <w:rFonts w:ascii="SimSun" w:hAnsi="SimSun" w:eastAsia="SimSun" w:cs="SimSun"/>
          <w:sz w:val="23"/>
          <w:szCs w:val="23"/>
          <w:spacing w:val="14"/>
        </w:rPr>
        <w:t>本项目在非正常工况下可能排放的污染物对环境影响较大的主要为废气治</w:t>
      </w:r>
      <w:r>
        <w:rPr>
          <w:rFonts w:ascii="SimSun" w:hAnsi="SimSun" w:eastAsia="SimSun" w:cs="SimSun"/>
          <w:sz w:val="23"/>
          <w:szCs w:val="23"/>
        </w:rPr>
        <w:t xml:space="preserve"> </w:t>
      </w:r>
      <w:r>
        <w:rPr>
          <w:rFonts w:ascii="SimSun" w:hAnsi="SimSun" w:eastAsia="SimSun" w:cs="SimSun"/>
          <w:sz w:val="23"/>
          <w:szCs w:val="23"/>
          <w:spacing w:val="7"/>
        </w:rPr>
        <w:t>理设施运行出现故障，达不到设计要求处理效率时的污染物排放。废气治理装置</w:t>
      </w:r>
      <w:r>
        <w:rPr>
          <w:rFonts w:ascii="SimSun" w:hAnsi="SimSun" w:eastAsia="SimSun" w:cs="SimSun"/>
          <w:sz w:val="23"/>
          <w:szCs w:val="23"/>
          <w:spacing w:val="2"/>
        </w:rPr>
        <w:t xml:space="preserve"> </w:t>
      </w:r>
      <w:r>
        <w:rPr>
          <w:rFonts w:ascii="SimSun" w:hAnsi="SimSun" w:eastAsia="SimSun" w:cs="SimSun"/>
          <w:sz w:val="23"/>
          <w:szCs w:val="23"/>
          <w:spacing w:val="6"/>
        </w:rPr>
        <w:t>或失效，废气未得到有效净化而由排气筒直接排放入大气，将造成周围大气环境</w:t>
      </w:r>
      <w:r>
        <w:rPr>
          <w:rFonts w:ascii="SimSun" w:hAnsi="SimSun" w:eastAsia="SimSun" w:cs="SimSun"/>
          <w:sz w:val="23"/>
          <w:szCs w:val="23"/>
          <w:spacing w:val="18"/>
        </w:rPr>
        <w:t xml:space="preserve"> </w:t>
      </w:r>
      <w:r>
        <w:rPr>
          <w:rFonts w:ascii="SimSun" w:hAnsi="SimSun" w:eastAsia="SimSun" w:cs="SimSun"/>
          <w:sz w:val="23"/>
          <w:szCs w:val="23"/>
          <w:spacing w:val="-2"/>
        </w:rPr>
        <w:t>污染。</w:t>
      </w:r>
    </w:p>
    <w:p>
      <w:pPr>
        <w:ind w:left="1578" w:right="269" w:hanging="1003"/>
        <w:spacing w:before="20" w:line="278" w:lineRule="auto"/>
        <w:rPr>
          <w:rFonts w:ascii="SimSun" w:hAnsi="SimSun" w:eastAsia="SimSun" w:cs="SimSun"/>
          <w:sz w:val="24"/>
          <w:szCs w:val="24"/>
        </w:rPr>
      </w:pPr>
      <w:r>
        <w:rPr>
          <w:rFonts w:ascii="SimSun" w:hAnsi="SimSun" w:eastAsia="SimSun" w:cs="SimSun"/>
          <w:sz w:val="23"/>
          <w:szCs w:val="23"/>
          <w:spacing w:val="9"/>
        </w:rPr>
        <w:t>本次评价考虑废气处理设施非正常运行条件下废气排放情况，详见下表。</w:t>
      </w:r>
      <w:r>
        <w:rPr>
          <w:rFonts w:ascii="SimSun" w:hAnsi="SimSun" w:eastAsia="SimSun" w:cs="SimSun"/>
          <w:sz w:val="23"/>
          <w:szCs w:val="23"/>
          <w:spacing w:val="6"/>
        </w:rPr>
        <w:t xml:space="preserve"> </w:t>
      </w:r>
      <w:r>
        <w:rPr>
          <w:rFonts w:ascii="SimSun" w:hAnsi="SimSun" w:eastAsia="SimSun" w:cs="SimSun"/>
          <w:sz w:val="24"/>
          <w:szCs w:val="24"/>
          <w:b/>
          <w:bCs/>
          <w:spacing w:val="-3"/>
        </w:rPr>
        <w:t>表3.11-36项目非正常工况大气污染物排放量核算表</w:t>
      </w:r>
    </w:p>
    <w:tbl>
      <w:tblPr>
        <w:tblStyle w:val="TableNormal"/>
        <w:tblW w:w="848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54"/>
        <w:gridCol w:w="859"/>
        <w:gridCol w:w="579"/>
        <w:gridCol w:w="1049"/>
        <w:gridCol w:w="1058"/>
        <w:gridCol w:w="1798"/>
        <w:gridCol w:w="899"/>
        <w:gridCol w:w="929"/>
        <w:gridCol w:w="964"/>
      </w:tblGrid>
      <w:tr>
        <w:trPr>
          <w:trHeight w:val="543" w:hRule="atLeast"/>
        </w:trPr>
        <w:tc>
          <w:tcPr>
            <w:shd w:val="clear" w:fill="BDBDBD"/>
            <w:tcW w:w="354" w:type="dxa"/>
            <w:vAlign w:val="top"/>
            <w:textDirection w:val="tbRlV"/>
          </w:tcPr>
          <w:p>
            <w:pPr>
              <w:pStyle w:val="TableText"/>
              <w:spacing w:before="81" w:line="199" w:lineRule="auto"/>
              <w:rPr>
                <w:sz w:val="21"/>
                <w:szCs w:val="21"/>
              </w:rPr>
            </w:pPr>
            <w:r>
              <w:rPr>
                <w:sz w:val="21"/>
                <w:szCs w:val="21"/>
                <w:b/>
                <w:bCs/>
                <w:spacing w:val="-4"/>
              </w:rPr>
              <w:t>序</w:t>
            </w:r>
            <w:r>
              <w:rPr>
                <w:sz w:val="21"/>
                <w:szCs w:val="21"/>
                <w:spacing w:val="9"/>
              </w:rPr>
              <w:t xml:space="preserve"> </w:t>
            </w:r>
            <w:r>
              <w:rPr>
                <w:sz w:val="21"/>
                <w:szCs w:val="21"/>
                <w:b/>
                <w:bCs/>
                <w:spacing w:val="-4"/>
              </w:rPr>
              <w:t>号</w:t>
            </w:r>
          </w:p>
        </w:tc>
        <w:tc>
          <w:tcPr>
            <w:shd w:val="clear" w:fill="BDBDBD"/>
            <w:tcW w:w="859" w:type="dxa"/>
            <w:vAlign w:val="top"/>
          </w:tcPr>
          <w:p>
            <w:pPr>
              <w:pStyle w:val="TableText"/>
              <w:ind w:left="103"/>
              <w:spacing w:before="171" w:line="220" w:lineRule="auto"/>
              <w:rPr>
                <w:sz w:val="21"/>
                <w:szCs w:val="21"/>
              </w:rPr>
            </w:pPr>
            <w:r>
              <w:rPr>
                <w:sz w:val="21"/>
                <w:szCs w:val="21"/>
                <w:b/>
                <w:bCs/>
                <w:spacing w:val="-5"/>
              </w:rPr>
              <w:t>污染源</w:t>
            </w:r>
          </w:p>
        </w:tc>
        <w:tc>
          <w:tcPr>
            <w:shd w:val="clear" w:fill="080808"/>
            <w:tcW w:w="579" w:type="dxa"/>
            <w:vAlign w:val="top"/>
          </w:tcPr>
          <w:p>
            <w:pPr>
              <w:pStyle w:val="TableText"/>
              <w:ind w:left="74"/>
              <w:spacing w:before="11" w:line="220" w:lineRule="auto"/>
              <w:rPr>
                <w:sz w:val="21"/>
                <w:szCs w:val="21"/>
              </w:rPr>
            </w:pPr>
            <w:r>
              <w:rPr>
                <w:sz w:val="21"/>
                <w:szCs w:val="21"/>
                <w:b/>
                <w:bCs/>
                <w:spacing w:val="-5"/>
              </w:rPr>
              <w:t>污染</w:t>
            </w:r>
          </w:p>
          <w:p>
            <w:pPr>
              <w:pStyle w:val="TableText"/>
              <w:ind w:left="74"/>
              <w:spacing w:before="19" w:line="220" w:lineRule="auto"/>
              <w:rPr>
                <w:sz w:val="21"/>
                <w:szCs w:val="21"/>
              </w:rPr>
            </w:pPr>
            <w:r>
              <w:rPr>
                <w:sz w:val="21"/>
                <w:szCs w:val="21"/>
                <w:b/>
                <w:bCs/>
                <w:spacing w:val="-1"/>
              </w:rPr>
              <w:t>因子</w:t>
            </w:r>
          </w:p>
        </w:tc>
        <w:tc>
          <w:tcPr>
            <w:shd w:val="clear" w:fill="BDBDBD"/>
            <w:tcW w:w="1049" w:type="dxa"/>
            <w:vAlign w:val="top"/>
          </w:tcPr>
          <w:p>
            <w:pPr>
              <w:pStyle w:val="TableText"/>
              <w:ind w:left="45"/>
              <w:spacing w:before="41" w:line="187" w:lineRule="auto"/>
              <w:rPr>
                <w:sz w:val="21"/>
                <w:szCs w:val="21"/>
              </w:rPr>
            </w:pPr>
            <w:r>
              <w:rPr>
                <w:sz w:val="21"/>
                <w:szCs w:val="21"/>
                <w:b/>
                <w:bCs/>
                <w:spacing w:val="-4"/>
              </w:rPr>
              <w:t>排放浓度/</w:t>
            </w:r>
          </w:p>
          <w:p>
            <w:pPr>
              <w:pStyle w:val="TableText"/>
              <w:ind w:left="96"/>
              <w:spacing w:line="213" w:lineRule="auto"/>
              <w:rPr>
                <w:sz w:val="21"/>
                <w:szCs w:val="21"/>
              </w:rPr>
            </w:pPr>
            <w:r>
              <w:rPr>
                <w:sz w:val="21"/>
                <w:szCs w:val="21"/>
                <w:b/>
                <w:bCs/>
                <w:spacing w:val="-8"/>
              </w:rPr>
              <w:t>(mg/m³)</w:t>
            </w:r>
          </w:p>
        </w:tc>
        <w:tc>
          <w:tcPr>
            <w:shd w:val="clear" w:fill="BDBDBD"/>
            <w:tcW w:w="1058" w:type="dxa"/>
            <w:vAlign w:val="top"/>
          </w:tcPr>
          <w:p>
            <w:pPr>
              <w:pStyle w:val="TableText"/>
              <w:ind w:left="46"/>
              <w:spacing w:before="20" w:line="205" w:lineRule="auto"/>
              <w:rPr>
                <w:sz w:val="21"/>
                <w:szCs w:val="21"/>
              </w:rPr>
            </w:pPr>
            <w:r>
              <w:rPr>
                <w:sz w:val="21"/>
                <w:szCs w:val="21"/>
                <w:b/>
                <w:bCs/>
                <w:spacing w:val="-4"/>
              </w:rPr>
              <w:t>排放速率/</w:t>
            </w:r>
          </w:p>
          <w:p>
            <w:pPr>
              <w:pStyle w:val="TableText"/>
              <w:ind w:left="206"/>
              <w:spacing w:line="213" w:lineRule="auto"/>
              <w:rPr>
                <w:sz w:val="21"/>
                <w:szCs w:val="21"/>
              </w:rPr>
            </w:pPr>
            <w:r>
              <w:rPr>
                <w:sz w:val="21"/>
                <w:szCs w:val="21"/>
                <w:b/>
                <w:bCs/>
                <w:spacing w:val="-9"/>
              </w:rPr>
              <w:t>(kg/h)</w:t>
            </w:r>
          </w:p>
        </w:tc>
        <w:tc>
          <w:tcPr>
            <w:shd w:val="clear" w:fill="BDBDBD"/>
            <w:tcW w:w="1798" w:type="dxa"/>
            <w:vAlign w:val="top"/>
          </w:tcPr>
          <w:p>
            <w:pPr>
              <w:pStyle w:val="TableText"/>
              <w:ind w:left="159"/>
              <w:spacing w:before="171" w:line="220" w:lineRule="auto"/>
              <w:rPr>
                <w:sz w:val="21"/>
                <w:szCs w:val="21"/>
              </w:rPr>
            </w:pPr>
            <w:r>
              <w:rPr>
                <w:sz w:val="21"/>
                <w:szCs w:val="21"/>
                <w:b/>
                <w:bCs/>
                <w:spacing w:val="-1"/>
              </w:rPr>
              <w:t>非正常排放原因</w:t>
            </w:r>
          </w:p>
        </w:tc>
        <w:tc>
          <w:tcPr>
            <w:shd w:val="clear" w:fill="BDBDBD"/>
            <w:tcW w:w="899" w:type="dxa"/>
            <w:vAlign w:val="top"/>
          </w:tcPr>
          <w:p>
            <w:pPr>
              <w:pStyle w:val="TableText"/>
              <w:ind w:left="31"/>
              <w:spacing w:before="40" w:line="219" w:lineRule="auto"/>
              <w:rPr>
                <w:sz w:val="21"/>
                <w:szCs w:val="21"/>
              </w:rPr>
            </w:pPr>
            <w:r>
              <w:rPr>
                <w:sz w:val="21"/>
                <w:szCs w:val="21"/>
                <w:b/>
                <w:bCs/>
                <w:spacing w:val="-5"/>
              </w:rPr>
              <w:t>单次持续</w:t>
            </w:r>
          </w:p>
          <w:p>
            <w:pPr>
              <w:pStyle w:val="TableText"/>
              <w:ind w:left="130"/>
              <w:spacing w:before="13" w:line="202" w:lineRule="auto"/>
              <w:rPr>
                <w:sz w:val="21"/>
                <w:szCs w:val="21"/>
              </w:rPr>
            </w:pPr>
            <w:r>
              <w:rPr>
                <w:sz w:val="21"/>
                <w:szCs w:val="21"/>
                <w:b/>
                <w:bCs/>
                <w:spacing w:val="-6"/>
              </w:rPr>
              <w:t>时间/h</w:t>
            </w:r>
          </w:p>
        </w:tc>
        <w:tc>
          <w:tcPr>
            <w:shd w:val="clear" w:fill="BDBDBD"/>
            <w:tcW w:w="929" w:type="dxa"/>
            <w:vAlign w:val="top"/>
          </w:tcPr>
          <w:p>
            <w:pPr>
              <w:pStyle w:val="TableText"/>
              <w:ind w:left="201" w:right="46" w:hanging="160"/>
              <w:spacing w:before="40" w:line="215" w:lineRule="auto"/>
              <w:rPr>
                <w:sz w:val="21"/>
                <w:szCs w:val="21"/>
              </w:rPr>
            </w:pPr>
            <w:r>
              <w:rPr>
                <w:sz w:val="21"/>
                <w:szCs w:val="21"/>
                <w:b/>
                <w:bCs/>
                <w:spacing w:val="-5"/>
              </w:rPr>
              <w:t>年发生频</w:t>
            </w:r>
            <w:r>
              <w:rPr>
                <w:sz w:val="21"/>
                <w:szCs w:val="21"/>
                <w:spacing w:val="1"/>
              </w:rPr>
              <w:t xml:space="preserve"> </w:t>
            </w:r>
            <w:r>
              <w:rPr>
                <w:sz w:val="21"/>
                <w:szCs w:val="21"/>
                <w:b/>
                <w:bCs/>
                <w:spacing w:val="-5"/>
              </w:rPr>
              <w:t>次/次</w:t>
            </w:r>
          </w:p>
        </w:tc>
        <w:tc>
          <w:tcPr>
            <w:shd w:val="clear" w:fill="BDBDBD"/>
            <w:tcW w:w="964" w:type="dxa"/>
            <w:vAlign w:val="top"/>
          </w:tcPr>
          <w:p>
            <w:pPr>
              <w:pStyle w:val="TableText"/>
              <w:ind w:left="242" w:right="269" w:firstLine="30"/>
              <w:spacing w:before="21" w:line="225" w:lineRule="auto"/>
              <w:rPr>
                <w:sz w:val="21"/>
                <w:szCs w:val="21"/>
              </w:rPr>
            </w:pPr>
            <w:r>
              <w:rPr>
                <w:sz w:val="21"/>
                <w:szCs w:val="21"/>
                <w:b/>
                <w:bCs/>
                <w:spacing w:val="-7"/>
              </w:rPr>
              <w:t>排放</w:t>
            </w:r>
            <w:r>
              <w:rPr>
                <w:sz w:val="21"/>
                <w:szCs w:val="21"/>
              </w:rPr>
              <w:t xml:space="preserve"> </w:t>
            </w:r>
            <w:r>
              <w:rPr>
                <w:sz w:val="21"/>
                <w:szCs w:val="21"/>
                <w:b/>
                <w:bCs/>
                <w:spacing w:val="-5"/>
              </w:rPr>
              <w:t>形式</w:t>
            </w:r>
          </w:p>
        </w:tc>
      </w:tr>
      <w:tr>
        <w:trPr>
          <w:trHeight w:val="239" w:hRule="atLeast"/>
        </w:trPr>
        <w:tc>
          <w:tcPr>
            <w:tcW w:w="354" w:type="dxa"/>
            <w:vAlign w:val="top"/>
            <w:vMerge w:val="restart"/>
            <w:tcBorders>
              <w:bottom w:val="nil"/>
            </w:tcBorders>
          </w:tcPr>
          <w:p>
            <w:pPr>
              <w:pStyle w:val="TableText"/>
              <w:ind w:left="114"/>
              <w:spacing w:before="171" w:line="241" w:lineRule="auto"/>
              <w:rPr>
                <w:sz w:val="21"/>
                <w:szCs w:val="21"/>
              </w:rPr>
            </w:pPr>
            <w:r>
              <w:rPr>
                <w:sz w:val="21"/>
                <w:szCs w:val="21"/>
                <w:color w:val="506060"/>
              </w:rPr>
              <w:t>1</w:t>
            </w:r>
          </w:p>
        </w:tc>
        <w:tc>
          <w:tcPr>
            <w:tcW w:w="859" w:type="dxa"/>
            <w:vAlign w:val="top"/>
            <w:vMerge w:val="restart"/>
            <w:tcBorders>
              <w:bottom w:val="nil"/>
            </w:tcBorders>
          </w:tcPr>
          <w:p>
            <w:pPr>
              <w:pStyle w:val="TableText"/>
              <w:ind w:left="150"/>
              <w:spacing w:before="202" w:line="185" w:lineRule="auto"/>
              <w:rPr>
                <w:sz w:val="21"/>
                <w:szCs w:val="21"/>
              </w:rPr>
            </w:pPr>
            <w:r>
              <w:rPr>
                <w:sz w:val="21"/>
                <w:szCs w:val="21"/>
                <w:spacing w:val="-1"/>
              </w:rPr>
              <w:t>DA001</w:t>
            </w:r>
          </w:p>
        </w:tc>
        <w:tc>
          <w:tcPr>
            <w:tcW w:w="579" w:type="dxa"/>
            <w:vAlign w:val="top"/>
          </w:tcPr>
          <w:p>
            <w:pPr>
              <w:pStyle w:val="TableText"/>
              <w:ind w:left="71"/>
              <w:spacing w:before="54" w:line="175" w:lineRule="exact"/>
              <w:rPr>
                <w:rFonts w:ascii="Calibri" w:hAnsi="Calibri" w:eastAsia="Calibri" w:cs="Calibri"/>
                <w:sz w:val="21"/>
                <w:szCs w:val="21"/>
              </w:rPr>
            </w:pPr>
            <w:r>
              <w:rPr>
                <w:sz w:val="21"/>
                <w:szCs w:val="21"/>
                <w:spacing w:val="-1"/>
                <w:position w:val="-1"/>
              </w:rPr>
              <w:t>NH</w:t>
            </w:r>
            <w:r>
              <w:rPr>
                <w:rFonts w:ascii="Calibri" w:hAnsi="Calibri" w:eastAsia="Calibri" w:cs="Calibri"/>
                <w:sz w:val="21"/>
                <w:szCs w:val="21"/>
                <w:spacing w:val="-1"/>
                <w:position w:val="-1"/>
              </w:rPr>
              <w:t>₃</w:t>
            </w:r>
          </w:p>
        </w:tc>
        <w:tc>
          <w:tcPr>
            <w:tcW w:w="1049" w:type="dxa"/>
            <w:vAlign w:val="top"/>
          </w:tcPr>
          <w:p>
            <w:pPr>
              <w:pStyle w:val="TableText"/>
              <w:ind w:left="302"/>
              <w:spacing w:before="41" w:line="165" w:lineRule="auto"/>
              <w:rPr>
                <w:sz w:val="21"/>
                <w:szCs w:val="21"/>
              </w:rPr>
            </w:pPr>
            <w:r>
              <w:rPr>
                <w:sz w:val="21"/>
                <w:szCs w:val="21"/>
                <w:color w:val="606070"/>
                <w:spacing w:val="-3"/>
              </w:rPr>
              <w:t>3.03</w:t>
            </w:r>
          </w:p>
        </w:tc>
        <w:tc>
          <w:tcPr>
            <w:tcW w:w="1058" w:type="dxa"/>
            <w:vAlign w:val="top"/>
          </w:tcPr>
          <w:p>
            <w:pPr>
              <w:pStyle w:val="TableText"/>
              <w:ind w:left="253"/>
              <w:spacing w:before="41" w:line="165" w:lineRule="auto"/>
              <w:rPr>
                <w:sz w:val="21"/>
                <w:szCs w:val="21"/>
              </w:rPr>
            </w:pPr>
            <w:r>
              <w:rPr>
                <w:sz w:val="21"/>
                <w:szCs w:val="21"/>
                <w:spacing w:val="-2"/>
              </w:rPr>
              <w:t>0.091</w:t>
            </w:r>
          </w:p>
        </w:tc>
        <w:tc>
          <w:tcPr>
            <w:tcW w:w="1798" w:type="dxa"/>
            <w:vAlign w:val="top"/>
            <w:vMerge w:val="restart"/>
            <w:tcBorders>
              <w:bottom w:val="nil"/>
            </w:tcBorders>
          </w:tcPr>
          <w:p>
            <w:pPr>
              <w:spacing w:line="428" w:lineRule="auto"/>
              <w:rPr>
                <w:rFonts w:ascii="Arial"/>
                <w:sz w:val="21"/>
              </w:rPr>
            </w:pPr>
            <w:r/>
          </w:p>
          <w:p>
            <w:pPr>
              <w:pStyle w:val="TableText"/>
              <w:ind w:left="105" w:right="7" w:hanging="50"/>
              <w:spacing w:before="69" w:line="241" w:lineRule="auto"/>
              <w:jc w:val="both"/>
              <w:rPr>
                <w:sz w:val="21"/>
                <w:szCs w:val="21"/>
              </w:rPr>
            </w:pPr>
            <w:r>
              <w:rPr>
                <w:sz w:val="21"/>
                <w:szCs w:val="21"/>
                <w:spacing w:val="-2"/>
              </w:rPr>
              <w:t>污染物处理措施达</w:t>
            </w:r>
            <w:r>
              <w:rPr>
                <w:sz w:val="21"/>
                <w:szCs w:val="21"/>
                <w:spacing w:val="5"/>
              </w:rPr>
              <w:t xml:space="preserve"> </w:t>
            </w:r>
            <w:r>
              <w:rPr>
                <w:sz w:val="21"/>
                <w:szCs w:val="21"/>
                <w:spacing w:val="-2"/>
              </w:rPr>
              <w:t>不到应有效率(综</w:t>
            </w:r>
            <w:r>
              <w:rPr>
                <w:sz w:val="21"/>
                <w:szCs w:val="21"/>
                <w:spacing w:val="1"/>
              </w:rPr>
              <w:t xml:space="preserve">  </w:t>
            </w:r>
            <w:r>
              <w:rPr>
                <w:sz w:val="21"/>
                <w:szCs w:val="21"/>
                <w:spacing w:val="-1"/>
              </w:rPr>
              <w:t>合净化效率降低，</w:t>
            </w:r>
            <w:r>
              <w:rPr>
                <w:sz w:val="21"/>
                <w:szCs w:val="21"/>
                <w:spacing w:val="1"/>
              </w:rPr>
              <w:t xml:space="preserve"> </w:t>
            </w:r>
            <w:r>
              <w:rPr>
                <w:sz w:val="21"/>
                <w:szCs w:val="21"/>
                <w:spacing w:val="12"/>
              </w:rPr>
              <w:t>考虑50%左右)</w:t>
            </w:r>
          </w:p>
        </w:tc>
        <w:tc>
          <w:tcPr>
            <w:tcW w:w="899" w:type="dxa"/>
            <w:vAlign w:val="top"/>
            <w:vMerge w:val="restart"/>
            <w:textDirection w:val="tbRlV"/>
            <w:tcBorders>
              <w:bottom w:val="nil"/>
            </w:tcBorders>
          </w:tcPr>
          <w:p>
            <w:pPr>
              <w:spacing w:line="334" w:lineRule="auto"/>
              <w:rPr>
                <w:rFonts w:ascii="Arial"/>
                <w:sz w:val="21"/>
              </w:rPr>
            </w:pPr>
            <w:r/>
          </w:p>
          <w:p>
            <w:pPr>
              <w:pStyle w:val="TableText"/>
              <w:ind w:left="105"/>
              <w:spacing w:before="70" w:line="126" w:lineRule="exact"/>
              <w:rPr>
                <w:sz w:val="21"/>
                <w:szCs w:val="21"/>
              </w:rPr>
            </w:pPr>
            <w:r>
              <w:rPr>
                <w:sz w:val="21"/>
                <w:szCs w:val="21"/>
                <w:color w:val="606060"/>
                <w:spacing w:val="50"/>
                <w:w w:val="125"/>
                <w:position w:val="-3"/>
              </w:rPr>
              <w:t>1</w:t>
            </w:r>
          </w:p>
        </w:tc>
        <w:tc>
          <w:tcPr>
            <w:tcW w:w="929" w:type="dxa"/>
            <w:vAlign w:val="top"/>
            <w:vMerge w:val="restart"/>
            <w:tcBorders>
              <w:bottom w:val="nil"/>
            </w:tcBorders>
          </w:tcPr>
          <w:p>
            <w:pPr>
              <w:pStyle w:val="TableText"/>
              <w:ind w:left="298"/>
              <w:spacing w:before="171" w:line="241" w:lineRule="auto"/>
              <w:rPr>
                <w:sz w:val="21"/>
                <w:szCs w:val="21"/>
              </w:rPr>
            </w:pPr>
            <w:r>
              <w:rPr>
                <w:sz w:val="21"/>
                <w:szCs w:val="21"/>
                <w:spacing w:val="-6"/>
              </w:rPr>
              <w:t>1~2</w:t>
            </w:r>
          </w:p>
        </w:tc>
        <w:tc>
          <w:tcPr>
            <w:tcW w:w="964" w:type="dxa"/>
            <w:vAlign w:val="top"/>
            <w:vMerge w:val="restart"/>
            <w:tcBorders>
              <w:bottom w:val="nil"/>
            </w:tcBorders>
          </w:tcPr>
          <w:p>
            <w:pPr>
              <w:pStyle w:val="TableText"/>
              <w:ind w:left="159"/>
              <w:spacing w:before="151" w:line="220" w:lineRule="auto"/>
              <w:rPr>
                <w:sz w:val="21"/>
                <w:szCs w:val="21"/>
              </w:rPr>
            </w:pPr>
            <w:r>
              <w:rPr>
                <w:sz w:val="21"/>
                <w:szCs w:val="21"/>
                <w:spacing w:val="3"/>
              </w:rPr>
              <w:t>有组织</w:t>
            </w:r>
          </w:p>
        </w:tc>
      </w:tr>
      <w:tr>
        <w:trPr>
          <w:trHeight w:val="249" w:hRule="atLeast"/>
        </w:trPr>
        <w:tc>
          <w:tcPr>
            <w:tcW w:w="354" w:type="dxa"/>
            <w:vAlign w:val="top"/>
            <w:vMerge w:val="continue"/>
            <w:tcBorders>
              <w:top w:val="nil"/>
            </w:tcBorders>
          </w:tcPr>
          <w:p>
            <w:pPr>
              <w:rPr>
                <w:rFonts w:ascii="Arial"/>
                <w:sz w:val="21"/>
              </w:rPr>
            </w:pPr>
            <w:r/>
          </w:p>
        </w:tc>
        <w:tc>
          <w:tcPr>
            <w:tcW w:w="859" w:type="dxa"/>
            <w:vAlign w:val="top"/>
            <w:vMerge w:val="continue"/>
            <w:tcBorders>
              <w:top w:val="nil"/>
            </w:tcBorders>
          </w:tcPr>
          <w:p>
            <w:pPr>
              <w:rPr>
                <w:rFonts w:ascii="Arial"/>
                <w:sz w:val="21"/>
              </w:rPr>
            </w:pPr>
            <w:r/>
          </w:p>
        </w:tc>
        <w:tc>
          <w:tcPr>
            <w:tcW w:w="579" w:type="dxa"/>
            <w:vAlign w:val="top"/>
          </w:tcPr>
          <w:p>
            <w:pPr>
              <w:pStyle w:val="TableText"/>
              <w:ind w:left="71"/>
              <w:spacing w:before="54" w:line="162"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1049" w:type="dxa"/>
            <w:vAlign w:val="top"/>
          </w:tcPr>
          <w:p>
            <w:pPr>
              <w:pStyle w:val="TableText"/>
              <w:ind w:left="302"/>
              <w:spacing w:before="42" w:line="173" w:lineRule="auto"/>
              <w:rPr>
                <w:sz w:val="21"/>
                <w:szCs w:val="21"/>
              </w:rPr>
            </w:pPr>
            <w:r>
              <w:rPr>
                <w:sz w:val="21"/>
                <w:szCs w:val="21"/>
                <w:color w:val="202040"/>
                <w:spacing w:val="-5"/>
              </w:rPr>
              <w:t>1.12</w:t>
            </w:r>
          </w:p>
        </w:tc>
        <w:tc>
          <w:tcPr>
            <w:tcW w:w="1058" w:type="dxa"/>
            <w:vAlign w:val="top"/>
          </w:tcPr>
          <w:p>
            <w:pPr>
              <w:pStyle w:val="TableText"/>
              <w:ind w:left="253"/>
              <w:spacing w:before="42" w:line="173" w:lineRule="auto"/>
              <w:rPr>
                <w:sz w:val="21"/>
                <w:szCs w:val="21"/>
              </w:rPr>
            </w:pPr>
            <w:r>
              <w:rPr>
                <w:sz w:val="21"/>
                <w:szCs w:val="21"/>
                <w:color w:val="606060"/>
                <w:spacing w:val="-2"/>
              </w:rPr>
              <w:t>0.034</w:t>
            </w:r>
          </w:p>
        </w:tc>
        <w:tc>
          <w:tcPr>
            <w:tcW w:w="1798" w:type="dxa"/>
            <w:vAlign w:val="top"/>
            <w:vMerge w:val="continue"/>
            <w:tcBorders>
              <w:top w:val="nil"/>
              <w:bottom w:val="nil"/>
            </w:tcBorders>
          </w:tcPr>
          <w:p>
            <w:pPr>
              <w:rPr>
                <w:rFonts w:ascii="Arial"/>
                <w:sz w:val="21"/>
              </w:rPr>
            </w:pPr>
            <w:r/>
          </w:p>
        </w:tc>
        <w:tc>
          <w:tcPr>
            <w:tcW w:w="899" w:type="dxa"/>
            <w:vAlign w:val="top"/>
            <w:vMerge w:val="continue"/>
            <w:textDirection w:val="tbRlV"/>
            <w:tcBorders>
              <w:top w:val="nil"/>
            </w:tcBorders>
          </w:tcPr>
          <w:p>
            <w:pPr>
              <w:rPr>
                <w:rFonts w:ascii="Arial"/>
                <w:sz w:val="21"/>
              </w:rPr>
            </w:pPr>
            <w:r/>
          </w:p>
        </w:tc>
        <w:tc>
          <w:tcPr>
            <w:tcW w:w="929" w:type="dxa"/>
            <w:vAlign w:val="top"/>
            <w:vMerge w:val="continue"/>
            <w:tcBorders>
              <w:top w:val="nil"/>
            </w:tcBorders>
          </w:tcPr>
          <w:p>
            <w:pPr>
              <w:rPr>
                <w:rFonts w:ascii="Arial"/>
                <w:sz w:val="21"/>
              </w:rPr>
            </w:pPr>
            <w:r/>
          </w:p>
        </w:tc>
        <w:tc>
          <w:tcPr>
            <w:tcW w:w="964" w:type="dxa"/>
            <w:vAlign w:val="top"/>
            <w:vMerge w:val="continue"/>
            <w:tcBorders>
              <w:top w:val="nil"/>
            </w:tcBorders>
          </w:tcPr>
          <w:p>
            <w:pPr>
              <w:rPr>
                <w:rFonts w:ascii="Arial"/>
                <w:sz w:val="21"/>
              </w:rPr>
            </w:pPr>
            <w:r/>
          </w:p>
        </w:tc>
      </w:tr>
      <w:tr>
        <w:trPr>
          <w:trHeight w:val="239" w:hRule="atLeast"/>
        </w:trPr>
        <w:tc>
          <w:tcPr>
            <w:tcW w:w="354" w:type="dxa"/>
            <w:vAlign w:val="top"/>
            <w:vMerge w:val="restart"/>
            <w:tcBorders>
              <w:bottom w:val="nil"/>
            </w:tcBorders>
          </w:tcPr>
          <w:p>
            <w:pPr>
              <w:pStyle w:val="TableText"/>
              <w:ind w:left="114"/>
              <w:spacing w:before="163" w:line="241" w:lineRule="auto"/>
              <w:rPr>
                <w:sz w:val="21"/>
                <w:szCs w:val="21"/>
              </w:rPr>
            </w:pPr>
            <w:r>
              <w:rPr>
                <w:sz w:val="21"/>
                <w:szCs w:val="21"/>
              </w:rPr>
              <w:t>2</w:t>
            </w:r>
          </w:p>
        </w:tc>
        <w:tc>
          <w:tcPr>
            <w:tcW w:w="859" w:type="dxa"/>
            <w:vAlign w:val="top"/>
            <w:vMerge w:val="restart"/>
            <w:tcBorders>
              <w:bottom w:val="nil"/>
            </w:tcBorders>
          </w:tcPr>
          <w:p>
            <w:pPr>
              <w:pStyle w:val="TableText"/>
              <w:ind w:left="150"/>
              <w:spacing w:before="194" w:line="185" w:lineRule="auto"/>
              <w:rPr>
                <w:sz w:val="21"/>
                <w:szCs w:val="21"/>
              </w:rPr>
            </w:pPr>
            <w:r>
              <w:rPr>
                <w:sz w:val="21"/>
                <w:szCs w:val="21"/>
                <w:spacing w:val="-1"/>
              </w:rPr>
              <w:t>DA002</w:t>
            </w:r>
          </w:p>
        </w:tc>
        <w:tc>
          <w:tcPr>
            <w:tcW w:w="579" w:type="dxa"/>
            <w:vAlign w:val="top"/>
          </w:tcPr>
          <w:p>
            <w:pPr>
              <w:pStyle w:val="TableText"/>
              <w:ind w:left="71"/>
              <w:spacing w:before="56" w:line="173" w:lineRule="exact"/>
              <w:rPr>
                <w:rFonts w:ascii="Calibri" w:hAnsi="Calibri" w:eastAsia="Calibri" w:cs="Calibri"/>
                <w:sz w:val="21"/>
                <w:szCs w:val="21"/>
              </w:rPr>
            </w:pPr>
            <w:r>
              <w:rPr>
                <w:sz w:val="21"/>
                <w:szCs w:val="21"/>
                <w:spacing w:val="-1"/>
                <w:position w:val="-1"/>
              </w:rPr>
              <w:t>NH</w:t>
            </w:r>
            <w:r>
              <w:rPr>
                <w:rFonts w:ascii="Calibri" w:hAnsi="Calibri" w:eastAsia="Calibri" w:cs="Calibri"/>
                <w:sz w:val="21"/>
                <w:szCs w:val="21"/>
                <w:spacing w:val="-1"/>
                <w:position w:val="-1"/>
              </w:rPr>
              <w:t>₃</w:t>
            </w:r>
          </w:p>
        </w:tc>
        <w:tc>
          <w:tcPr>
            <w:tcW w:w="1049" w:type="dxa"/>
            <w:vAlign w:val="top"/>
          </w:tcPr>
          <w:p>
            <w:pPr>
              <w:pStyle w:val="TableText"/>
              <w:ind w:left="302"/>
              <w:spacing w:before="43" w:line="163" w:lineRule="auto"/>
              <w:rPr>
                <w:sz w:val="21"/>
                <w:szCs w:val="21"/>
              </w:rPr>
            </w:pPr>
            <w:r>
              <w:rPr>
                <w:sz w:val="21"/>
                <w:szCs w:val="21"/>
                <w:spacing w:val="-2"/>
              </w:rPr>
              <w:t>0.77</w:t>
            </w:r>
          </w:p>
        </w:tc>
        <w:tc>
          <w:tcPr>
            <w:tcW w:w="1058" w:type="dxa"/>
            <w:vAlign w:val="top"/>
          </w:tcPr>
          <w:p>
            <w:pPr>
              <w:pStyle w:val="TableText"/>
              <w:ind w:left="253"/>
              <w:spacing w:before="43" w:line="163" w:lineRule="auto"/>
              <w:rPr>
                <w:sz w:val="21"/>
                <w:szCs w:val="21"/>
              </w:rPr>
            </w:pPr>
            <w:r>
              <w:rPr>
                <w:sz w:val="21"/>
                <w:szCs w:val="21"/>
                <w:color w:val="405050"/>
                <w:spacing w:val="-2"/>
              </w:rPr>
              <w:t>0.046</w:t>
            </w:r>
          </w:p>
        </w:tc>
        <w:tc>
          <w:tcPr>
            <w:tcW w:w="1798" w:type="dxa"/>
            <w:vAlign w:val="top"/>
            <w:vMerge w:val="continue"/>
            <w:tcBorders>
              <w:top w:val="nil"/>
              <w:bottom w:val="nil"/>
            </w:tcBorders>
          </w:tcPr>
          <w:p>
            <w:pPr>
              <w:rPr>
                <w:rFonts w:ascii="Arial"/>
                <w:sz w:val="21"/>
              </w:rPr>
            </w:pPr>
            <w:r/>
          </w:p>
        </w:tc>
        <w:tc>
          <w:tcPr>
            <w:tcW w:w="899" w:type="dxa"/>
            <w:vAlign w:val="top"/>
            <w:vMerge w:val="restart"/>
            <w:tcBorders>
              <w:bottom w:val="nil"/>
            </w:tcBorders>
          </w:tcPr>
          <w:p>
            <w:pPr>
              <w:pStyle w:val="TableText"/>
              <w:ind w:left="387"/>
              <w:spacing w:before="163" w:line="241" w:lineRule="auto"/>
              <w:rPr>
                <w:sz w:val="21"/>
                <w:szCs w:val="21"/>
              </w:rPr>
            </w:pPr>
            <w:r>
              <w:rPr>
                <w:sz w:val="21"/>
                <w:szCs w:val="21"/>
                <w:color w:val="505060"/>
              </w:rPr>
              <w:t>1</w:t>
            </w:r>
          </w:p>
        </w:tc>
        <w:tc>
          <w:tcPr>
            <w:tcW w:w="929" w:type="dxa"/>
            <w:vAlign w:val="top"/>
            <w:vMerge w:val="restart"/>
            <w:tcBorders>
              <w:bottom w:val="nil"/>
            </w:tcBorders>
          </w:tcPr>
          <w:p>
            <w:pPr>
              <w:pStyle w:val="TableText"/>
              <w:ind w:left="298"/>
              <w:spacing w:before="163" w:line="241" w:lineRule="auto"/>
              <w:rPr>
                <w:sz w:val="21"/>
                <w:szCs w:val="21"/>
              </w:rPr>
            </w:pPr>
            <w:r>
              <w:rPr>
                <w:sz w:val="21"/>
                <w:szCs w:val="21"/>
                <w:spacing w:val="-6"/>
              </w:rPr>
              <w:t>1~2</w:t>
            </w:r>
          </w:p>
        </w:tc>
        <w:tc>
          <w:tcPr>
            <w:tcW w:w="964" w:type="dxa"/>
            <w:vAlign w:val="top"/>
            <w:vMerge w:val="restart"/>
            <w:tcBorders>
              <w:bottom w:val="nil"/>
            </w:tcBorders>
          </w:tcPr>
          <w:p>
            <w:pPr>
              <w:pStyle w:val="TableText"/>
              <w:ind w:left="159"/>
              <w:spacing w:before="143" w:line="220" w:lineRule="auto"/>
              <w:rPr>
                <w:sz w:val="21"/>
                <w:szCs w:val="21"/>
              </w:rPr>
            </w:pPr>
            <w:r>
              <w:rPr>
                <w:sz w:val="21"/>
                <w:szCs w:val="21"/>
                <w:spacing w:val="3"/>
              </w:rPr>
              <w:t>有组织</w:t>
            </w:r>
          </w:p>
        </w:tc>
      </w:tr>
      <w:tr>
        <w:trPr>
          <w:trHeight w:val="239" w:hRule="atLeast"/>
        </w:trPr>
        <w:tc>
          <w:tcPr>
            <w:tcW w:w="354" w:type="dxa"/>
            <w:vAlign w:val="top"/>
            <w:vMerge w:val="continue"/>
            <w:tcBorders>
              <w:top w:val="nil"/>
            </w:tcBorders>
          </w:tcPr>
          <w:p>
            <w:pPr>
              <w:rPr>
                <w:rFonts w:ascii="Arial"/>
                <w:sz w:val="21"/>
              </w:rPr>
            </w:pPr>
            <w:r/>
          </w:p>
        </w:tc>
        <w:tc>
          <w:tcPr>
            <w:tcW w:w="859" w:type="dxa"/>
            <w:vAlign w:val="top"/>
            <w:vMerge w:val="continue"/>
            <w:tcBorders>
              <w:top w:val="nil"/>
            </w:tcBorders>
          </w:tcPr>
          <w:p>
            <w:pPr>
              <w:rPr>
                <w:rFonts w:ascii="Arial"/>
                <w:sz w:val="21"/>
              </w:rPr>
            </w:pPr>
            <w:r/>
          </w:p>
        </w:tc>
        <w:tc>
          <w:tcPr>
            <w:tcW w:w="579" w:type="dxa"/>
            <w:vAlign w:val="top"/>
          </w:tcPr>
          <w:p>
            <w:pPr>
              <w:pStyle w:val="TableText"/>
              <w:ind w:left="71"/>
              <w:spacing w:before="57" w:line="172" w:lineRule="exact"/>
              <w:rPr>
                <w:sz w:val="21"/>
                <w:szCs w:val="21"/>
              </w:rPr>
            </w:pPr>
            <w:r>
              <w:rPr>
                <w:sz w:val="21"/>
                <w:szCs w:val="21"/>
                <w:spacing w:val="-2"/>
                <w:position w:val="-1"/>
              </w:rPr>
              <w:t>H</w:t>
            </w:r>
            <w:r>
              <w:rPr>
                <w:rFonts w:ascii="Calibri" w:hAnsi="Calibri" w:eastAsia="Calibri" w:cs="Calibri"/>
                <w:sz w:val="21"/>
                <w:szCs w:val="21"/>
                <w:spacing w:val="-2"/>
                <w:position w:val="-1"/>
              </w:rPr>
              <w:t>₂</w:t>
            </w:r>
            <w:r>
              <w:rPr>
                <w:sz w:val="21"/>
                <w:szCs w:val="21"/>
                <w:spacing w:val="-2"/>
                <w:position w:val="-1"/>
              </w:rPr>
              <w:t>S</w:t>
            </w:r>
          </w:p>
        </w:tc>
        <w:tc>
          <w:tcPr>
            <w:tcW w:w="1049" w:type="dxa"/>
            <w:vAlign w:val="top"/>
          </w:tcPr>
          <w:p>
            <w:pPr>
              <w:pStyle w:val="TableText"/>
              <w:ind w:left="302"/>
              <w:spacing w:before="44" w:line="162" w:lineRule="auto"/>
              <w:rPr>
                <w:sz w:val="21"/>
                <w:szCs w:val="21"/>
              </w:rPr>
            </w:pPr>
            <w:r>
              <w:rPr>
                <w:sz w:val="21"/>
                <w:szCs w:val="21"/>
                <w:color w:val="403040"/>
                <w:spacing w:val="-2"/>
              </w:rPr>
              <w:t>0.21</w:t>
            </w:r>
          </w:p>
        </w:tc>
        <w:tc>
          <w:tcPr>
            <w:tcW w:w="1058" w:type="dxa"/>
            <w:vAlign w:val="top"/>
          </w:tcPr>
          <w:p>
            <w:pPr>
              <w:pStyle w:val="TableText"/>
              <w:ind w:left="253"/>
              <w:spacing w:before="44" w:line="162" w:lineRule="auto"/>
              <w:rPr>
                <w:sz w:val="21"/>
                <w:szCs w:val="21"/>
              </w:rPr>
            </w:pPr>
            <w:r>
              <w:rPr>
                <w:sz w:val="21"/>
                <w:szCs w:val="21"/>
                <w:color w:val="706060"/>
                <w:spacing w:val="-2"/>
              </w:rPr>
              <w:t>0.013</w:t>
            </w:r>
          </w:p>
        </w:tc>
        <w:tc>
          <w:tcPr>
            <w:tcW w:w="1798" w:type="dxa"/>
            <w:vAlign w:val="top"/>
            <w:vMerge w:val="continue"/>
            <w:tcBorders>
              <w:top w:val="nil"/>
              <w:bottom w:val="nil"/>
            </w:tcBorders>
          </w:tcPr>
          <w:p>
            <w:pPr>
              <w:rPr>
                <w:rFonts w:ascii="Arial"/>
                <w:sz w:val="21"/>
              </w:rPr>
            </w:pPr>
            <w:r/>
          </w:p>
        </w:tc>
        <w:tc>
          <w:tcPr>
            <w:tcW w:w="899" w:type="dxa"/>
            <w:vAlign w:val="top"/>
            <w:vMerge w:val="continue"/>
            <w:tcBorders>
              <w:top w:val="nil"/>
            </w:tcBorders>
          </w:tcPr>
          <w:p>
            <w:pPr>
              <w:rPr>
                <w:rFonts w:ascii="Arial"/>
                <w:sz w:val="21"/>
              </w:rPr>
            </w:pPr>
            <w:r/>
          </w:p>
        </w:tc>
        <w:tc>
          <w:tcPr>
            <w:tcW w:w="929" w:type="dxa"/>
            <w:vAlign w:val="top"/>
            <w:vMerge w:val="continue"/>
            <w:tcBorders>
              <w:top w:val="nil"/>
            </w:tcBorders>
          </w:tcPr>
          <w:p>
            <w:pPr>
              <w:rPr>
                <w:rFonts w:ascii="Arial"/>
                <w:sz w:val="21"/>
              </w:rPr>
            </w:pPr>
            <w:r/>
          </w:p>
        </w:tc>
        <w:tc>
          <w:tcPr>
            <w:tcW w:w="964" w:type="dxa"/>
            <w:vAlign w:val="top"/>
            <w:vMerge w:val="continue"/>
            <w:tcBorders>
              <w:top w:val="nil"/>
            </w:tcBorders>
          </w:tcPr>
          <w:p>
            <w:pPr>
              <w:rPr>
                <w:rFonts w:ascii="Arial"/>
                <w:sz w:val="21"/>
              </w:rPr>
            </w:pPr>
            <w:r/>
          </w:p>
        </w:tc>
      </w:tr>
      <w:tr>
        <w:trPr>
          <w:trHeight w:val="249" w:hRule="atLeast"/>
        </w:trPr>
        <w:tc>
          <w:tcPr>
            <w:tcW w:w="354" w:type="dxa"/>
            <w:vAlign w:val="top"/>
            <w:vMerge w:val="restart"/>
            <w:tcBorders>
              <w:bottom w:val="nil"/>
            </w:tcBorders>
          </w:tcPr>
          <w:p>
            <w:pPr>
              <w:pStyle w:val="TableText"/>
              <w:ind w:left="114"/>
              <w:spacing w:before="165"/>
              <w:rPr>
                <w:sz w:val="21"/>
                <w:szCs w:val="21"/>
              </w:rPr>
            </w:pPr>
            <w:r>
              <w:rPr>
                <w:sz w:val="21"/>
                <w:szCs w:val="21"/>
              </w:rPr>
              <w:t>3</w:t>
            </w:r>
          </w:p>
        </w:tc>
        <w:tc>
          <w:tcPr>
            <w:tcW w:w="859" w:type="dxa"/>
            <w:vAlign w:val="top"/>
            <w:vMerge w:val="restart"/>
            <w:tcBorders>
              <w:bottom w:val="nil"/>
            </w:tcBorders>
          </w:tcPr>
          <w:p>
            <w:pPr>
              <w:pStyle w:val="TableText"/>
              <w:ind w:left="150"/>
              <w:spacing w:before="196" w:line="185" w:lineRule="auto"/>
              <w:rPr>
                <w:sz w:val="21"/>
                <w:szCs w:val="21"/>
              </w:rPr>
            </w:pPr>
            <w:r>
              <w:rPr>
                <w:sz w:val="21"/>
                <w:szCs w:val="21"/>
                <w:spacing w:val="-1"/>
              </w:rPr>
              <w:t>DA003</w:t>
            </w:r>
          </w:p>
        </w:tc>
        <w:tc>
          <w:tcPr>
            <w:tcW w:w="579" w:type="dxa"/>
            <w:vAlign w:val="top"/>
          </w:tcPr>
          <w:p>
            <w:pPr>
              <w:pStyle w:val="TableText"/>
              <w:ind w:left="71"/>
              <w:spacing w:before="58" w:line="159" w:lineRule="auto"/>
              <w:rPr>
                <w:rFonts w:ascii="Calibri" w:hAnsi="Calibri" w:eastAsia="Calibri" w:cs="Calibri"/>
                <w:sz w:val="21"/>
                <w:szCs w:val="21"/>
              </w:rPr>
            </w:pPr>
            <w:r>
              <w:rPr>
                <w:sz w:val="21"/>
                <w:szCs w:val="21"/>
                <w:color w:val="604040"/>
                <w:spacing w:val="-1"/>
              </w:rPr>
              <w:t>NH</w:t>
            </w:r>
            <w:r>
              <w:rPr>
                <w:rFonts w:ascii="Calibri" w:hAnsi="Calibri" w:eastAsia="Calibri" w:cs="Calibri"/>
                <w:sz w:val="21"/>
                <w:szCs w:val="21"/>
                <w:color w:val="604040"/>
                <w:spacing w:val="-1"/>
              </w:rPr>
              <w:t>₃</w:t>
            </w:r>
          </w:p>
        </w:tc>
        <w:tc>
          <w:tcPr>
            <w:tcW w:w="1049" w:type="dxa"/>
            <w:vAlign w:val="top"/>
          </w:tcPr>
          <w:p>
            <w:pPr>
              <w:pStyle w:val="TableText"/>
              <w:ind w:left="302"/>
              <w:spacing w:before="45" w:line="170" w:lineRule="auto"/>
              <w:rPr>
                <w:sz w:val="21"/>
                <w:szCs w:val="21"/>
              </w:rPr>
            </w:pPr>
            <w:r>
              <w:rPr>
                <w:sz w:val="21"/>
                <w:szCs w:val="21"/>
                <w:color w:val="604050"/>
                <w:spacing w:val="-2"/>
              </w:rPr>
              <w:t>0.77</w:t>
            </w:r>
          </w:p>
        </w:tc>
        <w:tc>
          <w:tcPr>
            <w:tcW w:w="1058" w:type="dxa"/>
            <w:vAlign w:val="top"/>
          </w:tcPr>
          <w:p>
            <w:pPr>
              <w:pStyle w:val="TableText"/>
              <w:ind w:left="253"/>
              <w:spacing w:before="45" w:line="170" w:lineRule="auto"/>
              <w:rPr>
                <w:sz w:val="21"/>
                <w:szCs w:val="21"/>
              </w:rPr>
            </w:pPr>
            <w:r>
              <w:rPr>
                <w:sz w:val="21"/>
                <w:szCs w:val="21"/>
                <w:color w:val="605050"/>
                <w:spacing w:val="-2"/>
              </w:rPr>
              <w:t>0.050</w:t>
            </w:r>
          </w:p>
        </w:tc>
        <w:tc>
          <w:tcPr>
            <w:tcW w:w="1798" w:type="dxa"/>
            <w:vAlign w:val="top"/>
            <w:vMerge w:val="continue"/>
            <w:tcBorders>
              <w:top w:val="nil"/>
              <w:bottom w:val="nil"/>
            </w:tcBorders>
          </w:tcPr>
          <w:p>
            <w:pPr>
              <w:rPr>
                <w:rFonts w:ascii="Arial"/>
                <w:sz w:val="21"/>
              </w:rPr>
            </w:pPr>
            <w:r/>
          </w:p>
        </w:tc>
        <w:tc>
          <w:tcPr>
            <w:tcW w:w="899" w:type="dxa"/>
            <w:vAlign w:val="top"/>
            <w:vMerge w:val="restart"/>
            <w:tcBorders>
              <w:bottom w:val="nil"/>
            </w:tcBorders>
          </w:tcPr>
          <w:p>
            <w:pPr>
              <w:pStyle w:val="TableText"/>
              <w:ind w:left="387"/>
              <w:spacing w:before="165" w:line="241" w:lineRule="auto"/>
              <w:rPr>
                <w:sz w:val="21"/>
                <w:szCs w:val="21"/>
              </w:rPr>
            </w:pPr>
            <w:r>
              <w:rPr>
                <w:sz w:val="21"/>
                <w:szCs w:val="21"/>
                <w:color w:val="606060"/>
              </w:rPr>
              <w:t>1</w:t>
            </w:r>
          </w:p>
        </w:tc>
        <w:tc>
          <w:tcPr>
            <w:tcW w:w="929" w:type="dxa"/>
            <w:vAlign w:val="top"/>
            <w:vMerge w:val="restart"/>
            <w:tcBorders>
              <w:bottom w:val="nil"/>
            </w:tcBorders>
          </w:tcPr>
          <w:p>
            <w:pPr>
              <w:pStyle w:val="TableText"/>
              <w:ind w:left="298"/>
              <w:spacing w:before="165" w:line="241" w:lineRule="auto"/>
              <w:rPr>
                <w:sz w:val="21"/>
                <w:szCs w:val="21"/>
              </w:rPr>
            </w:pPr>
            <w:r>
              <w:rPr>
                <w:sz w:val="21"/>
                <w:szCs w:val="21"/>
                <w:spacing w:val="-6"/>
              </w:rPr>
              <w:t>1~2</w:t>
            </w:r>
          </w:p>
        </w:tc>
        <w:tc>
          <w:tcPr>
            <w:tcW w:w="964" w:type="dxa"/>
            <w:vAlign w:val="top"/>
            <w:vMerge w:val="restart"/>
            <w:tcBorders>
              <w:bottom w:val="nil"/>
            </w:tcBorders>
          </w:tcPr>
          <w:p>
            <w:pPr>
              <w:pStyle w:val="TableText"/>
              <w:ind w:left="159"/>
              <w:spacing w:before="145" w:line="220" w:lineRule="auto"/>
              <w:rPr>
                <w:sz w:val="21"/>
                <w:szCs w:val="21"/>
              </w:rPr>
            </w:pPr>
            <w:r>
              <w:rPr>
                <w:sz w:val="21"/>
                <w:szCs w:val="21"/>
                <w:spacing w:val="3"/>
              </w:rPr>
              <w:t>有组织</w:t>
            </w:r>
          </w:p>
        </w:tc>
      </w:tr>
      <w:tr>
        <w:trPr>
          <w:trHeight w:val="229" w:hRule="atLeast"/>
        </w:trPr>
        <w:tc>
          <w:tcPr>
            <w:tcW w:w="354" w:type="dxa"/>
            <w:vAlign w:val="top"/>
            <w:vMerge w:val="continue"/>
            <w:tcBorders>
              <w:top w:val="nil"/>
            </w:tcBorders>
          </w:tcPr>
          <w:p>
            <w:pPr>
              <w:rPr>
                <w:rFonts w:ascii="Arial"/>
                <w:sz w:val="21"/>
              </w:rPr>
            </w:pPr>
            <w:r/>
          </w:p>
        </w:tc>
        <w:tc>
          <w:tcPr>
            <w:tcW w:w="859" w:type="dxa"/>
            <w:vAlign w:val="top"/>
            <w:vMerge w:val="continue"/>
            <w:tcBorders>
              <w:top w:val="nil"/>
            </w:tcBorders>
          </w:tcPr>
          <w:p>
            <w:pPr>
              <w:rPr>
                <w:rFonts w:ascii="Arial"/>
                <w:sz w:val="21"/>
              </w:rPr>
            </w:pPr>
            <w:r/>
          </w:p>
        </w:tc>
        <w:tc>
          <w:tcPr>
            <w:tcW w:w="579" w:type="dxa"/>
            <w:vAlign w:val="top"/>
          </w:tcPr>
          <w:p>
            <w:pPr>
              <w:pStyle w:val="TableText"/>
              <w:ind w:left="71"/>
              <w:spacing w:before="69" w:line="149" w:lineRule="exact"/>
              <w:rPr>
                <w:sz w:val="21"/>
                <w:szCs w:val="21"/>
              </w:rPr>
            </w:pPr>
            <w:r>
              <w:rPr>
                <w:sz w:val="21"/>
                <w:szCs w:val="21"/>
                <w:spacing w:val="-2"/>
                <w:position w:val="-3"/>
              </w:rPr>
              <w:t>H</w:t>
            </w:r>
            <w:r>
              <w:rPr>
                <w:rFonts w:ascii="Calibri" w:hAnsi="Calibri" w:eastAsia="Calibri" w:cs="Calibri"/>
                <w:sz w:val="21"/>
                <w:szCs w:val="21"/>
                <w:spacing w:val="-2"/>
                <w:position w:val="-3"/>
              </w:rPr>
              <w:t>₂</w:t>
            </w:r>
            <w:r>
              <w:rPr>
                <w:sz w:val="21"/>
                <w:szCs w:val="21"/>
                <w:spacing w:val="-2"/>
                <w:position w:val="-3"/>
              </w:rPr>
              <w:t>S</w:t>
            </w:r>
          </w:p>
        </w:tc>
        <w:tc>
          <w:tcPr>
            <w:tcW w:w="1049" w:type="dxa"/>
            <w:vAlign w:val="top"/>
          </w:tcPr>
          <w:p>
            <w:pPr>
              <w:pStyle w:val="TableText"/>
              <w:ind w:left="302"/>
              <w:spacing w:before="56" w:line="162" w:lineRule="exact"/>
              <w:rPr>
                <w:sz w:val="21"/>
                <w:szCs w:val="21"/>
              </w:rPr>
            </w:pPr>
            <w:r>
              <w:rPr>
                <w:sz w:val="21"/>
                <w:szCs w:val="21"/>
                <w:spacing w:val="-2"/>
                <w:position w:val="-2"/>
              </w:rPr>
              <w:t>0.05</w:t>
            </w:r>
          </w:p>
        </w:tc>
        <w:tc>
          <w:tcPr>
            <w:tcW w:w="1058" w:type="dxa"/>
            <w:vAlign w:val="top"/>
          </w:tcPr>
          <w:p>
            <w:pPr>
              <w:pStyle w:val="TableText"/>
              <w:ind w:left="253"/>
              <w:spacing w:before="56" w:line="162" w:lineRule="exact"/>
              <w:rPr>
                <w:sz w:val="21"/>
                <w:szCs w:val="21"/>
              </w:rPr>
            </w:pPr>
            <w:r>
              <w:rPr>
                <w:sz w:val="21"/>
                <w:szCs w:val="21"/>
                <w:color w:val="606060"/>
                <w:spacing w:val="-2"/>
                <w:position w:val="-2"/>
              </w:rPr>
              <w:t>0.003</w:t>
            </w:r>
          </w:p>
        </w:tc>
        <w:tc>
          <w:tcPr>
            <w:tcW w:w="1798" w:type="dxa"/>
            <w:vAlign w:val="top"/>
            <w:vMerge w:val="continue"/>
            <w:tcBorders>
              <w:top w:val="nil"/>
              <w:bottom w:val="nil"/>
            </w:tcBorders>
          </w:tcPr>
          <w:p>
            <w:pPr>
              <w:rPr>
                <w:rFonts w:ascii="Arial"/>
                <w:sz w:val="21"/>
              </w:rPr>
            </w:pPr>
            <w:r/>
          </w:p>
        </w:tc>
        <w:tc>
          <w:tcPr>
            <w:tcW w:w="899" w:type="dxa"/>
            <w:vAlign w:val="top"/>
            <w:vMerge w:val="continue"/>
            <w:tcBorders>
              <w:top w:val="nil"/>
            </w:tcBorders>
          </w:tcPr>
          <w:p>
            <w:pPr>
              <w:rPr>
                <w:rFonts w:ascii="Arial"/>
                <w:sz w:val="21"/>
              </w:rPr>
            </w:pPr>
            <w:r/>
          </w:p>
        </w:tc>
        <w:tc>
          <w:tcPr>
            <w:tcW w:w="929" w:type="dxa"/>
            <w:vAlign w:val="top"/>
            <w:vMerge w:val="continue"/>
            <w:tcBorders>
              <w:top w:val="nil"/>
            </w:tcBorders>
          </w:tcPr>
          <w:p>
            <w:pPr>
              <w:rPr>
                <w:rFonts w:ascii="Arial"/>
                <w:sz w:val="21"/>
              </w:rPr>
            </w:pPr>
            <w:r/>
          </w:p>
        </w:tc>
        <w:tc>
          <w:tcPr>
            <w:tcW w:w="964" w:type="dxa"/>
            <w:vAlign w:val="top"/>
            <w:vMerge w:val="continue"/>
            <w:tcBorders>
              <w:top w:val="nil"/>
            </w:tcBorders>
          </w:tcPr>
          <w:p>
            <w:pPr>
              <w:rPr>
                <w:rFonts w:ascii="Arial"/>
                <w:sz w:val="21"/>
              </w:rPr>
            </w:pPr>
            <w:r/>
          </w:p>
        </w:tc>
      </w:tr>
      <w:tr>
        <w:trPr>
          <w:trHeight w:val="249" w:hRule="atLeast"/>
        </w:trPr>
        <w:tc>
          <w:tcPr>
            <w:tcW w:w="354" w:type="dxa"/>
            <w:vAlign w:val="top"/>
            <w:vMerge w:val="restart"/>
            <w:tcBorders>
              <w:bottom w:val="nil"/>
            </w:tcBorders>
          </w:tcPr>
          <w:p>
            <w:pPr>
              <w:pStyle w:val="TableText"/>
              <w:ind w:left="114"/>
              <w:spacing w:before="177" w:line="241" w:lineRule="auto"/>
              <w:rPr>
                <w:sz w:val="21"/>
                <w:szCs w:val="21"/>
              </w:rPr>
            </w:pPr>
            <w:r>
              <w:rPr>
                <w:sz w:val="21"/>
                <w:szCs w:val="21"/>
              </w:rPr>
              <w:t>4</w:t>
            </w:r>
          </w:p>
        </w:tc>
        <w:tc>
          <w:tcPr>
            <w:tcW w:w="859" w:type="dxa"/>
            <w:vAlign w:val="top"/>
            <w:vMerge w:val="restart"/>
            <w:tcBorders>
              <w:bottom w:val="nil"/>
            </w:tcBorders>
          </w:tcPr>
          <w:p>
            <w:pPr>
              <w:pStyle w:val="TableText"/>
              <w:ind w:left="150"/>
              <w:spacing w:before="208" w:line="185" w:lineRule="auto"/>
              <w:rPr>
                <w:sz w:val="21"/>
                <w:szCs w:val="21"/>
              </w:rPr>
            </w:pPr>
            <w:r>
              <w:rPr>
                <w:sz w:val="21"/>
                <w:szCs w:val="21"/>
                <w:spacing w:val="-1"/>
              </w:rPr>
              <w:t>DA004</w:t>
            </w:r>
          </w:p>
        </w:tc>
        <w:tc>
          <w:tcPr>
            <w:tcW w:w="579" w:type="dxa"/>
            <w:vAlign w:val="top"/>
          </w:tcPr>
          <w:p>
            <w:pPr>
              <w:pStyle w:val="TableText"/>
              <w:ind w:left="71"/>
              <w:spacing w:before="60" w:line="157"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1049" w:type="dxa"/>
            <w:vAlign w:val="top"/>
          </w:tcPr>
          <w:p>
            <w:pPr>
              <w:pStyle w:val="TableText"/>
              <w:ind w:left="302"/>
              <w:spacing w:before="47" w:line="168" w:lineRule="auto"/>
              <w:rPr>
                <w:sz w:val="21"/>
                <w:szCs w:val="21"/>
              </w:rPr>
            </w:pPr>
            <w:r>
              <w:rPr>
                <w:sz w:val="21"/>
                <w:szCs w:val="21"/>
                <w:spacing w:val="-2"/>
              </w:rPr>
              <w:t>4.04</w:t>
            </w:r>
          </w:p>
        </w:tc>
        <w:tc>
          <w:tcPr>
            <w:tcW w:w="1058" w:type="dxa"/>
            <w:vAlign w:val="top"/>
          </w:tcPr>
          <w:p>
            <w:pPr>
              <w:pStyle w:val="TableText"/>
              <w:ind w:left="253"/>
              <w:spacing w:before="47" w:line="168" w:lineRule="auto"/>
              <w:rPr>
                <w:sz w:val="21"/>
                <w:szCs w:val="21"/>
              </w:rPr>
            </w:pPr>
            <w:r>
              <w:rPr>
                <w:sz w:val="21"/>
                <w:szCs w:val="21"/>
                <w:color w:val="404040"/>
                <w:spacing w:val="-2"/>
              </w:rPr>
              <w:t>0.020</w:t>
            </w:r>
          </w:p>
        </w:tc>
        <w:tc>
          <w:tcPr>
            <w:tcW w:w="1798" w:type="dxa"/>
            <w:vAlign w:val="top"/>
            <w:vMerge w:val="continue"/>
            <w:tcBorders>
              <w:top w:val="nil"/>
              <w:bottom w:val="nil"/>
            </w:tcBorders>
          </w:tcPr>
          <w:p>
            <w:pPr>
              <w:rPr>
                <w:rFonts w:ascii="Arial"/>
                <w:sz w:val="21"/>
              </w:rPr>
            </w:pPr>
            <w:r/>
          </w:p>
        </w:tc>
        <w:tc>
          <w:tcPr>
            <w:tcW w:w="899" w:type="dxa"/>
            <w:vAlign w:val="top"/>
            <w:vMerge w:val="restart"/>
            <w:textDirection w:val="tbRlV"/>
            <w:tcBorders>
              <w:bottom w:val="nil"/>
            </w:tcBorders>
          </w:tcPr>
          <w:p>
            <w:pPr>
              <w:spacing w:line="334" w:lineRule="auto"/>
              <w:rPr>
                <w:rFonts w:ascii="Arial"/>
                <w:sz w:val="21"/>
              </w:rPr>
            </w:pPr>
            <w:r/>
          </w:p>
          <w:p>
            <w:pPr>
              <w:pStyle w:val="TableText"/>
              <w:ind w:left="111"/>
              <w:spacing w:before="70" w:line="126" w:lineRule="exact"/>
              <w:rPr>
                <w:sz w:val="21"/>
                <w:szCs w:val="21"/>
              </w:rPr>
            </w:pPr>
            <w:r>
              <w:rPr>
                <w:sz w:val="21"/>
                <w:szCs w:val="21"/>
                <w:color w:val="605050"/>
                <w:spacing w:val="50"/>
                <w:w w:val="125"/>
                <w:position w:val="-3"/>
              </w:rPr>
              <w:t>1</w:t>
            </w:r>
          </w:p>
        </w:tc>
        <w:tc>
          <w:tcPr>
            <w:tcW w:w="929" w:type="dxa"/>
            <w:vAlign w:val="top"/>
            <w:vMerge w:val="restart"/>
            <w:tcBorders>
              <w:bottom w:val="nil"/>
            </w:tcBorders>
          </w:tcPr>
          <w:p>
            <w:pPr>
              <w:pStyle w:val="TableText"/>
              <w:ind w:left="298"/>
              <w:spacing w:before="177" w:line="241" w:lineRule="auto"/>
              <w:rPr>
                <w:sz w:val="21"/>
                <w:szCs w:val="21"/>
              </w:rPr>
            </w:pPr>
            <w:r>
              <w:rPr>
                <w:sz w:val="21"/>
                <w:szCs w:val="21"/>
                <w:spacing w:val="-6"/>
              </w:rPr>
              <w:t>1~2</w:t>
            </w:r>
          </w:p>
        </w:tc>
        <w:tc>
          <w:tcPr>
            <w:tcW w:w="964" w:type="dxa"/>
            <w:vAlign w:val="top"/>
            <w:vMerge w:val="restart"/>
            <w:tcBorders>
              <w:bottom w:val="nil"/>
            </w:tcBorders>
          </w:tcPr>
          <w:p>
            <w:pPr>
              <w:pStyle w:val="TableText"/>
              <w:ind w:left="159"/>
              <w:spacing w:before="157" w:line="220" w:lineRule="auto"/>
              <w:rPr>
                <w:sz w:val="21"/>
                <w:szCs w:val="21"/>
              </w:rPr>
            </w:pPr>
            <w:r>
              <w:rPr>
                <w:sz w:val="21"/>
                <w:szCs w:val="21"/>
                <w:spacing w:val="3"/>
              </w:rPr>
              <w:t>有组织</w:t>
            </w:r>
          </w:p>
        </w:tc>
      </w:tr>
      <w:tr>
        <w:trPr>
          <w:trHeight w:val="248" w:hRule="atLeast"/>
        </w:trPr>
        <w:tc>
          <w:tcPr>
            <w:tcW w:w="354" w:type="dxa"/>
            <w:vAlign w:val="top"/>
            <w:vMerge w:val="continue"/>
            <w:tcBorders>
              <w:top w:val="nil"/>
            </w:tcBorders>
          </w:tcPr>
          <w:p>
            <w:pPr>
              <w:rPr>
                <w:rFonts w:ascii="Arial"/>
                <w:sz w:val="21"/>
              </w:rPr>
            </w:pPr>
            <w:r/>
          </w:p>
        </w:tc>
        <w:tc>
          <w:tcPr>
            <w:tcW w:w="859" w:type="dxa"/>
            <w:vAlign w:val="top"/>
            <w:vMerge w:val="continue"/>
            <w:tcBorders>
              <w:top w:val="nil"/>
            </w:tcBorders>
          </w:tcPr>
          <w:p>
            <w:pPr>
              <w:rPr>
                <w:rFonts w:ascii="Arial"/>
                <w:sz w:val="21"/>
              </w:rPr>
            </w:pPr>
            <w:r/>
          </w:p>
        </w:tc>
        <w:tc>
          <w:tcPr>
            <w:tcW w:w="579" w:type="dxa"/>
            <w:vAlign w:val="top"/>
          </w:tcPr>
          <w:p>
            <w:pPr>
              <w:pStyle w:val="TableText"/>
              <w:ind w:left="71"/>
              <w:spacing w:before="61" w:line="176" w:lineRule="exact"/>
              <w:rPr>
                <w:sz w:val="21"/>
                <w:szCs w:val="21"/>
              </w:rPr>
            </w:pPr>
            <w:r>
              <w:rPr>
                <w:sz w:val="21"/>
                <w:szCs w:val="21"/>
                <w:spacing w:val="-2"/>
                <w:position w:val="-1"/>
              </w:rPr>
              <w:t>H</w:t>
            </w:r>
            <w:r>
              <w:rPr>
                <w:rFonts w:ascii="Calibri" w:hAnsi="Calibri" w:eastAsia="Calibri" w:cs="Calibri"/>
                <w:sz w:val="21"/>
                <w:szCs w:val="21"/>
                <w:spacing w:val="-2"/>
                <w:position w:val="-1"/>
              </w:rPr>
              <w:t>₂</w:t>
            </w:r>
            <w:r>
              <w:rPr>
                <w:sz w:val="21"/>
                <w:szCs w:val="21"/>
                <w:spacing w:val="-2"/>
                <w:position w:val="-1"/>
              </w:rPr>
              <w:t>S</w:t>
            </w:r>
          </w:p>
        </w:tc>
        <w:tc>
          <w:tcPr>
            <w:tcW w:w="1049" w:type="dxa"/>
            <w:vAlign w:val="top"/>
          </w:tcPr>
          <w:p>
            <w:pPr>
              <w:pStyle w:val="TableText"/>
              <w:ind w:left="302"/>
              <w:spacing w:before="48" w:line="167" w:lineRule="auto"/>
              <w:rPr>
                <w:sz w:val="21"/>
                <w:szCs w:val="21"/>
              </w:rPr>
            </w:pPr>
            <w:r>
              <w:rPr>
                <w:sz w:val="21"/>
                <w:szCs w:val="21"/>
                <w:color w:val="605050"/>
                <w:spacing w:val="-2"/>
              </w:rPr>
              <w:t>0.15</w:t>
            </w:r>
          </w:p>
        </w:tc>
        <w:tc>
          <w:tcPr>
            <w:tcW w:w="1058" w:type="dxa"/>
            <w:vAlign w:val="top"/>
          </w:tcPr>
          <w:p>
            <w:pPr>
              <w:pStyle w:val="TableText"/>
              <w:ind w:left="253"/>
              <w:spacing w:before="48" w:line="167" w:lineRule="auto"/>
              <w:rPr>
                <w:sz w:val="21"/>
                <w:szCs w:val="21"/>
              </w:rPr>
            </w:pPr>
            <w:r>
              <w:rPr>
                <w:sz w:val="21"/>
                <w:szCs w:val="21"/>
                <w:spacing w:val="-2"/>
              </w:rPr>
              <w:t>0.001</w:t>
            </w:r>
          </w:p>
        </w:tc>
        <w:tc>
          <w:tcPr>
            <w:tcW w:w="1798" w:type="dxa"/>
            <w:vAlign w:val="top"/>
            <w:vMerge w:val="continue"/>
            <w:tcBorders>
              <w:top w:val="nil"/>
            </w:tcBorders>
          </w:tcPr>
          <w:p>
            <w:pPr>
              <w:rPr>
                <w:rFonts w:ascii="Arial"/>
                <w:sz w:val="21"/>
              </w:rPr>
            </w:pPr>
            <w:r/>
          </w:p>
        </w:tc>
        <w:tc>
          <w:tcPr>
            <w:tcW w:w="899" w:type="dxa"/>
            <w:vAlign w:val="top"/>
            <w:vMerge w:val="continue"/>
            <w:textDirection w:val="tbRlV"/>
            <w:tcBorders>
              <w:top w:val="nil"/>
            </w:tcBorders>
          </w:tcPr>
          <w:p>
            <w:pPr>
              <w:rPr>
                <w:rFonts w:ascii="Arial"/>
                <w:sz w:val="21"/>
              </w:rPr>
            </w:pPr>
            <w:r/>
          </w:p>
        </w:tc>
        <w:tc>
          <w:tcPr>
            <w:tcW w:w="929" w:type="dxa"/>
            <w:vAlign w:val="top"/>
            <w:vMerge w:val="continue"/>
            <w:tcBorders>
              <w:top w:val="nil"/>
            </w:tcBorders>
          </w:tcPr>
          <w:p>
            <w:pPr>
              <w:rPr>
                <w:rFonts w:ascii="Arial"/>
                <w:sz w:val="21"/>
              </w:rPr>
            </w:pPr>
            <w:r/>
          </w:p>
        </w:tc>
        <w:tc>
          <w:tcPr>
            <w:tcW w:w="964" w:type="dxa"/>
            <w:vAlign w:val="top"/>
            <w:vMerge w:val="continue"/>
            <w:tcBorders>
              <w:top w:val="nil"/>
            </w:tcBorders>
          </w:tcPr>
          <w:p>
            <w:pPr>
              <w:rPr>
                <w:rFonts w:ascii="Arial"/>
                <w:sz w:val="21"/>
              </w:rPr>
            </w:pPr>
            <w:r/>
          </w:p>
        </w:tc>
      </w:tr>
    </w:tbl>
    <w:p>
      <w:pPr>
        <w:ind w:left="94" w:right="102" w:firstLine="500"/>
        <w:spacing w:before="62" w:line="368" w:lineRule="auto"/>
        <w:jc w:val="both"/>
        <w:rPr>
          <w:rFonts w:ascii="SimSun" w:hAnsi="SimSun" w:eastAsia="SimSun" w:cs="SimSun"/>
          <w:sz w:val="23"/>
          <w:szCs w:val="23"/>
        </w:rPr>
      </w:pPr>
      <w:r>
        <w:rPr>
          <w:rFonts w:ascii="SimSun" w:hAnsi="SimSun" w:eastAsia="SimSun" w:cs="SimSun"/>
          <w:sz w:val="24"/>
          <w:szCs w:val="24"/>
        </w:rPr>
        <w:t>建设单位应定期检查环保设施设备的运行情况。定期保养和维护设备，确</w:t>
      </w:r>
      <w:r>
        <w:rPr>
          <w:rFonts w:ascii="SimSun" w:hAnsi="SimSun" w:eastAsia="SimSun" w:cs="SimSun"/>
          <w:sz w:val="24"/>
          <w:szCs w:val="24"/>
          <w:spacing w:val="8"/>
        </w:rPr>
        <w:t xml:space="preserve">  </w:t>
      </w:r>
      <w:r>
        <w:rPr>
          <w:rFonts w:ascii="SimSun" w:hAnsi="SimSun" w:eastAsia="SimSun" w:cs="SimSun"/>
          <w:sz w:val="23"/>
          <w:szCs w:val="23"/>
          <w:spacing w:val="10"/>
        </w:rPr>
        <w:t>保设备稳定运行。 一旦发生非正常工况，立即组织人员对设备进行排</w:t>
      </w:r>
      <w:r>
        <w:rPr>
          <w:rFonts w:ascii="SimSun" w:hAnsi="SimSun" w:eastAsia="SimSun" w:cs="SimSun"/>
          <w:sz w:val="23"/>
          <w:szCs w:val="23"/>
          <w:spacing w:val="9"/>
        </w:rPr>
        <w:t>查，并及</w:t>
      </w:r>
      <w:r>
        <w:rPr>
          <w:rFonts w:ascii="SimSun" w:hAnsi="SimSun" w:eastAsia="SimSun" w:cs="SimSun"/>
          <w:sz w:val="23"/>
          <w:szCs w:val="23"/>
        </w:rPr>
        <w:t xml:space="preserve"> </w:t>
      </w:r>
      <w:r>
        <w:rPr>
          <w:rFonts w:ascii="SimSun" w:hAnsi="SimSun" w:eastAsia="SimSun" w:cs="SimSun"/>
          <w:sz w:val="23"/>
          <w:szCs w:val="23"/>
          <w:spacing w:val="14"/>
        </w:rPr>
        <w:t>时有效处置，采取上述措施后能有效杜绝长时间非正常排放，有效降低非正常</w:t>
      </w:r>
      <w:r>
        <w:rPr>
          <w:rFonts w:ascii="SimSun" w:hAnsi="SimSun" w:eastAsia="SimSun" w:cs="SimSun"/>
          <w:sz w:val="23"/>
          <w:szCs w:val="23"/>
          <w:spacing w:val="5"/>
        </w:rPr>
        <w:t xml:space="preserve"> </w:t>
      </w:r>
      <w:r>
        <w:rPr>
          <w:rFonts w:ascii="SimSun" w:hAnsi="SimSun" w:eastAsia="SimSun" w:cs="SimSun"/>
          <w:sz w:val="23"/>
          <w:szCs w:val="23"/>
          <w:spacing w:val="7"/>
        </w:rPr>
        <w:t>排放对周边环境的影响。</w:t>
      </w:r>
    </w:p>
    <w:p>
      <w:pPr>
        <w:ind w:left="98"/>
        <w:spacing w:before="51" w:line="222" w:lineRule="auto"/>
        <w:rPr>
          <w:rFonts w:ascii="SimHei" w:hAnsi="SimHei" w:eastAsia="SimHei" w:cs="SimHei"/>
          <w:sz w:val="23"/>
          <w:szCs w:val="23"/>
        </w:rPr>
      </w:pPr>
      <w:r>
        <w:rPr>
          <w:rFonts w:ascii="SimHei" w:hAnsi="SimHei" w:eastAsia="SimHei" w:cs="SimHei"/>
          <w:sz w:val="23"/>
          <w:szCs w:val="23"/>
          <w:b/>
          <w:bCs/>
          <w:spacing w:val="11"/>
        </w:rPr>
        <w:t>3</w:t>
      </w:r>
      <w:r>
        <w:rPr>
          <w:rFonts w:ascii="SimHei" w:hAnsi="SimHei" w:eastAsia="SimHei" w:cs="SimHei"/>
          <w:sz w:val="23"/>
          <w:szCs w:val="23"/>
          <w:spacing w:val="-69"/>
        </w:rPr>
        <w:t xml:space="preserve"> </w:t>
      </w:r>
      <w:r>
        <w:rPr>
          <w:rFonts w:ascii="SimHei" w:hAnsi="SimHei" w:eastAsia="SimHei" w:cs="SimHei"/>
          <w:sz w:val="23"/>
          <w:szCs w:val="23"/>
          <w:b/>
          <w:bCs/>
          <w:spacing w:val="11"/>
        </w:rPr>
        <w:t>.</w:t>
      </w:r>
      <w:r>
        <w:rPr>
          <w:rFonts w:ascii="SimHei" w:hAnsi="SimHei" w:eastAsia="SimHei" w:cs="SimHei"/>
          <w:sz w:val="23"/>
          <w:szCs w:val="23"/>
          <w:spacing w:val="-66"/>
        </w:rPr>
        <w:t xml:space="preserve"> </w:t>
      </w:r>
      <w:r>
        <w:rPr>
          <w:rFonts w:ascii="SimHei" w:hAnsi="SimHei" w:eastAsia="SimHei" w:cs="SimHei"/>
          <w:sz w:val="23"/>
          <w:szCs w:val="23"/>
          <w:b/>
          <w:bCs/>
          <w:spacing w:val="11"/>
        </w:rPr>
        <w:t>11</w:t>
      </w:r>
      <w:r>
        <w:rPr>
          <w:rFonts w:ascii="SimHei" w:hAnsi="SimHei" w:eastAsia="SimHei" w:cs="SimHei"/>
          <w:sz w:val="23"/>
          <w:szCs w:val="23"/>
          <w:spacing w:val="-69"/>
        </w:rPr>
        <w:t xml:space="preserve"> </w:t>
      </w:r>
      <w:r>
        <w:rPr>
          <w:rFonts w:ascii="SimHei" w:hAnsi="SimHei" w:eastAsia="SimHei" w:cs="SimHei"/>
          <w:sz w:val="23"/>
          <w:szCs w:val="23"/>
          <w:b/>
          <w:bCs/>
          <w:spacing w:val="11"/>
        </w:rPr>
        <w:t>.6清洁生产分析</w:t>
      </w:r>
    </w:p>
    <w:p>
      <w:pPr>
        <w:ind w:left="575"/>
        <w:spacing w:before="235" w:line="218" w:lineRule="auto"/>
        <w:rPr>
          <w:rFonts w:ascii="SimSun" w:hAnsi="SimSun" w:eastAsia="SimSun" w:cs="SimSun"/>
          <w:sz w:val="23"/>
          <w:szCs w:val="23"/>
        </w:rPr>
      </w:pPr>
      <w:r>
        <w:rPr>
          <w:rFonts w:ascii="SimSun" w:hAnsi="SimSun" w:eastAsia="SimSun" w:cs="SimSun"/>
          <w:sz w:val="23"/>
          <w:szCs w:val="23"/>
          <w:spacing w:val="21"/>
        </w:rPr>
        <w:t>本报告将从原辅材料(含能源)、技术工艺、设备、过程控制、管理、员</w:t>
      </w:r>
    </w:p>
    <w:p>
      <w:pPr>
        <w:spacing w:line="218" w:lineRule="auto"/>
        <w:sectPr>
          <w:headerReference w:type="default" r:id="rId365"/>
          <w:footerReference w:type="default" r:id="rId366"/>
          <w:pgSz w:w="11910" w:h="16840"/>
          <w:pgMar w:top="1209" w:right="1725" w:bottom="960" w:left="1685" w:header="855" w:footer="735" w:gutter="0"/>
        </w:sectPr>
        <w:rPr>
          <w:rFonts w:ascii="SimSun" w:hAnsi="SimSun" w:eastAsia="SimSun" w:cs="SimSun"/>
          <w:sz w:val="23"/>
          <w:szCs w:val="23"/>
        </w:rPr>
      </w:pPr>
    </w:p>
    <w:p>
      <w:pPr>
        <w:spacing w:before="280" w:line="219" w:lineRule="auto"/>
        <w:rPr>
          <w:rFonts w:ascii="SimSun" w:hAnsi="SimSun" w:eastAsia="SimSun" w:cs="SimSun"/>
          <w:sz w:val="23"/>
          <w:szCs w:val="23"/>
        </w:rPr>
      </w:pPr>
      <w:r>
        <w:rPr>
          <w:rFonts w:ascii="SimSun" w:hAnsi="SimSun" w:eastAsia="SimSun" w:cs="SimSun"/>
          <w:sz w:val="23"/>
          <w:szCs w:val="23"/>
          <w:spacing w:val="8"/>
        </w:rPr>
        <w:t>工、产品、废物等方面分析本项目的清洁生产水平。</w:t>
      </w:r>
    </w:p>
    <w:p>
      <w:pPr>
        <w:ind w:left="483"/>
        <w:spacing w:before="183" w:line="219" w:lineRule="auto"/>
        <w:rPr>
          <w:rFonts w:ascii="SimSun" w:hAnsi="SimSun" w:eastAsia="SimSun" w:cs="SimSun"/>
          <w:sz w:val="23"/>
          <w:szCs w:val="23"/>
        </w:rPr>
      </w:pPr>
      <w:r>
        <w:rPr>
          <w:rFonts w:ascii="SimSun" w:hAnsi="SimSun" w:eastAsia="SimSun" w:cs="SimSun"/>
          <w:sz w:val="23"/>
          <w:szCs w:val="23"/>
          <w:b/>
          <w:bCs/>
          <w:spacing w:val="6"/>
        </w:rPr>
        <w:t>1、原辅材料和能源</w:t>
      </w:r>
    </w:p>
    <w:p>
      <w:pPr>
        <w:ind w:right="51" w:firstLine="600"/>
        <w:spacing w:before="210" w:line="298" w:lineRule="auto"/>
        <w:rPr>
          <w:rFonts w:ascii="SimSun" w:hAnsi="SimSun" w:eastAsia="SimSun" w:cs="SimSun"/>
          <w:sz w:val="23"/>
          <w:szCs w:val="23"/>
        </w:rPr>
      </w:pPr>
      <w:r>
        <w:rPr>
          <w:rFonts w:ascii="SimSun" w:hAnsi="SimSun" w:eastAsia="SimSun" w:cs="SimSun"/>
          <w:sz w:val="23"/>
          <w:szCs w:val="23"/>
          <w:spacing w:val="13"/>
        </w:rPr>
        <w:t>(1)本项目屠宰生猪、肉牛为健康状况良好，并有当地农牧部门畜禽防疫</w:t>
      </w:r>
      <w:r>
        <w:rPr>
          <w:rFonts w:ascii="SimSun" w:hAnsi="SimSun" w:eastAsia="SimSun" w:cs="SimSun"/>
          <w:sz w:val="23"/>
          <w:szCs w:val="23"/>
          <w:spacing w:val="16"/>
        </w:rPr>
        <w:t xml:space="preserve"> </w:t>
      </w:r>
      <w:r>
        <w:rPr>
          <w:rFonts w:ascii="SimSun" w:hAnsi="SimSun" w:eastAsia="SimSun" w:cs="SimSun"/>
          <w:sz w:val="23"/>
          <w:szCs w:val="23"/>
          <w:spacing w:val="7"/>
        </w:rPr>
        <w:t>机构出具的检疫合格证明。</w:t>
      </w:r>
    </w:p>
    <w:p>
      <w:pPr>
        <w:ind w:right="49" w:firstLine="600"/>
        <w:spacing w:before="184" w:line="294" w:lineRule="auto"/>
        <w:rPr>
          <w:rFonts w:ascii="SimSun" w:hAnsi="SimSun" w:eastAsia="SimSun" w:cs="SimSun"/>
          <w:sz w:val="23"/>
          <w:szCs w:val="23"/>
        </w:rPr>
      </w:pPr>
      <w:r>
        <w:rPr>
          <w:rFonts w:ascii="SimSun" w:hAnsi="SimSun" w:eastAsia="SimSun" w:cs="SimSun"/>
          <w:sz w:val="23"/>
          <w:szCs w:val="23"/>
          <w:spacing w:val="11"/>
        </w:rPr>
        <w:t>(2)项目的排酸制冷车间制冷采用的制冷剂为</w:t>
      </w:r>
      <w:r>
        <w:rPr>
          <w:rFonts w:ascii="Times New Roman" w:hAnsi="Times New Roman" w:eastAsia="Times New Roman" w:cs="Times New Roman"/>
          <w:sz w:val="23"/>
          <w:szCs w:val="23"/>
          <w:spacing w:val="11"/>
        </w:rPr>
        <w:t>R507,R5</w:t>
      </w:r>
      <w:r>
        <w:rPr>
          <w:rFonts w:ascii="Times New Roman" w:hAnsi="Times New Roman" w:eastAsia="Times New Roman" w:cs="Times New Roman"/>
          <w:sz w:val="23"/>
          <w:szCs w:val="23"/>
          <w:spacing w:val="10"/>
        </w:rPr>
        <w:t>07</w:t>
      </w:r>
      <w:r>
        <w:rPr>
          <w:rFonts w:ascii="Times New Roman" w:hAnsi="Times New Roman" w:eastAsia="Times New Roman" w:cs="Times New Roman"/>
          <w:sz w:val="23"/>
          <w:szCs w:val="23"/>
          <w:spacing w:val="2"/>
        </w:rPr>
        <w:t xml:space="preserve">    </w:t>
      </w:r>
      <w:r>
        <w:rPr>
          <w:rFonts w:ascii="SimSun" w:hAnsi="SimSun" w:eastAsia="SimSun" w:cs="SimSun"/>
          <w:sz w:val="23"/>
          <w:szCs w:val="23"/>
          <w:spacing w:val="10"/>
        </w:rPr>
        <w:t>是</w:t>
      </w:r>
      <w:r>
        <w:rPr>
          <w:rFonts w:ascii="Times New Roman" w:hAnsi="Times New Roman" w:eastAsia="Times New Roman" w:cs="Times New Roman"/>
          <w:sz w:val="23"/>
          <w:szCs w:val="23"/>
          <w:spacing w:val="10"/>
        </w:rPr>
        <w:t>R-502</w:t>
      </w:r>
      <w:r>
        <w:rPr>
          <w:rFonts w:ascii="SimSun" w:hAnsi="SimSun" w:eastAsia="SimSun" w:cs="SimSun"/>
          <w:sz w:val="23"/>
          <w:szCs w:val="23"/>
          <w:spacing w:val="10"/>
        </w:rPr>
        <w:t>制冷剂</w:t>
      </w:r>
      <w:r>
        <w:rPr>
          <w:rFonts w:ascii="SimSun" w:hAnsi="SimSun" w:eastAsia="SimSun" w:cs="SimSun"/>
          <w:sz w:val="23"/>
          <w:szCs w:val="23"/>
          <w:spacing w:val="2"/>
        </w:rPr>
        <w:t xml:space="preserve"> </w:t>
      </w:r>
      <w:r>
        <w:rPr>
          <w:rFonts w:ascii="SimSun" w:hAnsi="SimSun" w:eastAsia="SimSun" w:cs="SimSun"/>
          <w:sz w:val="23"/>
          <w:szCs w:val="23"/>
          <w:spacing w:val="6"/>
        </w:rPr>
        <w:t>的长期替代品</w:t>
      </w:r>
      <w:r>
        <w:rPr>
          <w:rFonts w:ascii="SimSun" w:hAnsi="SimSun" w:eastAsia="SimSun" w:cs="SimSun"/>
          <w:sz w:val="23"/>
          <w:szCs w:val="23"/>
          <w:spacing w:val="-48"/>
        </w:rPr>
        <w:t xml:space="preserve"> </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HFC</w:t>
      </w:r>
      <w:r>
        <w:rPr>
          <w:rFonts w:ascii="Times New Roman" w:hAnsi="Times New Roman" w:eastAsia="Times New Roman" w:cs="Times New Roman"/>
          <w:sz w:val="23"/>
          <w:szCs w:val="23"/>
          <w:spacing w:val="38"/>
        </w:rPr>
        <w:t xml:space="preserve"> </w:t>
      </w:r>
      <w:r>
        <w:rPr>
          <w:rFonts w:ascii="SimSun" w:hAnsi="SimSun" w:eastAsia="SimSun" w:cs="SimSun"/>
          <w:sz w:val="23"/>
          <w:szCs w:val="23"/>
          <w:spacing w:val="6"/>
        </w:rPr>
        <w:t>类</w:t>
      </w:r>
      <w:r>
        <w:rPr>
          <w:rFonts w:ascii="SimSun" w:hAnsi="SimSun" w:eastAsia="SimSun" w:cs="SimSun"/>
          <w:sz w:val="23"/>
          <w:szCs w:val="23"/>
          <w:spacing w:val="-43"/>
        </w:rPr>
        <w:t xml:space="preserve"> </w:t>
      </w:r>
      <w:r>
        <w:rPr>
          <w:rFonts w:ascii="SimSun" w:hAnsi="SimSun" w:eastAsia="SimSun" w:cs="SimSun"/>
          <w:sz w:val="23"/>
          <w:szCs w:val="23"/>
          <w:spacing w:val="6"/>
        </w:rPr>
        <w:t>物</w:t>
      </w:r>
      <w:r>
        <w:rPr>
          <w:rFonts w:ascii="SimSun" w:hAnsi="SimSun" w:eastAsia="SimSun" w:cs="SimSun"/>
          <w:sz w:val="23"/>
          <w:szCs w:val="23"/>
          <w:spacing w:val="-43"/>
        </w:rPr>
        <w:t xml:space="preserve"> </w:t>
      </w:r>
      <w:r>
        <w:rPr>
          <w:rFonts w:ascii="SimSun" w:hAnsi="SimSun" w:eastAsia="SimSun" w:cs="SimSun"/>
          <w:sz w:val="23"/>
          <w:szCs w:val="23"/>
          <w:spacing w:val="6"/>
        </w:rPr>
        <w:t>质</w:t>
      </w:r>
      <w:r>
        <w:rPr>
          <w:rFonts w:ascii="SimSun" w:hAnsi="SimSun" w:eastAsia="SimSun" w:cs="SimSun"/>
          <w:sz w:val="23"/>
          <w:szCs w:val="23"/>
          <w:spacing w:val="-43"/>
        </w:rPr>
        <w:t xml:space="preserve"> </w:t>
      </w:r>
      <w:r>
        <w:rPr>
          <w:rFonts w:ascii="SimSun" w:hAnsi="SimSun" w:eastAsia="SimSun" w:cs="SimSun"/>
          <w:sz w:val="23"/>
          <w:szCs w:val="23"/>
          <w:spacing w:val="6"/>
        </w:rPr>
        <w:t>)</w:t>
      </w:r>
      <w:r>
        <w:rPr>
          <w:rFonts w:ascii="SimSun" w:hAnsi="SimSun" w:eastAsia="SimSun" w:cs="SimSun"/>
          <w:sz w:val="23"/>
          <w:szCs w:val="23"/>
          <w:spacing w:val="-39"/>
        </w:rPr>
        <w:t xml:space="preserve"> </w:t>
      </w:r>
      <w:r>
        <w:rPr>
          <w:rFonts w:ascii="SimSun" w:hAnsi="SimSun" w:eastAsia="SimSun" w:cs="SimSun"/>
          <w:sz w:val="23"/>
          <w:szCs w:val="23"/>
          <w:spacing w:val="6"/>
        </w:rPr>
        <w:t>,</w:t>
      </w:r>
      <w:r>
        <w:rPr>
          <w:rFonts w:ascii="Times New Roman" w:hAnsi="Times New Roman" w:eastAsia="Times New Roman" w:cs="Times New Roman"/>
          <w:sz w:val="23"/>
          <w:szCs w:val="23"/>
        </w:rPr>
        <w:t>ODP</w:t>
      </w:r>
      <w:r>
        <w:rPr>
          <w:rFonts w:ascii="Times New Roman" w:hAnsi="Times New Roman" w:eastAsia="Times New Roman" w:cs="Times New Roman"/>
          <w:sz w:val="23"/>
          <w:szCs w:val="23"/>
          <w:spacing w:val="6"/>
        </w:rPr>
        <w:t xml:space="preserve"> </w:t>
      </w:r>
      <w:r>
        <w:rPr>
          <w:rFonts w:ascii="SimSun" w:hAnsi="SimSun" w:eastAsia="SimSun" w:cs="SimSun"/>
          <w:sz w:val="23"/>
          <w:szCs w:val="23"/>
          <w:spacing w:val="6"/>
        </w:rPr>
        <w:t>值为零，不含任何破坏臭氧层的物</w:t>
      </w:r>
      <w:r>
        <w:rPr>
          <w:rFonts w:ascii="SimSun" w:hAnsi="SimSun" w:eastAsia="SimSun" w:cs="SimSun"/>
          <w:sz w:val="23"/>
          <w:szCs w:val="23"/>
          <w:spacing w:val="5"/>
        </w:rPr>
        <w:t>质。</w:t>
      </w:r>
    </w:p>
    <w:p>
      <w:pPr>
        <w:ind w:left="600"/>
        <w:spacing w:before="220" w:line="219" w:lineRule="auto"/>
        <w:rPr>
          <w:rFonts w:ascii="SimSun" w:hAnsi="SimSun" w:eastAsia="SimSun" w:cs="SimSun"/>
          <w:sz w:val="23"/>
          <w:szCs w:val="23"/>
        </w:rPr>
      </w:pPr>
      <w:r>
        <w:rPr>
          <w:rFonts w:ascii="SimSun" w:hAnsi="SimSun" w:eastAsia="SimSun" w:cs="SimSun"/>
          <w:sz w:val="23"/>
          <w:szCs w:val="23"/>
          <w:spacing w:val="13"/>
        </w:rPr>
        <w:t>(3)企业拟使用的能源为沼气、天然气、电能，均为清洁能源。</w:t>
      </w:r>
    </w:p>
    <w:p>
      <w:pPr>
        <w:ind w:left="483"/>
        <w:spacing w:before="164" w:line="219" w:lineRule="auto"/>
        <w:rPr>
          <w:rFonts w:ascii="SimSun" w:hAnsi="SimSun" w:eastAsia="SimSun" w:cs="SimSun"/>
          <w:sz w:val="23"/>
          <w:szCs w:val="23"/>
        </w:rPr>
      </w:pPr>
      <w:r>
        <w:rPr>
          <w:rFonts w:ascii="SimSun" w:hAnsi="SimSun" w:eastAsia="SimSun" w:cs="SimSun"/>
          <w:sz w:val="23"/>
          <w:szCs w:val="23"/>
          <w:b/>
          <w:bCs/>
          <w:spacing w:val="7"/>
        </w:rPr>
        <w:t>2、本项目生产工艺和设备</w:t>
      </w:r>
    </w:p>
    <w:p>
      <w:pPr>
        <w:ind w:right="51" w:firstLine="600"/>
        <w:spacing w:before="220" w:line="295" w:lineRule="auto"/>
        <w:rPr>
          <w:rFonts w:ascii="SimSun" w:hAnsi="SimSun" w:eastAsia="SimSun" w:cs="SimSun"/>
          <w:sz w:val="23"/>
          <w:szCs w:val="23"/>
        </w:rPr>
      </w:pPr>
      <w:r>
        <w:rPr>
          <w:rFonts w:ascii="SimSun" w:hAnsi="SimSun" w:eastAsia="SimSun" w:cs="SimSun"/>
          <w:sz w:val="23"/>
          <w:szCs w:val="23"/>
          <w:spacing w:val="13"/>
        </w:rPr>
        <w:t>(1)为确保生产线的卫生标准，本项目主要的加工设备采用国内先进的屠</w:t>
      </w:r>
      <w:r>
        <w:rPr>
          <w:rFonts w:ascii="SimSun" w:hAnsi="SimSun" w:eastAsia="SimSun" w:cs="SimSun"/>
          <w:sz w:val="23"/>
          <w:szCs w:val="23"/>
          <w:spacing w:val="16"/>
        </w:rPr>
        <w:t xml:space="preserve"> </w:t>
      </w:r>
      <w:r>
        <w:rPr>
          <w:rFonts w:ascii="SimSun" w:hAnsi="SimSun" w:eastAsia="SimSun" w:cs="SimSun"/>
          <w:sz w:val="23"/>
          <w:szCs w:val="23"/>
          <w:spacing w:val="7"/>
        </w:rPr>
        <w:t>宰加工成套设备，其工艺对环境污染小。</w:t>
      </w:r>
    </w:p>
    <w:p>
      <w:pPr>
        <w:ind w:right="30" w:firstLine="600"/>
        <w:spacing w:before="189" w:line="344" w:lineRule="auto"/>
        <w:rPr>
          <w:rFonts w:ascii="SimSun" w:hAnsi="SimSun" w:eastAsia="SimSun" w:cs="SimSun"/>
          <w:sz w:val="23"/>
          <w:szCs w:val="23"/>
        </w:rPr>
      </w:pPr>
      <w:r>
        <w:rPr>
          <w:rFonts w:ascii="SimSun" w:hAnsi="SimSun" w:eastAsia="SimSun" w:cs="SimSun"/>
          <w:sz w:val="23"/>
          <w:szCs w:val="23"/>
          <w:spacing w:val="14"/>
        </w:rPr>
        <w:t>(2)冷却分割工艺采用先进的冷却分割工艺，即采取先冷却后分割的加工</w:t>
      </w:r>
      <w:r>
        <w:rPr>
          <w:rFonts w:ascii="SimSun" w:hAnsi="SimSun" w:eastAsia="SimSun" w:cs="SimSun"/>
          <w:sz w:val="23"/>
          <w:szCs w:val="23"/>
          <w:spacing w:val="4"/>
        </w:rPr>
        <w:t xml:space="preserve"> </w:t>
      </w:r>
      <w:r>
        <w:rPr>
          <w:rFonts w:ascii="SimSun" w:hAnsi="SimSun" w:eastAsia="SimSun" w:cs="SimSun"/>
          <w:sz w:val="23"/>
          <w:szCs w:val="23"/>
          <w:spacing w:val="14"/>
        </w:rPr>
        <w:t>方法。除满足工艺要求外，同时抑制生物的生长繁殖，最大限</w:t>
      </w:r>
      <w:r>
        <w:rPr>
          <w:rFonts w:ascii="SimSun" w:hAnsi="SimSun" w:eastAsia="SimSun" w:cs="SimSun"/>
          <w:sz w:val="23"/>
          <w:szCs w:val="23"/>
          <w:spacing w:val="13"/>
        </w:rPr>
        <w:t>度降低微生物生</w:t>
      </w:r>
      <w:r>
        <w:rPr>
          <w:rFonts w:ascii="SimSun" w:hAnsi="SimSun" w:eastAsia="SimSun" w:cs="SimSun"/>
          <w:sz w:val="23"/>
          <w:szCs w:val="23"/>
        </w:rPr>
        <w:t xml:space="preserve"> </w:t>
      </w:r>
      <w:r>
        <w:rPr>
          <w:rFonts w:ascii="SimSun" w:hAnsi="SimSun" w:eastAsia="SimSun" w:cs="SimSun"/>
          <w:sz w:val="23"/>
          <w:szCs w:val="23"/>
          <w:spacing w:val="13"/>
        </w:rPr>
        <w:t>长繁殖过程中对肉品的影响。分部位猪肉、牛肉冷却终温在24小时之内达到其</w:t>
      </w:r>
      <w:r>
        <w:rPr>
          <w:rFonts w:ascii="SimSun" w:hAnsi="SimSun" w:eastAsia="SimSun" w:cs="SimSun"/>
          <w:sz w:val="23"/>
          <w:szCs w:val="23"/>
          <w:spacing w:val="14"/>
        </w:rPr>
        <w:t xml:space="preserve"> </w:t>
      </w:r>
      <w:r>
        <w:rPr>
          <w:rFonts w:ascii="SimSun" w:hAnsi="SimSun" w:eastAsia="SimSun" w:cs="SimSun"/>
          <w:sz w:val="23"/>
          <w:szCs w:val="23"/>
          <w:spacing w:val="24"/>
        </w:rPr>
        <w:t>肌肉深度中心温度不高于7℃,冷冻肉冻结终温其肌肉深度中心温度不高于-</w:t>
      </w:r>
      <w:r>
        <w:rPr>
          <w:rFonts w:ascii="SimSun" w:hAnsi="SimSun" w:eastAsia="SimSun" w:cs="SimSun"/>
          <w:sz w:val="23"/>
          <w:szCs w:val="23"/>
          <w:spacing w:val="16"/>
        </w:rPr>
        <w:t xml:space="preserve"> </w:t>
      </w:r>
      <w:r>
        <w:rPr>
          <w:rFonts w:ascii="SimSun" w:hAnsi="SimSun" w:eastAsia="SimSun" w:cs="SimSun"/>
          <w:sz w:val="23"/>
          <w:szCs w:val="23"/>
          <w:spacing w:val="17"/>
        </w:rPr>
        <w:t>15℃,实现符合国际标准的冷加工要求；实现原料输送、产品箱清洗</w:t>
      </w:r>
      <w:r>
        <w:rPr>
          <w:rFonts w:ascii="SimSun" w:hAnsi="SimSun" w:eastAsia="SimSun" w:cs="SimSun"/>
          <w:sz w:val="23"/>
          <w:szCs w:val="23"/>
          <w:spacing w:val="16"/>
        </w:rPr>
        <w:t>和输送的</w:t>
      </w:r>
      <w:r>
        <w:rPr>
          <w:rFonts w:ascii="SimSun" w:hAnsi="SimSun" w:eastAsia="SimSun" w:cs="SimSun"/>
          <w:sz w:val="23"/>
          <w:szCs w:val="23"/>
        </w:rPr>
        <w:t xml:space="preserve"> </w:t>
      </w:r>
      <w:r>
        <w:rPr>
          <w:rFonts w:ascii="SimSun" w:hAnsi="SimSun" w:eastAsia="SimSun" w:cs="SimSun"/>
          <w:sz w:val="23"/>
          <w:szCs w:val="23"/>
          <w:spacing w:val="6"/>
        </w:rPr>
        <w:t>自动化，极大地降低了人工劳动强度。</w:t>
      </w:r>
    </w:p>
    <w:p>
      <w:pPr>
        <w:ind w:right="32" w:firstLine="600"/>
        <w:spacing w:before="235" w:line="324" w:lineRule="auto"/>
        <w:rPr>
          <w:rFonts w:ascii="SimSun" w:hAnsi="SimSun" w:eastAsia="SimSun" w:cs="SimSun"/>
          <w:sz w:val="23"/>
          <w:szCs w:val="23"/>
        </w:rPr>
      </w:pPr>
      <w:r>
        <w:rPr>
          <w:rFonts w:ascii="SimSun" w:hAnsi="SimSun" w:eastAsia="SimSun" w:cs="SimSun"/>
          <w:sz w:val="23"/>
          <w:szCs w:val="23"/>
          <w:spacing w:val="14"/>
        </w:rPr>
        <w:t>(3)采用目前应用最广泛的运河式烫毛工艺，避免了猪屠体脱钩，提高了</w:t>
      </w:r>
      <w:r>
        <w:rPr>
          <w:rFonts w:ascii="SimSun" w:hAnsi="SimSun" w:eastAsia="SimSun" w:cs="SimSun"/>
          <w:sz w:val="23"/>
          <w:szCs w:val="23"/>
          <w:spacing w:val="2"/>
        </w:rPr>
        <w:t xml:space="preserve"> </w:t>
      </w:r>
      <w:r>
        <w:rPr>
          <w:rFonts w:ascii="SimSun" w:hAnsi="SimSun" w:eastAsia="SimSun" w:cs="SimSun"/>
          <w:sz w:val="23"/>
          <w:szCs w:val="23"/>
          <w:spacing w:val="21"/>
        </w:rPr>
        <w:t>生产效率。屠宰工艺流程做到清洁区与非清洁区严格分开，非清洁区设有待</w:t>
      </w:r>
      <w:r>
        <w:rPr>
          <w:rFonts w:ascii="SimSun" w:hAnsi="SimSun" w:eastAsia="SimSun" w:cs="SimSun"/>
          <w:sz w:val="23"/>
          <w:szCs w:val="23"/>
          <w:spacing w:val="8"/>
        </w:rPr>
        <w:t xml:space="preserve"> </w:t>
      </w:r>
      <w:r>
        <w:rPr>
          <w:rFonts w:ascii="SimSun" w:hAnsi="SimSun" w:eastAsia="SimSun" w:cs="SimSun"/>
          <w:sz w:val="23"/>
          <w:szCs w:val="23"/>
          <w:spacing w:val="5"/>
        </w:rPr>
        <w:t>宰、淋浴、放血等工序。</w:t>
      </w:r>
    </w:p>
    <w:p>
      <w:pPr>
        <w:ind w:right="32" w:firstLine="600"/>
        <w:spacing w:before="202" w:line="319" w:lineRule="auto"/>
        <w:rPr>
          <w:rFonts w:ascii="SimSun" w:hAnsi="SimSun" w:eastAsia="SimSun" w:cs="SimSun"/>
          <w:sz w:val="23"/>
          <w:szCs w:val="23"/>
        </w:rPr>
      </w:pPr>
      <w:r>
        <w:rPr>
          <w:rFonts w:ascii="SimSun" w:hAnsi="SimSun" w:eastAsia="SimSun" w:cs="SimSun"/>
          <w:sz w:val="23"/>
          <w:szCs w:val="23"/>
          <w:spacing w:val="14"/>
        </w:rPr>
        <w:t>(4)待宰圈采用干清粪工艺，此技术可使粪便一经产生便分流，保持舍内</w:t>
      </w:r>
      <w:r>
        <w:rPr>
          <w:rFonts w:ascii="SimSun" w:hAnsi="SimSun" w:eastAsia="SimSun" w:cs="SimSun"/>
          <w:sz w:val="23"/>
          <w:szCs w:val="23"/>
          <w:spacing w:val="3"/>
        </w:rPr>
        <w:t xml:space="preserve"> </w:t>
      </w:r>
      <w:r>
        <w:rPr>
          <w:rFonts w:ascii="SimSun" w:hAnsi="SimSun" w:eastAsia="SimSun" w:cs="SimSun"/>
          <w:sz w:val="23"/>
          <w:szCs w:val="23"/>
          <w:spacing w:val="14"/>
        </w:rPr>
        <w:t>清洁，无臭味，产生的污水量少，且浓度低，易于净化处理，最大限度地减少</w:t>
      </w:r>
      <w:r>
        <w:rPr>
          <w:rFonts w:ascii="SimSun" w:hAnsi="SimSun" w:eastAsia="SimSun" w:cs="SimSun"/>
          <w:sz w:val="23"/>
          <w:szCs w:val="23"/>
          <w:spacing w:val="3"/>
        </w:rPr>
        <w:t xml:space="preserve"> </w:t>
      </w:r>
      <w:r>
        <w:rPr>
          <w:rFonts w:ascii="SimSun" w:hAnsi="SimSun" w:eastAsia="SimSun" w:cs="SimSun"/>
          <w:sz w:val="23"/>
          <w:szCs w:val="23"/>
          <w:spacing w:val="8"/>
        </w:rPr>
        <w:t>废水的产生和排放，降低废水的污染负荷。</w:t>
      </w:r>
    </w:p>
    <w:p>
      <w:pPr>
        <w:ind w:right="32" w:firstLine="600"/>
        <w:spacing w:before="195" w:line="325" w:lineRule="auto"/>
        <w:rPr>
          <w:rFonts w:ascii="SimSun" w:hAnsi="SimSun" w:eastAsia="SimSun" w:cs="SimSun"/>
          <w:sz w:val="23"/>
          <w:szCs w:val="23"/>
        </w:rPr>
      </w:pPr>
      <w:r>
        <w:rPr>
          <w:rFonts w:ascii="SimSun" w:hAnsi="SimSun" w:eastAsia="SimSun" w:cs="SimSun"/>
          <w:sz w:val="23"/>
          <w:szCs w:val="23"/>
          <w:spacing w:val="20"/>
        </w:rPr>
        <w:t>(5)根据《产业结构调整指导目录》(2024年本)、《高耗</w:t>
      </w:r>
      <w:r>
        <w:rPr>
          <w:rFonts w:ascii="SimSun" w:hAnsi="SimSun" w:eastAsia="SimSun" w:cs="SimSun"/>
          <w:sz w:val="23"/>
          <w:szCs w:val="23"/>
          <w:spacing w:val="19"/>
        </w:rPr>
        <w:t>能落后机电设</w:t>
      </w:r>
      <w:r>
        <w:rPr>
          <w:rFonts w:ascii="SimSun" w:hAnsi="SimSun" w:eastAsia="SimSun" w:cs="SimSun"/>
          <w:sz w:val="23"/>
          <w:szCs w:val="23"/>
        </w:rPr>
        <w:t xml:space="preserve"> </w:t>
      </w:r>
      <w:r>
        <w:rPr>
          <w:rFonts w:ascii="SimSun" w:hAnsi="SimSun" w:eastAsia="SimSun" w:cs="SimSun"/>
          <w:sz w:val="23"/>
          <w:szCs w:val="23"/>
          <w:spacing w:val="31"/>
        </w:rPr>
        <w:t>备(产品)淘汰目录(第一至第四批)》,企业生产过</w:t>
      </w:r>
      <w:r>
        <w:rPr>
          <w:rFonts w:ascii="SimSun" w:hAnsi="SimSun" w:eastAsia="SimSun" w:cs="SimSun"/>
          <w:sz w:val="23"/>
          <w:szCs w:val="23"/>
          <w:spacing w:val="30"/>
        </w:rPr>
        <w:t>程不存在使用国家明令</w:t>
      </w:r>
      <w:r>
        <w:rPr>
          <w:rFonts w:ascii="SimSun" w:hAnsi="SimSun" w:eastAsia="SimSun" w:cs="SimSun"/>
          <w:sz w:val="23"/>
          <w:szCs w:val="23"/>
        </w:rPr>
        <w:t xml:space="preserve"> </w:t>
      </w:r>
      <w:r>
        <w:rPr>
          <w:rFonts w:ascii="SimSun" w:hAnsi="SimSun" w:eastAsia="SimSun" w:cs="SimSun"/>
          <w:sz w:val="23"/>
          <w:szCs w:val="23"/>
          <w:spacing w:val="6"/>
        </w:rPr>
        <w:t>淘汰工艺设备的情况。</w:t>
      </w:r>
    </w:p>
    <w:p>
      <w:pPr>
        <w:ind w:left="483"/>
        <w:spacing w:before="164" w:line="220" w:lineRule="auto"/>
        <w:rPr>
          <w:rFonts w:ascii="SimSun" w:hAnsi="SimSun" w:eastAsia="SimSun" w:cs="SimSun"/>
          <w:sz w:val="23"/>
          <w:szCs w:val="23"/>
        </w:rPr>
      </w:pPr>
      <w:r>
        <w:rPr>
          <w:rFonts w:ascii="SimSun" w:hAnsi="SimSun" w:eastAsia="SimSun" w:cs="SimSun"/>
          <w:sz w:val="23"/>
          <w:szCs w:val="23"/>
          <w:b/>
          <w:bCs/>
          <w:spacing w:val="10"/>
        </w:rPr>
        <w:t>3、过程控制</w:t>
      </w:r>
    </w:p>
    <w:p>
      <w:pPr>
        <w:ind w:right="39" w:firstLine="600"/>
        <w:spacing w:before="220" w:line="370" w:lineRule="auto"/>
        <w:jc w:val="both"/>
        <w:rPr>
          <w:rFonts w:ascii="SimSun" w:hAnsi="SimSun" w:eastAsia="SimSun" w:cs="SimSun"/>
          <w:sz w:val="23"/>
          <w:szCs w:val="23"/>
        </w:rPr>
      </w:pPr>
      <w:r>
        <w:rPr>
          <w:rFonts w:ascii="SimSun" w:hAnsi="SimSun" w:eastAsia="SimSun" w:cs="SimSun"/>
          <w:sz w:val="23"/>
          <w:szCs w:val="23"/>
          <w:spacing w:val="13"/>
        </w:rPr>
        <w:t>(1)项目生产方法采用机械化、连续化和自动化，以提高生产效率和卫生</w:t>
      </w:r>
      <w:r>
        <w:rPr>
          <w:rFonts w:ascii="SimSun" w:hAnsi="SimSun" w:eastAsia="SimSun" w:cs="SimSun"/>
          <w:sz w:val="23"/>
          <w:szCs w:val="23"/>
          <w:spacing w:val="15"/>
        </w:rPr>
        <w:t xml:space="preserve"> </w:t>
      </w:r>
      <w:r>
        <w:rPr>
          <w:rFonts w:ascii="SimSun" w:hAnsi="SimSun" w:eastAsia="SimSun" w:cs="SimSun"/>
          <w:sz w:val="23"/>
          <w:szCs w:val="23"/>
          <w:spacing w:val="14"/>
        </w:rPr>
        <w:t>标准。主要生产设备采用具有国际先进水平的成熟工艺设备，装备水平达到国</w:t>
      </w:r>
      <w:r>
        <w:rPr>
          <w:rFonts w:ascii="SimSun" w:hAnsi="SimSun" w:eastAsia="SimSun" w:cs="SimSun"/>
          <w:sz w:val="23"/>
          <w:szCs w:val="23"/>
          <w:spacing w:val="6"/>
        </w:rPr>
        <w:t xml:space="preserve"> </w:t>
      </w:r>
      <w:r>
        <w:rPr>
          <w:rFonts w:ascii="SimSun" w:hAnsi="SimSun" w:eastAsia="SimSun" w:cs="SimSun"/>
          <w:sz w:val="23"/>
          <w:szCs w:val="23"/>
          <w:spacing w:val="21"/>
        </w:rPr>
        <w:t>内领先水平，提高了生产的自动化控制水平，其产品性能好、效率高、功率</w:t>
      </w:r>
      <w:r>
        <w:rPr>
          <w:rFonts w:ascii="SimSun" w:hAnsi="SimSun" w:eastAsia="SimSun" w:cs="SimSun"/>
          <w:sz w:val="23"/>
          <w:szCs w:val="23"/>
          <w:spacing w:val="7"/>
        </w:rPr>
        <w:t xml:space="preserve"> </w:t>
      </w:r>
      <w:r>
        <w:rPr>
          <w:rFonts w:ascii="SimSun" w:hAnsi="SimSun" w:eastAsia="SimSun" w:cs="SimSun"/>
          <w:sz w:val="23"/>
          <w:szCs w:val="23"/>
          <w:spacing w:val="7"/>
        </w:rPr>
        <w:t>大，可靠性强，并且降低了能耗和物耗。</w:t>
      </w:r>
    </w:p>
    <w:p>
      <w:pPr>
        <w:spacing w:line="370" w:lineRule="auto"/>
        <w:sectPr>
          <w:headerReference w:type="default" r:id="rId266"/>
          <w:footerReference w:type="default" r:id="rId367"/>
          <w:pgSz w:w="11910" w:h="16840"/>
          <w:pgMar w:top="1207" w:right="1786" w:bottom="962" w:left="1779" w:header="915" w:footer="791" w:gutter="0"/>
        </w:sectPr>
        <w:rPr>
          <w:rFonts w:ascii="SimSun" w:hAnsi="SimSun" w:eastAsia="SimSun" w:cs="SimSun"/>
          <w:sz w:val="23"/>
          <w:szCs w:val="23"/>
        </w:rPr>
      </w:pPr>
    </w:p>
    <w:p>
      <w:pPr>
        <w:ind w:right="52" w:firstLine="600"/>
        <w:spacing w:before="282" w:line="360" w:lineRule="auto"/>
        <w:rPr>
          <w:rFonts w:ascii="SimSun" w:hAnsi="SimSun" w:eastAsia="SimSun" w:cs="SimSun"/>
          <w:sz w:val="24"/>
          <w:szCs w:val="24"/>
        </w:rPr>
      </w:pPr>
      <w:r>
        <w:rPr>
          <w:rFonts w:ascii="SimSun" w:hAnsi="SimSun" w:eastAsia="SimSun" w:cs="SimSun"/>
          <w:sz w:val="24"/>
          <w:szCs w:val="24"/>
          <w:spacing w:val="4"/>
        </w:rPr>
        <w:t>(2)流水线实行密闭化，流水线由许多封闭的单元组成，所有的传输</w:t>
      </w:r>
      <w:r>
        <w:rPr>
          <w:rFonts w:ascii="SimSun" w:hAnsi="SimSun" w:eastAsia="SimSun" w:cs="SimSun"/>
          <w:sz w:val="24"/>
          <w:szCs w:val="24"/>
          <w:spacing w:val="3"/>
        </w:rPr>
        <w:t>系统</w:t>
      </w:r>
      <w:r>
        <w:rPr>
          <w:rFonts w:ascii="SimSun" w:hAnsi="SimSun" w:eastAsia="SimSun" w:cs="SimSun"/>
          <w:sz w:val="24"/>
          <w:szCs w:val="24"/>
        </w:rPr>
        <w:t xml:space="preserve"> </w:t>
      </w:r>
      <w:r>
        <w:rPr>
          <w:rFonts w:ascii="SimSun" w:hAnsi="SimSun" w:eastAsia="SimSun" w:cs="SimSun"/>
          <w:sz w:val="24"/>
          <w:szCs w:val="24"/>
          <w:spacing w:val="-1"/>
        </w:rPr>
        <w:t>实现悬空作业，避免了宰后生猪的二次污染。</w:t>
      </w:r>
    </w:p>
    <w:p>
      <w:pPr>
        <w:ind w:left="483"/>
        <w:spacing w:line="219" w:lineRule="auto"/>
        <w:rPr>
          <w:rFonts w:ascii="SimSun" w:hAnsi="SimSun" w:eastAsia="SimSun" w:cs="SimSun"/>
          <w:sz w:val="24"/>
          <w:szCs w:val="24"/>
        </w:rPr>
      </w:pPr>
      <w:r>
        <w:rPr>
          <w:rFonts w:ascii="SimSun" w:hAnsi="SimSun" w:eastAsia="SimSun" w:cs="SimSun"/>
          <w:sz w:val="24"/>
          <w:szCs w:val="24"/>
          <w:b/>
          <w:bCs/>
        </w:rPr>
        <w:t>4、管理</w:t>
      </w:r>
    </w:p>
    <w:p>
      <w:pPr>
        <w:ind w:right="44" w:firstLine="480"/>
        <w:spacing w:before="189" w:line="358" w:lineRule="auto"/>
        <w:jc w:val="both"/>
        <w:rPr>
          <w:rFonts w:ascii="SimSun" w:hAnsi="SimSun" w:eastAsia="SimSun" w:cs="SimSun"/>
          <w:sz w:val="24"/>
          <w:szCs w:val="24"/>
        </w:rPr>
      </w:pPr>
      <w:r>
        <w:rPr>
          <w:rFonts w:ascii="SimSun" w:hAnsi="SimSun" w:eastAsia="SimSun" w:cs="SimSun"/>
          <w:sz w:val="24"/>
          <w:szCs w:val="24"/>
          <w:spacing w:val="4"/>
        </w:rPr>
        <w:t>公司各部门分工明确，能保证公司各项生产的正常运行，符合清洁生产的</w:t>
      </w:r>
      <w:r>
        <w:rPr>
          <w:rFonts w:ascii="SimSun" w:hAnsi="SimSun" w:eastAsia="SimSun" w:cs="SimSun"/>
          <w:sz w:val="24"/>
          <w:szCs w:val="24"/>
          <w:spacing w:val="9"/>
        </w:rPr>
        <w:t xml:space="preserve"> </w:t>
      </w:r>
      <w:r>
        <w:rPr>
          <w:rFonts w:ascii="SimSun" w:hAnsi="SimSun" w:eastAsia="SimSun" w:cs="SimSun"/>
          <w:sz w:val="24"/>
          <w:szCs w:val="24"/>
          <w:spacing w:val="4"/>
        </w:rPr>
        <w:t>要求。公司设立独立的安全环保部门，加强环境管理工作</w:t>
      </w:r>
      <w:r>
        <w:rPr>
          <w:rFonts w:ascii="SimSun" w:hAnsi="SimSun" w:eastAsia="SimSun" w:cs="SimSun"/>
          <w:sz w:val="24"/>
          <w:szCs w:val="24"/>
          <w:spacing w:val="3"/>
        </w:rPr>
        <w:t>，配备专门的环境保</w:t>
      </w:r>
      <w:r>
        <w:rPr>
          <w:rFonts w:ascii="SimSun" w:hAnsi="SimSun" w:eastAsia="SimSun" w:cs="SimSun"/>
          <w:sz w:val="24"/>
          <w:szCs w:val="24"/>
        </w:rPr>
        <w:t xml:space="preserve"> </w:t>
      </w:r>
      <w:r>
        <w:rPr>
          <w:rFonts w:ascii="SimSun" w:hAnsi="SimSun" w:eastAsia="SimSun" w:cs="SimSun"/>
          <w:sz w:val="24"/>
          <w:szCs w:val="24"/>
          <w:spacing w:val="11"/>
        </w:rPr>
        <w:t>护管理人员，负责日常检查，这对加强厂内日常环境保护管理、减少污染事</w:t>
      </w:r>
      <w:r>
        <w:rPr>
          <w:rFonts w:ascii="SimSun" w:hAnsi="SimSun" w:eastAsia="SimSun" w:cs="SimSun"/>
          <w:sz w:val="24"/>
          <w:szCs w:val="24"/>
          <w:spacing w:val="7"/>
        </w:rPr>
        <w:t xml:space="preserve"> </w:t>
      </w:r>
      <w:r>
        <w:rPr>
          <w:rFonts w:ascii="SimSun" w:hAnsi="SimSun" w:eastAsia="SimSun" w:cs="SimSun"/>
          <w:sz w:val="24"/>
          <w:szCs w:val="24"/>
          <w:spacing w:val="4"/>
        </w:rPr>
        <w:t>故、执行国家和地方环保法规发挥积极作用。严格的环境管理使</w:t>
      </w:r>
      <w:r>
        <w:rPr>
          <w:rFonts w:ascii="SimSun" w:hAnsi="SimSun" w:eastAsia="SimSun" w:cs="SimSun"/>
          <w:sz w:val="24"/>
          <w:szCs w:val="24"/>
          <w:spacing w:val="3"/>
        </w:rPr>
        <w:t>各项环保措施</w:t>
      </w:r>
      <w:r>
        <w:rPr>
          <w:rFonts w:ascii="SimSun" w:hAnsi="SimSun" w:eastAsia="SimSun" w:cs="SimSun"/>
          <w:sz w:val="24"/>
          <w:szCs w:val="24"/>
        </w:rPr>
        <w:t xml:space="preserve"> </w:t>
      </w:r>
      <w:r>
        <w:rPr>
          <w:rFonts w:ascii="SimSun" w:hAnsi="SimSun" w:eastAsia="SimSun" w:cs="SimSun"/>
          <w:sz w:val="24"/>
          <w:szCs w:val="24"/>
          <w:spacing w:val="-1"/>
        </w:rPr>
        <w:t>落实并正常、有效运作的保证。</w:t>
      </w:r>
    </w:p>
    <w:p>
      <w:pPr>
        <w:ind w:left="483"/>
        <w:spacing w:before="1" w:line="220" w:lineRule="auto"/>
        <w:rPr>
          <w:rFonts w:ascii="SimSun" w:hAnsi="SimSun" w:eastAsia="SimSun" w:cs="SimSun"/>
          <w:sz w:val="24"/>
          <w:szCs w:val="24"/>
        </w:rPr>
      </w:pPr>
      <w:r>
        <w:rPr>
          <w:rFonts w:ascii="SimSun" w:hAnsi="SimSun" w:eastAsia="SimSun" w:cs="SimSun"/>
          <w:sz w:val="24"/>
          <w:szCs w:val="24"/>
          <w:b/>
          <w:bCs/>
          <w:spacing w:val="1"/>
        </w:rPr>
        <w:t>5、员工</w:t>
      </w:r>
    </w:p>
    <w:p>
      <w:pPr>
        <w:ind w:right="53" w:firstLine="480"/>
        <w:spacing w:before="174" w:line="368" w:lineRule="auto"/>
        <w:rPr>
          <w:rFonts w:ascii="SimSun" w:hAnsi="SimSun" w:eastAsia="SimSun" w:cs="SimSun"/>
          <w:sz w:val="24"/>
          <w:szCs w:val="24"/>
        </w:rPr>
      </w:pPr>
      <w:r>
        <w:rPr>
          <w:rFonts w:ascii="SimSun" w:hAnsi="SimSun" w:eastAsia="SimSun" w:cs="SimSun"/>
          <w:sz w:val="24"/>
          <w:szCs w:val="24"/>
          <w:spacing w:val="4"/>
        </w:rPr>
        <w:t>上岗前需进行多次技能培训，同时应加强对环境意识的教育，进行工艺技</w:t>
      </w:r>
      <w:r>
        <w:rPr>
          <w:rFonts w:ascii="SimSun" w:hAnsi="SimSun" w:eastAsia="SimSun" w:cs="SimSun"/>
          <w:sz w:val="24"/>
          <w:szCs w:val="24"/>
          <w:spacing w:val="1"/>
        </w:rPr>
        <w:t xml:space="preserve"> </w:t>
      </w:r>
      <w:r>
        <w:rPr>
          <w:rFonts w:ascii="SimSun" w:hAnsi="SimSun" w:eastAsia="SimSun" w:cs="SimSun"/>
          <w:sz w:val="24"/>
          <w:szCs w:val="24"/>
          <w:spacing w:val="-1"/>
        </w:rPr>
        <w:t>能、生产规范培训，提高员工的工作能力和清洁生产意识。</w:t>
      </w:r>
    </w:p>
    <w:p>
      <w:pPr>
        <w:ind w:left="483"/>
        <w:spacing w:line="219" w:lineRule="auto"/>
        <w:rPr>
          <w:rFonts w:ascii="SimSun" w:hAnsi="SimSun" w:eastAsia="SimSun" w:cs="SimSun"/>
          <w:sz w:val="24"/>
          <w:szCs w:val="24"/>
        </w:rPr>
      </w:pPr>
      <w:r>
        <w:rPr>
          <w:rFonts w:ascii="SimSun" w:hAnsi="SimSun" w:eastAsia="SimSun" w:cs="SimSun"/>
          <w:sz w:val="24"/>
          <w:szCs w:val="24"/>
          <w:b/>
          <w:bCs/>
          <w:spacing w:val="-10"/>
        </w:rPr>
        <w:t>6、产</w:t>
      </w:r>
      <w:r>
        <w:rPr>
          <w:rFonts w:ascii="SimSun" w:hAnsi="SimSun" w:eastAsia="SimSun" w:cs="SimSun"/>
          <w:sz w:val="24"/>
          <w:szCs w:val="24"/>
          <w:spacing w:val="-34"/>
        </w:rPr>
        <w:t xml:space="preserve"> </w:t>
      </w:r>
      <w:r>
        <w:rPr>
          <w:rFonts w:ascii="SimSun" w:hAnsi="SimSun" w:eastAsia="SimSun" w:cs="SimSun"/>
          <w:sz w:val="24"/>
          <w:szCs w:val="24"/>
          <w:b/>
          <w:bCs/>
          <w:spacing w:val="-10"/>
        </w:rPr>
        <w:t>品</w:t>
      </w:r>
    </w:p>
    <w:p>
      <w:pPr>
        <w:ind w:left="480"/>
        <w:spacing w:before="122" w:line="212" w:lineRule="auto"/>
        <w:rPr>
          <w:rFonts w:ascii="Times New Roman" w:hAnsi="Times New Roman" w:eastAsia="Times New Roman" w:cs="Times New Roman"/>
          <w:sz w:val="24"/>
          <w:szCs w:val="24"/>
        </w:rPr>
      </w:pPr>
      <w:r>
        <w:rPr>
          <w:rFonts w:ascii="SimSun" w:hAnsi="SimSun" w:eastAsia="SimSun" w:cs="SimSun"/>
          <w:sz w:val="24"/>
          <w:szCs w:val="24"/>
          <w:spacing w:val="17"/>
        </w:rPr>
        <w:t>项目产品严格按《食品安全国家标准鲜(冻)畜、禽产品》</w:t>
      </w:r>
      <w:r>
        <w:rPr>
          <w:rFonts w:ascii="SimSun" w:hAnsi="SimSun" w:eastAsia="SimSun" w:cs="SimSun"/>
          <w:sz w:val="24"/>
          <w:szCs w:val="24"/>
          <w:spacing w:val="114"/>
        </w:rPr>
        <w:t xml:space="preserve"> </w:t>
      </w:r>
      <w:r>
        <w:rPr>
          <w:rFonts w:ascii="Times New Roman" w:hAnsi="Times New Roman" w:eastAsia="Times New Roman" w:cs="Times New Roman"/>
          <w:sz w:val="24"/>
          <w:szCs w:val="24"/>
          <w:spacing w:val="17"/>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17"/>
        </w:rPr>
        <w:t>2707-</w:t>
      </w:r>
    </w:p>
    <w:p>
      <w:pPr>
        <w:spacing w:before="231" w:line="219" w:lineRule="auto"/>
        <w:rPr>
          <w:rFonts w:ascii="SimSun" w:hAnsi="SimSun" w:eastAsia="SimSun" w:cs="SimSun"/>
          <w:sz w:val="24"/>
          <w:szCs w:val="24"/>
        </w:rPr>
      </w:pPr>
      <w:r>
        <w:rPr>
          <w:rFonts w:ascii="SimSun" w:hAnsi="SimSun" w:eastAsia="SimSun" w:cs="SimSun"/>
          <w:sz w:val="24"/>
          <w:szCs w:val="24"/>
          <w:spacing w:val="5"/>
        </w:rPr>
        <w:t>2016)等相关要求执行，严格保证产品质量。</w:t>
      </w:r>
    </w:p>
    <w:p>
      <w:pPr>
        <w:ind w:left="483"/>
        <w:spacing w:before="153" w:line="220" w:lineRule="auto"/>
        <w:rPr>
          <w:rFonts w:ascii="SimSun" w:hAnsi="SimSun" w:eastAsia="SimSun" w:cs="SimSun"/>
          <w:sz w:val="24"/>
          <w:szCs w:val="24"/>
        </w:rPr>
      </w:pPr>
      <w:r>
        <w:rPr>
          <w:rFonts w:ascii="SimSun" w:hAnsi="SimSun" w:eastAsia="SimSun" w:cs="SimSun"/>
          <w:sz w:val="24"/>
          <w:szCs w:val="24"/>
          <w:b/>
          <w:bCs/>
          <w:spacing w:val="-1"/>
        </w:rPr>
        <w:t>7、污染物治理</w:t>
      </w:r>
    </w:p>
    <w:p>
      <w:pPr>
        <w:ind w:left="603"/>
        <w:spacing w:before="194" w:line="220" w:lineRule="auto"/>
        <w:rPr>
          <w:rFonts w:ascii="SimSun" w:hAnsi="SimSun" w:eastAsia="SimSun" w:cs="SimSun"/>
          <w:sz w:val="24"/>
          <w:szCs w:val="24"/>
        </w:rPr>
      </w:pPr>
      <w:r>
        <w:rPr>
          <w:rFonts w:ascii="SimSun" w:hAnsi="SimSun" w:eastAsia="SimSun" w:cs="SimSun"/>
          <w:sz w:val="24"/>
          <w:szCs w:val="24"/>
          <w:b/>
          <w:bCs/>
          <w:spacing w:val="23"/>
        </w:rPr>
        <w:t>(1)废气</w:t>
      </w:r>
    </w:p>
    <w:p>
      <w:pPr>
        <w:ind w:right="34" w:firstLine="480"/>
        <w:spacing w:before="195" w:line="360" w:lineRule="auto"/>
        <w:jc w:val="both"/>
        <w:rPr>
          <w:rFonts w:ascii="SimSun" w:hAnsi="SimSun" w:eastAsia="SimSun" w:cs="SimSun"/>
          <w:sz w:val="24"/>
          <w:szCs w:val="24"/>
        </w:rPr>
      </w:pPr>
      <w:r>
        <w:rPr>
          <w:rFonts w:ascii="SimSun" w:hAnsi="SimSun" w:eastAsia="SimSun" w:cs="SimSun"/>
          <w:sz w:val="24"/>
          <w:szCs w:val="24"/>
          <w:spacing w:val="4"/>
        </w:rPr>
        <w:t>项目蒸汽发生器采用国内领先低氮燃烧技术，从源头上减少氮氧化物的排</w:t>
      </w:r>
      <w:r>
        <w:rPr>
          <w:rFonts w:ascii="SimSun" w:hAnsi="SimSun" w:eastAsia="SimSun" w:cs="SimSun"/>
          <w:sz w:val="24"/>
          <w:szCs w:val="24"/>
        </w:rPr>
        <w:t xml:space="preserve"> </w:t>
      </w:r>
      <w:r>
        <w:rPr>
          <w:rFonts w:ascii="SimSun" w:hAnsi="SimSun" w:eastAsia="SimSun" w:cs="SimSun"/>
          <w:sz w:val="24"/>
          <w:szCs w:val="24"/>
          <w:spacing w:val="4"/>
        </w:rPr>
        <w:t>放；生猪屠宰车间、待宰圈舍和肉牛屠宰车间、待宰圈舍产</w:t>
      </w:r>
      <w:r>
        <w:rPr>
          <w:rFonts w:ascii="SimSun" w:hAnsi="SimSun" w:eastAsia="SimSun" w:cs="SimSun"/>
          <w:sz w:val="24"/>
          <w:szCs w:val="24"/>
          <w:spacing w:val="3"/>
        </w:rPr>
        <w:t>生的恶臭拟集中收</w:t>
      </w:r>
      <w:r>
        <w:rPr>
          <w:rFonts w:ascii="SimSun" w:hAnsi="SimSun" w:eastAsia="SimSun" w:cs="SimSun"/>
          <w:sz w:val="24"/>
          <w:szCs w:val="24"/>
        </w:rPr>
        <w:t xml:space="preserve"> </w:t>
      </w:r>
      <w:r>
        <w:rPr>
          <w:rFonts w:ascii="SimSun" w:hAnsi="SimSun" w:eastAsia="SimSun" w:cs="SimSun"/>
          <w:sz w:val="24"/>
          <w:szCs w:val="24"/>
          <w:spacing w:val="1"/>
        </w:rPr>
        <w:t>集后，用喷淋+</w:t>
      </w:r>
      <w:r>
        <w:rPr>
          <w:rFonts w:ascii="SimSun" w:hAnsi="SimSun" w:eastAsia="SimSun" w:cs="SimSun"/>
          <w:sz w:val="24"/>
          <w:szCs w:val="24"/>
        </w:rPr>
        <w:t>UV</w:t>
      </w:r>
      <w:r>
        <w:rPr>
          <w:rFonts w:ascii="SimSun" w:hAnsi="SimSun" w:eastAsia="SimSun" w:cs="SimSun"/>
          <w:sz w:val="24"/>
          <w:szCs w:val="24"/>
          <w:spacing w:val="1"/>
        </w:rPr>
        <w:t xml:space="preserve"> 光解+活性炭除臭工艺进行处理；污水处理站</w:t>
      </w:r>
      <w:r>
        <w:rPr>
          <w:rFonts w:ascii="SimSun" w:hAnsi="SimSun" w:eastAsia="SimSun" w:cs="SimSun"/>
          <w:sz w:val="24"/>
          <w:szCs w:val="24"/>
        </w:rPr>
        <w:t>恶臭拟集中收集 </w:t>
      </w:r>
      <w:r>
        <w:rPr>
          <w:rFonts w:ascii="SimSun" w:hAnsi="SimSun" w:eastAsia="SimSun" w:cs="SimSun"/>
          <w:sz w:val="24"/>
          <w:szCs w:val="24"/>
        </w:rPr>
        <w:t>后，用喷淋+UV 光解+活性炭吸附处理工艺进行治理；食堂油烟拟设置油烟净化</w:t>
      </w:r>
      <w:r>
        <w:rPr>
          <w:rFonts w:ascii="SimSun" w:hAnsi="SimSun" w:eastAsia="SimSun" w:cs="SimSun"/>
          <w:sz w:val="24"/>
          <w:szCs w:val="24"/>
          <w:spacing w:val="9"/>
        </w:rPr>
        <w:t xml:space="preserve"> </w:t>
      </w:r>
      <w:r>
        <w:rPr>
          <w:rFonts w:ascii="SimSun" w:hAnsi="SimSun" w:eastAsia="SimSun" w:cs="SimSun"/>
          <w:sz w:val="24"/>
          <w:szCs w:val="24"/>
          <w:spacing w:val="4"/>
        </w:rPr>
        <w:t>装置，处理后引至楼顶排放，备用柴油发电机烟气经设备自带废气装置处理后</w:t>
      </w:r>
      <w:r>
        <w:rPr>
          <w:rFonts w:ascii="SimSun" w:hAnsi="SimSun" w:eastAsia="SimSun" w:cs="SimSun"/>
          <w:sz w:val="24"/>
          <w:szCs w:val="24"/>
        </w:rPr>
        <w:t xml:space="preserve"> </w:t>
      </w:r>
      <w:r>
        <w:rPr>
          <w:rFonts w:ascii="SimSun" w:hAnsi="SimSun" w:eastAsia="SimSun" w:cs="SimSun"/>
          <w:sz w:val="24"/>
          <w:szCs w:val="24"/>
          <w:spacing w:val="-1"/>
        </w:rPr>
        <w:t>引至屋顶排放。废气能得到有效治理且能实现达标排放，满足现行环保要求。</w:t>
      </w:r>
    </w:p>
    <w:p>
      <w:pPr>
        <w:ind w:left="603"/>
        <w:spacing w:line="219" w:lineRule="auto"/>
        <w:rPr>
          <w:rFonts w:ascii="SimSun" w:hAnsi="SimSun" w:eastAsia="SimSun" w:cs="SimSun"/>
          <w:sz w:val="24"/>
          <w:szCs w:val="24"/>
        </w:rPr>
      </w:pPr>
      <w:r>
        <w:rPr>
          <w:rFonts w:ascii="SimSun" w:hAnsi="SimSun" w:eastAsia="SimSun" w:cs="SimSun"/>
          <w:sz w:val="24"/>
          <w:szCs w:val="24"/>
          <w:b/>
          <w:bCs/>
          <w:spacing w:val="22"/>
        </w:rPr>
        <w:t>(2)废水</w:t>
      </w:r>
    </w:p>
    <w:p>
      <w:pPr>
        <w:ind w:right="44" w:firstLine="480"/>
        <w:spacing w:before="179" w:line="351" w:lineRule="auto"/>
        <w:jc w:val="both"/>
        <w:rPr>
          <w:rFonts w:ascii="SimSun" w:hAnsi="SimSun" w:eastAsia="SimSun" w:cs="SimSun"/>
          <w:sz w:val="24"/>
          <w:szCs w:val="24"/>
        </w:rPr>
      </w:pPr>
      <w:r>
        <w:rPr>
          <w:rFonts w:ascii="SimSun" w:hAnsi="SimSun" w:eastAsia="SimSun" w:cs="SimSun"/>
          <w:sz w:val="24"/>
          <w:szCs w:val="24"/>
          <w:spacing w:val="7"/>
        </w:rPr>
        <w:t>项目废水量排放指标为淡季4.16m³/t</w:t>
      </w:r>
      <w:r>
        <w:rPr>
          <w:rFonts w:ascii="SimSun" w:hAnsi="SimSun" w:eastAsia="SimSun" w:cs="SimSun"/>
          <w:sz w:val="24"/>
          <w:szCs w:val="24"/>
          <w:spacing w:val="-26"/>
        </w:rPr>
        <w:t xml:space="preserve"> </w:t>
      </w:r>
      <w:r>
        <w:rPr>
          <w:rFonts w:ascii="SimSun" w:hAnsi="SimSun" w:eastAsia="SimSun" w:cs="SimSun"/>
          <w:sz w:val="24"/>
          <w:szCs w:val="24"/>
          <w:spacing w:val="7"/>
        </w:rPr>
        <w:t>(活屠重)、旺季4</w:t>
      </w:r>
      <w:r>
        <w:rPr>
          <w:rFonts w:ascii="SimSun" w:hAnsi="SimSun" w:eastAsia="SimSun" w:cs="SimSun"/>
          <w:sz w:val="24"/>
          <w:szCs w:val="24"/>
          <w:spacing w:val="-70"/>
        </w:rPr>
        <w:t xml:space="preserve"> </w:t>
      </w:r>
      <w:r>
        <w:rPr>
          <w:rFonts w:ascii="SimSun" w:hAnsi="SimSun" w:eastAsia="SimSun" w:cs="SimSun"/>
          <w:sz w:val="24"/>
          <w:szCs w:val="24"/>
          <w:spacing w:val="7"/>
        </w:rPr>
        <w:t>.</w:t>
      </w:r>
      <w:r>
        <w:rPr>
          <w:rFonts w:ascii="SimSun" w:hAnsi="SimSun" w:eastAsia="SimSun" w:cs="SimSun"/>
          <w:sz w:val="24"/>
          <w:szCs w:val="24"/>
          <w:spacing w:val="-59"/>
        </w:rPr>
        <w:t xml:space="preserve"> </w:t>
      </w:r>
      <w:r>
        <w:rPr>
          <w:rFonts w:ascii="SimSun" w:hAnsi="SimSun" w:eastAsia="SimSun" w:cs="SimSun"/>
          <w:sz w:val="24"/>
          <w:szCs w:val="24"/>
          <w:spacing w:val="6"/>
        </w:rPr>
        <w:t>10m³/t</w:t>
      </w:r>
      <w:r>
        <w:rPr>
          <w:rFonts w:ascii="SimSun" w:hAnsi="SimSun" w:eastAsia="SimSun" w:cs="SimSun"/>
          <w:sz w:val="24"/>
          <w:szCs w:val="24"/>
          <w:spacing w:val="-26"/>
        </w:rPr>
        <w:t xml:space="preserve"> </w:t>
      </w:r>
      <w:r>
        <w:rPr>
          <w:rFonts w:ascii="SimSun" w:hAnsi="SimSun" w:eastAsia="SimSun" w:cs="SimSun"/>
          <w:sz w:val="24"/>
          <w:szCs w:val="24"/>
          <w:spacing w:val="6"/>
        </w:rPr>
        <w:t>(</w:t>
      </w:r>
      <w:r>
        <w:rPr>
          <w:rFonts w:ascii="SimSun" w:hAnsi="SimSun" w:eastAsia="SimSun" w:cs="SimSun"/>
          <w:sz w:val="24"/>
          <w:szCs w:val="24"/>
          <w:spacing w:val="-35"/>
        </w:rPr>
        <w:t xml:space="preserve"> </w:t>
      </w:r>
      <w:r>
        <w:rPr>
          <w:rFonts w:ascii="SimSun" w:hAnsi="SimSun" w:eastAsia="SimSun" w:cs="SimSun"/>
          <w:sz w:val="24"/>
          <w:szCs w:val="24"/>
          <w:spacing w:val="6"/>
        </w:rPr>
        <w:t>活</w:t>
      </w:r>
      <w:r>
        <w:rPr>
          <w:rFonts w:ascii="SimSun" w:hAnsi="SimSun" w:eastAsia="SimSun" w:cs="SimSun"/>
          <w:sz w:val="24"/>
          <w:szCs w:val="24"/>
          <w:spacing w:val="-37"/>
        </w:rPr>
        <w:t xml:space="preserve"> </w:t>
      </w:r>
      <w:r>
        <w:rPr>
          <w:rFonts w:ascii="SimSun" w:hAnsi="SimSun" w:eastAsia="SimSun" w:cs="SimSun"/>
          <w:sz w:val="24"/>
          <w:szCs w:val="24"/>
          <w:spacing w:val="6"/>
        </w:rPr>
        <w:t>屠</w:t>
      </w:r>
      <w:r>
        <w:rPr>
          <w:rFonts w:ascii="SimSun" w:hAnsi="SimSun" w:eastAsia="SimSun" w:cs="SimSun"/>
          <w:sz w:val="24"/>
          <w:szCs w:val="24"/>
        </w:rPr>
        <w:t xml:space="preserve"> </w:t>
      </w:r>
      <w:r>
        <w:rPr>
          <w:rFonts w:ascii="SimSun" w:hAnsi="SimSun" w:eastAsia="SimSun" w:cs="SimSun"/>
          <w:sz w:val="24"/>
          <w:szCs w:val="24"/>
          <w:spacing w:val="7"/>
        </w:rPr>
        <w:t>重),满足《肉类加工工业水污染物排放标准》</w:t>
      </w:r>
      <w:r>
        <w:rPr>
          <w:rFonts w:ascii="SimSun" w:hAnsi="SimSun" w:eastAsia="SimSun" w:cs="SimSun"/>
          <w:sz w:val="24"/>
          <w:szCs w:val="24"/>
          <w:spacing w:val="50"/>
        </w:rPr>
        <w:t xml:space="preserve"> </w:t>
      </w:r>
      <w:r>
        <w:rPr>
          <w:rFonts w:ascii="Times New Roman" w:hAnsi="Times New Roman" w:eastAsia="Times New Roman" w:cs="Times New Roman"/>
          <w:sz w:val="24"/>
          <w:szCs w:val="24"/>
          <w:spacing w:val="7"/>
        </w:rPr>
        <w:t>(</w:t>
      </w:r>
      <w:r>
        <w:rPr>
          <w:rFonts w:ascii="Times New Roman" w:hAnsi="Times New Roman" w:eastAsia="Times New Roman" w:cs="Times New Roman"/>
          <w:sz w:val="24"/>
          <w:szCs w:val="24"/>
        </w:rPr>
        <w:t>GB</w:t>
      </w:r>
      <w:r>
        <w:rPr>
          <w:rFonts w:ascii="Times New Roman" w:hAnsi="Times New Roman" w:eastAsia="Times New Roman" w:cs="Times New Roman"/>
          <w:sz w:val="24"/>
          <w:szCs w:val="24"/>
          <w:spacing w:val="7"/>
        </w:rPr>
        <w:t>13457-1992)   </w:t>
      </w:r>
      <w:r>
        <w:rPr>
          <w:rFonts w:ascii="Times New Roman" w:hAnsi="Times New Roman" w:eastAsia="Times New Roman" w:cs="Times New Roman"/>
          <w:sz w:val="24"/>
          <w:szCs w:val="24"/>
          <w:spacing w:val="6"/>
        </w:rPr>
        <w:t xml:space="preserve">  </w:t>
      </w:r>
      <w:r>
        <w:rPr>
          <w:rFonts w:ascii="SimSun" w:hAnsi="SimSun" w:eastAsia="SimSun" w:cs="SimSun"/>
          <w:sz w:val="24"/>
          <w:szCs w:val="24"/>
          <w:spacing w:val="6"/>
        </w:rPr>
        <w:t>(畜类屠宰</w:t>
      </w:r>
      <w:r>
        <w:rPr>
          <w:rFonts w:ascii="SimSun" w:hAnsi="SimSun" w:eastAsia="SimSun" w:cs="SimSun"/>
          <w:sz w:val="24"/>
          <w:szCs w:val="24"/>
        </w:rPr>
        <w:t xml:space="preserve"> </w:t>
      </w:r>
      <w:r>
        <w:rPr>
          <w:rFonts w:ascii="SimSun" w:hAnsi="SimSun" w:eastAsia="SimSun" w:cs="SimSun"/>
          <w:sz w:val="24"/>
          <w:szCs w:val="24"/>
          <w:spacing w:val="12"/>
        </w:rPr>
        <w:t>加工)废水排放量的指标值(6.5</w:t>
      </w:r>
      <w:r>
        <w:rPr>
          <w:rFonts w:ascii="Times New Roman" w:hAnsi="Times New Roman" w:eastAsia="Times New Roman" w:cs="Times New Roman"/>
          <w:sz w:val="24"/>
          <w:szCs w:val="24"/>
          <w:spacing w:val="12"/>
        </w:rPr>
        <w:t>m³/t</w:t>
      </w:r>
      <w:r>
        <w:rPr>
          <w:rFonts w:ascii="Times New Roman" w:hAnsi="Times New Roman" w:eastAsia="Times New Roman" w:cs="Times New Roman"/>
          <w:sz w:val="24"/>
          <w:szCs w:val="24"/>
          <w:spacing w:val="48"/>
          <w:w w:val="101"/>
        </w:rPr>
        <w:t xml:space="preserve"> </w:t>
      </w:r>
      <w:r>
        <w:rPr>
          <w:rFonts w:ascii="SimSun" w:hAnsi="SimSun" w:eastAsia="SimSun" w:cs="SimSun"/>
          <w:sz w:val="24"/>
          <w:szCs w:val="24"/>
          <w:spacing w:val="12"/>
        </w:rPr>
        <w:t>(活屠重))及相应浓度限值。</w:t>
      </w:r>
    </w:p>
    <w:p>
      <w:pPr>
        <w:ind w:left="603"/>
        <w:spacing w:before="38" w:line="220" w:lineRule="auto"/>
        <w:rPr>
          <w:rFonts w:ascii="SimSun" w:hAnsi="SimSun" w:eastAsia="SimSun" w:cs="SimSun"/>
          <w:sz w:val="24"/>
          <w:szCs w:val="24"/>
        </w:rPr>
      </w:pPr>
      <w:r>
        <w:rPr>
          <w:rFonts w:ascii="SimSun" w:hAnsi="SimSun" w:eastAsia="SimSun" w:cs="SimSun"/>
          <w:sz w:val="24"/>
          <w:szCs w:val="24"/>
          <w:b/>
          <w:bCs/>
          <w:spacing w:val="22"/>
        </w:rPr>
        <w:t>(3)固废</w:t>
      </w:r>
    </w:p>
    <w:p>
      <w:pPr>
        <w:ind w:right="49" w:firstLine="480"/>
        <w:spacing w:before="176" w:line="348" w:lineRule="auto"/>
        <w:rPr>
          <w:rFonts w:ascii="SimSun" w:hAnsi="SimSun" w:eastAsia="SimSun" w:cs="SimSun"/>
          <w:sz w:val="24"/>
          <w:szCs w:val="24"/>
        </w:rPr>
      </w:pPr>
      <w:r>
        <w:rPr>
          <w:rFonts w:ascii="SimSun" w:hAnsi="SimSun" w:eastAsia="SimSun" w:cs="SimSun"/>
          <w:sz w:val="24"/>
          <w:szCs w:val="24"/>
          <w:spacing w:val="4"/>
        </w:rPr>
        <w:t>猪皮毛、牛皮毛、板油、内脏、血等作为副产品经处理后外售；猪粪、牛 </w:t>
      </w:r>
      <w:r>
        <w:rPr>
          <w:rFonts w:ascii="SimSun" w:hAnsi="SimSun" w:eastAsia="SimSun" w:cs="SimSun"/>
          <w:sz w:val="24"/>
          <w:szCs w:val="24"/>
          <w:spacing w:val="-2"/>
        </w:rPr>
        <w:t>粪及肠胃容物等外售综合利用，节约资源，实现废物的减量化与资源化。</w:t>
      </w:r>
    </w:p>
    <w:p>
      <w:pPr>
        <w:ind w:left="480"/>
        <w:spacing w:before="25" w:line="219" w:lineRule="auto"/>
        <w:rPr>
          <w:rFonts w:ascii="SimSun" w:hAnsi="SimSun" w:eastAsia="SimSun" w:cs="SimSun"/>
          <w:sz w:val="24"/>
          <w:szCs w:val="24"/>
        </w:rPr>
      </w:pPr>
      <w:r>
        <w:rPr>
          <w:rFonts w:ascii="SimSun" w:hAnsi="SimSun" w:eastAsia="SimSun" w:cs="SimSun"/>
          <w:sz w:val="24"/>
          <w:szCs w:val="24"/>
          <w:spacing w:val="-3"/>
        </w:rPr>
        <w:t>综上，本项目符合清洁生产的相关要求。</w:t>
      </w:r>
    </w:p>
    <w:p>
      <w:pPr>
        <w:spacing w:line="219" w:lineRule="auto"/>
        <w:sectPr>
          <w:footerReference w:type="default" r:id="rId368"/>
          <w:pgSz w:w="11910" w:h="16840"/>
          <w:pgMar w:top="1207" w:right="1786" w:bottom="932" w:left="1779" w:header="915" w:footer="761" w:gutter="0"/>
        </w:sectPr>
        <w:rPr>
          <w:rFonts w:ascii="SimSun" w:hAnsi="SimSun" w:eastAsia="SimSun" w:cs="SimSun"/>
          <w:sz w:val="24"/>
          <w:szCs w:val="24"/>
        </w:rPr>
      </w:pPr>
    </w:p>
    <w:p>
      <w:pPr>
        <w:ind w:left="1068"/>
        <w:spacing w:before="307" w:line="221" w:lineRule="auto"/>
        <w:rPr>
          <w:rFonts w:ascii="SimHei" w:hAnsi="SimHei" w:eastAsia="SimHei" w:cs="SimHei"/>
          <w:sz w:val="27"/>
          <w:szCs w:val="27"/>
        </w:rPr>
      </w:pPr>
      <w:r>
        <w:rPr>
          <w:rFonts w:ascii="SimHei" w:hAnsi="SimHei" w:eastAsia="SimHei" w:cs="SimHei"/>
          <w:sz w:val="27"/>
          <w:szCs w:val="27"/>
          <w:b/>
          <w:bCs/>
        </w:rPr>
        <w:t>3.11.7本项目“三废”产生、排放情</w:t>
      </w:r>
      <w:r>
        <w:rPr>
          <w:rFonts w:ascii="SimHei" w:hAnsi="SimHei" w:eastAsia="SimHei" w:cs="SimHei"/>
          <w:sz w:val="27"/>
          <w:szCs w:val="27"/>
          <w:b/>
          <w:bCs/>
          <w:spacing w:val="-1"/>
        </w:rPr>
        <w:t>况统计表</w:t>
      </w:r>
    </w:p>
    <w:p>
      <w:pPr>
        <w:ind w:left="1574"/>
        <w:spacing w:before="210" w:line="219" w:lineRule="auto"/>
        <w:rPr>
          <w:rFonts w:ascii="SimSun" w:hAnsi="SimSun" w:eastAsia="SimSun" w:cs="SimSun"/>
          <w:sz w:val="23"/>
          <w:szCs w:val="23"/>
        </w:rPr>
      </w:pPr>
      <w:r>
        <w:rPr>
          <w:rFonts w:ascii="SimSun" w:hAnsi="SimSun" w:eastAsia="SimSun" w:cs="SimSun"/>
          <w:sz w:val="23"/>
          <w:szCs w:val="23"/>
          <w:spacing w:val="8"/>
        </w:rPr>
        <w:t>本项目运营期“三废”产生及排放情况见下表。</w:t>
      </w:r>
    </w:p>
    <w:p>
      <w:pPr>
        <w:ind w:left="4448"/>
        <w:spacing w:before="144" w:line="219" w:lineRule="auto"/>
        <w:rPr>
          <w:rFonts w:ascii="SimSun" w:hAnsi="SimSun" w:eastAsia="SimSun" w:cs="SimSun"/>
          <w:sz w:val="24"/>
          <w:szCs w:val="24"/>
        </w:rPr>
      </w:pPr>
      <w:r>
        <w:rPr>
          <w:rFonts w:ascii="SimSun" w:hAnsi="SimSun" w:eastAsia="SimSun" w:cs="SimSun"/>
          <w:sz w:val="24"/>
          <w:szCs w:val="24"/>
          <w:b/>
          <w:bCs/>
          <w:spacing w:val="-3"/>
        </w:rPr>
        <w:t>表3.11-37本项目主要污染物产生、治理及排放情况统计一览表</w:t>
      </w:r>
    </w:p>
    <w:p>
      <w:pPr>
        <w:spacing w:line="56" w:lineRule="auto"/>
        <w:rPr>
          <w:rFonts w:ascii="Arial"/>
          <w:sz w:val="2"/>
        </w:rPr>
      </w:pPr>
      <w:r>
        <w:rPr>
          <w:rFonts w:ascii="Arial"/>
          <w:sz w:val="2"/>
        </w:rPr>
      </w:r>
    </w:p>
    <w:tbl>
      <w:tblPr>
        <w:tblStyle w:val="TableNormal"/>
        <w:tblW w:w="153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05"/>
        <w:gridCol w:w="799"/>
        <w:gridCol w:w="880"/>
        <w:gridCol w:w="919"/>
        <w:gridCol w:w="2728"/>
        <w:gridCol w:w="5906"/>
        <w:gridCol w:w="220"/>
        <w:gridCol w:w="730"/>
        <w:gridCol w:w="2328"/>
        <w:gridCol w:w="495"/>
      </w:tblGrid>
      <w:tr>
        <w:trPr>
          <w:trHeight w:val="574" w:hRule="atLeast"/>
        </w:trPr>
        <w:tc>
          <w:tcPr>
            <w:shd w:val="clear" w:fill="BDBDBD"/>
            <w:tcW w:w="305" w:type="dxa"/>
            <w:vAlign w:val="top"/>
            <w:textDirection w:val="tbRlV"/>
          </w:tcPr>
          <w:p>
            <w:pPr>
              <w:pStyle w:val="TableText"/>
              <w:ind w:left="14"/>
              <w:spacing w:before="59" w:line="200" w:lineRule="auto"/>
              <w:rPr>
                <w:sz w:val="21"/>
                <w:szCs w:val="21"/>
              </w:rPr>
            </w:pPr>
            <w:r>
              <w:rPr>
                <w:sz w:val="21"/>
                <w:szCs w:val="21"/>
              </w:rPr>
              <w:t>种</w:t>
            </w:r>
            <w:r>
              <w:rPr>
                <w:sz w:val="21"/>
                <w:szCs w:val="21"/>
                <w:spacing w:val="9"/>
              </w:rPr>
              <w:t xml:space="preserve"> </w:t>
            </w:r>
            <w:r>
              <w:rPr>
                <w:sz w:val="21"/>
                <w:szCs w:val="21"/>
              </w:rPr>
              <w:t>类</w:t>
            </w:r>
          </w:p>
        </w:tc>
        <w:tc>
          <w:tcPr>
            <w:shd w:val="clear" w:fill="BDBDBD"/>
            <w:tcW w:w="799" w:type="dxa"/>
            <w:vAlign w:val="top"/>
          </w:tcPr>
          <w:p>
            <w:pPr>
              <w:pStyle w:val="TableText"/>
              <w:ind w:left="73"/>
              <w:spacing w:before="181" w:line="220" w:lineRule="auto"/>
              <w:rPr>
                <w:sz w:val="21"/>
                <w:szCs w:val="21"/>
              </w:rPr>
            </w:pPr>
            <w:r>
              <w:rPr>
                <w:sz w:val="21"/>
                <w:szCs w:val="21"/>
                <w:b/>
                <w:bCs/>
                <w:spacing w:val="-5"/>
              </w:rPr>
              <w:t>污染源</w:t>
            </w:r>
          </w:p>
        </w:tc>
        <w:tc>
          <w:tcPr>
            <w:shd w:val="clear" w:fill="BDBDBD"/>
            <w:tcW w:w="880" w:type="dxa"/>
            <w:vAlign w:val="top"/>
          </w:tcPr>
          <w:p>
            <w:pPr>
              <w:pStyle w:val="TableText"/>
              <w:ind w:left="114"/>
              <w:spacing w:before="181" w:line="220" w:lineRule="auto"/>
              <w:rPr>
                <w:sz w:val="21"/>
                <w:szCs w:val="21"/>
              </w:rPr>
            </w:pPr>
            <w:r>
              <w:rPr>
                <w:sz w:val="21"/>
                <w:szCs w:val="21"/>
                <w:b/>
                <w:bCs/>
                <w:spacing w:val="-5"/>
              </w:rPr>
              <w:t>污染物</w:t>
            </w:r>
          </w:p>
        </w:tc>
        <w:tc>
          <w:tcPr>
            <w:shd w:val="clear" w:fill="BDBDBD"/>
            <w:tcW w:w="3647" w:type="dxa"/>
            <w:vAlign w:val="top"/>
            <w:gridSpan w:val="2"/>
          </w:tcPr>
          <w:p>
            <w:pPr>
              <w:pStyle w:val="TableText"/>
              <w:ind w:left="874"/>
              <w:spacing w:before="180" w:line="219" w:lineRule="auto"/>
              <w:rPr>
                <w:sz w:val="21"/>
                <w:szCs w:val="21"/>
              </w:rPr>
            </w:pPr>
            <w:r>
              <w:rPr>
                <w:sz w:val="21"/>
                <w:szCs w:val="21"/>
                <w:b/>
                <w:bCs/>
                <w:spacing w:val="-4"/>
              </w:rPr>
              <w:t>处理前产生量及浓度</w:t>
            </w:r>
          </w:p>
        </w:tc>
        <w:tc>
          <w:tcPr>
            <w:shd w:val="clear" w:fill="BDBDBD"/>
            <w:tcW w:w="5906" w:type="dxa"/>
            <w:vAlign w:val="top"/>
          </w:tcPr>
          <w:p>
            <w:pPr>
              <w:pStyle w:val="TableText"/>
              <w:ind w:left="2526"/>
              <w:spacing w:before="181" w:line="221" w:lineRule="auto"/>
              <w:rPr>
                <w:sz w:val="21"/>
                <w:szCs w:val="21"/>
              </w:rPr>
            </w:pPr>
            <w:r>
              <w:rPr>
                <w:sz w:val="21"/>
                <w:szCs w:val="21"/>
                <w:b/>
                <w:bCs/>
                <w:spacing w:val="-5"/>
              </w:rPr>
              <w:t>处置方式</w:t>
            </w:r>
          </w:p>
        </w:tc>
        <w:tc>
          <w:tcPr>
            <w:shd w:val="clear" w:fill="BDBDBD"/>
            <w:tcW w:w="3278" w:type="dxa"/>
            <w:vAlign w:val="top"/>
            <w:gridSpan w:val="3"/>
          </w:tcPr>
          <w:p>
            <w:pPr>
              <w:pStyle w:val="TableText"/>
              <w:ind w:left="691"/>
              <w:spacing w:before="181" w:line="220" w:lineRule="auto"/>
              <w:rPr>
                <w:sz w:val="21"/>
                <w:szCs w:val="21"/>
              </w:rPr>
            </w:pPr>
            <w:r>
              <w:rPr>
                <w:sz w:val="21"/>
                <w:szCs w:val="21"/>
                <w:b/>
                <w:bCs/>
                <w:spacing w:val="-4"/>
              </w:rPr>
              <w:t>处理后排放量及浓度</w:t>
            </w:r>
          </w:p>
        </w:tc>
        <w:tc>
          <w:tcPr>
            <w:shd w:val="clear" w:fill="101010"/>
            <w:tcW w:w="495" w:type="dxa"/>
            <w:vAlign w:val="top"/>
          </w:tcPr>
          <w:p>
            <w:pPr>
              <w:pStyle w:val="TableText"/>
              <w:ind w:left="62" w:right="15" w:hanging="29"/>
              <w:spacing w:before="45" w:line="218" w:lineRule="auto"/>
              <w:rPr>
                <w:sz w:val="21"/>
                <w:szCs w:val="21"/>
              </w:rPr>
            </w:pPr>
            <w:r>
              <w:rPr>
                <w:sz w:val="21"/>
                <w:szCs w:val="21"/>
                <w:b/>
                <w:bCs/>
                <w:spacing w:val="-9"/>
              </w:rPr>
              <w:t>治理</w:t>
            </w:r>
            <w:r>
              <w:rPr>
                <w:sz w:val="21"/>
                <w:szCs w:val="21"/>
              </w:rPr>
              <w:t xml:space="preserve"> </w:t>
            </w:r>
            <w:r>
              <w:rPr>
                <w:sz w:val="21"/>
                <w:szCs w:val="21"/>
                <w:b/>
                <w:bCs/>
                <w:spacing w:val="-9"/>
              </w:rPr>
              <w:t>效果</w:t>
            </w:r>
          </w:p>
        </w:tc>
      </w:tr>
      <w:tr>
        <w:trPr>
          <w:trHeight w:val="260" w:hRule="atLeast"/>
        </w:trPr>
        <w:tc>
          <w:tcPr>
            <w:tcW w:w="305" w:type="dxa"/>
            <w:vAlign w:val="top"/>
            <w:vMerge w:val="restart"/>
            <w:textDirection w:val="tbRlV"/>
            <w:tcBorders>
              <w:bottom w:val="nil"/>
            </w:tcBorders>
          </w:tcPr>
          <w:p>
            <w:pPr>
              <w:pStyle w:val="TableText"/>
              <w:ind w:left="3231"/>
              <w:spacing w:before="60" w:line="200" w:lineRule="auto"/>
              <w:rPr>
                <w:sz w:val="21"/>
                <w:szCs w:val="21"/>
              </w:rPr>
            </w:pPr>
            <w:r>
              <w:rPr>
                <w:sz w:val="21"/>
                <w:szCs w:val="21"/>
              </w:rPr>
              <w:t>废</w:t>
            </w:r>
            <w:r>
              <w:rPr>
                <w:sz w:val="21"/>
                <w:szCs w:val="21"/>
                <w:spacing w:val="9"/>
              </w:rPr>
              <w:t xml:space="preserve"> </w:t>
            </w:r>
            <w:r>
              <w:rPr>
                <w:sz w:val="21"/>
                <w:szCs w:val="21"/>
              </w:rPr>
              <w:t>气</w:t>
            </w:r>
          </w:p>
        </w:tc>
        <w:tc>
          <w:tcPr>
            <w:tcW w:w="799" w:type="dxa"/>
            <w:vAlign w:val="top"/>
            <w:vMerge w:val="restart"/>
            <w:tcBorders>
              <w:bottom w:val="nil"/>
            </w:tcBorders>
          </w:tcPr>
          <w:p>
            <w:pPr>
              <w:spacing w:line="248" w:lineRule="auto"/>
              <w:rPr>
                <w:rFonts w:ascii="Arial"/>
                <w:sz w:val="21"/>
              </w:rPr>
            </w:pPr>
            <w:r/>
          </w:p>
          <w:p>
            <w:pPr>
              <w:pStyle w:val="TableText"/>
              <w:ind w:left="177" w:hanging="168"/>
              <w:spacing w:before="69" w:line="242" w:lineRule="auto"/>
              <w:rPr>
                <w:sz w:val="21"/>
                <w:szCs w:val="21"/>
              </w:rPr>
            </w:pPr>
            <w:r>
              <w:rPr>
                <w:sz w:val="21"/>
                <w:szCs w:val="21"/>
                <w:spacing w:val="-16"/>
              </w:rPr>
              <w:t>生猪待宰</w:t>
            </w:r>
            <w:r>
              <w:rPr>
                <w:sz w:val="21"/>
                <w:szCs w:val="21"/>
                <w:spacing w:val="2"/>
              </w:rPr>
              <w:t xml:space="preserve"> </w:t>
            </w:r>
            <w:r>
              <w:rPr>
                <w:sz w:val="21"/>
                <w:szCs w:val="21"/>
                <w:spacing w:val="3"/>
              </w:rPr>
              <w:t>圈舍</w:t>
            </w:r>
          </w:p>
        </w:tc>
        <w:tc>
          <w:tcPr>
            <w:tcW w:w="880" w:type="dxa"/>
            <w:vAlign w:val="top"/>
          </w:tcPr>
          <w:p>
            <w:pPr>
              <w:pStyle w:val="TableText"/>
              <w:ind w:left="221"/>
              <w:spacing w:before="63" w:line="164"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919" w:type="dxa"/>
            <w:vAlign w:val="top"/>
            <w:vMerge w:val="restart"/>
            <w:tcBorders>
              <w:bottom w:val="nil"/>
            </w:tcBorders>
          </w:tcPr>
          <w:p>
            <w:pPr>
              <w:pStyle w:val="TableText"/>
              <w:ind w:left="240"/>
              <w:spacing w:before="168" w:line="219" w:lineRule="auto"/>
              <w:rPr>
                <w:sz w:val="21"/>
                <w:szCs w:val="21"/>
              </w:rPr>
            </w:pPr>
            <w:r>
              <w:rPr>
                <w:sz w:val="21"/>
                <w:szCs w:val="21"/>
                <w:spacing w:val="4"/>
              </w:rPr>
              <w:t>淡季</w:t>
            </w:r>
          </w:p>
        </w:tc>
        <w:tc>
          <w:tcPr>
            <w:tcW w:w="2728" w:type="dxa"/>
            <w:vAlign w:val="top"/>
          </w:tcPr>
          <w:p>
            <w:pPr>
              <w:pStyle w:val="TableText"/>
              <w:ind w:left="252"/>
              <w:spacing w:before="22" w:line="200" w:lineRule="auto"/>
              <w:rPr>
                <w:sz w:val="21"/>
                <w:szCs w:val="21"/>
              </w:rPr>
            </w:pPr>
            <w:r>
              <w:rPr>
                <w:sz w:val="21"/>
                <w:szCs w:val="21"/>
                <w:spacing w:val="-1"/>
              </w:rPr>
              <w:t>0.4293t/a(4.42mg/m³)</w:t>
            </w:r>
          </w:p>
        </w:tc>
        <w:tc>
          <w:tcPr>
            <w:tcW w:w="5906" w:type="dxa"/>
            <w:vAlign w:val="top"/>
            <w:vMerge w:val="restart"/>
            <w:tcBorders>
              <w:bottom w:val="nil"/>
            </w:tcBorders>
          </w:tcPr>
          <w:p>
            <w:pPr>
              <w:pStyle w:val="TableText"/>
              <w:ind w:left="264"/>
              <w:spacing w:before="167" w:line="218" w:lineRule="auto"/>
              <w:rPr>
                <w:sz w:val="21"/>
                <w:szCs w:val="21"/>
              </w:rPr>
            </w:pPr>
            <w:r>
              <w:rPr>
                <w:sz w:val="21"/>
                <w:szCs w:val="21"/>
                <w:spacing w:val="4"/>
              </w:rPr>
              <w:t>负压收集(风量30000m³/h)+喷淋+</w:t>
            </w:r>
            <w:r>
              <w:rPr>
                <w:sz w:val="21"/>
                <w:szCs w:val="21"/>
              </w:rPr>
              <w:t>UV</w:t>
            </w:r>
            <w:r>
              <w:rPr>
                <w:sz w:val="21"/>
                <w:szCs w:val="21"/>
                <w:spacing w:val="4"/>
              </w:rPr>
              <w:t>光解</w:t>
            </w:r>
            <w:r>
              <w:rPr>
                <w:sz w:val="21"/>
                <w:szCs w:val="21"/>
                <w:spacing w:val="3"/>
              </w:rPr>
              <w:t>+活性炭吸附装置</w:t>
            </w:r>
          </w:p>
          <w:p>
            <w:pPr>
              <w:pStyle w:val="TableText"/>
              <w:ind w:left="534"/>
              <w:spacing w:before="44" w:line="219" w:lineRule="auto"/>
              <w:rPr>
                <w:sz w:val="21"/>
                <w:szCs w:val="21"/>
              </w:rPr>
            </w:pPr>
            <w:r>
              <w:rPr>
                <w:sz w:val="21"/>
                <w:szCs w:val="21"/>
              </w:rPr>
              <w:t>(TA001)+15m高排气筒(DA001);设置两道门密闭厂房，</w:t>
            </w:r>
          </w:p>
          <w:p>
            <w:pPr>
              <w:pStyle w:val="TableText"/>
              <w:ind w:left="264"/>
              <w:spacing w:before="39" w:line="219" w:lineRule="auto"/>
              <w:rPr>
                <w:sz w:val="21"/>
                <w:szCs w:val="21"/>
              </w:rPr>
            </w:pPr>
            <w:r>
              <w:rPr>
                <w:sz w:val="21"/>
                <w:szCs w:val="21"/>
              </w:rPr>
              <w:t>定期喷洒微生物除臭剂，采用干清粪工艺，干粪日产日清。</w:t>
            </w:r>
          </w:p>
        </w:tc>
        <w:tc>
          <w:tcPr>
            <w:tcW w:w="220" w:type="dxa"/>
            <w:vAlign w:val="top"/>
            <w:vMerge w:val="restart"/>
            <w:textDirection w:val="tbRlV"/>
            <w:tcBorders>
              <w:bottom w:val="nil"/>
            </w:tcBorders>
          </w:tcPr>
          <w:p>
            <w:pPr>
              <w:pStyle w:val="TableText"/>
              <w:spacing w:line="199" w:lineRule="auto"/>
              <w:rPr>
                <w:sz w:val="21"/>
                <w:szCs w:val="21"/>
              </w:rPr>
            </w:pPr>
            <w:r>
              <w:rPr>
                <w:sz w:val="21"/>
                <w:szCs w:val="21"/>
                <w:spacing w:val="27"/>
              </w:rPr>
              <w:t>淡季</w:t>
            </w:r>
          </w:p>
        </w:tc>
        <w:tc>
          <w:tcPr>
            <w:tcW w:w="730" w:type="dxa"/>
            <w:vAlign w:val="top"/>
          </w:tcPr>
          <w:p>
            <w:pPr>
              <w:pStyle w:val="TableText"/>
              <w:ind w:left="148"/>
              <w:spacing w:before="63" w:line="164"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2328" w:type="dxa"/>
            <w:vAlign w:val="top"/>
          </w:tcPr>
          <w:p>
            <w:pPr>
              <w:pStyle w:val="TableText"/>
              <w:ind w:left="58"/>
              <w:spacing w:before="22" w:line="200" w:lineRule="auto"/>
              <w:rPr>
                <w:sz w:val="21"/>
                <w:szCs w:val="21"/>
              </w:rPr>
            </w:pPr>
            <w:r>
              <w:rPr>
                <w:sz w:val="21"/>
                <w:szCs w:val="21"/>
                <w:spacing w:val="-1"/>
              </w:rPr>
              <w:t>0.0204t/a(0.21mg/m³)</w:t>
            </w:r>
          </w:p>
        </w:tc>
        <w:tc>
          <w:tcPr>
            <w:tcW w:w="495" w:type="dxa"/>
            <w:vAlign w:val="top"/>
            <w:vMerge w:val="restart"/>
            <w:tcBorders>
              <w:bottom w:val="nil"/>
            </w:tcBorders>
          </w:tcPr>
          <w:p>
            <w:pPr>
              <w:spacing w:line="250" w:lineRule="auto"/>
              <w:rPr>
                <w:rFonts w:ascii="Arial"/>
                <w:sz w:val="21"/>
              </w:rPr>
            </w:pPr>
            <w:r/>
          </w:p>
          <w:p>
            <w:pPr>
              <w:pStyle w:val="TableText"/>
              <w:ind w:left="30"/>
              <w:spacing w:before="68" w:line="220" w:lineRule="auto"/>
              <w:rPr>
                <w:sz w:val="21"/>
                <w:szCs w:val="21"/>
              </w:rPr>
            </w:pPr>
            <w:r>
              <w:rPr>
                <w:sz w:val="21"/>
                <w:szCs w:val="21"/>
                <w:spacing w:val="-2"/>
              </w:rPr>
              <w:t>达标</w:t>
            </w:r>
          </w:p>
          <w:p>
            <w:pPr>
              <w:pStyle w:val="TableText"/>
              <w:ind w:left="30"/>
              <w:spacing w:before="10" w:line="221" w:lineRule="auto"/>
              <w:rPr>
                <w:sz w:val="21"/>
                <w:szCs w:val="21"/>
              </w:rPr>
            </w:pPr>
            <w:r>
              <w:rPr>
                <w:sz w:val="21"/>
                <w:szCs w:val="21"/>
                <w:spacing w:val="-3"/>
              </w:rPr>
              <w:t>排放</w:t>
            </w:r>
          </w:p>
        </w:tc>
      </w:tr>
      <w:tr>
        <w:trPr>
          <w:trHeight w:val="270"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880" w:type="dxa"/>
            <w:vAlign w:val="top"/>
          </w:tcPr>
          <w:p>
            <w:pPr>
              <w:pStyle w:val="TableText"/>
              <w:ind w:left="221"/>
              <w:spacing w:before="63" w:line="173"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919" w:type="dxa"/>
            <w:vAlign w:val="top"/>
            <w:vMerge w:val="continue"/>
            <w:tcBorders>
              <w:top w:val="nil"/>
            </w:tcBorders>
          </w:tcPr>
          <w:p>
            <w:pPr>
              <w:rPr>
                <w:rFonts w:ascii="Arial"/>
                <w:sz w:val="21"/>
              </w:rPr>
            </w:pPr>
            <w:r/>
          </w:p>
        </w:tc>
        <w:tc>
          <w:tcPr>
            <w:tcW w:w="2728" w:type="dxa"/>
            <w:vAlign w:val="top"/>
          </w:tcPr>
          <w:p>
            <w:pPr>
              <w:pStyle w:val="TableText"/>
              <w:ind w:left="252"/>
              <w:spacing w:before="23" w:line="208" w:lineRule="auto"/>
              <w:rPr>
                <w:sz w:val="21"/>
                <w:szCs w:val="21"/>
              </w:rPr>
            </w:pPr>
            <w:r>
              <w:rPr>
                <w:sz w:val="21"/>
                <w:szCs w:val="21"/>
                <w:spacing w:val="-1"/>
              </w:rPr>
              <w:t>0.1593t/a(1.64mg/m³)</w:t>
            </w:r>
          </w:p>
        </w:tc>
        <w:tc>
          <w:tcPr>
            <w:tcW w:w="5906" w:type="dxa"/>
            <w:vAlign w:val="top"/>
            <w:vMerge w:val="continue"/>
            <w:tcBorders>
              <w:top w:val="nil"/>
              <w:bottom w:val="nil"/>
            </w:tcBorders>
          </w:tcPr>
          <w:p>
            <w:pPr>
              <w:rPr>
                <w:rFonts w:ascii="Arial"/>
                <w:sz w:val="21"/>
              </w:rPr>
            </w:pPr>
            <w:r/>
          </w:p>
        </w:tc>
        <w:tc>
          <w:tcPr>
            <w:tcW w:w="220" w:type="dxa"/>
            <w:vAlign w:val="top"/>
            <w:vMerge w:val="continue"/>
            <w:textDirection w:val="tbRlV"/>
            <w:tcBorders>
              <w:top w:val="nil"/>
            </w:tcBorders>
          </w:tcPr>
          <w:p>
            <w:pPr>
              <w:spacing w:line="210" w:lineRule="exact"/>
              <w:rPr>
                <w:rFonts w:ascii="Arial"/>
                <w:sz w:val="17"/>
              </w:rPr>
            </w:pPr>
            <w:r/>
          </w:p>
        </w:tc>
        <w:tc>
          <w:tcPr>
            <w:tcW w:w="730" w:type="dxa"/>
            <w:vAlign w:val="top"/>
          </w:tcPr>
          <w:p>
            <w:pPr>
              <w:pStyle w:val="TableText"/>
              <w:ind w:left="148"/>
              <w:spacing w:before="63" w:line="173"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2328" w:type="dxa"/>
            <w:vAlign w:val="top"/>
          </w:tcPr>
          <w:p>
            <w:pPr>
              <w:pStyle w:val="TableText"/>
              <w:ind w:left="58"/>
              <w:spacing w:before="23" w:line="208" w:lineRule="auto"/>
              <w:rPr>
                <w:sz w:val="21"/>
                <w:szCs w:val="21"/>
              </w:rPr>
            </w:pPr>
            <w:r>
              <w:rPr>
                <w:sz w:val="21"/>
                <w:szCs w:val="21"/>
                <w:spacing w:val="-1"/>
              </w:rPr>
              <w:t>0.0076t/a(0.08mg/m³)</w:t>
            </w:r>
          </w:p>
        </w:tc>
        <w:tc>
          <w:tcPr>
            <w:tcW w:w="495" w:type="dxa"/>
            <w:vAlign w:val="top"/>
            <w:vMerge w:val="continue"/>
            <w:tcBorders>
              <w:top w:val="nil"/>
              <w:bottom w:val="nil"/>
            </w:tcBorders>
          </w:tcPr>
          <w:p>
            <w:pPr>
              <w:rPr>
                <w:rFonts w:ascii="Arial"/>
                <w:sz w:val="21"/>
              </w:rPr>
            </w:pPr>
            <w:r/>
          </w:p>
        </w:tc>
      </w:tr>
      <w:tr>
        <w:trPr>
          <w:trHeight w:val="269"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880" w:type="dxa"/>
            <w:vAlign w:val="top"/>
          </w:tcPr>
          <w:p>
            <w:pPr>
              <w:pStyle w:val="TableText"/>
              <w:ind w:left="221"/>
              <w:spacing w:before="63" w:line="172"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919" w:type="dxa"/>
            <w:vAlign w:val="top"/>
            <w:vMerge w:val="restart"/>
            <w:tcBorders>
              <w:bottom w:val="nil"/>
            </w:tcBorders>
          </w:tcPr>
          <w:p>
            <w:pPr>
              <w:pStyle w:val="TableText"/>
              <w:ind w:left="240"/>
              <w:spacing w:before="169" w:line="219" w:lineRule="auto"/>
              <w:rPr>
                <w:sz w:val="21"/>
                <w:szCs w:val="21"/>
              </w:rPr>
            </w:pPr>
            <w:r>
              <w:rPr>
                <w:sz w:val="21"/>
                <w:szCs w:val="21"/>
                <w:spacing w:val="4"/>
              </w:rPr>
              <w:t>旺季</w:t>
            </w:r>
          </w:p>
        </w:tc>
        <w:tc>
          <w:tcPr>
            <w:tcW w:w="2728" w:type="dxa"/>
            <w:vAlign w:val="top"/>
          </w:tcPr>
          <w:p>
            <w:pPr>
              <w:pStyle w:val="TableText"/>
              <w:ind w:left="252"/>
              <w:spacing w:before="22" w:line="208" w:lineRule="auto"/>
              <w:rPr>
                <w:sz w:val="21"/>
                <w:szCs w:val="21"/>
              </w:rPr>
            </w:pPr>
            <w:r>
              <w:rPr>
                <w:sz w:val="21"/>
                <w:szCs w:val="21"/>
                <w:spacing w:val="-1"/>
              </w:rPr>
              <w:t>0.2066t/a(6.38mg/m³)</w:t>
            </w:r>
          </w:p>
        </w:tc>
        <w:tc>
          <w:tcPr>
            <w:tcW w:w="5906" w:type="dxa"/>
            <w:vAlign w:val="top"/>
            <w:vMerge w:val="continue"/>
            <w:tcBorders>
              <w:top w:val="nil"/>
              <w:bottom w:val="nil"/>
            </w:tcBorders>
          </w:tcPr>
          <w:p>
            <w:pPr>
              <w:rPr>
                <w:rFonts w:ascii="Arial"/>
                <w:sz w:val="21"/>
              </w:rPr>
            </w:pPr>
            <w:r/>
          </w:p>
        </w:tc>
        <w:tc>
          <w:tcPr>
            <w:tcW w:w="220" w:type="dxa"/>
            <w:vAlign w:val="top"/>
            <w:vMerge w:val="restart"/>
            <w:textDirection w:val="tbRlV"/>
            <w:tcBorders>
              <w:bottom w:val="nil"/>
            </w:tcBorders>
          </w:tcPr>
          <w:p>
            <w:pPr>
              <w:pStyle w:val="TableText"/>
              <w:spacing w:line="200" w:lineRule="auto"/>
              <w:rPr>
                <w:sz w:val="21"/>
                <w:szCs w:val="21"/>
              </w:rPr>
            </w:pPr>
            <w:r>
              <w:rPr>
                <w:sz w:val="21"/>
                <w:szCs w:val="21"/>
                <w:spacing w:val="23"/>
              </w:rPr>
              <w:t>旺季</w:t>
            </w:r>
          </w:p>
        </w:tc>
        <w:tc>
          <w:tcPr>
            <w:tcW w:w="730" w:type="dxa"/>
            <w:vAlign w:val="top"/>
          </w:tcPr>
          <w:p>
            <w:pPr>
              <w:pStyle w:val="TableText"/>
              <w:ind w:left="148"/>
              <w:spacing w:before="63" w:line="172"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2328" w:type="dxa"/>
            <w:vAlign w:val="top"/>
          </w:tcPr>
          <w:p>
            <w:pPr>
              <w:pStyle w:val="TableText"/>
              <w:ind w:left="58"/>
              <w:spacing w:before="22" w:line="208" w:lineRule="auto"/>
              <w:rPr>
                <w:sz w:val="21"/>
                <w:szCs w:val="21"/>
              </w:rPr>
            </w:pPr>
            <w:r>
              <w:rPr>
                <w:sz w:val="21"/>
                <w:szCs w:val="21"/>
                <w:spacing w:val="-1"/>
              </w:rPr>
              <w:t>0.0098t/a(0.30mg/m³)</w:t>
            </w:r>
          </w:p>
        </w:tc>
        <w:tc>
          <w:tcPr>
            <w:tcW w:w="495" w:type="dxa"/>
            <w:vAlign w:val="top"/>
            <w:vMerge w:val="continue"/>
            <w:tcBorders>
              <w:top w:val="nil"/>
              <w:bottom w:val="nil"/>
            </w:tcBorders>
          </w:tcPr>
          <w:p>
            <w:pPr>
              <w:rPr>
                <w:rFonts w:ascii="Arial"/>
                <w:sz w:val="21"/>
              </w:rPr>
            </w:pPr>
            <w:r/>
          </w:p>
        </w:tc>
      </w:tr>
      <w:tr>
        <w:trPr>
          <w:trHeight w:val="270"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continue"/>
            <w:tcBorders>
              <w:top w:val="nil"/>
            </w:tcBorders>
          </w:tcPr>
          <w:p>
            <w:pPr>
              <w:rPr>
                <w:rFonts w:ascii="Arial"/>
                <w:sz w:val="21"/>
              </w:rPr>
            </w:pPr>
            <w:r/>
          </w:p>
        </w:tc>
        <w:tc>
          <w:tcPr>
            <w:tcW w:w="880" w:type="dxa"/>
            <w:vAlign w:val="top"/>
          </w:tcPr>
          <w:p>
            <w:pPr>
              <w:pStyle w:val="TableText"/>
              <w:ind w:left="221"/>
              <w:spacing w:before="64" w:line="172"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919" w:type="dxa"/>
            <w:vAlign w:val="top"/>
            <w:vMerge w:val="continue"/>
            <w:tcBorders>
              <w:top w:val="nil"/>
            </w:tcBorders>
          </w:tcPr>
          <w:p>
            <w:pPr>
              <w:rPr>
                <w:rFonts w:ascii="Arial"/>
                <w:sz w:val="21"/>
              </w:rPr>
            </w:pPr>
            <w:r/>
          </w:p>
        </w:tc>
        <w:tc>
          <w:tcPr>
            <w:tcW w:w="2728" w:type="dxa"/>
            <w:vAlign w:val="top"/>
          </w:tcPr>
          <w:p>
            <w:pPr>
              <w:pStyle w:val="TableText"/>
              <w:ind w:left="252"/>
              <w:spacing w:before="23" w:line="208" w:lineRule="auto"/>
              <w:rPr>
                <w:sz w:val="21"/>
                <w:szCs w:val="21"/>
              </w:rPr>
            </w:pPr>
            <w:r>
              <w:rPr>
                <w:sz w:val="21"/>
                <w:szCs w:val="21"/>
                <w:spacing w:val="-1"/>
              </w:rPr>
              <w:t>0.0767t/a(2.37mg/m³)</w:t>
            </w:r>
          </w:p>
        </w:tc>
        <w:tc>
          <w:tcPr>
            <w:tcW w:w="5906" w:type="dxa"/>
            <w:vAlign w:val="top"/>
            <w:vMerge w:val="continue"/>
            <w:tcBorders>
              <w:top w:val="nil"/>
            </w:tcBorders>
          </w:tcPr>
          <w:p>
            <w:pPr>
              <w:rPr>
                <w:rFonts w:ascii="Arial"/>
                <w:sz w:val="21"/>
              </w:rPr>
            </w:pPr>
            <w:r/>
          </w:p>
        </w:tc>
        <w:tc>
          <w:tcPr>
            <w:tcW w:w="220" w:type="dxa"/>
            <w:vAlign w:val="top"/>
            <w:vMerge w:val="continue"/>
            <w:textDirection w:val="tbRlV"/>
            <w:tcBorders>
              <w:top w:val="nil"/>
            </w:tcBorders>
          </w:tcPr>
          <w:p>
            <w:pPr>
              <w:spacing w:line="210" w:lineRule="exact"/>
              <w:rPr>
                <w:rFonts w:ascii="Arial"/>
                <w:sz w:val="17"/>
              </w:rPr>
            </w:pPr>
            <w:r/>
          </w:p>
        </w:tc>
        <w:tc>
          <w:tcPr>
            <w:tcW w:w="730" w:type="dxa"/>
            <w:vAlign w:val="top"/>
          </w:tcPr>
          <w:p>
            <w:pPr>
              <w:pStyle w:val="TableText"/>
              <w:ind w:left="148"/>
              <w:spacing w:before="64" w:line="172"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2328" w:type="dxa"/>
            <w:vAlign w:val="top"/>
          </w:tcPr>
          <w:p>
            <w:pPr>
              <w:pStyle w:val="TableText"/>
              <w:ind w:left="58"/>
              <w:spacing w:before="23" w:line="208" w:lineRule="auto"/>
              <w:rPr>
                <w:sz w:val="21"/>
                <w:szCs w:val="21"/>
              </w:rPr>
            </w:pPr>
            <w:r>
              <w:rPr>
                <w:sz w:val="21"/>
                <w:szCs w:val="21"/>
                <w:spacing w:val="-1"/>
              </w:rPr>
              <w:t>0.0036t/a(0.11mg/m³)</w:t>
            </w:r>
          </w:p>
        </w:tc>
        <w:tc>
          <w:tcPr>
            <w:tcW w:w="495" w:type="dxa"/>
            <w:vAlign w:val="top"/>
            <w:vMerge w:val="continue"/>
            <w:tcBorders>
              <w:top w:val="nil"/>
            </w:tcBorders>
          </w:tcPr>
          <w:p>
            <w:pPr>
              <w:rPr>
                <w:rFonts w:ascii="Arial"/>
                <w:sz w:val="21"/>
              </w:rPr>
            </w:pPr>
            <w:r/>
          </w:p>
        </w:tc>
      </w:tr>
      <w:tr>
        <w:trPr>
          <w:trHeight w:val="269"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restart"/>
            <w:tcBorders>
              <w:bottom w:val="nil"/>
            </w:tcBorders>
          </w:tcPr>
          <w:p>
            <w:pPr>
              <w:spacing w:line="259" w:lineRule="auto"/>
              <w:rPr>
                <w:rFonts w:ascii="Arial"/>
                <w:sz w:val="21"/>
              </w:rPr>
            </w:pPr>
            <w:r/>
          </w:p>
          <w:p>
            <w:pPr>
              <w:pStyle w:val="TableText"/>
              <w:ind w:left="177" w:hanging="168"/>
              <w:spacing w:before="69" w:line="231" w:lineRule="auto"/>
              <w:rPr>
                <w:sz w:val="21"/>
                <w:szCs w:val="21"/>
              </w:rPr>
            </w:pPr>
            <w:r>
              <w:rPr>
                <w:sz w:val="21"/>
                <w:szCs w:val="21"/>
                <w:spacing w:val="-16"/>
              </w:rPr>
              <w:t>生猪屠宰</w:t>
            </w:r>
            <w:r>
              <w:rPr>
                <w:sz w:val="21"/>
                <w:szCs w:val="21"/>
                <w:spacing w:val="2"/>
              </w:rPr>
              <w:t xml:space="preserve"> </w:t>
            </w:r>
            <w:r>
              <w:rPr>
                <w:sz w:val="21"/>
                <w:szCs w:val="21"/>
                <w:spacing w:val="8"/>
              </w:rPr>
              <w:t>车间</w:t>
            </w:r>
          </w:p>
        </w:tc>
        <w:tc>
          <w:tcPr>
            <w:tcW w:w="880" w:type="dxa"/>
            <w:vAlign w:val="top"/>
          </w:tcPr>
          <w:p>
            <w:pPr>
              <w:pStyle w:val="TableText"/>
              <w:ind w:left="221"/>
              <w:spacing w:before="64" w:line="171"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919" w:type="dxa"/>
            <w:vAlign w:val="top"/>
            <w:vMerge w:val="restart"/>
            <w:tcBorders>
              <w:bottom w:val="nil"/>
            </w:tcBorders>
          </w:tcPr>
          <w:p>
            <w:pPr>
              <w:pStyle w:val="TableText"/>
              <w:ind w:left="240"/>
              <w:spacing w:before="179" w:line="219" w:lineRule="auto"/>
              <w:rPr>
                <w:sz w:val="21"/>
                <w:szCs w:val="21"/>
              </w:rPr>
            </w:pPr>
            <w:r>
              <w:rPr>
                <w:sz w:val="21"/>
                <w:szCs w:val="21"/>
                <w:spacing w:val="4"/>
              </w:rPr>
              <w:t>淡季</w:t>
            </w:r>
          </w:p>
        </w:tc>
        <w:tc>
          <w:tcPr>
            <w:tcW w:w="2728" w:type="dxa"/>
            <w:vAlign w:val="top"/>
          </w:tcPr>
          <w:p>
            <w:pPr>
              <w:pStyle w:val="TableText"/>
              <w:ind w:left="252"/>
              <w:spacing w:before="23" w:line="207" w:lineRule="auto"/>
              <w:rPr>
                <w:sz w:val="21"/>
                <w:szCs w:val="21"/>
              </w:rPr>
            </w:pPr>
            <w:r>
              <w:rPr>
                <w:sz w:val="21"/>
                <w:szCs w:val="21"/>
                <w:spacing w:val="-1"/>
              </w:rPr>
              <w:t>0.1458t/a(1.13mg/m³)</w:t>
            </w:r>
          </w:p>
        </w:tc>
        <w:tc>
          <w:tcPr>
            <w:tcW w:w="5906" w:type="dxa"/>
            <w:vAlign w:val="top"/>
            <w:vMerge w:val="restart"/>
            <w:tcBorders>
              <w:bottom w:val="nil"/>
            </w:tcBorders>
          </w:tcPr>
          <w:p>
            <w:pPr>
              <w:pStyle w:val="TableText"/>
              <w:ind w:left="264"/>
              <w:spacing w:before="198" w:line="218" w:lineRule="auto"/>
              <w:rPr>
                <w:sz w:val="21"/>
                <w:szCs w:val="21"/>
              </w:rPr>
            </w:pPr>
            <w:r>
              <w:rPr>
                <w:sz w:val="21"/>
                <w:szCs w:val="21"/>
                <w:spacing w:val="4"/>
              </w:rPr>
              <w:t>负压收集(风量60000m³/h)+喷淋+</w:t>
            </w:r>
            <w:r>
              <w:rPr>
                <w:sz w:val="21"/>
                <w:szCs w:val="21"/>
              </w:rPr>
              <w:t>UV</w:t>
            </w:r>
            <w:r>
              <w:rPr>
                <w:sz w:val="21"/>
                <w:szCs w:val="21"/>
                <w:spacing w:val="4"/>
              </w:rPr>
              <w:t>光解</w:t>
            </w:r>
            <w:r>
              <w:rPr>
                <w:sz w:val="21"/>
                <w:szCs w:val="21"/>
                <w:spacing w:val="3"/>
              </w:rPr>
              <w:t>+活性炭吸附装置</w:t>
            </w:r>
          </w:p>
          <w:p>
            <w:pPr>
              <w:pStyle w:val="TableText"/>
              <w:ind w:left="534"/>
              <w:spacing w:before="23" w:line="219" w:lineRule="auto"/>
              <w:rPr>
                <w:sz w:val="21"/>
                <w:szCs w:val="21"/>
              </w:rPr>
            </w:pPr>
            <w:r>
              <w:rPr>
                <w:sz w:val="21"/>
                <w:szCs w:val="21"/>
              </w:rPr>
              <w:t>(TA002)+15m高排气筒(DA002);设置两道门密闭厂房，</w:t>
            </w:r>
          </w:p>
          <w:p>
            <w:pPr>
              <w:pStyle w:val="TableText"/>
              <w:ind w:left="264"/>
              <w:spacing w:before="29" w:line="219" w:lineRule="auto"/>
              <w:rPr>
                <w:sz w:val="21"/>
                <w:szCs w:val="21"/>
              </w:rPr>
            </w:pPr>
            <w:r>
              <w:rPr>
                <w:sz w:val="21"/>
                <w:szCs w:val="21"/>
              </w:rPr>
              <w:t>定期喷洒微生物除臭剂，采用干清粪工艺，干粪日产日清。</w:t>
            </w:r>
          </w:p>
        </w:tc>
        <w:tc>
          <w:tcPr>
            <w:tcW w:w="220" w:type="dxa"/>
            <w:vAlign w:val="top"/>
            <w:vMerge w:val="restart"/>
            <w:textDirection w:val="tbRlV"/>
            <w:tcBorders>
              <w:bottom w:val="nil"/>
            </w:tcBorders>
          </w:tcPr>
          <w:p>
            <w:pPr>
              <w:pStyle w:val="TableText"/>
              <w:ind w:left="7"/>
              <w:spacing w:line="199" w:lineRule="auto"/>
              <w:rPr>
                <w:sz w:val="21"/>
                <w:szCs w:val="21"/>
              </w:rPr>
            </w:pPr>
            <w:r>
              <w:rPr>
                <w:sz w:val="21"/>
                <w:szCs w:val="21"/>
                <w:spacing w:val="26"/>
              </w:rPr>
              <w:t>淡季</w:t>
            </w:r>
          </w:p>
        </w:tc>
        <w:tc>
          <w:tcPr>
            <w:tcW w:w="730" w:type="dxa"/>
            <w:vAlign w:val="top"/>
          </w:tcPr>
          <w:p>
            <w:pPr>
              <w:pStyle w:val="TableText"/>
              <w:ind w:left="148"/>
              <w:spacing w:before="64" w:line="171"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2328" w:type="dxa"/>
            <w:vAlign w:val="top"/>
          </w:tcPr>
          <w:p>
            <w:pPr>
              <w:pStyle w:val="TableText"/>
              <w:ind w:left="58"/>
              <w:spacing w:before="23" w:line="207" w:lineRule="auto"/>
              <w:rPr>
                <w:sz w:val="21"/>
                <w:szCs w:val="21"/>
              </w:rPr>
            </w:pPr>
            <w:r>
              <w:rPr>
                <w:sz w:val="21"/>
                <w:szCs w:val="21"/>
                <w:spacing w:val="-1"/>
              </w:rPr>
              <w:t>0.0069t/a(0.05mg/m³)</w:t>
            </w:r>
          </w:p>
        </w:tc>
        <w:tc>
          <w:tcPr>
            <w:tcW w:w="495" w:type="dxa"/>
            <w:vAlign w:val="top"/>
            <w:vMerge w:val="restart"/>
            <w:tcBorders>
              <w:bottom w:val="nil"/>
            </w:tcBorders>
          </w:tcPr>
          <w:p>
            <w:pPr>
              <w:spacing w:line="261" w:lineRule="auto"/>
              <w:rPr>
                <w:rFonts w:ascii="Arial"/>
                <w:sz w:val="21"/>
              </w:rPr>
            </w:pPr>
            <w:r/>
          </w:p>
          <w:p>
            <w:pPr>
              <w:pStyle w:val="TableText"/>
              <w:ind w:left="30"/>
              <w:spacing w:before="68" w:line="220" w:lineRule="auto"/>
              <w:rPr>
                <w:sz w:val="21"/>
                <w:szCs w:val="21"/>
              </w:rPr>
            </w:pPr>
            <w:r>
              <w:rPr>
                <w:sz w:val="21"/>
                <w:szCs w:val="21"/>
                <w:spacing w:val="-2"/>
              </w:rPr>
              <w:t>达标</w:t>
            </w:r>
          </w:p>
          <w:p>
            <w:pPr>
              <w:pStyle w:val="TableText"/>
              <w:ind w:left="30"/>
              <w:spacing w:before="10" w:line="221" w:lineRule="auto"/>
              <w:rPr>
                <w:sz w:val="21"/>
                <w:szCs w:val="21"/>
              </w:rPr>
            </w:pPr>
            <w:r>
              <w:rPr>
                <w:sz w:val="21"/>
                <w:szCs w:val="21"/>
                <w:spacing w:val="-3"/>
              </w:rPr>
              <w:t>排放</w:t>
            </w:r>
          </w:p>
        </w:tc>
      </w:tr>
      <w:tr>
        <w:trPr>
          <w:trHeight w:val="289"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880" w:type="dxa"/>
            <w:vAlign w:val="top"/>
          </w:tcPr>
          <w:p>
            <w:pPr>
              <w:pStyle w:val="TableText"/>
              <w:ind w:left="221"/>
              <w:spacing w:before="75" w:line="179"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919" w:type="dxa"/>
            <w:vAlign w:val="top"/>
            <w:vMerge w:val="continue"/>
            <w:tcBorders>
              <w:top w:val="nil"/>
            </w:tcBorders>
          </w:tcPr>
          <w:p>
            <w:pPr>
              <w:rPr>
                <w:rFonts w:ascii="Arial"/>
                <w:sz w:val="21"/>
              </w:rPr>
            </w:pPr>
            <w:r/>
          </w:p>
        </w:tc>
        <w:tc>
          <w:tcPr>
            <w:tcW w:w="2728" w:type="dxa"/>
            <w:vAlign w:val="top"/>
          </w:tcPr>
          <w:p>
            <w:pPr>
              <w:pStyle w:val="TableText"/>
              <w:ind w:left="252"/>
              <w:spacing w:before="34" w:line="214" w:lineRule="auto"/>
              <w:rPr>
                <w:sz w:val="21"/>
                <w:szCs w:val="21"/>
              </w:rPr>
            </w:pPr>
            <w:r>
              <w:rPr>
                <w:sz w:val="21"/>
                <w:szCs w:val="21"/>
                <w:spacing w:val="-1"/>
              </w:rPr>
              <w:t>0.0405t/a(0.31mg/m³)</w:t>
            </w:r>
          </w:p>
        </w:tc>
        <w:tc>
          <w:tcPr>
            <w:tcW w:w="5906" w:type="dxa"/>
            <w:vAlign w:val="top"/>
            <w:vMerge w:val="continue"/>
            <w:tcBorders>
              <w:top w:val="nil"/>
              <w:bottom w:val="nil"/>
            </w:tcBorders>
          </w:tcPr>
          <w:p>
            <w:pPr>
              <w:rPr>
                <w:rFonts w:ascii="Arial"/>
                <w:sz w:val="21"/>
              </w:rPr>
            </w:pPr>
            <w:r/>
          </w:p>
        </w:tc>
        <w:tc>
          <w:tcPr>
            <w:tcW w:w="220" w:type="dxa"/>
            <w:vAlign w:val="top"/>
            <w:vMerge w:val="continue"/>
            <w:textDirection w:val="tbRlV"/>
            <w:tcBorders>
              <w:top w:val="nil"/>
            </w:tcBorders>
          </w:tcPr>
          <w:p>
            <w:pPr>
              <w:spacing w:line="210" w:lineRule="exact"/>
              <w:rPr>
                <w:rFonts w:ascii="Arial"/>
                <w:sz w:val="17"/>
              </w:rPr>
            </w:pPr>
            <w:r/>
          </w:p>
        </w:tc>
        <w:tc>
          <w:tcPr>
            <w:tcW w:w="730" w:type="dxa"/>
            <w:vAlign w:val="top"/>
          </w:tcPr>
          <w:p>
            <w:pPr>
              <w:pStyle w:val="TableText"/>
              <w:ind w:left="148"/>
              <w:spacing w:before="75" w:line="179"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2328" w:type="dxa"/>
            <w:vAlign w:val="top"/>
          </w:tcPr>
          <w:p>
            <w:pPr>
              <w:pStyle w:val="TableText"/>
              <w:ind w:left="58"/>
              <w:spacing w:before="34" w:line="214" w:lineRule="auto"/>
              <w:rPr>
                <w:sz w:val="21"/>
                <w:szCs w:val="21"/>
              </w:rPr>
            </w:pPr>
            <w:r>
              <w:rPr>
                <w:sz w:val="21"/>
                <w:szCs w:val="21"/>
                <w:spacing w:val="-1"/>
              </w:rPr>
              <w:t>0.0019t/a(0.02mg/m³)</w:t>
            </w:r>
          </w:p>
        </w:tc>
        <w:tc>
          <w:tcPr>
            <w:tcW w:w="495" w:type="dxa"/>
            <w:vAlign w:val="top"/>
            <w:vMerge w:val="continue"/>
            <w:tcBorders>
              <w:top w:val="nil"/>
              <w:bottom w:val="nil"/>
            </w:tcBorders>
          </w:tcPr>
          <w:p>
            <w:pPr>
              <w:rPr>
                <w:rFonts w:ascii="Arial"/>
                <w:sz w:val="21"/>
              </w:rPr>
            </w:pPr>
            <w:r/>
          </w:p>
        </w:tc>
      </w:tr>
      <w:tr>
        <w:trPr>
          <w:trHeight w:val="269"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880" w:type="dxa"/>
            <w:vAlign w:val="top"/>
          </w:tcPr>
          <w:p>
            <w:pPr>
              <w:pStyle w:val="TableText"/>
              <w:ind w:left="221"/>
              <w:spacing w:before="66" w:line="169"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919" w:type="dxa"/>
            <w:vAlign w:val="top"/>
            <w:vMerge w:val="restart"/>
            <w:tcBorders>
              <w:bottom w:val="nil"/>
            </w:tcBorders>
          </w:tcPr>
          <w:p>
            <w:pPr>
              <w:pStyle w:val="TableText"/>
              <w:ind w:left="240"/>
              <w:spacing w:before="172" w:line="219" w:lineRule="auto"/>
              <w:rPr>
                <w:sz w:val="21"/>
                <w:szCs w:val="21"/>
              </w:rPr>
            </w:pPr>
            <w:r>
              <w:rPr>
                <w:sz w:val="21"/>
                <w:szCs w:val="21"/>
                <w:spacing w:val="4"/>
              </w:rPr>
              <w:t>旺季</w:t>
            </w:r>
          </w:p>
        </w:tc>
        <w:tc>
          <w:tcPr>
            <w:tcW w:w="2728" w:type="dxa"/>
            <w:vAlign w:val="top"/>
          </w:tcPr>
          <w:p>
            <w:pPr>
              <w:pStyle w:val="TableText"/>
              <w:ind w:left="252"/>
              <w:spacing w:before="25" w:line="205" w:lineRule="auto"/>
              <w:rPr>
                <w:sz w:val="21"/>
                <w:szCs w:val="21"/>
              </w:rPr>
            </w:pPr>
            <w:r>
              <w:rPr>
                <w:sz w:val="21"/>
                <w:szCs w:val="21"/>
                <w:spacing w:val="-1"/>
              </w:rPr>
              <w:t>0.0702t/a(1.63mg/m³)</w:t>
            </w:r>
          </w:p>
        </w:tc>
        <w:tc>
          <w:tcPr>
            <w:tcW w:w="5906" w:type="dxa"/>
            <w:vAlign w:val="top"/>
            <w:vMerge w:val="continue"/>
            <w:tcBorders>
              <w:top w:val="nil"/>
              <w:bottom w:val="nil"/>
            </w:tcBorders>
          </w:tcPr>
          <w:p>
            <w:pPr>
              <w:rPr>
                <w:rFonts w:ascii="Arial"/>
                <w:sz w:val="21"/>
              </w:rPr>
            </w:pPr>
            <w:r/>
          </w:p>
        </w:tc>
        <w:tc>
          <w:tcPr>
            <w:tcW w:w="220" w:type="dxa"/>
            <w:vAlign w:val="top"/>
            <w:vMerge w:val="restart"/>
            <w:textDirection w:val="tbRlV"/>
            <w:tcBorders>
              <w:bottom w:val="nil"/>
            </w:tcBorders>
          </w:tcPr>
          <w:p>
            <w:pPr>
              <w:pStyle w:val="TableText"/>
              <w:spacing w:line="200" w:lineRule="auto"/>
              <w:rPr>
                <w:sz w:val="21"/>
                <w:szCs w:val="21"/>
              </w:rPr>
            </w:pPr>
            <w:r>
              <w:rPr>
                <w:sz w:val="21"/>
                <w:szCs w:val="21"/>
                <w:spacing w:val="29"/>
              </w:rPr>
              <w:t>旺季</w:t>
            </w:r>
          </w:p>
        </w:tc>
        <w:tc>
          <w:tcPr>
            <w:tcW w:w="730" w:type="dxa"/>
            <w:vAlign w:val="top"/>
          </w:tcPr>
          <w:p>
            <w:pPr>
              <w:pStyle w:val="TableText"/>
              <w:ind w:left="148"/>
              <w:spacing w:before="66" w:line="169"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2328" w:type="dxa"/>
            <w:vAlign w:val="top"/>
          </w:tcPr>
          <w:p>
            <w:pPr>
              <w:pStyle w:val="TableText"/>
              <w:ind w:left="58"/>
              <w:spacing w:before="25" w:line="205" w:lineRule="auto"/>
              <w:rPr>
                <w:sz w:val="21"/>
                <w:szCs w:val="21"/>
              </w:rPr>
            </w:pPr>
            <w:r>
              <w:rPr>
                <w:sz w:val="21"/>
                <w:szCs w:val="21"/>
                <w:spacing w:val="-1"/>
              </w:rPr>
              <w:t>0.0033t/a(0.08mg/m³)</w:t>
            </w:r>
          </w:p>
        </w:tc>
        <w:tc>
          <w:tcPr>
            <w:tcW w:w="495" w:type="dxa"/>
            <w:vAlign w:val="top"/>
            <w:vMerge w:val="continue"/>
            <w:tcBorders>
              <w:top w:val="nil"/>
              <w:bottom w:val="nil"/>
            </w:tcBorders>
          </w:tcPr>
          <w:p>
            <w:pPr>
              <w:rPr>
                <w:rFonts w:ascii="Arial"/>
                <w:sz w:val="21"/>
              </w:rPr>
            </w:pPr>
            <w:r/>
          </w:p>
        </w:tc>
      </w:tr>
      <w:tr>
        <w:trPr>
          <w:trHeight w:val="270"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continue"/>
            <w:tcBorders>
              <w:top w:val="nil"/>
            </w:tcBorders>
          </w:tcPr>
          <w:p>
            <w:pPr>
              <w:rPr>
                <w:rFonts w:ascii="Arial"/>
                <w:sz w:val="21"/>
              </w:rPr>
            </w:pPr>
            <w:r/>
          </w:p>
        </w:tc>
        <w:tc>
          <w:tcPr>
            <w:tcW w:w="880" w:type="dxa"/>
            <w:vAlign w:val="top"/>
          </w:tcPr>
          <w:p>
            <w:pPr>
              <w:pStyle w:val="TableText"/>
              <w:ind w:left="221"/>
              <w:spacing w:before="66" w:line="170"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919" w:type="dxa"/>
            <w:vAlign w:val="top"/>
            <w:vMerge w:val="continue"/>
            <w:tcBorders>
              <w:top w:val="nil"/>
            </w:tcBorders>
          </w:tcPr>
          <w:p>
            <w:pPr>
              <w:rPr>
                <w:rFonts w:ascii="Arial"/>
                <w:sz w:val="21"/>
              </w:rPr>
            </w:pPr>
            <w:r/>
          </w:p>
        </w:tc>
        <w:tc>
          <w:tcPr>
            <w:tcW w:w="2728" w:type="dxa"/>
            <w:vAlign w:val="top"/>
          </w:tcPr>
          <w:p>
            <w:pPr>
              <w:pStyle w:val="TableText"/>
              <w:ind w:left="252"/>
              <w:spacing w:before="26" w:line="205" w:lineRule="auto"/>
              <w:rPr>
                <w:sz w:val="21"/>
                <w:szCs w:val="21"/>
              </w:rPr>
            </w:pPr>
            <w:r>
              <w:rPr>
                <w:sz w:val="21"/>
                <w:szCs w:val="21"/>
                <w:spacing w:val="-1"/>
              </w:rPr>
              <w:t>0.0195t/a(0.45mg/m³)</w:t>
            </w:r>
          </w:p>
        </w:tc>
        <w:tc>
          <w:tcPr>
            <w:tcW w:w="5906" w:type="dxa"/>
            <w:vAlign w:val="top"/>
            <w:vMerge w:val="continue"/>
            <w:tcBorders>
              <w:top w:val="nil"/>
            </w:tcBorders>
          </w:tcPr>
          <w:p>
            <w:pPr>
              <w:rPr>
                <w:rFonts w:ascii="Arial"/>
                <w:sz w:val="21"/>
              </w:rPr>
            </w:pPr>
            <w:r/>
          </w:p>
        </w:tc>
        <w:tc>
          <w:tcPr>
            <w:tcW w:w="220" w:type="dxa"/>
            <w:vAlign w:val="top"/>
            <w:vMerge w:val="continue"/>
            <w:textDirection w:val="tbRlV"/>
            <w:tcBorders>
              <w:top w:val="nil"/>
            </w:tcBorders>
          </w:tcPr>
          <w:p>
            <w:pPr>
              <w:spacing w:line="210" w:lineRule="exact"/>
              <w:rPr>
                <w:rFonts w:ascii="Arial"/>
                <w:sz w:val="17"/>
              </w:rPr>
            </w:pPr>
            <w:r/>
          </w:p>
        </w:tc>
        <w:tc>
          <w:tcPr>
            <w:tcW w:w="730" w:type="dxa"/>
            <w:vAlign w:val="top"/>
          </w:tcPr>
          <w:p>
            <w:pPr>
              <w:pStyle w:val="TableText"/>
              <w:ind w:left="148"/>
              <w:spacing w:before="66" w:line="170"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2328" w:type="dxa"/>
            <w:vAlign w:val="top"/>
          </w:tcPr>
          <w:p>
            <w:pPr>
              <w:pStyle w:val="TableText"/>
              <w:ind w:left="58"/>
              <w:spacing w:before="26" w:line="205" w:lineRule="auto"/>
              <w:rPr>
                <w:sz w:val="21"/>
                <w:szCs w:val="21"/>
              </w:rPr>
            </w:pPr>
            <w:r>
              <w:rPr>
                <w:sz w:val="21"/>
                <w:szCs w:val="21"/>
                <w:spacing w:val="-1"/>
              </w:rPr>
              <w:t>0.0009t/a(0.02mg/m³)</w:t>
            </w:r>
          </w:p>
        </w:tc>
        <w:tc>
          <w:tcPr>
            <w:tcW w:w="495" w:type="dxa"/>
            <w:vAlign w:val="top"/>
            <w:vMerge w:val="continue"/>
            <w:tcBorders>
              <w:top w:val="nil"/>
            </w:tcBorders>
          </w:tcPr>
          <w:p>
            <w:pPr>
              <w:rPr>
                <w:rFonts w:ascii="Arial"/>
                <w:sz w:val="21"/>
              </w:rPr>
            </w:pPr>
            <w:r/>
          </w:p>
        </w:tc>
      </w:tr>
      <w:tr>
        <w:trPr>
          <w:trHeight w:val="270"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restart"/>
            <w:tcBorders>
              <w:bottom w:val="nil"/>
            </w:tcBorders>
          </w:tcPr>
          <w:p>
            <w:pPr>
              <w:pStyle w:val="TableText"/>
              <w:spacing w:before="193" w:line="219" w:lineRule="auto"/>
              <w:jc w:val="right"/>
              <w:rPr>
                <w:sz w:val="21"/>
                <w:szCs w:val="21"/>
              </w:rPr>
            </w:pPr>
            <w:r>
              <w:rPr>
                <w:sz w:val="21"/>
                <w:szCs w:val="21"/>
                <w:spacing w:val="-16"/>
              </w:rPr>
              <w:t>肉牛待宰</w:t>
            </w:r>
          </w:p>
          <w:p>
            <w:pPr>
              <w:pStyle w:val="TableText"/>
              <w:ind w:left="69" w:hanging="60"/>
              <w:spacing w:before="2" w:line="256" w:lineRule="auto"/>
              <w:rPr>
                <w:sz w:val="21"/>
                <w:szCs w:val="21"/>
              </w:rPr>
            </w:pPr>
            <w:r>
              <w:rPr>
                <w:sz w:val="21"/>
                <w:szCs w:val="21"/>
                <w:spacing w:val="-18"/>
              </w:rPr>
              <w:t>圈舍</w:t>
            </w:r>
            <w:r>
              <w:rPr>
                <w:sz w:val="21"/>
                <w:szCs w:val="21"/>
                <w:spacing w:val="-17"/>
              </w:rPr>
              <w:t>、</w:t>
            </w:r>
            <w:r>
              <w:rPr>
                <w:sz w:val="21"/>
                <w:szCs w:val="21"/>
                <w:spacing w:val="-11"/>
              </w:rPr>
              <w:t>屠</w:t>
            </w:r>
            <w:r>
              <w:rPr>
                <w:sz w:val="21"/>
                <w:szCs w:val="21"/>
                <w:spacing w:val="2"/>
              </w:rPr>
              <w:t xml:space="preserve"> </w:t>
            </w:r>
            <w:r>
              <w:rPr>
                <w:sz w:val="21"/>
                <w:szCs w:val="21"/>
                <w:spacing w:val="6"/>
              </w:rPr>
              <w:t>宰车间</w:t>
            </w:r>
          </w:p>
        </w:tc>
        <w:tc>
          <w:tcPr>
            <w:tcW w:w="880" w:type="dxa"/>
            <w:vAlign w:val="top"/>
          </w:tcPr>
          <w:p>
            <w:pPr>
              <w:pStyle w:val="TableText"/>
              <w:ind w:left="221"/>
              <w:spacing w:before="67" w:line="169"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919" w:type="dxa"/>
            <w:vAlign w:val="top"/>
            <w:vMerge w:val="restart"/>
            <w:tcBorders>
              <w:bottom w:val="nil"/>
            </w:tcBorders>
          </w:tcPr>
          <w:p>
            <w:pPr>
              <w:pStyle w:val="TableText"/>
              <w:ind w:left="240"/>
              <w:spacing w:before="172" w:line="219" w:lineRule="auto"/>
              <w:rPr>
                <w:sz w:val="21"/>
                <w:szCs w:val="21"/>
              </w:rPr>
            </w:pPr>
            <w:r>
              <w:rPr>
                <w:sz w:val="21"/>
                <w:szCs w:val="21"/>
                <w:spacing w:val="4"/>
              </w:rPr>
              <w:t>淡季</w:t>
            </w:r>
          </w:p>
        </w:tc>
        <w:tc>
          <w:tcPr>
            <w:tcW w:w="2728" w:type="dxa"/>
            <w:vAlign w:val="top"/>
          </w:tcPr>
          <w:p>
            <w:pPr>
              <w:pStyle w:val="TableText"/>
              <w:ind w:left="252"/>
              <w:spacing w:before="26" w:line="205" w:lineRule="auto"/>
              <w:rPr>
                <w:sz w:val="21"/>
                <w:szCs w:val="21"/>
              </w:rPr>
            </w:pPr>
            <w:r>
              <w:rPr>
                <w:sz w:val="21"/>
                <w:szCs w:val="21"/>
                <w:spacing w:val="-1"/>
              </w:rPr>
              <w:t>0.2862t/a(1.63mg/m³)</w:t>
            </w:r>
          </w:p>
        </w:tc>
        <w:tc>
          <w:tcPr>
            <w:tcW w:w="5906" w:type="dxa"/>
            <w:vAlign w:val="top"/>
            <w:vMerge w:val="restart"/>
            <w:tcBorders>
              <w:bottom w:val="nil"/>
            </w:tcBorders>
          </w:tcPr>
          <w:p>
            <w:pPr>
              <w:pStyle w:val="TableText"/>
              <w:ind w:left="264"/>
              <w:spacing w:before="181" w:line="218" w:lineRule="auto"/>
              <w:rPr>
                <w:sz w:val="21"/>
                <w:szCs w:val="21"/>
              </w:rPr>
            </w:pPr>
            <w:r>
              <w:rPr>
                <w:sz w:val="21"/>
                <w:szCs w:val="21"/>
                <w:spacing w:val="4"/>
              </w:rPr>
              <w:t>负压收集(风量65000m³/h)+喷淋+</w:t>
            </w:r>
            <w:r>
              <w:rPr>
                <w:sz w:val="21"/>
                <w:szCs w:val="21"/>
              </w:rPr>
              <w:t>UV</w:t>
            </w:r>
            <w:r>
              <w:rPr>
                <w:sz w:val="21"/>
                <w:szCs w:val="21"/>
                <w:spacing w:val="4"/>
              </w:rPr>
              <w:t>光解</w:t>
            </w:r>
            <w:r>
              <w:rPr>
                <w:sz w:val="21"/>
                <w:szCs w:val="21"/>
                <w:spacing w:val="3"/>
              </w:rPr>
              <w:t>+活性炭吸附装置</w:t>
            </w:r>
          </w:p>
          <w:p>
            <w:pPr>
              <w:pStyle w:val="TableText"/>
              <w:ind w:left="534"/>
              <w:spacing w:before="34" w:line="219" w:lineRule="auto"/>
              <w:rPr>
                <w:sz w:val="21"/>
                <w:szCs w:val="21"/>
              </w:rPr>
            </w:pPr>
            <w:r>
              <w:rPr>
                <w:sz w:val="21"/>
                <w:szCs w:val="21"/>
              </w:rPr>
              <w:t>(TA003)+15m高排气筒(DA003);设置两道门密闭厂房，</w:t>
            </w:r>
          </w:p>
          <w:p>
            <w:pPr>
              <w:pStyle w:val="TableText"/>
              <w:ind w:left="264"/>
              <w:spacing w:before="29" w:line="219" w:lineRule="auto"/>
              <w:rPr>
                <w:sz w:val="21"/>
                <w:szCs w:val="21"/>
              </w:rPr>
            </w:pPr>
            <w:r>
              <w:rPr>
                <w:sz w:val="21"/>
                <w:szCs w:val="21"/>
              </w:rPr>
              <w:t>定期喷洒微生物除臭剂，采用干清粪工艺，干粪日产日清。</w:t>
            </w:r>
          </w:p>
        </w:tc>
        <w:tc>
          <w:tcPr>
            <w:tcW w:w="220" w:type="dxa"/>
            <w:vAlign w:val="top"/>
            <w:vMerge w:val="restart"/>
            <w:textDirection w:val="tbRlV"/>
            <w:tcBorders>
              <w:bottom w:val="nil"/>
            </w:tcBorders>
          </w:tcPr>
          <w:p>
            <w:pPr>
              <w:pStyle w:val="TableText"/>
              <w:ind w:left="10"/>
              <w:spacing w:line="199" w:lineRule="auto"/>
              <w:rPr>
                <w:sz w:val="21"/>
                <w:szCs w:val="21"/>
              </w:rPr>
            </w:pPr>
            <w:r>
              <w:rPr>
                <w:sz w:val="21"/>
                <w:szCs w:val="21"/>
                <w:spacing w:val="16"/>
              </w:rPr>
              <w:t>淡季</w:t>
            </w:r>
          </w:p>
        </w:tc>
        <w:tc>
          <w:tcPr>
            <w:tcW w:w="730" w:type="dxa"/>
            <w:vAlign w:val="top"/>
          </w:tcPr>
          <w:p>
            <w:pPr>
              <w:pStyle w:val="TableText"/>
              <w:ind w:left="148"/>
              <w:spacing w:before="67" w:line="169"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2328" w:type="dxa"/>
            <w:vAlign w:val="top"/>
          </w:tcPr>
          <w:p>
            <w:pPr>
              <w:pStyle w:val="TableText"/>
              <w:ind w:left="58"/>
              <w:spacing w:before="26" w:line="205" w:lineRule="auto"/>
              <w:rPr>
                <w:sz w:val="21"/>
                <w:szCs w:val="21"/>
              </w:rPr>
            </w:pPr>
            <w:r>
              <w:rPr>
                <w:sz w:val="21"/>
                <w:szCs w:val="21"/>
                <w:spacing w:val="-1"/>
              </w:rPr>
              <w:t>0.0136t/a(0.08mg/m³)</w:t>
            </w:r>
          </w:p>
        </w:tc>
        <w:tc>
          <w:tcPr>
            <w:tcW w:w="495" w:type="dxa"/>
            <w:vAlign w:val="top"/>
            <w:vMerge w:val="restart"/>
            <w:tcBorders>
              <w:bottom w:val="nil"/>
            </w:tcBorders>
          </w:tcPr>
          <w:p>
            <w:pPr>
              <w:pStyle w:val="TableText"/>
              <w:ind w:left="50" w:right="23" w:hanging="20"/>
              <w:spacing w:before="303" w:line="241" w:lineRule="auto"/>
              <w:rPr>
                <w:sz w:val="21"/>
                <w:szCs w:val="21"/>
              </w:rPr>
            </w:pPr>
            <w:r>
              <w:rPr>
                <w:sz w:val="21"/>
                <w:szCs w:val="21"/>
                <w:spacing w:val="-4"/>
              </w:rPr>
              <w:t>达标</w:t>
            </w:r>
            <w:r>
              <w:rPr>
                <w:sz w:val="21"/>
                <w:szCs w:val="21"/>
              </w:rPr>
              <w:t xml:space="preserve"> </w:t>
            </w:r>
            <w:r>
              <w:rPr>
                <w:sz w:val="21"/>
                <w:szCs w:val="21"/>
                <w:spacing w:val="-5"/>
              </w:rPr>
              <w:t>排放</w:t>
            </w:r>
          </w:p>
        </w:tc>
      </w:tr>
      <w:tr>
        <w:trPr>
          <w:trHeight w:val="269"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880" w:type="dxa"/>
            <w:vAlign w:val="top"/>
          </w:tcPr>
          <w:p>
            <w:pPr>
              <w:pStyle w:val="TableText"/>
              <w:ind w:left="221"/>
              <w:spacing w:before="66" w:line="169" w:lineRule="auto"/>
              <w:rPr>
                <w:sz w:val="21"/>
                <w:szCs w:val="21"/>
              </w:rPr>
            </w:pPr>
            <w:r>
              <w:rPr>
                <w:sz w:val="21"/>
                <w:szCs w:val="21"/>
                <w:color w:val="403040"/>
                <w:spacing w:val="-2"/>
              </w:rPr>
              <w:t>H</w:t>
            </w:r>
            <w:r>
              <w:rPr>
                <w:rFonts w:ascii="Calibri" w:hAnsi="Calibri" w:eastAsia="Calibri" w:cs="Calibri"/>
                <w:sz w:val="21"/>
                <w:szCs w:val="21"/>
                <w:color w:val="403040"/>
                <w:spacing w:val="-2"/>
              </w:rPr>
              <w:t>₂</w:t>
            </w:r>
            <w:r>
              <w:rPr>
                <w:sz w:val="21"/>
                <w:szCs w:val="21"/>
                <w:color w:val="403040"/>
                <w:spacing w:val="-2"/>
              </w:rPr>
              <w:t>S</w:t>
            </w:r>
          </w:p>
        </w:tc>
        <w:tc>
          <w:tcPr>
            <w:tcW w:w="919" w:type="dxa"/>
            <w:vAlign w:val="top"/>
            <w:vMerge w:val="continue"/>
            <w:tcBorders>
              <w:top w:val="nil"/>
            </w:tcBorders>
          </w:tcPr>
          <w:p>
            <w:pPr>
              <w:rPr>
                <w:rFonts w:ascii="Arial"/>
                <w:sz w:val="21"/>
              </w:rPr>
            </w:pPr>
            <w:r/>
          </w:p>
        </w:tc>
        <w:tc>
          <w:tcPr>
            <w:tcW w:w="2728" w:type="dxa"/>
            <w:vAlign w:val="top"/>
          </w:tcPr>
          <w:p>
            <w:pPr>
              <w:pStyle w:val="TableText"/>
              <w:ind w:left="252"/>
              <w:spacing w:before="26" w:line="204" w:lineRule="auto"/>
              <w:rPr>
                <w:sz w:val="21"/>
                <w:szCs w:val="21"/>
              </w:rPr>
            </w:pPr>
            <w:r>
              <w:rPr>
                <w:sz w:val="21"/>
                <w:szCs w:val="21"/>
                <w:spacing w:val="-1"/>
              </w:rPr>
              <w:t>0.0183t/a(0.10mg/m³)</w:t>
            </w:r>
          </w:p>
        </w:tc>
        <w:tc>
          <w:tcPr>
            <w:tcW w:w="5906" w:type="dxa"/>
            <w:vAlign w:val="top"/>
            <w:vMerge w:val="continue"/>
            <w:tcBorders>
              <w:top w:val="nil"/>
              <w:bottom w:val="nil"/>
            </w:tcBorders>
          </w:tcPr>
          <w:p>
            <w:pPr>
              <w:rPr>
                <w:rFonts w:ascii="Arial"/>
                <w:sz w:val="21"/>
              </w:rPr>
            </w:pPr>
            <w:r/>
          </w:p>
        </w:tc>
        <w:tc>
          <w:tcPr>
            <w:tcW w:w="220" w:type="dxa"/>
            <w:vAlign w:val="top"/>
            <w:vMerge w:val="continue"/>
            <w:textDirection w:val="tbRlV"/>
            <w:tcBorders>
              <w:top w:val="nil"/>
            </w:tcBorders>
          </w:tcPr>
          <w:p>
            <w:pPr>
              <w:spacing w:line="210" w:lineRule="exact"/>
              <w:rPr>
                <w:rFonts w:ascii="Arial"/>
                <w:sz w:val="17"/>
              </w:rPr>
            </w:pPr>
            <w:r/>
          </w:p>
        </w:tc>
        <w:tc>
          <w:tcPr>
            <w:tcW w:w="730" w:type="dxa"/>
            <w:vAlign w:val="top"/>
          </w:tcPr>
          <w:p>
            <w:pPr>
              <w:pStyle w:val="TableText"/>
              <w:ind w:left="148"/>
              <w:spacing w:before="66" w:line="169"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2328" w:type="dxa"/>
            <w:vAlign w:val="top"/>
          </w:tcPr>
          <w:p>
            <w:pPr>
              <w:pStyle w:val="TableText"/>
              <w:ind w:left="18"/>
              <w:spacing w:before="26" w:line="204" w:lineRule="auto"/>
              <w:rPr>
                <w:sz w:val="21"/>
                <w:szCs w:val="21"/>
              </w:rPr>
            </w:pPr>
            <w:r>
              <w:rPr>
                <w:sz w:val="21"/>
                <w:szCs w:val="21"/>
                <w:spacing w:val="-1"/>
              </w:rPr>
              <w:t>0.0009t/a(0.005mg/m³)</w:t>
            </w:r>
          </w:p>
        </w:tc>
        <w:tc>
          <w:tcPr>
            <w:tcW w:w="495" w:type="dxa"/>
            <w:vAlign w:val="top"/>
            <w:vMerge w:val="continue"/>
            <w:tcBorders>
              <w:top w:val="nil"/>
              <w:bottom w:val="nil"/>
            </w:tcBorders>
          </w:tcPr>
          <w:p>
            <w:pPr>
              <w:rPr>
                <w:rFonts w:ascii="Arial"/>
                <w:sz w:val="21"/>
              </w:rPr>
            </w:pPr>
            <w:r/>
          </w:p>
        </w:tc>
      </w:tr>
      <w:tr>
        <w:trPr>
          <w:trHeight w:val="270"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880" w:type="dxa"/>
            <w:vAlign w:val="top"/>
          </w:tcPr>
          <w:p>
            <w:pPr>
              <w:pStyle w:val="TableText"/>
              <w:ind w:left="221"/>
              <w:spacing w:before="68" w:line="168"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919" w:type="dxa"/>
            <w:vAlign w:val="top"/>
            <w:vMerge w:val="restart"/>
            <w:tcBorders>
              <w:bottom w:val="nil"/>
            </w:tcBorders>
          </w:tcPr>
          <w:p>
            <w:pPr>
              <w:pStyle w:val="TableText"/>
              <w:ind w:left="240"/>
              <w:spacing w:before="174" w:line="219" w:lineRule="auto"/>
              <w:rPr>
                <w:sz w:val="21"/>
                <w:szCs w:val="21"/>
              </w:rPr>
            </w:pPr>
            <w:r>
              <w:rPr>
                <w:sz w:val="21"/>
                <w:szCs w:val="21"/>
                <w:spacing w:val="4"/>
              </w:rPr>
              <w:t>旺季</w:t>
            </w:r>
          </w:p>
        </w:tc>
        <w:tc>
          <w:tcPr>
            <w:tcW w:w="2728" w:type="dxa"/>
            <w:vAlign w:val="top"/>
          </w:tcPr>
          <w:p>
            <w:pPr>
              <w:pStyle w:val="TableText"/>
              <w:ind w:left="252"/>
              <w:spacing w:before="27" w:line="204" w:lineRule="auto"/>
              <w:rPr>
                <w:sz w:val="21"/>
                <w:szCs w:val="21"/>
              </w:rPr>
            </w:pPr>
            <w:r>
              <w:rPr>
                <w:sz w:val="21"/>
                <w:szCs w:val="21"/>
                <w:spacing w:val="-1"/>
              </w:rPr>
              <w:t>0.0954t/a(1.63mg/m³)</w:t>
            </w:r>
          </w:p>
        </w:tc>
        <w:tc>
          <w:tcPr>
            <w:tcW w:w="5906" w:type="dxa"/>
            <w:vAlign w:val="top"/>
            <w:vMerge w:val="continue"/>
            <w:tcBorders>
              <w:top w:val="nil"/>
              <w:bottom w:val="nil"/>
            </w:tcBorders>
          </w:tcPr>
          <w:p>
            <w:pPr>
              <w:rPr>
                <w:rFonts w:ascii="Arial"/>
                <w:sz w:val="21"/>
              </w:rPr>
            </w:pPr>
            <w:r/>
          </w:p>
        </w:tc>
        <w:tc>
          <w:tcPr>
            <w:tcW w:w="220" w:type="dxa"/>
            <w:vAlign w:val="top"/>
            <w:vMerge w:val="restart"/>
            <w:textDirection w:val="tbRlV"/>
            <w:tcBorders>
              <w:bottom w:val="nil"/>
            </w:tcBorders>
          </w:tcPr>
          <w:p>
            <w:pPr>
              <w:pStyle w:val="TableText"/>
              <w:ind w:left="6"/>
              <w:spacing w:line="200" w:lineRule="auto"/>
              <w:rPr>
                <w:sz w:val="21"/>
                <w:szCs w:val="21"/>
              </w:rPr>
            </w:pPr>
            <w:r>
              <w:rPr>
                <w:sz w:val="21"/>
                <w:szCs w:val="21"/>
                <w:spacing w:val="24"/>
              </w:rPr>
              <w:t>旺季</w:t>
            </w:r>
          </w:p>
        </w:tc>
        <w:tc>
          <w:tcPr>
            <w:tcW w:w="730" w:type="dxa"/>
            <w:vAlign w:val="top"/>
          </w:tcPr>
          <w:p>
            <w:pPr>
              <w:pStyle w:val="TableText"/>
              <w:ind w:left="148"/>
              <w:spacing w:before="68" w:line="168"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2328" w:type="dxa"/>
            <w:vAlign w:val="top"/>
          </w:tcPr>
          <w:p>
            <w:pPr>
              <w:pStyle w:val="TableText"/>
              <w:ind w:left="58"/>
              <w:spacing w:before="27" w:line="204" w:lineRule="auto"/>
              <w:rPr>
                <w:sz w:val="21"/>
                <w:szCs w:val="21"/>
              </w:rPr>
            </w:pPr>
            <w:r>
              <w:rPr>
                <w:sz w:val="21"/>
                <w:szCs w:val="21"/>
                <w:spacing w:val="-1"/>
              </w:rPr>
              <w:t>0.0045t/a(0.08mg/m³)</w:t>
            </w:r>
          </w:p>
        </w:tc>
        <w:tc>
          <w:tcPr>
            <w:tcW w:w="495" w:type="dxa"/>
            <w:vAlign w:val="top"/>
            <w:vMerge w:val="continue"/>
            <w:tcBorders>
              <w:top w:val="nil"/>
              <w:bottom w:val="nil"/>
            </w:tcBorders>
          </w:tcPr>
          <w:p>
            <w:pPr>
              <w:rPr>
                <w:rFonts w:ascii="Arial"/>
                <w:sz w:val="21"/>
              </w:rPr>
            </w:pPr>
            <w:r/>
          </w:p>
        </w:tc>
      </w:tr>
      <w:tr>
        <w:trPr>
          <w:trHeight w:val="260"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continue"/>
            <w:tcBorders>
              <w:top w:val="nil"/>
            </w:tcBorders>
          </w:tcPr>
          <w:p>
            <w:pPr>
              <w:rPr>
                <w:rFonts w:ascii="Arial"/>
                <w:sz w:val="21"/>
              </w:rPr>
            </w:pPr>
            <w:r/>
          </w:p>
        </w:tc>
        <w:tc>
          <w:tcPr>
            <w:tcW w:w="880" w:type="dxa"/>
            <w:vAlign w:val="top"/>
          </w:tcPr>
          <w:p>
            <w:pPr>
              <w:pStyle w:val="TableText"/>
              <w:ind w:left="221"/>
              <w:spacing w:before="68" w:line="160"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919" w:type="dxa"/>
            <w:vAlign w:val="top"/>
            <w:vMerge w:val="continue"/>
            <w:tcBorders>
              <w:top w:val="nil"/>
            </w:tcBorders>
          </w:tcPr>
          <w:p>
            <w:pPr>
              <w:rPr>
                <w:rFonts w:ascii="Arial"/>
                <w:sz w:val="21"/>
              </w:rPr>
            </w:pPr>
            <w:r/>
          </w:p>
        </w:tc>
        <w:tc>
          <w:tcPr>
            <w:tcW w:w="2728" w:type="dxa"/>
            <w:vAlign w:val="top"/>
          </w:tcPr>
          <w:p>
            <w:pPr>
              <w:pStyle w:val="TableText"/>
              <w:ind w:left="252"/>
              <w:spacing w:before="28" w:line="195" w:lineRule="auto"/>
              <w:rPr>
                <w:sz w:val="21"/>
                <w:szCs w:val="21"/>
              </w:rPr>
            </w:pPr>
            <w:r>
              <w:rPr>
                <w:sz w:val="21"/>
                <w:szCs w:val="21"/>
                <w:spacing w:val="-1"/>
              </w:rPr>
              <w:t>0.0061t/a(0.10mg/m³)</w:t>
            </w:r>
          </w:p>
        </w:tc>
        <w:tc>
          <w:tcPr>
            <w:tcW w:w="5906" w:type="dxa"/>
            <w:vAlign w:val="top"/>
            <w:vMerge w:val="continue"/>
            <w:tcBorders>
              <w:top w:val="nil"/>
            </w:tcBorders>
          </w:tcPr>
          <w:p>
            <w:pPr>
              <w:rPr>
                <w:rFonts w:ascii="Arial"/>
                <w:sz w:val="21"/>
              </w:rPr>
            </w:pPr>
            <w:r/>
          </w:p>
        </w:tc>
        <w:tc>
          <w:tcPr>
            <w:tcW w:w="220" w:type="dxa"/>
            <w:vAlign w:val="top"/>
            <w:vMerge w:val="continue"/>
            <w:textDirection w:val="tbRlV"/>
            <w:tcBorders>
              <w:top w:val="nil"/>
            </w:tcBorders>
          </w:tcPr>
          <w:p>
            <w:pPr>
              <w:spacing w:line="210" w:lineRule="exact"/>
              <w:rPr>
                <w:rFonts w:ascii="Arial"/>
                <w:sz w:val="17"/>
              </w:rPr>
            </w:pPr>
            <w:r/>
          </w:p>
        </w:tc>
        <w:tc>
          <w:tcPr>
            <w:tcW w:w="730" w:type="dxa"/>
            <w:vAlign w:val="top"/>
          </w:tcPr>
          <w:p>
            <w:pPr>
              <w:pStyle w:val="TableText"/>
              <w:ind w:left="148"/>
              <w:spacing w:before="68" w:line="160"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2328" w:type="dxa"/>
            <w:vAlign w:val="top"/>
          </w:tcPr>
          <w:p>
            <w:pPr>
              <w:pStyle w:val="TableText"/>
              <w:ind w:left="18"/>
              <w:spacing w:before="28" w:line="195" w:lineRule="auto"/>
              <w:rPr>
                <w:sz w:val="21"/>
                <w:szCs w:val="21"/>
              </w:rPr>
            </w:pPr>
            <w:r>
              <w:rPr>
                <w:sz w:val="21"/>
                <w:szCs w:val="21"/>
                <w:spacing w:val="-1"/>
              </w:rPr>
              <w:t>0.0003t/a(0.005mg/m³)</w:t>
            </w:r>
          </w:p>
        </w:tc>
        <w:tc>
          <w:tcPr>
            <w:tcW w:w="495" w:type="dxa"/>
            <w:vAlign w:val="top"/>
            <w:vMerge w:val="continue"/>
            <w:tcBorders>
              <w:top w:val="nil"/>
            </w:tcBorders>
          </w:tcPr>
          <w:p>
            <w:pPr>
              <w:rPr>
                <w:rFonts w:ascii="Arial"/>
                <w:sz w:val="21"/>
              </w:rPr>
            </w:pPr>
            <w:r/>
          </w:p>
        </w:tc>
      </w:tr>
      <w:tr>
        <w:trPr>
          <w:trHeight w:val="299"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restart"/>
            <w:tcBorders>
              <w:bottom w:val="nil"/>
            </w:tcBorders>
          </w:tcPr>
          <w:p>
            <w:pPr>
              <w:spacing w:line="263" w:lineRule="auto"/>
              <w:rPr>
                <w:rFonts w:ascii="Arial"/>
                <w:sz w:val="21"/>
              </w:rPr>
            </w:pPr>
            <w:r/>
          </w:p>
          <w:p>
            <w:pPr>
              <w:pStyle w:val="TableText"/>
              <w:ind w:left="70" w:right="77" w:firstLine="109"/>
              <w:spacing w:before="68" w:line="253" w:lineRule="auto"/>
              <w:rPr>
                <w:sz w:val="21"/>
                <w:szCs w:val="21"/>
              </w:rPr>
            </w:pPr>
            <w:r>
              <w:rPr>
                <w:sz w:val="21"/>
                <w:szCs w:val="21"/>
                <w:spacing w:val="-5"/>
              </w:rPr>
              <w:t>污水</w:t>
            </w:r>
            <w:r>
              <w:rPr>
                <w:sz w:val="21"/>
                <w:szCs w:val="21"/>
              </w:rPr>
              <w:t xml:space="preserve">  </w:t>
            </w:r>
            <w:r>
              <w:rPr>
                <w:sz w:val="21"/>
                <w:szCs w:val="21"/>
                <w:spacing w:val="3"/>
              </w:rPr>
              <w:t>处理站</w:t>
            </w:r>
          </w:p>
        </w:tc>
        <w:tc>
          <w:tcPr>
            <w:tcW w:w="880" w:type="dxa"/>
            <w:vAlign w:val="top"/>
          </w:tcPr>
          <w:p>
            <w:pPr>
              <w:pStyle w:val="TableText"/>
              <w:ind w:left="221"/>
              <w:spacing w:before="88" w:line="176"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919" w:type="dxa"/>
            <w:vAlign w:val="top"/>
            <w:vMerge w:val="restart"/>
            <w:tcBorders>
              <w:bottom w:val="nil"/>
            </w:tcBorders>
          </w:tcPr>
          <w:p>
            <w:pPr>
              <w:pStyle w:val="TableText"/>
              <w:ind w:left="240"/>
              <w:spacing w:before="183" w:line="219" w:lineRule="auto"/>
              <w:rPr>
                <w:sz w:val="21"/>
                <w:szCs w:val="21"/>
              </w:rPr>
            </w:pPr>
            <w:r>
              <w:rPr>
                <w:sz w:val="21"/>
                <w:szCs w:val="21"/>
                <w:spacing w:val="4"/>
              </w:rPr>
              <w:t>淡季</w:t>
            </w:r>
          </w:p>
        </w:tc>
        <w:tc>
          <w:tcPr>
            <w:tcW w:w="2728" w:type="dxa"/>
            <w:vAlign w:val="top"/>
          </w:tcPr>
          <w:p>
            <w:pPr>
              <w:pStyle w:val="TableText"/>
              <w:ind w:left="252"/>
              <w:spacing w:before="47" w:line="212" w:lineRule="auto"/>
              <w:rPr>
                <w:sz w:val="21"/>
                <w:szCs w:val="21"/>
              </w:rPr>
            </w:pPr>
            <w:r>
              <w:rPr>
                <w:sz w:val="21"/>
                <w:szCs w:val="21"/>
                <w:spacing w:val="-1"/>
              </w:rPr>
              <w:t>0.1908t/a(5.88mg/m³)</w:t>
            </w:r>
          </w:p>
        </w:tc>
        <w:tc>
          <w:tcPr>
            <w:tcW w:w="5906" w:type="dxa"/>
            <w:vAlign w:val="top"/>
            <w:vMerge w:val="restart"/>
            <w:tcBorders>
              <w:bottom w:val="nil"/>
            </w:tcBorders>
          </w:tcPr>
          <w:p>
            <w:pPr>
              <w:pStyle w:val="TableText"/>
              <w:ind w:left="264"/>
              <w:spacing w:before="62" w:line="218" w:lineRule="auto"/>
              <w:rPr>
                <w:sz w:val="21"/>
                <w:szCs w:val="21"/>
              </w:rPr>
            </w:pPr>
            <w:r>
              <w:rPr>
                <w:sz w:val="21"/>
                <w:szCs w:val="21"/>
                <w:spacing w:val="4"/>
              </w:rPr>
              <w:t>负压收集(风量5000m³h)+喷淋+</w:t>
            </w:r>
            <w:r>
              <w:rPr>
                <w:sz w:val="21"/>
                <w:szCs w:val="21"/>
              </w:rPr>
              <w:t>UV</w:t>
            </w:r>
            <w:r>
              <w:rPr>
                <w:sz w:val="21"/>
                <w:szCs w:val="21"/>
                <w:spacing w:val="4"/>
              </w:rPr>
              <w:t>光解+活</w:t>
            </w:r>
            <w:r>
              <w:rPr>
                <w:sz w:val="21"/>
                <w:szCs w:val="21"/>
                <w:spacing w:val="3"/>
              </w:rPr>
              <w:t>性炭吸附装置(T</w:t>
            </w:r>
          </w:p>
          <w:p>
            <w:pPr>
              <w:pStyle w:val="TableText"/>
              <w:ind w:left="374"/>
              <w:spacing w:before="22" w:line="219" w:lineRule="auto"/>
              <w:rPr>
                <w:sz w:val="21"/>
                <w:szCs w:val="21"/>
              </w:rPr>
            </w:pPr>
            <w:r>
              <w:rPr>
                <w:sz w:val="21"/>
                <w:szCs w:val="21"/>
              </w:rPr>
              <w:t>A004)+15m高排气筒(DA004);采用地埋式污水处理</w:t>
            </w:r>
            <w:r>
              <w:rPr>
                <w:sz w:val="21"/>
                <w:szCs w:val="21"/>
                <w:spacing w:val="-1"/>
              </w:rPr>
              <w:t>站，污</w:t>
            </w:r>
          </w:p>
          <w:p>
            <w:pPr>
              <w:pStyle w:val="TableText"/>
              <w:spacing w:before="21" w:line="207" w:lineRule="auto"/>
              <w:jc w:val="right"/>
              <w:rPr>
                <w:sz w:val="21"/>
                <w:szCs w:val="21"/>
              </w:rPr>
            </w:pPr>
            <w:r>
              <w:rPr>
                <w:sz w:val="21"/>
                <w:szCs w:val="21"/>
                <w:spacing w:val="-2"/>
              </w:rPr>
              <w:t>水处理站各臭气排放设施均加盖密封，定期喷洒微生物除臭剂。</w:t>
            </w:r>
          </w:p>
        </w:tc>
        <w:tc>
          <w:tcPr>
            <w:tcW w:w="3278" w:type="dxa"/>
            <w:vAlign w:val="top"/>
            <w:gridSpan w:val="3"/>
          </w:tcPr>
          <w:p>
            <w:pPr>
              <w:pStyle w:val="TableText"/>
              <w:ind w:left="528"/>
              <w:spacing w:before="47" w:line="212" w:lineRule="auto"/>
              <w:rPr>
                <w:sz w:val="21"/>
                <w:szCs w:val="21"/>
              </w:rPr>
            </w:pPr>
            <w:r>
              <w:rPr>
                <w:sz w:val="21"/>
                <w:szCs w:val="21"/>
                <w:spacing w:val="-1"/>
              </w:rPr>
              <w:t>0.0091t/a(0.28mg/m³)</w:t>
            </w:r>
          </w:p>
        </w:tc>
        <w:tc>
          <w:tcPr>
            <w:tcW w:w="495" w:type="dxa"/>
            <w:vAlign w:val="top"/>
            <w:vMerge w:val="restart"/>
            <w:tcBorders>
              <w:bottom w:val="nil"/>
            </w:tcBorders>
          </w:tcPr>
          <w:p>
            <w:pPr>
              <w:spacing w:line="265" w:lineRule="auto"/>
              <w:rPr>
                <w:rFonts w:ascii="Arial"/>
                <w:sz w:val="21"/>
              </w:rPr>
            </w:pPr>
            <w:r/>
          </w:p>
          <w:p>
            <w:pPr>
              <w:pStyle w:val="TableText"/>
              <w:ind w:left="30"/>
              <w:spacing w:before="68" w:line="220" w:lineRule="auto"/>
              <w:rPr>
                <w:sz w:val="21"/>
                <w:szCs w:val="21"/>
              </w:rPr>
            </w:pPr>
            <w:r>
              <w:rPr>
                <w:sz w:val="21"/>
                <w:szCs w:val="21"/>
                <w:spacing w:val="-2"/>
              </w:rPr>
              <w:t>达标</w:t>
            </w:r>
          </w:p>
          <w:p>
            <w:pPr>
              <w:pStyle w:val="TableText"/>
              <w:ind w:left="30"/>
              <w:spacing w:line="221" w:lineRule="auto"/>
              <w:rPr>
                <w:sz w:val="21"/>
                <w:szCs w:val="21"/>
              </w:rPr>
            </w:pPr>
            <w:r>
              <w:rPr>
                <w:sz w:val="21"/>
                <w:szCs w:val="21"/>
                <w:spacing w:val="-3"/>
              </w:rPr>
              <w:t>排放</w:t>
            </w:r>
          </w:p>
        </w:tc>
      </w:tr>
      <w:tr>
        <w:trPr>
          <w:trHeight w:val="260"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880" w:type="dxa"/>
            <w:vAlign w:val="top"/>
          </w:tcPr>
          <w:p>
            <w:pPr>
              <w:pStyle w:val="TableText"/>
              <w:ind w:left="221"/>
              <w:spacing w:before="69" w:line="159"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919" w:type="dxa"/>
            <w:vAlign w:val="top"/>
            <w:vMerge w:val="continue"/>
            <w:tcBorders>
              <w:top w:val="nil"/>
            </w:tcBorders>
          </w:tcPr>
          <w:p>
            <w:pPr>
              <w:rPr>
                <w:rFonts w:ascii="Arial"/>
                <w:sz w:val="21"/>
              </w:rPr>
            </w:pPr>
            <w:r/>
          </w:p>
        </w:tc>
        <w:tc>
          <w:tcPr>
            <w:tcW w:w="2728" w:type="dxa"/>
            <w:vAlign w:val="top"/>
          </w:tcPr>
          <w:p>
            <w:pPr>
              <w:pStyle w:val="TableText"/>
              <w:ind w:left="252"/>
              <w:spacing w:before="29" w:line="194" w:lineRule="auto"/>
              <w:rPr>
                <w:sz w:val="21"/>
                <w:szCs w:val="21"/>
              </w:rPr>
            </w:pPr>
            <w:r>
              <w:rPr>
                <w:sz w:val="21"/>
                <w:szCs w:val="21"/>
                <w:spacing w:val="-1"/>
              </w:rPr>
              <w:t>0.0074t/a(0.22mg/m³)</w:t>
            </w:r>
          </w:p>
        </w:tc>
        <w:tc>
          <w:tcPr>
            <w:tcW w:w="5906" w:type="dxa"/>
            <w:vAlign w:val="top"/>
            <w:vMerge w:val="continue"/>
            <w:tcBorders>
              <w:top w:val="nil"/>
              <w:bottom w:val="nil"/>
            </w:tcBorders>
          </w:tcPr>
          <w:p>
            <w:pPr>
              <w:rPr>
                <w:rFonts w:ascii="Arial"/>
                <w:sz w:val="21"/>
              </w:rPr>
            </w:pPr>
            <w:r/>
          </w:p>
        </w:tc>
        <w:tc>
          <w:tcPr>
            <w:tcW w:w="3278" w:type="dxa"/>
            <w:vAlign w:val="top"/>
            <w:gridSpan w:val="3"/>
          </w:tcPr>
          <w:p>
            <w:pPr>
              <w:pStyle w:val="TableText"/>
              <w:ind w:left="528"/>
              <w:spacing w:before="29" w:line="194" w:lineRule="auto"/>
              <w:rPr>
                <w:sz w:val="21"/>
                <w:szCs w:val="21"/>
              </w:rPr>
            </w:pPr>
            <w:r>
              <w:rPr>
                <w:sz w:val="21"/>
                <w:szCs w:val="21"/>
                <w:spacing w:val="-1"/>
              </w:rPr>
              <w:t>0.0004t/a(0.01mg/m³)</w:t>
            </w:r>
          </w:p>
        </w:tc>
        <w:tc>
          <w:tcPr>
            <w:tcW w:w="495" w:type="dxa"/>
            <w:vAlign w:val="top"/>
            <w:vMerge w:val="continue"/>
            <w:tcBorders>
              <w:top w:val="nil"/>
              <w:bottom w:val="nil"/>
            </w:tcBorders>
          </w:tcPr>
          <w:p>
            <w:pPr>
              <w:rPr>
                <w:rFonts w:ascii="Arial"/>
                <w:sz w:val="21"/>
              </w:rPr>
            </w:pPr>
            <w:r/>
          </w:p>
        </w:tc>
      </w:tr>
      <w:tr>
        <w:trPr>
          <w:trHeight w:val="270"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880" w:type="dxa"/>
            <w:vAlign w:val="top"/>
          </w:tcPr>
          <w:p>
            <w:pPr>
              <w:pStyle w:val="TableText"/>
              <w:ind w:left="221"/>
              <w:spacing w:before="68" w:line="168" w:lineRule="auto"/>
              <w:rPr>
                <w:rFonts w:ascii="Calibri" w:hAnsi="Calibri" w:eastAsia="Calibri" w:cs="Calibri"/>
                <w:sz w:val="21"/>
                <w:szCs w:val="21"/>
              </w:rPr>
            </w:pPr>
            <w:r>
              <w:rPr>
                <w:sz w:val="21"/>
                <w:szCs w:val="21"/>
                <w:spacing w:val="-1"/>
              </w:rPr>
              <w:t>NH</w:t>
            </w:r>
            <w:r>
              <w:rPr>
                <w:rFonts w:ascii="Calibri" w:hAnsi="Calibri" w:eastAsia="Calibri" w:cs="Calibri"/>
                <w:sz w:val="21"/>
                <w:szCs w:val="21"/>
                <w:spacing w:val="-1"/>
              </w:rPr>
              <w:t>₃</w:t>
            </w:r>
          </w:p>
        </w:tc>
        <w:tc>
          <w:tcPr>
            <w:tcW w:w="919" w:type="dxa"/>
            <w:vAlign w:val="top"/>
            <w:vMerge w:val="restart"/>
            <w:tcBorders>
              <w:bottom w:val="nil"/>
            </w:tcBorders>
          </w:tcPr>
          <w:p>
            <w:pPr>
              <w:pStyle w:val="TableText"/>
              <w:ind w:left="240"/>
              <w:spacing w:before="175" w:line="219" w:lineRule="auto"/>
              <w:rPr>
                <w:sz w:val="21"/>
                <w:szCs w:val="21"/>
              </w:rPr>
            </w:pPr>
            <w:r>
              <w:rPr>
                <w:sz w:val="21"/>
                <w:szCs w:val="21"/>
                <w:spacing w:val="4"/>
              </w:rPr>
              <w:t>旺季</w:t>
            </w:r>
          </w:p>
        </w:tc>
        <w:tc>
          <w:tcPr>
            <w:tcW w:w="2728" w:type="dxa"/>
            <w:vAlign w:val="top"/>
          </w:tcPr>
          <w:p>
            <w:pPr>
              <w:pStyle w:val="TableText"/>
              <w:ind w:left="302"/>
              <w:spacing w:before="29" w:line="203" w:lineRule="auto"/>
              <w:rPr>
                <w:sz w:val="21"/>
                <w:szCs w:val="21"/>
              </w:rPr>
            </w:pPr>
            <w:r>
              <w:rPr>
                <w:sz w:val="21"/>
                <w:szCs w:val="21"/>
                <w:spacing w:val="-1"/>
              </w:rPr>
              <w:t>0.0918t/a(8.5mg/m³)</w:t>
            </w:r>
          </w:p>
        </w:tc>
        <w:tc>
          <w:tcPr>
            <w:tcW w:w="5906" w:type="dxa"/>
            <w:vAlign w:val="top"/>
            <w:vMerge w:val="continue"/>
            <w:tcBorders>
              <w:top w:val="nil"/>
            </w:tcBorders>
          </w:tcPr>
          <w:p>
            <w:pPr>
              <w:rPr>
                <w:rFonts w:ascii="Arial"/>
                <w:sz w:val="21"/>
              </w:rPr>
            </w:pPr>
            <w:r/>
          </w:p>
        </w:tc>
        <w:tc>
          <w:tcPr>
            <w:tcW w:w="3278" w:type="dxa"/>
            <w:vAlign w:val="top"/>
            <w:gridSpan w:val="3"/>
          </w:tcPr>
          <w:p>
            <w:pPr>
              <w:pStyle w:val="TableText"/>
              <w:ind w:left="528"/>
              <w:spacing w:before="29" w:line="203" w:lineRule="auto"/>
              <w:rPr>
                <w:sz w:val="21"/>
                <w:szCs w:val="21"/>
              </w:rPr>
            </w:pPr>
            <w:r>
              <w:rPr>
                <w:sz w:val="21"/>
                <w:szCs w:val="21"/>
                <w:spacing w:val="-1"/>
              </w:rPr>
              <w:t>0.0044t/a(0.40mg/m³)</w:t>
            </w:r>
          </w:p>
        </w:tc>
        <w:tc>
          <w:tcPr>
            <w:tcW w:w="495" w:type="dxa"/>
            <w:vAlign w:val="top"/>
            <w:vMerge w:val="continue"/>
            <w:tcBorders>
              <w:top w:val="nil"/>
              <w:bottom w:val="nil"/>
            </w:tcBorders>
          </w:tcPr>
          <w:p>
            <w:pPr>
              <w:rPr>
                <w:rFonts w:ascii="Arial"/>
                <w:sz w:val="21"/>
              </w:rPr>
            </w:pPr>
            <w:r/>
          </w:p>
        </w:tc>
      </w:tr>
      <w:tr>
        <w:trPr>
          <w:trHeight w:val="270"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continue"/>
            <w:tcBorders>
              <w:top w:val="nil"/>
            </w:tcBorders>
          </w:tcPr>
          <w:p>
            <w:pPr>
              <w:rPr>
                <w:rFonts w:ascii="Arial"/>
                <w:sz w:val="21"/>
              </w:rPr>
            </w:pPr>
            <w:r/>
          </w:p>
        </w:tc>
        <w:tc>
          <w:tcPr>
            <w:tcW w:w="880" w:type="dxa"/>
            <w:vAlign w:val="top"/>
          </w:tcPr>
          <w:p>
            <w:pPr>
              <w:pStyle w:val="TableText"/>
              <w:ind w:left="221"/>
              <w:spacing w:before="68" w:line="168" w:lineRule="auto"/>
              <w:rPr>
                <w:sz w:val="21"/>
                <w:szCs w:val="21"/>
              </w:rPr>
            </w:pPr>
            <w:r>
              <w:rPr>
                <w:sz w:val="21"/>
                <w:szCs w:val="21"/>
                <w:spacing w:val="-2"/>
              </w:rPr>
              <w:t>H</w:t>
            </w:r>
            <w:r>
              <w:rPr>
                <w:rFonts w:ascii="Calibri" w:hAnsi="Calibri" w:eastAsia="Calibri" w:cs="Calibri"/>
                <w:sz w:val="21"/>
                <w:szCs w:val="21"/>
                <w:spacing w:val="-2"/>
              </w:rPr>
              <w:t>₂</w:t>
            </w:r>
            <w:r>
              <w:rPr>
                <w:sz w:val="21"/>
                <w:szCs w:val="21"/>
                <w:spacing w:val="-2"/>
              </w:rPr>
              <w:t>S</w:t>
            </w:r>
          </w:p>
        </w:tc>
        <w:tc>
          <w:tcPr>
            <w:tcW w:w="919" w:type="dxa"/>
            <w:vAlign w:val="top"/>
            <w:vMerge w:val="continue"/>
            <w:tcBorders>
              <w:top w:val="nil"/>
            </w:tcBorders>
          </w:tcPr>
          <w:p>
            <w:pPr>
              <w:rPr>
                <w:rFonts w:ascii="Arial"/>
                <w:sz w:val="21"/>
              </w:rPr>
            </w:pPr>
            <w:r/>
          </w:p>
        </w:tc>
        <w:tc>
          <w:tcPr>
            <w:tcW w:w="2728" w:type="dxa"/>
            <w:vAlign w:val="top"/>
          </w:tcPr>
          <w:p>
            <w:pPr>
              <w:pStyle w:val="TableText"/>
              <w:ind w:left="252"/>
              <w:spacing w:before="29" w:line="203" w:lineRule="auto"/>
              <w:rPr>
                <w:sz w:val="21"/>
                <w:szCs w:val="21"/>
              </w:rPr>
            </w:pPr>
            <w:r>
              <w:rPr>
                <w:sz w:val="21"/>
                <w:szCs w:val="21"/>
                <w:spacing w:val="-1"/>
              </w:rPr>
              <w:t>0.0036t/a(0.32mg/m³)</w:t>
            </w:r>
          </w:p>
        </w:tc>
        <w:tc>
          <w:tcPr>
            <w:tcW w:w="5906" w:type="dxa"/>
            <w:vAlign w:val="top"/>
          </w:tcPr>
          <w:p>
            <w:pPr>
              <w:rPr>
                <w:rFonts w:ascii="Arial"/>
                <w:sz w:val="21"/>
              </w:rPr>
            </w:pPr>
            <w:r/>
          </w:p>
        </w:tc>
        <w:tc>
          <w:tcPr>
            <w:tcW w:w="3278" w:type="dxa"/>
            <w:vAlign w:val="top"/>
            <w:gridSpan w:val="3"/>
          </w:tcPr>
          <w:p>
            <w:pPr>
              <w:pStyle w:val="TableText"/>
              <w:ind w:left="528"/>
              <w:spacing w:before="29" w:line="203" w:lineRule="auto"/>
              <w:rPr>
                <w:sz w:val="21"/>
                <w:szCs w:val="21"/>
              </w:rPr>
            </w:pPr>
            <w:r>
              <w:rPr>
                <w:sz w:val="21"/>
                <w:szCs w:val="21"/>
                <w:spacing w:val="-1"/>
              </w:rPr>
              <w:t>0.0002t/a(0.02mg/m³)</w:t>
            </w:r>
          </w:p>
        </w:tc>
        <w:tc>
          <w:tcPr>
            <w:tcW w:w="495" w:type="dxa"/>
            <w:vAlign w:val="top"/>
            <w:vMerge w:val="continue"/>
            <w:tcBorders>
              <w:top w:val="nil"/>
            </w:tcBorders>
          </w:tcPr>
          <w:p>
            <w:pPr>
              <w:rPr>
                <w:rFonts w:ascii="Arial"/>
                <w:sz w:val="21"/>
              </w:rPr>
            </w:pPr>
            <w:r/>
          </w:p>
        </w:tc>
      </w:tr>
      <w:tr>
        <w:trPr>
          <w:trHeight w:val="270"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restart"/>
            <w:tcBorders>
              <w:bottom w:val="nil"/>
            </w:tcBorders>
          </w:tcPr>
          <w:p>
            <w:pPr>
              <w:spacing w:line="272" w:lineRule="auto"/>
              <w:rPr>
                <w:rFonts w:ascii="Arial"/>
                <w:sz w:val="21"/>
              </w:rPr>
            </w:pPr>
            <w:r/>
          </w:p>
          <w:p>
            <w:pPr>
              <w:spacing w:line="273" w:lineRule="auto"/>
              <w:rPr>
                <w:rFonts w:ascii="Arial"/>
                <w:sz w:val="21"/>
              </w:rPr>
            </w:pPr>
            <w:r/>
          </w:p>
          <w:p>
            <w:pPr>
              <w:pStyle w:val="TableText"/>
              <w:ind w:left="68" w:hanging="59"/>
              <w:spacing w:before="68" w:line="248" w:lineRule="auto"/>
              <w:rPr>
                <w:sz w:val="21"/>
                <w:szCs w:val="21"/>
              </w:rPr>
            </w:pPr>
            <w:r>
              <w:rPr>
                <w:sz w:val="21"/>
                <w:szCs w:val="21"/>
                <w:spacing w:val="-17"/>
              </w:rPr>
              <w:t>燃气</w:t>
            </w:r>
            <w:r>
              <w:rPr>
                <w:sz w:val="21"/>
                <w:szCs w:val="21"/>
                <w:spacing w:val="-16"/>
              </w:rPr>
              <w:t>蒸</w:t>
            </w:r>
            <w:r>
              <w:rPr>
                <w:sz w:val="21"/>
                <w:szCs w:val="21"/>
                <w:spacing w:val="-14"/>
              </w:rPr>
              <w:t>汽</w:t>
            </w:r>
            <w:r>
              <w:rPr>
                <w:sz w:val="21"/>
                <w:szCs w:val="21"/>
                <w:spacing w:val="2"/>
              </w:rPr>
              <w:t xml:space="preserve"> </w:t>
            </w:r>
            <w:r>
              <w:rPr>
                <w:sz w:val="21"/>
                <w:szCs w:val="21"/>
                <w:spacing w:val="2"/>
              </w:rPr>
              <w:t>发生器</w:t>
            </w:r>
          </w:p>
        </w:tc>
        <w:tc>
          <w:tcPr>
            <w:tcW w:w="880" w:type="dxa"/>
            <w:vAlign w:val="top"/>
          </w:tcPr>
          <w:p>
            <w:pPr>
              <w:pStyle w:val="TableText"/>
              <w:ind w:left="111"/>
              <w:spacing w:before="35" w:line="197" w:lineRule="auto"/>
              <w:rPr>
                <w:sz w:val="21"/>
                <w:szCs w:val="21"/>
              </w:rPr>
            </w:pPr>
            <w:r>
              <w:rPr>
                <w:sz w:val="21"/>
                <w:szCs w:val="21"/>
                <w:spacing w:val="-2"/>
              </w:rPr>
              <w:t>颗粒物</w:t>
            </w:r>
          </w:p>
        </w:tc>
        <w:tc>
          <w:tcPr>
            <w:tcW w:w="919" w:type="dxa"/>
            <w:vAlign w:val="top"/>
            <w:vMerge w:val="restart"/>
            <w:tcBorders>
              <w:bottom w:val="nil"/>
            </w:tcBorders>
          </w:tcPr>
          <w:p>
            <w:pPr>
              <w:spacing w:line="244" w:lineRule="auto"/>
              <w:rPr>
                <w:rFonts w:ascii="Arial"/>
                <w:sz w:val="21"/>
              </w:rPr>
            </w:pPr>
            <w:r/>
          </w:p>
          <w:p>
            <w:pPr>
              <w:pStyle w:val="TableText"/>
              <w:ind w:left="240"/>
              <w:spacing w:before="68" w:line="219" w:lineRule="auto"/>
              <w:rPr>
                <w:sz w:val="21"/>
                <w:szCs w:val="21"/>
              </w:rPr>
            </w:pPr>
            <w:r>
              <w:rPr>
                <w:sz w:val="21"/>
                <w:szCs w:val="21"/>
                <w:spacing w:val="4"/>
              </w:rPr>
              <w:t>淡季</w:t>
            </w:r>
          </w:p>
        </w:tc>
        <w:tc>
          <w:tcPr>
            <w:tcW w:w="2728" w:type="dxa"/>
            <w:vAlign w:val="top"/>
          </w:tcPr>
          <w:p>
            <w:pPr>
              <w:pStyle w:val="TableText"/>
              <w:ind w:left="252"/>
              <w:spacing w:before="29" w:line="203" w:lineRule="auto"/>
              <w:rPr>
                <w:sz w:val="21"/>
                <w:szCs w:val="21"/>
              </w:rPr>
            </w:pPr>
            <w:r>
              <w:rPr>
                <w:sz w:val="21"/>
                <w:szCs w:val="21"/>
                <w:spacing w:val="-1"/>
              </w:rPr>
              <w:t>0.0494t/a(19.1mg/m³)</w:t>
            </w:r>
          </w:p>
        </w:tc>
        <w:tc>
          <w:tcPr>
            <w:tcW w:w="5906" w:type="dxa"/>
            <w:vAlign w:val="top"/>
            <w:vMerge w:val="restart"/>
            <w:tcBorders>
              <w:bottom w:val="nil"/>
            </w:tcBorders>
          </w:tcPr>
          <w:p>
            <w:pPr>
              <w:spacing w:line="335" w:lineRule="auto"/>
              <w:rPr>
                <w:rFonts w:ascii="Arial"/>
                <w:sz w:val="21"/>
              </w:rPr>
            </w:pPr>
            <w:r/>
          </w:p>
          <w:p>
            <w:pPr>
              <w:spacing w:line="336" w:lineRule="auto"/>
              <w:rPr>
                <w:rFonts w:ascii="Arial"/>
                <w:sz w:val="21"/>
              </w:rPr>
            </w:pPr>
            <w:r/>
          </w:p>
          <w:p>
            <w:pPr>
              <w:pStyle w:val="TableText"/>
              <w:ind w:left="1314"/>
              <w:spacing w:before="69" w:line="219" w:lineRule="auto"/>
              <w:rPr>
                <w:sz w:val="21"/>
                <w:szCs w:val="21"/>
              </w:rPr>
            </w:pPr>
            <w:r>
              <w:rPr>
                <w:sz w:val="21"/>
                <w:szCs w:val="21"/>
                <w:spacing w:val="2"/>
              </w:rPr>
              <w:t>低氮燃烧+18m高排气筒直排(</w:t>
            </w:r>
            <w:r>
              <w:rPr>
                <w:sz w:val="21"/>
                <w:szCs w:val="21"/>
              </w:rPr>
              <w:t>DA</w:t>
            </w:r>
            <w:r>
              <w:rPr>
                <w:sz w:val="21"/>
                <w:szCs w:val="21"/>
                <w:spacing w:val="2"/>
              </w:rPr>
              <w:t>005)</w:t>
            </w:r>
          </w:p>
        </w:tc>
        <w:tc>
          <w:tcPr>
            <w:tcW w:w="3278" w:type="dxa"/>
            <w:vAlign w:val="top"/>
            <w:gridSpan w:val="3"/>
          </w:tcPr>
          <w:p>
            <w:pPr>
              <w:pStyle w:val="TableText"/>
              <w:ind w:left="528"/>
              <w:spacing w:before="29" w:line="203" w:lineRule="auto"/>
              <w:rPr>
                <w:sz w:val="21"/>
                <w:szCs w:val="21"/>
              </w:rPr>
            </w:pPr>
            <w:r>
              <w:rPr>
                <w:sz w:val="21"/>
                <w:szCs w:val="21"/>
                <w:spacing w:val="-1"/>
              </w:rPr>
              <w:t>0.0494t/a(19.1mg/m³)</w:t>
            </w:r>
          </w:p>
        </w:tc>
        <w:tc>
          <w:tcPr>
            <w:tcW w:w="495" w:type="dxa"/>
            <w:vAlign w:val="top"/>
            <w:vMerge w:val="restart"/>
            <w:tcBorders>
              <w:bottom w:val="nil"/>
            </w:tcBorders>
          </w:tcPr>
          <w:p>
            <w:pPr>
              <w:spacing w:line="257" w:lineRule="auto"/>
              <w:rPr>
                <w:rFonts w:ascii="Arial"/>
                <w:sz w:val="21"/>
              </w:rPr>
            </w:pPr>
            <w:r/>
          </w:p>
          <w:p>
            <w:pPr>
              <w:spacing w:line="257" w:lineRule="auto"/>
              <w:rPr>
                <w:rFonts w:ascii="Arial"/>
                <w:sz w:val="21"/>
              </w:rPr>
            </w:pPr>
            <w:r/>
          </w:p>
          <w:p>
            <w:pPr>
              <w:pStyle w:val="TableText"/>
              <w:ind w:left="30"/>
              <w:spacing w:before="69" w:line="220" w:lineRule="auto"/>
              <w:rPr>
                <w:sz w:val="21"/>
                <w:szCs w:val="21"/>
              </w:rPr>
            </w:pPr>
            <w:r>
              <w:rPr>
                <w:sz w:val="21"/>
                <w:szCs w:val="21"/>
                <w:spacing w:val="-2"/>
              </w:rPr>
              <w:t>达标</w:t>
            </w:r>
          </w:p>
          <w:p>
            <w:pPr>
              <w:pStyle w:val="TableText"/>
              <w:ind w:left="30"/>
              <w:spacing w:before="30" w:line="221" w:lineRule="auto"/>
              <w:rPr>
                <w:sz w:val="21"/>
                <w:szCs w:val="21"/>
              </w:rPr>
            </w:pPr>
            <w:r>
              <w:rPr>
                <w:sz w:val="21"/>
                <w:szCs w:val="21"/>
                <w:spacing w:val="-3"/>
              </w:rPr>
              <w:t>排放</w:t>
            </w:r>
          </w:p>
        </w:tc>
      </w:tr>
      <w:tr>
        <w:trPr>
          <w:trHeight w:val="270"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880" w:type="dxa"/>
            <w:vAlign w:val="top"/>
          </w:tcPr>
          <w:p>
            <w:pPr>
              <w:pStyle w:val="TableText"/>
              <w:ind w:left="271"/>
              <w:spacing w:before="89" w:line="171" w:lineRule="exact"/>
              <w:rPr>
                <w:sz w:val="21"/>
                <w:szCs w:val="21"/>
              </w:rPr>
            </w:pPr>
            <w:r>
              <w:rPr>
                <w:sz w:val="21"/>
                <w:szCs w:val="21"/>
                <w:spacing w:val="-1"/>
                <w:position w:val="-2"/>
              </w:rPr>
              <w:t>NOx</w:t>
            </w:r>
          </w:p>
        </w:tc>
        <w:tc>
          <w:tcPr>
            <w:tcW w:w="919" w:type="dxa"/>
            <w:vAlign w:val="top"/>
            <w:vMerge w:val="continue"/>
            <w:tcBorders>
              <w:top w:val="nil"/>
              <w:bottom w:val="nil"/>
            </w:tcBorders>
          </w:tcPr>
          <w:p>
            <w:pPr>
              <w:rPr>
                <w:rFonts w:ascii="Arial"/>
                <w:sz w:val="21"/>
              </w:rPr>
            </w:pPr>
            <w:r/>
          </w:p>
        </w:tc>
        <w:tc>
          <w:tcPr>
            <w:tcW w:w="2728" w:type="dxa"/>
            <w:vAlign w:val="top"/>
          </w:tcPr>
          <w:p>
            <w:pPr>
              <w:pStyle w:val="TableText"/>
              <w:ind w:left="252"/>
              <w:spacing w:before="29" w:line="203" w:lineRule="auto"/>
              <w:rPr>
                <w:sz w:val="21"/>
                <w:szCs w:val="21"/>
              </w:rPr>
            </w:pPr>
            <w:r>
              <w:rPr>
                <w:sz w:val="21"/>
                <w:szCs w:val="21"/>
                <w:spacing w:val="-1"/>
              </w:rPr>
              <w:t>0.1617t/a(62.4mg/m³)</w:t>
            </w:r>
          </w:p>
        </w:tc>
        <w:tc>
          <w:tcPr>
            <w:tcW w:w="5906" w:type="dxa"/>
            <w:vAlign w:val="top"/>
            <w:vMerge w:val="continue"/>
            <w:tcBorders>
              <w:top w:val="nil"/>
              <w:bottom w:val="nil"/>
            </w:tcBorders>
          </w:tcPr>
          <w:p>
            <w:pPr>
              <w:rPr>
                <w:rFonts w:ascii="Arial"/>
                <w:sz w:val="21"/>
              </w:rPr>
            </w:pPr>
            <w:r/>
          </w:p>
        </w:tc>
        <w:tc>
          <w:tcPr>
            <w:tcW w:w="3278" w:type="dxa"/>
            <w:vAlign w:val="top"/>
            <w:gridSpan w:val="3"/>
          </w:tcPr>
          <w:p>
            <w:pPr>
              <w:pStyle w:val="TableText"/>
              <w:ind w:left="528"/>
              <w:spacing w:before="29" w:line="203" w:lineRule="auto"/>
              <w:rPr>
                <w:sz w:val="21"/>
                <w:szCs w:val="21"/>
              </w:rPr>
            </w:pPr>
            <w:r>
              <w:rPr>
                <w:sz w:val="21"/>
                <w:szCs w:val="21"/>
                <w:spacing w:val="-1"/>
              </w:rPr>
              <w:t>0.1617t/a(62.4mg/m³)</w:t>
            </w:r>
          </w:p>
        </w:tc>
        <w:tc>
          <w:tcPr>
            <w:tcW w:w="495" w:type="dxa"/>
            <w:vAlign w:val="top"/>
            <w:vMerge w:val="continue"/>
            <w:tcBorders>
              <w:top w:val="nil"/>
              <w:bottom w:val="nil"/>
            </w:tcBorders>
          </w:tcPr>
          <w:p>
            <w:pPr>
              <w:rPr>
                <w:rFonts w:ascii="Arial"/>
                <w:sz w:val="21"/>
              </w:rPr>
            </w:pPr>
            <w:r/>
          </w:p>
        </w:tc>
      </w:tr>
      <w:tr>
        <w:trPr>
          <w:trHeight w:val="260"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880" w:type="dxa"/>
            <w:vAlign w:val="top"/>
          </w:tcPr>
          <w:p>
            <w:pPr>
              <w:pStyle w:val="TableText"/>
              <w:ind w:left="221"/>
              <w:spacing w:before="69" w:line="159" w:lineRule="auto"/>
              <w:rPr>
                <w:rFonts w:ascii="Calibri" w:hAnsi="Calibri" w:eastAsia="Calibri" w:cs="Calibri"/>
                <w:sz w:val="21"/>
                <w:szCs w:val="21"/>
              </w:rPr>
            </w:pPr>
            <w:r>
              <w:rPr>
                <w:sz w:val="21"/>
                <w:szCs w:val="21"/>
                <w:spacing w:val="-4"/>
              </w:rPr>
              <w:t>SO</w:t>
            </w:r>
            <w:r>
              <w:rPr>
                <w:rFonts w:ascii="Calibri" w:hAnsi="Calibri" w:eastAsia="Calibri" w:cs="Calibri"/>
                <w:sz w:val="21"/>
                <w:szCs w:val="21"/>
                <w:spacing w:val="-4"/>
              </w:rPr>
              <w:t>₂</w:t>
            </w:r>
          </w:p>
        </w:tc>
        <w:tc>
          <w:tcPr>
            <w:tcW w:w="919" w:type="dxa"/>
            <w:vAlign w:val="top"/>
            <w:vMerge w:val="continue"/>
            <w:tcBorders>
              <w:top w:val="nil"/>
            </w:tcBorders>
          </w:tcPr>
          <w:p>
            <w:pPr>
              <w:rPr>
                <w:rFonts w:ascii="Arial"/>
                <w:sz w:val="21"/>
              </w:rPr>
            </w:pPr>
            <w:r/>
          </w:p>
        </w:tc>
        <w:tc>
          <w:tcPr>
            <w:tcW w:w="2728" w:type="dxa"/>
            <w:vAlign w:val="top"/>
          </w:tcPr>
          <w:p>
            <w:pPr>
              <w:pStyle w:val="TableText"/>
              <w:ind w:left="252"/>
              <w:spacing w:before="29" w:line="194" w:lineRule="auto"/>
              <w:rPr>
                <w:sz w:val="21"/>
                <w:szCs w:val="21"/>
              </w:rPr>
            </w:pPr>
            <w:r>
              <w:rPr>
                <w:sz w:val="21"/>
                <w:szCs w:val="21"/>
                <w:spacing w:val="-1"/>
              </w:rPr>
              <w:t>0.0346t/a(13.3mg/m³)</w:t>
            </w:r>
          </w:p>
        </w:tc>
        <w:tc>
          <w:tcPr>
            <w:tcW w:w="5906" w:type="dxa"/>
            <w:vAlign w:val="top"/>
            <w:vMerge w:val="continue"/>
            <w:tcBorders>
              <w:top w:val="nil"/>
              <w:bottom w:val="nil"/>
            </w:tcBorders>
          </w:tcPr>
          <w:p>
            <w:pPr>
              <w:rPr>
                <w:rFonts w:ascii="Arial"/>
                <w:sz w:val="21"/>
              </w:rPr>
            </w:pPr>
            <w:r/>
          </w:p>
        </w:tc>
        <w:tc>
          <w:tcPr>
            <w:tcW w:w="3278" w:type="dxa"/>
            <w:vAlign w:val="top"/>
            <w:gridSpan w:val="3"/>
          </w:tcPr>
          <w:p>
            <w:pPr>
              <w:pStyle w:val="TableText"/>
              <w:ind w:left="528"/>
              <w:spacing w:before="29" w:line="194" w:lineRule="auto"/>
              <w:rPr>
                <w:sz w:val="21"/>
                <w:szCs w:val="21"/>
              </w:rPr>
            </w:pPr>
            <w:r>
              <w:rPr>
                <w:sz w:val="21"/>
                <w:szCs w:val="21"/>
                <w:spacing w:val="-1"/>
              </w:rPr>
              <w:t>0.0346t/a(13.3mg/m³)</w:t>
            </w:r>
          </w:p>
        </w:tc>
        <w:tc>
          <w:tcPr>
            <w:tcW w:w="495" w:type="dxa"/>
            <w:vAlign w:val="top"/>
            <w:vMerge w:val="continue"/>
            <w:tcBorders>
              <w:top w:val="nil"/>
              <w:bottom w:val="nil"/>
            </w:tcBorders>
          </w:tcPr>
          <w:p>
            <w:pPr>
              <w:rPr>
                <w:rFonts w:ascii="Arial"/>
                <w:sz w:val="21"/>
              </w:rPr>
            </w:pPr>
            <w:r/>
          </w:p>
        </w:tc>
      </w:tr>
      <w:tr>
        <w:trPr>
          <w:trHeight w:val="299"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880" w:type="dxa"/>
            <w:vAlign w:val="top"/>
          </w:tcPr>
          <w:p>
            <w:pPr>
              <w:pStyle w:val="TableText"/>
              <w:ind w:left="111"/>
              <w:spacing w:before="55" w:line="205" w:lineRule="auto"/>
              <w:rPr>
                <w:sz w:val="21"/>
                <w:szCs w:val="21"/>
              </w:rPr>
            </w:pPr>
            <w:r>
              <w:rPr>
                <w:sz w:val="21"/>
                <w:szCs w:val="21"/>
                <w:color w:val="404050"/>
                <w:spacing w:val="-2"/>
              </w:rPr>
              <w:t>颗粒物</w:t>
            </w:r>
          </w:p>
        </w:tc>
        <w:tc>
          <w:tcPr>
            <w:tcW w:w="919" w:type="dxa"/>
            <w:vAlign w:val="top"/>
            <w:vMerge w:val="restart"/>
            <w:tcBorders>
              <w:bottom w:val="nil"/>
            </w:tcBorders>
          </w:tcPr>
          <w:p>
            <w:pPr>
              <w:spacing w:line="265" w:lineRule="auto"/>
              <w:rPr>
                <w:rFonts w:ascii="Arial"/>
                <w:sz w:val="21"/>
              </w:rPr>
            </w:pPr>
            <w:r/>
          </w:p>
          <w:p>
            <w:pPr>
              <w:pStyle w:val="TableText"/>
              <w:ind w:left="240"/>
              <w:spacing w:before="69" w:line="219" w:lineRule="auto"/>
              <w:rPr>
                <w:sz w:val="21"/>
                <w:szCs w:val="21"/>
              </w:rPr>
            </w:pPr>
            <w:r>
              <w:rPr>
                <w:sz w:val="21"/>
                <w:szCs w:val="21"/>
                <w:spacing w:val="4"/>
              </w:rPr>
              <w:t>旺季</w:t>
            </w:r>
          </w:p>
        </w:tc>
        <w:tc>
          <w:tcPr>
            <w:tcW w:w="2728" w:type="dxa"/>
            <w:vAlign w:val="top"/>
          </w:tcPr>
          <w:p>
            <w:pPr>
              <w:pStyle w:val="TableText"/>
              <w:ind w:left="252"/>
              <w:spacing w:before="48" w:line="211" w:lineRule="auto"/>
              <w:rPr>
                <w:sz w:val="21"/>
                <w:szCs w:val="21"/>
              </w:rPr>
            </w:pPr>
            <w:r>
              <w:rPr>
                <w:sz w:val="21"/>
                <w:szCs w:val="21"/>
                <w:spacing w:val="-1"/>
              </w:rPr>
              <w:t>0.0165t/a(19.1mg/m³)</w:t>
            </w:r>
          </w:p>
        </w:tc>
        <w:tc>
          <w:tcPr>
            <w:tcW w:w="5906" w:type="dxa"/>
            <w:vAlign w:val="top"/>
            <w:vMerge w:val="continue"/>
            <w:tcBorders>
              <w:top w:val="nil"/>
              <w:bottom w:val="nil"/>
            </w:tcBorders>
          </w:tcPr>
          <w:p>
            <w:pPr>
              <w:rPr>
                <w:rFonts w:ascii="Arial"/>
                <w:sz w:val="21"/>
              </w:rPr>
            </w:pPr>
            <w:r/>
          </w:p>
        </w:tc>
        <w:tc>
          <w:tcPr>
            <w:tcW w:w="3278" w:type="dxa"/>
            <w:vAlign w:val="top"/>
            <w:gridSpan w:val="3"/>
          </w:tcPr>
          <w:p>
            <w:pPr>
              <w:pStyle w:val="TableText"/>
              <w:ind w:left="528"/>
              <w:spacing w:before="48" w:line="211" w:lineRule="auto"/>
              <w:rPr>
                <w:sz w:val="21"/>
                <w:szCs w:val="21"/>
              </w:rPr>
            </w:pPr>
            <w:r>
              <w:rPr>
                <w:sz w:val="21"/>
                <w:szCs w:val="21"/>
                <w:spacing w:val="-1"/>
              </w:rPr>
              <w:t>0.0165t/a(19.1mg/m³)</w:t>
            </w:r>
          </w:p>
        </w:tc>
        <w:tc>
          <w:tcPr>
            <w:tcW w:w="495" w:type="dxa"/>
            <w:vAlign w:val="top"/>
            <w:vMerge w:val="continue"/>
            <w:tcBorders>
              <w:top w:val="nil"/>
              <w:bottom w:val="nil"/>
            </w:tcBorders>
          </w:tcPr>
          <w:p>
            <w:pPr>
              <w:rPr>
                <w:rFonts w:ascii="Arial"/>
                <w:sz w:val="21"/>
              </w:rPr>
            </w:pPr>
            <w:r/>
          </w:p>
        </w:tc>
      </w:tr>
      <w:tr>
        <w:trPr>
          <w:trHeight w:val="270"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880" w:type="dxa"/>
            <w:vAlign w:val="top"/>
          </w:tcPr>
          <w:p>
            <w:pPr>
              <w:pStyle w:val="TableText"/>
              <w:ind w:left="271"/>
              <w:spacing w:before="90" w:line="170" w:lineRule="exact"/>
              <w:rPr>
                <w:sz w:val="21"/>
                <w:szCs w:val="21"/>
              </w:rPr>
            </w:pPr>
            <w:r>
              <w:rPr>
                <w:sz w:val="21"/>
                <w:szCs w:val="21"/>
                <w:spacing w:val="-1"/>
                <w:position w:val="-2"/>
              </w:rPr>
              <w:t>NOx</w:t>
            </w:r>
          </w:p>
        </w:tc>
        <w:tc>
          <w:tcPr>
            <w:tcW w:w="919" w:type="dxa"/>
            <w:vAlign w:val="top"/>
            <w:vMerge w:val="continue"/>
            <w:tcBorders>
              <w:top w:val="nil"/>
              <w:bottom w:val="nil"/>
            </w:tcBorders>
          </w:tcPr>
          <w:p>
            <w:pPr>
              <w:rPr>
                <w:rFonts w:ascii="Arial"/>
                <w:sz w:val="21"/>
              </w:rPr>
            </w:pPr>
            <w:r/>
          </w:p>
        </w:tc>
        <w:tc>
          <w:tcPr>
            <w:tcW w:w="2728" w:type="dxa"/>
            <w:vAlign w:val="top"/>
          </w:tcPr>
          <w:p>
            <w:pPr>
              <w:pStyle w:val="TableText"/>
              <w:ind w:left="252"/>
              <w:spacing w:before="30" w:line="202" w:lineRule="auto"/>
              <w:rPr>
                <w:sz w:val="21"/>
                <w:szCs w:val="21"/>
              </w:rPr>
            </w:pPr>
            <w:r>
              <w:rPr>
                <w:sz w:val="21"/>
                <w:szCs w:val="21"/>
                <w:spacing w:val="-1"/>
              </w:rPr>
              <w:t>0.0539t/a(62.4mg/m³)</w:t>
            </w:r>
          </w:p>
        </w:tc>
        <w:tc>
          <w:tcPr>
            <w:tcW w:w="5906" w:type="dxa"/>
            <w:vAlign w:val="top"/>
            <w:vMerge w:val="continue"/>
            <w:tcBorders>
              <w:top w:val="nil"/>
              <w:bottom w:val="nil"/>
            </w:tcBorders>
          </w:tcPr>
          <w:p>
            <w:pPr>
              <w:rPr>
                <w:rFonts w:ascii="Arial"/>
                <w:sz w:val="21"/>
              </w:rPr>
            </w:pPr>
            <w:r/>
          </w:p>
        </w:tc>
        <w:tc>
          <w:tcPr>
            <w:tcW w:w="3278" w:type="dxa"/>
            <w:vAlign w:val="top"/>
            <w:gridSpan w:val="3"/>
          </w:tcPr>
          <w:p>
            <w:pPr>
              <w:pStyle w:val="TableText"/>
              <w:ind w:left="528"/>
              <w:spacing w:before="30" w:line="202" w:lineRule="auto"/>
              <w:rPr>
                <w:sz w:val="21"/>
                <w:szCs w:val="21"/>
              </w:rPr>
            </w:pPr>
            <w:r>
              <w:rPr>
                <w:sz w:val="21"/>
                <w:szCs w:val="21"/>
                <w:spacing w:val="-1"/>
              </w:rPr>
              <w:t>0.0539t/a(62.4mg/m³)</w:t>
            </w:r>
          </w:p>
        </w:tc>
        <w:tc>
          <w:tcPr>
            <w:tcW w:w="495" w:type="dxa"/>
            <w:vAlign w:val="top"/>
            <w:vMerge w:val="continue"/>
            <w:tcBorders>
              <w:top w:val="nil"/>
              <w:bottom w:val="nil"/>
            </w:tcBorders>
          </w:tcPr>
          <w:p>
            <w:pPr>
              <w:rPr>
                <w:rFonts w:ascii="Arial"/>
                <w:sz w:val="21"/>
              </w:rPr>
            </w:pPr>
            <w:r/>
          </w:p>
        </w:tc>
      </w:tr>
      <w:tr>
        <w:trPr>
          <w:trHeight w:val="270"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vMerge w:val="continue"/>
            <w:tcBorders>
              <w:top w:val="nil"/>
            </w:tcBorders>
          </w:tcPr>
          <w:p>
            <w:pPr>
              <w:rPr>
                <w:rFonts w:ascii="Arial"/>
                <w:sz w:val="21"/>
              </w:rPr>
            </w:pPr>
            <w:r/>
          </w:p>
        </w:tc>
        <w:tc>
          <w:tcPr>
            <w:tcW w:w="880" w:type="dxa"/>
            <w:vAlign w:val="top"/>
          </w:tcPr>
          <w:p>
            <w:pPr>
              <w:pStyle w:val="TableText"/>
              <w:ind w:left="221"/>
              <w:spacing w:before="70" w:line="167" w:lineRule="auto"/>
              <w:rPr>
                <w:rFonts w:ascii="Calibri" w:hAnsi="Calibri" w:eastAsia="Calibri" w:cs="Calibri"/>
                <w:sz w:val="21"/>
                <w:szCs w:val="21"/>
              </w:rPr>
            </w:pPr>
            <w:r>
              <w:rPr>
                <w:sz w:val="21"/>
                <w:szCs w:val="21"/>
                <w:spacing w:val="-4"/>
              </w:rPr>
              <w:t>SO</w:t>
            </w:r>
            <w:r>
              <w:rPr>
                <w:rFonts w:ascii="Calibri" w:hAnsi="Calibri" w:eastAsia="Calibri" w:cs="Calibri"/>
                <w:sz w:val="21"/>
                <w:szCs w:val="21"/>
                <w:spacing w:val="-4"/>
              </w:rPr>
              <w:t>₂</w:t>
            </w:r>
          </w:p>
        </w:tc>
        <w:tc>
          <w:tcPr>
            <w:tcW w:w="919" w:type="dxa"/>
            <w:vAlign w:val="top"/>
            <w:vMerge w:val="continue"/>
            <w:tcBorders>
              <w:top w:val="nil"/>
            </w:tcBorders>
          </w:tcPr>
          <w:p>
            <w:pPr>
              <w:rPr>
                <w:rFonts w:ascii="Arial"/>
                <w:sz w:val="21"/>
              </w:rPr>
            </w:pPr>
            <w:r/>
          </w:p>
        </w:tc>
        <w:tc>
          <w:tcPr>
            <w:tcW w:w="2728" w:type="dxa"/>
            <w:vAlign w:val="top"/>
          </w:tcPr>
          <w:p>
            <w:pPr>
              <w:pStyle w:val="TableText"/>
              <w:ind w:left="252"/>
              <w:spacing w:before="30" w:line="202" w:lineRule="auto"/>
              <w:rPr>
                <w:sz w:val="21"/>
                <w:szCs w:val="21"/>
              </w:rPr>
            </w:pPr>
            <w:r>
              <w:rPr>
                <w:sz w:val="21"/>
                <w:szCs w:val="21"/>
                <w:spacing w:val="-1"/>
              </w:rPr>
              <w:t>0.0115t/a(13.3mg/m³)</w:t>
            </w:r>
          </w:p>
        </w:tc>
        <w:tc>
          <w:tcPr>
            <w:tcW w:w="5906" w:type="dxa"/>
            <w:vAlign w:val="top"/>
            <w:vMerge w:val="continue"/>
            <w:tcBorders>
              <w:top w:val="nil"/>
            </w:tcBorders>
          </w:tcPr>
          <w:p>
            <w:pPr>
              <w:rPr>
                <w:rFonts w:ascii="Arial"/>
                <w:sz w:val="21"/>
              </w:rPr>
            </w:pPr>
            <w:r/>
          </w:p>
        </w:tc>
        <w:tc>
          <w:tcPr>
            <w:tcW w:w="3278" w:type="dxa"/>
            <w:vAlign w:val="top"/>
            <w:gridSpan w:val="3"/>
          </w:tcPr>
          <w:p>
            <w:pPr>
              <w:pStyle w:val="TableText"/>
              <w:ind w:left="528"/>
              <w:spacing w:before="30" w:line="202" w:lineRule="auto"/>
              <w:rPr>
                <w:sz w:val="21"/>
                <w:szCs w:val="21"/>
              </w:rPr>
            </w:pPr>
            <w:r>
              <w:rPr>
                <w:sz w:val="21"/>
                <w:szCs w:val="21"/>
                <w:spacing w:val="-1"/>
              </w:rPr>
              <w:t>0.0115t/a(13.3mg/m³)</w:t>
            </w:r>
          </w:p>
        </w:tc>
        <w:tc>
          <w:tcPr>
            <w:tcW w:w="495" w:type="dxa"/>
            <w:vAlign w:val="top"/>
            <w:vMerge w:val="continue"/>
            <w:tcBorders>
              <w:top w:val="nil"/>
            </w:tcBorders>
          </w:tcPr>
          <w:p>
            <w:pPr>
              <w:rPr>
                <w:rFonts w:ascii="Arial"/>
                <w:sz w:val="21"/>
              </w:rPr>
            </w:pPr>
            <w:r/>
          </w:p>
        </w:tc>
      </w:tr>
      <w:tr>
        <w:trPr>
          <w:trHeight w:val="539" w:hRule="atLeast"/>
        </w:trPr>
        <w:tc>
          <w:tcPr>
            <w:tcW w:w="305" w:type="dxa"/>
            <w:vAlign w:val="top"/>
            <w:vMerge w:val="continue"/>
            <w:textDirection w:val="tbRlV"/>
            <w:tcBorders>
              <w:top w:val="nil"/>
              <w:bottom w:val="nil"/>
            </w:tcBorders>
          </w:tcPr>
          <w:p>
            <w:pPr>
              <w:rPr>
                <w:rFonts w:ascii="Arial"/>
                <w:sz w:val="21"/>
              </w:rPr>
            </w:pPr>
            <w:r/>
          </w:p>
        </w:tc>
        <w:tc>
          <w:tcPr>
            <w:tcW w:w="799" w:type="dxa"/>
            <w:vAlign w:val="top"/>
          </w:tcPr>
          <w:p>
            <w:pPr>
              <w:pStyle w:val="TableText"/>
              <w:ind w:left="180"/>
              <w:spacing w:before="27" w:line="220" w:lineRule="auto"/>
              <w:rPr>
                <w:sz w:val="21"/>
                <w:szCs w:val="21"/>
              </w:rPr>
            </w:pPr>
            <w:r>
              <w:rPr>
                <w:sz w:val="21"/>
                <w:szCs w:val="21"/>
                <w:color w:val="404040"/>
                <w:spacing w:val="5"/>
              </w:rPr>
              <w:t>固废</w:t>
            </w:r>
          </w:p>
          <w:p>
            <w:pPr>
              <w:pStyle w:val="TableText"/>
              <w:ind w:left="89"/>
              <w:spacing w:before="9" w:line="213" w:lineRule="auto"/>
              <w:rPr>
                <w:sz w:val="21"/>
                <w:szCs w:val="21"/>
              </w:rPr>
            </w:pPr>
            <w:r>
              <w:rPr>
                <w:sz w:val="21"/>
                <w:szCs w:val="21"/>
                <w:spacing w:val="6"/>
              </w:rPr>
              <w:t>暂存间</w:t>
            </w:r>
          </w:p>
        </w:tc>
        <w:tc>
          <w:tcPr>
            <w:tcW w:w="880" w:type="dxa"/>
            <w:vAlign w:val="top"/>
          </w:tcPr>
          <w:p>
            <w:pPr>
              <w:pStyle w:val="TableText"/>
              <w:ind w:left="221"/>
              <w:spacing w:before="176" w:line="219" w:lineRule="auto"/>
              <w:rPr>
                <w:sz w:val="21"/>
                <w:szCs w:val="21"/>
              </w:rPr>
            </w:pPr>
            <w:r>
              <w:rPr>
                <w:sz w:val="21"/>
                <w:szCs w:val="21"/>
                <w:spacing w:val="-3"/>
              </w:rPr>
              <w:t>恶臭</w:t>
            </w:r>
          </w:p>
        </w:tc>
        <w:tc>
          <w:tcPr>
            <w:tcW w:w="3647" w:type="dxa"/>
            <w:vAlign w:val="top"/>
            <w:gridSpan w:val="2"/>
          </w:tcPr>
          <w:p>
            <w:pPr>
              <w:pStyle w:val="TableText"/>
              <w:ind w:left="1600"/>
              <w:spacing w:before="179" w:line="221" w:lineRule="auto"/>
              <w:rPr>
                <w:sz w:val="21"/>
                <w:szCs w:val="21"/>
              </w:rPr>
            </w:pPr>
            <w:r>
              <w:rPr>
                <w:sz w:val="21"/>
                <w:szCs w:val="21"/>
                <w:spacing w:val="-3"/>
              </w:rPr>
              <w:t>少量</w:t>
            </w:r>
          </w:p>
        </w:tc>
        <w:tc>
          <w:tcPr>
            <w:tcW w:w="5906" w:type="dxa"/>
            <w:vAlign w:val="top"/>
          </w:tcPr>
          <w:p>
            <w:pPr>
              <w:pStyle w:val="TableText"/>
              <w:ind w:left="844" w:right="331" w:hanging="520"/>
              <w:spacing w:before="44" w:line="213" w:lineRule="auto"/>
              <w:rPr>
                <w:sz w:val="21"/>
                <w:szCs w:val="21"/>
              </w:rPr>
            </w:pPr>
            <w:r>
              <w:rPr>
                <w:sz w:val="21"/>
                <w:szCs w:val="21"/>
              </w:rPr>
              <w:t>经喷淋+UV光解+活性炭吸附装置(TA002</w:t>
            </w:r>
            <w:r>
              <w:rPr>
                <w:sz w:val="21"/>
                <w:szCs w:val="21"/>
                <w:spacing w:val="-1"/>
              </w:rPr>
              <w:t>)处理后由DA002排</w:t>
            </w:r>
            <w:r>
              <w:rPr>
                <w:sz w:val="21"/>
                <w:szCs w:val="21"/>
              </w:rPr>
              <w:t xml:space="preserve"> </w:t>
            </w:r>
            <w:r>
              <w:rPr>
                <w:sz w:val="21"/>
                <w:szCs w:val="21"/>
                <w:spacing w:val="-1"/>
              </w:rPr>
              <w:t>放，密闭存储、日产日清、定期喷洒除臭剂等</w:t>
            </w:r>
          </w:p>
        </w:tc>
        <w:tc>
          <w:tcPr>
            <w:tcW w:w="3278" w:type="dxa"/>
            <w:vAlign w:val="top"/>
            <w:gridSpan w:val="3"/>
          </w:tcPr>
          <w:p>
            <w:pPr>
              <w:pStyle w:val="TableText"/>
              <w:ind w:left="1428"/>
              <w:spacing w:before="179" w:line="221" w:lineRule="auto"/>
              <w:rPr>
                <w:sz w:val="21"/>
                <w:szCs w:val="21"/>
              </w:rPr>
            </w:pPr>
            <w:r>
              <w:rPr>
                <w:sz w:val="21"/>
                <w:szCs w:val="21"/>
                <w:spacing w:val="-3"/>
              </w:rPr>
              <w:t>少量</w:t>
            </w:r>
          </w:p>
        </w:tc>
        <w:tc>
          <w:tcPr>
            <w:tcW w:w="495" w:type="dxa"/>
            <w:vAlign w:val="top"/>
            <w:textDirection w:val="tbRlV"/>
          </w:tcPr>
          <w:p>
            <w:pPr>
              <w:pStyle w:val="TableText"/>
              <w:ind w:left="148"/>
              <w:spacing w:before="200" w:line="137" w:lineRule="exact"/>
              <w:rPr>
                <w:sz w:val="21"/>
                <w:szCs w:val="21"/>
              </w:rPr>
            </w:pPr>
            <w:r>
              <w:rPr>
                <w:sz w:val="21"/>
                <w:szCs w:val="21"/>
                <w:color w:val="405060"/>
                <w:spacing w:val="52"/>
                <w:w w:val="141"/>
                <w:position w:val="-1"/>
              </w:rPr>
              <w:t>/</w:t>
            </w:r>
          </w:p>
        </w:tc>
      </w:tr>
      <w:tr>
        <w:trPr>
          <w:trHeight w:val="274" w:hRule="atLeast"/>
        </w:trPr>
        <w:tc>
          <w:tcPr>
            <w:tcW w:w="305" w:type="dxa"/>
            <w:vAlign w:val="top"/>
            <w:vMerge w:val="continue"/>
            <w:textDirection w:val="tbRlV"/>
            <w:tcBorders>
              <w:top w:val="nil"/>
            </w:tcBorders>
          </w:tcPr>
          <w:p>
            <w:pPr>
              <w:rPr>
                <w:rFonts w:ascii="Arial"/>
                <w:sz w:val="21"/>
              </w:rPr>
            </w:pPr>
            <w:r/>
          </w:p>
        </w:tc>
        <w:tc>
          <w:tcPr>
            <w:tcW w:w="1679" w:type="dxa"/>
            <w:vAlign w:val="top"/>
            <w:gridSpan w:val="2"/>
          </w:tcPr>
          <w:p>
            <w:pPr>
              <w:pStyle w:val="TableText"/>
              <w:ind w:left="139"/>
              <w:spacing w:before="36" w:line="200" w:lineRule="auto"/>
              <w:rPr>
                <w:sz w:val="21"/>
                <w:szCs w:val="21"/>
              </w:rPr>
            </w:pPr>
            <w:r>
              <w:rPr>
                <w:sz w:val="21"/>
                <w:szCs w:val="21"/>
                <w:spacing w:val="2"/>
              </w:rPr>
              <w:t>柴油发电机烟气</w:t>
            </w:r>
          </w:p>
        </w:tc>
        <w:tc>
          <w:tcPr>
            <w:tcW w:w="3647" w:type="dxa"/>
            <w:vAlign w:val="top"/>
            <w:gridSpan w:val="2"/>
          </w:tcPr>
          <w:p>
            <w:pPr>
              <w:pStyle w:val="TableText"/>
              <w:ind w:left="1600"/>
              <w:spacing w:before="39" w:line="197" w:lineRule="auto"/>
              <w:rPr>
                <w:sz w:val="21"/>
                <w:szCs w:val="21"/>
              </w:rPr>
            </w:pPr>
            <w:r>
              <w:rPr>
                <w:sz w:val="21"/>
                <w:szCs w:val="21"/>
                <w:spacing w:val="-3"/>
              </w:rPr>
              <w:t>少量</w:t>
            </w:r>
          </w:p>
        </w:tc>
        <w:tc>
          <w:tcPr>
            <w:tcW w:w="5906" w:type="dxa"/>
            <w:vAlign w:val="top"/>
          </w:tcPr>
          <w:p>
            <w:pPr>
              <w:pStyle w:val="TableText"/>
              <w:ind w:left="1054"/>
              <w:spacing w:before="37" w:line="199" w:lineRule="auto"/>
              <w:rPr>
                <w:sz w:val="21"/>
                <w:szCs w:val="21"/>
              </w:rPr>
            </w:pPr>
            <w:r>
              <w:rPr>
                <w:sz w:val="21"/>
                <w:szCs w:val="21"/>
                <w:spacing w:val="-1"/>
              </w:rPr>
              <w:t>经自带废气处理设施处置后引至屋顶排放</w:t>
            </w:r>
          </w:p>
        </w:tc>
        <w:tc>
          <w:tcPr>
            <w:tcW w:w="3278" w:type="dxa"/>
            <w:vAlign w:val="top"/>
            <w:gridSpan w:val="3"/>
          </w:tcPr>
          <w:p>
            <w:pPr>
              <w:pStyle w:val="TableText"/>
              <w:ind w:left="1428"/>
              <w:spacing w:before="39" w:line="197" w:lineRule="auto"/>
              <w:rPr>
                <w:sz w:val="21"/>
                <w:szCs w:val="21"/>
              </w:rPr>
            </w:pPr>
            <w:r>
              <w:rPr>
                <w:sz w:val="21"/>
                <w:szCs w:val="21"/>
                <w:spacing w:val="-3"/>
              </w:rPr>
              <w:t>少量</w:t>
            </w:r>
          </w:p>
        </w:tc>
        <w:tc>
          <w:tcPr>
            <w:tcW w:w="495" w:type="dxa"/>
            <w:vAlign w:val="top"/>
          </w:tcPr>
          <w:p>
            <w:pPr>
              <w:pStyle w:val="TableText"/>
              <w:ind w:left="189"/>
              <w:spacing w:before="43" w:line="194" w:lineRule="auto"/>
              <w:rPr>
                <w:sz w:val="21"/>
                <w:szCs w:val="21"/>
              </w:rPr>
            </w:pPr>
            <w:r>
              <w:rPr>
                <w:sz w:val="21"/>
                <w:szCs w:val="21"/>
                <w:color w:val="404050"/>
              </w:rPr>
              <w:t>/</w:t>
            </w:r>
          </w:p>
        </w:tc>
      </w:tr>
    </w:tbl>
    <w:p>
      <w:pPr>
        <w:pStyle w:val="BodyText"/>
        <w:rPr/>
      </w:pPr>
      <w:r/>
    </w:p>
    <w:p>
      <w:pPr>
        <w:sectPr>
          <w:headerReference w:type="default" r:id="rId369"/>
          <w:footerReference w:type="default" r:id="rId370"/>
          <w:pgSz w:w="16840" w:h="11910"/>
          <w:pgMar w:top="1207" w:right="814" w:bottom="982" w:left="704" w:header="915" w:footer="811" w:gutter="0"/>
        </w:sectPr>
        <w:rPr/>
      </w:pPr>
    </w:p>
    <w:p>
      <w:pPr>
        <w:spacing w:line="217" w:lineRule="exact"/>
        <w:rPr/>
      </w:pPr>
      <w:r/>
    </w:p>
    <w:tbl>
      <w:tblPr>
        <w:tblStyle w:val="TableNormal"/>
        <w:tblW w:w="1535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5"/>
        <w:gridCol w:w="829"/>
        <w:gridCol w:w="899"/>
        <w:gridCol w:w="889"/>
        <w:gridCol w:w="2748"/>
        <w:gridCol w:w="5906"/>
        <w:gridCol w:w="1109"/>
        <w:gridCol w:w="2189"/>
        <w:gridCol w:w="505"/>
      </w:tblGrid>
      <w:tr>
        <w:trPr>
          <w:trHeight w:val="574" w:hRule="atLeast"/>
        </w:trPr>
        <w:tc>
          <w:tcPr>
            <w:tcW w:w="285" w:type="dxa"/>
            <w:vAlign w:val="top"/>
          </w:tcPr>
          <w:p>
            <w:pPr>
              <w:rPr>
                <w:rFonts w:ascii="Arial"/>
                <w:sz w:val="21"/>
              </w:rPr>
            </w:pPr>
            <w:r/>
          </w:p>
        </w:tc>
        <w:tc>
          <w:tcPr>
            <w:tcW w:w="829" w:type="dxa"/>
            <w:vAlign w:val="top"/>
          </w:tcPr>
          <w:p>
            <w:pPr>
              <w:pStyle w:val="TableText"/>
              <w:ind w:left="199"/>
              <w:spacing w:before="193" w:line="220" w:lineRule="auto"/>
              <w:rPr>
                <w:sz w:val="20"/>
                <w:szCs w:val="20"/>
              </w:rPr>
            </w:pPr>
            <w:r>
              <w:rPr>
                <w:sz w:val="20"/>
                <w:szCs w:val="20"/>
                <w:spacing w:val="-2"/>
              </w:rPr>
              <w:t>食堂</w:t>
            </w:r>
          </w:p>
        </w:tc>
        <w:tc>
          <w:tcPr>
            <w:tcW w:w="899" w:type="dxa"/>
            <w:vAlign w:val="top"/>
          </w:tcPr>
          <w:p>
            <w:pPr>
              <w:pStyle w:val="TableText"/>
              <w:ind w:left="40"/>
              <w:spacing w:before="193" w:line="220" w:lineRule="auto"/>
              <w:rPr>
                <w:sz w:val="20"/>
                <w:szCs w:val="20"/>
              </w:rPr>
            </w:pPr>
            <w:r>
              <w:rPr>
                <w:sz w:val="20"/>
                <w:szCs w:val="20"/>
                <w:spacing w:val="3"/>
              </w:rPr>
              <w:t>油烟废气</w:t>
            </w:r>
          </w:p>
        </w:tc>
        <w:tc>
          <w:tcPr>
            <w:tcW w:w="3637" w:type="dxa"/>
            <w:vAlign w:val="top"/>
            <w:gridSpan w:val="2"/>
          </w:tcPr>
          <w:p>
            <w:pPr>
              <w:pStyle w:val="TableText"/>
              <w:ind w:left="901"/>
              <w:spacing w:before="186" w:line="214" w:lineRule="auto"/>
              <w:rPr>
                <w:sz w:val="20"/>
                <w:szCs w:val="20"/>
              </w:rPr>
            </w:pPr>
            <w:r>
              <w:rPr>
                <w:sz w:val="20"/>
                <w:szCs w:val="20"/>
                <w:spacing w:val="-1"/>
              </w:rPr>
              <w:t>0.06t/a(2.5mg/m³)</w:t>
            </w:r>
          </w:p>
        </w:tc>
        <w:tc>
          <w:tcPr>
            <w:tcW w:w="5906" w:type="dxa"/>
            <w:vAlign w:val="top"/>
          </w:tcPr>
          <w:p>
            <w:pPr>
              <w:pStyle w:val="TableText"/>
              <w:ind w:left="884"/>
              <w:spacing w:before="193" w:line="219" w:lineRule="auto"/>
              <w:rPr>
                <w:sz w:val="20"/>
                <w:szCs w:val="20"/>
              </w:rPr>
            </w:pPr>
            <w:r>
              <w:rPr>
                <w:sz w:val="20"/>
                <w:szCs w:val="20"/>
                <w:spacing w:val="-1"/>
              </w:rPr>
              <w:t>经油烟净化装置处置后引至屋顶(DA006)排放</w:t>
            </w:r>
          </w:p>
        </w:tc>
        <w:tc>
          <w:tcPr>
            <w:tcW w:w="3298" w:type="dxa"/>
            <w:vAlign w:val="top"/>
            <w:gridSpan w:val="2"/>
          </w:tcPr>
          <w:p>
            <w:pPr>
              <w:pStyle w:val="TableText"/>
              <w:ind w:left="678"/>
              <w:spacing w:before="186" w:line="214" w:lineRule="auto"/>
              <w:rPr>
                <w:sz w:val="20"/>
                <w:szCs w:val="20"/>
              </w:rPr>
            </w:pPr>
            <w:r>
              <w:rPr>
                <w:sz w:val="20"/>
                <w:szCs w:val="20"/>
                <w:spacing w:val="-1"/>
              </w:rPr>
              <w:t>0.009t/a(0.3mg/m³)</w:t>
            </w:r>
          </w:p>
        </w:tc>
        <w:tc>
          <w:tcPr>
            <w:tcW w:w="505" w:type="dxa"/>
            <w:vAlign w:val="top"/>
          </w:tcPr>
          <w:p>
            <w:pPr>
              <w:pStyle w:val="TableText"/>
              <w:ind w:left="50"/>
              <w:spacing w:before="13" w:line="220" w:lineRule="auto"/>
              <w:rPr>
                <w:sz w:val="20"/>
                <w:szCs w:val="20"/>
              </w:rPr>
            </w:pPr>
            <w:r>
              <w:rPr>
                <w:sz w:val="20"/>
                <w:szCs w:val="20"/>
                <w:spacing w:val="-2"/>
              </w:rPr>
              <w:t>达标</w:t>
            </w:r>
          </w:p>
          <w:p>
            <w:pPr>
              <w:pStyle w:val="TableText"/>
              <w:ind w:left="50"/>
              <w:spacing w:before="42" w:line="221" w:lineRule="auto"/>
              <w:rPr>
                <w:sz w:val="20"/>
                <w:szCs w:val="20"/>
              </w:rPr>
            </w:pPr>
            <w:r>
              <w:rPr>
                <w:sz w:val="20"/>
                <w:szCs w:val="20"/>
                <w:spacing w:val="-2"/>
              </w:rPr>
              <w:t>排放</w:t>
            </w:r>
          </w:p>
        </w:tc>
      </w:tr>
      <w:tr>
        <w:trPr>
          <w:trHeight w:val="2147" w:hRule="atLeast"/>
        </w:trPr>
        <w:tc>
          <w:tcPr>
            <w:tcW w:w="285" w:type="dxa"/>
            <w:vAlign w:val="top"/>
            <w:vMerge w:val="restart"/>
            <w:textDirection w:val="tbRlV"/>
            <w:tcBorders>
              <w:bottom w:val="nil"/>
            </w:tcBorders>
          </w:tcPr>
          <w:p>
            <w:pPr>
              <w:pStyle w:val="TableText"/>
              <w:ind w:left="3862"/>
              <w:spacing w:before="59" w:line="200" w:lineRule="auto"/>
              <w:rPr>
                <w:sz w:val="20"/>
                <w:szCs w:val="20"/>
              </w:rPr>
            </w:pPr>
            <w:r>
              <w:rPr>
                <w:sz w:val="20"/>
                <w:szCs w:val="20"/>
              </w:rPr>
              <w:t>废</w:t>
            </w:r>
            <w:r>
              <w:rPr>
                <w:sz w:val="20"/>
                <w:szCs w:val="20"/>
                <w:spacing w:val="32"/>
              </w:rPr>
              <w:t xml:space="preserve"> </w:t>
            </w:r>
            <w:r>
              <w:rPr>
                <w:sz w:val="20"/>
                <w:szCs w:val="20"/>
              </w:rPr>
              <w:t>水</w:t>
            </w:r>
          </w:p>
        </w:tc>
        <w:tc>
          <w:tcPr>
            <w:tcW w:w="829" w:type="dxa"/>
            <w:vAlign w:val="top"/>
            <w:vMerge w:val="restart"/>
            <w:tcBorders>
              <w:bottom w:val="nil"/>
            </w:tcBorders>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pStyle w:val="TableText"/>
              <w:spacing w:before="65" w:line="219" w:lineRule="auto"/>
              <w:rPr>
                <w:sz w:val="20"/>
                <w:szCs w:val="20"/>
              </w:rPr>
            </w:pPr>
            <w:r>
              <w:rPr>
                <w:sz w:val="20"/>
                <w:szCs w:val="20"/>
                <w:spacing w:val="-2"/>
              </w:rPr>
              <w:t>生产废水</w:t>
            </w:r>
          </w:p>
        </w:tc>
        <w:tc>
          <w:tcPr>
            <w:tcW w:w="899" w:type="dxa"/>
            <w:vAlign w:val="top"/>
            <w:vMerge w:val="restart"/>
            <w:tcBorders>
              <w:bottom w:val="nil"/>
            </w:tcBorders>
          </w:tcPr>
          <w:p>
            <w:pPr>
              <w:spacing w:line="299" w:lineRule="auto"/>
              <w:rPr>
                <w:rFonts w:ascii="Arial"/>
                <w:sz w:val="21"/>
              </w:rPr>
            </w:pPr>
            <w:r/>
          </w:p>
          <w:p>
            <w:pPr>
              <w:spacing w:line="299" w:lineRule="auto"/>
              <w:rPr>
                <w:rFonts w:ascii="Arial"/>
                <w:sz w:val="21"/>
              </w:rPr>
            </w:pPr>
            <w:r/>
          </w:p>
          <w:p>
            <w:pPr>
              <w:spacing w:line="300" w:lineRule="auto"/>
              <w:rPr>
                <w:rFonts w:ascii="Arial"/>
                <w:sz w:val="21"/>
              </w:rPr>
            </w:pPr>
            <w:r/>
          </w:p>
          <w:p>
            <w:pPr>
              <w:pStyle w:val="TableText"/>
              <w:ind w:left="140"/>
              <w:spacing w:before="65" w:line="219" w:lineRule="auto"/>
              <w:rPr>
                <w:sz w:val="20"/>
                <w:szCs w:val="20"/>
              </w:rPr>
            </w:pPr>
            <w:r>
              <w:rPr>
                <w:sz w:val="20"/>
                <w:szCs w:val="20"/>
                <w:spacing w:val="-2"/>
              </w:rPr>
              <w:t>屠宰废</w:t>
            </w:r>
          </w:p>
          <w:p>
            <w:pPr>
              <w:pStyle w:val="TableText"/>
              <w:ind w:left="40"/>
              <w:spacing w:before="52" w:line="219" w:lineRule="auto"/>
              <w:rPr>
                <w:sz w:val="20"/>
                <w:szCs w:val="20"/>
              </w:rPr>
            </w:pPr>
            <w:r>
              <w:rPr>
                <w:sz w:val="20"/>
                <w:szCs w:val="20"/>
                <w:spacing w:val="-2"/>
              </w:rPr>
              <w:t>水、车辆</w:t>
            </w:r>
          </w:p>
          <w:p>
            <w:pPr>
              <w:pStyle w:val="TableText"/>
              <w:ind w:left="140"/>
              <w:spacing w:before="33" w:line="220" w:lineRule="auto"/>
              <w:rPr>
                <w:sz w:val="20"/>
                <w:szCs w:val="20"/>
              </w:rPr>
            </w:pPr>
            <w:r>
              <w:rPr>
                <w:sz w:val="20"/>
                <w:szCs w:val="20"/>
                <w:spacing w:val="-2"/>
              </w:rPr>
              <w:t>清洗废</w:t>
            </w:r>
          </w:p>
          <w:p>
            <w:pPr>
              <w:pStyle w:val="TableText"/>
              <w:ind w:left="40"/>
              <w:spacing w:before="41" w:line="219" w:lineRule="auto"/>
              <w:rPr>
                <w:sz w:val="20"/>
                <w:szCs w:val="20"/>
              </w:rPr>
            </w:pPr>
            <w:r>
              <w:rPr>
                <w:sz w:val="20"/>
                <w:szCs w:val="20"/>
                <w:spacing w:val="4"/>
              </w:rPr>
              <w:t>水、冷却</w:t>
            </w:r>
          </w:p>
          <w:p>
            <w:pPr>
              <w:pStyle w:val="TableText"/>
              <w:ind w:left="140"/>
              <w:spacing w:before="23" w:line="221" w:lineRule="auto"/>
              <w:rPr>
                <w:sz w:val="20"/>
                <w:szCs w:val="20"/>
              </w:rPr>
            </w:pPr>
            <w:r>
              <w:rPr>
                <w:sz w:val="20"/>
                <w:szCs w:val="20"/>
                <w:spacing w:val="-3"/>
              </w:rPr>
              <w:t>系统排</w:t>
            </w:r>
          </w:p>
          <w:p>
            <w:pPr>
              <w:pStyle w:val="TableText"/>
              <w:ind w:left="40"/>
              <w:spacing w:before="40" w:line="219" w:lineRule="auto"/>
              <w:rPr>
                <w:sz w:val="20"/>
                <w:szCs w:val="20"/>
              </w:rPr>
            </w:pPr>
            <w:r>
              <w:rPr>
                <w:sz w:val="20"/>
                <w:szCs w:val="20"/>
                <w:spacing w:val="3"/>
              </w:rPr>
              <w:t>水、初期</w:t>
            </w:r>
          </w:p>
          <w:p>
            <w:pPr>
              <w:pStyle w:val="TableText"/>
              <w:ind w:left="40"/>
              <w:spacing w:before="33" w:line="219" w:lineRule="auto"/>
              <w:rPr>
                <w:sz w:val="20"/>
                <w:szCs w:val="20"/>
              </w:rPr>
            </w:pPr>
            <w:r>
              <w:rPr>
                <w:sz w:val="20"/>
                <w:szCs w:val="20"/>
                <w:spacing w:val="2"/>
              </w:rPr>
              <w:t>雨水、蒸</w:t>
            </w:r>
          </w:p>
          <w:p>
            <w:pPr>
              <w:pStyle w:val="TableText"/>
              <w:ind w:left="40"/>
              <w:spacing w:before="23" w:line="220" w:lineRule="auto"/>
              <w:rPr>
                <w:sz w:val="20"/>
                <w:szCs w:val="20"/>
              </w:rPr>
            </w:pPr>
            <w:r>
              <w:rPr>
                <w:sz w:val="20"/>
                <w:szCs w:val="20"/>
                <w:spacing w:val="-2"/>
              </w:rPr>
              <w:t>汽发生器</w:t>
            </w:r>
          </w:p>
          <w:p>
            <w:pPr>
              <w:pStyle w:val="TableText"/>
              <w:ind w:left="240"/>
              <w:spacing w:before="21" w:line="219" w:lineRule="auto"/>
              <w:rPr>
                <w:sz w:val="20"/>
                <w:szCs w:val="20"/>
              </w:rPr>
            </w:pPr>
            <w:r>
              <w:rPr>
                <w:sz w:val="20"/>
                <w:szCs w:val="20"/>
                <w:spacing w:val="-2"/>
              </w:rPr>
              <w:t>废水</w:t>
            </w:r>
          </w:p>
        </w:tc>
        <w:tc>
          <w:tcPr>
            <w:tcW w:w="889" w:type="dxa"/>
            <w:vAlign w:val="top"/>
          </w:tcPr>
          <w:p>
            <w:pPr>
              <w:spacing w:line="302" w:lineRule="auto"/>
              <w:rPr>
                <w:rFonts w:ascii="Arial"/>
                <w:sz w:val="21"/>
              </w:rPr>
            </w:pPr>
            <w:r/>
          </w:p>
          <w:p>
            <w:pPr>
              <w:spacing w:line="302" w:lineRule="auto"/>
              <w:rPr>
                <w:rFonts w:ascii="Arial"/>
                <w:sz w:val="21"/>
              </w:rPr>
            </w:pPr>
            <w:r/>
          </w:p>
          <w:p>
            <w:pPr>
              <w:spacing w:line="303" w:lineRule="auto"/>
              <w:rPr>
                <w:rFonts w:ascii="Arial"/>
                <w:sz w:val="21"/>
              </w:rPr>
            </w:pPr>
            <w:r/>
          </w:p>
          <w:p>
            <w:pPr>
              <w:pStyle w:val="TableText"/>
              <w:ind w:left="231"/>
              <w:spacing w:before="65" w:line="219" w:lineRule="auto"/>
              <w:rPr>
                <w:sz w:val="20"/>
                <w:szCs w:val="20"/>
              </w:rPr>
            </w:pPr>
            <w:r>
              <w:rPr>
                <w:sz w:val="20"/>
                <w:szCs w:val="20"/>
                <w:spacing w:val="-3"/>
              </w:rPr>
              <w:t>淡季</w:t>
            </w:r>
          </w:p>
        </w:tc>
        <w:tc>
          <w:tcPr>
            <w:tcW w:w="2748" w:type="dxa"/>
            <w:vAlign w:val="top"/>
          </w:tcPr>
          <w:p>
            <w:pPr>
              <w:pStyle w:val="TableText"/>
              <w:ind w:left="562"/>
              <w:spacing w:before="19" w:line="219" w:lineRule="auto"/>
              <w:rPr>
                <w:sz w:val="20"/>
                <w:szCs w:val="20"/>
              </w:rPr>
            </w:pPr>
            <w:r>
              <w:rPr>
                <w:sz w:val="20"/>
                <w:szCs w:val="20"/>
                <w:spacing w:val="-1"/>
              </w:rPr>
              <w:t>排水量：175932ta</w:t>
            </w:r>
          </w:p>
          <w:p>
            <w:pPr>
              <w:pStyle w:val="TableText"/>
              <w:ind w:left="112" w:right="128"/>
              <w:spacing w:before="37" w:line="252" w:lineRule="auto"/>
              <w:rPr>
                <w:sz w:val="20"/>
                <w:szCs w:val="20"/>
              </w:rPr>
            </w:pPr>
            <w:r>
              <w:rPr>
                <w:sz w:val="20"/>
                <w:szCs w:val="20"/>
                <w:spacing w:val="-1"/>
              </w:rPr>
              <w:t>COD:354.9663t/a2017.63mgL</w:t>
            </w:r>
            <w:r>
              <w:rPr>
                <w:sz w:val="20"/>
                <w:szCs w:val="20"/>
                <w:spacing w:val="17"/>
              </w:rPr>
              <w:t xml:space="preserve"> </w:t>
            </w:r>
            <w:r>
              <w:rPr>
                <w:sz w:val="20"/>
                <w:szCs w:val="20"/>
              </w:rPr>
              <w:t>BOD:160.1100V/a910.0</w:t>
            </w:r>
            <w:r>
              <w:rPr>
                <w:sz w:val="20"/>
                <w:szCs w:val="20"/>
                <w:spacing w:val="-1"/>
              </w:rPr>
              <w:t>7mg/L</w:t>
            </w:r>
            <w:r>
              <w:rPr>
                <w:sz w:val="20"/>
                <w:szCs w:val="20"/>
              </w:rPr>
              <w:t xml:space="preserve"> </w:t>
            </w:r>
            <w:r>
              <w:rPr>
                <w:sz w:val="20"/>
                <w:szCs w:val="20"/>
              </w:rPr>
              <w:t>SS</w:t>
            </w:r>
            <w:r>
              <w:rPr>
                <w:sz w:val="20"/>
                <w:szCs w:val="20"/>
                <w:spacing w:val="2"/>
              </w:rPr>
              <w:t>:154.1768t/a876.34</w:t>
            </w:r>
            <w:r>
              <w:rPr>
                <w:sz w:val="20"/>
                <w:szCs w:val="20"/>
              </w:rPr>
              <w:t>mg</w:t>
            </w:r>
            <w:r>
              <w:rPr>
                <w:sz w:val="20"/>
                <w:szCs w:val="20"/>
                <w:spacing w:val="2"/>
              </w:rPr>
              <w:t>/L</w:t>
            </w:r>
          </w:p>
          <w:p>
            <w:pPr>
              <w:pStyle w:val="TableText"/>
              <w:ind w:left="112" w:firstLine="109"/>
              <w:spacing w:before="1" w:line="244" w:lineRule="auto"/>
              <w:rPr>
                <w:sz w:val="20"/>
                <w:szCs w:val="20"/>
              </w:rPr>
            </w:pPr>
            <w:r>
              <w:rPr>
                <w:sz w:val="20"/>
                <w:szCs w:val="20"/>
                <w:spacing w:val="-4"/>
              </w:rPr>
              <w:t>氨氮：26.8298t/a150.50mg/L</w:t>
            </w:r>
            <w:r>
              <w:rPr>
                <w:sz w:val="20"/>
                <w:szCs w:val="20"/>
                <w:spacing w:val="6"/>
              </w:rPr>
              <w:t xml:space="preserve"> </w:t>
            </w:r>
            <w:r>
              <w:rPr>
                <w:sz w:val="20"/>
                <w:szCs w:val="20"/>
                <w:spacing w:val="-1"/>
              </w:rPr>
              <w:t>总氮：294162t/a167.20mg/L</w:t>
            </w:r>
          </w:p>
          <w:p>
            <w:pPr>
              <w:pStyle w:val="TableText"/>
              <w:ind w:left="12" w:firstLine="309"/>
              <w:spacing w:before="1" w:line="220" w:lineRule="auto"/>
              <w:rPr>
                <w:sz w:val="20"/>
                <w:szCs w:val="20"/>
              </w:rPr>
            </w:pPr>
            <w:r>
              <w:rPr>
                <w:sz w:val="20"/>
                <w:szCs w:val="20"/>
                <w:spacing w:val="-1"/>
              </w:rPr>
              <w:t>总磷：3.4041t/a19.35mg/L</w:t>
            </w:r>
            <w:r>
              <w:rPr>
                <w:sz w:val="20"/>
                <w:szCs w:val="20"/>
                <w:spacing w:val="6"/>
              </w:rPr>
              <w:t xml:space="preserve"> </w:t>
            </w:r>
            <w:r>
              <w:rPr>
                <w:sz w:val="20"/>
                <w:szCs w:val="20"/>
                <w:spacing w:val="-9"/>
              </w:rPr>
              <w:t>动</w:t>
            </w:r>
            <w:r>
              <w:rPr>
                <w:sz w:val="20"/>
                <w:szCs w:val="20"/>
                <w:spacing w:val="-8"/>
              </w:rPr>
              <w:t>植物油：29.0170ta164.93mg/</w:t>
            </w:r>
            <w:r>
              <w:rPr>
                <w:sz w:val="20"/>
                <w:szCs w:val="20"/>
                <w:spacing w:val="-7"/>
              </w:rPr>
              <w:t>L</w:t>
            </w:r>
          </w:p>
        </w:tc>
        <w:tc>
          <w:tcPr>
            <w:tcW w:w="5906" w:type="dxa"/>
            <w:vAlign w:val="top"/>
            <w:vMerge w:val="restart"/>
            <w:tcBorders>
              <w:bottom w:val="nil"/>
            </w:tcBorders>
          </w:tcPr>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14" w:right="290"/>
              <w:spacing w:before="65" w:line="249" w:lineRule="auto"/>
              <w:rPr>
                <w:sz w:val="20"/>
                <w:szCs w:val="20"/>
              </w:rPr>
            </w:pPr>
            <w:r>
              <w:rPr>
                <w:sz w:val="20"/>
                <w:szCs w:val="20"/>
                <w:spacing w:val="-1"/>
              </w:rPr>
              <w:t>餐饮废水经隔油池处理后与生活污水一同经过厂区内设置的预处</w:t>
            </w:r>
            <w:r>
              <w:rPr>
                <w:sz w:val="20"/>
                <w:szCs w:val="20"/>
                <w:spacing w:val="17"/>
              </w:rPr>
              <w:t xml:space="preserve"> </w:t>
            </w:r>
            <w:r>
              <w:rPr>
                <w:sz w:val="20"/>
                <w:szCs w:val="20"/>
              </w:rPr>
              <w:t>理池处理达《污水综合排放标准》(GB89</w:t>
            </w:r>
            <w:r>
              <w:rPr>
                <w:sz w:val="20"/>
                <w:szCs w:val="20"/>
                <w:spacing w:val="-1"/>
              </w:rPr>
              <w:t>78-1996)中三级标</w:t>
            </w:r>
          </w:p>
          <w:p>
            <w:pPr>
              <w:pStyle w:val="TableText"/>
              <w:ind w:left="14" w:right="290"/>
              <w:spacing w:line="250" w:lineRule="auto"/>
              <w:rPr>
                <w:sz w:val="20"/>
                <w:szCs w:val="20"/>
              </w:rPr>
            </w:pPr>
            <w:r>
              <w:rPr>
                <w:sz w:val="20"/>
                <w:szCs w:val="20"/>
                <w:spacing w:val="-1"/>
              </w:rPr>
              <w:t>准；生产废水、初期雨水、蒸汽发生器废水进入厂区自建污水处</w:t>
            </w:r>
            <w:r>
              <w:rPr>
                <w:sz w:val="20"/>
                <w:szCs w:val="20"/>
                <w:spacing w:val="17"/>
              </w:rPr>
              <w:t xml:space="preserve"> </w:t>
            </w:r>
            <w:r>
              <w:rPr>
                <w:sz w:val="20"/>
                <w:szCs w:val="20"/>
              </w:rPr>
              <w:t>理站(处理工艺为“格栅+调节+气浮+厌氧</w:t>
            </w:r>
            <w:r>
              <w:rPr>
                <w:sz w:val="20"/>
                <w:szCs w:val="20"/>
                <w:spacing w:val="-1"/>
              </w:rPr>
              <w:t>接触池+AOAO+沉淀+</w:t>
            </w:r>
          </w:p>
          <w:p>
            <w:pPr>
              <w:pStyle w:val="TableText"/>
              <w:ind w:left="14" w:right="372"/>
              <w:spacing w:before="4" w:line="254" w:lineRule="auto"/>
              <w:rPr>
                <w:sz w:val="20"/>
                <w:szCs w:val="20"/>
              </w:rPr>
            </w:pPr>
            <w:r>
              <w:rPr>
                <w:sz w:val="20"/>
                <w:szCs w:val="20"/>
                <w:spacing w:val="3"/>
              </w:rPr>
              <w:t>消毒”,处理能力为1100m³/d)处理达到《肉类加工工业水污染</w:t>
            </w:r>
            <w:r>
              <w:rPr>
                <w:sz w:val="20"/>
                <w:szCs w:val="20"/>
                <w:spacing w:val="11"/>
              </w:rPr>
              <w:t xml:space="preserve"> </w:t>
            </w:r>
            <w:r>
              <w:rPr>
                <w:sz w:val="20"/>
                <w:szCs w:val="20"/>
              </w:rPr>
              <w:t>物排放标准》(GB13457-92)表3中(畜类</w:t>
            </w:r>
            <w:r>
              <w:rPr>
                <w:sz w:val="20"/>
                <w:szCs w:val="20"/>
                <w:spacing w:val="-1"/>
              </w:rPr>
              <w:t>屠宰加工)三级标准</w:t>
            </w:r>
          </w:p>
          <w:p>
            <w:pPr>
              <w:pStyle w:val="TableText"/>
              <w:ind w:left="14" w:right="246"/>
              <w:spacing w:before="3" w:line="250" w:lineRule="auto"/>
              <w:rPr>
                <w:sz w:val="20"/>
                <w:szCs w:val="20"/>
              </w:rPr>
            </w:pPr>
            <w:r>
              <w:rPr>
                <w:sz w:val="20"/>
                <w:szCs w:val="20"/>
                <w:spacing w:val="1"/>
              </w:rPr>
              <w:t>后，与生活污水一同经厂区总排口排至园区污水管网，经管网引</w:t>
            </w:r>
            <w:r>
              <w:rPr>
                <w:sz w:val="20"/>
                <w:szCs w:val="20"/>
                <w:spacing w:val="5"/>
              </w:rPr>
              <w:t xml:space="preserve"> </w:t>
            </w:r>
            <w:r>
              <w:rPr>
                <w:sz w:val="20"/>
                <w:szCs w:val="20"/>
                <w:spacing w:val="1"/>
              </w:rPr>
              <w:t>至安州区第三污水处理厂处理，</w:t>
            </w:r>
            <w:r>
              <w:rPr>
                <w:sz w:val="20"/>
                <w:szCs w:val="20"/>
                <w:spacing w:val="-23"/>
              </w:rPr>
              <w:t xml:space="preserve"> </w:t>
            </w:r>
            <w:r>
              <w:rPr>
                <w:sz w:val="20"/>
                <w:szCs w:val="20"/>
              </w:rPr>
              <w:t>CODcr</w:t>
            </w:r>
            <w:r>
              <w:rPr>
                <w:sz w:val="20"/>
                <w:szCs w:val="20"/>
                <w:spacing w:val="1"/>
              </w:rPr>
              <w:t>、</w:t>
            </w:r>
            <w:r>
              <w:rPr>
                <w:sz w:val="20"/>
                <w:szCs w:val="20"/>
              </w:rPr>
              <w:t>BODs</w:t>
            </w:r>
            <w:r>
              <w:rPr>
                <w:sz w:val="20"/>
                <w:szCs w:val="20"/>
                <w:spacing w:val="1"/>
              </w:rPr>
              <w:t>、氨氮、总氮、</w:t>
            </w:r>
          </w:p>
          <w:p>
            <w:pPr>
              <w:pStyle w:val="TableText"/>
              <w:ind w:left="14"/>
              <w:spacing w:before="7" w:line="219" w:lineRule="auto"/>
              <w:rPr>
                <w:sz w:val="20"/>
                <w:szCs w:val="20"/>
              </w:rPr>
            </w:pPr>
            <w:r>
              <w:rPr>
                <w:sz w:val="20"/>
                <w:szCs w:val="20"/>
                <w:spacing w:val="-1"/>
              </w:rPr>
              <w:t>指标达到《四川省岷江、沱江流域水污染物排放标准》</w:t>
            </w:r>
          </w:p>
          <w:p>
            <w:pPr>
              <w:pStyle w:val="TableText"/>
              <w:ind w:left="14" w:right="488" w:firstLine="70"/>
              <w:spacing w:before="34" w:line="247" w:lineRule="auto"/>
              <w:rPr>
                <w:sz w:val="20"/>
                <w:szCs w:val="20"/>
              </w:rPr>
            </w:pPr>
            <w:r>
              <w:rPr>
                <w:sz w:val="20"/>
                <w:szCs w:val="20"/>
              </w:rPr>
              <w:t>(DB51/2311-2016)表1中工业园区集中式污水处理厂排放标准</w:t>
            </w:r>
            <w:r>
              <w:rPr>
                <w:sz w:val="20"/>
                <w:szCs w:val="20"/>
                <w:spacing w:val="8"/>
              </w:rPr>
              <w:t xml:space="preserve"> </w:t>
            </w:r>
            <w:r>
              <w:rPr>
                <w:sz w:val="20"/>
                <w:szCs w:val="20"/>
                <w:spacing w:val="1"/>
              </w:rPr>
              <w:t>限值，总磷指标达到《地表水环境质量标准》(</w:t>
            </w:r>
            <w:r>
              <w:rPr>
                <w:sz w:val="20"/>
                <w:szCs w:val="20"/>
              </w:rPr>
              <w:t>GB</w:t>
            </w:r>
            <w:r>
              <w:rPr>
                <w:sz w:val="20"/>
                <w:szCs w:val="20"/>
                <w:spacing w:val="1"/>
              </w:rPr>
              <w:t>3838-2002)</w:t>
            </w:r>
            <w:r>
              <w:rPr>
                <w:sz w:val="20"/>
                <w:szCs w:val="20"/>
                <w:spacing w:val="12"/>
              </w:rPr>
              <w:t xml:space="preserve"> </w:t>
            </w:r>
            <w:r>
              <w:rPr>
                <w:sz w:val="20"/>
                <w:szCs w:val="20"/>
                <w:spacing w:val="-1"/>
              </w:rPr>
              <w:t>Ⅲ类水质标准，其余指标达到《城镇污水处理厂污染物排放标</w:t>
            </w:r>
            <w:r>
              <w:rPr>
                <w:sz w:val="20"/>
                <w:szCs w:val="20"/>
                <w:spacing w:val="18"/>
              </w:rPr>
              <w:t xml:space="preserve"> </w:t>
            </w:r>
            <w:r>
              <w:rPr>
                <w:sz w:val="20"/>
                <w:szCs w:val="20"/>
              </w:rPr>
              <w:t>准》(GB18918-2002)一级A标准后，排入涪江。</w:t>
            </w:r>
          </w:p>
        </w:tc>
        <w:tc>
          <w:tcPr>
            <w:tcW w:w="1109" w:type="dxa"/>
            <w:vAlign w:val="top"/>
            <w:vMerge w:val="restart"/>
            <w:tcBorders>
              <w:bottom w:val="nil"/>
            </w:tcBorders>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98"/>
              <w:spacing w:before="65" w:line="219" w:lineRule="auto"/>
              <w:rPr>
                <w:sz w:val="20"/>
                <w:szCs w:val="20"/>
              </w:rPr>
            </w:pPr>
            <w:r>
              <w:rPr>
                <w:sz w:val="20"/>
                <w:szCs w:val="20"/>
                <w:spacing w:val="2"/>
              </w:rPr>
              <w:t>淡季(全厂</w:t>
            </w:r>
          </w:p>
          <w:p>
            <w:pPr>
              <w:pStyle w:val="TableText"/>
              <w:ind w:left="49"/>
              <w:spacing w:before="34" w:line="219" w:lineRule="auto"/>
              <w:rPr>
                <w:sz w:val="20"/>
                <w:szCs w:val="20"/>
              </w:rPr>
            </w:pPr>
            <w:r>
              <w:rPr>
                <w:sz w:val="20"/>
                <w:szCs w:val="20"/>
                <w:spacing w:val="-2"/>
              </w:rPr>
              <w:t>废水混合排</w:t>
            </w:r>
          </w:p>
          <w:p>
            <w:pPr>
              <w:pStyle w:val="TableText"/>
              <w:ind w:left="398"/>
              <w:spacing w:before="65" w:line="222" w:lineRule="auto"/>
              <w:rPr>
                <w:sz w:val="20"/>
                <w:szCs w:val="20"/>
              </w:rPr>
            </w:pPr>
            <w:r>
              <w:rPr>
                <w:sz w:val="20"/>
                <w:szCs w:val="20"/>
                <w:spacing w:val="-16"/>
              </w:rPr>
              <w:t>口 )</w:t>
            </w:r>
          </w:p>
        </w:tc>
        <w:tc>
          <w:tcPr>
            <w:tcW w:w="2189" w:type="dxa"/>
            <w:vAlign w:val="top"/>
            <w:vMerge w:val="restart"/>
            <w:tcBorders>
              <w:bottom w:val="nil"/>
            </w:tcBorders>
          </w:tcPr>
          <w:p>
            <w:pPr>
              <w:spacing w:line="354" w:lineRule="auto"/>
              <w:rPr>
                <w:rFonts w:ascii="Arial"/>
                <w:sz w:val="21"/>
              </w:rPr>
            </w:pPr>
            <w:r/>
          </w:p>
          <w:p>
            <w:pPr>
              <w:spacing w:line="355" w:lineRule="auto"/>
              <w:rPr>
                <w:rFonts w:ascii="Arial"/>
                <w:sz w:val="21"/>
              </w:rPr>
            </w:pPr>
            <w:r/>
          </w:p>
          <w:p>
            <w:pPr>
              <w:pStyle w:val="TableText"/>
              <w:ind w:left="239"/>
              <w:spacing w:before="65" w:line="219" w:lineRule="auto"/>
              <w:rPr>
                <w:sz w:val="20"/>
                <w:szCs w:val="20"/>
              </w:rPr>
            </w:pPr>
            <w:r>
              <w:rPr>
                <w:sz w:val="20"/>
                <w:szCs w:val="20"/>
                <w:spacing w:val="-1"/>
              </w:rPr>
              <w:t>排水量：179820t/a</w:t>
            </w:r>
          </w:p>
          <w:p>
            <w:pPr>
              <w:pStyle w:val="TableText"/>
              <w:spacing w:before="35" w:line="214" w:lineRule="auto"/>
              <w:jc w:val="right"/>
              <w:rPr>
                <w:sz w:val="20"/>
                <w:szCs w:val="20"/>
              </w:rPr>
            </w:pPr>
            <w:r>
              <w:rPr>
                <w:sz w:val="20"/>
                <w:szCs w:val="20"/>
                <w:spacing w:val="-2"/>
              </w:rPr>
              <w:t>COD:89.0546t/a49524mg/</w:t>
            </w:r>
          </w:p>
          <w:p>
            <w:pPr>
              <w:pStyle w:val="TableText"/>
              <w:ind w:left="1039"/>
              <w:spacing w:before="78" w:line="160" w:lineRule="exact"/>
              <w:rPr>
                <w:sz w:val="20"/>
                <w:szCs w:val="20"/>
              </w:rPr>
            </w:pPr>
            <w:r>
              <w:rPr>
                <w:sz w:val="20"/>
                <w:szCs w:val="20"/>
                <w:position w:val="-2"/>
              </w:rPr>
              <w:t>L</w:t>
            </w:r>
          </w:p>
          <w:p>
            <w:pPr>
              <w:pStyle w:val="TableText"/>
              <w:spacing w:line="213" w:lineRule="auto"/>
              <w:jc w:val="right"/>
              <w:rPr>
                <w:sz w:val="20"/>
                <w:szCs w:val="20"/>
              </w:rPr>
            </w:pPr>
            <w:r>
              <w:rPr>
                <w:sz w:val="20"/>
                <w:szCs w:val="20"/>
                <w:spacing w:val="-8"/>
              </w:rPr>
              <w:t>BOD:44.6051t/a248.05mg/</w:t>
            </w:r>
          </w:p>
          <w:p>
            <w:pPr>
              <w:pStyle w:val="TableText"/>
              <w:ind w:left="1039"/>
              <w:spacing w:before="78" w:line="167" w:lineRule="auto"/>
              <w:rPr>
                <w:sz w:val="20"/>
                <w:szCs w:val="20"/>
              </w:rPr>
            </w:pPr>
            <w:r>
              <w:rPr>
                <w:sz w:val="20"/>
                <w:szCs w:val="20"/>
              </w:rPr>
              <w:t>L</w:t>
            </w:r>
          </w:p>
          <w:p>
            <w:pPr>
              <w:pStyle w:val="TableText"/>
              <w:ind w:left="99" w:firstLine="9"/>
              <w:spacing w:line="244" w:lineRule="auto"/>
              <w:rPr>
                <w:sz w:val="20"/>
                <w:szCs w:val="20"/>
              </w:rPr>
            </w:pPr>
            <w:r>
              <w:rPr>
                <w:sz w:val="20"/>
                <w:szCs w:val="20"/>
                <w:spacing w:val="-11"/>
              </w:rPr>
              <w:t>SS:5</w:t>
            </w:r>
            <w:r>
              <w:rPr>
                <w:sz w:val="20"/>
                <w:szCs w:val="20"/>
                <w:spacing w:val="-10"/>
              </w:rPr>
              <w:t>3.4017t/a296.97mg</w:t>
            </w:r>
            <w:r>
              <w:rPr>
                <w:sz w:val="20"/>
                <w:szCs w:val="20"/>
                <w:spacing w:val="-11"/>
              </w:rPr>
              <w:t>/</w:t>
            </w:r>
            <w:r>
              <w:rPr>
                <w:sz w:val="20"/>
                <w:szCs w:val="20"/>
                <w:spacing w:val="-7"/>
              </w:rPr>
              <w:t>L</w:t>
            </w:r>
            <w:r>
              <w:rPr>
                <w:sz w:val="20"/>
                <w:szCs w:val="20"/>
              </w:rPr>
              <w:t xml:space="preserve"> </w:t>
            </w:r>
            <w:r>
              <w:rPr>
                <w:sz w:val="20"/>
                <w:szCs w:val="20"/>
                <w:spacing w:val="-17"/>
              </w:rPr>
              <w:t>氨氮：8.0336</w:t>
            </w:r>
            <w:r>
              <w:rPr>
                <w:sz w:val="20"/>
                <w:szCs w:val="20"/>
                <w:spacing w:val="-16"/>
              </w:rPr>
              <w:t>t/a44.68mg/</w:t>
            </w:r>
            <w:r>
              <w:rPr>
                <w:sz w:val="20"/>
                <w:szCs w:val="20"/>
                <w:spacing w:val="-7"/>
              </w:rPr>
              <w:t>L</w:t>
            </w:r>
            <w:r>
              <w:rPr>
                <w:sz w:val="20"/>
                <w:szCs w:val="20"/>
                <w:spacing w:val="13"/>
              </w:rPr>
              <w:t xml:space="preserve"> </w:t>
            </w:r>
            <w:r>
              <w:rPr>
                <w:sz w:val="20"/>
                <w:szCs w:val="20"/>
                <w:spacing w:val="-17"/>
              </w:rPr>
              <w:t>总氮：9.8512</w:t>
            </w:r>
            <w:r>
              <w:rPr>
                <w:sz w:val="20"/>
                <w:szCs w:val="20"/>
                <w:spacing w:val="-16"/>
              </w:rPr>
              <w:t>t/a54.78mg/</w:t>
            </w:r>
            <w:r>
              <w:rPr>
                <w:sz w:val="20"/>
                <w:szCs w:val="20"/>
                <w:spacing w:val="-7"/>
              </w:rPr>
              <w:t>L</w:t>
            </w:r>
          </w:p>
          <w:p>
            <w:pPr>
              <w:pStyle w:val="TableText"/>
              <w:spacing w:before="17" w:line="214" w:lineRule="auto"/>
              <w:jc w:val="right"/>
              <w:rPr>
                <w:sz w:val="20"/>
                <w:szCs w:val="20"/>
              </w:rPr>
            </w:pPr>
            <w:r>
              <w:rPr>
                <w:sz w:val="20"/>
                <w:szCs w:val="20"/>
                <w:spacing w:val="-17"/>
              </w:rPr>
              <w:t>总磷：1.4211</w:t>
            </w:r>
            <w:r>
              <w:rPr>
                <w:sz w:val="20"/>
                <w:szCs w:val="20"/>
                <w:spacing w:val="-16"/>
              </w:rPr>
              <w:t>t/a7.90mg/</w:t>
            </w:r>
            <w:r>
              <w:rPr>
                <w:sz w:val="20"/>
                <w:szCs w:val="20"/>
                <w:spacing w:val="-7"/>
              </w:rPr>
              <w:t>L</w:t>
            </w:r>
          </w:p>
          <w:p>
            <w:pPr>
              <w:pStyle w:val="TableText"/>
              <w:ind w:left="789"/>
              <w:spacing w:before="25" w:line="219" w:lineRule="auto"/>
              <w:rPr>
                <w:sz w:val="20"/>
                <w:szCs w:val="20"/>
              </w:rPr>
            </w:pPr>
            <w:r>
              <w:rPr>
                <w:sz w:val="20"/>
                <w:szCs w:val="20"/>
                <w:spacing w:val="-2"/>
              </w:rPr>
              <w:t>动植物</w:t>
            </w:r>
          </w:p>
          <w:p>
            <w:pPr>
              <w:pStyle w:val="TableText"/>
              <w:spacing w:before="46" w:line="214" w:lineRule="auto"/>
              <w:jc w:val="right"/>
              <w:rPr>
                <w:sz w:val="20"/>
                <w:szCs w:val="20"/>
              </w:rPr>
            </w:pPr>
            <w:r>
              <w:rPr>
                <w:sz w:val="20"/>
                <w:szCs w:val="20"/>
                <w:spacing w:val="-14"/>
              </w:rPr>
              <w:t>油：8.85</w:t>
            </w:r>
            <w:r>
              <w:rPr>
                <w:sz w:val="20"/>
                <w:szCs w:val="20"/>
                <w:spacing w:val="-13"/>
              </w:rPr>
              <w:t>88t/a49.26mg/</w:t>
            </w:r>
            <w:r>
              <w:rPr>
                <w:sz w:val="20"/>
                <w:szCs w:val="20"/>
                <w:spacing w:val="-7"/>
              </w:rPr>
              <w:t>L</w:t>
            </w:r>
          </w:p>
        </w:tc>
        <w:tc>
          <w:tcPr>
            <w:tcW w:w="505" w:type="dxa"/>
            <w:vAlign w:val="top"/>
            <w:vMerge w:val="restart"/>
            <w:tcBorders>
              <w:bottom w:val="nil"/>
            </w:tcBorders>
          </w:tcPr>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50"/>
              <w:spacing w:before="65" w:line="220" w:lineRule="auto"/>
              <w:rPr>
                <w:sz w:val="20"/>
                <w:szCs w:val="20"/>
              </w:rPr>
            </w:pPr>
            <w:r>
              <w:rPr>
                <w:sz w:val="20"/>
                <w:szCs w:val="20"/>
                <w:spacing w:val="-2"/>
              </w:rPr>
              <w:t>达标</w:t>
            </w:r>
          </w:p>
          <w:p>
            <w:pPr>
              <w:pStyle w:val="TableText"/>
              <w:ind w:left="40"/>
              <w:spacing w:before="32" w:line="221" w:lineRule="auto"/>
              <w:rPr>
                <w:sz w:val="20"/>
                <w:szCs w:val="20"/>
              </w:rPr>
            </w:pPr>
            <w:r>
              <w:rPr>
                <w:sz w:val="20"/>
                <w:szCs w:val="20"/>
                <w:spacing w:val="-2"/>
              </w:rPr>
              <w:t>排放</w:t>
            </w:r>
          </w:p>
        </w:tc>
      </w:tr>
      <w:tr>
        <w:trPr>
          <w:trHeight w:val="2187"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continue"/>
            <w:tcBorders>
              <w:top w:val="nil"/>
            </w:tcBorders>
          </w:tcPr>
          <w:p>
            <w:pPr>
              <w:rPr>
                <w:rFonts w:ascii="Arial"/>
                <w:sz w:val="21"/>
              </w:rPr>
            </w:pPr>
            <w:r/>
          </w:p>
        </w:tc>
        <w:tc>
          <w:tcPr>
            <w:tcW w:w="899" w:type="dxa"/>
            <w:vAlign w:val="top"/>
            <w:vMerge w:val="continue"/>
            <w:tcBorders>
              <w:top w:val="nil"/>
            </w:tcBorders>
          </w:tcPr>
          <w:p>
            <w:pPr>
              <w:rPr>
                <w:rFonts w:ascii="Arial"/>
                <w:sz w:val="21"/>
              </w:rPr>
            </w:pPr>
            <w:r/>
          </w:p>
        </w:tc>
        <w:tc>
          <w:tcPr>
            <w:tcW w:w="889" w:type="dxa"/>
            <w:vAlign w:val="top"/>
          </w:tcPr>
          <w:p>
            <w:pPr>
              <w:spacing w:line="310" w:lineRule="auto"/>
              <w:rPr>
                <w:rFonts w:ascii="Arial"/>
                <w:sz w:val="21"/>
              </w:rPr>
            </w:pPr>
            <w:r/>
          </w:p>
          <w:p>
            <w:pPr>
              <w:spacing w:line="310" w:lineRule="auto"/>
              <w:rPr>
                <w:rFonts w:ascii="Arial"/>
                <w:sz w:val="21"/>
              </w:rPr>
            </w:pPr>
            <w:r/>
          </w:p>
          <w:p>
            <w:pPr>
              <w:spacing w:line="311" w:lineRule="auto"/>
              <w:rPr>
                <w:rFonts w:ascii="Arial"/>
                <w:sz w:val="21"/>
              </w:rPr>
            </w:pPr>
            <w:r/>
          </w:p>
          <w:p>
            <w:pPr>
              <w:pStyle w:val="TableText"/>
              <w:ind w:left="231"/>
              <w:spacing w:before="65" w:line="219" w:lineRule="auto"/>
              <w:rPr>
                <w:sz w:val="20"/>
                <w:szCs w:val="20"/>
              </w:rPr>
            </w:pPr>
            <w:r>
              <w:rPr>
                <w:sz w:val="20"/>
                <w:szCs w:val="20"/>
                <w:spacing w:val="3"/>
              </w:rPr>
              <w:t>旺季</w:t>
            </w:r>
          </w:p>
        </w:tc>
        <w:tc>
          <w:tcPr>
            <w:tcW w:w="2748" w:type="dxa"/>
            <w:vAlign w:val="top"/>
          </w:tcPr>
          <w:p>
            <w:pPr>
              <w:pStyle w:val="TableText"/>
              <w:ind w:left="532"/>
              <w:spacing w:before="42" w:line="219" w:lineRule="auto"/>
              <w:rPr>
                <w:sz w:val="20"/>
                <w:szCs w:val="20"/>
              </w:rPr>
            </w:pPr>
            <w:r>
              <w:rPr>
                <w:sz w:val="20"/>
                <w:szCs w:val="20"/>
                <w:spacing w:val="-1"/>
              </w:rPr>
              <w:t>排水量：83892.96t/a</w:t>
            </w:r>
          </w:p>
          <w:p>
            <w:pPr>
              <w:pStyle w:val="TableText"/>
              <w:ind w:left="112" w:right="81" w:hanging="50"/>
              <w:spacing w:before="45" w:line="249" w:lineRule="auto"/>
              <w:tabs>
                <w:tab w:val="left" w:pos="212"/>
              </w:tabs>
              <w:rPr>
                <w:sz w:val="20"/>
                <w:szCs w:val="20"/>
              </w:rPr>
            </w:pPr>
            <w:r>
              <w:rPr>
                <w:sz w:val="20"/>
                <w:szCs w:val="20"/>
                <w:spacing w:val="-1"/>
              </w:rPr>
              <w:t>COD:170.7131t/a2034.89mg/L</w:t>
            </w:r>
            <w:r>
              <w:rPr>
                <w:sz w:val="20"/>
                <w:szCs w:val="20"/>
                <w:spacing w:val="18"/>
              </w:rPr>
              <w:t xml:space="preserve"> </w:t>
            </w:r>
            <w:r>
              <w:rPr>
                <w:sz w:val="20"/>
                <w:szCs w:val="20"/>
              </w:rPr>
              <w:t>BODs:77.0204t/a918.0</w:t>
            </w:r>
            <w:r>
              <w:rPr>
                <w:sz w:val="20"/>
                <w:szCs w:val="20"/>
                <w:spacing w:val="-1"/>
              </w:rPr>
              <w:t>8mg/L</w:t>
            </w:r>
            <w:r>
              <w:rPr>
                <w:sz w:val="20"/>
                <w:szCs w:val="20"/>
              </w:rPr>
              <w:t xml:space="preserve"> </w:t>
            </w:r>
            <w:r>
              <w:rPr>
                <w:sz w:val="20"/>
                <w:szCs w:val="20"/>
              </w:rPr>
              <w:tab/>
            </w:r>
            <w:r>
              <w:rPr>
                <w:sz w:val="20"/>
                <w:szCs w:val="20"/>
                <w:spacing w:val="-1"/>
              </w:rPr>
              <w:t>SS:74.1183t/a883.49mg/L</w:t>
            </w:r>
          </w:p>
          <w:p>
            <w:pPr>
              <w:pStyle w:val="TableText"/>
              <w:ind w:left="102" w:firstLine="149"/>
              <w:spacing w:before="11" w:line="238" w:lineRule="auto"/>
              <w:tabs>
                <w:tab w:val="left" w:pos="332"/>
              </w:tabs>
              <w:jc w:val="right"/>
              <w:rPr>
                <w:sz w:val="20"/>
                <w:szCs w:val="20"/>
              </w:rPr>
            </w:pPr>
            <w:r>
              <w:rPr>
                <w:sz w:val="20"/>
                <w:szCs w:val="20"/>
                <w:spacing w:val="-5"/>
              </w:rPr>
              <w:t>氨氮：12.9025t/a153.80mg/L</w:t>
            </w:r>
            <w:r>
              <w:rPr>
                <w:sz w:val="20"/>
                <w:szCs w:val="20"/>
              </w:rPr>
              <w:t xml:space="preserve"> </w:t>
            </w:r>
            <w:r>
              <w:rPr>
                <w:sz w:val="20"/>
                <w:szCs w:val="20"/>
                <w:spacing w:val="1"/>
              </w:rPr>
              <w:t>总氮：14.1416t/a168.57</w:t>
            </w:r>
            <w:r>
              <w:rPr>
                <w:sz w:val="20"/>
                <w:szCs w:val="20"/>
              </w:rPr>
              <w:t>mg</w:t>
            </w:r>
            <w:r>
              <w:rPr>
                <w:sz w:val="20"/>
                <w:szCs w:val="20"/>
                <w:spacing w:val="1"/>
              </w:rPr>
              <w:t>/L</w:t>
            </w:r>
            <w:r>
              <w:rPr>
                <w:sz w:val="20"/>
                <w:szCs w:val="20"/>
                <w:spacing w:val="13"/>
              </w:rPr>
              <w:t xml:space="preserve"> </w:t>
            </w:r>
            <w:r>
              <w:rPr>
                <w:sz w:val="20"/>
                <w:szCs w:val="20"/>
              </w:rPr>
              <w:tab/>
            </w:r>
            <w:r>
              <w:rPr>
                <w:sz w:val="20"/>
                <w:szCs w:val="20"/>
                <w:spacing w:val="-1"/>
              </w:rPr>
              <w:t>总磷：1.6375tVa19.52mg/L</w:t>
            </w:r>
            <w:r>
              <w:rPr>
                <w:sz w:val="20"/>
                <w:szCs w:val="20"/>
                <w:spacing w:val="6"/>
              </w:rPr>
              <w:t xml:space="preserve"> </w:t>
            </w:r>
            <w:r>
              <w:rPr>
                <w:sz w:val="20"/>
                <w:szCs w:val="20"/>
                <w:spacing w:val="-16"/>
              </w:rPr>
              <w:t>动植物油：13.</w:t>
            </w:r>
            <w:r>
              <w:rPr>
                <w:sz w:val="20"/>
                <w:szCs w:val="20"/>
                <w:spacing w:val="-15"/>
              </w:rPr>
              <w:t>9667t/a166.48mg/</w:t>
            </w:r>
            <w:r>
              <w:rPr>
                <w:sz w:val="20"/>
                <w:szCs w:val="20"/>
                <w:spacing w:val="-7"/>
              </w:rPr>
              <w:t>L</w:t>
            </w:r>
          </w:p>
        </w:tc>
        <w:tc>
          <w:tcPr>
            <w:tcW w:w="5906" w:type="dxa"/>
            <w:vAlign w:val="top"/>
            <w:vMerge w:val="continue"/>
            <w:tcBorders>
              <w:top w:val="nil"/>
              <w:bottom w:val="nil"/>
            </w:tcBorders>
          </w:tcPr>
          <w:p>
            <w:pPr>
              <w:rPr>
                <w:rFonts w:ascii="Arial"/>
                <w:sz w:val="21"/>
              </w:rPr>
            </w:pPr>
            <w:r/>
          </w:p>
        </w:tc>
        <w:tc>
          <w:tcPr>
            <w:tcW w:w="1109" w:type="dxa"/>
            <w:vAlign w:val="top"/>
            <w:vMerge w:val="continue"/>
            <w:tcBorders>
              <w:top w:val="nil"/>
            </w:tcBorders>
          </w:tcPr>
          <w:p>
            <w:pPr>
              <w:rPr>
                <w:rFonts w:ascii="Arial"/>
                <w:sz w:val="21"/>
              </w:rPr>
            </w:pPr>
            <w:r/>
          </w:p>
        </w:tc>
        <w:tc>
          <w:tcPr>
            <w:tcW w:w="2189" w:type="dxa"/>
            <w:vAlign w:val="top"/>
            <w:vMerge w:val="continue"/>
            <w:tcBorders>
              <w:top w:val="nil"/>
            </w:tcBorders>
          </w:tcPr>
          <w:p>
            <w:pPr>
              <w:rPr>
                <w:rFonts w:ascii="Arial"/>
                <w:sz w:val="21"/>
              </w:rPr>
            </w:pPr>
            <w:r/>
          </w:p>
        </w:tc>
        <w:tc>
          <w:tcPr>
            <w:tcW w:w="505" w:type="dxa"/>
            <w:vAlign w:val="top"/>
            <w:vMerge w:val="continue"/>
            <w:tcBorders>
              <w:top w:val="nil"/>
              <w:bottom w:val="nil"/>
            </w:tcBorders>
          </w:tcPr>
          <w:p>
            <w:pPr>
              <w:rPr>
                <w:rFonts w:ascii="Arial"/>
                <w:sz w:val="21"/>
              </w:rPr>
            </w:pPr>
            <w:r/>
          </w:p>
        </w:tc>
      </w:tr>
      <w:tr>
        <w:trPr>
          <w:trHeight w:val="2088"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restart"/>
            <w:tcBorders>
              <w:bottom w:val="nil"/>
            </w:tcBorders>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spacing w:before="65" w:line="219" w:lineRule="auto"/>
              <w:rPr>
                <w:sz w:val="20"/>
                <w:szCs w:val="20"/>
              </w:rPr>
            </w:pPr>
            <w:r>
              <w:rPr>
                <w:sz w:val="20"/>
                <w:szCs w:val="20"/>
                <w:spacing w:val="-2"/>
              </w:rPr>
              <w:t>生活污水</w:t>
            </w:r>
          </w:p>
        </w:tc>
        <w:tc>
          <w:tcPr>
            <w:tcW w:w="899" w:type="dxa"/>
            <w:vAlign w:val="top"/>
            <w:vMerge w:val="restart"/>
            <w:tcBorders>
              <w:bottom w:val="nil"/>
            </w:tcBorders>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40" w:right="58" w:firstLine="100"/>
              <w:spacing w:before="65"/>
              <w:rPr>
                <w:sz w:val="20"/>
                <w:szCs w:val="20"/>
              </w:rPr>
            </w:pPr>
            <w:r>
              <w:rPr>
                <w:sz w:val="20"/>
                <w:szCs w:val="20"/>
                <w:spacing w:val="-4"/>
              </w:rPr>
              <w:t>生活污</w:t>
            </w:r>
            <w:r>
              <w:rPr>
                <w:sz w:val="20"/>
                <w:szCs w:val="20"/>
              </w:rPr>
              <w:t xml:space="preserve">  </w:t>
            </w:r>
            <w:r>
              <w:rPr>
                <w:sz w:val="20"/>
                <w:szCs w:val="20"/>
                <w:spacing w:val="-3"/>
              </w:rPr>
              <w:t>水、餐饮</w:t>
            </w:r>
          </w:p>
          <w:p>
            <w:pPr>
              <w:pStyle w:val="TableText"/>
              <w:ind w:left="240"/>
              <w:spacing w:line="219" w:lineRule="auto"/>
              <w:rPr>
                <w:sz w:val="20"/>
                <w:szCs w:val="20"/>
              </w:rPr>
            </w:pPr>
            <w:r>
              <w:rPr>
                <w:sz w:val="20"/>
                <w:szCs w:val="20"/>
                <w:spacing w:val="-2"/>
              </w:rPr>
              <w:t>废水</w:t>
            </w:r>
          </w:p>
        </w:tc>
        <w:tc>
          <w:tcPr>
            <w:tcW w:w="889" w:type="dxa"/>
            <w:vAlign w:val="top"/>
          </w:tcPr>
          <w:p>
            <w:pPr>
              <w:spacing w:line="294" w:lineRule="auto"/>
              <w:rPr>
                <w:rFonts w:ascii="Arial"/>
                <w:sz w:val="21"/>
              </w:rPr>
            </w:pPr>
            <w:r/>
          </w:p>
          <w:p>
            <w:pPr>
              <w:spacing w:line="294" w:lineRule="auto"/>
              <w:rPr>
                <w:rFonts w:ascii="Arial"/>
                <w:sz w:val="21"/>
              </w:rPr>
            </w:pPr>
            <w:r/>
          </w:p>
          <w:p>
            <w:pPr>
              <w:spacing w:line="295" w:lineRule="auto"/>
              <w:rPr>
                <w:rFonts w:ascii="Arial"/>
                <w:sz w:val="21"/>
              </w:rPr>
            </w:pPr>
            <w:r/>
          </w:p>
          <w:p>
            <w:pPr>
              <w:pStyle w:val="TableText"/>
              <w:ind w:left="231"/>
              <w:spacing w:before="65" w:line="219" w:lineRule="auto"/>
              <w:rPr>
                <w:sz w:val="20"/>
                <w:szCs w:val="20"/>
              </w:rPr>
            </w:pPr>
            <w:r>
              <w:rPr>
                <w:sz w:val="20"/>
                <w:szCs w:val="20"/>
                <w:spacing w:val="-3"/>
              </w:rPr>
              <w:t>淡季</w:t>
            </w:r>
          </w:p>
        </w:tc>
        <w:tc>
          <w:tcPr>
            <w:tcW w:w="2748" w:type="dxa"/>
            <w:vAlign w:val="top"/>
          </w:tcPr>
          <w:p>
            <w:pPr>
              <w:pStyle w:val="TableText"/>
              <w:ind w:left="612"/>
              <w:spacing w:before="55" w:line="219" w:lineRule="auto"/>
              <w:rPr>
                <w:sz w:val="20"/>
                <w:szCs w:val="20"/>
              </w:rPr>
            </w:pPr>
            <w:r>
              <w:rPr>
                <w:sz w:val="20"/>
                <w:szCs w:val="20"/>
                <w:spacing w:val="-1"/>
              </w:rPr>
              <w:t>排水量：3888t/a</w:t>
            </w:r>
          </w:p>
          <w:p>
            <w:pPr>
              <w:pStyle w:val="TableText"/>
              <w:ind w:left="362" w:right="378" w:firstLine="49"/>
              <w:spacing w:before="25" w:line="221" w:lineRule="auto"/>
              <w:rPr>
                <w:sz w:val="20"/>
                <w:szCs w:val="20"/>
              </w:rPr>
            </w:pPr>
            <w:r>
              <w:rPr>
                <w:sz w:val="20"/>
                <w:szCs w:val="20"/>
                <w:spacing w:val="-1"/>
              </w:rPr>
              <w:t>COD:1.2636ta325mg/L</w:t>
            </w:r>
            <w:r>
              <w:rPr>
                <w:sz w:val="20"/>
                <w:szCs w:val="20"/>
                <w:spacing w:val="11"/>
              </w:rPr>
              <w:t xml:space="preserve"> </w:t>
            </w:r>
            <w:r>
              <w:rPr>
                <w:sz w:val="20"/>
                <w:szCs w:val="20"/>
                <w:spacing w:val="-1"/>
              </w:rPr>
              <w:t>BOD5:0.7776ta200mg/L</w:t>
            </w:r>
          </w:p>
          <w:p>
            <w:pPr>
              <w:pStyle w:val="TableText"/>
              <w:ind w:left="542"/>
              <w:spacing w:before="1" w:line="214" w:lineRule="auto"/>
              <w:rPr>
                <w:sz w:val="20"/>
                <w:szCs w:val="20"/>
              </w:rPr>
            </w:pPr>
            <w:r>
              <w:rPr>
                <w:sz w:val="20"/>
                <w:szCs w:val="20"/>
                <w:spacing w:val="-1"/>
              </w:rPr>
              <w:t>SS:0.7776t/a200mg/L</w:t>
            </w:r>
          </w:p>
          <w:p>
            <w:pPr>
              <w:pStyle w:val="TableText"/>
              <w:ind w:left="452"/>
              <w:spacing w:before="28" w:line="243" w:lineRule="auto"/>
              <w:rPr>
                <w:sz w:val="20"/>
                <w:szCs w:val="20"/>
              </w:rPr>
            </w:pPr>
            <w:r>
              <w:rPr>
                <w:sz w:val="20"/>
                <w:szCs w:val="20"/>
                <w:spacing w:val="-1"/>
              </w:rPr>
              <w:t>氨氮：0.1466t/a37.7mg/L</w:t>
            </w:r>
            <w:r>
              <w:rPr>
                <w:sz w:val="20"/>
                <w:szCs w:val="20"/>
              </w:rPr>
              <w:t xml:space="preserve"> </w:t>
            </w:r>
            <w:r>
              <w:rPr>
                <w:sz w:val="20"/>
                <w:szCs w:val="20"/>
                <w:spacing w:val="-1"/>
              </w:rPr>
              <w:t>总氮：0.1936t/a49.8mg/L</w:t>
            </w:r>
            <w:r>
              <w:rPr>
                <w:sz w:val="20"/>
                <w:szCs w:val="20"/>
                <w:spacing w:val="4"/>
              </w:rPr>
              <w:t xml:space="preserve"> </w:t>
            </w:r>
            <w:r>
              <w:rPr>
                <w:sz w:val="20"/>
                <w:szCs w:val="20"/>
                <w:spacing w:val="-2"/>
              </w:rPr>
              <w:t>总磷：0.0166Va4.28mg/L</w:t>
            </w:r>
          </w:p>
          <w:p>
            <w:pPr>
              <w:pStyle w:val="TableText"/>
              <w:spacing w:line="211" w:lineRule="auto"/>
              <w:jc w:val="right"/>
              <w:rPr>
                <w:sz w:val="20"/>
                <w:szCs w:val="20"/>
              </w:rPr>
            </w:pPr>
            <w:r>
              <w:rPr>
                <w:sz w:val="20"/>
                <w:szCs w:val="20"/>
                <w:spacing w:val="-4"/>
              </w:rPr>
              <w:t>动植物油：0.0778t/a20mg/L</w:t>
            </w:r>
          </w:p>
        </w:tc>
        <w:tc>
          <w:tcPr>
            <w:tcW w:w="5906" w:type="dxa"/>
            <w:vAlign w:val="top"/>
            <w:vMerge w:val="continue"/>
            <w:tcBorders>
              <w:top w:val="nil"/>
              <w:bottom w:val="nil"/>
            </w:tcBorders>
          </w:tcPr>
          <w:p>
            <w:pPr>
              <w:rPr>
                <w:rFonts w:ascii="Arial"/>
                <w:sz w:val="21"/>
              </w:rPr>
            </w:pPr>
            <w:r/>
          </w:p>
        </w:tc>
        <w:tc>
          <w:tcPr>
            <w:tcW w:w="1109" w:type="dxa"/>
            <w:vAlign w:val="top"/>
            <w:vMerge w:val="restart"/>
            <w:tcBorders>
              <w:bottom w:val="nil"/>
            </w:tcBorders>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98"/>
              <w:spacing w:before="65" w:line="219" w:lineRule="auto"/>
              <w:rPr>
                <w:sz w:val="20"/>
                <w:szCs w:val="20"/>
              </w:rPr>
            </w:pPr>
            <w:r>
              <w:rPr>
                <w:sz w:val="20"/>
                <w:szCs w:val="20"/>
                <w:spacing w:val="2"/>
              </w:rPr>
              <w:t>旺季(全厂</w:t>
            </w:r>
          </w:p>
          <w:p>
            <w:pPr>
              <w:pStyle w:val="TableText"/>
              <w:ind w:left="49"/>
              <w:spacing w:before="32" w:line="219" w:lineRule="auto"/>
              <w:rPr>
                <w:sz w:val="20"/>
                <w:szCs w:val="20"/>
              </w:rPr>
            </w:pPr>
            <w:r>
              <w:rPr>
                <w:sz w:val="20"/>
                <w:szCs w:val="20"/>
                <w:spacing w:val="-2"/>
              </w:rPr>
              <w:t>废水混合排</w:t>
            </w:r>
          </w:p>
          <w:p>
            <w:pPr>
              <w:pStyle w:val="TableText"/>
              <w:ind w:left="398"/>
              <w:spacing w:before="45" w:line="222" w:lineRule="auto"/>
              <w:rPr>
                <w:sz w:val="20"/>
                <w:szCs w:val="20"/>
              </w:rPr>
            </w:pPr>
            <w:r>
              <w:rPr>
                <w:sz w:val="20"/>
                <w:szCs w:val="20"/>
                <w:spacing w:val="-16"/>
              </w:rPr>
              <w:t>口 )</w:t>
            </w:r>
          </w:p>
        </w:tc>
        <w:tc>
          <w:tcPr>
            <w:tcW w:w="2189" w:type="dxa"/>
            <w:vAlign w:val="top"/>
            <w:vMerge w:val="restart"/>
            <w:tcBorders>
              <w:bottom w:val="nil"/>
            </w:tcBorders>
          </w:tcPr>
          <w:p>
            <w:pPr>
              <w:spacing w:line="318" w:lineRule="auto"/>
              <w:rPr>
                <w:rFonts w:ascii="Arial"/>
                <w:sz w:val="21"/>
              </w:rPr>
            </w:pPr>
            <w:r/>
          </w:p>
          <w:p>
            <w:pPr>
              <w:spacing w:line="318" w:lineRule="auto"/>
              <w:rPr>
                <w:rFonts w:ascii="Arial"/>
                <w:sz w:val="21"/>
              </w:rPr>
            </w:pPr>
            <w:r/>
          </w:p>
          <w:p>
            <w:pPr>
              <w:pStyle w:val="TableText"/>
              <w:ind w:left="189"/>
              <w:spacing w:before="65" w:line="219" w:lineRule="auto"/>
              <w:rPr>
                <w:sz w:val="20"/>
                <w:szCs w:val="20"/>
              </w:rPr>
            </w:pPr>
            <w:r>
              <w:rPr>
                <w:sz w:val="20"/>
                <w:szCs w:val="20"/>
                <w:spacing w:val="-1"/>
              </w:rPr>
              <w:t>排水量：85188.96ta</w:t>
            </w:r>
          </w:p>
          <w:p>
            <w:pPr>
              <w:pStyle w:val="TableText"/>
              <w:spacing w:before="15" w:line="214" w:lineRule="auto"/>
              <w:jc w:val="right"/>
              <w:rPr>
                <w:sz w:val="20"/>
                <w:szCs w:val="20"/>
              </w:rPr>
            </w:pPr>
            <w:r>
              <w:rPr>
                <w:sz w:val="20"/>
                <w:szCs w:val="20"/>
                <w:spacing w:val="-11"/>
              </w:rPr>
              <w:t>COD:</w:t>
            </w:r>
            <w:r>
              <w:rPr>
                <w:sz w:val="20"/>
                <w:szCs w:val="20"/>
                <w:spacing w:val="-10"/>
              </w:rPr>
              <w:t>42.3094t/a496.65mg</w:t>
            </w:r>
            <w:r>
              <w:rPr>
                <w:sz w:val="20"/>
                <w:szCs w:val="20"/>
                <w:spacing w:val="-11"/>
              </w:rPr>
              <w:t>/</w:t>
            </w:r>
            <w:r>
              <w:rPr>
                <w:sz w:val="20"/>
                <w:szCs w:val="20"/>
                <w:spacing w:val="-7"/>
              </w:rPr>
              <w:t>L</w:t>
            </w:r>
          </w:p>
          <w:p>
            <w:pPr>
              <w:pStyle w:val="TableText"/>
              <w:spacing w:before="18" w:line="214" w:lineRule="auto"/>
              <w:jc w:val="right"/>
              <w:rPr>
                <w:sz w:val="20"/>
                <w:szCs w:val="20"/>
              </w:rPr>
            </w:pPr>
            <w:r>
              <w:rPr>
                <w:sz w:val="20"/>
                <w:szCs w:val="20"/>
                <w:spacing w:val="-2"/>
              </w:rPr>
              <w:t>BOD:21.1806ta248.63mg/</w:t>
            </w:r>
          </w:p>
          <w:p>
            <w:pPr>
              <w:pStyle w:val="TableText"/>
              <w:ind w:left="1039"/>
              <w:spacing w:before="67" w:line="176" w:lineRule="auto"/>
              <w:rPr>
                <w:sz w:val="20"/>
                <w:szCs w:val="20"/>
              </w:rPr>
            </w:pPr>
            <w:r>
              <w:rPr>
                <w:sz w:val="20"/>
                <w:szCs w:val="20"/>
              </w:rPr>
              <w:t>L</w:t>
            </w:r>
          </w:p>
          <w:p>
            <w:pPr>
              <w:pStyle w:val="TableText"/>
              <w:spacing w:line="213" w:lineRule="auto"/>
              <w:jc w:val="right"/>
              <w:rPr>
                <w:sz w:val="20"/>
                <w:szCs w:val="20"/>
              </w:rPr>
            </w:pPr>
            <w:r>
              <w:rPr>
                <w:sz w:val="20"/>
                <w:szCs w:val="20"/>
                <w:spacing w:val="-11"/>
              </w:rPr>
              <w:t>SS:2</w:t>
            </w:r>
            <w:r>
              <w:rPr>
                <w:sz w:val="20"/>
                <w:szCs w:val="20"/>
                <w:spacing w:val="-10"/>
              </w:rPr>
              <w:t>5.3752t/a297.87mg</w:t>
            </w:r>
            <w:r>
              <w:rPr>
                <w:sz w:val="20"/>
                <w:szCs w:val="20"/>
                <w:spacing w:val="-11"/>
              </w:rPr>
              <w:t>/</w:t>
            </w:r>
            <w:r>
              <w:rPr>
                <w:sz w:val="20"/>
                <w:szCs w:val="20"/>
                <w:spacing w:val="-7"/>
              </w:rPr>
              <w:t>L</w:t>
            </w:r>
          </w:p>
          <w:p>
            <w:pPr>
              <w:pStyle w:val="TableText"/>
              <w:spacing w:before="9" w:line="214" w:lineRule="auto"/>
              <w:jc w:val="right"/>
              <w:rPr>
                <w:sz w:val="20"/>
                <w:szCs w:val="20"/>
              </w:rPr>
            </w:pPr>
            <w:r>
              <w:rPr>
                <w:sz w:val="20"/>
                <w:szCs w:val="20"/>
                <w:spacing w:val="-18"/>
              </w:rPr>
              <w:t>氨氮：3.8141t</w:t>
            </w:r>
            <w:r>
              <w:rPr>
                <w:sz w:val="20"/>
                <w:szCs w:val="20"/>
                <w:spacing w:val="-17"/>
              </w:rPr>
              <w:t>/a44.77mg/</w:t>
            </w:r>
            <w:r>
              <w:rPr>
                <w:sz w:val="20"/>
                <w:szCs w:val="20"/>
                <w:spacing w:val="-7"/>
              </w:rPr>
              <w:t>L</w:t>
            </w:r>
          </w:p>
          <w:p>
            <w:pPr>
              <w:pStyle w:val="TableText"/>
              <w:spacing w:before="38" w:line="214" w:lineRule="auto"/>
              <w:jc w:val="right"/>
              <w:rPr>
                <w:sz w:val="20"/>
                <w:szCs w:val="20"/>
              </w:rPr>
            </w:pPr>
            <w:r>
              <w:rPr>
                <w:sz w:val="20"/>
                <w:szCs w:val="20"/>
                <w:spacing w:val="-19"/>
              </w:rPr>
              <w:t>总氮：4.6724t/</w:t>
            </w:r>
            <w:r>
              <w:rPr>
                <w:sz w:val="20"/>
                <w:szCs w:val="20"/>
                <w:spacing w:val="-18"/>
              </w:rPr>
              <w:t>a54.85mg/</w:t>
            </w:r>
            <w:r>
              <w:rPr>
                <w:sz w:val="20"/>
                <w:szCs w:val="20"/>
                <w:spacing w:val="-7"/>
              </w:rPr>
              <w:t>L</w:t>
            </w:r>
          </w:p>
          <w:p>
            <w:pPr>
              <w:pStyle w:val="TableText"/>
              <w:spacing w:before="48" w:line="214" w:lineRule="auto"/>
              <w:jc w:val="right"/>
              <w:rPr>
                <w:sz w:val="20"/>
                <w:szCs w:val="20"/>
              </w:rPr>
            </w:pPr>
            <w:r>
              <w:rPr>
                <w:sz w:val="20"/>
                <w:szCs w:val="20"/>
                <w:spacing w:val="-12"/>
              </w:rPr>
              <w:t>总磷：0</w:t>
            </w:r>
            <w:r>
              <w:rPr>
                <w:sz w:val="20"/>
                <w:szCs w:val="20"/>
                <w:spacing w:val="-11"/>
              </w:rPr>
              <w:t>.6757Va7.93mg/</w:t>
            </w:r>
            <w:r>
              <w:rPr>
                <w:sz w:val="20"/>
                <w:szCs w:val="20"/>
                <w:spacing w:val="-7"/>
              </w:rPr>
              <w:t>L</w:t>
            </w:r>
          </w:p>
          <w:p>
            <w:pPr>
              <w:pStyle w:val="TableText"/>
              <w:ind w:left="789"/>
              <w:spacing w:before="35" w:line="219" w:lineRule="auto"/>
              <w:rPr>
                <w:sz w:val="20"/>
                <w:szCs w:val="20"/>
              </w:rPr>
            </w:pPr>
            <w:r>
              <w:rPr>
                <w:sz w:val="20"/>
                <w:szCs w:val="20"/>
                <w:spacing w:val="-2"/>
              </w:rPr>
              <w:t>动植物</w:t>
            </w:r>
          </w:p>
          <w:p>
            <w:pPr>
              <w:pStyle w:val="TableText"/>
              <w:spacing w:before="36" w:line="214" w:lineRule="auto"/>
              <w:jc w:val="right"/>
              <w:rPr>
                <w:sz w:val="20"/>
                <w:szCs w:val="20"/>
              </w:rPr>
            </w:pPr>
            <w:r>
              <w:rPr>
                <w:sz w:val="20"/>
                <w:szCs w:val="20"/>
                <w:spacing w:val="-9"/>
              </w:rPr>
              <w:t>油</w:t>
            </w:r>
            <w:r>
              <w:rPr>
                <w:sz w:val="20"/>
                <w:szCs w:val="20"/>
                <w:spacing w:val="-8"/>
              </w:rPr>
              <w:t>：4.2154ta49.48mg/</w:t>
            </w:r>
            <w:r>
              <w:rPr>
                <w:sz w:val="20"/>
                <w:szCs w:val="20"/>
                <w:spacing w:val="-7"/>
              </w:rPr>
              <w:t>L</w:t>
            </w:r>
          </w:p>
        </w:tc>
        <w:tc>
          <w:tcPr>
            <w:tcW w:w="505" w:type="dxa"/>
            <w:vAlign w:val="top"/>
            <w:vMerge w:val="continue"/>
            <w:tcBorders>
              <w:top w:val="nil"/>
              <w:bottom w:val="nil"/>
            </w:tcBorders>
          </w:tcPr>
          <w:p>
            <w:pPr>
              <w:rPr>
                <w:rFonts w:ascii="Arial"/>
                <w:sz w:val="21"/>
              </w:rPr>
            </w:pPr>
            <w:r/>
          </w:p>
        </w:tc>
      </w:tr>
      <w:tr>
        <w:trPr>
          <w:trHeight w:val="1813" w:hRule="atLeast"/>
        </w:trPr>
        <w:tc>
          <w:tcPr>
            <w:tcW w:w="285" w:type="dxa"/>
            <w:vAlign w:val="top"/>
            <w:vMerge w:val="continue"/>
            <w:textDirection w:val="tbRlV"/>
            <w:tcBorders>
              <w:top w:val="nil"/>
            </w:tcBorders>
          </w:tcPr>
          <w:p>
            <w:pPr>
              <w:rPr>
                <w:rFonts w:ascii="Arial"/>
                <w:sz w:val="21"/>
              </w:rPr>
            </w:pPr>
            <w:r/>
          </w:p>
        </w:tc>
        <w:tc>
          <w:tcPr>
            <w:tcW w:w="829" w:type="dxa"/>
            <w:vAlign w:val="top"/>
            <w:vMerge w:val="continue"/>
            <w:tcBorders>
              <w:top w:val="nil"/>
            </w:tcBorders>
          </w:tcPr>
          <w:p>
            <w:pPr>
              <w:rPr>
                <w:rFonts w:ascii="Arial"/>
                <w:sz w:val="21"/>
              </w:rPr>
            </w:pPr>
            <w:r/>
          </w:p>
        </w:tc>
        <w:tc>
          <w:tcPr>
            <w:tcW w:w="899" w:type="dxa"/>
            <w:vAlign w:val="top"/>
            <w:vMerge w:val="continue"/>
            <w:tcBorders>
              <w:top w:val="nil"/>
            </w:tcBorders>
          </w:tcPr>
          <w:p>
            <w:pPr>
              <w:rPr>
                <w:rFonts w:ascii="Arial"/>
                <w:sz w:val="21"/>
              </w:rPr>
            </w:pPr>
            <w:r/>
          </w:p>
        </w:tc>
        <w:tc>
          <w:tcPr>
            <w:tcW w:w="889"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231"/>
              <w:spacing w:before="65" w:line="219" w:lineRule="auto"/>
              <w:rPr>
                <w:sz w:val="20"/>
                <w:szCs w:val="20"/>
              </w:rPr>
            </w:pPr>
            <w:r>
              <w:rPr>
                <w:sz w:val="20"/>
                <w:szCs w:val="20"/>
                <w:spacing w:val="3"/>
              </w:rPr>
              <w:t>旺季</w:t>
            </w:r>
          </w:p>
        </w:tc>
        <w:tc>
          <w:tcPr>
            <w:tcW w:w="2748" w:type="dxa"/>
            <w:vAlign w:val="top"/>
          </w:tcPr>
          <w:p>
            <w:pPr>
              <w:pStyle w:val="TableText"/>
              <w:ind w:left="612"/>
              <w:spacing w:before="47" w:line="219" w:lineRule="auto"/>
              <w:rPr>
                <w:sz w:val="20"/>
                <w:szCs w:val="20"/>
              </w:rPr>
            </w:pPr>
            <w:r>
              <w:rPr>
                <w:sz w:val="20"/>
                <w:szCs w:val="20"/>
                <w:spacing w:val="-1"/>
              </w:rPr>
              <w:t>排水量：1296t/a</w:t>
            </w:r>
          </w:p>
          <w:p>
            <w:pPr>
              <w:pStyle w:val="TableText"/>
              <w:ind w:left="362" w:right="378"/>
              <w:spacing w:before="25" w:line="221" w:lineRule="auto"/>
              <w:rPr>
                <w:sz w:val="20"/>
                <w:szCs w:val="20"/>
              </w:rPr>
            </w:pPr>
            <w:r>
              <w:rPr>
                <w:sz w:val="20"/>
                <w:szCs w:val="20"/>
                <w:spacing w:val="-1"/>
              </w:rPr>
              <w:t>COD:0.4212t/a325mg/L</w:t>
            </w:r>
            <w:r>
              <w:rPr>
                <w:sz w:val="20"/>
                <w:szCs w:val="20"/>
                <w:spacing w:val="12"/>
              </w:rPr>
              <w:t xml:space="preserve"> </w:t>
            </w:r>
            <w:r>
              <w:rPr>
                <w:sz w:val="20"/>
                <w:szCs w:val="20"/>
                <w:spacing w:val="-1"/>
              </w:rPr>
              <w:t>BOD:0.2592t/a200mg/L</w:t>
            </w:r>
          </w:p>
          <w:p>
            <w:pPr>
              <w:pStyle w:val="TableText"/>
              <w:ind w:left="532"/>
              <w:spacing w:before="11" w:line="214" w:lineRule="auto"/>
              <w:rPr>
                <w:sz w:val="20"/>
                <w:szCs w:val="20"/>
              </w:rPr>
            </w:pPr>
            <w:r>
              <w:rPr>
                <w:sz w:val="20"/>
                <w:szCs w:val="20"/>
                <w:spacing w:val="-1"/>
              </w:rPr>
              <w:t>SS:0.2592t/a200mg/L</w:t>
            </w:r>
          </w:p>
          <w:p>
            <w:pPr>
              <w:pStyle w:val="TableText"/>
              <w:ind w:left="442" w:firstLine="9"/>
              <w:spacing w:before="20" w:line="231" w:lineRule="auto"/>
              <w:rPr>
                <w:sz w:val="20"/>
                <w:szCs w:val="20"/>
              </w:rPr>
            </w:pPr>
            <w:r>
              <w:rPr>
                <w:sz w:val="20"/>
                <w:szCs w:val="20"/>
                <w:spacing w:val="-1"/>
              </w:rPr>
              <w:t>氨氮：0.0489t/a37.7mg/L</w:t>
            </w:r>
            <w:r>
              <w:rPr>
                <w:sz w:val="20"/>
                <w:szCs w:val="20"/>
                <w:spacing w:val="4"/>
              </w:rPr>
              <w:t xml:space="preserve"> </w:t>
            </w:r>
            <w:r>
              <w:rPr>
                <w:sz w:val="20"/>
                <w:szCs w:val="20"/>
                <w:spacing w:val="-1"/>
              </w:rPr>
              <w:t>总氮：0.0645Va49.8mg/L</w:t>
            </w:r>
            <w:r>
              <w:rPr>
                <w:sz w:val="20"/>
                <w:szCs w:val="20"/>
                <w:spacing w:val="3"/>
              </w:rPr>
              <w:t xml:space="preserve">  </w:t>
            </w:r>
            <w:r>
              <w:rPr>
                <w:sz w:val="20"/>
                <w:szCs w:val="20"/>
                <w:spacing w:val="-1"/>
              </w:rPr>
              <w:t>总磷：0.0056ta4.28mg/L</w:t>
            </w:r>
          </w:p>
        </w:tc>
        <w:tc>
          <w:tcPr>
            <w:tcW w:w="5906" w:type="dxa"/>
            <w:vAlign w:val="top"/>
            <w:vMerge w:val="continue"/>
            <w:tcBorders>
              <w:top w:val="nil"/>
            </w:tcBorders>
          </w:tcPr>
          <w:p>
            <w:pPr>
              <w:rPr>
                <w:rFonts w:ascii="Arial"/>
                <w:sz w:val="21"/>
              </w:rPr>
            </w:pPr>
            <w:r/>
          </w:p>
        </w:tc>
        <w:tc>
          <w:tcPr>
            <w:tcW w:w="1109" w:type="dxa"/>
            <w:vAlign w:val="top"/>
            <w:vMerge w:val="continue"/>
            <w:tcBorders>
              <w:top w:val="nil"/>
            </w:tcBorders>
          </w:tcPr>
          <w:p>
            <w:pPr>
              <w:rPr>
                <w:rFonts w:ascii="Arial"/>
                <w:sz w:val="21"/>
              </w:rPr>
            </w:pPr>
            <w:r/>
          </w:p>
        </w:tc>
        <w:tc>
          <w:tcPr>
            <w:tcW w:w="2189" w:type="dxa"/>
            <w:vAlign w:val="top"/>
            <w:vMerge w:val="continue"/>
            <w:tcBorders>
              <w:top w:val="nil"/>
            </w:tcBorders>
          </w:tcPr>
          <w:p>
            <w:pPr>
              <w:rPr>
                <w:rFonts w:ascii="Arial"/>
                <w:sz w:val="21"/>
              </w:rPr>
            </w:pPr>
            <w:r/>
          </w:p>
        </w:tc>
        <w:tc>
          <w:tcPr>
            <w:tcW w:w="505" w:type="dxa"/>
            <w:vAlign w:val="top"/>
            <w:vMerge w:val="continue"/>
            <w:tcBorders>
              <w:top w:val="nil"/>
            </w:tcBorders>
          </w:tcPr>
          <w:p>
            <w:pPr>
              <w:rPr>
                <w:rFonts w:ascii="Arial"/>
                <w:sz w:val="21"/>
              </w:rPr>
            </w:pPr>
            <w:r/>
          </w:p>
        </w:tc>
      </w:tr>
    </w:tbl>
    <w:p>
      <w:pPr>
        <w:pStyle w:val="BodyText"/>
        <w:rPr/>
      </w:pPr>
      <w:r/>
    </w:p>
    <w:p>
      <w:pPr>
        <w:sectPr>
          <w:headerReference w:type="default" r:id="rId371"/>
          <w:footerReference w:type="default" r:id="rId372"/>
          <w:pgSz w:w="16840" w:h="11910"/>
          <w:pgMar w:top="1207" w:right="754" w:bottom="992" w:left="715" w:header="915" w:footer="821" w:gutter="0"/>
        </w:sectPr>
        <w:rPr/>
      </w:pPr>
    </w:p>
    <w:p>
      <w:pPr>
        <w:spacing w:line="227" w:lineRule="exact"/>
        <w:rPr/>
      </w:pPr>
      <w:r/>
    </w:p>
    <w:tbl>
      <w:tblPr>
        <w:tblStyle w:val="TableNormal"/>
        <w:tblW w:w="1534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5"/>
        <w:gridCol w:w="829"/>
        <w:gridCol w:w="889"/>
        <w:gridCol w:w="899"/>
        <w:gridCol w:w="1999"/>
        <w:gridCol w:w="739"/>
        <w:gridCol w:w="5906"/>
        <w:gridCol w:w="1119"/>
        <w:gridCol w:w="2189"/>
        <w:gridCol w:w="495"/>
      </w:tblGrid>
      <w:tr>
        <w:trPr>
          <w:trHeight w:val="265" w:hRule="atLeast"/>
        </w:trPr>
        <w:tc>
          <w:tcPr>
            <w:tcW w:w="285" w:type="dxa"/>
            <w:vAlign w:val="top"/>
          </w:tcPr>
          <w:p>
            <w:pPr>
              <w:rPr>
                <w:rFonts w:ascii="Arial"/>
                <w:sz w:val="21"/>
              </w:rPr>
            </w:pPr>
            <w:r/>
          </w:p>
        </w:tc>
        <w:tc>
          <w:tcPr>
            <w:tcW w:w="829" w:type="dxa"/>
            <w:vAlign w:val="top"/>
          </w:tcPr>
          <w:p>
            <w:pPr>
              <w:rPr>
                <w:rFonts w:ascii="Arial"/>
                <w:sz w:val="21"/>
              </w:rPr>
            </w:pPr>
            <w:r/>
          </w:p>
        </w:tc>
        <w:tc>
          <w:tcPr>
            <w:tcW w:w="889" w:type="dxa"/>
            <w:vAlign w:val="top"/>
          </w:tcPr>
          <w:p>
            <w:pPr>
              <w:rPr>
                <w:rFonts w:ascii="Arial"/>
                <w:sz w:val="21"/>
              </w:rPr>
            </w:pPr>
            <w:r/>
          </w:p>
        </w:tc>
        <w:tc>
          <w:tcPr>
            <w:tcW w:w="899" w:type="dxa"/>
            <w:vAlign w:val="top"/>
          </w:tcPr>
          <w:p>
            <w:pPr>
              <w:rPr>
                <w:rFonts w:ascii="Arial"/>
                <w:sz w:val="21"/>
              </w:rPr>
            </w:pPr>
            <w:r/>
          </w:p>
        </w:tc>
        <w:tc>
          <w:tcPr>
            <w:tcW w:w="2738" w:type="dxa"/>
            <w:vAlign w:val="top"/>
            <w:gridSpan w:val="2"/>
          </w:tcPr>
          <w:p>
            <w:pPr>
              <w:pStyle w:val="TableText"/>
              <w:spacing w:before="26" w:line="201" w:lineRule="auto"/>
              <w:jc w:val="right"/>
              <w:rPr>
                <w:sz w:val="21"/>
                <w:szCs w:val="21"/>
              </w:rPr>
            </w:pPr>
            <w:r>
              <w:rPr>
                <w:sz w:val="21"/>
                <w:szCs w:val="21"/>
                <w:spacing w:val="-5"/>
              </w:rPr>
              <w:t>动植物油：0.0259ta20mg/L</w:t>
            </w:r>
          </w:p>
        </w:tc>
        <w:tc>
          <w:tcPr>
            <w:tcW w:w="5906" w:type="dxa"/>
            <w:vAlign w:val="top"/>
          </w:tcPr>
          <w:p>
            <w:pPr>
              <w:rPr>
                <w:rFonts w:ascii="Arial"/>
                <w:sz w:val="21"/>
              </w:rPr>
            </w:pPr>
            <w:r/>
          </w:p>
        </w:tc>
        <w:tc>
          <w:tcPr>
            <w:tcW w:w="1119" w:type="dxa"/>
            <w:vAlign w:val="top"/>
          </w:tcPr>
          <w:p>
            <w:pPr>
              <w:rPr>
                <w:rFonts w:ascii="Arial"/>
                <w:sz w:val="21"/>
              </w:rPr>
            </w:pPr>
            <w:r/>
          </w:p>
        </w:tc>
        <w:tc>
          <w:tcPr>
            <w:tcW w:w="2189" w:type="dxa"/>
            <w:vAlign w:val="top"/>
          </w:tcPr>
          <w:p>
            <w:pPr>
              <w:rPr>
                <w:rFonts w:ascii="Arial"/>
                <w:sz w:val="21"/>
              </w:rPr>
            </w:pPr>
            <w:r/>
          </w:p>
        </w:tc>
        <w:tc>
          <w:tcPr>
            <w:tcW w:w="495" w:type="dxa"/>
            <w:vAlign w:val="top"/>
          </w:tcPr>
          <w:p>
            <w:pPr>
              <w:rPr>
                <w:rFonts w:ascii="Arial"/>
                <w:sz w:val="21"/>
              </w:rPr>
            </w:pPr>
            <w:r/>
          </w:p>
        </w:tc>
      </w:tr>
      <w:tr>
        <w:trPr>
          <w:trHeight w:val="270" w:hRule="atLeast"/>
        </w:trPr>
        <w:tc>
          <w:tcPr>
            <w:tcW w:w="285" w:type="dxa"/>
            <w:vAlign w:val="top"/>
            <w:vMerge w:val="restart"/>
            <w:textDirection w:val="tbRlV"/>
            <w:tcBorders>
              <w:bottom w:val="nil"/>
            </w:tcBorders>
          </w:tcPr>
          <w:p>
            <w:pPr>
              <w:pStyle w:val="TableText"/>
              <w:ind w:left="3897"/>
              <w:spacing w:before="60" w:line="200" w:lineRule="auto"/>
              <w:rPr>
                <w:sz w:val="21"/>
                <w:szCs w:val="21"/>
              </w:rPr>
            </w:pPr>
            <w:r>
              <w:rPr>
                <w:sz w:val="21"/>
                <w:szCs w:val="21"/>
              </w:rPr>
              <w:t>固</w:t>
            </w:r>
            <w:r>
              <w:rPr>
                <w:sz w:val="21"/>
                <w:szCs w:val="21"/>
                <w:spacing w:val="32"/>
              </w:rPr>
              <w:t xml:space="preserve"> </w:t>
            </w:r>
            <w:r>
              <w:rPr>
                <w:sz w:val="21"/>
                <w:szCs w:val="21"/>
              </w:rPr>
              <w:t>废</w:t>
            </w:r>
          </w:p>
        </w:tc>
        <w:tc>
          <w:tcPr>
            <w:tcW w:w="829" w:type="dxa"/>
            <w:vAlign w:val="top"/>
          </w:tcPr>
          <w:p>
            <w:pPr>
              <w:pStyle w:val="TableText"/>
              <w:spacing w:before="27" w:line="204" w:lineRule="auto"/>
              <w:jc w:val="right"/>
              <w:rPr>
                <w:sz w:val="21"/>
                <w:szCs w:val="21"/>
              </w:rPr>
            </w:pPr>
            <w:bookmarkStart w:name="bookmark108" w:id="77"/>
            <w:bookmarkEnd w:id="77"/>
            <w:r>
              <w:rPr>
                <w:sz w:val="21"/>
                <w:szCs w:val="21"/>
                <w:spacing w:val="-10"/>
              </w:rPr>
              <w:t>办</w:t>
            </w:r>
            <w:r>
              <w:rPr>
                <w:sz w:val="21"/>
                <w:szCs w:val="21"/>
                <w:spacing w:val="-9"/>
              </w:rPr>
              <w:t>公场</w:t>
            </w:r>
            <w:r>
              <w:rPr>
                <w:sz w:val="21"/>
                <w:szCs w:val="21"/>
                <w:spacing w:val="-8"/>
              </w:rPr>
              <w:t>所</w:t>
            </w:r>
          </w:p>
        </w:tc>
        <w:tc>
          <w:tcPr>
            <w:tcW w:w="889" w:type="dxa"/>
            <w:vAlign w:val="top"/>
          </w:tcPr>
          <w:p>
            <w:pPr>
              <w:pStyle w:val="TableText"/>
              <w:ind w:left="10"/>
              <w:spacing w:before="29" w:line="203" w:lineRule="auto"/>
              <w:rPr>
                <w:sz w:val="21"/>
                <w:szCs w:val="21"/>
              </w:rPr>
            </w:pPr>
            <w:r>
              <w:rPr>
                <w:sz w:val="21"/>
                <w:szCs w:val="21"/>
                <w:spacing w:val="-2"/>
              </w:rPr>
              <w:t>生活垃圾</w:t>
            </w:r>
          </w:p>
        </w:tc>
        <w:tc>
          <w:tcPr>
            <w:tcW w:w="3637" w:type="dxa"/>
            <w:vAlign w:val="top"/>
            <w:gridSpan w:val="3"/>
          </w:tcPr>
          <w:p>
            <w:pPr>
              <w:pStyle w:val="TableText"/>
              <w:ind w:left="1601"/>
              <w:spacing w:before="34" w:line="198" w:lineRule="auto"/>
              <w:rPr>
                <w:sz w:val="21"/>
                <w:szCs w:val="21"/>
              </w:rPr>
            </w:pPr>
            <w:r>
              <w:rPr>
                <w:sz w:val="21"/>
                <w:szCs w:val="21"/>
                <w:spacing w:val="-2"/>
              </w:rPr>
              <w:t>36t/a</w:t>
            </w:r>
          </w:p>
        </w:tc>
        <w:tc>
          <w:tcPr>
            <w:tcW w:w="5906" w:type="dxa"/>
            <w:vAlign w:val="top"/>
          </w:tcPr>
          <w:p>
            <w:pPr>
              <w:pStyle w:val="TableText"/>
              <w:spacing w:before="27" w:line="204" w:lineRule="auto"/>
              <w:jc w:val="right"/>
              <w:rPr>
                <w:sz w:val="21"/>
                <w:szCs w:val="21"/>
              </w:rPr>
            </w:pPr>
            <w:r>
              <w:rPr>
                <w:sz w:val="21"/>
                <w:szCs w:val="21"/>
                <w:spacing w:val="-7"/>
              </w:rPr>
              <w:t>经垃圾桶收集后、袋装暂存在垃圾收集点交由环卫</w:t>
            </w:r>
            <w:r>
              <w:rPr>
                <w:sz w:val="21"/>
                <w:szCs w:val="21"/>
                <w:spacing w:val="-8"/>
              </w:rPr>
              <w:t>部门定期清运。</w:t>
            </w:r>
          </w:p>
        </w:tc>
        <w:tc>
          <w:tcPr>
            <w:tcW w:w="3308" w:type="dxa"/>
            <w:vAlign w:val="top"/>
            <w:gridSpan w:val="2"/>
          </w:tcPr>
          <w:p>
            <w:pPr>
              <w:pStyle w:val="TableText"/>
              <w:ind w:left="1388"/>
              <w:spacing w:before="34" w:line="198" w:lineRule="auto"/>
              <w:rPr>
                <w:sz w:val="21"/>
                <w:szCs w:val="21"/>
              </w:rPr>
            </w:pPr>
            <w:r>
              <w:rPr>
                <w:sz w:val="21"/>
                <w:szCs w:val="21"/>
                <w:spacing w:val="-2"/>
              </w:rPr>
              <w:t>36t/a</w:t>
            </w:r>
          </w:p>
        </w:tc>
        <w:tc>
          <w:tcPr>
            <w:tcW w:w="495" w:type="dxa"/>
            <w:vAlign w:val="top"/>
            <w:vMerge w:val="restart"/>
            <w:tcBorders>
              <w:bottom w:val="nil"/>
            </w:tcBorders>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pStyle w:val="TableText"/>
              <w:ind w:left="30" w:right="23"/>
              <w:spacing w:before="69" w:line="227" w:lineRule="auto"/>
              <w:rPr>
                <w:sz w:val="21"/>
                <w:szCs w:val="21"/>
              </w:rPr>
            </w:pPr>
            <w:r>
              <w:rPr>
                <w:sz w:val="21"/>
                <w:szCs w:val="21"/>
                <w:spacing w:val="5"/>
              </w:rPr>
              <w:t>妥善</w:t>
            </w:r>
            <w:r>
              <w:rPr>
                <w:sz w:val="21"/>
                <w:szCs w:val="21"/>
              </w:rPr>
              <w:t xml:space="preserve"> </w:t>
            </w:r>
            <w:r>
              <w:rPr>
                <w:sz w:val="21"/>
                <w:szCs w:val="21"/>
                <w:spacing w:val="-4"/>
              </w:rPr>
              <w:t>处置</w:t>
            </w:r>
          </w:p>
        </w:tc>
      </w:tr>
      <w:tr>
        <w:trPr>
          <w:trHeight w:val="549"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restart"/>
            <w:tcBorders>
              <w:bottom w:val="nil"/>
            </w:tcBorders>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spacing w:before="68" w:line="220" w:lineRule="auto"/>
              <w:jc w:val="right"/>
              <w:rPr>
                <w:sz w:val="21"/>
                <w:szCs w:val="21"/>
              </w:rPr>
            </w:pPr>
            <w:r>
              <w:rPr>
                <w:sz w:val="21"/>
                <w:szCs w:val="21"/>
                <w:spacing w:val="-8"/>
              </w:rPr>
              <w:t>一般固废</w:t>
            </w:r>
          </w:p>
        </w:tc>
        <w:tc>
          <w:tcPr>
            <w:tcW w:w="889" w:type="dxa"/>
            <w:vAlign w:val="top"/>
            <w:vMerge w:val="restart"/>
            <w:tcBorders>
              <w:bottom w:val="nil"/>
            </w:tcBorders>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219" w:right="11" w:hanging="209"/>
              <w:spacing w:before="68" w:line="223" w:lineRule="auto"/>
              <w:rPr>
                <w:sz w:val="21"/>
                <w:szCs w:val="21"/>
              </w:rPr>
            </w:pPr>
            <w:r>
              <w:rPr>
                <w:sz w:val="21"/>
                <w:szCs w:val="21"/>
                <w:spacing w:val="4"/>
              </w:rPr>
              <w:t>生猪屠宰</w:t>
            </w:r>
            <w:r>
              <w:rPr>
                <w:sz w:val="21"/>
                <w:szCs w:val="21"/>
              </w:rPr>
              <w:t xml:space="preserve"> </w:t>
            </w:r>
            <w:r>
              <w:rPr>
                <w:sz w:val="21"/>
                <w:szCs w:val="21"/>
                <w:spacing w:val="-2"/>
              </w:rPr>
              <w:t>废物</w:t>
            </w:r>
          </w:p>
        </w:tc>
        <w:tc>
          <w:tcPr>
            <w:tcW w:w="2898" w:type="dxa"/>
            <w:vAlign w:val="top"/>
            <w:gridSpan w:val="2"/>
          </w:tcPr>
          <w:p>
            <w:pPr>
              <w:pStyle w:val="TableText"/>
              <w:ind w:left="911"/>
              <w:spacing w:before="168" w:line="219" w:lineRule="auto"/>
              <w:rPr>
                <w:sz w:val="21"/>
                <w:szCs w:val="21"/>
              </w:rPr>
            </w:pPr>
            <w:r>
              <w:rPr>
                <w:sz w:val="21"/>
                <w:szCs w:val="21"/>
                <w:spacing w:val="-2"/>
              </w:rPr>
              <w:t>待宰圈粪便</w:t>
            </w:r>
          </w:p>
        </w:tc>
        <w:tc>
          <w:tcPr>
            <w:tcW w:w="739" w:type="dxa"/>
            <w:vAlign w:val="top"/>
          </w:tcPr>
          <w:p>
            <w:pPr>
              <w:pStyle w:val="TableText"/>
              <w:ind w:left="43"/>
              <w:spacing w:before="174" w:line="224" w:lineRule="auto"/>
              <w:rPr>
                <w:sz w:val="21"/>
                <w:szCs w:val="21"/>
              </w:rPr>
            </w:pPr>
            <w:r>
              <w:rPr>
                <w:sz w:val="21"/>
                <w:szCs w:val="21"/>
                <w:spacing w:val="-2"/>
              </w:rPr>
              <w:t>496t/a</w:t>
            </w:r>
          </w:p>
        </w:tc>
        <w:tc>
          <w:tcPr>
            <w:tcW w:w="5906" w:type="dxa"/>
            <w:vAlign w:val="top"/>
          </w:tcPr>
          <w:p>
            <w:pPr>
              <w:pStyle w:val="TableText"/>
              <w:ind w:left="14"/>
              <w:spacing w:before="47" w:line="216" w:lineRule="auto"/>
              <w:rPr>
                <w:sz w:val="21"/>
                <w:szCs w:val="21"/>
              </w:rPr>
            </w:pPr>
            <w:r>
              <w:rPr>
                <w:sz w:val="21"/>
                <w:szCs w:val="21"/>
                <w:spacing w:val="-7"/>
              </w:rPr>
              <w:t>经人工袋装密封收集后，运至固废暂存间进行暂存</w:t>
            </w:r>
            <w:r>
              <w:rPr>
                <w:sz w:val="21"/>
                <w:szCs w:val="21"/>
                <w:spacing w:val="-8"/>
              </w:rPr>
              <w:t>，收集后由有机</w:t>
            </w:r>
            <w:r>
              <w:rPr>
                <w:sz w:val="21"/>
                <w:szCs w:val="21"/>
              </w:rPr>
              <w:t xml:space="preserve"> </w:t>
            </w:r>
            <w:r>
              <w:rPr>
                <w:sz w:val="21"/>
                <w:szCs w:val="21"/>
                <w:spacing w:val="-1"/>
              </w:rPr>
              <w:t>肥公司每日定时定点清运。</w:t>
            </w:r>
          </w:p>
        </w:tc>
        <w:tc>
          <w:tcPr>
            <w:tcW w:w="3308" w:type="dxa"/>
            <w:vAlign w:val="top"/>
            <w:gridSpan w:val="2"/>
          </w:tcPr>
          <w:p>
            <w:pPr>
              <w:pStyle w:val="TableText"/>
              <w:ind w:left="1338"/>
              <w:spacing w:before="174" w:line="224" w:lineRule="auto"/>
              <w:rPr>
                <w:sz w:val="21"/>
                <w:szCs w:val="21"/>
              </w:rPr>
            </w:pPr>
            <w:r>
              <w:rPr>
                <w:sz w:val="21"/>
                <w:szCs w:val="21"/>
                <w:spacing w:val="-2"/>
              </w:rPr>
              <w:t>496t/a</w:t>
            </w:r>
          </w:p>
        </w:tc>
        <w:tc>
          <w:tcPr>
            <w:tcW w:w="495" w:type="dxa"/>
            <w:vAlign w:val="top"/>
            <w:vMerge w:val="continue"/>
            <w:tcBorders>
              <w:top w:val="nil"/>
              <w:bottom w:val="nil"/>
            </w:tcBorders>
          </w:tcPr>
          <w:p>
            <w:pPr>
              <w:rPr>
                <w:rFonts w:ascii="Arial"/>
                <w:sz w:val="21"/>
              </w:rPr>
            </w:pPr>
            <w:r/>
          </w:p>
        </w:tc>
      </w:tr>
      <w:tr>
        <w:trPr>
          <w:trHeight w:val="549"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continue"/>
            <w:tcBorders>
              <w:top w:val="nil"/>
              <w:bottom w:val="nil"/>
            </w:tcBorders>
          </w:tcPr>
          <w:p>
            <w:pPr>
              <w:rPr>
                <w:rFonts w:ascii="Arial"/>
                <w:sz w:val="21"/>
              </w:rPr>
            </w:pPr>
            <w:r/>
          </w:p>
        </w:tc>
        <w:tc>
          <w:tcPr>
            <w:tcW w:w="889" w:type="dxa"/>
            <w:vAlign w:val="top"/>
            <w:vMerge w:val="continue"/>
            <w:tcBorders>
              <w:top w:val="nil"/>
              <w:bottom w:val="nil"/>
            </w:tcBorders>
          </w:tcPr>
          <w:p>
            <w:pPr>
              <w:rPr>
                <w:rFonts w:ascii="Arial"/>
                <w:sz w:val="21"/>
              </w:rPr>
            </w:pPr>
            <w:r/>
          </w:p>
        </w:tc>
        <w:tc>
          <w:tcPr>
            <w:tcW w:w="2898" w:type="dxa"/>
            <w:vAlign w:val="top"/>
            <w:gridSpan w:val="2"/>
          </w:tcPr>
          <w:p>
            <w:pPr>
              <w:pStyle w:val="TableText"/>
              <w:ind w:left="281"/>
              <w:spacing w:before="169" w:line="219" w:lineRule="auto"/>
              <w:rPr>
                <w:sz w:val="21"/>
                <w:szCs w:val="21"/>
              </w:rPr>
            </w:pPr>
            <w:r>
              <w:rPr>
                <w:sz w:val="21"/>
                <w:szCs w:val="21"/>
                <w:spacing w:val="-1"/>
              </w:rPr>
              <w:t>疫病猪、病胴体、病内脏</w:t>
            </w:r>
          </w:p>
        </w:tc>
        <w:tc>
          <w:tcPr>
            <w:tcW w:w="739" w:type="dxa"/>
            <w:vAlign w:val="top"/>
          </w:tcPr>
          <w:p>
            <w:pPr>
              <w:pStyle w:val="TableText"/>
              <w:ind w:left="43"/>
              <w:spacing w:before="175" w:line="224" w:lineRule="auto"/>
              <w:rPr>
                <w:sz w:val="21"/>
                <w:szCs w:val="21"/>
              </w:rPr>
            </w:pPr>
            <w:r>
              <w:rPr>
                <w:sz w:val="21"/>
                <w:szCs w:val="21"/>
                <w:spacing w:val="-2"/>
              </w:rPr>
              <w:t>344t/a</w:t>
            </w:r>
          </w:p>
        </w:tc>
        <w:tc>
          <w:tcPr>
            <w:tcW w:w="5906" w:type="dxa"/>
            <w:vAlign w:val="top"/>
          </w:tcPr>
          <w:p>
            <w:pPr>
              <w:pStyle w:val="TableText"/>
              <w:ind w:left="14"/>
              <w:spacing w:before="38" w:line="220" w:lineRule="auto"/>
              <w:rPr>
                <w:sz w:val="21"/>
                <w:szCs w:val="21"/>
              </w:rPr>
            </w:pPr>
            <w:r>
              <w:rPr>
                <w:sz w:val="21"/>
                <w:szCs w:val="21"/>
                <w:spacing w:val="-7"/>
              </w:rPr>
              <w:t>屠宰过程中发现的病猪胴体及不可食用肉暂存于病</w:t>
            </w:r>
            <w:r>
              <w:rPr>
                <w:sz w:val="21"/>
                <w:szCs w:val="21"/>
                <w:spacing w:val="-8"/>
              </w:rPr>
              <w:t>猪胴体冻库内，</w:t>
            </w:r>
            <w:r>
              <w:rPr>
                <w:sz w:val="21"/>
                <w:szCs w:val="21"/>
              </w:rPr>
              <w:t xml:space="preserve"> </w:t>
            </w:r>
            <w:r>
              <w:rPr>
                <w:sz w:val="21"/>
                <w:szCs w:val="21"/>
                <w:spacing w:val="-4"/>
              </w:rPr>
              <w:t>定期交绵阳市病死畜禽无害化处理中心进行无害化处置。</w:t>
            </w:r>
          </w:p>
        </w:tc>
        <w:tc>
          <w:tcPr>
            <w:tcW w:w="3308" w:type="dxa"/>
            <w:vAlign w:val="top"/>
            <w:gridSpan w:val="2"/>
          </w:tcPr>
          <w:p>
            <w:pPr>
              <w:pStyle w:val="TableText"/>
              <w:ind w:left="1338"/>
              <w:spacing w:before="175" w:line="224" w:lineRule="auto"/>
              <w:rPr>
                <w:sz w:val="21"/>
                <w:szCs w:val="21"/>
              </w:rPr>
            </w:pPr>
            <w:r>
              <w:rPr>
                <w:sz w:val="21"/>
                <w:szCs w:val="21"/>
                <w:spacing w:val="-2"/>
              </w:rPr>
              <w:t>344t/a</w:t>
            </w:r>
          </w:p>
        </w:tc>
        <w:tc>
          <w:tcPr>
            <w:tcW w:w="495" w:type="dxa"/>
            <w:vAlign w:val="top"/>
            <w:vMerge w:val="continue"/>
            <w:tcBorders>
              <w:top w:val="nil"/>
              <w:bottom w:val="nil"/>
            </w:tcBorders>
          </w:tcPr>
          <w:p>
            <w:pPr>
              <w:rPr>
                <w:rFonts w:ascii="Arial"/>
                <w:sz w:val="21"/>
              </w:rPr>
            </w:pPr>
            <w:r/>
          </w:p>
        </w:tc>
      </w:tr>
      <w:tr>
        <w:trPr>
          <w:trHeight w:val="539"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continue"/>
            <w:tcBorders>
              <w:top w:val="nil"/>
              <w:bottom w:val="nil"/>
            </w:tcBorders>
          </w:tcPr>
          <w:p>
            <w:pPr>
              <w:rPr>
                <w:rFonts w:ascii="Arial"/>
                <w:sz w:val="21"/>
              </w:rPr>
            </w:pPr>
            <w:r/>
          </w:p>
        </w:tc>
        <w:tc>
          <w:tcPr>
            <w:tcW w:w="889" w:type="dxa"/>
            <w:vAlign w:val="top"/>
            <w:vMerge w:val="continue"/>
            <w:tcBorders>
              <w:top w:val="nil"/>
              <w:bottom w:val="nil"/>
            </w:tcBorders>
          </w:tcPr>
          <w:p>
            <w:pPr>
              <w:rPr>
                <w:rFonts w:ascii="Arial"/>
                <w:sz w:val="21"/>
              </w:rPr>
            </w:pPr>
            <w:r/>
          </w:p>
        </w:tc>
        <w:tc>
          <w:tcPr>
            <w:tcW w:w="2898" w:type="dxa"/>
            <w:vAlign w:val="top"/>
            <w:gridSpan w:val="2"/>
          </w:tcPr>
          <w:p>
            <w:pPr>
              <w:pStyle w:val="TableText"/>
              <w:ind w:left="1021"/>
              <w:spacing w:before="169" w:line="219" w:lineRule="auto"/>
              <w:rPr>
                <w:sz w:val="21"/>
                <w:szCs w:val="21"/>
              </w:rPr>
            </w:pPr>
            <w:r>
              <w:rPr>
                <w:sz w:val="21"/>
                <w:szCs w:val="21"/>
                <w:spacing w:val="2"/>
              </w:rPr>
              <w:t>胃肠容物</w:t>
            </w:r>
          </w:p>
        </w:tc>
        <w:tc>
          <w:tcPr>
            <w:tcW w:w="739" w:type="dxa"/>
            <w:vAlign w:val="top"/>
          </w:tcPr>
          <w:p>
            <w:pPr>
              <w:pStyle w:val="TableText"/>
              <w:spacing w:before="176" w:line="224" w:lineRule="auto"/>
              <w:jc w:val="right"/>
              <w:rPr>
                <w:sz w:val="21"/>
                <w:szCs w:val="21"/>
              </w:rPr>
            </w:pPr>
            <w:r>
              <w:rPr>
                <w:sz w:val="21"/>
                <w:szCs w:val="21"/>
                <w:spacing w:val="-3"/>
              </w:rPr>
              <w:t>1080t/a</w:t>
            </w:r>
          </w:p>
        </w:tc>
        <w:tc>
          <w:tcPr>
            <w:tcW w:w="5906" w:type="dxa"/>
            <w:vAlign w:val="top"/>
          </w:tcPr>
          <w:p>
            <w:pPr>
              <w:pStyle w:val="TableText"/>
              <w:ind w:left="14"/>
              <w:spacing w:before="39" w:line="215" w:lineRule="auto"/>
              <w:rPr>
                <w:sz w:val="21"/>
                <w:szCs w:val="21"/>
              </w:rPr>
            </w:pPr>
            <w:r>
              <w:rPr>
                <w:sz w:val="21"/>
                <w:szCs w:val="21"/>
                <w:spacing w:val="-7"/>
              </w:rPr>
              <w:t>采用专用密闭容器收集后，暂存于固废暂存间，使</w:t>
            </w:r>
            <w:r>
              <w:rPr>
                <w:sz w:val="21"/>
                <w:szCs w:val="21"/>
                <w:spacing w:val="-8"/>
              </w:rPr>
              <w:t>用密闭运输车运</w:t>
            </w:r>
            <w:r>
              <w:rPr>
                <w:sz w:val="21"/>
                <w:szCs w:val="21"/>
              </w:rPr>
              <w:t xml:space="preserve"> </w:t>
            </w:r>
            <w:r>
              <w:rPr>
                <w:sz w:val="21"/>
                <w:szCs w:val="21"/>
                <w:spacing w:val="-1"/>
              </w:rPr>
              <w:t>输，收集后由有机肥公司每日清运。</w:t>
            </w:r>
          </w:p>
        </w:tc>
        <w:tc>
          <w:tcPr>
            <w:tcW w:w="3308" w:type="dxa"/>
            <w:vAlign w:val="top"/>
            <w:gridSpan w:val="2"/>
          </w:tcPr>
          <w:p>
            <w:pPr>
              <w:pStyle w:val="TableText"/>
              <w:ind w:left="1278"/>
              <w:spacing w:before="176" w:line="224" w:lineRule="auto"/>
              <w:rPr>
                <w:sz w:val="21"/>
                <w:szCs w:val="21"/>
              </w:rPr>
            </w:pPr>
            <w:r>
              <w:rPr>
                <w:sz w:val="21"/>
                <w:szCs w:val="21"/>
                <w:spacing w:val="-3"/>
              </w:rPr>
              <w:t>1080t/a</w:t>
            </w:r>
          </w:p>
        </w:tc>
        <w:tc>
          <w:tcPr>
            <w:tcW w:w="495" w:type="dxa"/>
            <w:vAlign w:val="top"/>
            <w:vMerge w:val="continue"/>
            <w:tcBorders>
              <w:top w:val="nil"/>
              <w:bottom w:val="nil"/>
            </w:tcBorders>
          </w:tcPr>
          <w:p>
            <w:pPr>
              <w:rPr>
                <w:rFonts w:ascii="Arial"/>
                <w:sz w:val="21"/>
              </w:rPr>
            </w:pPr>
            <w:r/>
          </w:p>
        </w:tc>
      </w:tr>
      <w:tr>
        <w:trPr>
          <w:trHeight w:val="549"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continue"/>
            <w:tcBorders>
              <w:top w:val="nil"/>
              <w:bottom w:val="nil"/>
            </w:tcBorders>
          </w:tcPr>
          <w:p>
            <w:pPr>
              <w:rPr>
                <w:rFonts w:ascii="Arial"/>
                <w:sz w:val="21"/>
              </w:rPr>
            </w:pPr>
            <w:r/>
          </w:p>
        </w:tc>
        <w:tc>
          <w:tcPr>
            <w:tcW w:w="889" w:type="dxa"/>
            <w:vAlign w:val="top"/>
            <w:vMerge w:val="continue"/>
            <w:tcBorders>
              <w:top w:val="nil"/>
            </w:tcBorders>
          </w:tcPr>
          <w:p>
            <w:pPr>
              <w:rPr>
                <w:rFonts w:ascii="Arial"/>
                <w:sz w:val="21"/>
              </w:rPr>
            </w:pPr>
            <w:r/>
          </w:p>
        </w:tc>
        <w:tc>
          <w:tcPr>
            <w:tcW w:w="2898" w:type="dxa"/>
            <w:vAlign w:val="top"/>
            <w:gridSpan w:val="2"/>
          </w:tcPr>
          <w:p>
            <w:pPr>
              <w:pStyle w:val="TableText"/>
              <w:ind w:left="1019" w:hanging="1008"/>
              <w:spacing w:before="40" w:line="219" w:lineRule="auto"/>
              <w:rPr>
                <w:sz w:val="21"/>
                <w:szCs w:val="21"/>
              </w:rPr>
            </w:pPr>
            <w:r>
              <w:rPr>
                <w:sz w:val="21"/>
                <w:szCs w:val="21"/>
                <w:spacing w:val="-5"/>
              </w:rPr>
              <w:t>猪蹄壳、碎肉、淋巴组织、不可</w:t>
            </w:r>
            <w:r>
              <w:rPr>
                <w:sz w:val="21"/>
                <w:szCs w:val="21"/>
                <w:spacing w:val="5"/>
              </w:rPr>
              <w:t xml:space="preserve"> </w:t>
            </w:r>
            <w:r>
              <w:rPr>
                <w:sz w:val="21"/>
                <w:szCs w:val="21"/>
                <w:spacing w:val="-2"/>
              </w:rPr>
              <w:t>食内脏等</w:t>
            </w:r>
          </w:p>
        </w:tc>
        <w:tc>
          <w:tcPr>
            <w:tcW w:w="739" w:type="dxa"/>
            <w:vAlign w:val="top"/>
          </w:tcPr>
          <w:p>
            <w:pPr>
              <w:pStyle w:val="TableText"/>
              <w:ind w:left="43"/>
              <w:spacing w:before="177" w:line="224" w:lineRule="auto"/>
              <w:rPr>
                <w:sz w:val="21"/>
                <w:szCs w:val="21"/>
              </w:rPr>
            </w:pPr>
            <w:r>
              <w:rPr>
                <w:sz w:val="21"/>
                <w:szCs w:val="21"/>
                <w:spacing w:val="-2"/>
              </w:rPr>
              <w:t>220t/a</w:t>
            </w:r>
          </w:p>
        </w:tc>
        <w:tc>
          <w:tcPr>
            <w:tcW w:w="5906" w:type="dxa"/>
            <w:vAlign w:val="top"/>
          </w:tcPr>
          <w:p>
            <w:pPr>
              <w:pStyle w:val="TableText"/>
              <w:ind w:left="14" w:right="89"/>
              <w:spacing w:before="40" w:line="219" w:lineRule="auto"/>
              <w:rPr>
                <w:sz w:val="21"/>
                <w:szCs w:val="21"/>
              </w:rPr>
            </w:pPr>
            <w:r>
              <w:rPr>
                <w:sz w:val="21"/>
                <w:szCs w:val="21"/>
              </w:rPr>
              <w:t>统一密闭收集后暂存于固废暂存间，外售综合利用(炼明胶或油</w:t>
            </w:r>
            <w:r>
              <w:rPr>
                <w:sz w:val="21"/>
                <w:szCs w:val="21"/>
                <w:spacing w:val="16"/>
              </w:rPr>
              <w:t xml:space="preserve"> </w:t>
            </w:r>
            <w:r>
              <w:rPr>
                <w:sz w:val="21"/>
                <w:szCs w:val="21"/>
                <w:spacing w:val="-1"/>
              </w:rPr>
              <w:t>脂)或进行无害化处理。</w:t>
            </w:r>
          </w:p>
        </w:tc>
        <w:tc>
          <w:tcPr>
            <w:tcW w:w="3308" w:type="dxa"/>
            <w:vAlign w:val="top"/>
            <w:gridSpan w:val="2"/>
          </w:tcPr>
          <w:p>
            <w:pPr>
              <w:pStyle w:val="TableText"/>
              <w:ind w:left="1338"/>
              <w:spacing w:before="177" w:line="224" w:lineRule="auto"/>
              <w:rPr>
                <w:sz w:val="21"/>
                <w:szCs w:val="21"/>
              </w:rPr>
            </w:pPr>
            <w:r>
              <w:rPr>
                <w:sz w:val="21"/>
                <w:szCs w:val="21"/>
                <w:spacing w:val="-2"/>
              </w:rPr>
              <w:t>220t/a</w:t>
            </w:r>
          </w:p>
        </w:tc>
        <w:tc>
          <w:tcPr>
            <w:tcW w:w="495" w:type="dxa"/>
            <w:vAlign w:val="top"/>
            <w:vMerge w:val="continue"/>
            <w:tcBorders>
              <w:top w:val="nil"/>
              <w:bottom w:val="nil"/>
            </w:tcBorders>
          </w:tcPr>
          <w:p>
            <w:pPr>
              <w:rPr>
                <w:rFonts w:ascii="Arial"/>
                <w:sz w:val="21"/>
              </w:rPr>
            </w:pPr>
            <w:r/>
          </w:p>
        </w:tc>
      </w:tr>
      <w:tr>
        <w:trPr>
          <w:trHeight w:val="519"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continue"/>
            <w:tcBorders>
              <w:top w:val="nil"/>
              <w:bottom w:val="nil"/>
            </w:tcBorders>
          </w:tcPr>
          <w:p>
            <w:pPr>
              <w:rPr>
                <w:rFonts w:ascii="Arial"/>
                <w:sz w:val="21"/>
              </w:rPr>
            </w:pPr>
            <w:r/>
          </w:p>
        </w:tc>
        <w:tc>
          <w:tcPr>
            <w:tcW w:w="889" w:type="dxa"/>
            <w:vAlign w:val="top"/>
            <w:vMerge w:val="restart"/>
            <w:tcBorders>
              <w:bottom w:val="nil"/>
            </w:tcBorders>
          </w:tcPr>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219" w:right="11" w:hanging="209"/>
              <w:spacing w:before="68" w:line="241" w:lineRule="auto"/>
              <w:rPr>
                <w:sz w:val="21"/>
                <w:szCs w:val="21"/>
              </w:rPr>
            </w:pPr>
            <w:r>
              <w:rPr>
                <w:sz w:val="21"/>
                <w:szCs w:val="21"/>
                <w:spacing w:val="4"/>
              </w:rPr>
              <w:t>肉牛屠宰</w:t>
            </w:r>
            <w:r>
              <w:rPr>
                <w:sz w:val="21"/>
                <w:szCs w:val="21"/>
              </w:rPr>
              <w:t xml:space="preserve"> </w:t>
            </w:r>
            <w:r>
              <w:rPr>
                <w:sz w:val="21"/>
                <w:szCs w:val="21"/>
                <w:spacing w:val="-2"/>
              </w:rPr>
              <w:t>废物</w:t>
            </w:r>
          </w:p>
        </w:tc>
        <w:tc>
          <w:tcPr>
            <w:tcW w:w="2898" w:type="dxa"/>
            <w:vAlign w:val="top"/>
            <w:gridSpan w:val="2"/>
          </w:tcPr>
          <w:p>
            <w:pPr>
              <w:pStyle w:val="TableText"/>
              <w:ind w:left="911"/>
              <w:spacing w:before="162" w:line="219" w:lineRule="auto"/>
              <w:rPr>
                <w:sz w:val="21"/>
                <w:szCs w:val="21"/>
              </w:rPr>
            </w:pPr>
            <w:r>
              <w:rPr>
                <w:sz w:val="21"/>
                <w:szCs w:val="21"/>
                <w:spacing w:val="-2"/>
              </w:rPr>
              <w:t>待宰圈粪便</w:t>
            </w:r>
          </w:p>
        </w:tc>
        <w:tc>
          <w:tcPr>
            <w:tcW w:w="739" w:type="dxa"/>
            <w:vAlign w:val="top"/>
          </w:tcPr>
          <w:p>
            <w:pPr>
              <w:pStyle w:val="TableText"/>
              <w:spacing w:before="168" w:line="224" w:lineRule="auto"/>
              <w:jc w:val="right"/>
              <w:rPr>
                <w:sz w:val="21"/>
                <w:szCs w:val="21"/>
              </w:rPr>
            </w:pPr>
            <w:r>
              <w:rPr>
                <w:sz w:val="21"/>
                <w:szCs w:val="21"/>
                <w:spacing w:val="-18"/>
              </w:rPr>
              <w:t>435.</w:t>
            </w:r>
            <w:r>
              <w:rPr>
                <w:sz w:val="21"/>
                <w:szCs w:val="21"/>
                <w:spacing w:val="-17"/>
              </w:rPr>
              <w:t>2t/</w:t>
            </w:r>
            <w:r>
              <w:rPr>
                <w:sz w:val="21"/>
                <w:szCs w:val="21"/>
                <w:spacing w:val="-5"/>
              </w:rPr>
              <w:t>a</w:t>
            </w:r>
          </w:p>
        </w:tc>
        <w:tc>
          <w:tcPr>
            <w:tcW w:w="5906" w:type="dxa"/>
            <w:vAlign w:val="top"/>
          </w:tcPr>
          <w:p>
            <w:pPr>
              <w:pStyle w:val="TableText"/>
              <w:ind w:left="14"/>
              <w:spacing w:before="33" w:line="209" w:lineRule="auto"/>
              <w:rPr>
                <w:sz w:val="21"/>
                <w:szCs w:val="21"/>
              </w:rPr>
            </w:pPr>
            <w:r>
              <w:rPr>
                <w:sz w:val="21"/>
                <w:szCs w:val="21"/>
              </w:rPr>
              <w:t>经人工袋装密封收集后，运至固废暂存间进行暂存，收集后由有 </w:t>
            </w:r>
            <w:r>
              <w:rPr>
                <w:sz w:val="21"/>
                <w:szCs w:val="21"/>
                <w:spacing w:val="-1"/>
              </w:rPr>
              <w:t>机肥公司每日定时定点清运。</w:t>
            </w:r>
          </w:p>
        </w:tc>
        <w:tc>
          <w:tcPr>
            <w:tcW w:w="3308" w:type="dxa"/>
            <w:vAlign w:val="top"/>
            <w:gridSpan w:val="2"/>
          </w:tcPr>
          <w:p>
            <w:pPr>
              <w:pStyle w:val="TableText"/>
              <w:ind w:left="1228"/>
              <w:spacing w:before="168" w:line="224" w:lineRule="auto"/>
              <w:rPr>
                <w:sz w:val="21"/>
                <w:szCs w:val="21"/>
              </w:rPr>
            </w:pPr>
            <w:r>
              <w:rPr>
                <w:sz w:val="21"/>
                <w:szCs w:val="21"/>
                <w:spacing w:val="-1"/>
              </w:rPr>
              <w:t>435.2t/a</w:t>
            </w:r>
          </w:p>
        </w:tc>
        <w:tc>
          <w:tcPr>
            <w:tcW w:w="495" w:type="dxa"/>
            <w:vAlign w:val="top"/>
            <w:vMerge w:val="continue"/>
            <w:tcBorders>
              <w:top w:val="nil"/>
              <w:bottom w:val="nil"/>
            </w:tcBorders>
          </w:tcPr>
          <w:p>
            <w:pPr>
              <w:rPr>
                <w:rFonts w:ascii="Arial"/>
                <w:sz w:val="21"/>
              </w:rPr>
            </w:pPr>
            <w:r/>
          </w:p>
        </w:tc>
      </w:tr>
      <w:tr>
        <w:trPr>
          <w:trHeight w:val="549"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continue"/>
            <w:tcBorders>
              <w:top w:val="nil"/>
              <w:bottom w:val="nil"/>
            </w:tcBorders>
          </w:tcPr>
          <w:p>
            <w:pPr>
              <w:rPr>
                <w:rFonts w:ascii="Arial"/>
                <w:sz w:val="21"/>
              </w:rPr>
            </w:pPr>
            <w:r/>
          </w:p>
        </w:tc>
        <w:tc>
          <w:tcPr>
            <w:tcW w:w="889" w:type="dxa"/>
            <w:vAlign w:val="top"/>
            <w:vMerge w:val="continue"/>
            <w:tcBorders>
              <w:top w:val="nil"/>
              <w:bottom w:val="nil"/>
            </w:tcBorders>
          </w:tcPr>
          <w:p>
            <w:pPr>
              <w:rPr>
                <w:rFonts w:ascii="Arial"/>
                <w:sz w:val="21"/>
              </w:rPr>
            </w:pPr>
            <w:r/>
          </w:p>
        </w:tc>
        <w:tc>
          <w:tcPr>
            <w:tcW w:w="2898" w:type="dxa"/>
            <w:vAlign w:val="top"/>
            <w:gridSpan w:val="2"/>
          </w:tcPr>
          <w:p>
            <w:pPr>
              <w:pStyle w:val="TableText"/>
              <w:ind w:left="911"/>
              <w:spacing w:before="172" w:line="219" w:lineRule="auto"/>
              <w:rPr>
                <w:sz w:val="21"/>
                <w:szCs w:val="21"/>
              </w:rPr>
            </w:pPr>
            <w:r>
              <w:rPr>
                <w:sz w:val="21"/>
                <w:szCs w:val="21"/>
                <w:spacing w:val="2"/>
              </w:rPr>
              <w:t>胃肠内容物</w:t>
            </w:r>
          </w:p>
        </w:tc>
        <w:tc>
          <w:tcPr>
            <w:tcW w:w="739" w:type="dxa"/>
            <w:vAlign w:val="top"/>
          </w:tcPr>
          <w:p>
            <w:pPr>
              <w:pStyle w:val="TableText"/>
              <w:ind w:left="43"/>
              <w:spacing w:before="179" w:line="224" w:lineRule="auto"/>
              <w:rPr>
                <w:sz w:val="21"/>
                <w:szCs w:val="21"/>
              </w:rPr>
            </w:pPr>
            <w:r>
              <w:rPr>
                <w:sz w:val="21"/>
                <w:szCs w:val="21"/>
                <w:spacing w:val="-2"/>
              </w:rPr>
              <w:t>800t/a</w:t>
            </w:r>
          </w:p>
        </w:tc>
        <w:tc>
          <w:tcPr>
            <w:tcW w:w="5906" w:type="dxa"/>
            <w:vAlign w:val="top"/>
          </w:tcPr>
          <w:p>
            <w:pPr>
              <w:pStyle w:val="TableText"/>
              <w:ind w:left="14" w:right="8"/>
              <w:spacing w:before="52" w:line="214" w:lineRule="auto"/>
              <w:rPr>
                <w:sz w:val="21"/>
                <w:szCs w:val="21"/>
              </w:rPr>
            </w:pPr>
            <w:r>
              <w:rPr>
                <w:sz w:val="21"/>
                <w:szCs w:val="21"/>
              </w:rPr>
              <w:t>采用专用密闭容器收集后，暂存于固废暂存</w:t>
            </w:r>
            <w:r>
              <w:rPr>
                <w:sz w:val="21"/>
                <w:szCs w:val="21"/>
                <w:spacing w:val="-1"/>
              </w:rPr>
              <w:t>间，使用密闭运输车</w:t>
            </w:r>
            <w:r>
              <w:rPr>
                <w:sz w:val="21"/>
                <w:szCs w:val="21"/>
              </w:rPr>
              <w:t xml:space="preserve"> </w:t>
            </w:r>
            <w:r>
              <w:rPr>
                <w:sz w:val="21"/>
                <w:szCs w:val="21"/>
                <w:spacing w:val="-1"/>
              </w:rPr>
              <w:t>运输，收集后由有机肥公司每日清运。</w:t>
            </w:r>
          </w:p>
        </w:tc>
        <w:tc>
          <w:tcPr>
            <w:tcW w:w="3308" w:type="dxa"/>
            <w:vAlign w:val="top"/>
            <w:gridSpan w:val="2"/>
          </w:tcPr>
          <w:p>
            <w:pPr>
              <w:pStyle w:val="TableText"/>
              <w:ind w:left="1338"/>
              <w:spacing w:before="179" w:line="224" w:lineRule="auto"/>
              <w:rPr>
                <w:sz w:val="21"/>
                <w:szCs w:val="21"/>
              </w:rPr>
            </w:pPr>
            <w:r>
              <w:rPr>
                <w:sz w:val="21"/>
                <w:szCs w:val="21"/>
                <w:spacing w:val="-2"/>
              </w:rPr>
              <w:t>800t/a</w:t>
            </w:r>
          </w:p>
        </w:tc>
        <w:tc>
          <w:tcPr>
            <w:tcW w:w="495" w:type="dxa"/>
            <w:vAlign w:val="top"/>
            <w:vMerge w:val="continue"/>
            <w:tcBorders>
              <w:top w:val="nil"/>
              <w:bottom w:val="nil"/>
            </w:tcBorders>
          </w:tcPr>
          <w:p>
            <w:pPr>
              <w:rPr>
                <w:rFonts w:ascii="Arial"/>
                <w:sz w:val="21"/>
              </w:rPr>
            </w:pPr>
            <w:r/>
          </w:p>
        </w:tc>
      </w:tr>
      <w:tr>
        <w:trPr>
          <w:trHeight w:val="539"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continue"/>
            <w:tcBorders>
              <w:top w:val="nil"/>
              <w:bottom w:val="nil"/>
            </w:tcBorders>
          </w:tcPr>
          <w:p>
            <w:pPr>
              <w:rPr>
                <w:rFonts w:ascii="Arial"/>
                <w:sz w:val="21"/>
              </w:rPr>
            </w:pPr>
            <w:r/>
          </w:p>
        </w:tc>
        <w:tc>
          <w:tcPr>
            <w:tcW w:w="889" w:type="dxa"/>
            <w:vAlign w:val="top"/>
            <w:vMerge w:val="continue"/>
            <w:tcBorders>
              <w:top w:val="nil"/>
              <w:bottom w:val="nil"/>
            </w:tcBorders>
          </w:tcPr>
          <w:p>
            <w:pPr>
              <w:rPr>
                <w:rFonts w:ascii="Arial"/>
                <w:sz w:val="21"/>
              </w:rPr>
            </w:pPr>
            <w:r/>
          </w:p>
        </w:tc>
        <w:tc>
          <w:tcPr>
            <w:tcW w:w="2898" w:type="dxa"/>
            <w:vAlign w:val="top"/>
            <w:gridSpan w:val="2"/>
          </w:tcPr>
          <w:p>
            <w:pPr>
              <w:pStyle w:val="TableText"/>
              <w:ind w:left="330" w:right="127" w:hanging="209"/>
              <w:spacing w:before="42" w:line="214" w:lineRule="auto"/>
              <w:rPr>
                <w:sz w:val="21"/>
                <w:szCs w:val="21"/>
              </w:rPr>
            </w:pPr>
            <w:r>
              <w:rPr>
                <w:sz w:val="21"/>
                <w:szCs w:val="21"/>
                <w:spacing w:val="1"/>
              </w:rPr>
              <w:t>屠宰废料(牛蹄壳、碎肉、淋</w:t>
            </w:r>
            <w:r>
              <w:rPr>
                <w:sz w:val="21"/>
                <w:szCs w:val="21"/>
              </w:rPr>
              <w:t xml:space="preserve"> </w:t>
            </w:r>
            <w:r>
              <w:rPr>
                <w:sz w:val="21"/>
                <w:szCs w:val="21"/>
                <w:spacing w:val="4"/>
              </w:rPr>
              <w:t>巴组织、不可食内脏等)</w:t>
            </w:r>
          </w:p>
        </w:tc>
        <w:tc>
          <w:tcPr>
            <w:tcW w:w="739" w:type="dxa"/>
            <w:vAlign w:val="top"/>
          </w:tcPr>
          <w:p>
            <w:pPr>
              <w:pStyle w:val="TableText"/>
              <w:ind w:left="43"/>
              <w:spacing w:before="180" w:line="224" w:lineRule="auto"/>
              <w:rPr>
                <w:sz w:val="21"/>
                <w:szCs w:val="21"/>
              </w:rPr>
            </w:pPr>
            <w:r>
              <w:rPr>
                <w:sz w:val="21"/>
                <w:szCs w:val="21"/>
                <w:spacing w:val="-2"/>
              </w:rPr>
              <w:t>360t/a</w:t>
            </w:r>
          </w:p>
        </w:tc>
        <w:tc>
          <w:tcPr>
            <w:tcW w:w="5906" w:type="dxa"/>
            <w:vAlign w:val="top"/>
          </w:tcPr>
          <w:p>
            <w:pPr>
              <w:pStyle w:val="TableText"/>
              <w:ind w:left="14" w:right="89"/>
              <w:spacing w:before="44" w:line="213" w:lineRule="auto"/>
              <w:rPr>
                <w:sz w:val="21"/>
                <w:szCs w:val="21"/>
              </w:rPr>
            </w:pPr>
            <w:r>
              <w:rPr>
                <w:sz w:val="21"/>
                <w:szCs w:val="21"/>
              </w:rPr>
              <w:t>统一密闭收集后暂存于固废暂存间，外售综合利用(炼明胶或油</w:t>
            </w:r>
            <w:r>
              <w:rPr>
                <w:sz w:val="21"/>
                <w:szCs w:val="21"/>
                <w:spacing w:val="16"/>
              </w:rPr>
              <w:t xml:space="preserve"> </w:t>
            </w:r>
            <w:r>
              <w:rPr>
                <w:sz w:val="21"/>
                <w:szCs w:val="21"/>
                <w:spacing w:val="-1"/>
              </w:rPr>
              <w:t>脂)或进行无害化处理。</w:t>
            </w:r>
          </w:p>
        </w:tc>
        <w:tc>
          <w:tcPr>
            <w:tcW w:w="3308" w:type="dxa"/>
            <w:vAlign w:val="top"/>
            <w:gridSpan w:val="2"/>
          </w:tcPr>
          <w:p>
            <w:pPr>
              <w:pStyle w:val="TableText"/>
              <w:ind w:left="1338"/>
              <w:spacing w:before="180" w:line="224" w:lineRule="auto"/>
              <w:rPr>
                <w:sz w:val="21"/>
                <w:szCs w:val="21"/>
              </w:rPr>
            </w:pPr>
            <w:r>
              <w:rPr>
                <w:sz w:val="21"/>
                <w:szCs w:val="21"/>
                <w:spacing w:val="-2"/>
              </w:rPr>
              <w:t>360t/a</w:t>
            </w:r>
          </w:p>
        </w:tc>
        <w:tc>
          <w:tcPr>
            <w:tcW w:w="495" w:type="dxa"/>
            <w:vAlign w:val="top"/>
            <w:vMerge w:val="continue"/>
            <w:tcBorders>
              <w:top w:val="nil"/>
              <w:bottom w:val="nil"/>
            </w:tcBorders>
          </w:tcPr>
          <w:p>
            <w:pPr>
              <w:rPr>
                <w:rFonts w:ascii="Arial"/>
                <w:sz w:val="21"/>
              </w:rPr>
            </w:pPr>
            <w:r/>
          </w:p>
        </w:tc>
      </w:tr>
      <w:tr>
        <w:trPr>
          <w:trHeight w:val="549"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continue"/>
            <w:tcBorders>
              <w:top w:val="nil"/>
              <w:bottom w:val="nil"/>
            </w:tcBorders>
          </w:tcPr>
          <w:p>
            <w:pPr>
              <w:rPr>
                <w:rFonts w:ascii="Arial"/>
                <w:sz w:val="21"/>
              </w:rPr>
            </w:pPr>
            <w:r/>
          </w:p>
        </w:tc>
        <w:tc>
          <w:tcPr>
            <w:tcW w:w="889" w:type="dxa"/>
            <w:vAlign w:val="top"/>
            <w:vMerge w:val="continue"/>
            <w:tcBorders>
              <w:top w:val="nil"/>
            </w:tcBorders>
          </w:tcPr>
          <w:p>
            <w:pPr>
              <w:rPr>
                <w:rFonts w:ascii="Arial"/>
                <w:sz w:val="21"/>
              </w:rPr>
            </w:pPr>
            <w:r/>
          </w:p>
        </w:tc>
        <w:tc>
          <w:tcPr>
            <w:tcW w:w="2898" w:type="dxa"/>
            <w:vAlign w:val="top"/>
            <w:gridSpan w:val="2"/>
          </w:tcPr>
          <w:p>
            <w:pPr>
              <w:pStyle w:val="TableText"/>
              <w:ind w:left="71"/>
              <w:spacing w:before="175" w:line="219" w:lineRule="auto"/>
              <w:rPr>
                <w:sz w:val="21"/>
                <w:szCs w:val="21"/>
              </w:rPr>
            </w:pPr>
            <w:r>
              <w:rPr>
                <w:sz w:val="21"/>
                <w:szCs w:val="21"/>
                <w:spacing w:val="-1"/>
              </w:rPr>
              <w:t>疫病牛、病牛四分体、病内脏</w:t>
            </w:r>
          </w:p>
        </w:tc>
        <w:tc>
          <w:tcPr>
            <w:tcW w:w="739" w:type="dxa"/>
            <w:vAlign w:val="top"/>
          </w:tcPr>
          <w:p>
            <w:pPr>
              <w:pStyle w:val="TableText"/>
              <w:ind w:left="43"/>
              <w:spacing w:before="181" w:line="224" w:lineRule="auto"/>
              <w:rPr>
                <w:sz w:val="21"/>
                <w:szCs w:val="21"/>
              </w:rPr>
            </w:pPr>
            <w:r>
              <w:rPr>
                <w:sz w:val="21"/>
                <w:szCs w:val="21"/>
                <w:spacing w:val="-2"/>
              </w:rPr>
              <w:t>420t/a</w:t>
            </w:r>
          </w:p>
        </w:tc>
        <w:tc>
          <w:tcPr>
            <w:tcW w:w="5906" w:type="dxa"/>
            <w:vAlign w:val="top"/>
          </w:tcPr>
          <w:p>
            <w:pPr>
              <w:pStyle w:val="TableText"/>
              <w:ind w:left="14" w:right="6"/>
              <w:spacing w:before="74" w:line="204" w:lineRule="auto"/>
              <w:rPr>
                <w:sz w:val="21"/>
                <w:szCs w:val="21"/>
              </w:rPr>
            </w:pPr>
            <w:r>
              <w:rPr>
                <w:sz w:val="21"/>
                <w:szCs w:val="21"/>
              </w:rPr>
              <w:t>屠宰过程中发现的病牛四分体及不可食用肉暂存</w:t>
            </w:r>
            <w:r>
              <w:rPr>
                <w:sz w:val="21"/>
                <w:szCs w:val="21"/>
                <w:spacing w:val="-1"/>
              </w:rPr>
              <w:t>于病体冻库内，</w:t>
            </w:r>
            <w:r>
              <w:rPr>
                <w:sz w:val="21"/>
                <w:szCs w:val="21"/>
              </w:rPr>
              <w:t xml:space="preserve"> </w:t>
            </w:r>
            <w:r>
              <w:rPr>
                <w:sz w:val="21"/>
                <w:szCs w:val="21"/>
              </w:rPr>
              <w:t>定期交绵阳市病死畜禽无害化处理中心进行</w:t>
            </w:r>
            <w:r>
              <w:rPr>
                <w:sz w:val="21"/>
                <w:szCs w:val="21"/>
                <w:spacing w:val="-1"/>
              </w:rPr>
              <w:t>无害化处置。</w:t>
            </w:r>
          </w:p>
        </w:tc>
        <w:tc>
          <w:tcPr>
            <w:tcW w:w="3308" w:type="dxa"/>
            <w:vAlign w:val="top"/>
            <w:gridSpan w:val="2"/>
          </w:tcPr>
          <w:p>
            <w:pPr>
              <w:pStyle w:val="TableText"/>
              <w:ind w:left="1338"/>
              <w:spacing w:before="181" w:line="224" w:lineRule="auto"/>
              <w:rPr>
                <w:sz w:val="21"/>
                <w:szCs w:val="21"/>
              </w:rPr>
            </w:pPr>
            <w:r>
              <w:rPr>
                <w:sz w:val="21"/>
                <w:szCs w:val="21"/>
                <w:spacing w:val="-2"/>
              </w:rPr>
              <w:t>420t/a</w:t>
            </w:r>
          </w:p>
        </w:tc>
        <w:tc>
          <w:tcPr>
            <w:tcW w:w="495" w:type="dxa"/>
            <w:vAlign w:val="top"/>
            <w:vMerge w:val="continue"/>
            <w:tcBorders>
              <w:top w:val="nil"/>
              <w:bottom w:val="nil"/>
            </w:tcBorders>
          </w:tcPr>
          <w:p>
            <w:pPr>
              <w:rPr>
                <w:rFonts w:ascii="Arial"/>
                <w:sz w:val="21"/>
              </w:rPr>
            </w:pPr>
            <w:r/>
          </w:p>
        </w:tc>
      </w:tr>
      <w:tr>
        <w:trPr>
          <w:trHeight w:val="270"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continue"/>
            <w:tcBorders>
              <w:top w:val="nil"/>
              <w:bottom w:val="nil"/>
            </w:tcBorders>
          </w:tcPr>
          <w:p>
            <w:pPr>
              <w:rPr>
                <w:rFonts w:ascii="Arial"/>
                <w:sz w:val="21"/>
              </w:rPr>
            </w:pPr>
            <w:r/>
          </w:p>
        </w:tc>
        <w:tc>
          <w:tcPr>
            <w:tcW w:w="3787" w:type="dxa"/>
            <w:vAlign w:val="top"/>
            <w:gridSpan w:val="3"/>
          </w:tcPr>
          <w:p>
            <w:pPr>
              <w:pStyle w:val="TableText"/>
              <w:ind w:left="520"/>
              <w:spacing w:before="35" w:line="197" w:lineRule="auto"/>
              <w:rPr>
                <w:sz w:val="21"/>
                <w:szCs w:val="21"/>
              </w:rPr>
            </w:pPr>
            <w:r>
              <w:rPr>
                <w:sz w:val="21"/>
                <w:szCs w:val="21"/>
              </w:rPr>
              <w:t>污水处理站产生的栅渣和污泥</w:t>
            </w:r>
          </w:p>
        </w:tc>
        <w:tc>
          <w:tcPr>
            <w:tcW w:w="739" w:type="dxa"/>
            <w:vAlign w:val="top"/>
          </w:tcPr>
          <w:p>
            <w:pPr>
              <w:pStyle w:val="TableText"/>
              <w:ind w:left="93"/>
              <w:spacing w:before="42" w:line="191" w:lineRule="auto"/>
              <w:rPr>
                <w:sz w:val="21"/>
                <w:szCs w:val="21"/>
              </w:rPr>
            </w:pPr>
            <w:r>
              <w:rPr>
                <w:sz w:val="21"/>
                <w:szCs w:val="21"/>
                <w:spacing w:val="-2"/>
              </w:rPr>
              <w:t>80t/a</w:t>
            </w:r>
          </w:p>
        </w:tc>
        <w:tc>
          <w:tcPr>
            <w:tcW w:w="5906" w:type="dxa"/>
            <w:vAlign w:val="top"/>
          </w:tcPr>
          <w:p>
            <w:pPr>
              <w:pStyle w:val="TableText"/>
              <w:ind w:left="1704"/>
              <w:spacing w:before="35" w:line="197" w:lineRule="auto"/>
              <w:rPr>
                <w:sz w:val="21"/>
                <w:szCs w:val="21"/>
              </w:rPr>
            </w:pPr>
            <w:r>
              <w:rPr>
                <w:sz w:val="21"/>
                <w:szCs w:val="21"/>
                <w:spacing w:val="-1"/>
              </w:rPr>
              <w:t>外售有资质单位制作有机肥</w:t>
            </w:r>
          </w:p>
        </w:tc>
        <w:tc>
          <w:tcPr>
            <w:tcW w:w="3308" w:type="dxa"/>
            <w:vAlign w:val="top"/>
            <w:gridSpan w:val="2"/>
          </w:tcPr>
          <w:p>
            <w:pPr>
              <w:pStyle w:val="TableText"/>
              <w:ind w:left="1388"/>
              <w:spacing w:before="42" w:line="191" w:lineRule="auto"/>
              <w:rPr>
                <w:sz w:val="21"/>
                <w:szCs w:val="21"/>
              </w:rPr>
            </w:pPr>
            <w:r>
              <w:rPr>
                <w:sz w:val="21"/>
                <w:szCs w:val="21"/>
                <w:spacing w:val="-2"/>
              </w:rPr>
              <w:t>80t/a</w:t>
            </w:r>
          </w:p>
        </w:tc>
        <w:tc>
          <w:tcPr>
            <w:tcW w:w="495" w:type="dxa"/>
            <w:vAlign w:val="top"/>
            <w:vMerge w:val="continue"/>
            <w:tcBorders>
              <w:top w:val="nil"/>
              <w:bottom w:val="nil"/>
            </w:tcBorders>
          </w:tcPr>
          <w:p>
            <w:pPr>
              <w:rPr>
                <w:rFonts w:ascii="Arial"/>
                <w:sz w:val="21"/>
              </w:rPr>
            </w:pPr>
            <w:r/>
          </w:p>
        </w:tc>
      </w:tr>
      <w:tr>
        <w:trPr>
          <w:trHeight w:val="270"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continue"/>
            <w:tcBorders>
              <w:top w:val="nil"/>
              <w:bottom w:val="nil"/>
            </w:tcBorders>
          </w:tcPr>
          <w:p>
            <w:pPr>
              <w:rPr>
                <w:rFonts w:ascii="Arial"/>
                <w:sz w:val="21"/>
              </w:rPr>
            </w:pPr>
            <w:r/>
          </w:p>
        </w:tc>
        <w:tc>
          <w:tcPr>
            <w:tcW w:w="3787" w:type="dxa"/>
            <w:vAlign w:val="top"/>
            <w:gridSpan w:val="3"/>
          </w:tcPr>
          <w:p>
            <w:pPr>
              <w:pStyle w:val="TableText"/>
              <w:ind w:left="1360"/>
              <w:spacing w:before="35" w:line="197" w:lineRule="auto"/>
              <w:rPr>
                <w:sz w:val="21"/>
                <w:szCs w:val="21"/>
              </w:rPr>
            </w:pPr>
            <w:r>
              <w:rPr>
                <w:sz w:val="21"/>
                <w:szCs w:val="21"/>
                <w:spacing w:val="-2"/>
              </w:rPr>
              <w:t>生猪含毛蜡</w:t>
            </w:r>
          </w:p>
        </w:tc>
        <w:tc>
          <w:tcPr>
            <w:tcW w:w="739" w:type="dxa"/>
            <w:vAlign w:val="top"/>
          </w:tcPr>
          <w:p>
            <w:pPr>
              <w:pStyle w:val="TableText"/>
              <w:ind w:left="153"/>
              <w:spacing w:before="42" w:line="191" w:lineRule="auto"/>
              <w:rPr>
                <w:sz w:val="21"/>
                <w:szCs w:val="21"/>
              </w:rPr>
            </w:pPr>
            <w:r>
              <w:rPr>
                <w:sz w:val="21"/>
                <w:szCs w:val="21"/>
                <w:spacing w:val="-3"/>
              </w:rPr>
              <w:t>2t/a</w:t>
            </w:r>
          </w:p>
        </w:tc>
        <w:tc>
          <w:tcPr>
            <w:tcW w:w="5906" w:type="dxa"/>
            <w:vAlign w:val="top"/>
          </w:tcPr>
          <w:p>
            <w:pPr>
              <w:pStyle w:val="TableText"/>
              <w:ind w:left="544"/>
              <w:spacing w:before="35" w:line="197" w:lineRule="auto"/>
              <w:rPr>
                <w:sz w:val="21"/>
                <w:szCs w:val="21"/>
              </w:rPr>
            </w:pPr>
            <w:r>
              <w:rPr>
                <w:sz w:val="21"/>
                <w:szCs w:val="21"/>
              </w:rPr>
              <w:t>暂存于脱毛处理间专用容器中，定期交回收公司处理</w:t>
            </w:r>
          </w:p>
        </w:tc>
        <w:tc>
          <w:tcPr>
            <w:tcW w:w="3308" w:type="dxa"/>
            <w:vAlign w:val="top"/>
            <w:gridSpan w:val="2"/>
          </w:tcPr>
          <w:p>
            <w:pPr>
              <w:pStyle w:val="TableText"/>
              <w:ind w:left="1438"/>
              <w:spacing w:before="42" w:line="191" w:lineRule="auto"/>
              <w:rPr>
                <w:sz w:val="21"/>
                <w:szCs w:val="21"/>
              </w:rPr>
            </w:pPr>
            <w:r>
              <w:rPr>
                <w:sz w:val="21"/>
                <w:szCs w:val="21"/>
                <w:spacing w:val="-3"/>
              </w:rPr>
              <w:t>2t/a</w:t>
            </w:r>
          </w:p>
        </w:tc>
        <w:tc>
          <w:tcPr>
            <w:tcW w:w="495" w:type="dxa"/>
            <w:vAlign w:val="top"/>
            <w:vMerge w:val="continue"/>
            <w:tcBorders>
              <w:top w:val="nil"/>
              <w:bottom w:val="nil"/>
            </w:tcBorders>
          </w:tcPr>
          <w:p>
            <w:pPr>
              <w:rPr>
                <w:rFonts w:ascii="Arial"/>
                <w:sz w:val="21"/>
              </w:rPr>
            </w:pPr>
            <w:r/>
          </w:p>
        </w:tc>
      </w:tr>
      <w:tr>
        <w:trPr>
          <w:trHeight w:val="270"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continue"/>
            <w:tcBorders>
              <w:top w:val="nil"/>
              <w:bottom w:val="nil"/>
            </w:tcBorders>
          </w:tcPr>
          <w:p>
            <w:pPr>
              <w:rPr>
                <w:rFonts w:ascii="Arial"/>
                <w:sz w:val="21"/>
              </w:rPr>
            </w:pPr>
            <w:r/>
          </w:p>
        </w:tc>
        <w:tc>
          <w:tcPr>
            <w:tcW w:w="3787" w:type="dxa"/>
            <w:vAlign w:val="top"/>
            <w:gridSpan w:val="3"/>
          </w:tcPr>
          <w:p>
            <w:pPr>
              <w:pStyle w:val="TableText"/>
              <w:ind w:left="1150"/>
              <w:spacing w:before="35" w:line="197" w:lineRule="auto"/>
              <w:rPr>
                <w:sz w:val="21"/>
                <w:szCs w:val="21"/>
              </w:rPr>
            </w:pPr>
            <w:r>
              <w:rPr>
                <w:sz w:val="21"/>
                <w:szCs w:val="21"/>
                <w:spacing w:val="-1"/>
              </w:rPr>
              <w:t>废离子交换树脂</w:t>
            </w:r>
          </w:p>
        </w:tc>
        <w:tc>
          <w:tcPr>
            <w:tcW w:w="739" w:type="dxa"/>
            <w:vAlign w:val="top"/>
          </w:tcPr>
          <w:p>
            <w:pPr>
              <w:pStyle w:val="TableText"/>
              <w:spacing w:before="42" w:line="191" w:lineRule="auto"/>
              <w:jc w:val="right"/>
              <w:rPr>
                <w:sz w:val="21"/>
                <w:szCs w:val="21"/>
              </w:rPr>
            </w:pPr>
            <w:r>
              <w:rPr>
                <w:sz w:val="21"/>
                <w:szCs w:val="21"/>
                <w:spacing w:val="-3"/>
              </w:rPr>
              <w:t>0.04t/a</w:t>
            </w:r>
          </w:p>
        </w:tc>
        <w:tc>
          <w:tcPr>
            <w:tcW w:w="5906" w:type="dxa"/>
            <w:vAlign w:val="top"/>
          </w:tcPr>
          <w:p>
            <w:pPr>
              <w:pStyle w:val="TableText"/>
              <w:ind w:left="964"/>
              <w:spacing w:before="35" w:line="197" w:lineRule="auto"/>
              <w:rPr>
                <w:sz w:val="21"/>
                <w:szCs w:val="21"/>
              </w:rPr>
            </w:pPr>
            <w:r>
              <w:rPr>
                <w:sz w:val="21"/>
                <w:szCs w:val="21"/>
                <w:spacing w:val="-1"/>
              </w:rPr>
              <w:t>暂存于固废暂存间，交由厂家定期回收处置。</w:t>
            </w:r>
          </w:p>
        </w:tc>
        <w:tc>
          <w:tcPr>
            <w:tcW w:w="3308" w:type="dxa"/>
            <w:vAlign w:val="top"/>
            <w:gridSpan w:val="2"/>
          </w:tcPr>
          <w:p>
            <w:pPr>
              <w:pStyle w:val="TableText"/>
              <w:ind w:left="1278"/>
              <w:spacing w:before="42" w:line="191" w:lineRule="auto"/>
              <w:rPr>
                <w:sz w:val="21"/>
                <w:szCs w:val="21"/>
              </w:rPr>
            </w:pPr>
            <w:r>
              <w:rPr>
                <w:sz w:val="21"/>
                <w:szCs w:val="21"/>
                <w:color w:val="404040"/>
                <w:spacing w:val="-2"/>
              </w:rPr>
              <w:t>0.04t/a</w:t>
            </w:r>
          </w:p>
        </w:tc>
        <w:tc>
          <w:tcPr>
            <w:tcW w:w="495" w:type="dxa"/>
            <w:vAlign w:val="top"/>
            <w:vMerge w:val="continue"/>
            <w:tcBorders>
              <w:top w:val="nil"/>
              <w:bottom w:val="nil"/>
            </w:tcBorders>
          </w:tcPr>
          <w:p>
            <w:pPr>
              <w:rPr>
                <w:rFonts w:ascii="Arial"/>
                <w:sz w:val="21"/>
              </w:rPr>
            </w:pPr>
            <w:r/>
          </w:p>
        </w:tc>
      </w:tr>
      <w:tr>
        <w:trPr>
          <w:trHeight w:val="299"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continue"/>
            <w:tcBorders>
              <w:top w:val="nil"/>
              <w:bottom w:val="nil"/>
            </w:tcBorders>
          </w:tcPr>
          <w:p>
            <w:pPr>
              <w:rPr>
                <w:rFonts w:ascii="Arial"/>
                <w:sz w:val="21"/>
              </w:rPr>
            </w:pPr>
            <w:r/>
          </w:p>
        </w:tc>
        <w:tc>
          <w:tcPr>
            <w:tcW w:w="3787" w:type="dxa"/>
            <w:vAlign w:val="top"/>
            <w:gridSpan w:val="3"/>
          </w:tcPr>
          <w:p>
            <w:pPr>
              <w:pStyle w:val="TableText"/>
              <w:ind w:left="730"/>
              <w:spacing w:before="55" w:line="205" w:lineRule="auto"/>
              <w:rPr>
                <w:sz w:val="21"/>
                <w:szCs w:val="21"/>
              </w:rPr>
            </w:pPr>
            <w:r>
              <w:rPr>
                <w:sz w:val="21"/>
                <w:szCs w:val="21"/>
                <w:spacing w:val="3"/>
              </w:rPr>
              <w:t>餐厨垃圾(含隔油池浮油)</w:t>
            </w:r>
          </w:p>
        </w:tc>
        <w:tc>
          <w:tcPr>
            <w:tcW w:w="739" w:type="dxa"/>
            <w:vAlign w:val="top"/>
          </w:tcPr>
          <w:p>
            <w:pPr>
              <w:pStyle w:val="TableText"/>
              <w:ind w:left="93"/>
              <w:spacing w:before="62" w:line="199" w:lineRule="auto"/>
              <w:rPr>
                <w:sz w:val="21"/>
                <w:szCs w:val="21"/>
              </w:rPr>
            </w:pPr>
            <w:r>
              <w:rPr>
                <w:sz w:val="21"/>
                <w:szCs w:val="21"/>
                <w:spacing w:val="-4"/>
              </w:rPr>
              <w:t>10t/a</w:t>
            </w:r>
          </w:p>
        </w:tc>
        <w:tc>
          <w:tcPr>
            <w:tcW w:w="5906" w:type="dxa"/>
            <w:vAlign w:val="top"/>
          </w:tcPr>
          <w:p>
            <w:pPr>
              <w:pStyle w:val="TableText"/>
              <w:ind w:left="774"/>
              <w:spacing w:before="55" w:line="205" w:lineRule="auto"/>
              <w:rPr>
                <w:sz w:val="21"/>
                <w:szCs w:val="21"/>
              </w:rPr>
            </w:pPr>
            <w:r>
              <w:rPr>
                <w:sz w:val="21"/>
                <w:szCs w:val="21"/>
                <w:spacing w:val="-1"/>
              </w:rPr>
              <w:t>桶装分类收集，交由有处置能力的单位进行处理。</w:t>
            </w:r>
          </w:p>
        </w:tc>
        <w:tc>
          <w:tcPr>
            <w:tcW w:w="3308" w:type="dxa"/>
            <w:vAlign w:val="top"/>
            <w:gridSpan w:val="2"/>
          </w:tcPr>
          <w:p>
            <w:pPr>
              <w:pStyle w:val="TableText"/>
              <w:ind w:left="1388"/>
              <w:spacing w:before="62" w:line="199" w:lineRule="auto"/>
              <w:rPr>
                <w:sz w:val="21"/>
                <w:szCs w:val="21"/>
              </w:rPr>
            </w:pPr>
            <w:r>
              <w:rPr>
                <w:sz w:val="21"/>
                <w:szCs w:val="21"/>
                <w:spacing w:val="-4"/>
              </w:rPr>
              <w:t>10t/a</w:t>
            </w:r>
          </w:p>
        </w:tc>
        <w:tc>
          <w:tcPr>
            <w:tcW w:w="495" w:type="dxa"/>
            <w:vAlign w:val="top"/>
            <w:vMerge w:val="continue"/>
            <w:tcBorders>
              <w:top w:val="nil"/>
              <w:bottom w:val="nil"/>
            </w:tcBorders>
          </w:tcPr>
          <w:p>
            <w:pPr>
              <w:rPr>
                <w:rFonts w:ascii="Arial"/>
                <w:sz w:val="21"/>
              </w:rPr>
            </w:pPr>
            <w:r/>
          </w:p>
        </w:tc>
      </w:tr>
      <w:tr>
        <w:trPr>
          <w:trHeight w:val="519"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continue"/>
            <w:tcBorders>
              <w:top w:val="nil"/>
            </w:tcBorders>
          </w:tcPr>
          <w:p>
            <w:pPr>
              <w:rPr>
                <w:rFonts w:ascii="Arial"/>
                <w:sz w:val="21"/>
              </w:rPr>
            </w:pPr>
            <w:r/>
          </w:p>
        </w:tc>
        <w:tc>
          <w:tcPr>
            <w:tcW w:w="3787" w:type="dxa"/>
            <w:vAlign w:val="top"/>
            <w:gridSpan w:val="3"/>
          </w:tcPr>
          <w:p>
            <w:pPr>
              <w:pStyle w:val="TableText"/>
              <w:ind w:left="1460"/>
              <w:spacing w:before="166" w:line="219" w:lineRule="auto"/>
              <w:rPr>
                <w:sz w:val="21"/>
                <w:szCs w:val="21"/>
              </w:rPr>
            </w:pPr>
            <w:r>
              <w:rPr>
                <w:sz w:val="21"/>
                <w:szCs w:val="21"/>
                <w:spacing w:val="-2"/>
              </w:rPr>
              <w:t>废脱硫剂</w:t>
            </w:r>
          </w:p>
        </w:tc>
        <w:tc>
          <w:tcPr>
            <w:tcW w:w="739" w:type="dxa"/>
            <w:vAlign w:val="top"/>
          </w:tcPr>
          <w:p>
            <w:pPr>
              <w:pStyle w:val="TableText"/>
              <w:ind w:left="13"/>
              <w:spacing w:before="173" w:line="224" w:lineRule="auto"/>
              <w:rPr>
                <w:sz w:val="21"/>
                <w:szCs w:val="21"/>
              </w:rPr>
            </w:pPr>
            <w:r>
              <w:rPr>
                <w:sz w:val="21"/>
                <w:szCs w:val="21"/>
                <w:spacing w:val="-4"/>
              </w:rPr>
              <w:t>1.47t/a</w:t>
            </w:r>
          </w:p>
        </w:tc>
        <w:tc>
          <w:tcPr>
            <w:tcW w:w="5906" w:type="dxa"/>
            <w:vAlign w:val="top"/>
          </w:tcPr>
          <w:p>
            <w:pPr>
              <w:pStyle w:val="TableText"/>
              <w:ind w:left="14"/>
              <w:spacing w:before="26" w:line="212" w:lineRule="auto"/>
              <w:rPr>
                <w:sz w:val="21"/>
                <w:szCs w:val="21"/>
              </w:rPr>
            </w:pPr>
            <w:r>
              <w:rPr>
                <w:sz w:val="21"/>
                <w:szCs w:val="21"/>
                <w:spacing w:val="-7"/>
              </w:rPr>
              <w:t>建设单位应与厂家签订回收协议，定期更换后进行</w:t>
            </w:r>
            <w:r>
              <w:rPr>
                <w:sz w:val="21"/>
                <w:szCs w:val="21"/>
                <w:spacing w:val="-8"/>
              </w:rPr>
              <w:t>收集，定期交由</w:t>
            </w:r>
            <w:r>
              <w:rPr>
                <w:sz w:val="21"/>
                <w:szCs w:val="21"/>
              </w:rPr>
              <w:t xml:space="preserve"> </w:t>
            </w:r>
            <w:r>
              <w:rPr>
                <w:sz w:val="21"/>
                <w:szCs w:val="21"/>
                <w:spacing w:val="-2"/>
              </w:rPr>
              <w:t>原生厂家进行再生处理利用。</w:t>
            </w:r>
          </w:p>
        </w:tc>
        <w:tc>
          <w:tcPr>
            <w:tcW w:w="3308" w:type="dxa"/>
            <w:vAlign w:val="top"/>
            <w:gridSpan w:val="2"/>
          </w:tcPr>
          <w:p>
            <w:pPr>
              <w:pStyle w:val="TableText"/>
              <w:ind w:left="1278"/>
              <w:spacing w:before="173" w:line="224" w:lineRule="auto"/>
              <w:rPr>
                <w:sz w:val="21"/>
                <w:szCs w:val="21"/>
              </w:rPr>
            </w:pPr>
            <w:r>
              <w:rPr>
                <w:sz w:val="21"/>
                <w:szCs w:val="21"/>
                <w:spacing w:val="-4"/>
              </w:rPr>
              <w:t>1.47t/a</w:t>
            </w:r>
          </w:p>
        </w:tc>
        <w:tc>
          <w:tcPr>
            <w:tcW w:w="495" w:type="dxa"/>
            <w:vAlign w:val="top"/>
            <w:vMerge w:val="continue"/>
            <w:tcBorders>
              <w:top w:val="nil"/>
              <w:bottom w:val="nil"/>
            </w:tcBorders>
          </w:tcPr>
          <w:p>
            <w:pPr>
              <w:rPr>
                <w:rFonts w:ascii="Arial"/>
                <w:sz w:val="21"/>
              </w:rPr>
            </w:pPr>
            <w:r/>
          </w:p>
        </w:tc>
      </w:tr>
      <w:tr>
        <w:trPr>
          <w:trHeight w:val="290"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restart"/>
            <w:tcBorders>
              <w:bottom w:val="nil"/>
            </w:tcBorders>
          </w:tcPr>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spacing w:before="69" w:line="220" w:lineRule="auto"/>
              <w:jc w:val="right"/>
              <w:rPr>
                <w:sz w:val="21"/>
                <w:szCs w:val="21"/>
              </w:rPr>
            </w:pPr>
            <w:r>
              <w:rPr>
                <w:sz w:val="21"/>
                <w:szCs w:val="21"/>
                <w:spacing w:val="-8"/>
              </w:rPr>
              <w:t>危险废物</w:t>
            </w:r>
          </w:p>
        </w:tc>
        <w:tc>
          <w:tcPr>
            <w:tcW w:w="3787" w:type="dxa"/>
            <w:vAlign w:val="top"/>
            <w:gridSpan w:val="3"/>
          </w:tcPr>
          <w:p>
            <w:pPr>
              <w:pStyle w:val="TableText"/>
              <w:ind w:left="1460"/>
              <w:spacing w:before="49" w:line="203" w:lineRule="auto"/>
              <w:rPr>
                <w:sz w:val="21"/>
                <w:szCs w:val="21"/>
              </w:rPr>
            </w:pPr>
            <w:r>
              <w:rPr>
                <w:sz w:val="21"/>
                <w:szCs w:val="21"/>
                <w:spacing w:val="3"/>
              </w:rPr>
              <w:t>废活性炭</w:t>
            </w:r>
          </w:p>
        </w:tc>
        <w:tc>
          <w:tcPr>
            <w:tcW w:w="739" w:type="dxa"/>
            <w:vAlign w:val="top"/>
          </w:tcPr>
          <w:p>
            <w:pPr>
              <w:pStyle w:val="TableText"/>
              <w:ind w:left="43"/>
              <w:spacing w:before="54" w:line="198" w:lineRule="auto"/>
              <w:rPr>
                <w:sz w:val="21"/>
                <w:szCs w:val="21"/>
              </w:rPr>
            </w:pPr>
            <w:r>
              <w:rPr>
                <w:sz w:val="21"/>
                <w:szCs w:val="21"/>
                <w:spacing w:val="-4"/>
              </w:rPr>
              <w:t>1.2t/a</w:t>
            </w:r>
          </w:p>
        </w:tc>
        <w:tc>
          <w:tcPr>
            <w:tcW w:w="5906" w:type="dxa"/>
            <w:vAlign w:val="top"/>
            <w:vMerge w:val="restart"/>
            <w:tcBorders>
              <w:bottom w:val="nil"/>
            </w:tcBorders>
          </w:tcPr>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ind w:left="674"/>
              <w:spacing w:before="68" w:line="219" w:lineRule="auto"/>
              <w:rPr>
                <w:sz w:val="21"/>
                <w:szCs w:val="21"/>
              </w:rPr>
            </w:pPr>
            <w:r>
              <w:rPr>
                <w:sz w:val="21"/>
                <w:szCs w:val="21"/>
                <w:spacing w:val="-1"/>
              </w:rPr>
              <w:t>分类收集后暂存于危废暂存间，交由资质单位处置。</w:t>
            </w:r>
          </w:p>
        </w:tc>
        <w:tc>
          <w:tcPr>
            <w:tcW w:w="3308" w:type="dxa"/>
            <w:vAlign w:val="top"/>
            <w:gridSpan w:val="2"/>
          </w:tcPr>
          <w:p>
            <w:pPr>
              <w:pStyle w:val="TableText"/>
              <w:ind w:left="1338"/>
              <w:spacing w:before="54" w:line="198" w:lineRule="auto"/>
              <w:rPr>
                <w:sz w:val="21"/>
                <w:szCs w:val="21"/>
              </w:rPr>
            </w:pPr>
            <w:r>
              <w:rPr>
                <w:sz w:val="21"/>
                <w:szCs w:val="21"/>
                <w:spacing w:val="-4"/>
              </w:rPr>
              <w:t>1.2t/a</w:t>
            </w:r>
          </w:p>
        </w:tc>
        <w:tc>
          <w:tcPr>
            <w:tcW w:w="495" w:type="dxa"/>
            <w:vAlign w:val="top"/>
            <w:vMerge w:val="continue"/>
            <w:tcBorders>
              <w:top w:val="nil"/>
              <w:bottom w:val="nil"/>
            </w:tcBorders>
          </w:tcPr>
          <w:p>
            <w:pPr>
              <w:rPr>
                <w:rFonts w:ascii="Arial"/>
                <w:sz w:val="21"/>
              </w:rPr>
            </w:pPr>
            <w:r/>
          </w:p>
        </w:tc>
      </w:tr>
      <w:tr>
        <w:trPr>
          <w:trHeight w:val="270"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continue"/>
            <w:tcBorders>
              <w:top w:val="nil"/>
              <w:bottom w:val="nil"/>
            </w:tcBorders>
          </w:tcPr>
          <w:p>
            <w:pPr>
              <w:rPr>
                <w:rFonts w:ascii="Arial"/>
                <w:sz w:val="21"/>
              </w:rPr>
            </w:pPr>
            <w:r/>
          </w:p>
        </w:tc>
        <w:tc>
          <w:tcPr>
            <w:tcW w:w="3787" w:type="dxa"/>
            <w:vAlign w:val="top"/>
            <w:gridSpan w:val="3"/>
          </w:tcPr>
          <w:p>
            <w:pPr>
              <w:pStyle w:val="TableText"/>
              <w:ind w:left="1360"/>
              <w:spacing w:before="38" w:line="195" w:lineRule="auto"/>
              <w:rPr>
                <w:sz w:val="21"/>
                <w:szCs w:val="21"/>
              </w:rPr>
            </w:pPr>
            <w:r>
              <w:rPr>
                <w:sz w:val="21"/>
                <w:szCs w:val="21"/>
                <w:spacing w:val="-5"/>
              </w:rPr>
              <w:t>废</w:t>
            </w:r>
            <w:r>
              <w:rPr>
                <w:sz w:val="21"/>
                <w:szCs w:val="21"/>
                <w:spacing w:val="-46"/>
              </w:rPr>
              <w:t xml:space="preserve"> </w:t>
            </w:r>
            <w:r>
              <w:rPr>
                <w:sz w:val="21"/>
                <w:szCs w:val="21"/>
                <w:spacing w:val="-5"/>
              </w:rPr>
              <w:t>U</w:t>
            </w:r>
            <w:r>
              <w:rPr>
                <w:sz w:val="21"/>
                <w:szCs w:val="21"/>
                <w:spacing w:val="-47"/>
              </w:rPr>
              <w:t xml:space="preserve"> </w:t>
            </w:r>
            <w:r>
              <w:rPr>
                <w:sz w:val="21"/>
                <w:szCs w:val="21"/>
                <w:spacing w:val="-5"/>
              </w:rPr>
              <w:t>V</w:t>
            </w:r>
            <w:r>
              <w:rPr>
                <w:sz w:val="21"/>
                <w:szCs w:val="21"/>
                <w:spacing w:val="-42"/>
              </w:rPr>
              <w:t xml:space="preserve"> </w:t>
            </w:r>
            <w:r>
              <w:rPr>
                <w:sz w:val="21"/>
                <w:szCs w:val="21"/>
                <w:spacing w:val="-5"/>
              </w:rPr>
              <w:t>灯</w:t>
            </w:r>
            <w:r>
              <w:rPr>
                <w:sz w:val="21"/>
                <w:szCs w:val="21"/>
                <w:spacing w:val="-37"/>
              </w:rPr>
              <w:t xml:space="preserve"> </w:t>
            </w:r>
            <w:r>
              <w:rPr>
                <w:sz w:val="21"/>
                <w:szCs w:val="21"/>
                <w:spacing w:val="-5"/>
              </w:rPr>
              <w:t>管</w:t>
            </w:r>
          </w:p>
        </w:tc>
        <w:tc>
          <w:tcPr>
            <w:tcW w:w="739" w:type="dxa"/>
            <w:vAlign w:val="top"/>
          </w:tcPr>
          <w:p>
            <w:pPr>
              <w:pStyle w:val="TableText"/>
              <w:spacing w:before="43" w:line="190" w:lineRule="auto"/>
              <w:jc w:val="right"/>
              <w:rPr>
                <w:sz w:val="21"/>
                <w:szCs w:val="21"/>
              </w:rPr>
            </w:pPr>
            <w:r>
              <w:rPr>
                <w:sz w:val="21"/>
                <w:szCs w:val="21"/>
                <w:spacing w:val="-18"/>
              </w:rPr>
              <w:t>0.00</w:t>
            </w:r>
            <w:r>
              <w:rPr>
                <w:sz w:val="21"/>
                <w:szCs w:val="21"/>
                <w:spacing w:val="-17"/>
              </w:rPr>
              <w:t>2t/</w:t>
            </w:r>
            <w:r>
              <w:rPr>
                <w:sz w:val="21"/>
                <w:szCs w:val="21"/>
                <w:spacing w:val="-5"/>
              </w:rPr>
              <w:t>a</w:t>
            </w:r>
          </w:p>
        </w:tc>
        <w:tc>
          <w:tcPr>
            <w:tcW w:w="5906" w:type="dxa"/>
            <w:vAlign w:val="top"/>
            <w:vMerge w:val="continue"/>
            <w:tcBorders>
              <w:top w:val="nil"/>
              <w:bottom w:val="nil"/>
            </w:tcBorders>
          </w:tcPr>
          <w:p>
            <w:pPr>
              <w:rPr>
                <w:rFonts w:ascii="Arial"/>
                <w:sz w:val="21"/>
              </w:rPr>
            </w:pPr>
            <w:r/>
          </w:p>
        </w:tc>
        <w:tc>
          <w:tcPr>
            <w:tcW w:w="3308" w:type="dxa"/>
            <w:vAlign w:val="top"/>
            <w:gridSpan w:val="2"/>
          </w:tcPr>
          <w:p>
            <w:pPr>
              <w:pStyle w:val="TableText"/>
              <w:ind w:left="1228"/>
              <w:spacing w:before="43" w:line="190" w:lineRule="auto"/>
              <w:rPr>
                <w:sz w:val="21"/>
                <w:szCs w:val="21"/>
              </w:rPr>
            </w:pPr>
            <w:r>
              <w:rPr>
                <w:sz w:val="21"/>
                <w:szCs w:val="21"/>
                <w:spacing w:val="-2"/>
              </w:rPr>
              <w:t>0.002t/a</w:t>
            </w:r>
          </w:p>
        </w:tc>
        <w:tc>
          <w:tcPr>
            <w:tcW w:w="495" w:type="dxa"/>
            <w:vAlign w:val="top"/>
            <w:vMerge w:val="continue"/>
            <w:tcBorders>
              <w:top w:val="nil"/>
              <w:bottom w:val="nil"/>
            </w:tcBorders>
          </w:tcPr>
          <w:p>
            <w:pPr>
              <w:rPr>
                <w:rFonts w:ascii="Arial"/>
                <w:sz w:val="21"/>
              </w:rPr>
            </w:pPr>
            <w:r/>
          </w:p>
        </w:tc>
      </w:tr>
      <w:tr>
        <w:trPr>
          <w:trHeight w:val="270"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continue"/>
            <w:tcBorders>
              <w:top w:val="nil"/>
              <w:bottom w:val="nil"/>
            </w:tcBorders>
          </w:tcPr>
          <w:p>
            <w:pPr>
              <w:rPr>
                <w:rFonts w:ascii="Arial"/>
                <w:sz w:val="21"/>
              </w:rPr>
            </w:pPr>
            <w:r/>
          </w:p>
        </w:tc>
        <w:tc>
          <w:tcPr>
            <w:tcW w:w="3787" w:type="dxa"/>
            <w:vAlign w:val="top"/>
            <w:gridSpan w:val="3"/>
          </w:tcPr>
          <w:p>
            <w:pPr>
              <w:pStyle w:val="TableText"/>
              <w:ind w:left="940"/>
              <w:spacing w:before="38" w:line="195" w:lineRule="auto"/>
              <w:rPr>
                <w:sz w:val="21"/>
                <w:szCs w:val="21"/>
              </w:rPr>
            </w:pPr>
            <w:r>
              <w:rPr>
                <w:sz w:val="21"/>
                <w:szCs w:val="21"/>
                <w:spacing w:val="-1"/>
              </w:rPr>
              <w:t>废消毒药品包装材料</w:t>
            </w:r>
          </w:p>
        </w:tc>
        <w:tc>
          <w:tcPr>
            <w:tcW w:w="739" w:type="dxa"/>
            <w:vAlign w:val="top"/>
          </w:tcPr>
          <w:p>
            <w:pPr>
              <w:pStyle w:val="TableText"/>
              <w:spacing w:before="43" w:line="190" w:lineRule="auto"/>
              <w:jc w:val="right"/>
              <w:rPr>
                <w:sz w:val="21"/>
                <w:szCs w:val="21"/>
              </w:rPr>
            </w:pPr>
            <w:r>
              <w:rPr>
                <w:sz w:val="21"/>
                <w:szCs w:val="21"/>
                <w:spacing w:val="-3"/>
              </w:rPr>
              <w:t>0.05t/a</w:t>
            </w:r>
          </w:p>
        </w:tc>
        <w:tc>
          <w:tcPr>
            <w:tcW w:w="5906" w:type="dxa"/>
            <w:vAlign w:val="top"/>
            <w:vMerge w:val="continue"/>
            <w:tcBorders>
              <w:top w:val="nil"/>
              <w:bottom w:val="nil"/>
            </w:tcBorders>
          </w:tcPr>
          <w:p>
            <w:pPr>
              <w:rPr>
                <w:rFonts w:ascii="Arial"/>
                <w:sz w:val="21"/>
              </w:rPr>
            </w:pPr>
            <w:r/>
          </w:p>
        </w:tc>
        <w:tc>
          <w:tcPr>
            <w:tcW w:w="3308" w:type="dxa"/>
            <w:vAlign w:val="top"/>
            <w:gridSpan w:val="2"/>
          </w:tcPr>
          <w:p>
            <w:pPr>
              <w:pStyle w:val="TableText"/>
              <w:ind w:left="1278"/>
              <w:spacing w:before="43" w:line="190" w:lineRule="auto"/>
              <w:rPr>
                <w:sz w:val="21"/>
                <w:szCs w:val="21"/>
              </w:rPr>
            </w:pPr>
            <w:r>
              <w:rPr>
                <w:sz w:val="21"/>
                <w:szCs w:val="21"/>
                <w:color w:val="404040"/>
                <w:spacing w:val="-2"/>
              </w:rPr>
              <w:t>0.05t/a</w:t>
            </w:r>
          </w:p>
        </w:tc>
        <w:tc>
          <w:tcPr>
            <w:tcW w:w="495" w:type="dxa"/>
            <w:vAlign w:val="top"/>
            <w:vMerge w:val="continue"/>
            <w:tcBorders>
              <w:top w:val="nil"/>
              <w:bottom w:val="nil"/>
            </w:tcBorders>
          </w:tcPr>
          <w:p>
            <w:pPr>
              <w:rPr>
                <w:rFonts w:ascii="Arial"/>
                <w:sz w:val="21"/>
              </w:rPr>
            </w:pPr>
            <w:r/>
          </w:p>
        </w:tc>
      </w:tr>
      <w:tr>
        <w:trPr>
          <w:trHeight w:val="270"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continue"/>
            <w:tcBorders>
              <w:top w:val="nil"/>
              <w:bottom w:val="nil"/>
            </w:tcBorders>
          </w:tcPr>
          <w:p>
            <w:pPr>
              <w:rPr>
                <w:rFonts w:ascii="Arial"/>
                <w:sz w:val="21"/>
              </w:rPr>
            </w:pPr>
            <w:r/>
          </w:p>
        </w:tc>
        <w:tc>
          <w:tcPr>
            <w:tcW w:w="3787" w:type="dxa"/>
            <w:vAlign w:val="top"/>
            <w:gridSpan w:val="3"/>
          </w:tcPr>
          <w:p>
            <w:pPr>
              <w:pStyle w:val="TableText"/>
              <w:ind w:left="1250"/>
              <w:spacing w:before="39" w:line="194" w:lineRule="auto"/>
              <w:rPr>
                <w:sz w:val="21"/>
                <w:szCs w:val="21"/>
              </w:rPr>
            </w:pPr>
            <w:r>
              <w:rPr>
                <w:sz w:val="21"/>
                <w:szCs w:val="21"/>
                <w:spacing w:val="-2"/>
              </w:rPr>
              <w:t>在线监测废液</w:t>
            </w:r>
          </w:p>
        </w:tc>
        <w:tc>
          <w:tcPr>
            <w:tcW w:w="739" w:type="dxa"/>
            <w:vAlign w:val="top"/>
          </w:tcPr>
          <w:p>
            <w:pPr>
              <w:pStyle w:val="TableText"/>
              <w:ind w:left="43"/>
              <w:spacing w:before="43" w:line="190" w:lineRule="auto"/>
              <w:rPr>
                <w:sz w:val="21"/>
                <w:szCs w:val="21"/>
              </w:rPr>
            </w:pPr>
            <w:r>
              <w:rPr>
                <w:sz w:val="21"/>
                <w:szCs w:val="21"/>
                <w:spacing w:val="-1"/>
              </w:rPr>
              <w:t>0.1t/a</w:t>
            </w:r>
          </w:p>
        </w:tc>
        <w:tc>
          <w:tcPr>
            <w:tcW w:w="5906" w:type="dxa"/>
            <w:vAlign w:val="top"/>
            <w:vMerge w:val="continue"/>
            <w:tcBorders>
              <w:top w:val="nil"/>
              <w:bottom w:val="nil"/>
            </w:tcBorders>
          </w:tcPr>
          <w:p>
            <w:pPr>
              <w:rPr>
                <w:rFonts w:ascii="Arial"/>
                <w:sz w:val="21"/>
              </w:rPr>
            </w:pPr>
            <w:r/>
          </w:p>
        </w:tc>
        <w:tc>
          <w:tcPr>
            <w:tcW w:w="3308" w:type="dxa"/>
            <w:vAlign w:val="top"/>
            <w:gridSpan w:val="2"/>
          </w:tcPr>
          <w:p>
            <w:pPr>
              <w:pStyle w:val="TableText"/>
              <w:ind w:left="1338"/>
              <w:spacing w:before="43" w:line="190" w:lineRule="auto"/>
              <w:rPr>
                <w:sz w:val="21"/>
                <w:szCs w:val="21"/>
              </w:rPr>
            </w:pPr>
            <w:r>
              <w:rPr>
                <w:sz w:val="21"/>
                <w:szCs w:val="21"/>
                <w:color w:val="807070"/>
                <w:spacing w:val="-1"/>
              </w:rPr>
              <w:t>0.1t/a</w:t>
            </w:r>
          </w:p>
        </w:tc>
        <w:tc>
          <w:tcPr>
            <w:tcW w:w="495" w:type="dxa"/>
            <w:vAlign w:val="top"/>
            <w:vMerge w:val="continue"/>
            <w:tcBorders>
              <w:top w:val="nil"/>
              <w:bottom w:val="nil"/>
            </w:tcBorders>
          </w:tcPr>
          <w:p>
            <w:pPr>
              <w:rPr>
                <w:rFonts w:ascii="Arial"/>
                <w:sz w:val="21"/>
              </w:rPr>
            </w:pPr>
            <w:r/>
          </w:p>
        </w:tc>
      </w:tr>
      <w:tr>
        <w:trPr>
          <w:trHeight w:val="270"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continue"/>
            <w:tcBorders>
              <w:top w:val="nil"/>
              <w:bottom w:val="nil"/>
            </w:tcBorders>
          </w:tcPr>
          <w:p>
            <w:pPr>
              <w:rPr>
                <w:rFonts w:ascii="Arial"/>
                <w:sz w:val="21"/>
              </w:rPr>
            </w:pPr>
            <w:r/>
          </w:p>
        </w:tc>
        <w:tc>
          <w:tcPr>
            <w:tcW w:w="3787" w:type="dxa"/>
            <w:vAlign w:val="top"/>
            <w:gridSpan w:val="3"/>
          </w:tcPr>
          <w:p>
            <w:pPr>
              <w:pStyle w:val="TableText"/>
              <w:ind w:left="1360"/>
              <w:spacing w:before="38" w:line="195" w:lineRule="auto"/>
              <w:rPr>
                <w:sz w:val="21"/>
                <w:szCs w:val="21"/>
              </w:rPr>
            </w:pPr>
            <w:r>
              <w:rPr>
                <w:sz w:val="21"/>
                <w:szCs w:val="21"/>
                <w:spacing w:val="-2"/>
              </w:rPr>
              <w:t>检疫废弃物</w:t>
            </w:r>
          </w:p>
        </w:tc>
        <w:tc>
          <w:tcPr>
            <w:tcW w:w="739" w:type="dxa"/>
            <w:vAlign w:val="top"/>
          </w:tcPr>
          <w:p>
            <w:pPr>
              <w:pStyle w:val="TableText"/>
              <w:spacing w:before="43" w:line="190" w:lineRule="auto"/>
              <w:jc w:val="right"/>
              <w:rPr>
                <w:sz w:val="21"/>
                <w:szCs w:val="21"/>
              </w:rPr>
            </w:pPr>
            <w:r>
              <w:rPr>
                <w:sz w:val="21"/>
                <w:szCs w:val="21"/>
                <w:spacing w:val="-3"/>
              </w:rPr>
              <w:t>0.02t/a</w:t>
            </w:r>
          </w:p>
        </w:tc>
        <w:tc>
          <w:tcPr>
            <w:tcW w:w="5906" w:type="dxa"/>
            <w:vAlign w:val="top"/>
            <w:vMerge w:val="continue"/>
            <w:tcBorders>
              <w:top w:val="nil"/>
              <w:bottom w:val="nil"/>
            </w:tcBorders>
          </w:tcPr>
          <w:p>
            <w:pPr>
              <w:rPr>
                <w:rFonts w:ascii="Arial"/>
                <w:sz w:val="21"/>
              </w:rPr>
            </w:pPr>
            <w:r/>
          </w:p>
        </w:tc>
        <w:tc>
          <w:tcPr>
            <w:tcW w:w="3308" w:type="dxa"/>
            <w:vAlign w:val="top"/>
            <w:gridSpan w:val="2"/>
          </w:tcPr>
          <w:p>
            <w:pPr>
              <w:pStyle w:val="TableText"/>
              <w:ind w:left="1278"/>
              <w:spacing w:before="43" w:line="190" w:lineRule="auto"/>
              <w:rPr>
                <w:sz w:val="21"/>
                <w:szCs w:val="21"/>
              </w:rPr>
            </w:pPr>
            <w:r>
              <w:rPr>
                <w:sz w:val="21"/>
                <w:szCs w:val="21"/>
                <w:spacing w:val="-2"/>
              </w:rPr>
              <w:t>0.02t/a</w:t>
            </w:r>
          </w:p>
        </w:tc>
        <w:tc>
          <w:tcPr>
            <w:tcW w:w="495" w:type="dxa"/>
            <w:vAlign w:val="top"/>
            <w:vMerge w:val="continue"/>
            <w:tcBorders>
              <w:top w:val="nil"/>
              <w:bottom w:val="nil"/>
            </w:tcBorders>
          </w:tcPr>
          <w:p>
            <w:pPr>
              <w:rPr>
                <w:rFonts w:ascii="Arial"/>
                <w:sz w:val="21"/>
              </w:rPr>
            </w:pPr>
            <w:r/>
          </w:p>
        </w:tc>
      </w:tr>
      <w:tr>
        <w:trPr>
          <w:trHeight w:val="270" w:hRule="atLeast"/>
        </w:trPr>
        <w:tc>
          <w:tcPr>
            <w:tcW w:w="285" w:type="dxa"/>
            <w:vAlign w:val="top"/>
            <w:vMerge w:val="continue"/>
            <w:textDirection w:val="tbRlV"/>
            <w:tcBorders>
              <w:top w:val="nil"/>
              <w:bottom w:val="nil"/>
            </w:tcBorders>
          </w:tcPr>
          <w:p>
            <w:pPr>
              <w:rPr>
                <w:rFonts w:ascii="Arial"/>
                <w:sz w:val="21"/>
              </w:rPr>
            </w:pPr>
            <w:r/>
          </w:p>
        </w:tc>
        <w:tc>
          <w:tcPr>
            <w:tcW w:w="829" w:type="dxa"/>
            <w:vAlign w:val="top"/>
            <w:vMerge w:val="continue"/>
            <w:tcBorders>
              <w:top w:val="nil"/>
              <w:bottom w:val="nil"/>
            </w:tcBorders>
          </w:tcPr>
          <w:p>
            <w:pPr>
              <w:rPr>
                <w:rFonts w:ascii="Arial"/>
                <w:sz w:val="21"/>
              </w:rPr>
            </w:pPr>
            <w:r/>
          </w:p>
        </w:tc>
        <w:tc>
          <w:tcPr>
            <w:tcW w:w="3787" w:type="dxa"/>
            <w:vAlign w:val="top"/>
            <w:gridSpan w:val="3"/>
          </w:tcPr>
          <w:p>
            <w:pPr>
              <w:pStyle w:val="TableText"/>
              <w:ind w:left="1570"/>
              <w:spacing w:before="38" w:line="195" w:lineRule="auto"/>
              <w:rPr>
                <w:sz w:val="21"/>
                <w:szCs w:val="21"/>
              </w:rPr>
            </w:pPr>
            <w:r>
              <w:rPr>
                <w:sz w:val="21"/>
                <w:szCs w:val="21"/>
                <w:color w:val="506050"/>
                <w:spacing w:val="7"/>
              </w:rPr>
              <w:t>废机油</w:t>
            </w:r>
          </w:p>
        </w:tc>
        <w:tc>
          <w:tcPr>
            <w:tcW w:w="739" w:type="dxa"/>
            <w:vAlign w:val="top"/>
          </w:tcPr>
          <w:p>
            <w:pPr>
              <w:pStyle w:val="TableText"/>
              <w:ind w:left="43"/>
              <w:spacing w:before="43" w:line="190" w:lineRule="auto"/>
              <w:rPr>
                <w:sz w:val="21"/>
                <w:szCs w:val="21"/>
              </w:rPr>
            </w:pPr>
            <w:r>
              <w:rPr>
                <w:sz w:val="21"/>
                <w:szCs w:val="21"/>
                <w:spacing w:val="-2"/>
              </w:rPr>
              <w:t>0.2t/a</w:t>
            </w:r>
          </w:p>
        </w:tc>
        <w:tc>
          <w:tcPr>
            <w:tcW w:w="5906" w:type="dxa"/>
            <w:vAlign w:val="top"/>
            <w:vMerge w:val="continue"/>
            <w:tcBorders>
              <w:top w:val="nil"/>
              <w:bottom w:val="nil"/>
            </w:tcBorders>
          </w:tcPr>
          <w:p>
            <w:pPr>
              <w:rPr>
                <w:rFonts w:ascii="Arial"/>
                <w:sz w:val="21"/>
              </w:rPr>
            </w:pPr>
            <w:r/>
          </w:p>
        </w:tc>
        <w:tc>
          <w:tcPr>
            <w:tcW w:w="3308" w:type="dxa"/>
            <w:vAlign w:val="top"/>
            <w:gridSpan w:val="2"/>
          </w:tcPr>
          <w:p>
            <w:pPr>
              <w:pStyle w:val="TableText"/>
              <w:ind w:left="1338"/>
              <w:spacing w:before="43" w:line="190" w:lineRule="auto"/>
              <w:rPr>
                <w:sz w:val="21"/>
                <w:szCs w:val="21"/>
              </w:rPr>
            </w:pPr>
            <w:r>
              <w:rPr>
                <w:sz w:val="21"/>
                <w:szCs w:val="21"/>
                <w:spacing w:val="-2"/>
              </w:rPr>
              <w:t>0.2t/a</w:t>
            </w:r>
          </w:p>
        </w:tc>
        <w:tc>
          <w:tcPr>
            <w:tcW w:w="495" w:type="dxa"/>
            <w:vAlign w:val="top"/>
            <w:vMerge w:val="continue"/>
            <w:tcBorders>
              <w:top w:val="nil"/>
              <w:bottom w:val="nil"/>
            </w:tcBorders>
          </w:tcPr>
          <w:p>
            <w:pPr>
              <w:rPr>
                <w:rFonts w:ascii="Arial"/>
                <w:sz w:val="21"/>
              </w:rPr>
            </w:pPr>
            <w:r/>
          </w:p>
        </w:tc>
      </w:tr>
      <w:tr>
        <w:trPr>
          <w:trHeight w:val="294" w:hRule="atLeast"/>
        </w:trPr>
        <w:tc>
          <w:tcPr>
            <w:tcW w:w="285" w:type="dxa"/>
            <w:vAlign w:val="top"/>
            <w:vMerge w:val="continue"/>
            <w:textDirection w:val="tbRlV"/>
            <w:tcBorders>
              <w:top w:val="nil"/>
            </w:tcBorders>
          </w:tcPr>
          <w:p>
            <w:pPr>
              <w:rPr>
                <w:rFonts w:ascii="Arial"/>
                <w:sz w:val="21"/>
              </w:rPr>
            </w:pPr>
            <w:r/>
          </w:p>
        </w:tc>
        <w:tc>
          <w:tcPr>
            <w:tcW w:w="829" w:type="dxa"/>
            <w:vAlign w:val="top"/>
            <w:vMerge w:val="continue"/>
            <w:tcBorders>
              <w:top w:val="nil"/>
            </w:tcBorders>
          </w:tcPr>
          <w:p>
            <w:pPr>
              <w:rPr>
                <w:rFonts w:ascii="Arial"/>
                <w:sz w:val="21"/>
              </w:rPr>
            </w:pPr>
            <w:r/>
          </w:p>
        </w:tc>
        <w:tc>
          <w:tcPr>
            <w:tcW w:w="3787" w:type="dxa"/>
            <w:vAlign w:val="top"/>
            <w:gridSpan w:val="3"/>
          </w:tcPr>
          <w:p>
            <w:pPr>
              <w:pStyle w:val="TableText"/>
              <w:ind w:left="1250"/>
              <w:spacing w:before="48" w:line="207" w:lineRule="auto"/>
              <w:rPr>
                <w:sz w:val="21"/>
                <w:szCs w:val="21"/>
              </w:rPr>
            </w:pPr>
            <w:r>
              <w:rPr>
                <w:sz w:val="21"/>
                <w:szCs w:val="21"/>
                <w:spacing w:val="-2"/>
              </w:rPr>
              <w:t>含油棉纱手套</w:t>
            </w:r>
          </w:p>
        </w:tc>
        <w:tc>
          <w:tcPr>
            <w:tcW w:w="739" w:type="dxa"/>
            <w:vAlign w:val="top"/>
          </w:tcPr>
          <w:p>
            <w:pPr>
              <w:pStyle w:val="TableText"/>
              <w:ind w:left="43"/>
              <w:spacing w:before="54" w:line="202" w:lineRule="auto"/>
              <w:rPr>
                <w:sz w:val="21"/>
                <w:szCs w:val="21"/>
              </w:rPr>
            </w:pPr>
            <w:r>
              <w:rPr>
                <w:sz w:val="21"/>
                <w:szCs w:val="21"/>
                <w:spacing w:val="-1"/>
              </w:rPr>
              <w:t>0.1t/a</w:t>
            </w:r>
          </w:p>
        </w:tc>
        <w:tc>
          <w:tcPr>
            <w:tcW w:w="5906" w:type="dxa"/>
            <w:vAlign w:val="top"/>
            <w:vMerge w:val="continue"/>
            <w:tcBorders>
              <w:top w:val="nil"/>
            </w:tcBorders>
          </w:tcPr>
          <w:p>
            <w:pPr>
              <w:rPr>
                <w:rFonts w:ascii="Arial"/>
                <w:sz w:val="21"/>
              </w:rPr>
            </w:pPr>
            <w:r/>
          </w:p>
        </w:tc>
        <w:tc>
          <w:tcPr>
            <w:tcW w:w="3308" w:type="dxa"/>
            <w:vAlign w:val="top"/>
            <w:gridSpan w:val="2"/>
          </w:tcPr>
          <w:p>
            <w:pPr>
              <w:pStyle w:val="TableText"/>
              <w:ind w:left="1338"/>
              <w:spacing w:before="54" w:line="202" w:lineRule="auto"/>
              <w:rPr>
                <w:sz w:val="21"/>
                <w:szCs w:val="21"/>
              </w:rPr>
            </w:pPr>
            <w:r>
              <w:rPr>
                <w:sz w:val="21"/>
                <w:szCs w:val="21"/>
                <w:color w:val="605050"/>
                <w:spacing w:val="-1"/>
              </w:rPr>
              <w:t>0.1t/a</w:t>
            </w:r>
          </w:p>
        </w:tc>
        <w:tc>
          <w:tcPr>
            <w:tcW w:w="495" w:type="dxa"/>
            <w:vAlign w:val="top"/>
            <w:vMerge w:val="continue"/>
            <w:tcBorders>
              <w:top w:val="nil"/>
            </w:tcBorders>
          </w:tcPr>
          <w:p>
            <w:pPr>
              <w:rPr>
                <w:rFonts w:ascii="Arial"/>
                <w:sz w:val="21"/>
              </w:rPr>
            </w:pPr>
            <w:r/>
          </w:p>
        </w:tc>
      </w:tr>
    </w:tbl>
    <w:p>
      <w:pPr>
        <w:pStyle w:val="BodyText"/>
        <w:rPr/>
      </w:pPr>
      <w:r/>
    </w:p>
    <w:p>
      <w:pPr>
        <w:sectPr>
          <w:headerReference w:type="default" r:id="rId373"/>
          <w:footerReference w:type="default" r:id="rId374"/>
          <w:pgSz w:w="16840" w:h="11910"/>
          <w:pgMar w:top="1207" w:right="764" w:bottom="942" w:left="715" w:header="915" w:footer="771" w:gutter="0"/>
        </w:sectPr>
        <w:rPr/>
      </w:pPr>
    </w:p>
    <w:p>
      <w:pPr>
        <w:ind w:left="2447"/>
        <w:spacing w:before="298" w:line="222" w:lineRule="auto"/>
        <w:outlineLvl w:val="0"/>
        <w:rPr>
          <w:rFonts w:ascii="SimHei" w:hAnsi="SimHei" w:eastAsia="SimHei" w:cs="SimHei"/>
          <w:sz w:val="30"/>
          <w:szCs w:val="30"/>
        </w:rPr>
      </w:pPr>
      <w:bookmarkStart w:name="bookmark42" w:id="78"/>
      <w:bookmarkEnd w:id="78"/>
      <w:bookmarkStart w:name="bookmark43" w:id="79"/>
      <w:bookmarkEnd w:id="79"/>
      <w:r>
        <w:rPr>
          <w:rFonts w:ascii="SimHei" w:hAnsi="SimHei" w:eastAsia="SimHei" w:cs="SimHei"/>
          <w:sz w:val="30"/>
          <w:szCs w:val="30"/>
          <w:b/>
          <w:bCs/>
          <w:spacing w:val="-6"/>
        </w:rPr>
        <w:t>第4章环境现状调查与评价</w:t>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ind w:left="3873"/>
        <w:spacing w:before="234" w:line="221" w:lineRule="auto"/>
        <w:rPr>
          <w:rFonts w:ascii="SimSun" w:hAnsi="SimSun" w:eastAsia="SimSun" w:cs="SimSun"/>
          <w:sz w:val="72"/>
          <w:szCs w:val="72"/>
        </w:rPr>
      </w:pPr>
      <w:r>
        <w:rPr>
          <w:rFonts w:ascii="SimSun" w:hAnsi="SimSun" w:eastAsia="SimSun" w:cs="SimSun"/>
          <w:sz w:val="72"/>
          <w:szCs w:val="72"/>
        </w:rPr>
        <w:t>略</w:t>
      </w:r>
    </w:p>
    <w:p>
      <w:pPr>
        <w:spacing w:line="221" w:lineRule="auto"/>
        <w:sectPr>
          <w:headerReference w:type="default" r:id="rId375"/>
          <w:footerReference w:type="default" r:id="rId376"/>
          <w:pgSz w:w="11910" w:h="16840"/>
          <w:pgMar w:top="1197" w:right="1786" w:bottom="972" w:left="1786" w:header="905" w:footer="801" w:gutter="0"/>
        </w:sectPr>
        <w:rPr>
          <w:rFonts w:ascii="SimSun" w:hAnsi="SimSun" w:eastAsia="SimSun" w:cs="SimSun"/>
          <w:sz w:val="72"/>
          <w:szCs w:val="72"/>
        </w:rPr>
      </w:pPr>
    </w:p>
    <w:p>
      <w:pPr>
        <w:ind w:left="2464"/>
        <w:spacing w:before="279" w:line="222" w:lineRule="auto"/>
        <w:rPr>
          <w:rFonts w:ascii="SimHei" w:hAnsi="SimHei" w:eastAsia="SimHei" w:cs="SimHei"/>
          <w:sz w:val="30"/>
          <w:szCs w:val="30"/>
        </w:rPr>
      </w:pPr>
      <w:r>
        <w:rPr>
          <w:rFonts w:ascii="SimHei" w:hAnsi="SimHei" w:eastAsia="SimHei" w:cs="SimHei"/>
          <w:sz w:val="30"/>
          <w:szCs w:val="30"/>
          <w:b/>
          <w:bCs/>
          <w:spacing w:val="-6"/>
        </w:rPr>
        <w:t>第5章环境影响预测与评价</w:t>
      </w:r>
    </w:p>
    <w:p>
      <w:pPr>
        <w:ind w:left="3"/>
        <w:spacing w:before="258" w:line="222" w:lineRule="auto"/>
        <w:rPr>
          <w:rFonts w:ascii="SimHei" w:hAnsi="SimHei" w:eastAsia="SimHei" w:cs="SimHei"/>
          <w:sz w:val="25"/>
          <w:szCs w:val="25"/>
        </w:rPr>
      </w:pPr>
      <w:r>
        <w:rPr>
          <w:rFonts w:ascii="SimHei" w:hAnsi="SimHei" w:eastAsia="SimHei" w:cs="SimHei"/>
          <w:sz w:val="25"/>
          <w:szCs w:val="25"/>
          <w:b/>
          <w:bCs/>
          <w:spacing w:val="16"/>
        </w:rPr>
        <w:t>5.1施工期环境影响分析</w:t>
      </w:r>
    </w:p>
    <w:p>
      <w:pPr>
        <w:ind w:right="43" w:firstLine="480"/>
        <w:spacing w:before="231" w:line="378" w:lineRule="auto"/>
        <w:rPr>
          <w:rFonts w:ascii="SimSun" w:hAnsi="SimSun" w:eastAsia="SimSun" w:cs="SimSun"/>
          <w:sz w:val="22"/>
          <w:szCs w:val="22"/>
        </w:rPr>
      </w:pPr>
      <w:r>
        <w:rPr>
          <w:rFonts w:ascii="SimSun" w:hAnsi="SimSun" w:eastAsia="SimSun" w:cs="SimSun"/>
          <w:sz w:val="22"/>
          <w:szCs w:val="22"/>
          <w:spacing w:val="30"/>
        </w:rPr>
        <w:t>本项目施工期主要包括基础工程(含拆除工程)、主体工程、装饰工程、</w:t>
      </w:r>
      <w:r>
        <w:rPr>
          <w:rFonts w:ascii="SimSun" w:hAnsi="SimSun" w:eastAsia="SimSun" w:cs="SimSun"/>
          <w:sz w:val="22"/>
          <w:szCs w:val="22"/>
          <w:spacing w:val="18"/>
        </w:rPr>
        <w:t xml:space="preserve"> </w:t>
      </w:r>
      <w:r>
        <w:rPr>
          <w:rFonts w:ascii="SimSun" w:hAnsi="SimSun" w:eastAsia="SimSun" w:cs="SimSun"/>
          <w:sz w:val="22"/>
          <w:szCs w:val="22"/>
          <w:spacing w:val="20"/>
        </w:rPr>
        <w:t>安装工程及工程验收五个阶段，项目施工期约为5个月。施工期将产生噪声、扬</w:t>
      </w:r>
      <w:r>
        <w:rPr>
          <w:rFonts w:ascii="SimSun" w:hAnsi="SimSun" w:eastAsia="SimSun" w:cs="SimSun"/>
          <w:sz w:val="22"/>
          <w:szCs w:val="22"/>
          <w:spacing w:val="10"/>
        </w:rPr>
        <w:t xml:space="preserve"> </w:t>
      </w:r>
      <w:r>
        <w:rPr>
          <w:rFonts w:ascii="SimSun" w:hAnsi="SimSun" w:eastAsia="SimSun" w:cs="SimSun"/>
          <w:sz w:val="22"/>
          <w:szCs w:val="22"/>
          <w:spacing w:val="24"/>
        </w:rPr>
        <w:t>尘、固体废弃物、少量污水和废气等污染物，其排放量随工期和施工强度不同</w:t>
      </w:r>
      <w:r>
        <w:rPr>
          <w:rFonts w:ascii="SimSun" w:hAnsi="SimSun" w:eastAsia="SimSun" w:cs="SimSun"/>
          <w:sz w:val="22"/>
          <w:szCs w:val="22"/>
          <w:spacing w:val="12"/>
        </w:rPr>
        <w:t xml:space="preserve"> </w:t>
      </w:r>
      <w:r>
        <w:rPr>
          <w:rFonts w:ascii="SimSun" w:hAnsi="SimSun" w:eastAsia="SimSun" w:cs="SimSun"/>
          <w:sz w:val="22"/>
          <w:szCs w:val="22"/>
          <w:spacing w:val="18"/>
        </w:rPr>
        <w:t>而有所变化。施工期工艺流程及产污分析见下图。</w:t>
      </w:r>
    </w:p>
    <w:p>
      <w:pPr>
        <w:ind w:left="660"/>
        <w:spacing w:line="220" w:lineRule="auto"/>
        <w:rPr>
          <w:rFonts w:ascii="SimSun" w:hAnsi="SimSun" w:eastAsia="SimSun" w:cs="SimSun"/>
          <w:sz w:val="22"/>
          <w:szCs w:val="22"/>
        </w:rPr>
      </w:pPr>
      <w:r>
        <w:rPr>
          <w:rFonts w:ascii="SimHei" w:hAnsi="SimHei" w:eastAsia="SimHei" w:cs="SimHei"/>
          <w:sz w:val="22"/>
          <w:szCs w:val="22"/>
          <w:spacing w:val="-12"/>
          <w:position w:val="4"/>
        </w:rPr>
        <w:t>噪</w:t>
      </w:r>
      <w:r>
        <w:rPr>
          <w:rFonts w:ascii="SimHei" w:hAnsi="SimHei" w:eastAsia="SimHei" w:cs="SimHei"/>
          <w:sz w:val="22"/>
          <w:szCs w:val="22"/>
          <w:spacing w:val="-12"/>
          <w:position w:val="4"/>
        </w:rPr>
        <w:t xml:space="preserve"> </w:t>
      </w:r>
      <w:r>
        <w:rPr>
          <w:rFonts w:ascii="SimHei" w:hAnsi="SimHei" w:eastAsia="SimHei" w:cs="SimHei"/>
          <w:sz w:val="22"/>
          <w:szCs w:val="22"/>
          <w:spacing w:val="-12"/>
          <w:position w:val="4"/>
        </w:rPr>
        <w:t>声</w:t>
      </w:r>
      <w:r>
        <w:rPr>
          <w:rFonts w:ascii="SimHei" w:hAnsi="SimHei" w:eastAsia="SimHei" w:cs="SimHei"/>
          <w:sz w:val="22"/>
          <w:szCs w:val="22"/>
          <w:spacing w:val="17"/>
          <w:position w:val="4"/>
        </w:rPr>
        <w:t xml:space="preserve">    </w:t>
      </w:r>
      <w:r>
        <w:rPr>
          <w:rFonts w:ascii="SimSun" w:hAnsi="SimSun" w:eastAsia="SimSun" w:cs="SimSun"/>
          <w:sz w:val="22"/>
          <w:szCs w:val="22"/>
          <w:spacing w:val="-12"/>
        </w:rPr>
        <w:t>扬尘、废气   施工废水    生活污水    </w:t>
      </w:r>
      <w:r>
        <w:rPr>
          <w:rFonts w:ascii="SimSun" w:hAnsi="SimSun" w:eastAsia="SimSun" w:cs="SimSun"/>
          <w:sz w:val="22"/>
          <w:szCs w:val="22"/>
          <w:spacing w:val="-12"/>
          <w:position w:val="-1"/>
        </w:rPr>
        <w:t>建筑垃圾</w:t>
      </w:r>
    </w:p>
    <w:p>
      <w:pPr>
        <w:spacing w:before="69"/>
        <w:rPr/>
      </w:pPr>
      <w:r/>
    </w:p>
    <w:p>
      <w:pPr>
        <w:spacing w:before="69"/>
        <w:rPr/>
      </w:pPr>
      <w:r/>
    </w:p>
    <w:p>
      <w:pPr>
        <w:spacing w:before="68"/>
        <w:rPr/>
      </w:pPr>
      <w:r/>
    </w:p>
    <w:p>
      <w:pPr>
        <w:sectPr>
          <w:headerReference w:type="default" r:id="rId377"/>
          <w:footerReference w:type="default" r:id="rId378"/>
          <w:pgSz w:w="11910" w:h="16840"/>
          <w:pgMar w:top="1216" w:right="1786" w:bottom="933" w:left="1769" w:header="877" w:footer="735" w:gutter="0"/>
          <w:cols w:equalWidth="0" w:num="1">
            <w:col w:w="8354" w:space="0"/>
          </w:cols>
        </w:sectPr>
        <w:rPr/>
      </w:pPr>
    </w:p>
    <w:p>
      <w:pPr>
        <w:ind w:left="710"/>
        <w:spacing w:before="58" w:line="228" w:lineRule="auto"/>
        <w:rPr>
          <w:rFonts w:ascii="SimSun" w:hAnsi="SimSun" w:eastAsia="SimSun" w:cs="SimSun"/>
          <w:sz w:val="22"/>
          <w:szCs w:val="22"/>
        </w:rPr>
      </w:pPr>
      <w:r>
        <w:rPr>
          <w:rFonts w:ascii="SimSun" w:hAnsi="SimSun" w:eastAsia="SimSun" w:cs="SimSun"/>
          <w:sz w:val="22"/>
          <w:szCs w:val="22"/>
          <w:spacing w:val="-11"/>
          <w:position w:val="-4"/>
        </w:rPr>
        <w:t>基础工程       </w:t>
      </w:r>
      <w:r>
        <w:rPr>
          <w:rFonts w:ascii="SimSun" w:hAnsi="SimSun" w:eastAsia="SimSun" w:cs="SimSun"/>
          <w:sz w:val="22"/>
          <w:szCs w:val="22"/>
          <w:spacing w:val="-11"/>
          <w:position w:val="1"/>
        </w:rPr>
        <w:t>主体工程       装饰工程  </w:t>
      </w:r>
      <w:r>
        <w:rPr>
          <w:rFonts w:ascii="SimSun" w:hAnsi="SimSun" w:eastAsia="SimSun" w:cs="SimSun"/>
          <w:sz w:val="22"/>
          <w:szCs w:val="22"/>
          <w:spacing w:val="-12"/>
          <w:position w:val="1"/>
        </w:rPr>
        <w:t xml:space="preserve">     安装工程</w:t>
      </w:r>
    </w:p>
    <w:p>
      <w:pPr>
        <w:pStyle w:val="BodyText"/>
        <w:spacing w:line="315" w:lineRule="auto"/>
        <w:rPr/>
      </w:pPr>
      <w:r/>
    </w:p>
    <w:p>
      <w:pPr>
        <w:pStyle w:val="BodyText"/>
        <w:spacing w:line="316" w:lineRule="auto"/>
        <w:rPr/>
      </w:pPr>
      <w:r/>
    </w:p>
    <w:p>
      <w:pPr>
        <w:ind w:left="600"/>
        <w:spacing w:before="71" w:line="231" w:lineRule="auto"/>
        <w:rPr>
          <w:rFonts w:ascii="SimSun" w:hAnsi="SimSun" w:eastAsia="SimSun" w:cs="SimSun"/>
          <w:sz w:val="22"/>
          <w:szCs w:val="22"/>
        </w:rPr>
      </w:pPr>
      <w:r>
        <w:rPr>
          <w:rFonts w:ascii="SimSun" w:hAnsi="SimSun" w:eastAsia="SimSun" w:cs="SimSun"/>
          <w:sz w:val="22"/>
          <w:szCs w:val="22"/>
          <w:spacing w:val="-12"/>
          <w:position w:val="-2"/>
        </w:rPr>
        <w:t>开挖土石方          </w:t>
      </w:r>
      <w:r>
        <w:rPr>
          <w:rFonts w:ascii="SimSun" w:hAnsi="SimSun" w:eastAsia="SimSun" w:cs="SimSun"/>
          <w:sz w:val="22"/>
          <w:szCs w:val="22"/>
          <w:spacing w:val="-12"/>
          <w:position w:val="1"/>
        </w:rPr>
        <w:t>全部回填绿化</w:t>
      </w:r>
    </w:p>
    <w:p>
      <w:pPr>
        <w:ind w:left="483" w:right="384" w:firstLine="1529"/>
        <w:spacing w:before="233" w:line="252" w:lineRule="auto"/>
        <w:rPr>
          <w:rFonts w:ascii="SimSun" w:hAnsi="SimSun" w:eastAsia="SimSun" w:cs="SimSun"/>
          <w:sz w:val="22"/>
          <w:szCs w:val="22"/>
        </w:rPr>
      </w:pPr>
      <w:r>
        <w:rPr>
          <w:rFonts w:ascii="SimSun" w:hAnsi="SimSun" w:eastAsia="SimSun" w:cs="SimSun"/>
          <w:sz w:val="22"/>
          <w:szCs w:val="22"/>
          <w:b/>
          <w:bCs/>
          <w:spacing w:val="10"/>
        </w:rPr>
        <w:t>图5.1-1施工期工艺流程及产污环节示意图</w:t>
      </w:r>
      <w:r>
        <w:rPr>
          <w:rFonts w:ascii="SimSun" w:hAnsi="SimSun" w:eastAsia="SimSun" w:cs="SimSun"/>
          <w:sz w:val="22"/>
          <w:szCs w:val="22"/>
          <w:spacing w:val="3"/>
        </w:rPr>
        <w:t xml:space="preserve"> </w:t>
      </w:r>
      <w:r>
        <w:rPr>
          <w:rFonts w:ascii="SimSun" w:hAnsi="SimSun" w:eastAsia="SimSun" w:cs="SimSun"/>
          <w:sz w:val="22"/>
          <w:szCs w:val="22"/>
          <w:b/>
          <w:bCs/>
          <w:spacing w:val="14"/>
        </w:rPr>
        <w:t>1、基础工程</w:t>
      </w:r>
    </w:p>
    <w:p>
      <w:pPr>
        <w:pStyle w:val="BodyText"/>
        <w:spacing w:line="14" w:lineRule="auto"/>
        <w:rPr>
          <w:sz w:val="2"/>
        </w:rPr>
      </w:pPr>
      <w:r>
        <w:rPr>
          <w:sz w:val="2"/>
          <w:szCs w:val="2"/>
        </w:rPr>
        <w:br w:type="column"/>
      </w:r>
    </w:p>
    <w:p>
      <w:pPr>
        <w:spacing w:before="55" w:line="219" w:lineRule="auto"/>
        <w:rPr>
          <w:rFonts w:ascii="SimSun" w:hAnsi="SimSun" w:eastAsia="SimSun" w:cs="SimSun"/>
          <w:sz w:val="22"/>
          <w:szCs w:val="22"/>
        </w:rPr>
      </w:pPr>
      <w:r>
        <w:rPr>
          <w:rFonts w:ascii="SimSun" w:hAnsi="SimSun" w:eastAsia="SimSun" w:cs="SimSun"/>
          <w:sz w:val="22"/>
          <w:szCs w:val="22"/>
          <w:spacing w:val="-14"/>
        </w:rPr>
        <w:t>工程验收</w:t>
      </w:r>
    </w:p>
    <w:p>
      <w:pPr>
        <w:pStyle w:val="BodyText"/>
        <w:spacing w:line="425" w:lineRule="auto"/>
        <w:rPr/>
      </w:pPr>
      <w:r/>
    </w:p>
    <w:p>
      <w:pPr>
        <w:spacing w:before="72" w:line="220" w:lineRule="auto"/>
        <w:rPr>
          <w:rFonts w:ascii="SimSun" w:hAnsi="SimSun" w:eastAsia="SimSun" w:cs="SimSun"/>
          <w:sz w:val="22"/>
          <w:szCs w:val="22"/>
        </w:rPr>
      </w:pPr>
      <w:r>
        <w:rPr>
          <w:rFonts w:ascii="SimSun" w:hAnsi="SimSun" w:eastAsia="SimSun" w:cs="SimSun"/>
          <w:sz w:val="22"/>
          <w:szCs w:val="22"/>
          <w:spacing w:val="-14"/>
        </w:rPr>
        <w:t>工程营运</w:t>
      </w:r>
    </w:p>
    <w:p>
      <w:pPr>
        <w:spacing w:line="220" w:lineRule="auto"/>
        <w:sectPr>
          <w:type w:val="continuous"/>
          <w:pgSz w:w="11910" w:h="16840"/>
          <w:pgMar w:top="1216" w:right="1786" w:bottom="933" w:left="1769" w:header="877" w:footer="735" w:gutter="0"/>
          <w:cols w:equalWidth="0" w:num="2">
            <w:col w:w="6731" w:space="100"/>
            <w:col w:w="1524" w:space="0"/>
          </w:cols>
        </w:sectPr>
        <w:rPr>
          <w:rFonts w:ascii="SimSun" w:hAnsi="SimSun" w:eastAsia="SimSun" w:cs="SimSun"/>
          <w:sz w:val="22"/>
          <w:szCs w:val="22"/>
        </w:rPr>
      </w:pPr>
    </w:p>
    <w:p>
      <w:pPr>
        <w:ind w:right="29" w:firstLine="480"/>
        <w:spacing w:before="209" w:line="385" w:lineRule="auto"/>
        <w:jc w:val="both"/>
        <w:rPr>
          <w:rFonts w:ascii="SimSun" w:hAnsi="SimSun" w:eastAsia="SimSun" w:cs="SimSun"/>
          <w:sz w:val="22"/>
          <w:szCs w:val="22"/>
        </w:rPr>
      </w:pPr>
      <w:r>
        <w:rPr>
          <w:rFonts w:ascii="SimSun" w:hAnsi="SimSun" w:eastAsia="SimSun" w:cs="SimSun"/>
          <w:sz w:val="22"/>
          <w:szCs w:val="22"/>
          <w:spacing w:val="24"/>
        </w:rPr>
        <w:t>项目建设拆除原项目污水处理站、锅炉房、生猪屠宰车间内屠宰设备及配</w:t>
      </w:r>
      <w:r>
        <w:rPr>
          <w:rFonts w:ascii="SimSun" w:hAnsi="SimSun" w:eastAsia="SimSun" w:cs="SimSun"/>
          <w:sz w:val="22"/>
          <w:szCs w:val="22"/>
          <w:spacing w:val="10"/>
        </w:rPr>
        <w:t xml:space="preserve"> </w:t>
      </w:r>
      <w:r>
        <w:rPr>
          <w:rFonts w:ascii="SimSun" w:hAnsi="SimSun" w:eastAsia="SimSun" w:cs="SimSun"/>
          <w:sz w:val="22"/>
          <w:szCs w:val="22"/>
          <w:spacing w:val="24"/>
        </w:rPr>
        <w:t>套设施，将原项目生猪屠宰车间改造为本项目肉牛屠宰车间，拆除过程采用湿</w:t>
      </w:r>
      <w:r>
        <w:rPr>
          <w:rFonts w:ascii="SimSun" w:hAnsi="SimSun" w:eastAsia="SimSun" w:cs="SimSun"/>
          <w:sz w:val="22"/>
          <w:szCs w:val="22"/>
          <w:spacing w:val="2"/>
        </w:rPr>
        <w:t xml:space="preserve"> </w:t>
      </w:r>
      <w:r>
        <w:rPr>
          <w:rFonts w:ascii="SimSun" w:hAnsi="SimSun" w:eastAsia="SimSun" w:cs="SimSun"/>
          <w:sz w:val="22"/>
          <w:szCs w:val="22"/>
          <w:spacing w:val="25"/>
        </w:rPr>
        <w:t>作业方法，拆除后清理场地；拆除的污水处理站设备、锅炉</w:t>
      </w:r>
      <w:r>
        <w:rPr>
          <w:rFonts w:ascii="SimSun" w:hAnsi="SimSun" w:eastAsia="SimSun" w:cs="SimSun"/>
          <w:sz w:val="22"/>
          <w:szCs w:val="22"/>
          <w:spacing w:val="24"/>
        </w:rPr>
        <w:t>、屠宰设备直接外</w:t>
      </w:r>
      <w:r>
        <w:rPr>
          <w:rFonts w:ascii="SimSun" w:hAnsi="SimSun" w:eastAsia="SimSun" w:cs="SimSun"/>
          <w:sz w:val="22"/>
          <w:szCs w:val="22"/>
        </w:rPr>
        <w:t xml:space="preserve"> </w:t>
      </w:r>
      <w:r>
        <w:rPr>
          <w:rFonts w:ascii="SimSun" w:hAnsi="SimSun" w:eastAsia="SimSun" w:cs="SimSun"/>
          <w:sz w:val="22"/>
          <w:szCs w:val="22"/>
          <w:spacing w:val="35"/>
        </w:rPr>
        <w:t>售，拆除的建筑垃圾送城市建设部门指定的地点堆放。基础土</w:t>
      </w:r>
      <w:r>
        <w:rPr>
          <w:rFonts w:ascii="SimSun" w:hAnsi="SimSun" w:eastAsia="SimSun" w:cs="SimSun"/>
          <w:sz w:val="22"/>
          <w:szCs w:val="22"/>
          <w:spacing w:val="34"/>
        </w:rPr>
        <w:t>方(挖方、填</w:t>
      </w:r>
      <w:r>
        <w:rPr>
          <w:rFonts w:ascii="SimSun" w:hAnsi="SimSun" w:eastAsia="SimSun" w:cs="SimSun"/>
          <w:sz w:val="22"/>
          <w:szCs w:val="22"/>
        </w:rPr>
        <w:t xml:space="preserve"> </w:t>
      </w:r>
      <w:r>
        <w:rPr>
          <w:rFonts w:ascii="SimSun" w:hAnsi="SimSun" w:eastAsia="SimSun" w:cs="SimSun"/>
          <w:sz w:val="22"/>
          <w:szCs w:val="22"/>
          <w:spacing w:val="34"/>
        </w:rPr>
        <w:t>方)、地基处理(岩土工程)与基础工程施工时，打桩机、</w:t>
      </w:r>
      <w:r>
        <w:rPr>
          <w:rFonts w:ascii="SimSun" w:hAnsi="SimSun" w:eastAsia="SimSun" w:cs="SimSun"/>
          <w:sz w:val="22"/>
          <w:szCs w:val="22"/>
          <w:spacing w:val="33"/>
        </w:rPr>
        <w:t>挖土机、运土卡车</w:t>
      </w:r>
      <w:r>
        <w:rPr>
          <w:rFonts w:ascii="SimSun" w:hAnsi="SimSun" w:eastAsia="SimSun" w:cs="SimSun"/>
          <w:sz w:val="22"/>
          <w:szCs w:val="22"/>
        </w:rPr>
        <w:t xml:space="preserve"> </w:t>
      </w:r>
      <w:r>
        <w:rPr>
          <w:rFonts w:ascii="SimSun" w:hAnsi="SimSun" w:eastAsia="SimSun" w:cs="SimSun"/>
          <w:sz w:val="22"/>
          <w:szCs w:val="22"/>
          <w:spacing w:val="24"/>
        </w:rPr>
        <w:t>等运行时，将主要产生噪声；同时产生扬尘和工人施工生活污水；基础工程挖</w:t>
      </w:r>
      <w:r>
        <w:rPr>
          <w:rFonts w:ascii="SimSun" w:hAnsi="SimSun" w:eastAsia="SimSun" w:cs="SimSun"/>
          <w:sz w:val="22"/>
          <w:szCs w:val="22"/>
          <w:spacing w:val="6"/>
        </w:rPr>
        <w:t xml:space="preserve"> </w:t>
      </w:r>
      <w:r>
        <w:rPr>
          <w:rFonts w:ascii="SimSun" w:hAnsi="SimSun" w:eastAsia="SimSun" w:cs="SimSun"/>
          <w:sz w:val="22"/>
          <w:szCs w:val="22"/>
          <w:spacing w:val="17"/>
        </w:rPr>
        <w:t>土方基本用于场地绿化或进行回填。</w:t>
      </w:r>
    </w:p>
    <w:p>
      <w:pPr>
        <w:ind w:left="483"/>
        <w:spacing w:line="220" w:lineRule="auto"/>
        <w:rPr>
          <w:rFonts w:ascii="SimSun" w:hAnsi="SimSun" w:eastAsia="SimSun" w:cs="SimSun"/>
          <w:sz w:val="25"/>
          <w:szCs w:val="25"/>
        </w:rPr>
      </w:pPr>
      <w:r>
        <w:rPr>
          <w:rFonts w:ascii="SimSun" w:hAnsi="SimSun" w:eastAsia="SimSun" w:cs="SimSun"/>
          <w:sz w:val="25"/>
          <w:szCs w:val="25"/>
          <w:b/>
          <w:bCs/>
          <w:spacing w:val="-9"/>
        </w:rPr>
        <w:t>2、主体工程</w:t>
      </w:r>
    </w:p>
    <w:p>
      <w:pPr>
        <w:ind w:right="49" w:firstLine="480"/>
        <w:spacing w:before="214" w:line="377" w:lineRule="auto"/>
        <w:jc w:val="both"/>
        <w:rPr>
          <w:rFonts w:ascii="SimSun" w:hAnsi="SimSun" w:eastAsia="SimSun" w:cs="SimSun"/>
          <w:sz w:val="22"/>
          <w:szCs w:val="22"/>
        </w:rPr>
      </w:pPr>
      <w:r>
        <w:rPr>
          <w:rFonts w:ascii="SimSun" w:hAnsi="SimSun" w:eastAsia="SimSun" w:cs="SimSun"/>
          <w:sz w:val="22"/>
          <w:szCs w:val="22"/>
          <w:spacing w:val="24"/>
        </w:rPr>
        <w:t>混凝土搅拌机、混凝土振捣棒、卷扬机、钢筋切割机等施工机械运行时产</w:t>
      </w:r>
      <w:r>
        <w:rPr>
          <w:rFonts w:ascii="SimSun" w:hAnsi="SimSun" w:eastAsia="SimSun" w:cs="SimSun"/>
          <w:sz w:val="22"/>
          <w:szCs w:val="22"/>
          <w:spacing w:val="14"/>
        </w:rPr>
        <w:t xml:space="preserve"> </w:t>
      </w:r>
      <w:r>
        <w:rPr>
          <w:rFonts w:ascii="SimSun" w:hAnsi="SimSun" w:eastAsia="SimSun" w:cs="SimSun"/>
          <w:sz w:val="22"/>
          <w:szCs w:val="22"/>
          <w:spacing w:val="24"/>
        </w:rPr>
        <w:t>生噪声，挖土、堆场、汽车运输等工程产生扬尘，同时产生原材料废弃料及生</w:t>
      </w:r>
      <w:r>
        <w:rPr>
          <w:rFonts w:ascii="SimSun" w:hAnsi="SimSun" w:eastAsia="SimSun" w:cs="SimSun"/>
          <w:sz w:val="22"/>
          <w:szCs w:val="22"/>
          <w:spacing w:val="3"/>
        </w:rPr>
        <w:t xml:space="preserve"> </w:t>
      </w:r>
      <w:r>
        <w:rPr>
          <w:rFonts w:ascii="SimSun" w:hAnsi="SimSun" w:eastAsia="SimSun" w:cs="SimSun"/>
          <w:sz w:val="22"/>
          <w:szCs w:val="22"/>
          <w:spacing w:val="17"/>
        </w:rPr>
        <w:t>产和生活污水等。</w:t>
      </w:r>
    </w:p>
    <w:p>
      <w:pPr>
        <w:ind w:left="483"/>
        <w:spacing w:line="220" w:lineRule="auto"/>
        <w:rPr>
          <w:rFonts w:ascii="SimSun" w:hAnsi="SimSun" w:eastAsia="SimSun" w:cs="SimSun"/>
          <w:sz w:val="25"/>
          <w:szCs w:val="25"/>
        </w:rPr>
      </w:pPr>
      <w:r>
        <w:rPr>
          <w:rFonts w:ascii="SimSun" w:hAnsi="SimSun" w:eastAsia="SimSun" w:cs="SimSun"/>
          <w:sz w:val="25"/>
          <w:szCs w:val="25"/>
          <w:b/>
          <w:bCs/>
          <w:spacing w:val="-9"/>
        </w:rPr>
        <w:t>3、装饰工程</w:t>
      </w:r>
    </w:p>
    <w:p>
      <w:pPr>
        <w:ind w:right="33" w:firstLine="480"/>
        <w:spacing w:before="232" w:line="380" w:lineRule="auto"/>
        <w:jc w:val="both"/>
        <w:rPr>
          <w:rFonts w:ascii="SimSun" w:hAnsi="SimSun" w:eastAsia="SimSun" w:cs="SimSun"/>
          <w:sz w:val="22"/>
          <w:szCs w:val="22"/>
        </w:rPr>
      </w:pPr>
      <w:r>
        <w:rPr>
          <w:rFonts w:ascii="SimSun" w:hAnsi="SimSun" w:eastAsia="SimSun" w:cs="SimSun"/>
          <w:sz w:val="22"/>
          <w:szCs w:val="22"/>
          <w:spacing w:val="43"/>
        </w:rPr>
        <w:t>对构筑物室内外进行装修时(如表面粉刷、油漆、喷涂、裱糊等),钻</w:t>
      </w:r>
      <w:r>
        <w:rPr>
          <w:rFonts w:ascii="SimSun" w:hAnsi="SimSun" w:eastAsia="SimSun" w:cs="SimSun"/>
          <w:sz w:val="22"/>
          <w:szCs w:val="22"/>
          <w:spacing w:val="16"/>
        </w:rPr>
        <w:t xml:space="preserve"> </w:t>
      </w:r>
      <w:r>
        <w:rPr>
          <w:rFonts w:ascii="SimSun" w:hAnsi="SimSun" w:eastAsia="SimSun" w:cs="SimSun"/>
          <w:sz w:val="22"/>
          <w:szCs w:val="22"/>
          <w:spacing w:val="24"/>
        </w:rPr>
        <w:t>机、电锤、切割机等产生噪声，油漆和喷涂产生废气，同时产生废弃物料及生</w:t>
      </w:r>
      <w:r>
        <w:rPr>
          <w:rFonts w:ascii="SimSun" w:hAnsi="SimSun" w:eastAsia="SimSun" w:cs="SimSun"/>
          <w:sz w:val="22"/>
          <w:szCs w:val="22"/>
          <w:spacing w:val="3"/>
        </w:rPr>
        <w:t xml:space="preserve"> </w:t>
      </w:r>
      <w:r>
        <w:rPr>
          <w:rFonts w:ascii="SimSun" w:hAnsi="SimSun" w:eastAsia="SimSun" w:cs="SimSun"/>
          <w:sz w:val="22"/>
          <w:szCs w:val="22"/>
          <w:spacing w:val="12"/>
        </w:rPr>
        <w:t>活污水等。</w:t>
      </w:r>
    </w:p>
    <w:p>
      <w:pPr>
        <w:ind w:left="483"/>
        <w:spacing w:before="20" w:line="184" w:lineRule="auto"/>
        <w:rPr>
          <w:rFonts w:ascii="SimSun" w:hAnsi="SimSun" w:eastAsia="SimSun" w:cs="SimSun"/>
          <w:sz w:val="22"/>
          <w:szCs w:val="22"/>
        </w:rPr>
      </w:pPr>
      <w:r>
        <w:rPr>
          <w:rFonts w:ascii="SimSun" w:hAnsi="SimSun" w:eastAsia="SimSun" w:cs="SimSun"/>
          <w:sz w:val="22"/>
          <w:szCs w:val="22"/>
          <w:b/>
          <w:bCs/>
          <w:spacing w:val="30"/>
        </w:rPr>
        <w:t>从上述污染工序可知，施工期主要环境污染问题是：</w:t>
      </w:r>
      <w:r>
        <w:rPr>
          <w:rFonts w:ascii="SimSun" w:hAnsi="SimSun" w:eastAsia="SimSun" w:cs="SimSun"/>
          <w:sz w:val="22"/>
          <w:szCs w:val="22"/>
          <w:b/>
          <w:bCs/>
          <w:spacing w:val="29"/>
        </w:rPr>
        <w:t>施工扬尘、施工弃</w:t>
      </w:r>
    </w:p>
    <w:p>
      <w:pPr>
        <w:spacing w:line="184" w:lineRule="auto"/>
        <w:sectPr>
          <w:type w:val="continuous"/>
          <w:pgSz w:w="11910" w:h="16840"/>
          <w:pgMar w:top="1216" w:right="1786" w:bottom="933" w:left="1769" w:header="877" w:footer="735" w:gutter="0"/>
          <w:cols w:equalWidth="0" w:num="1">
            <w:col w:w="8354" w:space="0"/>
          </w:cols>
        </w:sectPr>
        <w:rPr>
          <w:rFonts w:ascii="SimSun" w:hAnsi="SimSun" w:eastAsia="SimSun" w:cs="SimSun"/>
          <w:sz w:val="22"/>
          <w:szCs w:val="22"/>
        </w:rPr>
      </w:pPr>
    </w:p>
    <w:p>
      <w:pPr>
        <w:ind w:left="98" w:right="106"/>
        <w:spacing w:before="249" w:line="407" w:lineRule="auto"/>
        <w:rPr>
          <w:rFonts w:ascii="SimSun" w:hAnsi="SimSun" w:eastAsia="SimSun" w:cs="SimSun"/>
          <w:sz w:val="22"/>
          <w:szCs w:val="22"/>
        </w:rPr>
      </w:pPr>
      <w:r>
        <w:rPr>
          <w:rFonts w:ascii="SimSun" w:hAnsi="SimSun" w:eastAsia="SimSun" w:cs="SimSun"/>
          <w:sz w:val="22"/>
          <w:szCs w:val="22"/>
          <w:b/>
          <w:bCs/>
          <w:spacing w:val="22"/>
        </w:rPr>
        <w:t>渣、施工噪声、建筑工人生活污水、建筑工人生活垃圾、装修废气等。</w:t>
      </w:r>
      <w:r>
        <w:rPr>
          <w:rFonts w:ascii="SimSun" w:hAnsi="SimSun" w:eastAsia="SimSun" w:cs="SimSun"/>
          <w:sz w:val="22"/>
          <w:szCs w:val="22"/>
          <w:b/>
          <w:bCs/>
          <w:spacing w:val="21"/>
        </w:rPr>
        <w:t>这些污</w:t>
      </w:r>
      <w:r>
        <w:rPr>
          <w:rFonts w:ascii="SimSun" w:hAnsi="SimSun" w:eastAsia="SimSun" w:cs="SimSun"/>
          <w:sz w:val="22"/>
          <w:szCs w:val="22"/>
        </w:rPr>
        <w:t xml:space="preserve"> </w:t>
      </w:r>
      <w:r>
        <w:rPr>
          <w:rFonts w:ascii="SimSun" w:hAnsi="SimSun" w:eastAsia="SimSun" w:cs="SimSun"/>
          <w:sz w:val="22"/>
          <w:szCs w:val="22"/>
          <w:b/>
          <w:bCs/>
          <w:spacing w:val="17"/>
        </w:rPr>
        <w:t>染贯穿于整个施工过程，但不同污染因子在不同施工时段污染强度不同。</w:t>
      </w:r>
    </w:p>
    <w:p>
      <w:pPr>
        <w:ind w:left="98"/>
        <w:spacing w:line="221" w:lineRule="auto"/>
        <w:rPr>
          <w:rFonts w:ascii="SimHei" w:hAnsi="SimHei" w:eastAsia="SimHei" w:cs="SimHei"/>
          <w:sz w:val="27"/>
          <w:szCs w:val="27"/>
        </w:rPr>
      </w:pPr>
      <w:r>
        <w:rPr>
          <w:rFonts w:ascii="SimHei" w:hAnsi="SimHei" w:eastAsia="SimHei" w:cs="SimHei"/>
          <w:sz w:val="27"/>
          <w:szCs w:val="27"/>
          <w:b/>
          <w:bCs/>
          <w:spacing w:val="-3"/>
        </w:rPr>
        <w:t>5.1.1施工期大气环境影响分析</w:t>
      </w:r>
    </w:p>
    <w:p>
      <w:pPr>
        <w:ind w:left="94" w:right="102" w:firstLine="480"/>
        <w:spacing w:before="249" w:line="360" w:lineRule="auto"/>
        <w:rPr>
          <w:rFonts w:ascii="SimSun" w:hAnsi="SimSun" w:eastAsia="SimSun" w:cs="SimSun"/>
          <w:sz w:val="22"/>
          <w:szCs w:val="22"/>
        </w:rPr>
      </w:pPr>
      <w:r>
        <w:rPr>
          <w:rFonts w:ascii="SimSun" w:hAnsi="SimSun" w:eastAsia="SimSun" w:cs="SimSun"/>
          <w:sz w:val="22"/>
          <w:szCs w:val="22"/>
          <w:spacing w:val="25"/>
        </w:rPr>
        <w:t>本项目施工期的大气污染物主要是扬尘和施工机械及</w:t>
      </w:r>
      <w:r>
        <w:rPr>
          <w:rFonts w:ascii="SimSun" w:hAnsi="SimSun" w:eastAsia="SimSun" w:cs="SimSun"/>
          <w:sz w:val="22"/>
          <w:szCs w:val="22"/>
          <w:spacing w:val="24"/>
        </w:rPr>
        <w:t>汽车尾气等，扬尘一</w:t>
      </w:r>
      <w:r>
        <w:rPr>
          <w:rFonts w:ascii="SimSun" w:hAnsi="SimSun" w:eastAsia="SimSun" w:cs="SimSun"/>
          <w:sz w:val="22"/>
          <w:szCs w:val="22"/>
        </w:rPr>
        <w:t xml:space="preserve"> </w:t>
      </w:r>
      <w:r>
        <w:rPr>
          <w:rFonts w:ascii="SimSun" w:hAnsi="SimSun" w:eastAsia="SimSun" w:cs="SimSun"/>
          <w:sz w:val="22"/>
          <w:szCs w:val="22"/>
          <w:spacing w:val="19"/>
        </w:rPr>
        <w:t>般由土地平整、土方填挖、物料装卸和车辆</w:t>
      </w:r>
      <w:r>
        <w:rPr>
          <w:rFonts w:ascii="SimSun" w:hAnsi="SimSun" w:eastAsia="SimSun" w:cs="SimSun"/>
          <w:sz w:val="22"/>
          <w:szCs w:val="22"/>
          <w:spacing w:val="18"/>
        </w:rPr>
        <w:t>运输造成的。</w:t>
      </w:r>
    </w:p>
    <w:p>
      <w:pPr>
        <w:ind w:left="1598"/>
        <w:spacing w:line="220" w:lineRule="auto"/>
        <w:rPr>
          <w:rFonts w:ascii="SimSun" w:hAnsi="SimSun" w:eastAsia="SimSun" w:cs="SimSun"/>
          <w:sz w:val="24"/>
          <w:szCs w:val="24"/>
        </w:rPr>
      </w:pPr>
      <w:r>
        <w:rPr>
          <w:rFonts w:ascii="SimSun" w:hAnsi="SimSun" w:eastAsia="SimSun" w:cs="SimSun"/>
          <w:sz w:val="24"/>
          <w:szCs w:val="24"/>
          <w:b/>
          <w:bCs/>
          <w:spacing w:val="-3"/>
        </w:rPr>
        <w:t>表5.1-1不同施工阶段的主要污染源和排放的污染物</w:t>
      </w:r>
    </w:p>
    <w:p>
      <w:pPr>
        <w:spacing w:line="121" w:lineRule="auto"/>
        <w:rPr>
          <w:rFonts w:ascii="Arial"/>
          <w:sz w:val="2"/>
        </w:rPr>
      </w:pPr>
      <w:r>
        <w:rPr>
          <w:rFonts w:ascii="Arial"/>
          <w:sz w:val="2"/>
        </w:rPr>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84"/>
        <w:gridCol w:w="3825"/>
        <w:gridCol w:w="1618"/>
        <w:gridCol w:w="1972"/>
      </w:tblGrid>
      <w:tr>
        <w:trPr>
          <w:trHeight w:val="284" w:hRule="atLeast"/>
        </w:trPr>
        <w:tc>
          <w:tcPr>
            <w:shd w:val="clear" w:fill="BDBDBD"/>
            <w:tcW w:w="1084" w:type="dxa"/>
            <w:vAlign w:val="top"/>
          </w:tcPr>
          <w:p>
            <w:pPr>
              <w:pStyle w:val="TableText"/>
              <w:ind w:left="117"/>
              <w:spacing w:before="41" w:line="204" w:lineRule="auto"/>
              <w:rPr>
                <w:sz w:val="21"/>
                <w:szCs w:val="21"/>
              </w:rPr>
            </w:pPr>
            <w:r>
              <w:rPr>
                <w:sz w:val="21"/>
                <w:szCs w:val="21"/>
                <w:b/>
                <w:bCs/>
                <w:spacing w:val="-4"/>
              </w:rPr>
              <w:t>施工阶段</w:t>
            </w:r>
          </w:p>
        </w:tc>
        <w:tc>
          <w:tcPr>
            <w:shd w:val="clear" w:fill="BDBDBD"/>
            <w:tcW w:w="3825" w:type="dxa"/>
            <w:vAlign w:val="top"/>
          </w:tcPr>
          <w:p>
            <w:pPr>
              <w:pStyle w:val="TableText"/>
              <w:ind w:left="1384"/>
              <w:spacing w:before="40" w:line="205" w:lineRule="auto"/>
              <w:rPr>
                <w:sz w:val="21"/>
                <w:szCs w:val="21"/>
              </w:rPr>
            </w:pPr>
            <w:r>
              <w:rPr>
                <w:sz w:val="21"/>
                <w:szCs w:val="21"/>
                <w:b/>
                <w:bCs/>
                <w:spacing w:val="-4"/>
              </w:rPr>
              <w:t>主要污染源</w:t>
            </w:r>
          </w:p>
        </w:tc>
        <w:tc>
          <w:tcPr>
            <w:shd w:val="clear" w:fill="BDBDBD"/>
            <w:tcW w:w="1618" w:type="dxa"/>
            <w:vAlign w:val="top"/>
          </w:tcPr>
          <w:p>
            <w:pPr>
              <w:pStyle w:val="TableText"/>
              <w:ind w:left="269"/>
              <w:spacing w:before="40" w:line="205" w:lineRule="auto"/>
              <w:rPr>
                <w:sz w:val="21"/>
                <w:szCs w:val="21"/>
              </w:rPr>
            </w:pPr>
            <w:r>
              <w:rPr>
                <w:sz w:val="21"/>
                <w:szCs w:val="21"/>
                <w:b/>
                <w:bCs/>
                <w:spacing w:val="-4"/>
              </w:rPr>
              <w:t>主要污染物</w:t>
            </w:r>
          </w:p>
        </w:tc>
        <w:tc>
          <w:tcPr>
            <w:shd w:val="clear" w:fill="BDBDBD"/>
            <w:tcW w:w="1972" w:type="dxa"/>
            <w:vAlign w:val="top"/>
          </w:tcPr>
          <w:p>
            <w:pPr>
              <w:pStyle w:val="TableText"/>
              <w:ind w:left="561"/>
              <w:spacing w:before="40" w:line="205" w:lineRule="auto"/>
              <w:rPr>
                <w:sz w:val="21"/>
                <w:szCs w:val="21"/>
              </w:rPr>
            </w:pPr>
            <w:r>
              <w:rPr>
                <w:sz w:val="21"/>
                <w:szCs w:val="21"/>
                <w:b/>
                <w:bCs/>
                <w:spacing w:val="-4"/>
              </w:rPr>
              <w:t>影响因素</w:t>
            </w:r>
          </w:p>
        </w:tc>
      </w:tr>
      <w:tr>
        <w:trPr>
          <w:trHeight w:val="1086" w:hRule="atLeast"/>
        </w:trPr>
        <w:tc>
          <w:tcPr>
            <w:tcW w:w="1084" w:type="dxa"/>
            <w:vAlign w:val="top"/>
          </w:tcPr>
          <w:p>
            <w:pPr>
              <w:spacing w:line="369" w:lineRule="auto"/>
              <w:rPr>
                <w:rFonts w:ascii="Arial"/>
                <w:sz w:val="21"/>
              </w:rPr>
            </w:pPr>
            <w:r/>
          </w:p>
          <w:p>
            <w:pPr>
              <w:pStyle w:val="TableText"/>
              <w:ind w:left="114"/>
              <w:spacing w:before="69" w:line="220" w:lineRule="auto"/>
              <w:rPr>
                <w:sz w:val="21"/>
                <w:szCs w:val="21"/>
              </w:rPr>
            </w:pPr>
            <w:r>
              <w:rPr>
                <w:sz w:val="21"/>
                <w:szCs w:val="21"/>
                <w:spacing w:val="-2"/>
              </w:rPr>
              <w:t>基础工程</w:t>
            </w:r>
          </w:p>
        </w:tc>
        <w:tc>
          <w:tcPr>
            <w:tcW w:w="3825" w:type="dxa"/>
            <w:vAlign w:val="top"/>
          </w:tcPr>
          <w:p>
            <w:pPr>
              <w:pStyle w:val="TableText"/>
              <w:ind w:left="11"/>
              <w:spacing w:before="38" w:line="219" w:lineRule="auto"/>
              <w:rPr>
                <w:sz w:val="21"/>
                <w:szCs w:val="21"/>
              </w:rPr>
            </w:pPr>
            <w:r>
              <w:rPr>
                <w:sz w:val="21"/>
                <w:szCs w:val="21"/>
                <w:spacing w:val="6"/>
              </w:rPr>
              <w:t>1、土壤扬撒、机动车碾压、风蚀；</w:t>
            </w:r>
          </w:p>
          <w:p>
            <w:pPr>
              <w:pStyle w:val="TableText"/>
              <w:ind w:left="11"/>
              <w:spacing w:before="22" w:line="220" w:lineRule="auto"/>
              <w:rPr>
                <w:sz w:val="21"/>
                <w:szCs w:val="21"/>
              </w:rPr>
            </w:pPr>
            <w:r>
              <w:rPr>
                <w:sz w:val="21"/>
                <w:szCs w:val="21"/>
                <w:spacing w:val="6"/>
              </w:rPr>
              <w:t>2、裸露地面、土方堆放和装卸过程；</w:t>
            </w:r>
          </w:p>
          <w:p>
            <w:pPr>
              <w:pStyle w:val="TableText"/>
              <w:ind w:left="11" w:right="325"/>
              <w:spacing w:before="17" w:line="219" w:lineRule="auto"/>
              <w:rPr>
                <w:sz w:val="21"/>
                <w:szCs w:val="21"/>
              </w:rPr>
            </w:pPr>
            <w:r>
              <w:rPr>
                <w:sz w:val="21"/>
                <w:szCs w:val="21"/>
              </w:rPr>
              <w:t>3、挖土机、打桩机、铲车、运输卡车</w:t>
            </w:r>
            <w:r>
              <w:rPr>
                <w:sz w:val="21"/>
                <w:szCs w:val="21"/>
                <w:spacing w:val="12"/>
              </w:rPr>
              <w:t xml:space="preserve"> </w:t>
            </w:r>
            <w:r>
              <w:rPr>
                <w:sz w:val="21"/>
                <w:szCs w:val="21"/>
                <w:spacing w:val="2"/>
              </w:rPr>
              <w:t>等。</w:t>
            </w:r>
          </w:p>
        </w:tc>
        <w:tc>
          <w:tcPr>
            <w:tcW w:w="1618" w:type="dxa"/>
            <w:vAlign w:val="top"/>
          </w:tcPr>
          <w:p>
            <w:pPr>
              <w:pStyle w:val="TableText"/>
              <w:ind w:left="185" w:right="156"/>
              <w:spacing w:before="172" w:line="257" w:lineRule="auto"/>
              <w:rPr>
                <w:sz w:val="21"/>
                <w:szCs w:val="21"/>
              </w:rPr>
            </w:pPr>
            <w:r>
              <w:rPr>
                <w:sz w:val="21"/>
                <w:szCs w:val="21"/>
                <w:spacing w:val="27"/>
              </w:rPr>
              <w:t>扬尘、</w:t>
            </w:r>
            <w:r>
              <w:rPr>
                <w:sz w:val="21"/>
                <w:szCs w:val="21"/>
              </w:rPr>
              <w:t>TSP</w:t>
            </w:r>
            <w:r>
              <w:rPr>
                <w:sz w:val="21"/>
                <w:szCs w:val="21"/>
                <w:spacing w:val="27"/>
              </w:rPr>
              <w:t>、</w:t>
            </w:r>
            <w:r>
              <w:rPr>
                <w:sz w:val="21"/>
                <w:szCs w:val="21"/>
                <w:spacing w:val="1"/>
              </w:rPr>
              <w:t xml:space="preserve"> </w:t>
            </w:r>
            <w:r>
              <w:rPr>
                <w:sz w:val="21"/>
                <w:szCs w:val="21"/>
                <w:spacing w:val="-1"/>
              </w:rPr>
              <w:t>CO、SO</w:t>
            </w:r>
            <w:r>
              <w:rPr>
                <w:rFonts w:ascii="Calibri" w:hAnsi="Calibri" w:eastAsia="Calibri" w:cs="Calibri"/>
                <w:sz w:val="21"/>
                <w:szCs w:val="21"/>
                <w:spacing w:val="-1"/>
              </w:rPr>
              <w:t>₂</w:t>
            </w:r>
            <w:r>
              <w:rPr>
                <w:sz w:val="21"/>
                <w:szCs w:val="21"/>
                <w:spacing w:val="-1"/>
              </w:rPr>
              <w:t>、</w:t>
            </w:r>
          </w:p>
          <w:p>
            <w:pPr>
              <w:pStyle w:val="TableText"/>
              <w:ind w:left="185"/>
              <w:spacing w:before="23" w:line="183" w:lineRule="auto"/>
              <w:rPr>
                <w:sz w:val="21"/>
                <w:szCs w:val="21"/>
              </w:rPr>
            </w:pPr>
            <w:r>
              <w:rPr>
                <w:sz w:val="21"/>
                <w:szCs w:val="21"/>
                <w:spacing w:val="-1"/>
              </w:rPr>
              <w:t>NOx、CnHm</w:t>
            </w:r>
          </w:p>
        </w:tc>
        <w:tc>
          <w:tcPr>
            <w:tcW w:w="1972" w:type="dxa"/>
            <w:vAlign w:val="top"/>
          </w:tcPr>
          <w:p>
            <w:pPr>
              <w:pStyle w:val="TableText"/>
              <w:spacing w:before="168" w:line="219" w:lineRule="auto"/>
              <w:jc w:val="right"/>
              <w:rPr>
                <w:sz w:val="21"/>
                <w:szCs w:val="21"/>
              </w:rPr>
            </w:pPr>
            <w:r>
              <w:rPr>
                <w:sz w:val="21"/>
                <w:szCs w:val="21"/>
                <w:spacing w:val="3"/>
              </w:rPr>
              <w:t>风速、机动车数量、</w:t>
            </w:r>
          </w:p>
          <w:p>
            <w:pPr>
              <w:pStyle w:val="TableText"/>
              <w:ind w:left="37"/>
              <w:spacing w:before="32" w:line="219" w:lineRule="auto"/>
              <w:rPr>
                <w:sz w:val="21"/>
                <w:szCs w:val="21"/>
              </w:rPr>
            </w:pPr>
            <w:r>
              <w:rPr>
                <w:sz w:val="21"/>
                <w:szCs w:val="21"/>
                <w:spacing w:val="-1"/>
              </w:rPr>
              <w:t>速度、土壤粒径及含</w:t>
            </w:r>
          </w:p>
          <w:p>
            <w:pPr>
              <w:pStyle w:val="TableText"/>
              <w:ind w:left="607"/>
              <w:spacing w:before="20" w:line="219" w:lineRule="auto"/>
              <w:rPr>
                <w:sz w:val="21"/>
                <w:szCs w:val="21"/>
              </w:rPr>
            </w:pPr>
            <w:r>
              <w:rPr>
                <w:sz w:val="21"/>
                <w:szCs w:val="21"/>
                <w:spacing w:val="1"/>
              </w:rPr>
              <w:t>水率等。</w:t>
            </w:r>
          </w:p>
        </w:tc>
      </w:tr>
      <w:tr>
        <w:trPr>
          <w:trHeight w:val="817" w:hRule="atLeast"/>
        </w:trPr>
        <w:tc>
          <w:tcPr>
            <w:tcW w:w="1084" w:type="dxa"/>
            <w:vAlign w:val="top"/>
          </w:tcPr>
          <w:p>
            <w:pPr>
              <w:spacing w:line="244" w:lineRule="auto"/>
              <w:rPr>
                <w:rFonts w:ascii="Arial"/>
                <w:sz w:val="21"/>
              </w:rPr>
            </w:pPr>
            <w:r/>
          </w:p>
          <w:p>
            <w:pPr>
              <w:pStyle w:val="TableText"/>
              <w:ind w:left="114"/>
              <w:spacing w:before="68" w:line="220" w:lineRule="auto"/>
              <w:rPr>
                <w:sz w:val="21"/>
                <w:szCs w:val="21"/>
              </w:rPr>
            </w:pPr>
            <w:r>
              <w:rPr>
                <w:sz w:val="21"/>
                <w:szCs w:val="21"/>
                <w:spacing w:val="-2"/>
              </w:rPr>
              <w:t>主体工程</w:t>
            </w:r>
          </w:p>
        </w:tc>
        <w:tc>
          <w:tcPr>
            <w:tcW w:w="3825" w:type="dxa"/>
            <w:vAlign w:val="top"/>
          </w:tcPr>
          <w:p>
            <w:pPr>
              <w:pStyle w:val="TableText"/>
              <w:ind w:left="11" w:right="116"/>
              <w:spacing w:before="32" w:line="233" w:lineRule="auto"/>
              <w:rPr>
                <w:sz w:val="21"/>
                <w:szCs w:val="21"/>
              </w:rPr>
            </w:pPr>
            <w:r>
              <w:rPr>
                <w:sz w:val="21"/>
                <w:szCs w:val="21"/>
              </w:rPr>
              <w:t>1、建材堆放和装卸过程、加料过程，进</w:t>
            </w:r>
            <w:r>
              <w:rPr>
                <w:sz w:val="21"/>
                <w:szCs w:val="21"/>
                <w:spacing w:val="11"/>
              </w:rPr>
              <w:t xml:space="preserve"> </w:t>
            </w:r>
            <w:r>
              <w:rPr>
                <w:sz w:val="21"/>
                <w:szCs w:val="21"/>
                <w:spacing w:val="17"/>
              </w:rPr>
              <w:t>出场地车辆；</w:t>
            </w:r>
          </w:p>
          <w:p>
            <w:pPr>
              <w:pStyle w:val="TableText"/>
              <w:ind w:left="11"/>
              <w:spacing w:before="20" w:line="196" w:lineRule="auto"/>
              <w:rPr>
                <w:sz w:val="21"/>
                <w:szCs w:val="21"/>
              </w:rPr>
            </w:pPr>
            <w:r>
              <w:rPr>
                <w:sz w:val="21"/>
                <w:szCs w:val="21"/>
                <w:spacing w:val="-1"/>
              </w:rPr>
              <w:t>2、运输卡车等。</w:t>
            </w:r>
          </w:p>
        </w:tc>
        <w:tc>
          <w:tcPr>
            <w:tcW w:w="1618" w:type="dxa"/>
            <w:vAlign w:val="top"/>
          </w:tcPr>
          <w:p>
            <w:pPr>
              <w:pStyle w:val="TableText"/>
              <w:ind w:left="185" w:right="156"/>
              <w:spacing w:before="36" w:line="263" w:lineRule="auto"/>
              <w:rPr>
                <w:sz w:val="21"/>
                <w:szCs w:val="21"/>
              </w:rPr>
            </w:pPr>
            <w:r>
              <w:rPr>
                <w:sz w:val="21"/>
                <w:szCs w:val="21"/>
                <w:spacing w:val="27"/>
              </w:rPr>
              <w:t>扬尘、</w:t>
            </w:r>
            <w:r>
              <w:rPr>
                <w:sz w:val="21"/>
                <w:szCs w:val="21"/>
              </w:rPr>
              <w:t>TSP</w:t>
            </w:r>
            <w:r>
              <w:rPr>
                <w:sz w:val="21"/>
                <w:szCs w:val="21"/>
                <w:spacing w:val="27"/>
              </w:rPr>
              <w:t>、</w:t>
            </w:r>
            <w:r>
              <w:rPr>
                <w:sz w:val="21"/>
                <w:szCs w:val="21"/>
                <w:spacing w:val="1"/>
              </w:rPr>
              <w:t xml:space="preserve"> </w:t>
            </w:r>
            <w:r>
              <w:rPr>
                <w:sz w:val="21"/>
                <w:szCs w:val="21"/>
                <w:spacing w:val="-1"/>
              </w:rPr>
              <w:t>CO、SO</w:t>
            </w:r>
            <w:r>
              <w:rPr>
                <w:rFonts w:ascii="Calibri" w:hAnsi="Calibri" w:eastAsia="Calibri" w:cs="Calibri"/>
                <w:sz w:val="21"/>
                <w:szCs w:val="21"/>
                <w:spacing w:val="-1"/>
              </w:rPr>
              <w:t>₂</w:t>
            </w:r>
            <w:r>
              <w:rPr>
                <w:sz w:val="21"/>
                <w:szCs w:val="21"/>
                <w:spacing w:val="-1"/>
              </w:rPr>
              <w:t>、</w:t>
            </w:r>
          </w:p>
          <w:p>
            <w:pPr>
              <w:pStyle w:val="TableText"/>
              <w:ind w:left="185"/>
              <w:spacing w:line="172" w:lineRule="exact"/>
              <w:rPr>
                <w:sz w:val="21"/>
                <w:szCs w:val="21"/>
              </w:rPr>
            </w:pPr>
            <w:r>
              <w:rPr>
                <w:sz w:val="21"/>
                <w:szCs w:val="21"/>
                <w:spacing w:val="-1"/>
                <w:position w:val="-2"/>
              </w:rPr>
              <w:t>NOx、CnHm</w:t>
            </w:r>
          </w:p>
        </w:tc>
        <w:tc>
          <w:tcPr>
            <w:tcW w:w="1972" w:type="dxa"/>
            <w:vAlign w:val="top"/>
          </w:tcPr>
          <w:p>
            <w:pPr>
              <w:pStyle w:val="TableText"/>
              <w:spacing w:before="32" w:line="219" w:lineRule="auto"/>
              <w:jc w:val="right"/>
              <w:rPr>
                <w:sz w:val="21"/>
                <w:szCs w:val="21"/>
              </w:rPr>
            </w:pPr>
            <w:r>
              <w:rPr>
                <w:sz w:val="21"/>
                <w:szCs w:val="21"/>
                <w:spacing w:val="3"/>
              </w:rPr>
              <w:t>风速、机动车数量、</w:t>
            </w:r>
          </w:p>
          <w:p>
            <w:pPr>
              <w:pStyle w:val="TableText"/>
              <w:ind w:left="37"/>
              <w:spacing w:before="32" w:line="219" w:lineRule="auto"/>
              <w:rPr>
                <w:sz w:val="21"/>
                <w:szCs w:val="21"/>
              </w:rPr>
            </w:pPr>
            <w:r>
              <w:rPr>
                <w:sz w:val="21"/>
                <w:szCs w:val="21"/>
                <w:spacing w:val="-1"/>
              </w:rPr>
              <w:t>速度、土壤粒径及含</w:t>
            </w:r>
          </w:p>
          <w:p>
            <w:pPr>
              <w:pStyle w:val="TableText"/>
              <w:ind w:left="607"/>
              <w:spacing w:before="20" w:line="196" w:lineRule="auto"/>
              <w:rPr>
                <w:sz w:val="21"/>
                <w:szCs w:val="21"/>
              </w:rPr>
            </w:pPr>
            <w:r>
              <w:rPr>
                <w:sz w:val="21"/>
                <w:szCs w:val="21"/>
                <w:spacing w:val="1"/>
              </w:rPr>
              <w:t>水率等。</w:t>
            </w:r>
          </w:p>
        </w:tc>
      </w:tr>
      <w:tr>
        <w:trPr>
          <w:trHeight w:val="813" w:hRule="atLeast"/>
        </w:trPr>
        <w:tc>
          <w:tcPr>
            <w:tcW w:w="1084" w:type="dxa"/>
            <w:vAlign w:val="top"/>
          </w:tcPr>
          <w:p>
            <w:pPr>
              <w:pStyle w:val="TableText"/>
              <w:ind w:left="214" w:right="127" w:hanging="100"/>
              <w:spacing w:before="176" w:line="223" w:lineRule="auto"/>
              <w:rPr>
                <w:sz w:val="21"/>
                <w:szCs w:val="21"/>
              </w:rPr>
            </w:pPr>
            <w:r>
              <w:rPr>
                <w:sz w:val="21"/>
                <w:szCs w:val="21"/>
                <w:spacing w:val="-3"/>
              </w:rPr>
              <w:t>装修、绿</w:t>
            </w:r>
            <w:r>
              <w:rPr>
                <w:sz w:val="21"/>
                <w:szCs w:val="21"/>
                <w:spacing w:val="2"/>
              </w:rPr>
              <w:t xml:space="preserve"> </w:t>
            </w:r>
            <w:r>
              <w:rPr>
                <w:sz w:val="21"/>
                <w:szCs w:val="21"/>
                <w:spacing w:val="-3"/>
              </w:rPr>
              <w:t>化工程</w:t>
            </w:r>
          </w:p>
        </w:tc>
        <w:tc>
          <w:tcPr>
            <w:tcW w:w="3825" w:type="dxa"/>
            <w:vAlign w:val="top"/>
          </w:tcPr>
          <w:p>
            <w:pPr>
              <w:pStyle w:val="TableText"/>
              <w:ind w:left="11" w:right="112"/>
              <w:spacing w:before="36" w:line="220" w:lineRule="auto"/>
              <w:rPr>
                <w:sz w:val="21"/>
                <w:szCs w:val="21"/>
              </w:rPr>
            </w:pPr>
            <w:r>
              <w:rPr>
                <w:sz w:val="21"/>
                <w:szCs w:val="21"/>
              </w:rPr>
              <w:t>1、建材堆场、建材装卸、地面和道路扬</w:t>
            </w:r>
            <w:r>
              <w:rPr>
                <w:sz w:val="21"/>
                <w:szCs w:val="21"/>
                <w:spacing w:val="15"/>
              </w:rPr>
              <w:t xml:space="preserve"> </w:t>
            </w:r>
            <w:r>
              <w:rPr>
                <w:sz w:val="21"/>
                <w:szCs w:val="21"/>
                <w:spacing w:val="-7"/>
              </w:rPr>
              <w:t>尘</w:t>
            </w:r>
            <w:r>
              <w:rPr>
                <w:sz w:val="21"/>
                <w:szCs w:val="21"/>
                <w:spacing w:val="-13"/>
              </w:rPr>
              <w:t xml:space="preserve"> </w:t>
            </w:r>
            <w:r>
              <w:rPr>
                <w:sz w:val="21"/>
                <w:szCs w:val="21"/>
                <w:spacing w:val="-7"/>
              </w:rPr>
              <w:t>等</w:t>
            </w:r>
            <w:r>
              <w:rPr>
                <w:sz w:val="21"/>
                <w:szCs w:val="21"/>
                <w:spacing w:val="-23"/>
              </w:rPr>
              <w:t xml:space="preserve"> </w:t>
            </w:r>
            <w:r>
              <w:rPr>
                <w:sz w:val="21"/>
                <w:szCs w:val="21"/>
                <w:spacing w:val="-7"/>
              </w:rPr>
              <w:t>；</w:t>
            </w:r>
          </w:p>
          <w:p>
            <w:pPr>
              <w:pStyle w:val="TableText"/>
              <w:ind w:left="11"/>
              <w:spacing w:line="219" w:lineRule="auto"/>
              <w:rPr>
                <w:sz w:val="21"/>
                <w:szCs w:val="21"/>
              </w:rPr>
            </w:pPr>
            <w:r>
              <w:rPr>
                <w:sz w:val="21"/>
                <w:szCs w:val="21"/>
              </w:rPr>
              <w:t>2、装修。</w:t>
            </w:r>
          </w:p>
        </w:tc>
        <w:tc>
          <w:tcPr>
            <w:tcW w:w="1618" w:type="dxa"/>
            <w:vAlign w:val="top"/>
          </w:tcPr>
          <w:p>
            <w:pPr>
              <w:pStyle w:val="TableText"/>
              <w:ind w:left="185" w:right="156"/>
              <w:spacing w:before="39" w:line="257" w:lineRule="auto"/>
              <w:rPr>
                <w:sz w:val="21"/>
                <w:szCs w:val="21"/>
              </w:rPr>
            </w:pPr>
            <w:r>
              <w:rPr>
                <w:sz w:val="21"/>
                <w:szCs w:val="21"/>
                <w:spacing w:val="27"/>
              </w:rPr>
              <w:t>扬尘、</w:t>
            </w:r>
            <w:r>
              <w:rPr>
                <w:sz w:val="21"/>
                <w:szCs w:val="21"/>
              </w:rPr>
              <w:t>TSP</w:t>
            </w:r>
            <w:r>
              <w:rPr>
                <w:sz w:val="21"/>
                <w:szCs w:val="21"/>
                <w:spacing w:val="27"/>
              </w:rPr>
              <w:t>、</w:t>
            </w:r>
            <w:r>
              <w:rPr>
                <w:sz w:val="21"/>
                <w:szCs w:val="21"/>
                <w:spacing w:val="1"/>
              </w:rPr>
              <w:t xml:space="preserve"> </w:t>
            </w:r>
            <w:r>
              <w:rPr>
                <w:sz w:val="21"/>
                <w:szCs w:val="21"/>
                <w:spacing w:val="-1"/>
              </w:rPr>
              <w:t>CO、SO</w:t>
            </w:r>
            <w:r>
              <w:rPr>
                <w:rFonts w:ascii="Calibri" w:hAnsi="Calibri" w:eastAsia="Calibri" w:cs="Calibri"/>
                <w:sz w:val="21"/>
                <w:szCs w:val="21"/>
                <w:spacing w:val="-1"/>
              </w:rPr>
              <w:t>₂</w:t>
            </w:r>
            <w:r>
              <w:rPr>
                <w:sz w:val="21"/>
                <w:szCs w:val="21"/>
                <w:spacing w:val="-1"/>
              </w:rPr>
              <w:t>、</w:t>
            </w:r>
          </w:p>
          <w:p>
            <w:pPr>
              <w:pStyle w:val="TableText"/>
              <w:ind w:left="185"/>
              <w:spacing w:before="3" w:line="175" w:lineRule="exact"/>
              <w:rPr>
                <w:sz w:val="21"/>
                <w:szCs w:val="21"/>
              </w:rPr>
            </w:pPr>
            <w:r>
              <w:rPr>
                <w:sz w:val="21"/>
                <w:szCs w:val="21"/>
                <w:spacing w:val="-1"/>
                <w:position w:val="-2"/>
              </w:rPr>
              <w:t>NOx、CnHm</w:t>
            </w:r>
          </w:p>
        </w:tc>
        <w:tc>
          <w:tcPr>
            <w:tcW w:w="1972" w:type="dxa"/>
            <w:vAlign w:val="top"/>
          </w:tcPr>
          <w:p>
            <w:pPr>
              <w:pStyle w:val="TableText"/>
              <w:ind w:left="37"/>
              <w:spacing w:before="35" w:line="225" w:lineRule="auto"/>
              <w:jc w:val="both"/>
              <w:rPr>
                <w:sz w:val="21"/>
                <w:szCs w:val="21"/>
              </w:rPr>
            </w:pPr>
            <w:r>
              <w:rPr>
                <w:sz w:val="21"/>
                <w:szCs w:val="21"/>
                <w:spacing w:val="3"/>
              </w:rPr>
              <w:t>风速、机动车数量、</w:t>
            </w:r>
            <w:r>
              <w:rPr>
                <w:sz w:val="21"/>
                <w:szCs w:val="21"/>
                <w:spacing w:val="6"/>
              </w:rPr>
              <w:t xml:space="preserve"> </w:t>
            </w:r>
            <w:r>
              <w:rPr>
                <w:sz w:val="21"/>
                <w:szCs w:val="21"/>
                <w:spacing w:val="-9"/>
              </w:rPr>
              <w:t>速度、土壤粒径及含</w:t>
            </w:r>
            <w:r>
              <w:rPr>
                <w:sz w:val="21"/>
                <w:szCs w:val="21"/>
                <w:spacing w:val="2"/>
              </w:rPr>
              <w:t xml:space="preserve">  </w:t>
            </w:r>
            <w:r>
              <w:rPr>
                <w:sz w:val="21"/>
                <w:szCs w:val="21"/>
                <w:spacing w:val="-2"/>
              </w:rPr>
              <w:t>水率、油漆种类等。</w:t>
            </w:r>
          </w:p>
        </w:tc>
      </w:tr>
    </w:tbl>
    <w:p>
      <w:pPr>
        <w:ind w:left="608"/>
        <w:spacing w:before="64" w:line="221" w:lineRule="auto"/>
        <w:rPr>
          <w:rFonts w:ascii="SimSun" w:hAnsi="SimSun" w:eastAsia="SimSun" w:cs="SimSun"/>
          <w:sz w:val="24"/>
          <w:szCs w:val="24"/>
        </w:rPr>
      </w:pPr>
      <w:r>
        <w:rPr>
          <w:rFonts w:ascii="SimSun" w:hAnsi="SimSun" w:eastAsia="SimSun" w:cs="SimSun"/>
          <w:sz w:val="24"/>
          <w:szCs w:val="24"/>
          <w:b/>
          <w:bCs/>
          <w:spacing w:val="-3"/>
        </w:rPr>
        <w:t>1、施工扬尘</w:t>
      </w:r>
    </w:p>
    <w:p>
      <w:pPr>
        <w:ind w:left="94" w:right="97" w:firstLine="480"/>
        <w:spacing w:before="229" w:line="387" w:lineRule="auto"/>
        <w:jc w:val="both"/>
        <w:rPr>
          <w:rFonts w:ascii="SimSun" w:hAnsi="SimSun" w:eastAsia="SimSun" w:cs="SimSun"/>
          <w:sz w:val="22"/>
          <w:szCs w:val="22"/>
        </w:rPr>
      </w:pPr>
      <w:r>
        <w:rPr>
          <w:rFonts w:ascii="SimSun" w:hAnsi="SimSun" w:eastAsia="SimSun" w:cs="SimSun"/>
          <w:sz w:val="22"/>
          <w:szCs w:val="22"/>
          <w:spacing w:val="25"/>
        </w:rPr>
        <w:t>施工期间对大气环境影响最主要的是粉尘。干燥地表的开挖和钻</w:t>
      </w:r>
      <w:r>
        <w:rPr>
          <w:rFonts w:ascii="SimSun" w:hAnsi="SimSun" w:eastAsia="SimSun" w:cs="SimSun"/>
          <w:sz w:val="22"/>
          <w:szCs w:val="22"/>
          <w:spacing w:val="24"/>
        </w:rPr>
        <w:t>孔产生的</w:t>
      </w:r>
      <w:r>
        <w:rPr>
          <w:rFonts w:ascii="SimSun" w:hAnsi="SimSun" w:eastAsia="SimSun" w:cs="SimSun"/>
          <w:sz w:val="22"/>
          <w:szCs w:val="22"/>
        </w:rPr>
        <w:t xml:space="preserve"> </w:t>
      </w:r>
      <w:r>
        <w:rPr>
          <w:rFonts w:ascii="SimSun" w:hAnsi="SimSun" w:eastAsia="SimSun" w:cs="SimSun"/>
          <w:sz w:val="22"/>
          <w:szCs w:val="22"/>
          <w:spacing w:val="22"/>
        </w:rPr>
        <w:t>粉尘，</w:t>
      </w:r>
      <w:r>
        <w:rPr>
          <w:rFonts w:ascii="SimSun" w:hAnsi="SimSun" w:eastAsia="SimSun" w:cs="SimSun"/>
          <w:sz w:val="22"/>
          <w:szCs w:val="22"/>
          <w:spacing w:val="-26"/>
        </w:rPr>
        <w:t xml:space="preserve"> </w:t>
      </w:r>
      <w:r>
        <w:rPr>
          <w:rFonts w:ascii="SimSun" w:hAnsi="SimSun" w:eastAsia="SimSun" w:cs="SimSun"/>
          <w:sz w:val="22"/>
          <w:szCs w:val="22"/>
          <w:spacing w:val="22"/>
        </w:rPr>
        <w:t>一部分悬浮于空中，另一部分随风飘落到附近地面和建筑物表面；开挖</w:t>
      </w:r>
      <w:r>
        <w:rPr>
          <w:rFonts w:ascii="SimSun" w:hAnsi="SimSun" w:eastAsia="SimSun" w:cs="SimSun"/>
          <w:sz w:val="22"/>
          <w:szCs w:val="22"/>
        </w:rPr>
        <w:t xml:space="preserve"> </w:t>
      </w:r>
      <w:r>
        <w:rPr>
          <w:rFonts w:ascii="SimSun" w:hAnsi="SimSun" w:eastAsia="SimSun" w:cs="SimSun"/>
          <w:sz w:val="22"/>
          <w:szCs w:val="22"/>
          <w:spacing w:val="22"/>
        </w:rPr>
        <w:t>的泥土堆砌过程中，在风力较大时，会产生粉尘扬起；而装卸和运输过程中，</w:t>
      </w:r>
      <w:r>
        <w:rPr>
          <w:rFonts w:ascii="SimSun" w:hAnsi="SimSun" w:eastAsia="SimSun" w:cs="SimSun"/>
          <w:sz w:val="22"/>
          <w:szCs w:val="22"/>
          <w:spacing w:val="10"/>
        </w:rPr>
        <w:t xml:space="preserve"> </w:t>
      </w:r>
      <w:r>
        <w:rPr>
          <w:rFonts w:ascii="SimSun" w:hAnsi="SimSun" w:eastAsia="SimSun" w:cs="SimSun"/>
          <w:sz w:val="22"/>
          <w:szCs w:val="22"/>
          <w:spacing w:val="24"/>
        </w:rPr>
        <w:t>会造成部分粉尘扬起和洒落；雨水冲刷夹带的泥土散布路面，晒干后因车辆的</w:t>
      </w:r>
      <w:r>
        <w:rPr>
          <w:rFonts w:ascii="SimSun" w:hAnsi="SimSun" w:eastAsia="SimSun" w:cs="SimSun"/>
          <w:sz w:val="22"/>
          <w:szCs w:val="22"/>
        </w:rPr>
        <w:t xml:space="preserve"> </w:t>
      </w:r>
      <w:r>
        <w:rPr>
          <w:rFonts w:ascii="SimSun" w:hAnsi="SimSun" w:eastAsia="SimSun" w:cs="SimSun"/>
          <w:sz w:val="22"/>
          <w:szCs w:val="22"/>
          <w:spacing w:val="24"/>
        </w:rPr>
        <w:t>移动或刮风再次扬尘；开挖的回填过程中也会引起大量粉尘飞扬；建筑材料的</w:t>
      </w:r>
      <w:r>
        <w:rPr>
          <w:rFonts w:ascii="SimSun" w:hAnsi="SimSun" w:eastAsia="SimSun" w:cs="SimSun"/>
          <w:sz w:val="22"/>
          <w:szCs w:val="22"/>
        </w:rPr>
        <w:t xml:space="preserve"> </w:t>
      </w:r>
      <w:r>
        <w:rPr>
          <w:rFonts w:ascii="SimSun" w:hAnsi="SimSun" w:eastAsia="SimSun" w:cs="SimSun"/>
          <w:sz w:val="22"/>
          <w:szCs w:val="22"/>
          <w:spacing w:val="24"/>
        </w:rPr>
        <w:t>装卸、运输、堆砌过程中也必然引起洒落及飞扬。根据分析，影响施工扬尘产</w:t>
      </w:r>
      <w:r>
        <w:rPr>
          <w:rFonts w:ascii="SimSun" w:hAnsi="SimSun" w:eastAsia="SimSun" w:cs="SimSun"/>
          <w:sz w:val="22"/>
          <w:szCs w:val="22"/>
          <w:spacing w:val="16"/>
        </w:rPr>
        <w:t xml:space="preserve"> </w:t>
      </w:r>
      <w:r>
        <w:rPr>
          <w:rFonts w:ascii="SimSun" w:hAnsi="SimSun" w:eastAsia="SimSun" w:cs="SimSun"/>
          <w:sz w:val="22"/>
          <w:szCs w:val="22"/>
          <w:spacing w:val="13"/>
        </w:rPr>
        <w:t>生量的因素主要有：</w:t>
      </w:r>
    </w:p>
    <w:p>
      <w:pPr>
        <w:ind w:left="575"/>
        <w:spacing w:before="52" w:line="217" w:lineRule="auto"/>
        <w:rPr>
          <w:rFonts w:ascii="SimSun" w:hAnsi="SimSun" w:eastAsia="SimSun" w:cs="SimSun"/>
          <w:sz w:val="22"/>
          <w:szCs w:val="22"/>
        </w:rPr>
      </w:pPr>
      <w:r>
        <w:rPr>
          <w:rFonts w:ascii="SimSun" w:hAnsi="SimSun" w:eastAsia="SimSun" w:cs="SimSun"/>
          <w:sz w:val="22"/>
          <w:szCs w:val="22"/>
          <w:spacing w:val="18"/>
        </w:rPr>
        <w:t>①土壤或建筑材料的含水量，含水量高的材料不易飞扬；</w:t>
      </w:r>
    </w:p>
    <w:p>
      <w:pPr>
        <w:ind w:left="94" w:right="103" w:firstLine="480"/>
        <w:spacing w:before="201" w:line="297" w:lineRule="auto"/>
        <w:rPr>
          <w:rFonts w:ascii="SimSun" w:hAnsi="SimSun" w:eastAsia="SimSun" w:cs="SimSun"/>
          <w:sz w:val="22"/>
          <w:szCs w:val="22"/>
        </w:rPr>
      </w:pPr>
      <w:r>
        <w:rPr>
          <w:rFonts w:ascii="SimSun" w:hAnsi="SimSun" w:eastAsia="SimSun" w:cs="SimSun"/>
          <w:sz w:val="22"/>
          <w:szCs w:val="22"/>
          <w:spacing w:val="25"/>
        </w:rPr>
        <w:t>②土壤或建筑材料的粒径大小，颗粒粒径越大，越</w:t>
      </w:r>
      <w:r>
        <w:rPr>
          <w:rFonts w:ascii="SimSun" w:hAnsi="SimSun" w:eastAsia="SimSun" w:cs="SimSun"/>
          <w:sz w:val="22"/>
          <w:szCs w:val="22"/>
          <w:spacing w:val="24"/>
        </w:rPr>
        <w:t>不易飞扬。土壤颗粒物</w:t>
      </w:r>
      <w:r>
        <w:rPr>
          <w:rFonts w:ascii="SimSun" w:hAnsi="SimSun" w:eastAsia="SimSun" w:cs="SimSun"/>
          <w:sz w:val="22"/>
          <w:szCs w:val="22"/>
        </w:rPr>
        <w:t xml:space="preserve"> </w:t>
      </w:r>
      <w:r>
        <w:rPr>
          <w:rFonts w:ascii="SimSun" w:hAnsi="SimSun" w:eastAsia="SimSun" w:cs="SimSun"/>
          <w:sz w:val="22"/>
          <w:szCs w:val="22"/>
          <w:spacing w:val="21"/>
        </w:rPr>
        <w:t>的粒径分布大致为：&gt;0.1</w:t>
      </w:r>
      <w:r>
        <w:rPr>
          <w:rFonts w:ascii="Times New Roman" w:hAnsi="Times New Roman" w:eastAsia="Times New Roman" w:cs="Times New Roman"/>
          <w:sz w:val="22"/>
          <w:szCs w:val="22"/>
        </w:rPr>
        <w:t>mm</w:t>
      </w:r>
      <w:r>
        <w:rPr>
          <w:rFonts w:ascii="Times New Roman" w:hAnsi="Times New Roman" w:eastAsia="Times New Roman" w:cs="Times New Roman"/>
          <w:sz w:val="22"/>
          <w:szCs w:val="22"/>
          <w:spacing w:val="21"/>
        </w:rPr>
        <w:t xml:space="preserve"> </w:t>
      </w:r>
      <w:r>
        <w:rPr>
          <w:rFonts w:ascii="SimSun" w:hAnsi="SimSun" w:eastAsia="SimSun" w:cs="SimSun"/>
          <w:sz w:val="22"/>
          <w:szCs w:val="22"/>
          <w:spacing w:val="21"/>
        </w:rPr>
        <w:t>的占76%,粒径在0.05～0.</w:t>
      </w:r>
      <w:r>
        <w:rPr>
          <w:rFonts w:ascii="SimSun" w:hAnsi="SimSun" w:eastAsia="SimSun" w:cs="SimSun"/>
          <w:sz w:val="22"/>
          <w:szCs w:val="22"/>
          <w:spacing w:val="-63"/>
        </w:rPr>
        <w:t xml:space="preserve"> </w:t>
      </w:r>
      <w:r>
        <w:rPr>
          <w:rFonts w:ascii="SimSun" w:hAnsi="SimSun" w:eastAsia="SimSun" w:cs="SimSun"/>
          <w:sz w:val="22"/>
          <w:szCs w:val="22"/>
          <w:spacing w:val="21"/>
        </w:rPr>
        <w:t>10</w:t>
      </w:r>
      <w:r>
        <w:rPr>
          <w:rFonts w:ascii="Times New Roman" w:hAnsi="Times New Roman" w:eastAsia="Times New Roman" w:cs="Times New Roman"/>
          <w:sz w:val="22"/>
          <w:szCs w:val="22"/>
        </w:rPr>
        <w:t>mm</w:t>
      </w:r>
      <w:r>
        <w:rPr>
          <w:rFonts w:ascii="Times New Roman" w:hAnsi="Times New Roman" w:eastAsia="Times New Roman" w:cs="Times New Roman"/>
          <w:sz w:val="22"/>
          <w:szCs w:val="22"/>
          <w:spacing w:val="-5"/>
        </w:rPr>
        <w:t xml:space="preserve"> </w:t>
      </w:r>
      <w:r>
        <w:rPr>
          <w:rFonts w:ascii="SimSun" w:hAnsi="SimSun" w:eastAsia="SimSun" w:cs="SimSun"/>
          <w:sz w:val="22"/>
          <w:szCs w:val="22"/>
          <w:spacing w:val="21"/>
        </w:rPr>
        <w:t>的占</w:t>
      </w:r>
      <w:r>
        <w:rPr>
          <w:rFonts w:ascii="SimSun" w:hAnsi="SimSun" w:eastAsia="SimSun" w:cs="SimSun"/>
          <w:sz w:val="22"/>
          <w:szCs w:val="22"/>
          <w:spacing w:val="20"/>
        </w:rPr>
        <w:t>15%,粒径在</w:t>
      </w:r>
    </w:p>
    <w:p>
      <w:pPr>
        <w:ind w:left="94" w:right="101"/>
        <w:spacing w:before="230" w:line="323" w:lineRule="auto"/>
        <w:rPr>
          <w:rFonts w:ascii="SimSun" w:hAnsi="SimSun" w:eastAsia="SimSun" w:cs="SimSun"/>
          <w:sz w:val="22"/>
          <w:szCs w:val="22"/>
        </w:rPr>
      </w:pPr>
      <w:r>
        <w:rPr>
          <w:rFonts w:ascii="Times New Roman" w:hAnsi="Times New Roman" w:eastAsia="Times New Roman" w:cs="Times New Roman"/>
          <w:sz w:val="22"/>
          <w:szCs w:val="22"/>
          <w:spacing w:val="17"/>
        </w:rPr>
        <w:t>0.03</w:t>
      </w:r>
      <w:r>
        <w:rPr>
          <w:rFonts w:ascii="SimSun" w:hAnsi="SimSun" w:eastAsia="SimSun" w:cs="SimSun"/>
          <w:sz w:val="22"/>
          <w:szCs w:val="22"/>
          <w:spacing w:val="17"/>
        </w:rPr>
        <w:t>～</w:t>
      </w:r>
      <w:r>
        <w:rPr>
          <w:rFonts w:ascii="Times New Roman" w:hAnsi="Times New Roman" w:eastAsia="Times New Roman" w:cs="Times New Roman"/>
          <w:sz w:val="22"/>
          <w:szCs w:val="22"/>
          <w:spacing w:val="17"/>
        </w:rPr>
        <w:t>0.05</w:t>
      </w:r>
      <w:r>
        <w:rPr>
          <w:rFonts w:ascii="Times New Roman" w:hAnsi="Times New Roman" w:eastAsia="Times New Roman" w:cs="Times New Roman"/>
          <w:sz w:val="22"/>
          <w:szCs w:val="22"/>
        </w:rPr>
        <w:t>mm</w:t>
      </w:r>
      <w:r>
        <w:rPr>
          <w:rFonts w:ascii="Times New Roman" w:hAnsi="Times New Roman" w:eastAsia="Times New Roman" w:cs="Times New Roman"/>
          <w:sz w:val="22"/>
          <w:szCs w:val="22"/>
          <w:spacing w:val="17"/>
        </w:rPr>
        <w:t xml:space="preserve">  </w:t>
      </w:r>
      <w:r>
        <w:rPr>
          <w:rFonts w:ascii="SimSun" w:hAnsi="SimSun" w:eastAsia="SimSun" w:cs="SimSun"/>
          <w:sz w:val="22"/>
          <w:szCs w:val="22"/>
          <w:spacing w:val="17"/>
        </w:rPr>
        <w:t>的占5%,粒径&lt;0</w:t>
      </w:r>
      <w:r>
        <w:rPr>
          <w:rFonts w:ascii="SimSun" w:hAnsi="SimSun" w:eastAsia="SimSun" w:cs="SimSun"/>
          <w:sz w:val="22"/>
          <w:szCs w:val="22"/>
          <w:spacing w:val="-57"/>
        </w:rPr>
        <w:t xml:space="preserve"> </w:t>
      </w:r>
      <w:r>
        <w:rPr>
          <w:rFonts w:ascii="SimSun" w:hAnsi="SimSun" w:eastAsia="SimSun" w:cs="SimSun"/>
          <w:sz w:val="22"/>
          <w:szCs w:val="22"/>
          <w:spacing w:val="17"/>
        </w:rPr>
        <w:t>.03</w:t>
      </w:r>
      <w:r>
        <w:rPr>
          <w:rFonts w:ascii="Times New Roman" w:hAnsi="Times New Roman" w:eastAsia="Times New Roman" w:cs="Times New Roman"/>
          <w:sz w:val="22"/>
          <w:szCs w:val="22"/>
        </w:rPr>
        <w:t>mm</w:t>
      </w:r>
      <w:r>
        <w:rPr>
          <w:rFonts w:ascii="Times New Roman" w:hAnsi="Times New Roman" w:eastAsia="Times New Roman" w:cs="Times New Roman"/>
          <w:sz w:val="22"/>
          <w:szCs w:val="22"/>
          <w:spacing w:val="-15"/>
        </w:rPr>
        <w:t xml:space="preserve"> </w:t>
      </w:r>
      <w:r>
        <w:rPr>
          <w:rFonts w:ascii="SimSun" w:hAnsi="SimSun" w:eastAsia="SimSun" w:cs="SimSun"/>
          <w:sz w:val="22"/>
          <w:szCs w:val="22"/>
          <w:spacing w:val="17"/>
        </w:rPr>
        <w:t>的占4%。在没有风力的作用下，粒径小于</w:t>
      </w:r>
      <w:r>
        <w:rPr>
          <w:rFonts w:ascii="SimSun" w:hAnsi="SimSun" w:eastAsia="SimSun" w:cs="SimSun"/>
          <w:sz w:val="22"/>
          <w:szCs w:val="22"/>
        </w:rPr>
        <w:t xml:space="preserve"> </w:t>
      </w:r>
      <w:r>
        <w:rPr>
          <w:rFonts w:ascii="Times New Roman" w:hAnsi="Times New Roman" w:eastAsia="Times New Roman" w:cs="Times New Roman"/>
          <w:sz w:val="22"/>
          <w:szCs w:val="22"/>
          <w:spacing w:val="10"/>
        </w:rPr>
        <w:t>0.015</w:t>
      </w:r>
      <w:r>
        <w:rPr>
          <w:rFonts w:ascii="Times New Roman" w:hAnsi="Times New Roman" w:eastAsia="Times New Roman" w:cs="Times New Roman"/>
          <w:sz w:val="22"/>
          <w:szCs w:val="22"/>
        </w:rPr>
        <w:t>mm</w:t>
      </w:r>
      <w:r>
        <w:rPr>
          <w:rFonts w:ascii="Times New Roman" w:hAnsi="Times New Roman" w:eastAsia="Times New Roman" w:cs="Times New Roman"/>
          <w:sz w:val="22"/>
          <w:szCs w:val="22"/>
          <w:spacing w:val="47"/>
        </w:rPr>
        <w:t xml:space="preserve"> </w:t>
      </w:r>
      <w:r>
        <w:rPr>
          <w:rFonts w:ascii="SimSun" w:hAnsi="SimSun" w:eastAsia="SimSun" w:cs="SimSun"/>
          <w:sz w:val="22"/>
          <w:szCs w:val="22"/>
          <w:spacing w:val="10"/>
        </w:rPr>
        <w:t>的颗粒物能够飞扬，当风速为3～5</w:t>
      </w:r>
      <w:r>
        <w:rPr>
          <w:rFonts w:ascii="Times New Roman" w:hAnsi="Times New Roman" w:eastAsia="Times New Roman" w:cs="Times New Roman"/>
          <w:sz w:val="22"/>
          <w:szCs w:val="22"/>
          <w:spacing w:val="10"/>
        </w:rPr>
        <w:t>m/s</w:t>
      </w:r>
      <w:r>
        <w:rPr>
          <w:rFonts w:ascii="SimSun" w:hAnsi="SimSun" w:eastAsia="SimSun" w:cs="SimSun"/>
          <w:sz w:val="22"/>
          <w:szCs w:val="22"/>
          <w:spacing w:val="10"/>
        </w:rPr>
        <w:t>时，粒径为0.015～0.030</w:t>
      </w:r>
      <w:r>
        <w:rPr>
          <w:rFonts w:ascii="Times New Roman" w:hAnsi="Times New Roman" w:eastAsia="Times New Roman" w:cs="Times New Roman"/>
          <w:sz w:val="22"/>
          <w:szCs w:val="22"/>
        </w:rPr>
        <w:t>mm</w:t>
      </w:r>
      <w:r>
        <w:rPr>
          <w:rFonts w:ascii="Times New Roman" w:hAnsi="Times New Roman" w:eastAsia="Times New Roman" w:cs="Times New Roman"/>
          <w:sz w:val="22"/>
          <w:szCs w:val="22"/>
          <w:spacing w:val="10"/>
        </w:rPr>
        <w:t xml:space="preserve"> </w:t>
      </w:r>
      <w:r>
        <w:rPr>
          <w:rFonts w:ascii="SimSun" w:hAnsi="SimSun" w:eastAsia="SimSun" w:cs="SimSun"/>
          <w:sz w:val="22"/>
          <w:szCs w:val="22"/>
          <w:spacing w:val="10"/>
        </w:rPr>
        <w:t>的</w:t>
      </w:r>
      <w:r>
        <w:rPr>
          <w:rFonts w:ascii="SimSun" w:hAnsi="SimSun" w:eastAsia="SimSun" w:cs="SimSun"/>
          <w:sz w:val="22"/>
          <w:szCs w:val="22"/>
          <w:spacing w:val="-47"/>
        </w:rPr>
        <w:t xml:space="preserve"> </w:t>
      </w:r>
      <w:r>
        <w:rPr>
          <w:rFonts w:ascii="SimSun" w:hAnsi="SimSun" w:eastAsia="SimSun" w:cs="SimSun"/>
          <w:sz w:val="22"/>
          <w:szCs w:val="22"/>
          <w:spacing w:val="10"/>
        </w:rPr>
        <w:t>颗</w:t>
      </w:r>
      <w:r>
        <w:rPr>
          <w:rFonts w:ascii="SimSun" w:hAnsi="SimSun" w:eastAsia="SimSun" w:cs="SimSun"/>
          <w:sz w:val="22"/>
          <w:szCs w:val="22"/>
        </w:rPr>
        <w:t xml:space="preserve"> </w:t>
      </w:r>
      <w:r>
        <w:rPr>
          <w:rFonts w:ascii="SimSun" w:hAnsi="SimSun" w:eastAsia="SimSun" w:cs="SimSun"/>
          <w:sz w:val="22"/>
          <w:szCs w:val="22"/>
          <w:spacing w:val="13"/>
        </w:rPr>
        <w:t>粒物会被风吹扬；</w:t>
      </w:r>
    </w:p>
    <w:p>
      <w:pPr>
        <w:ind w:left="94" w:right="104" w:firstLine="480"/>
        <w:spacing w:before="228" w:line="307" w:lineRule="auto"/>
        <w:rPr>
          <w:rFonts w:ascii="SimSun" w:hAnsi="SimSun" w:eastAsia="SimSun" w:cs="SimSun"/>
          <w:sz w:val="22"/>
          <w:szCs w:val="22"/>
        </w:rPr>
      </w:pPr>
      <w:r>
        <w:rPr>
          <w:rFonts w:ascii="SimSun" w:hAnsi="SimSun" w:eastAsia="SimSun" w:cs="SimSun"/>
          <w:sz w:val="22"/>
          <w:szCs w:val="22"/>
          <w:spacing w:val="23"/>
        </w:rPr>
        <w:t>③气候条件。风越大、湿度越小，越易产生扬尘，当风速大于3m/s时，就</w:t>
      </w:r>
      <w:r>
        <w:rPr>
          <w:rFonts w:ascii="SimSun" w:hAnsi="SimSun" w:eastAsia="SimSun" w:cs="SimSun"/>
          <w:sz w:val="22"/>
          <w:szCs w:val="22"/>
          <w:spacing w:val="7"/>
        </w:rPr>
        <w:t xml:space="preserve"> </w:t>
      </w:r>
      <w:r>
        <w:rPr>
          <w:rFonts w:ascii="SimSun" w:hAnsi="SimSun" w:eastAsia="SimSun" w:cs="SimSun"/>
          <w:sz w:val="22"/>
          <w:szCs w:val="22"/>
          <w:spacing w:val="12"/>
        </w:rPr>
        <w:t>会有扬尘产生；</w:t>
      </w:r>
    </w:p>
    <w:p>
      <w:pPr>
        <w:ind w:left="575"/>
        <w:spacing w:before="178" w:line="217" w:lineRule="auto"/>
        <w:rPr>
          <w:rFonts w:ascii="SimSun" w:hAnsi="SimSun" w:eastAsia="SimSun" w:cs="SimSun"/>
          <w:sz w:val="22"/>
          <w:szCs w:val="22"/>
        </w:rPr>
      </w:pPr>
      <w:r>
        <w:rPr>
          <w:rFonts w:ascii="SimSun" w:hAnsi="SimSun" w:eastAsia="SimSun" w:cs="SimSun"/>
          <w:sz w:val="22"/>
          <w:szCs w:val="22"/>
          <w:spacing w:val="32"/>
        </w:rPr>
        <w:t>④运输车辆和施工机械行驶速度。行驶速度越快，扬尘产生量越大。通</w:t>
      </w:r>
    </w:p>
    <w:p>
      <w:pPr>
        <w:spacing w:line="217" w:lineRule="auto"/>
        <w:sectPr>
          <w:headerReference w:type="default" r:id="rId332"/>
          <w:footerReference w:type="default" r:id="rId379"/>
          <w:pgSz w:w="11910" w:h="16840"/>
          <w:pgMar w:top="1216" w:right="1715" w:bottom="920" w:left="1685" w:header="877" w:footer="722" w:gutter="0"/>
        </w:sectPr>
        <w:rPr>
          <w:rFonts w:ascii="SimSun" w:hAnsi="SimSun" w:eastAsia="SimSun" w:cs="SimSun"/>
          <w:sz w:val="22"/>
          <w:szCs w:val="22"/>
        </w:rPr>
      </w:pPr>
    </w:p>
    <w:p>
      <w:pPr>
        <w:ind w:left="134"/>
        <w:spacing w:before="263" w:line="218" w:lineRule="auto"/>
        <w:rPr>
          <w:rFonts w:ascii="SimSun" w:hAnsi="SimSun" w:eastAsia="SimSun" w:cs="SimSun"/>
          <w:sz w:val="23"/>
          <w:szCs w:val="23"/>
        </w:rPr>
      </w:pPr>
      <w:r>
        <w:rPr>
          <w:rFonts w:ascii="SimSun" w:hAnsi="SimSun" w:eastAsia="SimSun" w:cs="SimSun"/>
          <w:sz w:val="23"/>
          <w:szCs w:val="23"/>
          <w:spacing w:val="6"/>
        </w:rPr>
        <w:t>常，土方施工扬尘的产生量可按下式进行估算：</w:t>
      </w:r>
    </w:p>
    <w:p>
      <w:pPr>
        <w:ind w:firstLine="1684"/>
        <w:spacing w:before="219" w:line="603" w:lineRule="exact"/>
        <w:rPr/>
      </w:pPr>
      <w:r>
        <w:rPr>
          <w:position w:val="-12"/>
        </w:rPr>
        <w:drawing>
          <wp:inline distT="0" distB="0" distL="0" distR="0">
            <wp:extent cx="3283001" cy="382784"/>
            <wp:effectExtent l="0" t="0" r="0" b="0"/>
            <wp:docPr id="106" name="IM 106"/>
            <wp:cNvGraphicFramePr/>
            <a:graphic>
              <a:graphicData uri="http://schemas.openxmlformats.org/drawingml/2006/picture">
                <pic:pic>
                  <pic:nvPicPr>
                    <pic:cNvPr id="106" name="IM 106"/>
                    <pic:cNvPicPr/>
                  </pic:nvPicPr>
                  <pic:blipFill>
                    <a:blip r:embed="rId382"/>
                    <a:stretch>
                      <a:fillRect/>
                    </a:stretch>
                  </pic:blipFill>
                  <pic:spPr>
                    <a:xfrm rot="0">
                      <a:off x="0" y="0"/>
                      <a:ext cx="3283001" cy="382784"/>
                    </a:xfrm>
                    <a:prstGeom prst="rect">
                      <a:avLst/>
                    </a:prstGeom>
                  </pic:spPr>
                </pic:pic>
              </a:graphicData>
            </a:graphic>
          </wp:inline>
        </w:drawing>
      </w:r>
    </w:p>
    <w:p>
      <w:pPr>
        <w:ind w:left="595"/>
        <w:spacing w:before="291" w:line="212" w:lineRule="auto"/>
        <w:rPr>
          <w:rFonts w:ascii="Times New Roman" w:hAnsi="Times New Roman" w:eastAsia="Times New Roman" w:cs="Times New Roman"/>
          <w:sz w:val="23"/>
          <w:szCs w:val="23"/>
        </w:rPr>
      </w:pPr>
      <w:r>
        <w:rPr>
          <w:rFonts w:ascii="SimSun" w:hAnsi="SimSun" w:eastAsia="SimSun" w:cs="SimSun"/>
          <w:sz w:val="23"/>
          <w:szCs w:val="23"/>
          <w:spacing w:val="-1"/>
        </w:rPr>
        <w:t>式中：</w:t>
      </w:r>
      <w:r>
        <w:rPr>
          <w:rFonts w:ascii="Times New Roman" w:hAnsi="Times New Roman" w:eastAsia="Times New Roman" w:cs="Times New Roman"/>
          <w:sz w:val="23"/>
          <w:szCs w:val="23"/>
          <w:spacing w:val="-1"/>
        </w:rPr>
        <w:t>Q—— </w:t>
      </w:r>
      <w:r>
        <w:rPr>
          <w:rFonts w:ascii="SimSun" w:hAnsi="SimSun" w:eastAsia="SimSun" w:cs="SimSun"/>
          <w:sz w:val="23"/>
          <w:szCs w:val="23"/>
          <w:spacing w:val="-1"/>
        </w:rPr>
        <w:t>挖填土施工的扬尘量，</w:t>
      </w:r>
      <w:r>
        <w:rPr>
          <w:rFonts w:ascii="SimSun" w:hAnsi="SimSun" w:eastAsia="SimSun" w:cs="SimSun"/>
          <w:sz w:val="23"/>
          <w:szCs w:val="23"/>
          <w:spacing w:val="-35"/>
        </w:rPr>
        <w:t xml:space="preserve"> </w:t>
      </w:r>
      <w:r>
        <w:rPr>
          <w:rFonts w:ascii="Times New Roman" w:hAnsi="Times New Roman" w:eastAsia="Times New Roman" w:cs="Times New Roman"/>
          <w:sz w:val="23"/>
          <w:szCs w:val="23"/>
          <w:spacing w:val="-1"/>
        </w:rPr>
        <w:t>g/h;</w:t>
      </w:r>
    </w:p>
    <w:p>
      <w:pPr>
        <w:ind w:left="1314"/>
        <w:spacing w:before="212" w:line="219" w:lineRule="auto"/>
        <w:rPr>
          <w:rFonts w:ascii="SimSun" w:hAnsi="SimSun" w:eastAsia="SimSun" w:cs="SimSun"/>
          <w:sz w:val="23"/>
          <w:szCs w:val="23"/>
        </w:rPr>
      </w:pPr>
      <w:r>
        <w:rPr>
          <w:rFonts w:ascii="Times New Roman" w:hAnsi="Times New Roman" w:eastAsia="Times New Roman" w:cs="Times New Roman"/>
          <w:sz w:val="23"/>
          <w:szCs w:val="23"/>
          <w:spacing w:val="4"/>
        </w:rPr>
        <w:t>K-——i</w:t>
      </w:r>
      <w:r>
        <w:rPr>
          <w:rFonts w:ascii="SimSun" w:hAnsi="SimSun" w:eastAsia="SimSun" w:cs="SimSun"/>
          <w:sz w:val="23"/>
          <w:szCs w:val="23"/>
          <w:spacing w:val="4"/>
        </w:rPr>
        <w:t>等级粒径土壤组分的飞扬系数；</w:t>
      </w:r>
    </w:p>
    <w:p>
      <w:pPr>
        <w:ind w:left="1314"/>
        <w:spacing w:before="187" w:line="219" w:lineRule="auto"/>
        <w:rPr>
          <w:rFonts w:ascii="SimSun" w:hAnsi="SimSun" w:eastAsia="SimSun" w:cs="SimSun"/>
          <w:sz w:val="23"/>
          <w:szCs w:val="23"/>
        </w:rPr>
      </w:pPr>
      <w:r>
        <w:rPr>
          <w:rFonts w:ascii="Times New Roman" w:hAnsi="Times New Roman" w:eastAsia="Times New Roman" w:cs="Times New Roman"/>
          <w:sz w:val="23"/>
          <w:szCs w:val="23"/>
          <w:spacing w:val="5"/>
        </w:rPr>
        <w:t>P——i </w:t>
      </w:r>
      <w:r>
        <w:rPr>
          <w:rFonts w:ascii="SimSun" w:hAnsi="SimSun" w:eastAsia="SimSun" w:cs="SimSun"/>
          <w:sz w:val="23"/>
          <w:szCs w:val="23"/>
          <w:spacing w:val="5"/>
        </w:rPr>
        <w:t>等级粒径组分在土壤中的含量；</w:t>
      </w:r>
    </w:p>
    <w:p>
      <w:pPr>
        <w:ind w:left="1314"/>
        <w:spacing w:before="197" w:line="220" w:lineRule="auto"/>
        <w:rPr>
          <w:rFonts w:ascii="SimSun" w:hAnsi="SimSun" w:eastAsia="SimSun" w:cs="SimSun"/>
          <w:sz w:val="23"/>
          <w:szCs w:val="23"/>
        </w:rPr>
      </w:pPr>
      <w:r>
        <w:rPr>
          <w:rFonts w:ascii="SimSun" w:hAnsi="SimSun" w:eastAsia="SimSun" w:cs="SimSun"/>
          <w:sz w:val="23"/>
          <w:szCs w:val="23"/>
          <w:spacing w:val="-3"/>
        </w:rPr>
        <w:t>T——</w:t>
      </w:r>
      <w:r>
        <w:rPr>
          <w:rFonts w:ascii="SimSun" w:hAnsi="SimSun" w:eastAsia="SimSun" w:cs="SimSun"/>
          <w:sz w:val="23"/>
          <w:szCs w:val="23"/>
          <w:spacing w:val="-53"/>
        </w:rPr>
        <w:t xml:space="preserve"> </w:t>
      </w:r>
      <w:r>
        <w:rPr>
          <w:rFonts w:ascii="SimSun" w:hAnsi="SimSun" w:eastAsia="SimSun" w:cs="SimSun"/>
          <w:sz w:val="23"/>
          <w:szCs w:val="23"/>
          <w:spacing w:val="-3"/>
        </w:rPr>
        <w:t>土方工程量，t/h;</w:t>
      </w:r>
    </w:p>
    <w:p>
      <w:pPr>
        <w:ind w:left="1314" w:right="583" w:hanging="20"/>
        <w:spacing w:before="190" w:line="360" w:lineRule="auto"/>
        <w:rPr>
          <w:rFonts w:ascii="Times New Roman" w:hAnsi="Times New Roman" w:eastAsia="Times New Roman" w:cs="Times New Roman"/>
          <w:sz w:val="23"/>
          <w:szCs w:val="23"/>
        </w:rPr>
      </w:pPr>
      <w:r>
        <w:rPr>
          <w:rFonts w:ascii="SimSun" w:hAnsi="SimSun" w:eastAsia="SimSun" w:cs="SimSun"/>
          <w:sz w:val="23"/>
          <w:szCs w:val="23"/>
          <w:spacing w:val="6"/>
        </w:rPr>
        <w:t>U—— 风速，m/s, 当风速小于扬尘启动风速时，取启动风速</w:t>
      </w:r>
      <w:r>
        <w:rPr>
          <w:rFonts w:ascii="SimSun" w:hAnsi="SimSun" w:eastAsia="SimSun" w:cs="SimSun"/>
          <w:sz w:val="23"/>
          <w:szCs w:val="23"/>
        </w:rPr>
        <w:t>Uo</w:t>
      </w:r>
      <w:r>
        <w:rPr>
          <w:rFonts w:ascii="SimSun" w:hAnsi="SimSun" w:eastAsia="SimSun" w:cs="SimSun"/>
          <w:sz w:val="23"/>
          <w:szCs w:val="23"/>
          <w:spacing w:val="6"/>
        </w:rPr>
        <w:t>;</w:t>
      </w:r>
      <w:r>
        <w:rPr>
          <w:rFonts w:ascii="SimSun" w:hAnsi="SimSun" w:eastAsia="SimSun" w:cs="SimSun"/>
          <w:sz w:val="23"/>
          <w:szCs w:val="23"/>
          <w:spacing w:val="14"/>
        </w:rPr>
        <w:t xml:space="preserve"> </w:t>
      </w:r>
      <w:r>
        <w:rPr>
          <w:rFonts w:ascii="Times New Roman" w:hAnsi="Times New Roman" w:eastAsia="Times New Roman" w:cs="Times New Roman"/>
          <w:sz w:val="23"/>
          <w:szCs w:val="23"/>
        </w:rPr>
        <w:t>Uo</w:t>
      </w:r>
      <w:r>
        <w:rPr>
          <w:rFonts w:ascii="Times New Roman" w:hAnsi="Times New Roman" w:eastAsia="Times New Roman" w:cs="Times New Roman"/>
          <w:sz w:val="23"/>
          <w:szCs w:val="23"/>
          <w:spacing w:val="2"/>
        </w:rPr>
        <w:t>——i</w:t>
      </w:r>
      <w:r>
        <w:rPr>
          <w:rFonts w:ascii="SimSun" w:hAnsi="SimSun" w:eastAsia="SimSun" w:cs="SimSun"/>
          <w:sz w:val="23"/>
          <w:szCs w:val="23"/>
          <w:spacing w:val="2"/>
        </w:rPr>
        <w:t>等级粒径土壤颗粒的扬尘启动风速，</w:t>
      </w:r>
      <w:r>
        <w:rPr>
          <w:rFonts w:ascii="SimSun" w:hAnsi="SimSun" w:eastAsia="SimSun" w:cs="SimSun"/>
          <w:sz w:val="23"/>
          <w:szCs w:val="23"/>
          <w:spacing w:val="-40"/>
        </w:rPr>
        <w:t xml:space="preserve"> </w:t>
      </w:r>
      <w:r>
        <w:rPr>
          <w:rFonts w:ascii="Times New Roman" w:hAnsi="Times New Roman" w:eastAsia="Times New Roman" w:cs="Times New Roman"/>
          <w:sz w:val="23"/>
          <w:szCs w:val="23"/>
          <w:spacing w:val="2"/>
        </w:rPr>
        <w:t>m/s;</w:t>
      </w:r>
    </w:p>
    <w:p>
      <w:pPr>
        <w:ind w:left="1304"/>
        <w:spacing w:before="38" w:line="219" w:lineRule="auto"/>
        <w:rPr>
          <w:rFonts w:ascii="SimSun" w:hAnsi="SimSun" w:eastAsia="SimSun" w:cs="SimSun"/>
          <w:sz w:val="23"/>
          <w:szCs w:val="23"/>
        </w:rPr>
      </w:pPr>
      <w:r>
        <w:rPr>
          <w:rFonts w:ascii="SimSun" w:hAnsi="SimSun" w:eastAsia="SimSun" w:cs="SimSun"/>
          <w:sz w:val="23"/>
          <w:szCs w:val="23"/>
        </w:rPr>
        <w:t>n——</w:t>
      </w:r>
      <w:r>
        <w:rPr>
          <w:rFonts w:ascii="SimSun" w:hAnsi="SimSun" w:eastAsia="SimSun" w:cs="SimSun"/>
          <w:sz w:val="23"/>
          <w:szCs w:val="23"/>
          <w:spacing w:val="-66"/>
        </w:rPr>
        <w:t xml:space="preserve"> </w:t>
      </w:r>
      <w:r>
        <w:rPr>
          <w:rFonts w:ascii="SimSun" w:hAnsi="SimSun" w:eastAsia="SimSun" w:cs="SimSun"/>
          <w:sz w:val="23"/>
          <w:szCs w:val="23"/>
        </w:rPr>
        <w:t>风速指数；</w:t>
      </w:r>
    </w:p>
    <w:p>
      <w:pPr>
        <w:ind w:left="1314"/>
        <w:spacing w:before="188" w:line="220" w:lineRule="auto"/>
        <w:rPr>
          <w:rFonts w:ascii="SimSun" w:hAnsi="SimSun" w:eastAsia="SimSun" w:cs="SimSun"/>
          <w:sz w:val="23"/>
          <w:szCs w:val="23"/>
        </w:rPr>
      </w:pPr>
      <w:r>
        <w:rPr>
          <w:rFonts w:ascii="Times New Roman" w:hAnsi="Times New Roman" w:eastAsia="Times New Roman" w:cs="Times New Roman"/>
          <w:sz w:val="23"/>
          <w:szCs w:val="23"/>
        </w:rPr>
        <w:t>D——</w:t>
      </w:r>
      <w:r>
        <w:rPr>
          <w:rFonts w:ascii="Times New Roman" w:hAnsi="Times New Roman" w:eastAsia="Times New Roman" w:cs="Times New Roman"/>
          <w:sz w:val="23"/>
          <w:szCs w:val="23"/>
          <w:spacing w:val="-20"/>
        </w:rPr>
        <w:t xml:space="preserve"> </w:t>
      </w:r>
      <w:r>
        <w:rPr>
          <w:rFonts w:ascii="SimSun" w:hAnsi="SimSun" w:eastAsia="SimSun" w:cs="SimSun"/>
          <w:sz w:val="23"/>
          <w:szCs w:val="23"/>
        </w:rPr>
        <w:t>土壤密度；</w:t>
      </w:r>
    </w:p>
    <w:p>
      <w:pPr>
        <w:ind w:left="1314"/>
        <w:spacing w:before="205" w:line="219" w:lineRule="auto"/>
        <w:rPr>
          <w:rFonts w:ascii="SimSun" w:hAnsi="SimSun" w:eastAsia="SimSun" w:cs="SimSun"/>
          <w:sz w:val="23"/>
          <w:szCs w:val="23"/>
        </w:rPr>
      </w:pPr>
      <w:r>
        <w:rPr>
          <w:rFonts w:ascii="Times New Roman" w:hAnsi="Times New Roman" w:eastAsia="Times New Roman" w:cs="Times New Roman"/>
          <w:sz w:val="23"/>
          <w:szCs w:val="23"/>
          <w:spacing w:val="-3"/>
        </w:rPr>
        <w:t>C——</w:t>
      </w:r>
      <w:r>
        <w:rPr>
          <w:rFonts w:ascii="Times New Roman" w:hAnsi="Times New Roman" w:eastAsia="Times New Roman" w:cs="Times New Roman"/>
          <w:sz w:val="23"/>
          <w:szCs w:val="23"/>
          <w:spacing w:val="-14"/>
        </w:rPr>
        <w:t xml:space="preserve"> </w:t>
      </w:r>
      <w:r>
        <w:rPr>
          <w:rFonts w:ascii="SimSun" w:hAnsi="SimSun" w:eastAsia="SimSun" w:cs="SimSun"/>
          <w:sz w:val="23"/>
          <w:szCs w:val="23"/>
          <w:spacing w:val="-3"/>
        </w:rPr>
        <w:t>常数；</w:t>
      </w:r>
    </w:p>
    <w:p>
      <w:pPr>
        <w:ind w:left="1324"/>
        <w:spacing w:before="188" w:line="219" w:lineRule="auto"/>
        <w:rPr>
          <w:rFonts w:ascii="SimSun" w:hAnsi="SimSun" w:eastAsia="SimSun" w:cs="SimSun"/>
          <w:sz w:val="23"/>
          <w:szCs w:val="23"/>
        </w:rPr>
      </w:pPr>
      <w:r>
        <w:rPr>
          <w:rFonts w:ascii="Times New Roman" w:hAnsi="Times New Roman" w:eastAsia="Times New Roman" w:cs="Times New Roman"/>
          <w:sz w:val="23"/>
          <w:szCs w:val="23"/>
        </w:rPr>
        <w:t>Wo——</w:t>
      </w:r>
      <w:r>
        <w:rPr>
          <w:rFonts w:ascii="SimSun" w:hAnsi="SimSun" w:eastAsia="SimSun" w:cs="SimSun"/>
          <w:sz w:val="23"/>
          <w:szCs w:val="23"/>
        </w:rPr>
        <w:t>标准土壤含水率；</w:t>
      </w:r>
    </w:p>
    <w:p>
      <w:pPr>
        <w:ind w:left="1324"/>
        <w:spacing w:before="197" w:line="219" w:lineRule="auto"/>
        <w:rPr>
          <w:rFonts w:ascii="SimSun" w:hAnsi="SimSun" w:eastAsia="SimSun" w:cs="SimSun"/>
          <w:sz w:val="23"/>
          <w:szCs w:val="23"/>
        </w:rPr>
      </w:pPr>
      <w:r>
        <w:rPr>
          <w:rFonts w:ascii="SimSun" w:hAnsi="SimSun" w:eastAsia="SimSun" w:cs="SimSun"/>
          <w:sz w:val="23"/>
          <w:szCs w:val="23"/>
          <w:spacing w:val="2"/>
        </w:rPr>
        <w:t>W—— 土壤含水率；</w:t>
      </w:r>
    </w:p>
    <w:p>
      <w:pPr>
        <w:ind w:left="1304"/>
        <w:spacing w:before="187" w:line="219" w:lineRule="auto"/>
        <w:rPr>
          <w:rFonts w:ascii="SimSun" w:hAnsi="SimSun" w:eastAsia="SimSun" w:cs="SimSun"/>
          <w:sz w:val="23"/>
          <w:szCs w:val="23"/>
        </w:rPr>
      </w:pPr>
      <w:r>
        <w:rPr>
          <w:rFonts w:ascii="Times New Roman" w:hAnsi="Times New Roman" w:eastAsia="Times New Roman" w:cs="Times New Roman"/>
          <w:sz w:val="23"/>
          <w:szCs w:val="23"/>
          <w:spacing w:val="3"/>
        </w:rPr>
        <w:t>m——</w:t>
      </w:r>
      <w:r>
        <w:rPr>
          <w:rFonts w:ascii="Times New Roman" w:hAnsi="Times New Roman" w:eastAsia="Times New Roman" w:cs="Times New Roman"/>
          <w:sz w:val="23"/>
          <w:szCs w:val="23"/>
          <w:spacing w:val="-16"/>
        </w:rPr>
        <w:t xml:space="preserve"> </w:t>
      </w:r>
      <w:r>
        <w:rPr>
          <w:rFonts w:ascii="SimSun" w:hAnsi="SimSun" w:eastAsia="SimSun" w:cs="SimSun"/>
          <w:sz w:val="23"/>
          <w:szCs w:val="23"/>
          <w:spacing w:val="3"/>
        </w:rPr>
        <w:t>土壤粒径等级数。</w:t>
      </w:r>
    </w:p>
    <w:p>
      <w:pPr>
        <w:ind w:left="595"/>
        <w:spacing w:before="197" w:line="219" w:lineRule="auto"/>
        <w:rPr>
          <w:rFonts w:ascii="SimSun" w:hAnsi="SimSun" w:eastAsia="SimSun" w:cs="SimSun"/>
          <w:sz w:val="23"/>
          <w:szCs w:val="23"/>
        </w:rPr>
      </w:pPr>
      <w:r>
        <w:rPr>
          <w:rFonts w:ascii="SimSun" w:hAnsi="SimSun" w:eastAsia="SimSun" w:cs="SimSun"/>
          <w:sz w:val="23"/>
          <w:szCs w:val="23"/>
          <w:spacing w:val="8"/>
        </w:rPr>
        <w:t>经计算，可以得到施工期扬尘产生量，具体结果详见下表。</w:t>
      </w:r>
    </w:p>
    <w:p>
      <w:pPr>
        <w:ind w:left="2458"/>
        <w:spacing w:before="164" w:line="214" w:lineRule="auto"/>
        <w:rPr>
          <w:rFonts w:ascii="SimSun" w:hAnsi="SimSun" w:eastAsia="SimSun" w:cs="SimSun"/>
          <w:sz w:val="24"/>
          <w:szCs w:val="24"/>
        </w:rPr>
      </w:pPr>
      <w:r>
        <w:rPr>
          <w:rFonts w:ascii="SimSun" w:hAnsi="SimSun" w:eastAsia="SimSun" w:cs="SimSun"/>
          <w:sz w:val="24"/>
          <w:szCs w:val="24"/>
          <w:b/>
          <w:bCs/>
          <w:spacing w:val="-3"/>
        </w:rPr>
        <w:t>表5.1-2施工期土方施工扬尘产生量</w:t>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443"/>
        <w:gridCol w:w="2097"/>
        <w:gridCol w:w="1538"/>
        <w:gridCol w:w="1708"/>
        <w:gridCol w:w="1723"/>
      </w:tblGrid>
      <w:tr>
        <w:trPr>
          <w:trHeight w:val="282" w:hRule="atLeast"/>
        </w:trPr>
        <w:tc>
          <w:tcPr>
            <w:shd w:val="clear" w:fill="BDBDBD"/>
            <w:tcW w:w="1443" w:type="dxa"/>
            <w:vAlign w:val="top"/>
            <w:vMerge w:val="restart"/>
            <w:tcBorders>
              <w:bottom w:val="nil"/>
            </w:tcBorders>
          </w:tcPr>
          <w:p>
            <w:pPr>
              <w:pStyle w:val="TableText"/>
              <w:ind w:left="298"/>
              <w:spacing w:before="181" w:line="221" w:lineRule="auto"/>
              <w:rPr>
                <w:sz w:val="21"/>
                <w:szCs w:val="21"/>
              </w:rPr>
            </w:pPr>
            <w:r>
              <w:rPr>
                <w:sz w:val="21"/>
                <w:szCs w:val="21"/>
                <w:b/>
                <w:bCs/>
                <w:spacing w:val="-4"/>
              </w:rPr>
              <w:t>施工阶段</w:t>
            </w:r>
          </w:p>
        </w:tc>
        <w:tc>
          <w:tcPr>
            <w:shd w:val="clear" w:fill="BDBDBD"/>
            <w:tcW w:w="2097" w:type="dxa"/>
            <w:vAlign w:val="top"/>
            <w:vMerge w:val="restart"/>
            <w:tcBorders>
              <w:bottom w:val="nil"/>
            </w:tcBorders>
          </w:tcPr>
          <w:p>
            <w:pPr>
              <w:pStyle w:val="TableText"/>
              <w:ind w:left="725"/>
              <w:spacing w:before="180" w:line="219" w:lineRule="auto"/>
              <w:rPr>
                <w:sz w:val="21"/>
                <w:szCs w:val="21"/>
              </w:rPr>
            </w:pPr>
            <w:r>
              <w:rPr>
                <w:sz w:val="21"/>
                <w:szCs w:val="21"/>
                <w:b/>
                <w:bCs/>
                <w:spacing w:val="-5"/>
              </w:rPr>
              <w:t>产生源</w:t>
            </w:r>
          </w:p>
        </w:tc>
        <w:tc>
          <w:tcPr>
            <w:shd w:val="clear" w:fill="BDBDBD"/>
            <w:tcW w:w="4969" w:type="dxa"/>
            <w:vAlign w:val="top"/>
            <w:gridSpan w:val="3"/>
          </w:tcPr>
          <w:p>
            <w:pPr>
              <w:pStyle w:val="TableText"/>
              <w:ind w:left="1537"/>
              <w:spacing w:before="34" w:line="209" w:lineRule="auto"/>
              <w:rPr>
                <w:sz w:val="21"/>
                <w:szCs w:val="21"/>
              </w:rPr>
            </w:pPr>
            <w:r>
              <w:rPr>
                <w:sz w:val="21"/>
                <w:szCs w:val="21"/>
                <w:b/>
                <w:bCs/>
                <w:spacing w:val="10"/>
              </w:rPr>
              <w:t>产生量(g/m³土方)</w:t>
            </w:r>
          </w:p>
        </w:tc>
      </w:tr>
      <w:tr>
        <w:trPr>
          <w:trHeight w:val="267" w:hRule="atLeast"/>
        </w:trPr>
        <w:tc>
          <w:tcPr>
            <w:tcW w:w="1443" w:type="dxa"/>
            <w:vAlign w:val="top"/>
            <w:vMerge w:val="continue"/>
            <w:tcBorders>
              <w:top w:val="nil"/>
            </w:tcBorders>
          </w:tcPr>
          <w:p>
            <w:pPr>
              <w:rPr>
                <w:rFonts w:ascii="Arial"/>
                <w:sz w:val="21"/>
              </w:rPr>
            </w:pPr>
            <w:r/>
          </w:p>
        </w:tc>
        <w:tc>
          <w:tcPr>
            <w:tcW w:w="2097" w:type="dxa"/>
            <w:vAlign w:val="top"/>
            <w:vMerge w:val="continue"/>
            <w:tcBorders>
              <w:top w:val="nil"/>
            </w:tcBorders>
          </w:tcPr>
          <w:p>
            <w:pPr>
              <w:rPr>
                <w:rFonts w:ascii="Arial"/>
                <w:sz w:val="21"/>
              </w:rPr>
            </w:pPr>
            <w:r/>
          </w:p>
        </w:tc>
        <w:tc>
          <w:tcPr>
            <w:shd w:val="clear" w:fill="BDBDBD"/>
            <w:tcW w:w="1538" w:type="dxa"/>
            <w:vAlign w:val="top"/>
          </w:tcPr>
          <w:p>
            <w:pPr>
              <w:pStyle w:val="TableText"/>
              <w:ind w:left="288"/>
              <w:spacing w:before="29" w:line="200" w:lineRule="auto"/>
              <w:rPr>
                <w:sz w:val="21"/>
                <w:szCs w:val="21"/>
              </w:rPr>
            </w:pPr>
            <w:r>
              <w:rPr>
                <w:sz w:val="21"/>
                <w:szCs w:val="21"/>
                <w:b/>
                <w:bCs/>
                <w:spacing w:val="-1"/>
              </w:rPr>
              <w:t>风速&lt;3m/s</w:t>
            </w:r>
          </w:p>
        </w:tc>
        <w:tc>
          <w:tcPr>
            <w:shd w:val="clear" w:fill="BDBDBD"/>
            <w:tcW w:w="1708" w:type="dxa"/>
            <w:vAlign w:val="top"/>
          </w:tcPr>
          <w:p>
            <w:pPr>
              <w:pStyle w:val="TableText"/>
              <w:ind w:left="330"/>
              <w:spacing w:before="29" w:line="200" w:lineRule="auto"/>
              <w:rPr>
                <w:sz w:val="21"/>
                <w:szCs w:val="21"/>
              </w:rPr>
            </w:pPr>
            <w:r>
              <w:rPr>
                <w:sz w:val="21"/>
                <w:szCs w:val="21"/>
                <w:b/>
                <w:bCs/>
                <w:spacing w:val="-4"/>
              </w:rPr>
              <w:t>风速3~5m/s</w:t>
            </w:r>
          </w:p>
        </w:tc>
        <w:tc>
          <w:tcPr>
            <w:shd w:val="clear" w:fill="BDBDBD"/>
            <w:tcW w:w="1723" w:type="dxa"/>
            <w:vAlign w:val="top"/>
          </w:tcPr>
          <w:p>
            <w:pPr>
              <w:pStyle w:val="TableText"/>
              <w:ind w:left="331"/>
              <w:spacing w:before="29" w:line="200" w:lineRule="auto"/>
              <w:rPr>
                <w:sz w:val="21"/>
                <w:szCs w:val="21"/>
              </w:rPr>
            </w:pPr>
            <w:r>
              <w:rPr>
                <w:sz w:val="21"/>
                <w:szCs w:val="21"/>
                <w:b/>
                <w:bCs/>
                <w:spacing w:val="-4"/>
              </w:rPr>
              <w:t>风速5~8m/s</w:t>
            </w:r>
          </w:p>
        </w:tc>
      </w:tr>
      <w:tr>
        <w:trPr>
          <w:trHeight w:val="281" w:hRule="atLeast"/>
        </w:trPr>
        <w:tc>
          <w:tcPr>
            <w:tcW w:w="1443" w:type="dxa"/>
            <w:vAlign w:val="top"/>
          </w:tcPr>
          <w:p>
            <w:pPr>
              <w:pStyle w:val="TableText"/>
              <w:ind w:left="298"/>
              <w:spacing w:before="46" w:line="197" w:lineRule="auto"/>
              <w:rPr>
                <w:sz w:val="21"/>
                <w:szCs w:val="21"/>
              </w:rPr>
            </w:pPr>
            <w:r>
              <w:rPr>
                <w:sz w:val="21"/>
                <w:szCs w:val="21"/>
                <w:b/>
                <w:bCs/>
                <w:spacing w:val="-4"/>
              </w:rPr>
              <w:t>地基处理</w:t>
            </w:r>
          </w:p>
        </w:tc>
        <w:tc>
          <w:tcPr>
            <w:tcW w:w="2097" w:type="dxa"/>
            <w:vAlign w:val="top"/>
          </w:tcPr>
          <w:p>
            <w:pPr>
              <w:pStyle w:val="TableText"/>
              <w:ind w:left="94"/>
              <w:spacing w:before="42" w:line="201" w:lineRule="auto"/>
              <w:rPr>
                <w:sz w:val="21"/>
                <w:szCs w:val="21"/>
              </w:rPr>
            </w:pPr>
            <w:r>
              <w:rPr>
                <w:sz w:val="21"/>
                <w:szCs w:val="21"/>
                <w:b/>
                <w:bCs/>
                <w:spacing w:val="-4"/>
              </w:rPr>
              <w:t>填土方工作面风扬尘</w:t>
            </w:r>
          </w:p>
        </w:tc>
        <w:tc>
          <w:tcPr>
            <w:tcW w:w="1538" w:type="dxa"/>
            <w:vAlign w:val="top"/>
          </w:tcPr>
          <w:p>
            <w:pPr>
              <w:pStyle w:val="TableText"/>
              <w:ind w:left="704"/>
              <w:spacing w:before="66" w:line="180" w:lineRule="auto"/>
              <w:rPr>
                <w:sz w:val="21"/>
                <w:szCs w:val="21"/>
              </w:rPr>
            </w:pPr>
            <w:r>
              <w:rPr>
                <w:sz w:val="21"/>
                <w:szCs w:val="21"/>
                <w:color w:val="505040"/>
              </w:rPr>
              <w:t>4</w:t>
            </w:r>
          </w:p>
        </w:tc>
        <w:tc>
          <w:tcPr>
            <w:tcW w:w="1708" w:type="dxa"/>
            <w:vAlign w:val="top"/>
          </w:tcPr>
          <w:p>
            <w:pPr>
              <w:pStyle w:val="TableText"/>
              <w:ind w:left="637"/>
              <w:spacing w:before="66" w:line="180" w:lineRule="auto"/>
              <w:rPr>
                <w:sz w:val="21"/>
                <w:szCs w:val="21"/>
              </w:rPr>
            </w:pPr>
            <w:r>
              <w:rPr>
                <w:sz w:val="21"/>
                <w:szCs w:val="21"/>
                <w:spacing w:val="-2"/>
              </w:rPr>
              <w:t>4~48</w:t>
            </w:r>
          </w:p>
        </w:tc>
        <w:tc>
          <w:tcPr>
            <w:tcW w:w="1723" w:type="dxa"/>
            <w:vAlign w:val="top"/>
          </w:tcPr>
          <w:p>
            <w:pPr>
              <w:pStyle w:val="TableText"/>
              <w:ind w:left="539"/>
              <w:spacing w:before="66" w:line="180" w:lineRule="auto"/>
              <w:rPr>
                <w:sz w:val="21"/>
                <w:szCs w:val="21"/>
              </w:rPr>
            </w:pPr>
            <w:r>
              <w:rPr>
                <w:sz w:val="21"/>
                <w:szCs w:val="21"/>
                <w:spacing w:val="-2"/>
              </w:rPr>
              <w:t>48~180</w:t>
            </w:r>
          </w:p>
        </w:tc>
      </w:tr>
    </w:tbl>
    <w:p>
      <w:pPr>
        <w:ind w:left="605"/>
        <w:spacing w:before="66" w:line="219" w:lineRule="auto"/>
        <w:rPr>
          <w:rFonts w:ascii="SimSun" w:hAnsi="SimSun" w:eastAsia="SimSun" w:cs="SimSun"/>
          <w:sz w:val="24"/>
          <w:szCs w:val="24"/>
        </w:rPr>
      </w:pPr>
      <w:r>
        <w:rPr>
          <w:rFonts w:ascii="SimSun" w:hAnsi="SimSun" w:eastAsia="SimSun" w:cs="SimSun"/>
          <w:sz w:val="24"/>
          <w:szCs w:val="24"/>
        </w:rPr>
        <w:t>在混凝土的制备过程中，加料和加水是同时进行的，由于喷水的抑尘作</w:t>
      </w:r>
    </w:p>
    <w:p>
      <w:pPr>
        <w:ind w:left="114" w:right="104" w:firstLine="10"/>
        <w:spacing w:before="195" w:line="381" w:lineRule="auto"/>
        <w:rPr>
          <w:rFonts w:ascii="SimSun" w:hAnsi="SimSun" w:eastAsia="SimSun" w:cs="SimSun"/>
          <w:sz w:val="23"/>
          <w:szCs w:val="23"/>
        </w:rPr>
      </w:pPr>
      <w:r>
        <w:rPr>
          <w:rFonts w:ascii="SimSun" w:hAnsi="SimSun" w:eastAsia="SimSun" w:cs="SimSun"/>
          <w:sz w:val="23"/>
          <w:szCs w:val="23"/>
          <w:spacing w:val="14"/>
        </w:rPr>
        <w:t>用，加料时的扬尘产生量很小，扬尘主要产生于粉末状物料上</w:t>
      </w:r>
      <w:r>
        <w:rPr>
          <w:rFonts w:ascii="SimSun" w:hAnsi="SimSun" w:eastAsia="SimSun" w:cs="SimSun"/>
          <w:sz w:val="23"/>
          <w:szCs w:val="23"/>
          <w:spacing w:val="13"/>
        </w:rPr>
        <w:t>料过程中，产生</w:t>
      </w:r>
      <w:r>
        <w:rPr>
          <w:rFonts w:ascii="SimSun" w:hAnsi="SimSun" w:eastAsia="SimSun" w:cs="SimSun"/>
          <w:sz w:val="23"/>
          <w:szCs w:val="23"/>
        </w:rPr>
        <w:t xml:space="preserve"> </w:t>
      </w:r>
      <w:r>
        <w:rPr>
          <w:rFonts w:ascii="SimSun" w:hAnsi="SimSun" w:eastAsia="SimSun" w:cs="SimSun"/>
          <w:sz w:val="23"/>
          <w:szCs w:val="23"/>
          <w:spacing w:val="5"/>
        </w:rPr>
        <w:t>系数为1</w:t>
      </w:r>
      <w:r>
        <w:rPr>
          <w:rFonts w:ascii="Times New Roman" w:hAnsi="Times New Roman" w:eastAsia="Times New Roman" w:cs="Times New Roman"/>
          <w:sz w:val="23"/>
          <w:szCs w:val="23"/>
          <w:spacing w:val="5"/>
        </w:rPr>
        <w:t>t</w:t>
      </w:r>
      <w:r>
        <w:rPr>
          <w:rFonts w:ascii="SimSun" w:hAnsi="SimSun" w:eastAsia="SimSun" w:cs="SimSun"/>
          <w:sz w:val="23"/>
          <w:szCs w:val="23"/>
          <w:spacing w:val="5"/>
        </w:rPr>
        <w:t>混凝土产生1.5</w:t>
      </w:r>
      <w:r>
        <w:rPr>
          <w:rFonts w:ascii="Times New Roman" w:hAnsi="Times New Roman" w:eastAsia="Times New Roman" w:cs="Times New Roman"/>
          <w:sz w:val="23"/>
          <w:szCs w:val="23"/>
        </w:rPr>
        <w:t>kg</w:t>
      </w:r>
      <w:r>
        <w:rPr>
          <w:rFonts w:ascii="SimSun" w:hAnsi="SimSun" w:eastAsia="SimSun" w:cs="SimSun"/>
          <w:sz w:val="23"/>
          <w:szCs w:val="23"/>
          <w:spacing w:val="5"/>
        </w:rPr>
        <w:t>扬尘，粒径小于10μ</w:t>
      </w:r>
      <w:r>
        <w:rPr>
          <w:rFonts w:ascii="Times New Roman" w:hAnsi="Times New Roman" w:eastAsia="Times New Roman" w:cs="Times New Roman"/>
          <w:sz w:val="23"/>
          <w:szCs w:val="23"/>
          <w:spacing w:val="5"/>
        </w:rPr>
        <w:t>m</w:t>
      </w:r>
      <w:r>
        <w:rPr>
          <w:rFonts w:ascii="SimSun" w:hAnsi="SimSun" w:eastAsia="SimSun" w:cs="SimSun"/>
          <w:sz w:val="23"/>
          <w:szCs w:val="23"/>
          <w:spacing w:val="5"/>
        </w:rPr>
        <w:t>的尘占扬尘总量的28%。</w:t>
      </w:r>
    </w:p>
    <w:p>
      <w:pPr>
        <w:ind w:left="104" w:right="97" w:firstLine="510"/>
        <w:spacing w:before="8" w:line="371" w:lineRule="auto"/>
        <w:rPr>
          <w:rFonts w:ascii="SimSun" w:hAnsi="SimSun" w:eastAsia="SimSun" w:cs="SimSun"/>
          <w:sz w:val="23"/>
          <w:szCs w:val="23"/>
        </w:rPr>
      </w:pPr>
      <w:r>
        <w:rPr>
          <w:rFonts w:ascii="SimSun" w:hAnsi="SimSun" w:eastAsia="SimSun" w:cs="SimSun"/>
          <w:sz w:val="23"/>
          <w:szCs w:val="23"/>
          <w:spacing w:val="14"/>
        </w:rPr>
        <w:t>为减少施工扬尘的产生和排放，在施工过程中，施工单位必须参照《</w:t>
      </w:r>
      <w:r>
        <w:rPr>
          <w:rFonts w:ascii="SimSun" w:hAnsi="SimSun" w:eastAsia="SimSun" w:cs="SimSun"/>
          <w:sz w:val="23"/>
          <w:szCs w:val="23"/>
          <w:spacing w:val="13"/>
        </w:rPr>
        <w:t>四川</w:t>
      </w:r>
      <w:r>
        <w:rPr>
          <w:rFonts w:ascii="SimSun" w:hAnsi="SimSun" w:eastAsia="SimSun" w:cs="SimSun"/>
          <w:sz w:val="23"/>
          <w:szCs w:val="23"/>
        </w:rPr>
        <w:t xml:space="preserve"> </w:t>
      </w:r>
      <w:r>
        <w:rPr>
          <w:rFonts w:ascii="SimSun" w:hAnsi="SimSun" w:eastAsia="SimSun" w:cs="SimSun"/>
          <w:sz w:val="23"/>
          <w:szCs w:val="23"/>
          <w:spacing w:val="14"/>
        </w:rPr>
        <w:t>省〈中华人民共和国大气污染防治法〉实施办法》、《四川省建</w:t>
      </w:r>
      <w:r>
        <w:rPr>
          <w:rFonts w:ascii="SimSun" w:hAnsi="SimSun" w:eastAsia="SimSun" w:cs="SimSun"/>
          <w:sz w:val="23"/>
          <w:szCs w:val="23"/>
          <w:spacing w:val="13"/>
        </w:rPr>
        <w:t>筑工程扬尘污</w:t>
      </w:r>
      <w:r>
        <w:rPr>
          <w:rFonts w:ascii="SimSun" w:hAnsi="SimSun" w:eastAsia="SimSun" w:cs="SimSun"/>
          <w:sz w:val="23"/>
          <w:szCs w:val="23"/>
        </w:rPr>
        <w:t xml:space="preserve"> </w:t>
      </w:r>
      <w:r>
        <w:rPr>
          <w:rFonts w:ascii="SimSun" w:hAnsi="SimSun" w:eastAsia="SimSun" w:cs="SimSun"/>
          <w:sz w:val="23"/>
          <w:szCs w:val="23"/>
          <w:spacing w:val="39"/>
        </w:rPr>
        <w:t>染防治技术导则(试行)》、《绵阳市建筑工程绿色施工(环保)标准(试</w:t>
      </w:r>
      <w:r>
        <w:rPr>
          <w:rFonts w:ascii="SimSun" w:hAnsi="SimSun" w:eastAsia="SimSun" w:cs="SimSun"/>
          <w:sz w:val="23"/>
          <w:szCs w:val="23"/>
          <w:spacing w:val="5"/>
        </w:rPr>
        <w:t xml:space="preserve"> </w:t>
      </w:r>
      <w:r>
        <w:rPr>
          <w:rFonts w:ascii="SimSun" w:hAnsi="SimSun" w:eastAsia="SimSun" w:cs="SimSun"/>
          <w:sz w:val="23"/>
          <w:szCs w:val="23"/>
          <w:spacing w:val="18"/>
        </w:rPr>
        <w:t>行)》等有关施工工地和道路扬尘污染防治等相关规定要求</w:t>
      </w:r>
      <w:r>
        <w:rPr>
          <w:rFonts w:ascii="SimSun" w:hAnsi="SimSun" w:eastAsia="SimSun" w:cs="SimSun"/>
          <w:sz w:val="23"/>
          <w:szCs w:val="23"/>
          <w:spacing w:val="17"/>
        </w:rPr>
        <w:t>，积极推行绿色施</w:t>
      </w:r>
      <w:r>
        <w:rPr>
          <w:rFonts w:ascii="SimSun" w:hAnsi="SimSun" w:eastAsia="SimSun" w:cs="SimSun"/>
          <w:sz w:val="23"/>
          <w:szCs w:val="23"/>
        </w:rPr>
        <w:t xml:space="preserve"> </w:t>
      </w:r>
      <w:r>
        <w:rPr>
          <w:rFonts w:ascii="SimSun" w:hAnsi="SimSun" w:eastAsia="SimSun" w:cs="SimSun"/>
          <w:sz w:val="23"/>
          <w:szCs w:val="23"/>
          <w:spacing w:val="17"/>
        </w:rPr>
        <w:t>工，加强对扬尘源头的管理，施工工地做到“六必须”(必须围挡作业；必须 </w:t>
      </w:r>
      <w:r>
        <w:rPr>
          <w:rFonts w:ascii="SimSun" w:hAnsi="SimSun" w:eastAsia="SimSun" w:cs="SimSun"/>
          <w:sz w:val="23"/>
          <w:szCs w:val="23"/>
          <w:spacing w:val="14"/>
        </w:rPr>
        <w:t>硬化道路；必须设置冲洗设施；必须及时洒水作业；必须配齐保洁人员；必须</w:t>
      </w:r>
      <w:r>
        <w:rPr>
          <w:rFonts w:ascii="SimSun" w:hAnsi="SimSun" w:eastAsia="SimSun" w:cs="SimSun"/>
          <w:sz w:val="23"/>
          <w:szCs w:val="23"/>
          <w:spacing w:val="5"/>
        </w:rPr>
        <w:t xml:space="preserve"> </w:t>
      </w:r>
      <w:r>
        <w:rPr>
          <w:rFonts w:ascii="SimSun" w:hAnsi="SimSun" w:eastAsia="SimSun" w:cs="SimSun"/>
          <w:sz w:val="23"/>
          <w:szCs w:val="23"/>
          <w:spacing w:val="20"/>
        </w:rPr>
        <w:t>及时清扫施工现场)、“六不准”(不准车辆带泥出门；不准运渣车辆冒载；</w:t>
      </w:r>
      <w:r>
        <w:rPr>
          <w:rFonts w:ascii="SimSun" w:hAnsi="SimSun" w:eastAsia="SimSun" w:cs="SimSun"/>
          <w:sz w:val="23"/>
          <w:szCs w:val="23"/>
          <w:spacing w:val="3"/>
        </w:rPr>
        <w:t xml:space="preserve"> </w:t>
      </w:r>
      <w:r>
        <w:rPr>
          <w:rFonts w:ascii="SimSun" w:hAnsi="SimSun" w:eastAsia="SimSun" w:cs="SimSun"/>
          <w:sz w:val="23"/>
          <w:szCs w:val="23"/>
          <w:spacing w:val="14"/>
        </w:rPr>
        <w:t>不准高空抛洒建筑垃圾；不准现场搅拌混凝土；不准场地积水；不准现场焚烧</w:t>
      </w:r>
    </w:p>
    <w:p>
      <w:pPr>
        <w:spacing w:line="371" w:lineRule="auto"/>
        <w:sectPr>
          <w:headerReference w:type="default" r:id="rId380"/>
          <w:footerReference w:type="default" r:id="rId381"/>
          <w:pgSz w:w="11910" w:h="16840"/>
          <w:pgMar w:top="1234" w:right="1715" w:bottom="967" w:left="1675" w:header="865" w:footer="667" w:gutter="0"/>
        </w:sectPr>
        <w:rPr>
          <w:rFonts w:ascii="SimSun" w:hAnsi="SimSun" w:eastAsia="SimSun" w:cs="SimSun"/>
          <w:sz w:val="23"/>
          <w:szCs w:val="23"/>
        </w:rPr>
      </w:pPr>
    </w:p>
    <w:p>
      <w:pPr>
        <w:ind w:right="50"/>
        <w:spacing w:before="279" w:line="350" w:lineRule="auto"/>
        <w:rPr>
          <w:rFonts w:ascii="SimSun" w:hAnsi="SimSun" w:eastAsia="SimSun" w:cs="SimSun"/>
          <w:sz w:val="24"/>
          <w:szCs w:val="24"/>
        </w:rPr>
      </w:pPr>
      <w:r>
        <w:rPr>
          <w:rFonts w:ascii="SimSun" w:hAnsi="SimSun" w:eastAsia="SimSun" w:cs="SimSun"/>
          <w:sz w:val="24"/>
          <w:szCs w:val="24"/>
          <w:spacing w:val="18"/>
        </w:rPr>
        <w:t>废弃物),加强建设工地监督检查，督促责任单位落实降尘、压尘和抑尘措 </w:t>
      </w:r>
      <w:r>
        <w:rPr>
          <w:rFonts w:ascii="SimSun" w:hAnsi="SimSun" w:eastAsia="SimSun" w:cs="SimSun"/>
          <w:sz w:val="24"/>
          <w:szCs w:val="24"/>
          <w:spacing w:val="-1"/>
        </w:rPr>
        <w:t>施。为此，施工单位应根据本项目的建设特点采取以下扬尘治理措施：</w:t>
      </w:r>
    </w:p>
    <w:p>
      <w:pPr>
        <w:ind w:left="613"/>
        <w:spacing w:line="220" w:lineRule="auto"/>
        <w:rPr>
          <w:rFonts w:ascii="SimSun" w:hAnsi="SimSun" w:eastAsia="SimSun" w:cs="SimSun"/>
          <w:sz w:val="24"/>
          <w:szCs w:val="24"/>
        </w:rPr>
      </w:pPr>
      <w:r>
        <w:rPr>
          <w:rFonts w:ascii="SimSun" w:hAnsi="SimSun" w:eastAsia="SimSun" w:cs="SimSun"/>
          <w:sz w:val="24"/>
          <w:szCs w:val="24"/>
          <w:b/>
          <w:bCs/>
          <w:spacing w:val="4"/>
        </w:rPr>
        <w:t>(1</w:t>
      </w:r>
      <w:r>
        <w:rPr>
          <w:rFonts w:ascii="SimSun" w:hAnsi="SimSun" w:eastAsia="SimSun" w:cs="SimSun"/>
          <w:sz w:val="24"/>
          <w:szCs w:val="24"/>
          <w:spacing w:val="-59"/>
        </w:rPr>
        <w:t xml:space="preserve"> </w:t>
      </w:r>
      <w:r>
        <w:rPr>
          <w:rFonts w:ascii="SimSun" w:hAnsi="SimSun" w:eastAsia="SimSun" w:cs="SimSun"/>
          <w:sz w:val="24"/>
          <w:szCs w:val="24"/>
          <w:b/>
          <w:bCs/>
          <w:spacing w:val="4"/>
        </w:rPr>
        <w:t>)施工扬尘防治措施</w:t>
      </w:r>
    </w:p>
    <w:p>
      <w:pPr>
        <w:ind w:right="43" w:firstLine="470"/>
        <w:spacing w:before="202" w:line="321" w:lineRule="auto"/>
        <w:rPr>
          <w:rFonts w:ascii="SimSun" w:hAnsi="SimSun" w:eastAsia="SimSun" w:cs="SimSun"/>
          <w:sz w:val="24"/>
          <w:szCs w:val="24"/>
        </w:rPr>
      </w:pPr>
      <w:r>
        <w:rPr>
          <w:rFonts w:ascii="SimSun" w:hAnsi="SimSun" w:eastAsia="SimSun" w:cs="SimSun"/>
          <w:sz w:val="24"/>
          <w:szCs w:val="24"/>
          <w:spacing w:val="5"/>
        </w:rPr>
        <w:t>①封闭施工：施工边界围挡作用主要是阻挡一部</w:t>
      </w:r>
      <w:r>
        <w:rPr>
          <w:rFonts w:ascii="SimSun" w:hAnsi="SimSun" w:eastAsia="SimSun" w:cs="SimSun"/>
          <w:sz w:val="24"/>
          <w:szCs w:val="24"/>
          <w:spacing w:val="4"/>
        </w:rPr>
        <w:t>分施工扬尘扩散到施工区</w:t>
      </w:r>
      <w:r>
        <w:rPr>
          <w:rFonts w:ascii="SimSun" w:hAnsi="SimSun" w:eastAsia="SimSun" w:cs="SimSun"/>
          <w:sz w:val="24"/>
          <w:szCs w:val="24"/>
        </w:rPr>
        <w:t xml:space="preserve"> </w:t>
      </w:r>
      <w:r>
        <w:rPr>
          <w:rFonts w:ascii="SimSun" w:hAnsi="SimSun" w:eastAsia="SimSun" w:cs="SimSun"/>
          <w:sz w:val="24"/>
          <w:szCs w:val="24"/>
          <w:spacing w:val="4"/>
        </w:rPr>
        <w:t>外，当风力不大时围挡可以阻挡一部分扬尘进入周围环境，</w:t>
      </w:r>
      <w:r>
        <w:rPr>
          <w:rFonts w:ascii="SimSun" w:hAnsi="SimSun" w:eastAsia="SimSun" w:cs="SimSun"/>
          <w:sz w:val="24"/>
          <w:szCs w:val="24"/>
          <w:spacing w:val="3"/>
        </w:rPr>
        <w:t>对抑制施工期扬尘</w:t>
      </w:r>
      <w:r>
        <w:rPr>
          <w:rFonts w:ascii="SimSun" w:hAnsi="SimSun" w:eastAsia="SimSun" w:cs="SimSun"/>
          <w:sz w:val="24"/>
          <w:szCs w:val="24"/>
        </w:rPr>
        <w:t xml:space="preserve"> </w:t>
      </w:r>
      <w:r>
        <w:rPr>
          <w:rFonts w:ascii="SimSun" w:hAnsi="SimSun" w:eastAsia="SimSun" w:cs="SimSun"/>
          <w:sz w:val="24"/>
          <w:szCs w:val="24"/>
          <w:spacing w:val="11"/>
        </w:rPr>
        <w:t>的散逸十分必要。施工现场应沿四周连续设置封闭围挡，围挡设置应安全可</w:t>
      </w:r>
      <w:r>
        <w:rPr>
          <w:rFonts w:ascii="SimSun" w:hAnsi="SimSun" w:eastAsia="SimSun" w:cs="SimSun"/>
          <w:sz w:val="24"/>
          <w:szCs w:val="24"/>
          <w:spacing w:val="6"/>
        </w:rPr>
        <w:t xml:space="preserve"> </w:t>
      </w:r>
      <w:r>
        <w:rPr>
          <w:rFonts w:ascii="SimSun" w:hAnsi="SimSun" w:eastAsia="SimSun" w:cs="SimSun"/>
          <w:sz w:val="24"/>
          <w:szCs w:val="24"/>
          <w:spacing w:val="-4"/>
        </w:rPr>
        <w:t>靠。施工现场围挡高度不应低于1.8</w:t>
      </w:r>
      <w:r>
        <w:rPr>
          <w:rFonts w:ascii="Times New Roman" w:hAnsi="Times New Roman" w:eastAsia="Times New Roman" w:cs="Times New Roman"/>
          <w:sz w:val="24"/>
          <w:szCs w:val="24"/>
          <w:spacing w:val="-4"/>
        </w:rPr>
        <w:t>m</w:t>
      </w:r>
      <w:r>
        <w:rPr>
          <w:rFonts w:ascii="SimSun" w:hAnsi="SimSun" w:eastAsia="SimSun" w:cs="SimSun"/>
          <w:sz w:val="24"/>
          <w:szCs w:val="24"/>
          <w:spacing w:val="-4"/>
        </w:rPr>
        <w:t>。</w:t>
      </w:r>
    </w:p>
    <w:p>
      <w:pPr>
        <w:ind w:right="50" w:firstLine="470"/>
        <w:spacing w:before="222" w:line="279" w:lineRule="auto"/>
        <w:rPr>
          <w:rFonts w:ascii="SimSun" w:hAnsi="SimSun" w:eastAsia="SimSun" w:cs="SimSun"/>
          <w:sz w:val="24"/>
          <w:szCs w:val="24"/>
        </w:rPr>
      </w:pPr>
      <w:r>
        <w:rPr>
          <w:rFonts w:ascii="SimSun" w:hAnsi="SimSun" w:eastAsia="SimSun" w:cs="SimSun"/>
          <w:sz w:val="24"/>
          <w:szCs w:val="24"/>
          <w:spacing w:val="4"/>
        </w:rPr>
        <w:t>②使用水泥、石灰、砂石、涂料、铺装材料等易产生扬尘的建筑材料，在</w:t>
      </w:r>
      <w:r>
        <w:rPr>
          <w:rFonts w:ascii="SimSun" w:hAnsi="SimSun" w:eastAsia="SimSun" w:cs="SimSun"/>
          <w:sz w:val="24"/>
          <w:szCs w:val="24"/>
          <w:spacing w:val="14"/>
        </w:rPr>
        <w:t xml:space="preserve"> </w:t>
      </w:r>
      <w:r>
        <w:rPr>
          <w:rFonts w:ascii="SimSun" w:hAnsi="SimSun" w:eastAsia="SimSun" w:cs="SimSun"/>
          <w:sz w:val="24"/>
          <w:szCs w:val="24"/>
          <w:spacing w:val="-3"/>
        </w:rPr>
        <w:t>工地内堆放时，需采用防尘布苫盖。</w:t>
      </w:r>
    </w:p>
    <w:p>
      <w:pPr>
        <w:ind w:right="49" w:firstLine="470"/>
        <w:spacing w:before="183" w:line="315" w:lineRule="auto"/>
        <w:rPr>
          <w:rFonts w:ascii="SimSun" w:hAnsi="SimSun" w:eastAsia="SimSun" w:cs="SimSun"/>
          <w:sz w:val="24"/>
          <w:szCs w:val="24"/>
        </w:rPr>
      </w:pPr>
      <w:r>
        <w:rPr>
          <w:rFonts w:ascii="SimSun" w:hAnsi="SimSun" w:eastAsia="SimSun" w:cs="SimSun"/>
          <w:sz w:val="24"/>
          <w:szCs w:val="24"/>
          <w:spacing w:val="4"/>
        </w:rPr>
        <w:t>③工地内裸露地面铺设炉渣、细石或其他功能相当的材料，或者采取覆盖</w:t>
      </w:r>
      <w:r>
        <w:rPr>
          <w:rFonts w:ascii="SimSun" w:hAnsi="SimSun" w:eastAsia="SimSun" w:cs="SimSun"/>
          <w:sz w:val="24"/>
          <w:szCs w:val="24"/>
          <w:spacing w:val="12"/>
        </w:rPr>
        <w:t xml:space="preserve"> </w:t>
      </w:r>
      <w:r>
        <w:rPr>
          <w:rFonts w:ascii="SimSun" w:hAnsi="SimSun" w:eastAsia="SimSun" w:cs="SimSun"/>
          <w:sz w:val="24"/>
          <w:szCs w:val="24"/>
        </w:rPr>
        <w:t>防尘网、防尘布等防尘措施。闲置3个月以上的施工工地，建设单位对其裸露泥</w:t>
      </w:r>
      <w:r>
        <w:rPr>
          <w:rFonts w:ascii="SimSun" w:hAnsi="SimSun" w:eastAsia="SimSun" w:cs="SimSun"/>
          <w:sz w:val="24"/>
          <w:szCs w:val="24"/>
          <w:spacing w:val="12"/>
        </w:rPr>
        <w:t xml:space="preserve"> </w:t>
      </w:r>
      <w:r>
        <w:rPr>
          <w:rFonts w:ascii="SimSun" w:hAnsi="SimSun" w:eastAsia="SimSun" w:cs="SimSun"/>
          <w:sz w:val="24"/>
          <w:szCs w:val="24"/>
          <w:spacing w:val="-2"/>
        </w:rPr>
        <w:t>地进行临时绿化或铺装。</w:t>
      </w:r>
    </w:p>
    <w:p>
      <w:pPr>
        <w:ind w:right="47" w:firstLine="470"/>
        <w:spacing w:before="203" w:line="307" w:lineRule="auto"/>
        <w:rPr>
          <w:rFonts w:ascii="SimSun" w:hAnsi="SimSun" w:eastAsia="SimSun" w:cs="SimSun"/>
          <w:sz w:val="24"/>
          <w:szCs w:val="24"/>
        </w:rPr>
      </w:pPr>
      <w:r>
        <w:rPr>
          <w:rFonts w:ascii="SimSun" w:hAnsi="SimSun" w:eastAsia="SimSun" w:cs="SimSun"/>
          <w:sz w:val="24"/>
          <w:szCs w:val="24"/>
          <w:spacing w:val="4"/>
        </w:rPr>
        <w:t>④开挖、运输和填筑土方等施工中，对干燥、易起尘的土方工程，洒水压</w:t>
      </w:r>
      <w:r>
        <w:rPr>
          <w:rFonts w:ascii="SimSun" w:hAnsi="SimSun" w:eastAsia="SimSun" w:cs="SimSun"/>
          <w:sz w:val="24"/>
          <w:szCs w:val="24"/>
          <w:spacing w:val="12"/>
        </w:rPr>
        <w:t xml:space="preserve"> </w:t>
      </w:r>
      <w:r>
        <w:rPr>
          <w:rFonts w:ascii="SimSun" w:hAnsi="SimSun" w:eastAsia="SimSun" w:cs="SimSun"/>
          <w:sz w:val="24"/>
          <w:szCs w:val="24"/>
          <w:spacing w:val="11"/>
        </w:rPr>
        <w:t>尘，尽量缩短起尘操作时间。遇到四级或四级以上大风天气，需停止土方作 </w:t>
      </w:r>
      <w:r>
        <w:rPr>
          <w:rFonts w:ascii="SimSun" w:hAnsi="SimSun" w:eastAsia="SimSun" w:cs="SimSun"/>
          <w:sz w:val="24"/>
          <w:szCs w:val="24"/>
          <w:spacing w:val="-4"/>
        </w:rPr>
        <w:t>业，并在作业处覆盖防尘网。</w:t>
      </w:r>
    </w:p>
    <w:p>
      <w:pPr>
        <w:ind w:right="43" w:firstLine="470"/>
        <w:spacing w:before="181" w:line="288" w:lineRule="auto"/>
        <w:rPr>
          <w:rFonts w:ascii="SimSun" w:hAnsi="SimSun" w:eastAsia="SimSun" w:cs="SimSun"/>
          <w:sz w:val="24"/>
          <w:szCs w:val="24"/>
        </w:rPr>
      </w:pPr>
      <w:r>
        <w:rPr>
          <w:rFonts w:ascii="SimSun" w:hAnsi="SimSun" w:eastAsia="SimSun" w:cs="SimSun"/>
          <w:sz w:val="24"/>
          <w:szCs w:val="24"/>
          <w:spacing w:val="4"/>
        </w:rPr>
        <w:t>⑤及时清运建筑垃圾、工程渣土。在48小时内未能清运的，需采取围挡、</w:t>
      </w:r>
      <w:r>
        <w:rPr>
          <w:rFonts w:ascii="SimSun" w:hAnsi="SimSun" w:eastAsia="SimSun" w:cs="SimSun"/>
          <w:sz w:val="24"/>
          <w:szCs w:val="24"/>
          <w:spacing w:val="16"/>
        </w:rPr>
        <w:t xml:space="preserve"> </w:t>
      </w:r>
      <w:r>
        <w:rPr>
          <w:rFonts w:ascii="SimSun" w:hAnsi="SimSun" w:eastAsia="SimSun" w:cs="SimSun"/>
          <w:sz w:val="24"/>
          <w:szCs w:val="24"/>
          <w:spacing w:val="-4"/>
        </w:rPr>
        <w:t>遮盖等有效防尘措施。</w:t>
      </w:r>
    </w:p>
    <w:p>
      <w:pPr>
        <w:ind w:right="44" w:firstLine="470"/>
        <w:spacing w:before="202" w:line="283" w:lineRule="auto"/>
        <w:rPr>
          <w:rFonts w:ascii="SimSun" w:hAnsi="SimSun" w:eastAsia="SimSun" w:cs="SimSun"/>
          <w:sz w:val="24"/>
          <w:szCs w:val="24"/>
        </w:rPr>
      </w:pPr>
      <w:r>
        <w:rPr>
          <w:rFonts w:ascii="SimSun" w:hAnsi="SimSun" w:eastAsia="SimSun" w:cs="SimSun"/>
          <w:sz w:val="24"/>
          <w:szCs w:val="24"/>
          <w:spacing w:val="5"/>
        </w:rPr>
        <w:t>⑥施工过程中使用水泥、石灰、砂石、涂料</w:t>
      </w:r>
      <w:r>
        <w:rPr>
          <w:rFonts w:ascii="SimSun" w:hAnsi="SimSun" w:eastAsia="SimSun" w:cs="SimSun"/>
          <w:sz w:val="24"/>
          <w:szCs w:val="24"/>
          <w:spacing w:val="4"/>
        </w:rPr>
        <w:t>、辅装材料等容易产生扬尘的</w:t>
      </w:r>
      <w:r>
        <w:rPr>
          <w:rFonts w:ascii="SimSun" w:hAnsi="SimSun" w:eastAsia="SimSun" w:cs="SimSun"/>
          <w:sz w:val="24"/>
          <w:szCs w:val="24"/>
        </w:rPr>
        <w:t xml:space="preserve"> </w:t>
      </w:r>
      <w:r>
        <w:rPr>
          <w:rFonts w:ascii="SimSun" w:hAnsi="SimSun" w:eastAsia="SimSun" w:cs="SimSun"/>
          <w:sz w:val="24"/>
          <w:szCs w:val="24"/>
          <w:spacing w:val="-2"/>
        </w:rPr>
        <w:t>建筑材料，应采取设置专门的堆棚，并使用防尘布</w:t>
      </w:r>
      <w:r>
        <w:rPr>
          <w:rFonts w:ascii="SimSun" w:hAnsi="SimSun" w:eastAsia="SimSun" w:cs="SimSun"/>
          <w:sz w:val="24"/>
          <w:szCs w:val="24"/>
          <w:spacing w:val="-3"/>
        </w:rPr>
        <w:t>对原料进行遮盖；</w:t>
      </w:r>
    </w:p>
    <w:p>
      <w:pPr>
        <w:ind w:right="31" w:firstLine="470"/>
        <w:spacing w:before="203" w:line="317" w:lineRule="auto"/>
        <w:rPr>
          <w:rFonts w:ascii="SimSun" w:hAnsi="SimSun" w:eastAsia="SimSun" w:cs="SimSun"/>
          <w:sz w:val="24"/>
          <w:szCs w:val="24"/>
        </w:rPr>
      </w:pPr>
      <w:r>
        <w:rPr>
          <w:rFonts w:ascii="SimSun" w:hAnsi="SimSun" w:eastAsia="SimSun" w:cs="SimSun"/>
          <w:sz w:val="24"/>
          <w:szCs w:val="24"/>
          <w:spacing w:val="4"/>
        </w:rPr>
        <w:t>⑦施工过程产生的弃土、弃料及其他建筑垃圾，应及时清运。有砂石、灰</w:t>
      </w:r>
      <w:r>
        <w:rPr>
          <w:rFonts w:ascii="SimSun" w:hAnsi="SimSun" w:eastAsia="SimSun" w:cs="SimSun"/>
          <w:sz w:val="24"/>
          <w:szCs w:val="24"/>
          <w:spacing w:val="11"/>
        </w:rPr>
        <w:t xml:space="preserve"> </w:t>
      </w:r>
      <w:r>
        <w:rPr>
          <w:rFonts w:ascii="SimSun" w:hAnsi="SimSun" w:eastAsia="SimSun" w:cs="SimSun"/>
          <w:sz w:val="24"/>
          <w:szCs w:val="24"/>
          <w:spacing w:val="4"/>
        </w:rPr>
        <w:t>土、灰浆所有易扬尘物料都必须以不透水的隔尘布完全覆盖或放置在顶部和四</w:t>
      </w:r>
      <w:r>
        <w:rPr>
          <w:rFonts w:ascii="SimSun" w:hAnsi="SimSun" w:eastAsia="SimSun" w:cs="SimSun"/>
          <w:sz w:val="24"/>
          <w:szCs w:val="24"/>
          <w:spacing w:val="8"/>
        </w:rPr>
        <w:t xml:space="preserve"> </w:t>
      </w:r>
      <w:r>
        <w:rPr>
          <w:rFonts w:ascii="SimSun" w:hAnsi="SimSun" w:eastAsia="SimSun" w:cs="SimSun"/>
          <w:sz w:val="24"/>
          <w:szCs w:val="24"/>
          <w:spacing w:val="11"/>
        </w:rPr>
        <w:t>周均有遮蔽的范围内；防尘布和遮蔽装置的完好率必须大于95%;小批量或八</w:t>
      </w:r>
      <w:r>
        <w:rPr>
          <w:rFonts w:ascii="SimSun" w:hAnsi="SimSun" w:eastAsia="SimSun" w:cs="SimSun"/>
          <w:sz w:val="24"/>
          <w:szCs w:val="24"/>
          <w:spacing w:val="5"/>
        </w:rPr>
        <w:t xml:space="preserve"> </w:t>
      </w:r>
      <w:r>
        <w:rPr>
          <w:rFonts w:ascii="SimSun" w:hAnsi="SimSun" w:eastAsia="SimSun" w:cs="SimSun"/>
          <w:sz w:val="24"/>
          <w:szCs w:val="24"/>
          <w:spacing w:val="-3"/>
        </w:rPr>
        <w:t>小时之内使用的物料可除外；</w:t>
      </w:r>
    </w:p>
    <w:p>
      <w:pPr>
        <w:ind w:right="30" w:firstLine="470"/>
        <w:spacing w:before="210" w:line="326" w:lineRule="auto"/>
        <w:rPr>
          <w:rFonts w:ascii="SimSun" w:hAnsi="SimSun" w:eastAsia="SimSun" w:cs="SimSun"/>
          <w:sz w:val="24"/>
          <w:szCs w:val="24"/>
        </w:rPr>
      </w:pPr>
      <w:r>
        <w:rPr>
          <w:rFonts w:ascii="SimSun" w:hAnsi="SimSun" w:eastAsia="SimSun" w:cs="SimSun"/>
          <w:sz w:val="24"/>
          <w:szCs w:val="24"/>
          <w:spacing w:val="1"/>
        </w:rPr>
        <w:t>⑧施工期间，对于工地内裸露地面，应进行洒水，晴朗天气时每日洒水2至</w:t>
      </w:r>
      <w:r>
        <w:rPr>
          <w:rFonts w:ascii="SimSun" w:hAnsi="SimSun" w:eastAsia="SimSun" w:cs="SimSun"/>
          <w:sz w:val="24"/>
          <w:szCs w:val="24"/>
          <w:spacing w:val="8"/>
        </w:rPr>
        <w:t xml:space="preserve"> </w:t>
      </w:r>
      <w:r>
        <w:rPr>
          <w:rFonts w:ascii="SimSun" w:hAnsi="SimSun" w:eastAsia="SimSun" w:cs="SimSun"/>
          <w:sz w:val="24"/>
          <w:szCs w:val="24"/>
          <w:spacing w:val="1"/>
        </w:rPr>
        <w:t>4次，扬尘严重时应加大洒水频率；对于施工工地道路积尘，可</w:t>
      </w:r>
      <w:r>
        <w:rPr>
          <w:rFonts w:ascii="SimSun" w:hAnsi="SimSun" w:eastAsia="SimSun" w:cs="SimSun"/>
          <w:sz w:val="24"/>
          <w:szCs w:val="24"/>
        </w:rPr>
        <w:t>采用水冲洗的方 </w:t>
      </w:r>
      <w:r>
        <w:rPr>
          <w:rFonts w:ascii="SimSun" w:hAnsi="SimSun" w:eastAsia="SimSun" w:cs="SimSun"/>
          <w:sz w:val="24"/>
          <w:szCs w:val="24"/>
          <w:spacing w:val="11"/>
        </w:rPr>
        <w:t>法清洁施工工地道路积尘，不得在未实施洒水等抑尘措施情况下进行直接清</w:t>
      </w:r>
      <w:r>
        <w:rPr>
          <w:rFonts w:ascii="SimSun" w:hAnsi="SimSun" w:eastAsia="SimSun" w:cs="SimSun"/>
          <w:sz w:val="24"/>
          <w:szCs w:val="24"/>
          <w:spacing w:val="8"/>
        </w:rPr>
        <w:t xml:space="preserve"> </w:t>
      </w:r>
      <w:r>
        <w:rPr>
          <w:rFonts w:ascii="SimSun" w:hAnsi="SimSun" w:eastAsia="SimSun" w:cs="SimSun"/>
          <w:sz w:val="24"/>
          <w:szCs w:val="24"/>
          <w:spacing w:val="7"/>
        </w:rPr>
        <w:t>扫；每一块独立裸露地面80%以上面积必须采取覆盖措施；覆盖措施的完好率</w:t>
      </w:r>
      <w:r>
        <w:rPr>
          <w:rFonts w:ascii="SimSun" w:hAnsi="SimSun" w:eastAsia="SimSun" w:cs="SimSun"/>
          <w:sz w:val="24"/>
          <w:szCs w:val="24"/>
          <w:spacing w:val="5"/>
        </w:rPr>
        <w:t xml:space="preserve"> </w:t>
      </w:r>
      <w:r>
        <w:rPr>
          <w:rFonts w:ascii="SimSun" w:hAnsi="SimSun" w:eastAsia="SimSun" w:cs="SimSun"/>
          <w:sz w:val="24"/>
          <w:szCs w:val="24"/>
          <w:spacing w:val="1"/>
        </w:rPr>
        <w:t>须在90%以上；覆盖措施可采用防尘网、化学抑尘剂等；</w:t>
      </w:r>
    </w:p>
    <w:p>
      <w:pPr>
        <w:ind w:right="32" w:firstLine="470"/>
        <w:spacing w:before="183" w:line="288" w:lineRule="auto"/>
        <w:rPr>
          <w:rFonts w:ascii="SimSun" w:hAnsi="SimSun" w:eastAsia="SimSun" w:cs="SimSun"/>
          <w:sz w:val="24"/>
          <w:szCs w:val="24"/>
        </w:rPr>
      </w:pPr>
      <w:r>
        <w:rPr>
          <w:rFonts w:ascii="SimSun" w:hAnsi="SimSun" w:eastAsia="SimSun" w:cs="SimSun"/>
          <w:sz w:val="24"/>
          <w:szCs w:val="24"/>
          <w:spacing w:val="4"/>
        </w:rPr>
        <w:t>⑨施工期间，工地内从建筑上层将具有粉尘逸散性的物料、渣土或废弃物</w:t>
      </w:r>
      <w:r>
        <w:rPr>
          <w:rFonts w:ascii="SimSun" w:hAnsi="SimSun" w:eastAsia="SimSun" w:cs="SimSun"/>
          <w:sz w:val="24"/>
          <w:szCs w:val="24"/>
          <w:spacing w:val="12"/>
        </w:rPr>
        <w:t xml:space="preserve"> </w:t>
      </w:r>
      <w:r>
        <w:rPr>
          <w:rFonts w:ascii="SimSun" w:hAnsi="SimSun" w:eastAsia="SimSun" w:cs="SimSun"/>
          <w:sz w:val="24"/>
          <w:szCs w:val="24"/>
          <w:spacing w:val="4"/>
        </w:rPr>
        <w:t>输送至地面或地下楼层时，可从建筑内部管道或密闭输送管道输送，或者打包</w:t>
      </w:r>
    </w:p>
    <w:p>
      <w:pPr>
        <w:spacing w:line="288" w:lineRule="auto"/>
        <w:sectPr>
          <w:headerReference w:type="default" r:id="rId266"/>
          <w:footerReference w:type="default" r:id="rId383"/>
          <w:pgSz w:w="11910" w:h="16840"/>
          <w:pgMar w:top="1207" w:right="1786" w:bottom="912" w:left="1779" w:header="915" w:footer="741" w:gutter="0"/>
        </w:sectPr>
        <w:rPr>
          <w:rFonts w:ascii="SimSun" w:hAnsi="SimSun" w:eastAsia="SimSun" w:cs="SimSun"/>
          <w:sz w:val="24"/>
          <w:szCs w:val="24"/>
        </w:rPr>
      </w:pPr>
    </w:p>
    <w:p>
      <w:pPr>
        <w:spacing w:before="300" w:line="219" w:lineRule="auto"/>
        <w:rPr>
          <w:rFonts w:ascii="SimSun" w:hAnsi="SimSun" w:eastAsia="SimSun" w:cs="SimSun"/>
          <w:sz w:val="23"/>
          <w:szCs w:val="23"/>
        </w:rPr>
      </w:pPr>
      <w:r>
        <w:rPr>
          <w:rFonts w:ascii="SimSun" w:hAnsi="SimSun" w:eastAsia="SimSun" w:cs="SimSun"/>
          <w:sz w:val="23"/>
          <w:szCs w:val="23"/>
          <w:spacing w:val="7"/>
        </w:rPr>
        <w:t>装框搬运，不得凌空抛撒；</w:t>
      </w:r>
    </w:p>
    <w:p>
      <w:pPr>
        <w:ind w:right="20" w:firstLine="470"/>
        <w:spacing w:before="153" w:line="338" w:lineRule="auto"/>
        <w:rPr>
          <w:rFonts w:ascii="SimSun" w:hAnsi="SimSun" w:eastAsia="SimSun" w:cs="SimSun"/>
          <w:sz w:val="23"/>
          <w:szCs w:val="23"/>
        </w:rPr>
      </w:pPr>
      <w:r>
        <w:rPr>
          <w:rFonts w:ascii="SimSun" w:hAnsi="SimSun" w:eastAsia="SimSun" w:cs="SimSun"/>
          <w:sz w:val="23"/>
          <w:szCs w:val="23"/>
          <w:spacing w:val="15"/>
        </w:rPr>
        <w:t>⑩施工期间需使用混凝土、沥青时，必须使用预拌商品混凝土和沥青，不</w:t>
      </w:r>
      <w:r>
        <w:rPr>
          <w:rFonts w:ascii="SimSun" w:hAnsi="SimSun" w:eastAsia="SimSun" w:cs="SimSun"/>
          <w:sz w:val="23"/>
          <w:szCs w:val="23"/>
          <w:spacing w:val="11"/>
        </w:rPr>
        <w:t xml:space="preserve"> </w:t>
      </w:r>
      <w:r>
        <w:rPr>
          <w:rFonts w:ascii="SimSun" w:hAnsi="SimSun" w:eastAsia="SimSun" w:cs="SimSun"/>
          <w:sz w:val="23"/>
          <w:szCs w:val="23"/>
          <w:spacing w:val="22"/>
        </w:rPr>
        <w:t>得现场露天搅拌混凝土、消化石灰、拌石灰</w:t>
      </w:r>
      <w:r>
        <w:rPr>
          <w:rFonts w:ascii="SimSun" w:hAnsi="SimSun" w:eastAsia="SimSun" w:cs="SimSun"/>
          <w:sz w:val="23"/>
          <w:szCs w:val="23"/>
          <w:spacing w:val="21"/>
        </w:rPr>
        <w:t>土、沥青等。因此本项目不设沥</w:t>
      </w:r>
      <w:r>
        <w:rPr>
          <w:rFonts w:ascii="SimSun" w:hAnsi="SimSun" w:eastAsia="SimSun" w:cs="SimSun"/>
          <w:sz w:val="23"/>
          <w:szCs w:val="23"/>
        </w:rPr>
        <w:t xml:space="preserve"> </w:t>
      </w:r>
      <w:r>
        <w:rPr>
          <w:rFonts w:ascii="SimSun" w:hAnsi="SimSun" w:eastAsia="SimSun" w:cs="SimSun"/>
          <w:sz w:val="23"/>
          <w:szCs w:val="23"/>
          <w:spacing w:val="21"/>
        </w:rPr>
        <w:t>青、混凝土搅拌站。应尽量采用石材、木制等成品或半成品，实施装配式施</w:t>
      </w:r>
      <w:r>
        <w:rPr>
          <w:rFonts w:ascii="SimSun" w:hAnsi="SimSun" w:eastAsia="SimSun" w:cs="SimSun"/>
          <w:sz w:val="23"/>
          <w:szCs w:val="23"/>
          <w:spacing w:val="17"/>
        </w:rPr>
        <w:t xml:space="preserve"> </w:t>
      </w:r>
      <w:r>
        <w:rPr>
          <w:rFonts w:ascii="SimSun" w:hAnsi="SimSun" w:eastAsia="SimSun" w:cs="SimSun"/>
          <w:sz w:val="23"/>
          <w:szCs w:val="23"/>
          <w:spacing w:val="8"/>
        </w:rPr>
        <w:t>工，减少因石材、木制品切割所造成的扬尘污</w:t>
      </w:r>
      <w:r>
        <w:rPr>
          <w:rFonts w:ascii="SimSun" w:hAnsi="SimSun" w:eastAsia="SimSun" w:cs="SimSun"/>
          <w:sz w:val="23"/>
          <w:szCs w:val="23"/>
          <w:spacing w:val="7"/>
        </w:rPr>
        <w:t>染。</w:t>
      </w:r>
    </w:p>
    <w:p>
      <w:pPr>
        <w:ind w:left="613"/>
        <w:spacing w:before="165" w:line="219" w:lineRule="auto"/>
        <w:rPr>
          <w:rFonts w:ascii="SimSun" w:hAnsi="SimSun" w:eastAsia="SimSun" w:cs="SimSun"/>
          <w:sz w:val="25"/>
          <w:szCs w:val="25"/>
        </w:rPr>
      </w:pPr>
      <w:r>
        <w:rPr>
          <w:rFonts w:ascii="SimSun" w:hAnsi="SimSun" w:eastAsia="SimSun" w:cs="SimSun"/>
          <w:sz w:val="25"/>
          <w:szCs w:val="25"/>
          <w:b/>
          <w:bCs/>
          <w:spacing w:val="-4"/>
        </w:rPr>
        <w:t>(2</w:t>
      </w:r>
      <w:r>
        <w:rPr>
          <w:rFonts w:ascii="SimSun" w:hAnsi="SimSun" w:eastAsia="SimSun" w:cs="SimSun"/>
          <w:sz w:val="25"/>
          <w:szCs w:val="25"/>
          <w:spacing w:val="-55"/>
        </w:rPr>
        <w:t xml:space="preserve"> </w:t>
      </w:r>
      <w:r>
        <w:rPr>
          <w:rFonts w:ascii="SimSun" w:hAnsi="SimSun" w:eastAsia="SimSun" w:cs="SimSun"/>
          <w:sz w:val="25"/>
          <w:szCs w:val="25"/>
          <w:b/>
          <w:bCs/>
          <w:spacing w:val="-4"/>
        </w:rPr>
        <w:t>)运输扬尘措施</w:t>
      </w:r>
    </w:p>
    <w:p>
      <w:pPr>
        <w:ind w:left="470"/>
        <w:spacing w:before="203" w:line="217" w:lineRule="auto"/>
        <w:rPr>
          <w:rFonts w:ascii="SimSun" w:hAnsi="SimSun" w:eastAsia="SimSun" w:cs="SimSun"/>
          <w:sz w:val="23"/>
          <w:szCs w:val="23"/>
        </w:rPr>
      </w:pPr>
      <w:r>
        <w:rPr>
          <w:rFonts w:ascii="SimSun" w:hAnsi="SimSun" w:eastAsia="SimSun" w:cs="SimSun"/>
          <w:sz w:val="23"/>
          <w:szCs w:val="23"/>
          <w:spacing w:val="11"/>
        </w:rPr>
        <w:t>①施工场地内80%以上道路必须硬化，道路清扫时必须采取洒水措施。</w:t>
      </w:r>
    </w:p>
    <w:p>
      <w:pPr>
        <w:ind w:right="41" w:firstLine="470"/>
        <w:spacing w:before="188" w:line="340" w:lineRule="auto"/>
        <w:rPr>
          <w:rFonts w:ascii="SimSun" w:hAnsi="SimSun" w:eastAsia="SimSun" w:cs="SimSun"/>
          <w:sz w:val="23"/>
          <w:szCs w:val="23"/>
        </w:rPr>
      </w:pPr>
      <w:r>
        <w:rPr>
          <w:rFonts w:ascii="SimSun" w:hAnsi="SimSun" w:eastAsia="SimSun" w:cs="SimSun"/>
          <w:sz w:val="23"/>
          <w:szCs w:val="23"/>
          <w:spacing w:val="15"/>
        </w:rPr>
        <w:t>②施工期间应在物料、渣土、垃圾运输车辆的</w:t>
      </w:r>
      <w:r>
        <w:rPr>
          <w:rFonts w:ascii="SimSun" w:hAnsi="SimSun" w:eastAsia="SimSun" w:cs="SimSun"/>
          <w:sz w:val="23"/>
          <w:szCs w:val="23"/>
          <w:spacing w:val="14"/>
        </w:rPr>
        <w:t>出口内侧设置洗车平台，车</w:t>
      </w:r>
      <w:r>
        <w:rPr>
          <w:rFonts w:ascii="SimSun" w:hAnsi="SimSun" w:eastAsia="SimSun" w:cs="SimSun"/>
          <w:sz w:val="23"/>
          <w:szCs w:val="23"/>
        </w:rPr>
        <w:t xml:space="preserve"> </w:t>
      </w:r>
      <w:r>
        <w:rPr>
          <w:rFonts w:ascii="SimSun" w:hAnsi="SimSun" w:eastAsia="SimSun" w:cs="SimSun"/>
          <w:sz w:val="23"/>
          <w:szCs w:val="23"/>
          <w:spacing w:val="14"/>
        </w:rPr>
        <w:t>辆驶离工地前，应在洗车平台清洗轮胎及车身，不得带泥上路。洗车平台四周</w:t>
      </w:r>
      <w:r>
        <w:rPr>
          <w:rFonts w:ascii="SimSun" w:hAnsi="SimSun" w:eastAsia="SimSun" w:cs="SimSun"/>
          <w:sz w:val="23"/>
          <w:szCs w:val="23"/>
        </w:rPr>
        <w:t xml:space="preserve"> </w:t>
      </w:r>
      <w:r>
        <w:rPr>
          <w:rFonts w:ascii="SimSun" w:hAnsi="SimSun" w:eastAsia="SimSun" w:cs="SimSun"/>
          <w:sz w:val="23"/>
          <w:szCs w:val="23"/>
          <w:spacing w:val="21"/>
        </w:rPr>
        <w:t>应设置防溢座、废水导流渠、废水收集池、沉砂池及其它防治设施，收集洗</w:t>
      </w:r>
      <w:r>
        <w:rPr>
          <w:rFonts w:ascii="SimSun" w:hAnsi="SimSun" w:eastAsia="SimSun" w:cs="SimSun"/>
          <w:sz w:val="23"/>
          <w:szCs w:val="23"/>
          <w:spacing w:val="15"/>
        </w:rPr>
        <w:t xml:space="preserve"> </w:t>
      </w:r>
      <w:r>
        <w:rPr>
          <w:rFonts w:ascii="SimSun" w:hAnsi="SimSun" w:eastAsia="SimSun" w:cs="SimSun"/>
          <w:sz w:val="23"/>
          <w:szCs w:val="23"/>
          <w:spacing w:val="14"/>
        </w:rPr>
        <w:t>车、施工以及降水过程中产生的废水和泥浆。工地出口处铺装道路上可见粘带</w:t>
      </w:r>
      <w:r>
        <w:rPr>
          <w:rFonts w:ascii="SimSun" w:hAnsi="SimSun" w:eastAsia="SimSun" w:cs="SimSun"/>
          <w:sz w:val="23"/>
          <w:szCs w:val="23"/>
          <w:spacing w:val="4"/>
        </w:rPr>
        <w:t xml:space="preserve"> </w:t>
      </w:r>
      <w:r>
        <w:rPr>
          <w:rFonts w:ascii="SimSun" w:hAnsi="SimSun" w:eastAsia="SimSun" w:cs="SimSun"/>
          <w:sz w:val="23"/>
          <w:szCs w:val="23"/>
          <w:spacing w:val="7"/>
        </w:rPr>
        <w:t>泥土不得超过10米，并应及时清扫冲洗；</w:t>
      </w:r>
    </w:p>
    <w:p>
      <w:pPr>
        <w:ind w:right="41" w:firstLine="470"/>
        <w:spacing w:before="213" w:line="343" w:lineRule="auto"/>
        <w:rPr>
          <w:rFonts w:ascii="SimSun" w:hAnsi="SimSun" w:eastAsia="SimSun" w:cs="SimSun"/>
          <w:sz w:val="23"/>
          <w:szCs w:val="23"/>
        </w:rPr>
      </w:pPr>
      <w:r>
        <w:rPr>
          <w:rFonts w:ascii="SimSun" w:hAnsi="SimSun" w:eastAsia="SimSun" w:cs="SimSun"/>
          <w:sz w:val="23"/>
          <w:szCs w:val="23"/>
          <w:spacing w:val="14"/>
        </w:rPr>
        <w:t>③进出工地的物料、渣土、垃圾运输车辆，应尽可能采用密闭车斗，</w:t>
      </w:r>
      <w:r>
        <w:rPr>
          <w:rFonts w:ascii="SimSun" w:hAnsi="SimSun" w:eastAsia="SimSun" w:cs="SimSun"/>
          <w:sz w:val="23"/>
          <w:szCs w:val="23"/>
          <w:spacing w:val="13"/>
        </w:rPr>
        <w:t>并保</w:t>
      </w:r>
      <w:r>
        <w:rPr>
          <w:rFonts w:ascii="SimSun" w:hAnsi="SimSun" w:eastAsia="SimSun" w:cs="SimSun"/>
          <w:sz w:val="23"/>
          <w:szCs w:val="23"/>
        </w:rPr>
        <w:t xml:space="preserve"> </w:t>
      </w:r>
      <w:r>
        <w:rPr>
          <w:rFonts w:ascii="SimSun" w:hAnsi="SimSun" w:eastAsia="SimSun" w:cs="SimSun"/>
          <w:sz w:val="23"/>
          <w:szCs w:val="23"/>
          <w:spacing w:val="14"/>
        </w:rPr>
        <w:t>证物料不遗撒外漏。若无密闭车斗，物料、垃圾、渣土的装载高度不得超过车</w:t>
      </w:r>
      <w:r>
        <w:rPr>
          <w:rFonts w:ascii="SimSun" w:hAnsi="SimSun" w:eastAsia="SimSun" w:cs="SimSun"/>
          <w:sz w:val="23"/>
          <w:szCs w:val="23"/>
          <w:spacing w:val="3"/>
        </w:rPr>
        <w:t xml:space="preserve"> </w:t>
      </w:r>
      <w:r>
        <w:rPr>
          <w:rFonts w:ascii="SimSun" w:hAnsi="SimSun" w:eastAsia="SimSun" w:cs="SimSun"/>
          <w:sz w:val="23"/>
          <w:szCs w:val="23"/>
          <w:spacing w:val="14"/>
        </w:rPr>
        <w:t>辆槽帮上沿，车斗应用苫布遮盖严实。苫布边缘至少要遮</w:t>
      </w:r>
      <w:r>
        <w:rPr>
          <w:rFonts w:ascii="SimSun" w:hAnsi="SimSun" w:eastAsia="SimSun" w:cs="SimSun"/>
          <w:sz w:val="23"/>
          <w:szCs w:val="23"/>
          <w:spacing w:val="13"/>
        </w:rPr>
        <w:t>住槽帮上沿以下15厘</w:t>
      </w:r>
      <w:r>
        <w:rPr>
          <w:rFonts w:ascii="SimSun" w:hAnsi="SimSun" w:eastAsia="SimSun" w:cs="SimSun"/>
          <w:sz w:val="23"/>
          <w:szCs w:val="23"/>
        </w:rPr>
        <w:t xml:space="preserve"> </w:t>
      </w:r>
      <w:r>
        <w:rPr>
          <w:rFonts w:ascii="SimSun" w:hAnsi="SimSun" w:eastAsia="SimSun" w:cs="SimSun"/>
          <w:sz w:val="23"/>
          <w:szCs w:val="23"/>
          <w:spacing w:val="21"/>
        </w:rPr>
        <w:t>米，保证物料、渣土、垃圾等不露出。车辆应按照批准的路线和时间</w:t>
      </w:r>
      <w:r>
        <w:rPr>
          <w:rFonts w:ascii="SimSun" w:hAnsi="SimSun" w:eastAsia="SimSun" w:cs="SimSun"/>
          <w:sz w:val="23"/>
          <w:szCs w:val="23"/>
          <w:spacing w:val="20"/>
        </w:rPr>
        <w:t>进行物</w:t>
      </w:r>
      <w:r>
        <w:rPr>
          <w:rFonts w:ascii="SimSun" w:hAnsi="SimSun" w:eastAsia="SimSun" w:cs="SimSun"/>
          <w:sz w:val="23"/>
          <w:szCs w:val="23"/>
        </w:rPr>
        <w:t xml:space="preserve"> </w:t>
      </w:r>
      <w:r>
        <w:rPr>
          <w:rFonts w:ascii="SimSun" w:hAnsi="SimSun" w:eastAsia="SimSun" w:cs="SimSun"/>
          <w:sz w:val="23"/>
          <w:szCs w:val="23"/>
          <w:spacing w:val="5"/>
        </w:rPr>
        <w:t>料、渣土、垃圾的运输；</w:t>
      </w:r>
    </w:p>
    <w:p>
      <w:pPr>
        <w:ind w:right="31" w:firstLine="470"/>
        <w:spacing w:before="203" w:line="315" w:lineRule="auto"/>
        <w:rPr>
          <w:rFonts w:ascii="SimSun" w:hAnsi="SimSun" w:eastAsia="SimSun" w:cs="SimSun"/>
          <w:sz w:val="23"/>
          <w:szCs w:val="23"/>
        </w:rPr>
      </w:pPr>
      <w:r>
        <w:rPr>
          <w:rFonts w:ascii="SimSun" w:hAnsi="SimSun" w:eastAsia="SimSun" w:cs="SimSun"/>
          <w:sz w:val="25"/>
          <w:szCs w:val="25"/>
          <w:spacing w:val="-5"/>
        </w:rPr>
        <w:t>④运输车辆驶出工地前，应对车身、车槽、轮胎等部位进行清理或清洗以</w:t>
      </w:r>
      <w:r>
        <w:rPr>
          <w:rFonts w:ascii="SimSun" w:hAnsi="SimSun" w:eastAsia="SimSun" w:cs="SimSun"/>
          <w:sz w:val="25"/>
          <w:szCs w:val="25"/>
          <w:spacing w:val="1"/>
        </w:rPr>
        <w:t xml:space="preserve"> </w:t>
      </w:r>
      <w:r>
        <w:rPr>
          <w:rFonts w:ascii="SimSun" w:hAnsi="SimSun" w:eastAsia="SimSun" w:cs="SimSun"/>
          <w:sz w:val="23"/>
          <w:szCs w:val="23"/>
          <w:spacing w:val="17"/>
        </w:rPr>
        <w:t>保证清洁上路；洗车喷嘴静水压不得低于0.5</w:t>
      </w:r>
      <w:r>
        <w:rPr>
          <w:rFonts w:ascii="Times New Roman" w:hAnsi="Times New Roman" w:eastAsia="Times New Roman" w:cs="Times New Roman"/>
          <w:sz w:val="23"/>
          <w:szCs w:val="23"/>
        </w:rPr>
        <w:t>MPa</w:t>
      </w:r>
      <w:r>
        <w:rPr>
          <w:rFonts w:ascii="Times New Roman" w:hAnsi="Times New Roman" w:eastAsia="Times New Roman" w:cs="Times New Roman"/>
          <w:sz w:val="23"/>
          <w:szCs w:val="23"/>
          <w:spacing w:val="17"/>
        </w:rPr>
        <w:t>;   </w:t>
      </w:r>
      <w:r>
        <w:rPr>
          <w:rFonts w:ascii="SimSun" w:hAnsi="SimSun" w:eastAsia="SimSun" w:cs="SimSun"/>
          <w:sz w:val="23"/>
          <w:szCs w:val="23"/>
          <w:spacing w:val="17"/>
        </w:rPr>
        <w:t>洗车废水经处理后重复使</w:t>
      </w:r>
      <w:r>
        <w:rPr>
          <w:rFonts w:ascii="SimSun" w:hAnsi="SimSun" w:eastAsia="SimSun" w:cs="SimSun"/>
          <w:sz w:val="23"/>
          <w:szCs w:val="23"/>
          <w:spacing w:val="2"/>
        </w:rPr>
        <w:t xml:space="preserve"> </w:t>
      </w:r>
      <w:r>
        <w:rPr>
          <w:rFonts w:ascii="SimSun" w:hAnsi="SimSun" w:eastAsia="SimSun" w:cs="SimSun"/>
          <w:sz w:val="23"/>
          <w:szCs w:val="23"/>
          <w:spacing w:val="13"/>
        </w:rPr>
        <w:t>用，回用率不低于90%,回用水水质良好，悬浮物浓度不应大于150</w:t>
      </w:r>
      <w:r>
        <w:rPr>
          <w:rFonts w:ascii="Times New Roman" w:hAnsi="Times New Roman" w:eastAsia="Times New Roman" w:cs="Times New Roman"/>
          <w:sz w:val="23"/>
          <w:szCs w:val="23"/>
        </w:rPr>
        <w:t>mg</w:t>
      </w:r>
      <w:r>
        <w:rPr>
          <w:rFonts w:ascii="Times New Roman" w:hAnsi="Times New Roman" w:eastAsia="Times New Roman" w:cs="Times New Roman"/>
          <w:sz w:val="23"/>
          <w:szCs w:val="23"/>
          <w:spacing w:val="13"/>
        </w:rPr>
        <w:t>/l</w:t>
      </w:r>
      <w:r>
        <w:rPr>
          <w:rFonts w:ascii="SimSun" w:hAnsi="SimSun" w:eastAsia="SimSun" w:cs="SimSun"/>
          <w:sz w:val="23"/>
          <w:szCs w:val="23"/>
          <w:spacing w:val="13"/>
        </w:rPr>
        <w:t>。</w:t>
      </w:r>
    </w:p>
    <w:p>
      <w:pPr>
        <w:ind w:right="41" w:firstLine="470"/>
        <w:spacing w:before="201" w:line="371" w:lineRule="auto"/>
        <w:jc w:val="both"/>
        <w:rPr>
          <w:rFonts w:ascii="SimSun" w:hAnsi="SimSun" w:eastAsia="SimSun" w:cs="SimSun"/>
          <w:sz w:val="23"/>
          <w:szCs w:val="23"/>
        </w:rPr>
      </w:pPr>
      <w:r>
        <w:rPr>
          <w:rFonts w:ascii="SimSun" w:hAnsi="SimSun" w:eastAsia="SimSun" w:cs="SimSun"/>
          <w:sz w:val="23"/>
          <w:szCs w:val="23"/>
          <w:spacing w:val="14"/>
        </w:rPr>
        <w:t>另根据本项目的施工特点，除设有符合规定的装置外，禁止在施工现场焚</w:t>
      </w:r>
      <w:r>
        <w:rPr>
          <w:rFonts w:ascii="SimSun" w:hAnsi="SimSun" w:eastAsia="SimSun" w:cs="SimSun"/>
          <w:sz w:val="23"/>
          <w:szCs w:val="23"/>
          <w:spacing w:val="4"/>
        </w:rPr>
        <w:t xml:space="preserve"> </w:t>
      </w:r>
      <w:r>
        <w:rPr>
          <w:rFonts w:ascii="SimSun" w:hAnsi="SimSun" w:eastAsia="SimSun" w:cs="SimSun"/>
          <w:sz w:val="23"/>
          <w:szCs w:val="23"/>
          <w:spacing w:val="14"/>
        </w:rPr>
        <w:t>烧油毡、橡胶、塑料、皮革、树叶、枯草以及其他会产生有毒、有害烟尘和恶</w:t>
      </w:r>
      <w:r>
        <w:rPr>
          <w:rFonts w:ascii="SimSun" w:hAnsi="SimSun" w:eastAsia="SimSun" w:cs="SimSun"/>
          <w:sz w:val="23"/>
          <w:szCs w:val="23"/>
          <w:spacing w:val="4"/>
        </w:rPr>
        <w:t xml:space="preserve"> </w:t>
      </w:r>
      <w:r>
        <w:rPr>
          <w:rFonts w:ascii="SimSun" w:hAnsi="SimSun" w:eastAsia="SimSun" w:cs="SimSun"/>
          <w:sz w:val="23"/>
          <w:szCs w:val="23"/>
          <w:spacing w:val="5"/>
        </w:rPr>
        <w:t>臭气体的物质。</w:t>
      </w:r>
    </w:p>
    <w:p>
      <w:pPr>
        <w:ind w:right="24" w:firstLine="470"/>
        <w:spacing w:before="12" w:line="367" w:lineRule="auto"/>
        <w:jc w:val="both"/>
        <w:rPr>
          <w:rFonts w:ascii="SimSun" w:hAnsi="SimSun" w:eastAsia="SimSun" w:cs="SimSun"/>
          <w:sz w:val="23"/>
          <w:szCs w:val="23"/>
        </w:rPr>
      </w:pPr>
      <w:r>
        <w:rPr>
          <w:rFonts w:ascii="SimSun" w:hAnsi="SimSun" w:eastAsia="SimSun" w:cs="SimSun"/>
          <w:sz w:val="23"/>
          <w:szCs w:val="23"/>
          <w:spacing w:val="14"/>
        </w:rPr>
        <w:t>在采取以上防治措施以后，施工期产生的扬尘能够满足《四川省施工场地</w:t>
      </w:r>
      <w:r>
        <w:rPr>
          <w:rFonts w:ascii="SimSun" w:hAnsi="SimSun" w:eastAsia="SimSun" w:cs="SimSun"/>
          <w:sz w:val="23"/>
          <w:szCs w:val="23"/>
        </w:rPr>
        <w:t xml:space="preserve"> </w:t>
      </w:r>
      <w:r>
        <w:rPr>
          <w:rFonts w:ascii="SimSun" w:hAnsi="SimSun" w:eastAsia="SimSun" w:cs="SimSun"/>
          <w:sz w:val="23"/>
          <w:szCs w:val="23"/>
          <w:spacing w:val="9"/>
        </w:rPr>
        <w:t>扬尘排放标准》</w:t>
      </w:r>
      <w:r>
        <w:rPr>
          <w:rFonts w:ascii="SimSun" w:hAnsi="SimSun" w:eastAsia="SimSun" w:cs="SimSun"/>
          <w:sz w:val="23"/>
          <w:szCs w:val="23"/>
          <w:spacing w:val="92"/>
        </w:rPr>
        <w:t xml:space="preserve"> </w:t>
      </w:r>
      <w:r>
        <w:rPr>
          <w:rFonts w:ascii="Times New Roman" w:hAnsi="Times New Roman" w:eastAsia="Times New Roman" w:cs="Times New Roman"/>
          <w:sz w:val="23"/>
          <w:szCs w:val="23"/>
          <w:spacing w:val="9"/>
        </w:rPr>
        <w:t>(</w:t>
      </w:r>
      <w:r>
        <w:rPr>
          <w:rFonts w:ascii="Times New Roman" w:hAnsi="Times New Roman" w:eastAsia="Times New Roman" w:cs="Times New Roman"/>
          <w:sz w:val="23"/>
          <w:szCs w:val="23"/>
        </w:rPr>
        <w:t>DB</w:t>
      </w:r>
      <w:r>
        <w:rPr>
          <w:rFonts w:ascii="Times New Roman" w:hAnsi="Times New Roman" w:eastAsia="Times New Roman" w:cs="Times New Roman"/>
          <w:sz w:val="23"/>
          <w:szCs w:val="23"/>
          <w:spacing w:val="9"/>
        </w:rPr>
        <w:t>51/2682—2020)     </w:t>
      </w:r>
      <w:r>
        <w:rPr>
          <w:rFonts w:ascii="SimSun" w:hAnsi="SimSun" w:eastAsia="SimSun" w:cs="SimSun"/>
          <w:sz w:val="23"/>
          <w:szCs w:val="23"/>
          <w:spacing w:val="9"/>
        </w:rPr>
        <w:t>中的相关标准限值，施工期产生的扬尘</w:t>
      </w:r>
      <w:r>
        <w:rPr>
          <w:rFonts w:ascii="SimSun" w:hAnsi="SimSun" w:eastAsia="SimSun" w:cs="SimSun"/>
          <w:sz w:val="23"/>
          <w:szCs w:val="23"/>
        </w:rPr>
        <w:t xml:space="preserve"> </w:t>
      </w:r>
      <w:r>
        <w:rPr>
          <w:rFonts w:ascii="SimSun" w:hAnsi="SimSun" w:eastAsia="SimSun" w:cs="SimSun"/>
          <w:sz w:val="23"/>
          <w:szCs w:val="23"/>
          <w:spacing w:val="7"/>
        </w:rPr>
        <w:t>对周围环境产生的影响较小。</w:t>
      </w:r>
    </w:p>
    <w:p>
      <w:pPr>
        <w:ind w:left="473"/>
        <w:spacing w:before="6" w:line="219" w:lineRule="auto"/>
        <w:rPr>
          <w:rFonts w:ascii="SimSun" w:hAnsi="SimSun" w:eastAsia="SimSun" w:cs="SimSun"/>
          <w:sz w:val="23"/>
          <w:szCs w:val="23"/>
        </w:rPr>
      </w:pPr>
      <w:r>
        <w:rPr>
          <w:rFonts w:ascii="SimSun" w:hAnsi="SimSun" w:eastAsia="SimSun" w:cs="SimSun"/>
          <w:sz w:val="23"/>
          <w:szCs w:val="23"/>
          <w:b/>
          <w:bCs/>
          <w:spacing w:val="9"/>
        </w:rPr>
        <w:t>2、施工机械废气</w:t>
      </w:r>
    </w:p>
    <w:p>
      <w:pPr>
        <w:ind w:right="41" w:firstLine="470"/>
        <w:spacing w:before="221" w:line="363" w:lineRule="auto"/>
        <w:jc w:val="both"/>
        <w:rPr>
          <w:rFonts w:ascii="SimSun" w:hAnsi="SimSun" w:eastAsia="SimSun" w:cs="SimSun"/>
          <w:sz w:val="23"/>
          <w:szCs w:val="23"/>
        </w:rPr>
      </w:pPr>
      <w:r>
        <w:rPr>
          <w:rFonts w:ascii="SimSun" w:hAnsi="SimSun" w:eastAsia="SimSun" w:cs="SimSun"/>
          <w:sz w:val="23"/>
          <w:szCs w:val="23"/>
          <w:spacing w:val="4"/>
        </w:rPr>
        <w:t>各种施工设备、运输车辆在燃油时会产生</w:t>
      </w:r>
      <w:r>
        <w:rPr>
          <w:rFonts w:ascii="Times New Roman" w:hAnsi="Times New Roman" w:eastAsia="Times New Roman" w:cs="Times New Roman"/>
          <w:sz w:val="23"/>
          <w:szCs w:val="23"/>
        </w:rPr>
        <w:t>TSP</w:t>
      </w:r>
      <w:r>
        <w:rPr>
          <w:rFonts w:ascii="Times New Roman" w:hAnsi="Times New Roman" w:eastAsia="Times New Roman" w:cs="Times New Roman"/>
          <w:sz w:val="23"/>
          <w:szCs w:val="23"/>
          <w:spacing w:val="-29"/>
        </w:rPr>
        <w:t xml:space="preserve"> </w:t>
      </w:r>
      <w:r>
        <w:rPr>
          <w:rFonts w:ascii="SimSun" w:hAnsi="SimSun" w:eastAsia="SimSun" w:cs="SimSun"/>
          <w:sz w:val="23"/>
          <w:szCs w:val="23"/>
          <w:spacing w:val="4"/>
        </w:rPr>
        <w:t>、</w:t>
      </w:r>
      <w:r>
        <w:rPr>
          <w:rFonts w:ascii="Times New Roman" w:hAnsi="Times New Roman" w:eastAsia="Times New Roman" w:cs="Times New Roman"/>
          <w:sz w:val="23"/>
          <w:szCs w:val="23"/>
        </w:rPr>
        <w:t>CO</w:t>
      </w:r>
      <w:r>
        <w:rPr>
          <w:rFonts w:ascii="Times New Roman" w:hAnsi="Times New Roman" w:eastAsia="Times New Roman" w:cs="Times New Roman"/>
          <w:sz w:val="23"/>
          <w:szCs w:val="23"/>
          <w:spacing w:val="-33"/>
        </w:rPr>
        <w:t xml:space="preserve"> </w:t>
      </w:r>
      <w:r>
        <w:rPr>
          <w:rFonts w:ascii="SimSun" w:hAnsi="SimSun" w:eastAsia="SimSun" w:cs="SimSun"/>
          <w:sz w:val="23"/>
          <w:szCs w:val="23"/>
          <w:spacing w:val="4"/>
        </w:rPr>
        <w:t>、</w:t>
      </w:r>
      <w:r>
        <w:rPr>
          <w:rFonts w:ascii="Times New Roman" w:hAnsi="Times New Roman" w:eastAsia="Times New Roman" w:cs="Times New Roman"/>
          <w:sz w:val="23"/>
          <w:szCs w:val="23"/>
        </w:rPr>
        <w:t>SO</w:t>
      </w:r>
      <w:r>
        <w:rPr>
          <w:rFonts w:ascii="Times New Roman" w:hAnsi="Times New Roman" w:eastAsia="Times New Roman" w:cs="Times New Roman"/>
          <w:sz w:val="23"/>
          <w:szCs w:val="23"/>
          <w:spacing w:val="4"/>
        </w:rPr>
        <w:t>₂</w:t>
      </w:r>
      <w:r>
        <w:rPr>
          <w:rFonts w:ascii="Times New Roman" w:hAnsi="Times New Roman" w:eastAsia="Times New Roman" w:cs="Times New Roman"/>
          <w:sz w:val="23"/>
          <w:szCs w:val="23"/>
          <w:spacing w:val="-32"/>
        </w:rPr>
        <w:t xml:space="preserve"> </w:t>
      </w:r>
      <w:r>
        <w:rPr>
          <w:rFonts w:ascii="SimSun" w:hAnsi="SimSun" w:eastAsia="SimSun" w:cs="SimSun"/>
          <w:sz w:val="23"/>
          <w:szCs w:val="23"/>
          <w:spacing w:val="4"/>
        </w:rPr>
        <w:t>、</w:t>
      </w:r>
      <w:r>
        <w:rPr>
          <w:rFonts w:ascii="Times New Roman" w:hAnsi="Times New Roman" w:eastAsia="Times New Roman" w:cs="Times New Roman"/>
          <w:sz w:val="23"/>
          <w:szCs w:val="23"/>
        </w:rPr>
        <w:t>NOx</w:t>
      </w:r>
      <w:r>
        <w:rPr>
          <w:rFonts w:ascii="Times New Roman" w:hAnsi="Times New Roman" w:eastAsia="Times New Roman" w:cs="Times New Roman"/>
          <w:sz w:val="23"/>
          <w:szCs w:val="23"/>
          <w:spacing w:val="-33"/>
        </w:rPr>
        <w:t xml:space="preserve"> </w:t>
      </w:r>
      <w:r>
        <w:rPr>
          <w:rFonts w:ascii="SimSun" w:hAnsi="SimSun" w:eastAsia="SimSun" w:cs="SimSun"/>
          <w:sz w:val="23"/>
          <w:szCs w:val="23"/>
          <w:spacing w:val="4"/>
        </w:rPr>
        <w:t>、</w:t>
      </w:r>
      <w:r>
        <w:rPr>
          <w:rFonts w:ascii="Times New Roman" w:hAnsi="Times New Roman" w:eastAsia="Times New Roman" w:cs="Times New Roman"/>
          <w:sz w:val="23"/>
          <w:szCs w:val="23"/>
        </w:rPr>
        <w:t>CnHm</w:t>
      </w:r>
      <w:r>
        <w:rPr>
          <w:rFonts w:ascii="Times New Roman" w:hAnsi="Times New Roman" w:eastAsia="Times New Roman" w:cs="Times New Roman"/>
          <w:sz w:val="23"/>
          <w:szCs w:val="23"/>
          <w:spacing w:val="27"/>
        </w:rPr>
        <w:t xml:space="preserve">  </w:t>
      </w:r>
      <w:r>
        <w:rPr>
          <w:rFonts w:ascii="SimSun" w:hAnsi="SimSun" w:eastAsia="SimSun" w:cs="SimSun"/>
          <w:sz w:val="23"/>
          <w:szCs w:val="23"/>
          <w:spacing w:val="4"/>
        </w:rPr>
        <w:t>等</w:t>
      </w:r>
      <w:r>
        <w:rPr>
          <w:rFonts w:ascii="SimSun" w:hAnsi="SimSun" w:eastAsia="SimSun" w:cs="SimSun"/>
          <w:sz w:val="23"/>
          <w:szCs w:val="23"/>
        </w:rPr>
        <w:t xml:space="preserve"> </w:t>
      </w:r>
      <w:r>
        <w:rPr>
          <w:rFonts w:ascii="SimSun" w:hAnsi="SimSun" w:eastAsia="SimSun" w:cs="SimSun"/>
          <w:sz w:val="23"/>
          <w:szCs w:val="23"/>
          <w:spacing w:val="14"/>
        </w:rPr>
        <w:t>大气污染物，但这些污染物排放量很少，且为间断排放，尾气中所含的有害物</w:t>
      </w:r>
      <w:r>
        <w:rPr>
          <w:rFonts w:ascii="SimSun" w:hAnsi="SimSun" w:eastAsia="SimSun" w:cs="SimSun"/>
          <w:sz w:val="23"/>
          <w:szCs w:val="23"/>
          <w:spacing w:val="4"/>
        </w:rPr>
        <w:t xml:space="preserve"> </w:t>
      </w:r>
      <w:r>
        <w:rPr>
          <w:rFonts w:ascii="SimSun" w:hAnsi="SimSun" w:eastAsia="SimSun" w:cs="SimSun"/>
          <w:sz w:val="23"/>
          <w:szCs w:val="23"/>
          <w:spacing w:val="9"/>
        </w:rPr>
        <w:t>质主要有</w:t>
      </w:r>
      <w:r>
        <w:rPr>
          <w:rFonts w:ascii="Times New Roman" w:hAnsi="Times New Roman" w:eastAsia="Times New Roman" w:cs="Times New Roman"/>
          <w:sz w:val="23"/>
          <w:szCs w:val="23"/>
        </w:rPr>
        <w:t>CO</w:t>
      </w:r>
      <w:r>
        <w:rPr>
          <w:rFonts w:ascii="Times New Roman" w:hAnsi="Times New Roman" w:eastAsia="Times New Roman" w:cs="Times New Roman"/>
          <w:sz w:val="23"/>
          <w:szCs w:val="23"/>
          <w:spacing w:val="-15"/>
        </w:rPr>
        <w:t xml:space="preserve"> </w:t>
      </w:r>
      <w:r>
        <w:rPr>
          <w:rFonts w:ascii="SimSun" w:hAnsi="SimSun" w:eastAsia="SimSun" w:cs="SimSun"/>
          <w:sz w:val="23"/>
          <w:szCs w:val="23"/>
          <w:spacing w:val="9"/>
        </w:rPr>
        <w:t>、</w:t>
      </w:r>
      <w:r>
        <w:rPr>
          <w:rFonts w:ascii="Times New Roman" w:hAnsi="Times New Roman" w:eastAsia="Times New Roman" w:cs="Times New Roman"/>
          <w:sz w:val="23"/>
          <w:szCs w:val="23"/>
        </w:rPr>
        <w:t>NOx</w:t>
      </w:r>
      <w:r>
        <w:rPr>
          <w:rFonts w:ascii="Times New Roman" w:hAnsi="Times New Roman" w:eastAsia="Times New Roman" w:cs="Times New Roman"/>
          <w:sz w:val="23"/>
          <w:szCs w:val="23"/>
          <w:spacing w:val="25"/>
        </w:rPr>
        <w:t xml:space="preserve"> </w:t>
      </w:r>
      <w:r>
        <w:rPr>
          <w:rFonts w:ascii="SimSun" w:hAnsi="SimSun" w:eastAsia="SimSun" w:cs="SimSun"/>
          <w:sz w:val="23"/>
          <w:szCs w:val="23"/>
          <w:spacing w:val="9"/>
        </w:rPr>
        <w:t>等，对施工人员产生一定的影响。因此施工单位必须使用污</w:t>
      </w:r>
    </w:p>
    <w:sectPr>
      <w:headerReference w:type="default" r:id="rId5"/>
      <w:footerReference w:type="default" r:id="rId384"/>
      <w:pgSz w:w="11910" w:h="16840"/>
      <w:pgMar w:top="1219" w:right="1786" w:bottom="927" w:left="1779" w:header="865"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Times New Roman">
    <w:panose1 w:val="02020803070505020304"/>
    <w:charset w:val="00"/>
    <w:family w:val="auto"/>
    <w:pitch w:val="variable"/>
    <w:sig w:usb0="E0002EFF" w:usb1="C000785B" w:usb2="00000009" w:usb3="00000000" w:csb0="400001FF" w:csb1="FFFF0000"/>
  </w:font>
  <w:font w:name="FangSong">
    <w:panose1 w:val="02010609060101010101"/>
    <w:charset w:val="86"/>
    <w:family w:val="auto"/>
    <w:pitch w:val="default"/>
    <w:sig w:usb0="800002BF" w:usb1="38CF7CFA" w:usb2="00000016" w:usb3="00000000" w:csb0="00040001" w:csb1="00000000"/>
  </w:font>
  <w:font w:name="LiSu">
    <w:panose1 w:val="02010509060101010101"/>
    <w:charset w:val="86"/>
    <w:family w:val="auto"/>
    <w:pitch w:val="default"/>
    <w:sig w:usb0="00000001" w:usb1="080E0000" w:usb2="00000000" w:usb3="00000000" w:csb0="00040000" w:csb1="00000000"/>
  </w:font>
  <w:font w:name="KaiTi">
    <w:panose1 w:val="02010609060101010101"/>
    <w:charset w:val="86"/>
    <w:family w:val="auto"/>
    <w:pitch w:val="default"/>
    <w:sig w:usb0="800002BF" w:usb1="38CF7CFA" w:usb2="00000016" w:usb3="00000000" w:csb0="00040001" w:csb1="00000000"/>
  </w:font>
  <w:font w:name="Dotum">
    <w:panose1 w:val="020B0600000101010101"/>
    <w:charset w:val="86"/>
    <w:family w:val="auto"/>
    <w:pitch w:val="variable"/>
    <w:sig w:usb0="B00002AF" w:usb1="69D77CFB" w:usb2="00000030" w:usb3="00000000" w:csb0="4008009F" w:csb1="DFD7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20"/>
      <w:spacing w:line="231" w:lineRule="auto"/>
      <w:rPr>
        <w:rFonts w:ascii="SimSun" w:hAnsi="SimSun" w:eastAsia="SimSun" w:cs="SimSun"/>
        <w:sz w:val="20"/>
        <w:szCs w:val="20"/>
      </w:rPr>
    </w:pPr>
    <w:r>
      <w:rPr>
        <w:rFonts w:ascii="SimSun" w:hAnsi="SimSun" w:eastAsia="SimSun" w:cs="SimSun"/>
        <w:sz w:val="20"/>
        <w:szCs w:val="20"/>
        <w:spacing w:val="-3"/>
      </w:rPr>
      <w:t>—1—</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20"/>
      <w:spacing w:line="172" w:lineRule="auto"/>
      <w:rPr>
        <w:rFonts w:ascii="SimSun" w:hAnsi="SimSun" w:eastAsia="SimSun" w:cs="SimSun"/>
        <w:sz w:val="23"/>
        <w:szCs w:val="23"/>
      </w:rPr>
    </w:pPr>
    <w:r>
      <w:rPr>
        <w:rFonts w:ascii="SimSun" w:hAnsi="SimSun" w:eastAsia="SimSun" w:cs="SimSun"/>
        <w:sz w:val="23"/>
        <w:szCs w:val="23"/>
        <w:spacing w:val="-10"/>
        <w:w w:val="95"/>
      </w:rPr>
      <w:t>—</w:t>
    </w:r>
    <w:r>
      <w:rPr>
        <w:rFonts w:ascii="Times New Roman" w:hAnsi="Times New Roman" w:eastAsia="Times New Roman" w:cs="Times New Roman"/>
        <w:sz w:val="23"/>
        <w:szCs w:val="23"/>
        <w:spacing w:val="-10"/>
        <w:w w:val="95"/>
      </w:rPr>
      <w:t>2</w:t>
    </w:r>
    <w:r>
      <w:rPr>
        <w:rFonts w:ascii="SimSun" w:hAnsi="SimSun" w:eastAsia="SimSun" w:cs="SimSun"/>
        <w:sz w:val="23"/>
        <w:szCs w:val="23"/>
        <w:spacing w:val="-10"/>
        <w:w w:val="95"/>
      </w:rPr>
      <w:t>—</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20"/>
      <w:spacing w:line="172" w:lineRule="auto"/>
      <w:rPr>
        <w:rFonts w:ascii="Times New Roman" w:hAnsi="Times New Roman" w:eastAsia="Times New Roman" w:cs="Times New Roman"/>
        <w:sz w:val="24"/>
        <w:szCs w:val="24"/>
      </w:rPr>
    </w:pPr>
    <w:r>
      <w:rPr>
        <w:rFonts w:ascii="SimSun" w:hAnsi="SimSun" w:eastAsia="SimSun" w:cs="SimSun"/>
        <w:sz w:val="24"/>
        <w:szCs w:val="24"/>
        <w:spacing w:val="-8"/>
        <w:w w:val="90"/>
      </w:rPr>
      <w:t>—</w:t>
    </w:r>
    <w:r>
      <w:rPr>
        <w:rFonts w:ascii="Times New Roman" w:hAnsi="Times New Roman" w:eastAsia="Times New Roman" w:cs="Times New Roman"/>
        <w:sz w:val="24"/>
        <w:szCs w:val="24"/>
        <w:spacing w:val="-8"/>
        <w:w w:val="90"/>
      </w:rPr>
      <w:t>3—</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12"/>
      <w:spacing w:before="1" w:line="232" w:lineRule="auto"/>
      <w:rPr>
        <w:rFonts w:ascii="SimSun" w:hAnsi="SimSun" w:eastAsia="SimSun" w:cs="SimSun"/>
        <w:sz w:val="23"/>
        <w:szCs w:val="23"/>
      </w:rPr>
    </w:pPr>
    <w:r>
      <w:rPr>
        <w:rFonts w:ascii="SimSun" w:hAnsi="SimSun" w:eastAsia="SimSun" w:cs="SimSun"/>
        <w:sz w:val="23"/>
        <w:szCs w:val="23"/>
        <w:b/>
        <w:bCs/>
        <w:spacing w:val="-12"/>
        <w:w w:val="93"/>
      </w:rPr>
      <w:t>—4—</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20"/>
      <w:spacing w:line="229" w:lineRule="auto"/>
      <w:rPr>
        <w:rFonts w:ascii="SimSun" w:hAnsi="SimSun" w:eastAsia="SimSun" w:cs="SimSun"/>
        <w:sz w:val="18"/>
        <w:szCs w:val="18"/>
      </w:rPr>
    </w:pPr>
    <w:r>
      <w:rPr>
        <w:rFonts w:ascii="SimSun" w:hAnsi="SimSun" w:eastAsia="SimSun" w:cs="SimSun"/>
        <w:sz w:val="18"/>
        <w:szCs w:val="18"/>
        <w:spacing w:val="-2"/>
      </w:rPr>
      <w:t>—5—</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10"/>
      <w:spacing w:line="172" w:lineRule="auto"/>
      <w:rPr>
        <w:rFonts w:ascii="Times New Roman" w:hAnsi="Times New Roman" w:eastAsia="Times New Roman" w:cs="Times New Roman"/>
        <w:sz w:val="23"/>
        <w:szCs w:val="23"/>
      </w:rPr>
    </w:pPr>
    <w:r>
      <w:rPr>
        <w:rFonts w:ascii="SimSun" w:hAnsi="SimSun" w:eastAsia="SimSun" w:cs="SimSun"/>
        <w:sz w:val="23"/>
        <w:szCs w:val="23"/>
        <w:spacing w:val="-7"/>
        <w:w w:val="90"/>
      </w:rPr>
      <w:t>—</w:t>
    </w:r>
    <w:r>
      <w:rPr>
        <w:rFonts w:ascii="Times New Roman" w:hAnsi="Times New Roman" w:eastAsia="Times New Roman" w:cs="Times New Roman"/>
        <w:sz w:val="23"/>
        <w:szCs w:val="23"/>
        <w:spacing w:val="-7"/>
        <w:w w:val="90"/>
      </w:rPr>
      <w:t>6—</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25"/>
      <w:spacing w:line="169" w:lineRule="auto"/>
      <w:rPr>
        <w:rFonts w:ascii="Times New Roman" w:hAnsi="Times New Roman" w:eastAsia="Times New Roman" w:cs="Times New Roman"/>
        <w:sz w:val="23"/>
        <w:szCs w:val="23"/>
      </w:rPr>
    </w:pPr>
    <w:r>
      <w:rPr>
        <w:rFonts w:ascii="SimSun" w:hAnsi="SimSun" w:eastAsia="SimSun" w:cs="SimSun"/>
        <w:sz w:val="23"/>
        <w:szCs w:val="23"/>
        <w:spacing w:val="-7"/>
        <w:w w:val="90"/>
      </w:rPr>
      <w:t>—</w:t>
    </w:r>
    <w:r>
      <w:rPr>
        <w:rFonts w:ascii="Times New Roman" w:hAnsi="Times New Roman" w:eastAsia="Times New Roman" w:cs="Times New Roman"/>
        <w:sz w:val="23"/>
        <w:szCs w:val="23"/>
        <w:spacing w:val="-7"/>
        <w:w w:val="90"/>
      </w:rPr>
      <w:t>7—</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22"/>
      <w:spacing w:line="230" w:lineRule="auto"/>
      <w:rPr>
        <w:rFonts w:ascii="SimSun" w:hAnsi="SimSun" w:eastAsia="SimSun" w:cs="SimSun"/>
        <w:sz w:val="20"/>
        <w:szCs w:val="20"/>
      </w:rPr>
    </w:pPr>
    <w:r>
      <w:rPr>
        <w:rFonts w:ascii="SimSun" w:hAnsi="SimSun" w:eastAsia="SimSun" w:cs="SimSun"/>
        <w:sz w:val="20"/>
        <w:szCs w:val="20"/>
        <w:b/>
        <w:bCs/>
        <w:spacing w:val="-9"/>
      </w:rPr>
      <w:t>—8—</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20"/>
      <w:spacing w:line="231" w:lineRule="auto"/>
      <w:rPr>
        <w:rFonts w:ascii="SimSun" w:hAnsi="SimSun" w:eastAsia="SimSun" w:cs="SimSun"/>
        <w:sz w:val="23"/>
        <w:szCs w:val="23"/>
      </w:rPr>
    </w:pPr>
    <w:r>
      <w:rPr>
        <w:rFonts w:ascii="SimSun" w:hAnsi="SimSun" w:eastAsia="SimSun" w:cs="SimSun"/>
        <w:sz w:val="23"/>
        <w:szCs w:val="23"/>
        <w:spacing w:val="-15"/>
      </w:rPr>
      <w:t>—9—</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80"/>
      <w:spacing w:line="172" w:lineRule="auto"/>
      <w:rPr>
        <w:rFonts w:ascii="SimSun" w:hAnsi="SimSun" w:eastAsia="SimSun" w:cs="SimSun"/>
        <w:sz w:val="23"/>
        <w:szCs w:val="23"/>
      </w:rPr>
    </w:pPr>
    <w:r>
      <w:rPr>
        <w:rFonts w:ascii="Times New Roman" w:hAnsi="Times New Roman" w:eastAsia="Times New Roman" w:cs="Times New Roman"/>
        <w:sz w:val="23"/>
        <w:szCs w:val="23"/>
        <w:spacing w:val="-18"/>
        <w:w w:val="96"/>
      </w:rPr>
      <w:t>—10</w:t>
    </w:r>
    <w:r>
      <w:rPr>
        <w:rFonts w:ascii="SimSun" w:hAnsi="SimSun" w:eastAsia="SimSun" w:cs="SimSun"/>
        <w:sz w:val="23"/>
        <w:szCs w:val="23"/>
        <w:spacing w:val="-18"/>
        <w:w w:val="96"/>
      </w:rPr>
      <w:t>—</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80"/>
      <w:spacing w:line="172" w:lineRule="auto"/>
      <w:rPr>
        <w:rFonts w:ascii="SimSun" w:hAnsi="SimSun" w:eastAsia="SimSun" w:cs="SimSun"/>
        <w:sz w:val="23"/>
        <w:szCs w:val="23"/>
      </w:rPr>
    </w:pPr>
    <w:r>
      <w:rPr>
        <w:rFonts w:ascii="Times New Roman" w:hAnsi="Times New Roman" w:eastAsia="Times New Roman" w:cs="Times New Roman"/>
        <w:sz w:val="23"/>
        <w:szCs w:val="23"/>
        <w:spacing w:val="-22"/>
      </w:rPr>
      <w:t>—11</w:t>
    </w:r>
    <w:r>
      <w:rPr>
        <w:rFonts w:ascii="SimSun" w:hAnsi="SimSun" w:eastAsia="SimSun" w:cs="SimSun"/>
        <w:sz w:val="23"/>
        <w:szCs w:val="23"/>
        <w:spacing w:val="-22"/>
      </w:rPr>
      <w:t>—</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73"/>
      <w:spacing w:line="170" w:lineRule="auto"/>
      <w:rPr>
        <w:rFonts w:ascii="SimSun" w:hAnsi="SimSun" w:eastAsia="SimSun" w:cs="SimSun"/>
        <w:sz w:val="19"/>
        <w:szCs w:val="19"/>
      </w:rPr>
    </w:pPr>
    <w:r>
      <w:rPr>
        <w:rFonts w:ascii="Times New Roman" w:hAnsi="Times New Roman" w:eastAsia="Times New Roman" w:cs="Times New Roman"/>
        <w:sz w:val="19"/>
        <w:szCs w:val="19"/>
      </w:rPr>
      <w:t>—12</w:t>
    </w:r>
    <w:r>
      <w:rPr>
        <w:rFonts w:ascii="SimSun" w:hAnsi="SimSun" w:eastAsia="SimSun" w:cs="SimSun"/>
        <w:sz w:val="19"/>
        <w:szCs w:val="19"/>
      </w:rPr>
      <w:t>—</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73"/>
      <w:spacing w:line="231" w:lineRule="auto"/>
      <w:rPr>
        <w:rFonts w:ascii="SimSun" w:hAnsi="SimSun" w:eastAsia="SimSun" w:cs="SimSun"/>
        <w:sz w:val="23"/>
        <w:szCs w:val="23"/>
      </w:rPr>
    </w:pPr>
    <w:r>
      <w:rPr>
        <w:rFonts w:ascii="SimSun" w:hAnsi="SimSun" w:eastAsia="SimSun" w:cs="SimSun"/>
        <w:sz w:val="23"/>
        <w:szCs w:val="23"/>
        <w:spacing w:val="-23"/>
      </w:rPr>
      <w:t>—13—</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74"/>
      <w:spacing w:line="170" w:lineRule="auto"/>
      <w:rPr>
        <w:rFonts w:ascii="SimSun" w:hAnsi="SimSun" w:eastAsia="SimSun" w:cs="SimSun"/>
        <w:sz w:val="19"/>
        <w:szCs w:val="19"/>
      </w:rPr>
    </w:pPr>
    <w:r>
      <w:rPr>
        <w:rFonts w:ascii="Times New Roman" w:hAnsi="Times New Roman" w:eastAsia="Times New Roman" w:cs="Times New Roman"/>
        <w:sz w:val="19"/>
        <w:szCs w:val="19"/>
      </w:rPr>
      <w:t>—14</w:t>
    </w:r>
    <w:r>
      <w:rPr>
        <w:rFonts w:ascii="SimSun" w:hAnsi="SimSun" w:eastAsia="SimSun" w:cs="SimSun"/>
        <w:sz w:val="19"/>
        <w:szCs w:val="19"/>
      </w:rPr>
      <w:t>—</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84"/>
      <w:spacing w:line="229" w:lineRule="auto"/>
      <w:rPr>
        <w:rFonts w:ascii="SimSun" w:hAnsi="SimSun" w:eastAsia="SimSun" w:cs="SimSun"/>
        <w:sz w:val="19"/>
        <w:szCs w:val="19"/>
      </w:rPr>
    </w:pPr>
    <w:r>
      <w:rPr>
        <w:rFonts w:ascii="SimSun" w:hAnsi="SimSun" w:eastAsia="SimSun" w:cs="SimSun"/>
        <w:sz w:val="19"/>
        <w:szCs w:val="19"/>
        <w:spacing w:val="-2"/>
      </w:rPr>
      <w:t>—15—</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80"/>
      <w:spacing w:line="231" w:lineRule="auto"/>
      <w:rPr>
        <w:rFonts w:ascii="SimSun" w:hAnsi="SimSun" w:eastAsia="SimSun" w:cs="SimSun"/>
        <w:sz w:val="23"/>
        <w:szCs w:val="23"/>
      </w:rPr>
    </w:pPr>
    <w:r>
      <w:rPr>
        <w:rFonts w:ascii="SimSun" w:hAnsi="SimSun" w:eastAsia="SimSun" w:cs="SimSun"/>
        <w:sz w:val="23"/>
        <w:szCs w:val="23"/>
        <w:spacing w:val="-23"/>
      </w:rPr>
      <w:t>—16—</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80"/>
      <w:spacing w:line="230" w:lineRule="auto"/>
      <w:rPr>
        <w:rFonts w:ascii="SimSun" w:hAnsi="SimSun" w:eastAsia="SimSun" w:cs="SimSun"/>
        <w:sz w:val="21"/>
        <w:szCs w:val="21"/>
      </w:rPr>
    </w:pPr>
    <w:r>
      <w:rPr>
        <w:rFonts w:ascii="SimSun" w:hAnsi="SimSun" w:eastAsia="SimSun" w:cs="SimSun"/>
        <w:sz w:val="21"/>
        <w:szCs w:val="21"/>
        <w:spacing w:val="-15"/>
      </w:rPr>
      <w:t>—17—</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77"/>
      <w:spacing w:line="231" w:lineRule="auto"/>
      <w:rPr>
        <w:rFonts w:ascii="SimSun" w:hAnsi="SimSun" w:eastAsia="SimSun" w:cs="SimSun"/>
        <w:sz w:val="23"/>
        <w:szCs w:val="23"/>
      </w:rPr>
    </w:pPr>
    <w:r>
      <w:rPr>
        <w:rFonts w:ascii="SimSun" w:hAnsi="SimSun" w:eastAsia="SimSun" w:cs="SimSun"/>
        <w:sz w:val="23"/>
        <w:szCs w:val="23"/>
        <w:b/>
        <w:bCs/>
        <w:spacing w:val="-25"/>
      </w:rPr>
      <w:t>—18—</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84"/>
      <w:spacing w:line="229" w:lineRule="auto"/>
      <w:rPr>
        <w:rFonts w:ascii="SimSun" w:hAnsi="SimSun" w:eastAsia="SimSun" w:cs="SimSun"/>
        <w:sz w:val="19"/>
        <w:szCs w:val="19"/>
      </w:rPr>
    </w:pPr>
    <w:r>
      <w:rPr>
        <w:rFonts w:ascii="SimSun" w:hAnsi="SimSun" w:eastAsia="SimSun" w:cs="SimSun"/>
        <w:sz w:val="19"/>
        <w:szCs w:val="19"/>
        <w:spacing w:val="-2"/>
      </w:rPr>
      <w:t>—19—</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04"/>
      <w:spacing w:line="230" w:lineRule="auto"/>
      <w:rPr>
        <w:rFonts w:ascii="SimSun" w:hAnsi="SimSun" w:eastAsia="SimSun" w:cs="SimSun"/>
        <w:sz w:val="20"/>
        <w:szCs w:val="20"/>
      </w:rPr>
    </w:pPr>
    <w:r>
      <w:rPr>
        <w:rFonts w:ascii="SimSun" w:hAnsi="SimSun" w:eastAsia="SimSun" w:cs="SimSun"/>
        <w:sz w:val="20"/>
        <w:szCs w:val="20"/>
        <w:spacing w:val="-12"/>
      </w:rPr>
      <w:t>—20—</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94"/>
      <w:spacing w:line="231" w:lineRule="auto"/>
      <w:rPr>
        <w:rFonts w:ascii="SimSun" w:hAnsi="SimSun" w:eastAsia="SimSun" w:cs="SimSun"/>
        <w:sz w:val="20"/>
        <w:szCs w:val="20"/>
      </w:rPr>
    </w:pPr>
    <w:r>
      <w:rPr>
        <w:rFonts w:ascii="SimSun" w:hAnsi="SimSun" w:eastAsia="SimSun" w:cs="SimSun"/>
        <w:sz w:val="20"/>
        <w:szCs w:val="20"/>
        <w:spacing w:val="-8"/>
      </w:rPr>
      <w:t>—21—</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94"/>
      <w:spacing w:line="228" w:lineRule="auto"/>
      <w:rPr>
        <w:rFonts w:ascii="Times New Roman" w:hAnsi="Times New Roman" w:eastAsia="Times New Roman" w:cs="Times New Roman"/>
        <w:sz w:val="19"/>
        <w:szCs w:val="19"/>
      </w:rPr>
    </w:pPr>
    <w:r>
      <w:rPr>
        <w:rFonts w:ascii="SimSun" w:hAnsi="SimSun" w:eastAsia="SimSun" w:cs="SimSun"/>
        <w:sz w:val="19"/>
        <w:szCs w:val="19"/>
        <w:spacing w:val="-2"/>
      </w:rPr>
      <w:t>—2</w:t>
    </w:r>
    <w:r>
      <w:rPr>
        <w:rFonts w:ascii="Times New Roman" w:hAnsi="Times New Roman" w:eastAsia="Times New Roman" w:cs="Times New Roman"/>
        <w:sz w:val="19"/>
        <w:szCs w:val="19"/>
        <w:spacing w:val="-2"/>
      </w:rPr>
      <w:t>2—</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94"/>
      <w:spacing w:line="229" w:lineRule="auto"/>
      <w:rPr>
        <w:rFonts w:ascii="SimSun" w:hAnsi="SimSun" w:eastAsia="SimSun" w:cs="SimSun"/>
        <w:sz w:val="19"/>
        <w:szCs w:val="19"/>
      </w:rPr>
    </w:pPr>
    <w:r>
      <w:rPr>
        <w:rFonts w:ascii="SimSun" w:hAnsi="SimSun" w:eastAsia="SimSun" w:cs="SimSun"/>
        <w:sz w:val="19"/>
        <w:szCs w:val="19"/>
        <w:spacing w:val="-2"/>
      </w:rPr>
      <w:t>—23—</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25"/>
      <w:spacing w:line="231" w:lineRule="auto"/>
      <w:rPr>
        <w:rFonts w:ascii="SimSun" w:hAnsi="SimSun" w:eastAsia="SimSun" w:cs="SimSun"/>
        <w:sz w:val="19"/>
        <w:szCs w:val="19"/>
      </w:rPr>
    </w:pPr>
    <w:r>
      <w:rPr>
        <w:rFonts w:ascii="SimSun" w:hAnsi="SimSun" w:eastAsia="SimSun" w:cs="SimSun"/>
        <w:sz w:val="19"/>
        <w:szCs w:val="19"/>
        <w:spacing w:val="-2"/>
      </w:rPr>
      <w:t>—24—</w:t>
    </w:r>
  </w:p>
</w:ftr>
</file>

<file path=word/footer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14"/>
      <w:spacing w:line="230" w:lineRule="auto"/>
      <w:rPr>
        <w:rFonts w:ascii="SimSun" w:hAnsi="SimSun" w:eastAsia="SimSun" w:cs="SimSun"/>
        <w:sz w:val="20"/>
        <w:szCs w:val="20"/>
      </w:rPr>
    </w:pPr>
    <w:r>
      <w:rPr>
        <w:rFonts w:ascii="SimSun" w:hAnsi="SimSun" w:eastAsia="SimSun" w:cs="SimSun"/>
        <w:sz w:val="20"/>
        <w:szCs w:val="20"/>
        <w:spacing w:val="-7"/>
      </w:rPr>
      <w:t>—25—</w:t>
    </w:r>
  </w:p>
</w:ftr>
</file>

<file path=word/footer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24"/>
      <w:spacing w:line="230" w:lineRule="auto"/>
      <w:rPr>
        <w:rFonts w:ascii="SimSun" w:hAnsi="SimSun" w:eastAsia="SimSun" w:cs="SimSun"/>
        <w:sz w:val="20"/>
        <w:szCs w:val="20"/>
      </w:rPr>
    </w:pPr>
    <w:r>
      <w:rPr>
        <w:rFonts w:ascii="SimSun" w:hAnsi="SimSun" w:eastAsia="SimSun" w:cs="SimSun"/>
        <w:sz w:val="20"/>
        <w:szCs w:val="20"/>
        <w:spacing w:val="-7"/>
      </w:rPr>
      <w:t>—26—</w:t>
    </w:r>
  </w:p>
</w:ftr>
</file>

<file path=word/footer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95"/>
      <w:spacing w:line="229" w:lineRule="auto"/>
      <w:rPr>
        <w:rFonts w:ascii="SimSun" w:hAnsi="SimSun" w:eastAsia="SimSun" w:cs="SimSun"/>
        <w:sz w:val="19"/>
        <w:szCs w:val="19"/>
      </w:rPr>
    </w:pPr>
    <w:r>
      <w:rPr>
        <w:rFonts w:ascii="SimSun" w:hAnsi="SimSun" w:eastAsia="SimSun" w:cs="SimSun"/>
        <w:sz w:val="19"/>
        <w:szCs w:val="19"/>
        <w:spacing w:val="-2"/>
      </w:rPr>
      <w:t>—27—</w:t>
    </w:r>
  </w:p>
</w:ftr>
</file>

<file path=word/footer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85"/>
      <w:spacing w:line="229" w:lineRule="auto"/>
      <w:rPr>
        <w:rFonts w:ascii="SimSun" w:hAnsi="SimSun" w:eastAsia="SimSun" w:cs="SimSun"/>
        <w:sz w:val="19"/>
        <w:szCs w:val="19"/>
      </w:rPr>
    </w:pPr>
    <w:r>
      <w:rPr>
        <w:rFonts w:ascii="SimSun" w:hAnsi="SimSun" w:eastAsia="SimSun" w:cs="SimSun"/>
        <w:sz w:val="19"/>
        <w:szCs w:val="19"/>
        <w:spacing w:val="-2"/>
      </w:rPr>
      <w:t>—28—</w:t>
    </w:r>
  </w:p>
</w:ftr>
</file>

<file path=word/footer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85"/>
      <w:spacing w:line="231" w:lineRule="auto"/>
      <w:rPr>
        <w:rFonts w:ascii="SimSun" w:hAnsi="SimSun" w:eastAsia="SimSun" w:cs="SimSun"/>
        <w:sz w:val="22"/>
        <w:szCs w:val="22"/>
      </w:rPr>
    </w:pPr>
    <w:r>
      <w:rPr>
        <w:rFonts w:ascii="SimSun" w:hAnsi="SimSun" w:eastAsia="SimSun" w:cs="SimSun"/>
        <w:sz w:val="22"/>
        <w:szCs w:val="22"/>
        <w:spacing w:val="-17"/>
      </w:rPr>
      <w:t>—29—</w:t>
    </w:r>
  </w:p>
</w:ftr>
</file>

<file path=word/footer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75"/>
      <w:spacing w:line="229" w:lineRule="auto"/>
      <w:rPr>
        <w:rFonts w:ascii="SimSun" w:hAnsi="SimSun" w:eastAsia="SimSun" w:cs="SimSun"/>
        <w:sz w:val="19"/>
        <w:szCs w:val="19"/>
      </w:rPr>
    </w:pPr>
    <w:r>
      <w:rPr>
        <w:rFonts w:ascii="SimSun" w:hAnsi="SimSun" w:eastAsia="SimSun" w:cs="SimSun"/>
        <w:sz w:val="19"/>
        <w:szCs w:val="19"/>
        <w:spacing w:val="-2"/>
      </w:rPr>
      <w:t>—30—</w:t>
    </w:r>
  </w:p>
</w:ftr>
</file>

<file path=word/footer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74"/>
      <w:spacing w:line="230" w:lineRule="auto"/>
      <w:rPr>
        <w:rFonts w:ascii="SimSun" w:hAnsi="SimSun" w:eastAsia="SimSun" w:cs="SimSun"/>
        <w:sz w:val="20"/>
        <w:szCs w:val="20"/>
      </w:rPr>
    </w:pPr>
    <w:r>
      <w:rPr>
        <w:rFonts w:ascii="SimSun" w:hAnsi="SimSun" w:eastAsia="SimSun" w:cs="SimSun"/>
        <w:sz w:val="20"/>
        <w:szCs w:val="20"/>
        <w:spacing w:val="-7"/>
      </w:rPr>
      <w:t>—31—</w:t>
    </w:r>
  </w:p>
</w:ftr>
</file>

<file path=word/footer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4"/>
      <w:spacing w:line="229" w:lineRule="auto"/>
      <w:rPr>
        <w:rFonts w:ascii="SimSun" w:hAnsi="SimSun" w:eastAsia="SimSun" w:cs="SimSun"/>
        <w:sz w:val="19"/>
        <w:szCs w:val="19"/>
      </w:rPr>
    </w:pPr>
    <w:r>
      <w:rPr>
        <w:rFonts w:ascii="SimSun" w:hAnsi="SimSun" w:eastAsia="SimSun" w:cs="SimSun"/>
        <w:sz w:val="19"/>
        <w:szCs w:val="19"/>
        <w:spacing w:val="-2"/>
      </w:rPr>
      <w:t>—32—</w:t>
    </w:r>
  </w:p>
</w:ftr>
</file>

<file path=word/footer3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74"/>
      <w:spacing w:line="230" w:lineRule="auto"/>
      <w:rPr>
        <w:rFonts w:ascii="SimSun" w:hAnsi="SimSun" w:eastAsia="SimSun" w:cs="SimSun"/>
        <w:sz w:val="20"/>
        <w:szCs w:val="20"/>
      </w:rPr>
    </w:pPr>
    <w:r>
      <w:rPr>
        <w:rFonts w:ascii="SimSun" w:hAnsi="SimSun" w:eastAsia="SimSun" w:cs="SimSun"/>
        <w:sz w:val="20"/>
        <w:szCs w:val="20"/>
        <w:spacing w:val="-7"/>
      </w:rPr>
      <w:t>—33—</w:t>
    </w:r>
  </w:p>
</w:ftr>
</file>

<file path=word/footer3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24"/>
      <w:spacing w:line="170" w:lineRule="auto"/>
      <w:rPr>
        <w:rFonts w:ascii="SimSun" w:hAnsi="SimSun" w:eastAsia="SimSun" w:cs="SimSun"/>
        <w:sz w:val="19"/>
        <w:szCs w:val="19"/>
      </w:rPr>
    </w:pPr>
    <w:r>
      <w:rPr>
        <w:rFonts w:ascii="SimSun" w:hAnsi="SimSun" w:eastAsia="SimSun" w:cs="SimSun"/>
        <w:sz w:val="19"/>
        <w:szCs w:val="19"/>
        <w:spacing w:val="-5"/>
      </w:rPr>
      <w:t>—</w:t>
    </w:r>
    <w:r>
      <w:rPr>
        <w:rFonts w:ascii="Times New Roman" w:hAnsi="Times New Roman" w:eastAsia="Times New Roman" w:cs="Times New Roman"/>
        <w:sz w:val="19"/>
        <w:szCs w:val="19"/>
        <w:spacing w:val="-5"/>
      </w:rPr>
      <w:t>34</w:t>
    </w:r>
    <w:r>
      <w:rPr>
        <w:rFonts w:ascii="SimSun" w:hAnsi="SimSun" w:eastAsia="SimSun" w:cs="SimSun"/>
        <w:sz w:val="19"/>
        <w:szCs w:val="19"/>
        <w:spacing w:val="-5"/>
      </w:rPr>
      <w:t>—</w:t>
    </w:r>
  </w:p>
</w:ftr>
</file>

<file path=word/footer3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14"/>
      <w:spacing w:line="228" w:lineRule="auto"/>
      <w:rPr>
        <w:rFonts w:ascii="SimSun" w:hAnsi="SimSun" w:eastAsia="SimSun" w:cs="SimSun"/>
        <w:sz w:val="17"/>
        <w:szCs w:val="17"/>
      </w:rPr>
    </w:pPr>
    <w:r>
      <w:rPr>
        <w:rFonts w:ascii="SimSun" w:hAnsi="SimSun" w:eastAsia="SimSun" w:cs="SimSun"/>
        <w:sz w:val="17"/>
        <w:szCs w:val="17"/>
        <w:spacing w:val="-2"/>
      </w:rPr>
      <w:t>—35—</w:t>
    </w:r>
  </w:p>
</w:ftr>
</file>

<file path=word/footer3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64"/>
      <w:spacing w:line="230" w:lineRule="auto"/>
      <w:rPr>
        <w:rFonts w:ascii="SimSun" w:hAnsi="SimSun" w:eastAsia="SimSun" w:cs="SimSun"/>
        <w:sz w:val="20"/>
        <w:szCs w:val="20"/>
      </w:rPr>
    </w:pPr>
    <w:r>
      <w:rPr>
        <w:rFonts w:ascii="SimSun" w:hAnsi="SimSun" w:eastAsia="SimSun" w:cs="SimSun"/>
        <w:sz w:val="20"/>
        <w:szCs w:val="20"/>
        <w:spacing w:val="-7"/>
      </w:rPr>
      <w:t>—36—</w:t>
    </w:r>
  </w:p>
</w:ftr>
</file>

<file path=word/footer3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04"/>
      <w:spacing w:line="230" w:lineRule="auto"/>
      <w:rPr>
        <w:rFonts w:ascii="SimSun" w:hAnsi="SimSun" w:eastAsia="SimSun" w:cs="SimSun"/>
        <w:sz w:val="20"/>
        <w:szCs w:val="20"/>
      </w:rPr>
    </w:pPr>
    <w:r>
      <w:rPr>
        <w:rFonts w:ascii="SimSun" w:hAnsi="SimSun" w:eastAsia="SimSun" w:cs="SimSun"/>
        <w:sz w:val="20"/>
        <w:szCs w:val="20"/>
        <w:spacing w:val="-2"/>
      </w:rPr>
      <w:t>—37—</w:t>
    </w:r>
  </w:p>
</w:ftr>
</file>

<file path=word/footer3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14"/>
      <w:spacing w:line="228" w:lineRule="auto"/>
      <w:rPr>
        <w:rFonts w:ascii="SimSun" w:hAnsi="SimSun" w:eastAsia="SimSun" w:cs="SimSun"/>
        <w:sz w:val="17"/>
        <w:szCs w:val="17"/>
      </w:rPr>
    </w:pPr>
    <w:r>
      <w:rPr>
        <w:rFonts w:ascii="SimSun" w:hAnsi="SimSun" w:eastAsia="SimSun" w:cs="SimSun"/>
        <w:sz w:val="17"/>
        <w:szCs w:val="17"/>
        <w:spacing w:val="-2"/>
      </w:rPr>
      <w:t>—38—</w:t>
    </w:r>
  </w:p>
</w:ftr>
</file>

<file path=word/footer3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74"/>
      <w:spacing w:line="229" w:lineRule="auto"/>
      <w:rPr>
        <w:rFonts w:ascii="SimSun" w:hAnsi="SimSun" w:eastAsia="SimSun" w:cs="SimSun"/>
        <w:sz w:val="19"/>
        <w:szCs w:val="19"/>
      </w:rPr>
    </w:pPr>
    <w:r>
      <w:rPr>
        <w:rFonts w:ascii="SimSun" w:hAnsi="SimSun" w:eastAsia="SimSun" w:cs="SimSun"/>
        <w:sz w:val="19"/>
        <w:szCs w:val="19"/>
        <w:spacing w:val="-2"/>
      </w:rPr>
      <w:t>—39—</w:t>
    </w:r>
  </w:p>
</w:ftr>
</file>

<file path=word/footer4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99"/>
      <w:spacing w:before="1" w:line="231" w:lineRule="auto"/>
      <w:rPr>
        <w:rFonts w:ascii="SimSun" w:hAnsi="SimSun" w:eastAsia="SimSun" w:cs="SimSun"/>
        <w:sz w:val="24"/>
        <w:szCs w:val="24"/>
      </w:rPr>
    </w:pPr>
    <w:r>
      <w:rPr>
        <w:rFonts w:ascii="SimSun" w:hAnsi="SimSun" w:eastAsia="SimSun" w:cs="SimSun"/>
        <w:sz w:val="24"/>
        <w:szCs w:val="24"/>
        <w:spacing w:val="-15"/>
        <w:w w:val="93"/>
      </w:rPr>
      <w:t>—40—</w:t>
    </w:r>
  </w:p>
</w:ftr>
</file>

<file path=word/footer4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05"/>
      <w:spacing w:before="1" w:line="232" w:lineRule="auto"/>
      <w:rPr>
        <w:rFonts w:ascii="SimSun" w:hAnsi="SimSun" w:eastAsia="SimSun" w:cs="SimSun"/>
        <w:sz w:val="23"/>
        <w:szCs w:val="23"/>
      </w:rPr>
    </w:pPr>
    <w:r>
      <w:rPr>
        <w:rFonts w:ascii="SimSun" w:hAnsi="SimSun" w:eastAsia="SimSun" w:cs="SimSun"/>
        <w:sz w:val="23"/>
        <w:szCs w:val="23"/>
        <w:spacing w:val="-22"/>
        <w:w w:val="99"/>
      </w:rPr>
      <w:t>—41—</w:t>
    </w:r>
  </w:p>
</w:ftr>
</file>

<file path=word/footer4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19"/>
      <w:spacing w:line="171" w:lineRule="auto"/>
      <w:rPr>
        <w:rFonts w:ascii="SimSun" w:hAnsi="SimSun" w:eastAsia="SimSun" w:cs="SimSun"/>
        <w:sz w:val="20"/>
        <w:szCs w:val="20"/>
      </w:rPr>
    </w:pPr>
    <w:r>
      <w:rPr>
        <w:rFonts w:ascii="Times New Roman" w:hAnsi="Times New Roman" w:eastAsia="Times New Roman" w:cs="Times New Roman"/>
        <w:sz w:val="20"/>
        <w:szCs w:val="20"/>
        <w:spacing w:val="-6"/>
      </w:rPr>
      <w:t>—42</w:t>
    </w:r>
    <w:r>
      <w:rPr>
        <w:rFonts w:ascii="SimSun" w:hAnsi="SimSun" w:eastAsia="SimSun" w:cs="SimSun"/>
        <w:sz w:val="20"/>
        <w:szCs w:val="20"/>
        <w:spacing w:val="-6"/>
      </w:rPr>
      <w:t>—</w:t>
    </w:r>
  </w:p>
</w:ftr>
</file>

<file path=word/footer4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95"/>
      <w:spacing w:line="230" w:lineRule="auto"/>
      <w:rPr>
        <w:rFonts w:ascii="SimSun" w:hAnsi="SimSun" w:eastAsia="SimSun" w:cs="SimSun"/>
        <w:sz w:val="20"/>
        <w:szCs w:val="20"/>
      </w:rPr>
    </w:pPr>
    <w:r>
      <w:rPr>
        <w:rFonts w:ascii="SimSun" w:hAnsi="SimSun" w:eastAsia="SimSun" w:cs="SimSun"/>
        <w:sz w:val="20"/>
        <w:szCs w:val="20"/>
        <w:spacing w:val="-8"/>
      </w:rPr>
      <w:t>—43—</w:t>
    </w:r>
  </w:p>
</w:ftr>
</file>

<file path=word/footer4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63"/>
      <w:spacing w:line="231" w:lineRule="auto"/>
      <w:rPr>
        <w:rFonts w:ascii="SimSun" w:hAnsi="SimSun" w:eastAsia="SimSun" w:cs="SimSun"/>
        <w:sz w:val="20"/>
        <w:szCs w:val="20"/>
      </w:rPr>
    </w:pPr>
    <w:r>
      <w:rPr>
        <w:rFonts w:ascii="SimSun" w:hAnsi="SimSun" w:eastAsia="SimSun" w:cs="SimSun"/>
        <w:sz w:val="20"/>
        <w:szCs w:val="20"/>
        <w:spacing w:val="-7"/>
      </w:rPr>
      <w:t>—44—</w:t>
    </w:r>
  </w:p>
</w:ftr>
</file>

<file path=word/footer4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74"/>
      <w:spacing w:line="230" w:lineRule="auto"/>
      <w:rPr>
        <w:rFonts w:ascii="SimSun" w:hAnsi="SimSun" w:eastAsia="SimSun" w:cs="SimSun"/>
        <w:sz w:val="20"/>
        <w:szCs w:val="20"/>
      </w:rPr>
    </w:pPr>
    <w:r>
      <w:rPr>
        <w:rFonts w:ascii="SimSun" w:hAnsi="SimSun" w:eastAsia="SimSun" w:cs="SimSun"/>
        <w:sz w:val="20"/>
        <w:szCs w:val="20"/>
        <w:spacing w:val="-7"/>
      </w:rPr>
      <w:t>—45—</w:t>
    </w:r>
  </w:p>
</w:ftr>
</file>

<file path=word/footer4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445"/>
      <w:spacing w:line="230" w:lineRule="auto"/>
      <w:rPr>
        <w:rFonts w:ascii="SimSun" w:hAnsi="SimSun" w:eastAsia="SimSun" w:cs="SimSun"/>
        <w:sz w:val="20"/>
        <w:szCs w:val="20"/>
      </w:rPr>
    </w:pPr>
    <w:r>
      <w:rPr>
        <w:rFonts w:ascii="SimSun" w:hAnsi="SimSun" w:eastAsia="SimSun" w:cs="SimSun"/>
        <w:sz w:val="20"/>
        <w:szCs w:val="20"/>
        <w:spacing w:val="-8"/>
      </w:rPr>
      <w:t>—46—</w:t>
    </w:r>
  </w:p>
</w:ftr>
</file>

<file path=word/footer4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445"/>
      <w:spacing w:line="230" w:lineRule="auto"/>
      <w:rPr>
        <w:rFonts w:ascii="SimSun" w:hAnsi="SimSun" w:eastAsia="SimSun" w:cs="SimSun"/>
        <w:sz w:val="20"/>
        <w:szCs w:val="20"/>
      </w:rPr>
    </w:pPr>
    <w:r>
      <w:rPr>
        <w:rFonts w:ascii="SimSun" w:hAnsi="SimSun" w:eastAsia="SimSun" w:cs="SimSun"/>
        <w:sz w:val="20"/>
        <w:szCs w:val="20"/>
        <w:spacing w:val="-8"/>
      </w:rPr>
      <w:t>—47—</w:t>
    </w:r>
  </w:p>
</w:ftr>
</file>

<file path=word/footer4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445"/>
      <w:spacing w:line="230" w:lineRule="auto"/>
      <w:rPr>
        <w:rFonts w:ascii="SimSun" w:hAnsi="SimSun" w:eastAsia="SimSun" w:cs="SimSun"/>
        <w:sz w:val="20"/>
        <w:szCs w:val="20"/>
      </w:rPr>
    </w:pPr>
    <w:r>
      <w:rPr>
        <w:rFonts w:ascii="SimSun" w:hAnsi="SimSun" w:eastAsia="SimSun" w:cs="SimSun"/>
        <w:sz w:val="20"/>
        <w:szCs w:val="20"/>
        <w:spacing w:val="-7"/>
      </w:rPr>
      <w:t>—48—</w:t>
    </w:r>
  </w:p>
</w:ftr>
</file>

<file path=word/footer4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445"/>
      <w:spacing w:line="230" w:lineRule="auto"/>
      <w:rPr>
        <w:rFonts w:ascii="SimSun" w:hAnsi="SimSun" w:eastAsia="SimSun" w:cs="SimSun"/>
        <w:sz w:val="20"/>
        <w:szCs w:val="20"/>
      </w:rPr>
    </w:pPr>
    <w:r>
      <w:rPr>
        <w:rFonts w:ascii="SimSun" w:hAnsi="SimSun" w:eastAsia="SimSun" w:cs="SimSun"/>
        <w:sz w:val="20"/>
        <w:szCs w:val="20"/>
        <w:spacing w:val="-8"/>
      </w:rPr>
      <w:t>—49—</w:t>
    </w:r>
  </w:p>
</w:ftr>
</file>

<file path=word/footer5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464"/>
      <w:spacing w:line="229" w:lineRule="auto"/>
      <w:rPr>
        <w:rFonts w:ascii="SimSun" w:hAnsi="SimSun" w:eastAsia="SimSun" w:cs="SimSun"/>
        <w:sz w:val="19"/>
        <w:szCs w:val="19"/>
      </w:rPr>
    </w:pPr>
    <w:r>
      <w:rPr>
        <w:rFonts w:ascii="SimSun" w:hAnsi="SimSun" w:eastAsia="SimSun" w:cs="SimSun"/>
        <w:sz w:val="19"/>
        <w:szCs w:val="19"/>
        <w:spacing w:val="-2"/>
      </w:rPr>
      <w:t>—50—</w:t>
    </w:r>
  </w:p>
</w:ftr>
</file>

<file path=word/footer5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455"/>
      <w:spacing w:line="230" w:lineRule="auto"/>
      <w:rPr>
        <w:rFonts w:ascii="SimSun" w:hAnsi="SimSun" w:eastAsia="SimSun" w:cs="SimSun"/>
        <w:sz w:val="20"/>
        <w:szCs w:val="20"/>
      </w:rPr>
    </w:pPr>
    <w:r>
      <w:rPr>
        <w:rFonts w:ascii="SimSun" w:hAnsi="SimSun" w:eastAsia="SimSun" w:cs="SimSun"/>
        <w:sz w:val="20"/>
        <w:szCs w:val="20"/>
        <w:spacing w:val="-7"/>
      </w:rPr>
      <w:t>—51—</w:t>
    </w:r>
  </w:p>
</w:ftr>
</file>

<file path=word/footer5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445"/>
      <w:spacing w:line="229" w:lineRule="auto"/>
      <w:rPr>
        <w:rFonts w:ascii="SimSun" w:hAnsi="SimSun" w:eastAsia="SimSun" w:cs="SimSun"/>
        <w:sz w:val="19"/>
        <w:szCs w:val="19"/>
      </w:rPr>
    </w:pPr>
    <w:r>
      <w:rPr>
        <w:rFonts w:ascii="SimSun" w:hAnsi="SimSun" w:eastAsia="SimSun" w:cs="SimSun"/>
        <w:sz w:val="19"/>
        <w:szCs w:val="19"/>
        <w:spacing w:val="-3"/>
      </w:rPr>
      <w:t>-5 2一</w:t>
    </w:r>
  </w:p>
</w:ftr>
</file>

<file path=word/footer5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455"/>
      <w:spacing w:line="230" w:lineRule="auto"/>
      <w:rPr>
        <w:rFonts w:ascii="SimSun" w:hAnsi="SimSun" w:eastAsia="SimSun" w:cs="SimSun"/>
        <w:sz w:val="20"/>
        <w:szCs w:val="20"/>
      </w:rPr>
    </w:pPr>
    <w:r>
      <w:rPr>
        <w:rFonts w:ascii="SimSun" w:hAnsi="SimSun" w:eastAsia="SimSun" w:cs="SimSun"/>
        <w:sz w:val="20"/>
        <w:szCs w:val="20"/>
        <w:spacing w:val="-7"/>
      </w:rPr>
      <w:t>—53—</w:t>
    </w:r>
  </w:p>
</w:ftr>
</file>

<file path=word/footer5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445"/>
      <w:spacing w:line="230" w:lineRule="auto"/>
      <w:rPr>
        <w:rFonts w:ascii="SimSun" w:hAnsi="SimSun" w:eastAsia="SimSun" w:cs="SimSun"/>
        <w:sz w:val="20"/>
        <w:szCs w:val="20"/>
      </w:rPr>
    </w:pPr>
    <w:r>
      <w:rPr>
        <w:rFonts w:ascii="SimSun" w:hAnsi="SimSun" w:eastAsia="SimSun" w:cs="SimSun"/>
        <w:sz w:val="20"/>
        <w:szCs w:val="20"/>
        <w:spacing w:val="-7"/>
      </w:rPr>
      <w:t>—54—</w:t>
    </w:r>
  </w:p>
</w:ftr>
</file>

<file path=word/footer5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445"/>
      <w:spacing w:line="230" w:lineRule="auto"/>
      <w:rPr>
        <w:rFonts w:ascii="SimSun" w:hAnsi="SimSun" w:eastAsia="SimSun" w:cs="SimSun"/>
        <w:sz w:val="20"/>
        <w:szCs w:val="20"/>
      </w:rPr>
    </w:pPr>
    <w:r>
      <w:rPr>
        <w:rFonts w:ascii="SimSun" w:hAnsi="SimSun" w:eastAsia="SimSun" w:cs="SimSun"/>
        <w:sz w:val="20"/>
        <w:szCs w:val="20"/>
        <w:spacing w:val="-7"/>
      </w:rPr>
      <w:t>—55—</w:t>
    </w:r>
  </w:p>
</w:ftr>
</file>

<file path=word/footer5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464"/>
      <w:spacing w:line="229" w:lineRule="auto"/>
      <w:rPr>
        <w:rFonts w:ascii="SimSun" w:hAnsi="SimSun" w:eastAsia="SimSun" w:cs="SimSun"/>
        <w:sz w:val="19"/>
        <w:szCs w:val="19"/>
      </w:rPr>
    </w:pPr>
    <w:r>
      <w:rPr>
        <w:rFonts w:ascii="SimSun" w:hAnsi="SimSun" w:eastAsia="SimSun" w:cs="SimSun"/>
        <w:sz w:val="19"/>
        <w:szCs w:val="19"/>
        <w:spacing w:val="-2"/>
      </w:rPr>
      <w:t>—56—</w:t>
    </w:r>
  </w:p>
</w:ftr>
</file>

<file path=word/footer5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445"/>
      <w:spacing w:line="230" w:lineRule="auto"/>
      <w:rPr>
        <w:rFonts w:ascii="SimSun" w:hAnsi="SimSun" w:eastAsia="SimSun" w:cs="SimSun"/>
        <w:sz w:val="20"/>
        <w:szCs w:val="20"/>
      </w:rPr>
    </w:pPr>
    <w:r>
      <w:rPr>
        <w:rFonts w:ascii="SimSun" w:hAnsi="SimSun" w:eastAsia="SimSun" w:cs="SimSun"/>
        <w:sz w:val="20"/>
        <w:szCs w:val="20"/>
        <w:spacing w:val="-8"/>
      </w:rPr>
      <w:t>—57—</w:t>
    </w:r>
  </w:p>
</w:ftr>
</file>

<file path=word/footer5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70"/>
      <w:spacing w:line="231" w:lineRule="auto"/>
      <w:rPr>
        <w:rFonts w:ascii="SimSun" w:hAnsi="SimSun" w:eastAsia="SimSun" w:cs="SimSun"/>
        <w:sz w:val="23"/>
        <w:szCs w:val="23"/>
      </w:rPr>
    </w:pPr>
    <w:r>
      <w:rPr>
        <w:rFonts w:ascii="SimSun" w:hAnsi="SimSun" w:eastAsia="SimSun" w:cs="SimSun"/>
        <w:sz w:val="23"/>
        <w:szCs w:val="23"/>
        <w:spacing w:val="-17"/>
        <w:w w:val="96"/>
      </w:rPr>
      <w:t>—58—</w:t>
    </w:r>
  </w:p>
</w:ftr>
</file>

<file path=word/footer5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39"/>
      <w:spacing w:line="231" w:lineRule="auto"/>
      <w:rPr>
        <w:rFonts w:ascii="SimSun" w:hAnsi="SimSun" w:eastAsia="SimSun" w:cs="SimSun"/>
        <w:sz w:val="23"/>
        <w:szCs w:val="23"/>
      </w:rPr>
    </w:pPr>
    <w:r>
      <w:rPr>
        <w:rFonts w:ascii="SimSun" w:hAnsi="SimSun" w:eastAsia="SimSun" w:cs="SimSun"/>
        <w:sz w:val="23"/>
        <w:szCs w:val="23"/>
        <w:spacing w:val="-17"/>
        <w:w w:val="96"/>
      </w:rPr>
      <w:t>—59—</w:t>
    </w:r>
  </w:p>
</w:ftr>
</file>

<file path=word/footer6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63"/>
      <w:spacing w:line="230" w:lineRule="auto"/>
      <w:rPr>
        <w:rFonts w:ascii="SimSun" w:hAnsi="SimSun" w:eastAsia="SimSun" w:cs="SimSun"/>
        <w:sz w:val="20"/>
        <w:szCs w:val="20"/>
      </w:rPr>
    </w:pPr>
    <w:r>
      <w:rPr>
        <w:rFonts w:ascii="SimSun" w:hAnsi="SimSun" w:eastAsia="SimSun" w:cs="SimSun"/>
        <w:sz w:val="20"/>
        <w:szCs w:val="20"/>
        <w:spacing w:val="-8"/>
      </w:rPr>
      <w:t>—60—</w:t>
    </w:r>
  </w:p>
</w:ftr>
</file>

<file path=word/footer6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80"/>
      <w:spacing w:before="1" w:line="170" w:lineRule="auto"/>
      <w:rPr>
        <w:rFonts w:ascii="Times New Roman" w:hAnsi="Times New Roman" w:eastAsia="Times New Roman" w:cs="Times New Roman"/>
        <w:sz w:val="20"/>
        <w:szCs w:val="20"/>
      </w:rPr>
    </w:pPr>
    <w:r>
      <w:rPr>
        <w:rFonts w:ascii="SimSun" w:hAnsi="SimSun" w:eastAsia="SimSun" w:cs="SimSun"/>
        <w:sz w:val="20"/>
        <w:szCs w:val="20"/>
        <w:spacing w:val="-10"/>
      </w:rPr>
      <w:t>—</w:t>
    </w:r>
    <w:r>
      <w:rPr>
        <w:rFonts w:ascii="Times New Roman" w:hAnsi="Times New Roman" w:eastAsia="Times New Roman" w:cs="Times New Roman"/>
        <w:sz w:val="20"/>
        <w:szCs w:val="20"/>
        <w:spacing w:val="-10"/>
      </w:rPr>
      <w:t>61—</w:t>
    </w:r>
  </w:p>
</w:ftr>
</file>

<file path=word/footer6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63"/>
      <w:spacing w:before="1" w:line="231" w:lineRule="auto"/>
      <w:rPr>
        <w:rFonts w:ascii="SimSun" w:hAnsi="SimSun" w:eastAsia="SimSun" w:cs="SimSun"/>
        <w:sz w:val="24"/>
        <w:szCs w:val="24"/>
      </w:rPr>
    </w:pPr>
    <w:r>
      <w:rPr>
        <w:rFonts w:ascii="SimSun" w:hAnsi="SimSun" w:eastAsia="SimSun" w:cs="SimSun"/>
        <w:sz w:val="24"/>
        <w:szCs w:val="24"/>
        <w:spacing w:val="-16"/>
        <w:w w:val="93"/>
      </w:rPr>
      <w:t>—62—</w:t>
    </w:r>
  </w:p>
</w:ftr>
</file>

<file path=word/footer6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795"/>
      <w:spacing w:line="229" w:lineRule="auto"/>
      <w:rPr>
        <w:rFonts w:ascii="SimSun" w:hAnsi="SimSun" w:eastAsia="SimSun" w:cs="SimSun"/>
        <w:sz w:val="19"/>
        <w:szCs w:val="19"/>
      </w:rPr>
    </w:pPr>
    <w:r>
      <w:rPr>
        <w:rFonts w:ascii="SimSun" w:hAnsi="SimSun" w:eastAsia="SimSun" w:cs="SimSun"/>
        <w:sz w:val="19"/>
        <w:szCs w:val="19"/>
        <w:spacing w:val="-2"/>
      </w:rPr>
      <w:t>—63—</w:t>
    </w:r>
  </w:p>
</w:ftr>
</file>

<file path=word/footer6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815"/>
      <w:spacing w:line="229" w:lineRule="auto"/>
      <w:rPr>
        <w:rFonts w:ascii="SimSun" w:hAnsi="SimSun" w:eastAsia="SimSun" w:cs="SimSun"/>
        <w:sz w:val="19"/>
        <w:szCs w:val="19"/>
      </w:rPr>
    </w:pPr>
    <w:r>
      <w:rPr>
        <w:rFonts w:ascii="SimSun" w:hAnsi="SimSun" w:eastAsia="SimSun" w:cs="SimSun"/>
        <w:sz w:val="19"/>
        <w:szCs w:val="19"/>
        <w:spacing w:val="-2"/>
      </w:rPr>
      <w:t>—64—</w:t>
    </w:r>
  </w:p>
</w:ftr>
</file>

<file path=word/footer6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729"/>
      <w:spacing w:line="229" w:lineRule="auto"/>
      <w:rPr>
        <w:rFonts w:ascii="SimSun" w:hAnsi="SimSun" w:eastAsia="SimSun" w:cs="SimSun"/>
        <w:sz w:val="19"/>
        <w:szCs w:val="19"/>
      </w:rPr>
    </w:pPr>
    <w:r>
      <w:rPr>
        <w:rFonts w:ascii="SimSun" w:hAnsi="SimSun" w:eastAsia="SimSun" w:cs="SimSun"/>
        <w:sz w:val="19"/>
        <w:szCs w:val="19"/>
        <w:spacing w:val="-2"/>
      </w:rPr>
      <w:t>—65—</w:t>
    </w:r>
  </w:p>
</w:ftr>
</file>

<file path=word/footer6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90"/>
      <w:spacing w:line="229" w:lineRule="auto"/>
      <w:rPr>
        <w:rFonts w:ascii="SimSun" w:hAnsi="SimSun" w:eastAsia="SimSun" w:cs="SimSun"/>
        <w:sz w:val="19"/>
        <w:szCs w:val="19"/>
      </w:rPr>
    </w:pPr>
    <w:r>
      <w:rPr>
        <w:rFonts w:ascii="SimSun" w:hAnsi="SimSun" w:eastAsia="SimSun" w:cs="SimSun"/>
        <w:sz w:val="19"/>
        <w:szCs w:val="19"/>
        <w:spacing w:val="-2"/>
      </w:rPr>
      <w:t>—66—</w:t>
    </w:r>
  </w:p>
</w:ftr>
</file>

<file path=word/footer6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95"/>
      <w:spacing w:line="231" w:lineRule="auto"/>
      <w:rPr>
        <w:rFonts w:ascii="SimSun" w:hAnsi="SimSun" w:eastAsia="SimSun" w:cs="SimSun"/>
        <w:sz w:val="23"/>
        <w:szCs w:val="23"/>
      </w:rPr>
    </w:pPr>
    <w:r>
      <w:rPr>
        <w:rFonts w:ascii="SimSun" w:hAnsi="SimSun" w:eastAsia="SimSun" w:cs="SimSun"/>
        <w:sz w:val="23"/>
        <w:szCs w:val="23"/>
        <w:spacing w:val="-17"/>
        <w:w w:val="96"/>
      </w:rPr>
      <w:t>—67—</w:t>
    </w:r>
  </w:p>
</w:ftr>
</file>

<file path=word/footer6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94"/>
      <w:spacing w:line="231" w:lineRule="auto"/>
      <w:rPr>
        <w:rFonts w:ascii="SimSun" w:hAnsi="SimSun" w:eastAsia="SimSun" w:cs="SimSun"/>
        <w:sz w:val="23"/>
        <w:szCs w:val="23"/>
      </w:rPr>
    </w:pPr>
    <w:r>
      <w:rPr>
        <w:rFonts w:ascii="SimSun" w:hAnsi="SimSun" w:eastAsia="SimSun" w:cs="SimSun"/>
        <w:sz w:val="23"/>
        <w:szCs w:val="23"/>
        <w:spacing w:val="-15"/>
        <w:w w:val="95"/>
      </w:rPr>
      <w:t>—68—</w:t>
    </w:r>
  </w:p>
</w:ftr>
</file>

<file path=word/footer6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15"/>
      <w:spacing w:line="170" w:lineRule="auto"/>
      <w:rPr>
        <w:rFonts w:ascii="Times New Roman" w:hAnsi="Times New Roman" w:eastAsia="Times New Roman" w:cs="Times New Roman"/>
        <w:sz w:val="19"/>
        <w:szCs w:val="19"/>
      </w:rPr>
    </w:pPr>
    <w:r>
      <w:rPr>
        <w:rFonts w:ascii="SimSun" w:hAnsi="SimSun" w:eastAsia="SimSun" w:cs="SimSun"/>
        <w:sz w:val="19"/>
        <w:szCs w:val="19"/>
        <w:spacing w:val="-7"/>
      </w:rPr>
      <w:t>—</w:t>
    </w:r>
    <w:r>
      <w:rPr>
        <w:rFonts w:ascii="Times New Roman" w:hAnsi="Times New Roman" w:eastAsia="Times New Roman" w:cs="Times New Roman"/>
        <w:sz w:val="19"/>
        <w:szCs w:val="19"/>
        <w:spacing w:val="-7"/>
      </w:rPr>
      <w:t>69—</w:t>
    </w:r>
  </w:p>
</w:ftr>
</file>

<file path=word/footer7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95"/>
      <w:spacing w:line="230" w:lineRule="auto"/>
      <w:rPr>
        <w:rFonts w:ascii="SimSun" w:hAnsi="SimSun" w:eastAsia="SimSun" w:cs="SimSun"/>
        <w:sz w:val="20"/>
        <w:szCs w:val="20"/>
      </w:rPr>
    </w:pPr>
    <w:r>
      <w:rPr>
        <w:rFonts w:ascii="SimSun" w:hAnsi="SimSun" w:eastAsia="SimSun" w:cs="SimSun"/>
        <w:sz w:val="20"/>
        <w:szCs w:val="20"/>
        <w:spacing w:val="-8"/>
      </w:rPr>
      <w:t>—70—</w:t>
    </w:r>
  </w:p>
</w:ftr>
</file>

<file path=word/footer7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00"/>
      <w:spacing w:line="231" w:lineRule="auto"/>
      <w:rPr>
        <w:rFonts w:ascii="SimSun" w:hAnsi="SimSun" w:eastAsia="SimSun" w:cs="SimSun"/>
        <w:sz w:val="23"/>
        <w:szCs w:val="23"/>
      </w:rPr>
    </w:pPr>
    <w:r>
      <w:rPr>
        <w:rFonts w:ascii="SimSun" w:hAnsi="SimSun" w:eastAsia="SimSun" w:cs="SimSun"/>
        <w:sz w:val="23"/>
        <w:szCs w:val="23"/>
        <w:spacing w:val="-23"/>
      </w:rPr>
      <w:t>—71—</w:t>
    </w:r>
  </w:p>
</w:ftr>
</file>

<file path=word/footer7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95"/>
      <w:spacing w:line="231" w:lineRule="auto"/>
      <w:rPr>
        <w:rFonts w:ascii="SimSun" w:hAnsi="SimSun" w:eastAsia="SimSun" w:cs="SimSun"/>
        <w:sz w:val="23"/>
        <w:szCs w:val="23"/>
      </w:rPr>
    </w:pPr>
    <w:r>
      <w:rPr>
        <w:rFonts w:ascii="SimSun" w:hAnsi="SimSun" w:eastAsia="SimSun" w:cs="SimSun"/>
        <w:sz w:val="23"/>
        <w:szCs w:val="23"/>
        <w:spacing w:val="-18"/>
        <w:w w:val="97"/>
      </w:rPr>
      <w:t>—72—</w:t>
    </w:r>
  </w:p>
</w:ftr>
</file>

<file path=word/footer7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00"/>
      <w:spacing w:line="231" w:lineRule="auto"/>
      <w:rPr>
        <w:rFonts w:ascii="SimSun" w:hAnsi="SimSun" w:eastAsia="SimSun" w:cs="SimSun"/>
        <w:sz w:val="23"/>
        <w:szCs w:val="23"/>
      </w:rPr>
    </w:pPr>
    <w:r>
      <w:rPr>
        <w:rFonts w:ascii="SimSun" w:hAnsi="SimSun" w:eastAsia="SimSun" w:cs="SimSun"/>
        <w:sz w:val="23"/>
        <w:szCs w:val="23"/>
        <w:spacing w:val="-18"/>
        <w:w w:val="97"/>
      </w:rPr>
      <w:t>—73—</w:t>
    </w:r>
  </w:p>
</w:ftr>
</file>

<file path=word/footer7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84"/>
      <w:spacing w:line="172" w:lineRule="auto"/>
      <w:rPr>
        <w:rFonts w:ascii="Times New Roman" w:hAnsi="Times New Roman" w:eastAsia="Times New Roman" w:cs="Times New Roman"/>
        <w:sz w:val="23"/>
        <w:szCs w:val="23"/>
      </w:rPr>
    </w:pPr>
    <w:r>
      <w:rPr>
        <w:rFonts w:ascii="SimSun" w:hAnsi="SimSun" w:eastAsia="SimSun" w:cs="SimSun"/>
        <w:sz w:val="23"/>
        <w:szCs w:val="23"/>
        <w:spacing w:val="-7"/>
        <w:w w:val="90"/>
      </w:rPr>
      <w:t>—</w:t>
    </w:r>
    <w:r>
      <w:rPr>
        <w:rFonts w:ascii="Times New Roman" w:hAnsi="Times New Roman" w:eastAsia="Times New Roman" w:cs="Times New Roman"/>
        <w:sz w:val="23"/>
        <w:szCs w:val="23"/>
        <w:spacing w:val="-7"/>
        <w:w w:val="90"/>
      </w:rPr>
      <w:t>74—</w:t>
    </w:r>
  </w:p>
</w:ftr>
</file>

<file path=word/footer7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19"/>
      <w:spacing w:line="231" w:lineRule="auto"/>
      <w:rPr>
        <w:rFonts w:ascii="SimSun" w:hAnsi="SimSun" w:eastAsia="SimSun" w:cs="SimSun"/>
        <w:sz w:val="23"/>
        <w:szCs w:val="23"/>
      </w:rPr>
    </w:pPr>
    <w:r>
      <w:rPr>
        <w:rFonts w:ascii="SimSun" w:hAnsi="SimSun" w:eastAsia="SimSun" w:cs="SimSun"/>
        <w:sz w:val="23"/>
        <w:szCs w:val="23"/>
        <w:spacing w:val="-18"/>
        <w:w w:val="97"/>
      </w:rPr>
      <w:t>—75—</w:t>
    </w:r>
  </w:p>
</w:ftr>
</file>

<file path=word/footer7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34"/>
      <w:spacing w:line="230" w:lineRule="auto"/>
      <w:rPr>
        <w:rFonts w:ascii="SimSun" w:hAnsi="SimSun" w:eastAsia="SimSun" w:cs="SimSun"/>
        <w:sz w:val="20"/>
        <w:szCs w:val="20"/>
      </w:rPr>
    </w:pPr>
    <w:r>
      <w:rPr>
        <w:rFonts w:ascii="SimSun" w:hAnsi="SimSun" w:eastAsia="SimSun" w:cs="SimSun"/>
        <w:sz w:val="20"/>
        <w:szCs w:val="20"/>
        <w:spacing w:val="-8"/>
      </w:rPr>
      <w:t>—76—</w:t>
    </w:r>
  </w:p>
</w:ftr>
</file>

<file path=word/footer7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74"/>
      <w:spacing w:before="1" w:line="231" w:lineRule="auto"/>
      <w:rPr>
        <w:rFonts w:ascii="SimSun" w:hAnsi="SimSun" w:eastAsia="SimSun" w:cs="SimSun"/>
        <w:sz w:val="24"/>
        <w:szCs w:val="24"/>
      </w:rPr>
    </w:pPr>
    <w:r>
      <w:rPr>
        <w:rFonts w:ascii="SimSun" w:hAnsi="SimSun" w:eastAsia="SimSun" w:cs="SimSun"/>
        <w:sz w:val="24"/>
        <w:szCs w:val="24"/>
        <w:spacing w:val="-19"/>
        <w:w w:val="95"/>
      </w:rPr>
      <w:t>—77—</w:t>
    </w:r>
  </w:p>
</w:ftr>
</file>

<file path=word/footer7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84"/>
      <w:spacing w:line="230" w:lineRule="auto"/>
      <w:rPr>
        <w:rFonts w:ascii="SimSun" w:hAnsi="SimSun" w:eastAsia="SimSun" w:cs="SimSun"/>
        <w:sz w:val="20"/>
        <w:szCs w:val="20"/>
      </w:rPr>
    </w:pPr>
    <w:r>
      <w:rPr>
        <w:rFonts w:ascii="SimSun" w:hAnsi="SimSun" w:eastAsia="SimSun" w:cs="SimSun"/>
        <w:sz w:val="20"/>
        <w:szCs w:val="20"/>
        <w:spacing w:val="-8"/>
      </w:rPr>
      <w:t>—78—</w:t>
    </w:r>
  </w:p>
</w:ftr>
</file>

<file path=word/footer7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10"/>
      <w:spacing w:line="229" w:lineRule="auto"/>
      <w:rPr>
        <w:rFonts w:ascii="SimSun" w:hAnsi="SimSun" w:eastAsia="SimSun" w:cs="SimSun"/>
        <w:sz w:val="19"/>
        <w:szCs w:val="19"/>
      </w:rPr>
    </w:pPr>
    <w:r>
      <w:rPr>
        <w:rFonts w:ascii="SimSun" w:hAnsi="SimSun" w:eastAsia="SimSun" w:cs="SimSun"/>
        <w:sz w:val="19"/>
        <w:szCs w:val="19"/>
        <w:spacing w:val="-2"/>
      </w:rPr>
      <w:t>—79—</w:t>
    </w:r>
  </w:p>
</w:ftr>
</file>

<file path=word/footer8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80"/>
      <w:spacing w:line="230" w:lineRule="auto"/>
      <w:rPr>
        <w:rFonts w:ascii="SimSun" w:hAnsi="SimSun" w:eastAsia="SimSun" w:cs="SimSun"/>
        <w:sz w:val="20"/>
        <w:szCs w:val="20"/>
      </w:rPr>
    </w:pPr>
    <w:r>
      <w:rPr>
        <w:rFonts w:ascii="SimSun" w:hAnsi="SimSun" w:eastAsia="SimSun" w:cs="SimSun"/>
        <w:sz w:val="20"/>
        <w:szCs w:val="20"/>
        <w:spacing w:val="-8"/>
      </w:rPr>
      <w:t>—80—</w:t>
    </w:r>
  </w:p>
</w:ftr>
</file>

<file path=word/footer8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84"/>
      <w:spacing w:line="230" w:lineRule="auto"/>
      <w:rPr>
        <w:rFonts w:ascii="SimSun" w:hAnsi="SimSun" w:eastAsia="SimSun" w:cs="SimSun"/>
        <w:sz w:val="20"/>
        <w:szCs w:val="20"/>
      </w:rPr>
    </w:pPr>
    <w:r>
      <w:rPr>
        <w:rFonts w:ascii="SimSun" w:hAnsi="SimSun" w:eastAsia="SimSun" w:cs="SimSun"/>
        <w:sz w:val="20"/>
        <w:szCs w:val="20"/>
        <w:spacing w:val="-8"/>
      </w:rPr>
      <w:t>—81—</w:t>
    </w:r>
  </w:p>
</w:ftr>
</file>

<file path=word/footer8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74"/>
      <w:spacing w:line="230" w:lineRule="auto"/>
      <w:rPr>
        <w:rFonts w:ascii="SimSun" w:hAnsi="SimSun" w:eastAsia="SimSun" w:cs="SimSun"/>
        <w:sz w:val="20"/>
        <w:szCs w:val="20"/>
      </w:rPr>
    </w:pPr>
    <w:r>
      <w:rPr>
        <w:rFonts w:ascii="SimSun" w:hAnsi="SimSun" w:eastAsia="SimSun" w:cs="SimSun"/>
        <w:sz w:val="20"/>
        <w:szCs w:val="20"/>
        <w:spacing w:val="-8"/>
      </w:rPr>
      <w:t>—82—</w:t>
    </w:r>
  </w:p>
</w:ftr>
</file>

<file path=word/footer8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90"/>
      <w:spacing w:line="231" w:lineRule="auto"/>
      <w:rPr>
        <w:rFonts w:ascii="SimSun" w:hAnsi="SimSun" w:eastAsia="SimSun" w:cs="SimSun"/>
        <w:sz w:val="23"/>
        <w:szCs w:val="23"/>
      </w:rPr>
    </w:pPr>
    <w:r>
      <w:rPr>
        <w:rFonts w:ascii="SimSun" w:hAnsi="SimSun" w:eastAsia="SimSun" w:cs="SimSun"/>
        <w:sz w:val="23"/>
        <w:szCs w:val="23"/>
        <w:spacing w:val="-17"/>
        <w:w w:val="96"/>
      </w:rPr>
      <w:t>—83—</w:t>
    </w:r>
  </w:p>
</w:ftr>
</file>

<file path=word/footer8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94"/>
      <w:spacing w:line="230" w:lineRule="auto"/>
      <w:rPr>
        <w:rFonts w:ascii="SimSun" w:hAnsi="SimSun" w:eastAsia="SimSun" w:cs="SimSun"/>
        <w:sz w:val="20"/>
        <w:szCs w:val="20"/>
      </w:rPr>
    </w:pPr>
    <w:r>
      <w:rPr>
        <w:rFonts w:ascii="SimSun" w:hAnsi="SimSun" w:eastAsia="SimSun" w:cs="SimSun"/>
        <w:sz w:val="20"/>
        <w:szCs w:val="20"/>
        <w:spacing w:val="-8"/>
      </w:rPr>
      <w:t>—84—</w:t>
    </w:r>
  </w:p>
</w:ftr>
</file>

<file path=word/footer8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94"/>
      <w:spacing w:line="229" w:lineRule="auto"/>
      <w:rPr>
        <w:rFonts w:ascii="SimSun" w:hAnsi="SimSun" w:eastAsia="SimSun" w:cs="SimSun"/>
        <w:sz w:val="19"/>
        <w:szCs w:val="19"/>
      </w:rPr>
    </w:pPr>
    <w:r>
      <w:rPr>
        <w:rFonts w:ascii="SimSun" w:hAnsi="SimSun" w:eastAsia="SimSun" w:cs="SimSun"/>
        <w:sz w:val="19"/>
        <w:szCs w:val="19"/>
        <w:spacing w:val="-2"/>
      </w:rPr>
      <w:t>—85—</w:t>
    </w:r>
  </w:p>
</w:ftr>
</file>

<file path=word/footer8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90"/>
      <w:spacing w:line="231" w:lineRule="auto"/>
      <w:rPr>
        <w:rFonts w:ascii="SimSun" w:hAnsi="SimSun" w:eastAsia="SimSun" w:cs="SimSun"/>
        <w:sz w:val="23"/>
        <w:szCs w:val="23"/>
      </w:rPr>
    </w:pPr>
    <w:r>
      <w:rPr>
        <w:rFonts w:ascii="SimSun" w:hAnsi="SimSun" w:eastAsia="SimSun" w:cs="SimSun"/>
        <w:sz w:val="23"/>
        <w:szCs w:val="23"/>
        <w:spacing w:val="-15"/>
        <w:w w:val="95"/>
      </w:rPr>
      <w:t>—86—</w:t>
    </w:r>
  </w:p>
</w:ftr>
</file>

<file path=word/footer8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94"/>
      <w:spacing w:line="231" w:lineRule="auto"/>
      <w:rPr>
        <w:rFonts w:ascii="SimSun" w:hAnsi="SimSun" w:eastAsia="SimSun" w:cs="SimSun"/>
        <w:sz w:val="23"/>
        <w:szCs w:val="23"/>
      </w:rPr>
    </w:pPr>
    <w:r>
      <w:rPr>
        <w:rFonts w:ascii="SimSun" w:hAnsi="SimSun" w:eastAsia="SimSun" w:cs="SimSun"/>
        <w:sz w:val="23"/>
        <w:szCs w:val="23"/>
        <w:spacing w:val="-17"/>
        <w:w w:val="96"/>
      </w:rPr>
      <w:t>—87—</w:t>
    </w:r>
  </w:p>
</w:ftr>
</file>

<file path=word/footer8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84"/>
      <w:spacing w:line="230" w:lineRule="auto"/>
      <w:rPr>
        <w:rFonts w:ascii="SimSun" w:hAnsi="SimSun" w:eastAsia="SimSun" w:cs="SimSun"/>
        <w:sz w:val="20"/>
        <w:szCs w:val="20"/>
      </w:rPr>
    </w:pPr>
    <w:r>
      <w:rPr>
        <w:rFonts w:ascii="SimSun" w:hAnsi="SimSun" w:eastAsia="SimSun" w:cs="SimSun"/>
        <w:sz w:val="20"/>
        <w:szCs w:val="20"/>
        <w:spacing w:val="-8"/>
      </w:rPr>
      <w:t>—88—</w:t>
    </w:r>
  </w:p>
</w:ftr>
</file>

<file path=word/footer8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84"/>
      <w:spacing w:line="229" w:lineRule="auto"/>
      <w:rPr>
        <w:rFonts w:ascii="SimSun" w:hAnsi="SimSun" w:eastAsia="SimSun" w:cs="SimSun"/>
        <w:sz w:val="19"/>
        <w:szCs w:val="19"/>
      </w:rPr>
    </w:pPr>
    <w:r>
      <w:rPr>
        <w:rFonts w:ascii="SimSun" w:hAnsi="SimSun" w:eastAsia="SimSun" w:cs="SimSun"/>
        <w:sz w:val="19"/>
        <w:szCs w:val="19"/>
        <w:spacing w:val="-2"/>
      </w:rPr>
      <w:t>—89—</w:t>
    </w:r>
  </w:p>
</w:ftr>
</file>

<file path=word/footer9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84"/>
      <w:spacing w:line="229" w:lineRule="auto"/>
      <w:rPr>
        <w:rFonts w:ascii="SimSun" w:hAnsi="SimSun" w:eastAsia="SimSun" w:cs="SimSun"/>
        <w:sz w:val="19"/>
        <w:szCs w:val="19"/>
      </w:rPr>
    </w:pPr>
    <w:r>
      <w:rPr>
        <w:rFonts w:ascii="SimSun" w:hAnsi="SimSun" w:eastAsia="SimSun" w:cs="SimSun"/>
        <w:sz w:val="19"/>
        <w:szCs w:val="19"/>
        <w:spacing w:val="-2"/>
      </w:rPr>
      <w:t>—90—</w:t>
    </w:r>
  </w:p>
</w:ftr>
</file>

<file path=word/footer9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84"/>
      <w:spacing w:line="231" w:lineRule="auto"/>
      <w:rPr>
        <w:rFonts w:ascii="SimSun" w:hAnsi="SimSun" w:eastAsia="SimSun" w:cs="SimSun"/>
        <w:sz w:val="23"/>
        <w:szCs w:val="23"/>
      </w:rPr>
    </w:pPr>
    <w:r>
      <w:rPr>
        <w:rFonts w:ascii="SimSun" w:hAnsi="SimSun" w:eastAsia="SimSun" w:cs="SimSun"/>
        <w:sz w:val="23"/>
        <w:szCs w:val="23"/>
        <w:spacing w:val="-23"/>
      </w:rPr>
      <w:t>—91—</w:t>
    </w:r>
  </w:p>
</w:ftr>
</file>

<file path=word/footer9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94"/>
      <w:spacing w:line="231" w:lineRule="auto"/>
      <w:rPr>
        <w:rFonts w:ascii="SimSun" w:hAnsi="SimSun" w:eastAsia="SimSun" w:cs="SimSun"/>
        <w:sz w:val="23"/>
        <w:szCs w:val="23"/>
      </w:rPr>
    </w:pPr>
    <w:r>
      <w:rPr>
        <w:rFonts w:ascii="SimSun" w:hAnsi="SimSun" w:eastAsia="SimSun" w:cs="SimSun"/>
        <w:sz w:val="23"/>
        <w:szCs w:val="23"/>
        <w:spacing w:val="-16"/>
        <w:w w:val="95"/>
      </w:rPr>
      <w:t>—92—</w:t>
    </w:r>
  </w:p>
</w:ftr>
</file>

<file path=word/footer9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84"/>
      <w:spacing w:line="230" w:lineRule="auto"/>
      <w:rPr>
        <w:rFonts w:ascii="SimSun" w:hAnsi="SimSun" w:eastAsia="SimSun" w:cs="SimSun"/>
        <w:sz w:val="20"/>
        <w:szCs w:val="20"/>
      </w:rPr>
    </w:pPr>
    <w:r>
      <w:rPr>
        <w:rFonts w:ascii="SimSun" w:hAnsi="SimSun" w:eastAsia="SimSun" w:cs="SimSun"/>
        <w:sz w:val="20"/>
        <w:szCs w:val="20"/>
        <w:spacing w:val="-8"/>
      </w:rPr>
      <w:t>—93—</w:t>
    </w:r>
  </w:p>
</w:ftr>
</file>

<file path=word/footer9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94"/>
      <w:spacing w:line="229" w:lineRule="auto"/>
      <w:rPr>
        <w:rFonts w:ascii="SimSun" w:hAnsi="SimSun" w:eastAsia="SimSun" w:cs="SimSun"/>
        <w:sz w:val="19"/>
        <w:szCs w:val="19"/>
      </w:rPr>
    </w:pPr>
    <w:r>
      <w:rPr>
        <w:rFonts w:ascii="SimSun" w:hAnsi="SimSun" w:eastAsia="SimSun" w:cs="SimSun"/>
        <w:sz w:val="19"/>
        <w:szCs w:val="19"/>
        <w:spacing w:val="-2"/>
      </w:rPr>
      <w:t>—94—</w:t>
    </w:r>
  </w:p>
</w:ftr>
</file>

<file path=word/footer9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84"/>
      <w:spacing w:line="230" w:lineRule="auto"/>
      <w:rPr>
        <w:rFonts w:ascii="SimSun" w:hAnsi="SimSun" w:eastAsia="SimSun" w:cs="SimSun"/>
        <w:sz w:val="20"/>
        <w:szCs w:val="20"/>
      </w:rPr>
    </w:pPr>
    <w:r>
      <w:rPr>
        <w:rFonts w:ascii="SimSun" w:hAnsi="SimSun" w:eastAsia="SimSun" w:cs="SimSun"/>
        <w:sz w:val="20"/>
        <w:szCs w:val="20"/>
        <w:spacing w:val="-8"/>
      </w:rPr>
      <w:t>—95—</w:t>
    </w:r>
  </w:p>
</w:ftr>
</file>

<file path=word/footer9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74"/>
      <w:spacing w:line="231" w:lineRule="auto"/>
      <w:rPr>
        <w:rFonts w:ascii="SimSun" w:hAnsi="SimSun" w:eastAsia="SimSun" w:cs="SimSun"/>
        <w:sz w:val="23"/>
        <w:szCs w:val="23"/>
      </w:rPr>
    </w:pPr>
    <w:r>
      <w:rPr>
        <w:rFonts w:ascii="SimSun" w:hAnsi="SimSun" w:eastAsia="SimSun" w:cs="SimSun"/>
        <w:sz w:val="23"/>
        <w:szCs w:val="23"/>
        <w:spacing w:val="-15"/>
        <w:w w:val="95"/>
      </w:rPr>
      <w:t>—96—</w:t>
    </w:r>
  </w:p>
</w:ftr>
</file>

<file path=word/footer9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84"/>
      <w:spacing w:line="230" w:lineRule="auto"/>
      <w:rPr>
        <w:rFonts w:ascii="SimSun" w:hAnsi="SimSun" w:eastAsia="SimSun" w:cs="SimSun"/>
        <w:sz w:val="20"/>
        <w:szCs w:val="20"/>
      </w:rPr>
    </w:pPr>
    <w:r>
      <w:rPr>
        <w:rFonts w:ascii="SimSun" w:hAnsi="SimSun" w:eastAsia="SimSun" w:cs="SimSun"/>
        <w:sz w:val="20"/>
        <w:szCs w:val="20"/>
        <w:spacing w:val="-8"/>
      </w:rPr>
      <w:t>—97—</w:t>
    </w:r>
  </w:p>
</w:ftr>
</file>

<file path=word/footer9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80"/>
      <w:spacing w:line="230" w:lineRule="auto"/>
      <w:rPr>
        <w:rFonts w:ascii="SimSun" w:hAnsi="SimSun" w:eastAsia="SimSun" w:cs="SimSun"/>
        <w:sz w:val="20"/>
        <w:szCs w:val="20"/>
      </w:rPr>
    </w:pPr>
    <w:r>
      <w:rPr>
        <w:rFonts w:ascii="SimSun" w:hAnsi="SimSun" w:eastAsia="SimSun" w:cs="SimSun"/>
        <w:sz w:val="20"/>
        <w:szCs w:val="20"/>
        <w:spacing w:val="-8"/>
      </w:rPr>
      <w:t>—98—</w:t>
    </w:r>
  </w:p>
</w:ftr>
</file>

<file path=word/footer9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405"/>
      <w:spacing w:line="230" w:lineRule="auto"/>
      <w:rPr>
        <w:rFonts w:ascii="SimSun" w:hAnsi="SimSun" w:eastAsia="SimSun" w:cs="SimSun"/>
        <w:sz w:val="20"/>
        <w:szCs w:val="20"/>
      </w:rPr>
    </w:pPr>
    <w:r>
      <w:rPr>
        <w:rFonts w:ascii="SimSun" w:hAnsi="SimSun" w:eastAsia="SimSun" w:cs="SimSun"/>
        <w:sz w:val="20"/>
        <w:szCs w:val="20"/>
        <w:spacing w:val="-8"/>
      </w:rPr>
      <w:t>—99—</w:t>
    </w:r>
  </w:p>
</w:ftr>
</file>

<file path=word/footer10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364"/>
      <w:spacing w:line="170" w:lineRule="auto"/>
      <w:rPr>
        <w:rFonts w:ascii="SimSun" w:hAnsi="SimSun" w:eastAsia="SimSun" w:cs="SimSun"/>
        <w:sz w:val="19"/>
        <w:szCs w:val="19"/>
      </w:rPr>
    </w:pPr>
    <w:r>
      <w:rPr>
        <w:rFonts w:ascii="Times New Roman" w:hAnsi="Times New Roman" w:eastAsia="Times New Roman" w:cs="Times New Roman"/>
        <w:sz w:val="19"/>
        <w:szCs w:val="19"/>
      </w:rPr>
      <w:t>—100</w:t>
    </w:r>
    <w:r>
      <w:rPr>
        <w:rFonts w:ascii="SimSun" w:hAnsi="SimSun" w:eastAsia="SimSun" w:cs="SimSun"/>
        <w:sz w:val="19"/>
        <w:szCs w:val="19"/>
      </w:rPr>
      <w:t>—</w:t>
    </w:r>
  </w:p>
</w:ftr>
</file>

<file path=word/footer10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375"/>
      <w:spacing w:line="170" w:lineRule="auto"/>
      <w:rPr>
        <w:rFonts w:ascii="SimSun" w:hAnsi="SimSun" w:eastAsia="SimSun" w:cs="SimSun"/>
        <w:sz w:val="19"/>
        <w:szCs w:val="19"/>
      </w:rPr>
    </w:pPr>
    <w:r>
      <w:rPr>
        <w:rFonts w:ascii="Times New Roman" w:hAnsi="Times New Roman" w:eastAsia="Times New Roman" w:cs="Times New Roman"/>
        <w:sz w:val="19"/>
        <w:szCs w:val="19"/>
      </w:rPr>
      <w:t>—101</w:t>
    </w:r>
    <w:r>
      <w:rPr>
        <w:rFonts w:ascii="SimSun" w:hAnsi="SimSun" w:eastAsia="SimSun" w:cs="SimSun"/>
        <w:sz w:val="19"/>
        <w:szCs w:val="19"/>
      </w:rPr>
      <w:t>—</w:t>
    </w:r>
  </w:p>
</w:ftr>
</file>

<file path=word/footer10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364"/>
      <w:spacing w:line="170" w:lineRule="auto"/>
      <w:rPr>
        <w:rFonts w:ascii="SimSun" w:hAnsi="SimSun" w:eastAsia="SimSun" w:cs="SimSun"/>
        <w:sz w:val="19"/>
        <w:szCs w:val="19"/>
      </w:rPr>
    </w:pPr>
    <w:r>
      <w:rPr>
        <w:rFonts w:ascii="Times New Roman" w:hAnsi="Times New Roman" w:eastAsia="Times New Roman" w:cs="Times New Roman"/>
        <w:sz w:val="19"/>
        <w:szCs w:val="19"/>
      </w:rPr>
      <w:t>—102</w:t>
    </w:r>
    <w:r>
      <w:rPr>
        <w:rFonts w:ascii="SimSun" w:hAnsi="SimSun" w:eastAsia="SimSun" w:cs="SimSun"/>
        <w:sz w:val="19"/>
        <w:szCs w:val="19"/>
      </w:rPr>
      <w:t>—</w:t>
    </w:r>
  </w:p>
</w:ftr>
</file>

<file path=word/footer10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24"/>
      <w:spacing w:line="170" w:lineRule="auto"/>
      <w:rPr>
        <w:rFonts w:ascii="SimSun" w:hAnsi="SimSun" w:eastAsia="SimSun" w:cs="SimSun"/>
        <w:sz w:val="19"/>
        <w:szCs w:val="19"/>
      </w:rPr>
    </w:pPr>
    <w:r>
      <w:rPr>
        <w:rFonts w:ascii="Times New Roman" w:hAnsi="Times New Roman" w:eastAsia="Times New Roman" w:cs="Times New Roman"/>
        <w:sz w:val="19"/>
        <w:szCs w:val="19"/>
      </w:rPr>
      <w:t>—103</w:t>
    </w:r>
    <w:r>
      <w:rPr>
        <w:rFonts w:ascii="SimSun" w:hAnsi="SimSun" w:eastAsia="SimSun" w:cs="SimSun"/>
        <w:sz w:val="19"/>
        <w:szCs w:val="19"/>
      </w:rPr>
      <w:t>—</w:t>
    </w:r>
  </w:p>
</w:ftr>
</file>

<file path=word/footer10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94"/>
      <w:spacing w:line="172" w:lineRule="auto"/>
      <w:rPr>
        <w:rFonts w:ascii="SimSun" w:hAnsi="SimSun" w:eastAsia="SimSun" w:cs="SimSun"/>
        <w:sz w:val="23"/>
        <w:szCs w:val="23"/>
      </w:rPr>
    </w:pPr>
    <w:r>
      <w:rPr>
        <w:rFonts w:ascii="SimSun" w:hAnsi="SimSun" w:eastAsia="SimSun" w:cs="SimSun"/>
        <w:sz w:val="23"/>
        <w:szCs w:val="23"/>
        <w:spacing w:val="-19"/>
        <w:w w:val="97"/>
      </w:rPr>
      <w:t>—</w:t>
    </w:r>
    <w:r>
      <w:rPr>
        <w:rFonts w:ascii="Times New Roman" w:hAnsi="Times New Roman" w:eastAsia="Times New Roman" w:cs="Times New Roman"/>
        <w:sz w:val="23"/>
        <w:szCs w:val="23"/>
        <w:spacing w:val="-19"/>
        <w:w w:val="97"/>
      </w:rPr>
      <w:t>104</w:t>
    </w:r>
    <w:r>
      <w:rPr>
        <w:rFonts w:ascii="SimSun" w:hAnsi="SimSun" w:eastAsia="SimSun" w:cs="SimSun"/>
        <w:sz w:val="23"/>
        <w:szCs w:val="23"/>
        <w:spacing w:val="-19"/>
        <w:w w:val="97"/>
      </w:rPr>
      <w:t>—</w:t>
    </w:r>
  </w:p>
</w:ftr>
</file>

<file path=word/footer10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84"/>
      <w:spacing w:line="170" w:lineRule="auto"/>
      <w:rPr>
        <w:rFonts w:ascii="SimSun" w:hAnsi="SimSun" w:eastAsia="SimSun" w:cs="SimSun"/>
        <w:sz w:val="19"/>
        <w:szCs w:val="19"/>
      </w:rPr>
    </w:pPr>
    <w:r>
      <w:rPr>
        <w:rFonts w:ascii="Times New Roman" w:hAnsi="Times New Roman" w:eastAsia="Times New Roman" w:cs="Times New Roman"/>
        <w:sz w:val="19"/>
        <w:szCs w:val="19"/>
      </w:rPr>
      <w:t>—105</w:t>
    </w:r>
    <w:r>
      <w:rPr>
        <w:rFonts w:ascii="SimSun" w:hAnsi="SimSun" w:eastAsia="SimSun" w:cs="SimSun"/>
        <w:sz w:val="19"/>
        <w:szCs w:val="19"/>
      </w:rPr>
      <w:t>—</w:t>
    </w:r>
  </w:p>
</w:ftr>
</file>

<file path=word/footer10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50"/>
      <w:spacing w:before="1" w:line="170" w:lineRule="auto"/>
      <w:rPr>
        <w:rFonts w:ascii="Times New Roman" w:hAnsi="Times New Roman" w:eastAsia="Times New Roman" w:cs="Times New Roman"/>
        <w:sz w:val="20"/>
        <w:szCs w:val="20"/>
      </w:rPr>
    </w:pPr>
    <w:r>
      <w:rPr>
        <w:rFonts w:ascii="SimSun" w:hAnsi="SimSun" w:eastAsia="SimSun" w:cs="SimSun"/>
        <w:sz w:val="20"/>
        <w:szCs w:val="20"/>
        <w:spacing w:val="-11"/>
      </w:rPr>
      <w:t>—</w:t>
    </w:r>
    <w:r>
      <w:rPr>
        <w:rFonts w:ascii="Times New Roman" w:hAnsi="Times New Roman" w:eastAsia="Times New Roman" w:cs="Times New Roman"/>
        <w:sz w:val="20"/>
        <w:szCs w:val="20"/>
        <w:spacing w:val="-11"/>
      </w:rPr>
      <w:t>106—</w:t>
    </w:r>
  </w:p>
</w:ftr>
</file>

<file path=word/footer10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754"/>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—107—</w:t>
    </w:r>
  </w:p>
</w:ftr>
</file>

<file path=word/footer10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745"/>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rPr>
      <w:t>—108—</w:t>
    </w:r>
  </w:p>
</w:ftr>
</file>

<file path=word/footer10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745"/>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—109—</w:t>
    </w:r>
  </w:p>
</w:ftr>
</file>

<file path=word/footer1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745"/>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—110—</w:t>
    </w:r>
  </w:p>
</w:ftr>
</file>

<file path=word/footer1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765"/>
      <w:spacing w:line="170" w:lineRule="auto"/>
      <w:rPr>
        <w:rFonts w:ascii="SimSun" w:hAnsi="SimSun" w:eastAsia="SimSun" w:cs="SimSun"/>
        <w:sz w:val="19"/>
        <w:szCs w:val="19"/>
      </w:rPr>
    </w:pPr>
    <w:r>
      <w:rPr>
        <w:rFonts w:ascii="Times New Roman" w:hAnsi="Times New Roman" w:eastAsia="Times New Roman" w:cs="Times New Roman"/>
        <w:sz w:val="19"/>
        <w:szCs w:val="19"/>
      </w:rPr>
      <w:t>—111</w:t>
    </w:r>
    <w:r>
      <w:rPr>
        <w:rFonts w:ascii="SimSun" w:hAnsi="SimSun" w:eastAsia="SimSun" w:cs="SimSun"/>
        <w:sz w:val="19"/>
        <w:szCs w:val="19"/>
      </w:rPr>
      <w:t>—</w:t>
    </w:r>
  </w:p>
</w:ftr>
</file>

<file path=word/footer1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754"/>
      <w:spacing w:line="170" w:lineRule="auto"/>
      <w:rPr>
        <w:rFonts w:ascii="SimSun" w:hAnsi="SimSun" w:eastAsia="SimSun" w:cs="SimSun"/>
        <w:sz w:val="19"/>
        <w:szCs w:val="19"/>
      </w:rPr>
    </w:pPr>
    <w:r>
      <w:rPr>
        <w:rFonts w:ascii="SimSun" w:hAnsi="SimSun" w:eastAsia="SimSun" w:cs="SimSun"/>
        <w:sz w:val="19"/>
        <w:szCs w:val="19"/>
        <w:spacing w:val="-5"/>
      </w:rPr>
      <w:t>—</w:t>
    </w:r>
    <w:r>
      <w:rPr>
        <w:rFonts w:ascii="Times New Roman" w:hAnsi="Times New Roman" w:eastAsia="Times New Roman" w:cs="Times New Roman"/>
        <w:sz w:val="19"/>
        <w:szCs w:val="19"/>
        <w:spacing w:val="-5"/>
      </w:rPr>
      <w:t>112</w:t>
    </w:r>
    <w:r>
      <w:rPr>
        <w:rFonts w:ascii="SimSun" w:hAnsi="SimSun" w:eastAsia="SimSun" w:cs="SimSun"/>
        <w:sz w:val="19"/>
        <w:szCs w:val="19"/>
        <w:spacing w:val="-5"/>
      </w:rPr>
      <w:t>—</w:t>
    </w:r>
  </w:p>
</w:ftr>
</file>

<file path=word/footer1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40"/>
      <w:spacing w:line="170" w:lineRule="auto"/>
      <w:rPr>
        <w:rFonts w:ascii="Times New Roman" w:hAnsi="Times New Roman" w:eastAsia="Times New Roman" w:cs="Times New Roman"/>
        <w:sz w:val="19"/>
        <w:szCs w:val="19"/>
      </w:rPr>
    </w:pPr>
    <w:r>
      <w:rPr>
        <w:rFonts w:ascii="SimSun" w:hAnsi="SimSun" w:eastAsia="SimSun" w:cs="SimSun"/>
        <w:sz w:val="19"/>
        <w:szCs w:val="19"/>
        <w:spacing w:val="-5"/>
      </w:rPr>
      <w:t>—</w:t>
    </w:r>
    <w:r>
      <w:rPr>
        <w:rFonts w:ascii="Times New Roman" w:hAnsi="Times New Roman" w:eastAsia="Times New Roman" w:cs="Times New Roman"/>
        <w:sz w:val="19"/>
        <w:szCs w:val="19"/>
        <w:spacing w:val="-5"/>
      </w:rPr>
      <w:t>113—</w:t>
    </w:r>
  </w:p>
</w:ftr>
</file>

<file path=word/footer1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30"/>
      <w:spacing w:line="172" w:lineRule="auto"/>
      <w:rPr>
        <w:rFonts w:ascii="Times New Roman" w:hAnsi="Times New Roman" w:eastAsia="Times New Roman" w:cs="Times New Roman"/>
        <w:sz w:val="23"/>
        <w:szCs w:val="23"/>
      </w:rPr>
    </w:pPr>
    <w:r>
      <w:rPr>
        <w:rFonts w:ascii="SimSun" w:hAnsi="SimSun" w:eastAsia="SimSun" w:cs="SimSun"/>
        <w:sz w:val="23"/>
        <w:szCs w:val="23"/>
        <w:spacing w:val="-23"/>
        <w:w w:val="98"/>
      </w:rPr>
      <w:t>—</w:t>
    </w:r>
    <w:r>
      <w:rPr>
        <w:rFonts w:ascii="Times New Roman" w:hAnsi="Times New Roman" w:eastAsia="Times New Roman" w:cs="Times New Roman"/>
        <w:sz w:val="23"/>
        <w:szCs w:val="23"/>
        <w:spacing w:val="-23"/>
        <w:w w:val="98"/>
      </w:rPr>
      <w:t>114—</w:t>
    </w:r>
  </w:p>
</w:ftr>
</file>

<file path=word/footer1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30"/>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7"/>
      </w:rPr>
      <w:t>—115—</w:t>
    </w:r>
  </w:p>
</w:ftr>
</file>

<file path=word/footer1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84"/>
      <w:spacing w:line="179"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2"/>
        <w:w w:val="98"/>
      </w:rPr>
      <w:t>—116—</w:t>
    </w:r>
  </w:p>
</w:ftr>
</file>

<file path=word/footer1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40"/>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6"/>
      </w:rPr>
      <w:t>—117—</w:t>
    </w:r>
  </w:p>
</w:ftr>
</file>

<file path=word/footer1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60"/>
      <w:spacing w:line="179"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6"/>
      </w:rPr>
      <w:t>—118—</w:t>
    </w:r>
  </w:p>
</w:ftr>
</file>

<file path=word/footer1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30"/>
      <w:spacing w:line="172" w:lineRule="auto"/>
      <w:rPr>
        <w:rFonts w:ascii="Times New Roman" w:hAnsi="Times New Roman" w:eastAsia="Times New Roman" w:cs="Times New Roman"/>
        <w:sz w:val="23"/>
        <w:szCs w:val="23"/>
      </w:rPr>
    </w:pPr>
    <w:r>
      <w:rPr>
        <w:rFonts w:ascii="SimSun" w:hAnsi="SimSun" w:eastAsia="SimSun" w:cs="SimSun"/>
        <w:sz w:val="23"/>
        <w:szCs w:val="23"/>
        <w:spacing w:val="-26"/>
      </w:rPr>
      <w:t>—</w:t>
    </w:r>
    <w:r>
      <w:rPr>
        <w:rFonts w:ascii="Times New Roman" w:hAnsi="Times New Roman" w:eastAsia="Times New Roman" w:cs="Times New Roman"/>
        <w:sz w:val="23"/>
        <w:szCs w:val="23"/>
        <w:spacing w:val="-26"/>
      </w:rPr>
      <w:t>119—</w:t>
    </w:r>
  </w:p>
</w:ftr>
</file>

<file path=word/footer1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49"/>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7"/>
      </w:rPr>
      <w:t>—120—</w:t>
    </w:r>
  </w:p>
</w:ftr>
</file>

<file path=word/footer1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30"/>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6"/>
      </w:rPr>
      <w:t>—121—</w:t>
    </w:r>
  </w:p>
</w:ftr>
</file>

<file path=word/footer1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50"/>
      <w:spacing w:line="179"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w w:val="91"/>
      </w:rPr>
      <w:t>—122—</w:t>
    </w:r>
  </w:p>
</w:ftr>
</file>

<file path=word/footer1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23"/>
      <w:spacing w:line="179"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2"/>
        <w:w w:val="91"/>
      </w:rPr>
      <w:t>—123—</w:t>
    </w:r>
  </w:p>
</w:ftr>
</file>

<file path=word/footer1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44"/>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6"/>
      </w:rPr>
      <w:t>—124—</w:t>
    </w:r>
  </w:p>
</w:ftr>
</file>

<file path=word/footer1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79"/>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6"/>
      </w:rPr>
      <w:t>—125—</w:t>
    </w:r>
  </w:p>
</w:ftr>
</file>

<file path=word/footer1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64"/>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—126—</w:t>
    </w:r>
  </w:p>
</w:ftr>
</file>

<file path=word/footer1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55"/>
      <w:spacing w:line="178"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2"/>
        <w:w w:val="95"/>
      </w:rPr>
      <w:t>—127—</w:t>
    </w:r>
  </w:p>
</w:ftr>
</file>

<file path=word/footer1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75"/>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8"/>
      </w:rPr>
      <w:t>—128—</w:t>
    </w:r>
  </w:p>
</w:ftr>
</file>

<file path=word/footer1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25"/>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7"/>
      </w:rPr>
      <w:t>—129—</w:t>
    </w:r>
  </w:p>
</w:ftr>
</file>

<file path=word/footer1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30"/>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10"/>
      </w:rPr>
      <w:t>—130—</w:t>
    </w:r>
  </w:p>
</w:ftr>
</file>

<file path=word/footer1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23"/>
      <w:spacing w:line="170" w:lineRule="auto"/>
      <w:rPr>
        <w:rFonts w:ascii="SimSun" w:hAnsi="SimSun" w:eastAsia="SimSun" w:cs="SimSun"/>
        <w:sz w:val="19"/>
        <w:szCs w:val="19"/>
      </w:rPr>
    </w:pPr>
    <w:r>
      <w:rPr>
        <w:rFonts w:ascii="Times New Roman" w:hAnsi="Times New Roman" w:eastAsia="Times New Roman" w:cs="Times New Roman"/>
        <w:sz w:val="19"/>
        <w:szCs w:val="19"/>
        <w:spacing w:val="-5"/>
      </w:rPr>
      <w:t>—131</w:t>
    </w:r>
    <w:r>
      <w:rPr>
        <w:rFonts w:ascii="SimSun" w:hAnsi="SimSun" w:eastAsia="SimSun" w:cs="SimSun"/>
        <w:sz w:val="19"/>
        <w:szCs w:val="19"/>
        <w:spacing w:val="-5"/>
      </w:rPr>
      <w:t>—</w:t>
    </w:r>
  </w:p>
</w:ftr>
</file>

<file path=word/footer1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30"/>
      <w:spacing w:line="179"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2"/>
        <w:w w:val="91"/>
      </w:rPr>
      <w:t>—132—</w:t>
    </w:r>
  </w:p>
</w:ftr>
</file>

<file path=word/footer13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60"/>
      <w:spacing w:line="179"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5"/>
        <w:w w:val="93"/>
      </w:rPr>
      <w:t>—133—</w:t>
    </w:r>
  </w:p>
</w:ftr>
</file>

<file path=word/footer13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30"/>
      <w:spacing w:line="228" w:lineRule="auto"/>
      <w:rPr>
        <w:rFonts w:ascii="SimSun" w:hAnsi="SimSun" w:eastAsia="SimSun" w:cs="SimSun"/>
        <w:sz w:val="17"/>
        <w:szCs w:val="17"/>
      </w:rPr>
    </w:pPr>
    <w:r>
      <w:rPr>
        <w:rFonts w:ascii="SimSun" w:hAnsi="SimSun" w:eastAsia="SimSun" w:cs="SimSun"/>
        <w:sz w:val="17"/>
        <w:szCs w:val="17"/>
        <w:spacing w:val="-2"/>
      </w:rPr>
      <w:t>—134—</w:t>
    </w:r>
  </w:p>
</w:ftr>
</file>

<file path=word/footer13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30"/>
      <w:spacing w:line="179"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5"/>
        <w:w w:val="93"/>
      </w:rPr>
      <w:t>—135—</w:t>
    </w:r>
  </w:p>
</w:ftr>
</file>

<file path=word/footer13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50"/>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6"/>
      </w:rPr>
      <w:t>—136—</w:t>
    </w:r>
  </w:p>
</w:ftr>
</file>

<file path=word/footer13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25"/>
      <w:spacing w:line="178"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14"/>
        <w:w w:val="96"/>
      </w:rPr>
      <w:t>—137—</w:t>
    </w:r>
  </w:p>
</w:ftr>
</file>

<file path=word/footer13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44"/>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—138—</w:t>
    </w:r>
  </w:p>
</w:ftr>
</file>

<file path=word/footer13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24"/>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7"/>
      </w:rPr>
      <w:t>—139—</w:t>
    </w:r>
  </w:p>
</w:ftr>
</file>

<file path=word/footer14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24"/>
      <w:spacing w:line="170" w:lineRule="auto"/>
      <w:rPr>
        <w:rFonts w:ascii="SimSun" w:hAnsi="SimSun" w:eastAsia="SimSun" w:cs="SimSun"/>
        <w:sz w:val="19"/>
        <w:szCs w:val="19"/>
      </w:rPr>
    </w:pPr>
    <w:r>
      <w:rPr>
        <w:rFonts w:ascii="SimSun" w:hAnsi="SimSun" w:eastAsia="SimSun" w:cs="SimSun"/>
        <w:sz w:val="19"/>
        <w:szCs w:val="19"/>
        <w:spacing w:val="-3"/>
      </w:rPr>
      <w:t>—</w:t>
    </w:r>
    <w:r>
      <w:rPr>
        <w:rFonts w:ascii="Times New Roman" w:hAnsi="Times New Roman" w:eastAsia="Times New Roman" w:cs="Times New Roman"/>
        <w:sz w:val="19"/>
        <w:szCs w:val="19"/>
        <w:spacing w:val="-3"/>
      </w:rPr>
      <w:t>140</w:t>
    </w:r>
    <w:r>
      <w:rPr>
        <w:rFonts w:ascii="SimSun" w:hAnsi="SimSun" w:eastAsia="SimSun" w:cs="SimSun"/>
        <w:sz w:val="19"/>
        <w:szCs w:val="19"/>
        <w:spacing w:val="-3"/>
      </w:rPr>
      <w:t>—</w:t>
    </w:r>
  </w:p>
</w:ftr>
</file>

<file path=word/footer14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37"/>
      <w:spacing w:line="172" w:lineRule="auto"/>
      <w:rPr>
        <w:rFonts w:ascii="SimSun" w:hAnsi="SimSun" w:eastAsia="SimSun" w:cs="SimSun"/>
        <w:sz w:val="23"/>
        <w:szCs w:val="23"/>
      </w:rPr>
    </w:pPr>
    <w:r>
      <w:rPr>
        <w:rFonts w:ascii="SimSun" w:hAnsi="SimSun" w:eastAsia="SimSun" w:cs="SimSun"/>
        <w:sz w:val="23"/>
        <w:szCs w:val="23"/>
        <w:b/>
        <w:bCs/>
        <w:spacing w:val="-18"/>
        <w:w w:val="95"/>
      </w:rPr>
      <w:t>—</w:t>
    </w:r>
    <w:r>
      <w:rPr>
        <w:rFonts w:ascii="Times New Roman" w:hAnsi="Times New Roman" w:eastAsia="Times New Roman" w:cs="Times New Roman"/>
        <w:sz w:val="23"/>
        <w:szCs w:val="23"/>
        <w:b/>
        <w:bCs/>
        <w:spacing w:val="-18"/>
        <w:w w:val="95"/>
      </w:rPr>
      <w:t>141</w:t>
    </w:r>
    <w:r>
      <w:rPr>
        <w:rFonts w:ascii="SimSun" w:hAnsi="SimSun" w:eastAsia="SimSun" w:cs="SimSun"/>
        <w:sz w:val="23"/>
        <w:szCs w:val="23"/>
        <w:b/>
        <w:bCs/>
        <w:spacing w:val="-18"/>
        <w:w w:val="95"/>
      </w:rPr>
      <w:t>—</w:t>
    </w:r>
  </w:p>
</w:ftr>
</file>

<file path=word/footer14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44"/>
      <w:spacing w:line="179"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0"/>
        <w:w w:val="90"/>
      </w:rPr>
      <w:t>—142—</w:t>
    </w:r>
  </w:p>
</w:ftr>
</file>

<file path=word/footer14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24"/>
      <w:spacing w:before="1" w:line="170" w:lineRule="auto"/>
      <w:rPr>
        <w:rFonts w:ascii="Times New Roman" w:hAnsi="Times New Roman" w:eastAsia="Times New Roman" w:cs="Times New Roman"/>
        <w:sz w:val="20"/>
        <w:szCs w:val="20"/>
      </w:rPr>
    </w:pPr>
    <w:r>
      <w:rPr>
        <w:rFonts w:ascii="SimSun" w:hAnsi="SimSun" w:eastAsia="SimSun" w:cs="SimSun"/>
        <w:sz w:val="20"/>
        <w:szCs w:val="20"/>
        <w:spacing w:val="-10"/>
      </w:rPr>
      <w:t>—</w:t>
    </w:r>
    <w:r>
      <w:rPr>
        <w:rFonts w:ascii="Times New Roman" w:hAnsi="Times New Roman" w:eastAsia="Times New Roman" w:cs="Times New Roman"/>
        <w:sz w:val="20"/>
        <w:szCs w:val="20"/>
        <w:spacing w:val="-10"/>
      </w:rPr>
      <w:t>143—</w:t>
    </w:r>
  </w:p>
</w:ftr>
</file>

<file path=word/footer14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24"/>
      <w:spacing w:line="172" w:lineRule="auto"/>
      <w:rPr>
        <w:rFonts w:ascii="SimSun" w:hAnsi="SimSun" w:eastAsia="SimSun" w:cs="SimSun"/>
        <w:sz w:val="23"/>
        <w:szCs w:val="23"/>
      </w:rPr>
    </w:pPr>
    <w:r>
      <w:rPr>
        <w:rFonts w:ascii="SimSun" w:hAnsi="SimSun" w:eastAsia="SimSun" w:cs="SimSun"/>
        <w:sz w:val="23"/>
        <w:szCs w:val="23"/>
        <w:spacing w:val="-17"/>
        <w:w w:val="95"/>
      </w:rPr>
      <w:t>—</w:t>
    </w:r>
    <w:r>
      <w:rPr>
        <w:rFonts w:ascii="Times New Roman" w:hAnsi="Times New Roman" w:eastAsia="Times New Roman" w:cs="Times New Roman"/>
        <w:sz w:val="23"/>
        <w:szCs w:val="23"/>
        <w:spacing w:val="-17"/>
        <w:w w:val="95"/>
      </w:rPr>
      <w:t>144</w:t>
    </w:r>
    <w:r>
      <w:rPr>
        <w:rFonts w:ascii="SimSun" w:hAnsi="SimSun" w:eastAsia="SimSun" w:cs="SimSun"/>
        <w:sz w:val="23"/>
        <w:szCs w:val="23"/>
        <w:spacing w:val="-17"/>
        <w:w w:val="95"/>
      </w:rPr>
      <w:t>—</w:t>
    </w:r>
  </w:p>
</w:ftr>
</file>

<file path=word/footer14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34"/>
      <w:spacing w:line="172" w:lineRule="auto"/>
      <w:rPr>
        <w:rFonts w:ascii="Times New Roman" w:hAnsi="Times New Roman" w:eastAsia="Times New Roman" w:cs="Times New Roman"/>
        <w:sz w:val="23"/>
        <w:szCs w:val="23"/>
      </w:rPr>
    </w:pPr>
    <w:r>
      <w:rPr>
        <w:rFonts w:ascii="SimSun" w:hAnsi="SimSun" w:eastAsia="SimSun" w:cs="SimSun"/>
        <w:sz w:val="23"/>
        <w:szCs w:val="23"/>
        <w:spacing w:val="-17"/>
        <w:w w:val="94"/>
      </w:rPr>
      <w:t>—</w:t>
    </w:r>
    <w:r>
      <w:rPr>
        <w:rFonts w:ascii="Times New Roman" w:hAnsi="Times New Roman" w:eastAsia="Times New Roman" w:cs="Times New Roman"/>
        <w:sz w:val="23"/>
        <w:szCs w:val="23"/>
        <w:spacing w:val="-17"/>
        <w:w w:val="94"/>
      </w:rPr>
      <w:t>145—</w:t>
    </w:r>
  </w:p>
</w:ftr>
</file>

<file path=word/footer14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40"/>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—146—</w:t>
    </w:r>
  </w:p>
</w:ftr>
</file>

<file path=word/footer14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30"/>
      <w:spacing w:line="170" w:lineRule="auto"/>
      <w:rPr>
        <w:rFonts w:ascii="Times New Roman" w:hAnsi="Times New Roman" w:eastAsia="Times New Roman" w:cs="Times New Roman"/>
        <w:sz w:val="19"/>
        <w:szCs w:val="19"/>
      </w:rPr>
    </w:pPr>
    <w:r>
      <w:rPr>
        <w:rFonts w:ascii="SimSun" w:hAnsi="SimSun" w:eastAsia="SimSun" w:cs="SimSun"/>
        <w:sz w:val="19"/>
        <w:szCs w:val="19"/>
        <w:spacing w:val="-6"/>
      </w:rPr>
      <w:t>—</w:t>
    </w:r>
    <w:r>
      <w:rPr>
        <w:rFonts w:ascii="Times New Roman" w:hAnsi="Times New Roman" w:eastAsia="Times New Roman" w:cs="Times New Roman"/>
        <w:sz w:val="19"/>
        <w:szCs w:val="19"/>
        <w:spacing w:val="-6"/>
      </w:rPr>
      <w:t>147—</w:t>
    </w:r>
  </w:p>
</w:ftr>
</file>

<file path=word/footer14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34"/>
      <w:spacing w:line="170" w:lineRule="auto"/>
      <w:rPr>
        <w:rFonts w:ascii="Times New Roman" w:hAnsi="Times New Roman" w:eastAsia="Times New Roman" w:cs="Times New Roman"/>
        <w:sz w:val="19"/>
        <w:szCs w:val="19"/>
      </w:rPr>
    </w:pPr>
    <w:r>
      <w:rPr>
        <w:rFonts w:ascii="SimSun" w:hAnsi="SimSun" w:eastAsia="SimSun" w:cs="SimSun"/>
        <w:sz w:val="19"/>
        <w:szCs w:val="19"/>
        <w:spacing w:val="-6"/>
      </w:rPr>
      <w:t>—</w:t>
    </w:r>
    <w:r>
      <w:rPr>
        <w:rFonts w:ascii="Times New Roman" w:hAnsi="Times New Roman" w:eastAsia="Times New Roman" w:cs="Times New Roman"/>
        <w:sz w:val="19"/>
        <w:szCs w:val="19"/>
        <w:spacing w:val="-6"/>
      </w:rPr>
      <w:t>148—</w:t>
    </w:r>
  </w:p>
</w:ftr>
</file>

<file path=word/footer14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44"/>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—149—</w:t>
    </w:r>
  </w:p>
</w:ftr>
</file>

<file path=word/footer15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44"/>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—150—</w:t>
    </w:r>
  </w:p>
</w:ftr>
</file>

<file path=word/footer15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34"/>
      <w:spacing w:line="179"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4"/>
      </w:rPr>
      <w:t>—151—</w:t>
    </w:r>
  </w:p>
</w:ftr>
</file>

<file path=word/footer15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89"/>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6"/>
      </w:rPr>
      <w:t>—152—</w:t>
    </w:r>
  </w:p>
</w:ftr>
</file>

<file path=word/footer15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34"/>
      <w:spacing w:line="179"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6"/>
        <w:w w:val="95"/>
      </w:rPr>
      <w:t>—153—</w:t>
    </w:r>
  </w:p>
</w:ftr>
</file>

<file path=word/footer15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34"/>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—154—</w:t>
    </w:r>
  </w:p>
</w:ftr>
</file>

<file path=word/footer15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34"/>
      <w:spacing w:line="178"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16"/>
        <w:w w:val="97"/>
      </w:rPr>
      <w:t>—155—</w:t>
    </w:r>
  </w:p>
</w:ftr>
</file>

<file path=word/footer15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34"/>
      <w:spacing w:line="179"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6"/>
        <w:w w:val="95"/>
      </w:rPr>
      <w:t>—156—</w:t>
    </w:r>
  </w:p>
</w:ftr>
</file>

<file path=word/footer15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74"/>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6"/>
      </w:rPr>
      <w:t>—157—</w:t>
    </w:r>
  </w:p>
</w:ftr>
</file>

<file path=word/footer15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34"/>
      <w:spacing w:line="179"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7"/>
        <w:w w:val="95"/>
      </w:rPr>
      <w:t>—158—</w:t>
    </w:r>
  </w:p>
</w:ftr>
</file>

<file path=word/footer15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50"/>
      <w:spacing w:line="179"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5"/>
        <w:w w:val="92"/>
      </w:rPr>
      <w:t>—159—</w:t>
    </w:r>
  </w:p>
</w:ftr>
</file>

<file path=word/footer16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34"/>
      <w:spacing w:line="171" w:lineRule="auto"/>
      <w:rPr>
        <w:rFonts w:ascii="SimSun" w:hAnsi="SimSun" w:eastAsia="SimSun" w:cs="SimSun"/>
        <w:sz w:val="22"/>
        <w:szCs w:val="22"/>
      </w:rPr>
    </w:pPr>
    <w:r>
      <w:rPr>
        <w:rFonts w:ascii="Times New Roman" w:hAnsi="Times New Roman" w:eastAsia="Times New Roman" w:cs="Times New Roman"/>
        <w:sz w:val="22"/>
        <w:szCs w:val="22"/>
        <w:spacing w:val="-18"/>
        <w:w w:val="99"/>
      </w:rPr>
      <w:t>—160</w:t>
    </w:r>
    <w:r>
      <w:rPr>
        <w:rFonts w:ascii="SimSun" w:hAnsi="SimSun" w:eastAsia="SimSun" w:cs="SimSun"/>
        <w:sz w:val="22"/>
        <w:szCs w:val="22"/>
        <w:spacing w:val="-18"/>
        <w:w w:val="99"/>
      </w:rPr>
      <w:t>—</w:t>
    </w:r>
  </w:p>
</w:ftr>
</file>

<file path=word/footer16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34"/>
      <w:spacing w:line="170" w:lineRule="auto"/>
      <w:rPr>
        <w:rFonts w:ascii="SimSun" w:hAnsi="SimSun" w:eastAsia="SimSun" w:cs="SimSun"/>
        <w:sz w:val="19"/>
        <w:szCs w:val="19"/>
      </w:rPr>
    </w:pPr>
    <w:r>
      <w:rPr>
        <w:rFonts w:ascii="Times New Roman" w:hAnsi="Times New Roman" w:eastAsia="Times New Roman" w:cs="Times New Roman"/>
        <w:sz w:val="19"/>
        <w:szCs w:val="19"/>
      </w:rPr>
      <w:t>—161</w:t>
    </w:r>
    <w:r>
      <w:rPr>
        <w:rFonts w:ascii="SimSun" w:hAnsi="SimSun" w:eastAsia="SimSun" w:cs="SimSun"/>
        <w:sz w:val="19"/>
        <w:szCs w:val="19"/>
      </w:rPr>
      <w:t>—</w:t>
    </w:r>
  </w:p>
</w:ftr>
</file>

<file path=word/footer16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24"/>
      <w:spacing w:line="179"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2"/>
        <w:w w:val="91"/>
      </w:rPr>
      <w:t>—162—</w:t>
    </w:r>
  </w:p>
</w:ftr>
</file>

<file path=word/footer16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44"/>
      <w:spacing w:before="1" w:line="231" w:lineRule="auto"/>
      <w:rPr>
        <w:rFonts w:ascii="SimSun" w:hAnsi="SimSun" w:eastAsia="SimSun" w:cs="SimSun"/>
        <w:sz w:val="24"/>
        <w:szCs w:val="24"/>
      </w:rPr>
    </w:pPr>
    <w:r>
      <w:rPr>
        <w:rFonts w:ascii="SimSun" w:hAnsi="SimSun" w:eastAsia="SimSun" w:cs="SimSun"/>
        <w:sz w:val="24"/>
        <w:szCs w:val="24"/>
        <w:spacing w:val="-24"/>
        <w:w w:val="97"/>
      </w:rPr>
      <w:t>—163—</w:t>
    </w:r>
  </w:p>
</w:ftr>
</file>

<file path=word/footer16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99"/>
      <w:spacing w:line="179"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2"/>
        <w:w w:val="91"/>
      </w:rPr>
      <w:t>—164—</w:t>
    </w:r>
  </w:p>
</w:ftr>
</file>

<file path=word/footer16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30"/>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6"/>
      </w:rPr>
      <w:t>—165—</w:t>
    </w:r>
  </w:p>
</w:ftr>
</file>

<file path=word/footer16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34"/>
      <w:spacing w:line="171" w:lineRule="auto"/>
      <w:rPr>
        <w:rFonts w:ascii="SimSun" w:hAnsi="SimSun" w:eastAsia="SimSun" w:cs="SimSun"/>
        <w:sz w:val="22"/>
        <w:szCs w:val="22"/>
      </w:rPr>
    </w:pPr>
    <w:r>
      <w:rPr>
        <w:rFonts w:ascii="Times New Roman" w:hAnsi="Times New Roman" w:eastAsia="Times New Roman" w:cs="Times New Roman"/>
        <w:sz w:val="22"/>
        <w:szCs w:val="22"/>
        <w:spacing w:val="-17"/>
        <w:w w:val="97"/>
      </w:rPr>
      <w:t>—166</w:t>
    </w:r>
    <w:r>
      <w:rPr>
        <w:rFonts w:ascii="SimSun" w:hAnsi="SimSun" w:eastAsia="SimSun" w:cs="SimSun"/>
        <w:sz w:val="22"/>
        <w:szCs w:val="22"/>
        <w:spacing w:val="-17"/>
        <w:w w:val="97"/>
      </w:rPr>
      <w:t>—</w:t>
    </w:r>
  </w:p>
</w:ftr>
</file>

<file path=word/footer16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34"/>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6"/>
      </w:rPr>
      <w:t>—167—</w:t>
    </w:r>
  </w:p>
</w:ftr>
</file>

<file path=word/footer16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244"/>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—168—</w:t>
    </w:r>
  </w:p>
</w:ftr>
</file>

<file path=word/footer16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245"/>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6"/>
      </w:rPr>
      <w:t>—169—</w:t>
    </w:r>
  </w:p>
</w:ftr>
</file>

<file path=word/footer17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54"/>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7"/>
      </w:rPr>
      <w:t>—170—</w:t>
    </w:r>
  </w:p>
</w:ftr>
</file>

<file path=word/footer17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44"/>
      <w:spacing w:line="172" w:lineRule="auto"/>
      <w:rPr>
        <w:rFonts w:ascii="Times New Roman" w:hAnsi="Times New Roman" w:eastAsia="Times New Roman" w:cs="Times New Roman"/>
        <w:sz w:val="23"/>
        <w:szCs w:val="23"/>
      </w:rPr>
    </w:pPr>
    <w:r>
      <w:rPr>
        <w:rFonts w:ascii="SimSun" w:hAnsi="SimSun" w:eastAsia="SimSun" w:cs="SimSun"/>
        <w:sz w:val="23"/>
        <w:szCs w:val="23"/>
        <w:spacing w:val="-26"/>
      </w:rPr>
      <w:t>—</w:t>
    </w:r>
    <w:r>
      <w:rPr>
        <w:rFonts w:ascii="Times New Roman" w:hAnsi="Times New Roman" w:eastAsia="Times New Roman" w:cs="Times New Roman"/>
        <w:sz w:val="23"/>
        <w:szCs w:val="23"/>
        <w:spacing w:val="-26"/>
      </w:rPr>
      <w:t>171—</w:t>
    </w:r>
  </w:p>
</w:ftr>
</file>

<file path=word/footer17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30"/>
      <w:spacing w:line="172" w:lineRule="auto"/>
      <w:rPr>
        <w:rFonts w:ascii="SimSun" w:hAnsi="SimSun" w:eastAsia="SimSun" w:cs="SimSun"/>
        <w:sz w:val="23"/>
        <w:szCs w:val="23"/>
      </w:rPr>
    </w:pPr>
    <w:r>
      <w:rPr>
        <w:rFonts w:ascii="Times New Roman" w:hAnsi="Times New Roman" w:eastAsia="Times New Roman" w:cs="Times New Roman"/>
        <w:sz w:val="23"/>
        <w:szCs w:val="23"/>
        <w:spacing w:val="-17"/>
        <w:w w:val="95"/>
      </w:rPr>
      <w:t>—172</w:t>
    </w:r>
    <w:r>
      <w:rPr>
        <w:rFonts w:ascii="SimSun" w:hAnsi="SimSun" w:eastAsia="SimSun" w:cs="SimSun"/>
        <w:sz w:val="23"/>
        <w:szCs w:val="23"/>
        <w:spacing w:val="-17"/>
        <w:w w:val="95"/>
      </w:rPr>
      <w:t>—</w:t>
    </w:r>
  </w:p>
</w:ftr>
</file>

<file path=word/footer17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60"/>
      <w:spacing w:line="178"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14"/>
        <w:w w:val="96"/>
      </w:rPr>
      <w:t>—173—</w:t>
    </w:r>
  </w:p>
</w:ftr>
</file>

<file path=word/footer17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50"/>
      <w:spacing w:line="179"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2"/>
        <w:w w:val="91"/>
      </w:rPr>
      <w:t>—174—</w:t>
    </w:r>
  </w:p>
</w:ftr>
</file>

<file path=word/footer17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50"/>
      <w:spacing w:line="179"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5"/>
        <w:w w:val="93"/>
      </w:rPr>
      <w:t>—175—</w:t>
    </w:r>
  </w:p>
</w:ftr>
</file>

<file path=word/footer17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50"/>
      <w:spacing w:line="172" w:lineRule="auto"/>
      <w:rPr>
        <w:rFonts w:ascii="Times New Roman" w:hAnsi="Times New Roman" w:eastAsia="Times New Roman" w:cs="Times New Roman"/>
        <w:sz w:val="23"/>
        <w:szCs w:val="23"/>
      </w:rPr>
    </w:pPr>
    <w:r>
      <w:rPr>
        <w:rFonts w:ascii="SimSun" w:hAnsi="SimSun" w:eastAsia="SimSun" w:cs="SimSun"/>
        <w:sz w:val="23"/>
        <w:szCs w:val="23"/>
        <w:spacing w:val="-18"/>
        <w:w w:val="95"/>
      </w:rPr>
      <w:t>—</w:t>
    </w:r>
    <w:r>
      <w:rPr>
        <w:rFonts w:ascii="Times New Roman" w:hAnsi="Times New Roman" w:eastAsia="Times New Roman" w:cs="Times New Roman"/>
        <w:sz w:val="23"/>
        <w:szCs w:val="23"/>
        <w:spacing w:val="-18"/>
        <w:w w:val="95"/>
      </w:rPr>
      <w:t>176—</w:t>
    </w:r>
  </w:p>
</w:ftr>
</file>

<file path=word/footer17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75"/>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8"/>
      </w:rPr>
      <w:t>—177—</w:t>
    </w:r>
  </w:p>
</w:ftr>
</file>

<file path=word/footer17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30"/>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6"/>
      </w:rPr>
      <w:t>—178—</w:t>
    </w:r>
  </w:p>
</w:ftr>
</file>

<file path=word/footer17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54"/>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7"/>
      </w:rPr>
      <w:t>—179—</w:t>
    </w:r>
  </w:p>
</w:ftr>
</file>

<file path=word/footer18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43"/>
      <w:spacing w:line="179"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5"/>
        <w:w w:val="92"/>
      </w:rPr>
      <w:t>—180—</w:t>
    </w:r>
  </w:p>
</w:ftr>
</file>

<file path=word/footer18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15"/>
      <w:spacing w:line="178"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21"/>
      </w:rPr>
      <w:t>—181—</w:t>
    </w:r>
  </w:p>
</w:ftr>
</file>

<file path=word/footer18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30"/>
      <w:spacing w:line="178"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14"/>
        <w:w w:val="96"/>
      </w:rPr>
      <w:t>—182—</w:t>
    </w:r>
  </w:p>
</w:ftr>
</file>

<file path=word/footer18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34"/>
      <w:spacing w:line="172" w:lineRule="auto"/>
      <w:rPr>
        <w:rFonts w:ascii="Times New Roman" w:hAnsi="Times New Roman" w:eastAsia="Times New Roman" w:cs="Times New Roman"/>
        <w:sz w:val="23"/>
        <w:szCs w:val="23"/>
      </w:rPr>
    </w:pPr>
    <w:r>
      <w:rPr>
        <w:rFonts w:ascii="SimSun" w:hAnsi="SimSun" w:eastAsia="SimSun" w:cs="SimSun"/>
        <w:sz w:val="23"/>
        <w:szCs w:val="23"/>
        <w:spacing w:val="-20"/>
        <w:w w:val="96"/>
      </w:rPr>
      <w:t>—</w:t>
    </w:r>
    <w:r>
      <w:rPr>
        <w:rFonts w:ascii="Times New Roman" w:hAnsi="Times New Roman" w:eastAsia="Times New Roman" w:cs="Times New Roman"/>
        <w:sz w:val="23"/>
        <w:szCs w:val="23"/>
        <w:spacing w:val="-20"/>
        <w:w w:val="96"/>
      </w:rPr>
      <w:t>183—</w:t>
    </w:r>
  </w:p>
</w:ftr>
</file>

<file path=word/footer18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30"/>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6"/>
      </w:rPr>
      <w:t>—184—</w:t>
    </w:r>
  </w:p>
</w:ftr>
</file>

<file path=word/footer18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50"/>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6"/>
      </w:rPr>
      <w:t>—185—</w:t>
    </w:r>
  </w:p>
</w:ftr>
</file>

<file path=word/footer18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375"/>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6"/>
      </w:rPr>
      <w:t>—186—</w:t>
    </w:r>
  </w:p>
</w:ftr>
</file>

<file path=word/footer18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364"/>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6"/>
      </w:rPr>
      <w:t>—187—</w:t>
    </w:r>
  </w:p>
</w:ftr>
</file>

<file path=word/footer18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364"/>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4"/>
      </w:rPr>
      <w:t>—188—</w:t>
    </w:r>
  </w:p>
</w:ftr>
</file>

<file path=word/footer18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33"/>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b/>
        <w:bCs/>
        <w:spacing w:val="-7"/>
      </w:rPr>
      <w:t>—189—</w:t>
    </w:r>
  </w:p>
</w:ftr>
</file>

<file path=word/footer19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40"/>
      <w:spacing w:line="178"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12"/>
        <w:w w:val="95"/>
      </w:rPr>
      <w:t>—210—</w:t>
    </w:r>
  </w:p>
</w:ftr>
</file>

<file path=word/footer19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34"/>
      <w:spacing w:line="178" w:lineRule="auto"/>
      <w:rPr>
        <w:rFonts w:ascii="Times New Roman" w:hAnsi="Times New Roman" w:eastAsia="Times New Roman" w:cs="Times New Roman"/>
        <w:sz w:val="22"/>
        <w:szCs w:val="22"/>
      </w:rPr>
    </w:pPr>
    <w:r>
      <w:rPr>
        <w:rFonts w:ascii="Times New Roman" w:hAnsi="Times New Roman" w:eastAsia="Times New Roman" w:cs="Times New Roman"/>
        <w:sz w:val="22"/>
        <w:szCs w:val="22"/>
        <w:spacing w:val="-21"/>
      </w:rPr>
      <w:t>—211—</w:t>
    </w:r>
  </w:p>
</w:ftr>
</file>

<file path=word/footer19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44"/>
      <w:spacing w:before="1" w:line="232" w:lineRule="auto"/>
      <w:rPr>
        <w:rFonts w:ascii="SimSun" w:hAnsi="SimSun" w:eastAsia="SimSun" w:cs="SimSun"/>
        <w:sz w:val="23"/>
        <w:szCs w:val="23"/>
      </w:rPr>
    </w:pPr>
    <w:r>
      <w:rPr>
        <w:rFonts w:ascii="SimSun" w:hAnsi="SimSun" w:eastAsia="SimSun" w:cs="SimSun"/>
        <w:sz w:val="23"/>
        <w:szCs w:val="23"/>
        <w:spacing w:val="-22"/>
        <w:w w:val="98"/>
      </w:rPr>
      <w:t>—212—</w:t>
    </w:r>
  </w:p>
</w:ftr>
</file>

<file path=word/footer19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50"/>
      <w:spacing w:line="177" w:lineRule="auto"/>
      <w:rPr>
        <w:rFonts w:ascii="Times New Roman" w:hAnsi="Times New Roman" w:eastAsia="Times New Roman" w:cs="Times New Roman"/>
        <w:sz w:val="19"/>
        <w:szCs w:val="19"/>
      </w:rPr>
    </w:pPr>
    <w:r>
      <w:rPr>
        <w:rFonts w:ascii="Times New Roman" w:hAnsi="Times New Roman" w:eastAsia="Times New Roman" w:cs="Times New Roman"/>
        <w:sz w:val="19"/>
        <w:szCs w:val="19"/>
        <w:spacing w:val="-6"/>
      </w:rPr>
      <w:t>—213—</w:t>
    </w:r>
  </w:p>
</w:ftr>
</file>

<file path=word/footer19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30"/>
      <w:spacing w:line="179"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w w:val="92"/>
      </w:rPr>
      <w:t>—214—</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53" w:line="218" w:lineRule="auto"/>
      <w:tabs>
        <w:tab w:val="left" w:pos="262"/>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spacing w:val="2"/>
      </w:rPr>
      <w:t xml:space="preserve">   </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61" w:line="218" w:lineRule="auto"/>
      <w:tabs>
        <w:tab w:val="left" w:pos="238"/>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w:t>
    </w:r>
    <w:r>
      <w:rPr>
        <w:rFonts w:ascii="SimSun" w:hAnsi="SimSun" w:eastAsia="SimSun" w:cs="SimSun"/>
        <w:sz w:val="23"/>
        <w:szCs w:val="23"/>
        <w:u w:val="single" w:color="auto"/>
        <w:spacing w:val="-4"/>
      </w:rPr>
      <w:t>目环境影响报告书</w:t>
    </w:r>
    <w:r>
      <w:rPr>
        <w:rFonts w:ascii="SimSun" w:hAnsi="SimSun" w:eastAsia="SimSun" w:cs="SimSun"/>
        <w:sz w:val="23"/>
        <w:szCs w:val="23"/>
        <w:u w:val="single" w:color="auto"/>
      </w:rPr>
      <w:t xml:space="preserve">  </w: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
      <w:spacing w:before="64" w:line="218" w:lineRule="auto"/>
      <w:tabs>
        <w:tab w:val="left" w:pos="248"/>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u w:val="single" w:color="auto"/>
        <w:spacing w:val="-13"/>
      </w:rPr>
      <w:t>绵阳柒鑫食品有限公司A级生猪、肉牛定点屠宰及食品加工项目环境影响报告书</w:t>
    </w:r>
    <w:r>
      <w:rPr>
        <w:rFonts w:ascii="SimSun" w:hAnsi="SimSun" w:eastAsia="SimSun" w:cs="SimSun"/>
        <w:sz w:val="24"/>
        <w:szCs w:val="24"/>
        <w:u w:val="single" w:color="auto"/>
        <w:spacing w:val="3"/>
      </w:rPr>
      <w:t xml:space="preserve">  </w:t>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48" w:line="218" w:lineRule="auto"/>
      <w:tabs>
        <w:tab w:val="left" w:pos="280"/>
      </w:tabs>
      <w:rPr>
        <w:rFonts w:ascii="SimSun" w:hAnsi="SimSun" w:eastAsia="SimSun" w:cs="SimSun"/>
        <w:sz w:val="18"/>
        <w:szCs w:val="18"/>
      </w:rPr>
    </w:pPr>
    <w:r>
      <w:rPr>
        <w:rFonts w:ascii="SimSun" w:hAnsi="SimSun" w:eastAsia="SimSun" w:cs="SimSun"/>
        <w:sz w:val="18"/>
        <w:szCs w:val="18"/>
        <w:u w:val="single" w:color="auto"/>
      </w:rPr>
      <w:tab/>
    </w:r>
    <w:r>
      <w:rPr>
        <w:rFonts w:ascii="SimSun" w:hAnsi="SimSun" w:eastAsia="SimSun" w:cs="SimSun"/>
        <w:sz w:val="18"/>
        <w:szCs w:val="18"/>
        <w:u w:val="single" w:color="auto"/>
        <w:spacing w:val="-12"/>
      </w:rPr>
      <w:t>绵</w:t>
    </w:r>
    <w:r>
      <w:rPr>
        <w:rFonts w:ascii="SimSun" w:hAnsi="SimSun" w:eastAsia="SimSun" w:cs="SimSun"/>
        <w:sz w:val="18"/>
        <w:szCs w:val="18"/>
        <w:u w:val="single" w:color="auto"/>
        <w:spacing w:val="-24"/>
      </w:rPr>
      <w:t xml:space="preserve"> </w:t>
    </w:r>
    <w:r>
      <w:rPr>
        <w:rFonts w:ascii="SimSun" w:hAnsi="SimSun" w:eastAsia="SimSun" w:cs="SimSun"/>
        <w:sz w:val="18"/>
        <w:szCs w:val="18"/>
        <w:u w:val="single" w:color="auto"/>
        <w:spacing w:val="-12"/>
      </w:rPr>
      <w:t>阳</w:t>
    </w:r>
    <w:r>
      <w:rPr>
        <w:rFonts w:ascii="SimSun" w:hAnsi="SimSun" w:eastAsia="SimSun" w:cs="SimSun"/>
        <w:sz w:val="18"/>
        <w:szCs w:val="18"/>
        <w:u w:val="single" w:color="auto"/>
        <w:spacing w:val="-38"/>
      </w:rPr>
      <w:t xml:space="preserve"> </w:t>
    </w:r>
    <w:r>
      <w:rPr>
        <w:rFonts w:ascii="SimSun" w:hAnsi="SimSun" w:eastAsia="SimSun" w:cs="SimSun"/>
        <w:sz w:val="18"/>
        <w:szCs w:val="18"/>
        <w:u w:val="single" w:color="auto"/>
        <w:spacing w:val="-12"/>
      </w:rPr>
      <w:t>柒</w:t>
    </w:r>
    <w:r>
      <w:rPr>
        <w:rFonts w:ascii="SimSun" w:hAnsi="SimSun" w:eastAsia="SimSun" w:cs="SimSun"/>
        <w:sz w:val="18"/>
        <w:szCs w:val="18"/>
        <w:u w:val="single" w:color="auto"/>
        <w:spacing w:val="-37"/>
      </w:rPr>
      <w:t xml:space="preserve"> </w:t>
    </w:r>
    <w:r>
      <w:rPr>
        <w:rFonts w:ascii="SimSun" w:hAnsi="SimSun" w:eastAsia="SimSun" w:cs="SimSun"/>
        <w:sz w:val="18"/>
        <w:szCs w:val="18"/>
        <w:u w:val="single" w:color="auto"/>
        <w:spacing w:val="-12"/>
      </w:rPr>
      <w:t>鑫</w:t>
    </w:r>
    <w:r>
      <w:rPr>
        <w:rFonts w:ascii="SimSun" w:hAnsi="SimSun" w:eastAsia="SimSun" w:cs="SimSun"/>
        <w:sz w:val="18"/>
        <w:szCs w:val="18"/>
        <w:u w:val="single" w:color="auto"/>
        <w:spacing w:val="-38"/>
      </w:rPr>
      <w:t xml:space="preserve"> </w:t>
    </w:r>
    <w:r>
      <w:rPr>
        <w:rFonts w:ascii="SimSun" w:hAnsi="SimSun" w:eastAsia="SimSun" w:cs="SimSun"/>
        <w:sz w:val="18"/>
        <w:szCs w:val="18"/>
        <w:u w:val="single" w:color="auto"/>
        <w:spacing w:val="-12"/>
      </w:rPr>
      <w:t>食</w:t>
    </w:r>
    <w:r>
      <w:rPr>
        <w:rFonts w:ascii="SimSun" w:hAnsi="SimSun" w:eastAsia="SimSun" w:cs="SimSun"/>
        <w:sz w:val="18"/>
        <w:szCs w:val="18"/>
        <w:u w:val="single" w:color="auto"/>
        <w:spacing w:val="-22"/>
      </w:rPr>
      <w:t xml:space="preserve"> </w:t>
    </w:r>
    <w:r>
      <w:rPr>
        <w:rFonts w:ascii="SimSun" w:hAnsi="SimSun" w:eastAsia="SimSun" w:cs="SimSun"/>
        <w:sz w:val="18"/>
        <w:szCs w:val="18"/>
        <w:u w:val="single" w:color="auto"/>
        <w:spacing w:val="-12"/>
      </w:rPr>
      <w:t>品</w:t>
    </w:r>
    <w:r>
      <w:rPr>
        <w:rFonts w:ascii="SimSun" w:hAnsi="SimSun" w:eastAsia="SimSun" w:cs="SimSun"/>
        <w:sz w:val="18"/>
        <w:szCs w:val="18"/>
        <w:u w:val="single" w:color="auto"/>
        <w:spacing w:val="-37"/>
      </w:rPr>
      <w:t xml:space="preserve"> </w:t>
    </w:r>
    <w:r>
      <w:rPr>
        <w:rFonts w:ascii="SimSun" w:hAnsi="SimSun" w:eastAsia="SimSun" w:cs="SimSun"/>
        <w:sz w:val="18"/>
        <w:szCs w:val="18"/>
        <w:u w:val="single" w:color="auto"/>
        <w:spacing w:val="-12"/>
      </w:rPr>
      <w:t>有</w:t>
    </w:r>
    <w:r>
      <w:rPr>
        <w:rFonts w:ascii="SimSun" w:hAnsi="SimSun" w:eastAsia="SimSun" w:cs="SimSun"/>
        <w:sz w:val="18"/>
        <w:szCs w:val="18"/>
        <w:u w:val="single" w:color="auto"/>
        <w:spacing w:val="-25"/>
      </w:rPr>
      <w:t xml:space="preserve"> </w:t>
    </w:r>
    <w:r>
      <w:rPr>
        <w:rFonts w:ascii="SimSun" w:hAnsi="SimSun" w:eastAsia="SimSun" w:cs="SimSun"/>
        <w:sz w:val="18"/>
        <w:szCs w:val="18"/>
        <w:u w:val="single" w:color="auto"/>
        <w:spacing w:val="-12"/>
      </w:rPr>
      <w:t>限</w:t>
    </w:r>
    <w:r>
      <w:rPr>
        <w:rFonts w:ascii="SimSun" w:hAnsi="SimSun" w:eastAsia="SimSun" w:cs="SimSun"/>
        <w:sz w:val="18"/>
        <w:szCs w:val="18"/>
        <w:u w:val="single" w:color="auto"/>
        <w:spacing w:val="-32"/>
      </w:rPr>
      <w:t xml:space="preserve"> </w:t>
    </w:r>
    <w:r>
      <w:rPr>
        <w:rFonts w:ascii="SimSun" w:hAnsi="SimSun" w:eastAsia="SimSun" w:cs="SimSun"/>
        <w:sz w:val="18"/>
        <w:szCs w:val="18"/>
        <w:u w:val="single" w:color="auto"/>
        <w:spacing w:val="-12"/>
      </w:rPr>
      <w:t>公</w:t>
    </w:r>
    <w:r>
      <w:rPr>
        <w:rFonts w:ascii="SimSun" w:hAnsi="SimSun" w:eastAsia="SimSun" w:cs="SimSun"/>
        <w:sz w:val="18"/>
        <w:szCs w:val="18"/>
        <w:u w:val="single" w:color="auto"/>
        <w:spacing w:val="-30"/>
      </w:rPr>
      <w:t xml:space="preserve"> </w:t>
    </w:r>
    <w:r>
      <w:rPr>
        <w:rFonts w:ascii="SimSun" w:hAnsi="SimSun" w:eastAsia="SimSun" w:cs="SimSun"/>
        <w:sz w:val="18"/>
        <w:szCs w:val="18"/>
        <w:u w:val="single" w:color="auto"/>
        <w:spacing w:val="-12"/>
      </w:rPr>
      <w:t>司</w:t>
    </w:r>
    <w:r>
      <w:rPr>
        <w:rFonts w:ascii="SimSun" w:hAnsi="SimSun" w:eastAsia="SimSun" w:cs="SimSun"/>
        <w:sz w:val="18"/>
        <w:szCs w:val="18"/>
        <w:u w:val="single" w:color="auto"/>
        <w:spacing w:val="-43"/>
      </w:rPr>
      <w:t xml:space="preserve"> </w:t>
    </w:r>
    <w:r>
      <w:rPr>
        <w:rFonts w:ascii="SimSun" w:hAnsi="SimSun" w:eastAsia="SimSun" w:cs="SimSun"/>
        <w:sz w:val="18"/>
        <w:szCs w:val="18"/>
        <w:u w:val="single" w:color="auto"/>
        <w:spacing w:val="-12"/>
      </w:rPr>
      <w:t>A</w:t>
    </w:r>
    <w:r>
      <w:rPr>
        <w:rFonts w:ascii="SimSun" w:hAnsi="SimSun" w:eastAsia="SimSun" w:cs="SimSun"/>
        <w:sz w:val="18"/>
        <w:szCs w:val="18"/>
        <w:u w:val="single" w:color="auto"/>
        <w:spacing w:val="-35"/>
      </w:rPr>
      <w:t xml:space="preserve"> </w:t>
    </w:r>
    <w:r>
      <w:rPr>
        <w:rFonts w:ascii="SimSun" w:hAnsi="SimSun" w:eastAsia="SimSun" w:cs="SimSun"/>
        <w:sz w:val="18"/>
        <w:szCs w:val="18"/>
        <w:u w:val="single" w:color="auto"/>
        <w:spacing w:val="-12"/>
      </w:rPr>
      <w:t>级</w:t>
    </w:r>
    <w:r>
      <w:rPr>
        <w:rFonts w:ascii="SimSun" w:hAnsi="SimSun" w:eastAsia="SimSun" w:cs="SimSun"/>
        <w:sz w:val="18"/>
        <w:szCs w:val="18"/>
        <w:u w:val="single" w:color="auto"/>
        <w:spacing w:val="-36"/>
      </w:rPr>
      <w:t xml:space="preserve"> </w:t>
    </w:r>
    <w:r>
      <w:rPr>
        <w:rFonts w:ascii="SimSun" w:hAnsi="SimSun" w:eastAsia="SimSun" w:cs="SimSun"/>
        <w:sz w:val="18"/>
        <w:szCs w:val="18"/>
        <w:u w:val="single" w:color="auto"/>
        <w:spacing w:val="-12"/>
      </w:rPr>
      <w:t>生</w:t>
    </w:r>
    <w:r>
      <w:rPr>
        <w:rFonts w:ascii="SimSun" w:hAnsi="SimSun" w:eastAsia="SimSun" w:cs="SimSun"/>
        <w:sz w:val="18"/>
        <w:szCs w:val="18"/>
        <w:u w:val="single" w:color="auto"/>
        <w:spacing w:val="-37"/>
      </w:rPr>
      <w:t xml:space="preserve"> </w:t>
    </w:r>
    <w:r>
      <w:rPr>
        <w:rFonts w:ascii="SimSun" w:hAnsi="SimSun" w:eastAsia="SimSun" w:cs="SimSun"/>
        <w:sz w:val="18"/>
        <w:szCs w:val="18"/>
        <w:u w:val="single" w:color="auto"/>
        <w:spacing w:val="-12"/>
      </w:rPr>
      <w:t>猪</w:t>
    </w:r>
    <w:r>
      <w:rPr>
        <w:rFonts w:ascii="SimSun" w:hAnsi="SimSun" w:eastAsia="SimSun" w:cs="SimSun"/>
        <w:sz w:val="18"/>
        <w:szCs w:val="18"/>
        <w:u w:val="single" w:color="auto"/>
        <w:spacing w:val="-25"/>
      </w:rPr>
      <w:t xml:space="preserve"> </w:t>
    </w:r>
    <w:r>
      <w:rPr>
        <w:rFonts w:ascii="SimSun" w:hAnsi="SimSun" w:eastAsia="SimSun" w:cs="SimSun"/>
        <w:sz w:val="18"/>
        <w:szCs w:val="18"/>
        <w:u w:val="single" w:color="auto"/>
        <w:spacing w:val="-12"/>
      </w:rPr>
      <w:t>、 肉</w:t>
    </w:r>
    <w:r>
      <w:rPr>
        <w:rFonts w:ascii="SimSun" w:hAnsi="SimSun" w:eastAsia="SimSun" w:cs="SimSun"/>
        <w:sz w:val="18"/>
        <w:szCs w:val="18"/>
        <w:u w:val="single" w:color="auto"/>
        <w:spacing w:val="-33"/>
      </w:rPr>
      <w:t xml:space="preserve"> </w:t>
    </w:r>
    <w:r>
      <w:rPr>
        <w:rFonts w:ascii="SimSun" w:hAnsi="SimSun" w:eastAsia="SimSun" w:cs="SimSun"/>
        <w:sz w:val="18"/>
        <w:szCs w:val="18"/>
        <w:u w:val="single" w:color="auto"/>
        <w:spacing w:val="-12"/>
      </w:rPr>
      <w:t>牛</w:t>
    </w:r>
    <w:r>
      <w:rPr>
        <w:rFonts w:ascii="SimSun" w:hAnsi="SimSun" w:eastAsia="SimSun" w:cs="SimSun"/>
        <w:sz w:val="18"/>
        <w:szCs w:val="18"/>
        <w:u w:val="single" w:color="auto"/>
        <w:spacing w:val="-34"/>
      </w:rPr>
      <w:t xml:space="preserve"> </w:t>
    </w:r>
    <w:r>
      <w:rPr>
        <w:rFonts w:ascii="SimSun" w:hAnsi="SimSun" w:eastAsia="SimSun" w:cs="SimSun"/>
        <w:sz w:val="18"/>
        <w:szCs w:val="18"/>
        <w:u w:val="single" w:color="auto"/>
        <w:spacing w:val="-12"/>
      </w:rPr>
      <w:t>定</w:t>
    </w:r>
    <w:r>
      <w:rPr>
        <w:rFonts w:ascii="SimSun" w:hAnsi="SimSun" w:eastAsia="SimSun" w:cs="SimSun"/>
        <w:sz w:val="18"/>
        <w:szCs w:val="18"/>
        <w:u w:val="single" w:color="auto"/>
        <w:spacing w:val="-28"/>
      </w:rPr>
      <w:t xml:space="preserve"> </w:t>
    </w:r>
    <w:r>
      <w:rPr>
        <w:rFonts w:ascii="SimSun" w:hAnsi="SimSun" w:eastAsia="SimSun" w:cs="SimSun"/>
        <w:sz w:val="18"/>
        <w:szCs w:val="18"/>
        <w:u w:val="single" w:color="auto"/>
        <w:spacing w:val="-12"/>
      </w:rPr>
      <w:t>点</w:t>
    </w:r>
    <w:r>
      <w:rPr>
        <w:rFonts w:ascii="SimSun" w:hAnsi="SimSun" w:eastAsia="SimSun" w:cs="SimSun"/>
        <w:sz w:val="18"/>
        <w:szCs w:val="18"/>
        <w:u w:val="single" w:color="auto"/>
        <w:spacing w:val="-37"/>
      </w:rPr>
      <w:t xml:space="preserve"> </w:t>
    </w:r>
    <w:r>
      <w:rPr>
        <w:rFonts w:ascii="SimSun" w:hAnsi="SimSun" w:eastAsia="SimSun" w:cs="SimSun"/>
        <w:sz w:val="18"/>
        <w:szCs w:val="18"/>
        <w:u w:val="single" w:color="auto"/>
        <w:spacing w:val="-12"/>
      </w:rPr>
      <w:t>屠</w:t>
    </w:r>
    <w:r>
      <w:rPr>
        <w:rFonts w:ascii="SimSun" w:hAnsi="SimSun" w:eastAsia="SimSun" w:cs="SimSun"/>
        <w:sz w:val="18"/>
        <w:szCs w:val="18"/>
        <w:u w:val="single" w:color="auto"/>
        <w:spacing w:val="-29"/>
      </w:rPr>
      <w:t xml:space="preserve"> </w:t>
    </w:r>
    <w:r>
      <w:rPr>
        <w:rFonts w:ascii="SimSun" w:hAnsi="SimSun" w:eastAsia="SimSun" w:cs="SimSun"/>
        <w:sz w:val="18"/>
        <w:szCs w:val="18"/>
        <w:u w:val="single" w:color="auto"/>
        <w:spacing w:val="-12"/>
      </w:rPr>
      <w:t>宰</w:t>
    </w:r>
    <w:r>
      <w:rPr>
        <w:rFonts w:ascii="SimSun" w:hAnsi="SimSun" w:eastAsia="SimSun" w:cs="SimSun"/>
        <w:sz w:val="18"/>
        <w:szCs w:val="18"/>
        <w:u w:val="single" w:color="auto"/>
        <w:spacing w:val="-38"/>
      </w:rPr>
      <w:t xml:space="preserve"> </w:t>
    </w:r>
    <w:r>
      <w:rPr>
        <w:rFonts w:ascii="SimSun" w:hAnsi="SimSun" w:eastAsia="SimSun" w:cs="SimSun"/>
        <w:sz w:val="18"/>
        <w:szCs w:val="18"/>
        <w:u w:val="single" w:color="auto"/>
        <w:spacing w:val="-12"/>
      </w:rPr>
      <w:t>及</w:t>
    </w:r>
    <w:r>
      <w:rPr>
        <w:rFonts w:ascii="SimSun" w:hAnsi="SimSun" w:eastAsia="SimSun" w:cs="SimSun"/>
        <w:sz w:val="18"/>
        <w:szCs w:val="18"/>
        <w:u w:val="single" w:color="auto"/>
        <w:spacing w:val="-38"/>
      </w:rPr>
      <w:t xml:space="preserve"> </w:t>
    </w:r>
    <w:r>
      <w:rPr>
        <w:rFonts w:ascii="SimSun" w:hAnsi="SimSun" w:eastAsia="SimSun" w:cs="SimSun"/>
        <w:sz w:val="18"/>
        <w:szCs w:val="18"/>
        <w:u w:val="single" w:color="auto"/>
        <w:spacing w:val="-12"/>
      </w:rPr>
      <w:t>食</w:t>
    </w:r>
    <w:r>
      <w:rPr>
        <w:rFonts w:ascii="SimSun" w:hAnsi="SimSun" w:eastAsia="SimSun" w:cs="SimSun"/>
        <w:sz w:val="18"/>
        <w:szCs w:val="18"/>
        <w:u w:val="single" w:color="auto"/>
        <w:spacing w:val="-23"/>
      </w:rPr>
      <w:t xml:space="preserve"> </w:t>
    </w:r>
    <w:r>
      <w:rPr>
        <w:rFonts w:ascii="SimSun" w:hAnsi="SimSun" w:eastAsia="SimSun" w:cs="SimSun"/>
        <w:sz w:val="18"/>
        <w:szCs w:val="18"/>
        <w:u w:val="single" w:color="auto"/>
        <w:spacing w:val="-12"/>
      </w:rPr>
      <w:t>品</w:t>
    </w:r>
    <w:r>
      <w:rPr>
        <w:rFonts w:ascii="SimSun" w:hAnsi="SimSun" w:eastAsia="SimSun" w:cs="SimSun"/>
        <w:sz w:val="18"/>
        <w:szCs w:val="18"/>
        <w:u w:val="single" w:color="auto"/>
        <w:spacing w:val="-37"/>
      </w:rPr>
      <w:t xml:space="preserve"> </w:t>
    </w:r>
    <w:r>
      <w:rPr>
        <w:rFonts w:ascii="SimSun" w:hAnsi="SimSun" w:eastAsia="SimSun" w:cs="SimSun"/>
        <w:sz w:val="18"/>
        <w:szCs w:val="18"/>
        <w:u w:val="single" w:color="auto"/>
        <w:spacing w:val="-12"/>
      </w:rPr>
      <w:t>加</w:t>
    </w:r>
    <w:r>
      <w:rPr>
        <w:rFonts w:ascii="SimSun" w:hAnsi="SimSun" w:eastAsia="SimSun" w:cs="SimSun"/>
        <w:sz w:val="18"/>
        <w:szCs w:val="18"/>
        <w:u w:val="single" w:color="auto"/>
        <w:spacing w:val="-35"/>
      </w:rPr>
      <w:t xml:space="preserve"> </w:t>
    </w:r>
    <w:r>
      <w:rPr>
        <w:rFonts w:ascii="SimSun" w:hAnsi="SimSun" w:eastAsia="SimSun" w:cs="SimSun"/>
        <w:sz w:val="18"/>
        <w:szCs w:val="18"/>
        <w:u w:val="single" w:color="auto"/>
        <w:spacing w:val="-12"/>
      </w:rPr>
      <w:t>工</w:t>
    </w:r>
    <w:r>
      <w:rPr>
        <w:rFonts w:ascii="SimSun" w:hAnsi="SimSun" w:eastAsia="SimSun" w:cs="SimSun"/>
        <w:sz w:val="18"/>
        <w:szCs w:val="18"/>
        <w:u w:val="single" w:color="auto"/>
        <w:spacing w:val="-35"/>
      </w:rPr>
      <w:t xml:space="preserve"> </w:t>
    </w:r>
    <w:r>
      <w:rPr>
        <w:rFonts w:ascii="SimSun" w:hAnsi="SimSun" w:eastAsia="SimSun" w:cs="SimSun"/>
        <w:sz w:val="18"/>
        <w:szCs w:val="18"/>
        <w:u w:val="single" w:color="auto"/>
        <w:spacing w:val="-12"/>
      </w:rPr>
      <w:t>项 目</w:t>
    </w:r>
    <w:r>
      <w:rPr>
        <w:rFonts w:ascii="SimSun" w:hAnsi="SimSun" w:eastAsia="SimSun" w:cs="SimSun"/>
        <w:sz w:val="18"/>
        <w:szCs w:val="18"/>
        <w:u w:val="single" w:color="auto"/>
        <w:spacing w:val="-37"/>
      </w:rPr>
      <w:t xml:space="preserve"> </w:t>
    </w:r>
    <w:r>
      <w:rPr>
        <w:rFonts w:ascii="SimSun" w:hAnsi="SimSun" w:eastAsia="SimSun" w:cs="SimSun"/>
        <w:sz w:val="18"/>
        <w:szCs w:val="18"/>
        <w:u w:val="single" w:color="auto"/>
        <w:spacing w:val="-13"/>
      </w:rPr>
      <w:t>环</w:t>
    </w:r>
    <w:r>
      <w:rPr>
        <w:rFonts w:ascii="SimSun" w:hAnsi="SimSun" w:eastAsia="SimSun" w:cs="SimSun"/>
        <w:sz w:val="18"/>
        <w:szCs w:val="18"/>
        <w:u w:val="single" w:color="auto"/>
        <w:spacing w:val="-37"/>
      </w:rPr>
      <w:t xml:space="preserve"> </w:t>
    </w:r>
    <w:r>
      <w:rPr>
        <w:rFonts w:ascii="SimSun" w:hAnsi="SimSun" w:eastAsia="SimSun" w:cs="SimSun"/>
        <w:sz w:val="18"/>
        <w:szCs w:val="18"/>
        <w:u w:val="single" w:color="auto"/>
        <w:spacing w:val="-13"/>
      </w:rPr>
      <w:t>境</w:t>
    </w:r>
    <w:r>
      <w:rPr>
        <w:rFonts w:ascii="SimSun" w:hAnsi="SimSun" w:eastAsia="SimSun" w:cs="SimSun"/>
        <w:sz w:val="18"/>
        <w:szCs w:val="18"/>
        <w:u w:val="single" w:color="auto"/>
        <w:spacing w:val="-38"/>
      </w:rPr>
      <w:t xml:space="preserve"> </w:t>
    </w:r>
    <w:r>
      <w:rPr>
        <w:rFonts w:ascii="SimSun" w:hAnsi="SimSun" w:eastAsia="SimSun" w:cs="SimSun"/>
        <w:sz w:val="18"/>
        <w:szCs w:val="18"/>
        <w:u w:val="single" w:color="auto"/>
        <w:spacing w:val="-13"/>
      </w:rPr>
      <w:t>影</w:t>
    </w:r>
    <w:r>
      <w:rPr>
        <w:rFonts w:ascii="SimSun" w:hAnsi="SimSun" w:eastAsia="SimSun" w:cs="SimSun"/>
        <w:sz w:val="18"/>
        <w:szCs w:val="18"/>
        <w:u w:val="single" w:color="auto"/>
        <w:spacing w:val="-28"/>
      </w:rPr>
      <w:t xml:space="preserve"> </w:t>
    </w:r>
    <w:r>
      <w:rPr>
        <w:rFonts w:ascii="SimSun" w:hAnsi="SimSun" w:eastAsia="SimSun" w:cs="SimSun"/>
        <w:sz w:val="18"/>
        <w:szCs w:val="18"/>
        <w:u w:val="single" w:color="auto"/>
        <w:spacing w:val="-13"/>
      </w:rPr>
      <w:t>响</w:t>
    </w:r>
    <w:r>
      <w:rPr>
        <w:rFonts w:ascii="SimSun" w:hAnsi="SimSun" w:eastAsia="SimSun" w:cs="SimSun"/>
        <w:sz w:val="18"/>
        <w:szCs w:val="18"/>
        <w:u w:val="single" w:color="auto"/>
        <w:spacing w:val="-39"/>
      </w:rPr>
      <w:t xml:space="preserve"> </w:t>
    </w:r>
    <w:r>
      <w:rPr>
        <w:rFonts w:ascii="SimSun" w:hAnsi="SimSun" w:eastAsia="SimSun" w:cs="SimSun"/>
        <w:sz w:val="18"/>
        <w:szCs w:val="18"/>
        <w:u w:val="single" w:color="auto"/>
        <w:spacing w:val="-13"/>
      </w:rPr>
      <w:t>报</w:t>
    </w:r>
    <w:r>
      <w:rPr>
        <w:rFonts w:ascii="SimSun" w:hAnsi="SimSun" w:eastAsia="SimSun" w:cs="SimSun"/>
        <w:sz w:val="18"/>
        <w:szCs w:val="18"/>
        <w:u w:val="single" w:color="auto"/>
        <w:spacing w:val="-33"/>
      </w:rPr>
      <w:t xml:space="preserve"> </w:t>
    </w:r>
    <w:r>
      <w:rPr>
        <w:rFonts w:ascii="SimSun" w:hAnsi="SimSun" w:eastAsia="SimSun" w:cs="SimSun"/>
        <w:sz w:val="18"/>
        <w:szCs w:val="18"/>
        <w:u w:val="single" w:color="auto"/>
        <w:spacing w:val="-13"/>
      </w:rPr>
      <w:t>告</w:t>
    </w:r>
    <w:r>
      <w:rPr>
        <w:rFonts w:ascii="SimSun" w:hAnsi="SimSun" w:eastAsia="SimSun" w:cs="SimSun"/>
        <w:sz w:val="18"/>
        <w:szCs w:val="18"/>
        <w:u w:val="single" w:color="auto"/>
        <w:spacing w:val="-34"/>
      </w:rPr>
      <w:t xml:space="preserve"> </w:t>
    </w:r>
    <w:r>
      <w:rPr>
        <w:rFonts w:ascii="SimSun" w:hAnsi="SimSun" w:eastAsia="SimSun" w:cs="SimSun"/>
        <w:sz w:val="18"/>
        <w:szCs w:val="18"/>
        <w:u w:val="single" w:color="auto"/>
        <w:spacing w:val="-13"/>
      </w:rPr>
      <w:t>书</w:t>
    </w:r>
    <w:r>
      <w:rPr>
        <w:rFonts w:ascii="SimSun" w:hAnsi="SimSun" w:eastAsia="SimSun" w:cs="SimSun"/>
        <w:sz w:val="18"/>
        <w:szCs w:val="18"/>
        <w:u w:val="single" w:color="auto"/>
      </w:rPr>
      <w:t xml:space="preserve">    </w:t>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61" w:line="218" w:lineRule="auto"/>
      <w:tabs>
        <w:tab w:val="left" w:pos="238"/>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绵阳柒鑫食品有限公司A级生猪、肉牛定点屠宰及食品加工项目环境影响报告书</w:t>
    </w:r>
    <w:r>
      <w:rPr>
        <w:rFonts w:ascii="SimSun" w:hAnsi="SimSun" w:eastAsia="SimSun" w:cs="SimSun"/>
        <w:sz w:val="23"/>
        <w:szCs w:val="23"/>
        <w:u w:val="single" w:color="auto"/>
        <w:spacing w:val="1"/>
      </w:rPr>
      <w:t xml:space="preserve">  </w:t>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
      <w:spacing w:before="61" w:line="218" w:lineRule="auto"/>
      <w:tabs>
        <w:tab w:val="left" w:pos="243"/>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绵阳柒鑫食品有限公司A级生猪、肉牛定点屠宰及食品加工项目环境影响报告书</w:t>
    </w:r>
    <w:r>
      <w:rPr>
        <w:rFonts w:ascii="SimSun" w:hAnsi="SimSun" w:eastAsia="SimSun" w:cs="SimSun"/>
        <w:sz w:val="23"/>
        <w:szCs w:val="23"/>
        <w:u w:val="single" w:color="auto"/>
        <w:spacing w:val="1"/>
      </w:rPr>
      <w:t xml:space="preserve">  </w:t>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53" w:line="218" w:lineRule="auto"/>
      <w:tabs>
        <w:tab w:val="left" w:pos="262"/>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rPr>
      <w:t xml:space="preserve">   </w:t>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61" w:line="218" w:lineRule="auto"/>
      <w:tabs>
        <w:tab w:val="left" w:pos="238"/>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绵阳柒鑫食品有限公司A级生猪、肉牛定点屠宰及食品加工项目环境影响报告书</w:t>
    </w:r>
    <w:r>
      <w:rPr>
        <w:rFonts w:ascii="SimSun" w:hAnsi="SimSun" w:eastAsia="SimSun" w:cs="SimSun"/>
        <w:sz w:val="23"/>
        <w:szCs w:val="23"/>
        <w:u w:val="single" w:color="auto"/>
        <w:spacing w:val="1"/>
      </w:rPr>
      <w:t xml:space="preserve">  </w:t>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
      <w:spacing w:before="51" w:line="218" w:lineRule="auto"/>
      <w:tabs>
        <w:tab w:val="left" w:pos="275"/>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4"/>
      </w:rPr>
      <w:t>绵阳柒鑫食品有限公司A级生猪、肉牛定点屠宰及食品加工项目环境影响报告书</w:t>
    </w:r>
    <w:r>
      <w:rPr>
        <w:rFonts w:ascii="SimSun" w:hAnsi="SimSun" w:eastAsia="SimSun" w:cs="SimSun"/>
        <w:sz w:val="19"/>
        <w:szCs w:val="19"/>
        <w:u w:val="single" w:color="auto"/>
        <w:spacing w:val="3"/>
      </w:rPr>
      <w:t xml:space="preserve">   </w:t>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
      <w:spacing w:before="61" w:line="218" w:lineRule="auto"/>
      <w:tabs>
        <w:tab w:val="left" w:pos="242"/>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绵阳柒鑫食品有限公司A级生猪、肉牛定点屠宰及食品加工项目环境影响报告书</w:t>
    </w:r>
    <w:r>
      <w:rPr>
        <w:rFonts w:ascii="SimSun" w:hAnsi="SimSun" w:eastAsia="SimSun" w:cs="SimSun"/>
        <w:sz w:val="23"/>
        <w:szCs w:val="23"/>
        <w:u w:val="single" w:color="auto"/>
        <w:spacing w:val="1"/>
      </w:rPr>
      <w:t xml:space="preserve">  </w:t>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4"/>
      <w:spacing w:before="51" w:line="218" w:lineRule="auto"/>
      <w:tabs>
        <w:tab w:val="left" w:pos="36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
      <w:spacing w:before="51" w:line="218" w:lineRule="auto"/>
      <w:tabs>
        <w:tab w:val="left" w:pos="375"/>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4"/>
      </w:rPr>
      <w:t>绵阳柒鑫食品有限公司A级生猪、肉牛定点屠宰及食品加工项目环境影响报告书</w:t>
    </w:r>
    <w:r>
      <w:rPr>
        <w:rFonts w:ascii="SimSun" w:hAnsi="SimSun" w:eastAsia="SimSun" w:cs="SimSun"/>
        <w:sz w:val="19"/>
        <w:szCs w:val="19"/>
        <w:u w:val="single" w:color="auto"/>
        <w:spacing w:val="3"/>
      </w:rPr>
      <w:t xml:space="preserve">   </w:t>
    </w:r>
  </w:p>
</w:hdr>
</file>

<file path=word/header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56" w:line="218" w:lineRule="auto"/>
      <w:tabs>
        <w:tab w:val="left" w:pos="253"/>
      </w:tabs>
      <w:rPr>
        <w:rFonts w:ascii="SimSun" w:hAnsi="SimSun" w:eastAsia="SimSun" w:cs="SimSun"/>
        <w:sz w:val="21"/>
        <w:szCs w:val="21"/>
      </w:rPr>
    </w:pPr>
    <w:r>
      <w:rPr>
        <w:rFonts w:ascii="SimSun" w:hAnsi="SimSun" w:eastAsia="SimSun" w:cs="SimSun"/>
        <w:sz w:val="21"/>
        <w:szCs w:val="21"/>
        <w:u w:val="single" w:color="auto"/>
      </w:rPr>
      <w:tab/>
    </w:r>
    <w:r>
      <w:rPr>
        <w:rFonts w:ascii="SimSun" w:hAnsi="SimSun" w:eastAsia="SimSun" w:cs="SimSun"/>
        <w:sz w:val="21"/>
        <w:szCs w:val="21"/>
        <w:b/>
        <w:bCs/>
        <w:u w:val="single" w:color="auto"/>
        <w:spacing w:val="14"/>
      </w:rPr>
      <w:t>绵阳柒鑫食品有限公司A级生猪、肉牛定点屠宰及食品</w:t>
    </w:r>
    <w:r>
      <w:rPr>
        <w:rFonts w:ascii="SimSun" w:hAnsi="SimSun" w:eastAsia="SimSun" w:cs="SimSun"/>
        <w:sz w:val="21"/>
        <w:szCs w:val="21"/>
        <w:b/>
        <w:bCs/>
        <w:u w:val="single" w:color="auto"/>
        <w:spacing w:val="13"/>
      </w:rPr>
      <w:t>加工项目环境影响报告书</w:t>
    </w:r>
    <w:r>
      <w:rPr>
        <w:rFonts w:ascii="SimSun" w:hAnsi="SimSun" w:eastAsia="SimSun" w:cs="SimSun"/>
        <w:sz w:val="21"/>
        <w:szCs w:val="21"/>
        <w:u w:val="single" w:color="auto"/>
      </w:rPr>
      <w:t xml:space="preserve">   </w:t>
    </w:r>
  </w:p>
</w:hdr>
</file>

<file path=word/header1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4"/>
      <w:spacing w:before="61" w:line="218" w:lineRule="auto"/>
      <w:tabs>
        <w:tab w:val="left" w:pos="334"/>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w:t>
    </w:r>
    <w:r>
      <w:rPr>
        <w:rFonts w:ascii="SimSun" w:hAnsi="SimSun" w:eastAsia="SimSun" w:cs="SimSun"/>
        <w:sz w:val="23"/>
        <w:szCs w:val="23"/>
        <w:u w:val="single" w:color="auto"/>
        <w:spacing w:val="-4"/>
      </w:rPr>
      <w:t>目环境影响报告书</w:t>
    </w:r>
    <w:r>
      <w:rPr>
        <w:rFonts w:ascii="SimSun" w:hAnsi="SimSun" w:eastAsia="SimSun" w:cs="SimSun"/>
        <w:sz w:val="23"/>
        <w:szCs w:val="23"/>
        <w:u w:val="single" w:color="auto"/>
      </w:rPr>
      <w:t xml:space="preserve">  </w:t>
    </w:r>
  </w:p>
</w:hdr>
</file>

<file path=word/header1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4"/>
      <w:spacing w:before="51" w:line="218" w:lineRule="auto"/>
      <w:tabs>
        <w:tab w:val="left" w:pos="38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1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4"/>
      <w:spacing w:before="53" w:line="218" w:lineRule="auto"/>
      <w:tabs>
        <w:tab w:val="left" w:pos="318"/>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6"/>
      </w:rPr>
      <w:t>绵阳柒鑫食品有限公司A级生猪、肉牛定点屠宰及食品加工</w:t>
    </w:r>
    <w:r>
      <w:rPr>
        <w:rFonts w:ascii="SimSun" w:hAnsi="SimSun" w:eastAsia="SimSun" w:cs="SimSun"/>
        <w:sz w:val="20"/>
        <w:szCs w:val="20"/>
        <w:u w:val="single" w:color="auto"/>
        <w:spacing w:val="25"/>
      </w:rPr>
      <w:t>项目环境影响报告书</w:t>
    </w:r>
    <w:r>
      <w:rPr>
        <w:rFonts w:ascii="SimSun" w:hAnsi="SimSun" w:eastAsia="SimSun" w:cs="SimSun"/>
        <w:sz w:val="20"/>
        <w:szCs w:val="20"/>
        <w:u w:val="single" w:color="auto"/>
      </w:rPr>
      <w:t xml:space="preserve">   </w:t>
    </w:r>
  </w:p>
</w:hdr>
</file>

<file path=word/header1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4"/>
      <w:spacing w:before="53" w:line="218" w:lineRule="auto"/>
      <w:tabs>
        <w:tab w:val="left" w:pos="387"/>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spacing w:val="2"/>
      </w:rPr>
      <w:t xml:space="preserve">   </w:t>
    </w:r>
  </w:p>
</w:hdr>
</file>

<file path=word/header1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4"/>
      <w:spacing w:before="51" w:line="218" w:lineRule="auto"/>
      <w:tabs>
        <w:tab w:val="left" w:pos="39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1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4"/>
      <w:spacing w:before="51" w:line="218" w:lineRule="auto"/>
      <w:tabs>
        <w:tab w:val="left" w:pos="40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2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4"/>
      <w:spacing w:before="51" w:line="218" w:lineRule="auto"/>
      <w:tabs>
        <w:tab w:val="left" w:pos="51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2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4"/>
      <w:spacing w:before="53" w:line="218" w:lineRule="auto"/>
      <w:tabs>
        <w:tab w:val="left" w:pos="607"/>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spacing w:val="2"/>
      </w:rPr>
      <w:t xml:space="preserve">   </w:t>
    </w:r>
  </w:p>
</w:hdr>
</file>

<file path=word/header2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74"/>
      <w:spacing w:before="53" w:line="218" w:lineRule="auto"/>
      <w:tabs>
        <w:tab w:val="left" w:pos="637"/>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spacing w:val="2"/>
      </w:rPr>
      <w:t xml:space="preserve">   </w:t>
    </w:r>
  </w:p>
</w:hdr>
</file>

<file path=word/header2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34"/>
      <w:spacing w:before="51" w:line="218" w:lineRule="auto"/>
      <w:tabs>
        <w:tab w:val="left" w:pos="50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2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4"/>
      <w:spacing w:before="51" w:line="218" w:lineRule="auto"/>
      <w:tabs>
        <w:tab w:val="left" w:pos="49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2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4"/>
      <w:spacing w:before="59" w:line="218" w:lineRule="auto"/>
      <w:tabs>
        <w:tab w:val="left" w:pos="470"/>
      </w:tabs>
      <w:rPr>
        <w:rFonts w:ascii="SimSun" w:hAnsi="SimSun" w:eastAsia="SimSun" w:cs="SimSun"/>
        <w:sz w:val="22"/>
        <w:szCs w:val="22"/>
      </w:rPr>
    </w:pPr>
    <w:r>
      <w:rPr>
        <w:rFonts w:ascii="SimSun" w:hAnsi="SimSun" w:eastAsia="SimSun" w:cs="SimSun"/>
        <w:sz w:val="22"/>
        <w:szCs w:val="22"/>
        <w:u w:val="single" w:color="auto"/>
      </w:rPr>
      <w:tab/>
    </w:r>
    <w:r>
      <w:rPr>
        <w:rFonts w:ascii="SimSun" w:hAnsi="SimSun" w:eastAsia="SimSun" w:cs="SimSun"/>
        <w:sz w:val="22"/>
        <w:szCs w:val="22"/>
        <w:u w:val="single" w:color="auto"/>
        <w:spacing w:val="6"/>
      </w:rPr>
      <w:t>绵阳柒鑫食品有限公司A级生猪、肉牛定点屠宰及食品加工项目环境影响报告书</w:t>
    </w:r>
    <w:r>
      <w:rPr>
        <w:rFonts w:ascii="SimSun" w:hAnsi="SimSun" w:eastAsia="SimSun" w:cs="SimSun"/>
        <w:sz w:val="22"/>
        <w:szCs w:val="22"/>
        <w:u w:val="single" w:color="auto"/>
        <w:spacing w:val="3"/>
      </w:rPr>
      <w:t xml:space="preserve">   </w:t>
    </w:r>
  </w:p>
</w:hdr>
</file>

<file path=word/header2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14"/>
      <w:spacing w:before="51" w:line="218" w:lineRule="auto"/>
      <w:tabs>
        <w:tab w:val="left" w:pos="48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2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24"/>
      <w:spacing w:before="53" w:line="218" w:lineRule="auto"/>
      <w:tabs>
        <w:tab w:val="left" w:pos="587"/>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spacing w:val="2"/>
      </w:rPr>
      <w:t xml:space="preserve">   </w:t>
    </w:r>
  </w:p>
</w:hdr>
</file>

<file path=word/header2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04"/>
      <w:spacing w:before="51" w:line="218" w:lineRule="auto"/>
      <w:tabs>
        <w:tab w:val="left" w:pos="57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绵阳柒鑫食品有限公司A级生猪、肉牛定点屠宰及食品加工项目环境影响报告书</w:t>
    </w:r>
    <w:r>
      <w:rPr>
        <w:rFonts w:ascii="SimSun" w:hAnsi="SimSun" w:eastAsia="SimSun" w:cs="SimSun"/>
        <w:sz w:val="19"/>
        <w:szCs w:val="19"/>
        <w:u w:val="single" w:color="auto"/>
        <w:spacing w:val="4"/>
      </w:rPr>
      <w:t xml:space="preserve">   </w:t>
    </w:r>
  </w:p>
</w:hdr>
</file>

<file path=word/header2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24"/>
      <w:spacing w:before="53" w:line="218" w:lineRule="auto"/>
      <w:tabs>
        <w:tab w:val="left" w:pos="587"/>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spacing w:val="2"/>
      </w:rPr>
      <w:t xml:space="preserve">   </w:t>
    </w:r>
  </w:p>
</w:hdr>
</file>

<file path=word/header3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94"/>
      <w:spacing w:before="51" w:line="218" w:lineRule="auto"/>
      <w:tabs>
        <w:tab w:val="left" w:pos="56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绵阳柒鑫食品有限公司A级生猪、肉牛定点屠宰及食品加工项目环</w:t>
    </w:r>
    <w:r>
      <w:rPr>
        <w:rFonts w:ascii="SimSun" w:hAnsi="SimSun" w:eastAsia="SimSun" w:cs="SimSun"/>
        <w:sz w:val="19"/>
        <w:szCs w:val="19"/>
        <w:u w:val="single" w:color="auto"/>
        <w:spacing w:val="34"/>
      </w:rPr>
      <w:t>境影响报告书</w:t>
    </w:r>
    <w:r>
      <w:rPr>
        <w:rFonts w:ascii="SimSun" w:hAnsi="SimSun" w:eastAsia="SimSun" w:cs="SimSun"/>
        <w:sz w:val="19"/>
        <w:szCs w:val="19"/>
        <w:u w:val="single" w:color="auto"/>
      </w:rPr>
      <w:t xml:space="preserve">   </w:t>
    </w:r>
  </w:p>
</w:hdr>
</file>

<file path=word/header3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64"/>
      <w:spacing w:before="53" w:line="218" w:lineRule="auto"/>
      <w:tabs>
        <w:tab w:val="left" w:pos="630"/>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6"/>
      </w:rPr>
      <w:t>绵阳柒鑫食品有限公司A级生猪、肉牛定点屠宰及食品加工项目环境影响报告书</w:t>
    </w:r>
    <w:r>
      <w:rPr>
        <w:rFonts w:ascii="SimSun" w:hAnsi="SimSun" w:eastAsia="SimSun" w:cs="SimSun"/>
        <w:sz w:val="20"/>
        <w:szCs w:val="20"/>
        <w:u w:val="single" w:color="auto"/>
        <w:spacing w:val="5"/>
      </w:rPr>
      <w:t xml:space="preserve">   </w:t>
    </w:r>
  </w:p>
</w:hdr>
</file>

<file path=word/header3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4"/>
      <w:spacing w:before="53" w:line="218" w:lineRule="auto"/>
      <w:tabs>
        <w:tab w:val="left" w:pos="678"/>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spacing w:val="2"/>
      </w:rPr>
      <w:t xml:space="preserve">   </w:t>
    </w:r>
  </w:p>
</w:hdr>
</file>

<file path=word/header3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74"/>
      <w:spacing w:before="53" w:line="218" w:lineRule="auto"/>
      <w:tabs>
        <w:tab w:val="left" w:pos="641"/>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7"/>
      </w:rPr>
      <w:t>绵阳柒鑫食品有限公司A级生猪、肉牛定点屠宰及食品加工项目环境影响报告书</w:t>
    </w:r>
    <w:r>
      <w:rPr>
        <w:rFonts w:ascii="SimSun" w:hAnsi="SimSun" w:eastAsia="SimSun" w:cs="SimSun"/>
        <w:sz w:val="20"/>
        <w:szCs w:val="20"/>
        <w:u w:val="single" w:color="auto"/>
      </w:rPr>
      <w:t xml:space="preserve">   </w:t>
    </w:r>
  </w:p>
</w:hdr>
</file>

<file path=word/header3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4"/>
      <w:spacing w:before="53" w:line="218" w:lineRule="auto"/>
      <w:tabs>
        <w:tab w:val="left" w:pos="650"/>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6"/>
      </w:rPr>
      <w:t>绵阳柒鑫食品有限公司A级生猪、肉牛定点屠宰及食品加工项目环境影响报告书</w:t>
    </w:r>
    <w:r>
      <w:rPr>
        <w:rFonts w:ascii="SimSun" w:hAnsi="SimSun" w:eastAsia="SimSun" w:cs="SimSun"/>
        <w:sz w:val="20"/>
        <w:szCs w:val="20"/>
        <w:u w:val="single" w:color="auto"/>
        <w:spacing w:val="3"/>
      </w:rPr>
      <w:t xml:space="preserve">   </w:t>
    </w:r>
  </w:p>
</w:hdr>
</file>

<file path=word/header3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4"/>
      <w:spacing w:before="51" w:line="218" w:lineRule="auto"/>
      <w:tabs>
        <w:tab w:val="left" w:pos="665"/>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4"/>
      </w:rPr>
      <w:t>绵阳柒鑫食品有限公司A级生猪、肉牛定点屠宰及食品加工项目环境影响报告书</w:t>
    </w:r>
    <w:r>
      <w:rPr>
        <w:rFonts w:ascii="SimSun" w:hAnsi="SimSun" w:eastAsia="SimSun" w:cs="SimSun"/>
        <w:sz w:val="19"/>
        <w:szCs w:val="19"/>
        <w:u w:val="single" w:color="auto"/>
        <w:spacing w:val="3"/>
      </w:rPr>
      <w:t xml:space="preserve">   </w:t>
    </w:r>
  </w:p>
</w:hdr>
</file>

<file path=word/header3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9"/>
      <w:spacing w:before="64" w:line="218" w:lineRule="auto"/>
      <w:tabs>
        <w:tab w:val="left" w:pos="268"/>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u w:val="single" w:color="auto"/>
        <w:spacing w:val="-13"/>
      </w:rPr>
      <w:t>绵阳柒鑫食品有限公司A级生猪、肉牛定点屠宰及食品加工项目环境影响</w:t>
    </w:r>
    <w:r>
      <w:rPr>
        <w:rFonts w:ascii="SimSun" w:hAnsi="SimSun" w:eastAsia="SimSun" w:cs="SimSun"/>
        <w:sz w:val="24"/>
        <w:szCs w:val="24"/>
        <w:u w:val="single" w:color="auto"/>
        <w:spacing w:val="-14"/>
      </w:rPr>
      <w:t>报告书</w:t>
    </w:r>
    <w:r>
      <w:rPr>
        <w:rFonts w:ascii="SimSun" w:hAnsi="SimSun" w:eastAsia="SimSun" w:cs="SimSun"/>
        <w:sz w:val="24"/>
        <w:szCs w:val="24"/>
        <w:u w:val="single" w:color="auto"/>
      </w:rPr>
      <w:t xml:space="preserve">  </w:t>
    </w:r>
  </w:p>
</w:hdr>
</file>

<file path=word/header3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
      <w:spacing w:before="61" w:line="218" w:lineRule="auto"/>
      <w:tabs>
        <w:tab w:val="left" w:pos="263"/>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w:t>
    </w:r>
    <w:r>
      <w:rPr>
        <w:rFonts w:ascii="SimSun" w:hAnsi="SimSun" w:eastAsia="SimSun" w:cs="SimSun"/>
        <w:sz w:val="23"/>
        <w:szCs w:val="23"/>
        <w:u w:val="single" w:color="auto"/>
        <w:spacing w:val="-4"/>
      </w:rPr>
      <w:t>目环境影响报告书</w:t>
    </w:r>
    <w:r>
      <w:rPr>
        <w:rFonts w:ascii="SimSun" w:hAnsi="SimSun" w:eastAsia="SimSun" w:cs="SimSun"/>
        <w:sz w:val="23"/>
        <w:szCs w:val="23"/>
        <w:u w:val="single" w:color="auto"/>
      </w:rPr>
      <w:t xml:space="preserve">  </w:t>
    </w:r>
  </w:p>
</w:hdr>
</file>

<file path=word/header3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9"/>
      <w:spacing w:before="53" w:line="218" w:lineRule="auto"/>
      <w:tabs>
        <w:tab w:val="left" w:pos="312"/>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rPr>
      <w:t xml:space="preserve">   </w:t>
    </w:r>
  </w:p>
</w:hdr>
</file>

<file path=word/header3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34"/>
      <w:spacing w:before="53" w:line="218" w:lineRule="auto"/>
      <w:tabs>
        <w:tab w:val="left" w:pos="497"/>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spacing w:val="2"/>
      </w:rPr>
      <w:t xml:space="preserve">   </w:t>
    </w:r>
  </w:p>
</w:hdr>
</file>

<file path=word/header4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
      <w:spacing w:before="53" w:line="218" w:lineRule="auto"/>
      <w:tabs>
        <w:tab w:val="left" w:pos="267"/>
      </w:tabs>
      <w:rPr>
        <w:rFonts w:ascii="SimSun" w:hAnsi="SimSun" w:eastAsia="SimSun" w:cs="SimSun"/>
        <w:sz w:val="20"/>
        <w:szCs w:val="20"/>
      </w:rPr>
    </w:pPr>
    <w:r>
      <w:pict>
        <v:shape id="WordPictureWatermark10" style="position:absolute;margin-left:219.001pt;margin-top:520.499pt;mso-position-vertical-relative:page;mso-position-horizontal-relative:page;width:152.05pt;height:81.5pt;z-index:-251658240;" o:allowincell="f" filled="false" stroked="false" type="#_x0000_t75">
          <v:imagedata o:title="" r:id="rId1"/>
        </v:shape>
      </w:pict>
    </w: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spacing w:val="2"/>
      </w:rPr>
      <w:t xml:space="preserve">   </w:t>
    </w:r>
  </w:p>
</w:hdr>
</file>

<file path=word/header4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4"/>
      <w:spacing w:before="53" w:line="218" w:lineRule="auto"/>
      <w:tabs>
        <w:tab w:val="left" w:pos="377"/>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spacing w:val="2"/>
      </w:rPr>
      <w:t xml:space="preserve">   </w:t>
    </w:r>
  </w:p>
</w:hdr>
</file>

<file path=word/header4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48"/>
      <w:spacing w:before="53" w:line="218" w:lineRule="auto"/>
      <w:rPr>
        <w:rFonts w:ascii="SimSun" w:hAnsi="SimSun" w:eastAsia="SimSun" w:cs="SimSun"/>
        <w:sz w:val="20"/>
        <w:szCs w:val="20"/>
      </w:rPr>
    </w:pPr>
    <w:r>
      <w:drawing>
        <wp:anchor distT="0" distB="0" distL="0" distR="0" simplePos="0" relativeHeight="251659264" behindDoc="0" locked="0" layoutInCell="1" allowOverlap="1">
          <wp:simplePos x="0" y="0"/>
          <wp:positionH relativeFrom="column">
            <wp:posOffset>79419</wp:posOffset>
          </wp:positionH>
          <wp:positionV relativeFrom="paragraph">
            <wp:posOffset>154705</wp:posOffset>
          </wp:positionV>
          <wp:extent cx="8413781" cy="6350"/>
          <wp:effectExtent l="0" t="0" r="0" b="0"/>
          <wp:wrapNone/>
          <wp:docPr id="22" name="IM 22"/>
          <wp:cNvGraphicFramePr/>
          <a:graphic>
            <a:graphicData uri="http://schemas.openxmlformats.org/drawingml/2006/picture">
              <pic:pic>
                <pic:nvPicPr>
                  <pic:cNvPr id="22" name="IM 22"/>
                  <pic:cNvPicPr/>
                </pic:nvPicPr>
                <pic:blipFill>
                  <a:blip r:embed="rId1"/>
                  <a:stretch>
                    <a:fillRect/>
                  </a:stretch>
                </pic:blipFill>
                <pic:spPr>
                  <a:xfrm rot="0">
                    <a:off x="0" y="0"/>
                    <a:ext cx="8413781" cy="6350"/>
                  </a:xfrm>
                  <a:prstGeom prst="rect">
                    <a:avLst/>
                  </a:prstGeom>
                </pic:spPr>
              </pic:pic>
            </a:graphicData>
          </a:graphic>
        </wp:anchor>
      </w:drawing>
    </w:r>
    <w:r>
      <w:rPr>
        <w:rFonts w:ascii="SimSun" w:hAnsi="SimSun" w:eastAsia="SimSun" w:cs="SimSun"/>
        <w:sz w:val="20"/>
        <w:szCs w:val="20"/>
        <w:spacing w:val="-13"/>
      </w:rPr>
      <w:t>绵 阳</w:t>
    </w:r>
    <w:r>
      <w:rPr>
        <w:rFonts w:ascii="SimSun" w:hAnsi="SimSun" w:eastAsia="SimSun" w:cs="SimSun"/>
        <w:sz w:val="20"/>
        <w:szCs w:val="20"/>
        <w:spacing w:val="-30"/>
      </w:rPr>
      <w:t xml:space="preserve"> </w:t>
    </w:r>
    <w:r>
      <w:rPr>
        <w:rFonts w:ascii="SimSun" w:hAnsi="SimSun" w:eastAsia="SimSun" w:cs="SimSun"/>
        <w:sz w:val="20"/>
        <w:szCs w:val="20"/>
        <w:spacing w:val="-13"/>
      </w:rPr>
      <w:t>柒</w:t>
    </w:r>
    <w:r>
      <w:rPr>
        <w:rFonts w:ascii="SimSun" w:hAnsi="SimSun" w:eastAsia="SimSun" w:cs="SimSun"/>
        <w:sz w:val="20"/>
        <w:szCs w:val="20"/>
        <w:spacing w:val="-29"/>
      </w:rPr>
      <w:t xml:space="preserve"> </w:t>
    </w:r>
    <w:r>
      <w:rPr>
        <w:rFonts w:ascii="SimSun" w:hAnsi="SimSun" w:eastAsia="SimSun" w:cs="SimSun"/>
        <w:sz w:val="20"/>
        <w:szCs w:val="20"/>
        <w:spacing w:val="-13"/>
      </w:rPr>
      <w:t>鑫</w:t>
    </w:r>
    <w:r>
      <w:rPr>
        <w:rFonts w:ascii="SimSun" w:hAnsi="SimSun" w:eastAsia="SimSun" w:cs="SimSun"/>
        <w:sz w:val="20"/>
        <w:szCs w:val="20"/>
        <w:spacing w:val="-30"/>
      </w:rPr>
      <w:t xml:space="preserve"> </w:t>
    </w:r>
    <w:r>
      <w:rPr>
        <w:rFonts w:ascii="SimSun" w:hAnsi="SimSun" w:eastAsia="SimSun" w:cs="SimSun"/>
        <w:sz w:val="20"/>
        <w:szCs w:val="20"/>
        <w:spacing w:val="-13"/>
      </w:rPr>
      <w:t>食 品</w:t>
    </w:r>
    <w:r>
      <w:rPr>
        <w:rFonts w:ascii="SimSun" w:hAnsi="SimSun" w:eastAsia="SimSun" w:cs="SimSun"/>
        <w:sz w:val="20"/>
        <w:szCs w:val="20"/>
        <w:spacing w:val="-29"/>
      </w:rPr>
      <w:t xml:space="preserve"> </w:t>
    </w:r>
    <w:r>
      <w:rPr>
        <w:rFonts w:ascii="SimSun" w:hAnsi="SimSun" w:eastAsia="SimSun" w:cs="SimSun"/>
        <w:sz w:val="20"/>
        <w:szCs w:val="20"/>
        <w:spacing w:val="-13"/>
      </w:rPr>
      <w:t>有 限</w:t>
    </w:r>
    <w:r>
      <w:rPr>
        <w:rFonts w:ascii="SimSun" w:hAnsi="SimSun" w:eastAsia="SimSun" w:cs="SimSun"/>
        <w:sz w:val="20"/>
        <w:szCs w:val="20"/>
        <w:spacing w:val="-23"/>
      </w:rPr>
      <w:t xml:space="preserve"> </w:t>
    </w:r>
    <w:r>
      <w:rPr>
        <w:rFonts w:ascii="SimSun" w:hAnsi="SimSun" w:eastAsia="SimSun" w:cs="SimSun"/>
        <w:sz w:val="20"/>
        <w:szCs w:val="20"/>
        <w:spacing w:val="-13"/>
      </w:rPr>
      <w:t>公</w:t>
    </w:r>
    <w:r>
      <w:rPr>
        <w:rFonts w:ascii="SimSun" w:hAnsi="SimSun" w:eastAsia="SimSun" w:cs="SimSun"/>
        <w:sz w:val="20"/>
        <w:szCs w:val="20"/>
        <w:spacing w:val="-22"/>
      </w:rPr>
      <w:t xml:space="preserve"> </w:t>
    </w:r>
    <w:r>
      <w:rPr>
        <w:rFonts w:ascii="SimSun" w:hAnsi="SimSun" w:eastAsia="SimSun" w:cs="SimSun"/>
        <w:sz w:val="20"/>
        <w:szCs w:val="20"/>
        <w:spacing w:val="-13"/>
      </w:rPr>
      <w:t>司</w:t>
    </w:r>
    <w:r>
      <w:rPr>
        <w:rFonts w:ascii="SimSun" w:hAnsi="SimSun" w:eastAsia="SimSun" w:cs="SimSun"/>
        <w:sz w:val="20"/>
        <w:szCs w:val="20"/>
        <w:spacing w:val="-36"/>
      </w:rPr>
      <w:t xml:space="preserve"> </w:t>
    </w:r>
    <w:r>
      <w:rPr>
        <w:rFonts w:ascii="SimSun" w:hAnsi="SimSun" w:eastAsia="SimSun" w:cs="SimSun"/>
        <w:sz w:val="20"/>
        <w:szCs w:val="20"/>
        <w:spacing w:val="-13"/>
      </w:rPr>
      <w:t>A</w:t>
    </w:r>
    <w:r>
      <w:rPr>
        <w:rFonts w:ascii="SimSun" w:hAnsi="SimSun" w:eastAsia="SimSun" w:cs="SimSun"/>
        <w:sz w:val="20"/>
        <w:szCs w:val="20"/>
        <w:spacing w:val="-26"/>
      </w:rPr>
      <w:t xml:space="preserve"> </w:t>
    </w:r>
    <w:r>
      <w:rPr>
        <w:rFonts w:ascii="SimSun" w:hAnsi="SimSun" w:eastAsia="SimSun" w:cs="SimSun"/>
        <w:sz w:val="20"/>
        <w:szCs w:val="20"/>
        <w:spacing w:val="-13"/>
      </w:rPr>
      <w:t>级</w:t>
    </w:r>
    <w:r>
      <w:rPr>
        <w:rFonts w:ascii="SimSun" w:hAnsi="SimSun" w:eastAsia="SimSun" w:cs="SimSun"/>
        <w:sz w:val="20"/>
        <w:szCs w:val="20"/>
        <w:spacing w:val="-29"/>
      </w:rPr>
      <w:t xml:space="preserve"> </w:t>
    </w:r>
    <w:r>
      <w:rPr>
        <w:rFonts w:ascii="SimSun" w:hAnsi="SimSun" w:eastAsia="SimSun" w:cs="SimSun"/>
        <w:sz w:val="20"/>
        <w:szCs w:val="20"/>
        <w:spacing w:val="-13"/>
      </w:rPr>
      <w:t>生</w:t>
    </w:r>
    <w:r>
      <w:rPr>
        <w:rFonts w:ascii="SimSun" w:hAnsi="SimSun" w:eastAsia="SimSun" w:cs="SimSun"/>
        <w:sz w:val="20"/>
        <w:szCs w:val="20"/>
        <w:spacing w:val="-29"/>
      </w:rPr>
      <w:t xml:space="preserve"> </w:t>
    </w:r>
    <w:r>
      <w:rPr>
        <w:rFonts w:ascii="SimSun" w:hAnsi="SimSun" w:eastAsia="SimSun" w:cs="SimSun"/>
        <w:sz w:val="20"/>
        <w:szCs w:val="20"/>
        <w:spacing w:val="-13"/>
      </w:rPr>
      <w:t>猪 、 肉</w:t>
    </w:r>
    <w:r>
      <w:rPr>
        <w:rFonts w:ascii="SimSun" w:hAnsi="SimSun" w:eastAsia="SimSun" w:cs="SimSun"/>
        <w:sz w:val="20"/>
        <w:szCs w:val="20"/>
        <w:spacing w:val="-25"/>
      </w:rPr>
      <w:t xml:space="preserve"> </w:t>
    </w:r>
    <w:r>
      <w:rPr>
        <w:rFonts w:ascii="SimSun" w:hAnsi="SimSun" w:eastAsia="SimSun" w:cs="SimSun"/>
        <w:sz w:val="20"/>
        <w:szCs w:val="20"/>
        <w:spacing w:val="-13"/>
      </w:rPr>
      <w:t>牛</w:t>
    </w:r>
    <w:r>
      <w:rPr>
        <w:rFonts w:ascii="SimSun" w:hAnsi="SimSun" w:eastAsia="SimSun" w:cs="SimSun"/>
        <w:sz w:val="20"/>
        <w:szCs w:val="20"/>
        <w:spacing w:val="-25"/>
      </w:rPr>
      <w:t xml:space="preserve"> </w:t>
    </w:r>
    <w:r>
      <w:rPr>
        <w:rFonts w:ascii="SimSun" w:hAnsi="SimSun" w:eastAsia="SimSun" w:cs="SimSun"/>
        <w:sz w:val="20"/>
        <w:szCs w:val="20"/>
        <w:spacing w:val="-13"/>
      </w:rPr>
      <w:t>定</w:t>
    </w:r>
    <w:r>
      <w:rPr>
        <w:rFonts w:ascii="SimSun" w:hAnsi="SimSun" w:eastAsia="SimSun" w:cs="SimSun"/>
        <w:sz w:val="20"/>
        <w:szCs w:val="20"/>
        <w:spacing w:val="-20"/>
      </w:rPr>
      <w:t xml:space="preserve"> </w:t>
    </w:r>
    <w:r>
      <w:rPr>
        <w:rFonts w:ascii="SimSun" w:hAnsi="SimSun" w:eastAsia="SimSun" w:cs="SimSun"/>
        <w:sz w:val="20"/>
        <w:szCs w:val="20"/>
        <w:spacing w:val="-13"/>
      </w:rPr>
      <w:t>点</w:t>
    </w:r>
    <w:r>
      <w:rPr>
        <w:rFonts w:ascii="SimSun" w:hAnsi="SimSun" w:eastAsia="SimSun" w:cs="SimSun"/>
        <w:sz w:val="20"/>
        <w:szCs w:val="20"/>
        <w:spacing w:val="-28"/>
      </w:rPr>
      <w:t xml:space="preserve"> </w:t>
    </w:r>
    <w:r>
      <w:rPr>
        <w:rFonts w:ascii="SimSun" w:hAnsi="SimSun" w:eastAsia="SimSun" w:cs="SimSun"/>
        <w:sz w:val="20"/>
        <w:szCs w:val="20"/>
        <w:spacing w:val="-13"/>
      </w:rPr>
      <w:t>屠</w:t>
    </w:r>
    <w:r>
      <w:rPr>
        <w:rFonts w:ascii="SimSun" w:hAnsi="SimSun" w:eastAsia="SimSun" w:cs="SimSun"/>
        <w:sz w:val="20"/>
        <w:szCs w:val="20"/>
        <w:spacing w:val="-22"/>
      </w:rPr>
      <w:t xml:space="preserve"> </w:t>
    </w:r>
    <w:r>
      <w:rPr>
        <w:rFonts w:ascii="SimSun" w:hAnsi="SimSun" w:eastAsia="SimSun" w:cs="SimSun"/>
        <w:sz w:val="20"/>
        <w:szCs w:val="20"/>
        <w:spacing w:val="-13"/>
      </w:rPr>
      <w:t>宰</w:t>
    </w:r>
    <w:r>
      <w:rPr>
        <w:rFonts w:ascii="SimSun" w:hAnsi="SimSun" w:eastAsia="SimSun" w:cs="SimSun"/>
        <w:sz w:val="20"/>
        <w:szCs w:val="20"/>
        <w:spacing w:val="-30"/>
      </w:rPr>
      <w:t xml:space="preserve"> </w:t>
    </w:r>
    <w:r>
      <w:rPr>
        <w:rFonts w:ascii="SimSun" w:hAnsi="SimSun" w:eastAsia="SimSun" w:cs="SimSun"/>
        <w:sz w:val="20"/>
        <w:szCs w:val="20"/>
        <w:spacing w:val="-13"/>
      </w:rPr>
      <w:t>及</w:t>
    </w:r>
    <w:r>
      <w:rPr>
        <w:rFonts w:ascii="SimSun" w:hAnsi="SimSun" w:eastAsia="SimSun" w:cs="SimSun"/>
        <w:sz w:val="20"/>
        <w:szCs w:val="20"/>
        <w:spacing w:val="-30"/>
      </w:rPr>
      <w:t xml:space="preserve"> </w:t>
    </w:r>
    <w:r>
      <w:rPr>
        <w:rFonts w:ascii="SimSun" w:hAnsi="SimSun" w:eastAsia="SimSun" w:cs="SimSun"/>
        <w:sz w:val="20"/>
        <w:szCs w:val="20"/>
        <w:spacing w:val="-13"/>
      </w:rPr>
      <w:t>食 品</w:t>
    </w:r>
    <w:r>
      <w:rPr>
        <w:rFonts w:ascii="SimSun" w:hAnsi="SimSun" w:eastAsia="SimSun" w:cs="SimSun"/>
        <w:sz w:val="20"/>
        <w:szCs w:val="20"/>
        <w:spacing w:val="-30"/>
      </w:rPr>
      <w:t xml:space="preserve"> </w:t>
    </w:r>
    <w:r>
      <w:rPr>
        <w:rFonts w:ascii="SimSun" w:hAnsi="SimSun" w:eastAsia="SimSun" w:cs="SimSun"/>
        <w:sz w:val="20"/>
        <w:szCs w:val="20"/>
        <w:spacing w:val="-13"/>
      </w:rPr>
      <w:t>加</w:t>
    </w:r>
    <w:r>
      <w:rPr>
        <w:rFonts w:ascii="SimSun" w:hAnsi="SimSun" w:eastAsia="SimSun" w:cs="SimSun"/>
        <w:sz w:val="20"/>
        <w:szCs w:val="20"/>
        <w:spacing w:val="-27"/>
      </w:rPr>
      <w:t xml:space="preserve"> </w:t>
    </w:r>
    <w:r>
      <w:rPr>
        <w:rFonts w:ascii="SimSun" w:hAnsi="SimSun" w:eastAsia="SimSun" w:cs="SimSun"/>
        <w:sz w:val="20"/>
        <w:szCs w:val="20"/>
        <w:spacing w:val="-13"/>
      </w:rPr>
      <w:t>工</w:t>
    </w:r>
    <w:r>
      <w:rPr>
        <w:rFonts w:ascii="SimSun" w:hAnsi="SimSun" w:eastAsia="SimSun" w:cs="SimSun"/>
        <w:sz w:val="20"/>
        <w:szCs w:val="20"/>
        <w:spacing w:val="-27"/>
      </w:rPr>
      <w:t xml:space="preserve"> </w:t>
    </w:r>
    <w:r>
      <w:rPr>
        <w:rFonts w:ascii="SimSun" w:hAnsi="SimSun" w:eastAsia="SimSun" w:cs="SimSun"/>
        <w:sz w:val="20"/>
        <w:szCs w:val="20"/>
        <w:spacing w:val="-13"/>
      </w:rPr>
      <w:t>项 目</w:t>
    </w:r>
    <w:r>
      <w:rPr>
        <w:rFonts w:ascii="SimSun" w:hAnsi="SimSun" w:eastAsia="SimSun" w:cs="SimSun"/>
        <w:sz w:val="20"/>
        <w:szCs w:val="20"/>
        <w:spacing w:val="-29"/>
      </w:rPr>
      <w:t xml:space="preserve"> </w:t>
    </w:r>
    <w:r>
      <w:rPr>
        <w:rFonts w:ascii="SimSun" w:hAnsi="SimSun" w:eastAsia="SimSun" w:cs="SimSun"/>
        <w:sz w:val="20"/>
        <w:szCs w:val="20"/>
        <w:spacing w:val="-13"/>
      </w:rPr>
      <w:t>环</w:t>
    </w:r>
    <w:r>
      <w:rPr>
        <w:rFonts w:ascii="SimSun" w:hAnsi="SimSun" w:eastAsia="SimSun" w:cs="SimSun"/>
        <w:sz w:val="20"/>
        <w:szCs w:val="20"/>
        <w:spacing w:val="-29"/>
      </w:rPr>
      <w:t xml:space="preserve"> </w:t>
    </w:r>
    <w:r>
      <w:rPr>
        <w:rFonts w:ascii="SimSun" w:hAnsi="SimSun" w:eastAsia="SimSun" w:cs="SimSun"/>
        <w:sz w:val="20"/>
        <w:szCs w:val="20"/>
        <w:spacing w:val="-13"/>
      </w:rPr>
      <w:t>境</w:t>
    </w:r>
    <w:r>
      <w:rPr>
        <w:rFonts w:ascii="SimSun" w:hAnsi="SimSun" w:eastAsia="SimSun" w:cs="SimSun"/>
        <w:sz w:val="20"/>
        <w:szCs w:val="20"/>
        <w:spacing w:val="-30"/>
      </w:rPr>
      <w:t xml:space="preserve"> </w:t>
    </w:r>
    <w:r>
      <w:rPr>
        <w:rFonts w:ascii="SimSun" w:hAnsi="SimSun" w:eastAsia="SimSun" w:cs="SimSun"/>
        <w:sz w:val="20"/>
        <w:szCs w:val="20"/>
        <w:spacing w:val="-13"/>
      </w:rPr>
      <w:t>影 响</w:t>
    </w:r>
    <w:r>
      <w:rPr>
        <w:rFonts w:ascii="SimSun" w:hAnsi="SimSun" w:eastAsia="SimSun" w:cs="SimSun"/>
        <w:sz w:val="20"/>
        <w:szCs w:val="20"/>
        <w:spacing w:val="-31"/>
      </w:rPr>
      <w:t xml:space="preserve"> </w:t>
    </w:r>
    <w:r>
      <w:rPr>
        <w:rFonts w:ascii="SimSun" w:hAnsi="SimSun" w:eastAsia="SimSun" w:cs="SimSun"/>
        <w:sz w:val="20"/>
        <w:szCs w:val="20"/>
        <w:spacing w:val="-13"/>
      </w:rPr>
      <w:t>报</w:t>
    </w:r>
    <w:r>
      <w:rPr>
        <w:rFonts w:ascii="SimSun" w:hAnsi="SimSun" w:eastAsia="SimSun" w:cs="SimSun"/>
        <w:sz w:val="20"/>
        <w:szCs w:val="20"/>
        <w:spacing w:val="-25"/>
      </w:rPr>
      <w:t xml:space="preserve"> </w:t>
    </w:r>
    <w:r>
      <w:rPr>
        <w:rFonts w:ascii="SimSun" w:hAnsi="SimSun" w:eastAsia="SimSun" w:cs="SimSun"/>
        <w:sz w:val="20"/>
        <w:szCs w:val="20"/>
        <w:spacing w:val="-13"/>
      </w:rPr>
      <w:t>告</w:t>
    </w:r>
    <w:r>
      <w:rPr>
        <w:rFonts w:ascii="SimSun" w:hAnsi="SimSun" w:eastAsia="SimSun" w:cs="SimSun"/>
        <w:sz w:val="20"/>
        <w:szCs w:val="20"/>
        <w:spacing w:val="-26"/>
      </w:rPr>
      <w:t xml:space="preserve"> </w:t>
    </w:r>
    <w:r>
      <w:rPr>
        <w:rFonts w:ascii="SimSun" w:hAnsi="SimSun" w:eastAsia="SimSun" w:cs="SimSun"/>
        <w:sz w:val="20"/>
        <w:szCs w:val="20"/>
        <w:spacing w:val="-13"/>
      </w:rPr>
      <w:t>书</w:t>
    </w:r>
  </w:p>
</w:hdr>
</file>

<file path=word/header4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85"/>
      <w:spacing w:before="51" w:line="218" w:lineRule="auto"/>
      <w:rPr>
        <w:rFonts w:ascii="SimSun" w:hAnsi="SimSun" w:eastAsia="SimSun" w:cs="SimSun"/>
        <w:sz w:val="19"/>
        <w:szCs w:val="19"/>
      </w:rPr>
    </w:pPr>
    <w:r>
      <w:drawing>
        <wp:anchor distT="0" distB="0" distL="0" distR="0" simplePos="0" relativeHeight="251663360" behindDoc="0" locked="0" layoutInCell="1" allowOverlap="1">
          <wp:simplePos x="0" y="0"/>
          <wp:positionH relativeFrom="column">
            <wp:posOffset>79419</wp:posOffset>
          </wp:positionH>
          <wp:positionV relativeFrom="paragraph">
            <wp:posOffset>146811</wp:posOffset>
          </wp:positionV>
          <wp:extent cx="8413781" cy="6350"/>
          <wp:effectExtent l="0" t="0" r="0" b="0"/>
          <wp:wrapNone/>
          <wp:docPr id="24" name="IM 24"/>
          <wp:cNvGraphicFramePr/>
          <a:graphic>
            <a:graphicData uri="http://schemas.openxmlformats.org/drawingml/2006/picture">
              <pic:pic>
                <pic:nvPicPr>
                  <pic:cNvPr id="24" name="IM 24"/>
                  <pic:cNvPicPr/>
                </pic:nvPicPr>
                <pic:blipFill>
                  <a:blip r:embed="rId1"/>
                  <a:stretch>
                    <a:fillRect/>
                  </a:stretch>
                </pic:blipFill>
                <pic:spPr>
                  <a:xfrm rot="0">
                    <a:off x="0" y="0"/>
                    <a:ext cx="8413781" cy="6350"/>
                  </a:xfrm>
                  <a:prstGeom prst="rect">
                    <a:avLst/>
                  </a:prstGeom>
                </pic:spPr>
              </pic:pic>
            </a:graphicData>
          </a:graphic>
        </wp:anchor>
      </w:drawing>
    </w:r>
    <w:r>
      <w:rPr>
        <w:rFonts w:ascii="SimSun" w:hAnsi="SimSun" w:eastAsia="SimSun" w:cs="SimSun"/>
        <w:sz w:val="19"/>
        <w:szCs w:val="19"/>
        <w:spacing w:val="-11"/>
      </w:rPr>
      <w:t>绵 阳 柒 鑫 食 品 有 限 公</w:t>
    </w:r>
    <w:r>
      <w:rPr>
        <w:rFonts w:ascii="SimSun" w:hAnsi="SimSun" w:eastAsia="SimSun" w:cs="SimSun"/>
        <w:sz w:val="19"/>
        <w:szCs w:val="19"/>
        <w:spacing w:val="-10"/>
      </w:rPr>
      <w:t xml:space="preserve"> </w:t>
    </w:r>
    <w:r>
      <w:rPr>
        <w:rFonts w:ascii="SimSun" w:hAnsi="SimSun" w:eastAsia="SimSun" w:cs="SimSun"/>
        <w:sz w:val="19"/>
        <w:szCs w:val="19"/>
        <w:spacing w:val="-11"/>
      </w:rPr>
      <w:t>司</w:t>
    </w:r>
    <w:r>
      <w:rPr>
        <w:rFonts w:ascii="SimSun" w:hAnsi="SimSun" w:eastAsia="SimSun" w:cs="SimSun"/>
        <w:sz w:val="19"/>
        <w:szCs w:val="19"/>
        <w:spacing w:val="-23"/>
      </w:rPr>
      <w:t xml:space="preserve"> </w:t>
    </w:r>
    <w:r>
      <w:rPr>
        <w:rFonts w:ascii="SimSun" w:hAnsi="SimSun" w:eastAsia="SimSun" w:cs="SimSun"/>
        <w:sz w:val="19"/>
        <w:szCs w:val="19"/>
        <w:spacing w:val="-11"/>
      </w:rPr>
      <w:t>A</w:t>
    </w:r>
    <w:r>
      <w:rPr>
        <w:rFonts w:ascii="SimSun" w:hAnsi="SimSun" w:eastAsia="SimSun" w:cs="SimSun"/>
        <w:sz w:val="19"/>
        <w:szCs w:val="19"/>
        <w:spacing w:val="-14"/>
      </w:rPr>
      <w:t xml:space="preserve"> </w:t>
    </w:r>
    <w:r>
      <w:rPr>
        <w:rFonts w:ascii="SimSun" w:hAnsi="SimSun" w:eastAsia="SimSun" w:cs="SimSun"/>
        <w:sz w:val="19"/>
        <w:szCs w:val="19"/>
        <w:spacing w:val="-11"/>
      </w:rPr>
      <w:t>级</w:t>
    </w:r>
    <w:r>
      <w:rPr>
        <w:rFonts w:ascii="SimSun" w:hAnsi="SimSun" w:eastAsia="SimSun" w:cs="SimSun"/>
        <w:sz w:val="19"/>
        <w:szCs w:val="19"/>
        <w:spacing w:val="-16"/>
      </w:rPr>
      <w:t xml:space="preserve"> </w:t>
    </w:r>
    <w:r>
      <w:rPr>
        <w:rFonts w:ascii="SimSun" w:hAnsi="SimSun" w:eastAsia="SimSun" w:cs="SimSun"/>
        <w:sz w:val="19"/>
        <w:szCs w:val="19"/>
        <w:spacing w:val="-11"/>
      </w:rPr>
      <w:t>生</w:t>
    </w:r>
    <w:r>
      <w:rPr>
        <w:rFonts w:ascii="SimSun" w:hAnsi="SimSun" w:eastAsia="SimSun" w:cs="SimSun"/>
        <w:sz w:val="19"/>
        <w:szCs w:val="19"/>
        <w:spacing w:val="-17"/>
      </w:rPr>
      <w:t xml:space="preserve"> </w:t>
    </w:r>
    <w:r>
      <w:rPr>
        <w:rFonts w:ascii="SimSun" w:hAnsi="SimSun" w:eastAsia="SimSun" w:cs="SimSun"/>
        <w:sz w:val="19"/>
        <w:szCs w:val="19"/>
        <w:spacing w:val="-11"/>
      </w:rPr>
      <w:t>猪</w:t>
    </w:r>
    <w:r>
      <w:rPr>
        <w:rFonts w:ascii="SimSun" w:hAnsi="SimSun" w:eastAsia="SimSun" w:cs="SimSun"/>
        <w:sz w:val="19"/>
        <w:szCs w:val="19"/>
        <w:spacing w:val="-12"/>
      </w:rPr>
      <w:t xml:space="preserve"> 、 肉 牛 定</w:t>
    </w:r>
    <w:r>
      <w:rPr>
        <w:rFonts w:ascii="SimSun" w:hAnsi="SimSun" w:eastAsia="SimSun" w:cs="SimSun"/>
        <w:sz w:val="19"/>
        <w:szCs w:val="19"/>
        <w:spacing w:val="-7"/>
      </w:rPr>
      <w:t xml:space="preserve"> </w:t>
    </w:r>
    <w:r>
      <w:rPr>
        <w:rFonts w:ascii="SimSun" w:hAnsi="SimSun" w:eastAsia="SimSun" w:cs="SimSun"/>
        <w:sz w:val="19"/>
        <w:szCs w:val="19"/>
        <w:spacing w:val="-12"/>
      </w:rPr>
      <w:t>点</w:t>
    </w:r>
    <w:r>
      <w:rPr>
        <w:rFonts w:ascii="SimSun" w:hAnsi="SimSun" w:eastAsia="SimSun" w:cs="SimSun"/>
        <w:sz w:val="19"/>
        <w:szCs w:val="19"/>
        <w:spacing w:val="-17"/>
      </w:rPr>
      <w:t xml:space="preserve"> </w:t>
    </w:r>
    <w:r>
      <w:rPr>
        <w:rFonts w:ascii="SimSun" w:hAnsi="SimSun" w:eastAsia="SimSun" w:cs="SimSun"/>
        <w:sz w:val="19"/>
        <w:szCs w:val="19"/>
        <w:spacing w:val="-12"/>
      </w:rPr>
      <w:t>屠</w:t>
    </w:r>
    <w:r>
      <w:rPr>
        <w:rFonts w:ascii="SimSun" w:hAnsi="SimSun" w:eastAsia="SimSun" w:cs="SimSun"/>
        <w:sz w:val="19"/>
        <w:szCs w:val="19"/>
        <w:spacing w:val="-9"/>
      </w:rPr>
      <w:t xml:space="preserve"> </w:t>
    </w:r>
    <w:r>
      <w:rPr>
        <w:rFonts w:ascii="SimSun" w:hAnsi="SimSun" w:eastAsia="SimSun" w:cs="SimSun"/>
        <w:sz w:val="19"/>
        <w:szCs w:val="19"/>
        <w:spacing w:val="-12"/>
      </w:rPr>
      <w:t>宰</w:t>
    </w:r>
    <w:r>
      <w:rPr>
        <w:rFonts w:ascii="SimSun" w:hAnsi="SimSun" w:eastAsia="SimSun" w:cs="SimSun"/>
        <w:sz w:val="19"/>
        <w:szCs w:val="19"/>
        <w:spacing w:val="-18"/>
      </w:rPr>
      <w:t xml:space="preserve"> </w:t>
    </w:r>
    <w:r>
      <w:rPr>
        <w:rFonts w:ascii="SimSun" w:hAnsi="SimSun" w:eastAsia="SimSun" w:cs="SimSun"/>
        <w:sz w:val="19"/>
        <w:szCs w:val="19"/>
        <w:spacing w:val="-12"/>
      </w:rPr>
      <w:t>及</w:t>
    </w:r>
    <w:r>
      <w:rPr>
        <w:rFonts w:ascii="SimSun" w:hAnsi="SimSun" w:eastAsia="SimSun" w:cs="SimSun"/>
        <w:sz w:val="19"/>
        <w:szCs w:val="19"/>
        <w:spacing w:val="-17"/>
      </w:rPr>
      <w:t xml:space="preserve"> </w:t>
    </w:r>
    <w:r>
      <w:rPr>
        <w:rFonts w:ascii="SimSun" w:hAnsi="SimSun" w:eastAsia="SimSun" w:cs="SimSun"/>
        <w:sz w:val="19"/>
        <w:szCs w:val="19"/>
        <w:spacing w:val="-12"/>
      </w:rPr>
      <w:t>食 品</w:t>
    </w:r>
    <w:r>
      <w:rPr>
        <w:rFonts w:ascii="SimSun" w:hAnsi="SimSun" w:eastAsia="SimSun" w:cs="SimSun"/>
        <w:sz w:val="19"/>
        <w:szCs w:val="19"/>
        <w:spacing w:val="-17"/>
      </w:rPr>
      <w:t xml:space="preserve"> </w:t>
    </w:r>
    <w:r>
      <w:rPr>
        <w:rFonts w:ascii="SimSun" w:hAnsi="SimSun" w:eastAsia="SimSun" w:cs="SimSun"/>
        <w:sz w:val="19"/>
        <w:szCs w:val="19"/>
        <w:spacing w:val="-12"/>
      </w:rPr>
      <w:t>加</w:t>
    </w:r>
    <w:r>
      <w:rPr>
        <w:rFonts w:ascii="SimSun" w:hAnsi="SimSun" w:eastAsia="SimSun" w:cs="SimSun"/>
        <w:sz w:val="19"/>
        <w:szCs w:val="19"/>
        <w:spacing w:val="-15"/>
      </w:rPr>
      <w:t xml:space="preserve"> </w:t>
    </w:r>
    <w:r>
      <w:rPr>
        <w:rFonts w:ascii="SimSun" w:hAnsi="SimSun" w:eastAsia="SimSun" w:cs="SimSun"/>
        <w:sz w:val="19"/>
        <w:szCs w:val="19"/>
        <w:spacing w:val="-12"/>
      </w:rPr>
      <w:t>工</w:t>
    </w:r>
    <w:r>
      <w:rPr>
        <w:rFonts w:ascii="SimSun" w:hAnsi="SimSun" w:eastAsia="SimSun" w:cs="SimSun"/>
        <w:sz w:val="19"/>
        <w:szCs w:val="19"/>
        <w:spacing w:val="-14"/>
      </w:rPr>
      <w:t xml:space="preserve"> </w:t>
    </w:r>
    <w:r>
      <w:rPr>
        <w:rFonts w:ascii="SimSun" w:hAnsi="SimSun" w:eastAsia="SimSun" w:cs="SimSun"/>
        <w:sz w:val="19"/>
        <w:szCs w:val="19"/>
        <w:spacing w:val="-12"/>
      </w:rPr>
      <w:t>项</w:t>
    </w:r>
    <w:r>
      <w:rPr>
        <w:rFonts w:ascii="SimSun" w:hAnsi="SimSun" w:eastAsia="SimSun" w:cs="SimSun"/>
        <w:sz w:val="19"/>
        <w:szCs w:val="19"/>
        <w:spacing w:val="19"/>
      </w:rPr>
      <w:t xml:space="preserve"> </w:t>
    </w:r>
    <w:r>
      <w:rPr>
        <w:rFonts w:ascii="SimSun" w:hAnsi="SimSun" w:eastAsia="SimSun" w:cs="SimSun"/>
        <w:sz w:val="19"/>
        <w:szCs w:val="19"/>
        <w:spacing w:val="-12"/>
      </w:rPr>
      <w:t>目</w:t>
    </w:r>
    <w:r>
      <w:rPr>
        <w:rFonts w:ascii="SimSun" w:hAnsi="SimSun" w:eastAsia="SimSun" w:cs="SimSun"/>
        <w:sz w:val="19"/>
        <w:szCs w:val="19"/>
        <w:spacing w:val="-17"/>
      </w:rPr>
      <w:t xml:space="preserve"> </w:t>
    </w:r>
    <w:r>
      <w:rPr>
        <w:rFonts w:ascii="SimSun" w:hAnsi="SimSun" w:eastAsia="SimSun" w:cs="SimSun"/>
        <w:sz w:val="19"/>
        <w:szCs w:val="19"/>
        <w:spacing w:val="-12"/>
      </w:rPr>
      <w:t>环</w:t>
    </w:r>
    <w:r>
      <w:rPr>
        <w:rFonts w:ascii="SimSun" w:hAnsi="SimSun" w:eastAsia="SimSun" w:cs="SimSun"/>
        <w:sz w:val="19"/>
        <w:szCs w:val="19"/>
        <w:spacing w:val="-17"/>
      </w:rPr>
      <w:t xml:space="preserve"> </w:t>
    </w:r>
    <w:r>
      <w:rPr>
        <w:rFonts w:ascii="SimSun" w:hAnsi="SimSun" w:eastAsia="SimSun" w:cs="SimSun"/>
        <w:sz w:val="19"/>
        <w:szCs w:val="19"/>
        <w:spacing w:val="-12"/>
      </w:rPr>
      <w:t>境</w:t>
    </w:r>
    <w:r>
      <w:rPr>
        <w:rFonts w:ascii="SimSun" w:hAnsi="SimSun" w:eastAsia="SimSun" w:cs="SimSun"/>
        <w:sz w:val="19"/>
        <w:szCs w:val="19"/>
        <w:spacing w:val="-17"/>
      </w:rPr>
      <w:t xml:space="preserve"> </w:t>
    </w:r>
    <w:r>
      <w:rPr>
        <w:rFonts w:ascii="SimSun" w:hAnsi="SimSun" w:eastAsia="SimSun" w:cs="SimSun"/>
        <w:sz w:val="19"/>
        <w:szCs w:val="19"/>
        <w:spacing w:val="-12"/>
      </w:rPr>
      <w:t>影 响</w:t>
    </w:r>
    <w:r>
      <w:rPr>
        <w:rFonts w:ascii="SimSun" w:hAnsi="SimSun" w:eastAsia="SimSun" w:cs="SimSun"/>
        <w:sz w:val="19"/>
        <w:szCs w:val="19"/>
        <w:spacing w:val="-18"/>
      </w:rPr>
      <w:t xml:space="preserve"> </w:t>
    </w:r>
    <w:r>
      <w:rPr>
        <w:rFonts w:ascii="SimSun" w:hAnsi="SimSun" w:eastAsia="SimSun" w:cs="SimSun"/>
        <w:sz w:val="19"/>
        <w:szCs w:val="19"/>
        <w:spacing w:val="-12"/>
      </w:rPr>
      <w:t>报</w:t>
    </w:r>
    <w:r>
      <w:rPr>
        <w:rFonts w:ascii="SimSun" w:hAnsi="SimSun" w:eastAsia="SimSun" w:cs="SimSun"/>
        <w:sz w:val="19"/>
        <w:szCs w:val="19"/>
        <w:spacing w:val="-13"/>
      </w:rPr>
      <w:t xml:space="preserve"> </w:t>
    </w:r>
    <w:r>
      <w:rPr>
        <w:rFonts w:ascii="SimSun" w:hAnsi="SimSun" w:eastAsia="SimSun" w:cs="SimSun"/>
        <w:sz w:val="19"/>
        <w:szCs w:val="19"/>
        <w:spacing w:val="-12"/>
      </w:rPr>
      <w:t>告</w:t>
    </w:r>
    <w:r>
      <w:rPr>
        <w:rFonts w:ascii="SimSun" w:hAnsi="SimSun" w:eastAsia="SimSun" w:cs="SimSun"/>
        <w:sz w:val="19"/>
        <w:szCs w:val="19"/>
        <w:spacing w:val="-13"/>
      </w:rPr>
      <w:t xml:space="preserve"> </w:t>
    </w:r>
    <w:r>
      <w:rPr>
        <w:rFonts w:ascii="SimSun" w:hAnsi="SimSun" w:eastAsia="SimSun" w:cs="SimSun"/>
        <w:sz w:val="19"/>
        <w:szCs w:val="19"/>
        <w:spacing w:val="-12"/>
      </w:rPr>
      <w:t>书</w:t>
    </w:r>
  </w:p>
</w:hdr>
</file>

<file path=word/header4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48"/>
      <w:spacing w:before="53" w:line="218" w:lineRule="auto"/>
      <w:rPr>
        <w:rFonts w:ascii="SimSun" w:hAnsi="SimSun" w:eastAsia="SimSun" w:cs="SimSun"/>
        <w:sz w:val="20"/>
        <w:szCs w:val="20"/>
      </w:rPr>
    </w:pPr>
    <w:r>
      <w:drawing>
        <wp:anchor distT="0" distB="0" distL="0" distR="0" simplePos="0" relativeHeight="251666432" behindDoc="0" locked="0" layoutInCell="1" allowOverlap="1">
          <wp:simplePos x="0" y="0"/>
          <wp:positionH relativeFrom="column">
            <wp:posOffset>79419</wp:posOffset>
          </wp:positionH>
          <wp:positionV relativeFrom="paragraph">
            <wp:posOffset>154705</wp:posOffset>
          </wp:positionV>
          <wp:extent cx="8413781" cy="6350"/>
          <wp:effectExtent l="0" t="0" r="0" b="0"/>
          <wp:wrapNone/>
          <wp:docPr id="26" name="IM 26"/>
          <wp:cNvGraphicFramePr/>
          <a:graphic>
            <a:graphicData uri="http://schemas.openxmlformats.org/drawingml/2006/picture">
              <pic:pic>
                <pic:nvPicPr>
                  <pic:cNvPr id="26" name="IM 26"/>
                  <pic:cNvPicPr/>
                </pic:nvPicPr>
                <pic:blipFill>
                  <a:blip r:embed="rId1"/>
                  <a:stretch>
                    <a:fillRect/>
                  </a:stretch>
                </pic:blipFill>
                <pic:spPr>
                  <a:xfrm rot="0">
                    <a:off x="0" y="0"/>
                    <a:ext cx="8413781" cy="6350"/>
                  </a:xfrm>
                  <a:prstGeom prst="rect">
                    <a:avLst/>
                  </a:prstGeom>
                </pic:spPr>
              </pic:pic>
            </a:graphicData>
          </a:graphic>
        </wp:anchor>
      </w:drawing>
    </w:r>
    <w:r>
      <w:rPr>
        <w:rFonts w:ascii="SimSun" w:hAnsi="SimSun" w:eastAsia="SimSun" w:cs="SimSun"/>
        <w:sz w:val="20"/>
        <w:szCs w:val="20"/>
        <w:spacing w:val="-13"/>
      </w:rPr>
      <w:t>绵 阳</w:t>
    </w:r>
    <w:r>
      <w:rPr>
        <w:rFonts w:ascii="SimSun" w:hAnsi="SimSun" w:eastAsia="SimSun" w:cs="SimSun"/>
        <w:sz w:val="20"/>
        <w:szCs w:val="20"/>
        <w:spacing w:val="-30"/>
      </w:rPr>
      <w:t xml:space="preserve"> </w:t>
    </w:r>
    <w:r>
      <w:rPr>
        <w:rFonts w:ascii="SimSun" w:hAnsi="SimSun" w:eastAsia="SimSun" w:cs="SimSun"/>
        <w:sz w:val="20"/>
        <w:szCs w:val="20"/>
        <w:spacing w:val="-13"/>
      </w:rPr>
      <w:t>柒</w:t>
    </w:r>
    <w:r>
      <w:rPr>
        <w:rFonts w:ascii="SimSun" w:hAnsi="SimSun" w:eastAsia="SimSun" w:cs="SimSun"/>
        <w:sz w:val="20"/>
        <w:szCs w:val="20"/>
        <w:spacing w:val="-29"/>
      </w:rPr>
      <w:t xml:space="preserve"> </w:t>
    </w:r>
    <w:r>
      <w:rPr>
        <w:rFonts w:ascii="SimSun" w:hAnsi="SimSun" w:eastAsia="SimSun" w:cs="SimSun"/>
        <w:sz w:val="20"/>
        <w:szCs w:val="20"/>
        <w:spacing w:val="-13"/>
      </w:rPr>
      <w:t>鑫</w:t>
    </w:r>
    <w:r>
      <w:rPr>
        <w:rFonts w:ascii="SimSun" w:hAnsi="SimSun" w:eastAsia="SimSun" w:cs="SimSun"/>
        <w:sz w:val="20"/>
        <w:szCs w:val="20"/>
        <w:spacing w:val="-30"/>
      </w:rPr>
      <w:t xml:space="preserve"> </w:t>
    </w:r>
    <w:r>
      <w:rPr>
        <w:rFonts w:ascii="SimSun" w:hAnsi="SimSun" w:eastAsia="SimSun" w:cs="SimSun"/>
        <w:sz w:val="20"/>
        <w:szCs w:val="20"/>
        <w:spacing w:val="-13"/>
      </w:rPr>
      <w:t>食 品</w:t>
    </w:r>
    <w:r>
      <w:rPr>
        <w:rFonts w:ascii="SimSun" w:hAnsi="SimSun" w:eastAsia="SimSun" w:cs="SimSun"/>
        <w:sz w:val="20"/>
        <w:szCs w:val="20"/>
        <w:spacing w:val="-29"/>
      </w:rPr>
      <w:t xml:space="preserve"> </w:t>
    </w:r>
    <w:r>
      <w:rPr>
        <w:rFonts w:ascii="SimSun" w:hAnsi="SimSun" w:eastAsia="SimSun" w:cs="SimSun"/>
        <w:sz w:val="20"/>
        <w:szCs w:val="20"/>
        <w:spacing w:val="-13"/>
      </w:rPr>
      <w:t>有 限</w:t>
    </w:r>
    <w:r>
      <w:rPr>
        <w:rFonts w:ascii="SimSun" w:hAnsi="SimSun" w:eastAsia="SimSun" w:cs="SimSun"/>
        <w:sz w:val="20"/>
        <w:szCs w:val="20"/>
        <w:spacing w:val="-23"/>
      </w:rPr>
      <w:t xml:space="preserve"> </w:t>
    </w:r>
    <w:r>
      <w:rPr>
        <w:rFonts w:ascii="SimSun" w:hAnsi="SimSun" w:eastAsia="SimSun" w:cs="SimSun"/>
        <w:sz w:val="20"/>
        <w:szCs w:val="20"/>
        <w:spacing w:val="-13"/>
      </w:rPr>
      <w:t>公</w:t>
    </w:r>
    <w:r>
      <w:rPr>
        <w:rFonts w:ascii="SimSun" w:hAnsi="SimSun" w:eastAsia="SimSun" w:cs="SimSun"/>
        <w:sz w:val="20"/>
        <w:szCs w:val="20"/>
        <w:spacing w:val="-22"/>
      </w:rPr>
      <w:t xml:space="preserve"> </w:t>
    </w:r>
    <w:r>
      <w:rPr>
        <w:rFonts w:ascii="SimSun" w:hAnsi="SimSun" w:eastAsia="SimSun" w:cs="SimSun"/>
        <w:sz w:val="20"/>
        <w:szCs w:val="20"/>
        <w:spacing w:val="-13"/>
      </w:rPr>
      <w:t>司</w:t>
    </w:r>
    <w:r>
      <w:rPr>
        <w:rFonts w:ascii="SimSun" w:hAnsi="SimSun" w:eastAsia="SimSun" w:cs="SimSun"/>
        <w:sz w:val="20"/>
        <w:szCs w:val="20"/>
        <w:spacing w:val="-36"/>
      </w:rPr>
      <w:t xml:space="preserve"> </w:t>
    </w:r>
    <w:r>
      <w:rPr>
        <w:rFonts w:ascii="SimSun" w:hAnsi="SimSun" w:eastAsia="SimSun" w:cs="SimSun"/>
        <w:sz w:val="20"/>
        <w:szCs w:val="20"/>
        <w:spacing w:val="-13"/>
      </w:rPr>
      <w:t>A</w:t>
    </w:r>
    <w:r>
      <w:rPr>
        <w:rFonts w:ascii="SimSun" w:hAnsi="SimSun" w:eastAsia="SimSun" w:cs="SimSun"/>
        <w:sz w:val="20"/>
        <w:szCs w:val="20"/>
        <w:spacing w:val="-26"/>
      </w:rPr>
      <w:t xml:space="preserve"> </w:t>
    </w:r>
    <w:r>
      <w:rPr>
        <w:rFonts w:ascii="SimSun" w:hAnsi="SimSun" w:eastAsia="SimSun" w:cs="SimSun"/>
        <w:sz w:val="20"/>
        <w:szCs w:val="20"/>
        <w:spacing w:val="-13"/>
      </w:rPr>
      <w:t>级</w:t>
    </w:r>
    <w:r>
      <w:rPr>
        <w:rFonts w:ascii="SimSun" w:hAnsi="SimSun" w:eastAsia="SimSun" w:cs="SimSun"/>
        <w:sz w:val="20"/>
        <w:szCs w:val="20"/>
        <w:spacing w:val="-29"/>
      </w:rPr>
      <w:t xml:space="preserve"> </w:t>
    </w:r>
    <w:r>
      <w:rPr>
        <w:rFonts w:ascii="SimSun" w:hAnsi="SimSun" w:eastAsia="SimSun" w:cs="SimSun"/>
        <w:sz w:val="20"/>
        <w:szCs w:val="20"/>
        <w:spacing w:val="-13"/>
      </w:rPr>
      <w:t>生</w:t>
    </w:r>
    <w:r>
      <w:rPr>
        <w:rFonts w:ascii="SimSun" w:hAnsi="SimSun" w:eastAsia="SimSun" w:cs="SimSun"/>
        <w:sz w:val="20"/>
        <w:szCs w:val="20"/>
        <w:spacing w:val="-29"/>
      </w:rPr>
      <w:t xml:space="preserve"> </w:t>
    </w:r>
    <w:r>
      <w:rPr>
        <w:rFonts w:ascii="SimSun" w:hAnsi="SimSun" w:eastAsia="SimSun" w:cs="SimSun"/>
        <w:sz w:val="20"/>
        <w:szCs w:val="20"/>
        <w:spacing w:val="-13"/>
      </w:rPr>
      <w:t>猪 、 肉</w:t>
    </w:r>
    <w:r>
      <w:rPr>
        <w:rFonts w:ascii="SimSun" w:hAnsi="SimSun" w:eastAsia="SimSun" w:cs="SimSun"/>
        <w:sz w:val="20"/>
        <w:szCs w:val="20"/>
        <w:spacing w:val="-25"/>
      </w:rPr>
      <w:t xml:space="preserve"> </w:t>
    </w:r>
    <w:r>
      <w:rPr>
        <w:rFonts w:ascii="SimSun" w:hAnsi="SimSun" w:eastAsia="SimSun" w:cs="SimSun"/>
        <w:sz w:val="20"/>
        <w:szCs w:val="20"/>
        <w:spacing w:val="-13"/>
      </w:rPr>
      <w:t>牛</w:t>
    </w:r>
    <w:r>
      <w:rPr>
        <w:rFonts w:ascii="SimSun" w:hAnsi="SimSun" w:eastAsia="SimSun" w:cs="SimSun"/>
        <w:sz w:val="20"/>
        <w:szCs w:val="20"/>
        <w:spacing w:val="-25"/>
      </w:rPr>
      <w:t xml:space="preserve"> </w:t>
    </w:r>
    <w:r>
      <w:rPr>
        <w:rFonts w:ascii="SimSun" w:hAnsi="SimSun" w:eastAsia="SimSun" w:cs="SimSun"/>
        <w:sz w:val="20"/>
        <w:szCs w:val="20"/>
        <w:spacing w:val="-13"/>
      </w:rPr>
      <w:t>定</w:t>
    </w:r>
    <w:r>
      <w:rPr>
        <w:rFonts w:ascii="SimSun" w:hAnsi="SimSun" w:eastAsia="SimSun" w:cs="SimSun"/>
        <w:sz w:val="20"/>
        <w:szCs w:val="20"/>
        <w:spacing w:val="-20"/>
      </w:rPr>
      <w:t xml:space="preserve"> </w:t>
    </w:r>
    <w:r>
      <w:rPr>
        <w:rFonts w:ascii="SimSun" w:hAnsi="SimSun" w:eastAsia="SimSun" w:cs="SimSun"/>
        <w:sz w:val="20"/>
        <w:szCs w:val="20"/>
        <w:spacing w:val="-13"/>
      </w:rPr>
      <w:t>点</w:t>
    </w:r>
    <w:r>
      <w:rPr>
        <w:rFonts w:ascii="SimSun" w:hAnsi="SimSun" w:eastAsia="SimSun" w:cs="SimSun"/>
        <w:sz w:val="20"/>
        <w:szCs w:val="20"/>
        <w:spacing w:val="-28"/>
      </w:rPr>
      <w:t xml:space="preserve"> </w:t>
    </w:r>
    <w:r>
      <w:rPr>
        <w:rFonts w:ascii="SimSun" w:hAnsi="SimSun" w:eastAsia="SimSun" w:cs="SimSun"/>
        <w:sz w:val="20"/>
        <w:szCs w:val="20"/>
        <w:spacing w:val="-13"/>
      </w:rPr>
      <w:t>屠</w:t>
    </w:r>
    <w:r>
      <w:rPr>
        <w:rFonts w:ascii="SimSun" w:hAnsi="SimSun" w:eastAsia="SimSun" w:cs="SimSun"/>
        <w:sz w:val="20"/>
        <w:szCs w:val="20"/>
        <w:spacing w:val="-22"/>
      </w:rPr>
      <w:t xml:space="preserve"> </w:t>
    </w:r>
    <w:r>
      <w:rPr>
        <w:rFonts w:ascii="SimSun" w:hAnsi="SimSun" w:eastAsia="SimSun" w:cs="SimSun"/>
        <w:sz w:val="20"/>
        <w:szCs w:val="20"/>
        <w:spacing w:val="-13"/>
      </w:rPr>
      <w:t>宰</w:t>
    </w:r>
    <w:r>
      <w:rPr>
        <w:rFonts w:ascii="SimSun" w:hAnsi="SimSun" w:eastAsia="SimSun" w:cs="SimSun"/>
        <w:sz w:val="20"/>
        <w:szCs w:val="20"/>
        <w:spacing w:val="-30"/>
      </w:rPr>
      <w:t xml:space="preserve"> </w:t>
    </w:r>
    <w:r>
      <w:rPr>
        <w:rFonts w:ascii="SimSun" w:hAnsi="SimSun" w:eastAsia="SimSun" w:cs="SimSun"/>
        <w:sz w:val="20"/>
        <w:szCs w:val="20"/>
        <w:spacing w:val="-13"/>
      </w:rPr>
      <w:t>及</w:t>
    </w:r>
    <w:r>
      <w:rPr>
        <w:rFonts w:ascii="SimSun" w:hAnsi="SimSun" w:eastAsia="SimSun" w:cs="SimSun"/>
        <w:sz w:val="20"/>
        <w:szCs w:val="20"/>
        <w:spacing w:val="-30"/>
      </w:rPr>
      <w:t xml:space="preserve"> </w:t>
    </w:r>
    <w:r>
      <w:rPr>
        <w:rFonts w:ascii="SimSun" w:hAnsi="SimSun" w:eastAsia="SimSun" w:cs="SimSun"/>
        <w:sz w:val="20"/>
        <w:szCs w:val="20"/>
        <w:spacing w:val="-13"/>
      </w:rPr>
      <w:t>食 品</w:t>
    </w:r>
    <w:r>
      <w:rPr>
        <w:rFonts w:ascii="SimSun" w:hAnsi="SimSun" w:eastAsia="SimSun" w:cs="SimSun"/>
        <w:sz w:val="20"/>
        <w:szCs w:val="20"/>
        <w:spacing w:val="-30"/>
      </w:rPr>
      <w:t xml:space="preserve"> </w:t>
    </w:r>
    <w:r>
      <w:rPr>
        <w:rFonts w:ascii="SimSun" w:hAnsi="SimSun" w:eastAsia="SimSun" w:cs="SimSun"/>
        <w:sz w:val="20"/>
        <w:szCs w:val="20"/>
        <w:spacing w:val="-13"/>
      </w:rPr>
      <w:t>加</w:t>
    </w:r>
    <w:r>
      <w:rPr>
        <w:rFonts w:ascii="SimSun" w:hAnsi="SimSun" w:eastAsia="SimSun" w:cs="SimSun"/>
        <w:sz w:val="20"/>
        <w:szCs w:val="20"/>
        <w:spacing w:val="-27"/>
      </w:rPr>
      <w:t xml:space="preserve"> </w:t>
    </w:r>
    <w:r>
      <w:rPr>
        <w:rFonts w:ascii="SimSun" w:hAnsi="SimSun" w:eastAsia="SimSun" w:cs="SimSun"/>
        <w:sz w:val="20"/>
        <w:szCs w:val="20"/>
        <w:spacing w:val="-13"/>
      </w:rPr>
      <w:t>工</w:t>
    </w:r>
    <w:r>
      <w:rPr>
        <w:rFonts w:ascii="SimSun" w:hAnsi="SimSun" w:eastAsia="SimSun" w:cs="SimSun"/>
        <w:sz w:val="20"/>
        <w:szCs w:val="20"/>
        <w:spacing w:val="-27"/>
      </w:rPr>
      <w:t xml:space="preserve"> </w:t>
    </w:r>
    <w:r>
      <w:rPr>
        <w:rFonts w:ascii="SimSun" w:hAnsi="SimSun" w:eastAsia="SimSun" w:cs="SimSun"/>
        <w:sz w:val="20"/>
        <w:szCs w:val="20"/>
        <w:spacing w:val="-13"/>
      </w:rPr>
      <w:t>项 目</w:t>
    </w:r>
    <w:r>
      <w:rPr>
        <w:rFonts w:ascii="SimSun" w:hAnsi="SimSun" w:eastAsia="SimSun" w:cs="SimSun"/>
        <w:sz w:val="20"/>
        <w:szCs w:val="20"/>
        <w:spacing w:val="-29"/>
      </w:rPr>
      <w:t xml:space="preserve"> </w:t>
    </w:r>
    <w:r>
      <w:rPr>
        <w:rFonts w:ascii="SimSun" w:hAnsi="SimSun" w:eastAsia="SimSun" w:cs="SimSun"/>
        <w:sz w:val="20"/>
        <w:szCs w:val="20"/>
        <w:spacing w:val="-13"/>
      </w:rPr>
      <w:t>环</w:t>
    </w:r>
    <w:r>
      <w:rPr>
        <w:rFonts w:ascii="SimSun" w:hAnsi="SimSun" w:eastAsia="SimSun" w:cs="SimSun"/>
        <w:sz w:val="20"/>
        <w:szCs w:val="20"/>
        <w:spacing w:val="-29"/>
      </w:rPr>
      <w:t xml:space="preserve"> </w:t>
    </w:r>
    <w:r>
      <w:rPr>
        <w:rFonts w:ascii="SimSun" w:hAnsi="SimSun" w:eastAsia="SimSun" w:cs="SimSun"/>
        <w:sz w:val="20"/>
        <w:szCs w:val="20"/>
        <w:spacing w:val="-13"/>
      </w:rPr>
      <w:t>境</w:t>
    </w:r>
    <w:r>
      <w:rPr>
        <w:rFonts w:ascii="SimSun" w:hAnsi="SimSun" w:eastAsia="SimSun" w:cs="SimSun"/>
        <w:sz w:val="20"/>
        <w:szCs w:val="20"/>
        <w:spacing w:val="-30"/>
      </w:rPr>
      <w:t xml:space="preserve"> </w:t>
    </w:r>
    <w:r>
      <w:rPr>
        <w:rFonts w:ascii="SimSun" w:hAnsi="SimSun" w:eastAsia="SimSun" w:cs="SimSun"/>
        <w:sz w:val="20"/>
        <w:szCs w:val="20"/>
        <w:spacing w:val="-13"/>
      </w:rPr>
      <w:t>影 响</w:t>
    </w:r>
    <w:r>
      <w:rPr>
        <w:rFonts w:ascii="SimSun" w:hAnsi="SimSun" w:eastAsia="SimSun" w:cs="SimSun"/>
        <w:sz w:val="20"/>
        <w:szCs w:val="20"/>
        <w:spacing w:val="-31"/>
      </w:rPr>
      <w:t xml:space="preserve"> </w:t>
    </w:r>
    <w:r>
      <w:rPr>
        <w:rFonts w:ascii="SimSun" w:hAnsi="SimSun" w:eastAsia="SimSun" w:cs="SimSun"/>
        <w:sz w:val="20"/>
        <w:szCs w:val="20"/>
        <w:spacing w:val="-13"/>
      </w:rPr>
      <w:t>报</w:t>
    </w:r>
    <w:r>
      <w:rPr>
        <w:rFonts w:ascii="SimSun" w:hAnsi="SimSun" w:eastAsia="SimSun" w:cs="SimSun"/>
        <w:sz w:val="20"/>
        <w:szCs w:val="20"/>
        <w:spacing w:val="-25"/>
      </w:rPr>
      <w:t xml:space="preserve"> </w:t>
    </w:r>
    <w:r>
      <w:rPr>
        <w:rFonts w:ascii="SimSun" w:hAnsi="SimSun" w:eastAsia="SimSun" w:cs="SimSun"/>
        <w:sz w:val="20"/>
        <w:szCs w:val="20"/>
        <w:spacing w:val="-13"/>
      </w:rPr>
      <w:t>告</w:t>
    </w:r>
    <w:r>
      <w:rPr>
        <w:rFonts w:ascii="SimSun" w:hAnsi="SimSun" w:eastAsia="SimSun" w:cs="SimSun"/>
        <w:sz w:val="20"/>
        <w:szCs w:val="20"/>
        <w:spacing w:val="-26"/>
      </w:rPr>
      <w:t xml:space="preserve"> </w:t>
    </w:r>
    <w:r>
      <w:rPr>
        <w:rFonts w:ascii="SimSun" w:hAnsi="SimSun" w:eastAsia="SimSun" w:cs="SimSun"/>
        <w:sz w:val="20"/>
        <w:szCs w:val="20"/>
        <w:spacing w:val="-13"/>
      </w:rPr>
      <w:t>书</w:t>
    </w:r>
  </w:p>
</w:hdr>
</file>

<file path=word/header4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9"/>
      <w:spacing w:before="61" w:line="218" w:lineRule="auto"/>
      <w:tabs>
        <w:tab w:val="left" w:pos="308"/>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绵阳柒鑫食品有限公司A级生猪、肉牛定点屠宰及食品加工项目环境影响报告书</w:t>
    </w:r>
    <w:r>
      <w:rPr>
        <w:rFonts w:ascii="SimSun" w:hAnsi="SimSun" w:eastAsia="SimSun" w:cs="SimSun"/>
        <w:sz w:val="23"/>
        <w:szCs w:val="23"/>
        <w:u w:val="single" w:color="auto"/>
        <w:spacing w:val="1"/>
      </w:rPr>
      <w:t xml:space="preserve">  </w:t>
    </w:r>
  </w:p>
</w:hdr>
</file>

<file path=word/header4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
      <w:spacing w:before="53" w:line="218" w:lineRule="auto"/>
      <w:tabs>
        <w:tab w:val="left" w:pos="266"/>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rPr>
      <w:t xml:space="preserve">   </w:t>
    </w:r>
  </w:p>
</w:hdr>
</file>

<file path=word/header4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0"/>
      <w:spacing w:before="53" w:line="218" w:lineRule="auto"/>
      <w:tabs>
        <w:tab w:val="left" w:pos="282"/>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spacing w:val="2"/>
      </w:rPr>
      <w:t xml:space="preserve">   </w:t>
    </w:r>
  </w:p>
</w:hdr>
</file>

<file path=word/header4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
      <w:spacing w:before="64" w:line="218" w:lineRule="auto"/>
      <w:tabs>
        <w:tab w:val="left" w:pos="242"/>
      </w:tabs>
      <w:rPr>
        <w:rFonts w:ascii="SimSun" w:hAnsi="SimSun" w:eastAsia="SimSun" w:cs="SimSun"/>
        <w:sz w:val="24"/>
        <w:szCs w:val="24"/>
      </w:rPr>
    </w:pPr>
    <w:r>
      <w:rPr>
        <w:rFonts w:ascii="SimSun" w:hAnsi="SimSun" w:eastAsia="SimSun" w:cs="SimSun"/>
        <w:sz w:val="24"/>
        <w:szCs w:val="24"/>
        <w:u w:val="single" w:color="auto"/>
      </w:rPr>
      <w:tab/>
    </w:r>
    <w:r>
      <w:rPr>
        <w:rFonts w:ascii="SimSun" w:hAnsi="SimSun" w:eastAsia="SimSun" w:cs="SimSun"/>
        <w:sz w:val="24"/>
        <w:szCs w:val="24"/>
        <w:u w:val="single" w:color="auto"/>
        <w:spacing w:val="-13"/>
      </w:rPr>
      <w:t>绵阳柒鑫食品有限公司A级生猪、肉牛定点屠宰及食品加工项目环境影响</w:t>
    </w:r>
    <w:r>
      <w:rPr>
        <w:rFonts w:ascii="SimSun" w:hAnsi="SimSun" w:eastAsia="SimSun" w:cs="SimSun"/>
        <w:sz w:val="24"/>
        <w:szCs w:val="24"/>
        <w:u w:val="single" w:color="auto"/>
        <w:spacing w:val="-14"/>
      </w:rPr>
      <w:t>报告书</w:t>
    </w:r>
    <w:r>
      <w:rPr>
        <w:rFonts w:ascii="SimSun" w:hAnsi="SimSun" w:eastAsia="SimSun" w:cs="SimSun"/>
        <w:sz w:val="24"/>
        <w:szCs w:val="24"/>
        <w:u w:val="single" w:color="auto"/>
      </w:rPr>
      <w:t xml:space="preserve">  </w:t>
    </w:r>
  </w:p>
</w:hdr>
</file>

<file path=word/header4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21"/>
      <w:spacing w:before="51" w:line="218" w:lineRule="auto"/>
      <w:rPr>
        <w:rFonts w:ascii="SimSun" w:hAnsi="SimSun" w:eastAsia="SimSun" w:cs="SimSun"/>
        <w:sz w:val="19"/>
        <w:szCs w:val="19"/>
      </w:rPr>
    </w:pPr>
    <w:r>
      <w:drawing>
        <wp:anchor distT="0" distB="0" distL="0" distR="0" simplePos="0" relativeHeight="251676672" behindDoc="0" locked="0" layoutInCell="1" allowOverlap="1">
          <wp:simplePos x="0" y="0"/>
          <wp:positionH relativeFrom="column">
            <wp:posOffset>66693</wp:posOffset>
          </wp:positionH>
          <wp:positionV relativeFrom="paragraph">
            <wp:posOffset>146811</wp:posOffset>
          </wp:positionV>
          <wp:extent cx="8870924" cy="6350"/>
          <wp:effectExtent l="0" t="0" r="0" b="0"/>
          <wp:wrapNone/>
          <wp:docPr id="30" name="IM 30"/>
          <wp:cNvGraphicFramePr/>
          <a:graphic>
            <a:graphicData uri="http://schemas.openxmlformats.org/drawingml/2006/picture">
              <pic:pic>
                <pic:nvPicPr>
                  <pic:cNvPr id="30" name="IM 30"/>
                  <pic:cNvPicPr/>
                </pic:nvPicPr>
                <pic:blipFill>
                  <a:blip r:embed="rId1"/>
                  <a:stretch>
                    <a:fillRect/>
                  </a:stretch>
                </pic:blipFill>
                <pic:spPr>
                  <a:xfrm rot="0">
                    <a:off x="0" y="0"/>
                    <a:ext cx="8870924" cy="6350"/>
                  </a:xfrm>
                  <a:prstGeom prst="rect">
                    <a:avLst/>
                  </a:prstGeom>
                </pic:spPr>
              </pic:pic>
            </a:graphicData>
          </a:graphic>
        </wp:anchor>
      </w:drawing>
    </w:r>
    <w:r>
      <w:rPr>
        <w:rFonts w:ascii="SimSun" w:hAnsi="SimSun" w:eastAsia="SimSun" w:cs="SimSun"/>
        <w:sz w:val="19"/>
        <w:szCs w:val="19"/>
        <w:spacing w:val="-9"/>
      </w:rPr>
      <w:t>绵 阳 柒 鑫 食 品 有 限 公</w:t>
    </w:r>
    <w:r>
      <w:rPr>
        <w:rFonts w:ascii="SimSun" w:hAnsi="SimSun" w:eastAsia="SimSun" w:cs="SimSun"/>
        <w:sz w:val="19"/>
        <w:szCs w:val="19"/>
        <w:spacing w:val="3"/>
      </w:rPr>
      <w:t xml:space="preserve"> </w:t>
    </w:r>
    <w:r>
      <w:rPr>
        <w:rFonts w:ascii="SimSun" w:hAnsi="SimSun" w:eastAsia="SimSun" w:cs="SimSun"/>
        <w:sz w:val="19"/>
        <w:szCs w:val="19"/>
        <w:spacing w:val="-9"/>
      </w:rPr>
      <w:t>司 A 级 生 猪</w:t>
    </w:r>
    <w:r>
      <w:rPr>
        <w:rFonts w:ascii="SimSun" w:hAnsi="SimSun" w:eastAsia="SimSun" w:cs="SimSun"/>
        <w:sz w:val="19"/>
        <w:szCs w:val="19"/>
        <w:spacing w:val="8"/>
      </w:rPr>
      <w:t xml:space="preserve"> </w:t>
    </w:r>
    <w:r>
      <w:rPr>
        <w:rFonts w:ascii="SimSun" w:hAnsi="SimSun" w:eastAsia="SimSun" w:cs="SimSun"/>
        <w:sz w:val="19"/>
        <w:szCs w:val="19"/>
        <w:spacing w:val="-9"/>
      </w:rPr>
      <w:t>、</w:t>
    </w:r>
    <w:r>
      <w:rPr>
        <w:rFonts w:ascii="SimSun" w:hAnsi="SimSun" w:eastAsia="SimSun" w:cs="SimSun"/>
        <w:sz w:val="19"/>
        <w:szCs w:val="19"/>
        <w:spacing w:val="13"/>
      </w:rPr>
      <w:t xml:space="preserve"> </w:t>
    </w:r>
    <w:r>
      <w:rPr>
        <w:rFonts w:ascii="SimSun" w:hAnsi="SimSun" w:eastAsia="SimSun" w:cs="SimSun"/>
        <w:sz w:val="19"/>
        <w:szCs w:val="19"/>
        <w:spacing w:val="-9"/>
      </w:rPr>
      <w:t>肉 牛</w:t>
    </w:r>
    <w:r>
      <w:rPr>
        <w:rFonts w:ascii="SimSun" w:hAnsi="SimSun" w:eastAsia="SimSun" w:cs="SimSun"/>
        <w:sz w:val="19"/>
        <w:szCs w:val="19"/>
      </w:rPr>
      <w:t xml:space="preserve"> </w:t>
    </w:r>
    <w:r>
      <w:rPr>
        <w:rFonts w:ascii="SimSun" w:hAnsi="SimSun" w:eastAsia="SimSun" w:cs="SimSun"/>
        <w:sz w:val="19"/>
        <w:szCs w:val="19"/>
        <w:spacing w:val="-9"/>
      </w:rPr>
      <w:t>定</w:t>
    </w:r>
    <w:r>
      <w:rPr>
        <w:rFonts w:ascii="SimSun" w:hAnsi="SimSun" w:eastAsia="SimSun" w:cs="SimSun"/>
        <w:sz w:val="19"/>
        <w:szCs w:val="19"/>
        <w:spacing w:val="4"/>
      </w:rPr>
      <w:t xml:space="preserve"> </w:t>
    </w:r>
    <w:r>
      <w:rPr>
        <w:rFonts w:ascii="SimSun" w:hAnsi="SimSun" w:eastAsia="SimSun" w:cs="SimSun"/>
        <w:sz w:val="19"/>
        <w:szCs w:val="19"/>
        <w:spacing w:val="-9"/>
      </w:rPr>
      <w:t>点 屠</w:t>
    </w:r>
    <w:r>
      <w:rPr>
        <w:rFonts w:ascii="SimSun" w:hAnsi="SimSun" w:eastAsia="SimSun" w:cs="SimSun"/>
        <w:sz w:val="19"/>
        <w:szCs w:val="19"/>
        <w:spacing w:val="3"/>
      </w:rPr>
      <w:t xml:space="preserve"> </w:t>
    </w:r>
    <w:r>
      <w:rPr>
        <w:rFonts w:ascii="SimSun" w:hAnsi="SimSun" w:eastAsia="SimSun" w:cs="SimSun"/>
        <w:sz w:val="19"/>
        <w:szCs w:val="19"/>
        <w:spacing w:val="-9"/>
      </w:rPr>
      <w:t>宰 及 食</w:t>
    </w:r>
    <w:r>
      <w:rPr>
        <w:rFonts w:ascii="SimSun" w:hAnsi="SimSun" w:eastAsia="SimSun" w:cs="SimSun"/>
        <w:sz w:val="19"/>
        <w:szCs w:val="19"/>
        <w:spacing w:val="11"/>
      </w:rPr>
      <w:t xml:space="preserve"> </w:t>
    </w:r>
    <w:r>
      <w:rPr>
        <w:rFonts w:ascii="SimSun" w:hAnsi="SimSun" w:eastAsia="SimSun" w:cs="SimSun"/>
        <w:sz w:val="19"/>
        <w:szCs w:val="19"/>
        <w:spacing w:val="-9"/>
      </w:rPr>
      <w:t>品 加</w:t>
    </w:r>
    <w:r>
      <w:rPr>
        <w:rFonts w:ascii="SimSun" w:hAnsi="SimSun" w:eastAsia="SimSun" w:cs="SimSun"/>
        <w:sz w:val="19"/>
        <w:szCs w:val="19"/>
        <w:spacing w:val="-3"/>
      </w:rPr>
      <w:t xml:space="preserve"> </w:t>
    </w:r>
    <w:r>
      <w:rPr>
        <w:rFonts w:ascii="SimSun" w:hAnsi="SimSun" w:eastAsia="SimSun" w:cs="SimSun"/>
        <w:sz w:val="19"/>
        <w:szCs w:val="19"/>
        <w:spacing w:val="-9"/>
      </w:rPr>
      <w:t>工</w:t>
    </w:r>
    <w:r>
      <w:rPr>
        <w:rFonts w:ascii="SimSun" w:hAnsi="SimSun" w:eastAsia="SimSun" w:cs="SimSun"/>
        <w:sz w:val="19"/>
        <w:szCs w:val="19"/>
        <w:spacing w:val="-2"/>
      </w:rPr>
      <w:t xml:space="preserve"> </w:t>
    </w:r>
    <w:r>
      <w:rPr>
        <w:rFonts w:ascii="SimSun" w:hAnsi="SimSun" w:eastAsia="SimSun" w:cs="SimSun"/>
        <w:sz w:val="19"/>
        <w:szCs w:val="19"/>
        <w:spacing w:val="-9"/>
      </w:rPr>
      <w:t>项</w:t>
    </w:r>
    <w:r>
      <w:rPr>
        <w:rFonts w:ascii="SimSun" w:hAnsi="SimSun" w:eastAsia="SimSun" w:cs="SimSun"/>
        <w:sz w:val="19"/>
        <w:szCs w:val="19"/>
        <w:spacing w:val="31"/>
      </w:rPr>
      <w:t xml:space="preserve"> </w:t>
    </w:r>
    <w:r>
      <w:rPr>
        <w:rFonts w:ascii="SimSun" w:hAnsi="SimSun" w:eastAsia="SimSun" w:cs="SimSun"/>
        <w:sz w:val="19"/>
        <w:szCs w:val="19"/>
        <w:spacing w:val="-9"/>
      </w:rPr>
      <w:t>目</w:t>
    </w:r>
    <w:r>
      <w:rPr>
        <w:rFonts w:ascii="SimSun" w:hAnsi="SimSun" w:eastAsia="SimSun" w:cs="SimSun"/>
        <w:sz w:val="19"/>
        <w:szCs w:val="19"/>
        <w:spacing w:val="-5"/>
      </w:rPr>
      <w:t xml:space="preserve"> </w:t>
    </w:r>
    <w:r>
      <w:rPr>
        <w:rFonts w:ascii="SimSun" w:hAnsi="SimSun" w:eastAsia="SimSun" w:cs="SimSun"/>
        <w:sz w:val="19"/>
        <w:szCs w:val="19"/>
        <w:spacing w:val="-9"/>
      </w:rPr>
      <w:t>环</w:t>
    </w:r>
    <w:r>
      <w:rPr>
        <w:rFonts w:ascii="SimSun" w:hAnsi="SimSun" w:eastAsia="SimSun" w:cs="SimSun"/>
        <w:sz w:val="19"/>
        <w:szCs w:val="19"/>
        <w:spacing w:val="-5"/>
      </w:rPr>
      <w:t xml:space="preserve"> </w:t>
    </w:r>
    <w:r>
      <w:rPr>
        <w:rFonts w:ascii="SimSun" w:hAnsi="SimSun" w:eastAsia="SimSun" w:cs="SimSun"/>
        <w:sz w:val="19"/>
        <w:szCs w:val="19"/>
        <w:spacing w:val="-10"/>
      </w:rPr>
      <w:t>境</w:t>
    </w:r>
    <w:r>
      <w:rPr>
        <w:rFonts w:ascii="SimSun" w:hAnsi="SimSun" w:eastAsia="SimSun" w:cs="SimSun"/>
        <w:sz w:val="19"/>
        <w:szCs w:val="19"/>
        <w:spacing w:val="-5"/>
      </w:rPr>
      <w:t xml:space="preserve"> </w:t>
    </w:r>
    <w:r>
      <w:rPr>
        <w:rFonts w:ascii="SimSun" w:hAnsi="SimSun" w:eastAsia="SimSun" w:cs="SimSun"/>
        <w:sz w:val="19"/>
        <w:szCs w:val="19"/>
        <w:spacing w:val="-10"/>
      </w:rPr>
      <w:t>影</w:t>
    </w:r>
    <w:r>
      <w:rPr>
        <w:rFonts w:ascii="SimSun" w:hAnsi="SimSun" w:eastAsia="SimSun" w:cs="SimSun"/>
        <w:sz w:val="19"/>
        <w:szCs w:val="19"/>
        <w:spacing w:val="5"/>
      </w:rPr>
      <w:t xml:space="preserve"> </w:t>
    </w:r>
    <w:r>
      <w:rPr>
        <w:rFonts w:ascii="SimSun" w:hAnsi="SimSun" w:eastAsia="SimSun" w:cs="SimSun"/>
        <w:sz w:val="19"/>
        <w:szCs w:val="19"/>
        <w:spacing w:val="-10"/>
      </w:rPr>
      <w:t>响 报</w:t>
    </w:r>
    <w:r>
      <w:rPr>
        <w:rFonts w:ascii="SimSun" w:hAnsi="SimSun" w:eastAsia="SimSun" w:cs="SimSun"/>
        <w:sz w:val="19"/>
        <w:szCs w:val="19"/>
        <w:spacing w:val="-1"/>
      </w:rPr>
      <w:t xml:space="preserve"> </w:t>
    </w:r>
    <w:r>
      <w:rPr>
        <w:rFonts w:ascii="SimSun" w:hAnsi="SimSun" w:eastAsia="SimSun" w:cs="SimSun"/>
        <w:sz w:val="19"/>
        <w:szCs w:val="19"/>
        <w:spacing w:val="-10"/>
      </w:rPr>
      <w:t>告</w:t>
    </w:r>
    <w:r>
      <w:rPr>
        <w:rFonts w:ascii="SimSun" w:hAnsi="SimSun" w:eastAsia="SimSun" w:cs="SimSun"/>
        <w:sz w:val="19"/>
        <w:szCs w:val="19"/>
        <w:spacing w:val="-1"/>
      </w:rPr>
      <w:t xml:space="preserve"> </w:t>
    </w:r>
    <w:r>
      <w:rPr>
        <w:rFonts w:ascii="SimSun" w:hAnsi="SimSun" w:eastAsia="SimSun" w:cs="SimSun"/>
        <w:sz w:val="19"/>
        <w:szCs w:val="19"/>
        <w:spacing w:val="-10"/>
      </w:rPr>
      <w:t>书</w:t>
    </w:r>
  </w:p>
</w:hdr>
</file>

<file path=word/header5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19"/>
      <w:spacing w:before="51" w:line="218" w:lineRule="auto"/>
      <w:rPr>
        <w:rFonts w:ascii="SimSun" w:hAnsi="SimSun" w:eastAsia="SimSun" w:cs="SimSun"/>
        <w:sz w:val="19"/>
        <w:szCs w:val="19"/>
      </w:rPr>
    </w:pPr>
    <w:r>
      <w:drawing>
        <wp:anchor distT="0" distB="0" distL="0" distR="0" simplePos="0" relativeHeight="251677696" behindDoc="0" locked="0" layoutInCell="1" allowOverlap="1">
          <wp:simplePos x="0" y="0"/>
          <wp:positionH relativeFrom="column">
            <wp:posOffset>66692</wp:posOffset>
          </wp:positionH>
          <wp:positionV relativeFrom="paragraph">
            <wp:posOffset>146811</wp:posOffset>
          </wp:positionV>
          <wp:extent cx="8864614" cy="6350"/>
          <wp:effectExtent l="0" t="0" r="0" b="0"/>
          <wp:wrapNone/>
          <wp:docPr id="32" name="IM 32"/>
          <wp:cNvGraphicFramePr/>
          <a:graphic>
            <a:graphicData uri="http://schemas.openxmlformats.org/drawingml/2006/picture">
              <pic:pic>
                <pic:nvPicPr>
                  <pic:cNvPr id="32" name="IM 32"/>
                  <pic:cNvPicPr/>
                </pic:nvPicPr>
                <pic:blipFill>
                  <a:blip r:embed="rId1"/>
                  <a:stretch>
                    <a:fillRect/>
                  </a:stretch>
                </pic:blipFill>
                <pic:spPr>
                  <a:xfrm rot="0">
                    <a:off x="0" y="0"/>
                    <a:ext cx="8864614" cy="6350"/>
                  </a:xfrm>
                  <a:prstGeom prst="rect">
                    <a:avLst/>
                  </a:prstGeom>
                </pic:spPr>
              </pic:pic>
            </a:graphicData>
          </a:graphic>
        </wp:anchor>
      </w:drawing>
    </w:r>
    <w:r>
      <w:rPr>
        <w:rFonts w:ascii="SimSun" w:hAnsi="SimSun" w:eastAsia="SimSun" w:cs="SimSun"/>
        <w:sz w:val="19"/>
        <w:szCs w:val="19"/>
        <w:spacing w:val="-9"/>
      </w:rPr>
      <w:t>绵 阳 柒 鑫 食 品 有 限 公 司 A 级 生 猪</w:t>
    </w:r>
    <w:r>
      <w:rPr>
        <w:rFonts w:ascii="SimSun" w:hAnsi="SimSun" w:eastAsia="SimSun" w:cs="SimSun"/>
        <w:sz w:val="19"/>
        <w:szCs w:val="19"/>
        <w:spacing w:val="8"/>
      </w:rPr>
      <w:t xml:space="preserve"> </w:t>
    </w:r>
    <w:r>
      <w:rPr>
        <w:rFonts w:ascii="SimSun" w:hAnsi="SimSun" w:eastAsia="SimSun" w:cs="SimSun"/>
        <w:sz w:val="19"/>
        <w:szCs w:val="19"/>
        <w:spacing w:val="-9"/>
      </w:rPr>
      <w:t>、</w:t>
    </w:r>
    <w:r>
      <w:rPr>
        <w:rFonts w:ascii="SimSun" w:hAnsi="SimSun" w:eastAsia="SimSun" w:cs="SimSun"/>
        <w:sz w:val="19"/>
        <w:szCs w:val="19"/>
        <w:spacing w:val="14"/>
      </w:rPr>
      <w:t xml:space="preserve"> </w:t>
    </w:r>
    <w:r>
      <w:rPr>
        <w:rFonts w:ascii="SimSun" w:hAnsi="SimSun" w:eastAsia="SimSun" w:cs="SimSun"/>
        <w:sz w:val="19"/>
        <w:szCs w:val="19"/>
        <w:spacing w:val="-9"/>
      </w:rPr>
      <w:t>肉</w:t>
    </w:r>
    <w:r>
      <w:rPr>
        <w:rFonts w:ascii="SimSun" w:hAnsi="SimSun" w:eastAsia="SimSun" w:cs="SimSun"/>
        <w:sz w:val="19"/>
        <w:szCs w:val="19"/>
        <w:spacing w:val="-1"/>
      </w:rPr>
      <w:t xml:space="preserve"> </w:t>
    </w:r>
    <w:r>
      <w:rPr>
        <w:rFonts w:ascii="SimSun" w:hAnsi="SimSun" w:eastAsia="SimSun" w:cs="SimSun"/>
        <w:sz w:val="19"/>
        <w:szCs w:val="19"/>
        <w:spacing w:val="-9"/>
      </w:rPr>
      <w:t>牛</w:t>
    </w:r>
    <w:r>
      <w:rPr>
        <w:rFonts w:ascii="SimSun" w:hAnsi="SimSun" w:eastAsia="SimSun" w:cs="SimSun"/>
        <w:sz w:val="19"/>
        <w:szCs w:val="19"/>
        <w:spacing w:val="-1"/>
      </w:rPr>
      <w:t xml:space="preserve"> </w:t>
    </w:r>
    <w:r>
      <w:rPr>
        <w:rFonts w:ascii="SimSun" w:hAnsi="SimSun" w:eastAsia="SimSun" w:cs="SimSun"/>
        <w:sz w:val="19"/>
        <w:szCs w:val="19"/>
        <w:spacing w:val="-9"/>
      </w:rPr>
      <w:t>定</w:t>
    </w:r>
    <w:r>
      <w:rPr>
        <w:rFonts w:ascii="SimSun" w:hAnsi="SimSun" w:eastAsia="SimSun" w:cs="SimSun"/>
        <w:sz w:val="19"/>
        <w:szCs w:val="19"/>
        <w:spacing w:val="4"/>
      </w:rPr>
      <w:t xml:space="preserve"> </w:t>
    </w:r>
    <w:r>
      <w:rPr>
        <w:rFonts w:ascii="SimSun" w:hAnsi="SimSun" w:eastAsia="SimSun" w:cs="SimSun"/>
        <w:sz w:val="19"/>
        <w:szCs w:val="19"/>
        <w:spacing w:val="-9"/>
      </w:rPr>
      <w:t>点</w:t>
    </w:r>
    <w:r>
      <w:rPr>
        <w:rFonts w:ascii="SimSun" w:hAnsi="SimSun" w:eastAsia="SimSun" w:cs="SimSun"/>
        <w:sz w:val="19"/>
        <w:szCs w:val="19"/>
        <w:spacing w:val="-4"/>
      </w:rPr>
      <w:t xml:space="preserve"> </w:t>
    </w:r>
    <w:r>
      <w:rPr>
        <w:rFonts w:ascii="SimSun" w:hAnsi="SimSun" w:eastAsia="SimSun" w:cs="SimSun"/>
        <w:sz w:val="19"/>
        <w:szCs w:val="19"/>
        <w:spacing w:val="-9"/>
      </w:rPr>
      <w:t>屠</w:t>
    </w:r>
    <w:r>
      <w:rPr>
        <w:rFonts w:ascii="SimSun" w:hAnsi="SimSun" w:eastAsia="SimSun" w:cs="SimSun"/>
        <w:sz w:val="19"/>
        <w:szCs w:val="19"/>
        <w:spacing w:val="3"/>
      </w:rPr>
      <w:t xml:space="preserve"> </w:t>
    </w:r>
    <w:r>
      <w:rPr>
        <w:rFonts w:ascii="SimSun" w:hAnsi="SimSun" w:eastAsia="SimSun" w:cs="SimSun"/>
        <w:sz w:val="19"/>
        <w:szCs w:val="19"/>
        <w:spacing w:val="-9"/>
      </w:rPr>
      <w:t>宰 及 食</w:t>
    </w:r>
    <w:r>
      <w:rPr>
        <w:rFonts w:ascii="SimSun" w:hAnsi="SimSun" w:eastAsia="SimSun" w:cs="SimSun"/>
        <w:sz w:val="19"/>
        <w:szCs w:val="19"/>
        <w:spacing w:val="10"/>
      </w:rPr>
      <w:t xml:space="preserve"> </w:t>
    </w:r>
    <w:r>
      <w:rPr>
        <w:rFonts w:ascii="SimSun" w:hAnsi="SimSun" w:eastAsia="SimSun" w:cs="SimSun"/>
        <w:sz w:val="19"/>
        <w:szCs w:val="19"/>
        <w:spacing w:val="-9"/>
      </w:rPr>
      <w:t>品 加</w:t>
    </w:r>
    <w:r>
      <w:rPr>
        <w:rFonts w:ascii="SimSun" w:hAnsi="SimSun" w:eastAsia="SimSun" w:cs="SimSun"/>
        <w:sz w:val="19"/>
        <w:szCs w:val="19"/>
        <w:spacing w:val="-3"/>
      </w:rPr>
      <w:t xml:space="preserve"> </w:t>
    </w:r>
    <w:r>
      <w:rPr>
        <w:rFonts w:ascii="SimSun" w:hAnsi="SimSun" w:eastAsia="SimSun" w:cs="SimSun"/>
        <w:sz w:val="19"/>
        <w:szCs w:val="19"/>
        <w:spacing w:val="-9"/>
      </w:rPr>
      <w:t>工</w:t>
    </w:r>
    <w:r>
      <w:rPr>
        <w:rFonts w:ascii="SimSun" w:hAnsi="SimSun" w:eastAsia="SimSun" w:cs="SimSun"/>
        <w:sz w:val="19"/>
        <w:szCs w:val="19"/>
        <w:spacing w:val="-2"/>
      </w:rPr>
      <w:t xml:space="preserve"> </w:t>
    </w:r>
    <w:r>
      <w:rPr>
        <w:rFonts w:ascii="SimSun" w:hAnsi="SimSun" w:eastAsia="SimSun" w:cs="SimSun"/>
        <w:sz w:val="19"/>
        <w:szCs w:val="19"/>
        <w:spacing w:val="-9"/>
      </w:rPr>
      <w:t>项</w:t>
    </w:r>
    <w:r>
      <w:rPr>
        <w:rFonts w:ascii="SimSun" w:hAnsi="SimSun" w:eastAsia="SimSun" w:cs="SimSun"/>
        <w:sz w:val="19"/>
        <w:szCs w:val="19"/>
        <w:spacing w:val="31"/>
      </w:rPr>
      <w:t xml:space="preserve"> </w:t>
    </w:r>
    <w:r>
      <w:rPr>
        <w:rFonts w:ascii="SimSun" w:hAnsi="SimSun" w:eastAsia="SimSun" w:cs="SimSun"/>
        <w:sz w:val="19"/>
        <w:szCs w:val="19"/>
        <w:spacing w:val="-9"/>
      </w:rPr>
      <w:t>目 环</w:t>
    </w:r>
    <w:r>
      <w:rPr>
        <w:rFonts w:ascii="SimSun" w:hAnsi="SimSun" w:eastAsia="SimSun" w:cs="SimSun"/>
        <w:sz w:val="19"/>
        <w:szCs w:val="19"/>
        <w:spacing w:val="-5"/>
      </w:rPr>
      <w:t xml:space="preserve"> </w:t>
    </w:r>
    <w:r>
      <w:rPr>
        <w:rFonts w:ascii="SimSun" w:hAnsi="SimSun" w:eastAsia="SimSun" w:cs="SimSun"/>
        <w:sz w:val="19"/>
        <w:szCs w:val="19"/>
        <w:spacing w:val="-9"/>
      </w:rPr>
      <w:t>境 影</w:t>
    </w:r>
    <w:r>
      <w:rPr>
        <w:rFonts w:ascii="SimSun" w:hAnsi="SimSun" w:eastAsia="SimSun" w:cs="SimSun"/>
        <w:sz w:val="19"/>
        <w:szCs w:val="19"/>
        <w:spacing w:val="4"/>
      </w:rPr>
      <w:t xml:space="preserve"> </w:t>
    </w:r>
    <w:r>
      <w:rPr>
        <w:rFonts w:ascii="SimSun" w:hAnsi="SimSun" w:eastAsia="SimSun" w:cs="SimSun"/>
        <w:sz w:val="19"/>
        <w:szCs w:val="19"/>
        <w:spacing w:val="-9"/>
      </w:rPr>
      <w:t>响</w:t>
    </w:r>
    <w:r>
      <w:rPr>
        <w:rFonts w:ascii="SimSun" w:hAnsi="SimSun" w:eastAsia="SimSun" w:cs="SimSun"/>
        <w:sz w:val="19"/>
        <w:szCs w:val="19"/>
        <w:spacing w:val="-10"/>
      </w:rPr>
      <w:t xml:space="preserve"> 报</w:t>
    </w:r>
    <w:r>
      <w:rPr>
        <w:rFonts w:ascii="SimSun" w:hAnsi="SimSun" w:eastAsia="SimSun" w:cs="SimSun"/>
        <w:sz w:val="19"/>
        <w:szCs w:val="19"/>
      </w:rPr>
      <w:t xml:space="preserve"> </w:t>
    </w:r>
    <w:r>
      <w:rPr>
        <w:rFonts w:ascii="SimSun" w:hAnsi="SimSun" w:eastAsia="SimSun" w:cs="SimSun"/>
        <w:sz w:val="19"/>
        <w:szCs w:val="19"/>
        <w:spacing w:val="-10"/>
      </w:rPr>
      <w:t>告</w:t>
    </w:r>
    <w:r>
      <w:rPr>
        <w:rFonts w:ascii="SimSun" w:hAnsi="SimSun" w:eastAsia="SimSun" w:cs="SimSun"/>
        <w:sz w:val="19"/>
        <w:szCs w:val="19"/>
        <w:spacing w:val="-2"/>
      </w:rPr>
      <w:t xml:space="preserve"> </w:t>
    </w:r>
    <w:r>
      <w:rPr>
        <w:rFonts w:ascii="SimSun" w:hAnsi="SimSun" w:eastAsia="SimSun" w:cs="SimSun"/>
        <w:sz w:val="19"/>
        <w:szCs w:val="19"/>
        <w:spacing w:val="-10"/>
      </w:rPr>
      <w:t>书</w:t>
    </w:r>
  </w:p>
</w:hdr>
</file>

<file path=word/header5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14"/>
      <w:spacing w:before="51" w:line="218" w:lineRule="auto"/>
      <w:rPr>
        <w:rFonts w:ascii="SimSun" w:hAnsi="SimSun" w:eastAsia="SimSun" w:cs="SimSun"/>
        <w:sz w:val="19"/>
        <w:szCs w:val="19"/>
      </w:rPr>
    </w:pPr>
    <w:r>
      <w:drawing>
        <wp:anchor distT="0" distB="0" distL="0" distR="0" simplePos="0" relativeHeight="251678720" behindDoc="0" locked="0" layoutInCell="1" allowOverlap="1">
          <wp:simplePos x="0" y="0"/>
          <wp:positionH relativeFrom="column">
            <wp:posOffset>0</wp:posOffset>
          </wp:positionH>
          <wp:positionV relativeFrom="paragraph">
            <wp:posOffset>146813</wp:posOffset>
          </wp:positionV>
          <wp:extent cx="8870923" cy="6350"/>
          <wp:effectExtent l="0" t="0" r="0" b="0"/>
          <wp:wrapNone/>
          <wp:docPr id="34" name="IM 34"/>
          <wp:cNvGraphicFramePr/>
          <a:graphic>
            <a:graphicData uri="http://schemas.openxmlformats.org/drawingml/2006/picture">
              <pic:pic>
                <pic:nvPicPr>
                  <pic:cNvPr id="34" name="IM 34"/>
                  <pic:cNvPicPr/>
                </pic:nvPicPr>
                <pic:blipFill>
                  <a:blip r:embed="rId1"/>
                  <a:stretch>
                    <a:fillRect/>
                  </a:stretch>
                </pic:blipFill>
                <pic:spPr>
                  <a:xfrm rot="0">
                    <a:off x="0" y="0"/>
                    <a:ext cx="8870923" cy="6350"/>
                  </a:xfrm>
                  <a:prstGeom prst="rect">
                    <a:avLst/>
                  </a:prstGeom>
                </pic:spPr>
              </pic:pic>
            </a:graphicData>
          </a:graphic>
        </wp:anchor>
      </w:drawing>
    </w:r>
    <w:r>
      <w:rPr>
        <w:rFonts w:ascii="SimSun" w:hAnsi="SimSun" w:eastAsia="SimSun" w:cs="SimSun"/>
        <w:sz w:val="19"/>
        <w:szCs w:val="19"/>
        <w:spacing w:val="-9"/>
      </w:rPr>
      <w:t>绵 阳 柒 鑫 食 品 有 限 公 司 A 级 生 猪 、 肉 </w:t>
    </w:r>
    <w:r>
      <w:rPr>
        <w:rFonts w:ascii="SimSun" w:hAnsi="SimSun" w:eastAsia="SimSun" w:cs="SimSun"/>
        <w:sz w:val="19"/>
        <w:szCs w:val="19"/>
        <w:spacing w:val="-10"/>
      </w:rPr>
      <w:t>牛 定 点 屠 宰 及 食 品 加 工 项</w:t>
    </w:r>
    <w:r>
      <w:rPr>
        <w:rFonts w:ascii="SimSun" w:hAnsi="SimSun" w:eastAsia="SimSun" w:cs="SimSun"/>
        <w:sz w:val="19"/>
        <w:szCs w:val="19"/>
        <w:spacing w:val="25"/>
      </w:rPr>
      <w:t xml:space="preserve"> </w:t>
    </w:r>
    <w:r>
      <w:rPr>
        <w:rFonts w:ascii="SimSun" w:hAnsi="SimSun" w:eastAsia="SimSun" w:cs="SimSun"/>
        <w:sz w:val="19"/>
        <w:szCs w:val="19"/>
        <w:spacing w:val="-10"/>
      </w:rPr>
      <w:t>目 环 境 影 响 报 告 书</w:t>
    </w:r>
  </w:p>
</w:hdr>
</file>

<file path=word/header5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51" w:line="218" w:lineRule="auto"/>
      <w:tabs>
        <w:tab w:val="left" w:pos="271"/>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4"/>
      </w:rPr>
      <w:t>绵阳柒鑫食品有限公司A级生猪、肉牛定点屠宰及食品加工项目环境影响报告书</w:t>
    </w:r>
    <w:r>
      <w:rPr>
        <w:rFonts w:ascii="SimSun" w:hAnsi="SimSun" w:eastAsia="SimSun" w:cs="SimSun"/>
        <w:sz w:val="19"/>
        <w:szCs w:val="19"/>
        <w:u w:val="single" w:color="auto"/>
        <w:spacing w:val="3"/>
      </w:rPr>
      <w:t xml:space="preserve">   </w:t>
    </w:r>
  </w:p>
</w:hdr>
</file>

<file path=word/header5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
      <w:spacing w:before="61" w:line="218" w:lineRule="auto"/>
      <w:tabs>
        <w:tab w:val="left" w:pos="243"/>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w:t>
    </w:r>
    <w:r>
      <w:rPr>
        <w:rFonts w:ascii="SimSun" w:hAnsi="SimSun" w:eastAsia="SimSun" w:cs="SimSun"/>
        <w:sz w:val="23"/>
        <w:szCs w:val="23"/>
        <w:u w:val="single" w:color="auto"/>
        <w:spacing w:val="-4"/>
      </w:rPr>
      <w:t>目环境影响报告书</w:t>
    </w:r>
    <w:r>
      <w:rPr>
        <w:rFonts w:ascii="SimSun" w:hAnsi="SimSun" w:eastAsia="SimSun" w:cs="SimSun"/>
        <w:sz w:val="23"/>
        <w:szCs w:val="23"/>
        <w:u w:val="single" w:color="auto"/>
      </w:rPr>
      <w:t xml:space="preserve">  </w:t>
    </w:r>
  </w:p>
</w:hdr>
</file>

<file path=word/header5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5"/>
      <w:spacing w:before="51" w:line="218" w:lineRule="auto"/>
      <w:tabs>
        <w:tab w:val="left" w:pos="30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5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5"/>
      <w:spacing w:before="53" w:line="218" w:lineRule="auto"/>
      <w:tabs>
        <w:tab w:val="left" w:pos="277"/>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rPr>
      <w:t xml:space="preserve">   </w:t>
    </w:r>
  </w:p>
</w:hdr>
</file>

<file path=word/header5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61" w:line="218" w:lineRule="auto"/>
      <w:tabs>
        <w:tab w:val="left" w:pos="238"/>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w:t>
    </w:r>
    <w:r>
      <w:rPr>
        <w:rFonts w:ascii="SimSun" w:hAnsi="SimSun" w:eastAsia="SimSun" w:cs="SimSun"/>
        <w:sz w:val="23"/>
        <w:szCs w:val="23"/>
        <w:u w:val="single" w:color="auto"/>
        <w:spacing w:val="-4"/>
      </w:rPr>
      <w:t>目环境影响报告书</w:t>
    </w:r>
    <w:r>
      <w:rPr>
        <w:rFonts w:ascii="SimSun" w:hAnsi="SimSun" w:eastAsia="SimSun" w:cs="SimSun"/>
        <w:sz w:val="23"/>
        <w:szCs w:val="23"/>
        <w:u w:val="single" w:color="auto"/>
      </w:rPr>
      <w:t xml:space="preserve">  </w:t>
    </w:r>
  </w:p>
</w:hdr>
</file>

<file path=word/header5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5"/>
      <w:spacing w:before="61" w:line="218" w:lineRule="auto"/>
      <w:tabs>
        <w:tab w:val="left" w:pos="253"/>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绵阳柒鑫食品有限公司A级生猪、肉牛定点屠宰及食品加工项目环境影响报告书</w:t>
    </w:r>
    <w:r>
      <w:rPr>
        <w:rFonts w:ascii="SimSun" w:hAnsi="SimSun" w:eastAsia="SimSun" w:cs="SimSun"/>
        <w:sz w:val="23"/>
        <w:szCs w:val="23"/>
        <w:u w:val="single" w:color="auto"/>
        <w:spacing w:val="1"/>
      </w:rPr>
      <w:t xml:space="preserve">  </w:t>
    </w:r>
  </w:p>
</w:hdr>
</file>

<file path=word/header5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61" w:line="218" w:lineRule="auto"/>
      <w:tabs>
        <w:tab w:val="left" w:pos="238"/>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w:t>
    </w:r>
    <w:r>
      <w:rPr>
        <w:rFonts w:ascii="SimSun" w:hAnsi="SimSun" w:eastAsia="SimSun" w:cs="SimSun"/>
        <w:sz w:val="23"/>
        <w:szCs w:val="23"/>
        <w:u w:val="single" w:color="auto"/>
        <w:spacing w:val="-4"/>
      </w:rPr>
      <w:t>目环境影响报告书</w:t>
    </w:r>
    <w:r>
      <w:rPr>
        <w:rFonts w:ascii="SimSun" w:hAnsi="SimSun" w:eastAsia="SimSun" w:cs="SimSun"/>
        <w:sz w:val="23"/>
        <w:szCs w:val="23"/>
        <w:u w:val="single" w:color="auto"/>
      </w:rPr>
      <w:t xml:space="preserve">  </w:t>
    </w:r>
  </w:p>
</w:hdr>
</file>

<file path=word/header5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4"/>
      <w:spacing w:before="61" w:line="218" w:lineRule="auto"/>
      <w:tabs>
        <w:tab w:val="left" w:pos="354"/>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w:t>
    </w:r>
    <w:r>
      <w:rPr>
        <w:rFonts w:ascii="SimSun" w:hAnsi="SimSun" w:eastAsia="SimSun" w:cs="SimSun"/>
        <w:sz w:val="23"/>
        <w:szCs w:val="23"/>
        <w:u w:val="single" w:color="auto"/>
        <w:spacing w:val="-4"/>
      </w:rPr>
      <w:t>目环境影响报告书</w:t>
    </w:r>
    <w:r>
      <w:rPr>
        <w:rFonts w:ascii="SimSun" w:hAnsi="SimSun" w:eastAsia="SimSun" w:cs="SimSun"/>
        <w:sz w:val="23"/>
        <w:szCs w:val="23"/>
        <w:u w:val="single" w:color="auto"/>
      </w:rPr>
      <w:t xml:space="preserve">  </w:t>
    </w:r>
  </w:p>
</w:hdr>
</file>

<file path=word/header6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9"/>
      <w:spacing w:before="61" w:line="218" w:lineRule="auto"/>
      <w:tabs>
        <w:tab w:val="left" w:pos="359"/>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w:t>
    </w:r>
    <w:r>
      <w:rPr>
        <w:rFonts w:ascii="SimSun" w:hAnsi="SimSun" w:eastAsia="SimSun" w:cs="SimSun"/>
        <w:sz w:val="23"/>
        <w:szCs w:val="23"/>
        <w:u w:val="single" w:color="auto"/>
        <w:spacing w:val="-4"/>
      </w:rPr>
      <w:t>目环境影响报告书</w:t>
    </w:r>
    <w:r>
      <w:rPr>
        <w:rFonts w:ascii="SimSun" w:hAnsi="SimSun" w:eastAsia="SimSun" w:cs="SimSun"/>
        <w:sz w:val="23"/>
        <w:szCs w:val="23"/>
        <w:u w:val="single" w:color="auto"/>
      </w:rPr>
      <w:t xml:space="preserve">  </w:t>
    </w:r>
  </w:p>
</w:hdr>
</file>

<file path=word/header6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
      <w:spacing w:before="53" w:line="218" w:lineRule="auto"/>
      <w:tabs>
        <w:tab w:val="left" w:pos="307"/>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rPr>
      <w:t xml:space="preserve">   </w:t>
    </w:r>
  </w:p>
</w:hdr>
</file>

<file path=word/header6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94"/>
      <w:spacing w:before="84" w:line="200" w:lineRule="auto"/>
      <w:rPr>
        <w:rFonts w:ascii="SimSun" w:hAnsi="SimSun" w:eastAsia="SimSun" w:cs="SimSun"/>
        <w:sz w:val="20"/>
        <w:szCs w:val="20"/>
      </w:rPr>
    </w:pPr>
    <w:r>
      <w:drawing>
        <wp:anchor distT="0" distB="0" distL="0" distR="0" simplePos="0" relativeHeight="251691008" behindDoc="0" locked="0" layoutInCell="0" allowOverlap="1">
          <wp:simplePos x="0" y="0"/>
          <wp:positionH relativeFrom="page">
            <wp:posOffset>1142973</wp:posOffset>
          </wp:positionH>
          <wp:positionV relativeFrom="page">
            <wp:posOffset>737658</wp:posOffset>
          </wp:positionV>
          <wp:extent cx="5270549" cy="7619"/>
          <wp:effectExtent l="0" t="0" r="0" b="0"/>
          <wp:wrapNone/>
          <wp:docPr id="36" name="IM 36"/>
          <wp:cNvGraphicFramePr/>
          <a:graphic>
            <a:graphicData uri="http://schemas.openxmlformats.org/drawingml/2006/picture">
              <pic:pic>
                <pic:nvPicPr>
                  <pic:cNvPr id="36" name="IM 36"/>
                  <pic:cNvPicPr/>
                </pic:nvPicPr>
                <pic:blipFill>
                  <a:blip r:embed="rId1"/>
                  <a:stretch>
                    <a:fillRect/>
                  </a:stretch>
                </pic:blipFill>
                <pic:spPr>
                  <a:xfrm rot="0">
                    <a:off x="0" y="0"/>
                    <a:ext cx="5270549" cy="7619"/>
                  </a:xfrm>
                  <a:prstGeom prst="rect">
                    <a:avLst/>
                  </a:prstGeom>
                </pic:spPr>
              </pic:pic>
            </a:graphicData>
          </a:graphic>
        </wp:anchor>
      </w:drawing>
    </w:r>
    <w:r>
      <w:rPr>
        <w:rFonts w:ascii="SimSun" w:hAnsi="SimSun" w:eastAsia="SimSun" w:cs="SimSun"/>
        <w:sz w:val="20"/>
        <w:szCs w:val="20"/>
        <w:spacing w:val="-2"/>
      </w:rPr>
      <w:t>绵阳柒鑫食品有限公司</w:t>
    </w:r>
    <w:r>
      <w:rPr>
        <w:rFonts w:ascii="Times New Roman" w:hAnsi="Times New Roman" w:eastAsia="Times New Roman" w:cs="Times New Roman"/>
        <w:sz w:val="24"/>
        <w:szCs w:val="24"/>
        <w:spacing w:val="-2"/>
      </w:rPr>
      <w:t>A</w:t>
    </w:r>
    <w:r>
      <w:rPr>
        <w:rFonts w:ascii="SimSun" w:hAnsi="SimSun" w:eastAsia="SimSun" w:cs="SimSun"/>
        <w:sz w:val="20"/>
        <w:szCs w:val="20"/>
        <w:spacing w:val="-2"/>
      </w:rPr>
      <w:t>级生猪、肉牛定点屠宰及食品加工项目环境影响报告书</w:t>
    </w:r>
  </w:p>
</w:hdr>
</file>

<file path=word/header6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4"/>
      <w:spacing w:before="53" w:line="218" w:lineRule="auto"/>
      <w:tabs>
        <w:tab w:val="left" w:pos="357"/>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rPr>
      <w:t xml:space="preserve">   </w:t>
    </w:r>
  </w:p>
</w:hdr>
</file>

<file path=word/header6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9"/>
      <w:spacing w:before="51" w:line="218" w:lineRule="auto"/>
      <w:tabs>
        <w:tab w:val="left" w:pos="291"/>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4"/>
      </w:rPr>
      <w:t>绵阳柒鑫食品有限公司A级生猪、肉牛定点屠宰及食品加工项目环境影响报告书</w:t>
    </w:r>
    <w:r>
      <w:rPr>
        <w:rFonts w:ascii="SimSun" w:hAnsi="SimSun" w:eastAsia="SimSun" w:cs="SimSun"/>
        <w:sz w:val="19"/>
        <w:szCs w:val="19"/>
        <w:u w:val="single" w:color="auto"/>
        <w:spacing w:val="3"/>
      </w:rPr>
      <w:t xml:space="preserve">   </w:t>
    </w:r>
  </w:p>
</w:hdr>
</file>

<file path=word/header6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
      <w:spacing w:before="53" w:line="218" w:lineRule="auto"/>
      <w:tabs>
        <w:tab w:val="left" w:pos="367"/>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rPr>
      <w:t xml:space="preserve">   </w:t>
    </w:r>
  </w:p>
</w:hdr>
</file>

<file path=word/header6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
      <w:spacing w:before="53" w:line="218" w:lineRule="auto"/>
      <w:tabs>
        <w:tab w:val="left" w:pos="367"/>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spacing w:val="2"/>
      </w:rPr>
      <w:t xml:space="preserve">   </w:t>
    </w:r>
  </w:p>
</w:hdr>
</file>

<file path=word/header6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61" w:line="218" w:lineRule="auto"/>
      <w:tabs>
        <w:tab w:val="left" w:pos="238"/>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绵阳柒鑫食品有限公司A级生猪、肉牛定点屠宰及食品加工项目环境影响报告书</w:t>
    </w:r>
    <w:r>
      <w:rPr>
        <w:rFonts w:ascii="SimSun" w:hAnsi="SimSun" w:eastAsia="SimSun" w:cs="SimSun"/>
        <w:sz w:val="23"/>
        <w:szCs w:val="23"/>
        <w:u w:val="single" w:color="auto"/>
        <w:spacing w:val="1"/>
      </w:rPr>
      <w:t xml:space="preserve">  </w:t>
    </w:r>
  </w:p>
</w:hdr>
</file>

<file path=word/header6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4"/>
      <w:spacing w:before="53" w:line="218" w:lineRule="auto"/>
      <w:tabs>
        <w:tab w:val="left" w:pos="377"/>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spacing w:val="2"/>
      </w:rPr>
      <w:t xml:space="preserve">   </w:t>
    </w:r>
  </w:p>
</w:hdr>
</file>

<file path=word/header6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
      <w:spacing w:before="51" w:line="218" w:lineRule="auto"/>
      <w:tabs>
        <w:tab w:val="left" w:pos="377"/>
      </w:tabs>
      <w:rPr>
        <w:rFonts w:ascii="SimSun" w:hAnsi="SimSun" w:eastAsia="SimSun" w:cs="SimSun"/>
        <w:sz w:val="19"/>
        <w:szCs w:val="19"/>
      </w:rPr>
    </w:pPr>
    <w:r>
      <w:pict>
        <v:shape id="WordPictureWatermark68" style="position:absolute;margin-left:165.501pt;margin-top:267.503pt;mso-position-vertical-relative:page;mso-position-horizontal-relative:page;width:251.5pt;height:411pt;z-index:-251617280;" o:allowincell="f" filled="false" stroked="false" type="#_x0000_t75">
          <v:imagedata o:title="" r:id="rId1"/>
        </v:shape>
      </w:pict>
    </w: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7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
      <w:spacing w:before="61" w:line="218" w:lineRule="auto"/>
      <w:tabs>
        <w:tab w:val="left" w:pos="344"/>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w:t>
    </w:r>
    <w:r>
      <w:rPr>
        <w:rFonts w:ascii="SimSun" w:hAnsi="SimSun" w:eastAsia="SimSun" w:cs="SimSun"/>
        <w:sz w:val="23"/>
        <w:szCs w:val="23"/>
        <w:u w:val="single" w:color="auto"/>
        <w:spacing w:val="-4"/>
      </w:rPr>
      <w:t>目环境影响报告书</w:t>
    </w:r>
    <w:r>
      <w:rPr>
        <w:rFonts w:ascii="SimSun" w:hAnsi="SimSun" w:eastAsia="SimSun" w:cs="SimSun"/>
        <w:sz w:val="23"/>
        <w:szCs w:val="23"/>
        <w:u w:val="single" w:color="auto"/>
      </w:rPr>
      <w:t xml:space="preserve">  </w:t>
    </w:r>
  </w:p>
</w:hdr>
</file>

<file path=word/header7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4"/>
      <w:spacing w:before="53" w:line="218" w:lineRule="auto"/>
      <w:tabs>
        <w:tab w:val="left" w:pos="357"/>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spacing w:val="2"/>
      </w:rPr>
      <w:t xml:space="preserve">   </w:t>
    </w:r>
  </w:p>
</w:hdr>
</file>

<file path=word/header7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4"/>
      <w:spacing w:before="51" w:line="218" w:lineRule="auto"/>
      <w:tabs>
        <w:tab w:val="left" w:pos="365"/>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4"/>
      </w:rPr>
      <w:t>绵阳柒鑫食品有限公司A级生猪、肉牛定点屠宰及食品加工项目环境影响报告书</w:t>
    </w:r>
    <w:r>
      <w:rPr>
        <w:rFonts w:ascii="SimSun" w:hAnsi="SimSun" w:eastAsia="SimSun" w:cs="SimSun"/>
        <w:sz w:val="19"/>
        <w:szCs w:val="19"/>
        <w:u w:val="single" w:color="auto"/>
        <w:spacing w:val="3"/>
      </w:rPr>
      <w:t xml:space="preserve">   </w:t>
    </w:r>
  </w:p>
</w:hdr>
</file>

<file path=word/header7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4"/>
      <w:spacing w:before="51" w:line="218" w:lineRule="auto"/>
      <w:tabs>
        <w:tab w:val="left" w:pos="365"/>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4"/>
      </w:rPr>
      <w:t>绵阳柒鑫食品有限公司A级生猪、肉牛定点屠宰及食品加工项目环境影响报告书</w:t>
    </w:r>
    <w:r>
      <w:rPr>
        <w:rFonts w:ascii="SimSun" w:hAnsi="SimSun" w:eastAsia="SimSun" w:cs="SimSun"/>
        <w:sz w:val="19"/>
        <w:szCs w:val="19"/>
        <w:u w:val="single" w:color="auto"/>
        <w:spacing w:val="3"/>
      </w:rPr>
      <w:t xml:space="preserve">   </w:t>
    </w:r>
  </w:p>
</w:hdr>
</file>

<file path=word/header7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4"/>
      <w:spacing w:before="61" w:line="218" w:lineRule="auto"/>
      <w:tabs>
        <w:tab w:val="left" w:pos="334"/>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绵阳柒鑫食品有限公司A级生猪、肉牛定点屠宰及食品加工项目环境影响报告书</w:t>
    </w:r>
    <w:r>
      <w:rPr>
        <w:rFonts w:ascii="SimSun" w:hAnsi="SimSun" w:eastAsia="SimSun" w:cs="SimSun"/>
        <w:sz w:val="23"/>
        <w:szCs w:val="23"/>
        <w:u w:val="single" w:color="auto"/>
        <w:spacing w:val="1"/>
      </w:rPr>
      <w:t xml:space="preserve">  </w:t>
    </w:r>
  </w:p>
</w:hdr>
</file>

<file path=word/header7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
      <w:spacing w:before="61" w:line="218" w:lineRule="auto"/>
      <w:tabs>
        <w:tab w:val="left" w:pos="344"/>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绵阳柒鑫食品有限公司A级生猪、肉牛定点屠宰及食品加工项目环境影响报告书</w:t>
    </w:r>
    <w:r>
      <w:rPr>
        <w:rFonts w:ascii="SimSun" w:hAnsi="SimSun" w:eastAsia="SimSun" w:cs="SimSun"/>
        <w:sz w:val="23"/>
        <w:szCs w:val="23"/>
        <w:u w:val="single" w:color="auto"/>
        <w:spacing w:val="1"/>
      </w:rPr>
      <w:t xml:space="preserve">  </w:t>
    </w:r>
  </w:p>
</w:hdr>
</file>

<file path=word/header7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
      <w:spacing w:before="51" w:line="218" w:lineRule="auto"/>
      <w:tabs>
        <w:tab w:val="left" w:pos="37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7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
      <w:spacing w:before="53" w:line="218" w:lineRule="auto"/>
      <w:tabs>
        <w:tab w:val="left" w:pos="367"/>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rPr>
      <w:t xml:space="preserve">   </w:t>
    </w:r>
  </w:p>
</w:hdr>
</file>

<file path=word/header7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53" w:line="218" w:lineRule="auto"/>
      <w:tabs>
        <w:tab w:val="left" w:pos="262"/>
      </w:tabs>
      <w:rPr>
        <w:rFonts w:ascii="SimSun" w:hAnsi="SimSun" w:eastAsia="SimSun" w:cs="SimSun"/>
        <w:sz w:val="20"/>
        <w:szCs w:val="20"/>
      </w:rPr>
    </w:pPr>
    <w:r>
      <w:rPr>
        <w:rFonts w:ascii="SimSun" w:hAnsi="SimSun" w:eastAsia="SimSun" w:cs="SimSun"/>
        <w:sz w:val="20"/>
        <w:szCs w:val="20"/>
        <w:u w:val="single" w:color="auto"/>
      </w:rPr>
      <w:tab/>
    </w:r>
    <w:r>
      <w:rPr>
        <w:rFonts w:ascii="SimSun" w:hAnsi="SimSun" w:eastAsia="SimSun" w:cs="SimSun"/>
        <w:sz w:val="20"/>
        <w:szCs w:val="20"/>
        <w:u w:val="single" w:color="auto"/>
        <w:spacing w:val="25"/>
      </w:rPr>
      <w:t>绵阳柒鑫食品有限公司A级生猪、肉牛定点屠宰及食品加工项目环境影响报告书</w:t>
    </w:r>
    <w:r>
      <w:rPr>
        <w:rFonts w:ascii="SimSun" w:hAnsi="SimSun" w:eastAsia="SimSun" w:cs="SimSun"/>
        <w:sz w:val="20"/>
        <w:szCs w:val="20"/>
        <w:u w:val="single" w:color="auto"/>
      </w:rPr>
      <w:t xml:space="preserve">   </w:t>
    </w:r>
  </w:p>
</w:hdr>
</file>

<file path=word/header7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902"/>
      <w:spacing w:before="53" w:line="218" w:lineRule="auto"/>
      <w:rPr>
        <w:rFonts w:ascii="SimSun" w:hAnsi="SimSun" w:eastAsia="SimSun" w:cs="SimSun"/>
        <w:sz w:val="20"/>
        <w:szCs w:val="20"/>
      </w:rPr>
    </w:pPr>
    <w:r>
      <w:drawing>
        <wp:anchor distT="0" distB="0" distL="0" distR="0" simplePos="0" relativeHeight="251714560" behindDoc="0" locked="0" layoutInCell="1" allowOverlap="1">
          <wp:simplePos x="0" y="0"/>
          <wp:positionH relativeFrom="column">
            <wp:posOffset>460317</wp:posOffset>
          </wp:positionH>
          <wp:positionV relativeFrom="paragraph">
            <wp:posOffset>154706</wp:posOffset>
          </wp:positionV>
          <wp:extent cx="8870924" cy="6350"/>
          <wp:effectExtent l="0" t="0" r="0" b="0"/>
          <wp:wrapNone/>
          <wp:docPr id="48" name="IM 48"/>
          <wp:cNvGraphicFramePr/>
          <a:graphic>
            <a:graphicData uri="http://schemas.openxmlformats.org/drawingml/2006/picture">
              <pic:pic>
                <pic:nvPicPr>
                  <pic:cNvPr id="48" name="IM 48"/>
                  <pic:cNvPicPr/>
                </pic:nvPicPr>
                <pic:blipFill>
                  <a:blip r:embed="rId1"/>
                  <a:stretch>
                    <a:fillRect/>
                  </a:stretch>
                </pic:blipFill>
                <pic:spPr>
                  <a:xfrm rot="0">
                    <a:off x="0" y="0"/>
                    <a:ext cx="8870924" cy="6350"/>
                  </a:xfrm>
                  <a:prstGeom prst="rect">
                    <a:avLst/>
                  </a:prstGeom>
                </pic:spPr>
              </pic:pic>
            </a:graphicData>
          </a:graphic>
        </wp:anchor>
      </w:drawing>
    </w:r>
    <w:r>
      <w:rPr>
        <w:rFonts w:ascii="SimSun" w:hAnsi="SimSun" w:eastAsia="SimSun" w:cs="SimSun"/>
        <w:sz w:val="20"/>
        <w:szCs w:val="20"/>
        <w:spacing w:val="-10"/>
      </w:rPr>
      <w:t>绵 阳 柒 鑫 食 品 有 限 公 司 A 级 生 猪 、 肉 牛 定 点 屠 宰 及 食 品 加 工 项</w:t>
    </w:r>
    <w:r>
      <w:rPr>
        <w:rFonts w:ascii="SimSun" w:hAnsi="SimSun" w:eastAsia="SimSun" w:cs="SimSun"/>
        <w:sz w:val="20"/>
        <w:szCs w:val="20"/>
        <w:spacing w:val="27"/>
      </w:rPr>
      <w:t xml:space="preserve"> </w:t>
    </w:r>
    <w:r>
      <w:rPr>
        <w:rFonts w:ascii="SimSun" w:hAnsi="SimSun" w:eastAsia="SimSun" w:cs="SimSun"/>
        <w:sz w:val="20"/>
        <w:szCs w:val="20"/>
        <w:spacing w:val="-10"/>
      </w:rPr>
      <w:t>目 环 境</w:t>
    </w:r>
    <w:r>
      <w:rPr>
        <w:rFonts w:ascii="SimSun" w:hAnsi="SimSun" w:eastAsia="SimSun" w:cs="SimSun"/>
        <w:sz w:val="20"/>
        <w:szCs w:val="20"/>
        <w:spacing w:val="-11"/>
      </w:rPr>
      <w:t xml:space="preserve"> 影 响 报 告 书</w:t>
    </w:r>
  </w:p>
</w:hdr>
</file>

<file path=word/header8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937"/>
      <w:spacing w:before="51" w:line="218" w:lineRule="auto"/>
      <w:rPr>
        <w:rFonts w:ascii="SimSun" w:hAnsi="SimSun" w:eastAsia="SimSun" w:cs="SimSun"/>
        <w:sz w:val="19"/>
        <w:szCs w:val="19"/>
      </w:rPr>
    </w:pPr>
    <w:r>
      <w:drawing>
        <wp:anchor distT="0" distB="0" distL="0" distR="0" simplePos="0" relativeHeight="251715584" behindDoc="0" locked="0" layoutInCell="1" allowOverlap="1">
          <wp:simplePos x="0" y="0"/>
          <wp:positionH relativeFrom="column">
            <wp:posOffset>460317</wp:posOffset>
          </wp:positionH>
          <wp:positionV relativeFrom="paragraph">
            <wp:posOffset>146812</wp:posOffset>
          </wp:positionV>
          <wp:extent cx="8870924" cy="6350"/>
          <wp:effectExtent l="0" t="0" r="0" b="0"/>
          <wp:wrapNone/>
          <wp:docPr id="50" name="IM 50"/>
          <wp:cNvGraphicFramePr/>
          <a:graphic>
            <a:graphicData uri="http://schemas.openxmlformats.org/drawingml/2006/picture">
              <pic:pic>
                <pic:nvPicPr>
                  <pic:cNvPr id="50" name="IM 50"/>
                  <pic:cNvPicPr/>
                </pic:nvPicPr>
                <pic:blipFill>
                  <a:blip r:embed="rId1"/>
                  <a:stretch>
                    <a:fillRect/>
                  </a:stretch>
                </pic:blipFill>
                <pic:spPr>
                  <a:xfrm rot="0">
                    <a:off x="0" y="0"/>
                    <a:ext cx="8870924" cy="6350"/>
                  </a:xfrm>
                  <a:prstGeom prst="rect">
                    <a:avLst/>
                  </a:prstGeom>
                </pic:spPr>
              </pic:pic>
            </a:graphicData>
          </a:graphic>
        </wp:anchor>
      </w:drawing>
    </w:r>
    <w:r>
      <w:rPr>
        <w:rFonts w:ascii="SimSun" w:hAnsi="SimSun" w:eastAsia="SimSun" w:cs="SimSun"/>
        <w:sz w:val="19"/>
        <w:szCs w:val="19"/>
        <w:spacing w:val="-10"/>
      </w:rPr>
      <w:t>绵 阳 柒 鑫 食</w:t>
    </w:r>
    <w:r>
      <w:rPr>
        <w:rFonts w:ascii="SimSun" w:hAnsi="SimSun" w:eastAsia="SimSun" w:cs="SimSun"/>
        <w:sz w:val="19"/>
        <w:szCs w:val="19"/>
        <w:spacing w:val="16"/>
      </w:rPr>
      <w:t xml:space="preserve"> </w:t>
    </w:r>
    <w:r>
      <w:rPr>
        <w:rFonts w:ascii="SimSun" w:hAnsi="SimSun" w:eastAsia="SimSun" w:cs="SimSun"/>
        <w:sz w:val="19"/>
        <w:szCs w:val="19"/>
        <w:spacing w:val="-10"/>
      </w:rPr>
      <w:t>品 有</w:t>
    </w:r>
    <w:r>
      <w:rPr>
        <w:rFonts w:ascii="SimSun" w:hAnsi="SimSun" w:eastAsia="SimSun" w:cs="SimSun"/>
        <w:sz w:val="19"/>
        <w:szCs w:val="19"/>
        <w:spacing w:val="15"/>
      </w:rPr>
      <w:t xml:space="preserve"> </w:t>
    </w:r>
    <w:r>
      <w:rPr>
        <w:rFonts w:ascii="SimSun" w:hAnsi="SimSun" w:eastAsia="SimSun" w:cs="SimSun"/>
        <w:sz w:val="19"/>
        <w:szCs w:val="19"/>
        <w:spacing w:val="-10"/>
      </w:rPr>
      <w:t>限</w:t>
    </w:r>
    <w:r>
      <w:rPr>
        <w:rFonts w:ascii="SimSun" w:hAnsi="SimSun" w:eastAsia="SimSun" w:cs="SimSun"/>
        <w:sz w:val="19"/>
        <w:szCs w:val="19"/>
        <w:spacing w:val="6"/>
      </w:rPr>
      <w:t xml:space="preserve"> </w:t>
    </w:r>
    <w:r>
      <w:rPr>
        <w:rFonts w:ascii="SimSun" w:hAnsi="SimSun" w:eastAsia="SimSun" w:cs="SimSun"/>
        <w:sz w:val="19"/>
        <w:szCs w:val="19"/>
        <w:spacing w:val="-10"/>
      </w:rPr>
      <w:t>公</w:t>
    </w:r>
    <w:r>
      <w:rPr>
        <w:rFonts w:ascii="SimSun" w:hAnsi="SimSun" w:eastAsia="SimSun" w:cs="SimSun"/>
        <w:sz w:val="19"/>
        <w:szCs w:val="19"/>
        <w:spacing w:val="9"/>
      </w:rPr>
      <w:t xml:space="preserve"> </w:t>
    </w:r>
    <w:r>
      <w:rPr>
        <w:rFonts w:ascii="SimSun" w:hAnsi="SimSun" w:eastAsia="SimSun" w:cs="SimSun"/>
        <w:sz w:val="19"/>
        <w:szCs w:val="19"/>
        <w:spacing w:val="-10"/>
      </w:rPr>
      <w:t>司 A 级</w:t>
    </w:r>
    <w:r>
      <w:rPr>
        <w:rFonts w:ascii="SimSun" w:hAnsi="SimSun" w:eastAsia="SimSun" w:cs="SimSun"/>
        <w:sz w:val="19"/>
        <w:szCs w:val="19"/>
        <w:spacing w:val="2"/>
      </w:rPr>
      <w:t xml:space="preserve"> </w:t>
    </w:r>
    <w:r>
      <w:rPr>
        <w:rFonts w:ascii="SimSun" w:hAnsi="SimSun" w:eastAsia="SimSun" w:cs="SimSun"/>
        <w:sz w:val="19"/>
        <w:szCs w:val="19"/>
        <w:spacing w:val="-10"/>
      </w:rPr>
      <w:t>生</w:t>
    </w:r>
    <w:r>
      <w:rPr>
        <w:rFonts w:ascii="SimSun" w:hAnsi="SimSun" w:eastAsia="SimSun" w:cs="SimSun"/>
        <w:sz w:val="19"/>
        <w:szCs w:val="19"/>
        <w:spacing w:val="1"/>
      </w:rPr>
      <w:t xml:space="preserve"> </w:t>
    </w:r>
    <w:r>
      <w:rPr>
        <w:rFonts w:ascii="SimSun" w:hAnsi="SimSun" w:eastAsia="SimSun" w:cs="SimSun"/>
        <w:sz w:val="19"/>
        <w:szCs w:val="19"/>
        <w:spacing w:val="-10"/>
      </w:rPr>
      <w:t>猪</w:t>
    </w:r>
    <w:r>
      <w:rPr>
        <w:rFonts w:ascii="SimSun" w:hAnsi="SimSun" w:eastAsia="SimSun" w:cs="SimSun"/>
        <w:sz w:val="19"/>
        <w:szCs w:val="19"/>
        <w:spacing w:val="14"/>
      </w:rPr>
      <w:t xml:space="preserve"> </w:t>
    </w:r>
    <w:r>
      <w:rPr>
        <w:rFonts w:ascii="SimSun" w:hAnsi="SimSun" w:eastAsia="SimSun" w:cs="SimSun"/>
        <w:sz w:val="19"/>
        <w:szCs w:val="19"/>
        <w:spacing w:val="-10"/>
      </w:rPr>
      <w:t>、</w:t>
    </w:r>
    <w:r>
      <w:rPr>
        <w:rFonts w:ascii="SimSun" w:hAnsi="SimSun" w:eastAsia="SimSun" w:cs="SimSun"/>
        <w:sz w:val="19"/>
        <w:szCs w:val="19"/>
        <w:spacing w:val="20"/>
      </w:rPr>
      <w:t xml:space="preserve"> </w:t>
    </w:r>
    <w:r>
      <w:rPr>
        <w:rFonts w:ascii="SimSun" w:hAnsi="SimSun" w:eastAsia="SimSun" w:cs="SimSun"/>
        <w:sz w:val="19"/>
        <w:szCs w:val="19"/>
        <w:spacing w:val="-10"/>
      </w:rPr>
      <w:t>肉</w:t>
    </w:r>
    <w:r>
      <w:rPr>
        <w:rFonts w:ascii="SimSun" w:hAnsi="SimSun" w:eastAsia="SimSun" w:cs="SimSun"/>
        <w:sz w:val="19"/>
        <w:szCs w:val="19"/>
        <w:spacing w:val="6"/>
      </w:rPr>
      <w:t xml:space="preserve"> </w:t>
    </w:r>
    <w:r>
      <w:rPr>
        <w:rFonts w:ascii="SimSun" w:hAnsi="SimSun" w:eastAsia="SimSun" w:cs="SimSun"/>
        <w:sz w:val="19"/>
        <w:szCs w:val="19"/>
        <w:spacing w:val="-10"/>
      </w:rPr>
      <w:t>牛</w:t>
    </w:r>
    <w:r>
      <w:rPr>
        <w:rFonts w:ascii="SimSun" w:hAnsi="SimSun" w:eastAsia="SimSun" w:cs="SimSun"/>
        <w:sz w:val="19"/>
        <w:szCs w:val="19"/>
        <w:spacing w:val="5"/>
      </w:rPr>
      <w:t xml:space="preserve"> </w:t>
    </w:r>
    <w:r>
      <w:rPr>
        <w:rFonts w:ascii="SimSun" w:hAnsi="SimSun" w:eastAsia="SimSun" w:cs="SimSun"/>
        <w:sz w:val="19"/>
        <w:szCs w:val="19"/>
        <w:spacing w:val="-10"/>
      </w:rPr>
      <w:t>定</w:t>
    </w:r>
    <w:r>
      <w:rPr>
        <w:rFonts w:ascii="SimSun" w:hAnsi="SimSun" w:eastAsia="SimSun" w:cs="SimSun"/>
        <w:sz w:val="19"/>
        <w:szCs w:val="19"/>
        <w:spacing w:val="11"/>
      </w:rPr>
      <w:t xml:space="preserve"> </w:t>
    </w:r>
    <w:r>
      <w:rPr>
        <w:rFonts w:ascii="SimSun" w:hAnsi="SimSun" w:eastAsia="SimSun" w:cs="SimSun"/>
        <w:sz w:val="19"/>
        <w:szCs w:val="19"/>
        <w:spacing w:val="-10"/>
      </w:rPr>
      <w:t>点</w:t>
    </w:r>
    <w:r>
      <w:rPr>
        <w:rFonts w:ascii="SimSun" w:hAnsi="SimSun" w:eastAsia="SimSun" w:cs="SimSun"/>
        <w:sz w:val="19"/>
        <w:szCs w:val="19"/>
        <w:spacing w:val="1"/>
      </w:rPr>
      <w:t xml:space="preserve"> </w:t>
    </w:r>
    <w:r>
      <w:rPr>
        <w:rFonts w:ascii="SimSun" w:hAnsi="SimSun" w:eastAsia="SimSun" w:cs="SimSun"/>
        <w:sz w:val="19"/>
        <w:szCs w:val="19"/>
        <w:spacing w:val="-10"/>
      </w:rPr>
      <w:t>屠</w:t>
    </w:r>
    <w:r>
      <w:rPr>
        <w:rFonts w:ascii="SimSun" w:hAnsi="SimSun" w:eastAsia="SimSun" w:cs="SimSun"/>
        <w:sz w:val="19"/>
        <w:szCs w:val="19"/>
        <w:spacing w:val="10"/>
      </w:rPr>
      <w:t xml:space="preserve"> </w:t>
    </w:r>
    <w:r>
      <w:rPr>
        <w:rFonts w:ascii="SimSun" w:hAnsi="SimSun" w:eastAsia="SimSun" w:cs="SimSun"/>
        <w:sz w:val="19"/>
        <w:szCs w:val="19"/>
        <w:spacing w:val="-10"/>
      </w:rPr>
      <w:t>宰</w:t>
    </w:r>
    <w:r>
      <w:rPr>
        <w:rFonts w:ascii="SimSun" w:hAnsi="SimSun" w:eastAsia="SimSun" w:cs="SimSun"/>
        <w:sz w:val="19"/>
        <w:szCs w:val="19"/>
      </w:rPr>
      <w:t xml:space="preserve"> </w:t>
    </w:r>
    <w:r>
      <w:rPr>
        <w:rFonts w:ascii="SimSun" w:hAnsi="SimSun" w:eastAsia="SimSun" w:cs="SimSun"/>
        <w:sz w:val="19"/>
        <w:szCs w:val="19"/>
        <w:spacing w:val="-10"/>
      </w:rPr>
      <w:t>及</w:t>
    </w:r>
    <w:r>
      <w:rPr>
        <w:rFonts w:ascii="SimSun" w:hAnsi="SimSun" w:eastAsia="SimSun" w:cs="SimSun"/>
        <w:sz w:val="19"/>
        <w:szCs w:val="19"/>
        <w:spacing w:val="1"/>
      </w:rPr>
      <w:t xml:space="preserve"> </w:t>
    </w:r>
    <w:r>
      <w:rPr>
        <w:rFonts w:ascii="SimSun" w:hAnsi="SimSun" w:eastAsia="SimSun" w:cs="SimSun"/>
        <w:sz w:val="19"/>
        <w:szCs w:val="19"/>
        <w:spacing w:val="-10"/>
      </w:rPr>
      <w:t>食</w:t>
    </w:r>
    <w:r>
      <w:rPr>
        <w:rFonts w:ascii="SimSun" w:hAnsi="SimSun" w:eastAsia="SimSun" w:cs="SimSun"/>
        <w:sz w:val="19"/>
        <w:szCs w:val="19"/>
        <w:spacing w:val="16"/>
      </w:rPr>
      <w:t xml:space="preserve"> </w:t>
    </w:r>
    <w:r>
      <w:rPr>
        <w:rFonts w:ascii="SimSun" w:hAnsi="SimSun" w:eastAsia="SimSun" w:cs="SimSun"/>
        <w:sz w:val="19"/>
        <w:szCs w:val="19"/>
        <w:spacing w:val="-10"/>
      </w:rPr>
      <w:t>品</w:t>
    </w:r>
    <w:r>
      <w:rPr>
        <w:rFonts w:ascii="SimSun" w:hAnsi="SimSun" w:eastAsia="SimSun" w:cs="SimSun"/>
        <w:sz w:val="19"/>
        <w:szCs w:val="19"/>
        <w:spacing w:val="1"/>
      </w:rPr>
      <w:t xml:space="preserve"> </w:t>
    </w:r>
    <w:r>
      <w:rPr>
        <w:rFonts w:ascii="SimSun" w:hAnsi="SimSun" w:eastAsia="SimSun" w:cs="SimSun"/>
        <w:sz w:val="19"/>
        <w:szCs w:val="19"/>
        <w:spacing w:val="-10"/>
      </w:rPr>
      <w:t>加</w:t>
    </w:r>
    <w:r>
      <w:rPr>
        <w:rFonts w:ascii="SimSun" w:hAnsi="SimSun" w:eastAsia="SimSun" w:cs="SimSun"/>
        <w:sz w:val="19"/>
        <w:szCs w:val="19"/>
        <w:spacing w:val="3"/>
      </w:rPr>
      <w:t xml:space="preserve"> </w:t>
    </w:r>
    <w:r>
      <w:rPr>
        <w:rFonts w:ascii="SimSun" w:hAnsi="SimSun" w:eastAsia="SimSun" w:cs="SimSun"/>
        <w:sz w:val="19"/>
        <w:szCs w:val="19"/>
        <w:spacing w:val="-10"/>
      </w:rPr>
      <w:t>工</w:t>
    </w:r>
    <w:r>
      <w:rPr>
        <w:rFonts w:ascii="SimSun" w:hAnsi="SimSun" w:eastAsia="SimSun" w:cs="SimSun"/>
        <w:sz w:val="19"/>
        <w:szCs w:val="19"/>
        <w:spacing w:val="4"/>
      </w:rPr>
      <w:t xml:space="preserve"> </w:t>
    </w:r>
    <w:r>
      <w:rPr>
        <w:rFonts w:ascii="SimSun" w:hAnsi="SimSun" w:eastAsia="SimSun" w:cs="SimSun"/>
        <w:sz w:val="19"/>
        <w:szCs w:val="19"/>
        <w:spacing w:val="-10"/>
      </w:rPr>
      <w:t>项</w:t>
    </w:r>
    <w:r>
      <w:rPr>
        <w:rFonts w:ascii="SimSun" w:hAnsi="SimSun" w:eastAsia="SimSun" w:cs="SimSun"/>
        <w:sz w:val="19"/>
        <w:szCs w:val="19"/>
        <w:spacing w:val="38"/>
      </w:rPr>
      <w:t xml:space="preserve"> </w:t>
    </w:r>
    <w:r>
      <w:rPr>
        <w:rFonts w:ascii="SimSun" w:hAnsi="SimSun" w:eastAsia="SimSun" w:cs="SimSun"/>
        <w:sz w:val="19"/>
        <w:szCs w:val="19"/>
        <w:spacing w:val="-10"/>
      </w:rPr>
      <w:t>目</w:t>
    </w:r>
    <w:r>
      <w:rPr>
        <w:rFonts w:ascii="SimSun" w:hAnsi="SimSun" w:eastAsia="SimSun" w:cs="SimSun"/>
        <w:sz w:val="19"/>
        <w:szCs w:val="19"/>
        <w:spacing w:val="1"/>
      </w:rPr>
      <w:t xml:space="preserve"> </w:t>
    </w:r>
    <w:r>
      <w:rPr>
        <w:rFonts w:ascii="SimSun" w:hAnsi="SimSun" w:eastAsia="SimSun" w:cs="SimSun"/>
        <w:sz w:val="19"/>
        <w:szCs w:val="19"/>
        <w:spacing w:val="-10"/>
      </w:rPr>
      <w:t>环</w:t>
    </w:r>
    <w:r>
      <w:rPr>
        <w:rFonts w:ascii="SimSun" w:hAnsi="SimSun" w:eastAsia="SimSun" w:cs="SimSun"/>
        <w:sz w:val="19"/>
        <w:szCs w:val="19"/>
        <w:spacing w:val="1"/>
      </w:rPr>
      <w:t xml:space="preserve"> </w:t>
    </w:r>
    <w:r>
      <w:rPr>
        <w:rFonts w:ascii="SimSun" w:hAnsi="SimSun" w:eastAsia="SimSun" w:cs="SimSun"/>
        <w:sz w:val="19"/>
        <w:szCs w:val="19"/>
        <w:spacing w:val="-10"/>
      </w:rPr>
      <w:t>境</w:t>
    </w:r>
    <w:r>
      <w:rPr>
        <w:rFonts w:ascii="SimSun" w:hAnsi="SimSun" w:eastAsia="SimSun" w:cs="SimSun"/>
        <w:sz w:val="19"/>
        <w:szCs w:val="19"/>
        <w:spacing w:val="1"/>
      </w:rPr>
      <w:t xml:space="preserve"> </w:t>
    </w:r>
    <w:r>
      <w:rPr>
        <w:rFonts w:ascii="SimSun" w:hAnsi="SimSun" w:eastAsia="SimSun" w:cs="SimSun"/>
        <w:sz w:val="19"/>
        <w:szCs w:val="19"/>
        <w:spacing w:val="-10"/>
      </w:rPr>
      <w:t>影</w:t>
    </w:r>
    <w:r>
      <w:rPr>
        <w:rFonts w:ascii="SimSun" w:hAnsi="SimSun" w:eastAsia="SimSun" w:cs="SimSun"/>
        <w:sz w:val="19"/>
        <w:szCs w:val="19"/>
        <w:spacing w:val="11"/>
      </w:rPr>
      <w:t xml:space="preserve"> </w:t>
    </w:r>
    <w:r>
      <w:rPr>
        <w:rFonts w:ascii="SimSun" w:hAnsi="SimSun" w:eastAsia="SimSun" w:cs="SimSun"/>
        <w:sz w:val="19"/>
        <w:szCs w:val="19"/>
        <w:spacing w:val="-10"/>
      </w:rPr>
      <w:t>响</w:t>
    </w:r>
    <w:r>
      <w:rPr>
        <w:rFonts w:ascii="SimSun" w:hAnsi="SimSun" w:eastAsia="SimSun" w:cs="SimSun"/>
        <w:sz w:val="19"/>
        <w:szCs w:val="19"/>
        <w:spacing w:val="-1"/>
      </w:rPr>
      <w:t xml:space="preserve"> </w:t>
    </w:r>
    <w:r>
      <w:rPr>
        <w:rFonts w:ascii="SimSun" w:hAnsi="SimSun" w:eastAsia="SimSun" w:cs="SimSun"/>
        <w:sz w:val="19"/>
        <w:szCs w:val="19"/>
        <w:spacing w:val="-11"/>
      </w:rPr>
      <w:t>报</w:t>
    </w:r>
    <w:r>
      <w:rPr>
        <w:rFonts w:ascii="SimSun" w:hAnsi="SimSun" w:eastAsia="SimSun" w:cs="SimSun"/>
        <w:sz w:val="19"/>
        <w:szCs w:val="19"/>
        <w:spacing w:val="6"/>
      </w:rPr>
      <w:t xml:space="preserve"> </w:t>
    </w:r>
    <w:r>
      <w:rPr>
        <w:rFonts w:ascii="SimSun" w:hAnsi="SimSun" w:eastAsia="SimSun" w:cs="SimSun"/>
        <w:sz w:val="19"/>
        <w:szCs w:val="19"/>
        <w:spacing w:val="-11"/>
      </w:rPr>
      <w:t>告</w:t>
    </w:r>
    <w:r>
      <w:rPr>
        <w:rFonts w:ascii="SimSun" w:hAnsi="SimSun" w:eastAsia="SimSun" w:cs="SimSun"/>
        <w:sz w:val="19"/>
        <w:szCs w:val="19"/>
        <w:spacing w:val="5"/>
      </w:rPr>
      <w:t xml:space="preserve"> </w:t>
    </w:r>
    <w:r>
      <w:rPr>
        <w:rFonts w:ascii="SimSun" w:hAnsi="SimSun" w:eastAsia="SimSun" w:cs="SimSun"/>
        <w:sz w:val="19"/>
        <w:szCs w:val="19"/>
        <w:spacing w:val="-11"/>
      </w:rPr>
      <w:t>书</w:t>
    </w:r>
  </w:p>
</w:hdr>
</file>

<file path=word/header8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836"/>
      <w:spacing w:before="51" w:line="218" w:lineRule="auto"/>
      <w:rPr>
        <w:rFonts w:ascii="SimSun" w:hAnsi="SimSun" w:eastAsia="SimSun" w:cs="SimSun"/>
        <w:sz w:val="19"/>
        <w:szCs w:val="19"/>
      </w:rPr>
    </w:pPr>
    <w:r>
      <w:drawing>
        <wp:anchor distT="0" distB="0" distL="0" distR="0" simplePos="0" relativeHeight="251716608" behindDoc="0" locked="0" layoutInCell="1" allowOverlap="1">
          <wp:simplePos x="0" y="0"/>
          <wp:positionH relativeFrom="column">
            <wp:posOffset>466733</wp:posOffset>
          </wp:positionH>
          <wp:positionV relativeFrom="paragraph">
            <wp:posOffset>146812</wp:posOffset>
          </wp:positionV>
          <wp:extent cx="8870924" cy="6350"/>
          <wp:effectExtent l="0" t="0" r="0" b="0"/>
          <wp:wrapNone/>
          <wp:docPr id="52" name="IM 52"/>
          <wp:cNvGraphicFramePr/>
          <a:graphic>
            <a:graphicData uri="http://schemas.openxmlformats.org/drawingml/2006/picture">
              <pic:pic>
                <pic:nvPicPr>
                  <pic:cNvPr id="52" name="IM 52"/>
                  <pic:cNvPicPr/>
                </pic:nvPicPr>
                <pic:blipFill>
                  <a:blip r:embed="rId1"/>
                  <a:stretch>
                    <a:fillRect/>
                  </a:stretch>
                </pic:blipFill>
                <pic:spPr>
                  <a:xfrm rot="0">
                    <a:off x="0" y="0"/>
                    <a:ext cx="8870924" cy="6350"/>
                  </a:xfrm>
                  <a:prstGeom prst="rect">
                    <a:avLst/>
                  </a:prstGeom>
                </pic:spPr>
              </pic:pic>
            </a:graphicData>
          </a:graphic>
        </wp:anchor>
      </w:drawing>
    </w:r>
    <w:r>
      <w:rPr>
        <w:rFonts w:ascii="SimSun" w:hAnsi="SimSun" w:eastAsia="SimSun" w:cs="SimSun"/>
        <w:sz w:val="19"/>
        <w:szCs w:val="19"/>
        <w:spacing w:val="-11"/>
      </w:rPr>
      <w:t>绵</w:t>
    </w:r>
    <w:r>
      <w:rPr>
        <w:rFonts w:ascii="SimSun" w:hAnsi="SimSun" w:eastAsia="SimSun" w:cs="SimSun"/>
        <w:sz w:val="19"/>
        <w:szCs w:val="19"/>
        <w:spacing w:val="39"/>
        <w:w w:val="101"/>
      </w:rPr>
      <w:t xml:space="preserve"> </w:t>
    </w:r>
    <w:r>
      <w:rPr>
        <w:rFonts w:ascii="SimSun" w:hAnsi="SimSun" w:eastAsia="SimSun" w:cs="SimSun"/>
        <w:sz w:val="19"/>
        <w:szCs w:val="19"/>
        <w:spacing w:val="-11"/>
      </w:rPr>
      <w:t>阳 柒 鑫 食</w:t>
    </w:r>
    <w:r>
      <w:rPr>
        <w:rFonts w:ascii="SimSun" w:hAnsi="SimSun" w:eastAsia="SimSun" w:cs="SimSun"/>
        <w:sz w:val="19"/>
        <w:szCs w:val="19"/>
        <w:spacing w:val="23"/>
      </w:rPr>
      <w:t xml:space="preserve"> </w:t>
    </w:r>
    <w:r>
      <w:rPr>
        <w:rFonts w:ascii="SimSun" w:hAnsi="SimSun" w:eastAsia="SimSun" w:cs="SimSun"/>
        <w:sz w:val="19"/>
        <w:szCs w:val="19"/>
        <w:spacing w:val="-11"/>
      </w:rPr>
      <w:t>品 有</w:t>
    </w:r>
    <w:r>
      <w:rPr>
        <w:rFonts w:ascii="SimSun" w:hAnsi="SimSun" w:eastAsia="SimSun" w:cs="SimSun"/>
        <w:sz w:val="19"/>
        <w:szCs w:val="19"/>
        <w:spacing w:val="20"/>
      </w:rPr>
      <w:t xml:space="preserve"> </w:t>
    </w:r>
    <w:r>
      <w:rPr>
        <w:rFonts w:ascii="SimSun" w:hAnsi="SimSun" w:eastAsia="SimSun" w:cs="SimSun"/>
        <w:sz w:val="19"/>
        <w:szCs w:val="19"/>
        <w:spacing w:val="-11"/>
      </w:rPr>
      <w:t>限</w:t>
    </w:r>
    <w:r>
      <w:rPr>
        <w:rFonts w:ascii="SimSun" w:hAnsi="SimSun" w:eastAsia="SimSun" w:cs="SimSun"/>
        <w:sz w:val="19"/>
        <w:szCs w:val="19"/>
        <w:spacing w:val="14"/>
      </w:rPr>
      <w:t xml:space="preserve"> </w:t>
    </w:r>
    <w:r>
      <w:rPr>
        <w:rFonts w:ascii="SimSun" w:hAnsi="SimSun" w:eastAsia="SimSun" w:cs="SimSun"/>
        <w:sz w:val="19"/>
        <w:szCs w:val="19"/>
        <w:spacing w:val="-11"/>
      </w:rPr>
      <w:t>公</w:t>
    </w:r>
    <w:r>
      <w:rPr>
        <w:rFonts w:ascii="SimSun" w:hAnsi="SimSun" w:eastAsia="SimSun" w:cs="SimSun"/>
        <w:sz w:val="19"/>
        <w:szCs w:val="19"/>
        <w:spacing w:val="15"/>
      </w:rPr>
      <w:t xml:space="preserve"> </w:t>
    </w:r>
    <w:r>
      <w:rPr>
        <w:rFonts w:ascii="SimSun" w:hAnsi="SimSun" w:eastAsia="SimSun" w:cs="SimSun"/>
        <w:sz w:val="19"/>
        <w:szCs w:val="19"/>
        <w:spacing w:val="-11"/>
      </w:rPr>
      <w:t>司</w:t>
    </w:r>
    <w:r>
      <w:rPr>
        <w:rFonts w:ascii="SimSun" w:hAnsi="SimSun" w:eastAsia="SimSun" w:cs="SimSun"/>
        <w:sz w:val="19"/>
        <w:szCs w:val="19"/>
        <w:spacing w:val="1"/>
      </w:rPr>
      <w:t xml:space="preserve"> </w:t>
    </w:r>
    <w:r>
      <w:rPr>
        <w:rFonts w:ascii="SimSun" w:hAnsi="SimSun" w:eastAsia="SimSun" w:cs="SimSun"/>
        <w:sz w:val="19"/>
        <w:szCs w:val="19"/>
        <w:spacing w:val="-11"/>
      </w:rPr>
      <w:t>A</w:t>
    </w:r>
    <w:r>
      <w:rPr>
        <w:rFonts w:ascii="SimSun" w:hAnsi="SimSun" w:eastAsia="SimSun" w:cs="SimSun"/>
        <w:sz w:val="19"/>
        <w:szCs w:val="19"/>
        <w:spacing w:val="11"/>
      </w:rPr>
      <w:t xml:space="preserve"> </w:t>
    </w:r>
    <w:r>
      <w:rPr>
        <w:rFonts w:ascii="SimSun" w:hAnsi="SimSun" w:eastAsia="SimSun" w:cs="SimSun"/>
        <w:sz w:val="19"/>
        <w:szCs w:val="19"/>
        <w:spacing w:val="-11"/>
      </w:rPr>
      <w:t>级</w:t>
    </w:r>
    <w:r>
      <w:rPr>
        <w:rFonts w:ascii="SimSun" w:hAnsi="SimSun" w:eastAsia="SimSun" w:cs="SimSun"/>
        <w:sz w:val="19"/>
        <w:szCs w:val="19"/>
        <w:spacing w:val="9"/>
      </w:rPr>
      <w:t xml:space="preserve"> </w:t>
    </w:r>
    <w:r>
      <w:rPr>
        <w:rFonts w:ascii="SimSun" w:hAnsi="SimSun" w:eastAsia="SimSun" w:cs="SimSun"/>
        <w:sz w:val="19"/>
        <w:szCs w:val="19"/>
        <w:spacing w:val="-11"/>
      </w:rPr>
      <w:t>生</w:t>
    </w:r>
    <w:r>
      <w:rPr>
        <w:rFonts w:ascii="SimSun" w:hAnsi="SimSun" w:eastAsia="SimSun" w:cs="SimSun"/>
        <w:sz w:val="19"/>
        <w:szCs w:val="19"/>
        <w:spacing w:val="7"/>
      </w:rPr>
      <w:t xml:space="preserve"> </w:t>
    </w:r>
    <w:r>
      <w:rPr>
        <w:rFonts w:ascii="SimSun" w:hAnsi="SimSun" w:eastAsia="SimSun" w:cs="SimSun"/>
        <w:sz w:val="19"/>
        <w:szCs w:val="19"/>
        <w:spacing w:val="-11"/>
      </w:rPr>
      <w:t>猪</w:t>
    </w:r>
    <w:r>
      <w:rPr>
        <w:rFonts w:ascii="SimSun" w:hAnsi="SimSun" w:eastAsia="SimSun" w:cs="SimSun"/>
        <w:sz w:val="19"/>
        <w:szCs w:val="19"/>
        <w:spacing w:val="21"/>
      </w:rPr>
      <w:t xml:space="preserve"> </w:t>
    </w:r>
    <w:r>
      <w:rPr>
        <w:rFonts w:ascii="SimSun" w:hAnsi="SimSun" w:eastAsia="SimSun" w:cs="SimSun"/>
        <w:sz w:val="19"/>
        <w:szCs w:val="19"/>
        <w:spacing w:val="-11"/>
      </w:rPr>
      <w:t>、</w:t>
    </w:r>
    <w:r>
      <w:rPr>
        <w:rFonts w:ascii="SimSun" w:hAnsi="SimSun" w:eastAsia="SimSun" w:cs="SimSun"/>
        <w:sz w:val="19"/>
        <w:szCs w:val="19"/>
        <w:spacing w:val="26"/>
      </w:rPr>
      <w:t xml:space="preserve"> </w:t>
    </w:r>
    <w:r>
      <w:rPr>
        <w:rFonts w:ascii="SimSun" w:hAnsi="SimSun" w:eastAsia="SimSun" w:cs="SimSun"/>
        <w:sz w:val="19"/>
        <w:szCs w:val="19"/>
        <w:spacing w:val="-11"/>
      </w:rPr>
      <w:t>肉</w:t>
    </w:r>
    <w:r>
      <w:rPr>
        <w:rFonts w:ascii="SimSun" w:hAnsi="SimSun" w:eastAsia="SimSun" w:cs="SimSun"/>
        <w:sz w:val="19"/>
        <w:szCs w:val="19"/>
        <w:spacing w:val="12"/>
      </w:rPr>
      <w:t xml:space="preserve"> </w:t>
    </w:r>
    <w:r>
      <w:rPr>
        <w:rFonts w:ascii="SimSun" w:hAnsi="SimSun" w:eastAsia="SimSun" w:cs="SimSun"/>
        <w:sz w:val="19"/>
        <w:szCs w:val="19"/>
        <w:spacing w:val="-11"/>
      </w:rPr>
      <w:t>牛</w:t>
    </w:r>
    <w:r>
      <w:rPr>
        <w:rFonts w:ascii="SimSun" w:hAnsi="SimSun" w:eastAsia="SimSun" w:cs="SimSun"/>
        <w:sz w:val="19"/>
        <w:szCs w:val="19"/>
        <w:spacing w:val="12"/>
      </w:rPr>
      <w:t xml:space="preserve"> </w:t>
    </w:r>
    <w:r>
      <w:rPr>
        <w:rFonts w:ascii="SimSun" w:hAnsi="SimSun" w:eastAsia="SimSun" w:cs="SimSun"/>
        <w:sz w:val="19"/>
        <w:szCs w:val="19"/>
        <w:spacing w:val="-11"/>
      </w:rPr>
      <w:t>定</w:t>
    </w:r>
    <w:r>
      <w:rPr>
        <w:rFonts w:ascii="SimSun" w:hAnsi="SimSun" w:eastAsia="SimSun" w:cs="SimSun"/>
        <w:sz w:val="19"/>
        <w:szCs w:val="19"/>
        <w:spacing w:val="18"/>
      </w:rPr>
      <w:t xml:space="preserve"> </w:t>
    </w:r>
    <w:r>
      <w:rPr>
        <w:rFonts w:ascii="SimSun" w:hAnsi="SimSun" w:eastAsia="SimSun" w:cs="SimSun"/>
        <w:sz w:val="19"/>
        <w:szCs w:val="19"/>
        <w:spacing w:val="-11"/>
      </w:rPr>
      <w:t>点</w:t>
    </w:r>
    <w:r>
      <w:rPr>
        <w:rFonts w:ascii="SimSun" w:hAnsi="SimSun" w:eastAsia="SimSun" w:cs="SimSun"/>
        <w:sz w:val="19"/>
        <w:szCs w:val="19"/>
        <w:spacing w:val="8"/>
      </w:rPr>
      <w:t xml:space="preserve"> </w:t>
    </w:r>
    <w:r>
      <w:rPr>
        <w:rFonts w:ascii="SimSun" w:hAnsi="SimSun" w:eastAsia="SimSun" w:cs="SimSun"/>
        <w:sz w:val="19"/>
        <w:szCs w:val="19"/>
        <w:spacing w:val="-11"/>
      </w:rPr>
      <w:t>屠</w:t>
    </w:r>
    <w:r>
      <w:rPr>
        <w:rFonts w:ascii="SimSun" w:hAnsi="SimSun" w:eastAsia="SimSun" w:cs="SimSun"/>
        <w:sz w:val="19"/>
        <w:szCs w:val="19"/>
        <w:spacing w:val="15"/>
      </w:rPr>
      <w:t xml:space="preserve"> </w:t>
    </w:r>
    <w:r>
      <w:rPr>
        <w:rFonts w:ascii="SimSun" w:hAnsi="SimSun" w:eastAsia="SimSun" w:cs="SimSun"/>
        <w:sz w:val="19"/>
        <w:szCs w:val="19"/>
        <w:spacing w:val="-11"/>
      </w:rPr>
      <w:t>宰</w:t>
    </w:r>
    <w:r>
      <w:rPr>
        <w:rFonts w:ascii="SimSun" w:hAnsi="SimSun" w:eastAsia="SimSun" w:cs="SimSun"/>
        <w:sz w:val="19"/>
        <w:szCs w:val="19"/>
        <w:spacing w:val="7"/>
      </w:rPr>
      <w:t xml:space="preserve"> </w:t>
    </w:r>
    <w:r>
      <w:rPr>
        <w:rFonts w:ascii="SimSun" w:hAnsi="SimSun" w:eastAsia="SimSun" w:cs="SimSun"/>
        <w:sz w:val="19"/>
        <w:szCs w:val="19"/>
        <w:spacing w:val="-11"/>
      </w:rPr>
      <w:t>及</w:t>
    </w:r>
    <w:r>
      <w:rPr>
        <w:rFonts w:ascii="SimSun" w:hAnsi="SimSun" w:eastAsia="SimSun" w:cs="SimSun"/>
        <w:sz w:val="19"/>
        <w:szCs w:val="19"/>
        <w:spacing w:val="8"/>
      </w:rPr>
      <w:t xml:space="preserve"> </w:t>
    </w:r>
    <w:r>
      <w:rPr>
        <w:rFonts w:ascii="SimSun" w:hAnsi="SimSun" w:eastAsia="SimSun" w:cs="SimSun"/>
        <w:sz w:val="19"/>
        <w:szCs w:val="19"/>
        <w:spacing w:val="-11"/>
      </w:rPr>
      <w:t>食</w:t>
    </w:r>
    <w:r>
      <w:rPr>
        <w:rFonts w:ascii="SimSun" w:hAnsi="SimSun" w:eastAsia="SimSun" w:cs="SimSun"/>
        <w:sz w:val="19"/>
        <w:szCs w:val="19"/>
        <w:spacing w:val="23"/>
      </w:rPr>
      <w:t xml:space="preserve"> </w:t>
    </w:r>
    <w:r>
      <w:rPr>
        <w:rFonts w:ascii="SimSun" w:hAnsi="SimSun" w:eastAsia="SimSun" w:cs="SimSun"/>
        <w:sz w:val="19"/>
        <w:szCs w:val="19"/>
        <w:spacing w:val="-11"/>
      </w:rPr>
      <w:t>品</w:t>
    </w:r>
    <w:r>
      <w:rPr>
        <w:rFonts w:ascii="SimSun" w:hAnsi="SimSun" w:eastAsia="SimSun" w:cs="SimSun"/>
        <w:sz w:val="19"/>
        <w:szCs w:val="19"/>
        <w:spacing w:val="7"/>
      </w:rPr>
      <w:t xml:space="preserve"> </w:t>
    </w:r>
    <w:r>
      <w:rPr>
        <w:rFonts w:ascii="SimSun" w:hAnsi="SimSun" w:eastAsia="SimSun" w:cs="SimSun"/>
        <w:sz w:val="19"/>
        <w:szCs w:val="19"/>
        <w:spacing w:val="-11"/>
      </w:rPr>
      <w:t>加</w:t>
    </w:r>
    <w:r>
      <w:rPr>
        <w:rFonts w:ascii="SimSun" w:hAnsi="SimSun" w:eastAsia="SimSun" w:cs="SimSun"/>
        <w:sz w:val="19"/>
        <w:szCs w:val="19"/>
        <w:spacing w:val="10"/>
      </w:rPr>
      <w:t xml:space="preserve"> </w:t>
    </w:r>
    <w:r>
      <w:rPr>
        <w:rFonts w:ascii="SimSun" w:hAnsi="SimSun" w:eastAsia="SimSun" w:cs="SimSun"/>
        <w:sz w:val="19"/>
        <w:szCs w:val="19"/>
        <w:spacing w:val="-11"/>
      </w:rPr>
      <w:t>工</w:t>
    </w:r>
    <w:r>
      <w:rPr>
        <w:rFonts w:ascii="SimSun" w:hAnsi="SimSun" w:eastAsia="SimSun" w:cs="SimSun"/>
        <w:sz w:val="19"/>
        <w:szCs w:val="19"/>
        <w:spacing w:val="11"/>
      </w:rPr>
      <w:t xml:space="preserve"> </w:t>
    </w:r>
    <w:r>
      <w:rPr>
        <w:rFonts w:ascii="SimSun" w:hAnsi="SimSun" w:eastAsia="SimSun" w:cs="SimSun"/>
        <w:sz w:val="19"/>
        <w:szCs w:val="19"/>
        <w:spacing w:val="-11"/>
      </w:rPr>
      <w:t>项</w:t>
    </w:r>
    <w:r>
      <w:rPr>
        <w:rFonts w:ascii="SimSun" w:hAnsi="SimSun" w:eastAsia="SimSun" w:cs="SimSun"/>
        <w:sz w:val="19"/>
        <w:szCs w:val="19"/>
        <w:spacing w:val="43"/>
      </w:rPr>
      <w:t xml:space="preserve"> </w:t>
    </w:r>
    <w:r>
      <w:rPr>
        <w:rFonts w:ascii="SimSun" w:hAnsi="SimSun" w:eastAsia="SimSun" w:cs="SimSun"/>
        <w:sz w:val="19"/>
        <w:szCs w:val="19"/>
        <w:spacing w:val="-11"/>
      </w:rPr>
      <w:t>目</w:t>
    </w:r>
    <w:r>
      <w:rPr>
        <w:rFonts w:ascii="SimSun" w:hAnsi="SimSun" w:eastAsia="SimSun" w:cs="SimSun"/>
        <w:sz w:val="19"/>
        <w:szCs w:val="19"/>
        <w:spacing w:val="8"/>
      </w:rPr>
      <w:t xml:space="preserve"> </w:t>
    </w:r>
    <w:r>
      <w:rPr>
        <w:rFonts w:ascii="SimSun" w:hAnsi="SimSun" w:eastAsia="SimSun" w:cs="SimSun"/>
        <w:sz w:val="19"/>
        <w:szCs w:val="19"/>
        <w:spacing w:val="-11"/>
      </w:rPr>
      <w:t>环</w:t>
    </w:r>
    <w:r>
      <w:rPr>
        <w:rFonts w:ascii="SimSun" w:hAnsi="SimSun" w:eastAsia="SimSun" w:cs="SimSun"/>
        <w:sz w:val="19"/>
        <w:szCs w:val="19"/>
        <w:spacing w:val="8"/>
      </w:rPr>
      <w:t xml:space="preserve"> </w:t>
    </w:r>
    <w:r>
      <w:rPr>
        <w:rFonts w:ascii="SimSun" w:hAnsi="SimSun" w:eastAsia="SimSun" w:cs="SimSun"/>
        <w:sz w:val="19"/>
        <w:szCs w:val="19"/>
        <w:spacing w:val="-11"/>
      </w:rPr>
      <w:t>境</w:t>
    </w:r>
    <w:r>
      <w:rPr>
        <w:rFonts w:ascii="SimSun" w:hAnsi="SimSun" w:eastAsia="SimSun" w:cs="SimSun"/>
        <w:sz w:val="19"/>
        <w:szCs w:val="19"/>
        <w:spacing w:val="8"/>
      </w:rPr>
      <w:t xml:space="preserve"> </w:t>
    </w:r>
    <w:r>
      <w:rPr>
        <w:rFonts w:ascii="SimSun" w:hAnsi="SimSun" w:eastAsia="SimSun" w:cs="SimSun"/>
        <w:sz w:val="19"/>
        <w:szCs w:val="19"/>
        <w:spacing w:val="-11"/>
      </w:rPr>
      <w:t>影</w:t>
    </w:r>
    <w:r>
      <w:rPr>
        <w:rFonts w:ascii="SimSun" w:hAnsi="SimSun" w:eastAsia="SimSun" w:cs="SimSun"/>
        <w:sz w:val="19"/>
        <w:szCs w:val="19"/>
        <w:spacing w:val="17"/>
      </w:rPr>
      <w:t xml:space="preserve"> </w:t>
    </w:r>
    <w:r>
      <w:rPr>
        <w:rFonts w:ascii="SimSun" w:hAnsi="SimSun" w:eastAsia="SimSun" w:cs="SimSun"/>
        <w:sz w:val="19"/>
        <w:szCs w:val="19"/>
        <w:spacing w:val="-11"/>
      </w:rPr>
      <w:t>响</w:t>
    </w:r>
    <w:r>
      <w:rPr>
        <w:rFonts w:ascii="SimSun" w:hAnsi="SimSun" w:eastAsia="SimSun" w:cs="SimSun"/>
        <w:sz w:val="19"/>
        <w:szCs w:val="19"/>
        <w:spacing w:val="6"/>
      </w:rPr>
      <w:t xml:space="preserve"> </w:t>
    </w:r>
    <w:r>
      <w:rPr>
        <w:rFonts w:ascii="SimSun" w:hAnsi="SimSun" w:eastAsia="SimSun" w:cs="SimSun"/>
        <w:sz w:val="19"/>
        <w:szCs w:val="19"/>
        <w:spacing w:val="-11"/>
      </w:rPr>
      <w:t>报</w:t>
    </w:r>
    <w:r>
      <w:rPr>
        <w:rFonts w:ascii="SimSun" w:hAnsi="SimSun" w:eastAsia="SimSun" w:cs="SimSun"/>
        <w:sz w:val="19"/>
        <w:szCs w:val="19"/>
        <w:spacing w:val="12"/>
      </w:rPr>
      <w:t xml:space="preserve"> </w:t>
    </w:r>
    <w:r>
      <w:rPr>
        <w:rFonts w:ascii="SimSun" w:hAnsi="SimSun" w:eastAsia="SimSun" w:cs="SimSun"/>
        <w:sz w:val="19"/>
        <w:szCs w:val="19"/>
        <w:spacing w:val="-11"/>
      </w:rPr>
      <w:t>告</w:t>
    </w:r>
    <w:r>
      <w:rPr>
        <w:rFonts w:ascii="SimSun" w:hAnsi="SimSun" w:eastAsia="SimSun" w:cs="SimSun"/>
        <w:sz w:val="19"/>
        <w:szCs w:val="19"/>
        <w:spacing w:val="11"/>
      </w:rPr>
      <w:t xml:space="preserve"> </w:t>
    </w:r>
    <w:r>
      <w:rPr>
        <w:rFonts w:ascii="SimSun" w:hAnsi="SimSun" w:eastAsia="SimSun" w:cs="SimSun"/>
        <w:sz w:val="19"/>
        <w:szCs w:val="19"/>
        <w:spacing w:val="-11"/>
      </w:rPr>
      <w:t>书</w:t>
    </w:r>
  </w:p>
</w:hdr>
</file>

<file path=word/header8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826"/>
      <w:spacing w:before="51" w:line="218" w:lineRule="auto"/>
      <w:rPr>
        <w:rFonts w:ascii="SimSun" w:hAnsi="SimSun" w:eastAsia="SimSun" w:cs="SimSun"/>
        <w:sz w:val="19"/>
        <w:szCs w:val="19"/>
      </w:rPr>
    </w:pPr>
    <w:r>
      <w:drawing>
        <wp:anchor distT="0" distB="0" distL="0" distR="0" simplePos="0" relativeHeight="251717632" behindDoc="0" locked="0" layoutInCell="1" allowOverlap="1">
          <wp:simplePos x="0" y="0"/>
          <wp:positionH relativeFrom="column">
            <wp:posOffset>460317</wp:posOffset>
          </wp:positionH>
          <wp:positionV relativeFrom="paragraph">
            <wp:posOffset>146812</wp:posOffset>
          </wp:positionV>
          <wp:extent cx="8870924" cy="6350"/>
          <wp:effectExtent l="0" t="0" r="0" b="0"/>
          <wp:wrapNone/>
          <wp:docPr id="54" name="IM 54"/>
          <wp:cNvGraphicFramePr/>
          <a:graphic>
            <a:graphicData uri="http://schemas.openxmlformats.org/drawingml/2006/picture">
              <pic:pic>
                <pic:nvPicPr>
                  <pic:cNvPr id="54" name="IM 54"/>
                  <pic:cNvPicPr/>
                </pic:nvPicPr>
                <pic:blipFill>
                  <a:blip r:embed="rId1"/>
                  <a:stretch>
                    <a:fillRect/>
                  </a:stretch>
                </pic:blipFill>
                <pic:spPr>
                  <a:xfrm rot="0">
                    <a:off x="0" y="0"/>
                    <a:ext cx="8870924" cy="6350"/>
                  </a:xfrm>
                  <a:prstGeom prst="rect">
                    <a:avLst/>
                  </a:prstGeom>
                </pic:spPr>
              </pic:pic>
            </a:graphicData>
          </a:graphic>
        </wp:anchor>
      </w:drawing>
    </w:r>
    <w:r>
      <w:rPr>
        <w:rFonts w:ascii="SimSun" w:hAnsi="SimSun" w:eastAsia="SimSun" w:cs="SimSun"/>
        <w:sz w:val="19"/>
        <w:szCs w:val="19"/>
        <w:spacing w:val="-11"/>
      </w:rPr>
      <w:t>绵</w:t>
    </w:r>
    <w:r>
      <w:rPr>
        <w:rFonts w:ascii="SimSun" w:hAnsi="SimSun" w:eastAsia="SimSun" w:cs="SimSun"/>
        <w:sz w:val="19"/>
        <w:szCs w:val="19"/>
        <w:spacing w:val="39"/>
        <w:w w:val="101"/>
      </w:rPr>
      <w:t xml:space="preserve"> </w:t>
    </w:r>
    <w:r>
      <w:rPr>
        <w:rFonts w:ascii="SimSun" w:hAnsi="SimSun" w:eastAsia="SimSun" w:cs="SimSun"/>
        <w:sz w:val="19"/>
        <w:szCs w:val="19"/>
        <w:spacing w:val="-11"/>
      </w:rPr>
      <w:t>阳 柒 鑫 食</w:t>
    </w:r>
    <w:r>
      <w:rPr>
        <w:rFonts w:ascii="SimSun" w:hAnsi="SimSun" w:eastAsia="SimSun" w:cs="SimSun"/>
        <w:sz w:val="19"/>
        <w:szCs w:val="19"/>
        <w:spacing w:val="23"/>
      </w:rPr>
      <w:t xml:space="preserve"> </w:t>
    </w:r>
    <w:r>
      <w:rPr>
        <w:rFonts w:ascii="SimSun" w:hAnsi="SimSun" w:eastAsia="SimSun" w:cs="SimSun"/>
        <w:sz w:val="19"/>
        <w:szCs w:val="19"/>
        <w:spacing w:val="-11"/>
      </w:rPr>
      <w:t>品 有</w:t>
    </w:r>
    <w:r>
      <w:rPr>
        <w:rFonts w:ascii="SimSun" w:hAnsi="SimSun" w:eastAsia="SimSun" w:cs="SimSun"/>
        <w:sz w:val="19"/>
        <w:szCs w:val="19"/>
        <w:spacing w:val="20"/>
      </w:rPr>
      <w:t xml:space="preserve"> </w:t>
    </w:r>
    <w:r>
      <w:rPr>
        <w:rFonts w:ascii="SimSun" w:hAnsi="SimSun" w:eastAsia="SimSun" w:cs="SimSun"/>
        <w:sz w:val="19"/>
        <w:szCs w:val="19"/>
        <w:spacing w:val="-11"/>
      </w:rPr>
      <w:t>限</w:t>
    </w:r>
    <w:r>
      <w:rPr>
        <w:rFonts w:ascii="SimSun" w:hAnsi="SimSun" w:eastAsia="SimSun" w:cs="SimSun"/>
        <w:sz w:val="19"/>
        <w:szCs w:val="19"/>
        <w:spacing w:val="14"/>
      </w:rPr>
      <w:t xml:space="preserve"> </w:t>
    </w:r>
    <w:r>
      <w:rPr>
        <w:rFonts w:ascii="SimSun" w:hAnsi="SimSun" w:eastAsia="SimSun" w:cs="SimSun"/>
        <w:sz w:val="19"/>
        <w:szCs w:val="19"/>
        <w:spacing w:val="-11"/>
      </w:rPr>
      <w:t>公</w:t>
    </w:r>
    <w:r>
      <w:rPr>
        <w:rFonts w:ascii="SimSun" w:hAnsi="SimSun" w:eastAsia="SimSun" w:cs="SimSun"/>
        <w:sz w:val="19"/>
        <w:szCs w:val="19"/>
        <w:spacing w:val="15"/>
      </w:rPr>
      <w:t xml:space="preserve"> </w:t>
    </w:r>
    <w:r>
      <w:rPr>
        <w:rFonts w:ascii="SimSun" w:hAnsi="SimSun" w:eastAsia="SimSun" w:cs="SimSun"/>
        <w:sz w:val="19"/>
        <w:szCs w:val="19"/>
        <w:spacing w:val="-11"/>
      </w:rPr>
      <w:t>司</w:t>
    </w:r>
    <w:r>
      <w:rPr>
        <w:rFonts w:ascii="SimSun" w:hAnsi="SimSun" w:eastAsia="SimSun" w:cs="SimSun"/>
        <w:sz w:val="19"/>
        <w:szCs w:val="19"/>
        <w:spacing w:val="1"/>
      </w:rPr>
      <w:t xml:space="preserve"> </w:t>
    </w:r>
    <w:r>
      <w:rPr>
        <w:rFonts w:ascii="SimSun" w:hAnsi="SimSun" w:eastAsia="SimSun" w:cs="SimSun"/>
        <w:sz w:val="19"/>
        <w:szCs w:val="19"/>
        <w:spacing w:val="-11"/>
      </w:rPr>
      <w:t>A</w:t>
    </w:r>
    <w:r>
      <w:rPr>
        <w:rFonts w:ascii="SimSun" w:hAnsi="SimSun" w:eastAsia="SimSun" w:cs="SimSun"/>
        <w:sz w:val="19"/>
        <w:szCs w:val="19"/>
        <w:spacing w:val="11"/>
      </w:rPr>
      <w:t xml:space="preserve"> </w:t>
    </w:r>
    <w:r>
      <w:rPr>
        <w:rFonts w:ascii="SimSun" w:hAnsi="SimSun" w:eastAsia="SimSun" w:cs="SimSun"/>
        <w:sz w:val="19"/>
        <w:szCs w:val="19"/>
        <w:spacing w:val="-11"/>
      </w:rPr>
      <w:t>级</w:t>
    </w:r>
    <w:r>
      <w:rPr>
        <w:rFonts w:ascii="SimSun" w:hAnsi="SimSun" w:eastAsia="SimSun" w:cs="SimSun"/>
        <w:sz w:val="19"/>
        <w:szCs w:val="19"/>
        <w:spacing w:val="9"/>
      </w:rPr>
      <w:t xml:space="preserve"> </w:t>
    </w:r>
    <w:r>
      <w:rPr>
        <w:rFonts w:ascii="SimSun" w:hAnsi="SimSun" w:eastAsia="SimSun" w:cs="SimSun"/>
        <w:sz w:val="19"/>
        <w:szCs w:val="19"/>
        <w:spacing w:val="-11"/>
      </w:rPr>
      <w:t>生</w:t>
    </w:r>
    <w:r>
      <w:rPr>
        <w:rFonts w:ascii="SimSun" w:hAnsi="SimSun" w:eastAsia="SimSun" w:cs="SimSun"/>
        <w:sz w:val="19"/>
        <w:szCs w:val="19"/>
        <w:spacing w:val="7"/>
      </w:rPr>
      <w:t xml:space="preserve"> </w:t>
    </w:r>
    <w:r>
      <w:rPr>
        <w:rFonts w:ascii="SimSun" w:hAnsi="SimSun" w:eastAsia="SimSun" w:cs="SimSun"/>
        <w:sz w:val="19"/>
        <w:szCs w:val="19"/>
        <w:spacing w:val="-11"/>
      </w:rPr>
      <w:t>猪</w:t>
    </w:r>
    <w:r>
      <w:rPr>
        <w:rFonts w:ascii="SimSun" w:hAnsi="SimSun" w:eastAsia="SimSun" w:cs="SimSun"/>
        <w:sz w:val="19"/>
        <w:szCs w:val="19"/>
        <w:spacing w:val="21"/>
      </w:rPr>
      <w:t xml:space="preserve"> </w:t>
    </w:r>
    <w:r>
      <w:rPr>
        <w:rFonts w:ascii="SimSun" w:hAnsi="SimSun" w:eastAsia="SimSun" w:cs="SimSun"/>
        <w:sz w:val="19"/>
        <w:szCs w:val="19"/>
        <w:spacing w:val="-11"/>
      </w:rPr>
      <w:t>、</w:t>
    </w:r>
    <w:r>
      <w:rPr>
        <w:rFonts w:ascii="SimSun" w:hAnsi="SimSun" w:eastAsia="SimSun" w:cs="SimSun"/>
        <w:sz w:val="19"/>
        <w:szCs w:val="19"/>
        <w:spacing w:val="26"/>
      </w:rPr>
      <w:t xml:space="preserve"> </w:t>
    </w:r>
    <w:r>
      <w:rPr>
        <w:rFonts w:ascii="SimSun" w:hAnsi="SimSun" w:eastAsia="SimSun" w:cs="SimSun"/>
        <w:sz w:val="19"/>
        <w:szCs w:val="19"/>
        <w:spacing w:val="-11"/>
      </w:rPr>
      <w:t>肉</w:t>
    </w:r>
    <w:r>
      <w:rPr>
        <w:rFonts w:ascii="SimSun" w:hAnsi="SimSun" w:eastAsia="SimSun" w:cs="SimSun"/>
        <w:sz w:val="19"/>
        <w:szCs w:val="19"/>
        <w:spacing w:val="12"/>
      </w:rPr>
      <w:t xml:space="preserve"> </w:t>
    </w:r>
    <w:r>
      <w:rPr>
        <w:rFonts w:ascii="SimSun" w:hAnsi="SimSun" w:eastAsia="SimSun" w:cs="SimSun"/>
        <w:sz w:val="19"/>
        <w:szCs w:val="19"/>
        <w:spacing w:val="-11"/>
      </w:rPr>
      <w:t>牛</w:t>
    </w:r>
    <w:r>
      <w:rPr>
        <w:rFonts w:ascii="SimSun" w:hAnsi="SimSun" w:eastAsia="SimSun" w:cs="SimSun"/>
        <w:sz w:val="19"/>
        <w:szCs w:val="19"/>
        <w:spacing w:val="12"/>
      </w:rPr>
      <w:t xml:space="preserve"> </w:t>
    </w:r>
    <w:r>
      <w:rPr>
        <w:rFonts w:ascii="SimSun" w:hAnsi="SimSun" w:eastAsia="SimSun" w:cs="SimSun"/>
        <w:sz w:val="19"/>
        <w:szCs w:val="19"/>
        <w:spacing w:val="-11"/>
      </w:rPr>
      <w:t>定</w:t>
    </w:r>
    <w:r>
      <w:rPr>
        <w:rFonts w:ascii="SimSun" w:hAnsi="SimSun" w:eastAsia="SimSun" w:cs="SimSun"/>
        <w:sz w:val="19"/>
        <w:szCs w:val="19"/>
        <w:spacing w:val="18"/>
      </w:rPr>
      <w:t xml:space="preserve"> </w:t>
    </w:r>
    <w:r>
      <w:rPr>
        <w:rFonts w:ascii="SimSun" w:hAnsi="SimSun" w:eastAsia="SimSun" w:cs="SimSun"/>
        <w:sz w:val="19"/>
        <w:szCs w:val="19"/>
        <w:spacing w:val="-11"/>
      </w:rPr>
      <w:t>点</w:t>
    </w:r>
    <w:r>
      <w:rPr>
        <w:rFonts w:ascii="SimSun" w:hAnsi="SimSun" w:eastAsia="SimSun" w:cs="SimSun"/>
        <w:sz w:val="19"/>
        <w:szCs w:val="19"/>
        <w:spacing w:val="8"/>
      </w:rPr>
      <w:t xml:space="preserve"> </w:t>
    </w:r>
    <w:r>
      <w:rPr>
        <w:rFonts w:ascii="SimSun" w:hAnsi="SimSun" w:eastAsia="SimSun" w:cs="SimSun"/>
        <w:sz w:val="19"/>
        <w:szCs w:val="19"/>
        <w:spacing w:val="-11"/>
      </w:rPr>
      <w:t>屠</w:t>
    </w:r>
    <w:r>
      <w:rPr>
        <w:rFonts w:ascii="SimSun" w:hAnsi="SimSun" w:eastAsia="SimSun" w:cs="SimSun"/>
        <w:sz w:val="19"/>
        <w:szCs w:val="19"/>
        <w:spacing w:val="15"/>
      </w:rPr>
      <w:t xml:space="preserve"> </w:t>
    </w:r>
    <w:r>
      <w:rPr>
        <w:rFonts w:ascii="SimSun" w:hAnsi="SimSun" w:eastAsia="SimSun" w:cs="SimSun"/>
        <w:sz w:val="19"/>
        <w:szCs w:val="19"/>
        <w:spacing w:val="-11"/>
      </w:rPr>
      <w:t>宰</w:t>
    </w:r>
    <w:r>
      <w:rPr>
        <w:rFonts w:ascii="SimSun" w:hAnsi="SimSun" w:eastAsia="SimSun" w:cs="SimSun"/>
        <w:sz w:val="19"/>
        <w:szCs w:val="19"/>
        <w:spacing w:val="7"/>
      </w:rPr>
      <w:t xml:space="preserve"> </w:t>
    </w:r>
    <w:r>
      <w:rPr>
        <w:rFonts w:ascii="SimSun" w:hAnsi="SimSun" w:eastAsia="SimSun" w:cs="SimSun"/>
        <w:sz w:val="19"/>
        <w:szCs w:val="19"/>
        <w:spacing w:val="-11"/>
      </w:rPr>
      <w:t>及</w:t>
    </w:r>
    <w:r>
      <w:rPr>
        <w:rFonts w:ascii="SimSun" w:hAnsi="SimSun" w:eastAsia="SimSun" w:cs="SimSun"/>
        <w:sz w:val="19"/>
        <w:szCs w:val="19"/>
        <w:spacing w:val="8"/>
      </w:rPr>
      <w:t xml:space="preserve"> </w:t>
    </w:r>
    <w:r>
      <w:rPr>
        <w:rFonts w:ascii="SimSun" w:hAnsi="SimSun" w:eastAsia="SimSun" w:cs="SimSun"/>
        <w:sz w:val="19"/>
        <w:szCs w:val="19"/>
        <w:spacing w:val="-11"/>
      </w:rPr>
      <w:t>食</w:t>
    </w:r>
    <w:r>
      <w:rPr>
        <w:rFonts w:ascii="SimSun" w:hAnsi="SimSun" w:eastAsia="SimSun" w:cs="SimSun"/>
        <w:sz w:val="19"/>
        <w:szCs w:val="19"/>
        <w:spacing w:val="23"/>
      </w:rPr>
      <w:t xml:space="preserve"> </w:t>
    </w:r>
    <w:r>
      <w:rPr>
        <w:rFonts w:ascii="SimSun" w:hAnsi="SimSun" w:eastAsia="SimSun" w:cs="SimSun"/>
        <w:sz w:val="19"/>
        <w:szCs w:val="19"/>
        <w:spacing w:val="-11"/>
      </w:rPr>
      <w:t>品</w:t>
    </w:r>
    <w:r>
      <w:rPr>
        <w:rFonts w:ascii="SimSun" w:hAnsi="SimSun" w:eastAsia="SimSun" w:cs="SimSun"/>
        <w:sz w:val="19"/>
        <w:szCs w:val="19"/>
        <w:spacing w:val="7"/>
      </w:rPr>
      <w:t xml:space="preserve"> </w:t>
    </w:r>
    <w:r>
      <w:rPr>
        <w:rFonts w:ascii="SimSun" w:hAnsi="SimSun" w:eastAsia="SimSun" w:cs="SimSun"/>
        <w:sz w:val="19"/>
        <w:szCs w:val="19"/>
        <w:spacing w:val="-11"/>
      </w:rPr>
      <w:t>加</w:t>
    </w:r>
    <w:r>
      <w:rPr>
        <w:rFonts w:ascii="SimSun" w:hAnsi="SimSun" w:eastAsia="SimSun" w:cs="SimSun"/>
        <w:sz w:val="19"/>
        <w:szCs w:val="19"/>
        <w:spacing w:val="10"/>
      </w:rPr>
      <w:t xml:space="preserve"> </w:t>
    </w:r>
    <w:r>
      <w:rPr>
        <w:rFonts w:ascii="SimSun" w:hAnsi="SimSun" w:eastAsia="SimSun" w:cs="SimSun"/>
        <w:sz w:val="19"/>
        <w:szCs w:val="19"/>
        <w:spacing w:val="-11"/>
      </w:rPr>
      <w:t>工</w:t>
    </w:r>
    <w:r>
      <w:rPr>
        <w:rFonts w:ascii="SimSun" w:hAnsi="SimSun" w:eastAsia="SimSun" w:cs="SimSun"/>
        <w:sz w:val="19"/>
        <w:szCs w:val="19"/>
        <w:spacing w:val="11"/>
      </w:rPr>
      <w:t xml:space="preserve"> </w:t>
    </w:r>
    <w:r>
      <w:rPr>
        <w:rFonts w:ascii="SimSun" w:hAnsi="SimSun" w:eastAsia="SimSun" w:cs="SimSun"/>
        <w:sz w:val="19"/>
        <w:szCs w:val="19"/>
        <w:spacing w:val="-11"/>
      </w:rPr>
      <w:t>项</w:t>
    </w:r>
    <w:r>
      <w:rPr>
        <w:rFonts w:ascii="SimSun" w:hAnsi="SimSun" w:eastAsia="SimSun" w:cs="SimSun"/>
        <w:sz w:val="19"/>
        <w:szCs w:val="19"/>
        <w:spacing w:val="43"/>
      </w:rPr>
      <w:t xml:space="preserve"> </w:t>
    </w:r>
    <w:r>
      <w:rPr>
        <w:rFonts w:ascii="SimSun" w:hAnsi="SimSun" w:eastAsia="SimSun" w:cs="SimSun"/>
        <w:sz w:val="19"/>
        <w:szCs w:val="19"/>
        <w:spacing w:val="-11"/>
      </w:rPr>
      <w:t>目</w:t>
    </w:r>
    <w:r>
      <w:rPr>
        <w:rFonts w:ascii="SimSun" w:hAnsi="SimSun" w:eastAsia="SimSun" w:cs="SimSun"/>
        <w:sz w:val="19"/>
        <w:szCs w:val="19"/>
        <w:spacing w:val="8"/>
      </w:rPr>
      <w:t xml:space="preserve"> </w:t>
    </w:r>
    <w:r>
      <w:rPr>
        <w:rFonts w:ascii="SimSun" w:hAnsi="SimSun" w:eastAsia="SimSun" w:cs="SimSun"/>
        <w:sz w:val="19"/>
        <w:szCs w:val="19"/>
        <w:spacing w:val="-11"/>
      </w:rPr>
      <w:t>环</w:t>
    </w:r>
    <w:r>
      <w:rPr>
        <w:rFonts w:ascii="SimSun" w:hAnsi="SimSun" w:eastAsia="SimSun" w:cs="SimSun"/>
        <w:sz w:val="19"/>
        <w:szCs w:val="19"/>
        <w:spacing w:val="8"/>
      </w:rPr>
      <w:t xml:space="preserve"> </w:t>
    </w:r>
    <w:r>
      <w:rPr>
        <w:rFonts w:ascii="SimSun" w:hAnsi="SimSun" w:eastAsia="SimSun" w:cs="SimSun"/>
        <w:sz w:val="19"/>
        <w:szCs w:val="19"/>
        <w:spacing w:val="-11"/>
      </w:rPr>
      <w:t>境</w:t>
    </w:r>
    <w:r>
      <w:rPr>
        <w:rFonts w:ascii="SimSun" w:hAnsi="SimSun" w:eastAsia="SimSun" w:cs="SimSun"/>
        <w:sz w:val="19"/>
        <w:szCs w:val="19"/>
        <w:spacing w:val="8"/>
      </w:rPr>
      <w:t xml:space="preserve"> </w:t>
    </w:r>
    <w:r>
      <w:rPr>
        <w:rFonts w:ascii="SimSun" w:hAnsi="SimSun" w:eastAsia="SimSun" w:cs="SimSun"/>
        <w:sz w:val="19"/>
        <w:szCs w:val="19"/>
        <w:spacing w:val="-11"/>
      </w:rPr>
      <w:t>影</w:t>
    </w:r>
    <w:r>
      <w:rPr>
        <w:rFonts w:ascii="SimSun" w:hAnsi="SimSun" w:eastAsia="SimSun" w:cs="SimSun"/>
        <w:sz w:val="19"/>
        <w:szCs w:val="19"/>
        <w:spacing w:val="17"/>
      </w:rPr>
      <w:t xml:space="preserve"> </w:t>
    </w:r>
    <w:r>
      <w:rPr>
        <w:rFonts w:ascii="SimSun" w:hAnsi="SimSun" w:eastAsia="SimSun" w:cs="SimSun"/>
        <w:sz w:val="19"/>
        <w:szCs w:val="19"/>
        <w:spacing w:val="-11"/>
      </w:rPr>
      <w:t>响</w:t>
    </w:r>
    <w:r>
      <w:rPr>
        <w:rFonts w:ascii="SimSun" w:hAnsi="SimSun" w:eastAsia="SimSun" w:cs="SimSun"/>
        <w:sz w:val="19"/>
        <w:szCs w:val="19"/>
        <w:spacing w:val="6"/>
      </w:rPr>
      <w:t xml:space="preserve"> </w:t>
    </w:r>
    <w:r>
      <w:rPr>
        <w:rFonts w:ascii="SimSun" w:hAnsi="SimSun" w:eastAsia="SimSun" w:cs="SimSun"/>
        <w:sz w:val="19"/>
        <w:szCs w:val="19"/>
        <w:spacing w:val="-11"/>
      </w:rPr>
      <w:t>报</w:t>
    </w:r>
    <w:r>
      <w:rPr>
        <w:rFonts w:ascii="SimSun" w:hAnsi="SimSun" w:eastAsia="SimSun" w:cs="SimSun"/>
        <w:sz w:val="19"/>
        <w:szCs w:val="19"/>
        <w:spacing w:val="12"/>
      </w:rPr>
      <w:t xml:space="preserve"> </w:t>
    </w:r>
    <w:r>
      <w:rPr>
        <w:rFonts w:ascii="SimSun" w:hAnsi="SimSun" w:eastAsia="SimSun" w:cs="SimSun"/>
        <w:sz w:val="19"/>
        <w:szCs w:val="19"/>
        <w:spacing w:val="-11"/>
      </w:rPr>
      <w:t>告</w:t>
    </w:r>
    <w:r>
      <w:rPr>
        <w:rFonts w:ascii="SimSun" w:hAnsi="SimSun" w:eastAsia="SimSun" w:cs="SimSun"/>
        <w:sz w:val="19"/>
        <w:szCs w:val="19"/>
        <w:spacing w:val="11"/>
      </w:rPr>
      <w:t xml:space="preserve"> </w:t>
    </w:r>
    <w:r>
      <w:rPr>
        <w:rFonts w:ascii="SimSun" w:hAnsi="SimSun" w:eastAsia="SimSun" w:cs="SimSun"/>
        <w:sz w:val="19"/>
        <w:szCs w:val="19"/>
        <w:spacing w:val="-11"/>
      </w:rPr>
      <w:t>书</w:t>
    </w:r>
  </w:p>
</w:hdr>
</file>

<file path=word/header8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4"/>
      <w:spacing w:before="51" w:line="218" w:lineRule="auto"/>
      <w:tabs>
        <w:tab w:val="left" w:pos="365"/>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4"/>
      </w:rPr>
      <w:t>绵阳柒鑫食品有限公司A级生猪、肉牛定点屠宰及食品加工项目环境影响报告书</w:t>
    </w:r>
    <w:r>
      <w:rPr>
        <w:rFonts w:ascii="SimSun" w:hAnsi="SimSun" w:eastAsia="SimSun" w:cs="SimSun"/>
        <w:sz w:val="19"/>
        <w:szCs w:val="19"/>
        <w:u w:val="single" w:color="auto"/>
        <w:spacing w:val="3"/>
      </w:rPr>
      <w:t xml:space="preserve">   </w:t>
    </w:r>
  </w:p>
</w:hdr>
</file>

<file path=word/header8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4"/>
      <w:spacing w:before="61" w:line="218" w:lineRule="auto"/>
      <w:tabs>
        <w:tab w:val="left" w:pos="303"/>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绵阳柒鑫食品有限公司A级生猪、肉牛定点屠宰及食品加工项目环境影响报告书</w:t>
    </w:r>
    <w:r>
      <w:rPr>
        <w:rFonts w:ascii="SimSun" w:hAnsi="SimSun" w:eastAsia="SimSun" w:cs="SimSun"/>
        <w:sz w:val="23"/>
        <w:szCs w:val="23"/>
        <w:u w:val="single" w:color="auto"/>
        <w:spacing w:val="1"/>
      </w:rPr>
      <w:t xml:space="preserve">  </w:t>
    </w:r>
  </w:p>
</w:hdr>
</file>

<file path=word/header8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4"/>
      <w:spacing w:before="51" w:line="218" w:lineRule="auto"/>
      <w:tabs>
        <w:tab w:val="left" w:pos="32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8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31"/>
      <w:spacing w:before="51" w:line="218" w:lineRule="auto"/>
      <w:rPr>
        <w:rFonts w:ascii="SimSun" w:hAnsi="SimSun" w:eastAsia="SimSun" w:cs="SimSun"/>
        <w:sz w:val="19"/>
        <w:szCs w:val="19"/>
      </w:rPr>
    </w:pPr>
    <w:r>
      <w:drawing>
        <wp:anchor distT="0" distB="0" distL="0" distR="0" simplePos="0" relativeHeight="251722752" behindDoc="0" locked="0" layoutInCell="1" allowOverlap="1">
          <wp:simplePos x="0" y="0"/>
          <wp:positionH relativeFrom="column">
            <wp:posOffset>73002</wp:posOffset>
          </wp:positionH>
          <wp:positionV relativeFrom="paragraph">
            <wp:posOffset>146811</wp:posOffset>
          </wp:positionV>
          <wp:extent cx="8870924" cy="6350"/>
          <wp:effectExtent l="0" t="0" r="0" b="0"/>
          <wp:wrapNone/>
          <wp:docPr id="56" name="IM 56"/>
          <wp:cNvGraphicFramePr/>
          <a:graphic>
            <a:graphicData uri="http://schemas.openxmlformats.org/drawingml/2006/picture">
              <pic:pic>
                <pic:nvPicPr>
                  <pic:cNvPr id="56" name="IM 56"/>
                  <pic:cNvPicPr/>
                </pic:nvPicPr>
                <pic:blipFill>
                  <a:blip r:embed="rId1"/>
                  <a:stretch>
                    <a:fillRect/>
                  </a:stretch>
                </pic:blipFill>
                <pic:spPr>
                  <a:xfrm rot="0">
                    <a:off x="0" y="0"/>
                    <a:ext cx="8870924" cy="6350"/>
                  </a:xfrm>
                  <a:prstGeom prst="rect">
                    <a:avLst/>
                  </a:prstGeom>
                </pic:spPr>
              </pic:pic>
            </a:graphicData>
          </a:graphic>
        </wp:anchor>
      </w:drawing>
    </w:r>
    <w:r>
      <w:rPr>
        <w:rFonts w:ascii="SimSun" w:hAnsi="SimSun" w:eastAsia="SimSun" w:cs="SimSun"/>
        <w:sz w:val="19"/>
        <w:szCs w:val="19"/>
        <w:spacing w:val="-9"/>
      </w:rPr>
      <w:t>绵 阳 柒 鑫 食 品 有 限 公</w:t>
    </w:r>
    <w:r>
      <w:rPr>
        <w:rFonts w:ascii="SimSun" w:hAnsi="SimSun" w:eastAsia="SimSun" w:cs="SimSun"/>
        <w:sz w:val="19"/>
        <w:szCs w:val="19"/>
        <w:spacing w:val="3"/>
      </w:rPr>
      <w:t xml:space="preserve"> </w:t>
    </w:r>
    <w:r>
      <w:rPr>
        <w:rFonts w:ascii="SimSun" w:hAnsi="SimSun" w:eastAsia="SimSun" w:cs="SimSun"/>
        <w:sz w:val="19"/>
        <w:szCs w:val="19"/>
        <w:spacing w:val="-9"/>
      </w:rPr>
      <w:t>司 A 级 生 猪</w:t>
    </w:r>
    <w:r>
      <w:rPr>
        <w:rFonts w:ascii="SimSun" w:hAnsi="SimSun" w:eastAsia="SimSun" w:cs="SimSun"/>
        <w:sz w:val="19"/>
        <w:szCs w:val="19"/>
        <w:spacing w:val="8"/>
      </w:rPr>
      <w:t xml:space="preserve"> </w:t>
    </w:r>
    <w:r>
      <w:rPr>
        <w:rFonts w:ascii="SimSun" w:hAnsi="SimSun" w:eastAsia="SimSun" w:cs="SimSun"/>
        <w:sz w:val="19"/>
        <w:szCs w:val="19"/>
        <w:spacing w:val="-9"/>
      </w:rPr>
      <w:t>、</w:t>
    </w:r>
    <w:r>
      <w:rPr>
        <w:rFonts w:ascii="SimSun" w:hAnsi="SimSun" w:eastAsia="SimSun" w:cs="SimSun"/>
        <w:sz w:val="19"/>
        <w:szCs w:val="19"/>
        <w:spacing w:val="13"/>
      </w:rPr>
      <w:t xml:space="preserve"> </w:t>
    </w:r>
    <w:r>
      <w:rPr>
        <w:rFonts w:ascii="SimSun" w:hAnsi="SimSun" w:eastAsia="SimSun" w:cs="SimSun"/>
        <w:sz w:val="19"/>
        <w:szCs w:val="19"/>
        <w:spacing w:val="-9"/>
      </w:rPr>
      <w:t>肉 牛</w:t>
    </w:r>
    <w:r>
      <w:rPr>
        <w:rFonts w:ascii="SimSun" w:hAnsi="SimSun" w:eastAsia="SimSun" w:cs="SimSun"/>
        <w:sz w:val="19"/>
        <w:szCs w:val="19"/>
      </w:rPr>
      <w:t xml:space="preserve"> </w:t>
    </w:r>
    <w:r>
      <w:rPr>
        <w:rFonts w:ascii="SimSun" w:hAnsi="SimSun" w:eastAsia="SimSun" w:cs="SimSun"/>
        <w:sz w:val="19"/>
        <w:szCs w:val="19"/>
        <w:spacing w:val="-9"/>
      </w:rPr>
      <w:t>定</w:t>
    </w:r>
    <w:r>
      <w:rPr>
        <w:rFonts w:ascii="SimSun" w:hAnsi="SimSun" w:eastAsia="SimSun" w:cs="SimSun"/>
        <w:sz w:val="19"/>
        <w:szCs w:val="19"/>
        <w:spacing w:val="4"/>
      </w:rPr>
      <w:t xml:space="preserve"> </w:t>
    </w:r>
    <w:r>
      <w:rPr>
        <w:rFonts w:ascii="SimSun" w:hAnsi="SimSun" w:eastAsia="SimSun" w:cs="SimSun"/>
        <w:sz w:val="19"/>
        <w:szCs w:val="19"/>
        <w:spacing w:val="-9"/>
      </w:rPr>
      <w:t>点 屠</w:t>
    </w:r>
    <w:r>
      <w:rPr>
        <w:rFonts w:ascii="SimSun" w:hAnsi="SimSun" w:eastAsia="SimSun" w:cs="SimSun"/>
        <w:sz w:val="19"/>
        <w:szCs w:val="19"/>
        <w:spacing w:val="3"/>
      </w:rPr>
      <w:t xml:space="preserve"> </w:t>
    </w:r>
    <w:r>
      <w:rPr>
        <w:rFonts w:ascii="SimSun" w:hAnsi="SimSun" w:eastAsia="SimSun" w:cs="SimSun"/>
        <w:sz w:val="19"/>
        <w:szCs w:val="19"/>
        <w:spacing w:val="-9"/>
      </w:rPr>
      <w:t>宰 及 食</w:t>
    </w:r>
    <w:r>
      <w:rPr>
        <w:rFonts w:ascii="SimSun" w:hAnsi="SimSun" w:eastAsia="SimSun" w:cs="SimSun"/>
        <w:sz w:val="19"/>
        <w:szCs w:val="19"/>
        <w:spacing w:val="11"/>
      </w:rPr>
      <w:t xml:space="preserve"> </w:t>
    </w:r>
    <w:r>
      <w:rPr>
        <w:rFonts w:ascii="SimSun" w:hAnsi="SimSun" w:eastAsia="SimSun" w:cs="SimSun"/>
        <w:sz w:val="19"/>
        <w:szCs w:val="19"/>
        <w:spacing w:val="-9"/>
      </w:rPr>
      <w:t>品 加</w:t>
    </w:r>
    <w:r>
      <w:rPr>
        <w:rFonts w:ascii="SimSun" w:hAnsi="SimSun" w:eastAsia="SimSun" w:cs="SimSun"/>
        <w:sz w:val="19"/>
        <w:szCs w:val="19"/>
        <w:spacing w:val="-3"/>
      </w:rPr>
      <w:t xml:space="preserve"> </w:t>
    </w:r>
    <w:r>
      <w:rPr>
        <w:rFonts w:ascii="SimSun" w:hAnsi="SimSun" w:eastAsia="SimSun" w:cs="SimSun"/>
        <w:sz w:val="19"/>
        <w:szCs w:val="19"/>
        <w:spacing w:val="-9"/>
      </w:rPr>
      <w:t>工</w:t>
    </w:r>
    <w:r>
      <w:rPr>
        <w:rFonts w:ascii="SimSun" w:hAnsi="SimSun" w:eastAsia="SimSun" w:cs="SimSun"/>
        <w:sz w:val="19"/>
        <w:szCs w:val="19"/>
        <w:spacing w:val="-2"/>
      </w:rPr>
      <w:t xml:space="preserve"> </w:t>
    </w:r>
    <w:r>
      <w:rPr>
        <w:rFonts w:ascii="SimSun" w:hAnsi="SimSun" w:eastAsia="SimSun" w:cs="SimSun"/>
        <w:sz w:val="19"/>
        <w:szCs w:val="19"/>
        <w:spacing w:val="-9"/>
      </w:rPr>
      <w:t>项</w:t>
    </w:r>
    <w:r>
      <w:rPr>
        <w:rFonts w:ascii="SimSun" w:hAnsi="SimSun" w:eastAsia="SimSun" w:cs="SimSun"/>
        <w:sz w:val="19"/>
        <w:szCs w:val="19"/>
        <w:spacing w:val="31"/>
      </w:rPr>
      <w:t xml:space="preserve"> </w:t>
    </w:r>
    <w:r>
      <w:rPr>
        <w:rFonts w:ascii="SimSun" w:hAnsi="SimSun" w:eastAsia="SimSun" w:cs="SimSun"/>
        <w:sz w:val="19"/>
        <w:szCs w:val="19"/>
        <w:spacing w:val="-9"/>
      </w:rPr>
      <w:t>目</w:t>
    </w:r>
    <w:r>
      <w:rPr>
        <w:rFonts w:ascii="SimSun" w:hAnsi="SimSun" w:eastAsia="SimSun" w:cs="SimSun"/>
        <w:sz w:val="19"/>
        <w:szCs w:val="19"/>
        <w:spacing w:val="-5"/>
      </w:rPr>
      <w:t xml:space="preserve"> </w:t>
    </w:r>
    <w:r>
      <w:rPr>
        <w:rFonts w:ascii="SimSun" w:hAnsi="SimSun" w:eastAsia="SimSun" w:cs="SimSun"/>
        <w:sz w:val="19"/>
        <w:szCs w:val="19"/>
        <w:spacing w:val="-9"/>
      </w:rPr>
      <w:t>环</w:t>
    </w:r>
    <w:r>
      <w:rPr>
        <w:rFonts w:ascii="SimSun" w:hAnsi="SimSun" w:eastAsia="SimSun" w:cs="SimSun"/>
        <w:sz w:val="19"/>
        <w:szCs w:val="19"/>
        <w:spacing w:val="-5"/>
      </w:rPr>
      <w:t xml:space="preserve"> </w:t>
    </w:r>
    <w:r>
      <w:rPr>
        <w:rFonts w:ascii="SimSun" w:hAnsi="SimSun" w:eastAsia="SimSun" w:cs="SimSun"/>
        <w:sz w:val="19"/>
        <w:szCs w:val="19"/>
        <w:spacing w:val="-10"/>
      </w:rPr>
      <w:t>境</w:t>
    </w:r>
    <w:r>
      <w:rPr>
        <w:rFonts w:ascii="SimSun" w:hAnsi="SimSun" w:eastAsia="SimSun" w:cs="SimSun"/>
        <w:sz w:val="19"/>
        <w:szCs w:val="19"/>
        <w:spacing w:val="-5"/>
      </w:rPr>
      <w:t xml:space="preserve"> </w:t>
    </w:r>
    <w:r>
      <w:rPr>
        <w:rFonts w:ascii="SimSun" w:hAnsi="SimSun" w:eastAsia="SimSun" w:cs="SimSun"/>
        <w:sz w:val="19"/>
        <w:szCs w:val="19"/>
        <w:spacing w:val="-10"/>
      </w:rPr>
      <w:t>影</w:t>
    </w:r>
    <w:r>
      <w:rPr>
        <w:rFonts w:ascii="SimSun" w:hAnsi="SimSun" w:eastAsia="SimSun" w:cs="SimSun"/>
        <w:sz w:val="19"/>
        <w:szCs w:val="19"/>
        <w:spacing w:val="5"/>
      </w:rPr>
      <w:t xml:space="preserve"> </w:t>
    </w:r>
    <w:r>
      <w:rPr>
        <w:rFonts w:ascii="SimSun" w:hAnsi="SimSun" w:eastAsia="SimSun" w:cs="SimSun"/>
        <w:sz w:val="19"/>
        <w:szCs w:val="19"/>
        <w:spacing w:val="-10"/>
      </w:rPr>
      <w:t>响 报</w:t>
    </w:r>
    <w:r>
      <w:rPr>
        <w:rFonts w:ascii="SimSun" w:hAnsi="SimSun" w:eastAsia="SimSun" w:cs="SimSun"/>
        <w:sz w:val="19"/>
        <w:szCs w:val="19"/>
        <w:spacing w:val="-1"/>
      </w:rPr>
      <w:t xml:space="preserve"> </w:t>
    </w:r>
    <w:r>
      <w:rPr>
        <w:rFonts w:ascii="SimSun" w:hAnsi="SimSun" w:eastAsia="SimSun" w:cs="SimSun"/>
        <w:sz w:val="19"/>
        <w:szCs w:val="19"/>
        <w:spacing w:val="-10"/>
      </w:rPr>
      <w:t>告</w:t>
    </w:r>
    <w:r>
      <w:rPr>
        <w:rFonts w:ascii="SimSun" w:hAnsi="SimSun" w:eastAsia="SimSun" w:cs="SimSun"/>
        <w:sz w:val="19"/>
        <w:szCs w:val="19"/>
        <w:spacing w:val="-1"/>
      </w:rPr>
      <w:t xml:space="preserve"> </w:t>
    </w:r>
    <w:r>
      <w:rPr>
        <w:rFonts w:ascii="SimSun" w:hAnsi="SimSun" w:eastAsia="SimSun" w:cs="SimSun"/>
        <w:sz w:val="19"/>
        <w:szCs w:val="19"/>
        <w:spacing w:val="-10"/>
      </w:rPr>
      <w:t>书</w:t>
    </w:r>
  </w:p>
</w:hdr>
</file>

<file path=word/header8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21"/>
      <w:spacing w:before="51" w:line="218" w:lineRule="auto"/>
      <w:rPr>
        <w:rFonts w:ascii="SimSun" w:hAnsi="SimSun" w:eastAsia="SimSun" w:cs="SimSun"/>
        <w:sz w:val="19"/>
        <w:szCs w:val="19"/>
      </w:rPr>
    </w:pPr>
    <w:r>
      <w:drawing>
        <wp:anchor distT="0" distB="0" distL="0" distR="0" simplePos="0" relativeHeight="251723776" behindDoc="0" locked="0" layoutInCell="1" allowOverlap="1">
          <wp:simplePos x="0" y="0"/>
          <wp:positionH relativeFrom="column">
            <wp:posOffset>66693</wp:posOffset>
          </wp:positionH>
          <wp:positionV relativeFrom="paragraph">
            <wp:posOffset>146811</wp:posOffset>
          </wp:positionV>
          <wp:extent cx="8870924" cy="6350"/>
          <wp:effectExtent l="0" t="0" r="0" b="0"/>
          <wp:wrapNone/>
          <wp:docPr id="58" name="IM 58"/>
          <wp:cNvGraphicFramePr/>
          <a:graphic>
            <a:graphicData uri="http://schemas.openxmlformats.org/drawingml/2006/picture">
              <pic:pic>
                <pic:nvPicPr>
                  <pic:cNvPr id="58" name="IM 58"/>
                  <pic:cNvPicPr/>
                </pic:nvPicPr>
                <pic:blipFill>
                  <a:blip r:embed="rId1"/>
                  <a:stretch>
                    <a:fillRect/>
                  </a:stretch>
                </pic:blipFill>
                <pic:spPr>
                  <a:xfrm rot="0">
                    <a:off x="0" y="0"/>
                    <a:ext cx="8870924" cy="6350"/>
                  </a:xfrm>
                  <a:prstGeom prst="rect">
                    <a:avLst/>
                  </a:prstGeom>
                </pic:spPr>
              </pic:pic>
            </a:graphicData>
          </a:graphic>
        </wp:anchor>
      </w:drawing>
    </w:r>
    <w:r>
      <w:rPr>
        <w:rFonts w:ascii="SimSun" w:hAnsi="SimSun" w:eastAsia="SimSun" w:cs="SimSun"/>
        <w:sz w:val="19"/>
        <w:szCs w:val="19"/>
        <w:spacing w:val="-9"/>
      </w:rPr>
      <w:t>绵 阳 柒 鑫 食 品 有 限 公</w:t>
    </w:r>
    <w:r>
      <w:rPr>
        <w:rFonts w:ascii="SimSun" w:hAnsi="SimSun" w:eastAsia="SimSun" w:cs="SimSun"/>
        <w:sz w:val="19"/>
        <w:szCs w:val="19"/>
        <w:spacing w:val="3"/>
      </w:rPr>
      <w:t xml:space="preserve"> </w:t>
    </w:r>
    <w:r>
      <w:rPr>
        <w:rFonts w:ascii="SimSun" w:hAnsi="SimSun" w:eastAsia="SimSun" w:cs="SimSun"/>
        <w:sz w:val="19"/>
        <w:szCs w:val="19"/>
        <w:spacing w:val="-9"/>
      </w:rPr>
      <w:t>司 A 级 生 猪</w:t>
    </w:r>
    <w:r>
      <w:rPr>
        <w:rFonts w:ascii="SimSun" w:hAnsi="SimSun" w:eastAsia="SimSun" w:cs="SimSun"/>
        <w:sz w:val="19"/>
        <w:szCs w:val="19"/>
        <w:spacing w:val="8"/>
      </w:rPr>
      <w:t xml:space="preserve"> </w:t>
    </w:r>
    <w:r>
      <w:rPr>
        <w:rFonts w:ascii="SimSun" w:hAnsi="SimSun" w:eastAsia="SimSun" w:cs="SimSun"/>
        <w:sz w:val="19"/>
        <w:szCs w:val="19"/>
        <w:spacing w:val="-9"/>
      </w:rPr>
      <w:t>、</w:t>
    </w:r>
    <w:r>
      <w:rPr>
        <w:rFonts w:ascii="SimSun" w:hAnsi="SimSun" w:eastAsia="SimSun" w:cs="SimSun"/>
        <w:sz w:val="19"/>
        <w:szCs w:val="19"/>
        <w:spacing w:val="13"/>
      </w:rPr>
      <w:t xml:space="preserve"> </w:t>
    </w:r>
    <w:r>
      <w:rPr>
        <w:rFonts w:ascii="SimSun" w:hAnsi="SimSun" w:eastAsia="SimSun" w:cs="SimSun"/>
        <w:sz w:val="19"/>
        <w:szCs w:val="19"/>
        <w:spacing w:val="-9"/>
      </w:rPr>
      <w:t>肉 牛</w:t>
    </w:r>
    <w:r>
      <w:rPr>
        <w:rFonts w:ascii="SimSun" w:hAnsi="SimSun" w:eastAsia="SimSun" w:cs="SimSun"/>
        <w:sz w:val="19"/>
        <w:szCs w:val="19"/>
      </w:rPr>
      <w:t xml:space="preserve"> </w:t>
    </w:r>
    <w:r>
      <w:rPr>
        <w:rFonts w:ascii="SimSun" w:hAnsi="SimSun" w:eastAsia="SimSun" w:cs="SimSun"/>
        <w:sz w:val="19"/>
        <w:szCs w:val="19"/>
        <w:spacing w:val="-9"/>
      </w:rPr>
      <w:t>定</w:t>
    </w:r>
    <w:r>
      <w:rPr>
        <w:rFonts w:ascii="SimSun" w:hAnsi="SimSun" w:eastAsia="SimSun" w:cs="SimSun"/>
        <w:sz w:val="19"/>
        <w:szCs w:val="19"/>
        <w:spacing w:val="4"/>
      </w:rPr>
      <w:t xml:space="preserve"> </w:t>
    </w:r>
    <w:r>
      <w:rPr>
        <w:rFonts w:ascii="SimSun" w:hAnsi="SimSun" w:eastAsia="SimSun" w:cs="SimSun"/>
        <w:sz w:val="19"/>
        <w:szCs w:val="19"/>
        <w:spacing w:val="-9"/>
      </w:rPr>
      <w:t>点 屠</w:t>
    </w:r>
    <w:r>
      <w:rPr>
        <w:rFonts w:ascii="SimSun" w:hAnsi="SimSun" w:eastAsia="SimSun" w:cs="SimSun"/>
        <w:sz w:val="19"/>
        <w:szCs w:val="19"/>
        <w:spacing w:val="3"/>
      </w:rPr>
      <w:t xml:space="preserve"> </w:t>
    </w:r>
    <w:r>
      <w:rPr>
        <w:rFonts w:ascii="SimSun" w:hAnsi="SimSun" w:eastAsia="SimSun" w:cs="SimSun"/>
        <w:sz w:val="19"/>
        <w:szCs w:val="19"/>
        <w:spacing w:val="-9"/>
      </w:rPr>
      <w:t>宰 及 食</w:t>
    </w:r>
    <w:r>
      <w:rPr>
        <w:rFonts w:ascii="SimSun" w:hAnsi="SimSun" w:eastAsia="SimSun" w:cs="SimSun"/>
        <w:sz w:val="19"/>
        <w:szCs w:val="19"/>
        <w:spacing w:val="11"/>
      </w:rPr>
      <w:t xml:space="preserve"> </w:t>
    </w:r>
    <w:r>
      <w:rPr>
        <w:rFonts w:ascii="SimSun" w:hAnsi="SimSun" w:eastAsia="SimSun" w:cs="SimSun"/>
        <w:sz w:val="19"/>
        <w:szCs w:val="19"/>
        <w:spacing w:val="-9"/>
      </w:rPr>
      <w:t>品 加</w:t>
    </w:r>
    <w:r>
      <w:rPr>
        <w:rFonts w:ascii="SimSun" w:hAnsi="SimSun" w:eastAsia="SimSun" w:cs="SimSun"/>
        <w:sz w:val="19"/>
        <w:szCs w:val="19"/>
        <w:spacing w:val="-3"/>
      </w:rPr>
      <w:t xml:space="preserve"> </w:t>
    </w:r>
    <w:r>
      <w:rPr>
        <w:rFonts w:ascii="SimSun" w:hAnsi="SimSun" w:eastAsia="SimSun" w:cs="SimSun"/>
        <w:sz w:val="19"/>
        <w:szCs w:val="19"/>
        <w:spacing w:val="-9"/>
      </w:rPr>
      <w:t>工</w:t>
    </w:r>
    <w:r>
      <w:rPr>
        <w:rFonts w:ascii="SimSun" w:hAnsi="SimSun" w:eastAsia="SimSun" w:cs="SimSun"/>
        <w:sz w:val="19"/>
        <w:szCs w:val="19"/>
        <w:spacing w:val="-2"/>
      </w:rPr>
      <w:t xml:space="preserve"> </w:t>
    </w:r>
    <w:r>
      <w:rPr>
        <w:rFonts w:ascii="SimSun" w:hAnsi="SimSun" w:eastAsia="SimSun" w:cs="SimSun"/>
        <w:sz w:val="19"/>
        <w:szCs w:val="19"/>
        <w:spacing w:val="-9"/>
      </w:rPr>
      <w:t>项</w:t>
    </w:r>
    <w:r>
      <w:rPr>
        <w:rFonts w:ascii="SimSun" w:hAnsi="SimSun" w:eastAsia="SimSun" w:cs="SimSun"/>
        <w:sz w:val="19"/>
        <w:szCs w:val="19"/>
        <w:spacing w:val="31"/>
      </w:rPr>
      <w:t xml:space="preserve"> </w:t>
    </w:r>
    <w:r>
      <w:rPr>
        <w:rFonts w:ascii="SimSun" w:hAnsi="SimSun" w:eastAsia="SimSun" w:cs="SimSun"/>
        <w:sz w:val="19"/>
        <w:szCs w:val="19"/>
        <w:spacing w:val="-9"/>
      </w:rPr>
      <w:t>目</w:t>
    </w:r>
    <w:r>
      <w:rPr>
        <w:rFonts w:ascii="SimSun" w:hAnsi="SimSun" w:eastAsia="SimSun" w:cs="SimSun"/>
        <w:sz w:val="19"/>
        <w:szCs w:val="19"/>
        <w:spacing w:val="-5"/>
      </w:rPr>
      <w:t xml:space="preserve"> </w:t>
    </w:r>
    <w:r>
      <w:rPr>
        <w:rFonts w:ascii="SimSun" w:hAnsi="SimSun" w:eastAsia="SimSun" w:cs="SimSun"/>
        <w:sz w:val="19"/>
        <w:szCs w:val="19"/>
        <w:spacing w:val="-9"/>
      </w:rPr>
      <w:t>环</w:t>
    </w:r>
    <w:r>
      <w:rPr>
        <w:rFonts w:ascii="SimSun" w:hAnsi="SimSun" w:eastAsia="SimSun" w:cs="SimSun"/>
        <w:sz w:val="19"/>
        <w:szCs w:val="19"/>
        <w:spacing w:val="-5"/>
      </w:rPr>
      <w:t xml:space="preserve"> </w:t>
    </w:r>
    <w:r>
      <w:rPr>
        <w:rFonts w:ascii="SimSun" w:hAnsi="SimSun" w:eastAsia="SimSun" w:cs="SimSun"/>
        <w:sz w:val="19"/>
        <w:szCs w:val="19"/>
        <w:spacing w:val="-10"/>
      </w:rPr>
      <w:t>境</w:t>
    </w:r>
    <w:r>
      <w:rPr>
        <w:rFonts w:ascii="SimSun" w:hAnsi="SimSun" w:eastAsia="SimSun" w:cs="SimSun"/>
        <w:sz w:val="19"/>
        <w:szCs w:val="19"/>
        <w:spacing w:val="-5"/>
      </w:rPr>
      <w:t xml:space="preserve"> </w:t>
    </w:r>
    <w:r>
      <w:rPr>
        <w:rFonts w:ascii="SimSun" w:hAnsi="SimSun" w:eastAsia="SimSun" w:cs="SimSun"/>
        <w:sz w:val="19"/>
        <w:szCs w:val="19"/>
        <w:spacing w:val="-10"/>
      </w:rPr>
      <w:t>影</w:t>
    </w:r>
    <w:r>
      <w:rPr>
        <w:rFonts w:ascii="SimSun" w:hAnsi="SimSun" w:eastAsia="SimSun" w:cs="SimSun"/>
        <w:sz w:val="19"/>
        <w:szCs w:val="19"/>
        <w:spacing w:val="5"/>
      </w:rPr>
      <w:t xml:space="preserve"> </w:t>
    </w:r>
    <w:r>
      <w:rPr>
        <w:rFonts w:ascii="SimSun" w:hAnsi="SimSun" w:eastAsia="SimSun" w:cs="SimSun"/>
        <w:sz w:val="19"/>
        <w:szCs w:val="19"/>
        <w:spacing w:val="-10"/>
      </w:rPr>
      <w:t>响 报</w:t>
    </w:r>
    <w:r>
      <w:rPr>
        <w:rFonts w:ascii="SimSun" w:hAnsi="SimSun" w:eastAsia="SimSun" w:cs="SimSun"/>
        <w:sz w:val="19"/>
        <w:szCs w:val="19"/>
        <w:spacing w:val="-1"/>
      </w:rPr>
      <w:t xml:space="preserve"> </w:t>
    </w:r>
    <w:r>
      <w:rPr>
        <w:rFonts w:ascii="SimSun" w:hAnsi="SimSun" w:eastAsia="SimSun" w:cs="SimSun"/>
        <w:sz w:val="19"/>
        <w:szCs w:val="19"/>
        <w:spacing w:val="-10"/>
      </w:rPr>
      <w:t>告</w:t>
    </w:r>
    <w:r>
      <w:rPr>
        <w:rFonts w:ascii="SimSun" w:hAnsi="SimSun" w:eastAsia="SimSun" w:cs="SimSun"/>
        <w:sz w:val="19"/>
        <w:szCs w:val="19"/>
        <w:spacing w:val="-1"/>
      </w:rPr>
      <w:t xml:space="preserve"> </w:t>
    </w:r>
    <w:r>
      <w:rPr>
        <w:rFonts w:ascii="SimSun" w:hAnsi="SimSun" w:eastAsia="SimSun" w:cs="SimSun"/>
        <w:sz w:val="19"/>
        <w:szCs w:val="19"/>
        <w:spacing w:val="-10"/>
      </w:rPr>
      <w:t>书</w:t>
    </w:r>
  </w:p>
</w:hdr>
</file>

<file path=word/header8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41"/>
      <w:spacing w:before="51" w:line="218" w:lineRule="auto"/>
      <w:rPr>
        <w:rFonts w:ascii="SimSun" w:hAnsi="SimSun" w:eastAsia="SimSun" w:cs="SimSun"/>
        <w:sz w:val="19"/>
        <w:szCs w:val="19"/>
      </w:rPr>
    </w:pPr>
    <w:r>
      <w:drawing>
        <wp:anchor distT="0" distB="0" distL="0" distR="0" simplePos="0" relativeHeight="251726848" behindDoc="0" locked="0" layoutInCell="1" allowOverlap="1">
          <wp:simplePos x="0" y="0"/>
          <wp:positionH relativeFrom="column">
            <wp:posOffset>79418</wp:posOffset>
          </wp:positionH>
          <wp:positionV relativeFrom="paragraph">
            <wp:posOffset>146811</wp:posOffset>
          </wp:positionV>
          <wp:extent cx="8870924" cy="6350"/>
          <wp:effectExtent l="0" t="0" r="0" b="0"/>
          <wp:wrapNone/>
          <wp:docPr id="60" name="IM 60"/>
          <wp:cNvGraphicFramePr/>
          <a:graphic>
            <a:graphicData uri="http://schemas.openxmlformats.org/drawingml/2006/picture">
              <pic:pic>
                <pic:nvPicPr>
                  <pic:cNvPr id="60" name="IM 60"/>
                  <pic:cNvPicPr/>
                </pic:nvPicPr>
                <pic:blipFill>
                  <a:blip r:embed="rId1"/>
                  <a:stretch>
                    <a:fillRect/>
                  </a:stretch>
                </pic:blipFill>
                <pic:spPr>
                  <a:xfrm rot="0">
                    <a:off x="0" y="0"/>
                    <a:ext cx="8870924" cy="6350"/>
                  </a:xfrm>
                  <a:prstGeom prst="rect">
                    <a:avLst/>
                  </a:prstGeom>
                </pic:spPr>
              </pic:pic>
            </a:graphicData>
          </a:graphic>
        </wp:anchor>
      </w:drawing>
    </w:r>
    <w:r>
      <w:rPr>
        <w:rFonts w:ascii="SimSun" w:hAnsi="SimSun" w:eastAsia="SimSun" w:cs="SimSun"/>
        <w:sz w:val="19"/>
        <w:szCs w:val="19"/>
        <w:spacing w:val="-9"/>
      </w:rPr>
      <w:t>绵 阳 柒 鑫 食 品 有 限 公</w:t>
    </w:r>
    <w:r>
      <w:rPr>
        <w:rFonts w:ascii="SimSun" w:hAnsi="SimSun" w:eastAsia="SimSun" w:cs="SimSun"/>
        <w:sz w:val="19"/>
        <w:szCs w:val="19"/>
        <w:spacing w:val="3"/>
      </w:rPr>
      <w:t xml:space="preserve"> </w:t>
    </w:r>
    <w:r>
      <w:rPr>
        <w:rFonts w:ascii="SimSun" w:hAnsi="SimSun" w:eastAsia="SimSun" w:cs="SimSun"/>
        <w:sz w:val="19"/>
        <w:szCs w:val="19"/>
        <w:spacing w:val="-9"/>
      </w:rPr>
      <w:t>司 A 级 生 猪</w:t>
    </w:r>
    <w:r>
      <w:rPr>
        <w:rFonts w:ascii="SimSun" w:hAnsi="SimSun" w:eastAsia="SimSun" w:cs="SimSun"/>
        <w:sz w:val="19"/>
        <w:szCs w:val="19"/>
        <w:spacing w:val="8"/>
      </w:rPr>
      <w:t xml:space="preserve"> </w:t>
    </w:r>
    <w:r>
      <w:rPr>
        <w:rFonts w:ascii="SimSun" w:hAnsi="SimSun" w:eastAsia="SimSun" w:cs="SimSun"/>
        <w:sz w:val="19"/>
        <w:szCs w:val="19"/>
        <w:spacing w:val="-9"/>
      </w:rPr>
      <w:t>、</w:t>
    </w:r>
    <w:r>
      <w:rPr>
        <w:rFonts w:ascii="SimSun" w:hAnsi="SimSun" w:eastAsia="SimSun" w:cs="SimSun"/>
        <w:sz w:val="19"/>
        <w:szCs w:val="19"/>
        <w:spacing w:val="13"/>
      </w:rPr>
      <w:t xml:space="preserve"> </w:t>
    </w:r>
    <w:r>
      <w:rPr>
        <w:rFonts w:ascii="SimSun" w:hAnsi="SimSun" w:eastAsia="SimSun" w:cs="SimSun"/>
        <w:sz w:val="19"/>
        <w:szCs w:val="19"/>
        <w:spacing w:val="-9"/>
      </w:rPr>
      <w:t>肉 牛</w:t>
    </w:r>
    <w:r>
      <w:rPr>
        <w:rFonts w:ascii="SimSun" w:hAnsi="SimSun" w:eastAsia="SimSun" w:cs="SimSun"/>
        <w:sz w:val="19"/>
        <w:szCs w:val="19"/>
      </w:rPr>
      <w:t xml:space="preserve"> </w:t>
    </w:r>
    <w:r>
      <w:rPr>
        <w:rFonts w:ascii="SimSun" w:hAnsi="SimSun" w:eastAsia="SimSun" w:cs="SimSun"/>
        <w:sz w:val="19"/>
        <w:szCs w:val="19"/>
        <w:spacing w:val="-9"/>
      </w:rPr>
      <w:t>定</w:t>
    </w:r>
    <w:r>
      <w:rPr>
        <w:rFonts w:ascii="SimSun" w:hAnsi="SimSun" w:eastAsia="SimSun" w:cs="SimSun"/>
        <w:sz w:val="19"/>
        <w:szCs w:val="19"/>
        <w:spacing w:val="4"/>
      </w:rPr>
      <w:t xml:space="preserve"> </w:t>
    </w:r>
    <w:r>
      <w:rPr>
        <w:rFonts w:ascii="SimSun" w:hAnsi="SimSun" w:eastAsia="SimSun" w:cs="SimSun"/>
        <w:sz w:val="19"/>
        <w:szCs w:val="19"/>
        <w:spacing w:val="-9"/>
      </w:rPr>
      <w:t>点 屠</w:t>
    </w:r>
    <w:r>
      <w:rPr>
        <w:rFonts w:ascii="SimSun" w:hAnsi="SimSun" w:eastAsia="SimSun" w:cs="SimSun"/>
        <w:sz w:val="19"/>
        <w:szCs w:val="19"/>
        <w:spacing w:val="3"/>
      </w:rPr>
      <w:t xml:space="preserve"> </w:t>
    </w:r>
    <w:r>
      <w:rPr>
        <w:rFonts w:ascii="SimSun" w:hAnsi="SimSun" w:eastAsia="SimSun" w:cs="SimSun"/>
        <w:sz w:val="19"/>
        <w:szCs w:val="19"/>
        <w:spacing w:val="-9"/>
      </w:rPr>
      <w:t>宰 及 食</w:t>
    </w:r>
    <w:r>
      <w:rPr>
        <w:rFonts w:ascii="SimSun" w:hAnsi="SimSun" w:eastAsia="SimSun" w:cs="SimSun"/>
        <w:sz w:val="19"/>
        <w:szCs w:val="19"/>
        <w:spacing w:val="11"/>
      </w:rPr>
      <w:t xml:space="preserve"> </w:t>
    </w:r>
    <w:r>
      <w:rPr>
        <w:rFonts w:ascii="SimSun" w:hAnsi="SimSun" w:eastAsia="SimSun" w:cs="SimSun"/>
        <w:sz w:val="19"/>
        <w:szCs w:val="19"/>
        <w:spacing w:val="-9"/>
      </w:rPr>
      <w:t>品 加</w:t>
    </w:r>
    <w:r>
      <w:rPr>
        <w:rFonts w:ascii="SimSun" w:hAnsi="SimSun" w:eastAsia="SimSun" w:cs="SimSun"/>
        <w:sz w:val="19"/>
        <w:szCs w:val="19"/>
        <w:spacing w:val="-3"/>
      </w:rPr>
      <w:t xml:space="preserve"> </w:t>
    </w:r>
    <w:r>
      <w:rPr>
        <w:rFonts w:ascii="SimSun" w:hAnsi="SimSun" w:eastAsia="SimSun" w:cs="SimSun"/>
        <w:sz w:val="19"/>
        <w:szCs w:val="19"/>
        <w:spacing w:val="-9"/>
      </w:rPr>
      <w:t>工</w:t>
    </w:r>
    <w:r>
      <w:rPr>
        <w:rFonts w:ascii="SimSun" w:hAnsi="SimSun" w:eastAsia="SimSun" w:cs="SimSun"/>
        <w:sz w:val="19"/>
        <w:szCs w:val="19"/>
        <w:spacing w:val="-2"/>
      </w:rPr>
      <w:t xml:space="preserve"> </w:t>
    </w:r>
    <w:r>
      <w:rPr>
        <w:rFonts w:ascii="SimSun" w:hAnsi="SimSun" w:eastAsia="SimSun" w:cs="SimSun"/>
        <w:sz w:val="19"/>
        <w:szCs w:val="19"/>
        <w:spacing w:val="-9"/>
      </w:rPr>
      <w:t>项</w:t>
    </w:r>
    <w:r>
      <w:rPr>
        <w:rFonts w:ascii="SimSun" w:hAnsi="SimSun" w:eastAsia="SimSun" w:cs="SimSun"/>
        <w:sz w:val="19"/>
        <w:szCs w:val="19"/>
        <w:spacing w:val="31"/>
      </w:rPr>
      <w:t xml:space="preserve"> </w:t>
    </w:r>
    <w:r>
      <w:rPr>
        <w:rFonts w:ascii="SimSun" w:hAnsi="SimSun" w:eastAsia="SimSun" w:cs="SimSun"/>
        <w:sz w:val="19"/>
        <w:szCs w:val="19"/>
        <w:spacing w:val="-9"/>
      </w:rPr>
      <w:t>目</w:t>
    </w:r>
    <w:r>
      <w:rPr>
        <w:rFonts w:ascii="SimSun" w:hAnsi="SimSun" w:eastAsia="SimSun" w:cs="SimSun"/>
        <w:sz w:val="19"/>
        <w:szCs w:val="19"/>
        <w:spacing w:val="-5"/>
      </w:rPr>
      <w:t xml:space="preserve"> </w:t>
    </w:r>
    <w:r>
      <w:rPr>
        <w:rFonts w:ascii="SimSun" w:hAnsi="SimSun" w:eastAsia="SimSun" w:cs="SimSun"/>
        <w:sz w:val="19"/>
        <w:szCs w:val="19"/>
        <w:spacing w:val="-9"/>
      </w:rPr>
      <w:t>环</w:t>
    </w:r>
    <w:r>
      <w:rPr>
        <w:rFonts w:ascii="SimSun" w:hAnsi="SimSun" w:eastAsia="SimSun" w:cs="SimSun"/>
        <w:sz w:val="19"/>
        <w:szCs w:val="19"/>
        <w:spacing w:val="-5"/>
      </w:rPr>
      <w:t xml:space="preserve"> </w:t>
    </w:r>
    <w:r>
      <w:rPr>
        <w:rFonts w:ascii="SimSun" w:hAnsi="SimSun" w:eastAsia="SimSun" w:cs="SimSun"/>
        <w:sz w:val="19"/>
        <w:szCs w:val="19"/>
        <w:spacing w:val="-10"/>
      </w:rPr>
      <w:t>境</w:t>
    </w:r>
    <w:r>
      <w:rPr>
        <w:rFonts w:ascii="SimSun" w:hAnsi="SimSun" w:eastAsia="SimSun" w:cs="SimSun"/>
        <w:sz w:val="19"/>
        <w:szCs w:val="19"/>
        <w:spacing w:val="-5"/>
      </w:rPr>
      <w:t xml:space="preserve"> </w:t>
    </w:r>
    <w:r>
      <w:rPr>
        <w:rFonts w:ascii="SimSun" w:hAnsi="SimSun" w:eastAsia="SimSun" w:cs="SimSun"/>
        <w:sz w:val="19"/>
        <w:szCs w:val="19"/>
        <w:spacing w:val="-10"/>
      </w:rPr>
      <w:t>影</w:t>
    </w:r>
    <w:r>
      <w:rPr>
        <w:rFonts w:ascii="SimSun" w:hAnsi="SimSun" w:eastAsia="SimSun" w:cs="SimSun"/>
        <w:sz w:val="19"/>
        <w:szCs w:val="19"/>
        <w:spacing w:val="5"/>
      </w:rPr>
      <w:t xml:space="preserve"> </w:t>
    </w:r>
    <w:r>
      <w:rPr>
        <w:rFonts w:ascii="SimSun" w:hAnsi="SimSun" w:eastAsia="SimSun" w:cs="SimSun"/>
        <w:sz w:val="19"/>
        <w:szCs w:val="19"/>
        <w:spacing w:val="-10"/>
      </w:rPr>
      <w:t>响 报</w:t>
    </w:r>
    <w:r>
      <w:rPr>
        <w:rFonts w:ascii="SimSun" w:hAnsi="SimSun" w:eastAsia="SimSun" w:cs="SimSun"/>
        <w:sz w:val="19"/>
        <w:szCs w:val="19"/>
        <w:spacing w:val="-1"/>
      </w:rPr>
      <w:t xml:space="preserve"> </w:t>
    </w:r>
    <w:r>
      <w:rPr>
        <w:rFonts w:ascii="SimSun" w:hAnsi="SimSun" w:eastAsia="SimSun" w:cs="SimSun"/>
        <w:sz w:val="19"/>
        <w:szCs w:val="19"/>
        <w:spacing w:val="-10"/>
      </w:rPr>
      <w:t>告</w:t>
    </w:r>
    <w:r>
      <w:rPr>
        <w:rFonts w:ascii="SimSun" w:hAnsi="SimSun" w:eastAsia="SimSun" w:cs="SimSun"/>
        <w:sz w:val="19"/>
        <w:szCs w:val="19"/>
        <w:spacing w:val="-1"/>
      </w:rPr>
      <w:t xml:space="preserve"> </w:t>
    </w:r>
    <w:r>
      <w:rPr>
        <w:rFonts w:ascii="SimSun" w:hAnsi="SimSun" w:eastAsia="SimSun" w:cs="SimSun"/>
        <w:sz w:val="19"/>
        <w:szCs w:val="19"/>
        <w:spacing w:val="-10"/>
      </w:rPr>
      <w:t>书</w:t>
    </w:r>
  </w:p>
</w:hdr>
</file>

<file path=word/header8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21"/>
      <w:spacing w:before="51" w:line="218" w:lineRule="auto"/>
      <w:rPr>
        <w:rFonts w:ascii="SimSun" w:hAnsi="SimSun" w:eastAsia="SimSun" w:cs="SimSun"/>
        <w:sz w:val="19"/>
        <w:szCs w:val="19"/>
      </w:rPr>
    </w:pPr>
    <w:r>
      <w:drawing>
        <wp:anchor distT="0" distB="0" distL="0" distR="0" simplePos="0" relativeHeight="251727872" behindDoc="0" locked="0" layoutInCell="1" allowOverlap="1">
          <wp:simplePos x="0" y="0"/>
          <wp:positionH relativeFrom="column">
            <wp:posOffset>66693</wp:posOffset>
          </wp:positionH>
          <wp:positionV relativeFrom="paragraph">
            <wp:posOffset>146811</wp:posOffset>
          </wp:positionV>
          <wp:extent cx="8870924" cy="6350"/>
          <wp:effectExtent l="0" t="0" r="0" b="0"/>
          <wp:wrapNone/>
          <wp:docPr id="62" name="IM 62"/>
          <wp:cNvGraphicFramePr/>
          <a:graphic>
            <a:graphicData uri="http://schemas.openxmlformats.org/drawingml/2006/picture">
              <pic:pic>
                <pic:nvPicPr>
                  <pic:cNvPr id="62" name="IM 62"/>
                  <pic:cNvPicPr/>
                </pic:nvPicPr>
                <pic:blipFill>
                  <a:blip r:embed="rId1"/>
                  <a:stretch>
                    <a:fillRect/>
                  </a:stretch>
                </pic:blipFill>
                <pic:spPr>
                  <a:xfrm rot="0">
                    <a:off x="0" y="0"/>
                    <a:ext cx="8870924" cy="6350"/>
                  </a:xfrm>
                  <a:prstGeom prst="rect">
                    <a:avLst/>
                  </a:prstGeom>
                </pic:spPr>
              </pic:pic>
            </a:graphicData>
          </a:graphic>
        </wp:anchor>
      </w:drawing>
    </w:r>
    <w:r>
      <w:rPr>
        <w:rFonts w:ascii="SimSun" w:hAnsi="SimSun" w:eastAsia="SimSun" w:cs="SimSun"/>
        <w:sz w:val="19"/>
        <w:szCs w:val="19"/>
        <w:spacing w:val="-9"/>
      </w:rPr>
      <w:t>绵 阳 柒 鑫 食 品 有 限 公</w:t>
    </w:r>
    <w:r>
      <w:rPr>
        <w:rFonts w:ascii="SimSun" w:hAnsi="SimSun" w:eastAsia="SimSun" w:cs="SimSun"/>
        <w:sz w:val="19"/>
        <w:szCs w:val="19"/>
        <w:spacing w:val="3"/>
      </w:rPr>
      <w:t xml:space="preserve"> </w:t>
    </w:r>
    <w:r>
      <w:rPr>
        <w:rFonts w:ascii="SimSun" w:hAnsi="SimSun" w:eastAsia="SimSun" w:cs="SimSun"/>
        <w:sz w:val="19"/>
        <w:szCs w:val="19"/>
        <w:spacing w:val="-9"/>
      </w:rPr>
      <w:t>司 A 级 生 猪</w:t>
    </w:r>
    <w:r>
      <w:rPr>
        <w:rFonts w:ascii="SimSun" w:hAnsi="SimSun" w:eastAsia="SimSun" w:cs="SimSun"/>
        <w:sz w:val="19"/>
        <w:szCs w:val="19"/>
        <w:spacing w:val="8"/>
      </w:rPr>
      <w:t xml:space="preserve"> </w:t>
    </w:r>
    <w:r>
      <w:rPr>
        <w:rFonts w:ascii="SimSun" w:hAnsi="SimSun" w:eastAsia="SimSun" w:cs="SimSun"/>
        <w:sz w:val="19"/>
        <w:szCs w:val="19"/>
        <w:spacing w:val="-9"/>
      </w:rPr>
      <w:t>、</w:t>
    </w:r>
    <w:r>
      <w:rPr>
        <w:rFonts w:ascii="SimSun" w:hAnsi="SimSun" w:eastAsia="SimSun" w:cs="SimSun"/>
        <w:sz w:val="19"/>
        <w:szCs w:val="19"/>
        <w:spacing w:val="13"/>
      </w:rPr>
      <w:t xml:space="preserve"> </w:t>
    </w:r>
    <w:r>
      <w:rPr>
        <w:rFonts w:ascii="SimSun" w:hAnsi="SimSun" w:eastAsia="SimSun" w:cs="SimSun"/>
        <w:sz w:val="19"/>
        <w:szCs w:val="19"/>
        <w:spacing w:val="-9"/>
      </w:rPr>
      <w:t>肉 牛</w:t>
    </w:r>
    <w:r>
      <w:rPr>
        <w:rFonts w:ascii="SimSun" w:hAnsi="SimSun" w:eastAsia="SimSun" w:cs="SimSun"/>
        <w:sz w:val="19"/>
        <w:szCs w:val="19"/>
      </w:rPr>
      <w:t xml:space="preserve"> </w:t>
    </w:r>
    <w:r>
      <w:rPr>
        <w:rFonts w:ascii="SimSun" w:hAnsi="SimSun" w:eastAsia="SimSun" w:cs="SimSun"/>
        <w:sz w:val="19"/>
        <w:szCs w:val="19"/>
        <w:spacing w:val="-9"/>
      </w:rPr>
      <w:t>定</w:t>
    </w:r>
    <w:r>
      <w:rPr>
        <w:rFonts w:ascii="SimSun" w:hAnsi="SimSun" w:eastAsia="SimSun" w:cs="SimSun"/>
        <w:sz w:val="19"/>
        <w:szCs w:val="19"/>
        <w:spacing w:val="4"/>
      </w:rPr>
      <w:t xml:space="preserve"> </w:t>
    </w:r>
    <w:r>
      <w:rPr>
        <w:rFonts w:ascii="SimSun" w:hAnsi="SimSun" w:eastAsia="SimSun" w:cs="SimSun"/>
        <w:sz w:val="19"/>
        <w:szCs w:val="19"/>
        <w:spacing w:val="-9"/>
      </w:rPr>
      <w:t>点 屠</w:t>
    </w:r>
    <w:r>
      <w:rPr>
        <w:rFonts w:ascii="SimSun" w:hAnsi="SimSun" w:eastAsia="SimSun" w:cs="SimSun"/>
        <w:sz w:val="19"/>
        <w:szCs w:val="19"/>
        <w:spacing w:val="3"/>
      </w:rPr>
      <w:t xml:space="preserve"> </w:t>
    </w:r>
    <w:r>
      <w:rPr>
        <w:rFonts w:ascii="SimSun" w:hAnsi="SimSun" w:eastAsia="SimSun" w:cs="SimSun"/>
        <w:sz w:val="19"/>
        <w:szCs w:val="19"/>
        <w:spacing w:val="-9"/>
      </w:rPr>
      <w:t>宰 及 食</w:t>
    </w:r>
    <w:r>
      <w:rPr>
        <w:rFonts w:ascii="SimSun" w:hAnsi="SimSun" w:eastAsia="SimSun" w:cs="SimSun"/>
        <w:sz w:val="19"/>
        <w:szCs w:val="19"/>
        <w:spacing w:val="11"/>
      </w:rPr>
      <w:t xml:space="preserve"> </w:t>
    </w:r>
    <w:r>
      <w:rPr>
        <w:rFonts w:ascii="SimSun" w:hAnsi="SimSun" w:eastAsia="SimSun" w:cs="SimSun"/>
        <w:sz w:val="19"/>
        <w:szCs w:val="19"/>
        <w:spacing w:val="-9"/>
      </w:rPr>
      <w:t>品 加</w:t>
    </w:r>
    <w:r>
      <w:rPr>
        <w:rFonts w:ascii="SimSun" w:hAnsi="SimSun" w:eastAsia="SimSun" w:cs="SimSun"/>
        <w:sz w:val="19"/>
        <w:szCs w:val="19"/>
        <w:spacing w:val="-3"/>
      </w:rPr>
      <w:t xml:space="preserve"> </w:t>
    </w:r>
    <w:r>
      <w:rPr>
        <w:rFonts w:ascii="SimSun" w:hAnsi="SimSun" w:eastAsia="SimSun" w:cs="SimSun"/>
        <w:sz w:val="19"/>
        <w:szCs w:val="19"/>
        <w:spacing w:val="-9"/>
      </w:rPr>
      <w:t>工</w:t>
    </w:r>
    <w:r>
      <w:rPr>
        <w:rFonts w:ascii="SimSun" w:hAnsi="SimSun" w:eastAsia="SimSun" w:cs="SimSun"/>
        <w:sz w:val="19"/>
        <w:szCs w:val="19"/>
        <w:spacing w:val="-2"/>
      </w:rPr>
      <w:t xml:space="preserve"> </w:t>
    </w:r>
    <w:r>
      <w:rPr>
        <w:rFonts w:ascii="SimSun" w:hAnsi="SimSun" w:eastAsia="SimSun" w:cs="SimSun"/>
        <w:sz w:val="19"/>
        <w:szCs w:val="19"/>
        <w:spacing w:val="-9"/>
      </w:rPr>
      <w:t>项</w:t>
    </w:r>
    <w:r>
      <w:rPr>
        <w:rFonts w:ascii="SimSun" w:hAnsi="SimSun" w:eastAsia="SimSun" w:cs="SimSun"/>
        <w:sz w:val="19"/>
        <w:szCs w:val="19"/>
        <w:spacing w:val="31"/>
      </w:rPr>
      <w:t xml:space="preserve"> </w:t>
    </w:r>
    <w:r>
      <w:rPr>
        <w:rFonts w:ascii="SimSun" w:hAnsi="SimSun" w:eastAsia="SimSun" w:cs="SimSun"/>
        <w:sz w:val="19"/>
        <w:szCs w:val="19"/>
        <w:spacing w:val="-9"/>
      </w:rPr>
      <w:t>目</w:t>
    </w:r>
    <w:r>
      <w:rPr>
        <w:rFonts w:ascii="SimSun" w:hAnsi="SimSun" w:eastAsia="SimSun" w:cs="SimSun"/>
        <w:sz w:val="19"/>
        <w:szCs w:val="19"/>
        <w:spacing w:val="-5"/>
      </w:rPr>
      <w:t xml:space="preserve"> </w:t>
    </w:r>
    <w:r>
      <w:rPr>
        <w:rFonts w:ascii="SimSun" w:hAnsi="SimSun" w:eastAsia="SimSun" w:cs="SimSun"/>
        <w:sz w:val="19"/>
        <w:szCs w:val="19"/>
        <w:spacing w:val="-9"/>
      </w:rPr>
      <w:t>环</w:t>
    </w:r>
    <w:r>
      <w:rPr>
        <w:rFonts w:ascii="SimSun" w:hAnsi="SimSun" w:eastAsia="SimSun" w:cs="SimSun"/>
        <w:sz w:val="19"/>
        <w:szCs w:val="19"/>
        <w:spacing w:val="-5"/>
      </w:rPr>
      <w:t xml:space="preserve"> </w:t>
    </w:r>
    <w:r>
      <w:rPr>
        <w:rFonts w:ascii="SimSun" w:hAnsi="SimSun" w:eastAsia="SimSun" w:cs="SimSun"/>
        <w:sz w:val="19"/>
        <w:szCs w:val="19"/>
        <w:spacing w:val="-10"/>
      </w:rPr>
      <w:t>境</w:t>
    </w:r>
    <w:r>
      <w:rPr>
        <w:rFonts w:ascii="SimSun" w:hAnsi="SimSun" w:eastAsia="SimSun" w:cs="SimSun"/>
        <w:sz w:val="19"/>
        <w:szCs w:val="19"/>
        <w:spacing w:val="-5"/>
      </w:rPr>
      <w:t xml:space="preserve"> </w:t>
    </w:r>
    <w:r>
      <w:rPr>
        <w:rFonts w:ascii="SimSun" w:hAnsi="SimSun" w:eastAsia="SimSun" w:cs="SimSun"/>
        <w:sz w:val="19"/>
        <w:szCs w:val="19"/>
        <w:spacing w:val="-10"/>
      </w:rPr>
      <w:t>影</w:t>
    </w:r>
    <w:r>
      <w:rPr>
        <w:rFonts w:ascii="SimSun" w:hAnsi="SimSun" w:eastAsia="SimSun" w:cs="SimSun"/>
        <w:sz w:val="19"/>
        <w:szCs w:val="19"/>
        <w:spacing w:val="5"/>
      </w:rPr>
      <w:t xml:space="preserve"> </w:t>
    </w:r>
    <w:r>
      <w:rPr>
        <w:rFonts w:ascii="SimSun" w:hAnsi="SimSun" w:eastAsia="SimSun" w:cs="SimSun"/>
        <w:sz w:val="19"/>
        <w:szCs w:val="19"/>
        <w:spacing w:val="-10"/>
      </w:rPr>
      <w:t>响 报</w:t>
    </w:r>
    <w:r>
      <w:rPr>
        <w:rFonts w:ascii="SimSun" w:hAnsi="SimSun" w:eastAsia="SimSun" w:cs="SimSun"/>
        <w:sz w:val="19"/>
        <w:szCs w:val="19"/>
        <w:spacing w:val="-1"/>
      </w:rPr>
      <w:t xml:space="preserve"> </w:t>
    </w:r>
    <w:r>
      <w:rPr>
        <w:rFonts w:ascii="SimSun" w:hAnsi="SimSun" w:eastAsia="SimSun" w:cs="SimSun"/>
        <w:sz w:val="19"/>
        <w:szCs w:val="19"/>
        <w:spacing w:val="-10"/>
      </w:rPr>
      <w:t>告</w:t>
    </w:r>
    <w:r>
      <w:rPr>
        <w:rFonts w:ascii="SimSun" w:hAnsi="SimSun" w:eastAsia="SimSun" w:cs="SimSun"/>
        <w:sz w:val="19"/>
        <w:szCs w:val="19"/>
        <w:spacing w:val="-1"/>
      </w:rPr>
      <w:t xml:space="preserve"> </w:t>
    </w:r>
    <w:r>
      <w:rPr>
        <w:rFonts w:ascii="SimSun" w:hAnsi="SimSun" w:eastAsia="SimSun" w:cs="SimSun"/>
        <w:sz w:val="19"/>
        <w:szCs w:val="19"/>
        <w:spacing w:val="-10"/>
      </w:rPr>
      <w:t>书</w:t>
    </w:r>
  </w:p>
</w:hdr>
</file>

<file path=word/header9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51" w:line="218" w:lineRule="auto"/>
      <w:tabs>
        <w:tab w:val="left" w:pos="272"/>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9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51" w:line="218" w:lineRule="auto"/>
      <w:tabs>
        <w:tab w:val="left" w:pos="271"/>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4"/>
      </w:rPr>
      <w:t>绵阳柒鑫食品有限公司A级生猪、肉牛定点屠宰及食品加工项目环境影响报告书</w:t>
    </w:r>
    <w:r>
      <w:rPr>
        <w:rFonts w:ascii="SimSun" w:hAnsi="SimSun" w:eastAsia="SimSun" w:cs="SimSun"/>
        <w:sz w:val="19"/>
        <w:szCs w:val="19"/>
        <w:u w:val="single" w:color="auto"/>
        <w:spacing w:val="3"/>
      </w:rPr>
      <w:t xml:space="preserve">   </w:t>
    </w:r>
  </w:p>
</w:hdr>
</file>

<file path=word/header9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
      <w:spacing w:before="61" w:line="218" w:lineRule="auto"/>
      <w:tabs>
        <w:tab w:val="left" w:pos="283"/>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w:t>
    </w:r>
    <w:r>
      <w:rPr>
        <w:rFonts w:ascii="SimSun" w:hAnsi="SimSun" w:eastAsia="SimSun" w:cs="SimSun"/>
        <w:sz w:val="23"/>
        <w:szCs w:val="23"/>
        <w:u w:val="single" w:color="auto"/>
        <w:spacing w:val="-4"/>
      </w:rPr>
      <w:t>目环境影响报告书</w:t>
    </w:r>
    <w:r>
      <w:rPr>
        <w:rFonts w:ascii="SimSun" w:hAnsi="SimSun" w:eastAsia="SimSun" w:cs="SimSun"/>
        <w:sz w:val="23"/>
        <w:szCs w:val="23"/>
        <w:u w:val="single" w:color="auto"/>
      </w:rPr>
      <w:t xml:space="preserve">  </w:t>
    </w:r>
  </w:p>
</w:hdr>
</file>

<file path=word/header9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51" w:line="218" w:lineRule="auto"/>
      <w:tabs>
        <w:tab w:val="left" w:pos="271"/>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4"/>
      </w:rPr>
      <w:t>绵阳柒鑫食品有限公司A级生猪、肉牛定点屠宰及食品加工项目环境影响报告书</w:t>
    </w:r>
    <w:r>
      <w:rPr>
        <w:rFonts w:ascii="SimSun" w:hAnsi="SimSun" w:eastAsia="SimSun" w:cs="SimSun"/>
        <w:sz w:val="19"/>
        <w:szCs w:val="19"/>
        <w:u w:val="single" w:color="auto"/>
        <w:spacing w:val="3"/>
      </w:rPr>
      <w:t xml:space="preserve">   </w:t>
    </w:r>
  </w:p>
</w:hdr>
</file>

<file path=word/header9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61" w:line="218" w:lineRule="auto"/>
      <w:tabs>
        <w:tab w:val="left" w:pos="238"/>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绵阳柒鑫食品有限公司A级生猪、肉牛定点屠宰及食品加工项目环境影响报告书</w:t>
    </w:r>
    <w:r>
      <w:rPr>
        <w:rFonts w:ascii="SimSun" w:hAnsi="SimSun" w:eastAsia="SimSun" w:cs="SimSun"/>
        <w:sz w:val="23"/>
        <w:szCs w:val="23"/>
        <w:u w:val="single" w:color="auto"/>
        <w:spacing w:val="1"/>
      </w:rPr>
      <w:t xml:space="preserve">  </w:t>
    </w:r>
  </w:p>
</w:hdr>
</file>

<file path=word/header9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
      <w:spacing w:before="51" w:line="218" w:lineRule="auto"/>
      <w:tabs>
        <w:tab w:val="left" w:pos="282"/>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9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51" w:line="218" w:lineRule="auto"/>
      <w:tabs>
        <w:tab w:val="left" w:pos="272"/>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9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
      <w:spacing w:before="51" w:line="218" w:lineRule="auto"/>
      <w:tabs>
        <w:tab w:val="left" w:pos="369"/>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28"/>
      </w:rPr>
      <w:t>绵阳柒鑫食品有限公司A级生猪、肉牛定点屠宰及食品加工项目环境影响报告书 </w:t>
    </w:r>
    <w:r>
      <w:rPr>
        <w:rFonts w:ascii="SimSun" w:hAnsi="SimSun" w:eastAsia="SimSun" w:cs="SimSun"/>
        <w:sz w:val="19"/>
        <w:szCs w:val="19"/>
        <w:u w:val="single" w:color="auto"/>
        <w:spacing w:val="27"/>
      </w:rPr>
      <w:t xml:space="preserve">   </w:t>
    </w:r>
  </w:p>
</w:hdr>
</file>

<file path=word/header9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59"/>
      <w:spacing w:before="51" w:line="218" w:lineRule="auto"/>
      <w:tabs>
        <w:tab w:val="left" w:pos="430"/>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4"/>
      </w:rPr>
      <w:t>绵阳柒鑫食品有限公司A级生猪、肉牛定点屠宰及食品加工项目环境影响报告书</w:t>
    </w:r>
    <w:r>
      <w:rPr>
        <w:rFonts w:ascii="SimSun" w:hAnsi="SimSun" w:eastAsia="SimSun" w:cs="SimSun"/>
        <w:sz w:val="19"/>
        <w:szCs w:val="19"/>
        <w:u w:val="single" w:color="auto"/>
        <w:spacing w:val="3"/>
      </w:rPr>
      <w:t xml:space="preserve">   </w:t>
    </w:r>
  </w:p>
</w:hdr>
</file>

<file path=word/header9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5"/>
      <w:spacing w:before="51" w:line="218" w:lineRule="auto"/>
      <w:tabs>
        <w:tab w:val="left" w:pos="330"/>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6"/>
      </w:rPr>
      <w:t>绵阳柒鑫食品有限公司A级生猪、肉牛定点屠宰及食品加工项目环境影响报告书</w:t>
    </w:r>
    <w:r>
      <w:rPr>
        <w:rFonts w:ascii="SimSun" w:hAnsi="SimSun" w:eastAsia="SimSun" w:cs="SimSun"/>
        <w:sz w:val="19"/>
        <w:szCs w:val="19"/>
        <w:u w:val="single" w:color="auto"/>
        <w:spacing w:val="1"/>
      </w:rPr>
      <w:t xml:space="preserve">   </w:t>
    </w:r>
  </w:p>
</w:hdr>
</file>

<file path=word/header10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75"/>
      <w:spacing w:before="56" w:line="218" w:lineRule="auto"/>
      <w:tabs>
        <w:tab w:val="left" w:pos="432"/>
      </w:tabs>
      <w:rPr>
        <w:rFonts w:ascii="SimSun" w:hAnsi="SimSun" w:eastAsia="SimSun" w:cs="SimSun"/>
        <w:sz w:val="21"/>
        <w:szCs w:val="21"/>
      </w:rPr>
    </w:pPr>
    <w:r>
      <w:rPr>
        <w:rFonts w:ascii="SimSun" w:hAnsi="SimSun" w:eastAsia="SimSun" w:cs="SimSun"/>
        <w:sz w:val="21"/>
        <w:szCs w:val="21"/>
        <w:u w:val="single" w:color="auto"/>
      </w:rPr>
      <w:tab/>
    </w:r>
    <w:r>
      <w:rPr>
        <w:rFonts w:ascii="SimSun" w:hAnsi="SimSun" w:eastAsia="SimSun" w:cs="SimSun"/>
        <w:sz w:val="21"/>
        <w:szCs w:val="21"/>
        <w:u w:val="single" w:color="auto"/>
        <w:spacing w:val="18"/>
      </w:rPr>
      <w:t>绵阳柒鑫食品有限公司A级生猪、肉牛定点屠宰及食品</w:t>
    </w:r>
    <w:r>
      <w:rPr>
        <w:rFonts w:ascii="SimSun" w:hAnsi="SimSun" w:eastAsia="SimSun" w:cs="SimSun"/>
        <w:sz w:val="21"/>
        <w:szCs w:val="21"/>
        <w:u w:val="single" w:color="auto"/>
        <w:spacing w:val="17"/>
      </w:rPr>
      <w:t>加工项目环境影响报告书</w:t>
    </w:r>
    <w:r>
      <w:rPr>
        <w:rFonts w:ascii="SimSun" w:hAnsi="SimSun" w:eastAsia="SimSun" w:cs="SimSun"/>
        <w:sz w:val="21"/>
        <w:szCs w:val="21"/>
        <w:u w:val="single" w:color="auto"/>
      </w:rPr>
      <w:t xml:space="preserve">   </w:t>
    </w:r>
  </w:p>
</w:hdr>
</file>

<file path=word/header10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34"/>
      <w:spacing w:before="51" w:line="218" w:lineRule="auto"/>
      <w:tabs>
        <w:tab w:val="left" w:pos="50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绵阳柒鑫食品有限公司A级生猪、肉牛定点屠宰及食品加工项目环</w:t>
    </w:r>
    <w:r>
      <w:rPr>
        <w:rFonts w:ascii="SimSun" w:hAnsi="SimSun" w:eastAsia="SimSun" w:cs="SimSun"/>
        <w:sz w:val="19"/>
        <w:szCs w:val="19"/>
        <w:u w:val="single" w:color="auto"/>
        <w:spacing w:val="34"/>
      </w:rPr>
      <w:t>境影响报告书</w:t>
    </w:r>
    <w:r>
      <w:rPr>
        <w:rFonts w:ascii="SimSun" w:hAnsi="SimSun" w:eastAsia="SimSun" w:cs="SimSun"/>
        <w:sz w:val="19"/>
        <w:szCs w:val="19"/>
        <w:u w:val="single" w:color="auto"/>
      </w:rPr>
      <w:t xml:space="preserve">   </w:t>
    </w:r>
  </w:p>
</w:hdr>
</file>

<file path=word/header10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75"/>
      <w:spacing w:before="51" w:line="218" w:lineRule="auto"/>
      <w:tabs>
        <w:tab w:val="left" w:pos="545"/>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4"/>
      </w:rPr>
      <w:t>绵阳柒鑫食品有限公司A级生猪、肉牛定点屠宰及食品加工项目环境影响报告书</w:t>
    </w:r>
    <w:r>
      <w:rPr>
        <w:rFonts w:ascii="SimSun" w:hAnsi="SimSun" w:eastAsia="SimSun" w:cs="SimSun"/>
        <w:sz w:val="19"/>
        <w:szCs w:val="19"/>
        <w:u w:val="single" w:color="auto"/>
        <w:spacing w:val="3"/>
      </w:rPr>
      <w:t xml:space="preserve">   </w:t>
    </w:r>
  </w:p>
</w:hdr>
</file>

<file path=word/header10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51" w:line="218" w:lineRule="auto"/>
      <w:tabs>
        <w:tab w:val="left" w:pos="271"/>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4"/>
      </w:rPr>
      <w:t>绵阳柒鑫食品有限公司A级生猪、肉牛定点屠宰及食品加工项目环境影响报告书</w:t>
    </w:r>
    <w:r>
      <w:rPr>
        <w:rFonts w:ascii="SimSun" w:hAnsi="SimSun" w:eastAsia="SimSun" w:cs="SimSun"/>
        <w:sz w:val="19"/>
        <w:szCs w:val="19"/>
        <w:u w:val="single" w:color="auto"/>
        <w:spacing w:val="3"/>
      </w:rPr>
      <w:t xml:space="preserve">   </w:t>
    </w:r>
  </w:p>
</w:hdr>
</file>

<file path=word/header10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
      <w:spacing w:before="51" w:line="218" w:lineRule="auto"/>
      <w:tabs>
        <w:tab w:val="left" w:pos="275"/>
      </w:tabs>
      <w:rPr>
        <w:rFonts w:ascii="SimSun" w:hAnsi="SimSun" w:eastAsia="SimSun" w:cs="SimSun"/>
        <w:sz w:val="19"/>
        <w:szCs w:val="19"/>
      </w:rPr>
    </w:pPr>
    <w:r>
      <w:pict>
        <v:shape id="WordPictureWatermark82" style="position:absolute;margin-left:110.501pt;margin-top:71.9994pt;mso-position-vertical-relative:page;mso-position-horizontal-relative:page;width:366.55pt;height:444.55pt;z-index:-251569152;" o:allowincell="f" filled="false" stroked="false" type="#_x0000_t75">
          <v:imagedata o:title="" r:id="rId1"/>
        </v:shape>
      </w:pict>
    </w:r>
    <w:r>
      <w:rPr>
        <w:rFonts w:ascii="SimSun" w:hAnsi="SimSun" w:eastAsia="SimSun" w:cs="SimSun"/>
        <w:sz w:val="19"/>
        <w:szCs w:val="19"/>
        <w:u w:val="single" w:color="auto"/>
      </w:rPr>
      <w:tab/>
    </w:r>
    <w:r>
      <w:rPr>
        <w:rFonts w:ascii="SimSun" w:hAnsi="SimSun" w:eastAsia="SimSun" w:cs="SimSun"/>
        <w:sz w:val="19"/>
        <w:szCs w:val="19"/>
        <w:u w:val="single" w:color="auto"/>
        <w:spacing w:val="34"/>
      </w:rPr>
      <w:t>绵阳柒鑫食品有限公司A级生猪、肉牛定点屠宰及食品加工项目环境影响报告书</w:t>
    </w:r>
    <w:r>
      <w:rPr>
        <w:rFonts w:ascii="SimSun" w:hAnsi="SimSun" w:eastAsia="SimSun" w:cs="SimSun"/>
        <w:sz w:val="19"/>
        <w:szCs w:val="19"/>
        <w:u w:val="single" w:color="auto"/>
        <w:spacing w:val="3"/>
      </w:rPr>
      <w:t xml:space="preserve">   </w:t>
    </w:r>
  </w:p>
</w:hdr>
</file>

<file path=word/header10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61" w:line="218" w:lineRule="auto"/>
      <w:tabs>
        <w:tab w:val="left" w:pos="238"/>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绵阳柒鑫食品有限公司A级生猪、肉牛定点屠宰及食品加工项目环境影响报告书</w:t>
    </w:r>
    <w:r>
      <w:rPr>
        <w:rFonts w:ascii="SimSun" w:hAnsi="SimSun" w:eastAsia="SimSun" w:cs="SimSun"/>
        <w:sz w:val="23"/>
        <w:szCs w:val="23"/>
        <w:u w:val="single" w:color="auto"/>
        <w:spacing w:val="1"/>
      </w:rPr>
      <w:t xml:space="preserve">  </w:t>
    </w:r>
  </w:p>
</w:hdr>
</file>

<file path=word/header10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80"/>
      <w:spacing w:before="45" w:line="218" w:lineRule="auto"/>
      <w:rPr>
        <w:rFonts w:ascii="SimSun" w:hAnsi="SimSun" w:eastAsia="SimSun" w:cs="SimSun"/>
        <w:sz w:val="17"/>
        <w:szCs w:val="17"/>
      </w:rPr>
    </w:pPr>
    <w:r>
      <w:pict>
        <v:shape id="WordPictureWatermark92" style="position:absolute;margin-left:97.001pt;margin-top:185.998pt;mso-position-vertical-relative:page;mso-position-horizontal-relative:page;width:397.5pt;height:390.05pt;z-index:-251565056;" o:allowincell="f" filled="false" stroked="false" type="#_x0000_t75">
          <v:imagedata o:title="" r:id="rId1"/>
        </v:shape>
      </w:pict>
    </w:r>
    <w:r>
      <w:drawing>
        <wp:anchor distT="0" distB="0" distL="0" distR="0" simplePos="0" relativeHeight="251752448" behindDoc="0" locked="0" layoutInCell="1" allowOverlap="1">
          <wp:simplePos x="0" y="0"/>
          <wp:positionH relativeFrom="column">
            <wp:posOffset>12705</wp:posOffset>
          </wp:positionH>
          <wp:positionV relativeFrom="paragraph">
            <wp:posOffset>133452</wp:posOffset>
          </wp:positionV>
          <wp:extent cx="5270549" cy="6350"/>
          <wp:effectExtent l="0" t="0" r="0" b="0"/>
          <wp:wrapNone/>
          <wp:docPr id="64" name="IM 64"/>
          <wp:cNvGraphicFramePr/>
          <a:graphic>
            <a:graphicData uri="http://schemas.openxmlformats.org/drawingml/2006/picture">
              <pic:pic>
                <pic:nvPicPr>
                  <pic:cNvPr id="64" name="IM 64"/>
                  <pic:cNvPicPr/>
                </pic:nvPicPr>
                <pic:blipFill>
                  <a:blip r:embed="rId2"/>
                  <a:stretch>
                    <a:fillRect/>
                  </a:stretch>
                </pic:blipFill>
                <pic:spPr>
                  <a:xfrm rot="0">
                    <a:off x="0" y="0"/>
                    <a:ext cx="5270549" cy="6350"/>
                  </a:xfrm>
                  <a:prstGeom prst="rect">
                    <a:avLst/>
                  </a:prstGeom>
                </pic:spPr>
              </pic:pic>
            </a:graphicData>
          </a:graphic>
        </wp:anchor>
      </w:drawing>
    </w:r>
    <w:r>
      <w:rPr>
        <w:rFonts w:ascii="SimSun" w:hAnsi="SimSun" w:eastAsia="SimSun" w:cs="SimSun"/>
        <w:sz w:val="17"/>
        <w:szCs w:val="17"/>
        <w:spacing w:val="29"/>
      </w:rPr>
      <w:t>绵阳柒鑫食品有限公司</w:t>
    </w:r>
    <w:r>
      <w:rPr>
        <w:rFonts w:ascii="Times New Roman" w:hAnsi="Times New Roman" w:eastAsia="Times New Roman" w:cs="Times New Roman"/>
        <w:sz w:val="13"/>
        <w:szCs w:val="13"/>
        <w:spacing w:val="29"/>
      </w:rPr>
      <w:t>A</w:t>
    </w:r>
    <w:r>
      <w:rPr>
        <w:rFonts w:ascii="Times New Roman" w:hAnsi="Times New Roman" w:eastAsia="Times New Roman" w:cs="Times New Roman"/>
        <w:sz w:val="13"/>
        <w:szCs w:val="13"/>
        <w:spacing w:val="24"/>
        <w:w w:val="102"/>
      </w:rPr>
      <w:t xml:space="preserve"> </w:t>
    </w:r>
    <w:r>
      <w:rPr>
        <w:rFonts w:ascii="SimSun" w:hAnsi="SimSun" w:eastAsia="SimSun" w:cs="SimSun"/>
        <w:sz w:val="17"/>
        <w:szCs w:val="17"/>
        <w:spacing w:val="29"/>
      </w:rPr>
      <w:t>级生猪、肉牛定点屠宰及食品加工项目环</w:t>
    </w:r>
    <w:r>
      <w:rPr>
        <w:rFonts w:ascii="SimSun" w:hAnsi="SimSun" w:eastAsia="SimSun" w:cs="SimSun"/>
        <w:sz w:val="17"/>
        <w:szCs w:val="17"/>
        <w:spacing w:val="28"/>
      </w:rPr>
      <w:t>境影响报告书</w:t>
    </w:r>
  </w:p>
</w:hdr>
</file>

<file path=word/header10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51" w:line="218" w:lineRule="auto"/>
      <w:tabs>
        <w:tab w:val="left" w:pos="272"/>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10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
      <w:spacing w:before="59" w:line="218" w:lineRule="auto"/>
      <w:tabs>
        <w:tab w:val="left" w:pos="251"/>
      </w:tabs>
      <w:rPr>
        <w:rFonts w:ascii="SimSun" w:hAnsi="SimSun" w:eastAsia="SimSun" w:cs="SimSun"/>
        <w:sz w:val="22"/>
        <w:szCs w:val="22"/>
      </w:rPr>
    </w:pPr>
    <w:r>
      <w:rPr>
        <w:rFonts w:ascii="SimSun" w:hAnsi="SimSun" w:eastAsia="SimSun" w:cs="SimSun"/>
        <w:sz w:val="22"/>
        <w:szCs w:val="22"/>
        <w:u w:val="single" w:color="auto"/>
      </w:rPr>
      <w:tab/>
    </w:r>
    <w:r>
      <w:rPr>
        <w:rFonts w:ascii="SimSun" w:hAnsi="SimSun" w:eastAsia="SimSun" w:cs="SimSun"/>
        <w:sz w:val="22"/>
        <w:szCs w:val="22"/>
        <w:u w:val="single" w:color="auto"/>
        <w:spacing w:val="6"/>
      </w:rPr>
      <w:t>绵阳柒鑫食品有限公司A级生猪、肉牛定点屠宰及食品加工项目环境影响报告书   </w:t>
    </w:r>
  </w:p>
</w:hdr>
</file>

<file path=word/header10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
      <w:spacing w:before="51" w:line="218" w:lineRule="auto"/>
      <w:tabs>
        <w:tab w:val="left" w:pos="37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1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24"/>
      <w:spacing w:before="51" w:line="218" w:lineRule="auto"/>
      <w:tabs>
        <w:tab w:val="left" w:pos="39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1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4"/>
      <w:spacing w:before="61" w:line="218" w:lineRule="auto"/>
      <w:tabs>
        <w:tab w:val="left" w:pos="334"/>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绵阳柒鑫食品有限公司A级生猪、肉牛定点屠宰及食品加工项目环境影响报告书</w:t>
    </w:r>
    <w:r>
      <w:rPr>
        <w:rFonts w:ascii="SimSun" w:hAnsi="SimSun" w:eastAsia="SimSun" w:cs="SimSun"/>
        <w:sz w:val="23"/>
        <w:szCs w:val="23"/>
        <w:u w:val="single" w:color="auto"/>
        <w:spacing w:val="1"/>
      </w:rPr>
      <w:t xml:space="preserve">  </w:t>
    </w:r>
  </w:p>
</w:hdr>
</file>

<file path=word/header1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4"/>
      <w:spacing w:before="61" w:line="218" w:lineRule="auto"/>
      <w:tabs>
        <w:tab w:val="left" w:pos="320"/>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6"/>
      </w:rPr>
      <w:t>绵阳柒鑫食品有限公司A级生猪、肉牛定点屠宰及食品加工项目环境影响报告书</w:t>
    </w:r>
    <w:r>
      <w:rPr>
        <w:rFonts w:ascii="SimSun" w:hAnsi="SimSun" w:eastAsia="SimSun" w:cs="SimSun"/>
        <w:sz w:val="23"/>
        <w:szCs w:val="23"/>
        <w:u w:val="single" w:color="auto"/>
      </w:rPr>
      <w:t xml:space="preserve">   </w:t>
    </w:r>
  </w:p>
</w:hdr>
</file>

<file path=word/header1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
      <w:spacing w:before="61" w:line="218" w:lineRule="auto"/>
      <w:tabs>
        <w:tab w:val="left" w:pos="344"/>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绵阳柒鑫食品有限公司A级生猪、肉牛定点屠宰及食品加工项目环境影响报告书</w:t>
    </w:r>
    <w:r>
      <w:rPr>
        <w:rFonts w:ascii="SimSun" w:hAnsi="SimSun" w:eastAsia="SimSun" w:cs="SimSun"/>
        <w:sz w:val="23"/>
        <w:szCs w:val="23"/>
        <w:u w:val="single" w:color="auto"/>
        <w:spacing w:val="1"/>
      </w:rPr>
      <w:t xml:space="preserve">  </w:t>
    </w:r>
  </w:p>
</w:hdr>
</file>

<file path=word/header11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4"/>
      <w:spacing w:before="61" w:line="218" w:lineRule="auto"/>
      <w:tabs>
        <w:tab w:val="left" w:pos="334"/>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绵阳柒鑫食品有限公司A级生猪、肉牛定点屠宰及食品加工项目环境影响报告书</w:t>
    </w:r>
    <w:r>
      <w:rPr>
        <w:rFonts w:ascii="SimSun" w:hAnsi="SimSun" w:eastAsia="SimSun" w:cs="SimSun"/>
        <w:sz w:val="23"/>
        <w:szCs w:val="23"/>
        <w:u w:val="single" w:color="auto"/>
        <w:spacing w:val="1"/>
      </w:rPr>
      <w:t xml:space="preserve">  </w:t>
    </w:r>
  </w:p>
</w:hdr>
</file>

<file path=word/header11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51" w:line="218" w:lineRule="auto"/>
      <w:tabs>
        <w:tab w:val="left" w:pos="271"/>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4"/>
      </w:rPr>
      <w:t>绵阳柒鑫食品有限公司A级生猪、肉牛定点屠宰及食品加工项目环境影响报告书</w:t>
    </w:r>
    <w:r>
      <w:rPr>
        <w:rFonts w:ascii="SimSun" w:hAnsi="SimSun" w:eastAsia="SimSun" w:cs="SimSun"/>
        <w:sz w:val="19"/>
        <w:szCs w:val="19"/>
        <w:u w:val="single" w:color="auto"/>
        <w:spacing w:val="3"/>
      </w:rPr>
      <w:t xml:space="preserve">   </w:t>
    </w:r>
  </w:p>
</w:hdr>
</file>

<file path=word/header11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51" w:line="218" w:lineRule="auto"/>
      <w:tabs>
        <w:tab w:val="left" w:pos="272"/>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11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14"/>
      <w:spacing w:before="51" w:line="218" w:lineRule="auto"/>
      <w:tabs>
        <w:tab w:val="left" w:pos="485"/>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4"/>
      </w:rPr>
      <w:t>绵阳柒鑫食品有限公司A级生猪、肉牛定点屠宰及食品加工项目环境影响报告书</w:t>
    </w:r>
    <w:r>
      <w:rPr>
        <w:rFonts w:ascii="SimSun" w:hAnsi="SimSun" w:eastAsia="SimSun" w:cs="SimSun"/>
        <w:sz w:val="19"/>
        <w:szCs w:val="19"/>
        <w:u w:val="single" w:color="auto"/>
        <w:spacing w:val="3"/>
      </w:rPr>
      <w:t xml:space="preserve">   </w:t>
    </w:r>
  </w:p>
</w:hdr>
</file>

<file path=word/header11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4"/>
      <w:spacing w:before="51" w:line="218" w:lineRule="auto"/>
      <w:tabs>
        <w:tab w:val="left" w:pos="490"/>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28"/>
      </w:rPr>
      <w:t>绵阳柒鑫食品有限公司A级生猪、肉牛定点屠宰及食品加工项目环境影响报告书    </w:t>
    </w:r>
  </w:p>
</w:hdr>
</file>

<file path=word/header11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94"/>
      <w:spacing w:before="61" w:line="218" w:lineRule="auto"/>
      <w:tabs>
        <w:tab w:val="left" w:pos="434"/>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绵阳柒鑫食品有限公司A级生猪、肉牛定点屠宰及食品加工项目环境影响报告书</w:t>
    </w:r>
    <w:r>
      <w:rPr>
        <w:rFonts w:ascii="SimSun" w:hAnsi="SimSun" w:eastAsia="SimSun" w:cs="SimSun"/>
        <w:sz w:val="23"/>
        <w:szCs w:val="23"/>
        <w:u w:val="single" w:color="auto"/>
        <w:spacing w:val="1"/>
      </w:rPr>
      <w:t xml:space="preserve">  </w:t>
    </w:r>
  </w:p>
</w:hdr>
</file>

<file path=word/header12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49"/>
      <w:spacing w:before="51" w:line="218" w:lineRule="auto"/>
      <w:tabs>
        <w:tab w:val="left" w:pos="414"/>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28"/>
      </w:rPr>
      <w:t>绵阳柒鑫食品有限公司A级生猪、肉牛定点屠宰及食品加工项目环境影响报告书  </w:t>
    </w:r>
    <w:r>
      <w:rPr>
        <w:rFonts w:ascii="SimSun" w:hAnsi="SimSun" w:eastAsia="SimSun" w:cs="SimSun"/>
        <w:sz w:val="19"/>
        <w:szCs w:val="19"/>
        <w:u w:val="single" w:color="auto"/>
        <w:spacing w:val="27"/>
      </w:rPr>
      <w:t xml:space="preserve">  </w:t>
    </w:r>
  </w:p>
</w:hdr>
</file>

<file path=word/header12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4"/>
      <w:spacing w:before="61" w:line="218" w:lineRule="auto"/>
      <w:tabs>
        <w:tab w:val="left" w:pos="324"/>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w:t>
    </w:r>
    <w:r>
      <w:rPr>
        <w:rFonts w:ascii="SimSun" w:hAnsi="SimSun" w:eastAsia="SimSun" w:cs="SimSun"/>
        <w:sz w:val="23"/>
        <w:szCs w:val="23"/>
        <w:u w:val="single" w:color="auto"/>
        <w:spacing w:val="-4"/>
      </w:rPr>
      <w:t>目环境影响报告书</w:t>
    </w:r>
    <w:r>
      <w:rPr>
        <w:rFonts w:ascii="SimSun" w:hAnsi="SimSun" w:eastAsia="SimSun" w:cs="SimSun"/>
        <w:sz w:val="23"/>
        <w:szCs w:val="23"/>
        <w:u w:val="single" w:color="auto"/>
      </w:rPr>
      <w:t xml:space="preserve">  </w:t>
    </w:r>
  </w:p>
</w:hdr>
</file>

<file path=word/header12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4"/>
      <w:spacing w:before="51" w:line="218" w:lineRule="auto"/>
      <w:tabs>
        <w:tab w:val="left" w:pos="36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12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
      <w:spacing w:before="59" w:line="218" w:lineRule="auto"/>
      <w:tabs>
        <w:tab w:val="left" w:pos="350"/>
      </w:tabs>
      <w:rPr>
        <w:rFonts w:ascii="SimSun" w:hAnsi="SimSun" w:eastAsia="SimSun" w:cs="SimSun"/>
        <w:sz w:val="22"/>
        <w:szCs w:val="22"/>
      </w:rPr>
    </w:pPr>
    <w:r>
      <w:rPr>
        <w:rFonts w:ascii="SimSun" w:hAnsi="SimSun" w:eastAsia="SimSun" w:cs="SimSun"/>
        <w:sz w:val="22"/>
        <w:szCs w:val="22"/>
        <w:u w:val="single" w:color="auto"/>
      </w:rPr>
      <w:tab/>
    </w:r>
    <w:r>
      <w:rPr>
        <w:rFonts w:ascii="SimSun" w:hAnsi="SimSun" w:eastAsia="SimSun" w:cs="SimSun"/>
        <w:sz w:val="22"/>
        <w:szCs w:val="22"/>
        <w:u w:val="single" w:color="auto"/>
        <w:spacing w:val="6"/>
      </w:rPr>
      <w:t>绵阳柒鑫食品有限公司A级生猪、肉牛定点屠宰及食品加工项目环境影响报告书   </w:t>
    </w:r>
  </w:p>
</w:hdr>
</file>

<file path=word/header12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4"/>
      <w:spacing w:before="61" w:line="218" w:lineRule="auto"/>
      <w:tabs>
        <w:tab w:val="left" w:pos="324"/>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绵阳柒鑫食品有限公司A级生猪、肉牛定点屠宰及食品加工项目环境影响报告书</w:t>
    </w:r>
    <w:r>
      <w:rPr>
        <w:rFonts w:ascii="SimSun" w:hAnsi="SimSun" w:eastAsia="SimSun" w:cs="SimSun"/>
        <w:sz w:val="23"/>
        <w:szCs w:val="23"/>
        <w:u w:val="single" w:color="auto"/>
        <w:spacing w:val="1"/>
      </w:rPr>
      <w:t xml:space="preserve">  </w:t>
    </w:r>
  </w:p>
</w:hdr>
</file>

<file path=word/header12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44"/>
      <w:spacing w:before="51" w:line="218" w:lineRule="auto"/>
      <w:tabs>
        <w:tab w:val="left" w:pos="41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12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4"/>
      <w:spacing w:before="61" w:line="218" w:lineRule="auto"/>
      <w:tabs>
        <w:tab w:val="left" w:pos="334"/>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绵阳柒鑫食品有限公司A级生猪、肉牛定点屠宰及食品加工项目环境影响报告书</w:t>
    </w:r>
    <w:r>
      <w:rPr>
        <w:rFonts w:ascii="SimSun" w:hAnsi="SimSun" w:eastAsia="SimSun" w:cs="SimSun"/>
        <w:sz w:val="23"/>
        <w:szCs w:val="23"/>
        <w:u w:val="single" w:color="auto"/>
        <w:spacing w:val="1"/>
      </w:rPr>
      <w:t xml:space="preserve">  </w:t>
    </w:r>
  </w:p>
</w:hdr>
</file>

<file path=word/header12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4"/>
      <w:spacing w:before="59" w:line="218" w:lineRule="auto"/>
      <w:tabs>
        <w:tab w:val="left" w:pos="340"/>
      </w:tabs>
      <w:rPr>
        <w:rFonts w:ascii="SimSun" w:hAnsi="SimSun" w:eastAsia="SimSun" w:cs="SimSun"/>
        <w:sz w:val="22"/>
        <w:szCs w:val="22"/>
      </w:rPr>
    </w:pPr>
    <w:r>
      <w:rPr>
        <w:rFonts w:ascii="SimSun" w:hAnsi="SimSun" w:eastAsia="SimSun" w:cs="SimSun"/>
        <w:sz w:val="22"/>
        <w:szCs w:val="22"/>
        <w:u w:val="single" w:color="auto"/>
      </w:rPr>
      <w:tab/>
    </w:r>
    <w:r>
      <w:rPr>
        <w:rFonts w:ascii="SimSun" w:hAnsi="SimSun" w:eastAsia="SimSun" w:cs="SimSun"/>
        <w:sz w:val="22"/>
        <w:szCs w:val="22"/>
        <w:u w:val="single" w:color="auto"/>
        <w:spacing w:val="6"/>
      </w:rPr>
      <w:t>绵阳柒鑫食品有限公司A级生猪、肉牛定点屠宰及食品加工项目环境影响报告书   </w:t>
    </w:r>
  </w:p>
</w:hdr>
</file>

<file path=word/header12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4"/>
      <w:spacing w:before="51" w:line="218" w:lineRule="auto"/>
      <w:tabs>
        <w:tab w:val="left" w:pos="36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12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94"/>
      <w:spacing w:before="64" w:line="218" w:lineRule="auto"/>
      <w:rPr>
        <w:rFonts w:ascii="SimSun" w:hAnsi="SimSun" w:eastAsia="SimSun" w:cs="SimSun"/>
        <w:sz w:val="24"/>
        <w:szCs w:val="24"/>
      </w:rPr>
    </w:pPr>
    <w:r>
      <w:drawing>
        <wp:anchor distT="0" distB="0" distL="0" distR="0" simplePos="0" relativeHeight="251782144" behindDoc="0" locked="0" layoutInCell="0" allowOverlap="1">
          <wp:simplePos x="0" y="0"/>
          <wp:positionH relativeFrom="page">
            <wp:posOffset>1142973</wp:posOffset>
          </wp:positionH>
          <wp:positionV relativeFrom="page">
            <wp:posOffset>737658</wp:posOffset>
          </wp:positionV>
          <wp:extent cx="5270549" cy="7619"/>
          <wp:effectExtent l="0" t="0" r="0" b="0"/>
          <wp:wrapNone/>
          <wp:docPr id="80" name="IM 80"/>
          <wp:cNvGraphicFramePr/>
          <a:graphic>
            <a:graphicData uri="http://schemas.openxmlformats.org/drawingml/2006/picture">
              <pic:pic>
                <pic:nvPicPr>
                  <pic:cNvPr id="80" name="IM 80"/>
                  <pic:cNvPicPr/>
                </pic:nvPicPr>
                <pic:blipFill>
                  <a:blip r:embed="rId1"/>
                  <a:stretch>
                    <a:fillRect/>
                  </a:stretch>
                </pic:blipFill>
                <pic:spPr>
                  <a:xfrm rot="0">
                    <a:off x="0" y="0"/>
                    <a:ext cx="5270549" cy="7619"/>
                  </a:xfrm>
                  <a:prstGeom prst="rect">
                    <a:avLst/>
                  </a:prstGeom>
                </pic:spPr>
              </pic:pic>
            </a:graphicData>
          </a:graphic>
        </wp:anchor>
      </w:drawing>
    </w:r>
    <w:r>
      <w:rPr>
        <w:rFonts w:ascii="SimSun" w:hAnsi="SimSun" w:eastAsia="SimSun" w:cs="SimSun"/>
        <w:sz w:val="24"/>
        <w:szCs w:val="24"/>
        <w:spacing w:val="-26"/>
        <w:w w:val="95"/>
      </w:rPr>
      <w:t>绵阳柒鑫食品有限公司</w:t>
    </w:r>
    <w:r>
      <w:rPr>
        <w:rFonts w:ascii="Times New Roman" w:hAnsi="Times New Roman" w:eastAsia="Times New Roman" w:cs="Times New Roman"/>
        <w:sz w:val="24"/>
        <w:szCs w:val="24"/>
        <w:spacing w:val="-26"/>
        <w:w w:val="95"/>
      </w:rPr>
      <w:t>A</w:t>
    </w:r>
    <w:r>
      <w:rPr>
        <w:rFonts w:ascii="SimSun" w:hAnsi="SimSun" w:eastAsia="SimSun" w:cs="SimSun"/>
        <w:sz w:val="24"/>
        <w:szCs w:val="24"/>
        <w:spacing w:val="-26"/>
        <w:w w:val="95"/>
      </w:rPr>
      <w:t>级生猪、肉牛定点屠</w:t>
    </w:r>
    <w:r>
      <w:rPr>
        <w:rFonts w:ascii="SimSun" w:hAnsi="SimSun" w:eastAsia="SimSun" w:cs="SimSun"/>
        <w:sz w:val="24"/>
        <w:szCs w:val="24"/>
        <w:spacing w:val="-27"/>
        <w:w w:val="95"/>
      </w:rPr>
      <w:t>宰及食品加工项目环境影响报告书</w:t>
    </w:r>
  </w:p>
</w:hdr>
</file>

<file path=word/header13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69"/>
      <w:spacing w:before="61" w:line="218" w:lineRule="auto"/>
      <w:tabs>
        <w:tab w:val="left" w:pos="409"/>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绵阳柒鑫食品有限公司A级生猪、肉牛定点屠宰及食品加工项目环境影响报告书</w:t>
    </w:r>
    <w:r>
      <w:rPr>
        <w:rFonts w:ascii="SimSun" w:hAnsi="SimSun" w:eastAsia="SimSun" w:cs="SimSun"/>
        <w:sz w:val="23"/>
        <w:szCs w:val="23"/>
        <w:u w:val="single" w:color="auto"/>
        <w:spacing w:val="1"/>
      </w:rPr>
      <w:t xml:space="preserve">  </w:t>
    </w:r>
  </w:p>
</w:hdr>
</file>

<file path=word/header13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51" w:line="218" w:lineRule="auto"/>
      <w:tabs>
        <w:tab w:val="left" w:pos="272"/>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13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4"/>
      <w:spacing w:before="59" w:line="218" w:lineRule="auto"/>
      <w:tabs>
        <w:tab w:val="left" w:pos="340"/>
      </w:tabs>
      <w:rPr>
        <w:rFonts w:ascii="SimSun" w:hAnsi="SimSun" w:eastAsia="SimSun" w:cs="SimSun"/>
        <w:sz w:val="22"/>
        <w:szCs w:val="22"/>
      </w:rPr>
    </w:pPr>
    <w:r>
      <w:rPr>
        <w:rFonts w:ascii="SimSun" w:hAnsi="SimSun" w:eastAsia="SimSun" w:cs="SimSun"/>
        <w:sz w:val="22"/>
        <w:szCs w:val="22"/>
        <w:u w:val="single" w:color="auto"/>
      </w:rPr>
      <w:tab/>
    </w:r>
    <w:r>
      <w:rPr>
        <w:rFonts w:ascii="SimSun" w:hAnsi="SimSun" w:eastAsia="SimSun" w:cs="SimSun"/>
        <w:sz w:val="22"/>
        <w:szCs w:val="22"/>
        <w:u w:val="single" w:color="auto"/>
        <w:spacing w:val="6"/>
      </w:rPr>
      <w:t>绵阳柒鑫食品有限公司A级生猪、肉牛定点屠宰及食品加工项目环境影响报告书   </w:t>
    </w:r>
  </w:p>
</w:hdr>
</file>

<file path=word/header13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018"/>
      <w:spacing w:before="51" w:line="218" w:lineRule="auto"/>
      <w:rPr>
        <w:rFonts w:ascii="SimSun" w:hAnsi="SimSun" w:eastAsia="SimSun" w:cs="SimSun"/>
        <w:sz w:val="19"/>
        <w:szCs w:val="19"/>
      </w:rPr>
    </w:pPr>
    <w:r>
      <w:drawing>
        <wp:anchor distT="0" distB="0" distL="0" distR="0" simplePos="0" relativeHeight="251787264" behindDoc="0" locked="0" layoutInCell="1" allowOverlap="1">
          <wp:simplePos x="0" y="0"/>
          <wp:positionH relativeFrom="column">
            <wp:posOffset>606389</wp:posOffset>
          </wp:positionH>
          <wp:positionV relativeFrom="paragraph">
            <wp:posOffset>146811</wp:posOffset>
          </wp:positionV>
          <wp:extent cx="8413781" cy="6350"/>
          <wp:effectExtent l="0" t="0" r="0" b="0"/>
          <wp:wrapNone/>
          <wp:docPr id="88" name="IM 88"/>
          <wp:cNvGraphicFramePr/>
          <a:graphic>
            <a:graphicData uri="http://schemas.openxmlformats.org/drawingml/2006/picture">
              <pic:pic>
                <pic:nvPicPr>
                  <pic:cNvPr id="88" name="IM 88"/>
                  <pic:cNvPicPr/>
                </pic:nvPicPr>
                <pic:blipFill>
                  <a:blip r:embed="rId1"/>
                  <a:stretch>
                    <a:fillRect/>
                  </a:stretch>
                </pic:blipFill>
                <pic:spPr>
                  <a:xfrm rot="0">
                    <a:off x="0" y="0"/>
                    <a:ext cx="8413781" cy="6350"/>
                  </a:xfrm>
                  <a:prstGeom prst="rect">
                    <a:avLst/>
                  </a:prstGeom>
                </pic:spPr>
              </pic:pic>
            </a:graphicData>
          </a:graphic>
        </wp:anchor>
      </w:drawing>
    </w:r>
    <w:r>
      <w:rPr>
        <w:rFonts w:ascii="SimSun" w:hAnsi="SimSun" w:eastAsia="SimSun" w:cs="SimSun"/>
        <w:sz w:val="19"/>
        <w:szCs w:val="19"/>
        <w:spacing w:val="-10"/>
      </w:rPr>
      <w:t>绵 阳 柒 鑫 食 品 有 限 公 司 A 级 生 猪 、 肉 牛 定 点 屠 宰 及 食 品 加 工 项</w:t>
    </w:r>
    <w:r>
      <w:rPr>
        <w:rFonts w:ascii="SimSun" w:hAnsi="SimSun" w:eastAsia="SimSun" w:cs="SimSun"/>
        <w:sz w:val="19"/>
        <w:szCs w:val="19"/>
        <w:spacing w:val="37"/>
      </w:rPr>
      <w:t xml:space="preserve"> </w:t>
    </w:r>
    <w:r>
      <w:rPr>
        <w:rFonts w:ascii="SimSun" w:hAnsi="SimSun" w:eastAsia="SimSun" w:cs="SimSun"/>
        <w:sz w:val="19"/>
        <w:szCs w:val="19"/>
        <w:spacing w:val="-10"/>
      </w:rPr>
      <w:t>目 环 境 影 响 报 告 书</w:t>
    </w:r>
  </w:p>
</w:hdr>
</file>

<file path=word/header13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028"/>
      <w:spacing w:before="51" w:line="218" w:lineRule="auto"/>
      <w:rPr>
        <w:rFonts w:ascii="SimSun" w:hAnsi="SimSun" w:eastAsia="SimSun" w:cs="SimSun"/>
        <w:sz w:val="19"/>
        <w:szCs w:val="19"/>
      </w:rPr>
    </w:pPr>
    <w:r>
      <w:drawing>
        <wp:anchor distT="0" distB="0" distL="0" distR="0" simplePos="0" relativeHeight="251788288" behindDoc="0" locked="0" layoutInCell="1" allowOverlap="1">
          <wp:simplePos x="0" y="0"/>
          <wp:positionH relativeFrom="column">
            <wp:posOffset>612805</wp:posOffset>
          </wp:positionH>
          <wp:positionV relativeFrom="paragraph">
            <wp:posOffset>146811</wp:posOffset>
          </wp:positionV>
          <wp:extent cx="8413781" cy="6350"/>
          <wp:effectExtent l="0" t="0" r="0" b="0"/>
          <wp:wrapNone/>
          <wp:docPr id="94" name="IM 94"/>
          <wp:cNvGraphicFramePr/>
          <a:graphic>
            <a:graphicData uri="http://schemas.openxmlformats.org/drawingml/2006/picture">
              <pic:pic>
                <pic:nvPicPr>
                  <pic:cNvPr id="94" name="IM 94"/>
                  <pic:cNvPicPr/>
                </pic:nvPicPr>
                <pic:blipFill>
                  <a:blip r:embed="rId1"/>
                  <a:stretch>
                    <a:fillRect/>
                  </a:stretch>
                </pic:blipFill>
                <pic:spPr>
                  <a:xfrm rot="0">
                    <a:off x="0" y="0"/>
                    <a:ext cx="8413781" cy="6350"/>
                  </a:xfrm>
                  <a:prstGeom prst="rect">
                    <a:avLst/>
                  </a:prstGeom>
                </pic:spPr>
              </pic:pic>
            </a:graphicData>
          </a:graphic>
        </wp:anchor>
      </w:drawing>
    </w:r>
    <w:r>
      <w:rPr>
        <w:rFonts w:ascii="SimSun" w:hAnsi="SimSun" w:eastAsia="SimSun" w:cs="SimSun"/>
        <w:sz w:val="19"/>
        <w:szCs w:val="19"/>
        <w:spacing w:val="-10"/>
      </w:rPr>
      <w:t>绵 阳 柒 鑫 食 品 有 限 公 司 A 级 生 猪 、 肉 牛 定 点 屠 宰 及 食 品 加 工 项</w:t>
    </w:r>
    <w:r>
      <w:rPr>
        <w:rFonts w:ascii="SimSun" w:hAnsi="SimSun" w:eastAsia="SimSun" w:cs="SimSun"/>
        <w:sz w:val="19"/>
        <w:szCs w:val="19"/>
        <w:spacing w:val="37"/>
      </w:rPr>
      <w:t xml:space="preserve"> </w:t>
    </w:r>
    <w:r>
      <w:rPr>
        <w:rFonts w:ascii="SimSun" w:hAnsi="SimSun" w:eastAsia="SimSun" w:cs="SimSun"/>
        <w:sz w:val="19"/>
        <w:szCs w:val="19"/>
        <w:spacing w:val="-10"/>
      </w:rPr>
      <w:t>目 环 境 影 响 报 告 书</w:t>
    </w:r>
  </w:p>
</w:hdr>
</file>

<file path=word/header13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4"/>
      <w:spacing w:before="51" w:line="218" w:lineRule="auto"/>
      <w:tabs>
        <w:tab w:val="left" w:pos="38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13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4"/>
      <w:spacing w:before="61" w:line="218" w:lineRule="auto"/>
      <w:tabs>
        <w:tab w:val="left" w:pos="344"/>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w:t>
    </w:r>
    <w:r>
      <w:rPr>
        <w:rFonts w:ascii="SimSun" w:hAnsi="SimSun" w:eastAsia="SimSun" w:cs="SimSun"/>
        <w:sz w:val="23"/>
        <w:szCs w:val="23"/>
        <w:u w:val="single" w:color="auto"/>
        <w:spacing w:val="-4"/>
      </w:rPr>
      <w:t>目环境影响报告书</w:t>
    </w:r>
    <w:r>
      <w:rPr>
        <w:rFonts w:ascii="SimSun" w:hAnsi="SimSun" w:eastAsia="SimSun" w:cs="SimSun"/>
        <w:sz w:val="23"/>
        <w:szCs w:val="23"/>
        <w:u w:val="single" w:color="auto"/>
      </w:rPr>
      <w:t xml:space="preserve">  </w:t>
    </w:r>
  </w:p>
</w:hdr>
</file>

<file path=word/header13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61" w:line="218" w:lineRule="auto"/>
      <w:tabs>
        <w:tab w:val="left" w:pos="238"/>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w:t>
    </w:r>
    <w:r>
      <w:rPr>
        <w:rFonts w:ascii="SimSun" w:hAnsi="SimSun" w:eastAsia="SimSun" w:cs="SimSun"/>
        <w:sz w:val="23"/>
        <w:szCs w:val="23"/>
        <w:u w:val="single" w:color="auto"/>
        <w:spacing w:val="-4"/>
      </w:rPr>
      <w:t>目环境影响报告书</w:t>
    </w:r>
    <w:r>
      <w:rPr>
        <w:rFonts w:ascii="SimSun" w:hAnsi="SimSun" w:eastAsia="SimSun" w:cs="SimSun"/>
        <w:sz w:val="23"/>
        <w:szCs w:val="23"/>
        <w:u w:val="single" w:color="auto"/>
      </w:rPr>
      <w:t xml:space="preserve">  </w:t>
    </w:r>
  </w:p>
</w:hdr>
</file>

<file path=word/header13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59" w:line="218" w:lineRule="auto"/>
      <w:tabs>
        <w:tab w:val="left" w:pos="246"/>
      </w:tabs>
      <w:rPr>
        <w:rFonts w:ascii="SimSun" w:hAnsi="SimSun" w:eastAsia="SimSun" w:cs="SimSun"/>
        <w:sz w:val="22"/>
        <w:szCs w:val="22"/>
      </w:rPr>
    </w:pPr>
    <w:r>
      <w:rPr>
        <w:rFonts w:ascii="SimSun" w:hAnsi="SimSun" w:eastAsia="SimSun" w:cs="SimSun"/>
        <w:sz w:val="22"/>
        <w:szCs w:val="22"/>
        <w:u w:val="single" w:color="auto"/>
      </w:rPr>
      <w:tab/>
    </w:r>
    <w:r>
      <w:rPr>
        <w:rFonts w:ascii="SimSun" w:hAnsi="SimSun" w:eastAsia="SimSun" w:cs="SimSun"/>
        <w:sz w:val="22"/>
        <w:szCs w:val="22"/>
        <w:u w:val="single" w:color="auto"/>
        <w:spacing w:val="6"/>
      </w:rPr>
      <w:t>绵阳柒鑫食品有限公司A级生猪、肉牛定点屠宰及食品加工项目环境影响报告书   </w:t>
    </w:r>
  </w:p>
</w:hdr>
</file>

<file path=word/header13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4"/>
      <w:spacing w:before="51" w:line="218" w:lineRule="auto"/>
      <w:tabs>
        <w:tab w:val="left" w:pos="49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14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00"/>
      <w:spacing w:before="51" w:line="218" w:lineRule="auto"/>
      <w:tabs>
        <w:tab w:val="left" w:pos="572"/>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14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04"/>
      <w:spacing w:before="51" w:line="218" w:lineRule="auto"/>
      <w:tabs>
        <w:tab w:val="left" w:pos="477"/>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14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
      <w:spacing w:before="61" w:line="218" w:lineRule="auto"/>
      <w:tabs>
        <w:tab w:val="left" w:pos="242"/>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w:t>
    </w:r>
    <w:r>
      <w:rPr>
        <w:rFonts w:ascii="SimSun" w:hAnsi="SimSun" w:eastAsia="SimSun" w:cs="SimSun"/>
        <w:sz w:val="23"/>
        <w:szCs w:val="23"/>
        <w:u w:val="single" w:color="auto"/>
        <w:spacing w:val="-4"/>
      </w:rPr>
      <w:t>目环境影响报告书</w:t>
    </w:r>
    <w:r>
      <w:rPr>
        <w:rFonts w:ascii="SimSun" w:hAnsi="SimSun" w:eastAsia="SimSun" w:cs="SimSun"/>
        <w:sz w:val="23"/>
        <w:szCs w:val="23"/>
        <w:u w:val="single" w:color="auto"/>
      </w:rPr>
      <w:t xml:space="preserve">  </w:t>
    </w:r>
  </w:p>
</w:hdr>
</file>

<file path=word/header14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64"/>
      <w:spacing w:before="59" w:line="218" w:lineRule="auto"/>
      <w:tabs>
        <w:tab w:val="left" w:pos="510"/>
      </w:tabs>
      <w:rPr>
        <w:rFonts w:ascii="SimSun" w:hAnsi="SimSun" w:eastAsia="SimSun" w:cs="SimSun"/>
        <w:sz w:val="22"/>
        <w:szCs w:val="22"/>
      </w:rPr>
    </w:pPr>
    <w:r>
      <w:rPr>
        <w:rFonts w:ascii="SimSun" w:hAnsi="SimSun" w:eastAsia="SimSun" w:cs="SimSun"/>
        <w:sz w:val="22"/>
        <w:szCs w:val="22"/>
        <w:u w:val="single" w:color="auto"/>
      </w:rPr>
      <w:tab/>
    </w:r>
    <w:r>
      <w:rPr>
        <w:rFonts w:ascii="SimSun" w:hAnsi="SimSun" w:eastAsia="SimSun" w:cs="SimSun"/>
        <w:sz w:val="22"/>
        <w:szCs w:val="22"/>
        <w:u w:val="single" w:color="auto"/>
        <w:spacing w:val="6"/>
      </w:rPr>
      <w:t>绵阳柒鑫食品有限公司A级生猪、肉牛定点屠宰及食品加工项目环境影响报告书   </w:t>
    </w:r>
  </w:p>
</w:hdr>
</file>

<file path=word/header14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59" w:line="218" w:lineRule="auto"/>
      <w:tabs>
        <w:tab w:val="left" w:pos="246"/>
      </w:tabs>
      <w:rPr>
        <w:rFonts w:ascii="SimSun" w:hAnsi="SimSun" w:eastAsia="SimSun" w:cs="SimSun"/>
        <w:sz w:val="22"/>
        <w:szCs w:val="22"/>
      </w:rPr>
    </w:pPr>
    <w:r>
      <w:rPr>
        <w:rFonts w:ascii="SimSun" w:hAnsi="SimSun" w:eastAsia="SimSun" w:cs="SimSun"/>
        <w:sz w:val="22"/>
        <w:szCs w:val="22"/>
        <w:u w:val="single" w:color="auto"/>
      </w:rPr>
      <w:tab/>
    </w:r>
    <w:r>
      <w:rPr>
        <w:rFonts w:ascii="SimSun" w:hAnsi="SimSun" w:eastAsia="SimSun" w:cs="SimSun"/>
        <w:sz w:val="22"/>
        <w:szCs w:val="22"/>
        <w:u w:val="single" w:color="auto"/>
        <w:spacing w:val="6"/>
      </w:rPr>
      <w:t>绵阳柒鑫食品有限公司A级生猪、肉牛定点屠宰及食品加工项目环境影响报告书   </w:t>
    </w:r>
  </w:p>
</w:hdr>
</file>

<file path=word/header14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4"/>
      <w:spacing w:before="61" w:line="218" w:lineRule="auto"/>
      <w:tabs>
        <w:tab w:val="left" w:pos="334"/>
      </w:tabs>
      <w:rPr>
        <w:rFonts w:ascii="SimSun" w:hAnsi="SimSun" w:eastAsia="SimSun" w:cs="SimSun"/>
        <w:sz w:val="23"/>
        <w:szCs w:val="23"/>
      </w:rPr>
    </w:pPr>
    <w:r>
      <w:rPr>
        <w:rFonts w:ascii="SimSun" w:hAnsi="SimSun" w:eastAsia="SimSun" w:cs="SimSun"/>
        <w:sz w:val="23"/>
        <w:szCs w:val="23"/>
        <w:u w:val="single" w:color="auto"/>
      </w:rPr>
      <w:tab/>
    </w:r>
    <w:r>
      <w:rPr>
        <w:rFonts w:ascii="SimSun" w:hAnsi="SimSun" w:eastAsia="SimSun" w:cs="SimSun"/>
        <w:sz w:val="23"/>
        <w:szCs w:val="23"/>
        <w:u w:val="single" w:color="auto"/>
        <w:spacing w:val="-3"/>
      </w:rPr>
      <w:t>绵阳柒鑫食品有限公司A级生猪、肉牛定点屠宰及食品加工项</w:t>
    </w:r>
    <w:r>
      <w:rPr>
        <w:rFonts w:ascii="SimSun" w:hAnsi="SimSun" w:eastAsia="SimSun" w:cs="SimSun"/>
        <w:sz w:val="23"/>
        <w:szCs w:val="23"/>
        <w:u w:val="single" w:color="auto"/>
        <w:spacing w:val="-4"/>
      </w:rPr>
      <w:t>目环境影响报告书</w:t>
    </w:r>
    <w:r>
      <w:rPr>
        <w:rFonts w:ascii="SimSun" w:hAnsi="SimSun" w:eastAsia="SimSun" w:cs="SimSun"/>
        <w:sz w:val="23"/>
        <w:szCs w:val="23"/>
        <w:u w:val="single" w:color="auto"/>
      </w:rPr>
      <w:t xml:space="preserve">  </w:t>
    </w:r>
  </w:p>
</w:hdr>
</file>

<file path=word/header14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943"/>
      <w:spacing w:before="51" w:line="218" w:lineRule="auto"/>
      <w:rPr>
        <w:rFonts w:ascii="SimSun" w:hAnsi="SimSun" w:eastAsia="SimSun" w:cs="SimSun"/>
        <w:sz w:val="19"/>
        <w:szCs w:val="19"/>
      </w:rPr>
    </w:pPr>
    <w:r>
      <w:drawing>
        <wp:anchor distT="0" distB="0" distL="0" distR="0" simplePos="0" relativeHeight="251805696" behindDoc="0" locked="0" layoutInCell="1" allowOverlap="1">
          <wp:simplePos x="0" y="0"/>
          <wp:positionH relativeFrom="column">
            <wp:posOffset>695359</wp:posOffset>
          </wp:positionH>
          <wp:positionV relativeFrom="paragraph">
            <wp:posOffset>146812</wp:posOffset>
          </wp:positionV>
          <wp:extent cx="8413781" cy="6350"/>
          <wp:effectExtent l="0" t="0" r="0" b="0"/>
          <wp:wrapNone/>
          <wp:docPr id="98" name="IM 98"/>
          <wp:cNvGraphicFramePr/>
          <a:graphic>
            <a:graphicData uri="http://schemas.openxmlformats.org/drawingml/2006/picture">
              <pic:pic>
                <pic:nvPicPr>
                  <pic:cNvPr id="98" name="IM 98"/>
                  <pic:cNvPicPr/>
                </pic:nvPicPr>
                <pic:blipFill>
                  <a:blip r:embed="rId1"/>
                  <a:stretch>
                    <a:fillRect/>
                  </a:stretch>
                </pic:blipFill>
                <pic:spPr>
                  <a:xfrm rot="0">
                    <a:off x="0" y="0"/>
                    <a:ext cx="8413781" cy="6350"/>
                  </a:xfrm>
                  <a:prstGeom prst="rect">
                    <a:avLst/>
                  </a:prstGeom>
                </pic:spPr>
              </pic:pic>
            </a:graphicData>
          </a:graphic>
        </wp:anchor>
      </w:drawing>
    </w:r>
    <w:r>
      <w:rPr>
        <w:rFonts w:ascii="SimSun" w:hAnsi="SimSun" w:eastAsia="SimSun" w:cs="SimSun"/>
        <w:sz w:val="19"/>
        <w:szCs w:val="19"/>
        <w:spacing w:val="-10"/>
      </w:rPr>
      <w:t>绵 阳 柒 鑫 食</w:t>
    </w:r>
    <w:r>
      <w:rPr>
        <w:rFonts w:ascii="SimSun" w:hAnsi="SimSun" w:eastAsia="SimSun" w:cs="SimSun"/>
        <w:sz w:val="19"/>
        <w:szCs w:val="19"/>
        <w:spacing w:val="17"/>
      </w:rPr>
      <w:t xml:space="preserve"> </w:t>
    </w:r>
    <w:r>
      <w:rPr>
        <w:rFonts w:ascii="SimSun" w:hAnsi="SimSun" w:eastAsia="SimSun" w:cs="SimSun"/>
        <w:sz w:val="19"/>
        <w:szCs w:val="19"/>
        <w:spacing w:val="-10"/>
      </w:rPr>
      <w:t>品 有</w:t>
    </w:r>
    <w:r>
      <w:rPr>
        <w:rFonts w:ascii="SimSun" w:hAnsi="SimSun" w:eastAsia="SimSun" w:cs="SimSun"/>
        <w:sz w:val="19"/>
        <w:szCs w:val="19"/>
        <w:spacing w:val="14"/>
      </w:rPr>
      <w:t xml:space="preserve"> </w:t>
    </w:r>
    <w:r>
      <w:rPr>
        <w:rFonts w:ascii="SimSun" w:hAnsi="SimSun" w:eastAsia="SimSun" w:cs="SimSun"/>
        <w:sz w:val="19"/>
        <w:szCs w:val="19"/>
        <w:spacing w:val="-10"/>
      </w:rPr>
      <w:t>限</w:t>
    </w:r>
    <w:r>
      <w:rPr>
        <w:rFonts w:ascii="SimSun" w:hAnsi="SimSun" w:eastAsia="SimSun" w:cs="SimSun"/>
        <w:sz w:val="19"/>
        <w:szCs w:val="19"/>
        <w:spacing w:val="8"/>
      </w:rPr>
      <w:t xml:space="preserve"> </w:t>
    </w:r>
    <w:r>
      <w:rPr>
        <w:rFonts w:ascii="SimSun" w:hAnsi="SimSun" w:eastAsia="SimSun" w:cs="SimSun"/>
        <w:sz w:val="19"/>
        <w:szCs w:val="19"/>
        <w:spacing w:val="-10"/>
      </w:rPr>
      <w:t>公</w:t>
    </w:r>
    <w:r>
      <w:rPr>
        <w:rFonts w:ascii="SimSun" w:hAnsi="SimSun" w:eastAsia="SimSun" w:cs="SimSun"/>
        <w:sz w:val="19"/>
        <w:szCs w:val="19"/>
        <w:spacing w:val="8"/>
      </w:rPr>
      <w:t xml:space="preserve"> </w:t>
    </w:r>
    <w:r>
      <w:rPr>
        <w:rFonts w:ascii="SimSun" w:hAnsi="SimSun" w:eastAsia="SimSun" w:cs="SimSun"/>
        <w:sz w:val="19"/>
        <w:szCs w:val="19"/>
        <w:spacing w:val="-10"/>
      </w:rPr>
      <w:t>司 A</w:t>
    </w:r>
    <w:r>
      <w:rPr>
        <w:rFonts w:ascii="SimSun" w:hAnsi="SimSun" w:eastAsia="SimSun" w:cs="SimSun"/>
        <w:sz w:val="19"/>
        <w:szCs w:val="19"/>
        <w:spacing w:val="4"/>
      </w:rPr>
      <w:t xml:space="preserve"> </w:t>
    </w:r>
    <w:r>
      <w:rPr>
        <w:rFonts w:ascii="SimSun" w:hAnsi="SimSun" w:eastAsia="SimSun" w:cs="SimSun"/>
        <w:sz w:val="19"/>
        <w:szCs w:val="19"/>
        <w:spacing w:val="-10"/>
      </w:rPr>
      <w:t>级 生</w:t>
    </w:r>
    <w:r>
      <w:rPr>
        <w:rFonts w:ascii="SimSun" w:hAnsi="SimSun" w:eastAsia="SimSun" w:cs="SimSun"/>
        <w:sz w:val="19"/>
        <w:szCs w:val="19"/>
        <w:spacing w:val="2"/>
      </w:rPr>
      <w:t xml:space="preserve"> </w:t>
    </w:r>
    <w:r>
      <w:rPr>
        <w:rFonts w:ascii="SimSun" w:hAnsi="SimSun" w:eastAsia="SimSun" w:cs="SimSun"/>
        <w:sz w:val="19"/>
        <w:szCs w:val="19"/>
        <w:spacing w:val="-10"/>
      </w:rPr>
      <w:t>猪</w:t>
    </w:r>
    <w:r>
      <w:rPr>
        <w:rFonts w:ascii="SimSun" w:hAnsi="SimSun" w:eastAsia="SimSun" w:cs="SimSun"/>
        <w:sz w:val="19"/>
        <w:szCs w:val="19"/>
        <w:spacing w:val="14"/>
      </w:rPr>
      <w:t xml:space="preserve"> </w:t>
    </w:r>
    <w:r>
      <w:rPr>
        <w:rFonts w:ascii="SimSun" w:hAnsi="SimSun" w:eastAsia="SimSun" w:cs="SimSun"/>
        <w:sz w:val="19"/>
        <w:szCs w:val="19"/>
        <w:spacing w:val="-10"/>
      </w:rPr>
      <w:t>、</w:t>
    </w:r>
    <w:r>
      <w:rPr>
        <w:rFonts w:ascii="SimSun" w:hAnsi="SimSun" w:eastAsia="SimSun" w:cs="SimSun"/>
        <w:sz w:val="19"/>
        <w:szCs w:val="19"/>
        <w:spacing w:val="20"/>
      </w:rPr>
      <w:t xml:space="preserve"> </w:t>
    </w:r>
    <w:r>
      <w:rPr>
        <w:rFonts w:ascii="SimSun" w:hAnsi="SimSun" w:eastAsia="SimSun" w:cs="SimSun"/>
        <w:sz w:val="19"/>
        <w:szCs w:val="19"/>
        <w:spacing w:val="-10"/>
      </w:rPr>
      <w:t>肉</w:t>
    </w:r>
    <w:r>
      <w:rPr>
        <w:rFonts w:ascii="SimSun" w:hAnsi="SimSun" w:eastAsia="SimSun" w:cs="SimSun"/>
        <w:sz w:val="19"/>
        <w:szCs w:val="19"/>
        <w:spacing w:val="6"/>
      </w:rPr>
      <w:t xml:space="preserve"> </w:t>
    </w:r>
    <w:r>
      <w:rPr>
        <w:rFonts w:ascii="SimSun" w:hAnsi="SimSun" w:eastAsia="SimSun" w:cs="SimSun"/>
        <w:sz w:val="19"/>
        <w:szCs w:val="19"/>
        <w:spacing w:val="-10"/>
      </w:rPr>
      <w:t>牛</w:t>
    </w:r>
    <w:r>
      <w:rPr>
        <w:rFonts w:ascii="SimSun" w:hAnsi="SimSun" w:eastAsia="SimSun" w:cs="SimSun"/>
        <w:sz w:val="19"/>
        <w:szCs w:val="19"/>
        <w:spacing w:val="6"/>
      </w:rPr>
      <w:t xml:space="preserve"> </w:t>
    </w:r>
    <w:r>
      <w:rPr>
        <w:rFonts w:ascii="SimSun" w:hAnsi="SimSun" w:eastAsia="SimSun" w:cs="SimSun"/>
        <w:sz w:val="19"/>
        <w:szCs w:val="19"/>
        <w:spacing w:val="-10"/>
      </w:rPr>
      <w:t>定</w:t>
    </w:r>
    <w:r>
      <w:rPr>
        <w:rFonts w:ascii="SimSun" w:hAnsi="SimSun" w:eastAsia="SimSun" w:cs="SimSun"/>
        <w:sz w:val="19"/>
        <w:szCs w:val="19"/>
        <w:spacing w:val="10"/>
      </w:rPr>
      <w:t xml:space="preserve"> </w:t>
    </w:r>
    <w:r>
      <w:rPr>
        <w:rFonts w:ascii="SimSun" w:hAnsi="SimSun" w:eastAsia="SimSun" w:cs="SimSun"/>
        <w:sz w:val="19"/>
        <w:szCs w:val="19"/>
        <w:spacing w:val="-10"/>
      </w:rPr>
      <w:t>点</w:t>
    </w:r>
    <w:r>
      <w:rPr>
        <w:rFonts w:ascii="SimSun" w:hAnsi="SimSun" w:eastAsia="SimSun" w:cs="SimSun"/>
        <w:sz w:val="19"/>
        <w:szCs w:val="19"/>
        <w:spacing w:val="2"/>
      </w:rPr>
      <w:t xml:space="preserve"> </w:t>
    </w:r>
    <w:r>
      <w:rPr>
        <w:rFonts w:ascii="SimSun" w:hAnsi="SimSun" w:eastAsia="SimSun" w:cs="SimSun"/>
        <w:sz w:val="19"/>
        <w:szCs w:val="19"/>
        <w:spacing w:val="-10"/>
      </w:rPr>
      <w:t>屠</w:t>
    </w:r>
    <w:r>
      <w:rPr>
        <w:rFonts w:ascii="SimSun" w:hAnsi="SimSun" w:eastAsia="SimSun" w:cs="SimSun"/>
        <w:sz w:val="19"/>
        <w:szCs w:val="19"/>
        <w:spacing w:val="10"/>
      </w:rPr>
      <w:t xml:space="preserve"> </w:t>
    </w:r>
    <w:r>
      <w:rPr>
        <w:rFonts w:ascii="SimSun" w:hAnsi="SimSun" w:eastAsia="SimSun" w:cs="SimSun"/>
        <w:sz w:val="19"/>
        <w:szCs w:val="19"/>
        <w:spacing w:val="-10"/>
      </w:rPr>
      <w:t>宰</w:t>
    </w:r>
    <w:r>
      <w:rPr>
        <w:rFonts w:ascii="SimSun" w:hAnsi="SimSun" w:eastAsia="SimSun" w:cs="SimSun"/>
        <w:sz w:val="19"/>
        <w:szCs w:val="19"/>
      </w:rPr>
      <w:t xml:space="preserve"> </w:t>
    </w:r>
    <w:r>
      <w:rPr>
        <w:rFonts w:ascii="SimSun" w:hAnsi="SimSun" w:eastAsia="SimSun" w:cs="SimSun"/>
        <w:sz w:val="19"/>
        <w:szCs w:val="19"/>
        <w:spacing w:val="-10"/>
      </w:rPr>
      <w:t>及</w:t>
    </w:r>
    <w:r>
      <w:rPr>
        <w:rFonts w:ascii="SimSun" w:hAnsi="SimSun" w:eastAsia="SimSun" w:cs="SimSun"/>
        <w:sz w:val="19"/>
        <w:szCs w:val="19"/>
        <w:spacing w:val="1"/>
      </w:rPr>
      <w:t xml:space="preserve"> </w:t>
    </w:r>
    <w:r>
      <w:rPr>
        <w:rFonts w:ascii="SimSun" w:hAnsi="SimSun" w:eastAsia="SimSun" w:cs="SimSun"/>
        <w:sz w:val="19"/>
        <w:szCs w:val="19"/>
        <w:spacing w:val="-10"/>
      </w:rPr>
      <w:t>食</w:t>
    </w:r>
    <w:r>
      <w:rPr>
        <w:rFonts w:ascii="SimSun" w:hAnsi="SimSun" w:eastAsia="SimSun" w:cs="SimSun"/>
        <w:sz w:val="19"/>
        <w:szCs w:val="19"/>
        <w:spacing w:val="17"/>
      </w:rPr>
      <w:t xml:space="preserve"> </w:t>
    </w:r>
    <w:r>
      <w:rPr>
        <w:rFonts w:ascii="SimSun" w:hAnsi="SimSun" w:eastAsia="SimSun" w:cs="SimSun"/>
        <w:sz w:val="19"/>
        <w:szCs w:val="19"/>
        <w:spacing w:val="-10"/>
      </w:rPr>
      <w:t>品</w:t>
    </w:r>
    <w:r>
      <w:rPr>
        <w:rFonts w:ascii="SimSun" w:hAnsi="SimSun" w:eastAsia="SimSun" w:cs="SimSun"/>
        <w:sz w:val="19"/>
        <w:szCs w:val="19"/>
        <w:spacing w:val="1"/>
      </w:rPr>
      <w:t xml:space="preserve"> </w:t>
    </w:r>
    <w:r>
      <w:rPr>
        <w:rFonts w:ascii="SimSun" w:hAnsi="SimSun" w:eastAsia="SimSun" w:cs="SimSun"/>
        <w:sz w:val="19"/>
        <w:szCs w:val="19"/>
        <w:spacing w:val="-10"/>
      </w:rPr>
      <w:t>加</w:t>
    </w:r>
    <w:r>
      <w:rPr>
        <w:rFonts w:ascii="SimSun" w:hAnsi="SimSun" w:eastAsia="SimSun" w:cs="SimSun"/>
        <w:sz w:val="19"/>
        <w:szCs w:val="19"/>
        <w:spacing w:val="4"/>
      </w:rPr>
      <w:t xml:space="preserve"> </w:t>
    </w:r>
    <w:r>
      <w:rPr>
        <w:rFonts w:ascii="SimSun" w:hAnsi="SimSun" w:eastAsia="SimSun" w:cs="SimSun"/>
        <w:sz w:val="19"/>
        <w:szCs w:val="19"/>
        <w:spacing w:val="-10"/>
      </w:rPr>
      <w:t>工</w:t>
    </w:r>
    <w:r>
      <w:rPr>
        <w:rFonts w:ascii="SimSun" w:hAnsi="SimSun" w:eastAsia="SimSun" w:cs="SimSun"/>
        <w:sz w:val="19"/>
        <w:szCs w:val="19"/>
        <w:spacing w:val="4"/>
      </w:rPr>
      <w:t xml:space="preserve"> </w:t>
    </w:r>
    <w:r>
      <w:rPr>
        <w:rFonts w:ascii="SimSun" w:hAnsi="SimSun" w:eastAsia="SimSun" w:cs="SimSun"/>
        <w:sz w:val="19"/>
        <w:szCs w:val="19"/>
        <w:spacing w:val="-10"/>
      </w:rPr>
      <w:t>项</w:t>
    </w:r>
    <w:r>
      <w:rPr>
        <w:rFonts w:ascii="SimSun" w:hAnsi="SimSun" w:eastAsia="SimSun" w:cs="SimSun"/>
        <w:sz w:val="19"/>
        <w:szCs w:val="19"/>
        <w:spacing w:val="38"/>
      </w:rPr>
      <w:t xml:space="preserve"> </w:t>
    </w:r>
    <w:r>
      <w:rPr>
        <w:rFonts w:ascii="SimSun" w:hAnsi="SimSun" w:eastAsia="SimSun" w:cs="SimSun"/>
        <w:sz w:val="19"/>
        <w:szCs w:val="19"/>
        <w:spacing w:val="-10"/>
      </w:rPr>
      <w:t>目</w:t>
    </w:r>
    <w:r>
      <w:rPr>
        <w:rFonts w:ascii="SimSun" w:hAnsi="SimSun" w:eastAsia="SimSun" w:cs="SimSun"/>
        <w:sz w:val="19"/>
        <w:szCs w:val="19"/>
        <w:spacing w:val="1"/>
      </w:rPr>
      <w:t xml:space="preserve"> </w:t>
    </w:r>
    <w:r>
      <w:rPr>
        <w:rFonts w:ascii="SimSun" w:hAnsi="SimSun" w:eastAsia="SimSun" w:cs="SimSun"/>
        <w:sz w:val="19"/>
        <w:szCs w:val="19"/>
        <w:spacing w:val="-10"/>
      </w:rPr>
      <w:t>环</w:t>
    </w:r>
    <w:r>
      <w:rPr>
        <w:rFonts w:ascii="SimSun" w:hAnsi="SimSun" w:eastAsia="SimSun" w:cs="SimSun"/>
        <w:sz w:val="19"/>
        <w:szCs w:val="19"/>
        <w:spacing w:val="2"/>
      </w:rPr>
      <w:t xml:space="preserve"> </w:t>
    </w:r>
    <w:r>
      <w:rPr>
        <w:rFonts w:ascii="SimSun" w:hAnsi="SimSun" w:eastAsia="SimSun" w:cs="SimSun"/>
        <w:sz w:val="19"/>
        <w:szCs w:val="19"/>
        <w:spacing w:val="-10"/>
      </w:rPr>
      <w:t>境</w:t>
    </w:r>
    <w:r>
      <w:rPr>
        <w:rFonts w:ascii="SimSun" w:hAnsi="SimSun" w:eastAsia="SimSun" w:cs="SimSun"/>
        <w:sz w:val="19"/>
        <w:szCs w:val="19"/>
        <w:spacing w:val="1"/>
      </w:rPr>
      <w:t xml:space="preserve"> </w:t>
    </w:r>
    <w:r>
      <w:rPr>
        <w:rFonts w:ascii="SimSun" w:hAnsi="SimSun" w:eastAsia="SimSun" w:cs="SimSun"/>
        <w:sz w:val="19"/>
        <w:szCs w:val="19"/>
        <w:spacing w:val="-10"/>
      </w:rPr>
      <w:t>影</w:t>
    </w:r>
    <w:r>
      <w:rPr>
        <w:rFonts w:ascii="SimSun" w:hAnsi="SimSun" w:eastAsia="SimSun" w:cs="SimSun"/>
        <w:sz w:val="19"/>
        <w:szCs w:val="19"/>
        <w:spacing w:val="11"/>
      </w:rPr>
      <w:t xml:space="preserve"> </w:t>
    </w:r>
    <w:r>
      <w:rPr>
        <w:rFonts w:ascii="SimSun" w:hAnsi="SimSun" w:eastAsia="SimSun" w:cs="SimSun"/>
        <w:sz w:val="19"/>
        <w:szCs w:val="19"/>
        <w:spacing w:val="-10"/>
      </w:rPr>
      <w:t>响</w:t>
    </w:r>
    <w:r>
      <w:rPr>
        <w:rFonts w:ascii="SimSun" w:hAnsi="SimSun" w:eastAsia="SimSun" w:cs="SimSun"/>
        <w:sz w:val="19"/>
        <w:szCs w:val="19"/>
      </w:rPr>
      <w:t xml:space="preserve"> </w:t>
    </w:r>
    <w:r>
      <w:rPr>
        <w:rFonts w:ascii="SimSun" w:hAnsi="SimSun" w:eastAsia="SimSun" w:cs="SimSun"/>
        <w:sz w:val="19"/>
        <w:szCs w:val="19"/>
        <w:spacing w:val="-11"/>
      </w:rPr>
      <w:t>报</w:t>
    </w:r>
    <w:r>
      <w:rPr>
        <w:rFonts w:ascii="SimSun" w:hAnsi="SimSun" w:eastAsia="SimSun" w:cs="SimSun"/>
        <w:sz w:val="19"/>
        <w:szCs w:val="19"/>
        <w:spacing w:val="5"/>
      </w:rPr>
      <w:t xml:space="preserve"> </w:t>
    </w:r>
    <w:r>
      <w:rPr>
        <w:rFonts w:ascii="SimSun" w:hAnsi="SimSun" w:eastAsia="SimSun" w:cs="SimSun"/>
        <w:sz w:val="19"/>
        <w:szCs w:val="19"/>
        <w:spacing w:val="-11"/>
      </w:rPr>
      <w:t>告</w:t>
    </w:r>
    <w:r>
      <w:rPr>
        <w:rFonts w:ascii="SimSun" w:hAnsi="SimSun" w:eastAsia="SimSun" w:cs="SimSun"/>
        <w:sz w:val="19"/>
        <w:szCs w:val="19"/>
        <w:spacing w:val="5"/>
      </w:rPr>
      <w:t xml:space="preserve"> </w:t>
    </w:r>
    <w:r>
      <w:rPr>
        <w:rFonts w:ascii="SimSun" w:hAnsi="SimSun" w:eastAsia="SimSun" w:cs="SimSun"/>
        <w:sz w:val="19"/>
        <w:szCs w:val="19"/>
        <w:spacing w:val="-11"/>
      </w:rPr>
      <w:t>书</w:t>
    </w:r>
  </w:p>
</w:hdr>
</file>

<file path=word/header14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045"/>
      <w:spacing w:before="51" w:line="218" w:lineRule="auto"/>
      <w:rPr>
        <w:rFonts w:ascii="SimSun" w:hAnsi="SimSun" w:eastAsia="SimSun" w:cs="SimSun"/>
        <w:sz w:val="19"/>
        <w:szCs w:val="19"/>
      </w:rPr>
    </w:pPr>
    <w:r>
      <w:drawing>
        <wp:anchor distT="0" distB="0" distL="0" distR="0" simplePos="0" relativeHeight="251806720" behindDoc="0" locked="0" layoutInCell="1" allowOverlap="1">
          <wp:simplePos x="0" y="0"/>
          <wp:positionH relativeFrom="column">
            <wp:posOffset>688943</wp:posOffset>
          </wp:positionH>
          <wp:positionV relativeFrom="paragraph">
            <wp:posOffset>146812</wp:posOffset>
          </wp:positionV>
          <wp:extent cx="8413781" cy="6350"/>
          <wp:effectExtent l="0" t="0" r="0" b="0"/>
          <wp:wrapNone/>
          <wp:docPr id="100" name="IM 100"/>
          <wp:cNvGraphicFramePr/>
          <a:graphic>
            <a:graphicData uri="http://schemas.openxmlformats.org/drawingml/2006/picture">
              <pic:pic>
                <pic:nvPicPr>
                  <pic:cNvPr id="100" name="IM 100"/>
                  <pic:cNvPicPr/>
                </pic:nvPicPr>
                <pic:blipFill>
                  <a:blip r:embed="rId1"/>
                  <a:stretch>
                    <a:fillRect/>
                  </a:stretch>
                </pic:blipFill>
                <pic:spPr>
                  <a:xfrm rot="0">
                    <a:off x="0" y="0"/>
                    <a:ext cx="8413781" cy="6350"/>
                  </a:xfrm>
                  <a:prstGeom prst="rect">
                    <a:avLst/>
                  </a:prstGeom>
                </pic:spPr>
              </pic:pic>
            </a:graphicData>
          </a:graphic>
        </wp:anchor>
      </w:drawing>
    </w:r>
    <w:r>
      <w:rPr>
        <w:rFonts w:ascii="SimSun" w:hAnsi="SimSun" w:eastAsia="SimSun" w:cs="SimSun"/>
        <w:sz w:val="19"/>
        <w:szCs w:val="19"/>
        <w:spacing w:val="-9"/>
      </w:rPr>
      <w:t>绵 阳 柒 鑫 食 品 有 限 公 司 A 级 生 猪</w:t>
    </w:r>
    <w:r>
      <w:rPr>
        <w:rFonts w:ascii="SimSun" w:hAnsi="SimSun" w:eastAsia="SimSun" w:cs="SimSun"/>
        <w:sz w:val="19"/>
        <w:szCs w:val="19"/>
        <w:spacing w:val="8"/>
      </w:rPr>
      <w:t xml:space="preserve"> </w:t>
    </w:r>
    <w:r>
      <w:rPr>
        <w:rFonts w:ascii="SimSun" w:hAnsi="SimSun" w:eastAsia="SimSun" w:cs="SimSun"/>
        <w:sz w:val="19"/>
        <w:szCs w:val="19"/>
        <w:spacing w:val="-9"/>
      </w:rPr>
      <w:t>、</w:t>
    </w:r>
    <w:r>
      <w:rPr>
        <w:rFonts w:ascii="SimSun" w:hAnsi="SimSun" w:eastAsia="SimSun" w:cs="SimSun"/>
        <w:sz w:val="19"/>
        <w:szCs w:val="19"/>
        <w:spacing w:val="13"/>
      </w:rPr>
      <w:t xml:space="preserve"> </w:t>
    </w:r>
    <w:r>
      <w:rPr>
        <w:rFonts w:ascii="SimSun" w:hAnsi="SimSun" w:eastAsia="SimSun" w:cs="SimSun"/>
        <w:sz w:val="19"/>
        <w:szCs w:val="19"/>
        <w:spacing w:val="-9"/>
      </w:rPr>
      <w:t>肉</w:t>
    </w:r>
    <w:r>
      <w:rPr>
        <w:rFonts w:ascii="SimSun" w:hAnsi="SimSun" w:eastAsia="SimSun" w:cs="SimSun"/>
        <w:sz w:val="19"/>
        <w:szCs w:val="19"/>
        <w:spacing w:val="-1"/>
      </w:rPr>
      <w:t xml:space="preserve"> </w:t>
    </w:r>
    <w:r>
      <w:rPr>
        <w:rFonts w:ascii="SimSun" w:hAnsi="SimSun" w:eastAsia="SimSun" w:cs="SimSun"/>
        <w:sz w:val="19"/>
        <w:szCs w:val="19"/>
        <w:spacing w:val="-9"/>
      </w:rPr>
      <w:t>牛</w:t>
    </w:r>
    <w:r>
      <w:rPr>
        <w:rFonts w:ascii="SimSun" w:hAnsi="SimSun" w:eastAsia="SimSun" w:cs="SimSun"/>
        <w:sz w:val="19"/>
        <w:szCs w:val="19"/>
        <w:spacing w:val="-1"/>
      </w:rPr>
      <w:t xml:space="preserve"> </w:t>
    </w:r>
    <w:r>
      <w:rPr>
        <w:rFonts w:ascii="SimSun" w:hAnsi="SimSun" w:eastAsia="SimSun" w:cs="SimSun"/>
        <w:sz w:val="19"/>
        <w:szCs w:val="19"/>
        <w:spacing w:val="-9"/>
      </w:rPr>
      <w:t>定</w:t>
    </w:r>
    <w:r>
      <w:rPr>
        <w:rFonts w:ascii="SimSun" w:hAnsi="SimSun" w:eastAsia="SimSun" w:cs="SimSun"/>
        <w:sz w:val="19"/>
        <w:szCs w:val="19"/>
        <w:spacing w:val="5"/>
      </w:rPr>
      <w:t xml:space="preserve"> </w:t>
    </w:r>
    <w:r>
      <w:rPr>
        <w:rFonts w:ascii="SimSun" w:hAnsi="SimSun" w:eastAsia="SimSun" w:cs="SimSun"/>
        <w:sz w:val="19"/>
        <w:szCs w:val="19"/>
        <w:spacing w:val="-9"/>
      </w:rPr>
      <w:t>点 屠</w:t>
    </w:r>
    <w:r>
      <w:rPr>
        <w:rFonts w:ascii="SimSun" w:hAnsi="SimSun" w:eastAsia="SimSun" w:cs="SimSun"/>
        <w:sz w:val="19"/>
        <w:szCs w:val="19"/>
        <w:spacing w:val="3"/>
      </w:rPr>
      <w:t xml:space="preserve"> </w:t>
    </w:r>
    <w:r>
      <w:rPr>
        <w:rFonts w:ascii="SimSun" w:hAnsi="SimSun" w:eastAsia="SimSun" w:cs="SimSun"/>
        <w:sz w:val="19"/>
        <w:szCs w:val="19"/>
        <w:spacing w:val="-9"/>
      </w:rPr>
      <w:t>宰 及 食</w:t>
    </w:r>
    <w:r>
      <w:rPr>
        <w:rFonts w:ascii="SimSun" w:hAnsi="SimSun" w:eastAsia="SimSun" w:cs="SimSun"/>
        <w:sz w:val="19"/>
        <w:szCs w:val="19"/>
        <w:spacing w:val="10"/>
      </w:rPr>
      <w:t xml:space="preserve"> </w:t>
    </w:r>
    <w:r>
      <w:rPr>
        <w:rFonts w:ascii="SimSun" w:hAnsi="SimSun" w:eastAsia="SimSun" w:cs="SimSun"/>
        <w:sz w:val="19"/>
        <w:szCs w:val="19"/>
        <w:spacing w:val="-9"/>
      </w:rPr>
      <w:t>品 加</w:t>
    </w:r>
    <w:r>
      <w:rPr>
        <w:rFonts w:ascii="SimSun" w:hAnsi="SimSun" w:eastAsia="SimSun" w:cs="SimSun"/>
        <w:sz w:val="19"/>
        <w:szCs w:val="19"/>
        <w:spacing w:val="-3"/>
      </w:rPr>
      <w:t xml:space="preserve"> </w:t>
    </w:r>
    <w:r>
      <w:rPr>
        <w:rFonts w:ascii="SimSun" w:hAnsi="SimSun" w:eastAsia="SimSun" w:cs="SimSun"/>
        <w:sz w:val="19"/>
        <w:szCs w:val="19"/>
        <w:spacing w:val="-9"/>
      </w:rPr>
      <w:t>工</w:t>
    </w:r>
    <w:r>
      <w:rPr>
        <w:rFonts w:ascii="SimSun" w:hAnsi="SimSun" w:eastAsia="SimSun" w:cs="SimSun"/>
        <w:sz w:val="19"/>
        <w:szCs w:val="19"/>
        <w:spacing w:val="-3"/>
      </w:rPr>
      <w:t xml:space="preserve"> </w:t>
    </w:r>
    <w:r>
      <w:rPr>
        <w:rFonts w:ascii="SimSun" w:hAnsi="SimSun" w:eastAsia="SimSun" w:cs="SimSun"/>
        <w:sz w:val="19"/>
        <w:szCs w:val="19"/>
        <w:spacing w:val="-9"/>
      </w:rPr>
      <w:t>项</w:t>
    </w:r>
    <w:r>
      <w:rPr>
        <w:rFonts w:ascii="SimSun" w:hAnsi="SimSun" w:eastAsia="SimSun" w:cs="SimSun"/>
        <w:sz w:val="19"/>
        <w:szCs w:val="19"/>
        <w:spacing w:val="31"/>
      </w:rPr>
      <w:t xml:space="preserve"> </w:t>
    </w:r>
    <w:r>
      <w:rPr>
        <w:rFonts w:ascii="SimSun" w:hAnsi="SimSun" w:eastAsia="SimSun" w:cs="SimSun"/>
        <w:sz w:val="19"/>
        <w:szCs w:val="19"/>
        <w:spacing w:val="-9"/>
      </w:rPr>
      <w:t>目 环</w:t>
    </w:r>
    <w:r>
      <w:rPr>
        <w:rFonts w:ascii="SimSun" w:hAnsi="SimSun" w:eastAsia="SimSun" w:cs="SimSun"/>
        <w:sz w:val="19"/>
        <w:szCs w:val="19"/>
        <w:spacing w:val="-4"/>
      </w:rPr>
      <w:t xml:space="preserve"> </w:t>
    </w:r>
    <w:r>
      <w:rPr>
        <w:rFonts w:ascii="SimSun" w:hAnsi="SimSun" w:eastAsia="SimSun" w:cs="SimSun"/>
        <w:sz w:val="19"/>
        <w:szCs w:val="19"/>
        <w:spacing w:val="-9"/>
      </w:rPr>
      <w:t>境</w:t>
    </w:r>
    <w:r>
      <w:rPr>
        <w:rFonts w:ascii="SimSun" w:hAnsi="SimSun" w:eastAsia="SimSun" w:cs="SimSun"/>
        <w:sz w:val="19"/>
        <w:szCs w:val="19"/>
        <w:spacing w:val="-6"/>
      </w:rPr>
      <w:t xml:space="preserve"> </w:t>
    </w:r>
    <w:r>
      <w:rPr>
        <w:rFonts w:ascii="SimSun" w:hAnsi="SimSun" w:eastAsia="SimSun" w:cs="SimSun"/>
        <w:sz w:val="19"/>
        <w:szCs w:val="19"/>
        <w:spacing w:val="-9"/>
      </w:rPr>
      <w:t>影</w:t>
    </w:r>
    <w:r>
      <w:rPr>
        <w:rFonts w:ascii="SimSun" w:hAnsi="SimSun" w:eastAsia="SimSun" w:cs="SimSun"/>
        <w:sz w:val="19"/>
        <w:szCs w:val="19"/>
        <w:spacing w:val="5"/>
      </w:rPr>
      <w:t xml:space="preserve"> </w:t>
    </w:r>
    <w:r>
      <w:rPr>
        <w:rFonts w:ascii="SimSun" w:hAnsi="SimSun" w:eastAsia="SimSun" w:cs="SimSun"/>
        <w:sz w:val="19"/>
        <w:szCs w:val="19"/>
        <w:spacing w:val="-9"/>
      </w:rPr>
      <w:t>响 </w:t>
    </w:r>
    <w:r>
      <w:rPr>
        <w:rFonts w:ascii="SimSun" w:hAnsi="SimSun" w:eastAsia="SimSun" w:cs="SimSun"/>
        <w:sz w:val="19"/>
        <w:szCs w:val="19"/>
        <w:spacing w:val="-10"/>
      </w:rPr>
      <w:t>报</w:t>
    </w:r>
    <w:r>
      <w:rPr>
        <w:rFonts w:ascii="SimSun" w:hAnsi="SimSun" w:eastAsia="SimSun" w:cs="SimSun"/>
        <w:sz w:val="19"/>
        <w:szCs w:val="19"/>
        <w:spacing w:val="-1"/>
      </w:rPr>
      <w:t xml:space="preserve"> </w:t>
    </w:r>
    <w:r>
      <w:rPr>
        <w:rFonts w:ascii="SimSun" w:hAnsi="SimSun" w:eastAsia="SimSun" w:cs="SimSun"/>
        <w:sz w:val="19"/>
        <w:szCs w:val="19"/>
        <w:spacing w:val="-10"/>
      </w:rPr>
      <w:t>告</w:t>
    </w:r>
    <w:r>
      <w:rPr>
        <w:rFonts w:ascii="SimSun" w:hAnsi="SimSun" w:eastAsia="SimSun" w:cs="SimSun"/>
        <w:sz w:val="19"/>
        <w:szCs w:val="19"/>
        <w:spacing w:val="-2"/>
      </w:rPr>
      <w:t xml:space="preserve"> </w:t>
    </w:r>
    <w:r>
      <w:rPr>
        <w:rFonts w:ascii="SimSun" w:hAnsi="SimSun" w:eastAsia="SimSun" w:cs="SimSun"/>
        <w:sz w:val="19"/>
        <w:szCs w:val="19"/>
        <w:spacing w:val="-10"/>
      </w:rPr>
      <w:t>书</w:t>
    </w:r>
  </w:p>
</w:hdr>
</file>

<file path=word/header14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045"/>
      <w:spacing w:before="51" w:line="218" w:lineRule="auto"/>
      <w:rPr>
        <w:rFonts w:ascii="SimSun" w:hAnsi="SimSun" w:eastAsia="SimSun" w:cs="SimSun"/>
        <w:sz w:val="19"/>
        <w:szCs w:val="19"/>
      </w:rPr>
    </w:pPr>
    <w:r>
      <w:drawing>
        <wp:anchor distT="0" distB="0" distL="0" distR="0" simplePos="0" relativeHeight="251807744" behindDoc="0" locked="0" layoutInCell="1" allowOverlap="1">
          <wp:simplePos x="0" y="0"/>
          <wp:positionH relativeFrom="column">
            <wp:posOffset>688943</wp:posOffset>
          </wp:positionH>
          <wp:positionV relativeFrom="paragraph">
            <wp:posOffset>146812</wp:posOffset>
          </wp:positionV>
          <wp:extent cx="8413781" cy="6350"/>
          <wp:effectExtent l="0" t="0" r="0" b="0"/>
          <wp:wrapNone/>
          <wp:docPr id="102" name="IM 102"/>
          <wp:cNvGraphicFramePr/>
          <a:graphic>
            <a:graphicData uri="http://schemas.openxmlformats.org/drawingml/2006/picture">
              <pic:pic>
                <pic:nvPicPr>
                  <pic:cNvPr id="102" name="IM 102"/>
                  <pic:cNvPicPr/>
                </pic:nvPicPr>
                <pic:blipFill>
                  <a:blip r:embed="rId1"/>
                  <a:stretch>
                    <a:fillRect/>
                  </a:stretch>
                </pic:blipFill>
                <pic:spPr>
                  <a:xfrm rot="0">
                    <a:off x="0" y="0"/>
                    <a:ext cx="8413781" cy="6350"/>
                  </a:xfrm>
                  <a:prstGeom prst="rect">
                    <a:avLst/>
                  </a:prstGeom>
                </pic:spPr>
              </pic:pic>
            </a:graphicData>
          </a:graphic>
        </wp:anchor>
      </w:drawing>
    </w:r>
    <w:r>
      <w:rPr>
        <w:rFonts w:ascii="SimSun" w:hAnsi="SimSun" w:eastAsia="SimSun" w:cs="SimSun"/>
        <w:sz w:val="19"/>
        <w:szCs w:val="19"/>
        <w:spacing w:val="-9"/>
      </w:rPr>
      <w:t>绵 阳 柒 鑫 食 品 有 限 公 司 A 级 生 猪</w:t>
    </w:r>
    <w:r>
      <w:rPr>
        <w:rFonts w:ascii="SimSun" w:hAnsi="SimSun" w:eastAsia="SimSun" w:cs="SimSun"/>
        <w:sz w:val="19"/>
        <w:szCs w:val="19"/>
        <w:spacing w:val="8"/>
      </w:rPr>
      <w:t xml:space="preserve"> </w:t>
    </w:r>
    <w:r>
      <w:rPr>
        <w:rFonts w:ascii="SimSun" w:hAnsi="SimSun" w:eastAsia="SimSun" w:cs="SimSun"/>
        <w:sz w:val="19"/>
        <w:szCs w:val="19"/>
        <w:spacing w:val="-9"/>
      </w:rPr>
      <w:t>、</w:t>
    </w:r>
    <w:r>
      <w:rPr>
        <w:rFonts w:ascii="SimSun" w:hAnsi="SimSun" w:eastAsia="SimSun" w:cs="SimSun"/>
        <w:sz w:val="19"/>
        <w:szCs w:val="19"/>
        <w:spacing w:val="13"/>
      </w:rPr>
      <w:t xml:space="preserve"> </w:t>
    </w:r>
    <w:r>
      <w:rPr>
        <w:rFonts w:ascii="SimSun" w:hAnsi="SimSun" w:eastAsia="SimSun" w:cs="SimSun"/>
        <w:sz w:val="19"/>
        <w:szCs w:val="19"/>
        <w:spacing w:val="-9"/>
      </w:rPr>
      <w:t>肉</w:t>
    </w:r>
    <w:r>
      <w:rPr>
        <w:rFonts w:ascii="SimSun" w:hAnsi="SimSun" w:eastAsia="SimSun" w:cs="SimSun"/>
        <w:sz w:val="19"/>
        <w:szCs w:val="19"/>
        <w:spacing w:val="-1"/>
      </w:rPr>
      <w:t xml:space="preserve"> </w:t>
    </w:r>
    <w:r>
      <w:rPr>
        <w:rFonts w:ascii="SimSun" w:hAnsi="SimSun" w:eastAsia="SimSun" w:cs="SimSun"/>
        <w:sz w:val="19"/>
        <w:szCs w:val="19"/>
        <w:spacing w:val="-9"/>
      </w:rPr>
      <w:t>牛</w:t>
    </w:r>
    <w:r>
      <w:rPr>
        <w:rFonts w:ascii="SimSun" w:hAnsi="SimSun" w:eastAsia="SimSun" w:cs="SimSun"/>
        <w:sz w:val="19"/>
        <w:szCs w:val="19"/>
        <w:spacing w:val="-1"/>
      </w:rPr>
      <w:t xml:space="preserve"> </w:t>
    </w:r>
    <w:r>
      <w:rPr>
        <w:rFonts w:ascii="SimSun" w:hAnsi="SimSun" w:eastAsia="SimSun" w:cs="SimSun"/>
        <w:sz w:val="19"/>
        <w:szCs w:val="19"/>
        <w:spacing w:val="-9"/>
      </w:rPr>
      <w:t>定</w:t>
    </w:r>
    <w:r>
      <w:rPr>
        <w:rFonts w:ascii="SimSun" w:hAnsi="SimSun" w:eastAsia="SimSun" w:cs="SimSun"/>
        <w:sz w:val="19"/>
        <w:szCs w:val="19"/>
        <w:spacing w:val="5"/>
      </w:rPr>
      <w:t xml:space="preserve"> </w:t>
    </w:r>
    <w:r>
      <w:rPr>
        <w:rFonts w:ascii="SimSun" w:hAnsi="SimSun" w:eastAsia="SimSun" w:cs="SimSun"/>
        <w:sz w:val="19"/>
        <w:szCs w:val="19"/>
        <w:spacing w:val="-9"/>
      </w:rPr>
      <w:t>点 屠</w:t>
    </w:r>
    <w:r>
      <w:rPr>
        <w:rFonts w:ascii="SimSun" w:hAnsi="SimSun" w:eastAsia="SimSun" w:cs="SimSun"/>
        <w:sz w:val="19"/>
        <w:szCs w:val="19"/>
        <w:spacing w:val="3"/>
      </w:rPr>
      <w:t xml:space="preserve"> </w:t>
    </w:r>
    <w:r>
      <w:rPr>
        <w:rFonts w:ascii="SimSun" w:hAnsi="SimSun" w:eastAsia="SimSun" w:cs="SimSun"/>
        <w:sz w:val="19"/>
        <w:szCs w:val="19"/>
        <w:spacing w:val="-9"/>
      </w:rPr>
      <w:t>宰 及 食</w:t>
    </w:r>
    <w:r>
      <w:rPr>
        <w:rFonts w:ascii="SimSun" w:hAnsi="SimSun" w:eastAsia="SimSun" w:cs="SimSun"/>
        <w:sz w:val="19"/>
        <w:szCs w:val="19"/>
        <w:spacing w:val="10"/>
      </w:rPr>
      <w:t xml:space="preserve"> </w:t>
    </w:r>
    <w:r>
      <w:rPr>
        <w:rFonts w:ascii="SimSun" w:hAnsi="SimSun" w:eastAsia="SimSun" w:cs="SimSun"/>
        <w:sz w:val="19"/>
        <w:szCs w:val="19"/>
        <w:spacing w:val="-9"/>
      </w:rPr>
      <w:t>品 加</w:t>
    </w:r>
    <w:r>
      <w:rPr>
        <w:rFonts w:ascii="SimSun" w:hAnsi="SimSun" w:eastAsia="SimSun" w:cs="SimSun"/>
        <w:sz w:val="19"/>
        <w:szCs w:val="19"/>
        <w:spacing w:val="-3"/>
      </w:rPr>
      <w:t xml:space="preserve"> </w:t>
    </w:r>
    <w:r>
      <w:rPr>
        <w:rFonts w:ascii="SimSun" w:hAnsi="SimSun" w:eastAsia="SimSun" w:cs="SimSun"/>
        <w:sz w:val="19"/>
        <w:szCs w:val="19"/>
        <w:spacing w:val="-9"/>
      </w:rPr>
      <w:t>工</w:t>
    </w:r>
    <w:r>
      <w:rPr>
        <w:rFonts w:ascii="SimSun" w:hAnsi="SimSun" w:eastAsia="SimSun" w:cs="SimSun"/>
        <w:sz w:val="19"/>
        <w:szCs w:val="19"/>
        <w:spacing w:val="-3"/>
      </w:rPr>
      <w:t xml:space="preserve"> </w:t>
    </w:r>
    <w:r>
      <w:rPr>
        <w:rFonts w:ascii="SimSun" w:hAnsi="SimSun" w:eastAsia="SimSun" w:cs="SimSun"/>
        <w:sz w:val="19"/>
        <w:szCs w:val="19"/>
        <w:spacing w:val="-9"/>
      </w:rPr>
      <w:t>项</w:t>
    </w:r>
    <w:r>
      <w:rPr>
        <w:rFonts w:ascii="SimSun" w:hAnsi="SimSun" w:eastAsia="SimSun" w:cs="SimSun"/>
        <w:sz w:val="19"/>
        <w:szCs w:val="19"/>
        <w:spacing w:val="31"/>
      </w:rPr>
      <w:t xml:space="preserve"> </w:t>
    </w:r>
    <w:r>
      <w:rPr>
        <w:rFonts w:ascii="SimSun" w:hAnsi="SimSun" w:eastAsia="SimSun" w:cs="SimSun"/>
        <w:sz w:val="19"/>
        <w:szCs w:val="19"/>
        <w:spacing w:val="-9"/>
      </w:rPr>
      <w:t>目 环</w:t>
    </w:r>
    <w:r>
      <w:rPr>
        <w:rFonts w:ascii="SimSun" w:hAnsi="SimSun" w:eastAsia="SimSun" w:cs="SimSun"/>
        <w:sz w:val="19"/>
        <w:szCs w:val="19"/>
        <w:spacing w:val="-4"/>
      </w:rPr>
      <w:t xml:space="preserve"> </w:t>
    </w:r>
    <w:r>
      <w:rPr>
        <w:rFonts w:ascii="SimSun" w:hAnsi="SimSun" w:eastAsia="SimSun" w:cs="SimSun"/>
        <w:sz w:val="19"/>
        <w:szCs w:val="19"/>
        <w:spacing w:val="-9"/>
      </w:rPr>
      <w:t>境</w:t>
    </w:r>
    <w:r>
      <w:rPr>
        <w:rFonts w:ascii="SimSun" w:hAnsi="SimSun" w:eastAsia="SimSun" w:cs="SimSun"/>
        <w:sz w:val="19"/>
        <w:szCs w:val="19"/>
        <w:spacing w:val="-6"/>
      </w:rPr>
      <w:t xml:space="preserve"> </w:t>
    </w:r>
    <w:r>
      <w:rPr>
        <w:rFonts w:ascii="SimSun" w:hAnsi="SimSun" w:eastAsia="SimSun" w:cs="SimSun"/>
        <w:sz w:val="19"/>
        <w:szCs w:val="19"/>
        <w:spacing w:val="-9"/>
      </w:rPr>
      <w:t>影</w:t>
    </w:r>
    <w:r>
      <w:rPr>
        <w:rFonts w:ascii="SimSun" w:hAnsi="SimSun" w:eastAsia="SimSun" w:cs="SimSun"/>
        <w:sz w:val="19"/>
        <w:szCs w:val="19"/>
        <w:spacing w:val="5"/>
      </w:rPr>
      <w:t xml:space="preserve"> </w:t>
    </w:r>
    <w:r>
      <w:rPr>
        <w:rFonts w:ascii="SimSun" w:hAnsi="SimSun" w:eastAsia="SimSun" w:cs="SimSun"/>
        <w:sz w:val="19"/>
        <w:szCs w:val="19"/>
        <w:spacing w:val="-9"/>
      </w:rPr>
      <w:t>响 </w:t>
    </w:r>
    <w:r>
      <w:rPr>
        <w:rFonts w:ascii="SimSun" w:hAnsi="SimSun" w:eastAsia="SimSun" w:cs="SimSun"/>
        <w:sz w:val="19"/>
        <w:szCs w:val="19"/>
        <w:spacing w:val="-10"/>
      </w:rPr>
      <w:t>报</w:t>
    </w:r>
    <w:r>
      <w:rPr>
        <w:rFonts w:ascii="SimSun" w:hAnsi="SimSun" w:eastAsia="SimSun" w:cs="SimSun"/>
        <w:sz w:val="19"/>
        <w:szCs w:val="19"/>
        <w:spacing w:val="-1"/>
      </w:rPr>
      <w:t xml:space="preserve"> </w:t>
    </w:r>
    <w:r>
      <w:rPr>
        <w:rFonts w:ascii="SimSun" w:hAnsi="SimSun" w:eastAsia="SimSun" w:cs="SimSun"/>
        <w:sz w:val="19"/>
        <w:szCs w:val="19"/>
        <w:spacing w:val="-10"/>
      </w:rPr>
      <w:t>告</w:t>
    </w:r>
    <w:r>
      <w:rPr>
        <w:rFonts w:ascii="SimSun" w:hAnsi="SimSun" w:eastAsia="SimSun" w:cs="SimSun"/>
        <w:sz w:val="19"/>
        <w:szCs w:val="19"/>
        <w:spacing w:val="-2"/>
      </w:rPr>
      <w:t xml:space="preserve"> </w:t>
    </w:r>
    <w:r>
      <w:rPr>
        <w:rFonts w:ascii="SimSun" w:hAnsi="SimSun" w:eastAsia="SimSun" w:cs="SimSun"/>
        <w:sz w:val="19"/>
        <w:szCs w:val="19"/>
        <w:spacing w:val="-10"/>
      </w:rPr>
      <w:t>书</w:t>
    </w:r>
  </w:p>
</w:hdr>
</file>

<file path=word/header14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
      <w:spacing w:before="51" w:line="218" w:lineRule="auto"/>
      <w:tabs>
        <w:tab w:val="left" w:pos="285"/>
      </w:tabs>
      <w:rPr>
        <w:rFonts w:ascii="SimSun" w:hAnsi="SimSun" w:eastAsia="SimSun" w:cs="SimSun"/>
        <w:sz w:val="19"/>
        <w:szCs w:val="19"/>
      </w:rPr>
    </w:pPr>
    <w:r>
      <w:rPr>
        <w:rFonts w:ascii="SimSun" w:hAnsi="SimSun" w:eastAsia="SimSun" w:cs="SimSun"/>
        <w:sz w:val="19"/>
        <w:szCs w:val="19"/>
        <w:u w:val="single" w:color="auto"/>
      </w:rPr>
      <w:tab/>
    </w:r>
    <w:r>
      <w:rPr>
        <w:rFonts w:ascii="SimSun" w:hAnsi="SimSun" w:eastAsia="SimSun" w:cs="SimSun"/>
        <w:sz w:val="19"/>
        <w:szCs w:val="19"/>
        <w:u w:val="single" w:color="auto"/>
        <w:spacing w:val="35"/>
      </w:rPr>
      <w:t>绵阳柒鑫食品有限公司A级生猪、肉牛定点屠</w:t>
    </w:r>
    <w:r>
      <w:rPr>
        <w:rFonts w:ascii="SimSun" w:hAnsi="SimSun" w:eastAsia="SimSun" w:cs="SimSun"/>
        <w:sz w:val="19"/>
        <w:szCs w:val="19"/>
        <w:u w:val="single" w:color="auto"/>
        <w:spacing w:val="34"/>
      </w:rPr>
      <w:t>宰及食品加工项目环境影响报告书</w:t>
    </w:r>
    <w:r>
      <w:rPr>
        <w:rFonts w:ascii="SimSun" w:hAnsi="SimSun" w:eastAsia="SimSun" w:cs="SimSun"/>
        <w:sz w:val="19"/>
        <w:szCs w:val="19"/>
        <w:u w:val="single" w:color="auto"/>
      </w:rPr>
      <w:t xml:space="preserve">   </w:t>
    </w:r>
  </w:p>
</w:hdr>
</file>

<file path=word/header15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59" w:line="218" w:lineRule="auto"/>
      <w:tabs>
        <w:tab w:val="left" w:pos="245"/>
      </w:tabs>
      <w:rPr>
        <w:rFonts w:ascii="SimSun" w:hAnsi="SimSun" w:eastAsia="SimSun" w:cs="SimSun"/>
        <w:sz w:val="22"/>
        <w:szCs w:val="22"/>
      </w:rPr>
    </w:pPr>
    <w:r>
      <w:pict>
        <v:shape id="WordPictureWatermark220" style="position:absolute;margin-left:110.501pt;margin-top:216.503pt;mso-position-vertical-relative:page;mso-position-horizontal-relative:page;width:372pt;height:138.55pt;z-index:-251506688;" o:allowincell="f" filled="false" stroked="false" type="#_x0000_t75">
          <v:imagedata o:title="" r:id="rId1"/>
        </v:shape>
      </w:pict>
    </w:r>
    <w:r>
      <w:rPr>
        <w:rFonts w:ascii="SimSun" w:hAnsi="SimSun" w:eastAsia="SimSun" w:cs="SimSun"/>
        <w:sz w:val="22"/>
        <w:szCs w:val="22"/>
        <w:u w:val="single" w:color="auto"/>
      </w:rPr>
      <w:tab/>
    </w:r>
    <w:r>
      <w:rPr>
        <w:rFonts w:ascii="SimSun" w:hAnsi="SimSun" w:eastAsia="SimSun" w:cs="SimSun"/>
        <w:sz w:val="22"/>
        <w:szCs w:val="22"/>
        <w:u w:val="single" w:color="auto"/>
        <w:spacing w:val="6"/>
      </w:rPr>
      <w:t>绵阳柒鑫食品有限公司A级生猪、肉牛定点屠宰及食品加工项目环境影响报告书</w:t>
    </w:r>
    <w:r>
      <w:rPr>
        <w:rFonts w:ascii="SimSun" w:hAnsi="SimSun" w:eastAsia="SimSun" w:cs="SimSun"/>
        <w:sz w:val="22"/>
        <w:szCs w:val="22"/>
        <w:u w:val="single" w:color="auto"/>
        <w:spacing w:val="3"/>
      </w:rPr>
      <w:t xml:space="preserve">   </w:t>
    </w:r>
  </w:p>
</w:hdr>
</file>

<file path=word/header15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94"/>
      <w:spacing w:before="61" w:line="218" w:lineRule="auto"/>
      <w:rPr>
        <w:rFonts w:ascii="SimSun" w:hAnsi="SimSun" w:eastAsia="SimSun" w:cs="SimSun"/>
        <w:sz w:val="23"/>
        <w:szCs w:val="23"/>
      </w:rPr>
    </w:pPr>
    <w:r>
      <w:drawing>
        <wp:anchor distT="0" distB="0" distL="0" distR="0" simplePos="0" relativeHeight="251812864" behindDoc="0" locked="0" layoutInCell="0" allowOverlap="1">
          <wp:simplePos x="0" y="0"/>
          <wp:positionH relativeFrom="page">
            <wp:posOffset>1142973</wp:posOffset>
          </wp:positionH>
          <wp:positionV relativeFrom="page">
            <wp:posOffset>737087</wp:posOffset>
          </wp:positionV>
          <wp:extent cx="5270549" cy="7302"/>
          <wp:effectExtent l="0" t="0" r="0" b="0"/>
          <wp:wrapNone/>
          <wp:docPr id="104" name="IM 104"/>
          <wp:cNvGraphicFramePr/>
          <a:graphic>
            <a:graphicData uri="http://schemas.openxmlformats.org/drawingml/2006/picture">
              <pic:pic>
                <pic:nvPicPr>
                  <pic:cNvPr id="104" name="IM 104"/>
                  <pic:cNvPicPr/>
                </pic:nvPicPr>
                <pic:blipFill>
                  <a:blip r:embed="rId1"/>
                  <a:stretch>
                    <a:fillRect/>
                  </a:stretch>
                </pic:blipFill>
                <pic:spPr>
                  <a:xfrm rot="0">
                    <a:off x="0" y="0"/>
                    <a:ext cx="5270549" cy="7302"/>
                  </a:xfrm>
                  <a:prstGeom prst="rect">
                    <a:avLst/>
                  </a:prstGeom>
                </pic:spPr>
              </pic:pic>
            </a:graphicData>
          </a:graphic>
        </wp:anchor>
      </w:drawing>
    </w:r>
    <w:r>
      <w:rPr>
        <w:rFonts w:ascii="SimSun" w:hAnsi="SimSun" w:eastAsia="SimSun" w:cs="SimSun"/>
        <w:sz w:val="23"/>
        <w:szCs w:val="23"/>
        <w:spacing w:val="-27"/>
        <w:w w:val="99"/>
      </w:rPr>
      <w:t>绵阳柒鑫食品有限公司</w:t>
    </w:r>
    <w:r>
      <w:rPr>
        <w:rFonts w:ascii="Times New Roman" w:hAnsi="Times New Roman" w:eastAsia="Times New Roman" w:cs="Times New Roman"/>
        <w:sz w:val="23"/>
        <w:szCs w:val="23"/>
        <w:spacing w:val="-27"/>
        <w:w w:val="99"/>
      </w:rPr>
      <w:t>A</w:t>
    </w:r>
    <w:r>
      <w:rPr>
        <w:rFonts w:ascii="SimSun" w:hAnsi="SimSun" w:eastAsia="SimSun" w:cs="SimSun"/>
        <w:sz w:val="23"/>
        <w:szCs w:val="23"/>
        <w:spacing w:val="-27"/>
        <w:w w:val="99"/>
      </w:rPr>
      <w:t>级生猪、肉牛定点屠宰及食品加工项目环境影响报告书</w:t>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SimSun" w:hAnsi="SimSun" w:eastAsia="SimSun" w:cs="SimSun"/>
      <w:sz w:val="18"/>
      <w:szCs w:val="18"/>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header" Target="header41.xml"/><Relationship Id="rId98" Type="http://schemas.openxmlformats.org/officeDocument/2006/relationships/image" Target="media/image15.jpeg"/><Relationship Id="rId97" Type="http://schemas.openxmlformats.org/officeDocument/2006/relationships/image" Target="media/image14.jpeg"/><Relationship Id="rId96" Type="http://schemas.openxmlformats.org/officeDocument/2006/relationships/image" Target="media/image13.jpeg"/><Relationship Id="rId95" Type="http://schemas.openxmlformats.org/officeDocument/2006/relationships/image" Target="media/image12.jpeg"/><Relationship Id="rId94" Type="http://schemas.openxmlformats.org/officeDocument/2006/relationships/image" Target="media/image11.jpeg"/><Relationship Id="rId93" Type="http://schemas.openxmlformats.org/officeDocument/2006/relationships/image" Target="media/image10.jpeg"/><Relationship Id="rId92" Type="http://schemas.openxmlformats.org/officeDocument/2006/relationships/image" Target="media/image9.jpeg"/><Relationship Id="rId91" Type="http://schemas.openxmlformats.org/officeDocument/2006/relationships/footer" Target="footer44.xml"/><Relationship Id="rId90" Type="http://schemas.openxmlformats.org/officeDocument/2006/relationships/header" Target="header40.xml"/><Relationship Id="rId9" Type="http://schemas.openxmlformats.org/officeDocument/2006/relationships/footer" Target="footer4.xml"/><Relationship Id="rId89" Type="http://schemas.openxmlformats.org/officeDocument/2006/relationships/footer" Target="footer43.xml"/><Relationship Id="rId88" Type="http://schemas.openxmlformats.org/officeDocument/2006/relationships/header" Target="header39.xml"/><Relationship Id="rId87" Type="http://schemas.openxmlformats.org/officeDocument/2006/relationships/image" Target="media/image7.jpeg"/><Relationship Id="rId86" Type="http://schemas.openxmlformats.org/officeDocument/2006/relationships/image" Target="media/image6.jpeg"/><Relationship Id="rId85" Type="http://schemas.openxmlformats.org/officeDocument/2006/relationships/footer" Target="footer42.xml"/><Relationship Id="rId84" Type="http://schemas.openxmlformats.org/officeDocument/2006/relationships/header" Target="header38.xml"/><Relationship Id="rId83" Type="http://schemas.openxmlformats.org/officeDocument/2006/relationships/footer" Target="footer41.xml"/><Relationship Id="rId82" Type="http://schemas.openxmlformats.org/officeDocument/2006/relationships/header" Target="header37.xml"/><Relationship Id="rId81" Type="http://schemas.openxmlformats.org/officeDocument/2006/relationships/footer" Target="footer40.xml"/><Relationship Id="rId80" Type="http://schemas.openxmlformats.org/officeDocument/2006/relationships/header" Target="header36.xml"/><Relationship Id="rId8" Type="http://schemas.openxmlformats.org/officeDocument/2006/relationships/footer" Target="footer3.xml"/><Relationship Id="rId79" Type="http://schemas.openxmlformats.org/officeDocument/2006/relationships/footer" Target="footer39.xml"/><Relationship Id="rId78" Type="http://schemas.openxmlformats.org/officeDocument/2006/relationships/header" Target="header35.xml"/><Relationship Id="rId77" Type="http://schemas.openxmlformats.org/officeDocument/2006/relationships/footer" Target="footer38.xml"/><Relationship Id="rId76" Type="http://schemas.openxmlformats.org/officeDocument/2006/relationships/header" Target="header34.xml"/><Relationship Id="rId75" Type="http://schemas.openxmlformats.org/officeDocument/2006/relationships/footer" Target="footer37.xml"/><Relationship Id="rId74" Type="http://schemas.openxmlformats.org/officeDocument/2006/relationships/header" Target="header33.xml"/><Relationship Id="rId73" Type="http://schemas.openxmlformats.org/officeDocument/2006/relationships/footer" Target="footer36.xml"/><Relationship Id="rId72" Type="http://schemas.openxmlformats.org/officeDocument/2006/relationships/header" Target="header32.xml"/><Relationship Id="rId71" Type="http://schemas.openxmlformats.org/officeDocument/2006/relationships/footer" Target="footer35.xml"/><Relationship Id="rId70" Type="http://schemas.openxmlformats.org/officeDocument/2006/relationships/header" Target="header31.xml"/><Relationship Id="rId7" Type="http://schemas.openxmlformats.org/officeDocument/2006/relationships/header" Target="header3.xml"/><Relationship Id="rId69" Type="http://schemas.openxmlformats.org/officeDocument/2006/relationships/footer" Target="footer34.xml"/><Relationship Id="rId68" Type="http://schemas.openxmlformats.org/officeDocument/2006/relationships/header" Target="header30.xml"/><Relationship Id="rId67" Type="http://schemas.openxmlformats.org/officeDocument/2006/relationships/footer" Target="footer33.xml"/><Relationship Id="rId66" Type="http://schemas.openxmlformats.org/officeDocument/2006/relationships/header" Target="header29.xml"/><Relationship Id="rId65" Type="http://schemas.openxmlformats.org/officeDocument/2006/relationships/footer" Target="footer32.xml"/><Relationship Id="rId64" Type="http://schemas.openxmlformats.org/officeDocument/2006/relationships/header" Target="header28.xml"/><Relationship Id="rId63" Type="http://schemas.openxmlformats.org/officeDocument/2006/relationships/footer" Target="footer31.xml"/><Relationship Id="rId62" Type="http://schemas.openxmlformats.org/officeDocument/2006/relationships/header" Target="header27.xml"/><Relationship Id="rId61" Type="http://schemas.openxmlformats.org/officeDocument/2006/relationships/footer" Target="footer30.xml"/><Relationship Id="rId60" Type="http://schemas.openxmlformats.org/officeDocument/2006/relationships/header" Target="header26.xml"/><Relationship Id="rId6" Type="http://schemas.openxmlformats.org/officeDocument/2006/relationships/footer" Target="footer2.xml"/><Relationship Id="rId59" Type="http://schemas.openxmlformats.org/officeDocument/2006/relationships/footer" Target="footer29.xml"/><Relationship Id="rId58" Type="http://schemas.openxmlformats.org/officeDocument/2006/relationships/header" Target="header25.xml"/><Relationship Id="rId57" Type="http://schemas.openxmlformats.org/officeDocument/2006/relationships/footer" Target="footer28.xml"/><Relationship Id="rId56" Type="http://schemas.openxmlformats.org/officeDocument/2006/relationships/header" Target="header24.xml"/><Relationship Id="rId55" Type="http://schemas.openxmlformats.org/officeDocument/2006/relationships/footer" Target="footer27.xml"/><Relationship Id="rId54" Type="http://schemas.openxmlformats.org/officeDocument/2006/relationships/header" Target="header23.xml"/><Relationship Id="rId53" Type="http://schemas.openxmlformats.org/officeDocument/2006/relationships/footer" Target="footer26.xml"/><Relationship Id="rId52" Type="http://schemas.openxmlformats.org/officeDocument/2006/relationships/header" Target="header22.xml"/><Relationship Id="rId51" Type="http://schemas.openxmlformats.org/officeDocument/2006/relationships/footer" Target="footer25.xml"/><Relationship Id="rId50" Type="http://schemas.openxmlformats.org/officeDocument/2006/relationships/header" Target="header21.xml"/><Relationship Id="rId5" Type="http://schemas.openxmlformats.org/officeDocument/2006/relationships/header" Target="header2.xml"/><Relationship Id="rId49" Type="http://schemas.openxmlformats.org/officeDocument/2006/relationships/footer" Target="footer24.xml"/><Relationship Id="rId48" Type="http://schemas.openxmlformats.org/officeDocument/2006/relationships/header" Target="header20.xml"/><Relationship Id="rId47" Type="http://schemas.openxmlformats.org/officeDocument/2006/relationships/footer" Target="footer23.xml"/><Relationship Id="rId46" Type="http://schemas.openxmlformats.org/officeDocument/2006/relationships/header" Target="header19.xml"/><Relationship Id="rId45" Type="http://schemas.openxmlformats.org/officeDocument/2006/relationships/footer" Target="footer22.xml"/><Relationship Id="rId44" Type="http://schemas.openxmlformats.org/officeDocument/2006/relationships/header" Target="header18.xml"/><Relationship Id="rId43" Type="http://schemas.openxmlformats.org/officeDocument/2006/relationships/footer" Target="footer21.xml"/><Relationship Id="rId42" Type="http://schemas.openxmlformats.org/officeDocument/2006/relationships/header" Target="header17.xml"/><Relationship Id="rId41" Type="http://schemas.openxmlformats.org/officeDocument/2006/relationships/footer" Target="footer20.xml"/><Relationship Id="rId40" Type="http://schemas.openxmlformats.org/officeDocument/2006/relationships/header" Target="header16.xml"/><Relationship Id="rId4" Type="http://schemas.openxmlformats.org/officeDocument/2006/relationships/footer" Target="footer1.xml"/><Relationship Id="rId39" Type="http://schemas.openxmlformats.org/officeDocument/2006/relationships/footer" Target="footer19.xml"/><Relationship Id="rId387" Type="http://schemas.openxmlformats.org/officeDocument/2006/relationships/fontTable" Target="fontTable.xml"/><Relationship Id="rId386" Type="http://schemas.openxmlformats.org/officeDocument/2006/relationships/styles" Target="styles.xml"/><Relationship Id="rId385" Type="http://schemas.openxmlformats.org/officeDocument/2006/relationships/settings" Target="settings.xml"/><Relationship Id="rId384" Type="http://schemas.openxmlformats.org/officeDocument/2006/relationships/footer" Target="footer194.xml"/><Relationship Id="rId383" Type="http://schemas.openxmlformats.org/officeDocument/2006/relationships/footer" Target="footer193.xml"/><Relationship Id="rId382" Type="http://schemas.openxmlformats.org/officeDocument/2006/relationships/image" Target="media/image67.png"/><Relationship Id="rId381" Type="http://schemas.openxmlformats.org/officeDocument/2006/relationships/footer" Target="footer192.xml"/><Relationship Id="rId380" Type="http://schemas.openxmlformats.org/officeDocument/2006/relationships/header" Target="header151.xml"/><Relationship Id="rId38" Type="http://schemas.openxmlformats.org/officeDocument/2006/relationships/header" Target="header15.xml"/><Relationship Id="rId379" Type="http://schemas.openxmlformats.org/officeDocument/2006/relationships/footer" Target="footer191.xml"/><Relationship Id="rId378" Type="http://schemas.openxmlformats.org/officeDocument/2006/relationships/footer" Target="footer190.xml"/><Relationship Id="rId377" Type="http://schemas.openxmlformats.org/officeDocument/2006/relationships/header" Target="header150.xml"/><Relationship Id="rId376" Type="http://schemas.openxmlformats.org/officeDocument/2006/relationships/footer" Target="footer189.xml"/><Relationship Id="rId375" Type="http://schemas.openxmlformats.org/officeDocument/2006/relationships/header" Target="header149.xml"/><Relationship Id="rId374" Type="http://schemas.openxmlformats.org/officeDocument/2006/relationships/footer" Target="footer188.xml"/><Relationship Id="rId373" Type="http://schemas.openxmlformats.org/officeDocument/2006/relationships/header" Target="header148.xml"/><Relationship Id="rId372" Type="http://schemas.openxmlformats.org/officeDocument/2006/relationships/footer" Target="footer187.xml"/><Relationship Id="rId371" Type="http://schemas.openxmlformats.org/officeDocument/2006/relationships/header" Target="header147.xml"/><Relationship Id="rId370" Type="http://schemas.openxmlformats.org/officeDocument/2006/relationships/footer" Target="footer186.xml"/><Relationship Id="rId37" Type="http://schemas.openxmlformats.org/officeDocument/2006/relationships/footer" Target="footer18.xml"/><Relationship Id="rId369" Type="http://schemas.openxmlformats.org/officeDocument/2006/relationships/header" Target="header146.xml"/><Relationship Id="rId368" Type="http://schemas.openxmlformats.org/officeDocument/2006/relationships/footer" Target="footer185.xml"/><Relationship Id="rId367" Type="http://schemas.openxmlformats.org/officeDocument/2006/relationships/footer" Target="footer184.xml"/><Relationship Id="rId366" Type="http://schemas.openxmlformats.org/officeDocument/2006/relationships/footer" Target="footer183.xml"/><Relationship Id="rId365" Type="http://schemas.openxmlformats.org/officeDocument/2006/relationships/header" Target="header145.xml"/><Relationship Id="rId364" Type="http://schemas.openxmlformats.org/officeDocument/2006/relationships/footer" Target="footer182.xml"/><Relationship Id="rId363" Type="http://schemas.openxmlformats.org/officeDocument/2006/relationships/header" Target="header144.xml"/><Relationship Id="rId362" Type="http://schemas.openxmlformats.org/officeDocument/2006/relationships/footer" Target="footer181.xml"/><Relationship Id="rId361" Type="http://schemas.openxmlformats.org/officeDocument/2006/relationships/header" Target="header143.xml"/><Relationship Id="rId360" Type="http://schemas.openxmlformats.org/officeDocument/2006/relationships/footer" Target="footer180.xml"/><Relationship Id="rId36" Type="http://schemas.openxmlformats.org/officeDocument/2006/relationships/header" Target="header14.xml"/><Relationship Id="rId359" Type="http://schemas.openxmlformats.org/officeDocument/2006/relationships/header" Target="header142.xml"/><Relationship Id="rId358" Type="http://schemas.openxmlformats.org/officeDocument/2006/relationships/footer" Target="footer179.xml"/><Relationship Id="rId357" Type="http://schemas.openxmlformats.org/officeDocument/2006/relationships/header" Target="header141.xml"/><Relationship Id="rId356" Type="http://schemas.openxmlformats.org/officeDocument/2006/relationships/image" Target="media/image61.jpeg"/><Relationship Id="rId355" Type="http://schemas.openxmlformats.org/officeDocument/2006/relationships/footer" Target="footer178.xml"/><Relationship Id="rId354" Type="http://schemas.openxmlformats.org/officeDocument/2006/relationships/header" Target="header140.xml"/><Relationship Id="rId353" Type="http://schemas.openxmlformats.org/officeDocument/2006/relationships/footer" Target="footer177.xml"/><Relationship Id="rId352" Type="http://schemas.openxmlformats.org/officeDocument/2006/relationships/header" Target="header139.xml"/><Relationship Id="rId351" Type="http://schemas.openxmlformats.org/officeDocument/2006/relationships/footer" Target="footer176.xml"/><Relationship Id="rId350" Type="http://schemas.openxmlformats.org/officeDocument/2006/relationships/footer" Target="footer175.xml"/><Relationship Id="rId35" Type="http://schemas.openxmlformats.org/officeDocument/2006/relationships/image" Target="media/image5.jpeg"/><Relationship Id="rId349" Type="http://schemas.openxmlformats.org/officeDocument/2006/relationships/footer" Target="footer174.xml"/><Relationship Id="rId348" Type="http://schemas.openxmlformats.org/officeDocument/2006/relationships/footer" Target="footer173.xml"/><Relationship Id="rId347" Type="http://schemas.openxmlformats.org/officeDocument/2006/relationships/header" Target="header138.xml"/><Relationship Id="rId346" Type="http://schemas.openxmlformats.org/officeDocument/2006/relationships/footer" Target="footer172.xml"/><Relationship Id="rId345" Type="http://schemas.openxmlformats.org/officeDocument/2006/relationships/header" Target="header137.xml"/><Relationship Id="rId344" Type="http://schemas.openxmlformats.org/officeDocument/2006/relationships/footer" Target="footer171.xml"/><Relationship Id="rId343" Type="http://schemas.openxmlformats.org/officeDocument/2006/relationships/header" Target="header136.xml"/><Relationship Id="rId342" Type="http://schemas.openxmlformats.org/officeDocument/2006/relationships/footer" Target="footer170.xml"/><Relationship Id="rId341" Type="http://schemas.openxmlformats.org/officeDocument/2006/relationships/header" Target="header135.xml"/><Relationship Id="rId340" Type="http://schemas.openxmlformats.org/officeDocument/2006/relationships/footer" Target="footer169.xml"/><Relationship Id="rId34" Type="http://schemas.openxmlformats.org/officeDocument/2006/relationships/footer" Target="footer17.xml"/><Relationship Id="rId339" Type="http://schemas.openxmlformats.org/officeDocument/2006/relationships/header" Target="header134.xml"/><Relationship Id="rId338" Type="http://schemas.openxmlformats.org/officeDocument/2006/relationships/image" Target="media/image59.png"/><Relationship Id="rId337" Type="http://schemas.openxmlformats.org/officeDocument/2006/relationships/image" Target="media/image58.png"/><Relationship Id="rId336" Type="http://schemas.openxmlformats.org/officeDocument/2006/relationships/footer" Target="footer168.xml"/><Relationship Id="rId335" Type="http://schemas.openxmlformats.org/officeDocument/2006/relationships/header" Target="header133.xml"/><Relationship Id="rId334" Type="http://schemas.openxmlformats.org/officeDocument/2006/relationships/footer" Target="footer167.xml"/><Relationship Id="rId333" Type="http://schemas.openxmlformats.org/officeDocument/2006/relationships/footer" Target="footer166.xml"/><Relationship Id="rId332" Type="http://schemas.openxmlformats.org/officeDocument/2006/relationships/header" Target="header132.xml"/><Relationship Id="rId331" Type="http://schemas.openxmlformats.org/officeDocument/2006/relationships/image" Target="media/image56.jpeg"/><Relationship Id="rId330" Type="http://schemas.openxmlformats.org/officeDocument/2006/relationships/footer" Target="footer165.xml"/><Relationship Id="rId33" Type="http://schemas.openxmlformats.org/officeDocument/2006/relationships/header" Target="header13.xml"/><Relationship Id="rId329" Type="http://schemas.openxmlformats.org/officeDocument/2006/relationships/header" Target="header131.xml"/><Relationship Id="rId328" Type="http://schemas.openxmlformats.org/officeDocument/2006/relationships/image" Target="media/image55.jpeg"/><Relationship Id="rId327" Type="http://schemas.openxmlformats.org/officeDocument/2006/relationships/footer" Target="footer164.xml"/><Relationship Id="rId326" Type="http://schemas.openxmlformats.org/officeDocument/2006/relationships/header" Target="header130.xml"/><Relationship Id="rId325" Type="http://schemas.openxmlformats.org/officeDocument/2006/relationships/image" Target="media/image54.png"/><Relationship Id="rId324" Type="http://schemas.openxmlformats.org/officeDocument/2006/relationships/footer" Target="footer163.xml"/><Relationship Id="rId323" Type="http://schemas.openxmlformats.org/officeDocument/2006/relationships/header" Target="header129.xml"/><Relationship Id="rId322" Type="http://schemas.openxmlformats.org/officeDocument/2006/relationships/footer" Target="footer162.xml"/><Relationship Id="rId321" Type="http://schemas.openxmlformats.org/officeDocument/2006/relationships/footer" Target="footer161.xml"/><Relationship Id="rId320" Type="http://schemas.openxmlformats.org/officeDocument/2006/relationships/header" Target="header128.xml"/><Relationship Id="rId32" Type="http://schemas.openxmlformats.org/officeDocument/2006/relationships/image" Target="media/image4.jpeg"/><Relationship Id="rId319" Type="http://schemas.openxmlformats.org/officeDocument/2006/relationships/image" Target="media/image52.jpeg"/><Relationship Id="rId318" Type="http://schemas.openxmlformats.org/officeDocument/2006/relationships/footer" Target="footer160.xml"/><Relationship Id="rId317" Type="http://schemas.openxmlformats.org/officeDocument/2006/relationships/header" Target="header127.xml"/><Relationship Id="rId316" Type="http://schemas.openxmlformats.org/officeDocument/2006/relationships/footer" Target="footer159.xml"/><Relationship Id="rId315" Type="http://schemas.openxmlformats.org/officeDocument/2006/relationships/footer" Target="footer158.xml"/><Relationship Id="rId314" Type="http://schemas.openxmlformats.org/officeDocument/2006/relationships/header" Target="header126.xml"/><Relationship Id="rId313" Type="http://schemas.openxmlformats.org/officeDocument/2006/relationships/footer" Target="footer157.xml"/><Relationship Id="rId312" Type="http://schemas.openxmlformats.org/officeDocument/2006/relationships/header" Target="header125.xml"/><Relationship Id="rId311" Type="http://schemas.openxmlformats.org/officeDocument/2006/relationships/footer" Target="footer156.xml"/><Relationship Id="rId310" Type="http://schemas.openxmlformats.org/officeDocument/2006/relationships/header" Target="header124.xml"/><Relationship Id="rId31" Type="http://schemas.openxmlformats.org/officeDocument/2006/relationships/footer" Target="footer16.xml"/><Relationship Id="rId309" Type="http://schemas.openxmlformats.org/officeDocument/2006/relationships/footer" Target="footer155.xml"/><Relationship Id="rId308" Type="http://schemas.openxmlformats.org/officeDocument/2006/relationships/header" Target="header123.xml"/><Relationship Id="rId307" Type="http://schemas.openxmlformats.org/officeDocument/2006/relationships/footer" Target="footer154.xml"/><Relationship Id="rId306" Type="http://schemas.openxmlformats.org/officeDocument/2006/relationships/header" Target="header122.xml"/><Relationship Id="rId305" Type="http://schemas.openxmlformats.org/officeDocument/2006/relationships/footer" Target="footer153.xml"/><Relationship Id="rId304" Type="http://schemas.openxmlformats.org/officeDocument/2006/relationships/header" Target="header121.xml"/><Relationship Id="rId303" Type="http://schemas.openxmlformats.org/officeDocument/2006/relationships/image" Target="media/image51.jpeg"/><Relationship Id="rId302" Type="http://schemas.openxmlformats.org/officeDocument/2006/relationships/footer" Target="footer152.xml"/><Relationship Id="rId301" Type="http://schemas.openxmlformats.org/officeDocument/2006/relationships/header" Target="header120.xml"/><Relationship Id="rId300" Type="http://schemas.openxmlformats.org/officeDocument/2006/relationships/image" Target="media/image50.png"/><Relationship Id="rId30" Type="http://schemas.openxmlformats.org/officeDocument/2006/relationships/footer" Target="footer15.xml"/><Relationship Id="rId3" Type="http://schemas.openxmlformats.org/officeDocument/2006/relationships/header" Target="header1.xml"/><Relationship Id="rId299" Type="http://schemas.openxmlformats.org/officeDocument/2006/relationships/image" Target="media/image49.jpeg"/><Relationship Id="rId298" Type="http://schemas.openxmlformats.org/officeDocument/2006/relationships/image" Target="media/image48.jpeg"/><Relationship Id="rId297" Type="http://schemas.openxmlformats.org/officeDocument/2006/relationships/footer" Target="footer151.xml"/><Relationship Id="rId296" Type="http://schemas.openxmlformats.org/officeDocument/2006/relationships/header" Target="header119.xml"/><Relationship Id="rId295" Type="http://schemas.openxmlformats.org/officeDocument/2006/relationships/footer" Target="footer150.xml"/><Relationship Id="rId294" Type="http://schemas.openxmlformats.org/officeDocument/2006/relationships/header" Target="header118.xml"/><Relationship Id="rId293" Type="http://schemas.openxmlformats.org/officeDocument/2006/relationships/footer" Target="footer149.xml"/><Relationship Id="rId292" Type="http://schemas.openxmlformats.org/officeDocument/2006/relationships/header" Target="header117.xml"/><Relationship Id="rId291" Type="http://schemas.openxmlformats.org/officeDocument/2006/relationships/footer" Target="footer148.xml"/><Relationship Id="rId290" Type="http://schemas.openxmlformats.org/officeDocument/2006/relationships/image" Target="media/image47.jpeg"/><Relationship Id="rId29" Type="http://schemas.openxmlformats.org/officeDocument/2006/relationships/header" Target="header12.xml"/><Relationship Id="rId289" Type="http://schemas.openxmlformats.org/officeDocument/2006/relationships/footer" Target="footer147.xml"/><Relationship Id="rId288" Type="http://schemas.openxmlformats.org/officeDocument/2006/relationships/header" Target="header116.xml"/><Relationship Id="rId287" Type="http://schemas.openxmlformats.org/officeDocument/2006/relationships/footer" Target="footer146.xml"/><Relationship Id="rId286" Type="http://schemas.openxmlformats.org/officeDocument/2006/relationships/header" Target="header115.xml"/><Relationship Id="rId285" Type="http://schemas.openxmlformats.org/officeDocument/2006/relationships/footer" Target="footer145.xml"/><Relationship Id="rId284" Type="http://schemas.openxmlformats.org/officeDocument/2006/relationships/header" Target="header114.xml"/><Relationship Id="rId283" Type="http://schemas.openxmlformats.org/officeDocument/2006/relationships/footer" Target="footer144.xml"/><Relationship Id="rId282" Type="http://schemas.openxmlformats.org/officeDocument/2006/relationships/header" Target="header113.xml"/><Relationship Id="rId281" Type="http://schemas.openxmlformats.org/officeDocument/2006/relationships/footer" Target="footer143.xml"/><Relationship Id="rId280" Type="http://schemas.openxmlformats.org/officeDocument/2006/relationships/footer" Target="footer142.xml"/><Relationship Id="rId28" Type="http://schemas.openxmlformats.org/officeDocument/2006/relationships/footer" Target="footer14.xml"/><Relationship Id="rId279" Type="http://schemas.openxmlformats.org/officeDocument/2006/relationships/header" Target="header112.xml"/><Relationship Id="rId278" Type="http://schemas.openxmlformats.org/officeDocument/2006/relationships/footer" Target="footer141.xml"/><Relationship Id="rId277" Type="http://schemas.openxmlformats.org/officeDocument/2006/relationships/header" Target="header111.xml"/><Relationship Id="rId276" Type="http://schemas.openxmlformats.org/officeDocument/2006/relationships/image" Target="media/image46.jpeg"/><Relationship Id="rId275" Type="http://schemas.openxmlformats.org/officeDocument/2006/relationships/footer" Target="footer140.xml"/><Relationship Id="rId274" Type="http://schemas.openxmlformats.org/officeDocument/2006/relationships/image" Target="media/image45.jpeg"/><Relationship Id="rId273" Type="http://schemas.openxmlformats.org/officeDocument/2006/relationships/footer" Target="footer139.xml"/><Relationship Id="rId272" Type="http://schemas.openxmlformats.org/officeDocument/2006/relationships/header" Target="header110.xml"/><Relationship Id="rId271" Type="http://schemas.openxmlformats.org/officeDocument/2006/relationships/footer" Target="footer138.xml"/><Relationship Id="rId270" Type="http://schemas.openxmlformats.org/officeDocument/2006/relationships/header" Target="header109.xml"/><Relationship Id="rId27" Type="http://schemas.openxmlformats.org/officeDocument/2006/relationships/header" Target="header11.xml"/><Relationship Id="rId269" Type="http://schemas.openxmlformats.org/officeDocument/2006/relationships/footer" Target="footer137.xml"/><Relationship Id="rId268" Type="http://schemas.openxmlformats.org/officeDocument/2006/relationships/header" Target="header108.xml"/><Relationship Id="rId267" Type="http://schemas.openxmlformats.org/officeDocument/2006/relationships/footer" Target="footer136.xml"/><Relationship Id="rId266" Type="http://schemas.openxmlformats.org/officeDocument/2006/relationships/header" Target="header107.xml"/><Relationship Id="rId265" Type="http://schemas.openxmlformats.org/officeDocument/2006/relationships/footer" Target="footer135.xml"/><Relationship Id="rId264" Type="http://schemas.openxmlformats.org/officeDocument/2006/relationships/footer" Target="footer134.xml"/><Relationship Id="rId263" Type="http://schemas.openxmlformats.org/officeDocument/2006/relationships/header" Target="header106.xml"/><Relationship Id="rId262" Type="http://schemas.openxmlformats.org/officeDocument/2006/relationships/footer" Target="footer133.xml"/><Relationship Id="rId261" Type="http://schemas.openxmlformats.org/officeDocument/2006/relationships/header" Target="header105.xml"/><Relationship Id="rId260" Type="http://schemas.openxmlformats.org/officeDocument/2006/relationships/footer" Target="footer132.xml"/><Relationship Id="rId26" Type="http://schemas.openxmlformats.org/officeDocument/2006/relationships/footer" Target="footer13.xml"/><Relationship Id="rId259" Type="http://schemas.openxmlformats.org/officeDocument/2006/relationships/footer" Target="footer131.xml"/><Relationship Id="rId258" Type="http://schemas.openxmlformats.org/officeDocument/2006/relationships/header" Target="header104.xml"/><Relationship Id="rId257" Type="http://schemas.openxmlformats.org/officeDocument/2006/relationships/footer" Target="footer130.xml"/><Relationship Id="rId256" Type="http://schemas.openxmlformats.org/officeDocument/2006/relationships/header" Target="header103.xml"/><Relationship Id="rId255" Type="http://schemas.openxmlformats.org/officeDocument/2006/relationships/footer" Target="footer129.xml"/><Relationship Id="rId254" Type="http://schemas.openxmlformats.org/officeDocument/2006/relationships/header" Target="header102.xml"/><Relationship Id="rId253" Type="http://schemas.openxmlformats.org/officeDocument/2006/relationships/footer" Target="footer128.xml"/><Relationship Id="rId252" Type="http://schemas.openxmlformats.org/officeDocument/2006/relationships/header" Target="header101.xml"/><Relationship Id="rId251" Type="http://schemas.openxmlformats.org/officeDocument/2006/relationships/footer" Target="footer127.xml"/><Relationship Id="rId250" Type="http://schemas.openxmlformats.org/officeDocument/2006/relationships/header" Target="header100.xml"/><Relationship Id="rId25" Type="http://schemas.openxmlformats.org/officeDocument/2006/relationships/header" Target="header10.xml"/><Relationship Id="rId249" Type="http://schemas.openxmlformats.org/officeDocument/2006/relationships/footer" Target="footer126.xml"/><Relationship Id="rId248" Type="http://schemas.openxmlformats.org/officeDocument/2006/relationships/header" Target="header99.xml"/><Relationship Id="rId247" Type="http://schemas.openxmlformats.org/officeDocument/2006/relationships/footer" Target="footer125.xml"/><Relationship Id="rId246" Type="http://schemas.openxmlformats.org/officeDocument/2006/relationships/header" Target="header98.xml"/><Relationship Id="rId245" Type="http://schemas.openxmlformats.org/officeDocument/2006/relationships/footer" Target="footer124.xml"/><Relationship Id="rId244" Type="http://schemas.openxmlformats.org/officeDocument/2006/relationships/header" Target="header97.xml"/><Relationship Id="rId243" Type="http://schemas.openxmlformats.org/officeDocument/2006/relationships/footer" Target="footer123.xml"/><Relationship Id="rId242" Type="http://schemas.openxmlformats.org/officeDocument/2006/relationships/footer" Target="footer122.xml"/><Relationship Id="rId241" Type="http://schemas.openxmlformats.org/officeDocument/2006/relationships/footer" Target="footer121.xml"/><Relationship Id="rId240" Type="http://schemas.openxmlformats.org/officeDocument/2006/relationships/header" Target="header96.xml"/><Relationship Id="rId24" Type="http://schemas.openxmlformats.org/officeDocument/2006/relationships/footer" Target="footer12.xml"/><Relationship Id="rId239" Type="http://schemas.openxmlformats.org/officeDocument/2006/relationships/footer" Target="footer120.xml"/><Relationship Id="rId238" Type="http://schemas.openxmlformats.org/officeDocument/2006/relationships/header" Target="header95.xml"/><Relationship Id="rId237" Type="http://schemas.openxmlformats.org/officeDocument/2006/relationships/footer" Target="footer119.xml"/><Relationship Id="rId236" Type="http://schemas.openxmlformats.org/officeDocument/2006/relationships/footer" Target="footer118.xml"/><Relationship Id="rId235" Type="http://schemas.openxmlformats.org/officeDocument/2006/relationships/header" Target="header94.xml"/><Relationship Id="rId234" Type="http://schemas.openxmlformats.org/officeDocument/2006/relationships/footer" Target="footer117.xml"/><Relationship Id="rId233" Type="http://schemas.openxmlformats.org/officeDocument/2006/relationships/header" Target="header93.xml"/><Relationship Id="rId232" Type="http://schemas.openxmlformats.org/officeDocument/2006/relationships/footer" Target="footer116.xml"/><Relationship Id="rId231" Type="http://schemas.openxmlformats.org/officeDocument/2006/relationships/header" Target="header92.xml"/><Relationship Id="rId230" Type="http://schemas.openxmlformats.org/officeDocument/2006/relationships/footer" Target="footer115.xml"/><Relationship Id="rId23" Type="http://schemas.openxmlformats.org/officeDocument/2006/relationships/header" Target="header9.xml"/><Relationship Id="rId229" Type="http://schemas.openxmlformats.org/officeDocument/2006/relationships/header" Target="header91.xml"/><Relationship Id="rId228" Type="http://schemas.openxmlformats.org/officeDocument/2006/relationships/footer" Target="footer114.xml"/><Relationship Id="rId227" Type="http://schemas.openxmlformats.org/officeDocument/2006/relationships/footer" Target="footer113.xml"/><Relationship Id="rId226" Type="http://schemas.openxmlformats.org/officeDocument/2006/relationships/header" Target="header90.xml"/><Relationship Id="rId225" Type="http://schemas.openxmlformats.org/officeDocument/2006/relationships/footer" Target="footer112.xml"/><Relationship Id="rId224" Type="http://schemas.openxmlformats.org/officeDocument/2006/relationships/header" Target="header89.xml"/><Relationship Id="rId223" Type="http://schemas.openxmlformats.org/officeDocument/2006/relationships/footer" Target="footer111.xml"/><Relationship Id="rId222" Type="http://schemas.openxmlformats.org/officeDocument/2006/relationships/header" Target="header88.xml"/><Relationship Id="rId221" Type="http://schemas.openxmlformats.org/officeDocument/2006/relationships/footer" Target="footer110.xml"/><Relationship Id="rId220" Type="http://schemas.openxmlformats.org/officeDocument/2006/relationships/footer" Target="footer109.xml"/><Relationship Id="rId22" Type="http://schemas.openxmlformats.org/officeDocument/2006/relationships/footer" Target="footer11.xml"/><Relationship Id="rId219" Type="http://schemas.openxmlformats.org/officeDocument/2006/relationships/footer" Target="footer108.xml"/><Relationship Id="rId218" Type="http://schemas.openxmlformats.org/officeDocument/2006/relationships/header" Target="header87.xml"/><Relationship Id="rId217" Type="http://schemas.openxmlformats.org/officeDocument/2006/relationships/footer" Target="footer107.xml"/><Relationship Id="rId216" Type="http://schemas.openxmlformats.org/officeDocument/2006/relationships/header" Target="header86.xml"/><Relationship Id="rId215" Type="http://schemas.openxmlformats.org/officeDocument/2006/relationships/footer" Target="footer106.xml"/><Relationship Id="rId214" Type="http://schemas.openxmlformats.org/officeDocument/2006/relationships/footer" Target="footer105.xml"/><Relationship Id="rId213" Type="http://schemas.openxmlformats.org/officeDocument/2006/relationships/header" Target="header85.xml"/><Relationship Id="rId212" Type="http://schemas.openxmlformats.org/officeDocument/2006/relationships/footer" Target="footer104.xml"/><Relationship Id="rId211" Type="http://schemas.openxmlformats.org/officeDocument/2006/relationships/header" Target="header84.xml"/><Relationship Id="rId210" Type="http://schemas.openxmlformats.org/officeDocument/2006/relationships/footer" Target="footer103.xml"/><Relationship Id="rId21" Type="http://schemas.openxmlformats.org/officeDocument/2006/relationships/footer" Target="footer10.xml"/><Relationship Id="rId209" Type="http://schemas.openxmlformats.org/officeDocument/2006/relationships/header" Target="header83.xml"/><Relationship Id="rId208" Type="http://schemas.openxmlformats.org/officeDocument/2006/relationships/footer" Target="footer102.xml"/><Relationship Id="rId207" Type="http://schemas.openxmlformats.org/officeDocument/2006/relationships/header" Target="header82.xml"/><Relationship Id="rId206" Type="http://schemas.openxmlformats.org/officeDocument/2006/relationships/footer" Target="footer101.xml"/><Relationship Id="rId205" Type="http://schemas.openxmlformats.org/officeDocument/2006/relationships/header" Target="header81.xml"/><Relationship Id="rId204" Type="http://schemas.openxmlformats.org/officeDocument/2006/relationships/footer" Target="footer100.xml"/><Relationship Id="rId203" Type="http://schemas.openxmlformats.org/officeDocument/2006/relationships/header" Target="header80.xml"/><Relationship Id="rId202" Type="http://schemas.openxmlformats.org/officeDocument/2006/relationships/footer" Target="footer99.xml"/><Relationship Id="rId201" Type="http://schemas.openxmlformats.org/officeDocument/2006/relationships/header" Target="header79.xml"/><Relationship Id="rId200" Type="http://schemas.openxmlformats.org/officeDocument/2006/relationships/footer" Target="footer98.xml"/><Relationship Id="rId20" Type="http://schemas.openxmlformats.org/officeDocument/2006/relationships/footer" Target="footer9.xml"/><Relationship Id="rId2" Type="http://schemas.openxmlformats.org/officeDocument/2006/relationships/image" Target="media/image2.png"/><Relationship Id="rId199" Type="http://schemas.openxmlformats.org/officeDocument/2006/relationships/header" Target="header78.xml"/><Relationship Id="rId198" Type="http://schemas.openxmlformats.org/officeDocument/2006/relationships/footer" Target="footer97.xml"/><Relationship Id="rId197" Type="http://schemas.openxmlformats.org/officeDocument/2006/relationships/header" Target="header77.xml"/><Relationship Id="rId196" Type="http://schemas.openxmlformats.org/officeDocument/2006/relationships/footer" Target="footer96.xml"/><Relationship Id="rId195" Type="http://schemas.openxmlformats.org/officeDocument/2006/relationships/footer" Target="footer95.xml"/><Relationship Id="rId194" Type="http://schemas.openxmlformats.org/officeDocument/2006/relationships/footer" Target="footer94.xml"/><Relationship Id="rId193" Type="http://schemas.openxmlformats.org/officeDocument/2006/relationships/header" Target="header76.xml"/><Relationship Id="rId192" Type="http://schemas.openxmlformats.org/officeDocument/2006/relationships/image" Target="media/image33.jpeg"/><Relationship Id="rId191" Type="http://schemas.openxmlformats.org/officeDocument/2006/relationships/image" Target="media/image32.jpeg"/><Relationship Id="rId190" Type="http://schemas.openxmlformats.org/officeDocument/2006/relationships/image" Target="media/image31.jpeg"/><Relationship Id="rId19" Type="http://schemas.openxmlformats.org/officeDocument/2006/relationships/header" Target="header8.xml"/><Relationship Id="rId189" Type="http://schemas.openxmlformats.org/officeDocument/2006/relationships/image" Target="media/image30.jpeg"/><Relationship Id="rId188" Type="http://schemas.openxmlformats.org/officeDocument/2006/relationships/footer" Target="footer93.xml"/><Relationship Id="rId187" Type="http://schemas.openxmlformats.org/officeDocument/2006/relationships/footer" Target="footer92.xml"/><Relationship Id="rId186" Type="http://schemas.openxmlformats.org/officeDocument/2006/relationships/header" Target="header75.xml"/><Relationship Id="rId185" Type="http://schemas.openxmlformats.org/officeDocument/2006/relationships/footer" Target="footer91.xml"/><Relationship Id="rId184" Type="http://schemas.openxmlformats.org/officeDocument/2006/relationships/header" Target="header74.xml"/><Relationship Id="rId183" Type="http://schemas.openxmlformats.org/officeDocument/2006/relationships/footer" Target="footer90.xml"/><Relationship Id="rId182" Type="http://schemas.openxmlformats.org/officeDocument/2006/relationships/header" Target="header73.xml"/><Relationship Id="rId181" Type="http://schemas.openxmlformats.org/officeDocument/2006/relationships/footer" Target="footer89.xml"/><Relationship Id="rId180" Type="http://schemas.openxmlformats.org/officeDocument/2006/relationships/header" Target="header72.xml"/><Relationship Id="rId18" Type="http://schemas.openxmlformats.org/officeDocument/2006/relationships/footer" Target="footer8.xml"/><Relationship Id="rId179" Type="http://schemas.openxmlformats.org/officeDocument/2006/relationships/footer" Target="footer88.xml"/><Relationship Id="rId178" Type="http://schemas.openxmlformats.org/officeDocument/2006/relationships/header" Target="header71.xml"/><Relationship Id="rId177" Type="http://schemas.openxmlformats.org/officeDocument/2006/relationships/image" Target="media/image29.jpeg"/><Relationship Id="rId176" Type="http://schemas.openxmlformats.org/officeDocument/2006/relationships/footer" Target="footer87.xml"/><Relationship Id="rId175" Type="http://schemas.openxmlformats.org/officeDocument/2006/relationships/header" Target="header70.xml"/><Relationship Id="rId174" Type="http://schemas.openxmlformats.org/officeDocument/2006/relationships/footer" Target="footer86.xml"/><Relationship Id="rId173" Type="http://schemas.openxmlformats.org/officeDocument/2006/relationships/footer" Target="footer85.xml"/><Relationship Id="rId172" Type="http://schemas.openxmlformats.org/officeDocument/2006/relationships/header" Target="header69.xml"/><Relationship Id="rId171" Type="http://schemas.openxmlformats.org/officeDocument/2006/relationships/footer" Target="footer84.xml"/><Relationship Id="rId170" Type="http://schemas.openxmlformats.org/officeDocument/2006/relationships/header" Target="header68.xml"/><Relationship Id="rId17" Type="http://schemas.openxmlformats.org/officeDocument/2006/relationships/header" Target="header7.xml"/><Relationship Id="rId169" Type="http://schemas.openxmlformats.org/officeDocument/2006/relationships/footer" Target="footer83.xml"/><Relationship Id="rId168" Type="http://schemas.openxmlformats.org/officeDocument/2006/relationships/header" Target="header67.xml"/><Relationship Id="rId167" Type="http://schemas.openxmlformats.org/officeDocument/2006/relationships/footer" Target="footer82.xml"/><Relationship Id="rId166" Type="http://schemas.openxmlformats.org/officeDocument/2006/relationships/header" Target="header66.xml"/><Relationship Id="rId165" Type="http://schemas.openxmlformats.org/officeDocument/2006/relationships/footer" Target="footer81.xml"/><Relationship Id="rId164" Type="http://schemas.openxmlformats.org/officeDocument/2006/relationships/header" Target="header65.xml"/><Relationship Id="rId163" Type="http://schemas.openxmlformats.org/officeDocument/2006/relationships/footer" Target="footer80.xml"/><Relationship Id="rId162" Type="http://schemas.openxmlformats.org/officeDocument/2006/relationships/footer" Target="footer79.xml"/><Relationship Id="rId161" Type="http://schemas.openxmlformats.org/officeDocument/2006/relationships/header" Target="header64.xml"/><Relationship Id="rId160" Type="http://schemas.openxmlformats.org/officeDocument/2006/relationships/footer" Target="footer78.xml"/><Relationship Id="rId16" Type="http://schemas.openxmlformats.org/officeDocument/2006/relationships/footer" Target="footer7.xml"/><Relationship Id="rId159" Type="http://schemas.openxmlformats.org/officeDocument/2006/relationships/header" Target="header63.xml"/><Relationship Id="rId158" Type="http://schemas.openxmlformats.org/officeDocument/2006/relationships/image" Target="media/image27.png"/><Relationship Id="rId157" Type="http://schemas.openxmlformats.org/officeDocument/2006/relationships/footer" Target="footer77.xml"/><Relationship Id="rId156" Type="http://schemas.openxmlformats.org/officeDocument/2006/relationships/header" Target="header62.xml"/><Relationship Id="rId155" Type="http://schemas.openxmlformats.org/officeDocument/2006/relationships/footer" Target="footer76.xml"/><Relationship Id="rId154" Type="http://schemas.openxmlformats.org/officeDocument/2006/relationships/header" Target="header61.xml"/><Relationship Id="rId153" Type="http://schemas.openxmlformats.org/officeDocument/2006/relationships/footer" Target="footer75.xml"/><Relationship Id="rId152" Type="http://schemas.openxmlformats.org/officeDocument/2006/relationships/header" Target="header60.xml"/><Relationship Id="rId151" Type="http://schemas.openxmlformats.org/officeDocument/2006/relationships/footer" Target="footer74.xml"/><Relationship Id="rId150" Type="http://schemas.openxmlformats.org/officeDocument/2006/relationships/header" Target="header59.xml"/><Relationship Id="rId15" Type="http://schemas.openxmlformats.org/officeDocument/2006/relationships/header" Target="header6.xml"/><Relationship Id="rId149" Type="http://schemas.openxmlformats.org/officeDocument/2006/relationships/footer" Target="footer73.xml"/><Relationship Id="rId148" Type="http://schemas.openxmlformats.org/officeDocument/2006/relationships/header" Target="header58.xml"/><Relationship Id="rId147" Type="http://schemas.openxmlformats.org/officeDocument/2006/relationships/footer" Target="footer72.xml"/><Relationship Id="rId146" Type="http://schemas.openxmlformats.org/officeDocument/2006/relationships/header" Target="header57.xml"/><Relationship Id="rId145" Type="http://schemas.openxmlformats.org/officeDocument/2006/relationships/footer" Target="footer71.xml"/><Relationship Id="rId144" Type="http://schemas.openxmlformats.org/officeDocument/2006/relationships/header" Target="header56.xml"/><Relationship Id="rId143" Type="http://schemas.openxmlformats.org/officeDocument/2006/relationships/footer" Target="footer70.xml"/><Relationship Id="rId142" Type="http://schemas.openxmlformats.org/officeDocument/2006/relationships/header" Target="header55.xml"/><Relationship Id="rId141" Type="http://schemas.openxmlformats.org/officeDocument/2006/relationships/footer" Target="footer69.xml"/><Relationship Id="rId140" Type="http://schemas.openxmlformats.org/officeDocument/2006/relationships/header" Target="header54.xml"/><Relationship Id="rId14" Type="http://schemas.openxmlformats.org/officeDocument/2006/relationships/footer" Target="footer6.xml"/><Relationship Id="rId139" Type="http://schemas.openxmlformats.org/officeDocument/2006/relationships/footer" Target="footer68.xml"/><Relationship Id="rId138" Type="http://schemas.openxmlformats.org/officeDocument/2006/relationships/footer" Target="footer67.xml"/><Relationship Id="rId137" Type="http://schemas.openxmlformats.org/officeDocument/2006/relationships/header" Target="header53.xml"/><Relationship Id="rId136" Type="http://schemas.openxmlformats.org/officeDocument/2006/relationships/footer" Target="footer66.xml"/><Relationship Id="rId135" Type="http://schemas.openxmlformats.org/officeDocument/2006/relationships/header" Target="header52.xml"/><Relationship Id="rId134" Type="http://schemas.openxmlformats.org/officeDocument/2006/relationships/image" Target="media/image25.jpeg"/><Relationship Id="rId133" Type="http://schemas.openxmlformats.org/officeDocument/2006/relationships/footer" Target="footer65.xml"/><Relationship Id="rId132" Type="http://schemas.openxmlformats.org/officeDocument/2006/relationships/header" Target="header51.xml"/><Relationship Id="rId131" Type="http://schemas.openxmlformats.org/officeDocument/2006/relationships/footer" Target="footer64.xml"/><Relationship Id="rId130" Type="http://schemas.openxmlformats.org/officeDocument/2006/relationships/header" Target="header50.xml"/><Relationship Id="rId13" Type="http://schemas.openxmlformats.org/officeDocument/2006/relationships/header" Target="header5.xml"/><Relationship Id="rId129" Type="http://schemas.openxmlformats.org/officeDocument/2006/relationships/footer" Target="footer63.xml"/><Relationship Id="rId128" Type="http://schemas.openxmlformats.org/officeDocument/2006/relationships/header" Target="header49.xml"/><Relationship Id="rId127" Type="http://schemas.openxmlformats.org/officeDocument/2006/relationships/footer" Target="footer62.xml"/><Relationship Id="rId126" Type="http://schemas.openxmlformats.org/officeDocument/2006/relationships/header" Target="header48.xml"/><Relationship Id="rId125" Type="http://schemas.openxmlformats.org/officeDocument/2006/relationships/image" Target="media/image21.jpeg"/><Relationship Id="rId124" Type="http://schemas.openxmlformats.org/officeDocument/2006/relationships/footer" Target="footer61.xml"/><Relationship Id="rId123" Type="http://schemas.openxmlformats.org/officeDocument/2006/relationships/header" Target="header47.xml"/><Relationship Id="rId122" Type="http://schemas.openxmlformats.org/officeDocument/2006/relationships/footer" Target="footer60.xml"/><Relationship Id="rId121" Type="http://schemas.openxmlformats.org/officeDocument/2006/relationships/header" Target="header46.xml"/><Relationship Id="rId120" Type="http://schemas.openxmlformats.org/officeDocument/2006/relationships/image" Target="media/image20.jpeg"/><Relationship Id="rId12" Type="http://schemas.openxmlformats.org/officeDocument/2006/relationships/image" Target="media/image3.jpeg"/><Relationship Id="rId119" Type="http://schemas.openxmlformats.org/officeDocument/2006/relationships/footer" Target="footer59.xml"/><Relationship Id="rId118" Type="http://schemas.openxmlformats.org/officeDocument/2006/relationships/header" Target="header45.xml"/><Relationship Id="rId117" Type="http://schemas.openxmlformats.org/officeDocument/2006/relationships/footer" Target="footer58.xml"/><Relationship Id="rId116" Type="http://schemas.openxmlformats.org/officeDocument/2006/relationships/footer" Target="footer57.xml"/><Relationship Id="rId115" Type="http://schemas.openxmlformats.org/officeDocument/2006/relationships/footer" Target="footer56.xml"/><Relationship Id="rId114" Type="http://schemas.openxmlformats.org/officeDocument/2006/relationships/footer" Target="footer55.xml"/><Relationship Id="rId113" Type="http://schemas.openxmlformats.org/officeDocument/2006/relationships/footer" Target="footer54.xml"/><Relationship Id="rId112" Type="http://schemas.openxmlformats.org/officeDocument/2006/relationships/footer" Target="footer53.xml"/><Relationship Id="rId111" Type="http://schemas.openxmlformats.org/officeDocument/2006/relationships/header" Target="header44.xml"/><Relationship Id="rId110" Type="http://schemas.openxmlformats.org/officeDocument/2006/relationships/footer" Target="footer52.xml"/><Relationship Id="rId11" Type="http://schemas.openxmlformats.org/officeDocument/2006/relationships/footer" Target="footer5.xml"/><Relationship Id="rId109" Type="http://schemas.openxmlformats.org/officeDocument/2006/relationships/footer" Target="footer51.xml"/><Relationship Id="rId108" Type="http://schemas.openxmlformats.org/officeDocument/2006/relationships/footer" Target="footer50.xml"/><Relationship Id="rId107" Type="http://schemas.openxmlformats.org/officeDocument/2006/relationships/header" Target="header43.xml"/><Relationship Id="rId106" Type="http://schemas.openxmlformats.org/officeDocument/2006/relationships/footer" Target="footer49.xml"/><Relationship Id="rId105" Type="http://schemas.openxmlformats.org/officeDocument/2006/relationships/footer" Target="footer48.xml"/><Relationship Id="rId104" Type="http://schemas.openxmlformats.org/officeDocument/2006/relationships/footer" Target="footer47.xml"/><Relationship Id="rId103" Type="http://schemas.openxmlformats.org/officeDocument/2006/relationships/footer" Target="footer46.xml"/><Relationship Id="rId102" Type="http://schemas.openxmlformats.org/officeDocument/2006/relationships/header" Target="header42.xml"/><Relationship Id="rId101" Type="http://schemas.openxmlformats.org/officeDocument/2006/relationships/image" Target="media/image16.jpeg"/><Relationship Id="rId100" Type="http://schemas.openxmlformats.org/officeDocument/2006/relationships/footer" Target="footer45.xml"/><Relationship Id="rId10" Type="http://schemas.openxmlformats.org/officeDocument/2006/relationships/header" Target="header4.xml"/><Relationship Id="rId1" Type="http://schemas.openxmlformats.org/officeDocument/2006/relationships/image" Target="media/image1.png"/></Relationships>
</file>

<file path=word/_rels/header40.xml.rels><?xml version="1.0" encoding="UTF-8" standalone="yes"?>
<Relationships xmlns="http://schemas.openxmlformats.org/package/2006/relationships"><Relationship Id="rId1" Type="http://schemas.openxmlformats.org/officeDocument/2006/relationships/image" Target="media/image8.jpeg"/></Relationships>
</file>

<file path=word/_rels/header42.xml.rels><?xml version="1.0" encoding="UTF-8" standalone="yes"?>
<Relationships xmlns="http://schemas.openxmlformats.org/package/2006/relationships"><Relationship Id="rId1" Type="http://schemas.openxmlformats.org/officeDocument/2006/relationships/image" Target="media/image17.png"/></Relationships>
</file>

<file path=word/_rels/header43.xml.rels><?xml version="1.0" encoding="UTF-8" standalone="yes"?>
<Relationships xmlns="http://schemas.openxmlformats.org/package/2006/relationships"><Relationship Id="rId1" Type="http://schemas.openxmlformats.org/officeDocument/2006/relationships/image" Target="media/image18.png"/></Relationships>
</file>

<file path=word/_rels/header44.xml.rels><?xml version="1.0" encoding="UTF-8" standalone="yes"?>
<Relationships xmlns="http://schemas.openxmlformats.org/package/2006/relationships"><Relationship Id="rId1" Type="http://schemas.openxmlformats.org/officeDocument/2006/relationships/image" Target="media/image19.png"/></Relationships>
</file>

<file path=word/_rels/header49.xml.rels><?xml version="1.0" encoding="UTF-8" standalone="yes"?>
<Relationships xmlns="http://schemas.openxmlformats.org/package/2006/relationships"><Relationship Id="rId1" Type="http://schemas.openxmlformats.org/officeDocument/2006/relationships/image" Target="media/image22.png"/></Relationships>
</file>

<file path=word/_rels/header50.xml.rels><?xml version="1.0" encoding="UTF-8" standalone="yes"?>
<Relationships xmlns="http://schemas.openxmlformats.org/package/2006/relationships"><Relationship Id="rId1" Type="http://schemas.openxmlformats.org/officeDocument/2006/relationships/image" Target="media/image23.png"/></Relationships>
</file>

<file path=word/_rels/header51.xml.rels><?xml version="1.0" encoding="UTF-8" standalone="yes"?>
<Relationships xmlns="http://schemas.openxmlformats.org/package/2006/relationships"><Relationship Id="rId1" Type="http://schemas.openxmlformats.org/officeDocument/2006/relationships/image" Target="media/image24.png"/></Relationships>
</file>

<file path=word/_rels/header62.xml.rels><?xml version="1.0" encoding="UTF-8" standalone="yes"?>
<Relationships xmlns="http://schemas.openxmlformats.org/package/2006/relationships"><Relationship Id="rId1" Type="http://schemas.openxmlformats.org/officeDocument/2006/relationships/image" Target="media/image26.jpeg"/></Relationships>
</file>

<file path=word/_rels/header69.xml.rels><?xml version="1.0" encoding="UTF-8" standalone="yes"?>
<Relationships xmlns="http://schemas.openxmlformats.org/package/2006/relationships"><Relationship Id="rId1" Type="http://schemas.openxmlformats.org/officeDocument/2006/relationships/image" Target="media/image28.jpeg"/></Relationships>
</file>

<file path=word/_rels/header79.xml.rels><?xml version="1.0" encoding="UTF-8" standalone="yes"?>
<Relationships xmlns="http://schemas.openxmlformats.org/package/2006/relationships"><Relationship Id="rId1" Type="http://schemas.openxmlformats.org/officeDocument/2006/relationships/image" Target="media/image34.png"/></Relationships>
</file>

<file path=word/_rels/header80.xml.rels><?xml version="1.0" encoding="UTF-8" standalone="yes"?>
<Relationships xmlns="http://schemas.openxmlformats.org/package/2006/relationships"><Relationship Id="rId1" Type="http://schemas.openxmlformats.org/officeDocument/2006/relationships/image" Target="media/image35.png"/></Relationships>
</file>

<file path=word/_rels/header81.xml.rels><?xml version="1.0" encoding="UTF-8" standalone="yes"?>
<Relationships xmlns="http://schemas.openxmlformats.org/package/2006/relationships"><Relationship Id="rId1" Type="http://schemas.openxmlformats.org/officeDocument/2006/relationships/image" Target="media/image36.png"/></Relationships>
</file>

<file path=word/_rels/header82.xml.rels><?xml version="1.0" encoding="UTF-8" standalone="yes"?>
<Relationships xmlns="http://schemas.openxmlformats.org/package/2006/relationships"><Relationship Id="rId1" Type="http://schemas.openxmlformats.org/officeDocument/2006/relationships/image" Target="media/image37.png"/></Relationships>
</file>

<file path=word/_rels/header86.xml.rels><?xml version="1.0" encoding="UTF-8" standalone="yes"?>
<Relationships xmlns="http://schemas.openxmlformats.org/package/2006/relationships"><Relationship Id="rId1" Type="http://schemas.openxmlformats.org/officeDocument/2006/relationships/image" Target="media/image38.png"/></Relationships>
</file>

<file path=word/_rels/header87.xml.rels><?xml version="1.0" encoding="UTF-8" standalone="yes"?>
<Relationships xmlns="http://schemas.openxmlformats.org/package/2006/relationships"><Relationship Id="rId1" Type="http://schemas.openxmlformats.org/officeDocument/2006/relationships/image" Target="media/image39.png"/></Relationships>
</file>

<file path=word/_rels/header88.xml.rels><?xml version="1.0" encoding="UTF-8" standalone="yes"?>
<Relationships xmlns="http://schemas.openxmlformats.org/package/2006/relationships"><Relationship Id="rId1" Type="http://schemas.openxmlformats.org/officeDocument/2006/relationships/image" Target="media/image40.png"/></Relationships>
</file>

<file path=word/_rels/header89.xml.rels><?xml version="1.0" encoding="UTF-8" standalone="yes"?>
<Relationships xmlns="http://schemas.openxmlformats.org/package/2006/relationships"><Relationship Id="rId1" Type="http://schemas.openxmlformats.org/officeDocument/2006/relationships/image" Target="media/image41.png"/></Relationships>
</file>

<file path=word/_rels/header104.xml.rels><?xml version="1.0" encoding="UTF-8" standalone="yes"?>
<Relationships xmlns="http://schemas.openxmlformats.org/package/2006/relationships"><Relationship Id="rId1" Type="http://schemas.openxmlformats.org/officeDocument/2006/relationships/image" Target="media/image42.jpeg"/></Relationships>
</file>

<file path=word/_rels/header106.xml.rels><?xml version="1.0" encoding="UTF-8" standalone="yes"?>
<Relationships xmlns="http://schemas.openxmlformats.org/package/2006/relationships"><Relationship Id="rId2" Type="http://schemas.openxmlformats.org/officeDocument/2006/relationships/image" Target="media/image44.jpeg"/><Relationship Id="rId1" Type="http://schemas.openxmlformats.org/officeDocument/2006/relationships/image" Target="media/image43.jpeg"/></Relationships>
</file>

<file path=word/_rels/header129.xml.rels><?xml version="1.0" encoding="UTF-8" standalone="yes"?>
<Relationships xmlns="http://schemas.openxmlformats.org/package/2006/relationships"><Relationship Id="rId1" Type="http://schemas.openxmlformats.org/officeDocument/2006/relationships/image" Target="media/image53.jpeg"/></Relationships>
</file>

<file path=word/_rels/header133.xml.rels><?xml version="1.0" encoding="UTF-8" standalone="yes"?>
<Relationships xmlns="http://schemas.openxmlformats.org/package/2006/relationships"><Relationship Id="rId1" Type="http://schemas.openxmlformats.org/officeDocument/2006/relationships/image" Target="media/image57.png"/></Relationships>
</file>

<file path=word/_rels/header134.xml.rels><?xml version="1.0" encoding="UTF-8" standalone="yes"?>
<Relationships xmlns="http://schemas.openxmlformats.org/package/2006/relationships"><Relationship Id="rId1" Type="http://schemas.openxmlformats.org/officeDocument/2006/relationships/image" Target="media/image60.png"/></Relationships>
</file>

<file path=word/_rels/header146.xml.rels><?xml version="1.0" encoding="UTF-8" standalone="yes"?>
<Relationships xmlns="http://schemas.openxmlformats.org/package/2006/relationships"><Relationship Id="rId1" Type="http://schemas.openxmlformats.org/officeDocument/2006/relationships/image" Target="media/image62.png"/></Relationships>
</file>

<file path=word/_rels/header147.xml.rels><?xml version="1.0" encoding="UTF-8" standalone="yes"?>
<Relationships xmlns="http://schemas.openxmlformats.org/package/2006/relationships"><Relationship Id="rId1" Type="http://schemas.openxmlformats.org/officeDocument/2006/relationships/image" Target="media/image63.png"/></Relationships>
</file>

<file path=word/_rels/header148.xml.rels><?xml version="1.0" encoding="UTF-8" standalone="yes"?>
<Relationships xmlns="http://schemas.openxmlformats.org/package/2006/relationships"><Relationship Id="rId1" Type="http://schemas.openxmlformats.org/officeDocument/2006/relationships/image" Target="media/image64.png"/></Relationships>
</file>

<file path=word/_rels/header150.xml.rels><?xml version="1.0" encoding="UTF-8" standalone="yes"?>
<Relationships xmlns="http://schemas.openxmlformats.org/package/2006/relationships"><Relationship Id="rId1" Type="http://schemas.openxmlformats.org/officeDocument/2006/relationships/image" Target="media/image65.jpeg"/></Relationships>
</file>

<file path=word/_rels/header151.xml.rels><?xml version="1.0" encoding="UTF-8" standalone="yes"?>
<Relationships xmlns="http://schemas.openxmlformats.org/package/2006/relationships"><Relationship Id="rId1" Type="http://schemas.openxmlformats.org/officeDocument/2006/relationships/image" Target="media/image66.jpeg"/></Relationships>
</file>

<file path=docProps/app.xml><?xml version="1.0" encoding="utf-8"?>
<ap:Properties xmlns:vt="http://schemas.openxmlformats.org/officeDocument/2006/docPropsVTypes" xmlns:ap="http://schemas.openxmlformats.org/officeDocument/2006/extended-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2025-05-23T11:43:27Z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2025-05-23T11:44:03</vt:filetime>
  </property>
  <property fmtid="{D5CDD505-2E9C-101B-9397-08002B2CF9AE}" pid="4" name="UsrData">
    <vt:lpwstr>682feebb5e7b0b001f84debcwl</vt:lpwstr>
  </property>
</Properties>
</file>